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E747BF" w14:textId="60B33828" w:rsidR="0053432F" w:rsidRPr="000C5C8A" w:rsidRDefault="00F342D1" w:rsidP="002F2AB1">
      <w:pPr>
        <w:jc w:val="center"/>
        <w:rPr>
          <w:rFonts w:asciiTheme="minorHAnsi" w:hAnsiTheme="minorHAnsi"/>
        </w:rPr>
      </w:pPr>
      <w:bookmarkStart w:id="0" w:name="_GoBack"/>
      <w:bookmarkEnd w:id="0"/>
      <w:r>
        <w:rPr>
          <w:rFonts w:asciiTheme="minorHAnsi" w:hAnsiTheme="minorHAnsi"/>
        </w:rPr>
        <w:t>un</w:t>
      </w:r>
    </w:p>
    <w:p w14:paraId="37B83012" w14:textId="5CE35064" w:rsidR="0053432F" w:rsidRPr="00C00000" w:rsidRDefault="0053432F" w:rsidP="002F2AB1">
      <w:pPr>
        <w:pStyle w:val="Body"/>
        <w:jc w:val="center"/>
        <w:rPr>
          <w:rFonts w:asciiTheme="minorHAnsi" w:hAnsiTheme="minorHAnsi"/>
          <w:b/>
        </w:rPr>
      </w:pPr>
    </w:p>
    <w:p w14:paraId="3018F988" w14:textId="77777777" w:rsidR="007D466C" w:rsidRPr="00C00000" w:rsidRDefault="007D466C" w:rsidP="002F2AB1">
      <w:pPr>
        <w:pStyle w:val="Body"/>
        <w:jc w:val="center"/>
        <w:rPr>
          <w:rFonts w:asciiTheme="minorHAnsi" w:hAnsiTheme="minorHAnsi"/>
          <w:b/>
        </w:rPr>
      </w:pPr>
    </w:p>
    <w:p w14:paraId="4929ABD3" w14:textId="090852CA" w:rsidR="007D466C" w:rsidRPr="00C00000" w:rsidRDefault="00A9288A" w:rsidP="002F2AB1">
      <w:pPr>
        <w:pStyle w:val="Body"/>
        <w:jc w:val="center"/>
        <w:rPr>
          <w:rFonts w:asciiTheme="minorHAnsi" w:hAnsiTheme="minorHAnsi"/>
          <w:b/>
        </w:rPr>
      </w:pPr>
      <w:r>
        <w:rPr>
          <w:rFonts w:asciiTheme="minorHAnsi" w:hAnsiTheme="minorHAnsi"/>
          <w:noProof/>
          <w:color w:val="12222D"/>
          <w:lang w:val="en-AU" w:eastAsia="en-AU"/>
        </w:rPr>
        <mc:AlternateContent>
          <mc:Choice Requires="wps">
            <w:drawing>
              <wp:anchor distT="0" distB="0" distL="114300" distR="114300" simplePos="0" relativeHeight="251657216" behindDoc="0" locked="0" layoutInCell="1" allowOverlap="1" wp14:anchorId="1B94EFB4" wp14:editId="03473C6D">
                <wp:simplePos x="0" y="0"/>
                <wp:positionH relativeFrom="margin">
                  <wp:posOffset>-264160</wp:posOffset>
                </wp:positionH>
                <wp:positionV relativeFrom="paragraph">
                  <wp:posOffset>875030</wp:posOffset>
                </wp:positionV>
                <wp:extent cx="6235700" cy="848360"/>
                <wp:effectExtent l="0" t="0" r="0" b="889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35700" cy="84836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03F86658" w14:textId="45C53CA5" w:rsidR="00D44BCF" w:rsidRDefault="00D44BCF" w:rsidP="00553F36">
                            <w:pPr>
                              <w:spacing w:after="180"/>
                              <w:jc w:val="right"/>
                              <w:rPr>
                                <w:rFonts w:ascii="Calibri Bold" w:hAnsi="Calibri Bold"/>
                                <w:b/>
                                <w:bCs/>
                                <w:color w:val="8D7252"/>
                                <w:sz w:val="32"/>
                                <w:szCs w:val="32"/>
                              </w:rPr>
                            </w:pPr>
                            <w:r>
                              <w:rPr>
                                <w:rFonts w:ascii="Calibri Bold" w:hAnsi="Calibri Bold"/>
                                <w:b/>
                                <w:bCs/>
                                <w:color w:val="8D7252"/>
                                <w:sz w:val="32"/>
                                <w:szCs w:val="32"/>
                              </w:rPr>
                              <w:t>Sentencing of federal offenders in Australia:  a guide for practitioners</w:t>
                            </w:r>
                          </w:p>
                          <w:p w14:paraId="0C279A4D" w14:textId="635E0B16" w:rsidR="00D44BCF" w:rsidRPr="00A9288A" w:rsidRDefault="00D44BCF" w:rsidP="00553F36">
                            <w:pPr>
                              <w:spacing w:after="180"/>
                              <w:jc w:val="right"/>
                              <w:rPr>
                                <w:rFonts w:ascii="Calibri Bold" w:hAnsi="Calibri Bold"/>
                                <w:b/>
                                <w:bCs/>
                                <w:color w:val="8D7252"/>
                                <w:sz w:val="20"/>
                              </w:rPr>
                            </w:pPr>
                            <w:r>
                              <w:rPr>
                                <w:rFonts w:ascii="Calibri Bold" w:hAnsi="Calibri Bold"/>
                                <w:b/>
                                <w:bCs/>
                                <w:color w:val="8D7252"/>
                                <w:sz w:val="20"/>
                              </w:rPr>
                              <w:t xml:space="preserve">Second </w:t>
                            </w:r>
                            <w:r w:rsidRPr="00A9288A">
                              <w:rPr>
                                <w:rFonts w:ascii="Calibri Bold" w:hAnsi="Calibri Bold"/>
                                <w:b/>
                                <w:bCs/>
                                <w:color w:val="8D7252"/>
                                <w:sz w:val="20"/>
                              </w:rPr>
                              <w:t>edition, 20</w:t>
                            </w:r>
                            <w:r>
                              <w:rPr>
                                <w:rFonts w:ascii="Calibri Bold" w:hAnsi="Calibri Bold"/>
                                <w:b/>
                                <w:bCs/>
                                <w:color w:val="8D7252"/>
                                <w:sz w:val="20"/>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94EFB4" id="_x0000_t202" coordsize="21600,21600" o:spt="202" path="m,l,21600r21600,l21600,xe">
                <v:stroke joinstyle="miter"/>
                <v:path gradientshapeok="t" o:connecttype="rect"/>
              </v:shapetype>
              <v:shape id="Text Box 4" o:spid="_x0000_s1026" type="#_x0000_t202" style="position:absolute;left:0;text-align:left;margin-left:-20.8pt;margin-top:68.9pt;width:491pt;height:66.8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" filled="f" stroked="f">
                <v:path arrowok="t"/>
                <v:textbox>
                  <w:txbxContent>
                    <w:p w14:paraId="03F86658" w14:textId="45C53CA5" w:rsidR="00D44BCF" w:rsidRDefault="00D44BCF" w:rsidP="00553F36">
                      <w:pPr>
                        <w:spacing w:after="180"/>
                        <w:jc w:val="right"/>
                        <w:rPr>
                          <w:rFonts w:ascii="Calibri Bold" w:hAnsi="Calibri Bold"/>
                          <w:b/>
                          <w:bCs/>
                          <w:color w:val="8D7252"/>
                          <w:sz w:val="32"/>
                          <w:szCs w:val="32"/>
                        </w:rPr>
                      </w:pPr>
                      <w:r>
                        <w:rPr>
                          <w:rFonts w:ascii="Calibri Bold" w:hAnsi="Calibri Bold"/>
                          <w:b/>
                          <w:bCs/>
                          <w:color w:val="8D7252"/>
                          <w:sz w:val="32"/>
                          <w:szCs w:val="32"/>
                        </w:rPr>
                        <w:t>Sentencing of federal offenders in Australia:  a guide for practitioners</w:t>
                      </w:r>
                    </w:p>
                    <w:p w14:paraId="0C279A4D" w14:textId="635E0B16" w:rsidR="00D44BCF" w:rsidRPr="00A9288A" w:rsidRDefault="00D44BCF" w:rsidP="00553F36">
                      <w:pPr>
                        <w:spacing w:after="180"/>
                        <w:jc w:val="right"/>
                        <w:rPr>
                          <w:rFonts w:ascii="Calibri Bold" w:hAnsi="Calibri Bold"/>
                          <w:b/>
                          <w:bCs/>
                          <w:color w:val="8D7252"/>
                          <w:sz w:val="20"/>
                        </w:rPr>
                      </w:pPr>
                      <w:r>
                        <w:rPr>
                          <w:rFonts w:ascii="Calibri Bold" w:hAnsi="Calibri Bold"/>
                          <w:b/>
                          <w:bCs/>
                          <w:color w:val="8D7252"/>
                          <w:sz w:val="20"/>
                        </w:rPr>
                        <w:t xml:space="preserve">Second </w:t>
                      </w:r>
                      <w:r w:rsidRPr="00A9288A">
                        <w:rPr>
                          <w:rFonts w:ascii="Calibri Bold" w:hAnsi="Calibri Bold"/>
                          <w:b/>
                          <w:bCs/>
                          <w:color w:val="8D7252"/>
                          <w:sz w:val="20"/>
                        </w:rPr>
                        <w:t>edition, 20</w:t>
                      </w:r>
                      <w:r>
                        <w:rPr>
                          <w:rFonts w:ascii="Calibri Bold" w:hAnsi="Calibri Bold"/>
                          <w:b/>
                          <w:bCs/>
                          <w:color w:val="8D7252"/>
                          <w:sz w:val="20"/>
                        </w:rPr>
                        <w:t>20</w:t>
                      </w:r>
                    </w:p>
                  </w:txbxContent>
                </v:textbox>
                <w10:wrap type="square" anchorx="margin"/>
              </v:shape>
            </w:pict>
          </mc:Fallback>
        </mc:AlternateContent>
      </w:r>
    </w:p>
    <w:p w14:paraId="5EB19A30" w14:textId="77777777" w:rsidR="00553F36" w:rsidRPr="00C00000" w:rsidRDefault="00553F36" w:rsidP="002F2AB1">
      <w:pPr>
        <w:pStyle w:val="Body"/>
        <w:jc w:val="center"/>
        <w:rPr>
          <w:rFonts w:asciiTheme="minorHAnsi" w:hAnsiTheme="minorHAnsi"/>
          <w:b/>
          <w:sz w:val="40"/>
          <w:szCs w:val="40"/>
          <w:lang w:val="en-AU"/>
        </w:rPr>
        <w:sectPr w:rsidR="00553F36" w:rsidRPr="00C00000" w:rsidSect="00553F36">
          <w:headerReference w:type="even" r:id="rId8"/>
          <w:headerReference w:type="default" r:id="rId9"/>
          <w:footerReference w:type="default" r:id="rId10"/>
          <w:headerReference w:type="first" r:id="rId11"/>
          <w:footerReference w:type="first" r:id="rId12"/>
          <w:pgSz w:w="11907" w:h="16840"/>
          <w:pgMar w:top="680" w:right="1418" w:bottom="680" w:left="1418" w:header="1134" w:footer="851" w:gutter="0"/>
          <w:pgNumType w:start="1"/>
          <w:cols w:space="720"/>
          <w:noEndnote/>
          <w:docGrid w:linePitch="299"/>
        </w:sectPr>
      </w:pPr>
    </w:p>
    <w:tbl>
      <w:tblPr>
        <w:tblW w:w="9561" w:type="dxa"/>
        <w:tblLook w:val="01E0" w:firstRow="1" w:lastRow="1" w:firstColumn="1" w:lastColumn="1" w:noHBand="0" w:noVBand="0"/>
      </w:tblPr>
      <w:tblGrid>
        <w:gridCol w:w="9356"/>
        <w:gridCol w:w="205"/>
      </w:tblGrid>
      <w:tr w:rsidR="0053432F" w:rsidRPr="004F2343" w14:paraId="09D5A46A" w14:textId="77777777" w:rsidTr="00F84501">
        <w:trPr>
          <w:trHeight w:val="4081"/>
        </w:trPr>
        <w:tc>
          <w:tcPr>
            <w:tcW w:w="9561" w:type="dxa"/>
            <w:gridSpan w:val="2"/>
          </w:tcPr>
          <w:p w14:paraId="170B254A" w14:textId="1AB30923" w:rsidR="00F84501" w:rsidRPr="004F2343" w:rsidRDefault="00F84501" w:rsidP="002F2AB1">
            <w:pPr>
              <w:pStyle w:val="Body"/>
              <w:jc w:val="both"/>
              <w:rPr>
                <w:rFonts w:ascii="Calibri" w:hAnsi="Calibri"/>
                <w:b/>
                <w:sz w:val="24"/>
                <w:szCs w:val="24"/>
                <w:lang w:val="en-AU"/>
              </w:rPr>
            </w:pPr>
            <w:r w:rsidRPr="004F2343">
              <w:rPr>
                <w:rFonts w:ascii="Calibri" w:hAnsi="Calibri"/>
                <w:b/>
                <w:sz w:val="24"/>
                <w:szCs w:val="24"/>
                <w:lang w:val="en-AU"/>
              </w:rPr>
              <w:lastRenderedPageBreak/>
              <w:t xml:space="preserve">About this </w:t>
            </w:r>
            <w:r w:rsidR="00233908" w:rsidRPr="004F2343">
              <w:rPr>
                <w:rFonts w:ascii="Calibri" w:hAnsi="Calibri"/>
                <w:b/>
                <w:sz w:val="24"/>
                <w:szCs w:val="24"/>
                <w:lang w:val="en-AU"/>
              </w:rPr>
              <w:t>guide</w:t>
            </w:r>
          </w:p>
          <w:p w14:paraId="21A2391D" w14:textId="77777777" w:rsidR="00F84501" w:rsidRPr="004F2343" w:rsidRDefault="00F84501" w:rsidP="002F2AB1">
            <w:pPr>
              <w:pStyle w:val="Body"/>
              <w:jc w:val="both"/>
              <w:rPr>
                <w:rFonts w:ascii="Calibri" w:hAnsi="Calibri"/>
                <w:sz w:val="24"/>
                <w:szCs w:val="24"/>
                <w:lang w:val="en-AU"/>
              </w:rPr>
            </w:pPr>
          </w:p>
          <w:p w14:paraId="2107C400" w14:textId="1C36CFBE" w:rsidR="00083C85" w:rsidRPr="004F2343" w:rsidRDefault="0053432F" w:rsidP="002F2AB1">
            <w:pPr>
              <w:pStyle w:val="Body"/>
              <w:jc w:val="both"/>
              <w:rPr>
                <w:rFonts w:ascii="Calibri" w:hAnsi="Calibri" w:cs="Calibri"/>
                <w:szCs w:val="22"/>
                <w:lang w:val="en-AU"/>
              </w:rPr>
            </w:pPr>
            <w:r w:rsidRPr="004F2343">
              <w:rPr>
                <w:rFonts w:ascii="Calibri" w:hAnsi="Calibri" w:cs="Calibri"/>
                <w:szCs w:val="22"/>
                <w:lang w:val="en-AU"/>
              </w:rPr>
              <w:t xml:space="preserve">This </w:t>
            </w:r>
            <w:r w:rsidR="00233908" w:rsidRPr="004F2343">
              <w:rPr>
                <w:rFonts w:ascii="Calibri" w:hAnsi="Calibri" w:cs="Calibri"/>
                <w:szCs w:val="22"/>
                <w:lang w:val="en-AU"/>
              </w:rPr>
              <w:t>guide</w:t>
            </w:r>
            <w:r w:rsidRPr="004F2343">
              <w:rPr>
                <w:rFonts w:ascii="Calibri" w:hAnsi="Calibri" w:cs="Calibri"/>
                <w:szCs w:val="22"/>
                <w:lang w:val="en-AU"/>
              </w:rPr>
              <w:t xml:space="preserve"> </w:t>
            </w:r>
            <w:r w:rsidR="00083C85" w:rsidRPr="004F2343">
              <w:rPr>
                <w:rFonts w:ascii="Calibri" w:hAnsi="Calibri" w:cs="Calibri"/>
                <w:szCs w:val="22"/>
                <w:lang w:val="en-AU"/>
              </w:rPr>
              <w:t xml:space="preserve">is published by the office of the Commonwealth Director of Public Prosecutions (CDPP), a statutory authority of the Commonwealth of Australia established under the </w:t>
            </w:r>
            <w:r w:rsidR="00083C85" w:rsidRPr="004F2343">
              <w:rPr>
                <w:rFonts w:ascii="Calibri" w:hAnsi="Calibri" w:cs="Calibri"/>
                <w:i/>
                <w:szCs w:val="22"/>
                <w:lang w:val="en-AU"/>
              </w:rPr>
              <w:t>Director of Public Prosecutions Act 1983</w:t>
            </w:r>
            <w:r w:rsidR="00083C85" w:rsidRPr="004F2343">
              <w:rPr>
                <w:rFonts w:ascii="Calibri" w:hAnsi="Calibri" w:cs="Calibri"/>
                <w:szCs w:val="22"/>
                <w:lang w:val="en-AU"/>
              </w:rPr>
              <w:t xml:space="preserve"> (Cth).</w:t>
            </w:r>
          </w:p>
          <w:p w14:paraId="10A1046A" w14:textId="77777777" w:rsidR="00083C85" w:rsidRPr="004F2343" w:rsidRDefault="00083C85" w:rsidP="002F2AB1">
            <w:pPr>
              <w:pStyle w:val="Body"/>
              <w:jc w:val="both"/>
              <w:rPr>
                <w:rFonts w:ascii="Calibri" w:hAnsi="Calibri" w:cs="Calibri"/>
                <w:szCs w:val="22"/>
                <w:lang w:val="en-AU"/>
              </w:rPr>
            </w:pPr>
          </w:p>
          <w:p w14:paraId="35D0FB09" w14:textId="2721DB72" w:rsidR="008A1EC0" w:rsidRPr="004F2343" w:rsidRDefault="00083C85">
            <w:pPr>
              <w:pStyle w:val="Body"/>
              <w:jc w:val="both"/>
              <w:rPr>
                <w:rFonts w:ascii="Calibri" w:hAnsi="Calibri" w:cs="Calibri"/>
                <w:szCs w:val="22"/>
                <w:lang w:val="en-AU"/>
              </w:rPr>
            </w:pPr>
            <w:r w:rsidRPr="004F2343">
              <w:rPr>
                <w:rFonts w:ascii="Calibri" w:hAnsi="Calibri" w:cs="Calibri"/>
                <w:szCs w:val="22"/>
                <w:lang w:val="en-AU"/>
              </w:rPr>
              <w:t xml:space="preserve">The </w:t>
            </w:r>
            <w:r w:rsidR="00233908" w:rsidRPr="004F2343">
              <w:rPr>
                <w:rFonts w:ascii="Calibri" w:hAnsi="Calibri" w:cs="Calibri"/>
                <w:szCs w:val="22"/>
                <w:lang w:val="en-AU"/>
              </w:rPr>
              <w:t>guide</w:t>
            </w:r>
            <w:r w:rsidRPr="004F2343">
              <w:rPr>
                <w:rFonts w:ascii="Calibri" w:hAnsi="Calibri" w:cs="Calibri"/>
                <w:szCs w:val="22"/>
                <w:lang w:val="en-AU"/>
              </w:rPr>
              <w:t xml:space="preserve"> </w:t>
            </w:r>
            <w:r w:rsidR="00B4658F" w:rsidRPr="004F2343">
              <w:rPr>
                <w:rFonts w:ascii="Calibri" w:hAnsi="Calibri" w:cs="Calibri"/>
                <w:szCs w:val="22"/>
                <w:lang w:val="en-AU"/>
              </w:rPr>
              <w:t xml:space="preserve">outlines the law relating to </w:t>
            </w:r>
            <w:r w:rsidR="0053432F" w:rsidRPr="004F2343">
              <w:rPr>
                <w:rFonts w:ascii="Calibri" w:hAnsi="Calibri" w:cs="Calibri"/>
                <w:szCs w:val="22"/>
                <w:lang w:val="en-AU"/>
              </w:rPr>
              <w:t>the sentencing of federal offenders</w:t>
            </w:r>
            <w:r w:rsidR="0043428F" w:rsidRPr="004F2343">
              <w:rPr>
                <w:rFonts w:ascii="Calibri" w:hAnsi="Calibri" w:cs="Calibri"/>
                <w:szCs w:val="22"/>
                <w:lang w:val="en-AU"/>
              </w:rPr>
              <w:t xml:space="preserve"> in Australia</w:t>
            </w:r>
            <w:r w:rsidR="009E2426" w:rsidRPr="004F2343">
              <w:rPr>
                <w:rFonts w:ascii="Calibri" w:hAnsi="Calibri" w:cs="Calibri"/>
                <w:szCs w:val="22"/>
                <w:lang w:val="en-AU"/>
              </w:rPr>
              <w:t xml:space="preserve"> (that is, persons being dealt with for offences against the laws of the Commonwealth)</w:t>
            </w:r>
            <w:r w:rsidR="009736B8" w:rsidRPr="004F2343">
              <w:rPr>
                <w:rFonts w:ascii="Calibri" w:hAnsi="Calibri" w:cs="Calibri"/>
                <w:szCs w:val="22"/>
                <w:lang w:val="en-AU"/>
              </w:rPr>
              <w:t>.</w:t>
            </w:r>
            <w:r w:rsidR="002F6B1C" w:rsidRPr="004F2343">
              <w:rPr>
                <w:rFonts w:ascii="Calibri" w:hAnsi="Calibri" w:cs="Calibri"/>
                <w:szCs w:val="22"/>
                <w:lang w:val="en-AU"/>
              </w:rPr>
              <w:t xml:space="preserve">  It is intended to be a resource for</w:t>
            </w:r>
            <w:r w:rsidR="008A1EC0" w:rsidRPr="004F2343">
              <w:rPr>
                <w:rFonts w:ascii="Calibri" w:hAnsi="Calibri" w:cs="Calibri"/>
                <w:szCs w:val="22"/>
                <w:lang w:val="en-AU"/>
              </w:rPr>
              <w:t xml:space="preserve"> CDPP lawyers, other legal practitioners, judicial officers, court staff, and others who deal with the sentencing of federal offenders throughout Australia.  It is intended that it will be updated periodically</w:t>
            </w:r>
            <w:r w:rsidR="00D16411" w:rsidRPr="004F2343">
              <w:rPr>
                <w:rFonts w:ascii="Calibri" w:hAnsi="Calibri" w:cs="Calibri"/>
                <w:szCs w:val="22"/>
                <w:lang w:val="en-AU"/>
              </w:rPr>
              <w:t>.</w:t>
            </w:r>
          </w:p>
          <w:p w14:paraId="589FA471" w14:textId="77777777" w:rsidR="002F6B1C" w:rsidRPr="004F2343" w:rsidRDefault="002F6B1C" w:rsidP="008A1EC0">
            <w:pPr>
              <w:pStyle w:val="Body"/>
              <w:jc w:val="both"/>
              <w:rPr>
                <w:rFonts w:ascii="Calibri" w:hAnsi="Calibri" w:cs="Calibri"/>
                <w:szCs w:val="22"/>
                <w:lang w:val="en-AU"/>
              </w:rPr>
            </w:pPr>
          </w:p>
          <w:p w14:paraId="65065C58" w14:textId="13ED907C" w:rsidR="00D15E8B" w:rsidRPr="004F2343" w:rsidRDefault="00D15E8B" w:rsidP="008A1EC0">
            <w:pPr>
              <w:pStyle w:val="Body"/>
              <w:jc w:val="both"/>
              <w:rPr>
                <w:rFonts w:ascii="Calibri" w:hAnsi="Calibri" w:cs="Calibri"/>
                <w:szCs w:val="22"/>
                <w:lang w:val="en-AU"/>
              </w:rPr>
            </w:pPr>
            <w:r w:rsidRPr="004F2343">
              <w:rPr>
                <w:rFonts w:ascii="Calibri" w:hAnsi="Calibri" w:cs="Calibri"/>
                <w:szCs w:val="22"/>
                <w:lang w:val="en-AU"/>
              </w:rPr>
              <w:t>First edition published 2018</w:t>
            </w:r>
          </w:p>
          <w:p w14:paraId="1BCC8F16" w14:textId="349B2A31" w:rsidR="00D15E8B" w:rsidRPr="004F2343" w:rsidRDefault="00D15E8B" w:rsidP="008A1EC0">
            <w:pPr>
              <w:pStyle w:val="Body"/>
              <w:jc w:val="both"/>
              <w:rPr>
                <w:rFonts w:ascii="Calibri" w:hAnsi="Calibri" w:cs="Calibri"/>
                <w:szCs w:val="22"/>
                <w:lang w:val="en-AU"/>
              </w:rPr>
            </w:pPr>
            <w:r w:rsidRPr="004F2343">
              <w:rPr>
                <w:rFonts w:ascii="Calibri" w:hAnsi="Calibri" w:cs="Calibri"/>
                <w:szCs w:val="22"/>
                <w:lang w:val="en-AU"/>
              </w:rPr>
              <w:t>Second edition published 20</w:t>
            </w:r>
            <w:r w:rsidR="00F55D74">
              <w:rPr>
                <w:rFonts w:ascii="Calibri" w:hAnsi="Calibri" w:cs="Calibri"/>
                <w:szCs w:val="22"/>
                <w:lang w:val="en-AU"/>
              </w:rPr>
              <w:t>20</w:t>
            </w:r>
          </w:p>
          <w:p w14:paraId="15F83F79" w14:textId="77777777" w:rsidR="009736B8" w:rsidRPr="004F2343" w:rsidRDefault="009736B8" w:rsidP="00EB7F1E">
            <w:pPr>
              <w:pStyle w:val="Body"/>
              <w:jc w:val="both"/>
              <w:rPr>
                <w:rFonts w:ascii="Calibri" w:hAnsi="Calibri" w:cs="Calibri"/>
                <w:szCs w:val="22"/>
                <w:lang w:val="en-AU"/>
              </w:rPr>
            </w:pPr>
          </w:p>
          <w:p w14:paraId="659620F3" w14:textId="14435239" w:rsidR="009736B8" w:rsidRPr="004F2343" w:rsidRDefault="009736B8" w:rsidP="009736B8">
            <w:pPr>
              <w:pStyle w:val="Body"/>
              <w:rPr>
                <w:rFonts w:ascii="Calibri" w:hAnsi="Calibri" w:cs="Calibri"/>
                <w:szCs w:val="22"/>
                <w:lang w:val="en-AU"/>
              </w:rPr>
            </w:pPr>
            <w:r w:rsidRPr="004F2343">
              <w:rPr>
                <w:rFonts w:ascii="Calibri" w:hAnsi="Calibri" w:cs="Calibri"/>
                <w:szCs w:val="22"/>
                <w:lang w:val="en-AU"/>
              </w:rPr>
              <w:t xml:space="preserve">The guide is available electronically from the CDPP website </w:t>
            </w:r>
            <w:hyperlink r:id="rId13" w:history="1">
              <w:r w:rsidRPr="004F2343">
                <w:rPr>
                  <w:rStyle w:val="Hyperlink"/>
                  <w:rFonts w:ascii="Calibri" w:hAnsi="Calibri" w:cs="Calibri"/>
                  <w:bCs/>
                  <w:szCs w:val="22"/>
                  <w:lang w:val="en-AU"/>
                </w:rPr>
                <w:t>www.cdpp.gov.au</w:t>
              </w:r>
            </w:hyperlink>
            <w:r w:rsidRPr="004F2343">
              <w:rPr>
                <w:rFonts w:ascii="Calibri" w:hAnsi="Calibri" w:cs="Calibri"/>
                <w:szCs w:val="22"/>
                <w:lang w:val="en-AU"/>
              </w:rPr>
              <w:t>.</w:t>
            </w:r>
          </w:p>
          <w:p w14:paraId="2D3B5778" w14:textId="34B8A323" w:rsidR="008A1EC0" w:rsidRPr="004F2343" w:rsidRDefault="008A1EC0" w:rsidP="008A1EC0">
            <w:pPr>
              <w:pStyle w:val="Body"/>
              <w:rPr>
                <w:rFonts w:ascii="Calibri" w:hAnsi="Calibri" w:cs="Calibri"/>
                <w:szCs w:val="22"/>
                <w:lang w:val="en-AU"/>
              </w:rPr>
            </w:pPr>
          </w:p>
          <w:p w14:paraId="1683B8F2" w14:textId="77777777" w:rsidR="008A1EC0" w:rsidRPr="004F2343" w:rsidRDefault="008A1EC0" w:rsidP="008A1EC0">
            <w:pPr>
              <w:pStyle w:val="Body"/>
              <w:rPr>
                <w:rFonts w:ascii="Calibri" w:hAnsi="Calibri"/>
                <w:b/>
                <w:sz w:val="24"/>
                <w:szCs w:val="24"/>
                <w:lang w:val="en-AU"/>
              </w:rPr>
            </w:pPr>
            <w:r w:rsidRPr="004F2343">
              <w:rPr>
                <w:rFonts w:ascii="Calibri" w:hAnsi="Calibri"/>
                <w:b/>
                <w:sz w:val="24"/>
                <w:szCs w:val="24"/>
                <w:lang w:val="en-AU"/>
              </w:rPr>
              <w:t>Acknowledgements</w:t>
            </w:r>
          </w:p>
          <w:p w14:paraId="565AE3FE" w14:textId="77777777" w:rsidR="008A1EC0" w:rsidRPr="004F2343" w:rsidRDefault="008A1EC0" w:rsidP="008A1EC0">
            <w:pPr>
              <w:pStyle w:val="Body"/>
              <w:jc w:val="both"/>
              <w:rPr>
                <w:rFonts w:ascii="Calibri" w:hAnsi="Calibri"/>
                <w:sz w:val="24"/>
                <w:szCs w:val="24"/>
                <w:lang w:val="en-AU"/>
              </w:rPr>
            </w:pPr>
          </w:p>
          <w:p w14:paraId="3B3ED108" w14:textId="23DEE011" w:rsidR="00CD0F40" w:rsidRPr="004F2343" w:rsidRDefault="008A1EC0" w:rsidP="00CD0F40">
            <w:pPr>
              <w:pStyle w:val="Body"/>
              <w:jc w:val="both"/>
              <w:rPr>
                <w:rFonts w:ascii="Calibri" w:hAnsi="Calibri" w:cs="Calibri"/>
                <w:szCs w:val="22"/>
                <w:lang w:val="en-AU"/>
              </w:rPr>
            </w:pPr>
            <w:r w:rsidRPr="004F2343">
              <w:rPr>
                <w:rFonts w:ascii="Calibri" w:hAnsi="Calibri" w:cs="Calibri"/>
                <w:szCs w:val="22"/>
                <w:lang w:val="en-AU"/>
              </w:rPr>
              <w:t>Th</w:t>
            </w:r>
            <w:r w:rsidR="00E27363" w:rsidRPr="004F2343">
              <w:rPr>
                <w:rFonts w:ascii="Calibri" w:hAnsi="Calibri" w:cs="Calibri"/>
                <w:szCs w:val="22"/>
                <w:lang w:val="en-AU"/>
              </w:rPr>
              <w:t>e first edition of th</w:t>
            </w:r>
            <w:r w:rsidRPr="004F2343">
              <w:rPr>
                <w:rFonts w:ascii="Calibri" w:hAnsi="Calibri" w:cs="Calibri"/>
                <w:szCs w:val="22"/>
                <w:lang w:val="en-AU"/>
              </w:rPr>
              <w:t>is guide was written by Desmond Lane of the Victorian Bar and settled by CDPP.</w:t>
            </w:r>
          </w:p>
          <w:p w14:paraId="602441AF" w14:textId="77777777" w:rsidR="00CD0F40" w:rsidRPr="004F2343" w:rsidRDefault="00CD0F40" w:rsidP="00CD0F40">
            <w:pPr>
              <w:pStyle w:val="Body"/>
              <w:jc w:val="both"/>
              <w:rPr>
                <w:rFonts w:ascii="Calibri" w:hAnsi="Calibri" w:cs="Calibri"/>
                <w:szCs w:val="22"/>
                <w:lang w:val="en-AU"/>
              </w:rPr>
            </w:pPr>
          </w:p>
          <w:p w14:paraId="639359DF" w14:textId="30A2CF06" w:rsidR="009736B8" w:rsidRPr="004F2343" w:rsidRDefault="00875FA1" w:rsidP="00CD0F40">
            <w:pPr>
              <w:pStyle w:val="Body"/>
              <w:jc w:val="both"/>
              <w:rPr>
                <w:rFonts w:ascii="Calibri" w:hAnsi="Calibri" w:cs="Calibri"/>
                <w:szCs w:val="22"/>
                <w:lang w:val="en-AU"/>
              </w:rPr>
            </w:pPr>
            <w:r w:rsidRPr="004F2343">
              <w:rPr>
                <w:rFonts w:ascii="Calibri" w:hAnsi="Calibri" w:cs="Calibri"/>
                <w:szCs w:val="22"/>
                <w:lang w:val="en-AU"/>
              </w:rPr>
              <w:t xml:space="preserve">It </w:t>
            </w:r>
            <w:r w:rsidR="009449E7" w:rsidRPr="004F2343">
              <w:rPr>
                <w:rFonts w:ascii="Calibri" w:hAnsi="Calibri" w:cs="Calibri"/>
                <w:szCs w:val="22"/>
                <w:lang w:val="en-AU"/>
              </w:rPr>
              <w:t>drew upon</w:t>
            </w:r>
            <w:r w:rsidRPr="004F2343">
              <w:rPr>
                <w:rFonts w:ascii="Calibri" w:hAnsi="Calibri" w:cs="Calibri"/>
                <w:szCs w:val="22"/>
                <w:lang w:val="en-AU"/>
              </w:rPr>
              <w:t xml:space="preserve"> an earlier CDPP publication, </w:t>
            </w:r>
            <w:r w:rsidRPr="004F2343">
              <w:rPr>
                <w:rFonts w:ascii="Calibri" w:hAnsi="Calibri" w:cs="Calibri"/>
                <w:i/>
                <w:szCs w:val="22"/>
                <w:lang w:val="en-AU"/>
              </w:rPr>
              <w:t>Federal Sentencing in Victoria</w:t>
            </w:r>
            <w:r w:rsidRPr="004F2343">
              <w:rPr>
                <w:rFonts w:ascii="Calibri" w:hAnsi="Calibri" w:cs="Calibri"/>
                <w:szCs w:val="22"/>
                <w:lang w:val="en-AU"/>
              </w:rPr>
              <w:t xml:space="preserve">.  </w:t>
            </w:r>
            <w:r w:rsidR="00CD0F40" w:rsidRPr="004F2343">
              <w:rPr>
                <w:rFonts w:ascii="Calibri" w:hAnsi="Calibri" w:cs="Calibri"/>
                <w:szCs w:val="22"/>
                <w:lang w:val="en-AU"/>
              </w:rPr>
              <w:t xml:space="preserve">The earlier publication, </w:t>
            </w:r>
            <w:r w:rsidR="00B4658F" w:rsidRPr="004F2343">
              <w:rPr>
                <w:rFonts w:ascii="Calibri" w:hAnsi="Calibri" w:cs="Calibri"/>
                <w:i/>
                <w:szCs w:val="22"/>
                <w:lang w:val="en-AU"/>
              </w:rPr>
              <w:t>Federal Sentencing in Victoria</w:t>
            </w:r>
            <w:r w:rsidR="00B4658F" w:rsidRPr="004F2343">
              <w:rPr>
                <w:rFonts w:ascii="Calibri" w:hAnsi="Calibri" w:cs="Calibri"/>
                <w:szCs w:val="22"/>
                <w:lang w:val="en-AU"/>
              </w:rPr>
              <w:t xml:space="preserve">, was originally written </w:t>
            </w:r>
            <w:r w:rsidR="006F09D6" w:rsidRPr="004F2343">
              <w:rPr>
                <w:rFonts w:ascii="Calibri" w:hAnsi="Calibri" w:cs="Calibri"/>
                <w:szCs w:val="22"/>
                <w:lang w:val="en-AU"/>
              </w:rPr>
              <w:t xml:space="preserve">in the early 1990s </w:t>
            </w:r>
            <w:r w:rsidR="00B4658F" w:rsidRPr="004F2343">
              <w:rPr>
                <w:rFonts w:ascii="Calibri" w:hAnsi="Calibri" w:cs="Calibri"/>
                <w:szCs w:val="22"/>
                <w:lang w:val="en-AU"/>
              </w:rPr>
              <w:t xml:space="preserve">by Mark Pedley, </w:t>
            </w:r>
            <w:r w:rsidR="009E2369" w:rsidRPr="004F2343">
              <w:rPr>
                <w:rFonts w:ascii="Calibri" w:hAnsi="Calibri" w:cs="Calibri"/>
                <w:szCs w:val="22"/>
                <w:lang w:val="en-AU"/>
              </w:rPr>
              <w:t>then Deputy Director in the Melbourne office of C</w:t>
            </w:r>
            <w:r w:rsidR="006F09D6" w:rsidRPr="004F2343">
              <w:rPr>
                <w:rFonts w:ascii="Calibri" w:hAnsi="Calibri" w:cs="Calibri"/>
                <w:szCs w:val="22"/>
                <w:lang w:val="en-AU"/>
              </w:rPr>
              <w:t>DPP</w:t>
            </w:r>
            <w:r w:rsidR="00CD0F40" w:rsidRPr="004F2343">
              <w:rPr>
                <w:rFonts w:ascii="Calibri" w:hAnsi="Calibri" w:cs="Calibri"/>
                <w:szCs w:val="22"/>
                <w:lang w:val="en-AU"/>
              </w:rPr>
              <w:t>, and was</w:t>
            </w:r>
            <w:r w:rsidR="006F09D6" w:rsidRPr="004F2343">
              <w:rPr>
                <w:rFonts w:ascii="Calibri" w:hAnsi="Calibri" w:cs="Calibri"/>
                <w:szCs w:val="22"/>
                <w:lang w:val="en-AU"/>
              </w:rPr>
              <w:t xml:space="preserve"> </w:t>
            </w:r>
            <w:r w:rsidR="0043428F" w:rsidRPr="004F2343">
              <w:rPr>
                <w:rFonts w:ascii="Calibri" w:hAnsi="Calibri" w:cs="Calibri"/>
                <w:szCs w:val="22"/>
                <w:lang w:val="en-AU"/>
              </w:rPr>
              <w:t xml:space="preserve">revised and </w:t>
            </w:r>
            <w:r w:rsidR="006F09D6" w:rsidRPr="004F2343">
              <w:rPr>
                <w:rFonts w:ascii="Calibri" w:hAnsi="Calibri" w:cs="Calibri"/>
                <w:szCs w:val="22"/>
                <w:lang w:val="en-AU"/>
              </w:rPr>
              <w:t>updated by</w:t>
            </w:r>
            <w:r w:rsidR="0043428F" w:rsidRPr="004F2343">
              <w:rPr>
                <w:rFonts w:ascii="Calibri" w:hAnsi="Calibri" w:cs="Calibri"/>
                <w:szCs w:val="22"/>
                <w:lang w:val="en-AU"/>
              </w:rPr>
              <w:t xml:space="preserve"> </w:t>
            </w:r>
            <w:r w:rsidR="006F09D6" w:rsidRPr="004F2343">
              <w:rPr>
                <w:rFonts w:ascii="Calibri" w:hAnsi="Calibri" w:cs="Calibri"/>
                <w:szCs w:val="22"/>
                <w:lang w:val="en-AU"/>
              </w:rPr>
              <w:t xml:space="preserve">lawyers in the Melbourne office </w:t>
            </w:r>
            <w:r w:rsidR="0043428F" w:rsidRPr="004F2343">
              <w:rPr>
                <w:rFonts w:ascii="Calibri" w:hAnsi="Calibri" w:cs="Calibri"/>
                <w:szCs w:val="22"/>
                <w:lang w:val="en-AU"/>
              </w:rPr>
              <w:t>over many years</w:t>
            </w:r>
            <w:r w:rsidR="00CD0F40" w:rsidRPr="004F2343">
              <w:rPr>
                <w:rFonts w:ascii="Calibri" w:hAnsi="Calibri" w:cs="Calibri"/>
                <w:szCs w:val="22"/>
                <w:lang w:val="en-AU"/>
              </w:rPr>
              <w:t xml:space="preserve">.  </w:t>
            </w:r>
            <w:r w:rsidR="009736B8" w:rsidRPr="004F2343">
              <w:rPr>
                <w:rFonts w:ascii="Calibri" w:hAnsi="Calibri" w:cs="Calibri"/>
                <w:szCs w:val="22"/>
                <w:lang w:val="en-AU"/>
              </w:rPr>
              <w:t>The</w:t>
            </w:r>
            <w:r w:rsidR="00F829C3" w:rsidRPr="004F2343">
              <w:rPr>
                <w:rFonts w:ascii="Calibri" w:hAnsi="Calibri" w:cs="Calibri"/>
                <w:szCs w:val="22"/>
                <w:lang w:val="en-AU"/>
              </w:rPr>
              <w:t>ir</w:t>
            </w:r>
            <w:r w:rsidR="009736B8" w:rsidRPr="004F2343">
              <w:rPr>
                <w:rFonts w:ascii="Calibri" w:hAnsi="Calibri" w:cs="Calibri"/>
                <w:szCs w:val="22"/>
                <w:lang w:val="en-AU"/>
              </w:rPr>
              <w:t xml:space="preserve"> work</w:t>
            </w:r>
            <w:r w:rsidR="009E4569" w:rsidRPr="004F2343">
              <w:rPr>
                <w:rFonts w:ascii="Calibri" w:hAnsi="Calibri" w:cs="Calibri"/>
                <w:szCs w:val="22"/>
                <w:lang w:val="en-AU"/>
              </w:rPr>
              <w:t xml:space="preserve"> </w:t>
            </w:r>
            <w:r w:rsidR="009736B8" w:rsidRPr="004F2343">
              <w:rPr>
                <w:rFonts w:ascii="Calibri" w:hAnsi="Calibri" w:cs="Calibri"/>
                <w:szCs w:val="22"/>
                <w:lang w:val="en-AU"/>
              </w:rPr>
              <w:t>is gratefully acknowledged.</w:t>
            </w:r>
          </w:p>
          <w:p w14:paraId="46B26C5D" w14:textId="45F3FAD6" w:rsidR="00E27363" w:rsidRPr="004F2343" w:rsidRDefault="00E27363" w:rsidP="00CD0F40">
            <w:pPr>
              <w:pStyle w:val="Body"/>
              <w:jc w:val="both"/>
              <w:rPr>
                <w:rFonts w:ascii="Calibri" w:hAnsi="Calibri"/>
                <w:szCs w:val="24"/>
                <w:lang w:val="en-AU"/>
              </w:rPr>
            </w:pPr>
          </w:p>
          <w:p w14:paraId="3BEAAF6C" w14:textId="1D16A3EE" w:rsidR="00E27363" w:rsidRPr="004F2343" w:rsidRDefault="00E27363" w:rsidP="00CD0F40">
            <w:pPr>
              <w:pStyle w:val="Body"/>
              <w:jc w:val="both"/>
              <w:rPr>
                <w:rFonts w:ascii="Calibri" w:hAnsi="Calibri"/>
                <w:sz w:val="24"/>
                <w:szCs w:val="24"/>
                <w:lang w:val="en-AU"/>
              </w:rPr>
            </w:pPr>
            <w:r w:rsidRPr="00F55D74">
              <w:rPr>
                <w:rFonts w:ascii="Calibri" w:hAnsi="Calibri"/>
                <w:szCs w:val="24"/>
                <w:lang w:val="en-AU"/>
              </w:rPr>
              <w:t xml:space="preserve">This second edition </w:t>
            </w:r>
            <w:r w:rsidR="00A23912" w:rsidRPr="00F55D74">
              <w:rPr>
                <w:rFonts w:ascii="Calibri" w:hAnsi="Calibri"/>
                <w:szCs w:val="24"/>
                <w:lang w:val="en-AU"/>
              </w:rPr>
              <w:t xml:space="preserve">includes updates and revisions and some new sections.  It </w:t>
            </w:r>
            <w:r w:rsidRPr="00F55D74">
              <w:rPr>
                <w:rFonts w:ascii="Calibri" w:hAnsi="Calibri"/>
                <w:szCs w:val="24"/>
                <w:lang w:val="en-AU"/>
              </w:rPr>
              <w:t xml:space="preserve">was </w:t>
            </w:r>
            <w:r w:rsidR="002821C6" w:rsidRPr="00F55D74">
              <w:rPr>
                <w:rFonts w:ascii="Calibri" w:hAnsi="Calibri"/>
                <w:szCs w:val="24"/>
                <w:lang w:val="en-AU"/>
              </w:rPr>
              <w:t>prepared by</w:t>
            </w:r>
            <w:r w:rsidRPr="00F55D74">
              <w:rPr>
                <w:rFonts w:ascii="Calibri" w:hAnsi="Calibri"/>
                <w:szCs w:val="24"/>
                <w:lang w:val="en-AU"/>
              </w:rPr>
              <w:t xml:space="preserve"> Desmond Lane</w:t>
            </w:r>
            <w:r w:rsidR="007A7D5B" w:rsidRPr="00F55D74">
              <w:rPr>
                <w:rFonts w:ascii="Calibri" w:hAnsi="Calibri"/>
                <w:szCs w:val="24"/>
                <w:lang w:val="en-AU"/>
              </w:rPr>
              <w:t>.</w:t>
            </w:r>
            <w:r w:rsidR="00A23912" w:rsidRPr="00F55D74">
              <w:rPr>
                <w:rFonts w:ascii="Calibri" w:hAnsi="Calibri"/>
                <w:szCs w:val="24"/>
                <w:lang w:val="en-AU"/>
              </w:rPr>
              <w:t xml:space="preserve"> </w:t>
            </w:r>
            <w:r w:rsidR="00F829C3" w:rsidRPr="00F55D74">
              <w:rPr>
                <w:rFonts w:ascii="Calibri" w:hAnsi="Calibri"/>
                <w:szCs w:val="24"/>
                <w:lang w:val="en-AU"/>
              </w:rPr>
              <w:t xml:space="preserve"> </w:t>
            </w:r>
            <w:r w:rsidR="00A23912" w:rsidRPr="00F55D74">
              <w:rPr>
                <w:rFonts w:ascii="Calibri" w:hAnsi="Calibri"/>
                <w:szCs w:val="24"/>
                <w:lang w:val="en-AU"/>
              </w:rPr>
              <w:t>Michael Wilson of the Victorian Bar</w:t>
            </w:r>
            <w:r w:rsidR="007A7D5B" w:rsidRPr="00F55D74">
              <w:rPr>
                <w:rFonts w:ascii="Calibri" w:hAnsi="Calibri"/>
                <w:szCs w:val="24"/>
                <w:lang w:val="en-AU"/>
              </w:rPr>
              <w:t xml:space="preserve"> assisted with </w:t>
            </w:r>
            <w:r w:rsidR="00B14C26" w:rsidRPr="00F55D74">
              <w:rPr>
                <w:rFonts w:ascii="Calibri" w:hAnsi="Calibri"/>
                <w:szCs w:val="24"/>
                <w:lang w:val="en-AU"/>
              </w:rPr>
              <w:t xml:space="preserve">revision of </w:t>
            </w:r>
            <w:r w:rsidR="00F829C3" w:rsidRPr="00F55D74">
              <w:rPr>
                <w:rFonts w:ascii="Calibri" w:hAnsi="Calibri"/>
                <w:szCs w:val="24"/>
                <w:lang w:val="en-AU"/>
              </w:rPr>
              <w:t>parts 4.5.13, 5.11 and 8.4-8.6 and related appendices</w:t>
            </w:r>
            <w:r w:rsidR="00A23912" w:rsidRPr="00F55D74">
              <w:rPr>
                <w:rFonts w:ascii="Calibri" w:hAnsi="Calibri"/>
                <w:szCs w:val="24"/>
                <w:lang w:val="en-AU"/>
              </w:rPr>
              <w:t>.</w:t>
            </w:r>
            <w:r w:rsidRPr="00F55D74">
              <w:rPr>
                <w:rFonts w:ascii="Calibri" w:hAnsi="Calibri"/>
                <w:szCs w:val="24"/>
                <w:lang w:val="en-AU"/>
              </w:rPr>
              <w:t xml:space="preserve"> </w:t>
            </w:r>
            <w:r w:rsidR="00A23912" w:rsidRPr="00F55D74">
              <w:rPr>
                <w:rFonts w:ascii="Calibri" w:hAnsi="Calibri"/>
                <w:szCs w:val="24"/>
                <w:lang w:val="en-AU"/>
              </w:rPr>
              <w:t xml:space="preserve"> S</w:t>
            </w:r>
            <w:r w:rsidRPr="00F55D74">
              <w:rPr>
                <w:rFonts w:ascii="Calibri" w:hAnsi="Calibri"/>
                <w:szCs w:val="24"/>
                <w:lang w:val="en-AU"/>
              </w:rPr>
              <w:t>uggestions and comments by each of the following are gratefully acknowledged: Andrea Pavleka, Lisa West, Megan Voller, Jody Nunn</w:t>
            </w:r>
            <w:r w:rsidR="00F829C3" w:rsidRPr="00F55D74">
              <w:rPr>
                <w:rFonts w:ascii="Calibri" w:hAnsi="Calibri"/>
                <w:szCs w:val="24"/>
                <w:lang w:val="en-AU"/>
              </w:rPr>
              <w:t xml:space="preserve"> and </w:t>
            </w:r>
            <w:r w:rsidR="0080041A" w:rsidRPr="00F55D74">
              <w:rPr>
                <w:rFonts w:ascii="Calibri" w:hAnsi="Calibri"/>
                <w:szCs w:val="24"/>
                <w:lang w:val="en-AU"/>
              </w:rPr>
              <w:t xml:space="preserve"> </w:t>
            </w:r>
            <w:r w:rsidR="007A7D5B" w:rsidRPr="00F55D74">
              <w:rPr>
                <w:rFonts w:ascii="Calibri" w:hAnsi="Calibri"/>
                <w:szCs w:val="24"/>
                <w:lang w:val="en-AU"/>
              </w:rPr>
              <w:t>Mathew Challen</w:t>
            </w:r>
            <w:r w:rsidR="002821C6" w:rsidRPr="00F55D74">
              <w:rPr>
                <w:rFonts w:ascii="Calibri" w:hAnsi="Calibri"/>
                <w:szCs w:val="24"/>
                <w:lang w:val="en-AU"/>
              </w:rPr>
              <w:t>.</w:t>
            </w:r>
          </w:p>
          <w:p w14:paraId="55391489" w14:textId="7D7CAC04" w:rsidR="00F84501" w:rsidRPr="004F2343" w:rsidRDefault="00F84501" w:rsidP="009736B8">
            <w:pPr>
              <w:pStyle w:val="Body"/>
              <w:jc w:val="both"/>
              <w:rPr>
                <w:rFonts w:ascii="Calibri" w:hAnsi="Calibri"/>
                <w:sz w:val="24"/>
                <w:szCs w:val="24"/>
                <w:lang w:val="en-AU"/>
              </w:rPr>
            </w:pPr>
          </w:p>
        </w:tc>
      </w:tr>
      <w:tr w:rsidR="0053432F" w:rsidRPr="004F2343" w14:paraId="4BFA62B2" w14:textId="77777777" w:rsidTr="00F84501">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Ex>
        <w:trPr>
          <w:gridAfter w:val="1"/>
          <w:wAfter w:w="97" w:type="dxa"/>
          <w:trHeight w:val="3282"/>
        </w:trPr>
        <w:tc>
          <w:tcPr>
            <w:tcW w:w="9356" w:type="dxa"/>
            <w:shd w:val="clear" w:color="auto" w:fill="D9D9D9" w:themeFill="background1" w:themeFillShade="D9"/>
          </w:tcPr>
          <w:p w14:paraId="263C081D" w14:textId="77777777" w:rsidR="0053432F" w:rsidRPr="004F2343" w:rsidRDefault="0053432F" w:rsidP="002F2AB1">
            <w:pPr>
              <w:pStyle w:val="Body"/>
              <w:rPr>
                <w:rFonts w:ascii="Calibri" w:hAnsi="Calibri"/>
                <w:b/>
                <w:sz w:val="18"/>
                <w:lang w:val="en-AU"/>
              </w:rPr>
            </w:pPr>
            <w:r w:rsidRPr="004F2343">
              <w:rPr>
                <w:rFonts w:ascii="Calibri" w:hAnsi="Calibri"/>
                <w:b/>
                <w:sz w:val="18"/>
                <w:lang w:val="en-AU"/>
              </w:rPr>
              <w:t>Copyright Notice</w:t>
            </w:r>
          </w:p>
          <w:p w14:paraId="681019FF" w14:textId="77777777" w:rsidR="0053432F" w:rsidRPr="004F2343" w:rsidRDefault="0053432F" w:rsidP="002F2AB1">
            <w:pPr>
              <w:pStyle w:val="Body"/>
              <w:rPr>
                <w:rFonts w:ascii="Calibri" w:hAnsi="Calibri"/>
                <w:sz w:val="18"/>
                <w:lang w:val="en-AU"/>
              </w:rPr>
            </w:pPr>
          </w:p>
          <w:p w14:paraId="4CC24731" w14:textId="135F0037" w:rsidR="0053432F" w:rsidRPr="004F2343" w:rsidRDefault="0053432F" w:rsidP="002F2AB1">
            <w:pPr>
              <w:pStyle w:val="Body"/>
              <w:rPr>
                <w:rFonts w:ascii="Calibri" w:hAnsi="Calibri"/>
                <w:sz w:val="18"/>
                <w:lang w:val="en-AU"/>
              </w:rPr>
            </w:pPr>
            <w:r w:rsidRPr="004F2343">
              <w:rPr>
                <w:rFonts w:ascii="Calibri" w:hAnsi="Calibri"/>
                <w:sz w:val="18"/>
                <w:lang w:val="en-AU"/>
              </w:rPr>
              <w:t>©</w:t>
            </w:r>
            <w:r w:rsidR="004C73C1" w:rsidRPr="004F2343">
              <w:rPr>
                <w:rFonts w:ascii="Calibri" w:hAnsi="Calibri"/>
                <w:sz w:val="18"/>
                <w:lang w:val="en-AU"/>
              </w:rPr>
              <w:t xml:space="preserve">  Commonwealth of Australia 20</w:t>
            </w:r>
            <w:r w:rsidR="00F55D74">
              <w:rPr>
                <w:rFonts w:ascii="Calibri" w:hAnsi="Calibri"/>
                <w:sz w:val="18"/>
                <w:lang w:val="en-AU"/>
              </w:rPr>
              <w:t>20</w:t>
            </w:r>
          </w:p>
          <w:p w14:paraId="543210CB" w14:textId="77777777" w:rsidR="0053432F" w:rsidRPr="004F2343" w:rsidRDefault="0053432F" w:rsidP="002F2AB1">
            <w:pPr>
              <w:pStyle w:val="Body"/>
              <w:rPr>
                <w:rFonts w:ascii="Calibri" w:hAnsi="Calibri"/>
                <w:sz w:val="18"/>
                <w:lang w:val="en-AU"/>
              </w:rPr>
            </w:pPr>
          </w:p>
          <w:p w14:paraId="1FBB2E77" w14:textId="77777777" w:rsidR="0053432F" w:rsidRPr="004F2343" w:rsidRDefault="0053432F" w:rsidP="002248A3">
            <w:pPr>
              <w:pStyle w:val="Body"/>
              <w:jc w:val="both"/>
              <w:rPr>
                <w:rFonts w:ascii="Calibri" w:hAnsi="Calibri"/>
                <w:sz w:val="18"/>
                <w:lang w:val="en-AU"/>
              </w:rPr>
            </w:pPr>
            <w:r w:rsidRPr="004F2343">
              <w:rPr>
                <w:rFonts w:ascii="Calibri" w:hAnsi="Calibri"/>
                <w:sz w:val="18"/>
                <w:lang w:val="en-AU"/>
              </w:rPr>
              <w:t xml:space="preserve">This work is copyright.  You may download, display, print and reproduce this material in unaltered form only (retaining this notice) for your personal, non-commercial use or use within your organisation.  Apart from any use as permitted under the </w:t>
            </w:r>
            <w:r w:rsidRPr="004F2343">
              <w:rPr>
                <w:rFonts w:ascii="Calibri" w:hAnsi="Calibri"/>
                <w:i/>
                <w:sz w:val="18"/>
                <w:lang w:val="en-AU"/>
              </w:rPr>
              <w:t>Copyright Act 1968</w:t>
            </w:r>
            <w:r w:rsidR="002248A3" w:rsidRPr="004F2343">
              <w:rPr>
                <w:rFonts w:ascii="Calibri" w:hAnsi="Calibri"/>
                <w:i/>
                <w:sz w:val="18"/>
                <w:lang w:val="en-AU"/>
              </w:rPr>
              <w:t xml:space="preserve"> (Cth)</w:t>
            </w:r>
            <w:r w:rsidRPr="004F2343">
              <w:rPr>
                <w:rFonts w:ascii="Calibri" w:hAnsi="Calibri"/>
                <w:sz w:val="18"/>
                <w:lang w:val="en-AU"/>
              </w:rPr>
              <w:t xml:space="preserve"> all other rights are reserved.</w:t>
            </w:r>
          </w:p>
          <w:p w14:paraId="6AF2423A" w14:textId="77777777" w:rsidR="0053432F" w:rsidRPr="004F2343" w:rsidRDefault="0053432F" w:rsidP="002F2AB1">
            <w:pPr>
              <w:pStyle w:val="Body"/>
              <w:rPr>
                <w:rFonts w:ascii="Calibri" w:hAnsi="Calibri"/>
                <w:sz w:val="18"/>
                <w:lang w:val="en-AU"/>
              </w:rPr>
            </w:pPr>
          </w:p>
          <w:p w14:paraId="6AE39158" w14:textId="77777777" w:rsidR="0053432F" w:rsidRPr="004F2343" w:rsidRDefault="0053432F" w:rsidP="002F2AB1">
            <w:pPr>
              <w:pStyle w:val="Body"/>
              <w:rPr>
                <w:rFonts w:ascii="Calibri" w:hAnsi="Calibri"/>
                <w:sz w:val="18"/>
                <w:lang w:val="en-AU"/>
              </w:rPr>
            </w:pPr>
            <w:r w:rsidRPr="004F2343">
              <w:rPr>
                <w:rFonts w:ascii="Calibri" w:hAnsi="Calibri"/>
                <w:sz w:val="18"/>
                <w:lang w:val="en-AU"/>
              </w:rPr>
              <w:t>Requests for further authorisation should be directed to the:</w:t>
            </w:r>
          </w:p>
          <w:p w14:paraId="374BDAED" w14:textId="77777777" w:rsidR="0053432F" w:rsidRPr="004F2343" w:rsidRDefault="0053432F" w:rsidP="002F2AB1">
            <w:pPr>
              <w:pStyle w:val="Body"/>
              <w:rPr>
                <w:rFonts w:ascii="Calibri" w:hAnsi="Calibri"/>
                <w:sz w:val="18"/>
                <w:lang w:val="en-AU"/>
              </w:rPr>
            </w:pPr>
          </w:p>
          <w:p w14:paraId="741A769C" w14:textId="77777777" w:rsidR="0053432F" w:rsidRPr="004F2343" w:rsidRDefault="0053432F" w:rsidP="002F2AB1">
            <w:pPr>
              <w:pStyle w:val="Body"/>
              <w:rPr>
                <w:rFonts w:ascii="Calibri" w:hAnsi="Calibri"/>
                <w:sz w:val="18"/>
                <w:lang w:val="en-AU"/>
              </w:rPr>
            </w:pPr>
            <w:r w:rsidRPr="004F2343">
              <w:rPr>
                <w:rFonts w:ascii="Calibri" w:hAnsi="Calibri"/>
                <w:sz w:val="18"/>
                <w:lang w:val="en-AU"/>
              </w:rPr>
              <w:tab/>
              <w:t>Commonwealth Copyright Administration</w:t>
            </w:r>
          </w:p>
          <w:p w14:paraId="36452793" w14:textId="77777777" w:rsidR="0053432F" w:rsidRPr="004F2343" w:rsidRDefault="0053432F" w:rsidP="002F2AB1">
            <w:pPr>
              <w:pStyle w:val="Body"/>
              <w:rPr>
                <w:rFonts w:ascii="Calibri" w:hAnsi="Calibri"/>
                <w:sz w:val="18"/>
                <w:lang w:val="en-AU"/>
              </w:rPr>
            </w:pPr>
            <w:r w:rsidRPr="004F2343">
              <w:rPr>
                <w:rFonts w:ascii="Calibri" w:hAnsi="Calibri"/>
                <w:sz w:val="18"/>
                <w:lang w:val="en-AU"/>
              </w:rPr>
              <w:tab/>
              <w:t>Intellectual Property Branch</w:t>
            </w:r>
          </w:p>
          <w:p w14:paraId="160BF145" w14:textId="77777777" w:rsidR="0053432F" w:rsidRPr="004F2343" w:rsidRDefault="0053432F" w:rsidP="002F2AB1">
            <w:pPr>
              <w:pStyle w:val="Body"/>
              <w:rPr>
                <w:rFonts w:ascii="Calibri" w:hAnsi="Calibri"/>
                <w:sz w:val="18"/>
                <w:lang w:val="en-AU"/>
              </w:rPr>
            </w:pPr>
            <w:r w:rsidRPr="004F2343">
              <w:rPr>
                <w:rFonts w:ascii="Calibri" w:hAnsi="Calibri"/>
                <w:sz w:val="18"/>
                <w:lang w:val="en-AU"/>
              </w:rPr>
              <w:tab/>
              <w:t>Department of Communications, Information Technology and the Arts</w:t>
            </w:r>
          </w:p>
          <w:p w14:paraId="6333A6C0" w14:textId="77777777" w:rsidR="0053432F" w:rsidRPr="004F2343" w:rsidRDefault="0053432F" w:rsidP="002F2AB1">
            <w:pPr>
              <w:pStyle w:val="Body"/>
              <w:rPr>
                <w:rFonts w:ascii="Calibri" w:hAnsi="Calibri"/>
                <w:sz w:val="18"/>
                <w:lang w:val="en-AU"/>
              </w:rPr>
            </w:pPr>
            <w:r w:rsidRPr="004F2343">
              <w:rPr>
                <w:rFonts w:ascii="Calibri" w:hAnsi="Calibri"/>
                <w:sz w:val="18"/>
                <w:lang w:val="en-AU"/>
              </w:rPr>
              <w:tab/>
              <w:t>GPO Box 2154</w:t>
            </w:r>
          </w:p>
          <w:p w14:paraId="4F9106EA" w14:textId="77777777" w:rsidR="0053432F" w:rsidRPr="004F2343" w:rsidRDefault="0053432F" w:rsidP="002F2AB1">
            <w:pPr>
              <w:pStyle w:val="Body"/>
              <w:rPr>
                <w:rFonts w:ascii="Calibri" w:hAnsi="Calibri"/>
                <w:sz w:val="18"/>
                <w:lang w:val="en-AU"/>
              </w:rPr>
            </w:pPr>
            <w:r w:rsidRPr="004F2343">
              <w:rPr>
                <w:rFonts w:ascii="Calibri" w:hAnsi="Calibri"/>
                <w:sz w:val="18"/>
                <w:lang w:val="en-AU"/>
              </w:rPr>
              <w:tab/>
              <w:t>Canberra  ACT  2601</w:t>
            </w:r>
          </w:p>
          <w:p w14:paraId="09C31FD2" w14:textId="77777777" w:rsidR="0053432F" w:rsidRPr="004F2343" w:rsidRDefault="0053432F" w:rsidP="002F2AB1">
            <w:pPr>
              <w:pStyle w:val="Body"/>
              <w:rPr>
                <w:rFonts w:ascii="Calibri" w:hAnsi="Calibri"/>
                <w:sz w:val="18"/>
                <w:lang w:val="en-AU"/>
              </w:rPr>
            </w:pPr>
          </w:p>
          <w:p w14:paraId="1DA8627B" w14:textId="77777777" w:rsidR="0053432F" w:rsidRPr="004F2343" w:rsidRDefault="0053432F" w:rsidP="002F2AB1">
            <w:pPr>
              <w:pStyle w:val="Body"/>
              <w:rPr>
                <w:rFonts w:ascii="Calibri" w:hAnsi="Calibri"/>
                <w:sz w:val="18"/>
                <w:lang w:val="en-AU"/>
              </w:rPr>
            </w:pPr>
            <w:r w:rsidRPr="004F2343">
              <w:rPr>
                <w:rFonts w:ascii="Calibri" w:hAnsi="Calibri"/>
                <w:sz w:val="18"/>
                <w:lang w:val="en-AU"/>
              </w:rPr>
              <w:t>or Copyright Administration at DCITA Commonwealth Copyright Administration.</w:t>
            </w:r>
          </w:p>
          <w:p w14:paraId="5FD6BC15" w14:textId="77777777" w:rsidR="0053432F" w:rsidRPr="004F2343" w:rsidRDefault="0053432F" w:rsidP="002F2AB1">
            <w:pPr>
              <w:pStyle w:val="Body"/>
              <w:rPr>
                <w:rFonts w:ascii="Calibri" w:hAnsi="Calibri"/>
                <w:sz w:val="16"/>
                <w:lang w:val="en-AU"/>
              </w:rPr>
            </w:pPr>
          </w:p>
        </w:tc>
      </w:tr>
    </w:tbl>
    <w:p w14:paraId="5FA9242C" w14:textId="77777777" w:rsidR="0053432F" w:rsidRPr="00C00000" w:rsidRDefault="0053432F" w:rsidP="006D4944">
      <w:pPr>
        <w:pStyle w:val="Title"/>
        <w:tabs>
          <w:tab w:val="clear" w:pos="8647"/>
        </w:tabs>
        <w:ind w:left="153"/>
        <w:outlineLvl w:val="0"/>
        <w:rPr>
          <w:rFonts w:asciiTheme="minorHAnsi" w:hAnsiTheme="minorHAnsi"/>
        </w:rPr>
        <w:sectPr w:rsidR="0053432F" w:rsidRPr="00C00000" w:rsidSect="00F24F3F">
          <w:pgSz w:w="11907" w:h="16840"/>
          <w:pgMar w:top="680" w:right="1418" w:bottom="680" w:left="1418" w:header="714" w:footer="851" w:gutter="0"/>
          <w:pgNumType w:fmt="lowerRoman" w:start="1"/>
          <w:cols w:space="720"/>
          <w:noEndnote/>
          <w:titlePg/>
          <w:docGrid w:linePitch="299"/>
        </w:sectPr>
      </w:pPr>
    </w:p>
    <w:p w14:paraId="2D95ECC6" w14:textId="77777777" w:rsidR="00F55D74" w:rsidRPr="00D16411" w:rsidRDefault="00F55D74" w:rsidP="00F55D74">
      <w:pPr>
        <w:jc w:val="center"/>
        <w:rPr>
          <w:rFonts w:asciiTheme="minorHAnsi" w:hAnsiTheme="minorHAnsi"/>
          <w:b/>
          <w:color w:val="795C39"/>
          <w:sz w:val="32"/>
          <w:szCs w:val="32"/>
        </w:rPr>
      </w:pPr>
      <w:bookmarkStart w:id="1" w:name="_Toc456943288"/>
      <w:r w:rsidRPr="00D16411">
        <w:rPr>
          <w:rFonts w:asciiTheme="minorHAnsi" w:hAnsiTheme="minorHAnsi"/>
          <w:b/>
          <w:color w:val="795C39"/>
          <w:sz w:val="32"/>
          <w:szCs w:val="32"/>
        </w:rPr>
        <w:lastRenderedPageBreak/>
        <w:t xml:space="preserve">Foreword </w:t>
      </w:r>
      <w:r>
        <w:rPr>
          <w:rFonts w:asciiTheme="minorHAnsi" w:hAnsiTheme="minorHAnsi"/>
          <w:b/>
          <w:color w:val="795C39"/>
          <w:sz w:val="32"/>
          <w:szCs w:val="32"/>
        </w:rPr>
        <w:t xml:space="preserve">to the second edition </w:t>
      </w:r>
      <w:r w:rsidRPr="00D16411">
        <w:rPr>
          <w:rFonts w:asciiTheme="minorHAnsi" w:hAnsiTheme="minorHAnsi"/>
          <w:b/>
          <w:color w:val="795C39"/>
          <w:sz w:val="32"/>
          <w:szCs w:val="32"/>
        </w:rPr>
        <w:t>by the CDPP</w:t>
      </w:r>
    </w:p>
    <w:p w14:paraId="6BA931E2" w14:textId="77777777" w:rsidR="00F55D74" w:rsidRDefault="00F55D74" w:rsidP="00F55D74">
      <w:pPr>
        <w:jc w:val="center"/>
        <w:rPr>
          <w:rFonts w:asciiTheme="minorHAnsi" w:hAnsiTheme="minorHAnsi"/>
          <w:b/>
          <w:color w:val="795C39"/>
          <w:sz w:val="36"/>
          <w:szCs w:val="36"/>
        </w:rPr>
      </w:pPr>
    </w:p>
    <w:p w14:paraId="54EB8FA8" w14:textId="77777777" w:rsidR="00F55D74" w:rsidRDefault="00F55D74" w:rsidP="00F55D74">
      <w:pPr>
        <w:pStyle w:val="Body"/>
        <w:jc w:val="both"/>
        <w:rPr>
          <w:rFonts w:ascii="Calibri" w:hAnsi="Calibri" w:cs="Calibri"/>
          <w:szCs w:val="22"/>
          <w:lang w:val="en-AU"/>
        </w:rPr>
      </w:pPr>
    </w:p>
    <w:p w14:paraId="6BF2F0E0" w14:textId="77777777" w:rsidR="00F55D74" w:rsidRDefault="00F55D74" w:rsidP="00F55D74">
      <w:pPr>
        <w:pStyle w:val="Body"/>
        <w:jc w:val="both"/>
        <w:rPr>
          <w:rFonts w:ascii="Calibri" w:hAnsi="Calibri" w:cs="Calibri"/>
          <w:szCs w:val="22"/>
          <w:lang w:val="en-AU"/>
        </w:rPr>
      </w:pPr>
    </w:p>
    <w:p w14:paraId="75E755F9" w14:textId="77777777" w:rsidR="00B17876" w:rsidRPr="00713A3E" w:rsidRDefault="00B17876" w:rsidP="00B17876">
      <w:pPr>
        <w:rPr>
          <w:rFonts w:asciiTheme="minorHAnsi" w:hAnsiTheme="minorHAnsi" w:cstheme="minorHAnsi"/>
        </w:rPr>
      </w:pPr>
      <w:r w:rsidRPr="00713A3E">
        <w:rPr>
          <w:rFonts w:asciiTheme="minorHAnsi" w:hAnsiTheme="minorHAnsi" w:cstheme="minorHAnsi"/>
        </w:rPr>
        <w:t xml:space="preserve">I am very pleased to introduce this second edition of the Federal Sentencing Guide. </w:t>
      </w:r>
    </w:p>
    <w:p w14:paraId="46DA2DFD" w14:textId="77777777" w:rsidR="00B17876" w:rsidRPr="00713A3E" w:rsidRDefault="00B17876" w:rsidP="00B17876">
      <w:pPr>
        <w:rPr>
          <w:rFonts w:asciiTheme="minorHAnsi" w:hAnsiTheme="minorHAnsi" w:cstheme="minorHAnsi"/>
        </w:rPr>
      </w:pPr>
    </w:p>
    <w:p w14:paraId="3B23188E" w14:textId="77777777" w:rsidR="00B17876" w:rsidRPr="00713A3E" w:rsidRDefault="00B17876" w:rsidP="00B17876">
      <w:pPr>
        <w:rPr>
          <w:rFonts w:asciiTheme="minorHAnsi" w:hAnsiTheme="minorHAnsi" w:cstheme="minorHAnsi"/>
        </w:rPr>
      </w:pPr>
      <w:r w:rsidRPr="00713A3E">
        <w:rPr>
          <w:rFonts w:asciiTheme="minorHAnsi" w:hAnsiTheme="minorHAnsi" w:cstheme="minorHAnsi"/>
        </w:rPr>
        <w:t>This second edition has both new and substantially revised sections, which I hope will provide assistance in understanding the complexities of federal sentencing laws.  We will continue to update the Guide on a regular basis so that it remains as current and relevant as we can make it.</w:t>
      </w:r>
    </w:p>
    <w:p w14:paraId="4C71CAAA" w14:textId="77777777" w:rsidR="00B17876" w:rsidRPr="00713A3E" w:rsidRDefault="00B17876" w:rsidP="00B17876">
      <w:pPr>
        <w:rPr>
          <w:rFonts w:asciiTheme="minorHAnsi" w:hAnsiTheme="minorHAnsi" w:cstheme="minorHAnsi"/>
        </w:rPr>
      </w:pPr>
    </w:p>
    <w:p w14:paraId="4478B5BF" w14:textId="77777777" w:rsidR="00B17876" w:rsidRPr="00713A3E" w:rsidRDefault="00B17876" w:rsidP="00B17876">
      <w:pPr>
        <w:rPr>
          <w:rFonts w:asciiTheme="minorHAnsi" w:hAnsiTheme="minorHAnsi" w:cstheme="minorHAnsi"/>
        </w:rPr>
      </w:pPr>
      <w:r w:rsidRPr="00713A3E">
        <w:rPr>
          <w:rFonts w:asciiTheme="minorHAnsi" w:hAnsiTheme="minorHAnsi" w:cstheme="minorHAnsi"/>
        </w:rPr>
        <w:t>Judging by the feedback received following publication of the first edition, I fully expect that this new edition will be a valuable resource for judges and practitioners alike.</w:t>
      </w:r>
    </w:p>
    <w:p w14:paraId="03E5A100" w14:textId="77777777" w:rsidR="00D16411" w:rsidRPr="00942EF5" w:rsidRDefault="00D16411" w:rsidP="00D16411">
      <w:pPr>
        <w:pStyle w:val="Body"/>
        <w:jc w:val="both"/>
        <w:rPr>
          <w:rFonts w:ascii="Calibri" w:hAnsi="Calibri" w:cs="Calibri"/>
          <w:szCs w:val="22"/>
          <w:lang w:val="en-AU"/>
        </w:rPr>
      </w:pPr>
    </w:p>
    <w:p w14:paraId="1B5E3C64" w14:textId="77777777" w:rsidR="00D16411" w:rsidRDefault="00D16411" w:rsidP="00D16411">
      <w:pPr>
        <w:rPr>
          <w:rFonts w:asciiTheme="minorHAnsi" w:hAnsiTheme="minorHAnsi"/>
          <w:b/>
          <w:color w:val="795C39"/>
          <w:szCs w:val="22"/>
        </w:rPr>
      </w:pPr>
    </w:p>
    <w:p w14:paraId="093F956F" w14:textId="77777777" w:rsidR="00D16411" w:rsidRDefault="00D16411" w:rsidP="00D16411">
      <w:pPr>
        <w:rPr>
          <w:rFonts w:asciiTheme="minorHAnsi" w:hAnsiTheme="minorHAnsi"/>
          <w:b/>
          <w:color w:val="795C39"/>
          <w:szCs w:val="22"/>
        </w:rPr>
      </w:pPr>
    </w:p>
    <w:p w14:paraId="67547347" w14:textId="77777777" w:rsidR="00D16411" w:rsidRDefault="00D16411" w:rsidP="00D16411">
      <w:pPr>
        <w:rPr>
          <w:rFonts w:asciiTheme="minorHAnsi" w:hAnsiTheme="minorHAnsi"/>
          <w:b/>
          <w:color w:val="795C39"/>
          <w:szCs w:val="22"/>
        </w:rPr>
      </w:pPr>
    </w:p>
    <w:p w14:paraId="2DD74E39" w14:textId="029437C4" w:rsidR="00D16411" w:rsidRPr="00D16411" w:rsidRDefault="00D16411" w:rsidP="00D16411">
      <w:pPr>
        <w:rPr>
          <w:rFonts w:asciiTheme="minorHAnsi" w:hAnsiTheme="minorHAnsi"/>
          <w:b/>
          <w:color w:val="795C39"/>
          <w:sz w:val="24"/>
          <w:szCs w:val="24"/>
        </w:rPr>
      </w:pPr>
      <w:r w:rsidRPr="00D16411">
        <w:rPr>
          <w:rFonts w:asciiTheme="minorHAnsi" w:hAnsiTheme="minorHAnsi"/>
          <w:b/>
          <w:color w:val="795C39"/>
          <w:sz w:val="24"/>
          <w:szCs w:val="24"/>
        </w:rPr>
        <w:t>Sarah McNaughton SC</w:t>
      </w:r>
    </w:p>
    <w:p w14:paraId="4D169094" w14:textId="77777777" w:rsidR="00536331" w:rsidRDefault="00D16411" w:rsidP="00D16411">
      <w:pPr>
        <w:rPr>
          <w:rFonts w:asciiTheme="minorHAnsi" w:hAnsiTheme="minorHAnsi"/>
          <w:b/>
          <w:color w:val="795C39"/>
          <w:sz w:val="36"/>
          <w:szCs w:val="36"/>
        </w:rPr>
        <w:sectPr w:rsidR="00536331" w:rsidSect="00F24F3F">
          <w:headerReference w:type="default" r:id="rId14"/>
          <w:headerReference w:type="first" r:id="rId15"/>
          <w:pgSz w:w="11907" w:h="16840"/>
          <w:pgMar w:top="680" w:right="1418" w:bottom="680" w:left="1418" w:header="1134" w:footer="851" w:gutter="0"/>
          <w:pgNumType w:fmt="lowerRoman"/>
          <w:cols w:space="720"/>
          <w:noEndnote/>
          <w:titlePg/>
          <w:docGrid w:linePitch="299"/>
        </w:sectPr>
      </w:pPr>
      <w:r w:rsidRPr="00D16411">
        <w:rPr>
          <w:rFonts w:asciiTheme="minorHAnsi" w:hAnsiTheme="minorHAnsi"/>
          <w:b/>
          <w:color w:val="795C39"/>
          <w:sz w:val="24"/>
          <w:szCs w:val="24"/>
        </w:rPr>
        <w:t>Commonwe</w:t>
      </w:r>
      <w:r>
        <w:rPr>
          <w:rFonts w:asciiTheme="minorHAnsi" w:hAnsiTheme="minorHAnsi"/>
          <w:b/>
          <w:color w:val="795C39"/>
          <w:sz w:val="24"/>
          <w:szCs w:val="24"/>
        </w:rPr>
        <w:t>a</w:t>
      </w:r>
      <w:r w:rsidRPr="00D16411">
        <w:rPr>
          <w:rFonts w:asciiTheme="minorHAnsi" w:hAnsiTheme="minorHAnsi"/>
          <w:b/>
          <w:color w:val="795C39"/>
          <w:sz w:val="24"/>
          <w:szCs w:val="24"/>
        </w:rPr>
        <w:t>lth Director of Public Prosecutions</w:t>
      </w:r>
      <w:r w:rsidR="00942EF5">
        <w:rPr>
          <w:rFonts w:asciiTheme="minorHAnsi" w:hAnsiTheme="minorHAnsi"/>
          <w:b/>
          <w:color w:val="795C39"/>
          <w:sz w:val="36"/>
          <w:szCs w:val="36"/>
        </w:rPr>
        <w:br w:type="page"/>
      </w:r>
    </w:p>
    <w:p w14:paraId="76DDA032" w14:textId="50E2CF25" w:rsidR="0053432F" w:rsidRPr="00C00000" w:rsidRDefault="000C62F0" w:rsidP="000C62F0">
      <w:pPr>
        <w:jc w:val="center"/>
        <w:rPr>
          <w:rFonts w:asciiTheme="minorHAnsi" w:hAnsiTheme="minorHAnsi"/>
          <w:b/>
          <w:color w:val="795C39"/>
          <w:sz w:val="36"/>
          <w:szCs w:val="36"/>
        </w:rPr>
      </w:pPr>
      <w:r w:rsidRPr="000C62F0">
        <w:rPr>
          <w:rFonts w:asciiTheme="minorHAnsi" w:hAnsiTheme="minorHAnsi"/>
          <w:b/>
          <w:color w:val="795C39"/>
          <w:sz w:val="36"/>
          <w:szCs w:val="36"/>
        </w:rPr>
        <w:lastRenderedPageBreak/>
        <w:t>SENTENCING OF FEDERAL OFFENDERS IN AUSTRALIA:</w:t>
      </w:r>
      <w:r>
        <w:rPr>
          <w:rFonts w:asciiTheme="minorHAnsi" w:hAnsiTheme="minorHAnsi"/>
          <w:b/>
          <w:color w:val="795C39"/>
          <w:sz w:val="36"/>
          <w:szCs w:val="36"/>
        </w:rPr>
        <w:br/>
      </w:r>
      <w:r w:rsidRPr="000C62F0">
        <w:rPr>
          <w:rFonts w:asciiTheme="minorHAnsi" w:hAnsiTheme="minorHAnsi"/>
          <w:b/>
          <w:color w:val="795C39"/>
          <w:sz w:val="36"/>
          <w:szCs w:val="36"/>
        </w:rPr>
        <w:t>A GUIDE FOR PRACTITIONERS</w:t>
      </w:r>
      <w:bookmarkEnd w:id="1"/>
    </w:p>
    <w:p w14:paraId="2F5793CE" w14:textId="77777777" w:rsidR="0053432F" w:rsidRPr="00C00000" w:rsidRDefault="0053432F" w:rsidP="0096118A">
      <w:pPr>
        <w:tabs>
          <w:tab w:val="left" w:pos="426"/>
          <w:tab w:val="left" w:pos="709"/>
          <w:tab w:val="left" w:pos="993"/>
          <w:tab w:val="left" w:pos="7939"/>
        </w:tabs>
        <w:ind w:left="153"/>
        <w:rPr>
          <w:rFonts w:asciiTheme="minorHAnsi" w:hAnsiTheme="minorHAnsi"/>
        </w:rPr>
      </w:pPr>
    </w:p>
    <w:p w14:paraId="4DCE0034" w14:textId="531C49E9" w:rsidR="0096118A" w:rsidRPr="004F2343" w:rsidRDefault="0096118A" w:rsidP="000C62F0">
      <w:pPr>
        <w:jc w:val="center"/>
        <w:rPr>
          <w:rFonts w:ascii="Calibri" w:hAnsi="Calibri"/>
          <w:b/>
        </w:rPr>
      </w:pPr>
      <w:bookmarkStart w:id="2" w:name="_Toc469663058"/>
      <w:r w:rsidRPr="004F2343">
        <w:rPr>
          <w:rFonts w:ascii="Calibri" w:hAnsi="Calibri"/>
          <w:b/>
        </w:rPr>
        <w:t>Table of Contents</w:t>
      </w:r>
      <w:bookmarkEnd w:id="2"/>
    </w:p>
    <w:p w14:paraId="72EAB7D5" w14:textId="77777777" w:rsidR="0053432F" w:rsidRPr="00C00000" w:rsidRDefault="0053432F" w:rsidP="008D16A6">
      <w:pPr>
        <w:rPr>
          <w:rFonts w:asciiTheme="minorHAnsi" w:hAnsiTheme="minorHAnsi"/>
        </w:rPr>
      </w:pPr>
      <w:r w:rsidRPr="00C00000">
        <w:rPr>
          <w:rFonts w:asciiTheme="minorHAnsi" w:hAnsiTheme="minorHAnsi"/>
        </w:rPr>
        <w:tab/>
      </w:r>
    </w:p>
    <w:sdt>
      <w:sdtPr>
        <w:rPr>
          <w:rFonts w:ascii="Arial" w:eastAsia="Times New Roman" w:hAnsi="Arial" w:cs="Times New Roman"/>
          <w:b w:val="0"/>
          <w:bCs/>
          <w:noProof w:val="0"/>
          <w:szCs w:val="20"/>
          <w:lang w:val="en-AU" w:eastAsia="en-US"/>
        </w:rPr>
        <w:id w:val="-633024822"/>
        <w:docPartObj>
          <w:docPartGallery w:val="Table of Contents"/>
          <w:docPartUnique/>
        </w:docPartObj>
      </w:sdtPr>
      <w:sdtEndPr>
        <w:rPr>
          <w:bCs w:val="0"/>
        </w:rPr>
      </w:sdtEndPr>
      <w:sdtContent>
        <w:p w14:paraId="239D5E02" w14:textId="4CEEC214" w:rsidR="00D44BCF" w:rsidRDefault="00BA2B0B">
          <w:pPr>
            <w:pStyle w:val="TOC1"/>
            <w:tabs>
              <w:tab w:val="left" w:pos="440"/>
            </w:tabs>
            <w:rPr>
              <w:b w:val="0"/>
              <w:lang w:val="en-AU" w:eastAsia="en-AU"/>
            </w:rPr>
          </w:pPr>
          <w:r w:rsidRPr="00F55D74">
            <w:rPr>
              <w:lang w:val="en-AU"/>
            </w:rPr>
            <w:fldChar w:fldCharType="begin"/>
          </w:r>
          <w:r w:rsidR="008E7ED2" w:rsidRPr="00F55D74">
            <w:rPr>
              <w:lang w:val="en-AU"/>
            </w:rPr>
            <w:instrText xml:space="preserve"> TOC \o "1-3" \h \z \u </w:instrText>
          </w:r>
          <w:r w:rsidRPr="00F55D74">
            <w:rPr>
              <w:lang w:val="en-AU"/>
            </w:rPr>
            <w:fldChar w:fldCharType="separate"/>
          </w:r>
          <w:hyperlink w:anchor="_Toc33602734" w:history="1">
            <w:r w:rsidR="00D44BCF" w:rsidRPr="007D3270">
              <w:rPr>
                <w:rStyle w:val="Hyperlink"/>
              </w:rPr>
              <w:t>1</w:t>
            </w:r>
            <w:r w:rsidR="00D44BCF">
              <w:rPr>
                <w:b w:val="0"/>
                <w:lang w:val="en-AU" w:eastAsia="en-AU"/>
              </w:rPr>
              <w:tab/>
            </w:r>
            <w:r w:rsidR="00D44BCF" w:rsidRPr="007D3270">
              <w:rPr>
                <w:rStyle w:val="Hyperlink"/>
              </w:rPr>
              <w:t>About this guide</w:t>
            </w:r>
            <w:r w:rsidR="00D44BCF">
              <w:rPr>
                <w:webHidden/>
              </w:rPr>
              <w:tab/>
            </w:r>
            <w:r w:rsidR="00D44BCF">
              <w:rPr>
                <w:webHidden/>
              </w:rPr>
              <w:fldChar w:fldCharType="begin"/>
            </w:r>
            <w:r w:rsidR="00D44BCF">
              <w:rPr>
                <w:webHidden/>
              </w:rPr>
              <w:instrText xml:space="preserve"> PAGEREF _Toc33602734 \h </w:instrText>
            </w:r>
            <w:r w:rsidR="00D44BCF">
              <w:rPr>
                <w:webHidden/>
              </w:rPr>
            </w:r>
            <w:r w:rsidR="00D44BCF">
              <w:rPr>
                <w:webHidden/>
              </w:rPr>
              <w:fldChar w:fldCharType="separate"/>
            </w:r>
            <w:r w:rsidR="00D44BCF">
              <w:rPr>
                <w:webHidden/>
              </w:rPr>
              <w:t>1</w:t>
            </w:r>
            <w:r w:rsidR="00D44BCF">
              <w:rPr>
                <w:webHidden/>
              </w:rPr>
              <w:fldChar w:fldCharType="end"/>
            </w:r>
          </w:hyperlink>
        </w:p>
        <w:p w14:paraId="672C2E25" w14:textId="7C7AC8A8" w:rsidR="00D44BCF" w:rsidRDefault="00F51B89">
          <w:pPr>
            <w:pStyle w:val="TOC2"/>
            <w:tabs>
              <w:tab w:val="left" w:pos="880"/>
              <w:tab w:val="right" w:leader="dot" w:pos="9061"/>
            </w:tabs>
            <w:rPr>
              <w:noProof/>
              <w:lang w:val="en-AU" w:eastAsia="en-AU"/>
            </w:rPr>
          </w:pPr>
          <w:hyperlink w:anchor="_Toc33602735" w:history="1">
            <w:r w:rsidR="00D44BCF" w:rsidRPr="007D3270">
              <w:rPr>
                <w:rStyle w:val="Hyperlink"/>
                <w:noProof/>
              </w:rPr>
              <w:t>1.1</w:t>
            </w:r>
            <w:r w:rsidR="00D44BCF">
              <w:rPr>
                <w:noProof/>
                <w:lang w:val="en-AU" w:eastAsia="en-AU"/>
              </w:rPr>
              <w:tab/>
            </w:r>
            <w:r w:rsidR="00D44BCF" w:rsidRPr="007D3270">
              <w:rPr>
                <w:rStyle w:val="Hyperlink"/>
                <w:noProof/>
              </w:rPr>
              <w:t>Scope of the guide</w:t>
            </w:r>
            <w:r w:rsidR="00D44BCF">
              <w:rPr>
                <w:noProof/>
                <w:webHidden/>
              </w:rPr>
              <w:tab/>
            </w:r>
            <w:r w:rsidR="00D44BCF">
              <w:rPr>
                <w:noProof/>
                <w:webHidden/>
              </w:rPr>
              <w:fldChar w:fldCharType="begin"/>
            </w:r>
            <w:r w:rsidR="00D44BCF">
              <w:rPr>
                <w:noProof/>
                <w:webHidden/>
              </w:rPr>
              <w:instrText xml:space="preserve"> PAGEREF _Toc33602735 \h </w:instrText>
            </w:r>
            <w:r w:rsidR="00D44BCF">
              <w:rPr>
                <w:noProof/>
                <w:webHidden/>
              </w:rPr>
            </w:r>
            <w:r w:rsidR="00D44BCF">
              <w:rPr>
                <w:noProof/>
                <w:webHidden/>
              </w:rPr>
              <w:fldChar w:fldCharType="separate"/>
            </w:r>
            <w:r w:rsidR="00D44BCF">
              <w:rPr>
                <w:noProof/>
                <w:webHidden/>
              </w:rPr>
              <w:t>1</w:t>
            </w:r>
            <w:r w:rsidR="00D44BCF">
              <w:rPr>
                <w:noProof/>
                <w:webHidden/>
              </w:rPr>
              <w:fldChar w:fldCharType="end"/>
            </w:r>
          </w:hyperlink>
        </w:p>
        <w:p w14:paraId="24F31CDB" w14:textId="7BC869F8" w:rsidR="00D44BCF" w:rsidRDefault="00F51B89">
          <w:pPr>
            <w:pStyle w:val="TOC2"/>
            <w:tabs>
              <w:tab w:val="left" w:pos="880"/>
              <w:tab w:val="right" w:leader="dot" w:pos="9061"/>
            </w:tabs>
            <w:rPr>
              <w:noProof/>
              <w:lang w:val="en-AU" w:eastAsia="en-AU"/>
            </w:rPr>
          </w:pPr>
          <w:hyperlink w:anchor="_Toc33602736" w:history="1">
            <w:r w:rsidR="00D44BCF" w:rsidRPr="007D3270">
              <w:rPr>
                <w:rStyle w:val="Hyperlink"/>
                <w:noProof/>
              </w:rPr>
              <w:t>1.2</w:t>
            </w:r>
            <w:r w:rsidR="00D44BCF">
              <w:rPr>
                <w:noProof/>
                <w:lang w:val="en-AU" w:eastAsia="en-AU"/>
              </w:rPr>
              <w:tab/>
            </w:r>
            <w:r w:rsidR="00D44BCF" w:rsidRPr="007D3270">
              <w:rPr>
                <w:rStyle w:val="Hyperlink"/>
                <w:noProof/>
              </w:rPr>
              <w:t>Other resources</w:t>
            </w:r>
            <w:r w:rsidR="00D44BCF">
              <w:rPr>
                <w:noProof/>
                <w:webHidden/>
              </w:rPr>
              <w:tab/>
            </w:r>
            <w:r w:rsidR="00D44BCF">
              <w:rPr>
                <w:noProof/>
                <w:webHidden/>
              </w:rPr>
              <w:fldChar w:fldCharType="begin"/>
            </w:r>
            <w:r w:rsidR="00D44BCF">
              <w:rPr>
                <w:noProof/>
                <w:webHidden/>
              </w:rPr>
              <w:instrText xml:space="preserve"> PAGEREF _Toc33602736 \h </w:instrText>
            </w:r>
            <w:r w:rsidR="00D44BCF">
              <w:rPr>
                <w:noProof/>
                <w:webHidden/>
              </w:rPr>
            </w:r>
            <w:r w:rsidR="00D44BCF">
              <w:rPr>
                <w:noProof/>
                <w:webHidden/>
              </w:rPr>
              <w:fldChar w:fldCharType="separate"/>
            </w:r>
            <w:r w:rsidR="00D44BCF">
              <w:rPr>
                <w:noProof/>
                <w:webHidden/>
              </w:rPr>
              <w:t>2</w:t>
            </w:r>
            <w:r w:rsidR="00D44BCF">
              <w:rPr>
                <w:noProof/>
                <w:webHidden/>
              </w:rPr>
              <w:fldChar w:fldCharType="end"/>
            </w:r>
          </w:hyperlink>
        </w:p>
        <w:p w14:paraId="1DA6C81D" w14:textId="6E54DF7F" w:rsidR="00D44BCF" w:rsidRDefault="00F51B89">
          <w:pPr>
            <w:pStyle w:val="TOC2"/>
            <w:tabs>
              <w:tab w:val="left" w:pos="880"/>
              <w:tab w:val="right" w:leader="dot" w:pos="9061"/>
            </w:tabs>
            <w:rPr>
              <w:noProof/>
              <w:lang w:val="en-AU" w:eastAsia="en-AU"/>
            </w:rPr>
          </w:pPr>
          <w:hyperlink w:anchor="_Toc33602737" w:history="1">
            <w:r w:rsidR="00D44BCF" w:rsidRPr="007D3270">
              <w:rPr>
                <w:rStyle w:val="Hyperlink"/>
                <w:noProof/>
              </w:rPr>
              <w:t>1.3</w:t>
            </w:r>
            <w:r w:rsidR="00D44BCF">
              <w:rPr>
                <w:noProof/>
                <w:lang w:val="en-AU" w:eastAsia="en-AU"/>
              </w:rPr>
              <w:tab/>
            </w:r>
            <w:r w:rsidR="00D44BCF" w:rsidRPr="007D3270">
              <w:rPr>
                <w:rStyle w:val="Hyperlink"/>
                <w:noProof/>
              </w:rPr>
              <w:t>Case citations</w:t>
            </w:r>
            <w:r w:rsidR="00D44BCF">
              <w:rPr>
                <w:noProof/>
                <w:webHidden/>
              </w:rPr>
              <w:tab/>
            </w:r>
            <w:r w:rsidR="00D44BCF">
              <w:rPr>
                <w:noProof/>
                <w:webHidden/>
              </w:rPr>
              <w:fldChar w:fldCharType="begin"/>
            </w:r>
            <w:r w:rsidR="00D44BCF">
              <w:rPr>
                <w:noProof/>
                <w:webHidden/>
              </w:rPr>
              <w:instrText xml:space="preserve"> PAGEREF _Toc33602737 \h </w:instrText>
            </w:r>
            <w:r w:rsidR="00D44BCF">
              <w:rPr>
                <w:noProof/>
                <w:webHidden/>
              </w:rPr>
            </w:r>
            <w:r w:rsidR="00D44BCF">
              <w:rPr>
                <w:noProof/>
                <w:webHidden/>
              </w:rPr>
              <w:fldChar w:fldCharType="separate"/>
            </w:r>
            <w:r w:rsidR="00D44BCF">
              <w:rPr>
                <w:noProof/>
                <w:webHidden/>
              </w:rPr>
              <w:t>2</w:t>
            </w:r>
            <w:r w:rsidR="00D44BCF">
              <w:rPr>
                <w:noProof/>
                <w:webHidden/>
              </w:rPr>
              <w:fldChar w:fldCharType="end"/>
            </w:r>
          </w:hyperlink>
        </w:p>
        <w:p w14:paraId="2257D01C" w14:textId="28977304" w:rsidR="00D44BCF" w:rsidRDefault="00F51B89">
          <w:pPr>
            <w:pStyle w:val="TOC2"/>
            <w:tabs>
              <w:tab w:val="left" w:pos="880"/>
              <w:tab w:val="right" w:leader="dot" w:pos="9061"/>
            </w:tabs>
            <w:rPr>
              <w:noProof/>
              <w:lang w:val="en-AU" w:eastAsia="en-AU"/>
            </w:rPr>
          </w:pPr>
          <w:hyperlink w:anchor="_Toc33602738" w:history="1">
            <w:r w:rsidR="00D44BCF" w:rsidRPr="007D3270">
              <w:rPr>
                <w:rStyle w:val="Hyperlink"/>
                <w:noProof/>
              </w:rPr>
              <w:t>1.4</w:t>
            </w:r>
            <w:r w:rsidR="00D44BCF">
              <w:rPr>
                <w:noProof/>
                <w:lang w:val="en-AU" w:eastAsia="en-AU"/>
              </w:rPr>
              <w:tab/>
            </w:r>
            <w:r w:rsidR="00D44BCF" w:rsidRPr="007D3270">
              <w:rPr>
                <w:rStyle w:val="Hyperlink"/>
                <w:noProof/>
              </w:rPr>
              <w:t>What’s new</w:t>
            </w:r>
            <w:r w:rsidR="00D44BCF">
              <w:rPr>
                <w:noProof/>
                <w:webHidden/>
              </w:rPr>
              <w:tab/>
            </w:r>
            <w:r w:rsidR="00D44BCF">
              <w:rPr>
                <w:noProof/>
                <w:webHidden/>
              </w:rPr>
              <w:fldChar w:fldCharType="begin"/>
            </w:r>
            <w:r w:rsidR="00D44BCF">
              <w:rPr>
                <w:noProof/>
                <w:webHidden/>
              </w:rPr>
              <w:instrText xml:space="preserve"> PAGEREF _Toc33602738 \h </w:instrText>
            </w:r>
            <w:r w:rsidR="00D44BCF">
              <w:rPr>
                <w:noProof/>
                <w:webHidden/>
              </w:rPr>
            </w:r>
            <w:r w:rsidR="00D44BCF">
              <w:rPr>
                <w:noProof/>
                <w:webHidden/>
              </w:rPr>
              <w:fldChar w:fldCharType="separate"/>
            </w:r>
            <w:r w:rsidR="00D44BCF">
              <w:rPr>
                <w:noProof/>
                <w:webHidden/>
              </w:rPr>
              <w:t>2</w:t>
            </w:r>
            <w:r w:rsidR="00D44BCF">
              <w:rPr>
                <w:noProof/>
                <w:webHidden/>
              </w:rPr>
              <w:fldChar w:fldCharType="end"/>
            </w:r>
          </w:hyperlink>
        </w:p>
        <w:p w14:paraId="1DD79844" w14:textId="6F13B137" w:rsidR="00D44BCF" w:rsidRDefault="00F51B89">
          <w:pPr>
            <w:pStyle w:val="TOC2"/>
            <w:tabs>
              <w:tab w:val="left" w:pos="880"/>
              <w:tab w:val="right" w:leader="dot" w:pos="9061"/>
            </w:tabs>
            <w:rPr>
              <w:noProof/>
              <w:lang w:val="en-AU" w:eastAsia="en-AU"/>
            </w:rPr>
          </w:pPr>
          <w:hyperlink w:anchor="_Toc33602739" w:history="1">
            <w:r w:rsidR="00D44BCF" w:rsidRPr="007D3270">
              <w:rPr>
                <w:rStyle w:val="Hyperlink"/>
                <w:noProof/>
              </w:rPr>
              <w:t>1.5</w:t>
            </w:r>
            <w:r w:rsidR="00D44BCF">
              <w:rPr>
                <w:noProof/>
                <w:lang w:val="en-AU" w:eastAsia="en-AU"/>
              </w:rPr>
              <w:tab/>
            </w:r>
            <w:r w:rsidR="00D44BCF" w:rsidRPr="007D3270">
              <w:rPr>
                <w:rStyle w:val="Hyperlink"/>
                <w:noProof/>
              </w:rPr>
              <w:t>Currency</w:t>
            </w:r>
            <w:r w:rsidR="00D44BCF">
              <w:rPr>
                <w:noProof/>
                <w:webHidden/>
              </w:rPr>
              <w:tab/>
            </w:r>
            <w:r w:rsidR="00D44BCF">
              <w:rPr>
                <w:noProof/>
                <w:webHidden/>
              </w:rPr>
              <w:fldChar w:fldCharType="begin"/>
            </w:r>
            <w:r w:rsidR="00D44BCF">
              <w:rPr>
                <w:noProof/>
                <w:webHidden/>
              </w:rPr>
              <w:instrText xml:space="preserve"> PAGEREF _Toc33602739 \h </w:instrText>
            </w:r>
            <w:r w:rsidR="00D44BCF">
              <w:rPr>
                <w:noProof/>
                <w:webHidden/>
              </w:rPr>
            </w:r>
            <w:r w:rsidR="00D44BCF">
              <w:rPr>
                <w:noProof/>
                <w:webHidden/>
              </w:rPr>
              <w:fldChar w:fldCharType="separate"/>
            </w:r>
            <w:r w:rsidR="00D44BCF">
              <w:rPr>
                <w:noProof/>
                <w:webHidden/>
              </w:rPr>
              <w:t>3</w:t>
            </w:r>
            <w:r w:rsidR="00D44BCF">
              <w:rPr>
                <w:noProof/>
                <w:webHidden/>
              </w:rPr>
              <w:fldChar w:fldCharType="end"/>
            </w:r>
          </w:hyperlink>
        </w:p>
        <w:p w14:paraId="72F9373A" w14:textId="7D469CE1" w:rsidR="00D44BCF" w:rsidRDefault="00F51B89">
          <w:pPr>
            <w:pStyle w:val="TOC1"/>
            <w:tabs>
              <w:tab w:val="left" w:pos="440"/>
            </w:tabs>
            <w:rPr>
              <w:b w:val="0"/>
              <w:lang w:val="en-AU" w:eastAsia="en-AU"/>
            </w:rPr>
          </w:pPr>
          <w:hyperlink w:anchor="_Toc33602740" w:history="1">
            <w:r w:rsidR="00D44BCF" w:rsidRPr="007D3270">
              <w:rPr>
                <w:rStyle w:val="Hyperlink"/>
              </w:rPr>
              <w:t>2</w:t>
            </w:r>
            <w:r w:rsidR="00D44BCF">
              <w:rPr>
                <w:b w:val="0"/>
                <w:lang w:val="en-AU" w:eastAsia="en-AU"/>
              </w:rPr>
              <w:tab/>
            </w:r>
            <w:r w:rsidR="00D44BCF" w:rsidRPr="007D3270">
              <w:rPr>
                <w:rStyle w:val="Hyperlink"/>
              </w:rPr>
              <w:t>Federal sentencing scheme – an outline</w:t>
            </w:r>
            <w:r w:rsidR="00D44BCF">
              <w:rPr>
                <w:webHidden/>
              </w:rPr>
              <w:tab/>
            </w:r>
            <w:r w:rsidR="00D44BCF">
              <w:rPr>
                <w:webHidden/>
              </w:rPr>
              <w:fldChar w:fldCharType="begin"/>
            </w:r>
            <w:r w:rsidR="00D44BCF">
              <w:rPr>
                <w:webHidden/>
              </w:rPr>
              <w:instrText xml:space="preserve"> PAGEREF _Toc33602740 \h </w:instrText>
            </w:r>
            <w:r w:rsidR="00D44BCF">
              <w:rPr>
                <w:webHidden/>
              </w:rPr>
            </w:r>
            <w:r w:rsidR="00D44BCF">
              <w:rPr>
                <w:webHidden/>
              </w:rPr>
              <w:fldChar w:fldCharType="separate"/>
            </w:r>
            <w:r w:rsidR="00D44BCF">
              <w:rPr>
                <w:webHidden/>
              </w:rPr>
              <w:t>4</w:t>
            </w:r>
            <w:r w:rsidR="00D44BCF">
              <w:rPr>
                <w:webHidden/>
              </w:rPr>
              <w:fldChar w:fldCharType="end"/>
            </w:r>
          </w:hyperlink>
        </w:p>
        <w:p w14:paraId="5DC893B2" w14:textId="3CCB153A" w:rsidR="00D44BCF" w:rsidRDefault="00F51B89">
          <w:pPr>
            <w:pStyle w:val="TOC2"/>
            <w:tabs>
              <w:tab w:val="left" w:pos="880"/>
              <w:tab w:val="right" w:leader="dot" w:pos="9061"/>
            </w:tabs>
            <w:rPr>
              <w:noProof/>
              <w:lang w:val="en-AU" w:eastAsia="en-AU"/>
            </w:rPr>
          </w:pPr>
          <w:hyperlink w:anchor="_Toc33602741" w:history="1">
            <w:r w:rsidR="00D44BCF" w:rsidRPr="007D3270">
              <w:rPr>
                <w:rStyle w:val="Hyperlink"/>
                <w:noProof/>
              </w:rPr>
              <w:t>2.1</w:t>
            </w:r>
            <w:r w:rsidR="00D44BCF">
              <w:rPr>
                <w:noProof/>
                <w:lang w:val="en-AU" w:eastAsia="en-AU"/>
              </w:rPr>
              <w:tab/>
            </w:r>
            <w:r w:rsidR="00D44BCF" w:rsidRPr="007D3270">
              <w:rPr>
                <w:rStyle w:val="Hyperlink"/>
                <w:noProof/>
              </w:rPr>
              <w:t>The Constitutional basis of Commonwealth sentencing</w:t>
            </w:r>
            <w:r w:rsidR="00D44BCF">
              <w:rPr>
                <w:noProof/>
                <w:webHidden/>
              </w:rPr>
              <w:tab/>
            </w:r>
            <w:r w:rsidR="00D44BCF">
              <w:rPr>
                <w:noProof/>
                <w:webHidden/>
              </w:rPr>
              <w:fldChar w:fldCharType="begin"/>
            </w:r>
            <w:r w:rsidR="00D44BCF">
              <w:rPr>
                <w:noProof/>
                <w:webHidden/>
              </w:rPr>
              <w:instrText xml:space="preserve"> PAGEREF _Toc33602741 \h </w:instrText>
            </w:r>
            <w:r w:rsidR="00D44BCF">
              <w:rPr>
                <w:noProof/>
                <w:webHidden/>
              </w:rPr>
            </w:r>
            <w:r w:rsidR="00D44BCF">
              <w:rPr>
                <w:noProof/>
                <w:webHidden/>
              </w:rPr>
              <w:fldChar w:fldCharType="separate"/>
            </w:r>
            <w:r w:rsidR="00D44BCF">
              <w:rPr>
                <w:noProof/>
                <w:webHidden/>
              </w:rPr>
              <w:t>4</w:t>
            </w:r>
            <w:r w:rsidR="00D44BCF">
              <w:rPr>
                <w:noProof/>
                <w:webHidden/>
              </w:rPr>
              <w:fldChar w:fldCharType="end"/>
            </w:r>
          </w:hyperlink>
        </w:p>
        <w:p w14:paraId="72D6F598" w14:textId="285C6951" w:rsidR="00D44BCF" w:rsidRDefault="00F51B89">
          <w:pPr>
            <w:pStyle w:val="TOC3"/>
            <w:tabs>
              <w:tab w:val="left" w:pos="1320"/>
            </w:tabs>
            <w:rPr>
              <w:noProof/>
              <w:lang w:val="en-AU" w:eastAsia="en-AU"/>
            </w:rPr>
          </w:pPr>
          <w:hyperlink w:anchor="_Toc33602742" w:history="1">
            <w:r w:rsidR="00D44BCF" w:rsidRPr="007D3270">
              <w:rPr>
                <w:rStyle w:val="Hyperlink"/>
                <w:noProof/>
              </w:rPr>
              <w:t>2.1.1</w:t>
            </w:r>
            <w:r w:rsidR="00D44BCF">
              <w:rPr>
                <w:noProof/>
                <w:lang w:val="en-AU" w:eastAsia="en-AU"/>
              </w:rPr>
              <w:tab/>
            </w:r>
            <w:r w:rsidR="00D44BCF" w:rsidRPr="007D3270">
              <w:rPr>
                <w:rStyle w:val="Hyperlink"/>
                <w:noProof/>
              </w:rPr>
              <w:t>Commonwealth offences under the Constitution</w:t>
            </w:r>
            <w:r w:rsidR="00D44BCF">
              <w:rPr>
                <w:noProof/>
                <w:webHidden/>
              </w:rPr>
              <w:tab/>
            </w:r>
            <w:r w:rsidR="00D44BCF">
              <w:rPr>
                <w:noProof/>
                <w:webHidden/>
              </w:rPr>
              <w:fldChar w:fldCharType="begin"/>
            </w:r>
            <w:r w:rsidR="00D44BCF">
              <w:rPr>
                <w:noProof/>
                <w:webHidden/>
              </w:rPr>
              <w:instrText xml:space="preserve"> PAGEREF _Toc33602742 \h </w:instrText>
            </w:r>
            <w:r w:rsidR="00D44BCF">
              <w:rPr>
                <w:noProof/>
                <w:webHidden/>
              </w:rPr>
            </w:r>
            <w:r w:rsidR="00D44BCF">
              <w:rPr>
                <w:noProof/>
                <w:webHidden/>
              </w:rPr>
              <w:fldChar w:fldCharType="separate"/>
            </w:r>
            <w:r w:rsidR="00D44BCF">
              <w:rPr>
                <w:noProof/>
                <w:webHidden/>
              </w:rPr>
              <w:t>4</w:t>
            </w:r>
            <w:r w:rsidR="00D44BCF">
              <w:rPr>
                <w:noProof/>
                <w:webHidden/>
              </w:rPr>
              <w:fldChar w:fldCharType="end"/>
            </w:r>
          </w:hyperlink>
        </w:p>
        <w:p w14:paraId="3B98B192" w14:textId="2E4D7F7B" w:rsidR="00D44BCF" w:rsidRDefault="00F51B89">
          <w:pPr>
            <w:pStyle w:val="TOC3"/>
            <w:tabs>
              <w:tab w:val="left" w:pos="1320"/>
            </w:tabs>
            <w:rPr>
              <w:noProof/>
              <w:lang w:val="en-AU" w:eastAsia="en-AU"/>
            </w:rPr>
          </w:pPr>
          <w:hyperlink w:anchor="_Toc33602743" w:history="1">
            <w:r w:rsidR="00D44BCF" w:rsidRPr="007D3270">
              <w:rPr>
                <w:rStyle w:val="Hyperlink"/>
                <w:noProof/>
              </w:rPr>
              <w:t>2.1.2</w:t>
            </w:r>
            <w:r w:rsidR="00D44BCF">
              <w:rPr>
                <w:noProof/>
                <w:lang w:val="en-AU" w:eastAsia="en-AU"/>
              </w:rPr>
              <w:tab/>
            </w:r>
            <w:r w:rsidR="00D44BCF" w:rsidRPr="007D3270">
              <w:rPr>
                <w:rStyle w:val="Hyperlink"/>
                <w:noProof/>
              </w:rPr>
              <w:t>Constitutional power to define or invest federal jurisdiction</w:t>
            </w:r>
            <w:r w:rsidR="00D44BCF">
              <w:rPr>
                <w:noProof/>
                <w:webHidden/>
              </w:rPr>
              <w:tab/>
            </w:r>
            <w:r w:rsidR="00D44BCF">
              <w:rPr>
                <w:noProof/>
                <w:webHidden/>
              </w:rPr>
              <w:fldChar w:fldCharType="begin"/>
            </w:r>
            <w:r w:rsidR="00D44BCF">
              <w:rPr>
                <w:noProof/>
                <w:webHidden/>
              </w:rPr>
              <w:instrText xml:space="preserve"> PAGEREF _Toc33602743 \h </w:instrText>
            </w:r>
            <w:r w:rsidR="00D44BCF">
              <w:rPr>
                <w:noProof/>
                <w:webHidden/>
              </w:rPr>
            </w:r>
            <w:r w:rsidR="00D44BCF">
              <w:rPr>
                <w:noProof/>
                <w:webHidden/>
              </w:rPr>
              <w:fldChar w:fldCharType="separate"/>
            </w:r>
            <w:r w:rsidR="00D44BCF">
              <w:rPr>
                <w:noProof/>
                <w:webHidden/>
              </w:rPr>
              <w:t>4</w:t>
            </w:r>
            <w:r w:rsidR="00D44BCF">
              <w:rPr>
                <w:noProof/>
                <w:webHidden/>
              </w:rPr>
              <w:fldChar w:fldCharType="end"/>
            </w:r>
          </w:hyperlink>
        </w:p>
        <w:p w14:paraId="6BE0F080" w14:textId="7A2482FF" w:rsidR="00D44BCF" w:rsidRDefault="00F51B89">
          <w:pPr>
            <w:pStyle w:val="TOC2"/>
            <w:tabs>
              <w:tab w:val="left" w:pos="880"/>
              <w:tab w:val="right" w:leader="dot" w:pos="9061"/>
            </w:tabs>
            <w:rPr>
              <w:noProof/>
              <w:lang w:val="en-AU" w:eastAsia="en-AU"/>
            </w:rPr>
          </w:pPr>
          <w:hyperlink w:anchor="_Toc33602744" w:history="1">
            <w:r w:rsidR="00D44BCF" w:rsidRPr="007D3270">
              <w:rPr>
                <w:rStyle w:val="Hyperlink"/>
                <w:noProof/>
              </w:rPr>
              <w:t>2.2</w:t>
            </w:r>
            <w:r w:rsidR="00D44BCF">
              <w:rPr>
                <w:noProof/>
                <w:lang w:val="en-AU" w:eastAsia="en-AU"/>
              </w:rPr>
              <w:tab/>
            </w:r>
            <w:r w:rsidR="00D44BCF" w:rsidRPr="007D3270">
              <w:rPr>
                <w:rStyle w:val="Hyperlink"/>
                <w:noProof/>
              </w:rPr>
              <w:t>Federal jurisdiction and the sentencing of federal offenders</w:t>
            </w:r>
            <w:r w:rsidR="00D44BCF">
              <w:rPr>
                <w:noProof/>
                <w:webHidden/>
              </w:rPr>
              <w:tab/>
            </w:r>
            <w:r w:rsidR="00D44BCF">
              <w:rPr>
                <w:noProof/>
                <w:webHidden/>
              </w:rPr>
              <w:fldChar w:fldCharType="begin"/>
            </w:r>
            <w:r w:rsidR="00D44BCF">
              <w:rPr>
                <w:noProof/>
                <w:webHidden/>
              </w:rPr>
              <w:instrText xml:space="preserve"> PAGEREF _Toc33602744 \h </w:instrText>
            </w:r>
            <w:r w:rsidR="00D44BCF">
              <w:rPr>
                <w:noProof/>
                <w:webHidden/>
              </w:rPr>
            </w:r>
            <w:r w:rsidR="00D44BCF">
              <w:rPr>
                <w:noProof/>
                <w:webHidden/>
              </w:rPr>
              <w:fldChar w:fldCharType="separate"/>
            </w:r>
            <w:r w:rsidR="00D44BCF">
              <w:rPr>
                <w:noProof/>
                <w:webHidden/>
              </w:rPr>
              <w:t>6</w:t>
            </w:r>
            <w:r w:rsidR="00D44BCF">
              <w:rPr>
                <w:noProof/>
                <w:webHidden/>
              </w:rPr>
              <w:fldChar w:fldCharType="end"/>
            </w:r>
          </w:hyperlink>
        </w:p>
        <w:p w14:paraId="2F773CC3" w14:textId="15CF9FAA" w:rsidR="00D44BCF" w:rsidRDefault="00F51B89">
          <w:pPr>
            <w:pStyle w:val="TOC2"/>
            <w:tabs>
              <w:tab w:val="left" w:pos="880"/>
              <w:tab w:val="right" w:leader="dot" w:pos="9061"/>
            </w:tabs>
            <w:rPr>
              <w:noProof/>
              <w:lang w:val="en-AU" w:eastAsia="en-AU"/>
            </w:rPr>
          </w:pPr>
          <w:hyperlink w:anchor="_Toc33602745" w:history="1">
            <w:r w:rsidR="00D44BCF" w:rsidRPr="007D3270">
              <w:rPr>
                <w:rStyle w:val="Hyperlink"/>
                <w:noProof/>
              </w:rPr>
              <w:t>2.3</w:t>
            </w:r>
            <w:r w:rsidR="00D44BCF">
              <w:rPr>
                <w:noProof/>
                <w:lang w:val="en-AU" w:eastAsia="en-AU"/>
              </w:rPr>
              <w:tab/>
            </w:r>
            <w:r w:rsidR="00D44BCF" w:rsidRPr="007D3270">
              <w:rPr>
                <w:rStyle w:val="Hyperlink"/>
                <w:noProof/>
              </w:rPr>
              <w:t>The development of Commonwealth sentencing law</w:t>
            </w:r>
            <w:r w:rsidR="00D44BCF">
              <w:rPr>
                <w:noProof/>
                <w:webHidden/>
              </w:rPr>
              <w:tab/>
            </w:r>
            <w:r w:rsidR="00D44BCF">
              <w:rPr>
                <w:noProof/>
                <w:webHidden/>
              </w:rPr>
              <w:fldChar w:fldCharType="begin"/>
            </w:r>
            <w:r w:rsidR="00D44BCF">
              <w:rPr>
                <w:noProof/>
                <w:webHidden/>
              </w:rPr>
              <w:instrText xml:space="preserve"> PAGEREF _Toc33602745 \h </w:instrText>
            </w:r>
            <w:r w:rsidR="00D44BCF">
              <w:rPr>
                <w:noProof/>
                <w:webHidden/>
              </w:rPr>
            </w:r>
            <w:r w:rsidR="00D44BCF">
              <w:rPr>
                <w:noProof/>
                <w:webHidden/>
              </w:rPr>
              <w:fldChar w:fldCharType="separate"/>
            </w:r>
            <w:r w:rsidR="00D44BCF">
              <w:rPr>
                <w:noProof/>
                <w:webHidden/>
              </w:rPr>
              <w:t>7</w:t>
            </w:r>
            <w:r w:rsidR="00D44BCF">
              <w:rPr>
                <w:noProof/>
                <w:webHidden/>
              </w:rPr>
              <w:fldChar w:fldCharType="end"/>
            </w:r>
          </w:hyperlink>
        </w:p>
        <w:p w14:paraId="0C62CBCD" w14:textId="16D5154F" w:rsidR="00D44BCF" w:rsidRDefault="00F51B89">
          <w:pPr>
            <w:pStyle w:val="TOC2"/>
            <w:tabs>
              <w:tab w:val="left" w:pos="880"/>
              <w:tab w:val="right" w:leader="dot" w:pos="9061"/>
            </w:tabs>
            <w:rPr>
              <w:noProof/>
              <w:lang w:val="en-AU" w:eastAsia="en-AU"/>
            </w:rPr>
          </w:pPr>
          <w:hyperlink w:anchor="_Toc33602746" w:history="1">
            <w:r w:rsidR="00D44BCF" w:rsidRPr="007D3270">
              <w:rPr>
                <w:rStyle w:val="Hyperlink"/>
                <w:noProof/>
              </w:rPr>
              <w:t>2.4</w:t>
            </w:r>
            <w:r w:rsidR="00D44BCF">
              <w:rPr>
                <w:noProof/>
                <w:lang w:val="en-AU" w:eastAsia="en-AU"/>
              </w:rPr>
              <w:tab/>
            </w:r>
            <w:r w:rsidR="00D44BCF" w:rsidRPr="007D3270">
              <w:rPr>
                <w:rStyle w:val="Hyperlink"/>
                <w:noProof/>
              </w:rPr>
              <w:t>The major Commonwealth provisions relating to sentencing of federal offenders</w:t>
            </w:r>
            <w:r w:rsidR="00D44BCF">
              <w:rPr>
                <w:noProof/>
                <w:webHidden/>
              </w:rPr>
              <w:tab/>
            </w:r>
            <w:r w:rsidR="00D44BCF">
              <w:rPr>
                <w:noProof/>
                <w:webHidden/>
              </w:rPr>
              <w:fldChar w:fldCharType="begin"/>
            </w:r>
            <w:r w:rsidR="00D44BCF">
              <w:rPr>
                <w:noProof/>
                <w:webHidden/>
              </w:rPr>
              <w:instrText xml:space="preserve"> PAGEREF _Toc33602746 \h </w:instrText>
            </w:r>
            <w:r w:rsidR="00D44BCF">
              <w:rPr>
                <w:noProof/>
                <w:webHidden/>
              </w:rPr>
            </w:r>
            <w:r w:rsidR="00D44BCF">
              <w:rPr>
                <w:noProof/>
                <w:webHidden/>
              </w:rPr>
              <w:fldChar w:fldCharType="separate"/>
            </w:r>
            <w:r w:rsidR="00D44BCF">
              <w:rPr>
                <w:noProof/>
                <w:webHidden/>
              </w:rPr>
              <w:t>9</w:t>
            </w:r>
            <w:r w:rsidR="00D44BCF">
              <w:rPr>
                <w:noProof/>
                <w:webHidden/>
              </w:rPr>
              <w:fldChar w:fldCharType="end"/>
            </w:r>
          </w:hyperlink>
        </w:p>
        <w:p w14:paraId="45312B79" w14:textId="31FC4789" w:rsidR="00D44BCF" w:rsidRDefault="00F51B89">
          <w:pPr>
            <w:pStyle w:val="TOC2"/>
            <w:tabs>
              <w:tab w:val="left" w:pos="880"/>
              <w:tab w:val="right" w:leader="dot" w:pos="9061"/>
            </w:tabs>
            <w:rPr>
              <w:noProof/>
              <w:lang w:val="en-AU" w:eastAsia="en-AU"/>
            </w:rPr>
          </w:pPr>
          <w:hyperlink w:anchor="_Toc33602747" w:history="1">
            <w:r w:rsidR="00D44BCF" w:rsidRPr="007D3270">
              <w:rPr>
                <w:rStyle w:val="Hyperlink"/>
                <w:noProof/>
              </w:rPr>
              <w:t>2.5</w:t>
            </w:r>
            <w:r w:rsidR="00D44BCF">
              <w:rPr>
                <w:noProof/>
                <w:lang w:val="en-AU" w:eastAsia="en-AU"/>
              </w:rPr>
              <w:tab/>
            </w:r>
            <w:r w:rsidR="00D44BCF" w:rsidRPr="007D3270">
              <w:rPr>
                <w:rStyle w:val="Hyperlink"/>
                <w:noProof/>
              </w:rPr>
              <w:t>Applicability of the common law</w:t>
            </w:r>
            <w:r w:rsidR="00D44BCF">
              <w:rPr>
                <w:noProof/>
                <w:webHidden/>
              </w:rPr>
              <w:tab/>
            </w:r>
            <w:r w:rsidR="00D44BCF">
              <w:rPr>
                <w:noProof/>
                <w:webHidden/>
              </w:rPr>
              <w:fldChar w:fldCharType="begin"/>
            </w:r>
            <w:r w:rsidR="00D44BCF">
              <w:rPr>
                <w:noProof/>
                <w:webHidden/>
              </w:rPr>
              <w:instrText xml:space="preserve"> PAGEREF _Toc33602747 \h </w:instrText>
            </w:r>
            <w:r w:rsidR="00D44BCF">
              <w:rPr>
                <w:noProof/>
                <w:webHidden/>
              </w:rPr>
            </w:r>
            <w:r w:rsidR="00D44BCF">
              <w:rPr>
                <w:noProof/>
                <w:webHidden/>
              </w:rPr>
              <w:fldChar w:fldCharType="separate"/>
            </w:r>
            <w:r w:rsidR="00D44BCF">
              <w:rPr>
                <w:noProof/>
                <w:webHidden/>
              </w:rPr>
              <w:t>11</w:t>
            </w:r>
            <w:r w:rsidR="00D44BCF">
              <w:rPr>
                <w:noProof/>
                <w:webHidden/>
              </w:rPr>
              <w:fldChar w:fldCharType="end"/>
            </w:r>
          </w:hyperlink>
        </w:p>
        <w:p w14:paraId="0A5D9D0C" w14:textId="34BB0B28" w:rsidR="00D44BCF" w:rsidRDefault="00F51B89">
          <w:pPr>
            <w:pStyle w:val="TOC2"/>
            <w:tabs>
              <w:tab w:val="left" w:pos="880"/>
              <w:tab w:val="right" w:leader="dot" w:pos="9061"/>
            </w:tabs>
            <w:rPr>
              <w:noProof/>
              <w:lang w:val="en-AU" w:eastAsia="en-AU"/>
            </w:rPr>
          </w:pPr>
          <w:hyperlink w:anchor="_Toc33602748" w:history="1">
            <w:r w:rsidR="00D44BCF" w:rsidRPr="007D3270">
              <w:rPr>
                <w:rStyle w:val="Hyperlink"/>
                <w:noProof/>
              </w:rPr>
              <w:t>2.6</w:t>
            </w:r>
            <w:r w:rsidR="00D44BCF">
              <w:rPr>
                <w:noProof/>
                <w:lang w:val="en-AU" w:eastAsia="en-AU"/>
              </w:rPr>
              <w:tab/>
            </w:r>
            <w:r w:rsidR="00D44BCF" w:rsidRPr="007D3270">
              <w:rPr>
                <w:rStyle w:val="Hyperlink"/>
                <w:noProof/>
              </w:rPr>
              <w:t>Commonwealth provisions which apply relevant State and Territory laws</w:t>
            </w:r>
            <w:r w:rsidR="00D44BCF">
              <w:rPr>
                <w:noProof/>
                <w:webHidden/>
              </w:rPr>
              <w:tab/>
            </w:r>
            <w:r w:rsidR="00D44BCF">
              <w:rPr>
                <w:noProof/>
                <w:webHidden/>
              </w:rPr>
              <w:fldChar w:fldCharType="begin"/>
            </w:r>
            <w:r w:rsidR="00D44BCF">
              <w:rPr>
                <w:noProof/>
                <w:webHidden/>
              </w:rPr>
              <w:instrText xml:space="preserve"> PAGEREF _Toc33602748 \h </w:instrText>
            </w:r>
            <w:r w:rsidR="00D44BCF">
              <w:rPr>
                <w:noProof/>
                <w:webHidden/>
              </w:rPr>
            </w:r>
            <w:r w:rsidR="00D44BCF">
              <w:rPr>
                <w:noProof/>
                <w:webHidden/>
              </w:rPr>
              <w:fldChar w:fldCharType="separate"/>
            </w:r>
            <w:r w:rsidR="00D44BCF">
              <w:rPr>
                <w:noProof/>
                <w:webHidden/>
              </w:rPr>
              <w:t>13</w:t>
            </w:r>
            <w:r w:rsidR="00D44BCF">
              <w:rPr>
                <w:noProof/>
                <w:webHidden/>
              </w:rPr>
              <w:fldChar w:fldCharType="end"/>
            </w:r>
          </w:hyperlink>
        </w:p>
        <w:p w14:paraId="445E91E7" w14:textId="4E8A605A" w:rsidR="00D44BCF" w:rsidRDefault="00F51B89">
          <w:pPr>
            <w:pStyle w:val="TOC2"/>
            <w:tabs>
              <w:tab w:val="left" w:pos="880"/>
              <w:tab w:val="right" w:leader="dot" w:pos="9061"/>
            </w:tabs>
            <w:rPr>
              <w:noProof/>
              <w:lang w:val="en-AU" w:eastAsia="en-AU"/>
            </w:rPr>
          </w:pPr>
          <w:hyperlink w:anchor="_Toc33602749" w:history="1">
            <w:r w:rsidR="00D44BCF" w:rsidRPr="007D3270">
              <w:rPr>
                <w:rStyle w:val="Hyperlink"/>
                <w:noProof/>
              </w:rPr>
              <w:t>2.7</w:t>
            </w:r>
            <w:r w:rsidR="00D44BCF">
              <w:rPr>
                <w:noProof/>
                <w:lang w:val="en-AU" w:eastAsia="en-AU"/>
              </w:rPr>
              <w:tab/>
            </w:r>
            <w:r w:rsidR="00D44BCF" w:rsidRPr="007D3270">
              <w:rPr>
                <w:rStyle w:val="Hyperlink"/>
                <w:noProof/>
              </w:rPr>
              <w:t>The application of State and Territory laws by Judiciary Act 1903, ss 68 and 79</w:t>
            </w:r>
            <w:r w:rsidR="00D44BCF">
              <w:rPr>
                <w:noProof/>
                <w:webHidden/>
              </w:rPr>
              <w:tab/>
            </w:r>
            <w:r w:rsidR="00D44BCF">
              <w:rPr>
                <w:noProof/>
                <w:webHidden/>
              </w:rPr>
              <w:fldChar w:fldCharType="begin"/>
            </w:r>
            <w:r w:rsidR="00D44BCF">
              <w:rPr>
                <w:noProof/>
                <w:webHidden/>
              </w:rPr>
              <w:instrText xml:space="preserve"> PAGEREF _Toc33602749 \h </w:instrText>
            </w:r>
            <w:r w:rsidR="00D44BCF">
              <w:rPr>
                <w:noProof/>
                <w:webHidden/>
              </w:rPr>
            </w:r>
            <w:r w:rsidR="00D44BCF">
              <w:rPr>
                <w:noProof/>
                <w:webHidden/>
              </w:rPr>
              <w:fldChar w:fldCharType="separate"/>
            </w:r>
            <w:r w:rsidR="00D44BCF">
              <w:rPr>
                <w:noProof/>
                <w:webHidden/>
              </w:rPr>
              <w:t>13</w:t>
            </w:r>
            <w:r w:rsidR="00D44BCF">
              <w:rPr>
                <w:noProof/>
                <w:webHidden/>
              </w:rPr>
              <w:fldChar w:fldCharType="end"/>
            </w:r>
          </w:hyperlink>
        </w:p>
        <w:p w14:paraId="7B101BC3" w14:textId="2808A5DB" w:rsidR="00D44BCF" w:rsidRDefault="00F51B89">
          <w:pPr>
            <w:pStyle w:val="TOC3"/>
            <w:tabs>
              <w:tab w:val="left" w:pos="1320"/>
            </w:tabs>
            <w:rPr>
              <w:noProof/>
              <w:lang w:val="en-AU" w:eastAsia="en-AU"/>
            </w:rPr>
          </w:pPr>
          <w:hyperlink w:anchor="_Toc33602750" w:history="1">
            <w:r w:rsidR="00D44BCF" w:rsidRPr="007D3270">
              <w:rPr>
                <w:rStyle w:val="Hyperlink"/>
                <w:noProof/>
              </w:rPr>
              <w:t>2.7.1</w:t>
            </w:r>
            <w:r w:rsidR="00D44BCF">
              <w:rPr>
                <w:noProof/>
                <w:lang w:val="en-AU" w:eastAsia="en-AU"/>
              </w:rPr>
              <w:tab/>
            </w:r>
            <w:r w:rsidR="00D44BCF" w:rsidRPr="007D3270">
              <w:rPr>
                <w:rStyle w:val="Hyperlink"/>
                <w:noProof/>
              </w:rPr>
              <w:t>The terms of s 68(1) and (2) and s 79(1)</w:t>
            </w:r>
            <w:r w:rsidR="00D44BCF">
              <w:rPr>
                <w:noProof/>
                <w:webHidden/>
              </w:rPr>
              <w:tab/>
            </w:r>
            <w:r w:rsidR="00D44BCF">
              <w:rPr>
                <w:noProof/>
                <w:webHidden/>
              </w:rPr>
              <w:fldChar w:fldCharType="begin"/>
            </w:r>
            <w:r w:rsidR="00D44BCF">
              <w:rPr>
                <w:noProof/>
                <w:webHidden/>
              </w:rPr>
              <w:instrText xml:space="preserve"> PAGEREF _Toc33602750 \h </w:instrText>
            </w:r>
            <w:r w:rsidR="00D44BCF">
              <w:rPr>
                <w:noProof/>
                <w:webHidden/>
              </w:rPr>
            </w:r>
            <w:r w:rsidR="00D44BCF">
              <w:rPr>
                <w:noProof/>
                <w:webHidden/>
              </w:rPr>
              <w:fldChar w:fldCharType="separate"/>
            </w:r>
            <w:r w:rsidR="00D44BCF">
              <w:rPr>
                <w:noProof/>
                <w:webHidden/>
              </w:rPr>
              <w:t>14</w:t>
            </w:r>
            <w:r w:rsidR="00D44BCF">
              <w:rPr>
                <w:noProof/>
                <w:webHidden/>
              </w:rPr>
              <w:fldChar w:fldCharType="end"/>
            </w:r>
          </w:hyperlink>
        </w:p>
        <w:p w14:paraId="340607AB" w14:textId="6BC5C262" w:rsidR="00D44BCF" w:rsidRDefault="00F51B89">
          <w:pPr>
            <w:pStyle w:val="TOC3"/>
            <w:tabs>
              <w:tab w:val="left" w:pos="1320"/>
            </w:tabs>
            <w:rPr>
              <w:noProof/>
              <w:lang w:val="en-AU" w:eastAsia="en-AU"/>
            </w:rPr>
          </w:pPr>
          <w:hyperlink w:anchor="_Toc33602751" w:history="1">
            <w:r w:rsidR="00D44BCF" w:rsidRPr="007D3270">
              <w:rPr>
                <w:rStyle w:val="Hyperlink"/>
                <w:noProof/>
              </w:rPr>
              <w:t>2.7.2</w:t>
            </w:r>
            <w:r w:rsidR="00D44BCF">
              <w:rPr>
                <w:noProof/>
                <w:lang w:val="en-AU" w:eastAsia="en-AU"/>
              </w:rPr>
              <w:tab/>
            </w:r>
            <w:r w:rsidR="00D44BCF" w:rsidRPr="007D3270">
              <w:rPr>
                <w:rStyle w:val="Hyperlink"/>
                <w:noProof/>
              </w:rPr>
              <w:t>The conferral of jurisdiction and the application of laws</w:t>
            </w:r>
            <w:r w:rsidR="00D44BCF">
              <w:rPr>
                <w:noProof/>
                <w:webHidden/>
              </w:rPr>
              <w:tab/>
            </w:r>
            <w:r w:rsidR="00D44BCF">
              <w:rPr>
                <w:noProof/>
                <w:webHidden/>
              </w:rPr>
              <w:fldChar w:fldCharType="begin"/>
            </w:r>
            <w:r w:rsidR="00D44BCF">
              <w:rPr>
                <w:noProof/>
                <w:webHidden/>
              </w:rPr>
              <w:instrText xml:space="preserve"> PAGEREF _Toc33602751 \h </w:instrText>
            </w:r>
            <w:r w:rsidR="00D44BCF">
              <w:rPr>
                <w:noProof/>
                <w:webHidden/>
              </w:rPr>
            </w:r>
            <w:r w:rsidR="00D44BCF">
              <w:rPr>
                <w:noProof/>
                <w:webHidden/>
              </w:rPr>
              <w:fldChar w:fldCharType="separate"/>
            </w:r>
            <w:r w:rsidR="00D44BCF">
              <w:rPr>
                <w:noProof/>
                <w:webHidden/>
              </w:rPr>
              <w:t>15</w:t>
            </w:r>
            <w:r w:rsidR="00D44BCF">
              <w:rPr>
                <w:noProof/>
                <w:webHidden/>
              </w:rPr>
              <w:fldChar w:fldCharType="end"/>
            </w:r>
          </w:hyperlink>
        </w:p>
        <w:p w14:paraId="66610076" w14:textId="5D3B882C" w:rsidR="00D44BCF" w:rsidRDefault="00F51B89">
          <w:pPr>
            <w:pStyle w:val="TOC3"/>
            <w:tabs>
              <w:tab w:val="left" w:pos="1320"/>
            </w:tabs>
            <w:rPr>
              <w:noProof/>
              <w:lang w:val="en-AU" w:eastAsia="en-AU"/>
            </w:rPr>
          </w:pPr>
          <w:hyperlink w:anchor="_Toc33602752" w:history="1">
            <w:r w:rsidR="00D44BCF" w:rsidRPr="007D3270">
              <w:rPr>
                <w:rStyle w:val="Hyperlink"/>
                <w:noProof/>
              </w:rPr>
              <w:t>2.7.3</w:t>
            </w:r>
            <w:r w:rsidR="00D44BCF">
              <w:rPr>
                <w:noProof/>
                <w:lang w:val="en-AU" w:eastAsia="en-AU"/>
              </w:rPr>
              <w:tab/>
            </w:r>
            <w:r w:rsidR="00D44BCF" w:rsidRPr="007D3270">
              <w:rPr>
                <w:rStyle w:val="Hyperlink"/>
                <w:noProof/>
              </w:rPr>
              <w:t>Which laws are picked up and applied?</w:t>
            </w:r>
            <w:r w:rsidR="00D44BCF">
              <w:rPr>
                <w:noProof/>
                <w:webHidden/>
              </w:rPr>
              <w:tab/>
            </w:r>
            <w:r w:rsidR="00D44BCF">
              <w:rPr>
                <w:noProof/>
                <w:webHidden/>
              </w:rPr>
              <w:fldChar w:fldCharType="begin"/>
            </w:r>
            <w:r w:rsidR="00D44BCF">
              <w:rPr>
                <w:noProof/>
                <w:webHidden/>
              </w:rPr>
              <w:instrText xml:space="preserve"> PAGEREF _Toc33602752 \h </w:instrText>
            </w:r>
            <w:r w:rsidR="00D44BCF">
              <w:rPr>
                <w:noProof/>
                <w:webHidden/>
              </w:rPr>
            </w:r>
            <w:r w:rsidR="00D44BCF">
              <w:rPr>
                <w:noProof/>
                <w:webHidden/>
              </w:rPr>
              <w:fldChar w:fldCharType="separate"/>
            </w:r>
            <w:r w:rsidR="00D44BCF">
              <w:rPr>
                <w:noProof/>
                <w:webHidden/>
              </w:rPr>
              <w:t>16</w:t>
            </w:r>
            <w:r w:rsidR="00D44BCF">
              <w:rPr>
                <w:noProof/>
                <w:webHidden/>
              </w:rPr>
              <w:fldChar w:fldCharType="end"/>
            </w:r>
          </w:hyperlink>
        </w:p>
        <w:p w14:paraId="325BAACD" w14:textId="34285285" w:rsidR="00D44BCF" w:rsidRDefault="00F51B89">
          <w:pPr>
            <w:pStyle w:val="TOC3"/>
            <w:tabs>
              <w:tab w:val="left" w:pos="1320"/>
            </w:tabs>
            <w:rPr>
              <w:noProof/>
              <w:lang w:val="en-AU" w:eastAsia="en-AU"/>
            </w:rPr>
          </w:pPr>
          <w:hyperlink w:anchor="_Toc33602753" w:history="1">
            <w:r w:rsidR="00D44BCF" w:rsidRPr="007D3270">
              <w:rPr>
                <w:rStyle w:val="Hyperlink"/>
                <w:noProof/>
              </w:rPr>
              <w:t>2.7.4</w:t>
            </w:r>
            <w:r w:rsidR="00D44BCF">
              <w:rPr>
                <w:noProof/>
                <w:lang w:val="en-AU" w:eastAsia="en-AU"/>
              </w:rPr>
              <w:tab/>
            </w:r>
            <w:r w:rsidR="00D44BCF" w:rsidRPr="007D3270">
              <w:rPr>
                <w:rStyle w:val="Hyperlink"/>
                <w:noProof/>
              </w:rPr>
              <w:t>Qualifications on the application of State and Territory laws</w:t>
            </w:r>
            <w:r w:rsidR="00D44BCF">
              <w:rPr>
                <w:noProof/>
                <w:webHidden/>
              </w:rPr>
              <w:tab/>
            </w:r>
            <w:r w:rsidR="00D44BCF">
              <w:rPr>
                <w:noProof/>
                <w:webHidden/>
              </w:rPr>
              <w:fldChar w:fldCharType="begin"/>
            </w:r>
            <w:r w:rsidR="00D44BCF">
              <w:rPr>
                <w:noProof/>
                <w:webHidden/>
              </w:rPr>
              <w:instrText xml:space="preserve"> PAGEREF _Toc33602753 \h </w:instrText>
            </w:r>
            <w:r w:rsidR="00D44BCF">
              <w:rPr>
                <w:noProof/>
                <w:webHidden/>
              </w:rPr>
            </w:r>
            <w:r w:rsidR="00D44BCF">
              <w:rPr>
                <w:noProof/>
                <w:webHidden/>
              </w:rPr>
              <w:fldChar w:fldCharType="separate"/>
            </w:r>
            <w:r w:rsidR="00D44BCF">
              <w:rPr>
                <w:noProof/>
                <w:webHidden/>
              </w:rPr>
              <w:t>17</w:t>
            </w:r>
            <w:r w:rsidR="00D44BCF">
              <w:rPr>
                <w:noProof/>
                <w:webHidden/>
              </w:rPr>
              <w:fldChar w:fldCharType="end"/>
            </w:r>
          </w:hyperlink>
        </w:p>
        <w:p w14:paraId="01B43E96" w14:textId="1DF2645A" w:rsidR="00D44BCF" w:rsidRDefault="00F51B89">
          <w:pPr>
            <w:pStyle w:val="TOC3"/>
            <w:tabs>
              <w:tab w:val="left" w:pos="1320"/>
            </w:tabs>
            <w:rPr>
              <w:noProof/>
              <w:lang w:val="en-AU" w:eastAsia="en-AU"/>
            </w:rPr>
          </w:pPr>
          <w:hyperlink w:anchor="_Toc33602754" w:history="1">
            <w:r w:rsidR="00D44BCF" w:rsidRPr="007D3270">
              <w:rPr>
                <w:rStyle w:val="Hyperlink"/>
                <w:noProof/>
              </w:rPr>
              <w:t>2.7.5</w:t>
            </w:r>
            <w:r w:rsidR="00D44BCF">
              <w:rPr>
                <w:noProof/>
                <w:lang w:val="en-AU" w:eastAsia="en-AU"/>
              </w:rPr>
              <w:tab/>
            </w:r>
            <w:r w:rsidR="00D44BCF" w:rsidRPr="007D3270">
              <w:rPr>
                <w:rStyle w:val="Hyperlink"/>
                <w:noProof/>
              </w:rPr>
              <w:t>Legislative schemes which leave no room for the operation of State/Territory laws</w:t>
            </w:r>
            <w:r w:rsidR="00D44BCF">
              <w:rPr>
                <w:noProof/>
                <w:webHidden/>
              </w:rPr>
              <w:tab/>
            </w:r>
            <w:r w:rsidR="00D44BCF">
              <w:rPr>
                <w:noProof/>
                <w:webHidden/>
              </w:rPr>
              <w:fldChar w:fldCharType="begin"/>
            </w:r>
            <w:r w:rsidR="00D44BCF">
              <w:rPr>
                <w:noProof/>
                <w:webHidden/>
              </w:rPr>
              <w:instrText xml:space="preserve"> PAGEREF _Toc33602754 \h </w:instrText>
            </w:r>
            <w:r w:rsidR="00D44BCF">
              <w:rPr>
                <w:noProof/>
                <w:webHidden/>
              </w:rPr>
            </w:r>
            <w:r w:rsidR="00D44BCF">
              <w:rPr>
                <w:noProof/>
                <w:webHidden/>
              </w:rPr>
              <w:fldChar w:fldCharType="separate"/>
            </w:r>
            <w:r w:rsidR="00D44BCF">
              <w:rPr>
                <w:noProof/>
                <w:webHidden/>
              </w:rPr>
              <w:t>17</w:t>
            </w:r>
            <w:r w:rsidR="00D44BCF">
              <w:rPr>
                <w:noProof/>
                <w:webHidden/>
              </w:rPr>
              <w:fldChar w:fldCharType="end"/>
            </w:r>
          </w:hyperlink>
        </w:p>
        <w:p w14:paraId="7AD1B83C" w14:textId="055F152B" w:rsidR="00D44BCF" w:rsidRDefault="00F51B89">
          <w:pPr>
            <w:pStyle w:val="TOC3"/>
            <w:tabs>
              <w:tab w:val="left" w:pos="1320"/>
            </w:tabs>
            <w:rPr>
              <w:noProof/>
              <w:lang w:val="en-AU" w:eastAsia="en-AU"/>
            </w:rPr>
          </w:pPr>
          <w:hyperlink w:anchor="_Toc33602755" w:history="1">
            <w:r w:rsidR="00D44BCF" w:rsidRPr="007D3270">
              <w:rPr>
                <w:rStyle w:val="Hyperlink"/>
                <w:noProof/>
              </w:rPr>
              <w:t>2.7.6</w:t>
            </w:r>
            <w:r w:rsidR="00D44BCF">
              <w:rPr>
                <w:noProof/>
                <w:lang w:val="en-AU" w:eastAsia="en-AU"/>
              </w:rPr>
              <w:tab/>
            </w:r>
            <w:r w:rsidR="00D44BCF" w:rsidRPr="007D3270">
              <w:rPr>
                <w:rStyle w:val="Hyperlink"/>
                <w:noProof/>
              </w:rPr>
              <w:t>State or Territory laws not applied if the Constitution provides otherwise</w:t>
            </w:r>
            <w:r w:rsidR="00D44BCF">
              <w:rPr>
                <w:noProof/>
                <w:webHidden/>
              </w:rPr>
              <w:tab/>
            </w:r>
            <w:r w:rsidR="00D44BCF">
              <w:rPr>
                <w:noProof/>
                <w:webHidden/>
              </w:rPr>
              <w:fldChar w:fldCharType="begin"/>
            </w:r>
            <w:r w:rsidR="00D44BCF">
              <w:rPr>
                <w:noProof/>
                <w:webHidden/>
              </w:rPr>
              <w:instrText xml:space="preserve"> PAGEREF _Toc33602755 \h </w:instrText>
            </w:r>
            <w:r w:rsidR="00D44BCF">
              <w:rPr>
                <w:noProof/>
                <w:webHidden/>
              </w:rPr>
            </w:r>
            <w:r w:rsidR="00D44BCF">
              <w:rPr>
                <w:noProof/>
                <w:webHidden/>
              </w:rPr>
              <w:fldChar w:fldCharType="separate"/>
            </w:r>
            <w:r w:rsidR="00D44BCF">
              <w:rPr>
                <w:noProof/>
                <w:webHidden/>
              </w:rPr>
              <w:t>18</w:t>
            </w:r>
            <w:r w:rsidR="00D44BCF">
              <w:rPr>
                <w:noProof/>
                <w:webHidden/>
              </w:rPr>
              <w:fldChar w:fldCharType="end"/>
            </w:r>
          </w:hyperlink>
        </w:p>
        <w:p w14:paraId="5A95DB65" w14:textId="4E0B2792" w:rsidR="00D44BCF" w:rsidRDefault="00F51B89">
          <w:pPr>
            <w:pStyle w:val="TOC3"/>
            <w:tabs>
              <w:tab w:val="left" w:pos="1320"/>
            </w:tabs>
            <w:rPr>
              <w:noProof/>
              <w:lang w:val="en-AU" w:eastAsia="en-AU"/>
            </w:rPr>
          </w:pPr>
          <w:hyperlink w:anchor="_Toc33602756" w:history="1">
            <w:r w:rsidR="00D44BCF" w:rsidRPr="007D3270">
              <w:rPr>
                <w:rStyle w:val="Hyperlink"/>
                <w:noProof/>
              </w:rPr>
              <w:t>2.7.7</w:t>
            </w:r>
            <w:r w:rsidR="00D44BCF">
              <w:rPr>
                <w:noProof/>
                <w:lang w:val="en-AU" w:eastAsia="en-AU"/>
              </w:rPr>
              <w:tab/>
            </w:r>
            <w:r w:rsidR="00D44BCF" w:rsidRPr="007D3270">
              <w:rPr>
                <w:rStyle w:val="Hyperlink"/>
                <w:noProof/>
              </w:rPr>
              <w:t>“Applicable” laws</w:t>
            </w:r>
            <w:r w:rsidR="00D44BCF">
              <w:rPr>
                <w:noProof/>
                <w:webHidden/>
              </w:rPr>
              <w:tab/>
            </w:r>
            <w:r w:rsidR="00D44BCF">
              <w:rPr>
                <w:noProof/>
                <w:webHidden/>
              </w:rPr>
              <w:fldChar w:fldCharType="begin"/>
            </w:r>
            <w:r w:rsidR="00D44BCF">
              <w:rPr>
                <w:noProof/>
                <w:webHidden/>
              </w:rPr>
              <w:instrText xml:space="preserve"> PAGEREF _Toc33602756 \h </w:instrText>
            </w:r>
            <w:r w:rsidR="00D44BCF">
              <w:rPr>
                <w:noProof/>
                <w:webHidden/>
              </w:rPr>
            </w:r>
            <w:r w:rsidR="00D44BCF">
              <w:rPr>
                <w:noProof/>
                <w:webHidden/>
              </w:rPr>
              <w:fldChar w:fldCharType="separate"/>
            </w:r>
            <w:r w:rsidR="00D44BCF">
              <w:rPr>
                <w:noProof/>
                <w:webHidden/>
              </w:rPr>
              <w:t>18</w:t>
            </w:r>
            <w:r w:rsidR="00D44BCF">
              <w:rPr>
                <w:noProof/>
                <w:webHidden/>
              </w:rPr>
              <w:fldChar w:fldCharType="end"/>
            </w:r>
          </w:hyperlink>
        </w:p>
        <w:p w14:paraId="420E9D5D" w14:textId="61D08ED9" w:rsidR="00D44BCF" w:rsidRDefault="00F51B89">
          <w:pPr>
            <w:pStyle w:val="TOC2"/>
            <w:tabs>
              <w:tab w:val="left" w:pos="880"/>
              <w:tab w:val="right" w:leader="dot" w:pos="9061"/>
            </w:tabs>
            <w:rPr>
              <w:noProof/>
              <w:lang w:val="en-AU" w:eastAsia="en-AU"/>
            </w:rPr>
          </w:pPr>
          <w:hyperlink w:anchor="_Toc33602757" w:history="1">
            <w:r w:rsidR="00D44BCF" w:rsidRPr="007D3270">
              <w:rPr>
                <w:rStyle w:val="Hyperlink"/>
                <w:noProof/>
              </w:rPr>
              <w:t>2.8</w:t>
            </w:r>
            <w:r w:rsidR="00D44BCF">
              <w:rPr>
                <w:noProof/>
                <w:lang w:val="en-AU" w:eastAsia="en-AU"/>
              </w:rPr>
              <w:tab/>
            </w:r>
            <w:r w:rsidR="00D44BCF" w:rsidRPr="007D3270">
              <w:rPr>
                <w:rStyle w:val="Hyperlink"/>
                <w:noProof/>
              </w:rPr>
              <w:t>Maximum penalties for Commonwealth offences</w:t>
            </w:r>
            <w:r w:rsidR="00D44BCF">
              <w:rPr>
                <w:noProof/>
                <w:webHidden/>
              </w:rPr>
              <w:tab/>
            </w:r>
            <w:r w:rsidR="00D44BCF">
              <w:rPr>
                <w:noProof/>
                <w:webHidden/>
              </w:rPr>
              <w:fldChar w:fldCharType="begin"/>
            </w:r>
            <w:r w:rsidR="00D44BCF">
              <w:rPr>
                <w:noProof/>
                <w:webHidden/>
              </w:rPr>
              <w:instrText xml:space="preserve"> PAGEREF _Toc33602757 \h </w:instrText>
            </w:r>
            <w:r w:rsidR="00D44BCF">
              <w:rPr>
                <w:noProof/>
                <w:webHidden/>
              </w:rPr>
            </w:r>
            <w:r w:rsidR="00D44BCF">
              <w:rPr>
                <w:noProof/>
                <w:webHidden/>
              </w:rPr>
              <w:fldChar w:fldCharType="separate"/>
            </w:r>
            <w:r w:rsidR="00D44BCF">
              <w:rPr>
                <w:noProof/>
                <w:webHidden/>
              </w:rPr>
              <w:t>19</w:t>
            </w:r>
            <w:r w:rsidR="00D44BCF">
              <w:rPr>
                <w:noProof/>
                <w:webHidden/>
              </w:rPr>
              <w:fldChar w:fldCharType="end"/>
            </w:r>
          </w:hyperlink>
        </w:p>
        <w:p w14:paraId="45B7D34C" w14:textId="414D2837" w:rsidR="00D44BCF" w:rsidRDefault="00F51B89">
          <w:pPr>
            <w:pStyle w:val="TOC2"/>
            <w:tabs>
              <w:tab w:val="left" w:pos="880"/>
              <w:tab w:val="right" w:leader="dot" w:pos="9061"/>
            </w:tabs>
            <w:rPr>
              <w:noProof/>
              <w:lang w:val="en-AU" w:eastAsia="en-AU"/>
            </w:rPr>
          </w:pPr>
          <w:hyperlink w:anchor="_Toc33602758" w:history="1">
            <w:r w:rsidR="00D44BCF" w:rsidRPr="007D3270">
              <w:rPr>
                <w:rStyle w:val="Hyperlink"/>
                <w:noProof/>
              </w:rPr>
              <w:t>2.9</w:t>
            </w:r>
            <w:r w:rsidR="00D44BCF">
              <w:rPr>
                <w:noProof/>
                <w:lang w:val="en-AU" w:eastAsia="en-AU"/>
              </w:rPr>
              <w:tab/>
            </w:r>
            <w:r w:rsidR="00D44BCF" w:rsidRPr="007D3270">
              <w:rPr>
                <w:rStyle w:val="Hyperlink"/>
                <w:noProof/>
              </w:rPr>
              <w:t>Federal sentencing options</w:t>
            </w:r>
            <w:r w:rsidR="00D44BCF">
              <w:rPr>
                <w:noProof/>
                <w:webHidden/>
              </w:rPr>
              <w:tab/>
            </w:r>
            <w:r w:rsidR="00D44BCF">
              <w:rPr>
                <w:noProof/>
                <w:webHidden/>
              </w:rPr>
              <w:fldChar w:fldCharType="begin"/>
            </w:r>
            <w:r w:rsidR="00D44BCF">
              <w:rPr>
                <w:noProof/>
                <w:webHidden/>
              </w:rPr>
              <w:instrText xml:space="preserve"> PAGEREF _Toc33602758 \h </w:instrText>
            </w:r>
            <w:r w:rsidR="00D44BCF">
              <w:rPr>
                <w:noProof/>
                <w:webHidden/>
              </w:rPr>
            </w:r>
            <w:r w:rsidR="00D44BCF">
              <w:rPr>
                <w:noProof/>
                <w:webHidden/>
              </w:rPr>
              <w:fldChar w:fldCharType="separate"/>
            </w:r>
            <w:r w:rsidR="00D44BCF">
              <w:rPr>
                <w:noProof/>
                <w:webHidden/>
              </w:rPr>
              <w:t>20</w:t>
            </w:r>
            <w:r w:rsidR="00D44BCF">
              <w:rPr>
                <w:noProof/>
                <w:webHidden/>
              </w:rPr>
              <w:fldChar w:fldCharType="end"/>
            </w:r>
          </w:hyperlink>
        </w:p>
        <w:p w14:paraId="3831F4A2" w14:textId="186D198A" w:rsidR="00D44BCF" w:rsidRDefault="00F51B89">
          <w:pPr>
            <w:pStyle w:val="TOC1"/>
            <w:tabs>
              <w:tab w:val="left" w:pos="440"/>
            </w:tabs>
            <w:rPr>
              <w:b w:val="0"/>
              <w:lang w:val="en-AU" w:eastAsia="en-AU"/>
            </w:rPr>
          </w:pPr>
          <w:hyperlink w:anchor="_Toc33602759" w:history="1">
            <w:r w:rsidR="00D44BCF" w:rsidRPr="007D3270">
              <w:rPr>
                <w:rStyle w:val="Hyperlink"/>
              </w:rPr>
              <w:t>3</w:t>
            </w:r>
            <w:r w:rsidR="00D44BCF">
              <w:rPr>
                <w:b w:val="0"/>
                <w:lang w:val="en-AU" w:eastAsia="en-AU"/>
              </w:rPr>
              <w:tab/>
            </w:r>
            <w:r w:rsidR="00D44BCF" w:rsidRPr="007D3270">
              <w:rPr>
                <w:rStyle w:val="Hyperlink"/>
              </w:rPr>
              <w:t>Sentencing methodology</w:t>
            </w:r>
            <w:r w:rsidR="00D44BCF">
              <w:rPr>
                <w:webHidden/>
              </w:rPr>
              <w:tab/>
            </w:r>
            <w:r w:rsidR="00D44BCF">
              <w:rPr>
                <w:webHidden/>
              </w:rPr>
              <w:fldChar w:fldCharType="begin"/>
            </w:r>
            <w:r w:rsidR="00D44BCF">
              <w:rPr>
                <w:webHidden/>
              </w:rPr>
              <w:instrText xml:space="preserve"> PAGEREF _Toc33602759 \h </w:instrText>
            </w:r>
            <w:r w:rsidR="00D44BCF">
              <w:rPr>
                <w:webHidden/>
              </w:rPr>
            </w:r>
            <w:r w:rsidR="00D44BCF">
              <w:rPr>
                <w:webHidden/>
              </w:rPr>
              <w:fldChar w:fldCharType="separate"/>
            </w:r>
            <w:r w:rsidR="00D44BCF">
              <w:rPr>
                <w:webHidden/>
              </w:rPr>
              <w:t>22</w:t>
            </w:r>
            <w:r w:rsidR="00D44BCF">
              <w:rPr>
                <w:webHidden/>
              </w:rPr>
              <w:fldChar w:fldCharType="end"/>
            </w:r>
          </w:hyperlink>
        </w:p>
        <w:p w14:paraId="6F82C583" w14:textId="5981BFEB" w:rsidR="00D44BCF" w:rsidRDefault="00F51B89">
          <w:pPr>
            <w:pStyle w:val="TOC2"/>
            <w:tabs>
              <w:tab w:val="left" w:pos="880"/>
              <w:tab w:val="right" w:leader="dot" w:pos="9061"/>
            </w:tabs>
            <w:rPr>
              <w:noProof/>
              <w:lang w:val="en-AU" w:eastAsia="en-AU"/>
            </w:rPr>
          </w:pPr>
          <w:hyperlink w:anchor="_Toc33602760" w:history="1">
            <w:r w:rsidR="00D44BCF" w:rsidRPr="007D3270">
              <w:rPr>
                <w:rStyle w:val="Hyperlink"/>
                <w:bCs/>
                <w:noProof/>
              </w:rPr>
              <w:t>3.1</w:t>
            </w:r>
            <w:r w:rsidR="00D44BCF">
              <w:rPr>
                <w:noProof/>
                <w:lang w:val="en-AU" w:eastAsia="en-AU"/>
              </w:rPr>
              <w:tab/>
            </w:r>
            <w:r w:rsidR="00D44BCF" w:rsidRPr="007D3270">
              <w:rPr>
                <w:rStyle w:val="Hyperlink"/>
                <w:bCs/>
                <w:noProof/>
              </w:rPr>
              <w:t>Fact-finding in federal sentencing</w:t>
            </w:r>
            <w:r w:rsidR="00D44BCF">
              <w:rPr>
                <w:noProof/>
                <w:webHidden/>
              </w:rPr>
              <w:tab/>
            </w:r>
            <w:r w:rsidR="00D44BCF">
              <w:rPr>
                <w:noProof/>
                <w:webHidden/>
              </w:rPr>
              <w:fldChar w:fldCharType="begin"/>
            </w:r>
            <w:r w:rsidR="00D44BCF">
              <w:rPr>
                <w:noProof/>
                <w:webHidden/>
              </w:rPr>
              <w:instrText xml:space="preserve"> PAGEREF _Toc33602760 \h </w:instrText>
            </w:r>
            <w:r w:rsidR="00D44BCF">
              <w:rPr>
                <w:noProof/>
                <w:webHidden/>
              </w:rPr>
            </w:r>
            <w:r w:rsidR="00D44BCF">
              <w:rPr>
                <w:noProof/>
                <w:webHidden/>
              </w:rPr>
              <w:fldChar w:fldCharType="separate"/>
            </w:r>
            <w:r w:rsidR="00D44BCF">
              <w:rPr>
                <w:noProof/>
                <w:webHidden/>
              </w:rPr>
              <w:t>22</w:t>
            </w:r>
            <w:r w:rsidR="00D44BCF">
              <w:rPr>
                <w:noProof/>
                <w:webHidden/>
              </w:rPr>
              <w:fldChar w:fldCharType="end"/>
            </w:r>
          </w:hyperlink>
        </w:p>
        <w:p w14:paraId="06E02A8E" w14:textId="17984F3B" w:rsidR="00D44BCF" w:rsidRDefault="00F51B89">
          <w:pPr>
            <w:pStyle w:val="TOC3"/>
            <w:tabs>
              <w:tab w:val="left" w:pos="1320"/>
            </w:tabs>
            <w:rPr>
              <w:noProof/>
              <w:lang w:val="en-AU" w:eastAsia="en-AU"/>
            </w:rPr>
          </w:pPr>
          <w:hyperlink w:anchor="_Toc33602761" w:history="1">
            <w:r w:rsidR="00D44BCF" w:rsidRPr="007D3270">
              <w:rPr>
                <w:rStyle w:val="Hyperlink"/>
                <w:noProof/>
              </w:rPr>
              <w:t>3.1.1</w:t>
            </w:r>
            <w:r w:rsidR="00D44BCF">
              <w:rPr>
                <w:noProof/>
                <w:lang w:val="en-AU" w:eastAsia="en-AU"/>
              </w:rPr>
              <w:tab/>
            </w:r>
            <w:r w:rsidR="00D44BCF" w:rsidRPr="007D3270">
              <w:rPr>
                <w:rStyle w:val="Hyperlink"/>
                <w:noProof/>
              </w:rPr>
              <w:t>The statutory regime</w:t>
            </w:r>
            <w:r w:rsidR="00D44BCF">
              <w:rPr>
                <w:noProof/>
                <w:webHidden/>
              </w:rPr>
              <w:tab/>
            </w:r>
            <w:r w:rsidR="00D44BCF">
              <w:rPr>
                <w:noProof/>
                <w:webHidden/>
              </w:rPr>
              <w:fldChar w:fldCharType="begin"/>
            </w:r>
            <w:r w:rsidR="00D44BCF">
              <w:rPr>
                <w:noProof/>
                <w:webHidden/>
              </w:rPr>
              <w:instrText xml:space="preserve"> PAGEREF _Toc33602761 \h </w:instrText>
            </w:r>
            <w:r w:rsidR="00D44BCF">
              <w:rPr>
                <w:noProof/>
                <w:webHidden/>
              </w:rPr>
            </w:r>
            <w:r w:rsidR="00D44BCF">
              <w:rPr>
                <w:noProof/>
                <w:webHidden/>
              </w:rPr>
              <w:fldChar w:fldCharType="separate"/>
            </w:r>
            <w:r w:rsidR="00D44BCF">
              <w:rPr>
                <w:noProof/>
                <w:webHidden/>
              </w:rPr>
              <w:t>22</w:t>
            </w:r>
            <w:r w:rsidR="00D44BCF">
              <w:rPr>
                <w:noProof/>
                <w:webHidden/>
              </w:rPr>
              <w:fldChar w:fldCharType="end"/>
            </w:r>
          </w:hyperlink>
        </w:p>
        <w:p w14:paraId="60CD35B8" w14:textId="6D3388F6" w:rsidR="00D44BCF" w:rsidRDefault="00F51B89">
          <w:pPr>
            <w:pStyle w:val="TOC3"/>
            <w:tabs>
              <w:tab w:val="left" w:pos="1320"/>
            </w:tabs>
            <w:rPr>
              <w:noProof/>
              <w:lang w:val="en-AU" w:eastAsia="en-AU"/>
            </w:rPr>
          </w:pPr>
          <w:hyperlink w:anchor="_Toc33602762" w:history="1">
            <w:r w:rsidR="00D44BCF" w:rsidRPr="007D3270">
              <w:rPr>
                <w:rStyle w:val="Hyperlink"/>
                <w:noProof/>
              </w:rPr>
              <w:t>3.1.2</w:t>
            </w:r>
            <w:r w:rsidR="00D44BCF">
              <w:rPr>
                <w:noProof/>
                <w:lang w:val="en-AU" w:eastAsia="en-AU"/>
              </w:rPr>
              <w:tab/>
            </w:r>
            <w:r w:rsidR="00D44BCF" w:rsidRPr="007D3270">
              <w:rPr>
                <w:rStyle w:val="Hyperlink"/>
                <w:noProof/>
              </w:rPr>
              <w:t>Fact-finding following a jury trial</w:t>
            </w:r>
            <w:r w:rsidR="00D44BCF">
              <w:rPr>
                <w:noProof/>
                <w:webHidden/>
              </w:rPr>
              <w:tab/>
            </w:r>
            <w:r w:rsidR="00D44BCF">
              <w:rPr>
                <w:noProof/>
                <w:webHidden/>
              </w:rPr>
              <w:fldChar w:fldCharType="begin"/>
            </w:r>
            <w:r w:rsidR="00D44BCF">
              <w:rPr>
                <w:noProof/>
                <w:webHidden/>
              </w:rPr>
              <w:instrText xml:space="preserve"> PAGEREF _Toc33602762 \h </w:instrText>
            </w:r>
            <w:r w:rsidR="00D44BCF">
              <w:rPr>
                <w:noProof/>
                <w:webHidden/>
              </w:rPr>
            </w:r>
            <w:r w:rsidR="00D44BCF">
              <w:rPr>
                <w:noProof/>
                <w:webHidden/>
              </w:rPr>
              <w:fldChar w:fldCharType="separate"/>
            </w:r>
            <w:r w:rsidR="00D44BCF">
              <w:rPr>
                <w:noProof/>
                <w:webHidden/>
              </w:rPr>
              <w:t>22</w:t>
            </w:r>
            <w:r w:rsidR="00D44BCF">
              <w:rPr>
                <w:noProof/>
                <w:webHidden/>
              </w:rPr>
              <w:fldChar w:fldCharType="end"/>
            </w:r>
          </w:hyperlink>
        </w:p>
        <w:p w14:paraId="3B92AD29" w14:textId="6DAD83EB" w:rsidR="00D44BCF" w:rsidRDefault="00F51B89">
          <w:pPr>
            <w:pStyle w:val="TOC3"/>
            <w:tabs>
              <w:tab w:val="left" w:pos="1320"/>
            </w:tabs>
            <w:rPr>
              <w:noProof/>
              <w:lang w:val="en-AU" w:eastAsia="en-AU"/>
            </w:rPr>
          </w:pPr>
          <w:hyperlink w:anchor="_Toc33602763" w:history="1">
            <w:r w:rsidR="00D44BCF" w:rsidRPr="007D3270">
              <w:rPr>
                <w:rStyle w:val="Hyperlink"/>
                <w:noProof/>
              </w:rPr>
              <w:t>3.1.3</w:t>
            </w:r>
            <w:r w:rsidR="00D44BCF">
              <w:rPr>
                <w:noProof/>
                <w:lang w:val="en-AU" w:eastAsia="en-AU"/>
              </w:rPr>
              <w:tab/>
            </w:r>
            <w:r w:rsidR="00D44BCF" w:rsidRPr="007D3270">
              <w:rPr>
                <w:rStyle w:val="Hyperlink"/>
                <w:noProof/>
              </w:rPr>
              <w:t>Relevant matters “known to the court”: Crimes Act 1914, s 16A(2)</w:t>
            </w:r>
            <w:r w:rsidR="00D44BCF">
              <w:rPr>
                <w:noProof/>
                <w:webHidden/>
              </w:rPr>
              <w:tab/>
            </w:r>
            <w:r w:rsidR="00D44BCF">
              <w:rPr>
                <w:noProof/>
                <w:webHidden/>
              </w:rPr>
              <w:fldChar w:fldCharType="begin"/>
            </w:r>
            <w:r w:rsidR="00D44BCF">
              <w:rPr>
                <w:noProof/>
                <w:webHidden/>
              </w:rPr>
              <w:instrText xml:space="preserve"> PAGEREF _Toc33602763 \h </w:instrText>
            </w:r>
            <w:r w:rsidR="00D44BCF">
              <w:rPr>
                <w:noProof/>
                <w:webHidden/>
              </w:rPr>
            </w:r>
            <w:r w:rsidR="00D44BCF">
              <w:rPr>
                <w:noProof/>
                <w:webHidden/>
              </w:rPr>
              <w:fldChar w:fldCharType="separate"/>
            </w:r>
            <w:r w:rsidR="00D44BCF">
              <w:rPr>
                <w:noProof/>
                <w:webHidden/>
              </w:rPr>
              <w:t>23</w:t>
            </w:r>
            <w:r w:rsidR="00D44BCF">
              <w:rPr>
                <w:noProof/>
                <w:webHidden/>
              </w:rPr>
              <w:fldChar w:fldCharType="end"/>
            </w:r>
          </w:hyperlink>
        </w:p>
        <w:p w14:paraId="0509C528" w14:textId="549A7BD0" w:rsidR="00D44BCF" w:rsidRDefault="00F51B89">
          <w:pPr>
            <w:pStyle w:val="TOC3"/>
            <w:tabs>
              <w:tab w:val="left" w:pos="1320"/>
            </w:tabs>
            <w:rPr>
              <w:noProof/>
              <w:lang w:val="en-AU" w:eastAsia="en-AU"/>
            </w:rPr>
          </w:pPr>
          <w:hyperlink w:anchor="_Toc33602764" w:history="1">
            <w:r w:rsidR="00D44BCF" w:rsidRPr="007D3270">
              <w:rPr>
                <w:rStyle w:val="Hyperlink"/>
                <w:noProof/>
              </w:rPr>
              <w:t>3.1.4</w:t>
            </w:r>
            <w:r w:rsidR="00D44BCF">
              <w:rPr>
                <w:noProof/>
                <w:lang w:val="en-AU" w:eastAsia="en-AU"/>
              </w:rPr>
              <w:tab/>
            </w:r>
            <w:r w:rsidR="00D44BCF" w:rsidRPr="007D3270">
              <w:rPr>
                <w:rStyle w:val="Hyperlink"/>
                <w:noProof/>
              </w:rPr>
              <w:t>Findings of fact relating to aggravating or mitigating circumstances</w:t>
            </w:r>
            <w:r w:rsidR="00D44BCF">
              <w:rPr>
                <w:noProof/>
                <w:webHidden/>
              </w:rPr>
              <w:tab/>
            </w:r>
            <w:r w:rsidR="00D44BCF">
              <w:rPr>
                <w:noProof/>
                <w:webHidden/>
              </w:rPr>
              <w:fldChar w:fldCharType="begin"/>
            </w:r>
            <w:r w:rsidR="00D44BCF">
              <w:rPr>
                <w:noProof/>
                <w:webHidden/>
              </w:rPr>
              <w:instrText xml:space="preserve"> PAGEREF _Toc33602764 \h </w:instrText>
            </w:r>
            <w:r w:rsidR="00D44BCF">
              <w:rPr>
                <w:noProof/>
                <w:webHidden/>
              </w:rPr>
            </w:r>
            <w:r w:rsidR="00D44BCF">
              <w:rPr>
                <w:noProof/>
                <w:webHidden/>
              </w:rPr>
              <w:fldChar w:fldCharType="separate"/>
            </w:r>
            <w:r w:rsidR="00D44BCF">
              <w:rPr>
                <w:noProof/>
                <w:webHidden/>
              </w:rPr>
              <w:t>24</w:t>
            </w:r>
            <w:r w:rsidR="00D44BCF">
              <w:rPr>
                <w:noProof/>
                <w:webHidden/>
              </w:rPr>
              <w:fldChar w:fldCharType="end"/>
            </w:r>
          </w:hyperlink>
        </w:p>
        <w:p w14:paraId="62DD390A" w14:textId="3740B608" w:rsidR="00D44BCF" w:rsidRDefault="00F51B89">
          <w:pPr>
            <w:pStyle w:val="TOC3"/>
            <w:tabs>
              <w:tab w:val="left" w:pos="1320"/>
            </w:tabs>
            <w:rPr>
              <w:noProof/>
              <w:lang w:val="en-AU" w:eastAsia="en-AU"/>
            </w:rPr>
          </w:pPr>
          <w:hyperlink w:anchor="_Toc33602765" w:history="1">
            <w:r w:rsidR="00D44BCF" w:rsidRPr="007D3270">
              <w:rPr>
                <w:rStyle w:val="Hyperlink"/>
                <w:noProof/>
              </w:rPr>
              <w:t>3.1.5</w:t>
            </w:r>
            <w:r w:rsidR="00D44BCF">
              <w:rPr>
                <w:noProof/>
                <w:lang w:val="en-AU" w:eastAsia="en-AU"/>
              </w:rPr>
              <w:tab/>
            </w:r>
            <w:r w:rsidR="00D44BCF" w:rsidRPr="007D3270">
              <w:rPr>
                <w:rStyle w:val="Hyperlink"/>
                <w:noProof/>
              </w:rPr>
              <w:t>Finding of other uncharged offences</w:t>
            </w:r>
            <w:r w:rsidR="00D44BCF">
              <w:rPr>
                <w:noProof/>
                <w:webHidden/>
              </w:rPr>
              <w:tab/>
            </w:r>
            <w:r w:rsidR="00D44BCF">
              <w:rPr>
                <w:noProof/>
                <w:webHidden/>
              </w:rPr>
              <w:fldChar w:fldCharType="begin"/>
            </w:r>
            <w:r w:rsidR="00D44BCF">
              <w:rPr>
                <w:noProof/>
                <w:webHidden/>
              </w:rPr>
              <w:instrText xml:space="preserve"> PAGEREF _Toc33602765 \h </w:instrText>
            </w:r>
            <w:r w:rsidR="00D44BCF">
              <w:rPr>
                <w:noProof/>
                <w:webHidden/>
              </w:rPr>
            </w:r>
            <w:r w:rsidR="00D44BCF">
              <w:rPr>
                <w:noProof/>
                <w:webHidden/>
              </w:rPr>
              <w:fldChar w:fldCharType="separate"/>
            </w:r>
            <w:r w:rsidR="00D44BCF">
              <w:rPr>
                <w:noProof/>
                <w:webHidden/>
              </w:rPr>
              <w:t>26</w:t>
            </w:r>
            <w:r w:rsidR="00D44BCF">
              <w:rPr>
                <w:noProof/>
                <w:webHidden/>
              </w:rPr>
              <w:fldChar w:fldCharType="end"/>
            </w:r>
          </w:hyperlink>
        </w:p>
        <w:p w14:paraId="5BE22699" w14:textId="4D258804" w:rsidR="00D44BCF" w:rsidRDefault="00F51B89">
          <w:pPr>
            <w:pStyle w:val="TOC3"/>
            <w:tabs>
              <w:tab w:val="left" w:pos="1320"/>
            </w:tabs>
            <w:rPr>
              <w:noProof/>
              <w:lang w:val="en-AU" w:eastAsia="en-AU"/>
            </w:rPr>
          </w:pPr>
          <w:hyperlink w:anchor="_Toc33602766" w:history="1">
            <w:r w:rsidR="00D44BCF" w:rsidRPr="007D3270">
              <w:rPr>
                <w:rStyle w:val="Hyperlink"/>
                <w:noProof/>
              </w:rPr>
              <w:t>3.1.6</w:t>
            </w:r>
            <w:r w:rsidR="00D44BCF">
              <w:rPr>
                <w:noProof/>
                <w:lang w:val="en-AU" w:eastAsia="en-AU"/>
              </w:rPr>
              <w:tab/>
            </w:r>
            <w:r w:rsidR="00D44BCF" w:rsidRPr="007D3270">
              <w:rPr>
                <w:rStyle w:val="Hyperlink"/>
                <w:noProof/>
              </w:rPr>
              <w:t>Hearsay assertions about an offender’s state of mind</w:t>
            </w:r>
            <w:r w:rsidR="00D44BCF">
              <w:rPr>
                <w:noProof/>
                <w:webHidden/>
              </w:rPr>
              <w:tab/>
            </w:r>
            <w:r w:rsidR="00D44BCF">
              <w:rPr>
                <w:noProof/>
                <w:webHidden/>
              </w:rPr>
              <w:fldChar w:fldCharType="begin"/>
            </w:r>
            <w:r w:rsidR="00D44BCF">
              <w:rPr>
                <w:noProof/>
                <w:webHidden/>
              </w:rPr>
              <w:instrText xml:space="preserve"> PAGEREF _Toc33602766 \h </w:instrText>
            </w:r>
            <w:r w:rsidR="00D44BCF">
              <w:rPr>
                <w:noProof/>
                <w:webHidden/>
              </w:rPr>
            </w:r>
            <w:r w:rsidR="00D44BCF">
              <w:rPr>
                <w:noProof/>
                <w:webHidden/>
              </w:rPr>
              <w:fldChar w:fldCharType="separate"/>
            </w:r>
            <w:r w:rsidR="00D44BCF">
              <w:rPr>
                <w:noProof/>
                <w:webHidden/>
              </w:rPr>
              <w:t>28</w:t>
            </w:r>
            <w:r w:rsidR="00D44BCF">
              <w:rPr>
                <w:noProof/>
                <w:webHidden/>
              </w:rPr>
              <w:fldChar w:fldCharType="end"/>
            </w:r>
          </w:hyperlink>
        </w:p>
        <w:p w14:paraId="0DEF9FFD" w14:textId="3EE8DA6A" w:rsidR="00D44BCF" w:rsidRDefault="00F51B89">
          <w:pPr>
            <w:pStyle w:val="TOC2"/>
            <w:tabs>
              <w:tab w:val="left" w:pos="880"/>
              <w:tab w:val="right" w:leader="dot" w:pos="9061"/>
            </w:tabs>
            <w:rPr>
              <w:noProof/>
              <w:lang w:val="en-AU" w:eastAsia="en-AU"/>
            </w:rPr>
          </w:pPr>
          <w:hyperlink w:anchor="_Toc33602767" w:history="1">
            <w:r w:rsidR="00D44BCF" w:rsidRPr="007D3270">
              <w:rPr>
                <w:rStyle w:val="Hyperlink"/>
                <w:bCs/>
                <w:noProof/>
              </w:rPr>
              <w:t>3.2</w:t>
            </w:r>
            <w:r w:rsidR="00D44BCF">
              <w:rPr>
                <w:noProof/>
                <w:lang w:val="en-AU" w:eastAsia="en-AU"/>
              </w:rPr>
              <w:tab/>
            </w:r>
            <w:r w:rsidR="00D44BCF" w:rsidRPr="007D3270">
              <w:rPr>
                <w:rStyle w:val="Hyperlink"/>
                <w:bCs/>
                <w:noProof/>
              </w:rPr>
              <w:t>“Instinctive synthesis” not the “two-stage approach”</w:t>
            </w:r>
            <w:r w:rsidR="00D44BCF">
              <w:rPr>
                <w:noProof/>
                <w:webHidden/>
              </w:rPr>
              <w:tab/>
            </w:r>
            <w:r w:rsidR="00D44BCF">
              <w:rPr>
                <w:noProof/>
                <w:webHidden/>
              </w:rPr>
              <w:fldChar w:fldCharType="begin"/>
            </w:r>
            <w:r w:rsidR="00D44BCF">
              <w:rPr>
                <w:noProof/>
                <w:webHidden/>
              </w:rPr>
              <w:instrText xml:space="preserve"> PAGEREF _Toc33602767 \h </w:instrText>
            </w:r>
            <w:r w:rsidR="00D44BCF">
              <w:rPr>
                <w:noProof/>
                <w:webHidden/>
              </w:rPr>
            </w:r>
            <w:r w:rsidR="00D44BCF">
              <w:rPr>
                <w:noProof/>
                <w:webHidden/>
              </w:rPr>
              <w:fldChar w:fldCharType="separate"/>
            </w:r>
            <w:r w:rsidR="00D44BCF">
              <w:rPr>
                <w:noProof/>
                <w:webHidden/>
              </w:rPr>
              <w:t>29</w:t>
            </w:r>
            <w:r w:rsidR="00D44BCF">
              <w:rPr>
                <w:noProof/>
                <w:webHidden/>
              </w:rPr>
              <w:fldChar w:fldCharType="end"/>
            </w:r>
          </w:hyperlink>
        </w:p>
        <w:p w14:paraId="3CD96FAC" w14:textId="3286C412" w:rsidR="00D44BCF" w:rsidRDefault="00F51B89">
          <w:pPr>
            <w:pStyle w:val="TOC2"/>
            <w:tabs>
              <w:tab w:val="left" w:pos="880"/>
              <w:tab w:val="right" w:leader="dot" w:pos="9061"/>
            </w:tabs>
            <w:rPr>
              <w:noProof/>
              <w:lang w:val="en-AU" w:eastAsia="en-AU"/>
            </w:rPr>
          </w:pPr>
          <w:hyperlink w:anchor="_Toc33602768" w:history="1">
            <w:r w:rsidR="00D44BCF" w:rsidRPr="007D3270">
              <w:rPr>
                <w:rStyle w:val="Hyperlink"/>
                <w:bCs/>
                <w:noProof/>
              </w:rPr>
              <w:t>3.3</w:t>
            </w:r>
            <w:r w:rsidR="00D44BCF">
              <w:rPr>
                <w:noProof/>
                <w:lang w:val="en-AU" w:eastAsia="en-AU"/>
              </w:rPr>
              <w:tab/>
            </w:r>
            <w:r w:rsidR="00D44BCF" w:rsidRPr="007D3270">
              <w:rPr>
                <w:rStyle w:val="Hyperlink"/>
                <w:bCs/>
                <w:noProof/>
              </w:rPr>
              <w:t>Where a two-stage approach is required by statute</w:t>
            </w:r>
            <w:r w:rsidR="00D44BCF">
              <w:rPr>
                <w:noProof/>
                <w:webHidden/>
              </w:rPr>
              <w:tab/>
            </w:r>
            <w:r w:rsidR="00D44BCF">
              <w:rPr>
                <w:noProof/>
                <w:webHidden/>
              </w:rPr>
              <w:fldChar w:fldCharType="begin"/>
            </w:r>
            <w:r w:rsidR="00D44BCF">
              <w:rPr>
                <w:noProof/>
                <w:webHidden/>
              </w:rPr>
              <w:instrText xml:space="preserve"> PAGEREF _Toc33602768 \h </w:instrText>
            </w:r>
            <w:r w:rsidR="00D44BCF">
              <w:rPr>
                <w:noProof/>
                <w:webHidden/>
              </w:rPr>
            </w:r>
            <w:r w:rsidR="00D44BCF">
              <w:rPr>
                <w:noProof/>
                <w:webHidden/>
              </w:rPr>
              <w:fldChar w:fldCharType="separate"/>
            </w:r>
            <w:r w:rsidR="00D44BCF">
              <w:rPr>
                <w:noProof/>
                <w:webHidden/>
              </w:rPr>
              <w:t>30</w:t>
            </w:r>
            <w:r w:rsidR="00D44BCF">
              <w:rPr>
                <w:noProof/>
                <w:webHidden/>
              </w:rPr>
              <w:fldChar w:fldCharType="end"/>
            </w:r>
          </w:hyperlink>
        </w:p>
        <w:p w14:paraId="7C9DED40" w14:textId="4F325BFB" w:rsidR="00D44BCF" w:rsidRDefault="00F51B89">
          <w:pPr>
            <w:pStyle w:val="TOC3"/>
            <w:tabs>
              <w:tab w:val="left" w:pos="1320"/>
            </w:tabs>
            <w:rPr>
              <w:noProof/>
              <w:lang w:val="en-AU" w:eastAsia="en-AU"/>
            </w:rPr>
          </w:pPr>
          <w:hyperlink w:anchor="_Toc33602769" w:history="1">
            <w:r w:rsidR="00D44BCF" w:rsidRPr="007D3270">
              <w:rPr>
                <w:rStyle w:val="Hyperlink"/>
                <w:noProof/>
              </w:rPr>
              <w:t>3.3.1</w:t>
            </w:r>
            <w:r w:rsidR="00D44BCF">
              <w:rPr>
                <w:noProof/>
                <w:lang w:val="en-AU" w:eastAsia="en-AU"/>
              </w:rPr>
              <w:tab/>
            </w:r>
            <w:r w:rsidR="00D44BCF" w:rsidRPr="007D3270">
              <w:rPr>
                <w:rStyle w:val="Hyperlink"/>
                <w:i/>
                <w:noProof/>
              </w:rPr>
              <w:t>Crimes Act 1914</w:t>
            </w:r>
            <w:r w:rsidR="00D44BCF" w:rsidRPr="007D3270">
              <w:rPr>
                <w:rStyle w:val="Hyperlink"/>
                <w:noProof/>
              </w:rPr>
              <w:t>, s 16AC – future cooperation</w:t>
            </w:r>
            <w:r w:rsidR="00D44BCF">
              <w:rPr>
                <w:noProof/>
                <w:webHidden/>
              </w:rPr>
              <w:tab/>
            </w:r>
            <w:r w:rsidR="00D44BCF">
              <w:rPr>
                <w:noProof/>
                <w:webHidden/>
              </w:rPr>
              <w:fldChar w:fldCharType="begin"/>
            </w:r>
            <w:r w:rsidR="00D44BCF">
              <w:rPr>
                <w:noProof/>
                <w:webHidden/>
              </w:rPr>
              <w:instrText xml:space="preserve"> PAGEREF _Toc33602769 \h </w:instrText>
            </w:r>
            <w:r w:rsidR="00D44BCF">
              <w:rPr>
                <w:noProof/>
                <w:webHidden/>
              </w:rPr>
            </w:r>
            <w:r w:rsidR="00D44BCF">
              <w:rPr>
                <w:noProof/>
                <w:webHidden/>
              </w:rPr>
              <w:fldChar w:fldCharType="separate"/>
            </w:r>
            <w:r w:rsidR="00D44BCF">
              <w:rPr>
                <w:noProof/>
                <w:webHidden/>
              </w:rPr>
              <w:t>30</w:t>
            </w:r>
            <w:r w:rsidR="00D44BCF">
              <w:rPr>
                <w:noProof/>
                <w:webHidden/>
              </w:rPr>
              <w:fldChar w:fldCharType="end"/>
            </w:r>
          </w:hyperlink>
        </w:p>
        <w:p w14:paraId="51A3B34D" w14:textId="4921308D" w:rsidR="00D44BCF" w:rsidRDefault="00F51B89">
          <w:pPr>
            <w:pStyle w:val="TOC3"/>
            <w:tabs>
              <w:tab w:val="left" w:pos="1320"/>
            </w:tabs>
            <w:rPr>
              <w:noProof/>
              <w:lang w:val="en-AU" w:eastAsia="en-AU"/>
            </w:rPr>
          </w:pPr>
          <w:hyperlink w:anchor="_Toc33602770" w:history="1">
            <w:r w:rsidR="00D44BCF" w:rsidRPr="007D3270">
              <w:rPr>
                <w:rStyle w:val="Hyperlink"/>
                <w:noProof/>
              </w:rPr>
              <w:t>3.3.2</w:t>
            </w:r>
            <w:r w:rsidR="00D44BCF">
              <w:rPr>
                <w:noProof/>
                <w:lang w:val="en-AU" w:eastAsia="en-AU"/>
              </w:rPr>
              <w:tab/>
            </w:r>
            <w:r w:rsidR="00D44BCF" w:rsidRPr="007D3270">
              <w:rPr>
                <w:rStyle w:val="Hyperlink"/>
                <w:noProof/>
              </w:rPr>
              <w:t>Statutory requirements to specify a sentence reduction for a plea of guilty</w:t>
            </w:r>
            <w:r w:rsidR="00D44BCF">
              <w:rPr>
                <w:noProof/>
                <w:webHidden/>
              </w:rPr>
              <w:tab/>
            </w:r>
            <w:r w:rsidR="00D44BCF">
              <w:rPr>
                <w:noProof/>
                <w:webHidden/>
              </w:rPr>
              <w:fldChar w:fldCharType="begin"/>
            </w:r>
            <w:r w:rsidR="00D44BCF">
              <w:rPr>
                <w:noProof/>
                <w:webHidden/>
              </w:rPr>
              <w:instrText xml:space="preserve"> PAGEREF _Toc33602770 \h </w:instrText>
            </w:r>
            <w:r w:rsidR="00D44BCF">
              <w:rPr>
                <w:noProof/>
                <w:webHidden/>
              </w:rPr>
            </w:r>
            <w:r w:rsidR="00D44BCF">
              <w:rPr>
                <w:noProof/>
                <w:webHidden/>
              </w:rPr>
              <w:fldChar w:fldCharType="separate"/>
            </w:r>
            <w:r w:rsidR="00D44BCF">
              <w:rPr>
                <w:noProof/>
                <w:webHidden/>
              </w:rPr>
              <w:t>31</w:t>
            </w:r>
            <w:r w:rsidR="00D44BCF">
              <w:rPr>
                <w:noProof/>
                <w:webHidden/>
              </w:rPr>
              <w:fldChar w:fldCharType="end"/>
            </w:r>
          </w:hyperlink>
        </w:p>
        <w:p w14:paraId="10225EFA" w14:textId="51E6C50C" w:rsidR="00D44BCF" w:rsidRDefault="00F51B89">
          <w:pPr>
            <w:pStyle w:val="TOC2"/>
            <w:tabs>
              <w:tab w:val="left" w:pos="880"/>
              <w:tab w:val="right" w:leader="dot" w:pos="9061"/>
            </w:tabs>
            <w:rPr>
              <w:noProof/>
              <w:lang w:val="en-AU" w:eastAsia="en-AU"/>
            </w:rPr>
          </w:pPr>
          <w:hyperlink w:anchor="_Toc33602771" w:history="1">
            <w:r w:rsidR="00D44BCF" w:rsidRPr="007D3270">
              <w:rPr>
                <w:rStyle w:val="Hyperlink"/>
                <w:bCs/>
                <w:noProof/>
              </w:rPr>
              <w:t>3.4</w:t>
            </w:r>
            <w:r w:rsidR="00D44BCF">
              <w:rPr>
                <w:noProof/>
                <w:lang w:val="en-AU" w:eastAsia="en-AU"/>
              </w:rPr>
              <w:tab/>
            </w:r>
            <w:r w:rsidR="00D44BCF" w:rsidRPr="007D3270">
              <w:rPr>
                <w:rStyle w:val="Hyperlink"/>
                <w:bCs/>
                <w:noProof/>
              </w:rPr>
              <w:t>Reasonable consistency in sentencing</w:t>
            </w:r>
            <w:r w:rsidR="00D44BCF">
              <w:rPr>
                <w:noProof/>
                <w:webHidden/>
              </w:rPr>
              <w:tab/>
            </w:r>
            <w:r w:rsidR="00D44BCF">
              <w:rPr>
                <w:noProof/>
                <w:webHidden/>
              </w:rPr>
              <w:fldChar w:fldCharType="begin"/>
            </w:r>
            <w:r w:rsidR="00D44BCF">
              <w:rPr>
                <w:noProof/>
                <w:webHidden/>
              </w:rPr>
              <w:instrText xml:space="preserve"> PAGEREF _Toc33602771 \h </w:instrText>
            </w:r>
            <w:r w:rsidR="00D44BCF">
              <w:rPr>
                <w:noProof/>
                <w:webHidden/>
              </w:rPr>
            </w:r>
            <w:r w:rsidR="00D44BCF">
              <w:rPr>
                <w:noProof/>
                <w:webHidden/>
              </w:rPr>
              <w:fldChar w:fldCharType="separate"/>
            </w:r>
            <w:r w:rsidR="00D44BCF">
              <w:rPr>
                <w:noProof/>
                <w:webHidden/>
              </w:rPr>
              <w:t>32</w:t>
            </w:r>
            <w:r w:rsidR="00D44BCF">
              <w:rPr>
                <w:noProof/>
                <w:webHidden/>
              </w:rPr>
              <w:fldChar w:fldCharType="end"/>
            </w:r>
          </w:hyperlink>
        </w:p>
        <w:p w14:paraId="11A253AC" w14:textId="066DC4AC" w:rsidR="00D44BCF" w:rsidRDefault="00F51B89">
          <w:pPr>
            <w:pStyle w:val="TOC1"/>
            <w:tabs>
              <w:tab w:val="left" w:pos="440"/>
            </w:tabs>
            <w:rPr>
              <w:b w:val="0"/>
              <w:lang w:val="en-AU" w:eastAsia="en-AU"/>
            </w:rPr>
          </w:pPr>
          <w:hyperlink w:anchor="_Toc33602772" w:history="1">
            <w:r w:rsidR="00D44BCF" w:rsidRPr="007D3270">
              <w:rPr>
                <w:rStyle w:val="Hyperlink"/>
              </w:rPr>
              <w:t>4</w:t>
            </w:r>
            <w:r w:rsidR="00D44BCF">
              <w:rPr>
                <w:b w:val="0"/>
                <w:lang w:val="en-AU" w:eastAsia="en-AU"/>
              </w:rPr>
              <w:tab/>
            </w:r>
            <w:r w:rsidR="00D44BCF" w:rsidRPr="007D3270">
              <w:rPr>
                <w:rStyle w:val="Hyperlink"/>
              </w:rPr>
              <w:t>Sentencing factors</w:t>
            </w:r>
            <w:r w:rsidR="00D44BCF">
              <w:rPr>
                <w:webHidden/>
              </w:rPr>
              <w:tab/>
            </w:r>
            <w:r w:rsidR="00D44BCF">
              <w:rPr>
                <w:webHidden/>
              </w:rPr>
              <w:fldChar w:fldCharType="begin"/>
            </w:r>
            <w:r w:rsidR="00D44BCF">
              <w:rPr>
                <w:webHidden/>
              </w:rPr>
              <w:instrText xml:space="preserve"> PAGEREF _Toc33602772 \h </w:instrText>
            </w:r>
            <w:r w:rsidR="00D44BCF">
              <w:rPr>
                <w:webHidden/>
              </w:rPr>
            </w:r>
            <w:r w:rsidR="00D44BCF">
              <w:rPr>
                <w:webHidden/>
              </w:rPr>
              <w:fldChar w:fldCharType="separate"/>
            </w:r>
            <w:r w:rsidR="00D44BCF">
              <w:rPr>
                <w:webHidden/>
              </w:rPr>
              <w:t>35</w:t>
            </w:r>
            <w:r w:rsidR="00D44BCF">
              <w:rPr>
                <w:webHidden/>
              </w:rPr>
              <w:fldChar w:fldCharType="end"/>
            </w:r>
          </w:hyperlink>
        </w:p>
        <w:p w14:paraId="1B709F77" w14:textId="76A3564A" w:rsidR="00D44BCF" w:rsidRDefault="00F51B89">
          <w:pPr>
            <w:pStyle w:val="TOC2"/>
            <w:tabs>
              <w:tab w:val="left" w:pos="880"/>
              <w:tab w:val="right" w:leader="dot" w:pos="9061"/>
            </w:tabs>
            <w:rPr>
              <w:noProof/>
              <w:lang w:val="en-AU" w:eastAsia="en-AU"/>
            </w:rPr>
          </w:pPr>
          <w:hyperlink w:anchor="_Toc33602773" w:history="1">
            <w:r w:rsidR="00D44BCF" w:rsidRPr="007D3270">
              <w:rPr>
                <w:rStyle w:val="Hyperlink"/>
                <w:bCs/>
                <w:noProof/>
              </w:rPr>
              <w:t>4.1</w:t>
            </w:r>
            <w:r w:rsidR="00D44BCF">
              <w:rPr>
                <w:noProof/>
                <w:lang w:val="en-AU" w:eastAsia="en-AU"/>
              </w:rPr>
              <w:tab/>
            </w:r>
            <w:r w:rsidR="00D44BCF" w:rsidRPr="007D3270">
              <w:rPr>
                <w:rStyle w:val="Hyperlink"/>
                <w:bCs/>
                <w:noProof/>
              </w:rPr>
              <w:t>The sources of sentencing principles</w:t>
            </w:r>
            <w:r w:rsidR="00D44BCF">
              <w:rPr>
                <w:noProof/>
                <w:webHidden/>
              </w:rPr>
              <w:tab/>
            </w:r>
            <w:r w:rsidR="00D44BCF">
              <w:rPr>
                <w:noProof/>
                <w:webHidden/>
              </w:rPr>
              <w:fldChar w:fldCharType="begin"/>
            </w:r>
            <w:r w:rsidR="00D44BCF">
              <w:rPr>
                <w:noProof/>
                <w:webHidden/>
              </w:rPr>
              <w:instrText xml:space="preserve"> PAGEREF _Toc33602773 \h </w:instrText>
            </w:r>
            <w:r w:rsidR="00D44BCF">
              <w:rPr>
                <w:noProof/>
                <w:webHidden/>
              </w:rPr>
            </w:r>
            <w:r w:rsidR="00D44BCF">
              <w:rPr>
                <w:noProof/>
                <w:webHidden/>
              </w:rPr>
              <w:fldChar w:fldCharType="separate"/>
            </w:r>
            <w:r w:rsidR="00D44BCF">
              <w:rPr>
                <w:noProof/>
                <w:webHidden/>
              </w:rPr>
              <w:t>35</w:t>
            </w:r>
            <w:r w:rsidR="00D44BCF">
              <w:rPr>
                <w:noProof/>
                <w:webHidden/>
              </w:rPr>
              <w:fldChar w:fldCharType="end"/>
            </w:r>
          </w:hyperlink>
        </w:p>
        <w:p w14:paraId="4AA251A0" w14:textId="59B4CFEF" w:rsidR="00D44BCF" w:rsidRDefault="00F51B89">
          <w:pPr>
            <w:pStyle w:val="TOC3"/>
            <w:tabs>
              <w:tab w:val="left" w:pos="1320"/>
            </w:tabs>
            <w:rPr>
              <w:noProof/>
              <w:lang w:val="en-AU" w:eastAsia="en-AU"/>
            </w:rPr>
          </w:pPr>
          <w:hyperlink w:anchor="_Toc33602774" w:history="1">
            <w:r w:rsidR="00D44BCF" w:rsidRPr="007D3270">
              <w:rPr>
                <w:rStyle w:val="Hyperlink"/>
                <w:noProof/>
              </w:rPr>
              <w:t>4.1.1</w:t>
            </w:r>
            <w:r w:rsidR="00D44BCF">
              <w:rPr>
                <w:noProof/>
                <w:lang w:val="en-AU" w:eastAsia="en-AU"/>
              </w:rPr>
              <w:tab/>
            </w:r>
            <w:r w:rsidR="00D44BCF" w:rsidRPr="007D3270">
              <w:rPr>
                <w:rStyle w:val="Hyperlink"/>
                <w:noProof/>
              </w:rPr>
              <w:t xml:space="preserve">Part IB of the </w:t>
            </w:r>
            <w:r w:rsidR="00D44BCF" w:rsidRPr="007D3270">
              <w:rPr>
                <w:rStyle w:val="Hyperlink"/>
                <w:i/>
                <w:noProof/>
              </w:rPr>
              <w:t>Crimes Act 1914</w:t>
            </w:r>
            <w:r w:rsidR="00D44BCF">
              <w:rPr>
                <w:noProof/>
                <w:webHidden/>
              </w:rPr>
              <w:tab/>
            </w:r>
            <w:r w:rsidR="00D44BCF">
              <w:rPr>
                <w:noProof/>
                <w:webHidden/>
              </w:rPr>
              <w:fldChar w:fldCharType="begin"/>
            </w:r>
            <w:r w:rsidR="00D44BCF">
              <w:rPr>
                <w:noProof/>
                <w:webHidden/>
              </w:rPr>
              <w:instrText xml:space="preserve"> PAGEREF _Toc33602774 \h </w:instrText>
            </w:r>
            <w:r w:rsidR="00D44BCF">
              <w:rPr>
                <w:noProof/>
                <w:webHidden/>
              </w:rPr>
            </w:r>
            <w:r w:rsidR="00D44BCF">
              <w:rPr>
                <w:noProof/>
                <w:webHidden/>
              </w:rPr>
              <w:fldChar w:fldCharType="separate"/>
            </w:r>
            <w:r w:rsidR="00D44BCF">
              <w:rPr>
                <w:noProof/>
                <w:webHidden/>
              </w:rPr>
              <w:t>35</w:t>
            </w:r>
            <w:r w:rsidR="00D44BCF">
              <w:rPr>
                <w:noProof/>
                <w:webHidden/>
              </w:rPr>
              <w:fldChar w:fldCharType="end"/>
            </w:r>
          </w:hyperlink>
        </w:p>
        <w:p w14:paraId="50224635" w14:textId="2694468B" w:rsidR="00D44BCF" w:rsidRDefault="00F51B89">
          <w:pPr>
            <w:pStyle w:val="TOC3"/>
            <w:tabs>
              <w:tab w:val="left" w:pos="1320"/>
            </w:tabs>
            <w:rPr>
              <w:noProof/>
              <w:lang w:val="en-AU" w:eastAsia="en-AU"/>
            </w:rPr>
          </w:pPr>
          <w:hyperlink w:anchor="_Toc33602775" w:history="1">
            <w:r w:rsidR="00D44BCF" w:rsidRPr="007D3270">
              <w:rPr>
                <w:rStyle w:val="Hyperlink"/>
                <w:noProof/>
              </w:rPr>
              <w:t>4.1.2</w:t>
            </w:r>
            <w:r w:rsidR="00D44BCF">
              <w:rPr>
                <w:noProof/>
                <w:lang w:val="en-AU" w:eastAsia="en-AU"/>
              </w:rPr>
              <w:tab/>
            </w:r>
            <w:r w:rsidR="00D44BCF" w:rsidRPr="007D3270">
              <w:rPr>
                <w:rStyle w:val="Hyperlink"/>
                <w:noProof/>
              </w:rPr>
              <w:t>The interaction between Part IB and common law sentencing principles</w:t>
            </w:r>
            <w:r w:rsidR="00D44BCF">
              <w:rPr>
                <w:noProof/>
                <w:webHidden/>
              </w:rPr>
              <w:tab/>
            </w:r>
            <w:r w:rsidR="00D44BCF">
              <w:rPr>
                <w:noProof/>
                <w:webHidden/>
              </w:rPr>
              <w:fldChar w:fldCharType="begin"/>
            </w:r>
            <w:r w:rsidR="00D44BCF">
              <w:rPr>
                <w:noProof/>
                <w:webHidden/>
              </w:rPr>
              <w:instrText xml:space="preserve"> PAGEREF _Toc33602775 \h </w:instrText>
            </w:r>
            <w:r w:rsidR="00D44BCF">
              <w:rPr>
                <w:noProof/>
                <w:webHidden/>
              </w:rPr>
            </w:r>
            <w:r w:rsidR="00D44BCF">
              <w:rPr>
                <w:noProof/>
                <w:webHidden/>
              </w:rPr>
              <w:fldChar w:fldCharType="separate"/>
            </w:r>
            <w:r w:rsidR="00D44BCF">
              <w:rPr>
                <w:noProof/>
                <w:webHidden/>
              </w:rPr>
              <w:t>35</w:t>
            </w:r>
            <w:r w:rsidR="00D44BCF">
              <w:rPr>
                <w:noProof/>
                <w:webHidden/>
              </w:rPr>
              <w:fldChar w:fldCharType="end"/>
            </w:r>
          </w:hyperlink>
        </w:p>
        <w:p w14:paraId="4DEC4C59" w14:textId="79AD04F1" w:rsidR="00D44BCF" w:rsidRDefault="00F51B89">
          <w:pPr>
            <w:pStyle w:val="TOC3"/>
            <w:tabs>
              <w:tab w:val="left" w:pos="1320"/>
            </w:tabs>
            <w:rPr>
              <w:noProof/>
              <w:lang w:val="en-AU" w:eastAsia="en-AU"/>
            </w:rPr>
          </w:pPr>
          <w:hyperlink w:anchor="_Toc33602776" w:history="1">
            <w:r w:rsidR="00D44BCF" w:rsidRPr="007D3270">
              <w:rPr>
                <w:rStyle w:val="Hyperlink"/>
                <w:noProof/>
              </w:rPr>
              <w:t>4.1.3</w:t>
            </w:r>
            <w:r w:rsidR="00D44BCF">
              <w:rPr>
                <w:noProof/>
                <w:lang w:val="en-AU" w:eastAsia="en-AU"/>
              </w:rPr>
              <w:tab/>
            </w:r>
            <w:r w:rsidR="00D44BCF" w:rsidRPr="007D3270">
              <w:rPr>
                <w:rStyle w:val="Hyperlink"/>
                <w:noProof/>
              </w:rPr>
              <w:t>Limited scope for applying sentencing principles under State/Territory legislation</w:t>
            </w:r>
            <w:r w:rsidR="00D44BCF">
              <w:rPr>
                <w:noProof/>
                <w:webHidden/>
              </w:rPr>
              <w:tab/>
            </w:r>
            <w:r w:rsidR="00D44BCF">
              <w:rPr>
                <w:noProof/>
                <w:webHidden/>
              </w:rPr>
              <w:fldChar w:fldCharType="begin"/>
            </w:r>
            <w:r w:rsidR="00D44BCF">
              <w:rPr>
                <w:noProof/>
                <w:webHidden/>
              </w:rPr>
              <w:instrText xml:space="preserve"> PAGEREF _Toc33602776 \h </w:instrText>
            </w:r>
            <w:r w:rsidR="00D44BCF">
              <w:rPr>
                <w:noProof/>
                <w:webHidden/>
              </w:rPr>
            </w:r>
            <w:r w:rsidR="00D44BCF">
              <w:rPr>
                <w:noProof/>
                <w:webHidden/>
              </w:rPr>
              <w:fldChar w:fldCharType="separate"/>
            </w:r>
            <w:r w:rsidR="00D44BCF">
              <w:rPr>
                <w:noProof/>
                <w:webHidden/>
              </w:rPr>
              <w:t>35</w:t>
            </w:r>
            <w:r w:rsidR="00D44BCF">
              <w:rPr>
                <w:noProof/>
                <w:webHidden/>
              </w:rPr>
              <w:fldChar w:fldCharType="end"/>
            </w:r>
          </w:hyperlink>
        </w:p>
        <w:p w14:paraId="7D39DE27" w14:textId="74B0922F" w:rsidR="00D44BCF" w:rsidRDefault="00F51B89">
          <w:pPr>
            <w:pStyle w:val="TOC3"/>
            <w:tabs>
              <w:tab w:val="left" w:pos="1320"/>
            </w:tabs>
            <w:rPr>
              <w:noProof/>
              <w:lang w:val="en-AU" w:eastAsia="en-AU"/>
            </w:rPr>
          </w:pPr>
          <w:hyperlink w:anchor="_Toc33602777" w:history="1">
            <w:r w:rsidR="00D44BCF" w:rsidRPr="007D3270">
              <w:rPr>
                <w:rStyle w:val="Hyperlink"/>
                <w:noProof/>
              </w:rPr>
              <w:t>4.1.4</w:t>
            </w:r>
            <w:r w:rsidR="00D44BCF">
              <w:rPr>
                <w:noProof/>
                <w:lang w:val="en-AU" w:eastAsia="en-AU"/>
              </w:rPr>
              <w:tab/>
            </w:r>
            <w:r w:rsidR="00D44BCF" w:rsidRPr="007D3270">
              <w:rPr>
                <w:rStyle w:val="Hyperlink"/>
                <w:noProof/>
              </w:rPr>
              <w:t>Guideline judgments on the exercise of sentencing discretion</w:t>
            </w:r>
            <w:r w:rsidR="00D44BCF">
              <w:rPr>
                <w:noProof/>
                <w:webHidden/>
              </w:rPr>
              <w:tab/>
            </w:r>
            <w:r w:rsidR="00D44BCF">
              <w:rPr>
                <w:noProof/>
                <w:webHidden/>
              </w:rPr>
              <w:fldChar w:fldCharType="begin"/>
            </w:r>
            <w:r w:rsidR="00D44BCF">
              <w:rPr>
                <w:noProof/>
                <w:webHidden/>
              </w:rPr>
              <w:instrText xml:space="preserve"> PAGEREF _Toc33602777 \h </w:instrText>
            </w:r>
            <w:r w:rsidR="00D44BCF">
              <w:rPr>
                <w:noProof/>
                <w:webHidden/>
              </w:rPr>
            </w:r>
            <w:r w:rsidR="00D44BCF">
              <w:rPr>
                <w:noProof/>
                <w:webHidden/>
              </w:rPr>
              <w:fldChar w:fldCharType="separate"/>
            </w:r>
            <w:r w:rsidR="00D44BCF">
              <w:rPr>
                <w:noProof/>
                <w:webHidden/>
              </w:rPr>
              <w:t>36</w:t>
            </w:r>
            <w:r w:rsidR="00D44BCF">
              <w:rPr>
                <w:noProof/>
                <w:webHidden/>
              </w:rPr>
              <w:fldChar w:fldCharType="end"/>
            </w:r>
          </w:hyperlink>
        </w:p>
        <w:p w14:paraId="300C669F" w14:textId="6AB13451" w:rsidR="00D44BCF" w:rsidRDefault="00F51B89">
          <w:pPr>
            <w:pStyle w:val="TOC2"/>
            <w:tabs>
              <w:tab w:val="left" w:pos="880"/>
              <w:tab w:val="right" w:leader="dot" w:pos="9061"/>
            </w:tabs>
            <w:rPr>
              <w:noProof/>
              <w:lang w:val="en-AU" w:eastAsia="en-AU"/>
            </w:rPr>
          </w:pPr>
          <w:hyperlink w:anchor="_Toc33602778" w:history="1">
            <w:r w:rsidR="00D44BCF" w:rsidRPr="007D3270">
              <w:rPr>
                <w:rStyle w:val="Hyperlink"/>
                <w:noProof/>
              </w:rPr>
              <w:t>4.2</w:t>
            </w:r>
            <w:r w:rsidR="00D44BCF">
              <w:rPr>
                <w:noProof/>
                <w:lang w:val="en-AU" w:eastAsia="en-AU"/>
              </w:rPr>
              <w:tab/>
            </w:r>
            <w:r w:rsidR="00D44BCF" w:rsidRPr="007D3270">
              <w:rPr>
                <w:rStyle w:val="Hyperlink"/>
                <w:noProof/>
              </w:rPr>
              <w:t>Severity appropriate in all the circumstances – s 16A(1)</w:t>
            </w:r>
            <w:r w:rsidR="00D44BCF">
              <w:rPr>
                <w:noProof/>
                <w:webHidden/>
              </w:rPr>
              <w:tab/>
            </w:r>
            <w:r w:rsidR="00D44BCF">
              <w:rPr>
                <w:noProof/>
                <w:webHidden/>
              </w:rPr>
              <w:fldChar w:fldCharType="begin"/>
            </w:r>
            <w:r w:rsidR="00D44BCF">
              <w:rPr>
                <w:noProof/>
                <w:webHidden/>
              </w:rPr>
              <w:instrText xml:space="preserve"> PAGEREF _Toc33602778 \h </w:instrText>
            </w:r>
            <w:r w:rsidR="00D44BCF">
              <w:rPr>
                <w:noProof/>
                <w:webHidden/>
              </w:rPr>
            </w:r>
            <w:r w:rsidR="00D44BCF">
              <w:rPr>
                <w:noProof/>
                <w:webHidden/>
              </w:rPr>
              <w:fldChar w:fldCharType="separate"/>
            </w:r>
            <w:r w:rsidR="00D44BCF">
              <w:rPr>
                <w:noProof/>
                <w:webHidden/>
              </w:rPr>
              <w:t>37</w:t>
            </w:r>
            <w:r w:rsidR="00D44BCF">
              <w:rPr>
                <w:noProof/>
                <w:webHidden/>
              </w:rPr>
              <w:fldChar w:fldCharType="end"/>
            </w:r>
          </w:hyperlink>
        </w:p>
        <w:p w14:paraId="66C99D54" w14:textId="749AE5F4" w:rsidR="00D44BCF" w:rsidRDefault="00F51B89">
          <w:pPr>
            <w:pStyle w:val="TOC3"/>
            <w:tabs>
              <w:tab w:val="left" w:pos="1320"/>
            </w:tabs>
            <w:rPr>
              <w:noProof/>
              <w:lang w:val="en-AU" w:eastAsia="en-AU"/>
            </w:rPr>
          </w:pPr>
          <w:hyperlink w:anchor="_Toc33602779" w:history="1">
            <w:r w:rsidR="00D44BCF" w:rsidRPr="007D3270">
              <w:rPr>
                <w:rStyle w:val="Hyperlink"/>
                <w:noProof/>
              </w:rPr>
              <w:t>4.2.1</w:t>
            </w:r>
            <w:r w:rsidR="00D44BCF">
              <w:rPr>
                <w:noProof/>
                <w:lang w:val="en-AU" w:eastAsia="en-AU"/>
              </w:rPr>
              <w:tab/>
            </w:r>
            <w:r w:rsidR="00D44BCF" w:rsidRPr="007D3270">
              <w:rPr>
                <w:rStyle w:val="Hyperlink"/>
                <w:noProof/>
              </w:rPr>
              <w:t>Appropriate severity and the consideration of factors listed in s.16A(2)</w:t>
            </w:r>
            <w:r w:rsidR="00D44BCF">
              <w:rPr>
                <w:noProof/>
                <w:webHidden/>
              </w:rPr>
              <w:tab/>
            </w:r>
            <w:r w:rsidR="00D44BCF">
              <w:rPr>
                <w:noProof/>
                <w:webHidden/>
              </w:rPr>
              <w:fldChar w:fldCharType="begin"/>
            </w:r>
            <w:r w:rsidR="00D44BCF">
              <w:rPr>
                <w:noProof/>
                <w:webHidden/>
              </w:rPr>
              <w:instrText xml:space="preserve"> PAGEREF _Toc33602779 \h </w:instrText>
            </w:r>
            <w:r w:rsidR="00D44BCF">
              <w:rPr>
                <w:noProof/>
                <w:webHidden/>
              </w:rPr>
            </w:r>
            <w:r w:rsidR="00D44BCF">
              <w:rPr>
                <w:noProof/>
                <w:webHidden/>
              </w:rPr>
              <w:fldChar w:fldCharType="separate"/>
            </w:r>
            <w:r w:rsidR="00D44BCF">
              <w:rPr>
                <w:noProof/>
                <w:webHidden/>
              </w:rPr>
              <w:t>37</w:t>
            </w:r>
            <w:r w:rsidR="00D44BCF">
              <w:rPr>
                <w:noProof/>
                <w:webHidden/>
              </w:rPr>
              <w:fldChar w:fldCharType="end"/>
            </w:r>
          </w:hyperlink>
        </w:p>
        <w:p w14:paraId="5FA588DD" w14:textId="2F5C0FEE" w:rsidR="00D44BCF" w:rsidRDefault="00F51B89">
          <w:pPr>
            <w:pStyle w:val="TOC3"/>
            <w:tabs>
              <w:tab w:val="left" w:pos="1320"/>
            </w:tabs>
            <w:rPr>
              <w:noProof/>
              <w:lang w:val="en-AU" w:eastAsia="en-AU"/>
            </w:rPr>
          </w:pPr>
          <w:hyperlink w:anchor="_Toc33602780" w:history="1">
            <w:r w:rsidR="00D44BCF" w:rsidRPr="007D3270">
              <w:rPr>
                <w:rStyle w:val="Hyperlink"/>
                <w:noProof/>
              </w:rPr>
              <w:t>4.2.2</w:t>
            </w:r>
            <w:r w:rsidR="00D44BCF">
              <w:rPr>
                <w:noProof/>
                <w:lang w:val="en-AU" w:eastAsia="en-AU"/>
              </w:rPr>
              <w:tab/>
            </w:r>
            <w:r w:rsidR="00D44BCF" w:rsidRPr="007D3270">
              <w:rPr>
                <w:rStyle w:val="Hyperlink"/>
                <w:noProof/>
              </w:rPr>
              <w:t>Requirements of s 16A also apply to fixing period of imprisonment to be served</w:t>
            </w:r>
            <w:r w:rsidR="00D44BCF">
              <w:rPr>
                <w:noProof/>
                <w:webHidden/>
              </w:rPr>
              <w:tab/>
            </w:r>
            <w:r w:rsidR="00D44BCF">
              <w:rPr>
                <w:noProof/>
                <w:webHidden/>
              </w:rPr>
              <w:fldChar w:fldCharType="begin"/>
            </w:r>
            <w:r w:rsidR="00D44BCF">
              <w:rPr>
                <w:noProof/>
                <w:webHidden/>
              </w:rPr>
              <w:instrText xml:space="preserve"> PAGEREF _Toc33602780 \h </w:instrText>
            </w:r>
            <w:r w:rsidR="00D44BCF">
              <w:rPr>
                <w:noProof/>
                <w:webHidden/>
              </w:rPr>
            </w:r>
            <w:r w:rsidR="00D44BCF">
              <w:rPr>
                <w:noProof/>
                <w:webHidden/>
              </w:rPr>
              <w:fldChar w:fldCharType="separate"/>
            </w:r>
            <w:r w:rsidR="00D44BCF">
              <w:rPr>
                <w:noProof/>
                <w:webHidden/>
              </w:rPr>
              <w:t>38</w:t>
            </w:r>
            <w:r w:rsidR="00D44BCF">
              <w:rPr>
                <w:noProof/>
                <w:webHidden/>
              </w:rPr>
              <w:fldChar w:fldCharType="end"/>
            </w:r>
          </w:hyperlink>
        </w:p>
        <w:p w14:paraId="6C806EF5" w14:textId="06558504" w:rsidR="00D44BCF" w:rsidRDefault="00F51B89">
          <w:pPr>
            <w:pStyle w:val="TOC3"/>
            <w:tabs>
              <w:tab w:val="left" w:pos="1320"/>
            </w:tabs>
            <w:rPr>
              <w:noProof/>
              <w:lang w:val="en-AU" w:eastAsia="en-AU"/>
            </w:rPr>
          </w:pPr>
          <w:hyperlink w:anchor="_Toc33602781" w:history="1">
            <w:r w:rsidR="00D44BCF" w:rsidRPr="007D3270">
              <w:rPr>
                <w:rStyle w:val="Hyperlink"/>
                <w:noProof/>
              </w:rPr>
              <w:t>4.2.3</w:t>
            </w:r>
            <w:r w:rsidR="00D44BCF">
              <w:rPr>
                <w:noProof/>
                <w:lang w:val="en-AU" w:eastAsia="en-AU"/>
              </w:rPr>
              <w:tab/>
            </w:r>
            <w:r w:rsidR="00D44BCF" w:rsidRPr="007D3270">
              <w:rPr>
                <w:rStyle w:val="Hyperlink"/>
                <w:noProof/>
              </w:rPr>
              <w:t>No scope for presumption of imprisonment for an offence</w:t>
            </w:r>
            <w:r w:rsidR="00D44BCF">
              <w:rPr>
                <w:noProof/>
                <w:webHidden/>
              </w:rPr>
              <w:tab/>
            </w:r>
            <w:r w:rsidR="00D44BCF">
              <w:rPr>
                <w:noProof/>
                <w:webHidden/>
              </w:rPr>
              <w:fldChar w:fldCharType="begin"/>
            </w:r>
            <w:r w:rsidR="00D44BCF">
              <w:rPr>
                <w:noProof/>
                <w:webHidden/>
              </w:rPr>
              <w:instrText xml:space="preserve"> PAGEREF _Toc33602781 \h </w:instrText>
            </w:r>
            <w:r w:rsidR="00D44BCF">
              <w:rPr>
                <w:noProof/>
                <w:webHidden/>
              </w:rPr>
            </w:r>
            <w:r w:rsidR="00D44BCF">
              <w:rPr>
                <w:noProof/>
                <w:webHidden/>
              </w:rPr>
              <w:fldChar w:fldCharType="separate"/>
            </w:r>
            <w:r w:rsidR="00D44BCF">
              <w:rPr>
                <w:noProof/>
                <w:webHidden/>
              </w:rPr>
              <w:t>39</w:t>
            </w:r>
            <w:r w:rsidR="00D44BCF">
              <w:rPr>
                <w:noProof/>
                <w:webHidden/>
              </w:rPr>
              <w:fldChar w:fldCharType="end"/>
            </w:r>
          </w:hyperlink>
        </w:p>
        <w:p w14:paraId="162DA3B1" w14:textId="7BDCB775" w:rsidR="00D44BCF" w:rsidRDefault="00F51B89">
          <w:pPr>
            <w:pStyle w:val="TOC3"/>
            <w:tabs>
              <w:tab w:val="left" w:pos="1320"/>
            </w:tabs>
            <w:rPr>
              <w:noProof/>
              <w:lang w:val="en-AU" w:eastAsia="en-AU"/>
            </w:rPr>
          </w:pPr>
          <w:hyperlink w:anchor="_Toc33602782" w:history="1">
            <w:r w:rsidR="00D44BCF" w:rsidRPr="007D3270">
              <w:rPr>
                <w:rStyle w:val="Hyperlink"/>
                <w:noProof/>
              </w:rPr>
              <w:t>4.2.4</w:t>
            </w:r>
            <w:r w:rsidR="00D44BCF">
              <w:rPr>
                <w:noProof/>
                <w:lang w:val="en-AU" w:eastAsia="en-AU"/>
              </w:rPr>
              <w:tab/>
            </w:r>
            <w:r w:rsidR="00D44BCF" w:rsidRPr="007D3270">
              <w:rPr>
                <w:rStyle w:val="Hyperlink"/>
                <w:noProof/>
              </w:rPr>
              <w:t>Assessing the seriousness of the offence by reference to the maximum penalty</w:t>
            </w:r>
            <w:r w:rsidR="00D44BCF">
              <w:rPr>
                <w:noProof/>
                <w:webHidden/>
              </w:rPr>
              <w:tab/>
            </w:r>
            <w:r w:rsidR="00D44BCF">
              <w:rPr>
                <w:noProof/>
                <w:webHidden/>
              </w:rPr>
              <w:fldChar w:fldCharType="begin"/>
            </w:r>
            <w:r w:rsidR="00D44BCF">
              <w:rPr>
                <w:noProof/>
                <w:webHidden/>
              </w:rPr>
              <w:instrText xml:space="preserve"> PAGEREF _Toc33602782 \h </w:instrText>
            </w:r>
            <w:r w:rsidR="00D44BCF">
              <w:rPr>
                <w:noProof/>
                <w:webHidden/>
              </w:rPr>
            </w:r>
            <w:r w:rsidR="00D44BCF">
              <w:rPr>
                <w:noProof/>
                <w:webHidden/>
              </w:rPr>
              <w:fldChar w:fldCharType="separate"/>
            </w:r>
            <w:r w:rsidR="00D44BCF">
              <w:rPr>
                <w:noProof/>
                <w:webHidden/>
              </w:rPr>
              <w:t>39</w:t>
            </w:r>
            <w:r w:rsidR="00D44BCF">
              <w:rPr>
                <w:noProof/>
                <w:webHidden/>
              </w:rPr>
              <w:fldChar w:fldCharType="end"/>
            </w:r>
          </w:hyperlink>
        </w:p>
        <w:p w14:paraId="6FED8C59" w14:textId="780046E6" w:rsidR="00D44BCF" w:rsidRDefault="00F51B89">
          <w:pPr>
            <w:pStyle w:val="TOC3"/>
            <w:tabs>
              <w:tab w:val="left" w:pos="1320"/>
            </w:tabs>
            <w:rPr>
              <w:noProof/>
              <w:lang w:val="en-AU" w:eastAsia="en-AU"/>
            </w:rPr>
          </w:pPr>
          <w:hyperlink w:anchor="_Toc33602783" w:history="1">
            <w:r w:rsidR="00D44BCF" w:rsidRPr="007D3270">
              <w:rPr>
                <w:rStyle w:val="Hyperlink"/>
                <w:noProof/>
              </w:rPr>
              <w:t>4.2.5</w:t>
            </w:r>
            <w:r w:rsidR="00D44BCF">
              <w:rPr>
                <w:noProof/>
                <w:lang w:val="en-AU" w:eastAsia="en-AU"/>
              </w:rPr>
              <w:tab/>
            </w:r>
            <w:r w:rsidR="00D44BCF" w:rsidRPr="007D3270">
              <w:rPr>
                <w:rStyle w:val="Hyperlink"/>
                <w:noProof/>
              </w:rPr>
              <w:t>The availability of another offence with a lesser maximum penalty</w:t>
            </w:r>
            <w:r w:rsidR="00D44BCF">
              <w:rPr>
                <w:noProof/>
                <w:webHidden/>
              </w:rPr>
              <w:tab/>
            </w:r>
            <w:r w:rsidR="00D44BCF">
              <w:rPr>
                <w:noProof/>
                <w:webHidden/>
              </w:rPr>
              <w:fldChar w:fldCharType="begin"/>
            </w:r>
            <w:r w:rsidR="00D44BCF">
              <w:rPr>
                <w:noProof/>
                <w:webHidden/>
              </w:rPr>
              <w:instrText xml:space="preserve"> PAGEREF _Toc33602783 \h </w:instrText>
            </w:r>
            <w:r w:rsidR="00D44BCF">
              <w:rPr>
                <w:noProof/>
                <w:webHidden/>
              </w:rPr>
            </w:r>
            <w:r w:rsidR="00D44BCF">
              <w:rPr>
                <w:noProof/>
                <w:webHidden/>
              </w:rPr>
              <w:fldChar w:fldCharType="separate"/>
            </w:r>
            <w:r w:rsidR="00D44BCF">
              <w:rPr>
                <w:noProof/>
                <w:webHidden/>
              </w:rPr>
              <w:t>40</w:t>
            </w:r>
            <w:r w:rsidR="00D44BCF">
              <w:rPr>
                <w:noProof/>
                <w:webHidden/>
              </w:rPr>
              <w:fldChar w:fldCharType="end"/>
            </w:r>
          </w:hyperlink>
        </w:p>
        <w:p w14:paraId="072E2460" w14:textId="70C0518B" w:rsidR="00D44BCF" w:rsidRDefault="00F51B89">
          <w:pPr>
            <w:pStyle w:val="TOC2"/>
            <w:tabs>
              <w:tab w:val="left" w:pos="880"/>
              <w:tab w:val="right" w:leader="dot" w:pos="9061"/>
            </w:tabs>
            <w:rPr>
              <w:noProof/>
              <w:lang w:val="en-AU" w:eastAsia="en-AU"/>
            </w:rPr>
          </w:pPr>
          <w:hyperlink w:anchor="_Toc33602784" w:history="1">
            <w:r w:rsidR="00D44BCF" w:rsidRPr="007D3270">
              <w:rPr>
                <w:rStyle w:val="Hyperlink"/>
                <w:noProof/>
              </w:rPr>
              <w:t>4.3</w:t>
            </w:r>
            <w:r w:rsidR="00D44BCF">
              <w:rPr>
                <w:noProof/>
                <w:lang w:val="en-AU" w:eastAsia="en-AU"/>
              </w:rPr>
              <w:tab/>
            </w:r>
            <w:r w:rsidR="00D44BCF" w:rsidRPr="007D3270">
              <w:rPr>
                <w:rStyle w:val="Hyperlink"/>
                <w:noProof/>
              </w:rPr>
              <w:t>Other sentences not yet served – s 16B (totality principle)</w:t>
            </w:r>
            <w:r w:rsidR="00D44BCF">
              <w:rPr>
                <w:noProof/>
                <w:webHidden/>
              </w:rPr>
              <w:tab/>
            </w:r>
            <w:r w:rsidR="00D44BCF">
              <w:rPr>
                <w:noProof/>
                <w:webHidden/>
              </w:rPr>
              <w:fldChar w:fldCharType="begin"/>
            </w:r>
            <w:r w:rsidR="00D44BCF">
              <w:rPr>
                <w:noProof/>
                <w:webHidden/>
              </w:rPr>
              <w:instrText xml:space="preserve"> PAGEREF _Toc33602784 \h </w:instrText>
            </w:r>
            <w:r w:rsidR="00D44BCF">
              <w:rPr>
                <w:noProof/>
                <w:webHidden/>
              </w:rPr>
            </w:r>
            <w:r w:rsidR="00D44BCF">
              <w:rPr>
                <w:noProof/>
                <w:webHidden/>
              </w:rPr>
              <w:fldChar w:fldCharType="separate"/>
            </w:r>
            <w:r w:rsidR="00D44BCF">
              <w:rPr>
                <w:noProof/>
                <w:webHidden/>
              </w:rPr>
              <w:t>40</w:t>
            </w:r>
            <w:r w:rsidR="00D44BCF">
              <w:rPr>
                <w:noProof/>
                <w:webHidden/>
              </w:rPr>
              <w:fldChar w:fldCharType="end"/>
            </w:r>
          </w:hyperlink>
        </w:p>
        <w:p w14:paraId="10363C09" w14:textId="403CC937" w:rsidR="00D44BCF" w:rsidRDefault="00F51B89">
          <w:pPr>
            <w:pStyle w:val="TOC2"/>
            <w:tabs>
              <w:tab w:val="left" w:pos="880"/>
              <w:tab w:val="right" w:leader="dot" w:pos="9061"/>
            </w:tabs>
            <w:rPr>
              <w:noProof/>
              <w:lang w:val="en-AU" w:eastAsia="en-AU"/>
            </w:rPr>
          </w:pPr>
          <w:hyperlink w:anchor="_Toc33602785" w:history="1">
            <w:r w:rsidR="00D44BCF" w:rsidRPr="007D3270">
              <w:rPr>
                <w:rStyle w:val="Hyperlink"/>
                <w:noProof/>
              </w:rPr>
              <w:t>4.4</w:t>
            </w:r>
            <w:r w:rsidR="00D44BCF">
              <w:rPr>
                <w:noProof/>
                <w:lang w:val="en-AU" w:eastAsia="en-AU"/>
              </w:rPr>
              <w:tab/>
            </w:r>
            <w:r w:rsidR="00D44BCF" w:rsidRPr="007D3270">
              <w:rPr>
                <w:rStyle w:val="Hyperlink"/>
                <w:noProof/>
              </w:rPr>
              <w:t>Non-exhaustive list of matters – s 16A(2)</w:t>
            </w:r>
            <w:r w:rsidR="00D44BCF">
              <w:rPr>
                <w:noProof/>
                <w:webHidden/>
              </w:rPr>
              <w:tab/>
            </w:r>
            <w:r w:rsidR="00D44BCF">
              <w:rPr>
                <w:noProof/>
                <w:webHidden/>
              </w:rPr>
              <w:fldChar w:fldCharType="begin"/>
            </w:r>
            <w:r w:rsidR="00D44BCF">
              <w:rPr>
                <w:noProof/>
                <w:webHidden/>
              </w:rPr>
              <w:instrText xml:space="preserve"> PAGEREF _Toc33602785 \h </w:instrText>
            </w:r>
            <w:r w:rsidR="00D44BCF">
              <w:rPr>
                <w:noProof/>
                <w:webHidden/>
              </w:rPr>
            </w:r>
            <w:r w:rsidR="00D44BCF">
              <w:rPr>
                <w:noProof/>
                <w:webHidden/>
              </w:rPr>
              <w:fldChar w:fldCharType="separate"/>
            </w:r>
            <w:r w:rsidR="00D44BCF">
              <w:rPr>
                <w:noProof/>
                <w:webHidden/>
              </w:rPr>
              <w:t>41</w:t>
            </w:r>
            <w:r w:rsidR="00D44BCF">
              <w:rPr>
                <w:noProof/>
                <w:webHidden/>
              </w:rPr>
              <w:fldChar w:fldCharType="end"/>
            </w:r>
          </w:hyperlink>
        </w:p>
        <w:p w14:paraId="0BA9F1DA" w14:textId="0B06FF8B" w:rsidR="00D44BCF" w:rsidRDefault="00F51B89">
          <w:pPr>
            <w:pStyle w:val="TOC3"/>
            <w:tabs>
              <w:tab w:val="left" w:pos="1320"/>
            </w:tabs>
            <w:rPr>
              <w:noProof/>
              <w:lang w:val="en-AU" w:eastAsia="en-AU"/>
            </w:rPr>
          </w:pPr>
          <w:hyperlink w:anchor="_Toc33602786" w:history="1">
            <w:r w:rsidR="00D44BCF" w:rsidRPr="007D3270">
              <w:rPr>
                <w:rStyle w:val="Hyperlink"/>
                <w:noProof/>
              </w:rPr>
              <w:t>4.4.1</w:t>
            </w:r>
            <w:r w:rsidR="00D44BCF">
              <w:rPr>
                <w:noProof/>
                <w:lang w:val="en-AU" w:eastAsia="en-AU"/>
              </w:rPr>
              <w:tab/>
            </w:r>
            <w:r w:rsidR="00D44BCF" w:rsidRPr="007D3270">
              <w:rPr>
                <w:rStyle w:val="Hyperlink"/>
                <w:noProof/>
              </w:rPr>
              <w:t>Nature and circumstances of offence – s 16A(2)(a)</w:t>
            </w:r>
            <w:r w:rsidR="00D44BCF">
              <w:rPr>
                <w:noProof/>
                <w:webHidden/>
              </w:rPr>
              <w:tab/>
            </w:r>
            <w:r w:rsidR="00D44BCF">
              <w:rPr>
                <w:noProof/>
                <w:webHidden/>
              </w:rPr>
              <w:fldChar w:fldCharType="begin"/>
            </w:r>
            <w:r w:rsidR="00D44BCF">
              <w:rPr>
                <w:noProof/>
                <w:webHidden/>
              </w:rPr>
              <w:instrText xml:space="preserve"> PAGEREF _Toc33602786 \h </w:instrText>
            </w:r>
            <w:r w:rsidR="00D44BCF">
              <w:rPr>
                <w:noProof/>
                <w:webHidden/>
              </w:rPr>
            </w:r>
            <w:r w:rsidR="00D44BCF">
              <w:rPr>
                <w:noProof/>
                <w:webHidden/>
              </w:rPr>
              <w:fldChar w:fldCharType="separate"/>
            </w:r>
            <w:r w:rsidR="00D44BCF">
              <w:rPr>
                <w:noProof/>
                <w:webHidden/>
              </w:rPr>
              <w:t>42</w:t>
            </w:r>
            <w:r w:rsidR="00D44BCF">
              <w:rPr>
                <w:noProof/>
                <w:webHidden/>
              </w:rPr>
              <w:fldChar w:fldCharType="end"/>
            </w:r>
          </w:hyperlink>
        </w:p>
        <w:p w14:paraId="11AFDDBD" w14:textId="03E18F7E" w:rsidR="00D44BCF" w:rsidRDefault="00F51B89">
          <w:pPr>
            <w:pStyle w:val="TOC3"/>
            <w:tabs>
              <w:tab w:val="left" w:pos="1320"/>
            </w:tabs>
            <w:rPr>
              <w:noProof/>
              <w:lang w:val="en-AU" w:eastAsia="en-AU"/>
            </w:rPr>
          </w:pPr>
          <w:hyperlink w:anchor="_Toc33602787" w:history="1">
            <w:r w:rsidR="00D44BCF" w:rsidRPr="007D3270">
              <w:rPr>
                <w:rStyle w:val="Hyperlink"/>
                <w:noProof/>
              </w:rPr>
              <w:t>4.4.2</w:t>
            </w:r>
            <w:r w:rsidR="00D44BCF">
              <w:rPr>
                <w:noProof/>
                <w:lang w:val="en-AU" w:eastAsia="en-AU"/>
              </w:rPr>
              <w:tab/>
            </w:r>
            <w:r w:rsidR="00D44BCF" w:rsidRPr="007D3270">
              <w:rPr>
                <w:rStyle w:val="Hyperlink"/>
                <w:noProof/>
              </w:rPr>
              <w:t>Other offences taken into account – s 16A(2)(b)</w:t>
            </w:r>
            <w:r w:rsidR="00D44BCF">
              <w:rPr>
                <w:noProof/>
                <w:webHidden/>
              </w:rPr>
              <w:tab/>
            </w:r>
            <w:r w:rsidR="00D44BCF">
              <w:rPr>
                <w:noProof/>
                <w:webHidden/>
              </w:rPr>
              <w:fldChar w:fldCharType="begin"/>
            </w:r>
            <w:r w:rsidR="00D44BCF">
              <w:rPr>
                <w:noProof/>
                <w:webHidden/>
              </w:rPr>
              <w:instrText xml:space="preserve"> PAGEREF _Toc33602787 \h </w:instrText>
            </w:r>
            <w:r w:rsidR="00D44BCF">
              <w:rPr>
                <w:noProof/>
                <w:webHidden/>
              </w:rPr>
            </w:r>
            <w:r w:rsidR="00D44BCF">
              <w:rPr>
                <w:noProof/>
                <w:webHidden/>
              </w:rPr>
              <w:fldChar w:fldCharType="separate"/>
            </w:r>
            <w:r w:rsidR="00D44BCF">
              <w:rPr>
                <w:noProof/>
                <w:webHidden/>
              </w:rPr>
              <w:t>43</w:t>
            </w:r>
            <w:r w:rsidR="00D44BCF">
              <w:rPr>
                <w:noProof/>
                <w:webHidden/>
              </w:rPr>
              <w:fldChar w:fldCharType="end"/>
            </w:r>
          </w:hyperlink>
        </w:p>
        <w:p w14:paraId="22DA4F37" w14:textId="57A3CCF9" w:rsidR="00D44BCF" w:rsidRDefault="00F51B89">
          <w:pPr>
            <w:pStyle w:val="TOC3"/>
            <w:tabs>
              <w:tab w:val="left" w:pos="1320"/>
            </w:tabs>
            <w:rPr>
              <w:noProof/>
              <w:lang w:val="en-AU" w:eastAsia="en-AU"/>
            </w:rPr>
          </w:pPr>
          <w:hyperlink w:anchor="_Toc33602788" w:history="1">
            <w:r w:rsidR="00D44BCF" w:rsidRPr="007D3270">
              <w:rPr>
                <w:rStyle w:val="Hyperlink"/>
                <w:noProof/>
              </w:rPr>
              <w:t>4.4.3</w:t>
            </w:r>
            <w:r w:rsidR="00D44BCF">
              <w:rPr>
                <w:noProof/>
                <w:lang w:val="en-AU" w:eastAsia="en-AU"/>
              </w:rPr>
              <w:tab/>
            </w:r>
            <w:r w:rsidR="00D44BCF" w:rsidRPr="007D3270">
              <w:rPr>
                <w:rStyle w:val="Hyperlink"/>
                <w:noProof/>
              </w:rPr>
              <w:t>Course of conduct – s 16A(2)(c)</w:t>
            </w:r>
            <w:r w:rsidR="00D44BCF">
              <w:rPr>
                <w:noProof/>
                <w:webHidden/>
              </w:rPr>
              <w:tab/>
            </w:r>
            <w:r w:rsidR="00D44BCF">
              <w:rPr>
                <w:noProof/>
                <w:webHidden/>
              </w:rPr>
              <w:fldChar w:fldCharType="begin"/>
            </w:r>
            <w:r w:rsidR="00D44BCF">
              <w:rPr>
                <w:noProof/>
                <w:webHidden/>
              </w:rPr>
              <w:instrText xml:space="preserve"> PAGEREF _Toc33602788 \h </w:instrText>
            </w:r>
            <w:r w:rsidR="00D44BCF">
              <w:rPr>
                <w:noProof/>
                <w:webHidden/>
              </w:rPr>
            </w:r>
            <w:r w:rsidR="00D44BCF">
              <w:rPr>
                <w:noProof/>
                <w:webHidden/>
              </w:rPr>
              <w:fldChar w:fldCharType="separate"/>
            </w:r>
            <w:r w:rsidR="00D44BCF">
              <w:rPr>
                <w:noProof/>
                <w:webHidden/>
              </w:rPr>
              <w:t>44</w:t>
            </w:r>
            <w:r w:rsidR="00D44BCF">
              <w:rPr>
                <w:noProof/>
                <w:webHidden/>
              </w:rPr>
              <w:fldChar w:fldCharType="end"/>
            </w:r>
          </w:hyperlink>
        </w:p>
        <w:p w14:paraId="2C1DA342" w14:textId="18D12AD3" w:rsidR="00D44BCF" w:rsidRDefault="00F51B89">
          <w:pPr>
            <w:pStyle w:val="TOC3"/>
            <w:tabs>
              <w:tab w:val="left" w:pos="1320"/>
            </w:tabs>
            <w:rPr>
              <w:noProof/>
              <w:lang w:val="en-AU" w:eastAsia="en-AU"/>
            </w:rPr>
          </w:pPr>
          <w:hyperlink w:anchor="_Toc33602789" w:history="1">
            <w:r w:rsidR="00D44BCF" w:rsidRPr="007D3270">
              <w:rPr>
                <w:rStyle w:val="Hyperlink"/>
                <w:noProof/>
              </w:rPr>
              <w:t>4.4.4</w:t>
            </w:r>
            <w:r w:rsidR="00D44BCF">
              <w:rPr>
                <w:noProof/>
                <w:lang w:val="en-AU" w:eastAsia="en-AU"/>
              </w:rPr>
              <w:tab/>
            </w:r>
            <w:r w:rsidR="00D44BCF" w:rsidRPr="007D3270">
              <w:rPr>
                <w:rStyle w:val="Hyperlink"/>
                <w:noProof/>
              </w:rPr>
              <w:t>Circumstances of any victim – s 16A(2)(d)</w:t>
            </w:r>
            <w:r w:rsidR="00D44BCF">
              <w:rPr>
                <w:noProof/>
                <w:webHidden/>
              </w:rPr>
              <w:tab/>
            </w:r>
            <w:r w:rsidR="00D44BCF">
              <w:rPr>
                <w:noProof/>
                <w:webHidden/>
              </w:rPr>
              <w:fldChar w:fldCharType="begin"/>
            </w:r>
            <w:r w:rsidR="00D44BCF">
              <w:rPr>
                <w:noProof/>
                <w:webHidden/>
              </w:rPr>
              <w:instrText xml:space="preserve"> PAGEREF _Toc33602789 \h </w:instrText>
            </w:r>
            <w:r w:rsidR="00D44BCF">
              <w:rPr>
                <w:noProof/>
                <w:webHidden/>
              </w:rPr>
            </w:r>
            <w:r w:rsidR="00D44BCF">
              <w:rPr>
                <w:noProof/>
                <w:webHidden/>
              </w:rPr>
              <w:fldChar w:fldCharType="separate"/>
            </w:r>
            <w:r w:rsidR="00D44BCF">
              <w:rPr>
                <w:noProof/>
                <w:webHidden/>
              </w:rPr>
              <w:t>46</w:t>
            </w:r>
            <w:r w:rsidR="00D44BCF">
              <w:rPr>
                <w:noProof/>
                <w:webHidden/>
              </w:rPr>
              <w:fldChar w:fldCharType="end"/>
            </w:r>
          </w:hyperlink>
        </w:p>
        <w:p w14:paraId="080CF040" w14:textId="63020303" w:rsidR="00D44BCF" w:rsidRDefault="00F51B89">
          <w:pPr>
            <w:pStyle w:val="TOC3"/>
            <w:tabs>
              <w:tab w:val="left" w:pos="1320"/>
            </w:tabs>
            <w:rPr>
              <w:noProof/>
              <w:lang w:val="en-AU" w:eastAsia="en-AU"/>
            </w:rPr>
          </w:pPr>
          <w:hyperlink w:anchor="_Toc33602790" w:history="1">
            <w:r w:rsidR="00D44BCF" w:rsidRPr="007D3270">
              <w:rPr>
                <w:rStyle w:val="Hyperlink"/>
                <w:noProof/>
              </w:rPr>
              <w:t>4.4.5</w:t>
            </w:r>
            <w:r w:rsidR="00D44BCF">
              <w:rPr>
                <w:noProof/>
                <w:lang w:val="en-AU" w:eastAsia="en-AU"/>
              </w:rPr>
              <w:tab/>
            </w:r>
            <w:r w:rsidR="00D44BCF" w:rsidRPr="007D3270">
              <w:rPr>
                <w:rStyle w:val="Hyperlink"/>
                <w:noProof/>
              </w:rPr>
              <w:t>Injury, loss or damage resulting from the offence – s 16A(2)(e)</w:t>
            </w:r>
            <w:r w:rsidR="00D44BCF">
              <w:rPr>
                <w:noProof/>
                <w:webHidden/>
              </w:rPr>
              <w:tab/>
            </w:r>
            <w:r w:rsidR="00D44BCF">
              <w:rPr>
                <w:noProof/>
                <w:webHidden/>
              </w:rPr>
              <w:fldChar w:fldCharType="begin"/>
            </w:r>
            <w:r w:rsidR="00D44BCF">
              <w:rPr>
                <w:noProof/>
                <w:webHidden/>
              </w:rPr>
              <w:instrText xml:space="preserve"> PAGEREF _Toc33602790 \h </w:instrText>
            </w:r>
            <w:r w:rsidR="00D44BCF">
              <w:rPr>
                <w:noProof/>
                <w:webHidden/>
              </w:rPr>
            </w:r>
            <w:r w:rsidR="00D44BCF">
              <w:rPr>
                <w:noProof/>
                <w:webHidden/>
              </w:rPr>
              <w:fldChar w:fldCharType="separate"/>
            </w:r>
            <w:r w:rsidR="00D44BCF">
              <w:rPr>
                <w:noProof/>
                <w:webHidden/>
              </w:rPr>
              <w:t>46</w:t>
            </w:r>
            <w:r w:rsidR="00D44BCF">
              <w:rPr>
                <w:noProof/>
                <w:webHidden/>
              </w:rPr>
              <w:fldChar w:fldCharType="end"/>
            </w:r>
          </w:hyperlink>
        </w:p>
        <w:p w14:paraId="73696F7C" w14:textId="76A4523B" w:rsidR="00D44BCF" w:rsidRDefault="00F51B89">
          <w:pPr>
            <w:pStyle w:val="TOC3"/>
            <w:tabs>
              <w:tab w:val="left" w:pos="1320"/>
            </w:tabs>
            <w:rPr>
              <w:noProof/>
              <w:lang w:val="en-AU" w:eastAsia="en-AU"/>
            </w:rPr>
          </w:pPr>
          <w:hyperlink w:anchor="_Toc33602791" w:history="1">
            <w:r w:rsidR="00D44BCF" w:rsidRPr="007D3270">
              <w:rPr>
                <w:rStyle w:val="Hyperlink"/>
                <w:noProof/>
              </w:rPr>
              <w:t>4.4.6</w:t>
            </w:r>
            <w:r w:rsidR="00D44BCF">
              <w:rPr>
                <w:noProof/>
                <w:lang w:val="en-AU" w:eastAsia="en-AU"/>
              </w:rPr>
              <w:tab/>
            </w:r>
            <w:r w:rsidR="00D44BCF" w:rsidRPr="007D3270">
              <w:rPr>
                <w:rStyle w:val="Hyperlink"/>
                <w:noProof/>
              </w:rPr>
              <w:t>Victim impact statements – s 16A(2)(ea)</w:t>
            </w:r>
            <w:r w:rsidR="00D44BCF">
              <w:rPr>
                <w:noProof/>
                <w:webHidden/>
              </w:rPr>
              <w:tab/>
            </w:r>
            <w:r w:rsidR="00D44BCF">
              <w:rPr>
                <w:noProof/>
                <w:webHidden/>
              </w:rPr>
              <w:fldChar w:fldCharType="begin"/>
            </w:r>
            <w:r w:rsidR="00D44BCF">
              <w:rPr>
                <w:noProof/>
                <w:webHidden/>
              </w:rPr>
              <w:instrText xml:space="preserve"> PAGEREF _Toc33602791 \h </w:instrText>
            </w:r>
            <w:r w:rsidR="00D44BCF">
              <w:rPr>
                <w:noProof/>
                <w:webHidden/>
              </w:rPr>
            </w:r>
            <w:r w:rsidR="00D44BCF">
              <w:rPr>
                <w:noProof/>
                <w:webHidden/>
              </w:rPr>
              <w:fldChar w:fldCharType="separate"/>
            </w:r>
            <w:r w:rsidR="00D44BCF">
              <w:rPr>
                <w:noProof/>
                <w:webHidden/>
              </w:rPr>
              <w:t>47</w:t>
            </w:r>
            <w:r w:rsidR="00D44BCF">
              <w:rPr>
                <w:noProof/>
                <w:webHidden/>
              </w:rPr>
              <w:fldChar w:fldCharType="end"/>
            </w:r>
          </w:hyperlink>
        </w:p>
        <w:p w14:paraId="2EE6D6A4" w14:textId="08D22085" w:rsidR="00D44BCF" w:rsidRDefault="00F51B89">
          <w:pPr>
            <w:pStyle w:val="TOC3"/>
            <w:tabs>
              <w:tab w:val="left" w:pos="1320"/>
            </w:tabs>
            <w:rPr>
              <w:noProof/>
              <w:lang w:val="en-AU" w:eastAsia="en-AU"/>
            </w:rPr>
          </w:pPr>
          <w:hyperlink w:anchor="_Toc33602792" w:history="1">
            <w:r w:rsidR="00D44BCF" w:rsidRPr="007D3270">
              <w:rPr>
                <w:rStyle w:val="Hyperlink"/>
                <w:noProof/>
              </w:rPr>
              <w:t>4.4.7</w:t>
            </w:r>
            <w:r w:rsidR="00D44BCF">
              <w:rPr>
                <w:noProof/>
                <w:lang w:val="en-AU" w:eastAsia="en-AU"/>
              </w:rPr>
              <w:tab/>
            </w:r>
            <w:r w:rsidR="00D44BCF" w:rsidRPr="007D3270">
              <w:rPr>
                <w:rStyle w:val="Hyperlink"/>
                <w:noProof/>
              </w:rPr>
              <w:t>Degree to which contrition is shown – s 16A(2)(f)</w:t>
            </w:r>
            <w:r w:rsidR="00D44BCF">
              <w:rPr>
                <w:noProof/>
                <w:webHidden/>
              </w:rPr>
              <w:tab/>
            </w:r>
            <w:r w:rsidR="00D44BCF">
              <w:rPr>
                <w:noProof/>
                <w:webHidden/>
              </w:rPr>
              <w:fldChar w:fldCharType="begin"/>
            </w:r>
            <w:r w:rsidR="00D44BCF">
              <w:rPr>
                <w:noProof/>
                <w:webHidden/>
              </w:rPr>
              <w:instrText xml:space="preserve"> PAGEREF _Toc33602792 \h </w:instrText>
            </w:r>
            <w:r w:rsidR="00D44BCF">
              <w:rPr>
                <w:noProof/>
                <w:webHidden/>
              </w:rPr>
            </w:r>
            <w:r w:rsidR="00D44BCF">
              <w:rPr>
                <w:noProof/>
                <w:webHidden/>
              </w:rPr>
              <w:fldChar w:fldCharType="separate"/>
            </w:r>
            <w:r w:rsidR="00D44BCF">
              <w:rPr>
                <w:noProof/>
                <w:webHidden/>
              </w:rPr>
              <w:t>48</w:t>
            </w:r>
            <w:r w:rsidR="00D44BCF">
              <w:rPr>
                <w:noProof/>
                <w:webHidden/>
              </w:rPr>
              <w:fldChar w:fldCharType="end"/>
            </w:r>
          </w:hyperlink>
        </w:p>
        <w:p w14:paraId="68C52F50" w14:textId="76E74497" w:rsidR="00D44BCF" w:rsidRDefault="00F51B89">
          <w:pPr>
            <w:pStyle w:val="TOC3"/>
            <w:tabs>
              <w:tab w:val="left" w:pos="1320"/>
            </w:tabs>
            <w:rPr>
              <w:noProof/>
              <w:lang w:val="en-AU" w:eastAsia="en-AU"/>
            </w:rPr>
          </w:pPr>
          <w:hyperlink w:anchor="_Toc33602793" w:history="1">
            <w:r w:rsidR="00D44BCF" w:rsidRPr="007D3270">
              <w:rPr>
                <w:rStyle w:val="Hyperlink"/>
                <w:noProof/>
              </w:rPr>
              <w:t>4.4.8</w:t>
            </w:r>
            <w:r w:rsidR="00D44BCF">
              <w:rPr>
                <w:noProof/>
                <w:lang w:val="en-AU" w:eastAsia="en-AU"/>
              </w:rPr>
              <w:tab/>
            </w:r>
            <w:r w:rsidR="00D44BCF" w:rsidRPr="007D3270">
              <w:rPr>
                <w:rStyle w:val="Hyperlink"/>
                <w:noProof/>
              </w:rPr>
              <w:t>The fact of a guilty plea to the charge – s 16A(2)(g)</w:t>
            </w:r>
            <w:r w:rsidR="00D44BCF">
              <w:rPr>
                <w:noProof/>
                <w:webHidden/>
              </w:rPr>
              <w:tab/>
            </w:r>
            <w:r w:rsidR="00D44BCF">
              <w:rPr>
                <w:noProof/>
                <w:webHidden/>
              </w:rPr>
              <w:fldChar w:fldCharType="begin"/>
            </w:r>
            <w:r w:rsidR="00D44BCF">
              <w:rPr>
                <w:noProof/>
                <w:webHidden/>
              </w:rPr>
              <w:instrText xml:space="preserve"> PAGEREF _Toc33602793 \h </w:instrText>
            </w:r>
            <w:r w:rsidR="00D44BCF">
              <w:rPr>
                <w:noProof/>
                <w:webHidden/>
              </w:rPr>
            </w:r>
            <w:r w:rsidR="00D44BCF">
              <w:rPr>
                <w:noProof/>
                <w:webHidden/>
              </w:rPr>
              <w:fldChar w:fldCharType="separate"/>
            </w:r>
            <w:r w:rsidR="00D44BCF">
              <w:rPr>
                <w:noProof/>
                <w:webHidden/>
              </w:rPr>
              <w:t>49</w:t>
            </w:r>
            <w:r w:rsidR="00D44BCF">
              <w:rPr>
                <w:noProof/>
                <w:webHidden/>
              </w:rPr>
              <w:fldChar w:fldCharType="end"/>
            </w:r>
          </w:hyperlink>
        </w:p>
        <w:p w14:paraId="6FB4F2D1" w14:textId="78EDD2CA" w:rsidR="00D44BCF" w:rsidRDefault="00F51B89">
          <w:pPr>
            <w:pStyle w:val="TOC3"/>
            <w:tabs>
              <w:tab w:val="left" w:pos="1320"/>
            </w:tabs>
            <w:rPr>
              <w:noProof/>
              <w:lang w:val="en-AU" w:eastAsia="en-AU"/>
            </w:rPr>
          </w:pPr>
          <w:hyperlink w:anchor="_Toc33602794" w:history="1">
            <w:r w:rsidR="00D44BCF" w:rsidRPr="007D3270">
              <w:rPr>
                <w:rStyle w:val="Hyperlink"/>
                <w:noProof/>
              </w:rPr>
              <w:t>4.4.9</w:t>
            </w:r>
            <w:r w:rsidR="00D44BCF">
              <w:rPr>
                <w:noProof/>
                <w:lang w:val="en-AU" w:eastAsia="en-AU"/>
              </w:rPr>
              <w:tab/>
            </w:r>
            <w:r w:rsidR="00D44BCF" w:rsidRPr="007D3270">
              <w:rPr>
                <w:rStyle w:val="Hyperlink"/>
                <w:noProof/>
              </w:rPr>
              <w:t>Co-operation with law enforcement agencies (past cooperation) – s 16A(2)(h)</w:t>
            </w:r>
            <w:r w:rsidR="00D44BCF">
              <w:rPr>
                <w:noProof/>
                <w:webHidden/>
              </w:rPr>
              <w:tab/>
            </w:r>
            <w:r w:rsidR="00D44BCF">
              <w:rPr>
                <w:noProof/>
                <w:webHidden/>
              </w:rPr>
              <w:fldChar w:fldCharType="begin"/>
            </w:r>
            <w:r w:rsidR="00D44BCF">
              <w:rPr>
                <w:noProof/>
                <w:webHidden/>
              </w:rPr>
              <w:instrText xml:space="preserve"> PAGEREF _Toc33602794 \h </w:instrText>
            </w:r>
            <w:r w:rsidR="00D44BCF">
              <w:rPr>
                <w:noProof/>
                <w:webHidden/>
              </w:rPr>
            </w:r>
            <w:r w:rsidR="00D44BCF">
              <w:rPr>
                <w:noProof/>
                <w:webHidden/>
              </w:rPr>
              <w:fldChar w:fldCharType="separate"/>
            </w:r>
            <w:r w:rsidR="00D44BCF">
              <w:rPr>
                <w:noProof/>
                <w:webHidden/>
              </w:rPr>
              <w:t>53</w:t>
            </w:r>
            <w:r w:rsidR="00D44BCF">
              <w:rPr>
                <w:noProof/>
                <w:webHidden/>
              </w:rPr>
              <w:fldChar w:fldCharType="end"/>
            </w:r>
          </w:hyperlink>
        </w:p>
        <w:p w14:paraId="0BD42534" w14:textId="15F58BAE" w:rsidR="00D44BCF" w:rsidRDefault="00F51B89">
          <w:pPr>
            <w:pStyle w:val="TOC3"/>
            <w:tabs>
              <w:tab w:val="left" w:pos="1320"/>
            </w:tabs>
            <w:rPr>
              <w:noProof/>
              <w:lang w:val="en-AU" w:eastAsia="en-AU"/>
            </w:rPr>
          </w:pPr>
          <w:hyperlink w:anchor="_Toc33602795" w:history="1">
            <w:r w:rsidR="00D44BCF" w:rsidRPr="007D3270">
              <w:rPr>
                <w:rStyle w:val="Hyperlink"/>
                <w:noProof/>
              </w:rPr>
              <w:t>4.4.10</w:t>
            </w:r>
            <w:r w:rsidR="00D44BCF">
              <w:rPr>
                <w:noProof/>
                <w:lang w:val="en-AU" w:eastAsia="en-AU"/>
              </w:rPr>
              <w:tab/>
            </w:r>
            <w:r w:rsidR="00D44BCF" w:rsidRPr="007D3270">
              <w:rPr>
                <w:rStyle w:val="Hyperlink"/>
                <w:noProof/>
              </w:rPr>
              <w:t>Deterrent effect on the offender – s 16A(2)(j)</w:t>
            </w:r>
            <w:r w:rsidR="00D44BCF">
              <w:rPr>
                <w:noProof/>
                <w:webHidden/>
              </w:rPr>
              <w:tab/>
            </w:r>
            <w:r w:rsidR="00D44BCF">
              <w:rPr>
                <w:noProof/>
                <w:webHidden/>
              </w:rPr>
              <w:fldChar w:fldCharType="begin"/>
            </w:r>
            <w:r w:rsidR="00D44BCF">
              <w:rPr>
                <w:noProof/>
                <w:webHidden/>
              </w:rPr>
              <w:instrText xml:space="preserve"> PAGEREF _Toc33602795 \h </w:instrText>
            </w:r>
            <w:r w:rsidR="00D44BCF">
              <w:rPr>
                <w:noProof/>
                <w:webHidden/>
              </w:rPr>
            </w:r>
            <w:r w:rsidR="00D44BCF">
              <w:rPr>
                <w:noProof/>
                <w:webHidden/>
              </w:rPr>
              <w:fldChar w:fldCharType="separate"/>
            </w:r>
            <w:r w:rsidR="00D44BCF">
              <w:rPr>
                <w:noProof/>
                <w:webHidden/>
              </w:rPr>
              <w:t>56</w:t>
            </w:r>
            <w:r w:rsidR="00D44BCF">
              <w:rPr>
                <w:noProof/>
                <w:webHidden/>
              </w:rPr>
              <w:fldChar w:fldCharType="end"/>
            </w:r>
          </w:hyperlink>
        </w:p>
        <w:p w14:paraId="64A3F74F" w14:textId="05D4765A" w:rsidR="00D44BCF" w:rsidRDefault="00F51B89">
          <w:pPr>
            <w:pStyle w:val="TOC3"/>
            <w:tabs>
              <w:tab w:val="left" w:pos="1320"/>
            </w:tabs>
            <w:rPr>
              <w:noProof/>
              <w:lang w:val="en-AU" w:eastAsia="en-AU"/>
            </w:rPr>
          </w:pPr>
          <w:hyperlink w:anchor="_Toc33602796" w:history="1">
            <w:r w:rsidR="00D44BCF" w:rsidRPr="007D3270">
              <w:rPr>
                <w:rStyle w:val="Hyperlink"/>
                <w:noProof/>
              </w:rPr>
              <w:t>4.4.11</w:t>
            </w:r>
            <w:r w:rsidR="00D44BCF">
              <w:rPr>
                <w:noProof/>
                <w:lang w:val="en-AU" w:eastAsia="en-AU"/>
              </w:rPr>
              <w:tab/>
            </w:r>
            <w:r w:rsidR="00D44BCF" w:rsidRPr="007D3270">
              <w:rPr>
                <w:rStyle w:val="Hyperlink"/>
                <w:noProof/>
              </w:rPr>
              <w:t>Deterrent effect on other persons – s 16A(2)(ja)</w:t>
            </w:r>
            <w:r w:rsidR="00D44BCF">
              <w:rPr>
                <w:noProof/>
                <w:webHidden/>
              </w:rPr>
              <w:tab/>
            </w:r>
            <w:r w:rsidR="00D44BCF">
              <w:rPr>
                <w:noProof/>
                <w:webHidden/>
              </w:rPr>
              <w:fldChar w:fldCharType="begin"/>
            </w:r>
            <w:r w:rsidR="00D44BCF">
              <w:rPr>
                <w:noProof/>
                <w:webHidden/>
              </w:rPr>
              <w:instrText xml:space="preserve"> PAGEREF _Toc33602796 \h </w:instrText>
            </w:r>
            <w:r w:rsidR="00D44BCF">
              <w:rPr>
                <w:noProof/>
                <w:webHidden/>
              </w:rPr>
            </w:r>
            <w:r w:rsidR="00D44BCF">
              <w:rPr>
                <w:noProof/>
                <w:webHidden/>
              </w:rPr>
              <w:fldChar w:fldCharType="separate"/>
            </w:r>
            <w:r w:rsidR="00D44BCF">
              <w:rPr>
                <w:noProof/>
                <w:webHidden/>
              </w:rPr>
              <w:t>56</w:t>
            </w:r>
            <w:r w:rsidR="00D44BCF">
              <w:rPr>
                <w:noProof/>
                <w:webHidden/>
              </w:rPr>
              <w:fldChar w:fldCharType="end"/>
            </w:r>
          </w:hyperlink>
        </w:p>
        <w:p w14:paraId="01536D1E" w14:textId="0AFC6BBF" w:rsidR="00D44BCF" w:rsidRDefault="00F51B89">
          <w:pPr>
            <w:pStyle w:val="TOC3"/>
            <w:tabs>
              <w:tab w:val="left" w:pos="1320"/>
            </w:tabs>
            <w:rPr>
              <w:noProof/>
              <w:lang w:val="en-AU" w:eastAsia="en-AU"/>
            </w:rPr>
          </w:pPr>
          <w:hyperlink w:anchor="_Toc33602797" w:history="1">
            <w:r w:rsidR="00D44BCF" w:rsidRPr="007D3270">
              <w:rPr>
                <w:rStyle w:val="Hyperlink"/>
                <w:noProof/>
              </w:rPr>
              <w:t>4.4.12</w:t>
            </w:r>
            <w:r w:rsidR="00D44BCF">
              <w:rPr>
                <w:noProof/>
                <w:lang w:val="en-AU" w:eastAsia="en-AU"/>
              </w:rPr>
              <w:tab/>
            </w:r>
            <w:r w:rsidR="00D44BCF" w:rsidRPr="007D3270">
              <w:rPr>
                <w:rStyle w:val="Hyperlink"/>
                <w:noProof/>
              </w:rPr>
              <w:t>Character, antecedents, age, means, physical/mental condition – s 16A(2)(m)</w:t>
            </w:r>
            <w:r w:rsidR="00D44BCF">
              <w:rPr>
                <w:noProof/>
                <w:webHidden/>
              </w:rPr>
              <w:tab/>
            </w:r>
            <w:r w:rsidR="00D44BCF">
              <w:rPr>
                <w:noProof/>
                <w:webHidden/>
              </w:rPr>
              <w:fldChar w:fldCharType="begin"/>
            </w:r>
            <w:r w:rsidR="00D44BCF">
              <w:rPr>
                <w:noProof/>
                <w:webHidden/>
              </w:rPr>
              <w:instrText xml:space="preserve"> PAGEREF _Toc33602797 \h </w:instrText>
            </w:r>
            <w:r w:rsidR="00D44BCF">
              <w:rPr>
                <w:noProof/>
                <w:webHidden/>
              </w:rPr>
            </w:r>
            <w:r w:rsidR="00D44BCF">
              <w:rPr>
                <w:noProof/>
                <w:webHidden/>
              </w:rPr>
              <w:fldChar w:fldCharType="separate"/>
            </w:r>
            <w:r w:rsidR="00D44BCF">
              <w:rPr>
                <w:noProof/>
                <w:webHidden/>
              </w:rPr>
              <w:t>59</w:t>
            </w:r>
            <w:r w:rsidR="00D44BCF">
              <w:rPr>
                <w:noProof/>
                <w:webHidden/>
              </w:rPr>
              <w:fldChar w:fldCharType="end"/>
            </w:r>
          </w:hyperlink>
        </w:p>
        <w:p w14:paraId="788DBC16" w14:textId="66569A6D" w:rsidR="00D44BCF" w:rsidRDefault="00F51B89">
          <w:pPr>
            <w:pStyle w:val="TOC3"/>
            <w:tabs>
              <w:tab w:val="left" w:pos="1320"/>
            </w:tabs>
            <w:rPr>
              <w:noProof/>
              <w:lang w:val="en-AU" w:eastAsia="en-AU"/>
            </w:rPr>
          </w:pPr>
          <w:hyperlink w:anchor="_Toc33602798" w:history="1">
            <w:r w:rsidR="00D44BCF" w:rsidRPr="007D3270">
              <w:rPr>
                <w:rStyle w:val="Hyperlink"/>
                <w:noProof/>
              </w:rPr>
              <w:t>4.4.13</w:t>
            </w:r>
            <w:r w:rsidR="00D44BCF">
              <w:rPr>
                <w:noProof/>
                <w:lang w:val="en-AU" w:eastAsia="en-AU"/>
              </w:rPr>
              <w:tab/>
            </w:r>
            <w:r w:rsidR="00D44BCF" w:rsidRPr="007D3270">
              <w:rPr>
                <w:rStyle w:val="Hyperlink"/>
                <w:noProof/>
              </w:rPr>
              <w:t>Prospects of rehabilitation – s 16A(2)(n)</w:t>
            </w:r>
            <w:r w:rsidR="00D44BCF">
              <w:rPr>
                <w:noProof/>
                <w:webHidden/>
              </w:rPr>
              <w:tab/>
            </w:r>
            <w:r w:rsidR="00D44BCF">
              <w:rPr>
                <w:noProof/>
                <w:webHidden/>
              </w:rPr>
              <w:fldChar w:fldCharType="begin"/>
            </w:r>
            <w:r w:rsidR="00D44BCF">
              <w:rPr>
                <w:noProof/>
                <w:webHidden/>
              </w:rPr>
              <w:instrText xml:space="preserve"> PAGEREF _Toc33602798 \h </w:instrText>
            </w:r>
            <w:r w:rsidR="00D44BCF">
              <w:rPr>
                <w:noProof/>
                <w:webHidden/>
              </w:rPr>
            </w:r>
            <w:r w:rsidR="00D44BCF">
              <w:rPr>
                <w:noProof/>
                <w:webHidden/>
              </w:rPr>
              <w:fldChar w:fldCharType="separate"/>
            </w:r>
            <w:r w:rsidR="00D44BCF">
              <w:rPr>
                <w:noProof/>
                <w:webHidden/>
              </w:rPr>
              <w:t>65</w:t>
            </w:r>
            <w:r w:rsidR="00D44BCF">
              <w:rPr>
                <w:noProof/>
                <w:webHidden/>
              </w:rPr>
              <w:fldChar w:fldCharType="end"/>
            </w:r>
          </w:hyperlink>
        </w:p>
        <w:p w14:paraId="70758DEE" w14:textId="26658308" w:rsidR="00D44BCF" w:rsidRDefault="00F51B89">
          <w:pPr>
            <w:pStyle w:val="TOC3"/>
            <w:tabs>
              <w:tab w:val="left" w:pos="1320"/>
            </w:tabs>
            <w:rPr>
              <w:noProof/>
              <w:lang w:val="en-AU" w:eastAsia="en-AU"/>
            </w:rPr>
          </w:pPr>
          <w:hyperlink w:anchor="_Toc33602799" w:history="1">
            <w:r w:rsidR="00D44BCF" w:rsidRPr="007D3270">
              <w:rPr>
                <w:rStyle w:val="Hyperlink"/>
                <w:noProof/>
              </w:rPr>
              <w:t>4.4.14</w:t>
            </w:r>
            <w:r w:rsidR="00D44BCF">
              <w:rPr>
                <w:noProof/>
                <w:lang w:val="en-AU" w:eastAsia="en-AU"/>
              </w:rPr>
              <w:tab/>
            </w:r>
            <w:r w:rsidR="00D44BCF" w:rsidRPr="007D3270">
              <w:rPr>
                <w:rStyle w:val="Hyperlink"/>
                <w:noProof/>
              </w:rPr>
              <w:t>Effect on Family – s 16A(2)(p)</w:t>
            </w:r>
            <w:r w:rsidR="00D44BCF">
              <w:rPr>
                <w:noProof/>
                <w:webHidden/>
              </w:rPr>
              <w:tab/>
            </w:r>
            <w:r w:rsidR="00D44BCF">
              <w:rPr>
                <w:noProof/>
                <w:webHidden/>
              </w:rPr>
              <w:fldChar w:fldCharType="begin"/>
            </w:r>
            <w:r w:rsidR="00D44BCF">
              <w:rPr>
                <w:noProof/>
                <w:webHidden/>
              </w:rPr>
              <w:instrText xml:space="preserve"> PAGEREF _Toc33602799 \h </w:instrText>
            </w:r>
            <w:r w:rsidR="00D44BCF">
              <w:rPr>
                <w:noProof/>
                <w:webHidden/>
              </w:rPr>
            </w:r>
            <w:r w:rsidR="00D44BCF">
              <w:rPr>
                <w:noProof/>
                <w:webHidden/>
              </w:rPr>
              <w:fldChar w:fldCharType="separate"/>
            </w:r>
            <w:r w:rsidR="00D44BCF">
              <w:rPr>
                <w:noProof/>
                <w:webHidden/>
              </w:rPr>
              <w:t>66</w:t>
            </w:r>
            <w:r w:rsidR="00D44BCF">
              <w:rPr>
                <w:noProof/>
                <w:webHidden/>
              </w:rPr>
              <w:fldChar w:fldCharType="end"/>
            </w:r>
          </w:hyperlink>
        </w:p>
        <w:p w14:paraId="68D2C517" w14:textId="38C14296" w:rsidR="00D44BCF" w:rsidRDefault="00F51B89">
          <w:pPr>
            <w:pStyle w:val="TOC2"/>
            <w:tabs>
              <w:tab w:val="left" w:pos="880"/>
              <w:tab w:val="right" w:leader="dot" w:pos="9061"/>
            </w:tabs>
            <w:rPr>
              <w:noProof/>
              <w:lang w:val="en-AU" w:eastAsia="en-AU"/>
            </w:rPr>
          </w:pPr>
          <w:hyperlink w:anchor="_Toc33602800" w:history="1">
            <w:r w:rsidR="00D44BCF" w:rsidRPr="007D3270">
              <w:rPr>
                <w:rStyle w:val="Hyperlink"/>
                <w:noProof/>
              </w:rPr>
              <w:t>4.5</w:t>
            </w:r>
            <w:r w:rsidR="00D44BCF">
              <w:rPr>
                <w:noProof/>
                <w:lang w:val="en-AU" w:eastAsia="en-AU"/>
              </w:rPr>
              <w:tab/>
            </w:r>
            <w:r w:rsidR="00D44BCF" w:rsidRPr="007D3270">
              <w:rPr>
                <w:rStyle w:val="Hyperlink"/>
                <w:noProof/>
              </w:rPr>
              <w:t>Other matters not referred to in s 16A(2)</w:t>
            </w:r>
            <w:r w:rsidR="00D44BCF">
              <w:rPr>
                <w:noProof/>
                <w:webHidden/>
              </w:rPr>
              <w:tab/>
            </w:r>
            <w:r w:rsidR="00D44BCF">
              <w:rPr>
                <w:noProof/>
                <w:webHidden/>
              </w:rPr>
              <w:fldChar w:fldCharType="begin"/>
            </w:r>
            <w:r w:rsidR="00D44BCF">
              <w:rPr>
                <w:noProof/>
                <w:webHidden/>
              </w:rPr>
              <w:instrText xml:space="preserve"> PAGEREF _Toc33602800 \h </w:instrText>
            </w:r>
            <w:r w:rsidR="00D44BCF">
              <w:rPr>
                <w:noProof/>
                <w:webHidden/>
              </w:rPr>
            </w:r>
            <w:r w:rsidR="00D44BCF">
              <w:rPr>
                <w:noProof/>
                <w:webHidden/>
              </w:rPr>
              <w:fldChar w:fldCharType="separate"/>
            </w:r>
            <w:r w:rsidR="00D44BCF">
              <w:rPr>
                <w:noProof/>
                <w:webHidden/>
              </w:rPr>
              <w:t>68</w:t>
            </w:r>
            <w:r w:rsidR="00D44BCF">
              <w:rPr>
                <w:noProof/>
                <w:webHidden/>
              </w:rPr>
              <w:fldChar w:fldCharType="end"/>
            </w:r>
          </w:hyperlink>
        </w:p>
        <w:p w14:paraId="78DFF744" w14:textId="389F4301" w:rsidR="00D44BCF" w:rsidRDefault="00F51B89">
          <w:pPr>
            <w:pStyle w:val="TOC3"/>
            <w:tabs>
              <w:tab w:val="left" w:pos="1320"/>
            </w:tabs>
            <w:rPr>
              <w:noProof/>
              <w:lang w:val="en-AU" w:eastAsia="en-AU"/>
            </w:rPr>
          </w:pPr>
          <w:hyperlink w:anchor="_Toc33602801" w:history="1">
            <w:r w:rsidR="00D44BCF" w:rsidRPr="007D3270">
              <w:rPr>
                <w:rStyle w:val="Hyperlink"/>
                <w:noProof/>
              </w:rPr>
              <w:t>4.5.1</w:t>
            </w:r>
            <w:r w:rsidR="00D44BCF">
              <w:rPr>
                <w:noProof/>
                <w:lang w:val="en-AU" w:eastAsia="en-AU"/>
              </w:rPr>
              <w:tab/>
            </w:r>
            <w:r w:rsidR="00D44BCF" w:rsidRPr="007D3270">
              <w:rPr>
                <w:rStyle w:val="Hyperlink"/>
                <w:noProof/>
              </w:rPr>
              <w:t>Community protection</w:t>
            </w:r>
            <w:r w:rsidR="00D44BCF">
              <w:rPr>
                <w:noProof/>
                <w:webHidden/>
              </w:rPr>
              <w:tab/>
            </w:r>
            <w:r w:rsidR="00D44BCF">
              <w:rPr>
                <w:noProof/>
                <w:webHidden/>
              </w:rPr>
              <w:fldChar w:fldCharType="begin"/>
            </w:r>
            <w:r w:rsidR="00D44BCF">
              <w:rPr>
                <w:noProof/>
                <w:webHidden/>
              </w:rPr>
              <w:instrText xml:space="preserve"> PAGEREF _Toc33602801 \h </w:instrText>
            </w:r>
            <w:r w:rsidR="00D44BCF">
              <w:rPr>
                <w:noProof/>
                <w:webHidden/>
              </w:rPr>
            </w:r>
            <w:r w:rsidR="00D44BCF">
              <w:rPr>
                <w:noProof/>
                <w:webHidden/>
              </w:rPr>
              <w:fldChar w:fldCharType="separate"/>
            </w:r>
            <w:r w:rsidR="00D44BCF">
              <w:rPr>
                <w:noProof/>
                <w:webHidden/>
              </w:rPr>
              <w:t>68</w:t>
            </w:r>
            <w:r w:rsidR="00D44BCF">
              <w:rPr>
                <w:noProof/>
                <w:webHidden/>
              </w:rPr>
              <w:fldChar w:fldCharType="end"/>
            </w:r>
          </w:hyperlink>
        </w:p>
        <w:p w14:paraId="431DEBD5" w14:textId="21B24705" w:rsidR="00D44BCF" w:rsidRDefault="00F51B89">
          <w:pPr>
            <w:pStyle w:val="TOC3"/>
            <w:tabs>
              <w:tab w:val="left" w:pos="1320"/>
            </w:tabs>
            <w:rPr>
              <w:noProof/>
              <w:lang w:val="en-AU" w:eastAsia="en-AU"/>
            </w:rPr>
          </w:pPr>
          <w:hyperlink w:anchor="_Toc33602802" w:history="1">
            <w:r w:rsidR="00D44BCF" w:rsidRPr="007D3270">
              <w:rPr>
                <w:rStyle w:val="Hyperlink"/>
                <w:noProof/>
              </w:rPr>
              <w:t>4.5.2</w:t>
            </w:r>
            <w:r w:rsidR="00D44BCF">
              <w:rPr>
                <w:noProof/>
                <w:lang w:val="en-AU" w:eastAsia="en-AU"/>
              </w:rPr>
              <w:tab/>
            </w:r>
            <w:r w:rsidR="00D44BCF" w:rsidRPr="007D3270">
              <w:rPr>
                <w:rStyle w:val="Hyperlink"/>
                <w:noProof/>
              </w:rPr>
              <w:t>Parity</w:t>
            </w:r>
            <w:r w:rsidR="00D44BCF">
              <w:rPr>
                <w:noProof/>
                <w:webHidden/>
              </w:rPr>
              <w:tab/>
            </w:r>
            <w:r w:rsidR="00D44BCF">
              <w:rPr>
                <w:noProof/>
                <w:webHidden/>
              </w:rPr>
              <w:fldChar w:fldCharType="begin"/>
            </w:r>
            <w:r w:rsidR="00D44BCF">
              <w:rPr>
                <w:noProof/>
                <w:webHidden/>
              </w:rPr>
              <w:instrText xml:space="preserve"> PAGEREF _Toc33602802 \h </w:instrText>
            </w:r>
            <w:r w:rsidR="00D44BCF">
              <w:rPr>
                <w:noProof/>
                <w:webHidden/>
              </w:rPr>
            </w:r>
            <w:r w:rsidR="00D44BCF">
              <w:rPr>
                <w:noProof/>
                <w:webHidden/>
              </w:rPr>
              <w:fldChar w:fldCharType="separate"/>
            </w:r>
            <w:r w:rsidR="00D44BCF">
              <w:rPr>
                <w:noProof/>
                <w:webHidden/>
              </w:rPr>
              <w:t>69</w:t>
            </w:r>
            <w:r w:rsidR="00D44BCF">
              <w:rPr>
                <w:noProof/>
                <w:webHidden/>
              </w:rPr>
              <w:fldChar w:fldCharType="end"/>
            </w:r>
          </w:hyperlink>
        </w:p>
        <w:p w14:paraId="6DED153B" w14:textId="61BE7BD9" w:rsidR="00D44BCF" w:rsidRDefault="00F51B89">
          <w:pPr>
            <w:pStyle w:val="TOC3"/>
            <w:tabs>
              <w:tab w:val="left" w:pos="1320"/>
            </w:tabs>
            <w:rPr>
              <w:noProof/>
              <w:lang w:val="en-AU" w:eastAsia="en-AU"/>
            </w:rPr>
          </w:pPr>
          <w:hyperlink w:anchor="_Toc33602803" w:history="1">
            <w:r w:rsidR="00D44BCF" w:rsidRPr="007D3270">
              <w:rPr>
                <w:rStyle w:val="Hyperlink"/>
                <w:noProof/>
              </w:rPr>
              <w:t>4.5.3</w:t>
            </w:r>
            <w:r w:rsidR="00D44BCF">
              <w:rPr>
                <w:noProof/>
                <w:lang w:val="en-AU" w:eastAsia="en-AU"/>
              </w:rPr>
              <w:tab/>
            </w:r>
            <w:r w:rsidR="00D44BCF" w:rsidRPr="007D3270">
              <w:rPr>
                <w:rStyle w:val="Hyperlink"/>
                <w:noProof/>
              </w:rPr>
              <w:t>Delay</w:t>
            </w:r>
            <w:r w:rsidR="00D44BCF">
              <w:rPr>
                <w:noProof/>
                <w:webHidden/>
              </w:rPr>
              <w:tab/>
            </w:r>
            <w:r w:rsidR="00D44BCF">
              <w:rPr>
                <w:noProof/>
                <w:webHidden/>
              </w:rPr>
              <w:fldChar w:fldCharType="begin"/>
            </w:r>
            <w:r w:rsidR="00D44BCF">
              <w:rPr>
                <w:noProof/>
                <w:webHidden/>
              </w:rPr>
              <w:instrText xml:space="preserve"> PAGEREF _Toc33602803 \h </w:instrText>
            </w:r>
            <w:r w:rsidR="00D44BCF">
              <w:rPr>
                <w:noProof/>
                <w:webHidden/>
              </w:rPr>
            </w:r>
            <w:r w:rsidR="00D44BCF">
              <w:rPr>
                <w:noProof/>
                <w:webHidden/>
              </w:rPr>
              <w:fldChar w:fldCharType="separate"/>
            </w:r>
            <w:r w:rsidR="00D44BCF">
              <w:rPr>
                <w:noProof/>
                <w:webHidden/>
              </w:rPr>
              <w:t>70</w:t>
            </w:r>
            <w:r w:rsidR="00D44BCF">
              <w:rPr>
                <w:noProof/>
                <w:webHidden/>
              </w:rPr>
              <w:fldChar w:fldCharType="end"/>
            </w:r>
          </w:hyperlink>
        </w:p>
        <w:p w14:paraId="3B5463E2" w14:textId="07F92A80" w:rsidR="00D44BCF" w:rsidRDefault="00F51B89">
          <w:pPr>
            <w:pStyle w:val="TOC3"/>
            <w:tabs>
              <w:tab w:val="left" w:pos="1320"/>
            </w:tabs>
            <w:rPr>
              <w:noProof/>
              <w:lang w:val="en-AU" w:eastAsia="en-AU"/>
            </w:rPr>
          </w:pPr>
          <w:hyperlink w:anchor="_Toc33602804" w:history="1">
            <w:r w:rsidR="00D44BCF" w:rsidRPr="007D3270">
              <w:rPr>
                <w:rStyle w:val="Hyperlink"/>
                <w:bCs/>
                <w:noProof/>
              </w:rPr>
              <w:t>4.5.4</w:t>
            </w:r>
            <w:r w:rsidR="00D44BCF">
              <w:rPr>
                <w:noProof/>
                <w:lang w:val="en-AU" w:eastAsia="en-AU"/>
              </w:rPr>
              <w:tab/>
            </w:r>
            <w:r w:rsidR="00D44BCF" w:rsidRPr="007D3270">
              <w:rPr>
                <w:rStyle w:val="Hyperlink"/>
                <w:bCs/>
                <w:noProof/>
              </w:rPr>
              <w:t>Cooperation in the conduct of criminal proceedings against the offender</w:t>
            </w:r>
            <w:r w:rsidR="00D44BCF">
              <w:rPr>
                <w:noProof/>
                <w:webHidden/>
              </w:rPr>
              <w:tab/>
            </w:r>
            <w:r w:rsidR="00D44BCF">
              <w:rPr>
                <w:noProof/>
                <w:webHidden/>
              </w:rPr>
              <w:fldChar w:fldCharType="begin"/>
            </w:r>
            <w:r w:rsidR="00D44BCF">
              <w:rPr>
                <w:noProof/>
                <w:webHidden/>
              </w:rPr>
              <w:instrText xml:space="preserve"> PAGEREF _Toc33602804 \h </w:instrText>
            </w:r>
            <w:r w:rsidR="00D44BCF">
              <w:rPr>
                <w:noProof/>
                <w:webHidden/>
              </w:rPr>
            </w:r>
            <w:r w:rsidR="00D44BCF">
              <w:rPr>
                <w:noProof/>
                <w:webHidden/>
              </w:rPr>
              <w:fldChar w:fldCharType="separate"/>
            </w:r>
            <w:r w:rsidR="00D44BCF">
              <w:rPr>
                <w:noProof/>
                <w:webHidden/>
              </w:rPr>
              <w:t>73</w:t>
            </w:r>
            <w:r w:rsidR="00D44BCF">
              <w:rPr>
                <w:noProof/>
                <w:webHidden/>
              </w:rPr>
              <w:fldChar w:fldCharType="end"/>
            </w:r>
          </w:hyperlink>
        </w:p>
        <w:p w14:paraId="2F889ADC" w14:textId="2F529CFF" w:rsidR="00D44BCF" w:rsidRDefault="00F51B89">
          <w:pPr>
            <w:pStyle w:val="TOC3"/>
            <w:tabs>
              <w:tab w:val="left" w:pos="1320"/>
            </w:tabs>
            <w:rPr>
              <w:noProof/>
              <w:lang w:val="en-AU" w:eastAsia="en-AU"/>
            </w:rPr>
          </w:pPr>
          <w:hyperlink w:anchor="_Toc33602805" w:history="1">
            <w:r w:rsidR="00D44BCF" w:rsidRPr="007D3270">
              <w:rPr>
                <w:rStyle w:val="Hyperlink"/>
                <w:noProof/>
              </w:rPr>
              <w:t>4.5.5</w:t>
            </w:r>
            <w:r w:rsidR="00D44BCF">
              <w:rPr>
                <w:noProof/>
                <w:lang w:val="en-AU" w:eastAsia="en-AU"/>
              </w:rPr>
              <w:tab/>
            </w:r>
            <w:r w:rsidR="00D44BCF" w:rsidRPr="007D3270">
              <w:rPr>
                <w:rStyle w:val="Hyperlink"/>
                <w:noProof/>
              </w:rPr>
              <w:t>Cultural background of the offender</w:t>
            </w:r>
            <w:r w:rsidR="00D44BCF">
              <w:rPr>
                <w:noProof/>
                <w:webHidden/>
              </w:rPr>
              <w:tab/>
            </w:r>
            <w:r w:rsidR="00D44BCF">
              <w:rPr>
                <w:noProof/>
                <w:webHidden/>
              </w:rPr>
              <w:fldChar w:fldCharType="begin"/>
            </w:r>
            <w:r w:rsidR="00D44BCF">
              <w:rPr>
                <w:noProof/>
                <w:webHidden/>
              </w:rPr>
              <w:instrText xml:space="preserve"> PAGEREF _Toc33602805 \h </w:instrText>
            </w:r>
            <w:r w:rsidR="00D44BCF">
              <w:rPr>
                <w:noProof/>
                <w:webHidden/>
              </w:rPr>
            </w:r>
            <w:r w:rsidR="00D44BCF">
              <w:rPr>
                <w:noProof/>
                <w:webHidden/>
              </w:rPr>
              <w:fldChar w:fldCharType="separate"/>
            </w:r>
            <w:r w:rsidR="00D44BCF">
              <w:rPr>
                <w:noProof/>
                <w:webHidden/>
              </w:rPr>
              <w:t>74</w:t>
            </w:r>
            <w:r w:rsidR="00D44BCF">
              <w:rPr>
                <w:noProof/>
                <w:webHidden/>
              </w:rPr>
              <w:fldChar w:fldCharType="end"/>
            </w:r>
          </w:hyperlink>
        </w:p>
        <w:p w14:paraId="26A9C7E2" w14:textId="6534C105" w:rsidR="00D44BCF" w:rsidRDefault="00F51B89">
          <w:pPr>
            <w:pStyle w:val="TOC3"/>
            <w:tabs>
              <w:tab w:val="left" w:pos="1320"/>
            </w:tabs>
            <w:rPr>
              <w:noProof/>
              <w:lang w:val="en-AU" w:eastAsia="en-AU"/>
            </w:rPr>
          </w:pPr>
          <w:hyperlink w:anchor="_Toc33602806" w:history="1">
            <w:r w:rsidR="00D44BCF" w:rsidRPr="007D3270">
              <w:rPr>
                <w:rStyle w:val="Hyperlink"/>
                <w:noProof/>
              </w:rPr>
              <w:t>4.5.6</w:t>
            </w:r>
            <w:r w:rsidR="00D44BCF">
              <w:rPr>
                <w:noProof/>
                <w:lang w:val="en-AU" w:eastAsia="en-AU"/>
              </w:rPr>
              <w:tab/>
            </w:r>
            <w:r w:rsidR="00D44BCF" w:rsidRPr="007D3270">
              <w:rPr>
                <w:rStyle w:val="Hyperlink"/>
                <w:noProof/>
              </w:rPr>
              <w:t>“Extra-curial punishment” generally</w:t>
            </w:r>
            <w:r w:rsidR="00D44BCF">
              <w:rPr>
                <w:noProof/>
                <w:webHidden/>
              </w:rPr>
              <w:tab/>
            </w:r>
            <w:r w:rsidR="00D44BCF">
              <w:rPr>
                <w:noProof/>
                <w:webHidden/>
              </w:rPr>
              <w:fldChar w:fldCharType="begin"/>
            </w:r>
            <w:r w:rsidR="00D44BCF">
              <w:rPr>
                <w:noProof/>
                <w:webHidden/>
              </w:rPr>
              <w:instrText xml:space="preserve"> PAGEREF _Toc33602806 \h </w:instrText>
            </w:r>
            <w:r w:rsidR="00D44BCF">
              <w:rPr>
                <w:noProof/>
                <w:webHidden/>
              </w:rPr>
            </w:r>
            <w:r w:rsidR="00D44BCF">
              <w:rPr>
                <w:noProof/>
                <w:webHidden/>
              </w:rPr>
              <w:fldChar w:fldCharType="separate"/>
            </w:r>
            <w:r w:rsidR="00D44BCF">
              <w:rPr>
                <w:noProof/>
                <w:webHidden/>
              </w:rPr>
              <w:t>74</w:t>
            </w:r>
            <w:r w:rsidR="00D44BCF">
              <w:rPr>
                <w:noProof/>
                <w:webHidden/>
              </w:rPr>
              <w:fldChar w:fldCharType="end"/>
            </w:r>
          </w:hyperlink>
        </w:p>
        <w:p w14:paraId="5A65FA66" w14:textId="0997E2F1" w:rsidR="00D44BCF" w:rsidRDefault="00F51B89">
          <w:pPr>
            <w:pStyle w:val="TOC3"/>
            <w:tabs>
              <w:tab w:val="left" w:pos="1320"/>
            </w:tabs>
            <w:rPr>
              <w:noProof/>
              <w:lang w:val="en-AU" w:eastAsia="en-AU"/>
            </w:rPr>
          </w:pPr>
          <w:hyperlink w:anchor="_Toc33602807" w:history="1">
            <w:r w:rsidR="00D44BCF" w:rsidRPr="007D3270">
              <w:rPr>
                <w:rStyle w:val="Hyperlink"/>
                <w:noProof/>
              </w:rPr>
              <w:t>4.5.7</w:t>
            </w:r>
            <w:r w:rsidR="00D44BCF">
              <w:rPr>
                <w:noProof/>
                <w:lang w:val="en-AU" w:eastAsia="en-AU"/>
              </w:rPr>
              <w:tab/>
            </w:r>
            <w:r w:rsidR="00D44BCF" w:rsidRPr="007D3270">
              <w:rPr>
                <w:rStyle w:val="Hyperlink"/>
                <w:noProof/>
              </w:rPr>
              <w:t>Prospect of visa cancellation and deportation</w:t>
            </w:r>
            <w:r w:rsidR="00D44BCF">
              <w:rPr>
                <w:noProof/>
                <w:webHidden/>
              </w:rPr>
              <w:tab/>
            </w:r>
            <w:r w:rsidR="00D44BCF">
              <w:rPr>
                <w:noProof/>
                <w:webHidden/>
              </w:rPr>
              <w:fldChar w:fldCharType="begin"/>
            </w:r>
            <w:r w:rsidR="00D44BCF">
              <w:rPr>
                <w:noProof/>
                <w:webHidden/>
              </w:rPr>
              <w:instrText xml:space="preserve"> PAGEREF _Toc33602807 \h </w:instrText>
            </w:r>
            <w:r w:rsidR="00D44BCF">
              <w:rPr>
                <w:noProof/>
                <w:webHidden/>
              </w:rPr>
            </w:r>
            <w:r w:rsidR="00D44BCF">
              <w:rPr>
                <w:noProof/>
                <w:webHidden/>
              </w:rPr>
              <w:fldChar w:fldCharType="separate"/>
            </w:r>
            <w:r w:rsidR="00D44BCF">
              <w:rPr>
                <w:noProof/>
                <w:webHidden/>
              </w:rPr>
              <w:t>77</w:t>
            </w:r>
            <w:r w:rsidR="00D44BCF">
              <w:rPr>
                <w:noProof/>
                <w:webHidden/>
              </w:rPr>
              <w:fldChar w:fldCharType="end"/>
            </w:r>
          </w:hyperlink>
        </w:p>
        <w:p w14:paraId="1543F7F8" w14:textId="327CD08B" w:rsidR="00D44BCF" w:rsidRDefault="00F51B89">
          <w:pPr>
            <w:pStyle w:val="TOC3"/>
            <w:tabs>
              <w:tab w:val="left" w:pos="1320"/>
            </w:tabs>
            <w:rPr>
              <w:noProof/>
              <w:lang w:val="en-AU" w:eastAsia="en-AU"/>
            </w:rPr>
          </w:pPr>
          <w:hyperlink w:anchor="_Toc33602808" w:history="1">
            <w:r w:rsidR="00D44BCF" w:rsidRPr="007D3270">
              <w:rPr>
                <w:rStyle w:val="Hyperlink"/>
                <w:noProof/>
              </w:rPr>
              <w:t>4.5.8</w:t>
            </w:r>
            <w:r w:rsidR="00D44BCF">
              <w:rPr>
                <w:noProof/>
                <w:lang w:val="en-AU" w:eastAsia="en-AU"/>
              </w:rPr>
              <w:tab/>
            </w:r>
            <w:r w:rsidR="00D44BCF" w:rsidRPr="007D3270">
              <w:rPr>
                <w:rStyle w:val="Hyperlink"/>
                <w:noProof/>
              </w:rPr>
              <w:t xml:space="preserve">Orders under </w:t>
            </w:r>
            <w:r w:rsidR="00D44BCF" w:rsidRPr="007D3270">
              <w:rPr>
                <w:rStyle w:val="Hyperlink"/>
                <w:i/>
                <w:noProof/>
              </w:rPr>
              <w:t>Proceeds of Crime Act</w:t>
            </w:r>
            <w:r w:rsidR="00D44BCF" w:rsidRPr="007D3270">
              <w:rPr>
                <w:rStyle w:val="Hyperlink"/>
                <w:noProof/>
              </w:rPr>
              <w:t xml:space="preserve"> </w:t>
            </w:r>
            <w:r w:rsidR="00D44BCF" w:rsidRPr="007D3270">
              <w:rPr>
                <w:rStyle w:val="Hyperlink"/>
                <w:i/>
                <w:noProof/>
              </w:rPr>
              <w:t>2002</w:t>
            </w:r>
            <w:r w:rsidR="00D44BCF" w:rsidRPr="007D3270">
              <w:rPr>
                <w:rStyle w:val="Hyperlink"/>
                <w:noProof/>
              </w:rPr>
              <w:t xml:space="preserve"> (Cth)</w:t>
            </w:r>
            <w:r w:rsidR="00D44BCF">
              <w:rPr>
                <w:noProof/>
                <w:webHidden/>
              </w:rPr>
              <w:tab/>
            </w:r>
            <w:r w:rsidR="00D44BCF">
              <w:rPr>
                <w:noProof/>
                <w:webHidden/>
              </w:rPr>
              <w:fldChar w:fldCharType="begin"/>
            </w:r>
            <w:r w:rsidR="00D44BCF">
              <w:rPr>
                <w:noProof/>
                <w:webHidden/>
              </w:rPr>
              <w:instrText xml:space="preserve"> PAGEREF _Toc33602808 \h </w:instrText>
            </w:r>
            <w:r w:rsidR="00D44BCF">
              <w:rPr>
                <w:noProof/>
                <w:webHidden/>
              </w:rPr>
            </w:r>
            <w:r w:rsidR="00D44BCF">
              <w:rPr>
                <w:noProof/>
                <w:webHidden/>
              </w:rPr>
              <w:fldChar w:fldCharType="separate"/>
            </w:r>
            <w:r w:rsidR="00D44BCF">
              <w:rPr>
                <w:noProof/>
                <w:webHidden/>
              </w:rPr>
              <w:t>80</w:t>
            </w:r>
            <w:r w:rsidR="00D44BCF">
              <w:rPr>
                <w:noProof/>
                <w:webHidden/>
              </w:rPr>
              <w:fldChar w:fldCharType="end"/>
            </w:r>
          </w:hyperlink>
        </w:p>
        <w:p w14:paraId="6B8CA18F" w14:textId="697AA53F" w:rsidR="00D44BCF" w:rsidRDefault="00F51B89">
          <w:pPr>
            <w:pStyle w:val="TOC3"/>
            <w:tabs>
              <w:tab w:val="left" w:pos="1320"/>
            </w:tabs>
            <w:rPr>
              <w:noProof/>
              <w:lang w:val="en-AU" w:eastAsia="en-AU"/>
            </w:rPr>
          </w:pPr>
          <w:hyperlink w:anchor="_Toc33602809" w:history="1">
            <w:r w:rsidR="00D44BCF" w:rsidRPr="007D3270">
              <w:rPr>
                <w:rStyle w:val="Hyperlink"/>
                <w:noProof/>
              </w:rPr>
              <w:t>4.5.9</w:t>
            </w:r>
            <w:r w:rsidR="00D44BCF">
              <w:rPr>
                <w:noProof/>
                <w:lang w:val="en-AU" w:eastAsia="en-AU"/>
              </w:rPr>
              <w:tab/>
            </w:r>
            <w:r w:rsidR="00D44BCF" w:rsidRPr="007D3270">
              <w:rPr>
                <w:rStyle w:val="Hyperlink"/>
                <w:noProof/>
              </w:rPr>
              <w:t xml:space="preserve">Prospect of a future order under </w:t>
            </w:r>
            <w:r w:rsidR="00D44BCF" w:rsidRPr="007D3270">
              <w:rPr>
                <w:rStyle w:val="Hyperlink"/>
                <w:i/>
                <w:noProof/>
              </w:rPr>
              <w:t>Proceeds of Crime Act</w:t>
            </w:r>
            <w:r w:rsidR="00D44BCF" w:rsidRPr="007D3270">
              <w:rPr>
                <w:rStyle w:val="Hyperlink"/>
                <w:noProof/>
              </w:rPr>
              <w:t xml:space="preserve"> 2002 (Cth)</w:t>
            </w:r>
            <w:r w:rsidR="00D44BCF">
              <w:rPr>
                <w:noProof/>
                <w:webHidden/>
              </w:rPr>
              <w:tab/>
            </w:r>
            <w:r w:rsidR="00D44BCF">
              <w:rPr>
                <w:noProof/>
                <w:webHidden/>
              </w:rPr>
              <w:fldChar w:fldCharType="begin"/>
            </w:r>
            <w:r w:rsidR="00D44BCF">
              <w:rPr>
                <w:noProof/>
                <w:webHidden/>
              </w:rPr>
              <w:instrText xml:space="preserve"> PAGEREF _Toc33602809 \h </w:instrText>
            </w:r>
            <w:r w:rsidR="00D44BCF">
              <w:rPr>
                <w:noProof/>
                <w:webHidden/>
              </w:rPr>
            </w:r>
            <w:r w:rsidR="00D44BCF">
              <w:rPr>
                <w:noProof/>
                <w:webHidden/>
              </w:rPr>
              <w:fldChar w:fldCharType="separate"/>
            </w:r>
            <w:r w:rsidR="00D44BCF">
              <w:rPr>
                <w:noProof/>
                <w:webHidden/>
              </w:rPr>
              <w:t>82</w:t>
            </w:r>
            <w:r w:rsidR="00D44BCF">
              <w:rPr>
                <w:noProof/>
                <w:webHidden/>
              </w:rPr>
              <w:fldChar w:fldCharType="end"/>
            </w:r>
          </w:hyperlink>
        </w:p>
        <w:p w14:paraId="0D1EDB32" w14:textId="79B11F41" w:rsidR="00D44BCF" w:rsidRDefault="00F51B89">
          <w:pPr>
            <w:pStyle w:val="TOC3"/>
            <w:tabs>
              <w:tab w:val="left" w:pos="1320"/>
            </w:tabs>
            <w:rPr>
              <w:noProof/>
              <w:lang w:val="en-AU" w:eastAsia="en-AU"/>
            </w:rPr>
          </w:pPr>
          <w:hyperlink w:anchor="_Toc33602810" w:history="1">
            <w:r w:rsidR="00D44BCF" w:rsidRPr="007D3270">
              <w:rPr>
                <w:rStyle w:val="Hyperlink"/>
                <w:noProof/>
              </w:rPr>
              <w:t>4.5.10</w:t>
            </w:r>
            <w:r w:rsidR="00D44BCF">
              <w:rPr>
                <w:noProof/>
                <w:lang w:val="en-AU" w:eastAsia="en-AU"/>
              </w:rPr>
              <w:tab/>
            </w:r>
            <w:r w:rsidR="00D44BCF" w:rsidRPr="007D3270">
              <w:rPr>
                <w:rStyle w:val="Hyperlink"/>
                <w:noProof/>
              </w:rPr>
              <w:t xml:space="preserve">Cooperation in resolving action under </w:t>
            </w:r>
            <w:r w:rsidR="00D44BCF" w:rsidRPr="007D3270">
              <w:rPr>
                <w:rStyle w:val="Hyperlink"/>
                <w:i/>
                <w:noProof/>
              </w:rPr>
              <w:t>Proceeds of Crime Act 2002</w:t>
            </w:r>
            <w:r w:rsidR="00D44BCF" w:rsidRPr="007D3270">
              <w:rPr>
                <w:rStyle w:val="Hyperlink"/>
                <w:noProof/>
              </w:rPr>
              <w:t xml:space="preserve"> (Cth)</w:t>
            </w:r>
            <w:r w:rsidR="00D44BCF">
              <w:rPr>
                <w:noProof/>
                <w:webHidden/>
              </w:rPr>
              <w:tab/>
            </w:r>
            <w:r w:rsidR="00D44BCF">
              <w:rPr>
                <w:noProof/>
                <w:webHidden/>
              </w:rPr>
              <w:fldChar w:fldCharType="begin"/>
            </w:r>
            <w:r w:rsidR="00D44BCF">
              <w:rPr>
                <w:noProof/>
                <w:webHidden/>
              </w:rPr>
              <w:instrText xml:space="preserve"> PAGEREF _Toc33602810 \h </w:instrText>
            </w:r>
            <w:r w:rsidR="00D44BCF">
              <w:rPr>
                <w:noProof/>
                <w:webHidden/>
              </w:rPr>
            </w:r>
            <w:r w:rsidR="00D44BCF">
              <w:rPr>
                <w:noProof/>
                <w:webHidden/>
              </w:rPr>
              <w:fldChar w:fldCharType="separate"/>
            </w:r>
            <w:r w:rsidR="00D44BCF">
              <w:rPr>
                <w:noProof/>
                <w:webHidden/>
              </w:rPr>
              <w:t>84</w:t>
            </w:r>
            <w:r w:rsidR="00D44BCF">
              <w:rPr>
                <w:noProof/>
                <w:webHidden/>
              </w:rPr>
              <w:fldChar w:fldCharType="end"/>
            </w:r>
          </w:hyperlink>
        </w:p>
        <w:p w14:paraId="73CBC489" w14:textId="50696445" w:rsidR="00D44BCF" w:rsidRDefault="00F51B89">
          <w:pPr>
            <w:pStyle w:val="TOC3"/>
            <w:tabs>
              <w:tab w:val="left" w:pos="1320"/>
            </w:tabs>
            <w:rPr>
              <w:noProof/>
              <w:lang w:val="en-AU" w:eastAsia="en-AU"/>
            </w:rPr>
          </w:pPr>
          <w:hyperlink w:anchor="_Toc33602811" w:history="1">
            <w:r w:rsidR="00D44BCF" w:rsidRPr="007D3270">
              <w:rPr>
                <w:rStyle w:val="Hyperlink"/>
                <w:noProof/>
              </w:rPr>
              <w:t>4.5.11</w:t>
            </w:r>
            <w:r w:rsidR="00D44BCF">
              <w:rPr>
                <w:noProof/>
                <w:lang w:val="en-AU" w:eastAsia="en-AU"/>
              </w:rPr>
              <w:tab/>
            </w:r>
            <w:r w:rsidR="00D44BCF" w:rsidRPr="007D3270">
              <w:rPr>
                <w:rStyle w:val="Hyperlink"/>
                <w:noProof/>
              </w:rPr>
              <w:t>Forfeiture by operation of law</w:t>
            </w:r>
            <w:r w:rsidR="00D44BCF">
              <w:rPr>
                <w:noProof/>
                <w:webHidden/>
              </w:rPr>
              <w:tab/>
            </w:r>
            <w:r w:rsidR="00D44BCF">
              <w:rPr>
                <w:noProof/>
                <w:webHidden/>
              </w:rPr>
              <w:fldChar w:fldCharType="begin"/>
            </w:r>
            <w:r w:rsidR="00D44BCF">
              <w:rPr>
                <w:noProof/>
                <w:webHidden/>
              </w:rPr>
              <w:instrText xml:space="preserve"> PAGEREF _Toc33602811 \h </w:instrText>
            </w:r>
            <w:r w:rsidR="00D44BCF">
              <w:rPr>
                <w:noProof/>
                <w:webHidden/>
              </w:rPr>
            </w:r>
            <w:r w:rsidR="00D44BCF">
              <w:rPr>
                <w:noProof/>
                <w:webHidden/>
              </w:rPr>
              <w:fldChar w:fldCharType="separate"/>
            </w:r>
            <w:r w:rsidR="00D44BCF">
              <w:rPr>
                <w:noProof/>
                <w:webHidden/>
              </w:rPr>
              <w:t>85</w:t>
            </w:r>
            <w:r w:rsidR="00D44BCF">
              <w:rPr>
                <w:noProof/>
                <w:webHidden/>
              </w:rPr>
              <w:fldChar w:fldCharType="end"/>
            </w:r>
          </w:hyperlink>
        </w:p>
        <w:p w14:paraId="6B3F9E86" w14:textId="04B3196A" w:rsidR="00D44BCF" w:rsidRDefault="00F51B89">
          <w:pPr>
            <w:pStyle w:val="TOC3"/>
            <w:tabs>
              <w:tab w:val="left" w:pos="1320"/>
            </w:tabs>
            <w:rPr>
              <w:noProof/>
              <w:lang w:val="en-AU" w:eastAsia="en-AU"/>
            </w:rPr>
          </w:pPr>
          <w:hyperlink w:anchor="_Toc33602812" w:history="1">
            <w:r w:rsidR="00D44BCF" w:rsidRPr="007D3270">
              <w:rPr>
                <w:rStyle w:val="Hyperlink"/>
                <w:noProof/>
              </w:rPr>
              <w:t>4.5.12</w:t>
            </w:r>
            <w:r w:rsidR="00D44BCF">
              <w:rPr>
                <w:noProof/>
                <w:lang w:val="en-AU" w:eastAsia="en-AU"/>
              </w:rPr>
              <w:tab/>
            </w:r>
            <w:r w:rsidR="00D44BCF" w:rsidRPr="007D3270">
              <w:rPr>
                <w:rStyle w:val="Hyperlink"/>
                <w:noProof/>
              </w:rPr>
              <w:t>Superannuation order</w:t>
            </w:r>
            <w:r w:rsidR="00D44BCF">
              <w:rPr>
                <w:noProof/>
                <w:webHidden/>
              </w:rPr>
              <w:tab/>
            </w:r>
            <w:r w:rsidR="00D44BCF">
              <w:rPr>
                <w:noProof/>
                <w:webHidden/>
              </w:rPr>
              <w:fldChar w:fldCharType="begin"/>
            </w:r>
            <w:r w:rsidR="00D44BCF">
              <w:rPr>
                <w:noProof/>
                <w:webHidden/>
              </w:rPr>
              <w:instrText xml:space="preserve"> PAGEREF _Toc33602812 \h </w:instrText>
            </w:r>
            <w:r w:rsidR="00D44BCF">
              <w:rPr>
                <w:noProof/>
                <w:webHidden/>
              </w:rPr>
            </w:r>
            <w:r w:rsidR="00D44BCF">
              <w:rPr>
                <w:noProof/>
                <w:webHidden/>
              </w:rPr>
              <w:fldChar w:fldCharType="separate"/>
            </w:r>
            <w:r w:rsidR="00D44BCF">
              <w:rPr>
                <w:noProof/>
                <w:webHidden/>
              </w:rPr>
              <w:t>86</w:t>
            </w:r>
            <w:r w:rsidR="00D44BCF">
              <w:rPr>
                <w:noProof/>
                <w:webHidden/>
              </w:rPr>
              <w:fldChar w:fldCharType="end"/>
            </w:r>
          </w:hyperlink>
        </w:p>
        <w:p w14:paraId="02B1641C" w14:textId="4AF8F1AF" w:rsidR="00D44BCF" w:rsidRDefault="00F51B89">
          <w:pPr>
            <w:pStyle w:val="TOC3"/>
            <w:tabs>
              <w:tab w:val="left" w:pos="1320"/>
            </w:tabs>
            <w:rPr>
              <w:noProof/>
              <w:lang w:val="en-AU" w:eastAsia="en-AU"/>
            </w:rPr>
          </w:pPr>
          <w:hyperlink w:anchor="_Toc33602813" w:history="1">
            <w:r w:rsidR="00D44BCF" w:rsidRPr="007D3270">
              <w:rPr>
                <w:rStyle w:val="Hyperlink"/>
                <w:bCs/>
                <w:noProof/>
              </w:rPr>
              <w:t>4.5.13</w:t>
            </w:r>
            <w:r w:rsidR="00D44BCF">
              <w:rPr>
                <w:noProof/>
                <w:lang w:val="en-AU" w:eastAsia="en-AU"/>
              </w:rPr>
              <w:tab/>
            </w:r>
            <w:r w:rsidR="00D44BCF" w:rsidRPr="007D3270">
              <w:rPr>
                <w:rStyle w:val="Hyperlink"/>
                <w:bCs/>
                <w:noProof/>
              </w:rPr>
              <w:t>Registration of sexual offenders and other offenders</w:t>
            </w:r>
            <w:r w:rsidR="00D44BCF">
              <w:rPr>
                <w:noProof/>
                <w:webHidden/>
              </w:rPr>
              <w:tab/>
            </w:r>
            <w:r w:rsidR="00D44BCF">
              <w:rPr>
                <w:noProof/>
                <w:webHidden/>
              </w:rPr>
              <w:fldChar w:fldCharType="begin"/>
            </w:r>
            <w:r w:rsidR="00D44BCF">
              <w:rPr>
                <w:noProof/>
                <w:webHidden/>
              </w:rPr>
              <w:instrText xml:space="preserve"> PAGEREF _Toc33602813 \h </w:instrText>
            </w:r>
            <w:r w:rsidR="00D44BCF">
              <w:rPr>
                <w:noProof/>
                <w:webHidden/>
              </w:rPr>
            </w:r>
            <w:r w:rsidR="00D44BCF">
              <w:rPr>
                <w:noProof/>
                <w:webHidden/>
              </w:rPr>
              <w:fldChar w:fldCharType="separate"/>
            </w:r>
            <w:r w:rsidR="00D44BCF">
              <w:rPr>
                <w:noProof/>
                <w:webHidden/>
              </w:rPr>
              <w:t>86</w:t>
            </w:r>
            <w:r w:rsidR="00D44BCF">
              <w:rPr>
                <w:noProof/>
                <w:webHidden/>
              </w:rPr>
              <w:fldChar w:fldCharType="end"/>
            </w:r>
          </w:hyperlink>
        </w:p>
        <w:p w14:paraId="6A5A2929" w14:textId="75AC08A3" w:rsidR="00D44BCF" w:rsidRDefault="00F51B89">
          <w:pPr>
            <w:pStyle w:val="TOC3"/>
            <w:tabs>
              <w:tab w:val="left" w:pos="1320"/>
            </w:tabs>
            <w:rPr>
              <w:noProof/>
              <w:lang w:val="en-AU" w:eastAsia="en-AU"/>
            </w:rPr>
          </w:pPr>
          <w:hyperlink w:anchor="_Toc33602814" w:history="1">
            <w:r w:rsidR="00D44BCF" w:rsidRPr="007D3270">
              <w:rPr>
                <w:rStyle w:val="Hyperlink"/>
                <w:noProof/>
              </w:rPr>
              <w:t>4.5.14</w:t>
            </w:r>
            <w:r w:rsidR="00D44BCF">
              <w:rPr>
                <w:noProof/>
                <w:lang w:val="en-AU" w:eastAsia="en-AU"/>
              </w:rPr>
              <w:tab/>
            </w:r>
            <w:r w:rsidR="00D44BCF" w:rsidRPr="007D3270">
              <w:rPr>
                <w:rStyle w:val="Hyperlink"/>
                <w:noProof/>
              </w:rPr>
              <w:t>Control orders and continuing detention orders</w:t>
            </w:r>
            <w:r w:rsidR="00D44BCF">
              <w:rPr>
                <w:noProof/>
                <w:webHidden/>
              </w:rPr>
              <w:tab/>
            </w:r>
            <w:r w:rsidR="00D44BCF">
              <w:rPr>
                <w:noProof/>
                <w:webHidden/>
              </w:rPr>
              <w:fldChar w:fldCharType="begin"/>
            </w:r>
            <w:r w:rsidR="00D44BCF">
              <w:rPr>
                <w:noProof/>
                <w:webHidden/>
              </w:rPr>
              <w:instrText xml:space="preserve"> PAGEREF _Toc33602814 \h </w:instrText>
            </w:r>
            <w:r w:rsidR="00D44BCF">
              <w:rPr>
                <w:noProof/>
                <w:webHidden/>
              </w:rPr>
            </w:r>
            <w:r w:rsidR="00D44BCF">
              <w:rPr>
                <w:noProof/>
                <w:webHidden/>
              </w:rPr>
              <w:fldChar w:fldCharType="separate"/>
            </w:r>
            <w:r w:rsidR="00D44BCF">
              <w:rPr>
                <w:noProof/>
                <w:webHidden/>
              </w:rPr>
              <w:t>88</w:t>
            </w:r>
            <w:r w:rsidR="00D44BCF">
              <w:rPr>
                <w:noProof/>
                <w:webHidden/>
              </w:rPr>
              <w:fldChar w:fldCharType="end"/>
            </w:r>
          </w:hyperlink>
        </w:p>
        <w:p w14:paraId="1FEA036F" w14:textId="1C4C991D" w:rsidR="00D44BCF" w:rsidRDefault="00F51B89">
          <w:pPr>
            <w:pStyle w:val="TOC3"/>
            <w:tabs>
              <w:tab w:val="left" w:pos="1320"/>
            </w:tabs>
            <w:rPr>
              <w:noProof/>
              <w:lang w:val="en-AU" w:eastAsia="en-AU"/>
            </w:rPr>
          </w:pPr>
          <w:hyperlink w:anchor="_Toc33602815" w:history="1">
            <w:r w:rsidR="00D44BCF" w:rsidRPr="007D3270">
              <w:rPr>
                <w:rStyle w:val="Hyperlink"/>
                <w:noProof/>
              </w:rPr>
              <w:t>4.5.15</w:t>
            </w:r>
            <w:r w:rsidR="00D44BCF">
              <w:rPr>
                <w:noProof/>
                <w:lang w:val="en-AU" w:eastAsia="en-AU"/>
              </w:rPr>
              <w:tab/>
            </w:r>
            <w:r w:rsidR="00D44BCF" w:rsidRPr="007D3270">
              <w:rPr>
                <w:rStyle w:val="Hyperlink"/>
                <w:noProof/>
              </w:rPr>
              <w:t>“Double jeopardy” in resentencing on prosecution appeal</w:t>
            </w:r>
            <w:r w:rsidR="00D44BCF">
              <w:rPr>
                <w:noProof/>
                <w:webHidden/>
              </w:rPr>
              <w:tab/>
            </w:r>
            <w:r w:rsidR="00D44BCF">
              <w:rPr>
                <w:noProof/>
                <w:webHidden/>
              </w:rPr>
              <w:fldChar w:fldCharType="begin"/>
            </w:r>
            <w:r w:rsidR="00D44BCF">
              <w:rPr>
                <w:noProof/>
                <w:webHidden/>
              </w:rPr>
              <w:instrText xml:space="preserve"> PAGEREF _Toc33602815 \h </w:instrText>
            </w:r>
            <w:r w:rsidR="00D44BCF">
              <w:rPr>
                <w:noProof/>
                <w:webHidden/>
              </w:rPr>
            </w:r>
            <w:r w:rsidR="00D44BCF">
              <w:rPr>
                <w:noProof/>
                <w:webHidden/>
              </w:rPr>
              <w:fldChar w:fldCharType="separate"/>
            </w:r>
            <w:r w:rsidR="00D44BCF">
              <w:rPr>
                <w:noProof/>
                <w:webHidden/>
              </w:rPr>
              <w:t>88</w:t>
            </w:r>
            <w:r w:rsidR="00D44BCF">
              <w:rPr>
                <w:noProof/>
                <w:webHidden/>
              </w:rPr>
              <w:fldChar w:fldCharType="end"/>
            </w:r>
          </w:hyperlink>
        </w:p>
        <w:p w14:paraId="6F927544" w14:textId="0354A322" w:rsidR="00D44BCF" w:rsidRDefault="00F51B89">
          <w:pPr>
            <w:pStyle w:val="TOC1"/>
            <w:tabs>
              <w:tab w:val="left" w:pos="440"/>
            </w:tabs>
            <w:rPr>
              <w:b w:val="0"/>
              <w:lang w:val="en-AU" w:eastAsia="en-AU"/>
            </w:rPr>
          </w:pPr>
          <w:hyperlink w:anchor="_Toc33602816" w:history="1">
            <w:r w:rsidR="00D44BCF" w:rsidRPr="007D3270">
              <w:rPr>
                <w:rStyle w:val="Hyperlink"/>
              </w:rPr>
              <w:t>5</w:t>
            </w:r>
            <w:r w:rsidR="00D44BCF">
              <w:rPr>
                <w:b w:val="0"/>
                <w:lang w:val="en-AU" w:eastAsia="en-AU"/>
              </w:rPr>
              <w:tab/>
            </w:r>
            <w:r w:rsidR="00D44BCF" w:rsidRPr="007D3270">
              <w:rPr>
                <w:rStyle w:val="Hyperlink"/>
              </w:rPr>
              <w:t>Commonwealth sentencing options</w:t>
            </w:r>
            <w:r w:rsidR="00D44BCF">
              <w:rPr>
                <w:webHidden/>
              </w:rPr>
              <w:tab/>
            </w:r>
            <w:r w:rsidR="00D44BCF">
              <w:rPr>
                <w:webHidden/>
              </w:rPr>
              <w:fldChar w:fldCharType="begin"/>
            </w:r>
            <w:r w:rsidR="00D44BCF">
              <w:rPr>
                <w:webHidden/>
              </w:rPr>
              <w:instrText xml:space="preserve"> PAGEREF _Toc33602816 \h </w:instrText>
            </w:r>
            <w:r w:rsidR="00D44BCF">
              <w:rPr>
                <w:webHidden/>
              </w:rPr>
            </w:r>
            <w:r w:rsidR="00D44BCF">
              <w:rPr>
                <w:webHidden/>
              </w:rPr>
              <w:fldChar w:fldCharType="separate"/>
            </w:r>
            <w:r w:rsidR="00D44BCF">
              <w:rPr>
                <w:webHidden/>
              </w:rPr>
              <w:t>90</w:t>
            </w:r>
            <w:r w:rsidR="00D44BCF">
              <w:rPr>
                <w:webHidden/>
              </w:rPr>
              <w:fldChar w:fldCharType="end"/>
            </w:r>
          </w:hyperlink>
        </w:p>
        <w:p w14:paraId="60A99787" w14:textId="2D871777" w:rsidR="00D44BCF" w:rsidRDefault="00F51B89">
          <w:pPr>
            <w:pStyle w:val="TOC2"/>
            <w:tabs>
              <w:tab w:val="left" w:pos="880"/>
              <w:tab w:val="right" w:leader="dot" w:pos="9061"/>
            </w:tabs>
            <w:rPr>
              <w:noProof/>
              <w:lang w:val="en-AU" w:eastAsia="en-AU"/>
            </w:rPr>
          </w:pPr>
          <w:hyperlink w:anchor="_Toc33602817" w:history="1">
            <w:r w:rsidR="00D44BCF" w:rsidRPr="007D3270">
              <w:rPr>
                <w:rStyle w:val="Hyperlink"/>
                <w:noProof/>
              </w:rPr>
              <w:t>5.1</w:t>
            </w:r>
            <w:r w:rsidR="00D44BCF">
              <w:rPr>
                <w:noProof/>
                <w:lang w:val="en-AU" w:eastAsia="en-AU"/>
              </w:rPr>
              <w:tab/>
            </w:r>
            <w:r w:rsidR="00D44BCF" w:rsidRPr="007D3270">
              <w:rPr>
                <w:rStyle w:val="Hyperlink"/>
                <w:noProof/>
              </w:rPr>
              <w:t>Introduction</w:t>
            </w:r>
            <w:r w:rsidR="00D44BCF">
              <w:rPr>
                <w:noProof/>
                <w:webHidden/>
              </w:rPr>
              <w:tab/>
            </w:r>
            <w:r w:rsidR="00D44BCF">
              <w:rPr>
                <w:noProof/>
                <w:webHidden/>
              </w:rPr>
              <w:fldChar w:fldCharType="begin"/>
            </w:r>
            <w:r w:rsidR="00D44BCF">
              <w:rPr>
                <w:noProof/>
                <w:webHidden/>
              </w:rPr>
              <w:instrText xml:space="preserve"> PAGEREF _Toc33602817 \h </w:instrText>
            </w:r>
            <w:r w:rsidR="00D44BCF">
              <w:rPr>
                <w:noProof/>
                <w:webHidden/>
              </w:rPr>
            </w:r>
            <w:r w:rsidR="00D44BCF">
              <w:rPr>
                <w:noProof/>
                <w:webHidden/>
              </w:rPr>
              <w:fldChar w:fldCharType="separate"/>
            </w:r>
            <w:r w:rsidR="00D44BCF">
              <w:rPr>
                <w:noProof/>
                <w:webHidden/>
              </w:rPr>
              <w:t>90</w:t>
            </w:r>
            <w:r w:rsidR="00D44BCF">
              <w:rPr>
                <w:noProof/>
                <w:webHidden/>
              </w:rPr>
              <w:fldChar w:fldCharType="end"/>
            </w:r>
          </w:hyperlink>
        </w:p>
        <w:p w14:paraId="6527108C" w14:textId="134CD021" w:rsidR="00D44BCF" w:rsidRDefault="00F51B89">
          <w:pPr>
            <w:pStyle w:val="TOC2"/>
            <w:tabs>
              <w:tab w:val="left" w:pos="880"/>
              <w:tab w:val="right" w:leader="dot" w:pos="9061"/>
            </w:tabs>
            <w:rPr>
              <w:noProof/>
              <w:lang w:val="en-AU" w:eastAsia="en-AU"/>
            </w:rPr>
          </w:pPr>
          <w:hyperlink w:anchor="_Toc33602818" w:history="1">
            <w:r w:rsidR="00D44BCF" w:rsidRPr="007D3270">
              <w:rPr>
                <w:rStyle w:val="Hyperlink"/>
                <w:bCs/>
                <w:noProof/>
              </w:rPr>
              <w:t>5.2</w:t>
            </w:r>
            <w:r w:rsidR="00D44BCF">
              <w:rPr>
                <w:noProof/>
                <w:lang w:val="en-AU" w:eastAsia="en-AU"/>
              </w:rPr>
              <w:tab/>
            </w:r>
            <w:r w:rsidR="00D44BCF" w:rsidRPr="007D3270">
              <w:rPr>
                <w:rStyle w:val="Hyperlink"/>
                <w:bCs/>
                <w:noProof/>
              </w:rPr>
              <w:t>Six general sentencing options</w:t>
            </w:r>
            <w:r w:rsidR="00D44BCF">
              <w:rPr>
                <w:noProof/>
                <w:webHidden/>
              </w:rPr>
              <w:tab/>
            </w:r>
            <w:r w:rsidR="00D44BCF">
              <w:rPr>
                <w:noProof/>
                <w:webHidden/>
              </w:rPr>
              <w:fldChar w:fldCharType="begin"/>
            </w:r>
            <w:r w:rsidR="00D44BCF">
              <w:rPr>
                <w:noProof/>
                <w:webHidden/>
              </w:rPr>
              <w:instrText xml:space="preserve"> PAGEREF _Toc33602818 \h </w:instrText>
            </w:r>
            <w:r w:rsidR="00D44BCF">
              <w:rPr>
                <w:noProof/>
                <w:webHidden/>
              </w:rPr>
            </w:r>
            <w:r w:rsidR="00D44BCF">
              <w:rPr>
                <w:noProof/>
                <w:webHidden/>
              </w:rPr>
              <w:fldChar w:fldCharType="separate"/>
            </w:r>
            <w:r w:rsidR="00D44BCF">
              <w:rPr>
                <w:noProof/>
                <w:webHidden/>
              </w:rPr>
              <w:t>91</w:t>
            </w:r>
            <w:r w:rsidR="00D44BCF">
              <w:rPr>
                <w:noProof/>
                <w:webHidden/>
              </w:rPr>
              <w:fldChar w:fldCharType="end"/>
            </w:r>
          </w:hyperlink>
        </w:p>
        <w:p w14:paraId="26B2CA64" w14:textId="6D2ACE9C" w:rsidR="00D44BCF" w:rsidRDefault="00F51B89">
          <w:pPr>
            <w:pStyle w:val="TOC2"/>
            <w:tabs>
              <w:tab w:val="left" w:pos="880"/>
              <w:tab w:val="right" w:leader="dot" w:pos="9061"/>
            </w:tabs>
            <w:rPr>
              <w:noProof/>
              <w:lang w:val="en-AU" w:eastAsia="en-AU"/>
            </w:rPr>
          </w:pPr>
          <w:hyperlink w:anchor="_Toc33602819" w:history="1">
            <w:r w:rsidR="00D44BCF" w:rsidRPr="007D3270">
              <w:rPr>
                <w:rStyle w:val="Hyperlink"/>
                <w:bCs/>
                <w:noProof/>
              </w:rPr>
              <w:t>5.3</w:t>
            </w:r>
            <w:r w:rsidR="00D44BCF">
              <w:rPr>
                <w:noProof/>
                <w:lang w:val="en-AU" w:eastAsia="en-AU"/>
              </w:rPr>
              <w:tab/>
            </w:r>
            <w:r w:rsidR="00D44BCF" w:rsidRPr="007D3270">
              <w:rPr>
                <w:rStyle w:val="Hyperlink"/>
                <w:bCs/>
                <w:noProof/>
              </w:rPr>
              <w:t>Dismiss charge – Crimes Act 1914, s 19B</w:t>
            </w:r>
            <w:r w:rsidR="00D44BCF">
              <w:rPr>
                <w:noProof/>
                <w:webHidden/>
              </w:rPr>
              <w:tab/>
            </w:r>
            <w:r w:rsidR="00D44BCF">
              <w:rPr>
                <w:noProof/>
                <w:webHidden/>
              </w:rPr>
              <w:fldChar w:fldCharType="begin"/>
            </w:r>
            <w:r w:rsidR="00D44BCF">
              <w:rPr>
                <w:noProof/>
                <w:webHidden/>
              </w:rPr>
              <w:instrText xml:space="preserve"> PAGEREF _Toc33602819 \h </w:instrText>
            </w:r>
            <w:r w:rsidR="00D44BCF">
              <w:rPr>
                <w:noProof/>
                <w:webHidden/>
              </w:rPr>
            </w:r>
            <w:r w:rsidR="00D44BCF">
              <w:rPr>
                <w:noProof/>
                <w:webHidden/>
              </w:rPr>
              <w:fldChar w:fldCharType="separate"/>
            </w:r>
            <w:r w:rsidR="00D44BCF">
              <w:rPr>
                <w:noProof/>
                <w:webHidden/>
              </w:rPr>
              <w:t>95</w:t>
            </w:r>
            <w:r w:rsidR="00D44BCF">
              <w:rPr>
                <w:noProof/>
                <w:webHidden/>
              </w:rPr>
              <w:fldChar w:fldCharType="end"/>
            </w:r>
          </w:hyperlink>
        </w:p>
        <w:p w14:paraId="340B17A6" w14:textId="6DD4D50F" w:rsidR="00D44BCF" w:rsidRDefault="00F51B89">
          <w:pPr>
            <w:pStyle w:val="TOC2"/>
            <w:tabs>
              <w:tab w:val="left" w:pos="880"/>
              <w:tab w:val="right" w:leader="dot" w:pos="9061"/>
            </w:tabs>
            <w:rPr>
              <w:noProof/>
              <w:lang w:val="en-AU" w:eastAsia="en-AU"/>
            </w:rPr>
          </w:pPr>
          <w:hyperlink w:anchor="_Toc33602820" w:history="1">
            <w:r w:rsidR="00D44BCF" w:rsidRPr="007D3270">
              <w:rPr>
                <w:rStyle w:val="Hyperlink"/>
                <w:noProof/>
              </w:rPr>
              <w:t>5.4</w:t>
            </w:r>
            <w:r w:rsidR="00D44BCF">
              <w:rPr>
                <w:noProof/>
                <w:lang w:val="en-AU" w:eastAsia="en-AU"/>
              </w:rPr>
              <w:tab/>
            </w:r>
            <w:r w:rsidR="00D44BCF" w:rsidRPr="007D3270">
              <w:rPr>
                <w:rStyle w:val="Hyperlink"/>
                <w:noProof/>
              </w:rPr>
              <w:t xml:space="preserve">Bond without conviction – </w:t>
            </w:r>
            <w:r w:rsidR="00D44BCF" w:rsidRPr="007D3270">
              <w:rPr>
                <w:rStyle w:val="Hyperlink"/>
                <w:i/>
                <w:noProof/>
              </w:rPr>
              <w:t>Crimes Act 1914</w:t>
            </w:r>
            <w:r w:rsidR="00D44BCF" w:rsidRPr="007D3270">
              <w:rPr>
                <w:rStyle w:val="Hyperlink"/>
                <w:noProof/>
              </w:rPr>
              <w:t>, s 19B</w:t>
            </w:r>
            <w:r w:rsidR="00D44BCF">
              <w:rPr>
                <w:noProof/>
                <w:webHidden/>
              </w:rPr>
              <w:tab/>
            </w:r>
            <w:r w:rsidR="00D44BCF">
              <w:rPr>
                <w:noProof/>
                <w:webHidden/>
              </w:rPr>
              <w:fldChar w:fldCharType="begin"/>
            </w:r>
            <w:r w:rsidR="00D44BCF">
              <w:rPr>
                <w:noProof/>
                <w:webHidden/>
              </w:rPr>
              <w:instrText xml:space="preserve"> PAGEREF _Toc33602820 \h </w:instrText>
            </w:r>
            <w:r w:rsidR="00D44BCF">
              <w:rPr>
                <w:noProof/>
                <w:webHidden/>
              </w:rPr>
            </w:r>
            <w:r w:rsidR="00D44BCF">
              <w:rPr>
                <w:noProof/>
                <w:webHidden/>
              </w:rPr>
              <w:fldChar w:fldCharType="separate"/>
            </w:r>
            <w:r w:rsidR="00D44BCF">
              <w:rPr>
                <w:noProof/>
                <w:webHidden/>
              </w:rPr>
              <w:t>96</w:t>
            </w:r>
            <w:r w:rsidR="00D44BCF">
              <w:rPr>
                <w:noProof/>
                <w:webHidden/>
              </w:rPr>
              <w:fldChar w:fldCharType="end"/>
            </w:r>
          </w:hyperlink>
        </w:p>
        <w:p w14:paraId="2897136C" w14:textId="18B6D6E9" w:rsidR="00D44BCF" w:rsidRDefault="00F51B89">
          <w:pPr>
            <w:pStyle w:val="TOC3"/>
            <w:tabs>
              <w:tab w:val="left" w:pos="1320"/>
            </w:tabs>
            <w:rPr>
              <w:noProof/>
              <w:lang w:val="en-AU" w:eastAsia="en-AU"/>
            </w:rPr>
          </w:pPr>
          <w:hyperlink w:anchor="_Toc33602821" w:history="1">
            <w:r w:rsidR="00D44BCF" w:rsidRPr="007D3270">
              <w:rPr>
                <w:rStyle w:val="Hyperlink"/>
                <w:noProof/>
              </w:rPr>
              <w:t>5.4.1</w:t>
            </w:r>
            <w:r w:rsidR="00D44BCF">
              <w:rPr>
                <w:noProof/>
                <w:lang w:val="en-AU" w:eastAsia="en-AU"/>
              </w:rPr>
              <w:tab/>
            </w:r>
            <w:r w:rsidR="00D44BCF" w:rsidRPr="007D3270">
              <w:rPr>
                <w:rStyle w:val="Hyperlink"/>
                <w:noProof/>
              </w:rPr>
              <w:t>The 2-stage process</w:t>
            </w:r>
            <w:r w:rsidR="00D44BCF">
              <w:rPr>
                <w:noProof/>
                <w:webHidden/>
              </w:rPr>
              <w:tab/>
            </w:r>
            <w:r w:rsidR="00D44BCF">
              <w:rPr>
                <w:noProof/>
                <w:webHidden/>
              </w:rPr>
              <w:fldChar w:fldCharType="begin"/>
            </w:r>
            <w:r w:rsidR="00D44BCF">
              <w:rPr>
                <w:noProof/>
                <w:webHidden/>
              </w:rPr>
              <w:instrText xml:space="preserve"> PAGEREF _Toc33602821 \h </w:instrText>
            </w:r>
            <w:r w:rsidR="00D44BCF">
              <w:rPr>
                <w:noProof/>
                <w:webHidden/>
              </w:rPr>
            </w:r>
            <w:r w:rsidR="00D44BCF">
              <w:rPr>
                <w:noProof/>
                <w:webHidden/>
              </w:rPr>
              <w:fldChar w:fldCharType="separate"/>
            </w:r>
            <w:r w:rsidR="00D44BCF">
              <w:rPr>
                <w:noProof/>
                <w:webHidden/>
              </w:rPr>
              <w:t>96</w:t>
            </w:r>
            <w:r w:rsidR="00D44BCF">
              <w:rPr>
                <w:noProof/>
                <w:webHidden/>
              </w:rPr>
              <w:fldChar w:fldCharType="end"/>
            </w:r>
          </w:hyperlink>
        </w:p>
        <w:p w14:paraId="46D0E116" w14:textId="1CEAA443" w:rsidR="00D44BCF" w:rsidRDefault="00F51B89">
          <w:pPr>
            <w:pStyle w:val="TOC3"/>
            <w:tabs>
              <w:tab w:val="left" w:pos="1320"/>
            </w:tabs>
            <w:rPr>
              <w:noProof/>
              <w:lang w:val="en-AU" w:eastAsia="en-AU"/>
            </w:rPr>
          </w:pPr>
          <w:hyperlink w:anchor="_Toc33602822" w:history="1">
            <w:r w:rsidR="00D44BCF" w:rsidRPr="007D3270">
              <w:rPr>
                <w:rStyle w:val="Hyperlink"/>
                <w:noProof/>
              </w:rPr>
              <w:t>5.4.2</w:t>
            </w:r>
            <w:r w:rsidR="00D44BCF">
              <w:rPr>
                <w:noProof/>
                <w:lang w:val="en-AU" w:eastAsia="en-AU"/>
              </w:rPr>
              <w:tab/>
            </w:r>
            <w:r w:rsidR="00D44BCF" w:rsidRPr="007D3270">
              <w:rPr>
                <w:rStyle w:val="Hyperlink"/>
                <w:noProof/>
              </w:rPr>
              <w:t>Single bond may be ordered for two or more federal offences</w:t>
            </w:r>
            <w:r w:rsidR="00D44BCF">
              <w:rPr>
                <w:noProof/>
                <w:webHidden/>
              </w:rPr>
              <w:tab/>
            </w:r>
            <w:r w:rsidR="00D44BCF">
              <w:rPr>
                <w:noProof/>
                <w:webHidden/>
              </w:rPr>
              <w:fldChar w:fldCharType="begin"/>
            </w:r>
            <w:r w:rsidR="00D44BCF">
              <w:rPr>
                <w:noProof/>
                <w:webHidden/>
              </w:rPr>
              <w:instrText xml:space="preserve"> PAGEREF _Toc33602822 \h </w:instrText>
            </w:r>
            <w:r w:rsidR="00D44BCF">
              <w:rPr>
                <w:noProof/>
                <w:webHidden/>
              </w:rPr>
            </w:r>
            <w:r w:rsidR="00D44BCF">
              <w:rPr>
                <w:noProof/>
                <w:webHidden/>
              </w:rPr>
              <w:fldChar w:fldCharType="separate"/>
            </w:r>
            <w:r w:rsidR="00D44BCF">
              <w:rPr>
                <w:noProof/>
                <w:webHidden/>
              </w:rPr>
              <w:t>99</w:t>
            </w:r>
            <w:r w:rsidR="00D44BCF">
              <w:rPr>
                <w:noProof/>
                <w:webHidden/>
              </w:rPr>
              <w:fldChar w:fldCharType="end"/>
            </w:r>
          </w:hyperlink>
        </w:p>
        <w:p w14:paraId="5657F470" w14:textId="0B1D261A" w:rsidR="00D44BCF" w:rsidRDefault="00F51B89">
          <w:pPr>
            <w:pStyle w:val="TOC3"/>
            <w:tabs>
              <w:tab w:val="left" w:pos="1320"/>
            </w:tabs>
            <w:rPr>
              <w:noProof/>
              <w:lang w:val="en-AU" w:eastAsia="en-AU"/>
            </w:rPr>
          </w:pPr>
          <w:hyperlink w:anchor="_Toc33602823" w:history="1">
            <w:r w:rsidR="00D44BCF" w:rsidRPr="007D3270">
              <w:rPr>
                <w:rStyle w:val="Hyperlink"/>
                <w:noProof/>
              </w:rPr>
              <w:t>5.4.3</w:t>
            </w:r>
            <w:r w:rsidR="00D44BCF">
              <w:rPr>
                <w:noProof/>
                <w:lang w:val="en-AU" w:eastAsia="en-AU"/>
              </w:rPr>
              <w:tab/>
            </w:r>
            <w:r w:rsidR="00D44BCF" w:rsidRPr="007D3270">
              <w:rPr>
                <w:rStyle w:val="Hyperlink"/>
                <w:noProof/>
              </w:rPr>
              <w:t>Length of good behaviour period under s 19B</w:t>
            </w:r>
            <w:r w:rsidR="00D44BCF">
              <w:rPr>
                <w:noProof/>
                <w:webHidden/>
              </w:rPr>
              <w:tab/>
            </w:r>
            <w:r w:rsidR="00D44BCF">
              <w:rPr>
                <w:noProof/>
                <w:webHidden/>
              </w:rPr>
              <w:fldChar w:fldCharType="begin"/>
            </w:r>
            <w:r w:rsidR="00D44BCF">
              <w:rPr>
                <w:noProof/>
                <w:webHidden/>
              </w:rPr>
              <w:instrText xml:space="preserve"> PAGEREF _Toc33602823 \h </w:instrText>
            </w:r>
            <w:r w:rsidR="00D44BCF">
              <w:rPr>
                <w:noProof/>
                <w:webHidden/>
              </w:rPr>
            </w:r>
            <w:r w:rsidR="00D44BCF">
              <w:rPr>
                <w:noProof/>
                <w:webHidden/>
              </w:rPr>
              <w:fldChar w:fldCharType="separate"/>
            </w:r>
            <w:r w:rsidR="00D44BCF">
              <w:rPr>
                <w:noProof/>
                <w:webHidden/>
              </w:rPr>
              <w:t>100</w:t>
            </w:r>
            <w:r w:rsidR="00D44BCF">
              <w:rPr>
                <w:noProof/>
                <w:webHidden/>
              </w:rPr>
              <w:fldChar w:fldCharType="end"/>
            </w:r>
          </w:hyperlink>
        </w:p>
        <w:p w14:paraId="074958AA" w14:textId="500E5D92" w:rsidR="00D44BCF" w:rsidRDefault="00F51B89">
          <w:pPr>
            <w:pStyle w:val="TOC3"/>
            <w:tabs>
              <w:tab w:val="left" w:pos="1320"/>
            </w:tabs>
            <w:rPr>
              <w:noProof/>
              <w:lang w:val="en-AU" w:eastAsia="en-AU"/>
            </w:rPr>
          </w:pPr>
          <w:hyperlink w:anchor="_Toc33602824" w:history="1">
            <w:r w:rsidR="00D44BCF" w:rsidRPr="007D3270">
              <w:rPr>
                <w:rStyle w:val="Hyperlink"/>
                <w:noProof/>
              </w:rPr>
              <w:t>5.4.4</w:t>
            </w:r>
            <w:r w:rsidR="00D44BCF">
              <w:rPr>
                <w:noProof/>
                <w:lang w:val="en-AU" w:eastAsia="en-AU"/>
              </w:rPr>
              <w:tab/>
            </w:r>
            <w:r w:rsidR="00D44BCF" w:rsidRPr="007D3270">
              <w:rPr>
                <w:rStyle w:val="Hyperlink"/>
                <w:noProof/>
              </w:rPr>
              <w:t>Reparation, restitution, compensation or costs as a condition of a bond</w:t>
            </w:r>
            <w:r w:rsidR="00D44BCF">
              <w:rPr>
                <w:noProof/>
                <w:webHidden/>
              </w:rPr>
              <w:tab/>
            </w:r>
            <w:r w:rsidR="00D44BCF">
              <w:rPr>
                <w:noProof/>
                <w:webHidden/>
              </w:rPr>
              <w:fldChar w:fldCharType="begin"/>
            </w:r>
            <w:r w:rsidR="00D44BCF">
              <w:rPr>
                <w:noProof/>
                <w:webHidden/>
              </w:rPr>
              <w:instrText xml:space="preserve"> PAGEREF _Toc33602824 \h </w:instrText>
            </w:r>
            <w:r w:rsidR="00D44BCF">
              <w:rPr>
                <w:noProof/>
                <w:webHidden/>
              </w:rPr>
            </w:r>
            <w:r w:rsidR="00D44BCF">
              <w:rPr>
                <w:noProof/>
                <w:webHidden/>
              </w:rPr>
              <w:fldChar w:fldCharType="separate"/>
            </w:r>
            <w:r w:rsidR="00D44BCF">
              <w:rPr>
                <w:noProof/>
                <w:webHidden/>
              </w:rPr>
              <w:t>100</w:t>
            </w:r>
            <w:r w:rsidR="00D44BCF">
              <w:rPr>
                <w:noProof/>
                <w:webHidden/>
              </w:rPr>
              <w:fldChar w:fldCharType="end"/>
            </w:r>
          </w:hyperlink>
        </w:p>
        <w:p w14:paraId="23DB1B6C" w14:textId="05FBF712" w:rsidR="00D44BCF" w:rsidRDefault="00F51B89">
          <w:pPr>
            <w:pStyle w:val="TOC3"/>
            <w:tabs>
              <w:tab w:val="left" w:pos="1320"/>
            </w:tabs>
            <w:rPr>
              <w:noProof/>
              <w:lang w:val="en-AU" w:eastAsia="en-AU"/>
            </w:rPr>
          </w:pPr>
          <w:hyperlink w:anchor="_Toc33602825" w:history="1">
            <w:r w:rsidR="00D44BCF" w:rsidRPr="007D3270">
              <w:rPr>
                <w:rStyle w:val="Hyperlink"/>
                <w:noProof/>
              </w:rPr>
              <w:t>5.4.5</w:t>
            </w:r>
            <w:r w:rsidR="00D44BCF">
              <w:rPr>
                <w:noProof/>
                <w:lang w:val="en-AU" w:eastAsia="en-AU"/>
              </w:rPr>
              <w:tab/>
            </w:r>
            <w:r w:rsidR="00D44BCF" w:rsidRPr="007D3270">
              <w:rPr>
                <w:rStyle w:val="Hyperlink"/>
                <w:noProof/>
              </w:rPr>
              <w:t>Probation as a condition of a bond</w:t>
            </w:r>
            <w:r w:rsidR="00D44BCF">
              <w:rPr>
                <w:noProof/>
                <w:webHidden/>
              </w:rPr>
              <w:tab/>
            </w:r>
            <w:r w:rsidR="00D44BCF">
              <w:rPr>
                <w:noProof/>
                <w:webHidden/>
              </w:rPr>
              <w:fldChar w:fldCharType="begin"/>
            </w:r>
            <w:r w:rsidR="00D44BCF">
              <w:rPr>
                <w:noProof/>
                <w:webHidden/>
              </w:rPr>
              <w:instrText xml:space="preserve"> PAGEREF _Toc33602825 \h </w:instrText>
            </w:r>
            <w:r w:rsidR="00D44BCF">
              <w:rPr>
                <w:noProof/>
                <w:webHidden/>
              </w:rPr>
            </w:r>
            <w:r w:rsidR="00D44BCF">
              <w:rPr>
                <w:noProof/>
                <w:webHidden/>
              </w:rPr>
              <w:fldChar w:fldCharType="separate"/>
            </w:r>
            <w:r w:rsidR="00D44BCF">
              <w:rPr>
                <w:noProof/>
                <w:webHidden/>
              </w:rPr>
              <w:t>100</w:t>
            </w:r>
            <w:r w:rsidR="00D44BCF">
              <w:rPr>
                <w:noProof/>
                <w:webHidden/>
              </w:rPr>
              <w:fldChar w:fldCharType="end"/>
            </w:r>
          </w:hyperlink>
        </w:p>
        <w:p w14:paraId="27B7B16A" w14:textId="342EFF20" w:rsidR="00D44BCF" w:rsidRDefault="00F51B89">
          <w:pPr>
            <w:pStyle w:val="TOC3"/>
            <w:tabs>
              <w:tab w:val="left" w:pos="1320"/>
            </w:tabs>
            <w:rPr>
              <w:noProof/>
              <w:lang w:val="en-AU" w:eastAsia="en-AU"/>
            </w:rPr>
          </w:pPr>
          <w:hyperlink w:anchor="_Toc33602826" w:history="1">
            <w:r w:rsidR="00D44BCF" w:rsidRPr="007D3270">
              <w:rPr>
                <w:rStyle w:val="Hyperlink"/>
                <w:noProof/>
              </w:rPr>
              <w:t>5.4.6</w:t>
            </w:r>
            <w:r w:rsidR="00D44BCF">
              <w:rPr>
                <w:noProof/>
                <w:lang w:val="en-AU" w:eastAsia="en-AU"/>
              </w:rPr>
              <w:tab/>
            </w:r>
            <w:r w:rsidR="00D44BCF" w:rsidRPr="007D3270">
              <w:rPr>
                <w:rStyle w:val="Hyperlink"/>
                <w:noProof/>
              </w:rPr>
              <w:t>Other conditions of bond</w:t>
            </w:r>
            <w:r w:rsidR="00D44BCF">
              <w:rPr>
                <w:noProof/>
                <w:webHidden/>
              </w:rPr>
              <w:tab/>
            </w:r>
            <w:r w:rsidR="00D44BCF">
              <w:rPr>
                <w:noProof/>
                <w:webHidden/>
              </w:rPr>
              <w:fldChar w:fldCharType="begin"/>
            </w:r>
            <w:r w:rsidR="00D44BCF">
              <w:rPr>
                <w:noProof/>
                <w:webHidden/>
              </w:rPr>
              <w:instrText xml:space="preserve"> PAGEREF _Toc33602826 \h </w:instrText>
            </w:r>
            <w:r w:rsidR="00D44BCF">
              <w:rPr>
                <w:noProof/>
                <w:webHidden/>
              </w:rPr>
            </w:r>
            <w:r w:rsidR="00D44BCF">
              <w:rPr>
                <w:noProof/>
                <w:webHidden/>
              </w:rPr>
              <w:fldChar w:fldCharType="separate"/>
            </w:r>
            <w:r w:rsidR="00D44BCF">
              <w:rPr>
                <w:noProof/>
                <w:webHidden/>
              </w:rPr>
              <w:t>100</w:t>
            </w:r>
            <w:r w:rsidR="00D44BCF">
              <w:rPr>
                <w:noProof/>
                <w:webHidden/>
              </w:rPr>
              <w:fldChar w:fldCharType="end"/>
            </w:r>
          </w:hyperlink>
        </w:p>
        <w:p w14:paraId="4D1DE54E" w14:textId="22C79D31" w:rsidR="00D44BCF" w:rsidRDefault="00F51B89">
          <w:pPr>
            <w:pStyle w:val="TOC3"/>
            <w:tabs>
              <w:tab w:val="left" w:pos="1320"/>
            </w:tabs>
            <w:rPr>
              <w:noProof/>
              <w:lang w:val="en-AU" w:eastAsia="en-AU"/>
            </w:rPr>
          </w:pPr>
          <w:hyperlink w:anchor="_Toc33602827" w:history="1">
            <w:r w:rsidR="00D44BCF" w:rsidRPr="007D3270">
              <w:rPr>
                <w:rStyle w:val="Hyperlink"/>
                <w:noProof/>
              </w:rPr>
              <w:t>5.4.7</w:t>
            </w:r>
            <w:r w:rsidR="00D44BCF">
              <w:rPr>
                <w:noProof/>
                <w:lang w:val="en-AU" w:eastAsia="en-AU"/>
              </w:rPr>
              <w:tab/>
            </w:r>
            <w:r w:rsidR="00D44BCF" w:rsidRPr="007D3270">
              <w:rPr>
                <w:rStyle w:val="Hyperlink"/>
                <w:noProof/>
              </w:rPr>
              <w:t>No power to order community work as a condition of a bond</w:t>
            </w:r>
            <w:r w:rsidR="00D44BCF">
              <w:rPr>
                <w:noProof/>
                <w:webHidden/>
              </w:rPr>
              <w:tab/>
            </w:r>
            <w:r w:rsidR="00D44BCF">
              <w:rPr>
                <w:noProof/>
                <w:webHidden/>
              </w:rPr>
              <w:fldChar w:fldCharType="begin"/>
            </w:r>
            <w:r w:rsidR="00D44BCF">
              <w:rPr>
                <w:noProof/>
                <w:webHidden/>
              </w:rPr>
              <w:instrText xml:space="preserve"> PAGEREF _Toc33602827 \h </w:instrText>
            </w:r>
            <w:r w:rsidR="00D44BCF">
              <w:rPr>
                <w:noProof/>
                <w:webHidden/>
              </w:rPr>
            </w:r>
            <w:r w:rsidR="00D44BCF">
              <w:rPr>
                <w:noProof/>
                <w:webHidden/>
              </w:rPr>
              <w:fldChar w:fldCharType="separate"/>
            </w:r>
            <w:r w:rsidR="00D44BCF">
              <w:rPr>
                <w:noProof/>
                <w:webHidden/>
              </w:rPr>
              <w:t>100</w:t>
            </w:r>
            <w:r w:rsidR="00D44BCF">
              <w:rPr>
                <w:noProof/>
                <w:webHidden/>
              </w:rPr>
              <w:fldChar w:fldCharType="end"/>
            </w:r>
          </w:hyperlink>
        </w:p>
        <w:p w14:paraId="0EF2CB37" w14:textId="6B31AEF7" w:rsidR="00D44BCF" w:rsidRDefault="00F51B89">
          <w:pPr>
            <w:pStyle w:val="TOC3"/>
            <w:tabs>
              <w:tab w:val="left" w:pos="1320"/>
            </w:tabs>
            <w:rPr>
              <w:noProof/>
              <w:lang w:val="en-AU" w:eastAsia="en-AU"/>
            </w:rPr>
          </w:pPr>
          <w:hyperlink w:anchor="_Toc33602828" w:history="1">
            <w:r w:rsidR="00D44BCF" w:rsidRPr="007D3270">
              <w:rPr>
                <w:rStyle w:val="Hyperlink"/>
                <w:noProof/>
              </w:rPr>
              <w:t>5.4.8</w:t>
            </w:r>
            <w:r w:rsidR="00D44BCF">
              <w:rPr>
                <w:noProof/>
                <w:lang w:val="en-AU" w:eastAsia="en-AU"/>
              </w:rPr>
              <w:tab/>
            </w:r>
            <w:r w:rsidR="00D44BCF" w:rsidRPr="007D3270">
              <w:rPr>
                <w:rStyle w:val="Hyperlink"/>
                <w:noProof/>
              </w:rPr>
              <w:t>Payment of money as condition of a bond</w:t>
            </w:r>
            <w:r w:rsidR="00D44BCF">
              <w:rPr>
                <w:noProof/>
                <w:webHidden/>
              </w:rPr>
              <w:tab/>
            </w:r>
            <w:r w:rsidR="00D44BCF">
              <w:rPr>
                <w:noProof/>
                <w:webHidden/>
              </w:rPr>
              <w:fldChar w:fldCharType="begin"/>
            </w:r>
            <w:r w:rsidR="00D44BCF">
              <w:rPr>
                <w:noProof/>
                <w:webHidden/>
              </w:rPr>
              <w:instrText xml:space="preserve"> PAGEREF _Toc33602828 \h </w:instrText>
            </w:r>
            <w:r w:rsidR="00D44BCF">
              <w:rPr>
                <w:noProof/>
                <w:webHidden/>
              </w:rPr>
            </w:r>
            <w:r w:rsidR="00D44BCF">
              <w:rPr>
                <w:noProof/>
                <w:webHidden/>
              </w:rPr>
              <w:fldChar w:fldCharType="separate"/>
            </w:r>
            <w:r w:rsidR="00D44BCF">
              <w:rPr>
                <w:noProof/>
                <w:webHidden/>
              </w:rPr>
              <w:t>101</w:t>
            </w:r>
            <w:r w:rsidR="00D44BCF">
              <w:rPr>
                <w:noProof/>
                <w:webHidden/>
              </w:rPr>
              <w:fldChar w:fldCharType="end"/>
            </w:r>
          </w:hyperlink>
        </w:p>
        <w:p w14:paraId="136AA359" w14:textId="598A0FFC" w:rsidR="00D44BCF" w:rsidRDefault="00F51B89">
          <w:pPr>
            <w:pStyle w:val="TOC3"/>
            <w:tabs>
              <w:tab w:val="left" w:pos="1320"/>
            </w:tabs>
            <w:rPr>
              <w:noProof/>
              <w:lang w:val="en-AU" w:eastAsia="en-AU"/>
            </w:rPr>
          </w:pPr>
          <w:hyperlink w:anchor="_Toc33602829" w:history="1">
            <w:r w:rsidR="00D44BCF" w:rsidRPr="007D3270">
              <w:rPr>
                <w:rStyle w:val="Hyperlink"/>
                <w:noProof/>
              </w:rPr>
              <w:t>5.4.9</w:t>
            </w:r>
            <w:r w:rsidR="00D44BCF">
              <w:rPr>
                <w:noProof/>
                <w:lang w:val="en-AU" w:eastAsia="en-AU"/>
              </w:rPr>
              <w:tab/>
            </w:r>
            <w:r w:rsidR="00D44BCF" w:rsidRPr="007D3270">
              <w:rPr>
                <w:rStyle w:val="Hyperlink"/>
                <w:noProof/>
              </w:rPr>
              <w:t>Form of bond</w:t>
            </w:r>
            <w:r w:rsidR="00D44BCF">
              <w:rPr>
                <w:noProof/>
                <w:webHidden/>
              </w:rPr>
              <w:tab/>
            </w:r>
            <w:r w:rsidR="00D44BCF">
              <w:rPr>
                <w:noProof/>
                <w:webHidden/>
              </w:rPr>
              <w:fldChar w:fldCharType="begin"/>
            </w:r>
            <w:r w:rsidR="00D44BCF">
              <w:rPr>
                <w:noProof/>
                <w:webHidden/>
              </w:rPr>
              <w:instrText xml:space="preserve"> PAGEREF _Toc33602829 \h </w:instrText>
            </w:r>
            <w:r w:rsidR="00D44BCF">
              <w:rPr>
                <w:noProof/>
                <w:webHidden/>
              </w:rPr>
            </w:r>
            <w:r w:rsidR="00D44BCF">
              <w:rPr>
                <w:noProof/>
                <w:webHidden/>
              </w:rPr>
              <w:fldChar w:fldCharType="separate"/>
            </w:r>
            <w:r w:rsidR="00D44BCF">
              <w:rPr>
                <w:noProof/>
                <w:webHidden/>
              </w:rPr>
              <w:t>101</w:t>
            </w:r>
            <w:r w:rsidR="00D44BCF">
              <w:rPr>
                <w:noProof/>
                <w:webHidden/>
              </w:rPr>
              <w:fldChar w:fldCharType="end"/>
            </w:r>
          </w:hyperlink>
        </w:p>
        <w:p w14:paraId="7D0940CE" w14:textId="3FFEF76D" w:rsidR="00D44BCF" w:rsidRDefault="00F51B89">
          <w:pPr>
            <w:pStyle w:val="TOC3"/>
            <w:tabs>
              <w:tab w:val="left" w:pos="1320"/>
            </w:tabs>
            <w:rPr>
              <w:noProof/>
              <w:lang w:val="en-AU" w:eastAsia="en-AU"/>
            </w:rPr>
          </w:pPr>
          <w:hyperlink w:anchor="_Toc33602830" w:history="1">
            <w:r w:rsidR="00D44BCF" w:rsidRPr="007D3270">
              <w:rPr>
                <w:rStyle w:val="Hyperlink"/>
                <w:noProof/>
              </w:rPr>
              <w:t>5.4.10</w:t>
            </w:r>
            <w:r w:rsidR="00D44BCF">
              <w:rPr>
                <w:noProof/>
                <w:lang w:val="en-AU" w:eastAsia="en-AU"/>
              </w:rPr>
              <w:tab/>
            </w:r>
            <w:r w:rsidR="00D44BCF" w:rsidRPr="007D3270">
              <w:rPr>
                <w:rStyle w:val="Hyperlink"/>
                <w:noProof/>
              </w:rPr>
              <w:t>Section 19B bond not available for certain people-smuggling offences</w:t>
            </w:r>
            <w:r w:rsidR="00D44BCF">
              <w:rPr>
                <w:noProof/>
                <w:webHidden/>
              </w:rPr>
              <w:tab/>
            </w:r>
            <w:r w:rsidR="00D44BCF">
              <w:rPr>
                <w:noProof/>
                <w:webHidden/>
              </w:rPr>
              <w:fldChar w:fldCharType="begin"/>
            </w:r>
            <w:r w:rsidR="00D44BCF">
              <w:rPr>
                <w:noProof/>
                <w:webHidden/>
              </w:rPr>
              <w:instrText xml:space="preserve"> PAGEREF _Toc33602830 \h </w:instrText>
            </w:r>
            <w:r w:rsidR="00D44BCF">
              <w:rPr>
                <w:noProof/>
                <w:webHidden/>
              </w:rPr>
            </w:r>
            <w:r w:rsidR="00D44BCF">
              <w:rPr>
                <w:noProof/>
                <w:webHidden/>
              </w:rPr>
              <w:fldChar w:fldCharType="separate"/>
            </w:r>
            <w:r w:rsidR="00D44BCF">
              <w:rPr>
                <w:noProof/>
                <w:webHidden/>
              </w:rPr>
              <w:t>101</w:t>
            </w:r>
            <w:r w:rsidR="00D44BCF">
              <w:rPr>
                <w:noProof/>
                <w:webHidden/>
              </w:rPr>
              <w:fldChar w:fldCharType="end"/>
            </w:r>
          </w:hyperlink>
        </w:p>
        <w:p w14:paraId="670816DE" w14:textId="4A520832" w:rsidR="00D44BCF" w:rsidRDefault="00F51B89">
          <w:pPr>
            <w:pStyle w:val="TOC3"/>
            <w:tabs>
              <w:tab w:val="left" w:pos="1320"/>
            </w:tabs>
            <w:rPr>
              <w:noProof/>
              <w:lang w:val="en-AU" w:eastAsia="en-AU"/>
            </w:rPr>
          </w:pPr>
          <w:hyperlink w:anchor="_Toc33602831" w:history="1">
            <w:r w:rsidR="00D44BCF" w:rsidRPr="007D3270">
              <w:rPr>
                <w:rStyle w:val="Hyperlink"/>
                <w:noProof/>
              </w:rPr>
              <w:t>5.4.11</w:t>
            </w:r>
            <w:r w:rsidR="00D44BCF">
              <w:rPr>
                <w:noProof/>
                <w:lang w:val="en-AU" w:eastAsia="en-AU"/>
              </w:rPr>
              <w:tab/>
            </w:r>
            <w:r w:rsidR="00D44BCF" w:rsidRPr="007D3270">
              <w:rPr>
                <w:rStyle w:val="Hyperlink"/>
                <w:noProof/>
              </w:rPr>
              <w:t>Corporations</w:t>
            </w:r>
            <w:r w:rsidR="00D44BCF">
              <w:rPr>
                <w:noProof/>
                <w:webHidden/>
              </w:rPr>
              <w:tab/>
            </w:r>
            <w:r w:rsidR="00D44BCF">
              <w:rPr>
                <w:noProof/>
                <w:webHidden/>
              </w:rPr>
              <w:fldChar w:fldCharType="begin"/>
            </w:r>
            <w:r w:rsidR="00D44BCF">
              <w:rPr>
                <w:noProof/>
                <w:webHidden/>
              </w:rPr>
              <w:instrText xml:space="preserve"> PAGEREF _Toc33602831 \h </w:instrText>
            </w:r>
            <w:r w:rsidR="00D44BCF">
              <w:rPr>
                <w:noProof/>
                <w:webHidden/>
              </w:rPr>
            </w:r>
            <w:r w:rsidR="00D44BCF">
              <w:rPr>
                <w:noProof/>
                <w:webHidden/>
              </w:rPr>
              <w:fldChar w:fldCharType="separate"/>
            </w:r>
            <w:r w:rsidR="00D44BCF">
              <w:rPr>
                <w:noProof/>
                <w:webHidden/>
              </w:rPr>
              <w:t>102</w:t>
            </w:r>
            <w:r w:rsidR="00D44BCF">
              <w:rPr>
                <w:noProof/>
                <w:webHidden/>
              </w:rPr>
              <w:fldChar w:fldCharType="end"/>
            </w:r>
          </w:hyperlink>
        </w:p>
        <w:p w14:paraId="3C62428D" w14:textId="4E25A1C2" w:rsidR="00D44BCF" w:rsidRDefault="00F51B89">
          <w:pPr>
            <w:pStyle w:val="TOC3"/>
            <w:tabs>
              <w:tab w:val="left" w:pos="1320"/>
            </w:tabs>
            <w:rPr>
              <w:noProof/>
              <w:lang w:val="en-AU" w:eastAsia="en-AU"/>
            </w:rPr>
          </w:pPr>
          <w:hyperlink w:anchor="_Toc33602832" w:history="1">
            <w:r w:rsidR="00D44BCF" w:rsidRPr="007D3270">
              <w:rPr>
                <w:rStyle w:val="Hyperlink"/>
                <w:noProof/>
              </w:rPr>
              <w:t>5.4.12</w:t>
            </w:r>
            <w:r w:rsidR="00D44BCF">
              <w:rPr>
                <w:noProof/>
                <w:lang w:val="en-AU" w:eastAsia="en-AU"/>
              </w:rPr>
              <w:tab/>
            </w:r>
            <w:r w:rsidR="00D44BCF" w:rsidRPr="007D3270">
              <w:rPr>
                <w:rStyle w:val="Hyperlink"/>
                <w:noProof/>
              </w:rPr>
              <w:t>Obligation on the court</w:t>
            </w:r>
            <w:r w:rsidR="00D44BCF">
              <w:rPr>
                <w:noProof/>
                <w:webHidden/>
              </w:rPr>
              <w:tab/>
            </w:r>
            <w:r w:rsidR="00D44BCF">
              <w:rPr>
                <w:noProof/>
                <w:webHidden/>
              </w:rPr>
              <w:fldChar w:fldCharType="begin"/>
            </w:r>
            <w:r w:rsidR="00D44BCF">
              <w:rPr>
                <w:noProof/>
                <w:webHidden/>
              </w:rPr>
              <w:instrText xml:space="preserve"> PAGEREF _Toc33602832 \h </w:instrText>
            </w:r>
            <w:r w:rsidR="00D44BCF">
              <w:rPr>
                <w:noProof/>
                <w:webHidden/>
              </w:rPr>
            </w:r>
            <w:r w:rsidR="00D44BCF">
              <w:rPr>
                <w:noProof/>
                <w:webHidden/>
              </w:rPr>
              <w:fldChar w:fldCharType="separate"/>
            </w:r>
            <w:r w:rsidR="00D44BCF">
              <w:rPr>
                <w:noProof/>
                <w:webHidden/>
              </w:rPr>
              <w:t>102</w:t>
            </w:r>
            <w:r w:rsidR="00D44BCF">
              <w:rPr>
                <w:noProof/>
                <w:webHidden/>
              </w:rPr>
              <w:fldChar w:fldCharType="end"/>
            </w:r>
          </w:hyperlink>
        </w:p>
        <w:p w14:paraId="209FF763" w14:textId="2D8F76EC" w:rsidR="00D44BCF" w:rsidRDefault="00F51B89">
          <w:pPr>
            <w:pStyle w:val="TOC3"/>
            <w:tabs>
              <w:tab w:val="left" w:pos="1320"/>
            </w:tabs>
            <w:rPr>
              <w:noProof/>
              <w:lang w:val="en-AU" w:eastAsia="en-AU"/>
            </w:rPr>
          </w:pPr>
          <w:hyperlink w:anchor="_Toc33602833" w:history="1">
            <w:r w:rsidR="00D44BCF" w:rsidRPr="007D3270">
              <w:rPr>
                <w:rStyle w:val="Hyperlink"/>
                <w:noProof/>
              </w:rPr>
              <w:t>5.4.13</w:t>
            </w:r>
            <w:r w:rsidR="00D44BCF">
              <w:rPr>
                <w:noProof/>
                <w:lang w:val="en-AU" w:eastAsia="en-AU"/>
              </w:rPr>
              <w:tab/>
            </w:r>
            <w:r w:rsidR="00D44BCF" w:rsidRPr="007D3270">
              <w:rPr>
                <w:rStyle w:val="Hyperlink"/>
                <w:noProof/>
              </w:rPr>
              <w:t xml:space="preserve">Breach action – </w:t>
            </w:r>
            <w:r w:rsidR="00D44BCF" w:rsidRPr="007D3270">
              <w:rPr>
                <w:rStyle w:val="Hyperlink"/>
                <w:i/>
                <w:noProof/>
              </w:rPr>
              <w:t>Crimes Act 1914</w:t>
            </w:r>
            <w:r w:rsidR="00D44BCF" w:rsidRPr="007D3270">
              <w:rPr>
                <w:rStyle w:val="Hyperlink"/>
                <w:noProof/>
              </w:rPr>
              <w:t>, s 20A(1A)</w:t>
            </w:r>
            <w:r w:rsidR="00D44BCF">
              <w:rPr>
                <w:noProof/>
                <w:webHidden/>
              </w:rPr>
              <w:tab/>
            </w:r>
            <w:r w:rsidR="00D44BCF">
              <w:rPr>
                <w:noProof/>
                <w:webHidden/>
              </w:rPr>
              <w:fldChar w:fldCharType="begin"/>
            </w:r>
            <w:r w:rsidR="00D44BCF">
              <w:rPr>
                <w:noProof/>
                <w:webHidden/>
              </w:rPr>
              <w:instrText xml:space="preserve"> PAGEREF _Toc33602833 \h </w:instrText>
            </w:r>
            <w:r w:rsidR="00D44BCF">
              <w:rPr>
                <w:noProof/>
                <w:webHidden/>
              </w:rPr>
            </w:r>
            <w:r w:rsidR="00D44BCF">
              <w:rPr>
                <w:noProof/>
                <w:webHidden/>
              </w:rPr>
              <w:fldChar w:fldCharType="separate"/>
            </w:r>
            <w:r w:rsidR="00D44BCF">
              <w:rPr>
                <w:noProof/>
                <w:webHidden/>
              </w:rPr>
              <w:t>102</w:t>
            </w:r>
            <w:r w:rsidR="00D44BCF">
              <w:rPr>
                <w:noProof/>
                <w:webHidden/>
              </w:rPr>
              <w:fldChar w:fldCharType="end"/>
            </w:r>
          </w:hyperlink>
        </w:p>
        <w:p w14:paraId="33E2547A" w14:textId="6A61345D" w:rsidR="00D44BCF" w:rsidRDefault="00F51B89">
          <w:pPr>
            <w:pStyle w:val="TOC2"/>
            <w:tabs>
              <w:tab w:val="left" w:pos="880"/>
              <w:tab w:val="right" w:leader="dot" w:pos="9061"/>
            </w:tabs>
            <w:rPr>
              <w:noProof/>
              <w:lang w:val="en-AU" w:eastAsia="en-AU"/>
            </w:rPr>
          </w:pPr>
          <w:hyperlink w:anchor="_Toc33602834" w:history="1">
            <w:r w:rsidR="00D44BCF" w:rsidRPr="007D3270">
              <w:rPr>
                <w:rStyle w:val="Hyperlink"/>
                <w:noProof/>
              </w:rPr>
              <w:t>5.5</w:t>
            </w:r>
            <w:r w:rsidR="00D44BCF">
              <w:rPr>
                <w:noProof/>
                <w:lang w:val="en-AU" w:eastAsia="en-AU"/>
              </w:rPr>
              <w:tab/>
            </w:r>
            <w:r w:rsidR="00D44BCF" w:rsidRPr="007D3270">
              <w:rPr>
                <w:rStyle w:val="Hyperlink"/>
                <w:noProof/>
              </w:rPr>
              <w:t xml:space="preserve">Bond with conviction – </w:t>
            </w:r>
            <w:r w:rsidR="00D44BCF" w:rsidRPr="007D3270">
              <w:rPr>
                <w:rStyle w:val="Hyperlink"/>
                <w:i/>
                <w:noProof/>
              </w:rPr>
              <w:t>Crimes Act 1914</w:t>
            </w:r>
            <w:r w:rsidR="00D44BCF" w:rsidRPr="007D3270">
              <w:rPr>
                <w:rStyle w:val="Hyperlink"/>
                <w:noProof/>
              </w:rPr>
              <w:t>, s 20(1)(a)</w:t>
            </w:r>
            <w:r w:rsidR="00D44BCF">
              <w:rPr>
                <w:noProof/>
                <w:webHidden/>
              </w:rPr>
              <w:tab/>
            </w:r>
            <w:r w:rsidR="00D44BCF">
              <w:rPr>
                <w:noProof/>
                <w:webHidden/>
              </w:rPr>
              <w:fldChar w:fldCharType="begin"/>
            </w:r>
            <w:r w:rsidR="00D44BCF">
              <w:rPr>
                <w:noProof/>
                <w:webHidden/>
              </w:rPr>
              <w:instrText xml:space="preserve"> PAGEREF _Toc33602834 \h </w:instrText>
            </w:r>
            <w:r w:rsidR="00D44BCF">
              <w:rPr>
                <w:noProof/>
                <w:webHidden/>
              </w:rPr>
            </w:r>
            <w:r w:rsidR="00D44BCF">
              <w:rPr>
                <w:noProof/>
                <w:webHidden/>
              </w:rPr>
              <w:fldChar w:fldCharType="separate"/>
            </w:r>
            <w:r w:rsidR="00D44BCF">
              <w:rPr>
                <w:noProof/>
                <w:webHidden/>
              </w:rPr>
              <w:t>103</w:t>
            </w:r>
            <w:r w:rsidR="00D44BCF">
              <w:rPr>
                <w:noProof/>
                <w:webHidden/>
              </w:rPr>
              <w:fldChar w:fldCharType="end"/>
            </w:r>
          </w:hyperlink>
        </w:p>
        <w:p w14:paraId="0CCF990D" w14:textId="082A3E36" w:rsidR="00D44BCF" w:rsidRDefault="00F51B89">
          <w:pPr>
            <w:pStyle w:val="TOC3"/>
            <w:tabs>
              <w:tab w:val="left" w:pos="1320"/>
            </w:tabs>
            <w:rPr>
              <w:noProof/>
              <w:lang w:val="en-AU" w:eastAsia="en-AU"/>
            </w:rPr>
          </w:pPr>
          <w:hyperlink w:anchor="_Toc33602835" w:history="1">
            <w:r w:rsidR="00D44BCF" w:rsidRPr="007D3270">
              <w:rPr>
                <w:rStyle w:val="Hyperlink"/>
                <w:noProof/>
              </w:rPr>
              <w:t>5.5.1</w:t>
            </w:r>
            <w:r w:rsidR="00D44BCF">
              <w:rPr>
                <w:noProof/>
                <w:lang w:val="en-AU" w:eastAsia="en-AU"/>
              </w:rPr>
              <w:tab/>
            </w:r>
            <w:r w:rsidR="00D44BCF" w:rsidRPr="007D3270">
              <w:rPr>
                <w:rStyle w:val="Hyperlink"/>
                <w:noProof/>
              </w:rPr>
              <w:t>Single bond may be ordered for two or more federal offences</w:t>
            </w:r>
            <w:r w:rsidR="00D44BCF">
              <w:rPr>
                <w:noProof/>
                <w:webHidden/>
              </w:rPr>
              <w:tab/>
            </w:r>
            <w:r w:rsidR="00D44BCF">
              <w:rPr>
                <w:noProof/>
                <w:webHidden/>
              </w:rPr>
              <w:fldChar w:fldCharType="begin"/>
            </w:r>
            <w:r w:rsidR="00D44BCF">
              <w:rPr>
                <w:noProof/>
                <w:webHidden/>
              </w:rPr>
              <w:instrText xml:space="preserve"> PAGEREF _Toc33602835 \h </w:instrText>
            </w:r>
            <w:r w:rsidR="00D44BCF">
              <w:rPr>
                <w:noProof/>
                <w:webHidden/>
              </w:rPr>
            </w:r>
            <w:r w:rsidR="00D44BCF">
              <w:rPr>
                <w:noProof/>
                <w:webHidden/>
              </w:rPr>
              <w:fldChar w:fldCharType="separate"/>
            </w:r>
            <w:r w:rsidR="00D44BCF">
              <w:rPr>
                <w:noProof/>
                <w:webHidden/>
              </w:rPr>
              <w:t>103</w:t>
            </w:r>
            <w:r w:rsidR="00D44BCF">
              <w:rPr>
                <w:noProof/>
                <w:webHidden/>
              </w:rPr>
              <w:fldChar w:fldCharType="end"/>
            </w:r>
          </w:hyperlink>
        </w:p>
        <w:p w14:paraId="132F3B34" w14:textId="36AEE63F" w:rsidR="00D44BCF" w:rsidRDefault="00F51B89">
          <w:pPr>
            <w:pStyle w:val="TOC3"/>
            <w:tabs>
              <w:tab w:val="left" w:pos="1320"/>
            </w:tabs>
            <w:rPr>
              <w:noProof/>
              <w:lang w:val="en-AU" w:eastAsia="en-AU"/>
            </w:rPr>
          </w:pPr>
          <w:hyperlink w:anchor="_Toc33602836" w:history="1">
            <w:r w:rsidR="00D44BCF" w:rsidRPr="007D3270">
              <w:rPr>
                <w:rStyle w:val="Hyperlink"/>
                <w:noProof/>
              </w:rPr>
              <w:t>5.5.2</w:t>
            </w:r>
            <w:r w:rsidR="00D44BCF">
              <w:rPr>
                <w:noProof/>
                <w:lang w:val="en-AU" w:eastAsia="en-AU"/>
              </w:rPr>
              <w:tab/>
            </w:r>
            <w:r w:rsidR="00D44BCF" w:rsidRPr="007D3270">
              <w:rPr>
                <w:rStyle w:val="Hyperlink"/>
                <w:noProof/>
              </w:rPr>
              <w:t>Length of good behaviour period</w:t>
            </w:r>
            <w:r w:rsidR="00D44BCF">
              <w:rPr>
                <w:noProof/>
                <w:webHidden/>
              </w:rPr>
              <w:tab/>
            </w:r>
            <w:r w:rsidR="00D44BCF">
              <w:rPr>
                <w:noProof/>
                <w:webHidden/>
              </w:rPr>
              <w:fldChar w:fldCharType="begin"/>
            </w:r>
            <w:r w:rsidR="00D44BCF">
              <w:rPr>
                <w:noProof/>
                <w:webHidden/>
              </w:rPr>
              <w:instrText xml:space="preserve"> PAGEREF _Toc33602836 \h </w:instrText>
            </w:r>
            <w:r w:rsidR="00D44BCF">
              <w:rPr>
                <w:noProof/>
                <w:webHidden/>
              </w:rPr>
            </w:r>
            <w:r w:rsidR="00D44BCF">
              <w:rPr>
                <w:noProof/>
                <w:webHidden/>
              </w:rPr>
              <w:fldChar w:fldCharType="separate"/>
            </w:r>
            <w:r w:rsidR="00D44BCF">
              <w:rPr>
                <w:noProof/>
                <w:webHidden/>
              </w:rPr>
              <w:t>103</w:t>
            </w:r>
            <w:r w:rsidR="00D44BCF">
              <w:rPr>
                <w:noProof/>
                <w:webHidden/>
              </w:rPr>
              <w:fldChar w:fldCharType="end"/>
            </w:r>
          </w:hyperlink>
        </w:p>
        <w:p w14:paraId="15FEE534" w14:textId="7335FB16" w:rsidR="00D44BCF" w:rsidRDefault="00F51B89">
          <w:pPr>
            <w:pStyle w:val="TOC3"/>
            <w:tabs>
              <w:tab w:val="left" w:pos="1320"/>
            </w:tabs>
            <w:rPr>
              <w:noProof/>
              <w:lang w:val="en-AU" w:eastAsia="en-AU"/>
            </w:rPr>
          </w:pPr>
          <w:hyperlink w:anchor="_Toc33602837" w:history="1">
            <w:r w:rsidR="00D44BCF" w:rsidRPr="007D3270">
              <w:rPr>
                <w:rStyle w:val="Hyperlink"/>
                <w:noProof/>
              </w:rPr>
              <w:t>5.5.3</w:t>
            </w:r>
            <w:r w:rsidR="00D44BCF">
              <w:rPr>
                <w:noProof/>
                <w:lang w:val="en-AU" w:eastAsia="en-AU"/>
              </w:rPr>
              <w:tab/>
            </w:r>
            <w:r w:rsidR="00D44BCF" w:rsidRPr="007D3270">
              <w:rPr>
                <w:rStyle w:val="Hyperlink"/>
                <w:noProof/>
              </w:rPr>
              <w:t>Reparation, restitution, compensation or costs as a condition of a bond</w:t>
            </w:r>
            <w:r w:rsidR="00D44BCF">
              <w:rPr>
                <w:noProof/>
                <w:webHidden/>
              </w:rPr>
              <w:tab/>
            </w:r>
            <w:r w:rsidR="00D44BCF">
              <w:rPr>
                <w:noProof/>
                <w:webHidden/>
              </w:rPr>
              <w:fldChar w:fldCharType="begin"/>
            </w:r>
            <w:r w:rsidR="00D44BCF">
              <w:rPr>
                <w:noProof/>
                <w:webHidden/>
              </w:rPr>
              <w:instrText xml:space="preserve"> PAGEREF _Toc33602837 \h </w:instrText>
            </w:r>
            <w:r w:rsidR="00D44BCF">
              <w:rPr>
                <w:noProof/>
                <w:webHidden/>
              </w:rPr>
            </w:r>
            <w:r w:rsidR="00D44BCF">
              <w:rPr>
                <w:noProof/>
                <w:webHidden/>
              </w:rPr>
              <w:fldChar w:fldCharType="separate"/>
            </w:r>
            <w:r w:rsidR="00D44BCF">
              <w:rPr>
                <w:noProof/>
                <w:webHidden/>
              </w:rPr>
              <w:t>103</w:t>
            </w:r>
            <w:r w:rsidR="00D44BCF">
              <w:rPr>
                <w:noProof/>
                <w:webHidden/>
              </w:rPr>
              <w:fldChar w:fldCharType="end"/>
            </w:r>
          </w:hyperlink>
        </w:p>
        <w:p w14:paraId="6EABAEEA" w14:textId="4EBCE06C" w:rsidR="00D44BCF" w:rsidRDefault="00F51B89">
          <w:pPr>
            <w:pStyle w:val="TOC3"/>
            <w:tabs>
              <w:tab w:val="left" w:pos="1320"/>
            </w:tabs>
            <w:rPr>
              <w:noProof/>
              <w:lang w:val="en-AU" w:eastAsia="en-AU"/>
            </w:rPr>
          </w:pPr>
          <w:hyperlink w:anchor="_Toc33602838" w:history="1">
            <w:r w:rsidR="00D44BCF" w:rsidRPr="007D3270">
              <w:rPr>
                <w:rStyle w:val="Hyperlink"/>
                <w:noProof/>
              </w:rPr>
              <w:t>5.5.4</w:t>
            </w:r>
            <w:r w:rsidR="00D44BCF">
              <w:rPr>
                <w:noProof/>
                <w:lang w:val="en-AU" w:eastAsia="en-AU"/>
              </w:rPr>
              <w:tab/>
            </w:r>
            <w:r w:rsidR="00D44BCF" w:rsidRPr="007D3270">
              <w:rPr>
                <w:rStyle w:val="Hyperlink"/>
                <w:noProof/>
              </w:rPr>
              <w:t>Pecuniary penalty as a condition of a bond</w:t>
            </w:r>
            <w:r w:rsidR="00D44BCF">
              <w:rPr>
                <w:noProof/>
                <w:webHidden/>
              </w:rPr>
              <w:tab/>
            </w:r>
            <w:r w:rsidR="00D44BCF">
              <w:rPr>
                <w:noProof/>
                <w:webHidden/>
              </w:rPr>
              <w:fldChar w:fldCharType="begin"/>
            </w:r>
            <w:r w:rsidR="00D44BCF">
              <w:rPr>
                <w:noProof/>
                <w:webHidden/>
              </w:rPr>
              <w:instrText xml:space="preserve"> PAGEREF _Toc33602838 \h </w:instrText>
            </w:r>
            <w:r w:rsidR="00D44BCF">
              <w:rPr>
                <w:noProof/>
                <w:webHidden/>
              </w:rPr>
            </w:r>
            <w:r w:rsidR="00D44BCF">
              <w:rPr>
                <w:noProof/>
                <w:webHidden/>
              </w:rPr>
              <w:fldChar w:fldCharType="separate"/>
            </w:r>
            <w:r w:rsidR="00D44BCF">
              <w:rPr>
                <w:noProof/>
                <w:webHidden/>
              </w:rPr>
              <w:t>104</w:t>
            </w:r>
            <w:r w:rsidR="00D44BCF">
              <w:rPr>
                <w:noProof/>
                <w:webHidden/>
              </w:rPr>
              <w:fldChar w:fldCharType="end"/>
            </w:r>
          </w:hyperlink>
        </w:p>
        <w:p w14:paraId="4B623B99" w14:textId="642EF908" w:rsidR="00D44BCF" w:rsidRDefault="00F51B89">
          <w:pPr>
            <w:pStyle w:val="TOC3"/>
            <w:tabs>
              <w:tab w:val="left" w:pos="1320"/>
            </w:tabs>
            <w:rPr>
              <w:noProof/>
              <w:lang w:val="en-AU" w:eastAsia="en-AU"/>
            </w:rPr>
          </w:pPr>
          <w:hyperlink w:anchor="_Toc33602839" w:history="1">
            <w:r w:rsidR="00D44BCF" w:rsidRPr="007D3270">
              <w:rPr>
                <w:rStyle w:val="Hyperlink"/>
                <w:noProof/>
              </w:rPr>
              <w:t>5.5.5</w:t>
            </w:r>
            <w:r w:rsidR="00D44BCF">
              <w:rPr>
                <w:noProof/>
                <w:lang w:val="en-AU" w:eastAsia="en-AU"/>
              </w:rPr>
              <w:tab/>
            </w:r>
            <w:r w:rsidR="00D44BCF" w:rsidRPr="007D3270">
              <w:rPr>
                <w:rStyle w:val="Hyperlink"/>
                <w:noProof/>
              </w:rPr>
              <w:t>Other conditions: for a period of up to 2 years</w:t>
            </w:r>
            <w:r w:rsidR="00D44BCF">
              <w:rPr>
                <w:noProof/>
                <w:webHidden/>
              </w:rPr>
              <w:tab/>
            </w:r>
            <w:r w:rsidR="00D44BCF">
              <w:rPr>
                <w:noProof/>
                <w:webHidden/>
              </w:rPr>
              <w:fldChar w:fldCharType="begin"/>
            </w:r>
            <w:r w:rsidR="00D44BCF">
              <w:rPr>
                <w:noProof/>
                <w:webHidden/>
              </w:rPr>
              <w:instrText xml:space="preserve"> PAGEREF _Toc33602839 \h </w:instrText>
            </w:r>
            <w:r w:rsidR="00D44BCF">
              <w:rPr>
                <w:noProof/>
                <w:webHidden/>
              </w:rPr>
            </w:r>
            <w:r w:rsidR="00D44BCF">
              <w:rPr>
                <w:noProof/>
                <w:webHidden/>
              </w:rPr>
              <w:fldChar w:fldCharType="separate"/>
            </w:r>
            <w:r w:rsidR="00D44BCF">
              <w:rPr>
                <w:noProof/>
                <w:webHidden/>
              </w:rPr>
              <w:t>104</w:t>
            </w:r>
            <w:r w:rsidR="00D44BCF">
              <w:rPr>
                <w:noProof/>
                <w:webHidden/>
              </w:rPr>
              <w:fldChar w:fldCharType="end"/>
            </w:r>
          </w:hyperlink>
        </w:p>
        <w:p w14:paraId="12952856" w14:textId="0A828F45" w:rsidR="00D44BCF" w:rsidRDefault="00F51B89">
          <w:pPr>
            <w:pStyle w:val="TOC3"/>
            <w:tabs>
              <w:tab w:val="left" w:pos="1320"/>
            </w:tabs>
            <w:rPr>
              <w:noProof/>
              <w:lang w:val="en-AU" w:eastAsia="en-AU"/>
            </w:rPr>
          </w:pPr>
          <w:hyperlink w:anchor="_Toc33602840" w:history="1">
            <w:r w:rsidR="00D44BCF" w:rsidRPr="007D3270">
              <w:rPr>
                <w:rStyle w:val="Hyperlink"/>
                <w:noProof/>
              </w:rPr>
              <w:t>5.5.6</w:t>
            </w:r>
            <w:r w:rsidR="00D44BCF">
              <w:rPr>
                <w:noProof/>
                <w:lang w:val="en-AU" w:eastAsia="en-AU"/>
              </w:rPr>
              <w:tab/>
            </w:r>
            <w:r w:rsidR="00D44BCF" w:rsidRPr="007D3270">
              <w:rPr>
                <w:rStyle w:val="Hyperlink"/>
                <w:noProof/>
              </w:rPr>
              <w:t>Condition requiring treatment or probation</w:t>
            </w:r>
            <w:r w:rsidR="00D44BCF">
              <w:rPr>
                <w:noProof/>
                <w:webHidden/>
              </w:rPr>
              <w:tab/>
            </w:r>
            <w:r w:rsidR="00D44BCF">
              <w:rPr>
                <w:noProof/>
                <w:webHidden/>
              </w:rPr>
              <w:fldChar w:fldCharType="begin"/>
            </w:r>
            <w:r w:rsidR="00D44BCF">
              <w:rPr>
                <w:noProof/>
                <w:webHidden/>
              </w:rPr>
              <w:instrText xml:space="preserve"> PAGEREF _Toc33602840 \h </w:instrText>
            </w:r>
            <w:r w:rsidR="00D44BCF">
              <w:rPr>
                <w:noProof/>
                <w:webHidden/>
              </w:rPr>
            </w:r>
            <w:r w:rsidR="00D44BCF">
              <w:rPr>
                <w:noProof/>
                <w:webHidden/>
              </w:rPr>
              <w:fldChar w:fldCharType="separate"/>
            </w:r>
            <w:r w:rsidR="00D44BCF">
              <w:rPr>
                <w:noProof/>
                <w:webHidden/>
              </w:rPr>
              <w:t>104</w:t>
            </w:r>
            <w:r w:rsidR="00D44BCF">
              <w:rPr>
                <w:noProof/>
                <w:webHidden/>
              </w:rPr>
              <w:fldChar w:fldCharType="end"/>
            </w:r>
          </w:hyperlink>
        </w:p>
        <w:p w14:paraId="7F393737" w14:textId="6C12E3E0" w:rsidR="00D44BCF" w:rsidRDefault="00F51B89">
          <w:pPr>
            <w:pStyle w:val="TOC3"/>
            <w:tabs>
              <w:tab w:val="left" w:pos="1320"/>
            </w:tabs>
            <w:rPr>
              <w:noProof/>
              <w:lang w:val="en-AU" w:eastAsia="en-AU"/>
            </w:rPr>
          </w:pPr>
          <w:hyperlink w:anchor="_Toc33602841" w:history="1">
            <w:r w:rsidR="00D44BCF" w:rsidRPr="007D3270">
              <w:rPr>
                <w:rStyle w:val="Hyperlink"/>
                <w:noProof/>
              </w:rPr>
              <w:t>5.5.7</w:t>
            </w:r>
            <w:r w:rsidR="00D44BCF">
              <w:rPr>
                <w:noProof/>
                <w:lang w:val="en-AU" w:eastAsia="en-AU"/>
              </w:rPr>
              <w:tab/>
            </w:r>
            <w:r w:rsidR="00D44BCF" w:rsidRPr="007D3270">
              <w:rPr>
                <w:rStyle w:val="Hyperlink"/>
                <w:noProof/>
              </w:rPr>
              <w:t>Condition requiring unpaid work as a condition of a bond</w:t>
            </w:r>
            <w:r w:rsidR="00D44BCF">
              <w:rPr>
                <w:noProof/>
                <w:webHidden/>
              </w:rPr>
              <w:tab/>
            </w:r>
            <w:r w:rsidR="00D44BCF">
              <w:rPr>
                <w:noProof/>
                <w:webHidden/>
              </w:rPr>
              <w:fldChar w:fldCharType="begin"/>
            </w:r>
            <w:r w:rsidR="00D44BCF">
              <w:rPr>
                <w:noProof/>
                <w:webHidden/>
              </w:rPr>
              <w:instrText xml:space="preserve"> PAGEREF _Toc33602841 \h </w:instrText>
            </w:r>
            <w:r w:rsidR="00D44BCF">
              <w:rPr>
                <w:noProof/>
                <w:webHidden/>
              </w:rPr>
            </w:r>
            <w:r w:rsidR="00D44BCF">
              <w:rPr>
                <w:noProof/>
                <w:webHidden/>
              </w:rPr>
              <w:fldChar w:fldCharType="separate"/>
            </w:r>
            <w:r w:rsidR="00D44BCF">
              <w:rPr>
                <w:noProof/>
                <w:webHidden/>
              </w:rPr>
              <w:t>105</w:t>
            </w:r>
            <w:r w:rsidR="00D44BCF">
              <w:rPr>
                <w:noProof/>
                <w:webHidden/>
              </w:rPr>
              <w:fldChar w:fldCharType="end"/>
            </w:r>
          </w:hyperlink>
        </w:p>
        <w:p w14:paraId="5108403A" w14:textId="42416A42" w:rsidR="00D44BCF" w:rsidRDefault="00F51B89">
          <w:pPr>
            <w:pStyle w:val="TOC3"/>
            <w:tabs>
              <w:tab w:val="left" w:pos="1320"/>
            </w:tabs>
            <w:rPr>
              <w:noProof/>
              <w:lang w:val="en-AU" w:eastAsia="en-AU"/>
            </w:rPr>
          </w:pPr>
          <w:hyperlink w:anchor="_Toc33602842" w:history="1">
            <w:r w:rsidR="00D44BCF" w:rsidRPr="007D3270">
              <w:rPr>
                <w:rStyle w:val="Hyperlink"/>
                <w:noProof/>
              </w:rPr>
              <w:t>5.5.8</w:t>
            </w:r>
            <w:r w:rsidR="00D44BCF">
              <w:rPr>
                <w:noProof/>
                <w:lang w:val="en-AU" w:eastAsia="en-AU"/>
              </w:rPr>
              <w:tab/>
            </w:r>
            <w:r w:rsidR="00D44BCF" w:rsidRPr="007D3270">
              <w:rPr>
                <w:rStyle w:val="Hyperlink"/>
                <w:noProof/>
              </w:rPr>
              <w:t>Payment of money to charity as condition of a bond</w:t>
            </w:r>
            <w:r w:rsidR="00D44BCF">
              <w:rPr>
                <w:noProof/>
                <w:webHidden/>
              </w:rPr>
              <w:tab/>
            </w:r>
            <w:r w:rsidR="00D44BCF">
              <w:rPr>
                <w:noProof/>
                <w:webHidden/>
              </w:rPr>
              <w:fldChar w:fldCharType="begin"/>
            </w:r>
            <w:r w:rsidR="00D44BCF">
              <w:rPr>
                <w:noProof/>
                <w:webHidden/>
              </w:rPr>
              <w:instrText xml:space="preserve"> PAGEREF _Toc33602842 \h </w:instrText>
            </w:r>
            <w:r w:rsidR="00D44BCF">
              <w:rPr>
                <w:noProof/>
                <w:webHidden/>
              </w:rPr>
            </w:r>
            <w:r w:rsidR="00D44BCF">
              <w:rPr>
                <w:noProof/>
                <w:webHidden/>
              </w:rPr>
              <w:fldChar w:fldCharType="separate"/>
            </w:r>
            <w:r w:rsidR="00D44BCF">
              <w:rPr>
                <w:noProof/>
                <w:webHidden/>
              </w:rPr>
              <w:t>106</w:t>
            </w:r>
            <w:r w:rsidR="00D44BCF">
              <w:rPr>
                <w:noProof/>
                <w:webHidden/>
              </w:rPr>
              <w:fldChar w:fldCharType="end"/>
            </w:r>
          </w:hyperlink>
        </w:p>
        <w:p w14:paraId="4494C5AA" w14:textId="4DE0BF66" w:rsidR="00D44BCF" w:rsidRDefault="00F51B89">
          <w:pPr>
            <w:pStyle w:val="TOC3"/>
            <w:tabs>
              <w:tab w:val="left" w:pos="1320"/>
            </w:tabs>
            <w:rPr>
              <w:noProof/>
              <w:lang w:val="en-AU" w:eastAsia="en-AU"/>
            </w:rPr>
          </w:pPr>
          <w:hyperlink w:anchor="_Toc33602843" w:history="1">
            <w:r w:rsidR="00D44BCF" w:rsidRPr="007D3270">
              <w:rPr>
                <w:rStyle w:val="Hyperlink"/>
                <w:noProof/>
              </w:rPr>
              <w:t>5.5.9</w:t>
            </w:r>
            <w:r w:rsidR="00D44BCF">
              <w:rPr>
                <w:noProof/>
                <w:lang w:val="en-AU" w:eastAsia="en-AU"/>
              </w:rPr>
              <w:tab/>
            </w:r>
            <w:r w:rsidR="00D44BCF" w:rsidRPr="007D3270">
              <w:rPr>
                <w:rStyle w:val="Hyperlink"/>
                <w:noProof/>
              </w:rPr>
              <w:t>Other impermissible conditions of a s 20 bond</w:t>
            </w:r>
            <w:r w:rsidR="00D44BCF">
              <w:rPr>
                <w:noProof/>
                <w:webHidden/>
              </w:rPr>
              <w:tab/>
            </w:r>
            <w:r w:rsidR="00D44BCF">
              <w:rPr>
                <w:noProof/>
                <w:webHidden/>
              </w:rPr>
              <w:fldChar w:fldCharType="begin"/>
            </w:r>
            <w:r w:rsidR="00D44BCF">
              <w:rPr>
                <w:noProof/>
                <w:webHidden/>
              </w:rPr>
              <w:instrText xml:space="preserve"> PAGEREF _Toc33602843 \h </w:instrText>
            </w:r>
            <w:r w:rsidR="00D44BCF">
              <w:rPr>
                <w:noProof/>
                <w:webHidden/>
              </w:rPr>
            </w:r>
            <w:r w:rsidR="00D44BCF">
              <w:rPr>
                <w:noProof/>
                <w:webHidden/>
              </w:rPr>
              <w:fldChar w:fldCharType="separate"/>
            </w:r>
            <w:r w:rsidR="00D44BCF">
              <w:rPr>
                <w:noProof/>
                <w:webHidden/>
              </w:rPr>
              <w:t>106</w:t>
            </w:r>
            <w:r w:rsidR="00D44BCF">
              <w:rPr>
                <w:noProof/>
                <w:webHidden/>
              </w:rPr>
              <w:fldChar w:fldCharType="end"/>
            </w:r>
          </w:hyperlink>
        </w:p>
        <w:p w14:paraId="1A6FE75F" w14:textId="7670C5E3" w:rsidR="00D44BCF" w:rsidRDefault="00F51B89">
          <w:pPr>
            <w:pStyle w:val="TOC3"/>
            <w:tabs>
              <w:tab w:val="left" w:pos="1320"/>
            </w:tabs>
            <w:rPr>
              <w:noProof/>
              <w:lang w:val="en-AU" w:eastAsia="en-AU"/>
            </w:rPr>
          </w:pPr>
          <w:hyperlink w:anchor="_Toc33602844" w:history="1">
            <w:r w:rsidR="00D44BCF" w:rsidRPr="007D3270">
              <w:rPr>
                <w:rStyle w:val="Hyperlink"/>
                <w:noProof/>
              </w:rPr>
              <w:t>5.5.10</w:t>
            </w:r>
            <w:r w:rsidR="00D44BCF">
              <w:rPr>
                <w:noProof/>
                <w:lang w:val="en-AU" w:eastAsia="en-AU"/>
              </w:rPr>
              <w:tab/>
            </w:r>
            <w:r w:rsidR="00D44BCF" w:rsidRPr="007D3270">
              <w:rPr>
                <w:rStyle w:val="Hyperlink"/>
                <w:noProof/>
              </w:rPr>
              <w:t>Form of bond</w:t>
            </w:r>
            <w:r w:rsidR="00D44BCF">
              <w:rPr>
                <w:noProof/>
                <w:webHidden/>
              </w:rPr>
              <w:tab/>
            </w:r>
            <w:r w:rsidR="00D44BCF">
              <w:rPr>
                <w:noProof/>
                <w:webHidden/>
              </w:rPr>
              <w:fldChar w:fldCharType="begin"/>
            </w:r>
            <w:r w:rsidR="00D44BCF">
              <w:rPr>
                <w:noProof/>
                <w:webHidden/>
              </w:rPr>
              <w:instrText xml:space="preserve"> PAGEREF _Toc33602844 \h </w:instrText>
            </w:r>
            <w:r w:rsidR="00D44BCF">
              <w:rPr>
                <w:noProof/>
                <w:webHidden/>
              </w:rPr>
            </w:r>
            <w:r w:rsidR="00D44BCF">
              <w:rPr>
                <w:noProof/>
                <w:webHidden/>
              </w:rPr>
              <w:fldChar w:fldCharType="separate"/>
            </w:r>
            <w:r w:rsidR="00D44BCF">
              <w:rPr>
                <w:noProof/>
                <w:webHidden/>
              </w:rPr>
              <w:t>106</w:t>
            </w:r>
            <w:r w:rsidR="00D44BCF">
              <w:rPr>
                <w:noProof/>
                <w:webHidden/>
              </w:rPr>
              <w:fldChar w:fldCharType="end"/>
            </w:r>
          </w:hyperlink>
        </w:p>
        <w:p w14:paraId="520BEE78" w14:textId="270572D1" w:rsidR="00D44BCF" w:rsidRDefault="00F51B89">
          <w:pPr>
            <w:pStyle w:val="TOC3"/>
            <w:tabs>
              <w:tab w:val="left" w:pos="1320"/>
            </w:tabs>
            <w:rPr>
              <w:noProof/>
              <w:lang w:val="en-AU" w:eastAsia="en-AU"/>
            </w:rPr>
          </w:pPr>
          <w:hyperlink w:anchor="_Toc33602845" w:history="1">
            <w:r w:rsidR="00D44BCF" w:rsidRPr="007D3270">
              <w:rPr>
                <w:rStyle w:val="Hyperlink"/>
                <w:noProof/>
              </w:rPr>
              <w:t>5.5.11</w:t>
            </w:r>
            <w:r w:rsidR="00D44BCF">
              <w:rPr>
                <w:noProof/>
                <w:lang w:val="en-AU" w:eastAsia="en-AU"/>
              </w:rPr>
              <w:tab/>
            </w:r>
            <w:r w:rsidR="00D44BCF" w:rsidRPr="007D3270">
              <w:rPr>
                <w:rStyle w:val="Hyperlink"/>
                <w:noProof/>
              </w:rPr>
              <w:t>When a s 20 bond is not available</w:t>
            </w:r>
            <w:r w:rsidR="00D44BCF">
              <w:rPr>
                <w:noProof/>
                <w:webHidden/>
              </w:rPr>
              <w:tab/>
            </w:r>
            <w:r w:rsidR="00D44BCF">
              <w:rPr>
                <w:noProof/>
                <w:webHidden/>
              </w:rPr>
              <w:fldChar w:fldCharType="begin"/>
            </w:r>
            <w:r w:rsidR="00D44BCF">
              <w:rPr>
                <w:noProof/>
                <w:webHidden/>
              </w:rPr>
              <w:instrText xml:space="preserve"> PAGEREF _Toc33602845 \h </w:instrText>
            </w:r>
            <w:r w:rsidR="00D44BCF">
              <w:rPr>
                <w:noProof/>
                <w:webHidden/>
              </w:rPr>
            </w:r>
            <w:r w:rsidR="00D44BCF">
              <w:rPr>
                <w:noProof/>
                <w:webHidden/>
              </w:rPr>
              <w:fldChar w:fldCharType="separate"/>
            </w:r>
            <w:r w:rsidR="00D44BCF">
              <w:rPr>
                <w:noProof/>
                <w:webHidden/>
              </w:rPr>
              <w:t>106</w:t>
            </w:r>
            <w:r w:rsidR="00D44BCF">
              <w:rPr>
                <w:noProof/>
                <w:webHidden/>
              </w:rPr>
              <w:fldChar w:fldCharType="end"/>
            </w:r>
          </w:hyperlink>
        </w:p>
        <w:p w14:paraId="2EC84BF5" w14:textId="58FF2231" w:rsidR="00D44BCF" w:rsidRDefault="00F51B89">
          <w:pPr>
            <w:pStyle w:val="TOC3"/>
            <w:tabs>
              <w:tab w:val="left" w:pos="1320"/>
            </w:tabs>
            <w:rPr>
              <w:noProof/>
              <w:lang w:val="en-AU" w:eastAsia="en-AU"/>
            </w:rPr>
          </w:pPr>
          <w:hyperlink w:anchor="_Toc33602846" w:history="1">
            <w:r w:rsidR="00D44BCF" w:rsidRPr="007D3270">
              <w:rPr>
                <w:rStyle w:val="Hyperlink"/>
                <w:noProof/>
              </w:rPr>
              <w:t>5.5.12</w:t>
            </w:r>
            <w:r w:rsidR="00D44BCF">
              <w:rPr>
                <w:noProof/>
                <w:lang w:val="en-AU" w:eastAsia="en-AU"/>
              </w:rPr>
              <w:tab/>
            </w:r>
            <w:r w:rsidR="00D44BCF" w:rsidRPr="007D3270">
              <w:rPr>
                <w:rStyle w:val="Hyperlink"/>
                <w:noProof/>
              </w:rPr>
              <w:t>Obligation on court</w:t>
            </w:r>
            <w:r w:rsidR="00D44BCF">
              <w:rPr>
                <w:noProof/>
                <w:webHidden/>
              </w:rPr>
              <w:tab/>
            </w:r>
            <w:r w:rsidR="00D44BCF">
              <w:rPr>
                <w:noProof/>
                <w:webHidden/>
              </w:rPr>
              <w:fldChar w:fldCharType="begin"/>
            </w:r>
            <w:r w:rsidR="00D44BCF">
              <w:rPr>
                <w:noProof/>
                <w:webHidden/>
              </w:rPr>
              <w:instrText xml:space="preserve"> PAGEREF _Toc33602846 \h </w:instrText>
            </w:r>
            <w:r w:rsidR="00D44BCF">
              <w:rPr>
                <w:noProof/>
                <w:webHidden/>
              </w:rPr>
            </w:r>
            <w:r w:rsidR="00D44BCF">
              <w:rPr>
                <w:noProof/>
                <w:webHidden/>
              </w:rPr>
              <w:fldChar w:fldCharType="separate"/>
            </w:r>
            <w:r w:rsidR="00D44BCF">
              <w:rPr>
                <w:noProof/>
                <w:webHidden/>
              </w:rPr>
              <w:t>107</w:t>
            </w:r>
            <w:r w:rsidR="00D44BCF">
              <w:rPr>
                <w:noProof/>
                <w:webHidden/>
              </w:rPr>
              <w:fldChar w:fldCharType="end"/>
            </w:r>
          </w:hyperlink>
        </w:p>
        <w:p w14:paraId="5516D217" w14:textId="2CD9EF59" w:rsidR="00D44BCF" w:rsidRDefault="00F51B89">
          <w:pPr>
            <w:pStyle w:val="TOC3"/>
            <w:tabs>
              <w:tab w:val="left" w:pos="1320"/>
            </w:tabs>
            <w:rPr>
              <w:noProof/>
              <w:lang w:val="en-AU" w:eastAsia="en-AU"/>
            </w:rPr>
          </w:pPr>
          <w:hyperlink w:anchor="_Toc33602847" w:history="1">
            <w:r w:rsidR="00D44BCF" w:rsidRPr="007D3270">
              <w:rPr>
                <w:rStyle w:val="Hyperlink"/>
                <w:noProof/>
              </w:rPr>
              <w:t>5.5.13</w:t>
            </w:r>
            <w:r w:rsidR="00D44BCF">
              <w:rPr>
                <w:noProof/>
                <w:lang w:val="en-AU" w:eastAsia="en-AU"/>
              </w:rPr>
              <w:tab/>
            </w:r>
            <w:r w:rsidR="00D44BCF" w:rsidRPr="007D3270">
              <w:rPr>
                <w:rStyle w:val="Hyperlink"/>
                <w:noProof/>
              </w:rPr>
              <w:t xml:space="preserve">Breach action – </w:t>
            </w:r>
            <w:r w:rsidR="00D44BCF" w:rsidRPr="007D3270">
              <w:rPr>
                <w:rStyle w:val="Hyperlink"/>
                <w:i/>
                <w:noProof/>
              </w:rPr>
              <w:t>Crimes Act 1914</w:t>
            </w:r>
            <w:r w:rsidR="00D44BCF" w:rsidRPr="007D3270">
              <w:rPr>
                <w:rStyle w:val="Hyperlink"/>
                <w:noProof/>
              </w:rPr>
              <w:t>, s 20A(1A)</w:t>
            </w:r>
            <w:r w:rsidR="00D44BCF">
              <w:rPr>
                <w:noProof/>
                <w:webHidden/>
              </w:rPr>
              <w:tab/>
            </w:r>
            <w:r w:rsidR="00D44BCF">
              <w:rPr>
                <w:noProof/>
                <w:webHidden/>
              </w:rPr>
              <w:fldChar w:fldCharType="begin"/>
            </w:r>
            <w:r w:rsidR="00D44BCF">
              <w:rPr>
                <w:noProof/>
                <w:webHidden/>
              </w:rPr>
              <w:instrText xml:space="preserve"> PAGEREF _Toc33602847 \h </w:instrText>
            </w:r>
            <w:r w:rsidR="00D44BCF">
              <w:rPr>
                <w:noProof/>
                <w:webHidden/>
              </w:rPr>
            </w:r>
            <w:r w:rsidR="00D44BCF">
              <w:rPr>
                <w:noProof/>
                <w:webHidden/>
              </w:rPr>
              <w:fldChar w:fldCharType="separate"/>
            </w:r>
            <w:r w:rsidR="00D44BCF">
              <w:rPr>
                <w:noProof/>
                <w:webHidden/>
              </w:rPr>
              <w:t>107</w:t>
            </w:r>
            <w:r w:rsidR="00D44BCF">
              <w:rPr>
                <w:noProof/>
                <w:webHidden/>
              </w:rPr>
              <w:fldChar w:fldCharType="end"/>
            </w:r>
          </w:hyperlink>
        </w:p>
        <w:p w14:paraId="67869F42" w14:textId="33704B9C" w:rsidR="00D44BCF" w:rsidRDefault="00F51B89">
          <w:pPr>
            <w:pStyle w:val="TOC2"/>
            <w:tabs>
              <w:tab w:val="left" w:pos="880"/>
              <w:tab w:val="right" w:leader="dot" w:pos="9061"/>
            </w:tabs>
            <w:rPr>
              <w:noProof/>
              <w:lang w:val="en-AU" w:eastAsia="en-AU"/>
            </w:rPr>
          </w:pPr>
          <w:hyperlink w:anchor="_Toc33602848" w:history="1">
            <w:r w:rsidR="00D44BCF" w:rsidRPr="007D3270">
              <w:rPr>
                <w:rStyle w:val="Hyperlink"/>
                <w:noProof/>
              </w:rPr>
              <w:t>5.6</w:t>
            </w:r>
            <w:r w:rsidR="00D44BCF">
              <w:rPr>
                <w:noProof/>
                <w:lang w:val="en-AU" w:eastAsia="en-AU"/>
              </w:rPr>
              <w:tab/>
            </w:r>
            <w:r w:rsidR="00D44BCF" w:rsidRPr="007D3270">
              <w:rPr>
                <w:rStyle w:val="Hyperlink"/>
                <w:noProof/>
              </w:rPr>
              <w:t>Fine/pecuniary penalty</w:t>
            </w:r>
            <w:r w:rsidR="00D44BCF">
              <w:rPr>
                <w:noProof/>
                <w:webHidden/>
              </w:rPr>
              <w:tab/>
            </w:r>
            <w:r w:rsidR="00D44BCF">
              <w:rPr>
                <w:noProof/>
                <w:webHidden/>
              </w:rPr>
              <w:fldChar w:fldCharType="begin"/>
            </w:r>
            <w:r w:rsidR="00D44BCF">
              <w:rPr>
                <w:noProof/>
                <w:webHidden/>
              </w:rPr>
              <w:instrText xml:space="preserve"> PAGEREF _Toc33602848 \h </w:instrText>
            </w:r>
            <w:r w:rsidR="00D44BCF">
              <w:rPr>
                <w:noProof/>
                <w:webHidden/>
              </w:rPr>
            </w:r>
            <w:r w:rsidR="00D44BCF">
              <w:rPr>
                <w:noProof/>
                <w:webHidden/>
              </w:rPr>
              <w:fldChar w:fldCharType="separate"/>
            </w:r>
            <w:r w:rsidR="00D44BCF">
              <w:rPr>
                <w:noProof/>
                <w:webHidden/>
              </w:rPr>
              <w:t>108</w:t>
            </w:r>
            <w:r w:rsidR="00D44BCF">
              <w:rPr>
                <w:noProof/>
                <w:webHidden/>
              </w:rPr>
              <w:fldChar w:fldCharType="end"/>
            </w:r>
          </w:hyperlink>
        </w:p>
        <w:p w14:paraId="32989E30" w14:textId="340DE11E" w:rsidR="00D44BCF" w:rsidRDefault="00F51B89">
          <w:pPr>
            <w:pStyle w:val="TOC3"/>
            <w:tabs>
              <w:tab w:val="left" w:pos="1320"/>
            </w:tabs>
            <w:rPr>
              <w:noProof/>
              <w:lang w:val="en-AU" w:eastAsia="en-AU"/>
            </w:rPr>
          </w:pPr>
          <w:hyperlink w:anchor="_Toc33602849" w:history="1">
            <w:r w:rsidR="00D44BCF" w:rsidRPr="007D3270">
              <w:rPr>
                <w:rStyle w:val="Hyperlink"/>
                <w:noProof/>
              </w:rPr>
              <w:t>5.6.1</w:t>
            </w:r>
            <w:r w:rsidR="00D44BCF">
              <w:rPr>
                <w:noProof/>
                <w:lang w:val="en-AU" w:eastAsia="en-AU"/>
              </w:rPr>
              <w:tab/>
            </w:r>
            <w:r w:rsidR="00D44BCF" w:rsidRPr="007D3270">
              <w:rPr>
                <w:rStyle w:val="Hyperlink"/>
                <w:noProof/>
              </w:rPr>
              <w:t>Penalty unit value</w:t>
            </w:r>
            <w:r w:rsidR="00D44BCF">
              <w:rPr>
                <w:noProof/>
                <w:webHidden/>
              </w:rPr>
              <w:tab/>
            </w:r>
            <w:r w:rsidR="00D44BCF">
              <w:rPr>
                <w:noProof/>
                <w:webHidden/>
              </w:rPr>
              <w:fldChar w:fldCharType="begin"/>
            </w:r>
            <w:r w:rsidR="00D44BCF">
              <w:rPr>
                <w:noProof/>
                <w:webHidden/>
              </w:rPr>
              <w:instrText xml:space="preserve"> PAGEREF _Toc33602849 \h </w:instrText>
            </w:r>
            <w:r w:rsidR="00D44BCF">
              <w:rPr>
                <w:noProof/>
                <w:webHidden/>
              </w:rPr>
            </w:r>
            <w:r w:rsidR="00D44BCF">
              <w:rPr>
                <w:noProof/>
                <w:webHidden/>
              </w:rPr>
              <w:fldChar w:fldCharType="separate"/>
            </w:r>
            <w:r w:rsidR="00D44BCF">
              <w:rPr>
                <w:noProof/>
                <w:webHidden/>
              </w:rPr>
              <w:t>108</w:t>
            </w:r>
            <w:r w:rsidR="00D44BCF">
              <w:rPr>
                <w:noProof/>
                <w:webHidden/>
              </w:rPr>
              <w:fldChar w:fldCharType="end"/>
            </w:r>
          </w:hyperlink>
        </w:p>
        <w:p w14:paraId="23F970E7" w14:textId="1DA8BBD5" w:rsidR="00D44BCF" w:rsidRDefault="00F51B89">
          <w:pPr>
            <w:pStyle w:val="TOC3"/>
            <w:tabs>
              <w:tab w:val="left" w:pos="1320"/>
            </w:tabs>
            <w:rPr>
              <w:noProof/>
              <w:lang w:val="en-AU" w:eastAsia="en-AU"/>
            </w:rPr>
          </w:pPr>
          <w:hyperlink w:anchor="_Toc33602850" w:history="1">
            <w:r w:rsidR="00D44BCF" w:rsidRPr="007D3270">
              <w:rPr>
                <w:rStyle w:val="Hyperlink"/>
                <w:noProof/>
              </w:rPr>
              <w:t>5.6.2</w:t>
            </w:r>
            <w:r w:rsidR="00D44BCF">
              <w:rPr>
                <w:noProof/>
                <w:lang w:val="en-AU" w:eastAsia="en-AU"/>
              </w:rPr>
              <w:tab/>
            </w:r>
            <w:r w:rsidR="00D44BCF" w:rsidRPr="007D3270">
              <w:rPr>
                <w:rStyle w:val="Hyperlink"/>
                <w:noProof/>
              </w:rPr>
              <w:t xml:space="preserve">Imprisonment converted into a fine formula – </w:t>
            </w:r>
            <w:r w:rsidR="00D44BCF" w:rsidRPr="007D3270">
              <w:rPr>
                <w:rStyle w:val="Hyperlink"/>
                <w:i/>
                <w:noProof/>
              </w:rPr>
              <w:t>Crimes Act 1914</w:t>
            </w:r>
            <w:r w:rsidR="00D44BCF" w:rsidRPr="007D3270">
              <w:rPr>
                <w:rStyle w:val="Hyperlink"/>
                <w:noProof/>
              </w:rPr>
              <w:t>, s 4B</w:t>
            </w:r>
            <w:r w:rsidR="00D44BCF">
              <w:rPr>
                <w:noProof/>
                <w:webHidden/>
              </w:rPr>
              <w:tab/>
            </w:r>
            <w:r w:rsidR="00D44BCF">
              <w:rPr>
                <w:noProof/>
                <w:webHidden/>
              </w:rPr>
              <w:fldChar w:fldCharType="begin"/>
            </w:r>
            <w:r w:rsidR="00D44BCF">
              <w:rPr>
                <w:noProof/>
                <w:webHidden/>
              </w:rPr>
              <w:instrText xml:space="preserve"> PAGEREF _Toc33602850 \h </w:instrText>
            </w:r>
            <w:r w:rsidR="00D44BCF">
              <w:rPr>
                <w:noProof/>
                <w:webHidden/>
              </w:rPr>
            </w:r>
            <w:r w:rsidR="00D44BCF">
              <w:rPr>
                <w:noProof/>
                <w:webHidden/>
              </w:rPr>
              <w:fldChar w:fldCharType="separate"/>
            </w:r>
            <w:r w:rsidR="00D44BCF">
              <w:rPr>
                <w:noProof/>
                <w:webHidden/>
              </w:rPr>
              <w:t>108</w:t>
            </w:r>
            <w:r w:rsidR="00D44BCF">
              <w:rPr>
                <w:noProof/>
                <w:webHidden/>
              </w:rPr>
              <w:fldChar w:fldCharType="end"/>
            </w:r>
          </w:hyperlink>
        </w:p>
        <w:p w14:paraId="336D231D" w14:textId="0E6A7D92" w:rsidR="00D44BCF" w:rsidRDefault="00F51B89">
          <w:pPr>
            <w:pStyle w:val="TOC3"/>
            <w:tabs>
              <w:tab w:val="left" w:pos="1320"/>
            </w:tabs>
            <w:rPr>
              <w:noProof/>
              <w:lang w:val="en-AU" w:eastAsia="en-AU"/>
            </w:rPr>
          </w:pPr>
          <w:hyperlink w:anchor="_Toc33602851" w:history="1">
            <w:r w:rsidR="00D44BCF" w:rsidRPr="007D3270">
              <w:rPr>
                <w:rStyle w:val="Hyperlink"/>
                <w:noProof/>
              </w:rPr>
              <w:t>5.6.3</w:t>
            </w:r>
            <w:r w:rsidR="00D44BCF">
              <w:rPr>
                <w:noProof/>
                <w:lang w:val="en-AU" w:eastAsia="en-AU"/>
              </w:rPr>
              <w:tab/>
            </w:r>
            <w:r w:rsidR="00D44BCF" w:rsidRPr="007D3270">
              <w:rPr>
                <w:rStyle w:val="Hyperlink"/>
                <w:noProof/>
              </w:rPr>
              <w:t xml:space="preserve">Maximum penalties on summary disposition of an indictable offence – </w:t>
            </w:r>
            <w:r w:rsidR="00D44BCF" w:rsidRPr="007D3270">
              <w:rPr>
                <w:rStyle w:val="Hyperlink"/>
                <w:i/>
                <w:noProof/>
              </w:rPr>
              <w:t>Crimes Act 1914</w:t>
            </w:r>
            <w:r w:rsidR="00D44BCF" w:rsidRPr="007D3270">
              <w:rPr>
                <w:rStyle w:val="Hyperlink"/>
                <w:noProof/>
              </w:rPr>
              <w:t>, ss 4J and 4JA</w:t>
            </w:r>
            <w:r w:rsidR="00D44BCF">
              <w:rPr>
                <w:noProof/>
                <w:webHidden/>
              </w:rPr>
              <w:tab/>
            </w:r>
            <w:r w:rsidR="00D44BCF">
              <w:rPr>
                <w:noProof/>
                <w:webHidden/>
              </w:rPr>
              <w:fldChar w:fldCharType="begin"/>
            </w:r>
            <w:r w:rsidR="00D44BCF">
              <w:rPr>
                <w:noProof/>
                <w:webHidden/>
              </w:rPr>
              <w:instrText xml:space="preserve"> PAGEREF _Toc33602851 \h </w:instrText>
            </w:r>
            <w:r w:rsidR="00D44BCF">
              <w:rPr>
                <w:noProof/>
                <w:webHidden/>
              </w:rPr>
            </w:r>
            <w:r w:rsidR="00D44BCF">
              <w:rPr>
                <w:noProof/>
                <w:webHidden/>
              </w:rPr>
              <w:fldChar w:fldCharType="separate"/>
            </w:r>
            <w:r w:rsidR="00D44BCF">
              <w:rPr>
                <w:noProof/>
                <w:webHidden/>
              </w:rPr>
              <w:t>109</w:t>
            </w:r>
            <w:r w:rsidR="00D44BCF">
              <w:rPr>
                <w:noProof/>
                <w:webHidden/>
              </w:rPr>
              <w:fldChar w:fldCharType="end"/>
            </w:r>
          </w:hyperlink>
        </w:p>
        <w:p w14:paraId="7CE8D72A" w14:textId="62125BA2" w:rsidR="00D44BCF" w:rsidRDefault="00F51B89">
          <w:pPr>
            <w:pStyle w:val="TOC3"/>
            <w:tabs>
              <w:tab w:val="left" w:pos="1320"/>
            </w:tabs>
            <w:rPr>
              <w:noProof/>
              <w:lang w:val="en-AU" w:eastAsia="en-AU"/>
            </w:rPr>
          </w:pPr>
          <w:hyperlink w:anchor="_Toc33602852" w:history="1">
            <w:r w:rsidR="00D44BCF" w:rsidRPr="007D3270">
              <w:rPr>
                <w:rStyle w:val="Hyperlink"/>
                <w:noProof/>
              </w:rPr>
              <w:t>5.6.4</w:t>
            </w:r>
            <w:r w:rsidR="00D44BCF">
              <w:rPr>
                <w:noProof/>
                <w:lang w:val="en-AU" w:eastAsia="en-AU"/>
              </w:rPr>
              <w:tab/>
            </w:r>
            <w:r w:rsidR="00D44BCF" w:rsidRPr="007D3270">
              <w:rPr>
                <w:rStyle w:val="Hyperlink"/>
                <w:noProof/>
              </w:rPr>
              <w:t>Means and financial circumstances of offender</w:t>
            </w:r>
            <w:r w:rsidR="00D44BCF">
              <w:rPr>
                <w:noProof/>
                <w:webHidden/>
              </w:rPr>
              <w:tab/>
            </w:r>
            <w:r w:rsidR="00D44BCF">
              <w:rPr>
                <w:noProof/>
                <w:webHidden/>
              </w:rPr>
              <w:fldChar w:fldCharType="begin"/>
            </w:r>
            <w:r w:rsidR="00D44BCF">
              <w:rPr>
                <w:noProof/>
                <w:webHidden/>
              </w:rPr>
              <w:instrText xml:space="preserve"> PAGEREF _Toc33602852 \h </w:instrText>
            </w:r>
            <w:r w:rsidR="00D44BCF">
              <w:rPr>
                <w:noProof/>
                <w:webHidden/>
              </w:rPr>
            </w:r>
            <w:r w:rsidR="00D44BCF">
              <w:rPr>
                <w:noProof/>
                <w:webHidden/>
              </w:rPr>
              <w:fldChar w:fldCharType="separate"/>
            </w:r>
            <w:r w:rsidR="00D44BCF">
              <w:rPr>
                <w:noProof/>
                <w:webHidden/>
              </w:rPr>
              <w:t>110</w:t>
            </w:r>
            <w:r w:rsidR="00D44BCF">
              <w:rPr>
                <w:noProof/>
                <w:webHidden/>
              </w:rPr>
              <w:fldChar w:fldCharType="end"/>
            </w:r>
          </w:hyperlink>
        </w:p>
        <w:p w14:paraId="0B9358FA" w14:textId="26E5A7C5" w:rsidR="00D44BCF" w:rsidRDefault="00F51B89">
          <w:pPr>
            <w:pStyle w:val="TOC3"/>
            <w:tabs>
              <w:tab w:val="left" w:pos="1320"/>
            </w:tabs>
            <w:rPr>
              <w:noProof/>
              <w:lang w:val="en-AU" w:eastAsia="en-AU"/>
            </w:rPr>
          </w:pPr>
          <w:hyperlink w:anchor="_Toc33602853" w:history="1">
            <w:r w:rsidR="00D44BCF" w:rsidRPr="007D3270">
              <w:rPr>
                <w:rStyle w:val="Hyperlink"/>
                <w:noProof/>
              </w:rPr>
              <w:t>5.6.5</w:t>
            </w:r>
            <w:r w:rsidR="00D44BCF">
              <w:rPr>
                <w:noProof/>
                <w:lang w:val="en-AU" w:eastAsia="en-AU"/>
              </w:rPr>
              <w:tab/>
            </w:r>
            <w:r w:rsidR="00D44BCF" w:rsidRPr="007D3270">
              <w:rPr>
                <w:rStyle w:val="Hyperlink"/>
                <w:noProof/>
              </w:rPr>
              <w:t>Aggregate fine for multiple offences</w:t>
            </w:r>
            <w:r w:rsidR="00D44BCF">
              <w:rPr>
                <w:noProof/>
                <w:webHidden/>
              </w:rPr>
              <w:tab/>
            </w:r>
            <w:r w:rsidR="00D44BCF">
              <w:rPr>
                <w:noProof/>
                <w:webHidden/>
              </w:rPr>
              <w:fldChar w:fldCharType="begin"/>
            </w:r>
            <w:r w:rsidR="00D44BCF">
              <w:rPr>
                <w:noProof/>
                <w:webHidden/>
              </w:rPr>
              <w:instrText xml:space="preserve"> PAGEREF _Toc33602853 \h </w:instrText>
            </w:r>
            <w:r w:rsidR="00D44BCF">
              <w:rPr>
                <w:noProof/>
                <w:webHidden/>
              </w:rPr>
            </w:r>
            <w:r w:rsidR="00D44BCF">
              <w:rPr>
                <w:noProof/>
                <w:webHidden/>
              </w:rPr>
              <w:fldChar w:fldCharType="separate"/>
            </w:r>
            <w:r w:rsidR="00D44BCF">
              <w:rPr>
                <w:noProof/>
                <w:webHidden/>
              </w:rPr>
              <w:t>110</w:t>
            </w:r>
            <w:r w:rsidR="00D44BCF">
              <w:rPr>
                <w:noProof/>
                <w:webHidden/>
              </w:rPr>
              <w:fldChar w:fldCharType="end"/>
            </w:r>
          </w:hyperlink>
        </w:p>
        <w:p w14:paraId="2EC925E5" w14:textId="353A071A" w:rsidR="00D44BCF" w:rsidRDefault="00F51B89">
          <w:pPr>
            <w:pStyle w:val="TOC3"/>
            <w:tabs>
              <w:tab w:val="left" w:pos="1320"/>
            </w:tabs>
            <w:rPr>
              <w:noProof/>
              <w:lang w:val="en-AU" w:eastAsia="en-AU"/>
            </w:rPr>
          </w:pPr>
          <w:hyperlink w:anchor="_Toc33602854" w:history="1">
            <w:r w:rsidR="00D44BCF" w:rsidRPr="007D3270">
              <w:rPr>
                <w:rStyle w:val="Hyperlink"/>
                <w:noProof/>
              </w:rPr>
              <w:t>5.6.6</w:t>
            </w:r>
            <w:r w:rsidR="00D44BCF">
              <w:rPr>
                <w:noProof/>
                <w:lang w:val="en-AU" w:eastAsia="en-AU"/>
              </w:rPr>
              <w:tab/>
            </w:r>
            <w:r w:rsidR="00D44BCF" w:rsidRPr="007D3270">
              <w:rPr>
                <w:rStyle w:val="Hyperlink"/>
                <w:noProof/>
              </w:rPr>
              <w:t>Fine and imprisonment</w:t>
            </w:r>
            <w:r w:rsidR="00D44BCF">
              <w:rPr>
                <w:noProof/>
                <w:webHidden/>
              </w:rPr>
              <w:tab/>
            </w:r>
            <w:r w:rsidR="00D44BCF">
              <w:rPr>
                <w:noProof/>
                <w:webHidden/>
              </w:rPr>
              <w:fldChar w:fldCharType="begin"/>
            </w:r>
            <w:r w:rsidR="00D44BCF">
              <w:rPr>
                <w:noProof/>
                <w:webHidden/>
              </w:rPr>
              <w:instrText xml:space="preserve"> PAGEREF _Toc33602854 \h </w:instrText>
            </w:r>
            <w:r w:rsidR="00D44BCF">
              <w:rPr>
                <w:noProof/>
                <w:webHidden/>
              </w:rPr>
            </w:r>
            <w:r w:rsidR="00D44BCF">
              <w:rPr>
                <w:noProof/>
                <w:webHidden/>
              </w:rPr>
              <w:fldChar w:fldCharType="separate"/>
            </w:r>
            <w:r w:rsidR="00D44BCF">
              <w:rPr>
                <w:noProof/>
                <w:webHidden/>
              </w:rPr>
              <w:t>111</w:t>
            </w:r>
            <w:r w:rsidR="00D44BCF">
              <w:rPr>
                <w:noProof/>
                <w:webHidden/>
              </w:rPr>
              <w:fldChar w:fldCharType="end"/>
            </w:r>
          </w:hyperlink>
        </w:p>
        <w:p w14:paraId="75BF8912" w14:textId="6D6CD82B" w:rsidR="00D44BCF" w:rsidRDefault="00F51B89">
          <w:pPr>
            <w:pStyle w:val="TOC3"/>
            <w:tabs>
              <w:tab w:val="left" w:pos="1320"/>
            </w:tabs>
            <w:rPr>
              <w:noProof/>
              <w:lang w:val="en-AU" w:eastAsia="en-AU"/>
            </w:rPr>
          </w:pPr>
          <w:hyperlink w:anchor="_Toc33602855" w:history="1">
            <w:r w:rsidR="00D44BCF" w:rsidRPr="007D3270">
              <w:rPr>
                <w:rStyle w:val="Hyperlink"/>
                <w:noProof/>
              </w:rPr>
              <w:t>5.6.7</w:t>
            </w:r>
            <w:r w:rsidR="00D44BCF">
              <w:rPr>
                <w:noProof/>
                <w:lang w:val="en-AU" w:eastAsia="en-AU"/>
              </w:rPr>
              <w:tab/>
            </w:r>
            <w:r w:rsidR="00D44BCF" w:rsidRPr="007D3270">
              <w:rPr>
                <w:rStyle w:val="Hyperlink"/>
                <w:noProof/>
              </w:rPr>
              <w:t xml:space="preserve">Enforcement of fines – </w:t>
            </w:r>
            <w:r w:rsidR="00D44BCF" w:rsidRPr="007D3270">
              <w:rPr>
                <w:rStyle w:val="Hyperlink"/>
                <w:i/>
                <w:noProof/>
              </w:rPr>
              <w:t>Crimes Act 1914</w:t>
            </w:r>
            <w:r w:rsidR="00D44BCF" w:rsidRPr="007D3270">
              <w:rPr>
                <w:rStyle w:val="Hyperlink"/>
                <w:noProof/>
              </w:rPr>
              <w:t>, s 15A</w:t>
            </w:r>
            <w:r w:rsidR="00D44BCF">
              <w:rPr>
                <w:noProof/>
                <w:webHidden/>
              </w:rPr>
              <w:tab/>
            </w:r>
            <w:r w:rsidR="00D44BCF">
              <w:rPr>
                <w:noProof/>
                <w:webHidden/>
              </w:rPr>
              <w:fldChar w:fldCharType="begin"/>
            </w:r>
            <w:r w:rsidR="00D44BCF">
              <w:rPr>
                <w:noProof/>
                <w:webHidden/>
              </w:rPr>
              <w:instrText xml:space="preserve"> PAGEREF _Toc33602855 \h </w:instrText>
            </w:r>
            <w:r w:rsidR="00D44BCF">
              <w:rPr>
                <w:noProof/>
                <w:webHidden/>
              </w:rPr>
            </w:r>
            <w:r w:rsidR="00D44BCF">
              <w:rPr>
                <w:noProof/>
                <w:webHidden/>
              </w:rPr>
              <w:fldChar w:fldCharType="separate"/>
            </w:r>
            <w:r w:rsidR="00D44BCF">
              <w:rPr>
                <w:noProof/>
                <w:webHidden/>
              </w:rPr>
              <w:t>111</w:t>
            </w:r>
            <w:r w:rsidR="00D44BCF">
              <w:rPr>
                <w:noProof/>
                <w:webHidden/>
              </w:rPr>
              <w:fldChar w:fldCharType="end"/>
            </w:r>
          </w:hyperlink>
        </w:p>
        <w:p w14:paraId="4FFA714C" w14:textId="2AEB5E79" w:rsidR="00D44BCF" w:rsidRDefault="00F51B89">
          <w:pPr>
            <w:pStyle w:val="TOC2"/>
            <w:tabs>
              <w:tab w:val="left" w:pos="880"/>
              <w:tab w:val="right" w:leader="dot" w:pos="9061"/>
            </w:tabs>
            <w:rPr>
              <w:noProof/>
              <w:lang w:val="en-AU" w:eastAsia="en-AU"/>
            </w:rPr>
          </w:pPr>
          <w:hyperlink w:anchor="_Toc33602856" w:history="1">
            <w:r w:rsidR="00D44BCF" w:rsidRPr="007D3270">
              <w:rPr>
                <w:rStyle w:val="Hyperlink"/>
                <w:noProof/>
              </w:rPr>
              <w:t>5.7</w:t>
            </w:r>
            <w:r w:rsidR="00D44BCF">
              <w:rPr>
                <w:noProof/>
                <w:lang w:val="en-AU" w:eastAsia="en-AU"/>
              </w:rPr>
              <w:tab/>
            </w:r>
            <w:r w:rsidR="00D44BCF" w:rsidRPr="007D3270">
              <w:rPr>
                <w:rStyle w:val="Hyperlink"/>
                <w:noProof/>
              </w:rPr>
              <w:t xml:space="preserve">Orders applied by </w:t>
            </w:r>
            <w:r w:rsidR="00D44BCF" w:rsidRPr="007D3270">
              <w:rPr>
                <w:rStyle w:val="Hyperlink"/>
                <w:i/>
                <w:noProof/>
              </w:rPr>
              <w:t>Crimes Act 1914</w:t>
            </w:r>
            <w:r w:rsidR="00D44BCF" w:rsidRPr="007D3270">
              <w:rPr>
                <w:rStyle w:val="Hyperlink"/>
                <w:noProof/>
              </w:rPr>
              <w:t>, s.20AB</w:t>
            </w:r>
            <w:r w:rsidR="00D44BCF">
              <w:rPr>
                <w:noProof/>
                <w:webHidden/>
              </w:rPr>
              <w:tab/>
            </w:r>
            <w:r w:rsidR="00D44BCF">
              <w:rPr>
                <w:noProof/>
                <w:webHidden/>
              </w:rPr>
              <w:fldChar w:fldCharType="begin"/>
            </w:r>
            <w:r w:rsidR="00D44BCF">
              <w:rPr>
                <w:noProof/>
                <w:webHidden/>
              </w:rPr>
              <w:instrText xml:space="preserve"> PAGEREF _Toc33602856 \h </w:instrText>
            </w:r>
            <w:r w:rsidR="00D44BCF">
              <w:rPr>
                <w:noProof/>
                <w:webHidden/>
              </w:rPr>
            </w:r>
            <w:r w:rsidR="00D44BCF">
              <w:rPr>
                <w:noProof/>
                <w:webHidden/>
              </w:rPr>
              <w:fldChar w:fldCharType="separate"/>
            </w:r>
            <w:r w:rsidR="00D44BCF">
              <w:rPr>
                <w:noProof/>
                <w:webHidden/>
              </w:rPr>
              <w:t>113</w:t>
            </w:r>
            <w:r w:rsidR="00D44BCF">
              <w:rPr>
                <w:noProof/>
                <w:webHidden/>
              </w:rPr>
              <w:fldChar w:fldCharType="end"/>
            </w:r>
          </w:hyperlink>
        </w:p>
        <w:p w14:paraId="55D950E4" w14:textId="70048CA3" w:rsidR="00D44BCF" w:rsidRDefault="00F51B89">
          <w:pPr>
            <w:pStyle w:val="TOC3"/>
            <w:tabs>
              <w:tab w:val="left" w:pos="1320"/>
            </w:tabs>
            <w:rPr>
              <w:noProof/>
              <w:lang w:val="en-AU" w:eastAsia="en-AU"/>
            </w:rPr>
          </w:pPr>
          <w:hyperlink w:anchor="_Toc33602857" w:history="1">
            <w:r w:rsidR="00D44BCF" w:rsidRPr="007D3270">
              <w:rPr>
                <w:rStyle w:val="Hyperlink"/>
                <w:noProof/>
              </w:rPr>
              <w:t>5.7.1</w:t>
            </w:r>
            <w:r w:rsidR="00D44BCF">
              <w:rPr>
                <w:noProof/>
                <w:lang w:val="en-AU" w:eastAsia="en-AU"/>
              </w:rPr>
              <w:tab/>
            </w:r>
            <w:r w:rsidR="00D44BCF" w:rsidRPr="007D3270">
              <w:rPr>
                <w:rStyle w:val="Hyperlink"/>
                <w:noProof/>
              </w:rPr>
              <w:t>The power conferred by s 20AB</w:t>
            </w:r>
            <w:r w:rsidR="00D44BCF">
              <w:rPr>
                <w:noProof/>
                <w:webHidden/>
              </w:rPr>
              <w:tab/>
            </w:r>
            <w:r w:rsidR="00D44BCF">
              <w:rPr>
                <w:noProof/>
                <w:webHidden/>
              </w:rPr>
              <w:fldChar w:fldCharType="begin"/>
            </w:r>
            <w:r w:rsidR="00D44BCF">
              <w:rPr>
                <w:noProof/>
                <w:webHidden/>
              </w:rPr>
              <w:instrText xml:space="preserve"> PAGEREF _Toc33602857 \h </w:instrText>
            </w:r>
            <w:r w:rsidR="00D44BCF">
              <w:rPr>
                <w:noProof/>
                <w:webHidden/>
              </w:rPr>
            </w:r>
            <w:r w:rsidR="00D44BCF">
              <w:rPr>
                <w:noProof/>
                <w:webHidden/>
              </w:rPr>
              <w:fldChar w:fldCharType="separate"/>
            </w:r>
            <w:r w:rsidR="00D44BCF">
              <w:rPr>
                <w:noProof/>
                <w:webHidden/>
              </w:rPr>
              <w:t>113</w:t>
            </w:r>
            <w:r w:rsidR="00D44BCF">
              <w:rPr>
                <w:noProof/>
                <w:webHidden/>
              </w:rPr>
              <w:fldChar w:fldCharType="end"/>
            </w:r>
          </w:hyperlink>
        </w:p>
        <w:p w14:paraId="0D012455" w14:textId="36AED25D" w:rsidR="00D44BCF" w:rsidRDefault="00F51B89">
          <w:pPr>
            <w:pStyle w:val="TOC3"/>
            <w:tabs>
              <w:tab w:val="left" w:pos="1320"/>
            </w:tabs>
            <w:rPr>
              <w:noProof/>
              <w:lang w:val="en-AU" w:eastAsia="en-AU"/>
            </w:rPr>
          </w:pPr>
          <w:hyperlink w:anchor="_Toc33602858" w:history="1">
            <w:r w:rsidR="00D44BCF" w:rsidRPr="007D3270">
              <w:rPr>
                <w:rStyle w:val="Hyperlink"/>
                <w:noProof/>
              </w:rPr>
              <w:t>5.7.2</w:t>
            </w:r>
            <w:r w:rsidR="00D44BCF">
              <w:rPr>
                <w:noProof/>
                <w:lang w:val="en-AU" w:eastAsia="en-AU"/>
              </w:rPr>
              <w:tab/>
            </w:r>
            <w:r w:rsidR="00D44BCF" w:rsidRPr="007D3270">
              <w:rPr>
                <w:rStyle w:val="Hyperlink"/>
                <w:noProof/>
              </w:rPr>
              <w:t>Participating State or Territory</w:t>
            </w:r>
            <w:r w:rsidR="00D44BCF">
              <w:rPr>
                <w:noProof/>
                <w:webHidden/>
              </w:rPr>
              <w:tab/>
            </w:r>
            <w:r w:rsidR="00D44BCF">
              <w:rPr>
                <w:noProof/>
                <w:webHidden/>
              </w:rPr>
              <w:fldChar w:fldCharType="begin"/>
            </w:r>
            <w:r w:rsidR="00D44BCF">
              <w:rPr>
                <w:noProof/>
                <w:webHidden/>
              </w:rPr>
              <w:instrText xml:space="preserve"> PAGEREF _Toc33602858 \h </w:instrText>
            </w:r>
            <w:r w:rsidR="00D44BCF">
              <w:rPr>
                <w:noProof/>
                <w:webHidden/>
              </w:rPr>
            </w:r>
            <w:r w:rsidR="00D44BCF">
              <w:rPr>
                <w:noProof/>
                <w:webHidden/>
              </w:rPr>
              <w:fldChar w:fldCharType="separate"/>
            </w:r>
            <w:r w:rsidR="00D44BCF">
              <w:rPr>
                <w:noProof/>
                <w:webHidden/>
              </w:rPr>
              <w:t>114</w:t>
            </w:r>
            <w:r w:rsidR="00D44BCF">
              <w:rPr>
                <w:noProof/>
                <w:webHidden/>
              </w:rPr>
              <w:fldChar w:fldCharType="end"/>
            </w:r>
          </w:hyperlink>
        </w:p>
        <w:p w14:paraId="7FDB7AC3" w14:textId="78A4A2E2" w:rsidR="00D44BCF" w:rsidRDefault="00F51B89">
          <w:pPr>
            <w:pStyle w:val="TOC3"/>
            <w:tabs>
              <w:tab w:val="left" w:pos="1320"/>
            </w:tabs>
            <w:rPr>
              <w:noProof/>
              <w:lang w:val="en-AU" w:eastAsia="en-AU"/>
            </w:rPr>
          </w:pPr>
          <w:hyperlink w:anchor="_Toc33602859" w:history="1">
            <w:r w:rsidR="00D44BCF" w:rsidRPr="007D3270">
              <w:rPr>
                <w:rStyle w:val="Hyperlink"/>
                <w:noProof/>
              </w:rPr>
              <w:t>5.7.3</w:t>
            </w:r>
            <w:r w:rsidR="00D44BCF">
              <w:rPr>
                <w:noProof/>
                <w:lang w:val="en-AU" w:eastAsia="en-AU"/>
              </w:rPr>
              <w:tab/>
            </w:r>
            <w:r w:rsidR="00D44BCF" w:rsidRPr="007D3270">
              <w:rPr>
                <w:rStyle w:val="Hyperlink"/>
                <w:noProof/>
              </w:rPr>
              <w:t>Types of State or Territory sentences or orders which are applied by s 20AB</w:t>
            </w:r>
            <w:r w:rsidR="00D44BCF">
              <w:rPr>
                <w:noProof/>
                <w:webHidden/>
              </w:rPr>
              <w:tab/>
            </w:r>
            <w:r w:rsidR="00D44BCF">
              <w:rPr>
                <w:noProof/>
                <w:webHidden/>
              </w:rPr>
              <w:fldChar w:fldCharType="begin"/>
            </w:r>
            <w:r w:rsidR="00D44BCF">
              <w:rPr>
                <w:noProof/>
                <w:webHidden/>
              </w:rPr>
              <w:instrText xml:space="preserve"> PAGEREF _Toc33602859 \h </w:instrText>
            </w:r>
            <w:r w:rsidR="00D44BCF">
              <w:rPr>
                <w:noProof/>
                <w:webHidden/>
              </w:rPr>
            </w:r>
            <w:r w:rsidR="00D44BCF">
              <w:rPr>
                <w:noProof/>
                <w:webHidden/>
              </w:rPr>
              <w:fldChar w:fldCharType="separate"/>
            </w:r>
            <w:r w:rsidR="00D44BCF">
              <w:rPr>
                <w:noProof/>
                <w:webHidden/>
              </w:rPr>
              <w:t>114</w:t>
            </w:r>
            <w:r w:rsidR="00D44BCF">
              <w:rPr>
                <w:noProof/>
                <w:webHidden/>
              </w:rPr>
              <w:fldChar w:fldCharType="end"/>
            </w:r>
          </w:hyperlink>
        </w:p>
        <w:p w14:paraId="22017949" w14:textId="1588B23B" w:rsidR="00D44BCF" w:rsidRDefault="00F51B89">
          <w:pPr>
            <w:pStyle w:val="TOC3"/>
            <w:tabs>
              <w:tab w:val="left" w:pos="1320"/>
            </w:tabs>
            <w:rPr>
              <w:noProof/>
              <w:lang w:val="en-AU" w:eastAsia="en-AU"/>
            </w:rPr>
          </w:pPr>
          <w:hyperlink w:anchor="_Toc33602860" w:history="1">
            <w:r w:rsidR="00D44BCF" w:rsidRPr="007D3270">
              <w:rPr>
                <w:rStyle w:val="Hyperlink"/>
                <w:noProof/>
              </w:rPr>
              <w:t>5.7.4</w:t>
            </w:r>
            <w:r w:rsidR="00D44BCF">
              <w:rPr>
                <w:noProof/>
                <w:lang w:val="en-AU" w:eastAsia="en-AU"/>
              </w:rPr>
              <w:tab/>
            </w:r>
            <w:r w:rsidR="00D44BCF" w:rsidRPr="007D3270">
              <w:rPr>
                <w:rStyle w:val="Hyperlink"/>
                <w:noProof/>
              </w:rPr>
              <w:t>Corresponding cases</w:t>
            </w:r>
            <w:r w:rsidR="00D44BCF">
              <w:rPr>
                <w:noProof/>
                <w:webHidden/>
              </w:rPr>
              <w:tab/>
            </w:r>
            <w:r w:rsidR="00D44BCF">
              <w:rPr>
                <w:noProof/>
                <w:webHidden/>
              </w:rPr>
              <w:fldChar w:fldCharType="begin"/>
            </w:r>
            <w:r w:rsidR="00D44BCF">
              <w:rPr>
                <w:noProof/>
                <w:webHidden/>
              </w:rPr>
              <w:instrText xml:space="preserve"> PAGEREF _Toc33602860 \h </w:instrText>
            </w:r>
            <w:r w:rsidR="00D44BCF">
              <w:rPr>
                <w:noProof/>
                <w:webHidden/>
              </w:rPr>
            </w:r>
            <w:r w:rsidR="00D44BCF">
              <w:rPr>
                <w:noProof/>
                <w:webHidden/>
              </w:rPr>
              <w:fldChar w:fldCharType="separate"/>
            </w:r>
            <w:r w:rsidR="00D44BCF">
              <w:rPr>
                <w:noProof/>
                <w:webHidden/>
              </w:rPr>
              <w:t>116</w:t>
            </w:r>
            <w:r w:rsidR="00D44BCF">
              <w:rPr>
                <w:noProof/>
                <w:webHidden/>
              </w:rPr>
              <w:fldChar w:fldCharType="end"/>
            </w:r>
          </w:hyperlink>
        </w:p>
        <w:p w14:paraId="2D96B578" w14:textId="4E518934" w:rsidR="00D44BCF" w:rsidRDefault="00F51B89">
          <w:pPr>
            <w:pStyle w:val="TOC3"/>
            <w:tabs>
              <w:tab w:val="left" w:pos="1320"/>
            </w:tabs>
            <w:rPr>
              <w:noProof/>
              <w:lang w:val="en-AU" w:eastAsia="en-AU"/>
            </w:rPr>
          </w:pPr>
          <w:hyperlink w:anchor="_Toc33602861" w:history="1">
            <w:r w:rsidR="00D44BCF" w:rsidRPr="007D3270">
              <w:rPr>
                <w:rStyle w:val="Hyperlink"/>
                <w:noProof/>
              </w:rPr>
              <w:t>5.7.5</w:t>
            </w:r>
            <w:r w:rsidR="00D44BCF">
              <w:rPr>
                <w:noProof/>
                <w:lang w:val="en-AU" w:eastAsia="en-AU"/>
              </w:rPr>
              <w:tab/>
            </w:r>
            <w:r w:rsidR="00D44BCF" w:rsidRPr="007D3270">
              <w:rPr>
                <w:rStyle w:val="Hyperlink"/>
                <w:noProof/>
              </w:rPr>
              <w:t>Pre-conditions for an order under State/Territory law</w:t>
            </w:r>
            <w:r w:rsidR="00D44BCF">
              <w:rPr>
                <w:noProof/>
                <w:webHidden/>
              </w:rPr>
              <w:tab/>
            </w:r>
            <w:r w:rsidR="00D44BCF">
              <w:rPr>
                <w:noProof/>
                <w:webHidden/>
              </w:rPr>
              <w:fldChar w:fldCharType="begin"/>
            </w:r>
            <w:r w:rsidR="00D44BCF">
              <w:rPr>
                <w:noProof/>
                <w:webHidden/>
              </w:rPr>
              <w:instrText xml:space="preserve"> PAGEREF _Toc33602861 \h </w:instrText>
            </w:r>
            <w:r w:rsidR="00D44BCF">
              <w:rPr>
                <w:noProof/>
                <w:webHidden/>
              </w:rPr>
            </w:r>
            <w:r w:rsidR="00D44BCF">
              <w:rPr>
                <w:noProof/>
                <w:webHidden/>
              </w:rPr>
              <w:fldChar w:fldCharType="separate"/>
            </w:r>
            <w:r w:rsidR="00D44BCF">
              <w:rPr>
                <w:noProof/>
                <w:webHidden/>
              </w:rPr>
              <w:t>117</w:t>
            </w:r>
            <w:r w:rsidR="00D44BCF">
              <w:rPr>
                <w:noProof/>
                <w:webHidden/>
              </w:rPr>
              <w:fldChar w:fldCharType="end"/>
            </w:r>
          </w:hyperlink>
        </w:p>
        <w:p w14:paraId="09BC8F2B" w14:textId="0AD04390" w:rsidR="00D44BCF" w:rsidRDefault="00F51B89">
          <w:pPr>
            <w:pStyle w:val="TOC3"/>
            <w:tabs>
              <w:tab w:val="left" w:pos="1320"/>
            </w:tabs>
            <w:rPr>
              <w:noProof/>
              <w:lang w:val="en-AU" w:eastAsia="en-AU"/>
            </w:rPr>
          </w:pPr>
          <w:hyperlink w:anchor="_Toc33602862" w:history="1">
            <w:r w:rsidR="00D44BCF" w:rsidRPr="007D3270">
              <w:rPr>
                <w:rStyle w:val="Hyperlink"/>
                <w:noProof/>
              </w:rPr>
              <w:t>5.7.6</w:t>
            </w:r>
            <w:r w:rsidR="00D44BCF">
              <w:rPr>
                <w:noProof/>
                <w:lang w:val="en-AU" w:eastAsia="en-AU"/>
              </w:rPr>
              <w:tab/>
            </w:r>
            <w:r w:rsidR="00D44BCF" w:rsidRPr="007D3270">
              <w:rPr>
                <w:rStyle w:val="Hyperlink"/>
                <w:noProof/>
              </w:rPr>
              <w:t>State/Territory laws apply in respect to a sentence or order under s 20AB(1)</w:t>
            </w:r>
            <w:r w:rsidR="00D44BCF">
              <w:rPr>
                <w:noProof/>
                <w:webHidden/>
              </w:rPr>
              <w:tab/>
            </w:r>
            <w:r w:rsidR="00D44BCF">
              <w:rPr>
                <w:noProof/>
                <w:webHidden/>
              </w:rPr>
              <w:fldChar w:fldCharType="begin"/>
            </w:r>
            <w:r w:rsidR="00D44BCF">
              <w:rPr>
                <w:noProof/>
                <w:webHidden/>
              </w:rPr>
              <w:instrText xml:space="preserve"> PAGEREF _Toc33602862 \h </w:instrText>
            </w:r>
            <w:r w:rsidR="00D44BCF">
              <w:rPr>
                <w:noProof/>
                <w:webHidden/>
              </w:rPr>
            </w:r>
            <w:r w:rsidR="00D44BCF">
              <w:rPr>
                <w:noProof/>
                <w:webHidden/>
              </w:rPr>
              <w:fldChar w:fldCharType="separate"/>
            </w:r>
            <w:r w:rsidR="00D44BCF">
              <w:rPr>
                <w:noProof/>
                <w:webHidden/>
              </w:rPr>
              <w:t>117</w:t>
            </w:r>
            <w:r w:rsidR="00D44BCF">
              <w:rPr>
                <w:noProof/>
                <w:webHidden/>
              </w:rPr>
              <w:fldChar w:fldCharType="end"/>
            </w:r>
          </w:hyperlink>
        </w:p>
        <w:p w14:paraId="21CD1E8B" w14:textId="7EDBCAAB" w:rsidR="00D44BCF" w:rsidRDefault="00F51B89">
          <w:pPr>
            <w:pStyle w:val="TOC3"/>
            <w:tabs>
              <w:tab w:val="left" w:pos="1320"/>
            </w:tabs>
            <w:rPr>
              <w:noProof/>
              <w:lang w:val="en-AU" w:eastAsia="en-AU"/>
            </w:rPr>
          </w:pPr>
          <w:hyperlink w:anchor="_Toc33602863" w:history="1">
            <w:r w:rsidR="00D44BCF" w:rsidRPr="007D3270">
              <w:rPr>
                <w:rStyle w:val="Hyperlink"/>
                <w:noProof/>
              </w:rPr>
              <w:t>5.7.7</w:t>
            </w:r>
            <w:r w:rsidR="00D44BCF">
              <w:rPr>
                <w:noProof/>
                <w:lang w:val="en-AU" w:eastAsia="en-AU"/>
              </w:rPr>
              <w:tab/>
            </w:r>
            <w:r w:rsidR="00D44BCF" w:rsidRPr="007D3270">
              <w:rPr>
                <w:rStyle w:val="Hyperlink"/>
                <w:noProof/>
              </w:rPr>
              <w:t>Orders without conviction are not available</w:t>
            </w:r>
            <w:r w:rsidR="00D44BCF">
              <w:rPr>
                <w:noProof/>
                <w:webHidden/>
              </w:rPr>
              <w:tab/>
            </w:r>
            <w:r w:rsidR="00D44BCF">
              <w:rPr>
                <w:noProof/>
                <w:webHidden/>
              </w:rPr>
              <w:fldChar w:fldCharType="begin"/>
            </w:r>
            <w:r w:rsidR="00D44BCF">
              <w:rPr>
                <w:noProof/>
                <w:webHidden/>
              </w:rPr>
              <w:instrText xml:space="preserve"> PAGEREF _Toc33602863 \h </w:instrText>
            </w:r>
            <w:r w:rsidR="00D44BCF">
              <w:rPr>
                <w:noProof/>
                <w:webHidden/>
              </w:rPr>
            </w:r>
            <w:r w:rsidR="00D44BCF">
              <w:rPr>
                <w:noProof/>
                <w:webHidden/>
              </w:rPr>
              <w:fldChar w:fldCharType="separate"/>
            </w:r>
            <w:r w:rsidR="00D44BCF">
              <w:rPr>
                <w:noProof/>
                <w:webHidden/>
              </w:rPr>
              <w:t>118</w:t>
            </w:r>
            <w:r w:rsidR="00D44BCF">
              <w:rPr>
                <w:noProof/>
                <w:webHidden/>
              </w:rPr>
              <w:fldChar w:fldCharType="end"/>
            </w:r>
          </w:hyperlink>
        </w:p>
        <w:p w14:paraId="55197DA2" w14:textId="52ADF370" w:rsidR="00D44BCF" w:rsidRDefault="00F51B89">
          <w:pPr>
            <w:pStyle w:val="TOC3"/>
            <w:tabs>
              <w:tab w:val="left" w:pos="1320"/>
            </w:tabs>
            <w:rPr>
              <w:noProof/>
              <w:lang w:val="en-AU" w:eastAsia="en-AU"/>
            </w:rPr>
          </w:pPr>
          <w:hyperlink w:anchor="_Toc33602864" w:history="1">
            <w:r w:rsidR="00D44BCF" w:rsidRPr="007D3270">
              <w:rPr>
                <w:rStyle w:val="Hyperlink"/>
                <w:noProof/>
              </w:rPr>
              <w:t>5.7.8</w:t>
            </w:r>
            <w:r w:rsidR="00D44BCF">
              <w:rPr>
                <w:noProof/>
                <w:lang w:val="en-AU" w:eastAsia="en-AU"/>
              </w:rPr>
              <w:tab/>
            </w:r>
            <w:r w:rsidR="00D44BCF" w:rsidRPr="007D3270">
              <w:rPr>
                <w:rStyle w:val="Hyperlink"/>
                <w:noProof/>
              </w:rPr>
              <w:t>Order may be combined with a fine/pecuniary penalty order</w:t>
            </w:r>
            <w:r w:rsidR="00D44BCF">
              <w:rPr>
                <w:noProof/>
                <w:webHidden/>
              </w:rPr>
              <w:tab/>
            </w:r>
            <w:r w:rsidR="00D44BCF">
              <w:rPr>
                <w:noProof/>
                <w:webHidden/>
              </w:rPr>
              <w:fldChar w:fldCharType="begin"/>
            </w:r>
            <w:r w:rsidR="00D44BCF">
              <w:rPr>
                <w:noProof/>
                <w:webHidden/>
              </w:rPr>
              <w:instrText xml:space="preserve"> PAGEREF _Toc33602864 \h </w:instrText>
            </w:r>
            <w:r w:rsidR="00D44BCF">
              <w:rPr>
                <w:noProof/>
                <w:webHidden/>
              </w:rPr>
            </w:r>
            <w:r w:rsidR="00D44BCF">
              <w:rPr>
                <w:noProof/>
                <w:webHidden/>
              </w:rPr>
              <w:fldChar w:fldCharType="separate"/>
            </w:r>
            <w:r w:rsidR="00D44BCF">
              <w:rPr>
                <w:noProof/>
                <w:webHidden/>
              </w:rPr>
              <w:t>118</w:t>
            </w:r>
            <w:r w:rsidR="00D44BCF">
              <w:rPr>
                <w:noProof/>
                <w:webHidden/>
              </w:rPr>
              <w:fldChar w:fldCharType="end"/>
            </w:r>
          </w:hyperlink>
        </w:p>
        <w:p w14:paraId="4DF58019" w14:textId="505BACD3" w:rsidR="00D44BCF" w:rsidRDefault="00F51B89">
          <w:pPr>
            <w:pStyle w:val="TOC3"/>
            <w:tabs>
              <w:tab w:val="left" w:pos="1320"/>
            </w:tabs>
            <w:rPr>
              <w:noProof/>
              <w:lang w:val="en-AU" w:eastAsia="en-AU"/>
            </w:rPr>
          </w:pPr>
          <w:hyperlink w:anchor="_Toc33602865" w:history="1">
            <w:r w:rsidR="00D44BCF" w:rsidRPr="007D3270">
              <w:rPr>
                <w:rStyle w:val="Hyperlink"/>
                <w:noProof/>
              </w:rPr>
              <w:t>5.7.9</w:t>
            </w:r>
            <w:r w:rsidR="00D44BCF">
              <w:rPr>
                <w:noProof/>
                <w:lang w:val="en-AU" w:eastAsia="en-AU"/>
              </w:rPr>
              <w:tab/>
            </w:r>
            <w:r w:rsidR="00D44BCF" w:rsidRPr="007D3270">
              <w:rPr>
                <w:rStyle w:val="Hyperlink"/>
                <w:noProof/>
              </w:rPr>
              <w:t>Order may be combined with an order for reparation, restitution or compensation</w:t>
            </w:r>
            <w:r w:rsidR="00D44BCF">
              <w:rPr>
                <w:noProof/>
                <w:webHidden/>
              </w:rPr>
              <w:tab/>
            </w:r>
            <w:r w:rsidR="00D44BCF">
              <w:rPr>
                <w:noProof/>
                <w:webHidden/>
              </w:rPr>
              <w:fldChar w:fldCharType="begin"/>
            </w:r>
            <w:r w:rsidR="00D44BCF">
              <w:rPr>
                <w:noProof/>
                <w:webHidden/>
              </w:rPr>
              <w:instrText xml:space="preserve"> PAGEREF _Toc33602865 \h </w:instrText>
            </w:r>
            <w:r w:rsidR="00D44BCF">
              <w:rPr>
                <w:noProof/>
                <w:webHidden/>
              </w:rPr>
            </w:r>
            <w:r w:rsidR="00D44BCF">
              <w:rPr>
                <w:noProof/>
                <w:webHidden/>
              </w:rPr>
              <w:fldChar w:fldCharType="separate"/>
            </w:r>
            <w:r w:rsidR="00D44BCF">
              <w:rPr>
                <w:noProof/>
                <w:webHidden/>
              </w:rPr>
              <w:t>118</w:t>
            </w:r>
            <w:r w:rsidR="00D44BCF">
              <w:rPr>
                <w:noProof/>
                <w:webHidden/>
              </w:rPr>
              <w:fldChar w:fldCharType="end"/>
            </w:r>
          </w:hyperlink>
        </w:p>
        <w:p w14:paraId="5E402D86" w14:textId="5FC84E0B" w:rsidR="00D44BCF" w:rsidRDefault="00F51B89">
          <w:pPr>
            <w:pStyle w:val="TOC3"/>
            <w:tabs>
              <w:tab w:val="left" w:pos="1320"/>
            </w:tabs>
            <w:rPr>
              <w:noProof/>
              <w:lang w:val="en-AU" w:eastAsia="en-AU"/>
            </w:rPr>
          </w:pPr>
          <w:hyperlink w:anchor="_Toc33602866" w:history="1">
            <w:r w:rsidR="00D44BCF" w:rsidRPr="007D3270">
              <w:rPr>
                <w:rStyle w:val="Hyperlink"/>
                <w:noProof/>
              </w:rPr>
              <w:t>5.7.10</w:t>
            </w:r>
            <w:r w:rsidR="00D44BCF">
              <w:rPr>
                <w:noProof/>
                <w:lang w:val="en-AU" w:eastAsia="en-AU"/>
              </w:rPr>
              <w:tab/>
            </w:r>
            <w:r w:rsidR="00D44BCF" w:rsidRPr="007D3270">
              <w:rPr>
                <w:rStyle w:val="Hyperlink"/>
                <w:noProof/>
              </w:rPr>
              <w:t>Order may be combined with another order</w:t>
            </w:r>
            <w:r w:rsidR="00D44BCF">
              <w:rPr>
                <w:noProof/>
                <w:webHidden/>
              </w:rPr>
              <w:tab/>
            </w:r>
            <w:r w:rsidR="00D44BCF">
              <w:rPr>
                <w:noProof/>
                <w:webHidden/>
              </w:rPr>
              <w:fldChar w:fldCharType="begin"/>
            </w:r>
            <w:r w:rsidR="00D44BCF">
              <w:rPr>
                <w:noProof/>
                <w:webHidden/>
              </w:rPr>
              <w:instrText xml:space="preserve"> PAGEREF _Toc33602866 \h </w:instrText>
            </w:r>
            <w:r w:rsidR="00D44BCF">
              <w:rPr>
                <w:noProof/>
                <w:webHidden/>
              </w:rPr>
            </w:r>
            <w:r w:rsidR="00D44BCF">
              <w:rPr>
                <w:noProof/>
                <w:webHidden/>
              </w:rPr>
              <w:fldChar w:fldCharType="separate"/>
            </w:r>
            <w:r w:rsidR="00D44BCF">
              <w:rPr>
                <w:noProof/>
                <w:webHidden/>
              </w:rPr>
              <w:t>118</w:t>
            </w:r>
            <w:r w:rsidR="00D44BCF">
              <w:rPr>
                <w:noProof/>
                <w:webHidden/>
              </w:rPr>
              <w:fldChar w:fldCharType="end"/>
            </w:r>
          </w:hyperlink>
        </w:p>
        <w:p w14:paraId="5F1F63D7" w14:textId="5977A03D" w:rsidR="00D44BCF" w:rsidRDefault="00F51B89">
          <w:pPr>
            <w:pStyle w:val="TOC3"/>
            <w:tabs>
              <w:tab w:val="left" w:pos="1320"/>
            </w:tabs>
            <w:rPr>
              <w:noProof/>
              <w:lang w:val="en-AU" w:eastAsia="en-AU"/>
            </w:rPr>
          </w:pPr>
          <w:hyperlink w:anchor="_Toc33602867" w:history="1">
            <w:r w:rsidR="00D44BCF" w:rsidRPr="007D3270">
              <w:rPr>
                <w:rStyle w:val="Hyperlink"/>
                <w:noProof/>
              </w:rPr>
              <w:t>5.7.11</w:t>
            </w:r>
            <w:r w:rsidR="00D44BCF">
              <w:rPr>
                <w:noProof/>
                <w:lang w:val="en-AU" w:eastAsia="en-AU"/>
              </w:rPr>
              <w:tab/>
            </w:r>
            <w:r w:rsidR="00D44BCF" w:rsidRPr="007D3270">
              <w:rPr>
                <w:rStyle w:val="Hyperlink"/>
                <w:noProof/>
              </w:rPr>
              <w:t>Order cannot be combined with a term of imprisonment for the same offence</w:t>
            </w:r>
            <w:r w:rsidR="00D44BCF">
              <w:rPr>
                <w:noProof/>
                <w:webHidden/>
              </w:rPr>
              <w:tab/>
            </w:r>
            <w:r w:rsidR="00D44BCF">
              <w:rPr>
                <w:noProof/>
                <w:webHidden/>
              </w:rPr>
              <w:fldChar w:fldCharType="begin"/>
            </w:r>
            <w:r w:rsidR="00D44BCF">
              <w:rPr>
                <w:noProof/>
                <w:webHidden/>
              </w:rPr>
              <w:instrText xml:space="preserve"> PAGEREF _Toc33602867 \h </w:instrText>
            </w:r>
            <w:r w:rsidR="00D44BCF">
              <w:rPr>
                <w:noProof/>
                <w:webHidden/>
              </w:rPr>
            </w:r>
            <w:r w:rsidR="00D44BCF">
              <w:rPr>
                <w:noProof/>
                <w:webHidden/>
              </w:rPr>
              <w:fldChar w:fldCharType="separate"/>
            </w:r>
            <w:r w:rsidR="00D44BCF">
              <w:rPr>
                <w:noProof/>
                <w:webHidden/>
              </w:rPr>
              <w:t>119</w:t>
            </w:r>
            <w:r w:rsidR="00D44BCF">
              <w:rPr>
                <w:noProof/>
                <w:webHidden/>
              </w:rPr>
              <w:fldChar w:fldCharType="end"/>
            </w:r>
          </w:hyperlink>
        </w:p>
        <w:p w14:paraId="52461A1A" w14:textId="186978EE" w:rsidR="00D44BCF" w:rsidRDefault="00F51B89">
          <w:pPr>
            <w:pStyle w:val="TOC3"/>
            <w:tabs>
              <w:tab w:val="left" w:pos="1320"/>
            </w:tabs>
            <w:rPr>
              <w:noProof/>
              <w:lang w:val="en-AU" w:eastAsia="en-AU"/>
            </w:rPr>
          </w:pPr>
          <w:hyperlink w:anchor="_Toc33602868" w:history="1">
            <w:r w:rsidR="00D44BCF" w:rsidRPr="007D3270">
              <w:rPr>
                <w:rStyle w:val="Hyperlink"/>
                <w:noProof/>
              </w:rPr>
              <w:t>5.7.12</w:t>
            </w:r>
            <w:r w:rsidR="00D44BCF">
              <w:rPr>
                <w:noProof/>
                <w:lang w:val="en-AU" w:eastAsia="en-AU"/>
              </w:rPr>
              <w:tab/>
            </w:r>
            <w:r w:rsidR="00D44BCF" w:rsidRPr="007D3270">
              <w:rPr>
                <w:rStyle w:val="Hyperlink"/>
                <w:noProof/>
              </w:rPr>
              <w:t>Order for one offence can be coupled with a term of imprisonment for another</w:t>
            </w:r>
            <w:r w:rsidR="00D44BCF">
              <w:rPr>
                <w:noProof/>
                <w:webHidden/>
              </w:rPr>
              <w:tab/>
            </w:r>
            <w:r w:rsidR="00D44BCF">
              <w:rPr>
                <w:noProof/>
                <w:webHidden/>
              </w:rPr>
              <w:fldChar w:fldCharType="begin"/>
            </w:r>
            <w:r w:rsidR="00D44BCF">
              <w:rPr>
                <w:noProof/>
                <w:webHidden/>
              </w:rPr>
              <w:instrText xml:space="preserve"> PAGEREF _Toc33602868 \h </w:instrText>
            </w:r>
            <w:r w:rsidR="00D44BCF">
              <w:rPr>
                <w:noProof/>
                <w:webHidden/>
              </w:rPr>
            </w:r>
            <w:r w:rsidR="00D44BCF">
              <w:rPr>
                <w:noProof/>
                <w:webHidden/>
              </w:rPr>
              <w:fldChar w:fldCharType="separate"/>
            </w:r>
            <w:r w:rsidR="00D44BCF">
              <w:rPr>
                <w:noProof/>
                <w:webHidden/>
              </w:rPr>
              <w:t>119</w:t>
            </w:r>
            <w:r w:rsidR="00D44BCF">
              <w:rPr>
                <w:noProof/>
                <w:webHidden/>
              </w:rPr>
              <w:fldChar w:fldCharType="end"/>
            </w:r>
          </w:hyperlink>
        </w:p>
        <w:p w14:paraId="66643FF8" w14:textId="032FAC5E" w:rsidR="00D44BCF" w:rsidRDefault="00F51B89">
          <w:pPr>
            <w:pStyle w:val="TOC3"/>
            <w:tabs>
              <w:tab w:val="left" w:pos="1320"/>
            </w:tabs>
            <w:rPr>
              <w:noProof/>
              <w:lang w:val="en-AU" w:eastAsia="en-AU"/>
            </w:rPr>
          </w:pPr>
          <w:hyperlink w:anchor="_Toc33602869" w:history="1">
            <w:r w:rsidR="00D44BCF" w:rsidRPr="007D3270">
              <w:rPr>
                <w:rStyle w:val="Hyperlink"/>
                <w:noProof/>
              </w:rPr>
              <w:t>5.7.13</w:t>
            </w:r>
            <w:r w:rsidR="00D44BCF">
              <w:rPr>
                <w:noProof/>
                <w:lang w:val="en-AU" w:eastAsia="en-AU"/>
              </w:rPr>
              <w:tab/>
            </w:r>
            <w:r w:rsidR="00D44BCF" w:rsidRPr="007D3270">
              <w:rPr>
                <w:rStyle w:val="Hyperlink"/>
                <w:noProof/>
              </w:rPr>
              <w:t>Application of a guideline judgment regarding use of an order applied by s 20AB</w:t>
            </w:r>
            <w:r w:rsidR="00D44BCF">
              <w:rPr>
                <w:noProof/>
                <w:webHidden/>
              </w:rPr>
              <w:tab/>
            </w:r>
            <w:r w:rsidR="00D44BCF">
              <w:rPr>
                <w:noProof/>
                <w:webHidden/>
              </w:rPr>
              <w:fldChar w:fldCharType="begin"/>
            </w:r>
            <w:r w:rsidR="00D44BCF">
              <w:rPr>
                <w:noProof/>
                <w:webHidden/>
              </w:rPr>
              <w:instrText xml:space="preserve"> PAGEREF _Toc33602869 \h </w:instrText>
            </w:r>
            <w:r w:rsidR="00D44BCF">
              <w:rPr>
                <w:noProof/>
                <w:webHidden/>
              </w:rPr>
            </w:r>
            <w:r w:rsidR="00D44BCF">
              <w:rPr>
                <w:noProof/>
                <w:webHidden/>
              </w:rPr>
              <w:fldChar w:fldCharType="separate"/>
            </w:r>
            <w:r w:rsidR="00D44BCF">
              <w:rPr>
                <w:noProof/>
                <w:webHidden/>
              </w:rPr>
              <w:t>120</w:t>
            </w:r>
            <w:r w:rsidR="00D44BCF">
              <w:rPr>
                <w:noProof/>
                <w:webHidden/>
              </w:rPr>
              <w:fldChar w:fldCharType="end"/>
            </w:r>
          </w:hyperlink>
        </w:p>
        <w:p w14:paraId="2EF6F5D8" w14:textId="08668FFE" w:rsidR="00D44BCF" w:rsidRDefault="00F51B89">
          <w:pPr>
            <w:pStyle w:val="TOC3"/>
            <w:tabs>
              <w:tab w:val="left" w:pos="1320"/>
            </w:tabs>
            <w:rPr>
              <w:noProof/>
              <w:lang w:val="en-AU" w:eastAsia="en-AU"/>
            </w:rPr>
          </w:pPr>
          <w:hyperlink w:anchor="_Toc33602870" w:history="1">
            <w:r w:rsidR="00D44BCF" w:rsidRPr="007D3270">
              <w:rPr>
                <w:rStyle w:val="Hyperlink"/>
                <w:noProof/>
              </w:rPr>
              <w:t>5.7.14</w:t>
            </w:r>
            <w:r w:rsidR="00D44BCF">
              <w:rPr>
                <w:noProof/>
                <w:lang w:val="en-AU" w:eastAsia="en-AU"/>
              </w:rPr>
              <w:tab/>
            </w:r>
            <w:r w:rsidR="00D44BCF" w:rsidRPr="007D3270">
              <w:rPr>
                <w:rStyle w:val="Hyperlink"/>
                <w:noProof/>
              </w:rPr>
              <w:t>Whether a single order can be imposed for more than one federal offence</w:t>
            </w:r>
            <w:r w:rsidR="00D44BCF">
              <w:rPr>
                <w:noProof/>
                <w:webHidden/>
              </w:rPr>
              <w:tab/>
            </w:r>
            <w:r w:rsidR="00D44BCF">
              <w:rPr>
                <w:noProof/>
                <w:webHidden/>
              </w:rPr>
              <w:fldChar w:fldCharType="begin"/>
            </w:r>
            <w:r w:rsidR="00D44BCF">
              <w:rPr>
                <w:noProof/>
                <w:webHidden/>
              </w:rPr>
              <w:instrText xml:space="preserve"> PAGEREF _Toc33602870 \h </w:instrText>
            </w:r>
            <w:r w:rsidR="00D44BCF">
              <w:rPr>
                <w:noProof/>
                <w:webHidden/>
              </w:rPr>
            </w:r>
            <w:r w:rsidR="00D44BCF">
              <w:rPr>
                <w:noProof/>
                <w:webHidden/>
              </w:rPr>
              <w:fldChar w:fldCharType="separate"/>
            </w:r>
            <w:r w:rsidR="00D44BCF">
              <w:rPr>
                <w:noProof/>
                <w:webHidden/>
              </w:rPr>
              <w:t>120</w:t>
            </w:r>
            <w:r w:rsidR="00D44BCF">
              <w:rPr>
                <w:noProof/>
                <w:webHidden/>
              </w:rPr>
              <w:fldChar w:fldCharType="end"/>
            </w:r>
          </w:hyperlink>
        </w:p>
        <w:p w14:paraId="534236C2" w14:textId="2D966FB2" w:rsidR="00D44BCF" w:rsidRDefault="00F51B89">
          <w:pPr>
            <w:pStyle w:val="TOC3"/>
            <w:tabs>
              <w:tab w:val="left" w:pos="1320"/>
            </w:tabs>
            <w:rPr>
              <w:noProof/>
              <w:lang w:val="en-AU" w:eastAsia="en-AU"/>
            </w:rPr>
          </w:pPr>
          <w:hyperlink w:anchor="_Toc33602871" w:history="1">
            <w:r w:rsidR="00D44BCF" w:rsidRPr="007D3270">
              <w:rPr>
                <w:rStyle w:val="Hyperlink"/>
                <w:noProof/>
              </w:rPr>
              <w:t>5.7.15</w:t>
            </w:r>
            <w:r w:rsidR="00D44BCF">
              <w:rPr>
                <w:noProof/>
                <w:lang w:val="en-AU" w:eastAsia="en-AU"/>
              </w:rPr>
              <w:tab/>
            </w:r>
            <w:r w:rsidR="00D44BCF" w:rsidRPr="007D3270">
              <w:rPr>
                <w:rStyle w:val="Hyperlink"/>
                <w:noProof/>
              </w:rPr>
              <w:t>A single order cannot be imposed for a federal offence and a State/Territory offence</w:t>
            </w:r>
            <w:r w:rsidR="00D44BCF">
              <w:rPr>
                <w:noProof/>
                <w:webHidden/>
              </w:rPr>
              <w:tab/>
            </w:r>
            <w:r w:rsidR="00D44BCF">
              <w:rPr>
                <w:noProof/>
                <w:webHidden/>
              </w:rPr>
              <w:fldChar w:fldCharType="begin"/>
            </w:r>
            <w:r w:rsidR="00D44BCF">
              <w:rPr>
                <w:noProof/>
                <w:webHidden/>
              </w:rPr>
              <w:instrText xml:space="preserve"> PAGEREF _Toc33602871 \h </w:instrText>
            </w:r>
            <w:r w:rsidR="00D44BCF">
              <w:rPr>
                <w:noProof/>
                <w:webHidden/>
              </w:rPr>
            </w:r>
            <w:r w:rsidR="00D44BCF">
              <w:rPr>
                <w:noProof/>
                <w:webHidden/>
              </w:rPr>
              <w:fldChar w:fldCharType="separate"/>
            </w:r>
            <w:r w:rsidR="00D44BCF">
              <w:rPr>
                <w:noProof/>
                <w:webHidden/>
              </w:rPr>
              <w:t>121</w:t>
            </w:r>
            <w:r w:rsidR="00D44BCF">
              <w:rPr>
                <w:noProof/>
                <w:webHidden/>
              </w:rPr>
              <w:fldChar w:fldCharType="end"/>
            </w:r>
          </w:hyperlink>
        </w:p>
        <w:p w14:paraId="2E3BA1C5" w14:textId="5701CF3C" w:rsidR="00D44BCF" w:rsidRDefault="00F51B89">
          <w:pPr>
            <w:pStyle w:val="TOC3"/>
            <w:tabs>
              <w:tab w:val="left" w:pos="1320"/>
            </w:tabs>
            <w:rPr>
              <w:noProof/>
              <w:lang w:val="en-AU" w:eastAsia="en-AU"/>
            </w:rPr>
          </w:pPr>
          <w:hyperlink w:anchor="_Toc33602872" w:history="1">
            <w:r w:rsidR="00D44BCF" w:rsidRPr="007D3270">
              <w:rPr>
                <w:rStyle w:val="Hyperlink"/>
                <w:noProof/>
              </w:rPr>
              <w:t>5.7.16</w:t>
            </w:r>
            <w:r w:rsidR="00D44BCF">
              <w:rPr>
                <w:noProof/>
                <w:lang w:val="en-AU" w:eastAsia="en-AU"/>
              </w:rPr>
              <w:tab/>
            </w:r>
            <w:r w:rsidR="00D44BCF" w:rsidRPr="007D3270">
              <w:rPr>
                <w:rStyle w:val="Hyperlink"/>
                <w:noProof/>
              </w:rPr>
              <w:t>Obligation on court to explain the order</w:t>
            </w:r>
            <w:r w:rsidR="00D44BCF">
              <w:rPr>
                <w:noProof/>
                <w:webHidden/>
              </w:rPr>
              <w:tab/>
            </w:r>
            <w:r w:rsidR="00D44BCF">
              <w:rPr>
                <w:noProof/>
                <w:webHidden/>
              </w:rPr>
              <w:fldChar w:fldCharType="begin"/>
            </w:r>
            <w:r w:rsidR="00D44BCF">
              <w:rPr>
                <w:noProof/>
                <w:webHidden/>
              </w:rPr>
              <w:instrText xml:space="preserve"> PAGEREF _Toc33602872 \h </w:instrText>
            </w:r>
            <w:r w:rsidR="00D44BCF">
              <w:rPr>
                <w:noProof/>
                <w:webHidden/>
              </w:rPr>
            </w:r>
            <w:r w:rsidR="00D44BCF">
              <w:rPr>
                <w:noProof/>
                <w:webHidden/>
              </w:rPr>
              <w:fldChar w:fldCharType="separate"/>
            </w:r>
            <w:r w:rsidR="00D44BCF">
              <w:rPr>
                <w:noProof/>
                <w:webHidden/>
              </w:rPr>
              <w:t>121</w:t>
            </w:r>
            <w:r w:rsidR="00D44BCF">
              <w:rPr>
                <w:noProof/>
                <w:webHidden/>
              </w:rPr>
              <w:fldChar w:fldCharType="end"/>
            </w:r>
          </w:hyperlink>
        </w:p>
        <w:p w14:paraId="40B9CE9E" w14:textId="5556AC96" w:rsidR="00D44BCF" w:rsidRDefault="00F51B89">
          <w:pPr>
            <w:pStyle w:val="TOC3"/>
            <w:tabs>
              <w:tab w:val="left" w:pos="1320"/>
            </w:tabs>
            <w:rPr>
              <w:noProof/>
              <w:lang w:val="en-AU" w:eastAsia="en-AU"/>
            </w:rPr>
          </w:pPr>
          <w:hyperlink w:anchor="_Toc33602873" w:history="1">
            <w:r w:rsidR="00D44BCF" w:rsidRPr="007D3270">
              <w:rPr>
                <w:rStyle w:val="Hyperlink"/>
                <w:noProof/>
              </w:rPr>
              <w:t>5.7.17</w:t>
            </w:r>
            <w:r w:rsidR="00D44BCF">
              <w:rPr>
                <w:noProof/>
                <w:lang w:val="en-AU" w:eastAsia="en-AU"/>
              </w:rPr>
              <w:tab/>
            </w:r>
            <w:r w:rsidR="00D44BCF" w:rsidRPr="007D3270">
              <w:rPr>
                <w:rStyle w:val="Hyperlink"/>
                <w:noProof/>
              </w:rPr>
              <w:t>Breach of an order applied by s 20AB</w:t>
            </w:r>
            <w:r w:rsidR="00D44BCF">
              <w:rPr>
                <w:noProof/>
                <w:webHidden/>
              </w:rPr>
              <w:tab/>
            </w:r>
            <w:r w:rsidR="00D44BCF">
              <w:rPr>
                <w:noProof/>
                <w:webHidden/>
              </w:rPr>
              <w:fldChar w:fldCharType="begin"/>
            </w:r>
            <w:r w:rsidR="00D44BCF">
              <w:rPr>
                <w:noProof/>
                <w:webHidden/>
              </w:rPr>
              <w:instrText xml:space="preserve"> PAGEREF _Toc33602873 \h </w:instrText>
            </w:r>
            <w:r w:rsidR="00D44BCF">
              <w:rPr>
                <w:noProof/>
                <w:webHidden/>
              </w:rPr>
            </w:r>
            <w:r w:rsidR="00D44BCF">
              <w:rPr>
                <w:noProof/>
                <w:webHidden/>
              </w:rPr>
              <w:fldChar w:fldCharType="separate"/>
            </w:r>
            <w:r w:rsidR="00D44BCF">
              <w:rPr>
                <w:noProof/>
                <w:webHidden/>
              </w:rPr>
              <w:t>121</w:t>
            </w:r>
            <w:r w:rsidR="00D44BCF">
              <w:rPr>
                <w:noProof/>
                <w:webHidden/>
              </w:rPr>
              <w:fldChar w:fldCharType="end"/>
            </w:r>
          </w:hyperlink>
        </w:p>
        <w:p w14:paraId="33386B40" w14:textId="2A31F601" w:rsidR="00D44BCF" w:rsidRDefault="00F51B89">
          <w:pPr>
            <w:pStyle w:val="TOC3"/>
            <w:tabs>
              <w:tab w:val="left" w:pos="1320"/>
            </w:tabs>
            <w:rPr>
              <w:noProof/>
              <w:lang w:val="en-AU" w:eastAsia="en-AU"/>
            </w:rPr>
          </w:pPr>
          <w:hyperlink w:anchor="_Toc33602874" w:history="1">
            <w:r w:rsidR="00D44BCF" w:rsidRPr="007D3270">
              <w:rPr>
                <w:rStyle w:val="Hyperlink"/>
                <w:noProof/>
              </w:rPr>
              <w:t>5.7.18</w:t>
            </w:r>
            <w:r w:rsidR="00D44BCF">
              <w:rPr>
                <w:noProof/>
                <w:lang w:val="en-AU" w:eastAsia="en-AU"/>
              </w:rPr>
              <w:tab/>
            </w:r>
            <w:r w:rsidR="00D44BCF" w:rsidRPr="007D3270">
              <w:rPr>
                <w:rStyle w:val="Hyperlink"/>
                <w:noProof/>
              </w:rPr>
              <w:t>Issues relating to orders applied by s 20AB specific to a particular State or Territory</w:t>
            </w:r>
            <w:r w:rsidR="00D44BCF">
              <w:rPr>
                <w:noProof/>
                <w:webHidden/>
              </w:rPr>
              <w:tab/>
            </w:r>
            <w:r w:rsidR="00D44BCF">
              <w:rPr>
                <w:noProof/>
                <w:webHidden/>
              </w:rPr>
              <w:fldChar w:fldCharType="begin"/>
            </w:r>
            <w:r w:rsidR="00D44BCF">
              <w:rPr>
                <w:noProof/>
                <w:webHidden/>
              </w:rPr>
              <w:instrText xml:space="preserve"> PAGEREF _Toc33602874 \h </w:instrText>
            </w:r>
            <w:r w:rsidR="00D44BCF">
              <w:rPr>
                <w:noProof/>
                <w:webHidden/>
              </w:rPr>
            </w:r>
            <w:r w:rsidR="00D44BCF">
              <w:rPr>
                <w:noProof/>
                <w:webHidden/>
              </w:rPr>
              <w:fldChar w:fldCharType="separate"/>
            </w:r>
            <w:r w:rsidR="00D44BCF">
              <w:rPr>
                <w:noProof/>
                <w:webHidden/>
              </w:rPr>
              <w:t>122</w:t>
            </w:r>
            <w:r w:rsidR="00D44BCF">
              <w:rPr>
                <w:noProof/>
                <w:webHidden/>
              </w:rPr>
              <w:fldChar w:fldCharType="end"/>
            </w:r>
          </w:hyperlink>
        </w:p>
        <w:p w14:paraId="167746A7" w14:textId="34A6D960" w:rsidR="00D44BCF" w:rsidRDefault="00F51B89">
          <w:pPr>
            <w:pStyle w:val="TOC2"/>
            <w:tabs>
              <w:tab w:val="left" w:pos="880"/>
              <w:tab w:val="right" w:leader="dot" w:pos="9061"/>
            </w:tabs>
            <w:rPr>
              <w:noProof/>
              <w:lang w:val="en-AU" w:eastAsia="en-AU"/>
            </w:rPr>
          </w:pPr>
          <w:hyperlink w:anchor="_Toc33602875" w:history="1">
            <w:r w:rsidR="00D44BCF" w:rsidRPr="007D3270">
              <w:rPr>
                <w:rStyle w:val="Hyperlink"/>
                <w:noProof/>
              </w:rPr>
              <w:t>5.8</w:t>
            </w:r>
            <w:r w:rsidR="00D44BCF">
              <w:rPr>
                <w:noProof/>
                <w:lang w:val="en-AU" w:eastAsia="en-AU"/>
              </w:rPr>
              <w:tab/>
            </w:r>
            <w:r w:rsidR="00D44BCF" w:rsidRPr="007D3270">
              <w:rPr>
                <w:rStyle w:val="Hyperlink"/>
                <w:noProof/>
              </w:rPr>
              <w:t>Imprisonment: head sentence</w:t>
            </w:r>
            <w:r w:rsidR="00D44BCF">
              <w:rPr>
                <w:noProof/>
                <w:webHidden/>
              </w:rPr>
              <w:tab/>
            </w:r>
            <w:r w:rsidR="00D44BCF">
              <w:rPr>
                <w:noProof/>
                <w:webHidden/>
              </w:rPr>
              <w:fldChar w:fldCharType="begin"/>
            </w:r>
            <w:r w:rsidR="00D44BCF">
              <w:rPr>
                <w:noProof/>
                <w:webHidden/>
              </w:rPr>
              <w:instrText xml:space="preserve"> PAGEREF _Toc33602875 \h </w:instrText>
            </w:r>
            <w:r w:rsidR="00D44BCF">
              <w:rPr>
                <w:noProof/>
                <w:webHidden/>
              </w:rPr>
            </w:r>
            <w:r w:rsidR="00D44BCF">
              <w:rPr>
                <w:noProof/>
                <w:webHidden/>
              </w:rPr>
              <w:fldChar w:fldCharType="separate"/>
            </w:r>
            <w:r w:rsidR="00D44BCF">
              <w:rPr>
                <w:noProof/>
                <w:webHidden/>
              </w:rPr>
              <w:t>123</w:t>
            </w:r>
            <w:r w:rsidR="00D44BCF">
              <w:rPr>
                <w:noProof/>
                <w:webHidden/>
              </w:rPr>
              <w:fldChar w:fldCharType="end"/>
            </w:r>
          </w:hyperlink>
        </w:p>
        <w:p w14:paraId="78DE2452" w14:textId="610138F0" w:rsidR="00D44BCF" w:rsidRDefault="00F51B89">
          <w:pPr>
            <w:pStyle w:val="TOC3"/>
            <w:tabs>
              <w:tab w:val="left" w:pos="1320"/>
            </w:tabs>
            <w:rPr>
              <w:noProof/>
              <w:lang w:val="en-AU" w:eastAsia="en-AU"/>
            </w:rPr>
          </w:pPr>
          <w:hyperlink w:anchor="_Toc33602876" w:history="1">
            <w:r w:rsidR="00D44BCF" w:rsidRPr="007D3270">
              <w:rPr>
                <w:rStyle w:val="Hyperlink"/>
                <w:noProof/>
              </w:rPr>
              <w:t>5.8.1</w:t>
            </w:r>
            <w:r w:rsidR="00D44BCF">
              <w:rPr>
                <w:noProof/>
                <w:lang w:val="en-AU" w:eastAsia="en-AU"/>
              </w:rPr>
              <w:tab/>
            </w:r>
            <w:r w:rsidR="00D44BCF" w:rsidRPr="007D3270">
              <w:rPr>
                <w:rStyle w:val="Hyperlink"/>
                <w:noProof/>
              </w:rPr>
              <w:t>Imprisonment available only if applicable to the offence</w:t>
            </w:r>
            <w:r w:rsidR="00D44BCF">
              <w:rPr>
                <w:noProof/>
                <w:webHidden/>
              </w:rPr>
              <w:tab/>
            </w:r>
            <w:r w:rsidR="00D44BCF">
              <w:rPr>
                <w:noProof/>
                <w:webHidden/>
              </w:rPr>
              <w:fldChar w:fldCharType="begin"/>
            </w:r>
            <w:r w:rsidR="00D44BCF">
              <w:rPr>
                <w:noProof/>
                <w:webHidden/>
              </w:rPr>
              <w:instrText xml:space="preserve"> PAGEREF _Toc33602876 \h </w:instrText>
            </w:r>
            <w:r w:rsidR="00D44BCF">
              <w:rPr>
                <w:noProof/>
                <w:webHidden/>
              </w:rPr>
            </w:r>
            <w:r w:rsidR="00D44BCF">
              <w:rPr>
                <w:noProof/>
                <w:webHidden/>
              </w:rPr>
              <w:fldChar w:fldCharType="separate"/>
            </w:r>
            <w:r w:rsidR="00D44BCF">
              <w:rPr>
                <w:noProof/>
                <w:webHidden/>
              </w:rPr>
              <w:t>123</w:t>
            </w:r>
            <w:r w:rsidR="00D44BCF">
              <w:rPr>
                <w:noProof/>
                <w:webHidden/>
              </w:rPr>
              <w:fldChar w:fldCharType="end"/>
            </w:r>
          </w:hyperlink>
        </w:p>
        <w:p w14:paraId="7D244BB5" w14:textId="035E56DC" w:rsidR="00D44BCF" w:rsidRDefault="00F51B89">
          <w:pPr>
            <w:pStyle w:val="TOC3"/>
            <w:tabs>
              <w:tab w:val="left" w:pos="1320"/>
            </w:tabs>
            <w:rPr>
              <w:noProof/>
              <w:lang w:val="en-AU" w:eastAsia="en-AU"/>
            </w:rPr>
          </w:pPr>
          <w:hyperlink w:anchor="_Toc33602877" w:history="1">
            <w:r w:rsidR="00D44BCF" w:rsidRPr="007D3270">
              <w:rPr>
                <w:rStyle w:val="Hyperlink"/>
                <w:noProof/>
              </w:rPr>
              <w:t>5.8.2</w:t>
            </w:r>
            <w:r w:rsidR="00D44BCF">
              <w:rPr>
                <w:noProof/>
                <w:lang w:val="en-AU" w:eastAsia="en-AU"/>
              </w:rPr>
              <w:tab/>
            </w:r>
            <w:r w:rsidR="00D44BCF" w:rsidRPr="007D3270">
              <w:rPr>
                <w:rStyle w:val="Hyperlink"/>
                <w:noProof/>
              </w:rPr>
              <w:t xml:space="preserve">Imprisonment as a sentence of last resort – </w:t>
            </w:r>
            <w:r w:rsidR="00D44BCF" w:rsidRPr="007D3270">
              <w:rPr>
                <w:rStyle w:val="Hyperlink"/>
                <w:i/>
                <w:noProof/>
              </w:rPr>
              <w:t>Crimes Act 1914</w:t>
            </w:r>
            <w:r w:rsidR="00D44BCF" w:rsidRPr="007D3270">
              <w:rPr>
                <w:rStyle w:val="Hyperlink"/>
                <w:noProof/>
              </w:rPr>
              <w:t>, s 17A</w:t>
            </w:r>
            <w:r w:rsidR="00D44BCF">
              <w:rPr>
                <w:noProof/>
                <w:webHidden/>
              </w:rPr>
              <w:tab/>
            </w:r>
            <w:r w:rsidR="00D44BCF">
              <w:rPr>
                <w:noProof/>
                <w:webHidden/>
              </w:rPr>
              <w:fldChar w:fldCharType="begin"/>
            </w:r>
            <w:r w:rsidR="00D44BCF">
              <w:rPr>
                <w:noProof/>
                <w:webHidden/>
              </w:rPr>
              <w:instrText xml:space="preserve"> PAGEREF _Toc33602877 \h </w:instrText>
            </w:r>
            <w:r w:rsidR="00D44BCF">
              <w:rPr>
                <w:noProof/>
                <w:webHidden/>
              </w:rPr>
            </w:r>
            <w:r w:rsidR="00D44BCF">
              <w:rPr>
                <w:noProof/>
                <w:webHidden/>
              </w:rPr>
              <w:fldChar w:fldCharType="separate"/>
            </w:r>
            <w:r w:rsidR="00D44BCF">
              <w:rPr>
                <w:noProof/>
                <w:webHidden/>
              </w:rPr>
              <w:t>123</w:t>
            </w:r>
            <w:r w:rsidR="00D44BCF">
              <w:rPr>
                <w:noProof/>
                <w:webHidden/>
              </w:rPr>
              <w:fldChar w:fldCharType="end"/>
            </w:r>
          </w:hyperlink>
        </w:p>
        <w:p w14:paraId="74794A93" w14:textId="2D0001A3" w:rsidR="00D44BCF" w:rsidRDefault="00F51B89">
          <w:pPr>
            <w:pStyle w:val="TOC3"/>
            <w:tabs>
              <w:tab w:val="left" w:pos="1320"/>
            </w:tabs>
            <w:rPr>
              <w:noProof/>
              <w:lang w:val="en-AU" w:eastAsia="en-AU"/>
            </w:rPr>
          </w:pPr>
          <w:hyperlink w:anchor="_Toc33602878" w:history="1">
            <w:r w:rsidR="00D44BCF" w:rsidRPr="007D3270">
              <w:rPr>
                <w:rStyle w:val="Hyperlink"/>
                <w:noProof/>
              </w:rPr>
              <w:t>5.8.3</w:t>
            </w:r>
            <w:r w:rsidR="00D44BCF">
              <w:rPr>
                <w:noProof/>
                <w:lang w:val="en-AU" w:eastAsia="en-AU"/>
              </w:rPr>
              <w:tab/>
            </w:r>
            <w:r w:rsidR="00D44BCF" w:rsidRPr="007D3270">
              <w:rPr>
                <w:rStyle w:val="Hyperlink"/>
                <w:noProof/>
              </w:rPr>
              <w:t xml:space="preserve">Restriction on imprisonment for certain minor offences – </w:t>
            </w:r>
            <w:r w:rsidR="00D44BCF" w:rsidRPr="007D3270">
              <w:rPr>
                <w:rStyle w:val="Hyperlink"/>
                <w:i/>
                <w:noProof/>
              </w:rPr>
              <w:t>Crimes Act 1914</w:t>
            </w:r>
            <w:r w:rsidR="00D44BCF" w:rsidRPr="007D3270">
              <w:rPr>
                <w:rStyle w:val="Hyperlink"/>
                <w:noProof/>
              </w:rPr>
              <w:t>, s 17B(1)</w:t>
            </w:r>
            <w:r w:rsidR="00D44BCF">
              <w:rPr>
                <w:noProof/>
                <w:webHidden/>
              </w:rPr>
              <w:tab/>
            </w:r>
            <w:r w:rsidR="00D44BCF">
              <w:rPr>
                <w:noProof/>
                <w:webHidden/>
              </w:rPr>
              <w:fldChar w:fldCharType="begin"/>
            </w:r>
            <w:r w:rsidR="00D44BCF">
              <w:rPr>
                <w:noProof/>
                <w:webHidden/>
              </w:rPr>
              <w:instrText xml:space="preserve"> PAGEREF _Toc33602878 \h </w:instrText>
            </w:r>
            <w:r w:rsidR="00D44BCF">
              <w:rPr>
                <w:noProof/>
                <w:webHidden/>
              </w:rPr>
            </w:r>
            <w:r w:rsidR="00D44BCF">
              <w:rPr>
                <w:noProof/>
                <w:webHidden/>
              </w:rPr>
              <w:fldChar w:fldCharType="separate"/>
            </w:r>
            <w:r w:rsidR="00D44BCF">
              <w:rPr>
                <w:noProof/>
                <w:webHidden/>
              </w:rPr>
              <w:t>124</w:t>
            </w:r>
            <w:r w:rsidR="00D44BCF">
              <w:rPr>
                <w:noProof/>
                <w:webHidden/>
              </w:rPr>
              <w:fldChar w:fldCharType="end"/>
            </w:r>
          </w:hyperlink>
        </w:p>
        <w:p w14:paraId="6C2ED1ED" w14:textId="74BFFFFE" w:rsidR="00D44BCF" w:rsidRDefault="00F51B89">
          <w:pPr>
            <w:pStyle w:val="TOC3"/>
            <w:tabs>
              <w:tab w:val="left" w:pos="1320"/>
            </w:tabs>
            <w:rPr>
              <w:noProof/>
              <w:lang w:val="en-AU" w:eastAsia="en-AU"/>
            </w:rPr>
          </w:pPr>
          <w:hyperlink w:anchor="_Toc33602879" w:history="1">
            <w:r w:rsidR="00D44BCF" w:rsidRPr="007D3270">
              <w:rPr>
                <w:rStyle w:val="Hyperlink"/>
                <w:noProof/>
              </w:rPr>
              <w:t>5.8.4</w:t>
            </w:r>
            <w:r w:rsidR="00D44BCF">
              <w:rPr>
                <w:noProof/>
                <w:lang w:val="en-AU" w:eastAsia="en-AU"/>
              </w:rPr>
              <w:tab/>
            </w:r>
            <w:r w:rsidR="00D44BCF" w:rsidRPr="007D3270">
              <w:rPr>
                <w:rStyle w:val="Hyperlink"/>
                <w:noProof/>
              </w:rPr>
              <w:t>Maximum period of imprisonment for an indictable offence determined summarily</w:t>
            </w:r>
            <w:r w:rsidR="00D44BCF">
              <w:rPr>
                <w:noProof/>
                <w:webHidden/>
              </w:rPr>
              <w:tab/>
            </w:r>
            <w:r w:rsidR="00D44BCF">
              <w:rPr>
                <w:noProof/>
                <w:webHidden/>
              </w:rPr>
              <w:fldChar w:fldCharType="begin"/>
            </w:r>
            <w:r w:rsidR="00D44BCF">
              <w:rPr>
                <w:noProof/>
                <w:webHidden/>
              </w:rPr>
              <w:instrText xml:space="preserve"> PAGEREF _Toc33602879 \h </w:instrText>
            </w:r>
            <w:r w:rsidR="00D44BCF">
              <w:rPr>
                <w:noProof/>
                <w:webHidden/>
              </w:rPr>
            </w:r>
            <w:r w:rsidR="00D44BCF">
              <w:rPr>
                <w:noProof/>
                <w:webHidden/>
              </w:rPr>
              <w:fldChar w:fldCharType="separate"/>
            </w:r>
            <w:r w:rsidR="00D44BCF">
              <w:rPr>
                <w:noProof/>
                <w:webHidden/>
              </w:rPr>
              <w:t>124</w:t>
            </w:r>
            <w:r w:rsidR="00D44BCF">
              <w:rPr>
                <w:noProof/>
                <w:webHidden/>
              </w:rPr>
              <w:fldChar w:fldCharType="end"/>
            </w:r>
          </w:hyperlink>
        </w:p>
        <w:p w14:paraId="5B3859EC" w14:textId="630955DF" w:rsidR="00D44BCF" w:rsidRDefault="00F51B89">
          <w:pPr>
            <w:pStyle w:val="TOC3"/>
            <w:tabs>
              <w:tab w:val="left" w:pos="1320"/>
            </w:tabs>
            <w:rPr>
              <w:noProof/>
              <w:lang w:val="en-AU" w:eastAsia="en-AU"/>
            </w:rPr>
          </w:pPr>
          <w:hyperlink w:anchor="_Toc33602880" w:history="1">
            <w:r w:rsidR="00D44BCF" w:rsidRPr="007D3270">
              <w:rPr>
                <w:rStyle w:val="Hyperlink"/>
                <w:noProof/>
              </w:rPr>
              <w:t>5.8.5</w:t>
            </w:r>
            <w:r w:rsidR="00D44BCF">
              <w:rPr>
                <w:noProof/>
                <w:lang w:val="en-AU" w:eastAsia="en-AU"/>
              </w:rPr>
              <w:tab/>
            </w:r>
            <w:r w:rsidR="00D44BCF" w:rsidRPr="007D3270">
              <w:rPr>
                <w:rStyle w:val="Hyperlink"/>
                <w:noProof/>
              </w:rPr>
              <w:t>Mandatory imprisonment</w:t>
            </w:r>
            <w:r w:rsidR="00D44BCF">
              <w:rPr>
                <w:noProof/>
                <w:webHidden/>
              </w:rPr>
              <w:tab/>
            </w:r>
            <w:r w:rsidR="00D44BCF">
              <w:rPr>
                <w:noProof/>
                <w:webHidden/>
              </w:rPr>
              <w:fldChar w:fldCharType="begin"/>
            </w:r>
            <w:r w:rsidR="00D44BCF">
              <w:rPr>
                <w:noProof/>
                <w:webHidden/>
              </w:rPr>
              <w:instrText xml:space="preserve"> PAGEREF _Toc33602880 \h </w:instrText>
            </w:r>
            <w:r w:rsidR="00D44BCF">
              <w:rPr>
                <w:noProof/>
                <w:webHidden/>
              </w:rPr>
            </w:r>
            <w:r w:rsidR="00D44BCF">
              <w:rPr>
                <w:noProof/>
                <w:webHidden/>
              </w:rPr>
              <w:fldChar w:fldCharType="separate"/>
            </w:r>
            <w:r w:rsidR="00D44BCF">
              <w:rPr>
                <w:noProof/>
                <w:webHidden/>
              </w:rPr>
              <w:t>124</w:t>
            </w:r>
            <w:r w:rsidR="00D44BCF">
              <w:rPr>
                <w:noProof/>
                <w:webHidden/>
              </w:rPr>
              <w:fldChar w:fldCharType="end"/>
            </w:r>
          </w:hyperlink>
        </w:p>
        <w:p w14:paraId="1BDE9112" w14:textId="1A01A051" w:rsidR="00D44BCF" w:rsidRDefault="00F51B89">
          <w:pPr>
            <w:pStyle w:val="TOC3"/>
            <w:tabs>
              <w:tab w:val="left" w:pos="1320"/>
            </w:tabs>
            <w:rPr>
              <w:noProof/>
              <w:lang w:val="en-AU" w:eastAsia="en-AU"/>
            </w:rPr>
          </w:pPr>
          <w:hyperlink w:anchor="_Toc33602881" w:history="1">
            <w:r w:rsidR="00D44BCF" w:rsidRPr="007D3270">
              <w:rPr>
                <w:rStyle w:val="Hyperlink"/>
                <w:bCs/>
                <w:noProof/>
              </w:rPr>
              <w:t>5.8.6</w:t>
            </w:r>
            <w:r w:rsidR="00D44BCF">
              <w:rPr>
                <w:noProof/>
                <w:lang w:val="en-AU" w:eastAsia="en-AU"/>
              </w:rPr>
              <w:tab/>
            </w:r>
            <w:r w:rsidR="00D44BCF" w:rsidRPr="007D3270">
              <w:rPr>
                <w:rStyle w:val="Hyperlink"/>
                <w:bCs/>
                <w:noProof/>
              </w:rPr>
              <w:t>Aggregate sentence of imprisonment for multiple federal offences</w:t>
            </w:r>
            <w:r w:rsidR="00D44BCF">
              <w:rPr>
                <w:noProof/>
                <w:webHidden/>
              </w:rPr>
              <w:tab/>
            </w:r>
            <w:r w:rsidR="00D44BCF">
              <w:rPr>
                <w:noProof/>
                <w:webHidden/>
              </w:rPr>
              <w:fldChar w:fldCharType="begin"/>
            </w:r>
            <w:r w:rsidR="00D44BCF">
              <w:rPr>
                <w:noProof/>
                <w:webHidden/>
              </w:rPr>
              <w:instrText xml:space="preserve"> PAGEREF _Toc33602881 \h </w:instrText>
            </w:r>
            <w:r w:rsidR="00D44BCF">
              <w:rPr>
                <w:noProof/>
                <w:webHidden/>
              </w:rPr>
            </w:r>
            <w:r w:rsidR="00D44BCF">
              <w:rPr>
                <w:noProof/>
                <w:webHidden/>
              </w:rPr>
              <w:fldChar w:fldCharType="separate"/>
            </w:r>
            <w:r w:rsidR="00D44BCF">
              <w:rPr>
                <w:noProof/>
                <w:webHidden/>
              </w:rPr>
              <w:t>125</w:t>
            </w:r>
            <w:r w:rsidR="00D44BCF">
              <w:rPr>
                <w:noProof/>
                <w:webHidden/>
              </w:rPr>
              <w:fldChar w:fldCharType="end"/>
            </w:r>
          </w:hyperlink>
        </w:p>
        <w:p w14:paraId="44702D51" w14:textId="6CCB50A9" w:rsidR="00D44BCF" w:rsidRDefault="00F51B89">
          <w:pPr>
            <w:pStyle w:val="TOC3"/>
            <w:tabs>
              <w:tab w:val="left" w:pos="1320"/>
            </w:tabs>
            <w:rPr>
              <w:noProof/>
              <w:lang w:val="en-AU" w:eastAsia="en-AU"/>
            </w:rPr>
          </w:pPr>
          <w:hyperlink w:anchor="_Toc33602882" w:history="1">
            <w:r w:rsidR="00D44BCF" w:rsidRPr="007D3270">
              <w:rPr>
                <w:rStyle w:val="Hyperlink"/>
                <w:noProof/>
              </w:rPr>
              <w:t>5.8.7</w:t>
            </w:r>
            <w:r w:rsidR="00D44BCF">
              <w:rPr>
                <w:noProof/>
                <w:lang w:val="en-AU" w:eastAsia="en-AU"/>
              </w:rPr>
              <w:tab/>
            </w:r>
            <w:r w:rsidR="00D44BCF" w:rsidRPr="007D3270">
              <w:rPr>
                <w:rStyle w:val="Hyperlink"/>
                <w:noProof/>
              </w:rPr>
              <w:t>Aggregate sentence of imprisonment for federal and State offences is not permitted</w:t>
            </w:r>
            <w:r w:rsidR="00D44BCF">
              <w:rPr>
                <w:noProof/>
                <w:webHidden/>
              </w:rPr>
              <w:tab/>
            </w:r>
            <w:r w:rsidR="00D44BCF">
              <w:rPr>
                <w:noProof/>
                <w:webHidden/>
              </w:rPr>
              <w:fldChar w:fldCharType="begin"/>
            </w:r>
            <w:r w:rsidR="00D44BCF">
              <w:rPr>
                <w:noProof/>
                <w:webHidden/>
              </w:rPr>
              <w:instrText xml:space="preserve"> PAGEREF _Toc33602882 \h </w:instrText>
            </w:r>
            <w:r w:rsidR="00D44BCF">
              <w:rPr>
                <w:noProof/>
                <w:webHidden/>
              </w:rPr>
            </w:r>
            <w:r w:rsidR="00D44BCF">
              <w:rPr>
                <w:noProof/>
                <w:webHidden/>
              </w:rPr>
              <w:fldChar w:fldCharType="separate"/>
            </w:r>
            <w:r w:rsidR="00D44BCF">
              <w:rPr>
                <w:noProof/>
                <w:webHidden/>
              </w:rPr>
              <w:t>125</w:t>
            </w:r>
            <w:r w:rsidR="00D44BCF">
              <w:rPr>
                <w:noProof/>
                <w:webHidden/>
              </w:rPr>
              <w:fldChar w:fldCharType="end"/>
            </w:r>
          </w:hyperlink>
        </w:p>
        <w:p w14:paraId="1E8744BC" w14:textId="51C8448F" w:rsidR="00D44BCF" w:rsidRDefault="00F51B89">
          <w:pPr>
            <w:pStyle w:val="TOC3"/>
            <w:tabs>
              <w:tab w:val="left" w:pos="1320"/>
            </w:tabs>
            <w:rPr>
              <w:noProof/>
              <w:lang w:val="en-AU" w:eastAsia="en-AU"/>
            </w:rPr>
          </w:pPr>
          <w:hyperlink w:anchor="_Toc33602883" w:history="1">
            <w:r w:rsidR="00D44BCF" w:rsidRPr="007D3270">
              <w:rPr>
                <w:rStyle w:val="Hyperlink"/>
                <w:noProof/>
              </w:rPr>
              <w:t>5.8.8</w:t>
            </w:r>
            <w:r w:rsidR="00D44BCF">
              <w:rPr>
                <w:noProof/>
                <w:lang w:val="en-AU" w:eastAsia="en-AU"/>
              </w:rPr>
              <w:tab/>
            </w:r>
            <w:r w:rsidR="00D44BCF" w:rsidRPr="007D3270">
              <w:rPr>
                <w:rStyle w:val="Hyperlink"/>
                <w:noProof/>
              </w:rPr>
              <w:t>Commencement of sentences</w:t>
            </w:r>
            <w:r w:rsidR="00D44BCF">
              <w:rPr>
                <w:noProof/>
                <w:webHidden/>
              </w:rPr>
              <w:tab/>
            </w:r>
            <w:r w:rsidR="00D44BCF">
              <w:rPr>
                <w:noProof/>
                <w:webHidden/>
              </w:rPr>
              <w:fldChar w:fldCharType="begin"/>
            </w:r>
            <w:r w:rsidR="00D44BCF">
              <w:rPr>
                <w:noProof/>
                <w:webHidden/>
              </w:rPr>
              <w:instrText xml:space="preserve"> PAGEREF _Toc33602883 \h </w:instrText>
            </w:r>
            <w:r w:rsidR="00D44BCF">
              <w:rPr>
                <w:noProof/>
                <w:webHidden/>
              </w:rPr>
            </w:r>
            <w:r w:rsidR="00D44BCF">
              <w:rPr>
                <w:noProof/>
                <w:webHidden/>
              </w:rPr>
              <w:fldChar w:fldCharType="separate"/>
            </w:r>
            <w:r w:rsidR="00D44BCF">
              <w:rPr>
                <w:noProof/>
                <w:webHidden/>
              </w:rPr>
              <w:t>125</w:t>
            </w:r>
            <w:r w:rsidR="00D44BCF">
              <w:rPr>
                <w:noProof/>
                <w:webHidden/>
              </w:rPr>
              <w:fldChar w:fldCharType="end"/>
            </w:r>
          </w:hyperlink>
        </w:p>
        <w:p w14:paraId="46649EA3" w14:textId="60595935" w:rsidR="00D44BCF" w:rsidRDefault="00F51B89">
          <w:pPr>
            <w:pStyle w:val="TOC3"/>
            <w:tabs>
              <w:tab w:val="left" w:pos="1320"/>
            </w:tabs>
            <w:rPr>
              <w:noProof/>
              <w:lang w:val="en-AU" w:eastAsia="en-AU"/>
            </w:rPr>
          </w:pPr>
          <w:hyperlink w:anchor="_Toc33602884" w:history="1">
            <w:r w:rsidR="00D44BCF" w:rsidRPr="007D3270">
              <w:rPr>
                <w:rStyle w:val="Hyperlink"/>
                <w:noProof/>
              </w:rPr>
              <w:t>5.8.9</w:t>
            </w:r>
            <w:r w:rsidR="00D44BCF">
              <w:rPr>
                <w:noProof/>
                <w:lang w:val="en-AU" w:eastAsia="en-AU"/>
              </w:rPr>
              <w:tab/>
            </w:r>
            <w:r w:rsidR="00D44BCF" w:rsidRPr="007D3270">
              <w:rPr>
                <w:rStyle w:val="Hyperlink"/>
                <w:noProof/>
              </w:rPr>
              <w:t>Credit for pre-sentence custody for the offence</w:t>
            </w:r>
            <w:r w:rsidR="00D44BCF">
              <w:rPr>
                <w:noProof/>
                <w:webHidden/>
              </w:rPr>
              <w:tab/>
            </w:r>
            <w:r w:rsidR="00D44BCF">
              <w:rPr>
                <w:noProof/>
                <w:webHidden/>
              </w:rPr>
              <w:fldChar w:fldCharType="begin"/>
            </w:r>
            <w:r w:rsidR="00D44BCF">
              <w:rPr>
                <w:noProof/>
                <w:webHidden/>
              </w:rPr>
              <w:instrText xml:space="preserve"> PAGEREF _Toc33602884 \h </w:instrText>
            </w:r>
            <w:r w:rsidR="00D44BCF">
              <w:rPr>
                <w:noProof/>
                <w:webHidden/>
              </w:rPr>
            </w:r>
            <w:r w:rsidR="00D44BCF">
              <w:rPr>
                <w:noProof/>
                <w:webHidden/>
              </w:rPr>
              <w:fldChar w:fldCharType="separate"/>
            </w:r>
            <w:r w:rsidR="00D44BCF">
              <w:rPr>
                <w:noProof/>
                <w:webHidden/>
              </w:rPr>
              <w:t>126</w:t>
            </w:r>
            <w:r w:rsidR="00D44BCF">
              <w:rPr>
                <w:noProof/>
                <w:webHidden/>
              </w:rPr>
              <w:fldChar w:fldCharType="end"/>
            </w:r>
          </w:hyperlink>
        </w:p>
        <w:p w14:paraId="1D26B1DA" w14:textId="138CE2D0" w:rsidR="00D44BCF" w:rsidRDefault="00F51B89">
          <w:pPr>
            <w:pStyle w:val="TOC3"/>
            <w:tabs>
              <w:tab w:val="left" w:pos="1320"/>
            </w:tabs>
            <w:rPr>
              <w:noProof/>
              <w:lang w:val="en-AU" w:eastAsia="en-AU"/>
            </w:rPr>
          </w:pPr>
          <w:hyperlink w:anchor="_Toc33602885" w:history="1">
            <w:r w:rsidR="00D44BCF" w:rsidRPr="007D3270">
              <w:rPr>
                <w:rStyle w:val="Hyperlink"/>
                <w:noProof/>
              </w:rPr>
              <w:t>5.8.10</w:t>
            </w:r>
            <w:r w:rsidR="00D44BCF">
              <w:rPr>
                <w:noProof/>
                <w:lang w:val="en-AU" w:eastAsia="en-AU"/>
              </w:rPr>
              <w:tab/>
            </w:r>
            <w:r w:rsidR="00D44BCF" w:rsidRPr="007D3270">
              <w:rPr>
                <w:rStyle w:val="Hyperlink"/>
                <w:noProof/>
              </w:rPr>
              <w:t>Taking into account other pre-sentence custody</w:t>
            </w:r>
            <w:r w:rsidR="00D44BCF">
              <w:rPr>
                <w:noProof/>
                <w:webHidden/>
              </w:rPr>
              <w:tab/>
            </w:r>
            <w:r w:rsidR="00D44BCF">
              <w:rPr>
                <w:noProof/>
                <w:webHidden/>
              </w:rPr>
              <w:fldChar w:fldCharType="begin"/>
            </w:r>
            <w:r w:rsidR="00D44BCF">
              <w:rPr>
                <w:noProof/>
                <w:webHidden/>
              </w:rPr>
              <w:instrText xml:space="preserve"> PAGEREF _Toc33602885 \h </w:instrText>
            </w:r>
            <w:r w:rsidR="00D44BCF">
              <w:rPr>
                <w:noProof/>
                <w:webHidden/>
              </w:rPr>
            </w:r>
            <w:r w:rsidR="00D44BCF">
              <w:rPr>
                <w:noProof/>
                <w:webHidden/>
              </w:rPr>
              <w:fldChar w:fldCharType="separate"/>
            </w:r>
            <w:r w:rsidR="00D44BCF">
              <w:rPr>
                <w:noProof/>
                <w:webHidden/>
              </w:rPr>
              <w:t>129</w:t>
            </w:r>
            <w:r w:rsidR="00D44BCF">
              <w:rPr>
                <w:noProof/>
                <w:webHidden/>
              </w:rPr>
              <w:fldChar w:fldCharType="end"/>
            </w:r>
          </w:hyperlink>
        </w:p>
        <w:p w14:paraId="7081BB7A" w14:textId="532ABF95" w:rsidR="00D44BCF" w:rsidRDefault="00F51B89">
          <w:pPr>
            <w:pStyle w:val="TOC3"/>
            <w:tabs>
              <w:tab w:val="left" w:pos="1320"/>
            </w:tabs>
            <w:rPr>
              <w:noProof/>
              <w:lang w:val="en-AU" w:eastAsia="en-AU"/>
            </w:rPr>
          </w:pPr>
          <w:hyperlink w:anchor="_Toc33602886" w:history="1">
            <w:r w:rsidR="00D44BCF" w:rsidRPr="007D3270">
              <w:rPr>
                <w:rStyle w:val="Hyperlink"/>
                <w:noProof/>
              </w:rPr>
              <w:t>5.8.11</w:t>
            </w:r>
            <w:r w:rsidR="00D44BCF">
              <w:rPr>
                <w:noProof/>
                <w:lang w:val="en-AU" w:eastAsia="en-AU"/>
              </w:rPr>
              <w:tab/>
            </w:r>
            <w:r w:rsidR="00D44BCF" w:rsidRPr="007D3270">
              <w:rPr>
                <w:rStyle w:val="Hyperlink"/>
                <w:noProof/>
              </w:rPr>
              <w:t>Correction of error in sentence of imprisonment</w:t>
            </w:r>
            <w:r w:rsidR="00D44BCF">
              <w:rPr>
                <w:noProof/>
                <w:webHidden/>
              </w:rPr>
              <w:tab/>
            </w:r>
            <w:r w:rsidR="00D44BCF">
              <w:rPr>
                <w:noProof/>
                <w:webHidden/>
              </w:rPr>
              <w:fldChar w:fldCharType="begin"/>
            </w:r>
            <w:r w:rsidR="00D44BCF">
              <w:rPr>
                <w:noProof/>
                <w:webHidden/>
              </w:rPr>
              <w:instrText xml:space="preserve"> PAGEREF _Toc33602886 \h </w:instrText>
            </w:r>
            <w:r w:rsidR="00D44BCF">
              <w:rPr>
                <w:noProof/>
                <w:webHidden/>
              </w:rPr>
            </w:r>
            <w:r w:rsidR="00D44BCF">
              <w:rPr>
                <w:noProof/>
                <w:webHidden/>
              </w:rPr>
              <w:fldChar w:fldCharType="separate"/>
            </w:r>
            <w:r w:rsidR="00D44BCF">
              <w:rPr>
                <w:noProof/>
                <w:webHidden/>
              </w:rPr>
              <w:t>130</w:t>
            </w:r>
            <w:r w:rsidR="00D44BCF">
              <w:rPr>
                <w:noProof/>
                <w:webHidden/>
              </w:rPr>
              <w:fldChar w:fldCharType="end"/>
            </w:r>
          </w:hyperlink>
        </w:p>
        <w:p w14:paraId="3C023BDE" w14:textId="5A4C61B4" w:rsidR="00D44BCF" w:rsidRDefault="00F51B89">
          <w:pPr>
            <w:pStyle w:val="TOC2"/>
            <w:tabs>
              <w:tab w:val="left" w:pos="880"/>
              <w:tab w:val="right" w:leader="dot" w:pos="9061"/>
            </w:tabs>
            <w:rPr>
              <w:noProof/>
              <w:lang w:val="en-AU" w:eastAsia="en-AU"/>
            </w:rPr>
          </w:pPr>
          <w:hyperlink w:anchor="_Toc33602887" w:history="1">
            <w:r w:rsidR="00D44BCF" w:rsidRPr="007D3270">
              <w:rPr>
                <w:rStyle w:val="Hyperlink"/>
                <w:noProof/>
              </w:rPr>
              <w:t>5.9</w:t>
            </w:r>
            <w:r w:rsidR="00D44BCF">
              <w:rPr>
                <w:noProof/>
                <w:lang w:val="en-AU" w:eastAsia="en-AU"/>
              </w:rPr>
              <w:tab/>
            </w:r>
            <w:r w:rsidR="00D44BCF" w:rsidRPr="007D3270">
              <w:rPr>
                <w:rStyle w:val="Hyperlink"/>
                <w:noProof/>
              </w:rPr>
              <w:t>Imprisonment: concurrency or cumulation of sentences</w:t>
            </w:r>
            <w:r w:rsidR="00D44BCF">
              <w:rPr>
                <w:noProof/>
                <w:webHidden/>
              </w:rPr>
              <w:tab/>
            </w:r>
            <w:r w:rsidR="00D44BCF">
              <w:rPr>
                <w:noProof/>
                <w:webHidden/>
              </w:rPr>
              <w:fldChar w:fldCharType="begin"/>
            </w:r>
            <w:r w:rsidR="00D44BCF">
              <w:rPr>
                <w:noProof/>
                <w:webHidden/>
              </w:rPr>
              <w:instrText xml:space="preserve"> PAGEREF _Toc33602887 \h </w:instrText>
            </w:r>
            <w:r w:rsidR="00D44BCF">
              <w:rPr>
                <w:noProof/>
                <w:webHidden/>
              </w:rPr>
            </w:r>
            <w:r w:rsidR="00D44BCF">
              <w:rPr>
                <w:noProof/>
                <w:webHidden/>
              </w:rPr>
              <w:fldChar w:fldCharType="separate"/>
            </w:r>
            <w:r w:rsidR="00D44BCF">
              <w:rPr>
                <w:noProof/>
                <w:webHidden/>
              </w:rPr>
              <w:t>131</w:t>
            </w:r>
            <w:r w:rsidR="00D44BCF">
              <w:rPr>
                <w:noProof/>
                <w:webHidden/>
              </w:rPr>
              <w:fldChar w:fldCharType="end"/>
            </w:r>
          </w:hyperlink>
        </w:p>
        <w:p w14:paraId="3CBF99ED" w14:textId="67248D2B" w:rsidR="00D44BCF" w:rsidRDefault="00F51B89">
          <w:pPr>
            <w:pStyle w:val="TOC3"/>
            <w:tabs>
              <w:tab w:val="left" w:pos="1320"/>
            </w:tabs>
            <w:rPr>
              <w:noProof/>
              <w:lang w:val="en-AU" w:eastAsia="en-AU"/>
            </w:rPr>
          </w:pPr>
          <w:hyperlink w:anchor="_Toc33602888" w:history="1">
            <w:r w:rsidR="00D44BCF" w:rsidRPr="007D3270">
              <w:rPr>
                <w:rStyle w:val="Hyperlink"/>
                <w:noProof/>
              </w:rPr>
              <w:t>5.9.1</w:t>
            </w:r>
            <w:r w:rsidR="00D44BCF">
              <w:rPr>
                <w:noProof/>
                <w:lang w:val="en-AU" w:eastAsia="en-AU"/>
              </w:rPr>
              <w:tab/>
            </w:r>
            <w:r w:rsidR="00D44BCF" w:rsidRPr="007D3270">
              <w:rPr>
                <w:rStyle w:val="Hyperlink"/>
                <w:noProof/>
              </w:rPr>
              <w:t xml:space="preserve">The mechanism for cumulation or concurrency of sentences on a federal offender: </w:t>
            </w:r>
            <w:r w:rsidR="00D44BCF" w:rsidRPr="007D3270">
              <w:rPr>
                <w:rStyle w:val="Hyperlink"/>
                <w:i/>
                <w:noProof/>
              </w:rPr>
              <w:t xml:space="preserve">Crimes Act </w:t>
            </w:r>
            <w:r w:rsidR="00D44BCF" w:rsidRPr="007D3270">
              <w:rPr>
                <w:rStyle w:val="Hyperlink"/>
                <w:noProof/>
              </w:rPr>
              <w:t>1914, s 19</w:t>
            </w:r>
            <w:r w:rsidR="00D44BCF">
              <w:rPr>
                <w:noProof/>
                <w:webHidden/>
              </w:rPr>
              <w:tab/>
            </w:r>
            <w:r w:rsidR="00D44BCF">
              <w:rPr>
                <w:noProof/>
                <w:webHidden/>
              </w:rPr>
              <w:fldChar w:fldCharType="begin"/>
            </w:r>
            <w:r w:rsidR="00D44BCF">
              <w:rPr>
                <w:noProof/>
                <w:webHidden/>
              </w:rPr>
              <w:instrText xml:space="preserve"> PAGEREF _Toc33602888 \h </w:instrText>
            </w:r>
            <w:r w:rsidR="00D44BCF">
              <w:rPr>
                <w:noProof/>
                <w:webHidden/>
              </w:rPr>
            </w:r>
            <w:r w:rsidR="00D44BCF">
              <w:rPr>
                <w:noProof/>
                <w:webHidden/>
              </w:rPr>
              <w:fldChar w:fldCharType="separate"/>
            </w:r>
            <w:r w:rsidR="00D44BCF">
              <w:rPr>
                <w:noProof/>
                <w:webHidden/>
              </w:rPr>
              <w:t>131</w:t>
            </w:r>
            <w:r w:rsidR="00D44BCF">
              <w:rPr>
                <w:noProof/>
                <w:webHidden/>
              </w:rPr>
              <w:fldChar w:fldCharType="end"/>
            </w:r>
          </w:hyperlink>
        </w:p>
        <w:p w14:paraId="1D80F09E" w14:textId="39DC4BD6" w:rsidR="00D44BCF" w:rsidRDefault="00F51B89">
          <w:pPr>
            <w:pStyle w:val="TOC3"/>
            <w:tabs>
              <w:tab w:val="left" w:pos="1320"/>
            </w:tabs>
            <w:rPr>
              <w:noProof/>
              <w:lang w:val="en-AU" w:eastAsia="en-AU"/>
            </w:rPr>
          </w:pPr>
          <w:hyperlink w:anchor="_Toc33602889" w:history="1">
            <w:r w:rsidR="00D44BCF" w:rsidRPr="007D3270">
              <w:rPr>
                <w:rStyle w:val="Hyperlink"/>
                <w:noProof/>
              </w:rPr>
              <w:t>5.9.2</w:t>
            </w:r>
            <w:r w:rsidR="00D44BCF">
              <w:rPr>
                <w:noProof/>
                <w:lang w:val="en-AU" w:eastAsia="en-AU"/>
              </w:rPr>
              <w:tab/>
            </w:r>
            <w:r w:rsidR="00D44BCF" w:rsidRPr="007D3270">
              <w:rPr>
                <w:rStyle w:val="Hyperlink"/>
                <w:noProof/>
              </w:rPr>
              <w:t>Whether sentences should be concurrent or cumulative</w:t>
            </w:r>
            <w:r w:rsidR="00D44BCF">
              <w:rPr>
                <w:noProof/>
                <w:webHidden/>
              </w:rPr>
              <w:tab/>
            </w:r>
            <w:r w:rsidR="00D44BCF">
              <w:rPr>
                <w:noProof/>
                <w:webHidden/>
              </w:rPr>
              <w:fldChar w:fldCharType="begin"/>
            </w:r>
            <w:r w:rsidR="00D44BCF">
              <w:rPr>
                <w:noProof/>
                <w:webHidden/>
              </w:rPr>
              <w:instrText xml:space="preserve"> PAGEREF _Toc33602889 \h </w:instrText>
            </w:r>
            <w:r w:rsidR="00D44BCF">
              <w:rPr>
                <w:noProof/>
                <w:webHidden/>
              </w:rPr>
            </w:r>
            <w:r w:rsidR="00D44BCF">
              <w:rPr>
                <w:noProof/>
                <w:webHidden/>
              </w:rPr>
              <w:fldChar w:fldCharType="separate"/>
            </w:r>
            <w:r w:rsidR="00D44BCF">
              <w:rPr>
                <w:noProof/>
                <w:webHidden/>
              </w:rPr>
              <w:t>135</w:t>
            </w:r>
            <w:r w:rsidR="00D44BCF">
              <w:rPr>
                <w:noProof/>
                <w:webHidden/>
              </w:rPr>
              <w:fldChar w:fldCharType="end"/>
            </w:r>
          </w:hyperlink>
        </w:p>
        <w:p w14:paraId="769B96DE" w14:textId="02AF3537" w:rsidR="00D44BCF" w:rsidRDefault="00F51B89">
          <w:pPr>
            <w:pStyle w:val="TOC3"/>
            <w:tabs>
              <w:tab w:val="left" w:pos="1320"/>
            </w:tabs>
            <w:rPr>
              <w:noProof/>
              <w:lang w:val="en-AU" w:eastAsia="en-AU"/>
            </w:rPr>
          </w:pPr>
          <w:hyperlink w:anchor="_Toc33602890" w:history="1">
            <w:r w:rsidR="00D44BCF" w:rsidRPr="007D3270">
              <w:rPr>
                <w:rStyle w:val="Hyperlink"/>
                <w:noProof/>
              </w:rPr>
              <w:t>5.9.3</w:t>
            </w:r>
            <w:r w:rsidR="00D44BCF">
              <w:rPr>
                <w:noProof/>
                <w:lang w:val="en-AU" w:eastAsia="en-AU"/>
              </w:rPr>
              <w:tab/>
            </w:r>
            <w:r w:rsidR="00D44BCF" w:rsidRPr="007D3270">
              <w:rPr>
                <w:rStyle w:val="Hyperlink"/>
                <w:noProof/>
              </w:rPr>
              <w:t>Different means of giving effect to the requirements of totality</w:t>
            </w:r>
            <w:r w:rsidR="00D44BCF">
              <w:rPr>
                <w:noProof/>
                <w:webHidden/>
              </w:rPr>
              <w:tab/>
            </w:r>
            <w:r w:rsidR="00D44BCF">
              <w:rPr>
                <w:noProof/>
                <w:webHidden/>
              </w:rPr>
              <w:fldChar w:fldCharType="begin"/>
            </w:r>
            <w:r w:rsidR="00D44BCF">
              <w:rPr>
                <w:noProof/>
                <w:webHidden/>
              </w:rPr>
              <w:instrText xml:space="preserve"> PAGEREF _Toc33602890 \h </w:instrText>
            </w:r>
            <w:r w:rsidR="00D44BCF">
              <w:rPr>
                <w:noProof/>
                <w:webHidden/>
              </w:rPr>
            </w:r>
            <w:r w:rsidR="00D44BCF">
              <w:rPr>
                <w:noProof/>
                <w:webHidden/>
              </w:rPr>
              <w:fldChar w:fldCharType="separate"/>
            </w:r>
            <w:r w:rsidR="00D44BCF">
              <w:rPr>
                <w:noProof/>
                <w:webHidden/>
              </w:rPr>
              <w:t>135</w:t>
            </w:r>
            <w:r w:rsidR="00D44BCF">
              <w:rPr>
                <w:noProof/>
                <w:webHidden/>
              </w:rPr>
              <w:fldChar w:fldCharType="end"/>
            </w:r>
          </w:hyperlink>
        </w:p>
        <w:p w14:paraId="49F7A8B3" w14:textId="4EF04ED7" w:rsidR="00D44BCF" w:rsidRDefault="00F51B89">
          <w:pPr>
            <w:pStyle w:val="TOC3"/>
            <w:tabs>
              <w:tab w:val="left" w:pos="1320"/>
            </w:tabs>
            <w:rPr>
              <w:noProof/>
              <w:lang w:val="en-AU" w:eastAsia="en-AU"/>
            </w:rPr>
          </w:pPr>
          <w:hyperlink w:anchor="_Toc33602891" w:history="1">
            <w:r w:rsidR="00D44BCF" w:rsidRPr="007D3270">
              <w:rPr>
                <w:rStyle w:val="Hyperlink"/>
                <w:noProof/>
              </w:rPr>
              <w:t>5.9.4</w:t>
            </w:r>
            <w:r w:rsidR="00D44BCF">
              <w:rPr>
                <w:noProof/>
                <w:lang w:val="en-AU" w:eastAsia="en-AU"/>
              </w:rPr>
              <w:tab/>
            </w:r>
            <w:r w:rsidR="00D44BCF" w:rsidRPr="007D3270">
              <w:rPr>
                <w:rStyle w:val="Hyperlink"/>
                <w:noProof/>
              </w:rPr>
              <w:t>Cumulation or concurrency of a State/Territory sentence imposed after a federal sentence</w:t>
            </w:r>
            <w:r w:rsidR="00D44BCF">
              <w:rPr>
                <w:noProof/>
                <w:webHidden/>
              </w:rPr>
              <w:tab/>
            </w:r>
            <w:r w:rsidR="00D44BCF">
              <w:rPr>
                <w:noProof/>
                <w:webHidden/>
              </w:rPr>
              <w:fldChar w:fldCharType="begin"/>
            </w:r>
            <w:r w:rsidR="00D44BCF">
              <w:rPr>
                <w:noProof/>
                <w:webHidden/>
              </w:rPr>
              <w:instrText xml:space="preserve"> PAGEREF _Toc33602891 \h </w:instrText>
            </w:r>
            <w:r w:rsidR="00D44BCF">
              <w:rPr>
                <w:noProof/>
                <w:webHidden/>
              </w:rPr>
            </w:r>
            <w:r w:rsidR="00D44BCF">
              <w:rPr>
                <w:noProof/>
                <w:webHidden/>
              </w:rPr>
              <w:fldChar w:fldCharType="separate"/>
            </w:r>
            <w:r w:rsidR="00D44BCF">
              <w:rPr>
                <w:noProof/>
                <w:webHidden/>
              </w:rPr>
              <w:t>136</w:t>
            </w:r>
            <w:r w:rsidR="00D44BCF">
              <w:rPr>
                <w:noProof/>
                <w:webHidden/>
              </w:rPr>
              <w:fldChar w:fldCharType="end"/>
            </w:r>
          </w:hyperlink>
        </w:p>
        <w:p w14:paraId="3D0FC427" w14:textId="6A430817" w:rsidR="00D44BCF" w:rsidRDefault="00F51B89">
          <w:pPr>
            <w:pStyle w:val="TOC3"/>
            <w:tabs>
              <w:tab w:val="left" w:pos="1320"/>
            </w:tabs>
            <w:rPr>
              <w:noProof/>
              <w:lang w:val="en-AU" w:eastAsia="en-AU"/>
            </w:rPr>
          </w:pPr>
          <w:hyperlink w:anchor="_Toc33602892" w:history="1">
            <w:r w:rsidR="00D44BCF" w:rsidRPr="007D3270">
              <w:rPr>
                <w:rStyle w:val="Hyperlink"/>
                <w:noProof/>
              </w:rPr>
              <w:t>5.9.5</w:t>
            </w:r>
            <w:r w:rsidR="00D44BCF">
              <w:rPr>
                <w:noProof/>
                <w:lang w:val="en-AU" w:eastAsia="en-AU"/>
              </w:rPr>
              <w:tab/>
            </w:r>
            <w:r w:rsidR="00D44BCF" w:rsidRPr="007D3270">
              <w:rPr>
                <w:rStyle w:val="Hyperlink"/>
                <w:noProof/>
              </w:rPr>
              <w:t>Fixing cumulation or concurrency in sentencing for Commonwealth and State/Territory offences in the same indictment</w:t>
            </w:r>
            <w:r w:rsidR="00D44BCF">
              <w:rPr>
                <w:noProof/>
                <w:webHidden/>
              </w:rPr>
              <w:tab/>
            </w:r>
            <w:r w:rsidR="00D44BCF">
              <w:rPr>
                <w:noProof/>
                <w:webHidden/>
              </w:rPr>
              <w:fldChar w:fldCharType="begin"/>
            </w:r>
            <w:r w:rsidR="00D44BCF">
              <w:rPr>
                <w:noProof/>
                <w:webHidden/>
              </w:rPr>
              <w:instrText xml:space="preserve"> PAGEREF _Toc33602892 \h </w:instrText>
            </w:r>
            <w:r w:rsidR="00D44BCF">
              <w:rPr>
                <w:noProof/>
                <w:webHidden/>
              </w:rPr>
            </w:r>
            <w:r w:rsidR="00D44BCF">
              <w:rPr>
                <w:noProof/>
                <w:webHidden/>
              </w:rPr>
              <w:fldChar w:fldCharType="separate"/>
            </w:r>
            <w:r w:rsidR="00D44BCF">
              <w:rPr>
                <w:noProof/>
                <w:webHidden/>
              </w:rPr>
              <w:t>137</w:t>
            </w:r>
            <w:r w:rsidR="00D44BCF">
              <w:rPr>
                <w:noProof/>
                <w:webHidden/>
              </w:rPr>
              <w:fldChar w:fldCharType="end"/>
            </w:r>
          </w:hyperlink>
        </w:p>
        <w:p w14:paraId="20E4DFF1" w14:textId="6623D967" w:rsidR="00D44BCF" w:rsidRDefault="00F51B89">
          <w:pPr>
            <w:pStyle w:val="TOC2"/>
            <w:tabs>
              <w:tab w:val="left" w:pos="880"/>
              <w:tab w:val="right" w:leader="dot" w:pos="9061"/>
            </w:tabs>
            <w:rPr>
              <w:noProof/>
              <w:lang w:val="en-AU" w:eastAsia="en-AU"/>
            </w:rPr>
          </w:pPr>
          <w:hyperlink w:anchor="_Toc33602893" w:history="1">
            <w:r w:rsidR="00D44BCF" w:rsidRPr="007D3270">
              <w:rPr>
                <w:rStyle w:val="Hyperlink"/>
                <w:noProof/>
              </w:rPr>
              <w:t>5.10</w:t>
            </w:r>
            <w:r w:rsidR="00D44BCF">
              <w:rPr>
                <w:noProof/>
                <w:lang w:val="en-AU" w:eastAsia="en-AU"/>
              </w:rPr>
              <w:tab/>
            </w:r>
            <w:r w:rsidR="00D44BCF" w:rsidRPr="007D3270">
              <w:rPr>
                <w:rStyle w:val="Hyperlink"/>
                <w:noProof/>
              </w:rPr>
              <w:t>Imprisonment: period to be served</w:t>
            </w:r>
            <w:r w:rsidR="00D44BCF">
              <w:rPr>
                <w:noProof/>
                <w:webHidden/>
              </w:rPr>
              <w:tab/>
            </w:r>
            <w:r w:rsidR="00D44BCF">
              <w:rPr>
                <w:noProof/>
                <w:webHidden/>
              </w:rPr>
              <w:fldChar w:fldCharType="begin"/>
            </w:r>
            <w:r w:rsidR="00D44BCF">
              <w:rPr>
                <w:noProof/>
                <w:webHidden/>
              </w:rPr>
              <w:instrText xml:space="preserve"> PAGEREF _Toc33602893 \h </w:instrText>
            </w:r>
            <w:r w:rsidR="00D44BCF">
              <w:rPr>
                <w:noProof/>
                <w:webHidden/>
              </w:rPr>
            </w:r>
            <w:r w:rsidR="00D44BCF">
              <w:rPr>
                <w:noProof/>
                <w:webHidden/>
              </w:rPr>
              <w:fldChar w:fldCharType="separate"/>
            </w:r>
            <w:r w:rsidR="00D44BCF">
              <w:rPr>
                <w:noProof/>
                <w:webHidden/>
              </w:rPr>
              <w:t>140</w:t>
            </w:r>
            <w:r w:rsidR="00D44BCF">
              <w:rPr>
                <w:noProof/>
                <w:webHidden/>
              </w:rPr>
              <w:fldChar w:fldCharType="end"/>
            </w:r>
          </w:hyperlink>
        </w:p>
        <w:p w14:paraId="076FD6E1" w14:textId="32B84B89" w:rsidR="00D44BCF" w:rsidRDefault="00F51B89">
          <w:pPr>
            <w:pStyle w:val="TOC3"/>
            <w:tabs>
              <w:tab w:val="left" w:pos="1320"/>
            </w:tabs>
            <w:rPr>
              <w:noProof/>
              <w:lang w:val="en-AU" w:eastAsia="en-AU"/>
            </w:rPr>
          </w:pPr>
          <w:hyperlink w:anchor="_Toc33602894" w:history="1">
            <w:r w:rsidR="00D44BCF" w:rsidRPr="007D3270">
              <w:rPr>
                <w:rStyle w:val="Hyperlink"/>
                <w:noProof/>
              </w:rPr>
              <w:t>5.10.1</w:t>
            </w:r>
            <w:r w:rsidR="00D44BCF">
              <w:rPr>
                <w:noProof/>
                <w:lang w:val="en-AU" w:eastAsia="en-AU"/>
              </w:rPr>
              <w:tab/>
            </w:r>
            <w:r w:rsidR="00D44BCF" w:rsidRPr="007D3270">
              <w:rPr>
                <w:rStyle w:val="Hyperlink"/>
                <w:noProof/>
              </w:rPr>
              <w:t>Determining the length of the period of incarceration</w:t>
            </w:r>
            <w:r w:rsidR="00D44BCF">
              <w:rPr>
                <w:noProof/>
                <w:webHidden/>
              </w:rPr>
              <w:tab/>
            </w:r>
            <w:r w:rsidR="00D44BCF">
              <w:rPr>
                <w:noProof/>
                <w:webHidden/>
              </w:rPr>
              <w:fldChar w:fldCharType="begin"/>
            </w:r>
            <w:r w:rsidR="00D44BCF">
              <w:rPr>
                <w:noProof/>
                <w:webHidden/>
              </w:rPr>
              <w:instrText xml:space="preserve"> PAGEREF _Toc33602894 \h </w:instrText>
            </w:r>
            <w:r w:rsidR="00D44BCF">
              <w:rPr>
                <w:noProof/>
                <w:webHidden/>
              </w:rPr>
            </w:r>
            <w:r w:rsidR="00D44BCF">
              <w:rPr>
                <w:noProof/>
                <w:webHidden/>
              </w:rPr>
              <w:fldChar w:fldCharType="separate"/>
            </w:r>
            <w:r w:rsidR="00D44BCF">
              <w:rPr>
                <w:noProof/>
                <w:webHidden/>
              </w:rPr>
              <w:t>140</w:t>
            </w:r>
            <w:r w:rsidR="00D44BCF">
              <w:rPr>
                <w:noProof/>
                <w:webHidden/>
              </w:rPr>
              <w:fldChar w:fldCharType="end"/>
            </w:r>
          </w:hyperlink>
        </w:p>
        <w:p w14:paraId="68931D4C" w14:textId="68F18613" w:rsidR="00D44BCF" w:rsidRDefault="00F51B89">
          <w:pPr>
            <w:pStyle w:val="TOC3"/>
            <w:tabs>
              <w:tab w:val="left" w:pos="1320"/>
            </w:tabs>
            <w:rPr>
              <w:noProof/>
              <w:lang w:val="en-AU" w:eastAsia="en-AU"/>
            </w:rPr>
          </w:pPr>
          <w:hyperlink w:anchor="_Toc33602895" w:history="1">
            <w:r w:rsidR="00D44BCF" w:rsidRPr="007D3270">
              <w:rPr>
                <w:rStyle w:val="Hyperlink"/>
                <w:noProof/>
              </w:rPr>
              <w:t>5.10.2</w:t>
            </w:r>
            <w:r w:rsidR="00D44BCF">
              <w:rPr>
                <w:noProof/>
                <w:lang w:val="en-AU" w:eastAsia="en-AU"/>
              </w:rPr>
              <w:tab/>
            </w:r>
            <w:r w:rsidR="00D44BCF" w:rsidRPr="007D3270">
              <w:rPr>
                <w:rStyle w:val="Hyperlink"/>
                <w:noProof/>
              </w:rPr>
              <w:t>Credit for pre-sentence detention in relation to period to be served</w:t>
            </w:r>
            <w:r w:rsidR="00D44BCF">
              <w:rPr>
                <w:noProof/>
                <w:webHidden/>
              </w:rPr>
              <w:tab/>
            </w:r>
            <w:r w:rsidR="00D44BCF">
              <w:rPr>
                <w:noProof/>
                <w:webHidden/>
              </w:rPr>
              <w:fldChar w:fldCharType="begin"/>
            </w:r>
            <w:r w:rsidR="00D44BCF">
              <w:rPr>
                <w:noProof/>
                <w:webHidden/>
              </w:rPr>
              <w:instrText xml:space="preserve"> PAGEREF _Toc33602895 \h </w:instrText>
            </w:r>
            <w:r w:rsidR="00D44BCF">
              <w:rPr>
                <w:noProof/>
                <w:webHidden/>
              </w:rPr>
            </w:r>
            <w:r w:rsidR="00D44BCF">
              <w:rPr>
                <w:noProof/>
                <w:webHidden/>
              </w:rPr>
              <w:fldChar w:fldCharType="separate"/>
            </w:r>
            <w:r w:rsidR="00D44BCF">
              <w:rPr>
                <w:noProof/>
                <w:webHidden/>
              </w:rPr>
              <w:t>143</w:t>
            </w:r>
            <w:r w:rsidR="00D44BCF">
              <w:rPr>
                <w:noProof/>
                <w:webHidden/>
              </w:rPr>
              <w:fldChar w:fldCharType="end"/>
            </w:r>
          </w:hyperlink>
        </w:p>
        <w:p w14:paraId="6ED7E936" w14:textId="165F011D" w:rsidR="00D44BCF" w:rsidRDefault="00F51B89">
          <w:pPr>
            <w:pStyle w:val="TOC3"/>
            <w:tabs>
              <w:tab w:val="left" w:pos="1320"/>
            </w:tabs>
            <w:rPr>
              <w:noProof/>
              <w:lang w:val="en-AU" w:eastAsia="en-AU"/>
            </w:rPr>
          </w:pPr>
          <w:hyperlink w:anchor="_Toc33602896" w:history="1">
            <w:r w:rsidR="00D44BCF" w:rsidRPr="007D3270">
              <w:rPr>
                <w:rStyle w:val="Hyperlink"/>
                <w:bCs/>
                <w:noProof/>
              </w:rPr>
              <w:t>5.10.3</w:t>
            </w:r>
            <w:r w:rsidR="00D44BCF">
              <w:rPr>
                <w:noProof/>
                <w:lang w:val="en-AU" w:eastAsia="en-AU"/>
              </w:rPr>
              <w:tab/>
            </w:r>
            <w:r w:rsidR="00D44BCF" w:rsidRPr="007D3270">
              <w:rPr>
                <w:rStyle w:val="Hyperlink"/>
                <w:bCs/>
                <w:noProof/>
              </w:rPr>
              <w:t>The mechanisms for setting the period of imprisonment to be served for a federal offence</w:t>
            </w:r>
            <w:r w:rsidR="00D44BCF">
              <w:rPr>
                <w:noProof/>
                <w:webHidden/>
              </w:rPr>
              <w:tab/>
            </w:r>
            <w:r w:rsidR="00D44BCF">
              <w:rPr>
                <w:noProof/>
                <w:webHidden/>
              </w:rPr>
              <w:fldChar w:fldCharType="begin"/>
            </w:r>
            <w:r w:rsidR="00D44BCF">
              <w:rPr>
                <w:noProof/>
                <w:webHidden/>
              </w:rPr>
              <w:instrText xml:space="preserve"> PAGEREF _Toc33602896 \h </w:instrText>
            </w:r>
            <w:r w:rsidR="00D44BCF">
              <w:rPr>
                <w:noProof/>
                <w:webHidden/>
              </w:rPr>
            </w:r>
            <w:r w:rsidR="00D44BCF">
              <w:rPr>
                <w:noProof/>
                <w:webHidden/>
              </w:rPr>
              <w:fldChar w:fldCharType="separate"/>
            </w:r>
            <w:r w:rsidR="00D44BCF">
              <w:rPr>
                <w:noProof/>
                <w:webHidden/>
              </w:rPr>
              <w:t>143</w:t>
            </w:r>
            <w:r w:rsidR="00D44BCF">
              <w:rPr>
                <w:noProof/>
                <w:webHidden/>
              </w:rPr>
              <w:fldChar w:fldCharType="end"/>
            </w:r>
          </w:hyperlink>
        </w:p>
        <w:p w14:paraId="6C1ABF71" w14:textId="53112F77" w:rsidR="00D44BCF" w:rsidRDefault="00F51B89">
          <w:pPr>
            <w:pStyle w:val="TOC3"/>
            <w:tabs>
              <w:tab w:val="left" w:pos="1320"/>
            </w:tabs>
            <w:rPr>
              <w:noProof/>
              <w:lang w:val="en-AU" w:eastAsia="en-AU"/>
            </w:rPr>
          </w:pPr>
          <w:hyperlink w:anchor="_Toc33602897" w:history="1">
            <w:r w:rsidR="00D44BCF" w:rsidRPr="007D3270">
              <w:rPr>
                <w:rStyle w:val="Hyperlink"/>
                <w:noProof/>
              </w:rPr>
              <w:t>5.10.4</w:t>
            </w:r>
            <w:r w:rsidR="00D44BCF">
              <w:rPr>
                <w:noProof/>
                <w:lang w:val="en-AU" w:eastAsia="en-AU"/>
              </w:rPr>
              <w:tab/>
            </w:r>
            <w:r w:rsidR="00D44BCF" w:rsidRPr="007D3270">
              <w:rPr>
                <w:rStyle w:val="Hyperlink"/>
                <w:noProof/>
              </w:rPr>
              <w:t>Non-parole period (NPP) or recognizance release order (RRO)?</w:t>
            </w:r>
            <w:r w:rsidR="00D44BCF">
              <w:rPr>
                <w:noProof/>
                <w:webHidden/>
              </w:rPr>
              <w:tab/>
            </w:r>
            <w:r w:rsidR="00D44BCF">
              <w:rPr>
                <w:noProof/>
                <w:webHidden/>
              </w:rPr>
              <w:fldChar w:fldCharType="begin"/>
            </w:r>
            <w:r w:rsidR="00D44BCF">
              <w:rPr>
                <w:noProof/>
                <w:webHidden/>
              </w:rPr>
              <w:instrText xml:space="preserve"> PAGEREF _Toc33602897 \h </w:instrText>
            </w:r>
            <w:r w:rsidR="00D44BCF">
              <w:rPr>
                <w:noProof/>
                <w:webHidden/>
              </w:rPr>
            </w:r>
            <w:r w:rsidR="00D44BCF">
              <w:rPr>
                <w:noProof/>
                <w:webHidden/>
              </w:rPr>
              <w:fldChar w:fldCharType="separate"/>
            </w:r>
            <w:r w:rsidR="00D44BCF">
              <w:rPr>
                <w:noProof/>
                <w:webHidden/>
              </w:rPr>
              <w:t>145</w:t>
            </w:r>
            <w:r w:rsidR="00D44BCF">
              <w:rPr>
                <w:noProof/>
                <w:webHidden/>
              </w:rPr>
              <w:fldChar w:fldCharType="end"/>
            </w:r>
          </w:hyperlink>
        </w:p>
        <w:p w14:paraId="592F3195" w14:textId="3222D031" w:rsidR="00D44BCF" w:rsidRDefault="00F51B89">
          <w:pPr>
            <w:pStyle w:val="TOC3"/>
            <w:tabs>
              <w:tab w:val="left" w:pos="1320"/>
            </w:tabs>
            <w:rPr>
              <w:noProof/>
              <w:lang w:val="en-AU" w:eastAsia="en-AU"/>
            </w:rPr>
          </w:pPr>
          <w:hyperlink w:anchor="_Toc33602898" w:history="1">
            <w:r w:rsidR="00D44BCF" w:rsidRPr="007D3270">
              <w:rPr>
                <w:rStyle w:val="Hyperlink"/>
                <w:noProof/>
              </w:rPr>
              <w:t>5.10.5</w:t>
            </w:r>
            <w:r w:rsidR="00D44BCF">
              <w:rPr>
                <w:noProof/>
                <w:lang w:val="en-AU" w:eastAsia="en-AU"/>
              </w:rPr>
              <w:tab/>
            </w:r>
            <w:r w:rsidR="00D44BCF" w:rsidRPr="007D3270">
              <w:rPr>
                <w:rStyle w:val="Hyperlink"/>
                <w:noProof/>
              </w:rPr>
              <w:t>Where federal offender is not undergoing a federal term of imprisonment: NPP, RRO or straight sentence</w:t>
            </w:r>
            <w:r w:rsidR="00D44BCF">
              <w:rPr>
                <w:noProof/>
                <w:webHidden/>
              </w:rPr>
              <w:tab/>
            </w:r>
            <w:r w:rsidR="00D44BCF">
              <w:rPr>
                <w:noProof/>
                <w:webHidden/>
              </w:rPr>
              <w:fldChar w:fldCharType="begin"/>
            </w:r>
            <w:r w:rsidR="00D44BCF">
              <w:rPr>
                <w:noProof/>
                <w:webHidden/>
              </w:rPr>
              <w:instrText xml:space="preserve"> PAGEREF _Toc33602898 \h </w:instrText>
            </w:r>
            <w:r w:rsidR="00D44BCF">
              <w:rPr>
                <w:noProof/>
                <w:webHidden/>
              </w:rPr>
            </w:r>
            <w:r w:rsidR="00D44BCF">
              <w:rPr>
                <w:noProof/>
                <w:webHidden/>
              </w:rPr>
              <w:fldChar w:fldCharType="separate"/>
            </w:r>
            <w:r w:rsidR="00D44BCF">
              <w:rPr>
                <w:noProof/>
                <w:webHidden/>
              </w:rPr>
              <w:t>149</w:t>
            </w:r>
            <w:r w:rsidR="00D44BCF">
              <w:rPr>
                <w:noProof/>
                <w:webHidden/>
              </w:rPr>
              <w:fldChar w:fldCharType="end"/>
            </w:r>
          </w:hyperlink>
        </w:p>
        <w:p w14:paraId="028E11C0" w14:textId="3CBE54D6" w:rsidR="00D44BCF" w:rsidRDefault="00F51B89">
          <w:pPr>
            <w:pStyle w:val="TOC3"/>
            <w:tabs>
              <w:tab w:val="left" w:pos="1320"/>
            </w:tabs>
            <w:rPr>
              <w:noProof/>
              <w:lang w:val="en-AU" w:eastAsia="en-AU"/>
            </w:rPr>
          </w:pPr>
          <w:hyperlink w:anchor="_Toc33602899" w:history="1">
            <w:r w:rsidR="00D44BCF" w:rsidRPr="007D3270">
              <w:rPr>
                <w:rStyle w:val="Hyperlink"/>
                <w:noProof/>
              </w:rPr>
              <w:t>5.10.6</w:t>
            </w:r>
            <w:r w:rsidR="00D44BCF">
              <w:rPr>
                <w:noProof/>
                <w:lang w:val="en-AU" w:eastAsia="en-AU"/>
              </w:rPr>
              <w:tab/>
            </w:r>
            <w:r w:rsidR="00D44BCF" w:rsidRPr="007D3270">
              <w:rPr>
                <w:rStyle w:val="Hyperlink"/>
                <w:noProof/>
              </w:rPr>
              <w:t>Where the offender is already undergoing a federal term of imprisonment: NPP, RRO or straight sentence</w:t>
            </w:r>
            <w:r w:rsidR="00D44BCF">
              <w:rPr>
                <w:noProof/>
                <w:webHidden/>
              </w:rPr>
              <w:tab/>
            </w:r>
            <w:r w:rsidR="00D44BCF">
              <w:rPr>
                <w:noProof/>
                <w:webHidden/>
              </w:rPr>
              <w:fldChar w:fldCharType="begin"/>
            </w:r>
            <w:r w:rsidR="00D44BCF">
              <w:rPr>
                <w:noProof/>
                <w:webHidden/>
              </w:rPr>
              <w:instrText xml:space="preserve"> PAGEREF _Toc33602899 \h </w:instrText>
            </w:r>
            <w:r w:rsidR="00D44BCF">
              <w:rPr>
                <w:noProof/>
                <w:webHidden/>
              </w:rPr>
            </w:r>
            <w:r w:rsidR="00D44BCF">
              <w:rPr>
                <w:noProof/>
                <w:webHidden/>
              </w:rPr>
              <w:fldChar w:fldCharType="separate"/>
            </w:r>
            <w:r w:rsidR="00D44BCF">
              <w:rPr>
                <w:noProof/>
                <w:webHidden/>
              </w:rPr>
              <w:t>151</w:t>
            </w:r>
            <w:r w:rsidR="00D44BCF">
              <w:rPr>
                <w:noProof/>
                <w:webHidden/>
              </w:rPr>
              <w:fldChar w:fldCharType="end"/>
            </w:r>
          </w:hyperlink>
        </w:p>
        <w:p w14:paraId="1F4BA674" w14:textId="638A9B1B" w:rsidR="00D44BCF" w:rsidRDefault="00F51B89">
          <w:pPr>
            <w:pStyle w:val="TOC3"/>
            <w:tabs>
              <w:tab w:val="left" w:pos="1320"/>
            </w:tabs>
            <w:rPr>
              <w:noProof/>
              <w:lang w:val="en-AU" w:eastAsia="en-AU"/>
            </w:rPr>
          </w:pPr>
          <w:hyperlink w:anchor="_Toc33602900" w:history="1">
            <w:r w:rsidR="00D44BCF" w:rsidRPr="007D3270">
              <w:rPr>
                <w:rStyle w:val="Hyperlink"/>
                <w:noProof/>
              </w:rPr>
              <w:t>5.10.7</w:t>
            </w:r>
            <w:r w:rsidR="00D44BCF">
              <w:rPr>
                <w:noProof/>
                <w:lang w:val="en-AU" w:eastAsia="en-AU"/>
              </w:rPr>
              <w:tab/>
            </w:r>
            <w:r w:rsidR="00D44BCF" w:rsidRPr="007D3270">
              <w:rPr>
                <w:rStyle w:val="Hyperlink"/>
                <w:noProof/>
              </w:rPr>
              <w:t>Correction of error in fixing NPP/RRO</w:t>
            </w:r>
            <w:r w:rsidR="00D44BCF">
              <w:rPr>
                <w:noProof/>
                <w:webHidden/>
              </w:rPr>
              <w:tab/>
            </w:r>
            <w:r w:rsidR="00D44BCF">
              <w:rPr>
                <w:noProof/>
                <w:webHidden/>
              </w:rPr>
              <w:fldChar w:fldCharType="begin"/>
            </w:r>
            <w:r w:rsidR="00D44BCF">
              <w:rPr>
                <w:noProof/>
                <w:webHidden/>
              </w:rPr>
              <w:instrText xml:space="preserve"> PAGEREF _Toc33602900 \h </w:instrText>
            </w:r>
            <w:r w:rsidR="00D44BCF">
              <w:rPr>
                <w:noProof/>
                <w:webHidden/>
              </w:rPr>
            </w:r>
            <w:r w:rsidR="00D44BCF">
              <w:rPr>
                <w:noProof/>
                <w:webHidden/>
              </w:rPr>
              <w:fldChar w:fldCharType="separate"/>
            </w:r>
            <w:r w:rsidR="00D44BCF">
              <w:rPr>
                <w:noProof/>
                <w:webHidden/>
              </w:rPr>
              <w:t>153</w:t>
            </w:r>
            <w:r w:rsidR="00D44BCF">
              <w:rPr>
                <w:noProof/>
                <w:webHidden/>
              </w:rPr>
              <w:fldChar w:fldCharType="end"/>
            </w:r>
          </w:hyperlink>
        </w:p>
        <w:p w14:paraId="343D705C" w14:textId="579E1DED" w:rsidR="00D44BCF" w:rsidRDefault="00F51B89">
          <w:pPr>
            <w:pStyle w:val="TOC3"/>
            <w:tabs>
              <w:tab w:val="left" w:pos="1320"/>
            </w:tabs>
            <w:rPr>
              <w:noProof/>
              <w:lang w:val="en-AU" w:eastAsia="en-AU"/>
            </w:rPr>
          </w:pPr>
          <w:hyperlink w:anchor="_Toc33602901" w:history="1">
            <w:r w:rsidR="00D44BCF" w:rsidRPr="007D3270">
              <w:rPr>
                <w:rStyle w:val="Hyperlink"/>
                <w:noProof/>
              </w:rPr>
              <w:t>5.10.8</w:t>
            </w:r>
            <w:r w:rsidR="00D44BCF">
              <w:rPr>
                <w:noProof/>
                <w:lang w:val="en-AU" w:eastAsia="en-AU"/>
              </w:rPr>
              <w:tab/>
            </w:r>
            <w:r w:rsidR="00D44BCF" w:rsidRPr="007D3270">
              <w:rPr>
                <w:rStyle w:val="Hyperlink"/>
                <w:noProof/>
              </w:rPr>
              <w:t>Discretion to decline to fix a NPP or RRO (straight sentence)</w:t>
            </w:r>
            <w:r w:rsidR="00D44BCF">
              <w:rPr>
                <w:noProof/>
                <w:webHidden/>
              </w:rPr>
              <w:tab/>
            </w:r>
            <w:r w:rsidR="00D44BCF">
              <w:rPr>
                <w:noProof/>
                <w:webHidden/>
              </w:rPr>
              <w:fldChar w:fldCharType="begin"/>
            </w:r>
            <w:r w:rsidR="00D44BCF">
              <w:rPr>
                <w:noProof/>
                <w:webHidden/>
              </w:rPr>
              <w:instrText xml:space="preserve"> PAGEREF _Toc33602901 \h </w:instrText>
            </w:r>
            <w:r w:rsidR="00D44BCF">
              <w:rPr>
                <w:noProof/>
                <w:webHidden/>
              </w:rPr>
            </w:r>
            <w:r w:rsidR="00D44BCF">
              <w:rPr>
                <w:noProof/>
                <w:webHidden/>
              </w:rPr>
              <w:fldChar w:fldCharType="separate"/>
            </w:r>
            <w:r w:rsidR="00D44BCF">
              <w:rPr>
                <w:noProof/>
                <w:webHidden/>
              </w:rPr>
              <w:t>154</w:t>
            </w:r>
            <w:r w:rsidR="00D44BCF">
              <w:rPr>
                <w:noProof/>
                <w:webHidden/>
              </w:rPr>
              <w:fldChar w:fldCharType="end"/>
            </w:r>
          </w:hyperlink>
        </w:p>
        <w:p w14:paraId="340C3717" w14:textId="5E587D52" w:rsidR="00D44BCF" w:rsidRDefault="00F51B89">
          <w:pPr>
            <w:pStyle w:val="TOC3"/>
            <w:tabs>
              <w:tab w:val="left" w:pos="1320"/>
            </w:tabs>
            <w:rPr>
              <w:noProof/>
              <w:lang w:val="en-AU" w:eastAsia="en-AU"/>
            </w:rPr>
          </w:pPr>
          <w:hyperlink w:anchor="_Toc33602902" w:history="1">
            <w:r w:rsidR="00D44BCF" w:rsidRPr="007D3270">
              <w:rPr>
                <w:rStyle w:val="Hyperlink"/>
                <w:noProof/>
              </w:rPr>
              <w:t>5.10.9</w:t>
            </w:r>
            <w:r w:rsidR="00D44BCF">
              <w:rPr>
                <w:noProof/>
                <w:lang w:val="en-AU" w:eastAsia="en-AU"/>
              </w:rPr>
              <w:tab/>
            </w:r>
            <w:r w:rsidR="00D44BCF" w:rsidRPr="007D3270">
              <w:rPr>
                <w:rStyle w:val="Hyperlink"/>
                <w:noProof/>
              </w:rPr>
              <w:t>The three-quarters rule in fixing a NPP for certain national security offences</w:t>
            </w:r>
            <w:r w:rsidR="00D44BCF">
              <w:rPr>
                <w:noProof/>
                <w:webHidden/>
              </w:rPr>
              <w:tab/>
            </w:r>
            <w:r w:rsidR="00D44BCF">
              <w:rPr>
                <w:noProof/>
                <w:webHidden/>
              </w:rPr>
              <w:fldChar w:fldCharType="begin"/>
            </w:r>
            <w:r w:rsidR="00D44BCF">
              <w:rPr>
                <w:noProof/>
                <w:webHidden/>
              </w:rPr>
              <w:instrText xml:space="preserve"> PAGEREF _Toc33602902 \h </w:instrText>
            </w:r>
            <w:r w:rsidR="00D44BCF">
              <w:rPr>
                <w:noProof/>
                <w:webHidden/>
              </w:rPr>
            </w:r>
            <w:r w:rsidR="00D44BCF">
              <w:rPr>
                <w:noProof/>
                <w:webHidden/>
              </w:rPr>
              <w:fldChar w:fldCharType="separate"/>
            </w:r>
            <w:r w:rsidR="00D44BCF">
              <w:rPr>
                <w:noProof/>
                <w:webHidden/>
              </w:rPr>
              <w:t>156</w:t>
            </w:r>
            <w:r w:rsidR="00D44BCF">
              <w:rPr>
                <w:noProof/>
                <w:webHidden/>
              </w:rPr>
              <w:fldChar w:fldCharType="end"/>
            </w:r>
          </w:hyperlink>
        </w:p>
        <w:p w14:paraId="53AA33A3" w14:textId="01E8AC8E" w:rsidR="00D44BCF" w:rsidRDefault="00F51B89">
          <w:pPr>
            <w:pStyle w:val="TOC3"/>
            <w:tabs>
              <w:tab w:val="left" w:pos="1540"/>
            </w:tabs>
            <w:rPr>
              <w:noProof/>
              <w:lang w:val="en-AU" w:eastAsia="en-AU"/>
            </w:rPr>
          </w:pPr>
          <w:hyperlink w:anchor="_Toc33602903" w:history="1">
            <w:r w:rsidR="00D44BCF" w:rsidRPr="007D3270">
              <w:rPr>
                <w:rStyle w:val="Hyperlink"/>
                <w:noProof/>
              </w:rPr>
              <w:t>5.10.10</w:t>
            </w:r>
            <w:r w:rsidR="00D44BCF">
              <w:rPr>
                <w:noProof/>
                <w:lang w:val="en-AU" w:eastAsia="en-AU"/>
              </w:rPr>
              <w:tab/>
            </w:r>
            <w:r w:rsidR="00D44BCF" w:rsidRPr="007D3270">
              <w:rPr>
                <w:rStyle w:val="Hyperlink"/>
                <w:noProof/>
              </w:rPr>
              <w:t>No power to fix a single NPP for both federal and State/Territory offences</w:t>
            </w:r>
            <w:r w:rsidR="00D44BCF">
              <w:rPr>
                <w:noProof/>
                <w:webHidden/>
              </w:rPr>
              <w:tab/>
            </w:r>
            <w:r w:rsidR="00D44BCF">
              <w:rPr>
                <w:noProof/>
                <w:webHidden/>
              </w:rPr>
              <w:fldChar w:fldCharType="begin"/>
            </w:r>
            <w:r w:rsidR="00D44BCF">
              <w:rPr>
                <w:noProof/>
                <w:webHidden/>
              </w:rPr>
              <w:instrText xml:space="preserve"> PAGEREF _Toc33602903 \h </w:instrText>
            </w:r>
            <w:r w:rsidR="00D44BCF">
              <w:rPr>
                <w:noProof/>
                <w:webHidden/>
              </w:rPr>
            </w:r>
            <w:r w:rsidR="00D44BCF">
              <w:rPr>
                <w:noProof/>
                <w:webHidden/>
              </w:rPr>
              <w:fldChar w:fldCharType="separate"/>
            </w:r>
            <w:r w:rsidR="00D44BCF">
              <w:rPr>
                <w:noProof/>
                <w:webHidden/>
              </w:rPr>
              <w:t>157</w:t>
            </w:r>
            <w:r w:rsidR="00D44BCF">
              <w:rPr>
                <w:noProof/>
                <w:webHidden/>
              </w:rPr>
              <w:fldChar w:fldCharType="end"/>
            </w:r>
          </w:hyperlink>
        </w:p>
        <w:p w14:paraId="438BDC97" w14:textId="60B71467" w:rsidR="00D44BCF" w:rsidRDefault="00F51B89">
          <w:pPr>
            <w:pStyle w:val="TOC3"/>
            <w:tabs>
              <w:tab w:val="left" w:pos="1540"/>
            </w:tabs>
            <w:rPr>
              <w:noProof/>
              <w:lang w:val="en-AU" w:eastAsia="en-AU"/>
            </w:rPr>
          </w:pPr>
          <w:hyperlink w:anchor="_Toc33602904" w:history="1">
            <w:r w:rsidR="00D44BCF" w:rsidRPr="007D3270">
              <w:rPr>
                <w:rStyle w:val="Hyperlink"/>
                <w:noProof/>
              </w:rPr>
              <w:t>5.10.11</w:t>
            </w:r>
            <w:r w:rsidR="00D44BCF">
              <w:rPr>
                <w:noProof/>
                <w:lang w:val="en-AU" w:eastAsia="en-AU"/>
              </w:rPr>
              <w:tab/>
            </w:r>
            <w:r w:rsidR="00D44BCF" w:rsidRPr="007D3270">
              <w:rPr>
                <w:rStyle w:val="Hyperlink"/>
                <w:noProof/>
              </w:rPr>
              <w:t>Obligation on court to explain NPP</w:t>
            </w:r>
            <w:r w:rsidR="00D44BCF">
              <w:rPr>
                <w:noProof/>
                <w:webHidden/>
              </w:rPr>
              <w:tab/>
            </w:r>
            <w:r w:rsidR="00D44BCF">
              <w:rPr>
                <w:noProof/>
                <w:webHidden/>
              </w:rPr>
              <w:fldChar w:fldCharType="begin"/>
            </w:r>
            <w:r w:rsidR="00D44BCF">
              <w:rPr>
                <w:noProof/>
                <w:webHidden/>
              </w:rPr>
              <w:instrText xml:space="preserve"> PAGEREF _Toc33602904 \h </w:instrText>
            </w:r>
            <w:r w:rsidR="00D44BCF">
              <w:rPr>
                <w:noProof/>
                <w:webHidden/>
              </w:rPr>
            </w:r>
            <w:r w:rsidR="00D44BCF">
              <w:rPr>
                <w:noProof/>
                <w:webHidden/>
              </w:rPr>
              <w:fldChar w:fldCharType="separate"/>
            </w:r>
            <w:r w:rsidR="00D44BCF">
              <w:rPr>
                <w:noProof/>
                <w:webHidden/>
              </w:rPr>
              <w:t>158</w:t>
            </w:r>
            <w:r w:rsidR="00D44BCF">
              <w:rPr>
                <w:noProof/>
                <w:webHidden/>
              </w:rPr>
              <w:fldChar w:fldCharType="end"/>
            </w:r>
          </w:hyperlink>
        </w:p>
        <w:p w14:paraId="679A67AB" w14:textId="7BFF9E3E" w:rsidR="00D44BCF" w:rsidRDefault="00F51B89">
          <w:pPr>
            <w:pStyle w:val="TOC3"/>
            <w:tabs>
              <w:tab w:val="left" w:pos="1540"/>
            </w:tabs>
            <w:rPr>
              <w:noProof/>
              <w:lang w:val="en-AU" w:eastAsia="en-AU"/>
            </w:rPr>
          </w:pPr>
          <w:hyperlink w:anchor="_Toc33602905" w:history="1">
            <w:r w:rsidR="00D44BCF" w:rsidRPr="007D3270">
              <w:rPr>
                <w:rStyle w:val="Hyperlink"/>
                <w:noProof/>
              </w:rPr>
              <w:t>5.10.12</w:t>
            </w:r>
            <w:r w:rsidR="00D44BCF">
              <w:rPr>
                <w:noProof/>
                <w:lang w:val="en-AU" w:eastAsia="en-AU"/>
              </w:rPr>
              <w:tab/>
            </w:r>
            <w:r w:rsidR="00D44BCF" w:rsidRPr="007D3270">
              <w:rPr>
                <w:rStyle w:val="Hyperlink"/>
                <w:noProof/>
              </w:rPr>
              <w:t xml:space="preserve">Immediate release under RRO – </w:t>
            </w:r>
            <w:r w:rsidR="00D44BCF" w:rsidRPr="007D3270">
              <w:rPr>
                <w:rStyle w:val="Hyperlink"/>
                <w:i/>
                <w:noProof/>
              </w:rPr>
              <w:t>Crimes Act 1914</w:t>
            </w:r>
            <w:r w:rsidR="00D44BCF" w:rsidRPr="007D3270">
              <w:rPr>
                <w:rStyle w:val="Hyperlink"/>
                <w:noProof/>
              </w:rPr>
              <w:t>, s 20(1)(b)</w:t>
            </w:r>
            <w:r w:rsidR="00D44BCF">
              <w:rPr>
                <w:noProof/>
                <w:webHidden/>
              </w:rPr>
              <w:tab/>
            </w:r>
            <w:r w:rsidR="00D44BCF">
              <w:rPr>
                <w:noProof/>
                <w:webHidden/>
              </w:rPr>
              <w:fldChar w:fldCharType="begin"/>
            </w:r>
            <w:r w:rsidR="00D44BCF">
              <w:rPr>
                <w:noProof/>
                <w:webHidden/>
              </w:rPr>
              <w:instrText xml:space="preserve"> PAGEREF _Toc33602905 \h </w:instrText>
            </w:r>
            <w:r w:rsidR="00D44BCF">
              <w:rPr>
                <w:noProof/>
                <w:webHidden/>
              </w:rPr>
            </w:r>
            <w:r w:rsidR="00D44BCF">
              <w:rPr>
                <w:noProof/>
                <w:webHidden/>
              </w:rPr>
              <w:fldChar w:fldCharType="separate"/>
            </w:r>
            <w:r w:rsidR="00D44BCF">
              <w:rPr>
                <w:noProof/>
                <w:webHidden/>
              </w:rPr>
              <w:t>158</w:t>
            </w:r>
            <w:r w:rsidR="00D44BCF">
              <w:rPr>
                <w:noProof/>
                <w:webHidden/>
              </w:rPr>
              <w:fldChar w:fldCharType="end"/>
            </w:r>
          </w:hyperlink>
        </w:p>
        <w:p w14:paraId="2987EAA8" w14:textId="5FC5E5A1" w:rsidR="00D44BCF" w:rsidRDefault="00F51B89">
          <w:pPr>
            <w:pStyle w:val="TOC3"/>
            <w:tabs>
              <w:tab w:val="left" w:pos="1540"/>
            </w:tabs>
            <w:rPr>
              <w:noProof/>
              <w:lang w:val="en-AU" w:eastAsia="en-AU"/>
            </w:rPr>
          </w:pPr>
          <w:hyperlink w:anchor="_Toc33602906" w:history="1">
            <w:r w:rsidR="00D44BCF" w:rsidRPr="007D3270">
              <w:rPr>
                <w:rStyle w:val="Hyperlink"/>
                <w:noProof/>
              </w:rPr>
              <w:t>5.10.13</w:t>
            </w:r>
            <w:r w:rsidR="00D44BCF">
              <w:rPr>
                <w:noProof/>
                <w:lang w:val="en-AU" w:eastAsia="en-AU"/>
              </w:rPr>
              <w:tab/>
            </w:r>
            <w:r w:rsidR="00D44BCF" w:rsidRPr="007D3270">
              <w:rPr>
                <w:rStyle w:val="Hyperlink"/>
                <w:noProof/>
              </w:rPr>
              <w:t>Form of RRO</w:t>
            </w:r>
            <w:r w:rsidR="00D44BCF">
              <w:rPr>
                <w:noProof/>
                <w:webHidden/>
              </w:rPr>
              <w:tab/>
            </w:r>
            <w:r w:rsidR="00D44BCF">
              <w:rPr>
                <w:noProof/>
                <w:webHidden/>
              </w:rPr>
              <w:fldChar w:fldCharType="begin"/>
            </w:r>
            <w:r w:rsidR="00D44BCF">
              <w:rPr>
                <w:noProof/>
                <w:webHidden/>
              </w:rPr>
              <w:instrText xml:space="preserve"> PAGEREF _Toc33602906 \h </w:instrText>
            </w:r>
            <w:r w:rsidR="00D44BCF">
              <w:rPr>
                <w:noProof/>
                <w:webHidden/>
              </w:rPr>
            </w:r>
            <w:r w:rsidR="00D44BCF">
              <w:rPr>
                <w:noProof/>
                <w:webHidden/>
              </w:rPr>
              <w:fldChar w:fldCharType="separate"/>
            </w:r>
            <w:r w:rsidR="00D44BCF">
              <w:rPr>
                <w:noProof/>
                <w:webHidden/>
              </w:rPr>
              <w:t>159</w:t>
            </w:r>
            <w:r w:rsidR="00D44BCF">
              <w:rPr>
                <w:noProof/>
                <w:webHidden/>
              </w:rPr>
              <w:fldChar w:fldCharType="end"/>
            </w:r>
          </w:hyperlink>
        </w:p>
        <w:p w14:paraId="5E41F935" w14:textId="215EC62A" w:rsidR="00D44BCF" w:rsidRDefault="00F51B89">
          <w:pPr>
            <w:pStyle w:val="TOC3"/>
            <w:tabs>
              <w:tab w:val="left" w:pos="1540"/>
            </w:tabs>
            <w:rPr>
              <w:noProof/>
              <w:lang w:val="en-AU" w:eastAsia="en-AU"/>
            </w:rPr>
          </w:pPr>
          <w:hyperlink w:anchor="_Toc33602907" w:history="1">
            <w:r w:rsidR="00D44BCF" w:rsidRPr="007D3270">
              <w:rPr>
                <w:rStyle w:val="Hyperlink"/>
                <w:noProof/>
              </w:rPr>
              <w:t>5.10.14</w:t>
            </w:r>
            <w:r w:rsidR="00D44BCF">
              <w:rPr>
                <w:noProof/>
                <w:lang w:val="en-AU" w:eastAsia="en-AU"/>
              </w:rPr>
              <w:tab/>
            </w:r>
            <w:r w:rsidR="00D44BCF" w:rsidRPr="007D3270">
              <w:rPr>
                <w:rStyle w:val="Hyperlink"/>
                <w:noProof/>
              </w:rPr>
              <w:t>Single or multiple RROs for federal offences?</w:t>
            </w:r>
            <w:r w:rsidR="00D44BCF">
              <w:rPr>
                <w:noProof/>
                <w:webHidden/>
              </w:rPr>
              <w:tab/>
            </w:r>
            <w:r w:rsidR="00D44BCF">
              <w:rPr>
                <w:noProof/>
                <w:webHidden/>
              </w:rPr>
              <w:fldChar w:fldCharType="begin"/>
            </w:r>
            <w:r w:rsidR="00D44BCF">
              <w:rPr>
                <w:noProof/>
                <w:webHidden/>
              </w:rPr>
              <w:instrText xml:space="preserve"> PAGEREF _Toc33602907 \h </w:instrText>
            </w:r>
            <w:r w:rsidR="00D44BCF">
              <w:rPr>
                <w:noProof/>
                <w:webHidden/>
              </w:rPr>
            </w:r>
            <w:r w:rsidR="00D44BCF">
              <w:rPr>
                <w:noProof/>
                <w:webHidden/>
              </w:rPr>
              <w:fldChar w:fldCharType="separate"/>
            </w:r>
            <w:r w:rsidR="00D44BCF">
              <w:rPr>
                <w:noProof/>
                <w:webHidden/>
              </w:rPr>
              <w:t>159</w:t>
            </w:r>
            <w:r w:rsidR="00D44BCF">
              <w:rPr>
                <w:noProof/>
                <w:webHidden/>
              </w:rPr>
              <w:fldChar w:fldCharType="end"/>
            </w:r>
          </w:hyperlink>
        </w:p>
        <w:p w14:paraId="24025FB7" w14:textId="34691448" w:rsidR="00D44BCF" w:rsidRDefault="00F51B89">
          <w:pPr>
            <w:pStyle w:val="TOC3"/>
            <w:tabs>
              <w:tab w:val="left" w:pos="1540"/>
            </w:tabs>
            <w:rPr>
              <w:noProof/>
              <w:lang w:val="en-AU" w:eastAsia="en-AU"/>
            </w:rPr>
          </w:pPr>
          <w:hyperlink w:anchor="_Toc33602908" w:history="1">
            <w:r w:rsidR="00D44BCF" w:rsidRPr="007D3270">
              <w:rPr>
                <w:rStyle w:val="Hyperlink"/>
                <w:noProof/>
              </w:rPr>
              <w:t>5.10.15</w:t>
            </w:r>
            <w:r w:rsidR="00D44BCF">
              <w:rPr>
                <w:noProof/>
                <w:lang w:val="en-AU" w:eastAsia="en-AU"/>
              </w:rPr>
              <w:tab/>
            </w:r>
            <w:r w:rsidR="00D44BCF" w:rsidRPr="007D3270">
              <w:rPr>
                <w:rStyle w:val="Hyperlink"/>
                <w:noProof/>
              </w:rPr>
              <w:t>Duration of pre-release period of a RRO</w:t>
            </w:r>
            <w:r w:rsidR="00D44BCF">
              <w:rPr>
                <w:noProof/>
                <w:webHidden/>
              </w:rPr>
              <w:tab/>
            </w:r>
            <w:r w:rsidR="00D44BCF">
              <w:rPr>
                <w:noProof/>
                <w:webHidden/>
              </w:rPr>
              <w:fldChar w:fldCharType="begin"/>
            </w:r>
            <w:r w:rsidR="00D44BCF">
              <w:rPr>
                <w:noProof/>
                <w:webHidden/>
              </w:rPr>
              <w:instrText xml:space="preserve"> PAGEREF _Toc33602908 \h </w:instrText>
            </w:r>
            <w:r w:rsidR="00D44BCF">
              <w:rPr>
                <w:noProof/>
                <w:webHidden/>
              </w:rPr>
            </w:r>
            <w:r w:rsidR="00D44BCF">
              <w:rPr>
                <w:noProof/>
                <w:webHidden/>
              </w:rPr>
              <w:fldChar w:fldCharType="separate"/>
            </w:r>
            <w:r w:rsidR="00D44BCF">
              <w:rPr>
                <w:noProof/>
                <w:webHidden/>
              </w:rPr>
              <w:t>160</w:t>
            </w:r>
            <w:r w:rsidR="00D44BCF">
              <w:rPr>
                <w:noProof/>
                <w:webHidden/>
              </w:rPr>
              <w:fldChar w:fldCharType="end"/>
            </w:r>
          </w:hyperlink>
        </w:p>
        <w:p w14:paraId="0A1EB3D2" w14:textId="325B21C5" w:rsidR="00D44BCF" w:rsidRDefault="00F51B89">
          <w:pPr>
            <w:pStyle w:val="TOC3"/>
            <w:tabs>
              <w:tab w:val="left" w:pos="1540"/>
            </w:tabs>
            <w:rPr>
              <w:noProof/>
              <w:lang w:val="en-AU" w:eastAsia="en-AU"/>
            </w:rPr>
          </w:pPr>
          <w:hyperlink w:anchor="_Toc33602909" w:history="1">
            <w:r w:rsidR="00D44BCF" w:rsidRPr="007D3270">
              <w:rPr>
                <w:rStyle w:val="Hyperlink"/>
                <w:noProof/>
              </w:rPr>
              <w:t>5.10.16</w:t>
            </w:r>
            <w:r w:rsidR="00D44BCF">
              <w:rPr>
                <w:noProof/>
                <w:lang w:val="en-AU" w:eastAsia="en-AU"/>
              </w:rPr>
              <w:tab/>
            </w:r>
            <w:r w:rsidR="00D44BCF" w:rsidRPr="007D3270">
              <w:rPr>
                <w:rStyle w:val="Hyperlink"/>
                <w:noProof/>
              </w:rPr>
              <w:t>Maximum length of the recognizance under a RRO</w:t>
            </w:r>
            <w:r w:rsidR="00D44BCF">
              <w:rPr>
                <w:noProof/>
                <w:webHidden/>
              </w:rPr>
              <w:tab/>
            </w:r>
            <w:r w:rsidR="00D44BCF">
              <w:rPr>
                <w:noProof/>
                <w:webHidden/>
              </w:rPr>
              <w:fldChar w:fldCharType="begin"/>
            </w:r>
            <w:r w:rsidR="00D44BCF">
              <w:rPr>
                <w:noProof/>
                <w:webHidden/>
              </w:rPr>
              <w:instrText xml:space="preserve"> PAGEREF _Toc33602909 \h </w:instrText>
            </w:r>
            <w:r w:rsidR="00D44BCF">
              <w:rPr>
                <w:noProof/>
                <w:webHidden/>
              </w:rPr>
            </w:r>
            <w:r w:rsidR="00D44BCF">
              <w:rPr>
                <w:noProof/>
                <w:webHidden/>
              </w:rPr>
              <w:fldChar w:fldCharType="separate"/>
            </w:r>
            <w:r w:rsidR="00D44BCF">
              <w:rPr>
                <w:noProof/>
                <w:webHidden/>
              </w:rPr>
              <w:t>160</w:t>
            </w:r>
            <w:r w:rsidR="00D44BCF">
              <w:rPr>
                <w:noProof/>
                <w:webHidden/>
              </w:rPr>
              <w:fldChar w:fldCharType="end"/>
            </w:r>
          </w:hyperlink>
        </w:p>
        <w:p w14:paraId="56E52594" w14:textId="7696C3AF" w:rsidR="00D44BCF" w:rsidRDefault="00F51B89">
          <w:pPr>
            <w:pStyle w:val="TOC3"/>
            <w:tabs>
              <w:tab w:val="left" w:pos="1540"/>
            </w:tabs>
            <w:rPr>
              <w:noProof/>
              <w:lang w:val="en-AU" w:eastAsia="en-AU"/>
            </w:rPr>
          </w:pPr>
          <w:hyperlink w:anchor="_Toc33602910" w:history="1">
            <w:r w:rsidR="00D44BCF" w:rsidRPr="007D3270">
              <w:rPr>
                <w:rStyle w:val="Hyperlink"/>
                <w:noProof/>
              </w:rPr>
              <w:t>5.10.17</w:t>
            </w:r>
            <w:r w:rsidR="00D44BCF">
              <w:rPr>
                <w:noProof/>
                <w:lang w:val="en-AU" w:eastAsia="en-AU"/>
              </w:rPr>
              <w:tab/>
            </w:r>
            <w:r w:rsidR="00D44BCF" w:rsidRPr="007D3270">
              <w:rPr>
                <w:rStyle w:val="Hyperlink"/>
                <w:noProof/>
              </w:rPr>
              <w:t>Conditions which may be imposed under a RRO</w:t>
            </w:r>
            <w:r w:rsidR="00D44BCF">
              <w:rPr>
                <w:noProof/>
                <w:webHidden/>
              </w:rPr>
              <w:tab/>
            </w:r>
            <w:r w:rsidR="00D44BCF">
              <w:rPr>
                <w:noProof/>
                <w:webHidden/>
              </w:rPr>
              <w:fldChar w:fldCharType="begin"/>
            </w:r>
            <w:r w:rsidR="00D44BCF">
              <w:rPr>
                <w:noProof/>
                <w:webHidden/>
              </w:rPr>
              <w:instrText xml:space="preserve"> PAGEREF _Toc33602910 \h </w:instrText>
            </w:r>
            <w:r w:rsidR="00D44BCF">
              <w:rPr>
                <w:noProof/>
                <w:webHidden/>
              </w:rPr>
            </w:r>
            <w:r w:rsidR="00D44BCF">
              <w:rPr>
                <w:noProof/>
                <w:webHidden/>
              </w:rPr>
              <w:fldChar w:fldCharType="separate"/>
            </w:r>
            <w:r w:rsidR="00D44BCF">
              <w:rPr>
                <w:noProof/>
                <w:webHidden/>
              </w:rPr>
              <w:t>161</w:t>
            </w:r>
            <w:r w:rsidR="00D44BCF">
              <w:rPr>
                <w:noProof/>
                <w:webHidden/>
              </w:rPr>
              <w:fldChar w:fldCharType="end"/>
            </w:r>
          </w:hyperlink>
        </w:p>
        <w:p w14:paraId="2FDF71A3" w14:textId="47A7F444" w:rsidR="00D44BCF" w:rsidRDefault="00F51B89">
          <w:pPr>
            <w:pStyle w:val="TOC3"/>
            <w:tabs>
              <w:tab w:val="left" w:pos="1540"/>
            </w:tabs>
            <w:rPr>
              <w:noProof/>
              <w:lang w:val="en-AU" w:eastAsia="en-AU"/>
            </w:rPr>
          </w:pPr>
          <w:hyperlink w:anchor="_Toc33602911" w:history="1">
            <w:r w:rsidR="00D44BCF" w:rsidRPr="007D3270">
              <w:rPr>
                <w:rStyle w:val="Hyperlink"/>
                <w:noProof/>
              </w:rPr>
              <w:t>5.10.18</w:t>
            </w:r>
            <w:r w:rsidR="00D44BCF">
              <w:rPr>
                <w:noProof/>
                <w:lang w:val="en-AU" w:eastAsia="en-AU"/>
              </w:rPr>
              <w:tab/>
            </w:r>
            <w:r w:rsidR="00D44BCF" w:rsidRPr="007D3270">
              <w:rPr>
                <w:rStyle w:val="Hyperlink"/>
                <w:noProof/>
              </w:rPr>
              <w:t>Obligation on court to explain RRO</w:t>
            </w:r>
            <w:r w:rsidR="00D44BCF">
              <w:rPr>
                <w:noProof/>
                <w:webHidden/>
              </w:rPr>
              <w:tab/>
            </w:r>
            <w:r w:rsidR="00D44BCF">
              <w:rPr>
                <w:noProof/>
                <w:webHidden/>
              </w:rPr>
              <w:fldChar w:fldCharType="begin"/>
            </w:r>
            <w:r w:rsidR="00D44BCF">
              <w:rPr>
                <w:noProof/>
                <w:webHidden/>
              </w:rPr>
              <w:instrText xml:space="preserve"> PAGEREF _Toc33602911 \h </w:instrText>
            </w:r>
            <w:r w:rsidR="00D44BCF">
              <w:rPr>
                <w:noProof/>
                <w:webHidden/>
              </w:rPr>
            </w:r>
            <w:r w:rsidR="00D44BCF">
              <w:rPr>
                <w:noProof/>
                <w:webHidden/>
              </w:rPr>
              <w:fldChar w:fldCharType="separate"/>
            </w:r>
            <w:r w:rsidR="00D44BCF">
              <w:rPr>
                <w:noProof/>
                <w:webHidden/>
              </w:rPr>
              <w:t>163</w:t>
            </w:r>
            <w:r w:rsidR="00D44BCF">
              <w:rPr>
                <w:noProof/>
                <w:webHidden/>
              </w:rPr>
              <w:fldChar w:fldCharType="end"/>
            </w:r>
          </w:hyperlink>
        </w:p>
        <w:p w14:paraId="2A175002" w14:textId="69C65977" w:rsidR="00D44BCF" w:rsidRDefault="00F51B89">
          <w:pPr>
            <w:pStyle w:val="TOC3"/>
            <w:tabs>
              <w:tab w:val="left" w:pos="1540"/>
            </w:tabs>
            <w:rPr>
              <w:noProof/>
              <w:lang w:val="en-AU" w:eastAsia="en-AU"/>
            </w:rPr>
          </w:pPr>
          <w:hyperlink w:anchor="_Toc33602912" w:history="1">
            <w:r w:rsidR="00D44BCF" w:rsidRPr="007D3270">
              <w:rPr>
                <w:rStyle w:val="Hyperlink"/>
                <w:noProof/>
              </w:rPr>
              <w:t>5.10.19</w:t>
            </w:r>
            <w:r w:rsidR="00D44BCF">
              <w:rPr>
                <w:noProof/>
                <w:lang w:val="en-AU" w:eastAsia="en-AU"/>
              </w:rPr>
              <w:tab/>
            </w:r>
            <w:r w:rsidR="00D44BCF" w:rsidRPr="007D3270">
              <w:rPr>
                <w:rStyle w:val="Hyperlink"/>
                <w:noProof/>
              </w:rPr>
              <w:t>Release under a RRO</w:t>
            </w:r>
            <w:r w:rsidR="00D44BCF">
              <w:rPr>
                <w:noProof/>
                <w:webHidden/>
              </w:rPr>
              <w:tab/>
            </w:r>
            <w:r w:rsidR="00D44BCF">
              <w:rPr>
                <w:noProof/>
                <w:webHidden/>
              </w:rPr>
              <w:fldChar w:fldCharType="begin"/>
            </w:r>
            <w:r w:rsidR="00D44BCF">
              <w:rPr>
                <w:noProof/>
                <w:webHidden/>
              </w:rPr>
              <w:instrText xml:space="preserve"> PAGEREF _Toc33602912 \h </w:instrText>
            </w:r>
            <w:r w:rsidR="00D44BCF">
              <w:rPr>
                <w:noProof/>
                <w:webHidden/>
              </w:rPr>
            </w:r>
            <w:r w:rsidR="00D44BCF">
              <w:rPr>
                <w:noProof/>
                <w:webHidden/>
              </w:rPr>
              <w:fldChar w:fldCharType="separate"/>
            </w:r>
            <w:r w:rsidR="00D44BCF">
              <w:rPr>
                <w:noProof/>
                <w:webHidden/>
              </w:rPr>
              <w:t>163</w:t>
            </w:r>
            <w:r w:rsidR="00D44BCF">
              <w:rPr>
                <w:noProof/>
                <w:webHidden/>
              </w:rPr>
              <w:fldChar w:fldCharType="end"/>
            </w:r>
          </w:hyperlink>
        </w:p>
        <w:p w14:paraId="5B6535BD" w14:textId="4B69299E" w:rsidR="00D44BCF" w:rsidRDefault="00F51B89">
          <w:pPr>
            <w:pStyle w:val="TOC3"/>
            <w:tabs>
              <w:tab w:val="left" w:pos="1540"/>
            </w:tabs>
            <w:rPr>
              <w:noProof/>
              <w:lang w:val="en-AU" w:eastAsia="en-AU"/>
            </w:rPr>
          </w:pPr>
          <w:hyperlink w:anchor="_Toc33602913" w:history="1">
            <w:r w:rsidR="00D44BCF" w:rsidRPr="007D3270">
              <w:rPr>
                <w:rStyle w:val="Hyperlink"/>
                <w:noProof/>
              </w:rPr>
              <w:t>5.10.20</w:t>
            </w:r>
            <w:r w:rsidR="00D44BCF">
              <w:rPr>
                <w:noProof/>
                <w:lang w:val="en-AU" w:eastAsia="en-AU"/>
              </w:rPr>
              <w:tab/>
            </w:r>
            <w:r w:rsidR="00D44BCF" w:rsidRPr="007D3270">
              <w:rPr>
                <w:rStyle w:val="Hyperlink"/>
                <w:noProof/>
              </w:rPr>
              <w:t>Discharge or variation of RRO</w:t>
            </w:r>
            <w:r w:rsidR="00D44BCF">
              <w:rPr>
                <w:noProof/>
                <w:webHidden/>
              </w:rPr>
              <w:tab/>
            </w:r>
            <w:r w:rsidR="00D44BCF">
              <w:rPr>
                <w:noProof/>
                <w:webHidden/>
              </w:rPr>
              <w:fldChar w:fldCharType="begin"/>
            </w:r>
            <w:r w:rsidR="00D44BCF">
              <w:rPr>
                <w:noProof/>
                <w:webHidden/>
              </w:rPr>
              <w:instrText xml:space="preserve"> PAGEREF _Toc33602913 \h </w:instrText>
            </w:r>
            <w:r w:rsidR="00D44BCF">
              <w:rPr>
                <w:noProof/>
                <w:webHidden/>
              </w:rPr>
            </w:r>
            <w:r w:rsidR="00D44BCF">
              <w:rPr>
                <w:noProof/>
                <w:webHidden/>
              </w:rPr>
              <w:fldChar w:fldCharType="separate"/>
            </w:r>
            <w:r w:rsidR="00D44BCF">
              <w:rPr>
                <w:noProof/>
                <w:webHidden/>
              </w:rPr>
              <w:t>164</w:t>
            </w:r>
            <w:r w:rsidR="00D44BCF">
              <w:rPr>
                <w:noProof/>
                <w:webHidden/>
              </w:rPr>
              <w:fldChar w:fldCharType="end"/>
            </w:r>
          </w:hyperlink>
        </w:p>
        <w:p w14:paraId="54CB8BC5" w14:textId="62D06899" w:rsidR="00D44BCF" w:rsidRDefault="00F51B89">
          <w:pPr>
            <w:pStyle w:val="TOC3"/>
            <w:tabs>
              <w:tab w:val="left" w:pos="1540"/>
            </w:tabs>
            <w:rPr>
              <w:noProof/>
              <w:lang w:val="en-AU" w:eastAsia="en-AU"/>
            </w:rPr>
          </w:pPr>
          <w:hyperlink w:anchor="_Toc33602914" w:history="1">
            <w:r w:rsidR="00D44BCF" w:rsidRPr="007D3270">
              <w:rPr>
                <w:rStyle w:val="Hyperlink"/>
                <w:noProof/>
              </w:rPr>
              <w:t>5.10.21</w:t>
            </w:r>
            <w:r w:rsidR="00D44BCF">
              <w:rPr>
                <w:noProof/>
                <w:lang w:val="en-AU" w:eastAsia="en-AU"/>
              </w:rPr>
              <w:tab/>
            </w:r>
            <w:r w:rsidR="00D44BCF" w:rsidRPr="007D3270">
              <w:rPr>
                <w:rStyle w:val="Hyperlink"/>
                <w:noProof/>
              </w:rPr>
              <w:t>Breach of RRO</w:t>
            </w:r>
            <w:r w:rsidR="00D44BCF">
              <w:rPr>
                <w:noProof/>
                <w:webHidden/>
              </w:rPr>
              <w:tab/>
            </w:r>
            <w:r w:rsidR="00D44BCF">
              <w:rPr>
                <w:noProof/>
                <w:webHidden/>
              </w:rPr>
              <w:fldChar w:fldCharType="begin"/>
            </w:r>
            <w:r w:rsidR="00D44BCF">
              <w:rPr>
                <w:noProof/>
                <w:webHidden/>
              </w:rPr>
              <w:instrText xml:space="preserve"> PAGEREF _Toc33602914 \h </w:instrText>
            </w:r>
            <w:r w:rsidR="00D44BCF">
              <w:rPr>
                <w:noProof/>
                <w:webHidden/>
              </w:rPr>
            </w:r>
            <w:r w:rsidR="00D44BCF">
              <w:rPr>
                <w:noProof/>
                <w:webHidden/>
              </w:rPr>
              <w:fldChar w:fldCharType="separate"/>
            </w:r>
            <w:r w:rsidR="00D44BCF">
              <w:rPr>
                <w:noProof/>
                <w:webHidden/>
              </w:rPr>
              <w:t>164</w:t>
            </w:r>
            <w:r w:rsidR="00D44BCF">
              <w:rPr>
                <w:noProof/>
                <w:webHidden/>
              </w:rPr>
              <w:fldChar w:fldCharType="end"/>
            </w:r>
          </w:hyperlink>
        </w:p>
        <w:p w14:paraId="1FBDE4ED" w14:textId="395EE3D3" w:rsidR="00D44BCF" w:rsidRDefault="00F51B89">
          <w:pPr>
            <w:pStyle w:val="TOC2"/>
            <w:tabs>
              <w:tab w:val="left" w:pos="880"/>
              <w:tab w:val="right" w:leader="dot" w:pos="9061"/>
            </w:tabs>
            <w:rPr>
              <w:noProof/>
              <w:lang w:val="en-AU" w:eastAsia="en-AU"/>
            </w:rPr>
          </w:pPr>
          <w:hyperlink w:anchor="_Toc33602915" w:history="1">
            <w:r w:rsidR="00D44BCF" w:rsidRPr="007D3270">
              <w:rPr>
                <w:rStyle w:val="Hyperlink"/>
                <w:noProof/>
              </w:rPr>
              <w:t>5.11</w:t>
            </w:r>
            <w:r w:rsidR="00D44BCF">
              <w:rPr>
                <w:noProof/>
                <w:lang w:val="en-AU" w:eastAsia="en-AU"/>
              </w:rPr>
              <w:tab/>
            </w:r>
            <w:r w:rsidR="00D44BCF" w:rsidRPr="007D3270">
              <w:rPr>
                <w:rStyle w:val="Hyperlink"/>
                <w:noProof/>
              </w:rPr>
              <w:t>Imprisonment: federal parole, leave and licence</w:t>
            </w:r>
            <w:r w:rsidR="00D44BCF">
              <w:rPr>
                <w:noProof/>
                <w:webHidden/>
              </w:rPr>
              <w:tab/>
            </w:r>
            <w:r w:rsidR="00D44BCF">
              <w:rPr>
                <w:noProof/>
                <w:webHidden/>
              </w:rPr>
              <w:fldChar w:fldCharType="begin"/>
            </w:r>
            <w:r w:rsidR="00D44BCF">
              <w:rPr>
                <w:noProof/>
                <w:webHidden/>
              </w:rPr>
              <w:instrText xml:space="preserve"> PAGEREF _Toc33602915 \h </w:instrText>
            </w:r>
            <w:r w:rsidR="00D44BCF">
              <w:rPr>
                <w:noProof/>
                <w:webHidden/>
              </w:rPr>
            </w:r>
            <w:r w:rsidR="00D44BCF">
              <w:rPr>
                <w:noProof/>
                <w:webHidden/>
              </w:rPr>
              <w:fldChar w:fldCharType="separate"/>
            </w:r>
            <w:r w:rsidR="00D44BCF">
              <w:rPr>
                <w:noProof/>
                <w:webHidden/>
              </w:rPr>
              <w:t>167</w:t>
            </w:r>
            <w:r w:rsidR="00D44BCF">
              <w:rPr>
                <w:noProof/>
                <w:webHidden/>
              </w:rPr>
              <w:fldChar w:fldCharType="end"/>
            </w:r>
          </w:hyperlink>
        </w:p>
        <w:p w14:paraId="53042233" w14:textId="3BEFB1F4" w:rsidR="00D44BCF" w:rsidRDefault="00F51B89">
          <w:pPr>
            <w:pStyle w:val="TOC3"/>
            <w:tabs>
              <w:tab w:val="left" w:pos="1320"/>
            </w:tabs>
            <w:rPr>
              <w:noProof/>
              <w:lang w:val="en-AU" w:eastAsia="en-AU"/>
            </w:rPr>
          </w:pPr>
          <w:hyperlink w:anchor="_Toc33602916" w:history="1">
            <w:r w:rsidR="00D44BCF" w:rsidRPr="007D3270">
              <w:rPr>
                <w:rStyle w:val="Hyperlink"/>
                <w:noProof/>
              </w:rPr>
              <w:t>5.11.1</w:t>
            </w:r>
            <w:r w:rsidR="00D44BCF">
              <w:rPr>
                <w:noProof/>
                <w:lang w:val="en-AU" w:eastAsia="en-AU"/>
              </w:rPr>
              <w:tab/>
            </w:r>
            <w:r w:rsidR="00D44BCF" w:rsidRPr="007D3270">
              <w:rPr>
                <w:rStyle w:val="Hyperlink"/>
                <w:noProof/>
              </w:rPr>
              <w:t>Parole decisions</w:t>
            </w:r>
            <w:r w:rsidR="00D44BCF">
              <w:rPr>
                <w:noProof/>
                <w:webHidden/>
              </w:rPr>
              <w:tab/>
            </w:r>
            <w:r w:rsidR="00D44BCF">
              <w:rPr>
                <w:noProof/>
                <w:webHidden/>
              </w:rPr>
              <w:fldChar w:fldCharType="begin"/>
            </w:r>
            <w:r w:rsidR="00D44BCF">
              <w:rPr>
                <w:noProof/>
                <w:webHidden/>
              </w:rPr>
              <w:instrText xml:space="preserve"> PAGEREF _Toc33602916 \h </w:instrText>
            </w:r>
            <w:r w:rsidR="00D44BCF">
              <w:rPr>
                <w:noProof/>
                <w:webHidden/>
              </w:rPr>
            </w:r>
            <w:r w:rsidR="00D44BCF">
              <w:rPr>
                <w:noProof/>
                <w:webHidden/>
              </w:rPr>
              <w:fldChar w:fldCharType="separate"/>
            </w:r>
            <w:r w:rsidR="00D44BCF">
              <w:rPr>
                <w:noProof/>
                <w:webHidden/>
              </w:rPr>
              <w:t>167</w:t>
            </w:r>
            <w:r w:rsidR="00D44BCF">
              <w:rPr>
                <w:noProof/>
                <w:webHidden/>
              </w:rPr>
              <w:fldChar w:fldCharType="end"/>
            </w:r>
          </w:hyperlink>
        </w:p>
        <w:p w14:paraId="60A0F104" w14:textId="459A55B8" w:rsidR="00D44BCF" w:rsidRDefault="00F51B89">
          <w:pPr>
            <w:pStyle w:val="TOC3"/>
            <w:tabs>
              <w:tab w:val="left" w:pos="1320"/>
            </w:tabs>
            <w:rPr>
              <w:noProof/>
              <w:lang w:val="en-AU" w:eastAsia="en-AU"/>
            </w:rPr>
          </w:pPr>
          <w:hyperlink w:anchor="_Toc33602917" w:history="1">
            <w:r w:rsidR="00D44BCF" w:rsidRPr="007D3270">
              <w:rPr>
                <w:rStyle w:val="Hyperlink"/>
                <w:noProof/>
              </w:rPr>
              <w:t>5.11.2</w:t>
            </w:r>
            <w:r w:rsidR="00D44BCF">
              <w:rPr>
                <w:noProof/>
                <w:lang w:val="en-AU" w:eastAsia="en-AU"/>
              </w:rPr>
              <w:tab/>
            </w:r>
            <w:r w:rsidR="00D44BCF" w:rsidRPr="007D3270">
              <w:rPr>
                <w:rStyle w:val="Hyperlink"/>
                <w:noProof/>
              </w:rPr>
              <w:t>Purposes of parole</w:t>
            </w:r>
            <w:r w:rsidR="00D44BCF">
              <w:rPr>
                <w:noProof/>
                <w:webHidden/>
              </w:rPr>
              <w:tab/>
            </w:r>
            <w:r w:rsidR="00D44BCF">
              <w:rPr>
                <w:noProof/>
                <w:webHidden/>
              </w:rPr>
              <w:fldChar w:fldCharType="begin"/>
            </w:r>
            <w:r w:rsidR="00D44BCF">
              <w:rPr>
                <w:noProof/>
                <w:webHidden/>
              </w:rPr>
              <w:instrText xml:space="preserve"> PAGEREF _Toc33602917 \h </w:instrText>
            </w:r>
            <w:r w:rsidR="00D44BCF">
              <w:rPr>
                <w:noProof/>
                <w:webHidden/>
              </w:rPr>
            </w:r>
            <w:r w:rsidR="00D44BCF">
              <w:rPr>
                <w:noProof/>
                <w:webHidden/>
              </w:rPr>
              <w:fldChar w:fldCharType="separate"/>
            </w:r>
            <w:r w:rsidR="00D44BCF">
              <w:rPr>
                <w:noProof/>
                <w:webHidden/>
              </w:rPr>
              <w:t>168</w:t>
            </w:r>
            <w:r w:rsidR="00D44BCF">
              <w:rPr>
                <w:noProof/>
                <w:webHidden/>
              </w:rPr>
              <w:fldChar w:fldCharType="end"/>
            </w:r>
          </w:hyperlink>
        </w:p>
        <w:p w14:paraId="194B1546" w14:textId="169554BC" w:rsidR="00D44BCF" w:rsidRDefault="00F51B89">
          <w:pPr>
            <w:pStyle w:val="TOC3"/>
            <w:tabs>
              <w:tab w:val="left" w:pos="1320"/>
            </w:tabs>
            <w:rPr>
              <w:noProof/>
              <w:lang w:val="en-AU" w:eastAsia="en-AU"/>
            </w:rPr>
          </w:pPr>
          <w:hyperlink w:anchor="_Toc33602918" w:history="1">
            <w:r w:rsidR="00D44BCF" w:rsidRPr="007D3270">
              <w:rPr>
                <w:rStyle w:val="Hyperlink"/>
                <w:noProof/>
              </w:rPr>
              <w:t>5.11.3</w:t>
            </w:r>
            <w:r w:rsidR="00D44BCF">
              <w:rPr>
                <w:noProof/>
                <w:lang w:val="en-AU" w:eastAsia="en-AU"/>
              </w:rPr>
              <w:tab/>
            </w:r>
            <w:r w:rsidR="00D44BCF" w:rsidRPr="007D3270">
              <w:rPr>
                <w:rStyle w:val="Hyperlink"/>
                <w:noProof/>
              </w:rPr>
              <w:t>Nature of parole orders</w:t>
            </w:r>
            <w:r w:rsidR="00D44BCF">
              <w:rPr>
                <w:noProof/>
                <w:webHidden/>
              </w:rPr>
              <w:tab/>
            </w:r>
            <w:r w:rsidR="00D44BCF">
              <w:rPr>
                <w:noProof/>
                <w:webHidden/>
              </w:rPr>
              <w:fldChar w:fldCharType="begin"/>
            </w:r>
            <w:r w:rsidR="00D44BCF">
              <w:rPr>
                <w:noProof/>
                <w:webHidden/>
              </w:rPr>
              <w:instrText xml:space="preserve"> PAGEREF _Toc33602918 \h </w:instrText>
            </w:r>
            <w:r w:rsidR="00D44BCF">
              <w:rPr>
                <w:noProof/>
                <w:webHidden/>
              </w:rPr>
            </w:r>
            <w:r w:rsidR="00D44BCF">
              <w:rPr>
                <w:noProof/>
                <w:webHidden/>
              </w:rPr>
              <w:fldChar w:fldCharType="separate"/>
            </w:r>
            <w:r w:rsidR="00D44BCF">
              <w:rPr>
                <w:noProof/>
                <w:webHidden/>
              </w:rPr>
              <w:t>168</w:t>
            </w:r>
            <w:r w:rsidR="00D44BCF">
              <w:rPr>
                <w:noProof/>
                <w:webHidden/>
              </w:rPr>
              <w:fldChar w:fldCharType="end"/>
            </w:r>
          </w:hyperlink>
        </w:p>
        <w:p w14:paraId="707BEAB4" w14:textId="512BFC2C" w:rsidR="00D44BCF" w:rsidRDefault="00F51B89">
          <w:pPr>
            <w:pStyle w:val="TOC3"/>
            <w:tabs>
              <w:tab w:val="left" w:pos="1320"/>
            </w:tabs>
            <w:rPr>
              <w:noProof/>
              <w:lang w:val="en-AU" w:eastAsia="en-AU"/>
            </w:rPr>
          </w:pPr>
          <w:hyperlink w:anchor="_Toc33602919" w:history="1">
            <w:r w:rsidR="00D44BCF" w:rsidRPr="007D3270">
              <w:rPr>
                <w:rStyle w:val="Hyperlink"/>
                <w:noProof/>
              </w:rPr>
              <w:t>5.11.4</w:t>
            </w:r>
            <w:r w:rsidR="00D44BCF">
              <w:rPr>
                <w:noProof/>
                <w:lang w:val="en-AU" w:eastAsia="en-AU"/>
              </w:rPr>
              <w:tab/>
            </w:r>
            <w:r w:rsidR="00D44BCF" w:rsidRPr="007D3270">
              <w:rPr>
                <w:rStyle w:val="Hyperlink"/>
                <w:noProof/>
              </w:rPr>
              <w:t>Parolees are still under sentence</w:t>
            </w:r>
            <w:r w:rsidR="00D44BCF">
              <w:rPr>
                <w:noProof/>
                <w:webHidden/>
              </w:rPr>
              <w:tab/>
            </w:r>
            <w:r w:rsidR="00D44BCF">
              <w:rPr>
                <w:noProof/>
                <w:webHidden/>
              </w:rPr>
              <w:fldChar w:fldCharType="begin"/>
            </w:r>
            <w:r w:rsidR="00D44BCF">
              <w:rPr>
                <w:noProof/>
                <w:webHidden/>
              </w:rPr>
              <w:instrText xml:space="preserve"> PAGEREF _Toc33602919 \h </w:instrText>
            </w:r>
            <w:r w:rsidR="00D44BCF">
              <w:rPr>
                <w:noProof/>
                <w:webHidden/>
              </w:rPr>
            </w:r>
            <w:r w:rsidR="00D44BCF">
              <w:rPr>
                <w:noProof/>
                <w:webHidden/>
              </w:rPr>
              <w:fldChar w:fldCharType="separate"/>
            </w:r>
            <w:r w:rsidR="00D44BCF">
              <w:rPr>
                <w:noProof/>
                <w:webHidden/>
              </w:rPr>
              <w:t>169</w:t>
            </w:r>
            <w:r w:rsidR="00D44BCF">
              <w:rPr>
                <w:noProof/>
                <w:webHidden/>
              </w:rPr>
              <w:fldChar w:fldCharType="end"/>
            </w:r>
          </w:hyperlink>
        </w:p>
        <w:p w14:paraId="5CE7F825" w14:textId="32279D92" w:rsidR="00D44BCF" w:rsidRDefault="00F51B89">
          <w:pPr>
            <w:pStyle w:val="TOC3"/>
            <w:tabs>
              <w:tab w:val="left" w:pos="1320"/>
            </w:tabs>
            <w:rPr>
              <w:noProof/>
              <w:lang w:val="en-AU" w:eastAsia="en-AU"/>
            </w:rPr>
          </w:pPr>
          <w:hyperlink w:anchor="_Toc33602920" w:history="1">
            <w:r w:rsidR="00D44BCF" w:rsidRPr="007D3270">
              <w:rPr>
                <w:rStyle w:val="Hyperlink"/>
                <w:bCs/>
                <w:noProof/>
              </w:rPr>
              <w:t>5.11.5</w:t>
            </w:r>
            <w:r w:rsidR="00D44BCF">
              <w:rPr>
                <w:noProof/>
                <w:lang w:val="en-AU" w:eastAsia="en-AU"/>
              </w:rPr>
              <w:tab/>
            </w:r>
            <w:r w:rsidR="00D44BCF" w:rsidRPr="007D3270">
              <w:rPr>
                <w:rStyle w:val="Hyperlink"/>
                <w:bCs/>
                <w:noProof/>
              </w:rPr>
              <w:t>Duration of parole period</w:t>
            </w:r>
            <w:r w:rsidR="00D44BCF">
              <w:rPr>
                <w:noProof/>
                <w:webHidden/>
              </w:rPr>
              <w:tab/>
            </w:r>
            <w:r w:rsidR="00D44BCF">
              <w:rPr>
                <w:noProof/>
                <w:webHidden/>
              </w:rPr>
              <w:fldChar w:fldCharType="begin"/>
            </w:r>
            <w:r w:rsidR="00D44BCF">
              <w:rPr>
                <w:noProof/>
                <w:webHidden/>
              </w:rPr>
              <w:instrText xml:space="preserve"> PAGEREF _Toc33602920 \h </w:instrText>
            </w:r>
            <w:r w:rsidR="00D44BCF">
              <w:rPr>
                <w:noProof/>
                <w:webHidden/>
              </w:rPr>
            </w:r>
            <w:r w:rsidR="00D44BCF">
              <w:rPr>
                <w:noProof/>
                <w:webHidden/>
              </w:rPr>
              <w:fldChar w:fldCharType="separate"/>
            </w:r>
            <w:r w:rsidR="00D44BCF">
              <w:rPr>
                <w:noProof/>
                <w:webHidden/>
              </w:rPr>
              <w:t>169</w:t>
            </w:r>
            <w:r w:rsidR="00D44BCF">
              <w:rPr>
                <w:noProof/>
                <w:webHidden/>
              </w:rPr>
              <w:fldChar w:fldCharType="end"/>
            </w:r>
          </w:hyperlink>
        </w:p>
        <w:p w14:paraId="4A278DEA" w14:textId="64456629" w:rsidR="00D44BCF" w:rsidRDefault="00F51B89">
          <w:pPr>
            <w:pStyle w:val="TOC3"/>
            <w:tabs>
              <w:tab w:val="left" w:pos="1320"/>
            </w:tabs>
            <w:rPr>
              <w:noProof/>
              <w:lang w:val="en-AU" w:eastAsia="en-AU"/>
            </w:rPr>
          </w:pPr>
          <w:hyperlink w:anchor="_Toc33602921" w:history="1">
            <w:r w:rsidR="00D44BCF" w:rsidRPr="007D3270">
              <w:rPr>
                <w:rStyle w:val="Hyperlink"/>
                <w:bCs/>
                <w:noProof/>
              </w:rPr>
              <w:t>5.11.6</w:t>
            </w:r>
            <w:r w:rsidR="00D44BCF">
              <w:rPr>
                <w:noProof/>
                <w:lang w:val="en-AU" w:eastAsia="en-AU"/>
              </w:rPr>
              <w:tab/>
            </w:r>
            <w:r w:rsidR="00D44BCF" w:rsidRPr="007D3270">
              <w:rPr>
                <w:rStyle w:val="Hyperlink"/>
                <w:bCs/>
                <w:noProof/>
              </w:rPr>
              <w:t>Revocation of parole</w:t>
            </w:r>
            <w:r w:rsidR="00D44BCF">
              <w:rPr>
                <w:noProof/>
                <w:webHidden/>
              </w:rPr>
              <w:tab/>
            </w:r>
            <w:r w:rsidR="00D44BCF">
              <w:rPr>
                <w:noProof/>
                <w:webHidden/>
              </w:rPr>
              <w:fldChar w:fldCharType="begin"/>
            </w:r>
            <w:r w:rsidR="00D44BCF">
              <w:rPr>
                <w:noProof/>
                <w:webHidden/>
              </w:rPr>
              <w:instrText xml:space="preserve"> PAGEREF _Toc33602921 \h </w:instrText>
            </w:r>
            <w:r w:rsidR="00D44BCF">
              <w:rPr>
                <w:noProof/>
                <w:webHidden/>
              </w:rPr>
            </w:r>
            <w:r w:rsidR="00D44BCF">
              <w:rPr>
                <w:noProof/>
                <w:webHidden/>
              </w:rPr>
              <w:fldChar w:fldCharType="separate"/>
            </w:r>
            <w:r w:rsidR="00D44BCF">
              <w:rPr>
                <w:noProof/>
                <w:webHidden/>
              </w:rPr>
              <w:t>170</w:t>
            </w:r>
            <w:r w:rsidR="00D44BCF">
              <w:rPr>
                <w:noProof/>
                <w:webHidden/>
              </w:rPr>
              <w:fldChar w:fldCharType="end"/>
            </w:r>
          </w:hyperlink>
        </w:p>
        <w:p w14:paraId="6A7C281E" w14:textId="08B53CC1" w:rsidR="00D44BCF" w:rsidRDefault="00F51B89">
          <w:pPr>
            <w:pStyle w:val="TOC3"/>
            <w:tabs>
              <w:tab w:val="left" w:pos="1320"/>
            </w:tabs>
            <w:rPr>
              <w:noProof/>
              <w:lang w:val="en-AU" w:eastAsia="en-AU"/>
            </w:rPr>
          </w:pPr>
          <w:hyperlink w:anchor="_Toc33602922" w:history="1">
            <w:r w:rsidR="00D44BCF" w:rsidRPr="007D3270">
              <w:rPr>
                <w:rStyle w:val="Hyperlink"/>
                <w:bCs/>
                <w:noProof/>
              </w:rPr>
              <w:t>5.11.7</w:t>
            </w:r>
            <w:r w:rsidR="00D44BCF">
              <w:rPr>
                <w:noProof/>
                <w:lang w:val="en-AU" w:eastAsia="en-AU"/>
              </w:rPr>
              <w:tab/>
            </w:r>
            <w:r w:rsidR="00D44BCF" w:rsidRPr="007D3270">
              <w:rPr>
                <w:rStyle w:val="Hyperlink"/>
                <w:bCs/>
                <w:noProof/>
              </w:rPr>
              <w:t>Automatic revocation of parole</w:t>
            </w:r>
            <w:r w:rsidR="00D44BCF">
              <w:rPr>
                <w:noProof/>
                <w:webHidden/>
              </w:rPr>
              <w:tab/>
            </w:r>
            <w:r w:rsidR="00D44BCF">
              <w:rPr>
                <w:noProof/>
                <w:webHidden/>
              </w:rPr>
              <w:fldChar w:fldCharType="begin"/>
            </w:r>
            <w:r w:rsidR="00D44BCF">
              <w:rPr>
                <w:noProof/>
                <w:webHidden/>
              </w:rPr>
              <w:instrText xml:space="preserve"> PAGEREF _Toc33602922 \h </w:instrText>
            </w:r>
            <w:r w:rsidR="00D44BCF">
              <w:rPr>
                <w:noProof/>
                <w:webHidden/>
              </w:rPr>
            </w:r>
            <w:r w:rsidR="00D44BCF">
              <w:rPr>
                <w:noProof/>
                <w:webHidden/>
              </w:rPr>
              <w:fldChar w:fldCharType="separate"/>
            </w:r>
            <w:r w:rsidR="00D44BCF">
              <w:rPr>
                <w:noProof/>
                <w:webHidden/>
              </w:rPr>
              <w:t>170</w:t>
            </w:r>
            <w:r w:rsidR="00D44BCF">
              <w:rPr>
                <w:noProof/>
                <w:webHidden/>
              </w:rPr>
              <w:fldChar w:fldCharType="end"/>
            </w:r>
          </w:hyperlink>
        </w:p>
        <w:p w14:paraId="381BE622" w14:textId="60610BC1" w:rsidR="00D44BCF" w:rsidRDefault="00F51B89">
          <w:pPr>
            <w:pStyle w:val="TOC3"/>
            <w:tabs>
              <w:tab w:val="left" w:pos="1320"/>
            </w:tabs>
            <w:rPr>
              <w:noProof/>
              <w:lang w:val="en-AU" w:eastAsia="en-AU"/>
            </w:rPr>
          </w:pPr>
          <w:hyperlink w:anchor="_Toc33602923" w:history="1">
            <w:r w:rsidR="00D44BCF" w:rsidRPr="007D3270">
              <w:rPr>
                <w:rStyle w:val="Hyperlink"/>
                <w:bCs/>
                <w:noProof/>
              </w:rPr>
              <w:t>5.11.8</w:t>
            </w:r>
            <w:r w:rsidR="00D44BCF">
              <w:rPr>
                <w:noProof/>
                <w:lang w:val="en-AU" w:eastAsia="en-AU"/>
              </w:rPr>
              <w:tab/>
            </w:r>
            <w:r w:rsidR="00D44BCF" w:rsidRPr="007D3270">
              <w:rPr>
                <w:rStyle w:val="Hyperlink"/>
                <w:bCs/>
                <w:noProof/>
              </w:rPr>
              <w:t>Discretionary revocation of parole by the Attorney-General</w:t>
            </w:r>
            <w:r w:rsidR="00D44BCF">
              <w:rPr>
                <w:noProof/>
                <w:webHidden/>
              </w:rPr>
              <w:tab/>
            </w:r>
            <w:r w:rsidR="00D44BCF">
              <w:rPr>
                <w:noProof/>
                <w:webHidden/>
              </w:rPr>
              <w:fldChar w:fldCharType="begin"/>
            </w:r>
            <w:r w:rsidR="00D44BCF">
              <w:rPr>
                <w:noProof/>
                <w:webHidden/>
              </w:rPr>
              <w:instrText xml:space="preserve"> PAGEREF _Toc33602923 \h </w:instrText>
            </w:r>
            <w:r w:rsidR="00D44BCF">
              <w:rPr>
                <w:noProof/>
                <w:webHidden/>
              </w:rPr>
            </w:r>
            <w:r w:rsidR="00D44BCF">
              <w:rPr>
                <w:noProof/>
                <w:webHidden/>
              </w:rPr>
              <w:fldChar w:fldCharType="separate"/>
            </w:r>
            <w:r w:rsidR="00D44BCF">
              <w:rPr>
                <w:noProof/>
                <w:webHidden/>
              </w:rPr>
              <w:t>172</w:t>
            </w:r>
            <w:r w:rsidR="00D44BCF">
              <w:rPr>
                <w:noProof/>
                <w:webHidden/>
              </w:rPr>
              <w:fldChar w:fldCharType="end"/>
            </w:r>
          </w:hyperlink>
        </w:p>
        <w:p w14:paraId="21587B06" w14:textId="655BE1D4" w:rsidR="00D44BCF" w:rsidRDefault="00F51B89">
          <w:pPr>
            <w:pStyle w:val="TOC3"/>
            <w:tabs>
              <w:tab w:val="left" w:pos="1320"/>
            </w:tabs>
            <w:rPr>
              <w:noProof/>
              <w:lang w:val="en-AU" w:eastAsia="en-AU"/>
            </w:rPr>
          </w:pPr>
          <w:hyperlink w:anchor="_Toc33602924" w:history="1">
            <w:r w:rsidR="00D44BCF" w:rsidRPr="007D3270">
              <w:rPr>
                <w:rStyle w:val="Hyperlink"/>
                <w:noProof/>
              </w:rPr>
              <w:t>5.11.9</w:t>
            </w:r>
            <w:r w:rsidR="00D44BCF">
              <w:rPr>
                <w:noProof/>
                <w:lang w:val="en-AU" w:eastAsia="en-AU"/>
              </w:rPr>
              <w:tab/>
            </w:r>
            <w:r w:rsidR="00D44BCF" w:rsidRPr="007D3270">
              <w:rPr>
                <w:rStyle w:val="Hyperlink"/>
                <w:noProof/>
              </w:rPr>
              <w:t>Credit for “street time”</w:t>
            </w:r>
            <w:r w:rsidR="00D44BCF">
              <w:rPr>
                <w:noProof/>
                <w:webHidden/>
              </w:rPr>
              <w:tab/>
            </w:r>
            <w:r w:rsidR="00D44BCF">
              <w:rPr>
                <w:noProof/>
                <w:webHidden/>
              </w:rPr>
              <w:fldChar w:fldCharType="begin"/>
            </w:r>
            <w:r w:rsidR="00D44BCF">
              <w:rPr>
                <w:noProof/>
                <w:webHidden/>
              </w:rPr>
              <w:instrText xml:space="preserve"> PAGEREF _Toc33602924 \h </w:instrText>
            </w:r>
            <w:r w:rsidR="00D44BCF">
              <w:rPr>
                <w:noProof/>
                <w:webHidden/>
              </w:rPr>
            </w:r>
            <w:r w:rsidR="00D44BCF">
              <w:rPr>
                <w:noProof/>
                <w:webHidden/>
              </w:rPr>
              <w:fldChar w:fldCharType="separate"/>
            </w:r>
            <w:r w:rsidR="00D44BCF">
              <w:rPr>
                <w:noProof/>
                <w:webHidden/>
              </w:rPr>
              <w:t>175</w:t>
            </w:r>
            <w:r w:rsidR="00D44BCF">
              <w:rPr>
                <w:noProof/>
                <w:webHidden/>
              </w:rPr>
              <w:fldChar w:fldCharType="end"/>
            </w:r>
          </w:hyperlink>
        </w:p>
        <w:p w14:paraId="5A745265" w14:textId="2D74C379" w:rsidR="00D44BCF" w:rsidRDefault="00F51B89">
          <w:pPr>
            <w:pStyle w:val="TOC3"/>
            <w:tabs>
              <w:tab w:val="left" w:pos="1540"/>
            </w:tabs>
            <w:rPr>
              <w:noProof/>
              <w:lang w:val="en-AU" w:eastAsia="en-AU"/>
            </w:rPr>
          </w:pPr>
          <w:hyperlink w:anchor="_Toc33602925" w:history="1">
            <w:r w:rsidR="00D44BCF" w:rsidRPr="007D3270">
              <w:rPr>
                <w:rStyle w:val="Hyperlink"/>
                <w:noProof/>
              </w:rPr>
              <w:t>5.11.10</w:t>
            </w:r>
            <w:r w:rsidR="00D44BCF">
              <w:rPr>
                <w:noProof/>
                <w:lang w:val="en-AU" w:eastAsia="en-AU"/>
              </w:rPr>
              <w:tab/>
            </w:r>
            <w:r w:rsidR="00D44BCF" w:rsidRPr="007D3270">
              <w:rPr>
                <w:rStyle w:val="Hyperlink"/>
                <w:noProof/>
              </w:rPr>
              <w:t>Pre-release and leave of absence</w:t>
            </w:r>
            <w:r w:rsidR="00D44BCF">
              <w:rPr>
                <w:noProof/>
                <w:webHidden/>
              </w:rPr>
              <w:tab/>
            </w:r>
            <w:r w:rsidR="00D44BCF">
              <w:rPr>
                <w:noProof/>
                <w:webHidden/>
              </w:rPr>
              <w:fldChar w:fldCharType="begin"/>
            </w:r>
            <w:r w:rsidR="00D44BCF">
              <w:rPr>
                <w:noProof/>
                <w:webHidden/>
              </w:rPr>
              <w:instrText xml:space="preserve"> PAGEREF _Toc33602925 \h </w:instrText>
            </w:r>
            <w:r w:rsidR="00D44BCF">
              <w:rPr>
                <w:noProof/>
                <w:webHidden/>
              </w:rPr>
            </w:r>
            <w:r w:rsidR="00D44BCF">
              <w:rPr>
                <w:noProof/>
                <w:webHidden/>
              </w:rPr>
              <w:fldChar w:fldCharType="separate"/>
            </w:r>
            <w:r w:rsidR="00D44BCF">
              <w:rPr>
                <w:noProof/>
                <w:webHidden/>
              </w:rPr>
              <w:t>178</w:t>
            </w:r>
            <w:r w:rsidR="00D44BCF">
              <w:rPr>
                <w:noProof/>
                <w:webHidden/>
              </w:rPr>
              <w:fldChar w:fldCharType="end"/>
            </w:r>
          </w:hyperlink>
        </w:p>
        <w:p w14:paraId="3B89D5E4" w14:textId="48A2ED19" w:rsidR="00D44BCF" w:rsidRDefault="00F51B89">
          <w:pPr>
            <w:pStyle w:val="TOC3"/>
            <w:tabs>
              <w:tab w:val="left" w:pos="1540"/>
            </w:tabs>
            <w:rPr>
              <w:noProof/>
              <w:lang w:val="en-AU" w:eastAsia="en-AU"/>
            </w:rPr>
          </w:pPr>
          <w:hyperlink w:anchor="_Toc33602926" w:history="1">
            <w:r w:rsidR="00D44BCF" w:rsidRPr="007D3270">
              <w:rPr>
                <w:rStyle w:val="Hyperlink"/>
                <w:noProof/>
              </w:rPr>
              <w:t>5.11.11</w:t>
            </w:r>
            <w:r w:rsidR="00D44BCF">
              <w:rPr>
                <w:noProof/>
                <w:lang w:val="en-AU" w:eastAsia="en-AU"/>
              </w:rPr>
              <w:tab/>
            </w:r>
            <w:r w:rsidR="00D44BCF" w:rsidRPr="007D3270">
              <w:rPr>
                <w:rStyle w:val="Hyperlink"/>
                <w:noProof/>
              </w:rPr>
              <w:t>Release on licence</w:t>
            </w:r>
            <w:r w:rsidR="00D44BCF">
              <w:rPr>
                <w:noProof/>
                <w:webHidden/>
              </w:rPr>
              <w:tab/>
            </w:r>
            <w:r w:rsidR="00D44BCF">
              <w:rPr>
                <w:noProof/>
                <w:webHidden/>
              </w:rPr>
              <w:fldChar w:fldCharType="begin"/>
            </w:r>
            <w:r w:rsidR="00D44BCF">
              <w:rPr>
                <w:noProof/>
                <w:webHidden/>
              </w:rPr>
              <w:instrText xml:space="preserve"> PAGEREF _Toc33602926 \h </w:instrText>
            </w:r>
            <w:r w:rsidR="00D44BCF">
              <w:rPr>
                <w:noProof/>
                <w:webHidden/>
              </w:rPr>
            </w:r>
            <w:r w:rsidR="00D44BCF">
              <w:rPr>
                <w:noProof/>
                <w:webHidden/>
              </w:rPr>
              <w:fldChar w:fldCharType="separate"/>
            </w:r>
            <w:r w:rsidR="00D44BCF">
              <w:rPr>
                <w:noProof/>
                <w:webHidden/>
              </w:rPr>
              <w:t>178</w:t>
            </w:r>
            <w:r w:rsidR="00D44BCF">
              <w:rPr>
                <w:noProof/>
                <w:webHidden/>
              </w:rPr>
              <w:fldChar w:fldCharType="end"/>
            </w:r>
          </w:hyperlink>
        </w:p>
        <w:p w14:paraId="31DF6691" w14:textId="37FDBD34" w:rsidR="00D44BCF" w:rsidRDefault="00F51B89">
          <w:pPr>
            <w:pStyle w:val="TOC2"/>
            <w:tabs>
              <w:tab w:val="left" w:pos="880"/>
              <w:tab w:val="right" w:leader="dot" w:pos="9061"/>
            </w:tabs>
            <w:rPr>
              <w:noProof/>
              <w:lang w:val="en-AU" w:eastAsia="en-AU"/>
            </w:rPr>
          </w:pPr>
          <w:hyperlink w:anchor="_Toc33602927" w:history="1">
            <w:r w:rsidR="00D44BCF" w:rsidRPr="007D3270">
              <w:rPr>
                <w:rStyle w:val="Hyperlink"/>
                <w:noProof/>
              </w:rPr>
              <w:t>5.12</w:t>
            </w:r>
            <w:r w:rsidR="00D44BCF">
              <w:rPr>
                <w:noProof/>
                <w:lang w:val="en-AU" w:eastAsia="en-AU"/>
              </w:rPr>
              <w:tab/>
            </w:r>
            <w:r w:rsidR="00D44BCF" w:rsidRPr="007D3270">
              <w:rPr>
                <w:rStyle w:val="Hyperlink"/>
                <w:noProof/>
              </w:rPr>
              <w:t>Options not generally available in sentencing a federal offender</w:t>
            </w:r>
            <w:r w:rsidR="00D44BCF">
              <w:rPr>
                <w:noProof/>
                <w:webHidden/>
              </w:rPr>
              <w:tab/>
            </w:r>
            <w:r w:rsidR="00D44BCF">
              <w:rPr>
                <w:noProof/>
                <w:webHidden/>
              </w:rPr>
              <w:fldChar w:fldCharType="begin"/>
            </w:r>
            <w:r w:rsidR="00D44BCF">
              <w:rPr>
                <w:noProof/>
                <w:webHidden/>
              </w:rPr>
              <w:instrText xml:space="preserve"> PAGEREF _Toc33602927 \h </w:instrText>
            </w:r>
            <w:r w:rsidR="00D44BCF">
              <w:rPr>
                <w:noProof/>
                <w:webHidden/>
              </w:rPr>
            </w:r>
            <w:r w:rsidR="00D44BCF">
              <w:rPr>
                <w:noProof/>
                <w:webHidden/>
              </w:rPr>
              <w:fldChar w:fldCharType="separate"/>
            </w:r>
            <w:r w:rsidR="00D44BCF">
              <w:rPr>
                <w:noProof/>
                <w:webHidden/>
              </w:rPr>
              <w:t>179</w:t>
            </w:r>
            <w:r w:rsidR="00D44BCF">
              <w:rPr>
                <w:noProof/>
                <w:webHidden/>
              </w:rPr>
              <w:fldChar w:fldCharType="end"/>
            </w:r>
          </w:hyperlink>
        </w:p>
        <w:p w14:paraId="626EA13D" w14:textId="42EE2641" w:rsidR="00D44BCF" w:rsidRDefault="00F51B89">
          <w:pPr>
            <w:pStyle w:val="TOC3"/>
            <w:tabs>
              <w:tab w:val="left" w:pos="1320"/>
            </w:tabs>
            <w:rPr>
              <w:noProof/>
              <w:lang w:val="en-AU" w:eastAsia="en-AU"/>
            </w:rPr>
          </w:pPr>
          <w:hyperlink w:anchor="_Toc33602928" w:history="1">
            <w:r w:rsidR="00D44BCF" w:rsidRPr="007D3270">
              <w:rPr>
                <w:rStyle w:val="Hyperlink"/>
                <w:bCs/>
                <w:noProof/>
              </w:rPr>
              <w:t>5.12.1</w:t>
            </w:r>
            <w:r w:rsidR="00D44BCF">
              <w:rPr>
                <w:noProof/>
                <w:lang w:val="en-AU" w:eastAsia="en-AU"/>
              </w:rPr>
              <w:tab/>
            </w:r>
            <w:r w:rsidR="00D44BCF" w:rsidRPr="007D3270">
              <w:rPr>
                <w:rStyle w:val="Hyperlink"/>
                <w:bCs/>
                <w:noProof/>
              </w:rPr>
              <w:t>Convicting and discharging</w:t>
            </w:r>
            <w:r w:rsidR="00D44BCF">
              <w:rPr>
                <w:noProof/>
                <w:webHidden/>
              </w:rPr>
              <w:tab/>
            </w:r>
            <w:r w:rsidR="00D44BCF">
              <w:rPr>
                <w:noProof/>
                <w:webHidden/>
              </w:rPr>
              <w:fldChar w:fldCharType="begin"/>
            </w:r>
            <w:r w:rsidR="00D44BCF">
              <w:rPr>
                <w:noProof/>
                <w:webHidden/>
              </w:rPr>
              <w:instrText xml:space="preserve"> PAGEREF _Toc33602928 \h </w:instrText>
            </w:r>
            <w:r w:rsidR="00D44BCF">
              <w:rPr>
                <w:noProof/>
                <w:webHidden/>
              </w:rPr>
            </w:r>
            <w:r w:rsidR="00D44BCF">
              <w:rPr>
                <w:noProof/>
                <w:webHidden/>
              </w:rPr>
              <w:fldChar w:fldCharType="separate"/>
            </w:r>
            <w:r w:rsidR="00D44BCF">
              <w:rPr>
                <w:noProof/>
                <w:webHidden/>
              </w:rPr>
              <w:t>179</w:t>
            </w:r>
            <w:r w:rsidR="00D44BCF">
              <w:rPr>
                <w:noProof/>
                <w:webHidden/>
              </w:rPr>
              <w:fldChar w:fldCharType="end"/>
            </w:r>
          </w:hyperlink>
        </w:p>
        <w:p w14:paraId="492C95D3" w14:textId="46EBF284" w:rsidR="00D44BCF" w:rsidRDefault="00F51B89">
          <w:pPr>
            <w:pStyle w:val="TOC3"/>
            <w:tabs>
              <w:tab w:val="left" w:pos="1320"/>
            </w:tabs>
            <w:rPr>
              <w:noProof/>
              <w:lang w:val="en-AU" w:eastAsia="en-AU"/>
            </w:rPr>
          </w:pPr>
          <w:hyperlink w:anchor="_Toc33602929" w:history="1">
            <w:r w:rsidR="00D44BCF" w:rsidRPr="007D3270">
              <w:rPr>
                <w:rStyle w:val="Hyperlink"/>
                <w:bCs/>
                <w:noProof/>
              </w:rPr>
              <w:t>5.12.2</w:t>
            </w:r>
            <w:r w:rsidR="00D44BCF">
              <w:rPr>
                <w:noProof/>
                <w:lang w:val="en-AU" w:eastAsia="en-AU"/>
              </w:rPr>
              <w:tab/>
            </w:r>
            <w:r w:rsidR="00D44BCF" w:rsidRPr="007D3270">
              <w:rPr>
                <w:rStyle w:val="Hyperlink"/>
                <w:bCs/>
                <w:noProof/>
              </w:rPr>
              <w:t>Without conviction, imposing a fine</w:t>
            </w:r>
            <w:r w:rsidR="00D44BCF">
              <w:rPr>
                <w:noProof/>
                <w:webHidden/>
              </w:rPr>
              <w:tab/>
            </w:r>
            <w:r w:rsidR="00D44BCF">
              <w:rPr>
                <w:noProof/>
                <w:webHidden/>
              </w:rPr>
              <w:fldChar w:fldCharType="begin"/>
            </w:r>
            <w:r w:rsidR="00D44BCF">
              <w:rPr>
                <w:noProof/>
                <w:webHidden/>
              </w:rPr>
              <w:instrText xml:space="preserve"> PAGEREF _Toc33602929 \h </w:instrText>
            </w:r>
            <w:r w:rsidR="00D44BCF">
              <w:rPr>
                <w:noProof/>
                <w:webHidden/>
              </w:rPr>
            </w:r>
            <w:r w:rsidR="00D44BCF">
              <w:rPr>
                <w:noProof/>
                <w:webHidden/>
              </w:rPr>
              <w:fldChar w:fldCharType="separate"/>
            </w:r>
            <w:r w:rsidR="00D44BCF">
              <w:rPr>
                <w:noProof/>
                <w:webHidden/>
              </w:rPr>
              <w:t>179</w:t>
            </w:r>
            <w:r w:rsidR="00D44BCF">
              <w:rPr>
                <w:noProof/>
                <w:webHidden/>
              </w:rPr>
              <w:fldChar w:fldCharType="end"/>
            </w:r>
          </w:hyperlink>
        </w:p>
        <w:p w14:paraId="4E7C925F" w14:textId="66B665B6" w:rsidR="00D44BCF" w:rsidRDefault="00F51B89">
          <w:pPr>
            <w:pStyle w:val="TOC3"/>
            <w:tabs>
              <w:tab w:val="left" w:pos="1320"/>
            </w:tabs>
            <w:rPr>
              <w:noProof/>
              <w:lang w:val="en-AU" w:eastAsia="en-AU"/>
            </w:rPr>
          </w:pPr>
          <w:hyperlink w:anchor="_Toc33602930" w:history="1">
            <w:r w:rsidR="00D44BCF" w:rsidRPr="007D3270">
              <w:rPr>
                <w:rStyle w:val="Hyperlink"/>
                <w:bCs/>
                <w:noProof/>
              </w:rPr>
              <w:t>5.12.3</w:t>
            </w:r>
            <w:r w:rsidR="00D44BCF">
              <w:rPr>
                <w:noProof/>
                <w:lang w:val="en-AU" w:eastAsia="en-AU"/>
              </w:rPr>
              <w:tab/>
            </w:r>
            <w:r w:rsidR="00D44BCF" w:rsidRPr="007D3270">
              <w:rPr>
                <w:rStyle w:val="Hyperlink"/>
                <w:bCs/>
                <w:noProof/>
              </w:rPr>
              <w:t>Without conviction, ordering a community correction order or like order</w:t>
            </w:r>
            <w:r w:rsidR="00D44BCF">
              <w:rPr>
                <w:noProof/>
                <w:webHidden/>
              </w:rPr>
              <w:tab/>
            </w:r>
            <w:r w:rsidR="00D44BCF">
              <w:rPr>
                <w:noProof/>
                <w:webHidden/>
              </w:rPr>
              <w:fldChar w:fldCharType="begin"/>
            </w:r>
            <w:r w:rsidR="00D44BCF">
              <w:rPr>
                <w:noProof/>
                <w:webHidden/>
              </w:rPr>
              <w:instrText xml:space="preserve"> PAGEREF _Toc33602930 \h </w:instrText>
            </w:r>
            <w:r w:rsidR="00D44BCF">
              <w:rPr>
                <w:noProof/>
                <w:webHidden/>
              </w:rPr>
            </w:r>
            <w:r w:rsidR="00D44BCF">
              <w:rPr>
                <w:noProof/>
                <w:webHidden/>
              </w:rPr>
              <w:fldChar w:fldCharType="separate"/>
            </w:r>
            <w:r w:rsidR="00D44BCF">
              <w:rPr>
                <w:noProof/>
                <w:webHidden/>
              </w:rPr>
              <w:t>179</w:t>
            </w:r>
            <w:r w:rsidR="00D44BCF">
              <w:rPr>
                <w:noProof/>
                <w:webHidden/>
              </w:rPr>
              <w:fldChar w:fldCharType="end"/>
            </w:r>
          </w:hyperlink>
        </w:p>
        <w:p w14:paraId="1C0834BC" w14:textId="02C249CE" w:rsidR="00D44BCF" w:rsidRDefault="00F51B89">
          <w:pPr>
            <w:pStyle w:val="TOC3"/>
            <w:tabs>
              <w:tab w:val="left" w:pos="1320"/>
            </w:tabs>
            <w:rPr>
              <w:noProof/>
              <w:lang w:val="en-AU" w:eastAsia="en-AU"/>
            </w:rPr>
          </w:pPr>
          <w:hyperlink w:anchor="_Toc33602931" w:history="1">
            <w:r w:rsidR="00D44BCF" w:rsidRPr="007D3270">
              <w:rPr>
                <w:rStyle w:val="Hyperlink"/>
                <w:bCs/>
                <w:noProof/>
              </w:rPr>
              <w:t>5.12.4</w:t>
            </w:r>
            <w:r w:rsidR="00D44BCF">
              <w:rPr>
                <w:noProof/>
                <w:lang w:val="en-AU" w:eastAsia="en-AU"/>
              </w:rPr>
              <w:tab/>
            </w:r>
            <w:r w:rsidR="00D44BCF" w:rsidRPr="007D3270">
              <w:rPr>
                <w:rStyle w:val="Hyperlink"/>
                <w:bCs/>
                <w:noProof/>
              </w:rPr>
              <w:t>Combinations of sentences</w:t>
            </w:r>
            <w:r w:rsidR="00D44BCF">
              <w:rPr>
                <w:noProof/>
                <w:webHidden/>
              </w:rPr>
              <w:tab/>
            </w:r>
            <w:r w:rsidR="00D44BCF">
              <w:rPr>
                <w:noProof/>
                <w:webHidden/>
              </w:rPr>
              <w:fldChar w:fldCharType="begin"/>
            </w:r>
            <w:r w:rsidR="00D44BCF">
              <w:rPr>
                <w:noProof/>
                <w:webHidden/>
              </w:rPr>
              <w:instrText xml:space="preserve"> PAGEREF _Toc33602931 \h </w:instrText>
            </w:r>
            <w:r w:rsidR="00D44BCF">
              <w:rPr>
                <w:noProof/>
                <w:webHidden/>
              </w:rPr>
            </w:r>
            <w:r w:rsidR="00D44BCF">
              <w:rPr>
                <w:noProof/>
                <w:webHidden/>
              </w:rPr>
              <w:fldChar w:fldCharType="separate"/>
            </w:r>
            <w:r w:rsidR="00D44BCF">
              <w:rPr>
                <w:noProof/>
                <w:webHidden/>
              </w:rPr>
              <w:t>179</w:t>
            </w:r>
            <w:r w:rsidR="00D44BCF">
              <w:rPr>
                <w:noProof/>
                <w:webHidden/>
              </w:rPr>
              <w:fldChar w:fldCharType="end"/>
            </w:r>
          </w:hyperlink>
        </w:p>
        <w:p w14:paraId="01DBCB32" w14:textId="223A4B5A" w:rsidR="00D44BCF" w:rsidRDefault="00F51B89">
          <w:pPr>
            <w:pStyle w:val="TOC1"/>
            <w:tabs>
              <w:tab w:val="left" w:pos="440"/>
            </w:tabs>
            <w:rPr>
              <w:b w:val="0"/>
              <w:lang w:val="en-AU" w:eastAsia="en-AU"/>
            </w:rPr>
          </w:pPr>
          <w:hyperlink w:anchor="_Toc33602932" w:history="1">
            <w:r w:rsidR="00D44BCF" w:rsidRPr="007D3270">
              <w:rPr>
                <w:rStyle w:val="Hyperlink"/>
              </w:rPr>
              <w:t>6</w:t>
            </w:r>
            <w:r w:rsidR="00D44BCF">
              <w:rPr>
                <w:b w:val="0"/>
                <w:lang w:val="en-AU" w:eastAsia="en-AU"/>
              </w:rPr>
              <w:tab/>
            </w:r>
            <w:r w:rsidR="00D44BCF" w:rsidRPr="007D3270">
              <w:rPr>
                <w:rStyle w:val="Hyperlink"/>
              </w:rPr>
              <w:t>Other orders on sentencing</w:t>
            </w:r>
            <w:r w:rsidR="00D44BCF">
              <w:rPr>
                <w:webHidden/>
              </w:rPr>
              <w:tab/>
            </w:r>
            <w:r w:rsidR="00D44BCF">
              <w:rPr>
                <w:webHidden/>
              </w:rPr>
              <w:fldChar w:fldCharType="begin"/>
            </w:r>
            <w:r w:rsidR="00D44BCF">
              <w:rPr>
                <w:webHidden/>
              </w:rPr>
              <w:instrText xml:space="preserve"> PAGEREF _Toc33602932 \h </w:instrText>
            </w:r>
            <w:r w:rsidR="00D44BCF">
              <w:rPr>
                <w:webHidden/>
              </w:rPr>
            </w:r>
            <w:r w:rsidR="00D44BCF">
              <w:rPr>
                <w:webHidden/>
              </w:rPr>
              <w:fldChar w:fldCharType="separate"/>
            </w:r>
            <w:r w:rsidR="00D44BCF">
              <w:rPr>
                <w:webHidden/>
              </w:rPr>
              <w:t>181</w:t>
            </w:r>
            <w:r w:rsidR="00D44BCF">
              <w:rPr>
                <w:webHidden/>
              </w:rPr>
              <w:fldChar w:fldCharType="end"/>
            </w:r>
          </w:hyperlink>
        </w:p>
        <w:p w14:paraId="680EE7CC" w14:textId="05679203" w:rsidR="00D44BCF" w:rsidRDefault="00F51B89">
          <w:pPr>
            <w:pStyle w:val="TOC2"/>
            <w:tabs>
              <w:tab w:val="left" w:pos="880"/>
              <w:tab w:val="right" w:leader="dot" w:pos="9061"/>
            </w:tabs>
            <w:rPr>
              <w:noProof/>
              <w:lang w:val="en-AU" w:eastAsia="en-AU"/>
            </w:rPr>
          </w:pPr>
          <w:hyperlink w:anchor="_Toc33602933" w:history="1">
            <w:r w:rsidR="00D44BCF" w:rsidRPr="007D3270">
              <w:rPr>
                <w:rStyle w:val="Hyperlink"/>
                <w:bCs/>
                <w:noProof/>
              </w:rPr>
              <w:t>6.1</w:t>
            </w:r>
            <w:r w:rsidR="00D44BCF">
              <w:rPr>
                <w:noProof/>
                <w:lang w:val="en-AU" w:eastAsia="en-AU"/>
              </w:rPr>
              <w:tab/>
            </w:r>
            <w:r w:rsidR="00D44BCF" w:rsidRPr="007D3270">
              <w:rPr>
                <w:rStyle w:val="Hyperlink"/>
                <w:bCs/>
                <w:noProof/>
              </w:rPr>
              <w:t xml:space="preserve">Reparation – </w:t>
            </w:r>
            <w:r w:rsidR="00D44BCF" w:rsidRPr="007D3270">
              <w:rPr>
                <w:rStyle w:val="Hyperlink"/>
                <w:bCs/>
                <w:i/>
                <w:noProof/>
              </w:rPr>
              <w:t>Crimes Act 1914</w:t>
            </w:r>
            <w:r w:rsidR="00D44BCF" w:rsidRPr="007D3270">
              <w:rPr>
                <w:rStyle w:val="Hyperlink"/>
                <w:bCs/>
                <w:noProof/>
              </w:rPr>
              <w:t>, s 21B</w:t>
            </w:r>
            <w:r w:rsidR="00D44BCF">
              <w:rPr>
                <w:noProof/>
                <w:webHidden/>
              </w:rPr>
              <w:tab/>
            </w:r>
            <w:r w:rsidR="00D44BCF">
              <w:rPr>
                <w:noProof/>
                <w:webHidden/>
              </w:rPr>
              <w:fldChar w:fldCharType="begin"/>
            </w:r>
            <w:r w:rsidR="00D44BCF">
              <w:rPr>
                <w:noProof/>
                <w:webHidden/>
              </w:rPr>
              <w:instrText xml:space="preserve"> PAGEREF _Toc33602933 \h </w:instrText>
            </w:r>
            <w:r w:rsidR="00D44BCF">
              <w:rPr>
                <w:noProof/>
                <w:webHidden/>
              </w:rPr>
            </w:r>
            <w:r w:rsidR="00D44BCF">
              <w:rPr>
                <w:noProof/>
                <w:webHidden/>
              </w:rPr>
              <w:fldChar w:fldCharType="separate"/>
            </w:r>
            <w:r w:rsidR="00D44BCF">
              <w:rPr>
                <w:noProof/>
                <w:webHidden/>
              </w:rPr>
              <w:t>181</w:t>
            </w:r>
            <w:r w:rsidR="00D44BCF">
              <w:rPr>
                <w:noProof/>
                <w:webHidden/>
              </w:rPr>
              <w:fldChar w:fldCharType="end"/>
            </w:r>
          </w:hyperlink>
        </w:p>
        <w:p w14:paraId="1EDF6484" w14:textId="36EFC294" w:rsidR="00D44BCF" w:rsidRDefault="00F51B89">
          <w:pPr>
            <w:pStyle w:val="TOC2"/>
            <w:tabs>
              <w:tab w:val="left" w:pos="880"/>
              <w:tab w:val="right" w:leader="dot" w:pos="9061"/>
            </w:tabs>
            <w:rPr>
              <w:noProof/>
              <w:lang w:val="en-AU" w:eastAsia="en-AU"/>
            </w:rPr>
          </w:pPr>
          <w:hyperlink w:anchor="_Toc33602934" w:history="1">
            <w:r w:rsidR="00D44BCF" w:rsidRPr="007D3270">
              <w:rPr>
                <w:rStyle w:val="Hyperlink"/>
                <w:bCs/>
                <w:noProof/>
              </w:rPr>
              <w:t>6.2</w:t>
            </w:r>
            <w:r w:rsidR="00D44BCF">
              <w:rPr>
                <w:noProof/>
                <w:lang w:val="en-AU" w:eastAsia="en-AU"/>
              </w:rPr>
              <w:tab/>
            </w:r>
            <w:r w:rsidR="00D44BCF" w:rsidRPr="007D3270">
              <w:rPr>
                <w:rStyle w:val="Hyperlink"/>
                <w:bCs/>
                <w:noProof/>
              </w:rPr>
              <w:t>Forfeiture of property</w:t>
            </w:r>
            <w:r w:rsidR="00D44BCF">
              <w:rPr>
                <w:noProof/>
                <w:webHidden/>
              </w:rPr>
              <w:tab/>
            </w:r>
            <w:r w:rsidR="00D44BCF">
              <w:rPr>
                <w:noProof/>
                <w:webHidden/>
              </w:rPr>
              <w:fldChar w:fldCharType="begin"/>
            </w:r>
            <w:r w:rsidR="00D44BCF">
              <w:rPr>
                <w:noProof/>
                <w:webHidden/>
              </w:rPr>
              <w:instrText xml:space="preserve"> PAGEREF _Toc33602934 \h </w:instrText>
            </w:r>
            <w:r w:rsidR="00D44BCF">
              <w:rPr>
                <w:noProof/>
                <w:webHidden/>
              </w:rPr>
            </w:r>
            <w:r w:rsidR="00D44BCF">
              <w:rPr>
                <w:noProof/>
                <w:webHidden/>
              </w:rPr>
              <w:fldChar w:fldCharType="separate"/>
            </w:r>
            <w:r w:rsidR="00D44BCF">
              <w:rPr>
                <w:noProof/>
                <w:webHidden/>
              </w:rPr>
              <w:t>182</w:t>
            </w:r>
            <w:r w:rsidR="00D44BCF">
              <w:rPr>
                <w:noProof/>
                <w:webHidden/>
              </w:rPr>
              <w:fldChar w:fldCharType="end"/>
            </w:r>
          </w:hyperlink>
        </w:p>
        <w:p w14:paraId="7B1FD98A" w14:textId="54374A62" w:rsidR="00D44BCF" w:rsidRDefault="00F51B89">
          <w:pPr>
            <w:pStyle w:val="TOC2"/>
            <w:tabs>
              <w:tab w:val="left" w:pos="880"/>
              <w:tab w:val="right" w:leader="dot" w:pos="9061"/>
            </w:tabs>
            <w:rPr>
              <w:noProof/>
              <w:lang w:val="en-AU" w:eastAsia="en-AU"/>
            </w:rPr>
          </w:pPr>
          <w:hyperlink w:anchor="_Toc33602935" w:history="1">
            <w:r w:rsidR="00D44BCF" w:rsidRPr="007D3270">
              <w:rPr>
                <w:rStyle w:val="Hyperlink"/>
                <w:bCs/>
                <w:noProof/>
              </w:rPr>
              <w:t>6.3</w:t>
            </w:r>
            <w:r w:rsidR="00D44BCF">
              <w:rPr>
                <w:noProof/>
                <w:lang w:val="en-AU" w:eastAsia="en-AU"/>
              </w:rPr>
              <w:tab/>
            </w:r>
            <w:r w:rsidR="00D44BCF" w:rsidRPr="007D3270">
              <w:rPr>
                <w:rStyle w:val="Hyperlink"/>
                <w:bCs/>
                <w:noProof/>
              </w:rPr>
              <w:t>Orders for banning, licence cancellation and disqualification</w:t>
            </w:r>
            <w:r w:rsidR="00D44BCF">
              <w:rPr>
                <w:noProof/>
                <w:webHidden/>
              </w:rPr>
              <w:tab/>
            </w:r>
            <w:r w:rsidR="00D44BCF">
              <w:rPr>
                <w:noProof/>
                <w:webHidden/>
              </w:rPr>
              <w:fldChar w:fldCharType="begin"/>
            </w:r>
            <w:r w:rsidR="00D44BCF">
              <w:rPr>
                <w:noProof/>
                <w:webHidden/>
              </w:rPr>
              <w:instrText xml:space="preserve"> PAGEREF _Toc33602935 \h </w:instrText>
            </w:r>
            <w:r w:rsidR="00D44BCF">
              <w:rPr>
                <w:noProof/>
                <w:webHidden/>
              </w:rPr>
            </w:r>
            <w:r w:rsidR="00D44BCF">
              <w:rPr>
                <w:noProof/>
                <w:webHidden/>
              </w:rPr>
              <w:fldChar w:fldCharType="separate"/>
            </w:r>
            <w:r w:rsidR="00D44BCF">
              <w:rPr>
                <w:noProof/>
                <w:webHidden/>
              </w:rPr>
              <w:t>182</w:t>
            </w:r>
            <w:r w:rsidR="00D44BCF">
              <w:rPr>
                <w:noProof/>
                <w:webHidden/>
              </w:rPr>
              <w:fldChar w:fldCharType="end"/>
            </w:r>
          </w:hyperlink>
        </w:p>
        <w:p w14:paraId="0FE98F2D" w14:textId="368779F3" w:rsidR="00D44BCF" w:rsidRDefault="00F51B89">
          <w:pPr>
            <w:pStyle w:val="TOC1"/>
            <w:tabs>
              <w:tab w:val="left" w:pos="440"/>
            </w:tabs>
            <w:rPr>
              <w:b w:val="0"/>
              <w:lang w:val="en-AU" w:eastAsia="en-AU"/>
            </w:rPr>
          </w:pPr>
          <w:hyperlink w:anchor="_Toc33602936" w:history="1">
            <w:r w:rsidR="00D44BCF" w:rsidRPr="007D3270">
              <w:rPr>
                <w:rStyle w:val="Hyperlink"/>
              </w:rPr>
              <w:t>7</w:t>
            </w:r>
            <w:r w:rsidR="00D44BCF">
              <w:rPr>
                <w:b w:val="0"/>
                <w:lang w:val="en-AU" w:eastAsia="en-AU"/>
              </w:rPr>
              <w:tab/>
            </w:r>
            <w:r w:rsidR="00D44BCF" w:rsidRPr="007D3270">
              <w:rPr>
                <w:rStyle w:val="Hyperlink"/>
              </w:rPr>
              <w:t>Some procedural issues</w:t>
            </w:r>
            <w:r w:rsidR="00D44BCF">
              <w:rPr>
                <w:webHidden/>
              </w:rPr>
              <w:tab/>
            </w:r>
            <w:r w:rsidR="00D44BCF">
              <w:rPr>
                <w:webHidden/>
              </w:rPr>
              <w:fldChar w:fldCharType="begin"/>
            </w:r>
            <w:r w:rsidR="00D44BCF">
              <w:rPr>
                <w:webHidden/>
              </w:rPr>
              <w:instrText xml:space="preserve"> PAGEREF _Toc33602936 \h </w:instrText>
            </w:r>
            <w:r w:rsidR="00D44BCF">
              <w:rPr>
                <w:webHidden/>
              </w:rPr>
            </w:r>
            <w:r w:rsidR="00D44BCF">
              <w:rPr>
                <w:webHidden/>
              </w:rPr>
              <w:fldChar w:fldCharType="separate"/>
            </w:r>
            <w:r w:rsidR="00D44BCF">
              <w:rPr>
                <w:webHidden/>
              </w:rPr>
              <w:t>184</w:t>
            </w:r>
            <w:r w:rsidR="00D44BCF">
              <w:rPr>
                <w:webHidden/>
              </w:rPr>
              <w:fldChar w:fldCharType="end"/>
            </w:r>
          </w:hyperlink>
        </w:p>
        <w:p w14:paraId="0E26778F" w14:textId="555F57B0" w:rsidR="00D44BCF" w:rsidRDefault="00F51B89">
          <w:pPr>
            <w:pStyle w:val="TOC2"/>
            <w:tabs>
              <w:tab w:val="left" w:pos="880"/>
              <w:tab w:val="right" w:leader="dot" w:pos="9061"/>
            </w:tabs>
            <w:rPr>
              <w:noProof/>
              <w:lang w:val="en-AU" w:eastAsia="en-AU"/>
            </w:rPr>
          </w:pPr>
          <w:hyperlink w:anchor="_Toc33602937" w:history="1">
            <w:r w:rsidR="00D44BCF" w:rsidRPr="007D3270">
              <w:rPr>
                <w:rStyle w:val="Hyperlink"/>
                <w:rFonts w:ascii="Calibri" w:hAnsi="Calibri"/>
                <w:bCs/>
                <w:noProof/>
              </w:rPr>
              <w:t>7.1</w:t>
            </w:r>
            <w:r w:rsidR="00D44BCF">
              <w:rPr>
                <w:noProof/>
                <w:lang w:val="en-AU" w:eastAsia="en-AU"/>
              </w:rPr>
              <w:tab/>
            </w:r>
            <w:r w:rsidR="00D44BCF" w:rsidRPr="007D3270">
              <w:rPr>
                <w:rStyle w:val="Hyperlink"/>
                <w:bCs/>
                <w:noProof/>
              </w:rPr>
              <w:t xml:space="preserve">Role of the </w:t>
            </w:r>
            <w:r w:rsidR="00D44BCF" w:rsidRPr="007D3270">
              <w:rPr>
                <w:rStyle w:val="Hyperlink"/>
                <w:noProof/>
              </w:rPr>
              <w:t>prosecution</w:t>
            </w:r>
            <w:r w:rsidR="00D44BCF" w:rsidRPr="007D3270">
              <w:rPr>
                <w:rStyle w:val="Hyperlink"/>
                <w:bCs/>
                <w:noProof/>
              </w:rPr>
              <w:t xml:space="preserve"> in a sentence hearing</w:t>
            </w:r>
            <w:r w:rsidR="00D44BCF">
              <w:rPr>
                <w:noProof/>
                <w:webHidden/>
              </w:rPr>
              <w:tab/>
            </w:r>
            <w:r w:rsidR="00D44BCF">
              <w:rPr>
                <w:noProof/>
                <w:webHidden/>
              </w:rPr>
              <w:fldChar w:fldCharType="begin"/>
            </w:r>
            <w:r w:rsidR="00D44BCF">
              <w:rPr>
                <w:noProof/>
                <w:webHidden/>
              </w:rPr>
              <w:instrText xml:space="preserve"> PAGEREF _Toc33602937 \h </w:instrText>
            </w:r>
            <w:r w:rsidR="00D44BCF">
              <w:rPr>
                <w:noProof/>
                <w:webHidden/>
              </w:rPr>
            </w:r>
            <w:r w:rsidR="00D44BCF">
              <w:rPr>
                <w:noProof/>
                <w:webHidden/>
              </w:rPr>
              <w:fldChar w:fldCharType="separate"/>
            </w:r>
            <w:r w:rsidR="00D44BCF">
              <w:rPr>
                <w:noProof/>
                <w:webHidden/>
              </w:rPr>
              <w:t>184</w:t>
            </w:r>
            <w:r w:rsidR="00D44BCF">
              <w:rPr>
                <w:noProof/>
                <w:webHidden/>
              </w:rPr>
              <w:fldChar w:fldCharType="end"/>
            </w:r>
          </w:hyperlink>
        </w:p>
        <w:p w14:paraId="74C563FD" w14:textId="16E3944B" w:rsidR="00D44BCF" w:rsidRDefault="00F51B89">
          <w:pPr>
            <w:pStyle w:val="TOC3"/>
            <w:tabs>
              <w:tab w:val="left" w:pos="1320"/>
            </w:tabs>
            <w:rPr>
              <w:noProof/>
              <w:lang w:val="en-AU" w:eastAsia="en-AU"/>
            </w:rPr>
          </w:pPr>
          <w:hyperlink w:anchor="_Toc33602938" w:history="1">
            <w:r w:rsidR="00D44BCF" w:rsidRPr="007D3270">
              <w:rPr>
                <w:rStyle w:val="Hyperlink"/>
                <w:noProof/>
              </w:rPr>
              <w:t>7.1.1</w:t>
            </w:r>
            <w:r w:rsidR="00D44BCF">
              <w:rPr>
                <w:noProof/>
                <w:lang w:val="en-AU" w:eastAsia="en-AU"/>
              </w:rPr>
              <w:tab/>
            </w:r>
            <w:r w:rsidR="00D44BCF" w:rsidRPr="007D3270">
              <w:rPr>
                <w:rStyle w:val="Hyperlink"/>
                <w:noProof/>
              </w:rPr>
              <w:t>Prosecution not permitted or obliged to submit range of sentences</w:t>
            </w:r>
            <w:r w:rsidR="00D44BCF">
              <w:rPr>
                <w:noProof/>
                <w:webHidden/>
              </w:rPr>
              <w:tab/>
            </w:r>
            <w:r w:rsidR="00D44BCF">
              <w:rPr>
                <w:noProof/>
                <w:webHidden/>
              </w:rPr>
              <w:fldChar w:fldCharType="begin"/>
            </w:r>
            <w:r w:rsidR="00D44BCF">
              <w:rPr>
                <w:noProof/>
                <w:webHidden/>
              </w:rPr>
              <w:instrText xml:space="preserve"> PAGEREF _Toc33602938 \h </w:instrText>
            </w:r>
            <w:r w:rsidR="00D44BCF">
              <w:rPr>
                <w:noProof/>
                <w:webHidden/>
              </w:rPr>
            </w:r>
            <w:r w:rsidR="00D44BCF">
              <w:rPr>
                <w:noProof/>
                <w:webHidden/>
              </w:rPr>
              <w:fldChar w:fldCharType="separate"/>
            </w:r>
            <w:r w:rsidR="00D44BCF">
              <w:rPr>
                <w:noProof/>
                <w:webHidden/>
              </w:rPr>
              <w:t>184</w:t>
            </w:r>
            <w:r w:rsidR="00D44BCF">
              <w:rPr>
                <w:noProof/>
                <w:webHidden/>
              </w:rPr>
              <w:fldChar w:fldCharType="end"/>
            </w:r>
          </w:hyperlink>
        </w:p>
        <w:p w14:paraId="5399E635" w14:textId="44470135" w:rsidR="00D44BCF" w:rsidRDefault="00F51B89">
          <w:pPr>
            <w:pStyle w:val="TOC3"/>
            <w:tabs>
              <w:tab w:val="left" w:pos="1320"/>
            </w:tabs>
            <w:rPr>
              <w:noProof/>
              <w:lang w:val="en-AU" w:eastAsia="en-AU"/>
            </w:rPr>
          </w:pPr>
          <w:hyperlink w:anchor="_Toc33602939" w:history="1">
            <w:r w:rsidR="00D44BCF" w:rsidRPr="007D3270">
              <w:rPr>
                <w:rStyle w:val="Hyperlink"/>
                <w:noProof/>
              </w:rPr>
              <w:t>7.1.2</w:t>
            </w:r>
            <w:r w:rsidR="00D44BCF">
              <w:rPr>
                <w:noProof/>
                <w:lang w:val="en-AU" w:eastAsia="en-AU"/>
              </w:rPr>
              <w:tab/>
            </w:r>
            <w:r w:rsidR="00D44BCF" w:rsidRPr="007D3270">
              <w:rPr>
                <w:rStyle w:val="Hyperlink"/>
                <w:noProof/>
              </w:rPr>
              <w:t>Duties of the prosecution on a plea hearing</w:t>
            </w:r>
            <w:r w:rsidR="00D44BCF">
              <w:rPr>
                <w:noProof/>
                <w:webHidden/>
              </w:rPr>
              <w:tab/>
            </w:r>
            <w:r w:rsidR="00D44BCF">
              <w:rPr>
                <w:noProof/>
                <w:webHidden/>
              </w:rPr>
              <w:fldChar w:fldCharType="begin"/>
            </w:r>
            <w:r w:rsidR="00D44BCF">
              <w:rPr>
                <w:noProof/>
                <w:webHidden/>
              </w:rPr>
              <w:instrText xml:space="preserve"> PAGEREF _Toc33602939 \h </w:instrText>
            </w:r>
            <w:r w:rsidR="00D44BCF">
              <w:rPr>
                <w:noProof/>
                <w:webHidden/>
              </w:rPr>
            </w:r>
            <w:r w:rsidR="00D44BCF">
              <w:rPr>
                <w:noProof/>
                <w:webHidden/>
              </w:rPr>
              <w:fldChar w:fldCharType="separate"/>
            </w:r>
            <w:r w:rsidR="00D44BCF">
              <w:rPr>
                <w:noProof/>
                <w:webHidden/>
              </w:rPr>
              <w:t>186</w:t>
            </w:r>
            <w:r w:rsidR="00D44BCF">
              <w:rPr>
                <w:noProof/>
                <w:webHidden/>
              </w:rPr>
              <w:fldChar w:fldCharType="end"/>
            </w:r>
          </w:hyperlink>
        </w:p>
        <w:p w14:paraId="52215E7D" w14:textId="17356553" w:rsidR="00D44BCF" w:rsidRDefault="00F51B89">
          <w:pPr>
            <w:pStyle w:val="TOC2"/>
            <w:tabs>
              <w:tab w:val="left" w:pos="880"/>
              <w:tab w:val="right" w:leader="dot" w:pos="9061"/>
            </w:tabs>
            <w:rPr>
              <w:noProof/>
              <w:lang w:val="en-AU" w:eastAsia="en-AU"/>
            </w:rPr>
          </w:pPr>
          <w:hyperlink w:anchor="_Toc33602940" w:history="1">
            <w:r w:rsidR="00D44BCF" w:rsidRPr="007D3270">
              <w:rPr>
                <w:rStyle w:val="Hyperlink"/>
                <w:bCs/>
                <w:noProof/>
              </w:rPr>
              <w:t>7.2</w:t>
            </w:r>
            <w:r w:rsidR="00D44BCF">
              <w:rPr>
                <w:noProof/>
                <w:lang w:val="en-AU" w:eastAsia="en-AU"/>
              </w:rPr>
              <w:tab/>
            </w:r>
            <w:r w:rsidR="00D44BCF" w:rsidRPr="007D3270">
              <w:rPr>
                <w:rStyle w:val="Hyperlink"/>
                <w:bCs/>
                <w:noProof/>
              </w:rPr>
              <w:t>Deferring a sentence</w:t>
            </w:r>
            <w:r w:rsidR="00D44BCF">
              <w:rPr>
                <w:noProof/>
                <w:webHidden/>
              </w:rPr>
              <w:tab/>
            </w:r>
            <w:r w:rsidR="00D44BCF">
              <w:rPr>
                <w:noProof/>
                <w:webHidden/>
              </w:rPr>
              <w:fldChar w:fldCharType="begin"/>
            </w:r>
            <w:r w:rsidR="00D44BCF">
              <w:rPr>
                <w:noProof/>
                <w:webHidden/>
              </w:rPr>
              <w:instrText xml:space="preserve"> PAGEREF _Toc33602940 \h </w:instrText>
            </w:r>
            <w:r w:rsidR="00D44BCF">
              <w:rPr>
                <w:noProof/>
                <w:webHidden/>
              </w:rPr>
            </w:r>
            <w:r w:rsidR="00D44BCF">
              <w:rPr>
                <w:noProof/>
                <w:webHidden/>
              </w:rPr>
              <w:fldChar w:fldCharType="separate"/>
            </w:r>
            <w:r w:rsidR="00D44BCF">
              <w:rPr>
                <w:noProof/>
                <w:webHidden/>
              </w:rPr>
              <w:t>192</w:t>
            </w:r>
            <w:r w:rsidR="00D44BCF">
              <w:rPr>
                <w:noProof/>
                <w:webHidden/>
              </w:rPr>
              <w:fldChar w:fldCharType="end"/>
            </w:r>
          </w:hyperlink>
        </w:p>
        <w:p w14:paraId="6532B614" w14:textId="364C9267" w:rsidR="00D44BCF" w:rsidRDefault="00F51B89">
          <w:pPr>
            <w:pStyle w:val="TOC2"/>
            <w:tabs>
              <w:tab w:val="left" w:pos="880"/>
              <w:tab w:val="right" w:leader="dot" w:pos="9061"/>
            </w:tabs>
            <w:rPr>
              <w:noProof/>
              <w:lang w:val="en-AU" w:eastAsia="en-AU"/>
            </w:rPr>
          </w:pPr>
          <w:hyperlink w:anchor="_Toc33602941" w:history="1">
            <w:r w:rsidR="00D44BCF" w:rsidRPr="007D3270">
              <w:rPr>
                <w:rStyle w:val="Hyperlink"/>
                <w:bCs/>
                <w:noProof/>
              </w:rPr>
              <w:t>7.3</w:t>
            </w:r>
            <w:r w:rsidR="00D44BCF">
              <w:rPr>
                <w:noProof/>
                <w:lang w:val="en-AU" w:eastAsia="en-AU"/>
              </w:rPr>
              <w:tab/>
            </w:r>
            <w:r w:rsidR="00D44BCF" w:rsidRPr="007D3270">
              <w:rPr>
                <w:rStyle w:val="Hyperlink"/>
                <w:bCs/>
                <w:noProof/>
              </w:rPr>
              <w:t>Diversion</w:t>
            </w:r>
            <w:r w:rsidR="00D44BCF">
              <w:rPr>
                <w:noProof/>
                <w:webHidden/>
              </w:rPr>
              <w:tab/>
            </w:r>
            <w:r w:rsidR="00D44BCF">
              <w:rPr>
                <w:noProof/>
                <w:webHidden/>
              </w:rPr>
              <w:fldChar w:fldCharType="begin"/>
            </w:r>
            <w:r w:rsidR="00D44BCF">
              <w:rPr>
                <w:noProof/>
                <w:webHidden/>
              </w:rPr>
              <w:instrText xml:space="preserve"> PAGEREF _Toc33602941 \h </w:instrText>
            </w:r>
            <w:r w:rsidR="00D44BCF">
              <w:rPr>
                <w:noProof/>
                <w:webHidden/>
              </w:rPr>
            </w:r>
            <w:r w:rsidR="00D44BCF">
              <w:rPr>
                <w:noProof/>
                <w:webHidden/>
              </w:rPr>
              <w:fldChar w:fldCharType="separate"/>
            </w:r>
            <w:r w:rsidR="00D44BCF">
              <w:rPr>
                <w:noProof/>
                <w:webHidden/>
              </w:rPr>
              <w:t>193</w:t>
            </w:r>
            <w:r w:rsidR="00D44BCF">
              <w:rPr>
                <w:noProof/>
                <w:webHidden/>
              </w:rPr>
              <w:fldChar w:fldCharType="end"/>
            </w:r>
          </w:hyperlink>
        </w:p>
        <w:p w14:paraId="658000D8" w14:textId="6E04F290" w:rsidR="00D44BCF" w:rsidRDefault="00F51B89">
          <w:pPr>
            <w:pStyle w:val="TOC2"/>
            <w:tabs>
              <w:tab w:val="left" w:pos="880"/>
              <w:tab w:val="right" w:leader="dot" w:pos="9061"/>
            </w:tabs>
            <w:rPr>
              <w:noProof/>
              <w:lang w:val="en-AU" w:eastAsia="en-AU"/>
            </w:rPr>
          </w:pPr>
          <w:hyperlink w:anchor="_Toc33602942" w:history="1">
            <w:r w:rsidR="00D44BCF" w:rsidRPr="007D3270">
              <w:rPr>
                <w:rStyle w:val="Hyperlink"/>
                <w:bCs/>
                <w:noProof/>
              </w:rPr>
              <w:t>7.4</w:t>
            </w:r>
            <w:r w:rsidR="00D44BCF">
              <w:rPr>
                <w:noProof/>
                <w:lang w:val="en-AU" w:eastAsia="en-AU"/>
              </w:rPr>
              <w:tab/>
            </w:r>
            <w:r w:rsidR="00D44BCF" w:rsidRPr="007D3270">
              <w:rPr>
                <w:rStyle w:val="Hyperlink"/>
                <w:bCs/>
                <w:noProof/>
              </w:rPr>
              <w:t>Court-supervised restorative justice schemes</w:t>
            </w:r>
            <w:r w:rsidR="00D44BCF">
              <w:rPr>
                <w:noProof/>
                <w:webHidden/>
              </w:rPr>
              <w:tab/>
            </w:r>
            <w:r w:rsidR="00D44BCF">
              <w:rPr>
                <w:noProof/>
                <w:webHidden/>
              </w:rPr>
              <w:fldChar w:fldCharType="begin"/>
            </w:r>
            <w:r w:rsidR="00D44BCF">
              <w:rPr>
                <w:noProof/>
                <w:webHidden/>
              </w:rPr>
              <w:instrText xml:space="preserve"> PAGEREF _Toc33602942 \h </w:instrText>
            </w:r>
            <w:r w:rsidR="00D44BCF">
              <w:rPr>
                <w:noProof/>
                <w:webHidden/>
              </w:rPr>
            </w:r>
            <w:r w:rsidR="00D44BCF">
              <w:rPr>
                <w:noProof/>
                <w:webHidden/>
              </w:rPr>
              <w:fldChar w:fldCharType="separate"/>
            </w:r>
            <w:r w:rsidR="00D44BCF">
              <w:rPr>
                <w:noProof/>
                <w:webHidden/>
              </w:rPr>
              <w:t>193</w:t>
            </w:r>
            <w:r w:rsidR="00D44BCF">
              <w:rPr>
                <w:noProof/>
                <w:webHidden/>
              </w:rPr>
              <w:fldChar w:fldCharType="end"/>
            </w:r>
          </w:hyperlink>
        </w:p>
        <w:p w14:paraId="7AAD47AA" w14:textId="1DEC1BDE" w:rsidR="00D44BCF" w:rsidRDefault="00F51B89">
          <w:pPr>
            <w:pStyle w:val="TOC2"/>
            <w:tabs>
              <w:tab w:val="left" w:pos="880"/>
              <w:tab w:val="right" w:leader="dot" w:pos="9061"/>
            </w:tabs>
            <w:rPr>
              <w:noProof/>
              <w:lang w:val="en-AU" w:eastAsia="en-AU"/>
            </w:rPr>
          </w:pPr>
          <w:hyperlink w:anchor="_Toc33602943" w:history="1">
            <w:r w:rsidR="00D44BCF" w:rsidRPr="007D3270">
              <w:rPr>
                <w:rStyle w:val="Hyperlink"/>
                <w:bCs/>
                <w:noProof/>
              </w:rPr>
              <w:t>7.5</w:t>
            </w:r>
            <w:r w:rsidR="00D44BCF">
              <w:rPr>
                <w:noProof/>
                <w:lang w:val="en-AU" w:eastAsia="en-AU"/>
              </w:rPr>
              <w:tab/>
            </w:r>
            <w:r w:rsidR="00D44BCF" w:rsidRPr="007D3270">
              <w:rPr>
                <w:rStyle w:val="Hyperlink"/>
                <w:bCs/>
                <w:noProof/>
              </w:rPr>
              <w:t>Taking other federal offences into account</w:t>
            </w:r>
            <w:r w:rsidR="00D44BCF">
              <w:rPr>
                <w:noProof/>
                <w:webHidden/>
              </w:rPr>
              <w:tab/>
            </w:r>
            <w:r w:rsidR="00D44BCF">
              <w:rPr>
                <w:noProof/>
                <w:webHidden/>
              </w:rPr>
              <w:fldChar w:fldCharType="begin"/>
            </w:r>
            <w:r w:rsidR="00D44BCF">
              <w:rPr>
                <w:noProof/>
                <w:webHidden/>
              </w:rPr>
              <w:instrText xml:space="preserve"> PAGEREF _Toc33602943 \h </w:instrText>
            </w:r>
            <w:r w:rsidR="00D44BCF">
              <w:rPr>
                <w:noProof/>
                <w:webHidden/>
              </w:rPr>
            </w:r>
            <w:r w:rsidR="00D44BCF">
              <w:rPr>
                <w:noProof/>
                <w:webHidden/>
              </w:rPr>
              <w:fldChar w:fldCharType="separate"/>
            </w:r>
            <w:r w:rsidR="00D44BCF">
              <w:rPr>
                <w:noProof/>
                <w:webHidden/>
              </w:rPr>
              <w:t>194</w:t>
            </w:r>
            <w:r w:rsidR="00D44BCF">
              <w:rPr>
                <w:noProof/>
                <w:webHidden/>
              </w:rPr>
              <w:fldChar w:fldCharType="end"/>
            </w:r>
          </w:hyperlink>
        </w:p>
        <w:p w14:paraId="64A345DB" w14:textId="3CA66656" w:rsidR="00D44BCF" w:rsidRDefault="00F51B89">
          <w:pPr>
            <w:pStyle w:val="TOC2"/>
            <w:tabs>
              <w:tab w:val="left" w:pos="880"/>
              <w:tab w:val="right" w:leader="dot" w:pos="9061"/>
            </w:tabs>
            <w:rPr>
              <w:noProof/>
              <w:lang w:val="en-AU" w:eastAsia="en-AU"/>
            </w:rPr>
          </w:pPr>
          <w:hyperlink w:anchor="_Toc33602944" w:history="1">
            <w:r w:rsidR="00D44BCF" w:rsidRPr="007D3270">
              <w:rPr>
                <w:rStyle w:val="Hyperlink"/>
                <w:bCs/>
                <w:noProof/>
              </w:rPr>
              <w:t>7.6</w:t>
            </w:r>
            <w:r w:rsidR="00D44BCF">
              <w:rPr>
                <w:noProof/>
                <w:lang w:val="en-AU" w:eastAsia="en-AU"/>
              </w:rPr>
              <w:tab/>
            </w:r>
            <w:r w:rsidR="00D44BCF" w:rsidRPr="007D3270">
              <w:rPr>
                <w:rStyle w:val="Hyperlink"/>
                <w:bCs/>
                <w:noProof/>
              </w:rPr>
              <w:t>Dealing with summary offences in a superior court</w:t>
            </w:r>
            <w:r w:rsidR="00D44BCF">
              <w:rPr>
                <w:noProof/>
                <w:webHidden/>
              </w:rPr>
              <w:tab/>
            </w:r>
            <w:r w:rsidR="00D44BCF">
              <w:rPr>
                <w:noProof/>
                <w:webHidden/>
              </w:rPr>
              <w:fldChar w:fldCharType="begin"/>
            </w:r>
            <w:r w:rsidR="00D44BCF">
              <w:rPr>
                <w:noProof/>
                <w:webHidden/>
              </w:rPr>
              <w:instrText xml:space="preserve"> PAGEREF _Toc33602944 \h </w:instrText>
            </w:r>
            <w:r w:rsidR="00D44BCF">
              <w:rPr>
                <w:noProof/>
                <w:webHidden/>
              </w:rPr>
            </w:r>
            <w:r w:rsidR="00D44BCF">
              <w:rPr>
                <w:noProof/>
                <w:webHidden/>
              </w:rPr>
              <w:fldChar w:fldCharType="separate"/>
            </w:r>
            <w:r w:rsidR="00D44BCF">
              <w:rPr>
                <w:noProof/>
                <w:webHidden/>
              </w:rPr>
              <w:t>196</w:t>
            </w:r>
            <w:r w:rsidR="00D44BCF">
              <w:rPr>
                <w:noProof/>
                <w:webHidden/>
              </w:rPr>
              <w:fldChar w:fldCharType="end"/>
            </w:r>
          </w:hyperlink>
        </w:p>
        <w:p w14:paraId="66BBE18F" w14:textId="52FC305E" w:rsidR="00D44BCF" w:rsidRDefault="00F51B89">
          <w:pPr>
            <w:pStyle w:val="TOC2"/>
            <w:tabs>
              <w:tab w:val="left" w:pos="880"/>
              <w:tab w:val="right" w:leader="dot" w:pos="9061"/>
            </w:tabs>
            <w:rPr>
              <w:noProof/>
              <w:lang w:val="en-AU" w:eastAsia="en-AU"/>
            </w:rPr>
          </w:pPr>
          <w:hyperlink w:anchor="_Toc33602945" w:history="1">
            <w:r w:rsidR="00D44BCF" w:rsidRPr="007D3270">
              <w:rPr>
                <w:rStyle w:val="Hyperlink"/>
                <w:noProof/>
              </w:rPr>
              <w:t>7.7</w:t>
            </w:r>
            <w:r w:rsidR="00D44BCF">
              <w:rPr>
                <w:noProof/>
                <w:lang w:val="en-AU" w:eastAsia="en-AU"/>
              </w:rPr>
              <w:tab/>
            </w:r>
            <w:r w:rsidR="00D44BCF" w:rsidRPr="007D3270">
              <w:rPr>
                <w:rStyle w:val="Hyperlink"/>
                <w:noProof/>
              </w:rPr>
              <w:t>Specifying a reduction for undertaking to co-operate in future - Crimes Act 1914 s 16AC</w:t>
            </w:r>
            <w:r w:rsidR="00D44BCF">
              <w:rPr>
                <w:noProof/>
                <w:webHidden/>
              </w:rPr>
              <w:tab/>
            </w:r>
            <w:r w:rsidR="00D44BCF">
              <w:rPr>
                <w:noProof/>
                <w:webHidden/>
              </w:rPr>
              <w:fldChar w:fldCharType="begin"/>
            </w:r>
            <w:r w:rsidR="00D44BCF">
              <w:rPr>
                <w:noProof/>
                <w:webHidden/>
              </w:rPr>
              <w:instrText xml:space="preserve"> PAGEREF _Toc33602945 \h </w:instrText>
            </w:r>
            <w:r w:rsidR="00D44BCF">
              <w:rPr>
                <w:noProof/>
                <w:webHidden/>
              </w:rPr>
            </w:r>
            <w:r w:rsidR="00D44BCF">
              <w:rPr>
                <w:noProof/>
                <w:webHidden/>
              </w:rPr>
              <w:fldChar w:fldCharType="separate"/>
            </w:r>
            <w:r w:rsidR="00D44BCF">
              <w:rPr>
                <w:noProof/>
                <w:webHidden/>
              </w:rPr>
              <w:t>197</w:t>
            </w:r>
            <w:r w:rsidR="00D44BCF">
              <w:rPr>
                <w:noProof/>
                <w:webHidden/>
              </w:rPr>
              <w:fldChar w:fldCharType="end"/>
            </w:r>
          </w:hyperlink>
        </w:p>
        <w:p w14:paraId="50C92695" w14:textId="28DE9B66" w:rsidR="00D44BCF" w:rsidRDefault="00F51B89">
          <w:pPr>
            <w:pStyle w:val="TOC3"/>
            <w:tabs>
              <w:tab w:val="left" w:pos="1320"/>
            </w:tabs>
            <w:rPr>
              <w:noProof/>
              <w:lang w:val="en-AU" w:eastAsia="en-AU"/>
            </w:rPr>
          </w:pPr>
          <w:hyperlink w:anchor="_Toc33602946" w:history="1">
            <w:r w:rsidR="00D44BCF" w:rsidRPr="007D3270">
              <w:rPr>
                <w:rStyle w:val="Hyperlink"/>
                <w:noProof/>
              </w:rPr>
              <w:t>7.7.1</w:t>
            </w:r>
            <w:r w:rsidR="00D44BCF">
              <w:rPr>
                <w:noProof/>
                <w:lang w:val="en-AU" w:eastAsia="en-AU"/>
              </w:rPr>
              <w:tab/>
            </w:r>
            <w:r w:rsidR="00D44BCF" w:rsidRPr="007D3270">
              <w:rPr>
                <w:rStyle w:val="Hyperlink"/>
                <w:noProof/>
              </w:rPr>
              <w:t xml:space="preserve">The requirements of </w:t>
            </w:r>
            <w:r w:rsidR="00D44BCF" w:rsidRPr="007D3270">
              <w:rPr>
                <w:rStyle w:val="Hyperlink"/>
                <w:i/>
                <w:noProof/>
              </w:rPr>
              <w:t>Crimes Act 1914</w:t>
            </w:r>
            <w:r w:rsidR="00D44BCF" w:rsidRPr="007D3270">
              <w:rPr>
                <w:rStyle w:val="Hyperlink"/>
                <w:noProof/>
              </w:rPr>
              <w:t>, s 16AC</w:t>
            </w:r>
            <w:r w:rsidR="00D44BCF">
              <w:rPr>
                <w:noProof/>
                <w:webHidden/>
              </w:rPr>
              <w:tab/>
            </w:r>
            <w:r w:rsidR="00D44BCF">
              <w:rPr>
                <w:noProof/>
                <w:webHidden/>
              </w:rPr>
              <w:fldChar w:fldCharType="begin"/>
            </w:r>
            <w:r w:rsidR="00D44BCF">
              <w:rPr>
                <w:noProof/>
                <w:webHidden/>
              </w:rPr>
              <w:instrText xml:space="preserve"> PAGEREF _Toc33602946 \h </w:instrText>
            </w:r>
            <w:r w:rsidR="00D44BCF">
              <w:rPr>
                <w:noProof/>
                <w:webHidden/>
              </w:rPr>
            </w:r>
            <w:r w:rsidR="00D44BCF">
              <w:rPr>
                <w:noProof/>
                <w:webHidden/>
              </w:rPr>
              <w:fldChar w:fldCharType="separate"/>
            </w:r>
            <w:r w:rsidR="00D44BCF">
              <w:rPr>
                <w:noProof/>
                <w:webHidden/>
              </w:rPr>
              <w:t>197</w:t>
            </w:r>
            <w:r w:rsidR="00D44BCF">
              <w:rPr>
                <w:noProof/>
                <w:webHidden/>
              </w:rPr>
              <w:fldChar w:fldCharType="end"/>
            </w:r>
          </w:hyperlink>
        </w:p>
        <w:p w14:paraId="4FD9F0BA" w14:textId="43EE91C2" w:rsidR="00D44BCF" w:rsidRDefault="00F51B89">
          <w:pPr>
            <w:pStyle w:val="TOC3"/>
            <w:tabs>
              <w:tab w:val="left" w:pos="1320"/>
            </w:tabs>
            <w:rPr>
              <w:noProof/>
              <w:lang w:val="en-AU" w:eastAsia="en-AU"/>
            </w:rPr>
          </w:pPr>
          <w:hyperlink w:anchor="_Toc33602947" w:history="1">
            <w:r w:rsidR="00D44BCF" w:rsidRPr="007D3270">
              <w:rPr>
                <w:rStyle w:val="Hyperlink"/>
                <w:noProof/>
              </w:rPr>
              <w:t>7.7.2</w:t>
            </w:r>
            <w:r w:rsidR="00D44BCF">
              <w:rPr>
                <w:noProof/>
                <w:lang w:val="en-AU" w:eastAsia="en-AU"/>
              </w:rPr>
              <w:tab/>
            </w:r>
            <w:r w:rsidR="00D44BCF" w:rsidRPr="007D3270">
              <w:rPr>
                <w:rStyle w:val="Hyperlink"/>
                <w:noProof/>
              </w:rPr>
              <w:t>Distinction between past and future cooperation</w:t>
            </w:r>
            <w:r w:rsidR="00D44BCF">
              <w:rPr>
                <w:noProof/>
                <w:webHidden/>
              </w:rPr>
              <w:tab/>
            </w:r>
            <w:r w:rsidR="00D44BCF">
              <w:rPr>
                <w:noProof/>
                <w:webHidden/>
              </w:rPr>
              <w:fldChar w:fldCharType="begin"/>
            </w:r>
            <w:r w:rsidR="00D44BCF">
              <w:rPr>
                <w:noProof/>
                <w:webHidden/>
              </w:rPr>
              <w:instrText xml:space="preserve"> PAGEREF _Toc33602947 \h </w:instrText>
            </w:r>
            <w:r w:rsidR="00D44BCF">
              <w:rPr>
                <w:noProof/>
                <w:webHidden/>
              </w:rPr>
            </w:r>
            <w:r w:rsidR="00D44BCF">
              <w:rPr>
                <w:noProof/>
                <w:webHidden/>
              </w:rPr>
              <w:fldChar w:fldCharType="separate"/>
            </w:r>
            <w:r w:rsidR="00D44BCF">
              <w:rPr>
                <w:noProof/>
                <w:webHidden/>
              </w:rPr>
              <w:t>198</w:t>
            </w:r>
            <w:r w:rsidR="00D44BCF">
              <w:rPr>
                <w:noProof/>
                <w:webHidden/>
              </w:rPr>
              <w:fldChar w:fldCharType="end"/>
            </w:r>
          </w:hyperlink>
        </w:p>
        <w:p w14:paraId="76F4FE29" w14:textId="5141045E" w:rsidR="00D44BCF" w:rsidRDefault="00F51B89">
          <w:pPr>
            <w:pStyle w:val="TOC3"/>
            <w:tabs>
              <w:tab w:val="left" w:pos="1320"/>
            </w:tabs>
            <w:rPr>
              <w:noProof/>
              <w:lang w:val="en-AU" w:eastAsia="en-AU"/>
            </w:rPr>
          </w:pPr>
          <w:hyperlink w:anchor="_Toc33602948" w:history="1">
            <w:r w:rsidR="00D44BCF" w:rsidRPr="007D3270">
              <w:rPr>
                <w:rStyle w:val="Hyperlink"/>
                <w:noProof/>
              </w:rPr>
              <w:t>7.7.3</w:t>
            </w:r>
            <w:r w:rsidR="00D44BCF">
              <w:rPr>
                <w:noProof/>
                <w:lang w:val="en-AU" w:eastAsia="en-AU"/>
              </w:rPr>
              <w:tab/>
            </w:r>
            <w:r w:rsidR="00D44BCF" w:rsidRPr="007D3270">
              <w:rPr>
                <w:rStyle w:val="Hyperlink"/>
                <w:noProof/>
              </w:rPr>
              <w:t>Determining the reduction to be given under s 16AC</w:t>
            </w:r>
            <w:r w:rsidR="00D44BCF">
              <w:rPr>
                <w:noProof/>
                <w:webHidden/>
              </w:rPr>
              <w:tab/>
            </w:r>
            <w:r w:rsidR="00D44BCF">
              <w:rPr>
                <w:noProof/>
                <w:webHidden/>
              </w:rPr>
              <w:fldChar w:fldCharType="begin"/>
            </w:r>
            <w:r w:rsidR="00D44BCF">
              <w:rPr>
                <w:noProof/>
                <w:webHidden/>
              </w:rPr>
              <w:instrText xml:space="preserve"> PAGEREF _Toc33602948 \h </w:instrText>
            </w:r>
            <w:r w:rsidR="00D44BCF">
              <w:rPr>
                <w:noProof/>
                <w:webHidden/>
              </w:rPr>
            </w:r>
            <w:r w:rsidR="00D44BCF">
              <w:rPr>
                <w:noProof/>
                <w:webHidden/>
              </w:rPr>
              <w:fldChar w:fldCharType="separate"/>
            </w:r>
            <w:r w:rsidR="00D44BCF">
              <w:rPr>
                <w:noProof/>
                <w:webHidden/>
              </w:rPr>
              <w:t>198</w:t>
            </w:r>
            <w:r w:rsidR="00D44BCF">
              <w:rPr>
                <w:noProof/>
                <w:webHidden/>
              </w:rPr>
              <w:fldChar w:fldCharType="end"/>
            </w:r>
          </w:hyperlink>
        </w:p>
        <w:p w14:paraId="2FC76EFF" w14:textId="7780E3E0" w:rsidR="00D44BCF" w:rsidRDefault="00F51B89">
          <w:pPr>
            <w:pStyle w:val="TOC3"/>
            <w:tabs>
              <w:tab w:val="left" w:pos="1320"/>
            </w:tabs>
            <w:rPr>
              <w:noProof/>
              <w:lang w:val="en-AU" w:eastAsia="en-AU"/>
            </w:rPr>
          </w:pPr>
          <w:hyperlink w:anchor="_Toc33602949" w:history="1">
            <w:r w:rsidR="00D44BCF" w:rsidRPr="007D3270">
              <w:rPr>
                <w:rStyle w:val="Hyperlink"/>
                <w:noProof/>
              </w:rPr>
              <w:t>7.7.4</w:t>
            </w:r>
            <w:r w:rsidR="00D44BCF">
              <w:rPr>
                <w:noProof/>
                <w:lang w:val="en-AU" w:eastAsia="en-AU"/>
              </w:rPr>
              <w:tab/>
            </w:r>
            <w:r w:rsidR="00D44BCF" w:rsidRPr="007D3270">
              <w:rPr>
                <w:rStyle w:val="Hyperlink"/>
                <w:noProof/>
              </w:rPr>
              <w:t>Sentencing for both federal and State/Territory offences</w:t>
            </w:r>
            <w:r w:rsidR="00D44BCF">
              <w:rPr>
                <w:noProof/>
                <w:webHidden/>
              </w:rPr>
              <w:tab/>
            </w:r>
            <w:r w:rsidR="00D44BCF">
              <w:rPr>
                <w:noProof/>
                <w:webHidden/>
              </w:rPr>
              <w:fldChar w:fldCharType="begin"/>
            </w:r>
            <w:r w:rsidR="00D44BCF">
              <w:rPr>
                <w:noProof/>
                <w:webHidden/>
              </w:rPr>
              <w:instrText xml:space="preserve"> PAGEREF _Toc33602949 \h </w:instrText>
            </w:r>
            <w:r w:rsidR="00D44BCF">
              <w:rPr>
                <w:noProof/>
                <w:webHidden/>
              </w:rPr>
            </w:r>
            <w:r w:rsidR="00D44BCF">
              <w:rPr>
                <w:noProof/>
                <w:webHidden/>
              </w:rPr>
              <w:fldChar w:fldCharType="separate"/>
            </w:r>
            <w:r w:rsidR="00D44BCF">
              <w:rPr>
                <w:noProof/>
                <w:webHidden/>
              </w:rPr>
              <w:t>199</w:t>
            </w:r>
            <w:r w:rsidR="00D44BCF">
              <w:rPr>
                <w:noProof/>
                <w:webHidden/>
              </w:rPr>
              <w:fldChar w:fldCharType="end"/>
            </w:r>
          </w:hyperlink>
        </w:p>
        <w:p w14:paraId="10F9E91B" w14:textId="5549E303" w:rsidR="00D44BCF" w:rsidRDefault="00F51B89">
          <w:pPr>
            <w:pStyle w:val="TOC3"/>
            <w:tabs>
              <w:tab w:val="left" w:pos="1320"/>
            </w:tabs>
            <w:rPr>
              <w:noProof/>
              <w:lang w:val="en-AU" w:eastAsia="en-AU"/>
            </w:rPr>
          </w:pPr>
          <w:hyperlink w:anchor="_Toc33602950" w:history="1">
            <w:r w:rsidR="00D44BCF" w:rsidRPr="007D3270">
              <w:rPr>
                <w:rStyle w:val="Hyperlink"/>
                <w:noProof/>
              </w:rPr>
              <w:t>7.7.5</w:t>
            </w:r>
            <w:r w:rsidR="00D44BCF">
              <w:rPr>
                <w:noProof/>
                <w:lang w:val="en-AU" w:eastAsia="en-AU"/>
              </w:rPr>
              <w:tab/>
            </w:r>
            <w:r w:rsidR="00D44BCF" w:rsidRPr="007D3270">
              <w:rPr>
                <w:rStyle w:val="Hyperlink"/>
                <w:noProof/>
              </w:rPr>
              <w:t>Specifying a s 16AC discount and a discount for a guilty plea</w:t>
            </w:r>
            <w:r w:rsidR="00D44BCF">
              <w:rPr>
                <w:noProof/>
                <w:webHidden/>
              </w:rPr>
              <w:tab/>
            </w:r>
            <w:r w:rsidR="00D44BCF">
              <w:rPr>
                <w:noProof/>
                <w:webHidden/>
              </w:rPr>
              <w:fldChar w:fldCharType="begin"/>
            </w:r>
            <w:r w:rsidR="00D44BCF">
              <w:rPr>
                <w:noProof/>
                <w:webHidden/>
              </w:rPr>
              <w:instrText xml:space="preserve"> PAGEREF _Toc33602950 \h </w:instrText>
            </w:r>
            <w:r w:rsidR="00D44BCF">
              <w:rPr>
                <w:noProof/>
                <w:webHidden/>
              </w:rPr>
            </w:r>
            <w:r w:rsidR="00D44BCF">
              <w:rPr>
                <w:noProof/>
                <w:webHidden/>
              </w:rPr>
              <w:fldChar w:fldCharType="separate"/>
            </w:r>
            <w:r w:rsidR="00D44BCF">
              <w:rPr>
                <w:noProof/>
                <w:webHidden/>
              </w:rPr>
              <w:t>199</w:t>
            </w:r>
            <w:r w:rsidR="00D44BCF">
              <w:rPr>
                <w:noProof/>
                <w:webHidden/>
              </w:rPr>
              <w:fldChar w:fldCharType="end"/>
            </w:r>
          </w:hyperlink>
        </w:p>
        <w:p w14:paraId="5E707AB0" w14:textId="1E06706F" w:rsidR="00D44BCF" w:rsidRDefault="00F51B89">
          <w:pPr>
            <w:pStyle w:val="TOC3"/>
            <w:tabs>
              <w:tab w:val="left" w:pos="1320"/>
            </w:tabs>
            <w:rPr>
              <w:noProof/>
              <w:lang w:val="en-AU" w:eastAsia="en-AU"/>
            </w:rPr>
          </w:pPr>
          <w:hyperlink w:anchor="_Toc33602951" w:history="1">
            <w:r w:rsidR="00D44BCF" w:rsidRPr="007D3270">
              <w:rPr>
                <w:rStyle w:val="Hyperlink"/>
                <w:noProof/>
              </w:rPr>
              <w:t>7.7.6</w:t>
            </w:r>
            <w:r w:rsidR="00D44BCF">
              <w:rPr>
                <w:noProof/>
                <w:lang w:val="en-AU" w:eastAsia="en-AU"/>
              </w:rPr>
              <w:tab/>
            </w:r>
            <w:r w:rsidR="00D44BCF" w:rsidRPr="007D3270">
              <w:rPr>
                <w:rStyle w:val="Hyperlink"/>
                <w:noProof/>
              </w:rPr>
              <w:t>Failure to comply with s 16AC in sentencing</w:t>
            </w:r>
            <w:r w:rsidR="00D44BCF">
              <w:rPr>
                <w:noProof/>
                <w:webHidden/>
              </w:rPr>
              <w:tab/>
            </w:r>
            <w:r w:rsidR="00D44BCF">
              <w:rPr>
                <w:noProof/>
                <w:webHidden/>
              </w:rPr>
              <w:fldChar w:fldCharType="begin"/>
            </w:r>
            <w:r w:rsidR="00D44BCF">
              <w:rPr>
                <w:noProof/>
                <w:webHidden/>
              </w:rPr>
              <w:instrText xml:space="preserve"> PAGEREF _Toc33602951 \h </w:instrText>
            </w:r>
            <w:r w:rsidR="00D44BCF">
              <w:rPr>
                <w:noProof/>
                <w:webHidden/>
              </w:rPr>
            </w:r>
            <w:r w:rsidR="00D44BCF">
              <w:rPr>
                <w:noProof/>
                <w:webHidden/>
              </w:rPr>
              <w:fldChar w:fldCharType="separate"/>
            </w:r>
            <w:r w:rsidR="00D44BCF">
              <w:rPr>
                <w:noProof/>
                <w:webHidden/>
              </w:rPr>
              <w:t>199</w:t>
            </w:r>
            <w:r w:rsidR="00D44BCF">
              <w:rPr>
                <w:noProof/>
                <w:webHidden/>
              </w:rPr>
              <w:fldChar w:fldCharType="end"/>
            </w:r>
          </w:hyperlink>
        </w:p>
        <w:p w14:paraId="1C1F8F87" w14:textId="0DA7427F" w:rsidR="00D44BCF" w:rsidRDefault="00F51B89">
          <w:pPr>
            <w:pStyle w:val="TOC3"/>
            <w:tabs>
              <w:tab w:val="left" w:pos="1320"/>
            </w:tabs>
            <w:rPr>
              <w:noProof/>
              <w:lang w:val="en-AU" w:eastAsia="en-AU"/>
            </w:rPr>
          </w:pPr>
          <w:hyperlink w:anchor="_Toc33602952" w:history="1">
            <w:r w:rsidR="00D44BCF" w:rsidRPr="007D3270">
              <w:rPr>
                <w:rStyle w:val="Hyperlink"/>
                <w:noProof/>
              </w:rPr>
              <w:t>7.7.7</w:t>
            </w:r>
            <w:r w:rsidR="00D44BCF">
              <w:rPr>
                <w:noProof/>
                <w:lang w:val="en-AU" w:eastAsia="en-AU"/>
              </w:rPr>
              <w:tab/>
            </w:r>
            <w:r w:rsidR="00D44BCF" w:rsidRPr="007D3270">
              <w:rPr>
                <w:rStyle w:val="Hyperlink"/>
                <w:noProof/>
              </w:rPr>
              <w:t>Consequences of breach of an undertaking to co-operate</w:t>
            </w:r>
            <w:r w:rsidR="00D44BCF">
              <w:rPr>
                <w:noProof/>
                <w:webHidden/>
              </w:rPr>
              <w:tab/>
            </w:r>
            <w:r w:rsidR="00D44BCF">
              <w:rPr>
                <w:noProof/>
                <w:webHidden/>
              </w:rPr>
              <w:fldChar w:fldCharType="begin"/>
            </w:r>
            <w:r w:rsidR="00D44BCF">
              <w:rPr>
                <w:noProof/>
                <w:webHidden/>
              </w:rPr>
              <w:instrText xml:space="preserve"> PAGEREF _Toc33602952 \h </w:instrText>
            </w:r>
            <w:r w:rsidR="00D44BCF">
              <w:rPr>
                <w:noProof/>
                <w:webHidden/>
              </w:rPr>
            </w:r>
            <w:r w:rsidR="00D44BCF">
              <w:rPr>
                <w:noProof/>
                <w:webHidden/>
              </w:rPr>
              <w:fldChar w:fldCharType="separate"/>
            </w:r>
            <w:r w:rsidR="00D44BCF">
              <w:rPr>
                <w:noProof/>
                <w:webHidden/>
              </w:rPr>
              <w:t>200</w:t>
            </w:r>
            <w:r w:rsidR="00D44BCF">
              <w:rPr>
                <w:noProof/>
                <w:webHidden/>
              </w:rPr>
              <w:fldChar w:fldCharType="end"/>
            </w:r>
          </w:hyperlink>
        </w:p>
        <w:p w14:paraId="01D1DC81" w14:textId="33E4895E" w:rsidR="00D44BCF" w:rsidRDefault="00F51B89">
          <w:pPr>
            <w:pStyle w:val="TOC2"/>
            <w:tabs>
              <w:tab w:val="left" w:pos="880"/>
              <w:tab w:val="right" w:leader="dot" w:pos="9061"/>
            </w:tabs>
            <w:rPr>
              <w:noProof/>
              <w:lang w:val="en-AU" w:eastAsia="en-AU"/>
            </w:rPr>
          </w:pPr>
          <w:hyperlink w:anchor="_Toc33602953" w:history="1">
            <w:r w:rsidR="00D44BCF" w:rsidRPr="007D3270">
              <w:rPr>
                <w:rStyle w:val="Hyperlink"/>
                <w:noProof/>
              </w:rPr>
              <w:t>7.8</w:t>
            </w:r>
            <w:r w:rsidR="00D44BCF">
              <w:rPr>
                <w:noProof/>
                <w:lang w:val="en-AU" w:eastAsia="en-AU"/>
              </w:rPr>
              <w:tab/>
            </w:r>
            <w:r w:rsidR="00D44BCF" w:rsidRPr="007D3270">
              <w:rPr>
                <w:rStyle w:val="Hyperlink"/>
                <w:noProof/>
              </w:rPr>
              <w:t>Specifying a discount for a guilty plea</w:t>
            </w:r>
            <w:r w:rsidR="00D44BCF">
              <w:rPr>
                <w:noProof/>
                <w:webHidden/>
              </w:rPr>
              <w:tab/>
            </w:r>
            <w:r w:rsidR="00D44BCF">
              <w:rPr>
                <w:noProof/>
                <w:webHidden/>
              </w:rPr>
              <w:fldChar w:fldCharType="begin"/>
            </w:r>
            <w:r w:rsidR="00D44BCF">
              <w:rPr>
                <w:noProof/>
                <w:webHidden/>
              </w:rPr>
              <w:instrText xml:space="preserve"> PAGEREF _Toc33602953 \h </w:instrText>
            </w:r>
            <w:r w:rsidR="00D44BCF">
              <w:rPr>
                <w:noProof/>
                <w:webHidden/>
              </w:rPr>
            </w:r>
            <w:r w:rsidR="00D44BCF">
              <w:rPr>
                <w:noProof/>
                <w:webHidden/>
              </w:rPr>
              <w:fldChar w:fldCharType="separate"/>
            </w:r>
            <w:r w:rsidR="00D44BCF">
              <w:rPr>
                <w:noProof/>
                <w:webHidden/>
              </w:rPr>
              <w:t>200</w:t>
            </w:r>
            <w:r w:rsidR="00D44BCF">
              <w:rPr>
                <w:noProof/>
                <w:webHidden/>
              </w:rPr>
              <w:fldChar w:fldCharType="end"/>
            </w:r>
          </w:hyperlink>
        </w:p>
        <w:p w14:paraId="6B04E5A7" w14:textId="3ECFC451" w:rsidR="00D44BCF" w:rsidRDefault="00F51B89">
          <w:pPr>
            <w:pStyle w:val="TOC3"/>
            <w:tabs>
              <w:tab w:val="left" w:pos="1320"/>
            </w:tabs>
            <w:rPr>
              <w:noProof/>
              <w:lang w:val="en-AU" w:eastAsia="en-AU"/>
            </w:rPr>
          </w:pPr>
          <w:hyperlink w:anchor="_Toc33602954" w:history="1">
            <w:r w:rsidR="00D44BCF" w:rsidRPr="007D3270">
              <w:rPr>
                <w:rStyle w:val="Hyperlink"/>
                <w:noProof/>
              </w:rPr>
              <w:t>7.8.1</w:t>
            </w:r>
            <w:r w:rsidR="00D44BCF">
              <w:rPr>
                <w:noProof/>
                <w:lang w:val="en-AU" w:eastAsia="en-AU"/>
              </w:rPr>
              <w:tab/>
            </w:r>
            <w:r w:rsidR="00D44BCF" w:rsidRPr="007D3270">
              <w:rPr>
                <w:rStyle w:val="Hyperlink"/>
                <w:noProof/>
              </w:rPr>
              <w:t>Specifying the sentence reduction for a guilty plea, pursuant to State or Territory laws</w:t>
            </w:r>
            <w:r w:rsidR="00D44BCF">
              <w:rPr>
                <w:noProof/>
                <w:webHidden/>
              </w:rPr>
              <w:tab/>
            </w:r>
            <w:r w:rsidR="00D44BCF">
              <w:rPr>
                <w:noProof/>
                <w:webHidden/>
              </w:rPr>
              <w:fldChar w:fldCharType="begin"/>
            </w:r>
            <w:r w:rsidR="00D44BCF">
              <w:rPr>
                <w:noProof/>
                <w:webHidden/>
              </w:rPr>
              <w:instrText xml:space="preserve"> PAGEREF _Toc33602954 \h </w:instrText>
            </w:r>
            <w:r w:rsidR="00D44BCF">
              <w:rPr>
                <w:noProof/>
                <w:webHidden/>
              </w:rPr>
            </w:r>
            <w:r w:rsidR="00D44BCF">
              <w:rPr>
                <w:noProof/>
                <w:webHidden/>
              </w:rPr>
              <w:fldChar w:fldCharType="separate"/>
            </w:r>
            <w:r w:rsidR="00D44BCF">
              <w:rPr>
                <w:noProof/>
                <w:webHidden/>
              </w:rPr>
              <w:t>201</w:t>
            </w:r>
            <w:r w:rsidR="00D44BCF">
              <w:rPr>
                <w:noProof/>
                <w:webHidden/>
              </w:rPr>
              <w:fldChar w:fldCharType="end"/>
            </w:r>
          </w:hyperlink>
        </w:p>
        <w:p w14:paraId="35EB18A1" w14:textId="18ABD1C8" w:rsidR="00D44BCF" w:rsidRDefault="00F51B89">
          <w:pPr>
            <w:pStyle w:val="TOC3"/>
            <w:tabs>
              <w:tab w:val="left" w:pos="1320"/>
            </w:tabs>
            <w:rPr>
              <w:noProof/>
              <w:lang w:val="en-AU" w:eastAsia="en-AU"/>
            </w:rPr>
          </w:pPr>
          <w:hyperlink w:anchor="_Toc33602955" w:history="1">
            <w:r w:rsidR="00D44BCF" w:rsidRPr="007D3270">
              <w:rPr>
                <w:rStyle w:val="Hyperlink"/>
                <w:noProof/>
              </w:rPr>
              <w:t>7.8.2</w:t>
            </w:r>
            <w:r w:rsidR="00D44BCF">
              <w:rPr>
                <w:noProof/>
                <w:lang w:val="en-AU" w:eastAsia="en-AU"/>
              </w:rPr>
              <w:tab/>
            </w:r>
            <w:r w:rsidR="00D44BCF" w:rsidRPr="007D3270">
              <w:rPr>
                <w:rStyle w:val="Hyperlink"/>
                <w:noProof/>
              </w:rPr>
              <w:t>Discretion to specify reduction for guilty plea</w:t>
            </w:r>
            <w:r w:rsidR="00D44BCF">
              <w:rPr>
                <w:noProof/>
                <w:webHidden/>
              </w:rPr>
              <w:tab/>
            </w:r>
            <w:r w:rsidR="00D44BCF">
              <w:rPr>
                <w:noProof/>
                <w:webHidden/>
              </w:rPr>
              <w:fldChar w:fldCharType="begin"/>
            </w:r>
            <w:r w:rsidR="00D44BCF">
              <w:rPr>
                <w:noProof/>
                <w:webHidden/>
              </w:rPr>
              <w:instrText xml:space="preserve"> PAGEREF _Toc33602955 \h </w:instrText>
            </w:r>
            <w:r w:rsidR="00D44BCF">
              <w:rPr>
                <w:noProof/>
                <w:webHidden/>
              </w:rPr>
            </w:r>
            <w:r w:rsidR="00D44BCF">
              <w:rPr>
                <w:noProof/>
                <w:webHidden/>
              </w:rPr>
              <w:fldChar w:fldCharType="separate"/>
            </w:r>
            <w:r w:rsidR="00D44BCF">
              <w:rPr>
                <w:noProof/>
                <w:webHidden/>
              </w:rPr>
              <w:t>202</w:t>
            </w:r>
            <w:r w:rsidR="00D44BCF">
              <w:rPr>
                <w:noProof/>
                <w:webHidden/>
              </w:rPr>
              <w:fldChar w:fldCharType="end"/>
            </w:r>
          </w:hyperlink>
        </w:p>
        <w:p w14:paraId="171CA4B1" w14:textId="459C4B0C" w:rsidR="00D44BCF" w:rsidRDefault="00F51B89">
          <w:pPr>
            <w:pStyle w:val="TOC2"/>
            <w:tabs>
              <w:tab w:val="left" w:pos="880"/>
              <w:tab w:val="right" w:leader="dot" w:pos="9061"/>
            </w:tabs>
            <w:rPr>
              <w:noProof/>
              <w:lang w:val="en-AU" w:eastAsia="en-AU"/>
            </w:rPr>
          </w:pPr>
          <w:hyperlink w:anchor="_Toc33602956" w:history="1">
            <w:r w:rsidR="00D44BCF" w:rsidRPr="007D3270">
              <w:rPr>
                <w:rStyle w:val="Hyperlink"/>
                <w:noProof/>
              </w:rPr>
              <w:t>7.9</w:t>
            </w:r>
            <w:r w:rsidR="00D44BCF">
              <w:rPr>
                <w:noProof/>
                <w:lang w:val="en-AU" w:eastAsia="en-AU"/>
              </w:rPr>
              <w:tab/>
            </w:r>
            <w:r w:rsidR="00D44BCF" w:rsidRPr="007D3270">
              <w:rPr>
                <w:rStyle w:val="Hyperlink"/>
                <w:noProof/>
              </w:rPr>
              <w:t>Interaction between sentencing discount for guilty plea and discount for undertaking to co-operate</w:t>
            </w:r>
            <w:r w:rsidR="00D44BCF">
              <w:rPr>
                <w:noProof/>
                <w:webHidden/>
              </w:rPr>
              <w:tab/>
            </w:r>
            <w:r w:rsidR="00D44BCF">
              <w:rPr>
                <w:noProof/>
                <w:webHidden/>
              </w:rPr>
              <w:fldChar w:fldCharType="begin"/>
            </w:r>
            <w:r w:rsidR="00D44BCF">
              <w:rPr>
                <w:noProof/>
                <w:webHidden/>
              </w:rPr>
              <w:instrText xml:space="preserve"> PAGEREF _Toc33602956 \h </w:instrText>
            </w:r>
            <w:r w:rsidR="00D44BCF">
              <w:rPr>
                <w:noProof/>
                <w:webHidden/>
              </w:rPr>
            </w:r>
            <w:r w:rsidR="00D44BCF">
              <w:rPr>
                <w:noProof/>
                <w:webHidden/>
              </w:rPr>
              <w:fldChar w:fldCharType="separate"/>
            </w:r>
            <w:r w:rsidR="00D44BCF">
              <w:rPr>
                <w:noProof/>
                <w:webHidden/>
              </w:rPr>
              <w:t>203</w:t>
            </w:r>
            <w:r w:rsidR="00D44BCF">
              <w:rPr>
                <w:noProof/>
                <w:webHidden/>
              </w:rPr>
              <w:fldChar w:fldCharType="end"/>
            </w:r>
          </w:hyperlink>
        </w:p>
        <w:p w14:paraId="40E6E9BA" w14:textId="0C4FB108" w:rsidR="00D44BCF" w:rsidRDefault="00F51B89">
          <w:pPr>
            <w:pStyle w:val="TOC2"/>
            <w:tabs>
              <w:tab w:val="left" w:pos="880"/>
              <w:tab w:val="right" w:leader="dot" w:pos="9061"/>
            </w:tabs>
            <w:rPr>
              <w:noProof/>
              <w:lang w:val="en-AU" w:eastAsia="en-AU"/>
            </w:rPr>
          </w:pPr>
          <w:hyperlink w:anchor="_Toc33602957" w:history="1">
            <w:r w:rsidR="00D44BCF" w:rsidRPr="007D3270">
              <w:rPr>
                <w:rStyle w:val="Hyperlink"/>
                <w:noProof/>
              </w:rPr>
              <w:t>7.10</w:t>
            </w:r>
            <w:r w:rsidR="00D44BCF">
              <w:rPr>
                <w:noProof/>
                <w:lang w:val="en-AU" w:eastAsia="en-AU"/>
              </w:rPr>
              <w:tab/>
            </w:r>
            <w:r w:rsidR="00D44BCF" w:rsidRPr="007D3270">
              <w:rPr>
                <w:rStyle w:val="Hyperlink"/>
                <w:noProof/>
              </w:rPr>
              <w:t>Aggregate penalty</w:t>
            </w:r>
            <w:r w:rsidR="00D44BCF">
              <w:rPr>
                <w:noProof/>
                <w:webHidden/>
              </w:rPr>
              <w:tab/>
            </w:r>
            <w:r w:rsidR="00D44BCF">
              <w:rPr>
                <w:noProof/>
                <w:webHidden/>
              </w:rPr>
              <w:fldChar w:fldCharType="begin"/>
            </w:r>
            <w:r w:rsidR="00D44BCF">
              <w:rPr>
                <w:noProof/>
                <w:webHidden/>
              </w:rPr>
              <w:instrText xml:space="preserve"> PAGEREF _Toc33602957 \h </w:instrText>
            </w:r>
            <w:r w:rsidR="00D44BCF">
              <w:rPr>
                <w:noProof/>
                <w:webHidden/>
              </w:rPr>
            </w:r>
            <w:r w:rsidR="00D44BCF">
              <w:rPr>
                <w:noProof/>
                <w:webHidden/>
              </w:rPr>
              <w:fldChar w:fldCharType="separate"/>
            </w:r>
            <w:r w:rsidR="00D44BCF">
              <w:rPr>
                <w:noProof/>
                <w:webHidden/>
              </w:rPr>
              <w:t>204</w:t>
            </w:r>
            <w:r w:rsidR="00D44BCF">
              <w:rPr>
                <w:noProof/>
                <w:webHidden/>
              </w:rPr>
              <w:fldChar w:fldCharType="end"/>
            </w:r>
          </w:hyperlink>
        </w:p>
        <w:p w14:paraId="75A14CB9" w14:textId="4F276B66" w:rsidR="00D44BCF" w:rsidRDefault="00F51B89">
          <w:pPr>
            <w:pStyle w:val="TOC3"/>
            <w:tabs>
              <w:tab w:val="left" w:pos="1320"/>
            </w:tabs>
            <w:rPr>
              <w:noProof/>
              <w:lang w:val="en-AU" w:eastAsia="en-AU"/>
            </w:rPr>
          </w:pPr>
          <w:hyperlink w:anchor="_Toc33602958" w:history="1">
            <w:r w:rsidR="00D44BCF" w:rsidRPr="007D3270">
              <w:rPr>
                <w:rStyle w:val="Hyperlink"/>
                <w:noProof/>
              </w:rPr>
              <w:t>7.10.1</w:t>
            </w:r>
            <w:r w:rsidR="00D44BCF">
              <w:rPr>
                <w:noProof/>
                <w:lang w:val="en-AU" w:eastAsia="en-AU"/>
              </w:rPr>
              <w:tab/>
            </w:r>
            <w:r w:rsidR="00D44BCF" w:rsidRPr="007D3270">
              <w:rPr>
                <w:rStyle w:val="Hyperlink"/>
                <w:noProof/>
              </w:rPr>
              <w:t>Overview</w:t>
            </w:r>
            <w:r w:rsidR="00D44BCF">
              <w:rPr>
                <w:noProof/>
                <w:webHidden/>
              </w:rPr>
              <w:tab/>
            </w:r>
            <w:r w:rsidR="00D44BCF">
              <w:rPr>
                <w:noProof/>
                <w:webHidden/>
              </w:rPr>
              <w:fldChar w:fldCharType="begin"/>
            </w:r>
            <w:r w:rsidR="00D44BCF">
              <w:rPr>
                <w:noProof/>
                <w:webHidden/>
              </w:rPr>
              <w:instrText xml:space="preserve"> PAGEREF _Toc33602958 \h </w:instrText>
            </w:r>
            <w:r w:rsidR="00D44BCF">
              <w:rPr>
                <w:noProof/>
                <w:webHidden/>
              </w:rPr>
            </w:r>
            <w:r w:rsidR="00D44BCF">
              <w:rPr>
                <w:noProof/>
                <w:webHidden/>
              </w:rPr>
              <w:fldChar w:fldCharType="separate"/>
            </w:r>
            <w:r w:rsidR="00D44BCF">
              <w:rPr>
                <w:noProof/>
                <w:webHidden/>
              </w:rPr>
              <w:t>204</w:t>
            </w:r>
            <w:r w:rsidR="00D44BCF">
              <w:rPr>
                <w:noProof/>
                <w:webHidden/>
              </w:rPr>
              <w:fldChar w:fldCharType="end"/>
            </w:r>
          </w:hyperlink>
        </w:p>
        <w:p w14:paraId="48095256" w14:textId="083EF530" w:rsidR="00D44BCF" w:rsidRDefault="00F51B89">
          <w:pPr>
            <w:pStyle w:val="TOC3"/>
            <w:tabs>
              <w:tab w:val="left" w:pos="1320"/>
            </w:tabs>
            <w:rPr>
              <w:noProof/>
              <w:lang w:val="en-AU" w:eastAsia="en-AU"/>
            </w:rPr>
          </w:pPr>
          <w:hyperlink w:anchor="_Toc33602959" w:history="1">
            <w:r w:rsidR="00D44BCF" w:rsidRPr="007D3270">
              <w:rPr>
                <w:rStyle w:val="Hyperlink"/>
                <w:noProof/>
              </w:rPr>
              <w:t>7.10.2</w:t>
            </w:r>
            <w:r w:rsidR="00D44BCF">
              <w:rPr>
                <w:noProof/>
                <w:lang w:val="en-AU" w:eastAsia="en-AU"/>
              </w:rPr>
              <w:tab/>
            </w:r>
            <w:r w:rsidR="00D44BCF" w:rsidRPr="007D3270">
              <w:rPr>
                <w:rStyle w:val="Hyperlink"/>
                <w:noProof/>
              </w:rPr>
              <w:t>Single s 19B or s 20(1)(a) bond for multiple offences</w:t>
            </w:r>
            <w:r w:rsidR="00D44BCF">
              <w:rPr>
                <w:noProof/>
                <w:webHidden/>
              </w:rPr>
              <w:tab/>
            </w:r>
            <w:r w:rsidR="00D44BCF">
              <w:rPr>
                <w:noProof/>
                <w:webHidden/>
              </w:rPr>
              <w:fldChar w:fldCharType="begin"/>
            </w:r>
            <w:r w:rsidR="00D44BCF">
              <w:rPr>
                <w:noProof/>
                <w:webHidden/>
              </w:rPr>
              <w:instrText xml:space="preserve"> PAGEREF _Toc33602959 \h </w:instrText>
            </w:r>
            <w:r w:rsidR="00D44BCF">
              <w:rPr>
                <w:noProof/>
                <w:webHidden/>
              </w:rPr>
            </w:r>
            <w:r w:rsidR="00D44BCF">
              <w:rPr>
                <w:noProof/>
                <w:webHidden/>
              </w:rPr>
              <w:fldChar w:fldCharType="separate"/>
            </w:r>
            <w:r w:rsidR="00D44BCF">
              <w:rPr>
                <w:noProof/>
                <w:webHidden/>
              </w:rPr>
              <w:t>205</w:t>
            </w:r>
            <w:r w:rsidR="00D44BCF">
              <w:rPr>
                <w:noProof/>
                <w:webHidden/>
              </w:rPr>
              <w:fldChar w:fldCharType="end"/>
            </w:r>
          </w:hyperlink>
        </w:p>
        <w:p w14:paraId="28A89445" w14:textId="4C9E598C" w:rsidR="00D44BCF" w:rsidRDefault="00F51B89">
          <w:pPr>
            <w:pStyle w:val="TOC3"/>
            <w:tabs>
              <w:tab w:val="left" w:pos="1320"/>
            </w:tabs>
            <w:rPr>
              <w:noProof/>
              <w:lang w:val="en-AU" w:eastAsia="en-AU"/>
            </w:rPr>
          </w:pPr>
          <w:hyperlink w:anchor="_Toc33602960" w:history="1">
            <w:r w:rsidR="00D44BCF" w:rsidRPr="007D3270">
              <w:rPr>
                <w:rStyle w:val="Hyperlink"/>
                <w:noProof/>
              </w:rPr>
              <w:t>7.10.3</w:t>
            </w:r>
            <w:r w:rsidR="00D44BCF">
              <w:rPr>
                <w:noProof/>
                <w:lang w:val="en-AU" w:eastAsia="en-AU"/>
              </w:rPr>
              <w:tab/>
            </w:r>
            <w:r w:rsidR="00D44BCF" w:rsidRPr="007D3270">
              <w:rPr>
                <w:rStyle w:val="Hyperlink"/>
                <w:noProof/>
              </w:rPr>
              <w:t>Single sentence or order under State/Territory option applied by Crimes Act s 20AB</w:t>
            </w:r>
            <w:r w:rsidR="00D44BCF">
              <w:rPr>
                <w:noProof/>
                <w:webHidden/>
              </w:rPr>
              <w:tab/>
            </w:r>
            <w:r w:rsidR="00D44BCF">
              <w:rPr>
                <w:noProof/>
                <w:webHidden/>
              </w:rPr>
              <w:fldChar w:fldCharType="begin"/>
            </w:r>
            <w:r w:rsidR="00D44BCF">
              <w:rPr>
                <w:noProof/>
                <w:webHidden/>
              </w:rPr>
              <w:instrText xml:space="preserve"> PAGEREF _Toc33602960 \h </w:instrText>
            </w:r>
            <w:r w:rsidR="00D44BCF">
              <w:rPr>
                <w:noProof/>
                <w:webHidden/>
              </w:rPr>
            </w:r>
            <w:r w:rsidR="00D44BCF">
              <w:rPr>
                <w:noProof/>
                <w:webHidden/>
              </w:rPr>
              <w:fldChar w:fldCharType="separate"/>
            </w:r>
            <w:r w:rsidR="00D44BCF">
              <w:rPr>
                <w:noProof/>
                <w:webHidden/>
              </w:rPr>
              <w:t>205</w:t>
            </w:r>
            <w:r w:rsidR="00D44BCF">
              <w:rPr>
                <w:noProof/>
                <w:webHidden/>
              </w:rPr>
              <w:fldChar w:fldCharType="end"/>
            </w:r>
          </w:hyperlink>
        </w:p>
        <w:p w14:paraId="664CEB8A" w14:textId="4EF65B53" w:rsidR="00D44BCF" w:rsidRDefault="00F51B89">
          <w:pPr>
            <w:pStyle w:val="TOC3"/>
            <w:tabs>
              <w:tab w:val="left" w:pos="1320"/>
            </w:tabs>
            <w:rPr>
              <w:noProof/>
              <w:lang w:val="en-AU" w:eastAsia="en-AU"/>
            </w:rPr>
          </w:pPr>
          <w:hyperlink w:anchor="_Toc33602961" w:history="1">
            <w:r w:rsidR="00D44BCF" w:rsidRPr="007D3270">
              <w:rPr>
                <w:rStyle w:val="Hyperlink"/>
                <w:noProof/>
              </w:rPr>
              <w:t>7.10.4</w:t>
            </w:r>
            <w:r w:rsidR="00D44BCF">
              <w:rPr>
                <w:noProof/>
                <w:lang w:val="en-AU" w:eastAsia="en-AU"/>
              </w:rPr>
              <w:tab/>
            </w:r>
            <w:r w:rsidR="00D44BCF" w:rsidRPr="007D3270">
              <w:rPr>
                <w:rStyle w:val="Hyperlink"/>
                <w:noProof/>
              </w:rPr>
              <w:t>Aggregate penalties permitted for particular Commonwealth offences</w:t>
            </w:r>
            <w:r w:rsidR="00D44BCF">
              <w:rPr>
                <w:noProof/>
                <w:webHidden/>
              </w:rPr>
              <w:tab/>
            </w:r>
            <w:r w:rsidR="00D44BCF">
              <w:rPr>
                <w:noProof/>
                <w:webHidden/>
              </w:rPr>
              <w:fldChar w:fldCharType="begin"/>
            </w:r>
            <w:r w:rsidR="00D44BCF">
              <w:rPr>
                <w:noProof/>
                <w:webHidden/>
              </w:rPr>
              <w:instrText xml:space="preserve"> PAGEREF _Toc33602961 \h </w:instrText>
            </w:r>
            <w:r w:rsidR="00D44BCF">
              <w:rPr>
                <w:noProof/>
                <w:webHidden/>
              </w:rPr>
            </w:r>
            <w:r w:rsidR="00D44BCF">
              <w:rPr>
                <w:noProof/>
                <w:webHidden/>
              </w:rPr>
              <w:fldChar w:fldCharType="separate"/>
            </w:r>
            <w:r w:rsidR="00D44BCF">
              <w:rPr>
                <w:noProof/>
                <w:webHidden/>
              </w:rPr>
              <w:t>206</w:t>
            </w:r>
            <w:r w:rsidR="00D44BCF">
              <w:rPr>
                <w:noProof/>
                <w:webHidden/>
              </w:rPr>
              <w:fldChar w:fldCharType="end"/>
            </w:r>
          </w:hyperlink>
        </w:p>
        <w:p w14:paraId="2FF4EA1F" w14:textId="00DAB1F3" w:rsidR="00D44BCF" w:rsidRDefault="00F51B89">
          <w:pPr>
            <w:pStyle w:val="TOC3"/>
            <w:tabs>
              <w:tab w:val="left" w:pos="1320"/>
            </w:tabs>
            <w:rPr>
              <w:noProof/>
              <w:lang w:val="en-AU" w:eastAsia="en-AU"/>
            </w:rPr>
          </w:pPr>
          <w:hyperlink w:anchor="_Toc33602962" w:history="1">
            <w:r w:rsidR="00D44BCF" w:rsidRPr="007D3270">
              <w:rPr>
                <w:rStyle w:val="Hyperlink"/>
                <w:noProof/>
              </w:rPr>
              <w:t>7.10.5</w:t>
            </w:r>
            <w:r w:rsidR="00D44BCF">
              <w:rPr>
                <w:noProof/>
                <w:lang w:val="en-AU" w:eastAsia="en-AU"/>
              </w:rPr>
              <w:tab/>
            </w:r>
            <w:r w:rsidR="00D44BCF" w:rsidRPr="007D3270">
              <w:rPr>
                <w:rStyle w:val="Hyperlink"/>
                <w:noProof/>
              </w:rPr>
              <w:t xml:space="preserve">Aggregate penalty for offences dealt with summarily – </w:t>
            </w:r>
            <w:r w:rsidR="00D44BCF" w:rsidRPr="007D3270">
              <w:rPr>
                <w:rStyle w:val="Hyperlink"/>
                <w:i/>
                <w:noProof/>
              </w:rPr>
              <w:t>Crimes Act 1914</w:t>
            </w:r>
            <w:r w:rsidR="00D44BCF" w:rsidRPr="007D3270">
              <w:rPr>
                <w:rStyle w:val="Hyperlink"/>
                <w:noProof/>
              </w:rPr>
              <w:t>, s 4K</w:t>
            </w:r>
            <w:r w:rsidR="00D44BCF">
              <w:rPr>
                <w:noProof/>
                <w:webHidden/>
              </w:rPr>
              <w:tab/>
            </w:r>
            <w:r w:rsidR="00D44BCF">
              <w:rPr>
                <w:noProof/>
                <w:webHidden/>
              </w:rPr>
              <w:fldChar w:fldCharType="begin"/>
            </w:r>
            <w:r w:rsidR="00D44BCF">
              <w:rPr>
                <w:noProof/>
                <w:webHidden/>
              </w:rPr>
              <w:instrText xml:space="preserve"> PAGEREF _Toc33602962 \h </w:instrText>
            </w:r>
            <w:r w:rsidR="00D44BCF">
              <w:rPr>
                <w:noProof/>
                <w:webHidden/>
              </w:rPr>
            </w:r>
            <w:r w:rsidR="00D44BCF">
              <w:rPr>
                <w:noProof/>
                <w:webHidden/>
              </w:rPr>
              <w:fldChar w:fldCharType="separate"/>
            </w:r>
            <w:r w:rsidR="00D44BCF">
              <w:rPr>
                <w:noProof/>
                <w:webHidden/>
              </w:rPr>
              <w:t>207</w:t>
            </w:r>
            <w:r w:rsidR="00D44BCF">
              <w:rPr>
                <w:noProof/>
                <w:webHidden/>
              </w:rPr>
              <w:fldChar w:fldCharType="end"/>
            </w:r>
          </w:hyperlink>
        </w:p>
        <w:p w14:paraId="61C66AB2" w14:textId="462E3213" w:rsidR="00D44BCF" w:rsidRDefault="00F51B89">
          <w:pPr>
            <w:pStyle w:val="TOC3"/>
            <w:tabs>
              <w:tab w:val="left" w:pos="1320"/>
            </w:tabs>
            <w:rPr>
              <w:noProof/>
              <w:lang w:val="en-AU" w:eastAsia="en-AU"/>
            </w:rPr>
          </w:pPr>
          <w:hyperlink w:anchor="_Toc33602963" w:history="1">
            <w:r w:rsidR="00D44BCF" w:rsidRPr="007D3270">
              <w:rPr>
                <w:rStyle w:val="Hyperlink"/>
                <w:noProof/>
              </w:rPr>
              <w:t>7.10.6</w:t>
            </w:r>
            <w:r w:rsidR="00D44BCF">
              <w:rPr>
                <w:noProof/>
                <w:lang w:val="en-AU" w:eastAsia="en-AU"/>
              </w:rPr>
              <w:tab/>
            </w:r>
            <w:r w:rsidR="00D44BCF" w:rsidRPr="007D3270">
              <w:rPr>
                <w:rStyle w:val="Hyperlink"/>
                <w:noProof/>
              </w:rPr>
              <w:t>State/Territory provisions permitting aggregate sentences in matters determined summarily</w:t>
            </w:r>
            <w:r w:rsidR="00D44BCF">
              <w:rPr>
                <w:noProof/>
                <w:webHidden/>
              </w:rPr>
              <w:tab/>
            </w:r>
            <w:r w:rsidR="00D44BCF">
              <w:rPr>
                <w:noProof/>
                <w:webHidden/>
              </w:rPr>
              <w:fldChar w:fldCharType="begin"/>
            </w:r>
            <w:r w:rsidR="00D44BCF">
              <w:rPr>
                <w:noProof/>
                <w:webHidden/>
              </w:rPr>
              <w:instrText xml:space="preserve"> PAGEREF _Toc33602963 \h </w:instrText>
            </w:r>
            <w:r w:rsidR="00D44BCF">
              <w:rPr>
                <w:noProof/>
                <w:webHidden/>
              </w:rPr>
            </w:r>
            <w:r w:rsidR="00D44BCF">
              <w:rPr>
                <w:noProof/>
                <w:webHidden/>
              </w:rPr>
              <w:fldChar w:fldCharType="separate"/>
            </w:r>
            <w:r w:rsidR="00D44BCF">
              <w:rPr>
                <w:noProof/>
                <w:webHidden/>
              </w:rPr>
              <w:t>209</w:t>
            </w:r>
            <w:r w:rsidR="00D44BCF">
              <w:rPr>
                <w:noProof/>
                <w:webHidden/>
              </w:rPr>
              <w:fldChar w:fldCharType="end"/>
            </w:r>
          </w:hyperlink>
        </w:p>
        <w:p w14:paraId="13F81ACA" w14:textId="71B1BA34" w:rsidR="00D44BCF" w:rsidRDefault="00F51B89">
          <w:pPr>
            <w:pStyle w:val="TOC3"/>
            <w:tabs>
              <w:tab w:val="left" w:pos="1320"/>
            </w:tabs>
            <w:rPr>
              <w:noProof/>
              <w:lang w:val="en-AU" w:eastAsia="en-AU"/>
            </w:rPr>
          </w:pPr>
          <w:hyperlink w:anchor="_Toc33602964" w:history="1">
            <w:r w:rsidR="00D44BCF" w:rsidRPr="007D3270">
              <w:rPr>
                <w:rStyle w:val="Hyperlink"/>
                <w:noProof/>
              </w:rPr>
              <w:t>7.10.7</w:t>
            </w:r>
            <w:r w:rsidR="00D44BCF">
              <w:rPr>
                <w:noProof/>
                <w:lang w:val="en-AU" w:eastAsia="en-AU"/>
              </w:rPr>
              <w:tab/>
            </w:r>
            <w:r w:rsidR="00D44BCF" w:rsidRPr="007D3270">
              <w:rPr>
                <w:rStyle w:val="Hyperlink"/>
                <w:noProof/>
              </w:rPr>
              <w:t>Aggregate penalty for charges on indictment</w:t>
            </w:r>
            <w:r w:rsidR="00D44BCF">
              <w:rPr>
                <w:noProof/>
                <w:webHidden/>
              </w:rPr>
              <w:tab/>
            </w:r>
            <w:r w:rsidR="00D44BCF">
              <w:rPr>
                <w:noProof/>
                <w:webHidden/>
              </w:rPr>
              <w:fldChar w:fldCharType="begin"/>
            </w:r>
            <w:r w:rsidR="00D44BCF">
              <w:rPr>
                <w:noProof/>
                <w:webHidden/>
              </w:rPr>
              <w:instrText xml:space="preserve"> PAGEREF _Toc33602964 \h </w:instrText>
            </w:r>
            <w:r w:rsidR="00D44BCF">
              <w:rPr>
                <w:noProof/>
                <w:webHidden/>
              </w:rPr>
            </w:r>
            <w:r w:rsidR="00D44BCF">
              <w:rPr>
                <w:noProof/>
                <w:webHidden/>
              </w:rPr>
              <w:fldChar w:fldCharType="separate"/>
            </w:r>
            <w:r w:rsidR="00D44BCF">
              <w:rPr>
                <w:noProof/>
                <w:webHidden/>
              </w:rPr>
              <w:t>210</w:t>
            </w:r>
            <w:r w:rsidR="00D44BCF">
              <w:rPr>
                <w:noProof/>
                <w:webHidden/>
              </w:rPr>
              <w:fldChar w:fldCharType="end"/>
            </w:r>
          </w:hyperlink>
        </w:p>
        <w:p w14:paraId="30286EFB" w14:textId="520651E8" w:rsidR="00D44BCF" w:rsidRDefault="00F51B89">
          <w:pPr>
            <w:pStyle w:val="TOC3"/>
            <w:tabs>
              <w:tab w:val="left" w:pos="1320"/>
            </w:tabs>
            <w:rPr>
              <w:noProof/>
              <w:lang w:val="en-AU" w:eastAsia="en-AU"/>
            </w:rPr>
          </w:pPr>
          <w:hyperlink w:anchor="_Toc33602965" w:history="1">
            <w:r w:rsidR="00D44BCF" w:rsidRPr="007D3270">
              <w:rPr>
                <w:rStyle w:val="Hyperlink"/>
                <w:noProof/>
              </w:rPr>
              <w:t>7.10.8</w:t>
            </w:r>
            <w:r w:rsidR="00D44BCF">
              <w:rPr>
                <w:noProof/>
                <w:lang w:val="en-AU" w:eastAsia="en-AU"/>
              </w:rPr>
              <w:tab/>
            </w:r>
            <w:r w:rsidR="00D44BCF" w:rsidRPr="007D3270">
              <w:rPr>
                <w:rStyle w:val="Hyperlink"/>
                <w:noProof/>
              </w:rPr>
              <w:t>When an aggregate penalty is or is not appropriate</w:t>
            </w:r>
            <w:r w:rsidR="00D44BCF">
              <w:rPr>
                <w:noProof/>
                <w:webHidden/>
              </w:rPr>
              <w:tab/>
            </w:r>
            <w:r w:rsidR="00D44BCF">
              <w:rPr>
                <w:noProof/>
                <w:webHidden/>
              </w:rPr>
              <w:fldChar w:fldCharType="begin"/>
            </w:r>
            <w:r w:rsidR="00D44BCF">
              <w:rPr>
                <w:noProof/>
                <w:webHidden/>
              </w:rPr>
              <w:instrText xml:space="preserve"> PAGEREF _Toc33602965 \h </w:instrText>
            </w:r>
            <w:r w:rsidR="00D44BCF">
              <w:rPr>
                <w:noProof/>
                <w:webHidden/>
              </w:rPr>
            </w:r>
            <w:r w:rsidR="00D44BCF">
              <w:rPr>
                <w:noProof/>
                <w:webHidden/>
              </w:rPr>
              <w:fldChar w:fldCharType="separate"/>
            </w:r>
            <w:r w:rsidR="00D44BCF">
              <w:rPr>
                <w:noProof/>
                <w:webHidden/>
              </w:rPr>
              <w:t>210</w:t>
            </w:r>
            <w:r w:rsidR="00D44BCF">
              <w:rPr>
                <w:noProof/>
                <w:webHidden/>
              </w:rPr>
              <w:fldChar w:fldCharType="end"/>
            </w:r>
          </w:hyperlink>
        </w:p>
        <w:p w14:paraId="1A36647C" w14:textId="3FA942F1" w:rsidR="00D44BCF" w:rsidRDefault="00F51B89">
          <w:pPr>
            <w:pStyle w:val="TOC2"/>
            <w:tabs>
              <w:tab w:val="left" w:pos="880"/>
              <w:tab w:val="right" w:leader="dot" w:pos="9061"/>
            </w:tabs>
            <w:rPr>
              <w:noProof/>
              <w:lang w:val="en-AU" w:eastAsia="en-AU"/>
            </w:rPr>
          </w:pPr>
          <w:hyperlink w:anchor="_Toc33602966" w:history="1">
            <w:r w:rsidR="00D44BCF" w:rsidRPr="007D3270">
              <w:rPr>
                <w:rStyle w:val="Hyperlink"/>
                <w:noProof/>
              </w:rPr>
              <w:t>7.11</w:t>
            </w:r>
            <w:r w:rsidR="00D44BCF">
              <w:rPr>
                <w:noProof/>
                <w:lang w:val="en-AU" w:eastAsia="en-AU"/>
              </w:rPr>
              <w:tab/>
            </w:r>
            <w:r w:rsidR="00D44BCF" w:rsidRPr="007D3270">
              <w:rPr>
                <w:rStyle w:val="Hyperlink"/>
                <w:noProof/>
              </w:rPr>
              <w:t>Requirement to warn a terrorism offender about the possibility of a continuing detention order</w:t>
            </w:r>
            <w:r w:rsidR="00D44BCF">
              <w:rPr>
                <w:noProof/>
                <w:webHidden/>
              </w:rPr>
              <w:tab/>
            </w:r>
            <w:r w:rsidR="00D44BCF">
              <w:rPr>
                <w:noProof/>
                <w:webHidden/>
              </w:rPr>
              <w:fldChar w:fldCharType="begin"/>
            </w:r>
            <w:r w:rsidR="00D44BCF">
              <w:rPr>
                <w:noProof/>
                <w:webHidden/>
              </w:rPr>
              <w:instrText xml:space="preserve"> PAGEREF _Toc33602966 \h </w:instrText>
            </w:r>
            <w:r w:rsidR="00D44BCF">
              <w:rPr>
                <w:noProof/>
                <w:webHidden/>
              </w:rPr>
            </w:r>
            <w:r w:rsidR="00D44BCF">
              <w:rPr>
                <w:noProof/>
                <w:webHidden/>
              </w:rPr>
              <w:fldChar w:fldCharType="separate"/>
            </w:r>
            <w:r w:rsidR="00D44BCF">
              <w:rPr>
                <w:noProof/>
                <w:webHidden/>
              </w:rPr>
              <w:t>212</w:t>
            </w:r>
            <w:r w:rsidR="00D44BCF">
              <w:rPr>
                <w:noProof/>
                <w:webHidden/>
              </w:rPr>
              <w:fldChar w:fldCharType="end"/>
            </w:r>
          </w:hyperlink>
        </w:p>
        <w:p w14:paraId="33B99F99" w14:textId="6EAAEE5A" w:rsidR="00D44BCF" w:rsidRDefault="00F51B89">
          <w:pPr>
            <w:pStyle w:val="TOC2"/>
            <w:tabs>
              <w:tab w:val="left" w:pos="880"/>
              <w:tab w:val="right" w:leader="dot" w:pos="9061"/>
            </w:tabs>
            <w:rPr>
              <w:noProof/>
              <w:lang w:val="en-AU" w:eastAsia="en-AU"/>
            </w:rPr>
          </w:pPr>
          <w:hyperlink w:anchor="_Toc33602967" w:history="1">
            <w:r w:rsidR="00D44BCF" w:rsidRPr="007D3270">
              <w:rPr>
                <w:rStyle w:val="Hyperlink"/>
                <w:noProof/>
              </w:rPr>
              <w:t>7.12</w:t>
            </w:r>
            <w:r w:rsidR="00D44BCF">
              <w:rPr>
                <w:noProof/>
                <w:lang w:val="en-AU" w:eastAsia="en-AU"/>
              </w:rPr>
              <w:tab/>
            </w:r>
            <w:r w:rsidR="00D44BCF" w:rsidRPr="007D3270">
              <w:rPr>
                <w:rStyle w:val="Hyperlink"/>
                <w:noProof/>
              </w:rPr>
              <w:t>Power of sentencing court to correct error in sentence</w:t>
            </w:r>
            <w:r w:rsidR="00D44BCF">
              <w:rPr>
                <w:noProof/>
                <w:webHidden/>
              </w:rPr>
              <w:tab/>
            </w:r>
            <w:r w:rsidR="00D44BCF">
              <w:rPr>
                <w:noProof/>
                <w:webHidden/>
              </w:rPr>
              <w:fldChar w:fldCharType="begin"/>
            </w:r>
            <w:r w:rsidR="00D44BCF">
              <w:rPr>
                <w:noProof/>
                <w:webHidden/>
              </w:rPr>
              <w:instrText xml:space="preserve"> PAGEREF _Toc33602967 \h </w:instrText>
            </w:r>
            <w:r w:rsidR="00D44BCF">
              <w:rPr>
                <w:noProof/>
                <w:webHidden/>
              </w:rPr>
            </w:r>
            <w:r w:rsidR="00D44BCF">
              <w:rPr>
                <w:noProof/>
                <w:webHidden/>
              </w:rPr>
              <w:fldChar w:fldCharType="separate"/>
            </w:r>
            <w:r w:rsidR="00D44BCF">
              <w:rPr>
                <w:noProof/>
                <w:webHidden/>
              </w:rPr>
              <w:t>213</w:t>
            </w:r>
            <w:r w:rsidR="00D44BCF">
              <w:rPr>
                <w:noProof/>
                <w:webHidden/>
              </w:rPr>
              <w:fldChar w:fldCharType="end"/>
            </w:r>
          </w:hyperlink>
        </w:p>
        <w:p w14:paraId="732C6D0C" w14:textId="56C5F7CE" w:rsidR="00D44BCF" w:rsidRDefault="00F51B89">
          <w:pPr>
            <w:pStyle w:val="TOC3"/>
            <w:tabs>
              <w:tab w:val="left" w:pos="1320"/>
            </w:tabs>
            <w:rPr>
              <w:noProof/>
              <w:lang w:val="en-AU" w:eastAsia="en-AU"/>
            </w:rPr>
          </w:pPr>
          <w:hyperlink w:anchor="_Toc33602968" w:history="1">
            <w:r w:rsidR="00D44BCF" w:rsidRPr="007D3270">
              <w:rPr>
                <w:rStyle w:val="Hyperlink"/>
                <w:noProof/>
              </w:rPr>
              <w:t>7.12.1</w:t>
            </w:r>
            <w:r w:rsidR="00D44BCF">
              <w:rPr>
                <w:noProof/>
                <w:lang w:val="en-AU" w:eastAsia="en-AU"/>
              </w:rPr>
              <w:tab/>
            </w:r>
            <w:r w:rsidR="00D44BCF" w:rsidRPr="007D3270">
              <w:rPr>
                <w:rStyle w:val="Hyperlink"/>
                <w:noProof/>
              </w:rPr>
              <w:t>Functus officio principle</w:t>
            </w:r>
            <w:r w:rsidR="00D44BCF">
              <w:rPr>
                <w:noProof/>
                <w:webHidden/>
              </w:rPr>
              <w:tab/>
            </w:r>
            <w:r w:rsidR="00D44BCF">
              <w:rPr>
                <w:noProof/>
                <w:webHidden/>
              </w:rPr>
              <w:fldChar w:fldCharType="begin"/>
            </w:r>
            <w:r w:rsidR="00D44BCF">
              <w:rPr>
                <w:noProof/>
                <w:webHidden/>
              </w:rPr>
              <w:instrText xml:space="preserve"> PAGEREF _Toc33602968 \h </w:instrText>
            </w:r>
            <w:r w:rsidR="00D44BCF">
              <w:rPr>
                <w:noProof/>
                <w:webHidden/>
              </w:rPr>
            </w:r>
            <w:r w:rsidR="00D44BCF">
              <w:rPr>
                <w:noProof/>
                <w:webHidden/>
              </w:rPr>
              <w:fldChar w:fldCharType="separate"/>
            </w:r>
            <w:r w:rsidR="00D44BCF">
              <w:rPr>
                <w:noProof/>
                <w:webHidden/>
              </w:rPr>
              <w:t>213</w:t>
            </w:r>
            <w:r w:rsidR="00D44BCF">
              <w:rPr>
                <w:noProof/>
                <w:webHidden/>
              </w:rPr>
              <w:fldChar w:fldCharType="end"/>
            </w:r>
          </w:hyperlink>
        </w:p>
        <w:p w14:paraId="0A60559B" w14:textId="3980AF6F" w:rsidR="00D44BCF" w:rsidRDefault="00F51B89">
          <w:pPr>
            <w:pStyle w:val="TOC3"/>
            <w:tabs>
              <w:tab w:val="left" w:pos="1320"/>
            </w:tabs>
            <w:rPr>
              <w:noProof/>
              <w:lang w:val="en-AU" w:eastAsia="en-AU"/>
            </w:rPr>
          </w:pPr>
          <w:hyperlink w:anchor="_Toc33602969" w:history="1">
            <w:r w:rsidR="00D44BCF" w:rsidRPr="007D3270">
              <w:rPr>
                <w:rStyle w:val="Hyperlink"/>
                <w:noProof/>
              </w:rPr>
              <w:t>7.12.2</w:t>
            </w:r>
            <w:r w:rsidR="00D44BCF">
              <w:rPr>
                <w:noProof/>
                <w:lang w:val="en-AU" w:eastAsia="en-AU"/>
              </w:rPr>
              <w:tab/>
            </w:r>
            <w:r w:rsidR="00D44BCF" w:rsidRPr="007D3270">
              <w:rPr>
                <w:rStyle w:val="Hyperlink"/>
                <w:noProof/>
              </w:rPr>
              <w:t>Power to correct error in sentence of imprisonment: Crimes Act 1914, s 19AHA</w:t>
            </w:r>
            <w:r w:rsidR="00D44BCF">
              <w:rPr>
                <w:noProof/>
                <w:webHidden/>
              </w:rPr>
              <w:tab/>
            </w:r>
            <w:r w:rsidR="00D44BCF">
              <w:rPr>
                <w:noProof/>
                <w:webHidden/>
              </w:rPr>
              <w:fldChar w:fldCharType="begin"/>
            </w:r>
            <w:r w:rsidR="00D44BCF">
              <w:rPr>
                <w:noProof/>
                <w:webHidden/>
              </w:rPr>
              <w:instrText xml:space="preserve"> PAGEREF _Toc33602969 \h </w:instrText>
            </w:r>
            <w:r w:rsidR="00D44BCF">
              <w:rPr>
                <w:noProof/>
                <w:webHidden/>
              </w:rPr>
            </w:r>
            <w:r w:rsidR="00D44BCF">
              <w:rPr>
                <w:noProof/>
                <w:webHidden/>
              </w:rPr>
              <w:fldChar w:fldCharType="separate"/>
            </w:r>
            <w:r w:rsidR="00D44BCF">
              <w:rPr>
                <w:noProof/>
                <w:webHidden/>
              </w:rPr>
              <w:t>214</w:t>
            </w:r>
            <w:r w:rsidR="00D44BCF">
              <w:rPr>
                <w:noProof/>
                <w:webHidden/>
              </w:rPr>
              <w:fldChar w:fldCharType="end"/>
            </w:r>
          </w:hyperlink>
        </w:p>
        <w:p w14:paraId="2CC0D2AF" w14:textId="6904141D" w:rsidR="00D44BCF" w:rsidRDefault="00F51B89">
          <w:pPr>
            <w:pStyle w:val="TOC3"/>
            <w:tabs>
              <w:tab w:val="left" w:pos="1320"/>
            </w:tabs>
            <w:rPr>
              <w:noProof/>
              <w:lang w:val="en-AU" w:eastAsia="en-AU"/>
            </w:rPr>
          </w:pPr>
          <w:hyperlink w:anchor="_Toc33602970" w:history="1">
            <w:r w:rsidR="00D44BCF" w:rsidRPr="007D3270">
              <w:rPr>
                <w:rStyle w:val="Hyperlink"/>
                <w:noProof/>
              </w:rPr>
              <w:t>7.12.3</w:t>
            </w:r>
            <w:r w:rsidR="00D44BCF">
              <w:rPr>
                <w:noProof/>
                <w:lang w:val="en-AU" w:eastAsia="en-AU"/>
              </w:rPr>
              <w:tab/>
            </w:r>
            <w:r w:rsidR="00D44BCF" w:rsidRPr="007D3270">
              <w:rPr>
                <w:rStyle w:val="Hyperlink"/>
                <w:noProof/>
              </w:rPr>
              <w:t>Power to correct error in fixing NPP or making RRO: Crimes Act 1914, s 19AH</w:t>
            </w:r>
            <w:r w:rsidR="00D44BCF">
              <w:rPr>
                <w:noProof/>
                <w:webHidden/>
              </w:rPr>
              <w:tab/>
            </w:r>
            <w:r w:rsidR="00D44BCF">
              <w:rPr>
                <w:noProof/>
                <w:webHidden/>
              </w:rPr>
              <w:fldChar w:fldCharType="begin"/>
            </w:r>
            <w:r w:rsidR="00D44BCF">
              <w:rPr>
                <w:noProof/>
                <w:webHidden/>
              </w:rPr>
              <w:instrText xml:space="preserve"> PAGEREF _Toc33602970 \h </w:instrText>
            </w:r>
            <w:r w:rsidR="00D44BCF">
              <w:rPr>
                <w:noProof/>
                <w:webHidden/>
              </w:rPr>
            </w:r>
            <w:r w:rsidR="00D44BCF">
              <w:rPr>
                <w:noProof/>
                <w:webHidden/>
              </w:rPr>
              <w:fldChar w:fldCharType="separate"/>
            </w:r>
            <w:r w:rsidR="00D44BCF">
              <w:rPr>
                <w:noProof/>
                <w:webHidden/>
              </w:rPr>
              <w:t>215</w:t>
            </w:r>
            <w:r w:rsidR="00D44BCF">
              <w:rPr>
                <w:noProof/>
                <w:webHidden/>
              </w:rPr>
              <w:fldChar w:fldCharType="end"/>
            </w:r>
          </w:hyperlink>
        </w:p>
        <w:p w14:paraId="7C5F3FF7" w14:textId="1EA36BAE" w:rsidR="00D44BCF" w:rsidRDefault="00F51B89">
          <w:pPr>
            <w:pStyle w:val="TOC3"/>
            <w:tabs>
              <w:tab w:val="left" w:pos="1320"/>
            </w:tabs>
            <w:rPr>
              <w:noProof/>
              <w:lang w:val="en-AU" w:eastAsia="en-AU"/>
            </w:rPr>
          </w:pPr>
          <w:hyperlink w:anchor="_Toc33602971" w:history="1">
            <w:r w:rsidR="00D44BCF" w:rsidRPr="007D3270">
              <w:rPr>
                <w:rStyle w:val="Hyperlink"/>
                <w:noProof/>
              </w:rPr>
              <w:t>7.12.4</w:t>
            </w:r>
            <w:r w:rsidR="00D44BCF">
              <w:rPr>
                <w:noProof/>
                <w:lang w:val="en-AU" w:eastAsia="en-AU"/>
              </w:rPr>
              <w:tab/>
            </w:r>
            <w:r w:rsidR="00D44BCF" w:rsidRPr="007D3270">
              <w:rPr>
                <w:rStyle w:val="Hyperlink"/>
                <w:noProof/>
              </w:rPr>
              <w:t>Statutory powers to correct or recall a sentence under State or Territory law</w:t>
            </w:r>
            <w:r w:rsidR="00D44BCF">
              <w:rPr>
                <w:noProof/>
                <w:webHidden/>
              </w:rPr>
              <w:tab/>
            </w:r>
            <w:r w:rsidR="00D44BCF">
              <w:rPr>
                <w:noProof/>
                <w:webHidden/>
              </w:rPr>
              <w:fldChar w:fldCharType="begin"/>
            </w:r>
            <w:r w:rsidR="00D44BCF">
              <w:rPr>
                <w:noProof/>
                <w:webHidden/>
              </w:rPr>
              <w:instrText xml:space="preserve"> PAGEREF _Toc33602971 \h </w:instrText>
            </w:r>
            <w:r w:rsidR="00D44BCF">
              <w:rPr>
                <w:noProof/>
                <w:webHidden/>
              </w:rPr>
            </w:r>
            <w:r w:rsidR="00D44BCF">
              <w:rPr>
                <w:noProof/>
                <w:webHidden/>
              </w:rPr>
              <w:fldChar w:fldCharType="separate"/>
            </w:r>
            <w:r w:rsidR="00D44BCF">
              <w:rPr>
                <w:noProof/>
                <w:webHidden/>
              </w:rPr>
              <w:t>215</w:t>
            </w:r>
            <w:r w:rsidR="00D44BCF">
              <w:rPr>
                <w:noProof/>
                <w:webHidden/>
              </w:rPr>
              <w:fldChar w:fldCharType="end"/>
            </w:r>
          </w:hyperlink>
        </w:p>
        <w:p w14:paraId="6D25D001" w14:textId="70CBF1AB" w:rsidR="00D44BCF" w:rsidRDefault="00F51B89">
          <w:pPr>
            <w:pStyle w:val="TOC2"/>
            <w:tabs>
              <w:tab w:val="left" w:pos="880"/>
              <w:tab w:val="right" w:leader="dot" w:pos="9061"/>
            </w:tabs>
            <w:rPr>
              <w:noProof/>
              <w:lang w:val="en-AU" w:eastAsia="en-AU"/>
            </w:rPr>
          </w:pPr>
          <w:hyperlink w:anchor="_Toc33602972" w:history="1">
            <w:r w:rsidR="00D44BCF" w:rsidRPr="007D3270">
              <w:rPr>
                <w:rStyle w:val="Hyperlink"/>
                <w:noProof/>
              </w:rPr>
              <w:t>7.13</w:t>
            </w:r>
            <w:r w:rsidR="00D44BCF">
              <w:rPr>
                <w:noProof/>
                <w:lang w:val="en-AU" w:eastAsia="en-AU"/>
              </w:rPr>
              <w:tab/>
            </w:r>
            <w:r w:rsidR="00D44BCF" w:rsidRPr="007D3270">
              <w:rPr>
                <w:rStyle w:val="Hyperlink"/>
                <w:noProof/>
              </w:rPr>
              <w:t>Post-sentence monitoring and detention of offenders under State laws</w:t>
            </w:r>
            <w:r w:rsidR="00D44BCF">
              <w:rPr>
                <w:noProof/>
                <w:webHidden/>
              </w:rPr>
              <w:tab/>
            </w:r>
            <w:r w:rsidR="00D44BCF">
              <w:rPr>
                <w:noProof/>
                <w:webHidden/>
              </w:rPr>
              <w:fldChar w:fldCharType="begin"/>
            </w:r>
            <w:r w:rsidR="00D44BCF">
              <w:rPr>
                <w:noProof/>
                <w:webHidden/>
              </w:rPr>
              <w:instrText xml:space="preserve"> PAGEREF _Toc33602972 \h </w:instrText>
            </w:r>
            <w:r w:rsidR="00D44BCF">
              <w:rPr>
                <w:noProof/>
                <w:webHidden/>
              </w:rPr>
            </w:r>
            <w:r w:rsidR="00D44BCF">
              <w:rPr>
                <w:noProof/>
                <w:webHidden/>
              </w:rPr>
              <w:fldChar w:fldCharType="separate"/>
            </w:r>
            <w:r w:rsidR="00D44BCF">
              <w:rPr>
                <w:noProof/>
                <w:webHidden/>
              </w:rPr>
              <w:t>216</w:t>
            </w:r>
            <w:r w:rsidR="00D44BCF">
              <w:rPr>
                <w:noProof/>
                <w:webHidden/>
              </w:rPr>
              <w:fldChar w:fldCharType="end"/>
            </w:r>
          </w:hyperlink>
        </w:p>
        <w:p w14:paraId="5EA99825" w14:textId="6F33178C" w:rsidR="00D44BCF" w:rsidRDefault="00F51B89">
          <w:pPr>
            <w:pStyle w:val="TOC2"/>
            <w:tabs>
              <w:tab w:val="left" w:pos="880"/>
              <w:tab w:val="right" w:leader="dot" w:pos="9061"/>
            </w:tabs>
            <w:rPr>
              <w:noProof/>
              <w:lang w:val="en-AU" w:eastAsia="en-AU"/>
            </w:rPr>
          </w:pPr>
          <w:hyperlink w:anchor="_Toc33602973" w:history="1">
            <w:r w:rsidR="00D44BCF" w:rsidRPr="007D3270">
              <w:rPr>
                <w:rStyle w:val="Hyperlink"/>
                <w:bCs/>
                <w:noProof/>
              </w:rPr>
              <w:t>7.14</w:t>
            </w:r>
            <w:r w:rsidR="00D44BCF">
              <w:rPr>
                <w:noProof/>
                <w:lang w:val="en-AU" w:eastAsia="en-AU"/>
              </w:rPr>
              <w:tab/>
            </w:r>
            <w:r w:rsidR="00D44BCF" w:rsidRPr="007D3270">
              <w:rPr>
                <w:rStyle w:val="Hyperlink"/>
                <w:bCs/>
                <w:noProof/>
              </w:rPr>
              <w:t>Costs certificates</w:t>
            </w:r>
            <w:r w:rsidR="00D44BCF">
              <w:rPr>
                <w:noProof/>
                <w:webHidden/>
              </w:rPr>
              <w:tab/>
            </w:r>
            <w:r w:rsidR="00D44BCF">
              <w:rPr>
                <w:noProof/>
                <w:webHidden/>
              </w:rPr>
              <w:fldChar w:fldCharType="begin"/>
            </w:r>
            <w:r w:rsidR="00D44BCF">
              <w:rPr>
                <w:noProof/>
                <w:webHidden/>
              </w:rPr>
              <w:instrText xml:space="preserve"> PAGEREF _Toc33602973 \h </w:instrText>
            </w:r>
            <w:r w:rsidR="00D44BCF">
              <w:rPr>
                <w:noProof/>
                <w:webHidden/>
              </w:rPr>
            </w:r>
            <w:r w:rsidR="00D44BCF">
              <w:rPr>
                <w:noProof/>
                <w:webHidden/>
              </w:rPr>
              <w:fldChar w:fldCharType="separate"/>
            </w:r>
            <w:r w:rsidR="00D44BCF">
              <w:rPr>
                <w:noProof/>
                <w:webHidden/>
              </w:rPr>
              <w:t>216</w:t>
            </w:r>
            <w:r w:rsidR="00D44BCF">
              <w:rPr>
                <w:noProof/>
                <w:webHidden/>
              </w:rPr>
              <w:fldChar w:fldCharType="end"/>
            </w:r>
          </w:hyperlink>
        </w:p>
        <w:p w14:paraId="2B3E9EEE" w14:textId="0BCA6FEA" w:rsidR="00D44BCF" w:rsidRDefault="00F51B89">
          <w:pPr>
            <w:pStyle w:val="TOC1"/>
            <w:tabs>
              <w:tab w:val="left" w:pos="440"/>
            </w:tabs>
            <w:rPr>
              <w:b w:val="0"/>
              <w:lang w:val="en-AU" w:eastAsia="en-AU"/>
            </w:rPr>
          </w:pPr>
          <w:hyperlink w:anchor="_Toc33602974" w:history="1">
            <w:r w:rsidR="00D44BCF" w:rsidRPr="007D3270">
              <w:rPr>
                <w:rStyle w:val="Hyperlink"/>
              </w:rPr>
              <w:t>8</w:t>
            </w:r>
            <w:r w:rsidR="00D44BCF">
              <w:rPr>
                <w:b w:val="0"/>
                <w:lang w:val="en-AU" w:eastAsia="en-AU"/>
              </w:rPr>
              <w:tab/>
            </w:r>
            <w:r w:rsidR="00D44BCF" w:rsidRPr="007D3270">
              <w:rPr>
                <w:rStyle w:val="Hyperlink"/>
              </w:rPr>
              <w:t>Specific sentencing situations</w:t>
            </w:r>
            <w:r w:rsidR="00D44BCF">
              <w:rPr>
                <w:webHidden/>
              </w:rPr>
              <w:tab/>
            </w:r>
            <w:r w:rsidR="00D44BCF">
              <w:rPr>
                <w:webHidden/>
              </w:rPr>
              <w:fldChar w:fldCharType="begin"/>
            </w:r>
            <w:r w:rsidR="00D44BCF">
              <w:rPr>
                <w:webHidden/>
              </w:rPr>
              <w:instrText xml:space="preserve"> PAGEREF _Toc33602974 \h </w:instrText>
            </w:r>
            <w:r w:rsidR="00D44BCF">
              <w:rPr>
                <w:webHidden/>
              </w:rPr>
            </w:r>
            <w:r w:rsidR="00D44BCF">
              <w:rPr>
                <w:webHidden/>
              </w:rPr>
              <w:fldChar w:fldCharType="separate"/>
            </w:r>
            <w:r w:rsidR="00D44BCF">
              <w:rPr>
                <w:webHidden/>
              </w:rPr>
              <w:t>217</w:t>
            </w:r>
            <w:r w:rsidR="00D44BCF">
              <w:rPr>
                <w:webHidden/>
              </w:rPr>
              <w:fldChar w:fldCharType="end"/>
            </w:r>
          </w:hyperlink>
        </w:p>
        <w:p w14:paraId="1C63E1FC" w14:textId="5C524AB1" w:rsidR="00D44BCF" w:rsidRDefault="00F51B89">
          <w:pPr>
            <w:pStyle w:val="TOC2"/>
            <w:tabs>
              <w:tab w:val="left" w:pos="880"/>
              <w:tab w:val="right" w:leader="dot" w:pos="9061"/>
            </w:tabs>
            <w:rPr>
              <w:noProof/>
              <w:lang w:val="en-AU" w:eastAsia="en-AU"/>
            </w:rPr>
          </w:pPr>
          <w:hyperlink w:anchor="_Toc33602975" w:history="1">
            <w:r w:rsidR="00D44BCF" w:rsidRPr="007D3270">
              <w:rPr>
                <w:rStyle w:val="Hyperlink"/>
                <w:bCs/>
                <w:noProof/>
              </w:rPr>
              <w:t>8.1</w:t>
            </w:r>
            <w:r w:rsidR="00D44BCF">
              <w:rPr>
                <w:noProof/>
                <w:lang w:val="en-AU" w:eastAsia="en-AU"/>
              </w:rPr>
              <w:tab/>
            </w:r>
            <w:r w:rsidR="00D44BCF" w:rsidRPr="007D3270">
              <w:rPr>
                <w:rStyle w:val="Hyperlink"/>
                <w:bCs/>
                <w:noProof/>
              </w:rPr>
              <w:t>Offences to which a prescriptive sentencing regime applies</w:t>
            </w:r>
            <w:r w:rsidR="00D44BCF">
              <w:rPr>
                <w:noProof/>
                <w:webHidden/>
              </w:rPr>
              <w:tab/>
            </w:r>
            <w:r w:rsidR="00D44BCF">
              <w:rPr>
                <w:noProof/>
                <w:webHidden/>
              </w:rPr>
              <w:fldChar w:fldCharType="begin"/>
            </w:r>
            <w:r w:rsidR="00D44BCF">
              <w:rPr>
                <w:noProof/>
                <w:webHidden/>
              </w:rPr>
              <w:instrText xml:space="preserve"> PAGEREF _Toc33602975 \h </w:instrText>
            </w:r>
            <w:r w:rsidR="00D44BCF">
              <w:rPr>
                <w:noProof/>
                <w:webHidden/>
              </w:rPr>
            </w:r>
            <w:r w:rsidR="00D44BCF">
              <w:rPr>
                <w:noProof/>
                <w:webHidden/>
              </w:rPr>
              <w:fldChar w:fldCharType="separate"/>
            </w:r>
            <w:r w:rsidR="00D44BCF">
              <w:rPr>
                <w:noProof/>
                <w:webHidden/>
              </w:rPr>
              <w:t>217</w:t>
            </w:r>
            <w:r w:rsidR="00D44BCF">
              <w:rPr>
                <w:noProof/>
                <w:webHidden/>
              </w:rPr>
              <w:fldChar w:fldCharType="end"/>
            </w:r>
          </w:hyperlink>
        </w:p>
        <w:p w14:paraId="3EE14C00" w14:textId="2DAF59BB" w:rsidR="00D44BCF" w:rsidRDefault="00F51B89">
          <w:pPr>
            <w:pStyle w:val="TOC3"/>
            <w:tabs>
              <w:tab w:val="left" w:pos="1320"/>
            </w:tabs>
            <w:rPr>
              <w:noProof/>
              <w:lang w:val="en-AU" w:eastAsia="en-AU"/>
            </w:rPr>
          </w:pPr>
          <w:hyperlink w:anchor="_Toc33602976" w:history="1">
            <w:r w:rsidR="00D44BCF" w:rsidRPr="007D3270">
              <w:rPr>
                <w:rStyle w:val="Hyperlink"/>
                <w:noProof/>
              </w:rPr>
              <w:t>8.1.1</w:t>
            </w:r>
            <w:r w:rsidR="00D44BCF">
              <w:rPr>
                <w:noProof/>
                <w:lang w:val="en-AU" w:eastAsia="en-AU"/>
              </w:rPr>
              <w:tab/>
            </w:r>
            <w:r w:rsidR="00D44BCF" w:rsidRPr="007D3270">
              <w:rPr>
                <w:rStyle w:val="Hyperlink"/>
                <w:noProof/>
              </w:rPr>
              <w:t>Terrorism and other national security-related offences: the three-quarters rule</w:t>
            </w:r>
            <w:r w:rsidR="00D44BCF">
              <w:rPr>
                <w:noProof/>
                <w:webHidden/>
              </w:rPr>
              <w:tab/>
            </w:r>
            <w:r w:rsidR="00D44BCF">
              <w:rPr>
                <w:noProof/>
                <w:webHidden/>
              </w:rPr>
              <w:fldChar w:fldCharType="begin"/>
            </w:r>
            <w:r w:rsidR="00D44BCF">
              <w:rPr>
                <w:noProof/>
                <w:webHidden/>
              </w:rPr>
              <w:instrText xml:space="preserve"> PAGEREF _Toc33602976 \h </w:instrText>
            </w:r>
            <w:r w:rsidR="00D44BCF">
              <w:rPr>
                <w:noProof/>
                <w:webHidden/>
              </w:rPr>
            </w:r>
            <w:r w:rsidR="00D44BCF">
              <w:rPr>
                <w:noProof/>
                <w:webHidden/>
              </w:rPr>
              <w:fldChar w:fldCharType="separate"/>
            </w:r>
            <w:r w:rsidR="00D44BCF">
              <w:rPr>
                <w:noProof/>
                <w:webHidden/>
              </w:rPr>
              <w:t>217</w:t>
            </w:r>
            <w:r w:rsidR="00D44BCF">
              <w:rPr>
                <w:noProof/>
                <w:webHidden/>
              </w:rPr>
              <w:fldChar w:fldCharType="end"/>
            </w:r>
          </w:hyperlink>
        </w:p>
        <w:p w14:paraId="642D7277" w14:textId="4FDD3A3A" w:rsidR="00D44BCF" w:rsidRDefault="00F51B89">
          <w:pPr>
            <w:pStyle w:val="TOC3"/>
            <w:tabs>
              <w:tab w:val="left" w:pos="1320"/>
            </w:tabs>
            <w:rPr>
              <w:noProof/>
              <w:lang w:val="en-AU" w:eastAsia="en-AU"/>
            </w:rPr>
          </w:pPr>
          <w:hyperlink w:anchor="_Toc33602977" w:history="1">
            <w:r w:rsidR="00D44BCF" w:rsidRPr="007D3270">
              <w:rPr>
                <w:rStyle w:val="Hyperlink"/>
                <w:noProof/>
              </w:rPr>
              <w:t>8.1.2</w:t>
            </w:r>
            <w:r w:rsidR="00D44BCF">
              <w:rPr>
                <w:noProof/>
                <w:lang w:val="en-AU" w:eastAsia="en-AU"/>
              </w:rPr>
              <w:tab/>
            </w:r>
            <w:r w:rsidR="00D44BCF" w:rsidRPr="007D3270">
              <w:rPr>
                <w:rStyle w:val="Hyperlink"/>
                <w:noProof/>
              </w:rPr>
              <w:t>Mandatory imprisonment for certain people-smuggling offences</w:t>
            </w:r>
            <w:r w:rsidR="00D44BCF">
              <w:rPr>
                <w:noProof/>
                <w:webHidden/>
              </w:rPr>
              <w:tab/>
            </w:r>
            <w:r w:rsidR="00D44BCF">
              <w:rPr>
                <w:noProof/>
                <w:webHidden/>
              </w:rPr>
              <w:fldChar w:fldCharType="begin"/>
            </w:r>
            <w:r w:rsidR="00D44BCF">
              <w:rPr>
                <w:noProof/>
                <w:webHidden/>
              </w:rPr>
              <w:instrText xml:space="preserve"> PAGEREF _Toc33602977 \h </w:instrText>
            </w:r>
            <w:r w:rsidR="00D44BCF">
              <w:rPr>
                <w:noProof/>
                <w:webHidden/>
              </w:rPr>
            </w:r>
            <w:r w:rsidR="00D44BCF">
              <w:rPr>
                <w:noProof/>
                <w:webHidden/>
              </w:rPr>
              <w:fldChar w:fldCharType="separate"/>
            </w:r>
            <w:r w:rsidR="00D44BCF">
              <w:rPr>
                <w:noProof/>
                <w:webHidden/>
              </w:rPr>
              <w:t>217</w:t>
            </w:r>
            <w:r w:rsidR="00D44BCF">
              <w:rPr>
                <w:noProof/>
                <w:webHidden/>
              </w:rPr>
              <w:fldChar w:fldCharType="end"/>
            </w:r>
          </w:hyperlink>
        </w:p>
        <w:p w14:paraId="3E8D3099" w14:textId="7DEA99DD" w:rsidR="00D44BCF" w:rsidRDefault="00F51B89">
          <w:pPr>
            <w:pStyle w:val="TOC2"/>
            <w:tabs>
              <w:tab w:val="left" w:pos="880"/>
              <w:tab w:val="right" w:leader="dot" w:pos="9061"/>
            </w:tabs>
            <w:rPr>
              <w:noProof/>
              <w:lang w:val="en-AU" w:eastAsia="en-AU"/>
            </w:rPr>
          </w:pPr>
          <w:hyperlink w:anchor="_Toc33602978" w:history="1">
            <w:r w:rsidR="00D44BCF" w:rsidRPr="007D3270">
              <w:rPr>
                <w:rStyle w:val="Hyperlink"/>
                <w:bCs/>
                <w:noProof/>
              </w:rPr>
              <w:t>8.2</w:t>
            </w:r>
            <w:r w:rsidR="00D44BCF">
              <w:rPr>
                <w:noProof/>
                <w:lang w:val="en-AU" w:eastAsia="en-AU"/>
              </w:rPr>
              <w:tab/>
            </w:r>
            <w:r w:rsidR="00D44BCF" w:rsidRPr="007D3270">
              <w:rPr>
                <w:rStyle w:val="Hyperlink"/>
                <w:bCs/>
                <w:noProof/>
              </w:rPr>
              <w:t>Children and young persons</w:t>
            </w:r>
            <w:r w:rsidR="00D44BCF">
              <w:rPr>
                <w:noProof/>
                <w:webHidden/>
              </w:rPr>
              <w:tab/>
            </w:r>
            <w:r w:rsidR="00D44BCF">
              <w:rPr>
                <w:noProof/>
                <w:webHidden/>
              </w:rPr>
              <w:fldChar w:fldCharType="begin"/>
            </w:r>
            <w:r w:rsidR="00D44BCF">
              <w:rPr>
                <w:noProof/>
                <w:webHidden/>
              </w:rPr>
              <w:instrText xml:space="preserve"> PAGEREF _Toc33602978 \h </w:instrText>
            </w:r>
            <w:r w:rsidR="00D44BCF">
              <w:rPr>
                <w:noProof/>
                <w:webHidden/>
              </w:rPr>
            </w:r>
            <w:r w:rsidR="00D44BCF">
              <w:rPr>
                <w:noProof/>
                <w:webHidden/>
              </w:rPr>
              <w:fldChar w:fldCharType="separate"/>
            </w:r>
            <w:r w:rsidR="00D44BCF">
              <w:rPr>
                <w:noProof/>
                <w:webHidden/>
              </w:rPr>
              <w:t>219</w:t>
            </w:r>
            <w:r w:rsidR="00D44BCF">
              <w:rPr>
                <w:noProof/>
                <w:webHidden/>
              </w:rPr>
              <w:fldChar w:fldCharType="end"/>
            </w:r>
          </w:hyperlink>
        </w:p>
        <w:p w14:paraId="498E309A" w14:textId="57AF3921" w:rsidR="00D44BCF" w:rsidRDefault="00F51B89">
          <w:pPr>
            <w:pStyle w:val="TOC2"/>
            <w:tabs>
              <w:tab w:val="left" w:pos="880"/>
              <w:tab w:val="right" w:leader="dot" w:pos="9061"/>
            </w:tabs>
            <w:rPr>
              <w:noProof/>
              <w:lang w:val="en-AU" w:eastAsia="en-AU"/>
            </w:rPr>
          </w:pPr>
          <w:hyperlink w:anchor="_Toc33602979" w:history="1">
            <w:r w:rsidR="00D44BCF" w:rsidRPr="007D3270">
              <w:rPr>
                <w:rStyle w:val="Hyperlink"/>
                <w:bCs/>
                <w:noProof/>
              </w:rPr>
              <w:t>8.3</w:t>
            </w:r>
            <w:r w:rsidR="00D44BCF">
              <w:rPr>
                <w:noProof/>
                <w:lang w:val="en-AU" w:eastAsia="en-AU"/>
              </w:rPr>
              <w:tab/>
            </w:r>
            <w:r w:rsidR="00D44BCF" w:rsidRPr="007D3270">
              <w:rPr>
                <w:rStyle w:val="Hyperlink"/>
                <w:bCs/>
                <w:noProof/>
              </w:rPr>
              <w:t>Applied State offences committed on Commonwealth places</w:t>
            </w:r>
            <w:r w:rsidR="00D44BCF">
              <w:rPr>
                <w:noProof/>
                <w:webHidden/>
              </w:rPr>
              <w:tab/>
            </w:r>
            <w:r w:rsidR="00D44BCF">
              <w:rPr>
                <w:noProof/>
                <w:webHidden/>
              </w:rPr>
              <w:fldChar w:fldCharType="begin"/>
            </w:r>
            <w:r w:rsidR="00D44BCF">
              <w:rPr>
                <w:noProof/>
                <w:webHidden/>
              </w:rPr>
              <w:instrText xml:space="preserve"> PAGEREF _Toc33602979 \h </w:instrText>
            </w:r>
            <w:r w:rsidR="00D44BCF">
              <w:rPr>
                <w:noProof/>
                <w:webHidden/>
              </w:rPr>
            </w:r>
            <w:r w:rsidR="00D44BCF">
              <w:rPr>
                <w:noProof/>
                <w:webHidden/>
              </w:rPr>
              <w:fldChar w:fldCharType="separate"/>
            </w:r>
            <w:r w:rsidR="00D44BCF">
              <w:rPr>
                <w:noProof/>
                <w:webHidden/>
              </w:rPr>
              <w:t>221</w:t>
            </w:r>
            <w:r w:rsidR="00D44BCF">
              <w:rPr>
                <w:noProof/>
                <w:webHidden/>
              </w:rPr>
              <w:fldChar w:fldCharType="end"/>
            </w:r>
          </w:hyperlink>
        </w:p>
        <w:p w14:paraId="6EEB67AC" w14:textId="4654FD5C" w:rsidR="00D44BCF" w:rsidRDefault="00F51B89">
          <w:pPr>
            <w:pStyle w:val="TOC2"/>
            <w:tabs>
              <w:tab w:val="left" w:pos="880"/>
              <w:tab w:val="right" w:leader="dot" w:pos="9061"/>
            </w:tabs>
            <w:rPr>
              <w:noProof/>
              <w:lang w:val="en-AU" w:eastAsia="en-AU"/>
            </w:rPr>
          </w:pPr>
          <w:hyperlink w:anchor="_Toc33602980" w:history="1">
            <w:r w:rsidR="00D44BCF" w:rsidRPr="007D3270">
              <w:rPr>
                <w:rStyle w:val="Hyperlink"/>
                <w:bCs/>
                <w:noProof/>
              </w:rPr>
              <w:t>8.4</w:t>
            </w:r>
            <w:r w:rsidR="00D44BCF">
              <w:rPr>
                <w:noProof/>
                <w:lang w:val="en-AU" w:eastAsia="en-AU"/>
              </w:rPr>
              <w:tab/>
            </w:r>
            <w:r w:rsidR="00D44BCF" w:rsidRPr="007D3270">
              <w:rPr>
                <w:rStyle w:val="Hyperlink"/>
                <w:bCs/>
                <w:noProof/>
              </w:rPr>
              <w:t>Fitness to be Tried</w:t>
            </w:r>
            <w:r w:rsidR="00D44BCF">
              <w:rPr>
                <w:noProof/>
                <w:webHidden/>
              </w:rPr>
              <w:tab/>
            </w:r>
            <w:r w:rsidR="00D44BCF">
              <w:rPr>
                <w:noProof/>
                <w:webHidden/>
              </w:rPr>
              <w:fldChar w:fldCharType="begin"/>
            </w:r>
            <w:r w:rsidR="00D44BCF">
              <w:rPr>
                <w:noProof/>
                <w:webHidden/>
              </w:rPr>
              <w:instrText xml:space="preserve"> PAGEREF _Toc33602980 \h </w:instrText>
            </w:r>
            <w:r w:rsidR="00D44BCF">
              <w:rPr>
                <w:noProof/>
                <w:webHidden/>
              </w:rPr>
            </w:r>
            <w:r w:rsidR="00D44BCF">
              <w:rPr>
                <w:noProof/>
                <w:webHidden/>
              </w:rPr>
              <w:fldChar w:fldCharType="separate"/>
            </w:r>
            <w:r w:rsidR="00D44BCF">
              <w:rPr>
                <w:noProof/>
                <w:webHidden/>
              </w:rPr>
              <w:t>221</w:t>
            </w:r>
            <w:r w:rsidR="00D44BCF">
              <w:rPr>
                <w:noProof/>
                <w:webHidden/>
              </w:rPr>
              <w:fldChar w:fldCharType="end"/>
            </w:r>
          </w:hyperlink>
        </w:p>
        <w:p w14:paraId="57F5289F" w14:textId="1A7B106C" w:rsidR="00D44BCF" w:rsidRDefault="00F51B89">
          <w:pPr>
            <w:pStyle w:val="TOC3"/>
            <w:tabs>
              <w:tab w:val="left" w:pos="1320"/>
            </w:tabs>
            <w:rPr>
              <w:noProof/>
              <w:lang w:val="en-AU" w:eastAsia="en-AU"/>
            </w:rPr>
          </w:pPr>
          <w:hyperlink w:anchor="_Toc33602981" w:history="1">
            <w:r w:rsidR="00D44BCF" w:rsidRPr="007D3270">
              <w:rPr>
                <w:rStyle w:val="Hyperlink"/>
                <w:noProof/>
              </w:rPr>
              <w:t>8.4.1</w:t>
            </w:r>
            <w:r w:rsidR="00D44BCF">
              <w:rPr>
                <w:noProof/>
                <w:lang w:val="en-AU" w:eastAsia="en-AU"/>
              </w:rPr>
              <w:tab/>
            </w:r>
            <w:r w:rsidR="00D44BCF" w:rsidRPr="007D3270">
              <w:rPr>
                <w:rStyle w:val="Hyperlink"/>
                <w:noProof/>
              </w:rPr>
              <w:t>Unfitness in commital proceedings and on indictment</w:t>
            </w:r>
            <w:r w:rsidR="00D44BCF">
              <w:rPr>
                <w:noProof/>
                <w:webHidden/>
              </w:rPr>
              <w:tab/>
            </w:r>
            <w:r w:rsidR="00D44BCF">
              <w:rPr>
                <w:noProof/>
                <w:webHidden/>
              </w:rPr>
              <w:fldChar w:fldCharType="begin"/>
            </w:r>
            <w:r w:rsidR="00D44BCF">
              <w:rPr>
                <w:noProof/>
                <w:webHidden/>
              </w:rPr>
              <w:instrText xml:space="preserve"> PAGEREF _Toc33602981 \h </w:instrText>
            </w:r>
            <w:r w:rsidR="00D44BCF">
              <w:rPr>
                <w:noProof/>
                <w:webHidden/>
              </w:rPr>
            </w:r>
            <w:r w:rsidR="00D44BCF">
              <w:rPr>
                <w:noProof/>
                <w:webHidden/>
              </w:rPr>
              <w:fldChar w:fldCharType="separate"/>
            </w:r>
            <w:r w:rsidR="00D44BCF">
              <w:rPr>
                <w:noProof/>
                <w:webHidden/>
              </w:rPr>
              <w:t>221</w:t>
            </w:r>
            <w:r w:rsidR="00D44BCF">
              <w:rPr>
                <w:noProof/>
                <w:webHidden/>
              </w:rPr>
              <w:fldChar w:fldCharType="end"/>
            </w:r>
          </w:hyperlink>
        </w:p>
        <w:p w14:paraId="73242E68" w14:textId="39EF2424" w:rsidR="00D44BCF" w:rsidRDefault="00F51B89">
          <w:pPr>
            <w:pStyle w:val="TOC3"/>
            <w:tabs>
              <w:tab w:val="left" w:pos="1320"/>
            </w:tabs>
            <w:rPr>
              <w:noProof/>
              <w:lang w:val="en-AU" w:eastAsia="en-AU"/>
            </w:rPr>
          </w:pPr>
          <w:hyperlink w:anchor="_Toc33602982" w:history="1">
            <w:r w:rsidR="00D44BCF" w:rsidRPr="007D3270">
              <w:rPr>
                <w:rStyle w:val="Hyperlink"/>
                <w:noProof/>
              </w:rPr>
              <w:t>8.4.2</w:t>
            </w:r>
            <w:r w:rsidR="00D44BCF">
              <w:rPr>
                <w:noProof/>
                <w:lang w:val="en-AU" w:eastAsia="en-AU"/>
              </w:rPr>
              <w:tab/>
            </w:r>
            <w:r w:rsidR="00D44BCF" w:rsidRPr="007D3270">
              <w:rPr>
                <w:rStyle w:val="Hyperlink"/>
                <w:noProof/>
              </w:rPr>
              <w:t>Unfitness in summary proceedings</w:t>
            </w:r>
            <w:r w:rsidR="00D44BCF">
              <w:rPr>
                <w:noProof/>
                <w:webHidden/>
              </w:rPr>
              <w:tab/>
            </w:r>
            <w:r w:rsidR="00D44BCF">
              <w:rPr>
                <w:noProof/>
                <w:webHidden/>
              </w:rPr>
              <w:fldChar w:fldCharType="begin"/>
            </w:r>
            <w:r w:rsidR="00D44BCF">
              <w:rPr>
                <w:noProof/>
                <w:webHidden/>
              </w:rPr>
              <w:instrText xml:space="preserve"> PAGEREF _Toc33602982 \h </w:instrText>
            </w:r>
            <w:r w:rsidR="00D44BCF">
              <w:rPr>
                <w:noProof/>
                <w:webHidden/>
              </w:rPr>
            </w:r>
            <w:r w:rsidR="00D44BCF">
              <w:rPr>
                <w:noProof/>
                <w:webHidden/>
              </w:rPr>
              <w:fldChar w:fldCharType="separate"/>
            </w:r>
            <w:r w:rsidR="00D44BCF">
              <w:rPr>
                <w:noProof/>
                <w:webHidden/>
              </w:rPr>
              <w:t>224</w:t>
            </w:r>
            <w:r w:rsidR="00D44BCF">
              <w:rPr>
                <w:noProof/>
                <w:webHidden/>
              </w:rPr>
              <w:fldChar w:fldCharType="end"/>
            </w:r>
          </w:hyperlink>
        </w:p>
        <w:p w14:paraId="4E153308" w14:textId="37CEB175" w:rsidR="00D44BCF" w:rsidRDefault="00F51B89">
          <w:pPr>
            <w:pStyle w:val="TOC2"/>
            <w:tabs>
              <w:tab w:val="left" w:pos="880"/>
              <w:tab w:val="right" w:leader="dot" w:pos="9061"/>
            </w:tabs>
            <w:rPr>
              <w:noProof/>
              <w:lang w:val="en-AU" w:eastAsia="en-AU"/>
            </w:rPr>
          </w:pPr>
          <w:hyperlink w:anchor="_Toc33602983" w:history="1">
            <w:r w:rsidR="00D44BCF" w:rsidRPr="007D3270">
              <w:rPr>
                <w:rStyle w:val="Hyperlink"/>
                <w:bCs/>
                <w:noProof/>
              </w:rPr>
              <w:t>8.5</w:t>
            </w:r>
            <w:r w:rsidR="00D44BCF">
              <w:rPr>
                <w:noProof/>
                <w:lang w:val="en-AU" w:eastAsia="en-AU"/>
              </w:rPr>
              <w:tab/>
            </w:r>
            <w:r w:rsidR="00D44BCF" w:rsidRPr="007D3270">
              <w:rPr>
                <w:rStyle w:val="Hyperlink"/>
                <w:bCs/>
                <w:noProof/>
              </w:rPr>
              <w:t>Dispositions following acquittal because of mental illness</w:t>
            </w:r>
            <w:r w:rsidR="00D44BCF">
              <w:rPr>
                <w:noProof/>
                <w:webHidden/>
              </w:rPr>
              <w:tab/>
            </w:r>
            <w:r w:rsidR="00D44BCF">
              <w:rPr>
                <w:noProof/>
                <w:webHidden/>
              </w:rPr>
              <w:fldChar w:fldCharType="begin"/>
            </w:r>
            <w:r w:rsidR="00D44BCF">
              <w:rPr>
                <w:noProof/>
                <w:webHidden/>
              </w:rPr>
              <w:instrText xml:space="preserve"> PAGEREF _Toc33602983 \h </w:instrText>
            </w:r>
            <w:r w:rsidR="00D44BCF">
              <w:rPr>
                <w:noProof/>
                <w:webHidden/>
              </w:rPr>
            </w:r>
            <w:r w:rsidR="00D44BCF">
              <w:rPr>
                <w:noProof/>
                <w:webHidden/>
              </w:rPr>
              <w:fldChar w:fldCharType="separate"/>
            </w:r>
            <w:r w:rsidR="00D44BCF">
              <w:rPr>
                <w:noProof/>
                <w:webHidden/>
              </w:rPr>
              <w:t>226</w:t>
            </w:r>
            <w:r w:rsidR="00D44BCF">
              <w:rPr>
                <w:noProof/>
                <w:webHidden/>
              </w:rPr>
              <w:fldChar w:fldCharType="end"/>
            </w:r>
          </w:hyperlink>
        </w:p>
        <w:p w14:paraId="1E539F70" w14:textId="212EA400" w:rsidR="00D44BCF" w:rsidRDefault="00F51B89">
          <w:pPr>
            <w:pStyle w:val="TOC3"/>
            <w:tabs>
              <w:tab w:val="left" w:pos="1320"/>
            </w:tabs>
            <w:rPr>
              <w:noProof/>
              <w:lang w:val="en-AU" w:eastAsia="en-AU"/>
            </w:rPr>
          </w:pPr>
          <w:hyperlink w:anchor="_Toc33602984" w:history="1">
            <w:r w:rsidR="00D44BCF" w:rsidRPr="007D3270">
              <w:rPr>
                <w:rStyle w:val="Hyperlink"/>
                <w:noProof/>
              </w:rPr>
              <w:t>8.5.1</w:t>
            </w:r>
            <w:r w:rsidR="00D44BCF">
              <w:rPr>
                <w:noProof/>
                <w:lang w:val="en-AU" w:eastAsia="en-AU"/>
              </w:rPr>
              <w:tab/>
            </w:r>
            <w:r w:rsidR="00D44BCF" w:rsidRPr="007D3270">
              <w:rPr>
                <w:rStyle w:val="Hyperlink"/>
                <w:noProof/>
              </w:rPr>
              <w:t>Power to make an order</w:t>
            </w:r>
            <w:r w:rsidR="00D44BCF">
              <w:rPr>
                <w:noProof/>
                <w:webHidden/>
              </w:rPr>
              <w:tab/>
            </w:r>
            <w:r w:rsidR="00D44BCF">
              <w:rPr>
                <w:noProof/>
                <w:webHidden/>
              </w:rPr>
              <w:fldChar w:fldCharType="begin"/>
            </w:r>
            <w:r w:rsidR="00D44BCF">
              <w:rPr>
                <w:noProof/>
                <w:webHidden/>
              </w:rPr>
              <w:instrText xml:space="preserve"> PAGEREF _Toc33602984 \h </w:instrText>
            </w:r>
            <w:r w:rsidR="00D44BCF">
              <w:rPr>
                <w:noProof/>
                <w:webHidden/>
              </w:rPr>
            </w:r>
            <w:r w:rsidR="00D44BCF">
              <w:rPr>
                <w:noProof/>
                <w:webHidden/>
              </w:rPr>
              <w:fldChar w:fldCharType="separate"/>
            </w:r>
            <w:r w:rsidR="00D44BCF">
              <w:rPr>
                <w:noProof/>
                <w:webHidden/>
              </w:rPr>
              <w:t>226</w:t>
            </w:r>
            <w:r w:rsidR="00D44BCF">
              <w:rPr>
                <w:noProof/>
                <w:webHidden/>
              </w:rPr>
              <w:fldChar w:fldCharType="end"/>
            </w:r>
          </w:hyperlink>
        </w:p>
        <w:p w14:paraId="091843E3" w14:textId="3854154B" w:rsidR="00D44BCF" w:rsidRDefault="00F51B89">
          <w:pPr>
            <w:pStyle w:val="TOC3"/>
            <w:tabs>
              <w:tab w:val="left" w:pos="1320"/>
            </w:tabs>
            <w:rPr>
              <w:noProof/>
              <w:lang w:val="en-AU" w:eastAsia="en-AU"/>
            </w:rPr>
          </w:pPr>
          <w:hyperlink w:anchor="_Toc33602985" w:history="1">
            <w:r w:rsidR="00D44BCF" w:rsidRPr="007D3270">
              <w:rPr>
                <w:rStyle w:val="Hyperlink"/>
                <w:noProof/>
              </w:rPr>
              <w:t>8.5.2</w:t>
            </w:r>
            <w:r w:rsidR="00D44BCF">
              <w:rPr>
                <w:noProof/>
                <w:lang w:val="en-AU" w:eastAsia="en-AU"/>
              </w:rPr>
              <w:tab/>
            </w:r>
            <w:r w:rsidR="00D44BCF" w:rsidRPr="007D3270">
              <w:rPr>
                <w:rStyle w:val="Hyperlink"/>
                <w:noProof/>
              </w:rPr>
              <w:t>Detention or release</w:t>
            </w:r>
            <w:r w:rsidR="00D44BCF">
              <w:rPr>
                <w:noProof/>
                <w:webHidden/>
              </w:rPr>
              <w:tab/>
            </w:r>
            <w:r w:rsidR="00D44BCF">
              <w:rPr>
                <w:noProof/>
                <w:webHidden/>
              </w:rPr>
              <w:fldChar w:fldCharType="begin"/>
            </w:r>
            <w:r w:rsidR="00D44BCF">
              <w:rPr>
                <w:noProof/>
                <w:webHidden/>
              </w:rPr>
              <w:instrText xml:space="preserve"> PAGEREF _Toc33602985 \h </w:instrText>
            </w:r>
            <w:r w:rsidR="00D44BCF">
              <w:rPr>
                <w:noProof/>
                <w:webHidden/>
              </w:rPr>
            </w:r>
            <w:r w:rsidR="00D44BCF">
              <w:rPr>
                <w:noProof/>
                <w:webHidden/>
              </w:rPr>
              <w:fldChar w:fldCharType="separate"/>
            </w:r>
            <w:r w:rsidR="00D44BCF">
              <w:rPr>
                <w:noProof/>
                <w:webHidden/>
              </w:rPr>
              <w:t>227</w:t>
            </w:r>
            <w:r w:rsidR="00D44BCF">
              <w:rPr>
                <w:noProof/>
                <w:webHidden/>
              </w:rPr>
              <w:fldChar w:fldCharType="end"/>
            </w:r>
          </w:hyperlink>
        </w:p>
        <w:p w14:paraId="02F117C9" w14:textId="3A4F925B" w:rsidR="00D44BCF" w:rsidRDefault="00F51B89">
          <w:pPr>
            <w:pStyle w:val="TOC2"/>
            <w:tabs>
              <w:tab w:val="left" w:pos="880"/>
              <w:tab w:val="right" w:leader="dot" w:pos="9061"/>
            </w:tabs>
            <w:rPr>
              <w:noProof/>
              <w:lang w:val="en-AU" w:eastAsia="en-AU"/>
            </w:rPr>
          </w:pPr>
          <w:hyperlink w:anchor="_Toc33602986" w:history="1">
            <w:r w:rsidR="00D44BCF" w:rsidRPr="007D3270">
              <w:rPr>
                <w:rStyle w:val="Hyperlink"/>
                <w:bCs/>
                <w:noProof/>
              </w:rPr>
              <w:t>8.6</w:t>
            </w:r>
            <w:r w:rsidR="00D44BCF">
              <w:rPr>
                <w:noProof/>
                <w:lang w:val="en-AU" w:eastAsia="en-AU"/>
              </w:rPr>
              <w:tab/>
            </w:r>
            <w:r w:rsidR="00D44BCF" w:rsidRPr="007D3270">
              <w:rPr>
                <w:rStyle w:val="Hyperlink"/>
                <w:bCs/>
                <w:noProof/>
              </w:rPr>
              <w:t>Disposition of persons suffering from mental illness/intellectual disability</w:t>
            </w:r>
            <w:r w:rsidR="00D44BCF">
              <w:rPr>
                <w:noProof/>
                <w:webHidden/>
              </w:rPr>
              <w:tab/>
            </w:r>
            <w:r w:rsidR="00D44BCF">
              <w:rPr>
                <w:noProof/>
                <w:webHidden/>
              </w:rPr>
              <w:fldChar w:fldCharType="begin"/>
            </w:r>
            <w:r w:rsidR="00D44BCF">
              <w:rPr>
                <w:noProof/>
                <w:webHidden/>
              </w:rPr>
              <w:instrText xml:space="preserve"> PAGEREF _Toc33602986 \h </w:instrText>
            </w:r>
            <w:r w:rsidR="00D44BCF">
              <w:rPr>
                <w:noProof/>
                <w:webHidden/>
              </w:rPr>
            </w:r>
            <w:r w:rsidR="00D44BCF">
              <w:rPr>
                <w:noProof/>
                <w:webHidden/>
              </w:rPr>
              <w:fldChar w:fldCharType="separate"/>
            </w:r>
            <w:r w:rsidR="00D44BCF">
              <w:rPr>
                <w:noProof/>
                <w:webHidden/>
              </w:rPr>
              <w:t>228</w:t>
            </w:r>
            <w:r w:rsidR="00D44BCF">
              <w:rPr>
                <w:noProof/>
                <w:webHidden/>
              </w:rPr>
              <w:fldChar w:fldCharType="end"/>
            </w:r>
          </w:hyperlink>
        </w:p>
        <w:p w14:paraId="762A35F6" w14:textId="3386370C" w:rsidR="00D44BCF" w:rsidRDefault="00F51B89">
          <w:pPr>
            <w:pStyle w:val="TOC3"/>
            <w:tabs>
              <w:tab w:val="left" w:pos="1320"/>
            </w:tabs>
            <w:rPr>
              <w:noProof/>
              <w:lang w:val="en-AU" w:eastAsia="en-AU"/>
            </w:rPr>
          </w:pPr>
          <w:hyperlink w:anchor="_Toc33602987" w:history="1">
            <w:r w:rsidR="00D44BCF" w:rsidRPr="007D3270">
              <w:rPr>
                <w:rStyle w:val="Hyperlink"/>
                <w:noProof/>
              </w:rPr>
              <w:t>8.6.1</w:t>
            </w:r>
            <w:r w:rsidR="00D44BCF">
              <w:rPr>
                <w:noProof/>
                <w:lang w:val="en-AU" w:eastAsia="en-AU"/>
              </w:rPr>
              <w:tab/>
            </w:r>
            <w:r w:rsidR="00D44BCF" w:rsidRPr="007D3270">
              <w:rPr>
                <w:rStyle w:val="Hyperlink"/>
                <w:noProof/>
              </w:rPr>
              <w:t>Non-conviction disposition in summary proceedings</w:t>
            </w:r>
            <w:r w:rsidR="00D44BCF">
              <w:rPr>
                <w:noProof/>
                <w:webHidden/>
              </w:rPr>
              <w:tab/>
            </w:r>
            <w:r w:rsidR="00D44BCF">
              <w:rPr>
                <w:noProof/>
                <w:webHidden/>
              </w:rPr>
              <w:fldChar w:fldCharType="begin"/>
            </w:r>
            <w:r w:rsidR="00D44BCF">
              <w:rPr>
                <w:noProof/>
                <w:webHidden/>
              </w:rPr>
              <w:instrText xml:space="preserve"> PAGEREF _Toc33602987 \h </w:instrText>
            </w:r>
            <w:r w:rsidR="00D44BCF">
              <w:rPr>
                <w:noProof/>
                <w:webHidden/>
              </w:rPr>
            </w:r>
            <w:r w:rsidR="00D44BCF">
              <w:rPr>
                <w:noProof/>
                <w:webHidden/>
              </w:rPr>
              <w:fldChar w:fldCharType="separate"/>
            </w:r>
            <w:r w:rsidR="00D44BCF">
              <w:rPr>
                <w:noProof/>
                <w:webHidden/>
              </w:rPr>
              <w:t>228</w:t>
            </w:r>
            <w:r w:rsidR="00D44BCF">
              <w:rPr>
                <w:noProof/>
                <w:webHidden/>
              </w:rPr>
              <w:fldChar w:fldCharType="end"/>
            </w:r>
          </w:hyperlink>
        </w:p>
        <w:p w14:paraId="4C650432" w14:textId="1B04ECB6" w:rsidR="00D44BCF" w:rsidRDefault="00F51B89">
          <w:pPr>
            <w:pStyle w:val="TOC3"/>
            <w:tabs>
              <w:tab w:val="left" w:pos="1320"/>
            </w:tabs>
            <w:rPr>
              <w:noProof/>
              <w:lang w:val="en-AU" w:eastAsia="en-AU"/>
            </w:rPr>
          </w:pPr>
          <w:hyperlink w:anchor="_Toc33602988" w:history="1">
            <w:r w:rsidR="00D44BCF" w:rsidRPr="007D3270">
              <w:rPr>
                <w:rStyle w:val="Hyperlink"/>
                <w:noProof/>
              </w:rPr>
              <w:t>8.6.2</w:t>
            </w:r>
            <w:r w:rsidR="00D44BCF">
              <w:rPr>
                <w:noProof/>
                <w:lang w:val="en-AU" w:eastAsia="en-AU"/>
              </w:rPr>
              <w:tab/>
            </w:r>
            <w:r w:rsidR="00D44BCF" w:rsidRPr="007D3270">
              <w:rPr>
                <w:rStyle w:val="Hyperlink"/>
                <w:noProof/>
              </w:rPr>
              <w:t>Post-conviction dispositions</w:t>
            </w:r>
            <w:r w:rsidR="00D44BCF">
              <w:rPr>
                <w:noProof/>
                <w:webHidden/>
              </w:rPr>
              <w:tab/>
            </w:r>
            <w:r w:rsidR="00D44BCF">
              <w:rPr>
                <w:noProof/>
                <w:webHidden/>
              </w:rPr>
              <w:fldChar w:fldCharType="begin"/>
            </w:r>
            <w:r w:rsidR="00D44BCF">
              <w:rPr>
                <w:noProof/>
                <w:webHidden/>
              </w:rPr>
              <w:instrText xml:space="preserve"> PAGEREF _Toc33602988 \h </w:instrText>
            </w:r>
            <w:r w:rsidR="00D44BCF">
              <w:rPr>
                <w:noProof/>
                <w:webHidden/>
              </w:rPr>
            </w:r>
            <w:r w:rsidR="00D44BCF">
              <w:rPr>
                <w:noProof/>
                <w:webHidden/>
              </w:rPr>
              <w:fldChar w:fldCharType="separate"/>
            </w:r>
            <w:r w:rsidR="00D44BCF">
              <w:rPr>
                <w:noProof/>
                <w:webHidden/>
              </w:rPr>
              <w:t>228</w:t>
            </w:r>
            <w:r w:rsidR="00D44BCF">
              <w:rPr>
                <w:noProof/>
                <w:webHidden/>
              </w:rPr>
              <w:fldChar w:fldCharType="end"/>
            </w:r>
          </w:hyperlink>
        </w:p>
        <w:p w14:paraId="5A5EDD3C" w14:textId="04923B65" w:rsidR="00D44BCF" w:rsidRDefault="00F51B89">
          <w:pPr>
            <w:pStyle w:val="TOC1"/>
            <w:rPr>
              <w:b w:val="0"/>
              <w:lang w:val="en-AU" w:eastAsia="en-AU"/>
            </w:rPr>
          </w:pPr>
          <w:hyperlink w:anchor="_Toc33602989" w:history="1">
            <w:r w:rsidR="00D44BCF" w:rsidRPr="007D3270">
              <w:rPr>
                <w:rStyle w:val="Hyperlink"/>
              </w:rPr>
              <w:t>Appendix 1: Federal Sentencing Checklist</w:t>
            </w:r>
            <w:r w:rsidR="00D44BCF">
              <w:rPr>
                <w:webHidden/>
              </w:rPr>
              <w:tab/>
            </w:r>
            <w:r w:rsidR="00D44BCF">
              <w:rPr>
                <w:webHidden/>
              </w:rPr>
              <w:fldChar w:fldCharType="begin"/>
            </w:r>
            <w:r w:rsidR="00D44BCF">
              <w:rPr>
                <w:webHidden/>
              </w:rPr>
              <w:instrText xml:space="preserve"> PAGEREF _Toc33602989 \h </w:instrText>
            </w:r>
            <w:r w:rsidR="00D44BCF">
              <w:rPr>
                <w:webHidden/>
              </w:rPr>
            </w:r>
            <w:r w:rsidR="00D44BCF">
              <w:rPr>
                <w:webHidden/>
              </w:rPr>
              <w:fldChar w:fldCharType="separate"/>
            </w:r>
            <w:r w:rsidR="00D44BCF">
              <w:rPr>
                <w:webHidden/>
              </w:rPr>
              <w:t>230</w:t>
            </w:r>
            <w:r w:rsidR="00D44BCF">
              <w:rPr>
                <w:webHidden/>
              </w:rPr>
              <w:fldChar w:fldCharType="end"/>
            </w:r>
          </w:hyperlink>
        </w:p>
        <w:p w14:paraId="045A364B" w14:textId="471C27F3" w:rsidR="00D44BCF" w:rsidRDefault="00F51B89">
          <w:pPr>
            <w:pStyle w:val="TOC1"/>
            <w:rPr>
              <w:b w:val="0"/>
              <w:lang w:val="en-AU" w:eastAsia="en-AU"/>
            </w:rPr>
          </w:pPr>
          <w:hyperlink w:anchor="_Toc33602990" w:history="1">
            <w:r w:rsidR="00D44BCF" w:rsidRPr="007D3270">
              <w:rPr>
                <w:rStyle w:val="Hyperlink"/>
              </w:rPr>
              <w:t>Appendix 2: Federal offences triggering State and Territory sex offender registration legislation</w:t>
            </w:r>
            <w:r w:rsidR="00D44BCF">
              <w:rPr>
                <w:webHidden/>
              </w:rPr>
              <w:tab/>
            </w:r>
            <w:r w:rsidR="00D44BCF">
              <w:rPr>
                <w:webHidden/>
              </w:rPr>
              <w:fldChar w:fldCharType="begin"/>
            </w:r>
            <w:r w:rsidR="00D44BCF">
              <w:rPr>
                <w:webHidden/>
              </w:rPr>
              <w:instrText xml:space="preserve"> PAGEREF _Toc33602990 \h </w:instrText>
            </w:r>
            <w:r w:rsidR="00D44BCF">
              <w:rPr>
                <w:webHidden/>
              </w:rPr>
            </w:r>
            <w:r w:rsidR="00D44BCF">
              <w:rPr>
                <w:webHidden/>
              </w:rPr>
              <w:fldChar w:fldCharType="separate"/>
            </w:r>
            <w:r w:rsidR="00D44BCF">
              <w:rPr>
                <w:webHidden/>
              </w:rPr>
              <w:t>236</w:t>
            </w:r>
            <w:r w:rsidR="00D44BCF">
              <w:rPr>
                <w:webHidden/>
              </w:rPr>
              <w:fldChar w:fldCharType="end"/>
            </w:r>
          </w:hyperlink>
        </w:p>
        <w:p w14:paraId="13E19984" w14:textId="24DC88AF" w:rsidR="00D44BCF" w:rsidRDefault="00F51B89">
          <w:pPr>
            <w:pStyle w:val="TOC2"/>
            <w:tabs>
              <w:tab w:val="left" w:pos="880"/>
              <w:tab w:val="right" w:leader="dot" w:pos="9061"/>
            </w:tabs>
            <w:rPr>
              <w:noProof/>
              <w:lang w:val="en-AU" w:eastAsia="en-AU"/>
            </w:rPr>
          </w:pPr>
          <w:hyperlink w:anchor="_Toc33602991" w:history="1">
            <w:r w:rsidR="00D44BCF" w:rsidRPr="007D3270">
              <w:rPr>
                <w:rStyle w:val="Hyperlink"/>
                <w:noProof/>
              </w:rPr>
              <w:t>A2.1</w:t>
            </w:r>
            <w:r w:rsidR="00D44BCF">
              <w:rPr>
                <w:noProof/>
                <w:lang w:val="en-AU" w:eastAsia="en-AU"/>
              </w:rPr>
              <w:tab/>
            </w:r>
            <w:r w:rsidR="00D44BCF" w:rsidRPr="007D3270">
              <w:rPr>
                <w:rStyle w:val="Hyperlink"/>
                <w:noProof/>
              </w:rPr>
              <w:t>New South Wales: Registrable federal offences under the Child Protection (Offenders Registration) Act 2000 (NSW)</w:t>
            </w:r>
            <w:r w:rsidR="00D44BCF">
              <w:rPr>
                <w:noProof/>
                <w:webHidden/>
              </w:rPr>
              <w:tab/>
            </w:r>
            <w:r w:rsidR="00D44BCF">
              <w:rPr>
                <w:noProof/>
                <w:webHidden/>
              </w:rPr>
              <w:fldChar w:fldCharType="begin"/>
            </w:r>
            <w:r w:rsidR="00D44BCF">
              <w:rPr>
                <w:noProof/>
                <w:webHidden/>
              </w:rPr>
              <w:instrText xml:space="preserve"> PAGEREF _Toc33602991 \h </w:instrText>
            </w:r>
            <w:r w:rsidR="00D44BCF">
              <w:rPr>
                <w:noProof/>
                <w:webHidden/>
              </w:rPr>
            </w:r>
            <w:r w:rsidR="00D44BCF">
              <w:rPr>
                <w:noProof/>
                <w:webHidden/>
              </w:rPr>
              <w:fldChar w:fldCharType="separate"/>
            </w:r>
            <w:r w:rsidR="00D44BCF">
              <w:rPr>
                <w:noProof/>
                <w:webHidden/>
              </w:rPr>
              <w:t>236</w:t>
            </w:r>
            <w:r w:rsidR="00D44BCF">
              <w:rPr>
                <w:noProof/>
                <w:webHidden/>
              </w:rPr>
              <w:fldChar w:fldCharType="end"/>
            </w:r>
          </w:hyperlink>
        </w:p>
        <w:p w14:paraId="50CB0E41" w14:textId="04FEB8C8" w:rsidR="00D44BCF" w:rsidRDefault="00F51B89">
          <w:pPr>
            <w:pStyle w:val="TOC2"/>
            <w:tabs>
              <w:tab w:val="left" w:pos="880"/>
              <w:tab w:val="right" w:leader="dot" w:pos="9061"/>
            </w:tabs>
            <w:rPr>
              <w:noProof/>
              <w:lang w:val="en-AU" w:eastAsia="en-AU"/>
            </w:rPr>
          </w:pPr>
          <w:hyperlink w:anchor="_Toc33602992" w:history="1">
            <w:r w:rsidR="00D44BCF" w:rsidRPr="007D3270">
              <w:rPr>
                <w:rStyle w:val="Hyperlink"/>
                <w:noProof/>
              </w:rPr>
              <w:t>A2.2</w:t>
            </w:r>
            <w:r w:rsidR="00D44BCF">
              <w:rPr>
                <w:noProof/>
                <w:lang w:val="en-AU" w:eastAsia="en-AU"/>
              </w:rPr>
              <w:tab/>
            </w:r>
            <w:r w:rsidR="00D44BCF" w:rsidRPr="007D3270">
              <w:rPr>
                <w:rStyle w:val="Hyperlink"/>
                <w:noProof/>
              </w:rPr>
              <w:t>Victoria: Registrable federal offences under the Sex Offenders Registration Act 2004 (Vic)</w:t>
            </w:r>
            <w:r w:rsidR="00D44BCF">
              <w:rPr>
                <w:noProof/>
                <w:webHidden/>
              </w:rPr>
              <w:tab/>
            </w:r>
            <w:r w:rsidR="00D44BCF">
              <w:rPr>
                <w:noProof/>
                <w:webHidden/>
              </w:rPr>
              <w:fldChar w:fldCharType="begin"/>
            </w:r>
            <w:r w:rsidR="00D44BCF">
              <w:rPr>
                <w:noProof/>
                <w:webHidden/>
              </w:rPr>
              <w:instrText xml:space="preserve"> PAGEREF _Toc33602992 \h </w:instrText>
            </w:r>
            <w:r w:rsidR="00D44BCF">
              <w:rPr>
                <w:noProof/>
                <w:webHidden/>
              </w:rPr>
            </w:r>
            <w:r w:rsidR="00D44BCF">
              <w:rPr>
                <w:noProof/>
                <w:webHidden/>
              </w:rPr>
              <w:fldChar w:fldCharType="separate"/>
            </w:r>
            <w:r w:rsidR="00D44BCF">
              <w:rPr>
                <w:noProof/>
                <w:webHidden/>
              </w:rPr>
              <w:t>239</w:t>
            </w:r>
            <w:r w:rsidR="00D44BCF">
              <w:rPr>
                <w:noProof/>
                <w:webHidden/>
              </w:rPr>
              <w:fldChar w:fldCharType="end"/>
            </w:r>
          </w:hyperlink>
        </w:p>
        <w:p w14:paraId="18EEC163" w14:textId="4B63C747" w:rsidR="00D44BCF" w:rsidRDefault="00F51B89">
          <w:pPr>
            <w:pStyle w:val="TOC2"/>
            <w:tabs>
              <w:tab w:val="left" w:pos="880"/>
              <w:tab w:val="right" w:leader="dot" w:pos="9061"/>
            </w:tabs>
            <w:rPr>
              <w:noProof/>
              <w:lang w:val="en-AU" w:eastAsia="en-AU"/>
            </w:rPr>
          </w:pPr>
          <w:hyperlink w:anchor="_Toc33602993" w:history="1">
            <w:r w:rsidR="00D44BCF" w:rsidRPr="007D3270">
              <w:rPr>
                <w:rStyle w:val="Hyperlink"/>
                <w:noProof/>
              </w:rPr>
              <w:t>A2.3</w:t>
            </w:r>
            <w:r w:rsidR="00D44BCF">
              <w:rPr>
                <w:noProof/>
                <w:lang w:val="en-AU" w:eastAsia="en-AU"/>
              </w:rPr>
              <w:tab/>
            </w:r>
            <w:r w:rsidR="00D44BCF" w:rsidRPr="007D3270">
              <w:rPr>
                <w:rStyle w:val="Hyperlink"/>
                <w:noProof/>
              </w:rPr>
              <w:t>Queensland: Registrable federal offences under the Child Protection (Offender Reporting and Offender Prohibition Order) Act 2004 (Qld)</w:t>
            </w:r>
            <w:r w:rsidR="00D44BCF">
              <w:rPr>
                <w:noProof/>
                <w:webHidden/>
              </w:rPr>
              <w:tab/>
            </w:r>
            <w:r w:rsidR="00D44BCF">
              <w:rPr>
                <w:noProof/>
                <w:webHidden/>
              </w:rPr>
              <w:fldChar w:fldCharType="begin"/>
            </w:r>
            <w:r w:rsidR="00D44BCF">
              <w:rPr>
                <w:noProof/>
                <w:webHidden/>
              </w:rPr>
              <w:instrText xml:space="preserve"> PAGEREF _Toc33602993 \h </w:instrText>
            </w:r>
            <w:r w:rsidR="00D44BCF">
              <w:rPr>
                <w:noProof/>
                <w:webHidden/>
              </w:rPr>
            </w:r>
            <w:r w:rsidR="00D44BCF">
              <w:rPr>
                <w:noProof/>
                <w:webHidden/>
              </w:rPr>
              <w:fldChar w:fldCharType="separate"/>
            </w:r>
            <w:r w:rsidR="00D44BCF">
              <w:rPr>
                <w:noProof/>
                <w:webHidden/>
              </w:rPr>
              <w:t>242</w:t>
            </w:r>
            <w:r w:rsidR="00D44BCF">
              <w:rPr>
                <w:noProof/>
                <w:webHidden/>
              </w:rPr>
              <w:fldChar w:fldCharType="end"/>
            </w:r>
          </w:hyperlink>
        </w:p>
        <w:p w14:paraId="1A7DAA6A" w14:textId="1D5C50B1" w:rsidR="00D44BCF" w:rsidRDefault="00F51B89">
          <w:pPr>
            <w:pStyle w:val="TOC2"/>
            <w:tabs>
              <w:tab w:val="left" w:pos="880"/>
              <w:tab w:val="right" w:leader="dot" w:pos="9061"/>
            </w:tabs>
            <w:rPr>
              <w:noProof/>
              <w:lang w:val="en-AU" w:eastAsia="en-AU"/>
            </w:rPr>
          </w:pPr>
          <w:hyperlink w:anchor="_Toc33602994" w:history="1">
            <w:r w:rsidR="00D44BCF" w:rsidRPr="007D3270">
              <w:rPr>
                <w:rStyle w:val="Hyperlink"/>
                <w:noProof/>
              </w:rPr>
              <w:t>A2.4</w:t>
            </w:r>
            <w:r w:rsidR="00D44BCF">
              <w:rPr>
                <w:noProof/>
                <w:lang w:val="en-AU" w:eastAsia="en-AU"/>
              </w:rPr>
              <w:tab/>
            </w:r>
            <w:r w:rsidR="00D44BCF" w:rsidRPr="007D3270">
              <w:rPr>
                <w:rStyle w:val="Hyperlink"/>
                <w:noProof/>
              </w:rPr>
              <w:t>Western Australia: Registrable federal offences under the Community Protection (Offender Reporting) Act 2004 (WA)</w:t>
            </w:r>
            <w:r w:rsidR="00D44BCF">
              <w:rPr>
                <w:noProof/>
                <w:webHidden/>
              </w:rPr>
              <w:tab/>
            </w:r>
            <w:r w:rsidR="00D44BCF">
              <w:rPr>
                <w:noProof/>
                <w:webHidden/>
              </w:rPr>
              <w:fldChar w:fldCharType="begin"/>
            </w:r>
            <w:r w:rsidR="00D44BCF">
              <w:rPr>
                <w:noProof/>
                <w:webHidden/>
              </w:rPr>
              <w:instrText xml:space="preserve"> PAGEREF _Toc33602994 \h </w:instrText>
            </w:r>
            <w:r w:rsidR="00D44BCF">
              <w:rPr>
                <w:noProof/>
                <w:webHidden/>
              </w:rPr>
            </w:r>
            <w:r w:rsidR="00D44BCF">
              <w:rPr>
                <w:noProof/>
                <w:webHidden/>
              </w:rPr>
              <w:fldChar w:fldCharType="separate"/>
            </w:r>
            <w:r w:rsidR="00D44BCF">
              <w:rPr>
                <w:noProof/>
                <w:webHidden/>
              </w:rPr>
              <w:t>244</w:t>
            </w:r>
            <w:r w:rsidR="00D44BCF">
              <w:rPr>
                <w:noProof/>
                <w:webHidden/>
              </w:rPr>
              <w:fldChar w:fldCharType="end"/>
            </w:r>
          </w:hyperlink>
        </w:p>
        <w:p w14:paraId="61FF67DE" w14:textId="30BECFC3" w:rsidR="00D44BCF" w:rsidRDefault="00F51B89">
          <w:pPr>
            <w:pStyle w:val="TOC2"/>
            <w:tabs>
              <w:tab w:val="left" w:pos="880"/>
              <w:tab w:val="right" w:leader="dot" w:pos="9061"/>
            </w:tabs>
            <w:rPr>
              <w:noProof/>
              <w:lang w:val="en-AU" w:eastAsia="en-AU"/>
            </w:rPr>
          </w:pPr>
          <w:hyperlink w:anchor="_Toc33602995" w:history="1">
            <w:r w:rsidR="00D44BCF" w:rsidRPr="007D3270">
              <w:rPr>
                <w:rStyle w:val="Hyperlink"/>
                <w:noProof/>
              </w:rPr>
              <w:t>A2.5</w:t>
            </w:r>
            <w:r w:rsidR="00D44BCF">
              <w:rPr>
                <w:noProof/>
                <w:lang w:val="en-AU" w:eastAsia="en-AU"/>
              </w:rPr>
              <w:tab/>
            </w:r>
            <w:r w:rsidR="00D44BCF" w:rsidRPr="007D3270">
              <w:rPr>
                <w:rStyle w:val="Hyperlink"/>
                <w:noProof/>
              </w:rPr>
              <w:t>South Australia: Registrable federal offences under the Child Sex Offenders Registration Act 2006 (SA)</w:t>
            </w:r>
            <w:r w:rsidR="00D44BCF">
              <w:rPr>
                <w:noProof/>
                <w:webHidden/>
              </w:rPr>
              <w:tab/>
            </w:r>
            <w:r w:rsidR="00D44BCF">
              <w:rPr>
                <w:noProof/>
                <w:webHidden/>
              </w:rPr>
              <w:fldChar w:fldCharType="begin"/>
            </w:r>
            <w:r w:rsidR="00D44BCF">
              <w:rPr>
                <w:noProof/>
                <w:webHidden/>
              </w:rPr>
              <w:instrText xml:space="preserve"> PAGEREF _Toc33602995 \h </w:instrText>
            </w:r>
            <w:r w:rsidR="00D44BCF">
              <w:rPr>
                <w:noProof/>
                <w:webHidden/>
              </w:rPr>
            </w:r>
            <w:r w:rsidR="00D44BCF">
              <w:rPr>
                <w:noProof/>
                <w:webHidden/>
              </w:rPr>
              <w:fldChar w:fldCharType="separate"/>
            </w:r>
            <w:r w:rsidR="00D44BCF">
              <w:rPr>
                <w:noProof/>
                <w:webHidden/>
              </w:rPr>
              <w:t>246</w:t>
            </w:r>
            <w:r w:rsidR="00D44BCF">
              <w:rPr>
                <w:noProof/>
                <w:webHidden/>
              </w:rPr>
              <w:fldChar w:fldCharType="end"/>
            </w:r>
          </w:hyperlink>
        </w:p>
        <w:p w14:paraId="1E4094CE" w14:textId="65612F45" w:rsidR="00D44BCF" w:rsidRDefault="00F51B89">
          <w:pPr>
            <w:pStyle w:val="TOC2"/>
            <w:tabs>
              <w:tab w:val="left" w:pos="880"/>
              <w:tab w:val="right" w:leader="dot" w:pos="9061"/>
            </w:tabs>
            <w:rPr>
              <w:noProof/>
              <w:lang w:val="en-AU" w:eastAsia="en-AU"/>
            </w:rPr>
          </w:pPr>
          <w:hyperlink w:anchor="_Toc33602996" w:history="1">
            <w:r w:rsidR="00D44BCF" w:rsidRPr="007D3270">
              <w:rPr>
                <w:rStyle w:val="Hyperlink"/>
                <w:noProof/>
              </w:rPr>
              <w:t>A2.6</w:t>
            </w:r>
            <w:r w:rsidR="00D44BCF">
              <w:rPr>
                <w:noProof/>
                <w:lang w:val="en-AU" w:eastAsia="en-AU"/>
              </w:rPr>
              <w:tab/>
            </w:r>
            <w:r w:rsidR="00D44BCF" w:rsidRPr="007D3270">
              <w:rPr>
                <w:rStyle w:val="Hyperlink"/>
                <w:noProof/>
              </w:rPr>
              <w:t>Tasmania: Registrable federal offences under the Community Protection (Offender Reporting) Act 2005 (Tas)</w:t>
            </w:r>
            <w:r w:rsidR="00D44BCF">
              <w:rPr>
                <w:noProof/>
                <w:webHidden/>
              </w:rPr>
              <w:tab/>
            </w:r>
            <w:r w:rsidR="00D44BCF">
              <w:rPr>
                <w:noProof/>
                <w:webHidden/>
              </w:rPr>
              <w:fldChar w:fldCharType="begin"/>
            </w:r>
            <w:r w:rsidR="00D44BCF">
              <w:rPr>
                <w:noProof/>
                <w:webHidden/>
              </w:rPr>
              <w:instrText xml:space="preserve"> PAGEREF _Toc33602996 \h </w:instrText>
            </w:r>
            <w:r w:rsidR="00D44BCF">
              <w:rPr>
                <w:noProof/>
                <w:webHidden/>
              </w:rPr>
            </w:r>
            <w:r w:rsidR="00D44BCF">
              <w:rPr>
                <w:noProof/>
                <w:webHidden/>
              </w:rPr>
              <w:fldChar w:fldCharType="separate"/>
            </w:r>
            <w:r w:rsidR="00D44BCF">
              <w:rPr>
                <w:noProof/>
                <w:webHidden/>
              </w:rPr>
              <w:t>248</w:t>
            </w:r>
            <w:r w:rsidR="00D44BCF">
              <w:rPr>
                <w:noProof/>
                <w:webHidden/>
              </w:rPr>
              <w:fldChar w:fldCharType="end"/>
            </w:r>
          </w:hyperlink>
        </w:p>
        <w:p w14:paraId="2E995E8E" w14:textId="029C33C6" w:rsidR="00D44BCF" w:rsidRDefault="00F51B89">
          <w:pPr>
            <w:pStyle w:val="TOC2"/>
            <w:tabs>
              <w:tab w:val="left" w:pos="880"/>
              <w:tab w:val="right" w:leader="dot" w:pos="9061"/>
            </w:tabs>
            <w:rPr>
              <w:noProof/>
              <w:lang w:val="en-AU" w:eastAsia="en-AU"/>
            </w:rPr>
          </w:pPr>
          <w:hyperlink w:anchor="_Toc33602997" w:history="1">
            <w:r w:rsidR="00D44BCF" w:rsidRPr="007D3270">
              <w:rPr>
                <w:rStyle w:val="Hyperlink"/>
                <w:noProof/>
              </w:rPr>
              <w:t>A2.7</w:t>
            </w:r>
            <w:r w:rsidR="00D44BCF">
              <w:rPr>
                <w:noProof/>
                <w:lang w:val="en-AU" w:eastAsia="en-AU"/>
              </w:rPr>
              <w:tab/>
            </w:r>
            <w:r w:rsidR="00D44BCF" w:rsidRPr="007D3270">
              <w:rPr>
                <w:rStyle w:val="Hyperlink"/>
                <w:noProof/>
              </w:rPr>
              <w:t>Australian Capital Territory: Registrable federal offences under the Crimes (Child Sex Offenders) Act 2005 (ACT)</w:t>
            </w:r>
            <w:r w:rsidR="00D44BCF">
              <w:rPr>
                <w:noProof/>
                <w:webHidden/>
              </w:rPr>
              <w:tab/>
            </w:r>
            <w:r w:rsidR="00D44BCF">
              <w:rPr>
                <w:noProof/>
                <w:webHidden/>
              </w:rPr>
              <w:fldChar w:fldCharType="begin"/>
            </w:r>
            <w:r w:rsidR="00D44BCF">
              <w:rPr>
                <w:noProof/>
                <w:webHidden/>
              </w:rPr>
              <w:instrText xml:space="preserve"> PAGEREF _Toc33602997 \h </w:instrText>
            </w:r>
            <w:r w:rsidR="00D44BCF">
              <w:rPr>
                <w:noProof/>
                <w:webHidden/>
              </w:rPr>
            </w:r>
            <w:r w:rsidR="00D44BCF">
              <w:rPr>
                <w:noProof/>
                <w:webHidden/>
              </w:rPr>
              <w:fldChar w:fldCharType="separate"/>
            </w:r>
            <w:r w:rsidR="00D44BCF">
              <w:rPr>
                <w:noProof/>
                <w:webHidden/>
              </w:rPr>
              <w:t>250</w:t>
            </w:r>
            <w:r w:rsidR="00D44BCF">
              <w:rPr>
                <w:noProof/>
                <w:webHidden/>
              </w:rPr>
              <w:fldChar w:fldCharType="end"/>
            </w:r>
          </w:hyperlink>
        </w:p>
        <w:p w14:paraId="4CCD3E82" w14:textId="63543A4B" w:rsidR="00D44BCF" w:rsidRDefault="00F51B89">
          <w:pPr>
            <w:pStyle w:val="TOC2"/>
            <w:tabs>
              <w:tab w:val="left" w:pos="880"/>
              <w:tab w:val="right" w:leader="dot" w:pos="9061"/>
            </w:tabs>
            <w:rPr>
              <w:noProof/>
              <w:lang w:val="en-AU" w:eastAsia="en-AU"/>
            </w:rPr>
          </w:pPr>
          <w:hyperlink w:anchor="_Toc33602998" w:history="1">
            <w:r w:rsidR="00D44BCF" w:rsidRPr="007D3270">
              <w:rPr>
                <w:rStyle w:val="Hyperlink"/>
                <w:noProof/>
              </w:rPr>
              <w:t>A2.8</w:t>
            </w:r>
            <w:r w:rsidR="00D44BCF">
              <w:rPr>
                <w:noProof/>
                <w:lang w:val="en-AU" w:eastAsia="en-AU"/>
              </w:rPr>
              <w:tab/>
            </w:r>
            <w:r w:rsidR="00D44BCF" w:rsidRPr="007D3270">
              <w:rPr>
                <w:rStyle w:val="Hyperlink"/>
                <w:noProof/>
              </w:rPr>
              <w:t>Northern Territory: Registrable federal offences under the Child Protection (Offender Reporting and Registration) Act 2004 (NT)</w:t>
            </w:r>
            <w:r w:rsidR="00D44BCF">
              <w:rPr>
                <w:noProof/>
                <w:webHidden/>
              </w:rPr>
              <w:tab/>
            </w:r>
            <w:r w:rsidR="00D44BCF">
              <w:rPr>
                <w:noProof/>
                <w:webHidden/>
              </w:rPr>
              <w:fldChar w:fldCharType="begin"/>
            </w:r>
            <w:r w:rsidR="00D44BCF">
              <w:rPr>
                <w:noProof/>
                <w:webHidden/>
              </w:rPr>
              <w:instrText xml:space="preserve"> PAGEREF _Toc33602998 \h </w:instrText>
            </w:r>
            <w:r w:rsidR="00D44BCF">
              <w:rPr>
                <w:noProof/>
                <w:webHidden/>
              </w:rPr>
            </w:r>
            <w:r w:rsidR="00D44BCF">
              <w:rPr>
                <w:noProof/>
                <w:webHidden/>
              </w:rPr>
              <w:fldChar w:fldCharType="separate"/>
            </w:r>
            <w:r w:rsidR="00D44BCF">
              <w:rPr>
                <w:noProof/>
                <w:webHidden/>
              </w:rPr>
              <w:t>252</w:t>
            </w:r>
            <w:r w:rsidR="00D44BCF">
              <w:rPr>
                <w:noProof/>
                <w:webHidden/>
              </w:rPr>
              <w:fldChar w:fldCharType="end"/>
            </w:r>
          </w:hyperlink>
        </w:p>
        <w:p w14:paraId="78E3E1A8" w14:textId="089D53B5" w:rsidR="00D44BCF" w:rsidRDefault="00F51B89">
          <w:pPr>
            <w:pStyle w:val="TOC1"/>
            <w:rPr>
              <w:b w:val="0"/>
              <w:lang w:val="en-AU" w:eastAsia="en-AU"/>
            </w:rPr>
          </w:pPr>
          <w:hyperlink w:anchor="_Toc33602999" w:history="1">
            <w:r w:rsidR="00D44BCF" w:rsidRPr="007D3270">
              <w:rPr>
                <w:rStyle w:val="Hyperlink"/>
              </w:rPr>
              <w:t>Appendix 3: Historical aspects of sentencing federal offenders</w:t>
            </w:r>
            <w:r w:rsidR="00D44BCF">
              <w:rPr>
                <w:webHidden/>
              </w:rPr>
              <w:tab/>
            </w:r>
            <w:r w:rsidR="00D44BCF">
              <w:rPr>
                <w:webHidden/>
              </w:rPr>
              <w:fldChar w:fldCharType="begin"/>
            </w:r>
            <w:r w:rsidR="00D44BCF">
              <w:rPr>
                <w:webHidden/>
              </w:rPr>
              <w:instrText xml:space="preserve"> PAGEREF _Toc33602999 \h </w:instrText>
            </w:r>
            <w:r w:rsidR="00D44BCF">
              <w:rPr>
                <w:webHidden/>
              </w:rPr>
            </w:r>
            <w:r w:rsidR="00D44BCF">
              <w:rPr>
                <w:webHidden/>
              </w:rPr>
              <w:fldChar w:fldCharType="separate"/>
            </w:r>
            <w:r w:rsidR="00D44BCF">
              <w:rPr>
                <w:webHidden/>
              </w:rPr>
              <w:t>254</w:t>
            </w:r>
            <w:r w:rsidR="00D44BCF">
              <w:rPr>
                <w:webHidden/>
              </w:rPr>
              <w:fldChar w:fldCharType="end"/>
            </w:r>
          </w:hyperlink>
        </w:p>
        <w:p w14:paraId="5954E177" w14:textId="1BBA051A" w:rsidR="00D44BCF" w:rsidRDefault="00F51B89">
          <w:pPr>
            <w:pStyle w:val="TOC2"/>
            <w:tabs>
              <w:tab w:val="left" w:pos="880"/>
              <w:tab w:val="right" w:leader="dot" w:pos="9061"/>
            </w:tabs>
            <w:rPr>
              <w:noProof/>
              <w:lang w:val="en-AU" w:eastAsia="en-AU"/>
            </w:rPr>
          </w:pPr>
          <w:hyperlink w:anchor="_Toc33603000" w:history="1">
            <w:r w:rsidR="00D44BCF" w:rsidRPr="007D3270">
              <w:rPr>
                <w:rStyle w:val="Hyperlink"/>
                <w:bCs/>
                <w:noProof/>
              </w:rPr>
              <w:t>A3.1</w:t>
            </w:r>
            <w:r w:rsidR="00D44BCF">
              <w:rPr>
                <w:noProof/>
                <w:lang w:val="en-AU" w:eastAsia="en-AU"/>
              </w:rPr>
              <w:tab/>
            </w:r>
            <w:r w:rsidR="00D44BCF" w:rsidRPr="007D3270">
              <w:rPr>
                <w:rStyle w:val="Hyperlink"/>
                <w:bCs/>
                <w:noProof/>
              </w:rPr>
              <w:t xml:space="preserve">Remissions: </w:t>
            </w:r>
            <w:r w:rsidR="00D44BCF" w:rsidRPr="007D3270">
              <w:rPr>
                <w:rStyle w:val="Hyperlink"/>
                <w:bCs/>
                <w:i/>
                <w:noProof/>
              </w:rPr>
              <w:t>Crimes Act 1914</w:t>
            </w:r>
            <w:r w:rsidR="00D44BCF" w:rsidRPr="007D3270">
              <w:rPr>
                <w:rStyle w:val="Hyperlink"/>
                <w:bCs/>
                <w:noProof/>
              </w:rPr>
              <w:t xml:space="preserve"> (Cth), s 16G, as in force before 16 January 2003</w:t>
            </w:r>
            <w:r w:rsidR="00D44BCF">
              <w:rPr>
                <w:noProof/>
                <w:webHidden/>
              </w:rPr>
              <w:tab/>
            </w:r>
            <w:r w:rsidR="00D44BCF">
              <w:rPr>
                <w:noProof/>
                <w:webHidden/>
              </w:rPr>
              <w:fldChar w:fldCharType="begin"/>
            </w:r>
            <w:r w:rsidR="00D44BCF">
              <w:rPr>
                <w:noProof/>
                <w:webHidden/>
              </w:rPr>
              <w:instrText xml:space="preserve"> PAGEREF _Toc33603000 \h </w:instrText>
            </w:r>
            <w:r w:rsidR="00D44BCF">
              <w:rPr>
                <w:noProof/>
                <w:webHidden/>
              </w:rPr>
            </w:r>
            <w:r w:rsidR="00D44BCF">
              <w:rPr>
                <w:noProof/>
                <w:webHidden/>
              </w:rPr>
              <w:fldChar w:fldCharType="separate"/>
            </w:r>
            <w:r w:rsidR="00D44BCF">
              <w:rPr>
                <w:noProof/>
                <w:webHidden/>
              </w:rPr>
              <w:t>254</w:t>
            </w:r>
            <w:r w:rsidR="00D44BCF">
              <w:rPr>
                <w:noProof/>
                <w:webHidden/>
              </w:rPr>
              <w:fldChar w:fldCharType="end"/>
            </w:r>
          </w:hyperlink>
        </w:p>
        <w:p w14:paraId="285A80C0" w14:textId="4CFAC869" w:rsidR="00D44BCF" w:rsidRDefault="00F51B89">
          <w:pPr>
            <w:pStyle w:val="TOC2"/>
            <w:tabs>
              <w:tab w:val="left" w:pos="880"/>
              <w:tab w:val="right" w:leader="dot" w:pos="9061"/>
            </w:tabs>
            <w:rPr>
              <w:noProof/>
              <w:lang w:val="en-AU" w:eastAsia="en-AU"/>
            </w:rPr>
          </w:pPr>
          <w:hyperlink w:anchor="_Toc33603001" w:history="1">
            <w:r w:rsidR="00D44BCF" w:rsidRPr="007D3270">
              <w:rPr>
                <w:rStyle w:val="Hyperlink"/>
                <w:bCs/>
                <w:noProof/>
              </w:rPr>
              <w:t>A3.2</w:t>
            </w:r>
            <w:r w:rsidR="00D44BCF">
              <w:rPr>
                <w:noProof/>
                <w:lang w:val="en-AU" w:eastAsia="en-AU"/>
              </w:rPr>
              <w:tab/>
            </w:r>
            <w:r w:rsidR="00D44BCF" w:rsidRPr="007D3270">
              <w:rPr>
                <w:rStyle w:val="Hyperlink"/>
                <w:bCs/>
                <w:noProof/>
              </w:rPr>
              <w:t xml:space="preserve">Remissions: Effect of the repeal of </w:t>
            </w:r>
            <w:r w:rsidR="00D44BCF" w:rsidRPr="007D3270">
              <w:rPr>
                <w:rStyle w:val="Hyperlink"/>
                <w:bCs/>
                <w:i/>
                <w:noProof/>
              </w:rPr>
              <w:t>Crimes Act 1914</w:t>
            </w:r>
            <w:r w:rsidR="00D44BCF" w:rsidRPr="007D3270">
              <w:rPr>
                <w:rStyle w:val="Hyperlink"/>
                <w:bCs/>
                <w:noProof/>
              </w:rPr>
              <w:t xml:space="preserve"> (Cth), s 16G (from 16 January 2003)</w:t>
            </w:r>
            <w:r w:rsidR="00D44BCF">
              <w:rPr>
                <w:noProof/>
                <w:webHidden/>
              </w:rPr>
              <w:tab/>
            </w:r>
            <w:r w:rsidR="00D44BCF">
              <w:rPr>
                <w:noProof/>
                <w:webHidden/>
              </w:rPr>
              <w:fldChar w:fldCharType="begin"/>
            </w:r>
            <w:r w:rsidR="00D44BCF">
              <w:rPr>
                <w:noProof/>
                <w:webHidden/>
              </w:rPr>
              <w:instrText xml:space="preserve"> PAGEREF _Toc33603001 \h </w:instrText>
            </w:r>
            <w:r w:rsidR="00D44BCF">
              <w:rPr>
                <w:noProof/>
                <w:webHidden/>
              </w:rPr>
            </w:r>
            <w:r w:rsidR="00D44BCF">
              <w:rPr>
                <w:noProof/>
                <w:webHidden/>
              </w:rPr>
              <w:fldChar w:fldCharType="separate"/>
            </w:r>
            <w:r w:rsidR="00D44BCF">
              <w:rPr>
                <w:noProof/>
                <w:webHidden/>
              </w:rPr>
              <w:t>254</w:t>
            </w:r>
            <w:r w:rsidR="00D44BCF">
              <w:rPr>
                <w:noProof/>
                <w:webHidden/>
              </w:rPr>
              <w:fldChar w:fldCharType="end"/>
            </w:r>
          </w:hyperlink>
        </w:p>
        <w:p w14:paraId="330A1C85" w14:textId="45A9E8B8" w:rsidR="00D44BCF" w:rsidRDefault="00F51B89">
          <w:pPr>
            <w:pStyle w:val="TOC2"/>
            <w:tabs>
              <w:tab w:val="left" w:pos="880"/>
              <w:tab w:val="right" w:leader="dot" w:pos="9061"/>
            </w:tabs>
            <w:rPr>
              <w:noProof/>
              <w:lang w:val="en-AU" w:eastAsia="en-AU"/>
            </w:rPr>
          </w:pPr>
          <w:hyperlink w:anchor="_Toc33603002" w:history="1">
            <w:r w:rsidR="00D44BCF" w:rsidRPr="007D3270">
              <w:rPr>
                <w:rStyle w:val="Hyperlink"/>
                <w:bCs/>
                <w:noProof/>
              </w:rPr>
              <w:t>A3.3</w:t>
            </w:r>
            <w:r w:rsidR="00D44BCF">
              <w:rPr>
                <w:noProof/>
                <w:lang w:val="en-AU" w:eastAsia="en-AU"/>
              </w:rPr>
              <w:tab/>
            </w:r>
            <w:r w:rsidR="00D44BCF" w:rsidRPr="007D3270">
              <w:rPr>
                <w:rStyle w:val="Hyperlink"/>
                <w:bCs/>
                <w:noProof/>
              </w:rPr>
              <w:t xml:space="preserve">The effect on sentencing of a forfeiture or pecuniary penalty order under the </w:t>
            </w:r>
            <w:r w:rsidR="00D44BCF" w:rsidRPr="007D3270">
              <w:rPr>
                <w:rStyle w:val="Hyperlink"/>
                <w:bCs/>
                <w:i/>
                <w:noProof/>
              </w:rPr>
              <w:t>Proceeds of Crime Act 1987</w:t>
            </w:r>
            <w:r w:rsidR="00D44BCF" w:rsidRPr="007D3270">
              <w:rPr>
                <w:rStyle w:val="Hyperlink"/>
                <w:bCs/>
                <w:noProof/>
              </w:rPr>
              <w:t xml:space="preserve"> (Cth)</w:t>
            </w:r>
            <w:r w:rsidR="00D44BCF">
              <w:rPr>
                <w:noProof/>
                <w:webHidden/>
              </w:rPr>
              <w:tab/>
            </w:r>
            <w:r w:rsidR="00D44BCF">
              <w:rPr>
                <w:noProof/>
                <w:webHidden/>
              </w:rPr>
              <w:fldChar w:fldCharType="begin"/>
            </w:r>
            <w:r w:rsidR="00D44BCF">
              <w:rPr>
                <w:noProof/>
                <w:webHidden/>
              </w:rPr>
              <w:instrText xml:space="preserve"> PAGEREF _Toc33603002 \h </w:instrText>
            </w:r>
            <w:r w:rsidR="00D44BCF">
              <w:rPr>
                <w:noProof/>
                <w:webHidden/>
              </w:rPr>
            </w:r>
            <w:r w:rsidR="00D44BCF">
              <w:rPr>
                <w:noProof/>
                <w:webHidden/>
              </w:rPr>
              <w:fldChar w:fldCharType="separate"/>
            </w:r>
            <w:r w:rsidR="00D44BCF">
              <w:rPr>
                <w:noProof/>
                <w:webHidden/>
              </w:rPr>
              <w:t>256</w:t>
            </w:r>
            <w:r w:rsidR="00D44BCF">
              <w:rPr>
                <w:noProof/>
                <w:webHidden/>
              </w:rPr>
              <w:fldChar w:fldCharType="end"/>
            </w:r>
          </w:hyperlink>
        </w:p>
        <w:p w14:paraId="25F4DAD5" w14:textId="0A2056BE" w:rsidR="00D44BCF" w:rsidRDefault="00F51B89">
          <w:pPr>
            <w:pStyle w:val="TOC1"/>
            <w:rPr>
              <w:b w:val="0"/>
              <w:lang w:val="en-AU" w:eastAsia="en-AU"/>
            </w:rPr>
          </w:pPr>
          <w:hyperlink w:anchor="_Toc33603003" w:history="1">
            <w:r w:rsidR="00D44BCF" w:rsidRPr="007D3270">
              <w:rPr>
                <w:rStyle w:val="Hyperlink"/>
              </w:rPr>
              <w:t xml:space="preserve">Appendix 4: Orders applied by </w:t>
            </w:r>
            <w:r w:rsidR="00D44BCF" w:rsidRPr="007D3270">
              <w:rPr>
                <w:rStyle w:val="Hyperlink"/>
                <w:i/>
                <w:iCs/>
              </w:rPr>
              <w:t>Crimes Act 1914</w:t>
            </w:r>
            <w:r w:rsidR="00D44BCF" w:rsidRPr="007D3270">
              <w:rPr>
                <w:rStyle w:val="Hyperlink"/>
              </w:rPr>
              <w:t xml:space="preserve"> (Cth), s 20AB: jurisdiction-specific issues</w:t>
            </w:r>
            <w:r w:rsidR="00D44BCF">
              <w:rPr>
                <w:webHidden/>
              </w:rPr>
              <w:tab/>
            </w:r>
            <w:r w:rsidR="00D44BCF">
              <w:rPr>
                <w:webHidden/>
              </w:rPr>
              <w:fldChar w:fldCharType="begin"/>
            </w:r>
            <w:r w:rsidR="00D44BCF">
              <w:rPr>
                <w:webHidden/>
              </w:rPr>
              <w:instrText xml:space="preserve"> PAGEREF _Toc33603003 \h </w:instrText>
            </w:r>
            <w:r w:rsidR="00D44BCF">
              <w:rPr>
                <w:webHidden/>
              </w:rPr>
            </w:r>
            <w:r w:rsidR="00D44BCF">
              <w:rPr>
                <w:webHidden/>
              </w:rPr>
              <w:fldChar w:fldCharType="separate"/>
            </w:r>
            <w:r w:rsidR="00D44BCF">
              <w:rPr>
                <w:webHidden/>
              </w:rPr>
              <w:t>258</w:t>
            </w:r>
            <w:r w:rsidR="00D44BCF">
              <w:rPr>
                <w:webHidden/>
              </w:rPr>
              <w:fldChar w:fldCharType="end"/>
            </w:r>
          </w:hyperlink>
        </w:p>
        <w:p w14:paraId="3D7BDFEA" w14:textId="62F68CD8" w:rsidR="00D44BCF" w:rsidRDefault="00F51B89">
          <w:pPr>
            <w:pStyle w:val="TOC2"/>
            <w:tabs>
              <w:tab w:val="left" w:pos="880"/>
              <w:tab w:val="right" w:leader="dot" w:pos="9061"/>
            </w:tabs>
            <w:rPr>
              <w:noProof/>
              <w:lang w:val="en-AU" w:eastAsia="en-AU"/>
            </w:rPr>
          </w:pPr>
          <w:hyperlink w:anchor="_Toc33603004" w:history="1">
            <w:r w:rsidR="00D44BCF" w:rsidRPr="007D3270">
              <w:rPr>
                <w:rStyle w:val="Hyperlink"/>
                <w:noProof/>
              </w:rPr>
              <w:t>A4.1</w:t>
            </w:r>
            <w:r w:rsidR="00D44BCF">
              <w:rPr>
                <w:noProof/>
                <w:lang w:val="en-AU" w:eastAsia="en-AU"/>
              </w:rPr>
              <w:tab/>
            </w:r>
            <w:r w:rsidR="00D44BCF" w:rsidRPr="007D3270">
              <w:rPr>
                <w:rStyle w:val="Hyperlink"/>
                <w:noProof/>
              </w:rPr>
              <w:t>Victoria</w:t>
            </w:r>
            <w:r w:rsidR="00D44BCF">
              <w:rPr>
                <w:noProof/>
                <w:webHidden/>
              </w:rPr>
              <w:tab/>
            </w:r>
            <w:r w:rsidR="00D44BCF">
              <w:rPr>
                <w:noProof/>
                <w:webHidden/>
              </w:rPr>
              <w:fldChar w:fldCharType="begin"/>
            </w:r>
            <w:r w:rsidR="00D44BCF">
              <w:rPr>
                <w:noProof/>
                <w:webHidden/>
              </w:rPr>
              <w:instrText xml:space="preserve"> PAGEREF _Toc33603004 \h </w:instrText>
            </w:r>
            <w:r w:rsidR="00D44BCF">
              <w:rPr>
                <w:noProof/>
                <w:webHidden/>
              </w:rPr>
            </w:r>
            <w:r w:rsidR="00D44BCF">
              <w:rPr>
                <w:noProof/>
                <w:webHidden/>
              </w:rPr>
              <w:fldChar w:fldCharType="separate"/>
            </w:r>
            <w:r w:rsidR="00D44BCF">
              <w:rPr>
                <w:noProof/>
                <w:webHidden/>
              </w:rPr>
              <w:t>258</w:t>
            </w:r>
            <w:r w:rsidR="00D44BCF">
              <w:rPr>
                <w:noProof/>
                <w:webHidden/>
              </w:rPr>
              <w:fldChar w:fldCharType="end"/>
            </w:r>
          </w:hyperlink>
        </w:p>
        <w:p w14:paraId="5449F93C" w14:textId="08EDFAB4" w:rsidR="00D44BCF" w:rsidRDefault="00F51B89">
          <w:pPr>
            <w:pStyle w:val="TOC3"/>
            <w:rPr>
              <w:noProof/>
              <w:lang w:val="en-AU" w:eastAsia="en-AU"/>
            </w:rPr>
          </w:pPr>
          <w:hyperlink w:anchor="_Toc33603005" w:history="1">
            <w:r w:rsidR="00D44BCF" w:rsidRPr="007D3270">
              <w:rPr>
                <w:rStyle w:val="Hyperlink"/>
                <w:noProof/>
              </w:rPr>
              <w:t>Community correction order (CCO) and a condition to pay money as a bond</w:t>
            </w:r>
            <w:r w:rsidR="00D44BCF">
              <w:rPr>
                <w:noProof/>
                <w:webHidden/>
              </w:rPr>
              <w:tab/>
            </w:r>
            <w:r w:rsidR="00D44BCF">
              <w:rPr>
                <w:noProof/>
                <w:webHidden/>
              </w:rPr>
              <w:fldChar w:fldCharType="begin"/>
            </w:r>
            <w:r w:rsidR="00D44BCF">
              <w:rPr>
                <w:noProof/>
                <w:webHidden/>
              </w:rPr>
              <w:instrText xml:space="preserve"> PAGEREF _Toc33603005 \h </w:instrText>
            </w:r>
            <w:r w:rsidR="00D44BCF">
              <w:rPr>
                <w:noProof/>
                <w:webHidden/>
              </w:rPr>
            </w:r>
            <w:r w:rsidR="00D44BCF">
              <w:rPr>
                <w:noProof/>
                <w:webHidden/>
              </w:rPr>
              <w:fldChar w:fldCharType="separate"/>
            </w:r>
            <w:r w:rsidR="00D44BCF">
              <w:rPr>
                <w:noProof/>
                <w:webHidden/>
              </w:rPr>
              <w:t>258</w:t>
            </w:r>
            <w:r w:rsidR="00D44BCF">
              <w:rPr>
                <w:noProof/>
                <w:webHidden/>
              </w:rPr>
              <w:fldChar w:fldCharType="end"/>
            </w:r>
          </w:hyperlink>
        </w:p>
        <w:p w14:paraId="34EB5BD9" w14:textId="49575516" w:rsidR="00D44BCF" w:rsidRDefault="00F51B89">
          <w:pPr>
            <w:pStyle w:val="TOC3"/>
            <w:rPr>
              <w:noProof/>
              <w:lang w:val="en-AU" w:eastAsia="en-AU"/>
            </w:rPr>
          </w:pPr>
          <w:hyperlink w:anchor="_Toc33603006" w:history="1">
            <w:r w:rsidR="00D44BCF" w:rsidRPr="007D3270">
              <w:rPr>
                <w:rStyle w:val="Hyperlink"/>
                <w:noProof/>
              </w:rPr>
              <w:t>CCO and ‘suspended’ sentences</w:t>
            </w:r>
            <w:r w:rsidR="00D44BCF">
              <w:rPr>
                <w:noProof/>
                <w:webHidden/>
              </w:rPr>
              <w:tab/>
            </w:r>
            <w:r w:rsidR="00D44BCF">
              <w:rPr>
                <w:noProof/>
                <w:webHidden/>
              </w:rPr>
              <w:fldChar w:fldCharType="begin"/>
            </w:r>
            <w:r w:rsidR="00D44BCF">
              <w:rPr>
                <w:noProof/>
                <w:webHidden/>
              </w:rPr>
              <w:instrText xml:space="preserve"> PAGEREF _Toc33603006 \h </w:instrText>
            </w:r>
            <w:r w:rsidR="00D44BCF">
              <w:rPr>
                <w:noProof/>
                <w:webHidden/>
              </w:rPr>
            </w:r>
            <w:r w:rsidR="00D44BCF">
              <w:rPr>
                <w:noProof/>
                <w:webHidden/>
              </w:rPr>
              <w:fldChar w:fldCharType="separate"/>
            </w:r>
            <w:r w:rsidR="00D44BCF">
              <w:rPr>
                <w:noProof/>
                <w:webHidden/>
              </w:rPr>
              <w:t>258</w:t>
            </w:r>
            <w:r w:rsidR="00D44BCF">
              <w:rPr>
                <w:noProof/>
                <w:webHidden/>
              </w:rPr>
              <w:fldChar w:fldCharType="end"/>
            </w:r>
          </w:hyperlink>
        </w:p>
        <w:p w14:paraId="442F60A2" w14:textId="540848B7" w:rsidR="00D44BCF" w:rsidRDefault="00F51B89">
          <w:pPr>
            <w:pStyle w:val="TOC3"/>
            <w:rPr>
              <w:noProof/>
              <w:lang w:val="en-AU" w:eastAsia="en-AU"/>
            </w:rPr>
          </w:pPr>
          <w:hyperlink w:anchor="_Toc33603007" w:history="1">
            <w:r w:rsidR="00D44BCF" w:rsidRPr="007D3270">
              <w:rPr>
                <w:rStyle w:val="Hyperlink"/>
                <w:noProof/>
              </w:rPr>
              <w:t>Imprisonment for a federal offence and CCO for a State offence</w:t>
            </w:r>
            <w:r w:rsidR="00D44BCF">
              <w:rPr>
                <w:noProof/>
                <w:webHidden/>
              </w:rPr>
              <w:tab/>
            </w:r>
            <w:r w:rsidR="00D44BCF">
              <w:rPr>
                <w:noProof/>
                <w:webHidden/>
              </w:rPr>
              <w:fldChar w:fldCharType="begin"/>
            </w:r>
            <w:r w:rsidR="00D44BCF">
              <w:rPr>
                <w:noProof/>
                <w:webHidden/>
              </w:rPr>
              <w:instrText xml:space="preserve"> PAGEREF _Toc33603007 \h </w:instrText>
            </w:r>
            <w:r w:rsidR="00D44BCF">
              <w:rPr>
                <w:noProof/>
                <w:webHidden/>
              </w:rPr>
            </w:r>
            <w:r w:rsidR="00D44BCF">
              <w:rPr>
                <w:noProof/>
                <w:webHidden/>
              </w:rPr>
              <w:fldChar w:fldCharType="separate"/>
            </w:r>
            <w:r w:rsidR="00D44BCF">
              <w:rPr>
                <w:noProof/>
                <w:webHidden/>
              </w:rPr>
              <w:t>259</w:t>
            </w:r>
            <w:r w:rsidR="00D44BCF">
              <w:rPr>
                <w:noProof/>
                <w:webHidden/>
              </w:rPr>
              <w:fldChar w:fldCharType="end"/>
            </w:r>
          </w:hyperlink>
        </w:p>
        <w:p w14:paraId="689B07A8" w14:textId="5D2A666F" w:rsidR="00D44BCF" w:rsidRDefault="00F51B89">
          <w:pPr>
            <w:pStyle w:val="TOC1"/>
            <w:rPr>
              <w:b w:val="0"/>
              <w:lang w:val="en-AU" w:eastAsia="en-AU"/>
            </w:rPr>
          </w:pPr>
          <w:hyperlink w:anchor="_Toc33603008" w:history="1">
            <w:r w:rsidR="00D44BCF" w:rsidRPr="007D3270">
              <w:rPr>
                <w:rStyle w:val="Hyperlink"/>
              </w:rPr>
              <w:t>Appendix 5: Fitness to plead and fitness to be tried: procedures and orders</w:t>
            </w:r>
            <w:r w:rsidR="00D44BCF">
              <w:rPr>
                <w:webHidden/>
              </w:rPr>
              <w:tab/>
            </w:r>
            <w:r w:rsidR="00D44BCF">
              <w:rPr>
                <w:webHidden/>
              </w:rPr>
              <w:fldChar w:fldCharType="begin"/>
            </w:r>
            <w:r w:rsidR="00D44BCF">
              <w:rPr>
                <w:webHidden/>
              </w:rPr>
              <w:instrText xml:space="preserve"> PAGEREF _Toc33603008 \h </w:instrText>
            </w:r>
            <w:r w:rsidR="00D44BCF">
              <w:rPr>
                <w:webHidden/>
              </w:rPr>
            </w:r>
            <w:r w:rsidR="00D44BCF">
              <w:rPr>
                <w:webHidden/>
              </w:rPr>
              <w:fldChar w:fldCharType="separate"/>
            </w:r>
            <w:r w:rsidR="00D44BCF">
              <w:rPr>
                <w:webHidden/>
              </w:rPr>
              <w:t>260</w:t>
            </w:r>
            <w:r w:rsidR="00D44BCF">
              <w:rPr>
                <w:webHidden/>
              </w:rPr>
              <w:fldChar w:fldCharType="end"/>
            </w:r>
          </w:hyperlink>
        </w:p>
        <w:p w14:paraId="4935E277" w14:textId="438A16E6" w:rsidR="00E20B62" w:rsidRPr="00C00000" w:rsidRDefault="00BA2B0B">
          <w:pPr>
            <w:rPr>
              <w:rFonts w:asciiTheme="minorHAnsi" w:hAnsiTheme="minorHAnsi"/>
              <w:b/>
              <w:bCs/>
              <w:noProof/>
            </w:rPr>
          </w:pPr>
          <w:r w:rsidRPr="00F55D74">
            <w:rPr>
              <w:rFonts w:asciiTheme="minorHAnsi" w:hAnsiTheme="minorHAnsi"/>
              <w:b/>
              <w:bCs/>
              <w:noProof/>
            </w:rPr>
            <w:fldChar w:fldCharType="end"/>
          </w:r>
        </w:p>
        <w:p w14:paraId="333DBE95" w14:textId="64B1B694" w:rsidR="008E7ED2" w:rsidRPr="00C00000" w:rsidRDefault="00F51B89">
          <w:pPr>
            <w:rPr>
              <w:rFonts w:asciiTheme="minorHAnsi" w:hAnsiTheme="minorHAnsi"/>
            </w:rPr>
          </w:pPr>
        </w:p>
      </w:sdtContent>
    </w:sdt>
    <w:p w14:paraId="62C51B51" w14:textId="77777777" w:rsidR="009554C7" w:rsidRPr="00C00000" w:rsidRDefault="009554C7">
      <w:pPr>
        <w:rPr>
          <w:rFonts w:asciiTheme="minorHAnsi" w:hAnsiTheme="minorHAnsi"/>
          <w:u w:val="single"/>
        </w:rPr>
      </w:pPr>
      <w:r w:rsidRPr="00C00000">
        <w:rPr>
          <w:rFonts w:asciiTheme="minorHAnsi" w:hAnsiTheme="minorHAnsi"/>
          <w:u w:val="single"/>
        </w:rPr>
        <w:br w:type="page"/>
      </w:r>
    </w:p>
    <w:p w14:paraId="3EB5CD50" w14:textId="77777777" w:rsidR="0053432F" w:rsidRPr="00C00000" w:rsidRDefault="0053432F" w:rsidP="006D4944">
      <w:pPr>
        <w:pStyle w:val="Title"/>
        <w:ind w:left="153"/>
        <w:jc w:val="left"/>
        <w:outlineLvl w:val="0"/>
        <w:rPr>
          <w:rFonts w:asciiTheme="minorHAnsi" w:hAnsiTheme="minorHAnsi"/>
          <w:b w:val="0"/>
          <w:bCs/>
          <w:i/>
          <w:sz w:val="20"/>
          <w:u w:val="none"/>
        </w:rPr>
        <w:sectPr w:rsidR="0053432F" w:rsidRPr="00C00000" w:rsidSect="00536331">
          <w:type w:val="continuous"/>
          <w:pgSz w:w="11907" w:h="16840"/>
          <w:pgMar w:top="680" w:right="1418" w:bottom="680" w:left="1418" w:header="1134" w:footer="851" w:gutter="0"/>
          <w:pgNumType w:fmt="lowerRoman"/>
          <w:cols w:space="720"/>
          <w:noEndnote/>
          <w:titlePg/>
          <w:docGrid w:linePitch="299"/>
        </w:sectPr>
      </w:pPr>
    </w:p>
    <w:p w14:paraId="4C2A08D8" w14:textId="77777777" w:rsidR="00536331" w:rsidRPr="004F2343" w:rsidRDefault="00536331" w:rsidP="00C02967">
      <w:pPr>
        <w:keepNext/>
        <w:rPr>
          <w:rFonts w:ascii="Calibri" w:hAnsi="Calibri"/>
          <w:b/>
        </w:rPr>
      </w:pPr>
    </w:p>
    <w:p w14:paraId="0CF5ECBD" w14:textId="70D07B2B" w:rsidR="001E337B" w:rsidRPr="00EB7F1E" w:rsidRDefault="00BA2B0B">
      <w:pPr>
        <w:spacing w:line="276" w:lineRule="auto"/>
        <w:ind w:left="153" w:right="170"/>
        <w:jc w:val="right"/>
        <w:rPr>
          <w:rFonts w:asciiTheme="majorHAnsi" w:eastAsiaTheme="majorEastAsia" w:hAnsiTheme="majorHAnsi" w:cstheme="majorBidi"/>
          <w:b/>
          <w:bCs/>
          <w:noProof/>
          <w:sz w:val="24"/>
          <w:szCs w:val="24"/>
        </w:rPr>
      </w:pPr>
      <w:r w:rsidRPr="00EB7F1E">
        <w:rPr>
          <w:rFonts w:asciiTheme="majorHAnsi" w:eastAsiaTheme="majorEastAsia" w:hAnsiTheme="majorHAnsi" w:cstheme="majorBidi"/>
          <w:b/>
          <w:bCs/>
          <w:noProof/>
          <w:sz w:val="24"/>
          <w:szCs w:val="24"/>
        </w:rPr>
        <w:t>Page</w:t>
      </w:r>
    </w:p>
    <w:p w14:paraId="437CAF7F" w14:textId="77777777" w:rsidR="00D44BCF" w:rsidRDefault="00BA2B0B">
      <w:pPr>
        <w:pStyle w:val="TOAHeading"/>
        <w:tabs>
          <w:tab w:val="right" w:leader="dot" w:pos="9061"/>
        </w:tabs>
        <w:rPr>
          <w:rFonts w:asciiTheme="minorHAnsi" w:eastAsiaTheme="minorEastAsia" w:hAnsiTheme="minorHAnsi" w:cstheme="minorBidi"/>
          <w:b w:val="0"/>
          <w:bCs w:val="0"/>
          <w:noProof/>
          <w:sz w:val="22"/>
          <w:szCs w:val="22"/>
        </w:rPr>
      </w:pPr>
      <w:r w:rsidRPr="00C00000">
        <w:rPr>
          <w:rFonts w:asciiTheme="minorHAnsi" w:hAnsiTheme="minorHAnsi"/>
          <w:b w:val="0"/>
          <w:bCs w:val="0"/>
          <w:i/>
          <w:iCs/>
          <w:sz w:val="22"/>
          <w:szCs w:val="20"/>
        </w:rPr>
        <w:fldChar w:fldCharType="begin"/>
      </w:r>
      <w:r w:rsidR="007E3A48" w:rsidRPr="00C00000">
        <w:rPr>
          <w:rFonts w:asciiTheme="minorHAnsi" w:hAnsiTheme="minorHAnsi"/>
          <w:i/>
          <w:iCs/>
        </w:rPr>
        <w:instrText xml:space="preserve"> TOA \h \c "1"  \* MERGEFORMAT </w:instrText>
      </w:r>
      <w:r w:rsidRPr="00C00000">
        <w:rPr>
          <w:rFonts w:asciiTheme="minorHAnsi" w:hAnsiTheme="minorHAnsi"/>
          <w:b w:val="0"/>
          <w:bCs w:val="0"/>
          <w:i/>
          <w:iCs/>
          <w:sz w:val="22"/>
          <w:szCs w:val="20"/>
        </w:rPr>
        <w:fldChar w:fldCharType="separate"/>
      </w:r>
      <w:r w:rsidR="00D44BCF">
        <w:rPr>
          <w:noProof/>
        </w:rPr>
        <w:t>Cases</w:t>
      </w:r>
    </w:p>
    <w:p w14:paraId="216564B8" w14:textId="77777777" w:rsidR="00D44BCF" w:rsidRDefault="00D44BCF">
      <w:pPr>
        <w:pStyle w:val="TableofAuthorities"/>
        <w:tabs>
          <w:tab w:val="right" w:leader="dot" w:pos="9061"/>
        </w:tabs>
        <w:rPr>
          <w:noProof/>
        </w:rPr>
      </w:pPr>
      <w:r w:rsidRPr="000A1327">
        <w:rPr>
          <w:rFonts w:cstheme="minorHAnsi"/>
          <w:i/>
          <w:noProof/>
        </w:rPr>
        <w:t xml:space="preserve">A Child v Western Australia </w:t>
      </w:r>
      <w:r w:rsidRPr="000A1327">
        <w:rPr>
          <w:rFonts w:cstheme="minorHAnsi"/>
          <w:noProof/>
        </w:rPr>
        <w:t xml:space="preserve"> [2007] WASCA 285</w:t>
      </w:r>
      <w:r>
        <w:rPr>
          <w:noProof/>
        </w:rPr>
        <w:tab/>
        <w:t>55</w:t>
      </w:r>
    </w:p>
    <w:p w14:paraId="49D5A88E" w14:textId="77777777" w:rsidR="00D44BCF" w:rsidRDefault="00D44BCF">
      <w:pPr>
        <w:pStyle w:val="TableofAuthorities"/>
        <w:tabs>
          <w:tab w:val="right" w:leader="dot" w:pos="9061"/>
        </w:tabs>
        <w:rPr>
          <w:noProof/>
        </w:rPr>
      </w:pPr>
      <w:r w:rsidRPr="000A1327">
        <w:rPr>
          <w:rFonts w:cstheme="minorHAnsi"/>
          <w:i/>
          <w:noProof/>
        </w:rPr>
        <w:t>AB v R</w:t>
      </w:r>
      <w:r w:rsidRPr="000A1327">
        <w:rPr>
          <w:rFonts w:cstheme="minorHAnsi"/>
          <w:noProof/>
        </w:rPr>
        <w:t xml:space="preserve"> (1999) 198 CLR 111</w:t>
      </w:r>
      <w:r>
        <w:rPr>
          <w:noProof/>
        </w:rPr>
        <w:tab/>
        <w:t>29</w:t>
      </w:r>
    </w:p>
    <w:p w14:paraId="24B034E4" w14:textId="77777777" w:rsidR="00D44BCF" w:rsidRDefault="00D44BCF">
      <w:pPr>
        <w:pStyle w:val="TableofAuthorities"/>
        <w:tabs>
          <w:tab w:val="right" w:leader="dot" w:pos="9061"/>
        </w:tabs>
        <w:rPr>
          <w:noProof/>
        </w:rPr>
      </w:pPr>
      <w:r w:rsidRPr="000A1327">
        <w:rPr>
          <w:rFonts w:cstheme="minorHAnsi"/>
          <w:i/>
          <w:noProof/>
        </w:rPr>
        <w:t xml:space="preserve">Abbas v R </w:t>
      </w:r>
      <w:r w:rsidRPr="000A1327">
        <w:rPr>
          <w:rFonts w:cstheme="minorHAnsi"/>
          <w:noProof/>
        </w:rPr>
        <w:t>[2013] NSWCCA 115</w:t>
      </w:r>
      <w:r>
        <w:rPr>
          <w:noProof/>
        </w:rPr>
        <w:tab/>
        <w:t>28, 43, 194</w:t>
      </w:r>
    </w:p>
    <w:p w14:paraId="16E9D87C" w14:textId="77777777" w:rsidR="00D44BCF" w:rsidRDefault="00D44BCF">
      <w:pPr>
        <w:pStyle w:val="TableofAuthorities"/>
        <w:tabs>
          <w:tab w:val="right" w:leader="dot" w:pos="9061"/>
        </w:tabs>
        <w:rPr>
          <w:noProof/>
        </w:rPr>
      </w:pPr>
      <w:r w:rsidRPr="000A1327">
        <w:rPr>
          <w:rFonts w:cstheme="minorHAnsi"/>
          <w:i/>
          <w:noProof/>
        </w:rPr>
        <w:t>Aboud v R</w:t>
      </w:r>
      <w:r w:rsidRPr="000A1327">
        <w:rPr>
          <w:rFonts w:cstheme="minorHAnsi"/>
          <w:noProof/>
        </w:rPr>
        <w:t xml:space="preserve"> [2017] NSWCCA 140</w:t>
      </w:r>
      <w:r>
        <w:rPr>
          <w:noProof/>
        </w:rPr>
        <w:tab/>
        <w:t>141</w:t>
      </w:r>
    </w:p>
    <w:p w14:paraId="2422D5BB" w14:textId="77777777" w:rsidR="00D44BCF" w:rsidRDefault="00D44BCF">
      <w:pPr>
        <w:pStyle w:val="TableofAuthorities"/>
        <w:tabs>
          <w:tab w:val="right" w:leader="dot" w:pos="9061"/>
        </w:tabs>
        <w:rPr>
          <w:noProof/>
        </w:rPr>
      </w:pPr>
      <w:r w:rsidRPr="000A1327">
        <w:rPr>
          <w:rFonts w:cstheme="minorHAnsi"/>
          <w:i/>
          <w:noProof/>
        </w:rPr>
        <w:t>AC v R</w:t>
      </w:r>
      <w:r w:rsidRPr="000A1327">
        <w:rPr>
          <w:rFonts w:cstheme="minorHAnsi"/>
          <w:noProof/>
        </w:rPr>
        <w:t xml:space="preserve"> [2016] NSWCCA 107</w:t>
      </w:r>
      <w:r>
        <w:rPr>
          <w:noProof/>
        </w:rPr>
        <w:tab/>
        <w:t>77</w:t>
      </w:r>
    </w:p>
    <w:p w14:paraId="676E21C0" w14:textId="77777777" w:rsidR="00D44BCF" w:rsidRDefault="00D44BCF">
      <w:pPr>
        <w:pStyle w:val="TableofAuthorities"/>
        <w:tabs>
          <w:tab w:val="right" w:leader="dot" w:pos="9061"/>
        </w:tabs>
        <w:rPr>
          <w:noProof/>
        </w:rPr>
      </w:pPr>
      <w:r w:rsidRPr="000A1327">
        <w:rPr>
          <w:rFonts w:cstheme="minorHAnsi"/>
          <w:i/>
          <w:iCs/>
          <w:noProof/>
        </w:rPr>
        <w:t>Achurch v R (No 2)</w:t>
      </w:r>
      <w:r w:rsidRPr="000A1327">
        <w:rPr>
          <w:rFonts w:cstheme="minorHAnsi"/>
          <w:noProof/>
        </w:rPr>
        <w:t xml:space="preserve"> (2013) 84 NSWLR 328</w:t>
      </w:r>
      <w:r>
        <w:rPr>
          <w:noProof/>
        </w:rPr>
        <w:tab/>
        <w:t>215</w:t>
      </w:r>
    </w:p>
    <w:p w14:paraId="0711B325" w14:textId="77777777" w:rsidR="00D44BCF" w:rsidRDefault="00D44BCF">
      <w:pPr>
        <w:pStyle w:val="TableofAuthorities"/>
        <w:tabs>
          <w:tab w:val="right" w:leader="dot" w:pos="9061"/>
        </w:tabs>
        <w:rPr>
          <w:noProof/>
        </w:rPr>
      </w:pPr>
      <w:r w:rsidRPr="000A1327">
        <w:rPr>
          <w:rFonts w:cstheme="minorHAnsi"/>
          <w:i/>
          <w:noProof/>
        </w:rPr>
        <w:t>Adami v R</w:t>
      </w:r>
      <w:r w:rsidRPr="000A1327">
        <w:rPr>
          <w:rFonts w:cstheme="minorHAnsi"/>
          <w:iCs/>
          <w:noProof/>
        </w:rPr>
        <w:t xml:space="preserve"> (1989) 51 SASR 229</w:t>
      </w:r>
      <w:r>
        <w:rPr>
          <w:noProof/>
        </w:rPr>
        <w:tab/>
        <w:t>42</w:t>
      </w:r>
    </w:p>
    <w:p w14:paraId="4D12579A" w14:textId="77777777" w:rsidR="00D44BCF" w:rsidRDefault="00D44BCF">
      <w:pPr>
        <w:pStyle w:val="TableofAuthorities"/>
        <w:tabs>
          <w:tab w:val="right" w:leader="dot" w:pos="9061"/>
        </w:tabs>
        <w:rPr>
          <w:noProof/>
        </w:rPr>
      </w:pPr>
      <w:r w:rsidRPr="000A1327">
        <w:rPr>
          <w:rFonts w:cstheme="minorHAnsi"/>
          <w:i/>
          <w:noProof/>
        </w:rPr>
        <w:t>Adams v Carr</w:t>
      </w:r>
      <w:r w:rsidRPr="000A1327">
        <w:rPr>
          <w:rFonts w:cstheme="minorHAnsi"/>
          <w:noProof/>
        </w:rPr>
        <w:t xml:space="preserve"> (1987) 47 SASR 205</w:t>
      </w:r>
      <w:r>
        <w:rPr>
          <w:noProof/>
        </w:rPr>
        <w:tab/>
        <w:t>105, 114, 116, 122</w:t>
      </w:r>
    </w:p>
    <w:p w14:paraId="53B77B85" w14:textId="77777777" w:rsidR="00D44BCF" w:rsidRDefault="00D44BCF">
      <w:pPr>
        <w:pStyle w:val="TableofAuthorities"/>
        <w:tabs>
          <w:tab w:val="right" w:leader="dot" w:pos="9061"/>
        </w:tabs>
        <w:rPr>
          <w:noProof/>
        </w:rPr>
      </w:pPr>
      <w:r w:rsidRPr="000A1327">
        <w:rPr>
          <w:rFonts w:cstheme="minorHAnsi"/>
          <w:i/>
          <w:noProof/>
        </w:rPr>
        <w:t>Adams v Cleeve</w:t>
      </w:r>
      <w:r w:rsidRPr="000A1327">
        <w:rPr>
          <w:rFonts w:cstheme="minorHAnsi"/>
          <w:noProof/>
        </w:rPr>
        <w:t xml:space="preserve"> (1935) 53 CLR 185</w:t>
      </w:r>
      <w:r>
        <w:rPr>
          <w:noProof/>
        </w:rPr>
        <w:tab/>
        <w:t>7</w:t>
      </w:r>
    </w:p>
    <w:p w14:paraId="410A8F95" w14:textId="77777777" w:rsidR="00D44BCF" w:rsidRDefault="00D44BCF">
      <w:pPr>
        <w:pStyle w:val="TableofAuthorities"/>
        <w:tabs>
          <w:tab w:val="right" w:leader="dot" w:pos="9061"/>
        </w:tabs>
        <w:rPr>
          <w:noProof/>
        </w:rPr>
      </w:pPr>
      <w:r w:rsidRPr="000A1327">
        <w:rPr>
          <w:rFonts w:eastAsia="Calibri" w:cstheme="minorHAnsi"/>
          <w:i/>
          <w:noProof/>
        </w:rPr>
        <w:t xml:space="preserve">Adams </w:t>
      </w:r>
      <w:r w:rsidRPr="000A1327">
        <w:rPr>
          <w:rFonts w:eastAsia="Calibri" w:cstheme="minorHAnsi"/>
          <w:noProof/>
        </w:rPr>
        <w:t xml:space="preserve">v </w:t>
      </w:r>
      <w:r w:rsidRPr="000A1327">
        <w:rPr>
          <w:rFonts w:eastAsia="Calibri" w:cstheme="minorHAnsi"/>
          <w:i/>
          <w:noProof/>
        </w:rPr>
        <w:t>Western Australia</w:t>
      </w:r>
      <w:r w:rsidRPr="000A1327">
        <w:rPr>
          <w:rFonts w:eastAsia="Calibri" w:cstheme="minorHAnsi"/>
          <w:noProof/>
        </w:rPr>
        <w:t xml:space="preserve"> [2014] WASCA 191</w:t>
      </w:r>
      <w:r>
        <w:rPr>
          <w:noProof/>
        </w:rPr>
        <w:tab/>
        <w:t>196, 197</w:t>
      </w:r>
    </w:p>
    <w:p w14:paraId="4D33210B" w14:textId="77777777" w:rsidR="00D44BCF" w:rsidRDefault="00D44BCF">
      <w:pPr>
        <w:pStyle w:val="TableofAuthorities"/>
        <w:tabs>
          <w:tab w:val="right" w:leader="dot" w:pos="9061"/>
        </w:tabs>
        <w:rPr>
          <w:noProof/>
        </w:rPr>
      </w:pPr>
      <w:r w:rsidRPr="000A1327">
        <w:rPr>
          <w:rFonts w:cstheme="minorHAnsi"/>
          <w:i/>
          <w:noProof/>
        </w:rPr>
        <w:t>A-G v Tichy</w:t>
      </w:r>
      <w:r w:rsidRPr="000A1327">
        <w:rPr>
          <w:rFonts w:cstheme="minorHAnsi"/>
          <w:noProof/>
        </w:rPr>
        <w:t xml:space="preserve"> (1982) 30 SASR 84</w:t>
      </w:r>
      <w:r>
        <w:rPr>
          <w:noProof/>
        </w:rPr>
        <w:tab/>
        <w:t>135</w:t>
      </w:r>
    </w:p>
    <w:p w14:paraId="3D877BA3" w14:textId="77777777" w:rsidR="00D44BCF" w:rsidRDefault="00D44BCF">
      <w:pPr>
        <w:pStyle w:val="TableofAuthorities"/>
        <w:tabs>
          <w:tab w:val="right" w:leader="dot" w:pos="9061"/>
        </w:tabs>
        <w:rPr>
          <w:noProof/>
        </w:rPr>
      </w:pPr>
      <w:r w:rsidRPr="000A1327">
        <w:rPr>
          <w:rFonts w:cstheme="minorHAnsi"/>
          <w:i/>
          <w:noProof/>
        </w:rPr>
        <w:t>Agius v R</w:t>
      </w:r>
      <w:r w:rsidRPr="000A1327">
        <w:rPr>
          <w:rFonts w:cstheme="minorHAnsi"/>
          <w:noProof/>
        </w:rPr>
        <w:t xml:space="preserve"> [2015] NSWCCA 200</w:t>
      </w:r>
      <w:r>
        <w:rPr>
          <w:noProof/>
        </w:rPr>
        <w:tab/>
        <w:t>23</w:t>
      </w:r>
    </w:p>
    <w:p w14:paraId="119EF17D" w14:textId="77777777" w:rsidR="00D44BCF" w:rsidRDefault="00D44BCF">
      <w:pPr>
        <w:pStyle w:val="TableofAuthorities"/>
        <w:tabs>
          <w:tab w:val="right" w:leader="dot" w:pos="9061"/>
        </w:tabs>
        <w:rPr>
          <w:noProof/>
        </w:rPr>
      </w:pPr>
      <w:r w:rsidRPr="000A1327">
        <w:rPr>
          <w:rFonts w:cstheme="minorHAnsi"/>
          <w:i/>
          <w:noProof/>
        </w:rPr>
        <w:t>Agoston v R</w:t>
      </w:r>
      <w:r w:rsidRPr="000A1327">
        <w:rPr>
          <w:rFonts w:cstheme="minorHAnsi"/>
          <w:noProof/>
        </w:rPr>
        <w:t xml:space="preserve"> [2008] NSWCCA 116</w:t>
      </w:r>
      <w:r>
        <w:rPr>
          <w:noProof/>
        </w:rPr>
        <w:tab/>
        <w:t>223, 260, 261, 262</w:t>
      </w:r>
    </w:p>
    <w:p w14:paraId="19A2F0A6" w14:textId="77777777" w:rsidR="00D44BCF" w:rsidRDefault="00D44BCF">
      <w:pPr>
        <w:pStyle w:val="TableofAuthorities"/>
        <w:tabs>
          <w:tab w:val="right" w:leader="dot" w:pos="9061"/>
        </w:tabs>
        <w:rPr>
          <w:noProof/>
        </w:rPr>
      </w:pPr>
      <w:r w:rsidRPr="000A1327">
        <w:rPr>
          <w:rFonts w:cstheme="minorHAnsi"/>
          <w:bCs/>
          <w:i/>
          <w:noProof/>
        </w:rPr>
        <w:t>Ah Yick v Lehmert</w:t>
      </w:r>
      <w:r w:rsidRPr="000A1327">
        <w:rPr>
          <w:rFonts w:cstheme="minorHAnsi"/>
          <w:bCs/>
          <w:noProof/>
        </w:rPr>
        <w:t xml:space="preserve"> (1905) 2 CLR 593</w:t>
      </w:r>
      <w:r>
        <w:rPr>
          <w:noProof/>
        </w:rPr>
        <w:tab/>
        <w:t>5, 7</w:t>
      </w:r>
    </w:p>
    <w:p w14:paraId="1AF6D88A" w14:textId="77777777" w:rsidR="00D44BCF" w:rsidRDefault="00D44BCF">
      <w:pPr>
        <w:pStyle w:val="TableofAuthorities"/>
        <w:tabs>
          <w:tab w:val="right" w:leader="dot" w:pos="9061"/>
        </w:tabs>
        <w:rPr>
          <w:noProof/>
        </w:rPr>
      </w:pPr>
      <w:r w:rsidRPr="000A1327">
        <w:rPr>
          <w:rFonts w:cstheme="minorHAnsi"/>
          <w:i/>
          <w:noProof/>
        </w:rPr>
        <w:t>Aitchison v R</w:t>
      </w:r>
      <w:r w:rsidRPr="000A1327">
        <w:rPr>
          <w:rFonts w:cstheme="minorHAnsi"/>
          <w:noProof/>
        </w:rPr>
        <w:t xml:space="preserve"> [2015] VSCA 348</w:t>
      </w:r>
      <w:r>
        <w:rPr>
          <w:noProof/>
        </w:rPr>
        <w:tab/>
        <w:t>46, 57</w:t>
      </w:r>
    </w:p>
    <w:p w14:paraId="0ADDDD82" w14:textId="77777777" w:rsidR="00D44BCF" w:rsidRDefault="00D44BCF">
      <w:pPr>
        <w:pStyle w:val="TableofAuthorities"/>
        <w:tabs>
          <w:tab w:val="right" w:leader="dot" w:pos="9061"/>
        </w:tabs>
        <w:rPr>
          <w:noProof/>
        </w:rPr>
      </w:pPr>
      <w:r w:rsidRPr="000A1327">
        <w:rPr>
          <w:rFonts w:cstheme="minorHAnsi"/>
          <w:i/>
          <w:noProof/>
        </w:rPr>
        <w:t>Aitchison</w:t>
      </w:r>
      <w:r w:rsidRPr="000A1327">
        <w:rPr>
          <w:rFonts w:cstheme="minorHAnsi"/>
          <w:noProof/>
        </w:rPr>
        <w:t xml:space="preserve"> v </w:t>
      </w:r>
      <w:r w:rsidRPr="000A1327">
        <w:rPr>
          <w:rFonts w:cstheme="minorHAnsi"/>
          <w:i/>
          <w:noProof/>
        </w:rPr>
        <w:t>R</w:t>
      </w:r>
      <w:r w:rsidRPr="000A1327">
        <w:rPr>
          <w:rFonts w:cstheme="minorHAnsi"/>
          <w:noProof/>
        </w:rPr>
        <w:t xml:space="preserve"> [2016] HCASL 75</w:t>
      </w:r>
      <w:r>
        <w:rPr>
          <w:noProof/>
        </w:rPr>
        <w:tab/>
        <w:t>57</w:t>
      </w:r>
    </w:p>
    <w:p w14:paraId="7C87809E" w14:textId="77777777" w:rsidR="00D44BCF" w:rsidRDefault="00D44BCF">
      <w:pPr>
        <w:pStyle w:val="TableofAuthorities"/>
        <w:tabs>
          <w:tab w:val="right" w:leader="dot" w:pos="9061"/>
        </w:tabs>
        <w:rPr>
          <w:noProof/>
        </w:rPr>
      </w:pPr>
      <w:r w:rsidRPr="000A1327">
        <w:rPr>
          <w:rFonts w:cstheme="minorHAnsi"/>
          <w:i/>
          <w:noProof/>
        </w:rPr>
        <w:t>Alam v R</w:t>
      </w:r>
      <w:r w:rsidRPr="000A1327">
        <w:rPr>
          <w:rFonts w:cstheme="minorHAnsi"/>
          <w:noProof/>
        </w:rPr>
        <w:t xml:space="preserve"> [2015] VSCA 48</w:t>
      </w:r>
      <w:r>
        <w:rPr>
          <w:noProof/>
        </w:rPr>
        <w:tab/>
        <w:t>119</w:t>
      </w:r>
    </w:p>
    <w:p w14:paraId="755E16AB" w14:textId="77777777" w:rsidR="00D44BCF" w:rsidRDefault="00D44BCF">
      <w:pPr>
        <w:pStyle w:val="TableofAuthorities"/>
        <w:tabs>
          <w:tab w:val="right" w:leader="dot" w:pos="9061"/>
        </w:tabs>
        <w:rPr>
          <w:noProof/>
        </w:rPr>
      </w:pPr>
      <w:r w:rsidRPr="000A1327">
        <w:rPr>
          <w:rFonts w:cstheme="minorHAnsi"/>
          <w:i/>
          <w:noProof/>
        </w:rPr>
        <w:t xml:space="preserve">Alavy v R </w:t>
      </w:r>
      <w:r w:rsidRPr="000A1327">
        <w:rPr>
          <w:rFonts w:cstheme="minorHAnsi"/>
          <w:noProof/>
        </w:rPr>
        <w:t>[2014] VSCA 25</w:t>
      </w:r>
      <w:r>
        <w:rPr>
          <w:noProof/>
        </w:rPr>
        <w:tab/>
        <w:t>56</w:t>
      </w:r>
    </w:p>
    <w:p w14:paraId="3598A644" w14:textId="77777777" w:rsidR="00D44BCF" w:rsidRDefault="00D44BCF">
      <w:pPr>
        <w:pStyle w:val="TableofAuthorities"/>
        <w:tabs>
          <w:tab w:val="right" w:leader="dot" w:pos="9061"/>
        </w:tabs>
        <w:rPr>
          <w:noProof/>
        </w:rPr>
      </w:pPr>
      <w:r w:rsidRPr="000A1327">
        <w:rPr>
          <w:rFonts w:cstheme="minorHAnsi"/>
          <w:i/>
          <w:noProof/>
        </w:rPr>
        <w:t>Ali v R</w:t>
      </w:r>
      <w:r w:rsidRPr="000A1327">
        <w:rPr>
          <w:rFonts w:cstheme="minorHAnsi"/>
          <w:noProof/>
        </w:rPr>
        <w:t xml:space="preserve"> [2014] NSWCCA 40</w:t>
      </w:r>
      <w:r>
        <w:rPr>
          <w:noProof/>
        </w:rPr>
        <w:tab/>
        <w:t>77</w:t>
      </w:r>
    </w:p>
    <w:p w14:paraId="3C2F5A31" w14:textId="77777777" w:rsidR="00D44BCF" w:rsidRDefault="00D44BCF">
      <w:pPr>
        <w:pStyle w:val="TableofAuthorities"/>
        <w:tabs>
          <w:tab w:val="right" w:leader="dot" w:pos="9061"/>
        </w:tabs>
        <w:rPr>
          <w:noProof/>
        </w:rPr>
      </w:pPr>
      <w:r w:rsidRPr="000A1327">
        <w:rPr>
          <w:rFonts w:cstheme="minorHAnsi"/>
          <w:i/>
          <w:noProof/>
        </w:rPr>
        <w:t>Alimudin v McCarthy</w:t>
      </w:r>
      <w:r w:rsidRPr="000A1327">
        <w:rPr>
          <w:rFonts w:cstheme="minorHAnsi"/>
          <w:noProof/>
        </w:rPr>
        <w:t xml:space="preserve"> (2008) 23 NTLR 102</w:t>
      </w:r>
      <w:r>
        <w:rPr>
          <w:noProof/>
        </w:rPr>
        <w:tab/>
        <w:t>128, 129</w:t>
      </w:r>
    </w:p>
    <w:p w14:paraId="7FA3DB52" w14:textId="77777777" w:rsidR="00D44BCF" w:rsidRDefault="00D44BCF">
      <w:pPr>
        <w:pStyle w:val="TableofAuthorities"/>
        <w:tabs>
          <w:tab w:val="right" w:leader="dot" w:pos="9061"/>
        </w:tabs>
        <w:rPr>
          <w:noProof/>
        </w:rPr>
      </w:pPr>
      <w:r w:rsidRPr="000A1327">
        <w:rPr>
          <w:rFonts w:cstheme="minorHAnsi"/>
          <w:bCs/>
          <w:i/>
          <w:iCs/>
          <w:noProof/>
        </w:rPr>
        <w:t>All Cars Ltd v McCann</w:t>
      </w:r>
      <w:r w:rsidRPr="000A1327">
        <w:rPr>
          <w:rFonts w:cstheme="minorHAnsi"/>
          <w:noProof/>
        </w:rPr>
        <w:t xml:space="preserve"> (1945) 19 ALJR 129</w:t>
      </w:r>
      <w:r>
        <w:rPr>
          <w:noProof/>
        </w:rPr>
        <w:tab/>
        <w:t>17, 90</w:t>
      </w:r>
    </w:p>
    <w:p w14:paraId="4C21CA9B" w14:textId="77777777" w:rsidR="00D44BCF" w:rsidRDefault="00D44BCF">
      <w:pPr>
        <w:pStyle w:val="TableofAuthorities"/>
        <w:tabs>
          <w:tab w:val="right" w:leader="dot" w:pos="9061"/>
        </w:tabs>
        <w:rPr>
          <w:noProof/>
        </w:rPr>
      </w:pPr>
      <w:r w:rsidRPr="000A1327">
        <w:rPr>
          <w:rFonts w:cstheme="minorHAnsi"/>
          <w:i/>
          <w:noProof/>
        </w:rPr>
        <w:t>Alvares v R</w:t>
      </w:r>
      <w:r w:rsidRPr="000A1327">
        <w:rPr>
          <w:rFonts w:cstheme="minorHAnsi"/>
          <w:noProof/>
        </w:rPr>
        <w:t xml:space="preserve"> [2011] NSWCCA 33</w:t>
      </w:r>
      <w:r>
        <w:rPr>
          <w:noProof/>
        </w:rPr>
        <w:tab/>
        <w:t>29</w:t>
      </w:r>
    </w:p>
    <w:p w14:paraId="476672DA" w14:textId="77777777" w:rsidR="00D44BCF" w:rsidRDefault="00D44BCF">
      <w:pPr>
        <w:pStyle w:val="TableofAuthorities"/>
        <w:tabs>
          <w:tab w:val="right" w:leader="dot" w:pos="9061"/>
        </w:tabs>
        <w:rPr>
          <w:noProof/>
        </w:rPr>
      </w:pPr>
      <w:r w:rsidRPr="000A1327">
        <w:rPr>
          <w:rFonts w:cstheme="minorHAnsi"/>
          <w:i/>
          <w:noProof/>
        </w:rPr>
        <w:t>APLA Ltd v Legal Services Commissioner (NSW)</w:t>
      </w:r>
      <w:r w:rsidRPr="000A1327">
        <w:rPr>
          <w:rFonts w:cstheme="minorHAnsi"/>
          <w:noProof/>
        </w:rPr>
        <w:t xml:space="preserve"> (2005) 224 CLR 322</w:t>
      </w:r>
      <w:r>
        <w:rPr>
          <w:noProof/>
        </w:rPr>
        <w:tab/>
        <w:t>6</w:t>
      </w:r>
    </w:p>
    <w:p w14:paraId="4050E72B" w14:textId="77777777" w:rsidR="00D44BCF" w:rsidRDefault="00D44BCF">
      <w:pPr>
        <w:pStyle w:val="TableofAuthorities"/>
        <w:tabs>
          <w:tab w:val="right" w:leader="dot" w:pos="9061"/>
        </w:tabs>
        <w:rPr>
          <w:noProof/>
        </w:rPr>
      </w:pPr>
      <w:r w:rsidRPr="000A1327">
        <w:rPr>
          <w:rFonts w:cstheme="minorHAnsi"/>
          <w:i/>
          <w:noProof/>
        </w:rPr>
        <w:t>Application of Pearson</w:t>
      </w:r>
      <w:r w:rsidRPr="000A1327">
        <w:rPr>
          <w:rFonts w:cstheme="minorHAnsi"/>
          <w:noProof/>
        </w:rPr>
        <w:t xml:space="preserve"> [1999] NSWSC 143</w:t>
      </w:r>
      <w:r>
        <w:rPr>
          <w:noProof/>
        </w:rPr>
        <w:tab/>
        <w:t>5</w:t>
      </w:r>
    </w:p>
    <w:p w14:paraId="7AC12B84" w14:textId="77777777" w:rsidR="00D44BCF" w:rsidRDefault="00D44BCF">
      <w:pPr>
        <w:pStyle w:val="TableofAuthorities"/>
        <w:tabs>
          <w:tab w:val="right" w:leader="dot" w:pos="9061"/>
        </w:tabs>
        <w:rPr>
          <w:noProof/>
        </w:rPr>
      </w:pPr>
      <w:r w:rsidRPr="000A1327">
        <w:rPr>
          <w:rFonts w:cstheme="minorHAnsi"/>
          <w:i/>
          <w:noProof/>
        </w:rPr>
        <w:t>Arthars v R</w:t>
      </w:r>
      <w:r w:rsidRPr="000A1327">
        <w:rPr>
          <w:rFonts w:cstheme="minorHAnsi"/>
          <w:noProof/>
        </w:rPr>
        <w:t xml:space="preserve"> (2013) 39 VR 613</w:t>
      </w:r>
      <w:r>
        <w:rPr>
          <w:noProof/>
        </w:rPr>
        <w:tab/>
        <w:t>71, 72</w:t>
      </w:r>
    </w:p>
    <w:p w14:paraId="5FAF716B" w14:textId="77777777" w:rsidR="00D44BCF" w:rsidRDefault="00D44BCF">
      <w:pPr>
        <w:pStyle w:val="TableofAuthorities"/>
        <w:tabs>
          <w:tab w:val="right" w:leader="dot" w:pos="9061"/>
        </w:tabs>
        <w:rPr>
          <w:noProof/>
        </w:rPr>
      </w:pPr>
      <w:r w:rsidRPr="000A1327">
        <w:rPr>
          <w:rFonts w:cstheme="minorHAnsi"/>
          <w:i/>
          <w:noProof/>
        </w:rPr>
        <w:t>ASIC v Edensor Nominees Pty Ltd</w:t>
      </w:r>
      <w:r w:rsidRPr="000A1327">
        <w:rPr>
          <w:rFonts w:cstheme="minorHAnsi"/>
          <w:noProof/>
        </w:rPr>
        <w:t xml:space="preserve"> (2001) 204 CLR 559</w:t>
      </w:r>
      <w:r>
        <w:rPr>
          <w:noProof/>
        </w:rPr>
        <w:tab/>
        <w:t>19</w:t>
      </w:r>
    </w:p>
    <w:p w14:paraId="689F097C" w14:textId="77777777" w:rsidR="00D44BCF" w:rsidRDefault="00D44BCF">
      <w:pPr>
        <w:pStyle w:val="TableofAuthorities"/>
        <w:tabs>
          <w:tab w:val="right" w:leader="dot" w:pos="9061"/>
        </w:tabs>
        <w:rPr>
          <w:noProof/>
        </w:rPr>
      </w:pPr>
      <w:r w:rsidRPr="000A1327">
        <w:rPr>
          <w:rFonts w:cstheme="minorHAnsi"/>
          <w:i/>
          <w:noProof/>
        </w:rPr>
        <w:t>Assafiri (No.2) v R</w:t>
      </w:r>
      <w:r w:rsidRPr="000A1327">
        <w:rPr>
          <w:rFonts w:cstheme="minorHAnsi"/>
          <w:noProof/>
        </w:rPr>
        <w:t xml:space="preserve"> [2007] NSWCCA 3</w:t>
      </w:r>
      <w:r>
        <w:rPr>
          <w:noProof/>
        </w:rPr>
        <w:tab/>
        <w:t>55, 106, 159</w:t>
      </w:r>
    </w:p>
    <w:p w14:paraId="383BBE4D" w14:textId="77777777" w:rsidR="00D44BCF" w:rsidRDefault="00D44BCF">
      <w:pPr>
        <w:pStyle w:val="TableofAuthorities"/>
        <w:tabs>
          <w:tab w:val="right" w:leader="dot" w:pos="9061"/>
        </w:tabs>
        <w:rPr>
          <w:noProof/>
        </w:rPr>
      </w:pPr>
      <w:r w:rsidRPr="000A1327">
        <w:rPr>
          <w:rFonts w:cstheme="minorHAnsi"/>
          <w:i/>
          <w:noProof/>
        </w:rPr>
        <w:t>Atanackovic v R</w:t>
      </w:r>
      <w:r w:rsidRPr="000A1327">
        <w:rPr>
          <w:rFonts w:cstheme="minorHAnsi"/>
          <w:noProof/>
        </w:rPr>
        <w:t xml:space="preserve"> (2015) 45 VR 179</w:t>
      </w:r>
      <w:r>
        <w:rPr>
          <w:noProof/>
        </w:rPr>
        <w:tab/>
        <w:t>12, 37, 115, 118, 119, 120, 123, 143, 180</w:t>
      </w:r>
    </w:p>
    <w:p w14:paraId="67006B29" w14:textId="77777777" w:rsidR="00D44BCF" w:rsidRDefault="00D44BCF">
      <w:pPr>
        <w:pStyle w:val="TableofAuthorities"/>
        <w:tabs>
          <w:tab w:val="right" w:leader="dot" w:pos="9061"/>
        </w:tabs>
        <w:rPr>
          <w:noProof/>
        </w:rPr>
      </w:pPr>
      <w:r w:rsidRPr="000A1327">
        <w:rPr>
          <w:rFonts w:cstheme="minorHAnsi"/>
          <w:i/>
          <w:iCs/>
          <w:noProof/>
        </w:rPr>
        <w:t>Atherden v Western Australia</w:t>
      </w:r>
      <w:r w:rsidRPr="000A1327">
        <w:rPr>
          <w:rFonts w:cstheme="minorHAnsi"/>
          <w:noProof/>
        </w:rPr>
        <w:t xml:space="preserve"> [2010] WASCA 33</w:t>
      </w:r>
      <w:r>
        <w:rPr>
          <w:noProof/>
        </w:rPr>
        <w:tab/>
        <w:t>51</w:t>
      </w:r>
    </w:p>
    <w:p w14:paraId="161BDFE9" w14:textId="77777777" w:rsidR="00D44BCF" w:rsidRDefault="00D44BCF">
      <w:pPr>
        <w:pStyle w:val="TableofAuthorities"/>
        <w:tabs>
          <w:tab w:val="right" w:leader="dot" w:pos="9061"/>
        </w:tabs>
        <w:rPr>
          <w:noProof/>
        </w:rPr>
      </w:pPr>
      <w:r w:rsidRPr="000A1327">
        <w:rPr>
          <w:rFonts w:cstheme="minorHAnsi"/>
          <w:i/>
          <w:noProof/>
        </w:rPr>
        <w:t>Atkinson v R</w:t>
      </w:r>
      <w:r w:rsidRPr="000A1327">
        <w:rPr>
          <w:rFonts w:cstheme="minorHAnsi"/>
          <w:noProof/>
        </w:rPr>
        <w:t xml:space="preserve"> [2013] NTCCA 5</w:t>
      </w:r>
      <w:r>
        <w:rPr>
          <w:noProof/>
        </w:rPr>
        <w:tab/>
        <w:t>84</w:t>
      </w:r>
    </w:p>
    <w:p w14:paraId="4669A338" w14:textId="77777777" w:rsidR="00D44BCF" w:rsidRDefault="00D44BCF">
      <w:pPr>
        <w:pStyle w:val="TableofAuthorities"/>
        <w:tabs>
          <w:tab w:val="right" w:leader="dot" w:pos="9061"/>
        </w:tabs>
        <w:rPr>
          <w:noProof/>
        </w:rPr>
      </w:pPr>
      <w:r w:rsidRPr="000A1327">
        <w:rPr>
          <w:rFonts w:cstheme="minorHAnsi"/>
          <w:i/>
          <w:noProof/>
        </w:rPr>
        <w:t>Attorney General’s Application Under s37 of the Crimes (Sentencing Procedure) Act 1999 No 1 of 2002</w:t>
      </w:r>
      <w:r w:rsidRPr="000A1327">
        <w:rPr>
          <w:rFonts w:cstheme="minorHAnsi"/>
          <w:noProof/>
        </w:rPr>
        <w:t xml:space="preserve"> (2002) 56 NSWLR 146</w:t>
      </w:r>
      <w:r>
        <w:rPr>
          <w:noProof/>
        </w:rPr>
        <w:tab/>
        <w:t>43, 44, 196</w:t>
      </w:r>
    </w:p>
    <w:p w14:paraId="5DA77050" w14:textId="77777777" w:rsidR="00D44BCF" w:rsidRDefault="00D44BCF">
      <w:pPr>
        <w:pStyle w:val="TableofAuthorities"/>
        <w:tabs>
          <w:tab w:val="right" w:leader="dot" w:pos="9061"/>
        </w:tabs>
        <w:rPr>
          <w:noProof/>
        </w:rPr>
      </w:pPr>
      <w:r w:rsidRPr="000A1327">
        <w:rPr>
          <w:rFonts w:cstheme="minorHAnsi"/>
          <w:i/>
          <w:noProof/>
        </w:rPr>
        <w:t>Bahar v R</w:t>
      </w:r>
      <w:r w:rsidRPr="000A1327">
        <w:rPr>
          <w:rFonts w:cstheme="minorHAnsi"/>
          <w:noProof/>
        </w:rPr>
        <w:t xml:space="preserve"> (2011) 45 WAR 100</w:t>
      </w:r>
      <w:r>
        <w:rPr>
          <w:noProof/>
        </w:rPr>
        <w:tab/>
        <w:t>51, 124, 218</w:t>
      </w:r>
    </w:p>
    <w:p w14:paraId="7B8C8626" w14:textId="77777777" w:rsidR="00D44BCF" w:rsidRDefault="00D44BCF">
      <w:pPr>
        <w:pStyle w:val="TableofAuthorities"/>
        <w:tabs>
          <w:tab w:val="right" w:leader="dot" w:pos="9061"/>
        </w:tabs>
        <w:rPr>
          <w:noProof/>
        </w:rPr>
      </w:pPr>
      <w:r w:rsidRPr="000A1327">
        <w:rPr>
          <w:rFonts w:cstheme="minorHAnsi"/>
          <w:i/>
          <w:noProof/>
        </w:rPr>
        <w:t>Baladjam</w:t>
      </w:r>
      <w:r w:rsidRPr="000A1327">
        <w:rPr>
          <w:rFonts w:cstheme="minorHAnsi"/>
          <w:noProof/>
        </w:rPr>
        <w:t xml:space="preserve"> v </w:t>
      </w:r>
      <w:r w:rsidRPr="000A1327">
        <w:rPr>
          <w:rFonts w:cstheme="minorHAnsi"/>
          <w:i/>
          <w:noProof/>
        </w:rPr>
        <w:t>R</w:t>
      </w:r>
      <w:r w:rsidRPr="000A1327">
        <w:rPr>
          <w:rFonts w:cstheme="minorHAnsi"/>
          <w:noProof/>
        </w:rPr>
        <w:t xml:space="preserve"> [2018] NSWCCA 304</w:t>
      </w:r>
      <w:r>
        <w:rPr>
          <w:noProof/>
        </w:rPr>
        <w:tab/>
        <w:t>29, 48, 70</w:t>
      </w:r>
    </w:p>
    <w:p w14:paraId="59035EE2" w14:textId="77777777" w:rsidR="00D44BCF" w:rsidRDefault="00D44BCF">
      <w:pPr>
        <w:pStyle w:val="TableofAuthorities"/>
        <w:tabs>
          <w:tab w:val="right" w:leader="dot" w:pos="9061"/>
        </w:tabs>
        <w:rPr>
          <w:noProof/>
        </w:rPr>
      </w:pPr>
      <w:r w:rsidRPr="000A1327">
        <w:rPr>
          <w:rFonts w:cstheme="minorHAnsi"/>
          <w:i/>
          <w:noProof/>
        </w:rPr>
        <w:t>Bantick v Blunden</w:t>
      </w:r>
      <w:r w:rsidRPr="000A1327">
        <w:rPr>
          <w:rFonts w:cstheme="minorHAnsi"/>
          <w:noProof/>
        </w:rPr>
        <w:t xml:space="preserve"> [1981] Tas R (NC) N9</w:t>
      </w:r>
      <w:r>
        <w:rPr>
          <w:noProof/>
        </w:rPr>
        <w:tab/>
        <w:t>105</w:t>
      </w:r>
    </w:p>
    <w:p w14:paraId="715BE056" w14:textId="77777777" w:rsidR="00D44BCF" w:rsidRDefault="00D44BCF">
      <w:pPr>
        <w:pStyle w:val="TableofAuthorities"/>
        <w:tabs>
          <w:tab w:val="right" w:leader="dot" w:pos="9061"/>
        </w:tabs>
        <w:rPr>
          <w:noProof/>
        </w:rPr>
      </w:pPr>
      <w:r w:rsidRPr="000A1327">
        <w:rPr>
          <w:rFonts w:cstheme="minorHAnsi"/>
          <w:i/>
          <w:noProof/>
        </w:rPr>
        <w:t>Barbaro v R</w:t>
      </w:r>
      <w:r w:rsidRPr="000A1327">
        <w:rPr>
          <w:rFonts w:cstheme="minorHAnsi"/>
          <w:noProof/>
        </w:rPr>
        <w:t xml:space="preserve"> (2014) 253 CLR 58</w:t>
      </w:r>
      <w:r>
        <w:rPr>
          <w:noProof/>
        </w:rPr>
        <w:tab/>
        <w:t>8, 39, 184, 188, 191</w:t>
      </w:r>
    </w:p>
    <w:p w14:paraId="6CBA3415" w14:textId="77777777" w:rsidR="00D44BCF" w:rsidRDefault="00D44BCF">
      <w:pPr>
        <w:pStyle w:val="TableofAuthorities"/>
        <w:tabs>
          <w:tab w:val="right" w:leader="dot" w:pos="9061"/>
        </w:tabs>
        <w:rPr>
          <w:noProof/>
        </w:rPr>
      </w:pPr>
      <w:r w:rsidRPr="000A1327">
        <w:rPr>
          <w:rFonts w:cstheme="minorHAnsi"/>
          <w:i/>
          <w:noProof/>
        </w:rPr>
        <w:t>Barbaro v R</w:t>
      </w:r>
      <w:r w:rsidRPr="000A1327">
        <w:rPr>
          <w:rFonts w:cstheme="minorHAnsi"/>
          <w:noProof/>
        </w:rPr>
        <w:t xml:space="preserve"> [2012] VSCA 288</w:t>
      </w:r>
      <w:r>
        <w:rPr>
          <w:noProof/>
        </w:rPr>
        <w:tab/>
        <w:t>29, 48, 56, 62</w:t>
      </w:r>
    </w:p>
    <w:p w14:paraId="3E6CF8BF" w14:textId="77777777" w:rsidR="00D44BCF" w:rsidRDefault="00D44BCF">
      <w:pPr>
        <w:pStyle w:val="TableofAuthorities"/>
        <w:tabs>
          <w:tab w:val="right" w:leader="dot" w:pos="9061"/>
        </w:tabs>
        <w:rPr>
          <w:noProof/>
        </w:rPr>
      </w:pPr>
      <w:r w:rsidRPr="000A1327">
        <w:rPr>
          <w:rFonts w:cstheme="minorHAnsi"/>
          <w:i/>
          <w:iCs/>
          <w:noProof/>
        </w:rPr>
        <w:t>Barbat v R</w:t>
      </w:r>
      <w:r w:rsidRPr="000A1327">
        <w:rPr>
          <w:rFonts w:cstheme="minorHAnsi"/>
          <w:iCs/>
          <w:noProof/>
        </w:rPr>
        <w:t xml:space="preserve"> [2014] VSCA 202</w:t>
      </w:r>
      <w:r>
        <w:rPr>
          <w:noProof/>
        </w:rPr>
        <w:tab/>
        <w:t>127, 139</w:t>
      </w:r>
    </w:p>
    <w:p w14:paraId="758F9F9C" w14:textId="77777777" w:rsidR="00D44BCF" w:rsidRDefault="00D44BCF">
      <w:pPr>
        <w:pStyle w:val="TableofAuthorities"/>
        <w:tabs>
          <w:tab w:val="right" w:leader="dot" w:pos="9061"/>
        </w:tabs>
        <w:rPr>
          <w:noProof/>
        </w:rPr>
      </w:pPr>
      <w:r w:rsidRPr="000A1327">
        <w:rPr>
          <w:rFonts w:cstheme="minorHAnsi"/>
          <w:i/>
          <w:iCs/>
          <w:noProof/>
        </w:rPr>
        <w:t xml:space="preserve">Bass v Permanent Trustee Co Ltd </w:t>
      </w:r>
      <w:r w:rsidRPr="000A1327">
        <w:rPr>
          <w:rFonts w:cstheme="minorHAnsi"/>
          <w:noProof/>
        </w:rPr>
        <w:t>(1999) 198 CLR 334</w:t>
      </w:r>
      <w:r>
        <w:rPr>
          <w:noProof/>
        </w:rPr>
        <w:tab/>
        <w:t>6</w:t>
      </w:r>
    </w:p>
    <w:p w14:paraId="21EB16EA" w14:textId="77777777" w:rsidR="00D44BCF" w:rsidRDefault="00D44BCF">
      <w:pPr>
        <w:pStyle w:val="TableofAuthorities"/>
        <w:tabs>
          <w:tab w:val="right" w:leader="dot" w:pos="9061"/>
        </w:tabs>
        <w:rPr>
          <w:noProof/>
        </w:rPr>
      </w:pPr>
      <w:r w:rsidRPr="000A1327">
        <w:rPr>
          <w:rFonts w:cstheme="minorHAnsi"/>
          <w:i/>
          <w:noProof/>
        </w:rPr>
        <w:t>Baumer v R</w:t>
      </w:r>
      <w:r w:rsidRPr="000A1327">
        <w:rPr>
          <w:rFonts w:cstheme="minorHAnsi"/>
          <w:noProof/>
        </w:rPr>
        <w:t xml:space="preserve"> (1988) 166 CLR 51</w:t>
      </w:r>
      <w:r>
        <w:rPr>
          <w:noProof/>
        </w:rPr>
        <w:tab/>
        <w:t>45</w:t>
      </w:r>
    </w:p>
    <w:p w14:paraId="52DAD092" w14:textId="77777777" w:rsidR="00D44BCF" w:rsidRDefault="00D44BCF">
      <w:pPr>
        <w:pStyle w:val="TableofAuthorities"/>
        <w:tabs>
          <w:tab w:val="right" w:leader="dot" w:pos="9061"/>
        </w:tabs>
        <w:rPr>
          <w:noProof/>
        </w:rPr>
      </w:pPr>
      <w:r w:rsidRPr="000A1327">
        <w:rPr>
          <w:rFonts w:cstheme="minorHAnsi"/>
          <w:i/>
          <w:noProof/>
        </w:rPr>
        <w:t>Baxter v Commissioner of Taxation (NSW)</w:t>
      </w:r>
      <w:r w:rsidRPr="000A1327">
        <w:rPr>
          <w:rFonts w:cstheme="minorHAnsi"/>
          <w:noProof/>
        </w:rPr>
        <w:t xml:space="preserve"> (1907) 4 CLR 1087</w:t>
      </w:r>
      <w:r>
        <w:rPr>
          <w:noProof/>
        </w:rPr>
        <w:tab/>
        <w:t>5</w:t>
      </w:r>
    </w:p>
    <w:p w14:paraId="2F804868" w14:textId="77777777" w:rsidR="00D44BCF" w:rsidRDefault="00D44BCF">
      <w:pPr>
        <w:pStyle w:val="TableofAuthorities"/>
        <w:tabs>
          <w:tab w:val="right" w:leader="dot" w:pos="9061"/>
        </w:tabs>
        <w:rPr>
          <w:noProof/>
        </w:rPr>
      </w:pPr>
      <w:r w:rsidRPr="000A1327">
        <w:rPr>
          <w:rFonts w:cstheme="minorHAnsi"/>
          <w:i/>
          <w:noProof/>
        </w:rPr>
        <w:t>Bell v R</w:t>
      </w:r>
      <w:r w:rsidRPr="000A1327">
        <w:rPr>
          <w:rFonts w:cstheme="minorHAnsi"/>
          <w:noProof/>
        </w:rPr>
        <w:t xml:space="preserve"> [2001] WASCA 40</w:t>
      </w:r>
      <w:r>
        <w:rPr>
          <w:noProof/>
        </w:rPr>
        <w:tab/>
        <w:t>72</w:t>
      </w:r>
    </w:p>
    <w:p w14:paraId="67668FAD" w14:textId="77777777" w:rsidR="00D44BCF" w:rsidRDefault="00D44BCF">
      <w:pPr>
        <w:pStyle w:val="TableofAuthorities"/>
        <w:tabs>
          <w:tab w:val="right" w:leader="dot" w:pos="9061"/>
        </w:tabs>
        <w:rPr>
          <w:noProof/>
        </w:rPr>
      </w:pPr>
      <w:r w:rsidRPr="000A1327">
        <w:rPr>
          <w:rFonts w:cstheme="minorHAnsi"/>
          <w:i/>
          <w:noProof/>
        </w:rPr>
        <w:t>Benbrika v R</w:t>
      </w:r>
      <w:r w:rsidRPr="000A1327">
        <w:rPr>
          <w:rFonts w:cstheme="minorHAnsi"/>
          <w:noProof/>
        </w:rPr>
        <w:t xml:space="preserve"> (2010) 29 VR 593</w:t>
      </w:r>
      <w:r>
        <w:rPr>
          <w:noProof/>
        </w:rPr>
        <w:tab/>
        <w:t>29, 58</w:t>
      </w:r>
    </w:p>
    <w:p w14:paraId="64A2CE24" w14:textId="77777777" w:rsidR="00D44BCF" w:rsidRDefault="00D44BCF">
      <w:pPr>
        <w:pStyle w:val="TableofAuthorities"/>
        <w:tabs>
          <w:tab w:val="right" w:leader="dot" w:pos="9061"/>
        </w:tabs>
        <w:rPr>
          <w:noProof/>
        </w:rPr>
      </w:pPr>
      <w:r w:rsidRPr="000A1327">
        <w:rPr>
          <w:rFonts w:cstheme="minorHAnsi"/>
          <w:i/>
          <w:noProof/>
        </w:rPr>
        <w:t>Berg v DPP (Qld)</w:t>
      </w:r>
      <w:r w:rsidRPr="000A1327">
        <w:rPr>
          <w:rFonts w:cstheme="minorHAnsi"/>
          <w:noProof/>
        </w:rPr>
        <w:t xml:space="preserve"> [2015] QCA 196</w:t>
      </w:r>
      <w:r>
        <w:rPr>
          <w:noProof/>
        </w:rPr>
        <w:tab/>
        <w:t>224</w:t>
      </w:r>
    </w:p>
    <w:p w14:paraId="54CB234D" w14:textId="77777777" w:rsidR="00D44BCF" w:rsidRDefault="00D44BCF">
      <w:pPr>
        <w:pStyle w:val="TableofAuthorities"/>
        <w:tabs>
          <w:tab w:val="right" w:leader="dot" w:pos="9061"/>
        </w:tabs>
        <w:rPr>
          <w:noProof/>
        </w:rPr>
      </w:pPr>
      <w:r w:rsidRPr="000A1327">
        <w:rPr>
          <w:rFonts w:cstheme="minorHAnsi"/>
          <w:i/>
          <w:noProof/>
        </w:rPr>
        <w:t>Billis v R</w:t>
      </w:r>
      <w:r w:rsidRPr="000A1327">
        <w:rPr>
          <w:rFonts w:cstheme="minorHAnsi"/>
          <w:noProof/>
        </w:rPr>
        <w:t xml:space="preserve"> (WA CCA, 24 February 1997, unreported)</w:t>
      </w:r>
      <w:r>
        <w:rPr>
          <w:noProof/>
        </w:rPr>
        <w:tab/>
        <w:t>47, 74</w:t>
      </w:r>
    </w:p>
    <w:p w14:paraId="10163437" w14:textId="77777777" w:rsidR="00D44BCF" w:rsidRDefault="00D44BCF">
      <w:pPr>
        <w:pStyle w:val="TableofAuthorities"/>
        <w:tabs>
          <w:tab w:val="right" w:leader="dot" w:pos="9061"/>
        </w:tabs>
        <w:rPr>
          <w:noProof/>
        </w:rPr>
      </w:pPr>
      <w:r w:rsidRPr="000A1327">
        <w:rPr>
          <w:rFonts w:cstheme="minorHAnsi"/>
          <w:i/>
          <w:noProof/>
        </w:rPr>
        <w:t>Blango v R</w:t>
      </w:r>
      <w:r w:rsidRPr="000A1327">
        <w:rPr>
          <w:rFonts w:cstheme="minorHAnsi"/>
          <w:noProof/>
        </w:rPr>
        <w:t xml:space="preserve"> [2018] VSCA 210</w:t>
      </w:r>
      <w:r>
        <w:rPr>
          <w:noProof/>
        </w:rPr>
        <w:tab/>
        <w:t>60</w:t>
      </w:r>
    </w:p>
    <w:p w14:paraId="3EDDE365" w14:textId="77777777" w:rsidR="00D44BCF" w:rsidRDefault="00D44BCF">
      <w:pPr>
        <w:pStyle w:val="TableofAuthorities"/>
        <w:tabs>
          <w:tab w:val="right" w:leader="dot" w:pos="9061"/>
        </w:tabs>
        <w:rPr>
          <w:noProof/>
        </w:rPr>
      </w:pPr>
      <w:r w:rsidRPr="000A1327">
        <w:rPr>
          <w:rFonts w:cstheme="minorHAnsi"/>
          <w:i/>
          <w:noProof/>
        </w:rPr>
        <w:t>Blunden v Commonwealth</w:t>
      </w:r>
      <w:r w:rsidRPr="000A1327">
        <w:rPr>
          <w:rFonts w:cstheme="minorHAnsi"/>
          <w:noProof/>
        </w:rPr>
        <w:t xml:space="preserve"> (2003) 218 CLR 330</w:t>
      </w:r>
      <w:r>
        <w:rPr>
          <w:noProof/>
        </w:rPr>
        <w:tab/>
        <w:t>12</w:t>
      </w:r>
    </w:p>
    <w:p w14:paraId="6169631F" w14:textId="77777777" w:rsidR="00D44BCF" w:rsidRDefault="00D44BCF">
      <w:pPr>
        <w:pStyle w:val="TableofAuthorities"/>
        <w:tabs>
          <w:tab w:val="right" w:leader="dot" w:pos="9061"/>
        </w:tabs>
        <w:rPr>
          <w:noProof/>
        </w:rPr>
      </w:pPr>
      <w:r w:rsidRPr="000A1327">
        <w:rPr>
          <w:rFonts w:cstheme="minorHAnsi"/>
          <w:i/>
          <w:iCs/>
          <w:noProof/>
        </w:rPr>
        <w:t>Boonstoppel v Hamidi</w:t>
      </w:r>
      <w:r w:rsidRPr="000A1327">
        <w:rPr>
          <w:rFonts w:cstheme="minorHAnsi"/>
          <w:noProof/>
        </w:rPr>
        <w:t xml:space="preserve"> [2005] SASC 248</w:t>
      </w:r>
      <w:r>
        <w:rPr>
          <w:noProof/>
        </w:rPr>
        <w:tab/>
        <w:t>225, 228</w:t>
      </w:r>
    </w:p>
    <w:p w14:paraId="230C7667" w14:textId="77777777" w:rsidR="00D44BCF" w:rsidRDefault="00D44BCF">
      <w:pPr>
        <w:pStyle w:val="TableofAuthorities"/>
        <w:tabs>
          <w:tab w:val="right" w:leader="dot" w:pos="9061"/>
        </w:tabs>
        <w:rPr>
          <w:noProof/>
        </w:rPr>
      </w:pPr>
      <w:r w:rsidRPr="000A1327">
        <w:rPr>
          <w:rFonts w:cstheme="minorHAnsi"/>
          <w:i/>
          <w:noProof/>
        </w:rPr>
        <w:t>Boulton v R</w:t>
      </w:r>
      <w:r w:rsidRPr="000A1327">
        <w:rPr>
          <w:rFonts w:cstheme="minorHAnsi"/>
          <w:noProof/>
        </w:rPr>
        <w:t xml:space="preserve"> (2014) 46 VR 308</w:t>
      </w:r>
      <w:r>
        <w:rPr>
          <w:noProof/>
        </w:rPr>
        <w:tab/>
        <w:t>12</w:t>
      </w:r>
    </w:p>
    <w:p w14:paraId="3027149A" w14:textId="77777777" w:rsidR="00D44BCF" w:rsidRDefault="00D44BCF">
      <w:pPr>
        <w:pStyle w:val="TableofAuthorities"/>
        <w:tabs>
          <w:tab w:val="right" w:leader="dot" w:pos="9061"/>
        </w:tabs>
        <w:rPr>
          <w:noProof/>
        </w:rPr>
      </w:pPr>
      <w:r w:rsidRPr="000A1327">
        <w:rPr>
          <w:rFonts w:cstheme="minorHAnsi"/>
          <w:i/>
          <w:noProof/>
        </w:rPr>
        <w:t>Bransby v R</w:t>
      </w:r>
      <w:r w:rsidRPr="000A1327">
        <w:rPr>
          <w:rFonts w:cstheme="minorHAnsi"/>
          <w:noProof/>
        </w:rPr>
        <w:t xml:space="preserve"> [2010] WASCA 165</w:t>
      </w:r>
      <w:r>
        <w:rPr>
          <w:noProof/>
        </w:rPr>
        <w:tab/>
        <w:t>76</w:t>
      </w:r>
    </w:p>
    <w:p w14:paraId="664E20D9" w14:textId="77777777" w:rsidR="00D44BCF" w:rsidRDefault="00D44BCF">
      <w:pPr>
        <w:pStyle w:val="TableofAuthorities"/>
        <w:tabs>
          <w:tab w:val="right" w:leader="dot" w:pos="9061"/>
        </w:tabs>
        <w:rPr>
          <w:noProof/>
        </w:rPr>
      </w:pPr>
      <w:r w:rsidRPr="000A1327">
        <w:rPr>
          <w:rFonts w:cstheme="minorHAnsi"/>
          <w:i/>
          <w:noProof/>
        </w:rPr>
        <w:t>Brewerton v Western Australia</w:t>
      </w:r>
      <w:r w:rsidRPr="000A1327">
        <w:rPr>
          <w:rFonts w:cstheme="minorHAnsi"/>
          <w:noProof/>
        </w:rPr>
        <w:t xml:space="preserve"> [2017] WASCA 191</w:t>
      </w:r>
      <w:r>
        <w:rPr>
          <w:noProof/>
        </w:rPr>
        <w:tab/>
        <w:t>77</w:t>
      </w:r>
    </w:p>
    <w:p w14:paraId="5E4F1AEB" w14:textId="77777777" w:rsidR="00D44BCF" w:rsidRDefault="00D44BCF">
      <w:pPr>
        <w:pStyle w:val="TableofAuthorities"/>
        <w:tabs>
          <w:tab w:val="right" w:leader="dot" w:pos="9061"/>
        </w:tabs>
        <w:rPr>
          <w:noProof/>
        </w:rPr>
      </w:pPr>
      <w:r w:rsidRPr="000A1327">
        <w:rPr>
          <w:rFonts w:cstheme="minorHAnsi"/>
          <w:i/>
          <w:noProof/>
        </w:rPr>
        <w:t>British Medical Association v Commonwealth</w:t>
      </w:r>
      <w:r w:rsidRPr="000A1327">
        <w:rPr>
          <w:rFonts w:cstheme="minorHAnsi"/>
          <w:noProof/>
        </w:rPr>
        <w:t xml:space="preserve"> (1949) 79 CLR 201</w:t>
      </w:r>
      <w:r>
        <w:rPr>
          <w:noProof/>
        </w:rPr>
        <w:tab/>
        <w:t>5</w:t>
      </w:r>
    </w:p>
    <w:p w14:paraId="1BC88D67" w14:textId="77777777" w:rsidR="00D44BCF" w:rsidRDefault="00D44BCF">
      <w:pPr>
        <w:pStyle w:val="TableofAuthorities"/>
        <w:tabs>
          <w:tab w:val="right" w:leader="dot" w:pos="9061"/>
        </w:tabs>
        <w:rPr>
          <w:noProof/>
        </w:rPr>
      </w:pPr>
      <w:r w:rsidRPr="000A1327">
        <w:rPr>
          <w:rFonts w:cstheme="minorHAnsi"/>
          <w:i/>
          <w:iCs/>
          <w:noProof/>
        </w:rPr>
        <w:t xml:space="preserve">Brittain v Mansour </w:t>
      </w:r>
      <w:r w:rsidRPr="000A1327">
        <w:rPr>
          <w:rFonts w:cstheme="minorHAnsi"/>
          <w:noProof/>
        </w:rPr>
        <w:t>[2013] VSC 50</w:t>
      </w:r>
      <w:r>
        <w:rPr>
          <w:noProof/>
        </w:rPr>
        <w:tab/>
        <w:t>101, 106</w:t>
      </w:r>
    </w:p>
    <w:p w14:paraId="77E56EB3" w14:textId="77777777" w:rsidR="00D44BCF" w:rsidRDefault="00D44BCF">
      <w:pPr>
        <w:pStyle w:val="TableofAuthorities"/>
        <w:tabs>
          <w:tab w:val="right" w:leader="dot" w:pos="9061"/>
        </w:tabs>
        <w:rPr>
          <w:noProof/>
        </w:rPr>
      </w:pPr>
      <w:r w:rsidRPr="000A1327">
        <w:rPr>
          <w:rFonts w:cstheme="minorHAnsi"/>
          <w:i/>
          <w:noProof/>
        </w:rPr>
        <w:t>Brown v R</w:t>
      </w:r>
      <w:r w:rsidRPr="000A1327">
        <w:rPr>
          <w:rFonts w:cstheme="minorHAnsi"/>
          <w:noProof/>
        </w:rPr>
        <w:t xml:space="preserve"> (1986) 160 CLR 171</w:t>
      </w:r>
      <w:r>
        <w:rPr>
          <w:noProof/>
        </w:rPr>
        <w:tab/>
        <w:t>7</w:t>
      </w:r>
    </w:p>
    <w:p w14:paraId="37D4B167" w14:textId="77777777" w:rsidR="00D44BCF" w:rsidRDefault="00D44BCF">
      <w:pPr>
        <w:pStyle w:val="TableofAuthorities"/>
        <w:tabs>
          <w:tab w:val="right" w:leader="dot" w:pos="9061"/>
        </w:tabs>
        <w:rPr>
          <w:noProof/>
        </w:rPr>
      </w:pPr>
      <w:r w:rsidRPr="000A1327">
        <w:rPr>
          <w:rFonts w:cstheme="minorHAnsi"/>
          <w:i/>
          <w:noProof/>
        </w:rPr>
        <w:t>Bugmy v R</w:t>
      </w:r>
      <w:r w:rsidRPr="000A1327">
        <w:rPr>
          <w:rFonts w:cstheme="minorHAnsi"/>
          <w:noProof/>
        </w:rPr>
        <w:t xml:space="preserve"> (1990) 169 CLR 525</w:t>
      </w:r>
      <w:r>
        <w:rPr>
          <w:noProof/>
        </w:rPr>
        <w:tab/>
        <w:t>141, 142</w:t>
      </w:r>
    </w:p>
    <w:p w14:paraId="75A6974E" w14:textId="77777777" w:rsidR="00D44BCF" w:rsidRDefault="00D44BCF">
      <w:pPr>
        <w:pStyle w:val="TableofAuthorities"/>
        <w:tabs>
          <w:tab w:val="right" w:leader="dot" w:pos="9061"/>
        </w:tabs>
        <w:rPr>
          <w:noProof/>
        </w:rPr>
      </w:pPr>
      <w:r w:rsidRPr="000A1327">
        <w:rPr>
          <w:rFonts w:cstheme="minorHAnsi"/>
          <w:i/>
          <w:noProof/>
        </w:rPr>
        <w:t xml:space="preserve">Bui v DPP (Cth) </w:t>
      </w:r>
      <w:r w:rsidRPr="000A1327">
        <w:rPr>
          <w:rFonts w:cstheme="minorHAnsi"/>
          <w:noProof/>
        </w:rPr>
        <w:t>(2012) 244 CLR 638</w:t>
      </w:r>
      <w:r>
        <w:rPr>
          <w:noProof/>
        </w:rPr>
        <w:tab/>
        <w:t>11, 12, 17, 23, 24, 31, 35, 38, 51, 58, 63, 68, 73, 80, 89, 130</w:t>
      </w:r>
    </w:p>
    <w:p w14:paraId="130771D7" w14:textId="77777777" w:rsidR="00D44BCF" w:rsidRDefault="00D44BCF">
      <w:pPr>
        <w:pStyle w:val="TableofAuthorities"/>
        <w:tabs>
          <w:tab w:val="right" w:leader="dot" w:pos="9061"/>
        </w:tabs>
        <w:rPr>
          <w:noProof/>
        </w:rPr>
      </w:pPr>
      <w:r w:rsidRPr="000A1327">
        <w:rPr>
          <w:rFonts w:cstheme="minorHAnsi"/>
          <w:i/>
          <w:noProof/>
        </w:rPr>
        <w:t>Burbridge v R</w:t>
      </w:r>
      <w:r w:rsidRPr="000A1327">
        <w:rPr>
          <w:rFonts w:cstheme="minorHAnsi"/>
          <w:noProof/>
        </w:rPr>
        <w:t xml:space="preserve"> [2016] NSWCCA 128</w:t>
      </w:r>
      <w:r>
        <w:rPr>
          <w:noProof/>
        </w:rPr>
        <w:tab/>
        <w:t>126, 137, 138</w:t>
      </w:r>
    </w:p>
    <w:p w14:paraId="1FA70B2A" w14:textId="77777777" w:rsidR="00D44BCF" w:rsidRDefault="00D44BCF">
      <w:pPr>
        <w:pStyle w:val="TableofAuthorities"/>
        <w:tabs>
          <w:tab w:val="right" w:leader="dot" w:pos="9061"/>
        </w:tabs>
        <w:rPr>
          <w:noProof/>
        </w:rPr>
      </w:pPr>
      <w:r w:rsidRPr="000A1327">
        <w:rPr>
          <w:rFonts w:cstheme="minorHAnsi"/>
          <w:i/>
          <w:noProof/>
        </w:rPr>
        <w:t>C v R</w:t>
      </w:r>
      <w:r w:rsidRPr="000A1327">
        <w:rPr>
          <w:rFonts w:cstheme="minorHAnsi"/>
          <w:noProof/>
        </w:rPr>
        <w:t xml:space="preserve"> [2013] NSWCCA 81</w:t>
      </w:r>
      <w:r>
        <w:rPr>
          <w:noProof/>
        </w:rPr>
        <w:tab/>
        <w:t>50</w:t>
      </w:r>
    </w:p>
    <w:p w14:paraId="66641DBA" w14:textId="77777777" w:rsidR="00D44BCF" w:rsidRDefault="00D44BCF">
      <w:pPr>
        <w:pStyle w:val="TableofAuthorities"/>
        <w:tabs>
          <w:tab w:val="right" w:leader="dot" w:pos="9061"/>
        </w:tabs>
        <w:rPr>
          <w:noProof/>
        </w:rPr>
      </w:pPr>
      <w:r w:rsidRPr="000A1327">
        <w:rPr>
          <w:rFonts w:cstheme="minorHAnsi"/>
          <w:i/>
          <w:noProof/>
        </w:rPr>
        <w:t>Cady v Smith</w:t>
      </w:r>
      <w:r w:rsidRPr="000A1327">
        <w:rPr>
          <w:rFonts w:cstheme="minorHAnsi"/>
          <w:noProof/>
        </w:rPr>
        <w:t xml:space="preserve"> (1993) 117 FLR 132</w:t>
      </w:r>
      <w:r>
        <w:rPr>
          <w:noProof/>
        </w:rPr>
        <w:tab/>
        <w:t>207</w:t>
      </w:r>
    </w:p>
    <w:p w14:paraId="29D54FC0" w14:textId="77777777" w:rsidR="00D44BCF" w:rsidRDefault="00D44BCF">
      <w:pPr>
        <w:pStyle w:val="TableofAuthorities"/>
        <w:tabs>
          <w:tab w:val="right" w:leader="dot" w:pos="9061"/>
        </w:tabs>
        <w:rPr>
          <w:noProof/>
        </w:rPr>
      </w:pPr>
      <w:r w:rsidRPr="000A1327">
        <w:rPr>
          <w:rFonts w:cstheme="minorHAnsi"/>
          <w:i/>
          <w:noProof/>
        </w:rPr>
        <w:t>Cahyadi v R</w:t>
      </w:r>
      <w:r w:rsidRPr="000A1327">
        <w:rPr>
          <w:rFonts w:cstheme="minorHAnsi"/>
          <w:noProof/>
        </w:rPr>
        <w:t xml:space="preserve"> [2007] NSWCCA 1</w:t>
      </w:r>
      <w:r>
        <w:rPr>
          <w:noProof/>
        </w:rPr>
        <w:tab/>
        <w:t>135</w:t>
      </w:r>
    </w:p>
    <w:p w14:paraId="776130CB" w14:textId="77777777" w:rsidR="00D44BCF" w:rsidRDefault="00D44BCF">
      <w:pPr>
        <w:pStyle w:val="TableofAuthorities"/>
        <w:tabs>
          <w:tab w:val="right" w:leader="dot" w:pos="9061"/>
        </w:tabs>
        <w:rPr>
          <w:noProof/>
        </w:rPr>
      </w:pPr>
      <w:r w:rsidRPr="000A1327">
        <w:rPr>
          <w:rFonts w:cstheme="minorHAnsi"/>
          <w:i/>
          <w:noProof/>
        </w:rPr>
        <w:t>Cant v DPP (Cth)</w:t>
      </w:r>
      <w:r w:rsidRPr="000A1327">
        <w:rPr>
          <w:rFonts w:cstheme="minorHAnsi"/>
          <w:iCs/>
          <w:noProof/>
        </w:rPr>
        <w:t xml:space="preserve"> [2014] QSC 62</w:t>
      </w:r>
      <w:r>
        <w:rPr>
          <w:noProof/>
        </w:rPr>
        <w:tab/>
        <w:t>175</w:t>
      </w:r>
    </w:p>
    <w:p w14:paraId="6699D6DA" w14:textId="77777777" w:rsidR="00D44BCF" w:rsidRDefault="00D44BCF">
      <w:pPr>
        <w:pStyle w:val="TableofAuthorities"/>
        <w:tabs>
          <w:tab w:val="right" w:leader="dot" w:pos="9061"/>
        </w:tabs>
        <w:rPr>
          <w:noProof/>
        </w:rPr>
      </w:pPr>
      <w:r w:rsidRPr="000A1327">
        <w:rPr>
          <w:rFonts w:cstheme="minorHAnsi"/>
          <w:i/>
          <w:noProof/>
        </w:rPr>
        <w:t>Cargnello v DPP (Cth)</w:t>
      </w:r>
      <w:r w:rsidRPr="000A1327">
        <w:rPr>
          <w:rFonts w:cstheme="minorHAnsi"/>
          <w:noProof/>
        </w:rPr>
        <w:t xml:space="preserve"> [2012] NSWCCA 162</w:t>
      </w:r>
      <w:r>
        <w:rPr>
          <w:noProof/>
        </w:rPr>
        <w:tab/>
        <w:t>75, 76</w:t>
      </w:r>
    </w:p>
    <w:p w14:paraId="36D453D2" w14:textId="77777777" w:rsidR="00D44BCF" w:rsidRDefault="00D44BCF">
      <w:pPr>
        <w:pStyle w:val="TableofAuthorities"/>
        <w:tabs>
          <w:tab w:val="right" w:leader="dot" w:pos="9061"/>
        </w:tabs>
        <w:rPr>
          <w:noProof/>
        </w:rPr>
      </w:pPr>
      <w:r w:rsidRPr="000A1327">
        <w:rPr>
          <w:rFonts w:cstheme="minorHAnsi"/>
          <w:i/>
          <w:noProof/>
        </w:rPr>
        <w:t xml:space="preserve">Carroll v R </w:t>
      </w:r>
      <w:r w:rsidRPr="000A1327">
        <w:rPr>
          <w:rFonts w:cstheme="minorHAnsi"/>
          <w:noProof/>
        </w:rPr>
        <w:t>[2011] VSCA 150</w:t>
      </w:r>
      <w:r>
        <w:rPr>
          <w:noProof/>
        </w:rPr>
        <w:tab/>
        <w:t>134, 154</w:t>
      </w:r>
    </w:p>
    <w:p w14:paraId="0AA064FA" w14:textId="77777777" w:rsidR="00D44BCF" w:rsidRDefault="00D44BCF">
      <w:pPr>
        <w:pStyle w:val="TableofAuthorities"/>
        <w:tabs>
          <w:tab w:val="right" w:leader="dot" w:pos="9061"/>
        </w:tabs>
        <w:rPr>
          <w:noProof/>
        </w:rPr>
      </w:pPr>
      <w:r w:rsidRPr="000A1327">
        <w:rPr>
          <w:rFonts w:cstheme="minorHAnsi"/>
          <w:i/>
          <w:noProof/>
        </w:rPr>
        <w:t>Channon v R</w:t>
      </w:r>
      <w:r w:rsidRPr="000A1327">
        <w:rPr>
          <w:rFonts w:cstheme="minorHAnsi"/>
          <w:noProof/>
        </w:rPr>
        <w:t xml:space="preserve"> (1978) 33 FLR 433</w:t>
      </w:r>
      <w:r>
        <w:rPr>
          <w:noProof/>
        </w:rPr>
        <w:tab/>
        <w:t>65</w:t>
      </w:r>
    </w:p>
    <w:p w14:paraId="464E7B73" w14:textId="77777777" w:rsidR="00D44BCF" w:rsidRDefault="00D44BCF">
      <w:pPr>
        <w:pStyle w:val="TableofAuthorities"/>
        <w:tabs>
          <w:tab w:val="right" w:leader="dot" w:pos="9061"/>
        </w:tabs>
        <w:rPr>
          <w:noProof/>
        </w:rPr>
      </w:pPr>
      <w:r w:rsidRPr="000A1327">
        <w:rPr>
          <w:rFonts w:cstheme="minorHAnsi"/>
          <w:i/>
          <w:noProof/>
        </w:rPr>
        <w:t>Charkawi v R</w:t>
      </w:r>
      <w:r w:rsidRPr="000A1327">
        <w:rPr>
          <w:rFonts w:cstheme="minorHAnsi"/>
          <w:noProof/>
        </w:rPr>
        <w:t xml:space="preserve"> [2008] NSWCCA 159</w:t>
      </w:r>
      <w:r>
        <w:rPr>
          <w:noProof/>
        </w:rPr>
        <w:tab/>
        <w:t>52, 200</w:t>
      </w:r>
    </w:p>
    <w:p w14:paraId="4BE2C032" w14:textId="77777777" w:rsidR="00D44BCF" w:rsidRDefault="00D44BCF">
      <w:pPr>
        <w:pStyle w:val="TableofAuthorities"/>
        <w:tabs>
          <w:tab w:val="right" w:leader="dot" w:pos="9061"/>
        </w:tabs>
        <w:rPr>
          <w:noProof/>
        </w:rPr>
      </w:pPr>
      <w:r w:rsidRPr="000A1327">
        <w:rPr>
          <w:rFonts w:cstheme="minorHAnsi"/>
          <w:i/>
          <w:noProof/>
        </w:rPr>
        <w:t>Cheng v R</w:t>
      </w:r>
      <w:r w:rsidRPr="000A1327">
        <w:rPr>
          <w:rFonts w:cstheme="minorHAnsi"/>
          <w:noProof/>
        </w:rPr>
        <w:t xml:space="preserve"> (2000) 203 CLR 248</w:t>
      </w:r>
      <w:r>
        <w:rPr>
          <w:noProof/>
        </w:rPr>
        <w:tab/>
        <w:t>22</w:t>
      </w:r>
    </w:p>
    <w:p w14:paraId="54F41AB3" w14:textId="77777777" w:rsidR="00D44BCF" w:rsidRDefault="00D44BCF">
      <w:pPr>
        <w:pStyle w:val="TableofAuthorities"/>
        <w:tabs>
          <w:tab w:val="right" w:leader="dot" w:pos="9061"/>
        </w:tabs>
        <w:rPr>
          <w:noProof/>
        </w:rPr>
      </w:pPr>
      <w:r w:rsidRPr="000A1327">
        <w:rPr>
          <w:rFonts w:cstheme="minorHAnsi"/>
          <w:i/>
          <w:noProof/>
        </w:rPr>
        <w:t>Cheung v R</w:t>
      </w:r>
      <w:r w:rsidRPr="000A1327">
        <w:rPr>
          <w:rFonts w:cstheme="minorHAnsi"/>
          <w:noProof/>
        </w:rPr>
        <w:t xml:space="preserve"> (2001) 209 CLR 1</w:t>
      </w:r>
      <w:r>
        <w:rPr>
          <w:noProof/>
        </w:rPr>
        <w:tab/>
        <w:t>23</w:t>
      </w:r>
    </w:p>
    <w:p w14:paraId="33B12B61" w14:textId="77777777" w:rsidR="00D44BCF" w:rsidRDefault="00D44BCF">
      <w:pPr>
        <w:pStyle w:val="TableofAuthorities"/>
        <w:tabs>
          <w:tab w:val="right" w:leader="dot" w:pos="9061"/>
        </w:tabs>
        <w:rPr>
          <w:noProof/>
        </w:rPr>
      </w:pPr>
      <w:r w:rsidRPr="000A1327">
        <w:rPr>
          <w:rFonts w:cstheme="minorHAnsi"/>
          <w:i/>
          <w:noProof/>
        </w:rPr>
        <w:t>Chol v R</w:t>
      </w:r>
      <w:r w:rsidRPr="000A1327">
        <w:rPr>
          <w:rFonts w:cstheme="minorHAnsi"/>
          <w:noProof/>
        </w:rPr>
        <w:t xml:space="preserve"> [2016] VSCA 252</w:t>
      </w:r>
      <w:r>
        <w:rPr>
          <w:noProof/>
        </w:rPr>
        <w:tab/>
        <w:t>56</w:t>
      </w:r>
    </w:p>
    <w:p w14:paraId="2EDA06B9" w14:textId="77777777" w:rsidR="00D44BCF" w:rsidRDefault="00D44BCF">
      <w:pPr>
        <w:pStyle w:val="TableofAuthorities"/>
        <w:tabs>
          <w:tab w:val="right" w:leader="dot" w:pos="9061"/>
        </w:tabs>
        <w:rPr>
          <w:noProof/>
        </w:rPr>
      </w:pPr>
      <w:r w:rsidRPr="000A1327">
        <w:rPr>
          <w:rFonts w:cstheme="minorHAnsi"/>
          <w:i/>
          <w:noProof/>
        </w:rPr>
        <w:t>CL</w:t>
      </w:r>
      <w:r w:rsidRPr="000A1327">
        <w:rPr>
          <w:rFonts w:cstheme="minorHAnsi"/>
          <w:noProof/>
        </w:rPr>
        <w:t xml:space="preserve"> v </w:t>
      </w:r>
      <w:r w:rsidRPr="000A1327">
        <w:rPr>
          <w:rFonts w:cstheme="minorHAnsi"/>
          <w:i/>
          <w:noProof/>
        </w:rPr>
        <w:t>DPP</w:t>
      </w:r>
      <w:r w:rsidRPr="000A1327">
        <w:rPr>
          <w:rFonts w:cstheme="minorHAnsi"/>
          <w:noProof/>
        </w:rPr>
        <w:t xml:space="preserve"> [2011] VSCA 227</w:t>
      </w:r>
      <w:r>
        <w:rPr>
          <w:noProof/>
        </w:rPr>
        <w:tab/>
        <w:t>224</w:t>
      </w:r>
    </w:p>
    <w:p w14:paraId="7D40C2EA" w14:textId="77777777" w:rsidR="00D44BCF" w:rsidRDefault="00D44BCF">
      <w:pPr>
        <w:pStyle w:val="TableofAuthorities"/>
        <w:tabs>
          <w:tab w:val="right" w:leader="dot" w:pos="9061"/>
        </w:tabs>
        <w:rPr>
          <w:noProof/>
        </w:rPr>
      </w:pPr>
      <w:r w:rsidRPr="000A1327">
        <w:rPr>
          <w:rFonts w:cstheme="minorHAnsi"/>
          <w:i/>
          <w:noProof/>
        </w:rPr>
        <w:t>Clarkson v R</w:t>
      </w:r>
      <w:r w:rsidRPr="000A1327">
        <w:rPr>
          <w:rFonts w:cstheme="minorHAnsi"/>
          <w:noProof/>
        </w:rPr>
        <w:t xml:space="preserve"> [2007] NSWCCA 70</w:t>
      </w:r>
      <w:r>
        <w:rPr>
          <w:noProof/>
        </w:rPr>
        <w:tab/>
        <w:t>256</w:t>
      </w:r>
    </w:p>
    <w:p w14:paraId="388297CD" w14:textId="77777777" w:rsidR="00D44BCF" w:rsidRDefault="00D44BCF">
      <w:pPr>
        <w:pStyle w:val="TableofAuthorities"/>
        <w:tabs>
          <w:tab w:val="right" w:leader="dot" w:pos="9061"/>
        </w:tabs>
        <w:rPr>
          <w:noProof/>
        </w:rPr>
      </w:pPr>
      <w:r w:rsidRPr="000A1327">
        <w:rPr>
          <w:rFonts w:cstheme="minorHAnsi"/>
          <w:i/>
          <w:noProof/>
        </w:rPr>
        <w:t>Clarkson v Western Australia</w:t>
      </w:r>
      <w:r w:rsidRPr="000A1327">
        <w:rPr>
          <w:rFonts w:cstheme="minorHAnsi"/>
          <w:noProof/>
        </w:rPr>
        <w:t xml:space="preserve"> [2006] WASCA 250</w:t>
      </w:r>
      <w:r>
        <w:rPr>
          <w:noProof/>
        </w:rPr>
        <w:tab/>
        <w:t>202</w:t>
      </w:r>
    </w:p>
    <w:p w14:paraId="050652A4" w14:textId="77777777" w:rsidR="00D44BCF" w:rsidRDefault="00D44BCF">
      <w:pPr>
        <w:pStyle w:val="TableofAuthorities"/>
        <w:tabs>
          <w:tab w:val="right" w:leader="dot" w:pos="9061"/>
        </w:tabs>
        <w:rPr>
          <w:noProof/>
        </w:rPr>
      </w:pPr>
      <w:r w:rsidRPr="000A1327">
        <w:rPr>
          <w:rFonts w:cstheme="minorHAnsi"/>
          <w:i/>
          <w:noProof/>
        </w:rPr>
        <w:t>Clayton v Mulcahy</w:t>
      </w:r>
      <w:r w:rsidRPr="000A1327">
        <w:rPr>
          <w:rFonts w:cstheme="minorHAnsi"/>
          <w:noProof/>
        </w:rPr>
        <w:t xml:space="preserve"> [1990] TASSC 25</w:t>
      </w:r>
      <w:r>
        <w:rPr>
          <w:noProof/>
        </w:rPr>
        <w:tab/>
        <w:t>123</w:t>
      </w:r>
    </w:p>
    <w:p w14:paraId="5E9D15C6" w14:textId="77777777" w:rsidR="00D44BCF" w:rsidRDefault="00D44BCF">
      <w:pPr>
        <w:pStyle w:val="TableofAuthorities"/>
        <w:tabs>
          <w:tab w:val="right" w:leader="dot" w:pos="9061"/>
        </w:tabs>
        <w:rPr>
          <w:noProof/>
        </w:rPr>
      </w:pPr>
      <w:r w:rsidRPr="000A1327">
        <w:rPr>
          <w:rFonts w:cstheme="minorHAnsi"/>
          <w:i/>
          <w:noProof/>
        </w:rPr>
        <w:t>CMB v Attorney-General (NSW)</w:t>
      </w:r>
      <w:r w:rsidRPr="000A1327">
        <w:rPr>
          <w:rFonts w:cstheme="minorHAnsi"/>
          <w:noProof/>
        </w:rPr>
        <w:t xml:space="preserve"> (2015) 256 CLR 356</w:t>
      </w:r>
      <w:r>
        <w:rPr>
          <w:noProof/>
        </w:rPr>
        <w:tab/>
        <w:t>184, 188, 191</w:t>
      </w:r>
    </w:p>
    <w:p w14:paraId="4B592F9C" w14:textId="77777777" w:rsidR="00D44BCF" w:rsidRDefault="00D44BCF">
      <w:pPr>
        <w:pStyle w:val="TableofAuthorities"/>
        <w:tabs>
          <w:tab w:val="right" w:leader="dot" w:pos="9061"/>
        </w:tabs>
        <w:rPr>
          <w:noProof/>
        </w:rPr>
      </w:pPr>
      <w:r w:rsidRPr="000A1327">
        <w:rPr>
          <w:rFonts w:cstheme="minorHAnsi"/>
          <w:i/>
          <w:noProof/>
        </w:rPr>
        <w:t>CNK v R</w:t>
      </w:r>
      <w:r w:rsidRPr="000A1327">
        <w:rPr>
          <w:rFonts w:cstheme="minorHAnsi"/>
          <w:noProof/>
        </w:rPr>
        <w:t xml:space="preserve"> (2011) 32 VR 641</w:t>
      </w:r>
      <w:r>
        <w:rPr>
          <w:noProof/>
        </w:rPr>
        <w:tab/>
        <w:t>220</w:t>
      </w:r>
    </w:p>
    <w:p w14:paraId="378455FB" w14:textId="77777777" w:rsidR="00D44BCF" w:rsidRDefault="00D44BCF">
      <w:pPr>
        <w:pStyle w:val="TableofAuthorities"/>
        <w:tabs>
          <w:tab w:val="right" w:leader="dot" w:pos="9061"/>
        </w:tabs>
        <w:rPr>
          <w:noProof/>
        </w:rPr>
      </w:pPr>
      <w:r w:rsidRPr="000A1327">
        <w:rPr>
          <w:rFonts w:cstheme="minorHAnsi"/>
          <w:bCs/>
          <w:i/>
          <w:iCs/>
          <w:noProof/>
        </w:rPr>
        <w:t>Commissioner of Taxation v Baffsky</w:t>
      </w:r>
      <w:r w:rsidRPr="000A1327">
        <w:rPr>
          <w:rFonts w:cstheme="minorHAnsi"/>
          <w:noProof/>
        </w:rPr>
        <w:t xml:space="preserve"> [2001] NSWCCA 332</w:t>
      </w:r>
      <w:r>
        <w:rPr>
          <w:noProof/>
        </w:rPr>
        <w:tab/>
        <w:t>57, 60, 96, 97, 98</w:t>
      </w:r>
    </w:p>
    <w:p w14:paraId="6AE33DA5" w14:textId="77777777" w:rsidR="00D44BCF" w:rsidRDefault="00D44BCF">
      <w:pPr>
        <w:pStyle w:val="TableofAuthorities"/>
        <w:tabs>
          <w:tab w:val="right" w:leader="dot" w:pos="9061"/>
        </w:tabs>
        <w:rPr>
          <w:noProof/>
        </w:rPr>
      </w:pPr>
      <w:r w:rsidRPr="000A1327">
        <w:rPr>
          <w:rFonts w:cstheme="minorHAnsi"/>
          <w:i/>
          <w:noProof/>
        </w:rPr>
        <w:t xml:space="preserve">Commissioner of Taxation v Doudle </w:t>
      </w:r>
      <w:r w:rsidRPr="000A1327">
        <w:rPr>
          <w:rFonts w:cstheme="minorHAnsi"/>
          <w:noProof/>
        </w:rPr>
        <w:t>[2005] SASC 442</w:t>
      </w:r>
      <w:r>
        <w:rPr>
          <w:noProof/>
        </w:rPr>
        <w:tab/>
        <w:t>179</w:t>
      </w:r>
    </w:p>
    <w:p w14:paraId="2AC0DD60" w14:textId="77777777" w:rsidR="00D44BCF" w:rsidRDefault="00D44BCF">
      <w:pPr>
        <w:pStyle w:val="TableofAuthorities"/>
        <w:tabs>
          <w:tab w:val="right" w:leader="dot" w:pos="9061"/>
        </w:tabs>
        <w:rPr>
          <w:noProof/>
        </w:rPr>
      </w:pPr>
      <w:r w:rsidRPr="000A1327">
        <w:rPr>
          <w:rFonts w:cstheme="minorHAnsi"/>
          <w:i/>
          <w:noProof/>
        </w:rPr>
        <w:t>Commonwealth v Fair Work Building Industry Inspectorate</w:t>
      </w:r>
      <w:r w:rsidRPr="000A1327">
        <w:rPr>
          <w:rFonts w:cstheme="minorHAnsi"/>
          <w:noProof/>
        </w:rPr>
        <w:t xml:space="preserve"> (2015) 258 CLR 482</w:t>
      </w:r>
      <w:r>
        <w:rPr>
          <w:noProof/>
        </w:rPr>
        <w:tab/>
        <w:t>184</w:t>
      </w:r>
    </w:p>
    <w:p w14:paraId="43F97E39" w14:textId="77777777" w:rsidR="00D44BCF" w:rsidRDefault="00D44BCF">
      <w:pPr>
        <w:pStyle w:val="TableofAuthorities"/>
        <w:tabs>
          <w:tab w:val="right" w:leader="dot" w:pos="9061"/>
        </w:tabs>
        <w:rPr>
          <w:noProof/>
        </w:rPr>
      </w:pPr>
      <w:r w:rsidRPr="000A1327">
        <w:rPr>
          <w:rFonts w:cstheme="minorHAnsi"/>
          <w:i/>
          <w:noProof/>
        </w:rPr>
        <w:t>Commonwealth</w:t>
      </w:r>
      <w:r w:rsidRPr="000A1327">
        <w:rPr>
          <w:rFonts w:cstheme="minorHAnsi"/>
          <w:i/>
          <w:iCs/>
          <w:noProof/>
        </w:rPr>
        <w:t xml:space="preserve"> v </w:t>
      </w:r>
      <w:r w:rsidRPr="000A1327">
        <w:rPr>
          <w:rFonts w:cstheme="minorHAnsi"/>
          <w:i/>
          <w:noProof/>
        </w:rPr>
        <w:t>Mewett</w:t>
      </w:r>
      <w:r w:rsidRPr="000A1327">
        <w:rPr>
          <w:rFonts w:cstheme="minorHAnsi"/>
          <w:noProof/>
        </w:rPr>
        <w:t xml:space="preserve"> (1997) 191 CLR 471</w:t>
      </w:r>
      <w:r>
        <w:rPr>
          <w:noProof/>
        </w:rPr>
        <w:tab/>
        <w:t>6</w:t>
      </w:r>
    </w:p>
    <w:p w14:paraId="556C1C15" w14:textId="77777777" w:rsidR="00D44BCF" w:rsidRDefault="00D44BCF">
      <w:pPr>
        <w:pStyle w:val="TableofAuthorities"/>
        <w:tabs>
          <w:tab w:val="right" w:leader="dot" w:pos="9061"/>
        </w:tabs>
        <w:rPr>
          <w:noProof/>
        </w:rPr>
      </w:pPr>
      <w:r w:rsidRPr="000A1327">
        <w:rPr>
          <w:rFonts w:cstheme="minorHAnsi"/>
          <w:i/>
          <w:noProof/>
        </w:rPr>
        <w:t xml:space="preserve">Crawley v R </w:t>
      </w:r>
      <w:r w:rsidRPr="000A1327">
        <w:rPr>
          <w:rFonts w:cstheme="minorHAnsi"/>
          <w:noProof/>
        </w:rPr>
        <w:t>(1981) 36 ALR 241</w:t>
      </w:r>
      <w:r>
        <w:rPr>
          <w:noProof/>
        </w:rPr>
        <w:tab/>
        <w:t>71, 72</w:t>
      </w:r>
    </w:p>
    <w:p w14:paraId="2F7E477E" w14:textId="77777777" w:rsidR="00D44BCF" w:rsidRDefault="00D44BCF">
      <w:pPr>
        <w:pStyle w:val="TableofAuthorities"/>
        <w:tabs>
          <w:tab w:val="right" w:leader="dot" w:pos="9061"/>
        </w:tabs>
        <w:rPr>
          <w:noProof/>
        </w:rPr>
      </w:pPr>
      <w:r w:rsidRPr="000A1327">
        <w:rPr>
          <w:rFonts w:cstheme="minorHAnsi"/>
          <w:i/>
          <w:noProof/>
        </w:rPr>
        <w:t>Cummins (a pseudonym) v R</w:t>
      </w:r>
      <w:r w:rsidRPr="000A1327">
        <w:rPr>
          <w:rFonts w:cstheme="minorHAnsi"/>
          <w:noProof/>
        </w:rPr>
        <w:t xml:space="preserve"> (2013) 40 VR 319</w:t>
      </w:r>
      <w:r>
        <w:rPr>
          <w:noProof/>
        </w:rPr>
        <w:tab/>
        <w:t>30, 202</w:t>
      </w:r>
    </w:p>
    <w:p w14:paraId="1A897BE6" w14:textId="77777777" w:rsidR="00D44BCF" w:rsidRDefault="00D44BCF">
      <w:pPr>
        <w:pStyle w:val="TableofAuthorities"/>
        <w:tabs>
          <w:tab w:val="right" w:leader="dot" w:pos="9061"/>
        </w:tabs>
        <w:rPr>
          <w:noProof/>
        </w:rPr>
      </w:pPr>
      <w:r w:rsidRPr="000A1327">
        <w:rPr>
          <w:rFonts w:cstheme="minorHAnsi"/>
          <w:i/>
          <w:noProof/>
        </w:rPr>
        <w:t>Customs v Labrador Liquor Wholesale Pty Ltd</w:t>
      </w:r>
      <w:r w:rsidRPr="000A1327">
        <w:rPr>
          <w:rFonts w:cstheme="minorHAnsi"/>
          <w:noProof/>
        </w:rPr>
        <w:t xml:space="preserve"> [2006] QCA 558</w:t>
      </w:r>
      <w:r>
        <w:rPr>
          <w:noProof/>
        </w:rPr>
        <w:tab/>
        <w:t>110, 181</w:t>
      </w:r>
    </w:p>
    <w:p w14:paraId="2762F934" w14:textId="77777777" w:rsidR="00D44BCF" w:rsidRDefault="00D44BCF">
      <w:pPr>
        <w:pStyle w:val="TableofAuthorities"/>
        <w:tabs>
          <w:tab w:val="right" w:leader="dot" w:pos="9061"/>
        </w:tabs>
        <w:rPr>
          <w:noProof/>
        </w:rPr>
      </w:pPr>
      <w:r w:rsidRPr="000A1327">
        <w:rPr>
          <w:rFonts w:cstheme="minorHAnsi"/>
          <w:i/>
          <w:noProof/>
        </w:rPr>
        <w:t>Customs v Rota Tech Pty Ltd</w:t>
      </w:r>
      <w:r w:rsidRPr="000A1327">
        <w:rPr>
          <w:rFonts w:cstheme="minorHAnsi"/>
          <w:noProof/>
        </w:rPr>
        <w:t xml:space="preserve"> [1999] SASC 64</w:t>
      </w:r>
      <w:r>
        <w:rPr>
          <w:noProof/>
        </w:rPr>
        <w:tab/>
        <w:t>110</w:t>
      </w:r>
    </w:p>
    <w:p w14:paraId="1AFF00C8" w14:textId="77777777" w:rsidR="00D44BCF" w:rsidRDefault="00D44BCF">
      <w:pPr>
        <w:pStyle w:val="TableofAuthorities"/>
        <w:tabs>
          <w:tab w:val="right" w:leader="dot" w:pos="9061"/>
        </w:tabs>
        <w:rPr>
          <w:noProof/>
        </w:rPr>
      </w:pPr>
      <w:r w:rsidRPr="000A1327">
        <w:rPr>
          <w:rFonts w:cstheme="minorHAnsi"/>
          <w:bCs/>
          <w:i/>
          <w:iCs/>
          <w:noProof/>
        </w:rPr>
        <w:t>Cuthbertson v R</w:t>
      </w:r>
      <w:r w:rsidRPr="000A1327">
        <w:rPr>
          <w:rFonts w:cstheme="minorHAnsi"/>
          <w:bCs/>
          <w:noProof/>
        </w:rPr>
        <w:t xml:space="preserve"> [2019] VSCA 104</w:t>
      </w:r>
      <w:r>
        <w:rPr>
          <w:noProof/>
        </w:rPr>
        <w:tab/>
        <w:t>49</w:t>
      </w:r>
    </w:p>
    <w:p w14:paraId="43CDB7AC" w14:textId="77777777" w:rsidR="00D44BCF" w:rsidRDefault="00D44BCF">
      <w:pPr>
        <w:pStyle w:val="TableofAuthorities"/>
        <w:tabs>
          <w:tab w:val="right" w:leader="dot" w:pos="9061"/>
        </w:tabs>
        <w:rPr>
          <w:noProof/>
        </w:rPr>
      </w:pPr>
      <w:r w:rsidRPr="000A1327">
        <w:rPr>
          <w:rFonts w:cstheme="minorHAnsi"/>
          <w:i/>
          <w:noProof/>
        </w:rPr>
        <w:t>D151 v New South Wales Crime Commission</w:t>
      </w:r>
      <w:r w:rsidRPr="000A1327">
        <w:rPr>
          <w:rFonts w:cstheme="minorHAnsi"/>
          <w:noProof/>
        </w:rPr>
        <w:t xml:space="preserve"> (2017) 94 NSWLR 738</w:t>
      </w:r>
      <w:r>
        <w:rPr>
          <w:noProof/>
        </w:rPr>
        <w:tab/>
        <w:t>19, 216</w:t>
      </w:r>
    </w:p>
    <w:p w14:paraId="460C121B" w14:textId="77777777" w:rsidR="00D44BCF" w:rsidRDefault="00D44BCF">
      <w:pPr>
        <w:pStyle w:val="TableofAuthorities"/>
        <w:tabs>
          <w:tab w:val="right" w:leader="dot" w:pos="9061"/>
        </w:tabs>
        <w:rPr>
          <w:noProof/>
        </w:rPr>
      </w:pPr>
      <w:r w:rsidRPr="000A1327">
        <w:rPr>
          <w:rFonts w:cstheme="minorHAnsi"/>
          <w:i/>
          <w:noProof/>
          <w:lang w:val="en-US"/>
        </w:rPr>
        <w:t>Da Costa v R</w:t>
      </w:r>
      <w:r w:rsidRPr="000A1327">
        <w:rPr>
          <w:rFonts w:cstheme="minorHAnsi"/>
          <w:noProof/>
          <w:lang w:val="en-US"/>
        </w:rPr>
        <w:t xml:space="preserve"> [2016] VSCA 49</w:t>
      </w:r>
      <w:r>
        <w:rPr>
          <w:noProof/>
        </w:rPr>
        <w:tab/>
        <w:t>79</w:t>
      </w:r>
    </w:p>
    <w:p w14:paraId="581F80BB" w14:textId="77777777" w:rsidR="00D44BCF" w:rsidRDefault="00D44BCF">
      <w:pPr>
        <w:pStyle w:val="TableofAuthorities"/>
        <w:tabs>
          <w:tab w:val="right" w:leader="dot" w:pos="9061"/>
        </w:tabs>
        <w:rPr>
          <w:noProof/>
        </w:rPr>
      </w:pPr>
      <w:r w:rsidRPr="000A1327">
        <w:rPr>
          <w:rFonts w:cstheme="minorHAnsi"/>
          <w:i/>
          <w:noProof/>
        </w:rPr>
        <w:t>Dadson v O’Brien</w:t>
      </w:r>
      <w:r w:rsidRPr="000A1327">
        <w:rPr>
          <w:rFonts w:cstheme="minorHAnsi"/>
          <w:noProof/>
        </w:rPr>
        <w:t xml:space="preserve"> [1998] TASSC 75</w:t>
      </w:r>
      <w:r>
        <w:rPr>
          <w:noProof/>
        </w:rPr>
        <w:tab/>
        <w:t>123</w:t>
      </w:r>
    </w:p>
    <w:p w14:paraId="4B9A677D" w14:textId="77777777" w:rsidR="00D44BCF" w:rsidRDefault="00D44BCF">
      <w:pPr>
        <w:pStyle w:val="TableofAuthorities"/>
        <w:tabs>
          <w:tab w:val="right" w:leader="dot" w:pos="9061"/>
        </w:tabs>
        <w:rPr>
          <w:noProof/>
        </w:rPr>
      </w:pPr>
      <w:r w:rsidRPr="000A1327">
        <w:rPr>
          <w:rFonts w:cstheme="minorHAnsi"/>
          <w:i/>
          <w:noProof/>
        </w:rPr>
        <w:t>Dagher v R</w:t>
      </w:r>
      <w:r w:rsidRPr="000A1327">
        <w:rPr>
          <w:rFonts w:cstheme="minorHAnsi"/>
          <w:noProof/>
        </w:rPr>
        <w:t xml:space="preserve"> [2017] NSWCCA 258</w:t>
      </w:r>
      <w:r>
        <w:rPr>
          <w:noProof/>
        </w:rPr>
        <w:tab/>
        <w:t>199</w:t>
      </w:r>
    </w:p>
    <w:p w14:paraId="7D811347" w14:textId="77777777" w:rsidR="00D44BCF" w:rsidRDefault="00D44BCF">
      <w:pPr>
        <w:pStyle w:val="TableofAuthorities"/>
        <w:tabs>
          <w:tab w:val="right" w:leader="dot" w:pos="9061"/>
        </w:tabs>
        <w:rPr>
          <w:noProof/>
        </w:rPr>
      </w:pPr>
      <w:r w:rsidRPr="000A1327">
        <w:rPr>
          <w:rFonts w:cstheme="minorHAnsi"/>
          <w:i/>
          <w:noProof/>
        </w:rPr>
        <w:t xml:space="preserve">Darcie v R </w:t>
      </w:r>
      <w:r w:rsidRPr="000A1327">
        <w:rPr>
          <w:rFonts w:cstheme="minorHAnsi"/>
          <w:noProof/>
        </w:rPr>
        <w:t>[2012] VSCA 11</w:t>
      </w:r>
      <w:r>
        <w:rPr>
          <w:noProof/>
        </w:rPr>
        <w:tab/>
        <w:t>78, 79</w:t>
      </w:r>
    </w:p>
    <w:p w14:paraId="5BCD8812" w14:textId="77777777" w:rsidR="00D44BCF" w:rsidRDefault="00D44BCF">
      <w:pPr>
        <w:pStyle w:val="TableofAuthorities"/>
        <w:tabs>
          <w:tab w:val="right" w:leader="dot" w:pos="9061"/>
        </w:tabs>
        <w:rPr>
          <w:noProof/>
        </w:rPr>
      </w:pPr>
      <w:r w:rsidRPr="000A1327">
        <w:rPr>
          <w:rFonts w:cstheme="minorHAnsi"/>
          <w:i/>
          <w:noProof/>
        </w:rPr>
        <w:t>Darter v Diden</w:t>
      </w:r>
      <w:r w:rsidRPr="000A1327">
        <w:rPr>
          <w:rFonts w:cstheme="minorHAnsi"/>
          <w:noProof/>
        </w:rPr>
        <w:t xml:space="preserve"> (2006) 94 SASR 505</w:t>
      </w:r>
      <w:r>
        <w:rPr>
          <w:noProof/>
        </w:rPr>
        <w:tab/>
        <w:t>110</w:t>
      </w:r>
    </w:p>
    <w:p w14:paraId="76EA0F59" w14:textId="77777777" w:rsidR="00D44BCF" w:rsidRDefault="00D44BCF">
      <w:pPr>
        <w:pStyle w:val="TableofAuthorities"/>
        <w:tabs>
          <w:tab w:val="right" w:leader="dot" w:pos="9061"/>
        </w:tabs>
        <w:rPr>
          <w:noProof/>
        </w:rPr>
      </w:pPr>
      <w:r w:rsidRPr="000A1327">
        <w:rPr>
          <w:rFonts w:cstheme="minorHAnsi"/>
          <w:i/>
          <w:noProof/>
        </w:rPr>
        <w:t xml:space="preserve">Dauphin v R </w:t>
      </w:r>
      <w:r w:rsidRPr="000A1327">
        <w:rPr>
          <w:rFonts w:cstheme="minorHAnsi"/>
          <w:noProof/>
        </w:rPr>
        <w:t>[2002] WASCA 104</w:t>
      </w:r>
      <w:r>
        <w:rPr>
          <w:noProof/>
        </w:rPr>
        <w:tab/>
        <w:t>77, 78</w:t>
      </w:r>
    </w:p>
    <w:p w14:paraId="0C5BD05B" w14:textId="77777777" w:rsidR="00D44BCF" w:rsidRDefault="00D44BCF">
      <w:pPr>
        <w:pStyle w:val="TableofAuthorities"/>
        <w:tabs>
          <w:tab w:val="right" w:leader="dot" w:pos="9061"/>
        </w:tabs>
        <w:rPr>
          <w:noProof/>
        </w:rPr>
      </w:pPr>
      <w:r w:rsidRPr="000A1327">
        <w:rPr>
          <w:rFonts w:cstheme="minorHAnsi"/>
          <w:i/>
          <w:noProof/>
        </w:rPr>
        <w:t>Day v R</w:t>
      </w:r>
      <w:r w:rsidRPr="000A1327">
        <w:rPr>
          <w:rFonts w:cstheme="minorHAnsi"/>
          <w:noProof/>
        </w:rPr>
        <w:t xml:space="preserve"> [2011] VSCA 243</w:t>
      </w:r>
      <w:r>
        <w:rPr>
          <w:noProof/>
        </w:rPr>
        <w:tab/>
        <w:t>71, 72</w:t>
      </w:r>
    </w:p>
    <w:p w14:paraId="3954F2D3" w14:textId="77777777" w:rsidR="00D44BCF" w:rsidRDefault="00D44BCF">
      <w:pPr>
        <w:pStyle w:val="TableofAuthorities"/>
        <w:tabs>
          <w:tab w:val="right" w:leader="dot" w:pos="9061"/>
        </w:tabs>
        <w:rPr>
          <w:noProof/>
        </w:rPr>
      </w:pPr>
      <w:r w:rsidRPr="000A1327">
        <w:rPr>
          <w:rFonts w:cstheme="minorHAnsi"/>
          <w:i/>
          <w:noProof/>
        </w:rPr>
        <w:t>De Costa v R</w:t>
      </w:r>
      <w:r w:rsidRPr="000A1327">
        <w:rPr>
          <w:rFonts w:cstheme="minorHAnsi"/>
          <w:noProof/>
        </w:rPr>
        <w:t xml:space="preserve"> [2016] VSCA 49</w:t>
      </w:r>
      <w:r>
        <w:rPr>
          <w:noProof/>
        </w:rPr>
        <w:tab/>
        <w:t>78</w:t>
      </w:r>
    </w:p>
    <w:p w14:paraId="0AF4523C" w14:textId="77777777" w:rsidR="00D44BCF" w:rsidRDefault="00D44BCF">
      <w:pPr>
        <w:pStyle w:val="TableofAuthorities"/>
        <w:tabs>
          <w:tab w:val="right" w:leader="dot" w:pos="9061"/>
        </w:tabs>
        <w:rPr>
          <w:noProof/>
        </w:rPr>
      </w:pPr>
      <w:r w:rsidRPr="000A1327">
        <w:rPr>
          <w:rFonts w:cstheme="minorHAnsi"/>
          <w:i/>
          <w:noProof/>
        </w:rPr>
        <w:t>De Faria</w:t>
      </w:r>
      <w:r w:rsidRPr="000A1327">
        <w:rPr>
          <w:rFonts w:cstheme="minorHAnsi"/>
          <w:noProof/>
        </w:rPr>
        <w:t xml:space="preserve"> </w:t>
      </w:r>
      <w:r w:rsidRPr="000A1327">
        <w:rPr>
          <w:rFonts w:cstheme="minorHAnsi"/>
          <w:i/>
          <w:noProof/>
        </w:rPr>
        <w:t>v Western Australia</w:t>
      </w:r>
      <w:r w:rsidRPr="000A1327">
        <w:rPr>
          <w:rFonts w:cstheme="minorHAnsi"/>
          <w:noProof/>
        </w:rPr>
        <w:t xml:space="preserve"> [2013] WASCA 116</w:t>
      </w:r>
      <w:r>
        <w:rPr>
          <w:noProof/>
        </w:rPr>
        <w:tab/>
        <w:t>58, 62, 141</w:t>
      </w:r>
    </w:p>
    <w:p w14:paraId="5A038982" w14:textId="77777777" w:rsidR="00D44BCF" w:rsidRDefault="00D44BCF">
      <w:pPr>
        <w:pStyle w:val="TableofAuthorities"/>
        <w:tabs>
          <w:tab w:val="right" w:leader="dot" w:pos="9061"/>
        </w:tabs>
        <w:rPr>
          <w:noProof/>
        </w:rPr>
      </w:pPr>
      <w:r w:rsidRPr="000A1327">
        <w:rPr>
          <w:rFonts w:cstheme="minorHAnsi"/>
          <w:i/>
          <w:noProof/>
        </w:rPr>
        <w:t>de la Espriella-Velasco v R</w:t>
      </w:r>
      <w:r w:rsidRPr="000A1327">
        <w:rPr>
          <w:rFonts w:cstheme="minorHAnsi"/>
          <w:noProof/>
        </w:rPr>
        <w:t xml:space="preserve"> (2006) 31 WAR 291</w:t>
      </w:r>
      <w:r>
        <w:rPr>
          <w:noProof/>
        </w:rPr>
        <w:tab/>
        <w:t>43</w:t>
      </w:r>
    </w:p>
    <w:p w14:paraId="54BF2587" w14:textId="77777777" w:rsidR="00D44BCF" w:rsidRDefault="00D44BCF">
      <w:pPr>
        <w:pStyle w:val="TableofAuthorities"/>
        <w:tabs>
          <w:tab w:val="right" w:leader="dot" w:pos="9061"/>
        </w:tabs>
        <w:rPr>
          <w:noProof/>
        </w:rPr>
      </w:pPr>
      <w:r w:rsidRPr="000A1327">
        <w:rPr>
          <w:rFonts w:cstheme="minorHAnsi"/>
          <w:i/>
          <w:noProof/>
        </w:rPr>
        <w:t xml:space="preserve">Deakes v R </w:t>
      </w:r>
      <w:r w:rsidRPr="000A1327">
        <w:rPr>
          <w:rFonts w:cstheme="minorHAnsi"/>
          <w:noProof/>
        </w:rPr>
        <w:t>[2002] VSCA 136</w:t>
      </w:r>
      <w:r>
        <w:rPr>
          <w:noProof/>
        </w:rPr>
        <w:tab/>
        <w:t>74</w:t>
      </w:r>
    </w:p>
    <w:p w14:paraId="440F9C10" w14:textId="77777777" w:rsidR="00D44BCF" w:rsidRDefault="00D44BCF">
      <w:pPr>
        <w:pStyle w:val="TableofAuthorities"/>
        <w:tabs>
          <w:tab w:val="right" w:leader="dot" w:pos="9061"/>
        </w:tabs>
        <w:rPr>
          <w:noProof/>
        </w:rPr>
      </w:pPr>
      <w:r w:rsidRPr="000A1327">
        <w:rPr>
          <w:rFonts w:cstheme="minorHAnsi"/>
          <w:i/>
          <w:noProof/>
        </w:rPr>
        <w:t>Deakin v R</w:t>
      </w:r>
      <w:r w:rsidRPr="000A1327">
        <w:rPr>
          <w:rFonts w:cstheme="minorHAnsi"/>
          <w:noProof/>
        </w:rPr>
        <w:t xml:space="preserve"> (1984) 58 ALJR 367</w:t>
      </w:r>
      <w:r>
        <w:rPr>
          <w:noProof/>
        </w:rPr>
        <w:tab/>
        <w:t>141</w:t>
      </w:r>
    </w:p>
    <w:p w14:paraId="25E2DA7F" w14:textId="77777777" w:rsidR="00D44BCF" w:rsidRDefault="00D44BCF">
      <w:pPr>
        <w:pStyle w:val="TableofAuthorities"/>
        <w:tabs>
          <w:tab w:val="right" w:leader="dot" w:pos="9061"/>
        </w:tabs>
        <w:rPr>
          <w:noProof/>
        </w:rPr>
      </w:pPr>
      <w:r w:rsidRPr="000A1327">
        <w:rPr>
          <w:rFonts w:cstheme="minorHAnsi"/>
          <w:i/>
          <w:noProof/>
        </w:rPr>
        <w:t xml:space="preserve">Devaney v R </w:t>
      </w:r>
      <w:r w:rsidRPr="000A1327">
        <w:rPr>
          <w:rFonts w:cstheme="minorHAnsi"/>
          <w:noProof/>
        </w:rPr>
        <w:t>[2012] NSWCCA 285</w:t>
      </w:r>
      <w:r>
        <w:rPr>
          <w:noProof/>
        </w:rPr>
        <w:tab/>
        <w:t>64</w:t>
      </w:r>
    </w:p>
    <w:p w14:paraId="0AE4F4F6" w14:textId="77777777" w:rsidR="00D44BCF" w:rsidRDefault="00D44BCF">
      <w:pPr>
        <w:pStyle w:val="TableofAuthorities"/>
        <w:tabs>
          <w:tab w:val="right" w:leader="dot" w:pos="9061"/>
        </w:tabs>
        <w:rPr>
          <w:noProof/>
        </w:rPr>
      </w:pPr>
      <w:r w:rsidRPr="000A1327">
        <w:rPr>
          <w:rFonts w:cstheme="minorHAnsi"/>
          <w:i/>
          <w:noProof/>
        </w:rPr>
        <w:t>Dickson v R</w:t>
      </w:r>
      <w:r w:rsidRPr="000A1327">
        <w:rPr>
          <w:rFonts w:cstheme="minorHAnsi"/>
          <w:noProof/>
        </w:rPr>
        <w:t xml:space="preserve"> [2016] NSWCCA 105</w:t>
      </w:r>
      <w:r>
        <w:rPr>
          <w:noProof/>
        </w:rPr>
        <w:tab/>
        <w:t>60, 62</w:t>
      </w:r>
    </w:p>
    <w:p w14:paraId="0C962509" w14:textId="77777777" w:rsidR="00D44BCF" w:rsidRDefault="00D44BCF">
      <w:pPr>
        <w:pStyle w:val="TableofAuthorities"/>
        <w:tabs>
          <w:tab w:val="right" w:leader="dot" w:pos="9061"/>
        </w:tabs>
        <w:rPr>
          <w:noProof/>
        </w:rPr>
      </w:pPr>
      <w:r w:rsidRPr="000A1327">
        <w:rPr>
          <w:rFonts w:cstheme="minorHAnsi"/>
          <w:i/>
          <w:noProof/>
        </w:rPr>
        <w:t>Dimech v Watts</w:t>
      </w:r>
      <w:r w:rsidRPr="000A1327">
        <w:rPr>
          <w:rFonts w:cstheme="minorHAnsi"/>
          <w:noProof/>
        </w:rPr>
        <w:t xml:space="preserve"> [2016] ACTSC 221</w:t>
      </w:r>
      <w:r>
        <w:rPr>
          <w:noProof/>
        </w:rPr>
        <w:tab/>
        <w:t>105</w:t>
      </w:r>
    </w:p>
    <w:p w14:paraId="77178F6D" w14:textId="77777777" w:rsidR="00D44BCF" w:rsidRDefault="00D44BCF">
      <w:pPr>
        <w:pStyle w:val="TableofAuthorities"/>
        <w:tabs>
          <w:tab w:val="right" w:leader="dot" w:pos="9061"/>
        </w:tabs>
        <w:rPr>
          <w:noProof/>
        </w:rPr>
      </w:pPr>
      <w:r w:rsidRPr="000A1327">
        <w:rPr>
          <w:rFonts w:cstheme="minorHAnsi"/>
          <w:i/>
          <w:noProof/>
        </w:rPr>
        <w:t>Dinsdale v R</w:t>
      </w:r>
      <w:r w:rsidRPr="000A1327">
        <w:rPr>
          <w:rFonts w:cstheme="minorHAnsi"/>
          <w:noProof/>
        </w:rPr>
        <w:t xml:space="preserve"> (2000) 202 CLR 321</w:t>
      </w:r>
      <w:r>
        <w:rPr>
          <w:noProof/>
        </w:rPr>
        <w:tab/>
        <w:t>88</w:t>
      </w:r>
    </w:p>
    <w:p w14:paraId="5DE63B89" w14:textId="77777777" w:rsidR="00D44BCF" w:rsidRDefault="00D44BCF">
      <w:pPr>
        <w:pStyle w:val="TableofAuthorities"/>
        <w:tabs>
          <w:tab w:val="right" w:leader="dot" w:pos="9061"/>
        </w:tabs>
        <w:rPr>
          <w:noProof/>
        </w:rPr>
      </w:pPr>
      <w:r w:rsidRPr="000A1327">
        <w:rPr>
          <w:rFonts w:cstheme="minorHAnsi"/>
          <w:i/>
          <w:iCs/>
          <w:noProof/>
        </w:rPr>
        <w:t>Dirbass v R</w:t>
      </w:r>
      <w:r w:rsidRPr="000A1327">
        <w:rPr>
          <w:rFonts w:cstheme="minorHAnsi"/>
          <w:noProof/>
        </w:rPr>
        <w:t xml:space="preserve"> [2018] VSCA 272</w:t>
      </w:r>
      <w:r>
        <w:rPr>
          <w:noProof/>
        </w:rPr>
        <w:tab/>
        <w:t>34</w:t>
      </w:r>
    </w:p>
    <w:p w14:paraId="6486E92F" w14:textId="77777777" w:rsidR="00D44BCF" w:rsidRDefault="00D44BCF">
      <w:pPr>
        <w:pStyle w:val="TableofAuthorities"/>
        <w:tabs>
          <w:tab w:val="right" w:leader="dot" w:pos="9061"/>
        </w:tabs>
        <w:rPr>
          <w:noProof/>
        </w:rPr>
      </w:pPr>
      <w:r w:rsidRPr="000A1327">
        <w:rPr>
          <w:rFonts w:cstheme="minorHAnsi"/>
          <w:i/>
          <w:noProof/>
        </w:rPr>
        <w:t>Dobie v Commonwealth</w:t>
      </w:r>
      <w:r w:rsidRPr="000A1327">
        <w:rPr>
          <w:rFonts w:cstheme="minorHAnsi"/>
          <w:noProof/>
        </w:rPr>
        <w:t xml:space="preserve"> [2013] FCA 1224</w:t>
      </w:r>
      <w:r>
        <w:rPr>
          <w:noProof/>
        </w:rPr>
        <w:tab/>
        <w:t>174</w:t>
      </w:r>
    </w:p>
    <w:p w14:paraId="26AC97ED" w14:textId="77777777" w:rsidR="00D44BCF" w:rsidRDefault="00D44BCF">
      <w:pPr>
        <w:pStyle w:val="TableofAuthorities"/>
        <w:tabs>
          <w:tab w:val="right" w:leader="dot" w:pos="9061"/>
        </w:tabs>
        <w:rPr>
          <w:noProof/>
        </w:rPr>
      </w:pPr>
      <w:r w:rsidRPr="000A1327">
        <w:rPr>
          <w:rFonts w:cstheme="minorHAnsi"/>
          <w:i/>
          <w:noProof/>
        </w:rPr>
        <w:t>Dowling v Hamlin</w:t>
      </w:r>
      <w:r w:rsidRPr="000A1327">
        <w:rPr>
          <w:rFonts w:cstheme="minorHAnsi"/>
          <w:noProof/>
        </w:rPr>
        <w:t xml:space="preserve"> [2006] ACTSC 117</w:t>
      </w:r>
      <w:r>
        <w:rPr>
          <w:noProof/>
        </w:rPr>
        <w:tab/>
        <w:t>105, 114, 115</w:t>
      </w:r>
    </w:p>
    <w:p w14:paraId="464D2F7F" w14:textId="77777777" w:rsidR="00D44BCF" w:rsidRDefault="00D44BCF">
      <w:pPr>
        <w:pStyle w:val="TableofAuthorities"/>
        <w:tabs>
          <w:tab w:val="right" w:leader="dot" w:pos="9061"/>
        </w:tabs>
        <w:rPr>
          <w:noProof/>
        </w:rPr>
      </w:pPr>
      <w:r w:rsidRPr="000A1327">
        <w:rPr>
          <w:rFonts w:cstheme="minorHAnsi"/>
          <w:i/>
          <w:noProof/>
        </w:rPr>
        <w:t>DPP (Cth) and DPP v Watson</w:t>
      </w:r>
      <w:r w:rsidRPr="000A1327">
        <w:rPr>
          <w:rFonts w:cstheme="minorHAnsi"/>
          <w:noProof/>
        </w:rPr>
        <w:t xml:space="preserve"> [2016] VSCA 73</w:t>
      </w:r>
      <w:r>
        <w:rPr>
          <w:noProof/>
        </w:rPr>
        <w:tab/>
        <w:t>58</w:t>
      </w:r>
    </w:p>
    <w:p w14:paraId="1A23F128" w14:textId="77777777" w:rsidR="00D44BCF" w:rsidRDefault="00D44BCF">
      <w:pPr>
        <w:pStyle w:val="TableofAuthorities"/>
        <w:tabs>
          <w:tab w:val="right" w:leader="dot" w:pos="9061"/>
        </w:tabs>
        <w:rPr>
          <w:noProof/>
        </w:rPr>
      </w:pPr>
      <w:r w:rsidRPr="000A1327">
        <w:rPr>
          <w:rFonts w:cstheme="minorHAnsi"/>
          <w:i/>
          <w:noProof/>
        </w:rPr>
        <w:t>DPP (Cth) v AB</w:t>
      </w:r>
      <w:r w:rsidRPr="000A1327">
        <w:rPr>
          <w:rFonts w:cstheme="minorHAnsi"/>
          <w:noProof/>
        </w:rPr>
        <w:t xml:space="preserve"> (2006) 94 SASR 316</w:t>
      </w:r>
      <w:r>
        <w:rPr>
          <w:noProof/>
        </w:rPr>
        <w:tab/>
        <w:t>198, 202</w:t>
      </w:r>
    </w:p>
    <w:p w14:paraId="6FE75316" w14:textId="77777777" w:rsidR="00D44BCF" w:rsidRDefault="00D44BCF">
      <w:pPr>
        <w:pStyle w:val="TableofAuthorities"/>
        <w:tabs>
          <w:tab w:val="right" w:leader="dot" w:pos="9061"/>
        </w:tabs>
        <w:rPr>
          <w:noProof/>
        </w:rPr>
      </w:pPr>
      <w:r w:rsidRPr="000A1327">
        <w:rPr>
          <w:rFonts w:cstheme="minorHAnsi"/>
          <w:i/>
          <w:noProof/>
        </w:rPr>
        <w:t>DPP (Cth) v AB (No 2)</w:t>
      </w:r>
      <w:r w:rsidRPr="000A1327">
        <w:rPr>
          <w:rFonts w:cstheme="minorHAnsi"/>
          <w:noProof/>
        </w:rPr>
        <w:t xml:space="preserve"> [2006] SASC 112</w:t>
      </w:r>
      <w:r>
        <w:rPr>
          <w:noProof/>
        </w:rPr>
        <w:tab/>
        <w:t>132</w:t>
      </w:r>
    </w:p>
    <w:p w14:paraId="186B5EBE" w14:textId="77777777" w:rsidR="00D44BCF" w:rsidRDefault="00D44BCF">
      <w:pPr>
        <w:pStyle w:val="TableofAuthorities"/>
        <w:tabs>
          <w:tab w:val="right" w:leader="dot" w:pos="9061"/>
        </w:tabs>
        <w:rPr>
          <w:noProof/>
        </w:rPr>
      </w:pPr>
      <w:r w:rsidRPr="000A1327">
        <w:rPr>
          <w:rFonts w:cstheme="minorHAnsi"/>
          <w:i/>
          <w:noProof/>
        </w:rPr>
        <w:t>DPP (Cth) v Alateras</w:t>
      </w:r>
      <w:r w:rsidRPr="000A1327">
        <w:rPr>
          <w:rFonts w:cstheme="minorHAnsi"/>
          <w:noProof/>
        </w:rPr>
        <w:t xml:space="preserve"> [2004] VSCA 214</w:t>
      </w:r>
      <w:r>
        <w:rPr>
          <w:noProof/>
        </w:rPr>
        <w:tab/>
        <w:t>58</w:t>
      </w:r>
    </w:p>
    <w:p w14:paraId="6A1E5A4A" w14:textId="77777777" w:rsidR="00D44BCF" w:rsidRDefault="00D44BCF">
      <w:pPr>
        <w:pStyle w:val="TableofAuthorities"/>
        <w:tabs>
          <w:tab w:val="right" w:leader="dot" w:pos="9061"/>
        </w:tabs>
        <w:rPr>
          <w:noProof/>
        </w:rPr>
      </w:pPr>
      <w:r w:rsidRPr="000A1327">
        <w:rPr>
          <w:rFonts w:cstheme="minorHAnsi"/>
          <w:i/>
          <w:noProof/>
        </w:rPr>
        <w:t>DPP (Cth) v Beattie</w:t>
      </w:r>
      <w:r w:rsidRPr="000A1327">
        <w:rPr>
          <w:rFonts w:cstheme="minorHAnsi"/>
          <w:noProof/>
        </w:rPr>
        <w:t xml:space="preserve"> [2017] NSWCCA 301</w:t>
      </w:r>
      <w:r>
        <w:rPr>
          <w:noProof/>
        </w:rPr>
        <w:tab/>
        <w:t>65, 135, 210, 212</w:t>
      </w:r>
    </w:p>
    <w:p w14:paraId="297ABCB9" w14:textId="77777777" w:rsidR="00D44BCF" w:rsidRDefault="00D44BCF">
      <w:pPr>
        <w:pStyle w:val="TableofAuthorities"/>
        <w:tabs>
          <w:tab w:val="right" w:leader="dot" w:pos="9061"/>
        </w:tabs>
        <w:rPr>
          <w:noProof/>
        </w:rPr>
      </w:pPr>
      <w:r w:rsidRPr="000A1327">
        <w:rPr>
          <w:rFonts w:cstheme="minorHAnsi"/>
          <w:i/>
          <w:noProof/>
        </w:rPr>
        <w:t>DPP (Cth) v Besim</w:t>
      </w:r>
      <w:r w:rsidRPr="000A1327">
        <w:rPr>
          <w:rFonts w:cstheme="minorHAnsi"/>
          <w:noProof/>
        </w:rPr>
        <w:t xml:space="preserve"> [2017] VSCA 158</w:t>
      </w:r>
      <w:r>
        <w:rPr>
          <w:noProof/>
        </w:rPr>
        <w:tab/>
        <w:t>25, 29, 31, 58, 59, 61, 62, 69, 187</w:t>
      </w:r>
    </w:p>
    <w:p w14:paraId="64A6D800" w14:textId="77777777" w:rsidR="00D44BCF" w:rsidRDefault="00D44BCF">
      <w:pPr>
        <w:pStyle w:val="TableofAuthorities"/>
        <w:tabs>
          <w:tab w:val="right" w:leader="dot" w:pos="9061"/>
        </w:tabs>
        <w:rPr>
          <w:noProof/>
        </w:rPr>
      </w:pPr>
      <w:r w:rsidRPr="000A1327">
        <w:rPr>
          <w:rFonts w:cstheme="minorHAnsi"/>
          <w:i/>
          <w:noProof/>
        </w:rPr>
        <w:t xml:space="preserve">DPP (Cth) v Besim; DPP (Cth) v MHK (No 3) </w:t>
      </w:r>
      <w:r w:rsidRPr="000A1327">
        <w:rPr>
          <w:rFonts w:cstheme="minorHAnsi"/>
          <w:noProof/>
        </w:rPr>
        <w:t>(2017) 52 VR 303</w:t>
      </w:r>
      <w:r>
        <w:rPr>
          <w:noProof/>
        </w:rPr>
        <w:tab/>
        <w:t>24, 77, 78, 80, 87, 88, 213</w:t>
      </w:r>
    </w:p>
    <w:p w14:paraId="6FB96D2F" w14:textId="77777777" w:rsidR="00D44BCF" w:rsidRDefault="00D44BCF">
      <w:pPr>
        <w:pStyle w:val="TableofAuthorities"/>
        <w:tabs>
          <w:tab w:val="right" w:leader="dot" w:pos="9061"/>
        </w:tabs>
        <w:rPr>
          <w:noProof/>
        </w:rPr>
      </w:pPr>
      <w:r w:rsidRPr="000A1327">
        <w:rPr>
          <w:rFonts w:cstheme="minorHAnsi"/>
          <w:i/>
          <w:noProof/>
        </w:rPr>
        <w:t xml:space="preserve">DPP (Cth) v Boyles (a pseudonym) </w:t>
      </w:r>
      <w:r w:rsidRPr="000A1327">
        <w:rPr>
          <w:rFonts w:cstheme="minorHAnsi"/>
          <w:noProof/>
        </w:rPr>
        <w:t>[2016] VSCA 267</w:t>
      </w:r>
      <w:r>
        <w:rPr>
          <w:noProof/>
        </w:rPr>
        <w:tab/>
        <w:t>46, 66, 89</w:t>
      </w:r>
    </w:p>
    <w:p w14:paraId="379EA793" w14:textId="77777777" w:rsidR="00D44BCF" w:rsidRDefault="00D44BCF">
      <w:pPr>
        <w:pStyle w:val="TableofAuthorities"/>
        <w:tabs>
          <w:tab w:val="right" w:leader="dot" w:pos="9061"/>
        </w:tabs>
        <w:rPr>
          <w:noProof/>
        </w:rPr>
      </w:pPr>
      <w:r w:rsidRPr="000A1327">
        <w:rPr>
          <w:rFonts w:cstheme="minorHAnsi"/>
          <w:i/>
          <w:noProof/>
        </w:rPr>
        <w:t>DPP (Cth) v Brown</w:t>
      </w:r>
      <w:r w:rsidRPr="000A1327">
        <w:rPr>
          <w:rFonts w:cstheme="minorHAnsi"/>
          <w:noProof/>
        </w:rPr>
        <w:t xml:space="preserve"> [2017] VSCA 162</w:t>
      </w:r>
      <w:r>
        <w:rPr>
          <w:noProof/>
        </w:rPr>
        <w:tab/>
        <w:t>191</w:t>
      </w:r>
    </w:p>
    <w:p w14:paraId="5C8F83D9" w14:textId="77777777" w:rsidR="00D44BCF" w:rsidRDefault="00D44BCF">
      <w:pPr>
        <w:pStyle w:val="TableofAuthorities"/>
        <w:tabs>
          <w:tab w:val="right" w:leader="dot" w:pos="9061"/>
        </w:tabs>
        <w:rPr>
          <w:noProof/>
        </w:rPr>
      </w:pPr>
      <w:r w:rsidRPr="000A1327">
        <w:rPr>
          <w:rFonts w:cstheme="minorHAnsi"/>
          <w:i/>
          <w:iCs/>
          <w:noProof/>
        </w:rPr>
        <w:t>DPP (Cth) v Bui</w:t>
      </w:r>
      <w:r w:rsidRPr="000A1327">
        <w:rPr>
          <w:rFonts w:cstheme="minorHAnsi"/>
          <w:noProof/>
        </w:rPr>
        <w:t xml:space="preserve"> (2011) 32 VR 149</w:t>
      </w:r>
      <w:r>
        <w:rPr>
          <w:noProof/>
        </w:rPr>
        <w:tab/>
        <w:t>31, 66, 67</w:t>
      </w:r>
    </w:p>
    <w:p w14:paraId="08C206AF" w14:textId="77777777" w:rsidR="00D44BCF" w:rsidRDefault="00D44BCF">
      <w:pPr>
        <w:pStyle w:val="TableofAuthorities"/>
        <w:tabs>
          <w:tab w:val="right" w:leader="dot" w:pos="9061"/>
        </w:tabs>
        <w:rPr>
          <w:noProof/>
        </w:rPr>
      </w:pPr>
      <w:r w:rsidRPr="000A1327">
        <w:rPr>
          <w:rFonts w:cstheme="minorHAnsi"/>
          <w:noProof/>
        </w:rPr>
        <w:t>DPP (Cth) v Carey [2012] VSCA 15</w:t>
      </w:r>
      <w:r>
        <w:rPr>
          <w:noProof/>
        </w:rPr>
        <w:tab/>
        <w:t>200</w:t>
      </w:r>
    </w:p>
    <w:p w14:paraId="16871BCD" w14:textId="77777777" w:rsidR="00D44BCF" w:rsidRDefault="00D44BCF">
      <w:pPr>
        <w:pStyle w:val="TableofAuthorities"/>
        <w:tabs>
          <w:tab w:val="right" w:leader="dot" w:pos="9061"/>
        </w:tabs>
        <w:rPr>
          <w:noProof/>
        </w:rPr>
      </w:pPr>
      <w:r w:rsidRPr="000A1327">
        <w:rPr>
          <w:rFonts w:cstheme="minorHAnsi"/>
          <w:i/>
          <w:noProof/>
        </w:rPr>
        <w:t>DPP (Cth)</w:t>
      </w:r>
      <w:r w:rsidRPr="000A1327">
        <w:rPr>
          <w:rFonts w:cstheme="minorHAnsi"/>
          <w:noProof/>
        </w:rPr>
        <w:t xml:space="preserve"> v </w:t>
      </w:r>
      <w:r w:rsidRPr="000A1327">
        <w:rPr>
          <w:rFonts w:cstheme="minorHAnsi"/>
          <w:i/>
          <w:noProof/>
        </w:rPr>
        <w:t>Carter</w:t>
      </w:r>
      <w:r w:rsidRPr="000A1327">
        <w:rPr>
          <w:rFonts w:cstheme="minorHAnsi"/>
          <w:noProof/>
        </w:rPr>
        <w:t xml:space="preserve"> [1998] 1 VR 601</w:t>
      </w:r>
      <w:r>
        <w:rPr>
          <w:noProof/>
        </w:rPr>
        <w:tab/>
        <w:t>58</w:t>
      </w:r>
    </w:p>
    <w:p w14:paraId="5842521A" w14:textId="77777777" w:rsidR="00D44BCF" w:rsidRDefault="00D44BCF">
      <w:pPr>
        <w:pStyle w:val="TableofAuthorities"/>
        <w:tabs>
          <w:tab w:val="right" w:leader="dot" w:pos="9061"/>
        </w:tabs>
        <w:rPr>
          <w:noProof/>
        </w:rPr>
      </w:pPr>
      <w:r w:rsidRPr="000A1327">
        <w:rPr>
          <w:rFonts w:cstheme="minorHAnsi"/>
          <w:i/>
          <w:noProof/>
        </w:rPr>
        <w:t>DPP (Cth) v Cole</w:t>
      </w:r>
      <w:r w:rsidRPr="000A1327">
        <w:rPr>
          <w:rFonts w:cstheme="minorHAnsi"/>
          <w:noProof/>
        </w:rPr>
        <w:t xml:space="preserve"> (2005) 91 SASR 480</w:t>
      </w:r>
      <w:r>
        <w:rPr>
          <w:noProof/>
        </w:rPr>
        <w:tab/>
        <w:t>101, 106, 144, 159, 215</w:t>
      </w:r>
    </w:p>
    <w:p w14:paraId="035485FE" w14:textId="77777777" w:rsidR="00D44BCF" w:rsidRDefault="00D44BCF">
      <w:pPr>
        <w:pStyle w:val="TableofAuthorities"/>
        <w:tabs>
          <w:tab w:val="right" w:leader="dot" w:pos="9061"/>
        </w:tabs>
        <w:rPr>
          <w:noProof/>
        </w:rPr>
      </w:pPr>
      <w:r w:rsidRPr="000A1327">
        <w:rPr>
          <w:rFonts w:cstheme="minorHAnsi"/>
          <w:i/>
          <w:noProof/>
        </w:rPr>
        <w:t>DPP (Cth) v Coory</w:t>
      </w:r>
      <w:r w:rsidRPr="000A1327">
        <w:rPr>
          <w:rFonts w:cstheme="minorHAnsi"/>
          <w:noProof/>
        </w:rPr>
        <w:t xml:space="preserve"> [2011] VSCA 316</w:t>
      </w:r>
      <w:r>
        <w:rPr>
          <w:noProof/>
        </w:rPr>
        <w:tab/>
        <w:t>142</w:t>
      </w:r>
    </w:p>
    <w:p w14:paraId="5CA50CE1" w14:textId="77777777" w:rsidR="00D44BCF" w:rsidRDefault="00D44BCF">
      <w:pPr>
        <w:pStyle w:val="TableofAuthorities"/>
        <w:tabs>
          <w:tab w:val="right" w:leader="dot" w:pos="9061"/>
        </w:tabs>
        <w:rPr>
          <w:noProof/>
        </w:rPr>
      </w:pPr>
      <w:r w:rsidRPr="000A1327">
        <w:rPr>
          <w:rFonts w:cstheme="minorHAnsi"/>
          <w:i/>
          <w:noProof/>
        </w:rPr>
        <w:t>DPP (Cth) v Cornish</w:t>
      </w:r>
      <w:r w:rsidRPr="000A1327">
        <w:rPr>
          <w:rFonts w:cstheme="minorHAnsi"/>
          <w:noProof/>
        </w:rPr>
        <w:t xml:space="preserve"> [2012] VSCA 45</w:t>
      </w:r>
      <w:r>
        <w:rPr>
          <w:noProof/>
        </w:rPr>
        <w:tab/>
        <w:t>31</w:t>
      </w:r>
    </w:p>
    <w:p w14:paraId="42EC0901" w14:textId="77777777" w:rsidR="00D44BCF" w:rsidRDefault="00D44BCF">
      <w:pPr>
        <w:pStyle w:val="TableofAuthorities"/>
        <w:tabs>
          <w:tab w:val="right" w:leader="dot" w:pos="9061"/>
        </w:tabs>
        <w:rPr>
          <w:noProof/>
        </w:rPr>
      </w:pPr>
      <w:r w:rsidRPr="000A1327">
        <w:rPr>
          <w:rFonts w:cstheme="minorHAnsi"/>
          <w:i/>
          <w:iCs/>
          <w:noProof/>
        </w:rPr>
        <w:t>DPP (Cth) v Costanzo</w:t>
      </w:r>
      <w:r w:rsidRPr="000A1327">
        <w:rPr>
          <w:rFonts w:cstheme="minorHAnsi"/>
          <w:noProof/>
        </w:rPr>
        <w:t xml:space="preserve"> [2005] 2 Qd R 385</w:t>
      </w:r>
      <w:r>
        <w:rPr>
          <w:noProof/>
        </w:rPr>
        <w:tab/>
        <w:t>113, 114, 116</w:t>
      </w:r>
    </w:p>
    <w:p w14:paraId="7422401B" w14:textId="77777777" w:rsidR="00D44BCF" w:rsidRDefault="00D44BCF">
      <w:pPr>
        <w:pStyle w:val="TableofAuthorities"/>
        <w:tabs>
          <w:tab w:val="right" w:leader="dot" w:pos="9061"/>
        </w:tabs>
        <w:rPr>
          <w:noProof/>
        </w:rPr>
      </w:pPr>
      <w:r w:rsidRPr="000A1327">
        <w:rPr>
          <w:rFonts w:cstheme="minorHAnsi"/>
          <w:i/>
          <w:iCs/>
          <w:noProof/>
        </w:rPr>
        <w:t xml:space="preserve">DPP (Cth) v Couper </w:t>
      </w:r>
      <w:r w:rsidRPr="000A1327">
        <w:rPr>
          <w:rFonts w:cstheme="minorHAnsi"/>
          <w:noProof/>
        </w:rPr>
        <w:t>(2013) 41 VR 128</w:t>
      </w:r>
      <w:r>
        <w:rPr>
          <w:noProof/>
        </w:rPr>
        <w:tab/>
        <w:t>31, 132, 160, 203</w:t>
      </w:r>
    </w:p>
    <w:p w14:paraId="6102365B" w14:textId="77777777" w:rsidR="00D44BCF" w:rsidRDefault="00D44BCF">
      <w:pPr>
        <w:pStyle w:val="TableofAuthorities"/>
        <w:tabs>
          <w:tab w:val="right" w:leader="dot" w:pos="9061"/>
        </w:tabs>
        <w:rPr>
          <w:noProof/>
        </w:rPr>
      </w:pPr>
      <w:r w:rsidRPr="000A1327">
        <w:rPr>
          <w:rFonts w:cstheme="minorHAnsi"/>
          <w:i/>
          <w:noProof/>
        </w:rPr>
        <w:t xml:space="preserve">DPP (Cth) v De La Rosa </w:t>
      </w:r>
      <w:r w:rsidRPr="000A1327">
        <w:rPr>
          <w:rFonts w:cstheme="minorHAnsi"/>
          <w:noProof/>
        </w:rPr>
        <w:t>(2010) 79 NSWLR 11</w:t>
      </w:r>
      <w:r>
        <w:rPr>
          <w:noProof/>
        </w:rPr>
        <w:tab/>
        <w:t>24, 73, 80, 89</w:t>
      </w:r>
    </w:p>
    <w:p w14:paraId="2CEC264A" w14:textId="77777777" w:rsidR="00D44BCF" w:rsidRDefault="00D44BCF">
      <w:pPr>
        <w:pStyle w:val="TableofAuthorities"/>
        <w:tabs>
          <w:tab w:val="right" w:leader="dot" w:pos="9061"/>
        </w:tabs>
        <w:rPr>
          <w:noProof/>
        </w:rPr>
      </w:pPr>
      <w:r w:rsidRPr="000A1327">
        <w:rPr>
          <w:rFonts w:cstheme="minorHAnsi"/>
          <w:i/>
          <w:noProof/>
        </w:rPr>
        <w:t>DPP (Cth) v Ede</w:t>
      </w:r>
      <w:r w:rsidRPr="000A1327">
        <w:rPr>
          <w:rFonts w:cstheme="minorHAnsi"/>
          <w:noProof/>
        </w:rPr>
        <w:t xml:space="preserve"> [2014] NSWCA 282</w:t>
      </w:r>
      <w:r>
        <w:rPr>
          <w:noProof/>
        </w:rPr>
        <w:tab/>
        <w:t>97, 100, 105, 118</w:t>
      </w:r>
    </w:p>
    <w:p w14:paraId="7A85A791" w14:textId="77777777" w:rsidR="00D44BCF" w:rsidRDefault="00D44BCF">
      <w:pPr>
        <w:pStyle w:val="TableofAuthorities"/>
        <w:tabs>
          <w:tab w:val="right" w:leader="dot" w:pos="9061"/>
        </w:tabs>
        <w:rPr>
          <w:noProof/>
        </w:rPr>
      </w:pPr>
      <w:r w:rsidRPr="000A1327">
        <w:rPr>
          <w:rFonts w:cstheme="minorHAnsi"/>
          <w:i/>
          <w:noProof/>
        </w:rPr>
        <w:t>DPP (Cth) v El Karhani</w:t>
      </w:r>
      <w:r w:rsidRPr="000A1327">
        <w:rPr>
          <w:rFonts w:cstheme="minorHAnsi"/>
          <w:noProof/>
        </w:rPr>
        <w:t xml:space="preserve"> (1990) 21 NSWLR 370</w:t>
      </w:r>
      <w:r>
        <w:rPr>
          <w:noProof/>
        </w:rPr>
        <w:tab/>
        <w:t>42, 57, 254</w:t>
      </w:r>
    </w:p>
    <w:p w14:paraId="747A58D6" w14:textId="77777777" w:rsidR="00D44BCF" w:rsidRDefault="00D44BCF">
      <w:pPr>
        <w:pStyle w:val="TableofAuthorities"/>
        <w:tabs>
          <w:tab w:val="right" w:leader="dot" w:pos="9061"/>
        </w:tabs>
        <w:rPr>
          <w:noProof/>
        </w:rPr>
      </w:pPr>
      <w:r w:rsidRPr="000A1327">
        <w:rPr>
          <w:rFonts w:cstheme="minorHAnsi"/>
          <w:i/>
          <w:noProof/>
        </w:rPr>
        <w:t>DPP (Cth) v Fabri</w:t>
      </w:r>
      <w:r w:rsidRPr="000A1327">
        <w:rPr>
          <w:rFonts w:cstheme="minorHAnsi"/>
          <w:noProof/>
        </w:rPr>
        <w:t xml:space="preserve"> [2008] NSWSC 655</w:t>
      </w:r>
      <w:r>
        <w:rPr>
          <w:noProof/>
        </w:rPr>
        <w:tab/>
        <w:t>107</w:t>
      </w:r>
    </w:p>
    <w:p w14:paraId="14AF10FE" w14:textId="77777777" w:rsidR="00D44BCF" w:rsidRDefault="00D44BCF">
      <w:pPr>
        <w:pStyle w:val="TableofAuthorities"/>
        <w:tabs>
          <w:tab w:val="right" w:leader="dot" w:pos="9061"/>
        </w:tabs>
        <w:rPr>
          <w:noProof/>
        </w:rPr>
      </w:pPr>
      <w:r w:rsidRPr="000A1327">
        <w:rPr>
          <w:rFonts w:cstheme="minorHAnsi"/>
          <w:i/>
          <w:noProof/>
        </w:rPr>
        <w:t>DPP (Cth)</w:t>
      </w:r>
      <w:r w:rsidRPr="000A1327">
        <w:rPr>
          <w:rFonts w:cstheme="minorHAnsi"/>
          <w:noProof/>
        </w:rPr>
        <w:t xml:space="preserve"> v </w:t>
      </w:r>
      <w:r w:rsidRPr="000A1327">
        <w:rPr>
          <w:rFonts w:cstheme="minorHAnsi"/>
          <w:i/>
          <w:noProof/>
        </w:rPr>
        <w:t>Fattal</w:t>
      </w:r>
      <w:r w:rsidRPr="000A1327">
        <w:rPr>
          <w:rFonts w:cstheme="minorHAnsi"/>
          <w:noProof/>
        </w:rPr>
        <w:t xml:space="preserve"> [2013] VSCA 276</w:t>
      </w:r>
      <w:r>
        <w:rPr>
          <w:noProof/>
        </w:rPr>
        <w:tab/>
        <w:t>58, 69</w:t>
      </w:r>
    </w:p>
    <w:p w14:paraId="1B2B8E82" w14:textId="77777777" w:rsidR="00D44BCF" w:rsidRDefault="00D44BCF">
      <w:pPr>
        <w:pStyle w:val="TableofAuthorities"/>
        <w:tabs>
          <w:tab w:val="right" w:leader="dot" w:pos="9061"/>
        </w:tabs>
        <w:rPr>
          <w:noProof/>
        </w:rPr>
      </w:pPr>
      <w:r w:rsidRPr="000A1327">
        <w:rPr>
          <w:rFonts w:cstheme="minorHAnsi"/>
          <w:i/>
          <w:noProof/>
        </w:rPr>
        <w:t xml:space="preserve">DPP (Cth) v Gaw </w:t>
      </w:r>
      <w:r w:rsidRPr="000A1327">
        <w:rPr>
          <w:rFonts w:cstheme="minorHAnsi"/>
          <w:noProof/>
        </w:rPr>
        <w:t>[2006] VSCA 51</w:t>
      </w:r>
      <w:r>
        <w:rPr>
          <w:noProof/>
        </w:rPr>
        <w:tab/>
        <w:t>67, 68</w:t>
      </w:r>
    </w:p>
    <w:p w14:paraId="7106C779" w14:textId="77777777" w:rsidR="00D44BCF" w:rsidRDefault="00D44BCF">
      <w:pPr>
        <w:pStyle w:val="TableofAuthorities"/>
        <w:tabs>
          <w:tab w:val="right" w:leader="dot" w:pos="9061"/>
        </w:tabs>
        <w:rPr>
          <w:noProof/>
        </w:rPr>
      </w:pPr>
      <w:r w:rsidRPr="000A1327">
        <w:rPr>
          <w:rFonts w:cstheme="minorHAnsi"/>
          <w:i/>
          <w:noProof/>
        </w:rPr>
        <w:t>DPP (Cth)</w:t>
      </w:r>
      <w:r w:rsidRPr="000A1327">
        <w:rPr>
          <w:rFonts w:cstheme="minorHAnsi"/>
          <w:noProof/>
        </w:rPr>
        <w:t xml:space="preserve"> </w:t>
      </w:r>
      <w:r w:rsidRPr="000A1327">
        <w:rPr>
          <w:rFonts w:cstheme="minorHAnsi"/>
          <w:i/>
          <w:noProof/>
        </w:rPr>
        <w:t xml:space="preserve">v Gregory </w:t>
      </w:r>
      <w:r w:rsidRPr="000A1327">
        <w:rPr>
          <w:rFonts w:cstheme="minorHAnsi"/>
          <w:noProof/>
        </w:rPr>
        <w:t>(2011) 34 VR 1</w:t>
      </w:r>
      <w:r>
        <w:rPr>
          <w:noProof/>
        </w:rPr>
        <w:tab/>
        <w:t>29, 58, 60, 70</w:t>
      </w:r>
    </w:p>
    <w:p w14:paraId="2C1F5A47" w14:textId="77777777" w:rsidR="00D44BCF" w:rsidRDefault="00D44BCF">
      <w:pPr>
        <w:pStyle w:val="TableofAuthorities"/>
        <w:tabs>
          <w:tab w:val="right" w:leader="dot" w:pos="9061"/>
        </w:tabs>
        <w:rPr>
          <w:noProof/>
        </w:rPr>
      </w:pPr>
      <w:r w:rsidRPr="000A1327">
        <w:rPr>
          <w:rFonts w:cstheme="minorHAnsi"/>
          <w:i/>
          <w:noProof/>
        </w:rPr>
        <w:t xml:space="preserve">DPP (Cth) v Haynes </w:t>
      </w:r>
      <w:r w:rsidRPr="000A1327">
        <w:rPr>
          <w:rFonts w:cstheme="minorHAnsi"/>
          <w:noProof/>
        </w:rPr>
        <w:t>[2017] VSCA 79</w:t>
      </w:r>
      <w:r>
        <w:rPr>
          <w:noProof/>
        </w:rPr>
        <w:tab/>
        <w:t>142, 185, 190, 191, 192</w:t>
      </w:r>
    </w:p>
    <w:p w14:paraId="49D7303B" w14:textId="77777777" w:rsidR="00D44BCF" w:rsidRDefault="00D44BCF">
      <w:pPr>
        <w:pStyle w:val="TableofAuthorities"/>
        <w:tabs>
          <w:tab w:val="right" w:leader="dot" w:pos="9061"/>
        </w:tabs>
        <w:rPr>
          <w:noProof/>
        </w:rPr>
      </w:pPr>
      <w:r w:rsidRPr="000A1327">
        <w:rPr>
          <w:rFonts w:cstheme="minorHAnsi"/>
          <w:i/>
          <w:noProof/>
        </w:rPr>
        <w:t xml:space="preserve">DPP (Cth) v Johnson </w:t>
      </w:r>
      <w:r w:rsidRPr="000A1327">
        <w:rPr>
          <w:rFonts w:cstheme="minorHAnsi"/>
          <w:noProof/>
        </w:rPr>
        <w:t>[2012] VSCA 38</w:t>
      </w:r>
      <w:r>
        <w:rPr>
          <w:noProof/>
        </w:rPr>
        <w:tab/>
        <w:t>200</w:t>
      </w:r>
    </w:p>
    <w:p w14:paraId="5F622A7D" w14:textId="77777777" w:rsidR="00D44BCF" w:rsidRDefault="00D44BCF">
      <w:pPr>
        <w:pStyle w:val="TableofAuthorities"/>
        <w:tabs>
          <w:tab w:val="right" w:leader="dot" w:pos="9061"/>
        </w:tabs>
        <w:rPr>
          <w:noProof/>
        </w:rPr>
      </w:pPr>
      <w:r w:rsidRPr="000A1327">
        <w:rPr>
          <w:rFonts w:cstheme="minorHAnsi"/>
          <w:i/>
          <w:noProof/>
        </w:rPr>
        <w:t>DPP (Cth) v KMD</w:t>
      </w:r>
      <w:r w:rsidRPr="000A1327">
        <w:rPr>
          <w:rFonts w:cstheme="minorHAnsi"/>
          <w:noProof/>
        </w:rPr>
        <w:t xml:space="preserve"> [2015] VSCA 255</w:t>
      </w:r>
      <w:r>
        <w:rPr>
          <w:noProof/>
        </w:rPr>
        <w:tab/>
        <w:t>43, 136, 190, 191</w:t>
      </w:r>
    </w:p>
    <w:p w14:paraId="5404DC32" w14:textId="77777777" w:rsidR="00D44BCF" w:rsidRDefault="00D44BCF">
      <w:pPr>
        <w:pStyle w:val="TableofAuthorities"/>
        <w:tabs>
          <w:tab w:val="right" w:leader="dot" w:pos="9061"/>
        </w:tabs>
        <w:rPr>
          <w:noProof/>
        </w:rPr>
      </w:pPr>
      <w:r w:rsidRPr="000A1327">
        <w:rPr>
          <w:rFonts w:cstheme="minorHAnsi"/>
          <w:i/>
          <w:noProof/>
        </w:rPr>
        <w:t>DPP (Cth) v Latif</w:t>
      </w:r>
      <w:r w:rsidRPr="000A1327">
        <w:rPr>
          <w:rFonts w:cstheme="minorHAnsi"/>
          <w:noProof/>
        </w:rPr>
        <w:t xml:space="preserve"> [2012] QCA 278</w:t>
      </w:r>
      <w:r>
        <w:rPr>
          <w:noProof/>
        </w:rPr>
        <w:tab/>
        <w:t>56</w:t>
      </w:r>
    </w:p>
    <w:p w14:paraId="59803B63" w14:textId="77777777" w:rsidR="00D44BCF" w:rsidRDefault="00D44BCF">
      <w:pPr>
        <w:pStyle w:val="TableofAuthorities"/>
        <w:tabs>
          <w:tab w:val="right" w:leader="dot" w:pos="9061"/>
        </w:tabs>
        <w:rPr>
          <w:noProof/>
        </w:rPr>
      </w:pPr>
      <w:r w:rsidRPr="000A1327">
        <w:rPr>
          <w:rFonts w:cstheme="minorHAnsi"/>
          <w:i/>
          <w:noProof/>
        </w:rPr>
        <w:t>DPP (Cth) v Masange</w:t>
      </w:r>
      <w:r w:rsidRPr="000A1327">
        <w:rPr>
          <w:rFonts w:cstheme="minorHAnsi"/>
          <w:noProof/>
        </w:rPr>
        <w:t xml:space="preserve"> [2017] VSCA 204</w:t>
      </w:r>
      <w:r>
        <w:rPr>
          <w:noProof/>
        </w:rPr>
        <w:tab/>
        <w:t>190</w:t>
      </w:r>
    </w:p>
    <w:p w14:paraId="27731AE9" w14:textId="77777777" w:rsidR="00D44BCF" w:rsidRDefault="00D44BCF">
      <w:pPr>
        <w:pStyle w:val="TableofAuthorities"/>
        <w:tabs>
          <w:tab w:val="right" w:leader="dot" w:pos="9061"/>
        </w:tabs>
        <w:rPr>
          <w:noProof/>
        </w:rPr>
      </w:pPr>
      <w:r w:rsidRPr="000A1327">
        <w:rPr>
          <w:rFonts w:cstheme="minorHAnsi"/>
          <w:i/>
          <w:noProof/>
        </w:rPr>
        <w:t>DPP (Cth) v MHK</w:t>
      </w:r>
      <w:r w:rsidRPr="000A1327">
        <w:rPr>
          <w:rFonts w:cstheme="minorHAnsi"/>
          <w:noProof/>
        </w:rPr>
        <w:t xml:space="preserve"> [2017] VSCA 157</w:t>
      </w:r>
      <w:r>
        <w:rPr>
          <w:noProof/>
        </w:rPr>
        <w:tab/>
        <w:t>31, 58, 59, 61, 62, 69, 221</w:t>
      </w:r>
    </w:p>
    <w:p w14:paraId="05DC1D3D" w14:textId="77777777" w:rsidR="00D44BCF" w:rsidRDefault="00D44BCF">
      <w:pPr>
        <w:pStyle w:val="TableofAuthorities"/>
        <w:tabs>
          <w:tab w:val="right" w:leader="dot" w:pos="9061"/>
        </w:tabs>
        <w:rPr>
          <w:noProof/>
        </w:rPr>
      </w:pPr>
      <w:r w:rsidRPr="000A1327">
        <w:rPr>
          <w:rFonts w:cstheme="minorHAnsi"/>
          <w:i/>
          <w:noProof/>
        </w:rPr>
        <w:t>DPP (Cth) v Milne</w:t>
      </w:r>
      <w:r w:rsidRPr="000A1327">
        <w:rPr>
          <w:rFonts w:cstheme="minorHAnsi"/>
          <w:noProof/>
        </w:rPr>
        <w:t xml:space="preserve"> [2001] VSCA 93</w:t>
      </w:r>
      <w:r>
        <w:rPr>
          <w:noProof/>
        </w:rPr>
        <w:tab/>
        <w:t>46</w:t>
      </w:r>
    </w:p>
    <w:p w14:paraId="685A504D" w14:textId="77777777" w:rsidR="00D44BCF" w:rsidRDefault="00D44BCF">
      <w:pPr>
        <w:pStyle w:val="TableofAuthorities"/>
        <w:tabs>
          <w:tab w:val="right" w:leader="dot" w:pos="9061"/>
        </w:tabs>
        <w:rPr>
          <w:noProof/>
        </w:rPr>
      </w:pPr>
      <w:r w:rsidRPr="000A1327">
        <w:rPr>
          <w:rFonts w:cstheme="minorHAnsi"/>
          <w:i/>
          <w:noProof/>
        </w:rPr>
        <w:t>DPP (Cth) v Munro</w:t>
      </w:r>
      <w:r w:rsidRPr="000A1327">
        <w:rPr>
          <w:rFonts w:cstheme="minorHAnsi"/>
          <w:noProof/>
        </w:rPr>
        <w:t xml:space="preserve"> [2019] VSCA 89</w:t>
      </w:r>
      <w:r>
        <w:rPr>
          <w:noProof/>
        </w:rPr>
        <w:tab/>
        <w:t>58</w:t>
      </w:r>
    </w:p>
    <w:p w14:paraId="6BC77B14" w14:textId="77777777" w:rsidR="00D44BCF" w:rsidRDefault="00D44BCF">
      <w:pPr>
        <w:pStyle w:val="TableofAuthorities"/>
        <w:tabs>
          <w:tab w:val="right" w:leader="dot" w:pos="9061"/>
        </w:tabs>
        <w:rPr>
          <w:noProof/>
        </w:rPr>
      </w:pPr>
      <w:r w:rsidRPr="000A1327">
        <w:rPr>
          <w:rFonts w:cstheme="minorHAnsi"/>
          <w:i/>
          <w:noProof/>
        </w:rPr>
        <w:t>DPP (Cth) v Nippon Yusen Kabushiki Kaisha</w:t>
      </w:r>
      <w:r w:rsidRPr="000A1327">
        <w:rPr>
          <w:rFonts w:cstheme="minorHAnsi"/>
          <w:noProof/>
        </w:rPr>
        <w:t xml:space="preserve"> (2017) 254 FCR 235</w:t>
      </w:r>
      <w:r>
        <w:rPr>
          <w:noProof/>
        </w:rPr>
        <w:tab/>
        <w:t>46, 76</w:t>
      </w:r>
    </w:p>
    <w:p w14:paraId="5EC997B0" w14:textId="77777777" w:rsidR="00D44BCF" w:rsidRDefault="00D44BCF">
      <w:pPr>
        <w:pStyle w:val="TableofAuthorities"/>
        <w:tabs>
          <w:tab w:val="right" w:leader="dot" w:pos="9061"/>
        </w:tabs>
        <w:rPr>
          <w:noProof/>
        </w:rPr>
      </w:pPr>
      <w:r w:rsidRPr="000A1327">
        <w:rPr>
          <w:rFonts w:cstheme="minorHAnsi"/>
          <w:i/>
          <w:noProof/>
        </w:rPr>
        <w:t>DPP (Cth) v Page</w:t>
      </w:r>
      <w:r w:rsidRPr="000A1327">
        <w:rPr>
          <w:rFonts w:cstheme="minorHAnsi"/>
          <w:noProof/>
        </w:rPr>
        <w:t xml:space="preserve"> [2006] VSCA 224</w:t>
      </w:r>
      <w:r>
        <w:rPr>
          <w:noProof/>
        </w:rPr>
        <w:tab/>
        <w:t>142</w:t>
      </w:r>
    </w:p>
    <w:p w14:paraId="76CD2AA7" w14:textId="77777777" w:rsidR="00D44BCF" w:rsidRDefault="00D44BCF">
      <w:pPr>
        <w:pStyle w:val="TableofAuthorities"/>
        <w:tabs>
          <w:tab w:val="right" w:leader="dot" w:pos="9061"/>
        </w:tabs>
        <w:rPr>
          <w:noProof/>
        </w:rPr>
      </w:pPr>
      <w:r w:rsidRPr="000A1327">
        <w:rPr>
          <w:rFonts w:cstheme="minorHAnsi"/>
          <w:i/>
          <w:noProof/>
        </w:rPr>
        <w:t xml:space="preserve">DPP (Cth) v Peng </w:t>
      </w:r>
      <w:r w:rsidRPr="000A1327">
        <w:rPr>
          <w:rFonts w:cstheme="minorHAnsi"/>
          <w:noProof/>
        </w:rPr>
        <w:t>[2014] VSCA 128</w:t>
      </w:r>
      <w:r>
        <w:rPr>
          <w:noProof/>
        </w:rPr>
        <w:tab/>
        <w:t>70, 78, 79</w:t>
      </w:r>
    </w:p>
    <w:p w14:paraId="37EA4234" w14:textId="77777777" w:rsidR="00D44BCF" w:rsidRDefault="00D44BCF">
      <w:pPr>
        <w:pStyle w:val="TableofAuthorities"/>
        <w:tabs>
          <w:tab w:val="right" w:leader="dot" w:pos="9061"/>
        </w:tabs>
        <w:rPr>
          <w:noProof/>
        </w:rPr>
      </w:pPr>
      <w:r w:rsidRPr="000A1327">
        <w:rPr>
          <w:rFonts w:cstheme="minorHAnsi"/>
          <w:i/>
          <w:noProof/>
        </w:rPr>
        <w:t>DPP (Cth) v Phan</w:t>
      </w:r>
      <w:r w:rsidRPr="000A1327">
        <w:rPr>
          <w:rFonts w:cstheme="minorHAnsi"/>
          <w:noProof/>
        </w:rPr>
        <w:t xml:space="preserve"> [2016] VSCA 170</w:t>
      </w:r>
      <w:r>
        <w:rPr>
          <w:noProof/>
        </w:rPr>
        <w:tab/>
        <w:t>43</w:t>
      </w:r>
    </w:p>
    <w:p w14:paraId="30FA9058" w14:textId="77777777" w:rsidR="00D44BCF" w:rsidRDefault="00D44BCF">
      <w:pPr>
        <w:pStyle w:val="TableofAuthorities"/>
        <w:tabs>
          <w:tab w:val="right" w:leader="dot" w:pos="9061"/>
        </w:tabs>
        <w:rPr>
          <w:noProof/>
        </w:rPr>
      </w:pPr>
      <w:r w:rsidRPr="000A1327">
        <w:rPr>
          <w:rFonts w:cstheme="minorHAnsi"/>
          <w:i/>
          <w:noProof/>
        </w:rPr>
        <w:t>DPP (Cth) v Pratten (No 2)</w:t>
      </w:r>
      <w:r w:rsidRPr="000A1327">
        <w:rPr>
          <w:rFonts w:cstheme="minorHAnsi"/>
          <w:noProof/>
        </w:rPr>
        <w:t xml:space="preserve"> (2017) 94 NSWLR 194</w:t>
      </w:r>
      <w:r>
        <w:rPr>
          <w:noProof/>
        </w:rPr>
        <w:tab/>
        <w:t>9, 24, 29, 63, 67, 70, 71, 72, 73, 80, 89, 202</w:t>
      </w:r>
    </w:p>
    <w:p w14:paraId="17805670" w14:textId="77777777" w:rsidR="00D44BCF" w:rsidRDefault="00D44BCF">
      <w:pPr>
        <w:pStyle w:val="TableofAuthorities"/>
        <w:tabs>
          <w:tab w:val="right" w:leader="dot" w:pos="9061"/>
        </w:tabs>
        <w:rPr>
          <w:noProof/>
        </w:rPr>
      </w:pPr>
      <w:r w:rsidRPr="000A1327">
        <w:rPr>
          <w:rFonts w:cstheme="minorHAnsi"/>
          <w:i/>
          <w:noProof/>
        </w:rPr>
        <w:t>DPP (Cth)</w:t>
      </w:r>
      <w:r w:rsidRPr="000A1327">
        <w:rPr>
          <w:rFonts w:cstheme="minorHAnsi"/>
          <w:noProof/>
        </w:rPr>
        <w:t xml:space="preserve"> </w:t>
      </w:r>
      <w:r w:rsidRPr="000A1327">
        <w:rPr>
          <w:rFonts w:cstheme="minorHAnsi"/>
          <w:i/>
          <w:noProof/>
        </w:rPr>
        <w:t>v Rowson</w:t>
      </w:r>
      <w:r w:rsidRPr="000A1327">
        <w:rPr>
          <w:rFonts w:cstheme="minorHAnsi"/>
          <w:noProof/>
        </w:rPr>
        <w:t xml:space="preserve"> [2007] VSCA 176</w:t>
      </w:r>
      <w:r>
        <w:rPr>
          <w:noProof/>
        </w:rPr>
        <w:tab/>
        <w:t>58</w:t>
      </w:r>
    </w:p>
    <w:p w14:paraId="3180D1B1" w14:textId="77777777" w:rsidR="00D44BCF" w:rsidRDefault="00D44BCF">
      <w:pPr>
        <w:pStyle w:val="TableofAuthorities"/>
        <w:tabs>
          <w:tab w:val="right" w:leader="dot" w:pos="9061"/>
        </w:tabs>
        <w:rPr>
          <w:noProof/>
        </w:rPr>
      </w:pPr>
      <w:r w:rsidRPr="000A1327">
        <w:rPr>
          <w:rFonts w:cstheme="minorHAnsi"/>
          <w:i/>
          <w:iCs/>
          <w:noProof/>
        </w:rPr>
        <w:t>DPP (Cth) v Wallace</w:t>
      </w:r>
      <w:r w:rsidRPr="000A1327">
        <w:rPr>
          <w:rFonts w:cstheme="minorHAnsi"/>
          <w:noProof/>
        </w:rPr>
        <w:t xml:space="preserve"> (2011) 43 WAR 61</w:t>
      </w:r>
      <w:r>
        <w:rPr>
          <w:noProof/>
        </w:rPr>
        <w:tab/>
        <w:t>18, 19, 175, 176, 216</w:t>
      </w:r>
    </w:p>
    <w:p w14:paraId="35F94653" w14:textId="77777777" w:rsidR="00D44BCF" w:rsidRDefault="00D44BCF">
      <w:pPr>
        <w:pStyle w:val="TableofAuthorities"/>
        <w:tabs>
          <w:tab w:val="right" w:leader="dot" w:pos="9061"/>
        </w:tabs>
        <w:rPr>
          <w:noProof/>
        </w:rPr>
      </w:pPr>
      <w:r w:rsidRPr="000A1327">
        <w:rPr>
          <w:rFonts w:cstheme="minorHAnsi"/>
          <w:i/>
          <w:noProof/>
        </w:rPr>
        <w:t xml:space="preserve">DPP (Cth) v Wallace </w:t>
      </w:r>
      <w:r w:rsidRPr="000A1327">
        <w:rPr>
          <w:rFonts w:cstheme="minorHAnsi"/>
          <w:noProof/>
        </w:rPr>
        <w:t>[2011] WASC 286</w:t>
      </w:r>
      <w:r>
        <w:rPr>
          <w:noProof/>
        </w:rPr>
        <w:tab/>
        <w:t>177</w:t>
      </w:r>
    </w:p>
    <w:p w14:paraId="370B9B85" w14:textId="77777777" w:rsidR="00D44BCF" w:rsidRDefault="00D44BCF">
      <w:pPr>
        <w:pStyle w:val="TableofAuthorities"/>
        <w:tabs>
          <w:tab w:val="right" w:leader="dot" w:pos="9061"/>
        </w:tabs>
        <w:rPr>
          <w:noProof/>
        </w:rPr>
      </w:pPr>
      <w:r w:rsidRPr="000A1327">
        <w:rPr>
          <w:rFonts w:cstheme="minorHAnsi"/>
          <w:i/>
          <w:noProof/>
        </w:rPr>
        <w:t>DPP (Cth) v Watson</w:t>
      </w:r>
      <w:r w:rsidRPr="000A1327">
        <w:rPr>
          <w:rFonts w:cstheme="minorHAnsi"/>
          <w:noProof/>
        </w:rPr>
        <w:t xml:space="preserve"> [2016] VSCA 73</w:t>
      </w:r>
      <w:r>
        <w:rPr>
          <w:noProof/>
        </w:rPr>
        <w:tab/>
        <w:t>132</w:t>
      </w:r>
    </w:p>
    <w:p w14:paraId="535A0E17" w14:textId="77777777" w:rsidR="00D44BCF" w:rsidRDefault="00D44BCF">
      <w:pPr>
        <w:pStyle w:val="TableofAuthorities"/>
        <w:tabs>
          <w:tab w:val="right" w:leader="dot" w:pos="9061"/>
        </w:tabs>
        <w:rPr>
          <w:noProof/>
        </w:rPr>
      </w:pPr>
      <w:r w:rsidRPr="000A1327">
        <w:rPr>
          <w:rFonts w:cstheme="minorHAnsi"/>
          <w:i/>
          <w:iCs/>
          <w:noProof/>
        </w:rPr>
        <w:t xml:space="preserve">DPP </w:t>
      </w:r>
      <w:r w:rsidRPr="000A1327">
        <w:rPr>
          <w:rFonts w:cstheme="minorHAnsi"/>
          <w:i/>
          <w:noProof/>
        </w:rPr>
        <w:t>(Cth) v WJB</w:t>
      </w:r>
      <w:r w:rsidRPr="000A1327">
        <w:rPr>
          <w:rFonts w:cstheme="minorHAnsi"/>
          <w:noProof/>
        </w:rPr>
        <w:t xml:space="preserve"> (2000) 78 SASR 44</w:t>
      </w:r>
      <w:r>
        <w:rPr>
          <w:noProof/>
        </w:rPr>
        <w:tab/>
        <w:t>176</w:t>
      </w:r>
    </w:p>
    <w:p w14:paraId="40DB5ADA" w14:textId="77777777" w:rsidR="00D44BCF" w:rsidRDefault="00D44BCF">
      <w:pPr>
        <w:pStyle w:val="TableofAuthorities"/>
        <w:tabs>
          <w:tab w:val="right" w:leader="dot" w:pos="9061"/>
        </w:tabs>
        <w:rPr>
          <w:noProof/>
        </w:rPr>
      </w:pPr>
      <w:r w:rsidRPr="000A1327">
        <w:rPr>
          <w:rFonts w:cstheme="minorHAnsi"/>
          <w:i/>
          <w:noProof/>
        </w:rPr>
        <w:t>DPP (Vic) v Grabovac</w:t>
      </w:r>
      <w:r w:rsidRPr="000A1327">
        <w:rPr>
          <w:rFonts w:cstheme="minorHAnsi"/>
          <w:noProof/>
        </w:rPr>
        <w:t xml:space="preserve"> [1998] 1 VR 664</w:t>
      </w:r>
      <w:r>
        <w:rPr>
          <w:noProof/>
        </w:rPr>
        <w:tab/>
        <w:t>135</w:t>
      </w:r>
    </w:p>
    <w:p w14:paraId="3A393683" w14:textId="77777777" w:rsidR="00D44BCF" w:rsidRDefault="00D44BCF">
      <w:pPr>
        <w:pStyle w:val="TableofAuthorities"/>
        <w:tabs>
          <w:tab w:val="right" w:leader="dot" w:pos="9061"/>
        </w:tabs>
        <w:rPr>
          <w:noProof/>
        </w:rPr>
      </w:pPr>
      <w:r w:rsidRPr="000A1327">
        <w:rPr>
          <w:rFonts w:cstheme="minorHAnsi"/>
          <w:i/>
          <w:noProof/>
        </w:rPr>
        <w:t>DPP</w:t>
      </w:r>
      <w:r w:rsidRPr="000A1327">
        <w:rPr>
          <w:rFonts w:cstheme="minorHAnsi"/>
          <w:noProof/>
        </w:rPr>
        <w:t xml:space="preserve"> v </w:t>
      </w:r>
      <w:r w:rsidRPr="000A1327">
        <w:rPr>
          <w:rFonts w:cstheme="minorHAnsi"/>
          <w:i/>
          <w:noProof/>
        </w:rPr>
        <w:t>Bulfin</w:t>
      </w:r>
      <w:r w:rsidRPr="000A1327">
        <w:rPr>
          <w:rFonts w:cstheme="minorHAnsi"/>
          <w:noProof/>
        </w:rPr>
        <w:t xml:space="preserve"> [1998] 4 VR 114</w:t>
      </w:r>
      <w:r>
        <w:rPr>
          <w:noProof/>
        </w:rPr>
        <w:tab/>
        <w:t>58, 187, 188</w:t>
      </w:r>
    </w:p>
    <w:p w14:paraId="3FED06D9" w14:textId="77777777" w:rsidR="00D44BCF" w:rsidRDefault="00D44BCF">
      <w:pPr>
        <w:pStyle w:val="TableofAuthorities"/>
        <w:tabs>
          <w:tab w:val="right" w:leader="dot" w:pos="9061"/>
        </w:tabs>
        <w:rPr>
          <w:noProof/>
        </w:rPr>
      </w:pPr>
      <w:r w:rsidRPr="000A1327">
        <w:rPr>
          <w:rFonts w:cstheme="minorHAnsi"/>
          <w:i/>
          <w:noProof/>
        </w:rPr>
        <w:t xml:space="preserve">DPP v CBF </w:t>
      </w:r>
      <w:r w:rsidRPr="000A1327">
        <w:rPr>
          <w:rFonts w:cstheme="minorHAnsi"/>
          <w:noProof/>
        </w:rPr>
        <w:t>[2016] TASSCA 1</w:t>
      </w:r>
      <w:r>
        <w:rPr>
          <w:noProof/>
        </w:rPr>
        <w:tab/>
        <w:t>64</w:t>
      </w:r>
    </w:p>
    <w:p w14:paraId="032C82B6" w14:textId="77777777" w:rsidR="00D44BCF" w:rsidRDefault="00D44BCF">
      <w:pPr>
        <w:pStyle w:val="TableofAuthorities"/>
        <w:tabs>
          <w:tab w:val="right" w:leader="dot" w:pos="9061"/>
        </w:tabs>
        <w:rPr>
          <w:noProof/>
        </w:rPr>
      </w:pPr>
      <w:r w:rsidRPr="000A1327">
        <w:rPr>
          <w:rFonts w:cstheme="minorHAnsi"/>
          <w:bCs/>
          <w:i/>
          <w:iCs/>
          <w:noProof/>
        </w:rPr>
        <w:t>DPP v Chatterton</w:t>
      </w:r>
      <w:r w:rsidRPr="000A1327">
        <w:rPr>
          <w:rFonts w:cstheme="minorHAnsi"/>
          <w:bCs/>
          <w:iCs/>
          <w:noProof/>
        </w:rPr>
        <w:t xml:space="preserve"> [2014] VSCA 1</w:t>
      </w:r>
      <w:r>
        <w:rPr>
          <w:noProof/>
        </w:rPr>
        <w:tab/>
        <w:t>46</w:t>
      </w:r>
    </w:p>
    <w:p w14:paraId="5D9F255B" w14:textId="77777777" w:rsidR="00D44BCF" w:rsidRDefault="00D44BCF">
      <w:pPr>
        <w:pStyle w:val="TableofAuthorities"/>
        <w:tabs>
          <w:tab w:val="right" w:leader="dot" w:pos="9061"/>
        </w:tabs>
        <w:rPr>
          <w:noProof/>
        </w:rPr>
      </w:pPr>
      <w:r w:rsidRPr="000A1327">
        <w:rPr>
          <w:rFonts w:cstheme="minorHAnsi"/>
          <w:i/>
          <w:noProof/>
        </w:rPr>
        <w:t>DPP v Cheun Minh</w:t>
      </w:r>
      <w:r w:rsidRPr="000A1327">
        <w:rPr>
          <w:rFonts w:cstheme="minorHAnsi"/>
          <w:noProof/>
        </w:rPr>
        <w:t xml:space="preserve"> [2011] NSWCCA 5</w:t>
      </w:r>
      <w:r>
        <w:rPr>
          <w:noProof/>
        </w:rPr>
        <w:tab/>
        <w:t>200</w:t>
      </w:r>
    </w:p>
    <w:p w14:paraId="3D68F877" w14:textId="77777777" w:rsidR="00D44BCF" w:rsidRDefault="00D44BCF">
      <w:pPr>
        <w:pStyle w:val="TableofAuthorities"/>
        <w:tabs>
          <w:tab w:val="right" w:leader="dot" w:pos="9061"/>
        </w:tabs>
        <w:rPr>
          <w:noProof/>
        </w:rPr>
      </w:pPr>
      <w:r w:rsidRPr="000A1327">
        <w:rPr>
          <w:rFonts w:cstheme="minorHAnsi"/>
          <w:i/>
          <w:noProof/>
        </w:rPr>
        <w:t>DPP v D’Alessandro</w:t>
      </w:r>
      <w:r w:rsidRPr="000A1327">
        <w:rPr>
          <w:rFonts w:cstheme="minorHAnsi"/>
          <w:noProof/>
        </w:rPr>
        <w:t xml:space="preserve"> (2010) 26 VR 477</w:t>
      </w:r>
      <w:r>
        <w:rPr>
          <w:noProof/>
        </w:rPr>
        <w:tab/>
        <w:t>58</w:t>
      </w:r>
    </w:p>
    <w:p w14:paraId="7F10C6FE" w14:textId="77777777" w:rsidR="00D44BCF" w:rsidRDefault="00D44BCF">
      <w:pPr>
        <w:pStyle w:val="TableofAuthorities"/>
        <w:tabs>
          <w:tab w:val="right" w:leader="dot" w:pos="9061"/>
        </w:tabs>
        <w:rPr>
          <w:noProof/>
        </w:rPr>
      </w:pPr>
      <w:r w:rsidRPr="000A1327">
        <w:rPr>
          <w:rFonts w:cstheme="minorHAnsi"/>
          <w:i/>
          <w:noProof/>
        </w:rPr>
        <w:t>DPP v Dalgliesh (a pseudonym)</w:t>
      </w:r>
      <w:r w:rsidRPr="000A1327">
        <w:rPr>
          <w:rFonts w:cstheme="minorHAnsi"/>
          <w:noProof/>
        </w:rPr>
        <w:t xml:space="preserve"> (2017) 91 ALJR 1063</w:t>
      </w:r>
      <w:r>
        <w:rPr>
          <w:noProof/>
        </w:rPr>
        <w:tab/>
        <w:t>33</w:t>
      </w:r>
    </w:p>
    <w:p w14:paraId="41AEEF57" w14:textId="77777777" w:rsidR="00D44BCF" w:rsidRDefault="00D44BCF">
      <w:pPr>
        <w:pStyle w:val="TableofAuthorities"/>
        <w:tabs>
          <w:tab w:val="right" w:leader="dot" w:pos="9061"/>
        </w:tabs>
        <w:rPr>
          <w:noProof/>
        </w:rPr>
      </w:pPr>
      <w:r w:rsidRPr="000A1327">
        <w:rPr>
          <w:rFonts w:cstheme="minorHAnsi"/>
          <w:i/>
          <w:noProof/>
        </w:rPr>
        <w:t>DPP v Dwayhi</w:t>
      </w:r>
      <w:r w:rsidRPr="000A1327">
        <w:rPr>
          <w:rFonts w:cstheme="minorHAnsi"/>
          <w:noProof/>
        </w:rPr>
        <w:t xml:space="preserve"> [2009] NSWSC 1025</w:t>
      </w:r>
      <w:r>
        <w:rPr>
          <w:noProof/>
        </w:rPr>
        <w:tab/>
        <w:t>86</w:t>
      </w:r>
    </w:p>
    <w:p w14:paraId="6F20BA30" w14:textId="77777777" w:rsidR="00D44BCF" w:rsidRDefault="00D44BCF">
      <w:pPr>
        <w:pStyle w:val="TableofAuthorities"/>
        <w:tabs>
          <w:tab w:val="right" w:leader="dot" w:pos="9061"/>
        </w:tabs>
        <w:rPr>
          <w:noProof/>
        </w:rPr>
      </w:pPr>
      <w:r w:rsidRPr="000A1327">
        <w:rPr>
          <w:rFonts w:cstheme="minorHAnsi"/>
          <w:i/>
          <w:noProof/>
        </w:rPr>
        <w:t xml:space="preserve">DPP v Edwards </w:t>
      </w:r>
      <w:r w:rsidRPr="000A1327">
        <w:rPr>
          <w:rFonts w:cstheme="minorHAnsi"/>
          <w:iCs/>
          <w:noProof/>
        </w:rPr>
        <w:t>(2012) 44 VR 114</w:t>
      </w:r>
      <w:r>
        <w:rPr>
          <w:noProof/>
        </w:rPr>
        <w:tab/>
        <w:t>213, 214</w:t>
      </w:r>
    </w:p>
    <w:p w14:paraId="5593BE9E" w14:textId="77777777" w:rsidR="00D44BCF" w:rsidRDefault="00D44BCF">
      <w:pPr>
        <w:pStyle w:val="TableofAuthorities"/>
        <w:tabs>
          <w:tab w:val="right" w:leader="dot" w:pos="9061"/>
        </w:tabs>
        <w:rPr>
          <w:noProof/>
        </w:rPr>
      </w:pPr>
      <w:r w:rsidRPr="000A1327">
        <w:rPr>
          <w:rFonts w:cstheme="minorHAnsi"/>
          <w:i/>
          <w:iCs/>
          <w:noProof/>
        </w:rPr>
        <w:t>DPP v El Mawas</w:t>
      </w:r>
      <w:r w:rsidRPr="000A1327">
        <w:rPr>
          <w:rFonts w:cstheme="minorHAnsi"/>
          <w:noProof/>
        </w:rPr>
        <w:t xml:space="preserve"> (2006) 66 NSWLR 93</w:t>
      </w:r>
      <w:r>
        <w:rPr>
          <w:noProof/>
        </w:rPr>
        <w:tab/>
        <w:t>225</w:t>
      </w:r>
    </w:p>
    <w:p w14:paraId="2004A4EB" w14:textId="77777777" w:rsidR="00D44BCF" w:rsidRDefault="00D44BCF">
      <w:pPr>
        <w:pStyle w:val="TableofAuthorities"/>
        <w:tabs>
          <w:tab w:val="right" w:leader="dot" w:pos="9061"/>
        </w:tabs>
        <w:rPr>
          <w:noProof/>
        </w:rPr>
      </w:pPr>
      <w:r w:rsidRPr="000A1327">
        <w:rPr>
          <w:rFonts w:cstheme="minorHAnsi"/>
          <w:i/>
          <w:noProof/>
        </w:rPr>
        <w:t>DPP v Ellis</w:t>
      </w:r>
      <w:r w:rsidRPr="000A1327">
        <w:rPr>
          <w:rFonts w:cstheme="minorHAnsi"/>
          <w:noProof/>
        </w:rPr>
        <w:t xml:space="preserve"> (2005) 11 VR 287</w:t>
      </w:r>
      <w:r>
        <w:rPr>
          <w:noProof/>
        </w:rPr>
        <w:tab/>
        <w:t>66, 87</w:t>
      </w:r>
    </w:p>
    <w:p w14:paraId="6D3785F6" w14:textId="77777777" w:rsidR="00D44BCF" w:rsidRDefault="00D44BCF">
      <w:pPr>
        <w:pStyle w:val="TableofAuthorities"/>
        <w:tabs>
          <w:tab w:val="right" w:leader="dot" w:pos="9061"/>
        </w:tabs>
        <w:rPr>
          <w:noProof/>
        </w:rPr>
      </w:pPr>
      <w:r w:rsidRPr="000A1327">
        <w:rPr>
          <w:rFonts w:cstheme="minorHAnsi"/>
          <w:i/>
          <w:noProof/>
        </w:rPr>
        <w:t>DPP v Felton</w:t>
      </w:r>
      <w:r w:rsidRPr="000A1327">
        <w:rPr>
          <w:rFonts w:cstheme="minorHAnsi"/>
          <w:noProof/>
        </w:rPr>
        <w:t xml:space="preserve"> [2007] VSCA 65</w:t>
      </w:r>
      <w:r>
        <w:rPr>
          <w:noProof/>
        </w:rPr>
        <w:tab/>
        <w:t>211, 212</w:t>
      </w:r>
    </w:p>
    <w:p w14:paraId="061B3039" w14:textId="77777777" w:rsidR="00D44BCF" w:rsidRDefault="00D44BCF">
      <w:pPr>
        <w:pStyle w:val="TableofAuthorities"/>
        <w:tabs>
          <w:tab w:val="right" w:leader="dot" w:pos="9061"/>
        </w:tabs>
        <w:rPr>
          <w:noProof/>
        </w:rPr>
      </w:pPr>
      <w:r w:rsidRPr="000A1327">
        <w:rPr>
          <w:rFonts w:cstheme="minorHAnsi"/>
          <w:i/>
          <w:noProof/>
        </w:rPr>
        <w:t xml:space="preserve">DPP v Frewstal Pty Ltd </w:t>
      </w:r>
      <w:r w:rsidRPr="000A1327">
        <w:rPr>
          <w:rFonts w:cstheme="minorHAnsi"/>
          <w:noProof/>
        </w:rPr>
        <w:t>(2015) 47 VR 660</w:t>
      </w:r>
      <w:r>
        <w:rPr>
          <w:noProof/>
        </w:rPr>
        <w:tab/>
        <w:t>192, 211, 212</w:t>
      </w:r>
    </w:p>
    <w:p w14:paraId="5C15A5F0" w14:textId="77777777" w:rsidR="00D44BCF" w:rsidRDefault="00D44BCF">
      <w:pPr>
        <w:pStyle w:val="TableofAuthorities"/>
        <w:tabs>
          <w:tab w:val="right" w:leader="dot" w:pos="9061"/>
        </w:tabs>
        <w:rPr>
          <w:noProof/>
        </w:rPr>
      </w:pPr>
      <w:r w:rsidRPr="000A1327">
        <w:rPr>
          <w:rFonts w:cstheme="minorHAnsi"/>
          <w:i/>
          <w:iCs/>
          <w:noProof/>
        </w:rPr>
        <w:t>DPP v Galea</w:t>
      </w:r>
      <w:r w:rsidRPr="000A1327">
        <w:rPr>
          <w:rFonts w:cstheme="minorHAnsi"/>
          <w:noProof/>
        </w:rPr>
        <w:t xml:space="preserve"> [2018] VSC 30</w:t>
      </w:r>
      <w:r>
        <w:rPr>
          <w:noProof/>
        </w:rPr>
        <w:tab/>
        <w:t>261</w:t>
      </w:r>
    </w:p>
    <w:p w14:paraId="458BE0F9" w14:textId="77777777" w:rsidR="00D44BCF" w:rsidRDefault="00D44BCF">
      <w:pPr>
        <w:pStyle w:val="TableofAuthorities"/>
        <w:tabs>
          <w:tab w:val="right" w:leader="dot" w:pos="9061"/>
        </w:tabs>
        <w:rPr>
          <w:noProof/>
        </w:rPr>
      </w:pPr>
      <w:r w:rsidRPr="000A1327">
        <w:rPr>
          <w:rFonts w:cstheme="minorHAnsi"/>
          <w:i/>
          <w:noProof/>
        </w:rPr>
        <w:t>DPP v Gany</w:t>
      </w:r>
      <w:r w:rsidRPr="000A1327">
        <w:rPr>
          <w:rFonts w:cstheme="minorHAnsi"/>
          <w:noProof/>
        </w:rPr>
        <w:t xml:space="preserve"> [2006] VSCA 148</w:t>
      </w:r>
      <w:r>
        <w:rPr>
          <w:noProof/>
        </w:rPr>
        <w:tab/>
        <w:t>191</w:t>
      </w:r>
    </w:p>
    <w:p w14:paraId="224282CE" w14:textId="77777777" w:rsidR="00D44BCF" w:rsidRDefault="00D44BCF">
      <w:pPr>
        <w:pStyle w:val="TableofAuthorities"/>
        <w:tabs>
          <w:tab w:val="right" w:leader="dot" w:pos="9061"/>
        </w:tabs>
        <w:rPr>
          <w:noProof/>
        </w:rPr>
      </w:pPr>
      <w:r w:rsidRPr="000A1327">
        <w:rPr>
          <w:rFonts w:cstheme="minorHAnsi"/>
          <w:i/>
          <w:iCs/>
          <w:noProof/>
        </w:rPr>
        <w:t>DPP v Green</w:t>
      </w:r>
      <w:r w:rsidRPr="000A1327">
        <w:rPr>
          <w:rFonts w:cstheme="minorHAnsi"/>
          <w:noProof/>
        </w:rPr>
        <w:t xml:space="preserve"> (2007) 17 VR 293</w:t>
      </w:r>
      <w:r>
        <w:rPr>
          <w:noProof/>
        </w:rPr>
        <w:tab/>
        <w:t>214, 215</w:t>
      </w:r>
    </w:p>
    <w:p w14:paraId="6CA0E436" w14:textId="77777777" w:rsidR="00D44BCF" w:rsidRDefault="00D44BCF">
      <w:pPr>
        <w:pStyle w:val="TableofAuthorities"/>
        <w:tabs>
          <w:tab w:val="right" w:leader="dot" w:pos="9061"/>
        </w:tabs>
        <w:rPr>
          <w:noProof/>
        </w:rPr>
      </w:pPr>
      <w:r w:rsidRPr="000A1327">
        <w:rPr>
          <w:rFonts w:cstheme="minorHAnsi"/>
          <w:bCs/>
          <w:i/>
          <w:iCs/>
          <w:noProof/>
        </w:rPr>
        <w:t>DPP v Haunga</w:t>
      </w:r>
      <w:r w:rsidRPr="000A1327">
        <w:rPr>
          <w:rFonts w:cstheme="minorHAnsi"/>
          <w:noProof/>
        </w:rPr>
        <w:t xml:space="preserve"> [2001] 4 VR 285</w:t>
      </w:r>
      <w:r>
        <w:rPr>
          <w:noProof/>
        </w:rPr>
        <w:tab/>
        <w:t>2, 200</w:t>
      </w:r>
    </w:p>
    <w:p w14:paraId="735FE17A" w14:textId="77777777" w:rsidR="00D44BCF" w:rsidRDefault="00D44BCF">
      <w:pPr>
        <w:pStyle w:val="TableofAuthorities"/>
        <w:tabs>
          <w:tab w:val="right" w:leader="dot" w:pos="9061"/>
        </w:tabs>
        <w:rPr>
          <w:noProof/>
        </w:rPr>
      </w:pPr>
      <w:r w:rsidRPr="000A1327">
        <w:rPr>
          <w:rFonts w:cstheme="minorHAnsi"/>
          <w:i/>
          <w:noProof/>
        </w:rPr>
        <w:t>DPP v Holder</w:t>
      </w:r>
      <w:r w:rsidRPr="000A1327">
        <w:rPr>
          <w:rFonts w:cstheme="minorHAnsi"/>
          <w:noProof/>
        </w:rPr>
        <w:t xml:space="preserve"> (2014) 41 VR 467</w:t>
      </w:r>
      <w:r>
        <w:rPr>
          <w:noProof/>
        </w:rPr>
        <w:tab/>
        <w:t>184, 185</w:t>
      </w:r>
    </w:p>
    <w:p w14:paraId="4059FAE2" w14:textId="77777777" w:rsidR="00D44BCF" w:rsidRDefault="00D44BCF">
      <w:pPr>
        <w:pStyle w:val="TableofAuthorities"/>
        <w:tabs>
          <w:tab w:val="right" w:leader="dot" w:pos="9061"/>
        </w:tabs>
        <w:rPr>
          <w:noProof/>
        </w:rPr>
      </w:pPr>
      <w:r w:rsidRPr="000A1327">
        <w:rPr>
          <w:rFonts w:cstheme="minorHAnsi"/>
          <w:i/>
          <w:noProof/>
        </w:rPr>
        <w:t>DPP v Hunter</w:t>
      </w:r>
      <w:r w:rsidRPr="000A1327">
        <w:rPr>
          <w:rFonts w:cstheme="minorHAnsi"/>
          <w:noProof/>
        </w:rPr>
        <w:t xml:space="preserve"> (2003) 7 VR 119</w:t>
      </w:r>
      <w:r>
        <w:rPr>
          <w:noProof/>
        </w:rPr>
        <w:tab/>
        <w:t>216</w:t>
      </w:r>
    </w:p>
    <w:p w14:paraId="56FA89CA" w14:textId="77777777" w:rsidR="00D44BCF" w:rsidRDefault="00D44BCF">
      <w:pPr>
        <w:pStyle w:val="TableofAuthorities"/>
        <w:tabs>
          <w:tab w:val="right" w:leader="dot" w:pos="9061"/>
        </w:tabs>
        <w:rPr>
          <w:noProof/>
        </w:rPr>
      </w:pPr>
      <w:r w:rsidRPr="000A1327">
        <w:rPr>
          <w:rFonts w:cstheme="minorHAnsi"/>
          <w:i/>
          <w:noProof/>
        </w:rPr>
        <w:t>DPP v Ip</w:t>
      </w:r>
      <w:r w:rsidRPr="000A1327">
        <w:rPr>
          <w:rFonts w:cstheme="minorHAnsi"/>
          <w:noProof/>
        </w:rPr>
        <w:t xml:space="preserve"> [2005] ACTCA 24</w:t>
      </w:r>
      <w:r>
        <w:rPr>
          <w:noProof/>
        </w:rPr>
        <w:tab/>
        <w:t>67</w:t>
      </w:r>
    </w:p>
    <w:p w14:paraId="6484F47B" w14:textId="77777777" w:rsidR="00D44BCF" w:rsidRDefault="00D44BCF">
      <w:pPr>
        <w:pStyle w:val="TableofAuthorities"/>
        <w:tabs>
          <w:tab w:val="right" w:leader="dot" w:pos="9061"/>
        </w:tabs>
        <w:rPr>
          <w:noProof/>
        </w:rPr>
      </w:pPr>
      <w:r w:rsidRPr="000A1327">
        <w:rPr>
          <w:rFonts w:cstheme="minorHAnsi"/>
          <w:i/>
          <w:noProof/>
        </w:rPr>
        <w:t xml:space="preserve">DPP v Karazisis </w:t>
      </w:r>
      <w:r w:rsidRPr="000A1327">
        <w:rPr>
          <w:rFonts w:cstheme="minorHAnsi"/>
          <w:noProof/>
        </w:rPr>
        <w:t>[2010] VSCA 350</w:t>
      </w:r>
      <w:r>
        <w:rPr>
          <w:noProof/>
        </w:rPr>
        <w:tab/>
        <w:t>88, 89</w:t>
      </w:r>
    </w:p>
    <w:p w14:paraId="5BA3F450" w14:textId="77777777" w:rsidR="00D44BCF" w:rsidRDefault="00D44BCF">
      <w:pPr>
        <w:pStyle w:val="TableofAuthorities"/>
        <w:tabs>
          <w:tab w:val="right" w:leader="dot" w:pos="9061"/>
        </w:tabs>
        <w:rPr>
          <w:noProof/>
        </w:rPr>
      </w:pPr>
      <w:r w:rsidRPr="000A1327">
        <w:rPr>
          <w:rFonts w:cstheme="minorHAnsi"/>
          <w:i/>
          <w:iCs/>
          <w:noProof/>
        </w:rPr>
        <w:t xml:space="preserve">DPP v Leys </w:t>
      </w:r>
      <w:r w:rsidRPr="000A1327">
        <w:rPr>
          <w:rFonts w:cstheme="minorHAnsi"/>
          <w:noProof/>
        </w:rPr>
        <w:t>(2012) 44 VR 1</w:t>
      </w:r>
      <w:r>
        <w:rPr>
          <w:noProof/>
        </w:rPr>
        <w:tab/>
        <w:t>258</w:t>
      </w:r>
    </w:p>
    <w:p w14:paraId="3BE094E7" w14:textId="77777777" w:rsidR="00D44BCF" w:rsidRDefault="00D44BCF">
      <w:pPr>
        <w:pStyle w:val="TableofAuthorities"/>
        <w:tabs>
          <w:tab w:val="right" w:leader="dot" w:pos="9061"/>
        </w:tabs>
        <w:rPr>
          <w:noProof/>
        </w:rPr>
      </w:pPr>
      <w:r w:rsidRPr="000A1327">
        <w:rPr>
          <w:rFonts w:cstheme="minorHAnsi"/>
          <w:i/>
          <w:noProof/>
        </w:rPr>
        <w:t>DPP v McMaster</w:t>
      </w:r>
      <w:r w:rsidRPr="000A1327">
        <w:rPr>
          <w:rFonts w:cstheme="minorHAnsi"/>
          <w:noProof/>
        </w:rPr>
        <w:t xml:space="preserve"> (2008) 19 VR 191</w:t>
      </w:r>
      <w:r>
        <w:rPr>
          <w:noProof/>
        </w:rPr>
        <w:tab/>
        <w:t>28</w:t>
      </w:r>
    </w:p>
    <w:p w14:paraId="31BD34B7" w14:textId="77777777" w:rsidR="00D44BCF" w:rsidRDefault="00D44BCF">
      <w:pPr>
        <w:pStyle w:val="TableofAuthorities"/>
        <w:tabs>
          <w:tab w:val="right" w:leader="dot" w:pos="9061"/>
        </w:tabs>
        <w:rPr>
          <w:noProof/>
        </w:rPr>
      </w:pPr>
      <w:r w:rsidRPr="000A1327">
        <w:rPr>
          <w:rFonts w:cstheme="minorHAnsi"/>
          <w:bCs/>
          <w:i/>
          <w:iCs/>
          <w:noProof/>
        </w:rPr>
        <w:t>DPP v Meyers</w:t>
      </w:r>
      <w:r w:rsidRPr="000A1327">
        <w:rPr>
          <w:rFonts w:cstheme="minorHAnsi"/>
          <w:noProof/>
        </w:rPr>
        <w:t xml:space="preserve"> (Vic SC (Balmford J), 26 April 1996, unreported)</w:t>
      </w:r>
      <w:r>
        <w:rPr>
          <w:noProof/>
        </w:rPr>
        <w:tab/>
        <w:t>118, 179</w:t>
      </w:r>
    </w:p>
    <w:p w14:paraId="429C1F4E" w14:textId="77777777" w:rsidR="00D44BCF" w:rsidRDefault="00D44BCF">
      <w:pPr>
        <w:pStyle w:val="TableofAuthorities"/>
        <w:tabs>
          <w:tab w:val="right" w:leader="dot" w:pos="9061"/>
        </w:tabs>
        <w:rPr>
          <w:noProof/>
        </w:rPr>
      </w:pPr>
      <w:r w:rsidRPr="000A1327">
        <w:rPr>
          <w:rFonts w:cstheme="minorHAnsi"/>
          <w:i/>
          <w:noProof/>
        </w:rPr>
        <w:t>DPP v Moroney</w:t>
      </w:r>
      <w:r w:rsidRPr="000A1327">
        <w:rPr>
          <w:rFonts w:cstheme="minorHAnsi"/>
          <w:noProof/>
        </w:rPr>
        <w:t xml:space="preserve"> [2009] VSC 584</w:t>
      </w:r>
      <w:r>
        <w:rPr>
          <w:noProof/>
        </w:rPr>
        <w:tab/>
        <w:t>96, 98, 99</w:t>
      </w:r>
    </w:p>
    <w:p w14:paraId="7A69D078" w14:textId="77777777" w:rsidR="00D44BCF" w:rsidRDefault="00D44BCF">
      <w:pPr>
        <w:pStyle w:val="TableofAuthorities"/>
        <w:tabs>
          <w:tab w:val="right" w:leader="dot" w:pos="9061"/>
        </w:tabs>
        <w:rPr>
          <w:noProof/>
        </w:rPr>
      </w:pPr>
      <w:r w:rsidRPr="000A1327">
        <w:rPr>
          <w:rFonts w:cstheme="minorHAnsi"/>
          <w:i/>
          <w:noProof/>
        </w:rPr>
        <w:t>DPP v Morris</w:t>
      </w:r>
      <w:r w:rsidRPr="000A1327">
        <w:rPr>
          <w:rFonts w:cstheme="minorHAnsi"/>
          <w:noProof/>
        </w:rPr>
        <w:t xml:space="preserve"> [2015] VSCA 155</w:t>
      </w:r>
      <w:r>
        <w:rPr>
          <w:noProof/>
        </w:rPr>
        <w:tab/>
        <w:t>139</w:t>
      </w:r>
    </w:p>
    <w:p w14:paraId="486F8354" w14:textId="77777777" w:rsidR="00D44BCF" w:rsidRDefault="00D44BCF">
      <w:pPr>
        <w:pStyle w:val="TableofAuthorities"/>
        <w:tabs>
          <w:tab w:val="right" w:leader="dot" w:pos="9061"/>
        </w:tabs>
        <w:rPr>
          <w:noProof/>
        </w:rPr>
      </w:pPr>
      <w:r w:rsidRPr="000A1327">
        <w:rPr>
          <w:rFonts w:cstheme="minorHAnsi"/>
          <w:i/>
          <w:noProof/>
        </w:rPr>
        <w:t>DPP v O’Neill</w:t>
      </w:r>
      <w:r w:rsidRPr="000A1327">
        <w:rPr>
          <w:rFonts w:cstheme="minorHAnsi"/>
          <w:noProof/>
        </w:rPr>
        <w:t xml:space="preserve"> (2015) 47 VR 395</w:t>
      </w:r>
      <w:r>
        <w:rPr>
          <w:noProof/>
        </w:rPr>
        <w:tab/>
        <w:t>63, 64</w:t>
      </w:r>
    </w:p>
    <w:p w14:paraId="790E118B" w14:textId="77777777" w:rsidR="00D44BCF" w:rsidRDefault="00D44BCF">
      <w:pPr>
        <w:pStyle w:val="TableofAuthorities"/>
        <w:tabs>
          <w:tab w:val="right" w:leader="dot" w:pos="9061"/>
        </w:tabs>
        <w:rPr>
          <w:noProof/>
        </w:rPr>
      </w:pPr>
      <w:r w:rsidRPr="000A1327">
        <w:rPr>
          <w:rFonts w:cstheme="minorHAnsi"/>
          <w:i/>
          <w:noProof/>
        </w:rPr>
        <w:t>DPP v Page</w:t>
      </w:r>
      <w:r w:rsidRPr="000A1327">
        <w:rPr>
          <w:rFonts w:cstheme="minorHAnsi"/>
          <w:noProof/>
        </w:rPr>
        <w:t xml:space="preserve"> [2006] VSCA 224</w:t>
      </w:r>
      <w:r>
        <w:rPr>
          <w:noProof/>
        </w:rPr>
        <w:tab/>
        <w:t>88</w:t>
      </w:r>
    </w:p>
    <w:p w14:paraId="2BC3EE25" w14:textId="77777777" w:rsidR="00D44BCF" w:rsidRDefault="00D44BCF">
      <w:pPr>
        <w:pStyle w:val="TableofAuthorities"/>
        <w:tabs>
          <w:tab w:val="right" w:leader="dot" w:pos="9061"/>
        </w:tabs>
        <w:rPr>
          <w:noProof/>
        </w:rPr>
      </w:pPr>
      <w:r w:rsidRPr="000A1327">
        <w:rPr>
          <w:rFonts w:cstheme="minorHAnsi"/>
          <w:bCs/>
          <w:i/>
          <w:iCs/>
          <w:noProof/>
        </w:rPr>
        <w:t>DPP v Parsons</w:t>
      </w:r>
      <w:r w:rsidRPr="000A1327">
        <w:rPr>
          <w:rFonts w:cstheme="minorHAnsi"/>
          <w:noProof/>
        </w:rPr>
        <w:t xml:space="preserve"> (1992) 74 A Crim R 172</w:t>
      </w:r>
      <w:r>
        <w:rPr>
          <w:noProof/>
        </w:rPr>
        <w:tab/>
        <w:t>198, 200</w:t>
      </w:r>
    </w:p>
    <w:p w14:paraId="1693C39B" w14:textId="77777777" w:rsidR="00D44BCF" w:rsidRDefault="00D44BCF">
      <w:pPr>
        <w:pStyle w:val="TableofAuthorities"/>
        <w:tabs>
          <w:tab w:val="right" w:leader="dot" w:pos="9061"/>
        </w:tabs>
        <w:rPr>
          <w:noProof/>
        </w:rPr>
      </w:pPr>
      <w:r w:rsidRPr="000A1327">
        <w:rPr>
          <w:rFonts w:cstheme="minorHAnsi"/>
          <w:i/>
          <w:noProof/>
        </w:rPr>
        <w:t>DPP v Rivette</w:t>
      </w:r>
      <w:r w:rsidRPr="000A1327">
        <w:rPr>
          <w:rFonts w:cstheme="minorHAnsi"/>
          <w:noProof/>
        </w:rPr>
        <w:t xml:space="preserve"> [2017] VSCA 150</w:t>
      </w:r>
      <w:r>
        <w:rPr>
          <w:noProof/>
        </w:rPr>
        <w:tab/>
        <w:t>210, 211, 212</w:t>
      </w:r>
    </w:p>
    <w:p w14:paraId="3DC3D3B2" w14:textId="77777777" w:rsidR="00D44BCF" w:rsidRDefault="00D44BCF">
      <w:pPr>
        <w:pStyle w:val="TableofAuthorities"/>
        <w:tabs>
          <w:tab w:val="right" w:leader="dot" w:pos="9061"/>
        </w:tabs>
        <w:rPr>
          <w:noProof/>
        </w:rPr>
      </w:pPr>
      <w:r w:rsidRPr="000A1327">
        <w:rPr>
          <w:rFonts w:cstheme="minorHAnsi"/>
          <w:i/>
          <w:noProof/>
        </w:rPr>
        <w:t>DPP v Seymour</w:t>
      </w:r>
      <w:r w:rsidRPr="000A1327">
        <w:rPr>
          <w:rFonts w:cstheme="minorHAnsi"/>
          <w:noProof/>
        </w:rPr>
        <w:t xml:space="preserve"> [2009] NSWSC 555</w:t>
      </w:r>
      <w:r>
        <w:rPr>
          <w:noProof/>
        </w:rPr>
        <w:tab/>
        <w:t>225</w:t>
      </w:r>
    </w:p>
    <w:p w14:paraId="1C9D2AF5" w14:textId="77777777" w:rsidR="00D44BCF" w:rsidRDefault="00D44BCF">
      <w:pPr>
        <w:pStyle w:val="TableofAuthorities"/>
        <w:tabs>
          <w:tab w:val="right" w:leader="dot" w:pos="9061"/>
        </w:tabs>
        <w:rPr>
          <w:noProof/>
        </w:rPr>
      </w:pPr>
      <w:r w:rsidRPr="000A1327">
        <w:rPr>
          <w:rFonts w:cstheme="minorHAnsi"/>
          <w:i/>
          <w:noProof/>
        </w:rPr>
        <w:t>DPP v SJK</w:t>
      </w:r>
      <w:r w:rsidRPr="000A1327">
        <w:rPr>
          <w:rFonts w:cstheme="minorHAnsi"/>
          <w:noProof/>
        </w:rPr>
        <w:t xml:space="preserve"> [2002] VSCA 131</w:t>
      </w:r>
      <w:r>
        <w:rPr>
          <w:noProof/>
        </w:rPr>
        <w:tab/>
        <w:t>59</w:t>
      </w:r>
    </w:p>
    <w:p w14:paraId="5485C3EE" w14:textId="77777777" w:rsidR="00D44BCF" w:rsidRDefault="00D44BCF">
      <w:pPr>
        <w:pStyle w:val="TableofAuthorities"/>
        <w:tabs>
          <w:tab w:val="right" w:leader="dot" w:pos="9061"/>
        </w:tabs>
        <w:rPr>
          <w:noProof/>
        </w:rPr>
      </w:pPr>
      <w:r w:rsidRPr="000A1327">
        <w:rPr>
          <w:rFonts w:cstheme="minorHAnsi"/>
          <w:i/>
          <w:noProof/>
        </w:rPr>
        <w:t>DPP v Sokaluk</w:t>
      </w:r>
      <w:r w:rsidRPr="000A1327">
        <w:rPr>
          <w:rFonts w:cstheme="minorHAnsi"/>
          <w:iCs/>
          <w:noProof/>
        </w:rPr>
        <w:t xml:space="preserve"> [2013] VSCA 48</w:t>
      </w:r>
      <w:r>
        <w:rPr>
          <w:noProof/>
        </w:rPr>
        <w:tab/>
        <w:t>58, 64</w:t>
      </w:r>
    </w:p>
    <w:p w14:paraId="2ABA73E1" w14:textId="77777777" w:rsidR="00D44BCF" w:rsidRDefault="00D44BCF">
      <w:pPr>
        <w:pStyle w:val="TableofAuthorities"/>
        <w:tabs>
          <w:tab w:val="right" w:leader="dot" w:pos="9061"/>
        </w:tabs>
        <w:rPr>
          <w:noProof/>
        </w:rPr>
      </w:pPr>
      <w:r w:rsidRPr="000A1327">
        <w:rPr>
          <w:rFonts w:cstheme="minorHAnsi"/>
          <w:i/>
          <w:noProof/>
        </w:rPr>
        <w:t>DPP v Swingler</w:t>
      </w:r>
      <w:r w:rsidRPr="000A1327">
        <w:rPr>
          <w:rFonts w:cstheme="minorHAnsi"/>
          <w:noProof/>
        </w:rPr>
        <w:t xml:space="preserve"> [2017] VSCA 305</w:t>
      </w:r>
      <w:r>
        <w:rPr>
          <w:noProof/>
        </w:rPr>
        <w:tab/>
        <w:t>131, 132, 134, 136, 137, 138, 234</w:t>
      </w:r>
    </w:p>
    <w:p w14:paraId="4DFC403A" w14:textId="77777777" w:rsidR="00D44BCF" w:rsidRDefault="00D44BCF">
      <w:pPr>
        <w:pStyle w:val="TableofAuthorities"/>
        <w:tabs>
          <w:tab w:val="right" w:leader="dot" w:pos="9061"/>
        </w:tabs>
        <w:rPr>
          <w:noProof/>
        </w:rPr>
      </w:pPr>
      <w:r w:rsidRPr="000A1327">
        <w:rPr>
          <w:rFonts w:cstheme="minorHAnsi"/>
          <w:i/>
          <w:noProof/>
        </w:rPr>
        <w:t>DPP v Waack</w:t>
      </w:r>
      <w:r w:rsidRPr="000A1327">
        <w:rPr>
          <w:rFonts w:cstheme="minorHAnsi"/>
          <w:noProof/>
        </w:rPr>
        <w:t xml:space="preserve"> (2001) 3 VR 194</w:t>
      </w:r>
      <w:r>
        <w:rPr>
          <w:noProof/>
        </w:rPr>
        <w:tab/>
        <w:t>191</w:t>
      </w:r>
    </w:p>
    <w:p w14:paraId="6138C177" w14:textId="77777777" w:rsidR="00D44BCF" w:rsidRDefault="00D44BCF">
      <w:pPr>
        <w:pStyle w:val="TableofAuthorities"/>
        <w:tabs>
          <w:tab w:val="right" w:leader="dot" w:pos="9061"/>
        </w:tabs>
        <w:rPr>
          <w:noProof/>
        </w:rPr>
      </w:pPr>
      <w:r w:rsidRPr="000A1327">
        <w:rPr>
          <w:rFonts w:cstheme="minorHAnsi"/>
          <w:i/>
          <w:iCs/>
          <w:noProof/>
        </w:rPr>
        <w:t>DPP v Weybury</w:t>
      </w:r>
      <w:r w:rsidRPr="000A1327">
        <w:rPr>
          <w:rFonts w:cstheme="minorHAnsi"/>
          <w:noProof/>
        </w:rPr>
        <w:t xml:space="preserve"> [2018] VSCA 120</w:t>
      </w:r>
      <w:r>
        <w:rPr>
          <w:noProof/>
        </w:rPr>
        <w:tab/>
        <w:t>34, 190</w:t>
      </w:r>
    </w:p>
    <w:p w14:paraId="5962EE9C" w14:textId="77777777" w:rsidR="00D44BCF" w:rsidRDefault="00D44BCF">
      <w:pPr>
        <w:pStyle w:val="TableofAuthorities"/>
        <w:tabs>
          <w:tab w:val="right" w:leader="dot" w:pos="9061"/>
        </w:tabs>
        <w:rPr>
          <w:noProof/>
        </w:rPr>
      </w:pPr>
      <w:r w:rsidRPr="000A1327">
        <w:rPr>
          <w:rFonts w:cstheme="minorHAnsi"/>
          <w:i/>
          <w:noProof/>
        </w:rPr>
        <w:t>Dreezer v Duvnjak</w:t>
      </w:r>
      <w:r w:rsidRPr="000A1327">
        <w:rPr>
          <w:rFonts w:cstheme="minorHAnsi"/>
          <w:noProof/>
        </w:rPr>
        <w:t xml:space="preserve"> (1996) 6 Tas R 294</w:t>
      </w:r>
      <w:r>
        <w:rPr>
          <w:noProof/>
        </w:rPr>
        <w:tab/>
        <w:t>194</w:t>
      </w:r>
    </w:p>
    <w:p w14:paraId="4368C497" w14:textId="77777777" w:rsidR="00D44BCF" w:rsidRDefault="00D44BCF">
      <w:pPr>
        <w:pStyle w:val="TableofAuthorities"/>
        <w:tabs>
          <w:tab w:val="right" w:leader="dot" w:pos="9061"/>
        </w:tabs>
        <w:rPr>
          <w:noProof/>
        </w:rPr>
      </w:pPr>
      <w:r w:rsidRPr="000A1327">
        <w:rPr>
          <w:rFonts w:cstheme="minorHAnsi"/>
          <w:i/>
          <w:noProof/>
        </w:rPr>
        <w:t>Dui Kol v R</w:t>
      </w:r>
      <w:r w:rsidRPr="000A1327">
        <w:rPr>
          <w:rFonts w:cstheme="minorHAnsi"/>
          <w:noProof/>
        </w:rPr>
        <w:t xml:space="preserve"> [2015] NSWCCA 150</w:t>
      </w:r>
      <w:r>
        <w:rPr>
          <w:noProof/>
        </w:rPr>
        <w:tab/>
        <w:t>56, 218</w:t>
      </w:r>
    </w:p>
    <w:p w14:paraId="254AC09B" w14:textId="77777777" w:rsidR="00D44BCF" w:rsidRDefault="00D44BCF">
      <w:pPr>
        <w:pStyle w:val="TableofAuthorities"/>
        <w:tabs>
          <w:tab w:val="right" w:leader="dot" w:pos="9061"/>
        </w:tabs>
        <w:rPr>
          <w:noProof/>
        </w:rPr>
      </w:pPr>
      <w:r w:rsidRPr="000A1327">
        <w:rPr>
          <w:rFonts w:cstheme="minorHAnsi"/>
          <w:i/>
          <w:noProof/>
        </w:rPr>
        <w:t>Duncan v R</w:t>
      </w:r>
      <w:r w:rsidRPr="000A1327">
        <w:rPr>
          <w:rFonts w:cstheme="minorHAnsi"/>
          <w:noProof/>
        </w:rPr>
        <w:t xml:space="preserve"> (1983) 9 A Crim R 354</w:t>
      </w:r>
      <w:r>
        <w:rPr>
          <w:noProof/>
        </w:rPr>
        <w:tab/>
        <w:t>70</w:t>
      </w:r>
    </w:p>
    <w:p w14:paraId="3FCBB56D" w14:textId="77777777" w:rsidR="00D44BCF" w:rsidRDefault="00D44BCF">
      <w:pPr>
        <w:pStyle w:val="TableofAuthorities"/>
        <w:tabs>
          <w:tab w:val="right" w:leader="dot" w:pos="9061"/>
        </w:tabs>
        <w:rPr>
          <w:noProof/>
        </w:rPr>
      </w:pPr>
      <w:r w:rsidRPr="000A1327">
        <w:rPr>
          <w:rFonts w:cstheme="minorHAnsi"/>
          <w:i/>
          <w:noProof/>
        </w:rPr>
        <w:t>Dunn v Woodcock</w:t>
      </w:r>
      <w:r w:rsidRPr="000A1327">
        <w:rPr>
          <w:rFonts w:cstheme="minorHAnsi"/>
          <w:noProof/>
        </w:rPr>
        <w:t xml:space="preserve"> [2003] NTSC 24</w:t>
      </w:r>
      <w:r>
        <w:rPr>
          <w:noProof/>
        </w:rPr>
        <w:tab/>
        <w:t>104, 162</w:t>
      </w:r>
    </w:p>
    <w:p w14:paraId="04FBFC81" w14:textId="77777777" w:rsidR="00D44BCF" w:rsidRDefault="00D44BCF">
      <w:pPr>
        <w:pStyle w:val="TableofAuthorities"/>
        <w:tabs>
          <w:tab w:val="right" w:leader="dot" w:pos="9061"/>
        </w:tabs>
        <w:rPr>
          <w:noProof/>
        </w:rPr>
      </w:pPr>
      <w:r w:rsidRPr="000A1327">
        <w:rPr>
          <w:rFonts w:cstheme="minorHAnsi"/>
          <w:i/>
          <w:noProof/>
        </w:rPr>
        <w:t>Dunning v Tasmania</w:t>
      </w:r>
      <w:r w:rsidRPr="000A1327">
        <w:rPr>
          <w:rFonts w:cstheme="minorHAnsi"/>
          <w:noProof/>
        </w:rPr>
        <w:t xml:space="preserve"> [2018] TASCCA 21</w:t>
      </w:r>
      <w:r>
        <w:rPr>
          <w:noProof/>
        </w:rPr>
        <w:tab/>
        <w:t>51</w:t>
      </w:r>
    </w:p>
    <w:p w14:paraId="52129589" w14:textId="77777777" w:rsidR="00D44BCF" w:rsidRDefault="00D44BCF">
      <w:pPr>
        <w:pStyle w:val="TableofAuthorities"/>
        <w:tabs>
          <w:tab w:val="right" w:leader="dot" w:pos="9061"/>
        </w:tabs>
        <w:rPr>
          <w:noProof/>
        </w:rPr>
      </w:pPr>
      <w:r w:rsidRPr="000A1327">
        <w:rPr>
          <w:rFonts w:cstheme="minorHAnsi"/>
          <w:i/>
          <w:noProof/>
        </w:rPr>
        <w:t>Duxerty v Minister for Justice and Customs</w:t>
      </w:r>
      <w:r w:rsidRPr="000A1327">
        <w:rPr>
          <w:rFonts w:cstheme="minorHAnsi"/>
          <w:noProof/>
        </w:rPr>
        <w:t xml:space="preserve"> [2002] FCA 1518</w:t>
      </w:r>
      <w:r>
        <w:rPr>
          <w:noProof/>
        </w:rPr>
        <w:tab/>
        <w:t>167</w:t>
      </w:r>
    </w:p>
    <w:p w14:paraId="2DFF9D36" w14:textId="77777777" w:rsidR="00D44BCF" w:rsidRDefault="00D44BCF">
      <w:pPr>
        <w:pStyle w:val="TableofAuthorities"/>
        <w:tabs>
          <w:tab w:val="right" w:leader="dot" w:pos="9061"/>
        </w:tabs>
        <w:rPr>
          <w:noProof/>
        </w:rPr>
      </w:pPr>
      <w:r w:rsidRPr="000A1327">
        <w:rPr>
          <w:rFonts w:cstheme="minorHAnsi"/>
          <w:i/>
          <w:noProof/>
        </w:rPr>
        <w:t>Ebatarinja v Deland</w:t>
      </w:r>
      <w:r w:rsidRPr="000A1327">
        <w:rPr>
          <w:rFonts w:cstheme="minorHAnsi"/>
          <w:noProof/>
        </w:rPr>
        <w:t xml:space="preserve"> (1998) 194 CLR 444</w:t>
      </w:r>
      <w:r>
        <w:rPr>
          <w:noProof/>
        </w:rPr>
        <w:tab/>
        <w:t>224</w:t>
      </w:r>
    </w:p>
    <w:p w14:paraId="423EDE6F" w14:textId="77777777" w:rsidR="00D44BCF" w:rsidRDefault="00D44BCF">
      <w:pPr>
        <w:pStyle w:val="TableofAuthorities"/>
        <w:tabs>
          <w:tab w:val="right" w:leader="dot" w:pos="9061"/>
        </w:tabs>
        <w:rPr>
          <w:noProof/>
        </w:rPr>
      </w:pPr>
      <w:r w:rsidRPr="000A1327">
        <w:rPr>
          <w:rFonts w:cstheme="minorHAnsi"/>
          <w:i/>
          <w:noProof/>
        </w:rPr>
        <w:t>Einfeld v R</w:t>
      </w:r>
      <w:r w:rsidRPr="000A1327">
        <w:rPr>
          <w:rFonts w:cstheme="minorHAnsi"/>
          <w:noProof/>
        </w:rPr>
        <w:t xml:space="preserve"> [2010] NSWCCA 87</w:t>
      </w:r>
      <w:r>
        <w:rPr>
          <w:noProof/>
        </w:rPr>
        <w:tab/>
        <w:t>75, 76</w:t>
      </w:r>
    </w:p>
    <w:p w14:paraId="00E81C8C" w14:textId="77777777" w:rsidR="00D44BCF" w:rsidRDefault="00D44BCF">
      <w:pPr>
        <w:pStyle w:val="TableofAuthorities"/>
        <w:tabs>
          <w:tab w:val="right" w:leader="dot" w:pos="9061"/>
        </w:tabs>
        <w:rPr>
          <w:noProof/>
        </w:rPr>
      </w:pPr>
      <w:r w:rsidRPr="000A1327">
        <w:rPr>
          <w:rFonts w:cstheme="minorHAnsi"/>
          <w:i/>
          <w:noProof/>
        </w:rPr>
        <w:t>El-Ghourani v R</w:t>
      </w:r>
      <w:r w:rsidRPr="000A1327">
        <w:rPr>
          <w:rFonts w:cstheme="minorHAnsi"/>
          <w:noProof/>
        </w:rPr>
        <w:t xml:space="preserve"> [2009] NSWCCA 140</w:t>
      </w:r>
      <w:r>
        <w:rPr>
          <w:noProof/>
        </w:rPr>
        <w:tab/>
        <w:t>27, 28</w:t>
      </w:r>
    </w:p>
    <w:p w14:paraId="639BE0A1" w14:textId="77777777" w:rsidR="00D44BCF" w:rsidRDefault="00D44BCF">
      <w:pPr>
        <w:pStyle w:val="TableofAuthorities"/>
        <w:tabs>
          <w:tab w:val="right" w:leader="dot" w:pos="9061"/>
        </w:tabs>
        <w:rPr>
          <w:noProof/>
        </w:rPr>
      </w:pPr>
      <w:r w:rsidRPr="000A1327">
        <w:rPr>
          <w:rFonts w:cstheme="minorHAnsi"/>
          <w:i/>
          <w:noProof/>
        </w:rPr>
        <w:t xml:space="preserve">El-Hage v R </w:t>
      </w:r>
      <w:r w:rsidRPr="000A1327">
        <w:rPr>
          <w:rFonts w:cstheme="minorHAnsi"/>
          <w:noProof/>
        </w:rPr>
        <w:t>[2012] VSCA 309</w:t>
      </w:r>
      <w:r>
        <w:rPr>
          <w:noProof/>
        </w:rPr>
        <w:tab/>
        <w:t>67</w:t>
      </w:r>
    </w:p>
    <w:p w14:paraId="6E055C0D" w14:textId="77777777" w:rsidR="00D44BCF" w:rsidRDefault="00D44BCF">
      <w:pPr>
        <w:pStyle w:val="TableofAuthorities"/>
        <w:tabs>
          <w:tab w:val="right" w:leader="dot" w:pos="9061"/>
        </w:tabs>
        <w:rPr>
          <w:noProof/>
        </w:rPr>
      </w:pPr>
      <w:r w:rsidRPr="000A1327">
        <w:rPr>
          <w:rFonts w:cstheme="minorHAnsi"/>
          <w:i/>
          <w:noProof/>
        </w:rPr>
        <w:t>Elias v R</w:t>
      </w:r>
      <w:r w:rsidRPr="000A1327">
        <w:rPr>
          <w:rFonts w:cstheme="minorHAnsi"/>
          <w:noProof/>
        </w:rPr>
        <w:t xml:space="preserve"> (2013) 248 CLR 483</w:t>
      </w:r>
      <w:r>
        <w:rPr>
          <w:noProof/>
        </w:rPr>
        <w:tab/>
        <w:t>39, 40</w:t>
      </w:r>
    </w:p>
    <w:p w14:paraId="5EA942AD" w14:textId="77777777" w:rsidR="00D44BCF" w:rsidRDefault="00D44BCF">
      <w:pPr>
        <w:pStyle w:val="TableofAuthorities"/>
        <w:tabs>
          <w:tab w:val="right" w:leader="dot" w:pos="9061"/>
        </w:tabs>
        <w:rPr>
          <w:noProof/>
        </w:rPr>
      </w:pPr>
      <w:r w:rsidRPr="000A1327">
        <w:rPr>
          <w:rFonts w:cstheme="minorHAnsi"/>
          <w:i/>
          <w:noProof/>
        </w:rPr>
        <w:t>Elomar v R</w:t>
      </w:r>
      <w:r w:rsidRPr="000A1327">
        <w:rPr>
          <w:rFonts w:cstheme="minorHAnsi"/>
          <w:noProof/>
        </w:rPr>
        <w:t xml:space="preserve"> [2014] NSWCCA 303</w:t>
      </w:r>
      <w:r>
        <w:rPr>
          <w:noProof/>
        </w:rPr>
        <w:tab/>
        <w:t>29, 58, 69</w:t>
      </w:r>
    </w:p>
    <w:p w14:paraId="1E6FCCAD" w14:textId="77777777" w:rsidR="00D44BCF" w:rsidRDefault="00D44BCF">
      <w:pPr>
        <w:pStyle w:val="TableofAuthorities"/>
        <w:tabs>
          <w:tab w:val="right" w:leader="dot" w:pos="9061"/>
        </w:tabs>
        <w:rPr>
          <w:noProof/>
        </w:rPr>
      </w:pPr>
      <w:r w:rsidRPr="000A1327">
        <w:rPr>
          <w:rFonts w:cstheme="minorHAnsi"/>
          <w:i/>
          <w:noProof/>
        </w:rPr>
        <w:t>Elomar v R</w:t>
      </w:r>
      <w:r w:rsidRPr="000A1327">
        <w:rPr>
          <w:rFonts w:cstheme="minorHAnsi"/>
          <w:noProof/>
        </w:rPr>
        <w:t xml:space="preserve"> [2018] NSWCCA 224</w:t>
      </w:r>
      <w:r>
        <w:rPr>
          <w:noProof/>
        </w:rPr>
        <w:tab/>
        <w:t>44, 46, 59</w:t>
      </w:r>
    </w:p>
    <w:p w14:paraId="420BDCEB" w14:textId="77777777" w:rsidR="00D44BCF" w:rsidRDefault="00D44BCF">
      <w:pPr>
        <w:pStyle w:val="TableofAuthorities"/>
        <w:tabs>
          <w:tab w:val="right" w:leader="dot" w:pos="9061"/>
        </w:tabs>
        <w:rPr>
          <w:noProof/>
        </w:rPr>
      </w:pPr>
      <w:r w:rsidRPr="000A1327">
        <w:rPr>
          <w:rFonts w:cstheme="minorHAnsi"/>
          <w:i/>
          <w:noProof/>
        </w:rPr>
        <w:t>Elshani v R</w:t>
      </w:r>
      <w:r w:rsidRPr="000A1327">
        <w:rPr>
          <w:rFonts w:cstheme="minorHAnsi"/>
          <w:noProof/>
        </w:rPr>
        <w:t xml:space="preserve"> [2015] NSWCCA 254</w:t>
      </w:r>
      <w:r>
        <w:rPr>
          <w:noProof/>
        </w:rPr>
        <w:tab/>
        <w:t>67, 143</w:t>
      </w:r>
    </w:p>
    <w:p w14:paraId="5C26F591" w14:textId="77777777" w:rsidR="00D44BCF" w:rsidRDefault="00D44BCF">
      <w:pPr>
        <w:pStyle w:val="TableofAuthorities"/>
        <w:tabs>
          <w:tab w:val="right" w:leader="dot" w:pos="9061"/>
        </w:tabs>
        <w:rPr>
          <w:noProof/>
        </w:rPr>
      </w:pPr>
      <w:r w:rsidRPr="000A1327">
        <w:rPr>
          <w:rFonts w:cstheme="minorHAnsi"/>
          <w:i/>
          <w:noProof/>
        </w:rPr>
        <w:t xml:space="preserve">Everett v R </w:t>
      </w:r>
      <w:r w:rsidRPr="000A1327">
        <w:rPr>
          <w:rFonts w:cstheme="minorHAnsi"/>
          <w:noProof/>
        </w:rPr>
        <w:t>(1994) 181 CLR 295</w:t>
      </w:r>
      <w:r>
        <w:rPr>
          <w:noProof/>
        </w:rPr>
        <w:tab/>
        <w:t>184, 185, 191</w:t>
      </w:r>
    </w:p>
    <w:p w14:paraId="5DA79F7B" w14:textId="77777777" w:rsidR="00D44BCF" w:rsidRDefault="00D44BCF">
      <w:pPr>
        <w:pStyle w:val="TableofAuthorities"/>
        <w:tabs>
          <w:tab w:val="right" w:leader="dot" w:pos="9061"/>
        </w:tabs>
        <w:rPr>
          <w:noProof/>
        </w:rPr>
      </w:pPr>
      <w:r w:rsidRPr="000A1327">
        <w:rPr>
          <w:rFonts w:cstheme="minorHAnsi"/>
          <w:i/>
          <w:iCs/>
          <w:noProof/>
        </w:rPr>
        <w:t>Fardon v Attorney-General (Qld)</w:t>
      </w:r>
      <w:r w:rsidRPr="000A1327">
        <w:rPr>
          <w:rFonts w:cstheme="minorHAnsi"/>
          <w:noProof/>
        </w:rPr>
        <w:t xml:space="preserve"> (2004) 223 CLR 575</w:t>
      </w:r>
      <w:r>
        <w:rPr>
          <w:noProof/>
        </w:rPr>
        <w:tab/>
        <w:t>216</w:t>
      </w:r>
    </w:p>
    <w:p w14:paraId="029E096E" w14:textId="77777777" w:rsidR="00D44BCF" w:rsidRDefault="00D44BCF">
      <w:pPr>
        <w:pStyle w:val="TableofAuthorities"/>
        <w:tabs>
          <w:tab w:val="right" w:leader="dot" w:pos="9061"/>
        </w:tabs>
        <w:rPr>
          <w:noProof/>
        </w:rPr>
      </w:pPr>
      <w:r w:rsidRPr="000A1327">
        <w:rPr>
          <w:rFonts w:cstheme="minorHAnsi"/>
          <w:i/>
          <w:noProof/>
        </w:rPr>
        <w:t xml:space="preserve">Farrugia v R </w:t>
      </w:r>
      <w:r w:rsidRPr="000A1327">
        <w:rPr>
          <w:rFonts w:cstheme="minorHAnsi"/>
          <w:noProof/>
        </w:rPr>
        <w:t>(2011) 32 VR 140</w:t>
      </w:r>
      <w:r>
        <w:rPr>
          <w:noProof/>
        </w:rPr>
        <w:tab/>
        <w:t>70</w:t>
      </w:r>
    </w:p>
    <w:p w14:paraId="03DC68FA" w14:textId="77777777" w:rsidR="00D44BCF" w:rsidRDefault="00D44BCF">
      <w:pPr>
        <w:pStyle w:val="TableofAuthorities"/>
        <w:tabs>
          <w:tab w:val="right" w:leader="dot" w:pos="9061"/>
        </w:tabs>
        <w:rPr>
          <w:noProof/>
        </w:rPr>
      </w:pPr>
      <w:r w:rsidRPr="000A1327">
        <w:rPr>
          <w:rFonts w:cstheme="minorHAnsi"/>
          <w:i/>
          <w:noProof/>
        </w:rPr>
        <w:t xml:space="preserve">Fasciale v R </w:t>
      </w:r>
      <w:r w:rsidRPr="000A1327">
        <w:rPr>
          <w:rFonts w:cstheme="minorHAnsi"/>
          <w:noProof/>
        </w:rPr>
        <w:t>(2010) 30 VR 643</w:t>
      </w:r>
      <w:r>
        <w:rPr>
          <w:noProof/>
        </w:rPr>
        <w:tab/>
        <w:t>125, 133, 134, 205, 209, 210</w:t>
      </w:r>
    </w:p>
    <w:p w14:paraId="39B3F226" w14:textId="77777777" w:rsidR="00D44BCF" w:rsidRDefault="00D44BCF">
      <w:pPr>
        <w:pStyle w:val="TableofAuthorities"/>
        <w:tabs>
          <w:tab w:val="right" w:leader="dot" w:pos="9061"/>
        </w:tabs>
        <w:rPr>
          <w:noProof/>
        </w:rPr>
      </w:pPr>
      <w:r w:rsidRPr="000A1327">
        <w:rPr>
          <w:rFonts w:cstheme="minorHAnsi"/>
          <w:i/>
          <w:noProof/>
        </w:rPr>
        <w:t>Fattah v R</w:t>
      </w:r>
      <w:r w:rsidRPr="000A1327">
        <w:rPr>
          <w:rFonts w:cstheme="minorHAnsi"/>
          <w:noProof/>
        </w:rPr>
        <w:t xml:space="preserve"> [2016] VSCA 43</w:t>
      </w:r>
      <w:r>
        <w:rPr>
          <w:noProof/>
        </w:rPr>
        <w:tab/>
        <w:t>70</w:t>
      </w:r>
    </w:p>
    <w:p w14:paraId="475D7689" w14:textId="77777777" w:rsidR="00D44BCF" w:rsidRDefault="00D44BCF">
      <w:pPr>
        <w:pStyle w:val="TableofAuthorities"/>
        <w:tabs>
          <w:tab w:val="right" w:leader="dot" w:pos="9061"/>
        </w:tabs>
        <w:rPr>
          <w:noProof/>
        </w:rPr>
      </w:pPr>
      <w:r w:rsidRPr="000A1327">
        <w:rPr>
          <w:rFonts w:cstheme="minorHAnsi"/>
          <w:i/>
          <w:noProof/>
        </w:rPr>
        <w:t xml:space="preserve">Fedele v R </w:t>
      </w:r>
      <w:r w:rsidRPr="000A1327">
        <w:rPr>
          <w:rFonts w:cstheme="minorHAnsi"/>
          <w:noProof/>
        </w:rPr>
        <w:t>[2015] NSWCCA 286</w:t>
      </w:r>
      <w:r>
        <w:rPr>
          <w:noProof/>
        </w:rPr>
        <w:tab/>
        <w:t>117, 123, 124</w:t>
      </w:r>
    </w:p>
    <w:p w14:paraId="67992F0C" w14:textId="77777777" w:rsidR="00D44BCF" w:rsidRDefault="00D44BCF">
      <w:pPr>
        <w:pStyle w:val="TableofAuthorities"/>
        <w:tabs>
          <w:tab w:val="right" w:leader="dot" w:pos="9061"/>
        </w:tabs>
        <w:rPr>
          <w:noProof/>
        </w:rPr>
      </w:pPr>
      <w:r w:rsidRPr="000A1327">
        <w:rPr>
          <w:rFonts w:cstheme="minorHAnsi"/>
          <w:i/>
          <w:noProof/>
        </w:rPr>
        <w:t>Ferenczfy v DPP</w:t>
      </w:r>
      <w:r w:rsidRPr="000A1327">
        <w:rPr>
          <w:rFonts w:cstheme="minorHAnsi"/>
          <w:noProof/>
        </w:rPr>
        <w:t xml:space="preserve"> [2004] SASC 208</w:t>
      </w:r>
      <w:r>
        <w:rPr>
          <w:noProof/>
        </w:rPr>
        <w:tab/>
        <w:t>165</w:t>
      </w:r>
    </w:p>
    <w:p w14:paraId="7AAED1EC" w14:textId="77777777" w:rsidR="00D44BCF" w:rsidRDefault="00D44BCF">
      <w:pPr>
        <w:pStyle w:val="TableofAuthorities"/>
        <w:tabs>
          <w:tab w:val="right" w:leader="dot" w:pos="9061"/>
        </w:tabs>
        <w:rPr>
          <w:noProof/>
        </w:rPr>
      </w:pPr>
      <w:r w:rsidRPr="000A1327">
        <w:rPr>
          <w:rFonts w:cstheme="minorHAnsi"/>
          <w:i/>
          <w:noProof/>
        </w:rPr>
        <w:t>Fitzgerald v R</w:t>
      </w:r>
      <w:r w:rsidRPr="000A1327">
        <w:rPr>
          <w:rFonts w:cstheme="minorHAnsi"/>
          <w:noProof/>
        </w:rPr>
        <w:t xml:space="preserve"> [2015] NSWCCA 266</w:t>
      </w:r>
      <w:r>
        <w:rPr>
          <w:noProof/>
        </w:rPr>
        <w:tab/>
        <w:t>44, 58</w:t>
      </w:r>
    </w:p>
    <w:p w14:paraId="1FB84086" w14:textId="77777777" w:rsidR="00D44BCF" w:rsidRDefault="00D44BCF">
      <w:pPr>
        <w:pStyle w:val="TableofAuthorities"/>
        <w:tabs>
          <w:tab w:val="right" w:leader="dot" w:pos="9061"/>
        </w:tabs>
        <w:rPr>
          <w:noProof/>
        </w:rPr>
      </w:pPr>
      <w:r w:rsidRPr="000A1327">
        <w:rPr>
          <w:rFonts w:cstheme="minorHAnsi"/>
          <w:i/>
          <w:noProof/>
        </w:rPr>
        <w:t xml:space="preserve">Fitzpatrick v R </w:t>
      </w:r>
      <w:r w:rsidRPr="000A1327">
        <w:rPr>
          <w:rFonts w:cstheme="minorHAnsi"/>
          <w:noProof/>
        </w:rPr>
        <w:t>[2016] VSCA 63</w:t>
      </w:r>
      <w:r>
        <w:rPr>
          <w:noProof/>
        </w:rPr>
        <w:tab/>
        <w:t>197, 211, 212</w:t>
      </w:r>
    </w:p>
    <w:p w14:paraId="7A901CD5" w14:textId="77777777" w:rsidR="00D44BCF" w:rsidRDefault="00D44BCF">
      <w:pPr>
        <w:pStyle w:val="TableofAuthorities"/>
        <w:tabs>
          <w:tab w:val="right" w:leader="dot" w:pos="9061"/>
        </w:tabs>
        <w:rPr>
          <w:noProof/>
        </w:rPr>
      </w:pPr>
      <w:r w:rsidRPr="000A1327">
        <w:rPr>
          <w:rFonts w:cstheme="minorHAnsi"/>
          <w:i/>
          <w:noProof/>
        </w:rPr>
        <w:t>Fowler v Gualberto</w:t>
      </w:r>
      <w:r w:rsidRPr="000A1327">
        <w:rPr>
          <w:rFonts w:cstheme="minorHAnsi"/>
          <w:noProof/>
        </w:rPr>
        <w:t xml:space="preserve"> [2006] ACTSC 106</w:t>
      </w:r>
      <w:r>
        <w:rPr>
          <w:noProof/>
        </w:rPr>
        <w:tab/>
        <w:t>161</w:t>
      </w:r>
    </w:p>
    <w:p w14:paraId="05AF1483" w14:textId="77777777" w:rsidR="00D44BCF" w:rsidRDefault="00D44BCF">
      <w:pPr>
        <w:pStyle w:val="TableofAuthorities"/>
        <w:tabs>
          <w:tab w:val="right" w:leader="dot" w:pos="9061"/>
        </w:tabs>
        <w:rPr>
          <w:noProof/>
        </w:rPr>
      </w:pPr>
      <w:r w:rsidRPr="000A1327">
        <w:rPr>
          <w:rFonts w:cstheme="minorHAnsi"/>
          <w:i/>
          <w:noProof/>
        </w:rPr>
        <w:t>Freeman v Pulford</w:t>
      </w:r>
      <w:r w:rsidRPr="000A1327">
        <w:rPr>
          <w:rFonts w:cstheme="minorHAnsi"/>
          <w:noProof/>
        </w:rPr>
        <w:t xml:space="preserve"> (1988) 92 FLR 122</w:t>
      </w:r>
      <w:r>
        <w:rPr>
          <w:noProof/>
        </w:rPr>
        <w:tab/>
        <w:t>123, 124</w:t>
      </w:r>
    </w:p>
    <w:p w14:paraId="28B2A641" w14:textId="77777777" w:rsidR="00D44BCF" w:rsidRDefault="00D44BCF">
      <w:pPr>
        <w:pStyle w:val="TableofAuthorities"/>
        <w:tabs>
          <w:tab w:val="right" w:leader="dot" w:pos="9061"/>
        </w:tabs>
        <w:rPr>
          <w:noProof/>
        </w:rPr>
      </w:pPr>
      <w:r w:rsidRPr="000A1327">
        <w:rPr>
          <w:rFonts w:cstheme="minorHAnsi"/>
          <w:i/>
          <w:noProof/>
        </w:rPr>
        <w:t>Frost v R</w:t>
      </w:r>
      <w:r w:rsidRPr="000A1327">
        <w:rPr>
          <w:rFonts w:cstheme="minorHAnsi"/>
          <w:noProof/>
        </w:rPr>
        <w:t xml:space="preserve"> (2003) 11 Tas R 460</w:t>
      </w:r>
      <w:r>
        <w:rPr>
          <w:noProof/>
        </w:rPr>
        <w:tab/>
        <w:t>144</w:t>
      </w:r>
    </w:p>
    <w:p w14:paraId="68A0DC16" w14:textId="77777777" w:rsidR="00D44BCF" w:rsidRDefault="00D44BCF">
      <w:pPr>
        <w:pStyle w:val="TableofAuthorities"/>
        <w:tabs>
          <w:tab w:val="right" w:leader="dot" w:pos="9061"/>
        </w:tabs>
        <w:rPr>
          <w:noProof/>
        </w:rPr>
      </w:pPr>
      <w:r w:rsidRPr="000A1327">
        <w:rPr>
          <w:rFonts w:cstheme="minorHAnsi"/>
          <w:i/>
          <w:iCs/>
          <w:noProof/>
        </w:rPr>
        <w:t>FS v R</w:t>
      </w:r>
      <w:r w:rsidRPr="000A1327">
        <w:rPr>
          <w:rFonts w:cstheme="minorHAnsi"/>
          <w:noProof/>
        </w:rPr>
        <w:t xml:space="preserve"> [2009] NSWCCA 301</w:t>
      </w:r>
      <w:r>
        <w:rPr>
          <w:noProof/>
        </w:rPr>
        <w:tab/>
        <w:t>55</w:t>
      </w:r>
    </w:p>
    <w:p w14:paraId="7E2814FA" w14:textId="77777777" w:rsidR="00D44BCF" w:rsidRDefault="00D44BCF">
      <w:pPr>
        <w:pStyle w:val="TableofAuthorities"/>
        <w:tabs>
          <w:tab w:val="right" w:leader="dot" w:pos="9061"/>
        </w:tabs>
        <w:rPr>
          <w:noProof/>
        </w:rPr>
      </w:pPr>
      <w:r w:rsidRPr="000A1327">
        <w:rPr>
          <w:rFonts w:cstheme="minorHAnsi"/>
          <w:bCs/>
          <w:i/>
          <w:iCs/>
          <w:noProof/>
        </w:rPr>
        <w:t>GAS v R</w:t>
      </w:r>
      <w:r w:rsidRPr="000A1327">
        <w:rPr>
          <w:rFonts w:cstheme="minorHAnsi"/>
          <w:bCs/>
          <w:iCs/>
          <w:noProof/>
        </w:rPr>
        <w:t xml:space="preserve"> (2004) 217 CLR 198</w:t>
      </w:r>
      <w:r>
        <w:rPr>
          <w:noProof/>
        </w:rPr>
        <w:tab/>
        <w:t>187</w:t>
      </w:r>
    </w:p>
    <w:p w14:paraId="62B9A49E" w14:textId="77777777" w:rsidR="00D44BCF" w:rsidRDefault="00D44BCF">
      <w:pPr>
        <w:pStyle w:val="TableofAuthorities"/>
        <w:tabs>
          <w:tab w:val="right" w:leader="dot" w:pos="9061"/>
        </w:tabs>
        <w:rPr>
          <w:noProof/>
        </w:rPr>
      </w:pPr>
      <w:r w:rsidRPr="000A1327">
        <w:rPr>
          <w:rFonts w:cstheme="minorHAnsi"/>
          <w:i/>
          <w:noProof/>
        </w:rPr>
        <w:t>Geale v Tasmania</w:t>
      </w:r>
      <w:r w:rsidRPr="000A1327">
        <w:rPr>
          <w:rFonts w:cstheme="minorHAnsi"/>
          <w:noProof/>
        </w:rPr>
        <w:t xml:space="preserve"> [2009] TASSC 28</w:t>
      </w:r>
      <w:r>
        <w:rPr>
          <w:noProof/>
        </w:rPr>
        <w:tab/>
        <w:t>129, 130</w:t>
      </w:r>
    </w:p>
    <w:p w14:paraId="06ED2D86" w14:textId="77777777" w:rsidR="00D44BCF" w:rsidRDefault="00D44BCF">
      <w:pPr>
        <w:pStyle w:val="TableofAuthorities"/>
        <w:tabs>
          <w:tab w:val="right" w:leader="dot" w:pos="9061"/>
        </w:tabs>
        <w:rPr>
          <w:noProof/>
        </w:rPr>
      </w:pPr>
      <w:r w:rsidRPr="000A1327">
        <w:rPr>
          <w:rFonts w:cstheme="minorHAnsi"/>
          <w:i/>
          <w:noProof/>
        </w:rPr>
        <w:t>Giourtalis v R</w:t>
      </w:r>
      <w:r w:rsidRPr="000A1327">
        <w:rPr>
          <w:rFonts w:cstheme="minorHAnsi"/>
          <w:noProof/>
        </w:rPr>
        <w:t xml:space="preserve"> [2013] NSWCCA 216</w:t>
      </w:r>
      <w:r>
        <w:rPr>
          <w:noProof/>
        </w:rPr>
        <w:tab/>
        <w:t>71, 72</w:t>
      </w:r>
    </w:p>
    <w:p w14:paraId="53F82547" w14:textId="77777777" w:rsidR="00D44BCF" w:rsidRDefault="00D44BCF">
      <w:pPr>
        <w:pStyle w:val="TableofAuthorities"/>
        <w:tabs>
          <w:tab w:val="right" w:leader="dot" w:pos="9061"/>
        </w:tabs>
        <w:rPr>
          <w:noProof/>
        </w:rPr>
      </w:pPr>
      <w:r w:rsidRPr="000A1327">
        <w:rPr>
          <w:rFonts w:cstheme="minorHAnsi"/>
          <w:i/>
          <w:noProof/>
        </w:rPr>
        <w:t>Gok v R</w:t>
      </w:r>
      <w:r w:rsidRPr="000A1327">
        <w:rPr>
          <w:rFonts w:cstheme="minorHAnsi"/>
          <w:noProof/>
        </w:rPr>
        <w:t xml:space="preserve"> [2010] WASCA 185</w:t>
      </w:r>
      <w:r>
        <w:rPr>
          <w:noProof/>
        </w:rPr>
        <w:tab/>
        <w:t>64</w:t>
      </w:r>
    </w:p>
    <w:p w14:paraId="71BAE616" w14:textId="77777777" w:rsidR="00D44BCF" w:rsidRDefault="00D44BCF">
      <w:pPr>
        <w:pStyle w:val="TableofAuthorities"/>
        <w:tabs>
          <w:tab w:val="right" w:leader="dot" w:pos="9061"/>
        </w:tabs>
        <w:rPr>
          <w:noProof/>
        </w:rPr>
      </w:pPr>
      <w:r w:rsidRPr="000A1327">
        <w:rPr>
          <w:rFonts w:cstheme="minorHAnsi"/>
          <w:i/>
          <w:noProof/>
        </w:rPr>
        <w:t>Gold Coast Boats Pty Ltd v Nixon</w:t>
      </w:r>
      <w:r w:rsidRPr="000A1327">
        <w:rPr>
          <w:rFonts w:cstheme="minorHAnsi"/>
          <w:noProof/>
        </w:rPr>
        <w:t xml:space="preserve"> [2018] QCA 221</w:t>
      </w:r>
      <w:r>
        <w:rPr>
          <w:noProof/>
        </w:rPr>
        <w:tab/>
        <w:t>108</w:t>
      </w:r>
    </w:p>
    <w:p w14:paraId="2A19DD45" w14:textId="77777777" w:rsidR="00D44BCF" w:rsidRDefault="00D44BCF">
      <w:pPr>
        <w:pStyle w:val="TableofAuthorities"/>
        <w:tabs>
          <w:tab w:val="right" w:leader="dot" w:pos="9061"/>
        </w:tabs>
        <w:rPr>
          <w:noProof/>
        </w:rPr>
      </w:pPr>
      <w:r w:rsidRPr="000A1327">
        <w:rPr>
          <w:rFonts w:cstheme="minorHAnsi"/>
          <w:i/>
          <w:noProof/>
        </w:rPr>
        <w:t>Gosland v R</w:t>
      </w:r>
      <w:r w:rsidRPr="000A1327">
        <w:rPr>
          <w:rFonts w:cstheme="minorHAnsi"/>
          <w:noProof/>
        </w:rPr>
        <w:t xml:space="preserve"> [2013] VSCA 269</w:t>
      </w:r>
      <w:r>
        <w:rPr>
          <w:noProof/>
        </w:rPr>
        <w:tab/>
        <w:t>202</w:t>
      </w:r>
    </w:p>
    <w:p w14:paraId="3D4A5C89" w14:textId="77777777" w:rsidR="00D44BCF" w:rsidRDefault="00D44BCF">
      <w:pPr>
        <w:pStyle w:val="TableofAuthorities"/>
        <w:tabs>
          <w:tab w:val="right" w:leader="dot" w:pos="9061"/>
        </w:tabs>
        <w:rPr>
          <w:noProof/>
        </w:rPr>
      </w:pPr>
      <w:r w:rsidRPr="000A1327">
        <w:rPr>
          <w:rFonts w:cstheme="minorHAnsi"/>
          <w:i/>
          <w:noProof/>
        </w:rPr>
        <w:t>Gould v Brown</w:t>
      </w:r>
      <w:r w:rsidRPr="000A1327">
        <w:rPr>
          <w:rFonts w:cstheme="minorHAnsi"/>
          <w:noProof/>
        </w:rPr>
        <w:t xml:space="preserve"> (1998) 193 CLR 346</w:t>
      </w:r>
      <w:r>
        <w:rPr>
          <w:noProof/>
        </w:rPr>
        <w:tab/>
        <w:t>5</w:t>
      </w:r>
    </w:p>
    <w:p w14:paraId="68CCBDA6" w14:textId="77777777" w:rsidR="00D44BCF" w:rsidRDefault="00D44BCF">
      <w:pPr>
        <w:pStyle w:val="TableofAuthorities"/>
        <w:tabs>
          <w:tab w:val="right" w:leader="dot" w:pos="9061"/>
        </w:tabs>
        <w:rPr>
          <w:noProof/>
        </w:rPr>
      </w:pPr>
      <w:r w:rsidRPr="000A1327">
        <w:rPr>
          <w:rFonts w:cstheme="minorHAnsi"/>
          <w:i/>
          <w:noProof/>
        </w:rPr>
        <w:t>Graziosi v DPP (Cth)</w:t>
      </w:r>
      <w:r w:rsidRPr="000A1327">
        <w:rPr>
          <w:rFonts w:cstheme="minorHAnsi"/>
          <w:noProof/>
        </w:rPr>
        <w:t xml:space="preserve"> [2011] VSCA 418</w:t>
      </w:r>
      <w:r>
        <w:rPr>
          <w:noProof/>
        </w:rPr>
        <w:tab/>
        <w:t>51</w:t>
      </w:r>
    </w:p>
    <w:p w14:paraId="119466E5" w14:textId="77777777" w:rsidR="00D44BCF" w:rsidRDefault="00D44BCF">
      <w:pPr>
        <w:pStyle w:val="TableofAuthorities"/>
        <w:tabs>
          <w:tab w:val="right" w:leader="dot" w:pos="9061"/>
        </w:tabs>
        <w:rPr>
          <w:noProof/>
        </w:rPr>
      </w:pPr>
      <w:r w:rsidRPr="000A1327">
        <w:rPr>
          <w:rFonts w:cstheme="minorHAnsi"/>
          <w:i/>
          <w:noProof/>
        </w:rPr>
        <w:t>Green v R</w:t>
      </w:r>
      <w:r w:rsidRPr="000A1327">
        <w:rPr>
          <w:rFonts w:cstheme="minorHAnsi"/>
          <w:noProof/>
        </w:rPr>
        <w:t xml:space="preserve"> (2011) 244 CLR 462</w:t>
      </w:r>
      <w:r>
        <w:rPr>
          <w:noProof/>
        </w:rPr>
        <w:tab/>
        <w:t>69, 70</w:t>
      </w:r>
    </w:p>
    <w:p w14:paraId="053C0DA7" w14:textId="77777777" w:rsidR="00D44BCF" w:rsidRDefault="00D44BCF">
      <w:pPr>
        <w:pStyle w:val="TableofAuthorities"/>
        <w:tabs>
          <w:tab w:val="right" w:leader="dot" w:pos="9061"/>
        </w:tabs>
        <w:rPr>
          <w:noProof/>
        </w:rPr>
      </w:pPr>
      <w:r w:rsidRPr="000A1327">
        <w:rPr>
          <w:rFonts w:cstheme="minorHAnsi"/>
          <w:i/>
          <w:noProof/>
        </w:rPr>
        <w:t xml:space="preserve">Grimm v R </w:t>
      </w:r>
      <w:r w:rsidRPr="000A1327">
        <w:rPr>
          <w:rFonts w:cstheme="minorHAnsi"/>
          <w:noProof/>
        </w:rPr>
        <w:t>(1995) 124 FLR 372</w:t>
      </w:r>
      <w:r>
        <w:rPr>
          <w:noProof/>
        </w:rPr>
        <w:tab/>
        <w:t>121</w:t>
      </w:r>
    </w:p>
    <w:p w14:paraId="6BE46475" w14:textId="77777777" w:rsidR="00D44BCF" w:rsidRDefault="00D44BCF">
      <w:pPr>
        <w:pStyle w:val="TableofAuthorities"/>
        <w:tabs>
          <w:tab w:val="right" w:leader="dot" w:pos="9061"/>
        </w:tabs>
        <w:rPr>
          <w:noProof/>
        </w:rPr>
      </w:pPr>
      <w:r w:rsidRPr="000A1327">
        <w:rPr>
          <w:rFonts w:cstheme="minorHAnsi"/>
          <w:i/>
          <w:noProof/>
        </w:rPr>
        <w:t>Grollo v Bates</w:t>
      </w:r>
      <w:r w:rsidRPr="000A1327">
        <w:rPr>
          <w:rFonts w:cstheme="minorHAnsi"/>
          <w:noProof/>
        </w:rPr>
        <w:t xml:space="preserve"> (1994) 53 FCR 218</w:t>
      </w:r>
      <w:r>
        <w:rPr>
          <w:noProof/>
        </w:rPr>
        <w:tab/>
        <w:t>5, 19</w:t>
      </w:r>
    </w:p>
    <w:p w14:paraId="33EEBD76" w14:textId="77777777" w:rsidR="00D44BCF" w:rsidRDefault="00D44BCF">
      <w:pPr>
        <w:pStyle w:val="TableofAuthorities"/>
        <w:tabs>
          <w:tab w:val="right" w:leader="dot" w:pos="9061"/>
        </w:tabs>
        <w:rPr>
          <w:noProof/>
        </w:rPr>
      </w:pPr>
      <w:r w:rsidRPr="000A1327">
        <w:rPr>
          <w:rFonts w:cstheme="minorHAnsi"/>
          <w:i/>
          <w:noProof/>
        </w:rPr>
        <w:t>Guden v R</w:t>
      </w:r>
      <w:r w:rsidRPr="000A1327">
        <w:rPr>
          <w:rFonts w:cstheme="minorHAnsi"/>
          <w:noProof/>
        </w:rPr>
        <w:t xml:space="preserve"> (2010) 28 VR 288</w:t>
      </w:r>
      <w:r>
        <w:rPr>
          <w:noProof/>
        </w:rPr>
        <w:tab/>
        <w:t>78</w:t>
      </w:r>
    </w:p>
    <w:p w14:paraId="68E73381" w14:textId="77777777" w:rsidR="00D44BCF" w:rsidRDefault="00D44BCF">
      <w:pPr>
        <w:pStyle w:val="TableofAuthorities"/>
        <w:tabs>
          <w:tab w:val="right" w:leader="dot" w:pos="9061"/>
        </w:tabs>
        <w:rPr>
          <w:noProof/>
        </w:rPr>
      </w:pPr>
      <w:r w:rsidRPr="000A1327">
        <w:rPr>
          <w:rFonts w:cstheme="minorHAnsi"/>
          <w:i/>
          <w:iCs/>
          <w:noProof/>
        </w:rPr>
        <w:t>Guerrero</w:t>
      </w:r>
      <w:r w:rsidRPr="000A1327">
        <w:rPr>
          <w:rFonts w:cstheme="minorHAnsi"/>
          <w:noProof/>
        </w:rPr>
        <w:t xml:space="preserve"> v </w:t>
      </w:r>
      <w:r w:rsidRPr="000A1327">
        <w:rPr>
          <w:rFonts w:cstheme="minorHAnsi"/>
          <w:i/>
          <w:iCs/>
          <w:noProof/>
        </w:rPr>
        <w:t>Dickson</w:t>
      </w:r>
      <w:r w:rsidRPr="000A1327">
        <w:rPr>
          <w:rFonts w:cstheme="minorHAnsi"/>
          <w:noProof/>
        </w:rPr>
        <w:t xml:space="preserve"> [2013] WASC 246</w:t>
      </w:r>
      <w:r>
        <w:rPr>
          <w:noProof/>
        </w:rPr>
        <w:tab/>
        <w:t>97, 98</w:t>
      </w:r>
    </w:p>
    <w:p w14:paraId="08AFBB53" w14:textId="77777777" w:rsidR="00D44BCF" w:rsidRDefault="00D44BCF">
      <w:pPr>
        <w:pStyle w:val="TableofAuthorities"/>
        <w:tabs>
          <w:tab w:val="right" w:leader="dot" w:pos="9061"/>
        </w:tabs>
        <w:rPr>
          <w:noProof/>
        </w:rPr>
      </w:pPr>
      <w:r w:rsidRPr="000A1327">
        <w:rPr>
          <w:rFonts w:cstheme="minorHAnsi"/>
          <w:i/>
          <w:noProof/>
        </w:rPr>
        <w:t>Gwardys v R</w:t>
      </w:r>
      <w:r w:rsidRPr="000A1327">
        <w:rPr>
          <w:rFonts w:cstheme="minorHAnsi"/>
          <w:noProof/>
        </w:rPr>
        <w:t xml:space="preserve"> [2019] NSWCCA 62</w:t>
      </w:r>
      <w:r>
        <w:rPr>
          <w:noProof/>
        </w:rPr>
        <w:tab/>
        <w:t>52</w:t>
      </w:r>
    </w:p>
    <w:p w14:paraId="58B2225D" w14:textId="77777777" w:rsidR="00D44BCF" w:rsidRDefault="00D44BCF">
      <w:pPr>
        <w:pStyle w:val="TableofAuthorities"/>
        <w:tabs>
          <w:tab w:val="right" w:leader="dot" w:pos="9061"/>
        </w:tabs>
        <w:rPr>
          <w:noProof/>
        </w:rPr>
      </w:pPr>
      <w:r w:rsidRPr="000A1327">
        <w:rPr>
          <w:rFonts w:cstheme="minorHAnsi"/>
          <w:i/>
          <w:noProof/>
        </w:rPr>
        <w:t>Halac v R</w:t>
      </w:r>
      <w:r w:rsidRPr="000A1327">
        <w:rPr>
          <w:rFonts w:cstheme="minorHAnsi"/>
          <w:noProof/>
        </w:rPr>
        <w:t xml:space="preserve"> [2015] NSWCCA 121</w:t>
      </w:r>
      <w:r>
        <w:rPr>
          <w:noProof/>
        </w:rPr>
        <w:tab/>
        <w:t>28</w:t>
      </w:r>
    </w:p>
    <w:p w14:paraId="44DD2100" w14:textId="77777777" w:rsidR="00D44BCF" w:rsidRDefault="00D44BCF">
      <w:pPr>
        <w:pStyle w:val="TableofAuthorities"/>
        <w:tabs>
          <w:tab w:val="right" w:leader="dot" w:pos="9061"/>
        </w:tabs>
        <w:rPr>
          <w:noProof/>
        </w:rPr>
      </w:pPr>
      <w:r w:rsidRPr="000A1327">
        <w:rPr>
          <w:rFonts w:cstheme="minorHAnsi"/>
          <w:i/>
          <w:noProof/>
        </w:rPr>
        <w:t>Hampton v R</w:t>
      </w:r>
      <w:r w:rsidRPr="000A1327">
        <w:rPr>
          <w:rFonts w:cstheme="minorHAnsi"/>
          <w:noProof/>
        </w:rPr>
        <w:t xml:space="preserve"> [2014] NSWCCA 141</w:t>
      </w:r>
      <w:r>
        <w:rPr>
          <w:noProof/>
        </w:rPr>
        <w:tab/>
        <w:t>130</w:t>
      </w:r>
    </w:p>
    <w:p w14:paraId="7247E752" w14:textId="77777777" w:rsidR="00D44BCF" w:rsidRDefault="00D44BCF">
      <w:pPr>
        <w:pStyle w:val="TableofAuthorities"/>
        <w:tabs>
          <w:tab w:val="right" w:leader="dot" w:pos="9061"/>
        </w:tabs>
        <w:rPr>
          <w:noProof/>
        </w:rPr>
      </w:pPr>
      <w:r w:rsidRPr="000A1327">
        <w:rPr>
          <w:rFonts w:cstheme="minorHAnsi"/>
          <w:i/>
          <w:noProof/>
        </w:rPr>
        <w:t xml:space="preserve">Hancock v R </w:t>
      </w:r>
      <w:r w:rsidRPr="000A1327">
        <w:rPr>
          <w:rFonts w:cstheme="minorHAnsi"/>
          <w:noProof/>
        </w:rPr>
        <w:t>[2012] NSWCCA 200</w:t>
      </w:r>
      <w:r>
        <w:rPr>
          <w:noProof/>
        </w:rPr>
        <w:tab/>
        <w:t>150, 155, 234</w:t>
      </w:r>
    </w:p>
    <w:p w14:paraId="4B822B53" w14:textId="77777777" w:rsidR="00D44BCF" w:rsidRDefault="00D44BCF">
      <w:pPr>
        <w:pStyle w:val="TableofAuthorities"/>
        <w:tabs>
          <w:tab w:val="right" w:leader="dot" w:pos="9061"/>
        </w:tabs>
        <w:rPr>
          <w:noProof/>
        </w:rPr>
      </w:pPr>
      <w:r w:rsidRPr="000A1327">
        <w:rPr>
          <w:rFonts w:cstheme="minorHAnsi"/>
          <w:i/>
          <w:noProof/>
        </w:rPr>
        <w:t>Hannaford v HH (No 2)</w:t>
      </w:r>
      <w:r w:rsidRPr="000A1327">
        <w:rPr>
          <w:rFonts w:cstheme="minorHAnsi"/>
          <w:noProof/>
        </w:rPr>
        <w:t xml:space="preserve"> (2012) 203 FCR 501</w:t>
      </w:r>
      <w:r>
        <w:rPr>
          <w:noProof/>
        </w:rPr>
        <w:tab/>
        <w:t>1</w:t>
      </w:r>
    </w:p>
    <w:p w14:paraId="5BC4F6C7" w14:textId="77777777" w:rsidR="00D44BCF" w:rsidRDefault="00D44BCF">
      <w:pPr>
        <w:pStyle w:val="TableofAuthorities"/>
        <w:tabs>
          <w:tab w:val="right" w:leader="dot" w:pos="9061"/>
        </w:tabs>
        <w:rPr>
          <w:noProof/>
        </w:rPr>
      </w:pPr>
      <w:r w:rsidRPr="000A1327">
        <w:rPr>
          <w:rFonts w:cstheme="minorHAnsi"/>
          <w:i/>
          <w:noProof/>
        </w:rPr>
        <w:t>Harrex v Fraser</w:t>
      </w:r>
      <w:r w:rsidRPr="000A1327">
        <w:rPr>
          <w:rFonts w:cstheme="minorHAnsi"/>
          <w:noProof/>
        </w:rPr>
        <w:t xml:space="preserve"> [2011] ACTSC 172</w:t>
      </w:r>
      <w:r>
        <w:rPr>
          <w:noProof/>
        </w:rPr>
        <w:tab/>
        <w:t>17, 90</w:t>
      </w:r>
    </w:p>
    <w:p w14:paraId="2E3C1227" w14:textId="77777777" w:rsidR="00D44BCF" w:rsidRDefault="00D44BCF">
      <w:pPr>
        <w:pStyle w:val="TableofAuthorities"/>
        <w:tabs>
          <w:tab w:val="right" w:leader="dot" w:pos="9061"/>
        </w:tabs>
        <w:rPr>
          <w:noProof/>
        </w:rPr>
      </w:pPr>
      <w:r w:rsidRPr="000A1327">
        <w:rPr>
          <w:rFonts w:cstheme="minorHAnsi"/>
          <w:i/>
          <w:noProof/>
        </w:rPr>
        <w:t>Hartman v R</w:t>
      </w:r>
      <w:r w:rsidRPr="000A1327">
        <w:rPr>
          <w:rFonts w:cstheme="minorHAnsi"/>
          <w:noProof/>
        </w:rPr>
        <w:t xml:space="preserve"> [2011] NSWCCA 261</w:t>
      </w:r>
      <w:r>
        <w:rPr>
          <w:noProof/>
        </w:rPr>
        <w:tab/>
        <w:t>62</w:t>
      </w:r>
    </w:p>
    <w:p w14:paraId="51911E2F" w14:textId="77777777" w:rsidR="00D44BCF" w:rsidRDefault="00D44BCF">
      <w:pPr>
        <w:pStyle w:val="TableofAuthorities"/>
        <w:tabs>
          <w:tab w:val="right" w:leader="dot" w:pos="9061"/>
        </w:tabs>
        <w:rPr>
          <w:noProof/>
        </w:rPr>
      </w:pPr>
      <w:r w:rsidRPr="000A1327">
        <w:rPr>
          <w:rFonts w:cstheme="minorHAnsi"/>
          <w:i/>
          <w:noProof/>
        </w:rPr>
        <w:t>Hayes v R</w:t>
      </w:r>
      <w:r w:rsidRPr="000A1327">
        <w:rPr>
          <w:rFonts w:cstheme="minorHAnsi"/>
          <w:noProof/>
        </w:rPr>
        <w:t xml:space="preserve"> [2014] VSCA 309</w:t>
      </w:r>
      <w:r>
        <w:rPr>
          <w:noProof/>
        </w:rPr>
        <w:tab/>
        <w:t>100, 104, 162</w:t>
      </w:r>
    </w:p>
    <w:p w14:paraId="473FDDDF" w14:textId="77777777" w:rsidR="00D44BCF" w:rsidRDefault="00D44BCF">
      <w:pPr>
        <w:pStyle w:val="TableofAuthorities"/>
        <w:tabs>
          <w:tab w:val="right" w:leader="dot" w:pos="9061"/>
        </w:tabs>
        <w:rPr>
          <w:noProof/>
        </w:rPr>
      </w:pPr>
      <w:r w:rsidRPr="000A1327">
        <w:rPr>
          <w:rFonts w:cstheme="minorHAnsi"/>
          <w:i/>
          <w:noProof/>
        </w:rPr>
        <w:t>Hicks v R</w:t>
      </w:r>
      <w:r w:rsidRPr="000A1327">
        <w:rPr>
          <w:rFonts w:cstheme="minorHAnsi"/>
          <w:noProof/>
        </w:rPr>
        <w:t xml:space="preserve"> [2016] VSCA 162</w:t>
      </w:r>
      <w:r>
        <w:rPr>
          <w:noProof/>
        </w:rPr>
        <w:tab/>
        <w:t>70</w:t>
      </w:r>
    </w:p>
    <w:p w14:paraId="782F83F5" w14:textId="77777777" w:rsidR="00D44BCF" w:rsidRDefault="00D44BCF">
      <w:pPr>
        <w:pStyle w:val="TableofAuthorities"/>
        <w:tabs>
          <w:tab w:val="right" w:leader="dot" w:pos="9061"/>
        </w:tabs>
        <w:rPr>
          <w:noProof/>
        </w:rPr>
      </w:pPr>
      <w:r w:rsidRPr="000A1327">
        <w:rPr>
          <w:rFonts w:cstheme="minorHAnsi"/>
          <w:i/>
          <w:noProof/>
        </w:rPr>
        <w:t>Higgs v R</w:t>
      </w:r>
      <w:r w:rsidRPr="000A1327">
        <w:rPr>
          <w:rFonts w:cstheme="minorHAnsi"/>
          <w:noProof/>
        </w:rPr>
        <w:t xml:space="preserve"> [2015] VSCA 223</w:t>
      </w:r>
      <w:r>
        <w:rPr>
          <w:noProof/>
        </w:rPr>
        <w:tab/>
        <w:t>73, 74</w:t>
      </w:r>
    </w:p>
    <w:p w14:paraId="51E646F0" w14:textId="77777777" w:rsidR="00D44BCF" w:rsidRDefault="00D44BCF">
      <w:pPr>
        <w:pStyle w:val="TableofAuthorities"/>
        <w:tabs>
          <w:tab w:val="right" w:leader="dot" w:pos="9061"/>
        </w:tabs>
        <w:rPr>
          <w:noProof/>
        </w:rPr>
      </w:pPr>
      <w:r w:rsidRPr="000A1327">
        <w:rPr>
          <w:rFonts w:cstheme="minorHAnsi"/>
          <w:i/>
          <w:noProof/>
        </w:rPr>
        <w:t>Hili v R</w:t>
      </w:r>
      <w:r w:rsidRPr="000A1327">
        <w:rPr>
          <w:rFonts w:cstheme="minorHAnsi"/>
          <w:noProof/>
        </w:rPr>
        <w:t xml:space="preserve"> (2010) 242 CLR 520</w:t>
      </w:r>
      <w:r>
        <w:rPr>
          <w:noProof/>
        </w:rPr>
        <w:tab/>
        <w:t>6, 8, 11, 12, 13, 15, 16, 17, 33, 35, 37, 38, 39, 40, 42, 58, 126, 140, 141, 142, 143, 189, 194</w:t>
      </w:r>
    </w:p>
    <w:p w14:paraId="0A3C45A0" w14:textId="77777777" w:rsidR="00D44BCF" w:rsidRDefault="00D44BCF">
      <w:pPr>
        <w:pStyle w:val="TableofAuthorities"/>
        <w:tabs>
          <w:tab w:val="right" w:leader="dot" w:pos="9061"/>
        </w:tabs>
        <w:rPr>
          <w:noProof/>
        </w:rPr>
      </w:pPr>
      <w:r w:rsidRPr="000A1327">
        <w:rPr>
          <w:rFonts w:cstheme="minorHAnsi"/>
          <w:i/>
          <w:noProof/>
        </w:rPr>
        <w:t>Hill v R</w:t>
      </w:r>
      <w:r w:rsidRPr="000A1327">
        <w:rPr>
          <w:rFonts w:cstheme="minorHAnsi"/>
          <w:noProof/>
        </w:rPr>
        <w:t xml:space="preserve"> [2017] NSWCCA 136</w:t>
      </w:r>
      <w:r>
        <w:rPr>
          <w:noProof/>
        </w:rPr>
        <w:tab/>
        <w:t>72</w:t>
      </w:r>
    </w:p>
    <w:p w14:paraId="4547B5D6" w14:textId="77777777" w:rsidR="00D44BCF" w:rsidRDefault="00D44BCF">
      <w:pPr>
        <w:pStyle w:val="TableofAuthorities"/>
        <w:tabs>
          <w:tab w:val="right" w:leader="dot" w:pos="9061"/>
        </w:tabs>
        <w:rPr>
          <w:noProof/>
        </w:rPr>
      </w:pPr>
      <w:r w:rsidRPr="000A1327">
        <w:rPr>
          <w:rFonts w:cstheme="minorHAnsi"/>
          <w:i/>
          <w:noProof/>
        </w:rPr>
        <w:t>Hilton v Wells</w:t>
      </w:r>
      <w:r w:rsidRPr="000A1327">
        <w:rPr>
          <w:rFonts w:cstheme="minorHAnsi"/>
          <w:noProof/>
        </w:rPr>
        <w:t xml:space="preserve"> (1985) 157 CLR 57</w:t>
      </w:r>
      <w:r>
        <w:rPr>
          <w:noProof/>
        </w:rPr>
        <w:tab/>
        <w:t>5</w:t>
      </w:r>
    </w:p>
    <w:p w14:paraId="6B179ABF" w14:textId="77777777" w:rsidR="00D44BCF" w:rsidRDefault="00D44BCF">
      <w:pPr>
        <w:pStyle w:val="TableofAuthorities"/>
        <w:tabs>
          <w:tab w:val="right" w:leader="dot" w:pos="9061"/>
        </w:tabs>
        <w:rPr>
          <w:noProof/>
        </w:rPr>
      </w:pPr>
      <w:r w:rsidRPr="000A1327">
        <w:rPr>
          <w:rFonts w:cstheme="minorHAnsi"/>
          <w:i/>
          <w:noProof/>
        </w:rPr>
        <w:t>Hookham v R</w:t>
      </w:r>
      <w:r w:rsidRPr="000A1327">
        <w:rPr>
          <w:rFonts w:cstheme="minorHAnsi"/>
          <w:noProof/>
        </w:rPr>
        <w:t xml:space="preserve"> (1994) 181 CLR 450</w:t>
      </w:r>
      <w:r>
        <w:rPr>
          <w:noProof/>
        </w:rPr>
        <w:tab/>
        <w:t>181</w:t>
      </w:r>
    </w:p>
    <w:p w14:paraId="03988096" w14:textId="77777777" w:rsidR="00D44BCF" w:rsidRDefault="00D44BCF">
      <w:pPr>
        <w:pStyle w:val="TableofAuthorities"/>
        <w:tabs>
          <w:tab w:val="right" w:leader="dot" w:pos="9061"/>
        </w:tabs>
        <w:rPr>
          <w:noProof/>
        </w:rPr>
      </w:pPr>
      <w:r w:rsidRPr="000A1327">
        <w:rPr>
          <w:rFonts w:cstheme="minorHAnsi"/>
          <w:i/>
          <w:noProof/>
        </w:rPr>
        <w:t>Houghton v Western Australia</w:t>
      </w:r>
      <w:r w:rsidRPr="000A1327">
        <w:rPr>
          <w:rFonts w:cstheme="minorHAnsi"/>
          <w:noProof/>
        </w:rPr>
        <w:t xml:space="preserve"> (2006) 32 WAR 260</w:t>
      </w:r>
      <w:r>
        <w:rPr>
          <w:noProof/>
        </w:rPr>
        <w:tab/>
        <w:t>77</w:t>
      </w:r>
    </w:p>
    <w:p w14:paraId="0C899CE3" w14:textId="77777777" w:rsidR="00D44BCF" w:rsidRDefault="00D44BCF">
      <w:pPr>
        <w:pStyle w:val="TableofAuthorities"/>
        <w:tabs>
          <w:tab w:val="right" w:leader="dot" w:pos="9061"/>
        </w:tabs>
        <w:rPr>
          <w:noProof/>
        </w:rPr>
      </w:pPr>
      <w:r w:rsidRPr="000A1327">
        <w:rPr>
          <w:rFonts w:cstheme="minorHAnsi"/>
          <w:i/>
          <w:noProof/>
        </w:rPr>
        <w:t xml:space="preserve">House v R </w:t>
      </w:r>
      <w:r w:rsidRPr="000A1327">
        <w:rPr>
          <w:rFonts w:cstheme="minorHAnsi"/>
          <w:noProof/>
        </w:rPr>
        <w:t>(1936) 55 CLR 499</w:t>
      </w:r>
      <w:r>
        <w:rPr>
          <w:noProof/>
        </w:rPr>
        <w:tab/>
        <w:t>188</w:t>
      </w:r>
    </w:p>
    <w:p w14:paraId="16547241" w14:textId="77777777" w:rsidR="00D44BCF" w:rsidRDefault="00D44BCF">
      <w:pPr>
        <w:pStyle w:val="TableofAuthorities"/>
        <w:tabs>
          <w:tab w:val="right" w:leader="dot" w:pos="9061"/>
        </w:tabs>
        <w:rPr>
          <w:noProof/>
        </w:rPr>
      </w:pPr>
      <w:r w:rsidRPr="000A1327">
        <w:rPr>
          <w:rFonts w:cstheme="minorHAnsi"/>
          <w:i/>
          <w:noProof/>
        </w:rPr>
        <w:t>Huang v R</w:t>
      </w:r>
      <w:r w:rsidRPr="000A1327">
        <w:rPr>
          <w:rFonts w:cstheme="minorHAnsi"/>
          <w:noProof/>
        </w:rPr>
        <w:t xml:space="preserve"> [2018] NSWCCA 70</w:t>
      </w:r>
      <w:r>
        <w:rPr>
          <w:noProof/>
        </w:rPr>
        <w:tab/>
        <w:t>51, 203</w:t>
      </w:r>
    </w:p>
    <w:p w14:paraId="40AFED86" w14:textId="77777777" w:rsidR="00D44BCF" w:rsidRDefault="00D44BCF">
      <w:pPr>
        <w:pStyle w:val="TableofAuthorities"/>
        <w:tabs>
          <w:tab w:val="right" w:leader="dot" w:pos="9061"/>
        </w:tabs>
        <w:rPr>
          <w:noProof/>
        </w:rPr>
      </w:pPr>
      <w:r w:rsidRPr="000A1327">
        <w:rPr>
          <w:rFonts w:cstheme="minorHAnsi"/>
          <w:i/>
          <w:noProof/>
        </w:rPr>
        <w:t>Hunt v DPP</w:t>
      </w:r>
      <w:r w:rsidRPr="000A1327">
        <w:rPr>
          <w:rFonts w:cstheme="minorHAnsi"/>
          <w:noProof/>
        </w:rPr>
        <w:t xml:space="preserve"> [2009] SASC 116</w:t>
      </w:r>
      <w:r>
        <w:rPr>
          <w:noProof/>
        </w:rPr>
        <w:tab/>
        <w:t>150, 152</w:t>
      </w:r>
    </w:p>
    <w:p w14:paraId="3837F337" w14:textId="77777777" w:rsidR="00D44BCF" w:rsidRDefault="00D44BCF">
      <w:pPr>
        <w:pStyle w:val="TableofAuthorities"/>
        <w:tabs>
          <w:tab w:val="right" w:leader="dot" w:pos="9061"/>
        </w:tabs>
        <w:rPr>
          <w:noProof/>
        </w:rPr>
      </w:pPr>
      <w:r w:rsidRPr="000A1327">
        <w:rPr>
          <w:rFonts w:cstheme="minorHAnsi"/>
          <w:i/>
          <w:noProof/>
        </w:rPr>
        <w:t>Huynh v R</w:t>
      </w:r>
      <w:r w:rsidRPr="000A1327">
        <w:rPr>
          <w:rFonts w:cstheme="minorHAnsi"/>
          <w:noProof/>
        </w:rPr>
        <w:t xml:space="preserve"> [2015] NSWCCA 167</w:t>
      </w:r>
      <w:r>
        <w:rPr>
          <w:noProof/>
        </w:rPr>
        <w:tab/>
        <w:t>67</w:t>
      </w:r>
    </w:p>
    <w:p w14:paraId="557A4E09" w14:textId="77777777" w:rsidR="00D44BCF" w:rsidRDefault="00D44BCF">
      <w:pPr>
        <w:pStyle w:val="TableofAuthorities"/>
        <w:tabs>
          <w:tab w:val="right" w:leader="dot" w:pos="9061"/>
        </w:tabs>
        <w:rPr>
          <w:noProof/>
        </w:rPr>
      </w:pPr>
      <w:r w:rsidRPr="000A1327">
        <w:rPr>
          <w:rFonts w:cstheme="minorHAnsi"/>
          <w:i/>
          <w:noProof/>
        </w:rPr>
        <w:t>IM v R</w:t>
      </w:r>
      <w:r w:rsidRPr="000A1327">
        <w:rPr>
          <w:rFonts w:cstheme="minorHAnsi"/>
          <w:noProof/>
        </w:rPr>
        <w:t xml:space="preserve"> [2019] NSWCCA 107</w:t>
      </w:r>
      <w:r>
        <w:rPr>
          <w:noProof/>
        </w:rPr>
        <w:tab/>
        <w:t>28, 52, 58, 62, 69, 220</w:t>
      </w:r>
    </w:p>
    <w:p w14:paraId="50108CEE" w14:textId="77777777" w:rsidR="00D44BCF" w:rsidRDefault="00D44BCF">
      <w:pPr>
        <w:pStyle w:val="TableofAuthorities"/>
        <w:tabs>
          <w:tab w:val="right" w:leader="dot" w:pos="9061"/>
        </w:tabs>
        <w:rPr>
          <w:noProof/>
        </w:rPr>
      </w:pPr>
      <w:r w:rsidRPr="000A1327">
        <w:rPr>
          <w:rFonts w:cstheme="minorHAnsi"/>
          <w:i/>
          <w:noProof/>
        </w:rPr>
        <w:t>Imbornone v R</w:t>
      </w:r>
      <w:r w:rsidRPr="000A1327">
        <w:rPr>
          <w:rFonts w:cstheme="minorHAnsi"/>
          <w:noProof/>
        </w:rPr>
        <w:t xml:space="preserve"> [2017] NSWCCA 144</w:t>
      </w:r>
      <w:r>
        <w:rPr>
          <w:noProof/>
        </w:rPr>
        <w:tab/>
        <w:t>28, 48, 188</w:t>
      </w:r>
    </w:p>
    <w:p w14:paraId="25FB6240" w14:textId="77777777" w:rsidR="00D44BCF" w:rsidRDefault="00D44BCF">
      <w:pPr>
        <w:pStyle w:val="TableofAuthorities"/>
        <w:tabs>
          <w:tab w:val="right" w:leader="dot" w:pos="9061"/>
        </w:tabs>
        <w:rPr>
          <w:noProof/>
        </w:rPr>
      </w:pPr>
      <w:r w:rsidRPr="000A1327">
        <w:rPr>
          <w:rFonts w:cstheme="minorHAnsi"/>
          <w:i/>
          <w:noProof/>
        </w:rPr>
        <w:t>Irvine v Hanna-Rivero</w:t>
      </w:r>
      <w:r w:rsidRPr="000A1327">
        <w:rPr>
          <w:rFonts w:cstheme="minorHAnsi"/>
          <w:noProof/>
        </w:rPr>
        <w:t xml:space="preserve"> (1991) 23 IPR 295</w:t>
      </w:r>
      <w:r>
        <w:rPr>
          <w:noProof/>
        </w:rPr>
        <w:tab/>
        <w:t>212</w:t>
      </w:r>
    </w:p>
    <w:p w14:paraId="37F4F848" w14:textId="77777777" w:rsidR="00D44BCF" w:rsidRDefault="00D44BCF">
      <w:pPr>
        <w:pStyle w:val="TableofAuthorities"/>
        <w:tabs>
          <w:tab w:val="right" w:leader="dot" w:pos="9061"/>
        </w:tabs>
        <w:rPr>
          <w:noProof/>
        </w:rPr>
      </w:pPr>
      <w:r w:rsidRPr="000A1327">
        <w:rPr>
          <w:rFonts w:cstheme="minorHAnsi"/>
          <w:i/>
          <w:noProof/>
        </w:rPr>
        <w:t>Isaac v R</w:t>
      </w:r>
      <w:r w:rsidRPr="000A1327">
        <w:rPr>
          <w:rFonts w:cstheme="minorHAnsi"/>
          <w:noProof/>
        </w:rPr>
        <w:t xml:space="preserve"> [2012] NSWCCA 195</w:t>
      </w:r>
      <w:r>
        <w:rPr>
          <w:noProof/>
        </w:rPr>
        <w:tab/>
        <w:t>50, 53, 54, 55</w:t>
      </w:r>
    </w:p>
    <w:p w14:paraId="4BE5C37D" w14:textId="77777777" w:rsidR="00D44BCF" w:rsidRDefault="00D44BCF">
      <w:pPr>
        <w:pStyle w:val="TableofAuthorities"/>
        <w:tabs>
          <w:tab w:val="right" w:leader="dot" w:pos="9061"/>
        </w:tabs>
        <w:rPr>
          <w:noProof/>
        </w:rPr>
      </w:pPr>
      <w:r w:rsidRPr="000A1327">
        <w:rPr>
          <w:rFonts w:cstheme="minorHAnsi"/>
          <w:i/>
          <w:noProof/>
        </w:rPr>
        <w:t>Isaacs v R</w:t>
      </w:r>
      <w:r w:rsidRPr="000A1327">
        <w:rPr>
          <w:rFonts w:cstheme="minorHAnsi"/>
          <w:noProof/>
        </w:rPr>
        <w:t xml:space="preserve"> (1997) 41 NSWLR 374</w:t>
      </w:r>
      <w:r>
        <w:rPr>
          <w:noProof/>
        </w:rPr>
        <w:tab/>
        <w:t>23</w:t>
      </w:r>
    </w:p>
    <w:p w14:paraId="48896A60" w14:textId="77777777" w:rsidR="00D44BCF" w:rsidRDefault="00D44BCF">
      <w:pPr>
        <w:pStyle w:val="TableofAuthorities"/>
        <w:tabs>
          <w:tab w:val="right" w:leader="dot" w:pos="9061"/>
        </w:tabs>
        <w:rPr>
          <w:noProof/>
        </w:rPr>
      </w:pPr>
      <w:r w:rsidRPr="000A1327">
        <w:rPr>
          <w:rFonts w:cstheme="minorHAnsi"/>
          <w:i/>
          <w:noProof/>
        </w:rPr>
        <w:t>Islam</w:t>
      </w:r>
      <w:r w:rsidRPr="000A1327">
        <w:rPr>
          <w:rFonts w:cstheme="minorHAnsi"/>
          <w:noProof/>
        </w:rPr>
        <w:t xml:space="preserve"> v </w:t>
      </w:r>
      <w:r w:rsidRPr="000A1327">
        <w:rPr>
          <w:rFonts w:cstheme="minorHAnsi"/>
          <w:i/>
          <w:noProof/>
        </w:rPr>
        <w:t>R</w:t>
      </w:r>
      <w:r w:rsidRPr="000A1327">
        <w:rPr>
          <w:rFonts w:cstheme="minorHAnsi"/>
          <w:noProof/>
        </w:rPr>
        <w:t xml:space="preserve"> [2006] ACTCA 21</w:t>
      </w:r>
      <w:r>
        <w:rPr>
          <w:noProof/>
        </w:rPr>
        <w:tab/>
        <w:t>79</w:t>
      </w:r>
    </w:p>
    <w:p w14:paraId="5AC2C827" w14:textId="77777777" w:rsidR="00D44BCF" w:rsidRDefault="00D44BCF">
      <w:pPr>
        <w:pStyle w:val="TableofAuthorities"/>
        <w:tabs>
          <w:tab w:val="right" w:leader="dot" w:pos="9061"/>
        </w:tabs>
        <w:rPr>
          <w:noProof/>
        </w:rPr>
      </w:pPr>
      <w:r w:rsidRPr="000A1327">
        <w:rPr>
          <w:rFonts w:cstheme="minorHAnsi"/>
          <w:i/>
          <w:noProof/>
        </w:rPr>
        <w:t>Islam v R</w:t>
      </w:r>
      <w:r w:rsidRPr="000A1327">
        <w:rPr>
          <w:rFonts w:cstheme="minorHAnsi"/>
          <w:noProof/>
        </w:rPr>
        <w:t xml:space="preserve"> [2016] NSWCCA 233</w:t>
      </w:r>
      <w:r>
        <w:rPr>
          <w:noProof/>
        </w:rPr>
        <w:tab/>
        <w:t>29</w:t>
      </w:r>
    </w:p>
    <w:p w14:paraId="7D8573DB" w14:textId="77777777" w:rsidR="00D44BCF" w:rsidRDefault="00D44BCF">
      <w:pPr>
        <w:pStyle w:val="TableofAuthorities"/>
        <w:tabs>
          <w:tab w:val="right" w:leader="dot" w:pos="9061"/>
        </w:tabs>
        <w:rPr>
          <w:noProof/>
        </w:rPr>
      </w:pPr>
      <w:r w:rsidRPr="000A1327">
        <w:rPr>
          <w:rFonts w:cstheme="minorHAnsi"/>
          <w:i/>
          <w:noProof/>
        </w:rPr>
        <w:t xml:space="preserve">Jackson v Minister for Justice </w:t>
      </w:r>
      <w:r w:rsidRPr="000A1327">
        <w:rPr>
          <w:rFonts w:cstheme="minorHAnsi"/>
          <w:noProof/>
        </w:rPr>
        <w:t>[2011] FCA 831</w:t>
      </w:r>
      <w:r>
        <w:rPr>
          <w:noProof/>
        </w:rPr>
        <w:tab/>
        <w:t>167</w:t>
      </w:r>
    </w:p>
    <w:p w14:paraId="03BA83C9" w14:textId="77777777" w:rsidR="00D44BCF" w:rsidRDefault="00D44BCF">
      <w:pPr>
        <w:pStyle w:val="TableofAuthorities"/>
        <w:tabs>
          <w:tab w:val="right" w:leader="dot" w:pos="9061"/>
        </w:tabs>
        <w:rPr>
          <w:noProof/>
        </w:rPr>
      </w:pPr>
      <w:r w:rsidRPr="000A1327">
        <w:rPr>
          <w:rFonts w:cstheme="minorHAnsi"/>
          <w:i/>
          <w:noProof/>
        </w:rPr>
        <w:t>Jahandideh v R</w:t>
      </w:r>
      <w:r w:rsidRPr="000A1327">
        <w:rPr>
          <w:rFonts w:cstheme="minorHAnsi"/>
          <w:noProof/>
        </w:rPr>
        <w:t xml:space="preserve"> [2014] NSWCCA 178</w:t>
      </w:r>
      <w:r>
        <w:rPr>
          <w:noProof/>
        </w:rPr>
        <w:tab/>
        <w:t>110</w:t>
      </w:r>
    </w:p>
    <w:p w14:paraId="255E66CD" w14:textId="77777777" w:rsidR="00D44BCF" w:rsidRDefault="00D44BCF">
      <w:pPr>
        <w:pStyle w:val="TableofAuthorities"/>
        <w:tabs>
          <w:tab w:val="right" w:leader="dot" w:pos="9061"/>
        </w:tabs>
        <w:rPr>
          <w:noProof/>
        </w:rPr>
      </w:pPr>
      <w:r w:rsidRPr="000A1327">
        <w:rPr>
          <w:rFonts w:cstheme="minorHAnsi"/>
          <w:i/>
          <w:noProof/>
        </w:rPr>
        <w:t>Janssen v McShane</w:t>
      </w:r>
      <w:r w:rsidRPr="000A1327">
        <w:rPr>
          <w:rFonts w:cstheme="minorHAnsi"/>
          <w:noProof/>
        </w:rPr>
        <w:t xml:space="preserve"> [1992] TASSC 99</w:t>
      </w:r>
      <w:r>
        <w:rPr>
          <w:noProof/>
        </w:rPr>
        <w:tab/>
        <w:t>123, 209</w:t>
      </w:r>
    </w:p>
    <w:p w14:paraId="319A8377" w14:textId="77777777" w:rsidR="00D44BCF" w:rsidRDefault="00D44BCF">
      <w:pPr>
        <w:pStyle w:val="TableofAuthorities"/>
        <w:tabs>
          <w:tab w:val="right" w:leader="dot" w:pos="9061"/>
        </w:tabs>
        <w:rPr>
          <w:noProof/>
        </w:rPr>
      </w:pPr>
      <w:r w:rsidRPr="000A1327">
        <w:rPr>
          <w:rFonts w:cstheme="minorHAnsi"/>
          <w:i/>
          <w:noProof/>
        </w:rPr>
        <w:t>Jimmy v R</w:t>
      </w:r>
      <w:r w:rsidRPr="000A1327">
        <w:rPr>
          <w:rFonts w:cstheme="minorHAnsi"/>
          <w:noProof/>
        </w:rPr>
        <w:t xml:space="preserve"> (2010) 77 NSWLR 540</w:t>
      </w:r>
      <w:r>
        <w:rPr>
          <w:noProof/>
        </w:rPr>
        <w:tab/>
        <w:t>70</w:t>
      </w:r>
    </w:p>
    <w:p w14:paraId="0FB24087" w14:textId="77777777" w:rsidR="00D44BCF" w:rsidRDefault="00D44BCF">
      <w:pPr>
        <w:pStyle w:val="TableofAuthorities"/>
        <w:tabs>
          <w:tab w:val="right" w:leader="dot" w:pos="9061"/>
        </w:tabs>
        <w:rPr>
          <w:noProof/>
        </w:rPr>
      </w:pPr>
      <w:r w:rsidRPr="000A1327">
        <w:rPr>
          <w:rFonts w:cstheme="minorHAnsi"/>
          <w:i/>
          <w:noProof/>
        </w:rPr>
        <w:t>John C. Morish Pty Ltd v Luckman</w:t>
      </w:r>
      <w:r w:rsidRPr="000A1327">
        <w:rPr>
          <w:rFonts w:cstheme="minorHAnsi"/>
          <w:noProof/>
        </w:rPr>
        <w:t xml:space="preserve"> (1977) 16 SASR 143</w:t>
      </w:r>
      <w:r>
        <w:rPr>
          <w:noProof/>
        </w:rPr>
        <w:tab/>
        <w:t>102</w:t>
      </w:r>
    </w:p>
    <w:p w14:paraId="44623BC8" w14:textId="77777777" w:rsidR="00D44BCF" w:rsidRDefault="00D44BCF">
      <w:pPr>
        <w:pStyle w:val="TableofAuthorities"/>
        <w:tabs>
          <w:tab w:val="right" w:leader="dot" w:pos="9061"/>
        </w:tabs>
        <w:rPr>
          <w:noProof/>
        </w:rPr>
      </w:pPr>
      <w:r w:rsidRPr="000A1327">
        <w:rPr>
          <w:rFonts w:cstheme="minorHAnsi"/>
          <w:i/>
          <w:noProof/>
        </w:rPr>
        <w:t>John Robertson &amp; Co Ltd</w:t>
      </w:r>
      <w:r w:rsidRPr="000A1327">
        <w:rPr>
          <w:rFonts w:cstheme="minorHAnsi"/>
          <w:i/>
          <w:iCs/>
          <w:noProof/>
        </w:rPr>
        <w:t xml:space="preserve"> v </w:t>
      </w:r>
      <w:r w:rsidRPr="000A1327">
        <w:rPr>
          <w:rFonts w:cstheme="minorHAnsi"/>
          <w:i/>
          <w:noProof/>
        </w:rPr>
        <w:t>Ferguson Transformers Pty Ltd</w:t>
      </w:r>
      <w:r w:rsidRPr="000A1327">
        <w:rPr>
          <w:rFonts w:cstheme="minorHAnsi"/>
          <w:noProof/>
        </w:rPr>
        <w:t xml:space="preserve"> (1973) 129 CLR 65</w:t>
      </w:r>
      <w:r>
        <w:rPr>
          <w:noProof/>
        </w:rPr>
        <w:tab/>
        <w:t>6</w:t>
      </w:r>
    </w:p>
    <w:p w14:paraId="079C3F1A" w14:textId="77777777" w:rsidR="00D44BCF" w:rsidRDefault="00D44BCF">
      <w:pPr>
        <w:pStyle w:val="TableofAuthorities"/>
        <w:tabs>
          <w:tab w:val="right" w:leader="dot" w:pos="9061"/>
        </w:tabs>
        <w:rPr>
          <w:noProof/>
        </w:rPr>
      </w:pPr>
      <w:r w:rsidRPr="000A1327">
        <w:rPr>
          <w:rFonts w:cstheme="minorHAnsi"/>
          <w:i/>
          <w:iCs/>
          <w:noProof/>
        </w:rPr>
        <w:t>Johnson v R</w:t>
      </w:r>
      <w:r w:rsidRPr="000A1327">
        <w:rPr>
          <w:rFonts w:cstheme="minorHAnsi"/>
          <w:noProof/>
        </w:rPr>
        <w:t xml:space="preserve"> (2004) 78 ALJR 616</w:t>
      </w:r>
      <w:r>
        <w:rPr>
          <w:noProof/>
        </w:rPr>
        <w:tab/>
        <w:t>11, 12, 23, 29, 35, 37, 40, 44, 129, 135, 171, 172</w:t>
      </w:r>
    </w:p>
    <w:p w14:paraId="102D7AF3" w14:textId="77777777" w:rsidR="00D44BCF" w:rsidRDefault="00D44BCF">
      <w:pPr>
        <w:pStyle w:val="TableofAuthorities"/>
        <w:tabs>
          <w:tab w:val="right" w:leader="dot" w:pos="9061"/>
        </w:tabs>
        <w:rPr>
          <w:noProof/>
        </w:rPr>
      </w:pPr>
      <w:r w:rsidRPr="000A1327">
        <w:rPr>
          <w:rFonts w:cstheme="minorHAnsi"/>
          <w:i/>
          <w:noProof/>
        </w:rPr>
        <w:t>Johnsson v R</w:t>
      </w:r>
      <w:r w:rsidRPr="000A1327">
        <w:rPr>
          <w:rFonts w:cstheme="minorHAnsi"/>
          <w:noProof/>
        </w:rPr>
        <w:t xml:space="preserve"> [2007] NSWCCA 192</w:t>
      </w:r>
      <w:r>
        <w:rPr>
          <w:noProof/>
        </w:rPr>
        <w:tab/>
        <w:t>117, 208, 210</w:t>
      </w:r>
    </w:p>
    <w:p w14:paraId="3BD28017" w14:textId="77777777" w:rsidR="00D44BCF" w:rsidRDefault="00D44BCF">
      <w:pPr>
        <w:pStyle w:val="TableofAuthorities"/>
        <w:tabs>
          <w:tab w:val="right" w:leader="dot" w:pos="9061"/>
        </w:tabs>
        <w:rPr>
          <w:noProof/>
        </w:rPr>
      </w:pPr>
      <w:r w:rsidRPr="000A1327">
        <w:rPr>
          <w:rFonts w:cstheme="minorHAnsi"/>
          <w:i/>
          <w:noProof/>
        </w:rPr>
        <w:t>Jones v Morley</w:t>
      </w:r>
      <w:r w:rsidRPr="000A1327">
        <w:rPr>
          <w:rFonts w:cstheme="minorHAnsi"/>
          <w:noProof/>
        </w:rPr>
        <w:t xml:space="preserve"> (1981) 29 SASR 57</w:t>
      </w:r>
      <w:r>
        <w:rPr>
          <w:noProof/>
        </w:rPr>
        <w:tab/>
        <w:t>60</w:t>
      </w:r>
    </w:p>
    <w:p w14:paraId="1588B498" w14:textId="77777777" w:rsidR="00D44BCF" w:rsidRDefault="00D44BCF">
      <w:pPr>
        <w:pStyle w:val="TableofAuthorities"/>
        <w:tabs>
          <w:tab w:val="right" w:leader="dot" w:pos="9061"/>
        </w:tabs>
        <w:rPr>
          <w:noProof/>
        </w:rPr>
      </w:pPr>
      <w:r w:rsidRPr="000A1327">
        <w:rPr>
          <w:rFonts w:cstheme="minorHAnsi"/>
          <w:i/>
          <w:noProof/>
        </w:rPr>
        <w:t>K v Children’s Court of Victoria</w:t>
      </w:r>
      <w:r w:rsidRPr="000A1327">
        <w:rPr>
          <w:rFonts w:cstheme="minorHAnsi"/>
          <w:noProof/>
        </w:rPr>
        <w:t xml:space="preserve"> [2015] VSC 645</w:t>
      </w:r>
      <w:r>
        <w:rPr>
          <w:noProof/>
        </w:rPr>
        <w:tab/>
        <w:t>221</w:t>
      </w:r>
    </w:p>
    <w:p w14:paraId="3884F493" w14:textId="77777777" w:rsidR="00D44BCF" w:rsidRDefault="00D44BCF">
      <w:pPr>
        <w:pStyle w:val="TableofAuthorities"/>
        <w:tabs>
          <w:tab w:val="right" w:leader="dot" w:pos="9061"/>
        </w:tabs>
        <w:rPr>
          <w:noProof/>
        </w:rPr>
      </w:pPr>
      <w:r w:rsidRPr="000A1327">
        <w:rPr>
          <w:rFonts w:cstheme="minorHAnsi"/>
          <w:i/>
          <w:noProof/>
        </w:rPr>
        <w:t>Kable v DPP (NSW)</w:t>
      </w:r>
      <w:r w:rsidRPr="000A1327">
        <w:rPr>
          <w:rFonts w:cstheme="minorHAnsi"/>
          <w:noProof/>
        </w:rPr>
        <w:t xml:space="preserve"> (1996) 189 CLR 51</w:t>
      </w:r>
      <w:r>
        <w:rPr>
          <w:noProof/>
        </w:rPr>
        <w:tab/>
        <w:t>5</w:t>
      </w:r>
    </w:p>
    <w:p w14:paraId="5FA77E92" w14:textId="77777777" w:rsidR="00D44BCF" w:rsidRDefault="00D44BCF">
      <w:pPr>
        <w:pStyle w:val="TableofAuthorities"/>
        <w:tabs>
          <w:tab w:val="right" w:leader="dot" w:pos="9061"/>
        </w:tabs>
        <w:rPr>
          <w:noProof/>
        </w:rPr>
      </w:pPr>
      <w:r w:rsidRPr="000A1327">
        <w:rPr>
          <w:rFonts w:cstheme="minorHAnsi"/>
          <w:i/>
          <w:noProof/>
        </w:rPr>
        <w:t>Kalofolias v R</w:t>
      </w:r>
      <w:r w:rsidRPr="000A1327">
        <w:rPr>
          <w:rFonts w:cstheme="minorHAnsi"/>
          <w:noProof/>
        </w:rPr>
        <w:t xml:space="preserve"> [2017] VSCA 308</w:t>
      </w:r>
      <w:r>
        <w:rPr>
          <w:noProof/>
        </w:rPr>
        <w:tab/>
        <w:t>202</w:t>
      </w:r>
    </w:p>
    <w:p w14:paraId="37AF98B5" w14:textId="77777777" w:rsidR="00D44BCF" w:rsidRDefault="00D44BCF">
      <w:pPr>
        <w:pStyle w:val="TableofAuthorities"/>
        <w:tabs>
          <w:tab w:val="right" w:leader="dot" w:pos="9061"/>
        </w:tabs>
        <w:rPr>
          <w:noProof/>
        </w:rPr>
      </w:pPr>
      <w:r w:rsidRPr="000A1327">
        <w:rPr>
          <w:rFonts w:cstheme="minorHAnsi"/>
          <w:i/>
          <w:noProof/>
        </w:rPr>
        <w:t>Kamay v R</w:t>
      </w:r>
      <w:r w:rsidRPr="000A1327">
        <w:rPr>
          <w:rFonts w:cstheme="minorHAnsi"/>
          <w:noProof/>
        </w:rPr>
        <w:t xml:space="preserve"> (2015) 47 VR 475</w:t>
      </w:r>
      <w:r>
        <w:rPr>
          <w:noProof/>
        </w:rPr>
        <w:tab/>
        <w:t>46, 47, 58, 62</w:t>
      </w:r>
    </w:p>
    <w:p w14:paraId="66822048" w14:textId="77777777" w:rsidR="00D44BCF" w:rsidRDefault="00D44BCF">
      <w:pPr>
        <w:pStyle w:val="TableofAuthorities"/>
        <w:tabs>
          <w:tab w:val="right" w:leader="dot" w:pos="9061"/>
        </w:tabs>
        <w:rPr>
          <w:noProof/>
        </w:rPr>
      </w:pPr>
      <w:r w:rsidRPr="000A1327">
        <w:rPr>
          <w:rFonts w:cstheme="minorHAnsi"/>
          <w:bCs/>
          <w:i/>
          <w:noProof/>
        </w:rPr>
        <w:t>Kao v R</w:t>
      </w:r>
      <w:r w:rsidRPr="000A1327">
        <w:rPr>
          <w:rFonts w:cstheme="minorHAnsi"/>
          <w:bCs/>
          <w:noProof/>
        </w:rPr>
        <w:t xml:space="preserve"> [2019] VSCA 84</w:t>
      </w:r>
      <w:r>
        <w:rPr>
          <w:noProof/>
        </w:rPr>
        <w:tab/>
        <w:t>62</w:t>
      </w:r>
    </w:p>
    <w:p w14:paraId="291D63C4" w14:textId="77777777" w:rsidR="00D44BCF" w:rsidRDefault="00D44BCF">
      <w:pPr>
        <w:pStyle w:val="TableofAuthorities"/>
        <w:tabs>
          <w:tab w:val="right" w:leader="dot" w:pos="9061"/>
        </w:tabs>
        <w:rPr>
          <w:noProof/>
        </w:rPr>
      </w:pPr>
      <w:r w:rsidRPr="000A1327">
        <w:rPr>
          <w:rFonts w:cstheme="minorHAnsi"/>
          <w:i/>
          <w:noProof/>
        </w:rPr>
        <w:t xml:space="preserve">Karam v R </w:t>
      </w:r>
      <w:r w:rsidRPr="000A1327">
        <w:rPr>
          <w:rFonts w:cstheme="minorHAnsi"/>
          <w:noProof/>
        </w:rPr>
        <w:t>[2015] VSCA 50</w:t>
      </w:r>
      <w:r>
        <w:rPr>
          <w:noProof/>
        </w:rPr>
        <w:tab/>
        <w:t>73, 74</w:t>
      </w:r>
    </w:p>
    <w:p w14:paraId="67892879" w14:textId="77777777" w:rsidR="00D44BCF" w:rsidRDefault="00D44BCF">
      <w:pPr>
        <w:pStyle w:val="TableofAuthorities"/>
        <w:tabs>
          <w:tab w:val="right" w:leader="dot" w:pos="9061"/>
        </w:tabs>
        <w:rPr>
          <w:noProof/>
        </w:rPr>
      </w:pPr>
      <w:r w:rsidRPr="000A1327">
        <w:rPr>
          <w:rFonts w:cstheme="minorHAnsi"/>
          <w:i/>
          <w:noProof/>
        </w:rPr>
        <w:t xml:space="preserve">Karim v R </w:t>
      </w:r>
      <w:r w:rsidRPr="000A1327">
        <w:rPr>
          <w:rFonts w:cstheme="minorHAnsi"/>
          <w:noProof/>
        </w:rPr>
        <w:t>[2013] NSWCCA 23</w:t>
      </w:r>
      <w:r>
        <w:rPr>
          <w:noProof/>
        </w:rPr>
        <w:tab/>
        <w:t>218</w:t>
      </w:r>
    </w:p>
    <w:p w14:paraId="13E294BC" w14:textId="77777777" w:rsidR="00D44BCF" w:rsidRDefault="00D44BCF">
      <w:pPr>
        <w:pStyle w:val="TableofAuthorities"/>
        <w:tabs>
          <w:tab w:val="right" w:leader="dot" w:pos="9061"/>
        </w:tabs>
        <w:rPr>
          <w:noProof/>
        </w:rPr>
      </w:pPr>
      <w:r w:rsidRPr="000A1327">
        <w:rPr>
          <w:rFonts w:cstheme="minorHAnsi"/>
          <w:i/>
          <w:noProof/>
        </w:rPr>
        <w:t>Karpinski v R</w:t>
      </w:r>
      <w:r w:rsidRPr="000A1327">
        <w:rPr>
          <w:rFonts w:cstheme="minorHAnsi"/>
          <w:noProof/>
        </w:rPr>
        <w:t xml:space="preserve"> (2011) 32 VR 85</w:t>
      </w:r>
      <w:r>
        <w:rPr>
          <w:noProof/>
        </w:rPr>
        <w:tab/>
        <w:t>129, 130</w:t>
      </w:r>
    </w:p>
    <w:p w14:paraId="76709D8D" w14:textId="77777777" w:rsidR="00D44BCF" w:rsidRDefault="00D44BCF">
      <w:pPr>
        <w:pStyle w:val="TableofAuthorities"/>
        <w:tabs>
          <w:tab w:val="right" w:leader="dot" w:pos="9061"/>
        </w:tabs>
        <w:rPr>
          <w:noProof/>
        </w:rPr>
      </w:pPr>
      <w:r w:rsidRPr="000A1327">
        <w:rPr>
          <w:rFonts w:cstheme="minorHAnsi"/>
          <w:i/>
          <w:noProof/>
        </w:rPr>
        <w:t>Kaveh v R</w:t>
      </w:r>
      <w:r w:rsidRPr="000A1327">
        <w:rPr>
          <w:rFonts w:cstheme="minorHAnsi"/>
          <w:noProof/>
        </w:rPr>
        <w:t xml:space="preserve"> [2017] NSWCCA 52</w:t>
      </w:r>
      <w:r>
        <w:rPr>
          <w:noProof/>
        </w:rPr>
        <w:tab/>
        <w:t>67</w:t>
      </w:r>
    </w:p>
    <w:p w14:paraId="59591F56" w14:textId="77777777" w:rsidR="00D44BCF" w:rsidRDefault="00D44BCF">
      <w:pPr>
        <w:pStyle w:val="TableofAuthorities"/>
        <w:tabs>
          <w:tab w:val="right" w:leader="dot" w:pos="9061"/>
        </w:tabs>
        <w:rPr>
          <w:noProof/>
        </w:rPr>
      </w:pPr>
      <w:r w:rsidRPr="000A1327">
        <w:rPr>
          <w:rFonts w:cstheme="minorHAnsi"/>
          <w:i/>
          <w:noProof/>
        </w:rPr>
        <w:t>Keefe</w:t>
      </w:r>
      <w:r w:rsidRPr="000A1327">
        <w:rPr>
          <w:rFonts w:cstheme="minorHAnsi"/>
          <w:noProof/>
        </w:rPr>
        <w:t xml:space="preserve"> </w:t>
      </w:r>
      <w:r w:rsidRPr="000A1327">
        <w:rPr>
          <w:rFonts w:cstheme="minorHAnsi"/>
          <w:i/>
          <w:noProof/>
        </w:rPr>
        <w:t>v R</w:t>
      </w:r>
      <w:r w:rsidRPr="000A1327">
        <w:rPr>
          <w:rFonts w:cstheme="minorHAnsi"/>
          <w:noProof/>
        </w:rPr>
        <w:t xml:space="preserve"> [2014] VSCA 201</w:t>
      </w:r>
      <w:r>
        <w:rPr>
          <w:noProof/>
        </w:rPr>
        <w:tab/>
        <w:t>58</w:t>
      </w:r>
    </w:p>
    <w:p w14:paraId="4B13FC7C" w14:textId="77777777" w:rsidR="00D44BCF" w:rsidRDefault="00D44BCF">
      <w:pPr>
        <w:pStyle w:val="TableofAuthorities"/>
        <w:tabs>
          <w:tab w:val="right" w:leader="dot" w:pos="9061"/>
        </w:tabs>
        <w:rPr>
          <w:noProof/>
        </w:rPr>
      </w:pPr>
      <w:r w:rsidRPr="000A1327">
        <w:rPr>
          <w:rFonts w:cstheme="minorHAnsi"/>
          <w:i/>
          <w:noProof/>
        </w:rPr>
        <w:t>Kelly v Saadat-Talab</w:t>
      </w:r>
      <w:r w:rsidRPr="000A1327">
        <w:rPr>
          <w:rFonts w:cstheme="minorHAnsi"/>
          <w:noProof/>
        </w:rPr>
        <w:t xml:space="preserve"> (2008) 72 NSWLR 305</w:t>
      </w:r>
      <w:r>
        <w:rPr>
          <w:noProof/>
        </w:rPr>
        <w:tab/>
        <w:t>225</w:t>
      </w:r>
    </w:p>
    <w:p w14:paraId="58C9FD82" w14:textId="77777777" w:rsidR="00D44BCF" w:rsidRDefault="00D44BCF">
      <w:pPr>
        <w:pStyle w:val="TableofAuthorities"/>
        <w:tabs>
          <w:tab w:val="right" w:leader="dot" w:pos="9061"/>
        </w:tabs>
        <w:rPr>
          <w:noProof/>
        </w:rPr>
      </w:pPr>
      <w:r w:rsidRPr="000A1327">
        <w:rPr>
          <w:rFonts w:cstheme="minorHAnsi"/>
          <w:bCs/>
          <w:i/>
          <w:iCs/>
          <w:noProof/>
        </w:rPr>
        <w:t xml:space="preserve">Kenny v R </w:t>
      </w:r>
      <w:r w:rsidRPr="000A1327">
        <w:rPr>
          <w:rFonts w:cstheme="minorHAnsi"/>
          <w:bCs/>
          <w:iCs/>
          <w:noProof/>
        </w:rPr>
        <w:t xml:space="preserve"> [2010] NSWCCA 6</w:t>
      </w:r>
      <w:r>
        <w:rPr>
          <w:noProof/>
        </w:rPr>
        <w:tab/>
        <w:t>76</w:t>
      </w:r>
    </w:p>
    <w:p w14:paraId="580F439C" w14:textId="77777777" w:rsidR="00D44BCF" w:rsidRDefault="00D44BCF">
      <w:pPr>
        <w:pStyle w:val="TableofAuthorities"/>
        <w:tabs>
          <w:tab w:val="right" w:leader="dot" w:pos="9061"/>
        </w:tabs>
        <w:rPr>
          <w:noProof/>
        </w:rPr>
      </w:pPr>
      <w:r w:rsidRPr="000A1327">
        <w:rPr>
          <w:rFonts w:cstheme="minorHAnsi"/>
          <w:i/>
          <w:noProof/>
        </w:rPr>
        <w:t>Kerapa v R</w:t>
      </w:r>
      <w:r w:rsidRPr="000A1327">
        <w:rPr>
          <w:rFonts w:cstheme="minorHAnsi"/>
          <w:noProof/>
        </w:rPr>
        <w:t xml:space="preserve"> [2017] VSCA 56</w:t>
      </w:r>
      <w:r>
        <w:rPr>
          <w:noProof/>
        </w:rPr>
        <w:tab/>
        <w:t>211</w:t>
      </w:r>
    </w:p>
    <w:p w14:paraId="5CA19A47" w14:textId="77777777" w:rsidR="00D44BCF" w:rsidRDefault="00D44BCF">
      <w:pPr>
        <w:pStyle w:val="TableofAuthorities"/>
        <w:tabs>
          <w:tab w:val="right" w:leader="dot" w:pos="9061"/>
        </w:tabs>
        <w:rPr>
          <w:noProof/>
        </w:rPr>
      </w:pPr>
      <w:r w:rsidRPr="000A1327">
        <w:rPr>
          <w:rFonts w:cstheme="minorHAnsi"/>
          <w:i/>
          <w:noProof/>
        </w:rPr>
        <w:t>Kesavarajah v R</w:t>
      </w:r>
      <w:r w:rsidRPr="000A1327">
        <w:rPr>
          <w:rFonts w:cstheme="minorHAnsi"/>
          <w:noProof/>
        </w:rPr>
        <w:t xml:space="preserve"> (1994) 181 CLR 230</w:t>
      </w:r>
      <w:r>
        <w:rPr>
          <w:noProof/>
        </w:rPr>
        <w:tab/>
        <w:t>222, 260, 261, 262, 263</w:t>
      </w:r>
    </w:p>
    <w:p w14:paraId="3EA87122" w14:textId="77777777" w:rsidR="00D44BCF" w:rsidRDefault="00D44BCF">
      <w:pPr>
        <w:pStyle w:val="TableofAuthorities"/>
        <w:tabs>
          <w:tab w:val="right" w:leader="dot" w:pos="9061"/>
        </w:tabs>
        <w:rPr>
          <w:noProof/>
        </w:rPr>
      </w:pPr>
      <w:r w:rsidRPr="000A1327">
        <w:rPr>
          <w:rFonts w:cstheme="minorHAnsi"/>
          <w:i/>
          <w:noProof/>
        </w:rPr>
        <w:t>Khanchitanon v R</w:t>
      </w:r>
      <w:r w:rsidRPr="000A1327">
        <w:rPr>
          <w:rFonts w:cstheme="minorHAnsi"/>
          <w:noProof/>
        </w:rPr>
        <w:t xml:space="preserve"> [2014] NSWCCA 204</w:t>
      </w:r>
      <w:r>
        <w:rPr>
          <w:noProof/>
        </w:rPr>
        <w:tab/>
        <w:t>77</w:t>
      </w:r>
    </w:p>
    <w:p w14:paraId="5F08E8EF" w14:textId="77777777" w:rsidR="00D44BCF" w:rsidRDefault="00D44BCF">
      <w:pPr>
        <w:pStyle w:val="TableofAuthorities"/>
        <w:tabs>
          <w:tab w:val="right" w:leader="dot" w:pos="9061"/>
        </w:tabs>
        <w:rPr>
          <w:noProof/>
        </w:rPr>
      </w:pPr>
      <w:r w:rsidRPr="000A1327">
        <w:rPr>
          <w:rFonts w:cstheme="minorHAnsi"/>
          <w:i/>
          <w:noProof/>
        </w:rPr>
        <w:t>Khoo</w:t>
      </w:r>
      <w:r w:rsidRPr="000A1327">
        <w:rPr>
          <w:rFonts w:cstheme="minorHAnsi"/>
          <w:noProof/>
        </w:rPr>
        <w:t xml:space="preserve"> v </w:t>
      </w:r>
      <w:r w:rsidRPr="000A1327">
        <w:rPr>
          <w:rFonts w:cstheme="minorHAnsi"/>
          <w:i/>
          <w:noProof/>
        </w:rPr>
        <w:t>R</w:t>
      </w:r>
      <w:r w:rsidRPr="000A1327">
        <w:rPr>
          <w:rFonts w:cstheme="minorHAnsi"/>
          <w:noProof/>
        </w:rPr>
        <w:t xml:space="preserve"> [2013] NSWCCA 323</w:t>
      </w:r>
      <w:r>
        <w:rPr>
          <w:noProof/>
        </w:rPr>
        <w:tab/>
        <w:t>58</w:t>
      </w:r>
    </w:p>
    <w:p w14:paraId="73DD12E1" w14:textId="77777777" w:rsidR="00D44BCF" w:rsidRDefault="00D44BCF">
      <w:pPr>
        <w:pStyle w:val="TableofAuthorities"/>
        <w:tabs>
          <w:tab w:val="right" w:leader="dot" w:pos="9061"/>
        </w:tabs>
        <w:rPr>
          <w:noProof/>
        </w:rPr>
      </w:pPr>
      <w:r w:rsidRPr="000A1327">
        <w:rPr>
          <w:rFonts w:cstheme="minorHAnsi"/>
          <w:i/>
          <w:noProof/>
        </w:rPr>
        <w:t>Kingswell v R</w:t>
      </w:r>
      <w:r w:rsidRPr="000A1327">
        <w:rPr>
          <w:rFonts w:cstheme="minorHAnsi"/>
          <w:noProof/>
        </w:rPr>
        <w:t xml:space="preserve"> (1985) 159 CLR 264</w:t>
      </w:r>
      <w:r>
        <w:rPr>
          <w:noProof/>
        </w:rPr>
        <w:tab/>
        <w:t>22</w:t>
      </w:r>
    </w:p>
    <w:p w14:paraId="032A3DD3" w14:textId="77777777" w:rsidR="00D44BCF" w:rsidRDefault="00D44BCF">
      <w:pPr>
        <w:pStyle w:val="TableofAuthorities"/>
        <w:tabs>
          <w:tab w:val="right" w:leader="dot" w:pos="9061"/>
        </w:tabs>
        <w:rPr>
          <w:noProof/>
        </w:rPr>
      </w:pPr>
      <w:r w:rsidRPr="000A1327">
        <w:rPr>
          <w:rFonts w:cstheme="minorHAnsi"/>
          <w:i/>
          <w:noProof/>
          <w:lang w:val="en-US"/>
        </w:rPr>
        <w:t xml:space="preserve">Konamala v R </w:t>
      </w:r>
      <w:r w:rsidRPr="000A1327">
        <w:rPr>
          <w:rFonts w:cstheme="minorHAnsi"/>
          <w:noProof/>
          <w:lang w:val="en-US"/>
        </w:rPr>
        <w:t>[2016] VSCA 48</w:t>
      </w:r>
      <w:r>
        <w:rPr>
          <w:noProof/>
        </w:rPr>
        <w:tab/>
        <w:t>78, 79</w:t>
      </w:r>
    </w:p>
    <w:p w14:paraId="06927357" w14:textId="77777777" w:rsidR="00D44BCF" w:rsidRDefault="00D44BCF">
      <w:pPr>
        <w:pStyle w:val="TableofAuthorities"/>
        <w:tabs>
          <w:tab w:val="right" w:leader="dot" w:pos="9061"/>
        </w:tabs>
        <w:rPr>
          <w:noProof/>
        </w:rPr>
      </w:pPr>
      <w:r w:rsidRPr="000A1327">
        <w:rPr>
          <w:rFonts w:cstheme="minorHAnsi"/>
          <w:i/>
          <w:noProof/>
        </w:rPr>
        <w:t>Korgbara v R</w:t>
      </w:r>
      <w:r w:rsidRPr="000A1327">
        <w:rPr>
          <w:rFonts w:cstheme="minorHAnsi"/>
          <w:noProof/>
        </w:rPr>
        <w:t xml:space="preserve"> (2007) 71 NSWLR 187</w:t>
      </w:r>
      <w:r>
        <w:rPr>
          <w:noProof/>
        </w:rPr>
        <w:tab/>
        <w:t>256</w:t>
      </w:r>
    </w:p>
    <w:p w14:paraId="3B5F801D" w14:textId="77777777" w:rsidR="00D44BCF" w:rsidRDefault="00D44BCF">
      <w:pPr>
        <w:pStyle w:val="TableofAuthorities"/>
        <w:tabs>
          <w:tab w:val="right" w:leader="dot" w:pos="9061"/>
        </w:tabs>
        <w:rPr>
          <w:noProof/>
        </w:rPr>
      </w:pPr>
      <w:r w:rsidRPr="000A1327">
        <w:rPr>
          <w:rFonts w:eastAsiaTheme="minorHAnsi" w:cstheme="minorHAnsi"/>
          <w:i/>
          <w:noProof/>
        </w:rPr>
        <w:t>Kovacevic v Mills</w:t>
      </w:r>
      <w:r w:rsidRPr="000A1327">
        <w:rPr>
          <w:rFonts w:eastAsiaTheme="minorHAnsi" w:cstheme="minorHAnsi"/>
          <w:noProof/>
        </w:rPr>
        <w:t xml:space="preserve"> (2000) 76 SASR 404</w:t>
      </w:r>
      <w:r>
        <w:rPr>
          <w:noProof/>
        </w:rPr>
        <w:tab/>
        <w:t>39, 45, 58</w:t>
      </w:r>
    </w:p>
    <w:p w14:paraId="59C2A926" w14:textId="77777777" w:rsidR="00D44BCF" w:rsidRDefault="00D44BCF">
      <w:pPr>
        <w:pStyle w:val="TableofAuthorities"/>
        <w:tabs>
          <w:tab w:val="right" w:leader="dot" w:pos="9061"/>
        </w:tabs>
        <w:rPr>
          <w:noProof/>
        </w:rPr>
      </w:pPr>
      <w:r w:rsidRPr="000A1327">
        <w:rPr>
          <w:rFonts w:cstheme="minorHAnsi"/>
          <w:i/>
          <w:noProof/>
        </w:rPr>
        <w:t xml:space="preserve">Kriestorac v Western Australia </w:t>
      </w:r>
      <w:r w:rsidRPr="000A1327">
        <w:rPr>
          <w:rFonts w:cstheme="minorHAnsi"/>
          <w:noProof/>
        </w:rPr>
        <w:t>[2010] WASCA 35</w:t>
      </w:r>
      <w:r>
        <w:rPr>
          <w:noProof/>
        </w:rPr>
        <w:tab/>
        <w:t>64</w:t>
      </w:r>
    </w:p>
    <w:p w14:paraId="1BDFF272" w14:textId="77777777" w:rsidR="00D44BCF" w:rsidRDefault="00D44BCF">
      <w:pPr>
        <w:pStyle w:val="TableofAuthorities"/>
        <w:tabs>
          <w:tab w:val="right" w:leader="dot" w:pos="9061"/>
        </w:tabs>
        <w:rPr>
          <w:noProof/>
        </w:rPr>
      </w:pPr>
      <w:r w:rsidRPr="000A1327">
        <w:rPr>
          <w:rFonts w:cstheme="minorHAnsi"/>
          <w:i/>
          <w:noProof/>
        </w:rPr>
        <w:t>Kristensen</w:t>
      </w:r>
      <w:r w:rsidRPr="000A1327">
        <w:rPr>
          <w:rFonts w:cstheme="minorHAnsi"/>
          <w:noProof/>
        </w:rPr>
        <w:t xml:space="preserve"> v </w:t>
      </w:r>
      <w:r w:rsidRPr="000A1327">
        <w:rPr>
          <w:rFonts w:cstheme="minorHAnsi"/>
          <w:i/>
          <w:noProof/>
        </w:rPr>
        <w:t>R</w:t>
      </w:r>
      <w:r w:rsidRPr="000A1327">
        <w:rPr>
          <w:rFonts w:cstheme="minorHAnsi"/>
          <w:noProof/>
        </w:rPr>
        <w:t xml:space="preserve"> [2018] NSWCCA 189</w:t>
      </w:r>
      <w:r>
        <w:rPr>
          <w:noProof/>
        </w:rPr>
        <w:tab/>
        <w:t>51, 77</w:t>
      </w:r>
    </w:p>
    <w:p w14:paraId="7964B882" w14:textId="77777777" w:rsidR="00D44BCF" w:rsidRDefault="00D44BCF">
      <w:pPr>
        <w:pStyle w:val="TableofAuthorities"/>
        <w:tabs>
          <w:tab w:val="right" w:leader="dot" w:pos="9061"/>
        </w:tabs>
        <w:rPr>
          <w:noProof/>
        </w:rPr>
      </w:pPr>
      <w:r w:rsidRPr="000A1327">
        <w:rPr>
          <w:rFonts w:cstheme="minorHAnsi"/>
          <w:i/>
          <w:noProof/>
        </w:rPr>
        <w:t>Kruger</w:t>
      </w:r>
      <w:r w:rsidRPr="000A1327">
        <w:rPr>
          <w:rFonts w:cstheme="minorHAnsi"/>
          <w:i/>
          <w:iCs/>
          <w:noProof/>
        </w:rPr>
        <w:t xml:space="preserve"> v </w:t>
      </w:r>
      <w:r w:rsidRPr="000A1327">
        <w:rPr>
          <w:rFonts w:cstheme="minorHAnsi"/>
          <w:i/>
          <w:noProof/>
        </w:rPr>
        <w:t>Commonwealth</w:t>
      </w:r>
      <w:r w:rsidRPr="000A1327">
        <w:rPr>
          <w:rFonts w:cstheme="minorHAnsi"/>
          <w:noProof/>
        </w:rPr>
        <w:t xml:space="preserve"> (1997) 190 CLR 1</w:t>
      </w:r>
      <w:r>
        <w:rPr>
          <w:noProof/>
        </w:rPr>
        <w:tab/>
        <w:t>6</w:t>
      </w:r>
    </w:p>
    <w:p w14:paraId="28073CCD" w14:textId="77777777" w:rsidR="00D44BCF" w:rsidRDefault="00D44BCF">
      <w:pPr>
        <w:pStyle w:val="TableofAuthorities"/>
        <w:tabs>
          <w:tab w:val="right" w:leader="dot" w:pos="9061"/>
        </w:tabs>
        <w:rPr>
          <w:noProof/>
        </w:rPr>
      </w:pPr>
      <w:r w:rsidRPr="000A1327">
        <w:rPr>
          <w:rFonts w:cstheme="minorHAnsi"/>
          <w:i/>
          <w:noProof/>
        </w:rPr>
        <w:t>Kumova v R</w:t>
      </w:r>
      <w:r w:rsidRPr="000A1327">
        <w:rPr>
          <w:rFonts w:cstheme="minorHAnsi"/>
          <w:noProof/>
        </w:rPr>
        <w:t xml:space="preserve"> (2012) 37 VR 538</w:t>
      </w:r>
      <w:r>
        <w:rPr>
          <w:noProof/>
        </w:rPr>
        <w:tab/>
        <w:t>142, 143</w:t>
      </w:r>
    </w:p>
    <w:p w14:paraId="38B45BC4" w14:textId="77777777" w:rsidR="00D44BCF" w:rsidRDefault="00D44BCF">
      <w:pPr>
        <w:pStyle w:val="TableofAuthorities"/>
        <w:tabs>
          <w:tab w:val="right" w:leader="dot" w:pos="9061"/>
        </w:tabs>
        <w:rPr>
          <w:noProof/>
        </w:rPr>
      </w:pPr>
      <w:r w:rsidRPr="000A1327">
        <w:rPr>
          <w:rFonts w:cstheme="minorHAnsi"/>
          <w:bCs/>
          <w:i/>
          <w:iCs/>
          <w:noProof/>
        </w:rPr>
        <w:t>Lacco v R</w:t>
      </w:r>
      <w:r w:rsidRPr="000A1327">
        <w:rPr>
          <w:rFonts w:cstheme="minorHAnsi"/>
          <w:noProof/>
        </w:rPr>
        <w:t xml:space="preserve"> [1984] WAR 153</w:t>
      </w:r>
      <w:r>
        <w:rPr>
          <w:noProof/>
        </w:rPr>
        <w:tab/>
        <w:t>60</w:t>
      </w:r>
    </w:p>
    <w:p w14:paraId="7A313921" w14:textId="77777777" w:rsidR="00D44BCF" w:rsidRDefault="00D44BCF">
      <w:pPr>
        <w:pStyle w:val="TableofAuthorities"/>
        <w:tabs>
          <w:tab w:val="right" w:leader="dot" w:pos="9061"/>
        </w:tabs>
        <w:rPr>
          <w:noProof/>
        </w:rPr>
      </w:pPr>
      <w:r w:rsidRPr="000A1327">
        <w:rPr>
          <w:rFonts w:cstheme="minorHAnsi"/>
          <w:i/>
          <w:noProof/>
        </w:rPr>
        <w:t>Lam v R</w:t>
      </w:r>
      <w:r w:rsidRPr="000A1327">
        <w:rPr>
          <w:rFonts w:cstheme="minorHAnsi"/>
          <w:noProof/>
        </w:rPr>
        <w:t xml:space="preserve"> [2014] WASCA 114</w:t>
      </w:r>
      <w:r>
        <w:rPr>
          <w:noProof/>
        </w:rPr>
        <w:tab/>
        <w:t>140, 142</w:t>
      </w:r>
    </w:p>
    <w:p w14:paraId="4D699967" w14:textId="77777777" w:rsidR="00D44BCF" w:rsidRDefault="00D44BCF">
      <w:pPr>
        <w:pStyle w:val="TableofAuthorities"/>
        <w:tabs>
          <w:tab w:val="right" w:leader="dot" w:pos="9061"/>
        </w:tabs>
        <w:rPr>
          <w:noProof/>
        </w:rPr>
      </w:pPr>
      <w:r w:rsidRPr="000A1327">
        <w:rPr>
          <w:rFonts w:cstheme="minorHAnsi"/>
          <w:i/>
          <w:noProof/>
        </w:rPr>
        <w:t>Lanham v Brambles – Ruys Pty Ltd</w:t>
      </w:r>
      <w:r w:rsidRPr="000A1327">
        <w:rPr>
          <w:rFonts w:cstheme="minorHAnsi"/>
          <w:noProof/>
        </w:rPr>
        <w:t xml:space="preserve"> (1984) 37 SASR 16</w:t>
      </w:r>
      <w:r>
        <w:rPr>
          <w:noProof/>
        </w:rPr>
        <w:tab/>
        <w:t>102</w:t>
      </w:r>
    </w:p>
    <w:p w14:paraId="672EEC57" w14:textId="77777777" w:rsidR="00D44BCF" w:rsidRDefault="00D44BCF">
      <w:pPr>
        <w:pStyle w:val="TableofAuthorities"/>
        <w:tabs>
          <w:tab w:val="right" w:leader="dot" w:pos="9061"/>
        </w:tabs>
        <w:rPr>
          <w:noProof/>
        </w:rPr>
      </w:pPr>
      <w:r w:rsidRPr="000A1327">
        <w:rPr>
          <w:rFonts w:cstheme="minorHAnsi"/>
          <w:i/>
          <w:noProof/>
        </w:rPr>
        <w:t>Lari v Pavlos</w:t>
      </w:r>
      <w:r w:rsidRPr="000A1327">
        <w:rPr>
          <w:rFonts w:cstheme="minorHAnsi"/>
          <w:noProof/>
        </w:rPr>
        <w:t xml:space="preserve"> (WA SC (Owen J), 17 May 1996, unreported)</w:t>
      </w:r>
      <w:r>
        <w:rPr>
          <w:noProof/>
        </w:rPr>
        <w:tab/>
        <w:t>61</w:t>
      </w:r>
    </w:p>
    <w:p w14:paraId="0E2DC357" w14:textId="77777777" w:rsidR="00D44BCF" w:rsidRDefault="00D44BCF">
      <w:pPr>
        <w:pStyle w:val="TableofAuthorities"/>
        <w:tabs>
          <w:tab w:val="right" w:leader="dot" w:pos="9061"/>
        </w:tabs>
        <w:rPr>
          <w:noProof/>
        </w:rPr>
      </w:pPr>
      <w:r w:rsidRPr="000A1327">
        <w:rPr>
          <w:rFonts w:cstheme="minorHAnsi"/>
          <w:i/>
          <w:noProof/>
        </w:rPr>
        <w:t xml:space="preserve">Larkin v R </w:t>
      </w:r>
      <w:r w:rsidRPr="000A1327">
        <w:rPr>
          <w:rFonts w:cstheme="minorHAnsi"/>
          <w:noProof/>
        </w:rPr>
        <w:t>[2012] WASCA 238</w:t>
      </w:r>
      <w:r>
        <w:rPr>
          <w:noProof/>
        </w:rPr>
        <w:tab/>
        <w:t>158</w:t>
      </w:r>
    </w:p>
    <w:p w14:paraId="0CAB8C24" w14:textId="77777777" w:rsidR="00D44BCF" w:rsidRDefault="00D44BCF">
      <w:pPr>
        <w:pStyle w:val="TableofAuthorities"/>
        <w:tabs>
          <w:tab w:val="right" w:leader="dot" w:pos="9061"/>
        </w:tabs>
        <w:rPr>
          <w:noProof/>
        </w:rPr>
      </w:pPr>
      <w:r w:rsidRPr="000A1327">
        <w:rPr>
          <w:rFonts w:cstheme="minorHAnsi"/>
          <w:i/>
          <w:noProof/>
        </w:rPr>
        <w:t>Lau v R</w:t>
      </w:r>
      <w:r w:rsidRPr="000A1327">
        <w:rPr>
          <w:rFonts w:cstheme="minorHAnsi"/>
          <w:noProof/>
        </w:rPr>
        <w:t xml:space="preserve"> [2009] HCATrans 275</w:t>
      </w:r>
      <w:r>
        <w:rPr>
          <w:noProof/>
        </w:rPr>
        <w:tab/>
        <w:t>128</w:t>
      </w:r>
    </w:p>
    <w:p w14:paraId="2C2C0903" w14:textId="77777777" w:rsidR="00D44BCF" w:rsidRDefault="00D44BCF">
      <w:pPr>
        <w:pStyle w:val="TableofAuthorities"/>
        <w:tabs>
          <w:tab w:val="right" w:leader="dot" w:pos="9061"/>
        </w:tabs>
        <w:rPr>
          <w:noProof/>
        </w:rPr>
      </w:pPr>
      <w:r w:rsidRPr="000A1327">
        <w:rPr>
          <w:rFonts w:cstheme="minorHAnsi"/>
          <w:i/>
          <w:noProof/>
        </w:rPr>
        <w:t>Laxton v Justice</w:t>
      </w:r>
      <w:r w:rsidRPr="000A1327">
        <w:rPr>
          <w:rFonts w:cstheme="minorHAnsi"/>
          <w:noProof/>
        </w:rPr>
        <w:t xml:space="preserve"> (1985) 38 SASR 376</w:t>
      </w:r>
      <w:r>
        <w:rPr>
          <w:noProof/>
        </w:rPr>
        <w:tab/>
        <w:t>57</w:t>
      </w:r>
    </w:p>
    <w:p w14:paraId="306279F4" w14:textId="77777777" w:rsidR="00D44BCF" w:rsidRDefault="00D44BCF">
      <w:pPr>
        <w:pStyle w:val="TableofAuthorities"/>
        <w:tabs>
          <w:tab w:val="right" w:leader="dot" w:pos="9061"/>
        </w:tabs>
        <w:rPr>
          <w:noProof/>
        </w:rPr>
      </w:pPr>
      <w:r w:rsidRPr="000A1327">
        <w:rPr>
          <w:rFonts w:cstheme="minorHAnsi"/>
          <w:i/>
          <w:iCs/>
          <w:noProof/>
        </w:rPr>
        <w:t>Le v R</w:t>
      </w:r>
      <w:r w:rsidRPr="000A1327">
        <w:rPr>
          <w:rFonts w:cstheme="minorHAnsi"/>
          <w:noProof/>
        </w:rPr>
        <w:t xml:space="preserve"> [2006] NSWCCA 136</w:t>
      </w:r>
      <w:r>
        <w:rPr>
          <w:noProof/>
        </w:rPr>
        <w:tab/>
        <w:t>67</w:t>
      </w:r>
    </w:p>
    <w:p w14:paraId="4CED5284" w14:textId="77777777" w:rsidR="00D44BCF" w:rsidRDefault="00D44BCF">
      <w:pPr>
        <w:pStyle w:val="TableofAuthorities"/>
        <w:tabs>
          <w:tab w:val="right" w:leader="dot" w:pos="9061"/>
        </w:tabs>
        <w:rPr>
          <w:noProof/>
        </w:rPr>
      </w:pPr>
      <w:r w:rsidRPr="000A1327">
        <w:rPr>
          <w:rFonts w:cstheme="minorHAnsi"/>
          <w:i/>
          <w:noProof/>
        </w:rPr>
        <w:t xml:space="preserve">Le v R </w:t>
      </w:r>
      <w:r w:rsidRPr="000A1327">
        <w:rPr>
          <w:rFonts w:cstheme="minorHAnsi"/>
          <w:noProof/>
        </w:rPr>
        <w:t>[2017] NSWCCA 26</w:t>
      </w:r>
      <w:r>
        <w:rPr>
          <w:noProof/>
        </w:rPr>
        <w:tab/>
        <w:t>43</w:t>
      </w:r>
    </w:p>
    <w:p w14:paraId="478379BB" w14:textId="77777777" w:rsidR="00D44BCF" w:rsidRDefault="00D44BCF">
      <w:pPr>
        <w:pStyle w:val="TableofAuthorities"/>
        <w:tabs>
          <w:tab w:val="right" w:leader="dot" w:pos="9061"/>
        </w:tabs>
        <w:rPr>
          <w:noProof/>
        </w:rPr>
      </w:pPr>
      <w:r w:rsidRPr="000A1327">
        <w:rPr>
          <w:rFonts w:cstheme="minorHAnsi"/>
          <w:i/>
          <w:iCs/>
          <w:noProof/>
        </w:rPr>
        <w:t>Leach v R</w:t>
      </w:r>
      <w:r w:rsidRPr="000A1327">
        <w:rPr>
          <w:rFonts w:cstheme="minorHAnsi"/>
          <w:noProof/>
        </w:rPr>
        <w:t xml:space="preserve"> [2008] NSWCCA 73</w:t>
      </w:r>
      <w:r>
        <w:rPr>
          <w:noProof/>
        </w:rPr>
        <w:tab/>
        <w:t>64</w:t>
      </w:r>
    </w:p>
    <w:p w14:paraId="19E1C45E" w14:textId="77777777" w:rsidR="00D44BCF" w:rsidRDefault="00D44BCF">
      <w:pPr>
        <w:pStyle w:val="TableofAuthorities"/>
        <w:tabs>
          <w:tab w:val="right" w:leader="dot" w:pos="9061"/>
        </w:tabs>
        <w:rPr>
          <w:noProof/>
        </w:rPr>
      </w:pPr>
      <w:r w:rsidRPr="000A1327">
        <w:rPr>
          <w:rFonts w:cstheme="minorHAnsi"/>
          <w:i/>
          <w:noProof/>
        </w:rPr>
        <w:t>Lee</w:t>
      </w:r>
      <w:r w:rsidRPr="000A1327">
        <w:rPr>
          <w:rFonts w:cstheme="minorHAnsi"/>
          <w:noProof/>
        </w:rPr>
        <w:t xml:space="preserve"> </w:t>
      </w:r>
      <w:r w:rsidRPr="000A1327">
        <w:rPr>
          <w:rFonts w:cstheme="minorHAnsi"/>
          <w:i/>
          <w:noProof/>
        </w:rPr>
        <w:t>Vanit v R</w:t>
      </w:r>
      <w:r w:rsidRPr="000A1327">
        <w:rPr>
          <w:rFonts w:cstheme="minorHAnsi"/>
          <w:noProof/>
        </w:rPr>
        <w:t xml:space="preserve"> (1997) 190 CLR 378</w:t>
      </w:r>
      <w:r>
        <w:rPr>
          <w:noProof/>
        </w:rPr>
        <w:tab/>
        <w:t>254</w:t>
      </w:r>
    </w:p>
    <w:p w14:paraId="0536FDEE" w14:textId="77777777" w:rsidR="00D44BCF" w:rsidRDefault="00D44BCF">
      <w:pPr>
        <w:pStyle w:val="TableofAuthorities"/>
        <w:tabs>
          <w:tab w:val="right" w:leader="dot" w:pos="9061"/>
        </w:tabs>
        <w:rPr>
          <w:noProof/>
        </w:rPr>
      </w:pPr>
      <w:r w:rsidRPr="000A1327">
        <w:rPr>
          <w:rFonts w:cstheme="minorHAnsi"/>
          <w:i/>
          <w:noProof/>
        </w:rPr>
        <w:t>Leeth v Commonwealth</w:t>
      </w:r>
      <w:r w:rsidRPr="000A1327">
        <w:rPr>
          <w:rFonts w:cstheme="minorHAnsi"/>
          <w:noProof/>
        </w:rPr>
        <w:t xml:space="preserve"> (1992) 174 CLR 455</w:t>
      </w:r>
      <w:r>
        <w:rPr>
          <w:noProof/>
        </w:rPr>
        <w:tab/>
        <w:t>7</w:t>
      </w:r>
    </w:p>
    <w:p w14:paraId="29B83448" w14:textId="77777777" w:rsidR="00D44BCF" w:rsidRDefault="00D44BCF">
      <w:pPr>
        <w:pStyle w:val="TableofAuthorities"/>
        <w:tabs>
          <w:tab w:val="right" w:leader="dot" w:pos="9061"/>
        </w:tabs>
        <w:rPr>
          <w:noProof/>
        </w:rPr>
      </w:pPr>
      <w:r w:rsidRPr="000A1327">
        <w:rPr>
          <w:rFonts w:cstheme="minorHAnsi"/>
          <w:i/>
          <w:noProof/>
        </w:rPr>
        <w:t>Lewis v Chief Executive Department of Justice and Community Safety</w:t>
      </w:r>
      <w:r w:rsidRPr="000A1327">
        <w:rPr>
          <w:rFonts w:cstheme="minorHAnsi"/>
          <w:noProof/>
        </w:rPr>
        <w:t xml:space="preserve"> [2013] ACTSC 198</w:t>
      </w:r>
      <w:r>
        <w:rPr>
          <w:noProof/>
        </w:rPr>
        <w:tab/>
        <w:t>122</w:t>
      </w:r>
    </w:p>
    <w:p w14:paraId="1ABA7710" w14:textId="77777777" w:rsidR="00D44BCF" w:rsidRDefault="00D44BCF">
      <w:pPr>
        <w:pStyle w:val="TableofAuthorities"/>
        <w:tabs>
          <w:tab w:val="right" w:leader="dot" w:pos="9061"/>
        </w:tabs>
        <w:rPr>
          <w:noProof/>
        </w:rPr>
      </w:pPr>
      <w:r w:rsidRPr="000A1327">
        <w:rPr>
          <w:rFonts w:cstheme="minorHAnsi"/>
          <w:i/>
          <w:noProof/>
        </w:rPr>
        <w:t>Lewis v Duffin</w:t>
      </w:r>
      <w:r w:rsidRPr="000A1327">
        <w:rPr>
          <w:rFonts w:cstheme="minorHAnsi"/>
          <w:noProof/>
        </w:rPr>
        <w:t xml:space="preserve"> [2012] TASSC 58</w:t>
      </w:r>
      <w:r>
        <w:rPr>
          <w:noProof/>
        </w:rPr>
        <w:tab/>
        <w:t>67</w:t>
      </w:r>
    </w:p>
    <w:p w14:paraId="7E767088" w14:textId="77777777" w:rsidR="00D44BCF" w:rsidRDefault="00D44BCF">
      <w:pPr>
        <w:pStyle w:val="TableofAuthorities"/>
        <w:tabs>
          <w:tab w:val="right" w:leader="dot" w:pos="9061"/>
        </w:tabs>
        <w:rPr>
          <w:noProof/>
        </w:rPr>
      </w:pPr>
      <w:r w:rsidRPr="000A1327">
        <w:rPr>
          <w:rFonts w:cstheme="minorHAnsi"/>
          <w:i/>
          <w:noProof/>
        </w:rPr>
        <w:t>Liaver v Errington</w:t>
      </w:r>
      <w:r w:rsidRPr="000A1327">
        <w:rPr>
          <w:rFonts w:cstheme="minorHAnsi"/>
          <w:noProof/>
        </w:rPr>
        <w:t xml:space="preserve"> [2003] QCA 5</w:t>
      </w:r>
      <w:r>
        <w:rPr>
          <w:noProof/>
        </w:rPr>
        <w:tab/>
        <w:t>181</w:t>
      </w:r>
    </w:p>
    <w:p w14:paraId="20C81BCD" w14:textId="77777777" w:rsidR="00D44BCF" w:rsidRDefault="00D44BCF">
      <w:pPr>
        <w:pStyle w:val="TableofAuthorities"/>
        <w:tabs>
          <w:tab w:val="right" w:leader="dot" w:pos="9061"/>
        </w:tabs>
        <w:rPr>
          <w:noProof/>
        </w:rPr>
      </w:pPr>
      <w:r w:rsidRPr="000A1327">
        <w:rPr>
          <w:rFonts w:cstheme="minorHAnsi"/>
          <w:i/>
          <w:noProof/>
        </w:rPr>
        <w:t>Lieu v R</w:t>
      </w:r>
      <w:r w:rsidRPr="000A1327">
        <w:rPr>
          <w:rFonts w:cstheme="minorHAnsi"/>
          <w:noProof/>
        </w:rPr>
        <w:t xml:space="preserve"> [2016] VSCA 277</w:t>
      </w:r>
      <w:r>
        <w:rPr>
          <w:noProof/>
        </w:rPr>
        <w:tab/>
        <w:t>33</w:t>
      </w:r>
    </w:p>
    <w:p w14:paraId="37DF4DD5" w14:textId="77777777" w:rsidR="00D44BCF" w:rsidRDefault="00D44BCF">
      <w:pPr>
        <w:pStyle w:val="TableofAuthorities"/>
        <w:tabs>
          <w:tab w:val="right" w:leader="dot" w:pos="9061"/>
        </w:tabs>
        <w:rPr>
          <w:noProof/>
        </w:rPr>
      </w:pPr>
      <w:r w:rsidRPr="000A1327">
        <w:rPr>
          <w:rFonts w:cstheme="minorHAnsi"/>
          <w:i/>
          <w:noProof/>
        </w:rPr>
        <w:t>Ljuboja v R</w:t>
      </w:r>
      <w:r w:rsidRPr="000A1327">
        <w:rPr>
          <w:rFonts w:cstheme="minorHAnsi"/>
          <w:noProof/>
        </w:rPr>
        <w:t xml:space="preserve"> [2011] WASCA 143</w:t>
      </w:r>
      <w:r>
        <w:rPr>
          <w:noProof/>
        </w:rPr>
        <w:tab/>
        <w:t>62</w:t>
      </w:r>
    </w:p>
    <w:p w14:paraId="0CB9AD5D" w14:textId="77777777" w:rsidR="00D44BCF" w:rsidRDefault="00D44BCF">
      <w:pPr>
        <w:pStyle w:val="TableofAuthorities"/>
        <w:tabs>
          <w:tab w:val="right" w:leader="dot" w:pos="9061"/>
        </w:tabs>
        <w:rPr>
          <w:noProof/>
        </w:rPr>
      </w:pPr>
      <w:r w:rsidRPr="000A1327">
        <w:rPr>
          <w:rFonts w:cstheme="minorHAnsi"/>
          <w:i/>
          <w:noProof/>
        </w:rPr>
        <w:t>Lodhi v R</w:t>
      </w:r>
      <w:r w:rsidRPr="000A1327">
        <w:rPr>
          <w:rFonts w:cstheme="minorHAnsi"/>
          <w:noProof/>
        </w:rPr>
        <w:t xml:space="preserve"> [2007] NSWCCA 360</w:t>
      </w:r>
      <w:r>
        <w:rPr>
          <w:noProof/>
        </w:rPr>
        <w:tab/>
        <w:t>39, 58, 69, 131, 142, 157, 217</w:t>
      </w:r>
    </w:p>
    <w:p w14:paraId="4A3C791D" w14:textId="77777777" w:rsidR="00D44BCF" w:rsidRDefault="00D44BCF">
      <w:pPr>
        <w:pStyle w:val="TableofAuthorities"/>
        <w:tabs>
          <w:tab w:val="right" w:leader="dot" w:pos="9061"/>
        </w:tabs>
        <w:rPr>
          <w:noProof/>
        </w:rPr>
      </w:pPr>
      <w:r w:rsidRPr="000A1327">
        <w:rPr>
          <w:rFonts w:cstheme="minorHAnsi"/>
          <w:i/>
          <w:noProof/>
        </w:rPr>
        <w:t>Longworth v R</w:t>
      </w:r>
      <w:r w:rsidRPr="000A1327">
        <w:rPr>
          <w:rFonts w:cstheme="minorHAnsi"/>
          <w:noProof/>
        </w:rPr>
        <w:t xml:space="preserve"> [2017] NSWCCA 119</w:t>
      </w:r>
      <w:r>
        <w:rPr>
          <w:noProof/>
        </w:rPr>
        <w:tab/>
        <w:t>71</w:t>
      </w:r>
    </w:p>
    <w:p w14:paraId="0CFF2D72" w14:textId="77777777" w:rsidR="00D44BCF" w:rsidRDefault="00D44BCF">
      <w:pPr>
        <w:pStyle w:val="TableofAuthorities"/>
        <w:tabs>
          <w:tab w:val="right" w:leader="dot" w:pos="9061"/>
        </w:tabs>
        <w:rPr>
          <w:noProof/>
        </w:rPr>
      </w:pPr>
      <w:r w:rsidRPr="000A1327">
        <w:rPr>
          <w:rFonts w:cstheme="minorHAnsi"/>
          <w:i/>
          <w:noProof/>
        </w:rPr>
        <w:t>Lowe v R</w:t>
      </w:r>
      <w:r w:rsidRPr="000A1327">
        <w:rPr>
          <w:rFonts w:cstheme="minorHAnsi"/>
          <w:noProof/>
        </w:rPr>
        <w:t xml:space="preserve"> (1984) 154 CLR 606</w:t>
      </w:r>
      <w:r>
        <w:rPr>
          <w:noProof/>
        </w:rPr>
        <w:tab/>
        <w:t>69</w:t>
      </w:r>
    </w:p>
    <w:p w14:paraId="347F3513" w14:textId="77777777" w:rsidR="00D44BCF" w:rsidRDefault="00D44BCF">
      <w:pPr>
        <w:pStyle w:val="TableofAuthorities"/>
        <w:tabs>
          <w:tab w:val="right" w:leader="dot" w:pos="9061"/>
        </w:tabs>
        <w:rPr>
          <w:noProof/>
        </w:rPr>
      </w:pPr>
      <w:r w:rsidRPr="000A1327">
        <w:rPr>
          <w:rFonts w:cstheme="minorHAnsi"/>
          <w:i/>
          <w:noProof/>
        </w:rPr>
        <w:t>Ly v R</w:t>
      </w:r>
      <w:r w:rsidRPr="000A1327">
        <w:rPr>
          <w:rFonts w:cstheme="minorHAnsi"/>
          <w:noProof/>
        </w:rPr>
        <w:t xml:space="preserve"> (2014) 227 FCR 304</w:t>
      </w:r>
      <w:r>
        <w:rPr>
          <w:noProof/>
        </w:rPr>
        <w:tab/>
        <w:t>28</w:t>
      </w:r>
    </w:p>
    <w:p w14:paraId="0F23D865" w14:textId="77777777" w:rsidR="00D44BCF" w:rsidRDefault="00D44BCF">
      <w:pPr>
        <w:pStyle w:val="TableofAuthorities"/>
        <w:tabs>
          <w:tab w:val="right" w:leader="dot" w:pos="9061"/>
        </w:tabs>
        <w:rPr>
          <w:noProof/>
        </w:rPr>
      </w:pPr>
      <w:r w:rsidRPr="000A1327">
        <w:rPr>
          <w:rFonts w:cstheme="minorHAnsi"/>
          <w:i/>
          <w:noProof/>
        </w:rPr>
        <w:t>Ly v R</w:t>
      </w:r>
      <w:r w:rsidRPr="000A1327">
        <w:rPr>
          <w:rFonts w:cstheme="minorHAnsi"/>
          <w:noProof/>
        </w:rPr>
        <w:t xml:space="preserve"> [2007] NSWCCA 28</w:t>
      </w:r>
      <w:r>
        <w:rPr>
          <w:noProof/>
        </w:rPr>
        <w:tab/>
        <w:t>141</w:t>
      </w:r>
    </w:p>
    <w:p w14:paraId="6D3160E6" w14:textId="77777777" w:rsidR="00D44BCF" w:rsidRDefault="00D44BCF">
      <w:pPr>
        <w:pStyle w:val="TableofAuthorities"/>
        <w:tabs>
          <w:tab w:val="right" w:leader="dot" w:pos="9061"/>
        </w:tabs>
        <w:rPr>
          <w:noProof/>
        </w:rPr>
      </w:pPr>
      <w:r w:rsidRPr="000A1327">
        <w:rPr>
          <w:rFonts w:cstheme="minorHAnsi"/>
          <w:i/>
          <w:noProof/>
        </w:rPr>
        <w:t xml:space="preserve">MA v R </w:t>
      </w:r>
      <w:r w:rsidRPr="000A1327">
        <w:rPr>
          <w:rFonts w:cstheme="minorHAnsi"/>
          <w:noProof/>
        </w:rPr>
        <w:t>[2001] WASCA 325</w:t>
      </w:r>
      <w:r>
        <w:rPr>
          <w:noProof/>
        </w:rPr>
        <w:tab/>
        <w:t>55</w:t>
      </w:r>
    </w:p>
    <w:p w14:paraId="1A5F38F7" w14:textId="77777777" w:rsidR="00D44BCF" w:rsidRDefault="00D44BCF">
      <w:pPr>
        <w:pStyle w:val="TableofAuthorities"/>
        <w:tabs>
          <w:tab w:val="right" w:leader="dot" w:pos="9061"/>
        </w:tabs>
        <w:rPr>
          <w:noProof/>
        </w:rPr>
      </w:pPr>
      <w:r w:rsidRPr="000A1327">
        <w:rPr>
          <w:rFonts w:cstheme="minorHAnsi"/>
          <w:i/>
          <w:noProof/>
        </w:rPr>
        <w:t>MAC v Tasmania</w:t>
      </w:r>
      <w:r w:rsidRPr="000A1327">
        <w:rPr>
          <w:rFonts w:cstheme="minorHAnsi"/>
          <w:noProof/>
        </w:rPr>
        <w:t xml:space="preserve"> [2018] TasCCA 19</w:t>
      </w:r>
      <w:r>
        <w:rPr>
          <w:noProof/>
        </w:rPr>
        <w:tab/>
        <w:t>79</w:t>
      </w:r>
    </w:p>
    <w:p w14:paraId="5219144D" w14:textId="77777777" w:rsidR="00D44BCF" w:rsidRDefault="00D44BCF">
      <w:pPr>
        <w:pStyle w:val="TableofAuthorities"/>
        <w:tabs>
          <w:tab w:val="right" w:leader="dot" w:pos="9061"/>
        </w:tabs>
        <w:rPr>
          <w:noProof/>
        </w:rPr>
      </w:pPr>
      <w:r w:rsidRPr="000A1327">
        <w:rPr>
          <w:rFonts w:cstheme="minorHAnsi"/>
          <w:i/>
          <w:noProof/>
        </w:rPr>
        <w:t>Macleod v ASIC</w:t>
      </w:r>
      <w:r w:rsidRPr="000A1327">
        <w:rPr>
          <w:rFonts w:cstheme="minorHAnsi"/>
          <w:noProof/>
        </w:rPr>
        <w:t xml:space="preserve"> (2002) 211 CLR 287</w:t>
      </w:r>
      <w:r>
        <w:rPr>
          <w:noProof/>
        </w:rPr>
        <w:tab/>
        <w:t>5</w:t>
      </w:r>
    </w:p>
    <w:p w14:paraId="272CAD22" w14:textId="77777777" w:rsidR="00D44BCF" w:rsidRDefault="00D44BCF">
      <w:pPr>
        <w:pStyle w:val="TableofAuthorities"/>
        <w:tabs>
          <w:tab w:val="right" w:leader="dot" w:pos="9061"/>
        </w:tabs>
        <w:rPr>
          <w:noProof/>
        </w:rPr>
      </w:pPr>
      <w:r w:rsidRPr="000A1327">
        <w:rPr>
          <w:rFonts w:cstheme="minorHAnsi"/>
          <w:i/>
          <w:noProof/>
        </w:rPr>
        <w:t>Magaming v R</w:t>
      </w:r>
      <w:r w:rsidRPr="000A1327">
        <w:rPr>
          <w:rFonts w:cstheme="minorHAnsi"/>
          <w:noProof/>
        </w:rPr>
        <w:t xml:space="preserve"> (2013) 252 CLR 381</w:t>
      </w:r>
      <w:r>
        <w:rPr>
          <w:noProof/>
        </w:rPr>
        <w:tab/>
        <w:t>218</w:t>
      </w:r>
    </w:p>
    <w:p w14:paraId="77FABF0D" w14:textId="77777777" w:rsidR="00D44BCF" w:rsidRDefault="00D44BCF">
      <w:pPr>
        <w:pStyle w:val="TableofAuthorities"/>
        <w:tabs>
          <w:tab w:val="right" w:leader="dot" w:pos="9061"/>
        </w:tabs>
        <w:rPr>
          <w:noProof/>
        </w:rPr>
      </w:pPr>
      <w:r w:rsidRPr="000A1327">
        <w:rPr>
          <w:rFonts w:cstheme="minorHAnsi"/>
          <w:i/>
          <w:noProof/>
        </w:rPr>
        <w:t>Maguire v Simpson</w:t>
      </w:r>
      <w:r w:rsidRPr="000A1327">
        <w:rPr>
          <w:rFonts w:cstheme="minorHAnsi"/>
          <w:noProof/>
        </w:rPr>
        <w:t xml:space="preserve"> (1977) 139 CLR 362</w:t>
      </w:r>
      <w:r>
        <w:rPr>
          <w:noProof/>
        </w:rPr>
        <w:tab/>
        <w:t>13</w:t>
      </w:r>
    </w:p>
    <w:p w14:paraId="69803D6C" w14:textId="77777777" w:rsidR="00D44BCF" w:rsidRDefault="00D44BCF">
      <w:pPr>
        <w:pStyle w:val="TableofAuthorities"/>
        <w:tabs>
          <w:tab w:val="right" w:leader="dot" w:pos="9061"/>
        </w:tabs>
        <w:rPr>
          <w:noProof/>
        </w:rPr>
      </w:pPr>
      <w:r w:rsidRPr="000A1327">
        <w:rPr>
          <w:rFonts w:cstheme="minorHAnsi"/>
          <w:i/>
          <w:noProof/>
        </w:rPr>
        <w:t>Malvaso v R</w:t>
      </w:r>
      <w:r w:rsidRPr="000A1327">
        <w:rPr>
          <w:rFonts w:cstheme="minorHAnsi"/>
          <w:noProof/>
        </w:rPr>
        <w:t xml:space="preserve"> (1989) 168 CLR 227</w:t>
      </w:r>
      <w:r>
        <w:rPr>
          <w:noProof/>
        </w:rPr>
        <w:tab/>
        <w:t>185, 191</w:t>
      </w:r>
    </w:p>
    <w:p w14:paraId="77C1410E" w14:textId="77777777" w:rsidR="00D44BCF" w:rsidRDefault="00D44BCF">
      <w:pPr>
        <w:pStyle w:val="TableofAuthorities"/>
        <w:tabs>
          <w:tab w:val="right" w:leader="dot" w:pos="9061"/>
        </w:tabs>
        <w:rPr>
          <w:noProof/>
        </w:rPr>
      </w:pPr>
      <w:r w:rsidRPr="000A1327">
        <w:rPr>
          <w:rFonts w:cstheme="minorHAnsi"/>
          <w:i/>
          <w:iCs/>
          <w:noProof/>
        </w:rPr>
        <w:t>Mansfield</w:t>
      </w:r>
      <w:r w:rsidRPr="000A1327">
        <w:rPr>
          <w:rFonts w:cstheme="minorHAnsi"/>
          <w:noProof/>
        </w:rPr>
        <w:t xml:space="preserve"> v </w:t>
      </w:r>
      <w:r w:rsidRPr="000A1327">
        <w:rPr>
          <w:rFonts w:cstheme="minorHAnsi"/>
          <w:i/>
          <w:iCs/>
          <w:noProof/>
        </w:rPr>
        <w:t>Evans</w:t>
      </w:r>
      <w:r w:rsidRPr="000A1327">
        <w:rPr>
          <w:rFonts w:cstheme="minorHAnsi"/>
          <w:noProof/>
        </w:rPr>
        <w:t xml:space="preserve"> [2003] WASCA 193</w:t>
      </w:r>
      <w:r>
        <w:rPr>
          <w:noProof/>
        </w:rPr>
        <w:tab/>
        <w:t>97</w:t>
      </w:r>
    </w:p>
    <w:p w14:paraId="4BE9BAB5" w14:textId="77777777" w:rsidR="00D44BCF" w:rsidRDefault="00D44BCF">
      <w:pPr>
        <w:pStyle w:val="TableofAuthorities"/>
        <w:tabs>
          <w:tab w:val="right" w:leader="dot" w:pos="9061"/>
        </w:tabs>
        <w:rPr>
          <w:noProof/>
        </w:rPr>
      </w:pPr>
      <w:r w:rsidRPr="000A1327">
        <w:rPr>
          <w:rFonts w:cstheme="minorHAnsi"/>
          <w:i/>
          <w:noProof/>
        </w:rPr>
        <w:t>Markarian v R</w:t>
      </w:r>
      <w:r w:rsidRPr="000A1327">
        <w:rPr>
          <w:rFonts w:cstheme="minorHAnsi"/>
          <w:noProof/>
        </w:rPr>
        <w:t xml:space="preserve"> (2005) 228 CLR 357</w:t>
      </w:r>
      <w:r>
        <w:rPr>
          <w:noProof/>
        </w:rPr>
        <w:tab/>
        <w:t>29, 30, 32, 39, 202</w:t>
      </w:r>
    </w:p>
    <w:p w14:paraId="60AC9F13" w14:textId="77777777" w:rsidR="00D44BCF" w:rsidRDefault="00D44BCF">
      <w:pPr>
        <w:pStyle w:val="TableofAuthorities"/>
        <w:tabs>
          <w:tab w:val="right" w:leader="dot" w:pos="9061"/>
        </w:tabs>
        <w:rPr>
          <w:noProof/>
        </w:rPr>
      </w:pPr>
      <w:r w:rsidRPr="000A1327">
        <w:rPr>
          <w:rFonts w:cstheme="minorHAnsi"/>
          <w:i/>
          <w:noProof/>
        </w:rPr>
        <w:t xml:space="preserve">Markovic v R </w:t>
      </w:r>
      <w:r w:rsidRPr="000A1327">
        <w:rPr>
          <w:rFonts w:cstheme="minorHAnsi"/>
          <w:noProof/>
        </w:rPr>
        <w:t>(2010) 30 VR 589</w:t>
      </w:r>
      <w:r>
        <w:rPr>
          <w:noProof/>
        </w:rPr>
        <w:tab/>
        <w:t>66, 67, 68</w:t>
      </w:r>
    </w:p>
    <w:p w14:paraId="595F7644" w14:textId="77777777" w:rsidR="00D44BCF" w:rsidRDefault="00D44BCF">
      <w:pPr>
        <w:pStyle w:val="TableofAuthorities"/>
        <w:tabs>
          <w:tab w:val="right" w:leader="dot" w:pos="9061"/>
        </w:tabs>
        <w:rPr>
          <w:noProof/>
        </w:rPr>
      </w:pPr>
      <w:r w:rsidRPr="000A1327">
        <w:rPr>
          <w:rFonts w:cstheme="minorHAnsi"/>
          <w:i/>
          <w:noProof/>
        </w:rPr>
        <w:t>Matta v ACCC</w:t>
      </w:r>
      <w:r w:rsidRPr="000A1327">
        <w:rPr>
          <w:rFonts w:cstheme="minorHAnsi"/>
          <w:noProof/>
        </w:rPr>
        <w:t xml:space="preserve"> [2000] FCA 729</w:t>
      </w:r>
      <w:r>
        <w:rPr>
          <w:noProof/>
        </w:rPr>
        <w:tab/>
        <w:t>98, 99</w:t>
      </w:r>
    </w:p>
    <w:p w14:paraId="3E48EACA" w14:textId="77777777" w:rsidR="00D44BCF" w:rsidRDefault="00D44BCF">
      <w:pPr>
        <w:pStyle w:val="TableofAuthorities"/>
        <w:tabs>
          <w:tab w:val="right" w:leader="dot" w:pos="9061"/>
        </w:tabs>
        <w:rPr>
          <w:noProof/>
        </w:rPr>
      </w:pPr>
      <w:r w:rsidRPr="000A1327">
        <w:rPr>
          <w:rFonts w:cstheme="minorHAnsi"/>
          <w:i/>
          <w:noProof/>
        </w:rPr>
        <w:t>Matthews v R</w:t>
      </w:r>
      <w:r w:rsidRPr="000A1327">
        <w:rPr>
          <w:rFonts w:cstheme="minorHAnsi"/>
          <w:noProof/>
        </w:rPr>
        <w:t xml:space="preserve"> (2014) 44 VR 280</w:t>
      </w:r>
      <w:r>
        <w:rPr>
          <w:noProof/>
        </w:rPr>
        <w:tab/>
        <w:t>185, 187, 189, 191, 192</w:t>
      </w:r>
    </w:p>
    <w:p w14:paraId="0E642A4B" w14:textId="77777777" w:rsidR="00D44BCF" w:rsidRDefault="00D44BCF">
      <w:pPr>
        <w:pStyle w:val="TableofAuthorities"/>
        <w:tabs>
          <w:tab w:val="right" w:leader="dot" w:pos="9061"/>
        </w:tabs>
        <w:rPr>
          <w:noProof/>
        </w:rPr>
      </w:pPr>
      <w:r w:rsidRPr="000A1327">
        <w:rPr>
          <w:rFonts w:cstheme="minorHAnsi"/>
          <w:i/>
          <w:noProof/>
        </w:rPr>
        <w:t>McAree v Barr</w:t>
      </w:r>
      <w:r w:rsidRPr="000A1327">
        <w:rPr>
          <w:rFonts w:cstheme="minorHAnsi"/>
          <w:noProof/>
        </w:rPr>
        <w:t xml:space="preserve"> [2006] TASSC 37</w:t>
      </w:r>
      <w:r>
        <w:rPr>
          <w:noProof/>
        </w:rPr>
        <w:tab/>
        <w:t>67</w:t>
      </w:r>
    </w:p>
    <w:p w14:paraId="33B729BB" w14:textId="77777777" w:rsidR="00D44BCF" w:rsidRDefault="00D44BCF">
      <w:pPr>
        <w:pStyle w:val="TableofAuthorities"/>
        <w:tabs>
          <w:tab w:val="right" w:leader="dot" w:pos="9061"/>
        </w:tabs>
        <w:rPr>
          <w:noProof/>
        </w:rPr>
      </w:pPr>
      <w:r w:rsidRPr="000A1327">
        <w:rPr>
          <w:rFonts w:cstheme="minorHAnsi"/>
          <w:i/>
          <w:noProof/>
        </w:rPr>
        <w:t>McGuiness</w:t>
      </w:r>
      <w:r w:rsidRPr="000A1327">
        <w:rPr>
          <w:rFonts w:cstheme="minorHAnsi"/>
          <w:noProof/>
        </w:rPr>
        <w:t xml:space="preserve"> </w:t>
      </w:r>
      <w:r w:rsidRPr="000A1327">
        <w:rPr>
          <w:rFonts w:cstheme="minorHAnsi"/>
          <w:i/>
          <w:noProof/>
        </w:rPr>
        <w:t>v R</w:t>
      </w:r>
      <w:r w:rsidRPr="000A1327">
        <w:rPr>
          <w:rFonts w:cstheme="minorHAnsi"/>
          <w:noProof/>
        </w:rPr>
        <w:t xml:space="preserve"> [2008] NSWCCA 80</w:t>
      </w:r>
      <w:r>
        <w:rPr>
          <w:noProof/>
        </w:rPr>
        <w:tab/>
        <w:t>58</w:t>
      </w:r>
    </w:p>
    <w:p w14:paraId="14C8C467" w14:textId="77777777" w:rsidR="00D44BCF" w:rsidRDefault="00D44BCF">
      <w:pPr>
        <w:pStyle w:val="TableofAuthorities"/>
        <w:tabs>
          <w:tab w:val="right" w:leader="dot" w:pos="9061"/>
        </w:tabs>
        <w:rPr>
          <w:noProof/>
        </w:rPr>
      </w:pPr>
      <w:r w:rsidRPr="000A1327">
        <w:rPr>
          <w:rFonts w:cstheme="minorHAnsi"/>
          <w:i/>
          <w:noProof/>
        </w:rPr>
        <w:t>McMillan v Bierwirth</w:t>
      </w:r>
      <w:r w:rsidRPr="000A1327">
        <w:rPr>
          <w:rFonts w:cstheme="minorHAnsi"/>
          <w:noProof/>
        </w:rPr>
        <w:t xml:space="preserve"> (1987) 49 SASR 403</w:t>
      </w:r>
      <w:r>
        <w:rPr>
          <w:noProof/>
        </w:rPr>
        <w:tab/>
        <w:t>194</w:t>
      </w:r>
    </w:p>
    <w:p w14:paraId="7523523F" w14:textId="77777777" w:rsidR="00D44BCF" w:rsidRDefault="00D44BCF">
      <w:pPr>
        <w:pStyle w:val="TableofAuthorities"/>
        <w:tabs>
          <w:tab w:val="right" w:leader="dot" w:pos="9061"/>
        </w:tabs>
        <w:rPr>
          <w:noProof/>
        </w:rPr>
      </w:pPr>
      <w:r w:rsidRPr="000A1327">
        <w:rPr>
          <w:rFonts w:cstheme="minorHAnsi"/>
          <w:i/>
          <w:noProof/>
        </w:rPr>
        <w:t>MEG v R</w:t>
      </w:r>
      <w:r w:rsidRPr="000A1327">
        <w:rPr>
          <w:rFonts w:cstheme="minorHAnsi"/>
          <w:noProof/>
        </w:rPr>
        <w:t xml:space="preserve"> [2017] WASCA 161</w:t>
      </w:r>
      <w:r>
        <w:rPr>
          <w:noProof/>
        </w:rPr>
        <w:tab/>
        <w:t>55</w:t>
      </w:r>
    </w:p>
    <w:p w14:paraId="671728E1" w14:textId="77777777" w:rsidR="00D44BCF" w:rsidRDefault="00D44BCF">
      <w:pPr>
        <w:pStyle w:val="TableofAuthorities"/>
        <w:tabs>
          <w:tab w:val="right" w:leader="dot" w:pos="9061"/>
        </w:tabs>
        <w:rPr>
          <w:noProof/>
        </w:rPr>
      </w:pPr>
      <w:r w:rsidRPr="000A1327">
        <w:rPr>
          <w:rFonts w:cstheme="minorHAnsi"/>
          <w:i/>
          <w:noProof/>
        </w:rPr>
        <w:t>Mercanti v R</w:t>
      </w:r>
      <w:r w:rsidRPr="000A1327">
        <w:rPr>
          <w:rFonts w:cstheme="minorHAnsi"/>
          <w:noProof/>
        </w:rPr>
        <w:t xml:space="preserve"> [2011] WASCA 120</w:t>
      </w:r>
      <w:r>
        <w:rPr>
          <w:noProof/>
        </w:rPr>
        <w:tab/>
        <w:t>126, 129, 132, 133, 134</w:t>
      </w:r>
    </w:p>
    <w:p w14:paraId="7E883273" w14:textId="77777777" w:rsidR="00D44BCF" w:rsidRDefault="00D44BCF">
      <w:pPr>
        <w:pStyle w:val="TableofAuthorities"/>
        <w:tabs>
          <w:tab w:val="right" w:leader="dot" w:pos="9061"/>
        </w:tabs>
        <w:rPr>
          <w:noProof/>
        </w:rPr>
      </w:pPr>
      <w:r w:rsidRPr="000A1327">
        <w:rPr>
          <w:rFonts w:cstheme="minorHAnsi"/>
          <w:i/>
          <w:noProof/>
        </w:rPr>
        <w:t>Mill v R</w:t>
      </w:r>
      <w:r w:rsidRPr="000A1327">
        <w:rPr>
          <w:rFonts w:cstheme="minorHAnsi"/>
          <w:noProof/>
        </w:rPr>
        <w:t xml:space="preserve"> (1988) 166 CLR 59</w:t>
      </w:r>
      <w:r>
        <w:rPr>
          <w:noProof/>
        </w:rPr>
        <w:tab/>
        <w:t>40, 44, 71, 136</w:t>
      </w:r>
    </w:p>
    <w:p w14:paraId="4A046980" w14:textId="77777777" w:rsidR="00D44BCF" w:rsidRDefault="00D44BCF">
      <w:pPr>
        <w:pStyle w:val="TableofAuthorities"/>
        <w:tabs>
          <w:tab w:val="right" w:leader="dot" w:pos="9061"/>
        </w:tabs>
        <w:rPr>
          <w:noProof/>
        </w:rPr>
      </w:pPr>
      <w:r w:rsidRPr="000A1327">
        <w:rPr>
          <w:rFonts w:cstheme="minorHAnsi"/>
          <w:i/>
          <w:noProof/>
        </w:rPr>
        <w:t xml:space="preserve">Millard v R </w:t>
      </w:r>
      <w:r w:rsidRPr="000A1327">
        <w:rPr>
          <w:rFonts w:cstheme="minorHAnsi"/>
          <w:noProof/>
        </w:rPr>
        <w:t>[2016] ACTCA 14</w:t>
      </w:r>
      <w:r>
        <w:rPr>
          <w:noProof/>
        </w:rPr>
        <w:tab/>
        <w:t>64</w:t>
      </w:r>
    </w:p>
    <w:p w14:paraId="265039EE" w14:textId="77777777" w:rsidR="00D44BCF" w:rsidRDefault="00D44BCF">
      <w:pPr>
        <w:pStyle w:val="TableofAuthorities"/>
        <w:tabs>
          <w:tab w:val="right" w:leader="dot" w:pos="9061"/>
        </w:tabs>
        <w:rPr>
          <w:noProof/>
        </w:rPr>
      </w:pPr>
      <w:r w:rsidRPr="000A1327">
        <w:rPr>
          <w:rFonts w:cstheme="minorHAnsi"/>
          <w:i/>
          <w:noProof/>
        </w:rPr>
        <w:t>Milne</w:t>
      </w:r>
      <w:r w:rsidRPr="000A1327">
        <w:rPr>
          <w:rFonts w:cstheme="minorHAnsi"/>
          <w:noProof/>
        </w:rPr>
        <w:t xml:space="preserve"> </w:t>
      </w:r>
      <w:r w:rsidRPr="000A1327">
        <w:rPr>
          <w:rFonts w:cstheme="minorHAnsi"/>
          <w:i/>
          <w:noProof/>
        </w:rPr>
        <w:t>v</w:t>
      </w:r>
      <w:r w:rsidRPr="000A1327">
        <w:rPr>
          <w:rFonts w:cstheme="minorHAnsi"/>
          <w:noProof/>
        </w:rPr>
        <w:t xml:space="preserve"> </w:t>
      </w:r>
      <w:r w:rsidRPr="000A1327">
        <w:rPr>
          <w:rFonts w:cstheme="minorHAnsi"/>
          <w:i/>
          <w:noProof/>
        </w:rPr>
        <w:t>R</w:t>
      </w:r>
      <w:r w:rsidRPr="000A1327">
        <w:rPr>
          <w:rFonts w:cstheme="minorHAnsi"/>
          <w:noProof/>
        </w:rPr>
        <w:t xml:space="preserve"> [2012] NSWCCA 24</w:t>
      </w:r>
      <w:r>
        <w:rPr>
          <w:noProof/>
        </w:rPr>
        <w:tab/>
        <w:t>58</w:t>
      </w:r>
    </w:p>
    <w:p w14:paraId="6ECB1E8C" w14:textId="77777777" w:rsidR="00D44BCF" w:rsidRDefault="00D44BCF">
      <w:pPr>
        <w:pStyle w:val="TableofAuthorities"/>
        <w:tabs>
          <w:tab w:val="right" w:leader="dot" w:pos="9061"/>
        </w:tabs>
        <w:rPr>
          <w:noProof/>
        </w:rPr>
      </w:pPr>
      <w:r w:rsidRPr="000A1327">
        <w:rPr>
          <w:rFonts w:cstheme="minorHAnsi"/>
          <w:i/>
          <w:iCs/>
          <w:noProof/>
        </w:rPr>
        <w:t>Minehan v R</w:t>
      </w:r>
      <w:r w:rsidRPr="000A1327">
        <w:rPr>
          <w:rFonts w:cstheme="minorHAnsi"/>
          <w:noProof/>
        </w:rPr>
        <w:t xml:space="preserve"> [2010] NSWCCA 140</w:t>
      </w:r>
      <w:r>
        <w:rPr>
          <w:noProof/>
        </w:rPr>
        <w:tab/>
        <w:t>215</w:t>
      </w:r>
    </w:p>
    <w:p w14:paraId="015FDED1" w14:textId="77777777" w:rsidR="00D44BCF" w:rsidRDefault="00D44BCF">
      <w:pPr>
        <w:pStyle w:val="TableofAuthorities"/>
        <w:tabs>
          <w:tab w:val="right" w:leader="dot" w:pos="9061"/>
        </w:tabs>
        <w:rPr>
          <w:noProof/>
        </w:rPr>
      </w:pPr>
      <w:r w:rsidRPr="000A1327">
        <w:rPr>
          <w:rFonts w:cstheme="minorHAnsi"/>
          <w:i/>
          <w:noProof/>
        </w:rPr>
        <w:t>Mok v DPP (NSW)</w:t>
      </w:r>
      <w:r w:rsidRPr="000A1327">
        <w:rPr>
          <w:rFonts w:cstheme="minorHAnsi"/>
          <w:noProof/>
        </w:rPr>
        <w:t xml:space="preserve"> (2016) 257 CLR 402</w:t>
      </w:r>
      <w:r>
        <w:rPr>
          <w:noProof/>
        </w:rPr>
        <w:tab/>
        <w:t>13</w:t>
      </w:r>
    </w:p>
    <w:p w14:paraId="55F3B870" w14:textId="77777777" w:rsidR="00D44BCF" w:rsidRDefault="00D44BCF">
      <w:pPr>
        <w:pStyle w:val="TableofAuthorities"/>
        <w:tabs>
          <w:tab w:val="right" w:leader="dot" w:pos="9061"/>
        </w:tabs>
        <w:rPr>
          <w:noProof/>
        </w:rPr>
      </w:pPr>
      <w:r w:rsidRPr="000A1327">
        <w:rPr>
          <w:rFonts w:cstheme="minorHAnsi"/>
          <w:i/>
          <w:noProof/>
        </w:rPr>
        <w:t>Mokbel v R</w:t>
      </w:r>
      <w:r w:rsidRPr="000A1327">
        <w:rPr>
          <w:rFonts w:cstheme="minorHAnsi"/>
          <w:noProof/>
        </w:rPr>
        <w:t xml:space="preserve"> [2011] VSCA 34</w:t>
      </w:r>
      <w:r>
        <w:rPr>
          <w:noProof/>
        </w:rPr>
        <w:tab/>
        <w:t>201</w:t>
      </w:r>
    </w:p>
    <w:p w14:paraId="01F78998" w14:textId="77777777" w:rsidR="00D44BCF" w:rsidRDefault="00D44BCF">
      <w:pPr>
        <w:pStyle w:val="TableofAuthorities"/>
        <w:tabs>
          <w:tab w:val="right" w:leader="dot" w:pos="9061"/>
        </w:tabs>
        <w:rPr>
          <w:noProof/>
        </w:rPr>
      </w:pPr>
      <w:r w:rsidRPr="000A1327">
        <w:rPr>
          <w:rFonts w:cstheme="minorHAnsi"/>
          <w:i/>
          <w:noProof/>
        </w:rPr>
        <w:t>Moreland v Snowdon</w:t>
      </w:r>
      <w:r w:rsidRPr="000A1327">
        <w:rPr>
          <w:rFonts w:cstheme="minorHAnsi"/>
          <w:noProof/>
        </w:rPr>
        <w:t xml:space="preserve"> [2007] WASC 137</w:t>
      </w:r>
      <w:r>
        <w:rPr>
          <w:noProof/>
        </w:rPr>
        <w:tab/>
        <w:t>99</w:t>
      </w:r>
    </w:p>
    <w:p w14:paraId="10663030" w14:textId="77777777" w:rsidR="00D44BCF" w:rsidRDefault="00D44BCF">
      <w:pPr>
        <w:pStyle w:val="TableofAuthorities"/>
        <w:tabs>
          <w:tab w:val="right" w:leader="dot" w:pos="9061"/>
        </w:tabs>
        <w:rPr>
          <w:noProof/>
        </w:rPr>
      </w:pPr>
      <w:r w:rsidRPr="000A1327">
        <w:rPr>
          <w:rFonts w:cstheme="minorHAnsi"/>
          <w:i/>
          <w:noProof/>
        </w:rPr>
        <w:t>Morrison v Behrooz</w:t>
      </w:r>
      <w:r w:rsidRPr="000A1327">
        <w:rPr>
          <w:rFonts w:cstheme="minorHAnsi"/>
          <w:noProof/>
        </w:rPr>
        <w:t xml:space="preserve"> [2005] SASC 142</w:t>
      </w:r>
      <w:r>
        <w:rPr>
          <w:noProof/>
        </w:rPr>
        <w:tab/>
        <w:t>96, 225, 228</w:t>
      </w:r>
    </w:p>
    <w:p w14:paraId="3B535C1C" w14:textId="77777777" w:rsidR="00D44BCF" w:rsidRDefault="00D44BCF">
      <w:pPr>
        <w:pStyle w:val="TableofAuthorities"/>
        <w:tabs>
          <w:tab w:val="right" w:leader="dot" w:pos="9061"/>
        </w:tabs>
        <w:rPr>
          <w:noProof/>
        </w:rPr>
      </w:pPr>
      <w:r w:rsidRPr="000A1327">
        <w:rPr>
          <w:rFonts w:cstheme="minorHAnsi"/>
          <w:i/>
          <w:noProof/>
        </w:rPr>
        <w:t>MSO v Western Australia</w:t>
      </w:r>
      <w:r w:rsidRPr="000A1327">
        <w:rPr>
          <w:rFonts w:cstheme="minorHAnsi"/>
          <w:noProof/>
        </w:rPr>
        <w:t xml:space="preserve"> [2015] WASCA 78</w:t>
      </w:r>
      <w:r>
        <w:rPr>
          <w:noProof/>
        </w:rPr>
        <w:tab/>
        <w:t>54</w:t>
      </w:r>
    </w:p>
    <w:p w14:paraId="08017145" w14:textId="77777777" w:rsidR="00D44BCF" w:rsidRDefault="00D44BCF">
      <w:pPr>
        <w:pStyle w:val="TableofAuthorities"/>
        <w:tabs>
          <w:tab w:val="right" w:leader="dot" w:pos="9061"/>
        </w:tabs>
        <w:rPr>
          <w:noProof/>
        </w:rPr>
      </w:pPr>
      <w:r w:rsidRPr="000A1327">
        <w:rPr>
          <w:rFonts w:cstheme="minorHAnsi"/>
          <w:bCs/>
          <w:i/>
          <w:iCs/>
          <w:noProof/>
        </w:rPr>
        <w:t>Mulcahy v Clark</w:t>
      </w:r>
      <w:r w:rsidRPr="000A1327">
        <w:rPr>
          <w:rFonts w:cstheme="minorHAnsi"/>
          <w:noProof/>
        </w:rPr>
        <w:t xml:space="preserve"> [1991] Tas R 115</w:t>
      </w:r>
      <w:r>
        <w:rPr>
          <w:noProof/>
        </w:rPr>
        <w:tab/>
        <w:t>179</w:t>
      </w:r>
    </w:p>
    <w:p w14:paraId="3A632867" w14:textId="77777777" w:rsidR="00D44BCF" w:rsidRDefault="00D44BCF">
      <w:pPr>
        <w:pStyle w:val="TableofAuthorities"/>
        <w:tabs>
          <w:tab w:val="right" w:leader="dot" w:pos="9061"/>
        </w:tabs>
        <w:rPr>
          <w:noProof/>
        </w:rPr>
      </w:pPr>
      <w:r w:rsidRPr="000A1327">
        <w:rPr>
          <w:rFonts w:cstheme="minorHAnsi"/>
          <w:i/>
          <w:noProof/>
        </w:rPr>
        <w:t>Muldrock v R</w:t>
      </w:r>
      <w:r w:rsidRPr="000A1327">
        <w:rPr>
          <w:rFonts w:cstheme="minorHAnsi"/>
          <w:noProof/>
        </w:rPr>
        <w:t xml:space="preserve"> (2011) 244 CLR 120</w:t>
      </w:r>
      <w:r>
        <w:rPr>
          <w:noProof/>
        </w:rPr>
        <w:tab/>
        <w:t>29, 58, 63, 64, 65, 87</w:t>
      </w:r>
    </w:p>
    <w:p w14:paraId="0911C413" w14:textId="77777777" w:rsidR="00D44BCF" w:rsidRDefault="00D44BCF">
      <w:pPr>
        <w:pStyle w:val="TableofAuthorities"/>
        <w:tabs>
          <w:tab w:val="right" w:leader="dot" w:pos="9061"/>
        </w:tabs>
        <w:rPr>
          <w:noProof/>
        </w:rPr>
      </w:pPr>
      <w:r w:rsidRPr="000A1327">
        <w:rPr>
          <w:rFonts w:cstheme="minorHAnsi"/>
          <w:i/>
          <w:noProof/>
        </w:rPr>
        <w:t>Mun v R</w:t>
      </w:r>
      <w:r w:rsidRPr="000A1327">
        <w:rPr>
          <w:rFonts w:cstheme="minorHAnsi"/>
          <w:noProof/>
        </w:rPr>
        <w:t xml:space="preserve"> [2015] NSWCCA 234</w:t>
      </w:r>
      <w:r>
        <w:rPr>
          <w:noProof/>
        </w:rPr>
        <w:tab/>
        <w:t>28</w:t>
      </w:r>
    </w:p>
    <w:p w14:paraId="099BB96A" w14:textId="77777777" w:rsidR="00D44BCF" w:rsidRDefault="00D44BCF">
      <w:pPr>
        <w:pStyle w:val="TableofAuthorities"/>
        <w:tabs>
          <w:tab w:val="right" w:leader="dot" w:pos="9061"/>
        </w:tabs>
        <w:rPr>
          <w:noProof/>
        </w:rPr>
      </w:pPr>
      <w:r w:rsidRPr="000A1327">
        <w:rPr>
          <w:rFonts w:cstheme="minorHAnsi"/>
          <w:i/>
          <w:noProof/>
        </w:rPr>
        <w:t>Murphy v R</w:t>
      </w:r>
      <w:r w:rsidRPr="000A1327">
        <w:rPr>
          <w:rFonts w:cstheme="minorHAnsi"/>
          <w:noProof/>
        </w:rPr>
        <w:t xml:space="preserve"> (1985) 158 CLR 596</w:t>
      </w:r>
      <w:r>
        <w:rPr>
          <w:noProof/>
        </w:rPr>
        <w:tab/>
        <w:t>5</w:t>
      </w:r>
    </w:p>
    <w:p w14:paraId="3624C6F0" w14:textId="77777777" w:rsidR="00D44BCF" w:rsidRDefault="00D44BCF">
      <w:pPr>
        <w:pStyle w:val="TableofAuthorities"/>
        <w:tabs>
          <w:tab w:val="right" w:leader="dot" w:pos="9061"/>
        </w:tabs>
        <w:rPr>
          <w:noProof/>
        </w:rPr>
      </w:pPr>
      <w:r w:rsidRPr="000A1327">
        <w:rPr>
          <w:rFonts w:cstheme="minorHAnsi"/>
          <w:i/>
          <w:noProof/>
        </w:rPr>
        <w:t xml:space="preserve">MXP v Western Australia </w:t>
      </w:r>
      <w:r w:rsidRPr="000A1327">
        <w:rPr>
          <w:rFonts w:cstheme="minorHAnsi"/>
          <w:noProof/>
        </w:rPr>
        <w:t>(2010) 41 WAR 149</w:t>
      </w:r>
      <w:r>
        <w:rPr>
          <w:noProof/>
        </w:rPr>
        <w:tab/>
        <w:t>54, 55</w:t>
      </w:r>
    </w:p>
    <w:p w14:paraId="3BF0BE34" w14:textId="77777777" w:rsidR="00D44BCF" w:rsidRDefault="00D44BCF">
      <w:pPr>
        <w:pStyle w:val="TableofAuthorities"/>
        <w:tabs>
          <w:tab w:val="right" w:leader="dot" w:pos="9061"/>
        </w:tabs>
        <w:rPr>
          <w:noProof/>
        </w:rPr>
      </w:pPr>
      <w:r w:rsidRPr="000A1327">
        <w:rPr>
          <w:rFonts w:cstheme="minorHAnsi"/>
          <w:bCs/>
          <w:i/>
          <w:iCs/>
          <w:noProof/>
        </w:rPr>
        <w:t>MZXOT v Minister for Immigration and Citizenship</w:t>
      </w:r>
      <w:r w:rsidRPr="000A1327">
        <w:rPr>
          <w:rFonts w:cstheme="minorHAnsi"/>
          <w:bCs/>
          <w:noProof/>
        </w:rPr>
        <w:t xml:space="preserve"> (2008) 233 CLR 601</w:t>
      </w:r>
      <w:r>
        <w:rPr>
          <w:noProof/>
        </w:rPr>
        <w:tab/>
        <w:t>6</w:t>
      </w:r>
    </w:p>
    <w:p w14:paraId="1DBDA2A4" w14:textId="77777777" w:rsidR="00D44BCF" w:rsidRDefault="00D44BCF">
      <w:pPr>
        <w:pStyle w:val="TableofAuthorities"/>
        <w:tabs>
          <w:tab w:val="right" w:leader="dot" w:pos="9061"/>
        </w:tabs>
        <w:rPr>
          <w:noProof/>
        </w:rPr>
      </w:pPr>
      <w:r w:rsidRPr="000A1327">
        <w:rPr>
          <w:rFonts w:cstheme="minorHAnsi"/>
          <w:i/>
          <w:noProof/>
        </w:rPr>
        <w:t>Naizmand v R</w:t>
      </w:r>
      <w:r w:rsidRPr="000A1327">
        <w:rPr>
          <w:rFonts w:cstheme="minorHAnsi"/>
          <w:noProof/>
        </w:rPr>
        <w:t xml:space="preserve"> [2018] NSWCCA 25</w:t>
      </w:r>
      <w:r>
        <w:rPr>
          <w:noProof/>
        </w:rPr>
        <w:tab/>
        <w:t>52</w:t>
      </w:r>
    </w:p>
    <w:p w14:paraId="0F152793" w14:textId="77777777" w:rsidR="00D44BCF" w:rsidRDefault="00D44BCF">
      <w:pPr>
        <w:pStyle w:val="TableofAuthorities"/>
        <w:tabs>
          <w:tab w:val="right" w:leader="dot" w:pos="9061"/>
        </w:tabs>
        <w:rPr>
          <w:noProof/>
        </w:rPr>
      </w:pPr>
      <w:r w:rsidRPr="000A1327">
        <w:rPr>
          <w:rFonts w:cstheme="minorHAnsi"/>
          <w:i/>
          <w:noProof/>
        </w:rPr>
        <w:t xml:space="preserve">Nannup v Western Australia </w:t>
      </w:r>
      <w:r w:rsidRPr="000A1327">
        <w:rPr>
          <w:rFonts w:cstheme="minorHAnsi"/>
          <w:noProof/>
        </w:rPr>
        <w:t>[2011] WASCA 257</w:t>
      </w:r>
      <w:r>
        <w:rPr>
          <w:noProof/>
        </w:rPr>
        <w:tab/>
        <w:t>55</w:t>
      </w:r>
    </w:p>
    <w:p w14:paraId="399BFC82" w14:textId="77777777" w:rsidR="00D44BCF" w:rsidRDefault="00D44BCF">
      <w:pPr>
        <w:pStyle w:val="TableofAuthorities"/>
        <w:tabs>
          <w:tab w:val="right" w:leader="dot" w:pos="9061"/>
        </w:tabs>
        <w:rPr>
          <w:noProof/>
        </w:rPr>
      </w:pPr>
      <w:r w:rsidRPr="000A1327">
        <w:rPr>
          <w:rFonts w:cstheme="minorHAnsi"/>
          <w:i/>
          <w:noProof/>
        </w:rPr>
        <w:t>Narkle v Hamilton</w:t>
      </w:r>
      <w:r w:rsidRPr="000A1327">
        <w:rPr>
          <w:rFonts w:cstheme="minorHAnsi"/>
          <w:noProof/>
        </w:rPr>
        <w:t xml:space="preserve"> [2008] WASCA 31</w:t>
      </w:r>
      <w:r>
        <w:rPr>
          <w:noProof/>
        </w:rPr>
        <w:tab/>
        <w:t>129, 130</w:t>
      </w:r>
    </w:p>
    <w:p w14:paraId="3032D35B" w14:textId="77777777" w:rsidR="00D44BCF" w:rsidRDefault="00D44BCF">
      <w:pPr>
        <w:pStyle w:val="TableofAuthorities"/>
        <w:tabs>
          <w:tab w:val="right" w:leader="dot" w:pos="9061"/>
        </w:tabs>
        <w:rPr>
          <w:noProof/>
        </w:rPr>
      </w:pPr>
      <w:r w:rsidRPr="000A1327">
        <w:rPr>
          <w:rFonts w:cstheme="minorHAnsi"/>
          <w:i/>
          <w:noProof/>
        </w:rPr>
        <w:t>Naysmith v R</w:t>
      </w:r>
      <w:r w:rsidRPr="000A1327">
        <w:rPr>
          <w:rFonts w:cstheme="minorHAnsi"/>
          <w:noProof/>
        </w:rPr>
        <w:t xml:space="preserve"> [2013] WASCA 32</w:t>
      </w:r>
      <w:r>
        <w:rPr>
          <w:noProof/>
        </w:rPr>
        <w:tab/>
        <w:t>58, 64</w:t>
      </w:r>
    </w:p>
    <w:p w14:paraId="28E31284" w14:textId="77777777" w:rsidR="00D44BCF" w:rsidRDefault="00D44BCF">
      <w:pPr>
        <w:pStyle w:val="TableofAuthorities"/>
        <w:tabs>
          <w:tab w:val="right" w:leader="dot" w:pos="9061"/>
        </w:tabs>
        <w:rPr>
          <w:noProof/>
        </w:rPr>
      </w:pPr>
      <w:r w:rsidRPr="000A1327">
        <w:rPr>
          <w:rFonts w:cstheme="minorHAnsi"/>
          <w:i/>
          <w:noProof/>
        </w:rPr>
        <w:t>Newman v A (a child)</w:t>
      </w:r>
      <w:r w:rsidRPr="000A1327">
        <w:rPr>
          <w:rFonts w:cstheme="minorHAnsi"/>
          <w:noProof/>
        </w:rPr>
        <w:t xml:space="preserve"> (1992) 9 WAR 14</w:t>
      </w:r>
      <w:r>
        <w:rPr>
          <w:noProof/>
        </w:rPr>
        <w:tab/>
        <w:t>5, 18, 193, 219</w:t>
      </w:r>
    </w:p>
    <w:p w14:paraId="2A4A1E3B" w14:textId="77777777" w:rsidR="00D44BCF" w:rsidRDefault="00D44BCF">
      <w:pPr>
        <w:pStyle w:val="TableofAuthorities"/>
        <w:tabs>
          <w:tab w:val="right" w:leader="dot" w:pos="9061"/>
        </w:tabs>
        <w:rPr>
          <w:noProof/>
        </w:rPr>
      </w:pPr>
      <w:r w:rsidRPr="000A1327">
        <w:rPr>
          <w:rFonts w:cstheme="minorHAnsi"/>
          <w:i/>
          <w:noProof/>
        </w:rPr>
        <w:t>Newman v R</w:t>
      </w:r>
      <w:r w:rsidRPr="000A1327">
        <w:rPr>
          <w:rFonts w:cstheme="minorHAnsi"/>
          <w:noProof/>
        </w:rPr>
        <w:t xml:space="preserve"> [2018] NSWCCA 208</w:t>
      </w:r>
      <w:r>
        <w:rPr>
          <w:noProof/>
        </w:rPr>
        <w:tab/>
        <w:t>28, 48</w:t>
      </w:r>
    </w:p>
    <w:p w14:paraId="787693D3" w14:textId="77777777" w:rsidR="00D44BCF" w:rsidRDefault="00D44BCF">
      <w:pPr>
        <w:pStyle w:val="TableofAuthorities"/>
        <w:tabs>
          <w:tab w:val="right" w:leader="dot" w:pos="9061"/>
        </w:tabs>
        <w:rPr>
          <w:noProof/>
        </w:rPr>
      </w:pPr>
      <w:r w:rsidRPr="000A1327">
        <w:rPr>
          <w:rFonts w:cstheme="minorHAnsi"/>
          <w:i/>
          <w:noProof/>
        </w:rPr>
        <w:t>Ngo v R</w:t>
      </w:r>
      <w:r w:rsidRPr="000A1327">
        <w:rPr>
          <w:rFonts w:cstheme="minorHAnsi"/>
          <w:noProof/>
        </w:rPr>
        <w:t xml:space="preserve"> [2017] WASCA 3</w:t>
      </w:r>
      <w:r>
        <w:rPr>
          <w:noProof/>
        </w:rPr>
        <w:tab/>
        <w:t>31, 36, 45, 52, 56, 203</w:t>
      </w:r>
    </w:p>
    <w:p w14:paraId="7811F00C" w14:textId="77777777" w:rsidR="00D44BCF" w:rsidRDefault="00D44BCF">
      <w:pPr>
        <w:pStyle w:val="TableofAuthorities"/>
        <w:tabs>
          <w:tab w:val="right" w:leader="dot" w:pos="9061"/>
        </w:tabs>
        <w:rPr>
          <w:noProof/>
        </w:rPr>
      </w:pPr>
      <w:r w:rsidRPr="000A1327">
        <w:rPr>
          <w:rFonts w:cstheme="minorHAnsi"/>
          <w:i/>
          <w:iCs/>
          <w:noProof/>
        </w:rPr>
        <w:t>Nguyen v R</w:t>
      </w:r>
      <w:r w:rsidRPr="000A1327">
        <w:rPr>
          <w:rFonts w:cstheme="minorHAnsi"/>
          <w:noProof/>
        </w:rPr>
        <w:t xml:space="preserve"> (2011) VR 673</w:t>
      </w:r>
      <w:r>
        <w:rPr>
          <w:noProof/>
        </w:rPr>
        <w:tab/>
        <w:t>58</w:t>
      </w:r>
    </w:p>
    <w:p w14:paraId="6332F9DD" w14:textId="77777777" w:rsidR="00D44BCF" w:rsidRDefault="00D44BCF">
      <w:pPr>
        <w:pStyle w:val="TableofAuthorities"/>
        <w:tabs>
          <w:tab w:val="right" w:leader="dot" w:pos="9061"/>
        </w:tabs>
        <w:rPr>
          <w:noProof/>
        </w:rPr>
      </w:pPr>
      <w:r w:rsidRPr="000A1327">
        <w:rPr>
          <w:rFonts w:cstheme="minorHAnsi"/>
          <w:i/>
          <w:noProof/>
        </w:rPr>
        <w:t>Nguyen v R</w:t>
      </w:r>
      <w:r w:rsidRPr="000A1327">
        <w:rPr>
          <w:rFonts w:cstheme="minorHAnsi"/>
          <w:noProof/>
        </w:rPr>
        <w:t xml:space="preserve"> [2001] WASCA 72</w:t>
      </w:r>
      <w:r>
        <w:rPr>
          <w:noProof/>
        </w:rPr>
        <w:tab/>
        <w:t>67</w:t>
      </w:r>
    </w:p>
    <w:p w14:paraId="35A876B7" w14:textId="77777777" w:rsidR="00D44BCF" w:rsidRDefault="00D44BCF">
      <w:pPr>
        <w:pStyle w:val="TableofAuthorities"/>
        <w:tabs>
          <w:tab w:val="right" w:leader="dot" w:pos="9061"/>
        </w:tabs>
        <w:rPr>
          <w:noProof/>
        </w:rPr>
      </w:pPr>
      <w:r w:rsidRPr="000A1327">
        <w:rPr>
          <w:rFonts w:cstheme="minorHAnsi"/>
          <w:i/>
          <w:noProof/>
        </w:rPr>
        <w:t>Nguyen v R</w:t>
      </w:r>
      <w:r w:rsidRPr="000A1327">
        <w:rPr>
          <w:rFonts w:cstheme="minorHAnsi"/>
          <w:noProof/>
        </w:rPr>
        <w:t xml:space="preserve"> [2016] VSCA 198</w:t>
      </w:r>
      <w:r>
        <w:rPr>
          <w:noProof/>
        </w:rPr>
        <w:tab/>
        <w:t>78, 190</w:t>
      </w:r>
    </w:p>
    <w:p w14:paraId="1ADF25BF" w14:textId="77777777" w:rsidR="00D44BCF" w:rsidRDefault="00D44BCF">
      <w:pPr>
        <w:pStyle w:val="TableofAuthorities"/>
        <w:tabs>
          <w:tab w:val="right" w:leader="dot" w:pos="9061"/>
        </w:tabs>
        <w:rPr>
          <w:noProof/>
        </w:rPr>
      </w:pPr>
      <w:r w:rsidRPr="000A1327">
        <w:rPr>
          <w:rFonts w:cstheme="minorHAnsi"/>
          <w:i/>
          <w:noProof/>
        </w:rPr>
        <w:t>Nguyen v R</w:t>
      </w:r>
      <w:r w:rsidRPr="000A1327">
        <w:rPr>
          <w:rFonts w:cstheme="minorHAnsi"/>
          <w:noProof/>
        </w:rPr>
        <w:t xml:space="preserve"> [2017] VSCA 262</w:t>
      </w:r>
      <w:r>
        <w:rPr>
          <w:noProof/>
        </w:rPr>
        <w:tab/>
        <w:t>131</w:t>
      </w:r>
    </w:p>
    <w:p w14:paraId="7DB7CD00" w14:textId="77777777" w:rsidR="00D44BCF" w:rsidRDefault="00D44BCF">
      <w:pPr>
        <w:pStyle w:val="TableofAuthorities"/>
        <w:tabs>
          <w:tab w:val="right" w:leader="dot" w:pos="9061"/>
        </w:tabs>
        <w:rPr>
          <w:noProof/>
        </w:rPr>
      </w:pPr>
      <w:r w:rsidRPr="000A1327">
        <w:rPr>
          <w:rFonts w:cstheme="minorHAnsi"/>
          <w:i/>
          <w:noProof/>
        </w:rPr>
        <w:t>Nicholls v R</w:t>
      </w:r>
      <w:r w:rsidRPr="000A1327">
        <w:rPr>
          <w:rFonts w:cstheme="minorHAnsi"/>
          <w:noProof/>
        </w:rPr>
        <w:t xml:space="preserve"> [2016] VSCA 300</w:t>
      </w:r>
      <w:r>
        <w:rPr>
          <w:noProof/>
        </w:rPr>
        <w:tab/>
        <w:t>50, 51, 52</w:t>
      </w:r>
    </w:p>
    <w:p w14:paraId="0F40772F" w14:textId="77777777" w:rsidR="00D44BCF" w:rsidRDefault="00D44BCF">
      <w:pPr>
        <w:pStyle w:val="TableofAuthorities"/>
        <w:tabs>
          <w:tab w:val="right" w:leader="dot" w:pos="9061"/>
        </w:tabs>
        <w:rPr>
          <w:noProof/>
        </w:rPr>
      </w:pPr>
      <w:r w:rsidRPr="000A1327">
        <w:rPr>
          <w:rFonts w:cstheme="minorHAnsi"/>
          <w:bCs/>
          <w:i/>
          <w:noProof/>
        </w:rPr>
        <w:t>Noble v R</w:t>
      </w:r>
      <w:r w:rsidRPr="000A1327">
        <w:rPr>
          <w:rFonts w:cstheme="minorHAnsi"/>
          <w:bCs/>
          <w:noProof/>
        </w:rPr>
        <w:t xml:space="preserve"> [2018] NSWCCA 253</w:t>
      </w:r>
      <w:r>
        <w:rPr>
          <w:noProof/>
        </w:rPr>
        <w:tab/>
        <w:t>49, 52, 190</w:t>
      </w:r>
    </w:p>
    <w:p w14:paraId="3728F50E" w14:textId="77777777" w:rsidR="00D44BCF" w:rsidRDefault="00D44BCF">
      <w:pPr>
        <w:pStyle w:val="TableofAuthorities"/>
        <w:tabs>
          <w:tab w:val="right" w:leader="dot" w:pos="9061"/>
        </w:tabs>
        <w:rPr>
          <w:noProof/>
        </w:rPr>
      </w:pPr>
      <w:r w:rsidRPr="000A1327">
        <w:rPr>
          <w:rFonts w:cstheme="minorHAnsi"/>
          <w:i/>
          <w:noProof/>
        </w:rPr>
        <w:t>O’Brien v R</w:t>
      </w:r>
      <w:r w:rsidRPr="000A1327">
        <w:rPr>
          <w:rFonts w:cstheme="minorHAnsi"/>
          <w:noProof/>
        </w:rPr>
        <w:t xml:space="preserve"> (1991) 57 A Crim R 80</w:t>
      </w:r>
      <w:r>
        <w:rPr>
          <w:noProof/>
        </w:rPr>
        <w:tab/>
        <w:t>160, 254</w:t>
      </w:r>
    </w:p>
    <w:p w14:paraId="394DEFA8" w14:textId="77777777" w:rsidR="00D44BCF" w:rsidRDefault="00D44BCF">
      <w:pPr>
        <w:pStyle w:val="TableofAuthorities"/>
        <w:tabs>
          <w:tab w:val="right" w:leader="dot" w:pos="9061"/>
        </w:tabs>
        <w:rPr>
          <w:noProof/>
        </w:rPr>
      </w:pPr>
      <w:r w:rsidRPr="000A1327">
        <w:rPr>
          <w:rFonts w:cstheme="minorHAnsi"/>
          <w:i/>
          <w:noProof/>
        </w:rPr>
        <w:t>Obiekwe v R</w:t>
      </w:r>
      <w:r w:rsidRPr="000A1327">
        <w:rPr>
          <w:rFonts w:cstheme="minorHAnsi"/>
          <w:noProof/>
        </w:rPr>
        <w:t xml:space="preserve"> [2018] NSWCCA 55</w:t>
      </w:r>
      <w:r>
        <w:rPr>
          <w:noProof/>
        </w:rPr>
        <w:tab/>
        <w:t>29, 51, 52</w:t>
      </w:r>
    </w:p>
    <w:p w14:paraId="7DEFC423" w14:textId="77777777" w:rsidR="00D44BCF" w:rsidRDefault="00D44BCF">
      <w:pPr>
        <w:pStyle w:val="TableofAuthorities"/>
        <w:tabs>
          <w:tab w:val="right" w:leader="dot" w:pos="9061"/>
        </w:tabs>
        <w:rPr>
          <w:noProof/>
        </w:rPr>
      </w:pPr>
      <w:r w:rsidRPr="000A1327">
        <w:rPr>
          <w:rFonts w:cstheme="minorHAnsi"/>
          <w:i/>
          <w:noProof/>
        </w:rPr>
        <w:t xml:space="preserve">Okeke v R </w:t>
      </w:r>
      <w:r w:rsidRPr="000A1327">
        <w:rPr>
          <w:rFonts w:cstheme="minorHAnsi"/>
          <w:noProof/>
        </w:rPr>
        <w:t>[2005] NSWCCA 444</w:t>
      </w:r>
      <w:r>
        <w:rPr>
          <w:noProof/>
        </w:rPr>
        <w:tab/>
        <w:t>255</w:t>
      </w:r>
    </w:p>
    <w:p w14:paraId="7244772F" w14:textId="77777777" w:rsidR="00D44BCF" w:rsidRDefault="00D44BCF">
      <w:pPr>
        <w:pStyle w:val="TableofAuthorities"/>
        <w:tabs>
          <w:tab w:val="right" w:leader="dot" w:pos="9061"/>
        </w:tabs>
        <w:rPr>
          <w:noProof/>
        </w:rPr>
      </w:pPr>
      <w:r w:rsidRPr="000A1327">
        <w:rPr>
          <w:rFonts w:cstheme="minorHAnsi"/>
          <w:i/>
          <w:noProof/>
        </w:rPr>
        <w:t>Papachristodoulou v R</w:t>
      </w:r>
      <w:r w:rsidRPr="000A1327">
        <w:rPr>
          <w:rFonts w:cstheme="minorHAnsi"/>
          <w:noProof/>
        </w:rPr>
        <w:t xml:space="preserve"> [2017] VSCA 284</w:t>
      </w:r>
      <w:r>
        <w:rPr>
          <w:noProof/>
        </w:rPr>
        <w:tab/>
        <w:t>61</w:t>
      </w:r>
    </w:p>
    <w:p w14:paraId="479D4BAC" w14:textId="77777777" w:rsidR="00D44BCF" w:rsidRDefault="00D44BCF">
      <w:pPr>
        <w:pStyle w:val="TableofAuthorities"/>
        <w:tabs>
          <w:tab w:val="right" w:leader="dot" w:pos="9061"/>
        </w:tabs>
        <w:rPr>
          <w:noProof/>
        </w:rPr>
      </w:pPr>
      <w:r w:rsidRPr="000A1327">
        <w:rPr>
          <w:rFonts w:eastAsiaTheme="minorHAnsi" w:cstheme="minorHAnsi"/>
          <w:i/>
          <w:noProof/>
        </w:rPr>
        <w:t>Parente v R</w:t>
      </w:r>
      <w:r w:rsidRPr="000A1327">
        <w:rPr>
          <w:rFonts w:eastAsiaTheme="minorHAnsi" w:cstheme="minorHAnsi"/>
          <w:noProof/>
        </w:rPr>
        <w:t xml:space="preserve"> (2017) 96 NSWLR 633</w:t>
      </w:r>
      <w:r>
        <w:rPr>
          <w:noProof/>
        </w:rPr>
        <w:tab/>
        <w:t>39, 75, 76</w:t>
      </w:r>
    </w:p>
    <w:p w14:paraId="786CDA3A" w14:textId="77777777" w:rsidR="00D44BCF" w:rsidRDefault="00D44BCF">
      <w:pPr>
        <w:pStyle w:val="TableofAuthorities"/>
        <w:tabs>
          <w:tab w:val="right" w:leader="dot" w:pos="9061"/>
        </w:tabs>
        <w:rPr>
          <w:noProof/>
        </w:rPr>
      </w:pPr>
      <w:r w:rsidRPr="000A1327">
        <w:rPr>
          <w:rFonts w:cstheme="minorHAnsi"/>
          <w:i/>
          <w:noProof/>
        </w:rPr>
        <w:t>Pastras v R</w:t>
      </w:r>
      <w:r w:rsidRPr="000A1327">
        <w:rPr>
          <w:rFonts w:cstheme="minorHAnsi"/>
          <w:bCs/>
          <w:iCs/>
          <w:noProof/>
        </w:rPr>
        <w:t xml:space="preserve"> (1993) 65 A Crim R 584</w:t>
      </w:r>
      <w:r>
        <w:rPr>
          <w:noProof/>
        </w:rPr>
        <w:tab/>
        <w:t>86</w:t>
      </w:r>
    </w:p>
    <w:p w14:paraId="02FCCD9F" w14:textId="77777777" w:rsidR="00D44BCF" w:rsidRDefault="00D44BCF">
      <w:pPr>
        <w:pStyle w:val="TableofAuthorities"/>
        <w:tabs>
          <w:tab w:val="right" w:leader="dot" w:pos="9061"/>
        </w:tabs>
        <w:rPr>
          <w:noProof/>
        </w:rPr>
      </w:pPr>
      <w:r w:rsidRPr="000A1327">
        <w:rPr>
          <w:rFonts w:cstheme="minorHAnsi"/>
          <w:i/>
          <w:noProof/>
        </w:rPr>
        <w:t>Pattison (Trustees) in the matter of Bell (Bankrupt) v Bell</w:t>
      </w:r>
      <w:r w:rsidRPr="000A1327">
        <w:rPr>
          <w:rFonts w:cstheme="minorHAnsi"/>
          <w:noProof/>
        </w:rPr>
        <w:t xml:space="preserve"> [2007] FCA 137</w:t>
      </w:r>
      <w:r>
        <w:rPr>
          <w:noProof/>
        </w:rPr>
        <w:tab/>
        <w:t>2</w:t>
      </w:r>
    </w:p>
    <w:p w14:paraId="37690BA1" w14:textId="77777777" w:rsidR="00D44BCF" w:rsidRDefault="00D44BCF">
      <w:pPr>
        <w:pStyle w:val="TableofAuthorities"/>
        <w:tabs>
          <w:tab w:val="right" w:leader="dot" w:pos="9061"/>
        </w:tabs>
        <w:rPr>
          <w:noProof/>
        </w:rPr>
      </w:pPr>
      <w:r w:rsidRPr="000A1327">
        <w:rPr>
          <w:rFonts w:cstheme="minorHAnsi"/>
          <w:i/>
          <w:noProof/>
        </w:rPr>
        <w:t>Payda v R</w:t>
      </w:r>
      <w:r w:rsidRPr="000A1327">
        <w:rPr>
          <w:rFonts w:cstheme="minorHAnsi"/>
          <w:noProof/>
        </w:rPr>
        <w:t xml:space="preserve"> [2013] NSWCCA 109</w:t>
      </w:r>
      <w:r>
        <w:rPr>
          <w:noProof/>
        </w:rPr>
        <w:tab/>
        <w:t>126</w:t>
      </w:r>
    </w:p>
    <w:p w14:paraId="53EFE22D" w14:textId="77777777" w:rsidR="00D44BCF" w:rsidRDefault="00D44BCF">
      <w:pPr>
        <w:pStyle w:val="TableofAuthorities"/>
        <w:tabs>
          <w:tab w:val="right" w:leader="dot" w:pos="9061"/>
        </w:tabs>
        <w:rPr>
          <w:noProof/>
        </w:rPr>
      </w:pPr>
      <w:r w:rsidRPr="000A1327">
        <w:rPr>
          <w:rFonts w:cstheme="minorHAnsi"/>
          <w:i/>
          <w:noProof/>
        </w:rPr>
        <w:t>Pearce v R</w:t>
      </w:r>
      <w:r w:rsidRPr="000A1327">
        <w:rPr>
          <w:rFonts w:cstheme="minorHAnsi"/>
          <w:noProof/>
        </w:rPr>
        <w:t xml:space="preserve"> (1998) 194 CLR 610</w:t>
      </w:r>
      <w:r>
        <w:rPr>
          <w:noProof/>
        </w:rPr>
        <w:tab/>
        <w:t>44</w:t>
      </w:r>
    </w:p>
    <w:p w14:paraId="34C4BC27" w14:textId="77777777" w:rsidR="00D44BCF" w:rsidRDefault="00D44BCF">
      <w:pPr>
        <w:pStyle w:val="TableofAuthorities"/>
        <w:tabs>
          <w:tab w:val="right" w:leader="dot" w:pos="9061"/>
        </w:tabs>
        <w:rPr>
          <w:noProof/>
        </w:rPr>
      </w:pPr>
      <w:r w:rsidRPr="000A1327">
        <w:rPr>
          <w:rFonts w:cstheme="minorHAnsi"/>
          <w:i/>
          <w:noProof/>
        </w:rPr>
        <w:t>Pedersen v Young</w:t>
      </w:r>
      <w:r w:rsidRPr="000A1327">
        <w:rPr>
          <w:rFonts w:cstheme="minorHAnsi"/>
          <w:noProof/>
        </w:rPr>
        <w:t xml:space="preserve"> (1964) 110 CLR</w:t>
      </w:r>
      <w:r>
        <w:rPr>
          <w:noProof/>
        </w:rPr>
        <w:tab/>
        <w:t>6, 13</w:t>
      </w:r>
    </w:p>
    <w:p w14:paraId="7A72FBE8" w14:textId="77777777" w:rsidR="00D44BCF" w:rsidRDefault="00D44BCF">
      <w:pPr>
        <w:pStyle w:val="TableofAuthorities"/>
        <w:tabs>
          <w:tab w:val="right" w:leader="dot" w:pos="9061"/>
        </w:tabs>
        <w:rPr>
          <w:noProof/>
        </w:rPr>
      </w:pPr>
      <w:r w:rsidRPr="000A1327">
        <w:rPr>
          <w:rFonts w:cstheme="minorHAnsi"/>
          <w:i/>
          <w:noProof/>
        </w:rPr>
        <w:t>Peters v R</w:t>
      </w:r>
      <w:r w:rsidRPr="000A1327">
        <w:rPr>
          <w:rFonts w:cstheme="minorHAnsi"/>
          <w:noProof/>
        </w:rPr>
        <w:t xml:space="preserve"> [2018] NSWCCA 126</w:t>
      </w:r>
      <w:r>
        <w:rPr>
          <w:noProof/>
        </w:rPr>
        <w:tab/>
        <w:t>51</w:t>
      </w:r>
    </w:p>
    <w:p w14:paraId="2836E805" w14:textId="77777777" w:rsidR="00D44BCF" w:rsidRDefault="00D44BCF">
      <w:pPr>
        <w:pStyle w:val="TableofAuthorities"/>
        <w:tabs>
          <w:tab w:val="right" w:leader="dot" w:pos="9061"/>
        </w:tabs>
        <w:rPr>
          <w:noProof/>
        </w:rPr>
      </w:pPr>
      <w:r w:rsidRPr="000A1327">
        <w:rPr>
          <w:rFonts w:cstheme="minorHAnsi"/>
          <w:i/>
          <w:noProof/>
        </w:rPr>
        <w:t>Pham v R</w:t>
      </w:r>
      <w:r w:rsidRPr="000A1327">
        <w:rPr>
          <w:rFonts w:cstheme="minorHAnsi"/>
          <w:noProof/>
        </w:rPr>
        <w:t xml:space="preserve"> [2012] VSCA 101</w:t>
      </w:r>
      <w:r>
        <w:rPr>
          <w:noProof/>
        </w:rPr>
        <w:tab/>
        <w:t>74</w:t>
      </w:r>
    </w:p>
    <w:p w14:paraId="5D6FE1A7" w14:textId="77777777" w:rsidR="00D44BCF" w:rsidRDefault="00D44BCF">
      <w:pPr>
        <w:pStyle w:val="TableofAuthorities"/>
        <w:tabs>
          <w:tab w:val="right" w:leader="dot" w:pos="9061"/>
        </w:tabs>
        <w:rPr>
          <w:noProof/>
        </w:rPr>
      </w:pPr>
      <w:r w:rsidRPr="000A1327">
        <w:rPr>
          <w:rFonts w:cstheme="minorHAnsi"/>
          <w:i/>
          <w:noProof/>
        </w:rPr>
        <w:t>Pioch v Lauder</w:t>
      </w:r>
      <w:r w:rsidRPr="000A1327">
        <w:rPr>
          <w:rFonts w:cstheme="minorHAnsi"/>
          <w:noProof/>
        </w:rPr>
        <w:t xml:space="preserve"> (1976) 13 ALR 266</w:t>
      </w:r>
      <w:r>
        <w:rPr>
          <w:noProof/>
        </w:rPr>
        <w:tab/>
        <w:t>224</w:t>
      </w:r>
    </w:p>
    <w:p w14:paraId="2830BBB4" w14:textId="77777777" w:rsidR="00D44BCF" w:rsidRDefault="00D44BCF">
      <w:pPr>
        <w:pStyle w:val="TableofAuthorities"/>
        <w:tabs>
          <w:tab w:val="right" w:leader="dot" w:pos="9061"/>
        </w:tabs>
        <w:rPr>
          <w:noProof/>
        </w:rPr>
      </w:pPr>
      <w:r w:rsidRPr="000A1327">
        <w:rPr>
          <w:rFonts w:cstheme="minorHAnsi"/>
          <w:i/>
          <w:noProof/>
        </w:rPr>
        <w:t>PNJ v R</w:t>
      </w:r>
      <w:r w:rsidRPr="000A1327">
        <w:rPr>
          <w:rFonts w:cstheme="minorHAnsi"/>
          <w:noProof/>
        </w:rPr>
        <w:t xml:space="preserve"> (2009) 83 ALJR 384</w:t>
      </w:r>
      <w:r>
        <w:rPr>
          <w:noProof/>
        </w:rPr>
        <w:tab/>
        <w:t>128</w:t>
      </w:r>
    </w:p>
    <w:p w14:paraId="709DC1C7" w14:textId="77777777" w:rsidR="00D44BCF" w:rsidRDefault="00D44BCF">
      <w:pPr>
        <w:pStyle w:val="TableofAuthorities"/>
        <w:tabs>
          <w:tab w:val="right" w:leader="dot" w:pos="9061"/>
        </w:tabs>
        <w:rPr>
          <w:noProof/>
        </w:rPr>
      </w:pPr>
      <w:r w:rsidRPr="000A1327">
        <w:rPr>
          <w:rFonts w:cstheme="minorHAnsi"/>
          <w:bCs/>
          <w:i/>
          <w:iCs/>
          <w:noProof/>
        </w:rPr>
        <w:t>Postiglione v R</w:t>
      </w:r>
      <w:r w:rsidRPr="000A1327">
        <w:rPr>
          <w:rFonts w:cstheme="minorHAnsi"/>
          <w:noProof/>
        </w:rPr>
        <w:t xml:space="preserve"> (1991) 24 NSWLR 584</w:t>
      </w:r>
      <w:r>
        <w:rPr>
          <w:noProof/>
        </w:rPr>
        <w:tab/>
        <w:t>42</w:t>
      </w:r>
    </w:p>
    <w:p w14:paraId="6F1FE3E1" w14:textId="77777777" w:rsidR="00D44BCF" w:rsidRDefault="00D44BCF">
      <w:pPr>
        <w:pStyle w:val="TableofAuthorities"/>
        <w:tabs>
          <w:tab w:val="right" w:leader="dot" w:pos="9061"/>
        </w:tabs>
        <w:rPr>
          <w:noProof/>
        </w:rPr>
      </w:pPr>
      <w:r w:rsidRPr="000A1327">
        <w:rPr>
          <w:rFonts w:cstheme="minorHAnsi"/>
          <w:i/>
          <w:noProof/>
        </w:rPr>
        <w:t xml:space="preserve">Postiglione v R </w:t>
      </w:r>
      <w:r w:rsidRPr="000A1327">
        <w:rPr>
          <w:rFonts w:cstheme="minorHAnsi"/>
          <w:noProof/>
        </w:rPr>
        <w:t>(1997) 189 CLR 295</w:t>
      </w:r>
      <w:r>
        <w:rPr>
          <w:noProof/>
        </w:rPr>
        <w:tab/>
        <w:t>41, 44, 69</w:t>
      </w:r>
    </w:p>
    <w:p w14:paraId="357620DB" w14:textId="77777777" w:rsidR="00D44BCF" w:rsidRDefault="00D44BCF">
      <w:pPr>
        <w:pStyle w:val="TableofAuthorities"/>
        <w:tabs>
          <w:tab w:val="right" w:leader="dot" w:pos="9061"/>
        </w:tabs>
        <w:rPr>
          <w:noProof/>
        </w:rPr>
      </w:pPr>
      <w:r w:rsidRPr="000A1327">
        <w:rPr>
          <w:rFonts w:cstheme="minorHAnsi"/>
          <w:i/>
          <w:iCs/>
          <w:noProof/>
        </w:rPr>
        <w:t xml:space="preserve">Potts v Bonnici </w:t>
      </w:r>
      <w:r w:rsidRPr="000A1327">
        <w:rPr>
          <w:rFonts w:cstheme="minorHAnsi"/>
          <w:iCs/>
          <w:noProof/>
        </w:rPr>
        <w:t>(2009) 104 SASR 313</w:t>
      </w:r>
      <w:r>
        <w:rPr>
          <w:noProof/>
        </w:rPr>
        <w:tab/>
        <w:t>225</w:t>
      </w:r>
    </w:p>
    <w:p w14:paraId="0FD73D9D" w14:textId="77777777" w:rsidR="00D44BCF" w:rsidRDefault="00D44BCF">
      <w:pPr>
        <w:pStyle w:val="TableofAuthorities"/>
        <w:tabs>
          <w:tab w:val="right" w:leader="dot" w:pos="9061"/>
        </w:tabs>
        <w:rPr>
          <w:noProof/>
        </w:rPr>
      </w:pPr>
      <w:r w:rsidRPr="000A1327">
        <w:rPr>
          <w:rFonts w:cstheme="minorHAnsi"/>
          <w:i/>
          <w:noProof/>
        </w:rPr>
        <w:t>Poutai v R</w:t>
      </w:r>
      <w:r w:rsidRPr="000A1327">
        <w:rPr>
          <w:rFonts w:cstheme="minorHAnsi"/>
          <w:noProof/>
        </w:rPr>
        <w:t xml:space="preserve"> [2011] VSCA 382</w:t>
      </w:r>
      <w:r>
        <w:rPr>
          <w:noProof/>
        </w:rPr>
        <w:tab/>
        <w:t>220</w:t>
      </w:r>
    </w:p>
    <w:p w14:paraId="4F637186" w14:textId="77777777" w:rsidR="00D44BCF" w:rsidRDefault="00D44BCF">
      <w:pPr>
        <w:pStyle w:val="TableofAuthorities"/>
        <w:tabs>
          <w:tab w:val="right" w:leader="dot" w:pos="9061"/>
        </w:tabs>
        <w:rPr>
          <w:noProof/>
        </w:rPr>
      </w:pPr>
      <w:r w:rsidRPr="000A1327">
        <w:rPr>
          <w:rFonts w:cstheme="minorHAnsi"/>
          <w:i/>
          <w:noProof/>
        </w:rPr>
        <w:t>Power v R</w:t>
      </w:r>
      <w:r w:rsidRPr="000A1327">
        <w:rPr>
          <w:rFonts w:cstheme="minorHAnsi"/>
          <w:noProof/>
        </w:rPr>
        <w:t xml:space="preserve"> (1974) 131 CLR 623</w:t>
      </w:r>
      <w:r>
        <w:rPr>
          <w:noProof/>
        </w:rPr>
        <w:tab/>
        <w:t>141</w:t>
      </w:r>
    </w:p>
    <w:p w14:paraId="3506F214" w14:textId="77777777" w:rsidR="00D44BCF" w:rsidRDefault="00D44BCF">
      <w:pPr>
        <w:pStyle w:val="TableofAuthorities"/>
        <w:tabs>
          <w:tab w:val="right" w:leader="dot" w:pos="9061"/>
        </w:tabs>
        <w:rPr>
          <w:noProof/>
        </w:rPr>
      </w:pPr>
      <w:r w:rsidRPr="000A1327">
        <w:rPr>
          <w:rFonts w:cstheme="minorHAnsi"/>
          <w:i/>
          <w:noProof/>
        </w:rPr>
        <w:t>Poynder v R</w:t>
      </w:r>
      <w:r w:rsidRPr="000A1327">
        <w:rPr>
          <w:rFonts w:cstheme="minorHAnsi"/>
          <w:noProof/>
        </w:rPr>
        <w:t xml:space="preserve"> [2007] NSWCCA 157</w:t>
      </w:r>
      <w:r>
        <w:rPr>
          <w:noProof/>
        </w:rPr>
        <w:tab/>
        <w:t>76</w:t>
      </w:r>
    </w:p>
    <w:p w14:paraId="6681BF48" w14:textId="77777777" w:rsidR="00D44BCF" w:rsidRDefault="00D44BCF">
      <w:pPr>
        <w:pStyle w:val="TableofAuthorities"/>
        <w:tabs>
          <w:tab w:val="right" w:leader="dot" w:pos="9061"/>
        </w:tabs>
        <w:rPr>
          <w:noProof/>
        </w:rPr>
      </w:pPr>
      <w:r w:rsidRPr="000A1327">
        <w:rPr>
          <w:rFonts w:cstheme="minorHAnsi"/>
          <w:i/>
          <w:noProof/>
        </w:rPr>
        <w:t>Prehn v R</w:t>
      </w:r>
      <w:r w:rsidRPr="000A1327">
        <w:rPr>
          <w:rFonts w:cstheme="minorHAnsi"/>
          <w:noProof/>
        </w:rPr>
        <w:t xml:space="preserve"> [2003] TASSC 55</w:t>
      </w:r>
      <w:r>
        <w:rPr>
          <w:noProof/>
        </w:rPr>
        <w:tab/>
        <w:t>70, 72</w:t>
      </w:r>
    </w:p>
    <w:p w14:paraId="1A941B14" w14:textId="77777777" w:rsidR="00D44BCF" w:rsidRDefault="00D44BCF">
      <w:pPr>
        <w:pStyle w:val="TableofAuthorities"/>
        <w:tabs>
          <w:tab w:val="right" w:leader="dot" w:pos="9061"/>
        </w:tabs>
        <w:rPr>
          <w:noProof/>
        </w:rPr>
      </w:pPr>
      <w:r w:rsidRPr="000A1327">
        <w:rPr>
          <w:rFonts w:cstheme="minorHAnsi"/>
          <w:i/>
          <w:iCs/>
          <w:noProof/>
        </w:rPr>
        <w:t>Putland v R</w:t>
      </w:r>
      <w:r w:rsidRPr="000A1327">
        <w:rPr>
          <w:rFonts w:cstheme="minorHAnsi"/>
          <w:noProof/>
        </w:rPr>
        <w:t xml:space="preserve"> (2004) 218 CLR 174</w:t>
      </w:r>
      <w:r>
        <w:rPr>
          <w:noProof/>
        </w:rPr>
        <w:tab/>
        <w:t>7, 8, 10, 15, 16, 17, 18, 19, 31, 44, 120, 204, 205, 207, 208, 210, 211, 222</w:t>
      </w:r>
    </w:p>
    <w:p w14:paraId="3EDF93A6" w14:textId="77777777" w:rsidR="00D44BCF" w:rsidRDefault="00D44BCF">
      <w:pPr>
        <w:pStyle w:val="TableofAuthorities"/>
        <w:tabs>
          <w:tab w:val="right" w:leader="dot" w:pos="9061"/>
        </w:tabs>
        <w:rPr>
          <w:noProof/>
        </w:rPr>
      </w:pPr>
      <w:r w:rsidRPr="000A1327">
        <w:rPr>
          <w:rFonts w:cstheme="minorHAnsi"/>
          <w:i/>
          <w:noProof/>
        </w:rPr>
        <w:t>Queen Victoria Memorial Hospital v Thornton</w:t>
      </w:r>
      <w:r w:rsidRPr="000A1327">
        <w:rPr>
          <w:rFonts w:cstheme="minorHAnsi"/>
          <w:noProof/>
        </w:rPr>
        <w:t xml:space="preserve"> (1953) 87 CLR 144</w:t>
      </w:r>
      <w:r>
        <w:rPr>
          <w:noProof/>
        </w:rPr>
        <w:tab/>
        <w:t>5</w:t>
      </w:r>
    </w:p>
    <w:p w14:paraId="223028CA" w14:textId="77777777" w:rsidR="00D44BCF" w:rsidRDefault="00D44BCF">
      <w:pPr>
        <w:pStyle w:val="TableofAuthorities"/>
        <w:tabs>
          <w:tab w:val="right" w:leader="dot" w:pos="9061"/>
        </w:tabs>
        <w:rPr>
          <w:noProof/>
        </w:rPr>
      </w:pPr>
      <w:r w:rsidRPr="000A1327">
        <w:rPr>
          <w:rFonts w:cstheme="minorHAnsi"/>
          <w:i/>
          <w:iCs/>
          <w:noProof/>
        </w:rPr>
        <w:t>Qui v R</w:t>
      </w:r>
      <w:r w:rsidRPr="000A1327">
        <w:rPr>
          <w:rFonts w:cstheme="minorHAnsi"/>
          <w:noProof/>
        </w:rPr>
        <w:t xml:space="preserve"> [2019] VSCA 147</w:t>
      </w:r>
      <w:r>
        <w:rPr>
          <w:noProof/>
        </w:rPr>
        <w:tab/>
        <w:t>65</w:t>
      </w:r>
    </w:p>
    <w:p w14:paraId="2C998CEC" w14:textId="77777777" w:rsidR="00D44BCF" w:rsidRDefault="00D44BCF">
      <w:pPr>
        <w:pStyle w:val="TableofAuthorities"/>
        <w:tabs>
          <w:tab w:val="right" w:leader="dot" w:pos="9061"/>
        </w:tabs>
        <w:rPr>
          <w:noProof/>
        </w:rPr>
      </w:pPr>
      <w:r w:rsidRPr="000A1327">
        <w:rPr>
          <w:rFonts w:cstheme="minorHAnsi"/>
          <w:i/>
          <w:noProof/>
        </w:rPr>
        <w:t>R v A</w:t>
      </w:r>
      <w:r w:rsidRPr="000A1327">
        <w:rPr>
          <w:rFonts w:cstheme="minorHAnsi"/>
          <w:noProof/>
        </w:rPr>
        <w:t xml:space="preserve"> [2004] NSWCCA 292</w:t>
      </w:r>
      <w:r>
        <w:rPr>
          <w:noProof/>
        </w:rPr>
        <w:tab/>
        <w:t>255</w:t>
      </w:r>
    </w:p>
    <w:p w14:paraId="19C014C6" w14:textId="77777777" w:rsidR="00D44BCF" w:rsidRDefault="00D44BCF">
      <w:pPr>
        <w:pStyle w:val="TableofAuthorities"/>
        <w:tabs>
          <w:tab w:val="right" w:leader="dot" w:pos="9061"/>
        </w:tabs>
        <w:rPr>
          <w:noProof/>
        </w:rPr>
      </w:pPr>
      <w:r w:rsidRPr="000A1327">
        <w:rPr>
          <w:rFonts w:cstheme="minorHAnsi"/>
          <w:i/>
          <w:iCs/>
          <w:noProof/>
        </w:rPr>
        <w:t>R v Abbas</w:t>
      </w:r>
      <w:r w:rsidRPr="000A1327">
        <w:rPr>
          <w:rFonts w:cstheme="minorHAnsi"/>
          <w:noProof/>
        </w:rPr>
        <w:t xml:space="preserve"> [2019] WASCA 64</w:t>
      </w:r>
      <w:r>
        <w:rPr>
          <w:noProof/>
        </w:rPr>
        <w:tab/>
        <w:t>218</w:t>
      </w:r>
    </w:p>
    <w:p w14:paraId="78E9BE00" w14:textId="77777777" w:rsidR="00D44BCF" w:rsidRDefault="00D44BCF">
      <w:pPr>
        <w:pStyle w:val="TableofAuthorities"/>
        <w:tabs>
          <w:tab w:val="right" w:leader="dot" w:pos="9061"/>
        </w:tabs>
        <w:rPr>
          <w:noProof/>
        </w:rPr>
      </w:pPr>
      <w:r w:rsidRPr="000A1327">
        <w:rPr>
          <w:rFonts w:cstheme="minorHAnsi"/>
          <w:i/>
          <w:noProof/>
        </w:rPr>
        <w:t>R v Adami</w:t>
      </w:r>
      <w:r w:rsidRPr="000A1327">
        <w:rPr>
          <w:rFonts w:cstheme="minorHAnsi"/>
          <w:noProof/>
        </w:rPr>
        <w:t xml:space="preserve"> (1989) 51 SASR 229</w:t>
      </w:r>
      <w:r>
        <w:rPr>
          <w:noProof/>
        </w:rPr>
        <w:tab/>
        <w:t>67</w:t>
      </w:r>
    </w:p>
    <w:p w14:paraId="3A2B108B" w14:textId="77777777" w:rsidR="00D44BCF" w:rsidRDefault="00D44BCF">
      <w:pPr>
        <w:pStyle w:val="TableofAuthorities"/>
        <w:tabs>
          <w:tab w:val="right" w:leader="dot" w:pos="9061"/>
        </w:tabs>
        <w:rPr>
          <w:noProof/>
        </w:rPr>
      </w:pPr>
      <w:r w:rsidRPr="000A1327">
        <w:rPr>
          <w:rFonts w:cstheme="minorHAnsi"/>
          <w:i/>
          <w:iCs/>
          <w:noProof/>
        </w:rPr>
        <w:t xml:space="preserve">R v </w:t>
      </w:r>
      <w:r w:rsidRPr="000A1327">
        <w:rPr>
          <w:rFonts w:cstheme="minorHAnsi"/>
          <w:i/>
          <w:noProof/>
        </w:rPr>
        <w:t>Allen</w:t>
      </w:r>
      <w:r w:rsidRPr="000A1327">
        <w:rPr>
          <w:rFonts w:cstheme="minorHAnsi"/>
          <w:noProof/>
        </w:rPr>
        <w:t xml:space="preserve"> (1989) 41 A Crim R 51</w:t>
      </w:r>
      <w:r>
        <w:rPr>
          <w:noProof/>
        </w:rPr>
        <w:tab/>
        <w:t>181, 256</w:t>
      </w:r>
    </w:p>
    <w:p w14:paraId="212678CB"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Aller</w:t>
      </w:r>
      <w:r w:rsidRPr="000A1327">
        <w:rPr>
          <w:rFonts w:cstheme="minorHAnsi"/>
          <w:noProof/>
        </w:rPr>
        <w:t xml:space="preserve"> [2004] NSWCCA 378</w:t>
      </w:r>
      <w:r>
        <w:rPr>
          <w:noProof/>
        </w:rPr>
        <w:tab/>
        <w:t>58</w:t>
      </w:r>
    </w:p>
    <w:p w14:paraId="5BF4C47C" w14:textId="77777777" w:rsidR="00D44BCF" w:rsidRDefault="00D44BCF">
      <w:pPr>
        <w:pStyle w:val="TableofAuthorities"/>
        <w:tabs>
          <w:tab w:val="right" w:leader="dot" w:pos="9061"/>
        </w:tabs>
        <w:rPr>
          <w:noProof/>
        </w:rPr>
      </w:pPr>
      <w:r w:rsidRPr="000A1327">
        <w:rPr>
          <w:rFonts w:cstheme="minorHAnsi"/>
          <w:i/>
          <w:noProof/>
        </w:rPr>
        <w:t>R v Aniezue</w:t>
      </w:r>
      <w:r w:rsidRPr="000A1327">
        <w:rPr>
          <w:rFonts w:cstheme="minorHAnsi"/>
          <w:noProof/>
        </w:rPr>
        <w:t xml:space="preserve"> [2016] ACTSC 82</w:t>
      </w:r>
      <w:r>
        <w:rPr>
          <w:noProof/>
        </w:rPr>
        <w:tab/>
        <w:t>128</w:t>
      </w:r>
    </w:p>
    <w:p w14:paraId="5822A07D" w14:textId="77777777" w:rsidR="00D44BCF" w:rsidRDefault="00D44BCF">
      <w:pPr>
        <w:pStyle w:val="TableofAuthorities"/>
        <w:tabs>
          <w:tab w:val="right" w:leader="dot" w:pos="9061"/>
        </w:tabs>
        <w:rPr>
          <w:noProof/>
        </w:rPr>
      </w:pPr>
      <w:r w:rsidRPr="000A1327">
        <w:rPr>
          <w:rFonts w:cstheme="minorHAnsi"/>
          <w:i/>
          <w:iCs/>
          <w:noProof/>
        </w:rPr>
        <w:t>R v Arico (No 2)</w:t>
      </w:r>
      <w:r w:rsidRPr="000A1327">
        <w:rPr>
          <w:rFonts w:cstheme="minorHAnsi"/>
          <w:noProof/>
        </w:rPr>
        <w:t xml:space="preserve"> [2002] VSCA 230</w:t>
      </w:r>
      <w:r>
        <w:rPr>
          <w:noProof/>
        </w:rPr>
        <w:tab/>
        <w:t>172</w:t>
      </w:r>
    </w:p>
    <w:p w14:paraId="4373B446"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Arrowsmith</w:t>
      </w:r>
      <w:r w:rsidRPr="000A1327">
        <w:rPr>
          <w:rFonts w:cstheme="minorHAnsi"/>
          <w:noProof/>
        </w:rPr>
        <w:t xml:space="preserve"> [2018] SASCFC 47</w:t>
      </w:r>
      <w:r>
        <w:rPr>
          <w:noProof/>
        </w:rPr>
        <w:tab/>
        <w:t>79</w:t>
      </w:r>
    </w:p>
    <w:p w14:paraId="48D7CB9A" w14:textId="77777777" w:rsidR="00D44BCF" w:rsidRDefault="00D44BCF">
      <w:pPr>
        <w:pStyle w:val="TableofAuthorities"/>
        <w:tabs>
          <w:tab w:val="right" w:leader="dot" w:pos="9061"/>
        </w:tabs>
        <w:rPr>
          <w:noProof/>
        </w:rPr>
      </w:pPr>
      <w:r w:rsidRPr="000A1327">
        <w:rPr>
          <w:rFonts w:cstheme="minorHAnsi"/>
          <w:i/>
          <w:iCs/>
          <w:noProof/>
        </w:rPr>
        <w:t>R v B</w:t>
      </w:r>
      <w:r w:rsidRPr="000A1327">
        <w:rPr>
          <w:rFonts w:cstheme="minorHAnsi"/>
          <w:noProof/>
        </w:rPr>
        <w:t xml:space="preserve"> [1972] WAR 129</w:t>
      </w:r>
      <w:r>
        <w:rPr>
          <w:noProof/>
        </w:rPr>
        <w:tab/>
        <w:t>1</w:t>
      </w:r>
    </w:p>
    <w:p w14:paraId="19AABB8C" w14:textId="77777777" w:rsidR="00D44BCF" w:rsidRDefault="00D44BCF">
      <w:pPr>
        <w:pStyle w:val="TableofAuthorities"/>
        <w:tabs>
          <w:tab w:val="right" w:leader="dot" w:pos="9061"/>
        </w:tabs>
        <w:rPr>
          <w:noProof/>
        </w:rPr>
      </w:pPr>
      <w:r w:rsidRPr="000A1327">
        <w:rPr>
          <w:rFonts w:cstheme="minorHAnsi"/>
          <w:i/>
          <w:iCs/>
          <w:noProof/>
        </w:rPr>
        <w:t>R v Baladjam (No 1)</w:t>
      </w:r>
      <w:r w:rsidRPr="000A1327">
        <w:rPr>
          <w:rFonts w:cstheme="minorHAnsi"/>
          <w:noProof/>
        </w:rPr>
        <w:t xml:space="preserve"> [2008] NSWSC 72</w:t>
      </w:r>
      <w:r>
        <w:rPr>
          <w:noProof/>
        </w:rPr>
        <w:tab/>
        <w:t>261</w:t>
      </w:r>
    </w:p>
    <w:p w14:paraId="45E9B337" w14:textId="77777777" w:rsidR="00D44BCF" w:rsidRDefault="00D44BCF">
      <w:pPr>
        <w:pStyle w:val="TableofAuthorities"/>
        <w:tabs>
          <w:tab w:val="right" w:leader="dot" w:pos="9061"/>
        </w:tabs>
        <w:rPr>
          <w:noProof/>
        </w:rPr>
      </w:pPr>
      <w:r w:rsidRPr="000A1327">
        <w:rPr>
          <w:rFonts w:cstheme="minorHAnsi"/>
          <w:i/>
          <w:iCs/>
          <w:noProof/>
        </w:rPr>
        <w:t>R v Baladjam (No 13)</w:t>
      </w:r>
      <w:r w:rsidRPr="000A1327">
        <w:rPr>
          <w:rFonts w:cstheme="minorHAnsi"/>
          <w:noProof/>
        </w:rPr>
        <w:t xml:space="preserve"> [2008] NSWSC 1437</w:t>
      </w:r>
      <w:r>
        <w:rPr>
          <w:noProof/>
        </w:rPr>
        <w:tab/>
        <w:t>222</w:t>
      </w:r>
    </w:p>
    <w:p w14:paraId="318D1827" w14:textId="77777777" w:rsidR="00D44BCF" w:rsidRDefault="00D44BCF">
      <w:pPr>
        <w:pStyle w:val="TableofAuthorities"/>
        <w:tabs>
          <w:tab w:val="right" w:leader="dot" w:pos="9061"/>
        </w:tabs>
        <w:rPr>
          <w:noProof/>
        </w:rPr>
      </w:pPr>
      <w:r w:rsidRPr="000A1327">
        <w:rPr>
          <w:rFonts w:cstheme="minorHAnsi"/>
          <w:i/>
          <w:noProof/>
        </w:rPr>
        <w:t xml:space="preserve">R v Baldock </w:t>
      </w:r>
      <w:r w:rsidRPr="000A1327">
        <w:rPr>
          <w:rFonts w:cstheme="minorHAnsi"/>
          <w:noProof/>
        </w:rPr>
        <w:t>[2010] WASCA 170</w:t>
      </w:r>
      <w:r>
        <w:rPr>
          <w:noProof/>
        </w:rPr>
        <w:tab/>
        <w:t>29, 30</w:t>
      </w:r>
    </w:p>
    <w:p w14:paraId="0CE45B79" w14:textId="77777777" w:rsidR="00D44BCF" w:rsidRDefault="00D44BCF">
      <w:pPr>
        <w:pStyle w:val="TableofAuthorities"/>
        <w:tabs>
          <w:tab w:val="right" w:leader="dot" w:pos="9061"/>
        </w:tabs>
        <w:rPr>
          <w:noProof/>
        </w:rPr>
      </w:pPr>
      <w:r w:rsidRPr="000A1327">
        <w:rPr>
          <w:rFonts w:cstheme="minorHAnsi"/>
          <w:i/>
          <w:noProof/>
        </w:rPr>
        <w:t>R v Barany</w:t>
      </w:r>
      <w:r w:rsidRPr="000A1327">
        <w:rPr>
          <w:rFonts w:cstheme="minorHAnsi"/>
          <w:noProof/>
        </w:rPr>
        <w:t xml:space="preserve"> [2018] QCA 137</w:t>
      </w:r>
      <w:r>
        <w:rPr>
          <w:noProof/>
        </w:rPr>
        <w:tab/>
        <w:t>60, 97</w:t>
      </w:r>
    </w:p>
    <w:p w14:paraId="2F95F97D" w14:textId="77777777" w:rsidR="00D44BCF" w:rsidRDefault="00D44BCF">
      <w:pPr>
        <w:pStyle w:val="TableofAuthorities"/>
        <w:tabs>
          <w:tab w:val="right" w:leader="dot" w:pos="9061"/>
        </w:tabs>
        <w:rPr>
          <w:noProof/>
        </w:rPr>
      </w:pPr>
      <w:r w:rsidRPr="000A1327">
        <w:rPr>
          <w:rFonts w:cstheme="minorHAnsi"/>
          <w:i/>
          <w:noProof/>
        </w:rPr>
        <w:t>R v Barrientos</w:t>
      </w:r>
      <w:r w:rsidRPr="000A1327">
        <w:rPr>
          <w:rFonts w:cstheme="minorHAnsi"/>
          <w:b/>
          <w:i/>
          <w:noProof/>
          <w:u w:val="single"/>
        </w:rPr>
        <w:t xml:space="preserve"> </w:t>
      </w:r>
      <w:r w:rsidRPr="000A1327">
        <w:rPr>
          <w:rFonts w:cstheme="minorHAnsi"/>
          <w:noProof/>
        </w:rPr>
        <w:t>[1999] NSWCCA 1</w:t>
      </w:r>
      <w:r>
        <w:rPr>
          <w:noProof/>
        </w:rPr>
        <w:tab/>
        <w:t>59</w:t>
      </w:r>
    </w:p>
    <w:p w14:paraId="279103A8" w14:textId="77777777" w:rsidR="00D44BCF" w:rsidRDefault="00D44BCF">
      <w:pPr>
        <w:pStyle w:val="TableofAuthorities"/>
        <w:tabs>
          <w:tab w:val="right" w:leader="dot" w:pos="9061"/>
        </w:tabs>
        <w:rPr>
          <w:noProof/>
        </w:rPr>
      </w:pPr>
      <w:r w:rsidRPr="000A1327">
        <w:rPr>
          <w:rFonts w:cstheme="minorHAnsi"/>
          <w:i/>
          <w:noProof/>
        </w:rPr>
        <w:t>R v Beaumont</w:t>
      </w:r>
      <w:r w:rsidRPr="000A1327">
        <w:rPr>
          <w:rFonts w:cstheme="minorHAnsi"/>
          <w:noProof/>
        </w:rPr>
        <w:t xml:space="preserve"> [2000] VSCA 214</w:t>
      </w:r>
      <w:r>
        <w:rPr>
          <w:noProof/>
        </w:rPr>
        <w:tab/>
        <w:t>211, 212</w:t>
      </w:r>
    </w:p>
    <w:p w14:paraId="0146164F" w14:textId="77777777" w:rsidR="00D44BCF" w:rsidRDefault="00D44BCF">
      <w:pPr>
        <w:pStyle w:val="TableofAuthorities"/>
        <w:tabs>
          <w:tab w:val="right" w:leader="dot" w:pos="9061"/>
        </w:tabs>
        <w:rPr>
          <w:noProof/>
        </w:rPr>
      </w:pPr>
      <w:r w:rsidRPr="000A1327">
        <w:rPr>
          <w:rFonts w:cstheme="minorHAnsi"/>
          <w:i/>
          <w:noProof/>
        </w:rPr>
        <w:t>R v Benbrika</w:t>
      </w:r>
      <w:r w:rsidRPr="000A1327">
        <w:rPr>
          <w:rFonts w:cstheme="minorHAnsi"/>
          <w:noProof/>
        </w:rPr>
        <w:t xml:space="preserve"> [2009] VSC 21</w:t>
      </w:r>
      <w:r>
        <w:rPr>
          <w:noProof/>
        </w:rPr>
        <w:tab/>
        <w:t>29, 58, 88</w:t>
      </w:r>
    </w:p>
    <w:p w14:paraId="78D272BE" w14:textId="77777777" w:rsidR="00D44BCF" w:rsidRDefault="00D44BCF">
      <w:pPr>
        <w:pStyle w:val="TableofAuthorities"/>
        <w:tabs>
          <w:tab w:val="right" w:leader="dot" w:pos="9061"/>
        </w:tabs>
        <w:rPr>
          <w:noProof/>
        </w:rPr>
      </w:pPr>
      <w:r w:rsidRPr="000A1327">
        <w:rPr>
          <w:rFonts w:cstheme="minorHAnsi"/>
          <w:i/>
          <w:noProof/>
        </w:rPr>
        <w:t>R v Berlinksy</w:t>
      </w:r>
      <w:r w:rsidRPr="000A1327">
        <w:rPr>
          <w:rFonts w:cstheme="minorHAnsi"/>
          <w:noProof/>
        </w:rPr>
        <w:t xml:space="preserve"> [2005] SASC 316</w:t>
      </w:r>
      <w:r>
        <w:rPr>
          <w:noProof/>
        </w:rPr>
        <w:tab/>
        <w:t>66, 67, 79</w:t>
      </w:r>
    </w:p>
    <w:p w14:paraId="3C88DD02" w14:textId="77777777" w:rsidR="00D44BCF" w:rsidRDefault="00D44BCF">
      <w:pPr>
        <w:pStyle w:val="TableofAuthorities"/>
        <w:tabs>
          <w:tab w:val="right" w:leader="dot" w:pos="9061"/>
        </w:tabs>
        <w:rPr>
          <w:noProof/>
        </w:rPr>
      </w:pPr>
      <w:r w:rsidRPr="000A1327">
        <w:rPr>
          <w:rFonts w:cstheme="minorHAnsi"/>
          <w:bCs/>
          <w:i/>
          <w:noProof/>
        </w:rPr>
        <w:t>R v Berry</w:t>
      </w:r>
      <w:r w:rsidRPr="000A1327">
        <w:rPr>
          <w:rFonts w:cstheme="minorHAnsi"/>
          <w:bCs/>
          <w:noProof/>
        </w:rPr>
        <w:t xml:space="preserve"> [2007] VSCA 60</w:t>
      </w:r>
      <w:r>
        <w:rPr>
          <w:noProof/>
        </w:rPr>
        <w:tab/>
        <w:t>49</w:t>
      </w:r>
    </w:p>
    <w:p w14:paraId="69937003" w14:textId="77777777" w:rsidR="00D44BCF" w:rsidRDefault="00D44BCF">
      <w:pPr>
        <w:pStyle w:val="TableofAuthorities"/>
        <w:tabs>
          <w:tab w:val="right" w:leader="dot" w:pos="9061"/>
        </w:tabs>
        <w:rPr>
          <w:noProof/>
        </w:rPr>
      </w:pPr>
      <w:r w:rsidRPr="000A1327">
        <w:rPr>
          <w:rFonts w:cstheme="minorHAnsi"/>
          <w:i/>
          <w:noProof/>
        </w:rPr>
        <w:t>R v Bezan</w:t>
      </w:r>
      <w:r w:rsidRPr="000A1327">
        <w:rPr>
          <w:rFonts w:cstheme="minorHAnsi"/>
          <w:noProof/>
        </w:rPr>
        <w:t xml:space="preserve"> [2004] NSWCCA 342</w:t>
      </w:r>
      <w:r>
        <w:rPr>
          <w:noProof/>
        </w:rPr>
        <w:tab/>
        <w:t>255</w:t>
      </w:r>
    </w:p>
    <w:p w14:paraId="583D1E92" w14:textId="77777777" w:rsidR="00D44BCF" w:rsidRDefault="00D44BCF">
      <w:pPr>
        <w:pStyle w:val="TableofAuthorities"/>
        <w:tabs>
          <w:tab w:val="right" w:leader="dot" w:pos="9061"/>
        </w:tabs>
        <w:rPr>
          <w:noProof/>
        </w:rPr>
      </w:pPr>
      <w:r w:rsidRPr="000A1327">
        <w:rPr>
          <w:rFonts w:cstheme="minorHAnsi"/>
          <w:i/>
          <w:noProof/>
        </w:rPr>
        <w:t>R v Bibaoui</w:t>
      </w:r>
      <w:r w:rsidRPr="000A1327">
        <w:rPr>
          <w:rFonts w:cstheme="minorHAnsi"/>
          <w:noProof/>
        </w:rPr>
        <w:t xml:space="preserve"> [1997] 2 VR 600</w:t>
      </w:r>
      <w:r>
        <w:rPr>
          <w:noProof/>
        </w:rPr>
        <w:tab/>
        <w:t>207, 208, 210, 211, 212</w:t>
      </w:r>
    </w:p>
    <w:p w14:paraId="3BCAAE11" w14:textId="77777777" w:rsidR="00D44BCF" w:rsidRDefault="00D44BCF">
      <w:pPr>
        <w:pStyle w:val="TableofAuthorities"/>
        <w:tabs>
          <w:tab w:val="right" w:leader="dot" w:pos="9061"/>
        </w:tabs>
        <w:rPr>
          <w:noProof/>
        </w:rPr>
      </w:pPr>
      <w:r w:rsidRPr="000A1327">
        <w:rPr>
          <w:rFonts w:cstheme="minorHAnsi"/>
          <w:i/>
          <w:noProof/>
        </w:rPr>
        <w:t>R v Blanco</w:t>
      </w:r>
      <w:r w:rsidRPr="000A1327">
        <w:rPr>
          <w:rFonts w:cstheme="minorHAnsi"/>
          <w:noProof/>
        </w:rPr>
        <w:t xml:space="preserve"> [1999] NSWCCA 121</w:t>
      </w:r>
      <w:r>
        <w:rPr>
          <w:noProof/>
        </w:rPr>
        <w:tab/>
        <w:t>72</w:t>
      </w:r>
    </w:p>
    <w:p w14:paraId="698492A6" w14:textId="77777777" w:rsidR="00D44BCF" w:rsidRDefault="00D44BCF">
      <w:pPr>
        <w:pStyle w:val="TableofAuthorities"/>
        <w:tabs>
          <w:tab w:val="right" w:leader="dot" w:pos="9061"/>
        </w:tabs>
        <w:rPr>
          <w:noProof/>
        </w:rPr>
      </w:pPr>
      <w:r w:rsidRPr="000A1327">
        <w:rPr>
          <w:rFonts w:cstheme="minorHAnsi"/>
          <w:i/>
          <w:noProof/>
        </w:rPr>
        <w:t>R v Boland</w:t>
      </w:r>
      <w:r w:rsidRPr="000A1327">
        <w:rPr>
          <w:rFonts w:cstheme="minorHAnsi"/>
          <w:noProof/>
        </w:rPr>
        <w:t xml:space="preserve"> (2007) 17 VR 300</w:t>
      </w:r>
      <w:r>
        <w:rPr>
          <w:noProof/>
        </w:rPr>
        <w:tab/>
        <w:t>61</w:t>
      </w:r>
    </w:p>
    <w:p w14:paraId="1DFAC74B" w14:textId="77777777" w:rsidR="00D44BCF" w:rsidRDefault="00D44BCF">
      <w:pPr>
        <w:pStyle w:val="TableofAuthorities"/>
        <w:tabs>
          <w:tab w:val="right" w:leader="dot" w:pos="9061"/>
        </w:tabs>
        <w:rPr>
          <w:noProof/>
        </w:rPr>
      </w:pPr>
      <w:r w:rsidRPr="000A1327">
        <w:rPr>
          <w:rFonts w:cstheme="minorHAnsi"/>
          <w:i/>
          <w:noProof/>
        </w:rPr>
        <w:t>R v Boughen</w:t>
      </w:r>
      <w:r w:rsidRPr="000A1327">
        <w:rPr>
          <w:rFonts w:cstheme="minorHAnsi"/>
          <w:noProof/>
        </w:rPr>
        <w:t xml:space="preserve"> [2012] NSWCCA 17</w:t>
      </w:r>
      <w:r>
        <w:rPr>
          <w:noProof/>
        </w:rPr>
        <w:tab/>
        <w:t>47, 58</w:t>
      </w:r>
    </w:p>
    <w:p w14:paraId="38BC4BAF" w14:textId="77777777" w:rsidR="00D44BCF" w:rsidRDefault="00D44BCF">
      <w:pPr>
        <w:pStyle w:val="TableofAuthorities"/>
        <w:tabs>
          <w:tab w:val="right" w:leader="dot" w:pos="9061"/>
        </w:tabs>
        <w:rPr>
          <w:noProof/>
        </w:rPr>
      </w:pPr>
      <w:r w:rsidRPr="000A1327">
        <w:rPr>
          <w:rFonts w:cstheme="minorHAnsi"/>
          <w:i/>
          <w:noProof/>
        </w:rPr>
        <w:t>R v Boulos</w:t>
      </w:r>
      <w:r w:rsidRPr="000A1327">
        <w:rPr>
          <w:rFonts w:cstheme="minorHAnsi"/>
          <w:noProof/>
        </w:rPr>
        <w:t xml:space="preserve"> (1988) 37 A Crim R 461</w:t>
      </w:r>
      <w:r>
        <w:rPr>
          <w:noProof/>
        </w:rPr>
        <w:tab/>
        <w:t>194</w:t>
      </w:r>
    </w:p>
    <w:p w14:paraId="2AB03E56" w14:textId="77777777" w:rsidR="00D44BCF" w:rsidRDefault="00D44BCF">
      <w:pPr>
        <w:pStyle w:val="TableofAuthorities"/>
        <w:tabs>
          <w:tab w:val="right" w:leader="dot" w:pos="9061"/>
        </w:tabs>
        <w:rPr>
          <w:noProof/>
        </w:rPr>
      </w:pPr>
      <w:r w:rsidRPr="000A1327">
        <w:rPr>
          <w:rFonts w:cstheme="minorHAnsi"/>
          <w:i/>
          <w:noProof/>
        </w:rPr>
        <w:t>R v Boyes</w:t>
      </w:r>
      <w:r w:rsidRPr="000A1327">
        <w:rPr>
          <w:rFonts w:cstheme="minorHAnsi"/>
          <w:noProof/>
        </w:rPr>
        <w:t xml:space="preserve"> (2004) 8 VR 230</w:t>
      </w:r>
      <w:r>
        <w:rPr>
          <w:noProof/>
        </w:rPr>
        <w:tab/>
        <w:t>63</w:t>
      </w:r>
    </w:p>
    <w:p w14:paraId="465420D7" w14:textId="77777777" w:rsidR="00D44BCF" w:rsidRDefault="00D44BCF">
      <w:pPr>
        <w:pStyle w:val="TableofAuthorities"/>
        <w:tabs>
          <w:tab w:val="right" w:leader="dot" w:pos="9061"/>
        </w:tabs>
        <w:rPr>
          <w:noProof/>
        </w:rPr>
      </w:pPr>
      <w:r w:rsidRPr="000A1327">
        <w:rPr>
          <w:rFonts w:cstheme="minorHAnsi"/>
          <w:i/>
          <w:noProof/>
        </w:rPr>
        <w:t>R v Bradley</w:t>
      </w:r>
      <w:r w:rsidRPr="000A1327">
        <w:rPr>
          <w:rFonts w:cstheme="minorHAnsi"/>
          <w:noProof/>
        </w:rPr>
        <w:t xml:space="preserve"> (1997) 137 FLR 314</w:t>
      </w:r>
      <w:r>
        <w:rPr>
          <w:noProof/>
        </w:rPr>
        <w:tab/>
        <w:t>254</w:t>
      </w:r>
    </w:p>
    <w:p w14:paraId="247CA968" w14:textId="77777777" w:rsidR="00D44BCF" w:rsidRDefault="00D44BCF">
      <w:pPr>
        <w:pStyle w:val="TableofAuthorities"/>
        <w:tabs>
          <w:tab w:val="right" w:leader="dot" w:pos="9061"/>
        </w:tabs>
        <w:rPr>
          <w:noProof/>
        </w:rPr>
      </w:pPr>
      <w:r w:rsidRPr="000A1327">
        <w:rPr>
          <w:rFonts w:cstheme="minorHAnsi"/>
          <w:i/>
          <w:noProof/>
        </w:rPr>
        <w:t>R v Braham</w:t>
      </w:r>
      <w:r w:rsidRPr="000A1327">
        <w:rPr>
          <w:rFonts w:cstheme="minorHAnsi"/>
          <w:noProof/>
        </w:rPr>
        <w:t xml:space="preserve"> [1977] VR 104</w:t>
      </w:r>
      <w:r>
        <w:rPr>
          <w:noProof/>
        </w:rPr>
        <w:tab/>
        <w:t>181</w:t>
      </w:r>
    </w:p>
    <w:p w14:paraId="5D7BB154" w14:textId="77777777" w:rsidR="00D44BCF" w:rsidRDefault="00D44BCF">
      <w:pPr>
        <w:pStyle w:val="TableofAuthorities"/>
        <w:tabs>
          <w:tab w:val="right" w:leader="dot" w:pos="9061"/>
        </w:tabs>
        <w:rPr>
          <w:noProof/>
        </w:rPr>
      </w:pPr>
      <w:r w:rsidRPr="000A1327">
        <w:rPr>
          <w:rFonts w:cstheme="minorHAnsi"/>
          <w:bCs/>
          <w:i/>
          <w:noProof/>
        </w:rPr>
        <w:t>R v Brooks</w:t>
      </w:r>
      <w:r w:rsidRPr="000A1327">
        <w:rPr>
          <w:rFonts w:cstheme="minorHAnsi"/>
          <w:bCs/>
          <w:noProof/>
        </w:rPr>
        <w:t xml:space="preserve"> [2000] VSCA 188</w:t>
      </w:r>
      <w:r>
        <w:rPr>
          <w:noProof/>
        </w:rPr>
        <w:tab/>
        <w:t>49</w:t>
      </w:r>
    </w:p>
    <w:p w14:paraId="6D4EC658" w14:textId="77777777" w:rsidR="00D44BCF" w:rsidRDefault="00D44BCF">
      <w:pPr>
        <w:pStyle w:val="TableofAuthorities"/>
        <w:tabs>
          <w:tab w:val="right" w:leader="dot" w:pos="9061"/>
        </w:tabs>
        <w:rPr>
          <w:noProof/>
        </w:rPr>
      </w:pPr>
      <w:r w:rsidRPr="000A1327">
        <w:rPr>
          <w:rFonts w:cstheme="minorHAnsi"/>
          <w:bCs/>
          <w:i/>
          <w:noProof/>
        </w:rPr>
        <w:t>R v Bukvic</w:t>
      </w:r>
      <w:r w:rsidRPr="000A1327">
        <w:rPr>
          <w:rFonts w:cstheme="minorHAnsi"/>
          <w:bCs/>
          <w:noProof/>
        </w:rPr>
        <w:t xml:space="preserve"> </w:t>
      </w:r>
      <w:r w:rsidRPr="000A1327">
        <w:rPr>
          <w:rFonts w:cstheme="minorHAnsi"/>
          <w:noProof/>
        </w:rPr>
        <w:t>(2010) 107 SASR 405</w:t>
      </w:r>
      <w:r>
        <w:rPr>
          <w:noProof/>
        </w:rPr>
        <w:tab/>
        <w:t>28</w:t>
      </w:r>
    </w:p>
    <w:p w14:paraId="021C0E37" w14:textId="77777777" w:rsidR="00D44BCF" w:rsidRDefault="00D44BCF">
      <w:pPr>
        <w:pStyle w:val="TableofAuthorities"/>
        <w:tabs>
          <w:tab w:val="right" w:leader="dot" w:pos="9061"/>
        </w:tabs>
        <w:rPr>
          <w:noProof/>
        </w:rPr>
      </w:pPr>
      <w:r w:rsidRPr="000A1327">
        <w:rPr>
          <w:rFonts w:cstheme="minorHAnsi"/>
          <w:i/>
          <w:noProof/>
        </w:rPr>
        <w:t>R v Bulger</w:t>
      </w:r>
      <w:r w:rsidRPr="000A1327">
        <w:rPr>
          <w:rFonts w:cstheme="minorHAnsi"/>
          <w:noProof/>
        </w:rPr>
        <w:t xml:space="preserve"> [1990] 2 Qd R 559</w:t>
      </w:r>
      <w:r>
        <w:rPr>
          <w:noProof/>
        </w:rPr>
        <w:tab/>
        <w:t>75</w:t>
      </w:r>
    </w:p>
    <w:p w14:paraId="095A0B5B" w14:textId="77777777" w:rsidR="00D44BCF" w:rsidRDefault="00D44BCF">
      <w:pPr>
        <w:pStyle w:val="TableofAuthorities"/>
        <w:tabs>
          <w:tab w:val="right" w:leader="dot" w:pos="9061"/>
        </w:tabs>
        <w:rPr>
          <w:noProof/>
        </w:rPr>
      </w:pPr>
      <w:r w:rsidRPr="000A1327">
        <w:rPr>
          <w:rFonts w:cstheme="minorHAnsi"/>
          <w:i/>
          <w:noProof/>
        </w:rPr>
        <w:t>R v Bull</w:t>
      </w:r>
      <w:r w:rsidRPr="000A1327">
        <w:rPr>
          <w:rFonts w:cstheme="minorHAnsi"/>
          <w:noProof/>
        </w:rPr>
        <w:t xml:space="preserve"> (1974) 131 CLR 203</w:t>
      </w:r>
      <w:r>
        <w:rPr>
          <w:noProof/>
        </w:rPr>
        <w:tab/>
        <w:t>5, 7</w:t>
      </w:r>
    </w:p>
    <w:p w14:paraId="5E725E74" w14:textId="77777777" w:rsidR="00D44BCF" w:rsidRDefault="00D44BCF">
      <w:pPr>
        <w:pStyle w:val="TableofAuthorities"/>
        <w:tabs>
          <w:tab w:val="right" w:leader="dot" w:pos="9061"/>
        </w:tabs>
        <w:rPr>
          <w:noProof/>
        </w:rPr>
      </w:pPr>
      <w:r w:rsidRPr="000A1327">
        <w:rPr>
          <w:rFonts w:cstheme="minorHAnsi"/>
          <w:i/>
          <w:noProof/>
        </w:rPr>
        <w:t>R v Burke</w:t>
      </w:r>
      <w:r w:rsidRPr="000A1327">
        <w:rPr>
          <w:rFonts w:cstheme="minorHAnsi"/>
          <w:noProof/>
        </w:rPr>
        <w:t xml:space="preserve"> (2009) 21 VR 471</w:t>
      </w:r>
      <w:r>
        <w:rPr>
          <w:noProof/>
        </w:rPr>
        <w:tab/>
        <w:t>202</w:t>
      </w:r>
    </w:p>
    <w:p w14:paraId="649E620B" w14:textId="77777777" w:rsidR="00D44BCF" w:rsidRDefault="00D44BCF">
      <w:pPr>
        <w:pStyle w:val="TableofAuthorities"/>
        <w:tabs>
          <w:tab w:val="right" w:leader="dot" w:pos="9061"/>
        </w:tabs>
        <w:rPr>
          <w:noProof/>
        </w:rPr>
      </w:pPr>
      <w:r w:rsidRPr="000A1327">
        <w:rPr>
          <w:rFonts w:cstheme="minorHAnsi"/>
          <w:i/>
          <w:noProof/>
        </w:rPr>
        <w:t>R v Burns</w:t>
      </w:r>
      <w:r w:rsidRPr="000A1327">
        <w:rPr>
          <w:rFonts w:cstheme="minorHAnsi"/>
          <w:noProof/>
        </w:rPr>
        <w:t xml:space="preserve"> (Vic CCA, 9 November 1992, unreported)</w:t>
      </w:r>
      <w:r>
        <w:rPr>
          <w:noProof/>
        </w:rPr>
        <w:tab/>
        <w:t>198</w:t>
      </w:r>
    </w:p>
    <w:p w14:paraId="2B242FB7" w14:textId="77777777" w:rsidR="00D44BCF" w:rsidRDefault="00D44BCF">
      <w:pPr>
        <w:pStyle w:val="TableofAuthorities"/>
        <w:tabs>
          <w:tab w:val="right" w:leader="dot" w:pos="9061"/>
        </w:tabs>
        <w:rPr>
          <w:noProof/>
        </w:rPr>
      </w:pPr>
      <w:r w:rsidRPr="000A1327">
        <w:rPr>
          <w:rFonts w:cstheme="minorHAnsi"/>
          <w:i/>
          <w:noProof/>
        </w:rPr>
        <w:t>R v Burtt</w:t>
      </w:r>
      <w:r w:rsidRPr="000A1327">
        <w:rPr>
          <w:rFonts w:cstheme="minorHAnsi"/>
          <w:noProof/>
        </w:rPr>
        <w:t xml:space="preserve"> [2018] SASCFC 5</w:t>
      </w:r>
      <w:r>
        <w:rPr>
          <w:noProof/>
        </w:rPr>
        <w:tab/>
        <w:t>189</w:t>
      </w:r>
    </w:p>
    <w:p w14:paraId="264752A7" w14:textId="77777777" w:rsidR="00D44BCF" w:rsidRDefault="00D44BCF">
      <w:pPr>
        <w:pStyle w:val="TableofAuthorities"/>
        <w:tabs>
          <w:tab w:val="right" w:leader="dot" w:pos="9061"/>
        </w:tabs>
        <w:rPr>
          <w:noProof/>
        </w:rPr>
      </w:pPr>
      <w:r w:rsidRPr="000A1327">
        <w:rPr>
          <w:rFonts w:cstheme="minorHAnsi"/>
          <w:i/>
          <w:noProof/>
        </w:rPr>
        <w:t>R v CAK and CAL; ex parte Cth DPP</w:t>
      </w:r>
      <w:r w:rsidRPr="000A1327">
        <w:rPr>
          <w:rFonts w:cstheme="minorHAnsi"/>
          <w:noProof/>
        </w:rPr>
        <w:t xml:space="preserve"> [2009] QCA 23</w:t>
      </w:r>
      <w:r>
        <w:rPr>
          <w:noProof/>
        </w:rPr>
        <w:tab/>
        <w:t>141</w:t>
      </w:r>
    </w:p>
    <w:p w14:paraId="193A9BF9" w14:textId="77777777" w:rsidR="00D44BCF" w:rsidRDefault="00D44BCF">
      <w:pPr>
        <w:pStyle w:val="TableofAuthorities"/>
        <w:tabs>
          <w:tab w:val="right" w:leader="dot" w:pos="9061"/>
        </w:tabs>
        <w:rPr>
          <w:noProof/>
        </w:rPr>
      </w:pPr>
      <w:r w:rsidRPr="000A1327">
        <w:rPr>
          <w:rFonts w:cstheme="minorHAnsi"/>
          <w:i/>
          <w:noProof/>
        </w:rPr>
        <w:t>R v Campbell</w:t>
      </w:r>
      <w:r w:rsidRPr="000A1327">
        <w:rPr>
          <w:rFonts w:cstheme="minorHAnsi"/>
          <w:noProof/>
        </w:rPr>
        <w:t xml:space="preserve"> (1997) 95 A Crim R 391</w:t>
      </w:r>
      <w:r>
        <w:rPr>
          <w:noProof/>
        </w:rPr>
        <w:tab/>
        <w:t>161, 165</w:t>
      </w:r>
    </w:p>
    <w:p w14:paraId="787E67FC" w14:textId="77777777" w:rsidR="00D44BCF" w:rsidRDefault="00D44BCF">
      <w:pPr>
        <w:pStyle w:val="TableofAuthorities"/>
        <w:tabs>
          <w:tab w:val="right" w:leader="dot" w:pos="9061"/>
        </w:tabs>
        <w:rPr>
          <w:noProof/>
        </w:rPr>
      </w:pPr>
      <w:r w:rsidRPr="000A1327">
        <w:rPr>
          <w:rFonts w:cstheme="minorHAnsi"/>
          <w:i/>
          <w:noProof/>
        </w:rPr>
        <w:t>R v Campbell</w:t>
      </w:r>
      <w:r w:rsidRPr="000A1327">
        <w:rPr>
          <w:rFonts w:cstheme="minorHAnsi"/>
          <w:noProof/>
        </w:rPr>
        <w:t xml:space="preserve"> </w:t>
      </w:r>
      <w:r w:rsidRPr="000A1327">
        <w:rPr>
          <w:rFonts w:cstheme="minorHAnsi"/>
          <w:bCs/>
          <w:iCs/>
          <w:noProof/>
        </w:rPr>
        <w:t>[1999] VSCA 177</w:t>
      </w:r>
      <w:r>
        <w:rPr>
          <w:noProof/>
        </w:rPr>
        <w:tab/>
        <w:t>86</w:t>
      </w:r>
    </w:p>
    <w:p w14:paraId="24682828" w14:textId="77777777" w:rsidR="00D44BCF" w:rsidRDefault="00D44BCF">
      <w:pPr>
        <w:pStyle w:val="TableofAuthorities"/>
        <w:tabs>
          <w:tab w:val="right" w:leader="dot" w:pos="9061"/>
        </w:tabs>
        <w:rPr>
          <w:noProof/>
        </w:rPr>
      </w:pPr>
      <w:r w:rsidRPr="000A1327">
        <w:rPr>
          <w:rFonts w:cstheme="minorHAnsi"/>
          <w:i/>
          <w:noProof/>
        </w:rPr>
        <w:t>R v Carey</w:t>
      </w:r>
      <w:r w:rsidRPr="000A1327">
        <w:rPr>
          <w:rFonts w:cstheme="minorHAnsi"/>
          <w:noProof/>
        </w:rPr>
        <w:t xml:space="preserve"> [1998] 4 VR 13</w:t>
      </w:r>
      <w:r>
        <w:rPr>
          <w:noProof/>
        </w:rPr>
        <w:tab/>
        <w:t>53</w:t>
      </w:r>
    </w:p>
    <w:p w14:paraId="4AD958E1" w14:textId="77777777" w:rsidR="00D44BCF" w:rsidRDefault="00D44BCF">
      <w:pPr>
        <w:pStyle w:val="TableofAuthorities"/>
        <w:tabs>
          <w:tab w:val="right" w:leader="dot" w:pos="9061"/>
        </w:tabs>
        <w:rPr>
          <w:noProof/>
        </w:rPr>
      </w:pPr>
      <w:r w:rsidRPr="000A1327">
        <w:rPr>
          <w:rFonts w:cstheme="minorHAnsi"/>
          <w:i/>
          <w:noProof/>
        </w:rPr>
        <w:t>R v Carroll</w:t>
      </w:r>
      <w:r w:rsidRPr="000A1327">
        <w:rPr>
          <w:rFonts w:cstheme="minorHAnsi"/>
          <w:noProof/>
        </w:rPr>
        <w:t xml:space="preserve"> [1991] 2 VR 509</w:t>
      </w:r>
      <w:r>
        <w:rPr>
          <w:noProof/>
        </w:rPr>
        <w:tab/>
        <w:t>57, 123, 254</w:t>
      </w:r>
    </w:p>
    <w:p w14:paraId="0F337B1F" w14:textId="77777777" w:rsidR="00D44BCF" w:rsidRDefault="00D44BCF">
      <w:pPr>
        <w:pStyle w:val="TableofAuthorities"/>
        <w:tabs>
          <w:tab w:val="right" w:leader="dot" w:pos="9061"/>
        </w:tabs>
        <w:rPr>
          <w:noProof/>
        </w:rPr>
      </w:pPr>
      <w:r w:rsidRPr="000A1327">
        <w:rPr>
          <w:rFonts w:cstheme="minorHAnsi"/>
          <w:i/>
          <w:noProof/>
        </w:rPr>
        <w:t>R v Cartwright</w:t>
      </w:r>
      <w:r w:rsidRPr="000A1327">
        <w:rPr>
          <w:rFonts w:cstheme="minorHAnsi"/>
          <w:noProof/>
        </w:rPr>
        <w:t xml:space="preserve"> (1989) 17 NSWLR 243</w:t>
      </w:r>
      <w:r>
        <w:rPr>
          <w:noProof/>
        </w:rPr>
        <w:tab/>
        <w:t>53, 54, 55</w:t>
      </w:r>
    </w:p>
    <w:p w14:paraId="4506FD66" w14:textId="77777777" w:rsidR="00D44BCF" w:rsidRDefault="00D44BCF">
      <w:pPr>
        <w:pStyle w:val="TableofAuthorities"/>
        <w:tabs>
          <w:tab w:val="right" w:leader="dot" w:pos="9061"/>
        </w:tabs>
        <w:rPr>
          <w:noProof/>
        </w:rPr>
      </w:pPr>
      <w:r w:rsidRPr="000A1327">
        <w:rPr>
          <w:rFonts w:cstheme="minorHAnsi"/>
          <w:i/>
          <w:noProof/>
        </w:rPr>
        <w:t>R v Castle; ex parte Attorney-General</w:t>
      </w:r>
      <w:r w:rsidRPr="000A1327">
        <w:rPr>
          <w:rFonts w:cstheme="minorHAnsi"/>
          <w:noProof/>
        </w:rPr>
        <w:t xml:space="preserve"> [2014] QCA 276</w:t>
      </w:r>
      <w:r>
        <w:rPr>
          <w:noProof/>
        </w:rPr>
        <w:tab/>
        <w:t>184</w:t>
      </w:r>
    </w:p>
    <w:p w14:paraId="3834012E" w14:textId="77777777" w:rsidR="00D44BCF" w:rsidRDefault="00D44BCF">
      <w:pPr>
        <w:pStyle w:val="TableofAuthorities"/>
        <w:tabs>
          <w:tab w:val="right" w:leader="dot" w:pos="9061"/>
        </w:tabs>
        <w:rPr>
          <w:noProof/>
        </w:rPr>
      </w:pPr>
      <w:r w:rsidRPr="000A1327">
        <w:rPr>
          <w:rFonts w:cstheme="minorHAnsi"/>
          <w:bCs/>
          <w:i/>
          <w:noProof/>
        </w:rPr>
        <w:t>R v Ceissman</w:t>
      </w:r>
      <w:r w:rsidRPr="000A1327">
        <w:rPr>
          <w:rFonts w:cstheme="minorHAnsi"/>
          <w:bCs/>
          <w:noProof/>
        </w:rPr>
        <w:t xml:space="preserve"> [2001] NSWCCA 73</w:t>
      </w:r>
      <w:r>
        <w:rPr>
          <w:noProof/>
        </w:rPr>
        <w:tab/>
        <w:t>26, 59, 62, 67</w:t>
      </w:r>
    </w:p>
    <w:p w14:paraId="3E1E145B" w14:textId="77777777" w:rsidR="00D44BCF" w:rsidRDefault="00D44BCF">
      <w:pPr>
        <w:pStyle w:val="TableofAuthorities"/>
        <w:tabs>
          <w:tab w:val="right" w:leader="dot" w:pos="9061"/>
        </w:tabs>
        <w:rPr>
          <w:noProof/>
        </w:rPr>
      </w:pPr>
      <w:r w:rsidRPr="000A1327">
        <w:rPr>
          <w:rFonts w:cstheme="minorHAnsi"/>
          <w:i/>
          <w:noProof/>
        </w:rPr>
        <w:t>R v Chatfield</w:t>
      </w:r>
      <w:r w:rsidRPr="000A1327">
        <w:rPr>
          <w:rFonts w:cstheme="minorHAnsi"/>
          <w:noProof/>
        </w:rPr>
        <w:t xml:space="preserve"> [2012] ACTCA 32</w:t>
      </w:r>
      <w:r>
        <w:rPr>
          <w:noProof/>
        </w:rPr>
        <w:tab/>
        <w:t>89</w:t>
      </w:r>
    </w:p>
    <w:p w14:paraId="22FFCE50" w14:textId="77777777" w:rsidR="00D44BCF" w:rsidRDefault="00D44BCF">
      <w:pPr>
        <w:pStyle w:val="TableofAuthorities"/>
        <w:tabs>
          <w:tab w:val="right" w:leader="dot" w:pos="9061"/>
        </w:tabs>
        <w:rPr>
          <w:noProof/>
        </w:rPr>
      </w:pPr>
      <w:r w:rsidRPr="000A1327">
        <w:rPr>
          <w:rFonts w:cstheme="minorHAnsi"/>
          <w:i/>
          <w:noProof/>
        </w:rPr>
        <w:t>R v Chea</w:t>
      </w:r>
      <w:r w:rsidRPr="000A1327">
        <w:rPr>
          <w:rFonts w:cstheme="minorHAnsi"/>
          <w:noProof/>
        </w:rPr>
        <w:t xml:space="preserve"> [2008] NSWCCA 78</w:t>
      </w:r>
      <w:r>
        <w:rPr>
          <w:noProof/>
        </w:rPr>
        <w:tab/>
        <w:t>256</w:t>
      </w:r>
    </w:p>
    <w:p w14:paraId="4A9A9214" w14:textId="77777777" w:rsidR="00D44BCF" w:rsidRDefault="00D44BCF">
      <w:pPr>
        <w:pStyle w:val="TableofAuthorities"/>
        <w:tabs>
          <w:tab w:val="right" w:leader="dot" w:pos="9061"/>
        </w:tabs>
        <w:rPr>
          <w:noProof/>
        </w:rPr>
      </w:pPr>
      <w:r w:rsidRPr="000A1327">
        <w:rPr>
          <w:rFonts w:cstheme="minorHAnsi"/>
          <w:i/>
          <w:iCs/>
          <w:noProof/>
        </w:rPr>
        <w:t>R v Chen</w:t>
      </w:r>
      <w:r w:rsidRPr="000A1327">
        <w:rPr>
          <w:rFonts w:cstheme="minorHAnsi"/>
          <w:noProof/>
        </w:rPr>
        <w:t xml:space="preserve"> [2002] NSWCCA 174</w:t>
      </w:r>
      <w:r>
        <w:rPr>
          <w:noProof/>
        </w:rPr>
        <w:tab/>
        <w:t>58</w:t>
      </w:r>
    </w:p>
    <w:p w14:paraId="26E2D9E4" w14:textId="77777777" w:rsidR="00D44BCF" w:rsidRDefault="00D44BCF">
      <w:pPr>
        <w:pStyle w:val="TableofAuthorities"/>
        <w:tabs>
          <w:tab w:val="right" w:leader="dot" w:pos="9061"/>
        </w:tabs>
        <w:rPr>
          <w:noProof/>
        </w:rPr>
      </w:pPr>
      <w:r w:rsidRPr="000A1327">
        <w:rPr>
          <w:rFonts w:cstheme="minorHAnsi"/>
          <w:i/>
          <w:noProof/>
        </w:rPr>
        <w:t>R v Chi Sun Tsui</w:t>
      </w:r>
      <w:r w:rsidRPr="000A1327">
        <w:rPr>
          <w:rFonts w:cstheme="minorHAnsi"/>
          <w:noProof/>
        </w:rPr>
        <w:t xml:space="preserve"> (1985) 1 NSWLR 308</w:t>
      </w:r>
      <w:r>
        <w:rPr>
          <w:noProof/>
        </w:rPr>
        <w:tab/>
        <w:t>77, 78</w:t>
      </w:r>
    </w:p>
    <w:p w14:paraId="67CDC463" w14:textId="77777777" w:rsidR="00D44BCF" w:rsidRDefault="00D44BCF">
      <w:pPr>
        <w:pStyle w:val="TableofAuthorities"/>
        <w:tabs>
          <w:tab w:val="right" w:leader="dot" w:pos="9061"/>
        </w:tabs>
        <w:rPr>
          <w:noProof/>
        </w:rPr>
      </w:pPr>
      <w:r w:rsidRPr="000A1327">
        <w:rPr>
          <w:rFonts w:cstheme="minorHAnsi"/>
          <w:i/>
          <w:noProof/>
        </w:rPr>
        <w:t>R v Cockerell</w:t>
      </w:r>
      <w:r w:rsidRPr="000A1327">
        <w:rPr>
          <w:rFonts w:cstheme="minorHAnsi"/>
          <w:noProof/>
        </w:rPr>
        <w:t xml:space="preserve"> [2001] VSCA 239</w:t>
      </w:r>
      <w:r>
        <w:rPr>
          <w:noProof/>
        </w:rPr>
        <w:tab/>
        <w:t>70, 71, 72</w:t>
      </w:r>
    </w:p>
    <w:p w14:paraId="5BF3EB85" w14:textId="77777777" w:rsidR="00D44BCF" w:rsidRDefault="00D44BCF">
      <w:pPr>
        <w:pStyle w:val="TableofAuthorities"/>
        <w:tabs>
          <w:tab w:val="right" w:leader="dot" w:pos="9061"/>
        </w:tabs>
        <w:rPr>
          <w:noProof/>
        </w:rPr>
      </w:pPr>
      <w:r w:rsidRPr="000A1327">
        <w:rPr>
          <w:rFonts w:cstheme="minorHAnsi"/>
          <w:i/>
          <w:noProof/>
        </w:rPr>
        <w:t>R v Constant</w:t>
      </w:r>
      <w:r w:rsidRPr="000A1327">
        <w:rPr>
          <w:rFonts w:cstheme="minorHAnsi"/>
          <w:noProof/>
        </w:rPr>
        <w:t xml:space="preserve"> [2016] SASCFC 87</w:t>
      </w:r>
      <w:r>
        <w:rPr>
          <w:noProof/>
        </w:rPr>
        <w:tab/>
        <w:t>67</w:t>
      </w:r>
    </w:p>
    <w:p w14:paraId="379F3A30" w14:textId="77777777" w:rsidR="00D44BCF" w:rsidRDefault="00D44BCF">
      <w:pPr>
        <w:pStyle w:val="TableofAuthorities"/>
        <w:tabs>
          <w:tab w:val="right" w:leader="dot" w:pos="9061"/>
        </w:tabs>
        <w:rPr>
          <w:noProof/>
        </w:rPr>
      </w:pPr>
      <w:r w:rsidRPr="000A1327">
        <w:rPr>
          <w:rFonts w:cstheme="minorHAnsi"/>
          <w:i/>
          <w:noProof/>
        </w:rPr>
        <w:t>R v Cook</w:t>
      </w:r>
      <w:r w:rsidRPr="000A1327">
        <w:rPr>
          <w:rFonts w:cstheme="minorHAnsi"/>
          <w:noProof/>
        </w:rPr>
        <w:t xml:space="preserve"> [2018] TASCCA 20</w:t>
      </w:r>
      <w:r>
        <w:rPr>
          <w:noProof/>
        </w:rPr>
        <w:tab/>
        <w:t>28, 135, 194</w:t>
      </w:r>
    </w:p>
    <w:p w14:paraId="72881A5A" w14:textId="77777777" w:rsidR="00D44BCF" w:rsidRDefault="00D44BCF">
      <w:pPr>
        <w:pStyle w:val="TableofAuthorities"/>
        <w:tabs>
          <w:tab w:val="right" w:leader="dot" w:pos="9061"/>
        </w:tabs>
        <w:rPr>
          <w:noProof/>
        </w:rPr>
      </w:pPr>
      <w:r w:rsidRPr="000A1327">
        <w:rPr>
          <w:rFonts w:cstheme="minorHAnsi"/>
          <w:i/>
          <w:noProof/>
        </w:rPr>
        <w:t>R v Copeland (No 2)</w:t>
      </w:r>
      <w:r w:rsidRPr="000A1327">
        <w:rPr>
          <w:rFonts w:cstheme="minorHAnsi"/>
          <w:noProof/>
        </w:rPr>
        <w:t xml:space="preserve"> (2010) 108 SASR 398</w:t>
      </w:r>
      <w:r>
        <w:rPr>
          <w:noProof/>
        </w:rPr>
        <w:tab/>
        <w:t>44, 212</w:t>
      </w:r>
    </w:p>
    <w:p w14:paraId="6A67E382" w14:textId="77777777" w:rsidR="00D44BCF" w:rsidRDefault="00D44BCF">
      <w:pPr>
        <w:pStyle w:val="TableofAuthorities"/>
        <w:tabs>
          <w:tab w:val="right" w:leader="dot" w:pos="9061"/>
        </w:tabs>
        <w:rPr>
          <w:noProof/>
        </w:rPr>
      </w:pPr>
      <w:r w:rsidRPr="000A1327">
        <w:rPr>
          <w:rFonts w:cstheme="minorHAnsi"/>
          <w:i/>
          <w:noProof/>
        </w:rPr>
        <w:t>R v Corbett</w:t>
      </w:r>
      <w:r w:rsidRPr="000A1327">
        <w:rPr>
          <w:rFonts w:cstheme="minorHAnsi"/>
          <w:noProof/>
        </w:rPr>
        <w:t xml:space="preserve"> (1991) 52 A Crim R 112</w:t>
      </w:r>
      <w:r>
        <w:rPr>
          <w:noProof/>
        </w:rPr>
        <w:tab/>
        <w:t>254</w:t>
      </w:r>
    </w:p>
    <w:p w14:paraId="2E8FD2F6" w14:textId="77777777" w:rsidR="00D44BCF" w:rsidRDefault="00D44BCF">
      <w:pPr>
        <w:pStyle w:val="TableofAuthorities"/>
        <w:tabs>
          <w:tab w:val="right" w:leader="dot" w:pos="9061"/>
        </w:tabs>
        <w:rPr>
          <w:noProof/>
        </w:rPr>
      </w:pPr>
      <w:r w:rsidRPr="000A1327">
        <w:rPr>
          <w:rFonts w:cstheme="minorHAnsi"/>
          <w:i/>
          <w:noProof/>
        </w:rPr>
        <w:t>R v Coukoulis</w:t>
      </w:r>
      <w:r w:rsidRPr="000A1327">
        <w:rPr>
          <w:rFonts w:cstheme="minorHAnsi"/>
          <w:noProof/>
        </w:rPr>
        <w:t xml:space="preserve"> (2003) 7 VR 45</w:t>
      </w:r>
      <w:r>
        <w:rPr>
          <w:noProof/>
        </w:rPr>
        <w:tab/>
        <w:t>135</w:t>
      </w:r>
    </w:p>
    <w:p w14:paraId="5E9CEDF3" w14:textId="77777777" w:rsidR="00D44BCF" w:rsidRDefault="00D44BCF">
      <w:pPr>
        <w:pStyle w:val="TableofAuthorities"/>
        <w:tabs>
          <w:tab w:val="right" w:leader="dot" w:pos="9061"/>
        </w:tabs>
        <w:rPr>
          <w:noProof/>
        </w:rPr>
      </w:pPr>
      <w:r w:rsidRPr="000A1327">
        <w:rPr>
          <w:rFonts w:cstheme="minorHAnsi"/>
          <w:i/>
          <w:noProof/>
        </w:rPr>
        <w:t>R v Cox</w:t>
      </w:r>
      <w:r w:rsidRPr="000A1327">
        <w:rPr>
          <w:rFonts w:cstheme="minorHAnsi"/>
          <w:noProof/>
        </w:rPr>
        <w:t xml:space="preserve"> [2013] QCA 10</w:t>
      </w:r>
      <w:r>
        <w:rPr>
          <w:noProof/>
        </w:rPr>
        <w:tab/>
        <w:t>71</w:t>
      </w:r>
    </w:p>
    <w:p w14:paraId="4561612A" w14:textId="77777777" w:rsidR="00D44BCF" w:rsidRDefault="00D44BCF">
      <w:pPr>
        <w:pStyle w:val="TableofAuthorities"/>
        <w:tabs>
          <w:tab w:val="right" w:leader="dot" w:pos="9061"/>
        </w:tabs>
        <w:rPr>
          <w:noProof/>
        </w:rPr>
      </w:pPr>
      <w:r w:rsidRPr="000A1327">
        <w:rPr>
          <w:rFonts w:cstheme="minorHAnsi"/>
          <w:i/>
          <w:noProof/>
        </w:rPr>
        <w:t>R v Currey</w:t>
      </w:r>
      <w:r w:rsidRPr="000A1327">
        <w:rPr>
          <w:rFonts w:cstheme="minorHAnsi"/>
          <w:noProof/>
        </w:rPr>
        <w:t xml:space="preserve"> [1975] VR 647</w:t>
      </w:r>
      <w:r>
        <w:rPr>
          <w:noProof/>
        </w:rPr>
        <w:tab/>
        <w:t>155</w:t>
      </w:r>
    </w:p>
    <w:p w14:paraId="43D95296" w14:textId="77777777" w:rsidR="00D44BCF" w:rsidRDefault="00D44BCF">
      <w:pPr>
        <w:pStyle w:val="TableofAuthorities"/>
        <w:tabs>
          <w:tab w:val="right" w:leader="dot" w:pos="9061"/>
        </w:tabs>
        <w:rPr>
          <w:noProof/>
        </w:rPr>
      </w:pPr>
      <w:r w:rsidRPr="000A1327">
        <w:rPr>
          <w:rFonts w:cstheme="minorHAnsi"/>
          <w:i/>
          <w:noProof/>
        </w:rPr>
        <w:t>R v Curtis (No 3)</w:t>
      </w:r>
      <w:r w:rsidRPr="000A1327">
        <w:rPr>
          <w:rFonts w:cstheme="minorHAnsi"/>
          <w:noProof/>
        </w:rPr>
        <w:t xml:space="preserve"> [2016] NSWSC 866</w:t>
      </w:r>
      <w:r>
        <w:rPr>
          <w:noProof/>
        </w:rPr>
        <w:tab/>
        <w:t>46</w:t>
      </w:r>
    </w:p>
    <w:p w14:paraId="03422587" w14:textId="77777777" w:rsidR="00D44BCF" w:rsidRDefault="00D44BCF">
      <w:pPr>
        <w:pStyle w:val="TableofAuthorities"/>
        <w:tabs>
          <w:tab w:val="right" w:leader="dot" w:pos="9061"/>
        </w:tabs>
        <w:rPr>
          <w:noProof/>
        </w:rPr>
      </w:pPr>
      <w:r w:rsidRPr="000A1327">
        <w:rPr>
          <w:rFonts w:cstheme="minorHAnsi"/>
          <w:i/>
          <w:noProof/>
        </w:rPr>
        <w:t>R v D</w:t>
      </w:r>
      <w:r w:rsidRPr="000A1327">
        <w:rPr>
          <w:rFonts w:cstheme="minorHAnsi"/>
          <w:noProof/>
        </w:rPr>
        <w:t xml:space="preserve"> [1996] 1 Qd R 363</w:t>
      </w:r>
      <w:r>
        <w:rPr>
          <w:noProof/>
        </w:rPr>
        <w:tab/>
        <w:t>27</w:t>
      </w:r>
    </w:p>
    <w:p w14:paraId="1BA66823" w14:textId="77777777" w:rsidR="00D44BCF" w:rsidRDefault="00D44BCF">
      <w:pPr>
        <w:pStyle w:val="TableofAuthorities"/>
        <w:tabs>
          <w:tab w:val="right" w:leader="dot" w:pos="9061"/>
        </w:tabs>
        <w:rPr>
          <w:noProof/>
        </w:rPr>
      </w:pPr>
      <w:r w:rsidRPr="000A1327">
        <w:rPr>
          <w:rFonts w:cstheme="minorHAnsi"/>
          <w:i/>
          <w:noProof/>
        </w:rPr>
        <w:t>R v Daswani</w:t>
      </w:r>
      <w:r w:rsidRPr="000A1327">
        <w:rPr>
          <w:rFonts w:cstheme="minorHAnsi"/>
          <w:noProof/>
        </w:rPr>
        <w:t xml:space="preserve"> [2005] QCA 167</w:t>
      </w:r>
      <w:r>
        <w:rPr>
          <w:noProof/>
        </w:rPr>
        <w:tab/>
        <w:t>132, 134</w:t>
      </w:r>
    </w:p>
    <w:p w14:paraId="59F5D41E" w14:textId="77777777" w:rsidR="00D44BCF" w:rsidRDefault="00D44BCF">
      <w:pPr>
        <w:pStyle w:val="TableofAuthorities"/>
        <w:tabs>
          <w:tab w:val="right" w:leader="dot" w:pos="9061"/>
        </w:tabs>
        <w:rPr>
          <w:noProof/>
        </w:rPr>
      </w:pPr>
      <w:r w:rsidRPr="000A1327">
        <w:rPr>
          <w:rFonts w:cstheme="minorHAnsi"/>
          <w:i/>
          <w:noProof/>
        </w:rPr>
        <w:t>R v De Leeuw</w:t>
      </w:r>
      <w:r w:rsidRPr="000A1327">
        <w:rPr>
          <w:rFonts w:cstheme="minorHAnsi"/>
          <w:noProof/>
        </w:rPr>
        <w:t xml:space="preserve"> [2015] NSWCCA 183</w:t>
      </w:r>
      <w:r>
        <w:rPr>
          <w:noProof/>
        </w:rPr>
        <w:tab/>
        <w:t>43</w:t>
      </w:r>
    </w:p>
    <w:p w14:paraId="46D765BB" w14:textId="77777777" w:rsidR="00D44BCF" w:rsidRDefault="00D44BCF">
      <w:pPr>
        <w:pStyle w:val="TableofAuthorities"/>
        <w:tabs>
          <w:tab w:val="right" w:leader="dot" w:pos="9061"/>
        </w:tabs>
        <w:rPr>
          <w:noProof/>
        </w:rPr>
      </w:pPr>
      <w:r w:rsidRPr="000A1327">
        <w:rPr>
          <w:rFonts w:cstheme="minorHAnsi"/>
          <w:i/>
          <w:noProof/>
        </w:rPr>
        <w:t>R v De Simoni</w:t>
      </w:r>
      <w:r w:rsidRPr="000A1327">
        <w:rPr>
          <w:rFonts w:cstheme="minorHAnsi"/>
          <w:noProof/>
        </w:rPr>
        <w:t xml:space="preserve"> (1981) 147 CLR 383</w:t>
      </w:r>
      <w:r>
        <w:rPr>
          <w:noProof/>
        </w:rPr>
        <w:tab/>
        <w:t>23, 27</w:t>
      </w:r>
    </w:p>
    <w:p w14:paraId="506680D0" w14:textId="77777777" w:rsidR="00D44BCF" w:rsidRDefault="00D44BCF">
      <w:pPr>
        <w:pStyle w:val="TableofAuthorities"/>
        <w:tabs>
          <w:tab w:val="right" w:leader="dot" w:pos="9061"/>
        </w:tabs>
        <w:rPr>
          <w:noProof/>
        </w:rPr>
      </w:pPr>
      <w:r w:rsidRPr="000A1327">
        <w:rPr>
          <w:rFonts w:cstheme="minorHAnsi"/>
          <w:i/>
          <w:noProof/>
        </w:rPr>
        <w:t>R v De Zylva</w:t>
      </w:r>
      <w:r w:rsidRPr="000A1327">
        <w:rPr>
          <w:rFonts w:cstheme="minorHAnsi"/>
          <w:iCs/>
          <w:noProof/>
        </w:rPr>
        <w:t xml:space="preserve"> (1988) 33 A Crim R 44</w:t>
      </w:r>
      <w:r>
        <w:rPr>
          <w:noProof/>
        </w:rPr>
        <w:tab/>
        <w:t>213</w:t>
      </w:r>
    </w:p>
    <w:p w14:paraId="07688927"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Demirian</w:t>
      </w:r>
      <w:r w:rsidRPr="000A1327">
        <w:rPr>
          <w:rFonts w:cstheme="minorHAnsi"/>
          <w:noProof/>
        </w:rPr>
        <w:t xml:space="preserve"> [1989] VR 97</w:t>
      </w:r>
      <w:r>
        <w:rPr>
          <w:noProof/>
        </w:rPr>
        <w:tab/>
        <w:t>58</w:t>
      </w:r>
    </w:p>
    <w:p w14:paraId="50624B9F" w14:textId="77777777" w:rsidR="00D44BCF" w:rsidRDefault="00D44BCF">
      <w:pPr>
        <w:pStyle w:val="TableofAuthorities"/>
        <w:tabs>
          <w:tab w:val="right" w:leader="dot" w:pos="9061"/>
        </w:tabs>
        <w:rPr>
          <w:noProof/>
        </w:rPr>
      </w:pPr>
      <w:r w:rsidRPr="000A1327">
        <w:rPr>
          <w:rFonts w:cstheme="minorHAnsi"/>
          <w:i/>
          <w:noProof/>
        </w:rPr>
        <w:t>R v Dobie</w:t>
      </w:r>
      <w:r w:rsidRPr="000A1327">
        <w:rPr>
          <w:rFonts w:cstheme="minorHAnsi"/>
          <w:noProof/>
        </w:rPr>
        <w:t xml:space="preserve"> [2004] 2 Qd R 537</w:t>
      </w:r>
      <w:r>
        <w:rPr>
          <w:noProof/>
        </w:rPr>
        <w:tab/>
        <w:t>133, 134</w:t>
      </w:r>
    </w:p>
    <w:p w14:paraId="65FC0447"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 xml:space="preserve">Doff </w:t>
      </w:r>
      <w:r w:rsidRPr="000A1327">
        <w:rPr>
          <w:rFonts w:cstheme="minorHAnsi"/>
          <w:noProof/>
        </w:rPr>
        <w:t>[2005] NSWCCA 119</w:t>
      </w:r>
      <w:r>
        <w:rPr>
          <w:noProof/>
        </w:rPr>
        <w:tab/>
        <w:t>58, 73</w:t>
      </w:r>
    </w:p>
    <w:p w14:paraId="103CF8C1" w14:textId="77777777" w:rsidR="00D44BCF" w:rsidRDefault="00D44BCF">
      <w:pPr>
        <w:pStyle w:val="TableofAuthorities"/>
        <w:tabs>
          <w:tab w:val="right" w:leader="dot" w:pos="9061"/>
        </w:tabs>
        <w:rPr>
          <w:noProof/>
        </w:rPr>
      </w:pPr>
      <w:r w:rsidRPr="000A1327">
        <w:rPr>
          <w:rFonts w:cstheme="minorHAnsi"/>
          <w:i/>
          <w:noProof/>
        </w:rPr>
        <w:t>R v Donald</w:t>
      </w:r>
      <w:r w:rsidRPr="000A1327">
        <w:rPr>
          <w:rFonts w:cstheme="minorHAnsi"/>
          <w:noProof/>
        </w:rPr>
        <w:t xml:space="preserve"> [2013] NSWCCA 238</w:t>
      </w:r>
      <w:r>
        <w:rPr>
          <w:noProof/>
        </w:rPr>
        <w:tab/>
        <w:t>43</w:t>
      </w:r>
    </w:p>
    <w:p w14:paraId="0E1FB93E" w14:textId="77777777" w:rsidR="00D44BCF" w:rsidRDefault="00D44BCF">
      <w:pPr>
        <w:pStyle w:val="TableofAuthorities"/>
        <w:tabs>
          <w:tab w:val="right" w:leader="dot" w:pos="9061"/>
        </w:tabs>
        <w:rPr>
          <w:noProof/>
        </w:rPr>
      </w:pPr>
      <w:r w:rsidRPr="000A1327">
        <w:rPr>
          <w:rFonts w:cstheme="minorHAnsi"/>
          <w:i/>
          <w:noProof/>
        </w:rPr>
        <w:t>R v Donnelly</w:t>
      </w:r>
      <w:r w:rsidRPr="000A1327">
        <w:rPr>
          <w:rFonts w:cstheme="minorHAnsi"/>
          <w:noProof/>
        </w:rPr>
        <w:t xml:space="preserve"> [1998] 1 VR 645</w:t>
      </w:r>
      <w:r>
        <w:rPr>
          <w:noProof/>
        </w:rPr>
        <w:tab/>
        <w:t>51</w:t>
      </w:r>
    </w:p>
    <w:p w14:paraId="72122AAE" w14:textId="77777777" w:rsidR="00D44BCF" w:rsidRDefault="00D44BCF">
      <w:pPr>
        <w:pStyle w:val="TableofAuthorities"/>
        <w:tabs>
          <w:tab w:val="right" w:leader="dot" w:pos="9061"/>
        </w:tabs>
        <w:rPr>
          <w:noProof/>
        </w:rPr>
      </w:pPr>
      <w:r w:rsidRPr="000A1327">
        <w:rPr>
          <w:rFonts w:cstheme="minorHAnsi"/>
          <w:i/>
          <w:noProof/>
        </w:rPr>
        <w:t>R v DS</w:t>
      </w:r>
      <w:r w:rsidRPr="000A1327">
        <w:rPr>
          <w:rFonts w:cstheme="minorHAnsi"/>
          <w:noProof/>
        </w:rPr>
        <w:t xml:space="preserve"> (2005) 153 A Crim R 194</w:t>
      </w:r>
      <w:r>
        <w:rPr>
          <w:noProof/>
        </w:rPr>
        <w:tab/>
        <w:t>131, 133, 234</w:t>
      </w:r>
    </w:p>
    <w:p w14:paraId="3DFC4707" w14:textId="77777777" w:rsidR="00D44BCF" w:rsidRDefault="00D44BCF">
      <w:pPr>
        <w:pStyle w:val="TableofAuthorities"/>
        <w:tabs>
          <w:tab w:val="right" w:leader="dot" w:pos="9061"/>
        </w:tabs>
        <w:rPr>
          <w:noProof/>
        </w:rPr>
      </w:pPr>
      <w:r w:rsidRPr="000A1327">
        <w:rPr>
          <w:rFonts w:cstheme="minorHAnsi"/>
          <w:i/>
          <w:noProof/>
        </w:rPr>
        <w:t>R v Duffield</w:t>
      </w:r>
      <w:r w:rsidRPr="000A1327">
        <w:rPr>
          <w:rFonts w:cstheme="minorHAnsi"/>
          <w:noProof/>
        </w:rPr>
        <w:t xml:space="preserve"> (1992) 28 NSWLR 638</w:t>
      </w:r>
      <w:r>
        <w:rPr>
          <w:noProof/>
        </w:rPr>
        <w:tab/>
        <w:t>221</w:t>
      </w:r>
    </w:p>
    <w:p w14:paraId="123DAE17" w14:textId="77777777" w:rsidR="00D44BCF" w:rsidRDefault="00D44BCF">
      <w:pPr>
        <w:pStyle w:val="TableofAuthorities"/>
        <w:tabs>
          <w:tab w:val="right" w:leader="dot" w:pos="9061"/>
        </w:tabs>
        <w:rPr>
          <w:noProof/>
        </w:rPr>
      </w:pPr>
      <w:r w:rsidRPr="000A1327">
        <w:rPr>
          <w:rFonts w:cstheme="minorHAnsi"/>
          <w:i/>
          <w:noProof/>
        </w:rPr>
        <w:t>R v Dujeu</w:t>
      </w:r>
      <w:r w:rsidRPr="000A1327">
        <w:rPr>
          <w:rFonts w:cstheme="minorHAnsi"/>
          <w:noProof/>
        </w:rPr>
        <w:t xml:space="preserve"> [2004] NSWCCA 237</w:t>
      </w:r>
      <w:r>
        <w:rPr>
          <w:noProof/>
        </w:rPr>
        <w:tab/>
        <w:t>255</w:t>
      </w:r>
    </w:p>
    <w:p w14:paraId="634C53F6" w14:textId="77777777" w:rsidR="00D44BCF" w:rsidRDefault="00D44BCF">
      <w:pPr>
        <w:pStyle w:val="TableofAuthorities"/>
        <w:tabs>
          <w:tab w:val="right" w:leader="dot" w:pos="9061"/>
        </w:tabs>
        <w:rPr>
          <w:noProof/>
        </w:rPr>
      </w:pPr>
      <w:r w:rsidRPr="000A1327">
        <w:rPr>
          <w:rFonts w:cstheme="minorHAnsi"/>
          <w:i/>
          <w:noProof/>
        </w:rPr>
        <w:t>R v Edwards</w:t>
      </w:r>
      <w:r w:rsidRPr="000A1327">
        <w:rPr>
          <w:rFonts w:cstheme="minorHAnsi"/>
          <w:noProof/>
        </w:rPr>
        <w:t xml:space="preserve"> (1996) 90 A Crim R 510</w:t>
      </w:r>
      <w:r>
        <w:rPr>
          <w:noProof/>
        </w:rPr>
        <w:tab/>
        <w:t>66</w:t>
      </w:r>
    </w:p>
    <w:p w14:paraId="023DF9A2" w14:textId="77777777" w:rsidR="00D44BCF" w:rsidRDefault="00D44BCF">
      <w:pPr>
        <w:pStyle w:val="TableofAuthorities"/>
        <w:tabs>
          <w:tab w:val="right" w:leader="dot" w:pos="9061"/>
        </w:tabs>
        <w:rPr>
          <w:noProof/>
        </w:rPr>
      </w:pPr>
      <w:r w:rsidRPr="000A1327">
        <w:rPr>
          <w:rFonts w:cstheme="minorHAnsi"/>
          <w:i/>
          <w:noProof/>
        </w:rPr>
        <w:t>R v El Hani</w:t>
      </w:r>
      <w:r w:rsidRPr="000A1327">
        <w:rPr>
          <w:rFonts w:cstheme="minorHAnsi"/>
          <w:noProof/>
        </w:rPr>
        <w:t xml:space="preserve"> [2004] NSWCCA 162</w:t>
      </w:r>
      <w:r>
        <w:rPr>
          <w:noProof/>
        </w:rPr>
        <w:tab/>
        <w:t>55</w:t>
      </w:r>
    </w:p>
    <w:p w14:paraId="1E9E7998" w14:textId="77777777" w:rsidR="00D44BCF" w:rsidRDefault="00D44BCF">
      <w:pPr>
        <w:pStyle w:val="TableofAuthorities"/>
        <w:tabs>
          <w:tab w:val="right" w:leader="dot" w:pos="9061"/>
        </w:tabs>
        <w:rPr>
          <w:noProof/>
        </w:rPr>
      </w:pPr>
      <w:r w:rsidRPr="000A1327">
        <w:rPr>
          <w:rFonts w:cstheme="minorHAnsi"/>
          <w:i/>
          <w:noProof/>
        </w:rPr>
        <w:t>R v Elfar</w:t>
      </w:r>
      <w:r w:rsidRPr="000A1327">
        <w:rPr>
          <w:rFonts w:cstheme="minorHAnsi"/>
          <w:noProof/>
        </w:rPr>
        <w:t xml:space="preserve"> [2003] NSWCCA 358</w:t>
      </w:r>
      <w:r>
        <w:rPr>
          <w:noProof/>
        </w:rPr>
        <w:tab/>
        <w:t>28</w:t>
      </w:r>
    </w:p>
    <w:p w14:paraId="40AB8979" w14:textId="77777777" w:rsidR="00D44BCF" w:rsidRDefault="00D44BCF">
      <w:pPr>
        <w:pStyle w:val="TableofAuthorities"/>
        <w:tabs>
          <w:tab w:val="right" w:leader="dot" w:pos="9061"/>
        </w:tabs>
        <w:rPr>
          <w:noProof/>
        </w:rPr>
      </w:pPr>
      <w:r w:rsidRPr="000A1327">
        <w:rPr>
          <w:rFonts w:cstheme="minorHAnsi"/>
          <w:i/>
          <w:noProof/>
        </w:rPr>
        <w:t>R v Ellis</w:t>
      </w:r>
      <w:r w:rsidRPr="000A1327">
        <w:rPr>
          <w:rFonts w:cstheme="minorHAnsi"/>
          <w:noProof/>
        </w:rPr>
        <w:t xml:space="preserve"> [1986] 6 NSWLR 603</w:t>
      </w:r>
      <w:r>
        <w:rPr>
          <w:noProof/>
        </w:rPr>
        <w:tab/>
        <w:t>52</w:t>
      </w:r>
    </w:p>
    <w:p w14:paraId="0FC5BBDB" w14:textId="77777777" w:rsidR="00D44BCF" w:rsidRDefault="00D44BCF">
      <w:pPr>
        <w:pStyle w:val="TableofAuthorities"/>
        <w:tabs>
          <w:tab w:val="right" w:leader="dot" w:pos="9061"/>
        </w:tabs>
        <w:rPr>
          <w:noProof/>
        </w:rPr>
      </w:pPr>
      <w:r w:rsidRPr="000A1327">
        <w:rPr>
          <w:rFonts w:cstheme="minorHAnsi"/>
          <w:i/>
          <w:noProof/>
        </w:rPr>
        <w:t xml:space="preserve">R v Elomar </w:t>
      </w:r>
      <w:r w:rsidRPr="000A1327">
        <w:rPr>
          <w:rFonts w:cstheme="minorHAnsi"/>
          <w:noProof/>
        </w:rPr>
        <w:t>[2010] NSWSC 10</w:t>
      </w:r>
      <w:r>
        <w:rPr>
          <w:noProof/>
        </w:rPr>
        <w:tab/>
        <w:t>58</w:t>
      </w:r>
    </w:p>
    <w:p w14:paraId="2FC46C51" w14:textId="77777777" w:rsidR="00D44BCF" w:rsidRDefault="00D44BCF">
      <w:pPr>
        <w:pStyle w:val="TableofAuthorities"/>
        <w:tabs>
          <w:tab w:val="right" w:leader="dot" w:pos="9061"/>
        </w:tabs>
        <w:rPr>
          <w:noProof/>
        </w:rPr>
      </w:pPr>
      <w:r w:rsidRPr="000A1327">
        <w:rPr>
          <w:rFonts w:cstheme="minorHAnsi"/>
          <w:i/>
          <w:noProof/>
        </w:rPr>
        <w:t>R v Engeln</w:t>
      </w:r>
      <w:r w:rsidRPr="000A1327">
        <w:rPr>
          <w:rFonts w:cstheme="minorHAnsi"/>
          <w:noProof/>
        </w:rPr>
        <w:t xml:space="preserve"> [2014] QCA 313</w:t>
      </w:r>
      <w:r>
        <w:rPr>
          <w:noProof/>
        </w:rPr>
        <w:tab/>
        <w:t>123, 124</w:t>
      </w:r>
    </w:p>
    <w:p w14:paraId="1D7C3C44" w14:textId="77777777" w:rsidR="00D44BCF" w:rsidRDefault="00D44BCF">
      <w:pPr>
        <w:pStyle w:val="TableofAuthorities"/>
        <w:tabs>
          <w:tab w:val="right" w:leader="dot" w:pos="9061"/>
        </w:tabs>
        <w:rPr>
          <w:noProof/>
        </w:rPr>
      </w:pPr>
      <w:r w:rsidRPr="000A1327">
        <w:rPr>
          <w:rFonts w:cstheme="minorHAnsi"/>
          <w:i/>
          <w:noProof/>
        </w:rPr>
        <w:t xml:space="preserve">R v Fabre </w:t>
      </w:r>
      <w:r w:rsidRPr="000A1327">
        <w:rPr>
          <w:rFonts w:cstheme="minorHAnsi"/>
          <w:noProof/>
        </w:rPr>
        <w:t>[2008] QCA 386</w:t>
      </w:r>
      <w:r>
        <w:rPr>
          <w:noProof/>
        </w:rPr>
        <w:tab/>
        <w:t>129</w:t>
      </w:r>
    </w:p>
    <w:p w14:paraId="4220B234" w14:textId="77777777" w:rsidR="00D44BCF" w:rsidRDefault="00D44BCF">
      <w:pPr>
        <w:pStyle w:val="TableofAuthorities"/>
        <w:tabs>
          <w:tab w:val="right" w:leader="dot" w:pos="9061"/>
        </w:tabs>
        <w:rPr>
          <w:noProof/>
        </w:rPr>
      </w:pPr>
      <w:r w:rsidRPr="000A1327">
        <w:rPr>
          <w:rFonts w:cstheme="minorHAnsi"/>
          <w:i/>
          <w:noProof/>
        </w:rPr>
        <w:t>R v Falconi</w:t>
      </w:r>
      <w:r w:rsidRPr="000A1327">
        <w:rPr>
          <w:rFonts w:cstheme="minorHAnsi"/>
          <w:noProof/>
        </w:rPr>
        <w:t xml:space="preserve"> [2014] QCA 230</w:t>
      </w:r>
      <w:r>
        <w:rPr>
          <w:noProof/>
        </w:rPr>
        <w:tab/>
        <w:t>139</w:t>
      </w:r>
    </w:p>
    <w:p w14:paraId="7B6142E3" w14:textId="77777777" w:rsidR="00D44BCF" w:rsidRDefault="00D44BCF">
      <w:pPr>
        <w:pStyle w:val="TableofAuthorities"/>
        <w:tabs>
          <w:tab w:val="right" w:leader="dot" w:pos="9061"/>
        </w:tabs>
        <w:rPr>
          <w:noProof/>
        </w:rPr>
      </w:pPr>
      <w:r w:rsidRPr="000A1327">
        <w:rPr>
          <w:rFonts w:cstheme="minorHAnsi"/>
          <w:i/>
          <w:noProof/>
        </w:rPr>
        <w:t xml:space="preserve">R </w:t>
      </w:r>
      <w:r w:rsidRPr="000A1327">
        <w:rPr>
          <w:rFonts w:cstheme="minorHAnsi"/>
          <w:noProof/>
        </w:rPr>
        <w:t xml:space="preserve">v </w:t>
      </w:r>
      <w:r w:rsidRPr="000A1327">
        <w:rPr>
          <w:rFonts w:cstheme="minorHAnsi"/>
          <w:i/>
          <w:noProof/>
        </w:rPr>
        <w:t>Fattal</w:t>
      </w:r>
      <w:r w:rsidRPr="000A1327">
        <w:rPr>
          <w:rFonts w:cstheme="minorHAnsi"/>
          <w:noProof/>
        </w:rPr>
        <w:t xml:space="preserve"> [2011] VSC 681</w:t>
      </w:r>
      <w:r>
        <w:rPr>
          <w:noProof/>
        </w:rPr>
        <w:tab/>
        <w:t>58</w:t>
      </w:r>
    </w:p>
    <w:p w14:paraId="5D50020A" w14:textId="77777777" w:rsidR="00D44BCF" w:rsidRDefault="00D44BCF">
      <w:pPr>
        <w:pStyle w:val="TableofAuthorities"/>
        <w:tabs>
          <w:tab w:val="right" w:leader="dot" w:pos="9061"/>
        </w:tabs>
        <w:rPr>
          <w:noProof/>
        </w:rPr>
      </w:pPr>
      <w:r w:rsidRPr="000A1327">
        <w:rPr>
          <w:rFonts w:cstheme="minorHAnsi"/>
          <w:i/>
          <w:noProof/>
        </w:rPr>
        <w:t>R v Fincham</w:t>
      </w:r>
      <w:r w:rsidRPr="000A1327">
        <w:rPr>
          <w:rFonts w:cstheme="minorHAnsi"/>
          <w:noProof/>
        </w:rPr>
        <w:t xml:space="preserve"> [2008] VSCA 186</w:t>
      </w:r>
      <w:r>
        <w:rPr>
          <w:noProof/>
        </w:rPr>
        <w:tab/>
        <w:t>88</w:t>
      </w:r>
    </w:p>
    <w:p w14:paraId="616B11F9" w14:textId="77777777" w:rsidR="00D44BCF" w:rsidRDefault="00D44BCF">
      <w:pPr>
        <w:pStyle w:val="TableofAuthorities"/>
        <w:tabs>
          <w:tab w:val="right" w:leader="dot" w:pos="9061"/>
        </w:tabs>
        <w:rPr>
          <w:noProof/>
        </w:rPr>
      </w:pPr>
      <w:r w:rsidRPr="000A1327">
        <w:rPr>
          <w:rFonts w:cstheme="minorHAnsi"/>
          <w:i/>
          <w:noProof/>
        </w:rPr>
        <w:t>R v Flentjar</w:t>
      </w:r>
      <w:r w:rsidRPr="000A1327">
        <w:rPr>
          <w:rFonts w:cstheme="minorHAnsi"/>
          <w:noProof/>
        </w:rPr>
        <w:t xml:space="preserve"> [2013] SASCFC 11</w:t>
      </w:r>
      <w:r>
        <w:rPr>
          <w:noProof/>
        </w:rPr>
        <w:tab/>
        <w:t>64</w:t>
      </w:r>
    </w:p>
    <w:p w14:paraId="639D5D37" w14:textId="77777777" w:rsidR="00D44BCF" w:rsidRDefault="00D44BCF">
      <w:pPr>
        <w:pStyle w:val="TableofAuthorities"/>
        <w:tabs>
          <w:tab w:val="right" w:leader="dot" w:pos="9061"/>
        </w:tabs>
        <w:rPr>
          <w:noProof/>
        </w:rPr>
      </w:pPr>
      <w:r w:rsidRPr="000A1327">
        <w:rPr>
          <w:rFonts w:cstheme="minorHAnsi"/>
          <w:i/>
          <w:noProof/>
        </w:rPr>
        <w:t>R v Foster</w:t>
      </w:r>
      <w:r w:rsidRPr="000A1327">
        <w:rPr>
          <w:rFonts w:cstheme="minorHAnsi"/>
          <w:noProof/>
        </w:rPr>
        <w:t xml:space="preserve"> [2009] 1 Qd R 53</w:t>
      </w:r>
      <w:r>
        <w:rPr>
          <w:noProof/>
        </w:rPr>
        <w:tab/>
        <w:t>181</w:t>
      </w:r>
    </w:p>
    <w:p w14:paraId="270DE611" w14:textId="77777777" w:rsidR="00D44BCF" w:rsidRDefault="00D44BCF">
      <w:pPr>
        <w:pStyle w:val="TableofAuthorities"/>
        <w:tabs>
          <w:tab w:val="right" w:leader="dot" w:pos="9061"/>
        </w:tabs>
        <w:rPr>
          <w:noProof/>
        </w:rPr>
      </w:pPr>
      <w:r w:rsidRPr="000A1327">
        <w:rPr>
          <w:rFonts w:cstheme="minorHAnsi"/>
          <w:i/>
          <w:noProof/>
        </w:rPr>
        <w:t>R v Franceschini</w:t>
      </w:r>
      <w:r w:rsidRPr="000A1327">
        <w:rPr>
          <w:rFonts w:cstheme="minorHAnsi"/>
          <w:iCs/>
          <w:noProof/>
        </w:rPr>
        <w:t xml:space="preserve"> (2015) 123 SASR 396</w:t>
      </w:r>
      <w:r>
        <w:rPr>
          <w:noProof/>
        </w:rPr>
        <w:tab/>
        <w:t>127</w:t>
      </w:r>
    </w:p>
    <w:p w14:paraId="5B3FE0E8" w14:textId="77777777" w:rsidR="00D44BCF" w:rsidRDefault="00D44BCF">
      <w:pPr>
        <w:pStyle w:val="TableofAuthorities"/>
        <w:tabs>
          <w:tab w:val="right" w:leader="dot" w:pos="9061"/>
        </w:tabs>
        <w:rPr>
          <w:noProof/>
        </w:rPr>
      </w:pPr>
      <w:r w:rsidRPr="000A1327">
        <w:rPr>
          <w:rFonts w:cstheme="minorHAnsi"/>
          <w:i/>
          <w:noProof/>
        </w:rPr>
        <w:t>R v Fraser</w:t>
      </w:r>
      <w:r w:rsidRPr="000A1327">
        <w:rPr>
          <w:rFonts w:cstheme="minorHAnsi"/>
          <w:noProof/>
        </w:rPr>
        <w:t xml:space="preserve"> [2004] VSCA 147</w:t>
      </w:r>
      <w:r>
        <w:rPr>
          <w:noProof/>
        </w:rPr>
        <w:tab/>
        <w:t>59</w:t>
      </w:r>
    </w:p>
    <w:p w14:paraId="3CA4101B" w14:textId="77777777" w:rsidR="00D44BCF" w:rsidRDefault="00D44BCF">
      <w:pPr>
        <w:pStyle w:val="TableofAuthorities"/>
        <w:tabs>
          <w:tab w:val="right" w:leader="dot" w:pos="9061"/>
        </w:tabs>
        <w:rPr>
          <w:noProof/>
        </w:rPr>
      </w:pPr>
      <w:r w:rsidRPr="000A1327">
        <w:rPr>
          <w:rFonts w:cstheme="minorHAnsi"/>
          <w:i/>
          <w:iCs/>
          <w:noProof/>
        </w:rPr>
        <w:t>R v Freeman</w:t>
      </w:r>
      <w:r w:rsidRPr="000A1327">
        <w:rPr>
          <w:rFonts w:cstheme="minorHAnsi"/>
          <w:iCs/>
          <w:noProof/>
        </w:rPr>
        <w:t xml:space="preserve"> [2001] VSCA 37</w:t>
      </w:r>
      <w:r>
        <w:rPr>
          <w:noProof/>
        </w:rPr>
        <w:tab/>
        <w:t>54</w:t>
      </w:r>
    </w:p>
    <w:p w14:paraId="7D0A9DE4" w14:textId="77777777" w:rsidR="00D44BCF" w:rsidRDefault="00D44BCF">
      <w:pPr>
        <w:pStyle w:val="TableofAuthorities"/>
        <w:tabs>
          <w:tab w:val="right" w:leader="dot" w:pos="9061"/>
        </w:tabs>
        <w:rPr>
          <w:noProof/>
        </w:rPr>
      </w:pPr>
      <w:r w:rsidRPr="000A1327">
        <w:rPr>
          <w:rFonts w:cstheme="minorHAnsi"/>
          <w:i/>
          <w:noProof/>
        </w:rPr>
        <w:t>R v Fulop</w:t>
      </w:r>
      <w:r w:rsidRPr="000A1327">
        <w:rPr>
          <w:rFonts w:cstheme="minorHAnsi"/>
          <w:noProof/>
        </w:rPr>
        <w:t xml:space="preserve"> [2009] VSCA 296</w:t>
      </w:r>
      <w:r>
        <w:rPr>
          <w:noProof/>
        </w:rPr>
        <w:tab/>
        <w:t>150, 152, 157</w:t>
      </w:r>
    </w:p>
    <w:p w14:paraId="1B583BFA" w14:textId="77777777" w:rsidR="00D44BCF" w:rsidRDefault="00D44BCF">
      <w:pPr>
        <w:pStyle w:val="TableofAuthorities"/>
        <w:tabs>
          <w:tab w:val="right" w:leader="dot" w:pos="9061"/>
        </w:tabs>
        <w:rPr>
          <w:noProof/>
        </w:rPr>
      </w:pPr>
      <w:r w:rsidRPr="000A1327">
        <w:rPr>
          <w:rFonts w:cstheme="minorHAnsi"/>
          <w:i/>
          <w:noProof/>
        </w:rPr>
        <w:t>R v G</w:t>
      </w:r>
      <w:r w:rsidRPr="000A1327">
        <w:rPr>
          <w:rFonts w:cstheme="minorHAnsi"/>
          <w:iCs/>
          <w:noProof/>
        </w:rPr>
        <w:t xml:space="preserve"> [2019] SASCFC 71</w:t>
      </w:r>
      <w:r>
        <w:rPr>
          <w:noProof/>
        </w:rPr>
        <w:tab/>
        <w:t>228</w:t>
      </w:r>
    </w:p>
    <w:p w14:paraId="23019AF2" w14:textId="77777777" w:rsidR="00D44BCF" w:rsidRDefault="00D44BCF">
      <w:pPr>
        <w:pStyle w:val="TableofAuthorities"/>
        <w:tabs>
          <w:tab w:val="right" w:leader="dot" w:pos="9061"/>
        </w:tabs>
        <w:rPr>
          <w:noProof/>
        </w:rPr>
      </w:pPr>
      <w:r w:rsidRPr="000A1327">
        <w:rPr>
          <w:rFonts w:cstheme="minorHAnsi"/>
          <w:i/>
          <w:noProof/>
        </w:rPr>
        <w:t>R v Gajjar</w:t>
      </w:r>
      <w:r w:rsidRPr="000A1327">
        <w:rPr>
          <w:rFonts w:cstheme="minorHAnsi"/>
          <w:noProof/>
        </w:rPr>
        <w:t xml:space="preserve"> [2008] VSCA 268</w:t>
      </w:r>
      <w:r>
        <w:rPr>
          <w:noProof/>
        </w:rPr>
        <w:tab/>
        <w:t>60</w:t>
      </w:r>
    </w:p>
    <w:p w14:paraId="0FA20770" w14:textId="77777777" w:rsidR="00D44BCF" w:rsidRDefault="00D44BCF">
      <w:pPr>
        <w:pStyle w:val="TableofAuthorities"/>
        <w:tabs>
          <w:tab w:val="right" w:leader="dot" w:pos="9061"/>
        </w:tabs>
        <w:rPr>
          <w:noProof/>
        </w:rPr>
      </w:pPr>
      <w:r w:rsidRPr="000A1327">
        <w:rPr>
          <w:rFonts w:cstheme="minorHAnsi"/>
          <w:i/>
          <w:noProof/>
        </w:rPr>
        <w:t>R v Galgey</w:t>
      </w:r>
      <w:r w:rsidRPr="000A1327">
        <w:rPr>
          <w:rFonts w:cstheme="minorHAnsi"/>
          <w:noProof/>
        </w:rPr>
        <w:t xml:space="preserve"> [2010] SASC 134</w:t>
      </w:r>
      <w:r>
        <w:rPr>
          <w:noProof/>
        </w:rPr>
        <w:tab/>
        <w:t>130</w:t>
      </w:r>
    </w:p>
    <w:p w14:paraId="56041F24" w14:textId="77777777" w:rsidR="00D44BCF" w:rsidRDefault="00D44BCF">
      <w:pPr>
        <w:pStyle w:val="TableofAuthorities"/>
        <w:tabs>
          <w:tab w:val="right" w:leader="dot" w:pos="9061"/>
        </w:tabs>
        <w:rPr>
          <w:noProof/>
        </w:rPr>
      </w:pPr>
      <w:r w:rsidRPr="000A1327">
        <w:rPr>
          <w:rFonts w:cstheme="minorHAnsi"/>
          <w:i/>
          <w:noProof/>
        </w:rPr>
        <w:t>R v Gallagher</w:t>
      </w:r>
      <w:r w:rsidRPr="000A1327">
        <w:rPr>
          <w:rFonts w:cstheme="minorHAnsi"/>
          <w:noProof/>
        </w:rPr>
        <w:t xml:space="preserve"> (1991) 23 NSWLR 220</w:t>
      </w:r>
      <w:r>
        <w:rPr>
          <w:noProof/>
        </w:rPr>
        <w:tab/>
        <w:t>54, 55</w:t>
      </w:r>
    </w:p>
    <w:p w14:paraId="772B7E8B" w14:textId="77777777" w:rsidR="00D44BCF" w:rsidRDefault="00D44BCF">
      <w:pPr>
        <w:pStyle w:val="TableofAuthorities"/>
        <w:tabs>
          <w:tab w:val="right" w:leader="dot" w:pos="9061"/>
        </w:tabs>
        <w:rPr>
          <w:noProof/>
        </w:rPr>
      </w:pPr>
      <w:r w:rsidRPr="000A1327">
        <w:rPr>
          <w:rFonts w:cstheme="minorHAnsi"/>
          <w:i/>
          <w:noProof/>
        </w:rPr>
        <w:t>R v</w:t>
      </w:r>
      <w:r w:rsidRPr="000A1327">
        <w:rPr>
          <w:rFonts w:cstheme="minorHAnsi"/>
          <w:noProof/>
        </w:rPr>
        <w:t xml:space="preserve"> </w:t>
      </w:r>
      <w:r w:rsidRPr="000A1327">
        <w:rPr>
          <w:rFonts w:cstheme="minorHAnsi"/>
          <w:i/>
          <w:noProof/>
        </w:rPr>
        <w:t>Gangelhoff</w:t>
      </w:r>
      <w:r w:rsidRPr="000A1327">
        <w:rPr>
          <w:rFonts w:cstheme="minorHAnsi"/>
          <w:noProof/>
        </w:rPr>
        <w:t xml:space="preserve"> [1998] VSCA 20</w:t>
      </w:r>
      <w:r>
        <w:rPr>
          <w:noProof/>
        </w:rPr>
        <w:tab/>
        <w:t>198</w:t>
      </w:r>
    </w:p>
    <w:p w14:paraId="5AA28BDC" w14:textId="77777777" w:rsidR="00D44BCF" w:rsidRDefault="00D44BCF">
      <w:pPr>
        <w:pStyle w:val="TableofAuthorities"/>
        <w:tabs>
          <w:tab w:val="right" w:leader="dot" w:pos="9061"/>
        </w:tabs>
        <w:rPr>
          <w:noProof/>
        </w:rPr>
      </w:pPr>
      <w:r w:rsidRPr="000A1327">
        <w:rPr>
          <w:rFonts w:cstheme="minorHAnsi"/>
          <w:i/>
          <w:noProof/>
        </w:rPr>
        <w:t xml:space="preserve">R v Gee </w:t>
      </w:r>
      <w:r w:rsidRPr="000A1327">
        <w:rPr>
          <w:rFonts w:cstheme="minorHAnsi"/>
          <w:noProof/>
        </w:rPr>
        <w:t>(2003) 212 CLR 230</w:t>
      </w:r>
      <w:r>
        <w:rPr>
          <w:noProof/>
        </w:rPr>
        <w:tab/>
        <w:t>6, 7, 13, 15, 194</w:t>
      </w:r>
    </w:p>
    <w:p w14:paraId="28DC7062" w14:textId="77777777" w:rsidR="00D44BCF" w:rsidRDefault="00D44BCF">
      <w:pPr>
        <w:pStyle w:val="TableofAuthorities"/>
        <w:tabs>
          <w:tab w:val="right" w:leader="dot" w:pos="9061"/>
        </w:tabs>
        <w:rPr>
          <w:noProof/>
        </w:rPr>
      </w:pPr>
      <w:r w:rsidRPr="000A1327">
        <w:rPr>
          <w:rFonts w:cstheme="minorHAnsi"/>
          <w:i/>
          <w:noProof/>
        </w:rPr>
        <w:t>R v Gent</w:t>
      </w:r>
      <w:r w:rsidRPr="000A1327">
        <w:rPr>
          <w:rFonts w:cstheme="minorHAnsi"/>
          <w:noProof/>
        </w:rPr>
        <w:t xml:space="preserve"> [2005] NSWCCA 370</w:t>
      </w:r>
      <w:r>
        <w:rPr>
          <w:noProof/>
        </w:rPr>
        <w:tab/>
        <w:t>60</w:t>
      </w:r>
    </w:p>
    <w:p w14:paraId="2BD023F0" w14:textId="77777777" w:rsidR="00D44BCF" w:rsidRDefault="00D44BCF">
      <w:pPr>
        <w:pStyle w:val="TableofAuthorities"/>
        <w:tabs>
          <w:tab w:val="right" w:leader="dot" w:pos="9061"/>
        </w:tabs>
        <w:rPr>
          <w:noProof/>
        </w:rPr>
      </w:pPr>
      <w:r w:rsidRPr="000A1327">
        <w:rPr>
          <w:rFonts w:cstheme="minorHAnsi"/>
          <w:bCs/>
          <w:i/>
          <w:noProof/>
        </w:rPr>
        <w:t>R v Gillick</w:t>
      </w:r>
      <w:r w:rsidRPr="000A1327">
        <w:rPr>
          <w:rFonts w:cstheme="minorHAnsi"/>
          <w:bCs/>
          <w:noProof/>
        </w:rPr>
        <w:t xml:space="preserve"> [2001] VSCA 201</w:t>
      </w:r>
      <w:r>
        <w:rPr>
          <w:noProof/>
        </w:rPr>
        <w:tab/>
        <w:t>49</w:t>
      </w:r>
    </w:p>
    <w:p w14:paraId="6AFF7AD6" w14:textId="77777777" w:rsidR="00D44BCF" w:rsidRDefault="00D44BCF">
      <w:pPr>
        <w:pStyle w:val="TableofAuthorities"/>
        <w:tabs>
          <w:tab w:val="right" w:leader="dot" w:pos="9061"/>
        </w:tabs>
        <w:rPr>
          <w:noProof/>
        </w:rPr>
      </w:pPr>
      <w:r w:rsidRPr="000A1327">
        <w:rPr>
          <w:rFonts w:cstheme="minorHAnsi"/>
          <w:i/>
          <w:noProof/>
        </w:rPr>
        <w:t>R v Gladkowski</w:t>
      </w:r>
      <w:r w:rsidRPr="000A1327">
        <w:rPr>
          <w:rFonts w:cstheme="minorHAnsi"/>
          <w:noProof/>
        </w:rPr>
        <w:t xml:space="preserve"> [2000] QCA 352</w:t>
      </w:r>
      <w:r>
        <w:rPr>
          <w:noProof/>
        </w:rPr>
        <w:tab/>
        <w:t>53, 55</w:t>
      </w:r>
    </w:p>
    <w:p w14:paraId="66185CF9" w14:textId="77777777" w:rsidR="00D44BCF" w:rsidRDefault="00D44BCF">
      <w:pPr>
        <w:pStyle w:val="TableofAuthorities"/>
        <w:tabs>
          <w:tab w:val="right" w:leader="dot" w:pos="9061"/>
        </w:tabs>
        <w:rPr>
          <w:noProof/>
        </w:rPr>
      </w:pPr>
      <w:r w:rsidRPr="000A1327">
        <w:rPr>
          <w:rFonts w:cstheme="minorHAnsi"/>
          <w:i/>
          <w:noProof/>
        </w:rPr>
        <w:t>R v Glynatsis</w:t>
      </w:r>
      <w:r w:rsidRPr="000A1327">
        <w:rPr>
          <w:rFonts w:cstheme="minorHAnsi"/>
          <w:noProof/>
        </w:rPr>
        <w:t xml:space="preserve"> [2013] NSWCCA 131</w:t>
      </w:r>
      <w:r>
        <w:rPr>
          <w:noProof/>
        </w:rPr>
        <w:tab/>
        <w:t>43, 58</w:t>
      </w:r>
    </w:p>
    <w:p w14:paraId="4FB3B8C3" w14:textId="77777777" w:rsidR="00D44BCF" w:rsidRDefault="00D44BCF">
      <w:pPr>
        <w:pStyle w:val="TableofAuthorities"/>
        <w:tabs>
          <w:tab w:val="right" w:leader="dot" w:pos="9061"/>
        </w:tabs>
        <w:rPr>
          <w:noProof/>
        </w:rPr>
      </w:pPr>
      <w:r w:rsidRPr="000A1327">
        <w:rPr>
          <w:rFonts w:cstheme="minorHAnsi"/>
          <w:i/>
          <w:iCs/>
          <w:noProof/>
        </w:rPr>
        <w:t>R v Golding</w:t>
      </w:r>
      <w:r w:rsidRPr="000A1327">
        <w:rPr>
          <w:rFonts w:cstheme="minorHAnsi"/>
          <w:noProof/>
        </w:rPr>
        <w:t xml:space="preserve"> (1980) 24 SASR 161</w:t>
      </w:r>
      <w:r>
        <w:rPr>
          <w:noProof/>
        </w:rPr>
        <w:tab/>
        <w:t>54</w:t>
      </w:r>
    </w:p>
    <w:p w14:paraId="3CC3F7CB" w14:textId="77777777" w:rsidR="00D44BCF" w:rsidRDefault="00D44BCF">
      <w:pPr>
        <w:pStyle w:val="TableofAuthorities"/>
        <w:tabs>
          <w:tab w:val="right" w:leader="dot" w:pos="9061"/>
        </w:tabs>
        <w:rPr>
          <w:noProof/>
        </w:rPr>
      </w:pPr>
      <w:r w:rsidRPr="000A1327">
        <w:rPr>
          <w:rFonts w:cstheme="minorHAnsi"/>
          <w:i/>
          <w:noProof/>
        </w:rPr>
        <w:t>R v Goodfellow</w:t>
      </w:r>
      <w:r w:rsidRPr="000A1327">
        <w:rPr>
          <w:rFonts w:cstheme="minorHAnsi"/>
          <w:noProof/>
        </w:rPr>
        <w:t xml:space="preserve"> (1994) 33 NSWLR 308</w:t>
      </w:r>
      <w:r>
        <w:rPr>
          <w:noProof/>
        </w:rPr>
        <w:tab/>
        <w:t>228</w:t>
      </w:r>
    </w:p>
    <w:p w14:paraId="4505F040" w14:textId="77777777" w:rsidR="00D44BCF" w:rsidRDefault="00D44BCF">
      <w:pPr>
        <w:pStyle w:val="TableofAuthorities"/>
        <w:tabs>
          <w:tab w:val="right" w:leader="dot" w:pos="9061"/>
        </w:tabs>
        <w:rPr>
          <w:noProof/>
        </w:rPr>
      </w:pPr>
      <w:r w:rsidRPr="000A1327">
        <w:rPr>
          <w:rFonts w:cstheme="minorHAnsi"/>
          <w:i/>
          <w:noProof/>
        </w:rPr>
        <w:t>R v Goodwin; ex parte Attorney-General (Qld)</w:t>
      </w:r>
      <w:r w:rsidRPr="000A1327">
        <w:rPr>
          <w:rFonts w:cstheme="minorHAnsi"/>
          <w:noProof/>
        </w:rPr>
        <w:t xml:space="preserve"> [2014] QCA 345</w:t>
      </w:r>
      <w:r>
        <w:rPr>
          <w:noProof/>
        </w:rPr>
        <w:tab/>
        <w:t>190</w:t>
      </w:r>
    </w:p>
    <w:p w14:paraId="0FDEA85C" w14:textId="77777777" w:rsidR="00D44BCF" w:rsidRDefault="00D44BCF">
      <w:pPr>
        <w:pStyle w:val="TableofAuthorities"/>
        <w:tabs>
          <w:tab w:val="right" w:leader="dot" w:pos="9061"/>
        </w:tabs>
        <w:rPr>
          <w:noProof/>
        </w:rPr>
      </w:pPr>
      <w:r w:rsidRPr="000A1327">
        <w:rPr>
          <w:rFonts w:cstheme="minorHAnsi"/>
          <w:i/>
          <w:noProof/>
        </w:rPr>
        <w:t>R v Gordon</w:t>
      </w:r>
      <w:r w:rsidRPr="000A1327">
        <w:rPr>
          <w:rFonts w:cstheme="minorHAnsi"/>
          <w:noProof/>
        </w:rPr>
        <w:t xml:space="preserve"> (1994) 71 A Crim R 459</w:t>
      </w:r>
      <w:r>
        <w:rPr>
          <w:noProof/>
        </w:rPr>
        <w:tab/>
        <w:t>41</w:t>
      </w:r>
    </w:p>
    <w:p w14:paraId="6BED947B" w14:textId="77777777" w:rsidR="00D44BCF" w:rsidRDefault="00D44BCF">
      <w:pPr>
        <w:pStyle w:val="TableofAuthorities"/>
        <w:tabs>
          <w:tab w:val="right" w:leader="dot" w:pos="9061"/>
        </w:tabs>
        <w:rPr>
          <w:noProof/>
        </w:rPr>
      </w:pPr>
      <w:r w:rsidRPr="000A1327">
        <w:rPr>
          <w:rFonts w:cstheme="minorHAnsi"/>
          <w:i/>
          <w:noProof/>
        </w:rPr>
        <w:t>R v Gray</w:t>
      </w:r>
      <w:r w:rsidRPr="000A1327">
        <w:rPr>
          <w:rFonts w:cstheme="minorHAnsi"/>
          <w:noProof/>
        </w:rPr>
        <w:t xml:space="preserve"> [1977] VR 225</w:t>
      </w:r>
      <w:r>
        <w:rPr>
          <w:noProof/>
        </w:rPr>
        <w:tab/>
        <w:t>74</w:t>
      </w:r>
    </w:p>
    <w:p w14:paraId="14662254" w14:textId="77777777" w:rsidR="00D44BCF" w:rsidRDefault="00D44BCF">
      <w:pPr>
        <w:pStyle w:val="TableofAuthorities"/>
        <w:tabs>
          <w:tab w:val="right" w:leader="dot" w:pos="9061"/>
        </w:tabs>
        <w:rPr>
          <w:noProof/>
        </w:rPr>
      </w:pPr>
      <w:r w:rsidRPr="000A1327">
        <w:rPr>
          <w:rFonts w:cstheme="minorHAnsi"/>
          <w:i/>
          <w:noProof/>
        </w:rPr>
        <w:t>R v Guiu</w:t>
      </w:r>
      <w:r w:rsidRPr="000A1327">
        <w:rPr>
          <w:rFonts w:cstheme="minorHAnsi"/>
          <w:noProof/>
        </w:rPr>
        <w:t xml:space="preserve"> (2002) 129 A Crim R 387</w:t>
      </w:r>
      <w:r>
        <w:rPr>
          <w:noProof/>
        </w:rPr>
        <w:tab/>
        <w:t>27</w:t>
      </w:r>
    </w:p>
    <w:p w14:paraId="2D3FBCDE" w14:textId="77777777" w:rsidR="00D44BCF" w:rsidRDefault="00D44BCF">
      <w:pPr>
        <w:pStyle w:val="TableofAuthorities"/>
        <w:tabs>
          <w:tab w:val="right" w:leader="dot" w:pos="9061"/>
        </w:tabs>
        <w:rPr>
          <w:noProof/>
        </w:rPr>
      </w:pPr>
      <w:r w:rsidRPr="000A1327">
        <w:rPr>
          <w:rFonts w:cstheme="minorHAnsi"/>
          <w:i/>
          <w:noProof/>
        </w:rPr>
        <w:t>R v Harkin</w:t>
      </w:r>
      <w:r w:rsidRPr="000A1327">
        <w:rPr>
          <w:rFonts w:cstheme="minorHAnsi"/>
          <w:noProof/>
        </w:rPr>
        <w:t xml:space="preserve"> (2011) 109 SASR 334</w:t>
      </w:r>
      <w:r>
        <w:rPr>
          <w:noProof/>
        </w:rPr>
        <w:tab/>
        <w:t>89</w:t>
      </w:r>
    </w:p>
    <w:p w14:paraId="013D6E03" w14:textId="77777777" w:rsidR="00D44BCF" w:rsidRDefault="00D44BCF">
      <w:pPr>
        <w:pStyle w:val="TableofAuthorities"/>
        <w:tabs>
          <w:tab w:val="right" w:leader="dot" w:pos="9061"/>
        </w:tabs>
        <w:rPr>
          <w:noProof/>
        </w:rPr>
      </w:pPr>
      <w:r w:rsidRPr="000A1327">
        <w:rPr>
          <w:rFonts w:cstheme="minorHAnsi"/>
          <w:i/>
          <w:noProof/>
        </w:rPr>
        <w:t>R v Harrington</w:t>
      </w:r>
      <w:r w:rsidRPr="000A1327">
        <w:rPr>
          <w:rFonts w:cstheme="minorHAnsi"/>
          <w:noProof/>
        </w:rPr>
        <w:t xml:space="preserve"> (2016) 11 ACTLR 215</w:t>
      </w:r>
      <w:r>
        <w:rPr>
          <w:noProof/>
        </w:rPr>
        <w:tab/>
        <w:t>50</w:t>
      </w:r>
    </w:p>
    <w:p w14:paraId="2CB22901" w14:textId="77777777" w:rsidR="00D44BCF" w:rsidRDefault="00D44BCF">
      <w:pPr>
        <w:pStyle w:val="TableofAuthorities"/>
        <w:tabs>
          <w:tab w:val="right" w:leader="dot" w:pos="9061"/>
        </w:tabs>
        <w:rPr>
          <w:noProof/>
        </w:rPr>
      </w:pPr>
      <w:r w:rsidRPr="000A1327">
        <w:rPr>
          <w:rFonts w:cstheme="minorHAnsi"/>
          <w:i/>
          <w:noProof/>
        </w:rPr>
        <w:t>R v Hart</w:t>
      </w:r>
      <w:r w:rsidRPr="000A1327">
        <w:rPr>
          <w:rFonts w:cstheme="minorHAnsi"/>
          <w:noProof/>
        </w:rPr>
        <w:t xml:space="preserve"> [1999] NSWCCA 204</w:t>
      </w:r>
      <w:r>
        <w:rPr>
          <w:noProof/>
        </w:rPr>
        <w:tab/>
        <w:t>62</w:t>
      </w:r>
    </w:p>
    <w:p w14:paraId="49DBE2E1" w14:textId="77777777" w:rsidR="00D44BCF" w:rsidRDefault="00D44BCF">
      <w:pPr>
        <w:pStyle w:val="TableofAuthorities"/>
        <w:tabs>
          <w:tab w:val="right" w:leader="dot" w:pos="9061"/>
        </w:tabs>
        <w:rPr>
          <w:noProof/>
        </w:rPr>
      </w:pPr>
      <w:r w:rsidRPr="000A1327">
        <w:rPr>
          <w:rFonts w:cstheme="minorHAnsi"/>
          <w:i/>
          <w:noProof/>
        </w:rPr>
        <w:t>R v Hermann</w:t>
      </w:r>
      <w:r w:rsidRPr="000A1327">
        <w:rPr>
          <w:rFonts w:cstheme="minorHAnsi"/>
          <w:noProof/>
        </w:rPr>
        <w:t xml:space="preserve"> (1988) 37 A Crim R 440</w:t>
      </w:r>
      <w:r>
        <w:rPr>
          <w:noProof/>
        </w:rPr>
        <w:tab/>
        <w:t>60</w:t>
      </w:r>
    </w:p>
    <w:p w14:paraId="139BBD13" w14:textId="77777777" w:rsidR="00D44BCF" w:rsidRDefault="00D44BCF">
      <w:pPr>
        <w:pStyle w:val="TableofAuthorities"/>
        <w:tabs>
          <w:tab w:val="right" w:leader="dot" w:pos="9061"/>
        </w:tabs>
        <w:rPr>
          <w:noProof/>
        </w:rPr>
      </w:pPr>
      <w:r w:rsidRPr="000A1327">
        <w:rPr>
          <w:rFonts w:cstheme="minorHAnsi"/>
          <w:i/>
          <w:noProof/>
        </w:rPr>
        <w:t>R v Hill; ex parte DPP (Cth)</w:t>
      </w:r>
      <w:r w:rsidRPr="000A1327">
        <w:rPr>
          <w:rFonts w:cstheme="minorHAnsi"/>
          <w:noProof/>
        </w:rPr>
        <w:t xml:space="preserve"> [2011] QCA 306</w:t>
      </w:r>
      <w:r>
        <w:rPr>
          <w:noProof/>
        </w:rPr>
        <w:tab/>
        <w:t>127, 129, 130</w:t>
      </w:r>
    </w:p>
    <w:p w14:paraId="58B15047" w14:textId="77777777" w:rsidR="00D44BCF" w:rsidRDefault="00D44BCF">
      <w:pPr>
        <w:pStyle w:val="TableofAuthorities"/>
        <w:tabs>
          <w:tab w:val="right" w:leader="dot" w:pos="9061"/>
        </w:tabs>
        <w:rPr>
          <w:noProof/>
        </w:rPr>
      </w:pPr>
      <w:r w:rsidRPr="000A1327">
        <w:rPr>
          <w:rFonts w:cstheme="minorHAnsi"/>
          <w:i/>
          <w:noProof/>
        </w:rPr>
        <w:t>R v Hinton</w:t>
      </w:r>
      <w:r w:rsidRPr="000A1327">
        <w:rPr>
          <w:rFonts w:cstheme="minorHAnsi"/>
          <w:noProof/>
        </w:rPr>
        <w:t xml:space="preserve"> [2002] NSWCCA 405</w:t>
      </w:r>
      <w:r>
        <w:rPr>
          <w:noProof/>
        </w:rPr>
        <w:tab/>
        <w:t>67</w:t>
      </w:r>
    </w:p>
    <w:p w14:paraId="25618D7C" w14:textId="77777777" w:rsidR="00D44BCF" w:rsidRDefault="00D44BCF">
      <w:pPr>
        <w:pStyle w:val="TableofAuthorities"/>
        <w:tabs>
          <w:tab w:val="right" w:leader="dot" w:pos="9061"/>
        </w:tabs>
        <w:rPr>
          <w:noProof/>
        </w:rPr>
      </w:pPr>
      <w:r w:rsidRPr="000A1327">
        <w:rPr>
          <w:rFonts w:cstheme="minorHAnsi"/>
          <w:i/>
          <w:noProof/>
        </w:rPr>
        <w:t>R v Hodgson</w:t>
      </w:r>
      <w:r w:rsidRPr="000A1327">
        <w:rPr>
          <w:rFonts w:cstheme="minorHAnsi"/>
          <w:noProof/>
        </w:rPr>
        <w:t xml:space="preserve"> (2002) 84 SASR 168</w:t>
      </w:r>
      <w:r>
        <w:rPr>
          <w:noProof/>
        </w:rPr>
        <w:tab/>
        <w:t>197</w:t>
      </w:r>
    </w:p>
    <w:p w14:paraId="2A7D91C9" w14:textId="77777777" w:rsidR="00D44BCF" w:rsidRDefault="00D44BCF">
      <w:pPr>
        <w:pStyle w:val="TableofAuthorities"/>
        <w:tabs>
          <w:tab w:val="right" w:leader="dot" w:pos="9061"/>
        </w:tabs>
        <w:rPr>
          <w:noProof/>
        </w:rPr>
      </w:pPr>
      <w:r w:rsidRPr="000A1327">
        <w:rPr>
          <w:rFonts w:cstheme="minorHAnsi"/>
          <w:i/>
          <w:noProof/>
        </w:rPr>
        <w:t>R v Hogan</w:t>
      </w:r>
      <w:r w:rsidRPr="000A1327">
        <w:rPr>
          <w:rFonts w:cstheme="minorHAnsi"/>
          <w:noProof/>
        </w:rPr>
        <w:t xml:space="preserve"> [2015] SASCFC 102</w:t>
      </w:r>
      <w:r>
        <w:rPr>
          <w:noProof/>
        </w:rPr>
        <w:tab/>
        <w:t>156</w:t>
      </w:r>
    </w:p>
    <w:p w14:paraId="2E4E874A" w14:textId="77777777" w:rsidR="00D44BCF" w:rsidRDefault="00D44BCF">
      <w:pPr>
        <w:pStyle w:val="TableofAuthorities"/>
        <w:tabs>
          <w:tab w:val="right" w:leader="dot" w:pos="9061"/>
        </w:tabs>
        <w:rPr>
          <w:noProof/>
        </w:rPr>
      </w:pPr>
      <w:r w:rsidRPr="000A1327">
        <w:rPr>
          <w:rFonts w:cstheme="minorHAnsi"/>
          <w:i/>
          <w:noProof/>
        </w:rPr>
        <w:t>R v Hooper</w:t>
      </w:r>
      <w:r w:rsidRPr="000A1327">
        <w:rPr>
          <w:rFonts w:cstheme="minorHAnsi"/>
          <w:noProof/>
        </w:rPr>
        <w:t xml:space="preserve"> [2008] QCA 308</w:t>
      </w:r>
      <w:r>
        <w:rPr>
          <w:noProof/>
        </w:rPr>
        <w:tab/>
        <w:t>98</w:t>
      </w:r>
    </w:p>
    <w:p w14:paraId="15A8EF5D" w14:textId="77777777" w:rsidR="00D44BCF" w:rsidRDefault="00D44BCF">
      <w:pPr>
        <w:pStyle w:val="TableofAuthorities"/>
        <w:tabs>
          <w:tab w:val="right" w:leader="dot" w:pos="9061"/>
        </w:tabs>
        <w:rPr>
          <w:noProof/>
        </w:rPr>
      </w:pPr>
      <w:r w:rsidRPr="000A1327">
        <w:rPr>
          <w:rFonts w:cstheme="minorHAnsi"/>
          <w:i/>
          <w:noProof/>
        </w:rPr>
        <w:t>R v Host</w:t>
      </w:r>
      <w:r w:rsidRPr="000A1327">
        <w:rPr>
          <w:rFonts w:cstheme="minorHAnsi"/>
          <w:noProof/>
        </w:rPr>
        <w:t xml:space="preserve"> [2015] WASCA 23</w:t>
      </w:r>
      <w:r>
        <w:rPr>
          <w:noProof/>
        </w:rPr>
        <w:tab/>
        <w:t>45, 46, 47, 48, 81, 84, 85, 142</w:t>
      </w:r>
    </w:p>
    <w:p w14:paraId="0CF36F39"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Howe</w:t>
      </w:r>
      <w:r w:rsidRPr="000A1327">
        <w:rPr>
          <w:rFonts w:cstheme="minorHAnsi"/>
          <w:noProof/>
        </w:rPr>
        <w:t xml:space="preserve"> [2000] NSWCCA 405</w:t>
      </w:r>
      <w:r>
        <w:rPr>
          <w:noProof/>
        </w:rPr>
        <w:tab/>
        <w:t>58</w:t>
      </w:r>
    </w:p>
    <w:p w14:paraId="71FE862A" w14:textId="77777777" w:rsidR="00D44BCF" w:rsidRDefault="00D44BCF">
      <w:pPr>
        <w:pStyle w:val="TableofAuthorities"/>
        <w:tabs>
          <w:tab w:val="right" w:leader="dot" w:pos="9061"/>
        </w:tabs>
        <w:rPr>
          <w:noProof/>
        </w:rPr>
      </w:pPr>
      <w:r w:rsidRPr="000A1327">
        <w:rPr>
          <w:rFonts w:cstheme="minorHAnsi"/>
          <w:i/>
          <w:iCs/>
          <w:noProof/>
        </w:rPr>
        <w:t>R v Hudson</w:t>
      </w:r>
      <w:r w:rsidRPr="000A1327">
        <w:rPr>
          <w:rFonts w:cstheme="minorHAnsi"/>
          <w:noProof/>
        </w:rPr>
        <w:t xml:space="preserve"> [2016] SASCFC 60</w:t>
      </w:r>
      <w:r>
        <w:rPr>
          <w:noProof/>
        </w:rPr>
        <w:tab/>
        <w:t>130, 216</w:t>
      </w:r>
    </w:p>
    <w:p w14:paraId="4C6DFCC2" w14:textId="77777777" w:rsidR="00D44BCF" w:rsidRDefault="00D44BCF">
      <w:pPr>
        <w:pStyle w:val="TableofAuthorities"/>
        <w:tabs>
          <w:tab w:val="right" w:leader="dot" w:pos="9061"/>
        </w:tabs>
        <w:rPr>
          <w:noProof/>
        </w:rPr>
      </w:pPr>
      <w:r w:rsidRPr="000A1327">
        <w:rPr>
          <w:rFonts w:cstheme="minorHAnsi"/>
          <w:i/>
          <w:noProof/>
        </w:rPr>
        <w:t>R v Hughes</w:t>
      </w:r>
      <w:r w:rsidRPr="000A1327">
        <w:rPr>
          <w:rFonts w:cstheme="minorHAnsi"/>
          <w:noProof/>
        </w:rPr>
        <w:t xml:space="preserve"> [2018] 2 Qd R 134</w:t>
      </w:r>
      <w:r>
        <w:rPr>
          <w:noProof/>
        </w:rPr>
        <w:tab/>
        <w:t>70</w:t>
      </w:r>
    </w:p>
    <w:p w14:paraId="32866FED" w14:textId="77777777" w:rsidR="00D44BCF" w:rsidRDefault="00D44BCF">
      <w:pPr>
        <w:pStyle w:val="TableofAuthorities"/>
        <w:tabs>
          <w:tab w:val="right" w:leader="dot" w:pos="9061"/>
        </w:tabs>
        <w:rPr>
          <w:noProof/>
        </w:rPr>
      </w:pPr>
      <w:r w:rsidRPr="000A1327">
        <w:rPr>
          <w:rFonts w:cstheme="minorHAnsi"/>
          <w:i/>
          <w:noProof/>
        </w:rPr>
        <w:t>R v Hughey</w:t>
      </w:r>
      <w:r w:rsidRPr="000A1327">
        <w:rPr>
          <w:rFonts w:cstheme="minorHAnsi"/>
          <w:noProof/>
        </w:rPr>
        <w:t xml:space="preserve"> [2007] SASC 452</w:t>
      </w:r>
      <w:r>
        <w:rPr>
          <w:noProof/>
        </w:rPr>
        <w:tab/>
        <w:t>130</w:t>
      </w:r>
    </w:p>
    <w:p w14:paraId="6A809B94"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Hurst</w:t>
      </w:r>
      <w:r w:rsidRPr="000A1327">
        <w:rPr>
          <w:rFonts w:cstheme="minorHAnsi"/>
          <w:noProof/>
        </w:rPr>
        <w:t xml:space="preserve"> [2005] QCA 25</w:t>
      </w:r>
      <w:r>
        <w:rPr>
          <w:noProof/>
        </w:rPr>
        <w:tab/>
        <w:t>58</w:t>
      </w:r>
    </w:p>
    <w:p w14:paraId="62DD7DB7"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w:t>
      </w:r>
      <w:r w:rsidRPr="000A1327">
        <w:rPr>
          <w:rFonts w:cstheme="minorHAnsi"/>
          <w:i/>
          <w:noProof/>
        </w:rPr>
        <w:t xml:space="preserve">v Huston; ex parte DPP (Cth) </w:t>
      </w:r>
      <w:r w:rsidRPr="000A1327">
        <w:rPr>
          <w:rFonts w:cstheme="minorHAnsi"/>
          <w:noProof/>
        </w:rPr>
        <w:t>[2011] QCA 350</w:t>
      </w:r>
      <w:r>
        <w:rPr>
          <w:noProof/>
        </w:rPr>
        <w:tab/>
        <w:t>58, 67</w:t>
      </w:r>
    </w:p>
    <w:p w14:paraId="662CC678" w14:textId="77777777" w:rsidR="00D44BCF" w:rsidRDefault="00D44BCF">
      <w:pPr>
        <w:pStyle w:val="TableofAuthorities"/>
        <w:tabs>
          <w:tab w:val="right" w:leader="dot" w:pos="9061"/>
        </w:tabs>
        <w:rPr>
          <w:noProof/>
        </w:rPr>
      </w:pPr>
      <w:r w:rsidRPr="000A1327">
        <w:rPr>
          <w:rFonts w:cstheme="minorHAnsi"/>
          <w:i/>
          <w:noProof/>
        </w:rPr>
        <w:t>R v Hutchinson</w:t>
      </w:r>
      <w:r w:rsidRPr="000A1327">
        <w:rPr>
          <w:rFonts w:cstheme="minorHAnsi"/>
          <w:noProof/>
        </w:rPr>
        <w:t xml:space="preserve"> [2018] NSWCCA 152</w:t>
      </w:r>
      <w:r>
        <w:rPr>
          <w:noProof/>
        </w:rPr>
        <w:tab/>
        <w:t>34, 160</w:t>
      </w:r>
    </w:p>
    <w:p w14:paraId="5EC6E67F" w14:textId="77777777" w:rsidR="00D44BCF" w:rsidRDefault="00D44BCF">
      <w:pPr>
        <w:pStyle w:val="TableofAuthorities"/>
        <w:tabs>
          <w:tab w:val="right" w:leader="dot" w:pos="9061"/>
        </w:tabs>
        <w:rPr>
          <w:noProof/>
        </w:rPr>
      </w:pPr>
      <w:r w:rsidRPr="000A1327">
        <w:rPr>
          <w:rFonts w:cstheme="minorHAnsi"/>
          <w:i/>
          <w:noProof/>
        </w:rPr>
        <w:t>R v Hutton</w:t>
      </w:r>
      <w:r w:rsidRPr="000A1327">
        <w:rPr>
          <w:rFonts w:cstheme="minorHAnsi"/>
          <w:noProof/>
        </w:rPr>
        <w:t xml:space="preserve"> [2004] NSWCCA 60</w:t>
      </w:r>
      <w:r>
        <w:rPr>
          <w:noProof/>
        </w:rPr>
        <w:tab/>
        <w:t>151, 153, 158, 163, 233</w:t>
      </w:r>
    </w:p>
    <w:p w14:paraId="0F858E7A" w14:textId="77777777" w:rsidR="00D44BCF" w:rsidRDefault="00D44BCF">
      <w:pPr>
        <w:pStyle w:val="TableofAuthorities"/>
        <w:tabs>
          <w:tab w:val="right" w:leader="dot" w:pos="9061"/>
        </w:tabs>
        <w:rPr>
          <w:noProof/>
        </w:rPr>
      </w:pPr>
      <w:r w:rsidRPr="000A1327">
        <w:rPr>
          <w:rFonts w:cstheme="minorHAnsi"/>
          <w:i/>
          <w:noProof/>
        </w:rPr>
        <w:t>R v Ireland</w:t>
      </w:r>
      <w:r w:rsidRPr="000A1327">
        <w:rPr>
          <w:rFonts w:cstheme="minorHAnsi"/>
          <w:noProof/>
        </w:rPr>
        <w:t xml:space="preserve"> (1987) 49 NTR 10</w:t>
      </w:r>
      <w:r>
        <w:rPr>
          <w:noProof/>
        </w:rPr>
        <w:tab/>
        <w:t>188</w:t>
      </w:r>
    </w:p>
    <w:p w14:paraId="11B786DC" w14:textId="77777777" w:rsidR="00D44BCF" w:rsidRDefault="00D44BCF">
      <w:pPr>
        <w:pStyle w:val="TableofAuthorities"/>
        <w:tabs>
          <w:tab w:val="right" w:leader="dot" w:pos="9061"/>
        </w:tabs>
        <w:rPr>
          <w:noProof/>
        </w:rPr>
      </w:pPr>
      <w:r w:rsidRPr="000A1327">
        <w:rPr>
          <w:rFonts w:cstheme="minorHAnsi"/>
          <w:i/>
          <w:noProof/>
        </w:rPr>
        <w:t>R v Izzard</w:t>
      </w:r>
      <w:r w:rsidRPr="000A1327">
        <w:rPr>
          <w:rFonts w:cstheme="minorHAnsi"/>
          <w:noProof/>
        </w:rPr>
        <w:t xml:space="preserve"> (2003) 7 VR 480</w:t>
      </w:r>
      <w:r>
        <w:rPr>
          <w:noProof/>
        </w:rPr>
        <w:tab/>
        <w:t>135</w:t>
      </w:r>
    </w:p>
    <w:p w14:paraId="48BD63AA" w14:textId="77777777" w:rsidR="00D44BCF" w:rsidRDefault="00D44BCF">
      <w:pPr>
        <w:pStyle w:val="TableofAuthorities"/>
        <w:tabs>
          <w:tab w:val="right" w:leader="dot" w:pos="9061"/>
        </w:tabs>
        <w:rPr>
          <w:noProof/>
        </w:rPr>
      </w:pPr>
      <w:r w:rsidRPr="000A1327">
        <w:rPr>
          <w:rFonts w:cstheme="minorHAnsi"/>
          <w:i/>
          <w:noProof/>
        </w:rPr>
        <w:t>R v J</w:t>
      </w:r>
      <w:r w:rsidRPr="000A1327">
        <w:rPr>
          <w:rFonts w:cstheme="minorHAnsi"/>
          <w:noProof/>
        </w:rPr>
        <w:t xml:space="preserve"> (2005) 152 A Crim R 152</w:t>
      </w:r>
      <w:r>
        <w:rPr>
          <w:noProof/>
        </w:rPr>
        <w:tab/>
        <w:t>256</w:t>
      </w:r>
    </w:p>
    <w:p w14:paraId="24A53E03" w14:textId="77777777" w:rsidR="00D44BCF" w:rsidRDefault="00D44BCF">
      <w:pPr>
        <w:pStyle w:val="TableofAuthorities"/>
        <w:tabs>
          <w:tab w:val="right" w:leader="dot" w:pos="9061"/>
        </w:tabs>
        <w:rPr>
          <w:noProof/>
        </w:rPr>
      </w:pPr>
      <w:r w:rsidRPr="000A1327">
        <w:rPr>
          <w:rFonts w:cstheme="minorHAnsi"/>
          <w:bCs/>
          <w:i/>
          <w:iCs/>
          <w:noProof/>
        </w:rPr>
        <w:t>R v Jackson</w:t>
      </w:r>
      <w:r w:rsidRPr="000A1327">
        <w:rPr>
          <w:rFonts w:cstheme="minorHAnsi"/>
          <w:noProof/>
        </w:rPr>
        <w:t xml:space="preserve"> (1998) 72 SASR 490</w:t>
      </w:r>
      <w:r>
        <w:rPr>
          <w:noProof/>
        </w:rPr>
        <w:tab/>
        <w:t>26, 207, 208, 209, 210</w:t>
      </w:r>
    </w:p>
    <w:p w14:paraId="7248B6FA" w14:textId="77777777" w:rsidR="00D44BCF" w:rsidRDefault="00D44BCF">
      <w:pPr>
        <w:pStyle w:val="TableofAuthorities"/>
        <w:tabs>
          <w:tab w:val="right" w:leader="dot" w:pos="9061"/>
        </w:tabs>
        <w:rPr>
          <w:noProof/>
        </w:rPr>
      </w:pPr>
      <w:r w:rsidRPr="000A1327">
        <w:rPr>
          <w:rFonts w:cstheme="minorHAnsi"/>
          <w:i/>
          <w:noProof/>
        </w:rPr>
        <w:t>R v Jafari</w:t>
      </w:r>
      <w:r w:rsidRPr="000A1327">
        <w:rPr>
          <w:rFonts w:cstheme="minorHAnsi"/>
          <w:noProof/>
        </w:rPr>
        <w:t xml:space="preserve"> [2017] NSWCCA 152</w:t>
      </w:r>
      <w:r>
        <w:rPr>
          <w:noProof/>
        </w:rPr>
        <w:tab/>
        <w:t>81</w:t>
      </w:r>
    </w:p>
    <w:p w14:paraId="6AA0965E" w14:textId="77777777" w:rsidR="00D44BCF" w:rsidRDefault="00D44BCF">
      <w:pPr>
        <w:pStyle w:val="TableofAuthorities"/>
        <w:tabs>
          <w:tab w:val="right" w:leader="dot" w:pos="9061"/>
        </w:tabs>
        <w:rPr>
          <w:noProof/>
        </w:rPr>
      </w:pPr>
      <w:r w:rsidRPr="000A1327">
        <w:rPr>
          <w:rFonts w:cstheme="minorHAnsi"/>
          <w:i/>
          <w:iCs/>
          <w:noProof/>
        </w:rPr>
        <w:t>R v James</w:t>
      </w:r>
      <w:r w:rsidRPr="000A1327">
        <w:rPr>
          <w:rFonts w:cstheme="minorHAnsi"/>
          <w:noProof/>
        </w:rPr>
        <w:t xml:space="preserve"> (1913) 9 Cr App R 142</w:t>
      </w:r>
      <w:r>
        <w:rPr>
          <w:noProof/>
        </w:rPr>
        <w:tab/>
        <w:t>54</w:t>
      </w:r>
    </w:p>
    <w:p w14:paraId="2DB5969A" w14:textId="77777777" w:rsidR="00D44BCF" w:rsidRDefault="00D44BCF">
      <w:pPr>
        <w:pStyle w:val="TableofAuthorities"/>
        <w:tabs>
          <w:tab w:val="right" w:leader="dot" w:pos="9061"/>
        </w:tabs>
        <w:rPr>
          <w:noProof/>
        </w:rPr>
      </w:pPr>
      <w:r w:rsidRPr="000A1327">
        <w:rPr>
          <w:rFonts w:cstheme="minorHAnsi"/>
          <w:bCs/>
          <w:i/>
          <w:noProof/>
        </w:rPr>
        <w:t>R v James</w:t>
      </w:r>
      <w:r w:rsidRPr="000A1327">
        <w:rPr>
          <w:rFonts w:cstheme="minorHAnsi"/>
          <w:bCs/>
          <w:noProof/>
        </w:rPr>
        <w:t xml:space="preserve"> [2003] VSCA 13</w:t>
      </w:r>
      <w:r>
        <w:rPr>
          <w:noProof/>
        </w:rPr>
        <w:tab/>
        <w:t>49</w:t>
      </w:r>
    </w:p>
    <w:p w14:paraId="2A5F4E7D" w14:textId="77777777" w:rsidR="00D44BCF" w:rsidRDefault="00D44BCF">
      <w:pPr>
        <w:pStyle w:val="TableofAuthorities"/>
        <w:tabs>
          <w:tab w:val="right" w:leader="dot" w:pos="9061"/>
        </w:tabs>
        <w:rPr>
          <w:noProof/>
        </w:rPr>
      </w:pPr>
      <w:r w:rsidRPr="000A1327">
        <w:rPr>
          <w:rFonts w:cstheme="minorHAnsi"/>
          <w:i/>
          <w:noProof/>
        </w:rPr>
        <w:t>R v Jermyn</w:t>
      </w:r>
      <w:r w:rsidRPr="000A1327">
        <w:rPr>
          <w:rFonts w:cstheme="minorHAnsi"/>
          <w:noProof/>
        </w:rPr>
        <w:t xml:space="preserve"> (1985) 2 NSWLR 194</w:t>
      </w:r>
      <w:r>
        <w:rPr>
          <w:noProof/>
        </w:rPr>
        <w:tab/>
        <w:t>191</w:t>
      </w:r>
    </w:p>
    <w:p w14:paraId="2552E242" w14:textId="77777777" w:rsidR="00D44BCF" w:rsidRDefault="00D44BCF">
      <w:pPr>
        <w:pStyle w:val="TableofAuthorities"/>
        <w:tabs>
          <w:tab w:val="right" w:leader="dot" w:pos="9061"/>
        </w:tabs>
        <w:rPr>
          <w:noProof/>
        </w:rPr>
      </w:pPr>
      <w:r w:rsidRPr="000A1327">
        <w:rPr>
          <w:rFonts w:cstheme="minorHAnsi"/>
          <w:i/>
          <w:noProof/>
        </w:rPr>
        <w:t>R v Jones</w:t>
      </w:r>
      <w:r w:rsidRPr="000A1327">
        <w:rPr>
          <w:rFonts w:cstheme="minorHAnsi"/>
          <w:noProof/>
        </w:rPr>
        <w:t xml:space="preserve"> [1984] WAR 175, 180</w:t>
      </w:r>
      <w:r>
        <w:rPr>
          <w:noProof/>
        </w:rPr>
        <w:tab/>
        <w:t>105</w:t>
      </w:r>
    </w:p>
    <w:p w14:paraId="77BED770" w14:textId="77777777" w:rsidR="00D44BCF" w:rsidRDefault="00D44BCF">
      <w:pPr>
        <w:pStyle w:val="TableofAuthorities"/>
        <w:tabs>
          <w:tab w:val="right" w:leader="dot" w:pos="9061"/>
        </w:tabs>
        <w:rPr>
          <w:noProof/>
        </w:rPr>
      </w:pPr>
      <w:r w:rsidRPr="000A1327">
        <w:rPr>
          <w:rFonts w:cstheme="minorHAnsi"/>
          <w:i/>
          <w:noProof/>
        </w:rPr>
        <w:t>R v Jones</w:t>
      </w:r>
      <w:r w:rsidRPr="000A1327">
        <w:rPr>
          <w:rFonts w:cstheme="minorHAnsi"/>
          <w:noProof/>
        </w:rPr>
        <w:t xml:space="preserve"> [2004] VSCA 68</w:t>
      </w:r>
      <w:r>
        <w:rPr>
          <w:noProof/>
        </w:rPr>
        <w:tab/>
        <w:t>43, 44</w:t>
      </w:r>
    </w:p>
    <w:p w14:paraId="6F5BDF3E" w14:textId="77777777" w:rsidR="00D44BCF" w:rsidRDefault="00D44BCF">
      <w:pPr>
        <w:pStyle w:val="TableofAuthorities"/>
        <w:tabs>
          <w:tab w:val="right" w:leader="dot" w:pos="9061"/>
        </w:tabs>
        <w:rPr>
          <w:noProof/>
        </w:rPr>
      </w:pPr>
      <w:r w:rsidRPr="000A1327">
        <w:rPr>
          <w:rFonts w:cstheme="minorHAnsi"/>
          <w:i/>
          <w:noProof/>
        </w:rPr>
        <w:t>R v JW</w:t>
      </w:r>
      <w:r w:rsidRPr="000A1327">
        <w:rPr>
          <w:rFonts w:cstheme="minorHAnsi"/>
          <w:noProof/>
        </w:rPr>
        <w:t xml:space="preserve"> (2010) 77 NSWLR 7</w:t>
      </w:r>
      <w:r>
        <w:rPr>
          <w:noProof/>
        </w:rPr>
        <w:tab/>
        <w:t>88, 89</w:t>
      </w:r>
    </w:p>
    <w:p w14:paraId="32903B98" w14:textId="77777777" w:rsidR="00D44BCF" w:rsidRDefault="00D44BCF">
      <w:pPr>
        <w:pStyle w:val="TableofAuthorities"/>
        <w:tabs>
          <w:tab w:val="right" w:leader="dot" w:pos="9061"/>
        </w:tabs>
        <w:rPr>
          <w:noProof/>
        </w:rPr>
      </w:pPr>
      <w:r w:rsidRPr="000A1327">
        <w:rPr>
          <w:rFonts w:cstheme="minorHAnsi"/>
          <w:i/>
          <w:iCs/>
          <w:noProof/>
        </w:rPr>
        <w:t>R v Kaczmarek</w:t>
      </w:r>
      <w:r w:rsidRPr="000A1327">
        <w:rPr>
          <w:rFonts w:cstheme="minorHAnsi"/>
          <w:noProof/>
        </w:rPr>
        <w:t xml:space="preserve"> [2011] ACTSC 177</w:t>
      </w:r>
      <w:r>
        <w:rPr>
          <w:noProof/>
        </w:rPr>
        <w:tab/>
        <w:t>260</w:t>
      </w:r>
    </w:p>
    <w:p w14:paraId="624B099D" w14:textId="77777777" w:rsidR="00D44BCF" w:rsidRDefault="00D44BCF">
      <w:pPr>
        <w:pStyle w:val="TableofAuthorities"/>
        <w:tabs>
          <w:tab w:val="right" w:leader="dot" w:pos="9061"/>
        </w:tabs>
        <w:rPr>
          <w:noProof/>
        </w:rPr>
      </w:pPr>
      <w:r w:rsidRPr="000A1327">
        <w:rPr>
          <w:rFonts w:cstheme="minorHAnsi"/>
          <w:i/>
          <w:noProof/>
        </w:rPr>
        <w:t>R v Kane</w:t>
      </w:r>
      <w:r w:rsidRPr="000A1327">
        <w:rPr>
          <w:rFonts w:cstheme="minorHAnsi"/>
          <w:noProof/>
        </w:rPr>
        <w:t xml:space="preserve"> [1975] VR 658</w:t>
      </w:r>
      <w:r>
        <w:rPr>
          <w:noProof/>
        </w:rPr>
        <w:tab/>
        <w:t>27</w:t>
      </w:r>
    </w:p>
    <w:p w14:paraId="73BCAC3E" w14:textId="77777777" w:rsidR="00D44BCF" w:rsidRDefault="00D44BCF">
      <w:pPr>
        <w:pStyle w:val="TableofAuthorities"/>
        <w:tabs>
          <w:tab w:val="right" w:leader="dot" w:pos="9061"/>
        </w:tabs>
        <w:rPr>
          <w:noProof/>
        </w:rPr>
      </w:pPr>
      <w:r w:rsidRPr="000A1327">
        <w:rPr>
          <w:rFonts w:cstheme="minorHAnsi"/>
          <w:i/>
          <w:noProof/>
        </w:rPr>
        <w:t>R v KAT</w:t>
      </w:r>
      <w:r w:rsidRPr="000A1327">
        <w:rPr>
          <w:rFonts w:cstheme="minorHAnsi"/>
          <w:noProof/>
        </w:rPr>
        <w:t xml:space="preserve"> [2018] QCA 306</w:t>
      </w:r>
      <w:r>
        <w:rPr>
          <w:noProof/>
        </w:rPr>
        <w:tab/>
        <w:t>51, 202</w:t>
      </w:r>
    </w:p>
    <w:p w14:paraId="2828A90E" w14:textId="77777777" w:rsidR="00D44BCF" w:rsidRDefault="00D44BCF">
      <w:pPr>
        <w:pStyle w:val="TableofAuthorities"/>
        <w:tabs>
          <w:tab w:val="right" w:leader="dot" w:pos="9061"/>
        </w:tabs>
        <w:rPr>
          <w:noProof/>
        </w:rPr>
      </w:pPr>
      <w:r w:rsidRPr="000A1327">
        <w:rPr>
          <w:rFonts w:cstheme="minorHAnsi"/>
          <w:i/>
          <w:noProof/>
        </w:rPr>
        <w:t xml:space="preserve">R v Katsoulis </w:t>
      </w:r>
      <w:r w:rsidRPr="000A1327">
        <w:rPr>
          <w:rFonts w:cstheme="minorHAnsi"/>
          <w:noProof/>
        </w:rPr>
        <w:t>[2008] VSCA 278</w:t>
      </w:r>
      <w:r>
        <w:rPr>
          <w:noProof/>
        </w:rPr>
        <w:tab/>
        <w:t>71</w:t>
      </w:r>
    </w:p>
    <w:p w14:paraId="3AEA5288" w14:textId="77777777" w:rsidR="00D44BCF" w:rsidRDefault="00D44BCF">
      <w:pPr>
        <w:pStyle w:val="TableofAuthorities"/>
        <w:tabs>
          <w:tab w:val="right" w:leader="dot" w:pos="9061"/>
        </w:tabs>
        <w:rPr>
          <w:noProof/>
        </w:rPr>
      </w:pPr>
      <w:r w:rsidRPr="000A1327">
        <w:rPr>
          <w:rFonts w:cstheme="minorHAnsi"/>
          <w:i/>
          <w:noProof/>
        </w:rPr>
        <w:t>R v Kearnes</w:t>
      </w:r>
      <w:r w:rsidRPr="000A1327">
        <w:rPr>
          <w:rFonts w:cstheme="minorHAnsi"/>
          <w:noProof/>
        </w:rPr>
        <w:t xml:space="preserve"> [2003] NSWCCA 367</w:t>
      </w:r>
      <w:r>
        <w:rPr>
          <w:noProof/>
        </w:rPr>
        <w:tab/>
        <w:t>72</w:t>
      </w:r>
    </w:p>
    <w:p w14:paraId="4A6CFA15" w14:textId="77777777" w:rsidR="00D44BCF" w:rsidRDefault="00D44BCF">
      <w:pPr>
        <w:pStyle w:val="TableofAuthorities"/>
        <w:tabs>
          <w:tab w:val="right" w:leader="dot" w:pos="9061"/>
        </w:tabs>
        <w:rPr>
          <w:noProof/>
        </w:rPr>
      </w:pPr>
      <w:r w:rsidRPr="000A1327">
        <w:rPr>
          <w:rFonts w:cstheme="minorHAnsi"/>
          <w:i/>
          <w:noProof/>
        </w:rPr>
        <w:t>R v Keur</w:t>
      </w:r>
      <w:r w:rsidRPr="000A1327">
        <w:rPr>
          <w:rFonts w:cstheme="minorHAnsi"/>
          <w:noProof/>
        </w:rPr>
        <w:t xml:space="preserve"> (1973) 7 SASR 13, 15</w:t>
      </w:r>
      <w:r>
        <w:rPr>
          <w:noProof/>
        </w:rPr>
        <w:tab/>
        <w:t>104, 162</w:t>
      </w:r>
    </w:p>
    <w:p w14:paraId="51C2C6D4" w14:textId="77777777" w:rsidR="00D44BCF" w:rsidRDefault="00D44BCF">
      <w:pPr>
        <w:pStyle w:val="TableofAuthorities"/>
        <w:tabs>
          <w:tab w:val="right" w:leader="dot" w:pos="9061"/>
        </w:tabs>
        <w:rPr>
          <w:noProof/>
        </w:rPr>
      </w:pPr>
      <w:r w:rsidRPr="000A1327">
        <w:rPr>
          <w:rFonts w:cstheme="minorHAnsi"/>
          <w:i/>
          <w:noProof/>
        </w:rPr>
        <w:t>R v Kevenaar</w:t>
      </w:r>
      <w:r w:rsidRPr="000A1327">
        <w:rPr>
          <w:rFonts w:cstheme="minorHAnsi"/>
          <w:noProof/>
        </w:rPr>
        <w:t xml:space="preserve"> [2004] NSWCCA 210</w:t>
      </w:r>
      <w:r>
        <w:rPr>
          <w:noProof/>
        </w:rPr>
        <w:tab/>
        <w:t>255</w:t>
      </w:r>
    </w:p>
    <w:p w14:paraId="38528CA1" w14:textId="77777777" w:rsidR="00D44BCF" w:rsidRDefault="00D44BCF">
      <w:pPr>
        <w:pStyle w:val="TableofAuthorities"/>
        <w:tabs>
          <w:tab w:val="right" w:leader="dot" w:pos="9061"/>
        </w:tabs>
        <w:rPr>
          <w:noProof/>
        </w:rPr>
      </w:pPr>
      <w:r w:rsidRPr="000A1327">
        <w:rPr>
          <w:rFonts w:cstheme="minorHAnsi"/>
          <w:i/>
          <w:noProof/>
        </w:rPr>
        <w:t>R v Kilic</w:t>
      </w:r>
      <w:r w:rsidRPr="000A1327">
        <w:rPr>
          <w:rFonts w:cstheme="minorHAnsi"/>
          <w:noProof/>
        </w:rPr>
        <w:t xml:space="preserve"> (2016) 259 CLR 256</w:t>
      </w:r>
      <w:r>
        <w:rPr>
          <w:noProof/>
        </w:rPr>
        <w:tab/>
        <w:t>40</w:t>
      </w:r>
    </w:p>
    <w:p w14:paraId="51E9DF9E" w14:textId="77777777" w:rsidR="00D44BCF" w:rsidRDefault="00D44BCF">
      <w:pPr>
        <w:pStyle w:val="TableofAuthorities"/>
        <w:tabs>
          <w:tab w:val="right" w:leader="dot" w:pos="9061"/>
        </w:tabs>
        <w:rPr>
          <w:noProof/>
        </w:rPr>
      </w:pPr>
      <w:r w:rsidRPr="000A1327">
        <w:rPr>
          <w:rFonts w:cstheme="minorHAnsi"/>
          <w:i/>
          <w:iCs/>
          <w:noProof/>
        </w:rPr>
        <w:t>R v Kirby; Ex parte Boilermakers’ Society of Australia</w:t>
      </w:r>
      <w:r w:rsidRPr="000A1327">
        <w:rPr>
          <w:rFonts w:cstheme="minorHAnsi"/>
          <w:noProof/>
        </w:rPr>
        <w:t xml:space="preserve"> (1956) 94 CLR 254</w:t>
      </w:r>
      <w:r>
        <w:rPr>
          <w:noProof/>
        </w:rPr>
        <w:tab/>
        <w:t>5</w:t>
      </w:r>
    </w:p>
    <w:p w14:paraId="14349627" w14:textId="77777777" w:rsidR="00D44BCF" w:rsidRDefault="00D44BCF">
      <w:pPr>
        <w:pStyle w:val="TableofAuthorities"/>
        <w:tabs>
          <w:tab w:val="right" w:leader="dot" w:pos="9061"/>
        </w:tabs>
        <w:rPr>
          <w:noProof/>
        </w:rPr>
      </w:pPr>
      <w:r w:rsidRPr="000A1327">
        <w:rPr>
          <w:rFonts w:cstheme="minorHAnsi"/>
          <w:i/>
          <w:noProof/>
        </w:rPr>
        <w:t xml:space="preserve">R v Knight </w:t>
      </w:r>
      <w:r w:rsidRPr="000A1327">
        <w:rPr>
          <w:rFonts w:cstheme="minorHAnsi"/>
          <w:noProof/>
        </w:rPr>
        <w:t>[2004] NSWCCA 145</w:t>
      </w:r>
      <w:r>
        <w:rPr>
          <w:noProof/>
        </w:rPr>
        <w:tab/>
        <w:t>43</w:t>
      </w:r>
    </w:p>
    <w:p w14:paraId="40712345" w14:textId="77777777" w:rsidR="00D44BCF" w:rsidRDefault="00D44BCF">
      <w:pPr>
        <w:pStyle w:val="TableofAuthorities"/>
        <w:tabs>
          <w:tab w:val="right" w:leader="dot" w:pos="9061"/>
        </w:tabs>
        <w:rPr>
          <w:noProof/>
        </w:rPr>
      </w:pPr>
      <w:r w:rsidRPr="000A1327">
        <w:rPr>
          <w:rFonts w:cstheme="minorHAnsi"/>
          <w:i/>
          <w:noProof/>
        </w:rPr>
        <w:t>R v Knight</w:t>
      </w:r>
      <w:r w:rsidRPr="000A1327">
        <w:rPr>
          <w:rFonts w:cstheme="minorHAnsi"/>
          <w:noProof/>
        </w:rPr>
        <w:t xml:space="preserve"> [2013] QCA 277</w:t>
      </w:r>
      <w:r>
        <w:rPr>
          <w:noProof/>
        </w:rPr>
        <w:tab/>
        <w:t>132</w:t>
      </w:r>
    </w:p>
    <w:p w14:paraId="4F62E462" w14:textId="77777777" w:rsidR="00D44BCF" w:rsidRDefault="00D44BCF">
      <w:pPr>
        <w:pStyle w:val="TableofAuthorities"/>
        <w:tabs>
          <w:tab w:val="right" w:leader="dot" w:pos="9061"/>
        </w:tabs>
        <w:rPr>
          <w:noProof/>
        </w:rPr>
      </w:pPr>
      <w:r w:rsidRPr="000A1327">
        <w:rPr>
          <w:rFonts w:cstheme="minorHAnsi"/>
          <w:i/>
          <w:noProof/>
        </w:rPr>
        <w:t>R v Kokkinos</w:t>
      </w:r>
      <w:r w:rsidRPr="000A1327">
        <w:rPr>
          <w:rFonts w:cstheme="minorHAnsi"/>
          <w:noProof/>
        </w:rPr>
        <w:t xml:space="preserve"> [1998] 4 VR 574</w:t>
      </w:r>
      <w:r>
        <w:rPr>
          <w:noProof/>
        </w:rPr>
        <w:tab/>
        <w:t>199</w:t>
      </w:r>
    </w:p>
    <w:p w14:paraId="1FE06709" w14:textId="77777777" w:rsidR="00D44BCF" w:rsidRDefault="00D44BCF">
      <w:pPr>
        <w:pStyle w:val="TableofAuthorities"/>
        <w:tabs>
          <w:tab w:val="right" w:leader="dot" w:pos="9061"/>
        </w:tabs>
        <w:rPr>
          <w:noProof/>
        </w:rPr>
      </w:pPr>
      <w:r w:rsidRPr="000A1327">
        <w:rPr>
          <w:rFonts w:cstheme="minorHAnsi"/>
          <w:bCs/>
          <w:i/>
          <w:iCs/>
          <w:noProof/>
        </w:rPr>
        <w:t xml:space="preserve">R v Lambert </w:t>
      </w:r>
      <w:r w:rsidRPr="000A1327">
        <w:rPr>
          <w:rFonts w:cstheme="minorHAnsi"/>
          <w:noProof/>
        </w:rPr>
        <w:t>(1990) 51 A Crim R 160</w:t>
      </w:r>
      <w:r>
        <w:rPr>
          <w:noProof/>
        </w:rPr>
        <w:tab/>
        <w:t>39</w:t>
      </w:r>
    </w:p>
    <w:p w14:paraId="7EDD792A" w14:textId="77777777" w:rsidR="00D44BCF" w:rsidRDefault="00D44BCF">
      <w:pPr>
        <w:pStyle w:val="TableofAuthorities"/>
        <w:tabs>
          <w:tab w:val="right" w:leader="dot" w:pos="9061"/>
        </w:tabs>
        <w:rPr>
          <w:noProof/>
        </w:rPr>
      </w:pPr>
      <w:r w:rsidRPr="000A1327">
        <w:rPr>
          <w:rFonts w:cstheme="minorHAnsi"/>
          <w:i/>
          <w:noProof/>
        </w:rPr>
        <w:t>R v Lamella</w:t>
      </w:r>
      <w:r w:rsidRPr="000A1327">
        <w:rPr>
          <w:rFonts w:cstheme="minorHAnsi"/>
          <w:noProof/>
        </w:rPr>
        <w:t xml:space="preserve"> [2014] NSWCCA 122</w:t>
      </w:r>
      <w:r>
        <w:rPr>
          <w:noProof/>
        </w:rPr>
        <w:tab/>
        <w:t>43, 196</w:t>
      </w:r>
    </w:p>
    <w:p w14:paraId="117E499B" w14:textId="77777777" w:rsidR="00D44BCF" w:rsidRDefault="00D44BCF">
      <w:pPr>
        <w:pStyle w:val="TableofAuthorities"/>
        <w:tabs>
          <w:tab w:val="right" w:leader="dot" w:pos="9061"/>
        </w:tabs>
        <w:rPr>
          <w:noProof/>
        </w:rPr>
      </w:pPr>
      <w:r w:rsidRPr="000A1327">
        <w:rPr>
          <w:rFonts w:cstheme="minorHAnsi"/>
          <w:i/>
          <w:noProof/>
        </w:rPr>
        <w:t>R v Latif; ex parte DPP (Cth)</w:t>
      </w:r>
      <w:r w:rsidRPr="000A1327">
        <w:rPr>
          <w:rFonts w:cstheme="minorHAnsi"/>
          <w:noProof/>
        </w:rPr>
        <w:t xml:space="preserve"> [2012] QCA 278</w:t>
      </w:r>
      <w:r>
        <w:rPr>
          <w:noProof/>
        </w:rPr>
        <w:tab/>
        <w:t>218</w:t>
      </w:r>
    </w:p>
    <w:p w14:paraId="34DA70D6" w14:textId="77777777" w:rsidR="00D44BCF" w:rsidRDefault="00D44BCF">
      <w:pPr>
        <w:pStyle w:val="TableofAuthorities"/>
        <w:tabs>
          <w:tab w:val="right" w:leader="dot" w:pos="9061"/>
        </w:tabs>
        <w:rPr>
          <w:noProof/>
        </w:rPr>
      </w:pPr>
      <w:r w:rsidRPr="000A1327">
        <w:rPr>
          <w:rFonts w:cstheme="minorHAnsi"/>
          <w:i/>
          <w:noProof/>
        </w:rPr>
        <w:t>R v Latumetan</w:t>
      </w:r>
      <w:r w:rsidRPr="000A1327">
        <w:rPr>
          <w:rFonts w:cstheme="minorHAnsi"/>
          <w:noProof/>
        </w:rPr>
        <w:t xml:space="preserve"> [2003] NSWCCA 70</w:t>
      </w:r>
      <w:r>
        <w:rPr>
          <w:noProof/>
        </w:rPr>
        <w:tab/>
        <w:t>77, 79</w:t>
      </w:r>
    </w:p>
    <w:p w14:paraId="3B279E0E" w14:textId="77777777" w:rsidR="00D44BCF" w:rsidRDefault="00D44BCF">
      <w:pPr>
        <w:pStyle w:val="TableofAuthorities"/>
        <w:tabs>
          <w:tab w:val="right" w:leader="dot" w:pos="9061"/>
        </w:tabs>
        <w:rPr>
          <w:noProof/>
        </w:rPr>
      </w:pPr>
      <w:r w:rsidRPr="000A1327">
        <w:rPr>
          <w:rFonts w:cstheme="minorHAnsi"/>
          <w:i/>
          <w:noProof/>
        </w:rPr>
        <w:t>R v Lau</w:t>
      </w:r>
      <w:r w:rsidRPr="000A1327">
        <w:rPr>
          <w:rFonts w:cstheme="minorHAnsi"/>
          <w:noProof/>
        </w:rPr>
        <w:t xml:space="preserve"> [2009] WASCA 99</w:t>
      </w:r>
      <w:r>
        <w:rPr>
          <w:noProof/>
        </w:rPr>
        <w:tab/>
        <w:t>128</w:t>
      </w:r>
    </w:p>
    <w:p w14:paraId="79E75088" w14:textId="77777777" w:rsidR="00D44BCF" w:rsidRDefault="00D44BCF">
      <w:pPr>
        <w:pStyle w:val="TableofAuthorities"/>
        <w:tabs>
          <w:tab w:val="right" w:leader="dot" w:pos="9061"/>
        </w:tabs>
        <w:rPr>
          <w:noProof/>
        </w:rPr>
      </w:pPr>
      <w:r w:rsidRPr="000A1327">
        <w:rPr>
          <w:rFonts w:cstheme="minorHAnsi"/>
          <w:i/>
          <w:noProof/>
        </w:rPr>
        <w:t xml:space="preserve">R v Le </w:t>
      </w:r>
      <w:r w:rsidRPr="000A1327">
        <w:rPr>
          <w:rFonts w:cstheme="minorHAnsi"/>
          <w:noProof/>
        </w:rPr>
        <w:t>[2005] VSCA 284</w:t>
      </w:r>
      <w:r>
        <w:rPr>
          <w:noProof/>
        </w:rPr>
        <w:tab/>
        <w:t>83, 86</w:t>
      </w:r>
    </w:p>
    <w:p w14:paraId="3A095C41" w14:textId="77777777" w:rsidR="00D44BCF" w:rsidRDefault="00D44BCF">
      <w:pPr>
        <w:pStyle w:val="TableofAuthorities"/>
        <w:tabs>
          <w:tab w:val="right" w:leader="dot" w:pos="9061"/>
        </w:tabs>
        <w:rPr>
          <w:noProof/>
        </w:rPr>
      </w:pPr>
      <w:r w:rsidRPr="000A1327">
        <w:rPr>
          <w:rFonts w:cstheme="minorHAnsi"/>
          <w:i/>
          <w:noProof/>
        </w:rPr>
        <w:t>R v Leathers</w:t>
      </w:r>
      <w:r w:rsidRPr="000A1327">
        <w:rPr>
          <w:rFonts w:cstheme="minorHAnsi"/>
          <w:noProof/>
        </w:rPr>
        <w:t xml:space="preserve"> [2014] QCA 327</w:t>
      </w:r>
      <w:r>
        <w:rPr>
          <w:noProof/>
        </w:rPr>
        <w:tab/>
        <w:t>70</w:t>
      </w:r>
    </w:p>
    <w:p w14:paraId="1425045B" w14:textId="77777777" w:rsidR="00D44BCF" w:rsidRDefault="00D44BCF">
      <w:pPr>
        <w:pStyle w:val="TableofAuthorities"/>
        <w:tabs>
          <w:tab w:val="right" w:leader="dot" w:pos="9061"/>
        </w:tabs>
        <w:rPr>
          <w:noProof/>
        </w:rPr>
      </w:pPr>
      <w:r w:rsidRPr="000A1327">
        <w:rPr>
          <w:rFonts w:cstheme="minorHAnsi"/>
          <w:i/>
          <w:noProof/>
        </w:rPr>
        <w:t>R v Leka</w:t>
      </w:r>
      <w:r w:rsidRPr="000A1327">
        <w:rPr>
          <w:rFonts w:cstheme="minorHAnsi"/>
          <w:noProof/>
        </w:rPr>
        <w:t xml:space="preserve"> [2017] SASCFC 77</w:t>
      </w:r>
      <w:r>
        <w:rPr>
          <w:noProof/>
        </w:rPr>
        <w:tab/>
        <w:t>79</w:t>
      </w:r>
    </w:p>
    <w:p w14:paraId="6B24C942" w14:textId="77777777" w:rsidR="00D44BCF" w:rsidRDefault="00D44BCF">
      <w:pPr>
        <w:pStyle w:val="TableofAuthorities"/>
        <w:tabs>
          <w:tab w:val="right" w:leader="dot" w:pos="9061"/>
        </w:tabs>
        <w:rPr>
          <w:noProof/>
        </w:rPr>
      </w:pPr>
      <w:r w:rsidRPr="000A1327">
        <w:rPr>
          <w:rFonts w:cstheme="minorHAnsi"/>
          <w:bCs/>
          <w:i/>
          <w:iCs/>
          <w:noProof/>
        </w:rPr>
        <w:t>R v Leroy</w:t>
      </w:r>
      <w:r w:rsidRPr="000A1327">
        <w:rPr>
          <w:rFonts w:cstheme="minorHAnsi"/>
          <w:noProof/>
        </w:rPr>
        <w:t xml:space="preserve"> (1984) 2 NSWLR 441</w:t>
      </w:r>
      <w:r>
        <w:rPr>
          <w:noProof/>
        </w:rPr>
        <w:tab/>
        <w:t>59</w:t>
      </w:r>
    </w:p>
    <w:p w14:paraId="7D49DDA3" w14:textId="77777777" w:rsidR="00D44BCF" w:rsidRDefault="00D44BCF">
      <w:pPr>
        <w:pStyle w:val="TableofAuthorities"/>
        <w:tabs>
          <w:tab w:val="right" w:leader="dot" w:pos="9061"/>
        </w:tabs>
        <w:rPr>
          <w:noProof/>
        </w:rPr>
      </w:pPr>
      <w:r w:rsidRPr="000A1327">
        <w:rPr>
          <w:rFonts w:cstheme="minorHAnsi"/>
          <w:i/>
          <w:noProof/>
        </w:rPr>
        <w:t>R v Li</w:t>
      </w:r>
      <w:r w:rsidRPr="000A1327">
        <w:rPr>
          <w:rFonts w:cstheme="minorHAnsi"/>
          <w:noProof/>
        </w:rPr>
        <w:t xml:space="preserve"> [1998] 1 VR 637</w:t>
      </w:r>
      <w:r>
        <w:rPr>
          <w:noProof/>
        </w:rPr>
        <w:tab/>
        <w:t>30, 254</w:t>
      </w:r>
    </w:p>
    <w:p w14:paraId="15C8AF60" w14:textId="77777777" w:rsidR="00D44BCF" w:rsidRDefault="00D44BCF">
      <w:pPr>
        <w:pStyle w:val="TableofAuthorities"/>
        <w:tabs>
          <w:tab w:val="right" w:leader="dot" w:pos="9061"/>
        </w:tabs>
        <w:rPr>
          <w:noProof/>
        </w:rPr>
      </w:pPr>
      <w:r w:rsidRPr="000A1327">
        <w:rPr>
          <w:rFonts w:cstheme="minorHAnsi"/>
          <w:i/>
          <w:noProof/>
        </w:rPr>
        <w:t>R v Liang</w:t>
      </w:r>
      <w:r w:rsidRPr="000A1327">
        <w:rPr>
          <w:rFonts w:cstheme="minorHAnsi"/>
          <w:noProof/>
        </w:rPr>
        <w:t xml:space="preserve"> (1995) 124 FLR 350</w:t>
      </w:r>
      <w:r>
        <w:rPr>
          <w:noProof/>
        </w:rPr>
        <w:tab/>
        <w:t>40</w:t>
      </w:r>
    </w:p>
    <w:p w14:paraId="4EFCC4C6" w14:textId="77777777" w:rsidR="00D44BCF" w:rsidRDefault="00D44BCF">
      <w:pPr>
        <w:pStyle w:val="TableofAuthorities"/>
        <w:tabs>
          <w:tab w:val="right" w:leader="dot" w:pos="9061"/>
        </w:tabs>
        <w:rPr>
          <w:noProof/>
        </w:rPr>
      </w:pPr>
      <w:r w:rsidRPr="000A1327">
        <w:rPr>
          <w:rFonts w:cstheme="minorHAnsi"/>
          <w:i/>
          <w:noProof/>
        </w:rPr>
        <w:t>R v Lin</w:t>
      </w:r>
      <w:r w:rsidRPr="000A1327">
        <w:rPr>
          <w:rFonts w:cstheme="minorHAnsi"/>
          <w:noProof/>
        </w:rPr>
        <w:t xml:space="preserve"> [2014] NSWCCA 254</w:t>
      </w:r>
      <w:r>
        <w:rPr>
          <w:noProof/>
        </w:rPr>
        <w:tab/>
        <w:t>67</w:t>
      </w:r>
    </w:p>
    <w:p w14:paraId="5215C408" w14:textId="77777777" w:rsidR="00D44BCF" w:rsidRDefault="00D44BCF">
      <w:pPr>
        <w:pStyle w:val="TableofAuthorities"/>
        <w:tabs>
          <w:tab w:val="right" w:leader="dot" w:pos="9061"/>
        </w:tabs>
        <w:rPr>
          <w:noProof/>
        </w:rPr>
      </w:pPr>
      <w:r w:rsidRPr="000A1327">
        <w:rPr>
          <w:rFonts w:cstheme="minorHAnsi"/>
          <w:i/>
          <w:noProof/>
        </w:rPr>
        <w:t>R v Lincoln</w:t>
      </w:r>
      <w:r w:rsidRPr="000A1327">
        <w:rPr>
          <w:rFonts w:cstheme="minorHAnsi"/>
          <w:noProof/>
        </w:rPr>
        <w:t xml:space="preserve"> [2017] QCA 37</w:t>
      </w:r>
      <w:r>
        <w:rPr>
          <w:noProof/>
        </w:rPr>
        <w:tab/>
        <w:t>78, 79</w:t>
      </w:r>
    </w:p>
    <w:p w14:paraId="280E5A86" w14:textId="77777777" w:rsidR="00D44BCF" w:rsidRDefault="00D44BCF">
      <w:pPr>
        <w:pStyle w:val="TableofAuthorities"/>
        <w:tabs>
          <w:tab w:val="right" w:leader="dot" w:pos="9061"/>
        </w:tabs>
        <w:rPr>
          <w:noProof/>
        </w:rPr>
      </w:pPr>
      <w:r w:rsidRPr="000A1327">
        <w:rPr>
          <w:rFonts w:cstheme="minorHAnsi"/>
          <w:i/>
          <w:noProof/>
        </w:rPr>
        <w:t>R v Liu</w:t>
      </w:r>
      <w:r w:rsidRPr="000A1327">
        <w:rPr>
          <w:rFonts w:cstheme="minorHAnsi"/>
          <w:noProof/>
        </w:rPr>
        <w:t xml:space="preserve"> [2005] NSWCCA 378</w:t>
      </w:r>
      <w:r>
        <w:rPr>
          <w:noProof/>
        </w:rPr>
        <w:tab/>
        <w:t>255</w:t>
      </w:r>
    </w:p>
    <w:p w14:paraId="49B38492" w14:textId="77777777" w:rsidR="00D44BCF" w:rsidRDefault="00D44BCF">
      <w:pPr>
        <w:pStyle w:val="TableofAuthorities"/>
        <w:tabs>
          <w:tab w:val="right" w:leader="dot" w:pos="9061"/>
        </w:tabs>
        <w:rPr>
          <w:noProof/>
        </w:rPr>
      </w:pPr>
      <w:r w:rsidRPr="000A1327">
        <w:rPr>
          <w:rFonts w:cstheme="minorHAnsi"/>
          <w:i/>
          <w:noProof/>
        </w:rPr>
        <w:t>R v Lodhi</w:t>
      </w:r>
      <w:r w:rsidRPr="000A1327">
        <w:rPr>
          <w:rFonts w:cstheme="minorHAnsi"/>
          <w:noProof/>
        </w:rPr>
        <w:t xml:space="preserve"> [2006] NSWSC 691</w:t>
      </w:r>
      <w:r>
        <w:rPr>
          <w:noProof/>
        </w:rPr>
        <w:tab/>
        <w:t>58</w:t>
      </w:r>
    </w:p>
    <w:p w14:paraId="06F1B03B" w14:textId="77777777" w:rsidR="00D44BCF" w:rsidRDefault="00D44BCF">
      <w:pPr>
        <w:pStyle w:val="TableofAuthorities"/>
        <w:tabs>
          <w:tab w:val="right" w:leader="dot" w:pos="9061"/>
        </w:tabs>
        <w:rPr>
          <w:noProof/>
        </w:rPr>
      </w:pPr>
      <w:r w:rsidRPr="000A1327">
        <w:rPr>
          <w:rFonts w:cstheme="minorHAnsi"/>
          <w:i/>
          <w:noProof/>
        </w:rPr>
        <w:t>R v Lomax</w:t>
      </w:r>
      <w:r w:rsidRPr="000A1327">
        <w:rPr>
          <w:rFonts w:cstheme="minorHAnsi"/>
          <w:noProof/>
        </w:rPr>
        <w:t xml:space="preserve"> [1998] 1 VR 551</w:t>
      </w:r>
      <w:r>
        <w:rPr>
          <w:noProof/>
        </w:rPr>
        <w:tab/>
        <w:t>135</w:t>
      </w:r>
    </w:p>
    <w:p w14:paraId="01027D16" w14:textId="77777777" w:rsidR="00D44BCF" w:rsidRDefault="00D44BCF">
      <w:pPr>
        <w:pStyle w:val="TableofAuthorities"/>
        <w:tabs>
          <w:tab w:val="right" w:leader="dot" w:pos="9061"/>
        </w:tabs>
        <w:rPr>
          <w:noProof/>
        </w:rPr>
      </w:pPr>
      <w:r w:rsidRPr="000A1327">
        <w:rPr>
          <w:rFonts w:cstheme="minorHAnsi"/>
          <w:i/>
          <w:noProof/>
        </w:rPr>
        <w:t>R v Lovel</w:t>
      </w:r>
      <w:r w:rsidRPr="000A1327">
        <w:rPr>
          <w:rFonts w:cstheme="minorHAnsi"/>
          <w:noProof/>
        </w:rPr>
        <w:t xml:space="preserve"> [2007] QCA 281</w:t>
      </w:r>
      <w:r>
        <w:rPr>
          <w:noProof/>
        </w:rPr>
        <w:tab/>
        <w:t>48</w:t>
      </w:r>
    </w:p>
    <w:p w14:paraId="57856A91" w14:textId="77777777" w:rsidR="00D44BCF" w:rsidRDefault="00D44BCF">
      <w:pPr>
        <w:pStyle w:val="TableofAuthorities"/>
        <w:tabs>
          <w:tab w:val="right" w:leader="dot" w:pos="9061"/>
        </w:tabs>
        <w:rPr>
          <w:noProof/>
        </w:rPr>
      </w:pPr>
      <w:r w:rsidRPr="000A1327">
        <w:rPr>
          <w:rFonts w:cstheme="minorHAnsi"/>
          <w:i/>
          <w:noProof/>
        </w:rPr>
        <w:t>R v Lovi</w:t>
      </w:r>
      <w:r w:rsidRPr="000A1327">
        <w:rPr>
          <w:rFonts w:cstheme="minorHAnsi"/>
          <w:noProof/>
        </w:rPr>
        <w:t xml:space="preserve"> [2012] QCA 24</w:t>
      </w:r>
      <w:r>
        <w:rPr>
          <w:noProof/>
        </w:rPr>
        <w:tab/>
        <w:t>219, 220</w:t>
      </w:r>
    </w:p>
    <w:p w14:paraId="345611A6" w14:textId="77777777" w:rsidR="00D44BCF" w:rsidRDefault="00D44BCF">
      <w:pPr>
        <w:pStyle w:val="TableofAuthorities"/>
        <w:tabs>
          <w:tab w:val="right" w:leader="dot" w:pos="9061"/>
        </w:tabs>
        <w:rPr>
          <w:noProof/>
        </w:rPr>
      </w:pPr>
      <w:r w:rsidRPr="000A1327">
        <w:rPr>
          <w:rFonts w:cstheme="minorHAnsi"/>
          <w:i/>
          <w:iCs/>
          <w:noProof/>
        </w:rPr>
        <w:t>R v Lowe</w:t>
      </w:r>
      <w:r w:rsidRPr="000A1327">
        <w:rPr>
          <w:rFonts w:cstheme="minorHAnsi"/>
          <w:noProof/>
        </w:rPr>
        <w:t xml:space="preserve"> (1977) 66 Cr App R 122</w:t>
      </w:r>
      <w:r>
        <w:rPr>
          <w:noProof/>
        </w:rPr>
        <w:tab/>
        <w:t>53</w:t>
      </w:r>
    </w:p>
    <w:p w14:paraId="64EFCB7E" w14:textId="77777777" w:rsidR="00D44BCF" w:rsidRDefault="00D44BCF">
      <w:pPr>
        <w:pStyle w:val="TableofAuthorities"/>
        <w:tabs>
          <w:tab w:val="right" w:leader="dot" w:pos="9061"/>
        </w:tabs>
        <w:rPr>
          <w:noProof/>
        </w:rPr>
      </w:pPr>
      <w:r w:rsidRPr="000A1327">
        <w:rPr>
          <w:rFonts w:cstheme="minorHAnsi"/>
          <w:i/>
          <w:noProof/>
        </w:rPr>
        <w:t>R v MacCormack</w:t>
      </w:r>
      <w:r w:rsidRPr="000A1327">
        <w:rPr>
          <w:rFonts w:cstheme="minorHAnsi"/>
          <w:noProof/>
        </w:rPr>
        <w:t xml:space="preserve"> [2005] QSC 49</w:t>
      </w:r>
      <w:r>
        <w:rPr>
          <w:noProof/>
        </w:rPr>
        <w:tab/>
        <w:t>133</w:t>
      </w:r>
    </w:p>
    <w:p w14:paraId="5E5E97D5" w14:textId="77777777" w:rsidR="00D44BCF" w:rsidRDefault="00D44BCF">
      <w:pPr>
        <w:pStyle w:val="TableofAuthorities"/>
        <w:tabs>
          <w:tab w:val="right" w:leader="dot" w:pos="9061"/>
        </w:tabs>
        <w:rPr>
          <w:noProof/>
        </w:rPr>
      </w:pPr>
      <w:r w:rsidRPr="000A1327">
        <w:rPr>
          <w:rFonts w:cstheme="minorHAnsi"/>
          <w:i/>
          <w:noProof/>
        </w:rPr>
        <w:t>R v MacNeil-Brown</w:t>
      </w:r>
      <w:r w:rsidRPr="000A1327">
        <w:rPr>
          <w:rFonts w:cstheme="minorHAnsi"/>
          <w:b/>
          <w:i/>
          <w:noProof/>
        </w:rPr>
        <w:t xml:space="preserve"> </w:t>
      </w:r>
      <w:r w:rsidRPr="000A1327">
        <w:rPr>
          <w:rFonts w:cstheme="minorHAnsi"/>
          <w:noProof/>
        </w:rPr>
        <w:t>(2008) 20 VR 677</w:t>
      </w:r>
      <w:r>
        <w:rPr>
          <w:noProof/>
        </w:rPr>
        <w:tab/>
        <w:t>184</w:t>
      </w:r>
    </w:p>
    <w:p w14:paraId="6DF3B844" w14:textId="77777777" w:rsidR="00D44BCF" w:rsidRDefault="00D44BCF">
      <w:pPr>
        <w:pStyle w:val="TableofAuthorities"/>
        <w:tabs>
          <w:tab w:val="right" w:leader="dot" w:pos="9061"/>
        </w:tabs>
        <w:rPr>
          <w:noProof/>
        </w:rPr>
      </w:pPr>
      <w:r w:rsidRPr="000A1327">
        <w:rPr>
          <w:rFonts w:cstheme="minorHAnsi"/>
          <w:i/>
          <w:noProof/>
        </w:rPr>
        <w:t>R v MAH</w:t>
      </w:r>
      <w:r w:rsidRPr="000A1327">
        <w:rPr>
          <w:rFonts w:cstheme="minorHAnsi"/>
          <w:noProof/>
        </w:rPr>
        <w:t xml:space="preserve"> [2005] NTCCA 17</w:t>
      </w:r>
      <w:r>
        <w:rPr>
          <w:noProof/>
        </w:rPr>
        <w:tab/>
        <w:t>77</w:t>
      </w:r>
    </w:p>
    <w:p w14:paraId="39F10C81" w14:textId="77777777" w:rsidR="00D44BCF" w:rsidRDefault="00D44BCF">
      <w:pPr>
        <w:pStyle w:val="TableofAuthorities"/>
        <w:tabs>
          <w:tab w:val="right" w:leader="dot" w:pos="9061"/>
        </w:tabs>
        <w:rPr>
          <w:noProof/>
        </w:rPr>
      </w:pPr>
      <w:r w:rsidRPr="000A1327">
        <w:rPr>
          <w:rFonts w:cstheme="minorHAnsi"/>
          <w:bCs/>
          <w:i/>
          <w:iCs/>
          <w:noProof/>
        </w:rPr>
        <w:t>R v Majeric</w:t>
      </w:r>
      <w:r w:rsidRPr="000A1327">
        <w:rPr>
          <w:rFonts w:cstheme="minorHAnsi"/>
          <w:noProof/>
        </w:rPr>
        <w:t xml:space="preserve"> [2001] VSCA 15</w:t>
      </w:r>
      <w:r>
        <w:rPr>
          <w:noProof/>
        </w:rPr>
        <w:tab/>
        <w:t>254</w:t>
      </w:r>
    </w:p>
    <w:p w14:paraId="6F7977D1" w14:textId="77777777" w:rsidR="00D44BCF" w:rsidRDefault="00D44BCF">
      <w:pPr>
        <w:pStyle w:val="TableofAuthorities"/>
        <w:tabs>
          <w:tab w:val="right" w:leader="dot" w:pos="9061"/>
        </w:tabs>
        <w:rPr>
          <w:noProof/>
        </w:rPr>
      </w:pPr>
      <w:r w:rsidRPr="000A1327">
        <w:rPr>
          <w:rFonts w:cstheme="minorHAnsi"/>
          <w:i/>
          <w:noProof/>
        </w:rPr>
        <w:t>R v MAK</w:t>
      </w:r>
      <w:r w:rsidRPr="000A1327">
        <w:rPr>
          <w:rFonts w:cstheme="minorHAnsi"/>
          <w:noProof/>
        </w:rPr>
        <w:t xml:space="preserve"> [2006] NSWCCA 381</w:t>
      </w:r>
      <w:r>
        <w:rPr>
          <w:noProof/>
        </w:rPr>
        <w:tab/>
        <w:t>62</w:t>
      </w:r>
    </w:p>
    <w:p w14:paraId="21F68DA8" w14:textId="77777777" w:rsidR="00D44BCF" w:rsidRDefault="00D44BCF">
      <w:pPr>
        <w:pStyle w:val="TableofAuthorities"/>
        <w:tabs>
          <w:tab w:val="right" w:leader="dot" w:pos="9061"/>
        </w:tabs>
        <w:rPr>
          <w:noProof/>
        </w:rPr>
      </w:pPr>
      <w:r w:rsidRPr="000A1327">
        <w:rPr>
          <w:rFonts w:cstheme="minorHAnsi"/>
          <w:i/>
          <w:noProof/>
        </w:rPr>
        <w:t>R v Malvaso</w:t>
      </w:r>
      <w:r w:rsidRPr="000A1327">
        <w:rPr>
          <w:rFonts w:cstheme="minorHAnsi"/>
          <w:noProof/>
        </w:rPr>
        <w:t xml:space="preserve"> (1989) 50 SASR 503</w:t>
      </w:r>
      <w:r>
        <w:rPr>
          <w:noProof/>
        </w:rPr>
        <w:tab/>
        <w:t>191</w:t>
      </w:r>
    </w:p>
    <w:p w14:paraId="0AA51BE9" w14:textId="77777777" w:rsidR="00D44BCF" w:rsidRDefault="00D44BCF">
      <w:pPr>
        <w:pStyle w:val="TableofAuthorities"/>
        <w:tabs>
          <w:tab w:val="right" w:leader="dot" w:pos="9061"/>
        </w:tabs>
        <w:rPr>
          <w:noProof/>
        </w:rPr>
      </w:pPr>
      <w:r w:rsidRPr="000A1327">
        <w:rPr>
          <w:rFonts w:cstheme="minorHAnsi"/>
          <w:i/>
          <w:iCs/>
          <w:noProof/>
        </w:rPr>
        <w:t xml:space="preserve">R v Manolakis </w:t>
      </w:r>
      <w:r w:rsidRPr="000A1327">
        <w:rPr>
          <w:rFonts w:cstheme="minorHAnsi"/>
          <w:noProof/>
        </w:rPr>
        <w:t>[2008] SASC 129</w:t>
      </w:r>
      <w:r>
        <w:rPr>
          <w:noProof/>
        </w:rPr>
        <w:tab/>
        <w:t>100, 105, 106</w:t>
      </w:r>
    </w:p>
    <w:p w14:paraId="7B2C5DC2" w14:textId="77777777" w:rsidR="00D44BCF" w:rsidRDefault="00D44BCF">
      <w:pPr>
        <w:pStyle w:val="TableofAuthorities"/>
        <w:tabs>
          <w:tab w:val="right" w:leader="dot" w:pos="9061"/>
        </w:tabs>
        <w:rPr>
          <w:noProof/>
        </w:rPr>
      </w:pPr>
      <w:r w:rsidRPr="000A1327">
        <w:rPr>
          <w:rFonts w:cstheme="minorHAnsi"/>
          <w:i/>
          <w:noProof/>
        </w:rPr>
        <w:t>R v Mantini</w:t>
      </w:r>
      <w:r w:rsidRPr="000A1327">
        <w:rPr>
          <w:rFonts w:cstheme="minorHAnsi"/>
          <w:noProof/>
        </w:rPr>
        <w:t xml:space="preserve"> [1998] 3 VR 340</w:t>
      </w:r>
      <w:r>
        <w:rPr>
          <w:noProof/>
        </w:rPr>
        <w:tab/>
        <w:t>135</w:t>
      </w:r>
    </w:p>
    <w:p w14:paraId="7015CA71"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MAO; Ex parte Attorney-General (Qld)</w:t>
      </w:r>
      <w:r w:rsidRPr="000A1327">
        <w:rPr>
          <w:rFonts w:cstheme="minorHAnsi"/>
          <w:noProof/>
        </w:rPr>
        <w:t xml:space="preserve"> [2006] QCA 99</w:t>
      </w:r>
      <w:r>
        <w:rPr>
          <w:noProof/>
        </w:rPr>
        <w:tab/>
        <w:t>79</w:t>
      </w:r>
    </w:p>
    <w:p w14:paraId="0F0451B5" w14:textId="77777777" w:rsidR="00D44BCF" w:rsidRDefault="00D44BCF">
      <w:pPr>
        <w:pStyle w:val="TableofAuthorities"/>
        <w:tabs>
          <w:tab w:val="right" w:leader="dot" w:pos="9061"/>
        </w:tabs>
        <w:rPr>
          <w:noProof/>
        </w:rPr>
      </w:pPr>
      <w:r w:rsidRPr="000A1327">
        <w:rPr>
          <w:rFonts w:cstheme="minorHAnsi"/>
          <w:i/>
          <w:noProof/>
        </w:rPr>
        <w:t>R v Martinsen</w:t>
      </w:r>
      <w:r w:rsidRPr="000A1327">
        <w:rPr>
          <w:rFonts w:cstheme="minorHAnsi"/>
          <w:noProof/>
        </w:rPr>
        <w:t xml:space="preserve"> [2003] NSWCCA 144</w:t>
      </w:r>
      <w:r>
        <w:rPr>
          <w:noProof/>
        </w:rPr>
        <w:tab/>
        <w:t>141</w:t>
      </w:r>
    </w:p>
    <w:p w14:paraId="33BF3B96" w14:textId="77777777" w:rsidR="00D44BCF" w:rsidRDefault="00D44BCF">
      <w:pPr>
        <w:pStyle w:val="TableofAuthorities"/>
        <w:tabs>
          <w:tab w:val="right" w:leader="dot" w:pos="9061"/>
        </w:tabs>
        <w:rPr>
          <w:noProof/>
        </w:rPr>
      </w:pPr>
      <w:r w:rsidRPr="000A1327">
        <w:rPr>
          <w:rFonts w:cstheme="minorHAnsi"/>
          <w:i/>
          <w:noProof/>
        </w:rPr>
        <w:t>R v Matijevic</w:t>
      </w:r>
      <w:r w:rsidRPr="000A1327">
        <w:rPr>
          <w:rFonts w:cstheme="minorHAnsi"/>
          <w:noProof/>
        </w:rPr>
        <w:t xml:space="preserve"> [1997] FCA 992</w:t>
      </w:r>
      <w:r>
        <w:rPr>
          <w:noProof/>
        </w:rPr>
        <w:tab/>
        <w:t>95, 99</w:t>
      </w:r>
    </w:p>
    <w:p w14:paraId="4A5DB120" w14:textId="77777777" w:rsidR="00D44BCF" w:rsidRDefault="00D44BCF">
      <w:pPr>
        <w:pStyle w:val="TableofAuthorities"/>
        <w:tabs>
          <w:tab w:val="right" w:leader="dot" w:pos="9061"/>
        </w:tabs>
        <w:rPr>
          <w:noProof/>
        </w:rPr>
      </w:pPr>
      <w:r w:rsidRPr="000A1327">
        <w:rPr>
          <w:rFonts w:cstheme="minorHAnsi"/>
          <w:i/>
          <w:noProof/>
        </w:rPr>
        <w:t>R v Matthews</w:t>
      </w:r>
      <w:r w:rsidRPr="000A1327">
        <w:rPr>
          <w:rFonts w:cstheme="minorHAnsi"/>
          <w:noProof/>
        </w:rPr>
        <w:t xml:space="preserve"> (1996) 130 FLR 230</w:t>
      </w:r>
      <w:r>
        <w:rPr>
          <w:noProof/>
        </w:rPr>
        <w:tab/>
        <w:t>67</w:t>
      </w:r>
    </w:p>
    <w:p w14:paraId="0760E4FB" w14:textId="77777777" w:rsidR="00D44BCF" w:rsidRDefault="00D44BCF">
      <w:pPr>
        <w:pStyle w:val="TableofAuthorities"/>
        <w:tabs>
          <w:tab w:val="right" w:leader="dot" w:pos="9061"/>
        </w:tabs>
        <w:rPr>
          <w:noProof/>
        </w:rPr>
      </w:pPr>
      <w:r w:rsidRPr="000A1327">
        <w:rPr>
          <w:rFonts w:cstheme="minorHAnsi"/>
          <w:i/>
          <w:noProof/>
        </w:rPr>
        <w:t>R v Maya</w:t>
      </w:r>
      <w:r w:rsidRPr="000A1327">
        <w:rPr>
          <w:rFonts w:cstheme="minorHAnsi"/>
          <w:noProof/>
        </w:rPr>
        <w:t xml:space="preserve"> [2012] QCA 123</w:t>
      </w:r>
      <w:r>
        <w:rPr>
          <w:noProof/>
        </w:rPr>
        <w:tab/>
        <w:t>73</w:t>
      </w:r>
    </w:p>
    <w:p w14:paraId="2B3D282F" w14:textId="77777777" w:rsidR="00D44BCF" w:rsidRDefault="00D44BCF">
      <w:pPr>
        <w:pStyle w:val="TableofAuthorities"/>
        <w:tabs>
          <w:tab w:val="right" w:leader="dot" w:pos="9061"/>
        </w:tabs>
        <w:rPr>
          <w:noProof/>
        </w:rPr>
      </w:pPr>
      <w:r w:rsidRPr="000A1327">
        <w:rPr>
          <w:rFonts w:cstheme="minorHAnsi"/>
          <w:i/>
          <w:noProof/>
        </w:rPr>
        <w:t>R v MB</w:t>
      </w:r>
      <w:r w:rsidRPr="000A1327">
        <w:rPr>
          <w:rFonts w:cstheme="minorHAnsi"/>
          <w:noProof/>
        </w:rPr>
        <w:t xml:space="preserve"> [2014] ACTSC 399</w:t>
      </w:r>
      <w:r>
        <w:rPr>
          <w:noProof/>
        </w:rPr>
        <w:tab/>
        <w:t>161</w:t>
      </w:r>
    </w:p>
    <w:p w14:paraId="643B52FC" w14:textId="77777777" w:rsidR="00D44BCF" w:rsidRDefault="00D44BCF">
      <w:pPr>
        <w:pStyle w:val="TableofAuthorities"/>
        <w:tabs>
          <w:tab w:val="right" w:leader="dot" w:pos="9061"/>
        </w:tabs>
        <w:rPr>
          <w:noProof/>
        </w:rPr>
      </w:pPr>
      <w:r w:rsidRPr="000A1327">
        <w:rPr>
          <w:rFonts w:cstheme="minorHAnsi"/>
          <w:i/>
          <w:noProof/>
        </w:rPr>
        <w:t>R v McDermott</w:t>
      </w:r>
      <w:r w:rsidRPr="000A1327">
        <w:rPr>
          <w:rFonts w:cstheme="minorHAnsi"/>
          <w:noProof/>
        </w:rPr>
        <w:t xml:space="preserve"> (1990) 49 A Crim R 105</w:t>
      </w:r>
      <w:r>
        <w:rPr>
          <w:noProof/>
        </w:rPr>
        <w:tab/>
        <w:t>256</w:t>
      </w:r>
    </w:p>
    <w:p w14:paraId="52EB8B6D" w14:textId="77777777" w:rsidR="00D44BCF" w:rsidRDefault="00D44BCF">
      <w:pPr>
        <w:pStyle w:val="TableofAuthorities"/>
        <w:tabs>
          <w:tab w:val="right" w:leader="dot" w:pos="9061"/>
        </w:tabs>
        <w:rPr>
          <w:noProof/>
        </w:rPr>
      </w:pPr>
      <w:r w:rsidRPr="000A1327">
        <w:rPr>
          <w:rFonts w:cstheme="minorHAnsi"/>
          <w:i/>
          <w:noProof/>
        </w:rPr>
        <w:t>R v McGee</w:t>
      </w:r>
      <w:r w:rsidRPr="000A1327">
        <w:rPr>
          <w:rFonts w:cstheme="minorHAnsi"/>
          <w:noProof/>
        </w:rPr>
        <w:t xml:space="preserve"> (Vic CCA, 25 November 1994, unreported)</w:t>
      </w:r>
      <w:r>
        <w:rPr>
          <w:noProof/>
        </w:rPr>
        <w:tab/>
        <w:t>198</w:t>
      </w:r>
    </w:p>
    <w:p w14:paraId="3150B46F" w14:textId="77777777" w:rsidR="00D44BCF" w:rsidRDefault="00D44BCF">
      <w:pPr>
        <w:pStyle w:val="TableofAuthorities"/>
        <w:tabs>
          <w:tab w:val="right" w:leader="dot" w:pos="9061"/>
        </w:tabs>
        <w:rPr>
          <w:noProof/>
        </w:rPr>
      </w:pPr>
      <w:r w:rsidRPr="000A1327">
        <w:rPr>
          <w:rFonts w:cstheme="minorHAnsi"/>
          <w:i/>
          <w:noProof/>
        </w:rPr>
        <w:t>R v McGourty</w:t>
      </w:r>
      <w:r w:rsidRPr="000A1327">
        <w:rPr>
          <w:rFonts w:cstheme="minorHAnsi"/>
          <w:noProof/>
        </w:rPr>
        <w:t xml:space="preserve"> [2002] NSWCCA 335</w:t>
      </w:r>
      <w:r>
        <w:rPr>
          <w:noProof/>
        </w:rPr>
        <w:tab/>
        <w:t>28</w:t>
      </w:r>
    </w:p>
    <w:p w14:paraId="0026C604" w14:textId="77777777" w:rsidR="00D44BCF" w:rsidRDefault="00D44BCF">
      <w:pPr>
        <w:pStyle w:val="TableofAuthorities"/>
        <w:tabs>
          <w:tab w:val="right" w:leader="dot" w:pos="9061"/>
        </w:tabs>
        <w:rPr>
          <w:noProof/>
        </w:rPr>
      </w:pPr>
      <w:r w:rsidRPr="000A1327">
        <w:rPr>
          <w:rFonts w:cstheme="minorHAnsi"/>
          <w:i/>
          <w:iCs/>
          <w:noProof/>
        </w:rPr>
        <w:t>R v McHugh</w:t>
      </w:r>
      <w:r w:rsidRPr="000A1327">
        <w:rPr>
          <w:rFonts w:cstheme="minorHAnsi"/>
          <w:iCs/>
          <w:noProof/>
        </w:rPr>
        <w:t xml:space="preserve"> (1985) 1 NSWLR 588</w:t>
      </w:r>
      <w:r>
        <w:rPr>
          <w:noProof/>
        </w:rPr>
        <w:tab/>
        <w:t>126</w:t>
      </w:r>
    </w:p>
    <w:p w14:paraId="6A874A10" w14:textId="77777777" w:rsidR="00D44BCF" w:rsidRDefault="00D44BCF">
      <w:pPr>
        <w:pStyle w:val="TableofAuthorities"/>
        <w:tabs>
          <w:tab w:val="right" w:leader="dot" w:pos="9061"/>
        </w:tabs>
        <w:rPr>
          <w:noProof/>
        </w:rPr>
      </w:pPr>
      <w:r w:rsidRPr="000A1327">
        <w:rPr>
          <w:rFonts w:cstheme="minorHAnsi"/>
          <w:bCs/>
          <w:i/>
          <w:iCs/>
          <w:noProof/>
        </w:rPr>
        <w:t>R v McInerney</w:t>
      </w:r>
      <w:r w:rsidRPr="000A1327">
        <w:rPr>
          <w:rFonts w:cstheme="minorHAnsi"/>
          <w:noProof/>
        </w:rPr>
        <w:t xml:space="preserve"> (1986) 42 SASR 111</w:t>
      </w:r>
      <w:r>
        <w:rPr>
          <w:noProof/>
        </w:rPr>
        <w:tab/>
        <w:t>60</w:t>
      </w:r>
    </w:p>
    <w:p w14:paraId="63313402" w14:textId="77777777" w:rsidR="00D44BCF" w:rsidRDefault="00D44BCF">
      <w:pPr>
        <w:pStyle w:val="TableofAuthorities"/>
        <w:tabs>
          <w:tab w:val="right" w:leader="dot" w:pos="9061"/>
        </w:tabs>
        <w:rPr>
          <w:noProof/>
        </w:rPr>
      </w:pPr>
      <w:r w:rsidRPr="000A1327">
        <w:rPr>
          <w:rFonts w:cstheme="minorHAnsi"/>
          <w:i/>
          <w:noProof/>
        </w:rPr>
        <w:t>R v McMahon</w:t>
      </w:r>
      <w:r w:rsidRPr="000A1327">
        <w:rPr>
          <w:rFonts w:cstheme="minorHAnsi"/>
          <w:noProof/>
        </w:rPr>
        <w:t xml:space="preserve"> (1988) 40 A Crim R 95</w:t>
      </w:r>
      <w:r>
        <w:rPr>
          <w:noProof/>
        </w:rPr>
        <w:tab/>
        <w:t>54</w:t>
      </w:r>
    </w:p>
    <w:p w14:paraId="71A5240A" w14:textId="77777777" w:rsidR="00D44BCF" w:rsidRDefault="00D44BCF">
      <w:pPr>
        <w:pStyle w:val="TableofAuthorities"/>
        <w:tabs>
          <w:tab w:val="right" w:leader="dot" w:pos="9061"/>
        </w:tabs>
        <w:rPr>
          <w:noProof/>
        </w:rPr>
      </w:pPr>
      <w:r w:rsidRPr="000A1327">
        <w:rPr>
          <w:rFonts w:cstheme="minorHAnsi"/>
          <w:i/>
          <w:noProof/>
        </w:rPr>
        <w:t>R v McMillan</w:t>
      </w:r>
      <w:r w:rsidRPr="000A1327">
        <w:rPr>
          <w:rFonts w:cstheme="minorHAnsi"/>
          <w:noProof/>
        </w:rPr>
        <w:t xml:space="preserve"> [2005] QCA 93</w:t>
      </w:r>
      <w:r>
        <w:rPr>
          <w:noProof/>
        </w:rPr>
        <w:tab/>
        <w:t>137</w:t>
      </w:r>
    </w:p>
    <w:p w14:paraId="67648260" w14:textId="77777777" w:rsidR="00D44BCF" w:rsidRDefault="00D44BCF">
      <w:pPr>
        <w:pStyle w:val="TableofAuthorities"/>
        <w:tabs>
          <w:tab w:val="right" w:leader="dot" w:pos="9061"/>
        </w:tabs>
        <w:rPr>
          <w:noProof/>
        </w:rPr>
      </w:pPr>
      <w:r w:rsidRPr="000A1327">
        <w:rPr>
          <w:rFonts w:cstheme="minorHAnsi"/>
          <w:i/>
          <w:noProof/>
        </w:rPr>
        <w:t>R v MDB</w:t>
      </w:r>
      <w:r w:rsidRPr="000A1327">
        <w:rPr>
          <w:rFonts w:cstheme="minorHAnsi"/>
          <w:noProof/>
        </w:rPr>
        <w:t xml:space="preserve"> [2003] VSCA 181</w:t>
      </w:r>
      <w:r>
        <w:rPr>
          <w:noProof/>
        </w:rPr>
        <w:tab/>
        <w:t>139</w:t>
      </w:r>
    </w:p>
    <w:p w14:paraId="15EA88B3" w14:textId="77777777" w:rsidR="00D44BCF" w:rsidRDefault="00D44BCF">
      <w:pPr>
        <w:pStyle w:val="TableofAuthorities"/>
        <w:tabs>
          <w:tab w:val="right" w:leader="dot" w:pos="9061"/>
        </w:tabs>
        <w:rPr>
          <w:noProof/>
        </w:rPr>
      </w:pPr>
      <w:r w:rsidRPr="000A1327">
        <w:rPr>
          <w:rFonts w:cstheme="minorHAnsi"/>
          <w:i/>
          <w:noProof/>
        </w:rPr>
        <w:t>R v Melrose</w:t>
      </w:r>
      <w:r w:rsidRPr="000A1327">
        <w:rPr>
          <w:rFonts w:cstheme="minorHAnsi"/>
          <w:noProof/>
        </w:rPr>
        <w:t xml:space="preserve"> [2016] QCA 202</w:t>
      </w:r>
      <w:r>
        <w:rPr>
          <w:noProof/>
        </w:rPr>
        <w:tab/>
        <w:t>47, 71, 72, 181</w:t>
      </w:r>
    </w:p>
    <w:p w14:paraId="618AFD1D" w14:textId="77777777" w:rsidR="00D44BCF" w:rsidRDefault="00D44BCF">
      <w:pPr>
        <w:pStyle w:val="TableofAuthorities"/>
        <w:tabs>
          <w:tab w:val="right" w:leader="dot" w:pos="9061"/>
        </w:tabs>
        <w:rPr>
          <w:noProof/>
        </w:rPr>
      </w:pPr>
      <w:r w:rsidRPr="000A1327">
        <w:rPr>
          <w:rFonts w:cstheme="minorHAnsi"/>
          <w:i/>
          <w:noProof/>
        </w:rPr>
        <w:t>R v Merrett</w:t>
      </w:r>
      <w:r w:rsidRPr="000A1327">
        <w:rPr>
          <w:rFonts w:cstheme="minorHAnsi"/>
          <w:noProof/>
        </w:rPr>
        <w:t xml:space="preserve"> (2007) 14 VR 392</w:t>
      </w:r>
      <w:r>
        <w:rPr>
          <w:noProof/>
        </w:rPr>
        <w:tab/>
        <w:t>72</w:t>
      </w:r>
    </w:p>
    <w:p w14:paraId="2C1D2351" w14:textId="77777777" w:rsidR="00D44BCF" w:rsidRDefault="00D44BCF">
      <w:pPr>
        <w:pStyle w:val="TableofAuthorities"/>
        <w:tabs>
          <w:tab w:val="right" w:leader="dot" w:pos="9061"/>
        </w:tabs>
        <w:rPr>
          <w:noProof/>
        </w:rPr>
      </w:pPr>
      <w:r w:rsidRPr="000A1327">
        <w:rPr>
          <w:rFonts w:cstheme="minorHAnsi"/>
          <w:i/>
          <w:noProof/>
        </w:rPr>
        <w:t>R v Mills</w:t>
      </w:r>
      <w:r w:rsidRPr="000A1327">
        <w:rPr>
          <w:rFonts w:cstheme="minorHAnsi"/>
          <w:noProof/>
        </w:rPr>
        <w:t xml:space="preserve"> [1998] 4 VR 235</w:t>
      </w:r>
      <w:r>
        <w:rPr>
          <w:noProof/>
        </w:rPr>
        <w:tab/>
        <w:t>59, 61</w:t>
      </w:r>
    </w:p>
    <w:p w14:paraId="74E0B5D6"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Milne</w:t>
      </w:r>
      <w:r w:rsidRPr="000A1327">
        <w:rPr>
          <w:rFonts w:cstheme="minorHAnsi"/>
          <w:noProof/>
        </w:rPr>
        <w:t xml:space="preserve"> [2001] VSCA 93</w:t>
      </w:r>
      <w:r>
        <w:rPr>
          <w:noProof/>
        </w:rPr>
        <w:tab/>
        <w:t>58</w:t>
      </w:r>
    </w:p>
    <w:p w14:paraId="6BACC3A8" w14:textId="77777777" w:rsidR="00D44BCF" w:rsidRDefault="00D44BCF">
      <w:pPr>
        <w:pStyle w:val="TableofAuthorities"/>
        <w:tabs>
          <w:tab w:val="right" w:leader="dot" w:pos="9061"/>
        </w:tabs>
        <w:rPr>
          <w:noProof/>
        </w:rPr>
      </w:pPr>
      <w:r w:rsidRPr="000A1327">
        <w:rPr>
          <w:rFonts w:cstheme="minorHAnsi"/>
          <w:bCs/>
          <w:i/>
          <w:iCs/>
          <w:noProof/>
        </w:rPr>
        <w:t>R v Mirkovic</w:t>
      </w:r>
      <w:r w:rsidRPr="000A1327">
        <w:rPr>
          <w:rFonts w:cstheme="minorHAnsi"/>
          <w:noProof/>
        </w:rPr>
        <w:t xml:space="preserve"> [1966] VR 371</w:t>
      </w:r>
      <w:r>
        <w:rPr>
          <w:noProof/>
        </w:rPr>
        <w:tab/>
        <w:t>17, 90</w:t>
      </w:r>
    </w:p>
    <w:p w14:paraId="5DDAFA0B" w14:textId="77777777" w:rsidR="00D44BCF" w:rsidRDefault="00D44BCF">
      <w:pPr>
        <w:pStyle w:val="TableofAuthorities"/>
        <w:tabs>
          <w:tab w:val="right" w:leader="dot" w:pos="9061"/>
        </w:tabs>
        <w:rPr>
          <w:noProof/>
        </w:rPr>
      </w:pPr>
      <w:r w:rsidRPr="000A1327">
        <w:rPr>
          <w:rFonts w:cstheme="minorHAnsi"/>
          <w:i/>
          <w:noProof/>
        </w:rPr>
        <w:t>R v Mitric</w:t>
      </w:r>
      <w:r w:rsidRPr="000A1327">
        <w:rPr>
          <w:rFonts w:cstheme="minorHAnsi"/>
          <w:noProof/>
        </w:rPr>
        <w:t xml:space="preserve"> [2017] SASCFC 178</w:t>
      </w:r>
      <w:r>
        <w:rPr>
          <w:noProof/>
        </w:rPr>
        <w:tab/>
        <w:t>189</w:t>
      </w:r>
    </w:p>
    <w:p w14:paraId="34B75522" w14:textId="77777777" w:rsidR="00D44BCF" w:rsidRDefault="00D44BCF">
      <w:pPr>
        <w:pStyle w:val="TableofAuthorities"/>
        <w:tabs>
          <w:tab w:val="right" w:leader="dot" w:pos="9061"/>
        </w:tabs>
        <w:rPr>
          <w:noProof/>
        </w:rPr>
      </w:pPr>
      <w:r w:rsidRPr="000A1327">
        <w:rPr>
          <w:rFonts w:cstheme="minorHAnsi"/>
          <w:i/>
          <w:noProof/>
        </w:rPr>
        <w:t>R v Mohamed</w:t>
      </w:r>
      <w:r w:rsidRPr="000A1327">
        <w:rPr>
          <w:rFonts w:cstheme="minorHAnsi"/>
          <w:noProof/>
        </w:rPr>
        <w:t xml:space="preserve"> [2016] VSC 581</w:t>
      </w:r>
      <w:r>
        <w:rPr>
          <w:noProof/>
        </w:rPr>
        <w:tab/>
        <w:t>128</w:t>
      </w:r>
    </w:p>
    <w:p w14:paraId="7849CAB8" w14:textId="77777777" w:rsidR="00D44BCF" w:rsidRDefault="00D44BCF">
      <w:pPr>
        <w:pStyle w:val="TableofAuthorities"/>
        <w:tabs>
          <w:tab w:val="right" w:leader="dot" w:pos="9061"/>
        </w:tabs>
        <w:rPr>
          <w:noProof/>
        </w:rPr>
      </w:pPr>
      <w:r w:rsidRPr="000A1327">
        <w:rPr>
          <w:rFonts w:cstheme="minorHAnsi"/>
          <w:i/>
          <w:noProof/>
        </w:rPr>
        <w:t>R v Mooney</w:t>
      </w:r>
      <w:r w:rsidRPr="000A1327">
        <w:rPr>
          <w:rFonts w:cstheme="minorHAnsi"/>
          <w:noProof/>
        </w:rPr>
        <w:t xml:space="preserve"> (Vic CCA, 21 June 1978, unreported)</w:t>
      </w:r>
      <w:r>
        <w:rPr>
          <w:noProof/>
        </w:rPr>
        <w:tab/>
        <w:t>65</w:t>
      </w:r>
    </w:p>
    <w:p w14:paraId="41F2FF16" w14:textId="77777777" w:rsidR="00D44BCF" w:rsidRDefault="00D44BCF">
      <w:pPr>
        <w:pStyle w:val="TableofAuthorities"/>
        <w:tabs>
          <w:tab w:val="right" w:leader="dot" w:pos="9061"/>
        </w:tabs>
        <w:rPr>
          <w:noProof/>
        </w:rPr>
      </w:pPr>
      <w:r w:rsidRPr="000A1327">
        <w:rPr>
          <w:rFonts w:cstheme="minorHAnsi"/>
          <w:i/>
          <w:noProof/>
        </w:rPr>
        <w:t>R v MWH</w:t>
      </w:r>
      <w:r w:rsidRPr="000A1327">
        <w:rPr>
          <w:rFonts w:cstheme="minorHAnsi"/>
          <w:noProof/>
        </w:rPr>
        <w:t xml:space="preserve"> [2001] VSCA 196</w:t>
      </w:r>
      <w:r>
        <w:rPr>
          <w:noProof/>
        </w:rPr>
        <w:tab/>
        <w:t>70</w:t>
      </w:r>
    </w:p>
    <w:p w14:paraId="2230CDC7" w14:textId="77777777" w:rsidR="00D44BCF" w:rsidRDefault="00D44BCF">
      <w:pPr>
        <w:pStyle w:val="TableofAuthorities"/>
        <w:tabs>
          <w:tab w:val="right" w:leader="dot" w:pos="9061"/>
        </w:tabs>
        <w:rPr>
          <w:noProof/>
        </w:rPr>
      </w:pPr>
      <w:r w:rsidRPr="000A1327">
        <w:rPr>
          <w:rFonts w:cstheme="minorHAnsi"/>
          <w:i/>
          <w:noProof/>
        </w:rPr>
        <w:t>R v Nahlous</w:t>
      </w:r>
      <w:r w:rsidRPr="000A1327">
        <w:rPr>
          <w:rFonts w:cstheme="minorHAnsi"/>
          <w:noProof/>
        </w:rPr>
        <w:t xml:space="preserve"> [2013] NSWCCA 90</w:t>
      </w:r>
      <w:r>
        <w:rPr>
          <w:noProof/>
        </w:rPr>
        <w:tab/>
        <w:t>46</w:t>
      </w:r>
    </w:p>
    <w:p w14:paraId="45531C84" w14:textId="77777777" w:rsidR="00D44BCF" w:rsidRDefault="00D44BCF">
      <w:pPr>
        <w:pStyle w:val="TableofAuthorities"/>
        <w:tabs>
          <w:tab w:val="right" w:leader="dot" w:pos="9061"/>
        </w:tabs>
        <w:rPr>
          <w:noProof/>
        </w:rPr>
      </w:pPr>
      <w:r w:rsidRPr="000A1327">
        <w:rPr>
          <w:rFonts w:cstheme="minorHAnsi"/>
          <w:i/>
          <w:noProof/>
        </w:rPr>
        <w:t>R v Nakash</w:t>
      </w:r>
      <w:r w:rsidRPr="000A1327">
        <w:rPr>
          <w:rFonts w:cstheme="minorHAnsi"/>
          <w:noProof/>
        </w:rPr>
        <w:t xml:space="preserve"> [2017] NSWCCA 196</w:t>
      </w:r>
      <w:r>
        <w:rPr>
          <w:noProof/>
        </w:rPr>
        <w:tab/>
        <w:t>189, 196</w:t>
      </w:r>
    </w:p>
    <w:p w14:paraId="2079C9E6" w14:textId="77777777" w:rsidR="00D44BCF" w:rsidRDefault="00D44BCF">
      <w:pPr>
        <w:pStyle w:val="TableofAuthorities"/>
        <w:tabs>
          <w:tab w:val="right" w:leader="dot" w:pos="9061"/>
        </w:tabs>
        <w:rPr>
          <w:noProof/>
        </w:rPr>
      </w:pPr>
      <w:r w:rsidRPr="000A1327">
        <w:rPr>
          <w:rFonts w:cstheme="minorHAnsi"/>
          <w:i/>
          <w:noProof/>
        </w:rPr>
        <w:t>R v Newman</w:t>
      </w:r>
      <w:r w:rsidRPr="000A1327">
        <w:rPr>
          <w:rFonts w:cstheme="minorHAnsi"/>
          <w:iCs/>
          <w:noProof/>
        </w:rPr>
        <w:t xml:space="preserve"> [2004] NSWCCA 102</w:t>
      </w:r>
      <w:r>
        <w:rPr>
          <w:noProof/>
        </w:rPr>
        <w:tab/>
        <w:t>127</w:t>
      </w:r>
    </w:p>
    <w:p w14:paraId="7B433D24" w14:textId="77777777" w:rsidR="00D44BCF" w:rsidRDefault="00D44BCF">
      <w:pPr>
        <w:pStyle w:val="TableofAuthorities"/>
        <w:tabs>
          <w:tab w:val="right" w:leader="dot" w:pos="9061"/>
        </w:tabs>
        <w:rPr>
          <w:noProof/>
        </w:rPr>
      </w:pPr>
      <w:r w:rsidRPr="000A1327">
        <w:rPr>
          <w:rFonts w:cstheme="minorHAnsi"/>
          <w:bCs/>
          <w:i/>
          <w:iCs/>
          <w:noProof/>
        </w:rPr>
        <w:t xml:space="preserve">R v Ngui </w:t>
      </w:r>
      <w:r w:rsidRPr="000A1327">
        <w:rPr>
          <w:rFonts w:cstheme="minorHAnsi"/>
          <w:noProof/>
        </w:rPr>
        <w:t>[2000] 1 VR 579</w:t>
      </w:r>
      <w:r>
        <w:rPr>
          <w:noProof/>
        </w:rPr>
        <w:tab/>
        <w:t>29, 198</w:t>
      </w:r>
    </w:p>
    <w:p w14:paraId="5D8D7DF2"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Nguyen</w:t>
      </w:r>
      <w:r w:rsidRPr="000A1327">
        <w:rPr>
          <w:rFonts w:cstheme="minorHAnsi"/>
          <w:noProof/>
        </w:rPr>
        <w:t xml:space="preserve"> [1997] 1 VR 386</w:t>
      </w:r>
      <w:r>
        <w:rPr>
          <w:noProof/>
        </w:rPr>
        <w:tab/>
        <w:t>58</w:t>
      </w:r>
    </w:p>
    <w:p w14:paraId="18258E19" w14:textId="77777777" w:rsidR="00D44BCF" w:rsidRDefault="00D44BCF">
      <w:pPr>
        <w:pStyle w:val="TableofAuthorities"/>
        <w:tabs>
          <w:tab w:val="right" w:leader="dot" w:pos="9061"/>
        </w:tabs>
        <w:rPr>
          <w:noProof/>
        </w:rPr>
      </w:pPr>
      <w:r w:rsidRPr="000A1327">
        <w:rPr>
          <w:rFonts w:cstheme="minorHAnsi"/>
          <w:i/>
          <w:noProof/>
        </w:rPr>
        <w:t>R v Nguyen</w:t>
      </w:r>
      <w:r w:rsidRPr="000A1327">
        <w:rPr>
          <w:rFonts w:cstheme="minorHAnsi"/>
          <w:noProof/>
        </w:rPr>
        <w:t xml:space="preserve"> [2000] VSCA 209</w:t>
      </w:r>
      <w:r>
        <w:rPr>
          <w:noProof/>
        </w:rPr>
        <w:tab/>
        <w:t>54</w:t>
      </w:r>
    </w:p>
    <w:p w14:paraId="73C91F1C" w14:textId="77777777" w:rsidR="00D44BCF" w:rsidRDefault="00D44BCF">
      <w:pPr>
        <w:pStyle w:val="TableofAuthorities"/>
        <w:tabs>
          <w:tab w:val="right" w:leader="dot" w:pos="9061"/>
        </w:tabs>
        <w:rPr>
          <w:noProof/>
        </w:rPr>
      </w:pPr>
      <w:r w:rsidRPr="000A1327">
        <w:rPr>
          <w:rFonts w:cstheme="minorHAnsi"/>
          <w:i/>
          <w:noProof/>
        </w:rPr>
        <w:t xml:space="preserve">R v Nguyen </w:t>
      </w:r>
      <w:r w:rsidRPr="000A1327">
        <w:rPr>
          <w:rFonts w:cstheme="minorHAnsi"/>
          <w:noProof/>
        </w:rPr>
        <w:t>[2010] NSWCCA 238</w:t>
      </w:r>
      <w:r>
        <w:rPr>
          <w:noProof/>
        </w:rPr>
        <w:tab/>
        <w:t>195</w:t>
      </w:r>
    </w:p>
    <w:p w14:paraId="05BB60B3" w14:textId="77777777" w:rsidR="00D44BCF" w:rsidRDefault="00D44BCF">
      <w:pPr>
        <w:pStyle w:val="TableofAuthorities"/>
        <w:tabs>
          <w:tab w:val="right" w:leader="dot" w:pos="9061"/>
        </w:tabs>
        <w:rPr>
          <w:noProof/>
        </w:rPr>
      </w:pPr>
      <w:r w:rsidRPr="000A1327">
        <w:rPr>
          <w:rFonts w:cstheme="minorHAnsi"/>
          <w:i/>
          <w:noProof/>
        </w:rPr>
        <w:t xml:space="preserve">R v Niass </w:t>
      </w:r>
      <w:r w:rsidRPr="000A1327">
        <w:rPr>
          <w:rFonts w:cstheme="minorHAnsi"/>
          <w:noProof/>
        </w:rPr>
        <w:t>(NSW CCA, 16 November 1988, unreported)</w:t>
      </w:r>
      <w:r>
        <w:rPr>
          <w:noProof/>
        </w:rPr>
        <w:tab/>
        <w:t>130</w:t>
      </w:r>
    </w:p>
    <w:p w14:paraId="00795952" w14:textId="77777777" w:rsidR="00D44BCF" w:rsidRDefault="00D44BCF">
      <w:pPr>
        <w:pStyle w:val="TableofAuthorities"/>
        <w:tabs>
          <w:tab w:val="right" w:leader="dot" w:pos="9061"/>
        </w:tabs>
        <w:rPr>
          <w:noProof/>
        </w:rPr>
      </w:pPr>
      <w:r w:rsidRPr="000A1327">
        <w:rPr>
          <w:rFonts w:cstheme="minorHAnsi"/>
          <w:bCs/>
          <w:i/>
          <w:iCs/>
          <w:noProof/>
        </w:rPr>
        <w:t>R v Nicholas</w:t>
      </w:r>
      <w:r w:rsidRPr="000A1327">
        <w:rPr>
          <w:rFonts w:cstheme="minorHAnsi"/>
          <w:noProof/>
        </w:rPr>
        <w:t xml:space="preserve"> [2000] 1 VR 356</w:t>
      </w:r>
      <w:r>
        <w:rPr>
          <w:noProof/>
        </w:rPr>
        <w:tab/>
        <w:t>43</w:t>
      </w:r>
    </w:p>
    <w:p w14:paraId="4A644B4C" w14:textId="77777777" w:rsidR="00D44BCF" w:rsidRDefault="00D44BCF">
      <w:pPr>
        <w:pStyle w:val="TableofAuthorities"/>
        <w:tabs>
          <w:tab w:val="right" w:leader="dot" w:pos="9061"/>
        </w:tabs>
        <w:rPr>
          <w:noProof/>
        </w:rPr>
      </w:pPr>
      <w:r w:rsidRPr="000A1327">
        <w:rPr>
          <w:rFonts w:cstheme="minorHAnsi"/>
          <w:i/>
          <w:noProof/>
        </w:rPr>
        <w:t>R v Nikodjevic</w:t>
      </w:r>
      <w:r w:rsidRPr="000A1327">
        <w:rPr>
          <w:rFonts w:cstheme="minorHAnsi"/>
          <w:noProof/>
        </w:rPr>
        <w:t xml:space="preserve"> [2004] VSCA 222</w:t>
      </w:r>
      <w:r>
        <w:rPr>
          <w:noProof/>
        </w:rPr>
        <w:tab/>
        <w:t>71, 138</w:t>
      </w:r>
    </w:p>
    <w:p w14:paraId="04A97868" w14:textId="77777777" w:rsidR="00D44BCF" w:rsidRDefault="00D44BCF">
      <w:pPr>
        <w:pStyle w:val="TableofAuthorities"/>
        <w:tabs>
          <w:tab w:val="right" w:leader="dot" w:pos="9061"/>
        </w:tabs>
        <w:rPr>
          <w:noProof/>
        </w:rPr>
      </w:pPr>
      <w:r w:rsidRPr="000A1327">
        <w:rPr>
          <w:rFonts w:cstheme="minorHAnsi"/>
          <w:i/>
          <w:noProof/>
        </w:rPr>
        <w:t>R v Nixon</w:t>
      </w:r>
      <w:r w:rsidRPr="000A1327">
        <w:rPr>
          <w:rFonts w:cstheme="minorHAnsi"/>
          <w:noProof/>
        </w:rPr>
        <w:t xml:space="preserve"> (1993) 66 A Crim R 83</w:t>
      </w:r>
      <w:r>
        <w:rPr>
          <w:noProof/>
        </w:rPr>
        <w:tab/>
        <w:t>210</w:t>
      </w:r>
    </w:p>
    <w:p w14:paraId="747CEBE5" w14:textId="77777777" w:rsidR="00D44BCF" w:rsidRDefault="00D44BCF">
      <w:pPr>
        <w:pStyle w:val="TableofAuthorities"/>
        <w:tabs>
          <w:tab w:val="right" w:leader="dot" w:pos="9061"/>
        </w:tabs>
        <w:rPr>
          <w:noProof/>
        </w:rPr>
      </w:pPr>
      <w:r w:rsidRPr="000A1327">
        <w:rPr>
          <w:rFonts w:cstheme="minorHAnsi"/>
          <w:i/>
          <w:noProof/>
        </w:rPr>
        <w:t xml:space="preserve">R v NK </w:t>
      </w:r>
      <w:r w:rsidRPr="000A1327">
        <w:rPr>
          <w:rFonts w:cstheme="minorHAnsi"/>
          <w:noProof/>
        </w:rPr>
        <w:t>[2008] QCA 403</w:t>
      </w:r>
      <w:r>
        <w:rPr>
          <w:noProof/>
        </w:rPr>
        <w:tab/>
        <w:t>132, 137</w:t>
      </w:r>
    </w:p>
    <w:p w14:paraId="7772A048"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Norris; Ex parte Attorney-General (Qld)</w:t>
      </w:r>
      <w:r w:rsidRPr="000A1327">
        <w:rPr>
          <w:rFonts w:cstheme="minorHAnsi"/>
          <w:noProof/>
        </w:rPr>
        <w:t xml:space="preserve"> [2018] QCA 27</w:t>
      </w:r>
      <w:r>
        <w:rPr>
          <w:noProof/>
        </w:rPr>
        <w:tab/>
        <w:t>78</w:t>
      </w:r>
    </w:p>
    <w:p w14:paraId="037BE02C" w14:textId="77777777" w:rsidR="00D44BCF" w:rsidRDefault="00D44BCF">
      <w:pPr>
        <w:pStyle w:val="TableofAuthorities"/>
        <w:tabs>
          <w:tab w:val="right" w:leader="dot" w:pos="9061"/>
        </w:tabs>
        <w:rPr>
          <w:noProof/>
        </w:rPr>
      </w:pPr>
      <w:r w:rsidRPr="000A1327">
        <w:rPr>
          <w:rFonts w:cstheme="minorHAnsi"/>
          <w:i/>
          <w:noProof/>
        </w:rPr>
        <w:t>R v Novak</w:t>
      </w:r>
      <w:r w:rsidRPr="000A1327">
        <w:rPr>
          <w:rFonts w:cstheme="minorHAnsi"/>
          <w:noProof/>
        </w:rPr>
        <w:t xml:space="preserve"> [2003] VSCA 46</w:t>
      </w:r>
      <w:r>
        <w:rPr>
          <w:noProof/>
        </w:rPr>
        <w:tab/>
        <w:t>170, 173, 235</w:t>
      </w:r>
    </w:p>
    <w:p w14:paraId="4253AEC2" w14:textId="77777777" w:rsidR="00D44BCF" w:rsidRDefault="00D44BCF">
      <w:pPr>
        <w:pStyle w:val="TableofAuthorities"/>
        <w:tabs>
          <w:tab w:val="right" w:leader="dot" w:pos="9061"/>
        </w:tabs>
        <w:rPr>
          <w:noProof/>
        </w:rPr>
      </w:pPr>
      <w:r w:rsidRPr="000A1327">
        <w:rPr>
          <w:rFonts w:cstheme="minorHAnsi"/>
          <w:i/>
          <w:noProof/>
        </w:rPr>
        <w:t>R v O’Brien</w:t>
      </w:r>
      <w:r w:rsidRPr="000A1327">
        <w:rPr>
          <w:rFonts w:cstheme="minorHAnsi"/>
          <w:noProof/>
        </w:rPr>
        <w:t xml:space="preserve"> (1991) 57 A Crim R 80</w:t>
      </w:r>
      <w:r>
        <w:rPr>
          <w:noProof/>
        </w:rPr>
        <w:tab/>
        <w:t>132, 134, 139</w:t>
      </w:r>
    </w:p>
    <w:p w14:paraId="1F6419DA" w14:textId="77777777" w:rsidR="00D44BCF" w:rsidRDefault="00D44BCF">
      <w:pPr>
        <w:pStyle w:val="TableofAuthorities"/>
        <w:tabs>
          <w:tab w:val="right" w:leader="dot" w:pos="9061"/>
        </w:tabs>
        <w:rPr>
          <w:noProof/>
        </w:rPr>
      </w:pPr>
      <w:r w:rsidRPr="000A1327">
        <w:rPr>
          <w:rFonts w:cstheme="minorHAnsi"/>
          <w:i/>
          <w:noProof/>
        </w:rPr>
        <w:t>R v O’Brien</w:t>
      </w:r>
      <w:r w:rsidRPr="000A1327">
        <w:rPr>
          <w:rFonts w:cstheme="minorHAnsi"/>
          <w:noProof/>
        </w:rPr>
        <w:t xml:space="preserve"> [1997] 2 VR 714</w:t>
      </w:r>
      <w:r>
        <w:rPr>
          <w:noProof/>
        </w:rPr>
        <w:tab/>
        <w:t>56</w:t>
      </w:r>
    </w:p>
    <w:p w14:paraId="5E407DB6" w14:textId="77777777" w:rsidR="00D44BCF" w:rsidRDefault="00D44BCF">
      <w:pPr>
        <w:pStyle w:val="TableofAuthorities"/>
        <w:tabs>
          <w:tab w:val="right" w:leader="dot" w:pos="9061"/>
        </w:tabs>
        <w:rPr>
          <w:noProof/>
        </w:rPr>
      </w:pPr>
      <w:r w:rsidRPr="000A1327">
        <w:rPr>
          <w:rFonts w:cstheme="minorHAnsi"/>
          <w:i/>
          <w:noProof/>
        </w:rPr>
        <w:t>R v Oancea</w:t>
      </w:r>
      <w:r w:rsidRPr="000A1327">
        <w:rPr>
          <w:rFonts w:cstheme="minorHAnsi"/>
          <w:noProof/>
        </w:rPr>
        <w:t xml:space="preserve"> (1990) 51 A Crim R 141</w:t>
      </w:r>
      <w:r>
        <w:rPr>
          <w:noProof/>
        </w:rPr>
        <w:tab/>
        <w:t>57</w:t>
      </w:r>
    </w:p>
    <w:p w14:paraId="6B238DD3" w14:textId="77777777" w:rsidR="00D44BCF" w:rsidRDefault="00D44BCF">
      <w:pPr>
        <w:pStyle w:val="TableofAuthorities"/>
        <w:tabs>
          <w:tab w:val="right" w:leader="dot" w:pos="9061"/>
        </w:tabs>
        <w:rPr>
          <w:noProof/>
        </w:rPr>
      </w:pPr>
      <w:r w:rsidRPr="000A1327">
        <w:rPr>
          <w:rFonts w:cstheme="minorHAnsi"/>
          <w:i/>
          <w:iCs/>
          <w:noProof/>
        </w:rPr>
        <w:t>R v Ogawa</w:t>
      </w:r>
      <w:r w:rsidRPr="000A1327">
        <w:rPr>
          <w:rFonts w:cstheme="minorHAnsi"/>
          <w:noProof/>
        </w:rPr>
        <w:t xml:space="preserve"> [2011] 2 Qd R 350</w:t>
      </w:r>
      <w:r>
        <w:rPr>
          <w:noProof/>
        </w:rPr>
        <w:tab/>
        <w:t>223, 260</w:t>
      </w:r>
    </w:p>
    <w:p w14:paraId="4E04C845" w14:textId="77777777" w:rsidR="00D44BCF" w:rsidRDefault="00D44BCF">
      <w:pPr>
        <w:pStyle w:val="TableofAuthorities"/>
        <w:tabs>
          <w:tab w:val="right" w:leader="dot" w:pos="9061"/>
        </w:tabs>
        <w:rPr>
          <w:noProof/>
        </w:rPr>
      </w:pPr>
      <w:r w:rsidRPr="000A1327">
        <w:rPr>
          <w:rFonts w:cstheme="minorHAnsi"/>
          <w:i/>
          <w:noProof/>
        </w:rPr>
        <w:t>R v Ogden</w:t>
      </w:r>
      <w:r w:rsidRPr="000A1327">
        <w:rPr>
          <w:rFonts w:cstheme="minorHAnsi"/>
          <w:noProof/>
        </w:rPr>
        <w:t xml:space="preserve"> [2014] QCA 89</w:t>
      </w:r>
      <w:r>
        <w:rPr>
          <w:noProof/>
        </w:rPr>
        <w:tab/>
        <w:t>189</w:t>
      </w:r>
    </w:p>
    <w:p w14:paraId="2883D935" w14:textId="77777777" w:rsidR="00D44BCF" w:rsidRDefault="00D44BCF">
      <w:pPr>
        <w:pStyle w:val="TableofAuthorities"/>
        <w:tabs>
          <w:tab w:val="right" w:leader="dot" w:pos="9061"/>
        </w:tabs>
        <w:rPr>
          <w:noProof/>
        </w:rPr>
      </w:pPr>
      <w:r w:rsidRPr="000A1327">
        <w:rPr>
          <w:rFonts w:cstheme="minorHAnsi"/>
          <w:i/>
          <w:noProof/>
        </w:rPr>
        <w:t>R v Olbrich</w:t>
      </w:r>
      <w:r w:rsidRPr="000A1327">
        <w:rPr>
          <w:rFonts w:cstheme="minorHAnsi"/>
          <w:noProof/>
        </w:rPr>
        <w:t xml:space="preserve"> (1999) 199 CLR 270</w:t>
      </w:r>
      <w:r>
        <w:rPr>
          <w:noProof/>
        </w:rPr>
        <w:tab/>
        <w:t>24, 25, 26, 42, 43, 187</w:t>
      </w:r>
    </w:p>
    <w:p w14:paraId="65308D6F" w14:textId="77777777" w:rsidR="00D44BCF" w:rsidRDefault="00D44BCF">
      <w:pPr>
        <w:pStyle w:val="TableofAuthorities"/>
        <w:tabs>
          <w:tab w:val="right" w:leader="dot" w:pos="9061"/>
        </w:tabs>
        <w:rPr>
          <w:noProof/>
        </w:rPr>
      </w:pPr>
      <w:r w:rsidRPr="000A1327">
        <w:rPr>
          <w:rFonts w:cstheme="minorHAnsi"/>
          <w:i/>
          <w:noProof/>
        </w:rPr>
        <w:t>R v Pajic</w:t>
      </w:r>
      <w:r w:rsidRPr="000A1327">
        <w:rPr>
          <w:rFonts w:cstheme="minorHAnsi"/>
          <w:noProof/>
        </w:rPr>
        <w:t xml:space="preserve"> [2009] VSCA 53</w:t>
      </w:r>
      <w:r>
        <w:rPr>
          <w:noProof/>
        </w:rPr>
        <w:tab/>
        <w:t>51</w:t>
      </w:r>
    </w:p>
    <w:p w14:paraId="12AECA99" w14:textId="77777777" w:rsidR="00D44BCF" w:rsidRDefault="00D44BCF">
      <w:pPr>
        <w:pStyle w:val="TableofAuthorities"/>
        <w:tabs>
          <w:tab w:val="right" w:leader="dot" w:pos="9061"/>
        </w:tabs>
        <w:rPr>
          <w:noProof/>
        </w:rPr>
      </w:pPr>
      <w:r w:rsidRPr="000A1327">
        <w:rPr>
          <w:rFonts w:cstheme="minorHAnsi"/>
          <w:i/>
          <w:noProof/>
        </w:rPr>
        <w:t>R v Palu</w:t>
      </w:r>
      <w:r w:rsidRPr="000A1327">
        <w:rPr>
          <w:rFonts w:cstheme="minorHAnsi"/>
          <w:noProof/>
        </w:rPr>
        <w:t xml:space="preserve"> [2002] NSWCCA 381</w:t>
      </w:r>
      <w:r>
        <w:rPr>
          <w:noProof/>
        </w:rPr>
        <w:tab/>
        <w:t>28</w:t>
      </w:r>
    </w:p>
    <w:p w14:paraId="569EF8F1" w14:textId="77777777" w:rsidR="00D44BCF" w:rsidRDefault="00D44BCF">
      <w:pPr>
        <w:pStyle w:val="TableofAuthorities"/>
        <w:tabs>
          <w:tab w:val="right" w:leader="dot" w:pos="9061"/>
        </w:tabs>
        <w:rPr>
          <w:noProof/>
        </w:rPr>
      </w:pPr>
      <w:r w:rsidRPr="000A1327">
        <w:rPr>
          <w:rFonts w:cstheme="minorHAnsi"/>
          <w:bCs/>
          <w:i/>
          <w:iCs/>
          <w:noProof/>
        </w:rPr>
        <w:t>R v Paull</w:t>
      </w:r>
      <w:r w:rsidRPr="000A1327">
        <w:rPr>
          <w:rFonts w:cstheme="minorHAnsi"/>
          <w:noProof/>
        </w:rPr>
        <w:t xml:space="preserve"> (1990) 20 NSWLR 427</w:t>
      </w:r>
      <w:r>
        <w:rPr>
          <w:noProof/>
        </w:rPr>
        <w:tab/>
        <w:t>57</w:t>
      </w:r>
    </w:p>
    <w:p w14:paraId="2BC11995" w14:textId="77777777" w:rsidR="00D44BCF" w:rsidRDefault="00D44BCF">
      <w:pPr>
        <w:pStyle w:val="TableofAuthorities"/>
        <w:tabs>
          <w:tab w:val="right" w:leader="dot" w:pos="9061"/>
        </w:tabs>
        <w:rPr>
          <w:noProof/>
        </w:rPr>
      </w:pPr>
      <w:r w:rsidRPr="000A1327">
        <w:rPr>
          <w:rFonts w:cstheme="minorHAnsi"/>
          <w:bCs/>
          <w:i/>
          <w:iCs/>
          <w:noProof/>
        </w:rPr>
        <w:t>R v Pearce</w:t>
      </w:r>
      <w:r w:rsidRPr="000A1327">
        <w:rPr>
          <w:rFonts w:cstheme="minorHAnsi"/>
          <w:noProof/>
        </w:rPr>
        <w:t xml:space="preserve"> [2001] NSWCCA 447</w:t>
      </w:r>
      <w:r>
        <w:rPr>
          <w:noProof/>
        </w:rPr>
        <w:tab/>
        <w:t>208, 210</w:t>
      </w:r>
    </w:p>
    <w:p w14:paraId="29FF2F6A" w14:textId="77777777" w:rsidR="00D44BCF" w:rsidRDefault="00D44BCF">
      <w:pPr>
        <w:pStyle w:val="TableofAuthorities"/>
        <w:tabs>
          <w:tab w:val="right" w:leader="dot" w:pos="9061"/>
        </w:tabs>
        <w:rPr>
          <w:noProof/>
        </w:rPr>
      </w:pPr>
      <w:r w:rsidRPr="000A1327">
        <w:rPr>
          <w:rFonts w:cstheme="minorHAnsi"/>
          <w:i/>
          <w:noProof/>
        </w:rPr>
        <w:t>R v Pearson</w:t>
      </w:r>
      <w:r w:rsidRPr="000A1327">
        <w:rPr>
          <w:rFonts w:cstheme="minorHAnsi"/>
          <w:noProof/>
        </w:rPr>
        <w:t xml:space="preserve"> [2016] QCA 212</w:t>
      </w:r>
      <w:r>
        <w:rPr>
          <w:noProof/>
        </w:rPr>
        <w:tab/>
        <w:t>78</w:t>
      </w:r>
    </w:p>
    <w:p w14:paraId="3DCAB785" w14:textId="77777777" w:rsidR="00D44BCF" w:rsidRDefault="00D44BCF">
      <w:pPr>
        <w:pStyle w:val="TableofAuthorities"/>
        <w:tabs>
          <w:tab w:val="right" w:leader="dot" w:pos="9061"/>
        </w:tabs>
        <w:rPr>
          <w:noProof/>
        </w:rPr>
      </w:pPr>
      <w:r w:rsidRPr="000A1327">
        <w:rPr>
          <w:rFonts w:cstheme="minorHAnsi"/>
          <w:i/>
          <w:noProof/>
        </w:rPr>
        <w:t>R v Pennant</w:t>
      </w:r>
      <w:r w:rsidRPr="000A1327">
        <w:rPr>
          <w:rFonts w:cstheme="minorHAnsi"/>
          <w:noProof/>
        </w:rPr>
        <w:t xml:space="preserve"> [1998] 2 VR 453</w:t>
      </w:r>
      <w:r>
        <w:rPr>
          <w:noProof/>
        </w:rPr>
        <w:tab/>
        <w:t>68</w:t>
      </w:r>
    </w:p>
    <w:p w14:paraId="24EF4422" w14:textId="77777777" w:rsidR="00D44BCF" w:rsidRDefault="00D44BCF">
      <w:pPr>
        <w:pStyle w:val="TableofAuthorities"/>
        <w:tabs>
          <w:tab w:val="right" w:leader="dot" w:pos="9061"/>
        </w:tabs>
        <w:rPr>
          <w:noProof/>
        </w:rPr>
      </w:pPr>
      <w:r w:rsidRPr="000A1327">
        <w:rPr>
          <w:rFonts w:cstheme="minorHAnsi"/>
          <w:i/>
          <w:iCs/>
          <w:noProof/>
        </w:rPr>
        <w:t>R v Perez-Vargas</w:t>
      </w:r>
      <w:r w:rsidRPr="000A1327">
        <w:rPr>
          <w:rFonts w:cstheme="minorHAnsi"/>
          <w:noProof/>
        </w:rPr>
        <w:t xml:space="preserve"> (1986) 6 NSWLR 559</w:t>
      </w:r>
      <w:r>
        <w:rPr>
          <w:noProof/>
        </w:rPr>
        <w:tab/>
        <w:t>53, 55</w:t>
      </w:r>
    </w:p>
    <w:p w14:paraId="0A158587" w14:textId="77777777" w:rsidR="00D44BCF" w:rsidRDefault="00D44BCF">
      <w:pPr>
        <w:pStyle w:val="TableofAuthorities"/>
        <w:tabs>
          <w:tab w:val="right" w:leader="dot" w:pos="9061"/>
        </w:tabs>
        <w:rPr>
          <w:noProof/>
        </w:rPr>
      </w:pPr>
      <w:r w:rsidRPr="000A1327">
        <w:rPr>
          <w:rFonts w:cstheme="minorHAnsi"/>
          <w:i/>
          <w:noProof/>
        </w:rPr>
        <w:t>R v Perrier (No 2)</w:t>
      </w:r>
      <w:r w:rsidRPr="000A1327">
        <w:rPr>
          <w:rFonts w:cstheme="minorHAnsi"/>
          <w:noProof/>
        </w:rPr>
        <w:t xml:space="preserve"> [1991] 1 VR 717</w:t>
      </w:r>
      <w:r>
        <w:rPr>
          <w:noProof/>
        </w:rPr>
        <w:tab/>
        <w:t>56</w:t>
      </w:r>
    </w:p>
    <w:p w14:paraId="76B02FDB" w14:textId="77777777" w:rsidR="00D44BCF" w:rsidRDefault="00D44BCF">
      <w:pPr>
        <w:pStyle w:val="TableofAuthorities"/>
        <w:tabs>
          <w:tab w:val="right" w:leader="dot" w:pos="9061"/>
        </w:tabs>
        <w:rPr>
          <w:noProof/>
        </w:rPr>
      </w:pPr>
      <w:r w:rsidRPr="000A1327">
        <w:rPr>
          <w:rFonts w:cstheme="minorHAnsi"/>
          <w:i/>
          <w:noProof/>
        </w:rPr>
        <w:t>R v Petrovic</w:t>
      </w:r>
      <w:r w:rsidRPr="000A1327">
        <w:rPr>
          <w:rFonts w:cstheme="minorHAnsi"/>
          <w:noProof/>
        </w:rPr>
        <w:t xml:space="preserve"> [1998] VSCA 95</w:t>
      </w:r>
      <w:r>
        <w:rPr>
          <w:noProof/>
        </w:rPr>
        <w:tab/>
        <w:t>132</w:t>
      </w:r>
    </w:p>
    <w:p w14:paraId="6028DE04" w14:textId="77777777" w:rsidR="00D44BCF" w:rsidRDefault="00D44BCF">
      <w:pPr>
        <w:pStyle w:val="TableofAuthorities"/>
        <w:tabs>
          <w:tab w:val="right" w:leader="dot" w:pos="9061"/>
        </w:tabs>
        <w:rPr>
          <w:noProof/>
        </w:rPr>
      </w:pPr>
      <w:r w:rsidRPr="000A1327">
        <w:rPr>
          <w:rFonts w:cstheme="minorHAnsi"/>
          <w:i/>
          <w:noProof/>
        </w:rPr>
        <w:t xml:space="preserve">R v Pham </w:t>
      </w:r>
      <w:r w:rsidRPr="000A1327">
        <w:rPr>
          <w:rFonts w:cstheme="minorHAnsi"/>
          <w:noProof/>
        </w:rPr>
        <w:t>(2015) 256 CLR 550</w:t>
      </w:r>
      <w:r>
        <w:rPr>
          <w:noProof/>
        </w:rPr>
        <w:tab/>
        <w:t>8, 12, 33, 34, 35, 38, 39, 189, 220</w:t>
      </w:r>
    </w:p>
    <w:p w14:paraId="1ADA2A3B" w14:textId="77777777" w:rsidR="00D44BCF" w:rsidRDefault="00D44BCF">
      <w:pPr>
        <w:pStyle w:val="TableofAuthorities"/>
        <w:tabs>
          <w:tab w:val="right" w:leader="dot" w:pos="9061"/>
        </w:tabs>
        <w:rPr>
          <w:noProof/>
        </w:rPr>
      </w:pPr>
      <w:r w:rsidRPr="000A1327">
        <w:rPr>
          <w:rFonts w:cstheme="minorHAnsi"/>
          <w:i/>
          <w:noProof/>
        </w:rPr>
        <w:t>R v Pham</w:t>
      </w:r>
      <w:r w:rsidRPr="000A1327">
        <w:rPr>
          <w:rFonts w:cstheme="minorHAnsi"/>
          <w:noProof/>
        </w:rPr>
        <w:t xml:space="preserve"> [2005] NSWCCA 94</w:t>
      </w:r>
      <w:r>
        <w:rPr>
          <w:noProof/>
        </w:rPr>
        <w:tab/>
        <w:t>77, 78</w:t>
      </w:r>
    </w:p>
    <w:p w14:paraId="3E92C6B1" w14:textId="77777777" w:rsidR="00D44BCF" w:rsidRDefault="00D44BCF">
      <w:pPr>
        <w:pStyle w:val="TableofAuthorities"/>
        <w:tabs>
          <w:tab w:val="right" w:leader="dot" w:pos="9061"/>
        </w:tabs>
        <w:rPr>
          <w:noProof/>
        </w:rPr>
      </w:pPr>
      <w:r w:rsidRPr="000A1327">
        <w:rPr>
          <w:rFonts w:cstheme="minorHAnsi"/>
          <w:i/>
          <w:iCs/>
          <w:noProof/>
        </w:rPr>
        <w:t>R v Phelps</w:t>
      </w:r>
      <w:r w:rsidRPr="000A1327">
        <w:rPr>
          <w:rFonts w:cstheme="minorHAnsi"/>
          <w:noProof/>
        </w:rPr>
        <w:t xml:space="preserve"> [2018] NSWCCA 191</w:t>
      </w:r>
      <w:r>
        <w:rPr>
          <w:noProof/>
        </w:rPr>
        <w:tab/>
        <w:t>55</w:t>
      </w:r>
    </w:p>
    <w:p w14:paraId="1FDD430D" w14:textId="77777777" w:rsidR="00D44BCF" w:rsidRDefault="00D44BCF">
      <w:pPr>
        <w:pStyle w:val="TableofAuthorities"/>
        <w:tabs>
          <w:tab w:val="right" w:leader="dot" w:pos="9061"/>
        </w:tabs>
        <w:rPr>
          <w:noProof/>
        </w:rPr>
      </w:pPr>
      <w:r w:rsidRPr="000A1327">
        <w:rPr>
          <w:rFonts w:cstheme="minorHAnsi"/>
          <w:i/>
          <w:noProof/>
        </w:rPr>
        <w:t>R v Phillips</w:t>
      </w:r>
      <w:r w:rsidRPr="000A1327">
        <w:rPr>
          <w:rFonts w:cstheme="minorHAnsi"/>
          <w:noProof/>
        </w:rPr>
        <w:t xml:space="preserve"> [1991] 2 VR 207</w:t>
      </w:r>
      <w:r>
        <w:rPr>
          <w:noProof/>
        </w:rPr>
        <w:tab/>
        <w:t>83</w:t>
      </w:r>
    </w:p>
    <w:p w14:paraId="06621FE5" w14:textId="77777777" w:rsidR="00D44BCF" w:rsidRDefault="00D44BCF">
      <w:pPr>
        <w:pStyle w:val="TableofAuthorities"/>
        <w:tabs>
          <w:tab w:val="right" w:leader="dot" w:pos="9061"/>
        </w:tabs>
        <w:rPr>
          <w:noProof/>
        </w:rPr>
      </w:pPr>
      <w:r w:rsidRPr="000A1327">
        <w:rPr>
          <w:rFonts w:cstheme="minorHAnsi"/>
          <w:i/>
          <w:noProof/>
        </w:rPr>
        <w:t>R v Phillips</w:t>
      </w:r>
      <w:r w:rsidRPr="000A1327">
        <w:rPr>
          <w:rFonts w:cstheme="minorHAnsi"/>
          <w:noProof/>
        </w:rPr>
        <w:t xml:space="preserve"> [2008] QCA 284</w:t>
      </w:r>
      <w:r>
        <w:rPr>
          <w:noProof/>
        </w:rPr>
        <w:tab/>
        <w:t>57</w:t>
      </w:r>
    </w:p>
    <w:p w14:paraId="7D6E4351" w14:textId="77777777" w:rsidR="00D44BCF" w:rsidRDefault="00D44BCF">
      <w:pPr>
        <w:pStyle w:val="TableofAuthorities"/>
        <w:tabs>
          <w:tab w:val="right" w:leader="dot" w:pos="9061"/>
        </w:tabs>
        <w:rPr>
          <w:noProof/>
        </w:rPr>
      </w:pPr>
      <w:r w:rsidRPr="000A1327">
        <w:rPr>
          <w:rFonts w:cstheme="minorHAnsi"/>
          <w:i/>
          <w:noProof/>
        </w:rPr>
        <w:t>R v Pickard</w:t>
      </w:r>
      <w:r w:rsidRPr="000A1327">
        <w:rPr>
          <w:rFonts w:cstheme="minorHAnsi"/>
          <w:noProof/>
        </w:rPr>
        <w:t xml:space="preserve"> [1998] VSCA 50</w:t>
      </w:r>
      <w:r>
        <w:rPr>
          <w:noProof/>
        </w:rPr>
        <w:tab/>
        <w:t>25, 26, 56</w:t>
      </w:r>
    </w:p>
    <w:p w14:paraId="0A19844C" w14:textId="77777777" w:rsidR="00D44BCF" w:rsidRDefault="00D44BCF">
      <w:pPr>
        <w:pStyle w:val="TableofAuthorities"/>
        <w:tabs>
          <w:tab w:val="right" w:leader="dot" w:pos="9061"/>
        </w:tabs>
        <w:rPr>
          <w:noProof/>
        </w:rPr>
      </w:pPr>
      <w:r w:rsidRPr="000A1327">
        <w:rPr>
          <w:rFonts w:cstheme="minorHAnsi"/>
          <w:i/>
          <w:noProof/>
        </w:rPr>
        <w:t>R v Pishdari</w:t>
      </w:r>
      <w:r w:rsidRPr="000A1327">
        <w:rPr>
          <w:rFonts w:cstheme="minorHAnsi"/>
          <w:noProof/>
        </w:rPr>
        <w:t xml:space="preserve"> [2018] SASCFC 94</w:t>
      </w:r>
      <w:r>
        <w:rPr>
          <w:noProof/>
        </w:rPr>
        <w:tab/>
        <w:t>59</w:t>
      </w:r>
    </w:p>
    <w:p w14:paraId="0FF5137B" w14:textId="77777777" w:rsidR="00D44BCF" w:rsidRDefault="00D44BCF">
      <w:pPr>
        <w:pStyle w:val="TableofAuthorities"/>
        <w:tabs>
          <w:tab w:val="right" w:leader="dot" w:pos="9061"/>
        </w:tabs>
        <w:rPr>
          <w:noProof/>
        </w:rPr>
      </w:pPr>
      <w:r w:rsidRPr="000A1327">
        <w:rPr>
          <w:rFonts w:cstheme="minorHAnsi"/>
          <w:i/>
          <w:noProof/>
        </w:rPr>
        <w:t>R v Pividor</w:t>
      </w:r>
      <w:r w:rsidRPr="000A1327">
        <w:rPr>
          <w:rFonts w:cstheme="minorHAnsi"/>
          <w:noProof/>
        </w:rPr>
        <w:t xml:space="preserve"> [2002] VSCA 174</w:t>
      </w:r>
      <w:r>
        <w:rPr>
          <w:noProof/>
        </w:rPr>
        <w:tab/>
        <w:t>55</w:t>
      </w:r>
    </w:p>
    <w:p w14:paraId="47F90E2E" w14:textId="77777777" w:rsidR="00D44BCF" w:rsidRDefault="00D44BCF">
      <w:pPr>
        <w:pStyle w:val="TableofAuthorities"/>
        <w:tabs>
          <w:tab w:val="right" w:leader="dot" w:pos="9061"/>
        </w:tabs>
        <w:rPr>
          <w:noProof/>
        </w:rPr>
      </w:pPr>
      <w:r w:rsidRPr="000A1327">
        <w:rPr>
          <w:rFonts w:cstheme="minorHAnsi"/>
          <w:bCs/>
          <w:i/>
          <w:iCs/>
          <w:noProof/>
        </w:rPr>
        <w:t>R v Place</w:t>
      </w:r>
      <w:r w:rsidRPr="000A1327">
        <w:rPr>
          <w:rFonts w:cstheme="minorHAnsi"/>
          <w:noProof/>
        </w:rPr>
        <w:t xml:space="preserve"> (2002) 81 SASR 395</w:t>
      </w:r>
      <w:r>
        <w:rPr>
          <w:noProof/>
        </w:rPr>
        <w:tab/>
        <w:t>51, 202</w:t>
      </w:r>
    </w:p>
    <w:p w14:paraId="38A1D2E7" w14:textId="77777777" w:rsidR="00D44BCF" w:rsidRDefault="00D44BCF">
      <w:pPr>
        <w:pStyle w:val="TableofAuthorities"/>
        <w:tabs>
          <w:tab w:val="right" w:leader="dot" w:pos="9061"/>
        </w:tabs>
        <w:rPr>
          <w:noProof/>
        </w:rPr>
      </w:pPr>
      <w:r w:rsidRPr="000A1327">
        <w:rPr>
          <w:rFonts w:cstheme="minorHAnsi"/>
          <w:i/>
          <w:noProof/>
        </w:rPr>
        <w:t>R v Ponniah</w:t>
      </w:r>
      <w:r w:rsidRPr="000A1327">
        <w:rPr>
          <w:rFonts w:cstheme="minorHAnsi"/>
          <w:noProof/>
        </w:rPr>
        <w:t xml:space="preserve"> [2011] WASCA 105</w:t>
      </w:r>
      <w:r>
        <w:rPr>
          <w:noProof/>
        </w:rPr>
        <w:tab/>
        <w:t>77, 79</w:t>
      </w:r>
    </w:p>
    <w:p w14:paraId="3324B9BE" w14:textId="77777777" w:rsidR="00D44BCF" w:rsidRDefault="00D44BCF">
      <w:pPr>
        <w:pStyle w:val="TableofAuthorities"/>
        <w:tabs>
          <w:tab w:val="right" w:leader="dot" w:pos="9061"/>
        </w:tabs>
        <w:rPr>
          <w:noProof/>
        </w:rPr>
      </w:pPr>
      <w:r w:rsidRPr="000A1327">
        <w:rPr>
          <w:rFonts w:cstheme="minorHAnsi"/>
          <w:i/>
          <w:noProof/>
        </w:rPr>
        <w:t>R v Price</w:t>
      </w:r>
      <w:r w:rsidRPr="000A1327">
        <w:rPr>
          <w:rFonts w:cstheme="minorHAnsi"/>
          <w:noProof/>
        </w:rPr>
        <w:t xml:space="preserve"> [2008] QCA 330</w:t>
      </w:r>
      <w:r>
        <w:rPr>
          <w:noProof/>
        </w:rPr>
        <w:tab/>
        <w:t>99</w:t>
      </w:r>
    </w:p>
    <w:p w14:paraId="22F66EFD" w14:textId="77777777" w:rsidR="00D44BCF" w:rsidRDefault="00D44BCF">
      <w:pPr>
        <w:pStyle w:val="TableofAuthorities"/>
        <w:tabs>
          <w:tab w:val="right" w:leader="dot" w:pos="9061"/>
        </w:tabs>
        <w:rPr>
          <w:noProof/>
        </w:rPr>
      </w:pPr>
      <w:r w:rsidRPr="000A1327">
        <w:rPr>
          <w:rFonts w:cstheme="minorHAnsi"/>
          <w:i/>
          <w:noProof/>
        </w:rPr>
        <w:t>R v QTV</w:t>
      </w:r>
      <w:r w:rsidRPr="000A1327">
        <w:rPr>
          <w:rFonts w:cstheme="minorHAnsi"/>
          <w:noProof/>
        </w:rPr>
        <w:t xml:space="preserve"> (2003) 87 SASR 378</w:t>
      </w:r>
      <w:r>
        <w:rPr>
          <w:noProof/>
        </w:rPr>
        <w:tab/>
        <w:t>220</w:t>
      </w:r>
    </w:p>
    <w:p w14:paraId="630CA5E4" w14:textId="77777777" w:rsidR="00D44BCF" w:rsidRDefault="00D44BCF">
      <w:pPr>
        <w:pStyle w:val="TableofAuthorities"/>
        <w:tabs>
          <w:tab w:val="right" w:leader="dot" w:pos="9061"/>
        </w:tabs>
        <w:rPr>
          <w:noProof/>
        </w:rPr>
      </w:pPr>
      <w:r w:rsidRPr="000A1327">
        <w:rPr>
          <w:rFonts w:cstheme="minorHAnsi"/>
          <w:i/>
          <w:noProof/>
        </w:rPr>
        <w:t>R v Qutami</w:t>
      </w:r>
      <w:r w:rsidRPr="000A1327">
        <w:rPr>
          <w:rFonts w:cstheme="minorHAnsi"/>
          <w:noProof/>
        </w:rPr>
        <w:t xml:space="preserve"> (2001) 127 A Crim R 369</w:t>
      </w:r>
      <w:r>
        <w:rPr>
          <w:noProof/>
        </w:rPr>
        <w:tab/>
        <w:t>28</w:t>
      </w:r>
    </w:p>
    <w:p w14:paraId="77450EB1" w14:textId="77777777" w:rsidR="00D44BCF" w:rsidRDefault="00D44BCF">
      <w:pPr>
        <w:pStyle w:val="TableofAuthorities"/>
        <w:tabs>
          <w:tab w:val="right" w:leader="dot" w:pos="9061"/>
        </w:tabs>
        <w:rPr>
          <w:noProof/>
        </w:rPr>
      </w:pPr>
      <w:r w:rsidRPr="000A1327">
        <w:rPr>
          <w:rFonts w:cstheme="minorHAnsi"/>
          <w:i/>
          <w:noProof/>
        </w:rPr>
        <w:t>R v Renzella</w:t>
      </w:r>
      <w:r w:rsidRPr="000A1327">
        <w:rPr>
          <w:rFonts w:cstheme="minorHAnsi"/>
          <w:noProof/>
        </w:rPr>
        <w:t xml:space="preserve"> [1997] 2 VR 88</w:t>
      </w:r>
      <w:r>
        <w:rPr>
          <w:noProof/>
        </w:rPr>
        <w:tab/>
        <w:t>129, 130</w:t>
      </w:r>
    </w:p>
    <w:p w14:paraId="2F518799" w14:textId="77777777" w:rsidR="00D44BCF" w:rsidRDefault="00D44BCF">
      <w:pPr>
        <w:pStyle w:val="TableofAuthorities"/>
        <w:tabs>
          <w:tab w:val="right" w:leader="dot" w:pos="9061"/>
        </w:tabs>
        <w:rPr>
          <w:noProof/>
        </w:rPr>
      </w:pPr>
      <w:r w:rsidRPr="000A1327">
        <w:rPr>
          <w:rFonts w:cstheme="minorHAnsi"/>
          <w:i/>
          <w:noProof/>
        </w:rPr>
        <w:t>R v Richard</w:t>
      </w:r>
      <w:r w:rsidRPr="000A1327">
        <w:rPr>
          <w:rFonts w:cstheme="minorHAnsi"/>
          <w:noProof/>
        </w:rPr>
        <w:t xml:space="preserve"> [2011] NSWSC 866</w:t>
      </w:r>
      <w:r>
        <w:rPr>
          <w:noProof/>
        </w:rPr>
        <w:tab/>
        <w:t>43</w:t>
      </w:r>
    </w:p>
    <w:p w14:paraId="65CBD69D" w14:textId="77777777" w:rsidR="00D44BCF" w:rsidRDefault="00D44BCF">
      <w:pPr>
        <w:pStyle w:val="TableofAuthorities"/>
        <w:tabs>
          <w:tab w:val="right" w:leader="dot" w:pos="9061"/>
        </w:tabs>
        <w:rPr>
          <w:noProof/>
        </w:rPr>
      </w:pPr>
      <w:r w:rsidRPr="000A1327">
        <w:rPr>
          <w:rFonts w:cstheme="minorHAnsi"/>
          <w:i/>
          <w:iCs/>
          <w:noProof/>
        </w:rPr>
        <w:t>R v Riddell</w:t>
      </w:r>
      <w:r w:rsidRPr="000A1327">
        <w:rPr>
          <w:rFonts w:cstheme="minorHAnsi"/>
          <w:noProof/>
        </w:rPr>
        <w:t xml:space="preserve"> [2009] NSWCCA 96</w:t>
      </w:r>
      <w:r>
        <w:rPr>
          <w:noProof/>
        </w:rPr>
        <w:tab/>
        <w:t>58</w:t>
      </w:r>
    </w:p>
    <w:p w14:paraId="57F543AA" w14:textId="77777777" w:rsidR="00D44BCF" w:rsidRDefault="00D44BCF">
      <w:pPr>
        <w:pStyle w:val="TableofAuthorities"/>
        <w:tabs>
          <w:tab w:val="right" w:leader="dot" w:pos="9061"/>
        </w:tabs>
        <w:rPr>
          <w:noProof/>
        </w:rPr>
      </w:pPr>
      <w:r w:rsidRPr="000A1327">
        <w:rPr>
          <w:rFonts w:cstheme="minorHAnsi"/>
          <w:i/>
          <w:noProof/>
        </w:rPr>
        <w:t xml:space="preserve">R v Rivadavia </w:t>
      </w:r>
      <w:r w:rsidRPr="000A1327">
        <w:rPr>
          <w:rFonts w:cstheme="minorHAnsi"/>
          <w:noProof/>
        </w:rPr>
        <w:t>(2004) 61 NSWLR 63</w:t>
      </w:r>
      <w:r>
        <w:rPr>
          <w:noProof/>
        </w:rPr>
        <w:tab/>
        <w:t>255</w:t>
      </w:r>
    </w:p>
    <w:p w14:paraId="7731A98B"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Rivkin</w:t>
      </w:r>
      <w:r w:rsidRPr="000A1327">
        <w:rPr>
          <w:rFonts w:cstheme="minorHAnsi"/>
          <w:noProof/>
        </w:rPr>
        <w:t xml:space="preserve"> (2004) 59 NSWLR 284</w:t>
      </w:r>
      <w:r>
        <w:rPr>
          <w:noProof/>
        </w:rPr>
        <w:tab/>
        <w:t>58, 75</w:t>
      </w:r>
    </w:p>
    <w:p w14:paraId="47424310" w14:textId="77777777" w:rsidR="00D44BCF" w:rsidRDefault="00D44BCF">
      <w:pPr>
        <w:pStyle w:val="TableofAuthorities"/>
        <w:tabs>
          <w:tab w:val="right" w:leader="dot" w:pos="9061"/>
        </w:tabs>
        <w:rPr>
          <w:noProof/>
        </w:rPr>
      </w:pPr>
      <w:r w:rsidRPr="000A1327">
        <w:rPr>
          <w:rFonts w:cstheme="minorHAnsi"/>
          <w:i/>
          <w:noProof/>
        </w:rPr>
        <w:t>R v Rivkin</w:t>
      </w:r>
      <w:r w:rsidRPr="000A1327">
        <w:rPr>
          <w:rFonts w:cstheme="minorHAnsi"/>
          <w:noProof/>
        </w:rPr>
        <w:t xml:space="preserve"> [2003] NSWSC 447</w:t>
      </w:r>
      <w:r>
        <w:rPr>
          <w:noProof/>
        </w:rPr>
        <w:tab/>
        <w:t>75</w:t>
      </w:r>
    </w:p>
    <w:p w14:paraId="5413A988" w14:textId="77777777" w:rsidR="00D44BCF" w:rsidRDefault="00D44BCF">
      <w:pPr>
        <w:pStyle w:val="TableofAuthorities"/>
        <w:tabs>
          <w:tab w:val="right" w:leader="dot" w:pos="9061"/>
        </w:tabs>
        <w:rPr>
          <w:noProof/>
        </w:rPr>
      </w:pPr>
      <w:r w:rsidRPr="000A1327">
        <w:rPr>
          <w:rFonts w:cstheme="minorHAnsi"/>
          <w:i/>
          <w:noProof/>
        </w:rPr>
        <w:t>R v RLP</w:t>
      </w:r>
      <w:r w:rsidRPr="000A1327">
        <w:rPr>
          <w:rFonts w:cstheme="minorHAnsi"/>
          <w:noProof/>
        </w:rPr>
        <w:t xml:space="preserve"> [2009] VSCA 271</w:t>
      </w:r>
      <w:r>
        <w:rPr>
          <w:noProof/>
        </w:rPr>
        <w:tab/>
        <w:t>62, 65</w:t>
      </w:r>
    </w:p>
    <w:p w14:paraId="115BB5C1" w14:textId="77777777" w:rsidR="00D44BCF" w:rsidRDefault="00D44BCF">
      <w:pPr>
        <w:pStyle w:val="TableofAuthorities"/>
        <w:tabs>
          <w:tab w:val="right" w:leader="dot" w:pos="9061"/>
        </w:tabs>
        <w:rPr>
          <w:noProof/>
        </w:rPr>
      </w:pPr>
      <w:r w:rsidRPr="000A1327">
        <w:rPr>
          <w:rFonts w:cstheme="minorHAnsi"/>
          <w:i/>
          <w:noProof/>
        </w:rPr>
        <w:t>R v Robertson</w:t>
      </w:r>
      <w:r w:rsidRPr="000A1327">
        <w:rPr>
          <w:rFonts w:cstheme="minorHAnsi"/>
          <w:noProof/>
        </w:rPr>
        <w:t xml:space="preserve"> [2008] QCA 164</w:t>
      </w:r>
      <w:r>
        <w:rPr>
          <w:noProof/>
        </w:rPr>
        <w:tab/>
        <w:t>142</w:t>
      </w:r>
    </w:p>
    <w:p w14:paraId="06585D72" w14:textId="77777777" w:rsidR="00D44BCF" w:rsidRDefault="00D44BCF">
      <w:pPr>
        <w:pStyle w:val="TableofAuthorities"/>
        <w:tabs>
          <w:tab w:val="right" w:leader="dot" w:pos="9061"/>
        </w:tabs>
        <w:rPr>
          <w:noProof/>
        </w:rPr>
      </w:pPr>
      <w:r w:rsidRPr="000A1327">
        <w:rPr>
          <w:rFonts w:cstheme="minorHAnsi"/>
          <w:i/>
          <w:noProof/>
        </w:rPr>
        <w:t>R v Robinson</w:t>
      </w:r>
      <w:r w:rsidRPr="000A1327">
        <w:rPr>
          <w:rFonts w:cstheme="minorHAnsi"/>
          <w:noProof/>
        </w:rPr>
        <w:t xml:space="preserve"> (2004) 11 VR 165</w:t>
      </w:r>
      <w:r>
        <w:rPr>
          <w:noProof/>
        </w:rPr>
        <w:tab/>
        <w:t>228</w:t>
      </w:r>
    </w:p>
    <w:p w14:paraId="070597F6" w14:textId="77777777" w:rsidR="00D44BCF" w:rsidRDefault="00D44BCF">
      <w:pPr>
        <w:pStyle w:val="TableofAuthorities"/>
        <w:tabs>
          <w:tab w:val="right" w:leader="dot" w:pos="9061"/>
        </w:tabs>
        <w:rPr>
          <w:noProof/>
        </w:rPr>
      </w:pPr>
      <w:r w:rsidRPr="000A1327">
        <w:rPr>
          <w:rFonts w:cstheme="minorHAnsi"/>
          <w:i/>
          <w:noProof/>
        </w:rPr>
        <w:t>R v Robison</w:t>
      </w:r>
      <w:r w:rsidRPr="000A1327">
        <w:rPr>
          <w:rFonts w:cstheme="minorHAnsi"/>
          <w:noProof/>
        </w:rPr>
        <w:t xml:space="preserve"> (1992) 62 A Crim R 374</w:t>
      </w:r>
      <w:r>
        <w:rPr>
          <w:noProof/>
        </w:rPr>
        <w:tab/>
        <w:t>123</w:t>
      </w:r>
    </w:p>
    <w:p w14:paraId="7CA37F05"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Roche</w:t>
      </w:r>
      <w:r w:rsidRPr="000A1327">
        <w:rPr>
          <w:rFonts w:cstheme="minorHAnsi"/>
          <w:noProof/>
        </w:rPr>
        <w:t xml:space="preserve"> [2005] WASCA 4</w:t>
      </w:r>
      <w:r>
        <w:rPr>
          <w:noProof/>
        </w:rPr>
        <w:tab/>
        <w:t>58</w:t>
      </w:r>
    </w:p>
    <w:p w14:paraId="274CEE09" w14:textId="77777777" w:rsidR="00D44BCF" w:rsidRDefault="00D44BCF">
      <w:pPr>
        <w:pStyle w:val="TableofAuthorities"/>
        <w:tabs>
          <w:tab w:val="right" w:leader="dot" w:pos="9061"/>
        </w:tabs>
        <w:rPr>
          <w:noProof/>
        </w:rPr>
      </w:pPr>
      <w:r w:rsidRPr="000A1327">
        <w:rPr>
          <w:rFonts w:cstheme="minorHAnsi"/>
          <w:i/>
          <w:noProof/>
        </w:rPr>
        <w:t>R v Roe</w:t>
      </w:r>
      <w:r w:rsidRPr="000A1327">
        <w:rPr>
          <w:rFonts w:cstheme="minorHAnsi"/>
          <w:noProof/>
        </w:rPr>
        <w:t xml:space="preserve"> [2017] NTCCA 7</w:t>
      </w:r>
      <w:r>
        <w:rPr>
          <w:noProof/>
        </w:rPr>
        <w:tab/>
        <w:t>29</w:t>
      </w:r>
    </w:p>
    <w:p w14:paraId="4D5495A0" w14:textId="77777777" w:rsidR="00D44BCF" w:rsidRDefault="00D44BCF">
      <w:pPr>
        <w:pStyle w:val="TableofAuthorities"/>
        <w:tabs>
          <w:tab w:val="right" w:leader="dot" w:pos="9061"/>
        </w:tabs>
        <w:rPr>
          <w:noProof/>
        </w:rPr>
      </w:pPr>
      <w:r w:rsidRPr="000A1327">
        <w:rPr>
          <w:rFonts w:cstheme="minorHAnsi"/>
          <w:bCs/>
          <w:i/>
          <w:iCs/>
          <w:noProof/>
        </w:rPr>
        <w:t>R v Ronen</w:t>
      </w:r>
      <w:r w:rsidRPr="000A1327">
        <w:rPr>
          <w:rFonts w:cstheme="minorHAnsi"/>
          <w:bCs/>
          <w:iCs/>
          <w:noProof/>
        </w:rPr>
        <w:t xml:space="preserve"> [2006] NSWCCA 123</w:t>
      </w:r>
      <w:r>
        <w:rPr>
          <w:noProof/>
        </w:rPr>
        <w:tab/>
        <w:t>75</w:t>
      </w:r>
    </w:p>
    <w:p w14:paraId="40FD0A78"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Rossi</w:t>
      </w:r>
      <w:r w:rsidRPr="000A1327">
        <w:rPr>
          <w:rFonts w:cstheme="minorHAnsi"/>
          <w:noProof/>
        </w:rPr>
        <w:t xml:space="preserve"> (1988) 4 WAR 463</w:t>
      </w:r>
      <w:r>
        <w:rPr>
          <w:noProof/>
        </w:rPr>
        <w:tab/>
        <w:t>58</w:t>
      </w:r>
    </w:p>
    <w:p w14:paraId="46877449" w14:textId="77777777" w:rsidR="00D44BCF" w:rsidRDefault="00D44BCF">
      <w:pPr>
        <w:pStyle w:val="TableofAuthorities"/>
        <w:tabs>
          <w:tab w:val="right" w:leader="dot" w:pos="9061"/>
        </w:tabs>
        <w:rPr>
          <w:noProof/>
        </w:rPr>
      </w:pPr>
      <w:r w:rsidRPr="000A1327">
        <w:rPr>
          <w:rFonts w:cstheme="minorHAnsi"/>
          <w:i/>
          <w:noProof/>
        </w:rPr>
        <w:t>R v Rostom</w:t>
      </w:r>
      <w:r w:rsidRPr="000A1327">
        <w:rPr>
          <w:rFonts w:cstheme="minorHAnsi"/>
          <w:noProof/>
        </w:rPr>
        <w:t xml:space="preserve"> [1996] 2 VR 97</w:t>
      </w:r>
      <w:r>
        <w:rPr>
          <w:noProof/>
        </w:rPr>
        <w:tab/>
        <w:t>54</w:t>
      </w:r>
    </w:p>
    <w:p w14:paraId="5584F46D" w14:textId="77777777" w:rsidR="00D44BCF" w:rsidRDefault="00D44BCF">
      <w:pPr>
        <w:pStyle w:val="TableofAuthorities"/>
        <w:tabs>
          <w:tab w:val="right" w:leader="dot" w:pos="9061"/>
        </w:tabs>
        <w:rPr>
          <w:noProof/>
        </w:rPr>
      </w:pPr>
      <w:r w:rsidRPr="000A1327">
        <w:rPr>
          <w:rFonts w:cstheme="minorHAnsi"/>
          <w:i/>
          <w:noProof/>
        </w:rPr>
        <w:t>R v Rout</w:t>
      </w:r>
      <w:r w:rsidRPr="000A1327">
        <w:rPr>
          <w:rFonts w:cstheme="minorHAnsi"/>
          <w:noProof/>
        </w:rPr>
        <w:t xml:space="preserve"> [2008] VSCA 87</w:t>
      </w:r>
      <w:r>
        <w:rPr>
          <w:noProof/>
        </w:rPr>
        <w:tab/>
        <w:t>210</w:t>
      </w:r>
    </w:p>
    <w:p w14:paraId="68A1E69E" w14:textId="77777777" w:rsidR="00D44BCF" w:rsidRDefault="00D44BCF">
      <w:pPr>
        <w:pStyle w:val="TableofAuthorities"/>
        <w:tabs>
          <w:tab w:val="right" w:leader="dot" w:pos="9061"/>
        </w:tabs>
        <w:rPr>
          <w:noProof/>
        </w:rPr>
      </w:pPr>
      <w:r w:rsidRPr="000A1327">
        <w:rPr>
          <w:rFonts w:cstheme="minorHAnsi"/>
          <w:i/>
          <w:noProof/>
        </w:rPr>
        <w:t>R v Ruggiero</w:t>
      </w:r>
      <w:r w:rsidRPr="000A1327">
        <w:rPr>
          <w:rFonts w:cstheme="minorHAnsi"/>
          <w:noProof/>
        </w:rPr>
        <w:t xml:space="preserve"> (1998) 104 A Crim R 358</w:t>
      </w:r>
      <w:r>
        <w:rPr>
          <w:noProof/>
        </w:rPr>
        <w:tab/>
        <w:t>45, 60</w:t>
      </w:r>
    </w:p>
    <w:p w14:paraId="26192041" w14:textId="77777777" w:rsidR="00D44BCF" w:rsidRDefault="00D44BCF">
      <w:pPr>
        <w:pStyle w:val="TableofAuthorities"/>
        <w:tabs>
          <w:tab w:val="right" w:leader="dot" w:pos="9061"/>
        </w:tabs>
        <w:rPr>
          <w:noProof/>
        </w:rPr>
      </w:pPr>
      <w:r w:rsidRPr="000A1327">
        <w:rPr>
          <w:rFonts w:cstheme="minorHAnsi"/>
          <w:i/>
          <w:noProof/>
        </w:rPr>
        <w:t xml:space="preserve">R v Ruha; ex parte DPP (Cth) </w:t>
      </w:r>
      <w:r w:rsidRPr="000A1327">
        <w:rPr>
          <w:rFonts w:cstheme="minorHAnsi"/>
          <w:noProof/>
        </w:rPr>
        <w:t>[2011] 2 Qd R 456</w:t>
      </w:r>
      <w:r>
        <w:rPr>
          <w:noProof/>
        </w:rPr>
        <w:tab/>
        <w:t>38, 56, 58, 141, 142, 143</w:t>
      </w:r>
    </w:p>
    <w:p w14:paraId="2CF723D3" w14:textId="77777777" w:rsidR="00D44BCF" w:rsidRDefault="00D44BCF">
      <w:pPr>
        <w:pStyle w:val="TableofAuthorities"/>
        <w:tabs>
          <w:tab w:val="right" w:leader="dot" w:pos="9061"/>
        </w:tabs>
        <w:rPr>
          <w:noProof/>
        </w:rPr>
      </w:pPr>
      <w:r w:rsidRPr="000A1327">
        <w:rPr>
          <w:rFonts w:cstheme="minorHAnsi"/>
          <w:i/>
          <w:noProof/>
        </w:rPr>
        <w:t>R v Rumpf</w:t>
      </w:r>
      <w:r w:rsidRPr="000A1327">
        <w:rPr>
          <w:rFonts w:cstheme="minorHAnsi"/>
          <w:noProof/>
        </w:rPr>
        <w:t xml:space="preserve"> [1988] VR 466</w:t>
      </w:r>
      <w:r>
        <w:rPr>
          <w:noProof/>
        </w:rPr>
        <w:tab/>
        <w:t>187</w:t>
      </w:r>
    </w:p>
    <w:p w14:paraId="202610B3" w14:textId="77777777" w:rsidR="00D44BCF" w:rsidRDefault="00D44BCF">
      <w:pPr>
        <w:pStyle w:val="TableofAuthorities"/>
        <w:tabs>
          <w:tab w:val="right" w:leader="dot" w:pos="9061"/>
        </w:tabs>
        <w:rPr>
          <w:noProof/>
        </w:rPr>
      </w:pPr>
      <w:r w:rsidRPr="000A1327">
        <w:rPr>
          <w:rFonts w:cstheme="minorHAnsi"/>
          <w:i/>
          <w:noProof/>
        </w:rPr>
        <w:t xml:space="preserve">R v Ruzehaji </w:t>
      </w:r>
      <w:r w:rsidRPr="000A1327">
        <w:rPr>
          <w:rFonts w:cstheme="minorHAnsi"/>
          <w:noProof/>
        </w:rPr>
        <w:t>[2018] SASCFC 139</w:t>
      </w:r>
      <w:r>
        <w:rPr>
          <w:noProof/>
        </w:rPr>
        <w:tab/>
        <w:t>23</w:t>
      </w:r>
    </w:p>
    <w:p w14:paraId="6F5B5B98" w14:textId="77777777" w:rsidR="00D44BCF" w:rsidRDefault="00D44BCF">
      <w:pPr>
        <w:pStyle w:val="TableofAuthorities"/>
        <w:tabs>
          <w:tab w:val="right" w:leader="dot" w:pos="9061"/>
        </w:tabs>
        <w:rPr>
          <w:noProof/>
        </w:rPr>
      </w:pPr>
      <w:r w:rsidRPr="000A1327">
        <w:rPr>
          <w:rFonts w:cstheme="minorHAnsi"/>
          <w:i/>
          <w:noProof/>
        </w:rPr>
        <w:t>R v Saleh</w:t>
      </w:r>
      <w:r w:rsidRPr="000A1327">
        <w:rPr>
          <w:rFonts w:cstheme="minorHAnsi"/>
          <w:noProof/>
        </w:rPr>
        <w:t xml:space="preserve"> [2015] NSWCCA 299</w:t>
      </w:r>
      <w:r>
        <w:rPr>
          <w:noProof/>
        </w:rPr>
        <w:tab/>
        <w:t>50</w:t>
      </w:r>
    </w:p>
    <w:p w14:paraId="1ED5DBBE" w14:textId="77777777" w:rsidR="00D44BCF" w:rsidRDefault="00D44BCF">
      <w:pPr>
        <w:pStyle w:val="TableofAuthorities"/>
        <w:tabs>
          <w:tab w:val="right" w:leader="dot" w:pos="9061"/>
        </w:tabs>
        <w:rPr>
          <w:noProof/>
        </w:rPr>
      </w:pPr>
      <w:r w:rsidRPr="000A1327">
        <w:rPr>
          <w:rFonts w:cstheme="minorHAnsi"/>
          <w:i/>
          <w:noProof/>
        </w:rPr>
        <w:t>R v Saxon</w:t>
      </w:r>
      <w:r w:rsidRPr="000A1327">
        <w:rPr>
          <w:rFonts w:cstheme="minorHAnsi"/>
          <w:iCs/>
          <w:noProof/>
        </w:rPr>
        <w:t xml:space="preserve"> [1998] 1 VR 503</w:t>
      </w:r>
      <w:r>
        <w:rPr>
          <w:noProof/>
        </w:rPr>
        <w:tab/>
        <w:t>213</w:t>
      </w:r>
    </w:p>
    <w:p w14:paraId="0D5BD5E1" w14:textId="77777777" w:rsidR="00D44BCF" w:rsidRDefault="00D44BCF">
      <w:pPr>
        <w:pStyle w:val="TableofAuthorities"/>
        <w:tabs>
          <w:tab w:val="right" w:leader="dot" w:pos="9061"/>
        </w:tabs>
        <w:rPr>
          <w:noProof/>
        </w:rPr>
      </w:pPr>
      <w:r w:rsidRPr="000A1327">
        <w:rPr>
          <w:rFonts w:cstheme="minorHAnsi"/>
          <w:i/>
          <w:noProof/>
        </w:rPr>
        <w:t>R v SBL</w:t>
      </w:r>
      <w:r w:rsidRPr="000A1327">
        <w:rPr>
          <w:rFonts w:cstheme="minorHAnsi"/>
          <w:noProof/>
        </w:rPr>
        <w:t xml:space="preserve"> [1999] 1 VR 706</w:t>
      </w:r>
      <w:r>
        <w:rPr>
          <w:noProof/>
        </w:rPr>
        <w:tab/>
        <w:t>45</w:t>
      </w:r>
    </w:p>
    <w:p w14:paraId="1728C1A7" w14:textId="77777777" w:rsidR="00D44BCF" w:rsidRDefault="00D44BCF">
      <w:pPr>
        <w:pStyle w:val="TableofAuthorities"/>
        <w:tabs>
          <w:tab w:val="right" w:leader="dot" w:pos="9061"/>
        </w:tabs>
        <w:rPr>
          <w:noProof/>
        </w:rPr>
      </w:pPr>
      <w:r w:rsidRPr="000A1327">
        <w:rPr>
          <w:rFonts w:cstheme="minorHAnsi"/>
          <w:i/>
          <w:noProof/>
        </w:rPr>
        <w:t>R v SC</w:t>
      </w:r>
      <w:r w:rsidRPr="000A1327">
        <w:rPr>
          <w:rFonts w:cstheme="minorHAnsi"/>
          <w:noProof/>
        </w:rPr>
        <w:t xml:space="preserve"> [2008] NSWCCA 29</w:t>
      </w:r>
      <w:r>
        <w:rPr>
          <w:noProof/>
        </w:rPr>
        <w:tab/>
        <w:t>255</w:t>
      </w:r>
    </w:p>
    <w:p w14:paraId="1199DDE4" w14:textId="77777777" w:rsidR="00D44BCF" w:rsidRDefault="00D44BCF">
      <w:pPr>
        <w:pStyle w:val="TableofAuthorities"/>
        <w:tabs>
          <w:tab w:val="right" w:leader="dot" w:pos="9061"/>
        </w:tabs>
        <w:rPr>
          <w:noProof/>
        </w:rPr>
      </w:pPr>
      <w:r w:rsidRPr="000A1327">
        <w:rPr>
          <w:rFonts w:cstheme="minorHAnsi"/>
          <w:i/>
          <w:noProof/>
        </w:rPr>
        <w:t>R v Scerri</w:t>
      </w:r>
      <w:r w:rsidRPr="000A1327">
        <w:rPr>
          <w:rFonts w:cstheme="minorHAnsi"/>
          <w:noProof/>
        </w:rPr>
        <w:t xml:space="preserve"> [2010] VSCA 287</w:t>
      </w:r>
      <w:r>
        <w:rPr>
          <w:noProof/>
        </w:rPr>
        <w:tab/>
        <w:t>55, 132</w:t>
      </w:r>
    </w:p>
    <w:p w14:paraId="56E22C79" w14:textId="77777777" w:rsidR="00D44BCF" w:rsidRDefault="00D44BCF">
      <w:pPr>
        <w:pStyle w:val="TableofAuthorities"/>
        <w:tabs>
          <w:tab w:val="right" w:leader="dot" w:pos="9061"/>
        </w:tabs>
        <w:rPr>
          <w:noProof/>
        </w:rPr>
      </w:pPr>
      <w:r w:rsidRPr="000A1327">
        <w:rPr>
          <w:rFonts w:cstheme="minorHAnsi"/>
          <w:i/>
          <w:noProof/>
        </w:rPr>
        <w:t xml:space="preserve">R v Schelvis; R v Hildebrand </w:t>
      </w:r>
      <w:r w:rsidRPr="000A1327">
        <w:rPr>
          <w:rFonts w:cstheme="minorHAnsi"/>
          <w:noProof/>
        </w:rPr>
        <w:t>[2016] QCA 294</w:t>
      </w:r>
      <w:r>
        <w:rPr>
          <w:noProof/>
        </w:rPr>
        <w:tab/>
        <w:t>78, 79</w:t>
      </w:r>
    </w:p>
    <w:p w14:paraId="3DD10416" w14:textId="77777777" w:rsidR="00D44BCF" w:rsidRDefault="00D44BCF">
      <w:pPr>
        <w:pStyle w:val="TableofAuthorities"/>
        <w:tabs>
          <w:tab w:val="right" w:leader="dot" w:pos="9061"/>
        </w:tabs>
        <w:rPr>
          <w:noProof/>
        </w:rPr>
      </w:pPr>
      <w:r w:rsidRPr="000A1327">
        <w:rPr>
          <w:rFonts w:cstheme="minorHAnsi"/>
          <w:i/>
          <w:noProof/>
        </w:rPr>
        <w:t xml:space="preserve">R v Schneider </w:t>
      </w:r>
      <w:r w:rsidRPr="000A1327">
        <w:rPr>
          <w:rFonts w:cstheme="minorHAnsi"/>
          <w:noProof/>
        </w:rPr>
        <w:t>(1988) 37 A Crim R 395</w:t>
      </w:r>
      <w:r>
        <w:rPr>
          <w:noProof/>
        </w:rPr>
        <w:tab/>
        <w:t>45, 60</w:t>
      </w:r>
    </w:p>
    <w:p w14:paraId="16968993" w14:textId="77777777" w:rsidR="00D44BCF" w:rsidRDefault="00D44BCF">
      <w:pPr>
        <w:pStyle w:val="TableofAuthorities"/>
        <w:tabs>
          <w:tab w:val="right" w:leader="dot" w:pos="9061"/>
        </w:tabs>
        <w:rPr>
          <w:noProof/>
        </w:rPr>
      </w:pPr>
      <w:r w:rsidRPr="000A1327">
        <w:rPr>
          <w:rFonts w:cstheme="minorHAnsi"/>
          <w:i/>
          <w:noProof/>
        </w:rPr>
        <w:t>R v Schultz</w:t>
      </w:r>
      <w:r w:rsidRPr="000A1327">
        <w:rPr>
          <w:rFonts w:cstheme="minorHAnsi"/>
          <w:noProof/>
        </w:rPr>
        <w:t xml:space="preserve"> [2008] NSWCCA 199</w:t>
      </w:r>
      <w:r>
        <w:rPr>
          <w:noProof/>
        </w:rPr>
        <w:tab/>
        <w:t>160</w:t>
      </w:r>
    </w:p>
    <w:p w14:paraId="28288E1E" w14:textId="77777777" w:rsidR="00D44BCF" w:rsidRDefault="00D44BCF">
      <w:pPr>
        <w:pStyle w:val="TableofAuthorities"/>
        <w:tabs>
          <w:tab w:val="right" w:leader="dot" w:pos="9061"/>
        </w:tabs>
        <w:rPr>
          <w:noProof/>
        </w:rPr>
      </w:pPr>
      <w:r w:rsidRPr="000A1327">
        <w:rPr>
          <w:rFonts w:cstheme="minorHAnsi"/>
          <w:i/>
          <w:noProof/>
        </w:rPr>
        <w:t>R v Schwabegger</w:t>
      </w:r>
      <w:r w:rsidRPr="000A1327">
        <w:rPr>
          <w:rFonts w:cstheme="minorHAnsi"/>
          <w:noProof/>
        </w:rPr>
        <w:t xml:space="preserve"> [1998] 4 VR 649</w:t>
      </w:r>
      <w:r>
        <w:rPr>
          <w:noProof/>
        </w:rPr>
        <w:tab/>
        <w:t>71, 72</w:t>
      </w:r>
    </w:p>
    <w:p w14:paraId="36E0D3D7" w14:textId="77777777" w:rsidR="00D44BCF" w:rsidRDefault="00D44BCF">
      <w:pPr>
        <w:pStyle w:val="TableofAuthorities"/>
        <w:tabs>
          <w:tab w:val="right" w:leader="dot" w:pos="9061"/>
        </w:tabs>
        <w:rPr>
          <w:noProof/>
        </w:rPr>
      </w:pPr>
      <w:r w:rsidRPr="000A1327">
        <w:rPr>
          <w:rFonts w:cstheme="minorHAnsi"/>
          <w:i/>
          <w:noProof/>
        </w:rPr>
        <w:t>R v Scott</w:t>
      </w:r>
      <w:r w:rsidRPr="000A1327">
        <w:rPr>
          <w:rFonts w:cstheme="minorHAnsi"/>
          <w:noProof/>
        </w:rPr>
        <w:t xml:space="preserve"> [2003] NSWCCA 28</w:t>
      </w:r>
      <w:r>
        <w:rPr>
          <w:noProof/>
        </w:rPr>
        <w:tab/>
        <w:t>63</w:t>
      </w:r>
    </w:p>
    <w:p w14:paraId="6A2BA8C2" w14:textId="77777777" w:rsidR="00D44BCF" w:rsidRDefault="00D44BCF">
      <w:pPr>
        <w:pStyle w:val="TableofAuthorities"/>
        <w:tabs>
          <w:tab w:val="right" w:leader="dot" w:pos="9061"/>
        </w:tabs>
        <w:rPr>
          <w:noProof/>
        </w:rPr>
      </w:pPr>
      <w:r w:rsidRPr="000A1327">
        <w:rPr>
          <w:rFonts w:cstheme="minorHAnsi"/>
          <w:i/>
          <w:noProof/>
        </w:rPr>
        <w:t>R v Selu; ex parte Cth DPP</w:t>
      </w:r>
      <w:r w:rsidRPr="000A1327">
        <w:rPr>
          <w:rFonts w:cstheme="minorHAnsi"/>
          <w:noProof/>
        </w:rPr>
        <w:t xml:space="preserve"> [2012] QCA 345</w:t>
      </w:r>
      <w:r>
        <w:rPr>
          <w:noProof/>
        </w:rPr>
        <w:tab/>
        <w:t>56</w:t>
      </w:r>
    </w:p>
    <w:p w14:paraId="27F60986" w14:textId="77777777" w:rsidR="00D44BCF" w:rsidRDefault="00D44BCF">
      <w:pPr>
        <w:pStyle w:val="TableofAuthorities"/>
        <w:tabs>
          <w:tab w:val="right" w:leader="dot" w:pos="9061"/>
        </w:tabs>
        <w:rPr>
          <w:noProof/>
        </w:rPr>
      </w:pPr>
      <w:r w:rsidRPr="000A1327">
        <w:rPr>
          <w:rFonts w:cstheme="minorHAnsi"/>
          <w:i/>
          <w:noProof/>
        </w:rPr>
        <w:t>R v Sexton</w:t>
      </w:r>
      <w:r w:rsidRPr="000A1327">
        <w:rPr>
          <w:rFonts w:cstheme="minorHAnsi"/>
          <w:noProof/>
        </w:rPr>
        <w:t xml:space="preserve"> (2000) 77 SASR 405</w:t>
      </w:r>
      <w:r>
        <w:rPr>
          <w:noProof/>
        </w:rPr>
        <w:tab/>
        <w:t>222, 223, 260</w:t>
      </w:r>
    </w:p>
    <w:p w14:paraId="24D81480" w14:textId="77777777" w:rsidR="00D44BCF" w:rsidRDefault="00D44BCF">
      <w:pPr>
        <w:pStyle w:val="TableofAuthorities"/>
        <w:tabs>
          <w:tab w:val="right" w:leader="dot" w:pos="9061"/>
        </w:tabs>
        <w:rPr>
          <w:noProof/>
        </w:rPr>
      </w:pPr>
      <w:r w:rsidRPr="000A1327">
        <w:rPr>
          <w:rFonts w:cstheme="minorHAnsi"/>
          <w:bCs/>
          <w:i/>
          <w:iCs/>
          <w:noProof/>
        </w:rPr>
        <w:t>R v Sharma</w:t>
      </w:r>
      <w:r w:rsidRPr="000A1327">
        <w:rPr>
          <w:rFonts w:cstheme="minorHAnsi"/>
          <w:noProof/>
        </w:rPr>
        <w:t xml:space="preserve"> (2002) 54 NSWLR 300</w:t>
      </w:r>
      <w:r>
        <w:rPr>
          <w:noProof/>
        </w:rPr>
        <w:tab/>
        <w:t>202</w:t>
      </w:r>
    </w:p>
    <w:p w14:paraId="10973C88" w14:textId="77777777" w:rsidR="00D44BCF" w:rsidRDefault="00D44BCF">
      <w:pPr>
        <w:pStyle w:val="TableofAuthorities"/>
        <w:tabs>
          <w:tab w:val="right" w:leader="dot" w:pos="9061"/>
        </w:tabs>
        <w:rPr>
          <w:noProof/>
        </w:rPr>
      </w:pPr>
      <w:r w:rsidRPr="000A1327">
        <w:rPr>
          <w:rFonts w:cstheme="minorHAnsi"/>
          <w:i/>
          <w:iCs/>
          <w:noProof/>
        </w:rPr>
        <w:t>R v Sharrouf (No 2)</w:t>
      </w:r>
      <w:r w:rsidRPr="000A1327">
        <w:rPr>
          <w:rFonts w:cstheme="minorHAnsi"/>
          <w:noProof/>
        </w:rPr>
        <w:t xml:space="preserve"> [2008] NSWSC 1450</w:t>
      </w:r>
      <w:r>
        <w:rPr>
          <w:noProof/>
        </w:rPr>
        <w:tab/>
        <w:t>223, 262, 263</w:t>
      </w:r>
    </w:p>
    <w:p w14:paraId="14F9F291" w14:textId="77777777" w:rsidR="00D44BCF" w:rsidRDefault="00D44BCF">
      <w:pPr>
        <w:pStyle w:val="TableofAuthorities"/>
        <w:tabs>
          <w:tab w:val="right" w:leader="dot" w:pos="9061"/>
        </w:tabs>
        <w:rPr>
          <w:noProof/>
        </w:rPr>
      </w:pPr>
      <w:r w:rsidRPr="000A1327">
        <w:rPr>
          <w:rFonts w:cstheme="minorHAnsi"/>
          <w:bCs/>
          <w:i/>
          <w:noProof/>
        </w:rPr>
        <w:t>R v Shatku</w:t>
      </w:r>
      <w:r w:rsidRPr="000A1327">
        <w:rPr>
          <w:rFonts w:cstheme="minorHAnsi"/>
          <w:bCs/>
          <w:noProof/>
        </w:rPr>
        <w:t xml:space="preserve"> [2018] SASCFC 77</w:t>
      </w:r>
      <w:r>
        <w:rPr>
          <w:noProof/>
        </w:rPr>
        <w:tab/>
        <w:t>48</w:t>
      </w:r>
    </w:p>
    <w:p w14:paraId="53DB7140" w14:textId="77777777" w:rsidR="00D44BCF" w:rsidRDefault="00D44BCF">
      <w:pPr>
        <w:pStyle w:val="TableofAuthorities"/>
        <w:tabs>
          <w:tab w:val="right" w:leader="dot" w:pos="9061"/>
        </w:tabs>
        <w:rPr>
          <w:noProof/>
        </w:rPr>
      </w:pPr>
      <w:r w:rsidRPr="000A1327">
        <w:rPr>
          <w:rFonts w:cstheme="minorHAnsi"/>
          <w:i/>
          <w:noProof/>
        </w:rPr>
        <w:t>R v Shore</w:t>
      </w:r>
      <w:r w:rsidRPr="000A1327">
        <w:rPr>
          <w:rFonts w:cstheme="minorHAnsi"/>
          <w:noProof/>
        </w:rPr>
        <w:t xml:space="preserve"> (1992) 66 A Crim R 37</w:t>
      </w:r>
      <w:r>
        <w:rPr>
          <w:noProof/>
        </w:rPr>
        <w:tab/>
        <w:t>71</w:t>
      </w:r>
    </w:p>
    <w:p w14:paraId="24949685" w14:textId="77777777" w:rsidR="00D44BCF" w:rsidRDefault="00D44BCF">
      <w:pPr>
        <w:pStyle w:val="TableofAuthorities"/>
        <w:tabs>
          <w:tab w:val="right" w:leader="dot" w:pos="9061"/>
        </w:tabs>
        <w:rPr>
          <w:noProof/>
        </w:rPr>
      </w:pPr>
      <w:r w:rsidRPr="000A1327">
        <w:rPr>
          <w:rFonts w:cstheme="minorHAnsi"/>
          <w:i/>
          <w:iCs/>
          <w:noProof/>
        </w:rPr>
        <w:t xml:space="preserve">R v Shrestha </w:t>
      </w:r>
      <w:r w:rsidRPr="000A1327">
        <w:rPr>
          <w:rFonts w:cstheme="minorHAnsi"/>
          <w:iCs/>
          <w:noProof/>
        </w:rPr>
        <w:t>(1991) 173 CLR 48</w:t>
      </w:r>
      <w:r>
        <w:rPr>
          <w:noProof/>
        </w:rPr>
        <w:tab/>
        <w:t>77, 155</w:t>
      </w:r>
    </w:p>
    <w:p w14:paraId="735F1FDD" w14:textId="77777777" w:rsidR="00D44BCF" w:rsidRDefault="00D44BCF">
      <w:pPr>
        <w:pStyle w:val="TableofAuthorities"/>
        <w:tabs>
          <w:tab w:val="right" w:leader="dot" w:pos="9061"/>
        </w:tabs>
        <w:rPr>
          <w:noProof/>
        </w:rPr>
      </w:pPr>
      <w:r w:rsidRPr="000A1327">
        <w:rPr>
          <w:rFonts w:cstheme="minorHAnsi"/>
          <w:i/>
          <w:noProof/>
        </w:rPr>
        <w:t>R v Silvano</w:t>
      </w:r>
      <w:r w:rsidRPr="000A1327">
        <w:rPr>
          <w:rFonts w:cstheme="minorHAnsi"/>
          <w:noProof/>
        </w:rPr>
        <w:t xml:space="preserve"> [2008] NSWCCA 118</w:t>
      </w:r>
      <w:r>
        <w:rPr>
          <w:noProof/>
        </w:rPr>
        <w:tab/>
        <w:t>75</w:t>
      </w:r>
    </w:p>
    <w:p w14:paraId="2356604A" w14:textId="77777777" w:rsidR="00D44BCF" w:rsidRDefault="00D44BCF">
      <w:pPr>
        <w:pStyle w:val="TableofAuthorities"/>
        <w:tabs>
          <w:tab w:val="right" w:leader="dot" w:pos="9061"/>
        </w:tabs>
        <w:rPr>
          <w:noProof/>
        </w:rPr>
      </w:pPr>
      <w:r w:rsidRPr="000A1327">
        <w:rPr>
          <w:rFonts w:cstheme="minorHAnsi"/>
          <w:i/>
          <w:noProof/>
        </w:rPr>
        <w:t>R v Simard</w:t>
      </w:r>
      <w:r w:rsidRPr="000A1327">
        <w:rPr>
          <w:rFonts w:cstheme="minorHAnsi"/>
          <w:noProof/>
        </w:rPr>
        <w:t xml:space="preserve"> [2003] 1 Qd R 76</w:t>
      </w:r>
      <w:r>
        <w:rPr>
          <w:noProof/>
        </w:rPr>
        <w:tab/>
        <w:t>78, 79</w:t>
      </w:r>
    </w:p>
    <w:p w14:paraId="43B8CC3A" w14:textId="77777777" w:rsidR="00D44BCF" w:rsidRDefault="00D44BCF">
      <w:pPr>
        <w:pStyle w:val="TableofAuthorities"/>
        <w:tabs>
          <w:tab w:val="right" w:leader="dot" w:pos="9061"/>
        </w:tabs>
        <w:rPr>
          <w:noProof/>
        </w:rPr>
      </w:pPr>
      <w:r w:rsidRPr="000A1327">
        <w:rPr>
          <w:rFonts w:cstheme="minorHAnsi"/>
          <w:i/>
          <w:noProof/>
        </w:rPr>
        <w:t>R v Sinclair</w:t>
      </w:r>
      <w:r w:rsidRPr="000A1327">
        <w:rPr>
          <w:rFonts w:cstheme="minorHAnsi"/>
          <w:iCs/>
          <w:noProof/>
        </w:rPr>
        <w:t xml:space="preserve"> (1990) 51 A Crim R 418</w:t>
      </w:r>
      <w:r>
        <w:rPr>
          <w:noProof/>
        </w:rPr>
        <w:tab/>
        <w:t>42, 57, 67</w:t>
      </w:r>
    </w:p>
    <w:p w14:paraId="237FA2A4" w14:textId="77777777" w:rsidR="00D44BCF" w:rsidRDefault="00D44BCF">
      <w:pPr>
        <w:pStyle w:val="TableofAuthorities"/>
        <w:tabs>
          <w:tab w:val="right" w:leader="dot" w:pos="9061"/>
        </w:tabs>
        <w:rPr>
          <w:noProof/>
        </w:rPr>
      </w:pPr>
      <w:r w:rsidRPr="000A1327">
        <w:rPr>
          <w:rFonts w:cstheme="minorHAnsi"/>
          <w:i/>
          <w:noProof/>
        </w:rPr>
        <w:t>R v Singh</w:t>
      </w:r>
      <w:r w:rsidRPr="000A1327">
        <w:rPr>
          <w:rFonts w:cstheme="minorHAnsi"/>
          <w:noProof/>
        </w:rPr>
        <w:t xml:space="preserve"> (Vic CCA, 26 March 1991, unreported)</w:t>
      </w:r>
      <w:r>
        <w:rPr>
          <w:noProof/>
        </w:rPr>
        <w:tab/>
        <w:t>127</w:t>
      </w:r>
    </w:p>
    <w:p w14:paraId="728F31AF" w14:textId="77777777" w:rsidR="00D44BCF" w:rsidRDefault="00D44BCF">
      <w:pPr>
        <w:pStyle w:val="TableofAuthorities"/>
        <w:tabs>
          <w:tab w:val="right" w:leader="dot" w:pos="9061"/>
        </w:tabs>
        <w:rPr>
          <w:noProof/>
        </w:rPr>
      </w:pPr>
      <w:r w:rsidRPr="000A1327">
        <w:rPr>
          <w:rFonts w:cstheme="minorHAnsi"/>
          <w:i/>
          <w:noProof/>
        </w:rPr>
        <w:t>R v Smith</w:t>
      </w:r>
      <w:r w:rsidRPr="000A1327">
        <w:rPr>
          <w:rFonts w:cstheme="minorHAnsi"/>
          <w:noProof/>
        </w:rPr>
        <w:t xml:space="preserve"> (1987) 44 SASR 587</w:t>
      </w:r>
      <w:r>
        <w:rPr>
          <w:noProof/>
        </w:rPr>
        <w:tab/>
        <w:t>63</w:t>
      </w:r>
    </w:p>
    <w:p w14:paraId="7A720B0B" w14:textId="77777777" w:rsidR="00D44BCF" w:rsidRDefault="00D44BCF">
      <w:pPr>
        <w:pStyle w:val="TableofAuthorities"/>
        <w:tabs>
          <w:tab w:val="right" w:leader="dot" w:pos="9061"/>
        </w:tabs>
        <w:rPr>
          <w:noProof/>
        </w:rPr>
      </w:pPr>
      <w:r w:rsidRPr="000A1327">
        <w:rPr>
          <w:rFonts w:cstheme="minorHAnsi"/>
          <w:i/>
          <w:noProof/>
        </w:rPr>
        <w:t>R v Smith</w:t>
      </w:r>
      <w:r w:rsidRPr="000A1327">
        <w:rPr>
          <w:rFonts w:cstheme="minorHAnsi"/>
          <w:noProof/>
        </w:rPr>
        <w:t xml:space="preserve"> [2004] QCA 417</w:t>
      </w:r>
      <w:r>
        <w:rPr>
          <w:noProof/>
        </w:rPr>
        <w:tab/>
        <w:t>161</w:t>
      </w:r>
    </w:p>
    <w:p w14:paraId="041EAA99" w14:textId="77777777" w:rsidR="00D44BCF" w:rsidRDefault="00D44BCF">
      <w:pPr>
        <w:pStyle w:val="TableofAuthorities"/>
        <w:tabs>
          <w:tab w:val="right" w:leader="dot" w:pos="9061"/>
        </w:tabs>
        <w:rPr>
          <w:noProof/>
        </w:rPr>
      </w:pPr>
      <w:r w:rsidRPr="000A1327">
        <w:rPr>
          <w:rFonts w:cstheme="minorHAnsi"/>
          <w:i/>
          <w:noProof/>
        </w:rPr>
        <w:t>R v Sopher</w:t>
      </w:r>
      <w:r w:rsidRPr="000A1327">
        <w:rPr>
          <w:rFonts w:cstheme="minorHAnsi"/>
          <w:noProof/>
        </w:rPr>
        <w:t xml:space="preserve"> (1993) 70 A Crim R 570</w:t>
      </w:r>
      <w:r>
        <w:rPr>
          <w:noProof/>
        </w:rPr>
        <w:tab/>
        <w:t>62</w:t>
      </w:r>
    </w:p>
    <w:p w14:paraId="27835DF7" w14:textId="77777777" w:rsidR="00D44BCF" w:rsidRDefault="00D44BCF">
      <w:pPr>
        <w:pStyle w:val="TableofAuthorities"/>
        <w:tabs>
          <w:tab w:val="right" w:leader="dot" w:pos="9061"/>
        </w:tabs>
        <w:rPr>
          <w:noProof/>
        </w:rPr>
      </w:pPr>
      <w:r w:rsidRPr="000A1327">
        <w:rPr>
          <w:rFonts w:cstheme="minorHAnsi"/>
          <w:i/>
          <w:noProof/>
        </w:rPr>
        <w:t>R v Sprecher</w:t>
      </w:r>
      <w:r w:rsidRPr="000A1327">
        <w:rPr>
          <w:rFonts w:cstheme="minorHAnsi"/>
          <w:noProof/>
        </w:rPr>
        <w:t xml:space="preserve"> (2015) 123 SASR 15</w:t>
      </w:r>
      <w:r>
        <w:rPr>
          <w:noProof/>
        </w:rPr>
        <w:tab/>
        <w:t>130</w:t>
      </w:r>
    </w:p>
    <w:p w14:paraId="75B890EA" w14:textId="77777777" w:rsidR="00D44BCF" w:rsidRDefault="00D44BCF">
      <w:pPr>
        <w:pStyle w:val="TableofAuthorities"/>
        <w:tabs>
          <w:tab w:val="right" w:leader="dot" w:pos="9061"/>
        </w:tabs>
        <w:rPr>
          <w:noProof/>
        </w:rPr>
      </w:pPr>
      <w:r w:rsidRPr="000A1327">
        <w:rPr>
          <w:rFonts w:cstheme="minorHAnsi"/>
          <w:i/>
          <w:noProof/>
        </w:rPr>
        <w:t>R v Springer</w:t>
      </w:r>
      <w:r w:rsidRPr="000A1327">
        <w:rPr>
          <w:rFonts w:cstheme="minorHAnsi"/>
          <w:noProof/>
        </w:rPr>
        <w:t xml:space="preserve"> [2009] NSWCCA 144</w:t>
      </w:r>
      <w:r>
        <w:rPr>
          <w:noProof/>
        </w:rPr>
        <w:tab/>
        <w:t>200</w:t>
      </w:r>
    </w:p>
    <w:p w14:paraId="449C4616" w14:textId="77777777" w:rsidR="00D44BCF" w:rsidRDefault="00D44BCF">
      <w:pPr>
        <w:pStyle w:val="TableofAuthorities"/>
        <w:tabs>
          <w:tab w:val="right" w:leader="dot" w:pos="9061"/>
        </w:tabs>
        <w:rPr>
          <w:noProof/>
        </w:rPr>
      </w:pPr>
      <w:r w:rsidRPr="000A1327">
        <w:rPr>
          <w:rFonts w:eastAsiaTheme="minorHAnsi" w:cstheme="minorHAnsi"/>
          <w:i/>
          <w:noProof/>
        </w:rPr>
        <w:t>R v Stamatov</w:t>
      </w:r>
      <w:r w:rsidRPr="000A1327">
        <w:rPr>
          <w:rFonts w:eastAsiaTheme="minorHAnsi" w:cstheme="minorHAnsi"/>
          <w:noProof/>
        </w:rPr>
        <w:t xml:space="preserve"> [2017] QCA 158</w:t>
      </w:r>
      <w:r>
        <w:rPr>
          <w:noProof/>
        </w:rPr>
        <w:tab/>
        <w:t>39</w:t>
      </w:r>
    </w:p>
    <w:p w14:paraId="3A39952E" w14:textId="77777777" w:rsidR="00D44BCF" w:rsidRDefault="00D44BCF">
      <w:pPr>
        <w:pStyle w:val="TableofAuthorities"/>
        <w:tabs>
          <w:tab w:val="right" w:leader="dot" w:pos="9061"/>
        </w:tabs>
        <w:rPr>
          <w:noProof/>
        </w:rPr>
      </w:pPr>
      <w:r w:rsidRPr="000A1327">
        <w:rPr>
          <w:rFonts w:cstheme="minorHAnsi"/>
          <w:i/>
          <w:noProof/>
        </w:rPr>
        <w:t>R v Stanbouli</w:t>
      </w:r>
      <w:r w:rsidRPr="000A1327">
        <w:rPr>
          <w:rFonts w:cstheme="minorHAnsi"/>
          <w:noProof/>
        </w:rPr>
        <w:t xml:space="preserve"> [2003] NSWCCA 355</w:t>
      </w:r>
      <w:r>
        <w:rPr>
          <w:noProof/>
        </w:rPr>
        <w:tab/>
        <w:t>75</w:t>
      </w:r>
    </w:p>
    <w:p w14:paraId="4E1CE1B9" w14:textId="77777777" w:rsidR="00D44BCF" w:rsidRDefault="00D44BCF">
      <w:pPr>
        <w:pStyle w:val="TableofAuthorities"/>
        <w:tabs>
          <w:tab w:val="right" w:leader="dot" w:pos="9061"/>
        </w:tabs>
        <w:rPr>
          <w:noProof/>
        </w:rPr>
      </w:pPr>
      <w:r w:rsidRPr="000A1327">
        <w:rPr>
          <w:rFonts w:cstheme="minorHAnsi"/>
          <w:i/>
          <w:noProof/>
        </w:rPr>
        <w:t>R v Su</w:t>
      </w:r>
      <w:r w:rsidRPr="000A1327">
        <w:rPr>
          <w:rFonts w:cstheme="minorHAnsi"/>
          <w:noProof/>
        </w:rPr>
        <w:t xml:space="preserve"> [1997] 1 VR 1</w:t>
      </w:r>
      <w:r>
        <w:rPr>
          <w:noProof/>
        </w:rPr>
        <w:tab/>
        <w:t>53, 55</w:t>
      </w:r>
    </w:p>
    <w:p w14:paraId="450C5225" w14:textId="77777777" w:rsidR="00D44BCF" w:rsidRDefault="00D44BCF">
      <w:pPr>
        <w:pStyle w:val="TableofAuthorities"/>
        <w:tabs>
          <w:tab w:val="right" w:leader="dot" w:pos="9061"/>
        </w:tabs>
        <w:rPr>
          <w:noProof/>
        </w:rPr>
      </w:pPr>
      <w:r w:rsidRPr="000A1327">
        <w:rPr>
          <w:rFonts w:cstheme="minorHAnsi"/>
          <w:i/>
          <w:iCs/>
          <w:noProof/>
        </w:rPr>
        <w:t>R v Suarez-Mejia</w:t>
      </w:r>
      <w:r w:rsidRPr="000A1327">
        <w:rPr>
          <w:rFonts w:cstheme="minorHAnsi"/>
          <w:noProof/>
        </w:rPr>
        <w:t xml:space="preserve"> [2002] WASCA 187</w:t>
      </w:r>
      <w:r>
        <w:rPr>
          <w:noProof/>
        </w:rPr>
        <w:tab/>
        <w:t>215</w:t>
      </w:r>
    </w:p>
    <w:p w14:paraId="04B82A6A"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Succarieh</w:t>
      </w:r>
      <w:r w:rsidRPr="000A1327">
        <w:rPr>
          <w:rFonts w:cstheme="minorHAnsi"/>
          <w:noProof/>
        </w:rPr>
        <w:t xml:space="preserve"> [2017] QCA 85</w:t>
      </w:r>
      <w:r>
        <w:rPr>
          <w:noProof/>
        </w:rPr>
        <w:tab/>
        <w:t>188</w:t>
      </w:r>
    </w:p>
    <w:p w14:paraId="283FD73C" w14:textId="77777777" w:rsidR="00D44BCF" w:rsidRDefault="00D44BCF">
      <w:pPr>
        <w:pStyle w:val="TableofAuthorities"/>
        <w:tabs>
          <w:tab w:val="right" w:leader="dot" w:pos="9061"/>
        </w:tabs>
        <w:rPr>
          <w:noProof/>
        </w:rPr>
      </w:pPr>
      <w:r w:rsidRPr="000A1327">
        <w:rPr>
          <w:rFonts w:cstheme="minorHAnsi"/>
          <w:bCs/>
          <w:i/>
          <w:iCs/>
          <w:noProof/>
        </w:rPr>
        <w:t>R v Sukkar</w:t>
      </w:r>
      <w:r w:rsidRPr="000A1327">
        <w:rPr>
          <w:rFonts w:cstheme="minorHAnsi"/>
          <w:bCs/>
          <w:iCs/>
          <w:noProof/>
        </w:rPr>
        <w:t xml:space="preserve"> [2005] NSWCCA 55</w:t>
      </w:r>
      <w:r>
        <w:rPr>
          <w:noProof/>
        </w:rPr>
        <w:tab/>
        <w:t>54, 55</w:t>
      </w:r>
    </w:p>
    <w:p w14:paraId="3430F183" w14:textId="77777777" w:rsidR="00D44BCF" w:rsidRDefault="00D44BCF">
      <w:pPr>
        <w:pStyle w:val="TableofAuthorities"/>
        <w:tabs>
          <w:tab w:val="right" w:leader="dot" w:pos="9061"/>
        </w:tabs>
        <w:rPr>
          <w:noProof/>
        </w:rPr>
      </w:pPr>
      <w:r w:rsidRPr="000A1327">
        <w:rPr>
          <w:rFonts w:cstheme="minorHAnsi"/>
          <w:i/>
          <w:iCs/>
          <w:noProof/>
        </w:rPr>
        <w:t>R v Sukkar</w:t>
      </w:r>
      <w:r w:rsidRPr="000A1327">
        <w:rPr>
          <w:rFonts w:cstheme="minorHAnsi"/>
          <w:noProof/>
        </w:rPr>
        <w:t xml:space="preserve"> [2006] NSWCCA 92</w:t>
      </w:r>
      <w:r>
        <w:rPr>
          <w:noProof/>
        </w:rPr>
        <w:tab/>
        <w:t>54, 55</w:t>
      </w:r>
    </w:p>
    <w:p w14:paraId="54AE0AD3" w14:textId="77777777" w:rsidR="00D44BCF" w:rsidRDefault="00D44BCF">
      <w:pPr>
        <w:pStyle w:val="TableofAuthorities"/>
        <w:tabs>
          <w:tab w:val="right" w:leader="dot" w:pos="9061"/>
        </w:tabs>
        <w:rPr>
          <w:noProof/>
        </w:rPr>
      </w:pPr>
      <w:r w:rsidRPr="000A1327">
        <w:rPr>
          <w:rFonts w:cstheme="minorHAnsi"/>
          <w:i/>
          <w:noProof/>
        </w:rPr>
        <w:t>R v Summerfield</w:t>
      </w:r>
      <w:r w:rsidRPr="000A1327">
        <w:rPr>
          <w:rFonts w:cstheme="minorHAnsi"/>
          <w:noProof/>
        </w:rPr>
        <w:t xml:space="preserve"> [2018] ACTCA 20</w:t>
      </w:r>
      <w:r>
        <w:rPr>
          <w:noProof/>
        </w:rPr>
        <w:tab/>
        <w:t>64</w:t>
      </w:r>
    </w:p>
    <w:p w14:paraId="33E2317F" w14:textId="77777777" w:rsidR="00D44BCF" w:rsidRDefault="00D44BCF">
      <w:pPr>
        <w:pStyle w:val="TableofAuthorities"/>
        <w:tabs>
          <w:tab w:val="right" w:leader="dot" w:pos="9061"/>
        </w:tabs>
        <w:rPr>
          <w:noProof/>
        </w:rPr>
      </w:pPr>
      <w:r w:rsidRPr="000A1327">
        <w:rPr>
          <w:rFonts w:cstheme="minorHAnsi"/>
          <w:bCs/>
          <w:i/>
          <w:iCs/>
          <w:noProof/>
        </w:rPr>
        <w:t>R v Sweet</w:t>
      </w:r>
      <w:r w:rsidRPr="000A1327">
        <w:rPr>
          <w:rFonts w:cstheme="minorHAnsi"/>
          <w:noProof/>
        </w:rPr>
        <w:t xml:space="preserve"> [2001] NSWCCA 445</w:t>
      </w:r>
      <w:r>
        <w:rPr>
          <w:noProof/>
        </w:rPr>
        <w:tab/>
        <w:t>254</w:t>
      </w:r>
    </w:p>
    <w:p w14:paraId="07919DBF" w14:textId="77777777" w:rsidR="00D44BCF" w:rsidRDefault="00D44BCF">
      <w:pPr>
        <w:pStyle w:val="TableofAuthorities"/>
        <w:tabs>
          <w:tab w:val="right" w:leader="dot" w:pos="9061"/>
        </w:tabs>
        <w:rPr>
          <w:noProof/>
        </w:rPr>
      </w:pPr>
      <w:r w:rsidRPr="000A1327">
        <w:rPr>
          <w:rFonts w:cstheme="minorHAnsi"/>
          <w:i/>
          <w:noProof/>
        </w:rPr>
        <w:t>R v TA</w:t>
      </w:r>
      <w:r w:rsidRPr="000A1327">
        <w:rPr>
          <w:rFonts w:cstheme="minorHAnsi"/>
          <w:noProof/>
        </w:rPr>
        <w:t xml:space="preserve"> (2003) 57 NSWLR 444</w:t>
      </w:r>
      <w:r>
        <w:rPr>
          <w:noProof/>
        </w:rPr>
        <w:tab/>
        <w:t>76</w:t>
      </w:r>
    </w:p>
    <w:p w14:paraId="785D5C3C" w14:textId="77777777" w:rsidR="00D44BCF" w:rsidRDefault="00D44BCF">
      <w:pPr>
        <w:pStyle w:val="TableofAuthorities"/>
        <w:tabs>
          <w:tab w:val="right" w:leader="dot" w:pos="9061"/>
        </w:tabs>
        <w:rPr>
          <w:noProof/>
        </w:rPr>
      </w:pPr>
      <w:r w:rsidRPr="000A1327">
        <w:rPr>
          <w:rFonts w:cstheme="minorHAnsi"/>
          <w:i/>
          <w:noProof/>
        </w:rPr>
        <w:t>R v Tabone</w:t>
      </w:r>
      <w:r w:rsidRPr="000A1327">
        <w:rPr>
          <w:rFonts w:cstheme="minorHAnsi"/>
          <w:noProof/>
        </w:rPr>
        <w:t xml:space="preserve"> [2006] VSCA 238</w:t>
      </w:r>
      <w:r>
        <w:rPr>
          <w:noProof/>
        </w:rPr>
        <w:tab/>
        <w:t>83, 84, 86</w:t>
      </w:r>
    </w:p>
    <w:p w14:paraId="30A85E50" w14:textId="77777777" w:rsidR="00D44BCF" w:rsidRDefault="00D44BCF">
      <w:pPr>
        <w:pStyle w:val="TableofAuthorities"/>
        <w:tabs>
          <w:tab w:val="right" w:leader="dot" w:pos="9061"/>
        </w:tabs>
        <w:rPr>
          <w:noProof/>
        </w:rPr>
      </w:pPr>
      <w:r w:rsidRPr="000A1327">
        <w:rPr>
          <w:rFonts w:cstheme="minorHAnsi"/>
          <w:i/>
          <w:noProof/>
        </w:rPr>
        <w:t>R v Tae</w:t>
      </w:r>
      <w:r w:rsidRPr="000A1327">
        <w:rPr>
          <w:rFonts w:cstheme="minorHAnsi"/>
          <w:noProof/>
        </w:rPr>
        <w:t xml:space="preserve"> [2005] NSWCCA 29</w:t>
      </w:r>
      <w:r>
        <w:rPr>
          <w:noProof/>
        </w:rPr>
        <w:tab/>
        <w:t>53, 199</w:t>
      </w:r>
    </w:p>
    <w:p w14:paraId="4636E7EC" w14:textId="77777777" w:rsidR="00D44BCF" w:rsidRDefault="00D44BCF">
      <w:pPr>
        <w:pStyle w:val="TableofAuthorities"/>
        <w:tabs>
          <w:tab w:val="right" w:leader="dot" w:pos="9061"/>
        </w:tabs>
        <w:rPr>
          <w:noProof/>
        </w:rPr>
      </w:pPr>
      <w:r w:rsidRPr="000A1327">
        <w:rPr>
          <w:rFonts w:cstheme="minorHAnsi"/>
          <w:i/>
          <w:noProof/>
        </w:rPr>
        <w:t>R v Taheri</w:t>
      </w:r>
      <w:r w:rsidRPr="000A1327">
        <w:rPr>
          <w:rFonts w:cstheme="minorHAnsi"/>
          <w:noProof/>
        </w:rPr>
        <w:t xml:space="preserve"> [2017] SASCFC 115</w:t>
      </w:r>
      <w:r>
        <w:rPr>
          <w:noProof/>
        </w:rPr>
        <w:tab/>
        <w:t>79</w:t>
      </w:r>
    </w:p>
    <w:p w14:paraId="436C1FCD" w14:textId="77777777" w:rsidR="00D44BCF" w:rsidRDefault="00D44BCF">
      <w:pPr>
        <w:pStyle w:val="TableofAuthorities"/>
        <w:tabs>
          <w:tab w:val="right" w:leader="dot" w:pos="9061"/>
        </w:tabs>
        <w:rPr>
          <w:noProof/>
        </w:rPr>
      </w:pPr>
      <w:r w:rsidRPr="000A1327">
        <w:rPr>
          <w:rFonts w:cstheme="minorHAnsi"/>
          <w:i/>
          <w:noProof/>
        </w:rPr>
        <w:t xml:space="preserve">R v Tait </w:t>
      </w:r>
      <w:r w:rsidRPr="000A1327">
        <w:rPr>
          <w:rFonts w:cstheme="minorHAnsi"/>
          <w:noProof/>
        </w:rPr>
        <w:t>(1979) 24 ALR 473</w:t>
      </w:r>
      <w:r>
        <w:rPr>
          <w:noProof/>
        </w:rPr>
        <w:tab/>
        <w:t>57, 58, 186, 187, 188, 189, 192</w:t>
      </w:r>
    </w:p>
    <w:p w14:paraId="260CD7DC"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Talia</w:t>
      </w:r>
      <w:r w:rsidRPr="000A1327">
        <w:rPr>
          <w:rFonts w:cstheme="minorHAnsi"/>
          <w:noProof/>
        </w:rPr>
        <w:t xml:space="preserve"> [2009] VSCA 260</w:t>
      </w:r>
      <w:r>
        <w:rPr>
          <w:noProof/>
        </w:rPr>
        <w:tab/>
        <w:t>76</w:t>
      </w:r>
    </w:p>
    <w:p w14:paraId="55C1EB56" w14:textId="77777777" w:rsidR="00D44BCF" w:rsidRDefault="00D44BCF">
      <w:pPr>
        <w:pStyle w:val="TableofAuthorities"/>
        <w:tabs>
          <w:tab w:val="right" w:leader="dot" w:pos="9061"/>
        </w:tabs>
        <w:rPr>
          <w:noProof/>
        </w:rPr>
      </w:pPr>
      <w:r w:rsidRPr="000A1327">
        <w:rPr>
          <w:rFonts w:cstheme="minorHAnsi"/>
          <w:i/>
          <w:noProof/>
        </w:rPr>
        <w:t>R v Tan</w:t>
      </w:r>
      <w:r w:rsidRPr="000A1327">
        <w:rPr>
          <w:rFonts w:cstheme="minorHAnsi"/>
          <w:noProof/>
        </w:rPr>
        <w:t xml:space="preserve"> (1995) 78 A Crim R 300</w:t>
      </w:r>
      <w:r>
        <w:rPr>
          <w:noProof/>
        </w:rPr>
        <w:tab/>
        <w:t>198</w:t>
      </w:r>
    </w:p>
    <w:p w14:paraId="0B6E28F9" w14:textId="77777777" w:rsidR="00D44BCF" w:rsidRDefault="00D44BCF">
      <w:pPr>
        <w:pStyle w:val="TableofAuthorities"/>
        <w:tabs>
          <w:tab w:val="right" w:leader="dot" w:pos="9061"/>
        </w:tabs>
        <w:rPr>
          <w:noProof/>
        </w:rPr>
      </w:pPr>
      <w:r w:rsidRPr="000A1327">
        <w:rPr>
          <w:rFonts w:cstheme="minorHAnsi"/>
          <w:i/>
          <w:noProof/>
        </w:rPr>
        <w:t>R v Tang</w:t>
      </w:r>
      <w:r w:rsidRPr="000A1327">
        <w:rPr>
          <w:rFonts w:cstheme="minorHAnsi"/>
          <w:noProof/>
        </w:rPr>
        <w:t xml:space="preserve"> [1998] 3 VR 508</w:t>
      </w:r>
      <w:r>
        <w:rPr>
          <w:noProof/>
        </w:rPr>
        <w:tab/>
        <w:t>55</w:t>
      </w:r>
    </w:p>
    <w:p w14:paraId="1C268D0F" w14:textId="77777777" w:rsidR="00D44BCF" w:rsidRDefault="00D44BCF">
      <w:pPr>
        <w:pStyle w:val="TableofAuthorities"/>
        <w:tabs>
          <w:tab w:val="right" w:leader="dot" w:pos="9061"/>
        </w:tabs>
        <w:rPr>
          <w:noProof/>
        </w:rPr>
      </w:pPr>
      <w:r w:rsidRPr="000A1327">
        <w:rPr>
          <w:rFonts w:cstheme="minorHAnsi"/>
          <w:i/>
          <w:noProof/>
        </w:rPr>
        <w:t>R v Theodossio</w:t>
      </w:r>
      <w:r w:rsidRPr="000A1327">
        <w:rPr>
          <w:rFonts w:cstheme="minorHAnsi"/>
          <w:noProof/>
        </w:rPr>
        <w:t xml:space="preserve"> [2000] 1 Qd R 299</w:t>
      </w:r>
      <w:r>
        <w:rPr>
          <w:noProof/>
        </w:rPr>
        <w:tab/>
        <w:t>106</w:t>
      </w:r>
    </w:p>
    <w:p w14:paraId="0DFE3F8F" w14:textId="77777777" w:rsidR="00D44BCF" w:rsidRDefault="00D44BCF">
      <w:pPr>
        <w:pStyle w:val="TableofAuthorities"/>
        <w:tabs>
          <w:tab w:val="right" w:leader="dot" w:pos="9061"/>
        </w:tabs>
        <w:rPr>
          <w:noProof/>
        </w:rPr>
      </w:pPr>
      <w:r w:rsidRPr="000A1327">
        <w:rPr>
          <w:rFonts w:cstheme="minorHAnsi"/>
          <w:i/>
          <w:noProof/>
        </w:rPr>
        <w:t>R v Tiburcy</w:t>
      </w:r>
      <w:r w:rsidRPr="000A1327">
        <w:rPr>
          <w:rFonts w:cstheme="minorHAnsi"/>
          <w:noProof/>
        </w:rPr>
        <w:t xml:space="preserve"> [2006] VSCA 244</w:t>
      </w:r>
      <w:r>
        <w:rPr>
          <w:noProof/>
        </w:rPr>
        <w:tab/>
        <w:t>71</w:t>
      </w:r>
    </w:p>
    <w:p w14:paraId="6DD912E2" w14:textId="77777777" w:rsidR="00D44BCF" w:rsidRDefault="00D44BCF">
      <w:pPr>
        <w:pStyle w:val="TableofAuthorities"/>
        <w:tabs>
          <w:tab w:val="right" w:leader="dot" w:pos="9061"/>
        </w:tabs>
        <w:rPr>
          <w:noProof/>
        </w:rPr>
      </w:pPr>
      <w:r w:rsidRPr="000A1327">
        <w:rPr>
          <w:rFonts w:cstheme="minorHAnsi"/>
          <w:i/>
          <w:noProof/>
        </w:rPr>
        <w:t>R v Tilley</w:t>
      </w:r>
      <w:r w:rsidRPr="000A1327">
        <w:rPr>
          <w:rFonts w:cstheme="minorHAnsi"/>
          <w:iCs/>
          <w:noProof/>
        </w:rPr>
        <w:t xml:space="preserve"> [2010] SASCFC 73</w:t>
      </w:r>
      <w:r>
        <w:rPr>
          <w:noProof/>
        </w:rPr>
        <w:tab/>
        <w:t>127</w:t>
      </w:r>
    </w:p>
    <w:p w14:paraId="3BB6624F" w14:textId="77777777" w:rsidR="00D44BCF" w:rsidRDefault="00D44BCF">
      <w:pPr>
        <w:pStyle w:val="TableofAuthorities"/>
        <w:tabs>
          <w:tab w:val="right" w:leader="dot" w:pos="9061"/>
        </w:tabs>
        <w:rPr>
          <w:noProof/>
        </w:rPr>
      </w:pPr>
      <w:r w:rsidRPr="000A1327">
        <w:rPr>
          <w:rFonts w:cstheme="minorHAnsi"/>
          <w:i/>
          <w:noProof/>
        </w:rPr>
        <w:t>R v Todd</w:t>
      </w:r>
      <w:r w:rsidRPr="000A1327">
        <w:rPr>
          <w:rFonts w:cstheme="minorHAnsi"/>
          <w:noProof/>
        </w:rPr>
        <w:t xml:space="preserve"> [1982] 2 NSWLR 517</w:t>
      </w:r>
      <w:r>
        <w:rPr>
          <w:noProof/>
        </w:rPr>
        <w:tab/>
        <w:t>71</w:t>
      </w:r>
    </w:p>
    <w:p w14:paraId="5EE6546D" w14:textId="77777777" w:rsidR="00D44BCF" w:rsidRDefault="00D44BCF">
      <w:pPr>
        <w:pStyle w:val="TableofAuthorities"/>
        <w:tabs>
          <w:tab w:val="right" w:leader="dot" w:pos="9061"/>
        </w:tabs>
        <w:rPr>
          <w:noProof/>
        </w:rPr>
      </w:pPr>
      <w:r w:rsidRPr="000A1327">
        <w:rPr>
          <w:rFonts w:cstheme="minorHAnsi"/>
          <w:i/>
          <w:noProof/>
        </w:rPr>
        <w:t>R v Togias</w:t>
      </w:r>
      <w:r w:rsidRPr="000A1327">
        <w:rPr>
          <w:rFonts w:cstheme="minorHAnsi"/>
          <w:noProof/>
        </w:rPr>
        <w:t xml:space="preserve"> [2001] NSWCCA 522</w:t>
      </w:r>
      <w:r>
        <w:rPr>
          <w:noProof/>
        </w:rPr>
        <w:tab/>
        <w:t>67, 117, 192</w:t>
      </w:r>
    </w:p>
    <w:p w14:paraId="4541D0BC" w14:textId="77777777" w:rsidR="00D44BCF" w:rsidRDefault="00D44BCF">
      <w:pPr>
        <w:pStyle w:val="TableofAuthorities"/>
        <w:tabs>
          <w:tab w:val="right" w:leader="dot" w:pos="9061"/>
        </w:tabs>
        <w:rPr>
          <w:noProof/>
        </w:rPr>
      </w:pPr>
      <w:r w:rsidRPr="000A1327">
        <w:rPr>
          <w:rFonts w:cstheme="minorHAnsi"/>
          <w:i/>
          <w:noProof/>
        </w:rPr>
        <w:t>R v Tran</w:t>
      </w:r>
      <w:r w:rsidRPr="000A1327">
        <w:rPr>
          <w:rFonts w:cstheme="minorHAnsi"/>
          <w:noProof/>
        </w:rPr>
        <w:t xml:space="preserve"> [2007] QCA 221</w:t>
      </w:r>
      <w:r>
        <w:rPr>
          <w:noProof/>
        </w:rPr>
        <w:tab/>
        <w:t>256</w:t>
      </w:r>
    </w:p>
    <w:p w14:paraId="08F18ECC" w14:textId="77777777" w:rsidR="00D44BCF" w:rsidRDefault="00D44BCF">
      <w:pPr>
        <w:pStyle w:val="TableofAuthorities"/>
        <w:tabs>
          <w:tab w:val="right" w:leader="dot" w:pos="9061"/>
        </w:tabs>
        <w:rPr>
          <w:noProof/>
        </w:rPr>
      </w:pPr>
      <w:r w:rsidRPr="000A1327">
        <w:rPr>
          <w:rFonts w:cstheme="minorHAnsi"/>
          <w:i/>
          <w:noProof/>
        </w:rPr>
        <w:t>R v Tran</w:t>
      </w:r>
      <w:r w:rsidRPr="000A1327">
        <w:rPr>
          <w:rFonts w:cstheme="minorHAnsi"/>
          <w:noProof/>
        </w:rPr>
        <w:t xml:space="preserve"> [2011] SASCFC 153</w:t>
      </w:r>
      <w:r>
        <w:rPr>
          <w:noProof/>
        </w:rPr>
        <w:tab/>
        <w:t>26, 28</w:t>
      </w:r>
    </w:p>
    <w:p w14:paraId="35FFDB10" w14:textId="77777777" w:rsidR="00D44BCF" w:rsidRDefault="00D44BCF">
      <w:pPr>
        <w:pStyle w:val="TableofAuthorities"/>
        <w:tabs>
          <w:tab w:val="right" w:leader="dot" w:pos="9061"/>
        </w:tabs>
        <w:rPr>
          <w:noProof/>
        </w:rPr>
      </w:pPr>
      <w:r w:rsidRPr="000A1327">
        <w:rPr>
          <w:rFonts w:cstheme="minorHAnsi"/>
          <w:i/>
          <w:noProof/>
        </w:rPr>
        <w:t>R v Tran</w:t>
      </w:r>
      <w:r w:rsidRPr="000A1327">
        <w:rPr>
          <w:rFonts w:cstheme="minorHAnsi"/>
          <w:noProof/>
        </w:rPr>
        <w:t xml:space="preserve"> [2019] SASCFC 5</w:t>
      </w:r>
      <w:r>
        <w:rPr>
          <w:noProof/>
        </w:rPr>
        <w:tab/>
        <w:t>17, 116, 117, 119, 123, 180</w:t>
      </w:r>
    </w:p>
    <w:p w14:paraId="3383BC12" w14:textId="77777777" w:rsidR="00D44BCF" w:rsidRDefault="00D44BCF">
      <w:pPr>
        <w:pStyle w:val="TableofAuthorities"/>
        <w:tabs>
          <w:tab w:val="right" w:leader="dot" w:pos="9061"/>
        </w:tabs>
        <w:rPr>
          <w:noProof/>
        </w:rPr>
      </w:pPr>
      <w:r w:rsidRPr="000A1327">
        <w:rPr>
          <w:rFonts w:cstheme="minorHAnsi"/>
          <w:i/>
          <w:noProof/>
        </w:rPr>
        <w:t>R v Tranter (No 2)</w:t>
      </w:r>
      <w:r w:rsidRPr="000A1327">
        <w:rPr>
          <w:rFonts w:cstheme="minorHAnsi"/>
          <w:noProof/>
        </w:rPr>
        <w:t xml:space="preserve"> (2014) 119 SASR 480</w:t>
      </w:r>
      <w:r>
        <w:rPr>
          <w:noProof/>
        </w:rPr>
        <w:tab/>
        <w:t>27, 28</w:t>
      </w:r>
    </w:p>
    <w:p w14:paraId="5FD2CE69" w14:textId="77777777" w:rsidR="00D44BCF" w:rsidRDefault="00D44BCF">
      <w:pPr>
        <w:pStyle w:val="TableofAuthorities"/>
        <w:tabs>
          <w:tab w:val="right" w:leader="dot" w:pos="9061"/>
        </w:tabs>
        <w:rPr>
          <w:noProof/>
        </w:rPr>
      </w:pPr>
      <w:r w:rsidRPr="000A1327">
        <w:rPr>
          <w:rFonts w:cstheme="minorHAnsi"/>
          <w:i/>
          <w:noProof/>
        </w:rPr>
        <w:t>R v Travers</w:t>
      </w:r>
      <w:r w:rsidRPr="000A1327">
        <w:rPr>
          <w:rFonts w:cstheme="minorHAnsi"/>
          <w:noProof/>
        </w:rPr>
        <w:t xml:space="preserve"> (1983) 34 SASR 112</w:t>
      </w:r>
      <w:r>
        <w:rPr>
          <w:noProof/>
        </w:rPr>
        <w:tab/>
        <w:t>188, 189</w:t>
      </w:r>
    </w:p>
    <w:p w14:paraId="3545841D" w14:textId="77777777" w:rsidR="00D44BCF" w:rsidRDefault="00D44BCF">
      <w:pPr>
        <w:pStyle w:val="TableofAuthorities"/>
        <w:tabs>
          <w:tab w:val="right" w:leader="dot" w:pos="9061"/>
        </w:tabs>
        <w:rPr>
          <w:noProof/>
        </w:rPr>
      </w:pPr>
      <w:r w:rsidRPr="000A1327">
        <w:rPr>
          <w:rFonts w:cstheme="minorHAnsi"/>
          <w:i/>
          <w:noProof/>
        </w:rPr>
        <w:t>R v Tsiaousis</w:t>
      </w:r>
      <w:r w:rsidRPr="000A1327">
        <w:rPr>
          <w:rFonts w:cstheme="minorHAnsi"/>
          <w:noProof/>
        </w:rPr>
        <w:t xml:space="preserve"> [2005] NSWCCA 240</w:t>
      </w:r>
      <w:r>
        <w:rPr>
          <w:noProof/>
        </w:rPr>
        <w:tab/>
        <w:t>255</w:t>
      </w:r>
    </w:p>
    <w:p w14:paraId="46EA0A93" w14:textId="77777777" w:rsidR="00D44BCF" w:rsidRDefault="00D44BCF">
      <w:pPr>
        <w:pStyle w:val="TableofAuthorities"/>
        <w:tabs>
          <w:tab w:val="right" w:leader="dot" w:pos="9061"/>
        </w:tabs>
        <w:rPr>
          <w:noProof/>
        </w:rPr>
      </w:pPr>
      <w:r w:rsidRPr="000A1327">
        <w:rPr>
          <w:rFonts w:cstheme="minorHAnsi"/>
          <w:i/>
          <w:noProof/>
        </w:rPr>
        <w:t>R v Tsiaris</w:t>
      </w:r>
      <w:r w:rsidRPr="000A1327">
        <w:rPr>
          <w:rFonts w:cstheme="minorHAnsi"/>
          <w:noProof/>
        </w:rPr>
        <w:t xml:space="preserve"> [1996] 1 VR 398</w:t>
      </w:r>
      <w:r>
        <w:rPr>
          <w:noProof/>
        </w:rPr>
        <w:tab/>
        <w:t>63</w:t>
      </w:r>
    </w:p>
    <w:p w14:paraId="1BA49287" w14:textId="77777777" w:rsidR="00D44BCF" w:rsidRDefault="00D44BCF">
      <w:pPr>
        <w:pStyle w:val="TableofAuthorities"/>
        <w:tabs>
          <w:tab w:val="right" w:leader="dot" w:pos="9061"/>
        </w:tabs>
        <w:rPr>
          <w:noProof/>
        </w:rPr>
      </w:pPr>
      <w:r w:rsidRPr="000A1327">
        <w:rPr>
          <w:rFonts w:cstheme="minorHAnsi"/>
          <w:i/>
          <w:iCs/>
          <w:noProof/>
        </w:rPr>
        <w:t>R v Turnbull; ex parte Taylor</w:t>
      </w:r>
      <w:r w:rsidRPr="000A1327">
        <w:rPr>
          <w:rFonts w:cstheme="minorHAnsi"/>
          <w:noProof/>
        </w:rPr>
        <w:t xml:space="preserve"> (1968) 123 CLR 28</w:t>
      </w:r>
      <w:r>
        <w:rPr>
          <w:noProof/>
        </w:rPr>
        <w:tab/>
        <w:t>4</w:t>
      </w:r>
    </w:p>
    <w:p w14:paraId="139618D1" w14:textId="77777777" w:rsidR="00D44BCF" w:rsidRDefault="00D44BCF">
      <w:pPr>
        <w:pStyle w:val="TableofAuthorities"/>
        <w:tabs>
          <w:tab w:val="right" w:leader="dot" w:pos="9061"/>
        </w:tabs>
        <w:rPr>
          <w:noProof/>
        </w:rPr>
      </w:pPr>
      <w:r w:rsidRPr="000A1327">
        <w:rPr>
          <w:rFonts w:cstheme="minorHAnsi"/>
          <w:i/>
          <w:noProof/>
        </w:rPr>
        <w:t>R v TW (No 2)</w:t>
      </w:r>
      <w:r w:rsidRPr="000A1327">
        <w:rPr>
          <w:rFonts w:cstheme="minorHAnsi"/>
          <w:noProof/>
        </w:rPr>
        <w:t xml:space="preserve"> [2014] ACTCA 37</w:t>
      </w:r>
      <w:r>
        <w:rPr>
          <w:noProof/>
        </w:rPr>
        <w:tab/>
        <w:t>126</w:t>
      </w:r>
    </w:p>
    <w:p w14:paraId="0042C041" w14:textId="77777777" w:rsidR="00D44BCF" w:rsidRDefault="00D44BCF">
      <w:pPr>
        <w:pStyle w:val="TableofAuthorities"/>
        <w:tabs>
          <w:tab w:val="right" w:leader="dot" w:pos="9061"/>
        </w:tabs>
        <w:rPr>
          <w:noProof/>
        </w:rPr>
      </w:pPr>
      <w:r w:rsidRPr="000A1327">
        <w:rPr>
          <w:rFonts w:cstheme="minorHAnsi"/>
          <w:i/>
          <w:noProof/>
        </w:rPr>
        <w:t>R v UE</w:t>
      </w:r>
      <w:r w:rsidRPr="000A1327">
        <w:rPr>
          <w:rFonts w:cstheme="minorHAnsi"/>
          <w:noProof/>
        </w:rPr>
        <w:t xml:space="preserve"> [2016] QCA 58</w:t>
      </w:r>
      <w:r>
        <w:rPr>
          <w:noProof/>
        </w:rPr>
        <w:tab/>
        <w:t>78, 79</w:t>
      </w:r>
    </w:p>
    <w:p w14:paraId="1BD6252E" w14:textId="77777777" w:rsidR="00D44BCF" w:rsidRDefault="00D44BCF">
      <w:pPr>
        <w:pStyle w:val="TableofAuthorities"/>
        <w:tabs>
          <w:tab w:val="right" w:leader="dot" w:pos="9061"/>
        </w:tabs>
        <w:rPr>
          <w:noProof/>
        </w:rPr>
      </w:pPr>
      <w:r w:rsidRPr="000A1327">
        <w:rPr>
          <w:rFonts w:cstheme="minorHAnsi"/>
          <w:i/>
          <w:noProof/>
        </w:rPr>
        <w:t>R v V</w:t>
      </w:r>
      <w:r w:rsidRPr="000A1327">
        <w:rPr>
          <w:rFonts w:cstheme="minorHAnsi"/>
          <w:noProof/>
        </w:rPr>
        <w:t xml:space="preserve"> [2012] SASCFC 10</w:t>
      </w:r>
      <w:r>
        <w:rPr>
          <w:noProof/>
        </w:rPr>
        <w:tab/>
        <w:t>89</w:t>
      </w:r>
    </w:p>
    <w:p w14:paraId="015D0599" w14:textId="77777777" w:rsidR="00D44BCF" w:rsidRDefault="00D44BCF">
      <w:pPr>
        <w:pStyle w:val="TableofAuthorities"/>
        <w:tabs>
          <w:tab w:val="right" w:leader="dot" w:pos="9061"/>
        </w:tabs>
        <w:rPr>
          <w:noProof/>
        </w:rPr>
      </w:pPr>
      <w:r w:rsidRPr="000A1327">
        <w:rPr>
          <w:rFonts w:cstheme="minorHAnsi"/>
          <w:i/>
          <w:noProof/>
        </w:rPr>
        <w:t>R v Van Boxtel</w:t>
      </w:r>
      <w:r w:rsidRPr="000A1327">
        <w:rPr>
          <w:rFonts w:cstheme="minorHAnsi"/>
          <w:noProof/>
        </w:rPr>
        <w:t xml:space="preserve"> (2005) 11 VR 258</w:t>
      </w:r>
      <w:r>
        <w:rPr>
          <w:noProof/>
        </w:rPr>
        <w:tab/>
        <w:t>63</w:t>
      </w:r>
    </w:p>
    <w:p w14:paraId="68AC5CB3" w14:textId="77777777" w:rsidR="00D44BCF" w:rsidRDefault="00D44BCF">
      <w:pPr>
        <w:pStyle w:val="TableofAuthorities"/>
        <w:tabs>
          <w:tab w:val="right" w:leader="dot" w:pos="9061"/>
        </w:tabs>
        <w:rPr>
          <w:noProof/>
        </w:rPr>
      </w:pPr>
      <w:r w:rsidRPr="000A1327">
        <w:rPr>
          <w:rFonts w:cstheme="minorHAnsi"/>
          <w:i/>
          <w:noProof/>
        </w:rPr>
        <w:t>R v Van Tung Luu</w:t>
      </w:r>
      <w:r w:rsidRPr="000A1327">
        <w:rPr>
          <w:rFonts w:cstheme="minorHAnsi"/>
          <w:noProof/>
        </w:rPr>
        <w:t xml:space="preserve"> (NSW CCA, 7 December 1984, unreported)</w:t>
      </w:r>
      <w:r>
        <w:rPr>
          <w:noProof/>
        </w:rPr>
        <w:tab/>
        <w:t>57</w:t>
      </w:r>
    </w:p>
    <w:p w14:paraId="376D3FFB" w14:textId="77777777" w:rsidR="00D44BCF" w:rsidRDefault="00D44BCF">
      <w:pPr>
        <w:pStyle w:val="TableofAuthorities"/>
        <w:tabs>
          <w:tab w:val="right" w:leader="dot" w:pos="9061"/>
        </w:tabs>
        <w:rPr>
          <w:noProof/>
        </w:rPr>
      </w:pPr>
      <w:r w:rsidRPr="000A1327">
        <w:rPr>
          <w:rFonts w:cstheme="minorHAnsi"/>
          <w:i/>
          <w:noProof/>
        </w:rPr>
        <w:t>R v Verdins</w:t>
      </w:r>
      <w:r w:rsidRPr="000A1327">
        <w:rPr>
          <w:rFonts w:cstheme="minorHAnsi"/>
          <w:noProof/>
        </w:rPr>
        <w:t xml:space="preserve"> (2007) 16 VR 269</w:t>
      </w:r>
      <w:r>
        <w:rPr>
          <w:noProof/>
        </w:rPr>
        <w:tab/>
        <w:t>63</w:t>
      </w:r>
    </w:p>
    <w:p w14:paraId="753C5646" w14:textId="77777777" w:rsidR="00D44BCF" w:rsidRDefault="00D44BCF">
      <w:pPr>
        <w:pStyle w:val="TableofAuthorities"/>
        <w:tabs>
          <w:tab w:val="right" w:leader="dot" w:pos="9061"/>
        </w:tabs>
        <w:rPr>
          <w:noProof/>
        </w:rPr>
      </w:pPr>
      <w:r w:rsidRPr="000A1327">
        <w:rPr>
          <w:rFonts w:cstheme="minorHAnsi"/>
          <w:i/>
          <w:noProof/>
        </w:rPr>
        <w:t>R v Weller</w:t>
      </w:r>
      <w:r w:rsidRPr="000A1327">
        <w:rPr>
          <w:rFonts w:cstheme="minorHAnsi"/>
          <w:noProof/>
        </w:rPr>
        <w:t xml:space="preserve"> (1988) 37 A Crim R 349</w:t>
      </w:r>
      <w:r>
        <w:rPr>
          <w:noProof/>
        </w:rPr>
        <w:tab/>
        <w:t>98</w:t>
      </w:r>
    </w:p>
    <w:p w14:paraId="26C6B052" w14:textId="77777777" w:rsidR="00D44BCF" w:rsidRDefault="00D44BCF">
      <w:pPr>
        <w:pStyle w:val="TableofAuthorities"/>
        <w:tabs>
          <w:tab w:val="right" w:leader="dot" w:pos="9061"/>
        </w:tabs>
        <w:rPr>
          <w:noProof/>
        </w:rPr>
      </w:pPr>
      <w:r w:rsidRPr="000A1327">
        <w:rPr>
          <w:rFonts w:cstheme="minorHAnsi"/>
          <w:i/>
          <w:noProof/>
        </w:rPr>
        <w:t>R v White</w:t>
      </w:r>
      <w:r w:rsidRPr="000A1327">
        <w:rPr>
          <w:rFonts w:cstheme="minorHAnsi"/>
          <w:noProof/>
        </w:rPr>
        <w:t xml:space="preserve"> (1981) 28 SASR 9</w:t>
      </w:r>
      <w:r>
        <w:rPr>
          <w:noProof/>
        </w:rPr>
        <w:tab/>
        <w:t>196</w:t>
      </w:r>
    </w:p>
    <w:p w14:paraId="2F66FB0E" w14:textId="77777777" w:rsidR="00D44BCF" w:rsidRDefault="00D44BCF">
      <w:pPr>
        <w:pStyle w:val="TableofAuthorities"/>
        <w:tabs>
          <w:tab w:val="right" w:leader="dot" w:pos="9061"/>
        </w:tabs>
        <w:rPr>
          <w:noProof/>
        </w:rPr>
      </w:pPr>
      <w:r w:rsidRPr="000A1327">
        <w:rPr>
          <w:rFonts w:cstheme="minorHAnsi"/>
          <w:i/>
          <w:noProof/>
        </w:rPr>
        <w:t>R</w:t>
      </w:r>
      <w:r w:rsidRPr="000A1327">
        <w:rPr>
          <w:rFonts w:cstheme="minorHAnsi"/>
          <w:noProof/>
        </w:rPr>
        <w:t xml:space="preserve"> v </w:t>
      </w:r>
      <w:r w:rsidRPr="000A1327">
        <w:rPr>
          <w:rFonts w:cstheme="minorHAnsi"/>
          <w:i/>
          <w:noProof/>
        </w:rPr>
        <w:t>Whitnall</w:t>
      </w:r>
      <w:r w:rsidRPr="000A1327">
        <w:rPr>
          <w:rFonts w:cstheme="minorHAnsi"/>
          <w:noProof/>
        </w:rPr>
        <w:t xml:space="preserve"> (1993) 42 FCR 512</w:t>
      </w:r>
      <w:r>
        <w:rPr>
          <w:noProof/>
        </w:rPr>
        <w:tab/>
        <w:t>58</w:t>
      </w:r>
    </w:p>
    <w:p w14:paraId="1CBA0395" w14:textId="77777777" w:rsidR="00D44BCF" w:rsidRDefault="00D44BCF">
      <w:pPr>
        <w:pStyle w:val="TableofAuthorities"/>
        <w:tabs>
          <w:tab w:val="right" w:leader="dot" w:pos="9061"/>
        </w:tabs>
        <w:rPr>
          <w:noProof/>
        </w:rPr>
      </w:pPr>
      <w:r w:rsidRPr="000A1327">
        <w:rPr>
          <w:rFonts w:cstheme="minorHAnsi"/>
          <w:i/>
          <w:noProof/>
        </w:rPr>
        <w:t>R v Whyte</w:t>
      </w:r>
      <w:r w:rsidRPr="000A1327">
        <w:rPr>
          <w:rFonts w:cstheme="minorHAnsi"/>
          <w:noProof/>
        </w:rPr>
        <w:t xml:space="preserve"> (2004) 7 VR 397</w:t>
      </w:r>
      <w:r>
        <w:rPr>
          <w:noProof/>
        </w:rPr>
        <w:tab/>
        <w:t>71</w:t>
      </w:r>
    </w:p>
    <w:p w14:paraId="27282726" w14:textId="77777777" w:rsidR="00D44BCF" w:rsidRDefault="00D44BCF">
      <w:pPr>
        <w:pStyle w:val="TableofAuthorities"/>
        <w:tabs>
          <w:tab w:val="right" w:leader="dot" w:pos="9061"/>
        </w:tabs>
        <w:rPr>
          <w:noProof/>
        </w:rPr>
      </w:pPr>
      <w:r w:rsidRPr="000A1327">
        <w:rPr>
          <w:rFonts w:cstheme="minorHAnsi"/>
          <w:bCs/>
          <w:i/>
          <w:iCs/>
          <w:noProof/>
        </w:rPr>
        <w:t>R v Williscroft</w:t>
      </w:r>
      <w:r w:rsidRPr="000A1327">
        <w:rPr>
          <w:rFonts w:cstheme="minorHAnsi"/>
          <w:noProof/>
        </w:rPr>
        <w:t xml:space="preserve"> [1975] VR 292</w:t>
      </w:r>
      <w:r>
        <w:rPr>
          <w:noProof/>
        </w:rPr>
        <w:tab/>
        <w:t>29</w:t>
      </w:r>
    </w:p>
    <w:p w14:paraId="4A72A33D" w14:textId="77777777" w:rsidR="00D44BCF" w:rsidRDefault="00D44BCF">
      <w:pPr>
        <w:pStyle w:val="TableofAuthorities"/>
        <w:tabs>
          <w:tab w:val="right" w:leader="dot" w:pos="9061"/>
        </w:tabs>
        <w:rPr>
          <w:noProof/>
        </w:rPr>
      </w:pPr>
      <w:r w:rsidRPr="000A1327">
        <w:rPr>
          <w:rFonts w:cstheme="minorHAnsi"/>
          <w:i/>
          <w:noProof/>
        </w:rPr>
        <w:t>R v Wirth</w:t>
      </w:r>
      <w:r w:rsidRPr="000A1327">
        <w:rPr>
          <w:rFonts w:cstheme="minorHAnsi"/>
          <w:noProof/>
        </w:rPr>
        <w:t xml:space="preserve"> (1976) 14 SASR 291</w:t>
      </w:r>
      <w:r>
        <w:rPr>
          <w:noProof/>
        </w:rPr>
        <w:tab/>
        <w:t>66</w:t>
      </w:r>
    </w:p>
    <w:p w14:paraId="2AED2B1C" w14:textId="77777777" w:rsidR="00D44BCF" w:rsidRDefault="00D44BCF">
      <w:pPr>
        <w:pStyle w:val="TableofAuthorities"/>
        <w:tabs>
          <w:tab w:val="right" w:leader="dot" w:pos="9061"/>
        </w:tabs>
        <w:rPr>
          <w:noProof/>
        </w:rPr>
      </w:pPr>
      <w:r w:rsidRPr="000A1327">
        <w:rPr>
          <w:rFonts w:cstheme="minorHAnsi"/>
          <w:i/>
          <w:noProof/>
        </w:rPr>
        <w:t>R v Woods</w:t>
      </w:r>
      <w:r w:rsidRPr="000A1327">
        <w:rPr>
          <w:rFonts w:cstheme="minorHAnsi"/>
          <w:noProof/>
        </w:rPr>
        <w:t xml:space="preserve"> (2009) 24 NTLR 77</w:t>
      </w:r>
      <w:r>
        <w:rPr>
          <w:noProof/>
        </w:rPr>
        <w:tab/>
        <w:t>159</w:t>
      </w:r>
    </w:p>
    <w:p w14:paraId="679BA3BE" w14:textId="77777777" w:rsidR="00D44BCF" w:rsidRDefault="00D44BCF">
      <w:pPr>
        <w:pStyle w:val="TableofAuthorities"/>
        <w:tabs>
          <w:tab w:val="right" w:leader="dot" w:pos="9061"/>
        </w:tabs>
        <w:rPr>
          <w:noProof/>
        </w:rPr>
      </w:pPr>
      <w:r w:rsidRPr="000A1327">
        <w:rPr>
          <w:rFonts w:cstheme="minorHAnsi"/>
          <w:i/>
          <w:noProof/>
        </w:rPr>
        <w:t>R v Wright (No 2)</w:t>
      </w:r>
      <w:r w:rsidRPr="000A1327">
        <w:rPr>
          <w:rFonts w:cstheme="minorHAnsi"/>
          <w:noProof/>
        </w:rPr>
        <w:t xml:space="preserve"> [1968] VR 174</w:t>
      </w:r>
      <w:r>
        <w:rPr>
          <w:noProof/>
        </w:rPr>
        <w:tab/>
        <w:t>75</w:t>
      </w:r>
    </w:p>
    <w:p w14:paraId="58E5904E" w14:textId="77777777" w:rsidR="00D44BCF" w:rsidRDefault="00D44BCF">
      <w:pPr>
        <w:pStyle w:val="TableofAuthorities"/>
        <w:tabs>
          <w:tab w:val="right" w:leader="dot" w:pos="9061"/>
        </w:tabs>
        <w:rPr>
          <w:noProof/>
        </w:rPr>
      </w:pPr>
      <w:r w:rsidRPr="000A1327">
        <w:rPr>
          <w:rFonts w:cstheme="minorHAnsi"/>
          <w:i/>
          <w:noProof/>
        </w:rPr>
        <w:t>R v Yacoub</w:t>
      </w:r>
      <w:r w:rsidRPr="000A1327">
        <w:rPr>
          <w:rFonts w:cstheme="minorHAnsi"/>
          <w:noProof/>
        </w:rPr>
        <w:t xml:space="preserve"> [2006] VSCA 203</w:t>
      </w:r>
      <w:r>
        <w:rPr>
          <w:noProof/>
        </w:rPr>
        <w:tab/>
        <w:t>83, 86</w:t>
      </w:r>
    </w:p>
    <w:p w14:paraId="79DDE9D5" w14:textId="77777777" w:rsidR="00D44BCF" w:rsidRDefault="00D44BCF">
      <w:pPr>
        <w:pStyle w:val="TableofAuthorities"/>
        <w:tabs>
          <w:tab w:val="right" w:leader="dot" w:pos="9061"/>
        </w:tabs>
        <w:rPr>
          <w:noProof/>
        </w:rPr>
      </w:pPr>
      <w:r w:rsidRPr="000A1327">
        <w:rPr>
          <w:rFonts w:cstheme="minorHAnsi"/>
          <w:i/>
          <w:noProof/>
        </w:rPr>
        <w:t xml:space="preserve">R v Yarwood </w:t>
      </w:r>
      <w:r w:rsidRPr="000A1327">
        <w:rPr>
          <w:rFonts w:cstheme="minorHAnsi"/>
          <w:noProof/>
        </w:rPr>
        <w:t>[2011] QCA 367</w:t>
      </w:r>
      <w:r>
        <w:rPr>
          <w:noProof/>
        </w:rPr>
        <w:tab/>
        <w:t>64</w:t>
      </w:r>
    </w:p>
    <w:p w14:paraId="516086FD" w14:textId="77777777" w:rsidR="00D44BCF" w:rsidRDefault="00D44BCF">
      <w:pPr>
        <w:pStyle w:val="TableofAuthorities"/>
        <w:tabs>
          <w:tab w:val="right" w:leader="dot" w:pos="9061"/>
        </w:tabs>
        <w:rPr>
          <w:noProof/>
        </w:rPr>
      </w:pPr>
      <w:r w:rsidRPr="000A1327">
        <w:rPr>
          <w:rFonts w:cstheme="minorHAnsi"/>
          <w:i/>
          <w:noProof/>
        </w:rPr>
        <w:t>R v Yates</w:t>
      </w:r>
      <w:r w:rsidRPr="000A1327">
        <w:rPr>
          <w:rFonts w:cstheme="minorHAnsi"/>
          <w:noProof/>
        </w:rPr>
        <w:t xml:space="preserve"> [1985] VR 41</w:t>
      </w:r>
      <w:r>
        <w:rPr>
          <w:noProof/>
        </w:rPr>
        <w:tab/>
        <w:t>62</w:t>
      </w:r>
    </w:p>
    <w:p w14:paraId="7F27866D" w14:textId="77777777" w:rsidR="00D44BCF" w:rsidRDefault="00D44BCF">
      <w:pPr>
        <w:pStyle w:val="TableofAuthorities"/>
        <w:tabs>
          <w:tab w:val="right" w:leader="dot" w:pos="9061"/>
        </w:tabs>
        <w:rPr>
          <w:noProof/>
        </w:rPr>
      </w:pPr>
      <w:r w:rsidRPr="000A1327">
        <w:rPr>
          <w:rFonts w:cstheme="minorHAnsi"/>
          <w:i/>
          <w:noProof/>
        </w:rPr>
        <w:t>R v YLC</w:t>
      </w:r>
      <w:r w:rsidRPr="000A1327">
        <w:rPr>
          <w:rFonts w:cstheme="minorHAnsi"/>
          <w:noProof/>
        </w:rPr>
        <w:t xml:space="preserve"> [2005] NSWCCA 394</w:t>
      </w:r>
      <w:r>
        <w:rPr>
          <w:noProof/>
        </w:rPr>
        <w:tab/>
        <w:t>55</w:t>
      </w:r>
    </w:p>
    <w:p w14:paraId="2A5D00BB" w14:textId="77777777" w:rsidR="00D44BCF" w:rsidRDefault="00D44BCF">
      <w:pPr>
        <w:pStyle w:val="TableofAuthorities"/>
        <w:tabs>
          <w:tab w:val="right" w:leader="dot" w:pos="9061"/>
        </w:tabs>
        <w:rPr>
          <w:noProof/>
        </w:rPr>
      </w:pPr>
      <w:r w:rsidRPr="000A1327">
        <w:rPr>
          <w:rFonts w:cstheme="minorHAnsi"/>
          <w:bCs/>
          <w:i/>
          <w:iCs/>
          <w:noProof/>
        </w:rPr>
        <w:t>R v Young</w:t>
      </w:r>
      <w:r w:rsidRPr="000A1327">
        <w:rPr>
          <w:rFonts w:cstheme="minorHAnsi"/>
          <w:noProof/>
        </w:rPr>
        <w:t xml:space="preserve"> [1990] VR 951</w:t>
      </w:r>
      <w:r>
        <w:rPr>
          <w:noProof/>
        </w:rPr>
        <w:tab/>
        <w:t>29</w:t>
      </w:r>
    </w:p>
    <w:p w14:paraId="4CF1C699" w14:textId="77777777" w:rsidR="00D44BCF" w:rsidRDefault="00D44BCF">
      <w:pPr>
        <w:pStyle w:val="TableofAuthorities"/>
        <w:tabs>
          <w:tab w:val="right" w:leader="dot" w:pos="9061"/>
        </w:tabs>
        <w:rPr>
          <w:noProof/>
        </w:rPr>
      </w:pPr>
      <w:r w:rsidRPr="000A1327">
        <w:rPr>
          <w:rFonts w:cstheme="minorHAnsi"/>
          <w:i/>
          <w:noProof/>
        </w:rPr>
        <w:t>R v YZ</w:t>
      </w:r>
      <w:r w:rsidRPr="000A1327">
        <w:rPr>
          <w:rFonts w:cstheme="minorHAnsi"/>
          <w:noProof/>
        </w:rPr>
        <w:t xml:space="preserve"> [1999] NSWCCA 48</w:t>
      </w:r>
      <w:r>
        <w:rPr>
          <w:noProof/>
        </w:rPr>
        <w:tab/>
        <w:t>200</w:t>
      </w:r>
    </w:p>
    <w:p w14:paraId="725CAC0D" w14:textId="77777777" w:rsidR="00D44BCF" w:rsidRDefault="00D44BCF">
      <w:pPr>
        <w:pStyle w:val="TableofAuthorities"/>
        <w:tabs>
          <w:tab w:val="right" w:leader="dot" w:pos="9061"/>
        </w:tabs>
        <w:rPr>
          <w:noProof/>
        </w:rPr>
      </w:pPr>
      <w:r w:rsidRPr="000A1327">
        <w:rPr>
          <w:rFonts w:cstheme="minorHAnsi"/>
          <w:i/>
          <w:noProof/>
        </w:rPr>
        <w:t>R v Zamagias</w:t>
      </w:r>
      <w:r w:rsidRPr="000A1327">
        <w:rPr>
          <w:rFonts w:cstheme="minorHAnsi"/>
          <w:noProof/>
        </w:rPr>
        <w:t xml:space="preserve"> [2002] NSWCCA 17</w:t>
      </w:r>
      <w:r>
        <w:rPr>
          <w:noProof/>
        </w:rPr>
        <w:tab/>
        <w:t>155</w:t>
      </w:r>
    </w:p>
    <w:p w14:paraId="68417212" w14:textId="77777777" w:rsidR="00D44BCF" w:rsidRDefault="00D44BCF">
      <w:pPr>
        <w:pStyle w:val="TableofAuthorities"/>
        <w:tabs>
          <w:tab w:val="right" w:leader="dot" w:pos="9061"/>
        </w:tabs>
        <w:rPr>
          <w:noProof/>
        </w:rPr>
      </w:pPr>
      <w:r w:rsidRPr="000A1327">
        <w:rPr>
          <w:rFonts w:cstheme="minorHAnsi"/>
          <w:i/>
          <w:noProof/>
        </w:rPr>
        <w:t>R v Zeng</w:t>
      </w:r>
      <w:r w:rsidRPr="000A1327">
        <w:rPr>
          <w:rFonts w:cstheme="minorHAnsi"/>
          <w:noProof/>
        </w:rPr>
        <w:t xml:space="preserve"> [2008] NSWCCA 183</w:t>
      </w:r>
      <w:r>
        <w:rPr>
          <w:noProof/>
        </w:rPr>
        <w:tab/>
        <w:t>126</w:t>
      </w:r>
    </w:p>
    <w:p w14:paraId="31C2066A" w14:textId="77777777" w:rsidR="00D44BCF" w:rsidRDefault="00D44BCF">
      <w:pPr>
        <w:pStyle w:val="TableofAuthorities"/>
        <w:tabs>
          <w:tab w:val="right" w:leader="dot" w:pos="9061"/>
        </w:tabs>
        <w:rPr>
          <w:noProof/>
        </w:rPr>
      </w:pPr>
      <w:r w:rsidRPr="000A1327">
        <w:rPr>
          <w:rFonts w:cstheme="minorHAnsi"/>
          <w:i/>
          <w:noProof/>
        </w:rPr>
        <w:t>R v Zerafa</w:t>
      </w:r>
      <w:r w:rsidRPr="000A1327">
        <w:rPr>
          <w:rFonts w:cstheme="minorHAnsi"/>
          <w:noProof/>
        </w:rPr>
        <w:t xml:space="preserve"> [2013] NSWCCA 222</w:t>
      </w:r>
      <w:r>
        <w:rPr>
          <w:noProof/>
        </w:rPr>
        <w:tab/>
        <w:t>67</w:t>
      </w:r>
    </w:p>
    <w:p w14:paraId="7B7CDD3B" w14:textId="77777777" w:rsidR="00D44BCF" w:rsidRDefault="00D44BCF">
      <w:pPr>
        <w:pStyle w:val="TableofAuthorities"/>
        <w:tabs>
          <w:tab w:val="right" w:leader="dot" w:pos="9061"/>
        </w:tabs>
        <w:rPr>
          <w:noProof/>
        </w:rPr>
      </w:pPr>
      <w:r w:rsidRPr="000A1327">
        <w:rPr>
          <w:rFonts w:cstheme="minorHAnsi"/>
          <w:i/>
          <w:noProof/>
        </w:rPr>
        <w:t>R v Zhang</w:t>
      </w:r>
      <w:r w:rsidRPr="000A1327">
        <w:rPr>
          <w:rFonts w:cstheme="minorHAnsi"/>
          <w:noProof/>
        </w:rPr>
        <w:t xml:space="preserve"> [2017] SASCFC 5</w:t>
      </w:r>
      <w:r>
        <w:rPr>
          <w:noProof/>
        </w:rPr>
        <w:tab/>
        <w:t>79</w:t>
      </w:r>
    </w:p>
    <w:p w14:paraId="004020A4" w14:textId="77777777" w:rsidR="00D44BCF" w:rsidRDefault="00D44BCF">
      <w:pPr>
        <w:pStyle w:val="TableofAuthorities"/>
        <w:tabs>
          <w:tab w:val="right" w:leader="dot" w:pos="9061"/>
        </w:tabs>
        <w:rPr>
          <w:noProof/>
        </w:rPr>
      </w:pPr>
      <w:r w:rsidRPr="000A1327">
        <w:rPr>
          <w:rFonts w:cstheme="minorHAnsi"/>
          <w:i/>
          <w:noProof/>
        </w:rPr>
        <w:t>Rajabizadeh v R</w:t>
      </w:r>
      <w:r w:rsidRPr="000A1327">
        <w:rPr>
          <w:rFonts w:cstheme="minorHAnsi"/>
          <w:noProof/>
        </w:rPr>
        <w:t xml:space="preserve"> [2017] WASCA 133</w:t>
      </w:r>
      <w:r>
        <w:rPr>
          <w:noProof/>
        </w:rPr>
        <w:tab/>
        <w:t>132</w:t>
      </w:r>
    </w:p>
    <w:p w14:paraId="3730DEF6" w14:textId="77777777" w:rsidR="00D44BCF" w:rsidRDefault="00D44BCF">
      <w:pPr>
        <w:pStyle w:val="TableofAuthorities"/>
        <w:tabs>
          <w:tab w:val="right" w:leader="dot" w:pos="9061"/>
        </w:tabs>
        <w:rPr>
          <w:noProof/>
        </w:rPr>
      </w:pPr>
      <w:r w:rsidRPr="000A1327">
        <w:rPr>
          <w:rFonts w:cstheme="minorHAnsi"/>
          <w:i/>
          <w:noProof/>
        </w:rPr>
        <w:t>Re Colina</w:t>
      </w:r>
      <w:r w:rsidRPr="000A1327">
        <w:rPr>
          <w:rFonts w:cstheme="minorHAnsi"/>
          <w:noProof/>
        </w:rPr>
        <w:t xml:space="preserve">; </w:t>
      </w:r>
      <w:r w:rsidRPr="000A1327">
        <w:rPr>
          <w:rFonts w:cstheme="minorHAnsi"/>
          <w:i/>
          <w:noProof/>
        </w:rPr>
        <w:t>Ex parte Torney</w:t>
      </w:r>
      <w:r w:rsidRPr="000A1327">
        <w:rPr>
          <w:rFonts w:cstheme="minorHAnsi"/>
          <w:noProof/>
        </w:rPr>
        <w:t xml:space="preserve"> (1999) 200 CLR 386</w:t>
      </w:r>
      <w:r>
        <w:rPr>
          <w:noProof/>
        </w:rPr>
        <w:tab/>
        <w:t>2</w:t>
      </w:r>
    </w:p>
    <w:p w14:paraId="68E663B9" w14:textId="77777777" w:rsidR="00D44BCF" w:rsidRDefault="00D44BCF">
      <w:pPr>
        <w:pStyle w:val="TableofAuthorities"/>
        <w:tabs>
          <w:tab w:val="right" w:leader="dot" w:pos="9061"/>
        </w:tabs>
        <w:rPr>
          <w:noProof/>
        </w:rPr>
      </w:pPr>
      <w:r w:rsidRPr="000A1327">
        <w:rPr>
          <w:rFonts w:cstheme="minorHAnsi"/>
          <w:i/>
          <w:noProof/>
        </w:rPr>
        <w:t>Re Grinter; ex parte Hall</w:t>
      </w:r>
      <w:r w:rsidRPr="000A1327">
        <w:rPr>
          <w:rFonts w:cstheme="minorHAnsi"/>
          <w:noProof/>
        </w:rPr>
        <w:t xml:space="preserve"> (2004) 28 WAR 427</w:t>
      </w:r>
      <w:r>
        <w:rPr>
          <w:noProof/>
        </w:rPr>
        <w:tab/>
        <w:t>5, 19</w:t>
      </w:r>
    </w:p>
    <w:p w14:paraId="698CAF0F" w14:textId="77777777" w:rsidR="00D44BCF" w:rsidRDefault="00D44BCF">
      <w:pPr>
        <w:pStyle w:val="TableofAuthorities"/>
        <w:tabs>
          <w:tab w:val="right" w:leader="dot" w:pos="9061"/>
        </w:tabs>
        <w:rPr>
          <w:noProof/>
        </w:rPr>
      </w:pPr>
      <w:r w:rsidRPr="000A1327">
        <w:rPr>
          <w:rFonts w:cstheme="minorHAnsi"/>
          <w:i/>
          <w:noProof/>
        </w:rPr>
        <w:t>Re Macks; Ex parte Saint</w:t>
      </w:r>
      <w:r w:rsidRPr="000A1327">
        <w:rPr>
          <w:rFonts w:cstheme="minorHAnsi"/>
          <w:iCs/>
          <w:noProof/>
        </w:rPr>
        <w:t xml:space="preserve"> (2000) 204 CLR 158</w:t>
      </w:r>
      <w:r>
        <w:rPr>
          <w:noProof/>
        </w:rPr>
        <w:tab/>
        <w:t>216</w:t>
      </w:r>
    </w:p>
    <w:p w14:paraId="5524C025" w14:textId="77777777" w:rsidR="00D44BCF" w:rsidRDefault="00D44BCF">
      <w:pPr>
        <w:pStyle w:val="TableofAuthorities"/>
        <w:tabs>
          <w:tab w:val="right" w:leader="dot" w:pos="9061"/>
        </w:tabs>
        <w:rPr>
          <w:noProof/>
        </w:rPr>
      </w:pPr>
      <w:r w:rsidRPr="000A1327">
        <w:rPr>
          <w:rFonts w:cstheme="minorHAnsi"/>
          <w:i/>
          <w:noProof/>
        </w:rPr>
        <w:t>Re Wakim; Ex parte McNally</w:t>
      </w:r>
      <w:r w:rsidRPr="000A1327">
        <w:rPr>
          <w:rFonts w:cstheme="minorHAnsi"/>
          <w:noProof/>
        </w:rPr>
        <w:t xml:space="preserve"> (1999) 198 CLR 511</w:t>
      </w:r>
      <w:r>
        <w:rPr>
          <w:noProof/>
        </w:rPr>
        <w:tab/>
        <w:t>6</w:t>
      </w:r>
    </w:p>
    <w:p w14:paraId="7DEC2248" w14:textId="77777777" w:rsidR="00D44BCF" w:rsidRDefault="00D44BCF">
      <w:pPr>
        <w:pStyle w:val="TableofAuthorities"/>
        <w:tabs>
          <w:tab w:val="right" w:leader="dot" w:pos="9061"/>
        </w:tabs>
        <w:rPr>
          <w:noProof/>
        </w:rPr>
      </w:pPr>
      <w:r w:rsidRPr="000A1327">
        <w:rPr>
          <w:rFonts w:cstheme="minorHAnsi"/>
          <w:i/>
          <w:noProof/>
        </w:rPr>
        <w:t>Rich v Attorney-General</w:t>
      </w:r>
      <w:r w:rsidRPr="000A1327">
        <w:rPr>
          <w:rFonts w:cstheme="minorHAnsi"/>
          <w:noProof/>
        </w:rPr>
        <w:t xml:space="preserve"> [1999] VSCA 14</w:t>
      </w:r>
      <w:r>
        <w:rPr>
          <w:noProof/>
        </w:rPr>
        <w:tab/>
        <w:t>2</w:t>
      </w:r>
    </w:p>
    <w:p w14:paraId="66EC1200" w14:textId="77777777" w:rsidR="00D44BCF" w:rsidRDefault="00D44BCF">
      <w:pPr>
        <w:pStyle w:val="TableofAuthorities"/>
        <w:tabs>
          <w:tab w:val="right" w:leader="dot" w:pos="9061"/>
        </w:tabs>
        <w:rPr>
          <w:noProof/>
        </w:rPr>
      </w:pPr>
      <w:r w:rsidRPr="000A1327">
        <w:rPr>
          <w:rFonts w:cstheme="minorHAnsi"/>
          <w:i/>
          <w:iCs/>
          <w:noProof/>
        </w:rPr>
        <w:t>Rizeq v R</w:t>
      </w:r>
      <w:r w:rsidRPr="000A1327">
        <w:rPr>
          <w:rFonts w:cstheme="minorHAnsi"/>
          <w:noProof/>
        </w:rPr>
        <w:t xml:space="preserve"> (2017) 262 CLR 1</w:t>
      </w:r>
      <w:r>
        <w:rPr>
          <w:noProof/>
        </w:rPr>
        <w:tab/>
        <w:t>1, 5, 6, 13, 194</w:t>
      </w:r>
    </w:p>
    <w:p w14:paraId="097B6EEF" w14:textId="77777777" w:rsidR="00D44BCF" w:rsidRDefault="00D44BCF">
      <w:pPr>
        <w:pStyle w:val="TableofAuthorities"/>
        <w:tabs>
          <w:tab w:val="right" w:leader="dot" w:pos="9061"/>
        </w:tabs>
        <w:rPr>
          <w:noProof/>
        </w:rPr>
      </w:pPr>
      <w:r w:rsidRPr="000A1327">
        <w:rPr>
          <w:rFonts w:cstheme="minorHAnsi"/>
          <w:i/>
          <w:iCs/>
          <w:noProof/>
        </w:rPr>
        <w:t>RLG v Donnelly</w:t>
      </w:r>
      <w:r w:rsidRPr="000A1327">
        <w:rPr>
          <w:rFonts w:cstheme="minorHAnsi"/>
          <w:noProof/>
        </w:rPr>
        <w:t xml:space="preserve"> [2012] WASC 230</w:t>
      </w:r>
      <w:r>
        <w:rPr>
          <w:noProof/>
        </w:rPr>
        <w:tab/>
        <w:t>99</w:t>
      </w:r>
    </w:p>
    <w:p w14:paraId="5F5B6DA3" w14:textId="77777777" w:rsidR="00D44BCF" w:rsidRDefault="00D44BCF">
      <w:pPr>
        <w:pStyle w:val="TableofAuthorities"/>
        <w:tabs>
          <w:tab w:val="right" w:leader="dot" w:pos="9061"/>
        </w:tabs>
        <w:rPr>
          <w:noProof/>
        </w:rPr>
      </w:pPr>
      <w:r w:rsidRPr="000A1327">
        <w:rPr>
          <w:rFonts w:cstheme="minorHAnsi"/>
          <w:i/>
          <w:noProof/>
        </w:rPr>
        <w:t>Robertson v R</w:t>
      </w:r>
      <w:r w:rsidRPr="000A1327">
        <w:rPr>
          <w:rFonts w:cstheme="minorHAnsi"/>
          <w:noProof/>
        </w:rPr>
        <w:t xml:space="preserve"> [2017] NSWCCA 205</w:t>
      </w:r>
      <w:r>
        <w:rPr>
          <w:noProof/>
        </w:rPr>
        <w:tab/>
        <w:t>39</w:t>
      </w:r>
    </w:p>
    <w:p w14:paraId="5189E380" w14:textId="77777777" w:rsidR="00D44BCF" w:rsidRDefault="00D44BCF">
      <w:pPr>
        <w:pStyle w:val="TableofAuthorities"/>
        <w:tabs>
          <w:tab w:val="right" w:leader="dot" w:pos="9061"/>
        </w:tabs>
        <w:rPr>
          <w:noProof/>
        </w:rPr>
      </w:pPr>
      <w:r w:rsidRPr="000A1327">
        <w:rPr>
          <w:rFonts w:cstheme="minorHAnsi"/>
          <w:i/>
          <w:iCs/>
          <w:noProof/>
        </w:rPr>
        <w:t>Rodgers v R</w:t>
      </w:r>
      <w:r w:rsidRPr="000A1327">
        <w:rPr>
          <w:rFonts w:cstheme="minorHAnsi"/>
          <w:noProof/>
        </w:rPr>
        <w:t xml:space="preserve"> [2018] NSWCCA 47</w:t>
      </w:r>
      <w:r>
        <w:rPr>
          <w:noProof/>
        </w:rPr>
        <w:tab/>
        <w:t>127, 138</w:t>
      </w:r>
    </w:p>
    <w:p w14:paraId="31E984CF" w14:textId="77777777" w:rsidR="00D44BCF" w:rsidRDefault="00D44BCF">
      <w:pPr>
        <w:pStyle w:val="TableofAuthorities"/>
        <w:tabs>
          <w:tab w:val="right" w:leader="dot" w:pos="9061"/>
        </w:tabs>
        <w:rPr>
          <w:noProof/>
        </w:rPr>
      </w:pPr>
      <w:r w:rsidRPr="000A1327">
        <w:rPr>
          <w:rFonts w:cstheme="minorHAnsi"/>
          <w:i/>
          <w:noProof/>
        </w:rPr>
        <w:t>Romero v R</w:t>
      </w:r>
      <w:r w:rsidRPr="000A1327">
        <w:rPr>
          <w:rFonts w:cstheme="minorHAnsi"/>
          <w:noProof/>
        </w:rPr>
        <w:t xml:space="preserve"> (2011) 32 VR 486</w:t>
      </w:r>
      <w:r>
        <w:rPr>
          <w:noProof/>
        </w:rPr>
        <w:tab/>
        <w:t>143</w:t>
      </w:r>
    </w:p>
    <w:p w14:paraId="6698D4D6" w14:textId="77777777" w:rsidR="00D44BCF" w:rsidRDefault="00D44BCF">
      <w:pPr>
        <w:pStyle w:val="TableofAuthorities"/>
        <w:tabs>
          <w:tab w:val="right" w:leader="dot" w:pos="9061"/>
        </w:tabs>
        <w:rPr>
          <w:noProof/>
        </w:rPr>
      </w:pPr>
      <w:r w:rsidRPr="000A1327">
        <w:rPr>
          <w:rFonts w:cstheme="minorHAnsi"/>
          <w:i/>
          <w:iCs/>
          <w:noProof/>
        </w:rPr>
        <w:t>Rosales (a pseudonym) v R</w:t>
      </w:r>
      <w:r w:rsidRPr="000A1327">
        <w:rPr>
          <w:rFonts w:cstheme="minorHAnsi"/>
          <w:noProof/>
        </w:rPr>
        <w:t xml:space="preserve"> [2018] VSCA 130</w:t>
      </w:r>
      <w:r>
        <w:rPr>
          <w:noProof/>
        </w:rPr>
        <w:tab/>
        <w:t>54</w:t>
      </w:r>
    </w:p>
    <w:p w14:paraId="1029F534" w14:textId="77777777" w:rsidR="00D44BCF" w:rsidRDefault="00D44BCF">
      <w:pPr>
        <w:pStyle w:val="TableofAuthorities"/>
        <w:tabs>
          <w:tab w:val="right" w:leader="dot" w:pos="9061"/>
        </w:tabs>
        <w:rPr>
          <w:noProof/>
        </w:rPr>
      </w:pPr>
      <w:r w:rsidRPr="000A1327">
        <w:rPr>
          <w:rFonts w:cstheme="minorHAnsi"/>
          <w:i/>
          <w:noProof/>
        </w:rPr>
        <w:t>Ross v R</w:t>
      </w:r>
      <w:r w:rsidRPr="000A1327">
        <w:rPr>
          <w:rFonts w:cstheme="minorHAnsi"/>
          <w:noProof/>
        </w:rPr>
        <w:t xml:space="preserve"> (1979) 141 CLR 432</w:t>
      </w:r>
      <w:r>
        <w:rPr>
          <w:noProof/>
        </w:rPr>
        <w:tab/>
        <w:t>220</w:t>
      </w:r>
    </w:p>
    <w:p w14:paraId="34B08F1A" w14:textId="77777777" w:rsidR="00D44BCF" w:rsidRDefault="00D44BCF">
      <w:pPr>
        <w:pStyle w:val="TableofAuthorities"/>
        <w:tabs>
          <w:tab w:val="right" w:leader="dot" w:pos="9061"/>
        </w:tabs>
        <w:rPr>
          <w:noProof/>
        </w:rPr>
      </w:pPr>
      <w:r w:rsidRPr="000A1327">
        <w:rPr>
          <w:rFonts w:cstheme="minorHAnsi"/>
          <w:i/>
          <w:noProof/>
        </w:rPr>
        <w:t>Royer v Western Australia</w:t>
      </w:r>
      <w:r w:rsidRPr="000A1327">
        <w:rPr>
          <w:rFonts w:cstheme="minorHAnsi"/>
          <w:noProof/>
        </w:rPr>
        <w:t xml:space="preserve"> [2009] WASCA 139</w:t>
      </w:r>
      <w:r>
        <w:rPr>
          <w:noProof/>
        </w:rPr>
        <w:tab/>
        <w:t>51</w:t>
      </w:r>
    </w:p>
    <w:p w14:paraId="746EAFA9" w14:textId="77777777" w:rsidR="00D44BCF" w:rsidRDefault="00D44BCF">
      <w:pPr>
        <w:pStyle w:val="TableofAuthorities"/>
        <w:tabs>
          <w:tab w:val="right" w:leader="dot" w:pos="9061"/>
        </w:tabs>
        <w:rPr>
          <w:noProof/>
        </w:rPr>
      </w:pPr>
      <w:r w:rsidRPr="000A1327">
        <w:rPr>
          <w:rFonts w:cstheme="minorHAnsi"/>
          <w:i/>
          <w:noProof/>
        </w:rPr>
        <w:t>Ruiz v R</w:t>
      </w:r>
      <w:r w:rsidRPr="000A1327">
        <w:rPr>
          <w:rFonts w:cstheme="minorHAnsi"/>
          <w:noProof/>
        </w:rPr>
        <w:t xml:space="preserve"> [2013] VSCA 313</w:t>
      </w:r>
      <w:r>
        <w:rPr>
          <w:noProof/>
        </w:rPr>
        <w:tab/>
        <w:t>55</w:t>
      </w:r>
    </w:p>
    <w:p w14:paraId="5555D0B8" w14:textId="77777777" w:rsidR="00D44BCF" w:rsidRDefault="00D44BCF">
      <w:pPr>
        <w:pStyle w:val="TableofAuthorities"/>
        <w:tabs>
          <w:tab w:val="right" w:leader="dot" w:pos="9061"/>
        </w:tabs>
        <w:rPr>
          <w:noProof/>
        </w:rPr>
      </w:pPr>
      <w:r w:rsidRPr="000A1327">
        <w:rPr>
          <w:rFonts w:cstheme="minorHAnsi"/>
          <w:i/>
          <w:noProof/>
        </w:rPr>
        <w:t>Ryan v R</w:t>
      </w:r>
      <w:r w:rsidRPr="000A1327">
        <w:rPr>
          <w:rFonts w:cstheme="minorHAnsi"/>
          <w:noProof/>
        </w:rPr>
        <w:t xml:space="preserve"> (1982) 149 CLR 1</w:t>
      </w:r>
      <w:r>
        <w:rPr>
          <w:noProof/>
        </w:rPr>
        <w:tab/>
        <w:t>204</w:t>
      </w:r>
    </w:p>
    <w:p w14:paraId="5834F317" w14:textId="77777777" w:rsidR="00D44BCF" w:rsidRDefault="00D44BCF">
      <w:pPr>
        <w:pStyle w:val="TableofAuthorities"/>
        <w:tabs>
          <w:tab w:val="right" w:leader="dot" w:pos="9061"/>
        </w:tabs>
        <w:rPr>
          <w:noProof/>
        </w:rPr>
      </w:pPr>
      <w:r w:rsidRPr="000A1327">
        <w:rPr>
          <w:rFonts w:cstheme="minorHAnsi"/>
          <w:bCs/>
          <w:i/>
          <w:iCs/>
          <w:noProof/>
        </w:rPr>
        <w:t>Ryan v R</w:t>
      </w:r>
      <w:r w:rsidRPr="000A1327">
        <w:rPr>
          <w:rFonts w:cstheme="minorHAnsi"/>
          <w:noProof/>
        </w:rPr>
        <w:t xml:space="preserve"> (2001) 206 CLR 267</w:t>
      </w:r>
      <w:r>
        <w:rPr>
          <w:noProof/>
        </w:rPr>
        <w:tab/>
        <w:t>59, 60</w:t>
      </w:r>
    </w:p>
    <w:p w14:paraId="025EA7CE" w14:textId="77777777" w:rsidR="00D44BCF" w:rsidRDefault="00D44BCF">
      <w:pPr>
        <w:pStyle w:val="TableofAuthorities"/>
        <w:tabs>
          <w:tab w:val="right" w:leader="dot" w:pos="9061"/>
        </w:tabs>
        <w:rPr>
          <w:noProof/>
        </w:rPr>
      </w:pPr>
      <w:r w:rsidRPr="000A1327">
        <w:rPr>
          <w:rFonts w:cstheme="minorHAnsi"/>
          <w:i/>
          <w:noProof/>
        </w:rPr>
        <w:t>Ryder v R</w:t>
      </w:r>
      <w:r w:rsidRPr="000A1327">
        <w:rPr>
          <w:rFonts w:cstheme="minorHAnsi"/>
          <w:noProof/>
        </w:rPr>
        <w:t xml:space="preserve"> [2016] VSCA 3</w:t>
      </w:r>
      <w:r>
        <w:rPr>
          <w:noProof/>
        </w:rPr>
        <w:tab/>
        <w:t>63</w:t>
      </w:r>
    </w:p>
    <w:p w14:paraId="04583346" w14:textId="77777777" w:rsidR="00D44BCF" w:rsidRDefault="00D44BCF">
      <w:pPr>
        <w:pStyle w:val="TableofAuthorities"/>
        <w:tabs>
          <w:tab w:val="right" w:leader="dot" w:pos="9061"/>
        </w:tabs>
        <w:rPr>
          <w:noProof/>
        </w:rPr>
      </w:pPr>
      <w:r w:rsidRPr="000A1327">
        <w:rPr>
          <w:rFonts w:cstheme="minorHAnsi"/>
          <w:i/>
          <w:noProof/>
        </w:rPr>
        <w:t>Saab v R</w:t>
      </w:r>
      <w:r w:rsidRPr="000A1327">
        <w:rPr>
          <w:rFonts w:cstheme="minorHAnsi"/>
          <w:noProof/>
        </w:rPr>
        <w:t xml:space="preserve"> [2012] VSCA 165</w:t>
      </w:r>
      <w:r>
        <w:rPr>
          <w:noProof/>
        </w:rPr>
        <w:tab/>
        <w:t>30, 31, 202</w:t>
      </w:r>
    </w:p>
    <w:p w14:paraId="46B3C911" w14:textId="77777777" w:rsidR="00D44BCF" w:rsidRDefault="00D44BCF">
      <w:pPr>
        <w:pStyle w:val="TableofAuthorities"/>
        <w:tabs>
          <w:tab w:val="right" w:leader="dot" w:pos="9061"/>
        </w:tabs>
        <w:rPr>
          <w:noProof/>
        </w:rPr>
      </w:pPr>
      <w:r w:rsidRPr="000A1327">
        <w:rPr>
          <w:rFonts w:cstheme="minorHAnsi"/>
          <w:i/>
          <w:noProof/>
        </w:rPr>
        <w:t>Sabel v R</w:t>
      </w:r>
      <w:r w:rsidRPr="000A1327">
        <w:rPr>
          <w:rFonts w:cstheme="minorHAnsi"/>
          <w:noProof/>
        </w:rPr>
        <w:t xml:space="preserve"> [2014] NSWCCA 101</w:t>
      </w:r>
      <w:r>
        <w:rPr>
          <w:noProof/>
        </w:rPr>
        <w:tab/>
        <w:t>28, 36, 76, 87</w:t>
      </w:r>
    </w:p>
    <w:p w14:paraId="7A356A54" w14:textId="77777777" w:rsidR="00D44BCF" w:rsidRDefault="00D44BCF">
      <w:pPr>
        <w:pStyle w:val="TableofAuthorities"/>
        <w:tabs>
          <w:tab w:val="right" w:leader="dot" w:pos="9061"/>
        </w:tabs>
        <w:rPr>
          <w:noProof/>
        </w:rPr>
      </w:pPr>
      <w:r w:rsidRPr="000A1327">
        <w:rPr>
          <w:rFonts w:cstheme="minorHAnsi"/>
          <w:i/>
          <w:noProof/>
        </w:rPr>
        <w:t>Sabra v R</w:t>
      </w:r>
      <w:r w:rsidRPr="000A1327">
        <w:rPr>
          <w:rFonts w:cstheme="minorHAnsi"/>
          <w:noProof/>
        </w:rPr>
        <w:t xml:space="preserve"> [2015] NSWCCA 38</w:t>
      </w:r>
      <w:r>
        <w:rPr>
          <w:noProof/>
        </w:rPr>
        <w:tab/>
        <w:t>72</w:t>
      </w:r>
    </w:p>
    <w:p w14:paraId="6E3D0F46" w14:textId="77777777" w:rsidR="00D44BCF" w:rsidRDefault="00D44BCF">
      <w:pPr>
        <w:pStyle w:val="TableofAuthorities"/>
        <w:tabs>
          <w:tab w:val="right" w:leader="dot" w:pos="9061"/>
        </w:tabs>
        <w:rPr>
          <w:noProof/>
        </w:rPr>
      </w:pPr>
      <w:r w:rsidRPr="000A1327">
        <w:rPr>
          <w:rFonts w:cstheme="minorHAnsi"/>
          <w:i/>
          <w:noProof/>
        </w:rPr>
        <w:t>Sahhitanandan v R</w:t>
      </w:r>
      <w:r w:rsidRPr="000A1327">
        <w:rPr>
          <w:rFonts w:cstheme="minorHAnsi"/>
          <w:noProof/>
        </w:rPr>
        <w:t xml:space="preserve"> [2019] VSCA 115</w:t>
      </w:r>
      <w:r>
        <w:rPr>
          <w:noProof/>
        </w:rPr>
        <w:tab/>
        <w:t>128</w:t>
      </w:r>
    </w:p>
    <w:p w14:paraId="377FECE3" w14:textId="77777777" w:rsidR="00D44BCF" w:rsidRDefault="00D44BCF">
      <w:pPr>
        <w:pStyle w:val="TableofAuthorities"/>
        <w:tabs>
          <w:tab w:val="right" w:leader="dot" w:pos="9061"/>
        </w:tabs>
        <w:rPr>
          <w:noProof/>
        </w:rPr>
      </w:pPr>
      <w:r w:rsidRPr="000A1327">
        <w:rPr>
          <w:rFonts w:cstheme="minorHAnsi"/>
          <w:i/>
          <w:noProof/>
        </w:rPr>
        <w:t>Sau v DPP</w:t>
      </w:r>
      <w:r w:rsidRPr="000A1327">
        <w:rPr>
          <w:rFonts w:cstheme="minorHAnsi"/>
          <w:noProof/>
        </w:rPr>
        <w:t xml:space="preserve"> [2009] SASC 47</w:t>
      </w:r>
      <w:r>
        <w:rPr>
          <w:noProof/>
        </w:rPr>
        <w:tab/>
        <w:t>99</w:t>
      </w:r>
    </w:p>
    <w:p w14:paraId="41AF8F11" w14:textId="77777777" w:rsidR="00D44BCF" w:rsidRDefault="00D44BCF">
      <w:pPr>
        <w:pStyle w:val="TableofAuthorities"/>
        <w:tabs>
          <w:tab w:val="right" w:leader="dot" w:pos="9061"/>
        </w:tabs>
        <w:rPr>
          <w:noProof/>
        </w:rPr>
      </w:pPr>
      <w:r w:rsidRPr="000A1327">
        <w:rPr>
          <w:rFonts w:cstheme="minorHAnsi"/>
          <w:i/>
          <w:noProof/>
        </w:rPr>
        <w:t>Savvas v R</w:t>
      </w:r>
      <w:r w:rsidRPr="000A1327">
        <w:rPr>
          <w:rFonts w:cstheme="minorHAnsi"/>
          <w:noProof/>
        </w:rPr>
        <w:t xml:space="preserve"> (1995) 183 CLR 1</w:t>
      </w:r>
      <w:r>
        <w:rPr>
          <w:noProof/>
        </w:rPr>
        <w:tab/>
        <w:t>23, 27</w:t>
      </w:r>
    </w:p>
    <w:p w14:paraId="07104769" w14:textId="77777777" w:rsidR="00D44BCF" w:rsidRDefault="00D44BCF">
      <w:pPr>
        <w:pStyle w:val="TableofAuthorities"/>
        <w:tabs>
          <w:tab w:val="right" w:leader="dot" w:pos="9061"/>
        </w:tabs>
        <w:rPr>
          <w:noProof/>
        </w:rPr>
      </w:pPr>
      <w:r w:rsidRPr="000A1327">
        <w:rPr>
          <w:rFonts w:cstheme="minorHAnsi"/>
          <w:i/>
          <w:noProof/>
        </w:rPr>
        <w:t>Scerri v R</w:t>
      </w:r>
      <w:r w:rsidRPr="000A1327">
        <w:rPr>
          <w:rFonts w:cstheme="minorHAnsi"/>
          <w:noProof/>
        </w:rPr>
        <w:t xml:space="preserve"> [2010] VSCA 287</w:t>
      </w:r>
      <w:r>
        <w:rPr>
          <w:noProof/>
        </w:rPr>
        <w:tab/>
        <w:t>31, 201, 202</w:t>
      </w:r>
    </w:p>
    <w:p w14:paraId="16903E85" w14:textId="77777777" w:rsidR="00D44BCF" w:rsidRDefault="00D44BCF">
      <w:pPr>
        <w:pStyle w:val="TableofAuthorities"/>
        <w:tabs>
          <w:tab w:val="right" w:leader="dot" w:pos="9061"/>
        </w:tabs>
        <w:rPr>
          <w:noProof/>
        </w:rPr>
      </w:pPr>
      <w:r w:rsidRPr="000A1327">
        <w:rPr>
          <w:rFonts w:cstheme="minorHAnsi"/>
          <w:i/>
          <w:noProof/>
        </w:rPr>
        <w:t>Schanker v R</w:t>
      </w:r>
      <w:r w:rsidRPr="000A1327">
        <w:rPr>
          <w:rFonts w:cstheme="minorHAnsi"/>
          <w:noProof/>
        </w:rPr>
        <w:t xml:space="preserve"> [2018] VSCA 94</w:t>
      </w:r>
      <w:r>
        <w:rPr>
          <w:noProof/>
        </w:rPr>
        <w:tab/>
        <w:t>27, 28, 191</w:t>
      </w:r>
    </w:p>
    <w:p w14:paraId="36BB30B6" w14:textId="77777777" w:rsidR="00D44BCF" w:rsidRDefault="00D44BCF">
      <w:pPr>
        <w:pStyle w:val="TableofAuthorities"/>
        <w:tabs>
          <w:tab w:val="right" w:leader="dot" w:pos="9061"/>
        </w:tabs>
        <w:rPr>
          <w:noProof/>
        </w:rPr>
      </w:pPr>
      <w:r w:rsidRPr="000A1327">
        <w:rPr>
          <w:rFonts w:cstheme="minorHAnsi"/>
          <w:i/>
          <w:noProof/>
        </w:rPr>
        <w:t>Schneider v R</w:t>
      </w:r>
      <w:r w:rsidRPr="000A1327">
        <w:rPr>
          <w:rFonts w:cstheme="minorHAnsi"/>
          <w:noProof/>
        </w:rPr>
        <w:t xml:space="preserve"> [2016] VSCA 76</w:t>
      </w:r>
      <w:r>
        <w:rPr>
          <w:noProof/>
        </w:rPr>
        <w:tab/>
        <w:t>77, 79</w:t>
      </w:r>
    </w:p>
    <w:p w14:paraId="46487907" w14:textId="77777777" w:rsidR="00D44BCF" w:rsidRDefault="00D44BCF">
      <w:pPr>
        <w:pStyle w:val="TableofAuthorities"/>
        <w:tabs>
          <w:tab w:val="right" w:leader="dot" w:pos="9061"/>
        </w:tabs>
        <w:rPr>
          <w:noProof/>
        </w:rPr>
      </w:pPr>
      <w:r w:rsidRPr="000A1327">
        <w:rPr>
          <w:rFonts w:cstheme="minorHAnsi"/>
          <w:i/>
          <w:noProof/>
        </w:rPr>
        <w:t xml:space="preserve">Scook v R </w:t>
      </w:r>
      <w:r w:rsidRPr="000A1327">
        <w:rPr>
          <w:rFonts w:cstheme="minorHAnsi"/>
          <w:noProof/>
        </w:rPr>
        <w:t>[2008] WASCA 114</w:t>
      </w:r>
      <w:r>
        <w:rPr>
          <w:noProof/>
        </w:rPr>
        <w:tab/>
        <w:t>70, 71, 72</w:t>
      </w:r>
    </w:p>
    <w:p w14:paraId="6557E33F" w14:textId="77777777" w:rsidR="00D44BCF" w:rsidRDefault="00D44BCF">
      <w:pPr>
        <w:pStyle w:val="TableofAuthorities"/>
        <w:tabs>
          <w:tab w:val="right" w:leader="dot" w:pos="9061"/>
        </w:tabs>
        <w:rPr>
          <w:noProof/>
        </w:rPr>
      </w:pPr>
      <w:r w:rsidRPr="000A1327">
        <w:rPr>
          <w:rFonts w:cstheme="minorHAnsi"/>
          <w:i/>
          <w:noProof/>
        </w:rPr>
        <w:t>Seaegg v R</w:t>
      </w:r>
      <w:r w:rsidRPr="000A1327">
        <w:rPr>
          <w:rFonts w:cstheme="minorHAnsi"/>
          <w:noProof/>
        </w:rPr>
        <w:t xml:space="preserve"> (1932) 48 CLR 251</w:t>
      </w:r>
      <w:r>
        <w:rPr>
          <w:noProof/>
        </w:rPr>
        <w:tab/>
        <w:t>19</w:t>
      </w:r>
    </w:p>
    <w:p w14:paraId="77B5E2B1" w14:textId="77777777" w:rsidR="00D44BCF" w:rsidRDefault="00D44BCF">
      <w:pPr>
        <w:pStyle w:val="TableofAuthorities"/>
        <w:tabs>
          <w:tab w:val="right" w:leader="dot" w:pos="9061"/>
        </w:tabs>
        <w:rPr>
          <w:noProof/>
        </w:rPr>
      </w:pPr>
      <w:r w:rsidRPr="000A1327">
        <w:rPr>
          <w:rFonts w:cstheme="minorHAnsi"/>
          <w:i/>
          <w:noProof/>
        </w:rPr>
        <w:t xml:space="preserve">Selimoski v Picknoll </w:t>
      </w:r>
      <w:r w:rsidRPr="000A1327">
        <w:rPr>
          <w:rFonts w:cstheme="minorHAnsi"/>
          <w:noProof/>
        </w:rPr>
        <w:t>(WA SC (Full Court), 9 October 1992, unreported)</w:t>
      </w:r>
      <w:r>
        <w:rPr>
          <w:noProof/>
        </w:rPr>
        <w:tab/>
        <w:t>144, 160, 163</w:t>
      </w:r>
    </w:p>
    <w:p w14:paraId="17C69557" w14:textId="77777777" w:rsidR="00D44BCF" w:rsidRDefault="00D44BCF">
      <w:pPr>
        <w:pStyle w:val="TableofAuthorities"/>
        <w:tabs>
          <w:tab w:val="right" w:leader="dot" w:pos="9061"/>
        </w:tabs>
        <w:rPr>
          <w:noProof/>
        </w:rPr>
      </w:pPr>
      <w:r w:rsidRPr="000A1327">
        <w:rPr>
          <w:rFonts w:cstheme="minorHAnsi"/>
          <w:i/>
          <w:noProof/>
        </w:rPr>
        <w:t>Sergi v DPP (Cth)</w:t>
      </w:r>
      <w:r w:rsidRPr="000A1327">
        <w:rPr>
          <w:rFonts w:cstheme="minorHAnsi"/>
          <w:noProof/>
        </w:rPr>
        <w:t xml:space="preserve"> [2015] VSCA 181</w:t>
      </w:r>
      <w:r>
        <w:rPr>
          <w:noProof/>
        </w:rPr>
        <w:tab/>
        <w:t>70, 71, 72</w:t>
      </w:r>
    </w:p>
    <w:p w14:paraId="385BF9F5" w14:textId="77777777" w:rsidR="00D44BCF" w:rsidRDefault="00D44BCF">
      <w:pPr>
        <w:pStyle w:val="TableofAuthorities"/>
        <w:tabs>
          <w:tab w:val="right" w:leader="dot" w:pos="9061"/>
        </w:tabs>
        <w:rPr>
          <w:noProof/>
        </w:rPr>
      </w:pPr>
      <w:r w:rsidRPr="000A1327">
        <w:rPr>
          <w:rFonts w:cstheme="minorHAnsi"/>
          <w:i/>
          <w:noProof/>
        </w:rPr>
        <w:t>Shambayati v R</w:t>
      </w:r>
      <w:r w:rsidRPr="000A1327">
        <w:rPr>
          <w:rFonts w:cstheme="minorHAnsi"/>
          <w:b/>
          <w:noProof/>
        </w:rPr>
        <w:t xml:space="preserve"> </w:t>
      </w:r>
      <w:r w:rsidRPr="000A1327">
        <w:rPr>
          <w:rFonts w:cstheme="minorHAnsi"/>
          <w:noProof/>
        </w:rPr>
        <w:t>(1999) 105 A Crim R 373</w:t>
      </w:r>
      <w:r>
        <w:rPr>
          <w:noProof/>
        </w:rPr>
        <w:tab/>
        <w:t>105, 117</w:t>
      </w:r>
    </w:p>
    <w:p w14:paraId="3B90ED31" w14:textId="77777777" w:rsidR="00D44BCF" w:rsidRDefault="00D44BCF">
      <w:pPr>
        <w:pStyle w:val="TableofAuthorities"/>
        <w:tabs>
          <w:tab w:val="right" w:leader="dot" w:pos="9061"/>
        </w:tabs>
        <w:rPr>
          <w:noProof/>
        </w:rPr>
      </w:pPr>
      <w:r w:rsidRPr="000A1327">
        <w:rPr>
          <w:rFonts w:cstheme="minorHAnsi"/>
          <w:i/>
          <w:noProof/>
        </w:rPr>
        <w:t>Sheen v Geo Cornish Pty Ltd</w:t>
      </w:r>
      <w:r w:rsidRPr="000A1327">
        <w:rPr>
          <w:rFonts w:cstheme="minorHAnsi"/>
          <w:noProof/>
        </w:rPr>
        <w:t xml:space="preserve"> [1978] 2 NSWLR 162</w:t>
      </w:r>
      <w:r>
        <w:rPr>
          <w:noProof/>
        </w:rPr>
        <w:tab/>
        <w:t>102</w:t>
      </w:r>
    </w:p>
    <w:p w14:paraId="41E84BB0" w14:textId="77777777" w:rsidR="00D44BCF" w:rsidRDefault="00D44BCF">
      <w:pPr>
        <w:pStyle w:val="TableofAuthorities"/>
        <w:tabs>
          <w:tab w:val="right" w:leader="dot" w:pos="9061"/>
        </w:tabs>
        <w:rPr>
          <w:noProof/>
        </w:rPr>
      </w:pPr>
      <w:r w:rsidRPr="000A1327">
        <w:rPr>
          <w:rFonts w:cstheme="minorHAnsi"/>
          <w:i/>
          <w:noProof/>
        </w:rPr>
        <w:t>Shi v R</w:t>
      </w:r>
      <w:r w:rsidRPr="000A1327">
        <w:rPr>
          <w:rFonts w:cstheme="minorHAnsi"/>
          <w:noProof/>
        </w:rPr>
        <w:t xml:space="preserve"> [2017] NSWCCA 126</w:t>
      </w:r>
      <w:r>
        <w:rPr>
          <w:noProof/>
        </w:rPr>
        <w:tab/>
        <w:t>126</w:t>
      </w:r>
    </w:p>
    <w:p w14:paraId="07AC8571" w14:textId="77777777" w:rsidR="00D44BCF" w:rsidRDefault="00D44BCF">
      <w:pPr>
        <w:pStyle w:val="TableofAuthorities"/>
        <w:tabs>
          <w:tab w:val="right" w:leader="dot" w:pos="9061"/>
        </w:tabs>
        <w:rPr>
          <w:noProof/>
        </w:rPr>
      </w:pPr>
      <w:r w:rsidRPr="000A1327">
        <w:rPr>
          <w:rFonts w:cstheme="minorHAnsi"/>
          <w:i/>
          <w:noProof/>
        </w:rPr>
        <w:t>Shore v R</w:t>
      </w:r>
      <w:r w:rsidRPr="000A1327">
        <w:rPr>
          <w:rFonts w:cstheme="minorHAnsi"/>
          <w:noProof/>
        </w:rPr>
        <w:t xml:space="preserve"> (1992) 66 A Crim R 37</w:t>
      </w:r>
      <w:r>
        <w:rPr>
          <w:noProof/>
        </w:rPr>
        <w:tab/>
        <w:t>254</w:t>
      </w:r>
    </w:p>
    <w:p w14:paraId="0088061D" w14:textId="77777777" w:rsidR="00D44BCF" w:rsidRDefault="00D44BCF">
      <w:pPr>
        <w:pStyle w:val="TableofAuthorities"/>
        <w:tabs>
          <w:tab w:val="right" w:leader="dot" w:pos="9061"/>
        </w:tabs>
        <w:rPr>
          <w:noProof/>
        </w:rPr>
      </w:pPr>
      <w:r w:rsidRPr="000A1327">
        <w:rPr>
          <w:rFonts w:cstheme="minorHAnsi"/>
          <w:i/>
          <w:noProof/>
          <w:color w:val="000000"/>
        </w:rPr>
        <w:t>Siganto v R</w:t>
      </w:r>
      <w:r w:rsidRPr="000A1327">
        <w:rPr>
          <w:rFonts w:cstheme="minorHAnsi"/>
          <w:noProof/>
          <w:color w:val="000000"/>
        </w:rPr>
        <w:t xml:space="preserve"> (1998) 194 CLR 656</w:t>
      </w:r>
      <w:r>
        <w:rPr>
          <w:noProof/>
        </w:rPr>
        <w:tab/>
        <w:t>49, 74</w:t>
      </w:r>
    </w:p>
    <w:p w14:paraId="7D5F33A3" w14:textId="77777777" w:rsidR="00D44BCF" w:rsidRDefault="00D44BCF">
      <w:pPr>
        <w:pStyle w:val="TableofAuthorities"/>
        <w:tabs>
          <w:tab w:val="right" w:leader="dot" w:pos="9061"/>
        </w:tabs>
        <w:rPr>
          <w:noProof/>
        </w:rPr>
      </w:pPr>
      <w:r w:rsidRPr="000A1327">
        <w:rPr>
          <w:rFonts w:cstheme="minorHAnsi"/>
          <w:i/>
          <w:noProof/>
        </w:rPr>
        <w:t>Singh v R</w:t>
      </w:r>
      <w:r w:rsidRPr="000A1327">
        <w:rPr>
          <w:rFonts w:cstheme="minorHAnsi"/>
          <w:noProof/>
        </w:rPr>
        <w:t xml:space="preserve"> [2018] NSWCCA 60</w:t>
      </w:r>
      <w:r>
        <w:rPr>
          <w:noProof/>
        </w:rPr>
        <w:tab/>
        <w:t>29, 48</w:t>
      </w:r>
    </w:p>
    <w:p w14:paraId="484D01C1" w14:textId="77777777" w:rsidR="00D44BCF" w:rsidRDefault="00D44BCF">
      <w:pPr>
        <w:pStyle w:val="TableofAuthorities"/>
        <w:tabs>
          <w:tab w:val="right" w:leader="dot" w:pos="9061"/>
        </w:tabs>
        <w:rPr>
          <w:noProof/>
        </w:rPr>
      </w:pPr>
      <w:r w:rsidRPr="000A1327">
        <w:rPr>
          <w:rFonts w:cstheme="minorHAnsi"/>
          <w:i/>
          <w:noProof/>
        </w:rPr>
        <w:t>Smith v Elliot</w:t>
      </w:r>
      <w:r w:rsidRPr="000A1327">
        <w:rPr>
          <w:rFonts w:cstheme="minorHAnsi"/>
          <w:noProof/>
        </w:rPr>
        <w:t xml:space="preserve"> [2007] ACTSC 65</w:t>
      </w:r>
      <w:r>
        <w:rPr>
          <w:noProof/>
        </w:rPr>
        <w:tab/>
        <w:t>59, 215</w:t>
      </w:r>
    </w:p>
    <w:p w14:paraId="4D493323" w14:textId="77777777" w:rsidR="00D44BCF" w:rsidRDefault="00D44BCF">
      <w:pPr>
        <w:pStyle w:val="TableofAuthorities"/>
        <w:tabs>
          <w:tab w:val="right" w:leader="dot" w:pos="9061"/>
        </w:tabs>
        <w:rPr>
          <w:noProof/>
        </w:rPr>
      </w:pPr>
      <w:r w:rsidRPr="000A1327">
        <w:rPr>
          <w:rFonts w:cstheme="minorHAnsi"/>
          <w:i/>
          <w:noProof/>
        </w:rPr>
        <w:t>Solomons v District Court (NSW)</w:t>
      </w:r>
      <w:r w:rsidRPr="000A1327">
        <w:rPr>
          <w:rFonts w:cstheme="minorHAnsi"/>
          <w:noProof/>
        </w:rPr>
        <w:t xml:space="preserve"> (2002) 211 CLR 119</w:t>
      </w:r>
      <w:r>
        <w:rPr>
          <w:noProof/>
        </w:rPr>
        <w:tab/>
        <w:t>5, 6, 7, 13, 15, 16, 17, 18, 19, 31, 194, 216</w:t>
      </w:r>
    </w:p>
    <w:p w14:paraId="0C3BA062" w14:textId="77777777" w:rsidR="00D44BCF" w:rsidRDefault="00D44BCF">
      <w:pPr>
        <w:pStyle w:val="TableofAuthorities"/>
        <w:tabs>
          <w:tab w:val="right" w:leader="dot" w:pos="9061"/>
        </w:tabs>
        <w:rPr>
          <w:noProof/>
        </w:rPr>
      </w:pPr>
      <w:r w:rsidRPr="000A1327">
        <w:rPr>
          <w:rFonts w:cstheme="minorHAnsi"/>
          <w:i/>
          <w:noProof/>
        </w:rPr>
        <w:t>Soyke v R</w:t>
      </w:r>
      <w:r w:rsidRPr="000A1327">
        <w:rPr>
          <w:rFonts w:cstheme="minorHAnsi"/>
          <w:noProof/>
        </w:rPr>
        <w:t xml:space="preserve"> [2016] NSWCCA 112</w:t>
      </w:r>
      <w:r>
        <w:rPr>
          <w:noProof/>
        </w:rPr>
        <w:tab/>
        <w:t>43</w:t>
      </w:r>
    </w:p>
    <w:p w14:paraId="66847AD5" w14:textId="77777777" w:rsidR="00D44BCF" w:rsidRDefault="00D44BCF">
      <w:pPr>
        <w:pStyle w:val="TableofAuthorities"/>
        <w:tabs>
          <w:tab w:val="right" w:leader="dot" w:pos="9061"/>
        </w:tabs>
        <w:rPr>
          <w:noProof/>
        </w:rPr>
      </w:pPr>
      <w:r w:rsidRPr="000A1327">
        <w:rPr>
          <w:rFonts w:cstheme="minorHAnsi"/>
          <w:i/>
          <w:noProof/>
        </w:rPr>
        <w:t xml:space="preserve">Sparos v R </w:t>
      </w:r>
      <w:r w:rsidRPr="000A1327">
        <w:rPr>
          <w:rFonts w:cstheme="minorHAnsi"/>
          <w:iCs/>
          <w:noProof/>
        </w:rPr>
        <w:t>[</w:t>
      </w:r>
      <w:r w:rsidRPr="000A1327">
        <w:rPr>
          <w:rFonts w:cstheme="minorHAnsi"/>
          <w:noProof/>
        </w:rPr>
        <w:t>2013] NSWCCA 223</w:t>
      </w:r>
      <w:r>
        <w:rPr>
          <w:noProof/>
        </w:rPr>
        <w:tab/>
        <w:t>195</w:t>
      </w:r>
    </w:p>
    <w:p w14:paraId="0369362B" w14:textId="77777777" w:rsidR="00D44BCF" w:rsidRDefault="00D44BCF">
      <w:pPr>
        <w:pStyle w:val="TableofAuthorities"/>
        <w:tabs>
          <w:tab w:val="right" w:leader="dot" w:pos="9061"/>
        </w:tabs>
        <w:rPr>
          <w:noProof/>
        </w:rPr>
      </w:pPr>
      <w:r w:rsidRPr="000A1327">
        <w:rPr>
          <w:rFonts w:cstheme="minorHAnsi"/>
          <w:i/>
          <w:noProof/>
        </w:rPr>
        <w:t>Spreitzer v R</w:t>
      </w:r>
      <w:r w:rsidRPr="000A1327">
        <w:rPr>
          <w:rFonts w:cstheme="minorHAnsi"/>
          <w:noProof/>
        </w:rPr>
        <w:t xml:space="preserve"> (1991) 58 A Crim R 114</w:t>
      </w:r>
      <w:r>
        <w:rPr>
          <w:noProof/>
        </w:rPr>
        <w:tab/>
        <w:t>154, 155</w:t>
      </w:r>
    </w:p>
    <w:p w14:paraId="764FBB9A" w14:textId="77777777" w:rsidR="00D44BCF" w:rsidRDefault="00D44BCF">
      <w:pPr>
        <w:pStyle w:val="TableofAuthorities"/>
        <w:tabs>
          <w:tab w:val="right" w:leader="dot" w:pos="9061"/>
        </w:tabs>
        <w:rPr>
          <w:noProof/>
        </w:rPr>
      </w:pPr>
      <w:r w:rsidRPr="000A1327">
        <w:rPr>
          <w:rFonts w:cstheme="minorHAnsi"/>
          <w:i/>
          <w:noProof/>
        </w:rPr>
        <w:t>ST v Kelly</w:t>
      </w:r>
      <w:r w:rsidRPr="000A1327">
        <w:rPr>
          <w:rFonts w:cstheme="minorHAnsi"/>
          <w:noProof/>
        </w:rPr>
        <w:t xml:space="preserve"> [2009] HCATrans 175</w:t>
      </w:r>
      <w:r>
        <w:rPr>
          <w:noProof/>
        </w:rPr>
        <w:tab/>
        <w:t>225</w:t>
      </w:r>
    </w:p>
    <w:p w14:paraId="6BDCF4AF" w14:textId="77777777" w:rsidR="00D44BCF" w:rsidRDefault="00D44BCF">
      <w:pPr>
        <w:pStyle w:val="TableofAuthorities"/>
        <w:tabs>
          <w:tab w:val="right" w:leader="dot" w:pos="9061"/>
        </w:tabs>
        <w:rPr>
          <w:noProof/>
        </w:rPr>
      </w:pPr>
      <w:r w:rsidRPr="000A1327">
        <w:rPr>
          <w:rFonts w:cstheme="minorHAnsi"/>
          <w:i/>
          <w:iCs/>
          <w:noProof/>
        </w:rPr>
        <w:t>Stapleton v R</w:t>
      </w:r>
      <w:r w:rsidRPr="000A1327">
        <w:rPr>
          <w:rFonts w:cstheme="minorHAnsi"/>
          <w:noProof/>
        </w:rPr>
        <w:t xml:space="preserve"> (1952) 86 CLR 358</w:t>
      </w:r>
      <w:r>
        <w:rPr>
          <w:noProof/>
        </w:rPr>
        <w:tab/>
        <w:t>226</w:t>
      </w:r>
    </w:p>
    <w:p w14:paraId="16A3D397" w14:textId="77777777" w:rsidR="00D44BCF" w:rsidRDefault="00D44BCF">
      <w:pPr>
        <w:pStyle w:val="TableofAuthorities"/>
        <w:tabs>
          <w:tab w:val="right" w:leader="dot" w:pos="9061"/>
        </w:tabs>
        <w:rPr>
          <w:noProof/>
        </w:rPr>
      </w:pPr>
      <w:r w:rsidRPr="000A1327">
        <w:rPr>
          <w:rFonts w:cstheme="minorHAnsi"/>
          <w:i/>
          <w:noProof/>
        </w:rPr>
        <w:t>Stark v Plant</w:t>
      </w:r>
      <w:r w:rsidRPr="000A1327">
        <w:rPr>
          <w:rFonts w:cstheme="minorHAnsi"/>
          <w:noProof/>
        </w:rPr>
        <w:t xml:space="preserve"> [2010] WASCA 74</w:t>
      </w:r>
      <w:r>
        <w:rPr>
          <w:noProof/>
        </w:rPr>
        <w:tab/>
        <w:t>98</w:t>
      </w:r>
    </w:p>
    <w:p w14:paraId="25F8FEA1" w14:textId="77777777" w:rsidR="00D44BCF" w:rsidRDefault="00D44BCF">
      <w:pPr>
        <w:pStyle w:val="TableofAuthorities"/>
        <w:tabs>
          <w:tab w:val="right" w:leader="dot" w:pos="9061"/>
        </w:tabs>
        <w:rPr>
          <w:noProof/>
        </w:rPr>
      </w:pPr>
      <w:r w:rsidRPr="000A1327">
        <w:rPr>
          <w:rFonts w:cstheme="minorHAnsi"/>
          <w:i/>
          <w:iCs/>
          <w:noProof/>
        </w:rPr>
        <w:t>Starmer v R</w:t>
      </w:r>
      <w:r w:rsidRPr="000A1327">
        <w:rPr>
          <w:rFonts w:cstheme="minorHAnsi"/>
          <w:iCs/>
          <w:noProof/>
        </w:rPr>
        <w:t xml:space="preserve"> [2008] NSWCCA 27</w:t>
      </w:r>
      <w:r>
        <w:rPr>
          <w:noProof/>
        </w:rPr>
        <w:tab/>
        <w:t>126</w:t>
      </w:r>
    </w:p>
    <w:p w14:paraId="5C4D37DC" w14:textId="77777777" w:rsidR="00D44BCF" w:rsidRDefault="00D44BCF">
      <w:pPr>
        <w:pStyle w:val="TableofAuthorities"/>
        <w:tabs>
          <w:tab w:val="right" w:leader="dot" w:pos="9061"/>
        </w:tabs>
        <w:rPr>
          <w:noProof/>
        </w:rPr>
      </w:pPr>
      <w:r w:rsidRPr="000A1327">
        <w:rPr>
          <w:rFonts w:cstheme="minorHAnsi"/>
          <w:i/>
          <w:noProof/>
        </w:rPr>
        <w:t>Stevenson v Dix</w:t>
      </w:r>
      <w:r w:rsidRPr="000A1327">
        <w:rPr>
          <w:rFonts w:cstheme="minorHAnsi"/>
          <w:noProof/>
        </w:rPr>
        <w:t xml:space="preserve"> (1995) 81 A Crim R 167</w:t>
      </w:r>
      <w:r>
        <w:rPr>
          <w:noProof/>
        </w:rPr>
        <w:tab/>
        <w:t>182</w:t>
      </w:r>
    </w:p>
    <w:p w14:paraId="1964D6CE" w14:textId="77777777" w:rsidR="00D44BCF" w:rsidRDefault="00D44BCF">
      <w:pPr>
        <w:pStyle w:val="TableofAuthorities"/>
        <w:tabs>
          <w:tab w:val="right" w:leader="dot" w:pos="9061"/>
        </w:tabs>
        <w:rPr>
          <w:noProof/>
        </w:rPr>
      </w:pPr>
      <w:r w:rsidRPr="000A1327">
        <w:rPr>
          <w:rFonts w:cstheme="minorHAnsi"/>
          <w:i/>
          <w:noProof/>
        </w:rPr>
        <w:t>Stipkovich v R</w:t>
      </w:r>
      <w:r w:rsidRPr="000A1327">
        <w:rPr>
          <w:rFonts w:cstheme="minorHAnsi"/>
          <w:noProof/>
        </w:rPr>
        <w:t xml:space="preserve"> [2018] WASCA 63</w:t>
      </w:r>
      <w:r>
        <w:rPr>
          <w:noProof/>
        </w:rPr>
        <w:tab/>
        <w:t>73, 140</w:t>
      </w:r>
    </w:p>
    <w:p w14:paraId="4C91552E" w14:textId="77777777" w:rsidR="00D44BCF" w:rsidRDefault="00D44BCF">
      <w:pPr>
        <w:pStyle w:val="TableofAuthorities"/>
        <w:tabs>
          <w:tab w:val="right" w:leader="dot" w:pos="9061"/>
        </w:tabs>
        <w:rPr>
          <w:noProof/>
        </w:rPr>
      </w:pPr>
      <w:r w:rsidRPr="000A1327">
        <w:rPr>
          <w:rFonts w:cstheme="minorHAnsi"/>
          <w:i/>
          <w:noProof/>
        </w:rPr>
        <w:t>Street v Tasmania Police</w:t>
      </w:r>
      <w:r w:rsidRPr="000A1327">
        <w:rPr>
          <w:rFonts w:cstheme="minorHAnsi"/>
          <w:noProof/>
        </w:rPr>
        <w:t xml:space="preserve"> [2016] TASSC 52</w:t>
      </w:r>
      <w:r>
        <w:rPr>
          <w:noProof/>
        </w:rPr>
        <w:tab/>
        <w:t>157</w:t>
      </w:r>
    </w:p>
    <w:p w14:paraId="7E7DB653" w14:textId="77777777" w:rsidR="00D44BCF" w:rsidRDefault="00D44BCF">
      <w:pPr>
        <w:pStyle w:val="TableofAuthorities"/>
        <w:tabs>
          <w:tab w:val="right" w:leader="dot" w:pos="9061"/>
        </w:tabs>
        <w:rPr>
          <w:noProof/>
        </w:rPr>
      </w:pPr>
      <w:r w:rsidRPr="000A1327">
        <w:rPr>
          <w:rFonts w:cstheme="minorHAnsi"/>
          <w:i/>
          <w:noProof/>
        </w:rPr>
        <w:t>Sukkar v R (No.2)</w:t>
      </w:r>
      <w:r w:rsidRPr="000A1327">
        <w:rPr>
          <w:rFonts w:cstheme="minorHAnsi"/>
          <w:b/>
          <w:i/>
          <w:noProof/>
        </w:rPr>
        <w:t xml:space="preserve"> </w:t>
      </w:r>
      <w:r w:rsidRPr="000A1327">
        <w:rPr>
          <w:rFonts w:cstheme="minorHAnsi"/>
          <w:noProof/>
        </w:rPr>
        <w:t>[2008] WASCA 2</w:t>
      </w:r>
      <w:r>
        <w:rPr>
          <w:noProof/>
        </w:rPr>
        <w:tab/>
        <w:t>59</w:t>
      </w:r>
    </w:p>
    <w:p w14:paraId="37C88E95" w14:textId="77777777" w:rsidR="00D44BCF" w:rsidRDefault="00D44BCF">
      <w:pPr>
        <w:pStyle w:val="TableofAuthorities"/>
        <w:tabs>
          <w:tab w:val="right" w:leader="dot" w:pos="9061"/>
        </w:tabs>
        <w:rPr>
          <w:noProof/>
        </w:rPr>
      </w:pPr>
      <w:r w:rsidRPr="000A1327">
        <w:rPr>
          <w:rFonts w:cstheme="minorHAnsi"/>
          <w:i/>
          <w:iCs/>
          <w:noProof/>
        </w:rPr>
        <w:t>Suleiman v Western Australia</w:t>
      </w:r>
      <w:r w:rsidRPr="000A1327">
        <w:rPr>
          <w:rFonts w:cstheme="minorHAnsi"/>
          <w:noProof/>
        </w:rPr>
        <w:t xml:space="preserve"> [2017] WASCA 26</w:t>
      </w:r>
      <w:r>
        <w:rPr>
          <w:noProof/>
        </w:rPr>
        <w:tab/>
        <w:t>64</w:t>
      </w:r>
    </w:p>
    <w:p w14:paraId="2412AA7F" w14:textId="77777777" w:rsidR="00D44BCF" w:rsidRDefault="00D44BCF">
      <w:pPr>
        <w:pStyle w:val="TableofAuthorities"/>
        <w:tabs>
          <w:tab w:val="right" w:leader="dot" w:pos="9061"/>
        </w:tabs>
        <w:rPr>
          <w:noProof/>
        </w:rPr>
      </w:pPr>
      <w:r w:rsidRPr="000A1327">
        <w:rPr>
          <w:rFonts w:cstheme="minorHAnsi"/>
          <w:i/>
          <w:noProof/>
        </w:rPr>
        <w:t xml:space="preserve">TAN v R </w:t>
      </w:r>
      <w:r w:rsidRPr="000A1327">
        <w:rPr>
          <w:rFonts w:cstheme="minorHAnsi"/>
          <w:noProof/>
        </w:rPr>
        <w:t>(2011) 35 VR 109</w:t>
      </w:r>
      <w:r>
        <w:rPr>
          <w:noProof/>
        </w:rPr>
        <w:tab/>
        <w:t>67, 74, 82, 83, 84, 85</w:t>
      </w:r>
    </w:p>
    <w:p w14:paraId="7B237EBC" w14:textId="77777777" w:rsidR="00D44BCF" w:rsidRDefault="00D44BCF">
      <w:pPr>
        <w:pStyle w:val="TableofAuthorities"/>
        <w:tabs>
          <w:tab w:val="right" w:leader="dot" w:pos="9061"/>
        </w:tabs>
        <w:rPr>
          <w:noProof/>
        </w:rPr>
      </w:pPr>
      <w:r w:rsidRPr="000A1327">
        <w:rPr>
          <w:rFonts w:cstheme="minorHAnsi"/>
          <w:i/>
          <w:noProof/>
        </w:rPr>
        <w:t>Tapper v R</w:t>
      </w:r>
      <w:r w:rsidRPr="000A1327">
        <w:rPr>
          <w:rFonts w:cstheme="minorHAnsi"/>
          <w:noProof/>
        </w:rPr>
        <w:t xml:space="preserve"> (1992) 39 FCR 243</w:t>
      </w:r>
      <w:r>
        <w:rPr>
          <w:noProof/>
        </w:rPr>
        <w:tab/>
        <w:t>57, 256</w:t>
      </w:r>
    </w:p>
    <w:p w14:paraId="1BC1DFC5" w14:textId="77777777" w:rsidR="00D44BCF" w:rsidRDefault="00D44BCF">
      <w:pPr>
        <w:pStyle w:val="TableofAuthorities"/>
        <w:tabs>
          <w:tab w:val="right" w:leader="dot" w:pos="9061"/>
        </w:tabs>
        <w:rPr>
          <w:noProof/>
        </w:rPr>
      </w:pPr>
      <w:r w:rsidRPr="000A1327">
        <w:rPr>
          <w:rFonts w:cstheme="minorHAnsi"/>
          <w:i/>
          <w:noProof/>
        </w:rPr>
        <w:t>Temby v Schulze</w:t>
      </w:r>
      <w:r w:rsidRPr="000A1327">
        <w:rPr>
          <w:rFonts w:cstheme="minorHAnsi"/>
          <w:noProof/>
        </w:rPr>
        <w:t xml:space="preserve"> (1991) 57 A Crim R 284</w:t>
      </w:r>
      <w:r>
        <w:rPr>
          <w:noProof/>
        </w:rPr>
        <w:tab/>
        <w:t>100, 104, 162</w:t>
      </w:r>
    </w:p>
    <w:p w14:paraId="77B24A93" w14:textId="77777777" w:rsidR="00D44BCF" w:rsidRDefault="00D44BCF">
      <w:pPr>
        <w:pStyle w:val="TableofAuthorities"/>
        <w:tabs>
          <w:tab w:val="right" w:leader="dot" w:pos="9061"/>
        </w:tabs>
        <w:rPr>
          <w:noProof/>
        </w:rPr>
      </w:pPr>
      <w:r w:rsidRPr="000A1327">
        <w:rPr>
          <w:rFonts w:cstheme="minorHAnsi"/>
          <w:i/>
          <w:noProof/>
        </w:rPr>
        <w:t>Thomas v Ducret</w:t>
      </w:r>
      <w:r w:rsidRPr="000A1327">
        <w:rPr>
          <w:rFonts w:cstheme="minorHAnsi"/>
          <w:noProof/>
        </w:rPr>
        <w:t xml:space="preserve"> (1984) 153 CLR 506</w:t>
      </w:r>
      <w:r>
        <w:rPr>
          <w:noProof/>
        </w:rPr>
        <w:tab/>
        <w:t>19, 111</w:t>
      </w:r>
    </w:p>
    <w:p w14:paraId="0DE3EA95" w14:textId="77777777" w:rsidR="00D44BCF" w:rsidRDefault="00D44BCF">
      <w:pPr>
        <w:pStyle w:val="TableofAuthorities"/>
        <w:tabs>
          <w:tab w:val="right" w:leader="dot" w:pos="9061"/>
        </w:tabs>
        <w:rPr>
          <w:noProof/>
        </w:rPr>
      </w:pPr>
      <w:r w:rsidRPr="000A1327">
        <w:rPr>
          <w:rFonts w:cstheme="minorHAnsi"/>
          <w:bCs/>
          <w:i/>
          <w:iCs/>
          <w:noProof/>
        </w:rPr>
        <w:t>Thompson v R</w:t>
      </w:r>
      <w:r w:rsidRPr="000A1327">
        <w:rPr>
          <w:rFonts w:cstheme="minorHAnsi"/>
          <w:noProof/>
        </w:rPr>
        <w:t xml:space="preserve"> [2002] NSWCCA 149</w:t>
      </w:r>
      <w:r>
        <w:rPr>
          <w:noProof/>
        </w:rPr>
        <w:tab/>
        <w:t>208, 210</w:t>
      </w:r>
    </w:p>
    <w:p w14:paraId="7BAB0F4C" w14:textId="77777777" w:rsidR="00D44BCF" w:rsidRDefault="00D44BCF">
      <w:pPr>
        <w:pStyle w:val="TableofAuthorities"/>
        <w:tabs>
          <w:tab w:val="right" w:leader="dot" w:pos="9061"/>
        </w:tabs>
        <w:rPr>
          <w:noProof/>
        </w:rPr>
      </w:pPr>
      <w:r w:rsidRPr="000A1327">
        <w:rPr>
          <w:rFonts w:cstheme="minorHAnsi"/>
          <w:i/>
          <w:noProof/>
        </w:rPr>
        <w:t xml:space="preserve">Tiba v R </w:t>
      </w:r>
      <w:r w:rsidRPr="000A1327">
        <w:rPr>
          <w:rFonts w:cstheme="minorHAnsi"/>
          <w:noProof/>
        </w:rPr>
        <w:t>[2013] VSCA 302</w:t>
      </w:r>
      <w:r>
        <w:rPr>
          <w:noProof/>
        </w:rPr>
        <w:tab/>
        <w:t>41</w:t>
      </w:r>
    </w:p>
    <w:p w14:paraId="6C76C726" w14:textId="77777777" w:rsidR="00D44BCF" w:rsidRDefault="00D44BCF">
      <w:pPr>
        <w:pStyle w:val="TableofAuthorities"/>
        <w:tabs>
          <w:tab w:val="right" w:leader="dot" w:pos="9061"/>
        </w:tabs>
        <w:rPr>
          <w:noProof/>
        </w:rPr>
      </w:pPr>
      <w:r w:rsidRPr="000A1327">
        <w:rPr>
          <w:rFonts w:cstheme="minorHAnsi"/>
          <w:i/>
          <w:noProof/>
        </w:rPr>
        <w:t>Truong v R</w:t>
      </w:r>
      <w:r w:rsidRPr="000A1327">
        <w:rPr>
          <w:rFonts w:cstheme="minorHAnsi"/>
          <w:noProof/>
        </w:rPr>
        <w:t xml:space="preserve"> [2016] VSCA 228</w:t>
      </w:r>
      <w:r>
        <w:rPr>
          <w:noProof/>
        </w:rPr>
        <w:tab/>
        <w:t>131</w:t>
      </w:r>
    </w:p>
    <w:p w14:paraId="23C2F66A" w14:textId="77777777" w:rsidR="00D44BCF" w:rsidRDefault="00D44BCF">
      <w:pPr>
        <w:pStyle w:val="TableofAuthorities"/>
        <w:tabs>
          <w:tab w:val="right" w:leader="dot" w:pos="9061"/>
        </w:tabs>
        <w:rPr>
          <w:noProof/>
        </w:rPr>
      </w:pPr>
      <w:r w:rsidRPr="000A1327">
        <w:rPr>
          <w:rFonts w:cstheme="minorHAnsi"/>
          <w:i/>
          <w:noProof/>
        </w:rPr>
        <w:t xml:space="preserve">Tsang v DPP (Cth) </w:t>
      </w:r>
      <w:r w:rsidRPr="000A1327">
        <w:rPr>
          <w:rFonts w:cstheme="minorHAnsi"/>
          <w:noProof/>
        </w:rPr>
        <w:t>(2011) 35 VR 240</w:t>
      </w:r>
      <w:r>
        <w:rPr>
          <w:noProof/>
        </w:rPr>
        <w:tab/>
        <w:t>128, 129, 130</w:t>
      </w:r>
    </w:p>
    <w:p w14:paraId="097412DC" w14:textId="77777777" w:rsidR="00D44BCF" w:rsidRDefault="00D44BCF">
      <w:pPr>
        <w:pStyle w:val="TableofAuthorities"/>
        <w:tabs>
          <w:tab w:val="right" w:leader="dot" w:pos="9061"/>
        </w:tabs>
        <w:rPr>
          <w:noProof/>
        </w:rPr>
      </w:pPr>
      <w:r w:rsidRPr="000A1327">
        <w:rPr>
          <w:rFonts w:cstheme="minorHAnsi"/>
          <w:i/>
          <w:noProof/>
        </w:rPr>
        <w:t>Tu v R</w:t>
      </w:r>
      <w:r w:rsidRPr="000A1327">
        <w:rPr>
          <w:rFonts w:cstheme="minorHAnsi"/>
          <w:noProof/>
        </w:rPr>
        <w:t xml:space="preserve"> [2011] NSWCCA 31</w:t>
      </w:r>
      <w:r>
        <w:rPr>
          <w:noProof/>
        </w:rPr>
        <w:tab/>
        <w:t>27, 158, 163</w:t>
      </w:r>
    </w:p>
    <w:p w14:paraId="450426F0" w14:textId="77777777" w:rsidR="00D44BCF" w:rsidRDefault="00D44BCF">
      <w:pPr>
        <w:pStyle w:val="TableofAuthorities"/>
        <w:tabs>
          <w:tab w:val="right" w:leader="dot" w:pos="9061"/>
        </w:tabs>
        <w:rPr>
          <w:noProof/>
        </w:rPr>
      </w:pPr>
      <w:r w:rsidRPr="000A1327">
        <w:rPr>
          <w:rFonts w:cstheme="minorHAnsi"/>
          <w:i/>
          <w:noProof/>
        </w:rPr>
        <w:t>Turrise v Hunter</w:t>
      </w:r>
      <w:r w:rsidRPr="000A1327">
        <w:rPr>
          <w:rFonts w:cstheme="minorHAnsi"/>
          <w:noProof/>
        </w:rPr>
        <w:t xml:space="preserve"> [2008] ACTSC 128</w:t>
      </w:r>
      <w:r>
        <w:rPr>
          <w:noProof/>
        </w:rPr>
        <w:tab/>
        <w:t>176</w:t>
      </w:r>
    </w:p>
    <w:p w14:paraId="4B5694B0" w14:textId="77777777" w:rsidR="00D44BCF" w:rsidRDefault="00D44BCF">
      <w:pPr>
        <w:pStyle w:val="TableofAuthorities"/>
        <w:tabs>
          <w:tab w:val="right" w:leader="dot" w:pos="9061"/>
        </w:tabs>
        <w:rPr>
          <w:noProof/>
        </w:rPr>
      </w:pPr>
      <w:r w:rsidRPr="000A1327">
        <w:rPr>
          <w:rFonts w:cstheme="minorHAnsi"/>
          <w:i/>
          <w:noProof/>
        </w:rPr>
        <w:t xml:space="preserve">Tyler </w:t>
      </w:r>
      <w:r w:rsidRPr="000A1327">
        <w:rPr>
          <w:rFonts w:cstheme="minorHAnsi"/>
          <w:noProof/>
        </w:rPr>
        <w:t>v R</w:t>
      </w:r>
      <w:r w:rsidRPr="000A1327">
        <w:rPr>
          <w:rFonts w:cstheme="minorHAnsi"/>
          <w:noProof/>
          <w:color w:val="000000"/>
        </w:rPr>
        <w:t xml:space="preserve"> </w:t>
      </w:r>
      <w:r w:rsidRPr="000A1327">
        <w:rPr>
          <w:rFonts w:cstheme="minorHAnsi"/>
          <w:noProof/>
        </w:rPr>
        <w:t>[2007] NSWCCA 247</w:t>
      </w:r>
      <w:r>
        <w:rPr>
          <w:noProof/>
        </w:rPr>
        <w:tab/>
        <w:t>50</w:t>
      </w:r>
    </w:p>
    <w:p w14:paraId="5392F310" w14:textId="77777777" w:rsidR="00D44BCF" w:rsidRDefault="00D44BCF">
      <w:pPr>
        <w:pStyle w:val="TableofAuthorities"/>
        <w:tabs>
          <w:tab w:val="right" w:leader="dot" w:pos="9061"/>
        </w:tabs>
        <w:rPr>
          <w:noProof/>
        </w:rPr>
      </w:pPr>
      <w:r w:rsidRPr="000A1327">
        <w:rPr>
          <w:rFonts w:cstheme="minorHAnsi"/>
          <w:i/>
          <w:iCs/>
          <w:noProof/>
        </w:rPr>
        <w:t>Ungureanu v R</w:t>
      </w:r>
      <w:r w:rsidRPr="000A1327">
        <w:rPr>
          <w:rFonts w:cstheme="minorHAnsi"/>
          <w:noProof/>
        </w:rPr>
        <w:t xml:space="preserve"> [2012] WASCA 11</w:t>
      </w:r>
      <w:r>
        <w:rPr>
          <w:noProof/>
        </w:rPr>
        <w:tab/>
        <w:t>55</w:t>
      </w:r>
    </w:p>
    <w:p w14:paraId="47837F75" w14:textId="77777777" w:rsidR="00D44BCF" w:rsidRDefault="00D44BCF">
      <w:pPr>
        <w:pStyle w:val="TableofAuthorities"/>
        <w:tabs>
          <w:tab w:val="right" w:leader="dot" w:pos="9061"/>
        </w:tabs>
        <w:rPr>
          <w:noProof/>
        </w:rPr>
      </w:pPr>
      <w:r w:rsidRPr="000A1327">
        <w:rPr>
          <w:rFonts w:cstheme="minorHAnsi"/>
          <w:i/>
          <w:noProof/>
        </w:rPr>
        <w:t>Uznanski v Searle</w:t>
      </w:r>
      <w:r w:rsidRPr="000A1327">
        <w:rPr>
          <w:rFonts w:cstheme="minorHAnsi"/>
          <w:noProof/>
        </w:rPr>
        <w:t xml:space="preserve"> (1981) 26 SASR 388</w:t>
      </w:r>
      <w:r>
        <w:rPr>
          <w:noProof/>
        </w:rPr>
        <w:tab/>
        <w:t>98</w:t>
      </w:r>
    </w:p>
    <w:p w14:paraId="1ABD92C2" w14:textId="77777777" w:rsidR="00D44BCF" w:rsidRDefault="00D44BCF">
      <w:pPr>
        <w:pStyle w:val="TableofAuthorities"/>
        <w:tabs>
          <w:tab w:val="right" w:leader="dot" w:pos="9061"/>
        </w:tabs>
        <w:rPr>
          <w:noProof/>
        </w:rPr>
      </w:pPr>
      <w:r w:rsidRPr="000A1327">
        <w:rPr>
          <w:rFonts w:cstheme="minorHAnsi"/>
          <w:i/>
          <w:noProof/>
        </w:rPr>
        <w:t>Van Eeden v R</w:t>
      </w:r>
      <w:r w:rsidRPr="000A1327">
        <w:rPr>
          <w:rFonts w:cstheme="minorHAnsi"/>
          <w:noProof/>
        </w:rPr>
        <w:t xml:space="preserve"> [2012] NSWCCA 18</w:t>
      </w:r>
      <w:r>
        <w:rPr>
          <w:noProof/>
        </w:rPr>
        <w:tab/>
        <w:t>67</w:t>
      </w:r>
    </w:p>
    <w:p w14:paraId="75B3DB7D" w14:textId="77777777" w:rsidR="00D44BCF" w:rsidRDefault="00D44BCF">
      <w:pPr>
        <w:pStyle w:val="TableofAuthorities"/>
        <w:tabs>
          <w:tab w:val="right" w:leader="dot" w:pos="9061"/>
        </w:tabs>
        <w:rPr>
          <w:noProof/>
        </w:rPr>
      </w:pPr>
      <w:r w:rsidRPr="000A1327">
        <w:rPr>
          <w:rFonts w:cstheme="minorHAnsi"/>
          <w:bCs/>
          <w:i/>
          <w:iCs/>
          <w:noProof/>
        </w:rPr>
        <w:t>Van Zwam v R</w:t>
      </w:r>
      <w:r w:rsidRPr="000A1327">
        <w:rPr>
          <w:rFonts w:cstheme="minorHAnsi"/>
          <w:bCs/>
          <w:iCs/>
          <w:noProof/>
        </w:rPr>
        <w:t xml:space="preserve"> [2017] NSWCCA 127</w:t>
      </w:r>
      <w:r>
        <w:rPr>
          <w:noProof/>
        </w:rPr>
        <w:tab/>
        <w:t>188</w:t>
      </w:r>
    </w:p>
    <w:p w14:paraId="0FF84166" w14:textId="77777777" w:rsidR="00D44BCF" w:rsidRDefault="00D44BCF">
      <w:pPr>
        <w:pStyle w:val="TableofAuthorities"/>
        <w:tabs>
          <w:tab w:val="right" w:leader="dot" w:pos="9061"/>
        </w:tabs>
        <w:rPr>
          <w:noProof/>
        </w:rPr>
      </w:pPr>
      <w:r w:rsidRPr="000A1327">
        <w:rPr>
          <w:rFonts w:cstheme="minorHAnsi"/>
          <w:i/>
          <w:noProof/>
        </w:rPr>
        <w:t xml:space="preserve">Veen v R (No 2) </w:t>
      </w:r>
      <w:r w:rsidRPr="000A1327">
        <w:rPr>
          <w:rFonts w:cstheme="minorHAnsi"/>
          <w:noProof/>
        </w:rPr>
        <w:t>(1987) 164 CLR 465</w:t>
      </w:r>
      <w:r>
        <w:rPr>
          <w:noProof/>
        </w:rPr>
        <w:tab/>
        <w:t>56, 65, 69</w:t>
      </w:r>
    </w:p>
    <w:p w14:paraId="41F1AA9D" w14:textId="77777777" w:rsidR="00D44BCF" w:rsidRDefault="00D44BCF">
      <w:pPr>
        <w:pStyle w:val="TableofAuthorities"/>
        <w:tabs>
          <w:tab w:val="right" w:leader="dot" w:pos="9061"/>
        </w:tabs>
        <w:rPr>
          <w:noProof/>
        </w:rPr>
      </w:pPr>
      <w:r w:rsidRPr="000A1327">
        <w:rPr>
          <w:rFonts w:cstheme="minorHAnsi"/>
          <w:i/>
          <w:noProof/>
        </w:rPr>
        <w:t xml:space="preserve">Vella v R </w:t>
      </w:r>
      <w:r w:rsidRPr="000A1327">
        <w:rPr>
          <w:rFonts w:cstheme="minorHAnsi"/>
          <w:noProof/>
        </w:rPr>
        <w:t>[2001] VSCA 174</w:t>
      </w:r>
      <w:r>
        <w:rPr>
          <w:noProof/>
        </w:rPr>
        <w:tab/>
        <w:t>62</w:t>
      </w:r>
    </w:p>
    <w:p w14:paraId="6F2B2A97" w14:textId="77777777" w:rsidR="00D44BCF" w:rsidRDefault="00D44BCF">
      <w:pPr>
        <w:pStyle w:val="TableofAuthorities"/>
        <w:tabs>
          <w:tab w:val="right" w:leader="dot" w:pos="9061"/>
        </w:tabs>
        <w:rPr>
          <w:noProof/>
        </w:rPr>
      </w:pPr>
      <w:r w:rsidRPr="000A1327">
        <w:rPr>
          <w:rFonts w:cstheme="minorHAnsi"/>
          <w:i/>
          <w:noProof/>
        </w:rPr>
        <w:t xml:space="preserve">Visser v R </w:t>
      </w:r>
      <w:r w:rsidRPr="000A1327">
        <w:rPr>
          <w:rFonts w:cstheme="minorHAnsi"/>
          <w:noProof/>
        </w:rPr>
        <w:t>[2015] VSCA 168</w:t>
      </w:r>
      <w:r>
        <w:rPr>
          <w:noProof/>
        </w:rPr>
        <w:tab/>
        <w:t>41</w:t>
      </w:r>
    </w:p>
    <w:p w14:paraId="660DCFB9" w14:textId="77777777" w:rsidR="00D44BCF" w:rsidRDefault="00D44BCF">
      <w:pPr>
        <w:pStyle w:val="TableofAuthorities"/>
        <w:tabs>
          <w:tab w:val="right" w:leader="dot" w:pos="9061"/>
        </w:tabs>
        <w:rPr>
          <w:noProof/>
        </w:rPr>
      </w:pPr>
      <w:r w:rsidRPr="000A1327">
        <w:rPr>
          <w:rFonts w:cstheme="minorHAnsi"/>
          <w:i/>
          <w:noProof/>
        </w:rPr>
        <w:t>Vlahov v Commissioner of Taxation</w:t>
      </w:r>
      <w:r w:rsidRPr="000A1327">
        <w:rPr>
          <w:rFonts w:cstheme="minorHAnsi"/>
          <w:noProof/>
        </w:rPr>
        <w:t xml:space="preserve"> (1993) 93 ATC 4501</w:t>
      </w:r>
      <w:r>
        <w:rPr>
          <w:noProof/>
        </w:rPr>
        <w:tab/>
        <w:t>181</w:t>
      </w:r>
    </w:p>
    <w:p w14:paraId="3AE6E990" w14:textId="77777777" w:rsidR="00D44BCF" w:rsidRDefault="00D44BCF">
      <w:pPr>
        <w:pStyle w:val="TableofAuthorities"/>
        <w:tabs>
          <w:tab w:val="right" w:leader="dot" w:pos="9061"/>
        </w:tabs>
        <w:rPr>
          <w:noProof/>
        </w:rPr>
      </w:pPr>
      <w:r w:rsidRPr="000A1327">
        <w:rPr>
          <w:rFonts w:cstheme="minorHAnsi"/>
          <w:i/>
          <w:noProof/>
        </w:rPr>
        <w:t>Voronov v R</w:t>
      </w:r>
      <w:r w:rsidRPr="000A1327">
        <w:rPr>
          <w:rFonts w:cstheme="minorHAnsi"/>
          <w:noProof/>
        </w:rPr>
        <w:t xml:space="preserve"> [2017] NSWCCA 241</w:t>
      </w:r>
      <w:r>
        <w:rPr>
          <w:noProof/>
        </w:rPr>
        <w:tab/>
        <w:t>143</w:t>
      </w:r>
    </w:p>
    <w:p w14:paraId="479B0EBB" w14:textId="77777777" w:rsidR="00D44BCF" w:rsidRDefault="00D44BCF">
      <w:pPr>
        <w:pStyle w:val="TableofAuthorities"/>
        <w:tabs>
          <w:tab w:val="right" w:leader="dot" w:pos="9061"/>
        </w:tabs>
        <w:rPr>
          <w:noProof/>
        </w:rPr>
      </w:pPr>
      <w:r w:rsidRPr="000A1327">
        <w:rPr>
          <w:rFonts w:cstheme="minorHAnsi"/>
          <w:i/>
          <w:noProof/>
        </w:rPr>
        <w:t xml:space="preserve">Wakim v R </w:t>
      </w:r>
      <w:r w:rsidRPr="000A1327">
        <w:rPr>
          <w:rFonts w:cstheme="minorHAnsi"/>
          <w:noProof/>
        </w:rPr>
        <w:t>[2016] VSCA 301</w:t>
      </w:r>
      <w:r>
        <w:rPr>
          <w:noProof/>
        </w:rPr>
        <w:tab/>
        <w:t>59</w:t>
      </w:r>
    </w:p>
    <w:p w14:paraId="2290F879" w14:textId="77777777" w:rsidR="00D44BCF" w:rsidRDefault="00D44BCF">
      <w:pPr>
        <w:pStyle w:val="TableofAuthorities"/>
        <w:tabs>
          <w:tab w:val="right" w:leader="dot" w:pos="9061"/>
        </w:tabs>
        <w:rPr>
          <w:noProof/>
        </w:rPr>
      </w:pPr>
      <w:r w:rsidRPr="000A1327">
        <w:rPr>
          <w:rFonts w:cstheme="minorHAnsi"/>
          <w:i/>
          <w:noProof/>
        </w:rPr>
        <w:t>Walker v R</w:t>
      </w:r>
      <w:r w:rsidRPr="000A1327">
        <w:rPr>
          <w:rFonts w:cstheme="minorHAnsi"/>
          <w:noProof/>
        </w:rPr>
        <w:t xml:space="preserve"> [2008] NTCCA 7</w:t>
      </w:r>
      <w:r>
        <w:rPr>
          <w:noProof/>
        </w:rPr>
        <w:tab/>
        <w:t>52</w:t>
      </w:r>
    </w:p>
    <w:p w14:paraId="2E98F9F2" w14:textId="77777777" w:rsidR="00D44BCF" w:rsidRDefault="00D44BCF">
      <w:pPr>
        <w:pStyle w:val="TableofAuthorities"/>
        <w:tabs>
          <w:tab w:val="right" w:leader="dot" w:pos="9061"/>
        </w:tabs>
        <w:rPr>
          <w:noProof/>
        </w:rPr>
      </w:pPr>
      <w:r w:rsidRPr="000A1327">
        <w:rPr>
          <w:rFonts w:cstheme="minorHAnsi"/>
          <w:i/>
          <w:noProof/>
        </w:rPr>
        <w:t>Wallace v Debs</w:t>
      </w:r>
      <w:r w:rsidRPr="000A1327">
        <w:rPr>
          <w:rFonts w:cstheme="minorHAnsi"/>
          <w:noProof/>
        </w:rPr>
        <w:t xml:space="preserve"> [2009] VSC 355</w:t>
      </w:r>
      <w:r>
        <w:rPr>
          <w:noProof/>
        </w:rPr>
        <w:tab/>
        <w:t>19</w:t>
      </w:r>
    </w:p>
    <w:p w14:paraId="3DB99766" w14:textId="77777777" w:rsidR="00D44BCF" w:rsidRDefault="00D44BCF">
      <w:pPr>
        <w:pStyle w:val="TableofAuthorities"/>
        <w:tabs>
          <w:tab w:val="right" w:leader="dot" w:pos="9061"/>
        </w:tabs>
        <w:rPr>
          <w:noProof/>
        </w:rPr>
      </w:pPr>
      <w:r w:rsidRPr="000A1327">
        <w:rPr>
          <w:rFonts w:cstheme="minorHAnsi"/>
          <w:bCs/>
          <w:i/>
          <w:iCs/>
          <w:noProof/>
        </w:rPr>
        <w:t>Walsh v Giumelli</w:t>
      </w:r>
      <w:r w:rsidRPr="000A1327">
        <w:rPr>
          <w:rFonts w:cstheme="minorHAnsi"/>
          <w:noProof/>
        </w:rPr>
        <w:t xml:space="preserve"> [1975] WAR 114</w:t>
      </w:r>
      <w:r>
        <w:rPr>
          <w:noProof/>
        </w:rPr>
        <w:tab/>
        <w:t>179</w:t>
      </w:r>
    </w:p>
    <w:p w14:paraId="13F1FFC5" w14:textId="77777777" w:rsidR="00D44BCF" w:rsidRDefault="00D44BCF">
      <w:pPr>
        <w:pStyle w:val="TableofAuthorities"/>
        <w:tabs>
          <w:tab w:val="right" w:leader="dot" w:pos="9061"/>
        </w:tabs>
        <w:rPr>
          <w:noProof/>
        </w:rPr>
      </w:pPr>
      <w:r w:rsidRPr="000A1327">
        <w:rPr>
          <w:rFonts w:cstheme="minorHAnsi"/>
          <w:i/>
          <w:noProof/>
        </w:rPr>
        <w:t>Walsh v R</w:t>
      </w:r>
      <w:r w:rsidRPr="000A1327">
        <w:rPr>
          <w:rFonts w:cstheme="minorHAnsi"/>
          <w:noProof/>
        </w:rPr>
        <w:t xml:space="preserve"> (1993) 69 A Crim R 579</w:t>
      </w:r>
      <w:r>
        <w:rPr>
          <w:noProof/>
        </w:rPr>
        <w:tab/>
        <w:t>160</w:t>
      </w:r>
    </w:p>
    <w:p w14:paraId="45EDE8A1" w14:textId="77777777" w:rsidR="00D44BCF" w:rsidRDefault="00D44BCF">
      <w:pPr>
        <w:pStyle w:val="TableofAuthorities"/>
        <w:tabs>
          <w:tab w:val="right" w:leader="dot" w:pos="9061"/>
        </w:tabs>
        <w:rPr>
          <w:noProof/>
        </w:rPr>
      </w:pPr>
      <w:r w:rsidRPr="000A1327">
        <w:rPr>
          <w:rFonts w:cstheme="minorHAnsi"/>
          <w:i/>
          <w:noProof/>
        </w:rPr>
        <w:t>Wangsaimas v R</w:t>
      </w:r>
      <w:r w:rsidRPr="000A1327">
        <w:rPr>
          <w:rFonts w:cstheme="minorHAnsi"/>
          <w:noProof/>
        </w:rPr>
        <w:t xml:space="preserve"> (1996) 6 NTLR 14</w:t>
      </w:r>
      <w:r>
        <w:rPr>
          <w:noProof/>
        </w:rPr>
        <w:tab/>
        <w:t>48, 51, 55, 155</w:t>
      </w:r>
    </w:p>
    <w:p w14:paraId="53024DF1" w14:textId="77777777" w:rsidR="00D44BCF" w:rsidRDefault="00D44BCF">
      <w:pPr>
        <w:pStyle w:val="TableofAuthorities"/>
        <w:tabs>
          <w:tab w:val="right" w:leader="dot" w:pos="9061"/>
        </w:tabs>
        <w:rPr>
          <w:noProof/>
        </w:rPr>
      </w:pPr>
      <w:r w:rsidRPr="000A1327">
        <w:rPr>
          <w:rFonts w:cstheme="minorHAnsi"/>
          <w:i/>
          <w:noProof/>
        </w:rPr>
        <w:t>Warnakulasuriya v R</w:t>
      </w:r>
      <w:r w:rsidRPr="000A1327">
        <w:rPr>
          <w:rFonts w:cstheme="minorHAnsi"/>
          <w:noProof/>
        </w:rPr>
        <w:t xml:space="preserve"> [2009] WASC 257</w:t>
      </w:r>
      <w:r>
        <w:rPr>
          <w:noProof/>
        </w:rPr>
        <w:tab/>
        <w:t>99, 123, 124</w:t>
      </w:r>
    </w:p>
    <w:p w14:paraId="1A74EE25" w14:textId="77777777" w:rsidR="00D44BCF" w:rsidRDefault="00D44BCF">
      <w:pPr>
        <w:pStyle w:val="TableofAuthorities"/>
        <w:tabs>
          <w:tab w:val="right" w:leader="dot" w:pos="9061"/>
        </w:tabs>
        <w:rPr>
          <w:noProof/>
        </w:rPr>
      </w:pPr>
      <w:r w:rsidRPr="000A1327">
        <w:rPr>
          <w:rFonts w:cstheme="minorHAnsi"/>
          <w:i/>
          <w:noProof/>
        </w:rPr>
        <w:t xml:space="preserve">Warwick v R </w:t>
      </w:r>
      <w:r w:rsidRPr="000A1327">
        <w:rPr>
          <w:rFonts w:cstheme="minorHAnsi"/>
          <w:noProof/>
        </w:rPr>
        <w:t>[2010] VSCA 166</w:t>
      </w:r>
      <w:r>
        <w:rPr>
          <w:noProof/>
        </w:rPr>
        <w:tab/>
        <w:t>129</w:t>
      </w:r>
    </w:p>
    <w:p w14:paraId="12E0C1E2" w14:textId="77777777" w:rsidR="00D44BCF" w:rsidRDefault="00D44BCF">
      <w:pPr>
        <w:pStyle w:val="TableofAuthorities"/>
        <w:tabs>
          <w:tab w:val="right" w:leader="dot" w:pos="9061"/>
        </w:tabs>
        <w:rPr>
          <w:noProof/>
        </w:rPr>
      </w:pPr>
      <w:r w:rsidRPr="000A1327">
        <w:rPr>
          <w:rFonts w:cstheme="minorHAnsi"/>
          <w:i/>
          <w:noProof/>
        </w:rPr>
        <w:t>Waugh v R</w:t>
      </w:r>
      <w:r w:rsidRPr="000A1327">
        <w:rPr>
          <w:rFonts w:cstheme="minorHAnsi"/>
          <w:noProof/>
        </w:rPr>
        <w:t xml:space="preserve"> [2013] VSCA 36</w:t>
      </w:r>
      <w:r>
        <w:rPr>
          <w:noProof/>
        </w:rPr>
        <w:tab/>
        <w:t>202</w:t>
      </w:r>
    </w:p>
    <w:p w14:paraId="537AB6AB" w14:textId="77777777" w:rsidR="00D44BCF" w:rsidRDefault="00D44BCF">
      <w:pPr>
        <w:pStyle w:val="TableofAuthorities"/>
        <w:tabs>
          <w:tab w:val="right" w:leader="dot" w:pos="9061"/>
        </w:tabs>
        <w:rPr>
          <w:noProof/>
        </w:rPr>
      </w:pPr>
      <w:r w:rsidRPr="000A1327">
        <w:rPr>
          <w:rFonts w:cstheme="minorHAnsi"/>
          <w:i/>
          <w:noProof/>
        </w:rPr>
        <w:t>Webster (a pseudonym) v R</w:t>
      </w:r>
      <w:r w:rsidRPr="000A1327">
        <w:rPr>
          <w:rFonts w:cstheme="minorHAnsi"/>
          <w:noProof/>
        </w:rPr>
        <w:t xml:space="preserve"> [2016] VSCA 66</w:t>
      </w:r>
      <w:r>
        <w:rPr>
          <w:noProof/>
        </w:rPr>
        <w:tab/>
        <w:t>220</w:t>
      </w:r>
    </w:p>
    <w:p w14:paraId="25BEA779" w14:textId="77777777" w:rsidR="00D44BCF" w:rsidRDefault="00D44BCF">
      <w:pPr>
        <w:pStyle w:val="TableofAuthorities"/>
        <w:tabs>
          <w:tab w:val="right" w:leader="dot" w:pos="9061"/>
        </w:tabs>
        <w:rPr>
          <w:noProof/>
        </w:rPr>
      </w:pPr>
      <w:r w:rsidRPr="000A1327">
        <w:rPr>
          <w:rFonts w:cstheme="minorHAnsi"/>
          <w:i/>
          <w:iCs/>
          <w:noProof/>
        </w:rPr>
        <w:t>Weinert v DPP (Cth)</w:t>
      </w:r>
      <w:r w:rsidRPr="000A1327">
        <w:rPr>
          <w:rFonts w:cstheme="minorHAnsi"/>
          <w:noProof/>
        </w:rPr>
        <w:t xml:space="preserve"> [1999] SASC 34</w:t>
      </w:r>
      <w:r>
        <w:rPr>
          <w:noProof/>
        </w:rPr>
        <w:tab/>
        <w:t>215</w:t>
      </w:r>
    </w:p>
    <w:p w14:paraId="1E2B8F45" w14:textId="77777777" w:rsidR="00D44BCF" w:rsidRDefault="00D44BCF">
      <w:pPr>
        <w:pStyle w:val="TableofAuthorities"/>
        <w:tabs>
          <w:tab w:val="right" w:leader="dot" w:pos="9061"/>
        </w:tabs>
        <w:rPr>
          <w:noProof/>
        </w:rPr>
      </w:pPr>
      <w:r w:rsidRPr="000A1327">
        <w:rPr>
          <w:rFonts w:cstheme="minorHAnsi"/>
          <w:bCs/>
          <w:i/>
          <w:iCs/>
          <w:noProof/>
        </w:rPr>
        <w:t>Weininger v R</w:t>
      </w:r>
      <w:r w:rsidRPr="000A1327">
        <w:rPr>
          <w:rFonts w:cstheme="minorHAnsi"/>
          <w:noProof/>
        </w:rPr>
        <w:t xml:space="preserve"> (2003) 212 CLR 629</w:t>
      </w:r>
      <w:r>
        <w:rPr>
          <w:noProof/>
        </w:rPr>
        <w:tab/>
        <w:t>35, 38, 44, 45, 61, 187</w:t>
      </w:r>
    </w:p>
    <w:p w14:paraId="08241A65" w14:textId="77777777" w:rsidR="00D44BCF" w:rsidRDefault="00D44BCF">
      <w:pPr>
        <w:pStyle w:val="TableofAuthorities"/>
        <w:tabs>
          <w:tab w:val="right" w:leader="dot" w:pos="9061"/>
        </w:tabs>
        <w:rPr>
          <w:noProof/>
        </w:rPr>
      </w:pPr>
      <w:r w:rsidRPr="000A1327">
        <w:rPr>
          <w:rFonts w:cstheme="minorHAnsi"/>
          <w:i/>
          <w:noProof/>
        </w:rPr>
        <w:t xml:space="preserve">Whisson v Mead </w:t>
      </w:r>
      <w:r w:rsidRPr="000A1327">
        <w:rPr>
          <w:rFonts w:cstheme="minorHAnsi"/>
          <w:noProof/>
        </w:rPr>
        <w:t>(2006) 95 SASR 124</w:t>
      </w:r>
      <w:r>
        <w:rPr>
          <w:noProof/>
        </w:rPr>
        <w:tab/>
        <w:t>47</w:t>
      </w:r>
    </w:p>
    <w:p w14:paraId="6C153D60" w14:textId="77777777" w:rsidR="00D44BCF" w:rsidRDefault="00D44BCF">
      <w:pPr>
        <w:pStyle w:val="TableofAuthorities"/>
        <w:tabs>
          <w:tab w:val="right" w:leader="dot" w:pos="9061"/>
        </w:tabs>
        <w:rPr>
          <w:noProof/>
        </w:rPr>
      </w:pPr>
      <w:r w:rsidRPr="000A1327">
        <w:rPr>
          <w:rFonts w:cstheme="minorHAnsi"/>
          <w:i/>
          <w:noProof/>
        </w:rPr>
        <w:t>Wilkinson v Morrissey</w:t>
      </w:r>
      <w:r w:rsidRPr="000A1327">
        <w:rPr>
          <w:rFonts w:cstheme="minorHAnsi"/>
          <w:noProof/>
        </w:rPr>
        <w:t xml:space="preserve"> [2000] WASCA 241</w:t>
      </w:r>
      <w:r>
        <w:rPr>
          <w:noProof/>
        </w:rPr>
        <w:tab/>
        <w:t>205</w:t>
      </w:r>
    </w:p>
    <w:p w14:paraId="05E07DEB" w14:textId="77777777" w:rsidR="00D44BCF" w:rsidRDefault="00D44BCF">
      <w:pPr>
        <w:pStyle w:val="TableofAuthorities"/>
        <w:tabs>
          <w:tab w:val="right" w:leader="dot" w:pos="9061"/>
        </w:tabs>
        <w:rPr>
          <w:noProof/>
        </w:rPr>
      </w:pPr>
      <w:r w:rsidRPr="000A1327">
        <w:rPr>
          <w:rFonts w:cstheme="minorHAnsi"/>
          <w:i/>
          <w:iCs/>
          <w:noProof/>
        </w:rPr>
        <w:t>Willgoss v R</w:t>
      </w:r>
      <w:r w:rsidRPr="000A1327">
        <w:rPr>
          <w:rFonts w:cstheme="minorHAnsi"/>
          <w:noProof/>
        </w:rPr>
        <w:t xml:space="preserve"> (1960) 105 CLR 295</w:t>
      </w:r>
      <w:r>
        <w:rPr>
          <w:noProof/>
        </w:rPr>
        <w:tab/>
        <w:t>226</w:t>
      </w:r>
    </w:p>
    <w:p w14:paraId="104B6588" w14:textId="77777777" w:rsidR="00D44BCF" w:rsidRDefault="00D44BCF">
      <w:pPr>
        <w:pStyle w:val="TableofAuthorities"/>
        <w:tabs>
          <w:tab w:val="right" w:leader="dot" w:pos="9061"/>
        </w:tabs>
        <w:rPr>
          <w:noProof/>
        </w:rPr>
      </w:pPr>
      <w:r w:rsidRPr="000A1327">
        <w:rPr>
          <w:rFonts w:cstheme="minorHAnsi"/>
          <w:i/>
          <w:noProof/>
        </w:rPr>
        <w:t>Williams v R [No 2]</w:t>
      </w:r>
      <w:r w:rsidRPr="000A1327">
        <w:rPr>
          <w:rFonts w:cstheme="minorHAnsi"/>
          <w:noProof/>
        </w:rPr>
        <w:t xml:space="preserve"> (1934) 50 CLR 551</w:t>
      </w:r>
      <w:r>
        <w:rPr>
          <w:noProof/>
        </w:rPr>
        <w:tab/>
        <w:t>14, 15, 16</w:t>
      </w:r>
    </w:p>
    <w:p w14:paraId="3782DEFC" w14:textId="77777777" w:rsidR="00D44BCF" w:rsidRDefault="00D44BCF">
      <w:pPr>
        <w:pStyle w:val="TableofAuthorities"/>
        <w:tabs>
          <w:tab w:val="right" w:leader="dot" w:pos="9061"/>
        </w:tabs>
        <w:rPr>
          <w:noProof/>
        </w:rPr>
      </w:pPr>
      <w:r w:rsidRPr="000A1327">
        <w:rPr>
          <w:rFonts w:cstheme="minorHAnsi"/>
          <w:i/>
          <w:noProof/>
        </w:rPr>
        <w:t>Winchester v R</w:t>
      </w:r>
      <w:r w:rsidRPr="000A1327">
        <w:rPr>
          <w:rFonts w:cstheme="minorHAnsi"/>
          <w:noProof/>
        </w:rPr>
        <w:t xml:space="preserve"> (1992) 58 A Crim R 345</w:t>
      </w:r>
      <w:r>
        <w:rPr>
          <w:noProof/>
        </w:rPr>
        <w:tab/>
        <w:t>114</w:t>
      </w:r>
    </w:p>
    <w:p w14:paraId="32B13573" w14:textId="77777777" w:rsidR="00D44BCF" w:rsidRDefault="00D44BCF">
      <w:pPr>
        <w:pStyle w:val="TableofAuthorities"/>
        <w:tabs>
          <w:tab w:val="right" w:leader="dot" w:pos="9061"/>
        </w:tabs>
        <w:rPr>
          <w:noProof/>
        </w:rPr>
      </w:pPr>
      <w:r w:rsidRPr="000A1327">
        <w:rPr>
          <w:rFonts w:cstheme="minorHAnsi"/>
          <w:i/>
          <w:iCs/>
          <w:noProof/>
        </w:rPr>
        <w:t xml:space="preserve">Woldesilassie v R </w:t>
      </w:r>
      <w:r w:rsidRPr="000A1327">
        <w:rPr>
          <w:rFonts w:cstheme="minorHAnsi"/>
          <w:noProof/>
        </w:rPr>
        <w:t>[2018] VSCA 285</w:t>
      </w:r>
      <w:r>
        <w:rPr>
          <w:noProof/>
        </w:rPr>
        <w:tab/>
        <w:t>34</w:t>
      </w:r>
    </w:p>
    <w:p w14:paraId="535C56B1" w14:textId="77777777" w:rsidR="00D44BCF" w:rsidRDefault="00D44BCF">
      <w:pPr>
        <w:pStyle w:val="TableofAuthorities"/>
        <w:tabs>
          <w:tab w:val="right" w:leader="dot" w:pos="9061"/>
        </w:tabs>
        <w:rPr>
          <w:noProof/>
        </w:rPr>
      </w:pPr>
      <w:r w:rsidRPr="000A1327">
        <w:rPr>
          <w:rFonts w:cstheme="minorHAnsi"/>
          <w:bCs/>
          <w:i/>
          <w:iCs/>
          <w:noProof/>
        </w:rPr>
        <w:t>Wong</w:t>
      </w:r>
      <w:r w:rsidRPr="000A1327">
        <w:rPr>
          <w:rFonts w:cstheme="minorHAnsi"/>
          <w:i/>
          <w:noProof/>
        </w:rPr>
        <w:t xml:space="preserve"> v R</w:t>
      </w:r>
      <w:r w:rsidRPr="000A1327">
        <w:rPr>
          <w:rFonts w:cstheme="minorHAnsi"/>
          <w:noProof/>
        </w:rPr>
        <w:t xml:space="preserve"> (2001) 207 CLR 584</w:t>
      </w:r>
      <w:r>
        <w:rPr>
          <w:noProof/>
        </w:rPr>
        <w:tab/>
        <w:t>29, 32, 36, 37, 39, 58, 189, 190, 202</w:t>
      </w:r>
    </w:p>
    <w:p w14:paraId="18769CF2" w14:textId="77777777" w:rsidR="00D44BCF" w:rsidRDefault="00D44BCF">
      <w:pPr>
        <w:pStyle w:val="TableofAuthorities"/>
        <w:tabs>
          <w:tab w:val="right" w:leader="dot" w:pos="9061"/>
        </w:tabs>
        <w:rPr>
          <w:noProof/>
        </w:rPr>
      </w:pPr>
      <w:r w:rsidRPr="000A1327">
        <w:rPr>
          <w:rFonts w:cstheme="minorHAnsi"/>
          <w:i/>
          <w:noProof/>
        </w:rPr>
        <w:t>Xiao v R</w:t>
      </w:r>
      <w:r w:rsidRPr="000A1327">
        <w:rPr>
          <w:rFonts w:cstheme="minorHAnsi"/>
          <w:noProof/>
        </w:rPr>
        <w:t xml:space="preserve"> (2018) 96 NSWLR 1</w:t>
      </w:r>
      <w:r>
        <w:rPr>
          <w:noProof/>
        </w:rPr>
        <w:tab/>
        <w:t>26, 30, 50, 51, 52, 200, 202</w:t>
      </w:r>
    </w:p>
    <w:p w14:paraId="196F9ED2" w14:textId="77777777" w:rsidR="00D44BCF" w:rsidRDefault="00D44BCF">
      <w:pPr>
        <w:pStyle w:val="TableofAuthorities"/>
        <w:tabs>
          <w:tab w:val="right" w:leader="dot" w:pos="9061"/>
        </w:tabs>
        <w:rPr>
          <w:noProof/>
        </w:rPr>
      </w:pPr>
      <w:r w:rsidRPr="000A1327">
        <w:rPr>
          <w:rFonts w:cstheme="minorHAnsi"/>
          <w:i/>
          <w:noProof/>
        </w:rPr>
        <w:t>Yam v R</w:t>
      </w:r>
      <w:r w:rsidRPr="000A1327">
        <w:rPr>
          <w:rFonts w:cstheme="minorHAnsi"/>
          <w:noProof/>
        </w:rPr>
        <w:t xml:space="preserve"> (1991) 55 A Crim R 116</w:t>
      </w:r>
      <w:r>
        <w:rPr>
          <w:noProof/>
        </w:rPr>
        <w:tab/>
        <w:t>74</w:t>
      </w:r>
    </w:p>
    <w:p w14:paraId="6A2CACE3" w14:textId="77777777" w:rsidR="00D44BCF" w:rsidRDefault="00D44BCF">
      <w:pPr>
        <w:pStyle w:val="TableofAuthorities"/>
        <w:tabs>
          <w:tab w:val="right" w:leader="dot" w:pos="9061"/>
        </w:tabs>
        <w:rPr>
          <w:noProof/>
        </w:rPr>
      </w:pPr>
      <w:r w:rsidRPr="000A1327">
        <w:rPr>
          <w:rFonts w:cstheme="minorHAnsi"/>
          <w:i/>
          <w:noProof/>
        </w:rPr>
        <w:t>Zaky</w:t>
      </w:r>
      <w:r w:rsidRPr="000A1327">
        <w:rPr>
          <w:rFonts w:cstheme="minorHAnsi"/>
          <w:noProof/>
        </w:rPr>
        <w:t xml:space="preserve"> </w:t>
      </w:r>
      <w:r w:rsidRPr="000A1327">
        <w:rPr>
          <w:rFonts w:cstheme="minorHAnsi"/>
          <w:i/>
          <w:iCs/>
          <w:noProof/>
        </w:rPr>
        <w:t xml:space="preserve">v </w:t>
      </w:r>
      <w:r w:rsidRPr="000A1327">
        <w:rPr>
          <w:rFonts w:cstheme="minorHAnsi"/>
          <w:i/>
          <w:noProof/>
        </w:rPr>
        <w:t>R</w:t>
      </w:r>
      <w:r w:rsidRPr="000A1327">
        <w:rPr>
          <w:rFonts w:cstheme="minorHAnsi"/>
          <w:noProof/>
        </w:rPr>
        <w:t xml:space="preserve"> [2015] NSWCCA 161</w:t>
      </w:r>
      <w:r>
        <w:rPr>
          <w:noProof/>
        </w:rPr>
        <w:tab/>
        <w:t>58</w:t>
      </w:r>
    </w:p>
    <w:p w14:paraId="4EF16F0F" w14:textId="77777777" w:rsidR="00D44BCF" w:rsidRDefault="00D44BCF">
      <w:pPr>
        <w:pStyle w:val="TableofAuthorities"/>
        <w:tabs>
          <w:tab w:val="right" w:leader="dot" w:pos="9061"/>
        </w:tabs>
        <w:rPr>
          <w:noProof/>
        </w:rPr>
      </w:pPr>
      <w:r w:rsidRPr="000A1327">
        <w:rPr>
          <w:rFonts w:cstheme="minorHAnsi"/>
          <w:i/>
          <w:noProof/>
        </w:rPr>
        <w:t>Zhou v R</w:t>
      </w:r>
      <w:r w:rsidRPr="000A1327">
        <w:rPr>
          <w:rFonts w:cstheme="minorHAnsi"/>
          <w:noProof/>
        </w:rPr>
        <w:t xml:space="preserve"> [2014] VSCA 123</w:t>
      </w:r>
      <w:r>
        <w:rPr>
          <w:noProof/>
        </w:rPr>
        <w:tab/>
        <w:t>68, 71, 72</w:t>
      </w:r>
    </w:p>
    <w:p w14:paraId="1F3E7030" w14:textId="77777777" w:rsidR="00D44BCF" w:rsidRDefault="00D44BCF">
      <w:pPr>
        <w:pStyle w:val="TableofAuthorities"/>
        <w:tabs>
          <w:tab w:val="right" w:leader="dot" w:pos="9061"/>
        </w:tabs>
        <w:rPr>
          <w:noProof/>
        </w:rPr>
      </w:pPr>
      <w:r w:rsidRPr="000A1327">
        <w:rPr>
          <w:rFonts w:cstheme="minorHAnsi"/>
          <w:i/>
          <w:noProof/>
        </w:rPr>
        <w:t>Zhuang v R</w:t>
      </w:r>
      <w:r w:rsidRPr="000A1327">
        <w:rPr>
          <w:rFonts w:cstheme="minorHAnsi"/>
          <w:noProof/>
        </w:rPr>
        <w:t xml:space="preserve"> [2015] VSCA 96</w:t>
      </w:r>
      <w:r>
        <w:rPr>
          <w:noProof/>
        </w:rPr>
        <w:tab/>
        <w:t>79</w:t>
      </w:r>
    </w:p>
    <w:p w14:paraId="39629DD5" w14:textId="77777777" w:rsidR="00D44BCF" w:rsidRDefault="00D44BCF">
      <w:pPr>
        <w:pStyle w:val="TableofAuthorities"/>
        <w:tabs>
          <w:tab w:val="right" w:leader="dot" w:pos="9061"/>
        </w:tabs>
        <w:rPr>
          <w:noProof/>
        </w:rPr>
      </w:pPr>
      <w:r w:rsidRPr="000A1327">
        <w:rPr>
          <w:rFonts w:cstheme="minorHAnsi"/>
          <w:i/>
          <w:noProof/>
        </w:rPr>
        <w:t>Zogheib v R</w:t>
      </w:r>
      <w:r w:rsidRPr="000A1327">
        <w:rPr>
          <w:rFonts w:cstheme="minorHAnsi"/>
          <w:noProof/>
        </w:rPr>
        <w:t xml:space="preserve"> [2015] VSCA 334</w:t>
      </w:r>
      <w:r>
        <w:rPr>
          <w:noProof/>
        </w:rPr>
        <w:tab/>
        <w:t>30, 202</w:t>
      </w:r>
    </w:p>
    <w:p w14:paraId="174DB74B" w14:textId="77777777" w:rsidR="00D44BCF" w:rsidRDefault="00D44BCF">
      <w:pPr>
        <w:pStyle w:val="TableofAuthorities"/>
        <w:tabs>
          <w:tab w:val="right" w:leader="dot" w:pos="9061"/>
        </w:tabs>
        <w:rPr>
          <w:noProof/>
        </w:rPr>
      </w:pPr>
      <w:r w:rsidRPr="000A1327">
        <w:rPr>
          <w:rFonts w:cstheme="minorHAnsi"/>
          <w:i/>
          <w:noProof/>
        </w:rPr>
        <w:t>ZZ v R</w:t>
      </w:r>
      <w:r w:rsidRPr="000A1327">
        <w:rPr>
          <w:rFonts w:cstheme="minorHAnsi"/>
          <w:noProof/>
        </w:rPr>
        <w:t xml:space="preserve"> [2013] NSWCCA 83</w:t>
      </w:r>
      <w:r>
        <w:rPr>
          <w:noProof/>
        </w:rPr>
        <w:tab/>
        <w:t>213</w:t>
      </w:r>
    </w:p>
    <w:p w14:paraId="430452BE" w14:textId="296FDCF7" w:rsidR="00EE4F49" w:rsidRPr="00C00000" w:rsidRDefault="00BA2B0B" w:rsidP="00603CE8">
      <w:pPr>
        <w:pStyle w:val="FootnoteText"/>
        <w:rPr>
          <w:rFonts w:asciiTheme="minorHAnsi" w:hAnsiTheme="minorHAnsi"/>
        </w:rPr>
      </w:pPr>
      <w:r w:rsidRPr="00C00000">
        <w:rPr>
          <w:rFonts w:asciiTheme="minorHAnsi" w:hAnsiTheme="minorHAnsi"/>
          <w:b/>
          <w:bCs/>
          <w:i/>
          <w:iCs/>
          <w:color w:val="8D7252"/>
          <w:sz w:val="24"/>
          <w:szCs w:val="22"/>
        </w:rPr>
        <w:fldChar w:fldCharType="end"/>
      </w:r>
    </w:p>
    <w:p w14:paraId="17E725EE" w14:textId="77777777" w:rsidR="00FE2F79" w:rsidRPr="00C00000" w:rsidRDefault="00FE2F79" w:rsidP="00603CE8">
      <w:pPr>
        <w:pStyle w:val="FootnoteText"/>
        <w:rPr>
          <w:rFonts w:asciiTheme="minorHAnsi" w:hAnsiTheme="minorHAnsi"/>
        </w:rPr>
        <w:sectPr w:rsidR="00FE2F79" w:rsidRPr="00C00000" w:rsidSect="00EB7F1E">
          <w:headerReference w:type="default" r:id="rId16"/>
          <w:headerReference w:type="first" r:id="rId17"/>
          <w:type w:val="continuous"/>
          <w:pgSz w:w="11907" w:h="16840"/>
          <w:pgMar w:top="567" w:right="1418" w:bottom="567" w:left="1418" w:header="1134" w:footer="851" w:gutter="0"/>
          <w:pgNumType w:fmt="lowerRoman"/>
          <w:cols w:space="720"/>
          <w:noEndnote/>
          <w:docGrid w:linePitch="299"/>
        </w:sectPr>
      </w:pPr>
    </w:p>
    <w:p w14:paraId="33C46C2A" w14:textId="1FFEDC4B" w:rsidR="0053432F" w:rsidRPr="00C00000" w:rsidRDefault="0002704F" w:rsidP="00D531E9">
      <w:pPr>
        <w:pStyle w:val="Heading1"/>
        <w:keepNext/>
        <w:spacing w:line="276" w:lineRule="auto"/>
        <w:rPr>
          <w:rFonts w:asciiTheme="minorHAnsi" w:hAnsiTheme="minorHAnsi"/>
          <w:sz w:val="30"/>
          <w:szCs w:val="30"/>
        </w:rPr>
      </w:pPr>
      <w:bookmarkStart w:id="3" w:name="_Ref492634091"/>
      <w:bookmarkStart w:id="4" w:name="_Toc33602734"/>
      <w:r>
        <w:rPr>
          <w:rFonts w:asciiTheme="minorHAnsi" w:hAnsiTheme="minorHAnsi"/>
          <w:sz w:val="30"/>
          <w:szCs w:val="30"/>
        </w:rPr>
        <w:t>About</w:t>
      </w:r>
      <w:r w:rsidR="0053432F" w:rsidRPr="00C00000">
        <w:rPr>
          <w:rFonts w:asciiTheme="minorHAnsi" w:hAnsiTheme="minorHAnsi"/>
          <w:sz w:val="30"/>
          <w:szCs w:val="30"/>
        </w:rPr>
        <w:t xml:space="preserve"> </w:t>
      </w:r>
      <w:r w:rsidR="00D44F91">
        <w:rPr>
          <w:rFonts w:asciiTheme="minorHAnsi" w:hAnsiTheme="minorHAnsi"/>
          <w:sz w:val="30"/>
          <w:szCs w:val="30"/>
        </w:rPr>
        <w:t>this guide</w:t>
      </w:r>
      <w:bookmarkEnd w:id="3"/>
      <w:bookmarkEnd w:id="4"/>
    </w:p>
    <w:p w14:paraId="11765C74" w14:textId="0E3F341C" w:rsidR="0053432F" w:rsidRDefault="0053432F" w:rsidP="00D531E9">
      <w:pPr>
        <w:keepNext/>
        <w:spacing w:line="276" w:lineRule="auto"/>
        <w:ind w:left="153" w:right="170"/>
        <w:jc w:val="both"/>
        <w:rPr>
          <w:rFonts w:asciiTheme="minorHAnsi" w:hAnsiTheme="minorHAnsi"/>
        </w:rPr>
      </w:pPr>
    </w:p>
    <w:p w14:paraId="29BEC321" w14:textId="2EFEE63C" w:rsidR="0002704F" w:rsidRDefault="0002704F" w:rsidP="0002704F">
      <w:pPr>
        <w:pStyle w:val="Heading2"/>
        <w:rPr>
          <w:rStyle w:val="Strong"/>
          <w:b/>
          <w:bCs w:val="0"/>
        </w:rPr>
      </w:pPr>
      <w:bookmarkStart w:id="5" w:name="_Toc33602735"/>
      <w:r>
        <w:rPr>
          <w:rStyle w:val="Strong"/>
          <w:b/>
          <w:bCs w:val="0"/>
        </w:rPr>
        <w:t>Scope of the guide</w:t>
      </w:r>
      <w:bookmarkEnd w:id="5"/>
    </w:p>
    <w:p w14:paraId="783997A6" w14:textId="77777777" w:rsidR="0002704F" w:rsidRPr="0002704F" w:rsidRDefault="0002704F" w:rsidP="00EB7F1E">
      <w:pPr>
        <w:pStyle w:val="BodyText"/>
        <w:keepNext/>
        <w:spacing w:line="276" w:lineRule="auto"/>
        <w:ind w:left="873" w:right="170"/>
        <w:jc w:val="both"/>
        <w:rPr>
          <w:rFonts w:asciiTheme="minorHAnsi" w:hAnsiTheme="minorHAnsi"/>
        </w:rPr>
      </w:pPr>
    </w:p>
    <w:p w14:paraId="04C595C7" w14:textId="7B049E41" w:rsidR="00910E30" w:rsidRDefault="0053432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This </w:t>
      </w:r>
      <w:r w:rsidR="00D44F91">
        <w:rPr>
          <w:rFonts w:asciiTheme="minorHAnsi" w:hAnsiTheme="minorHAnsi"/>
        </w:rPr>
        <w:t>guide</w:t>
      </w:r>
      <w:r w:rsidRPr="00C00000">
        <w:rPr>
          <w:rFonts w:asciiTheme="minorHAnsi" w:hAnsiTheme="minorHAnsi"/>
        </w:rPr>
        <w:t xml:space="preserve"> </w:t>
      </w:r>
      <w:r w:rsidR="00D503B0">
        <w:rPr>
          <w:rFonts w:asciiTheme="minorHAnsi" w:hAnsiTheme="minorHAnsi"/>
        </w:rPr>
        <w:t>summari</w:t>
      </w:r>
      <w:r w:rsidR="00A77549">
        <w:rPr>
          <w:rFonts w:asciiTheme="minorHAnsi" w:hAnsiTheme="minorHAnsi"/>
        </w:rPr>
        <w:t>s</w:t>
      </w:r>
      <w:r w:rsidR="00D503B0">
        <w:rPr>
          <w:rFonts w:asciiTheme="minorHAnsi" w:hAnsiTheme="minorHAnsi"/>
        </w:rPr>
        <w:t xml:space="preserve">es the major legislative provisions and leading authorities relating to the </w:t>
      </w:r>
      <w:r w:rsidRPr="00C00000">
        <w:rPr>
          <w:rFonts w:asciiTheme="minorHAnsi" w:hAnsiTheme="minorHAnsi"/>
        </w:rPr>
        <w:t>sentencing of federal offenders</w:t>
      </w:r>
      <w:r w:rsidR="000745B5">
        <w:rPr>
          <w:rFonts w:asciiTheme="minorHAnsi" w:hAnsiTheme="minorHAnsi"/>
        </w:rPr>
        <w:t xml:space="preserve"> in Australia</w:t>
      </w:r>
      <w:r w:rsidR="00F234B8">
        <w:rPr>
          <w:rFonts w:asciiTheme="minorHAnsi" w:hAnsiTheme="minorHAnsi"/>
        </w:rPr>
        <w:t>.</w:t>
      </w:r>
    </w:p>
    <w:p w14:paraId="2B0F9949" w14:textId="77777777" w:rsidR="001E337B" w:rsidRDefault="001E337B">
      <w:pPr>
        <w:spacing w:line="276" w:lineRule="auto"/>
        <w:ind w:right="170"/>
        <w:jc w:val="both"/>
        <w:rPr>
          <w:rFonts w:asciiTheme="minorHAnsi" w:hAnsiTheme="minorHAnsi"/>
        </w:rPr>
      </w:pPr>
    </w:p>
    <w:p w14:paraId="6325E524" w14:textId="1D726E75" w:rsidR="00216837" w:rsidRDefault="00107BF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w:t>
      </w:r>
      <w:r w:rsidR="00D44F91" w:rsidRPr="00C00000">
        <w:rPr>
          <w:rFonts w:asciiTheme="minorHAnsi" w:hAnsiTheme="minorHAnsi"/>
          <w:i/>
          <w:iCs/>
        </w:rPr>
        <w:t xml:space="preserve">Federal </w:t>
      </w:r>
      <w:r w:rsidRPr="00C00000">
        <w:rPr>
          <w:rFonts w:asciiTheme="minorHAnsi" w:hAnsiTheme="minorHAnsi"/>
          <w:i/>
          <w:iCs/>
        </w:rPr>
        <w:t>offender</w:t>
      </w:r>
      <w:r w:rsidRPr="00C00000">
        <w:rPr>
          <w:rFonts w:asciiTheme="minorHAnsi" w:hAnsiTheme="minorHAnsi"/>
        </w:rPr>
        <w:t xml:space="preserve">” is defined by the </w:t>
      </w:r>
      <w:r w:rsidR="00885EFD" w:rsidRPr="00885EFD">
        <w:rPr>
          <w:rFonts w:asciiTheme="minorHAnsi" w:hAnsiTheme="minorHAnsi"/>
          <w:i/>
        </w:rPr>
        <w:t>Crimes Act 1914</w:t>
      </w:r>
      <w:r w:rsidRPr="00C00000">
        <w:rPr>
          <w:rFonts w:asciiTheme="minorHAnsi" w:hAnsiTheme="minorHAnsi"/>
          <w:i/>
        </w:rPr>
        <w:t xml:space="preserve"> </w:t>
      </w:r>
      <w:r w:rsidRPr="00C00000">
        <w:rPr>
          <w:rFonts w:asciiTheme="minorHAnsi" w:hAnsiTheme="minorHAnsi"/>
        </w:rPr>
        <w:t>(Cth)</w:t>
      </w:r>
      <w:r w:rsidRPr="00C00000">
        <w:rPr>
          <w:rFonts w:asciiTheme="minorHAnsi" w:hAnsiTheme="minorHAnsi"/>
          <w:i/>
        </w:rPr>
        <w:t xml:space="preserve"> </w:t>
      </w:r>
      <w:r w:rsidRPr="00C00000">
        <w:rPr>
          <w:rFonts w:asciiTheme="minorHAnsi" w:hAnsiTheme="minorHAnsi"/>
        </w:rPr>
        <w:t>as a person convicted of a</w:t>
      </w:r>
      <w:r w:rsidR="007049EB">
        <w:rPr>
          <w:rFonts w:asciiTheme="minorHAnsi" w:hAnsiTheme="minorHAnsi"/>
        </w:rPr>
        <w:t xml:space="preserve"> federal</w:t>
      </w:r>
      <w:r w:rsidRPr="00C00000">
        <w:rPr>
          <w:rFonts w:asciiTheme="minorHAnsi" w:hAnsiTheme="minorHAnsi"/>
        </w:rPr>
        <w:t xml:space="preserve"> offence</w:t>
      </w:r>
      <w:r w:rsidR="007049EB">
        <w:rPr>
          <w:rFonts w:asciiTheme="minorHAnsi" w:hAnsiTheme="minorHAnsi"/>
        </w:rPr>
        <w:t>, that is, an offence</w:t>
      </w:r>
      <w:r w:rsidRPr="00C00000">
        <w:rPr>
          <w:rFonts w:asciiTheme="minorHAnsi" w:hAnsiTheme="minorHAnsi"/>
        </w:rPr>
        <w:t xml:space="preserve"> against </w:t>
      </w:r>
      <w:r w:rsidR="007049EB">
        <w:rPr>
          <w:rFonts w:asciiTheme="minorHAnsi" w:hAnsiTheme="minorHAnsi"/>
        </w:rPr>
        <w:t xml:space="preserve">a law of the </w:t>
      </w:r>
      <w:r w:rsidRPr="00C00000">
        <w:rPr>
          <w:rFonts w:asciiTheme="minorHAnsi" w:hAnsiTheme="minorHAnsi"/>
        </w:rPr>
        <w:t>Commonwealth.</w:t>
      </w:r>
      <w:r w:rsidRPr="00C00000">
        <w:rPr>
          <w:rStyle w:val="Style"/>
          <w:rFonts w:asciiTheme="minorHAnsi" w:hAnsiTheme="minorHAnsi"/>
        </w:rPr>
        <w:footnoteReference w:id="1"/>
      </w:r>
      <w:r>
        <w:rPr>
          <w:rFonts w:asciiTheme="minorHAnsi" w:hAnsiTheme="minorHAnsi"/>
        </w:rPr>
        <w:t xml:space="preserve">  The term is </w:t>
      </w:r>
      <w:r w:rsidR="00637A51">
        <w:rPr>
          <w:rFonts w:asciiTheme="minorHAnsi" w:hAnsiTheme="minorHAnsi"/>
        </w:rPr>
        <w:t xml:space="preserve">generally </w:t>
      </w:r>
      <w:r>
        <w:rPr>
          <w:rFonts w:asciiTheme="minorHAnsi" w:hAnsiTheme="minorHAnsi"/>
        </w:rPr>
        <w:t xml:space="preserve">used </w:t>
      </w:r>
      <w:r w:rsidR="00637A51">
        <w:rPr>
          <w:rFonts w:asciiTheme="minorHAnsi" w:hAnsiTheme="minorHAnsi"/>
        </w:rPr>
        <w:t>in</w:t>
      </w:r>
      <w:r>
        <w:rPr>
          <w:rFonts w:asciiTheme="minorHAnsi" w:hAnsiTheme="minorHAnsi"/>
        </w:rPr>
        <w:t xml:space="preserve"> this guide</w:t>
      </w:r>
      <w:r w:rsidR="00637A51">
        <w:rPr>
          <w:rFonts w:asciiTheme="minorHAnsi" w:hAnsiTheme="minorHAnsi"/>
        </w:rPr>
        <w:t xml:space="preserve"> </w:t>
      </w:r>
      <w:r w:rsidR="00DD4657">
        <w:rPr>
          <w:rFonts w:asciiTheme="minorHAnsi" w:hAnsiTheme="minorHAnsi"/>
        </w:rPr>
        <w:t xml:space="preserve">in a wider sense, </w:t>
      </w:r>
      <w:r w:rsidR="007049EB">
        <w:rPr>
          <w:rFonts w:asciiTheme="minorHAnsi" w:hAnsiTheme="minorHAnsi"/>
        </w:rPr>
        <w:t xml:space="preserve">to include </w:t>
      </w:r>
      <w:r w:rsidR="00637A51">
        <w:rPr>
          <w:rFonts w:asciiTheme="minorHAnsi" w:hAnsiTheme="minorHAnsi"/>
        </w:rPr>
        <w:t xml:space="preserve">a person who has </w:t>
      </w:r>
      <w:r w:rsidR="007049EB">
        <w:rPr>
          <w:rFonts w:asciiTheme="minorHAnsi" w:hAnsiTheme="minorHAnsi"/>
        </w:rPr>
        <w:t xml:space="preserve">pleaded guilty to, or has </w:t>
      </w:r>
      <w:r w:rsidR="00637A51">
        <w:rPr>
          <w:rFonts w:asciiTheme="minorHAnsi" w:hAnsiTheme="minorHAnsi"/>
        </w:rPr>
        <w:t>been found guilty of</w:t>
      </w:r>
      <w:r w:rsidR="007049EB">
        <w:rPr>
          <w:rFonts w:asciiTheme="minorHAnsi" w:hAnsiTheme="minorHAnsi"/>
        </w:rPr>
        <w:t>,</w:t>
      </w:r>
      <w:r w:rsidR="00637A51">
        <w:rPr>
          <w:rFonts w:asciiTheme="minorHAnsi" w:hAnsiTheme="minorHAnsi"/>
        </w:rPr>
        <w:t xml:space="preserve"> an offence</w:t>
      </w:r>
      <w:r w:rsidR="00811B11">
        <w:rPr>
          <w:rFonts w:asciiTheme="minorHAnsi" w:hAnsiTheme="minorHAnsi"/>
        </w:rPr>
        <w:t xml:space="preserve"> against a law of the Commonwealth</w:t>
      </w:r>
      <w:r w:rsidR="00637A51">
        <w:rPr>
          <w:rFonts w:asciiTheme="minorHAnsi" w:hAnsiTheme="minorHAnsi"/>
        </w:rPr>
        <w:t>, whe</w:t>
      </w:r>
      <w:r w:rsidR="000745B5">
        <w:rPr>
          <w:rFonts w:asciiTheme="minorHAnsi" w:hAnsiTheme="minorHAnsi"/>
        </w:rPr>
        <w:t>ther or not</w:t>
      </w:r>
      <w:r w:rsidR="00637A51">
        <w:rPr>
          <w:rFonts w:asciiTheme="minorHAnsi" w:hAnsiTheme="minorHAnsi"/>
        </w:rPr>
        <w:t xml:space="preserve"> the court has proceeded to conviction. </w:t>
      </w:r>
      <w:r w:rsidR="00E54340">
        <w:rPr>
          <w:rFonts w:asciiTheme="minorHAnsi" w:hAnsiTheme="minorHAnsi"/>
        </w:rPr>
        <w:t xml:space="preserve"> The wider usage is necessary because of the availability of sentencing options and ancillary orders which do not involve a conviction.</w:t>
      </w:r>
      <w:r w:rsidR="009F257E">
        <w:rPr>
          <w:rFonts w:asciiTheme="minorHAnsi" w:hAnsiTheme="minorHAnsi"/>
        </w:rPr>
        <w:t xml:space="preserve">  Where conviction (rather than merely a finding of guilt) is a precondition of an order, specific reference is made in this guide to that requirement.</w:t>
      </w:r>
    </w:p>
    <w:p w14:paraId="3009E0E8" w14:textId="77777777" w:rsidR="00216837" w:rsidRDefault="00216837" w:rsidP="00216837">
      <w:pPr>
        <w:pStyle w:val="ListParagraph"/>
        <w:rPr>
          <w:rFonts w:asciiTheme="minorHAnsi" w:hAnsiTheme="minorHAnsi"/>
        </w:rPr>
      </w:pPr>
    </w:p>
    <w:p w14:paraId="65559ECC" w14:textId="2699D4FD" w:rsidR="00C329D6" w:rsidRPr="00C00000" w:rsidRDefault="00C329D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This guide also describes some circumstances in which a court trying an offence against a law of the Commonwealth may deal with a person otherwise than by sentencing – for example following a finding that the person is unfit to be tried.</w:t>
      </w:r>
    </w:p>
    <w:p w14:paraId="20B9E31C" w14:textId="77777777" w:rsidR="00C329D6" w:rsidRPr="00C00000" w:rsidRDefault="00C329D6" w:rsidP="00C329D6">
      <w:pPr>
        <w:pStyle w:val="BodyText"/>
        <w:shd w:val="clear" w:color="auto" w:fill="FFFFFF" w:themeFill="background1"/>
        <w:spacing w:line="276" w:lineRule="auto"/>
        <w:ind w:left="567" w:right="170" w:hanging="567"/>
        <w:jc w:val="both"/>
        <w:rPr>
          <w:rFonts w:asciiTheme="minorHAnsi" w:hAnsiTheme="minorHAnsi"/>
        </w:rPr>
      </w:pPr>
    </w:p>
    <w:p w14:paraId="467C00F3" w14:textId="7B3812F4" w:rsidR="00966018" w:rsidRDefault="00910E3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guide </w:t>
      </w:r>
      <w:r w:rsidR="00662C25">
        <w:rPr>
          <w:rFonts w:asciiTheme="minorHAnsi" w:hAnsiTheme="minorHAnsi"/>
        </w:rPr>
        <w:t xml:space="preserve">focuses on the law applicable throughout </w:t>
      </w:r>
      <w:r w:rsidR="00662C25" w:rsidRPr="00662C25">
        <w:rPr>
          <w:rFonts w:asciiTheme="minorHAnsi" w:hAnsiTheme="minorHAnsi"/>
        </w:rPr>
        <w:t>Australia</w:t>
      </w:r>
      <w:r w:rsidR="00662C25">
        <w:rPr>
          <w:rFonts w:asciiTheme="minorHAnsi" w:hAnsiTheme="minorHAnsi"/>
        </w:rPr>
        <w:t xml:space="preserve">.  That body of law is complemented by particular State or Territory laws which are applied by </w:t>
      </w:r>
      <w:r w:rsidR="00662C25" w:rsidRPr="00662C25">
        <w:rPr>
          <w:rFonts w:asciiTheme="minorHAnsi" w:hAnsiTheme="minorHAnsi"/>
        </w:rPr>
        <w:t>Commonwealth</w:t>
      </w:r>
      <w:r w:rsidR="00662C25">
        <w:rPr>
          <w:rFonts w:asciiTheme="minorHAnsi" w:hAnsiTheme="minorHAnsi"/>
        </w:rPr>
        <w:t xml:space="preserve"> statutes to the sentencing of a federal offender in that State or Territory.  </w:t>
      </w:r>
      <w:r w:rsidR="006B65EA">
        <w:rPr>
          <w:rFonts w:asciiTheme="minorHAnsi" w:hAnsiTheme="minorHAnsi"/>
        </w:rPr>
        <w:t xml:space="preserve">For example, s.20AB of the </w:t>
      </w:r>
      <w:r w:rsidR="00885EFD" w:rsidRPr="00885EFD">
        <w:rPr>
          <w:rFonts w:asciiTheme="minorHAnsi" w:hAnsiTheme="minorHAnsi"/>
          <w:i/>
        </w:rPr>
        <w:t>Crimes Act 1914</w:t>
      </w:r>
      <w:r w:rsidR="006B65EA">
        <w:rPr>
          <w:rFonts w:asciiTheme="minorHAnsi" w:hAnsiTheme="minorHAnsi"/>
        </w:rPr>
        <w:t xml:space="preserve"> picks up specified State and Territory sentencing options</w:t>
      </w:r>
      <w:r w:rsidR="00662C25" w:rsidRPr="00C00000">
        <w:rPr>
          <w:rFonts w:asciiTheme="minorHAnsi" w:hAnsiTheme="minorHAnsi"/>
        </w:rPr>
        <w:t xml:space="preserve"> </w:t>
      </w:r>
      <w:r w:rsidR="006B65EA">
        <w:rPr>
          <w:rFonts w:asciiTheme="minorHAnsi" w:hAnsiTheme="minorHAnsi"/>
        </w:rPr>
        <w:t xml:space="preserve">and applies them to the sentencing of a federal offender in the relevant State or Territory.  </w:t>
      </w:r>
      <w:r w:rsidR="00404ABF">
        <w:rPr>
          <w:rFonts w:asciiTheme="minorHAnsi" w:hAnsiTheme="minorHAnsi"/>
        </w:rPr>
        <w:t xml:space="preserve">Some references are made (often by way of examples) to aspects of applied State or Territory laws, including their interaction with Commonwealth law, but </w:t>
      </w:r>
      <w:r w:rsidR="00D15E8B">
        <w:rPr>
          <w:rFonts w:asciiTheme="minorHAnsi" w:hAnsiTheme="minorHAnsi"/>
        </w:rPr>
        <w:t>such references</w:t>
      </w:r>
      <w:r w:rsidR="00404ABF">
        <w:rPr>
          <w:rFonts w:asciiTheme="minorHAnsi" w:hAnsiTheme="minorHAnsi"/>
        </w:rPr>
        <w:t xml:space="preserve"> do not purport to be comprehensive</w:t>
      </w:r>
      <w:r w:rsidR="006B65EA">
        <w:rPr>
          <w:rFonts w:asciiTheme="minorHAnsi" w:hAnsiTheme="minorHAnsi"/>
        </w:rPr>
        <w:t>.</w:t>
      </w:r>
    </w:p>
    <w:p w14:paraId="1E3D4A1D" w14:textId="77777777" w:rsidR="001E337B" w:rsidRDefault="001E337B">
      <w:pPr>
        <w:spacing w:line="276" w:lineRule="auto"/>
        <w:ind w:right="170"/>
        <w:rPr>
          <w:rFonts w:asciiTheme="minorHAnsi" w:hAnsiTheme="minorHAnsi"/>
        </w:rPr>
      </w:pPr>
    </w:p>
    <w:p w14:paraId="7CC69949" w14:textId="667FBA32" w:rsidR="00AE51D0" w:rsidRDefault="00AE51D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w:t>
      </w:r>
      <w:r w:rsidR="00C933DD">
        <w:rPr>
          <w:rFonts w:asciiTheme="minorHAnsi" w:hAnsiTheme="minorHAnsi"/>
        </w:rPr>
        <w:t>is guide</w:t>
      </w:r>
      <w:r>
        <w:rPr>
          <w:rFonts w:asciiTheme="minorHAnsi" w:hAnsiTheme="minorHAnsi"/>
        </w:rPr>
        <w:t xml:space="preserve"> does not deal with punishments for contempt of court (other than where the contempt constitutes an offence against a law of the Commonwealth)</w:t>
      </w:r>
      <w:r w:rsidR="00731D54">
        <w:rPr>
          <w:rFonts w:asciiTheme="minorHAnsi" w:hAnsiTheme="minorHAnsi"/>
        </w:rPr>
        <w:t>, in relation to either a federal court</w:t>
      </w:r>
      <w:r w:rsidR="00731D54" w:rsidRPr="00C00000">
        <w:rPr>
          <w:rStyle w:val="Style"/>
          <w:rFonts w:asciiTheme="minorHAnsi" w:hAnsiTheme="minorHAnsi"/>
        </w:rPr>
        <w:footnoteReference w:id="2"/>
      </w:r>
      <w:r w:rsidR="00731D54">
        <w:rPr>
          <w:rFonts w:asciiTheme="minorHAnsi" w:hAnsiTheme="minorHAnsi"/>
        </w:rPr>
        <w:t xml:space="preserve"> or a State or Territory court exercising federal jurisdiction</w:t>
      </w:r>
      <w:r>
        <w:rPr>
          <w:rFonts w:asciiTheme="minorHAnsi" w:hAnsiTheme="minorHAnsi"/>
        </w:rPr>
        <w:t>.</w:t>
      </w:r>
      <w:r w:rsidRPr="00C00000">
        <w:rPr>
          <w:rStyle w:val="Style"/>
          <w:rFonts w:asciiTheme="minorHAnsi" w:hAnsiTheme="minorHAnsi"/>
        </w:rPr>
        <w:footnoteReference w:id="3"/>
      </w:r>
      <w:r w:rsidR="00C933DD" w:rsidRPr="00C933DD">
        <w:rPr>
          <w:rFonts w:asciiTheme="minorHAnsi" w:hAnsiTheme="minorHAnsi"/>
        </w:rPr>
        <w:t xml:space="preserve"> </w:t>
      </w:r>
      <w:r w:rsidR="00C933DD">
        <w:rPr>
          <w:rFonts w:asciiTheme="minorHAnsi" w:hAnsiTheme="minorHAnsi"/>
        </w:rPr>
        <w:t xml:space="preserve"> Nor does it deal with civil penalty regimes, such as those under the </w:t>
      </w:r>
      <w:r w:rsidR="00C933DD" w:rsidRPr="00042F5E">
        <w:rPr>
          <w:rFonts w:asciiTheme="minorHAnsi" w:hAnsiTheme="minorHAnsi"/>
          <w:i/>
        </w:rPr>
        <w:t>Corporations Act</w:t>
      </w:r>
      <w:r w:rsidR="00C933DD">
        <w:rPr>
          <w:rFonts w:asciiTheme="minorHAnsi" w:hAnsiTheme="minorHAnsi"/>
        </w:rPr>
        <w:t xml:space="preserve"> </w:t>
      </w:r>
      <w:r w:rsidR="00C933DD" w:rsidRPr="003009EE">
        <w:rPr>
          <w:rFonts w:asciiTheme="minorHAnsi" w:hAnsiTheme="minorHAnsi"/>
          <w:i/>
        </w:rPr>
        <w:t>2001</w:t>
      </w:r>
      <w:r w:rsidR="00C933DD">
        <w:rPr>
          <w:rFonts w:asciiTheme="minorHAnsi" w:hAnsiTheme="minorHAnsi"/>
        </w:rPr>
        <w:t xml:space="preserve"> (Cth) or the </w:t>
      </w:r>
      <w:r w:rsidR="00C933DD" w:rsidRPr="00042F5E">
        <w:rPr>
          <w:rFonts w:asciiTheme="minorHAnsi" w:hAnsiTheme="minorHAnsi"/>
          <w:i/>
        </w:rPr>
        <w:t>Competition and Consumer Act</w:t>
      </w:r>
      <w:r w:rsidR="00C933DD">
        <w:rPr>
          <w:rFonts w:asciiTheme="minorHAnsi" w:hAnsiTheme="minorHAnsi"/>
        </w:rPr>
        <w:t xml:space="preserve"> </w:t>
      </w:r>
      <w:r w:rsidR="00C933DD" w:rsidRPr="003009EE">
        <w:rPr>
          <w:rFonts w:asciiTheme="minorHAnsi" w:hAnsiTheme="minorHAnsi"/>
          <w:i/>
        </w:rPr>
        <w:t>2010</w:t>
      </w:r>
      <w:r w:rsidR="00C933DD">
        <w:rPr>
          <w:rFonts w:asciiTheme="minorHAnsi" w:hAnsiTheme="minorHAnsi"/>
        </w:rPr>
        <w:t xml:space="preserve"> (Cth).</w:t>
      </w:r>
    </w:p>
    <w:p w14:paraId="69F38B44" w14:textId="2D04483E" w:rsidR="00AE51D0" w:rsidRDefault="00AE51D0" w:rsidP="00AE51D0">
      <w:pPr>
        <w:pStyle w:val="ListParagraph"/>
        <w:rPr>
          <w:rFonts w:asciiTheme="minorHAnsi" w:hAnsiTheme="minorHAnsi"/>
        </w:rPr>
      </w:pPr>
    </w:p>
    <w:p w14:paraId="1F26D5CD" w14:textId="285F6847" w:rsidR="00A554B8" w:rsidRPr="00CD2294" w:rsidRDefault="00A554B8" w:rsidP="00A554B8">
      <w:pPr>
        <w:pStyle w:val="Heading2"/>
        <w:rPr>
          <w:rStyle w:val="Strong"/>
          <w:b/>
          <w:bCs w:val="0"/>
        </w:rPr>
      </w:pPr>
      <w:bookmarkStart w:id="6" w:name="_Toc33602736"/>
      <w:r>
        <w:rPr>
          <w:rStyle w:val="Strong"/>
          <w:b/>
          <w:bCs w:val="0"/>
        </w:rPr>
        <w:t>Other resources</w:t>
      </w:r>
      <w:bookmarkEnd w:id="6"/>
    </w:p>
    <w:p w14:paraId="2FE4D198" w14:textId="77777777" w:rsidR="00A554B8" w:rsidRDefault="00A554B8" w:rsidP="00A554B8">
      <w:pPr>
        <w:pStyle w:val="BodyText"/>
        <w:keepNext/>
        <w:spacing w:line="276" w:lineRule="auto"/>
        <w:ind w:left="873" w:right="170"/>
        <w:jc w:val="both"/>
        <w:rPr>
          <w:rFonts w:asciiTheme="minorHAnsi" w:hAnsiTheme="minorHAnsi"/>
        </w:rPr>
      </w:pPr>
    </w:p>
    <w:p w14:paraId="232A5130" w14:textId="77777777" w:rsidR="00600BEA" w:rsidRDefault="00EA444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Other valuable resources in relation to t</w:t>
      </w:r>
      <w:r w:rsidR="0053432F" w:rsidRPr="00C00000">
        <w:rPr>
          <w:rFonts w:asciiTheme="minorHAnsi" w:hAnsiTheme="minorHAnsi"/>
        </w:rPr>
        <w:t xml:space="preserve">he sentencing </w:t>
      </w:r>
      <w:r w:rsidR="00600BEA">
        <w:rPr>
          <w:rFonts w:asciiTheme="minorHAnsi" w:hAnsiTheme="minorHAnsi"/>
        </w:rPr>
        <w:t>of</w:t>
      </w:r>
      <w:r w:rsidR="0053432F" w:rsidRPr="00C00000">
        <w:rPr>
          <w:rFonts w:asciiTheme="minorHAnsi" w:hAnsiTheme="minorHAnsi"/>
        </w:rPr>
        <w:t xml:space="preserve"> federal offenders</w:t>
      </w:r>
      <w:r w:rsidR="00600BEA">
        <w:rPr>
          <w:rFonts w:asciiTheme="minorHAnsi" w:hAnsiTheme="minorHAnsi"/>
        </w:rPr>
        <w:t xml:space="preserve"> include:</w:t>
      </w:r>
    </w:p>
    <w:p w14:paraId="6479C050" w14:textId="61CEDD30" w:rsidR="00600BEA" w:rsidRDefault="00600BEA"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the </w:t>
      </w:r>
      <w:r w:rsidRPr="00C00000">
        <w:rPr>
          <w:rFonts w:asciiTheme="minorHAnsi" w:hAnsiTheme="minorHAnsi"/>
        </w:rPr>
        <w:t xml:space="preserve">2006 </w:t>
      </w:r>
      <w:r>
        <w:rPr>
          <w:rFonts w:asciiTheme="minorHAnsi" w:hAnsiTheme="minorHAnsi"/>
        </w:rPr>
        <w:t xml:space="preserve">report </w:t>
      </w:r>
      <w:r w:rsidR="0053432F" w:rsidRPr="00C00000">
        <w:rPr>
          <w:rFonts w:asciiTheme="minorHAnsi" w:hAnsiTheme="minorHAnsi"/>
        </w:rPr>
        <w:t>by the Australian Law Reform Commissio</w:t>
      </w:r>
      <w:r>
        <w:rPr>
          <w:rFonts w:asciiTheme="minorHAnsi" w:hAnsiTheme="minorHAnsi"/>
        </w:rPr>
        <w:t>n on the sentencing of federal offenders</w:t>
      </w:r>
      <w:r w:rsidR="0053432F" w:rsidRPr="00C00000">
        <w:rPr>
          <w:rStyle w:val="Style"/>
          <w:rFonts w:asciiTheme="minorHAnsi" w:hAnsiTheme="minorHAnsi"/>
        </w:rPr>
        <w:footnoteReference w:id="4"/>
      </w:r>
      <w:r w:rsidR="0053432F" w:rsidRPr="00C00000">
        <w:rPr>
          <w:rFonts w:asciiTheme="minorHAnsi" w:hAnsiTheme="minorHAnsi"/>
        </w:rPr>
        <w:t xml:space="preserve"> </w:t>
      </w:r>
    </w:p>
    <w:p w14:paraId="08877473" w14:textId="2AB8EAA5" w:rsidR="00600BEA" w:rsidRPr="00600BEA" w:rsidRDefault="0053432F"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szCs w:val="22"/>
        </w:rPr>
        <w:t xml:space="preserve">the Commonwealth </w:t>
      </w:r>
      <w:r w:rsidRPr="00E90120">
        <w:rPr>
          <w:rFonts w:asciiTheme="minorHAnsi" w:hAnsiTheme="minorHAnsi"/>
        </w:rPr>
        <w:t>Sentencing</w:t>
      </w:r>
      <w:r w:rsidRPr="00C00000">
        <w:rPr>
          <w:rFonts w:asciiTheme="minorHAnsi" w:hAnsiTheme="minorHAnsi"/>
          <w:szCs w:val="22"/>
        </w:rPr>
        <w:t xml:space="preserve"> Database</w:t>
      </w:r>
      <w:r w:rsidRPr="00C00000">
        <w:rPr>
          <w:rStyle w:val="Style"/>
          <w:rFonts w:asciiTheme="minorHAnsi" w:hAnsiTheme="minorHAnsi"/>
        </w:rPr>
        <w:footnoteReference w:id="5"/>
      </w:r>
      <w:r w:rsidR="00910E30">
        <w:rPr>
          <w:rFonts w:asciiTheme="minorHAnsi" w:hAnsiTheme="minorHAnsi"/>
          <w:szCs w:val="22"/>
        </w:rPr>
        <w:t xml:space="preserve">  </w:t>
      </w:r>
    </w:p>
    <w:p w14:paraId="645CA74B" w14:textId="77777777" w:rsidR="0000065C" w:rsidRPr="00107BF9" w:rsidRDefault="0000065C"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Judicial Commission of New South Wales, </w:t>
      </w:r>
      <w:r w:rsidRPr="0000065C">
        <w:rPr>
          <w:rFonts w:asciiTheme="minorHAnsi" w:hAnsiTheme="minorHAnsi"/>
          <w:i/>
        </w:rPr>
        <w:t>Sentencing Bench Book</w:t>
      </w:r>
      <w:r w:rsidRPr="00C00000">
        <w:rPr>
          <w:rStyle w:val="Style"/>
          <w:rFonts w:asciiTheme="minorHAnsi" w:hAnsiTheme="minorHAnsi"/>
        </w:rPr>
        <w:footnoteReference w:id="6"/>
      </w:r>
    </w:p>
    <w:p w14:paraId="5F2A1068" w14:textId="58085BFE" w:rsidR="00107BF9" w:rsidRPr="00C933DD" w:rsidRDefault="00600BEA"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szCs w:val="22"/>
        </w:rPr>
        <w:t xml:space="preserve">the </w:t>
      </w:r>
      <w:r w:rsidRPr="00E90120">
        <w:rPr>
          <w:rFonts w:asciiTheme="minorHAnsi" w:hAnsiTheme="minorHAnsi"/>
        </w:rPr>
        <w:t>textbook</w:t>
      </w:r>
      <w:r>
        <w:rPr>
          <w:rFonts w:asciiTheme="minorHAnsi" w:hAnsiTheme="minorHAnsi"/>
          <w:szCs w:val="22"/>
        </w:rPr>
        <w:t xml:space="preserve">, </w:t>
      </w:r>
      <w:r w:rsidRPr="00BA2B0B">
        <w:rPr>
          <w:rFonts w:asciiTheme="minorHAnsi" w:hAnsiTheme="minorHAnsi"/>
          <w:i/>
          <w:szCs w:val="22"/>
        </w:rPr>
        <w:t>Fox &amp; Freiberg</w:t>
      </w:r>
      <w:r w:rsidR="00AA693C">
        <w:rPr>
          <w:rFonts w:asciiTheme="minorHAnsi" w:hAnsiTheme="minorHAnsi"/>
          <w:i/>
          <w:szCs w:val="22"/>
        </w:rPr>
        <w:t>’</w:t>
      </w:r>
      <w:r w:rsidRPr="00BA2B0B">
        <w:rPr>
          <w:rFonts w:asciiTheme="minorHAnsi" w:hAnsiTheme="minorHAnsi"/>
          <w:i/>
          <w:szCs w:val="22"/>
        </w:rPr>
        <w:t>s Sentencing: State and Federal Law in Victoria</w:t>
      </w:r>
      <w:r>
        <w:rPr>
          <w:rFonts w:asciiTheme="minorHAnsi" w:hAnsiTheme="minorHAnsi"/>
          <w:szCs w:val="22"/>
        </w:rPr>
        <w:t xml:space="preserve"> (published by Thomson Reuters)</w:t>
      </w:r>
    </w:p>
    <w:p w14:paraId="58FCDCE5" w14:textId="08E38267" w:rsidR="00C933DD" w:rsidRDefault="00C933DD" w:rsidP="00F05CC3">
      <w:pPr>
        <w:pStyle w:val="BodyText"/>
        <w:spacing w:line="276" w:lineRule="auto"/>
        <w:ind w:left="426" w:right="170"/>
        <w:jc w:val="both"/>
        <w:rPr>
          <w:rFonts w:asciiTheme="minorHAnsi" w:hAnsiTheme="minorHAnsi"/>
        </w:rPr>
      </w:pPr>
      <w:r>
        <w:rPr>
          <w:rFonts w:asciiTheme="minorHAnsi" w:hAnsiTheme="minorHAnsi"/>
        </w:rPr>
        <w:t xml:space="preserve">Some of these resources deal with </w:t>
      </w:r>
      <w:r w:rsidRPr="00C00000">
        <w:rPr>
          <w:rFonts w:asciiTheme="minorHAnsi" w:hAnsiTheme="minorHAnsi"/>
        </w:rPr>
        <w:t>sentencing principles applicable to individual Commonwealth offences</w:t>
      </w:r>
      <w:r>
        <w:rPr>
          <w:rFonts w:asciiTheme="minorHAnsi" w:hAnsiTheme="minorHAnsi"/>
        </w:rPr>
        <w:t>, which are beyond the scope of this guide</w:t>
      </w:r>
      <w:r w:rsidRPr="00C00000">
        <w:rPr>
          <w:rFonts w:asciiTheme="minorHAnsi" w:hAnsiTheme="minorHAnsi"/>
        </w:rPr>
        <w:t>.</w:t>
      </w:r>
    </w:p>
    <w:p w14:paraId="1B0E637D" w14:textId="49DEAEE8" w:rsidR="007023AA" w:rsidRDefault="007023AA" w:rsidP="00C933DD">
      <w:pPr>
        <w:pStyle w:val="BodyText"/>
        <w:spacing w:line="276" w:lineRule="auto"/>
        <w:ind w:left="720" w:right="170"/>
        <w:jc w:val="both"/>
        <w:rPr>
          <w:rFonts w:asciiTheme="minorHAnsi" w:hAnsiTheme="minorHAnsi"/>
        </w:rPr>
      </w:pPr>
    </w:p>
    <w:p w14:paraId="4525C068" w14:textId="389A7308" w:rsidR="0002704F" w:rsidRPr="00CD2294" w:rsidRDefault="0002704F" w:rsidP="0002704F">
      <w:pPr>
        <w:pStyle w:val="Heading2"/>
        <w:rPr>
          <w:rStyle w:val="Strong"/>
          <w:b/>
          <w:bCs w:val="0"/>
        </w:rPr>
      </w:pPr>
      <w:bookmarkStart w:id="7" w:name="_Toc33602737"/>
      <w:r>
        <w:rPr>
          <w:rStyle w:val="Strong"/>
          <w:b/>
          <w:bCs w:val="0"/>
        </w:rPr>
        <w:t>C</w:t>
      </w:r>
      <w:r w:rsidR="001B0AF0">
        <w:rPr>
          <w:rStyle w:val="Strong"/>
          <w:b/>
          <w:bCs w:val="0"/>
        </w:rPr>
        <w:t>ase c</w:t>
      </w:r>
      <w:r>
        <w:rPr>
          <w:rStyle w:val="Strong"/>
          <w:b/>
          <w:bCs w:val="0"/>
        </w:rPr>
        <w:t>itations</w:t>
      </w:r>
      <w:bookmarkEnd w:id="7"/>
    </w:p>
    <w:p w14:paraId="54531F23" w14:textId="77777777" w:rsidR="0002704F" w:rsidRDefault="0002704F" w:rsidP="0002704F">
      <w:pPr>
        <w:pStyle w:val="BodyText"/>
        <w:keepNext/>
        <w:spacing w:line="276" w:lineRule="auto"/>
        <w:ind w:left="873" w:right="170"/>
        <w:jc w:val="both"/>
        <w:rPr>
          <w:rFonts w:asciiTheme="minorHAnsi" w:hAnsiTheme="minorHAnsi"/>
        </w:rPr>
      </w:pPr>
    </w:p>
    <w:p w14:paraId="13DE54E3" w14:textId="606E3559" w:rsidR="0002704F" w:rsidRDefault="00E70DC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Case citations have been standardised in this edition of the guide.  </w:t>
      </w:r>
      <w:r w:rsidR="0002704F">
        <w:rPr>
          <w:rFonts w:asciiTheme="minorHAnsi" w:hAnsiTheme="minorHAnsi"/>
        </w:rPr>
        <w:t>Case citations are given in the following order of precedence:</w:t>
      </w:r>
    </w:p>
    <w:p w14:paraId="5AC81F99" w14:textId="66FFB896" w:rsidR="0002704F" w:rsidRPr="00C51CDE" w:rsidRDefault="00F47D0C"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Author</w:t>
      </w:r>
      <w:r w:rsidR="00B86888">
        <w:rPr>
          <w:rFonts w:asciiTheme="minorHAnsi" w:hAnsiTheme="minorHAnsi"/>
        </w:rPr>
        <w:t>ised</w:t>
      </w:r>
      <w:r w:rsidR="0002704F">
        <w:rPr>
          <w:rFonts w:asciiTheme="minorHAnsi" w:hAnsiTheme="minorHAnsi"/>
        </w:rPr>
        <w:t xml:space="preserve"> report: e.g. </w:t>
      </w:r>
      <w:r w:rsidR="00AF14FF" w:rsidRPr="004C7D4A">
        <w:rPr>
          <w:rFonts w:asciiTheme="minorHAnsi" w:hAnsiTheme="minorHAnsi" w:cstheme="minorHAnsi"/>
          <w:i/>
        </w:rPr>
        <w:t>Hili v R</w:t>
      </w:r>
      <w:r w:rsidR="00AF14FF" w:rsidRPr="004C7D4A">
        <w:rPr>
          <w:rFonts w:asciiTheme="minorHAnsi" w:hAnsiTheme="minorHAnsi" w:cstheme="minorHAnsi"/>
        </w:rPr>
        <w:t xml:space="preserve"> (2010) 242 CLR 520</w:t>
      </w:r>
    </w:p>
    <w:p w14:paraId="40C6A6DC" w14:textId="4914360F" w:rsidR="00C51CDE" w:rsidRDefault="00C51CDE"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For High Court decisions, ALJR report: e.g. </w:t>
      </w:r>
      <w:r w:rsidRPr="004C7D4A">
        <w:rPr>
          <w:rFonts w:asciiTheme="minorHAnsi" w:hAnsiTheme="minorHAnsi" w:cstheme="minorHAnsi"/>
          <w:i/>
        </w:rPr>
        <w:t>Johnson v R</w:t>
      </w:r>
      <w:r w:rsidRPr="004C7D4A">
        <w:rPr>
          <w:rFonts w:asciiTheme="minorHAnsi" w:hAnsiTheme="minorHAnsi" w:cstheme="minorHAnsi"/>
        </w:rPr>
        <w:t xml:space="preserve"> (2004) 78 ALJR 616</w:t>
      </w:r>
    </w:p>
    <w:p w14:paraId="5E9ACF08" w14:textId="5DC621A1" w:rsidR="0002704F" w:rsidRDefault="0002704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Media-neutral citation: e.g. </w:t>
      </w:r>
      <w:r w:rsidR="00865768" w:rsidRPr="00EB7F1E">
        <w:rPr>
          <w:rFonts w:asciiTheme="minorHAnsi" w:hAnsiTheme="minorHAnsi"/>
          <w:i/>
        </w:rPr>
        <w:t>Larkin v R</w:t>
      </w:r>
      <w:r w:rsidR="00865768" w:rsidRPr="00EB7F1E">
        <w:rPr>
          <w:rFonts w:asciiTheme="minorHAnsi" w:hAnsiTheme="minorHAnsi"/>
        </w:rPr>
        <w:t xml:space="preserve"> [2012] WASCA 238</w:t>
      </w:r>
    </w:p>
    <w:p w14:paraId="3D7BEE07" w14:textId="3BB1CE7E" w:rsidR="0002704F" w:rsidRDefault="0002704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Un</w:t>
      </w:r>
      <w:r w:rsidR="00F47D0C">
        <w:rPr>
          <w:rFonts w:asciiTheme="minorHAnsi" w:hAnsiTheme="minorHAnsi"/>
        </w:rPr>
        <w:t>author</w:t>
      </w:r>
      <w:r w:rsidR="00B86888">
        <w:rPr>
          <w:rFonts w:asciiTheme="minorHAnsi" w:hAnsiTheme="minorHAnsi"/>
        </w:rPr>
        <w:t>ised</w:t>
      </w:r>
      <w:r>
        <w:rPr>
          <w:rFonts w:asciiTheme="minorHAnsi" w:hAnsiTheme="minorHAnsi"/>
        </w:rPr>
        <w:t xml:space="preserve"> report</w:t>
      </w:r>
      <w:r w:rsidR="00785155">
        <w:rPr>
          <w:rFonts w:asciiTheme="minorHAnsi" w:hAnsiTheme="minorHAnsi"/>
        </w:rPr>
        <w:t xml:space="preserve"> (before media-neutral citations)</w:t>
      </w:r>
      <w:r>
        <w:rPr>
          <w:rFonts w:asciiTheme="minorHAnsi" w:hAnsiTheme="minorHAnsi"/>
        </w:rPr>
        <w:t xml:space="preserve">: e.g. </w:t>
      </w:r>
      <w:r w:rsidR="003477E9" w:rsidRPr="003046DC">
        <w:rPr>
          <w:rFonts w:asciiTheme="minorHAnsi" w:hAnsiTheme="minorHAnsi" w:cstheme="minorHAnsi"/>
          <w:i/>
        </w:rPr>
        <w:t xml:space="preserve">R v </w:t>
      </w:r>
      <w:r w:rsidR="003477E9" w:rsidRPr="004C7D4A">
        <w:rPr>
          <w:rFonts w:asciiTheme="minorHAnsi" w:hAnsiTheme="minorHAnsi" w:cstheme="minorHAnsi"/>
          <w:bCs/>
          <w:i/>
          <w:iCs/>
        </w:rPr>
        <w:t>Ferrer-Esis</w:t>
      </w:r>
      <w:r w:rsidR="003477E9" w:rsidRPr="004C7D4A">
        <w:rPr>
          <w:rFonts w:asciiTheme="minorHAnsi" w:hAnsiTheme="minorHAnsi" w:cstheme="minorHAnsi"/>
        </w:rPr>
        <w:t xml:space="preserve"> (1991) 55 A Crim R 231</w:t>
      </w:r>
    </w:p>
    <w:p w14:paraId="7B992E12" w14:textId="35624C4C" w:rsidR="0002704F" w:rsidRDefault="0002704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Unreported decision</w:t>
      </w:r>
      <w:r w:rsidR="001B0AF0">
        <w:rPr>
          <w:rFonts w:asciiTheme="minorHAnsi" w:hAnsiTheme="minorHAnsi"/>
        </w:rPr>
        <w:t xml:space="preserve">: e.g. </w:t>
      </w:r>
      <w:r w:rsidR="001B0AF0" w:rsidRPr="00EB7F1E">
        <w:rPr>
          <w:rFonts w:asciiTheme="minorHAnsi" w:hAnsiTheme="minorHAnsi"/>
          <w:i/>
        </w:rPr>
        <w:t>DPP v Meyers</w:t>
      </w:r>
      <w:r w:rsidR="001B0AF0" w:rsidRPr="00EB7F1E">
        <w:rPr>
          <w:rFonts w:asciiTheme="minorHAnsi" w:hAnsiTheme="minorHAnsi"/>
        </w:rPr>
        <w:t xml:space="preserve"> (</w:t>
      </w:r>
      <w:r w:rsidR="00A05E03">
        <w:rPr>
          <w:rFonts w:asciiTheme="minorHAnsi" w:hAnsiTheme="minorHAnsi"/>
        </w:rPr>
        <w:t xml:space="preserve">Vic </w:t>
      </w:r>
      <w:r w:rsidR="001B0AF0" w:rsidRPr="00EB7F1E">
        <w:rPr>
          <w:rFonts w:asciiTheme="minorHAnsi" w:hAnsiTheme="minorHAnsi"/>
        </w:rPr>
        <w:t xml:space="preserve">SC </w:t>
      </w:r>
      <w:r w:rsidR="00A05E03">
        <w:rPr>
          <w:rFonts w:asciiTheme="minorHAnsi" w:hAnsiTheme="minorHAnsi"/>
        </w:rPr>
        <w:t>(</w:t>
      </w:r>
      <w:r w:rsidR="001B0AF0" w:rsidRPr="00EB7F1E">
        <w:rPr>
          <w:rFonts w:asciiTheme="minorHAnsi" w:hAnsiTheme="minorHAnsi"/>
        </w:rPr>
        <w:t>Balmford J</w:t>
      </w:r>
      <w:r w:rsidR="00A05E03">
        <w:rPr>
          <w:rFonts w:asciiTheme="minorHAnsi" w:hAnsiTheme="minorHAnsi"/>
        </w:rPr>
        <w:t>)</w:t>
      </w:r>
      <w:r w:rsidR="001B0AF0" w:rsidRPr="00EB7F1E">
        <w:rPr>
          <w:rFonts w:asciiTheme="minorHAnsi" w:hAnsiTheme="minorHAnsi"/>
        </w:rPr>
        <w:t>, 26 April 1996</w:t>
      </w:r>
      <w:r w:rsidR="001B0AF0">
        <w:rPr>
          <w:rFonts w:asciiTheme="minorHAnsi" w:hAnsiTheme="minorHAnsi"/>
        </w:rPr>
        <w:t>,</w:t>
      </w:r>
      <w:r w:rsidR="001B0AF0" w:rsidRPr="001B0AF0">
        <w:rPr>
          <w:rFonts w:asciiTheme="minorHAnsi" w:hAnsiTheme="minorHAnsi"/>
        </w:rPr>
        <w:t xml:space="preserve"> </w:t>
      </w:r>
      <w:r w:rsidR="001B0AF0" w:rsidRPr="00CA183C">
        <w:rPr>
          <w:rFonts w:asciiTheme="minorHAnsi" w:hAnsiTheme="minorHAnsi"/>
        </w:rPr>
        <w:t>unreported</w:t>
      </w:r>
      <w:r w:rsidR="001B0AF0" w:rsidRPr="00EB7F1E">
        <w:rPr>
          <w:rFonts w:asciiTheme="minorHAnsi" w:hAnsiTheme="minorHAnsi"/>
        </w:rPr>
        <w:t>)</w:t>
      </w:r>
    </w:p>
    <w:p w14:paraId="33CCA4DC" w14:textId="77777777" w:rsidR="003477E9" w:rsidRDefault="003477E9" w:rsidP="00EB7F1E">
      <w:pPr>
        <w:spacing w:line="276" w:lineRule="auto"/>
        <w:ind w:right="170"/>
        <w:rPr>
          <w:rFonts w:asciiTheme="minorHAnsi" w:hAnsiTheme="minorHAnsi"/>
        </w:rPr>
      </w:pPr>
    </w:p>
    <w:p w14:paraId="25825E9E" w14:textId="57BF0A14" w:rsidR="001B0AF0" w:rsidRPr="00F03B8B" w:rsidRDefault="001B0AF0">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References are given to paragraph number</w:t>
      </w:r>
      <w:r w:rsidR="00865768">
        <w:rPr>
          <w:rFonts w:asciiTheme="minorHAnsi" w:hAnsiTheme="minorHAnsi"/>
        </w:rPr>
        <w:t>s</w:t>
      </w:r>
      <w:r>
        <w:rPr>
          <w:rFonts w:asciiTheme="minorHAnsi" w:hAnsiTheme="minorHAnsi"/>
        </w:rPr>
        <w:t xml:space="preserve">, if available: e.g. </w:t>
      </w:r>
      <w:r w:rsidRPr="004C7D4A">
        <w:rPr>
          <w:rFonts w:asciiTheme="minorHAnsi" w:hAnsiTheme="minorHAnsi" w:cstheme="minorHAnsi"/>
          <w:i/>
        </w:rPr>
        <w:t xml:space="preserve">Bui v DPP (Cth) </w:t>
      </w:r>
      <w:r w:rsidRPr="004C7D4A">
        <w:rPr>
          <w:rFonts w:asciiTheme="minorHAnsi" w:hAnsiTheme="minorHAnsi" w:cstheme="minorHAnsi"/>
        </w:rPr>
        <w:t>(2012) 244 CLR 638, [26]-[27]</w:t>
      </w:r>
      <w:r>
        <w:rPr>
          <w:rFonts w:asciiTheme="minorHAnsi" w:hAnsiTheme="minorHAnsi" w:cstheme="minorHAnsi"/>
        </w:rPr>
        <w:t xml:space="preserve">.  If not, references are to </w:t>
      </w:r>
      <w:r w:rsidR="00781FC2">
        <w:rPr>
          <w:rFonts w:asciiTheme="minorHAnsi" w:hAnsiTheme="minorHAnsi" w:cstheme="minorHAnsi"/>
        </w:rPr>
        <w:t xml:space="preserve">pages: e.g. </w:t>
      </w:r>
      <w:r w:rsidR="00781FC2" w:rsidRPr="004C7D4A">
        <w:rPr>
          <w:rFonts w:asciiTheme="minorHAnsi" w:hAnsiTheme="minorHAnsi" w:cstheme="minorHAnsi"/>
          <w:i/>
        </w:rPr>
        <w:t>Mill v R</w:t>
      </w:r>
      <w:r w:rsidR="00781FC2" w:rsidRPr="004C7D4A">
        <w:rPr>
          <w:rFonts w:asciiTheme="minorHAnsi" w:hAnsiTheme="minorHAnsi" w:cstheme="minorHAnsi"/>
        </w:rPr>
        <w:t xml:space="preserve"> (1988) 166 CLR 59, 62–63</w:t>
      </w:r>
      <w:r w:rsidR="00781FC2">
        <w:rPr>
          <w:rFonts w:asciiTheme="minorHAnsi" w:hAnsiTheme="minorHAnsi" w:cstheme="minorHAnsi"/>
        </w:rPr>
        <w:t>.</w:t>
      </w:r>
    </w:p>
    <w:p w14:paraId="56F275EF" w14:textId="77777777" w:rsidR="00E70DC6" w:rsidRPr="00AD1003" w:rsidRDefault="00E70DC6" w:rsidP="00EB7F1E">
      <w:pPr>
        <w:spacing w:line="276" w:lineRule="auto"/>
        <w:rPr>
          <w:rFonts w:asciiTheme="minorHAnsi" w:hAnsiTheme="minorHAnsi"/>
        </w:rPr>
      </w:pPr>
    </w:p>
    <w:p w14:paraId="584D6DB6" w14:textId="08E8FCDD" w:rsidR="00E70DC6" w:rsidRDefault="00E70DC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This edition contains, in the table of authorities, a comprehensive list of cases cited in the guide.</w:t>
      </w:r>
    </w:p>
    <w:p w14:paraId="536B53C4" w14:textId="77777777" w:rsidR="0002704F" w:rsidRPr="00CD2294" w:rsidRDefault="0002704F" w:rsidP="0002704F">
      <w:pPr>
        <w:spacing w:line="276" w:lineRule="auto"/>
        <w:ind w:right="170"/>
        <w:rPr>
          <w:rFonts w:asciiTheme="minorHAnsi" w:hAnsiTheme="minorHAnsi"/>
        </w:rPr>
      </w:pPr>
    </w:p>
    <w:p w14:paraId="15B174C8" w14:textId="12132875" w:rsidR="00A554B8" w:rsidRPr="00CD2294" w:rsidRDefault="00A554B8" w:rsidP="00A554B8">
      <w:pPr>
        <w:pStyle w:val="Heading2"/>
        <w:rPr>
          <w:rStyle w:val="Strong"/>
          <w:b/>
          <w:bCs w:val="0"/>
        </w:rPr>
      </w:pPr>
      <w:bookmarkStart w:id="8" w:name="_Toc33602738"/>
      <w:r>
        <w:rPr>
          <w:rStyle w:val="Strong"/>
          <w:b/>
          <w:bCs w:val="0"/>
        </w:rPr>
        <w:t>What’s new</w:t>
      </w:r>
      <w:bookmarkEnd w:id="8"/>
    </w:p>
    <w:p w14:paraId="53D9CCAF" w14:textId="77777777" w:rsidR="00A554B8" w:rsidRDefault="00A554B8" w:rsidP="00A554B8">
      <w:pPr>
        <w:pStyle w:val="BodyText"/>
        <w:keepNext/>
        <w:spacing w:line="276" w:lineRule="auto"/>
        <w:ind w:left="873" w:right="170"/>
        <w:jc w:val="both"/>
        <w:rPr>
          <w:rFonts w:asciiTheme="minorHAnsi" w:hAnsiTheme="minorHAnsi"/>
        </w:rPr>
      </w:pPr>
    </w:p>
    <w:p w14:paraId="69B5E2BE" w14:textId="76AA9CA4" w:rsidR="00660BA9" w:rsidRDefault="002821C6">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For this second edition, the guide has been updated and revised.  </w:t>
      </w:r>
      <w:r w:rsidR="00660BA9">
        <w:rPr>
          <w:rFonts w:asciiTheme="minorHAnsi" w:hAnsiTheme="minorHAnsi"/>
        </w:rPr>
        <w:t xml:space="preserve">The following </w:t>
      </w:r>
      <w:r>
        <w:rPr>
          <w:rFonts w:asciiTheme="minorHAnsi" w:hAnsiTheme="minorHAnsi"/>
        </w:rPr>
        <w:t xml:space="preserve">sections </w:t>
      </w:r>
      <w:r w:rsidR="00660BA9">
        <w:rPr>
          <w:rFonts w:asciiTheme="minorHAnsi" w:hAnsiTheme="minorHAnsi"/>
        </w:rPr>
        <w:t>are new or have been substantially re-written:</w:t>
      </w:r>
    </w:p>
    <w:p w14:paraId="064CDE8B" w14:textId="6BA9057A" w:rsidR="002821C6" w:rsidRDefault="008F2B0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_Ref10710718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2.1.2</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_Ref10710718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Constitutional power to define or invest federal jurisdiction</w:t>
      </w:r>
      <w:r>
        <w:rPr>
          <w:rFonts w:asciiTheme="minorHAnsi" w:hAnsiTheme="minorHAnsi"/>
        </w:rPr>
        <w:fldChar w:fldCharType="end"/>
      </w:r>
    </w:p>
    <w:p w14:paraId="09DF6566" w14:textId="7FDD6DBA" w:rsidR="008F2B02" w:rsidRDefault="008F2B0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_Ref10704824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2.2</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_Ref10704824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Federal jurisdiction and the sentencing of federal offenders</w:t>
      </w:r>
      <w:r>
        <w:rPr>
          <w:rFonts w:asciiTheme="minorHAnsi" w:hAnsiTheme="minorHAnsi"/>
        </w:rPr>
        <w:fldChar w:fldCharType="end"/>
      </w:r>
    </w:p>
    <w:p w14:paraId="2F8CC189" w14:textId="36BC2E91"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_Ref11069933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2.6</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_Ref11069936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Commonwealth provisions which apply relevant State and Territory laws</w:t>
      </w:r>
      <w:r>
        <w:rPr>
          <w:rFonts w:asciiTheme="minorHAnsi" w:hAnsiTheme="minorHAnsi"/>
        </w:rPr>
        <w:fldChar w:fldCharType="end"/>
      </w:r>
    </w:p>
    <w:p w14:paraId="379B8597" w14:textId="64D4DF51"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_Ref494532906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2.7</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_Ref494532906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The application of State and Territory laws by Judiciary Act 1903, ss 68 and 79</w:t>
      </w:r>
      <w:r>
        <w:rPr>
          <w:rFonts w:asciiTheme="minorHAnsi" w:hAnsiTheme="minorHAnsi"/>
        </w:rPr>
        <w:fldChar w:fldCharType="end"/>
      </w:r>
    </w:p>
    <w:p w14:paraId="02DF51C1" w14:textId="28180BC6"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_Ref11069985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3.1.5</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_Ref11069988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Finding of other uncharged offences</w:t>
      </w:r>
      <w:r>
        <w:rPr>
          <w:rFonts w:asciiTheme="minorHAnsi" w:hAnsiTheme="minorHAnsi"/>
        </w:rPr>
        <w:fldChar w:fldCharType="end"/>
      </w:r>
    </w:p>
    <w:p w14:paraId="6879A120" w14:textId="0526EE53"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_Ref11070142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4.2.1</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_Ref11070144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Appropriate severity and the consideration of factors listed in s.16A(2)</w:t>
      </w:r>
      <w:r>
        <w:rPr>
          <w:rFonts w:asciiTheme="minorHAnsi" w:hAnsiTheme="minorHAnsi"/>
        </w:rPr>
        <w:fldChar w:fldCharType="end"/>
      </w:r>
    </w:p>
    <w:p w14:paraId="3C6960B6" w14:textId="2C16A5A7"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_Ref11070224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4.2.2</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_Ref11070226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Requirements of s 16A also apply to fixing period of imprisonment to be served</w:t>
      </w:r>
      <w:r>
        <w:rPr>
          <w:rFonts w:asciiTheme="minorHAnsi" w:hAnsiTheme="minorHAnsi"/>
        </w:rPr>
        <w:fldChar w:fldCharType="end"/>
      </w:r>
    </w:p>
    <w:p w14:paraId="0462BAF9" w14:textId="0F405D34"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_Ref11070259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4.2.3</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_Ref11070263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No scope for presumption of imprisonment for an offence</w:t>
      </w:r>
      <w:r>
        <w:rPr>
          <w:rFonts w:asciiTheme="minorHAnsi" w:hAnsiTheme="minorHAnsi"/>
        </w:rPr>
        <w:fldChar w:fldCharType="end"/>
      </w:r>
    </w:p>
    <w:p w14:paraId="719BCA49" w14:textId="6B563CBB"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_Ref11070334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4.4.8</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_Ref11070337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The fact of a guilty plea to the charge – s 16A(2)(g)</w:t>
      </w:r>
      <w:r>
        <w:rPr>
          <w:rFonts w:asciiTheme="minorHAnsi" w:hAnsiTheme="minorHAnsi"/>
        </w:rPr>
        <w:fldChar w:fldCharType="end"/>
      </w:r>
    </w:p>
    <w:p w14:paraId="39E3D995" w14:textId="2F0D7493"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_Ref11070392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4.4.9</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_Ref11070395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Co-operation with law enforcement agencies (past cooperation) – s 16A(2)(h)</w:t>
      </w:r>
      <w:r>
        <w:rPr>
          <w:rFonts w:asciiTheme="minorHAnsi" w:hAnsiTheme="minorHAnsi"/>
        </w:rPr>
        <w:fldChar w:fldCharType="end"/>
      </w:r>
    </w:p>
    <w:p w14:paraId="059B6E67" w14:textId="6AC9E338"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_Ref11070449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4.5.2</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_Ref11070451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Parity</w:t>
      </w:r>
      <w:r>
        <w:rPr>
          <w:rFonts w:asciiTheme="minorHAnsi" w:hAnsiTheme="minorHAnsi"/>
        </w:rPr>
        <w:fldChar w:fldCharType="end"/>
      </w:r>
    </w:p>
    <w:p w14:paraId="067E01DC" w14:textId="5B550983"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_Ref11070493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4.5.6</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_Ref11070495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“Extra-curial punishment” generally</w:t>
      </w:r>
      <w:r>
        <w:rPr>
          <w:rFonts w:asciiTheme="minorHAnsi" w:hAnsiTheme="minorHAnsi"/>
        </w:rPr>
        <w:fldChar w:fldCharType="end"/>
      </w:r>
    </w:p>
    <w:p w14:paraId="50C91A1E" w14:textId="3A6AB4E6" w:rsidR="008F2B02" w:rsidRDefault="000432A2">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_Ref2007707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4.5.13</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_Ref2007707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Registration of sexual offenders and other offenders</w:t>
      </w:r>
      <w:r>
        <w:rPr>
          <w:rFonts w:asciiTheme="minorHAnsi" w:hAnsiTheme="minorHAnsi"/>
        </w:rPr>
        <w:fldChar w:fldCharType="end"/>
      </w:r>
    </w:p>
    <w:p w14:paraId="3A30630A" w14:textId="452F2A4F" w:rsidR="0012394E" w:rsidRDefault="0012394E"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_Ref11583579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5.4.1</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_Ref11583580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The 2-stage process</w:t>
      </w:r>
      <w:r>
        <w:rPr>
          <w:rFonts w:asciiTheme="minorHAnsi" w:hAnsiTheme="minorHAnsi"/>
        </w:rPr>
        <w:fldChar w:fldCharType="end"/>
      </w:r>
    </w:p>
    <w:p w14:paraId="5AD98D39" w14:textId="4B3E39EE"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_Ref8119346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5.6.7</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_Ref8119346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Enforcement of fines – Crimes Act 1914, s 15A</w:t>
      </w:r>
      <w:r>
        <w:rPr>
          <w:rFonts w:asciiTheme="minorHAnsi" w:hAnsiTheme="minorHAnsi"/>
        </w:rPr>
        <w:fldChar w:fldCharType="end"/>
      </w:r>
    </w:p>
    <w:p w14:paraId="27F30C25" w14:textId="59A5DE34" w:rsidR="008904E8" w:rsidRPr="00EB5C97" w:rsidRDefault="008904E8" w:rsidP="00EB7F1E">
      <w:pPr>
        <w:pStyle w:val="ListParagraph"/>
        <w:numPr>
          <w:ilvl w:val="1"/>
          <w:numId w:val="36"/>
        </w:numPr>
        <w:spacing w:line="276" w:lineRule="auto"/>
        <w:ind w:left="1134" w:right="28" w:hanging="283"/>
        <w:rPr>
          <w:rFonts w:asciiTheme="minorHAnsi" w:hAnsiTheme="minorHAnsi"/>
        </w:rPr>
      </w:pPr>
      <w:r w:rsidRPr="00EB5C97">
        <w:rPr>
          <w:rFonts w:asciiTheme="minorHAnsi" w:hAnsiTheme="minorHAnsi"/>
        </w:rPr>
        <w:fldChar w:fldCharType="begin"/>
      </w:r>
      <w:r w:rsidRPr="00EB5C97">
        <w:rPr>
          <w:rFonts w:asciiTheme="minorHAnsi" w:hAnsiTheme="minorHAnsi"/>
        </w:rPr>
        <w:instrText xml:space="preserve"> REF _Ref494538844 \r \h  \* MERGEFORMAT </w:instrText>
      </w:r>
      <w:r w:rsidRPr="00EB5C97">
        <w:rPr>
          <w:rFonts w:asciiTheme="minorHAnsi" w:hAnsiTheme="minorHAnsi"/>
        </w:rPr>
      </w:r>
      <w:r w:rsidRPr="00EB5C97">
        <w:rPr>
          <w:rFonts w:asciiTheme="minorHAnsi" w:hAnsiTheme="minorHAnsi"/>
        </w:rPr>
        <w:fldChar w:fldCharType="separate"/>
      </w:r>
      <w:r w:rsidR="00D44BCF">
        <w:rPr>
          <w:rFonts w:asciiTheme="minorHAnsi" w:hAnsiTheme="minorHAnsi"/>
        </w:rPr>
        <w:t>5.7.3</w:t>
      </w:r>
      <w:r w:rsidRPr="00EB5C97">
        <w:rPr>
          <w:rFonts w:asciiTheme="minorHAnsi" w:hAnsiTheme="minorHAnsi"/>
        </w:rPr>
        <w:fldChar w:fldCharType="end"/>
      </w:r>
      <w:r w:rsidRPr="00EB5C97">
        <w:rPr>
          <w:rFonts w:asciiTheme="minorHAnsi" w:hAnsiTheme="minorHAnsi"/>
        </w:rPr>
        <w:t xml:space="preserve"> </w:t>
      </w:r>
      <w:r w:rsidRPr="00EB5C97">
        <w:rPr>
          <w:rFonts w:asciiTheme="minorHAnsi" w:hAnsiTheme="minorHAnsi"/>
        </w:rPr>
        <w:fldChar w:fldCharType="begin"/>
      </w:r>
      <w:r w:rsidRPr="00EB5C97">
        <w:rPr>
          <w:rFonts w:asciiTheme="minorHAnsi" w:hAnsiTheme="minorHAnsi"/>
        </w:rPr>
        <w:instrText xml:space="preserve"> REF _Ref494538844 \h  \* MERGEFORMAT </w:instrText>
      </w:r>
      <w:r w:rsidRPr="00EB5C97">
        <w:rPr>
          <w:rFonts w:asciiTheme="minorHAnsi" w:hAnsiTheme="minorHAnsi"/>
        </w:rPr>
      </w:r>
      <w:r w:rsidRPr="00EB5C97">
        <w:rPr>
          <w:rFonts w:asciiTheme="minorHAnsi" w:hAnsiTheme="minorHAnsi"/>
        </w:rPr>
        <w:fldChar w:fldCharType="separate"/>
      </w:r>
      <w:r w:rsidR="00D44BCF" w:rsidRPr="00D44BCF">
        <w:rPr>
          <w:rFonts w:asciiTheme="minorHAnsi" w:hAnsiTheme="minorHAnsi"/>
        </w:rPr>
        <w:t>Types of State or Territory sentences or orders which are applied by s 20AB</w:t>
      </w:r>
      <w:r w:rsidRPr="00EB5C97">
        <w:rPr>
          <w:rFonts w:asciiTheme="minorHAnsi" w:hAnsiTheme="minorHAnsi"/>
        </w:rPr>
        <w:fldChar w:fldCharType="end"/>
      </w:r>
    </w:p>
    <w:p w14:paraId="4B4F7AEA" w14:textId="41F43918"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_Ref10727992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5.7.4</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_Ref10727992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Corresponding cases</w:t>
      </w:r>
      <w:r>
        <w:rPr>
          <w:rFonts w:asciiTheme="minorHAnsi" w:hAnsiTheme="minorHAnsi"/>
        </w:rPr>
        <w:fldChar w:fldCharType="end"/>
      </w:r>
    </w:p>
    <w:p w14:paraId="771BDDFA" w14:textId="05138C70" w:rsidR="008F2B02" w:rsidRDefault="000432A2"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_Ref11070989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5.8.11</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_Ref11070992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Correction of error in sentence of imprisonment</w:t>
      </w:r>
      <w:r>
        <w:rPr>
          <w:rFonts w:asciiTheme="minorHAnsi" w:hAnsiTheme="minorHAnsi"/>
        </w:rPr>
        <w:fldChar w:fldCharType="end"/>
      </w:r>
    </w:p>
    <w:p w14:paraId="14023B31" w14:textId="05F6D3DB" w:rsidR="008F2B02" w:rsidRDefault="00D8290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_Ref505610574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5.9.2</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_Ref505610574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Whether sentences should be concurrent or cumulative</w:t>
      </w:r>
      <w:r>
        <w:rPr>
          <w:rFonts w:asciiTheme="minorHAnsi" w:hAnsiTheme="minorHAnsi"/>
        </w:rPr>
        <w:fldChar w:fldCharType="end"/>
      </w:r>
    </w:p>
    <w:p w14:paraId="6E04CE5F" w14:textId="0B30438D" w:rsidR="000432A2" w:rsidRDefault="00D8290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_Ref11071173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5.10.11</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_Ref11071176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Obligation on court to explain NPP</w:t>
      </w:r>
      <w:r>
        <w:rPr>
          <w:rFonts w:asciiTheme="minorHAnsi" w:hAnsiTheme="minorHAnsi"/>
        </w:rPr>
        <w:fldChar w:fldCharType="end"/>
      </w:r>
    </w:p>
    <w:p w14:paraId="2B60AB09" w14:textId="1A66D1A1" w:rsidR="000432A2" w:rsidRDefault="00D8290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_Ref11071217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5.10.18</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_Ref11071219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Obligation on court to explain RRO</w:t>
      </w:r>
      <w:r>
        <w:rPr>
          <w:rFonts w:asciiTheme="minorHAnsi" w:hAnsiTheme="minorHAnsi"/>
        </w:rPr>
        <w:fldChar w:fldCharType="end"/>
      </w:r>
    </w:p>
    <w:p w14:paraId="0121A141" w14:textId="4CE3DFCB" w:rsidR="000432A2" w:rsidRDefault="00D8290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_Ref11071324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5.11</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_Ref11071327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Imprisonment: federal parole</w:t>
      </w:r>
      <w:r>
        <w:rPr>
          <w:rFonts w:asciiTheme="minorHAnsi" w:hAnsiTheme="minorHAnsi"/>
        </w:rPr>
        <w:fldChar w:fldCharType="end"/>
      </w:r>
    </w:p>
    <w:p w14:paraId="60BBAFD6" w14:textId="3996C499" w:rsidR="00D82903" w:rsidRDefault="00D8290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_Ref11071400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7.4</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_Ref11071403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Court-supervised restorative justice schemes</w:t>
      </w:r>
      <w:r>
        <w:rPr>
          <w:rFonts w:asciiTheme="minorHAnsi" w:hAnsiTheme="minorHAnsi"/>
        </w:rPr>
        <w:fldChar w:fldCharType="end"/>
      </w:r>
    </w:p>
    <w:p w14:paraId="6F139921" w14:textId="00D6DFE3" w:rsidR="00D82903" w:rsidRDefault="00D8290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_Ref11071588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7.12</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_Ref11071592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Calibri" w:hAnsi="Calibri"/>
        </w:rPr>
        <w:t>Power of sentencing court to correct error in sentence</w:t>
      </w:r>
      <w:r>
        <w:rPr>
          <w:rFonts w:asciiTheme="minorHAnsi" w:hAnsiTheme="minorHAnsi"/>
        </w:rPr>
        <w:fldChar w:fldCharType="end"/>
      </w:r>
    </w:p>
    <w:p w14:paraId="108B3119" w14:textId="79BE88BD" w:rsidR="00D82903" w:rsidRDefault="00647813">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_Ref11071770 \r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7.13</w:t>
      </w:r>
      <w:r>
        <w:rPr>
          <w:rFonts w:asciiTheme="minorHAnsi" w:hAnsiTheme="minorHAnsi"/>
        </w:rPr>
        <w:fldChar w:fldCharType="end"/>
      </w:r>
      <w:r w:rsidR="00BE7DED">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_Ref11071772 \h </w:instrText>
      </w:r>
      <w:r w:rsidR="00BE7DED">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Post-sentence monitoring and detention of offenders under State laws</w:t>
      </w:r>
      <w:r>
        <w:rPr>
          <w:rFonts w:asciiTheme="minorHAnsi" w:hAnsiTheme="minorHAnsi"/>
        </w:rPr>
        <w:fldChar w:fldCharType="end"/>
      </w:r>
    </w:p>
    <w:p w14:paraId="3B131235" w14:textId="47799A3B" w:rsidR="00FE3DD3" w:rsidRDefault="00FE3DD3">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_Ref492478935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8.4</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_Ref492478935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Fitness to be Tried</w:t>
      </w:r>
      <w:r>
        <w:rPr>
          <w:rFonts w:asciiTheme="minorHAnsi" w:hAnsiTheme="minorHAnsi"/>
        </w:rPr>
        <w:fldChar w:fldCharType="end"/>
      </w:r>
    </w:p>
    <w:p w14:paraId="5208EA49" w14:textId="12CBBE9C" w:rsidR="00FE3DD3" w:rsidRDefault="00FE3DD3">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_Ref492479120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8.5</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_Ref492479120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Dispositions following acquittal because of mental illness</w:t>
      </w:r>
      <w:r>
        <w:rPr>
          <w:rFonts w:asciiTheme="minorHAnsi" w:hAnsiTheme="minorHAnsi"/>
        </w:rPr>
        <w:fldChar w:fldCharType="end"/>
      </w:r>
    </w:p>
    <w:p w14:paraId="3CE073F9" w14:textId="414E7745" w:rsidR="00FE3DD3" w:rsidRDefault="00FE3DD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_Ref11773523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8.6</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_Ref11773524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Disposition of persons suffering from mental illness/intellectual disability</w:t>
      </w:r>
      <w:r>
        <w:rPr>
          <w:rFonts w:asciiTheme="minorHAnsi" w:hAnsiTheme="minorHAnsi"/>
        </w:rPr>
        <w:fldChar w:fldCharType="end"/>
      </w:r>
    </w:p>
    <w:p w14:paraId="2BD28919" w14:textId="0296C8CB" w:rsidR="00BE7DED" w:rsidRDefault="00BE7DED">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_Ref11072079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Appendix 2: Federal offences triggering State and Territory sex offender registration legislation</w:t>
      </w:r>
      <w:r>
        <w:rPr>
          <w:rFonts w:asciiTheme="minorHAnsi" w:hAnsiTheme="minorHAnsi"/>
        </w:rPr>
        <w:fldChar w:fldCharType="end"/>
      </w:r>
    </w:p>
    <w:p w14:paraId="73FF12BA" w14:textId="186B950C" w:rsidR="00774E2A" w:rsidRDefault="00774E2A">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_Ref11486055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Appendix 4: Orders applied by Crimes Act 1914 (Cth), s 20AB: jurisdiction-specific issues</w:t>
      </w:r>
      <w:r>
        <w:rPr>
          <w:rFonts w:asciiTheme="minorHAnsi" w:hAnsiTheme="minorHAnsi"/>
        </w:rPr>
        <w:fldChar w:fldCharType="end"/>
      </w:r>
    </w:p>
    <w:p w14:paraId="33F79A2C" w14:textId="223A9283" w:rsidR="00FE3DD3" w:rsidRDefault="00FE3DD3" w:rsidP="00EB7F1E">
      <w:pPr>
        <w:pStyle w:val="ListParagraph"/>
        <w:numPr>
          <w:ilvl w:val="1"/>
          <w:numId w:val="36"/>
        </w:numPr>
        <w:spacing w:line="276" w:lineRule="auto"/>
        <w:ind w:left="1134" w:right="28" w:hanging="283"/>
        <w:rPr>
          <w:rFonts w:asciiTheme="minorHAnsi" w:hAnsiTheme="minorHAnsi"/>
        </w:rPr>
      </w:pPr>
      <w:r>
        <w:rPr>
          <w:rFonts w:asciiTheme="minorHAnsi" w:hAnsiTheme="minorHAnsi"/>
        </w:rPr>
        <w:fldChar w:fldCharType="begin"/>
      </w:r>
      <w:r>
        <w:rPr>
          <w:rFonts w:asciiTheme="minorHAnsi" w:hAnsiTheme="minorHAnsi"/>
        </w:rPr>
        <w:instrText xml:space="preserve"> REF _Ref11773525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Appendix 5: Fitness to plead and fitness to be tried: procedures and orders</w:t>
      </w:r>
      <w:r>
        <w:rPr>
          <w:rFonts w:asciiTheme="minorHAnsi" w:hAnsiTheme="minorHAnsi"/>
        </w:rPr>
        <w:fldChar w:fldCharType="end"/>
      </w:r>
    </w:p>
    <w:p w14:paraId="62C3931C" w14:textId="77777777" w:rsidR="00E70DC6" w:rsidRPr="00EB7F1E" w:rsidRDefault="00E70DC6" w:rsidP="00EB7F1E">
      <w:pPr>
        <w:pStyle w:val="BodyText"/>
        <w:spacing w:line="276" w:lineRule="auto"/>
        <w:ind w:left="720" w:right="170"/>
        <w:jc w:val="both"/>
        <w:rPr>
          <w:rFonts w:asciiTheme="minorHAnsi" w:hAnsiTheme="minorHAnsi"/>
        </w:rPr>
      </w:pPr>
    </w:p>
    <w:p w14:paraId="47668B84" w14:textId="272F7E66" w:rsidR="0002704F" w:rsidRPr="00CD2294" w:rsidRDefault="0002704F" w:rsidP="0002704F">
      <w:pPr>
        <w:pStyle w:val="Heading2"/>
        <w:rPr>
          <w:rStyle w:val="Strong"/>
          <w:b/>
          <w:bCs w:val="0"/>
        </w:rPr>
      </w:pPr>
      <w:bookmarkStart w:id="9" w:name="_Toc33602739"/>
      <w:r>
        <w:rPr>
          <w:rStyle w:val="Strong"/>
          <w:b/>
          <w:bCs w:val="0"/>
        </w:rPr>
        <w:t>Currency</w:t>
      </w:r>
      <w:bookmarkEnd w:id="9"/>
    </w:p>
    <w:p w14:paraId="440326C9" w14:textId="77777777" w:rsidR="0002704F" w:rsidRDefault="0002704F" w:rsidP="0002704F">
      <w:pPr>
        <w:pStyle w:val="BodyText"/>
        <w:keepNext/>
        <w:spacing w:line="276" w:lineRule="auto"/>
        <w:ind w:left="873" w:right="170"/>
        <w:jc w:val="both"/>
        <w:rPr>
          <w:rFonts w:asciiTheme="minorHAnsi" w:hAnsiTheme="minorHAnsi"/>
        </w:rPr>
      </w:pPr>
    </w:p>
    <w:p w14:paraId="54EB673E" w14:textId="199AF2CD" w:rsidR="00F234B8" w:rsidRDefault="00F234B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This </w:t>
      </w:r>
      <w:r w:rsidR="002821C6">
        <w:rPr>
          <w:rFonts w:asciiTheme="minorHAnsi" w:hAnsiTheme="minorHAnsi"/>
        </w:rPr>
        <w:t xml:space="preserve">edition of the </w:t>
      </w:r>
      <w:r>
        <w:rPr>
          <w:rFonts w:asciiTheme="minorHAnsi" w:hAnsiTheme="minorHAnsi"/>
        </w:rPr>
        <w:t xml:space="preserve">guide reflects the law as at 1 </w:t>
      </w:r>
      <w:r w:rsidR="00D15E8B">
        <w:rPr>
          <w:rFonts w:asciiTheme="minorHAnsi" w:hAnsiTheme="minorHAnsi"/>
        </w:rPr>
        <w:t>Ju</w:t>
      </w:r>
      <w:r w:rsidR="001039BD">
        <w:rPr>
          <w:rFonts w:asciiTheme="minorHAnsi" w:hAnsiTheme="minorHAnsi"/>
        </w:rPr>
        <w:t>ly</w:t>
      </w:r>
      <w:r w:rsidR="00D15E8B">
        <w:rPr>
          <w:rFonts w:asciiTheme="minorHAnsi" w:hAnsiTheme="minorHAnsi"/>
        </w:rPr>
        <w:t xml:space="preserve"> 2019</w:t>
      </w:r>
      <w:r>
        <w:rPr>
          <w:rFonts w:asciiTheme="minorHAnsi" w:hAnsiTheme="minorHAnsi"/>
        </w:rPr>
        <w:t xml:space="preserve">. </w:t>
      </w:r>
    </w:p>
    <w:p w14:paraId="0EE7CF76" w14:textId="77777777" w:rsidR="001A0FE0" w:rsidRPr="00C00000" w:rsidRDefault="001A0FE0" w:rsidP="007C11C2">
      <w:pPr>
        <w:spacing w:line="276" w:lineRule="auto"/>
        <w:rPr>
          <w:rFonts w:asciiTheme="minorHAnsi" w:hAnsiTheme="minorHAnsi"/>
        </w:rPr>
      </w:pPr>
      <w:r w:rsidRPr="00C00000">
        <w:rPr>
          <w:rFonts w:asciiTheme="minorHAnsi" w:hAnsiTheme="minorHAnsi"/>
        </w:rPr>
        <w:br w:type="page"/>
      </w:r>
    </w:p>
    <w:p w14:paraId="6E0E8EE6" w14:textId="6C3A54EC" w:rsidR="0053432F" w:rsidRPr="00C00000" w:rsidRDefault="003F466E" w:rsidP="00D531E9">
      <w:pPr>
        <w:pStyle w:val="Heading1"/>
        <w:keepNext/>
        <w:spacing w:line="276" w:lineRule="auto"/>
        <w:rPr>
          <w:rFonts w:asciiTheme="minorHAnsi" w:hAnsiTheme="minorHAnsi"/>
          <w:sz w:val="30"/>
          <w:szCs w:val="30"/>
        </w:rPr>
      </w:pPr>
      <w:bookmarkStart w:id="10" w:name="_Toc33602740"/>
      <w:r w:rsidRPr="00C00000">
        <w:rPr>
          <w:rFonts w:asciiTheme="minorHAnsi" w:hAnsiTheme="minorHAnsi"/>
          <w:sz w:val="30"/>
          <w:szCs w:val="30"/>
        </w:rPr>
        <w:t xml:space="preserve">Federal </w:t>
      </w:r>
      <w:r w:rsidR="006A406D">
        <w:rPr>
          <w:rFonts w:asciiTheme="minorHAnsi" w:hAnsiTheme="minorHAnsi"/>
          <w:sz w:val="30"/>
          <w:szCs w:val="30"/>
        </w:rPr>
        <w:t>s</w:t>
      </w:r>
      <w:r w:rsidRPr="00C00000">
        <w:rPr>
          <w:rFonts w:asciiTheme="minorHAnsi" w:hAnsiTheme="minorHAnsi"/>
          <w:sz w:val="30"/>
          <w:szCs w:val="30"/>
        </w:rPr>
        <w:t xml:space="preserve">entencing </w:t>
      </w:r>
      <w:r w:rsidR="006A406D">
        <w:rPr>
          <w:rFonts w:asciiTheme="minorHAnsi" w:hAnsiTheme="minorHAnsi"/>
          <w:sz w:val="30"/>
          <w:szCs w:val="30"/>
        </w:rPr>
        <w:t>s</w:t>
      </w:r>
      <w:r w:rsidRPr="00C00000">
        <w:rPr>
          <w:rFonts w:asciiTheme="minorHAnsi" w:hAnsiTheme="minorHAnsi"/>
          <w:sz w:val="30"/>
          <w:szCs w:val="30"/>
        </w:rPr>
        <w:t xml:space="preserve">cheme </w:t>
      </w:r>
      <w:r w:rsidR="006A406D">
        <w:rPr>
          <w:rFonts w:asciiTheme="minorHAnsi" w:hAnsiTheme="minorHAnsi"/>
          <w:sz w:val="30"/>
          <w:szCs w:val="30"/>
        </w:rPr>
        <w:t>–</w:t>
      </w:r>
      <w:r w:rsidRPr="00C00000">
        <w:rPr>
          <w:rFonts w:asciiTheme="minorHAnsi" w:hAnsiTheme="minorHAnsi"/>
          <w:sz w:val="30"/>
          <w:szCs w:val="30"/>
        </w:rPr>
        <w:t xml:space="preserve"> </w:t>
      </w:r>
      <w:r w:rsidR="006A406D">
        <w:rPr>
          <w:rFonts w:asciiTheme="minorHAnsi" w:hAnsiTheme="minorHAnsi"/>
          <w:sz w:val="30"/>
          <w:szCs w:val="30"/>
        </w:rPr>
        <w:t>an o</w:t>
      </w:r>
      <w:r w:rsidRPr="00C00000">
        <w:rPr>
          <w:rFonts w:asciiTheme="minorHAnsi" w:hAnsiTheme="minorHAnsi"/>
          <w:sz w:val="30"/>
          <w:szCs w:val="30"/>
        </w:rPr>
        <w:t>utline</w:t>
      </w:r>
      <w:bookmarkEnd w:id="10"/>
    </w:p>
    <w:p w14:paraId="3F8CEDC3" w14:textId="77777777" w:rsidR="00FE69A4" w:rsidRPr="00C00000" w:rsidRDefault="00FE69A4" w:rsidP="00D531E9">
      <w:pPr>
        <w:pStyle w:val="BodyText"/>
        <w:keepNext/>
        <w:spacing w:line="276" w:lineRule="auto"/>
        <w:ind w:left="873" w:right="170"/>
        <w:jc w:val="both"/>
        <w:rPr>
          <w:rFonts w:asciiTheme="minorHAnsi" w:hAnsiTheme="minorHAnsi"/>
        </w:rPr>
      </w:pPr>
    </w:p>
    <w:p w14:paraId="1B43F7DD" w14:textId="6B0C33E5" w:rsidR="006A7B4C" w:rsidRDefault="005A3BA3" w:rsidP="00D531E9">
      <w:pPr>
        <w:pStyle w:val="Heading2"/>
        <w:rPr>
          <w:rStyle w:val="Strong"/>
          <w:b/>
          <w:bCs w:val="0"/>
        </w:rPr>
      </w:pPr>
      <w:bookmarkStart w:id="11" w:name="_Toc33602741"/>
      <w:r>
        <w:rPr>
          <w:rStyle w:val="Strong"/>
          <w:b/>
          <w:bCs w:val="0"/>
        </w:rPr>
        <w:t xml:space="preserve">The Constitutional basis of </w:t>
      </w:r>
      <w:r w:rsidRPr="00FE69A4">
        <w:rPr>
          <w:rStyle w:val="Strong"/>
          <w:b/>
          <w:bCs w:val="0"/>
        </w:rPr>
        <w:t>Commonwealth</w:t>
      </w:r>
      <w:r w:rsidRPr="00C00000">
        <w:rPr>
          <w:rStyle w:val="Strong"/>
          <w:b/>
          <w:bCs w:val="0"/>
        </w:rPr>
        <w:t xml:space="preserve"> sentencing</w:t>
      </w:r>
      <w:bookmarkEnd w:id="11"/>
    </w:p>
    <w:p w14:paraId="4DE2293E" w14:textId="4DD92163" w:rsidR="006A7B4C" w:rsidRPr="004F2343" w:rsidRDefault="006A7B4C">
      <w:pPr>
        <w:pStyle w:val="BodyText"/>
        <w:keepNext/>
        <w:spacing w:line="276" w:lineRule="auto"/>
        <w:ind w:left="873" w:right="170"/>
        <w:jc w:val="both"/>
        <w:rPr>
          <w:rFonts w:ascii="Calibri" w:hAnsi="Calibri"/>
        </w:rPr>
      </w:pPr>
    </w:p>
    <w:p w14:paraId="04D7167B" w14:textId="13677005" w:rsidR="00BA2D91" w:rsidRPr="008D6EEA" w:rsidRDefault="00BA2D91" w:rsidP="00BA2D91">
      <w:pPr>
        <w:pStyle w:val="Heading3"/>
      </w:pPr>
      <w:bookmarkStart w:id="12" w:name="_Toc33602742"/>
      <w:r>
        <w:t>Commonwealth offences under the Constitution</w:t>
      </w:r>
      <w:bookmarkEnd w:id="12"/>
    </w:p>
    <w:p w14:paraId="7D07F4E1" w14:textId="77777777" w:rsidR="005A3BA3" w:rsidRPr="00C00000" w:rsidRDefault="005A3BA3" w:rsidP="00D531E9">
      <w:pPr>
        <w:pStyle w:val="BodyText"/>
        <w:keepNext/>
        <w:spacing w:line="276" w:lineRule="auto"/>
        <w:ind w:left="873" w:right="170"/>
        <w:jc w:val="both"/>
        <w:rPr>
          <w:rFonts w:asciiTheme="minorHAnsi" w:hAnsiTheme="minorHAnsi"/>
        </w:rPr>
      </w:pPr>
    </w:p>
    <w:p w14:paraId="354A49CF" w14:textId="661F4E86" w:rsidR="00C53EE3" w:rsidRDefault="005A3BA3" w:rsidP="00EB7F1E">
      <w:pPr>
        <w:pStyle w:val="ListParagraph"/>
        <w:numPr>
          <w:ilvl w:val="0"/>
          <w:numId w:val="7"/>
        </w:numPr>
        <w:spacing w:line="276" w:lineRule="auto"/>
        <w:ind w:left="425" w:hanging="425"/>
        <w:contextualSpacing w:val="0"/>
        <w:rPr>
          <w:rFonts w:asciiTheme="minorHAnsi" w:hAnsiTheme="minorHAnsi"/>
        </w:rPr>
      </w:pPr>
      <w:r w:rsidRPr="00C53EE3">
        <w:rPr>
          <w:rFonts w:asciiTheme="minorHAnsi" w:hAnsiTheme="minorHAnsi"/>
        </w:rPr>
        <w:t xml:space="preserve">The Constitution of the Commonwealth </w:t>
      </w:r>
      <w:r w:rsidR="00192D92">
        <w:rPr>
          <w:rFonts w:asciiTheme="minorHAnsi" w:hAnsiTheme="minorHAnsi"/>
        </w:rPr>
        <w:t xml:space="preserve">of Australia </w:t>
      </w:r>
      <w:r w:rsidR="00C53EE3" w:rsidRPr="00C53EE3">
        <w:rPr>
          <w:rFonts w:asciiTheme="minorHAnsi" w:hAnsiTheme="minorHAnsi"/>
        </w:rPr>
        <w:t>contemplated the creation of Commonwealth offences, including indictable offences, and their punishment by imprisonment.</w:t>
      </w:r>
    </w:p>
    <w:p w14:paraId="7DFE5D97" w14:textId="77777777" w:rsidR="001E337B" w:rsidRDefault="001E337B">
      <w:pPr>
        <w:pStyle w:val="BodyText"/>
        <w:spacing w:line="276" w:lineRule="auto"/>
        <w:ind w:right="170"/>
        <w:jc w:val="both"/>
        <w:rPr>
          <w:rFonts w:asciiTheme="minorHAnsi" w:hAnsiTheme="minorHAnsi"/>
        </w:rPr>
      </w:pPr>
    </w:p>
    <w:p w14:paraId="2259706E" w14:textId="28E8C06A" w:rsidR="003D3EAC" w:rsidRDefault="00C53EE3" w:rsidP="00EB7F1E">
      <w:pPr>
        <w:pStyle w:val="ListParagraph"/>
        <w:numPr>
          <w:ilvl w:val="0"/>
          <w:numId w:val="7"/>
        </w:numPr>
        <w:spacing w:line="276" w:lineRule="auto"/>
        <w:ind w:left="425" w:hanging="425"/>
        <w:contextualSpacing w:val="0"/>
        <w:rPr>
          <w:rFonts w:asciiTheme="minorHAnsi" w:hAnsiTheme="minorHAnsi"/>
        </w:rPr>
      </w:pPr>
      <w:r w:rsidRPr="00C53EE3">
        <w:rPr>
          <w:rFonts w:asciiTheme="minorHAnsi" w:hAnsiTheme="minorHAnsi"/>
        </w:rPr>
        <w:t xml:space="preserve">The Constitution </w:t>
      </w:r>
      <w:r w:rsidR="005A3BA3" w:rsidRPr="00C53EE3">
        <w:rPr>
          <w:rFonts w:asciiTheme="minorHAnsi" w:hAnsiTheme="minorHAnsi"/>
        </w:rPr>
        <w:t>contains three provisions (ss</w:t>
      </w:r>
      <w:r w:rsidR="001219C3">
        <w:rPr>
          <w:rFonts w:asciiTheme="minorHAnsi" w:hAnsiTheme="minorHAnsi"/>
        </w:rPr>
        <w:t xml:space="preserve"> </w:t>
      </w:r>
      <w:r w:rsidR="005A3BA3" w:rsidRPr="00C53EE3">
        <w:rPr>
          <w:rFonts w:asciiTheme="minorHAnsi" w:hAnsiTheme="minorHAnsi"/>
        </w:rPr>
        <w:t>44, 80 and 120) which refer to offences against</w:t>
      </w:r>
      <w:r w:rsidR="001219C3">
        <w:rPr>
          <w:rFonts w:asciiTheme="minorHAnsi" w:hAnsiTheme="minorHAnsi"/>
        </w:rPr>
        <w:t>,</w:t>
      </w:r>
      <w:r w:rsidR="005A3BA3" w:rsidRPr="00C53EE3">
        <w:rPr>
          <w:rFonts w:asciiTheme="minorHAnsi" w:hAnsiTheme="minorHAnsi"/>
        </w:rPr>
        <w:t xml:space="preserve"> or punishable under</w:t>
      </w:r>
      <w:r w:rsidR="001219C3">
        <w:rPr>
          <w:rFonts w:asciiTheme="minorHAnsi" w:hAnsiTheme="minorHAnsi"/>
        </w:rPr>
        <w:t>,</w:t>
      </w:r>
      <w:r w:rsidR="005A3BA3" w:rsidRPr="00C53EE3">
        <w:rPr>
          <w:rFonts w:asciiTheme="minorHAnsi" w:hAnsiTheme="minorHAnsi"/>
        </w:rPr>
        <w:t xml:space="preserve"> the law of the Commonwealth</w:t>
      </w:r>
      <w:r w:rsidR="003D3EAC">
        <w:rPr>
          <w:rFonts w:asciiTheme="minorHAnsi" w:hAnsiTheme="minorHAnsi"/>
        </w:rPr>
        <w:t>:</w:t>
      </w:r>
    </w:p>
    <w:p w14:paraId="5C3AE821" w14:textId="72BAB335" w:rsidR="001E337B" w:rsidRDefault="003D3EAC"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Section 44 provides that conviction for an offence </w:t>
      </w:r>
      <w:r w:rsidR="00BA2B0B" w:rsidRPr="00BA2B0B">
        <w:rPr>
          <w:rFonts w:asciiTheme="minorHAnsi" w:hAnsiTheme="minorHAnsi"/>
        </w:rPr>
        <w:t>punishable under the law of the Commonwealth by imprisonment for one year or longer is one of the circumstances which disqualifies a person from being chosen or sitting as a senator or a member of the House of Representative</w:t>
      </w:r>
      <w:r w:rsidR="007C702C">
        <w:rPr>
          <w:rFonts w:asciiTheme="minorHAnsi" w:hAnsiTheme="minorHAnsi"/>
        </w:rPr>
        <w:t>s</w:t>
      </w:r>
      <w:r w:rsidR="00BA2B0B" w:rsidRPr="00BA2B0B">
        <w:rPr>
          <w:rFonts w:asciiTheme="minorHAnsi" w:hAnsiTheme="minorHAnsi"/>
        </w:rPr>
        <w:t xml:space="preserve">.  </w:t>
      </w:r>
    </w:p>
    <w:p w14:paraId="5AE80E5B" w14:textId="77777777" w:rsidR="001E337B" w:rsidRDefault="005A3BA3" w:rsidP="00EB7F1E">
      <w:pPr>
        <w:pStyle w:val="ListParagraph"/>
        <w:numPr>
          <w:ilvl w:val="1"/>
          <w:numId w:val="36"/>
        </w:numPr>
        <w:spacing w:line="276" w:lineRule="auto"/>
        <w:ind w:left="993" w:right="28" w:hanging="142"/>
        <w:rPr>
          <w:rFonts w:asciiTheme="minorHAnsi" w:hAnsiTheme="minorHAnsi"/>
        </w:rPr>
      </w:pPr>
      <w:r w:rsidRPr="003D3EAC">
        <w:rPr>
          <w:rFonts w:asciiTheme="minorHAnsi" w:hAnsiTheme="minorHAnsi"/>
        </w:rPr>
        <w:t xml:space="preserve">Section 80 </w:t>
      </w:r>
      <w:r w:rsidR="00C53EE3" w:rsidRPr="003D3EAC">
        <w:rPr>
          <w:rFonts w:asciiTheme="minorHAnsi" w:hAnsiTheme="minorHAnsi"/>
        </w:rPr>
        <w:t>provides</w:t>
      </w:r>
      <w:r w:rsidR="003D3EAC" w:rsidRPr="003D3EAC">
        <w:rPr>
          <w:rFonts w:asciiTheme="minorHAnsi" w:hAnsiTheme="minorHAnsi"/>
        </w:rPr>
        <w:t xml:space="preserve"> that </w:t>
      </w:r>
      <w:r w:rsidR="003D3EAC">
        <w:rPr>
          <w:rFonts w:asciiTheme="minorHAnsi" w:hAnsiTheme="minorHAnsi"/>
        </w:rPr>
        <w:t>t</w:t>
      </w:r>
      <w:r w:rsidR="00BA2B0B" w:rsidRPr="00BA2B0B">
        <w:rPr>
          <w:rFonts w:asciiTheme="minorHAnsi" w:hAnsiTheme="minorHAnsi"/>
        </w:rPr>
        <w:t>he trial on indictment of any offence against any law of the Commonwealth shall be by jury, and every such trial shall be held in the State where the offence was committed, and if the offence was not committed within any State the trial shall be held at such place or places as the Parliament prescribes.</w:t>
      </w:r>
    </w:p>
    <w:p w14:paraId="137BA722" w14:textId="77777777" w:rsidR="001E337B" w:rsidRDefault="005A3BA3"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Section 120 requires the States to </w:t>
      </w:r>
      <w:r w:rsidR="00BA2B0B" w:rsidRPr="00BA2B0B">
        <w:rPr>
          <w:rFonts w:asciiTheme="minorHAnsi" w:hAnsiTheme="minorHAnsi"/>
        </w:rPr>
        <w:t>make provision for the detention in its prisons of persons accused or convicted of offences against the laws of the Commonwealth, and for the punishment of persons convicted of such offences, and empowers the Parliament of the Commonwealth to make laws to give effect to this provision.</w:t>
      </w:r>
    </w:p>
    <w:p w14:paraId="09C77050" w14:textId="77777777" w:rsidR="005A3BA3" w:rsidRDefault="005A3BA3" w:rsidP="005A3BA3">
      <w:pPr>
        <w:pStyle w:val="BodyText"/>
        <w:spacing w:line="276" w:lineRule="auto"/>
        <w:ind w:right="170"/>
        <w:jc w:val="both"/>
        <w:rPr>
          <w:rFonts w:asciiTheme="minorHAnsi" w:hAnsiTheme="minorHAnsi"/>
        </w:rPr>
      </w:pPr>
    </w:p>
    <w:p w14:paraId="57FC52BB" w14:textId="74FBF59A" w:rsidR="0077013C" w:rsidRDefault="0000065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w:t>
      </w:r>
      <w:r w:rsidR="0077013C">
        <w:rPr>
          <w:rFonts w:asciiTheme="minorHAnsi" w:hAnsiTheme="minorHAnsi"/>
        </w:rPr>
        <w:t xml:space="preserve"> </w:t>
      </w:r>
      <w:r w:rsidR="003D3EAC">
        <w:rPr>
          <w:rFonts w:asciiTheme="minorHAnsi" w:hAnsiTheme="minorHAnsi"/>
        </w:rPr>
        <w:t>80</w:t>
      </w:r>
      <w:r w:rsidR="002A42E8">
        <w:rPr>
          <w:rFonts w:asciiTheme="minorHAnsi" w:hAnsiTheme="minorHAnsi"/>
        </w:rPr>
        <w:t xml:space="preserve"> empowers the Parliament to prescribe the place of trial on indictment for an offence against the laws of the </w:t>
      </w:r>
      <w:r w:rsidR="002A42E8" w:rsidRPr="002A42E8">
        <w:rPr>
          <w:rFonts w:asciiTheme="minorHAnsi" w:hAnsiTheme="minorHAnsi"/>
        </w:rPr>
        <w:t>Commonwealth</w:t>
      </w:r>
      <w:r w:rsidR="002A42E8">
        <w:rPr>
          <w:rFonts w:asciiTheme="minorHAnsi" w:hAnsiTheme="minorHAnsi"/>
        </w:rPr>
        <w:t xml:space="preserve"> if the offence was not committed within any State,</w:t>
      </w:r>
      <w:r w:rsidR="009827AB" w:rsidRPr="00C00000">
        <w:rPr>
          <w:rStyle w:val="Style"/>
          <w:rFonts w:asciiTheme="minorHAnsi" w:hAnsiTheme="minorHAnsi"/>
        </w:rPr>
        <w:footnoteReference w:id="7"/>
      </w:r>
      <w:r w:rsidR="002A42E8">
        <w:rPr>
          <w:rFonts w:asciiTheme="minorHAnsi" w:hAnsiTheme="minorHAnsi"/>
        </w:rPr>
        <w:t xml:space="preserve"> and s.120 empowers the Parliament to make laws to give effect </w:t>
      </w:r>
      <w:r w:rsidR="00E84FC5">
        <w:rPr>
          <w:rFonts w:asciiTheme="minorHAnsi" w:hAnsiTheme="minorHAnsi"/>
        </w:rPr>
        <w:t>to that section.</w:t>
      </w:r>
      <w:r w:rsidR="00411DF4" w:rsidRPr="00C00000">
        <w:rPr>
          <w:rStyle w:val="Style"/>
          <w:rFonts w:asciiTheme="minorHAnsi" w:hAnsiTheme="minorHAnsi"/>
        </w:rPr>
        <w:footnoteReference w:id="8"/>
      </w:r>
      <w:r w:rsidR="00E84FC5">
        <w:rPr>
          <w:rFonts w:asciiTheme="minorHAnsi" w:hAnsiTheme="minorHAnsi"/>
        </w:rPr>
        <w:t xml:space="preserve"> </w:t>
      </w:r>
      <w:r w:rsidR="002A42E8">
        <w:rPr>
          <w:rFonts w:asciiTheme="minorHAnsi" w:hAnsiTheme="minorHAnsi"/>
        </w:rPr>
        <w:t xml:space="preserve"> </w:t>
      </w:r>
    </w:p>
    <w:p w14:paraId="27FF42EB" w14:textId="77777777" w:rsidR="0077013C" w:rsidRDefault="0077013C" w:rsidP="0077013C">
      <w:pPr>
        <w:pStyle w:val="BodyText"/>
        <w:spacing w:line="276" w:lineRule="auto"/>
        <w:ind w:right="170"/>
        <w:jc w:val="both"/>
        <w:rPr>
          <w:rFonts w:asciiTheme="minorHAnsi" w:hAnsiTheme="minorHAnsi"/>
        </w:rPr>
      </w:pPr>
    </w:p>
    <w:p w14:paraId="432C5FF0" w14:textId="736BF205" w:rsidR="005A3BA3" w:rsidRDefault="005A3BA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However the Constitution confers no </w:t>
      </w:r>
      <w:r w:rsidR="00716E67">
        <w:rPr>
          <w:rFonts w:asciiTheme="minorHAnsi" w:hAnsiTheme="minorHAnsi"/>
        </w:rPr>
        <w:t xml:space="preserve">other </w:t>
      </w:r>
      <w:r>
        <w:rPr>
          <w:rFonts w:asciiTheme="minorHAnsi" w:hAnsiTheme="minorHAnsi"/>
        </w:rPr>
        <w:t xml:space="preserve">specific power on the federal Parliament to make laws with respect to crimes or the sentencing of offenders.  The power of the </w:t>
      </w:r>
      <w:r w:rsidRPr="00C94A9F">
        <w:rPr>
          <w:rFonts w:asciiTheme="minorHAnsi" w:hAnsiTheme="minorHAnsi"/>
        </w:rPr>
        <w:t>Commonwealth</w:t>
      </w:r>
      <w:r>
        <w:rPr>
          <w:rFonts w:asciiTheme="minorHAnsi" w:hAnsiTheme="minorHAnsi"/>
        </w:rPr>
        <w:t xml:space="preserve"> Parliament to make such laws derives </w:t>
      </w:r>
      <w:r w:rsidR="00EB212C">
        <w:rPr>
          <w:rFonts w:asciiTheme="minorHAnsi" w:hAnsiTheme="minorHAnsi"/>
        </w:rPr>
        <w:t xml:space="preserve">principally </w:t>
      </w:r>
      <w:r>
        <w:rPr>
          <w:rFonts w:asciiTheme="minorHAnsi" w:hAnsiTheme="minorHAnsi"/>
        </w:rPr>
        <w:t xml:space="preserve">from </w:t>
      </w:r>
      <w:r w:rsidR="00E84FC5">
        <w:rPr>
          <w:rFonts w:asciiTheme="minorHAnsi" w:hAnsiTheme="minorHAnsi"/>
        </w:rPr>
        <w:t xml:space="preserve">the incidental power (s.51(xxxix)) </w:t>
      </w:r>
      <w:r w:rsidR="00D07E2D">
        <w:rPr>
          <w:rFonts w:asciiTheme="minorHAnsi" w:hAnsiTheme="minorHAnsi"/>
        </w:rPr>
        <w:t xml:space="preserve">and from </w:t>
      </w:r>
      <w:r>
        <w:rPr>
          <w:rFonts w:asciiTheme="minorHAnsi" w:hAnsiTheme="minorHAnsi"/>
        </w:rPr>
        <w:t xml:space="preserve">other heads of </w:t>
      </w:r>
      <w:r w:rsidR="00EB212C">
        <w:rPr>
          <w:rFonts w:asciiTheme="minorHAnsi" w:hAnsiTheme="minorHAnsi"/>
        </w:rPr>
        <w:t xml:space="preserve">legislative </w:t>
      </w:r>
      <w:r>
        <w:rPr>
          <w:rFonts w:asciiTheme="minorHAnsi" w:hAnsiTheme="minorHAnsi"/>
        </w:rPr>
        <w:t>power</w:t>
      </w:r>
      <w:r w:rsidR="00D07E2D">
        <w:rPr>
          <w:rFonts w:asciiTheme="minorHAnsi" w:hAnsiTheme="minorHAnsi"/>
        </w:rPr>
        <w:t xml:space="preserve"> (for example, </w:t>
      </w:r>
      <w:r>
        <w:rPr>
          <w:rFonts w:asciiTheme="minorHAnsi" w:hAnsiTheme="minorHAnsi"/>
        </w:rPr>
        <w:t>the post</w:t>
      </w:r>
      <w:r w:rsidR="0096109E">
        <w:rPr>
          <w:rFonts w:asciiTheme="minorHAnsi" w:hAnsiTheme="minorHAnsi"/>
        </w:rPr>
        <w:t>al</w:t>
      </w:r>
      <w:r>
        <w:rPr>
          <w:rFonts w:asciiTheme="minorHAnsi" w:hAnsiTheme="minorHAnsi"/>
        </w:rPr>
        <w:t xml:space="preserve"> and tel</w:t>
      </w:r>
      <w:r w:rsidR="00E84FC5">
        <w:rPr>
          <w:rFonts w:asciiTheme="minorHAnsi" w:hAnsiTheme="minorHAnsi"/>
        </w:rPr>
        <w:t xml:space="preserve">ecommunications </w:t>
      </w:r>
      <w:r w:rsidR="0096109E">
        <w:rPr>
          <w:rFonts w:asciiTheme="minorHAnsi" w:hAnsiTheme="minorHAnsi"/>
        </w:rPr>
        <w:t xml:space="preserve">services </w:t>
      </w:r>
      <w:r w:rsidR="00E84FC5">
        <w:rPr>
          <w:rFonts w:asciiTheme="minorHAnsi" w:hAnsiTheme="minorHAnsi"/>
        </w:rPr>
        <w:t>power (s.51(v))</w:t>
      </w:r>
      <w:r>
        <w:rPr>
          <w:rFonts w:asciiTheme="minorHAnsi" w:hAnsiTheme="minorHAnsi"/>
        </w:rPr>
        <w:t xml:space="preserve"> </w:t>
      </w:r>
      <w:r w:rsidR="00E84FC5">
        <w:rPr>
          <w:rFonts w:asciiTheme="minorHAnsi" w:hAnsiTheme="minorHAnsi"/>
        </w:rPr>
        <w:t xml:space="preserve">and </w:t>
      </w:r>
      <w:r>
        <w:rPr>
          <w:rFonts w:asciiTheme="minorHAnsi" w:hAnsiTheme="minorHAnsi"/>
        </w:rPr>
        <w:t>the external affairs power (s.51(xxix))</w:t>
      </w:r>
      <w:r w:rsidR="00D07E2D">
        <w:rPr>
          <w:rFonts w:asciiTheme="minorHAnsi" w:hAnsiTheme="minorHAnsi"/>
        </w:rPr>
        <w:t>)</w:t>
      </w:r>
      <w:r>
        <w:rPr>
          <w:rFonts w:asciiTheme="minorHAnsi" w:hAnsiTheme="minorHAnsi"/>
        </w:rPr>
        <w:t>.</w:t>
      </w:r>
    </w:p>
    <w:p w14:paraId="186960D8" w14:textId="77777777" w:rsidR="005A3BA3" w:rsidRDefault="005A3BA3" w:rsidP="005A3BA3">
      <w:pPr>
        <w:pStyle w:val="BodyText"/>
        <w:spacing w:line="276" w:lineRule="auto"/>
        <w:ind w:right="170"/>
        <w:jc w:val="both"/>
        <w:rPr>
          <w:rFonts w:asciiTheme="minorHAnsi" w:hAnsiTheme="minorHAnsi"/>
        </w:rPr>
      </w:pPr>
    </w:p>
    <w:p w14:paraId="7252A2E5" w14:textId="707112E6" w:rsidR="00BA2D91" w:rsidRPr="00EB5C97" w:rsidRDefault="00BA2D91" w:rsidP="00BA2D91">
      <w:pPr>
        <w:pStyle w:val="Heading3"/>
      </w:pPr>
      <w:bookmarkStart w:id="13" w:name="_Ref10710718"/>
      <w:bookmarkStart w:id="14" w:name="_Ref10710721"/>
      <w:bookmarkStart w:id="15" w:name="_Toc33602743"/>
      <w:r w:rsidRPr="00EB5C97">
        <w:t>Constitu</w:t>
      </w:r>
      <w:r w:rsidR="004E277A" w:rsidRPr="00EB5C97">
        <w:t>t</w:t>
      </w:r>
      <w:r w:rsidRPr="00EB5C97">
        <w:t>ional power to define or invest fed</w:t>
      </w:r>
      <w:r w:rsidR="004E277A" w:rsidRPr="00EB5C97">
        <w:t>e</w:t>
      </w:r>
      <w:r w:rsidRPr="00EB5C97">
        <w:t>ral jurisdiction</w:t>
      </w:r>
      <w:bookmarkEnd w:id="13"/>
      <w:bookmarkEnd w:id="14"/>
      <w:bookmarkEnd w:id="15"/>
    </w:p>
    <w:p w14:paraId="2D3062C9" w14:textId="77777777" w:rsidR="003D1D05" w:rsidRPr="00EB5C97" w:rsidRDefault="003D1D05" w:rsidP="003D1D05">
      <w:pPr>
        <w:pStyle w:val="BodyText"/>
        <w:keepNext/>
        <w:spacing w:line="276" w:lineRule="auto"/>
        <w:ind w:left="873" w:right="170"/>
        <w:jc w:val="both"/>
        <w:rPr>
          <w:rFonts w:asciiTheme="minorHAnsi" w:hAnsiTheme="minorHAnsi"/>
        </w:rPr>
      </w:pPr>
    </w:p>
    <w:p w14:paraId="45465CDE" w14:textId="01FF0CDE" w:rsidR="00D37BE0" w:rsidRPr="00EB5C97" w:rsidRDefault="00D37BE0" w:rsidP="00EB7F1E">
      <w:pPr>
        <w:pStyle w:val="ListParagraph"/>
        <w:numPr>
          <w:ilvl w:val="0"/>
          <w:numId w:val="7"/>
        </w:numPr>
        <w:spacing w:line="276" w:lineRule="auto"/>
        <w:ind w:left="425" w:hanging="425"/>
        <w:contextualSpacing w:val="0"/>
        <w:rPr>
          <w:rFonts w:asciiTheme="minorHAnsi" w:hAnsiTheme="minorHAnsi"/>
        </w:rPr>
      </w:pPr>
      <w:r w:rsidRPr="00EB5C97">
        <w:rPr>
          <w:rFonts w:asciiTheme="minorHAnsi" w:hAnsiTheme="minorHAnsi"/>
        </w:rPr>
        <w:t>Sentencing for federal offences involves the exercise of the judicial power of the Commonwealth, which is governed by Chapter III (ss 71-80) of the Constitution.</w:t>
      </w:r>
    </w:p>
    <w:p w14:paraId="2CC2183A" w14:textId="77777777" w:rsidR="00D37BE0" w:rsidRPr="00EB5C97" w:rsidRDefault="00D37BE0" w:rsidP="00EB7F1E">
      <w:pPr>
        <w:autoSpaceDE w:val="0"/>
        <w:autoSpaceDN w:val="0"/>
        <w:adjustRightInd w:val="0"/>
        <w:spacing w:line="276" w:lineRule="auto"/>
        <w:ind w:right="170"/>
        <w:rPr>
          <w:rFonts w:asciiTheme="minorHAnsi" w:hAnsiTheme="minorHAnsi"/>
        </w:rPr>
      </w:pPr>
    </w:p>
    <w:p w14:paraId="09A4D1A2" w14:textId="77777777" w:rsidR="003C22DC" w:rsidRPr="00EB5C97" w:rsidRDefault="00C4769B" w:rsidP="00EB7F1E">
      <w:pPr>
        <w:pStyle w:val="ListParagraph"/>
        <w:numPr>
          <w:ilvl w:val="0"/>
          <w:numId w:val="7"/>
        </w:numPr>
        <w:spacing w:line="276" w:lineRule="auto"/>
        <w:ind w:left="425" w:hanging="425"/>
        <w:contextualSpacing w:val="0"/>
        <w:rPr>
          <w:rFonts w:asciiTheme="minorHAnsi" w:hAnsiTheme="minorHAnsi"/>
        </w:rPr>
      </w:pPr>
      <w:r w:rsidRPr="00EB5C97">
        <w:rPr>
          <w:rFonts w:asciiTheme="minorHAnsi" w:hAnsiTheme="minorHAnsi"/>
        </w:rPr>
        <w:t>Section 71</w:t>
      </w:r>
      <w:r w:rsidR="00656975" w:rsidRPr="00EB5C97">
        <w:rPr>
          <w:rFonts w:asciiTheme="minorHAnsi" w:hAnsiTheme="minorHAnsi"/>
        </w:rPr>
        <w:t xml:space="preserve"> </w:t>
      </w:r>
      <w:r w:rsidRPr="00EB5C97">
        <w:rPr>
          <w:rFonts w:asciiTheme="minorHAnsi" w:hAnsiTheme="minorHAnsi"/>
        </w:rPr>
        <w:t>of t</w:t>
      </w:r>
      <w:r w:rsidR="00D21F1E" w:rsidRPr="00EB5C97">
        <w:rPr>
          <w:rFonts w:asciiTheme="minorHAnsi" w:hAnsiTheme="minorHAnsi"/>
        </w:rPr>
        <w:t xml:space="preserve">he Constitution </w:t>
      </w:r>
      <w:r w:rsidRPr="00EB5C97">
        <w:rPr>
          <w:rFonts w:asciiTheme="minorHAnsi" w:hAnsiTheme="minorHAnsi"/>
        </w:rPr>
        <w:t>vests</w:t>
      </w:r>
      <w:r w:rsidR="00D21F1E" w:rsidRPr="00EB5C97">
        <w:rPr>
          <w:rFonts w:asciiTheme="minorHAnsi" w:hAnsiTheme="minorHAnsi"/>
        </w:rPr>
        <w:t xml:space="preserve"> the </w:t>
      </w:r>
      <w:r w:rsidRPr="00EB5C97">
        <w:rPr>
          <w:rFonts w:asciiTheme="minorHAnsi" w:hAnsiTheme="minorHAnsi"/>
        </w:rPr>
        <w:t>judicial power of the Commonwealth in the High Court</w:t>
      </w:r>
      <w:r w:rsidR="0072573D" w:rsidRPr="00EB5C97">
        <w:rPr>
          <w:rFonts w:asciiTheme="minorHAnsi" w:hAnsiTheme="minorHAnsi"/>
        </w:rPr>
        <w:t xml:space="preserve"> of Australia</w:t>
      </w:r>
      <w:r w:rsidRPr="00EB5C97">
        <w:rPr>
          <w:rFonts w:asciiTheme="minorHAnsi" w:hAnsiTheme="minorHAnsi"/>
        </w:rPr>
        <w:t xml:space="preserve">, other federal courts and other courts that the Parliament of the Commonwealth vests with federal jurisdiction.  </w:t>
      </w:r>
    </w:p>
    <w:p w14:paraId="6279BAC9" w14:textId="77777777" w:rsidR="003C22DC" w:rsidRPr="00EB5C97" w:rsidRDefault="003C22DC" w:rsidP="00EB7F1E">
      <w:pPr>
        <w:pStyle w:val="ListParagraph"/>
        <w:rPr>
          <w:rFonts w:asciiTheme="minorHAnsi" w:hAnsiTheme="minorHAnsi"/>
        </w:rPr>
      </w:pPr>
    </w:p>
    <w:p w14:paraId="0C0E1A44" w14:textId="77777777" w:rsidR="002916E2" w:rsidRPr="00EB5C97" w:rsidRDefault="00656975" w:rsidP="00EB7F1E">
      <w:pPr>
        <w:pStyle w:val="ListParagraph"/>
        <w:numPr>
          <w:ilvl w:val="0"/>
          <w:numId w:val="7"/>
        </w:numPr>
        <w:spacing w:line="276" w:lineRule="auto"/>
        <w:ind w:left="425" w:hanging="425"/>
        <w:contextualSpacing w:val="0"/>
        <w:rPr>
          <w:rFonts w:asciiTheme="minorHAnsi" w:hAnsiTheme="minorHAnsi"/>
        </w:rPr>
      </w:pPr>
      <w:r w:rsidRPr="00EB5C97">
        <w:rPr>
          <w:rFonts w:asciiTheme="minorHAnsi" w:hAnsiTheme="minorHAnsi"/>
        </w:rPr>
        <w:t>One implication from this provision is that the judicial power cannot be vested in a body which is not a “court” within the meaning of Chapter III.</w:t>
      </w:r>
      <w:r w:rsidR="003C22DC" w:rsidRPr="00EB5C97">
        <w:rPr>
          <w:rFonts w:asciiTheme="minorHAnsi" w:hAnsiTheme="minorHAnsi"/>
        </w:rPr>
        <w:t xml:space="preserve">  That is, the separation of the judicial power of the Commonwealth from legislative or executive power which is implicit in Chapter III means that</w:t>
      </w:r>
      <w:r w:rsidR="002916E2" w:rsidRPr="00EB5C97">
        <w:rPr>
          <w:rFonts w:asciiTheme="minorHAnsi" w:hAnsiTheme="minorHAnsi"/>
        </w:rPr>
        <w:t>:</w:t>
      </w:r>
      <w:r w:rsidR="003C22DC" w:rsidRPr="00EB5C97">
        <w:rPr>
          <w:rFonts w:asciiTheme="minorHAnsi" w:hAnsiTheme="minorHAnsi"/>
        </w:rPr>
        <w:t xml:space="preserve"> </w:t>
      </w:r>
    </w:p>
    <w:p w14:paraId="21047AA6" w14:textId="693EC52D" w:rsidR="002916E2" w:rsidRPr="00EB5C97" w:rsidRDefault="003C22DC" w:rsidP="00EB7F1E">
      <w:pPr>
        <w:pStyle w:val="ListParagraph"/>
        <w:numPr>
          <w:ilvl w:val="1"/>
          <w:numId w:val="36"/>
        </w:numPr>
        <w:spacing w:line="276" w:lineRule="auto"/>
        <w:ind w:left="993" w:right="28" w:hanging="142"/>
        <w:rPr>
          <w:rFonts w:asciiTheme="minorHAnsi" w:hAnsiTheme="minorHAnsi"/>
        </w:rPr>
      </w:pPr>
      <w:r w:rsidRPr="00EB5C97">
        <w:rPr>
          <w:rFonts w:asciiTheme="minorHAnsi" w:hAnsiTheme="minorHAnsi"/>
        </w:rPr>
        <w:t>only a “court” can exercise the judicial powe</w:t>
      </w:r>
      <w:r w:rsidR="002916E2" w:rsidRPr="00EB5C97">
        <w:rPr>
          <w:rFonts w:asciiTheme="minorHAnsi" w:hAnsiTheme="minorHAnsi"/>
        </w:rPr>
        <w:t>r;</w:t>
      </w:r>
      <w:r w:rsidR="00BC27D6" w:rsidRPr="00EB5C97">
        <w:rPr>
          <w:rStyle w:val="Style"/>
          <w:rFonts w:asciiTheme="minorHAnsi" w:hAnsiTheme="minorHAnsi"/>
        </w:rPr>
        <w:footnoteReference w:id="9"/>
      </w:r>
      <w:r w:rsidRPr="00EB5C97">
        <w:rPr>
          <w:rFonts w:asciiTheme="minorHAnsi" w:hAnsiTheme="minorHAnsi"/>
        </w:rPr>
        <w:t xml:space="preserve"> and</w:t>
      </w:r>
    </w:p>
    <w:p w14:paraId="482E0B3C" w14:textId="00AD4E9D" w:rsidR="002916E2" w:rsidRPr="00EB5C97" w:rsidRDefault="003C22DC" w:rsidP="00EB7F1E">
      <w:pPr>
        <w:pStyle w:val="ListParagraph"/>
        <w:numPr>
          <w:ilvl w:val="1"/>
          <w:numId w:val="36"/>
        </w:numPr>
        <w:spacing w:line="276" w:lineRule="auto"/>
        <w:ind w:left="993" w:right="28" w:hanging="142"/>
        <w:rPr>
          <w:rFonts w:asciiTheme="minorHAnsi" w:hAnsiTheme="minorHAnsi"/>
        </w:rPr>
      </w:pPr>
      <w:r w:rsidRPr="00EB5C97">
        <w:rPr>
          <w:rFonts w:asciiTheme="minorHAnsi" w:hAnsiTheme="minorHAnsi"/>
        </w:rPr>
        <w:t>a court can</w:t>
      </w:r>
      <w:r w:rsidR="002916E2" w:rsidRPr="00EB5C97">
        <w:rPr>
          <w:rFonts w:asciiTheme="minorHAnsi" w:hAnsiTheme="minorHAnsi"/>
        </w:rPr>
        <w:t>not</w:t>
      </w:r>
      <w:r w:rsidRPr="00EB5C97">
        <w:rPr>
          <w:rFonts w:asciiTheme="minorHAnsi" w:hAnsiTheme="minorHAnsi"/>
        </w:rPr>
        <w:t xml:space="preserve"> be invested with </w:t>
      </w:r>
      <w:r w:rsidR="00A516B1" w:rsidRPr="00EB5C97">
        <w:rPr>
          <w:rFonts w:asciiTheme="minorHAnsi" w:hAnsiTheme="minorHAnsi"/>
        </w:rPr>
        <w:t xml:space="preserve">a </w:t>
      </w:r>
      <w:r w:rsidRPr="00EB5C97">
        <w:rPr>
          <w:rFonts w:asciiTheme="minorHAnsi" w:hAnsiTheme="minorHAnsi"/>
        </w:rPr>
        <w:t xml:space="preserve">non-judicial </w:t>
      </w:r>
      <w:r w:rsidR="00A516B1" w:rsidRPr="00EB5C97">
        <w:rPr>
          <w:rFonts w:asciiTheme="minorHAnsi" w:hAnsiTheme="minorHAnsi"/>
        </w:rPr>
        <w:t>power or function</w:t>
      </w:r>
      <w:r w:rsidRPr="00EB5C97">
        <w:rPr>
          <w:rFonts w:asciiTheme="minorHAnsi" w:hAnsiTheme="minorHAnsi"/>
        </w:rPr>
        <w:t xml:space="preserve"> </w:t>
      </w:r>
      <w:r w:rsidR="00A516B1" w:rsidRPr="00EB5C97">
        <w:rPr>
          <w:rFonts w:asciiTheme="minorHAnsi" w:hAnsiTheme="minorHAnsi"/>
        </w:rPr>
        <w:t>except to the extent that it is auxiliary or incidental to the exercise of the judicial power of the Commonwealth</w:t>
      </w:r>
      <w:r w:rsidR="00A516B1" w:rsidRPr="00EB5C97">
        <w:rPr>
          <w:rFonts w:ascii="Calibri" w:hAnsi="Calibri"/>
        </w:rPr>
        <w:t>.</w:t>
      </w:r>
      <w:bookmarkStart w:id="16" w:name="_Ref10360733"/>
      <w:r w:rsidR="00A516B1" w:rsidRPr="00EB5C97">
        <w:rPr>
          <w:rStyle w:val="Style"/>
          <w:rFonts w:asciiTheme="minorHAnsi" w:hAnsiTheme="minorHAnsi"/>
        </w:rPr>
        <w:footnoteReference w:id="10"/>
      </w:r>
      <w:bookmarkEnd w:id="16"/>
    </w:p>
    <w:p w14:paraId="6FE4A704" w14:textId="77777777" w:rsidR="002916E2" w:rsidRPr="00EB5C97" w:rsidRDefault="002916E2" w:rsidP="00EB7F1E">
      <w:pPr>
        <w:pStyle w:val="ListParagraph"/>
        <w:rPr>
          <w:rFonts w:asciiTheme="minorHAnsi" w:hAnsiTheme="minorHAnsi"/>
        </w:rPr>
      </w:pPr>
    </w:p>
    <w:p w14:paraId="5A57EA00" w14:textId="39673A22" w:rsidR="00656975" w:rsidRPr="00EB5C97" w:rsidRDefault="000D602E" w:rsidP="00EB7F1E">
      <w:pPr>
        <w:pStyle w:val="ListParagraph"/>
        <w:numPr>
          <w:ilvl w:val="0"/>
          <w:numId w:val="7"/>
        </w:numPr>
        <w:spacing w:line="276" w:lineRule="auto"/>
        <w:ind w:left="425" w:hanging="425"/>
        <w:contextualSpacing w:val="0"/>
        <w:rPr>
          <w:rFonts w:asciiTheme="minorHAnsi" w:hAnsiTheme="minorHAnsi"/>
        </w:rPr>
      </w:pPr>
      <w:r w:rsidRPr="00EB5C97">
        <w:rPr>
          <w:rFonts w:asciiTheme="minorHAnsi" w:hAnsiTheme="minorHAnsi"/>
        </w:rPr>
        <w:t xml:space="preserve">These limitations </w:t>
      </w:r>
      <w:r w:rsidR="006A7B4C" w:rsidRPr="00EB5C97">
        <w:rPr>
          <w:rFonts w:asciiTheme="minorHAnsi" w:hAnsiTheme="minorHAnsi"/>
        </w:rPr>
        <w:t xml:space="preserve">affect </w:t>
      </w:r>
      <w:r w:rsidR="008344E5" w:rsidRPr="00EB5C97">
        <w:rPr>
          <w:rFonts w:asciiTheme="minorHAnsi" w:hAnsiTheme="minorHAnsi"/>
        </w:rPr>
        <w:t>the sentencing of federal offenders</w:t>
      </w:r>
      <w:r w:rsidR="006A7B4C" w:rsidRPr="00EB5C97">
        <w:rPr>
          <w:rFonts w:asciiTheme="minorHAnsi" w:hAnsiTheme="minorHAnsi"/>
        </w:rPr>
        <w:t>.</w:t>
      </w:r>
      <w:r w:rsidR="008344E5" w:rsidRPr="00EB5C97">
        <w:rPr>
          <w:rFonts w:asciiTheme="minorHAnsi" w:hAnsiTheme="minorHAnsi"/>
        </w:rPr>
        <w:t xml:space="preserve"> </w:t>
      </w:r>
      <w:r w:rsidR="006A7B4C" w:rsidRPr="00EB5C97">
        <w:rPr>
          <w:rFonts w:asciiTheme="minorHAnsi" w:hAnsiTheme="minorHAnsi"/>
        </w:rPr>
        <w:t xml:space="preserve"> For </w:t>
      </w:r>
      <w:r w:rsidR="008344E5" w:rsidRPr="00EB5C97">
        <w:rPr>
          <w:rFonts w:asciiTheme="minorHAnsi" w:hAnsiTheme="minorHAnsi"/>
        </w:rPr>
        <w:t xml:space="preserve">example, it has been held that </w:t>
      </w:r>
      <w:r w:rsidR="006A7B4C" w:rsidRPr="00EB5C97">
        <w:rPr>
          <w:rFonts w:asciiTheme="minorHAnsi" w:hAnsiTheme="minorHAnsi"/>
        </w:rPr>
        <w:t xml:space="preserve">a State law which provided for </w:t>
      </w:r>
      <w:r w:rsidR="005A0BB9" w:rsidRPr="00EB5C97">
        <w:rPr>
          <w:rFonts w:asciiTheme="minorHAnsi" w:hAnsiTheme="minorHAnsi"/>
        </w:rPr>
        <w:t>a child to be dealt with for an offence by a non-judicial panel could not be picked up and applied by federal law to the sentencing of a federal offender.</w:t>
      </w:r>
      <w:r w:rsidR="005A0BB9" w:rsidRPr="00EB5C97">
        <w:rPr>
          <w:rStyle w:val="Style"/>
          <w:rFonts w:asciiTheme="minorHAnsi" w:hAnsiTheme="minorHAnsi"/>
        </w:rPr>
        <w:footnoteReference w:id="11"/>
      </w:r>
    </w:p>
    <w:p w14:paraId="7B98362B" w14:textId="77777777" w:rsidR="00656975" w:rsidRPr="00EB5C97" w:rsidRDefault="00656975" w:rsidP="00EB7F1E">
      <w:pPr>
        <w:pStyle w:val="ListParagraph"/>
        <w:rPr>
          <w:rFonts w:asciiTheme="minorHAnsi" w:hAnsiTheme="minorHAnsi"/>
        </w:rPr>
      </w:pPr>
    </w:p>
    <w:p w14:paraId="43931CD0" w14:textId="15595F16" w:rsidR="00EB212C" w:rsidRPr="00EB5C97" w:rsidRDefault="00656975" w:rsidP="00EB7F1E">
      <w:pPr>
        <w:pStyle w:val="ListParagraph"/>
        <w:numPr>
          <w:ilvl w:val="0"/>
          <w:numId w:val="7"/>
        </w:numPr>
        <w:spacing w:line="276" w:lineRule="auto"/>
        <w:ind w:left="425" w:hanging="425"/>
        <w:contextualSpacing w:val="0"/>
        <w:rPr>
          <w:rFonts w:asciiTheme="minorHAnsi" w:hAnsiTheme="minorHAnsi"/>
        </w:rPr>
      </w:pPr>
      <w:r w:rsidRPr="00EB5C97">
        <w:rPr>
          <w:rFonts w:asciiTheme="minorHAnsi" w:hAnsiTheme="minorHAnsi"/>
        </w:rPr>
        <w:t>Sections 7</w:t>
      </w:r>
      <w:r w:rsidR="005C3A2C" w:rsidRPr="00EB5C97">
        <w:rPr>
          <w:rFonts w:asciiTheme="minorHAnsi" w:hAnsiTheme="minorHAnsi"/>
        </w:rPr>
        <w:t>5</w:t>
      </w:r>
      <w:r w:rsidRPr="00EB5C97">
        <w:rPr>
          <w:rFonts w:asciiTheme="minorHAnsi" w:hAnsiTheme="minorHAnsi"/>
        </w:rPr>
        <w:t xml:space="preserve"> and 7</w:t>
      </w:r>
      <w:r w:rsidR="005C3A2C" w:rsidRPr="00EB5C97">
        <w:rPr>
          <w:rFonts w:asciiTheme="minorHAnsi" w:hAnsiTheme="minorHAnsi"/>
        </w:rPr>
        <w:t>6</w:t>
      </w:r>
      <w:r w:rsidRPr="00EB5C97">
        <w:rPr>
          <w:rFonts w:asciiTheme="minorHAnsi" w:hAnsiTheme="minorHAnsi"/>
        </w:rPr>
        <w:t xml:space="preserve"> </w:t>
      </w:r>
      <w:r w:rsidR="005A0BB9" w:rsidRPr="00EB5C97">
        <w:rPr>
          <w:rFonts w:asciiTheme="minorHAnsi" w:hAnsiTheme="minorHAnsi"/>
        </w:rPr>
        <w:t xml:space="preserve">of the Constitution </w:t>
      </w:r>
      <w:r w:rsidRPr="00EB5C97">
        <w:rPr>
          <w:rFonts w:asciiTheme="minorHAnsi" w:hAnsiTheme="minorHAnsi"/>
        </w:rPr>
        <w:t xml:space="preserve">provide for the jurisdiction of the High Court.  </w:t>
      </w:r>
      <w:r w:rsidR="005C3A2C" w:rsidRPr="00EB5C97">
        <w:rPr>
          <w:rFonts w:asciiTheme="minorHAnsi" w:hAnsiTheme="minorHAnsi"/>
        </w:rPr>
        <w:t>Section 75 confers original jurisdiction on the Court in certain matters.  Section 76 provides that the Parliament may make laws conferring original jurisdiction on the High Court in specified classes of matters; they include “</w:t>
      </w:r>
      <w:r w:rsidR="005C3A2C" w:rsidRPr="00EB5C97">
        <w:rPr>
          <w:rFonts w:asciiTheme="minorHAnsi" w:hAnsiTheme="minorHAnsi"/>
          <w:i/>
        </w:rPr>
        <w:t>any matter … [a]rising under any laws made by the Parliament</w:t>
      </w:r>
      <w:r w:rsidR="005C3A2C" w:rsidRPr="00EB5C97">
        <w:rPr>
          <w:rFonts w:asciiTheme="minorHAnsi" w:hAnsiTheme="minorHAnsi"/>
        </w:rPr>
        <w:t>” (s 76(ii)).</w:t>
      </w:r>
      <w:r w:rsidR="00CC61E7" w:rsidRPr="00EB5C97">
        <w:rPr>
          <w:rFonts w:asciiTheme="minorHAnsi" w:hAnsiTheme="minorHAnsi"/>
        </w:rPr>
        <w:t xml:space="preserve">  This includes the trial and punishment of offences against Commonwealth</w:t>
      </w:r>
      <w:r w:rsidR="00A76471" w:rsidRPr="00EB5C97">
        <w:rPr>
          <w:rFonts w:asciiTheme="minorHAnsi" w:hAnsiTheme="minorHAnsi"/>
        </w:rPr>
        <w:t xml:space="preserve"> statutes</w:t>
      </w:r>
      <w:r w:rsidR="00CC61E7" w:rsidRPr="00EB5C97">
        <w:rPr>
          <w:rFonts w:asciiTheme="minorHAnsi" w:hAnsiTheme="minorHAnsi"/>
        </w:rPr>
        <w:t>.</w:t>
      </w:r>
      <w:r w:rsidR="00BC27D6" w:rsidRPr="00EB5C97">
        <w:rPr>
          <w:rStyle w:val="Style"/>
          <w:rFonts w:asciiTheme="minorHAnsi" w:hAnsiTheme="minorHAnsi"/>
        </w:rPr>
        <w:footnoteReference w:id="12"/>
      </w:r>
    </w:p>
    <w:p w14:paraId="1D4C081D" w14:textId="77777777" w:rsidR="00EB212C" w:rsidRPr="0063752A" w:rsidRDefault="00EB212C" w:rsidP="00EB7F1E">
      <w:pPr>
        <w:pStyle w:val="ListParagraph"/>
        <w:rPr>
          <w:rFonts w:asciiTheme="minorHAnsi" w:hAnsiTheme="minorHAnsi"/>
          <w:highlight w:val="yellow"/>
        </w:rPr>
      </w:pPr>
    </w:p>
    <w:p w14:paraId="1CF2CD3F" w14:textId="1A023271" w:rsidR="00706F5A" w:rsidRPr="00621E76" w:rsidRDefault="00EB212C"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w:t>
      </w:r>
      <w:r w:rsidR="00C4769B" w:rsidRPr="00621E76">
        <w:rPr>
          <w:rFonts w:asciiTheme="minorHAnsi" w:hAnsiTheme="minorHAnsi"/>
        </w:rPr>
        <w:t xml:space="preserve"> 77 </w:t>
      </w:r>
      <w:r w:rsidR="00706F5A" w:rsidRPr="00621E76">
        <w:rPr>
          <w:rFonts w:asciiTheme="minorHAnsi" w:hAnsiTheme="minorHAnsi"/>
        </w:rPr>
        <w:t>empowers the Parliament to make laws</w:t>
      </w:r>
      <w:r w:rsidR="005D1975" w:rsidRPr="00621E76">
        <w:rPr>
          <w:rFonts w:asciiTheme="minorHAnsi" w:hAnsiTheme="minorHAnsi"/>
        </w:rPr>
        <w:t>, with respect to any matter mentioned in s 75 or s 76, investing or defining the jurisdiction of other courts.  Such laws may define the jurisdiction of any federal court other than the High Court (s 77(i)), define the extent to which the jurisdiction of any federal court shall be exclusive of that which belongs to or is invested in the courts of the States</w:t>
      </w:r>
      <w:r w:rsidR="00CC61E7" w:rsidRPr="00621E76">
        <w:rPr>
          <w:rFonts w:asciiTheme="minorHAnsi" w:hAnsiTheme="minorHAnsi"/>
        </w:rPr>
        <w:t xml:space="preserve"> (s 77(ii)) or</w:t>
      </w:r>
      <w:r w:rsidR="005D1975" w:rsidRPr="00621E76">
        <w:rPr>
          <w:rFonts w:asciiTheme="minorHAnsi" w:hAnsiTheme="minorHAnsi"/>
        </w:rPr>
        <w:t xml:space="preserve"> invest any court of a State with federal jurisdiction</w:t>
      </w:r>
      <w:r w:rsidR="00CC61E7" w:rsidRPr="00621E76">
        <w:rPr>
          <w:rFonts w:asciiTheme="minorHAnsi" w:hAnsiTheme="minorHAnsi"/>
        </w:rPr>
        <w:t xml:space="preserve"> (s 77(iii)).</w:t>
      </w:r>
    </w:p>
    <w:p w14:paraId="3B92E333" w14:textId="77777777" w:rsidR="00EE04B9" w:rsidRPr="00621E76" w:rsidRDefault="00EE04B9" w:rsidP="00EB7F1E">
      <w:pPr>
        <w:pStyle w:val="ListParagraph"/>
        <w:rPr>
          <w:rFonts w:asciiTheme="minorHAnsi" w:hAnsiTheme="minorHAnsi"/>
        </w:rPr>
      </w:pPr>
    </w:p>
    <w:p w14:paraId="43A1EC1E" w14:textId="5D30D77C" w:rsidR="00D25ECE" w:rsidRPr="00621E76" w:rsidRDefault="00E23446">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 term “f</w:t>
      </w:r>
      <w:r w:rsidR="00D25ECE" w:rsidRPr="00621E76">
        <w:rPr>
          <w:rFonts w:asciiTheme="minorHAnsi" w:hAnsiTheme="minorHAnsi"/>
        </w:rPr>
        <w:t>ederal jurisdiction</w:t>
      </w:r>
      <w:r w:rsidRPr="00621E76">
        <w:rPr>
          <w:rFonts w:asciiTheme="minorHAnsi" w:hAnsiTheme="minorHAnsi"/>
        </w:rPr>
        <w:t>” is used to refer to</w:t>
      </w:r>
      <w:r w:rsidR="00D25ECE" w:rsidRPr="00621E76">
        <w:rPr>
          <w:rFonts w:asciiTheme="minorHAnsi" w:hAnsiTheme="minorHAnsi"/>
        </w:rPr>
        <w:t xml:space="preserve"> the authority </w:t>
      </w:r>
      <w:r w:rsidR="001620AF" w:rsidRPr="00621E76">
        <w:rPr>
          <w:rFonts w:asciiTheme="minorHAnsi" w:hAnsiTheme="minorHAnsi"/>
        </w:rPr>
        <w:t>to exercise, within the limits permitted by or under s 75, s 76 or s 77 of the Constitution, the judicial power of the Commonwealth,</w:t>
      </w:r>
      <w:r w:rsidR="001620AF" w:rsidRPr="00621E76">
        <w:rPr>
          <w:rStyle w:val="Style"/>
          <w:rFonts w:asciiTheme="minorHAnsi" w:hAnsiTheme="minorHAnsi"/>
        </w:rPr>
        <w:footnoteReference w:id="13"/>
      </w:r>
      <w:r w:rsidR="001620AF" w:rsidRPr="00621E76">
        <w:rPr>
          <w:rFonts w:asciiTheme="minorHAnsi" w:hAnsiTheme="minorHAnsi"/>
        </w:rPr>
        <w:t xml:space="preserve"> including the authority </w:t>
      </w:r>
      <w:r w:rsidR="00D25ECE" w:rsidRPr="00621E76">
        <w:rPr>
          <w:rFonts w:asciiTheme="minorHAnsi" w:hAnsiTheme="minorHAnsi"/>
        </w:rPr>
        <w:t>to decide matters arising under federal laws.</w:t>
      </w:r>
      <w:r w:rsidR="00D25ECE" w:rsidRPr="00621E76">
        <w:rPr>
          <w:rStyle w:val="Style"/>
          <w:rFonts w:asciiTheme="minorHAnsi" w:hAnsiTheme="minorHAnsi"/>
        </w:rPr>
        <w:footnoteReference w:id="14"/>
      </w:r>
    </w:p>
    <w:p w14:paraId="35C7A4F0" w14:textId="468DD296" w:rsidR="00621E76" w:rsidRPr="00621E76" w:rsidRDefault="00621E76" w:rsidP="00621E76">
      <w:pPr>
        <w:spacing w:line="276" w:lineRule="auto"/>
        <w:rPr>
          <w:rFonts w:asciiTheme="minorHAnsi" w:hAnsiTheme="minorHAnsi"/>
        </w:rPr>
      </w:pPr>
    </w:p>
    <w:p w14:paraId="7A195E8E" w14:textId="56A896AC" w:rsidR="0085127C" w:rsidRPr="00621E76" w:rsidRDefault="0085127C" w:rsidP="005057BD">
      <w:pPr>
        <w:pStyle w:val="ListParagraph"/>
        <w:numPr>
          <w:ilvl w:val="0"/>
          <w:numId w:val="7"/>
        </w:numPr>
        <w:spacing w:line="276" w:lineRule="auto"/>
        <w:rPr>
          <w:rFonts w:asciiTheme="minorHAnsi" w:hAnsiTheme="minorHAnsi"/>
        </w:rPr>
      </w:pPr>
      <w:r w:rsidRPr="00621E76">
        <w:rPr>
          <w:rFonts w:asciiTheme="minorHAnsi" w:hAnsiTheme="minorHAnsi"/>
        </w:rPr>
        <w:t>The power of the Parliament, under s.77(iii) of the Constitution, to make laws investing a State court with federal jurisdiction with respect to any of the matters mentioned in s.75 or s.76 is (like other powers vested in the Parliament by Chapter III) exclusive of the powers of State legislatures; that is, a State legislature has no power to confer, define or invest federal jurisdiction</w:t>
      </w:r>
      <w:r w:rsidR="009E1B13" w:rsidRPr="00621E76">
        <w:rPr>
          <w:rFonts w:asciiTheme="minorHAnsi" w:hAnsiTheme="minorHAnsi"/>
        </w:rPr>
        <w:t>,</w:t>
      </w:r>
      <w:r w:rsidRPr="00621E76">
        <w:rPr>
          <w:rStyle w:val="Style"/>
          <w:rFonts w:asciiTheme="minorHAnsi" w:hAnsiTheme="minorHAnsi"/>
        </w:rPr>
        <w:footnoteReference w:id="15"/>
      </w:r>
      <w:r w:rsidR="005E75EB" w:rsidRPr="00621E76">
        <w:rPr>
          <w:rFonts w:asciiTheme="minorHAnsi" w:hAnsiTheme="minorHAnsi"/>
        </w:rPr>
        <w:t xml:space="preserve"> </w:t>
      </w:r>
      <w:r w:rsidR="009E1B13" w:rsidRPr="00621E76">
        <w:rPr>
          <w:rFonts w:asciiTheme="minorHAnsi" w:hAnsiTheme="minorHAnsi"/>
        </w:rPr>
        <w:t>whether in relation to a federal court</w:t>
      </w:r>
      <w:r w:rsidR="009E1B13" w:rsidRPr="00621E76">
        <w:rPr>
          <w:rStyle w:val="Style"/>
          <w:rFonts w:asciiTheme="minorHAnsi" w:hAnsiTheme="minorHAnsi"/>
        </w:rPr>
        <w:footnoteReference w:id="16"/>
      </w:r>
      <w:r w:rsidR="009E1B13" w:rsidRPr="00621E76">
        <w:rPr>
          <w:rFonts w:asciiTheme="minorHAnsi" w:hAnsiTheme="minorHAnsi"/>
        </w:rPr>
        <w:t xml:space="preserve"> or a court of that State.</w:t>
      </w:r>
      <w:r w:rsidR="009E1B13" w:rsidRPr="00621E76">
        <w:rPr>
          <w:rStyle w:val="Style"/>
          <w:rFonts w:asciiTheme="minorHAnsi" w:hAnsiTheme="minorHAnsi"/>
        </w:rPr>
        <w:footnoteReference w:id="17"/>
      </w:r>
      <w:r w:rsidR="009D3D6C" w:rsidRPr="00621E76">
        <w:rPr>
          <w:rFonts w:asciiTheme="minorHAnsi" w:hAnsiTheme="minorHAnsi"/>
        </w:rPr>
        <w:t xml:space="preserve">  Any State law which purported to confer, define or invest federal</w:t>
      </w:r>
      <w:r w:rsidR="009D3D6C" w:rsidRPr="00EB5C97">
        <w:rPr>
          <w:rFonts w:asciiTheme="minorHAnsi" w:hAnsiTheme="minorHAnsi"/>
        </w:rPr>
        <w:t xml:space="preserve"> </w:t>
      </w:r>
      <w:r w:rsidR="009D3D6C" w:rsidRPr="00621E76">
        <w:rPr>
          <w:rFonts w:asciiTheme="minorHAnsi" w:hAnsiTheme="minorHAnsi"/>
        </w:rPr>
        <w:t>jurisdiction would be invalid.</w:t>
      </w:r>
      <w:r w:rsidR="000F0B6E" w:rsidRPr="00621E76">
        <w:rPr>
          <w:rStyle w:val="Style"/>
          <w:rFonts w:asciiTheme="minorHAnsi" w:hAnsiTheme="minorHAnsi"/>
        </w:rPr>
        <w:footnoteReference w:id="18"/>
      </w:r>
      <w:r w:rsidR="00154010" w:rsidRPr="00621E76">
        <w:rPr>
          <w:rFonts w:asciiTheme="minorHAnsi" w:hAnsiTheme="minorHAnsi"/>
        </w:rPr>
        <w:t xml:space="preserve">  The invalidity results from the absence of legislative power, not from inconsistency with a law of the Commonwealth.</w:t>
      </w:r>
      <w:r w:rsidR="00154010" w:rsidRPr="00621E76">
        <w:rPr>
          <w:rStyle w:val="Style"/>
          <w:rFonts w:asciiTheme="minorHAnsi" w:hAnsiTheme="minorHAnsi"/>
        </w:rPr>
        <w:footnoteReference w:id="19"/>
      </w:r>
    </w:p>
    <w:p w14:paraId="67A8F9E1" w14:textId="77777777" w:rsidR="009D3D6C" w:rsidRPr="00621E76" w:rsidRDefault="009D3D6C" w:rsidP="00EB7F1E">
      <w:pPr>
        <w:pStyle w:val="ListParagraph"/>
        <w:rPr>
          <w:rFonts w:asciiTheme="minorHAnsi" w:hAnsiTheme="minorHAnsi"/>
        </w:rPr>
      </w:pPr>
    </w:p>
    <w:p w14:paraId="7EBCCC20" w14:textId="37C58D1F" w:rsidR="009D3D6C" w:rsidRPr="00621E76" w:rsidRDefault="009D3D6C"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 Commonwealth Parliament has, however, made comprehensive provision in relation to conferring</w:t>
      </w:r>
      <w:r w:rsidR="00AB33FF" w:rsidRPr="00621E76">
        <w:rPr>
          <w:rFonts w:asciiTheme="minorHAnsi" w:hAnsiTheme="minorHAnsi"/>
        </w:rPr>
        <w:t xml:space="preserve"> and</w:t>
      </w:r>
      <w:r w:rsidRPr="00621E76">
        <w:rPr>
          <w:rFonts w:asciiTheme="minorHAnsi" w:hAnsiTheme="minorHAnsi"/>
        </w:rPr>
        <w:t xml:space="preserve"> defining </w:t>
      </w:r>
      <w:r w:rsidR="00AB33FF" w:rsidRPr="00621E76">
        <w:rPr>
          <w:rFonts w:asciiTheme="minorHAnsi" w:hAnsiTheme="minorHAnsi"/>
        </w:rPr>
        <w:t xml:space="preserve">the jurisdiction of federal courts </w:t>
      </w:r>
      <w:r w:rsidRPr="00621E76">
        <w:rPr>
          <w:rFonts w:asciiTheme="minorHAnsi" w:hAnsiTheme="minorHAnsi"/>
        </w:rPr>
        <w:t>and investing federal jurisdiction</w:t>
      </w:r>
      <w:r w:rsidR="00AB33FF" w:rsidRPr="00621E76">
        <w:rPr>
          <w:rFonts w:asciiTheme="minorHAnsi" w:hAnsiTheme="minorHAnsi"/>
        </w:rPr>
        <w:t xml:space="preserve"> in State courts</w:t>
      </w:r>
      <w:r w:rsidR="00956108" w:rsidRPr="00621E76">
        <w:rPr>
          <w:rFonts w:asciiTheme="minorHAnsi" w:hAnsiTheme="minorHAnsi"/>
        </w:rPr>
        <w:t>, including in relation to the sentencing of federal offenders</w:t>
      </w:r>
      <w:r w:rsidR="00AB33FF" w:rsidRPr="00621E76">
        <w:rPr>
          <w:rFonts w:asciiTheme="minorHAnsi" w:hAnsiTheme="minorHAnsi"/>
        </w:rPr>
        <w:t xml:space="preserve"> </w:t>
      </w:r>
      <w:r w:rsidR="003D1CFD" w:rsidRPr="00621E76">
        <w:rPr>
          <w:rFonts w:asciiTheme="minorHAnsi" w:hAnsiTheme="minorHAnsi"/>
        </w:rPr>
        <w:t>(</w:t>
      </w:r>
      <w:r w:rsidR="00AB33FF" w:rsidRPr="00621E76">
        <w:rPr>
          <w:rFonts w:asciiTheme="minorHAnsi" w:hAnsiTheme="minorHAnsi"/>
        </w:rPr>
        <w:t>see “</w:t>
      </w:r>
      <w:r w:rsidR="00956108" w:rsidRPr="00621E76">
        <w:rPr>
          <w:rFonts w:asciiTheme="minorHAnsi" w:hAnsiTheme="minorHAnsi"/>
        </w:rPr>
        <w:fldChar w:fldCharType="begin"/>
      </w:r>
      <w:r w:rsidR="00956108" w:rsidRPr="00621E76">
        <w:rPr>
          <w:rFonts w:asciiTheme="minorHAnsi" w:hAnsiTheme="minorHAnsi"/>
        </w:rPr>
        <w:instrText xml:space="preserve"> REF _Ref10704824 \r \h  \* MERGEFORMAT </w:instrText>
      </w:r>
      <w:r w:rsidR="00956108" w:rsidRPr="00621E76">
        <w:rPr>
          <w:rFonts w:asciiTheme="minorHAnsi" w:hAnsiTheme="minorHAnsi"/>
        </w:rPr>
      </w:r>
      <w:r w:rsidR="00956108" w:rsidRPr="00621E76">
        <w:rPr>
          <w:rFonts w:asciiTheme="minorHAnsi" w:hAnsiTheme="minorHAnsi"/>
        </w:rPr>
        <w:fldChar w:fldCharType="separate"/>
      </w:r>
      <w:r w:rsidR="00D44BCF">
        <w:rPr>
          <w:rFonts w:asciiTheme="minorHAnsi" w:hAnsiTheme="minorHAnsi"/>
        </w:rPr>
        <w:t>2.2</w:t>
      </w:r>
      <w:r w:rsidR="00956108" w:rsidRPr="00621E76">
        <w:rPr>
          <w:rFonts w:asciiTheme="minorHAnsi" w:hAnsiTheme="minorHAnsi"/>
        </w:rPr>
        <w:fldChar w:fldCharType="end"/>
      </w:r>
      <w:r w:rsidR="00956108" w:rsidRPr="00621E76">
        <w:rPr>
          <w:rFonts w:asciiTheme="minorHAnsi" w:hAnsiTheme="minorHAnsi"/>
        </w:rPr>
        <w:t xml:space="preserve"> </w:t>
      </w:r>
      <w:r w:rsidR="00956108" w:rsidRPr="00621E76">
        <w:rPr>
          <w:rFonts w:asciiTheme="minorHAnsi" w:hAnsiTheme="minorHAnsi"/>
        </w:rPr>
        <w:fldChar w:fldCharType="begin"/>
      </w:r>
      <w:r w:rsidR="00956108" w:rsidRPr="00621E76">
        <w:rPr>
          <w:rFonts w:asciiTheme="minorHAnsi" w:hAnsiTheme="minorHAnsi"/>
        </w:rPr>
        <w:instrText xml:space="preserve"> REF _Ref10704826 \h  \* MERGEFORMAT </w:instrText>
      </w:r>
      <w:r w:rsidR="00956108" w:rsidRPr="00621E76">
        <w:rPr>
          <w:rFonts w:asciiTheme="minorHAnsi" w:hAnsiTheme="minorHAnsi"/>
        </w:rPr>
      </w:r>
      <w:r w:rsidR="00956108" w:rsidRPr="00621E76">
        <w:rPr>
          <w:rFonts w:asciiTheme="minorHAnsi" w:hAnsiTheme="minorHAnsi"/>
        </w:rPr>
        <w:fldChar w:fldCharType="separate"/>
      </w:r>
      <w:r w:rsidR="00D44BCF" w:rsidRPr="00D44BCF">
        <w:rPr>
          <w:rFonts w:asciiTheme="minorHAnsi" w:hAnsiTheme="minorHAnsi"/>
        </w:rPr>
        <w:t>Federal jurisdiction and the sentencing of federal offenders</w:t>
      </w:r>
      <w:r w:rsidR="00956108" w:rsidRPr="00621E76">
        <w:rPr>
          <w:rFonts w:asciiTheme="minorHAnsi" w:hAnsiTheme="minorHAnsi"/>
        </w:rPr>
        <w:fldChar w:fldCharType="end"/>
      </w:r>
      <w:r w:rsidR="00AB33FF" w:rsidRPr="00621E76">
        <w:rPr>
          <w:rFonts w:asciiTheme="minorHAnsi" w:hAnsiTheme="minorHAnsi"/>
        </w:rPr>
        <w:t>”</w:t>
      </w:r>
      <w:r w:rsidR="003D1CFD" w:rsidRPr="00621E76">
        <w:rPr>
          <w:rFonts w:asciiTheme="minorHAnsi" w:hAnsiTheme="minorHAnsi"/>
        </w:rPr>
        <w:t>)</w:t>
      </w:r>
      <w:r w:rsidR="00AB33FF" w:rsidRPr="00621E76">
        <w:rPr>
          <w:rFonts w:asciiTheme="minorHAnsi" w:hAnsiTheme="minorHAnsi"/>
        </w:rPr>
        <w:t xml:space="preserve">. </w:t>
      </w:r>
      <w:r w:rsidR="00797D7C" w:rsidRPr="00621E76">
        <w:rPr>
          <w:rFonts w:asciiTheme="minorHAnsi" w:hAnsiTheme="minorHAnsi"/>
        </w:rPr>
        <w:t xml:space="preserve"> The Commonwealth legislative scheme includes provisions which apply relevant State laws as</w:t>
      </w:r>
      <w:r w:rsidR="003D1CFD" w:rsidRPr="00621E76">
        <w:rPr>
          <w:rFonts w:asciiTheme="minorHAnsi" w:hAnsiTheme="minorHAnsi"/>
        </w:rPr>
        <w:t xml:space="preserve"> “</w:t>
      </w:r>
      <w:r w:rsidR="003D1CFD" w:rsidRPr="00621E76">
        <w:rPr>
          <w:rFonts w:asciiTheme="minorHAnsi" w:hAnsiTheme="minorHAnsi"/>
          <w:i/>
        </w:rPr>
        <w:t>surrogate federal law</w:t>
      </w:r>
      <w:r w:rsidR="003D1CFD" w:rsidRPr="00621E76">
        <w:rPr>
          <w:rFonts w:asciiTheme="minorHAnsi" w:hAnsiTheme="minorHAnsi"/>
        </w:rPr>
        <w:t>” (see “</w:t>
      </w:r>
      <w:r w:rsidR="003D1CFD" w:rsidRPr="00621E76">
        <w:rPr>
          <w:rFonts w:asciiTheme="minorHAnsi" w:hAnsiTheme="minorHAnsi"/>
        </w:rPr>
        <w:fldChar w:fldCharType="begin"/>
      </w:r>
      <w:r w:rsidR="003D1CFD" w:rsidRPr="00621E76">
        <w:rPr>
          <w:rFonts w:asciiTheme="minorHAnsi" w:hAnsiTheme="minorHAnsi"/>
        </w:rPr>
        <w:instrText xml:space="preserve"> REF _Ref9936362 \r \h  \* MERGEFORMAT </w:instrText>
      </w:r>
      <w:r w:rsidR="003D1CFD" w:rsidRPr="00621E76">
        <w:rPr>
          <w:rFonts w:asciiTheme="minorHAnsi" w:hAnsiTheme="minorHAnsi"/>
        </w:rPr>
      </w:r>
      <w:r w:rsidR="003D1CFD" w:rsidRPr="00621E76">
        <w:rPr>
          <w:rFonts w:asciiTheme="minorHAnsi" w:hAnsiTheme="minorHAnsi"/>
        </w:rPr>
        <w:fldChar w:fldCharType="separate"/>
      </w:r>
      <w:r w:rsidR="00D44BCF">
        <w:rPr>
          <w:rFonts w:asciiTheme="minorHAnsi" w:hAnsiTheme="minorHAnsi"/>
        </w:rPr>
        <w:t>2.6</w:t>
      </w:r>
      <w:r w:rsidR="003D1CFD" w:rsidRPr="00621E76">
        <w:rPr>
          <w:rFonts w:asciiTheme="minorHAnsi" w:hAnsiTheme="minorHAnsi"/>
        </w:rPr>
        <w:fldChar w:fldCharType="end"/>
      </w:r>
      <w:r w:rsidR="003D1CFD" w:rsidRPr="00621E76">
        <w:rPr>
          <w:rFonts w:asciiTheme="minorHAnsi" w:hAnsiTheme="minorHAnsi"/>
        </w:rPr>
        <w:t xml:space="preserve"> </w:t>
      </w:r>
      <w:r w:rsidR="003D1CFD" w:rsidRPr="00621E76">
        <w:rPr>
          <w:rFonts w:asciiTheme="minorHAnsi" w:hAnsiTheme="minorHAnsi"/>
        </w:rPr>
        <w:fldChar w:fldCharType="begin"/>
      </w:r>
      <w:r w:rsidR="003D1CFD" w:rsidRPr="00621E76">
        <w:rPr>
          <w:rFonts w:asciiTheme="minorHAnsi" w:hAnsiTheme="minorHAnsi"/>
        </w:rPr>
        <w:instrText xml:space="preserve"> REF _Ref9936364 \h  \* MERGEFORMAT </w:instrText>
      </w:r>
      <w:r w:rsidR="003D1CFD" w:rsidRPr="00621E76">
        <w:rPr>
          <w:rFonts w:asciiTheme="minorHAnsi" w:hAnsiTheme="minorHAnsi"/>
        </w:rPr>
      </w:r>
      <w:r w:rsidR="003D1CFD" w:rsidRPr="00621E76">
        <w:rPr>
          <w:rFonts w:asciiTheme="minorHAnsi" w:hAnsiTheme="minorHAnsi"/>
        </w:rPr>
        <w:fldChar w:fldCharType="separate"/>
      </w:r>
      <w:r w:rsidR="00D44BCF" w:rsidRPr="00D44BCF">
        <w:rPr>
          <w:rFonts w:asciiTheme="minorHAnsi" w:hAnsiTheme="minorHAnsi"/>
        </w:rPr>
        <w:t>Commonwealth provisions which apply relevant State and Territory laws</w:t>
      </w:r>
      <w:r w:rsidR="003D1CFD" w:rsidRPr="00621E76">
        <w:rPr>
          <w:rFonts w:asciiTheme="minorHAnsi" w:hAnsiTheme="minorHAnsi"/>
        </w:rPr>
        <w:fldChar w:fldCharType="end"/>
      </w:r>
      <w:r w:rsidR="003D1CFD" w:rsidRPr="00621E76">
        <w:rPr>
          <w:rFonts w:asciiTheme="minorHAnsi" w:hAnsiTheme="minorHAnsi"/>
        </w:rPr>
        <w:t>”)</w:t>
      </w:r>
      <w:r w:rsidR="00B32E51" w:rsidRPr="00621E76">
        <w:rPr>
          <w:rFonts w:asciiTheme="minorHAnsi" w:hAnsiTheme="minorHAnsi"/>
        </w:rPr>
        <w:t>.</w:t>
      </w:r>
    </w:p>
    <w:p w14:paraId="78283F7D" w14:textId="77777777" w:rsidR="0085127C" w:rsidRPr="00621E76" w:rsidRDefault="0085127C" w:rsidP="00EB7F1E">
      <w:pPr>
        <w:pStyle w:val="ListParagraph"/>
        <w:rPr>
          <w:rFonts w:asciiTheme="minorHAnsi" w:hAnsiTheme="minorHAnsi"/>
        </w:rPr>
      </w:pPr>
    </w:p>
    <w:p w14:paraId="3099D3A4" w14:textId="55CA7642" w:rsidR="00456492" w:rsidRPr="00621E76" w:rsidRDefault="006857CC"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The </w:t>
      </w:r>
      <w:r w:rsidR="00456492" w:rsidRPr="00621E76">
        <w:rPr>
          <w:rFonts w:asciiTheme="minorHAnsi" w:hAnsiTheme="minorHAnsi"/>
        </w:rPr>
        <w:t xml:space="preserve">Constitution confers a separate legislative power </w:t>
      </w:r>
      <w:r w:rsidRPr="00621E76">
        <w:rPr>
          <w:rFonts w:asciiTheme="minorHAnsi" w:hAnsiTheme="minorHAnsi"/>
        </w:rPr>
        <w:t xml:space="preserve">In relation to the territories </w:t>
      </w:r>
      <w:r w:rsidR="00456492" w:rsidRPr="00621E76">
        <w:rPr>
          <w:rFonts w:asciiTheme="minorHAnsi" w:hAnsiTheme="minorHAnsi"/>
        </w:rPr>
        <w:t xml:space="preserve">(s 122).  </w:t>
      </w:r>
      <w:r w:rsidR="00993D0B" w:rsidRPr="00621E76">
        <w:rPr>
          <w:rFonts w:asciiTheme="minorHAnsi" w:hAnsiTheme="minorHAnsi"/>
        </w:rPr>
        <w:t xml:space="preserve">Controversy remains </w:t>
      </w:r>
      <w:r w:rsidR="00456492" w:rsidRPr="00621E76">
        <w:rPr>
          <w:rFonts w:asciiTheme="minorHAnsi" w:hAnsiTheme="minorHAnsi"/>
        </w:rPr>
        <w:t xml:space="preserve">about </w:t>
      </w:r>
      <w:r w:rsidR="007F1D0C" w:rsidRPr="00621E76">
        <w:rPr>
          <w:rFonts w:asciiTheme="minorHAnsi" w:hAnsiTheme="minorHAnsi"/>
        </w:rPr>
        <w:t>the extent to which</w:t>
      </w:r>
      <w:r w:rsidR="00456492" w:rsidRPr="00621E76">
        <w:rPr>
          <w:rFonts w:asciiTheme="minorHAnsi" w:hAnsiTheme="minorHAnsi"/>
        </w:rPr>
        <w:t xml:space="preserve"> a court of a territory is a “federal court” </w:t>
      </w:r>
      <w:r w:rsidR="007F1D0C" w:rsidRPr="00621E76">
        <w:rPr>
          <w:rFonts w:asciiTheme="minorHAnsi" w:hAnsiTheme="minorHAnsi"/>
        </w:rPr>
        <w:t>for the purposes of</w:t>
      </w:r>
      <w:r w:rsidRPr="00621E76">
        <w:rPr>
          <w:rFonts w:asciiTheme="minorHAnsi" w:hAnsiTheme="minorHAnsi"/>
        </w:rPr>
        <w:t xml:space="preserve"> Chapter III of </w:t>
      </w:r>
      <w:r w:rsidR="00456492" w:rsidRPr="00621E76">
        <w:rPr>
          <w:rFonts w:asciiTheme="minorHAnsi" w:hAnsiTheme="minorHAnsi"/>
        </w:rPr>
        <w:t>the Constitution, but territory courts have been treated</w:t>
      </w:r>
      <w:r w:rsidR="002A7400" w:rsidRPr="00621E76">
        <w:rPr>
          <w:rFonts w:asciiTheme="minorHAnsi" w:hAnsiTheme="minorHAnsi"/>
        </w:rPr>
        <w:t xml:space="preserve"> as</w:t>
      </w:r>
      <w:r w:rsidR="00456492" w:rsidRPr="00621E76">
        <w:rPr>
          <w:rFonts w:asciiTheme="minorHAnsi" w:hAnsiTheme="minorHAnsi"/>
        </w:rPr>
        <w:t xml:space="preserve"> </w:t>
      </w:r>
      <w:r w:rsidRPr="00621E76">
        <w:rPr>
          <w:rFonts w:asciiTheme="minorHAnsi" w:hAnsiTheme="minorHAnsi"/>
        </w:rPr>
        <w:t>capable of being vested with federal jurisdiction.</w:t>
      </w:r>
      <w:r w:rsidRPr="00621E76">
        <w:rPr>
          <w:rStyle w:val="Style"/>
          <w:rFonts w:asciiTheme="minorHAnsi" w:hAnsiTheme="minorHAnsi"/>
        </w:rPr>
        <w:footnoteReference w:id="20"/>
      </w:r>
    </w:p>
    <w:p w14:paraId="20D0333C" w14:textId="59FDC692" w:rsidR="00195788" w:rsidRPr="00EB7F1E" w:rsidRDefault="00195788" w:rsidP="00EB7F1E">
      <w:pPr>
        <w:pStyle w:val="ListParagraph"/>
        <w:rPr>
          <w:rFonts w:asciiTheme="minorHAnsi" w:hAnsiTheme="minorHAnsi"/>
        </w:rPr>
      </w:pPr>
    </w:p>
    <w:p w14:paraId="14B8BF1E" w14:textId="0577AD86" w:rsidR="000D602E" w:rsidRPr="00621E76" w:rsidRDefault="000D602E" w:rsidP="000D602E">
      <w:pPr>
        <w:pStyle w:val="Heading2"/>
        <w:rPr>
          <w:rStyle w:val="Strong"/>
          <w:b/>
          <w:bCs w:val="0"/>
        </w:rPr>
      </w:pPr>
      <w:bookmarkStart w:id="17" w:name="_Ref10704824"/>
      <w:bookmarkStart w:id="18" w:name="_Ref10704826"/>
      <w:bookmarkStart w:id="19" w:name="_Toc33602744"/>
      <w:r w:rsidRPr="00621E76">
        <w:rPr>
          <w:rStyle w:val="Strong"/>
          <w:b/>
          <w:bCs w:val="0"/>
        </w:rPr>
        <w:t>Federal jurisdiction and the sentencing of federal offenders</w:t>
      </w:r>
      <w:bookmarkEnd w:id="17"/>
      <w:bookmarkEnd w:id="18"/>
      <w:bookmarkEnd w:id="19"/>
    </w:p>
    <w:p w14:paraId="0E88A291" w14:textId="77777777" w:rsidR="000D602E" w:rsidRPr="00621E76" w:rsidRDefault="000D602E" w:rsidP="000D602E">
      <w:pPr>
        <w:pStyle w:val="BodyText"/>
        <w:keepNext/>
        <w:spacing w:line="276" w:lineRule="auto"/>
        <w:ind w:left="873" w:right="170"/>
        <w:jc w:val="both"/>
        <w:rPr>
          <w:rFonts w:asciiTheme="minorHAnsi" w:hAnsiTheme="minorHAnsi"/>
        </w:rPr>
      </w:pPr>
    </w:p>
    <w:p w14:paraId="63CD66F2" w14:textId="78211A54" w:rsidR="00A841A3" w:rsidRPr="00621E76" w:rsidRDefault="00A841A3"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Under s 77 of the Constitution, the Commonwealth Parliament may confer jurisdiction on either a federal court or a State court</w:t>
      </w:r>
      <w:r w:rsidR="00AC63AD" w:rsidRPr="00621E76">
        <w:rPr>
          <w:rFonts w:asciiTheme="minorHAnsi" w:hAnsiTheme="minorHAnsi"/>
        </w:rPr>
        <w:t xml:space="preserve"> with respect to any matter mentioned in s 75 or s 76 of the Constitution</w:t>
      </w:r>
      <w:r w:rsidRPr="00621E76">
        <w:rPr>
          <w:rFonts w:asciiTheme="minorHAnsi" w:hAnsiTheme="minorHAnsi"/>
        </w:rPr>
        <w:t>.</w:t>
      </w:r>
      <w:r w:rsidR="00AC63AD" w:rsidRPr="00621E76">
        <w:rPr>
          <w:rFonts w:asciiTheme="minorHAnsi" w:hAnsiTheme="minorHAnsi"/>
        </w:rPr>
        <w:t xml:space="preserve">  This includes jurisdiction in relation to the sentencing of federal offenders.</w:t>
      </w:r>
    </w:p>
    <w:p w14:paraId="1F4647D2" w14:textId="77777777" w:rsidR="00A841A3" w:rsidRPr="00621E76" w:rsidRDefault="00A841A3" w:rsidP="00EB7F1E">
      <w:pPr>
        <w:pStyle w:val="BodyText"/>
        <w:spacing w:line="276" w:lineRule="auto"/>
        <w:ind w:right="170"/>
        <w:jc w:val="both"/>
        <w:rPr>
          <w:rFonts w:asciiTheme="minorHAnsi" w:hAnsiTheme="minorHAnsi"/>
        </w:rPr>
      </w:pPr>
    </w:p>
    <w:p w14:paraId="3A8D714C" w14:textId="77777777" w:rsidR="00CC61E7" w:rsidRPr="00621E76" w:rsidRDefault="000D602E"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The power of the Parliament to define or invest federal jurisdiction in relation to federal offences was first exercised by the </w:t>
      </w:r>
      <w:r w:rsidR="00CC61E7" w:rsidRPr="00621E76">
        <w:rPr>
          <w:rFonts w:asciiTheme="minorHAnsi" w:hAnsiTheme="minorHAnsi"/>
        </w:rPr>
        <w:t>enact</w:t>
      </w:r>
      <w:r w:rsidRPr="00621E76">
        <w:rPr>
          <w:rFonts w:asciiTheme="minorHAnsi" w:hAnsiTheme="minorHAnsi"/>
        </w:rPr>
        <w:t xml:space="preserve">ment of </w:t>
      </w:r>
      <w:r w:rsidR="00CC61E7" w:rsidRPr="00621E76">
        <w:rPr>
          <w:rFonts w:asciiTheme="minorHAnsi" w:hAnsiTheme="minorHAnsi"/>
        </w:rPr>
        <w:t xml:space="preserve">the </w:t>
      </w:r>
      <w:r w:rsidR="00CC61E7" w:rsidRPr="00621E76">
        <w:rPr>
          <w:rFonts w:asciiTheme="minorHAnsi" w:hAnsiTheme="minorHAnsi"/>
          <w:i/>
        </w:rPr>
        <w:t>Punishment of Offences Act 1901</w:t>
      </w:r>
      <w:r w:rsidR="00CC61E7" w:rsidRPr="00621E76">
        <w:rPr>
          <w:rFonts w:asciiTheme="minorHAnsi" w:hAnsiTheme="minorHAnsi"/>
        </w:rPr>
        <w:t xml:space="preserve"> (Cth)</w:t>
      </w:r>
      <w:r w:rsidRPr="00621E76">
        <w:rPr>
          <w:rFonts w:asciiTheme="minorHAnsi" w:hAnsiTheme="minorHAnsi"/>
        </w:rPr>
        <w:t xml:space="preserve">. </w:t>
      </w:r>
      <w:r w:rsidR="00CC61E7" w:rsidRPr="00621E76">
        <w:rPr>
          <w:rFonts w:asciiTheme="minorHAnsi" w:hAnsiTheme="minorHAnsi"/>
        </w:rPr>
        <w:t xml:space="preserve"> </w:t>
      </w:r>
      <w:r w:rsidRPr="00621E76">
        <w:rPr>
          <w:rFonts w:asciiTheme="minorHAnsi" w:hAnsiTheme="minorHAnsi"/>
        </w:rPr>
        <w:t xml:space="preserve">That Act was </w:t>
      </w:r>
      <w:r w:rsidR="00CC61E7" w:rsidRPr="00621E76">
        <w:rPr>
          <w:rFonts w:asciiTheme="minorHAnsi" w:hAnsiTheme="minorHAnsi"/>
        </w:rPr>
        <w:t xml:space="preserve">a temporary measure pending the establishment of the High Court of Australia.  The Act conferred federal jurisdiction in criminal matters on State courts and applied State laws of a procedural character to the trial on indictment of persons charged with offences against the laws of the Commonwealth.  Although only a temporary measure, the Act provided an enduring legislative model for the trial and punishment of Commonwealth offences in State court. </w:t>
      </w:r>
    </w:p>
    <w:p w14:paraId="5F405370" w14:textId="77777777" w:rsidR="00CC61E7" w:rsidRPr="0063752A" w:rsidRDefault="00CC61E7" w:rsidP="00CC61E7">
      <w:pPr>
        <w:pStyle w:val="BodyText"/>
        <w:spacing w:line="276" w:lineRule="auto"/>
        <w:ind w:right="170"/>
        <w:jc w:val="both"/>
        <w:rPr>
          <w:rFonts w:asciiTheme="minorHAnsi" w:hAnsiTheme="minorHAnsi"/>
          <w:highlight w:val="yellow"/>
        </w:rPr>
      </w:pPr>
    </w:p>
    <w:p w14:paraId="41CDDFEE" w14:textId="7BBCCCFD" w:rsidR="00CC61E7" w:rsidRPr="00621E76" w:rsidRDefault="00CC61E7"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In 1903, the Parliament enacted the </w:t>
      </w:r>
      <w:r w:rsidRPr="00621E76">
        <w:rPr>
          <w:rFonts w:asciiTheme="minorHAnsi" w:hAnsiTheme="minorHAnsi"/>
          <w:i/>
        </w:rPr>
        <w:t xml:space="preserve">Judiciary Act, </w:t>
      </w:r>
      <w:r w:rsidRPr="00621E76">
        <w:rPr>
          <w:rFonts w:asciiTheme="minorHAnsi" w:hAnsiTheme="minorHAnsi"/>
        </w:rPr>
        <w:t>which</w:t>
      </w:r>
      <w:r w:rsidRPr="00621E76">
        <w:rPr>
          <w:rFonts w:asciiTheme="minorHAnsi" w:hAnsiTheme="minorHAnsi"/>
          <w:i/>
        </w:rPr>
        <w:t xml:space="preserve"> </w:t>
      </w:r>
      <w:r w:rsidRPr="00621E76">
        <w:rPr>
          <w:rFonts w:asciiTheme="minorHAnsi" w:hAnsiTheme="minorHAnsi"/>
        </w:rPr>
        <w:t xml:space="preserve">replaced the </w:t>
      </w:r>
      <w:r w:rsidRPr="00621E76">
        <w:rPr>
          <w:rFonts w:asciiTheme="minorHAnsi" w:hAnsiTheme="minorHAnsi"/>
          <w:i/>
        </w:rPr>
        <w:t>Punishment of Offences Act 1901</w:t>
      </w:r>
      <w:r w:rsidRPr="00621E76">
        <w:rPr>
          <w:rFonts w:asciiTheme="minorHAnsi" w:hAnsiTheme="minorHAnsi"/>
        </w:rPr>
        <w:t xml:space="preserve">.  Like its temporary precursor, the </w:t>
      </w:r>
      <w:r w:rsidRPr="00621E76">
        <w:rPr>
          <w:rFonts w:asciiTheme="minorHAnsi" w:hAnsiTheme="minorHAnsi"/>
          <w:i/>
        </w:rPr>
        <w:t xml:space="preserve">Judiciary Act </w:t>
      </w:r>
      <w:r w:rsidRPr="00621E76">
        <w:rPr>
          <w:rFonts w:asciiTheme="minorHAnsi" w:hAnsiTheme="minorHAnsi"/>
        </w:rPr>
        <w:t>vested in State courts jurisdiction to try persons for, and to sentence offenders for, offences against laws of the Commonwealth.</w:t>
      </w:r>
      <w:r w:rsidR="00D5599C" w:rsidRPr="00621E76">
        <w:rPr>
          <w:rStyle w:val="Style"/>
          <w:rFonts w:asciiTheme="minorHAnsi" w:hAnsiTheme="minorHAnsi"/>
        </w:rPr>
        <w:footnoteReference w:id="21"/>
      </w:r>
      <w:r w:rsidRPr="00621E76">
        <w:rPr>
          <w:rFonts w:asciiTheme="minorHAnsi" w:hAnsiTheme="minorHAnsi"/>
        </w:rPr>
        <w:t xml:space="preserve">  The Act also applied State laws </w:t>
      </w:r>
      <w:r w:rsidR="00D5599C" w:rsidRPr="00621E76">
        <w:rPr>
          <w:rFonts w:asciiTheme="minorHAnsi" w:hAnsiTheme="minorHAnsi"/>
        </w:rPr>
        <w:t xml:space="preserve">(including laws </w:t>
      </w:r>
      <w:r w:rsidRPr="00621E76">
        <w:rPr>
          <w:rFonts w:asciiTheme="minorHAnsi" w:hAnsiTheme="minorHAnsi"/>
        </w:rPr>
        <w:t>relating to evidence and procedure</w:t>
      </w:r>
      <w:r w:rsidR="00D5599C" w:rsidRPr="00621E76">
        <w:rPr>
          <w:rFonts w:asciiTheme="minorHAnsi" w:hAnsiTheme="minorHAnsi"/>
        </w:rPr>
        <w:t>)</w:t>
      </w:r>
      <w:r w:rsidRPr="00621E76">
        <w:rPr>
          <w:rFonts w:asciiTheme="minorHAnsi" w:hAnsiTheme="minorHAnsi"/>
        </w:rPr>
        <w:t xml:space="preserve"> to </w:t>
      </w:r>
      <w:r w:rsidR="00D5599C" w:rsidRPr="00621E76">
        <w:rPr>
          <w:rFonts w:asciiTheme="minorHAnsi" w:hAnsiTheme="minorHAnsi"/>
        </w:rPr>
        <w:t xml:space="preserve">courts exercising federal jurisdiction and applied State laws relating to criminal </w:t>
      </w:r>
      <w:r w:rsidRPr="00621E76">
        <w:rPr>
          <w:rFonts w:asciiTheme="minorHAnsi" w:hAnsiTheme="minorHAnsi"/>
        </w:rPr>
        <w:t xml:space="preserve">proceedings </w:t>
      </w:r>
      <w:r w:rsidR="00D5599C" w:rsidRPr="00621E76">
        <w:rPr>
          <w:rFonts w:asciiTheme="minorHAnsi" w:hAnsiTheme="minorHAnsi"/>
        </w:rPr>
        <w:t xml:space="preserve">to proceedings </w:t>
      </w:r>
      <w:r w:rsidRPr="00621E76">
        <w:rPr>
          <w:rFonts w:asciiTheme="minorHAnsi" w:hAnsiTheme="minorHAnsi"/>
        </w:rPr>
        <w:t>against persons for Commonwealth offences.</w:t>
      </w:r>
      <w:r w:rsidR="00D5599C" w:rsidRPr="00621E76">
        <w:rPr>
          <w:rStyle w:val="Style"/>
          <w:rFonts w:asciiTheme="minorHAnsi" w:hAnsiTheme="minorHAnsi"/>
        </w:rPr>
        <w:footnoteReference w:id="22"/>
      </w:r>
      <w:r w:rsidRPr="00621E76">
        <w:rPr>
          <w:rFonts w:asciiTheme="minorHAnsi" w:hAnsiTheme="minorHAnsi"/>
        </w:rPr>
        <w:t xml:space="preserve">  </w:t>
      </w:r>
      <w:r w:rsidR="00AC63AD" w:rsidRPr="00621E76">
        <w:rPr>
          <w:rFonts w:asciiTheme="minorHAnsi" w:hAnsiTheme="minorHAnsi"/>
        </w:rPr>
        <w:t xml:space="preserve">The </w:t>
      </w:r>
      <w:r w:rsidR="00AC63AD" w:rsidRPr="00621E76">
        <w:rPr>
          <w:rFonts w:asciiTheme="minorHAnsi" w:hAnsiTheme="minorHAnsi"/>
          <w:i/>
        </w:rPr>
        <w:t>Judiciary Act</w:t>
      </w:r>
      <w:r w:rsidR="00AC63AD" w:rsidRPr="00621E76">
        <w:rPr>
          <w:rFonts w:asciiTheme="minorHAnsi" w:hAnsiTheme="minorHAnsi"/>
        </w:rPr>
        <w:t xml:space="preserve"> also vested wide general jurisdiction on </w:t>
      </w:r>
      <w:r w:rsidR="00D5599C" w:rsidRPr="00621E76">
        <w:rPr>
          <w:rFonts w:asciiTheme="minorHAnsi" w:hAnsiTheme="minorHAnsi"/>
        </w:rPr>
        <w:t>State courts</w:t>
      </w:r>
      <w:r w:rsidR="00956108" w:rsidRPr="00621E76">
        <w:rPr>
          <w:rFonts w:asciiTheme="minorHAnsi" w:hAnsiTheme="minorHAnsi"/>
        </w:rPr>
        <w:t xml:space="preserve"> in relation to federal matters</w:t>
      </w:r>
      <w:r w:rsidR="00D5599C" w:rsidRPr="00621E76">
        <w:rPr>
          <w:rFonts w:asciiTheme="minorHAnsi" w:hAnsiTheme="minorHAnsi"/>
        </w:rPr>
        <w:t>.</w:t>
      </w:r>
      <w:r w:rsidR="00D5599C" w:rsidRPr="00621E76">
        <w:rPr>
          <w:rStyle w:val="Style"/>
          <w:rFonts w:asciiTheme="minorHAnsi" w:hAnsiTheme="minorHAnsi"/>
        </w:rPr>
        <w:footnoteReference w:id="23"/>
      </w:r>
    </w:p>
    <w:p w14:paraId="12148B0D" w14:textId="77777777" w:rsidR="00CC61E7" w:rsidRPr="00621E76" w:rsidRDefault="00CC61E7" w:rsidP="00CC61E7">
      <w:pPr>
        <w:pStyle w:val="BodyText"/>
        <w:spacing w:line="276" w:lineRule="auto"/>
        <w:ind w:right="170"/>
        <w:jc w:val="both"/>
        <w:rPr>
          <w:rFonts w:asciiTheme="minorHAnsi" w:hAnsiTheme="minorHAnsi"/>
        </w:rPr>
      </w:pPr>
    </w:p>
    <w:p w14:paraId="3927202E" w14:textId="77777777" w:rsidR="00CC61E7" w:rsidRPr="00621E76" w:rsidRDefault="00CC61E7"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As Gleeson CJ said in </w:t>
      </w:r>
      <w:r w:rsidRPr="00621E76">
        <w:rPr>
          <w:rFonts w:asciiTheme="minorHAnsi" w:hAnsiTheme="minorHAnsi"/>
          <w:i/>
        </w:rPr>
        <w:t>Gee</w:t>
      </w:r>
      <w:r w:rsidRPr="00621E76">
        <w:rPr>
          <w:rFonts w:asciiTheme="minorHAnsi" w:hAnsiTheme="minorHAnsi"/>
        </w:rPr>
        <w:t>,</w:t>
      </w:r>
      <w:r w:rsidRPr="00621E76">
        <w:rPr>
          <w:rStyle w:val="Style"/>
          <w:rFonts w:asciiTheme="minorHAnsi" w:hAnsiTheme="minorHAnsi"/>
        </w:rPr>
        <w:footnoteReference w:id="24"/>
      </w:r>
      <w:r w:rsidRPr="00621E76">
        <w:rPr>
          <w:rFonts w:asciiTheme="minorHAnsi" w:hAnsiTheme="minorHAnsi"/>
        </w:rPr>
        <w:t xml:space="preserve"> the </w:t>
      </w:r>
      <w:r w:rsidRPr="00621E76">
        <w:rPr>
          <w:rFonts w:asciiTheme="minorHAnsi" w:hAnsiTheme="minorHAnsi"/>
          <w:i/>
        </w:rPr>
        <w:t>Judiciary Act</w:t>
      </w:r>
      <w:r w:rsidRPr="00621E76">
        <w:rPr>
          <w:rFonts w:asciiTheme="minorHAnsi" w:hAnsiTheme="minorHAnsi"/>
        </w:rPr>
        <w:t xml:space="preserve"> 1903 (Cth) reflected a legislative choice between distinct alternatives: having a procedure for the administration of criminal justice in relation to federal offences that is uniform throughout the Commonwealth; or relying on State courts to administer criminal justice in relation to federal offences and having uniformity within each State as to the procedure for dealing with State and federal offences.  The choice was for the latter.  The effect was that the laws and practices which governed the sentencing of federal offenders in a State or Territory were assimilated more closely to the sentencing of other offenders in that jurisdiction than to the sentencing of Commonwealth offenders in other jurisdictions.  (This is sometimes referred to as vertical or intra-jurisdictional assimilation, in contrast to horizontal or inter-jurisdictional assimilation.)</w:t>
      </w:r>
    </w:p>
    <w:p w14:paraId="2D0A4FDE" w14:textId="77777777" w:rsidR="00CC61E7" w:rsidRPr="00621E76" w:rsidRDefault="00CC61E7" w:rsidP="00CC61E7">
      <w:pPr>
        <w:pStyle w:val="BodyText"/>
        <w:spacing w:line="276" w:lineRule="auto"/>
        <w:ind w:right="170"/>
        <w:jc w:val="both"/>
        <w:rPr>
          <w:rFonts w:asciiTheme="minorHAnsi" w:hAnsiTheme="minorHAnsi"/>
        </w:rPr>
      </w:pPr>
    </w:p>
    <w:p w14:paraId="7FA6B23D" w14:textId="77777777" w:rsidR="00CC61E7" w:rsidRPr="00621E76" w:rsidRDefault="00CC61E7"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An inevitable result was that considerable disparity applied to the sentencing of federal offenders across Australia.  However the High Court has held that such disparity did not inherently offend against constitutional principle.</w:t>
      </w:r>
      <w:r w:rsidRPr="00621E76">
        <w:rPr>
          <w:rFonts w:asciiTheme="minorHAnsi" w:hAnsiTheme="minorHAnsi"/>
          <w:position w:val="6"/>
          <w:sz w:val="16"/>
        </w:rPr>
        <w:footnoteReference w:id="25"/>
      </w:r>
      <w:r w:rsidRPr="00621E76">
        <w:rPr>
          <w:rFonts w:asciiTheme="minorHAnsi" w:hAnsiTheme="minorHAnsi"/>
        </w:rPr>
        <w:t xml:space="preserve">  </w:t>
      </w:r>
    </w:p>
    <w:p w14:paraId="3910D003" w14:textId="77777777" w:rsidR="00CC61E7" w:rsidRPr="00621E76" w:rsidRDefault="00CC61E7" w:rsidP="00CC61E7">
      <w:pPr>
        <w:pStyle w:val="BodyText"/>
        <w:spacing w:line="276" w:lineRule="auto"/>
        <w:ind w:right="170"/>
        <w:jc w:val="both"/>
        <w:rPr>
          <w:rFonts w:asciiTheme="minorHAnsi" w:hAnsiTheme="minorHAnsi"/>
        </w:rPr>
      </w:pPr>
    </w:p>
    <w:p w14:paraId="344A787C" w14:textId="12D71C42" w:rsidR="003D1D05" w:rsidRPr="00621E76" w:rsidRDefault="00B63D02"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Parliament has also conferred limited jurisdiction on federal courts</w:t>
      </w:r>
      <w:r w:rsidR="007F1D0C" w:rsidRPr="00621E76">
        <w:rPr>
          <w:rFonts w:asciiTheme="minorHAnsi" w:hAnsiTheme="minorHAnsi"/>
        </w:rPr>
        <w:t xml:space="preserve"> to deal with federal offences.</w:t>
      </w:r>
      <w:r w:rsidR="007428E2" w:rsidRPr="00621E76">
        <w:rPr>
          <w:rFonts w:asciiTheme="minorHAnsi" w:hAnsiTheme="minorHAnsi"/>
        </w:rPr>
        <w:t xml:space="preserve">  In particular, </w:t>
      </w:r>
      <w:r w:rsidR="002E1B1D" w:rsidRPr="00621E76">
        <w:rPr>
          <w:rFonts w:asciiTheme="minorHAnsi" w:hAnsiTheme="minorHAnsi"/>
        </w:rPr>
        <w:t xml:space="preserve">since 2009, </w:t>
      </w:r>
      <w:r w:rsidR="007428E2" w:rsidRPr="00621E76">
        <w:rPr>
          <w:rFonts w:asciiTheme="minorHAnsi" w:hAnsiTheme="minorHAnsi"/>
        </w:rPr>
        <w:t xml:space="preserve">the Federal Court of Australia has </w:t>
      </w:r>
      <w:r w:rsidR="002E1B1D" w:rsidRPr="00621E76">
        <w:rPr>
          <w:rFonts w:asciiTheme="minorHAnsi" w:hAnsiTheme="minorHAnsi"/>
        </w:rPr>
        <w:t xml:space="preserve">been invested with </w:t>
      </w:r>
      <w:r w:rsidR="007428E2" w:rsidRPr="00621E76">
        <w:rPr>
          <w:rFonts w:asciiTheme="minorHAnsi" w:hAnsiTheme="minorHAnsi"/>
        </w:rPr>
        <w:t xml:space="preserve">jurisdiction </w:t>
      </w:r>
      <w:r w:rsidR="002E1B1D" w:rsidRPr="00621E76">
        <w:rPr>
          <w:rFonts w:asciiTheme="minorHAnsi" w:hAnsiTheme="minorHAnsi"/>
        </w:rPr>
        <w:t>with respect to the trial on indictment of cartel offences.</w:t>
      </w:r>
      <w:r w:rsidR="002E1B1D" w:rsidRPr="00621E76">
        <w:rPr>
          <w:rFonts w:asciiTheme="minorHAnsi" w:hAnsiTheme="minorHAnsi"/>
          <w:position w:val="6"/>
          <w:sz w:val="16"/>
        </w:rPr>
        <w:footnoteReference w:id="26"/>
      </w:r>
    </w:p>
    <w:p w14:paraId="27FD011E" w14:textId="77777777" w:rsidR="003D1D05" w:rsidRPr="00622630" w:rsidRDefault="003D1D05" w:rsidP="003D1D05">
      <w:pPr>
        <w:pStyle w:val="BodyText"/>
        <w:spacing w:line="276" w:lineRule="auto"/>
        <w:ind w:right="170"/>
        <w:jc w:val="both"/>
        <w:rPr>
          <w:rFonts w:asciiTheme="minorHAnsi" w:hAnsiTheme="minorHAnsi"/>
        </w:rPr>
      </w:pPr>
    </w:p>
    <w:p w14:paraId="1DB4EC1A" w14:textId="32BD178B" w:rsidR="00FE69A4" w:rsidRPr="00C00000" w:rsidRDefault="00FE69A4" w:rsidP="00D531E9">
      <w:pPr>
        <w:pStyle w:val="Heading2"/>
        <w:rPr>
          <w:rStyle w:val="Strong"/>
          <w:b/>
          <w:bCs w:val="0"/>
        </w:rPr>
      </w:pPr>
      <w:bookmarkStart w:id="20" w:name="_Toc33602745"/>
      <w:r>
        <w:rPr>
          <w:rStyle w:val="Strong"/>
          <w:b/>
          <w:bCs w:val="0"/>
        </w:rPr>
        <w:t xml:space="preserve">The development of </w:t>
      </w:r>
      <w:r w:rsidRPr="00FE69A4">
        <w:rPr>
          <w:rStyle w:val="Strong"/>
          <w:b/>
          <w:bCs w:val="0"/>
        </w:rPr>
        <w:t>Commonwealth</w:t>
      </w:r>
      <w:r w:rsidRPr="00C00000">
        <w:rPr>
          <w:rStyle w:val="Strong"/>
          <w:b/>
          <w:bCs w:val="0"/>
        </w:rPr>
        <w:t xml:space="preserve"> sentencing </w:t>
      </w:r>
      <w:r>
        <w:rPr>
          <w:rStyle w:val="Strong"/>
          <w:b/>
          <w:bCs w:val="0"/>
        </w:rPr>
        <w:t>law</w:t>
      </w:r>
      <w:bookmarkEnd w:id="20"/>
    </w:p>
    <w:p w14:paraId="40D26CAC" w14:textId="77777777" w:rsidR="00FE69A4" w:rsidRPr="00C00000" w:rsidRDefault="00FE69A4" w:rsidP="00D531E9">
      <w:pPr>
        <w:pStyle w:val="BodyText"/>
        <w:keepNext/>
        <w:spacing w:line="276" w:lineRule="auto"/>
        <w:ind w:left="873" w:right="170"/>
        <w:jc w:val="both"/>
        <w:rPr>
          <w:rFonts w:asciiTheme="minorHAnsi" w:hAnsiTheme="minorHAnsi"/>
        </w:rPr>
      </w:pPr>
    </w:p>
    <w:p w14:paraId="0D395C7E" w14:textId="71A2657F" w:rsidR="0078687E" w:rsidRDefault="00C67573" w:rsidP="00EB7F1E">
      <w:pPr>
        <w:pStyle w:val="ListParagraph"/>
        <w:numPr>
          <w:ilvl w:val="0"/>
          <w:numId w:val="7"/>
        </w:numPr>
        <w:spacing w:line="276" w:lineRule="auto"/>
        <w:ind w:left="425" w:hanging="425"/>
        <w:contextualSpacing w:val="0"/>
        <w:rPr>
          <w:rFonts w:asciiTheme="minorHAnsi" w:hAnsiTheme="minorHAnsi"/>
        </w:rPr>
      </w:pPr>
      <w:r w:rsidRPr="00357FA4">
        <w:rPr>
          <w:rFonts w:asciiTheme="minorHAnsi" w:hAnsiTheme="minorHAnsi"/>
        </w:rPr>
        <w:t xml:space="preserve">Offences under Commonwealth law </w:t>
      </w:r>
      <w:r w:rsidR="001B5E5C" w:rsidRPr="00357FA4">
        <w:rPr>
          <w:rFonts w:asciiTheme="minorHAnsi" w:hAnsiTheme="minorHAnsi"/>
        </w:rPr>
        <w:t xml:space="preserve">were created </w:t>
      </w:r>
      <w:r w:rsidR="001B5E5C">
        <w:rPr>
          <w:rFonts w:asciiTheme="minorHAnsi" w:hAnsiTheme="minorHAnsi"/>
        </w:rPr>
        <w:t>by</w:t>
      </w:r>
      <w:r w:rsidRPr="00357FA4">
        <w:rPr>
          <w:rFonts w:asciiTheme="minorHAnsi" w:hAnsiTheme="minorHAnsi"/>
        </w:rPr>
        <w:t xml:space="preserve"> the first Parliament.</w:t>
      </w:r>
      <w:r w:rsidR="0012019D" w:rsidRPr="00C00000">
        <w:rPr>
          <w:rStyle w:val="Style"/>
          <w:rFonts w:asciiTheme="minorHAnsi" w:hAnsiTheme="minorHAnsi"/>
        </w:rPr>
        <w:footnoteReference w:id="27"/>
      </w:r>
      <w:r w:rsidRPr="00357FA4">
        <w:rPr>
          <w:rFonts w:asciiTheme="minorHAnsi" w:hAnsiTheme="minorHAnsi"/>
        </w:rPr>
        <w:t xml:space="preserve">  </w:t>
      </w:r>
      <w:r w:rsidR="0078687E">
        <w:rPr>
          <w:rFonts w:asciiTheme="minorHAnsi" w:hAnsiTheme="minorHAnsi"/>
        </w:rPr>
        <w:t xml:space="preserve">The most significant were those in the </w:t>
      </w:r>
      <w:r w:rsidR="0078687E" w:rsidRPr="00EB7F1E">
        <w:rPr>
          <w:rFonts w:asciiTheme="minorHAnsi" w:hAnsiTheme="minorHAnsi"/>
          <w:i/>
        </w:rPr>
        <w:t>Customs Act 1901</w:t>
      </w:r>
      <w:r w:rsidR="0078687E">
        <w:rPr>
          <w:rFonts w:asciiTheme="minorHAnsi" w:hAnsiTheme="minorHAnsi"/>
          <w:i/>
        </w:rPr>
        <w:t xml:space="preserve"> </w:t>
      </w:r>
      <w:r w:rsidR="0078687E">
        <w:rPr>
          <w:rFonts w:asciiTheme="minorHAnsi" w:hAnsiTheme="minorHAnsi"/>
        </w:rPr>
        <w:t>(Cth).</w:t>
      </w:r>
    </w:p>
    <w:p w14:paraId="03E7C6DC" w14:textId="77777777" w:rsidR="00D21F1E" w:rsidRDefault="00D21F1E" w:rsidP="00EB7F1E">
      <w:pPr>
        <w:pStyle w:val="BodyText"/>
        <w:spacing w:line="276" w:lineRule="auto"/>
        <w:ind w:right="170"/>
        <w:jc w:val="both"/>
        <w:rPr>
          <w:rFonts w:asciiTheme="minorHAnsi" w:hAnsiTheme="minorHAnsi"/>
        </w:rPr>
      </w:pPr>
    </w:p>
    <w:p w14:paraId="1A158B27" w14:textId="5E8C3A02" w:rsidR="00065881" w:rsidRDefault="0006588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w:t>
      </w:r>
      <w:r w:rsidRPr="00357FA4">
        <w:rPr>
          <w:rFonts w:asciiTheme="minorHAnsi" w:hAnsiTheme="minorHAnsi"/>
        </w:rPr>
        <w:t xml:space="preserve">t was not until the passage of the </w:t>
      </w:r>
      <w:r w:rsidRPr="00885EFD">
        <w:rPr>
          <w:rFonts w:asciiTheme="minorHAnsi" w:hAnsiTheme="minorHAnsi"/>
          <w:i/>
        </w:rPr>
        <w:t>Crimes Act 1914</w:t>
      </w:r>
      <w:r w:rsidRPr="00357FA4">
        <w:rPr>
          <w:rFonts w:asciiTheme="minorHAnsi" w:hAnsiTheme="minorHAnsi"/>
        </w:rPr>
        <w:t xml:space="preserve"> </w:t>
      </w:r>
      <w:r>
        <w:rPr>
          <w:rFonts w:asciiTheme="minorHAnsi" w:hAnsiTheme="minorHAnsi"/>
        </w:rPr>
        <w:t xml:space="preserve">(Cth) </w:t>
      </w:r>
      <w:r w:rsidRPr="00357FA4">
        <w:rPr>
          <w:rFonts w:asciiTheme="minorHAnsi" w:hAnsiTheme="minorHAnsi"/>
        </w:rPr>
        <w:t xml:space="preserve">that a federal statute made provision of a general nature </w:t>
      </w:r>
      <w:r>
        <w:rPr>
          <w:rFonts w:asciiTheme="minorHAnsi" w:hAnsiTheme="minorHAnsi"/>
        </w:rPr>
        <w:t>for the prosecution or sentencing of federal offenders.  Even then, provision relating to federal sentencing was sparse.</w:t>
      </w:r>
    </w:p>
    <w:p w14:paraId="4788071F" w14:textId="77777777" w:rsidR="00065881" w:rsidRDefault="00065881" w:rsidP="00065881">
      <w:pPr>
        <w:pStyle w:val="BodyText"/>
        <w:spacing w:line="276" w:lineRule="auto"/>
        <w:ind w:right="170"/>
        <w:jc w:val="both"/>
        <w:rPr>
          <w:rFonts w:asciiTheme="minorHAnsi" w:hAnsiTheme="minorHAnsi"/>
        </w:rPr>
      </w:pPr>
    </w:p>
    <w:p w14:paraId="6AA11F3C" w14:textId="666FB0A7" w:rsidR="00716E67" w:rsidRDefault="0062115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For </w:t>
      </w:r>
      <w:r w:rsidR="001219C3">
        <w:rPr>
          <w:rFonts w:asciiTheme="minorHAnsi" w:hAnsiTheme="minorHAnsi"/>
        </w:rPr>
        <w:t>more than 7</w:t>
      </w:r>
      <w:r w:rsidR="002F292D">
        <w:rPr>
          <w:rFonts w:asciiTheme="minorHAnsi" w:hAnsiTheme="minorHAnsi"/>
        </w:rPr>
        <w:t>0</w:t>
      </w:r>
      <w:r>
        <w:rPr>
          <w:rFonts w:asciiTheme="minorHAnsi" w:hAnsiTheme="minorHAnsi"/>
        </w:rPr>
        <w:t xml:space="preserve"> years following the enactment of the </w:t>
      </w:r>
      <w:r w:rsidR="00BA2B0B" w:rsidRPr="00BA2B0B">
        <w:rPr>
          <w:rFonts w:asciiTheme="minorHAnsi" w:hAnsiTheme="minorHAnsi"/>
          <w:i/>
        </w:rPr>
        <w:t>Crimes Act</w:t>
      </w:r>
      <w:r>
        <w:rPr>
          <w:rFonts w:asciiTheme="minorHAnsi" w:hAnsiTheme="minorHAnsi"/>
        </w:rPr>
        <w:t>, relatively few changes were made to federal sentencing law</w:t>
      </w:r>
      <w:r w:rsidR="00716E67">
        <w:rPr>
          <w:rFonts w:asciiTheme="minorHAnsi" w:hAnsiTheme="minorHAnsi"/>
        </w:rPr>
        <w:t xml:space="preserve">.  </w:t>
      </w:r>
      <w:r w:rsidR="009C5769">
        <w:rPr>
          <w:rFonts w:asciiTheme="minorHAnsi" w:hAnsiTheme="minorHAnsi"/>
        </w:rPr>
        <w:t>By amendments in 1960, additional non-conviction sentencing options were made available</w:t>
      </w:r>
      <w:r w:rsidR="0012019D">
        <w:rPr>
          <w:rFonts w:asciiTheme="minorHAnsi" w:hAnsiTheme="minorHAnsi"/>
        </w:rPr>
        <w:t xml:space="preserve"> (</w:t>
      </w:r>
      <w:r w:rsidR="00885EFD" w:rsidRPr="00885EFD">
        <w:rPr>
          <w:rFonts w:asciiTheme="minorHAnsi" w:hAnsiTheme="minorHAnsi"/>
          <w:i/>
        </w:rPr>
        <w:t>Crimes Act 1914</w:t>
      </w:r>
      <w:r w:rsidR="0012019D">
        <w:rPr>
          <w:rFonts w:asciiTheme="minorHAnsi" w:hAnsiTheme="minorHAnsi"/>
        </w:rPr>
        <w:t>, s.19B)</w:t>
      </w:r>
      <w:r w:rsidR="009C5769">
        <w:rPr>
          <w:rFonts w:asciiTheme="minorHAnsi" w:hAnsiTheme="minorHAnsi"/>
        </w:rPr>
        <w:t>, and State or Territory options were made available for the sentencing of young offenders</w:t>
      </w:r>
      <w:r w:rsidR="0012019D">
        <w:rPr>
          <w:rFonts w:asciiTheme="minorHAnsi" w:hAnsiTheme="minorHAnsi"/>
        </w:rPr>
        <w:t xml:space="preserve"> (</w:t>
      </w:r>
      <w:r w:rsidR="00885EFD" w:rsidRPr="00885EFD">
        <w:rPr>
          <w:rFonts w:asciiTheme="minorHAnsi" w:hAnsiTheme="minorHAnsi"/>
          <w:i/>
        </w:rPr>
        <w:t>Crimes Act 1914</w:t>
      </w:r>
      <w:r w:rsidR="0012019D">
        <w:rPr>
          <w:rFonts w:asciiTheme="minorHAnsi" w:hAnsiTheme="minorHAnsi"/>
        </w:rPr>
        <w:t>, s.20C)</w:t>
      </w:r>
      <w:r w:rsidR="008471DA">
        <w:rPr>
          <w:rFonts w:asciiTheme="minorHAnsi" w:hAnsiTheme="minorHAnsi"/>
        </w:rPr>
        <w:t>.  In 1973, the death penalty (</w:t>
      </w:r>
      <w:r w:rsidR="001219C3">
        <w:rPr>
          <w:rFonts w:asciiTheme="minorHAnsi" w:hAnsiTheme="minorHAnsi"/>
        </w:rPr>
        <w:t>previously</w:t>
      </w:r>
      <w:r w:rsidR="008471DA">
        <w:rPr>
          <w:rFonts w:asciiTheme="minorHAnsi" w:hAnsiTheme="minorHAnsi"/>
        </w:rPr>
        <w:t xml:space="preserve"> provided for treason and </w:t>
      </w:r>
      <w:r w:rsidR="00A01254">
        <w:rPr>
          <w:rFonts w:asciiTheme="minorHAnsi" w:hAnsiTheme="minorHAnsi"/>
        </w:rPr>
        <w:t xml:space="preserve">some </w:t>
      </w:r>
      <w:r w:rsidR="008471DA">
        <w:rPr>
          <w:rFonts w:asciiTheme="minorHAnsi" w:hAnsiTheme="minorHAnsi"/>
        </w:rPr>
        <w:t xml:space="preserve">other serious offences) was abolished.  </w:t>
      </w:r>
      <w:r w:rsidR="004A3B65">
        <w:rPr>
          <w:rFonts w:asciiTheme="minorHAnsi" w:hAnsiTheme="minorHAnsi"/>
        </w:rPr>
        <w:t>Amendments in 198</w:t>
      </w:r>
      <w:r w:rsidR="00BE020A">
        <w:rPr>
          <w:rFonts w:asciiTheme="minorHAnsi" w:hAnsiTheme="minorHAnsi"/>
        </w:rPr>
        <w:t>2</w:t>
      </w:r>
      <w:r w:rsidR="004A3B65">
        <w:rPr>
          <w:rFonts w:asciiTheme="minorHAnsi" w:hAnsiTheme="minorHAnsi"/>
        </w:rPr>
        <w:t xml:space="preserve"> empowered courts sentencing federal offenders to impose certain State or Territory non-custodial sentences, such as community service orders</w:t>
      </w:r>
      <w:r w:rsidR="00BE020A">
        <w:rPr>
          <w:rFonts w:asciiTheme="minorHAnsi" w:hAnsiTheme="minorHAnsi"/>
        </w:rPr>
        <w:t xml:space="preserve"> and periodic detention</w:t>
      </w:r>
      <w:r w:rsidR="006A0E4B">
        <w:rPr>
          <w:rFonts w:asciiTheme="minorHAnsi" w:hAnsiTheme="minorHAnsi"/>
        </w:rPr>
        <w:t xml:space="preserve"> (</w:t>
      </w:r>
      <w:r w:rsidR="006A0E4B" w:rsidRPr="00885EFD">
        <w:rPr>
          <w:rFonts w:asciiTheme="minorHAnsi" w:hAnsiTheme="minorHAnsi"/>
          <w:i/>
        </w:rPr>
        <w:t>Crimes Act 1914</w:t>
      </w:r>
      <w:r w:rsidR="006A0E4B">
        <w:rPr>
          <w:rFonts w:asciiTheme="minorHAnsi" w:hAnsiTheme="minorHAnsi"/>
        </w:rPr>
        <w:t>, s.20AB)</w:t>
      </w:r>
      <w:r w:rsidR="004A3B65">
        <w:rPr>
          <w:rFonts w:asciiTheme="minorHAnsi" w:hAnsiTheme="minorHAnsi"/>
        </w:rPr>
        <w:t xml:space="preserve">.  </w:t>
      </w:r>
      <w:r w:rsidR="008471DA">
        <w:rPr>
          <w:rFonts w:asciiTheme="minorHAnsi" w:hAnsiTheme="minorHAnsi"/>
        </w:rPr>
        <w:t>However</w:t>
      </w:r>
      <w:r w:rsidR="009C5769">
        <w:rPr>
          <w:rFonts w:asciiTheme="minorHAnsi" w:hAnsiTheme="minorHAnsi"/>
        </w:rPr>
        <w:t xml:space="preserve">, </w:t>
      </w:r>
      <w:r w:rsidR="0012019D">
        <w:rPr>
          <w:rFonts w:asciiTheme="minorHAnsi" w:hAnsiTheme="minorHAnsi"/>
        </w:rPr>
        <w:t>t</w:t>
      </w:r>
      <w:r w:rsidR="009C5769">
        <w:rPr>
          <w:rFonts w:asciiTheme="minorHAnsi" w:hAnsiTheme="minorHAnsi"/>
        </w:rPr>
        <w:t xml:space="preserve">he essential features of the legislative </w:t>
      </w:r>
      <w:r w:rsidR="0012019D">
        <w:rPr>
          <w:rFonts w:asciiTheme="minorHAnsi" w:hAnsiTheme="minorHAnsi"/>
        </w:rPr>
        <w:t>scheme remain</w:t>
      </w:r>
      <w:r w:rsidR="008471DA">
        <w:rPr>
          <w:rFonts w:asciiTheme="minorHAnsi" w:hAnsiTheme="minorHAnsi"/>
        </w:rPr>
        <w:t>ed</w:t>
      </w:r>
      <w:r w:rsidR="0012019D">
        <w:rPr>
          <w:rFonts w:asciiTheme="minorHAnsi" w:hAnsiTheme="minorHAnsi"/>
        </w:rPr>
        <w:t xml:space="preserve"> constant.</w:t>
      </w:r>
    </w:p>
    <w:p w14:paraId="42383EDD" w14:textId="77777777" w:rsidR="00716E67" w:rsidRDefault="00716E67" w:rsidP="00716E67">
      <w:pPr>
        <w:pStyle w:val="BodyText"/>
        <w:spacing w:line="276" w:lineRule="auto"/>
        <w:ind w:right="170"/>
        <w:jc w:val="both"/>
        <w:rPr>
          <w:rFonts w:asciiTheme="minorHAnsi" w:hAnsiTheme="minorHAnsi"/>
        </w:rPr>
      </w:pPr>
    </w:p>
    <w:p w14:paraId="02D08266" w14:textId="05C414AF" w:rsidR="00BD1E2D" w:rsidRDefault="00823D23" w:rsidP="00EB7F1E">
      <w:pPr>
        <w:pStyle w:val="ListParagraph"/>
        <w:numPr>
          <w:ilvl w:val="0"/>
          <w:numId w:val="7"/>
        </w:numPr>
        <w:spacing w:line="276" w:lineRule="auto"/>
        <w:ind w:left="425" w:hanging="425"/>
        <w:contextualSpacing w:val="0"/>
        <w:rPr>
          <w:rFonts w:asciiTheme="minorHAnsi" w:hAnsiTheme="minorHAnsi"/>
        </w:rPr>
      </w:pPr>
      <w:r w:rsidRPr="00D22EB1">
        <w:rPr>
          <w:rFonts w:asciiTheme="minorHAnsi" w:hAnsiTheme="minorHAnsi"/>
        </w:rPr>
        <w:t>The position has changed considerably</w:t>
      </w:r>
      <w:r w:rsidR="00716E67">
        <w:rPr>
          <w:rFonts w:asciiTheme="minorHAnsi" w:hAnsiTheme="minorHAnsi"/>
        </w:rPr>
        <w:t xml:space="preserve"> since </w:t>
      </w:r>
      <w:r w:rsidR="002F292D">
        <w:rPr>
          <w:rFonts w:asciiTheme="minorHAnsi" w:hAnsiTheme="minorHAnsi"/>
        </w:rPr>
        <w:t xml:space="preserve">the </w:t>
      </w:r>
      <w:r w:rsidR="00BE020A">
        <w:rPr>
          <w:rFonts w:asciiTheme="minorHAnsi" w:hAnsiTheme="minorHAnsi"/>
        </w:rPr>
        <w:t xml:space="preserve">late </w:t>
      </w:r>
      <w:r w:rsidR="002F292D">
        <w:rPr>
          <w:rFonts w:asciiTheme="minorHAnsi" w:hAnsiTheme="minorHAnsi"/>
        </w:rPr>
        <w:t>1980s</w:t>
      </w:r>
      <w:r w:rsidR="007B48A8">
        <w:rPr>
          <w:rFonts w:asciiTheme="minorHAnsi" w:hAnsiTheme="minorHAnsi"/>
        </w:rPr>
        <w:t>.  M</w:t>
      </w:r>
      <w:r w:rsidR="007B48A8" w:rsidRPr="00D22EB1">
        <w:rPr>
          <w:rFonts w:asciiTheme="minorHAnsi" w:hAnsiTheme="minorHAnsi"/>
        </w:rPr>
        <w:t xml:space="preserve">ajor </w:t>
      </w:r>
      <w:r w:rsidR="00EC490C" w:rsidRPr="00D22EB1">
        <w:rPr>
          <w:rFonts w:asciiTheme="minorHAnsi" w:hAnsiTheme="minorHAnsi"/>
        </w:rPr>
        <w:t xml:space="preserve">amendments to the </w:t>
      </w:r>
      <w:r w:rsidR="00BA2B0B" w:rsidRPr="00BA2B0B">
        <w:rPr>
          <w:rFonts w:asciiTheme="minorHAnsi" w:hAnsiTheme="minorHAnsi"/>
          <w:i/>
        </w:rPr>
        <w:t>Crimes Act</w:t>
      </w:r>
      <w:r w:rsidR="00EC490C" w:rsidRPr="00D22EB1">
        <w:rPr>
          <w:rFonts w:asciiTheme="minorHAnsi" w:hAnsiTheme="minorHAnsi"/>
        </w:rPr>
        <w:t xml:space="preserve"> </w:t>
      </w:r>
      <w:r w:rsidR="00716E67">
        <w:rPr>
          <w:rFonts w:asciiTheme="minorHAnsi" w:hAnsiTheme="minorHAnsi"/>
        </w:rPr>
        <w:t>were enacted</w:t>
      </w:r>
      <w:r w:rsidR="007B48A8">
        <w:rPr>
          <w:rFonts w:asciiTheme="minorHAnsi" w:hAnsiTheme="minorHAnsi"/>
        </w:rPr>
        <w:t xml:space="preserve"> in 1989</w:t>
      </w:r>
      <w:r w:rsidR="00716E67">
        <w:rPr>
          <w:rFonts w:asciiTheme="minorHAnsi" w:hAnsiTheme="minorHAnsi"/>
        </w:rPr>
        <w:t>.</w:t>
      </w:r>
      <w:r w:rsidR="0062799A" w:rsidRPr="00C00000">
        <w:rPr>
          <w:rStyle w:val="Style"/>
          <w:rFonts w:asciiTheme="minorHAnsi" w:hAnsiTheme="minorHAnsi"/>
        </w:rPr>
        <w:footnoteReference w:id="28"/>
      </w:r>
      <w:r w:rsidR="00EC490C" w:rsidRPr="00D22EB1">
        <w:rPr>
          <w:rFonts w:asciiTheme="minorHAnsi" w:hAnsiTheme="minorHAnsi"/>
        </w:rPr>
        <w:t xml:space="preserve"> </w:t>
      </w:r>
      <w:r w:rsidR="00716E67">
        <w:rPr>
          <w:rFonts w:asciiTheme="minorHAnsi" w:hAnsiTheme="minorHAnsi"/>
        </w:rPr>
        <w:t xml:space="preserve"> Those amendments </w:t>
      </w:r>
      <w:r w:rsidR="00357FA4">
        <w:rPr>
          <w:rFonts w:asciiTheme="minorHAnsi" w:hAnsiTheme="minorHAnsi"/>
        </w:rPr>
        <w:t>included extensive provision</w:t>
      </w:r>
      <w:r w:rsidR="001219C3">
        <w:rPr>
          <w:rFonts w:asciiTheme="minorHAnsi" w:hAnsiTheme="minorHAnsi"/>
        </w:rPr>
        <w:t>s</w:t>
      </w:r>
      <w:r w:rsidR="00357FA4">
        <w:rPr>
          <w:rFonts w:asciiTheme="minorHAnsi" w:hAnsiTheme="minorHAnsi"/>
        </w:rPr>
        <w:t xml:space="preserve"> relating to the sentencing of </w:t>
      </w:r>
      <w:r w:rsidR="00357FA4" w:rsidRPr="00357FA4">
        <w:rPr>
          <w:rFonts w:asciiTheme="minorHAnsi" w:hAnsiTheme="minorHAnsi"/>
        </w:rPr>
        <w:t>Commonwealth</w:t>
      </w:r>
      <w:r w:rsidR="00357FA4">
        <w:rPr>
          <w:rFonts w:asciiTheme="minorHAnsi" w:hAnsiTheme="minorHAnsi"/>
        </w:rPr>
        <w:t xml:space="preserve"> offenders</w:t>
      </w:r>
      <w:r w:rsidR="0062799A">
        <w:rPr>
          <w:rFonts w:asciiTheme="minorHAnsi" w:hAnsiTheme="minorHAnsi"/>
        </w:rPr>
        <w:t>.</w:t>
      </w:r>
      <w:r w:rsidR="00904B94" w:rsidRPr="00C00000">
        <w:rPr>
          <w:rStyle w:val="Style"/>
          <w:rFonts w:asciiTheme="minorHAnsi" w:hAnsiTheme="minorHAnsi"/>
        </w:rPr>
        <w:footnoteReference w:id="29"/>
      </w:r>
      <w:r w:rsidR="00357FA4">
        <w:rPr>
          <w:rFonts w:asciiTheme="minorHAnsi" w:hAnsiTheme="minorHAnsi"/>
        </w:rPr>
        <w:t xml:space="preserve">  A number of </w:t>
      </w:r>
      <w:r w:rsidR="0062115F">
        <w:rPr>
          <w:rFonts w:asciiTheme="minorHAnsi" w:hAnsiTheme="minorHAnsi"/>
        </w:rPr>
        <w:t xml:space="preserve">further </w:t>
      </w:r>
      <w:r w:rsidR="00357FA4">
        <w:rPr>
          <w:rFonts w:asciiTheme="minorHAnsi" w:hAnsiTheme="minorHAnsi"/>
        </w:rPr>
        <w:t xml:space="preserve">significant amendments </w:t>
      </w:r>
      <w:r w:rsidR="00EC490C" w:rsidRPr="00D22EB1">
        <w:rPr>
          <w:rFonts w:asciiTheme="minorHAnsi" w:hAnsiTheme="minorHAnsi"/>
        </w:rPr>
        <w:t xml:space="preserve">have been </w:t>
      </w:r>
      <w:r w:rsidR="00357FA4">
        <w:rPr>
          <w:rFonts w:asciiTheme="minorHAnsi" w:hAnsiTheme="minorHAnsi"/>
        </w:rPr>
        <w:t xml:space="preserve">made </w:t>
      </w:r>
      <w:r w:rsidR="00EC490C" w:rsidRPr="00D22EB1">
        <w:rPr>
          <w:rFonts w:asciiTheme="minorHAnsi" w:hAnsiTheme="minorHAnsi"/>
        </w:rPr>
        <w:t>since</w:t>
      </w:r>
      <w:r w:rsidR="00FF33DE">
        <w:rPr>
          <w:rFonts w:asciiTheme="minorHAnsi" w:hAnsiTheme="minorHAnsi"/>
        </w:rPr>
        <w:t xml:space="preserve"> then</w:t>
      </w:r>
      <w:r w:rsidR="00EC490C" w:rsidRPr="00D22EB1">
        <w:rPr>
          <w:rFonts w:asciiTheme="minorHAnsi" w:hAnsiTheme="minorHAnsi"/>
        </w:rPr>
        <w:t>.</w:t>
      </w:r>
      <w:r w:rsidR="00033D4F" w:rsidRPr="00C00000">
        <w:rPr>
          <w:rStyle w:val="Style"/>
          <w:rFonts w:asciiTheme="minorHAnsi" w:hAnsiTheme="minorHAnsi"/>
        </w:rPr>
        <w:footnoteReference w:id="30"/>
      </w:r>
      <w:r w:rsidR="00EC490C" w:rsidRPr="00D22EB1">
        <w:rPr>
          <w:rFonts w:asciiTheme="minorHAnsi" w:hAnsiTheme="minorHAnsi"/>
        </w:rPr>
        <w:t xml:space="preserve">  </w:t>
      </w:r>
      <w:r w:rsidR="00BD1E2D">
        <w:rPr>
          <w:rFonts w:asciiTheme="minorHAnsi" w:hAnsiTheme="minorHAnsi"/>
        </w:rPr>
        <w:t xml:space="preserve">The result is that </w:t>
      </w:r>
      <w:r w:rsidR="00BD1E2D" w:rsidRPr="00BD1E2D">
        <w:rPr>
          <w:rFonts w:asciiTheme="minorHAnsi" w:hAnsiTheme="minorHAnsi"/>
        </w:rPr>
        <w:t>Commonwealth</w:t>
      </w:r>
      <w:r w:rsidR="00BD1E2D">
        <w:rPr>
          <w:rFonts w:asciiTheme="minorHAnsi" w:hAnsiTheme="minorHAnsi"/>
        </w:rPr>
        <w:t xml:space="preserve"> law now makes direct provision for a far wider range of matters relating to the sentencing of federal offenders.  That trend is unlikely to be reversed.</w:t>
      </w:r>
    </w:p>
    <w:p w14:paraId="14273BEE" w14:textId="77777777" w:rsidR="001E337B" w:rsidRDefault="001E337B">
      <w:pPr>
        <w:pStyle w:val="BodyText"/>
        <w:spacing w:line="276" w:lineRule="auto"/>
        <w:ind w:right="170"/>
        <w:jc w:val="both"/>
        <w:rPr>
          <w:rFonts w:asciiTheme="minorHAnsi" w:hAnsiTheme="minorHAnsi"/>
        </w:rPr>
      </w:pPr>
    </w:p>
    <w:p w14:paraId="20151007" w14:textId="77777777" w:rsidR="00B46C8A" w:rsidRDefault="00B46C8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Over the same period, there has been extensive reform of Commonwealth criminal law generally.  This has included the enactment of many new offences and the codification of the law by the </w:t>
      </w:r>
      <w:r w:rsidRPr="006D62EA">
        <w:rPr>
          <w:rFonts w:asciiTheme="minorHAnsi" w:hAnsiTheme="minorHAnsi"/>
          <w:i/>
        </w:rPr>
        <w:t>Criminal Code</w:t>
      </w:r>
      <w:r>
        <w:rPr>
          <w:rFonts w:asciiTheme="minorHAnsi" w:hAnsiTheme="minorHAnsi"/>
        </w:rPr>
        <w:t xml:space="preserve"> (Cth).</w:t>
      </w:r>
      <w:r w:rsidRPr="000055BF">
        <w:rPr>
          <w:rFonts w:asciiTheme="minorHAnsi" w:hAnsiTheme="minorHAnsi"/>
          <w:position w:val="6"/>
          <w:sz w:val="16"/>
        </w:rPr>
        <w:footnoteReference w:id="31"/>
      </w:r>
    </w:p>
    <w:p w14:paraId="6314933D" w14:textId="77777777" w:rsidR="00B46C8A" w:rsidRDefault="00B46C8A" w:rsidP="00B46C8A">
      <w:pPr>
        <w:pStyle w:val="BodyText"/>
        <w:spacing w:line="276" w:lineRule="auto"/>
        <w:ind w:right="170"/>
        <w:jc w:val="both"/>
        <w:rPr>
          <w:rFonts w:asciiTheme="minorHAnsi" w:hAnsiTheme="minorHAnsi"/>
        </w:rPr>
      </w:pPr>
    </w:p>
    <w:p w14:paraId="4032C7C5" w14:textId="4E5A3120" w:rsidR="00FF33DE" w:rsidRDefault="00EC490C" w:rsidP="00EB7F1E">
      <w:pPr>
        <w:pStyle w:val="ListParagraph"/>
        <w:numPr>
          <w:ilvl w:val="0"/>
          <w:numId w:val="7"/>
        </w:numPr>
        <w:spacing w:line="276" w:lineRule="auto"/>
        <w:ind w:left="425" w:hanging="425"/>
        <w:contextualSpacing w:val="0"/>
        <w:rPr>
          <w:rFonts w:asciiTheme="minorHAnsi" w:hAnsiTheme="minorHAnsi"/>
        </w:rPr>
      </w:pPr>
      <w:r w:rsidRPr="00D22EB1">
        <w:rPr>
          <w:rFonts w:asciiTheme="minorHAnsi" w:hAnsiTheme="minorHAnsi"/>
        </w:rPr>
        <w:t xml:space="preserve">The body of case law </w:t>
      </w:r>
      <w:r w:rsidR="00B46C8A">
        <w:rPr>
          <w:rFonts w:asciiTheme="minorHAnsi" w:hAnsiTheme="minorHAnsi"/>
        </w:rPr>
        <w:t xml:space="preserve">relating to the sentencing of federal offenders </w:t>
      </w:r>
      <w:r w:rsidRPr="00D22EB1">
        <w:rPr>
          <w:rFonts w:asciiTheme="minorHAnsi" w:hAnsiTheme="minorHAnsi"/>
        </w:rPr>
        <w:t xml:space="preserve">has also expanded considerably, and there is now an extensive </w:t>
      </w:r>
      <w:r w:rsidR="00D22EB1" w:rsidRPr="00D22EB1">
        <w:rPr>
          <w:rFonts w:asciiTheme="minorHAnsi" w:hAnsiTheme="minorHAnsi"/>
        </w:rPr>
        <w:t xml:space="preserve">(and rapidly expanding) </w:t>
      </w:r>
      <w:r w:rsidRPr="00D22EB1">
        <w:rPr>
          <w:rFonts w:asciiTheme="minorHAnsi" w:hAnsiTheme="minorHAnsi"/>
        </w:rPr>
        <w:t xml:space="preserve">jurisprudence of the High Court and </w:t>
      </w:r>
      <w:r w:rsidR="00D22EB1" w:rsidRPr="00D22EB1">
        <w:rPr>
          <w:rFonts w:asciiTheme="minorHAnsi" w:hAnsiTheme="minorHAnsi"/>
        </w:rPr>
        <w:t xml:space="preserve">of State and Territory superior courts </w:t>
      </w:r>
      <w:r w:rsidR="00B46C8A">
        <w:rPr>
          <w:rFonts w:asciiTheme="minorHAnsi" w:hAnsiTheme="minorHAnsi"/>
        </w:rPr>
        <w:t>on the subject</w:t>
      </w:r>
      <w:r w:rsidR="00D22EB1" w:rsidRPr="00D22EB1">
        <w:rPr>
          <w:rFonts w:asciiTheme="minorHAnsi" w:hAnsiTheme="minorHAnsi"/>
        </w:rPr>
        <w:t>.</w:t>
      </w:r>
      <w:r w:rsidR="00000112">
        <w:rPr>
          <w:rFonts w:asciiTheme="minorHAnsi" w:hAnsiTheme="minorHAnsi"/>
        </w:rPr>
        <w:t xml:space="preserve">  </w:t>
      </w:r>
      <w:r w:rsidR="00274F46">
        <w:rPr>
          <w:rFonts w:asciiTheme="minorHAnsi" w:hAnsiTheme="minorHAnsi"/>
        </w:rPr>
        <w:t xml:space="preserve">In </w:t>
      </w:r>
      <w:r w:rsidR="00000112">
        <w:rPr>
          <w:rFonts w:asciiTheme="minorHAnsi" w:hAnsiTheme="minorHAnsi"/>
        </w:rPr>
        <w:t xml:space="preserve">a series of decisions, the </w:t>
      </w:r>
      <w:r w:rsidR="00000112" w:rsidRPr="00000112">
        <w:rPr>
          <w:rFonts w:asciiTheme="minorHAnsi" w:hAnsiTheme="minorHAnsi"/>
        </w:rPr>
        <w:t>High Court</w:t>
      </w:r>
      <w:r w:rsidR="00000112">
        <w:rPr>
          <w:rFonts w:asciiTheme="minorHAnsi" w:hAnsiTheme="minorHAnsi"/>
        </w:rPr>
        <w:t xml:space="preserve"> has </w:t>
      </w:r>
      <w:r w:rsidR="00CA1A2B">
        <w:rPr>
          <w:rFonts w:asciiTheme="minorHAnsi" w:hAnsiTheme="minorHAnsi"/>
        </w:rPr>
        <w:t xml:space="preserve">articulated how </w:t>
      </w:r>
      <w:r w:rsidR="00000112">
        <w:rPr>
          <w:rFonts w:asciiTheme="minorHAnsi" w:hAnsiTheme="minorHAnsi"/>
        </w:rPr>
        <w:t xml:space="preserve">national consistency </w:t>
      </w:r>
      <w:r w:rsidR="00CA1A2B">
        <w:rPr>
          <w:rFonts w:asciiTheme="minorHAnsi" w:hAnsiTheme="minorHAnsi"/>
        </w:rPr>
        <w:t xml:space="preserve">is to be achieved </w:t>
      </w:r>
      <w:r w:rsidR="00000112">
        <w:rPr>
          <w:rFonts w:asciiTheme="minorHAnsi" w:hAnsiTheme="minorHAnsi"/>
        </w:rPr>
        <w:t>in the sentencing of federal offenders.</w:t>
      </w:r>
      <w:r w:rsidR="00CA1A2B" w:rsidRPr="000055BF">
        <w:rPr>
          <w:rFonts w:asciiTheme="minorHAnsi" w:hAnsiTheme="minorHAnsi"/>
          <w:position w:val="6"/>
          <w:sz w:val="16"/>
        </w:rPr>
        <w:footnoteReference w:id="32"/>
      </w:r>
    </w:p>
    <w:p w14:paraId="7726A4C8" w14:textId="77777777" w:rsidR="001E337B" w:rsidRDefault="001E337B">
      <w:pPr>
        <w:pStyle w:val="BodyText"/>
        <w:spacing w:line="276" w:lineRule="auto"/>
        <w:ind w:right="170"/>
        <w:jc w:val="both"/>
        <w:rPr>
          <w:rFonts w:asciiTheme="minorHAnsi" w:hAnsiTheme="minorHAnsi"/>
        </w:rPr>
      </w:pPr>
    </w:p>
    <w:p w14:paraId="208C9328" w14:textId="3FB96738" w:rsidR="00A01254" w:rsidRDefault="00A0125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Although the overwhelming majority of proceedings for federal offences continue to be brought in</w:t>
      </w:r>
      <w:r w:rsidR="00D93D32">
        <w:rPr>
          <w:rFonts w:asciiTheme="minorHAnsi" w:hAnsiTheme="minorHAnsi"/>
        </w:rPr>
        <w:t>,</w:t>
      </w:r>
      <w:r>
        <w:rPr>
          <w:rFonts w:asciiTheme="minorHAnsi" w:hAnsiTheme="minorHAnsi"/>
        </w:rPr>
        <w:t xml:space="preserve"> </w:t>
      </w:r>
      <w:r w:rsidR="008E54F7">
        <w:rPr>
          <w:rFonts w:asciiTheme="minorHAnsi" w:hAnsiTheme="minorHAnsi"/>
        </w:rPr>
        <w:t>and dealt with by</w:t>
      </w:r>
      <w:r w:rsidR="00D93D32">
        <w:rPr>
          <w:rFonts w:asciiTheme="minorHAnsi" w:hAnsiTheme="minorHAnsi"/>
        </w:rPr>
        <w:t>,</w:t>
      </w:r>
      <w:r w:rsidR="008E54F7">
        <w:rPr>
          <w:rFonts w:asciiTheme="minorHAnsi" w:hAnsiTheme="minorHAnsi"/>
        </w:rPr>
        <w:t xml:space="preserve"> </w:t>
      </w:r>
      <w:r>
        <w:rPr>
          <w:rFonts w:asciiTheme="minorHAnsi" w:hAnsiTheme="minorHAnsi"/>
        </w:rPr>
        <w:t xml:space="preserve">State and Territory courts, there have been some steps towards expanding the jurisdiction of federal courts to deal with </w:t>
      </w:r>
      <w:r w:rsidR="00C6354E">
        <w:rPr>
          <w:rFonts w:asciiTheme="minorHAnsi" w:hAnsiTheme="minorHAnsi"/>
        </w:rPr>
        <w:t xml:space="preserve">federal offences.  One such development has been creating the legislative framework and the facilities for cartel offences to be tried on indictment in the Federal Court of </w:t>
      </w:r>
      <w:r w:rsidR="00C6354E" w:rsidRPr="00C6354E">
        <w:rPr>
          <w:rFonts w:asciiTheme="minorHAnsi" w:hAnsiTheme="minorHAnsi"/>
        </w:rPr>
        <w:t>Australia</w:t>
      </w:r>
      <w:r w:rsidR="00C6354E">
        <w:rPr>
          <w:rFonts w:asciiTheme="minorHAnsi" w:hAnsiTheme="minorHAnsi"/>
        </w:rPr>
        <w:t>.</w:t>
      </w:r>
      <w:r w:rsidR="001E03E0">
        <w:rPr>
          <w:rFonts w:asciiTheme="minorHAnsi" w:hAnsiTheme="minorHAnsi"/>
        </w:rPr>
        <w:t xml:space="preserve">  There have also been proposals for the Federal Court to be empowered to try on indictment national security offences.</w:t>
      </w:r>
      <w:r w:rsidR="001E03E0" w:rsidRPr="000055BF">
        <w:rPr>
          <w:rFonts w:asciiTheme="minorHAnsi" w:hAnsiTheme="minorHAnsi"/>
          <w:position w:val="6"/>
          <w:sz w:val="16"/>
        </w:rPr>
        <w:footnoteReference w:id="33"/>
      </w:r>
    </w:p>
    <w:p w14:paraId="4BF61ACE" w14:textId="2402FC9A" w:rsidR="00A01254" w:rsidRDefault="00A01254" w:rsidP="00EB7F1E">
      <w:pPr>
        <w:pStyle w:val="BodyText"/>
        <w:spacing w:line="276" w:lineRule="auto"/>
        <w:ind w:right="170"/>
        <w:jc w:val="both"/>
        <w:rPr>
          <w:rFonts w:asciiTheme="minorHAnsi" w:hAnsiTheme="minorHAnsi"/>
        </w:rPr>
      </w:pPr>
    </w:p>
    <w:p w14:paraId="3B6F304C" w14:textId="2B9B0EB5" w:rsidR="00823D23" w:rsidRDefault="00033D4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Amongst the factors which have been driving these changes have been </w:t>
      </w:r>
      <w:r w:rsidR="00BD1E2D">
        <w:rPr>
          <w:rFonts w:asciiTheme="minorHAnsi" w:hAnsiTheme="minorHAnsi"/>
        </w:rPr>
        <w:t xml:space="preserve">a greater emphasis on the need for </w:t>
      </w:r>
      <w:r w:rsidR="00247405">
        <w:rPr>
          <w:rFonts w:asciiTheme="minorHAnsi" w:hAnsiTheme="minorHAnsi"/>
        </w:rPr>
        <w:t xml:space="preserve">consistency in the </w:t>
      </w:r>
      <w:r w:rsidR="00BD1E2D">
        <w:rPr>
          <w:rFonts w:asciiTheme="minorHAnsi" w:hAnsiTheme="minorHAnsi"/>
        </w:rPr>
        <w:t xml:space="preserve">treatment of federal offenders, </w:t>
      </w:r>
      <w:r w:rsidR="00CF2F93">
        <w:rPr>
          <w:rFonts w:asciiTheme="minorHAnsi" w:hAnsiTheme="minorHAnsi"/>
        </w:rPr>
        <w:t xml:space="preserve">the creation of new crimes and </w:t>
      </w:r>
      <w:r>
        <w:rPr>
          <w:rFonts w:asciiTheme="minorHAnsi" w:hAnsiTheme="minorHAnsi"/>
        </w:rPr>
        <w:t xml:space="preserve">an increase in the number and scope of federal offences, </w:t>
      </w:r>
      <w:r w:rsidR="00BD1E2D">
        <w:rPr>
          <w:rFonts w:asciiTheme="minorHAnsi" w:hAnsiTheme="minorHAnsi"/>
        </w:rPr>
        <w:t xml:space="preserve">a sharp rise in the number of prosecutions for such offences, </w:t>
      </w:r>
      <w:r w:rsidR="00CB69E8">
        <w:rPr>
          <w:rFonts w:asciiTheme="minorHAnsi" w:hAnsiTheme="minorHAnsi"/>
        </w:rPr>
        <w:t xml:space="preserve">the growth of cross-border crime, the </w:t>
      </w:r>
      <w:r w:rsidR="002F292D">
        <w:rPr>
          <w:rFonts w:asciiTheme="minorHAnsi" w:hAnsiTheme="minorHAnsi"/>
        </w:rPr>
        <w:t xml:space="preserve">establishment and </w:t>
      </w:r>
      <w:r w:rsidR="00CB69E8">
        <w:rPr>
          <w:rFonts w:asciiTheme="minorHAnsi" w:hAnsiTheme="minorHAnsi"/>
        </w:rPr>
        <w:t xml:space="preserve">development of </w:t>
      </w:r>
      <w:r w:rsidR="00CB69E8" w:rsidRPr="00CB69E8">
        <w:rPr>
          <w:rFonts w:asciiTheme="minorHAnsi" w:hAnsiTheme="minorHAnsi"/>
        </w:rPr>
        <w:t>Commonwealth</w:t>
      </w:r>
      <w:r w:rsidR="00CB69E8">
        <w:rPr>
          <w:rFonts w:asciiTheme="minorHAnsi" w:hAnsiTheme="minorHAnsi"/>
        </w:rPr>
        <w:t xml:space="preserve"> investigative and prosecution agencies</w:t>
      </w:r>
      <w:r w:rsidR="002F292D">
        <w:rPr>
          <w:rFonts w:asciiTheme="minorHAnsi" w:hAnsiTheme="minorHAnsi"/>
        </w:rPr>
        <w:t xml:space="preserve"> (notably the </w:t>
      </w:r>
      <w:r w:rsidR="002F292D" w:rsidRPr="002F292D">
        <w:rPr>
          <w:rFonts w:asciiTheme="minorHAnsi" w:hAnsiTheme="minorHAnsi"/>
        </w:rPr>
        <w:t>Australia</w:t>
      </w:r>
      <w:r w:rsidR="002F292D">
        <w:rPr>
          <w:rFonts w:asciiTheme="minorHAnsi" w:hAnsiTheme="minorHAnsi"/>
        </w:rPr>
        <w:t xml:space="preserve">n Federal Police and the </w:t>
      </w:r>
      <w:r w:rsidR="00F62312">
        <w:rPr>
          <w:rFonts w:asciiTheme="minorHAnsi" w:hAnsiTheme="minorHAnsi"/>
        </w:rPr>
        <w:t>CDPP</w:t>
      </w:r>
      <w:r w:rsidR="002F292D">
        <w:rPr>
          <w:rFonts w:asciiTheme="minorHAnsi" w:hAnsiTheme="minorHAnsi"/>
        </w:rPr>
        <w:t>)</w:t>
      </w:r>
      <w:r w:rsidR="00CB69E8">
        <w:rPr>
          <w:rFonts w:asciiTheme="minorHAnsi" w:hAnsiTheme="minorHAnsi"/>
        </w:rPr>
        <w:t xml:space="preserve">, </w:t>
      </w:r>
      <w:r w:rsidR="005F2077">
        <w:rPr>
          <w:rFonts w:asciiTheme="minorHAnsi" w:hAnsiTheme="minorHAnsi"/>
        </w:rPr>
        <w:t xml:space="preserve">the </w:t>
      </w:r>
      <w:r w:rsidR="0006787C">
        <w:rPr>
          <w:rFonts w:asciiTheme="minorHAnsi" w:hAnsiTheme="minorHAnsi"/>
        </w:rPr>
        <w:t>emergence of new</w:t>
      </w:r>
      <w:r w:rsidR="005F2077">
        <w:rPr>
          <w:rFonts w:asciiTheme="minorHAnsi" w:hAnsiTheme="minorHAnsi"/>
        </w:rPr>
        <w:t xml:space="preserve"> sentencing options, </w:t>
      </w:r>
      <w:r w:rsidR="00CB2D50">
        <w:rPr>
          <w:rFonts w:asciiTheme="minorHAnsi" w:hAnsiTheme="minorHAnsi"/>
        </w:rPr>
        <w:t xml:space="preserve">and </w:t>
      </w:r>
      <w:r w:rsidR="005F2077">
        <w:rPr>
          <w:rFonts w:asciiTheme="minorHAnsi" w:hAnsiTheme="minorHAnsi"/>
        </w:rPr>
        <w:t>a</w:t>
      </w:r>
      <w:r w:rsidR="00CB2D50">
        <w:rPr>
          <w:rFonts w:asciiTheme="minorHAnsi" w:hAnsiTheme="minorHAnsi"/>
        </w:rPr>
        <w:t>n increasing</w:t>
      </w:r>
      <w:r w:rsidR="005F2077">
        <w:rPr>
          <w:rFonts w:asciiTheme="minorHAnsi" w:hAnsiTheme="minorHAnsi"/>
        </w:rPr>
        <w:t xml:space="preserve"> legislative preference for more structured – and sometimes more prescriptive – laws to govern sentencing</w:t>
      </w:r>
      <w:r w:rsidR="00CB69E8">
        <w:rPr>
          <w:rFonts w:asciiTheme="minorHAnsi" w:hAnsiTheme="minorHAnsi"/>
        </w:rPr>
        <w:t xml:space="preserve"> of federal offenders</w:t>
      </w:r>
      <w:r w:rsidR="00CB2D50">
        <w:rPr>
          <w:rFonts w:asciiTheme="minorHAnsi" w:hAnsiTheme="minorHAnsi"/>
        </w:rPr>
        <w:t>.</w:t>
      </w:r>
    </w:p>
    <w:p w14:paraId="339C96D2" w14:textId="77777777" w:rsidR="001E337B" w:rsidRDefault="001E337B">
      <w:pPr>
        <w:pStyle w:val="BodyText"/>
        <w:spacing w:line="276" w:lineRule="auto"/>
        <w:ind w:right="170"/>
        <w:jc w:val="both"/>
        <w:rPr>
          <w:rFonts w:asciiTheme="minorHAnsi" w:hAnsiTheme="minorHAnsi"/>
        </w:rPr>
      </w:pPr>
    </w:p>
    <w:p w14:paraId="1952CD82" w14:textId="6145A934" w:rsidR="001E337B" w:rsidRDefault="00247453" w:rsidP="00EB7F1E">
      <w:pPr>
        <w:pStyle w:val="ListParagraph"/>
        <w:numPr>
          <w:ilvl w:val="0"/>
          <w:numId w:val="7"/>
        </w:numPr>
        <w:spacing w:line="276" w:lineRule="auto"/>
        <w:ind w:left="425" w:hanging="425"/>
        <w:contextualSpacing w:val="0"/>
        <w:rPr>
          <w:rFonts w:asciiTheme="minorHAnsi" w:hAnsiTheme="minorHAnsi"/>
        </w:rPr>
      </w:pPr>
      <w:r w:rsidRPr="00904B94">
        <w:rPr>
          <w:rFonts w:asciiTheme="minorHAnsi" w:hAnsiTheme="minorHAnsi"/>
        </w:rPr>
        <w:t xml:space="preserve">As a result of legislative </w:t>
      </w:r>
      <w:r w:rsidR="00FF33DE" w:rsidRPr="00904B94">
        <w:rPr>
          <w:rFonts w:asciiTheme="minorHAnsi" w:hAnsiTheme="minorHAnsi"/>
        </w:rPr>
        <w:t>changes</w:t>
      </w:r>
      <w:r w:rsidR="00746E98">
        <w:rPr>
          <w:rFonts w:asciiTheme="minorHAnsi" w:hAnsiTheme="minorHAnsi"/>
        </w:rPr>
        <w:t>,</w:t>
      </w:r>
      <w:r w:rsidRPr="00904B94">
        <w:rPr>
          <w:rFonts w:asciiTheme="minorHAnsi" w:hAnsiTheme="minorHAnsi"/>
        </w:rPr>
        <w:t xml:space="preserve"> </w:t>
      </w:r>
      <w:r w:rsidR="00FF33DE" w:rsidRPr="00904B94">
        <w:rPr>
          <w:rFonts w:asciiTheme="minorHAnsi" w:hAnsiTheme="minorHAnsi"/>
        </w:rPr>
        <w:t>t</w:t>
      </w:r>
      <w:r w:rsidR="0053432F" w:rsidRPr="00904B94">
        <w:rPr>
          <w:rFonts w:asciiTheme="minorHAnsi" w:hAnsiTheme="minorHAnsi"/>
        </w:rPr>
        <w:t xml:space="preserve">he </w:t>
      </w:r>
      <w:r w:rsidR="00FF33DE" w:rsidRPr="00904B94">
        <w:rPr>
          <w:rFonts w:asciiTheme="minorHAnsi" w:hAnsiTheme="minorHAnsi"/>
        </w:rPr>
        <w:t xml:space="preserve">sentencing of </w:t>
      </w:r>
      <w:r w:rsidR="0053432F" w:rsidRPr="00904B94">
        <w:rPr>
          <w:rFonts w:asciiTheme="minorHAnsi" w:hAnsiTheme="minorHAnsi"/>
        </w:rPr>
        <w:t xml:space="preserve">federal </w:t>
      </w:r>
      <w:r w:rsidR="00FF33DE" w:rsidRPr="00904B94">
        <w:rPr>
          <w:rFonts w:asciiTheme="minorHAnsi" w:hAnsiTheme="minorHAnsi"/>
        </w:rPr>
        <w:t xml:space="preserve">offenders is now </w:t>
      </w:r>
      <w:r w:rsidR="002930B6" w:rsidRPr="00904B94">
        <w:rPr>
          <w:rFonts w:asciiTheme="minorHAnsi" w:hAnsiTheme="minorHAnsi"/>
        </w:rPr>
        <w:t>governed to a much greater extent</w:t>
      </w:r>
      <w:r w:rsidR="00FF33DE" w:rsidRPr="00904B94">
        <w:rPr>
          <w:rFonts w:asciiTheme="minorHAnsi" w:hAnsiTheme="minorHAnsi"/>
        </w:rPr>
        <w:t xml:space="preserve"> by federal statutes.</w:t>
      </w:r>
    </w:p>
    <w:p w14:paraId="18A2B830" w14:textId="77777777" w:rsidR="001E337B" w:rsidRDefault="001E337B">
      <w:pPr>
        <w:autoSpaceDE w:val="0"/>
        <w:autoSpaceDN w:val="0"/>
        <w:adjustRightInd w:val="0"/>
        <w:spacing w:line="276" w:lineRule="auto"/>
        <w:ind w:right="170"/>
        <w:rPr>
          <w:rFonts w:asciiTheme="minorHAnsi" w:hAnsiTheme="minorHAnsi"/>
        </w:rPr>
      </w:pPr>
    </w:p>
    <w:p w14:paraId="3580D99D" w14:textId="142972A9" w:rsidR="002930B6" w:rsidRPr="00C00000" w:rsidRDefault="002930B6" w:rsidP="00D531E9">
      <w:pPr>
        <w:pStyle w:val="Heading2"/>
        <w:rPr>
          <w:rStyle w:val="Strong"/>
          <w:b/>
          <w:bCs w:val="0"/>
        </w:rPr>
      </w:pPr>
      <w:bookmarkStart w:id="21" w:name="_Toc33602746"/>
      <w:r>
        <w:rPr>
          <w:rStyle w:val="Strong"/>
          <w:b/>
          <w:bCs w:val="0"/>
        </w:rPr>
        <w:t xml:space="preserve">The </w:t>
      </w:r>
      <w:r w:rsidR="00247453">
        <w:rPr>
          <w:rStyle w:val="Strong"/>
          <w:b/>
          <w:bCs w:val="0"/>
        </w:rPr>
        <w:t xml:space="preserve">major </w:t>
      </w:r>
      <w:r w:rsidRPr="00FE69A4">
        <w:rPr>
          <w:rStyle w:val="Strong"/>
          <w:b/>
          <w:bCs w:val="0"/>
        </w:rPr>
        <w:t>Commonwealth</w:t>
      </w:r>
      <w:r w:rsidRPr="00C00000">
        <w:rPr>
          <w:rStyle w:val="Strong"/>
          <w:b/>
          <w:bCs w:val="0"/>
        </w:rPr>
        <w:t xml:space="preserve"> </w:t>
      </w:r>
      <w:r w:rsidR="00247453">
        <w:rPr>
          <w:rStyle w:val="Strong"/>
          <w:b/>
          <w:bCs w:val="0"/>
        </w:rPr>
        <w:t xml:space="preserve">provisions relating to </w:t>
      </w:r>
      <w:r w:rsidRPr="00C00000">
        <w:rPr>
          <w:rStyle w:val="Strong"/>
          <w:b/>
          <w:bCs w:val="0"/>
        </w:rPr>
        <w:t xml:space="preserve">sentencing </w:t>
      </w:r>
      <w:r w:rsidR="00247453">
        <w:rPr>
          <w:rStyle w:val="Strong"/>
          <w:b/>
          <w:bCs w:val="0"/>
        </w:rPr>
        <w:t>of federal offenders</w:t>
      </w:r>
      <w:bookmarkEnd w:id="21"/>
    </w:p>
    <w:p w14:paraId="2B291D26" w14:textId="77777777" w:rsidR="002930B6" w:rsidRPr="00C00000" w:rsidRDefault="002930B6" w:rsidP="00D531E9">
      <w:pPr>
        <w:pStyle w:val="BodyText"/>
        <w:keepNext/>
        <w:spacing w:line="276" w:lineRule="auto"/>
        <w:ind w:left="873" w:right="170"/>
        <w:jc w:val="both"/>
        <w:rPr>
          <w:rFonts w:asciiTheme="minorHAnsi" w:hAnsiTheme="minorHAnsi"/>
        </w:rPr>
      </w:pPr>
    </w:p>
    <w:p w14:paraId="63500EB9" w14:textId="42FD1D5D" w:rsidR="00084DA3" w:rsidRPr="00084DA3" w:rsidRDefault="002930B6" w:rsidP="00EB7F1E">
      <w:pPr>
        <w:pStyle w:val="ListParagraph"/>
        <w:numPr>
          <w:ilvl w:val="0"/>
          <w:numId w:val="7"/>
        </w:numPr>
        <w:spacing w:line="276" w:lineRule="auto"/>
        <w:ind w:left="425" w:hanging="425"/>
        <w:contextualSpacing w:val="0"/>
        <w:rPr>
          <w:rFonts w:asciiTheme="minorHAnsi" w:hAnsiTheme="minorHAnsi"/>
        </w:rPr>
      </w:pPr>
      <w:r w:rsidRPr="00247453">
        <w:rPr>
          <w:rFonts w:asciiTheme="minorHAnsi" w:hAnsiTheme="minorHAnsi"/>
        </w:rPr>
        <w:t xml:space="preserve">The </w:t>
      </w:r>
      <w:r w:rsidR="00247453" w:rsidRPr="00247453">
        <w:rPr>
          <w:rFonts w:asciiTheme="minorHAnsi" w:hAnsiTheme="minorHAnsi"/>
        </w:rPr>
        <w:t>most important reposit</w:t>
      </w:r>
      <w:r w:rsidR="00247453">
        <w:rPr>
          <w:rFonts w:asciiTheme="minorHAnsi" w:hAnsiTheme="minorHAnsi"/>
        </w:rPr>
        <w:t>or</w:t>
      </w:r>
      <w:r w:rsidR="00247453" w:rsidRPr="00247453">
        <w:rPr>
          <w:rFonts w:asciiTheme="minorHAnsi" w:hAnsiTheme="minorHAnsi"/>
        </w:rPr>
        <w:t xml:space="preserve">y of </w:t>
      </w:r>
      <w:r w:rsidRPr="00247453">
        <w:rPr>
          <w:rFonts w:asciiTheme="minorHAnsi" w:hAnsiTheme="minorHAnsi"/>
        </w:rPr>
        <w:t xml:space="preserve">laws governing the </w:t>
      </w:r>
      <w:r w:rsidR="0053432F" w:rsidRPr="00247453">
        <w:rPr>
          <w:rFonts w:asciiTheme="minorHAnsi" w:hAnsiTheme="minorHAnsi"/>
        </w:rPr>
        <w:t xml:space="preserve">sentencing </w:t>
      </w:r>
      <w:r w:rsidRPr="00247453">
        <w:rPr>
          <w:rFonts w:asciiTheme="minorHAnsi" w:hAnsiTheme="minorHAnsi"/>
        </w:rPr>
        <w:t>of federal offenders</w:t>
      </w:r>
      <w:r w:rsidR="0053432F" w:rsidRPr="00247453">
        <w:rPr>
          <w:rFonts w:asciiTheme="minorHAnsi" w:hAnsiTheme="minorHAnsi"/>
        </w:rPr>
        <w:t xml:space="preserve"> </w:t>
      </w:r>
      <w:r w:rsidR="00AF3CE0" w:rsidRPr="00247453">
        <w:rPr>
          <w:rFonts w:asciiTheme="minorHAnsi" w:hAnsiTheme="minorHAnsi"/>
        </w:rPr>
        <w:t xml:space="preserve">now is </w:t>
      </w:r>
      <w:r w:rsidR="00247453" w:rsidRPr="00247453">
        <w:rPr>
          <w:rFonts w:asciiTheme="minorHAnsi" w:hAnsiTheme="minorHAnsi"/>
        </w:rPr>
        <w:t xml:space="preserve">Part </w:t>
      </w:r>
      <w:r w:rsidR="00E45830">
        <w:rPr>
          <w:rFonts w:asciiTheme="minorHAnsi" w:hAnsiTheme="minorHAnsi"/>
        </w:rPr>
        <w:t>IB</w:t>
      </w:r>
      <w:r w:rsidR="00247453" w:rsidRPr="00247453">
        <w:rPr>
          <w:rFonts w:asciiTheme="minorHAnsi" w:hAnsiTheme="minorHAnsi"/>
        </w:rPr>
        <w:t xml:space="preserve"> of the </w:t>
      </w:r>
      <w:r w:rsidR="00885EFD" w:rsidRPr="00885EFD">
        <w:rPr>
          <w:rFonts w:asciiTheme="minorHAnsi" w:hAnsiTheme="minorHAnsi"/>
          <w:i/>
        </w:rPr>
        <w:t>Crimes Act 1914</w:t>
      </w:r>
      <w:r w:rsidR="00247453" w:rsidRPr="00247453">
        <w:rPr>
          <w:rFonts w:asciiTheme="minorHAnsi" w:hAnsiTheme="minorHAnsi"/>
        </w:rPr>
        <w:t xml:space="preserve"> (Cth). </w:t>
      </w:r>
      <w:r w:rsidR="00247453">
        <w:rPr>
          <w:rFonts w:asciiTheme="minorHAnsi" w:hAnsiTheme="minorHAnsi"/>
        </w:rPr>
        <w:t xml:space="preserve"> That </w:t>
      </w:r>
      <w:r w:rsidR="00D478F5" w:rsidRPr="00247453">
        <w:rPr>
          <w:rFonts w:asciiTheme="minorHAnsi" w:hAnsiTheme="minorHAnsi"/>
        </w:rPr>
        <w:t xml:space="preserve">Part </w:t>
      </w:r>
      <w:r w:rsidR="008E0242" w:rsidRPr="00247453">
        <w:rPr>
          <w:rFonts w:asciiTheme="minorHAnsi" w:hAnsiTheme="minorHAnsi"/>
          <w:iCs/>
        </w:rPr>
        <w:t xml:space="preserve">is of </w:t>
      </w:r>
      <w:r w:rsidR="00D478F5" w:rsidRPr="00247453">
        <w:rPr>
          <w:rFonts w:asciiTheme="minorHAnsi" w:hAnsiTheme="minorHAnsi"/>
          <w:iCs/>
        </w:rPr>
        <w:t>central</w:t>
      </w:r>
      <w:r w:rsidR="008E0242" w:rsidRPr="00247453">
        <w:rPr>
          <w:rFonts w:asciiTheme="minorHAnsi" w:hAnsiTheme="minorHAnsi"/>
          <w:iCs/>
        </w:rPr>
        <w:t xml:space="preserve"> importance in the sentencing of federal offenders.  </w:t>
      </w:r>
      <w:r w:rsidR="00C92406">
        <w:rPr>
          <w:rFonts w:asciiTheme="minorHAnsi" w:hAnsiTheme="minorHAnsi"/>
          <w:iCs/>
        </w:rPr>
        <w:t xml:space="preserve">In seeking to identify the applicable law, Part </w:t>
      </w:r>
      <w:r w:rsidR="00E45830">
        <w:rPr>
          <w:rFonts w:asciiTheme="minorHAnsi" w:hAnsiTheme="minorHAnsi"/>
          <w:iCs/>
        </w:rPr>
        <w:t>IB</w:t>
      </w:r>
      <w:r w:rsidR="00C92406">
        <w:rPr>
          <w:rFonts w:asciiTheme="minorHAnsi" w:hAnsiTheme="minorHAnsi"/>
          <w:iCs/>
        </w:rPr>
        <w:t xml:space="preserve"> should be the first port of call.</w:t>
      </w:r>
      <w:r w:rsidR="00C92406" w:rsidRPr="000055BF">
        <w:rPr>
          <w:rFonts w:asciiTheme="minorHAnsi" w:hAnsiTheme="minorHAnsi"/>
          <w:position w:val="6"/>
          <w:sz w:val="16"/>
        </w:rPr>
        <w:footnoteReference w:id="34"/>
      </w:r>
    </w:p>
    <w:p w14:paraId="1151B9D5" w14:textId="0DC33A37" w:rsidR="001E337B" w:rsidRDefault="001E337B">
      <w:pPr>
        <w:pStyle w:val="BodyText"/>
        <w:spacing w:line="276" w:lineRule="auto"/>
        <w:ind w:right="170"/>
        <w:jc w:val="both"/>
        <w:rPr>
          <w:rFonts w:asciiTheme="minorHAnsi" w:hAnsiTheme="minorHAnsi"/>
        </w:rPr>
      </w:pPr>
    </w:p>
    <w:p w14:paraId="711DB3E1" w14:textId="08E02A08" w:rsidR="00CE56DD" w:rsidRPr="00C00000" w:rsidRDefault="00CE56DD" w:rsidP="00EB7F1E">
      <w:pPr>
        <w:pStyle w:val="ListParagraph"/>
        <w:numPr>
          <w:ilvl w:val="0"/>
          <w:numId w:val="7"/>
        </w:numPr>
        <w:spacing w:line="276" w:lineRule="auto"/>
        <w:ind w:left="425" w:hanging="425"/>
        <w:contextualSpacing w:val="0"/>
        <w:rPr>
          <w:rFonts w:asciiTheme="minorHAnsi" w:hAnsiTheme="minorHAnsi" w:cs="Arial"/>
          <w:szCs w:val="22"/>
        </w:rPr>
      </w:pPr>
      <w:r w:rsidRPr="00C00000">
        <w:rPr>
          <w:rFonts w:asciiTheme="minorHAnsi" w:hAnsiTheme="minorHAnsi" w:cs="Arial"/>
          <w:szCs w:val="22"/>
        </w:rPr>
        <w:t xml:space="preserve">Part </w:t>
      </w:r>
      <w:r w:rsidR="00E45830">
        <w:rPr>
          <w:rFonts w:asciiTheme="minorHAnsi" w:hAnsiTheme="minorHAnsi" w:cs="Arial"/>
          <w:szCs w:val="22"/>
        </w:rPr>
        <w:t>IB</w:t>
      </w:r>
      <w:r w:rsidRPr="00C00000">
        <w:rPr>
          <w:rFonts w:asciiTheme="minorHAnsi" w:hAnsiTheme="minorHAnsi" w:cs="Arial"/>
          <w:szCs w:val="22"/>
        </w:rPr>
        <w:t xml:space="preserve"> of the</w:t>
      </w:r>
      <w:r w:rsidRPr="00C00000">
        <w:rPr>
          <w:rFonts w:asciiTheme="minorHAnsi" w:hAnsiTheme="minorHAnsi" w:cs="Arial"/>
          <w:i/>
          <w:szCs w:val="22"/>
        </w:rPr>
        <w:t xml:space="preserve"> </w:t>
      </w:r>
      <w:r w:rsidR="00885EFD" w:rsidRPr="00885EFD">
        <w:rPr>
          <w:rFonts w:asciiTheme="minorHAnsi" w:hAnsiTheme="minorHAnsi" w:cs="Arial"/>
          <w:i/>
          <w:szCs w:val="22"/>
        </w:rPr>
        <w:t>Crimes Act 1914</w:t>
      </w:r>
      <w:r w:rsidRPr="00C00000">
        <w:rPr>
          <w:rFonts w:asciiTheme="minorHAnsi" w:hAnsiTheme="minorHAnsi" w:cs="Arial"/>
          <w:i/>
          <w:szCs w:val="22"/>
        </w:rPr>
        <w:t xml:space="preserve"> </w:t>
      </w:r>
      <w:r w:rsidRPr="00C00000">
        <w:rPr>
          <w:rFonts w:asciiTheme="minorHAnsi" w:hAnsiTheme="minorHAnsi" w:cs="Arial"/>
          <w:szCs w:val="22"/>
        </w:rPr>
        <w:t>(Cth)</w:t>
      </w:r>
      <w:r w:rsidRPr="00C00000">
        <w:rPr>
          <w:rFonts w:asciiTheme="minorHAnsi" w:hAnsiTheme="minorHAnsi" w:cs="Arial"/>
          <w:i/>
          <w:szCs w:val="22"/>
        </w:rPr>
        <w:t xml:space="preserve"> </w:t>
      </w:r>
      <w:r w:rsidRPr="00C00000">
        <w:rPr>
          <w:rFonts w:asciiTheme="minorHAnsi" w:hAnsiTheme="minorHAnsi" w:cs="Arial"/>
          <w:szCs w:val="22"/>
        </w:rPr>
        <w:t xml:space="preserve">is </w:t>
      </w:r>
      <w:r w:rsidRPr="00E90120">
        <w:rPr>
          <w:rFonts w:asciiTheme="minorHAnsi" w:hAnsiTheme="minorHAnsi"/>
        </w:rPr>
        <w:t>ent</w:t>
      </w:r>
      <w:r w:rsidRPr="00CC47DE">
        <w:rPr>
          <w:rFonts w:asciiTheme="minorHAnsi" w:hAnsiTheme="minorHAnsi"/>
        </w:rPr>
        <w:t>itled</w:t>
      </w:r>
      <w:r w:rsidRPr="00C00000">
        <w:rPr>
          <w:rFonts w:asciiTheme="minorHAnsi" w:hAnsiTheme="minorHAnsi" w:cs="Arial"/>
          <w:i/>
          <w:szCs w:val="22"/>
        </w:rPr>
        <w:t xml:space="preserve"> “Sentencing, imprisonment and release of federal offenders”</w:t>
      </w:r>
      <w:r w:rsidRPr="00C00000">
        <w:rPr>
          <w:rFonts w:asciiTheme="minorHAnsi" w:hAnsiTheme="minorHAnsi" w:cs="Arial"/>
          <w:szCs w:val="22"/>
        </w:rPr>
        <w:t xml:space="preserve"> and comprises the following Divisions:</w:t>
      </w:r>
    </w:p>
    <w:p w14:paraId="33422717"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1 – </w:t>
      </w:r>
      <w:r w:rsidRPr="00C00000">
        <w:rPr>
          <w:rFonts w:asciiTheme="minorHAnsi" w:hAnsiTheme="minorHAnsi" w:cs="Arial"/>
          <w:i/>
          <w:szCs w:val="22"/>
          <w:lang w:val="en-AU"/>
        </w:rPr>
        <w:tab/>
        <w:t>Interpretation</w:t>
      </w:r>
    </w:p>
    <w:p w14:paraId="0BE279D2"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2 – </w:t>
      </w:r>
      <w:r w:rsidRPr="00C00000">
        <w:rPr>
          <w:rFonts w:asciiTheme="minorHAnsi" w:hAnsiTheme="minorHAnsi" w:cs="Arial"/>
          <w:i/>
          <w:szCs w:val="22"/>
          <w:lang w:val="en-AU"/>
        </w:rPr>
        <w:tab/>
        <w:t>General sentencing principles</w:t>
      </w:r>
    </w:p>
    <w:p w14:paraId="0A682650"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3 – </w:t>
      </w:r>
      <w:r w:rsidRPr="00C00000">
        <w:rPr>
          <w:rFonts w:asciiTheme="minorHAnsi" w:hAnsiTheme="minorHAnsi" w:cs="Arial"/>
          <w:i/>
          <w:szCs w:val="22"/>
          <w:lang w:val="en-AU"/>
        </w:rPr>
        <w:tab/>
        <w:t>Sentences of imprisonment</w:t>
      </w:r>
    </w:p>
    <w:p w14:paraId="5892874E" w14:textId="5171B2EA"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4 – </w:t>
      </w:r>
      <w:r w:rsidRPr="00C00000">
        <w:rPr>
          <w:rFonts w:asciiTheme="minorHAnsi" w:hAnsiTheme="minorHAnsi" w:cs="Arial"/>
          <w:i/>
          <w:szCs w:val="22"/>
          <w:lang w:val="en-AU"/>
        </w:rPr>
        <w:tab/>
        <w:t xml:space="preserve">The fixing of non-parole periods and the making of </w:t>
      </w:r>
      <w:r w:rsidR="00A53DA1">
        <w:rPr>
          <w:rFonts w:asciiTheme="minorHAnsi" w:hAnsiTheme="minorHAnsi" w:cs="Arial"/>
          <w:i/>
          <w:szCs w:val="22"/>
          <w:lang w:val="en-AU"/>
        </w:rPr>
        <w:t>recognizance</w:t>
      </w:r>
      <w:r w:rsidRPr="00C00000">
        <w:rPr>
          <w:rFonts w:asciiTheme="minorHAnsi" w:hAnsiTheme="minorHAnsi" w:cs="Arial"/>
          <w:i/>
          <w:szCs w:val="22"/>
          <w:lang w:val="en-AU"/>
        </w:rPr>
        <w:t xml:space="preserve"> release orders</w:t>
      </w:r>
    </w:p>
    <w:p w14:paraId="085D96AD"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5 – </w:t>
      </w:r>
      <w:r w:rsidRPr="00C00000">
        <w:rPr>
          <w:rFonts w:asciiTheme="minorHAnsi" w:hAnsiTheme="minorHAnsi" w:cs="Arial"/>
          <w:i/>
          <w:szCs w:val="22"/>
          <w:lang w:val="en-AU"/>
        </w:rPr>
        <w:tab/>
        <w:t>Conditional release on parole or licence</w:t>
      </w:r>
    </w:p>
    <w:p w14:paraId="096A2E70"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6 – </w:t>
      </w:r>
      <w:r w:rsidRPr="00C00000">
        <w:rPr>
          <w:rFonts w:asciiTheme="minorHAnsi" w:hAnsiTheme="minorHAnsi" w:cs="Arial"/>
          <w:i/>
          <w:szCs w:val="22"/>
          <w:lang w:val="en-AU"/>
        </w:rPr>
        <w:tab/>
        <w:t>Unfitness to be tried</w:t>
      </w:r>
    </w:p>
    <w:p w14:paraId="49842C05"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7 – </w:t>
      </w:r>
      <w:r w:rsidRPr="00C00000">
        <w:rPr>
          <w:rFonts w:asciiTheme="minorHAnsi" w:hAnsiTheme="minorHAnsi" w:cs="Arial"/>
          <w:i/>
          <w:szCs w:val="22"/>
          <w:lang w:val="en-AU"/>
        </w:rPr>
        <w:tab/>
        <w:t>Acquittal because of mental illness</w:t>
      </w:r>
    </w:p>
    <w:p w14:paraId="6E999188"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8 – </w:t>
      </w:r>
      <w:r w:rsidRPr="00C00000">
        <w:rPr>
          <w:rFonts w:asciiTheme="minorHAnsi" w:hAnsiTheme="minorHAnsi" w:cs="Arial"/>
          <w:i/>
          <w:szCs w:val="22"/>
          <w:lang w:val="en-AU"/>
        </w:rPr>
        <w:tab/>
        <w:t>Summary disposition of persons suffering from mental illness or intellectual disability</w:t>
      </w:r>
    </w:p>
    <w:p w14:paraId="147106D2"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9 – </w:t>
      </w:r>
      <w:r w:rsidRPr="00C00000">
        <w:rPr>
          <w:rFonts w:asciiTheme="minorHAnsi" w:hAnsiTheme="minorHAnsi" w:cs="Arial"/>
          <w:i/>
          <w:szCs w:val="22"/>
          <w:lang w:val="en-AU"/>
        </w:rPr>
        <w:tab/>
        <w:t>Sentencing alternatives for persons suffering from mental illness</w:t>
      </w:r>
    </w:p>
    <w:p w14:paraId="4F1F55DE"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 xml:space="preserve">Division 9A – </w:t>
      </w:r>
      <w:r w:rsidRPr="00C00000">
        <w:rPr>
          <w:rFonts w:asciiTheme="minorHAnsi" w:hAnsiTheme="minorHAnsi" w:cs="Arial"/>
          <w:i/>
          <w:szCs w:val="22"/>
          <w:lang w:val="en-AU"/>
        </w:rPr>
        <w:tab/>
        <w:t>Sharing information relevant to federal offenders</w:t>
      </w:r>
    </w:p>
    <w:p w14:paraId="002E0C9B" w14:textId="77777777" w:rsidR="00CE56DD" w:rsidRPr="00C00000" w:rsidRDefault="00CE56DD" w:rsidP="00CE56DD">
      <w:pPr>
        <w:pStyle w:val="Body"/>
        <w:tabs>
          <w:tab w:val="clear" w:pos="284"/>
          <w:tab w:val="left" w:pos="1843"/>
        </w:tabs>
        <w:spacing w:line="276" w:lineRule="auto"/>
        <w:ind w:left="567" w:right="170"/>
        <w:jc w:val="both"/>
        <w:rPr>
          <w:rFonts w:asciiTheme="minorHAnsi" w:hAnsiTheme="minorHAnsi" w:cs="Arial"/>
          <w:i/>
          <w:szCs w:val="22"/>
          <w:lang w:val="en-AU"/>
        </w:rPr>
      </w:pPr>
      <w:r w:rsidRPr="00C00000">
        <w:rPr>
          <w:rFonts w:asciiTheme="minorHAnsi" w:hAnsiTheme="minorHAnsi" w:cs="Arial"/>
          <w:i/>
          <w:szCs w:val="22"/>
          <w:lang w:val="en-AU"/>
        </w:rPr>
        <w:t>Division 10 –</w:t>
      </w:r>
      <w:r w:rsidRPr="00C00000">
        <w:rPr>
          <w:rFonts w:asciiTheme="minorHAnsi" w:hAnsiTheme="minorHAnsi" w:cs="Arial"/>
          <w:i/>
          <w:szCs w:val="22"/>
          <w:lang w:val="en-AU"/>
        </w:rPr>
        <w:tab/>
        <w:t>Miscellaneous</w:t>
      </w:r>
    </w:p>
    <w:p w14:paraId="159D16CA" w14:textId="77777777" w:rsidR="00CE56DD" w:rsidRDefault="00CE56DD">
      <w:pPr>
        <w:pStyle w:val="BodyText"/>
        <w:spacing w:line="276" w:lineRule="auto"/>
        <w:ind w:right="170"/>
        <w:jc w:val="both"/>
        <w:rPr>
          <w:rFonts w:asciiTheme="minorHAnsi" w:hAnsiTheme="minorHAnsi"/>
        </w:rPr>
      </w:pPr>
    </w:p>
    <w:p w14:paraId="0752E611" w14:textId="4919B6ED" w:rsidR="006D415B" w:rsidRPr="00247453" w:rsidRDefault="00BA2B0B" w:rsidP="00EB7F1E">
      <w:pPr>
        <w:pStyle w:val="ListParagraph"/>
        <w:numPr>
          <w:ilvl w:val="0"/>
          <w:numId w:val="7"/>
        </w:numPr>
        <w:spacing w:line="276" w:lineRule="auto"/>
        <w:ind w:left="425" w:hanging="425"/>
        <w:contextualSpacing w:val="0"/>
        <w:rPr>
          <w:rFonts w:asciiTheme="minorHAnsi" w:hAnsiTheme="minorHAnsi"/>
        </w:rPr>
      </w:pPr>
      <w:r w:rsidRPr="00BA2B0B">
        <w:rPr>
          <w:rFonts w:asciiTheme="minorHAnsi" w:hAnsiTheme="minorHAnsi"/>
        </w:rPr>
        <w:t xml:space="preserve">Part </w:t>
      </w:r>
      <w:r w:rsidR="00E45830">
        <w:rPr>
          <w:rFonts w:asciiTheme="minorHAnsi" w:hAnsiTheme="minorHAnsi"/>
        </w:rPr>
        <w:t>IB</w:t>
      </w:r>
      <w:r w:rsidRPr="00BA2B0B">
        <w:rPr>
          <w:rFonts w:asciiTheme="minorHAnsi" w:hAnsiTheme="minorHAnsi"/>
        </w:rPr>
        <w:t xml:space="preserve"> deals with such diverse matters as</w:t>
      </w:r>
      <w:r w:rsidR="006D415B" w:rsidRPr="00247453">
        <w:rPr>
          <w:rFonts w:asciiTheme="minorHAnsi" w:hAnsiTheme="minorHAnsi"/>
        </w:rPr>
        <w:t>:</w:t>
      </w:r>
    </w:p>
    <w:p w14:paraId="1250CACF" w14:textId="77777777" w:rsidR="001E337B" w:rsidRDefault="00BA2B0B" w:rsidP="00EB7F1E">
      <w:pPr>
        <w:pStyle w:val="ListParagraph"/>
        <w:numPr>
          <w:ilvl w:val="1"/>
          <w:numId w:val="36"/>
        </w:numPr>
        <w:spacing w:line="276" w:lineRule="auto"/>
        <w:ind w:left="993" w:right="28" w:hanging="142"/>
        <w:rPr>
          <w:rFonts w:asciiTheme="minorHAnsi" w:hAnsiTheme="minorHAnsi"/>
        </w:rPr>
      </w:pPr>
      <w:r w:rsidRPr="00BA2B0B">
        <w:rPr>
          <w:rFonts w:asciiTheme="minorHAnsi" w:hAnsiTheme="minorHAnsi"/>
        </w:rPr>
        <w:t>the applicable principles in sentencing a federal offender (s.16A),</w:t>
      </w:r>
    </w:p>
    <w:p w14:paraId="40811641" w14:textId="77777777" w:rsidR="001E337B" w:rsidRDefault="000031B4"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victim </w:t>
      </w:r>
      <w:r w:rsidR="002E1460">
        <w:rPr>
          <w:rFonts w:asciiTheme="minorHAnsi" w:hAnsiTheme="minorHAnsi"/>
        </w:rPr>
        <w:t>impact statements (s.16AB),</w:t>
      </w:r>
    </w:p>
    <w:p w14:paraId="333F9827" w14:textId="77777777" w:rsidR="001E337B" w:rsidRDefault="002E146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reductions of sentence for undertaking to co-operate with law enforcement authorities (s.16AC),</w:t>
      </w:r>
    </w:p>
    <w:p w14:paraId="29BCD029" w14:textId="77777777" w:rsidR="001E337B" w:rsidRDefault="00BA2B0B" w:rsidP="00EB7F1E">
      <w:pPr>
        <w:pStyle w:val="ListParagraph"/>
        <w:numPr>
          <w:ilvl w:val="1"/>
          <w:numId w:val="36"/>
        </w:numPr>
        <w:spacing w:line="276" w:lineRule="auto"/>
        <w:ind w:left="993" w:right="28" w:hanging="142"/>
        <w:rPr>
          <w:rFonts w:asciiTheme="minorHAnsi" w:hAnsiTheme="minorHAnsi"/>
        </w:rPr>
      </w:pPr>
      <w:r w:rsidRPr="00BA2B0B">
        <w:rPr>
          <w:rFonts w:asciiTheme="minorHAnsi" w:hAnsiTheme="minorHAnsi"/>
        </w:rPr>
        <w:t>the principle that imprisonment is a sentence of last resort (s.17A),</w:t>
      </w:r>
    </w:p>
    <w:p w14:paraId="4B8A6D04" w14:textId="77777777" w:rsidR="001E337B" w:rsidRDefault="00BA2B0B" w:rsidP="00EB7F1E">
      <w:pPr>
        <w:pStyle w:val="ListParagraph"/>
        <w:numPr>
          <w:ilvl w:val="1"/>
          <w:numId w:val="36"/>
        </w:numPr>
        <w:spacing w:line="276" w:lineRule="auto"/>
        <w:ind w:left="993" w:right="28" w:hanging="142"/>
        <w:rPr>
          <w:rFonts w:asciiTheme="minorHAnsi" w:hAnsiTheme="minorHAnsi"/>
        </w:rPr>
      </w:pPr>
      <w:r w:rsidRPr="00BA2B0B">
        <w:rPr>
          <w:rFonts w:asciiTheme="minorHAnsi" w:hAnsiTheme="minorHAnsi"/>
        </w:rPr>
        <w:t>the commencement of federal sentences (s.16E),</w:t>
      </w:r>
    </w:p>
    <w:p w14:paraId="18850E2B" w14:textId="77777777" w:rsidR="001E337B" w:rsidRDefault="00BA2B0B" w:rsidP="00EB7F1E">
      <w:pPr>
        <w:pStyle w:val="ListParagraph"/>
        <w:numPr>
          <w:ilvl w:val="1"/>
          <w:numId w:val="36"/>
        </w:numPr>
        <w:spacing w:line="276" w:lineRule="auto"/>
        <w:ind w:left="993" w:right="28" w:hanging="142"/>
        <w:rPr>
          <w:rFonts w:asciiTheme="minorHAnsi" w:hAnsiTheme="minorHAnsi"/>
        </w:rPr>
      </w:pPr>
      <w:r w:rsidRPr="00BA2B0B">
        <w:rPr>
          <w:rFonts w:asciiTheme="minorHAnsi" w:hAnsiTheme="minorHAnsi"/>
        </w:rPr>
        <w:t>cumulation and concurrency of sentences (s.19),</w:t>
      </w:r>
    </w:p>
    <w:p w14:paraId="437D47AF" w14:textId="77777777" w:rsidR="001E337B" w:rsidRDefault="00BA2B0B" w:rsidP="00EB7F1E">
      <w:pPr>
        <w:pStyle w:val="ListParagraph"/>
        <w:numPr>
          <w:ilvl w:val="1"/>
          <w:numId w:val="36"/>
        </w:numPr>
        <w:spacing w:line="276" w:lineRule="auto"/>
        <w:ind w:left="993" w:right="28" w:hanging="142"/>
        <w:rPr>
          <w:rFonts w:asciiTheme="minorHAnsi" w:hAnsiTheme="minorHAnsi"/>
        </w:rPr>
      </w:pPr>
      <w:r w:rsidRPr="00BA2B0B">
        <w:rPr>
          <w:rFonts w:asciiTheme="minorHAnsi" w:hAnsiTheme="minorHAnsi"/>
        </w:rPr>
        <w:t>the fixing of non-parole periods or recognizance release orders (Division 4),</w:t>
      </w:r>
    </w:p>
    <w:p w14:paraId="3833EA07" w14:textId="77777777" w:rsidR="001E337B" w:rsidRDefault="00BA2B0B" w:rsidP="00EB7F1E">
      <w:pPr>
        <w:pStyle w:val="ListParagraph"/>
        <w:numPr>
          <w:ilvl w:val="1"/>
          <w:numId w:val="36"/>
        </w:numPr>
        <w:spacing w:line="276" w:lineRule="auto"/>
        <w:ind w:left="993" w:right="28" w:hanging="142"/>
        <w:rPr>
          <w:rFonts w:asciiTheme="minorHAnsi" w:hAnsiTheme="minorHAnsi"/>
        </w:rPr>
      </w:pPr>
      <w:r w:rsidRPr="00BA2B0B">
        <w:rPr>
          <w:rFonts w:asciiTheme="minorHAnsi" w:hAnsiTheme="minorHAnsi"/>
        </w:rPr>
        <w:t>non-conviction dispositions in certain circumstances (s.19B),</w:t>
      </w:r>
    </w:p>
    <w:p w14:paraId="3AA5E623" w14:textId="77777777" w:rsidR="001E337B" w:rsidRDefault="006D415B"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release on recognizance after conviction (s.20),</w:t>
      </w:r>
    </w:p>
    <w:p w14:paraId="097A8D28" w14:textId="77777777" w:rsidR="00386147" w:rsidRDefault="00386147"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the availability </w:t>
      </w:r>
      <w:r w:rsidRPr="00C426AE">
        <w:rPr>
          <w:rFonts w:asciiTheme="minorHAnsi" w:hAnsiTheme="minorHAnsi"/>
        </w:rPr>
        <w:t>of particular State sentencing options for sentencing feder</w:t>
      </w:r>
      <w:r>
        <w:rPr>
          <w:rFonts w:asciiTheme="minorHAnsi" w:hAnsiTheme="minorHAnsi"/>
        </w:rPr>
        <w:t>al offenders generally (s.20AB),</w:t>
      </w:r>
    </w:p>
    <w:p w14:paraId="3D85F31A" w14:textId="77777777" w:rsidR="002E1460" w:rsidRDefault="002E146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reparation (s.21B),</w:t>
      </w:r>
    </w:p>
    <w:p w14:paraId="56CBEF6E" w14:textId="77777777" w:rsidR="001E337B" w:rsidRDefault="006D415B"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disposition of persons who are unfit to be tried </w:t>
      </w:r>
      <w:r w:rsidR="00386147">
        <w:rPr>
          <w:rFonts w:asciiTheme="minorHAnsi" w:hAnsiTheme="minorHAnsi"/>
        </w:rPr>
        <w:t xml:space="preserve">(Division 6) </w:t>
      </w:r>
      <w:r>
        <w:rPr>
          <w:rFonts w:asciiTheme="minorHAnsi" w:hAnsiTheme="minorHAnsi"/>
        </w:rPr>
        <w:t>or acquitted because of mental illness (Division 7)</w:t>
      </w:r>
      <w:r w:rsidR="00386147">
        <w:rPr>
          <w:rFonts w:asciiTheme="minorHAnsi" w:hAnsiTheme="minorHAnsi"/>
        </w:rPr>
        <w:t>,</w:t>
      </w:r>
    </w:p>
    <w:p w14:paraId="68AD37A2" w14:textId="48792C6C" w:rsidR="001E337B" w:rsidRDefault="00386147"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additional dispositions for offenders suffering from a mental illness or intellectual disability (Divisions 7 and 8)</w:t>
      </w:r>
      <w:r w:rsidR="006D415B">
        <w:rPr>
          <w:rFonts w:asciiTheme="minorHAnsi" w:hAnsiTheme="minorHAnsi"/>
        </w:rPr>
        <w:t xml:space="preserve">, </w:t>
      </w:r>
      <w:r w:rsidR="00BA2B0B" w:rsidRPr="00BA2B0B">
        <w:rPr>
          <w:rFonts w:asciiTheme="minorHAnsi" w:hAnsiTheme="minorHAnsi"/>
        </w:rPr>
        <w:t>and</w:t>
      </w:r>
    </w:p>
    <w:p w14:paraId="583C3889" w14:textId="48B055FC" w:rsidR="001E337B" w:rsidRDefault="00BA2B0B" w:rsidP="00EB7F1E">
      <w:pPr>
        <w:pStyle w:val="ListParagraph"/>
        <w:numPr>
          <w:ilvl w:val="1"/>
          <w:numId w:val="36"/>
        </w:numPr>
        <w:spacing w:line="276" w:lineRule="auto"/>
        <w:ind w:left="993" w:right="28" w:hanging="142"/>
        <w:rPr>
          <w:rFonts w:asciiTheme="minorHAnsi" w:hAnsiTheme="minorHAnsi"/>
        </w:rPr>
      </w:pPr>
      <w:r w:rsidRPr="00BA2B0B">
        <w:rPr>
          <w:rFonts w:asciiTheme="minorHAnsi" w:hAnsiTheme="minorHAnsi"/>
        </w:rPr>
        <w:t>the availability of State sentencing options for sentencing a child or young person (s.20C)</w:t>
      </w:r>
      <w:r w:rsidR="00325851">
        <w:rPr>
          <w:rFonts w:asciiTheme="minorHAnsi" w:hAnsiTheme="minorHAnsi"/>
        </w:rPr>
        <w:t>.</w:t>
      </w:r>
    </w:p>
    <w:p w14:paraId="2FDF8CEC" w14:textId="77777777" w:rsidR="00621E76" w:rsidRDefault="00621E76" w:rsidP="00621E76">
      <w:pPr>
        <w:pStyle w:val="ListParagraph"/>
        <w:spacing w:line="276" w:lineRule="auto"/>
        <w:ind w:left="993" w:right="28"/>
        <w:rPr>
          <w:rFonts w:asciiTheme="minorHAnsi" w:hAnsiTheme="minorHAnsi"/>
        </w:rPr>
      </w:pPr>
    </w:p>
    <w:p w14:paraId="1951D52F" w14:textId="0C8C67D2" w:rsidR="001E337B" w:rsidRDefault="008F2B02" w:rsidP="00EB7F1E">
      <w:pPr>
        <w:pStyle w:val="BodyText"/>
        <w:spacing w:line="276" w:lineRule="auto"/>
        <w:ind w:left="425" w:right="170"/>
        <w:jc w:val="both"/>
        <w:rPr>
          <w:rFonts w:asciiTheme="minorHAnsi" w:hAnsiTheme="minorHAnsi"/>
        </w:rPr>
      </w:pPr>
      <w:r>
        <w:rPr>
          <w:rFonts w:asciiTheme="minorHAnsi" w:hAnsiTheme="minorHAnsi"/>
        </w:rPr>
        <w:t>A checklist summary of the key provisions is set out in Appendix 1 to this guide.</w:t>
      </w:r>
    </w:p>
    <w:p w14:paraId="10A9EBB4" w14:textId="77777777" w:rsidR="008F2B02" w:rsidRDefault="008F2B02">
      <w:pPr>
        <w:pStyle w:val="BodyText"/>
        <w:spacing w:line="276" w:lineRule="auto"/>
        <w:ind w:right="170"/>
        <w:jc w:val="both"/>
        <w:rPr>
          <w:rFonts w:asciiTheme="minorHAnsi" w:hAnsiTheme="minorHAnsi"/>
        </w:rPr>
      </w:pPr>
    </w:p>
    <w:p w14:paraId="125EF1CF" w14:textId="6BAA00BA" w:rsidR="006767AD" w:rsidRDefault="00A62F5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w:t>
      </w:r>
      <w:r w:rsidR="004D7E69">
        <w:rPr>
          <w:rFonts w:asciiTheme="minorHAnsi" w:hAnsiTheme="minorHAnsi"/>
        </w:rPr>
        <w:t xml:space="preserve">1989 amendments, which introduced a number of these provisions, were intended </w:t>
      </w:r>
      <w:r w:rsidRPr="00C00000">
        <w:rPr>
          <w:rFonts w:asciiTheme="minorHAnsi" w:hAnsiTheme="minorHAnsi"/>
        </w:rPr>
        <w:t xml:space="preserve">to provide certainty in relation to any term of imprisonment to be served, whilst ensuring that harsher or longer prison terms </w:t>
      </w:r>
      <w:r w:rsidR="00B67C2C">
        <w:rPr>
          <w:rFonts w:asciiTheme="minorHAnsi" w:hAnsiTheme="minorHAnsi"/>
        </w:rPr>
        <w:t>did</w:t>
      </w:r>
      <w:r w:rsidRPr="00C00000">
        <w:rPr>
          <w:rFonts w:asciiTheme="minorHAnsi" w:hAnsiTheme="minorHAnsi"/>
        </w:rPr>
        <w:t xml:space="preserve"> not result.</w:t>
      </w:r>
      <w:r w:rsidRPr="00C00000">
        <w:rPr>
          <w:rStyle w:val="Style"/>
          <w:rFonts w:asciiTheme="minorHAnsi" w:hAnsiTheme="minorHAnsi"/>
        </w:rPr>
        <w:footnoteReference w:id="35"/>
      </w:r>
      <w:r w:rsidRPr="00C00000">
        <w:rPr>
          <w:rFonts w:asciiTheme="minorHAnsi" w:hAnsiTheme="minorHAnsi"/>
        </w:rPr>
        <w:t xml:space="preserve">  </w:t>
      </w:r>
      <w:r w:rsidR="004D7E69">
        <w:rPr>
          <w:rFonts w:asciiTheme="minorHAnsi" w:hAnsiTheme="minorHAnsi"/>
        </w:rPr>
        <w:t xml:space="preserve">Although </w:t>
      </w:r>
      <w:r w:rsidR="00032CDC">
        <w:rPr>
          <w:rFonts w:asciiTheme="minorHAnsi" w:hAnsiTheme="minorHAnsi"/>
        </w:rPr>
        <w:t xml:space="preserve">greater uniformity </w:t>
      </w:r>
      <w:r w:rsidR="004D7E69" w:rsidRPr="00C00000">
        <w:rPr>
          <w:rFonts w:asciiTheme="minorHAnsi" w:hAnsiTheme="minorHAnsi"/>
        </w:rPr>
        <w:t>in the sentencing of federal offenders throughout the Commonwealth</w:t>
      </w:r>
      <w:r w:rsidR="00032CDC">
        <w:rPr>
          <w:rFonts w:asciiTheme="minorHAnsi" w:hAnsiTheme="minorHAnsi"/>
        </w:rPr>
        <w:t xml:space="preserve"> was </w:t>
      </w:r>
      <w:r w:rsidRPr="00C00000">
        <w:rPr>
          <w:rFonts w:asciiTheme="minorHAnsi" w:hAnsiTheme="minorHAnsi"/>
        </w:rPr>
        <w:t xml:space="preserve">not a </w:t>
      </w:r>
      <w:r w:rsidR="00032CDC" w:rsidRPr="00C00000">
        <w:rPr>
          <w:rFonts w:asciiTheme="minorHAnsi" w:hAnsiTheme="minorHAnsi"/>
        </w:rPr>
        <w:t xml:space="preserve">stated </w:t>
      </w:r>
      <w:r w:rsidRPr="00C00000">
        <w:rPr>
          <w:rFonts w:asciiTheme="minorHAnsi" w:hAnsiTheme="minorHAnsi"/>
        </w:rPr>
        <w:t xml:space="preserve">goal </w:t>
      </w:r>
      <w:r w:rsidR="006767AD">
        <w:rPr>
          <w:rFonts w:asciiTheme="minorHAnsi" w:hAnsiTheme="minorHAnsi"/>
        </w:rPr>
        <w:t>of the legislation</w:t>
      </w:r>
      <w:r w:rsidR="00032CDC">
        <w:rPr>
          <w:rFonts w:asciiTheme="minorHAnsi" w:hAnsiTheme="minorHAnsi"/>
        </w:rPr>
        <w:t>,</w:t>
      </w:r>
      <w:r w:rsidRPr="00C00000">
        <w:rPr>
          <w:rStyle w:val="Style"/>
          <w:rFonts w:asciiTheme="minorHAnsi" w:hAnsiTheme="minorHAnsi"/>
        </w:rPr>
        <w:footnoteReference w:id="36"/>
      </w:r>
      <w:r w:rsidRPr="00C00000">
        <w:rPr>
          <w:rFonts w:asciiTheme="minorHAnsi" w:hAnsiTheme="minorHAnsi"/>
        </w:rPr>
        <w:t xml:space="preserve"> </w:t>
      </w:r>
      <w:r w:rsidR="00032CDC">
        <w:rPr>
          <w:rFonts w:asciiTheme="minorHAnsi" w:hAnsiTheme="minorHAnsi"/>
        </w:rPr>
        <w:t xml:space="preserve">the amendments have also had the effect of producing </w:t>
      </w:r>
      <w:r w:rsidR="00032CDC" w:rsidRPr="00C00000">
        <w:rPr>
          <w:rFonts w:asciiTheme="minorHAnsi" w:hAnsiTheme="minorHAnsi"/>
        </w:rPr>
        <w:t>a greater degree of uniformity</w:t>
      </w:r>
      <w:r w:rsidR="00032CDC">
        <w:rPr>
          <w:rFonts w:asciiTheme="minorHAnsi" w:hAnsiTheme="minorHAnsi"/>
        </w:rPr>
        <w:t>.</w:t>
      </w:r>
    </w:p>
    <w:p w14:paraId="736C37C0" w14:textId="311D2241" w:rsidR="00A62F5C" w:rsidRDefault="00A62F5C" w:rsidP="006767AD">
      <w:pPr>
        <w:pStyle w:val="BodyText"/>
        <w:spacing w:line="276" w:lineRule="auto"/>
        <w:ind w:right="170"/>
        <w:jc w:val="both"/>
        <w:rPr>
          <w:rFonts w:asciiTheme="minorHAnsi" w:hAnsiTheme="minorHAnsi"/>
        </w:rPr>
      </w:pPr>
    </w:p>
    <w:p w14:paraId="566014F7" w14:textId="4EFE539C" w:rsidR="006767AD" w:rsidRDefault="00EA649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Both the policy and the drafting of Part </w:t>
      </w:r>
      <w:r w:rsidR="00E45830">
        <w:rPr>
          <w:rFonts w:asciiTheme="minorHAnsi" w:hAnsiTheme="minorHAnsi"/>
        </w:rPr>
        <w:t>IB</w:t>
      </w:r>
      <w:r>
        <w:rPr>
          <w:rFonts w:asciiTheme="minorHAnsi" w:hAnsiTheme="minorHAnsi"/>
        </w:rPr>
        <w:t xml:space="preserve"> have</w:t>
      </w:r>
      <w:r w:rsidR="006767AD">
        <w:rPr>
          <w:rFonts w:asciiTheme="minorHAnsi" w:hAnsiTheme="minorHAnsi"/>
        </w:rPr>
        <w:t xml:space="preserve"> been the subject of considerable judicial c</w:t>
      </w:r>
      <w:r w:rsidR="00271DDE">
        <w:rPr>
          <w:rFonts w:asciiTheme="minorHAnsi" w:hAnsiTheme="minorHAnsi"/>
        </w:rPr>
        <w:t>omment</w:t>
      </w:r>
      <w:r>
        <w:rPr>
          <w:rFonts w:asciiTheme="minorHAnsi" w:hAnsiTheme="minorHAnsi"/>
        </w:rPr>
        <w:t xml:space="preserve"> since the 1989 amendments,</w:t>
      </w:r>
      <w:r w:rsidRPr="00C00000">
        <w:rPr>
          <w:rStyle w:val="Style"/>
          <w:rFonts w:asciiTheme="minorHAnsi" w:hAnsiTheme="minorHAnsi"/>
        </w:rPr>
        <w:footnoteReference w:id="37"/>
      </w:r>
      <w:r>
        <w:rPr>
          <w:rFonts w:asciiTheme="minorHAnsi" w:hAnsiTheme="minorHAnsi"/>
        </w:rPr>
        <w:t xml:space="preserve"> and </w:t>
      </w:r>
      <w:r w:rsidR="00C92406">
        <w:rPr>
          <w:rFonts w:asciiTheme="minorHAnsi" w:hAnsiTheme="minorHAnsi"/>
        </w:rPr>
        <w:t>the</w:t>
      </w:r>
      <w:r>
        <w:rPr>
          <w:rFonts w:asciiTheme="minorHAnsi" w:hAnsiTheme="minorHAnsi"/>
        </w:rPr>
        <w:t xml:space="preserve"> </w:t>
      </w:r>
      <w:r w:rsidR="00032CDC">
        <w:rPr>
          <w:rFonts w:asciiTheme="minorHAnsi" w:hAnsiTheme="minorHAnsi"/>
        </w:rPr>
        <w:t xml:space="preserve">provisions </w:t>
      </w:r>
      <w:r>
        <w:rPr>
          <w:rFonts w:asciiTheme="minorHAnsi" w:hAnsiTheme="minorHAnsi"/>
        </w:rPr>
        <w:t>continue to be a fertile source of contention in criminal proceedings.</w:t>
      </w:r>
      <w:r w:rsidRPr="00EA6498">
        <w:rPr>
          <w:rFonts w:asciiTheme="minorHAnsi" w:hAnsiTheme="minorHAnsi"/>
          <w:sz w:val="20"/>
        </w:rPr>
        <w:t xml:space="preserve"> </w:t>
      </w:r>
    </w:p>
    <w:p w14:paraId="19A3AC20" w14:textId="77777777" w:rsidR="001E337B" w:rsidRDefault="001E337B">
      <w:pPr>
        <w:pStyle w:val="BodyText"/>
        <w:spacing w:line="276" w:lineRule="auto"/>
        <w:ind w:right="170"/>
        <w:jc w:val="both"/>
        <w:rPr>
          <w:rFonts w:asciiTheme="minorHAnsi" w:hAnsiTheme="minorHAnsi"/>
        </w:rPr>
      </w:pPr>
    </w:p>
    <w:p w14:paraId="5F97E842" w14:textId="77777777" w:rsidR="00257FD0" w:rsidRDefault="00EE238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Examples of other </w:t>
      </w:r>
      <w:r w:rsidRPr="00EE238B">
        <w:rPr>
          <w:rFonts w:asciiTheme="minorHAnsi" w:hAnsiTheme="minorHAnsi"/>
        </w:rPr>
        <w:t>Commonwealth</w:t>
      </w:r>
      <w:r>
        <w:rPr>
          <w:rFonts w:asciiTheme="minorHAnsi" w:hAnsiTheme="minorHAnsi"/>
        </w:rPr>
        <w:t xml:space="preserve"> laws which </w:t>
      </w:r>
      <w:r w:rsidR="000D7477">
        <w:rPr>
          <w:rFonts w:asciiTheme="minorHAnsi" w:hAnsiTheme="minorHAnsi"/>
        </w:rPr>
        <w:t xml:space="preserve">may </w:t>
      </w:r>
      <w:r>
        <w:rPr>
          <w:rFonts w:asciiTheme="minorHAnsi" w:hAnsiTheme="minorHAnsi"/>
        </w:rPr>
        <w:t xml:space="preserve">affect sentencing </w:t>
      </w:r>
      <w:r w:rsidR="005743B1">
        <w:rPr>
          <w:rFonts w:asciiTheme="minorHAnsi" w:hAnsiTheme="minorHAnsi"/>
        </w:rPr>
        <w:t xml:space="preserve">of federal offenders </w:t>
      </w:r>
      <w:r>
        <w:rPr>
          <w:rFonts w:asciiTheme="minorHAnsi" w:hAnsiTheme="minorHAnsi"/>
        </w:rPr>
        <w:t>in particular circumstances include</w:t>
      </w:r>
      <w:r w:rsidR="00257FD0">
        <w:rPr>
          <w:rFonts w:asciiTheme="minorHAnsi" w:hAnsiTheme="minorHAnsi"/>
        </w:rPr>
        <w:t>:</w:t>
      </w:r>
    </w:p>
    <w:p w14:paraId="3153F558" w14:textId="77777777" w:rsidR="00257FD0" w:rsidRDefault="00EE238B"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 the </w:t>
      </w:r>
      <w:r w:rsidR="00BA2B0B" w:rsidRPr="00BA2B0B">
        <w:rPr>
          <w:rFonts w:asciiTheme="minorHAnsi" w:hAnsiTheme="minorHAnsi"/>
          <w:i/>
        </w:rPr>
        <w:t>Proceeds of Crime Act</w:t>
      </w:r>
      <w:r>
        <w:rPr>
          <w:rFonts w:asciiTheme="minorHAnsi" w:hAnsiTheme="minorHAnsi"/>
        </w:rPr>
        <w:t xml:space="preserve"> 2002 (Cth)</w:t>
      </w:r>
      <w:r w:rsidR="005743B1">
        <w:rPr>
          <w:rFonts w:asciiTheme="minorHAnsi" w:hAnsiTheme="minorHAnsi"/>
        </w:rPr>
        <w:t>,</w:t>
      </w:r>
    </w:p>
    <w:p w14:paraId="340DAFFE" w14:textId="73EAC312" w:rsidR="00257FD0" w:rsidRDefault="005743B1"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provisions in various Acts for forfeiture</w:t>
      </w:r>
      <w:r w:rsidR="00E64E8A" w:rsidRPr="00C00000">
        <w:rPr>
          <w:rStyle w:val="Style"/>
          <w:rFonts w:asciiTheme="minorHAnsi" w:hAnsiTheme="minorHAnsi"/>
        </w:rPr>
        <w:footnoteReference w:id="38"/>
      </w:r>
      <w:r>
        <w:rPr>
          <w:rFonts w:asciiTheme="minorHAnsi" w:hAnsiTheme="minorHAnsi"/>
        </w:rPr>
        <w:t xml:space="preserve"> </w:t>
      </w:r>
      <w:r w:rsidR="00E64E8A">
        <w:rPr>
          <w:rFonts w:asciiTheme="minorHAnsi" w:hAnsiTheme="minorHAnsi"/>
        </w:rPr>
        <w:t>or disqualification</w:t>
      </w:r>
      <w:r w:rsidR="00E64E8A" w:rsidRPr="00C00000">
        <w:rPr>
          <w:rStyle w:val="Style"/>
          <w:rFonts w:asciiTheme="minorHAnsi" w:hAnsiTheme="minorHAnsi"/>
        </w:rPr>
        <w:footnoteReference w:id="39"/>
      </w:r>
      <w:r w:rsidR="00E64E8A">
        <w:rPr>
          <w:rFonts w:asciiTheme="minorHAnsi" w:hAnsiTheme="minorHAnsi"/>
        </w:rPr>
        <w:t xml:space="preserve"> </w:t>
      </w:r>
      <w:r>
        <w:rPr>
          <w:rFonts w:asciiTheme="minorHAnsi" w:hAnsiTheme="minorHAnsi"/>
        </w:rPr>
        <w:t>following conviction for an offence</w:t>
      </w:r>
      <w:r w:rsidR="00115BB7">
        <w:rPr>
          <w:rFonts w:asciiTheme="minorHAnsi" w:hAnsiTheme="minorHAnsi"/>
        </w:rPr>
        <w:t>, and</w:t>
      </w:r>
    </w:p>
    <w:p w14:paraId="370F0657" w14:textId="17D5014A" w:rsidR="00EE238B" w:rsidRDefault="00115BB7"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provisions in the </w:t>
      </w:r>
      <w:r w:rsidR="00BA2B0B" w:rsidRPr="00BA2B0B">
        <w:rPr>
          <w:rFonts w:asciiTheme="minorHAnsi" w:hAnsiTheme="minorHAnsi"/>
          <w:i/>
        </w:rPr>
        <w:t>Migration Act 1958</w:t>
      </w:r>
      <w:r>
        <w:rPr>
          <w:rFonts w:asciiTheme="minorHAnsi" w:hAnsiTheme="minorHAnsi"/>
        </w:rPr>
        <w:t xml:space="preserve"> (Cth) for the deportation of offenders in certain circumstances</w:t>
      </w:r>
      <w:r w:rsidRPr="00C00000">
        <w:rPr>
          <w:rStyle w:val="Style"/>
          <w:rFonts w:asciiTheme="minorHAnsi" w:hAnsiTheme="minorHAnsi"/>
        </w:rPr>
        <w:footnoteReference w:id="40"/>
      </w:r>
      <w:r w:rsidR="00257FD0">
        <w:rPr>
          <w:rFonts w:asciiTheme="minorHAnsi" w:hAnsiTheme="minorHAnsi"/>
        </w:rPr>
        <w:t xml:space="preserve"> and for mandatory minimum sentences for certain offences against that Act.</w:t>
      </w:r>
      <w:r w:rsidR="00257FD0" w:rsidRPr="00C00000">
        <w:rPr>
          <w:rStyle w:val="Style"/>
          <w:rFonts w:asciiTheme="minorHAnsi" w:hAnsiTheme="minorHAnsi"/>
        </w:rPr>
        <w:footnoteReference w:id="41"/>
      </w:r>
    </w:p>
    <w:p w14:paraId="5FC135BF" w14:textId="77777777" w:rsidR="00D6405D" w:rsidRDefault="00D6405D" w:rsidP="00EB7F1E">
      <w:pPr>
        <w:spacing w:line="276" w:lineRule="auto"/>
        <w:ind w:right="170"/>
        <w:rPr>
          <w:rFonts w:asciiTheme="minorHAnsi" w:hAnsiTheme="minorHAnsi"/>
        </w:rPr>
      </w:pPr>
    </w:p>
    <w:p w14:paraId="348FFDDB" w14:textId="77777777" w:rsidR="00D6405D" w:rsidRDefault="00D6405D" w:rsidP="00EB7F1E">
      <w:pPr>
        <w:pStyle w:val="ListParagraph"/>
        <w:numPr>
          <w:ilvl w:val="0"/>
          <w:numId w:val="7"/>
        </w:numPr>
        <w:spacing w:line="276" w:lineRule="auto"/>
        <w:ind w:left="425" w:hanging="425"/>
        <w:contextualSpacing w:val="0"/>
        <w:rPr>
          <w:rFonts w:asciiTheme="minorHAnsi" w:hAnsiTheme="minorHAnsi"/>
        </w:rPr>
      </w:pPr>
      <w:r w:rsidRPr="00D478F5">
        <w:rPr>
          <w:rFonts w:asciiTheme="minorHAnsi" w:hAnsiTheme="minorHAnsi"/>
        </w:rPr>
        <w:t>Commonwealth</w:t>
      </w:r>
      <w:r>
        <w:rPr>
          <w:rFonts w:asciiTheme="minorHAnsi" w:hAnsiTheme="minorHAnsi"/>
        </w:rPr>
        <w:t xml:space="preserve"> laws dealing with matters relating to the sentencing of federal offenders are complemented by:</w:t>
      </w:r>
    </w:p>
    <w:p w14:paraId="7E0D65E3" w14:textId="038D1211" w:rsidR="00D6405D" w:rsidRDefault="00D6405D"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common law principles, which fill gaps where provisions </w:t>
      </w:r>
      <w:r>
        <w:rPr>
          <w:rFonts w:asciiTheme="minorHAnsi" w:hAnsiTheme="minorHAnsi"/>
        </w:rPr>
        <w:t xml:space="preserve">in </w:t>
      </w:r>
      <w:r w:rsidRPr="00C00000">
        <w:rPr>
          <w:rFonts w:asciiTheme="minorHAnsi" w:hAnsiTheme="minorHAnsi"/>
        </w:rPr>
        <w:t xml:space="preserve">federal </w:t>
      </w:r>
      <w:r>
        <w:rPr>
          <w:rFonts w:asciiTheme="minorHAnsi" w:hAnsiTheme="minorHAnsi"/>
        </w:rPr>
        <w:t>statutes</w:t>
      </w:r>
      <w:r w:rsidRPr="00C00000">
        <w:rPr>
          <w:rFonts w:asciiTheme="minorHAnsi" w:hAnsiTheme="minorHAnsi"/>
        </w:rPr>
        <w:t xml:space="preserve"> are not complete</w:t>
      </w:r>
      <w:r>
        <w:rPr>
          <w:rFonts w:asciiTheme="minorHAnsi" w:hAnsiTheme="minorHAnsi"/>
        </w:rPr>
        <w:t xml:space="preserve"> (see</w:t>
      </w:r>
      <w:r w:rsidR="00277E59">
        <w:rPr>
          <w:rFonts w:asciiTheme="minorHAnsi" w:hAnsiTheme="minorHAnsi"/>
        </w:rPr>
        <w:t xml:space="preserve"> “</w:t>
      </w:r>
      <w:r w:rsidR="00277E59">
        <w:rPr>
          <w:rFonts w:asciiTheme="minorHAnsi" w:hAnsiTheme="minorHAnsi"/>
        </w:rPr>
        <w:fldChar w:fldCharType="begin"/>
      </w:r>
      <w:r w:rsidR="00277E59">
        <w:rPr>
          <w:rFonts w:asciiTheme="minorHAnsi" w:hAnsiTheme="minorHAnsi"/>
        </w:rPr>
        <w:instrText xml:space="preserve"> REF _Ref9850772 \r \h  \* MERGEFORMAT </w:instrText>
      </w:r>
      <w:r w:rsidR="00277E59">
        <w:rPr>
          <w:rFonts w:asciiTheme="minorHAnsi" w:hAnsiTheme="minorHAnsi"/>
        </w:rPr>
      </w:r>
      <w:r w:rsidR="00277E59">
        <w:rPr>
          <w:rFonts w:asciiTheme="minorHAnsi" w:hAnsiTheme="minorHAnsi"/>
        </w:rPr>
        <w:fldChar w:fldCharType="separate"/>
      </w:r>
      <w:r w:rsidR="00D44BCF">
        <w:rPr>
          <w:rFonts w:asciiTheme="minorHAnsi" w:hAnsiTheme="minorHAnsi"/>
        </w:rPr>
        <w:t>2.5</w:t>
      </w:r>
      <w:r w:rsidR="00277E59">
        <w:rPr>
          <w:rFonts w:asciiTheme="minorHAnsi" w:hAnsiTheme="minorHAnsi"/>
        </w:rPr>
        <w:fldChar w:fldCharType="end"/>
      </w:r>
      <w:r w:rsidR="00277E59">
        <w:rPr>
          <w:rFonts w:asciiTheme="minorHAnsi" w:hAnsiTheme="minorHAnsi"/>
        </w:rPr>
        <w:t xml:space="preserve"> </w:t>
      </w:r>
      <w:r w:rsidR="00277E59">
        <w:rPr>
          <w:rFonts w:asciiTheme="minorHAnsi" w:hAnsiTheme="minorHAnsi"/>
        </w:rPr>
        <w:fldChar w:fldCharType="begin"/>
      </w:r>
      <w:r w:rsidR="00277E59">
        <w:rPr>
          <w:rFonts w:asciiTheme="minorHAnsi" w:hAnsiTheme="minorHAnsi"/>
        </w:rPr>
        <w:instrText xml:space="preserve"> REF _Ref9850772 \h  \* MERGEFORMAT </w:instrText>
      </w:r>
      <w:r w:rsidR="00277E59">
        <w:rPr>
          <w:rFonts w:asciiTheme="minorHAnsi" w:hAnsiTheme="minorHAnsi"/>
        </w:rPr>
      </w:r>
      <w:r w:rsidR="00277E59">
        <w:rPr>
          <w:rFonts w:asciiTheme="minorHAnsi" w:hAnsiTheme="minorHAnsi"/>
        </w:rPr>
        <w:fldChar w:fldCharType="separate"/>
      </w:r>
      <w:r w:rsidR="00D44BCF" w:rsidRPr="00D44BCF">
        <w:rPr>
          <w:rFonts w:asciiTheme="minorHAnsi" w:hAnsiTheme="minorHAnsi"/>
        </w:rPr>
        <w:t>Applicability of the common law</w:t>
      </w:r>
      <w:r w:rsidR="00277E59">
        <w:rPr>
          <w:rFonts w:asciiTheme="minorHAnsi" w:hAnsiTheme="minorHAnsi"/>
        </w:rPr>
        <w:fldChar w:fldCharType="end"/>
      </w:r>
      <w:r w:rsidR="00277E59">
        <w:rPr>
          <w:rFonts w:asciiTheme="minorHAnsi" w:hAnsiTheme="minorHAnsi"/>
        </w:rPr>
        <w:t>”</w:t>
      </w:r>
      <w:r>
        <w:rPr>
          <w:rFonts w:asciiTheme="minorHAnsi" w:hAnsiTheme="minorHAnsi"/>
        </w:rPr>
        <w:t>); and</w:t>
      </w:r>
    </w:p>
    <w:p w14:paraId="130A82CB" w14:textId="759C578C" w:rsidR="00D6405D" w:rsidRDefault="00D6405D"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S</w:t>
      </w:r>
      <w:r w:rsidRPr="00C00000">
        <w:rPr>
          <w:rFonts w:asciiTheme="minorHAnsi" w:hAnsiTheme="minorHAnsi"/>
        </w:rPr>
        <w:t xml:space="preserve">tate </w:t>
      </w:r>
      <w:r>
        <w:rPr>
          <w:rFonts w:asciiTheme="minorHAnsi" w:hAnsiTheme="minorHAnsi"/>
        </w:rPr>
        <w:t xml:space="preserve">and Territory </w:t>
      </w:r>
      <w:r w:rsidRPr="00C00000">
        <w:rPr>
          <w:rFonts w:asciiTheme="minorHAnsi" w:hAnsiTheme="minorHAnsi"/>
        </w:rPr>
        <w:t xml:space="preserve">laws </w:t>
      </w:r>
      <w:r>
        <w:rPr>
          <w:rFonts w:asciiTheme="minorHAnsi" w:hAnsiTheme="minorHAnsi"/>
        </w:rPr>
        <w:t xml:space="preserve">which are </w:t>
      </w:r>
      <w:r w:rsidRPr="00C00000">
        <w:rPr>
          <w:rFonts w:asciiTheme="minorHAnsi" w:hAnsiTheme="minorHAnsi"/>
        </w:rPr>
        <w:t xml:space="preserve">applied by </w:t>
      </w:r>
      <w:r w:rsidRPr="00D55EAD">
        <w:rPr>
          <w:rFonts w:asciiTheme="minorHAnsi" w:hAnsiTheme="minorHAnsi"/>
        </w:rPr>
        <w:t>Commonwealth</w:t>
      </w:r>
      <w:r>
        <w:rPr>
          <w:rFonts w:asciiTheme="minorHAnsi" w:hAnsiTheme="minorHAnsi"/>
        </w:rPr>
        <w:t xml:space="preserve"> statutory provisions as “</w:t>
      </w:r>
      <w:r w:rsidRPr="008C2FD9">
        <w:rPr>
          <w:rFonts w:asciiTheme="minorHAnsi" w:hAnsiTheme="minorHAnsi"/>
          <w:i/>
        </w:rPr>
        <w:t>surrogate federal law</w:t>
      </w:r>
      <w:r>
        <w:rPr>
          <w:rFonts w:asciiTheme="minorHAnsi" w:hAnsiTheme="minorHAnsi"/>
        </w:rPr>
        <w:t>” (see “</w:t>
      </w:r>
      <w:r w:rsidR="00E56F64">
        <w:rPr>
          <w:rFonts w:asciiTheme="minorHAnsi" w:hAnsiTheme="minorHAnsi"/>
        </w:rPr>
        <w:fldChar w:fldCharType="begin"/>
      </w:r>
      <w:r w:rsidR="00E56F64">
        <w:rPr>
          <w:rFonts w:asciiTheme="minorHAnsi" w:hAnsiTheme="minorHAnsi"/>
        </w:rPr>
        <w:instrText xml:space="preserve"> REF _Ref9936362 \r \h  \* MERGEFORMAT </w:instrText>
      </w:r>
      <w:r w:rsidR="00E56F64">
        <w:rPr>
          <w:rFonts w:asciiTheme="minorHAnsi" w:hAnsiTheme="minorHAnsi"/>
        </w:rPr>
      </w:r>
      <w:r w:rsidR="00E56F64">
        <w:rPr>
          <w:rFonts w:asciiTheme="minorHAnsi" w:hAnsiTheme="minorHAnsi"/>
        </w:rPr>
        <w:fldChar w:fldCharType="separate"/>
      </w:r>
      <w:r w:rsidR="00D44BCF">
        <w:rPr>
          <w:rFonts w:asciiTheme="minorHAnsi" w:hAnsiTheme="minorHAnsi"/>
        </w:rPr>
        <w:t>2.6</w:t>
      </w:r>
      <w:r w:rsidR="00E56F64">
        <w:rPr>
          <w:rFonts w:asciiTheme="minorHAnsi" w:hAnsiTheme="minorHAnsi"/>
        </w:rPr>
        <w:fldChar w:fldCharType="end"/>
      </w:r>
      <w:r w:rsidR="00E56F64">
        <w:rPr>
          <w:rFonts w:asciiTheme="minorHAnsi" w:hAnsiTheme="minorHAnsi"/>
        </w:rPr>
        <w:t xml:space="preserve"> </w:t>
      </w:r>
      <w:r w:rsidR="00E56F64">
        <w:rPr>
          <w:rFonts w:asciiTheme="minorHAnsi" w:hAnsiTheme="minorHAnsi"/>
        </w:rPr>
        <w:fldChar w:fldCharType="begin"/>
      </w:r>
      <w:r w:rsidR="00E56F64">
        <w:rPr>
          <w:rFonts w:asciiTheme="minorHAnsi" w:hAnsiTheme="minorHAnsi"/>
        </w:rPr>
        <w:instrText xml:space="preserve"> REF _Ref9936364 \h  \* MERGEFORMAT </w:instrText>
      </w:r>
      <w:r w:rsidR="00E56F64">
        <w:rPr>
          <w:rFonts w:asciiTheme="minorHAnsi" w:hAnsiTheme="minorHAnsi"/>
        </w:rPr>
      </w:r>
      <w:r w:rsidR="00E56F64">
        <w:rPr>
          <w:rFonts w:asciiTheme="minorHAnsi" w:hAnsiTheme="minorHAnsi"/>
        </w:rPr>
        <w:fldChar w:fldCharType="separate"/>
      </w:r>
      <w:r w:rsidR="00D44BCF" w:rsidRPr="00D44BCF">
        <w:rPr>
          <w:rFonts w:asciiTheme="minorHAnsi" w:hAnsiTheme="minorHAnsi"/>
        </w:rPr>
        <w:t>Commonwealth provisions which apply relevant State and Territory laws</w:t>
      </w:r>
      <w:r w:rsidR="00E56F64">
        <w:rPr>
          <w:rFonts w:asciiTheme="minorHAnsi" w:hAnsiTheme="minorHAnsi"/>
        </w:rPr>
        <w:fldChar w:fldCharType="end"/>
      </w:r>
      <w:r w:rsidR="00E56F64">
        <w:rPr>
          <w:rFonts w:asciiTheme="minorHAnsi" w:hAnsiTheme="minorHAnsi"/>
        </w:rPr>
        <w:t>”).</w:t>
      </w:r>
    </w:p>
    <w:p w14:paraId="3AC97186" w14:textId="77777777" w:rsidR="0053432F" w:rsidRPr="00C00000" w:rsidRDefault="0053432F" w:rsidP="007C11C2">
      <w:pPr>
        <w:spacing w:line="276" w:lineRule="auto"/>
        <w:ind w:left="153" w:right="170"/>
        <w:jc w:val="both"/>
        <w:rPr>
          <w:rFonts w:asciiTheme="minorHAnsi" w:hAnsiTheme="minorHAnsi"/>
        </w:rPr>
      </w:pPr>
    </w:p>
    <w:p w14:paraId="42B6C2DD" w14:textId="77777777" w:rsidR="00721E39" w:rsidRPr="00C00000" w:rsidRDefault="00721E39" w:rsidP="00721E39">
      <w:pPr>
        <w:pStyle w:val="Heading2"/>
        <w:rPr>
          <w:rStyle w:val="Strong"/>
          <w:b/>
          <w:bCs w:val="0"/>
        </w:rPr>
      </w:pPr>
      <w:bookmarkStart w:id="22" w:name="_Toc484289325"/>
      <w:bookmarkStart w:id="23" w:name="_Toc484345530"/>
      <w:bookmarkStart w:id="24" w:name="_Toc484345770"/>
      <w:bookmarkStart w:id="25" w:name="_Toc484352120"/>
      <w:bookmarkStart w:id="26" w:name="_Toc484354585"/>
      <w:bookmarkStart w:id="27" w:name="_Toc484354687"/>
      <w:bookmarkStart w:id="28" w:name="_Toc484358589"/>
      <w:bookmarkStart w:id="29" w:name="_Toc484358979"/>
      <w:bookmarkStart w:id="30" w:name="_Toc484363895"/>
      <w:bookmarkStart w:id="31" w:name="_Toc484364309"/>
      <w:bookmarkStart w:id="32" w:name="_Toc484365616"/>
      <w:bookmarkStart w:id="33" w:name="_Toc484432510"/>
      <w:bookmarkStart w:id="34" w:name="_Toc484289326"/>
      <w:bookmarkStart w:id="35" w:name="_Toc484345531"/>
      <w:bookmarkStart w:id="36" w:name="_Toc484345771"/>
      <w:bookmarkStart w:id="37" w:name="_Toc484352121"/>
      <w:bookmarkStart w:id="38" w:name="_Toc484354586"/>
      <w:bookmarkStart w:id="39" w:name="_Toc484354688"/>
      <w:bookmarkStart w:id="40" w:name="_Toc484358590"/>
      <w:bookmarkStart w:id="41" w:name="_Toc484358980"/>
      <w:bookmarkStart w:id="42" w:name="_Toc484363896"/>
      <w:bookmarkStart w:id="43" w:name="_Toc484364310"/>
      <w:bookmarkStart w:id="44" w:name="_Toc484365617"/>
      <w:bookmarkStart w:id="45" w:name="_Toc484432511"/>
      <w:bookmarkStart w:id="46" w:name="_Ref9850772"/>
      <w:bookmarkStart w:id="47" w:name="_Ref9850775"/>
      <w:bookmarkStart w:id="48" w:name="_Toc33602747"/>
      <w:bookmarkStart w:id="49" w:name="_Ref506382959"/>
      <w:bookmarkStart w:id="50" w:name="_Ref506382962"/>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C00000">
        <w:rPr>
          <w:rStyle w:val="Strong"/>
          <w:b/>
          <w:bCs w:val="0"/>
        </w:rPr>
        <w:t>Applicability of the common law</w:t>
      </w:r>
      <w:bookmarkEnd w:id="46"/>
      <w:bookmarkEnd w:id="47"/>
      <w:bookmarkEnd w:id="48"/>
    </w:p>
    <w:p w14:paraId="785E7A83" w14:textId="77777777" w:rsidR="00721E39" w:rsidRPr="00C00000" w:rsidRDefault="00721E39" w:rsidP="00721E39">
      <w:pPr>
        <w:pStyle w:val="ListParagraph"/>
        <w:keepNext/>
        <w:spacing w:line="276" w:lineRule="auto"/>
        <w:ind w:left="873" w:right="170"/>
        <w:contextualSpacing w:val="0"/>
        <w:rPr>
          <w:rFonts w:asciiTheme="minorHAnsi" w:hAnsiTheme="minorHAnsi"/>
          <w:u w:val="single"/>
        </w:rPr>
      </w:pPr>
    </w:p>
    <w:p w14:paraId="5B8EF8D0" w14:textId="77777777" w:rsidR="00721E39" w:rsidRDefault="00721E3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80 of the </w:t>
      </w:r>
      <w:r w:rsidRPr="00C00000">
        <w:rPr>
          <w:rFonts w:asciiTheme="minorHAnsi" w:hAnsiTheme="minorHAnsi"/>
          <w:i/>
        </w:rPr>
        <w:t>Judiciary Act 1903</w:t>
      </w:r>
      <w:r w:rsidRPr="00C00000">
        <w:rPr>
          <w:rFonts w:asciiTheme="minorHAnsi" w:hAnsiTheme="minorHAnsi"/>
        </w:rPr>
        <w:t xml:space="preserve"> (Cth) </w:t>
      </w:r>
      <w:r>
        <w:rPr>
          <w:rFonts w:asciiTheme="minorHAnsi" w:hAnsiTheme="minorHAnsi"/>
        </w:rPr>
        <w:t>provides for the application of the common law to all courts exercising federal jurisdiction, in the exercise of their jurisdiction.</w:t>
      </w:r>
    </w:p>
    <w:p w14:paraId="16EC1BE8" w14:textId="77777777" w:rsidR="00721E39" w:rsidRPr="00CB4425" w:rsidRDefault="00721E39" w:rsidP="00721E39">
      <w:pPr>
        <w:spacing w:line="276" w:lineRule="auto"/>
        <w:ind w:right="170"/>
        <w:rPr>
          <w:rFonts w:asciiTheme="minorHAnsi" w:hAnsiTheme="minorHAnsi"/>
        </w:rPr>
      </w:pPr>
    </w:p>
    <w:p w14:paraId="7AF74CAC" w14:textId="77777777" w:rsidR="00721E39" w:rsidRDefault="00721E3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provision makes applicable</w:t>
      </w:r>
      <w:r w:rsidRPr="00CB4425">
        <w:rPr>
          <w:rFonts w:asciiTheme="minorHAnsi" w:hAnsiTheme="minorHAnsi"/>
        </w:rPr>
        <w:t xml:space="preserve"> </w:t>
      </w:r>
      <w:r>
        <w:rPr>
          <w:rFonts w:asciiTheme="minorHAnsi" w:hAnsiTheme="minorHAnsi"/>
        </w:rPr>
        <w:t>“</w:t>
      </w:r>
      <w:r w:rsidRPr="00427921">
        <w:rPr>
          <w:rFonts w:asciiTheme="minorHAnsi" w:hAnsiTheme="minorHAnsi"/>
          <w:i/>
        </w:rPr>
        <w:t>the common law in Australia as modified by the Constitution and by the statute law in force in the State or Territory in which the Court in which the jurisdiction is exercised is held</w:t>
      </w:r>
      <w:r>
        <w:rPr>
          <w:rFonts w:asciiTheme="minorHAnsi" w:hAnsiTheme="minorHAnsi"/>
        </w:rPr>
        <w:t>”.</w:t>
      </w:r>
    </w:p>
    <w:p w14:paraId="7C4567EE" w14:textId="77777777" w:rsidR="00721E39" w:rsidRPr="00CB4425" w:rsidRDefault="00721E39" w:rsidP="00721E39">
      <w:pPr>
        <w:pStyle w:val="ListParagraph"/>
        <w:rPr>
          <w:rFonts w:asciiTheme="minorHAnsi" w:hAnsiTheme="minorHAnsi"/>
        </w:rPr>
      </w:pPr>
    </w:p>
    <w:p w14:paraId="0DB102A3" w14:textId="77777777" w:rsidR="00721E39" w:rsidRPr="00C00000" w:rsidRDefault="00721E3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t>
      </w:r>
      <w:r w:rsidRPr="00C00000">
        <w:rPr>
          <w:rFonts w:asciiTheme="minorHAnsi" w:hAnsiTheme="minorHAnsi"/>
        </w:rPr>
        <w:t xml:space="preserve">common law </w:t>
      </w:r>
      <w:r>
        <w:rPr>
          <w:rFonts w:asciiTheme="minorHAnsi" w:hAnsiTheme="minorHAnsi"/>
        </w:rPr>
        <w:t>is so applied only “</w:t>
      </w:r>
      <w:r w:rsidRPr="00427921">
        <w:rPr>
          <w:rFonts w:asciiTheme="minorHAnsi" w:hAnsiTheme="minorHAnsi"/>
          <w:i/>
        </w:rPr>
        <w:t>[s]o far as the laws of the Commonwealth are not applicable or so far as their provisions are insufficient to carry them into effect, or to provide adequate remedies or punishment</w:t>
      </w:r>
      <w:r>
        <w:rPr>
          <w:rFonts w:asciiTheme="minorHAnsi" w:hAnsiTheme="minorHAnsi"/>
        </w:rPr>
        <w:t>”.</w:t>
      </w:r>
      <w:r w:rsidRPr="00C00000">
        <w:rPr>
          <w:rFonts w:asciiTheme="minorHAnsi" w:hAnsiTheme="minorHAnsi"/>
        </w:rPr>
        <w:t xml:space="preserve"> </w:t>
      </w:r>
    </w:p>
    <w:p w14:paraId="5ABECD5A" w14:textId="77777777" w:rsidR="00721E39" w:rsidRPr="00C00000" w:rsidRDefault="00721E39" w:rsidP="00EB7F1E">
      <w:pPr>
        <w:pStyle w:val="ListParagraph"/>
        <w:rPr>
          <w:rFonts w:asciiTheme="minorHAnsi" w:hAnsiTheme="minorHAnsi"/>
        </w:rPr>
      </w:pPr>
    </w:p>
    <w:p w14:paraId="64D8E0FE" w14:textId="77777777" w:rsidR="00721E39" w:rsidRDefault="00721E3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 80 thus gives the common law a residual application, to fill gaps in Commonwealth law.</w:t>
      </w:r>
      <w:r w:rsidRPr="00C00000">
        <w:rPr>
          <w:rStyle w:val="Style"/>
          <w:rFonts w:asciiTheme="minorHAnsi" w:hAnsiTheme="minorHAnsi"/>
        </w:rPr>
        <w:footnoteReference w:id="42"/>
      </w:r>
    </w:p>
    <w:p w14:paraId="6F3C4E4E" w14:textId="77777777" w:rsidR="00721E39" w:rsidRPr="00C00000" w:rsidRDefault="00721E39" w:rsidP="00EB7F1E">
      <w:pPr>
        <w:pStyle w:val="ListParagraph"/>
        <w:rPr>
          <w:rFonts w:asciiTheme="minorHAnsi" w:hAnsiTheme="minorHAnsi"/>
        </w:rPr>
      </w:pPr>
    </w:p>
    <w:p w14:paraId="7B8C924C" w14:textId="59F80EAB" w:rsidR="0080382B" w:rsidRDefault="00721E39">
      <w:pPr>
        <w:pStyle w:val="ListParagraph"/>
        <w:numPr>
          <w:ilvl w:val="0"/>
          <w:numId w:val="7"/>
        </w:numPr>
        <w:spacing w:line="276" w:lineRule="auto"/>
        <w:ind w:left="425" w:hanging="425"/>
        <w:contextualSpacing w:val="0"/>
        <w:rPr>
          <w:rFonts w:asciiTheme="minorHAnsi" w:hAnsiTheme="minorHAnsi"/>
        </w:rPr>
      </w:pPr>
      <w:r w:rsidRPr="00840CAF">
        <w:rPr>
          <w:rFonts w:asciiTheme="minorHAnsi" w:hAnsiTheme="minorHAnsi"/>
        </w:rPr>
        <w:t xml:space="preserve">Commonwealth law does leave room for the application of general principles of common law to the sentencing of federal offenders.  </w:t>
      </w:r>
      <w:r>
        <w:rPr>
          <w:rFonts w:asciiTheme="minorHAnsi" w:hAnsiTheme="minorHAnsi"/>
        </w:rPr>
        <w:t>In particular, s</w:t>
      </w:r>
      <w:r w:rsidRPr="00840CAF">
        <w:rPr>
          <w:rFonts w:asciiTheme="minorHAnsi" w:hAnsiTheme="minorHAnsi"/>
        </w:rPr>
        <w:t xml:space="preserve"> 16A of the </w:t>
      </w:r>
      <w:r w:rsidRPr="00885EFD">
        <w:rPr>
          <w:rFonts w:asciiTheme="minorHAnsi" w:hAnsiTheme="minorHAnsi"/>
          <w:i/>
        </w:rPr>
        <w:t>Crimes Act 1914</w:t>
      </w:r>
      <w:r w:rsidRPr="00840CAF">
        <w:rPr>
          <w:rFonts w:asciiTheme="minorHAnsi" w:hAnsiTheme="minorHAnsi"/>
          <w:i/>
        </w:rPr>
        <w:t xml:space="preserve"> </w:t>
      </w:r>
      <w:r w:rsidRPr="00840CAF">
        <w:rPr>
          <w:rFonts w:asciiTheme="minorHAnsi" w:hAnsiTheme="minorHAnsi"/>
        </w:rPr>
        <w:t>(Cth), which sets out principles governing the sentencing of federal offenders, and specifies matters to which a court must have regard, does not purport to be exhaustive.  The essential requirement in s.16A(1) is merely that a court “</w:t>
      </w:r>
      <w:r w:rsidRPr="00840CAF">
        <w:rPr>
          <w:rFonts w:asciiTheme="minorHAnsi" w:hAnsiTheme="minorHAnsi"/>
          <w:i/>
        </w:rPr>
        <w:t>must impose a sentence or make an order that is of a severity appropriate in all the circumstances of the offence</w:t>
      </w:r>
      <w:r w:rsidRPr="00840CAF">
        <w:rPr>
          <w:rFonts w:asciiTheme="minorHAnsi" w:hAnsiTheme="minorHAnsi"/>
        </w:rPr>
        <w:t xml:space="preserve">”.  </w:t>
      </w:r>
      <w:r w:rsidR="0080382B">
        <w:rPr>
          <w:rFonts w:asciiTheme="minorHAnsi" w:hAnsiTheme="minorHAnsi"/>
        </w:rPr>
        <w:t>Moreover</w:t>
      </w:r>
      <w:r w:rsidRPr="00840CAF">
        <w:rPr>
          <w:rFonts w:asciiTheme="minorHAnsi" w:hAnsiTheme="minorHAnsi"/>
        </w:rPr>
        <w:t xml:space="preserve"> s.16A(2), which specifies matters to which a court must have regard, is prefaced with the words, </w:t>
      </w:r>
      <w:r w:rsidR="0080382B">
        <w:rPr>
          <w:rFonts w:asciiTheme="minorHAnsi" w:hAnsiTheme="minorHAnsi"/>
        </w:rPr>
        <w:t>“</w:t>
      </w:r>
      <w:r w:rsidRPr="00840CAF">
        <w:rPr>
          <w:rFonts w:asciiTheme="minorHAnsi" w:hAnsiTheme="minorHAnsi"/>
          <w:i/>
        </w:rPr>
        <w:t>In addition to any other matters ...</w:t>
      </w:r>
      <w:r w:rsidR="0080382B">
        <w:rPr>
          <w:rFonts w:asciiTheme="minorHAnsi" w:hAnsiTheme="minorHAnsi"/>
        </w:rPr>
        <w:t>”</w:t>
      </w:r>
      <w:r w:rsidRPr="00840CAF">
        <w:rPr>
          <w:rFonts w:asciiTheme="minorHAnsi" w:hAnsiTheme="minorHAnsi"/>
        </w:rPr>
        <w:t xml:space="preserve">; this too makes clear that the considerations listed </w:t>
      </w:r>
      <w:r>
        <w:rPr>
          <w:rFonts w:asciiTheme="minorHAnsi" w:hAnsiTheme="minorHAnsi"/>
        </w:rPr>
        <w:t xml:space="preserve">in s 16A(2) </w:t>
      </w:r>
      <w:r w:rsidRPr="00840CAF">
        <w:rPr>
          <w:rFonts w:asciiTheme="minorHAnsi" w:hAnsiTheme="minorHAnsi"/>
        </w:rPr>
        <w:t>are not exhaustive.</w:t>
      </w:r>
    </w:p>
    <w:p w14:paraId="092BF803" w14:textId="77777777" w:rsidR="0080382B" w:rsidRPr="00EB7F1E" w:rsidRDefault="0080382B" w:rsidP="00EB7F1E">
      <w:pPr>
        <w:pStyle w:val="ListParagraph"/>
        <w:rPr>
          <w:rFonts w:asciiTheme="minorHAnsi" w:hAnsiTheme="minorHAnsi"/>
        </w:rPr>
      </w:pPr>
    </w:p>
    <w:p w14:paraId="779504F6" w14:textId="613E9CE1" w:rsidR="00721E39" w:rsidRPr="00840CAF" w:rsidRDefault="00721E39" w:rsidP="00EB7F1E">
      <w:pPr>
        <w:pStyle w:val="ListParagraph"/>
        <w:numPr>
          <w:ilvl w:val="0"/>
          <w:numId w:val="7"/>
        </w:numPr>
        <w:spacing w:line="276" w:lineRule="auto"/>
        <w:ind w:left="425" w:hanging="425"/>
        <w:contextualSpacing w:val="0"/>
        <w:rPr>
          <w:rFonts w:asciiTheme="minorHAnsi" w:hAnsiTheme="minorHAnsi"/>
        </w:rPr>
      </w:pPr>
      <w:r w:rsidRPr="00840CAF">
        <w:rPr>
          <w:rFonts w:asciiTheme="minorHAnsi" w:hAnsiTheme="minorHAnsi"/>
        </w:rPr>
        <w:t>The generality of the requirement in s.16A(1) and the non-exhaustive nature of the list in s.16A(2) leaves room for the application of general principles of common law (such as proportionality, totality and parity) in sentencing a federal offender.</w:t>
      </w:r>
      <w:r w:rsidRPr="00C00000">
        <w:rPr>
          <w:rStyle w:val="Style"/>
          <w:rFonts w:asciiTheme="minorHAnsi" w:hAnsiTheme="minorHAnsi"/>
        </w:rPr>
        <w:footnoteReference w:id="43"/>
      </w:r>
      <w:r w:rsidRPr="00840CAF">
        <w:rPr>
          <w:rFonts w:asciiTheme="minorHAnsi" w:hAnsiTheme="minorHAnsi"/>
        </w:rPr>
        <w:t xml:space="preserve">  </w:t>
      </w:r>
      <w:r>
        <w:rPr>
          <w:rFonts w:asciiTheme="minorHAnsi" w:hAnsiTheme="minorHAnsi"/>
        </w:rPr>
        <w:t>Section</w:t>
      </w:r>
      <w:r w:rsidRPr="00840CAF">
        <w:rPr>
          <w:rFonts w:asciiTheme="minorHAnsi" w:hAnsiTheme="minorHAnsi"/>
        </w:rPr>
        <w:t xml:space="preserve"> 16A is</w:t>
      </w:r>
      <w:r w:rsidRPr="00051102">
        <w:rPr>
          <w:rStyle w:val="verdana"/>
          <w:rFonts w:ascii="Calibri" w:hAnsi="Calibri"/>
        </w:rPr>
        <w:t xml:space="preserve"> </w:t>
      </w:r>
      <w:r w:rsidRPr="00840CAF">
        <w:rPr>
          <w:rFonts w:asciiTheme="minorHAnsi" w:hAnsiTheme="minorHAnsi"/>
        </w:rPr>
        <w:t>able to accommodate judicially-developed sentencing principles where such principles give relevant content to the statutory expression in s 16A(1) “</w:t>
      </w:r>
      <w:r w:rsidRPr="00840CAF">
        <w:rPr>
          <w:rFonts w:asciiTheme="minorHAnsi" w:hAnsiTheme="minorHAnsi"/>
          <w:i/>
        </w:rPr>
        <w:t>of a severity appropriate in all the circumstances of the offence</w:t>
      </w:r>
      <w:r w:rsidRPr="00840CAF">
        <w:rPr>
          <w:rFonts w:asciiTheme="minorHAnsi" w:hAnsiTheme="minorHAnsi"/>
        </w:rPr>
        <w:t>”,</w:t>
      </w:r>
      <w:r w:rsidRPr="00576EEE">
        <w:rPr>
          <w:rStyle w:val="verdana"/>
          <w:rFonts w:ascii="Calibri" w:hAnsi="Calibri"/>
        </w:rPr>
        <w:t xml:space="preserve"> </w:t>
      </w:r>
      <w:r w:rsidRPr="00840CAF">
        <w:rPr>
          <w:rFonts w:asciiTheme="minorHAnsi" w:hAnsiTheme="minorHAnsi"/>
        </w:rPr>
        <w:t>as well as expressions such as “</w:t>
      </w:r>
      <w:r w:rsidRPr="00840CAF">
        <w:rPr>
          <w:rFonts w:asciiTheme="minorHAnsi" w:hAnsiTheme="minorHAnsi"/>
          <w:i/>
        </w:rPr>
        <w:t>the need to ensure that the person is adequately punished for the offence</w:t>
      </w:r>
      <w:r w:rsidRPr="00840CAF">
        <w:rPr>
          <w:rFonts w:asciiTheme="minorHAnsi" w:hAnsiTheme="minorHAnsi"/>
        </w:rPr>
        <w:t>”, which appears in s 16A(2)(k).</w:t>
      </w:r>
      <w:r w:rsidRPr="00C00000">
        <w:rPr>
          <w:rStyle w:val="Style"/>
          <w:rFonts w:asciiTheme="minorHAnsi" w:hAnsiTheme="minorHAnsi"/>
        </w:rPr>
        <w:footnoteReference w:id="44"/>
      </w:r>
    </w:p>
    <w:p w14:paraId="2AEC50AC" w14:textId="77777777" w:rsidR="00721E39" w:rsidRDefault="00721E39" w:rsidP="00721E39">
      <w:pPr>
        <w:pStyle w:val="ListParagraph"/>
        <w:rPr>
          <w:rFonts w:asciiTheme="minorHAnsi" w:hAnsiTheme="minorHAnsi"/>
        </w:rPr>
      </w:pPr>
    </w:p>
    <w:p w14:paraId="4A515C6F" w14:textId="282E4998" w:rsidR="003B1FC2" w:rsidRDefault="003B1FC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Conversely, </w:t>
      </w:r>
      <w:r w:rsidRPr="003B1FC2">
        <w:rPr>
          <w:rFonts w:asciiTheme="minorHAnsi" w:hAnsiTheme="minorHAnsi"/>
        </w:rPr>
        <w:t xml:space="preserve">to </w:t>
      </w:r>
      <w:r w:rsidRPr="00EB7F1E">
        <w:rPr>
          <w:rFonts w:asciiTheme="minorHAnsi" w:hAnsiTheme="minorHAnsi"/>
        </w:rPr>
        <w:t xml:space="preserve">the extent that </w:t>
      </w:r>
      <w:r>
        <w:rPr>
          <w:rFonts w:asciiTheme="minorHAnsi" w:hAnsiTheme="minorHAnsi"/>
        </w:rPr>
        <w:t xml:space="preserve">s 16A or other provisions of Part </w:t>
      </w:r>
      <w:r w:rsidRPr="00EB7F1E">
        <w:rPr>
          <w:rFonts w:asciiTheme="minorHAnsi" w:hAnsiTheme="minorHAnsi"/>
        </w:rPr>
        <w:t xml:space="preserve">IB of the </w:t>
      </w:r>
      <w:r w:rsidRPr="00EB7F1E">
        <w:rPr>
          <w:rFonts w:asciiTheme="minorHAnsi" w:hAnsiTheme="minorHAnsi"/>
          <w:i/>
        </w:rPr>
        <w:t>Crimes</w:t>
      </w:r>
      <w:r>
        <w:rPr>
          <w:rFonts w:asciiTheme="minorHAnsi" w:hAnsiTheme="minorHAnsi"/>
          <w:i/>
        </w:rPr>
        <w:t xml:space="preserve"> </w:t>
      </w:r>
      <w:r w:rsidRPr="00EB7F1E">
        <w:rPr>
          <w:rFonts w:asciiTheme="minorHAnsi" w:hAnsiTheme="minorHAnsi"/>
          <w:i/>
        </w:rPr>
        <w:t>Act 1914</w:t>
      </w:r>
      <w:r w:rsidRPr="00EB7F1E">
        <w:rPr>
          <w:rFonts w:asciiTheme="minorHAnsi" w:hAnsiTheme="minorHAnsi"/>
        </w:rPr>
        <w:t xml:space="preserve"> (Cth) specifically or impliedly provide for sentencing considerations which are different from otherwise applicable State and Territory sentencing considerations, the </w:t>
      </w:r>
      <w:r w:rsidRPr="00EB7F1E">
        <w:rPr>
          <w:rFonts w:asciiTheme="minorHAnsi" w:hAnsiTheme="minorHAnsi"/>
          <w:i/>
          <w:iCs/>
        </w:rPr>
        <w:t>Crimes</w:t>
      </w:r>
      <w:r w:rsidR="00DA1EC8" w:rsidRPr="00EB7F1E">
        <w:rPr>
          <w:rFonts w:asciiTheme="minorHAnsi" w:hAnsiTheme="minorHAnsi"/>
          <w:i/>
          <w:iCs/>
        </w:rPr>
        <w:t xml:space="preserve"> </w:t>
      </w:r>
      <w:r w:rsidRPr="00EB7F1E">
        <w:rPr>
          <w:rFonts w:asciiTheme="minorHAnsi" w:hAnsiTheme="minorHAnsi"/>
          <w:i/>
          <w:iCs/>
        </w:rPr>
        <w:t>Act</w:t>
      </w:r>
      <w:r w:rsidRPr="00EB7F1E">
        <w:rPr>
          <w:rFonts w:asciiTheme="minorHAnsi" w:hAnsiTheme="minorHAnsi"/>
        </w:rPr>
        <w:t xml:space="preserve"> is exclusive.</w:t>
      </w:r>
      <w:r w:rsidRPr="00C00000">
        <w:rPr>
          <w:rStyle w:val="Style"/>
          <w:rFonts w:asciiTheme="minorHAnsi" w:hAnsiTheme="minorHAnsi"/>
        </w:rPr>
        <w:footnoteReference w:id="45"/>
      </w:r>
    </w:p>
    <w:p w14:paraId="7A2CB3A6" w14:textId="77777777" w:rsidR="003B1FC2" w:rsidRPr="00EB7F1E" w:rsidRDefault="003B1FC2" w:rsidP="00EB7F1E">
      <w:pPr>
        <w:pStyle w:val="ListParagraph"/>
        <w:rPr>
          <w:rFonts w:asciiTheme="minorHAnsi" w:hAnsiTheme="minorHAnsi"/>
        </w:rPr>
      </w:pPr>
    </w:p>
    <w:p w14:paraId="46DFA156" w14:textId="22B26180" w:rsidR="00721E39" w:rsidRPr="00C00000" w:rsidRDefault="003B1FC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00721E39" w:rsidRPr="00D406CD">
        <w:rPr>
          <w:rFonts w:asciiTheme="minorHAnsi" w:hAnsiTheme="minorHAnsi"/>
          <w:i/>
        </w:rPr>
        <w:t>Bui</w:t>
      </w:r>
      <w:r w:rsidR="00721E39" w:rsidRPr="00C00000">
        <w:rPr>
          <w:rFonts w:asciiTheme="minorHAnsi" w:hAnsiTheme="minorHAnsi"/>
        </w:rPr>
        <w:t>,</w:t>
      </w:r>
      <w:r w:rsidR="00721E39" w:rsidRPr="00C00000">
        <w:rPr>
          <w:rStyle w:val="Style"/>
          <w:rFonts w:asciiTheme="minorHAnsi" w:hAnsiTheme="minorHAnsi"/>
        </w:rPr>
        <w:footnoteReference w:id="46"/>
      </w:r>
      <w:r w:rsidR="00721E39" w:rsidRPr="00C00000">
        <w:rPr>
          <w:rFonts w:asciiTheme="minorHAnsi" w:hAnsiTheme="minorHAnsi"/>
        </w:rPr>
        <w:t xml:space="preserve"> the High Court </w:t>
      </w:r>
      <w:r w:rsidR="00721E39">
        <w:rPr>
          <w:rFonts w:asciiTheme="minorHAnsi" w:hAnsiTheme="minorHAnsi"/>
        </w:rPr>
        <w:t>held</w:t>
      </w:r>
      <w:r w:rsidR="00721E39" w:rsidRPr="00C00000">
        <w:rPr>
          <w:rFonts w:asciiTheme="minorHAnsi" w:hAnsiTheme="minorHAnsi"/>
        </w:rPr>
        <w:t xml:space="preserve"> that </w:t>
      </w:r>
      <w:r w:rsidR="00721E39">
        <w:rPr>
          <w:rFonts w:asciiTheme="minorHAnsi" w:hAnsiTheme="minorHAnsi"/>
        </w:rPr>
        <w:t xml:space="preserve">s 16A left no room for the application of what the appellant contended was </w:t>
      </w:r>
      <w:r w:rsidR="00721E39" w:rsidRPr="00C00000">
        <w:rPr>
          <w:rFonts w:asciiTheme="minorHAnsi" w:hAnsiTheme="minorHAnsi"/>
        </w:rPr>
        <w:t>the common law doctrine of double jeopardy</w:t>
      </w:r>
      <w:r w:rsidR="00721E39">
        <w:rPr>
          <w:rFonts w:asciiTheme="minorHAnsi" w:hAnsiTheme="minorHAnsi"/>
        </w:rPr>
        <w:t>;</w:t>
      </w:r>
      <w:r w:rsidR="00721E39" w:rsidRPr="00C00000">
        <w:rPr>
          <w:rFonts w:asciiTheme="minorHAnsi" w:hAnsiTheme="minorHAnsi"/>
        </w:rPr>
        <w:t xml:space="preserve"> </w:t>
      </w:r>
      <w:r w:rsidR="00721E39">
        <w:rPr>
          <w:rFonts w:asciiTheme="minorHAnsi" w:hAnsiTheme="minorHAnsi"/>
        </w:rPr>
        <w:t>that is, a common law requirement that a court resentencing an offender following a successful prosecution appeal mitigate the sentence to allow for the presumed distress and anxiety suffered by a respondent as a result of such an appeal.</w:t>
      </w:r>
      <w:r w:rsidR="00721E39" w:rsidRPr="00C00000">
        <w:rPr>
          <w:rFonts w:asciiTheme="minorHAnsi" w:hAnsiTheme="minorHAnsi"/>
        </w:rPr>
        <w:t xml:space="preserve">  There was no gap in s 16A of the </w:t>
      </w:r>
      <w:r w:rsidR="00721E39" w:rsidRPr="00885EFD">
        <w:rPr>
          <w:rFonts w:asciiTheme="minorHAnsi" w:hAnsiTheme="minorHAnsi"/>
          <w:i/>
        </w:rPr>
        <w:t>Crimes Act 1914</w:t>
      </w:r>
      <w:r w:rsidR="00721E39" w:rsidRPr="00C00000">
        <w:rPr>
          <w:rFonts w:asciiTheme="minorHAnsi" w:hAnsiTheme="minorHAnsi"/>
        </w:rPr>
        <w:t xml:space="preserve"> for the common law doctrine of double jeopardy to apply.</w:t>
      </w:r>
      <w:r w:rsidR="00721E39" w:rsidRPr="00C00000">
        <w:rPr>
          <w:rStyle w:val="Style"/>
          <w:rFonts w:asciiTheme="minorHAnsi" w:hAnsiTheme="minorHAnsi"/>
        </w:rPr>
        <w:footnoteReference w:id="47"/>
      </w:r>
      <w:r w:rsidR="00721E39">
        <w:rPr>
          <w:rFonts w:asciiTheme="minorHAnsi" w:hAnsiTheme="minorHAnsi"/>
        </w:rPr>
        <w:t xml:space="preserve">  The High Court</w:t>
      </w:r>
      <w:r w:rsidR="00534A39">
        <w:rPr>
          <w:rFonts w:asciiTheme="minorHAnsi" w:hAnsiTheme="minorHAnsi"/>
        </w:rPr>
        <w:t xml:space="preserve"> in </w:t>
      </w:r>
      <w:r w:rsidR="00534A39" w:rsidRPr="00EB7F1E">
        <w:rPr>
          <w:rFonts w:asciiTheme="minorHAnsi" w:hAnsiTheme="minorHAnsi"/>
          <w:i/>
        </w:rPr>
        <w:t>Bui</w:t>
      </w:r>
      <w:r w:rsidR="00721E39">
        <w:rPr>
          <w:rFonts w:asciiTheme="minorHAnsi" w:hAnsiTheme="minorHAnsi"/>
        </w:rPr>
        <w:t xml:space="preserve"> also observed that </w:t>
      </w:r>
      <w:r w:rsidR="00721E39" w:rsidRPr="005E3610">
        <w:rPr>
          <w:rFonts w:asciiTheme="minorHAnsi" w:hAnsiTheme="minorHAnsi"/>
        </w:rPr>
        <w:t xml:space="preserve">application of an automatic </w:t>
      </w:r>
      <w:r w:rsidR="00721E39">
        <w:rPr>
          <w:rFonts w:asciiTheme="minorHAnsi" w:hAnsiTheme="minorHAnsi"/>
        </w:rPr>
        <w:t xml:space="preserve">sentence </w:t>
      </w:r>
      <w:r w:rsidR="00721E39" w:rsidRPr="005E3610">
        <w:rPr>
          <w:rFonts w:asciiTheme="minorHAnsi" w:hAnsiTheme="minorHAnsi"/>
        </w:rPr>
        <w:t xml:space="preserve">discount </w:t>
      </w:r>
      <w:r w:rsidR="00721E39">
        <w:rPr>
          <w:rFonts w:asciiTheme="minorHAnsi" w:hAnsiTheme="minorHAnsi"/>
        </w:rPr>
        <w:t xml:space="preserve">(pursuant to a judge-made principle of law) </w:t>
      </w:r>
      <w:r w:rsidR="00721E39" w:rsidRPr="005E3610">
        <w:rPr>
          <w:rFonts w:asciiTheme="minorHAnsi" w:hAnsiTheme="minorHAnsi"/>
        </w:rPr>
        <w:t>would not be consistent with the requirement of s 16A(1) that a sentence be appropriate in its severity in all the circumstances of the case.</w:t>
      </w:r>
      <w:r w:rsidR="00721E39" w:rsidRPr="00C00000">
        <w:rPr>
          <w:rStyle w:val="Style"/>
          <w:rFonts w:asciiTheme="minorHAnsi" w:hAnsiTheme="minorHAnsi"/>
        </w:rPr>
        <w:footnoteReference w:id="48"/>
      </w:r>
    </w:p>
    <w:p w14:paraId="0C3D4BB1" w14:textId="77777777" w:rsidR="00721E39" w:rsidRPr="00C00000" w:rsidRDefault="00721E39" w:rsidP="00EB7F1E">
      <w:pPr>
        <w:pStyle w:val="ListParagraph"/>
        <w:rPr>
          <w:rFonts w:asciiTheme="minorHAnsi" w:hAnsiTheme="minorHAnsi"/>
        </w:rPr>
      </w:pPr>
    </w:p>
    <w:p w14:paraId="268D8AE9" w14:textId="77777777" w:rsidR="00721E39" w:rsidRPr="00C00000" w:rsidRDefault="00721E3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C00000">
        <w:rPr>
          <w:rFonts w:asciiTheme="minorHAnsi" w:hAnsiTheme="minorHAnsi"/>
          <w:i/>
          <w:noProof/>
          <w:szCs w:val="22"/>
        </w:rPr>
        <w:t>Atanackovic</w:t>
      </w:r>
      <w:r>
        <w:rPr>
          <w:rFonts w:asciiTheme="minorHAnsi" w:hAnsiTheme="minorHAnsi"/>
          <w:noProof/>
          <w:szCs w:val="22"/>
        </w:rPr>
        <w:t>,</w:t>
      </w:r>
      <w:r w:rsidRPr="000055BF">
        <w:rPr>
          <w:rStyle w:val="Style"/>
          <w:rFonts w:asciiTheme="minorHAnsi" w:hAnsiTheme="minorHAnsi"/>
          <w:iCs/>
        </w:rPr>
        <w:footnoteReference w:id="49"/>
      </w:r>
      <w:r w:rsidRPr="00C00000">
        <w:rPr>
          <w:rFonts w:asciiTheme="minorHAnsi" w:hAnsiTheme="minorHAnsi"/>
          <w:i/>
          <w:noProof/>
          <w:szCs w:val="22"/>
        </w:rPr>
        <w:t xml:space="preserve"> </w:t>
      </w:r>
      <w:r>
        <w:rPr>
          <w:rFonts w:asciiTheme="minorHAnsi" w:hAnsiTheme="minorHAnsi"/>
        </w:rPr>
        <w:t>t</w:t>
      </w:r>
      <w:r w:rsidRPr="00C00000">
        <w:rPr>
          <w:rFonts w:asciiTheme="minorHAnsi" w:hAnsiTheme="minorHAnsi"/>
        </w:rPr>
        <w:t xml:space="preserve">he </w:t>
      </w:r>
      <w:r>
        <w:rPr>
          <w:rFonts w:asciiTheme="minorHAnsi" w:hAnsiTheme="minorHAnsi"/>
        </w:rPr>
        <w:t xml:space="preserve">Victorian </w:t>
      </w:r>
      <w:r w:rsidRPr="00C00000">
        <w:rPr>
          <w:rFonts w:asciiTheme="minorHAnsi" w:hAnsiTheme="minorHAnsi"/>
        </w:rPr>
        <w:t xml:space="preserve">Court </w:t>
      </w:r>
      <w:r>
        <w:rPr>
          <w:rFonts w:asciiTheme="minorHAnsi" w:hAnsiTheme="minorHAnsi"/>
        </w:rPr>
        <w:t>of Appeal observed that, f</w:t>
      </w:r>
      <w:r w:rsidRPr="00D378EA">
        <w:rPr>
          <w:rFonts w:asciiTheme="minorHAnsi" w:hAnsiTheme="minorHAnsi"/>
        </w:rPr>
        <w:t xml:space="preserve">ollowing </w:t>
      </w:r>
      <w:r w:rsidRPr="00D378EA">
        <w:rPr>
          <w:rFonts w:asciiTheme="minorHAnsi" w:hAnsiTheme="minorHAnsi"/>
          <w:i/>
        </w:rPr>
        <w:t>Bui</w:t>
      </w:r>
      <w:r w:rsidRPr="00D378EA">
        <w:rPr>
          <w:rFonts w:asciiTheme="minorHAnsi" w:hAnsiTheme="minorHAnsi"/>
        </w:rPr>
        <w:t xml:space="preserve">, in order for a </w:t>
      </w:r>
      <w:r>
        <w:rPr>
          <w:rFonts w:asciiTheme="minorHAnsi" w:hAnsiTheme="minorHAnsi"/>
        </w:rPr>
        <w:t>State</w:t>
      </w:r>
      <w:r w:rsidRPr="00D378EA">
        <w:rPr>
          <w:rFonts w:asciiTheme="minorHAnsi" w:hAnsiTheme="minorHAnsi"/>
        </w:rPr>
        <w:t xml:space="preserve"> common law sentencing principle to apply to sentencing for federal offences, it must be “</w:t>
      </w:r>
      <w:r w:rsidRPr="00427921">
        <w:rPr>
          <w:rFonts w:asciiTheme="minorHAnsi" w:hAnsiTheme="minorHAnsi"/>
          <w:i/>
        </w:rPr>
        <w:t>accommodated</w:t>
      </w:r>
      <w:r w:rsidRPr="00D378EA">
        <w:rPr>
          <w:rFonts w:asciiTheme="minorHAnsi" w:hAnsiTheme="minorHAnsi"/>
        </w:rPr>
        <w:t xml:space="preserve">” by s 16A of the </w:t>
      </w:r>
      <w:r w:rsidRPr="00885EFD">
        <w:rPr>
          <w:rFonts w:asciiTheme="minorHAnsi" w:hAnsiTheme="minorHAnsi"/>
          <w:i/>
        </w:rPr>
        <w:t>Crimes Act 1914</w:t>
      </w:r>
      <w:r w:rsidRPr="00D378EA">
        <w:rPr>
          <w:rFonts w:asciiTheme="minorHAnsi" w:hAnsiTheme="minorHAnsi"/>
        </w:rPr>
        <w:t xml:space="preserve"> (Cth) or be “</w:t>
      </w:r>
      <w:r w:rsidRPr="00427921">
        <w:rPr>
          <w:rFonts w:asciiTheme="minorHAnsi" w:hAnsiTheme="minorHAnsi"/>
          <w:i/>
        </w:rPr>
        <w:t>picked up</w:t>
      </w:r>
      <w:r w:rsidRPr="00D378EA">
        <w:rPr>
          <w:rFonts w:asciiTheme="minorHAnsi" w:hAnsiTheme="minorHAnsi"/>
        </w:rPr>
        <w:t xml:space="preserve">” by s 80 of the </w:t>
      </w:r>
      <w:r w:rsidRPr="00EB54B4">
        <w:rPr>
          <w:rFonts w:asciiTheme="minorHAnsi" w:hAnsiTheme="minorHAnsi"/>
          <w:i/>
        </w:rPr>
        <w:t>Judiciary Act</w:t>
      </w:r>
      <w:r>
        <w:rPr>
          <w:rFonts w:asciiTheme="minorHAnsi" w:hAnsiTheme="minorHAnsi"/>
          <w:i/>
        </w:rPr>
        <w:t xml:space="preserve"> </w:t>
      </w:r>
      <w:r>
        <w:rPr>
          <w:rFonts w:asciiTheme="minorHAnsi" w:hAnsiTheme="minorHAnsi"/>
        </w:rPr>
        <w:t>1903 (Cth)</w:t>
      </w:r>
      <w:r w:rsidRPr="00D378EA">
        <w:rPr>
          <w:rFonts w:asciiTheme="minorHAnsi" w:hAnsiTheme="minorHAnsi"/>
        </w:rPr>
        <w:t>.</w:t>
      </w:r>
      <w:r>
        <w:rPr>
          <w:rFonts w:asciiTheme="minorHAnsi" w:hAnsiTheme="minorHAnsi"/>
        </w:rPr>
        <w:t xml:space="preserve">  The Court of Appeal in </w:t>
      </w:r>
      <w:r w:rsidRPr="00EB54B4">
        <w:rPr>
          <w:rFonts w:asciiTheme="minorHAnsi" w:hAnsiTheme="minorHAnsi"/>
          <w:i/>
        </w:rPr>
        <w:t>Atanackovic</w:t>
      </w:r>
      <w:r>
        <w:rPr>
          <w:rFonts w:asciiTheme="minorHAnsi" w:hAnsiTheme="minorHAnsi"/>
        </w:rPr>
        <w:t xml:space="preserve"> </w:t>
      </w:r>
      <w:r w:rsidRPr="00C00000">
        <w:rPr>
          <w:rFonts w:asciiTheme="minorHAnsi" w:hAnsiTheme="minorHAnsi"/>
        </w:rPr>
        <w:t>held that neither s 16A nor s 80 provide</w:t>
      </w:r>
      <w:r>
        <w:rPr>
          <w:rFonts w:asciiTheme="minorHAnsi" w:hAnsiTheme="minorHAnsi"/>
        </w:rPr>
        <w:t>d</w:t>
      </w:r>
      <w:r w:rsidRPr="00C00000">
        <w:rPr>
          <w:rFonts w:asciiTheme="minorHAnsi" w:hAnsiTheme="minorHAnsi"/>
        </w:rPr>
        <w:t xml:space="preserve"> a legal foundation for the application to the sentencing of Commonwealth offenders of </w:t>
      </w:r>
      <w:r>
        <w:rPr>
          <w:rFonts w:asciiTheme="minorHAnsi" w:hAnsiTheme="minorHAnsi"/>
        </w:rPr>
        <w:t>an earlier</w:t>
      </w:r>
      <w:r w:rsidRPr="00C00000">
        <w:rPr>
          <w:rFonts w:asciiTheme="minorHAnsi" w:hAnsiTheme="minorHAnsi"/>
        </w:rPr>
        <w:t xml:space="preserve"> guideline judgment </w:t>
      </w:r>
      <w:r>
        <w:rPr>
          <w:rFonts w:asciiTheme="minorHAnsi" w:hAnsiTheme="minorHAnsi"/>
        </w:rPr>
        <w:t>given by the Court</w:t>
      </w:r>
      <w:r w:rsidRPr="000055BF">
        <w:rPr>
          <w:rStyle w:val="Style"/>
          <w:rFonts w:asciiTheme="minorHAnsi" w:hAnsiTheme="minorHAnsi"/>
          <w:iCs/>
        </w:rPr>
        <w:footnoteReference w:id="50"/>
      </w:r>
      <w:r>
        <w:rPr>
          <w:rFonts w:asciiTheme="minorHAnsi" w:hAnsiTheme="minorHAnsi"/>
        </w:rPr>
        <w:t xml:space="preserve"> </w:t>
      </w:r>
      <w:r w:rsidRPr="00C00000">
        <w:rPr>
          <w:rFonts w:asciiTheme="minorHAnsi" w:hAnsiTheme="minorHAnsi"/>
        </w:rPr>
        <w:t xml:space="preserve">on </w:t>
      </w:r>
      <w:r>
        <w:rPr>
          <w:rFonts w:asciiTheme="minorHAnsi" w:hAnsiTheme="minorHAnsi"/>
        </w:rPr>
        <w:t xml:space="preserve">the use of </w:t>
      </w:r>
      <w:r w:rsidRPr="00C00000">
        <w:rPr>
          <w:rFonts w:asciiTheme="minorHAnsi" w:hAnsiTheme="minorHAnsi"/>
        </w:rPr>
        <w:t xml:space="preserve">community correction orders </w:t>
      </w:r>
      <w:r>
        <w:rPr>
          <w:rFonts w:asciiTheme="minorHAnsi" w:hAnsiTheme="minorHAnsi"/>
        </w:rPr>
        <w:t>in sentencing.</w:t>
      </w:r>
    </w:p>
    <w:p w14:paraId="1F16DCAC" w14:textId="77777777" w:rsidR="00721E39" w:rsidRPr="00C00000" w:rsidRDefault="00721E39" w:rsidP="00EB7F1E">
      <w:pPr>
        <w:pStyle w:val="ListParagraph"/>
        <w:rPr>
          <w:rFonts w:asciiTheme="minorHAnsi" w:hAnsiTheme="minorHAnsi"/>
        </w:rPr>
      </w:pPr>
    </w:p>
    <w:p w14:paraId="4B1C65A9" w14:textId="46AA9038" w:rsidR="00721E39" w:rsidRDefault="00721E3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a common law principle is applied by s 80 (to fill a gap in Commonwealth law), it would appear that the application of that principle could have the effect of excluding the application of a State or Territory law pursuant to s 68 or s 79 of the </w:t>
      </w:r>
      <w:r w:rsidRPr="005B763E">
        <w:rPr>
          <w:rFonts w:asciiTheme="minorHAnsi" w:hAnsiTheme="minorHAnsi"/>
          <w:i/>
        </w:rPr>
        <w:t>Judiciary Act</w:t>
      </w:r>
      <w:r>
        <w:rPr>
          <w:rFonts w:asciiTheme="minorHAnsi" w:hAnsiTheme="minorHAnsi"/>
        </w:rPr>
        <w:t>.</w:t>
      </w:r>
      <w:r w:rsidRPr="00C00000">
        <w:rPr>
          <w:rStyle w:val="Style"/>
          <w:rFonts w:asciiTheme="minorHAnsi" w:hAnsiTheme="minorHAnsi"/>
        </w:rPr>
        <w:footnoteReference w:id="51"/>
      </w:r>
      <w:r w:rsidR="001F5FEA">
        <w:rPr>
          <w:rFonts w:asciiTheme="minorHAnsi" w:hAnsiTheme="minorHAnsi"/>
        </w:rPr>
        <w:t xml:space="preserve">  Therefore it is necessary to consider whether common law principles apply before considering the application of any relevant State or Territory statute.</w:t>
      </w:r>
    </w:p>
    <w:p w14:paraId="1B74E08F" w14:textId="77777777" w:rsidR="00721E39" w:rsidRPr="004140DF" w:rsidRDefault="00721E39" w:rsidP="00721E39">
      <w:pPr>
        <w:pStyle w:val="ListParagraph"/>
        <w:rPr>
          <w:rFonts w:asciiTheme="minorHAnsi" w:hAnsiTheme="minorHAnsi"/>
        </w:rPr>
      </w:pPr>
    </w:p>
    <w:p w14:paraId="02F944F5" w14:textId="3B04BE59" w:rsidR="00362210" w:rsidRPr="00621E76" w:rsidRDefault="008A4107" w:rsidP="00D531E9">
      <w:pPr>
        <w:pStyle w:val="Heading2"/>
        <w:rPr>
          <w:rStyle w:val="Strong"/>
          <w:b/>
          <w:bCs w:val="0"/>
        </w:rPr>
      </w:pPr>
      <w:bookmarkStart w:id="51" w:name="_Ref9936362"/>
      <w:bookmarkStart w:id="52" w:name="_Ref9936364"/>
      <w:bookmarkStart w:id="53" w:name="_Ref11069933"/>
      <w:bookmarkStart w:id="54" w:name="_Ref11069936"/>
      <w:bookmarkStart w:id="55" w:name="_Toc33602748"/>
      <w:r w:rsidRPr="00621E76">
        <w:rPr>
          <w:rStyle w:val="Strong"/>
          <w:b/>
          <w:bCs w:val="0"/>
        </w:rPr>
        <w:t xml:space="preserve">Commonwealth provisions which apply relevant </w:t>
      </w:r>
      <w:r w:rsidR="00362210" w:rsidRPr="00621E76">
        <w:rPr>
          <w:rStyle w:val="Strong"/>
          <w:b/>
          <w:bCs w:val="0"/>
        </w:rPr>
        <w:t>State and Territory laws</w:t>
      </w:r>
      <w:bookmarkEnd w:id="49"/>
      <w:bookmarkEnd w:id="50"/>
      <w:bookmarkEnd w:id="51"/>
      <w:bookmarkEnd w:id="52"/>
      <w:bookmarkEnd w:id="53"/>
      <w:bookmarkEnd w:id="54"/>
      <w:bookmarkEnd w:id="55"/>
    </w:p>
    <w:p w14:paraId="2FD71F01" w14:textId="77777777" w:rsidR="001E337B" w:rsidRPr="00621E76" w:rsidRDefault="001E337B" w:rsidP="00576EEE">
      <w:pPr>
        <w:pStyle w:val="BodyText"/>
        <w:keepNext/>
        <w:spacing w:line="276" w:lineRule="auto"/>
        <w:ind w:right="170"/>
        <w:jc w:val="both"/>
        <w:rPr>
          <w:rFonts w:asciiTheme="minorHAnsi" w:hAnsiTheme="minorHAnsi"/>
        </w:rPr>
      </w:pPr>
    </w:p>
    <w:p w14:paraId="0CC7E1A3" w14:textId="05D98489" w:rsidR="00174709" w:rsidRPr="00621E76" w:rsidRDefault="00174709"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State and Territory laws relating to the sentencing of offenders can have no application of their own force to the sentencing of a federal offender.</w:t>
      </w:r>
      <w:r w:rsidRPr="00621E76">
        <w:rPr>
          <w:rStyle w:val="Style"/>
          <w:rFonts w:asciiTheme="minorHAnsi" w:hAnsiTheme="minorHAnsi"/>
        </w:rPr>
        <w:footnoteReference w:id="52"/>
      </w:r>
      <w:r w:rsidRPr="00621E76">
        <w:rPr>
          <w:rFonts w:asciiTheme="minorHAnsi" w:hAnsiTheme="minorHAnsi"/>
        </w:rPr>
        <w:t xml:space="preserve">  However such laws may be applied as “</w:t>
      </w:r>
      <w:r w:rsidRPr="00621E76">
        <w:rPr>
          <w:rFonts w:asciiTheme="minorHAnsi" w:hAnsiTheme="minorHAnsi"/>
          <w:i/>
        </w:rPr>
        <w:t>surrogate federal law</w:t>
      </w:r>
      <w:r w:rsidRPr="00621E76">
        <w:rPr>
          <w:rFonts w:asciiTheme="minorHAnsi" w:hAnsiTheme="minorHAnsi"/>
        </w:rPr>
        <w:t>”</w:t>
      </w:r>
      <w:r w:rsidRPr="00621E76">
        <w:rPr>
          <w:rStyle w:val="Style"/>
          <w:rFonts w:asciiTheme="minorHAnsi" w:hAnsiTheme="minorHAnsi"/>
        </w:rPr>
        <w:footnoteReference w:id="53"/>
      </w:r>
      <w:r w:rsidRPr="00621E76">
        <w:rPr>
          <w:rFonts w:asciiTheme="minorHAnsi" w:hAnsiTheme="minorHAnsi"/>
        </w:rPr>
        <w:t xml:space="preserve"> to the sentencing of a federal offender if a law of the Commonwealth so provides.</w:t>
      </w:r>
      <w:r w:rsidRPr="00621E76">
        <w:rPr>
          <w:rStyle w:val="Style"/>
          <w:rFonts w:asciiTheme="minorHAnsi" w:hAnsiTheme="minorHAnsi"/>
        </w:rPr>
        <w:footnoteReference w:id="54"/>
      </w:r>
      <w:r w:rsidRPr="00621E76">
        <w:rPr>
          <w:rFonts w:asciiTheme="minorHAnsi" w:hAnsiTheme="minorHAnsi"/>
        </w:rPr>
        <w:t xml:space="preserve">  A number of Commonwealth laws do so; those laws take various forms.</w:t>
      </w:r>
      <w:r w:rsidRPr="00621E76">
        <w:rPr>
          <w:rStyle w:val="Style"/>
          <w:rFonts w:asciiTheme="minorHAnsi" w:hAnsiTheme="minorHAnsi"/>
        </w:rPr>
        <w:footnoteReference w:id="55"/>
      </w:r>
    </w:p>
    <w:p w14:paraId="04BE4008" w14:textId="77777777" w:rsidR="00174709" w:rsidRPr="00621E76" w:rsidRDefault="00174709" w:rsidP="00EB7F1E">
      <w:pPr>
        <w:pStyle w:val="BodyText"/>
        <w:spacing w:line="276" w:lineRule="auto"/>
        <w:ind w:right="170"/>
        <w:jc w:val="both"/>
        <w:rPr>
          <w:rFonts w:asciiTheme="minorHAnsi" w:hAnsiTheme="minorHAnsi"/>
        </w:rPr>
      </w:pPr>
    </w:p>
    <w:p w14:paraId="5D300973" w14:textId="103F5938" w:rsidR="00170D87" w:rsidRPr="00621E76" w:rsidRDefault="00174709"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In relation to the sentencing of federal offenders, the most important Commonwealth provisions which apply State and Territory laws are ss 68 and 79 of the </w:t>
      </w:r>
      <w:r w:rsidRPr="00621E76">
        <w:rPr>
          <w:rFonts w:asciiTheme="minorHAnsi" w:hAnsiTheme="minorHAnsi"/>
          <w:i/>
        </w:rPr>
        <w:t>Judiciary Act 1903</w:t>
      </w:r>
      <w:r w:rsidRPr="00621E76">
        <w:rPr>
          <w:rFonts w:asciiTheme="minorHAnsi" w:hAnsiTheme="minorHAnsi"/>
        </w:rPr>
        <w:t xml:space="preserve"> (Cth)</w:t>
      </w:r>
      <w:r w:rsidR="00C06024" w:rsidRPr="00621E76">
        <w:rPr>
          <w:rFonts w:asciiTheme="minorHAnsi" w:hAnsiTheme="minorHAnsi"/>
        </w:rPr>
        <w:t xml:space="preserve">. </w:t>
      </w:r>
      <w:r w:rsidRPr="00621E76">
        <w:rPr>
          <w:rFonts w:asciiTheme="minorHAnsi" w:hAnsiTheme="minorHAnsi"/>
        </w:rPr>
        <w:t xml:space="preserve"> </w:t>
      </w:r>
      <w:r w:rsidR="00721E39" w:rsidRPr="00621E76">
        <w:rPr>
          <w:rFonts w:asciiTheme="minorHAnsi" w:hAnsiTheme="minorHAnsi"/>
        </w:rPr>
        <w:t xml:space="preserve">These provisions are discussed in </w:t>
      </w:r>
      <w:r w:rsidR="00170D87" w:rsidRPr="00621E76">
        <w:rPr>
          <w:rFonts w:asciiTheme="minorHAnsi" w:hAnsiTheme="minorHAnsi"/>
        </w:rPr>
        <w:t>“</w:t>
      </w:r>
      <w:r w:rsidR="00170D87" w:rsidRPr="00621E76">
        <w:rPr>
          <w:rFonts w:asciiTheme="minorHAnsi" w:hAnsiTheme="minorHAnsi"/>
        </w:rPr>
        <w:fldChar w:fldCharType="begin"/>
      </w:r>
      <w:r w:rsidR="00170D87" w:rsidRPr="00621E76">
        <w:rPr>
          <w:rFonts w:asciiTheme="minorHAnsi" w:hAnsiTheme="minorHAnsi"/>
        </w:rPr>
        <w:instrText xml:space="preserve"> REF _Ref494532906 \r \h  \* MERGEFORMAT </w:instrText>
      </w:r>
      <w:r w:rsidR="00170D87" w:rsidRPr="00621E76">
        <w:rPr>
          <w:rFonts w:asciiTheme="minorHAnsi" w:hAnsiTheme="minorHAnsi"/>
        </w:rPr>
      </w:r>
      <w:r w:rsidR="00170D87" w:rsidRPr="00621E76">
        <w:rPr>
          <w:rFonts w:asciiTheme="minorHAnsi" w:hAnsiTheme="minorHAnsi"/>
        </w:rPr>
        <w:fldChar w:fldCharType="separate"/>
      </w:r>
      <w:r w:rsidR="00D44BCF">
        <w:rPr>
          <w:rFonts w:asciiTheme="minorHAnsi" w:hAnsiTheme="minorHAnsi"/>
        </w:rPr>
        <w:t>2.7</w:t>
      </w:r>
      <w:r w:rsidR="00170D87" w:rsidRPr="00621E76">
        <w:rPr>
          <w:rFonts w:asciiTheme="minorHAnsi" w:hAnsiTheme="minorHAnsi"/>
        </w:rPr>
        <w:fldChar w:fldCharType="end"/>
      </w:r>
      <w:r w:rsidR="00170D87" w:rsidRPr="00621E76">
        <w:rPr>
          <w:rFonts w:asciiTheme="minorHAnsi" w:hAnsiTheme="minorHAnsi"/>
        </w:rPr>
        <w:t xml:space="preserve"> </w:t>
      </w:r>
      <w:r w:rsidR="00170D87" w:rsidRPr="00621E76">
        <w:rPr>
          <w:rFonts w:asciiTheme="minorHAnsi" w:hAnsiTheme="minorHAnsi"/>
        </w:rPr>
        <w:fldChar w:fldCharType="begin"/>
      </w:r>
      <w:r w:rsidR="00170D87" w:rsidRPr="00621E76">
        <w:rPr>
          <w:rFonts w:asciiTheme="minorHAnsi" w:hAnsiTheme="minorHAnsi"/>
        </w:rPr>
        <w:instrText xml:space="preserve"> REF _Ref494532906 \h  \* MERGEFORMAT </w:instrText>
      </w:r>
      <w:r w:rsidR="00170D87" w:rsidRPr="00621E76">
        <w:rPr>
          <w:rFonts w:asciiTheme="minorHAnsi" w:hAnsiTheme="minorHAnsi"/>
        </w:rPr>
      </w:r>
      <w:r w:rsidR="00170D87" w:rsidRPr="00621E76">
        <w:rPr>
          <w:rFonts w:asciiTheme="minorHAnsi" w:hAnsiTheme="minorHAnsi"/>
        </w:rPr>
        <w:fldChar w:fldCharType="separate"/>
      </w:r>
      <w:r w:rsidR="00D44BCF" w:rsidRPr="00D44BCF">
        <w:rPr>
          <w:rFonts w:asciiTheme="minorHAnsi" w:hAnsiTheme="minorHAnsi"/>
        </w:rPr>
        <w:t>The application of State and Territory laws by Judiciary Act 1903, ss 68 and</w:t>
      </w:r>
      <w:r w:rsidR="00D44BCF" w:rsidRPr="00D44BCF">
        <w:rPr>
          <w:rStyle w:val="Strong"/>
          <w:rFonts w:ascii="Calibri" w:hAnsi="Calibri"/>
          <w:b w:val="0"/>
          <w:bCs w:val="0"/>
        </w:rPr>
        <w:t xml:space="preserve"> 79</w:t>
      </w:r>
      <w:r w:rsidR="00170D87" w:rsidRPr="00621E76">
        <w:rPr>
          <w:rFonts w:asciiTheme="minorHAnsi" w:hAnsiTheme="minorHAnsi"/>
        </w:rPr>
        <w:fldChar w:fldCharType="end"/>
      </w:r>
      <w:r w:rsidR="00170D87" w:rsidRPr="00621E76">
        <w:rPr>
          <w:rFonts w:asciiTheme="minorHAnsi" w:hAnsiTheme="minorHAnsi"/>
        </w:rPr>
        <w:t>”)</w:t>
      </w:r>
    </w:p>
    <w:p w14:paraId="72EEC202" w14:textId="77777777" w:rsidR="00170D87" w:rsidRPr="00621E76" w:rsidRDefault="00170D87" w:rsidP="00EB7F1E">
      <w:pPr>
        <w:pStyle w:val="ListParagraph"/>
        <w:rPr>
          <w:rFonts w:asciiTheme="minorHAnsi" w:hAnsiTheme="minorHAnsi"/>
        </w:rPr>
      </w:pPr>
    </w:p>
    <w:p w14:paraId="3E00DA5C" w14:textId="690E1B09" w:rsidR="00C06024" w:rsidRPr="00621E76" w:rsidRDefault="00C06024"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Other important Commonwealth provisions which apply State/Territory laws in particular circumstances include:</w:t>
      </w:r>
    </w:p>
    <w:p w14:paraId="4BCBFBBB" w14:textId="674A2938" w:rsidR="004D4B57" w:rsidRPr="00621E76" w:rsidRDefault="00A91A7E"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s</w:t>
      </w:r>
      <w:r w:rsidR="004D4B57" w:rsidRPr="00621E76">
        <w:rPr>
          <w:rFonts w:asciiTheme="minorHAnsi" w:hAnsiTheme="minorHAnsi"/>
        </w:rPr>
        <w:t xml:space="preserve"> 15</w:t>
      </w:r>
      <w:r w:rsidRPr="00621E76">
        <w:rPr>
          <w:rFonts w:asciiTheme="minorHAnsi" w:hAnsiTheme="minorHAnsi"/>
        </w:rPr>
        <w:t>A</w:t>
      </w:r>
      <w:r w:rsidR="004D4B57" w:rsidRPr="00621E76">
        <w:rPr>
          <w:rFonts w:asciiTheme="minorHAnsi" w:hAnsiTheme="minorHAnsi"/>
        </w:rPr>
        <w:t xml:space="preserve"> of the </w:t>
      </w:r>
      <w:r w:rsidR="004D4B57" w:rsidRPr="00621E76">
        <w:rPr>
          <w:rFonts w:asciiTheme="minorHAnsi" w:hAnsiTheme="minorHAnsi"/>
          <w:i/>
        </w:rPr>
        <w:t>Crimes Act 1914</w:t>
      </w:r>
      <w:r w:rsidR="004D4B57" w:rsidRPr="00621E76">
        <w:rPr>
          <w:rFonts w:asciiTheme="minorHAnsi" w:hAnsiTheme="minorHAnsi"/>
        </w:rPr>
        <w:t>, w</w:t>
      </w:r>
      <w:r w:rsidRPr="00621E76">
        <w:rPr>
          <w:rFonts w:asciiTheme="minorHAnsi" w:hAnsiTheme="minorHAnsi"/>
        </w:rPr>
        <w:t>h</w:t>
      </w:r>
      <w:r w:rsidR="004D4B57" w:rsidRPr="00621E76">
        <w:rPr>
          <w:rFonts w:asciiTheme="minorHAnsi" w:hAnsiTheme="minorHAnsi"/>
        </w:rPr>
        <w:t>ich applies State/Territory laws relating to the enforcement of fines</w:t>
      </w:r>
      <w:r w:rsidRPr="00621E76">
        <w:rPr>
          <w:rFonts w:asciiTheme="minorHAnsi" w:hAnsiTheme="minorHAnsi"/>
        </w:rPr>
        <w:t xml:space="preserve"> to a fine imposed on a federal offender (see “</w:t>
      </w:r>
      <w:r w:rsidRPr="00621E76">
        <w:rPr>
          <w:rFonts w:asciiTheme="minorHAnsi" w:hAnsiTheme="minorHAnsi"/>
        </w:rPr>
        <w:fldChar w:fldCharType="begin"/>
      </w:r>
      <w:r w:rsidRPr="00621E76">
        <w:rPr>
          <w:rFonts w:asciiTheme="minorHAnsi" w:hAnsiTheme="minorHAnsi"/>
        </w:rPr>
        <w:instrText xml:space="preserve"> REF _Ref8119346 \r \h </w:instrText>
      </w:r>
      <w:r w:rsidR="00534A39" w:rsidRPr="00621E76">
        <w:rPr>
          <w:rFonts w:asciiTheme="minorHAnsi" w:hAnsiTheme="minorHAnsi"/>
        </w:rPr>
        <w:instrText xml:space="preserve"> \* MERGEFORMAT </w:instrText>
      </w:r>
      <w:r w:rsidRPr="00621E76">
        <w:rPr>
          <w:rFonts w:asciiTheme="minorHAnsi" w:hAnsiTheme="minorHAnsi"/>
        </w:rPr>
      </w:r>
      <w:r w:rsidRPr="00621E76">
        <w:rPr>
          <w:rFonts w:asciiTheme="minorHAnsi" w:hAnsiTheme="minorHAnsi"/>
        </w:rPr>
        <w:fldChar w:fldCharType="separate"/>
      </w:r>
      <w:r w:rsidR="00D44BCF">
        <w:rPr>
          <w:rFonts w:asciiTheme="minorHAnsi" w:hAnsiTheme="minorHAnsi"/>
        </w:rPr>
        <w:t>5.6.7</w:t>
      </w:r>
      <w:r w:rsidRPr="00621E76">
        <w:rPr>
          <w:rFonts w:asciiTheme="minorHAnsi" w:hAnsiTheme="minorHAnsi"/>
        </w:rPr>
        <w:fldChar w:fldCharType="end"/>
      </w:r>
      <w:r w:rsidRPr="00621E76">
        <w:rPr>
          <w:rFonts w:asciiTheme="minorHAnsi" w:hAnsiTheme="minorHAnsi"/>
        </w:rPr>
        <w:t xml:space="preserve"> </w:t>
      </w:r>
      <w:r w:rsidRPr="00621E76">
        <w:rPr>
          <w:rFonts w:asciiTheme="minorHAnsi" w:hAnsiTheme="minorHAnsi"/>
        </w:rPr>
        <w:fldChar w:fldCharType="begin"/>
      </w:r>
      <w:r w:rsidRPr="00621E76">
        <w:rPr>
          <w:rFonts w:asciiTheme="minorHAnsi" w:hAnsiTheme="minorHAnsi"/>
        </w:rPr>
        <w:instrText xml:space="preserve"> REF _Ref8119349 \h </w:instrText>
      </w:r>
      <w:r w:rsidR="00534A39" w:rsidRPr="00621E76">
        <w:rPr>
          <w:rFonts w:asciiTheme="minorHAnsi" w:hAnsiTheme="minorHAnsi"/>
        </w:rPr>
        <w:instrText xml:space="preserve"> \* MERGEFORMAT </w:instrText>
      </w:r>
      <w:r w:rsidRPr="00621E76">
        <w:rPr>
          <w:rFonts w:asciiTheme="minorHAnsi" w:hAnsiTheme="minorHAnsi"/>
        </w:rPr>
      </w:r>
      <w:r w:rsidRPr="00621E76">
        <w:rPr>
          <w:rFonts w:asciiTheme="minorHAnsi" w:hAnsiTheme="minorHAnsi"/>
        </w:rPr>
        <w:fldChar w:fldCharType="separate"/>
      </w:r>
      <w:r w:rsidR="00D44BCF" w:rsidRPr="00D44BCF">
        <w:rPr>
          <w:rFonts w:asciiTheme="minorHAnsi" w:hAnsiTheme="minorHAnsi"/>
        </w:rPr>
        <w:t>Enforcement of fines – Crimes Act 1914, s 15A</w:t>
      </w:r>
      <w:r w:rsidRPr="00621E76">
        <w:rPr>
          <w:rFonts w:asciiTheme="minorHAnsi" w:hAnsiTheme="minorHAnsi"/>
        </w:rPr>
        <w:fldChar w:fldCharType="end"/>
      </w:r>
      <w:r w:rsidRPr="00621E76">
        <w:rPr>
          <w:rFonts w:asciiTheme="minorHAnsi" w:hAnsiTheme="minorHAnsi"/>
        </w:rPr>
        <w:t>”);</w:t>
      </w:r>
    </w:p>
    <w:p w14:paraId="47BC5BA4" w14:textId="4FF06571" w:rsidR="00174709" w:rsidRPr="00621E76" w:rsidRDefault="00174709"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 xml:space="preserve">s 20AB of the </w:t>
      </w:r>
      <w:r w:rsidRPr="00621E76">
        <w:rPr>
          <w:rFonts w:asciiTheme="minorHAnsi" w:hAnsiTheme="minorHAnsi"/>
          <w:i/>
        </w:rPr>
        <w:t xml:space="preserve">Crimes </w:t>
      </w:r>
      <w:r w:rsidR="00C06024" w:rsidRPr="00621E76">
        <w:rPr>
          <w:rFonts w:asciiTheme="minorHAnsi" w:hAnsiTheme="minorHAnsi"/>
          <w:i/>
        </w:rPr>
        <w:t>Act 1914</w:t>
      </w:r>
      <w:r w:rsidR="00C06024" w:rsidRPr="00621E76">
        <w:rPr>
          <w:rFonts w:asciiTheme="minorHAnsi" w:hAnsiTheme="minorHAnsi"/>
        </w:rPr>
        <w:t>, which applies certain State/Territor</w:t>
      </w:r>
      <w:r w:rsidR="00863C5C" w:rsidRPr="00621E76">
        <w:rPr>
          <w:rFonts w:asciiTheme="minorHAnsi" w:hAnsiTheme="minorHAnsi"/>
        </w:rPr>
        <w:t>y</w:t>
      </w:r>
      <w:r w:rsidR="00C06024" w:rsidRPr="00621E76">
        <w:rPr>
          <w:rFonts w:asciiTheme="minorHAnsi" w:hAnsiTheme="minorHAnsi"/>
        </w:rPr>
        <w:t xml:space="preserve"> sentencing options</w:t>
      </w:r>
      <w:r w:rsidR="00170D87" w:rsidRPr="00621E76">
        <w:rPr>
          <w:rFonts w:asciiTheme="minorHAnsi" w:hAnsiTheme="minorHAnsi"/>
        </w:rPr>
        <w:t xml:space="preserve"> (see “</w:t>
      </w:r>
      <w:r w:rsidR="00170D87" w:rsidRPr="00621E76">
        <w:rPr>
          <w:rFonts w:asciiTheme="minorHAnsi" w:hAnsiTheme="minorHAnsi"/>
        </w:rPr>
        <w:fldChar w:fldCharType="begin"/>
      </w:r>
      <w:r w:rsidR="00170D87" w:rsidRPr="00621E76">
        <w:rPr>
          <w:rFonts w:asciiTheme="minorHAnsi" w:hAnsiTheme="minorHAnsi"/>
        </w:rPr>
        <w:instrText xml:space="preserve"> REF _Ref492478336 \r \h </w:instrText>
      </w:r>
      <w:r w:rsidR="0063752A" w:rsidRPr="00621E76">
        <w:rPr>
          <w:rFonts w:asciiTheme="minorHAnsi" w:hAnsiTheme="minorHAnsi"/>
        </w:rPr>
        <w:instrText xml:space="preserve"> \* MERGEFORMAT </w:instrText>
      </w:r>
      <w:r w:rsidR="00170D87" w:rsidRPr="00621E76">
        <w:rPr>
          <w:rFonts w:asciiTheme="minorHAnsi" w:hAnsiTheme="minorHAnsi"/>
        </w:rPr>
      </w:r>
      <w:r w:rsidR="00170D87" w:rsidRPr="00621E76">
        <w:rPr>
          <w:rFonts w:asciiTheme="minorHAnsi" w:hAnsiTheme="minorHAnsi"/>
        </w:rPr>
        <w:fldChar w:fldCharType="separate"/>
      </w:r>
      <w:r w:rsidR="00D44BCF">
        <w:rPr>
          <w:rFonts w:asciiTheme="minorHAnsi" w:hAnsiTheme="minorHAnsi"/>
        </w:rPr>
        <w:t>5.7</w:t>
      </w:r>
      <w:r w:rsidR="00170D87" w:rsidRPr="00621E76">
        <w:rPr>
          <w:rFonts w:asciiTheme="minorHAnsi" w:hAnsiTheme="minorHAnsi"/>
        </w:rPr>
        <w:fldChar w:fldCharType="end"/>
      </w:r>
      <w:r w:rsidR="00170D87" w:rsidRPr="00621E76">
        <w:rPr>
          <w:rFonts w:asciiTheme="minorHAnsi" w:hAnsiTheme="minorHAnsi"/>
        </w:rPr>
        <w:t xml:space="preserve"> </w:t>
      </w:r>
      <w:r w:rsidR="00170D87" w:rsidRPr="00621E76">
        <w:rPr>
          <w:rFonts w:asciiTheme="minorHAnsi" w:hAnsiTheme="minorHAnsi"/>
        </w:rPr>
        <w:fldChar w:fldCharType="begin"/>
      </w:r>
      <w:r w:rsidR="00170D87" w:rsidRPr="00621E76">
        <w:rPr>
          <w:rFonts w:asciiTheme="minorHAnsi" w:hAnsiTheme="minorHAnsi"/>
        </w:rPr>
        <w:instrText xml:space="preserve"> REF _Ref492478336 \h  \* MERGEFORMAT </w:instrText>
      </w:r>
      <w:r w:rsidR="00170D87" w:rsidRPr="00621E76">
        <w:rPr>
          <w:rFonts w:asciiTheme="minorHAnsi" w:hAnsiTheme="minorHAnsi"/>
        </w:rPr>
      </w:r>
      <w:r w:rsidR="00170D87" w:rsidRPr="00621E76">
        <w:rPr>
          <w:rFonts w:asciiTheme="minorHAnsi" w:hAnsiTheme="minorHAnsi"/>
        </w:rPr>
        <w:fldChar w:fldCharType="separate"/>
      </w:r>
      <w:r w:rsidR="00D44BCF" w:rsidRPr="00D44BCF">
        <w:rPr>
          <w:rFonts w:asciiTheme="minorHAnsi" w:hAnsiTheme="minorHAnsi"/>
        </w:rPr>
        <w:t>Orders applied by Crimes Act 1914, s.20AB</w:t>
      </w:r>
      <w:r w:rsidR="00170D87" w:rsidRPr="00621E76">
        <w:rPr>
          <w:rFonts w:asciiTheme="minorHAnsi" w:hAnsiTheme="minorHAnsi"/>
        </w:rPr>
        <w:fldChar w:fldCharType="end"/>
      </w:r>
      <w:r w:rsidR="00170D87" w:rsidRPr="00621E76">
        <w:rPr>
          <w:rFonts w:asciiTheme="minorHAnsi" w:hAnsiTheme="minorHAnsi"/>
        </w:rPr>
        <w:t>”)</w:t>
      </w:r>
      <w:r w:rsidR="00C06024" w:rsidRPr="00621E76">
        <w:rPr>
          <w:rFonts w:asciiTheme="minorHAnsi" w:hAnsiTheme="minorHAnsi"/>
        </w:rPr>
        <w:t>;</w:t>
      </w:r>
    </w:p>
    <w:p w14:paraId="21DD6162" w14:textId="47978612" w:rsidR="0051740F" w:rsidRPr="00621E76" w:rsidRDefault="004D4B57"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 xml:space="preserve">s 16E of the </w:t>
      </w:r>
      <w:r w:rsidRPr="00621E76">
        <w:rPr>
          <w:rFonts w:asciiTheme="minorHAnsi" w:hAnsiTheme="minorHAnsi"/>
          <w:i/>
        </w:rPr>
        <w:t>Crimes Act 1914</w:t>
      </w:r>
      <w:r w:rsidRPr="00621E76">
        <w:rPr>
          <w:rFonts w:asciiTheme="minorHAnsi" w:hAnsiTheme="minorHAnsi"/>
        </w:rPr>
        <w:t>, which applies State or Territory law relating to the credit to be given for pre-sentence custody for the offence (see “</w:t>
      </w:r>
      <w:r w:rsidRPr="00621E76">
        <w:rPr>
          <w:rFonts w:asciiTheme="minorHAnsi" w:hAnsiTheme="minorHAnsi"/>
        </w:rPr>
        <w:fldChar w:fldCharType="begin"/>
      </w:r>
      <w:r w:rsidRPr="00621E76">
        <w:rPr>
          <w:rFonts w:asciiTheme="minorHAnsi" w:hAnsiTheme="minorHAnsi"/>
        </w:rPr>
        <w:instrText xml:space="preserve"> REF _Ref504752166 \r \h  \* MERGEFORMAT </w:instrText>
      </w:r>
      <w:r w:rsidRPr="00621E76">
        <w:rPr>
          <w:rFonts w:asciiTheme="minorHAnsi" w:hAnsiTheme="minorHAnsi"/>
        </w:rPr>
      </w:r>
      <w:r w:rsidRPr="00621E76">
        <w:rPr>
          <w:rFonts w:asciiTheme="minorHAnsi" w:hAnsiTheme="minorHAnsi"/>
        </w:rPr>
        <w:fldChar w:fldCharType="separate"/>
      </w:r>
      <w:r w:rsidR="00D44BCF">
        <w:rPr>
          <w:rFonts w:asciiTheme="minorHAnsi" w:hAnsiTheme="minorHAnsi"/>
        </w:rPr>
        <w:t>5.8.9</w:t>
      </w:r>
      <w:r w:rsidRPr="00621E76">
        <w:rPr>
          <w:rFonts w:asciiTheme="minorHAnsi" w:hAnsiTheme="minorHAnsi"/>
        </w:rPr>
        <w:fldChar w:fldCharType="end"/>
      </w:r>
      <w:r w:rsidRPr="00621E76">
        <w:rPr>
          <w:rFonts w:asciiTheme="minorHAnsi" w:hAnsiTheme="minorHAnsi"/>
        </w:rPr>
        <w:t xml:space="preserve"> </w:t>
      </w:r>
      <w:r w:rsidRPr="00621E76">
        <w:rPr>
          <w:rFonts w:asciiTheme="minorHAnsi" w:hAnsiTheme="minorHAnsi"/>
        </w:rPr>
        <w:fldChar w:fldCharType="begin"/>
      </w:r>
      <w:r w:rsidRPr="00621E76">
        <w:rPr>
          <w:rFonts w:asciiTheme="minorHAnsi" w:hAnsiTheme="minorHAnsi"/>
        </w:rPr>
        <w:instrText xml:space="preserve"> REF _Ref504752166 \h  \* MERGEFORMAT </w:instrText>
      </w:r>
      <w:r w:rsidRPr="00621E76">
        <w:rPr>
          <w:rFonts w:asciiTheme="minorHAnsi" w:hAnsiTheme="minorHAnsi"/>
        </w:rPr>
      </w:r>
      <w:r w:rsidRPr="00621E76">
        <w:rPr>
          <w:rFonts w:asciiTheme="minorHAnsi" w:hAnsiTheme="minorHAnsi"/>
        </w:rPr>
        <w:fldChar w:fldCharType="separate"/>
      </w:r>
      <w:r w:rsidR="00D44BCF" w:rsidRPr="00D44BCF">
        <w:rPr>
          <w:rFonts w:asciiTheme="minorHAnsi" w:hAnsiTheme="minorHAnsi"/>
        </w:rPr>
        <w:t>Credit for pre-sentence custody for the offence</w:t>
      </w:r>
      <w:r w:rsidRPr="00621E76">
        <w:rPr>
          <w:rFonts w:asciiTheme="minorHAnsi" w:hAnsiTheme="minorHAnsi"/>
        </w:rPr>
        <w:fldChar w:fldCharType="end"/>
      </w:r>
      <w:r w:rsidRPr="00621E76">
        <w:rPr>
          <w:rFonts w:asciiTheme="minorHAnsi" w:hAnsiTheme="minorHAnsi"/>
        </w:rPr>
        <w:t>”);</w:t>
      </w:r>
    </w:p>
    <w:p w14:paraId="34594BD9" w14:textId="345F57C1" w:rsidR="00C06024" w:rsidRPr="00621E76" w:rsidRDefault="00C06024"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 xml:space="preserve">S 20C of the Crimes Act 1914, which allows for a child or young person charged with </w:t>
      </w:r>
      <w:r w:rsidR="0051740F" w:rsidRPr="00621E76">
        <w:rPr>
          <w:rFonts w:asciiTheme="minorHAnsi" w:hAnsiTheme="minorHAnsi"/>
        </w:rPr>
        <w:t>or convicted of a Commonwealth offence to be “</w:t>
      </w:r>
      <w:r w:rsidR="0051740F" w:rsidRPr="00621E76">
        <w:rPr>
          <w:rFonts w:asciiTheme="minorHAnsi" w:hAnsiTheme="minorHAnsi"/>
          <w:i/>
        </w:rPr>
        <w:t>tried, punished or otherwise dealt with as if the offence were an offence against a law of the State or Territory</w:t>
      </w:r>
      <w:r w:rsidR="0051740F" w:rsidRPr="00621E76">
        <w:rPr>
          <w:rFonts w:asciiTheme="minorHAnsi" w:hAnsiTheme="minorHAnsi"/>
        </w:rPr>
        <w:t>” (see “</w:t>
      </w:r>
      <w:r w:rsidR="0051740F" w:rsidRPr="00621E76">
        <w:rPr>
          <w:rFonts w:asciiTheme="minorHAnsi" w:hAnsiTheme="minorHAnsi"/>
        </w:rPr>
        <w:fldChar w:fldCharType="begin"/>
      </w:r>
      <w:r w:rsidR="0051740F" w:rsidRPr="00621E76">
        <w:rPr>
          <w:rFonts w:asciiTheme="minorHAnsi" w:hAnsiTheme="minorHAnsi"/>
        </w:rPr>
        <w:instrText xml:space="preserve"> REF _Ref492478391 \r \h </w:instrText>
      </w:r>
      <w:r w:rsidR="0063752A" w:rsidRPr="00621E76">
        <w:rPr>
          <w:rFonts w:asciiTheme="minorHAnsi" w:hAnsiTheme="minorHAnsi"/>
        </w:rPr>
        <w:instrText xml:space="preserve"> \* MERGEFORMAT </w:instrText>
      </w:r>
      <w:r w:rsidR="0051740F" w:rsidRPr="00621E76">
        <w:rPr>
          <w:rFonts w:asciiTheme="minorHAnsi" w:hAnsiTheme="minorHAnsi"/>
        </w:rPr>
      </w:r>
      <w:r w:rsidR="0051740F" w:rsidRPr="00621E76">
        <w:rPr>
          <w:rFonts w:asciiTheme="minorHAnsi" w:hAnsiTheme="minorHAnsi"/>
        </w:rPr>
        <w:fldChar w:fldCharType="separate"/>
      </w:r>
      <w:r w:rsidR="00D44BCF">
        <w:rPr>
          <w:rFonts w:asciiTheme="minorHAnsi" w:hAnsiTheme="minorHAnsi"/>
        </w:rPr>
        <w:t>8.2</w:t>
      </w:r>
      <w:r w:rsidR="0051740F" w:rsidRPr="00621E76">
        <w:rPr>
          <w:rFonts w:asciiTheme="minorHAnsi" w:hAnsiTheme="minorHAnsi"/>
        </w:rPr>
        <w:fldChar w:fldCharType="end"/>
      </w:r>
      <w:r w:rsidR="0051740F" w:rsidRPr="00621E76">
        <w:rPr>
          <w:rFonts w:asciiTheme="minorHAnsi" w:hAnsiTheme="minorHAnsi"/>
        </w:rPr>
        <w:t xml:space="preserve"> </w:t>
      </w:r>
      <w:r w:rsidR="0051740F" w:rsidRPr="00621E76">
        <w:rPr>
          <w:rFonts w:asciiTheme="minorHAnsi" w:hAnsiTheme="minorHAnsi"/>
        </w:rPr>
        <w:fldChar w:fldCharType="begin"/>
      </w:r>
      <w:r w:rsidR="0051740F" w:rsidRPr="00621E76">
        <w:rPr>
          <w:rFonts w:asciiTheme="minorHAnsi" w:hAnsiTheme="minorHAnsi"/>
        </w:rPr>
        <w:instrText xml:space="preserve"> REF _Ref492478391 \h  \* MERGEFORMAT </w:instrText>
      </w:r>
      <w:r w:rsidR="0051740F" w:rsidRPr="00621E76">
        <w:rPr>
          <w:rFonts w:asciiTheme="minorHAnsi" w:hAnsiTheme="minorHAnsi"/>
        </w:rPr>
      </w:r>
      <w:r w:rsidR="0051740F" w:rsidRPr="00621E76">
        <w:rPr>
          <w:rFonts w:asciiTheme="minorHAnsi" w:hAnsiTheme="minorHAnsi"/>
        </w:rPr>
        <w:fldChar w:fldCharType="separate"/>
      </w:r>
      <w:r w:rsidR="00D44BCF" w:rsidRPr="00D44BCF">
        <w:rPr>
          <w:rFonts w:asciiTheme="minorHAnsi" w:hAnsiTheme="minorHAnsi"/>
        </w:rPr>
        <w:t>Children and young persons</w:t>
      </w:r>
      <w:r w:rsidR="0051740F" w:rsidRPr="00621E76">
        <w:rPr>
          <w:rFonts w:asciiTheme="minorHAnsi" w:hAnsiTheme="minorHAnsi"/>
        </w:rPr>
        <w:fldChar w:fldCharType="end"/>
      </w:r>
      <w:r w:rsidR="0051740F" w:rsidRPr="00621E76">
        <w:rPr>
          <w:rFonts w:asciiTheme="minorHAnsi" w:hAnsiTheme="minorHAnsi"/>
        </w:rPr>
        <w:t>”);</w:t>
      </w:r>
    </w:p>
    <w:p w14:paraId="3DF16E01" w14:textId="77777777" w:rsidR="001E337B" w:rsidRPr="00621E76" w:rsidRDefault="001E337B">
      <w:pPr>
        <w:pStyle w:val="BodyText"/>
        <w:spacing w:line="276" w:lineRule="auto"/>
        <w:ind w:right="170"/>
        <w:jc w:val="both"/>
        <w:rPr>
          <w:rFonts w:asciiTheme="minorHAnsi" w:hAnsiTheme="minorHAnsi"/>
        </w:rPr>
      </w:pPr>
    </w:p>
    <w:p w14:paraId="7215ED5C" w14:textId="46411FBD" w:rsidR="00362210" w:rsidRPr="00621E76" w:rsidRDefault="00170D87" w:rsidP="00D531E9">
      <w:pPr>
        <w:pStyle w:val="Heading2"/>
        <w:rPr>
          <w:rStyle w:val="Strong"/>
          <w:b/>
          <w:bCs w:val="0"/>
        </w:rPr>
      </w:pPr>
      <w:bookmarkStart w:id="56" w:name="_Ref10263826"/>
      <w:bookmarkStart w:id="57" w:name="_Ref10263829"/>
      <w:bookmarkStart w:id="58" w:name="_Ref10384322"/>
      <w:bookmarkStart w:id="59" w:name="_Ref10384364"/>
      <w:bookmarkStart w:id="60" w:name="_Ref494532906"/>
      <w:bookmarkStart w:id="61" w:name="_Ref494532915"/>
      <w:bookmarkStart w:id="62" w:name="_Toc33602749"/>
      <w:r w:rsidRPr="00621E76">
        <w:rPr>
          <w:rStyle w:val="Strong"/>
          <w:b/>
          <w:bCs w:val="0"/>
        </w:rPr>
        <w:t xml:space="preserve">The application of </w:t>
      </w:r>
      <w:r w:rsidR="00362210" w:rsidRPr="00621E76">
        <w:rPr>
          <w:rStyle w:val="Strong"/>
          <w:b/>
          <w:bCs w:val="0"/>
        </w:rPr>
        <w:t xml:space="preserve">State and Territory laws </w:t>
      </w:r>
      <w:r w:rsidRPr="00621E76">
        <w:rPr>
          <w:rStyle w:val="Strong"/>
          <w:b/>
          <w:bCs w:val="0"/>
        </w:rPr>
        <w:t>by Judiciary Act 1903, ss 68 and</w:t>
      </w:r>
      <w:r w:rsidR="008A4107" w:rsidRPr="00621E76">
        <w:rPr>
          <w:rStyle w:val="Strong"/>
          <w:b/>
          <w:bCs w:val="0"/>
        </w:rPr>
        <w:t xml:space="preserve"> </w:t>
      </w:r>
      <w:r w:rsidRPr="00621E76">
        <w:rPr>
          <w:rStyle w:val="Strong"/>
          <w:b/>
          <w:bCs w:val="0"/>
        </w:rPr>
        <w:t>79</w:t>
      </w:r>
      <w:bookmarkEnd w:id="56"/>
      <w:bookmarkEnd w:id="57"/>
      <w:bookmarkEnd w:id="58"/>
      <w:bookmarkEnd w:id="59"/>
      <w:bookmarkEnd w:id="60"/>
      <w:bookmarkEnd w:id="61"/>
      <w:bookmarkEnd w:id="62"/>
    </w:p>
    <w:p w14:paraId="4E3FC9D3" w14:textId="77777777" w:rsidR="00362210" w:rsidRPr="00621E76" w:rsidRDefault="00362210" w:rsidP="00D531E9">
      <w:pPr>
        <w:pStyle w:val="BodyText"/>
        <w:keepNext/>
        <w:spacing w:line="276" w:lineRule="auto"/>
        <w:ind w:right="170"/>
        <w:jc w:val="both"/>
        <w:rPr>
          <w:rFonts w:asciiTheme="minorHAnsi" w:hAnsiTheme="minorHAnsi"/>
        </w:rPr>
      </w:pPr>
    </w:p>
    <w:p w14:paraId="664FF3D1" w14:textId="3634BB12" w:rsidR="0032737E" w:rsidRPr="00621E76" w:rsidRDefault="00AB2494"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w:t>
      </w:r>
      <w:r w:rsidR="00437576" w:rsidRPr="00621E76">
        <w:rPr>
          <w:rFonts w:asciiTheme="minorHAnsi" w:hAnsiTheme="minorHAnsi"/>
        </w:rPr>
        <w:t xml:space="preserve">he most important provisions for the </w:t>
      </w:r>
      <w:r w:rsidR="00362210" w:rsidRPr="00621E76">
        <w:rPr>
          <w:rFonts w:asciiTheme="minorHAnsi" w:hAnsiTheme="minorHAnsi"/>
        </w:rPr>
        <w:t xml:space="preserve">application of State and Territory law as surrogate federal law in relation to the </w:t>
      </w:r>
      <w:r w:rsidR="00437576" w:rsidRPr="00621E76">
        <w:rPr>
          <w:rFonts w:asciiTheme="minorHAnsi" w:hAnsiTheme="minorHAnsi"/>
        </w:rPr>
        <w:t>sentenc</w:t>
      </w:r>
      <w:r w:rsidR="006D0F51" w:rsidRPr="00621E76">
        <w:rPr>
          <w:rFonts w:asciiTheme="minorHAnsi" w:hAnsiTheme="minorHAnsi"/>
        </w:rPr>
        <w:t xml:space="preserve">ing of federal offenders are ss </w:t>
      </w:r>
      <w:r w:rsidR="00437576" w:rsidRPr="00621E76">
        <w:rPr>
          <w:rFonts w:asciiTheme="minorHAnsi" w:hAnsiTheme="minorHAnsi"/>
        </w:rPr>
        <w:t xml:space="preserve">68 and 79 of the </w:t>
      </w:r>
      <w:r w:rsidR="00437576" w:rsidRPr="00621E76">
        <w:rPr>
          <w:rFonts w:asciiTheme="minorHAnsi" w:hAnsiTheme="minorHAnsi"/>
          <w:i/>
        </w:rPr>
        <w:t>Judiciary Act 1903</w:t>
      </w:r>
      <w:r w:rsidR="00437576" w:rsidRPr="00621E76">
        <w:rPr>
          <w:rFonts w:asciiTheme="minorHAnsi" w:hAnsiTheme="minorHAnsi"/>
        </w:rPr>
        <w:t xml:space="preserve"> (Cth).</w:t>
      </w:r>
    </w:p>
    <w:p w14:paraId="1FF97503" w14:textId="77777777" w:rsidR="0032737E" w:rsidRPr="00621E76" w:rsidRDefault="0032737E" w:rsidP="00EB7F1E">
      <w:pPr>
        <w:pStyle w:val="BodyText"/>
        <w:spacing w:line="276" w:lineRule="auto"/>
        <w:ind w:right="170"/>
        <w:jc w:val="both"/>
        <w:rPr>
          <w:rFonts w:asciiTheme="minorHAnsi" w:hAnsiTheme="minorHAnsi"/>
        </w:rPr>
      </w:pPr>
    </w:p>
    <w:p w14:paraId="67183819" w14:textId="42405D9A" w:rsidR="001C17C0" w:rsidRPr="00621E76" w:rsidRDefault="001C17C0"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 purpose of these provisions is “</w:t>
      </w:r>
      <w:r w:rsidRPr="00621E76">
        <w:rPr>
          <w:rFonts w:asciiTheme="minorHAnsi" w:hAnsiTheme="minorHAnsi"/>
          <w:i/>
        </w:rPr>
        <w:t>to place the administration of the criminal law of the Commonwealth in each State upon the same footing as that of the State, and to avoid the establishment of two independent systems of criminal justice.</w:t>
      </w:r>
      <w:r w:rsidRPr="00621E76">
        <w:rPr>
          <w:rStyle w:val="sslistitemcontent"/>
          <w:rFonts w:ascii="Calibri" w:hAnsi="Calibri"/>
        </w:rPr>
        <w:t>”</w:t>
      </w:r>
      <w:r w:rsidR="0032737E" w:rsidRPr="00621E76">
        <w:rPr>
          <w:rStyle w:val="Style"/>
          <w:rFonts w:asciiTheme="minorHAnsi" w:hAnsiTheme="minorHAnsi"/>
        </w:rPr>
        <w:footnoteReference w:id="56"/>
      </w:r>
    </w:p>
    <w:p w14:paraId="3C0A3A87" w14:textId="329D96E1" w:rsidR="00EA625F" w:rsidRPr="00EB7F1E" w:rsidRDefault="00EA625F" w:rsidP="00EB7F1E">
      <w:pPr>
        <w:pStyle w:val="BodyText"/>
        <w:spacing w:line="276" w:lineRule="auto"/>
        <w:ind w:right="170"/>
        <w:jc w:val="both"/>
        <w:rPr>
          <w:rFonts w:asciiTheme="minorHAnsi" w:hAnsiTheme="minorHAnsi"/>
        </w:rPr>
      </w:pPr>
    </w:p>
    <w:p w14:paraId="26FD7545" w14:textId="431ED13F" w:rsidR="00BA2D91" w:rsidRPr="00621E76" w:rsidRDefault="00BA2D91" w:rsidP="00BA2D91">
      <w:pPr>
        <w:pStyle w:val="Heading3"/>
      </w:pPr>
      <w:bookmarkStart w:id="63" w:name="_Toc10384428"/>
      <w:bookmarkStart w:id="64" w:name="_Toc10458546"/>
      <w:bookmarkStart w:id="65" w:name="_Toc10559462"/>
      <w:bookmarkStart w:id="66" w:name="_Toc10640607"/>
      <w:bookmarkStart w:id="67" w:name="_Toc10718515"/>
      <w:bookmarkStart w:id="68" w:name="_Toc10889241"/>
      <w:bookmarkStart w:id="69" w:name="_Toc10890682"/>
      <w:bookmarkStart w:id="70" w:name="_Toc11078638"/>
      <w:bookmarkStart w:id="71" w:name="_Toc11086902"/>
      <w:bookmarkStart w:id="72" w:name="_Toc11087279"/>
      <w:bookmarkStart w:id="73" w:name="_Toc11239977"/>
      <w:bookmarkStart w:id="74" w:name="_Toc11405341"/>
      <w:bookmarkStart w:id="75" w:name="_Toc11407118"/>
      <w:bookmarkStart w:id="76" w:name="_Toc11485707"/>
      <w:bookmarkStart w:id="77" w:name="_Toc11583234"/>
      <w:bookmarkStart w:id="78" w:name="_Toc11692632"/>
      <w:bookmarkStart w:id="79" w:name="_Toc11773138"/>
      <w:bookmarkStart w:id="80" w:name="_Toc11826940"/>
      <w:bookmarkStart w:id="81" w:name="_Toc11833648"/>
      <w:bookmarkStart w:id="82" w:name="_Toc11848043"/>
      <w:bookmarkStart w:id="83" w:name="_Toc11851700"/>
      <w:bookmarkStart w:id="84" w:name="_Toc12608533"/>
      <w:bookmarkStart w:id="85" w:name="_Toc12706488"/>
      <w:bookmarkStart w:id="86" w:name="_Toc12860424"/>
      <w:bookmarkStart w:id="87" w:name="_Toc12861993"/>
      <w:bookmarkStart w:id="88" w:name="_Toc12864039"/>
      <w:bookmarkStart w:id="89" w:name="_Toc13551588"/>
      <w:bookmarkStart w:id="90" w:name="_Toc13737365"/>
      <w:bookmarkStart w:id="91" w:name="_Toc13737780"/>
      <w:bookmarkStart w:id="92" w:name="_Toc25308338"/>
      <w:bookmarkStart w:id="93" w:name="_Toc33602750"/>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621E76">
        <w:t>The terms of s 68(1) and (2) and s 79(1)</w:t>
      </w:r>
      <w:bookmarkEnd w:id="93"/>
    </w:p>
    <w:p w14:paraId="75B3C6BD" w14:textId="77777777" w:rsidR="00BA2D91" w:rsidRPr="00621E76" w:rsidRDefault="00BA2D91" w:rsidP="00EB7F1E">
      <w:pPr>
        <w:pStyle w:val="BodyText"/>
        <w:keepNext/>
        <w:spacing w:line="276" w:lineRule="auto"/>
        <w:ind w:right="170"/>
        <w:jc w:val="both"/>
        <w:rPr>
          <w:rFonts w:asciiTheme="minorHAnsi" w:hAnsiTheme="minorHAnsi"/>
        </w:rPr>
      </w:pPr>
    </w:p>
    <w:p w14:paraId="5766C918" w14:textId="55A36148" w:rsidR="004C2120" w:rsidRPr="00621E76" w:rsidRDefault="004C2120"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Section 68(1) </w:t>
      </w:r>
      <w:r w:rsidR="00BA2D91" w:rsidRPr="00621E76">
        <w:rPr>
          <w:rFonts w:asciiTheme="minorHAnsi" w:hAnsiTheme="minorHAnsi"/>
        </w:rPr>
        <w:t xml:space="preserve">of the </w:t>
      </w:r>
      <w:r w:rsidR="00BA2D91" w:rsidRPr="00621E76">
        <w:rPr>
          <w:rFonts w:asciiTheme="minorHAnsi" w:hAnsiTheme="minorHAnsi"/>
          <w:i/>
        </w:rPr>
        <w:t>Judiciary Act 1903</w:t>
      </w:r>
      <w:r w:rsidR="00BA2D91" w:rsidRPr="00621E76">
        <w:rPr>
          <w:rFonts w:asciiTheme="minorHAnsi" w:hAnsiTheme="minorHAnsi"/>
        </w:rPr>
        <w:t xml:space="preserve"> (Cth) </w:t>
      </w:r>
      <w:r w:rsidRPr="00621E76">
        <w:rPr>
          <w:rFonts w:asciiTheme="minorHAnsi" w:hAnsiTheme="minorHAnsi"/>
        </w:rPr>
        <w:t>provides:</w:t>
      </w:r>
    </w:p>
    <w:p w14:paraId="5AC9A106" w14:textId="77777777" w:rsidR="004C2120" w:rsidRPr="00621E76" w:rsidRDefault="004C2120" w:rsidP="00985A5A">
      <w:pPr>
        <w:pStyle w:val="BodyText"/>
        <w:spacing w:line="276" w:lineRule="auto"/>
        <w:ind w:left="1134" w:right="170" w:hanging="567"/>
        <w:jc w:val="both"/>
        <w:rPr>
          <w:rFonts w:asciiTheme="minorHAnsi" w:hAnsiTheme="minorHAnsi"/>
          <w:i/>
        </w:rPr>
      </w:pPr>
      <w:r w:rsidRPr="00621E76">
        <w:rPr>
          <w:rFonts w:asciiTheme="minorHAnsi" w:hAnsiTheme="minorHAnsi"/>
          <w:i/>
        </w:rPr>
        <w:t>(1)</w:t>
      </w:r>
      <w:r w:rsidRPr="00621E76">
        <w:rPr>
          <w:rFonts w:asciiTheme="minorHAnsi" w:hAnsiTheme="minorHAnsi"/>
          <w:i/>
        </w:rPr>
        <w:tab/>
        <w:t>The laws of a State or Territory respecting the arrest and custody of offenders or persons charged with offences, and the procedure for:</w:t>
      </w:r>
    </w:p>
    <w:p w14:paraId="043356F3" w14:textId="508F62F0" w:rsidR="004C2120" w:rsidRPr="00621E76" w:rsidRDefault="004C2120" w:rsidP="00EB7F1E">
      <w:pPr>
        <w:pStyle w:val="BodyText"/>
        <w:spacing w:line="276" w:lineRule="auto"/>
        <w:ind w:left="1560" w:right="170" w:hanging="426"/>
        <w:jc w:val="both"/>
        <w:rPr>
          <w:rFonts w:asciiTheme="minorHAnsi" w:hAnsiTheme="minorHAnsi"/>
          <w:i/>
        </w:rPr>
      </w:pPr>
      <w:r w:rsidRPr="00621E76">
        <w:rPr>
          <w:rFonts w:asciiTheme="minorHAnsi" w:hAnsiTheme="minorHAnsi"/>
          <w:i/>
        </w:rPr>
        <w:t>(a)</w:t>
      </w:r>
      <w:r w:rsidRPr="00621E76">
        <w:rPr>
          <w:rFonts w:asciiTheme="minorHAnsi" w:hAnsiTheme="minorHAnsi"/>
          <w:i/>
        </w:rPr>
        <w:tab/>
        <w:t>their summary conviction; and</w:t>
      </w:r>
    </w:p>
    <w:p w14:paraId="409B4DBE" w14:textId="27D36E1A" w:rsidR="004C2120" w:rsidRPr="00621E76" w:rsidRDefault="004C2120" w:rsidP="00EB7F1E">
      <w:pPr>
        <w:pStyle w:val="BodyText"/>
        <w:spacing w:line="276" w:lineRule="auto"/>
        <w:ind w:left="1560" w:right="170" w:hanging="426"/>
        <w:jc w:val="both"/>
        <w:rPr>
          <w:rFonts w:asciiTheme="minorHAnsi" w:hAnsiTheme="minorHAnsi"/>
          <w:i/>
        </w:rPr>
      </w:pPr>
      <w:r w:rsidRPr="00621E76">
        <w:rPr>
          <w:rFonts w:asciiTheme="minorHAnsi" w:hAnsiTheme="minorHAnsi"/>
          <w:i/>
        </w:rPr>
        <w:t>(b)</w:t>
      </w:r>
      <w:r w:rsidRPr="00621E76">
        <w:rPr>
          <w:rFonts w:asciiTheme="minorHAnsi" w:hAnsiTheme="minorHAnsi"/>
          <w:i/>
        </w:rPr>
        <w:tab/>
        <w:t>their examination and commitment for trial on indictment; and</w:t>
      </w:r>
    </w:p>
    <w:p w14:paraId="210244F9" w14:textId="753397E9" w:rsidR="004C2120" w:rsidRPr="00621E76" w:rsidRDefault="004C2120" w:rsidP="00EB7F1E">
      <w:pPr>
        <w:pStyle w:val="BodyText"/>
        <w:spacing w:line="276" w:lineRule="auto"/>
        <w:ind w:left="1560" w:right="170" w:hanging="426"/>
        <w:jc w:val="both"/>
        <w:rPr>
          <w:rFonts w:asciiTheme="minorHAnsi" w:hAnsiTheme="minorHAnsi"/>
          <w:i/>
        </w:rPr>
      </w:pPr>
      <w:r w:rsidRPr="00621E76">
        <w:rPr>
          <w:rFonts w:asciiTheme="minorHAnsi" w:hAnsiTheme="minorHAnsi"/>
          <w:i/>
        </w:rPr>
        <w:t>(c)</w:t>
      </w:r>
      <w:r w:rsidRPr="00621E76">
        <w:rPr>
          <w:rFonts w:asciiTheme="minorHAnsi" w:hAnsiTheme="minorHAnsi"/>
          <w:i/>
        </w:rPr>
        <w:tab/>
        <w:t>their trial and conviction on indictment; and</w:t>
      </w:r>
    </w:p>
    <w:p w14:paraId="6F1CBADA" w14:textId="5757B5E3" w:rsidR="004C2120" w:rsidRPr="00621E76" w:rsidRDefault="004C2120" w:rsidP="00EB7F1E">
      <w:pPr>
        <w:pStyle w:val="BodyText"/>
        <w:spacing w:line="276" w:lineRule="auto"/>
        <w:ind w:left="1560" w:right="170" w:hanging="426"/>
        <w:jc w:val="both"/>
        <w:rPr>
          <w:rFonts w:asciiTheme="minorHAnsi" w:hAnsiTheme="minorHAnsi"/>
          <w:i/>
        </w:rPr>
      </w:pPr>
      <w:r w:rsidRPr="00621E76">
        <w:rPr>
          <w:rFonts w:asciiTheme="minorHAnsi" w:hAnsiTheme="minorHAnsi"/>
          <w:i/>
        </w:rPr>
        <w:t>(d)</w:t>
      </w:r>
      <w:r w:rsidRPr="00621E76">
        <w:rPr>
          <w:rFonts w:asciiTheme="minorHAnsi" w:hAnsiTheme="minorHAnsi"/>
          <w:i/>
        </w:rPr>
        <w:tab/>
        <w:t>the hearing and determination of appeals arising out of any such trial or conviction or out of any proceedings connected therewith;</w:t>
      </w:r>
    </w:p>
    <w:p w14:paraId="3C393874" w14:textId="77777777" w:rsidR="004C2120" w:rsidRPr="00621E76" w:rsidRDefault="004C2120" w:rsidP="00985A5A">
      <w:pPr>
        <w:pStyle w:val="BodyText"/>
        <w:spacing w:line="276" w:lineRule="auto"/>
        <w:ind w:left="1134" w:right="170"/>
        <w:jc w:val="both"/>
        <w:rPr>
          <w:rFonts w:asciiTheme="minorHAnsi" w:hAnsiTheme="minorHAnsi"/>
          <w:i/>
        </w:rPr>
      </w:pPr>
      <w:r w:rsidRPr="00621E76">
        <w:rPr>
          <w:rFonts w:asciiTheme="minorHAnsi" w:hAnsiTheme="minorHAnsi"/>
          <w:i/>
        </w:rPr>
        <w:t>and for holding accused persons to bail, shall, subject to this section, apply and be applied so far as they are applicable to persons who are charged with offences against the laws of the Commonwealth in respect of whom jurisdiction is conferred on the several courts of that State or Territory by this section.</w:t>
      </w:r>
    </w:p>
    <w:p w14:paraId="7B46A668" w14:textId="74C22B66" w:rsidR="004C2120" w:rsidRPr="00621E76" w:rsidRDefault="004C2120" w:rsidP="004C2120">
      <w:pPr>
        <w:pStyle w:val="BodyText"/>
        <w:spacing w:line="276" w:lineRule="auto"/>
        <w:ind w:right="170"/>
        <w:jc w:val="both"/>
        <w:rPr>
          <w:rFonts w:asciiTheme="minorHAnsi" w:hAnsiTheme="minorHAnsi"/>
        </w:rPr>
      </w:pPr>
    </w:p>
    <w:p w14:paraId="0B6A71B7" w14:textId="4246F67C" w:rsidR="004C2120" w:rsidRPr="00621E76" w:rsidRDefault="004C2120"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Section 68(2) </w:t>
      </w:r>
      <w:r w:rsidR="00621E74" w:rsidRPr="00621E76">
        <w:rPr>
          <w:rFonts w:asciiTheme="minorHAnsi" w:hAnsiTheme="minorHAnsi"/>
        </w:rPr>
        <w:t>provides</w:t>
      </w:r>
      <w:r w:rsidR="00D459AC" w:rsidRPr="00621E76">
        <w:rPr>
          <w:rFonts w:asciiTheme="minorHAnsi" w:hAnsiTheme="minorHAnsi"/>
        </w:rPr>
        <w:t>:</w:t>
      </w:r>
    </w:p>
    <w:p w14:paraId="02812314" w14:textId="74B99DC4" w:rsidR="00BA2D91" w:rsidRPr="00621E76" w:rsidRDefault="00BA2D91" w:rsidP="00EB7F1E">
      <w:pPr>
        <w:pStyle w:val="BodyText"/>
        <w:spacing w:line="276" w:lineRule="auto"/>
        <w:ind w:left="1134" w:right="170" w:hanging="567"/>
        <w:jc w:val="both"/>
        <w:rPr>
          <w:rFonts w:asciiTheme="minorHAnsi" w:hAnsiTheme="minorHAnsi"/>
          <w:i/>
        </w:rPr>
      </w:pPr>
      <w:r w:rsidRPr="00621E76">
        <w:rPr>
          <w:rFonts w:asciiTheme="minorHAnsi" w:hAnsiTheme="minorHAnsi"/>
          <w:i/>
        </w:rPr>
        <w:t>(2)</w:t>
      </w:r>
      <w:r w:rsidRPr="00621E76">
        <w:rPr>
          <w:rFonts w:asciiTheme="minorHAnsi" w:hAnsiTheme="minorHAnsi"/>
          <w:i/>
        </w:rPr>
        <w:tab/>
        <w:t>The several Courts of a State or Territory exercising jurisdiction with respect to:</w:t>
      </w:r>
    </w:p>
    <w:p w14:paraId="2F2B5656" w14:textId="1D63466F" w:rsidR="00BA2D91" w:rsidRPr="00621E76" w:rsidRDefault="00BA2D91" w:rsidP="00EB7F1E">
      <w:pPr>
        <w:pStyle w:val="BodyText"/>
        <w:spacing w:line="276" w:lineRule="auto"/>
        <w:ind w:left="1560" w:right="170" w:hanging="426"/>
        <w:jc w:val="both"/>
        <w:rPr>
          <w:rFonts w:asciiTheme="minorHAnsi" w:hAnsiTheme="minorHAnsi"/>
          <w:i/>
        </w:rPr>
      </w:pPr>
      <w:r w:rsidRPr="00621E76">
        <w:rPr>
          <w:rFonts w:asciiTheme="minorHAnsi" w:hAnsiTheme="minorHAnsi"/>
          <w:i/>
        </w:rPr>
        <w:t>(a</w:t>
      </w:r>
      <w:r w:rsidR="00D459AC" w:rsidRPr="00621E76">
        <w:rPr>
          <w:rFonts w:asciiTheme="minorHAnsi" w:hAnsiTheme="minorHAnsi"/>
          <w:i/>
        </w:rPr>
        <w:t>)</w:t>
      </w:r>
      <w:r w:rsidR="00D459AC" w:rsidRPr="00621E76">
        <w:rPr>
          <w:rFonts w:asciiTheme="minorHAnsi" w:hAnsiTheme="minorHAnsi"/>
          <w:i/>
        </w:rPr>
        <w:tab/>
      </w:r>
      <w:r w:rsidRPr="00621E76">
        <w:rPr>
          <w:rFonts w:asciiTheme="minorHAnsi" w:hAnsiTheme="minorHAnsi"/>
          <w:i/>
        </w:rPr>
        <w:t>the summary conviction; or</w:t>
      </w:r>
    </w:p>
    <w:p w14:paraId="2C9BF132" w14:textId="5B94F3E7" w:rsidR="00BA2D91" w:rsidRPr="00621E76" w:rsidRDefault="00BA2D91" w:rsidP="00EB7F1E">
      <w:pPr>
        <w:pStyle w:val="BodyText"/>
        <w:spacing w:line="276" w:lineRule="auto"/>
        <w:ind w:left="1560" w:right="170" w:hanging="426"/>
        <w:jc w:val="both"/>
        <w:rPr>
          <w:rFonts w:asciiTheme="minorHAnsi" w:hAnsiTheme="minorHAnsi"/>
          <w:i/>
        </w:rPr>
      </w:pPr>
      <w:r w:rsidRPr="00621E76">
        <w:rPr>
          <w:rFonts w:asciiTheme="minorHAnsi" w:hAnsiTheme="minorHAnsi"/>
          <w:i/>
        </w:rPr>
        <w:t>(b)</w:t>
      </w:r>
      <w:r w:rsidR="00D459AC" w:rsidRPr="00621E76">
        <w:rPr>
          <w:rFonts w:asciiTheme="minorHAnsi" w:hAnsiTheme="minorHAnsi"/>
          <w:i/>
        </w:rPr>
        <w:tab/>
      </w:r>
      <w:r w:rsidRPr="00621E76">
        <w:rPr>
          <w:rFonts w:asciiTheme="minorHAnsi" w:hAnsiTheme="minorHAnsi"/>
          <w:i/>
        </w:rPr>
        <w:t>the examination and commitment for trial on indictment; or</w:t>
      </w:r>
    </w:p>
    <w:p w14:paraId="7580CE5F" w14:textId="26F96B20" w:rsidR="00BA2D91" w:rsidRPr="00621E76" w:rsidRDefault="00BA2D91" w:rsidP="00EB7F1E">
      <w:pPr>
        <w:pStyle w:val="BodyText"/>
        <w:spacing w:line="276" w:lineRule="auto"/>
        <w:ind w:left="1560" w:right="170" w:hanging="426"/>
        <w:jc w:val="both"/>
        <w:rPr>
          <w:rFonts w:asciiTheme="minorHAnsi" w:hAnsiTheme="minorHAnsi"/>
          <w:i/>
        </w:rPr>
      </w:pPr>
      <w:r w:rsidRPr="00621E76">
        <w:rPr>
          <w:rFonts w:asciiTheme="minorHAnsi" w:hAnsiTheme="minorHAnsi"/>
          <w:i/>
        </w:rPr>
        <w:t>(c)</w:t>
      </w:r>
      <w:r w:rsidR="00D459AC" w:rsidRPr="00621E76">
        <w:rPr>
          <w:rFonts w:asciiTheme="minorHAnsi" w:hAnsiTheme="minorHAnsi"/>
          <w:i/>
        </w:rPr>
        <w:tab/>
      </w:r>
      <w:r w:rsidRPr="00621E76">
        <w:rPr>
          <w:rFonts w:asciiTheme="minorHAnsi" w:hAnsiTheme="minorHAnsi"/>
          <w:i/>
        </w:rPr>
        <w:t>the trial and conviction on indictment;</w:t>
      </w:r>
    </w:p>
    <w:p w14:paraId="697A1017" w14:textId="024D01C7" w:rsidR="00BA2D91" w:rsidRPr="00621E76" w:rsidRDefault="00BA2D91" w:rsidP="00EB7F1E">
      <w:pPr>
        <w:pStyle w:val="BodyText"/>
        <w:spacing w:line="276" w:lineRule="auto"/>
        <w:ind w:left="1134" w:right="170"/>
        <w:jc w:val="both"/>
        <w:rPr>
          <w:rFonts w:asciiTheme="minorHAnsi" w:hAnsiTheme="minorHAnsi"/>
          <w:i/>
        </w:rPr>
      </w:pPr>
      <w:r w:rsidRPr="00621E76">
        <w:rPr>
          <w:rFonts w:asciiTheme="minorHAnsi" w:hAnsiTheme="minorHAnsi"/>
          <w:i/>
        </w:rPr>
        <w:t>of offenders or persons charged with offences against the laws of the State or Territory, and with respect to the hearing and determination of appeals arising out of any such trial or conviction or out of any proceedings connected therewith, shall, subject to this section and to</w:t>
      </w:r>
      <w:r w:rsidR="00D459AC" w:rsidRPr="00621E76">
        <w:rPr>
          <w:rFonts w:asciiTheme="minorHAnsi" w:hAnsiTheme="minorHAnsi"/>
          <w:i/>
        </w:rPr>
        <w:t xml:space="preserve"> section 80 </w:t>
      </w:r>
      <w:r w:rsidRPr="00621E76">
        <w:rPr>
          <w:rFonts w:asciiTheme="minorHAnsi" w:hAnsiTheme="minorHAnsi"/>
          <w:i/>
        </w:rPr>
        <w:t>of the Constitution, have the like jurisdiction with respect to persons who are charged with offences against the laws of the Commonwealth.</w:t>
      </w:r>
    </w:p>
    <w:p w14:paraId="1067DF2B" w14:textId="6BFF9647" w:rsidR="00BA2D91" w:rsidRPr="00621E76" w:rsidRDefault="00BA2D91" w:rsidP="00621E74">
      <w:pPr>
        <w:pStyle w:val="BodyText"/>
        <w:spacing w:line="276" w:lineRule="auto"/>
        <w:ind w:right="170"/>
        <w:jc w:val="both"/>
        <w:rPr>
          <w:rFonts w:asciiTheme="minorHAnsi" w:hAnsiTheme="minorHAnsi"/>
        </w:rPr>
      </w:pPr>
    </w:p>
    <w:p w14:paraId="473522BF" w14:textId="77FA50C6" w:rsidR="00755379" w:rsidRPr="00621E76" w:rsidRDefault="00755379"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 68(7) is also relevant to the construction of s 68(1) and (2).  It provides:</w:t>
      </w:r>
    </w:p>
    <w:p w14:paraId="57504640" w14:textId="77777777" w:rsidR="00755379" w:rsidRPr="00621E76" w:rsidRDefault="00755379" w:rsidP="00EB7F1E">
      <w:pPr>
        <w:pStyle w:val="BodyText"/>
        <w:spacing w:line="276" w:lineRule="auto"/>
        <w:ind w:left="1134" w:right="170" w:hanging="567"/>
        <w:jc w:val="both"/>
        <w:rPr>
          <w:rFonts w:asciiTheme="minorHAnsi" w:hAnsiTheme="minorHAnsi"/>
          <w:i/>
        </w:rPr>
      </w:pPr>
      <w:r w:rsidRPr="00621E76">
        <w:rPr>
          <w:rFonts w:asciiTheme="minorHAnsi" w:hAnsiTheme="minorHAnsi"/>
          <w:i/>
        </w:rPr>
        <w:t>(7)</w:t>
      </w:r>
      <w:r w:rsidRPr="00621E76">
        <w:rPr>
          <w:rFonts w:asciiTheme="minorHAnsi" w:hAnsiTheme="minorHAnsi"/>
          <w:i/>
        </w:rPr>
        <w:tab/>
        <w:t>The procedure referred to in subsection (1) and the jurisdiction referred to in subsection (2) shall be deemed to include procedure and jurisdiction in accordance with provisions of a law of a State or Territory under which a person who, in proceedings before a court of summary jurisdiction, pleads guilty to a charge for which he or she could be prosecuted on indictment may be committed to a court having jurisdiction to try offences on indictment to be sentenced or otherwise dealt with without being tried in that court, and the reference in subsections (1) and (2) to any such trial or conviction shall be read as including any conviction or sentencing in accordance with any such provisions.</w:t>
      </w:r>
    </w:p>
    <w:p w14:paraId="0129A6B2" w14:textId="77777777" w:rsidR="00755379" w:rsidRPr="00621E76" w:rsidRDefault="00755379" w:rsidP="00621E74">
      <w:pPr>
        <w:pStyle w:val="BodyText"/>
        <w:spacing w:line="276" w:lineRule="auto"/>
        <w:ind w:right="170"/>
        <w:jc w:val="both"/>
        <w:rPr>
          <w:rFonts w:asciiTheme="minorHAnsi" w:hAnsiTheme="minorHAnsi"/>
        </w:rPr>
      </w:pPr>
    </w:p>
    <w:p w14:paraId="046E38C7" w14:textId="0266B8CB" w:rsidR="004C2120" w:rsidRPr="00621E76" w:rsidRDefault="004C2120"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 79</w:t>
      </w:r>
      <w:r w:rsidR="00165E9A" w:rsidRPr="00621E76">
        <w:rPr>
          <w:rFonts w:asciiTheme="minorHAnsi" w:hAnsiTheme="minorHAnsi"/>
        </w:rPr>
        <w:t>(1)</w:t>
      </w:r>
      <w:r w:rsidRPr="00621E76">
        <w:rPr>
          <w:rFonts w:asciiTheme="minorHAnsi" w:hAnsiTheme="minorHAnsi"/>
        </w:rPr>
        <w:t xml:space="preserve"> provides:</w:t>
      </w:r>
    </w:p>
    <w:p w14:paraId="5F478384" w14:textId="77777777" w:rsidR="00165E9A" w:rsidRPr="00621E76" w:rsidRDefault="00165E9A" w:rsidP="00985A5A">
      <w:pPr>
        <w:pStyle w:val="BodyText"/>
        <w:spacing w:line="276" w:lineRule="auto"/>
        <w:ind w:left="1134" w:right="170" w:hanging="567"/>
        <w:jc w:val="both"/>
        <w:rPr>
          <w:rFonts w:asciiTheme="minorHAnsi" w:hAnsiTheme="minorHAnsi"/>
          <w:i/>
        </w:rPr>
      </w:pPr>
      <w:r w:rsidRPr="00621E76">
        <w:rPr>
          <w:rFonts w:asciiTheme="minorHAnsi" w:hAnsiTheme="minorHAnsi"/>
          <w:i/>
        </w:rPr>
        <w:t>(1)</w:t>
      </w:r>
      <w:r w:rsidRPr="00621E76">
        <w:rPr>
          <w:rFonts w:asciiTheme="minorHAnsi" w:hAnsiTheme="minorHAnsi"/>
          <w:i/>
        </w:rPr>
        <w:tab/>
        <w:t>The laws of each State or Territory, including the laws relating to procedure, evidence, and the competency of witnesses, shall, except as otherwise provided by the Constitution or the laws of the Commonwealth, be binding on all Courts exercising federal jurisdiction in that State or Territory in all cases to which they are applicable.</w:t>
      </w:r>
    </w:p>
    <w:p w14:paraId="5928FBE3" w14:textId="4F5BA84C" w:rsidR="00F1496F" w:rsidRPr="00621E76" w:rsidRDefault="00F1496F">
      <w:pPr>
        <w:spacing w:line="276" w:lineRule="auto"/>
        <w:ind w:right="170"/>
        <w:rPr>
          <w:rFonts w:asciiTheme="minorHAnsi" w:hAnsiTheme="minorHAnsi"/>
        </w:rPr>
      </w:pPr>
    </w:p>
    <w:p w14:paraId="3E1412B4" w14:textId="118015C6" w:rsidR="00703168" w:rsidRPr="00621E76" w:rsidRDefault="00703168" w:rsidP="00703168">
      <w:pPr>
        <w:pStyle w:val="Heading3"/>
      </w:pPr>
      <w:bookmarkStart w:id="94" w:name="_Toc33602751"/>
      <w:r w:rsidRPr="00621E76">
        <w:t>The conferral of jurisdiction and the application of laws</w:t>
      </w:r>
      <w:bookmarkEnd w:id="94"/>
    </w:p>
    <w:p w14:paraId="231E62DA" w14:textId="77777777" w:rsidR="00703168" w:rsidRPr="00621E76" w:rsidRDefault="00703168" w:rsidP="00703168">
      <w:pPr>
        <w:pStyle w:val="BodyText"/>
        <w:keepNext/>
        <w:spacing w:line="276" w:lineRule="auto"/>
        <w:ind w:right="170"/>
        <w:jc w:val="both"/>
        <w:rPr>
          <w:rFonts w:asciiTheme="minorHAnsi" w:hAnsiTheme="minorHAnsi"/>
        </w:rPr>
      </w:pPr>
    </w:p>
    <w:p w14:paraId="5B83E837" w14:textId="6CC68E73" w:rsidR="00983ECE" w:rsidRPr="00621E76" w:rsidRDefault="0045466D"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Sections</w:t>
      </w:r>
      <w:r w:rsidR="00703168" w:rsidRPr="00621E76">
        <w:rPr>
          <w:rFonts w:asciiTheme="minorHAnsi" w:hAnsiTheme="minorHAnsi"/>
        </w:rPr>
        <w:t xml:space="preserve"> 68(1) and (2) and s 79</w:t>
      </w:r>
      <w:r w:rsidR="00BC3CCB" w:rsidRPr="00621E76">
        <w:rPr>
          <w:rFonts w:asciiTheme="minorHAnsi" w:hAnsiTheme="minorHAnsi"/>
        </w:rPr>
        <w:t xml:space="preserve"> have two distinct effects.</w:t>
      </w:r>
      <w:r w:rsidR="00555648" w:rsidRPr="00621E76">
        <w:rPr>
          <w:rFonts w:asciiTheme="minorHAnsi" w:hAnsiTheme="minorHAnsi"/>
        </w:rPr>
        <w:t xml:space="preserve"> </w:t>
      </w:r>
      <w:r w:rsidR="00BC3CCB" w:rsidRPr="00621E76">
        <w:rPr>
          <w:rFonts w:asciiTheme="minorHAnsi" w:hAnsiTheme="minorHAnsi"/>
        </w:rPr>
        <w:t xml:space="preserve"> The </w:t>
      </w:r>
      <w:r w:rsidR="00555648" w:rsidRPr="00621E76">
        <w:rPr>
          <w:rFonts w:asciiTheme="minorHAnsi" w:hAnsiTheme="minorHAnsi"/>
        </w:rPr>
        <w:t xml:space="preserve">effect of s 68(2) is to </w:t>
      </w:r>
      <w:r w:rsidR="00555648" w:rsidRPr="00621E76">
        <w:rPr>
          <w:rFonts w:asciiTheme="minorHAnsi" w:hAnsiTheme="minorHAnsi"/>
          <w:i/>
        </w:rPr>
        <w:t>confer jurisdiction</w:t>
      </w:r>
      <w:r w:rsidR="00555648" w:rsidRPr="00621E76">
        <w:rPr>
          <w:rFonts w:asciiTheme="minorHAnsi" w:hAnsiTheme="minorHAnsi"/>
        </w:rPr>
        <w:t xml:space="preserve"> on State and Territory courts</w:t>
      </w:r>
      <w:r w:rsidR="006C7296" w:rsidRPr="00621E76">
        <w:rPr>
          <w:rFonts w:asciiTheme="minorHAnsi" w:hAnsiTheme="minorHAnsi"/>
        </w:rPr>
        <w:t>; that is, s 68(2) is concerned with the ambit of the jurisdiction rather than the content of the powers to be exercised under it.</w:t>
      </w:r>
      <w:r w:rsidR="006C7296" w:rsidRPr="00621E76">
        <w:rPr>
          <w:rStyle w:val="Style"/>
          <w:rFonts w:asciiTheme="minorHAnsi" w:hAnsiTheme="minorHAnsi"/>
        </w:rPr>
        <w:footnoteReference w:id="57"/>
      </w:r>
      <w:r w:rsidR="006C7296" w:rsidRPr="00621E76">
        <w:rPr>
          <w:rFonts w:asciiTheme="minorHAnsi" w:hAnsiTheme="minorHAnsi"/>
        </w:rPr>
        <w:t xml:space="preserve"> </w:t>
      </w:r>
      <w:r w:rsidR="00555648" w:rsidRPr="00621E76">
        <w:rPr>
          <w:rFonts w:asciiTheme="minorHAnsi" w:hAnsiTheme="minorHAnsi"/>
        </w:rPr>
        <w:t xml:space="preserve"> </w:t>
      </w:r>
      <w:r w:rsidR="006C7296" w:rsidRPr="00621E76">
        <w:rPr>
          <w:rFonts w:asciiTheme="minorHAnsi" w:hAnsiTheme="minorHAnsi"/>
        </w:rPr>
        <w:t xml:space="preserve">By contrast, </w:t>
      </w:r>
      <w:r w:rsidR="00555648" w:rsidRPr="00621E76">
        <w:rPr>
          <w:rFonts w:asciiTheme="minorHAnsi" w:hAnsiTheme="minorHAnsi"/>
        </w:rPr>
        <w:t xml:space="preserve">the effect of s 68(1) and s 79 is to </w:t>
      </w:r>
      <w:r w:rsidR="00555648" w:rsidRPr="00621E76">
        <w:rPr>
          <w:rFonts w:asciiTheme="minorHAnsi" w:hAnsiTheme="minorHAnsi"/>
          <w:i/>
        </w:rPr>
        <w:t>apply State and Territory laws</w:t>
      </w:r>
      <w:r w:rsidR="00B80149" w:rsidRPr="00621E76">
        <w:rPr>
          <w:rFonts w:asciiTheme="minorHAnsi" w:hAnsiTheme="minorHAnsi"/>
        </w:rPr>
        <w:t xml:space="preserve"> to courts exercising federal jurisdiction.</w:t>
      </w:r>
    </w:p>
    <w:p w14:paraId="5CBAEE69" w14:textId="77777777" w:rsidR="00983ECE" w:rsidRPr="00621E76" w:rsidRDefault="00983ECE" w:rsidP="00EB7F1E">
      <w:pPr>
        <w:spacing w:line="276" w:lineRule="auto"/>
        <w:ind w:right="170"/>
        <w:rPr>
          <w:rFonts w:asciiTheme="minorHAnsi" w:hAnsiTheme="minorHAnsi"/>
        </w:rPr>
      </w:pPr>
    </w:p>
    <w:p w14:paraId="4AAFD922" w14:textId="1C00C78F" w:rsidR="00A518C0" w:rsidRPr="00621E76" w:rsidRDefault="00703168"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There is an important link between the application of laws under s 68(1) and the conferral of jurisdiction under s </w:t>
      </w:r>
      <w:r w:rsidR="00A518C0" w:rsidRPr="00621E76">
        <w:rPr>
          <w:rFonts w:asciiTheme="minorHAnsi" w:hAnsiTheme="minorHAnsi"/>
        </w:rPr>
        <w:t>68(</w:t>
      </w:r>
      <w:r w:rsidR="00B80149" w:rsidRPr="00621E76">
        <w:rPr>
          <w:rFonts w:asciiTheme="minorHAnsi" w:hAnsiTheme="minorHAnsi"/>
        </w:rPr>
        <w:t>2</w:t>
      </w:r>
      <w:r w:rsidR="00A518C0" w:rsidRPr="00621E76">
        <w:rPr>
          <w:rFonts w:asciiTheme="minorHAnsi" w:hAnsiTheme="minorHAnsi"/>
        </w:rPr>
        <w:t>)</w:t>
      </w:r>
      <w:r w:rsidRPr="00621E76">
        <w:rPr>
          <w:rFonts w:asciiTheme="minorHAnsi" w:hAnsiTheme="minorHAnsi"/>
        </w:rPr>
        <w:t xml:space="preserve">. </w:t>
      </w:r>
      <w:r w:rsidR="00A518C0" w:rsidRPr="00621E76">
        <w:rPr>
          <w:rFonts w:asciiTheme="minorHAnsi" w:hAnsiTheme="minorHAnsi"/>
        </w:rPr>
        <w:t xml:space="preserve"> </w:t>
      </w:r>
      <w:r w:rsidRPr="00621E76">
        <w:rPr>
          <w:rFonts w:asciiTheme="minorHAnsi" w:hAnsiTheme="minorHAnsi"/>
        </w:rPr>
        <w:t xml:space="preserve">Section 68(1) </w:t>
      </w:r>
      <w:r w:rsidR="00A518C0" w:rsidRPr="00621E76">
        <w:rPr>
          <w:rFonts w:asciiTheme="minorHAnsi" w:hAnsiTheme="minorHAnsi"/>
        </w:rPr>
        <w:t>applies laws of the kind specified (that is, broadly speaking, State and Territory criminal procedure laws) to persons charged with Commonwealth offences, “</w:t>
      </w:r>
      <w:r w:rsidR="00A518C0" w:rsidRPr="00621E76">
        <w:rPr>
          <w:rFonts w:asciiTheme="minorHAnsi" w:hAnsiTheme="minorHAnsi"/>
          <w:i/>
        </w:rPr>
        <w:t>in respect of whom jurisdiction is conferred on the several courts of that State or Territory by this section</w:t>
      </w:r>
      <w:r w:rsidR="00A518C0" w:rsidRPr="00621E76">
        <w:rPr>
          <w:rFonts w:asciiTheme="minorHAnsi" w:hAnsiTheme="minorHAnsi"/>
        </w:rPr>
        <w:t xml:space="preserve">”.  That is, the laws are applied </w:t>
      </w:r>
      <w:r w:rsidRPr="00621E76">
        <w:rPr>
          <w:rFonts w:asciiTheme="minorHAnsi" w:hAnsiTheme="minorHAnsi"/>
        </w:rPr>
        <w:t>by reference to the jurisdiction conferred on State or Territory courts by s 68.</w:t>
      </w:r>
    </w:p>
    <w:p w14:paraId="29DEE560" w14:textId="77777777" w:rsidR="00703168" w:rsidRPr="00621E76" w:rsidRDefault="00703168" w:rsidP="00EB7F1E">
      <w:pPr>
        <w:spacing w:line="276" w:lineRule="auto"/>
        <w:ind w:right="170"/>
        <w:rPr>
          <w:rFonts w:asciiTheme="minorHAnsi" w:hAnsiTheme="minorHAnsi"/>
        </w:rPr>
      </w:pPr>
    </w:p>
    <w:p w14:paraId="79032810" w14:textId="67FF5803" w:rsidR="000E488A" w:rsidRPr="00621E76" w:rsidRDefault="000E488A"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 68(2) confers jurisdiction by analogy</w:t>
      </w:r>
      <w:r w:rsidR="0054543F" w:rsidRPr="00621E76">
        <w:rPr>
          <w:rFonts w:asciiTheme="minorHAnsi" w:hAnsiTheme="minorHAnsi"/>
        </w:rPr>
        <w:t xml:space="preserve"> with the jurisdiction of </w:t>
      </w:r>
      <w:r w:rsidR="001C3DA0" w:rsidRPr="00621E76">
        <w:rPr>
          <w:rFonts w:asciiTheme="minorHAnsi" w:hAnsiTheme="minorHAnsi"/>
        </w:rPr>
        <w:t>the</w:t>
      </w:r>
      <w:r w:rsidR="0054543F" w:rsidRPr="00621E76">
        <w:rPr>
          <w:rFonts w:asciiTheme="minorHAnsi" w:hAnsiTheme="minorHAnsi"/>
        </w:rPr>
        <w:t xml:space="preserve"> State or Territory court at the relevant time</w:t>
      </w:r>
      <w:r w:rsidRPr="00621E76">
        <w:rPr>
          <w:rFonts w:asciiTheme="minorHAnsi" w:hAnsiTheme="minorHAnsi"/>
        </w:rPr>
        <w:t>.</w:t>
      </w:r>
      <w:r w:rsidR="005C134C" w:rsidRPr="00621E76">
        <w:rPr>
          <w:rStyle w:val="Style"/>
          <w:rFonts w:asciiTheme="minorHAnsi" w:hAnsiTheme="minorHAnsi"/>
        </w:rPr>
        <w:footnoteReference w:id="58"/>
      </w:r>
      <w:r w:rsidRPr="00621E76">
        <w:rPr>
          <w:rFonts w:asciiTheme="minorHAnsi" w:hAnsiTheme="minorHAnsi"/>
        </w:rPr>
        <w:t xml:space="preserve">  </w:t>
      </w:r>
      <w:r w:rsidR="00965F60" w:rsidRPr="00621E76">
        <w:rPr>
          <w:rFonts w:asciiTheme="minorHAnsi" w:hAnsiTheme="minorHAnsi"/>
        </w:rPr>
        <w:t xml:space="preserve">The section operates on </w:t>
      </w:r>
      <w:r w:rsidRPr="00621E76">
        <w:rPr>
          <w:rFonts w:asciiTheme="minorHAnsi" w:hAnsiTheme="minorHAnsi"/>
        </w:rPr>
        <w:t>State and Territory courts exercising jurisdiction with respect to the various kinds of criminal proceedings referred to.</w:t>
      </w:r>
      <w:r w:rsidR="00FA1339" w:rsidRPr="00621E76">
        <w:rPr>
          <w:rFonts w:asciiTheme="minorHAnsi" w:hAnsiTheme="minorHAnsi"/>
        </w:rPr>
        <w:t xml:space="preserve">  The criminal proceedings referred to are those with respect to State or Territory offences.  Section 68(2) confers on those court “</w:t>
      </w:r>
      <w:r w:rsidR="00FA1339" w:rsidRPr="00621E76">
        <w:rPr>
          <w:rFonts w:asciiTheme="minorHAnsi" w:hAnsiTheme="minorHAnsi"/>
          <w:i/>
        </w:rPr>
        <w:t xml:space="preserve">the like jurisdiction” </w:t>
      </w:r>
      <w:r w:rsidR="00FA1339" w:rsidRPr="00621E76">
        <w:rPr>
          <w:rFonts w:asciiTheme="minorHAnsi" w:hAnsiTheme="minorHAnsi"/>
        </w:rPr>
        <w:t>with respect to persons who are charged with offences against the laws of the Commonwealth</w:t>
      </w:r>
      <w:r w:rsidR="00885CBB" w:rsidRPr="00621E76">
        <w:rPr>
          <w:rFonts w:asciiTheme="minorHAnsi" w:hAnsiTheme="minorHAnsi"/>
        </w:rPr>
        <w:t>, subject to s 68 itself and to section 80 of the Constitution.</w:t>
      </w:r>
      <w:r w:rsidR="00965F60" w:rsidRPr="00621E76">
        <w:rPr>
          <w:rFonts w:asciiTheme="minorHAnsi" w:hAnsiTheme="minorHAnsi"/>
        </w:rPr>
        <w:t xml:space="preserve">  </w:t>
      </w:r>
      <w:r w:rsidR="0054543F" w:rsidRPr="00621E76">
        <w:rPr>
          <w:rFonts w:asciiTheme="minorHAnsi" w:hAnsiTheme="minorHAnsi"/>
        </w:rPr>
        <w:t>The ambulatory nature of s 6</w:t>
      </w:r>
      <w:r w:rsidR="0076605C" w:rsidRPr="00621E76">
        <w:rPr>
          <w:rFonts w:asciiTheme="minorHAnsi" w:hAnsiTheme="minorHAnsi"/>
        </w:rPr>
        <w:t>8</w:t>
      </w:r>
      <w:r w:rsidR="0054543F" w:rsidRPr="00621E76">
        <w:rPr>
          <w:rFonts w:asciiTheme="minorHAnsi" w:hAnsiTheme="minorHAnsi"/>
        </w:rPr>
        <w:t xml:space="preserve">(2) enables it to pick up procedural changes and developments as they occur in </w:t>
      </w:r>
      <w:r w:rsidR="001C3DA0" w:rsidRPr="00621E76">
        <w:rPr>
          <w:rFonts w:asciiTheme="minorHAnsi" w:hAnsiTheme="minorHAnsi"/>
        </w:rPr>
        <w:t xml:space="preserve">the </w:t>
      </w:r>
      <w:r w:rsidR="0054543F" w:rsidRPr="00621E76">
        <w:rPr>
          <w:rFonts w:asciiTheme="minorHAnsi" w:hAnsiTheme="minorHAnsi"/>
        </w:rPr>
        <w:t>particular State</w:t>
      </w:r>
      <w:r w:rsidR="001C3DA0" w:rsidRPr="00621E76">
        <w:rPr>
          <w:rFonts w:asciiTheme="minorHAnsi" w:hAnsiTheme="minorHAnsi"/>
        </w:rPr>
        <w:t xml:space="preserve"> or Territory</w:t>
      </w:r>
      <w:r w:rsidR="0054543F" w:rsidRPr="00621E76">
        <w:rPr>
          <w:rFonts w:asciiTheme="minorHAnsi" w:hAnsiTheme="minorHAnsi"/>
        </w:rPr>
        <w:t xml:space="preserve"> from time to time.</w:t>
      </w:r>
      <w:r w:rsidR="0076605C" w:rsidRPr="00621E76">
        <w:rPr>
          <w:rStyle w:val="Style"/>
          <w:rFonts w:asciiTheme="minorHAnsi" w:hAnsiTheme="minorHAnsi"/>
        </w:rPr>
        <w:footnoteReference w:id="59"/>
      </w:r>
    </w:p>
    <w:p w14:paraId="3A90FAD3" w14:textId="77777777" w:rsidR="000E488A" w:rsidRPr="00621E76" w:rsidRDefault="000E488A" w:rsidP="00EB7F1E">
      <w:pPr>
        <w:pStyle w:val="ListParagraph"/>
        <w:rPr>
          <w:rFonts w:asciiTheme="minorHAnsi" w:hAnsiTheme="minorHAnsi"/>
        </w:rPr>
      </w:pPr>
    </w:p>
    <w:p w14:paraId="7C241994" w14:textId="77777777" w:rsidR="006C7296" w:rsidRPr="00621E76" w:rsidRDefault="00983ECE"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The federal jurisdiction conferred by s.68(2) extends to a </w:t>
      </w:r>
      <w:r w:rsidR="00FA1339" w:rsidRPr="00621E76">
        <w:rPr>
          <w:rFonts w:asciiTheme="minorHAnsi" w:hAnsiTheme="minorHAnsi"/>
        </w:rPr>
        <w:t xml:space="preserve">State or Territory </w:t>
      </w:r>
      <w:r w:rsidRPr="00621E76">
        <w:rPr>
          <w:rFonts w:asciiTheme="minorHAnsi" w:hAnsiTheme="minorHAnsi"/>
        </w:rPr>
        <w:t>court exercising jurisdiction “</w:t>
      </w:r>
      <w:r w:rsidRPr="00621E76">
        <w:rPr>
          <w:rFonts w:asciiTheme="minorHAnsi" w:hAnsiTheme="minorHAnsi"/>
          <w:i/>
        </w:rPr>
        <w:t>with respect to … the summary conviction … or … the trial and conviction on indictment</w:t>
      </w:r>
      <w:r w:rsidRPr="00621E76">
        <w:rPr>
          <w:rFonts w:asciiTheme="minorHAnsi" w:hAnsiTheme="minorHAnsi"/>
        </w:rPr>
        <w:t xml:space="preserve">” of a person charged with an offence. </w:t>
      </w:r>
      <w:r w:rsidR="00FA1339" w:rsidRPr="00621E76">
        <w:rPr>
          <w:rFonts w:asciiTheme="minorHAnsi" w:hAnsiTheme="minorHAnsi"/>
        </w:rPr>
        <w:t xml:space="preserve"> </w:t>
      </w:r>
      <w:r w:rsidRPr="00621E76">
        <w:rPr>
          <w:rFonts w:asciiTheme="minorHAnsi" w:hAnsiTheme="minorHAnsi"/>
        </w:rPr>
        <w:t>This includes a court sentencing an offender.</w:t>
      </w:r>
      <w:r w:rsidRPr="00621E76">
        <w:rPr>
          <w:rStyle w:val="Style"/>
          <w:rFonts w:asciiTheme="minorHAnsi" w:hAnsiTheme="minorHAnsi"/>
        </w:rPr>
        <w:footnoteReference w:id="60"/>
      </w:r>
      <w:r w:rsidR="00FA1339" w:rsidRPr="00621E76">
        <w:rPr>
          <w:rFonts w:asciiTheme="minorHAnsi" w:hAnsiTheme="minorHAnsi"/>
        </w:rPr>
        <w:t xml:space="preserve">  Thus s 68(2) confers “</w:t>
      </w:r>
      <w:r w:rsidR="00FA1339" w:rsidRPr="00621E76">
        <w:rPr>
          <w:rFonts w:asciiTheme="minorHAnsi" w:hAnsiTheme="minorHAnsi"/>
          <w:i/>
        </w:rPr>
        <w:t>the like jurisdiction</w:t>
      </w:r>
      <w:r w:rsidR="00FA1339" w:rsidRPr="00621E76">
        <w:rPr>
          <w:rFonts w:asciiTheme="minorHAnsi" w:hAnsiTheme="minorHAnsi"/>
        </w:rPr>
        <w:t xml:space="preserve">” on the court with respect to sentencing for a federal offence. </w:t>
      </w:r>
      <w:r w:rsidR="00A23671" w:rsidRPr="00621E76">
        <w:rPr>
          <w:rFonts w:asciiTheme="minorHAnsi" w:hAnsiTheme="minorHAnsi"/>
        </w:rPr>
        <w:t xml:space="preserve"> For example, if a State court exercises jurisdiction with </w:t>
      </w:r>
      <w:r w:rsidR="008B48B8" w:rsidRPr="00621E76">
        <w:rPr>
          <w:rFonts w:asciiTheme="minorHAnsi" w:hAnsiTheme="minorHAnsi"/>
        </w:rPr>
        <w:t>respect to the sentencing of State offenders on indictment, s 68(2) confers “</w:t>
      </w:r>
      <w:r w:rsidR="008B48B8" w:rsidRPr="00621E76">
        <w:rPr>
          <w:rFonts w:asciiTheme="minorHAnsi" w:hAnsiTheme="minorHAnsi"/>
          <w:i/>
        </w:rPr>
        <w:t>the like jurisdiction</w:t>
      </w:r>
      <w:r w:rsidR="008B48B8" w:rsidRPr="00621E76">
        <w:rPr>
          <w:rFonts w:asciiTheme="minorHAnsi" w:hAnsiTheme="minorHAnsi"/>
        </w:rPr>
        <w:t>” on the court with respect to the sentencing of federal offenders on indictment</w:t>
      </w:r>
      <w:r w:rsidR="00885CBB" w:rsidRPr="00621E76">
        <w:rPr>
          <w:rFonts w:asciiTheme="minorHAnsi" w:hAnsiTheme="minorHAnsi"/>
        </w:rPr>
        <w:t xml:space="preserve"> (subject to s 68 itself and to section 80 of the Constitution)</w:t>
      </w:r>
      <w:r w:rsidR="008B48B8" w:rsidRPr="00621E76">
        <w:rPr>
          <w:rFonts w:asciiTheme="minorHAnsi" w:hAnsiTheme="minorHAnsi"/>
        </w:rPr>
        <w:t>.</w:t>
      </w:r>
      <w:r w:rsidR="006C7296" w:rsidRPr="00621E76">
        <w:rPr>
          <w:rFonts w:ascii="Calibri" w:hAnsi="Calibri"/>
        </w:rPr>
        <w:t xml:space="preserve"> </w:t>
      </w:r>
    </w:p>
    <w:p w14:paraId="437CF350" w14:textId="77777777" w:rsidR="006C7296" w:rsidRPr="00621E76" w:rsidRDefault="006C7296" w:rsidP="00EB7F1E">
      <w:pPr>
        <w:pStyle w:val="ListParagraph"/>
        <w:rPr>
          <w:rFonts w:ascii="Calibri" w:hAnsi="Calibri"/>
        </w:rPr>
      </w:pPr>
    </w:p>
    <w:p w14:paraId="38C0D4CC" w14:textId="5872429D" w:rsidR="00E449C5" w:rsidRPr="00621E76" w:rsidRDefault="006C7296"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“Like jurisdiction” is the authority to decide “matters” arising under federal laws in a manner similar to the authority of the court to decide matters arising under State or Territory law after allowance is made for the fact that the State or Territory jurisdiction arises under State or Territory law and federal jurisdiction arises under federal law.</w:t>
      </w:r>
      <w:r w:rsidR="00A8769E" w:rsidRPr="00621E76">
        <w:rPr>
          <w:rStyle w:val="Style"/>
          <w:rFonts w:asciiTheme="minorHAnsi" w:hAnsiTheme="minorHAnsi"/>
        </w:rPr>
        <w:footnoteReference w:id="61"/>
      </w:r>
    </w:p>
    <w:p w14:paraId="35E780BA" w14:textId="4FB31B6E" w:rsidR="00E449C5" w:rsidRPr="00621E76" w:rsidRDefault="00E449C5" w:rsidP="00E449C5">
      <w:pPr>
        <w:pStyle w:val="ListParagraph"/>
        <w:rPr>
          <w:rFonts w:asciiTheme="minorHAnsi" w:hAnsiTheme="minorHAnsi"/>
        </w:rPr>
      </w:pPr>
    </w:p>
    <w:p w14:paraId="66B4CCA9" w14:textId="77777777" w:rsidR="0080382B" w:rsidRPr="00621E76" w:rsidRDefault="00E449C5">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Like s 68(1), s 79(1) does not itself confer jurisdiction.  It renders State or Territory laws binding on a court “</w:t>
      </w:r>
      <w:r w:rsidRPr="00621E76">
        <w:rPr>
          <w:rFonts w:asciiTheme="minorHAnsi" w:hAnsiTheme="minorHAnsi"/>
          <w:i/>
        </w:rPr>
        <w:t>exercising federal jurisdiction in that State or Territory</w:t>
      </w:r>
      <w:r w:rsidRPr="00621E76">
        <w:rPr>
          <w:rFonts w:asciiTheme="minorHAnsi" w:hAnsiTheme="minorHAnsi"/>
        </w:rPr>
        <w:t>”</w:t>
      </w:r>
      <w:r w:rsidRPr="00621E76">
        <w:rPr>
          <w:rFonts w:asciiTheme="minorHAnsi" w:hAnsiTheme="minorHAnsi"/>
          <w:i/>
        </w:rPr>
        <w:t>.</w:t>
      </w:r>
      <w:r w:rsidRPr="00621E76">
        <w:rPr>
          <w:rFonts w:asciiTheme="minorHAnsi" w:hAnsiTheme="minorHAnsi"/>
        </w:rPr>
        <w:t xml:space="preserve">  That is, </w:t>
      </w:r>
      <w:r w:rsidR="00C80488" w:rsidRPr="00621E76">
        <w:rPr>
          <w:rFonts w:asciiTheme="minorHAnsi" w:hAnsiTheme="minorHAnsi"/>
        </w:rPr>
        <w:t>s 79(1)</w:t>
      </w:r>
      <w:r w:rsidRPr="00621E76">
        <w:rPr>
          <w:rFonts w:asciiTheme="minorHAnsi" w:hAnsiTheme="minorHAnsi"/>
        </w:rPr>
        <w:t xml:space="preserve"> applies only if the court is exercising federal jurisdiction</w:t>
      </w:r>
      <w:r w:rsidR="00885CBB" w:rsidRPr="00621E76">
        <w:rPr>
          <w:rFonts w:asciiTheme="minorHAnsi" w:hAnsiTheme="minorHAnsi"/>
        </w:rPr>
        <w:t xml:space="preserve"> - that is, jurisdiction</w:t>
      </w:r>
      <w:r w:rsidRPr="00621E76">
        <w:rPr>
          <w:rFonts w:asciiTheme="minorHAnsi" w:hAnsiTheme="minorHAnsi"/>
        </w:rPr>
        <w:t xml:space="preserve"> </w:t>
      </w:r>
      <w:r w:rsidR="00C80488" w:rsidRPr="00621E76">
        <w:rPr>
          <w:rFonts w:asciiTheme="minorHAnsi" w:hAnsiTheme="minorHAnsi"/>
        </w:rPr>
        <w:t xml:space="preserve">vested by </w:t>
      </w:r>
      <w:r w:rsidRPr="00621E76">
        <w:rPr>
          <w:rFonts w:asciiTheme="minorHAnsi" w:hAnsiTheme="minorHAnsi"/>
        </w:rPr>
        <w:t xml:space="preserve">the Constitution </w:t>
      </w:r>
      <w:r w:rsidR="00C80488" w:rsidRPr="00621E76">
        <w:rPr>
          <w:rFonts w:asciiTheme="minorHAnsi" w:hAnsiTheme="minorHAnsi"/>
        </w:rPr>
        <w:t>or by a law of the Commonwealth.  The jurisdiction may be that exercised by a federal court or by a State or Territory court.  It includes jurisdiction conferred on a State or Territory court by s 68(2)</w:t>
      </w:r>
      <w:r w:rsidR="008B48B8" w:rsidRPr="00621E76">
        <w:rPr>
          <w:rFonts w:asciiTheme="minorHAnsi" w:hAnsiTheme="minorHAnsi"/>
        </w:rPr>
        <w:t>, or on a federal court by or under the Constitution</w:t>
      </w:r>
      <w:r w:rsidR="00C80488" w:rsidRPr="00621E76">
        <w:rPr>
          <w:rFonts w:asciiTheme="minorHAnsi" w:hAnsiTheme="minorHAnsi"/>
        </w:rPr>
        <w:t>.</w:t>
      </w:r>
    </w:p>
    <w:p w14:paraId="32A8F10B" w14:textId="77777777" w:rsidR="0080382B" w:rsidRPr="00621E76" w:rsidRDefault="0080382B" w:rsidP="00EB7F1E">
      <w:pPr>
        <w:pStyle w:val="ListParagraph"/>
        <w:rPr>
          <w:rFonts w:asciiTheme="minorHAnsi" w:hAnsiTheme="minorHAnsi"/>
        </w:rPr>
      </w:pPr>
    </w:p>
    <w:p w14:paraId="253018F7" w14:textId="17E51373" w:rsidR="00E449C5" w:rsidRPr="00621E76" w:rsidRDefault="00C04FD2"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Since proceedings for a federal offence, including sentencing, always involve the exercise of federal jurisdiction, one </w:t>
      </w:r>
      <w:r w:rsidR="00C80488" w:rsidRPr="00621E76">
        <w:rPr>
          <w:rFonts w:asciiTheme="minorHAnsi" w:hAnsiTheme="minorHAnsi"/>
        </w:rPr>
        <w:t>of the effects of s 79</w:t>
      </w:r>
      <w:r w:rsidRPr="00621E76">
        <w:rPr>
          <w:rFonts w:asciiTheme="minorHAnsi" w:hAnsiTheme="minorHAnsi"/>
        </w:rPr>
        <w:t>(1)</w:t>
      </w:r>
      <w:r w:rsidR="00C80488" w:rsidRPr="00621E76">
        <w:rPr>
          <w:rFonts w:asciiTheme="minorHAnsi" w:hAnsiTheme="minorHAnsi"/>
        </w:rPr>
        <w:t xml:space="preserve"> is to </w:t>
      </w:r>
      <w:r w:rsidR="009A1D6B" w:rsidRPr="00621E76">
        <w:rPr>
          <w:rFonts w:asciiTheme="minorHAnsi" w:hAnsiTheme="minorHAnsi"/>
        </w:rPr>
        <w:t xml:space="preserve">make State or Territory laws binding on a court </w:t>
      </w:r>
      <w:r w:rsidRPr="00621E76">
        <w:rPr>
          <w:rFonts w:asciiTheme="minorHAnsi" w:hAnsiTheme="minorHAnsi"/>
        </w:rPr>
        <w:t>sentencing a federal offender, subject to the limitations in s 79(1)</w:t>
      </w:r>
      <w:r w:rsidR="00885CBB" w:rsidRPr="00621E76">
        <w:rPr>
          <w:rFonts w:asciiTheme="minorHAnsi" w:hAnsiTheme="minorHAnsi"/>
        </w:rPr>
        <w:t xml:space="preserve"> itself</w:t>
      </w:r>
      <w:r w:rsidR="009A1D6B" w:rsidRPr="00621E76">
        <w:rPr>
          <w:rFonts w:asciiTheme="minorHAnsi" w:hAnsiTheme="minorHAnsi"/>
        </w:rPr>
        <w:t>.</w:t>
      </w:r>
    </w:p>
    <w:p w14:paraId="1F95B880" w14:textId="77777777" w:rsidR="009A1D6B" w:rsidRPr="00621E76" w:rsidRDefault="009A1D6B" w:rsidP="00EB7F1E">
      <w:pPr>
        <w:pStyle w:val="ListParagraph"/>
        <w:rPr>
          <w:rFonts w:asciiTheme="minorHAnsi" w:hAnsiTheme="minorHAnsi"/>
        </w:rPr>
      </w:pPr>
    </w:p>
    <w:p w14:paraId="470266CF" w14:textId="0CF94B67" w:rsidR="009A1D6B" w:rsidRPr="00621E76" w:rsidRDefault="009A1D6B"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There is therefore a substantial overlap between the application of State or Territory laws under s 68(1) and their application under s 79(1).</w:t>
      </w:r>
    </w:p>
    <w:p w14:paraId="4E92D5E3" w14:textId="77777777" w:rsidR="00E449C5" w:rsidRPr="00FF3289" w:rsidRDefault="00E449C5" w:rsidP="00EB7F1E">
      <w:pPr>
        <w:pStyle w:val="ListParagraph"/>
        <w:rPr>
          <w:rFonts w:asciiTheme="minorHAnsi" w:hAnsiTheme="minorHAnsi"/>
          <w:highlight w:val="yellow"/>
        </w:rPr>
      </w:pPr>
    </w:p>
    <w:p w14:paraId="30F6AEBE" w14:textId="5330135D" w:rsidR="00F1496F" w:rsidRPr="00621E76" w:rsidRDefault="00F1496F" w:rsidP="00F1496F">
      <w:pPr>
        <w:pStyle w:val="Heading3"/>
      </w:pPr>
      <w:bookmarkStart w:id="95" w:name="_Toc33602752"/>
      <w:r w:rsidRPr="00621E76">
        <w:t>Which laws are picked up and applied?</w:t>
      </w:r>
      <w:bookmarkEnd w:id="95"/>
    </w:p>
    <w:p w14:paraId="029A7935" w14:textId="77777777" w:rsidR="00F1496F" w:rsidRPr="00621E76" w:rsidRDefault="00F1496F" w:rsidP="00F1496F">
      <w:pPr>
        <w:pStyle w:val="BodyText"/>
        <w:keepNext/>
        <w:spacing w:line="276" w:lineRule="auto"/>
        <w:ind w:right="170"/>
        <w:jc w:val="both"/>
        <w:rPr>
          <w:rFonts w:asciiTheme="minorHAnsi" w:hAnsiTheme="minorHAnsi"/>
        </w:rPr>
      </w:pPr>
    </w:p>
    <w:p w14:paraId="5481EDD0" w14:textId="611B7448" w:rsidR="00D56C97" w:rsidRPr="00621E76" w:rsidRDefault="00D56C97"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 68(1) applies “[t]</w:t>
      </w:r>
      <w:r w:rsidRPr="00621E76">
        <w:rPr>
          <w:rFonts w:asciiTheme="minorHAnsi" w:hAnsiTheme="minorHAnsi"/>
          <w:i/>
        </w:rPr>
        <w:t>he laws of a State or Territory respecting the arrest and custody of offenders or persons charged with offences, and the procedure for … their summary conviction … their examination and commitment for trial on indictment … their trial and conviction on indictment … the hearing and determination of appeals arising out of any such trial or conviction or out of any proceedings connected therewith … and for holding accused persons to bail</w:t>
      </w:r>
      <w:r w:rsidRPr="00621E76">
        <w:rPr>
          <w:rFonts w:asciiTheme="minorHAnsi" w:hAnsiTheme="minorHAnsi"/>
        </w:rPr>
        <w:t>”.</w:t>
      </w:r>
    </w:p>
    <w:p w14:paraId="17F987C7" w14:textId="77777777" w:rsidR="00591DBB" w:rsidRPr="00FF3289" w:rsidRDefault="00591DBB" w:rsidP="00EB7F1E">
      <w:pPr>
        <w:pStyle w:val="ListParagraph"/>
        <w:rPr>
          <w:rFonts w:asciiTheme="minorHAnsi" w:hAnsiTheme="minorHAnsi"/>
          <w:highlight w:val="yellow"/>
        </w:rPr>
      </w:pPr>
    </w:p>
    <w:p w14:paraId="06447296" w14:textId="6B0DAC19" w:rsidR="00591DBB" w:rsidRPr="00621E76" w:rsidRDefault="00591DBB"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This description embraces a wide range of aspects of criminal procedure.  It includes laws relating to </w:t>
      </w:r>
      <w:r w:rsidR="009E0C56" w:rsidRPr="00621E76">
        <w:rPr>
          <w:rFonts w:asciiTheme="minorHAnsi" w:hAnsiTheme="minorHAnsi"/>
        </w:rPr>
        <w:t xml:space="preserve">the </w:t>
      </w:r>
      <w:r w:rsidRPr="00621E76">
        <w:rPr>
          <w:rFonts w:asciiTheme="minorHAnsi" w:hAnsiTheme="minorHAnsi"/>
        </w:rPr>
        <w:t>sentencing of offenders.</w:t>
      </w:r>
      <w:r w:rsidR="00B019F3" w:rsidRPr="00621E76">
        <w:rPr>
          <w:rStyle w:val="Style"/>
          <w:rFonts w:asciiTheme="minorHAnsi" w:hAnsiTheme="minorHAnsi"/>
        </w:rPr>
        <w:footnoteReference w:id="62"/>
      </w:r>
    </w:p>
    <w:p w14:paraId="6F057168" w14:textId="77777777" w:rsidR="00591DBB" w:rsidRPr="00621E76" w:rsidRDefault="00591DBB" w:rsidP="00EB7F1E">
      <w:pPr>
        <w:pStyle w:val="ListParagraph"/>
        <w:rPr>
          <w:rFonts w:asciiTheme="minorHAnsi" w:hAnsiTheme="minorHAnsi"/>
        </w:rPr>
      </w:pPr>
    </w:p>
    <w:p w14:paraId="6BBAF985" w14:textId="3F0D65F2" w:rsidR="00591DBB" w:rsidRPr="00621E76" w:rsidRDefault="00591DBB"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 79</w:t>
      </w:r>
      <w:r w:rsidR="001D5C6E" w:rsidRPr="00621E76">
        <w:rPr>
          <w:rFonts w:asciiTheme="minorHAnsi" w:hAnsiTheme="minorHAnsi"/>
        </w:rPr>
        <w:t>(1)</w:t>
      </w:r>
      <w:r w:rsidRPr="00621E76">
        <w:rPr>
          <w:rFonts w:asciiTheme="minorHAnsi" w:hAnsiTheme="minorHAnsi"/>
        </w:rPr>
        <w:t xml:space="preserve"> renders “[t]</w:t>
      </w:r>
      <w:r w:rsidRPr="00621E76">
        <w:rPr>
          <w:rFonts w:asciiTheme="minorHAnsi" w:hAnsiTheme="minorHAnsi"/>
          <w:i/>
        </w:rPr>
        <w:t>he laws of each State or Territory, including the laws relating to procedure, evidence, and the competency of witnesses, … binding on all Courts exercising federal jurisdiction in that State or Territory in all cases to which they are applicable</w:t>
      </w:r>
      <w:r w:rsidRPr="00621E76">
        <w:rPr>
          <w:rFonts w:asciiTheme="minorHAnsi" w:hAnsiTheme="minorHAnsi"/>
        </w:rPr>
        <w:t>”.</w:t>
      </w:r>
    </w:p>
    <w:p w14:paraId="7F0346E5" w14:textId="77777777" w:rsidR="00591DBB" w:rsidRPr="00621E76" w:rsidRDefault="00591DBB" w:rsidP="00591DBB">
      <w:pPr>
        <w:spacing w:line="276" w:lineRule="auto"/>
        <w:ind w:right="170"/>
        <w:rPr>
          <w:rFonts w:asciiTheme="minorHAnsi" w:hAnsiTheme="minorHAnsi"/>
        </w:rPr>
      </w:pPr>
    </w:p>
    <w:p w14:paraId="7DCFBE89" w14:textId="39993C7D" w:rsidR="0079046A" w:rsidRPr="00621E76" w:rsidRDefault="001D5C6E"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Although s 79(1) refers specifically to “</w:t>
      </w:r>
      <w:r w:rsidRPr="00621E76">
        <w:rPr>
          <w:rFonts w:asciiTheme="minorHAnsi" w:hAnsiTheme="minorHAnsi"/>
          <w:i/>
        </w:rPr>
        <w:t>laws relating to procedure, evidence, and the competency of witnesses</w:t>
      </w:r>
      <w:r w:rsidRPr="00621E76">
        <w:rPr>
          <w:rFonts w:asciiTheme="minorHAnsi" w:hAnsiTheme="minorHAnsi"/>
        </w:rPr>
        <w:t>”, it is not confined to those laws.</w:t>
      </w:r>
      <w:r w:rsidR="00B75869" w:rsidRPr="00621E76">
        <w:rPr>
          <w:rFonts w:asciiTheme="minorHAnsi" w:hAnsiTheme="minorHAnsi"/>
        </w:rPr>
        <w:t xml:space="preserve"> </w:t>
      </w:r>
      <w:r w:rsidRPr="00621E76">
        <w:rPr>
          <w:rFonts w:asciiTheme="minorHAnsi" w:hAnsiTheme="minorHAnsi"/>
        </w:rPr>
        <w:t xml:space="preserve"> </w:t>
      </w:r>
      <w:r w:rsidR="00F5508B" w:rsidRPr="00621E76">
        <w:rPr>
          <w:rFonts w:asciiTheme="minorHAnsi" w:hAnsiTheme="minorHAnsi"/>
        </w:rPr>
        <w:t>But since s 79(1) is directed to courts exercising federal jurisdiction the laws must be of a kind which are capable of being binding on them; the section is not, for example, directed to the rights and liabilities of those engaged in non-curial procedures under State laws</w:t>
      </w:r>
      <w:r w:rsidR="00B11803" w:rsidRPr="00621E76">
        <w:rPr>
          <w:rFonts w:asciiTheme="minorHAnsi" w:hAnsiTheme="minorHAnsi"/>
        </w:rPr>
        <w:t>.</w:t>
      </w:r>
      <w:r w:rsidR="00B11803" w:rsidRPr="00621E76">
        <w:rPr>
          <w:rStyle w:val="Style"/>
          <w:rFonts w:asciiTheme="minorHAnsi" w:hAnsiTheme="minorHAnsi"/>
        </w:rPr>
        <w:footnoteReference w:id="63"/>
      </w:r>
      <w:r w:rsidR="009E0C56" w:rsidRPr="00621E76">
        <w:rPr>
          <w:rFonts w:asciiTheme="minorHAnsi" w:hAnsiTheme="minorHAnsi"/>
        </w:rPr>
        <w:t xml:space="preserve">  Nor does it have any application to officers of the executive governments of the States or Territories</w:t>
      </w:r>
      <w:r w:rsidR="009E0C56" w:rsidRPr="00621E76">
        <w:rPr>
          <w:rFonts w:ascii="Calibri" w:hAnsi="Calibri"/>
        </w:rPr>
        <w:t>.</w:t>
      </w:r>
      <w:r w:rsidR="009E0C56" w:rsidRPr="00621E76">
        <w:rPr>
          <w:rStyle w:val="Style"/>
          <w:rFonts w:asciiTheme="minorHAnsi" w:hAnsiTheme="minorHAnsi"/>
        </w:rPr>
        <w:footnoteReference w:id="64"/>
      </w:r>
    </w:p>
    <w:p w14:paraId="7646C351" w14:textId="77777777" w:rsidR="0079046A" w:rsidRPr="00621E76" w:rsidRDefault="0079046A" w:rsidP="00EB7F1E">
      <w:pPr>
        <w:pStyle w:val="ListParagraph"/>
        <w:rPr>
          <w:rFonts w:asciiTheme="minorHAnsi" w:hAnsiTheme="minorHAnsi"/>
        </w:rPr>
      </w:pPr>
    </w:p>
    <w:p w14:paraId="7C9DFCF4" w14:textId="70DE94A9" w:rsidR="00D459AC" w:rsidRPr="00621E76" w:rsidRDefault="00D459AC" w:rsidP="00D459AC">
      <w:pPr>
        <w:pStyle w:val="Heading3"/>
      </w:pPr>
      <w:bookmarkStart w:id="96" w:name="_Toc33602753"/>
      <w:r w:rsidRPr="00621E76">
        <w:t>Qualifications on the application of State and Territory laws</w:t>
      </w:r>
      <w:bookmarkEnd w:id="96"/>
    </w:p>
    <w:p w14:paraId="5F81F4D0" w14:textId="77777777" w:rsidR="00D459AC" w:rsidRPr="00621E76" w:rsidRDefault="00D459AC" w:rsidP="00EB7F1E">
      <w:pPr>
        <w:pStyle w:val="BodyText"/>
        <w:keepNext/>
        <w:spacing w:line="276" w:lineRule="auto"/>
        <w:ind w:right="170"/>
        <w:jc w:val="both"/>
        <w:rPr>
          <w:rFonts w:asciiTheme="minorHAnsi" w:hAnsiTheme="minorHAnsi"/>
        </w:rPr>
      </w:pPr>
    </w:p>
    <w:p w14:paraId="479CF051" w14:textId="60418EA9" w:rsidR="00442285" w:rsidRPr="00621E76" w:rsidRDefault="00442285"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Sections 68</w:t>
      </w:r>
      <w:r w:rsidR="00165E9A" w:rsidRPr="00621E76">
        <w:rPr>
          <w:rFonts w:asciiTheme="minorHAnsi" w:hAnsiTheme="minorHAnsi"/>
        </w:rPr>
        <w:t>(1)</w:t>
      </w:r>
      <w:r w:rsidRPr="00621E76">
        <w:rPr>
          <w:rFonts w:asciiTheme="minorHAnsi" w:hAnsiTheme="minorHAnsi"/>
        </w:rPr>
        <w:t xml:space="preserve"> and 79</w:t>
      </w:r>
      <w:r w:rsidR="00165E9A" w:rsidRPr="00621E76">
        <w:rPr>
          <w:rFonts w:asciiTheme="minorHAnsi" w:hAnsiTheme="minorHAnsi"/>
        </w:rPr>
        <w:t>(1)</w:t>
      </w:r>
      <w:r w:rsidRPr="00621E76">
        <w:rPr>
          <w:rFonts w:asciiTheme="minorHAnsi" w:hAnsiTheme="minorHAnsi"/>
        </w:rPr>
        <w:t xml:space="preserve"> pick up and apply </w:t>
      </w:r>
      <w:r w:rsidR="00362210" w:rsidRPr="00621E76">
        <w:rPr>
          <w:rFonts w:asciiTheme="minorHAnsi" w:hAnsiTheme="minorHAnsi"/>
        </w:rPr>
        <w:t>S</w:t>
      </w:r>
      <w:r w:rsidRPr="00621E76">
        <w:rPr>
          <w:rFonts w:asciiTheme="minorHAnsi" w:hAnsiTheme="minorHAnsi"/>
        </w:rPr>
        <w:t xml:space="preserve">tate </w:t>
      </w:r>
      <w:r w:rsidR="00362210" w:rsidRPr="00621E76">
        <w:rPr>
          <w:rFonts w:asciiTheme="minorHAnsi" w:hAnsiTheme="minorHAnsi"/>
        </w:rPr>
        <w:t xml:space="preserve">and Territory </w:t>
      </w:r>
      <w:r w:rsidRPr="00621E76">
        <w:rPr>
          <w:rFonts w:asciiTheme="minorHAnsi" w:hAnsiTheme="minorHAnsi"/>
        </w:rPr>
        <w:t>law</w:t>
      </w:r>
      <w:r w:rsidR="00362210" w:rsidRPr="00621E76">
        <w:rPr>
          <w:rFonts w:asciiTheme="minorHAnsi" w:hAnsiTheme="minorHAnsi"/>
        </w:rPr>
        <w:t>s</w:t>
      </w:r>
      <w:r w:rsidRPr="00621E76">
        <w:rPr>
          <w:rFonts w:asciiTheme="minorHAnsi" w:hAnsiTheme="minorHAnsi"/>
        </w:rPr>
        <w:t xml:space="preserve"> </w:t>
      </w:r>
      <w:r w:rsidR="00811120" w:rsidRPr="00621E76">
        <w:rPr>
          <w:rFonts w:asciiTheme="minorHAnsi" w:hAnsiTheme="minorHAnsi"/>
        </w:rPr>
        <w:t xml:space="preserve">described in those </w:t>
      </w:r>
      <w:r w:rsidR="00165E9A" w:rsidRPr="00621E76">
        <w:rPr>
          <w:rFonts w:asciiTheme="minorHAnsi" w:hAnsiTheme="minorHAnsi"/>
        </w:rPr>
        <w:t xml:space="preserve">sub-sections, </w:t>
      </w:r>
      <w:r w:rsidRPr="00621E76">
        <w:rPr>
          <w:rFonts w:asciiTheme="minorHAnsi" w:hAnsiTheme="minorHAnsi"/>
        </w:rPr>
        <w:t xml:space="preserve">subject to </w:t>
      </w:r>
      <w:r w:rsidR="00985A5A" w:rsidRPr="00621E76">
        <w:rPr>
          <w:rFonts w:asciiTheme="minorHAnsi" w:hAnsiTheme="minorHAnsi"/>
        </w:rPr>
        <w:t xml:space="preserve">the </w:t>
      </w:r>
      <w:r w:rsidR="00811120" w:rsidRPr="00621E76">
        <w:rPr>
          <w:rFonts w:asciiTheme="minorHAnsi" w:hAnsiTheme="minorHAnsi"/>
        </w:rPr>
        <w:t>stated</w:t>
      </w:r>
      <w:r w:rsidRPr="00621E76">
        <w:rPr>
          <w:rFonts w:asciiTheme="minorHAnsi" w:hAnsiTheme="minorHAnsi"/>
        </w:rPr>
        <w:t xml:space="preserve"> qualifications. </w:t>
      </w:r>
      <w:r w:rsidR="00985A5A" w:rsidRPr="00621E76">
        <w:rPr>
          <w:rFonts w:asciiTheme="minorHAnsi" w:hAnsiTheme="minorHAnsi"/>
        </w:rPr>
        <w:t xml:space="preserve"> </w:t>
      </w:r>
      <w:r w:rsidRPr="00621E76">
        <w:rPr>
          <w:rFonts w:asciiTheme="minorHAnsi" w:hAnsiTheme="minorHAnsi"/>
        </w:rPr>
        <w:t>The qualifications</w:t>
      </w:r>
      <w:r w:rsidR="006B0C5B" w:rsidRPr="00621E76">
        <w:rPr>
          <w:rFonts w:asciiTheme="minorHAnsi" w:hAnsiTheme="minorHAnsi"/>
        </w:rPr>
        <w:t xml:space="preserve"> </w:t>
      </w:r>
      <w:r w:rsidRPr="00621E76">
        <w:rPr>
          <w:rFonts w:asciiTheme="minorHAnsi" w:hAnsiTheme="minorHAnsi"/>
        </w:rPr>
        <w:t>are:</w:t>
      </w:r>
    </w:p>
    <w:p w14:paraId="52D33C56" w14:textId="3F308DC1" w:rsidR="00442285" w:rsidRPr="00621E76" w:rsidRDefault="000A137E"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 xml:space="preserve">the </w:t>
      </w:r>
      <w:r w:rsidR="00BA2B0B" w:rsidRPr="00621E76">
        <w:rPr>
          <w:rFonts w:asciiTheme="minorHAnsi" w:hAnsiTheme="minorHAnsi"/>
        </w:rPr>
        <w:t xml:space="preserve">laws of a State or Territory to which s 68(1) refers apply </w:t>
      </w:r>
      <w:r w:rsidR="00AA693C" w:rsidRPr="00621E76">
        <w:rPr>
          <w:rFonts w:asciiTheme="minorHAnsi" w:hAnsiTheme="minorHAnsi"/>
        </w:rPr>
        <w:t>‘‘</w:t>
      </w:r>
      <w:r w:rsidR="00BA2B0B" w:rsidRPr="00621E76">
        <w:rPr>
          <w:rFonts w:asciiTheme="minorHAnsi" w:hAnsiTheme="minorHAnsi"/>
          <w:i/>
        </w:rPr>
        <w:t>so far as they are applicable</w:t>
      </w:r>
      <w:r w:rsidR="00AA693C" w:rsidRPr="00621E76">
        <w:rPr>
          <w:rFonts w:asciiTheme="minorHAnsi" w:hAnsiTheme="minorHAnsi"/>
        </w:rPr>
        <w:t>’’</w:t>
      </w:r>
      <w:r w:rsidR="00442285" w:rsidRPr="00621E76">
        <w:rPr>
          <w:rFonts w:asciiTheme="minorHAnsi" w:hAnsiTheme="minorHAnsi"/>
        </w:rPr>
        <w:t>;</w:t>
      </w:r>
      <w:r w:rsidRPr="00621E76">
        <w:rPr>
          <w:rFonts w:asciiTheme="minorHAnsi" w:hAnsiTheme="minorHAnsi"/>
        </w:rPr>
        <w:t xml:space="preserve"> and</w:t>
      </w:r>
    </w:p>
    <w:p w14:paraId="0CBE9107" w14:textId="7E9D61A5" w:rsidR="00442285" w:rsidRPr="00621E76" w:rsidRDefault="00BA2B0B"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the operation of s.79</w:t>
      </w:r>
      <w:r w:rsidR="00165E9A" w:rsidRPr="00621E76">
        <w:rPr>
          <w:rFonts w:asciiTheme="minorHAnsi" w:hAnsiTheme="minorHAnsi"/>
        </w:rPr>
        <w:t>(1)</w:t>
      </w:r>
      <w:r w:rsidRPr="00621E76">
        <w:rPr>
          <w:rFonts w:asciiTheme="minorHAnsi" w:hAnsiTheme="minorHAnsi"/>
        </w:rPr>
        <w:t xml:space="preserve"> is qualified by the use of the words </w:t>
      </w:r>
      <w:r w:rsidR="00AA693C" w:rsidRPr="00621E76">
        <w:rPr>
          <w:rFonts w:asciiTheme="minorHAnsi" w:hAnsiTheme="minorHAnsi"/>
        </w:rPr>
        <w:t>‘‘</w:t>
      </w:r>
      <w:r w:rsidRPr="00621E76">
        <w:rPr>
          <w:rFonts w:asciiTheme="minorHAnsi" w:hAnsiTheme="minorHAnsi"/>
          <w:i/>
        </w:rPr>
        <w:t>except as otherwise provided by the Constitution or the laws of the Commonwealth</w:t>
      </w:r>
      <w:r w:rsidR="00AA693C" w:rsidRPr="00621E76">
        <w:rPr>
          <w:rFonts w:asciiTheme="minorHAnsi" w:hAnsiTheme="minorHAnsi"/>
        </w:rPr>
        <w:t>’’</w:t>
      </w:r>
      <w:r w:rsidRPr="00621E76">
        <w:rPr>
          <w:rFonts w:asciiTheme="minorHAnsi" w:hAnsiTheme="minorHAnsi"/>
        </w:rPr>
        <w:t>.</w:t>
      </w:r>
    </w:p>
    <w:p w14:paraId="708DFA98" w14:textId="77777777" w:rsidR="004140DF" w:rsidRPr="00621E76" w:rsidRDefault="004140DF" w:rsidP="004140DF">
      <w:pPr>
        <w:pStyle w:val="BodyText"/>
        <w:spacing w:line="276" w:lineRule="auto"/>
        <w:ind w:right="170"/>
        <w:jc w:val="both"/>
        <w:rPr>
          <w:rFonts w:asciiTheme="minorHAnsi" w:hAnsiTheme="minorHAnsi"/>
        </w:rPr>
      </w:pPr>
    </w:p>
    <w:p w14:paraId="05CE6E99" w14:textId="47B4EDBF" w:rsidR="00362210" w:rsidRPr="00621E76" w:rsidRDefault="00674C0C"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In </w:t>
      </w:r>
      <w:r w:rsidR="00BA2B0B" w:rsidRPr="00621E76">
        <w:rPr>
          <w:rFonts w:asciiTheme="minorHAnsi" w:hAnsiTheme="minorHAnsi"/>
          <w:i/>
        </w:rPr>
        <w:t>Putland</w:t>
      </w:r>
      <w:r w:rsidR="00362210" w:rsidRPr="00621E76">
        <w:rPr>
          <w:rFonts w:asciiTheme="minorHAnsi" w:hAnsiTheme="minorHAnsi"/>
        </w:rPr>
        <w:t>,</w:t>
      </w:r>
      <w:r w:rsidR="008C2FD9" w:rsidRPr="00621E76">
        <w:rPr>
          <w:rStyle w:val="Style"/>
          <w:rFonts w:asciiTheme="minorHAnsi" w:hAnsiTheme="minorHAnsi"/>
        </w:rPr>
        <w:footnoteReference w:id="65"/>
      </w:r>
      <w:r w:rsidR="00362210" w:rsidRPr="00621E76">
        <w:rPr>
          <w:rFonts w:asciiTheme="minorHAnsi" w:hAnsiTheme="minorHAnsi"/>
        </w:rPr>
        <w:t xml:space="preserve"> </w:t>
      </w:r>
      <w:r w:rsidR="00811120" w:rsidRPr="00621E76">
        <w:rPr>
          <w:rFonts w:asciiTheme="minorHAnsi" w:hAnsiTheme="minorHAnsi"/>
        </w:rPr>
        <w:t xml:space="preserve">Gleeson CJ said that </w:t>
      </w:r>
      <w:r w:rsidR="006B0C5B" w:rsidRPr="00621E76">
        <w:rPr>
          <w:rFonts w:asciiTheme="minorHAnsi" w:hAnsiTheme="minorHAnsi"/>
        </w:rPr>
        <w:t>there was “</w:t>
      </w:r>
      <w:r w:rsidR="00BA2B0B" w:rsidRPr="00621E76">
        <w:rPr>
          <w:rFonts w:asciiTheme="minorHAnsi" w:hAnsiTheme="minorHAnsi"/>
          <w:i/>
        </w:rPr>
        <w:t>little, if any, functional difference between the two forms of qualification</w:t>
      </w:r>
      <w:r w:rsidR="00BA2B0B" w:rsidRPr="00621E76">
        <w:rPr>
          <w:rFonts w:asciiTheme="minorHAnsi" w:hAnsiTheme="minorHAnsi"/>
        </w:rPr>
        <w:t>”</w:t>
      </w:r>
      <w:r w:rsidR="006B0C5B" w:rsidRPr="00621E76">
        <w:rPr>
          <w:rFonts w:asciiTheme="minorHAnsi" w:hAnsiTheme="minorHAnsi"/>
        </w:rPr>
        <w:t>.</w:t>
      </w:r>
    </w:p>
    <w:p w14:paraId="5B7587C5" w14:textId="77777777" w:rsidR="001E337B" w:rsidRPr="00621E76" w:rsidRDefault="001E337B">
      <w:pPr>
        <w:autoSpaceDE w:val="0"/>
        <w:autoSpaceDN w:val="0"/>
        <w:adjustRightInd w:val="0"/>
        <w:rPr>
          <w:rFonts w:asciiTheme="minorHAnsi" w:hAnsiTheme="minorHAnsi"/>
        </w:rPr>
      </w:pPr>
    </w:p>
    <w:p w14:paraId="3205BC5F" w14:textId="76B7E3F6" w:rsidR="006309C5" w:rsidRPr="00621E76" w:rsidRDefault="003F0DA7"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Therefore, in determining whether a State or Territory law is picked up and applied by s</w:t>
      </w:r>
      <w:r w:rsidR="006309C5" w:rsidRPr="00621E76">
        <w:rPr>
          <w:rFonts w:asciiTheme="minorHAnsi" w:hAnsiTheme="minorHAnsi"/>
        </w:rPr>
        <w:t xml:space="preserve"> </w:t>
      </w:r>
      <w:r w:rsidRPr="00621E76">
        <w:rPr>
          <w:rFonts w:asciiTheme="minorHAnsi" w:hAnsiTheme="minorHAnsi"/>
        </w:rPr>
        <w:t>68</w:t>
      </w:r>
      <w:r w:rsidR="00165E9A" w:rsidRPr="00621E76">
        <w:rPr>
          <w:rFonts w:asciiTheme="minorHAnsi" w:hAnsiTheme="minorHAnsi"/>
        </w:rPr>
        <w:t>(1)</w:t>
      </w:r>
      <w:r w:rsidRPr="00621E76">
        <w:rPr>
          <w:rFonts w:asciiTheme="minorHAnsi" w:hAnsiTheme="minorHAnsi"/>
        </w:rPr>
        <w:t xml:space="preserve"> or s</w:t>
      </w:r>
      <w:r w:rsidR="006309C5" w:rsidRPr="00621E76">
        <w:rPr>
          <w:rFonts w:asciiTheme="minorHAnsi" w:hAnsiTheme="minorHAnsi"/>
        </w:rPr>
        <w:t xml:space="preserve"> </w:t>
      </w:r>
      <w:r w:rsidRPr="00621E76">
        <w:rPr>
          <w:rFonts w:asciiTheme="minorHAnsi" w:hAnsiTheme="minorHAnsi"/>
        </w:rPr>
        <w:t>79</w:t>
      </w:r>
      <w:r w:rsidR="00165E9A" w:rsidRPr="00621E76">
        <w:rPr>
          <w:rFonts w:asciiTheme="minorHAnsi" w:hAnsiTheme="minorHAnsi"/>
        </w:rPr>
        <w:t>(1)</w:t>
      </w:r>
      <w:r w:rsidRPr="00621E76">
        <w:rPr>
          <w:rFonts w:asciiTheme="minorHAnsi" w:hAnsiTheme="minorHAnsi"/>
        </w:rPr>
        <w:t xml:space="preserve"> of the </w:t>
      </w:r>
      <w:r w:rsidR="00BA2B0B" w:rsidRPr="00621E76">
        <w:rPr>
          <w:rFonts w:asciiTheme="minorHAnsi" w:hAnsiTheme="minorHAnsi"/>
          <w:i/>
        </w:rPr>
        <w:t>Judiciary Act</w:t>
      </w:r>
      <w:r w:rsidRPr="00621E76">
        <w:rPr>
          <w:rFonts w:asciiTheme="minorHAnsi" w:hAnsiTheme="minorHAnsi"/>
        </w:rPr>
        <w:t xml:space="preserve">, it is necessary to consider whether </w:t>
      </w:r>
      <w:r w:rsidR="009A6411" w:rsidRPr="00621E76">
        <w:rPr>
          <w:rFonts w:asciiTheme="minorHAnsi" w:hAnsiTheme="minorHAnsi"/>
        </w:rPr>
        <w:t xml:space="preserve">the Constitution or </w:t>
      </w:r>
      <w:r w:rsidR="0031619C" w:rsidRPr="00621E76">
        <w:rPr>
          <w:rFonts w:asciiTheme="minorHAnsi" w:hAnsiTheme="minorHAnsi"/>
        </w:rPr>
        <w:t xml:space="preserve">any </w:t>
      </w:r>
      <w:r w:rsidRPr="00621E76">
        <w:rPr>
          <w:rFonts w:asciiTheme="minorHAnsi" w:hAnsiTheme="minorHAnsi"/>
        </w:rPr>
        <w:t xml:space="preserve">Commonwealth law </w:t>
      </w:r>
      <w:r w:rsidR="0031619C" w:rsidRPr="00621E76">
        <w:rPr>
          <w:rFonts w:asciiTheme="minorHAnsi" w:hAnsiTheme="minorHAnsi"/>
        </w:rPr>
        <w:t xml:space="preserve">has the effect of excluding the application </w:t>
      </w:r>
      <w:r w:rsidR="004140DF" w:rsidRPr="00621E76">
        <w:rPr>
          <w:rFonts w:asciiTheme="minorHAnsi" w:hAnsiTheme="minorHAnsi"/>
        </w:rPr>
        <w:t>of the State or Territory law.</w:t>
      </w:r>
    </w:p>
    <w:p w14:paraId="01ACC510" w14:textId="77777777" w:rsidR="006309C5" w:rsidRPr="00621E76" w:rsidRDefault="006309C5" w:rsidP="006309C5">
      <w:pPr>
        <w:pStyle w:val="ListParagraph"/>
        <w:rPr>
          <w:rFonts w:asciiTheme="minorHAnsi" w:hAnsiTheme="minorHAnsi"/>
        </w:rPr>
      </w:pPr>
    </w:p>
    <w:p w14:paraId="46E68681" w14:textId="2647EA47" w:rsidR="001E337B" w:rsidRPr="00621E76" w:rsidRDefault="0031619C"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A State or Territory law of the kind described in s</w:t>
      </w:r>
      <w:r w:rsidR="006309C5" w:rsidRPr="00621E76">
        <w:rPr>
          <w:rFonts w:asciiTheme="minorHAnsi" w:hAnsiTheme="minorHAnsi"/>
        </w:rPr>
        <w:t xml:space="preserve"> </w:t>
      </w:r>
      <w:r w:rsidRPr="00621E76">
        <w:rPr>
          <w:rFonts w:asciiTheme="minorHAnsi" w:hAnsiTheme="minorHAnsi"/>
        </w:rPr>
        <w:t>68</w:t>
      </w:r>
      <w:r w:rsidR="00165E9A" w:rsidRPr="00621E76">
        <w:rPr>
          <w:rFonts w:asciiTheme="minorHAnsi" w:hAnsiTheme="minorHAnsi"/>
        </w:rPr>
        <w:t>(1)</w:t>
      </w:r>
      <w:r w:rsidRPr="00621E76">
        <w:rPr>
          <w:rFonts w:asciiTheme="minorHAnsi" w:hAnsiTheme="minorHAnsi"/>
        </w:rPr>
        <w:t xml:space="preserve"> or s</w:t>
      </w:r>
      <w:r w:rsidR="006309C5" w:rsidRPr="00621E76">
        <w:rPr>
          <w:rFonts w:asciiTheme="minorHAnsi" w:hAnsiTheme="minorHAnsi"/>
        </w:rPr>
        <w:t xml:space="preserve"> </w:t>
      </w:r>
      <w:r w:rsidRPr="00621E76">
        <w:rPr>
          <w:rFonts w:asciiTheme="minorHAnsi" w:hAnsiTheme="minorHAnsi"/>
        </w:rPr>
        <w:t>79</w:t>
      </w:r>
      <w:r w:rsidR="00165E9A" w:rsidRPr="00621E76">
        <w:rPr>
          <w:rFonts w:asciiTheme="minorHAnsi" w:hAnsiTheme="minorHAnsi"/>
        </w:rPr>
        <w:t>(1)</w:t>
      </w:r>
      <w:r w:rsidRPr="00621E76">
        <w:rPr>
          <w:rFonts w:asciiTheme="minorHAnsi" w:hAnsiTheme="minorHAnsi"/>
        </w:rPr>
        <w:t xml:space="preserve"> would not be picked up and applied if “</w:t>
      </w:r>
      <w:r w:rsidR="00BA2B0B" w:rsidRPr="00621E76">
        <w:rPr>
          <w:rFonts w:asciiTheme="minorHAnsi" w:hAnsiTheme="minorHAnsi"/>
          <w:i/>
        </w:rPr>
        <w:t xml:space="preserve">a Commonwealth law expressly or by implication made contrary provision, or if there were a Commonwealth legislative scheme ... which was </w:t>
      </w:r>
      <w:r w:rsidR="00AA693C" w:rsidRPr="00621E76">
        <w:rPr>
          <w:rFonts w:asciiTheme="minorHAnsi" w:hAnsiTheme="minorHAnsi"/>
          <w:i/>
        </w:rPr>
        <w:t>‘‘</w:t>
      </w:r>
      <w:r w:rsidR="00BA2B0B" w:rsidRPr="00621E76">
        <w:rPr>
          <w:rFonts w:asciiTheme="minorHAnsi" w:hAnsiTheme="minorHAnsi"/>
          <w:i/>
        </w:rPr>
        <w:t>complete upon its face</w:t>
      </w:r>
      <w:r w:rsidR="00AA693C" w:rsidRPr="00621E76">
        <w:rPr>
          <w:rFonts w:asciiTheme="minorHAnsi" w:hAnsiTheme="minorHAnsi"/>
          <w:i/>
        </w:rPr>
        <w:t>’’</w:t>
      </w:r>
      <w:r w:rsidR="00BA2B0B" w:rsidRPr="00621E76">
        <w:rPr>
          <w:rFonts w:asciiTheme="minorHAnsi" w:hAnsiTheme="minorHAnsi"/>
          <w:i/>
        </w:rPr>
        <w:t xml:space="preserve"> and can </w:t>
      </w:r>
      <w:r w:rsidR="00AA693C" w:rsidRPr="00621E76">
        <w:rPr>
          <w:rFonts w:asciiTheme="minorHAnsi" w:hAnsiTheme="minorHAnsi"/>
          <w:i/>
        </w:rPr>
        <w:t>‘‘</w:t>
      </w:r>
      <w:r w:rsidR="00BA2B0B" w:rsidRPr="00621E76">
        <w:rPr>
          <w:rFonts w:asciiTheme="minorHAnsi" w:hAnsiTheme="minorHAnsi"/>
          <w:i/>
        </w:rPr>
        <w:t>be seen to have left no room</w:t>
      </w:r>
      <w:r w:rsidR="00AA693C" w:rsidRPr="00621E76">
        <w:rPr>
          <w:rFonts w:asciiTheme="minorHAnsi" w:hAnsiTheme="minorHAnsi"/>
          <w:i/>
        </w:rPr>
        <w:t>’’</w:t>
      </w:r>
      <w:r w:rsidR="00BA2B0B" w:rsidRPr="00621E76">
        <w:rPr>
          <w:rFonts w:asciiTheme="minorHAnsi" w:hAnsiTheme="minorHAnsi"/>
          <w:i/>
        </w:rPr>
        <w:t xml:space="preserve"> for the operation of</w:t>
      </w:r>
      <w:r w:rsidRPr="00621E76">
        <w:rPr>
          <w:rFonts w:asciiTheme="minorHAnsi" w:hAnsiTheme="minorHAnsi"/>
        </w:rPr>
        <w:t>”</w:t>
      </w:r>
      <w:r w:rsidR="00BA2B0B" w:rsidRPr="00621E76">
        <w:rPr>
          <w:rFonts w:asciiTheme="minorHAnsi" w:hAnsiTheme="minorHAnsi"/>
        </w:rPr>
        <w:t xml:space="preserve"> </w:t>
      </w:r>
      <w:r w:rsidRPr="00621E76">
        <w:rPr>
          <w:rFonts w:asciiTheme="minorHAnsi" w:hAnsiTheme="minorHAnsi"/>
        </w:rPr>
        <w:t>the State or Territory law.</w:t>
      </w:r>
      <w:r w:rsidRPr="00621E76">
        <w:rPr>
          <w:rStyle w:val="Style"/>
          <w:rFonts w:asciiTheme="minorHAnsi" w:hAnsiTheme="minorHAnsi"/>
        </w:rPr>
        <w:footnoteReference w:id="66"/>
      </w:r>
    </w:p>
    <w:p w14:paraId="4363F527" w14:textId="77777777" w:rsidR="00983ECE" w:rsidRPr="00621E76" w:rsidRDefault="00983ECE">
      <w:pPr>
        <w:autoSpaceDE w:val="0"/>
        <w:autoSpaceDN w:val="0"/>
        <w:adjustRightInd w:val="0"/>
        <w:spacing w:line="276" w:lineRule="auto"/>
        <w:ind w:right="170"/>
        <w:rPr>
          <w:rFonts w:asciiTheme="minorHAnsi" w:hAnsiTheme="minorHAnsi"/>
        </w:rPr>
      </w:pPr>
    </w:p>
    <w:p w14:paraId="65CEB672" w14:textId="47B1CF64" w:rsidR="00D459AC" w:rsidRPr="00621E76" w:rsidRDefault="00FA0CD2" w:rsidP="00D459AC">
      <w:pPr>
        <w:pStyle w:val="Heading3"/>
      </w:pPr>
      <w:bookmarkStart w:id="97" w:name="_Ref10701302"/>
      <w:bookmarkStart w:id="98" w:name="_Ref10701305"/>
      <w:bookmarkStart w:id="99" w:name="_Toc33602754"/>
      <w:r w:rsidRPr="00621E76">
        <w:t>Legislative schemes which leave no room for the operation of State/Territory laws</w:t>
      </w:r>
      <w:bookmarkEnd w:id="97"/>
      <w:bookmarkEnd w:id="98"/>
      <w:bookmarkEnd w:id="99"/>
    </w:p>
    <w:p w14:paraId="463A217C" w14:textId="77777777" w:rsidR="00D459AC" w:rsidRPr="00621E76" w:rsidRDefault="00D459AC" w:rsidP="00D459AC">
      <w:pPr>
        <w:pStyle w:val="BodyText"/>
        <w:keepNext/>
        <w:spacing w:line="276" w:lineRule="auto"/>
        <w:ind w:right="170"/>
        <w:jc w:val="both"/>
        <w:rPr>
          <w:rFonts w:asciiTheme="minorHAnsi" w:hAnsiTheme="minorHAnsi"/>
        </w:rPr>
      </w:pPr>
    </w:p>
    <w:p w14:paraId="28824FD9" w14:textId="17699839" w:rsidR="009A6411" w:rsidRPr="00621E76" w:rsidRDefault="009A6411"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Whether</w:t>
      </w:r>
      <w:r w:rsidR="002E54DA" w:rsidRPr="00621E76">
        <w:rPr>
          <w:rFonts w:asciiTheme="minorHAnsi" w:hAnsiTheme="minorHAnsi"/>
        </w:rPr>
        <w:t>, for the purposes of s 68(1) or s 79(1)</w:t>
      </w:r>
      <w:r w:rsidRPr="00621E76">
        <w:rPr>
          <w:rFonts w:asciiTheme="minorHAnsi" w:hAnsiTheme="minorHAnsi"/>
        </w:rPr>
        <w:t xml:space="preserve"> </w:t>
      </w:r>
      <w:r w:rsidR="002E54DA" w:rsidRPr="00621E76">
        <w:rPr>
          <w:rFonts w:asciiTheme="minorHAnsi" w:hAnsiTheme="minorHAnsi"/>
        </w:rPr>
        <w:t xml:space="preserve">of the </w:t>
      </w:r>
      <w:r w:rsidR="002E54DA" w:rsidRPr="00621E76">
        <w:rPr>
          <w:rFonts w:asciiTheme="minorHAnsi" w:hAnsiTheme="minorHAnsi"/>
          <w:i/>
        </w:rPr>
        <w:t xml:space="preserve">Judiciary Act 1903 </w:t>
      </w:r>
      <w:r w:rsidR="002E54DA" w:rsidRPr="00621E76">
        <w:rPr>
          <w:rFonts w:asciiTheme="minorHAnsi" w:hAnsiTheme="minorHAnsi"/>
        </w:rPr>
        <w:t xml:space="preserve">(Cth), </w:t>
      </w:r>
      <w:r w:rsidRPr="00621E76">
        <w:rPr>
          <w:rFonts w:asciiTheme="minorHAnsi" w:hAnsiTheme="minorHAnsi"/>
        </w:rPr>
        <w:t xml:space="preserve">a Commonwealth </w:t>
      </w:r>
      <w:r w:rsidR="00D030BA" w:rsidRPr="00621E76">
        <w:rPr>
          <w:rFonts w:asciiTheme="minorHAnsi" w:hAnsiTheme="minorHAnsi"/>
        </w:rPr>
        <w:t xml:space="preserve">law makes contrary provision or whether a Commonwealth </w:t>
      </w:r>
      <w:r w:rsidRPr="00621E76">
        <w:rPr>
          <w:rFonts w:asciiTheme="minorHAnsi" w:hAnsiTheme="minorHAnsi"/>
        </w:rPr>
        <w:t xml:space="preserve">legislative scheme is complete on its face or leaves no room for the operation of a State or Territory law often raises difficult </w:t>
      </w:r>
      <w:r w:rsidR="00D030BA" w:rsidRPr="00621E76">
        <w:rPr>
          <w:rFonts w:asciiTheme="minorHAnsi" w:hAnsiTheme="minorHAnsi"/>
        </w:rPr>
        <w:t>issues of statutory interpretation.</w:t>
      </w:r>
    </w:p>
    <w:p w14:paraId="7C67858F" w14:textId="77777777" w:rsidR="009A6411" w:rsidRPr="00621E76" w:rsidRDefault="009A6411" w:rsidP="00EB7F1E">
      <w:pPr>
        <w:pStyle w:val="ListParagraph"/>
        <w:rPr>
          <w:rFonts w:asciiTheme="minorHAnsi" w:hAnsiTheme="minorHAnsi"/>
        </w:rPr>
      </w:pPr>
    </w:p>
    <w:p w14:paraId="249C2682" w14:textId="04589C25" w:rsidR="00AD712B" w:rsidRPr="00621E76" w:rsidRDefault="00766AFD"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In relation to the fixing of non-parole periods for federal offences, it has been held that the scheme in Division 4 of Part </w:t>
      </w:r>
      <w:r w:rsidR="00E45830" w:rsidRPr="00621E76">
        <w:rPr>
          <w:rFonts w:asciiTheme="minorHAnsi" w:hAnsiTheme="minorHAnsi"/>
        </w:rPr>
        <w:t>IB</w:t>
      </w:r>
      <w:r w:rsidRPr="00621E76">
        <w:rPr>
          <w:rFonts w:asciiTheme="minorHAnsi" w:hAnsiTheme="minorHAnsi"/>
        </w:rPr>
        <w:t xml:space="preserve"> of the </w:t>
      </w:r>
      <w:r w:rsidR="00885EFD" w:rsidRPr="00621E76">
        <w:rPr>
          <w:rFonts w:asciiTheme="minorHAnsi" w:hAnsiTheme="minorHAnsi"/>
          <w:i/>
        </w:rPr>
        <w:t>Crimes Act 1914</w:t>
      </w:r>
      <w:r w:rsidRPr="00621E76">
        <w:rPr>
          <w:rFonts w:asciiTheme="minorHAnsi" w:hAnsiTheme="minorHAnsi"/>
        </w:rPr>
        <w:t xml:space="preserve"> </w:t>
      </w:r>
      <w:r w:rsidR="002E54DA" w:rsidRPr="00621E76">
        <w:rPr>
          <w:rFonts w:asciiTheme="minorHAnsi" w:hAnsiTheme="minorHAnsi"/>
        </w:rPr>
        <w:t xml:space="preserve">(Cth) </w:t>
      </w:r>
      <w:r w:rsidRPr="00621E76">
        <w:rPr>
          <w:rFonts w:asciiTheme="minorHAnsi" w:hAnsiTheme="minorHAnsi"/>
        </w:rPr>
        <w:t>was complete upon its face and left no room for the application of State law.</w:t>
      </w:r>
      <w:r w:rsidR="00442285" w:rsidRPr="00621E76">
        <w:rPr>
          <w:rStyle w:val="Style"/>
          <w:rFonts w:asciiTheme="minorHAnsi" w:hAnsiTheme="minorHAnsi"/>
        </w:rPr>
        <w:footnoteReference w:id="67"/>
      </w:r>
      <w:r w:rsidRPr="00621E76">
        <w:rPr>
          <w:rFonts w:asciiTheme="minorHAnsi" w:hAnsiTheme="minorHAnsi"/>
        </w:rPr>
        <w:t xml:space="preserve">  </w:t>
      </w:r>
    </w:p>
    <w:p w14:paraId="157E155B" w14:textId="77777777" w:rsidR="00AD712B" w:rsidRPr="00621E76" w:rsidRDefault="00AD712B" w:rsidP="00AD712B">
      <w:pPr>
        <w:pStyle w:val="ListParagraph"/>
        <w:rPr>
          <w:rFonts w:asciiTheme="minorHAnsi" w:hAnsiTheme="minorHAnsi"/>
        </w:rPr>
      </w:pPr>
    </w:p>
    <w:p w14:paraId="1DAA60F3" w14:textId="7BD45EDC" w:rsidR="004C6FC7" w:rsidRPr="00621E76" w:rsidRDefault="004C6FC7"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Similarly, the sentencing options set out in the </w:t>
      </w:r>
      <w:r w:rsidR="00885EFD" w:rsidRPr="00621E76">
        <w:rPr>
          <w:rFonts w:asciiTheme="minorHAnsi" w:hAnsiTheme="minorHAnsi"/>
          <w:i/>
        </w:rPr>
        <w:t>Crimes Act 1914</w:t>
      </w:r>
      <w:r w:rsidRPr="00621E76">
        <w:rPr>
          <w:rFonts w:asciiTheme="minorHAnsi" w:hAnsiTheme="minorHAnsi"/>
        </w:rPr>
        <w:t xml:space="preserve"> (together with any other options provided by other Commonwealth laws) constitute a code</w:t>
      </w:r>
      <w:r w:rsidR="00D66D31" w:rsidRPr="00621E76">
        <w:rPr>
          <w:rFonts w:asciiTheme="minorHAnsi" w:hAnsiTheme="minorHAnsi"/>
        </w:rPr>
        <w:t>;</w:t>
      </w:r>
      <w:r w:rsidRPr="00621E76">
        <w:rPr>
          <w:rFonts w:asciiTheme="minorHAnsi" w:hAnsiTheme="minorHAnsi"/>
        </w:rPr>
        <w:t xml:space="preserve"> </w:t>
      </w:r>
      <w:r w:rsidR="00D66D31" w:rsidRPr="00621E76">
        <w:rPr>
          <w:rFonts w:asciiTheme="minorHAnsi" w:hAnsiTheme="minorHAnsi"/>
        </w:rPr>
        <w:t xml:space="preserve">neither </w:t>
      </w:r>
      <w:r w:rsidRPr="00621E76">
        <w:rPr>
          <w:rFonts w:asciiTheme="minorHAnsi" w:hAnsiTheme="minorHAnsi"/>
        </w:rPr>
        <w:t xml:space="preserve">s 68 </w:t>
      </w:r>
      <w:r w:rsidR="00D66D31" w:rsidRPr="00621E76">
        <w:rPr>
          <w:rFonts w:asciiTheme="minorHAnsi" w:hAnsiTheme="minorHAnsi"/>
        </w:rPr>
        <w:t xml:space="preserve">nor s </w:t>
      </w:r>
      <w:r w:rsidRPr="00621E76">
        <w:rPr>
          <w:rFonts w:asciiTheme="minorHAnsi" w:hAnsiTheme="minorHAnsi"/>
        </w:rPr>
        <w:t>79</w:t>
      </w:r>
      <w:r w:rsidR="002E54DA" w:rsidRPr="00621E76">
        <w:rPr>
          <w:rFonts w:asciiTheme="minorHAnsi" w:hAnsiTheme="minorHAnsi"/>
        </w:rPr>
        <w:t>(1</w:t>
      </w:r>
      <w:r w:rsidRPr="00621E76">
        <w:rPr>
          <w:rFonts w:asciiTheme="minorHAnsi" w:hAnsiTheme="minorHAnsi"/>
        </w:rPr>
        <w:t xml:space="preserve">) </w:t>
      </w:r>
      <w:r w:rsidR="00D66D31" w:rsidRPr="00621E76">
        <w:rPr>
          <w:rFonts w:asciiTheme="minorHAnsi" w:hAnsiTheme="minorHAnsi"/>
        </w:rPr>
        <w:t>has</w:t>
      </w:r>
      <w:r w:rsidRPr="00621E76">
        <w:rPr>
          <w:rFonts w:asciiTheme="minorHAnsi" w:hAnsiTheme="minorHAnsi"/>
        </w:rPr>
        <w:t xml:space="preserve"> the effect of making State or Territory sentencing options or alternatives available in the sentencing of federal offenders.</w:t>
      </w:r>
      <w:r w:rsidR="00051A41" w:rsidRPr="00621E76">
        <w:rPr>
          <w:rStyle w:val="Style"/>
          <w:rFonts w:asciiTheme="minorHAnsi" w:hAnsiTheme="minorHAnsi"/>
        </w:rPr>
        <w:footnoteReference w:id="68"/>
      </w:r>
      <w:r w:rsidRPr="00621E76">
        <w:rPr>
          <w:rFonts w:asciiTheme="minorHAnsi" w:hAnsiTheme="minorHAnsi"/>
        </w:rPr>
        <w:t xml:space="preserve">  (However some State or Territory sentencing </w:t>
      </w:r>
      <w:r w:rsidR="00B86F23" w:rsidRPr="00621E76">
        <w:rPr>
          <w:rFonts w:asciiTheme="minorHAnsi" w:hAnsiTheme="minorHAnsi"/>
        </w:rPr>
        <w:t xml:space="preserve">options </w:t>
      </w:r>
      <w:r w:rsidRPr="00621E76">
        <w:rPr>
          <w:rFonts w:asciiTheme="minorHAnsi" w:hAnsiTheme="minorHAnsi"/>
        </w:rPr>
        <w:t xml:space="preserve">are specifically picked up and applied by other Commonwealth provisions, notably s 20AB and </w:t>
      </w:r>
      <w:r w:rsidR="00A06823" w:rsidRPr="00621E76">
        <w:rPr>
          <w:rFonts w:asciiTheme="minorHAnsi" w:hAnsiTheme="minorHAnsi"/>
        </w:rPr>
        <w:t xml:space="preserve">s </w:t>
      </w:r>
      <w:r w:rsidRPr="00621E76">
        <w:rPr>
          <w:rFonts w:asciiTheme="minorHAnsi" w:hAnsiTheme="minorHAnsi"/>
        </w:rPr>
        <w:t xml:space="preserve">20C of the </w:t>
      </w:r>
      <w:r w:rsidR="00885EFD" w:rsidRPr="00621E76">
        <w:rPr>
          <w:rFonts w:asciiTheme="minorHAnsi" w:hAnsiTheme="minorHAnsi"/>
          <w:i/>
        </w:rPr>
        <w:t>Crimes Act 1914</w:t>
      </w:r>
      <w:r w:rsidRPr="00621E76">
        <w:rPr>
          <w:rFonts w:asciiTheme="minorHAnsi" w:hAnsiTheme="minorHAnsi"/>
        </w:rPr>
        <w:t xml:space="preserve">.) </w:t>
      </w:r>
    </w:p>
    <w:p w14:paraId="2C561A14" w14:textId="77777777" w:rsidR="004C6FC7" w:rsidRPr="00621E76" w:rsidRDefault="004C6FC7" w:rsidP="004C6FC7">
      <w:pPr>
        <w:pStyle w:val="ListParagraph"/>
        <w:rPr>
          <w:rFonts w:asciiTheme="minorHAnsi" w:hAnsiTheme="minorHAnsi"/>
        </w:rPr>
      </w:pPr>
    </w:p>
    <w:p w14:paraId="2943ACF8" w14:textId="11FFA3C2" w:rsidR="002E54DA" w:rsidRPr="00621E76" w:rsidRDefault="002E54DA"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The extensive nature of the provisions of Part 1B of the </w:t>
      </w:r>
      <w:r w:rsidRPr="00621E76">
        <w:rPr>
          <w:rFonts w:asciiTheme="minorHAnsi" w:hAnsiTheme="minorHAnsi"/>
          <w:i/>
        </w:rPr>
        <w:t>Crimes Act 1914</w:t>
      </w:r>
      <w:r w:rsidRPr="00621E76">
        <w:rPr>
          <w:rFonts w:asciiTheme="minorHAnsi" w:hAnsiTheme="minorHAnsi"/>
        </w:rPr>
        <w:t xml:space="preserve">, and particularly s 16A, generally leaves limited scope for State or Territory laws which specify relevant or irrelevant considerations in sentencing, or which otherwise affect the exercise of sentencing discretion, to be applied by the provisions of the </w:t>
      </w:r>
      <w:r w:rsidRPr="00621E76">
        <w:rPr>
          <w:rFonts w:asciiTheme="minorHAnsi" w:hAnsiTheme="minorHAnsi"/>
          <w:i/>
        </w:rPr>
        <w:t>Judiciary Act 1903</w:t>
      </w:r>
      <w:r w:rsidRPr="00621E76">
        <w:rPr>
          <w:rFonts w:asciiTheme="minorHAnsi" w:hAnsiTheme="minorHAnsi"/>
        </w:rPr>
        <w:t xml:space="preserve"> (Cth) to the sentencing of federal offenders.  See “</w:t>
      </w:r>
      <w:r w:rsidRPr="00621E76">
        <w:rPr>
          <w:rFonts w:asciiTheme="minorHAnsi" w:hAnsiTheme="minorHAnsi"/>
        </w:rPr>
        <w:fldChar w:fldCharType="begin"/>
      </w:r>
      <w:r w:rsidRPr="00621E76">
        <w:rPr>
          <w:rFonts w:asciiTheme="minorHAnsi" w:hAnsiTheme="minorHAnsi"/>
        </w:rPr>
        <w:instrText xml:space="preserve"> REF _Ref507854651 \r \h  \* MERGEFORMAT </w:instrText>
      </w:r>
      <w:r w:rsidRPr="00621E76">
        <w:rPr>
          <w:rFonts w:asciiTheme="minorHAnsi" w:hAnsiTheme="minorHAnsi"/>
        </w:rPr>
      </w:r>
      <w:r w:rsidRPr="00621E76">
        <w:rPr>
          <w:rFonts w:asciiTheme="minorHAnsi" w:hAnsiTheme="minorHAnsi"/>
        </w:rPr>
        <w:fldChar w:fldCharType="separate"/>
      </w:r>
      <w:r w:rsidR="00D44BCF">
        <w:rPr>
          <w:rFonts w:asciiTheme="minorHAnsi" w:hAnsiTheme="minorHAnsi"/>
        </w:rPr>
        <w:t>4.1.3</w:t>
      </w:r>
      <w:r w:rsidRPr="00621E76">
        <w:rPr>
          <w:rFonts w:asciiTheme="minorHAnsi" w:hAnsiTheme="minorHAnsi"/>
        </w:rPr>
        <w:fldChar w:fldCharType="end"/>
      </w:r>
      <w:r w:rsidRPr="00621E76">
        <w:rPr>
          <w:rFonts w:asciiTheme="minorHAnsi" w:hAnsiTheme="minorHAnsi"/>
        </w:rPr>
        <w:t xml:space="preserve"> </w:t>
      </w:r>
      <w:r w:rsidRPr="00621E76">
        <w:rPr>
          <w:rFonts w:asciiTheme="minorHAnsi" w:hAnsiTheme="minorHAnsi"/>
        </w:rPr>
        <w:fldChar w:fldCharType="begin"/>
      </w:r>
      <w:r w:rsidRPr="00621E76">
        <w:rPr>
          <w:rFonts w:asciiTheme="minorHAnsi" w:hAnsiTheme="minorHAnsi"/>
        </w:rPr>
        <w:instrText xml:space="preserve"> REF _Ref507854654 \h  \* MERGEFORMAT </w:instrText>
      </w:r>
      <w:r w:rsidRPr="00621E76">
        <w:rPr>
          <w:rFonts w:asciiTheme="minorHAnsi" w:hAnsiTheme="minorHAnsi"/>
        </w:rPr>
      </w:r>
      <w:r w:rsidRPr="00621E76">
        <w:rPr>
          <w:rFonts w:asciiTheme="minorHAnsi" w:hAnsiTheme="minorHAnsi"/>
        </w:rPr>
        <w:fldChar w:fldCharType="separate"/>
      </w:r>
      <w:r w:rsidR="00D44BCF" w:rsidRPr="00D44BCF">
        <w:rPr>
          <w:rFonts w:asciiTheme="minorHAnsi" w:hAnsiTheme="minorHAnsi"/>
        </w:rPr>
        <w:t>Limited scope for applying sentencing principles under State/Territory legislation</w:t>
      </w:r>
      <w:r w:rsidRPr="00621E76">
        <w:rPr>
          <w:rFonts w:asciiTheme="minorHAnsi" w:hAnsiTheme="minorHAnsi"/>
        </w:rPr>
        <w:fldChar w:fldCharType="end"/>
      </w:r>
      <w:r w:rsidRPr="00621E76">
        <w:rPr>
          <w:rFonts w:asciiTheme="minorHAnsi" w:hAnsiTheme="minorHAnsi"/>
        </w:rPr>
        <w:t>”.</w:t>
      </w:r>
    </w:p>
    <w:p w14:paraId="244F627D" w14:textId="77777777" w:rsidR="002E54DA" w:rsidRPr="00621E76" w:rsidRDefault="002E54DA" w:rsidP="002E54DA">
      <w:pPr>
        <w:pStyle w:val="ListParagraph"/>
        <w:rPr>
          <w:rFonts w:asciiTheme="minorHAnsi" w:hAnsiTheme="minorHAnsi"/>
        </w:rPr>
      </w:pPr>
    </w:p>
    <w:p w14:paraId="1209FD88" w14:textId="1D481EBA" w:rsidR="0047763B" w:rsidRPr="00621E76" w:rsidRDefault="00A31E35"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Part 1B will more often leave scope for the application of State and Territory laws which relate to </w:t>
      </w:r>
      <w:r w:rsidR="0009134E" w:rsidRPr="00621E76">
        <w:rPr>
          <w:rFonts w:asciiTheme="minorHAnsi" w:hAnsiTheme="minorHAnsi"/>
        </w:rPr>
        <w:t xml:space="preserve">procedural </w:t>
      </w:r>
      <w:r w:rsidRPr="00621E76">
        <w:rPr>
          <w:rFonts w:asciiTheme="minorHAnsi" w:hAnsiTheme="minorHAnsi"/>
        </w:rPr>
        <w:t xml:space="preserve">matters.  </w:t>
      </w:r>
      <w:r w:rsidR="008B187D" w:rsidRPr="00621E76">
        <w:rPr>
          <w:rFonts w:asciiTheme="minorHAnsi" w:hAnsiTheme="minorHAnsi"/>
        </w:rPr>
        <w:t>For example</w:t>
      </w:r>
      <w:r w:rsidR="00766AFD" w:rsidRPr="00621E76">
        <w:rPr>
          <w:rFonts w:asciiTheme="minorHAnsi" w:hAnsiTheme="minorHAnsi"/>
        </w:rPr>
        <w:t xml:space="preserve">, in relation to the imposition of </w:t>
      </w:r>
      <w:r w:rsidR="00DB0344" w:rsidRPr="00621E76">
        <w:rPr>
          <w:rFonts w:asciiTheme="minorHAnsi" w:hAnsiTheme="minorHAnsi"/>
        </w:rPr>
        <w:t xml:space="preserve">an </w:t>
      </w:r>
      <w:r w:rsidR="00766AFD" w:rsidRPr="00621E76">
        <w:rPr>
          <w:rFonts w:asciiTheme="minorHAnsi" w:hAnsiTheme="minorHAnsi"/>
        </w:rPr>
        <w:t xml:space="preserve">aggregate sentence </w:t>
      </w:r>
      <w:r w:rsidR="00DB0344" w:rsidRPr="00621E76">
        <w:rPr>
          <w:rFonts w:asciiTheme="minorHAnsi" w:hAnsiTheme="minorHAnsi"/>
        </w:rPr>
        <w:t xml:space="preserve">on a federal offender, </w:t>
      </w:r>
      <w:r w:rsidR="00427921" w:rsidRPr="00621E76">
        <w:rPr>
          <w:rFonts w:asciiTheme="minorHAnsi" w:hAnsiTheme="minorHAnsi"/>
        </w:rPr>
        <w:t xml:space="preserve">the High Court has held that </w:t>
      </w:r>
      <w:r w:rsidR="00766AFD" w:rsidRPr="00621E76">
        <w:rPr>
          <w:rFonts w:asciiTheme="minorHAnsi" w:hAnsiTheme="minorHAnsi"/>
        </w:rPr>
        <w:t xml:space="preserve">provision in s.4K of the </w:t>
      </w:r>
      <w:r w:rsidR="00885EFD" w:rsidRPr="00621E76">
        <w:rPr>
          <w:rFonts w:asciiTheme="minorHAnsi" w:hAnsiTheme="minorHAnsi"/>
          <w:i/>
        </w:rPr>
        <w:t>Crimes Act 1914</w:t>
      </w:r>
      <w:r w:rsidR="00766AFD" w:rsidRPr="00621E76">
        <w:rPr>
          <w:rFonts w:asciiTheme="minorHAnsi" w:hAnsiTheme="minorHAnsi"/>
        </w:rPr>
        <w:t xml:space="preserve"> for </w:t>
      </w:r>
      <w:r w:rsidR="00DB0344" w:rsidRPr="00621E76">
        <w:rPr>
          <w:rFonts w:asciiTheme="minorHAnsi" w:hAnsiTheme="minorHAnsi"/>
        </w:rPr>
        <w:t xml:space="preserve">the imposition of an aggregate sentence </w:t>
      </w:r>
      <w:r w:rsidR="00766AFD" w:rsidRPr="00621E76">
        <w:rPr>
          <w:rFonts w:asciiTheme="minorHAnsi" w:hAnsiTheme="minorHAnsi"/>
        </w:rPr>
        <w:t xml:space="preserve">by a </w:t>
      </w:r>
      <w:r w:rsidR="00DB0344" w:rsidRPr="00621E76">
        <w:rPr>
          <w:rFonts w:asciiTheme="minorHAnsi" w:hAnsiTheme="minorHAnsi"/>
        </w:rPr>
        <w:t>court of summary jurisdiction d</w:t>
      </w:r>
      <w:r w:rsidR="00427921" w:rsidRPr="00621E76">
        <w:rPr>
          <w:rFonts w:asciiTheme="minorHAnsi" w:hAnsiTheme="minorHAnsi"/>
        </w:rPr>
        <w:t>id</w:t>
      </w:r>
      <w:r w:rsidR="00DB0344" w:rsidRPr="00621E76">
        <w:rPr>
          <w:rFonts w:asciiTheme="minorHAnsi" w:hAnsiTheme="minorHAnsi"/>
        </w:rPr>
        <w:t xml:space="preserve"> not prevent a Territory law which allowed for an aggregate sentence to be imposed on indictment from being applied as surrogate federal law to the sentencing of a federal offender.</w:t>
      </w:r>
      <w:r w:rsidR="00DB0344" w:rsidRPr="00621E76">
        <w:rPr>
          <w:rStyle w:val="Style"/>
          <w:rFonts w:asciiTheme="minorHAnsi" w:hAnsiTheme="minorHAnsi"/>
        </w:rPr>
        <w:footnoteReference w:id="69"/>
      </w:r>
      <w:r w:rsidR="0047763B" w:rsidRPr="00621E76">
        <w:rPr>
          <w:rFonts w:asciiTheme="minorHAnsi" w:hAnsiTheme="minorHAnsi"/>
        </w:rPr>
        <w:t xml:space="preserve">  </w:t>
      </w:r>
      <w:r w:rsidR="007E61E9" w:rsidRPr="00621E76">
        <w:rPr>
          <w:rFonts w:asciiTheme="minorHAnsi" w:hAnsiTheme="minorHAnsi"/>
        </w:rPr>
        <w:t xml:space="preserve">Similarly, a limited power in s 19AH of the </w:t>
      </w:r>
      <w:r w:rsidR="007E61E9" w:rsidRPr="00621E76">
        <w:rPr>
          <w:rFonts w:asciiTheme="minorHAnsi" w:hAnsiTheme="minorHAnsi"/>
          <w:i/>
          <w:iCs/>
        </w:rPr>
        <w:t>Crimes Act 1914</w:t>
      </w:r>
      <w:r w:rsidR="007E61E9" w:rsidRPr="00621E76">
        <w:rPr>
          <w:rFonts w:asciiTheme="minorHAnsi" w:hAnsiTheme="minorHAnsi"/>
        </w:rPr>
        <w:t xml:space="preserve"> to correct a failure to properly fix a non-parole period or to make a recognizance release order has been held not to prevent the application of a general provision under State law allowing for an erroneous sentence to be recalled and corrected</w:t>
      </w:r>
      <w:r w:rsidR="008A0E40" w:rsidRPr="00621E76">
        <w:rPr>
          <w:rFonts w:asciiTheme="minorHAnsi" w:hAnsiTheme="minorHAnsi"/>
        </w:rPr>
        <w:t>.</w:t>
      </w:r>
      <w:r w:rsidR="008A0E40" w:rsidRPr="00621E76">
        <w:rPr>
          <w:rStyle w:val="Style"/>
          <w:rFonts w:asciiTheme="minorHAnsi" w:hAnsiTheme="minorHAnsi"/>
        </w:rPr>
        <w:footnoteReference w:id="70"/>
      </w:r>
    </w:p>
    <w:p w14:paraId="11232C22" w14:textId="77777777" w:rsidR="00AD712B" w:rsidRPr="00FF3289" w:rsidRDefault="00AD712B" w:rsidP="00AD712B">
      <w:pPr>
        <w:pStyle w:val="ListParagraph"/>
        <w:rPr>
          <w:rFonts w:asciiTheme="minorHAnsi" w:hAnsiTheme="minorHAnsi"/>
          <w:highlight w:val="yellow"/>
        </w:rPr>
      </w:pPr>
    </w:p>
    <w:p w14:paraId="41F581AA" w14:textId="38822491" w:rsidR="00561771" w:rsidRPr="00621E76" w:rsidRDefault="004363FF" w:rsidP="00561771">
      <w:pPr>
        <w:pStyle w:val="Heading3"/>
      </w:pPr>
      <w:bookmarkStart w:id="100" w:name="_Toc33602755"/>
      <w:r w:rsidRPr="00621E76">
        <w:t>State or Territory laws not applied if the Constitution provides otherwise</w:t>
      </w:r>
      <w:bookmarkEnd w:id="100"/>
    </w:p>
    <w:p w14:paraId="027C236A" w14:textId="77777777" w:rsidR="00561771" w:rsidRPr="00621E76" w:rsidRDefault="00561771" w:rsidP="00561771">
      <w:pPr>
        <w:pStyle w:val="BodyText"/>
        <w:keepNext/>
        <w:spacing w:line="276" w:lineRule="auto"/>
        <w:ind w:right="170"/>
        <w:jc w:val="both"/>
        <w:rPr>
          <w:rFonts w:asciiTheme="minorHAnsi" w:hAnsiTheme="minorHAnsi"/>
        </w:rPr>
      </w:pPr>
    </w:p>
    <w:p w14:paraId="6F674603" w14:textId="7A49312E" w:rsidR="00561771" w:rsidRPr="00621E76" w:rsidRDefault="00E24FB3"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An express exception in s 79(1) to the application of State or Territory laws arises where the Constitution otherwise provides.</w:t>
      </w:r>
      <w:r w:rsidR="00D26ACB" w:rsidRPr="00621E76">
        <w:rPr>
          <w:rFonts w:asciiTheme="minorHAnsi" w:hAnsiTheme="minorHAnsi"/>
        </w:rPr>
        <w:t xml:space="preserve">  A similar limitation is implicit in s 68(1).</w:t>
      </w:r>
      <w:r w:rsidR="00D26ACB" w:rsidRPr="00621E76">
        <w:rPr>
          <w:rStyle w:val="Style"/>
          <w:rFonts w:asciiTheme="minorHAnsi" w:hAnsiTheme="minorHAnsi"/>
        </w:rPr>
        <w:footnoteReference w:id="71"/>
      </w:r>
    </w:p>
    <w:p w14:paraId="64F09F41" w14:textId="77777777" w:rsidR="00DF7E9F" w:rsidRPr="00621E76" w:rsidRDefault="00DF7E9F" w:rsidP="00EB7F1E">
      <w:pPr>
        <w:pStyle w:val="ListParagraph"/>
        <w:rPr>
          <w:rFonts w:asciiTheme="minorHAnsi" w:hAnsiTheme="minorHAnsi"/>
        </w:rPr>
      </w:pPr>
    </w:p>
    <w:p w14:paraId="47B5FA1B" w14:textId="05FF6473" w:rsidR="005F2992" w:rsidRPr="00621E76" w:rsidRDefault="00DF7E9F"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One significant consequence is that a State or Territory law cannot be applied by s 68(1) or s 79(1) if its operation as surrogate federal law would </w:t>
      </w:r>
      <w:r w:rsidR="005F2992" w:rsidRPr="00621E76">
        <w:rPr>
          <w:rFonts w:asciiTheme="minorHAnsi" w:hAnsiTheme="minorHAnsi"/>
        </w:rPr>
        <w:t>be contrary to Chapter III of the Constitution.</w:t>
      </w:r>
      <w:r w:rsidR="00D21AEF" w:rsidRPr="00621E76">
        <w:rPr>
          <w:rStyle w:val="Style"/>
          <w:rFonts w:asciiTheme="minorHAnsi" w:hAnsiTheme="minorHAnsi"/>
        </w:rPr>
        <w:footnoteReference w:id="72"/>
      </w:r>
      <w:r w:rsidR="005F2992" w:rsidRPr="00621E76">
        <w:rPr>
          <w:rFonts w:asciiTheme="minorHAnsi" w:hAnsiTheme="minorHAnsi"/>
        </w:rPr>
        <w:t xml:space="preserve">  That could arise if</w:t>
      </w:r>
      <w:r w:rsidR="00B85B33" w:rsidRPr="00621E76">
        <w:rPr>
          <w:rFonts w:asciiTheme="minorHAnsi" w:hAnsiTheme="minorHAnsi"/>
        </w:rPr>
        <w:t>, for example,</w:t>
      </w:r>
      <w:r w:rsidR="005F2992" w:rsidRPr="00621E76">
        <w:rPr>
          <w:rFonts w:asciiTheme="minorHAnsi" w:hAnsiTheme="minorHAnsi"/>
        </w:rPr>
        <w:t xml:space="preserve"> the State or Territory law invested judicial power in a body other than a court</w:t>
      </w:r>
      <w:r w:rsidR="009C6D52" w:rsidRPr="00621E76">
        <w:rPr>
          <w:rStyle w:val="Style"/>
          <w:rFonts w:asciiTheme="minorHAnsi" w:hAnsiTheme="minorHAnsi"/>
        </w:rPr>
        <w:footnoteReference w:id="73"/>
      </w:r>
      <w:r w:rsidR="005F2992" w:rsidRPr="00621E76">
        <w:rPr>
          <w:rFonts w:asciiTheme="minorHAnsi" w:hAnsiTheme="minorHAnsi"/>
        </w:rPr>
        <w:t xml:space="preserve"> or if it invested in a court a non-judicial power or function which is </w:t>
      </w:r>
      <w:r w:rsidR="00B85B33" w:rsidRPr="00621E76">
        <w:rPr>
          <w:rFonts w:asciiTheme="minorHAnsi" w:hAnsiTheme="minorHAnsi"/>
        </w:rPr>
        <w:t>not auxiliary or incidental to the exercise of judicial power.</w:t>
      </w:r>
      <w:r w:rsidR="00B85B33" w:rsidRPr="00621E76">
        <w:rPr>
          <w:rStyle w:val="Style"/>
          <w:rFonts w:asciiTheme="minorHAnsi" w:hAnsiTheme="minorHAnsi"/>
        </w:rPr>
        <w:footnoteReference w:id="74"/>
      </w:r>
    </w:p>
    <w:p w14:paraId="593A20F2" w14:textId="77777777" w:rsidR="005F2992" w:rsidRPr="00621E76" w:rsidRDefault="005F2992" w:rsidP="00EB7F1E">
      <w:pPr>
        <w:pStyle w:val="ListParagraph"/>
        <w:rPr>
          <w:rFonts w:asciiTheme="minorHAnsi" w:hAnsiTheme="minorHAnsi"/>
        </w:rPr>
      </w:pPr>
    </w:p>
    <w:p w14:paraId="67EF8782" w14:textId="40C7E5E5" w:rsidR="00555648" w:rsidRPr="00621E76" w:rsidRDefault="00D36C53" w:rsidP="00555648">
      <w:pPr>
        <w:pStyle w:val="Heading3"/>
      </w:pPr>
      <w:bookmarkStart w:id="101" w:name="_Toc10384435"/>
      <w:bookmarkStart w:id="102" w:name="_Toc10458553"/>
      <w:bookmarkStart w:id="103" w:name="_Toc10559469"/>
      <w:bookmarkStart w:id="104" w:name="_Toc10640614"/>
      <w:bookmarkStart w:id="105" w:name="_Toc10718522"/>
      <w:bookmarkStart w:id="106" w:name="_Toc10889248"/>
      <w:bookmarkStart w:id="107" w:name="_Toc10890689"/>
      <w:bookmarkStart w:id="108" w:name="_Toc11078645"/>
      <w:bookmarkStart w:id="109" w:name="_Toc11086909"/>
      <w:bookmarkStart w:id="110" w:name="_Toc11087286"/>
      <w:bookmarkStart w:id="111" w:name="_Toc11239984"/>
      <w:bookmarkStart w:id="112" w:name="_Toc11405348"/>
      <w:bookmarkStart w:id="113" w:name="_Toc11407125"/>
      <w:bookmarkStart w:id="114" w:name="_Toc11485714"/>
      <w:bookmarkStart w:id="115" w:name="_Toc11583241"/>
      <w:bookmarkStart w:id="116" w:name="_Toc11692639"/>
      <w:bookmarkStart w:id="117" w:name="_Toc11773145"/>
      <w:bookmarkStart w:id="118" w:name="_Toc11826947"/>
      <w:bookmarkStart w:id="119" w:name="_Toc11833655"/>
      <w:bookmarkStart w:id="120" w:name="_Toc11848050"/>
      <w:bookmarkStart w:id="121" w:name="_Toc11851707"/>
      <w:bookmarkStart w:id="122" w:name="_Toc12608540"/>
      <w:bookmarkStart w:id="123" w:name="_Toc12706495"/>
      <w:bookmarkStart w:id="124" w:name="_Toc12860431"/>
      <w:bookmarkStart w:id="125" w:name="_Toc12862000"/>
      <w:bookmarkStart w:id="126" w:name="_Toc12864046"/>
      <w:bookmarkStart w:id="127" w:name="_Toc13551595"/>
      <w:bookmarkStart w:id="128" w:name="_Toc13737372"/>
      <w:bookmarkStart w:id="129" w:name="_Toc13737787"/>
      <w:bookmarkStart w:id="130" w:name="_Toc25308345"/>
      <w:bookmarkStart w:id="131" w:name="_Toc33602756"/>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621E76">
        <w:t>“Applicable” laws</w:t>
      </w:r>
      <w:bookmarkEnd w:id="131"/>
    </w:p>
    <w:p w14:paraId="6B2E6C47" w14:textId="77777777" w:rsidR="00555648" w:rsidRPr="00621E76" w:rsidRDefault="00555648" w:rsidP="00555648">
      <w:pPr>
        <w:pStyle w:val="BodyText"/>
        <w:keepNext/>
        <w:spacing w:line="276" w:lineRule="auto"/>
        <w:ind w:right="170"/>
        <w:jc w:val="both"/>
        <w:rPr>
          <w:rFonts w:asciiTheme="minorHAnsi" w:hAnsiTheme="minorHAnsi"/>
        </w:rPr>
      </w:pPr>
    </w:p>
    <w:p w14:paraId="35846E7C" w14:textId="1A2CB124" w:rsidR="00D36C53" w:rsidRPr="00621E76" w:rsidRDefault="00D36C53"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 specification in s 68(1) that relevant State or Territory laws apply “</w:t>
      </w:r>
      <w:r w:rsidRPr="00621E76">
        <w:rPr>
          <w:rFonts w:asciiTheme="minorHAnsi" w:hAnsiTheme="minorHAnsi"/>
          <w:i/>
        </w:rPr>
        <w:t>so far as they are applicable</w:t>
      </w:r>
      <w:r w:rsidRPr="00621E76">
        <w:rPr>
          <w:rFonts w:asciiTheme="minorHAnsi" w:hAnsiTheme="minorHAnsi"/>
        </w:rPr>
        <w:t>” has an echo in the provision in s 79(1) that State or Territory laws are binding on courts exercising federal jurisdiction in that State or Territory “</w:t>
      </w:r>
      <w:r w:rsidRPr="00621E76">
        <w:rPr>
          <w:rFonts w:asciiTheme="minorHAnsi" w:hAnsiTheme="minorHAnsi"/>
          <w:i/>
        </w:rPr>
        <w:t>in all cases to which they are applicable</w:t>
      </w:r>
      <w:r w:rsidRPr="00621E76">
        <w:rPr>
          <w:rFonts w:asciiTheme="minorHAnsi" w:hAnsiTheme="minorHAnsi"/>
        </w:rPr>
        <w:t>”.</w:t>
      </w:r>
    </w:p>
    <w:p w14:paraId="348F6869" w14:textId="77777777" w:rsidR="00D36C53" w:rsidRPr="00621E76" w:rsidRDefault="00D36C53" w:rsidP="00D36C53">
      <w:pPr>
        <w:pStyle w:val="ListParagraph"/>
        <w:rPr>
          <w:rFonts w:asciiTheme="minorHAnsi" w:hAnsiTheme="minorHAnsi"/>
        </w:rPr>
      </w:pPr>
    </w:p>
    <w:p w14:paraId="5C97855C" w14:textId="7CABD3C8" w:rsidR="00D36C53" w:rsidRPr="00621E76" w:rsidRDefault="00D36C53"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 mere fact that a State or Territory law in its own terms is directed to the sentencing of a State or Territory offender does not necessarily prevent it from being “applicable” as surrogate federal law</w:t>
      </w:r>
      <w:r w:rsidR="004256C1" w:rsidRPr="00621E76">
        <w:rPr>
          <w:rFonts w:asciiTheme="minorHAnsi" w:hAnsiTheme="minorHAnsi"/>
        </w:rPr>
        <w:t xml:space="preserve"> under s 68(1) or s 79(1)</w:t>
      </w:r>
      <w:r w:rsidRPr="00621E76">
        <w:rPr>
          <w:rFonts w:asciiTheme="minorHAnsi" w:hAnsiTheme="minorHAnsi"/>
        </w:rPr>
        <w:t>.</w:t>
      </w:r>
      <w:r w:rsidR="004256C1" w:rsidRPr="00621E76">
        <w:rPr>
          <w:rFonts w:asciiTheme="minorHAnsi" w:hAnsiTheme="minorHAnsi"/>
        </w:rPr>
        <w:t xml:space="preserve">  For example, a State procedural law may refer to proceedings for an “offence”</w:t>
      </w:r>
      <w:r w:rsidR="001339BE" w:rsidRPr="00621E76">
        <w:rPr>
          <w:rFonts w:asciiTheme="minorHAnsi" w:hAnsiTheme="minorHAnsi"/>
        </w:rPr>
        <w:t>.</w:t>
      </w:r>
      <w:r w:rsidR="001339BE" w:rsidRPr="00621E76">
        <w:rPr>
          <w:rFonts w:ascii="Calibri" w:hAnsi="Calibri"/>
        </w:rPr>
        <w:t xml:space="preserve"> </w:t>
      </w:r>
      <w:r w:rsidR="006E2B69" w:rsidRPr="00621E76">
        <w:rPr>
          <w:rFonts w:ascii="Calibri" w:hAnsi="Calibri"/>
        </w:rPr>
        <w:t xml:space="preserve"> </w:t>
      </w:r>
      <w:r w:rsidR="001339BE" w:rsidRPr="00621E76">
        <w:rPr>
          <w:rFonts w:asciiTheme="minorHAnsi" w:hAnsiTheme="minorHAnsi"/>
        </w:rPr>
        <w:t>On ordinary principles of construction, such a reference will usually mean only an offence against the law of that State or Territory.</w:t>
      </w:r>
      <w:r w:rsidR="001339BE" w:rsidRPr="00621E76">
        <w:rPr>
          <w:rStyle w:val="Style"/>
          <w:rFonts w:asciiTheme="minorHAnsi" w:hAnsiTheme="minorHAnsi"/>
        </w:rPr>
        <w:footnoteReference w:id="75"/>
      </w:r>
      <w:r w:rsidR="001339BE" w:rsidRPr="00621E76">
        <w:rPr>
          <w:rFonts w:asciiTheme="minorHAnsi" w:hAnsiTheme="minorHAnsi"/>
        </w:rPr>
        <w:t xml:space="preserve"> </w:t>
      </w:r>
      <w:r w:rsidR="00E65076" w:rsidRPr="00621E76">
        <w:rPr>
          <w:rFonts w:asciiTheme="minorHAnsi" w:hAnsiTheme="minorHAnsi"/>
        </w:rPr>
        <w:t xml:space="preserve"> </w:t>
      </w:r>
      <w:r w:rsidR="001339BE" w:rsidRPr="00621E76">
        <w:rPr>
          <w:rFonts w:asciiTheme="minorHAnsi" w:hAnsiTheme="minorHAnsi"/>
        </w:rPr>
        <w:t>State or Territory law</w:t>
      </w:r>
      <w:r w:rsidR="00EF6823" w:rsidRPr="00621E76">
        <w:rPr>
          <w:rFonts w:asciiTheme="minorHAnsi" w:hAnsiTheme="minorHAnsi"/>
        </w:rPr>
        <w:t>s</w:t>
      </w:r>
      <w:r w:rsidR="001339BE" w:rsidRPr="00621E76">
        <w:rPr>
          <w:rFonts w:asciiTheme="minorHAnsi" w:hAnsiTheme="minorHAnsi"/>
        </w:rPr>
        <w:t xml:space="preserve"> </w:t>
      </w:r>
      <w:r w:rsidR="00EF6823" w:rsidRPr="00621E76">
        <w:rPr>
          <w:rFonts w:asciiTheme="minorHAnsi" w:hAnsiTheme="minorHAnsi"/>
        </w:rPr>
        <w:t xml:space="preserve">must not be regarded as inapplicable </w:t>
      </w:r>
      <w:r w:rsidR="006C515D" w:rsidRPr="00621E76">
        <w:rPr>
          <w:rFonts w:asciiTheme="minorHAnsi" w:hAnsiTheme="minorHAnsi"/>
        </w:rPr>
        <w:t xml:space="preserve">for that reason alone; otherwise many laws </w:t>
      </w:r>
      <w:r w:rsidR="001339BE" w:rsidRPr="00621E76">
        <w:rPr>
          <w:rFonts w:asciiTheme="minorHAnsi" w:hAnsiTheme="minorHAnsi"/>
        </w:rPr>
        <w:t xml:space="preserve">relating to criminal procedure </w:t>
      </w:r>
      <w:r w:rsidR="006C515D" w:rsidRPr="00621E76">
        <w:rPr>
          <w:rFonts w:asciiTheme="minorHAnsi" w:hAnsiTheme="minorHAnsi"/>
        </w:rPr>
        <w:t>would be</w:t>
      </w:r>
      <w:r w:rsidR="001339BE" w:rsidRPr="00621E76">
        <w:rPr>
          <w:rFonts w:asciiTheme="minorHAnsi" w:hAnsiTheme="minorHAnsi"/>
        </w:rPr>
        <w:t xml:space="preserve"> rendered incapable of being picked up and applied to a court dealing with proceedings for a Commonwealth offence</w:t>
      </w:r>
      <w:r w:rsidR="006C515D" w:rsidRPr="00621E76">
        <w:rPr>
          <w:rFonts w:asciiTheme="minorHAnsi" w:hAnsiTheme="minorHAnsi"/>
        </w:rPr>
        <w:t xml:space="preserve"> and</w:t>
      </w:r>
      <w:r w:rsidR="001339BE" w:rsidRPr="00621E76">
        <w:rPr>
          <w:rFonts w:asciiTheme="minorHAnsi" w:hAnsiTheme="minorHAnsi"/>
        </w:rPr>
        <w:t xml:space="preserve"> the efficacy of s</w:t>
      </w:r>
      <w:r w:rsidR="006E2B69" w:rsidRPr="00621E76">
        <w:rPr>
          <w:rFonts w:asciiTheme="minorHAnsi" w:hAnsiTheme="minorHAnsi"/>
        </w:rPr>
        <w:t xml:space="preserve"> </w:t>
      </w:r>
      <w:r w:rsidR="001339BE" w:rsidRPr="00621E76">
        <w:rPr>
          <w:rFonts w:asciiTheme="minorHAnsi" w:hAnsiTheme="minorHAnsi"/>
        </w:rPr>
        <w:t>68(1) and s</w:t>
      </w:r>
      <w:r w:rsidR="006E2B69" w:rsidRPr="00621E76">
        <w:rPr>
          <w:rFonts w:asciiTheme="minorHAnsi" w:hAnsiTheme="minorHAnsi"/>
        </w:rPr>
        <w:t xml:space="preserve"> </w:t>
      </w:r>
      <w:r w:rsidR="001339BE" w:rsidRPr="00621E76">
        <w:rPr>
          <w:rFonts w:asciiTheme="minorHAnsi" w:hAnsiTheme="minorHAnsi"/>
        </w:rPr>
        <w:t>79</w:t>
      </w:r>
      <w:r w:rsidR="006E2B69" w:rsidRPr="00621E76">
        <w:rPr>
          <w:rFonts w:asciiTheme="minorHAnsi" w:hAnsiTheme="minorHAnsi"/>
        </w:rPr>
        <w:t>(1)</w:t>
      </w:r>
      <w:r w:rsidR="001339BE" w:rsidRPr="00621E76">
        <w:rPr>
          <w:rFonts w:asciiTheme="minorHAnsi" w:hAnsiTheme="minorHAnsi"/>
        </w:rPr>
        <w:t xml:space="preserve"> would be severely impaired.</w:t>
      </w:r>
      <w:r w:rsidR="006E2B69" w:rsidRPr="00621E76">
        <w:rPr>
          <w:rStyle w:val="Style"/>
          <w:rFonts w:asciiTheme="minorHAnsi" w:hAnsiTheme="minorHAnsi"/>
        </w:rPr>
        <w:footnoteReference w:id="76"/>
      </w:r>
    </w:p>
    <w:p w14:paraId="2B05939C" w14:textId="77777777" w:rsidR="00A959E1" w:rsidRPr="00FF3289" w:rsidRDefault="00A959E1" w:rsidP="00EB7F1E">
      <w:pPr>
        <w:pStyle w:val="ListParagraph"/>
        <w:rPr>
          <w:rFonts w:asciiTheme="minorHAnsi" w:hAnsiTheme="minorHAnsi"/>
          <w:highlight w:val="yellow"/>
        </w:rPr>
      </w:pPr>
    </w:p>
    <w:p w14:paraId="66E8A421" w14:textId="71D6BE7F" w:rsidR="00A959E1" w:rsidRPr="00621E76" w:rsidRDefault="003F77B7"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It is well established that, except to the extent necessary to give the law federal application, s 79 of the Judiciary Act picks up State or Territory laws with their meaning unchanged; s 79 does not operate to give a State or Territory law a new or extended meaning when it is made applicable in federal jurisdiction.</w:t>
      </w:r>
      <w:r w:rsidR="008C2132" w:rsidRPr="00621E76">
        <w:rPr>
          <w:rStyle w:val="Style"/>
          <w:rFonts w:asciiTheme="minorHAnsi" w:hAnsiTheme="minorHAnsi"/>
        </w:rPr>
        <w:footnoteReference w:id="77"/>
      </w:r>
      <w:r w:rsidRPr="00621E76">
        <w:rPr>
          <w:rFonts w:asciiTheme="minorHAnsi" w:hAnsiTheme="minorHAnsi"/>
        </w:rPr>
        <w:t xml:space="preserve">  The same must be true of s 68(1).</w:t>
      </w:r>
      <w:r w:rsidR="003454CE" w:rsidRPr="00621E76">
        <w:rPr>
          <w:rStyle w:val="Style"/>
          <w:rFonts w:asciiTheme="minorHAnsi" w:hAnsiTheme="minorHAnsi"/>
        </w:rPr>
        <w:footnoteReference w:id="78"/>
      </w:r>
    </w:p>
    <w:p w14:paraId="0B95DDB8" w14:textId="77777777" w:rsidR="00D36C53" w:rsidRPr="00621E76" w:rsidRDefault="00D36C53" w:rsidP="00EB7F1E">
      <w:pPr>
        <w:pStyle w:val="ListParagraph"/>
        <w:rPr>
          <w:rFonts w:asciiTheme="minorHAnsi" w:hAnsiTheme="minorHAnsi"/>
        </w:rPr>
      </w:pPr>
    </w:p>
    <w:p w14:paraId="0EB2325B" w14:textId="206D50E3" w:rsidR="00A959E1" w:rsidRPr="00621E76" w:rsidRDefault="00B27196"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The provisions of the </w:t>
      </w:r>
      <w:r w:rsidRPr="00621E76">
        <w:rPr>
          <w:rFonts w:asciiTheme="minorHAnsi" w:hAnsiTheme="minorHAnsi"/>
          <w:i/>
        </w:rPr>
        <w:t>Judiciary Act</w:t>
      </w:r>
      <w:r w:rsidRPr="00621E76">
        <w:rPr>
          <w:rFonts w:asciiTheme="minorHAnsi" w:hAnsiTheme="minorHAnsi"/>
        </w:rPr>
        <w:t xml:space="preserve"> </w:t>
      </w:r>
      <w:r w:rsidR="001F17F7" w:rsidRPr="00621E76">
        <w:rPr>
          <w:rFonts w:asciiTheme="minorHAnsi" w:hAnsiTheme="minorHAnsi"/>
        </w:rPr>
        <w:t>will often operate to apply some provisions of a State or Territory law but not others.</w:t>
      </w:r>
      <w:r w:rsidR="001F17F7" w:rsidRPr="00621E76">
        <w:rPr>
          <w:rStyle w:val="Style"/>
          <w:rFonts w:asciiTheme="minorHAnsi" w:hAnsiTheme="minorHAnsi"/>
        </w:rPr>
        <w:footnoteReference w:id="79"/>
      </w:r>
      <w:r w:rsidR="001F17F7" w:rsidRPr="00621E76">
        <w:rPr>
          <w:rFonts w:asciiTheme="minorHAnsi" w:hAnsiTheme="minorHAnsi"/>
        </w:rPr>
        <w:t xml:space="preserve">  </w:t>
      </w:r>
      <w:r w:rsidR="00CF6877" w:rsidRPr="00621E76">
        <w:rPr>
          <w:rFonts w:asciiTheme="minorHAnsi" w:hAnsiTheme="minorHAnsi"/>
        </w:rPr>
        <w:t xml:space="preserve">For example, </w:t>
      </w:r>
      <w:r w:rsidR="009D24B4" w:rsidRPr="00621E76">
        <w:rPr>
          <w:rFonts w:asciiTheme="minorHAnsi" w:hAnsiTheme="minorHAnsi"/>
        </w:rPr>
        <w:t xml:space="preserve">while </w:t>
      </w:r>
      <w:r w:rsidR="00CF6877" w:rsidRPr="00621E76">
        <w:rPr>
          <w:rFonts w:asciiTheme="minorHAnsi" w:hAnsiTheme="minorHAnsi"/>
        </w:rPr>
        <w:t xml:space="preserve">provisions of a State or Territory law </w:t>
      </w:r>
      <w:r w:rsidR="00E916AF" w:rsidRPr="00621E76">
        <w:rPr>
          <w:rFonts w:asciiTheme="minorHAnsi" w:hAnsiTheme="minorHAnsi"/>
        </w:rPr>
        <w:t xml:space="preserve">relating to sentencing procedure may be generally applicable, particular provisions may be rendered inapplicable </w:t>
      </w:r>
      <w:r w:rsidR="00CF6877" w:rsidRPr="00621E76">
        <w:rPr>
          <w:rFonts w:asciiTheme="minorHAnsi" w:hAnsiTheme="minorHAnsi"/>
        </w:rPr>
        <w:t xml:space="preserve">because </w:t>
      </w:r>
      <w:r w:rsidR="00E916AF" w:rsidRPr="00621E76">
        <w:rPr>
          <w:rFonts w:asciiTheme="minorHAnsi" w:hAnsiTheme="minorHAnsi"/>
        </w:rPr>
        <w:t xml:space="preserve">Part </w:t>
      </w:r>
      <w:r w:rsidR="0028017D" w:rsidRPr="00621E76">
        <w:rPr>
          <w:rFonts w:asciiTheme="minorHAnsi" w:hAnsiTheme="minorHAnsi"/>
        </w:rPr>
        <w:t>I</w:t>
      </w:r>
      <w:r w:rsidR="00E916AF" w:rsidRPr="00621E76">
        <w:rPr>
          <w:rFonts w:asciiTheme="minorHAnsi" w:hAnsiTheme="minorHAnsi"/>
        </w:rPr>
        <w:t>B</w:t>
      </w:r>
      <w:r w:rsidR="00CF6877" w:rsidRPr="00621E76">
        <w:rPr>
          <w:rFonts w:asciiTheme="minorHAnsi" w:hAnsiTheme="minorHAnsi"/>
        </w:rPr>
        <w:t xml:space="preserve"> of the </w:t>
      </w:r>
      <w:r w:rsidR="00CF6877" w:rsidRPr="00621E76">
        <w:rPr>
          <w:rFonts w:asciiTheme="minorHAnsi" w:hAnsiTheme="minorHAnsi"/>
          <w:i/>
        </w:rPr>
        <w:t>Crimes Act 1914</w:t>
      </w:r>
      <w:r w:rsidR="00CF6877" w:rsidRPr="00621E76">
        <w:rPr>
          <w:rFonts w:asciiTheme="minorHAnsi" w:hAnsiTheme="minorHAnsi"/>
        </w:rPr>
        <w:t xml:space="preserve"> makes contrary provision or leaves no room for their operation</w:t>
      </w:r>
      <w:r w:rsidR="000E0AB8" w:rsidRPr="00621E76">
        <w:rPr>
          <w:rFonts w:asciiTheme="minorHAnsi" w:hAnsiTheme="minorHAnsi"/>
        </w:rPr>
        <w:t>.</w:t>
      </w:r>
      <w:r w:rsidR="000E0AB8" w:rsidRPr="00621E76">
        <w:rPr>
          <w:rStyle w:val="Style"/>
          <w:rFonts w:asciiTheme="minorHAnsi" w:hAnsiTheme="minorHAnsi"/>
        </w:rPr>
        <w:footnoteReference w:id="80"/>
      </w:r>
      <w:r w:rsidR="000E0AB8" w:rsidRPr="00621E76">
        <w:rPr>
          <w:rFonts w:asciiTheme="minorHAnsi" w:hAnsiTheme="minorHAnsi"/>
        </w:rPr>
        <w:t xml:space="preserve">  </w:t>
      </w:r>
      <w:r w:rsidR="0073348E" w:rsidRPr="00621E76">
        <w:rPr>
          <w:rFonts w:asciiTheme="minorHAnsi" w:hAnsiTheme="minorHAnsi"/>
        </w:rPr>
        <w:t xml:space="preserve">However s 68(1) and s 79 </w:t>
      </w:r>
      <w:r w:rsidRPr="00621E76">
        <w:rPr>
          <w:rFonts w:asciiTheme="minorHAnsi" w:hAnsiTheme="minorHAnsi"/>
        </w:rPr>
        <w:t xml:space="preserve">do not operate to apply only </w:t>
      </w:r>
      <w:r w:rsidR="00602C82" w:rsidRPr="00621E76">
        <w:rPr>
          <w:rFonts w:asciiTheme="minorHAnsi" w:hAnsiTheme="minorHAnsi"/>
        </w:rPr>
        <w:t>part, but not the whole, of an integrated legislative regime</w:t>
      </w:r>
      <w:r w:rsidR="0073348E" w:rsidRPr="00621E76">
        <w:rPr>
          <w:rFonts w:asciiTheme="minorHAnsi" w:hAnsiTheme="minorHAnsi"/>
        </w:rPr>
        <w:t xml:space="preserve"> so as to give an altered meaning or effect to that severed part of State or Territory legislation</w:t>
      </w:r>
      <w:r w:rsidR="001F17F7" w:rsidRPr="00621E76">
        <w:rPr>
          <w:rFonts w:asciiTheme="minorHAnsi" w:hAnsiTheme="minorHAnsi"/>
        </w:rPr>
        <w:t>.</w:t>
      </w:r>
      <w:r w:rsidR="001F17F7" w:rsidRPr="00621E76">
        <w:rPr>
          <w:rStyle w:val="Style"/>
          <w:rFonts w:asciiTheme="minorHAnsi" w:hAnsiTheme="minorHAnsi"/>
        </w:rPr>
        <w:footnoteReference w:id="81"/>
      </w:r>
    </w:p>
    <w:p w14:paraId="0B0A17DA" w14:textId="77777777" w:rsidR="00FA0CD2" w:rsidRPr="002E69E1" w:rsidRDefault="00FA0CD2" w:rsidP="006A6EE3">
      <w:pPr>
        <w:pStyle w:val="ListParagraph"/>
        <w:rPr>
          <w:rFonts w:asciiTheme="minorHAnsi" w:hAnsiTheme="minorHAnsi"/>
        </w:rPr>
      </w:pPr>
    </w:p>
    <w:p w14:paraId="78A70734" w14:textId="77777777" w:rsidR="00B03360" w:rsidRPr="002E69E1" w:rsidRDefault="00B03360" w:rsidP="00D531E9">
      <w:pPr>
        <w:pStyle w:val="Heading2"/>
        <w:rPr>
          <w:rStyle w:val="Strong"/>
          <w:b/>
          <w:bCs w:val="0"/>
        </w:rPr>
      </w:pPr>
      <w:bookmarkStart w:id="132" w:name="_Toc9487858"/>
      <w:bookmarkStart w:id="133" w:name="_Toc9935350"/>
      <w:bookmarkStart w:id="134" w:name="_Toc10198217"/>
      <w:bookmarkStart w:id="135" w:name="_Toc10384437"/>
      <w:bookmarkStart w:id="136" w:name="_Toc10458555"/>
      <w:bookmarkStart w:id="137" w:name="_Toc10559471"/>
      <w:bookmarkStart w:id="138" w:name="_Toc10640616"/>
      <w:bookmarkStart w:id="139" w:name="_Toc10718524"/>
      <w:bookmarkStart w:id="140" w:name="_Toc10889250"/>
      <w:bookmarkStart w:id="141" w:name="_Toc10890691"/>
      <w:bookmarkStart w:id="142" w:name="_Toc11078647"/>
      <w:bookmarkStart w:id="143" w:name="_Toc11086911"/>
      <w:bookmarkStart w:id="144" w:name="_Toc11087288"/>
      <w:bookmarkStart w:id="145" w:name="_Toc11239986"/>
      <w:bookmarkStart w:id="146" w:name="_Toc11405350"/>
      <w:bookmarkStart w:id="147" w:name="_Toc11407127"/>
      <w:bookmarkStart w:id="148" w:name="_Toc11485716"/>
      <w:bookmarkStart w:id="149" w:name="_Toc11583243"/>
      <w:bookmarkStart w:id="150" w:name="_Toc11692641"/>
      <w:bookmarkStart w:id="151" w:name="_Toc11773147"/>
      <w:bookmarkStart w:id="152" w:name="_Toc11826949"/>
      <w:bookmarkStart w:id="153" w:name="_Toc11833657"/>
      <w:bookmarkStart w:id="154" w:name="_Toc11848052"/>
      <w:bookmarkStart w:id="155" w:name="_Toc11851709"/>
      <w:bookmarkStart w:id="156" w:name="_Toc12608542"/>
      <w:bookmarkStart w:id="157" w:name="_Toc12706497"/>
      <w:bookmarkStart w:id="158" w:name="_Toc12860433"/>
      <w:bookmarkStart w:id="159" w:name="_Toc12862002"/>
      <w:bookmarkStart w:id="160" w:name="_Toc12864048"/>
      <w:bookmarkStart w:id="161" w:name="_Toc13551597"/>
      <w:bookmarkStart w:id="162" w:name="_Toc13737374"/>
      <w:bookmarkStart w:id="163" w:name="_Toc13737789"/>
      <w:bookmarkStart w:id="164" w:name="_Toc25308347"/>
      <w:bookmarkStart w:id="165" w:name="_Toc9487859"/>
      <w:bookmarkStart w:id="166" w:name="_Toc9935351"/>
      <w:bookmarkStart w:id="167" w:name="_Toc10198218"/>
      <w:bookmarkStart w:id="168" w:name="_Toc10384438"/>
      <w:bookmarkStart w:id="169" w:name="_Toc10458556"/>
      <w:bookmarkStart w:id="170" w:name="_Toc10559472"/>
      <w:bookmarkStart w:id="171" w:name="_Toc10640617"/>
      <w:bookmarkStart w:id="172" w:name="_Toc10718525"/>
      <w:bookmarkStart w:id="173" w:name="_Toc10889251"/>
      <w:bookmarkStart w:id="174" w:name="_Toc10890692"/>
      <w:bookmarkStart w:id="175" w:name="_Toc11078648"/>
      <w:bookmarkStart w:id="176" w:name="_Toc11086912"/>
      <w:bookmarkStart w:id="177" w:name="_Toc11087289"/>
      <w:bookmarkStart w:id="178" w:name="_Toc11239987"/>
      <w:bookmarkStart w:id="179" w:name="_Toc11405351"/>
      <w:bookmarkStart w:id="180" w:name="_Toc11407128"/>
      <w:bookmarkStart w:id="181" w:name="_Toc11485717"/>
      <w:bookmarkStart w:id="182" w:name="_Toc11583244"/>
      <w:bookmarkStart w:id="183" w:name="_Toc11692642"/>
      <w:bookmarkStart w:id="184" w:name="_Toc11773148"/>
      <w:bookmarkStart w:id="185" w:name="_Toc11826950"/>
      <w:bookmarkStart w:id="186" w:name="_Toc11833658"/>
      <w:bookmarkStart w:id="187" w:name="_Toc11848053"/>
      <w:bookmarkStart w:id="188" w:name="_Toc11851710"/>
      <w:bookmarkStart w:id="189" w:name="_Toc12608543"/>
      <w:bookmarkStart w:id="190" w:name="_Toc12706498"/>
      <w:bookmarkStart w:id="191" w:name="_Toc12860434"/>
      <w:bookmarkStart w:id="192" w:name="_Toc12862003"/>
      <w:bookmarkStart w:id="193" w:name="_Toc12864049"/>
      <w:bookmarkStart w:id="194" w:name="_Toc13551598"/>
      <w:bookmarkStart w:id="195" w:name="_Toc13737375"/>
      <w:bookmarkStart w:id="196" w:name="_Toc13737790"/>
      <w:bookmarkStart w:id="197" w:name="_Toc25308348"/>
      <w:bookmarkStart w:id="198" w:name="_Toc9487860"/>
      <w:bookmarkStart w:id="199" w:name="_Toc9935352"/>
      <w:bookmarkStart w:id="200" w:name="_Toc10198219"/>
      <w:bookmarkStart w:id="201" w:name="_Toc10384439"/>
      <w:bookmarkStart w:id="202" w:name="_Toc10458557"/>
      <w:bookmarkStart w:id="203" w:name="_Toc10559473"/>
      <w:bookmarkStart w:id="204" w:name="_Toc10640618"/>
      <w:bookmarkStart w:id="205" w:name="_Toc10718526"/>
      <w:bookmarkStart w:id="206" w:name="_Toc10889252"/>
      <w:bookmarkStart w:id="207" w:name="_Toc10890693"/>
      <w:bookmarkStart w:id="208" w:name="_Toc11078649"/>
      <w:bookmarkStart w:id="209" w:name="_Toc11086913"/>
      <w:bookmarkStart w:id="210" w:name="_Toc11087290"/>
      <w:bookmarkStart w:id="211" w:name="_Toc11239988"/>
      <w:bookmarkStart w:id="212" w:name="_Toc11405352"/>
      <w:bookmarkStart w:id="213" w:name="_Toc11407129"/>
      <w:bookmarkStart w:id="214" w:name="_Toc11485718"/>
      <w:bookmarkStart w:id="215" w:name="_Toc11583245"/>
      <w:bookmarkStart w:id="216" w:name="_Toc11692643"/>
      <w:bookmarkStart w:id="217" w:name="_Toc11773149"/>
      <w:bookmarkStart w:id="218" w:name="_Toc11826951"/>
      <w:bookmarkStart w:id="219" w:name="_Toc11833659"/>
      <w:bookmarkStart w:id="220" w:name="_Toc11848054"/>
      <w:bookmarkStart w:id="221" w:name="_Toc11851711"/>
      <w:bookmarkStart w:id="222" w:name="_Toc12608544"/>
      <w:bookmarkStart w:id="223" w:name="_Toc12706499"/>
      <w:bookmarkStart w:id="224" w:name="_Toc12860435"/>
      <w:bookmarkStart w:id="225" w:name="_Toc12862004"/>
      <w:bookmarkStart w:id="226" w:name="_Toc12864050"/>
      <w:bookmarkStart w:id="227" w:name="_Toc13551599"/>
      <w:bookmarkStart w:id="228" w:name="_Toc13737376"/>
      <w:bookmarkStart w:id="229" w:name="_Toc13737791"/>
      <w:bookmarkStart w:id="230" w:name="_Toc25308349"/>
      <w:bookmarkStart w:id="231" w:name="_Toc9487861"/>
      <w:bookmarkStart w:id="232" w:name="_Toc9935353"/>
      <w:bookmarkStart w:id="233" w:name="_Toc10198220"/>
      <w:bookmarkStart w:id="234" w:name="_Toc10384440"/>
      <w:bookmarkStart w:id="235" w:name="_Toc10458558"/>
      <w:bookmarkStart w:id="236" w:name="_Toc10559474"/>
      <w:bookmarkStart w:id="237" w:name="_Toc10640619"/>
      <w:bookmarkStart w:id="238" w:name="_Toc10718527"/>
      <w:bookmarkStart w:id="239" w:name="_Toc10889253"/>
      <w:bookmarkStart w:id="240" w:name="_Toc10890694"/>
      <w:bookmarkStart w:id="241" w:name="_Toc11078650"/>
      <w:bookmarkStart w:id="242" w:name="_Toc11086914"/>
      <w:bookmarkStart w:id="243" w:name="_Toc11087291"/>
      <w:bookmarkStart w:id="244" w:name="_Toc11239989"/>
      <w:bookmarkStart w:id="245" w:name="_Toc11405353"/>
      <w:bookmarkStart w:id="246" w:name="_Toc11407130"/>
      <w:bookmarkStart w:id="247" w:name="_Toc11485719"/>
      <w:bookmarkStart w:id="248" w:name="_Toc11583246"/>
      <w:bookmarkStart w:id="249" w:name="_Toc11692644"/>
      <w:bookmarkStart w:id="250" w:name="_Toc11773150"/>
      <w:bookmarkStart w:id="251" w:name="_Toc11826952"/>
      <w:bookmarkStart w:id="252" w:name="_Toc11833660"/>
      <w:bookmarkStart w:id="253" w:name="_Toc11848055"/>
      <w:bookmarkStart w:id="254" w:name="_Toc11851712"/>
      <w:bookmarkStart w:id="255" w:name="_Toc12608545"/>
      <w:bookmarkStart w:id="256" w:name="_Toc12706500"/>
      <w:bookmarkStart w:id="257" w:name="_Toc12860436"/>
      <w:bookmarkStart w:id="258" w:name="_Toc12862005"/>
      <w:bookmarkStart w:id="259" w:name="_Toc12864051"/>
      <w:bookmarkStart w:id="260" w:name="_Toc13551600"/>
      <w:bookmarkStart w:id="261" w:name="_Toc13737377"/>
      <w:bookmarkStart w:id="262" w:name="_Toc13737792"/>
      <w:bookmarkStart w:id="263" w:name="_Toc25308350"/>
      <w:bookmarkStart w:id="264" w:name="_Toc9487862"/>
      <w:bookmarkStart w:id="265" w:name="_Toc9935354"/>
      <w:bookmarkStart w:id="266" w:name="_Toc10198221"/>
      <w:bookmarkStart w:id="267" w:name="_Toc10384441"/>
      <w:bookmarkStart w:id="268" w:name="_Toc10458559"/>
      <w:bookmarkStart w:id="269" w:name="_Toc10559475"/>
      <w:bookmarkStart w:id="270" w:name="_Toc10640620"/>
      <w:bookmarkStart w:id="271" w:name="_Toc10718528"/>
      <w:bookmarkStart w:id="272" w:name="_Toc10889254"/>
      <w:bookmarkStart w:id="273" w:name="_Toc10890695"/>
      <w:bookmarkStart w:id="274" w:name="_Toc11078651"/>
      <w:bookmarkStart w:id="275" w:name="_Toc11086915"/>
      <w:bookmarkStart w:id="276" w:name="_Toc11087292"/>
      <w:bookmarkStart w:id="277" w:name="_Toc11239990"/>
      <w:bookmarkStart w:id="278" w:name="_Toc11405354"/>
      <w:bookmarkStart w:id="279" w:name="_Toc11407131"/>
      <w:bookmarkStart w:id="280" w:name="_Toc11485720"/>
      <w:bookmarkStart w:id="281" w:name="_Toc11583247"/>
      <w:bookmarkStart w:id="282" w:name="_Toc11692645"/>
      <w:bookmarkStart w:id="283" w:name="_Toc11773151"/>
      <w:bookmarkStart w:id="284" w:name="_Toc11826953"/>
      <w:bookmarkStart w:id="285" w:name="_Toc11833661"/>
      <w:bookmarkStart w:id="286" w:name="_Toc11848056"/>
      <w:bookmarkStart w:id="287" w:name="_Toc11851713"/>
      <w:bookmarkStart w:id="288" w:name="_Toc12608546"/>
      <w:bookmarkStart w:id="289" w:name="_Toc12706501"/>
      <w:bookmarkStart w:id="290" w:name="_Toc12860437"/>
      <w:bookmarkStart w:id="291" w:name="_Toc12862006"/>
      <w:bookmarkStart w:id="292" w:name="_Toc12864052"/>
      <w:bookmarkStart w:id="293" w:name="_Toc13551601"/>
      <w:bookmarkStart w:id="294" w:name="_Toc13737378"/>
      <w:bookmarkStart w:id="295" w:name="_Toc13737793"/>
      <w:bookmarkStart w:id="296" w:name="_Toc25308351"/>
      <w:bookmarkStart w:id="297" w:name="_Toc9487863"/>
      <w:bookmarkStart w:id="298" w:name="_Toc9935355"/>
      <w:bookmarkStart w:id="299" w:name="_Toc10198222"/>
      <w:bookmarkStart w:id="300" w:name="_Toc10384442"/>
      <w:bookmarkStart w:id="301" w:name="_Toc10458560"/>
      <w:bookmarkStart w:id="302" w:name="_Toc10559476"/>
      <w:bookmarkStart w:id="303" w:name="_Toc10640621"/>
      <w:bookmarkStart w:id="304" w:name="_Toc10718529"/>
      <w:bookmarkStart w:id="305" w:name="_Toc10889255"/>
      <w:bookmarkStart w:id="306" w:name="_Toc10890696"/>
      <w:bookmarkStart w:id="307" w:name="_Toc11078652"/>
      <w:bookmarkStart w:id="308" w:name="_Toc11086916"/>
      <w:bookmarkStart w:id="309" w:name="_Toc11087293"/>
      <w:bookmarkStart w:id="310" w:name="_Toc11239991"/>
      <w:bookmarkStart w:id="311" w:name="_Toc11405355"/>
      <w:bookmarkStart w:id="312" w:name="_Toc11407132"/>
      <w:bookmarkStart w:id="313" w:name="_Toc11485721"/>
      <w:bookmarkStart w:id="314" w:name="_Toc11583248"/>
      <w:bookmarkStart w:id="315" w:name="_Toc11692646"/>
      <w:bookmarkStart w:id="316" w:name="_Toc11773152"/>
      <w:bookmarkStart w:id="317" w:name="_Toc11826954"/>
      <w:bookmarkStart w:id="318" w:name="_Toc11833662"/>
      <w:bookmarkStart w:id="319" w:name="_Toc11848057"/>
      <w:bookmarkStart w:id="320" w:name="_Toc11851714"/>
      <w:bookmarkStart w:id="321" w:name="_Toc12608547"/>
      <w:bookmarkStart w:id="322" w:name="_Toc12706502"/>
      <w:bookmarkStart w:id="323" w:name="_Toc12860438"/>
      <w:bookmarkStart w:id="324" w:name="_Toc12862007"/>
      <w:bookmarkStart w:id="325" w:name="_Toc12864053"/>
      <w:bookmarkStart w:id="326" w:name="_Toc13551602"/>
      <w:bookmarkStart w:id="327" w:name="_Toc13737379"/>
      <w:bookmarkStart w:id="328" w:name="_Toc13737794"/>
      <w:bookmarkStart w:id="329" w:name="_Toc25308352"/>
      <w:bookmarkStart w:id="330" w:name="_Toc9487864"/>
      <w:bookmarkStart w:id="331" w:name="_Toc9935356"/>
      <w:bookmarkStart w:id="332" w:name="_Toc10198223"/>
      <w:bookmarkStart w:id="333" w:name="_Toc10384443"/>
      <w:bookmarkStart w:id="334" w:name="_Toc10458561"/>
      <w:bookmarkStart w:id="335" w:name="_Toc10559477"/>
      <w:bookmarkStart w:id="336" w:name="_Toc10640622"/>
      <w:bookmarkStart w:id="337" w:name="_Toc10718530"/>
      <w:bookmarkStart w:id="338" w:name="_Toc10889256"/>
      <w:bookmarkStart w:id="339" w:name="_Toc10890697"/>
      <w:bookmarkStart w:id="340" w:name="_Toc11078653"/>
      <w:bookmarkStart w:id="341" w:name="_Toc11086917"/>
      <w:bookmarkStart w:id="342" w:name="_Toc11087294"/>
      <w:bookmarkStart w:id="343" w:name="_Toc11239992"/>
      <w:bookmarkStart w:id="344" w:name="_Toc11405356"/>
      <w:bookmarkStart w:id="345" w:name="_Toc11407133"/>
      <w:bookmarkStart w:id="346" w:name="_Toc11485722"/>
      <w:bookmarkStart w:id="347" w:name="_Toc11583249"/>
      <w:bookmarkStart w:id="348" w:name="_Toc11692647"/>
      <w:bookmarkStart w:id="349" w:name="_Toc11773153"/>
      <w:bookmarkStart w:id="350" w:name="_Toc11826955"/>
      <w:bookmarkStart w:id="351" w:name="_Toc11833663"/>
      <w:bookmarkStart w:id="352" w:name="_Toc11848058"/>
      <w:bookmarkStart w:id="353" w:name="_Toc11851715"/>
      <w:bookmarkStart w:id="354" w:name="_Toc12608548"/>
      <w:bookmarkStart w:id="355" w:name="_Toc12706503"/>
      <w:bookmarkStart w:id="356" w:name="_Toc12860439"/>
      <w:bookmarkStart w:id="357" w:name="_Toc12862008"/>
      <w:bookmarkStart w:id="358" w:name="_Toc12864054"/>
      <w:bookmarkStart w:id="359" w:name="_Toc13551603"/>
      <w:bookmarkStart w:id="360" w:name="_Toc13737380"/>
      <w:bookmarkStart w:id="361" w:name="_Toc13737795"/>
      <w:bookmarkStart w:id="362" w:name="_Toc25308353"/>
      <w:bookmarkStart w:id="363" w:name="_Toc9487865"/>
      <w:bookmarkStart w:id="364" w:name="_Toc9935357"/>
      <w:bookmarkStart w:id="365" w:name="_Toc10198224"/>
      <w:bookmarkStart w:id="366" w:name="_Toc10384444"/>
      <w:bookmarkStart w:id="367" w:name="_Toc10458562"/>
      <w:bookmarkStart w:id="368" w:name="_Toc10559478"/>
      <w:bookmarkStart w:id="369" w:name="_Toc10640623"/>
      <w:bookmarkStart w:id="370" w:name="_Toc10718531"/>
      <w:bookmarkStart w:id="371" w:name="_Toc10889257"/>
      <w:bookmarkStart w:id="372" w:name="_Toc10890698"/>
      <w:bookmarkStart w:id="373" w:name="_Toc11078654"/>
      <w:bookmarkStart w:id="374" w:name="_Toc11086918"/>
      <w:bookmarkStart w:id="375" w:name="_Toc11087295"/>
      <w:bookmarkStart w:id="376" w:name="_Toc11239993"/>
      <w:bookmarkStart w:id="377" w:name="_Toc11405357"/>
      <w:bookmarkStart w:id="378" w:name="_Toc11407134"/>
      <w:bookmarkStart w:id="379" w:name="_Toc11485723"/>
      <w:bookmarkStart w:id="380" w:name="_Toc11583250"/>
      <w:bookmarkStart w:id="381" w:name="_Toc11692648"/>
      <w:bookmarkStart w:id="382" w:name="_Toc11773154"/>
      <w:bookmarkStart w:id="383" w:name="_Toc11826956"/>
      <w:bookmarkStart w:id="384" w:name="_Toc11833664"/>
      <w:bookmarkStart w:id="385" w:name="_Toc11848059"/>
      <w:bookmarkStart w:id="386" w:name="_Toc11851716"/>
      <w:bookmarkStart w:id="387" w:name="_Toc12608549"/>
      <w:bookmarkStart w:id="388" w:name="_Toc12706504"/>
      <w:bookmarkStart w:id="389" w:name="_Toc12860440"/>
      <w:bookmarkStart w:id="390" w:name="_Toc12862009"/>
      <w:bookmarkStart w:id="391" w:name="_Toc12864055"/>
      <w:bookmarkStart w:id="392" w:name="_Toc13551604"/>
      <w:bookmarkStart w:id="393" w:name="_Toc13737381"/>
      <w:bookmarkStart w:id="394" w:name="_Toc13737796"/>
      <w:bookmarkStart w:id="395" w:name="_Toc25308354"/>
      <w:bookmarkStart w:id="396" w:name="_Toc9487866"/>
      <w:bookmarkStart w:id="397" w:name="_Toc9935358"/>
      <w:bookmarkStart w:id="398" w:name="_Toc10198225"/>
      <w:bookmarkStart w:id="399" w:name="_Toc10384445"/>
      <w:bookmarkStart w:id="400" w:name="_Toc10458563"/>
      <w:bookmarkStart w:id="401" w:name="_Toc10559479"/>
      <w:bookmarkStart w:id="402" w:name="_Toc10640624"/>
      <w:bookmarkStart w:id="403" w:name="_Toc10718532"/>
      <w:bookmarkStart w:id="404" w:name="_Toc10889258"/>
      <w:bookmarkStart w:id="405" w:name="_Toc10890699"/>
      <w:bookmarkStart w:id="406" w:name="_Toc11078655"/>
      <w:bookmarkStart w:id="407" w:name="_Toc11086919"/>
      <w:bookmarkStart w:id="408" w:name="_Toc11087296"/>
      <w:bookmarkStart w:id="409" w:name="_Toc11239994"/>
      <w:bookmarkStart w:id="410" w:name="_Toc11405358"/>
      <w:bookmarkStart w:id="411" w:name="_Toc11407135"/>
      <w:bookmarkStart w:id="412" w:name="_Toc11485724"/>
      <w:bookmarkStart w:id="413" w:name="_Toc11583251"/>
      <w:bookmarkStart w:id="414" w:name="_Toc11692649"/>
      <w:bookmarkStart w:id="415" w:name="_Toc11773155"/>
      <w:bookmarkStart w:id="416" w:name="_Toc11826957"/>
      <w:bookmarkStart w:id="417" w:name="_Toc11833665"/>
      <w:bookmarkStart w:id="418" w:name="_Toc11848060"/>
      <w:bookmarkStart w:id="419" w:name="_Toc11851717"/>
      <w:bookmarkStart w:id="420" w:name="_Toc12608550"/>
      <w:bookmarkStart w:id="421" w:name="_Toc12706505"/>
      <w:bookmarkStart w:id="422" w:name="_Toc12860441"/>
      <w:bookmarkStart w:id="423" w:name="_Toc12862010"/>
      <w:bookmarkStart w:id="424" w:name="_Toc12864056"/>
      <w:bookmarkStart w:id="425" w:name="_Toc13551605"/>
      <w:bookmarkStart w:id="426" w:name="_Toc13737382"/>
      <w:bookmarkStart w:id="427" w:name="_Toc13737797"/>
      <w:bookmarkStart w:id="428" w:name="_Toc25308355"/>
      <w:bookmarkStart w:id="429" w:name="_Toc9487867"/>
      <w:bookmarkStart w:id="430" w:name="_Toc9935359"/>
      <w:bookmarkStart w:id="431" w:name="_Toc10198226"/>
      <w:bookmarkStart w:id="432" w:name="_Toc10384446"/>
      <w:bookmarkStart w:id="433" w:name="_Toc10458564"/>
      <w:bookmarkStart w:id="434" w:name="_Toc10559480"/>
      <w:bookmarkStart w:id="435" w:name="_Toc10640625"/>
      <w:bookmarkStart w:id="436" w:name="_Toc10718533"/>
      <w:bookmarkStart w:id="437" w:name="_Toc10889259"/>
      <w:bookmarkStart w:id="438" w:name="_Toc10890700"/>
      <w:bookmarkStart w:id="439" w:name="_Toc11078656"/>
      <w:bookmarkStart w:id="440" w:name="_Toc11086920"/>
      <w:bookmarkStart w:id="441" w:name="_Toc11087297"/>
      <w:bookmarkStart w:id="442" w:name="_Toc11239995"/>
      <w:bookmarkStart w:id="443" w:name="_Toc11405359"/>
      <w:bookmarkStart w:id="444" w:name="_Toc11407136"/>
      <w:bookmarkStart w:id="445" w:name="_Toc11485725"/>
      <w:bookmarkStart w:id="446" w:name="_Toc11583252"/>
      <w:bookmarkStart w:id="447" w:name="_Toc11692650"/>
      <w:bookmarkStart w:id="448" w:name="_Toc11773156"/>
      <w:bookmarkStart w:id="449" w:name="_Toc11826958"/>
      <w:bookmarkStart w:id="450" w:name="_Toc11833666"/>
      <w:bookmarkStart w:id="451" w:name="_Toc11848061"/>
      <w:bookmarkStart w:id="452" w:name="_Toc11851718"/>
      <w:bookmarkStart w:id="453" w:name="_Toc12608551"/>
      <w:bookmarkStart w:id="454" w:name="_Toc12706506"/>
      <w:bookmarkStart w:id="455" w:name="_Toc12860442"/>
      <w:bookmarkStart w:id="456" w:name="_Toc12862011"/>
      <w:bookmarkStart w:id="457" w:name="_Toc12864057"/>
      <w:bookmarkStart w:id="458" w:name="_Toc13551606"/>
      <w:bookmarkStart w:id="459" w:name="_Toc13737383"/>
      <w:bookmarkStart w:id="460" w:name="_Toc13737798"/>
      <w:bookmarkStart w:id="461" w:name="_Toc25308356"/>
      <w:bookmarkStart w:id="462" w:name="_Toc9487868"/>
      <w:bookmarkStart w:id="463" w:name="_Toc9935360"/>
      <w:bookmarkStart w:id="464" w:name="_Toc10198227"/>
      <w:bookmarkStart w:id="465" w:name="_Toc10384447"/>
      <w:bookmarkStart w:id="466" w:name="_Toc10458565"/>
      <w:bookmarkStart w:id="467" w:name="_Toc10559481"/>
      <w:bookmarkStart w:id="468" w:name="_Toc10640626"/>
      <w:bookmarkStart w:id="469" w:name="_Toc10718534"/>
      <w:bookmarkStart w:id="470" w:name="_Toc10889260"/>
      <w:bookmarkStart w:id="471" w:name="_Toc10890701"/>
      <w:bookmarkStart w:id="472" w:name="_Toc11078657"/>
      <w:bookmarkStart w:id="473" w:name="_Toc11086921"/>
      <w:bookmarkStart w:id="474" w:name="_Toc11087298"/>
      <w:bookmarkStart w:id="475" w:name="_Toc11239996"/>
      <w:bookmarkStart w:id="476" w:name="_Toc11405360"/>
      <w:bookmarkStart w:id="477" w:name="_Toc11407137"/>
      <w:bookmarkStart w:id="478" w:name="_Toc11485726"/>
      <w:bookmarkStart w:id="479" w:name="_Toc11583253"/>
      <w:bookmarkStart w:id="480" w:name="_Toc11692651"/>
      <w:bookmarkStart w:id="481" w:name="_Toc11773157"/>
      <w:bookmarkStart w:id="482" w:name="_Toc11826959"/>
      <w:bookmarkStart w:id="483" w:name="_Toc11833667"/>
      <w:bookmarkStart w:id="484" w:name="_Toc11848062"/>
      <w:bookmarkStart w:id="485" w:name="_Toc11851719"/>
      <w:bookmarkStart w:id="486" w:name="_Toc12608552"/>
      <w:bookmarkStart w:id="487" w:name="_Toc12706507"/>
      <w:bookmarkStart w:id="488" w:name="_Toc12860443"/>
      <w:bookmarkStart w:id="489" w:name="_Toc12862012"/>
      <w:bookmarkStart w:id="490" w:name="_Toc12864058"/>
      <w:bookmarkStart w:id="491" w:name="_Toc13551607"/>
      <w:bookmarkStart w:id="492" w:name="_Toc13737384"/>
      <w:bookmarkStart w:id="493" w:name="_Toc13737799"/>
      <w:bookmarkStart w:id="494" w:name="_Toc25308357"/>
      <w:bookmarkStart w:id="495" w:name="_Toc9487869"/>
      <w:bookmarkStart w:id="496" w:name="_Toc9935361"/>
      <w:bookmarkStart w:id="497" w:name="_Toc10198228"/>
      <w:bookmarkStart w:id="498" w:name="_Toc10384448"/>
      <w:bookmarkStart w:id="499" w:name="_Toc10458566"/>
      <w:bookmarkStart w:id="500" w:name="_Toc10559482"/>
      <w:bookmarkStart w:id="501" w:name="_Toc10640627"/>
      <w:bookmarkStart w:id="502" w:name="_Toc10718535"/>
      <w:bookmarkStart w:id="503" w:name="_Toc10889261"/>
      <w:bookmarkStart w:id="504" w:name="_Toc10890702"/>
      <w:bookmarkStart w:id="505" w:name="_Toc11078658"/>
      <w:bookmarkStart w:id="506" w:name="_Toc11086922"/>
      <w:bookmarkStart w:id="507" w:name="_Toc11087299"/>
      <w:bookmarkStart w:id="508" w:name="_Toc11239997"/>
      <w:bookmarkStart w:id="509" w:name="_Toc11405361"/>
      <w:bookmarkStart w:id="510" w:name="_Toc11407138"/>
      <w:bookmarkStart w:id="511" w:name="_Toc11485727"/>
      <w:bookmarkStart w:id="512" w:name="_Toc11583254"/>
      <w:bookmarkStart w:id="513" w:name="_Toc11692652"/>
      <w:bookmarkStart w:id="514" w:name="_Toc11773158"/>
      <w:bookmarkStart w:id="515" w:name="_Toc11826960"/>
      <w:bookmarkStart w:id="516" w:name="_Toc11833668"/>
      <w:bookmarkStart w:id="517" w:name="_Toc11848063"/>
      <w:bookmarkStart w:id="518" w:name="_Toc11851720"/>
      <w:bookmarkStart w:id="519" w:name="_Toc12608553"/>
      <w:bookmarkStart w:id="520" w:name="_Toc12706508"/>
      <w:bookmarkStart w:id="521" w:name="_Toc12860444"/>
      <w:bookmarkStart w:id="522" w:name="_Toc12862013"/>
      <w:bookmarkStart w:id="523" w:name="_Toc12864059"/>
      <w:bookmarkStart w:id="524" w:name="_Toc13551608"/>
      <w:bookmarkStart w:id="525" w:name="_Toc13737385"/>
      <w:bookmarkStart w:id="526" w:name="_Toc13737800"/>
      <w:bookmarkStart w:id="527" w:name="_Toc25308358"/>
      <w:bookmarkStart w:id="528" w:name="_Toc9487870"/>
      <w:bookmarkStart w:id="529" w:name="_Toc9935362"/>
      <w:bookmarkStart w:id="530" w:name="_Toc10198229"/>
      <w:bookmarkStart w:id="531" w:name="_Toc10384449"/>
      <w:bookmarkStart w:id="532" w:name="_Toc10458567"/>
      <w:bookmarkStart w:id="533" w:name="_Toc10559483"/>
      <w:bookmarkStart w:id="534" w:name="_Toc10640628"/>
      <w:bookmarkStart w:id="535" w:name="_Toc10718536"/>
      <w:bookmarkStart w:id="536" w:name="_Toc10889262"/>
      <w:bookmarkStart w:id="537" w:name="_Toc10890703"/>
      <w:bookmarkStart w:id="538" w:name="_Toc11078659"/>
      <w:bookmarkStart w:id="539" w:name="_Toc11086923"/>
      <w:bookmarkStart w:id="540" w:name="_Toc11087300"/>
      <w:bookmarkStart w:id="541" w:name="_Toc11239998"/>
      <w:bookmarkStart w:id="542" w:name="_Toc11405362"/>
      <w:bookmarkStart w:id="543" w:name="_Toc11407139"/>
      <w:bookmarkStart w:id="544" w:name="_Toc11485728"/>
      <w:bookmarkStart w:id="545" w:name="_Toc11583255"/>
      <w:bookmarkStart w:id="546" w:name="_Toc11692653"/>
      <w:bookmarkStart w:id="547" w:name="_Toc11773159"/>
      <w:bookmarkStart w:id="548" w:name="_Toc11826961"/>
      <w:bookmarkStart w:id="549" w:name="_Toc11833669"/>
      <w:bookmarkStart w:id="550" w:name="_Toc11848064"/>
      <w:bookmarkStart w:id="551" w:name="_Toc11851721"/>
      <w:bookmarkStart w:id="552" w:name="_Toc12608554"/>
      <w:bookmarkStart w:id="553" w:name="_Toc12706509"/>
      <w:bookmarkStart w:id="554" w:name="_Toc12860445"/>
      <w:bookmarkStart w:id="555" w:name="_Toc12862014"/>
      <w:bookmarkStart w:id="556" w:name="_Toc12864060"/>
      <w:bookmarkStart w:id="557" w:name="_Toc13551609"/>
      <w:bookmarkStart w:id="558" w:name="_Toc13737386"/>
      <w:bookmarkStart w:id="559" w:name="_Toc13737801"/>
      <w:bookmarkStart w:id="560" w:name="_Toc25308359"/>
      <w:bookmarkStart w:id="561" w:name="_Toc9487871"/>
      <w:bookmarkStart w:id="562" w:name="_Toc9935363"/>
      <w:bookmarkStart w:id="563" w:name="_Toc10198230"/>
      <w:bookmarkStart w:id="564" w:name="_Toc10384450"/>
      <w:bookmarkStart w:id="565" w:name="_Toc10458568"/>
      <w:bookmarkStart w:id="566" w:name="_Toc10559484"/>
      <w:bookmarkStart w:id="567" w:name="_Toc10640629"/>
      <w:bookmarkStart w:id="568" w:name="_Toc10718537"/>
      <w:bookmarkStart w:id="569" w:name="_Toc10889263"/>
      <w:bookmarkStart w:id="570" w:name="_Toc10890704"/>
      <w:bookmarkStart w:id="571" w:name="_Toc11078660"/>
      <w:bookmarkStart w:id="572" w:name="_Toc11086924"/>
      <w:bookmarkStart w:id="573" w:name="_Toc11087301"/>
      <w:bookmarkStart w:id="574" w:name="_Toc11239999"/>
      <w:bookmarkStart w:id="575" w:name="_Toc11405363"/>
      <w:bookmarkStart w:id="576" w:name="_Toc11407140"/>
      <w:bookmarkStart w:id="577" w:name="_Toc11485729"/>
      <w:bookmarkStart w:id="578" w:name="_Toc11583256"/>
      <w:bookmarkStart w:id="579" w:name="_Toc11692654"/>
      <w:bookmarkStart w:id="580" w:name="_Toc11773160"/>
      <w:bookmarkStart w:id="581" w:name="_Toc11826962"/>
      <w:bookmarkStart w:id="582" w:name="_Toc11833670"/>
      <w:bookmarkStart w:id="583" w:name="_Toc11848065"/>
      <w:bookmarkStart w:id="584" w:name="_Toc11851722"/>
      <w:bookmarkStart w:id="585" w:name="_Toc12608555"/>
      <w:bookmarkStart w:id="586" w:name="_Toc12706510"/>
      <w:bookmarkStart w:id="587" w:name="_Toc12860446"/>
      <w:bookmarkStart w:id="588" w:name="_Toc12862015"/>
      <w:bookmarkStart w:id="589" w:name="_Toc12864061"/>
      <w:bookmarkStart w:id="590" w:name="_Toc13551610"/>
      <w:bookmarkStart w:id="591" w:name="_Toc13737387"/>
      <w:bookmarkStart w:id="592" w:name="_Toc13737802"/>
      <w:bookmarkStart w:id="593" w:name="_Toc25308360"/>
      <w:bookmarkStart w:id="594" w:name="_Toc9487872"/>
      <w:bookmarkStart w:id="595" w:name="_Toc9935364"/>
      <w:bookmarkStart w:id="596" w:name="_Toc10198231"/>
      <w:bookmarkStart w:id="597" w:name="_Toc10384451"/>
      <w:bookmarkStart w:id="598" w:name="_Toc10458569"/>
      <w:bookmarkStart w:id="599" w:name="_Toc10559485"/>
      <w:bookmarkStart w:id="600" w:name="_Toc10640630"/>
      <w:bookmarkStart w:id="601" w:name="_Toc10718538"/>
      <w:bookmarkStart w:id="602" w:name="_Toc10889264"/>
      <w:bookmarkStart w:id="603" w:name="_Toc10890705"/>
      <w:bookmarkStart w:id="604" w:name="_Toc11078661"/>
      <w:bookmarkStart w:id="605" w:name="_Toc11086925"/>
      <w:bookmarkStart w:id="606" w:name="_Toc11087302"/>
      <w:bookmarkStart w:id="607" w:name="_Toc11240000"/>
      <w:bookmarkStart w:id="608" w:name="_Toc11405364"/>
      <w:bookmarkStart w:id="609" w:name="_Toc11407141"/>
      <w:bookmarkStart w:id="610" w:name="_Toc11485730"/>
      <w:bookmarkStart w:id="611" w:name="_Toc11583257"/>
      <w:bookmarkStart w:id="612" w:name="_Toc11692655"/>
      <w:bookmarkStart w:id="613" w:name="_Toc11773161"/>
      <w:bookmarkStart w:id="614" w:name="_Toc11826963"/>
      <w:bookmarkStart w:id="615" w:name="_Toc11833671"/>
      <w:bookmarkStart w:id="616" w:name="_Toc11848066"/>
      <w:bookmarkStart w:id="617" w:name="_Toc11851723"/>
      <w:bookmarkStart w:id="618" w:name="_Toc12608556"/>
      <w:bookmarkStart w:id="619" w:name="_Toc12706511"/>
      <w:bookmarkStart w:id="620" w:name="_Toc12860447"/>
      <w:bookmarkStart w:id="621" w:name="_Toc12862016"/>
      <w:bookmarkStart w:id="622" w:name="_Toc12864062"/>
      <w:bookmarkStart w:id="623" w:name="_Toc13551611"/>
      <w:bookmarkStart w:id="624" w:name="_Toc13737388"/>
      <w:bookmarkStart w:id="625" w:name="_Toc13737803"/>
      <w:bookmarkStart w:id="626" w:name="_Toc25308361"/>
      <w:bookmarkStart w:id="627" w:name="_Toc9487873"/>
      <w:bookmarkStart w:id="628" w:name="_Toc9935365"/>
      <w:bookmarkStart w:id="629" w:name="_Toc10198232"/>
      <w:bookmarkStart w:id="630" w:name="_Toc10384452"/>
      <w:bookmarkStart w:id="631" w:name="_Toc10458570"/>
      <w:bookmarkStart w:id="632" w:name="_Toc10559486"/>
      <w:bookmarkStart w:id="633" w:name="_Toc10640631"/>
      <w:bookmarkStart w:id="634" w:name="_Toc10718539"/>
      <w:bookmarkStart w:id="635" w:name="_Toc10889265"/>
      <w:bookmarkStart w:id="636" w:name="_Toc10890706"/>
      <w:bookmarkStart w:id="637" w:name="_Toc11078662"/>
      <w:bookmarkStart w:id="638" w:name="_Toc11086926"/>
      <w:bookmarkStart w:id="639" w:name="_Toc11087303"/>
      <w:bookmarkStart w:id="640" w:name="_Toc11240001"/>
      <w:bookmarkStart w:id="641" w:name="_Toc11405365"/>
      <w:bookmarkStart w:id="642" w:name="_Toc11407142"/>
      <w:bookmarkStart w:id="643" w:name="_Toc11485731"/>
      <w:bookmarkStart w:id="644" w:name="_Toc11583258"/>
      <w:bookmarkStart w:id="645" w:name="_Toc11692656"/>
      <w:bookmarkStart w:id="646" w:name="_Toc11773162"/>
      <w:bookmarkStart w:id="647" w:name="_Toc11826964"/>
      <w:bookmarkStart w:id="648" w:name="_Toc11833672"/>
      <w:bookmarkStart w:id="649" w:name="_Toc11848067"/>
      <w:bookmarkStart w:id="650" w:name="_Toc11851724"/>
      <w:bookmarkStart w:id="651" w:name="_Toc12608557"/>
      <w:bookmarkStart w:id="652" w:name="_Toc12706512"/>
      <w:bookmarkStart w:id="653" w:name="_Toc12860448"/>
      <w:bookmarkStart w:id="654" w:name="_Toc12862017"/>
      <w:bookmarkStart w:id="655" w:name="_Toc12864063"/>
      <w:bookmarkStart w:id="656" w:name="_Toc13551612"/>
      <w:bookmarkStart w:id="657" w:name="_Toc13737389"/>
      <w:bookmarkStart w:id="658" w:name="_Toc13737804"/>
      <w:bookmarkStart w:id="659" w:name="_Toc25308362"/>
      <w:bookmarkStart w:id="660" w:name="_Toc9487874"/>
      <w:bookmarkStart w:id="661" w:name="_Toc9935366"/>
      <w:bookmarkStart w:id="662" w:name="_Toc10198233"/>
      <w:bookmarkStart w:id="663" w:name="_Toc10384453"/>
      <w:bookmarkStart w:id="664" w:name="_Toc10458571"/>
      <w:bookmarkStart w:id="665" w:name="_Toc10559487"/>
      <w:bookmarkStart w:id="666" w:name="_Toc10640632"/>
      <w:bookmarkStart w:id="667" w:name="_Toc10718540"/>
      <w:bookmarkStart w:id="668" w:name="_Toc10889266"/>
      <w:bookmarkStart w:id="669" w:name="_Toc10890707"/>
      <w:bookmarkStart w:id="670" w:name="_Toc11078663"/>
      <w:bookmarkStart w:id="671" w:name="_Toc11086927"/>
      <w:bookmarkStart w:id="672" w:name="_Toc11087304"/>
      <w:bookmarkStart w:id="673" w:name="_Toc11240002"/>
      <w:bookmarkStart w:id="674" w:name="_Toc11405366"/>
      <w:bookmarkStart w:id="675" w:name="_Toc11407143"/>
      <w:bookmarkStart w:id="676" w:name="_Toc11485732"/>
      <w:bookmarkStart w:id="677" w:name="_Toc11583259"/>
      <w:bookmarkStart w:id="678" w:name="_Toc11692657"/>
      <w:bookmarkStart w:id="679" w:name="_Toc11773163"/>
      <w:bookmarkStart w:id="680" w:name="_Toc11826965"/>
      <w:bookmarkStart w:id="681" w:name="_Toc11833673"/>
      <w:bookmarkStart w:id="682" w:name="_Toc11848068"/>
      <w:bookmarkStart w:id="683" w:name="_Toc11851725"/>
      <w:bookmarkStart w:id="684" w:name="_Toc12608558"/>
      <w:bookmarkStart w:id="685" w:name="_Toc12706513"/>
      <w:bookmarkStart w:id="686" w:name="_Toc12860449"/>
      <w:bookmarkStart w:id="687" w:name="_Toc12862018"/>
      <w:bookmarkStart w:id="688" w:name="_Toc12864064"/>
      <w:bookmarkStart w:id="689" w:name="_Toc13551613"/>
      <w:bookmarkStart w:id="690" w:name="_Toc13737390"/>
      <w:bookmarkStart w:id="691" w:name="_Toc13737805"/>
      <w:bookmarkStart w:id="692" w:name="_Toc25308363"/>
      <w:bookmarkStart w:id="693" w:name="_Toc9487875"/>
      <w:bookmarkStart w:id="694" w:name="_Toc9935367"/>
      <w:bookmarkStart w:id="695" w:name="_Toc10198234"/>
      <w:bookmarkStart w:id="696" w:name="_Toc10384454"/>
      <w:bookmarkStart w:id="697" w:name="_Toc10458572"/>
      <w:bookmarkStart w:id="698" w:name="_Toc10559488"/>
      <w:bookmarkStart w:id="699" w:name="_Toc10640633"/>
      <w:bookmarkStart w:id="700" w:name="_Toc10718541"/>
      <w:bookmarkStart w:id="701" w:name="_Toc10889267"/>
      <w:bookmarkStart w:id="702" w:name="_Toc10890708"/>
      <w:bookmarkStart w:id="703" w:name="_Toc11078664"/>
      <w:bookmarkStart w:id="704" w:name="_Toc11086928"/>
      <w:bookmarkStart w:id="705" w:name="_Toc11087305"/>
      <w:bookmarkStart w:id="706" w:name="_Toc11240003"/>
      <w:bookmarkStart w:id="707" w:name="_Toc11405367"/>
      <w:bookmarkStart w:id="708" w:name="_Toc11407144"/>
      <w:bookmarkStart w:id="709" w:name="_Toc11485733"/>
      <w:bookmarkStart w:id="710" w:name="_Toc11583260"/>
      <w:bookmarkStart w:id="711" w:name="_Toc11692658"/>
      <w:bookmarkStart w:id="712" w:name="_Toc11773164"/>
      <w:bookmarkStart w:id="713" w:name="_Toc11826966"/>
      <w:bookmarkStart w:id="714" w:name="_Toc11833674"/>
      <w:bookmarkStart w:id="715" w:name="_Toc11848069"/>
      <w:bookmarkStart w:id="716" w:name="_Toc11851726"/>
      <w:bookmarkStart w:id="717" w:name="_Toc12608559"/>
      <w:bookmarkStart w:id="718" w:name="_Toc12706514"/>
      <w:bookmarkStart w:id="719" w:name="_Toc12860450"/>
      <w:bookmarkStart w:id="720" w:name="_Toc12862019"/>
      <w:bookmarkStart w:id="721" w:name="_Toc12864065"/>
      <w:bookmarkStart w:id="722" w:name="_Toc13551614"/>
      <w:bookmarkStart w:id="723" w:name="_Toc13737391"/>
      <w:bookmarkStart w:id="724" w:name="_Toc13737806"/>
      <w:bookmarkStart w:id="725" w:name="_Toc25308364"/>
      <w:bookmarkStart w:id="726" w:name="_Toc484289330"/>
      <w:bookmarkStart w:id="727" w:name="_Toc484345535"/>
      <w:bookmarkStart w:id="728" w:name="_Toc484345775"/>
      <w:bookmarkStart w:id="729" w:name="_Toc484352125"/>
      <w:bookmarkStart w:id="730" w:name="_Toc484354590"/>
      <w:bookmarkStart w:id="731" w:name="_Toc484354692"/>
      <w:bookmarkStart w:id="732" w:name="_Toc484358594"/>
      <w:bookmarkStart w:id="733" w:name="_Toc484358984"/>
      <w:bookmarkStart w:id="734" w:name="_Toc484363900"/>
      <w:bookmarkStart w:id="735" w:name="_Toc484364314"/>
      <w:bookmarkStart w:id="736" w:name="_Toc484365621"/>
      <w:bookmarkStart w:id="737" w:name="_Toc484432515"/>
      <w:bookmarkStart w:id="738" w:name="_Toc484289331"/>
      <w:bookmarkStart w:id="739" w:name="_Toc484345536"/>
      <w:bookmarkStart w:id="740" w:name="_Toc484345776"/>
      <w:bookmarkStart w:id="741" w:name="_Toc484352126"/>
      <w:bookmarkStart w:id="742" w:name="_Toc484354591"/>
      <w:bookmarkStart w:id="743" w:name="_Toc484354693"/>
      <w:bookmarkStart w:id="744" w:name="_Toc484358595"/>
      <w:bookmarkStart w:id="745" w:name="_Toc484358985"/>
      <w:bookmarkStart w:id="746" w:name="_Toc484363901"/>
      <w:bookmarkStart w:id="747" w:name="_Toc484364315"/>
      <w:bookmarkStart w:id="748" w:name="_Toc484365622"/>
      <w:bookmarkStart w:id="749" w:name="_Toc484432516"/>
      <w:bookmarkStart w:id="750" w:name="_Toc484289333"/>
      <w:bookmarkStart w:id="751" w:name="_Toc484345538"/>
      <w:bookmarkStart w:id="752" w:name="_Toc484345778"/>
      <w:bookmarkStart w:id="753" w:name="_Toc484352128"/>
      <w:bookmarkStart w:id="754" w:name="_Toc484354593"/>
      <w:bookmarkStart w:id="755" w:name="_Toc484354695"/>
      <w:bookmarkStart w:id="756" w:name="_Toc484358597"/>
      <w:bookmarkStart w:id="757" w:name="_Toc484358987"/>
      <w:bookmarkStart w:id="758" w:name="_Toc484363903"/>
      <w:bookmarkStart w:id="759" w:name="_Toc484364317"/>
      <w:bookmarkStart w:id="760" w:name="_Toc484365624"/>
      <w:bookmarkStart w:id="761" w:name="_Toc484432518"/>
      <w:bookmarkStart w:id="762" w:name="_Ref8050204"/>
      <w:bookmarkStart w:id="763" w:name="_Ref8050207"/>
      <w:bookmarkStart w:id="764" w:name="_Toc33602757"/>
      <w:bookmarkStart w:id="765" w:name="_Ref462664682"/>
      <w:bookmarkStart w:id="766" w:name="_Ref462664712"/>
      <w:bookmarkStart w:id="767" w:name="_Ref46266492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r w:rsidRPr="002E69E1">
        <w:rPr>
          <w:rStyle w:val="Strong"/>
          <w:b/>
          <w:bCs w:val="0"/>
        </w:rPr>
        <w:t>Maximum penalties for Commonwealth offences</w:t>
      </w:r>
      <w:bookmarkEnd w:id="762"/>
      <w:bookmarkEnd w:id="763"/>
      <w:bookmarkEnd w:id="764"/>
      <w:r w:rsidRPr="002E69E1">
        <w:rPr>
          <w:rStyle w:val="Strong"/>
          <w:b/>
          <w:bCs w:val="0"/>
        </w:rPr>
        <w:t xml:space="preserve"> </w:t>
      </w:r>
    </w:p>
    <w:p w14:paraId="3ACC4B4E" w14:textId="77777777" w:rsidR="00B03360" w:rsidRPr="002E69E1" w:rsidRDefault="00B03360" w:rsidP="00D531E9">
      <w:pPr>
        <w:pStyle w:val="BodyText"/>
        <w:keepNext/>
        <w:spacing w:line="276" w:lineRule="auto"/>
        <w:ind w:left="873" w:right="170"/>
        <w:jc w:val="both"/>
        <w:rPr>
          <w:rFonts w:asciiTheme="minorHAnsi" w:hAnsiTheme="minorHAnsi"/>
        </w:rPr>
      </w:pPr>
    </w:p>
    <w:p w14:paraId="1A4C603F" w14:textId="3D549E99" w:rsidR="00190895" w:rsidRPr="002E69E1" w:rsidRDefault="00B03360"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The maximum penalty for a Commonwealth offence is usually specified in the provision which creates the offence, or sometimes in another provision of the legislation which creates the offence.  If a penalty is set out at the foot of a provision of the Act, it indicates (unless the contrary intention appears) that contravention of the provision is an offence, punishable on conviction by a penalty not exceeding the penalty set out.</w:t>
      </w:r>
      <w:r w:rsidRPr="002E69E1">
        <w:rPr>
          <w:rStyle w:val="Style"/>
          <w:rFonts w:asciiTheme="minorHAnsi" w:hAnsiTheme="minorHAnsi"/>
        </w:rPr>
        <w:footnoteReference w:id="82"/>
      </w:r>
    </w:p>
    <w:p w14:paraId="72552B3F" w14:textId="77777777" w:rsidR="00190895" w:rsidRPr="002E69E1" w:rsidRDefault="00190895" w:rsidP="00190895">
      <w:pPr>
        <w:pStyle w:val="ListParagraph"/>
        <w:rPr>
          <w:rFonts w:asciiTheme="minorHAnsi" w:hAnsiTheme="minorHAnsi"/>
        </w:rPr>
      </w:pPr>
    </w:p>
    <w:p w14:paraId="4A71BB17" w14:textId="7D778EC9" w:rsidR="00B03360" w:rsidRPr="002E69E1" w:rsidRDefault="00190895"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The penalty specified is typically a period of imprisonment, or a fine, or both.  In the absence of contrary provision, these represent the maximum penalty</w:t>
      </w:r>
      <w:r w:rsidR="00905B61" w:rsidRPr="002E69E1">
        <w:rPr>
          <w:rFonts w:asciiTheme="minorHAnsi" w:hAnsiTheme="minorHAnsi"/>
        </w:rPr>
        <w:t>, not a fixed penalty</w:t>
      </w:r>
      <w:r w:rsidRPr="002E69E1">
        <w:rPr>
          <w:rFonts w:asciiTheme="minorHAnsi" w:hAnsiTheme="minorHAnsi"/>
        </w:rPr>
        <w:t>.</w:t>
      </w:r>
      <w:r w:rsidR="00905B61" w:rsidRPr="002E69E1">
        <w:rPr>
          <w:rFonts w:asciiTheme="minorHAnsi" w:hAnsiTheme="minorHAnsi"/>
        </w:rPr>
        <w:t xml:space="preserve">  Different penalties are often provided </w:t>
      </w:r>
      <w:r w:rsidR="00DF4DE8" w:rsidRPr="002E69E1">
        <w:rPr>
          <w:rFonts w:asciiTheme="minorHAnsi" w:hAnsiTheme="minorHAnsi"/>
        </w:rPr>
        <w:t xml:space="preserve">depending on whether the </w:t>
      </w:r>
      <w:r w:rsidR="00905B61" w:rsidRPr="002E69E1">
        <w:rPr>
          <w:rFonts w:asciiTheme="minorHAnsi" w:hAnsiTheme="minorHAnsi"/>
        </w:rPr>
        <w:t xml:space="preserve">offence </w:t>
      </w:r>
      <w:r w:rsidR="00DF4DE8" w:rsidRPr="002E69E1">
        <w:rPr>
          <w:rFonts w:asciiTheme="minorHAnsi" w:hAnsiTheme="minorHAnsi"/>
        </w:rPr>
        <w:t xml:space="preserve">is committed </w:t>
      </w:r>
      <w:r w:rsidR="00905B61" w:rsidRPr="002E69E1">
        <w:rPr>
          <w:rFonts w:asciiTheme="minorHAnsi" w:hAnsiTheme="minorHAnsi"/>
        </w:rPr>
        <w:t>by a natural person or by a body corporate</w:t>
      </w:r>
      <w:r w:rsidR="00DF4DE8" w:rsidRPr="002E69E1">
        <w:rPr>
          <w:rFonts w:asciiTheme="minorHAnsi" w:hAnsiTheme="minorHAnsi"/>
        </w:rPr>
        <w:t>.</w:t>
      </w:r>
    </w:p>
    <w:p w14:paraId="08232D56" w14:textId="77777777" w:rsidR="00B03360" w:rsidRPr="002E69E1" w:rsidRDefault="00B03360" w:rsidP="003045C5">
      <w:pPr>
        <w:pStyle w:val="ListParagraph"/>
        <w:rPr>
          <w:rFonts w:asciiTheme="minorHAnsi" w:hAnsiTheme="minorHAnsi"/>
        </w:rPr>
      </w:pPr>
    </w:p>
    <w:p w14:paraId="17635BC0" w14:textId="25B1ED01" w:rsidR="00F91724" w:rsidRPr="002E69E1" w:rsidRDefault="00F91724"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 xml:space="preserve">An offence is not punishable by imprisonment unless a penalty of imprisonment is </w:t>
      </w:r>
      <w:r w:rsidR="00B86F23" w:rsidRPr="002E69E1">
        <w:rPr>
          <w:rFonts w:asciiTheme="minorHAnsi" w:hAnsiTheme="minorHAnsi"/>
        </w:rPr>
        <w:t>applicable to</w:t>
      </w:r>
      <w:r w:rsidR="00905B61" w:rsidRPr="002E69E1">
        <w:rPr>
          <w:rFonts w:asciiTheme="minorHAnsi" w:hAnsiTheme="minorHAnsi"/>
        </w:rPr>
        <w:t xml:space="preserve"> the offence</w:t>
      </w:r>
      <w:r w:rsidRPr="002E69E1">
        <w:rPr>
          <w:rFonts w:asciiTheme="minorHAnsi" w:hAnsiTheme="minorHAnsi"/>
        </w:rPr>
        <w:t>.</w:t>
      </w:r>
    </w:p>
    <w:p w14:paraId="13D1CBD4" w14:textId="77777777" w:rsidR="00F91724" w:rsidRPr="002E69E1" w:rsidRDefault="00F91724" w:rsidP="00F91724">
      <w:pPr>
        <w:pStyle w:val="ListParagraph"/>
        <w:rPr>
          <w:rFonts w:asciiTheme="minorHAnsi" w:hAnsiTheme="minorHAnsi"/>
        </w:rPr>
      </w:pPr>
    </w:p>
    <w:p w14:paraId="337B3325" w14:textId="2B19F275" w:rsidR="00F91724" w:rsidRPr="002E69E1" w:rsidRDefault="00F91724"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 xml:space="preserve">Even if the only penalty specified is imprisonment, a fine may be imposed, up to a maximum calculated in accordance with s.4B of the </w:t>
      </w:r>
      <w:r w:rsidR="00885EFD" w:rsidRPr="002E69E1">
        <w:rPr>
          <w:rFonts w:asciiTheme="minorHAnsi" w:hAnsiTheme="minorHAnsi"/>
          <w:i/>
        </w:rPr>
        <w:t>Crimes Act 1914</w:t>
      </w:r>
      <w:r w:rsidR="00190895" w:rsidRPr="002E69E1">
        <w:rPr>
          <w:rFonts w:asciiTheme="minorHAnsi" w:hAnsiTheme="minorHAnsi"/>
        </w:rPr>
        <w:t xml:space="preserve"> (Cth) </w:t>
      </w:r>
      <w:r w:rsidR="00905B61" w:rsidRPr="002E69E1">
        <w:rPr>
          <w:rFonts w:asciiTheme="minorHAnsi" w:hAnsiTheme="minorHAnsi"/>
        </w:rPr>
        <w:t>(</w:t>
      </w:r>
      <w:r w:rsidR="00190895" w:rsidRPr="002E69E1">
        <w:rPr>
          <w:rFonts w:asciiTheme="minorHAnsi" w:hAnsiTheme="minorHAnsi"/>
        </w:rPr>
        <w:t>unless the contrary intention appears</w:t>
      </w:r>
      <w:r w:rsidR="00905B61" w:rsidRPr="002E69E1">
        <w:rPr>
          <w:rFonts w:asciiTheme="minorHAnsi" w:hAnsiTheme="minorHAnsi"/>
        </w:rPr>
        <w:t>)</w:t>
      </w:r>
      <w:r w:rsidRPr="002E69E1">
        <w:rPr>
          <w:rFonts w:asciiTheme="minorHAnsi" w:hAnsiTheme="minorHAnsi"/>
        </w:rPr>
        <w:t xml:space="preserve">.  Other alternatives to imprisonment which are provided for by or under the </w:t>
      </w:r>
      <w:r w:rsidRPr="002E69E1">
        <w:rPr>
          <w:rFonts w:asciiTheme="minorHAnsi" w:hAnsiTheme="minorHAnsi"/>
          <w:i/>
        </w:rPr>
        <w:t>Crimes Act</w:t>
      </w:r>
      <w:r w:rsidRPr="002E69E1">
        <w:rPr>
          <w:rFonts w:asciiTheme="minorHAnsi" w:hAnsiTheme="minorHAnsi"/>
        </w:rPr>
        <w:t xml:space="preserve"> will generally also apply.</w:t>
      </w:r>
    </w:p>
    <w:p w14:paraId="1865D2A8" w14:textId="77777777" w:rsidR="00F91724" w:rsidRPr="002E69E1" w:rsidRDefault="00F91724" w:rsidP="00F91724">
      <w:pPr>
        <w:pStyle w:val="ListParagraph"/>
        <w:rPr>
          <w:rFonts w:asciiTheme="minorHAnsi" w:hAnsiTheme="minorHAnsi"/>
        </w:rPr>
      </w:pPr>
    </w:p>
    <w:p w14:paraId="488EF6C3" w14:textId="07FB3BC2" w:rsidR="00B03360" w:rsidRPr="002E69E1" w:rsidRDefault="003045C5"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S</w:t>
      </w:r>
      <w:r w:rsidR="00250436" w:rsidRPr="002E69E1">
        <w:rPr>
          <w:rFonts w:asciiTheme="minorHAnsi" w:hAnsiTheme="minorHAnsi"/>
        </w:rPr>
        <w:t xml:space="preserve">entencing options under State or Territory laws do not apply unless, and </w:t>
      </w:r>
      <w:r w:rsidRPr="002E69E1">
        <w:rPr>
          <w:rFonts w:asciiTheme="minorHAnsi" w:hAnsiTheme="minorHAnsi"/>
        </w:rPr>
        <w:t xml:space="preserve">only </w:t>
      </w:r>
      <w:r w:rsidR="00250436" w:rsidRPr="002E69E1">
        <w:rPr>
          <w:rFonts w:asciiTheme="minorHAnsi" w:hAnsiTheme="minorHAnsi"/>
        </w:rPr>
        <w:t>to the extent that, those laws are picked up and applied by Commonwealth law.</w:t>
      </w:r>
    </w:p>
    <w:p w14:paraId="435D5B01" w14:textId="77777777" w:rsidR="00DF4DE8" w:rsidRPr="002E69E1" w:rsidRDefault="00DF4DE8" w:rsidP="00DF4DE8">
      <w:pPr>
        <w:pStyle w:val="ListParagraph"/>
        <w:rPr>
          <w:rFonts w:asciiTheme="minorHAnsi" w:hAnsiTheme="minorHAnsi"/>
        </w:rPr>
      </w:pPr>
    </w:p>
    <w:p w14:paraId="4C303D32" w14:textId="55EE1538" w:rsidR="00DF4DE8" w:rsidRPr="002E69E1" w:rsidRDefault="00DF4DE8" w:rsidP="00901174">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If the offence is an indictable offence, a lesser maximum penalty will apply if it is determined summarily</w:t>
      </w:r>
      <w:r w:rsidR="00FF31FD" w:rsidRPr="002E69E1">
        <w:rPr>
          <w:rFonts w:asciiTheme="minorHAnsi" w:hAnsiTheme="minorHAnsi"/>
        </w:rPr>
        <w:t>: see “</w:t>
      </w:r>
      <w:r w:rsidR="00FF31FD" w:rsidRPr="002E69E1">
        <w:rPr>
          <w:rFonts w:asciiTheme="minorHAnsi" w:hAnsiTheme="minorHAnsi"/>
        </w:rPr>
        <w:fldChar w:fldCharType="begin"/>
      </w:r>
      <w:r w:rsidR="00FF31FD" w:rsidRPr="002E69E1">
        <w:rPr>
          <w:rFonts w:asciiTheme="minorHAnsi" w:hAnsiTheme="minorHAnsi"/>
        </w:rPr>
        <w:instrText xml:space="preserve"> REF _Ref507934416 \r  \* MERGEFORMAT </w:instrText>
      </w:r>
      <w:r w:rsidR="00FF31FD" w:rsidRPr="002E69E1">
        <w:rPr>
          <w:rFonts w:asciiTheme="minorHAnsi" w:hAnsiTheme="minorHAnsi"/>
        </w:rPr>
        <w:fldChar w:fldCharType="separate"/>
      </w:r>
      <w:r w:rsidR="00D44BCF">
        <w:rPr>
          <w:rFonts w:asciiTheme="minorHAnsi" w:hAnsiTheme="minorHAnsi"/>
        </w:rPr>
        <w:t>5.6.3</w:t>
      </w:r>
      <w:r w:rsidR="00FF31FD" w:rsidRPr="002E69E1">
        <w:rPr>
          <w:rFonts w:asciiTheme="minorHAnsi" w:hAnsiTheme="minorHAnsi"/>
        </w:rPr>
        <w:fldChar w:fldCharType="end"/>
      </w:r>
      <w:r w:rsidR="00FF31FD" w:rsidRPr="002E69E1">
        <w:rPr>
          <w:rFonts w:asciiTheme="minorHAnsi" w:hAnsiTheme="minorHAnsi"/>
        </w:rPr>
        <w:t xml:space="preserve"> </w:t>
      </w:r>
      <w:r w:rsidR="00FF31FD" w:rsidRPr="002E69E1">
        <w:rPr>
          <w:rFonts w:asciiTheme="minorHAnsi" w:hAnsiTheme="minorHAnsi"/>
        </w:rPr>
        <w:fldChar w:fldCharType="begin"/>
      </w:r>
      <w:r w:rsidR="00FF31FD" w:rsidRPr="002E69E1">
        <w:rPr>
          <w:rFonts w:asciiTheme="minorHAnsi" w:hAnsiTheme="minorHAnsi"/>
        </w:rPr>
        <w:instrText xml:space="preserve"> REF _Ref507934416  \* MERGEFORMAT </w:instrText>
      </w:r>
      <w:r w:rsidR="00FF31FD" w:rsidRPr="002E69E1">
        <w:rPr>
          <w:rFonts w:asciiTheme="minorHAnsi" w:hAnsiTheme="minorHAnsi"/>
        </w:rPr>
        <w:fldChar w:fldCharType="separate"/>
      </w:r>
      <w:r w:rsidR="00D44BCF" w:rsidRPr="00D44BCF">
        <w:rPr>
          <w:rFonts w:asciiTheme="minorHAnsi" w:hAnsiTheme="minorHAnsi"/>
        </w:rPr>
        <w:t>Maximum penalties on summary disposition of an indictable offence –</w:t>
      </w:r>
      <w:r w:rsidR="00D44BCF" w:rsidRPr="00D44BCF">
        <w:rPr>
          <w:rFonts w:asciiTheme="minorHAnsi" w:hAnsiTheme="minorHAnsi"/>
          <w:i/>
        </w:rPr>
        <w:t xml:space="preserve"> Crimes Act </w:t>
      </w:r>
      <w:r w:rsidR="00D44BCF" w:rsidRPr="00D44BCF">
        <w:rPr>
          <w:rFonts w:asciiTheme="minorHAnsi" w:hAnsiTheme="minorHAnsi"/>
        </w:rPr>
        <w:t>1914, ss 4J and 4JA</w:t>
      </w:r>
      <w:r w:rsidR="00FF31FD" w:rsidRPr="002E69E1">
        <w:rPr>
          <w:rFonts w:asciiTheme="minorHAnsi" w:hAnsiTheme="minorHAnsi"/>
        </w:rPr>
        <w:fldChar w:fldCharType="end"/>
      </w:r>
      <w:r w:rsidR="00FF31FD" w:rsidRPr="002E69E1">
        <w:rPr>
          <w:rFonts w:asciiTheme="minorHAnsi" w:hAnsiTheme="minorHAnsi"/>
        </w:rPr>
        <w:t>”</w:t>
      </w:r>
      <w:r w:rsidR="00B06F2E" w:rsidRPr="002E69E1">
        <w:rPr>
          <w:rFonts w:asciiTheme="minorHAnsi" w:hAnsiTheme="minorHAnsi"/>
        </w:rPr>
        <w:t>.</w:t>
      </w:r>
      <w:r w:rsidRPr="002E69E1">
        <w:rPr>
          <w:rFonts w:asciiTheme="minorHAnsi" w:hAnsiTheme="minorHAnsi"/>
        </w:rPr>
        <w:t xml:space="preserve"> </w:t>
      </w:r>
    </w:p>
    <w:p w14:paraId="2F9D6B5C" w14:textId="77777777" w:rsidR="00B03360" w:rsidRPr="002E69E1" w:rsidRDefault="00B03360" w:rsidP="00B03360">
      <w:pPr>
        <w:pStyle w:val="BodyText"/>
        <w:spacing w:line="276" w:lineRule="auto"/>
        <w:ind w:right="170"/>
        <w:jc w:val="both"/>
        <w:rPr>
          <w:rFonts w:asciiTheme="minorHAnsi" w:hAnsiTheme="minorHAnsi"/>
        </w:rPr>
      </w:pPr>
    </w:p>
    <w:p w14:paraId="452C7E11" w14:textId="57750358" w:rsidR="006069E3" w:rsidRPr="002E69E1" w:rsidRDefault="006069E3" w:rsidP="00D531E9">
      <w:pPr>
        <w:pStyle w:val="Heading2"/>
        <w:rPr>
          <w:rStyle w:val="Strong"/>
          <w:b/>
          <w:bCs w:val="0"/>
        </w:rPr>
      </w:pPr>
      <w:bookmarkStart w:id="768" w:name="_Toc33602758"/>
      <w:r w:rsidRPr="002E69E1">
        <w:rPr>
          <w:rStyle w:val="Strong"/>
          <w:b/>
          <w:bCs w:val="0"/>
        </w:rPr>
        <w:t>Federal sentencing options</w:t>
      </w:r>
      <w:bookmarkEnd w:id="765"/>
      <w:bookmarkEnd w:id="766"/>
      <w:bookmarkEnd w:id="767"/>
      <w:bookmarkEnd w:id="768"/>
    </w:p>
    <w:p w14:paraId="56ED1D41" w14:textId="77777777" w:rsidR="006069E3" w:rsidRPr="002E69E1" w:rsidRDefault="006069E3" w:rsidP="00D531E9">
      <w:pPr>
        <w:keepNext/>
        <w:spacing w:line="276" w:lineRule="auto"/>
        <w:ind w:left="873" w:right="170"/>
        <w:jc w:val="both"/>
        <w:rPr>
          <w:rFonts w:asciiTheme="minorHAnsi" w:hAnsiTheme="minorHAnsi"/>
          <w:u w:val="single"/>
        </w:rPr>
      </w:pPr>
    </w:p>
    <w:p w14:paraId="6188209A" w14:textId="77777777" w:rsidR="0053432F" w:rsidRPr="002E69E1" w:rsidRDefault="00D35EE5"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 xml:space="preserve">In sentencing a federal offender for an offence which is punishable by imprisonment, </w:t>
      </w:r>
      <w:r w:rsidR="0053432F" w:rsidRPr="002E69E1">
        <w:rPr>
          <w:rFonts w:asciiTheme="minorHAnsi" w:hAnsiTheme="minorHAnsi"/>
        </w:rPr>
        <w:t>there are</w:t>
      </w:r>
      <w:r w:rsidRPr="002E69E1">
        <w:rPr>
          <w:rFonts w:asciiTheme="minorHAnsi" w:hAnsiTheme="minorHAnsi"/>
        </w:rPr>
        <w:t xml:space="preserve"> generally </w:t>
      </w:r>
      <w:r w:rsidR="0053432F" w:rsidRPr="002E69E1">
        <w:rPr>
          <w:rFonts w:asciiTheme="minorHAnsi" w:hAnsiTheme="minorHAnsi"/>
          <w:b/>
          <w:u w:val="single"/>
        </w:rPr>
        <w:t>6 federal sentencing options</w:t>
      </w:r>
      <w:r w:rsidR="0053432F" w:rsidRPr="002E69E1">
        <w:rPr>
          <w:rFonts w:asciiTheme="minorHAnsi" w:hAnsiTheme="minorHAnsi"/>
        </w:rPr>
        <w:t xml:space="preserve"> </w:t>
      </w:r>
      <w:r w:rsidRPr="002E69E1">
        <w:rPr>
          <w:rFonts w:asciiTheme="minorHAnsi" w:hAnsiTheme="minorHAnsi"/>
        </w:rPr>
        <w:t xml:space="preserve">available </w:t>
      </w:r>
      <w:r w:rsidR="0053432F" w:rsidRPr="002E69E1">
        <w:rPr>
          <w:rFonts w:asciiTheme="minorHAnsi" w:hAnsiTheme="minorHAnsi"/>
        </w:rPr>
        <w:t>following a finding of guilt:</w:t>
      </w:r>
    </w:p>
    <w:p w14:paraId="3E57938E" w14:textId="77777777" w:rsidR="0053432F" w:rsidRPr="002E69E1" w:rsidRDefault="0053432F" w:rsidP="007C11C2">
      <w:pPr>
        <w:spacing w:line="276" w:lineRule="auto"/>
        <w:ind w:left="567" w:right="170" w:hanging="567"/>
        <w:jc w:val="both"/>
        <w:rPr>
          <w:rFonts w:asciiTheme="minorHAnsi" w:hAnsiTheme="minorHAnsi"/>
        </w:rPr>
      </w:pPr>
    </w:p>
    <w:p w14:paraId="40C47FBC" w14:textId="138EF123" w:rsidR="0053432F" w:rsidRPr="002E69E1" w:rsidRDefault="006261E3" w:rsidP="00841569">
      <w:pPr>
        <w:numPr>
          <w:ilvl w:val="0"/>
          <w:numId w:val="8"/>
        </w:numPr>
        <w:tabs>
          <w:tab w:val="left" w:pos="5954"/>
        </w:tabs>
        <w:spacing w:line="276" w:lineRule="auto"/>
        <w:ind w:left="1364" w:right="170"/>
        <w:jc w:val="both"/>
        <w:rPr>
          <w:rFonts w:asciiTheme="minorHAnsi" w:hAnsiTheme="minorHAnsi"/>
        </w:rPr>
      </w:pPr>
      <w:r w:rsidRPr="002E69E1">
        <w:rPr>
          <w:rFonts w:asciiTheme="minorHAnsi" w:hAnsiTheme="minorHAnsi"/>
          <w:b/>
        </w:rPr>
        <w:t>D</w:t>
      </w:r>
      <w:r w:rsidR="0053432F" w:rsidRPr="002E69E1">
        <w:rPr>
          <w:rFonts w:asciiTheme="minorHAnsi" w:hAnsiTheme="minorHAnsi"/>
          <w:b/>
        </w:rPr>
        <w:t>ismiss the charge</w:t>
      </w:r>
      <w:r w:rsidR="009554C7" w:rsidRPr="002E69E1">
        <w:rPr>
          <w:rFonts w:asciiTheme="minorHAnsi" w:hAnsiTheme="minorHAnsi"/>
        </w:rPr>
        <w:t xml:space="preserve"> </w:t>
      </w:r>
      <w:r w:rsidR="009554C7" w:rsidRPr="002E69E1">
        <w:rPr>
          <w:rFonts w:asciiTheme="minorHAnsi" w:hAnsiTheme="minorHAnsi"/>
        </w:rPr>
        <w:tab/>
      </w:r>
      <w:r w:rsidR="00954EC7" w:rsidRPr="002E69E1">
        <w:rPr>
          <w:rFonts w:asciiTheme="minorHAnsi" w:hAnsiTheme="minorHAnsi"/>
        </w:rPr>
        <w:t>– s</w:t>
      </w:r>
      <w:r w:rsidR="00572240" w:rsidRPr="002E69E1">
        <w:rPr>
          <w:rFonts w:asciiTheme="minorHAnsi" w:hAnsiTheme="minorHAnsi"/>
        </w:rPr>
        <w:t xml:space="preserve"> </w:t>
      </w:r>
      <w:r w:rsidR="00954EC7" w:rsidRPr="002E69E1">
        <w:rPr>
          <w:rFonts w:asciiTheme="minorHAnsi" w:hAnsiTheme="minorHAnsi"/>
        </w:rPr>
        <w:t xml:space="preserve">19B </w:t>
      </w:r>
      <w:r w:rsidR="00885EFD" w:rsidRPr="002E69E1">
        <w:rPr>
          <w:rFonts w:asciiTheme="minorHAnsi" w:hAnsiTheme="minorHAnsi"/>
          <w:i/>
        </w:rPr>
        <w:t>Crimes Act 1914</w:t>
      </w:r>
      <w:r w:rsidR="00DB1CD9" w:rsidRPr="002E69E1">
        <w:rPr>
          <w:rFonts w:asciiTheme="minorHAnsi" w:hAnsiTheme="minorHAnsi"/>
          <w:i/>
        </w:rPr>
        <w:t xml:space="preserve"> </w:t>
      </w:r>
      <w:r w:rsidR="00DB1CD9" w:rsidRPr="002E69E1">
        <w:rPr>
          <w:rFonts w:asciiTheme="minorHAnsi" w:hAnsiTheme="minorHAnsi"/>
        </w:rPr>
        <w:t>(Cth)</w:t>
      </w:r>
    </w:p>
    <w:p w14:paraId="4D651E45" w14:textId="77777777" w:rsidR="00E05CB9" w:rsidRPr="002E69E1" w:rsidRDefault="00E05CB9" w:rsidP="007C11C2">
      <w:pPr>
        <w:tabs>
          <w:tab w:val="left" w:pos="851"/>
          <w:tab w:val="left" w:pos="5954"/>
        </w:tabs>
        <w:spacing w:line="276" w:lineRule="auto"/>
        <w:ind w:left="1364" w:right="170"/>
        <w:jc w:val="both"/>
        <w:rPr>
          <w:rFonts w:asciiTheme="minorHAnsi" w:hAnsiTheme="minorHAnsi"/>
        </w:rPr>
      </w:pPr>
    </w:p>
    <w:p w14:paraId="3B472824" w14:textId="503103FE" w:rsidR="0053432F" w:rsidRPr="002E69E1" w:rsidRDefault="006261E3" w:rsidP="00841569">
      <w:pPr>
        <w:numPr>
          <w:ilvl w:val="0"/>
          <w:numId w:val="8"/>
        </w:numPr>
        <w:tabs>
          <w:tab w:val="left" w:pos="5954"/>
        </w:tabs>
        <w:spacing w:line="276" w:lineRule="auto"/>
        <w:ind w:left="1364" w:right="170"/>
        <w:jc w:val="both"/>
        <w:rPr>
          <w:rFonts w:asciiTheme="minorHAnsi" w:hAnsiTheme="minorHAnsi"/>
        </w:rPr>
      </w:pPr>
      <w:r w:rsidRPr="002E69E1">
        <w:rPr>
          <w:rFonts w:asciiTheme="minorHAnsi" w:hAnsiTheme="minorHAnsi"/>
          <w:b/>
        </w:rPr>
        <w:t>B</w:t>
      </w:r>
      <w:r w:rsidR="0053432F" w:rsidRPr="002E69E1">
        <w:rPr>
          <w:rFonts w:asciiTheme="minorHAnsi" w:hAnsiTheme="minorHAnsi"/>
          <w:b/>
        </w:rPr>
        <w:t>ond without conviction</w:t>
      </w:r>
      <w:r w:rsidR="00954EC7" w:rsidRPr="002E69E1">
        <w:rPr>
          <w:rFonts w:asciiTheme="minorHAnsi" w:hAnsiTheme="minorHAnsi"/>
        </w:rPr>
        <w:t xml:space="preserve"> </w:t>
      </w:r>
      <w:r w:rsidR="00954EC7" w:rsidRPr="002E69E1">
        <w:rPr>
          <w:rFonts w:asciiTheme="minorHAnsi" w:hAnsiTheme="minorHAnsi"/>
        </w:rPr>
        <w:tab/>
        <w:t>– s</w:t>
      </w:r>
      <w:r w:rsidR="00572240" w:rsidRPr="002E69E1">
        <w:rPr>
          <w:rFonts w:asciiTheme="minorHAnsi" w:hAnsiTheme="minorHAnsi"/>
        </w:rPr>
        <w:t xml:space="preserve"> </w:t>
      </w:r>
      <w:r w:rsidR="00954EC7" w:rsidRPr="002E69E1">
        <w:rPr>
          <w:rFonts w:asciiTheme="minorHAnsi" w:hAnsiTheme="minorHAnsi"/>
        </w:rPr>
        <w:t xml:space="preserve">19B </w:t>
      </w:r>
      <w:r w:rsidR="00885EFD" w:rsidRPr="002E69E1">
        <w:rPr>
          <w:rFonts w:asciiTheme="minorHAnsi" w:hAnsiTheme="minorHAnsi"/>
          <w:i/>
        </w:rPr>
        <w:t>Crimes Act 1914</w:t>
      </w:r>
      <w:r w:rsidR="00DB1CD9" w:rsidRPr="002E69E1">
        <w:rPr>
          <w:rFonts w:asciiTheme="minorHAnsi" w:hAnsiTheme="minorHAnsi"/>
          <w:i/>
        </w:rPr>
        <w:t xml:space="preserve"> </w:t>
      </w:r>
      <w:r w:rsidR="00DB1CD9" w:rsidRPr="002E69E1">
        <w:rPr>
          <w:rFonts w:asciiTheme="minorHAnsi" w:hAnsiTheme="minorHAnsi"/>
        </w:rPr>
        <w:t>(Cth)</w:t>
      </w:r>
      <w:r w:rsidR="00DB1CD9" w:rsidRPr="002E69E1">
        <w:rPr>
          <w:rFonts w:asciiTheme="minorHAnsi" w:hAnsiTheme="minorHAnsi"/>
          <w:i/>
        </w:rPr>
        <w:t xml:space="preserve"> </w:t>
      </w:r>
    </w:p>
    <w:p w14:paraId="33DBB636" w14:textId="77777777" w:rsidR="00E05CB9" w:rsidRPr="002E69E1" w:rsidRDefault="00E05CB9" w:rsidP="007C11C2">
      <w:pPr>
        <w:tabs>
          <w:tab w:val="left" w:pos="851"/>
          <w:tab w:val="left" w:pos="5954"/>
        </w:tabs>
        <w:spacing w:line="276" w:lineRule="auto"/>
        <w:ind w:left="1364" w:right="170"/>
        <w:jc w:val="both"/>
        <w:rPr>
          <w:rFonts w:asciiTheme="minorHAnsi" w:hAnsiTheme="minorHAnsi"/>
        </w:rPr>
      </w:pPr>
    </w:p>
    <w:p w14:paraId="0EE9F3E3" w14:textId="701AEEE4" w:rsidR="0053432F" w:rsidRPr="002E69E1" w:rsidRDefault="006261E3" w:rsidP="00841569">
      <w:pPr>
        <w:numPr>
          <w:ilvl w:val="0"/>
          <w:numId w:val="8"/>
        </w:numPr>
        <w:tabs>
          <w:tab w:val="left" w:pos="5954"/>
        </w:tabs>
        <w:spacing w:line="276" w:lineRule="auto"/>
        <w:ind w:left="1364" w:right="170"/>
        <w:jc w:val="both"/>
        <w:rPr>
          <w:rFonts w:asciiTheme="minorHAnsi" w:hAnsiTheme="minorHAnsi"/>
        </w:rPr>
      </w:pPr>
      <w:r w:rsidRPr="002E69E1">
        <w:rPr>
          <w:rFonts w:asciiTheme="minorHAnsi" w:hAnsiTheme="minorHAnsi"/>
          <w:b/>
        </w:rPr>
        <w:t>B</w:t>
      </w:r>
      <w:r w:rsidR="0053432F" w:rsidRPr="002E69E1">
        <w:rPr>
          <w:rFonts w:asciiTheme="minorHAnsi" w:hAnsiTheme="minorHAnsi"/>
          <w:b/>
        </w:rPr>
        <w:t>ond with conviction</w:t>
      </w:r>
      <w:r w:rsidR="00954EC7" w:rsidRPr="002E69E1">
        <w:rPr>
          <w:rFonts w:asciiTheme="minorHAnsi" w:hAnsiTheme="minorHAnsi"/>
        </w:rPr>
        <w:t xml:space="preserve"> </w:t>
      </w:r>
      <w:r w:rsidR="00954EC7" w:rsidRPr="002E69E1">
        <w:rPr>
          <w:rFonts w:asciiTheme="minorHAnsi" w:hAnsiTheme="minorHAnsi"/>
        </w:rPr>
        <w:tab/>
        <w:t xml:space="preserve">– </w:t>
      </w:r>
      <w:r w:rsidR="00C073AD" w:rsidRPr="002E69E1">
        <w:rPr>
          <w:rFonts w:asciiTheme="minorHAnsi" w:hAnsiTheme="minorHAnsi"/>
        </w:rPr>
        <w:t>s</w:t>
      </w:r>
      <w:r w:rsidR="00572240" w:rsidRPr="002E69E1">
        <w:rPr>
          <w:rFonts w:asciiTheme="minorHAnsi" w:hAnsiTheme="minorHAnsi"/>
        </w:rPr>
        <w:t xml:space="preserve"> </w:t>
      </w:r>
      <w:r w:rsidR="00954EC7" w:rsidRPr="002E69E1">
        <w:rPr>
          <w:rFonts w:asciiTheme="minorHAnsi" w:hAnsiTheme="minorHAnsi"/>
          <w:sz w:val="21"/>
          <w:szCs w:val="21"/>
        </w:rPr>
        <w:t xml:space="preserve">20(1)(a) </w:t>
      </w:r>
      <w:r w:rsidR="00885EFD" w:rsidRPr="002E69E1">
        <w:rPr>
          <w:rFonts w:asciiTheme="minorHAnsi" w:hAnsiTheme="minorHAnsi"/>
          <w:i/>
          <w:sz w:val="21"/>
          <w:szCs w:val="21"/>
        </w:rPr>
        <w:t>Crimes Act 1914</w:t>
      </w:r>
      <w:r w:rsidR="00DB1CD9" w:rsidRPr="002E69E1">
        <w:rPr>
          <w:rFonts w:asciiTheme="minorHAnsi" w:hAnsiTheme="minorHAnsi"/>
          <w:i/>
          <w:sz w:val="21"/>
          <w:szCs w:val="21"/>
        </w:rPr>
        <w:t xml:space="preserve"> </w:t>
      </w:r>
      <w:r w:rsidR="00DB1CD9" w:rsidRPr="002E69E1">
        <w:rPr>
          <w:rFonts w:asciiTheme="minorHAnsi" w:hAnsiTheme="minorHAnsi"/>
          <w:sz w:val="21"/>
          <w:szCs w:val="21"/>
        </w:rPr>
        <w:t>(Cth)</w:t>
      </w:r>
      <w:r w:rsidR="00DB1CD9" w:rsidRPr="002E69E1">
        <w:rPr>
          <w:rFonts w:asciiTheme="minorHAnsi" w:hAnsiTheme="minorHAnsi"/>
          <w:i/>
        </w:rPr>
        <w:t xml:space="preserve"> </w:t>
      </w:r>
    </w:p>
    <w:p w14:paraId="403DFCC5" w14:textId="77777777" w:rsidR="00E05CB9" w:rsidRPr="002E69E1" w:rsidRDefault="00E05CB9" w:rsidP="007C11C2">
      <w:pPr>
        <w:tabs>
          <w:tab w:val="left" w:pos="851"/>
          <w:tab w:val="left" w:pos="5954"/>
        </w:tabs>
        <w:spacing w:line="276" w:lineRule="auto"/>
        <w:ind w:left="1364" w:right="170"/>
        <w:jc w:val="both"/>
        <w:rPr>
          <w:rFonts w:asciiTheme="minorHAnsi" w:hAnsiTheme="minorHAnsi"/>
        </w:rPr>
      </w:pPr>
    </w:p>
    <w:p w14:paraId="2516D8FA" w14:textId="77777777" w:rsidR="0053432F" w:rsidRPr="002E69E1" w:rsidRDefault="006261E3" w:rsidP="00841569">
      <w:pPr>
        <w:numPr>
          <w:ilvl w:val="0"/>
          <w:numId w:val="8"/>
        </w:numPr>
        <w:tabs>
          <w:tab w:val="left" w:pos="5954"/>
        </w:tabs>
        <w:spacing w:line="276" w:lineRule="auto"/>
        <w:ind w:left="1364" w:right="170"/>
        <w:jc w:val="both"/>
        <w:rPr>
          <w:rFonts w:asciiTheme="minorHAnsi" w:hAnsiTheme="minorHAnsi"/>
        </w:rPr>
      </w:pPr>
      <w:r w:rsidRPr="002E69E1">
        <w:rPr>
          <w:rFonts w:asciiTheme="minorHAnsi" w:hAnsiTheme="minorHAnsi"/>
          <w:b/>
        </w:rPr>
        <w:t>F</w:t>
      </w:r>
      <w:r w:rsidR="0053432F" w:rsidRPr="002E69E1">
        <w:rPr>
          <w:rFonts w:asciiTheme="minorHAnsi" w:hAnsiTheme="minorHAnsi"/>
          <w:b/>
        </w:rPr>
        <w:t>ine</w:t>
      </w:r>
      <w:r w:rsidR="0053432F" w:rsidRPr="002E69E1">
        <w:rPr>
          <w:rFonts w:asciiTheme="minorHAnsi" w:hAnsiTheme="minorHAnsi"/>
        </w:rPr>
        <w:t xml:space="preserve"> </w:t>
      </w:r>
      <w:r w:rsidR="0053432F" w:rsidRPr="002E69E1">
        <w:rPr>
          <w:rFonts w:asciiTheme="minorHAnsi" w:hAnsiTheme="minorHAnsi"/>
          <w:b/>
        </w:rPr>
        <w:t>with conviction</w:t>
      </w:r>
      <w:r w:rsidR="00954EC7" w:rsidRPr="002E69E1">
        <w:rPr>
          <w:rFonts w:asciiTheme="minorHAnsi" w:hAnsiTheme="minorHAnsi"/>
        </w:rPr>
        <w:tab/>
      </w:r>
    </w:p>
    <w:p w14:paraId="788EA644" w14:textId="77777777" w:rsidR="00E05CB9" w:rsidRPr="002E69E1" w:rsidRDefault="00E05CB9" w:rsidP="007C11C2">
      <w:pPr>
        <w:tabs>
          <w:tab w:val="left" w:pos="851"/>
          <w:tab w:val="left" w:pos="5954"/>
        </w:tabs>
        <w:spacing w:line="276" w:lineRule="auto"/>
        <w:ind w:left="1364" w:right="170"/>
        <w:jc w:val="both"/>
        <w:rPr>
          <w:rFonts w:asciiTheme="minorHAnsi" w:hAnsiTheme="minorHAnsi"/>
        </w:rPr>
      </w:pPr>
    </w:p>
    <w:p w14:paraId="138D686E" w14:textId="77B37487" w:rsidR="0053432F" w:rsidRPr="002E69E1" w:rsidRDefault="00F35A2F" w:rsidP="00841569">
      <w:pPr>
        <w:numPr>
          <w:ilvl w:val="0"/>
          <w:numId w:val="8"/>
        </w:numPr>
        <w:tabs>
          <w:tab w:val="left" w:pos="5954"/>
        </w:tabs>
        <w:spacing w:line="276" w:lineRule="auto"/>
        <w:ind w:left="1364" w:right="170"/>
        <w:jc w:val="both"/>
        <w:rPr>
          <w:rFonts w:asciiTheme="minorHAnsi" w:hAnsiTheme="minorHAnsi"/>
        </w:rPr>
      </w:pPr>
      <w:r w:rsidRPr="002E69E1">
        <w:rPr>
          <w:rFonts w:asciiTheme="minorHAnsi" w:hAnsiTheme="minorHAnsi"/>
          <w:b/>
        </w:rPr>
        <w:t xml:space="preserve">Particular </w:t>
      </w:r>
      <w:r w:rsidR="00D176E8" w:rsidRPr="002E69E1">
        <w:rPr>
          <w:rFonts w:asciiTheme="minorHAnsi" w:hAnsiTheme="minorHAnsi"/>
          <w:b/>
        </w:rPr>
        <w:t xml:space="preserve">State/Territory </w:t>
      </w:r>
      <w:r w:rsidRPr="002E69E1">
        <w:rPr>
          <w:rFonts w:asciiTheme="minorHAnsi" w:hAnsiTheme="minorHAnsi"/>
          <w:b/>
        </w:rPr>
        <w:t>options</w:t>
      </w:r>
      <w:r w:rsidR="00D176E8" w:rsidRPr="002E69E1">
        <w:rPr>
          <w:rFonts w:asciiTheme="minorHAnsi" w:hAnsiTheme="minorHAnsi"/>
          <w:b/>
        </w:rPr>
        <w:t>,</w:t>
      </w:r>
      <w:r w:rsidR="0053432F" w:rsidRPr="002E69E1">
        <w:rPr>
          <w:rFonts w:asciiTheme="minorHAnsi" w:hAnsiTheme="minorHAnsi"/>
        </w:rPr>
        <w:t xml:space="preserve"> with conviction</w:t>
      </w:r>
      <w:r w:rsidR="00954EC7" w:rsidRPr="002E69E1">
        <w:rPr>
          <w:rFonts w:asciiTheme="minorHAnsi" w:hAnsiTheme="minorHAnsi"/>
        </w:rPr>
        <w:t xml:space="preserve"> </w:t>
      </w:r>
      <w:r w:rsidR="003674DC" w:rsidRPr="002E69E1">
        <w:rPr>
          <w:rFonts w:asciiTheme="minorHAnsi" w:hAnsiTheme="minorHAnsi"/>
        </w:rPr>
        <w:tab/>
      </w:r>
      <w:r w:rsidR="009A4D8A" w:rsidRPr="002E69E1">
        <w:rPr>
          <w:rFonts w:asciiTheme="minorHAnsi" w:hAnsiTheme="minorHAnsi"/>
        </w:rPr>
        <w:t xml:space="preserve">– s </w:t>
      </w:r>
      <w:r w:rsidR="00954EC7" w:rsidRPr="002E69E1">
        <w:rPr>
          <w:rFonts w:asciiTheme="minorHAnsi" w:hAnsiTheme="minorHAnsi"/>
        </w:rPr>
        <w:t xml:space="preserve">20AB </w:t>
      </w:r>
      <w:r w:rsidR="00885EFD" w:rsidRPr="002E69E1">
        <w:rPr>
          <w:rFonts w:asciiTheme="minorHAnsi" w:hAnsiTheme="minorHAnsi"/>
          <w:i/>
        </w:rPr>
        <w:t>Crimes Act 1914</w:t>
      </w:r>
      <w:r w:rsidR="00DB1CD9" w:rsidRPr="002E69E1">
        <w:rPr>
          <w:rFonts w:asciiTheme="minorHAnsi" w:hAnsiTheme="minorHAnsi"/>
          <w:i/>
        </w:rPr>
        <w:t xml:space="preserve"> </w:t>
      </w:r>
      <w:r w:rsidR="00DB1CD9" w:rsidRPr="002E69E1">
        <w:rPr>
          <w:rFonts w:asciiTheme="minorHAnsi" w:hAnsiTheme="minorHAnsi"/>
        </w:rPr>
        <w:t>(Cth)</w:t>
      </w:r>
    </w:p>
    <w:p w14:paraId="32EC02D4" w14:textId="77777777" w:rsidR="00E05CB9" w:rsidRPr="002E69E1" w:rsidRDefault="00E05CB9" w:rsidP="007C11C2">
      <w:pPr>
        <w:tabs>
          <w:tab w:val="left" w:pos="5245"/>
        </w:tabs>
        <w:spacing w:line="276" w:lineRule="auto"/>
        <w:ind w:left="1364" w:right="170"/>
        <w:jc w:val="both"/>
        <w:rPr>
          <w:rFonts w:asciiTheme="minorHAnsi" w:hAnsiTheme="minorHAnsi"/>
        </w:rPr>
      </w:pPr>
    </w:p>
    <w:p w14:paraId="233541B4" w14:textId="666CA88D" w:rsidR="0053432F" w:rsidRPr="002E69E1" w:rsidRDefault="006261E3" w:rsidP="00841569">
      <w:pPr>
        <w:numPr>
          <w:ilvl w:val="0"/>
          <w:numId w:val="8"/>
        </w:numPr>
        <w:tabs>
          <w:tab w:val="left" w:pos="5245"/>
        </w:tabs>
        <w:spacing w:line="276" w:lineRule="auto"/>
        <w:ind w:left="1364" w:right="170"/>
        <w:jc w:val="both"/>
        <w:rPr>
          <w:rFonts w:asciiTheme="minorHAnsi" w:hAnsiTheme="minorHAnsi"/>
        </w:rPr>
      </w:pPr>
      <w:r w:rsidRPr="002E69E1">
        <w:rPr>
          <w:rFonts w:asciiTheme="minorHAnsi" w:hAnsiTheme="minorHAnsi"/>
          <w:b/>
        </w:rPr>
        <w:t>Imprisonment</w:t>
      </w:r>
      <w:r w:rsidR="00D75FA3" w:rsidRPr="002E69E1">
        <w:rPr>
          <w:rFonts w:asciiTheme="minorHAnsi" w:hAnsiTheme="minorHAnsi"/>
          <w:b/>
        </w:rPr>
        <w:t>,</w:t>
      </w:r>
      <w:r w:rsidR="0053432F" w:rsidRPr="002E69E1">
        <w:rPr>
          <w:rFonts w:asciiTheme="minorHAnsi" w:hAnsiTheme="minorHAnsi"/>
        </w:rPr>
        <w:t xml:space="preserve"> </w:t>
      </w:r>
      <w:r w:rsidR="00D75FA3" w:rsidRPr="002E69E1">
        <w:rPr>
          <w:rFonts w:asciiTheme="minorHAnsi" w:hAnsiTheme="minorHAnsi"/>
        </w:rPr>
        <w:t xml:space="preserve">by way of a straight sentence or subject to release on parole or pursuant to </w:t>
      </w:r>
      <w:r w:rsidR="0053432F" w:rsidRPr="002E69E1">
        <w:rPr>
          <w:rFonts w:asciiTheme="minorHAnsi" w:hAnsiTheme="minorHAnsi"/>
        </w:rPr>
        <w:t xml:space="preserve">a </w:t>
      </w:r>
      <w:r w:rsidR="00A53DA1" w:rsidRPr="002E69E1">
        <w:rPr>
          <w:rFonts w:asciiTheme="minorHAnsi" w:hAnsiTheme="minorHAnsi"/>
        </w:rPr>
        <w:t>recognizance</w:t>
      </w:r>
      <w:r w:rsidR="0053432F" w:rsidRPr="002E69E1">
        <w:rPr>
          <w:rFonts w:asciiTheme="minorHAnsi" w:hAnsiTheme="minorHAnsi"/>
        </w:rPr>
        <w:t xml:space="preserve"> release order</w:t>
      </w:r>
      <w:r w:rsidR="00D75FA3" w:rsidRPr="002E69E1">
        <w:rPr>
          <w:rFonts w:asciiTheme="minorHAnsi" w:hAnsiTheme="minorHAnsi"/>
        </w:rPr>
        <w:t xml:space="preserve"> (either forthwith or after service of a specified period)</w:t>
      </w:r>
      <w:r w:rsidR="0053432F" w:rsidRPr="002E69E1">
        <w:rPr>
          <w:rFonts w:asciiTheme="minorHAnsi" w:hAnsiTheme="minorHAnsi"/>
        </w:rPr>
        <w:t>.</w:t>
      </w:r>
    </w:p>
    <w:p w14:paraId="1A01324B" w14:textId="77777777" w:rsidR="00E729F1" w:rsidRPr="002E69E1" w:rsidRDefault="00E729F1" w:rsidP="00623C90">
      <w:pPr>
        <w:spacing w:line="276" w:lineRule="auto"/>
        <w:ind w:left="567" w:right="170"/>
        <w:rPr>
          <w:rFonts w:asciiTheme="minorHAnsi" w:hAnsiTheme="minorHAnsi"/>
        </w:rPr>
      </w:pPr>
    </w:p>
    <w:p w14:paraId="5FD9EB36" w14:textId="0149816E" w:rsidR="00623C90" w:rsidRPr="002E69E1" w:rsidRDefault="00623C90" w:rsidP="00901174">
      <w:pPr>
        <w:spacing w:line="276" w:lineRule="auto"/>
        <w:ind w:left="426" w:right="170"/>
        <w:rPr>
          <w:rFonts w:asciiTheme="minorHAnsi" w:hAnsiTheme="minorHAnsi"/>
        </w:rPr>
      </w:pPr>
      <w:r w:rsidRPr="002E69E1">
        <w:rPr>
          <w:rFonts w:asciiTheme="minorHAnsi" w:hAnsiTheme="minorHAnsi"/>
        </w:rPr>
        <w:t xml:space="preserve">Each of these options is discussed in detail in Chapter </w:t>
      </w:r>
      <w:r w:rsidRPr="002E69E1">
        <w:rPr>
          <w:rFonts w:asciiTheme="minorHAnsi" w:hAnsiTheme="minorHAnsi"/>
        </w:rPr>
        <w:fldChar w:fldCharType="begin"/>
      </w:r>
      <w:r w:rsidRPr="002E69E1">
        <w:rPr>
          <w:rFonts w:asciiTheme="minorHAnsi" w:hAnsiTheme="minorHAnsi"/>
        </w:rPr>
        <w:instrText xml:space="preserve"> REF _Ref489177581 \r \h </w:instrText>
      </w:r>
      <w:r w:rsidR="00266F5E" w:rsidRPr="002E69E1">
        <w:rPr>
          <w:rFonts w:asciiTheme="minorHAnsi" w:hAnsiTheme="minorHAnsi"/>
        </w:rPr>
        <w:instrText xml:space="preserve"> \* MERGEFORMAT </w:instrText>
      </w:r>
      <w:r w:rsidRPr="002E69E1">
        <w:rPr>
          <w:rFonts w:asciiTheme="minorHAnsi" w:hAnsiTheme="minorHAnsi"/>
        </w:rPr>
      </w:r>
      <w:r w:rsidRPr="002E69E1">
        <w:rPr>
          <w:rFonts w:asciiTheme="minorHAnsi" w:hAnsiTheme="minorHAnsi"/>
        </w:rPr>
        <w:fldChar w:fldCharType="separate"/>
      </w:r>
      <w:r w:rsidR="00D44BCF">
        <w:rPr>
          <w:rFonts w:asciiTheme="minorHAnsi" w:hAnsiTheme="minorHAnsi"/>
        </w:rPr>
        <w:t>5</w:t>
      </w:r>
      <w:r w:rsidRPr="002E69E1">
        <w:rPr>
          <w:rFonts w:asciiTheme="minorHAnsi" w:hAnsiTheme="minorHAnsi"/>
        </w:rPr>
        <w:fldChar w:fldCharType="end"/>
      </w:r>
      <w:r w:rsidRPr="002E69E1">
        <w:rPr>
          <w:rFonts w:asciiTheme="minorHAnsi" w:hAnsiTheme="minorHAnsi"/>
        </w:rPr>
        <w:t xml:space="preserve"> of this </w:t>
      </w:r>
      <w:r w:rsidR="009E4569" w:rsidRPr="002E69E1">
        <w:rPr>
          <w:rFonts w:asciiTheme="minorHAnsi" w:hAnsiTheme="minorHAnsi"/>
        </w:rPr>
        <w:t>guide</w:t>
      </w:r>
      <w:r w:rsidRPr="002E69E1">
        <w:rPr>
          <w:rFonts w:asciiTheme="minorHAnsi" w:hAnsiTheme="minorHAnsi"/>
        </w:rPr>
        <w:t>.</w:t>
      </w:r>
    </w:p>
    <w:p w14:paraId="2937338A" w14:textId="77777777" w:rsidR="00623C90" w:rsidRPr="002E69E1" w:rsidRDefault="00623C90" w:rsidP="00623C90">
      <w:pPr>
        <w:spacing w:line="276" w:lineRule="auto"/>
        <w:ind w:right="170"/>
        <w:rPr>
          <w:rFonts w:asciiTheme="minorHAnsi" w:hAnsiTheme="minorHAnsi"/>
        </w:rPr>
      </w:pPr>
    </w:p>
    <w:p w14:paraId="54B82F9B" w14:textId="0CA794C9" w:rsidR="000C6B3B" w:rsidRPr="002E69E1" w:rsidRDefault="009D2DD3"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 xml:space="preserve">For some offences, particular options may be excluded.  For example, </w:t>
      </w:r>
      <w:r w:rsidR="008F657D" w:rsidRPr="002E69E1">
        <w:rPr>
          <w:rFonts w:asciiTheme="minorHAnsi" w:hAnsiTheme="minorHAnsi"/>
        </w:rPr>
        <w:t xml:space="preserve">for some </w:t>
      </w:r>
      <w:r w:rsidR="005F346C" w:rsidRPr="002E69E1">
        <w:rPr>
          <w:rFonts w:asciiTheme="minorHAnsi" w:hAnsiTheme="minorHAnsi"/>
          <w:b/>
        </w:rPr>
        <w:t>national security offences</w:t>
      </w:r>
      <w:r w:rsidR="008F657D" w:rsidRPr="002E69E1">
        <w:rPr>
          <w:rFonts w:asciiTheme="minorHAnsi" w:hAnsiTheme="minorHAnsi"/>
        </w:rPr>
        <w:t xml:space="preserve"> (</w:t>
      </w:r>
      <w:r w:rsidR="00623C90" w:rsidRPr="002E69E1">
        <w:rPr>
          <w:rFonts w:asciiTheme="minorHAnsi" w:hAnsiTheme="minorHAnsi"/>
        </w:rPr>
        <w:t xml:space="preserve">such as </w:t>
      </w:r>
      <w:r w:rsidR="008F657D" w:rsidRPr="002E69E1">
        <w:rPr>
          <w:rFonts w:asciiTheme="minorHAnsi" w:hAnsiTheme="minorHAnsi"/>
        </w:rPr>
        <w:t>terrorism, treason</w:t>
      </w:r>
      <w:r w:rsidR="00623C90" w:rsidRPr="002E69E1">
        <w:rPr>
          <w:rFonts w:asciiTheme="minorHAnsi" w:hAnsiTheme="minorHAnsi"/>
        </w:rPr>
        <w:t xml:space="preserve"> and</w:t>
      </w:r>
      <w:r w:rsidR="008F657D" w:rsidRPr="002E69E1">
        <w:rPr>
          <w:rFonts w:asciiTheme="minorHAnsi" w:hAnsiTheme="minorHAnsi"/>
        </w:rPr>
        <w:t xml:space="preserve"> espionage), </w:t>
      </w:r>
      <w:r w:rsidR="00905B61" w:rsidRPr="002E69E1">
        <w:rPr>
          <w:rFonts w:asciiTheme="minorHAnsi" w:hAnsiTheme="minorHAnsi"/>
        </w:rPr>
        <w:t>certain</w:t>
      </w:r>
      <w:r w:rsidR="008A066A" w:rsidRPr="002E69E1">
        <w:rPr>
          <w:rFonts w:asciiTheme="minorHAnsi" w:hAnsiTheme="minorHAnsi"/>
        </w:rPr>
        <w:t xml:space="preserve"> </w:t>
      </w:r>
      <w:r w:rsidR="000C6B3B" w:rsidRPr="002E69E1">
        <w:rPr>
          <w:rFonts w:asciiTheme="minorHAnsi" w:hAnsiTheme="minorHAnsi"/>
        </w:rPr>
        <w:t xml:space="preserve">federal sentencing options, including </w:t>
      </w:r>
      <w:r w:rsidR="001F0E68" w:rsidRPr="002E69E1">
        <w:rPr>
          <w:rFonts w:asciiTheme="minorHAnsi" w:hAnsiTheme="minorHAnsi"/>
        </w:rPr>
        <w:t>release under a recognizance release order</w:t>
      </w:r>
      <w:r w:rsidR="00450AB0" w:rsidRPr="002E69E1">
        <w:rPr>
          <w:rFonts w:asciiTheme="minorHAnsi" w:hAnsiTheme="minorHAnsi"/>
        </w:rPr>
        <w:t>,</w:t>
      </w:r>
      <w:r w:rsidR="0099416B" w:rsidRPr="002E69E1">
        <w:rPr>
          <w:rFonts w:asciiTheme="minorHAnsi" w:hAnsiTheme="minorHAnsi"/>
        </w:rPr>
        <w:t xml:space="preserve"> are not available where a</w:t>
      </w:r>
      <w:r w:rsidR="000C6B3B" w:rsidRPr="002E69E1">
        <w:rPr>
          <w:rFonts w:asciiTheme="minorHAnsi" w:hAnsiTheme="minorHAnsi"/>
        </w:rPr>
        <w:t xml:space="preserve"> </w:t>
      </w:r>
      <w:r w:rsidR="0099416B" w:rsidRPr="002E69E1">
        <w:rPr>
          <w:rFonts w:asciiTheme="minorHAnsi" w:hAnsiTheme="minorHAnsi"/>
        </w:rPr>
        <w:t xml:space="preserve">federal </w:t>
      </w:r>
      <w:r w:rsidR="000C6B3B" w:rsidRPr="002E69E1">
        <w:rPr>
          <w:rFonts w:asciiTheme="minorHAnsi" w:hAnsiTheme="minorHAnsi"/>
        </w:rPr>
        <w:t>offender is sentenced to imprisonment</w:t>
      </w:r>
      <w:r w:rsidR="00623C90" w:rsidRPr="002E69E1">
        <w:rPr>
          <w:rFonts w:asciiTheme="minorHAnsi" w:hAnsiTheme="minorHAnsi"/>
        </w:rPr>
        <w:t>.</w:t>
      </w:r>
      <w:r w:rsidR="000C6B3B" w:rsidRPr="002E69E1">
        <w:rPr>
          <w:rStyle w:val="Style"/>
          <w:rFonts w:asciiTheme="minorHAnsi" w:hAnsiTheme="minorHAnsi"/>
        </w:rPr>
        <w:footnoteReference w:id="83"/>
      </w:r>
      <w:r w:rsidR="000C6B3B" w:rsidRPr="002E69E1">
        <w:rPr>
          <w:rFonts w:asciiTheme="minorHAnsi" w:hAnsiTheme="minorHAnsi"/>
        </w:rPr>
        <w:t xml:space="preserve"> </w:t>
      </w:r>
      <w:r w:rsidRPr="002E69E1">
        <w:rPr>
          <w:rFonts w:asciiTheme="minorHAnsi" w:hAnsiTheme="minorHAnsi"/>
        </w:rPr>
        <w:t xml:space="preserve"> For </w:t>
      </w:r>
      <w:r w:rsidR="00753258" w:rsidRPr="002E69E1">
        <w:rPr>
          <w:rFonts w:asciiTheme="minorHAnsi" w:hAnsiTheme="minorHAnsi"/>
        </w:rPr>
        <w:t>certain</w:t>
      </w:r>
      <w:r w:rsidRPr="002E69E1">
        <w:rPr>
          <w:rFonts w:asciiTheme="minorHAnsi" w:hAnsiTheme="minorHAnsi"/>
        </w:rPr>
        <w:t xml:space="preserve"> </w:t>
      </w:r>
      <w:r w:rsidR="00753258" w:rsidRPr="002E69E1">
        <w:rPr>
          <w:rFonts w:asciiTheme="minorHAnsi" w:hAnsiTheme="minorHAnsi"/>
          <w:b/>
        </w:rPr>
        <w:t>people-smuggling</w:t>
      </w:r>
      <w:r w:rsidRPr="002E69E1">
        <w:rPr>
          <w:rFonts w:asciiTheme="minorHAnsi" w:hAnsiTheme="minorHAnsi"/>
          <w:b/>
        </w:rPr>
        <w:t xml:space="preserve"> offences</w:t>
      </w:r>
      <w:r w:rsidRPr="002E69E1">
        <w:rPr>
          <w:rFonts w:asciiTheme="minorHAnsi" w:hAnsiTheme="minorHAnsi"/>
        </w:rPr>
        <w:t>, a term of imprisonment is mandatory.</w:t>
      </w:r>
      <w:r w:rsidR="00753258" w:rsidRPr="002E69E1">
        <w:rPr>
          <w:rStyle w:val="Style"/>
          <w:rFonts w:asciiTheme="minorHAnsi" w:hAnsiTheme="minorHAnsi"/>
        </w:rPr>
        <w:footnoteReference w:id="84"/>
      </w:r>
    </w:p>
    <w:p w14:paraId="39074139" w14:textId="77777777" w:rsidR="001E337B" w:rsidRPr="002E69E1" w:rsidRDefault="001E337B">
      <w:pPr>
        <w:pStyle w:val="BodyText2"/>
        <w:tabs>
          <w:tab w:val="clear" w:pos="567"/>
          <w:tab w:val="clear" w:pos="993"/>
        </w:tabs>
        <w:spacing w:line="276" w:lineRule="auto"/>
        <w:ind w:right="170"/>
        <w:rPr>
          <w:rFonts w:asciiTheme="minorHAnsi" w:hAnsiTheme="minorHAnsi"/>
        </w:rPr>
      </w:pPr>
    </w:p>
    <w:p w14:paraId="665E0178" w14:textId="01B9F293" w:rsidR="008F657D" w:rsidRPr="002E69E1" w:rsidRDefault="008F657D" w:rsidP="00EB7F1E">
      <w:pPr>
        <w:pStyle w:val="ListParagraph"/>
        <w:numPr>
          <w:ilvl w:val="0"/>
          <w:numId w:val="7"/>
        </w:numPr>
        <w:spacing w:line="276" w:lineRule="auto"/>
        <w:ind w:left="425" w:hanging="425"/>
        <w:contextualSpacing w:val="0"/>
        <w:rPr>
          <w:rFonts w:asciiTheme="minorHAnsi" w:hAnsiTheme="minorHAnsi"/>
        </w:rPr>
      </w:pPr>
      <w:r w:rsidRPr="002E69E1">
        <w:rPr>
          <w:rFonts w:asciiTheme="minorHAnsi" w:hAnsiTheme="minorHAnsi"/>
        </w:rPr>
        <w:t xml:space="preserve">On the other hand, in particular circumstances, </w:t>
      </w:r>
      <w:r w:rsidR="00097E4D" w:rsidRPr="002E69E1">
        <w:rPr>
          <w:rFonts w:asciiTheme="minorHAnsi" w:hAnsiTheme="minorHAnsi"/>
          <w:b/>
        </w:rPr>
        <w:t>additional</w:t>
      </w:r>
      <w:r w:rsidR="005F346C" w:rsidRPr="002E69E1">
        <w:rPr>
          <w:rFonts w:asciiTheme="minorHAnsi" w:hAnsiTheme="minorHAnsi"/>
          <w:b/>
        </w:rPr>
        <w:t xml:space="preserve"> dispositions are available</w:t>
      </w:r>
      <w:r w:rsidRPr="002E69E1">
        <w:rPr>
          <w:rFonts w:asciiTheme="minorHAnsi" w:hAnsiTheme="minorHAnsi"/>
        </w:rPr>
        <w:t xml:space="preserve"> in dealing with a</w:t>
      </w:r>
      <w:r w:rsidR="008A066A" w:rsidRPr="002E69E1">
        <w:rPr>
          <w:rFonts w:asciiTheme="minorHAnsi" w:hAnsiTheme="minorHAnsi"/>
        </w:rPr>
        <w:t xml:space="preserve"> federal </w:t>
      </w:r>
      <w:r w:rsidRPr="002E69E1">
        <w:rPr>
          <w:rFonts w:asciiTheme="minorHAnsi" w:hAnsiTheme="minorHAnsi"/>
        </w:rPr>
        <w:t>offender:</w:t>
      </w:r>
    </w:p>
    <w:p w14:paraId="3F6B49A9" w14:textId="3BBAD528" w:rsidR="001E337B" w:rsidRPr="002E69E1" w:rsidRDefault="008F657D" w:rsidP="00EB7F1E">
      <w:pPr>
        <w:pStyle w:val="ListParagraph"/>
        <w:numPr>
          <w:ilvl w:val="1"/>
          <w:numId w:val="36"/>
        </w:numPr>
        <w:spacing w:line="276" w:lineRule="auto"/>
        <w:ind w:left="993" w:right="28" w:hanging="142"/>
        <w:rPr>
          <w:rFonts w:asciiTheme="minorHAnsi" w:hAnsiTheme="minorHAnsi"/>
        </w:rPr>
      </w:pPr>
      <w:r w:rsidRPr="002E69E1">
        <w:rPr>
          <w:rFonts w:asciiTheme="minorHAnsi" w:hAnsiTheme="minorHAnsi"/>
        </w:rPr>
        <w:t>Section 20C of the</w:t>
      </w:r>
      <w:r w:rsidRPr="002E69E1">
        <w:rPr>
          <w:rFonts w:asciiTheme="minorHAnsi" w:hAnsiTheme="minorHAnsi"/>
          <w:i/>
        </w:rPr>
        <w:t xml:space="preserve"> </w:t>
      </w:r>
      <w:r w:rsidR="00885EFD" w:rsidRPr="002E69E1">
        <w:rPr>
          <w:rFonts w:asciiTheme="minorHAnsi" w:hAnsiTheme="minorHAnsi"/>
          <w:i/>
        </w:rPr>
        <w:t>Crimes Act 1914</w:t>
      </w:r>
      <w:r w:rsidRPr="002E69E1">
        <w:rPr>
          <w:rFonts w:asciiTheme="minorHAnsi" w:hAnsiTheme="minorHAnsi"/>
        </w:rPr>
        <w:t xml:space="preserve"> (Cth) allows for a federal offender who is a </w:t>
      </w:r>
      <w:r w:rsidR="005F346C" w:rsidRPr="002E69E1">
        <w:rPr>
          <w:rFonts w:asciiTheme="minorHAnsi" w:hAnsiTheme="minorHAnsi"/>
          <w:b/>
        </w:rPr>
        <w:t>child or young person</w:t>
      </w:r>
      <w:r w:rsidRPr="002E69E1">
        <w:rPr>
          <w:rFonts w:asciiTheme="minorHAnsi" w:hAnsiTheme="minorHAnsi"/>
        </w:rPr>
        <w:t xml:space="preserve"> to be punished or otherwise dealt with as if the offence were an offence against a law of the relevant State or Territory.</w:t>
      </w:r>
    </w:p>
    <w:p w14:paraId="11F5B5E8" w14:textId="0E400030" w:rsidR="001E337B" w:rsidRPr="002E69E1" w:rsidRDefault="008A066A" w:rsidP="00EB7F1E">
      <w:pPr>
        <w:pStyle w:val="ListParagraph"/>
        <w:numPr>
          <w:ilvl w:val="1"/>
          <w:numId w:val="36"/>
        </w:numPr>
        <w:spacing w:line="276" w:lineRule="auto"/>
        <w:ind w:left="993" w:right="28" w:hanging="142"/>
        <w:rPr>
          <w:rFonts w:asciiTheme="minorHAnsi" w:hAnsiTheme="minorHAnsi"/>
        </w:rPr>
      </w:pPr>
      <w:r w:rsidRPr="002E69E1">
        <w:rPr>
          <w:rFonts w:asciiTheme="minorHAnsi" w:hAnsiTheme="minorHAnsi"/>
        </w:rPr>
        <w:t xml:space="preserve">Divisions 6, 7, 8 and 9 </w:t>
      </w:r>
      <w:r w:rsidR="006F5E96" w:rsidRPr="002E69E1">
        <w:rPr>
          <w:rFonts w:asciiTheme="minorHAnsi" w:hAnsiTheme="minorHAnsi"/>
        </w:rPr>
        <w:t xml:space="preserve">of Part IB of the Act </w:t>
      </w:r>
      <w:r w:rsidRPr="002E69E1">
        <w:rPr>
          <w:rFonts w:asciiTheme="minorHAnsi" w:hAnsiTheme="minorHAnsi"/>
        </w:rPr>
        <w:t xml:space="preserve">provide for disposition options in relation to persons who are </w:t>
      </w:r>
      <w:r w:rsidRPr="002E69E1">
        <w:rPr>
          <w:rFonts w:asciiTheme="minorHAnsi" w:hAnsiTheme="minorHAnsi"/>
          <w:b/>
        </w:rPr>
        <w:t>unfit to be tried, or acquitted by reason of mental illness</w:t>
      </w:r>
      <w:r w:rsidRPr="002E69E1">
        <w:rPr>
          <w:rFonts w:asciiTheme="minorHAnsi" w:hAnsiTheme="minorHAnsi"/>
        </w:rPr>
        <w:t xml:space="preserve">, or who are suffering from a </w:t>
      </w:r>
      <w:r w:rsidRPr="002E69E1">
        <w:rPr>
          <w:rFonts w:asciiTheme="minorHAnsi" w:hAnsiTheme="minorHAnsi"/>
          <w:b/>
        </w:rPr>
        <w:t>mental illness or intellectual disability</w:t>
      </w:r>
      <w:r w:rsidRPr="002E69E1">
        <w:rPr>
          <w:rFonts w:asciiTheme="minorHAnsi" w:hAnsiTheme="minorHAnsi"/>
        </w:rPr>
        <w:t>.</w:t>
      </w:r>
    </w:p>
    <w:p w14:paraId="2910D4F8" w14:textId="283AC4B1" w:rsidR="008311D8" w:rsidRDefault="0047005E" w:rsidP="00EB7F1E">
      <w:pPr>
        <w:pStyle w:val="BodyText"/>
        <w:spacing w:line="276" w:lineRule="auto"/>
        <w:ind w:left="426" w:right="170"/>
        <w:jc w:val="both"/>
        <w:rPr>
          <w:rFonts w:asciiTheme="minorHAnsi" w:hAnsiTheme="minorHAnsi"/>
        </w:rPr>
      </w:pPr>
      <w:r w:rsidRPr="002E69E1">
        <w:rPr>
          <w:rFonts w:asciiTheme="minorHAnsi" w:hAnsiTheme="minorHAnsi"/>
        </w:rPr>
        <w:t>These provisions are described in more detail below</w:t>
      </w:r>
      <w:r w:rsidR="005E1BDF" w:rsidRPr="002E69E1">
        <w:rPr>
          <w:rFonts w:asciiTheme="minorHAnsi" w:hAnsiTheme="minorHAnsi"/>
        </w:rPr>
        <w:t>:</w:t>
      </w:r>
      <w:r w:rsidRPr="002E69E1">
        <w:rPr>
          <w:rFonts w:asciiTheme="minorHAnsi" w:hAnsiTheme="minorHAnsi"/>
        </w:rPr>
        <w:t xml:space="preserve"> </w:t>
      </w:r>
      <w:r w:rsidR="00C43EA3" w:rsidRPr="002E69E1">
        <w:rPr>
          <w:rFonts w:asciiTheme="minorHAnsi" w:hAnsiTheme="minorHAnsi"/>
        </w:rPr>
        <w:t>see “</w:t>
      </w:r>
      <w:r w:rsidR="0048377F" w:rsidRPr="002E69E1">
        <w:fldChar w:fldCharType="begin"/>
      </w:r>
      <w:r w:rsidR="0048377F" w:rsidRPr="002E69E1">
        <w:instrText xml:space="preserve"> REF _Ref484289631 \r \h  \* MERGEFORMAT </w:instrText>
      </w:r>
      <w:r w:rsidR="0048377F" w:rsidRPr="002E69E1">
        <w:fldChar w:fldCharType="separate"/>
      </w:r>
      <w:r w:rsidR="00D44BCF" w:rsidRPr="00D44BCF">
        <w:rPr>
          <w:rFonts w:asciiTheme="minorHAnsi" w:hAnsiTheme="minorHAnsi"/>
        </w:rPr>
        <w:t>8</w:t>
      </w:r>
      <w:r w:rsidR="0048377F" w:rsidRPr="002E69E1">
        <w:fldChar w:fldCharType="end"/>
      </w:r>
      <w:r w:rsidR="00C43EA3" w:rsidRPr="002E69E1">
        <w:rPr>
          <w:rFonts w:asciiTheme="minorHAnsi" w:hAnsiTheme="minorHAnsi"/>
        </w:rPr>
        <w:t xml:space="preserve"> </w:t>
      </w:r>
      <w:r w:rsidR="0048377F" w:rsidRPr="002E69E1">
        <w:fldChar w:fldCharType="begin"/>
      </w:r>
      <w:r w:rsidR="0048377F" w:rsidRPr="002E69E1">
        <w:instrText xml:space="preserve"> REF _Ref484289635 \h  \* MERGEFORMAT </w:instrText>
      </w:r>
      <w:r w:rsidR="0048377F" w:rsidRPr="002E69E1">
        <w:fldChar w:fldCharType="separate"/>
      </w:r>
      <w:r w:rsidR="00D44BCF" w:rsidRPr="00D44BCF">
        <w:rPr>
          <w:rFonts w:asciiTheme="minorHAnsi" w:hAnsiTheme="minorHAnsi"/>
        </w:rPr>
        <w:t>Specific sentencing situations</w:t>
      </w:r>
      <w:r w:rsidR="0048377F" w:rsidRPr="002E69E1">
        <w:fldChar w:fldCharType="end"/>
      </w:r>
      <w:r w:rsidR="00C43EA3" w:rsidRPr="002E69E1">
        <w:rPr>
          <w:rFonts w:asciiTheme="minorHAnsi" w:hAnsiTheme="minorHAnsi"/>
        </w:rPr>
        <w:t>”</w:t>
      </w:r>
      <w:r w:rsidR="005E1BDF" w:rsidRPr="002E69E1">
        <w:rPr>
          <w:rFonts w:asciiTheme="minorHAnsi" w:hAnsiTheme="minorHAnsi"/>
        </w:rPr>
        <w:t>.</w:t>
      </w:r>
    </w:p>
    <w:p w14:paraId="5D86BD2C" w14:textId="77777777" w:rsidR="008311D8" w:rsidRDefault="008311D8">
      <w:pPr>
        <w:rPr>
          <w:rFonts w:asciiTheme="minorHAnsi" w:hAnsiTheme="minorHAnsi"/>
        </w:rPr>
      </w:pPr>
      <w:r>
        <w:rPr>
          <w:rFonts w:asciiTheme="minorHAnsi" w:hAnsiTheme="minorHAnsi"/>
        </w:rPr>
        <w:br w:type="page"/>
      </w:r>
    </w:p>
    <w:p w14:paraId="05C6F7C1" w14:textId="534D8795" w:rsidR="009D00F4" w:rsidRPr="00C00000" w:rsidRDefault="009D00F4" w:rsidP="00D531E9">
      <w:pPr>
        <w:pStyle w:val="Heading1"/>
        <w:keepNext/>
        <w:spacing w:line="276" w:lineRule="auto"/>
        <w:rPr>
          <w:rFonts w:asciiTheme="minorHAnsi" w:hAnsiTheme="minorHAnsi"/>
          <w:sz w:val="30"/>
          <w:szCs w:val="30"/>
        </w:rPr>
      </w:pPr>
      <w:bookmarkStart w:id="769" w:name="_Toc9487878"/>
      <w:bookmarkStart w:id="770" w:name="_Toc9935370"/>
      <w:bookmarkStart w:id="771" w:name="_Toc10198237"/>
      <w:bookmarkStart w:id="772" w:name="_Toc10384457"/>
      <w:bookmarkStart w:id="773" w:name="_Toc10458575"/>
      <w:bookmarkStart w:id="774" w:name="_Toc10559491"/>
      <w:bookmarkStart w:id="775" w:name="_Toc10640636"/>
      <w:bookmarkStart w:id="776" w:name="_Toc10718544"/>
      <w:bookmarkStart w:id="777" w:name="_Toc10889270"/>
      <w:bookmarkStart w:id="778" w:name="_Toc10890711"/>
      <w:bookmarkStart w:id="779" w:name="_Toc11078667"/>
      <w:bookmarkStart w:id="780" w:name="_Toc11086931"/>
      <w:bookmarkStart w:id="781" w:name="_Toc11087308"/>
      <w:bookmarkStart w:id="782" w:name="_Toc11240006"/>
      <w:bookmarkStart w:id="783" w:name="_Toc11405370"/>
      <w:bookmarkStart w:id="784" w:name="_Toc11407147"/>
      <w:bookmarkStart w:id="785" w:name="_Toc11485736"/>
      <w:bookmarkStart w:id="786" w:name="_Toc11583263"/>
      <w:bookmarkStart w:id="787" w:name="_Toc11692661"/>
      <w:bookmarkStart w:id="788" w:name="_Toc11773167"/>
      <w:bookmarkStart w:id="789" w:name="_Toc11826969"/>
      <w:bookmarkStart w:id="790" w:name="_Toc11833677"/>
      <w:bookmarkStart w:id="791" w:name="_Toc11848072"/>
      <w:bookmarkStart w:id="792" w:name="_Toc11851729"/>
      <w:bookmarkStart w:id="793" w:name="_Toc12608562"/>
      <w:bookmarkStart w:id="794" w:name="_Toc12706517"/>
      <w:bookmarkStart w:id="795" w:name="_Toc12860453"/>
      <w:bookmarkStart w:id="796" w:name="_Toc12862022"/>
      <w:bookmarkStart w:id="797" w:name="_Toc12864068"/>
      <w:bookmarkStart w:id="798" w:name="_Toc13551617"/>
      <w:bookmarkStart w:id="799" w:name="_Toc13737394"/>
      <w:bookmarkStart w:id="800" w:name="_Toc13737809"/>
      <w:bookmarkStart w:id="801" w:name="_Toc25308367"/>
      <w:bookmarkStart w:id="802" w:name="_Toc484358600"/>
      <w:bookmarkStart w:id="803" w:name="_Toc484358990"/>
      <w:bookmarkStart w:id="804" w:name="_Toc484363906"/>
      <w:bookmarkStart w:id="805" w:name="_Toc484364320"/>
      <w:bookmarkStart w:id="806" w:name="_Toc484365627"/>
      <w:bookmarkStart w:id="807" w:name="_Toc484432521"/>
      <w:bookmarkStart w:id="808" w:name="_Toc484358601"/>
      <w:bookmarkStart w:id="809" w:name="_Toc484358991"/>
      <w:bookmarkStart w:id="810" w:name="_Toc484363907"/>
      <w:bookmarkStart w:id="811" w:name="_Toc484364321"/>
      <w:bookmarkStart w:id="812" w:name="_Toc484365628"/>
      <w:bookmarkStart w:id="813" w:name="_Toc484432522"/>
      <w:bookmarkStart w:id="814" w:name="_Toc484358602"/>
      <w:bookmarkStart w:id="815" w:name="_Toc484358992"/>
      <w:bookmarkStart w:id="816" w:name="_Toc484363908"/>
      <w:bookmarkStart w:id="817" w:name="_Toc484364322"/>
      <w:bookmarkStart w:id="818" w:name="_Toc484365629"/>
      <w:bookmarkStart w:id="819" w:name="_Toc484432523"/>
      <w:bookmarkStart w:id="820" w:name="_Toc484358603"/>
      <w:bookmarkStart w:id="821" w:name="_Toc484358993"/>
      <w:bookmarkStart w:id="822" w:name="_Toc484363909"/>
      <w:bookmarkStart w:id="823" w:name="_Toc484364323"/>
      <w:bookmarkStart w:id="824" w:name="_Toc484365630"/>
      <w:bookmarkStart w:id="825" w:name="_Toc484432524"/>
      <w:bookmarkStart w:id="826" w:name="_Toc484358605"/>
      <w:bookmarkStart w:id="827" w:name="_Toc484358995"/>
      <w:bookmarkStart w:id="828" w:name="_Toc484363911"/>
      <w:bookmarkStart w:id="829" w:name="_Toc484364325"/>
      <w:bookmarkStart w:id="830" w:name="_Toc484365632"/>
      <w:bookmarkStart w:id="831" w:name="_Toc484432526"/>
      <w:bookmarkStart w:id="832" w:name="_Toc484358606"/>
      <w:bookmarkStart w:id="833" w:name="_Toc484358996"/>
      <w:bookmarkStart w:id="834" w:name="_Toc484363912"/>
      <w:bookmarkStart w:id="835" w:name="_Toc484364326"/>
      <w:bookmarkStart w:id="836" w:name="_Toc484365633"/>
      <w:bookmarkStart w:id="837" w:name="_Toc484432527"/>
      <w:bookmarkStart w:id="838" w:name="_Toc484358607"/>
      <w:bookmarkStart w:id="839" w:name="_Toc484358997"/>
      <w:bookmarkStart w:id="840" w:name="_Toc484363913"/>
      <w:bookmarkStart w:id="841" w:name="_Toc484364327"/>
      <w:bookmarkStart w:id="842" w:name="_Toc484365634"/>
      <w:bookmarkStart w:id="843" w:name="_Toc484432528"/>
      <w:bookmarkStart w:id="844" w:name="_Toc484358609"/>
      <w:bookmarkStart w:id="845" w:name="_Toc484358999"/>
      <w:bookmarkStart w:id="846" w:name="_Toc484363915"/>
      <w:bookmarkStart w:id="847" w:name="_Toc484364329"/>
      <w:bookmarkStart w:id="848" w:name="_Toc484365636"/>
      <w:bookmarkStart w:id="849" w:name="_Toc484432530"/>
      <w:bookmarkStart w:id="850" w:name="_Toc484358610"/>
      <w:bookmarkStart w:id="851" w:name="_Toc484359000"/>
      <w:bookmarkStart w:id="852" w:name="_Toc484363916"/>
      <w:bookmarkStart w:id="853" w:name="_Toc484364330"/>
      <w:bookmarkStart w:id="854" w:name="_Toc484365637"/>
      <w:bookmarkStart w:id="855" w:name="_Toc484432531"/>
      <w:bookmarkStart w:id="856" w:name="_Toc484358611"/>
      <w:bookmarkStart w:id="857" w:name="_Toc484359001"/>
      <w:bookmarkStart w:id="858" w:name="_Toc484363917"/>
      <w:bookmarkStart w:id="859" w:name="_Toc484364331"/>
      <w:bookmarkStart w:id="860" w:name="_Toc484365638"/>
      <w:bookmarkStart w:id="861" w:name="_Toc484432532"/>
      <w:bookmarkStart w:id="862" w:name="_Toc484358613"/>
      <w:bookmarkStart w:id="863" w:name="_Toc484359003"/>
      <w:bookmarkStart w:id="864" w:name="_Toc484363919"/>
      <w:bookmarkStart w:id="865" w:name="_Toc484364333"/>
      <w:bookmarkStart w:id="866" w:name="_Toc484365640"/>
      <w:bookmarkStart w:id="867" w:name="_Toc484432534"/>
      <w:bookmarkStart w:id="868" w:name="_Toc484358614"/>
      <w:bookmarkStart w:id="869" w:name="_Toc484359004"/>
      <w:bookmarkStart w:id="870" w:name="_Toc484363920"/>
      <w:bookmarkStart w:id="871" w:name="_Toc484364334"/>
      <w:bookmarkStart w:id="872" w:name="_Toc484365641"/>
      <w:bookmarkStart w:id="873" w:name="_Toc484432535"/>
      <w:bookmarkStart w:id="874" w:name="_Toc484358615"/>
      <w:bookmarkStart w:id="875" w:name="_Toc484359005"/>
      <w:bookmarkStart w:id="876" w:name="_Toc484363921"/>
      <w:bookmarkStart w:id="877" w:name="_Toc484364335"/>
      <w:bookmarkStart w:id="878" w:name="_Toc484365642"/>
      <w:bookmarkStart w:id="879" w:name="_Toc484432536"/>
      <w:bookmarkStart w:id="880" w:name="_Toc484358616"/>
      <w:bookmarkStart w:id="881" w:name="_Toc484359006"/>
      <w:bookmarkStart w:id="882" w:name="_Toc484363922"/>
      <w:bookmarkStart w:id="883" w:name="_Toc484364336"/>
      <w:bookmarkStart w:id="884" w:name="_Toc484365643"/>
      <w:bookmarkStart w:id="885" w:name="_Toc484432537"/>
      <w:bookmarkStart w:id="886" w:name="_Toc484358617"/>
      <w:bookmarkStart w:id="887" w:name="_Toc484359007"/>
      <w:bookmarkStart w:id="888" w:name="_Toc484363923"/>
      <w:bookmarkStart w:id="889" w:name="_Toc484364337"/>
      <w:bookmarkStart w:id="890" w:name="_Toc484365644"/>
      <w:bookmarkStart w:id="891" w:name="_Toc484432538"/>
      <w:bookmarkStart w:id="892" w:name="_Toc484358618"/>
      <w:bookmarkStart w:id="893" w:name="_Toc484359008"/>
      <w:bookmarkStart w:id="894" w:name="_Toc484363924"/>
      <w:bookmarkStart w:id="895" w:name="_Toc484364338"/>
      <w:bookmarkStart w:id="896" w:name="_Toc484365645"/>
      <w:bookmarkStart w:id="897" w:name="_Toc484432539"/>
      <w:bookmarkStart w:id="898" w:name="_Toc484358619"/>
      <w:bookmarkStart w:id="899" w:name="_Toc484359009"/>
      <w:bookmarkStart w:id="900" w:name="_Toc484363925"/>
      <w:bookmarkStart w:id="901" w:name="_Toc484364339"/>
      <w:bookmarkStart w:id="902" w:name="_Toc484365646"/>
      <w:bookmarkStart w:id="903" w:name="_Toc484432540"/>
      <w:bookmarkStart w:id="904" w:name="_Toc484358620"/>
      <w:bookmarkStart w:id="905" w:name="_Toc484359010"/>
      <w:bookmarkStart w:id="906" w:name="_Toc484363926"/>
      <w:bookmarkStart w:id="907" w:name="_Toc484364340"/>
      <w:bookmarkStart w:id="908" w:name="_Toc484365647"/>
      <w:bookmarkStart w:id="909" w:name="_Toc484432541"/>
      <w:bookmarkStart w:id="910" w:name="_Toc484358621"/>
      <w:bookmarkStart w:id="911" w:name="_Toc484359011"/>
      <w:bookmarkStart w:id="912" w:name="_Toc484363927"/>
      <w:bookmarkStart w:id="913" w:name="_Toc484364341"/>
      <w:bookmarkStart w:id="914" w:name="_Toc484365648"/>
      <w:bookmarkStart w:id="915" w:name="_Toc484432542"/>
      <w:bookmarkStart w:id="916" w:name="_Toc484358622"/>
      <w:bookmarkStart w:id="917" w:name="_Toc484359012"/>
      <w:bookmarkStart w:id="918" w:name="_Toc484363928"/>
      <w:bookmarkStart w:id="919" w:name="_Toc484364342"/>
      <w:bookmarkStart w:id="920" w:name="_Toc484365649"/>
      <w:bookmarkStart w:id="921" w:name="_Toc484432543"/>
      <w:bookmarkStart w:id="922" w:name="_Toc484358623"/>
      <w:bookmarkStart w:id="923" w:name="_Toc484359013"/>
      <w:bookmarkStart w:id="924" w:name="_Toc484363929"/>
      <w:bookmarkStart w:id="925" w:name="_Toc484364343"/>
      <w:bookmarkStart w:id="926" w:name="_Toc484365650"/>
      <w:bookmarkStart w:id="927" w:name="_Toc484432544"/>
      <w:bookmarkStart w:id="928" w:name="_Toc484358624"/>
      <w:bookmarkStart w:id="929" w:name="_Toc484359014"/>
      <w:bookmarkStart w:id="930" w:name="_Toc484363930"/>
      <w:bookmarkStart w:id="931" w:name="_Toc484364344"/>
      <w:bookmarkStart w:id="932" w:name="_Toc484365651"/>
      <w:bookmarkStart w:id="933" w:name="_Toc484432545"/>
      <w:bookmarkStart w:id="934" w:name="_Toc484358625"/>
      <w:bookmarkStart w:id="935" w:name="_Toc484359015"/>
      <w:bookmarkStart w:id="936" w:name="_Toc484363931"/>
      <w:bookmarkStart w:id="937" w:name="_Toc484364345"/>
      <w:bookmarkStart w:id="938" w:name="_Toc484365652"/>
      <w:bookmarkStart w:id="939" w:name="_Toc484432546"/>
      <w:bookmarkStart w:id="940" w:name="_Toc484358626"/>
      <w:bookmarkStart w:id="941" w:name="_Toc484359016"/>
      <w:bookmarkStart w:id="942" w:name="_Toc484363932"/>
      <w:bookmarkStart w:id="943" w:name="_Toc484364346"/>
      <w:bookmarkStart w:id="944" w:name="_Toc484365653"/>
      <w:bookmarkStart w:id="945" w:name="_Toc484432547"/>
      <w:bookmarkStart w:id="946" w:name="_Toc484358627"/>
      <w:bookmarkStart w:id="947" w:name="_Toc484359017"/>
      <w:bookmarkStart w:id="948" w:name="_Toc484363933"/>
      <w:bookmarkStart w:id="949" w:name="_Toc484364347"/>
      <w:bookmarkStart w:id="950" w:name="_Toc484365654"/>
      <w:bookmarkStart w:id="951" w:name="_Toc484432548"/>
      <w:bookmarkStart w:id="952" w:name="_Toc484358628"/>
      <w:bookmarkStart w:id="953" w:name="_Toc484359018"/>
      <w:bookmarkStart w:id="954" w:name="_Toc484363934"/>
      <w:bookmarkStart w:id="955" w:name="_Toc484364348"/>
      <w:bookmarkStart w:id="956" w:name="_Toc484365655"/>
      <w:bookmarkStart w:id="957" w:name="_Toc484432549"/>
      <w:bookmarkStart w:id="958" w:name="_Toc484358629"/>
      <w:bookmarkStart w:id="959" w:name="_Toc484359019"/>
      <w:bookmarkStart w:id="960" w:name="_Toc484363935"/>
      <w:bookmarkStart w:id="961" w:name="_Toc484364349"/>
      <w:bookmarkStart w:id="962" w:name="_Toc484365656"/>
      <w:bookmarkStart w:id="963" w:name="_Toc484432550"/>
      <w:bookmarkStart w:id="964" w:name="_Toc33602759"/>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r w:rsidRPr="00C00000">
        <w:rPr>
          <w:rFonts w:asciiTheme="minorHAnsi" w:hAnsiTheme="minorHAnsi"/>
          <w:sz w:val="30"/>
          <w:szCs w:val="30"/>
        </w:rPr>
        <w:t xml:space="preserve">Sentencing </w:t>
      </w:r>
      <w:r w:rsidR="006A406D">
        <w:rPr>
          <w:rFonts w:asciiTheme="minorHAnsi" w:hAnsiTheme="minorHAnsi"/>
          <w:sz w:val="30"/>
          <w:szCs w:val="30"/>
        </w:rPr>
        <w:t>m</w:t>
      </w:r>
      <w:r w:rsidRPr="00C00000">
        <w:rPr>
          <w:rFonts w:asciiTheme="minorHAnsi" w:hAnsiTheme="minorHAnsi"/>
          <w:sz w:val="30"/>
          <w:szCs w:val="30"/>
        </w:rPr>
        <w:t>ethodology</w:t>
      </w:r>
      <w:bookmarkEnd w:id="964"/>
    </w:p>
    <w:p w14:paraId="2500CE83" w14:textId="77777777" w:rsidR="00D531E9" w:rsidRDefault="00D531E9" w:rsidP="00D531E9">
      <w:pPr>
        <w:keepNext/>
        <w:spacing w:line="276" w:lineRule="auto"/>
        <w:ind w:right="170"/>
        <w:rPr>
          <w:rFonts w:asciiTheme="minorHAnsi" w:hAnsiTheme="minorHAnsi"/>
        </w:rPr>
      </w:pPr>
      <w:bookmarkStart w:id="965" w:name="_Ref489958639"/>
      <w:bookmarkStart w:id="966" w:name="_Ref489958642"/>
    </w:p>
    <w:p w14:paraId="64A6304B" w14:textId="5972D276" w:rsidR="00563ACA" w:rsidRDefault="00691A3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This Chapter addresses </w:t>
      </w:r>
      <w:r w:rsidR="00597AA0">
        <w:rPr>
          <w:rFonts w:asciiTheme="minorHAnsi" w:hAnsiTheme="minorHAnsi"/>
        </w:rPr>
        <w:t xml:space="preserve">three </w:t>
      </w:r>
      <w:r w:rsidR="00F03A46">
        <w:rPr>
          <w:rFonts w:asciiTheme="minorHAnsi" w:hAnsiTheme="minorHAnsi"/>
        </w:rPr>
        <w:t>topics</w:t>
      </w:r>
      <w:r w:rsidR="00597AA0">
        <w:rPr>
          <w:rFonts w:asciiTheme="minorHAnsi" w:hAnsiTheme="minorHAnsi"/>
        </w:rPr>
        <w:t xml:space="preserve"> relating to the methodology of sentencing a federal offender:</w:t>
      </w:r>
    </w:p>
    <w:p w14:paraId="2D408295" w14:textId="2F887580" w:rsidR="00597AA0" w:rsidRDefault="00597AA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fact-finding for sentencing;</w:t>
      </w:r>
    </w:p>
    <w:p w14:paraId="494A6300" w14:textId="1897DE44" w:rsidR="00597AA0" w:rsidRDefault="00597AA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the appropriate method for synthesising factors relevant to sentencing; and</w:t>
      </w:r>
    </w:p>
    <w:p w14:paraId="15368337" w14:textId="22D6A667" w:rsidR="00597AA0" w:rsidRPr="00C00000" w:rsidRDefault="00597AA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how sentencing courts are to ensure reasonable consistency in the sentencing of federal offenders.</w:t>
      </w:r>
    </w:p>
    <w:p w14:paraId="5697922C" w14:textId="77777777" w:rsidR="00563ACA" w:rsidRPr="00C00000" w:rsidRDefault="00563ACA" w:rsidP="00563ACA">
      <w:pPr>
        <w:spacing w:line="276" w:lineRule="auto"/>
        <w:ind w:left="567" w:right="170" w:hanging="567"/>
        <w:jc w:val="both"/>
        <w:rPr>
          <w:rFonts w:asciiTheme="minorHAnsi" w:hAnsiTheme="minorHAnsi"/>
        </w:rPr>
      </w:pPr>
    </w:p>
    <w:p w14:paraId="3D1B496E" w14:textId="3ACBEE4D" w:rsidR="00E37520" w:rsidRDefault="00E37520" w:rsidP="00D531E9">
      <w:pPr>
        <w:pStyle w:val="Heading2"/>
        <w:rPr>
          <w:rStyle w:val="Strong"/>
          <w:b/>
        </w:rPr>
      </w:pPr>
      <w:bookmarkStart w:id="967" w:name="_Ref507870627"/>
      <w:bookmarkStart w:id="968" w:name="_Ref507870630"/>
      <w:bookmarkStart w:id="969" w:name="_Toc33602760"/>
      <w:r>
        <w:rPr>
          <w:rStyle w:val="Strong"/>
          <w:b/>
        </w:rPr>
        <w:t>Fact-finding in federal sentencing</w:t>
      </w:r>
      <w:bookmarkEnd w:id="965"/>
      <w:bookmarkEnd w:id="966"/>
      <w:bookmarkEnd w:id="967"/>
      <w:bookmarkEnd w:id="968"/>
      <w:bookmarkEnd w:id="969"/>
      <w:r>
        <w:rPr>
          <w:rStyle w:val="Strong"/>
          <w:b/>
        </w:rPr>
        <w:t xml:space="preserve"> </w:t>
      </w:r>
    </w:p>
    <w:p w14:paraId="3C81D8FD" w14:textId="76F47673" w:rsidR="00F42184" w:rsidRPr="00576EEE" w:rsidRDefault="00F42184" w:rsidP="00D531E9">
      <w:pPr>
        <w:keepNext/>
        <w:spacing w:line="276" w:lineRule="auto"/>
        <w:rPr>
          <w:rFonts w:ascii="Calibri" w:hAnsi="Calibri"/>
        </w:rPr>
      </w:pPr>
    </w:p>
    <w:p w14:paraId="213E4DB7" w14:textId="3C4D2B72" w:rsidR="003E434F" w:rsidRPr="008D6EEA" w:rsidRDefault="003E434F" w:rsidP="00D531E9">
      <w:pPr>
        <w:pStyle w:val="Heading3"/>
      </w:pPr>
      <w:bookmarkStart w:id="970" w:name="_Toc33602761"/>
      <w:r w:rsidRPr="008D6EEA">
        <w:t>The statutory</w:t>
      </w:r>
      <w:r w:rsidR="00334021" w:rsidRPr="008D6EEA">
        <w:t xml:space="preserve"> regime</w:t>
      </w:r>
      <w:bookmarkEnd w:id="970"/>
    </w:p>
    <w:p w14:paraId="72698592" w14:textId="77777777" w:rsidR="00D531E9" w:rsidRPr="00576EEE" w:rsidRDefault="00D531E9" w:rsidP="00D531E9">
      <w:pPr>
        <w:pStyle w:val="NormalIndent"/>
        <w:keepNext/>
        <w:rPr>
          <w:rFonts w:ascii="Calibri" w:hAnsi="Calibri"/>
        </w:rPr>
      </w:pPr>
    </w:p>
    <w:p w14:paraId="5A76508C" w14:textId="5B4CB21D" w:rsidR="00597AA0" w:rsidRDefault="009E08E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Commonwealth statutes are not generally prescriptive about the procedures for fact-finding by a court sentencing a federal offender.  </w:t>
      </w:r>
      <w:r w:rsidR="00B06F2E">
        <w:rPr>
          <w:rFonts w:asciiTheme="minorHAnsi" w:hAnsiTheme="minorHAnsi"/>
        </w:rPr>
        <w:t xml:space="preserve">Procedures </w:t>
      </w:r>
      <w:r>
        <w:rPr>
          <w:rFonts w:asciiTheme="minorHAnsi" w:hAnsiTheme="minorHAnsi"/>
        </w:rPr>
        <w:t>and evidentiary rules</w:t>
      </w:r>
      <w:r w:rsidR="00B06F2E" w:rsidRPr="00B06F2E">
        <w:rPr>
          <w:rFonts w:asciiTheme="minorHAnsi" w:hAnsiTheme="minorHAnsi"/>
        </w:rPr>
        <w:t xml:space="preserve"> </w:t>
      </w:r>
      <w:r w:rsidR="00B06F2E">
        <w:rPr>
          <w:rFonts w:asciiTheme="minorHAnsi" w:hAnsiTheme="minorHAnsi"/>
        </w:rPr>
        <w:t>in the relevant State or Territory</w:t>
      </w:r>
      <w:r>
        <w:rPr>
          <w:rFonts w:asciiTheme="minorHAnsi" w:hAnsiTheme="minorHAnsi"/>
        </w:rPr>
        <w:t xml:space="preserve">, whether pursuant to common law or local statutes, are generally applied by the provisions of the </w:t>
      </w:r>
      <w:r w:rsidRPr="00313F0D">
        <w:rPr>
          <w:rFonts w:asciiTheme="minorHAnsi" w:hAnsiTheme="minorHAnsi"/>
          <w:i/>
        </w:rPr>
        <w:t>Judiciary Act 1903</w:t>
      </w:r>
      <w:r>
        <w:rPr>
          <w:rFonts w:asciiTheme="minorHAnsi" w:hAnsiTheme="minorHAnsi"/>
        </w:rPr>
        <w:t xml:space="preserve"> (Cth) to the sentencing of federal offenders.</w:t>
      </w:r>
    </w:p>
    <w:p w14:paraId="257AF0B6" w14:textId="77777777" w:rsidR="00313F0D" w:rsidRPr="00313F0D" w:rsidRDefault="00313F0D" w:rsidP="00313F0D">
      <w:pPr>
        <w:spacing w:line="276" w:lineRule="auto"/>
        <w:ind w:right="170"/>
        <w:rPr>
          <w:rFonts w:asciiTheme="minorHAnsi" w:hAnsiTheme="minorHAnsi"/>
        </w:rPr>
      </w:pPr>
    </w:p>
    <w:p w14:paraId="53C0729F" w14:textId="453FE8E5" w:rsidR="009D5306" w:rsidRPr="009D5306" w:rsidRDefault="00334021"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16A(2) of the </w:t>
      </w:r>
      <w:r w:rsidR="00885EFD" w:rsidRPr="00885EFD">
        <w:rPr>
          <w:rFonts w:asciiTheme="minorHAnsi" w:hAnsiTheme="minorHAnsi"/>
          <w:i/>
        </w:rPr>
        <w:t>Crimes Act 1914</w:t>
      </w:r>
      <w:r>
        <w:rPr>
          <w:rFonts w:asciiTheme="minorHAnsi" w:hAnsiTheme="minorHAnsi"/>
        </w:rPr>
        <w:t xml:space="preserve"> (Cth)</w:t>
      </w:r>
      <w:r w:rsidR="00232E4D">
        <w:rPr>
          <w:rFonts w:asciiTheme="minorHAnsi" w:hAnsiTheme="minorHAnsi"/>
        </w:rPr>
        <w:t xml:space="preserve"> requires a court sentencing a federal offender to </w:t>
      </w:r>
      <w:r w:rsidR="00232E4D" w:rsidRPr="00232E4D">
        <w:rPr>
          <w:rFonts w:asciiTheme="minorHAnsi" w:hAnsiTheme="minorHAnsi"/>
          <w:color w:val="000000"/>
          <w:szCs w:val="22"/>
          <w:lang w:eastAsia="en-AU"/>
        </w:rPr>
        <w:t>take into account such of a number of list</w:t>
      </w:r>
      <w:r w:rsidR="00697528">
        <w:rPr>
          <w:rFonts w:asciiTheme="minorHAnsi" w:hAnsiTheme="minorHAnsi"/>
          <w:color w:val="000000"/>
          <w:szCs w:val="22"/>
          <w:lang w:eastAsia="en-AU"/>
        </w:rPr>
        <w:t>ed</w:t>
      </w:r>
      <w:r w:rsidR="00232E4D" w:rsidRPr="00232E4D">
        <w:rPr>
          <w:rFonts w:asciiTheme="minorHAnsi" w:hAnsiTheme="minorHAnsi"/>
          <w:color w:val="000000"/>
          <w:szCs w:val="22"/>
          <w:lang w:eastAsia="en-AU"/>
        </w:rPr>
        <w:t xml:space="preserve"> matters</w:t>
      </w:r>
      <w:r w:rsidR="00232E4D" w:rsidRPr="00C00000">
        <w:rPr>
          <w:rFonts w:asciiTheme="minorHAnsi" w:hAnsiTheme="minorHAnsi"/>
          <w:i/>
          <w:color w:val="000000"/>
          <w:szCs w:val="22"/>
          <w:lang w:eastAsia="en-AU"/>
        </w:rPr>
        <w:t xml:space="preserve"> </w:t>
      </w:r>
      <w:r w:rsidR="00232E4D" w:rsidRPr="00232E4D">
        <w:rPr>
          <w:rFonts w:asciiTheme="minorHAnsi" w:hAnsiTheme="minorHAnsi"/>
          <w:color w:val="000000"/>
          <w:szCs w:val="22"/>
          <w:lang w:eastAsia="en-AU"/>
        </w:rPr>
        <w:t>“</w:t>
      </w:r>
      <w:r w:rsidR="00232E4D" w:rsidRPr="00C00000">
        <w:rPr>
          <w:rFonts w:asciiTheme="minorHAnsi" w:hAnsiTheme="minorHAnsi"/>
          <w:i/>
          <w:color w:val="000000"/>
          <w:szCs w:val="22"/>
          <w:lang w:eastAsia="en-AU"/>
        </w:rPr>
        <w:t>as are relevant and known to the court</w:t>
      </w:r>
      <w:r w:rsidR="00232E4D" w:rsidRPr="00232E4D">
        <w:rPr>
          <w:rFonts w:asciiTheme="minorHAnsi" w:hAnsiTheme="minorHAnsi"/>
          <w:color w:val="000000"/>
          <w:szCs w:val="22"/>
          <w:lang w:eastAsia="en-AU"/>
        </w:rPr>
        <w:t>”</w:t>
      </w:r>
      <w:r w:rsidR="00232E4D">
        <w:rPr>
          <w:rFonts w:asciiTheme="minorHAnsi" w:hAnsiTheme="minorHAnsi"/>
          <w:color w:val="000000"/>
          <w:szCs w:val="22"/>
          <w:lang w:eastAsia="en-AU"/>
        </w:rPr>
        <w:t>.  This requirement is not prescriptive of the ways in which such matters may become “</w:t>
      </w:r>
      <w:r w:rsidR="00232E4D" w:rsidRPr="00232E4D">
        <w:rPr>
          <w:rFonts w:asciiTheme="minorHAnsi" w:hAnsiTheme="minorHAnsi"/>
          <w:i/>
          <w:color w:val="000000"/>
          <w:szCs w:val="22"/>
          <w:lang w:eastAsia="en-AU"/>
        </w:rPr>
        <w:t>known to the court</w:t>
      </w:r>
      <w:r w:rsidR="00232E4D">
        <w:rPr>
          <w:rFonts w:asciiTheme="minorHAnsi" w:hAnsiTheme="minorHAnsi"/>
          <w:color w:val="000000"/>
          <w:szCs w:val="22"/>
          <w:lang w:eastAsia="en-AU"/>
        </w:rPr>
        <w:t>”</w:t>
      </w:r>
      <w:r w:rsidR="003D3E3F">
        <w:rPr>
          <w:rFonts w:asciiTheme="minorHAnsi" w:hAnsiTheme="minorHAnsi"/>
          <w:color w:val="000000"/>
          <w:szCs w:val="22"/>
          <w:lang w:eastAsia="en-AU"/>
        </w:rPr>
        <w:t>, but in some circumstances precludes a sentencing court from acting upon a mere presumption</w:t>
      </w:r>
      <w:r w:rsidR="00340FD8">
        <w:rPr>
          <w:rFonts w:asciiTheme="minorHAnsi" w:hAnsiTheme="minorHAnsi"/>
          <w:color w:val="000000"/>
          <w:szCs w:val="22"/>
          <w:lang w:eastAsia="en-AU"/>
        </w:rPr>
        <w:t>: see “</w:t>
      </w:r>
      <w:r w:rsidR="0031507E">
        <w:rPr>
          <w:rFonts w:asciiTheme="minorHAnsi" w:hAnsiTheme="minorHAnsi"/>
          <w:color w:val="000000"/>
          <w:szCs w:val="22"/>
          <w:lang w:eastAsia="en-AU"/>
        </w:rPr>
        <w:fldChar w:fldCharType="begin"/>
      </w:r>
      <w:r w:rsidR="0031507E">
        <w:rPr>
          <w:rFonts w:asciiTheme="minorHAnsi" w:hAnsiTheme="minorHAnsi"/>
          <w:color w:val="000000"/>
          <w:szCs w:val="22"/>
          <w:lang w:eastAsia="en-AU"/>
        </w:rPr>
        <w:instrText xml:space="preserve"> REF _Ref492634109 \r \h </w:instrText>
      </w:r>
      <w:r w:rsidR="0031507E">
        <w:rPr>
          <w:rFonts w:asciiTheme="minorHAnsi" w:hAnsiTheme="minorHAnsi"/>
          <w:color w:val="000000"/>
          <w:szCs w:val="22"/>
          <w:lang w:eastAsia="en-AU"/>
        </w:rPr>
      </w:r>
      <w:r w:rsidR="0031507E">
        <w:rPr>
          <w:rFonts w:asciiTheme="minorHAnsi" w:hAnsiTheme="minorHAnsi"/>
          <w:color w:val="000000"/>
          <w:szCs w:val="22"/>
          <w:lang w:eastAsia="en-AU"/>
        </w:rPr>
        <w:fldChar w:fldCharType="separate"/>
      </w:r>
      <w:r w:rsidR="00D44BCF">
        <w:rPr>
          <w:rFonts w:asciiTheme="minorHAnsi" w:hAnsiTheme="minorHAnsi"/>
          <w:color w:val="000000"/>
          <w:szCs w:val="22"/>
          <w:lang w:eastAsia="en-AU"/>
        </w:rPr>
        <w:t>3.1.3</w:t>
      </w:r>
      <w:r w:rsidR="0031507E">
        <w:rPr>
          <w:rFonts w:asciiTheme="minorHAnsi" w:hAnsiTheme="minorHAnsi"/>
          <w:color w:val="000000"/>
          <w:szCs w:val="22"/>
          <w:lang w:eastAsia="en-AU"/>
        </w:rPr>
        <w:fldChar w:fldCharType="end"/>
      </w:r>
      <w:r w:rsidR="0031507E">
        <w:rPr>
          <w:rFonts w:asciiTheme="minorHAnsi" w:hAnsiTheme="minorHAnsi"/>
          <w:color w:val="000000"/>
          <w:szCs w:val="22"/>
          <w:lang w:eastAsia="en-AU"/>
        </w:rPr>
        <w:t xml:space="preserve"> </w:t>
      </w:r>
      <w:r w:rsidR="0031507E">
        <w:rPr>
          <w:rFonts w:asciiTheme="minorHAnsi" w:hAnsiTheme="minorHAnsi"/>
          <w:color w:val="000000"/>
          <w:szCs w:val="22"/>
          <w:lang w:eastAsia="en-AU"/>
        </w:rPr>
        <w:fldChar w:fldCharType="begin"/>
      </w:r>
      <w:r w:rsidR="0031507E">
        <w:rPr>
          <w:rFonts w:asciiTheme="minorHAnsi" w:hAnsiTheme="minorHAnsi"/>
          <w:color w:val="000000"/>
          <w:szCs w:val="22"/>
          <w:lang w:eastAsia="en-AU"/>
        </w:rPr>
        <w:instrText xml:space="preserve"> REF _Ref492634109 \h </w:instrText>
      </w:r>
      <w:r w:rsidR="0076448A">
        <w:rPr>
          <w:rFonts w:asciiTheme="minorHAnsi" w:hAnsiTheme="minorHAnsi"/>
          <w:color w:val="000000"/>
          <w:szCs w:val="22"/>
          <w:lang w:eastAsia="en-AU"/>
        </w:rPr>
        <w:instrText xml:space="preserve"> \* MERGEFORMAT </w:instrText>
      </w:r>
      <w:r w:rsidR="0031507E">
        <w:rPr>
          <w:rFonts w:asciiTheme="minorHAnsi" w:hAnsiTheme="minorHAnsi"/>
          <w:color w:val="000000"/>
          <w:szCs w:val="22"/>
          <w:lang w:eastAsia="en-AU"/>
        </w:rPr>
      </w:r>
      <w:r w:rsidR="0031507E">
        <w:rPr>
          <w:rFonts w:asciiTheme="minorHAnsi" w:hAnsiTheme="minorHAnsi"/>
          <w:color w:val="000000"/>
          <w:szCs w:val="22"/>
          <w:lang w:eastAsia="en-AU"/>
        </w:rPr>
        <w:fldChar w:fldCharType="separate"/>
      </w:r>
      <w:r w:rsidR="00D44BCF" w:rsidRPr="00D44BCF">
        <w:rPr>
          <w:rFonts w:asciiTheme="minorHAnsi" w:hAnsiTheme="minorHAnsi"/>
          <w:color w:val="000000"/>
          <w:szCs w:val="22"/>
          <w:lang w:eastAsia="en-AU"/>
        </w:rPr>
        <w:t xml:space="preserve">Relevant matters “known to the court”: </w:t>
      </w:r>
      <w:r w:rsidR="00D44BCF" w:rsidRPr="00D44BCF">
        <w:rPr>
          <w:rFonts w:asciiTheme="minorHAnsi" w:hAnsiTheme="minorHAnsi"/>
          <w:i/>
          <w:color w:val="000000"/>
          <w:szCs w:val="22"/>
          <w:lang w:eastAsia="en-AU"/>
        </w:rPr>
        <w:t>Crimes Act 1914,</w:t>
      </w:r>
      <w:r w:rsidR="00D44BCF" w:rsidRPr="00D44BCF">
        <w:rPr>
          <w:rFonts w:asciiTheme="minorHAnsi" w:hAnsiTheme="minorHAnsi"/>
          <w:color w:val="000000"/>
          <w:szCs w:val="22"/>
          <w:lang w:eastAsia="en-AU"/>
        </w:rPr>
        <w:t xml:space="preserve"> s 16A(2)</w:t>
      </w:r>
      <w:r w:rsidR="0031507E">
        <w:rPr>
          <w:rFonts w:asciiTheme="minorHAnsi" w:hAnsiTheme="minorHAnsi"/>
          <w:color w:val="000000"/>
          <w:szCs w:val="22"/>
          <w:lang w:eastAsia="en-AU"/>
        </w:rPr>
        <w:fldChar w:fldCharType="end"/>
      </w:r>
      <w:r w:rsidR="00340FD8">
        <w:rPr>
          <w:rFonts w:asciiTheme="minorHAnsi" w:hAnsiTheme="minorHAnsi"/>
          <w:color w:val="000000"/>
          <w:szCs w:val="22"/>
          <w:lang w:eastAsia="en-AU"/>
        </w:rPr>
        <w:t>”.</w:t>
      </w:r>
    </w:p>
    <w:p w14:paraId="3D5BC4E9" w14:textId="77777777" w:rsidR="009D5306" w:rsidRPr="009D5306" w:rsidRDefault="009D5306" w:rsidP="009D5306">
      <w:pPr>
        <w:pStyle w:val="ListParagraph"/>
        <w:rPr>
          <w:rFonts w:asciiTheme="minorHAnsi" w:hAnsiTheme="minorHAnsi"/>
          <w:color w:val="000000"/>
          <w:szCs w:val="22"/>
          <w:lang w:eastAsia="en-AU"/>
        </w:rPr>
      </w:pPr>
    </w:p>
    <w:p w14:paraId="5ADCE224" w14:textId="62ECE8B2" w:rsidR="00E37520" w:rsidRPr="008D6EEA" w:rsidRDefault="00F42184" w:rsidP="003E7B85">
      <w:pPr>
        <w:pStyle w:val="Heading3"/>
      </w:pPr>
      <w:bookmarkStart w:id="971" w:name="_Toc33602762"/>
      <w:r w:rsidRPr="008D6EEA">
        <w:t>Fact-finding following a jury trial</w:t>
      </w:r>
      <w:bookmarkEnd w:id="971"/>
    </w:p>
    <w:p w14:paraId="31AD3A1E" w14:textId="0046B972" w:rsidR="001E337B" w:rsidRDefault="001E337B" w:rsidP="003E7B85">
      <w:pPr>
        <w:keepNext/>
        <w:spacing w:line="276" w:lineRule="auto"/>
        <w:ind w:right="170"/>
        <w:rPr>
          <w:rFonts w:asciiTheme="minorHAnsi" w:hAnsiTheme="minorHAnsi"/>
          <w:highlight w:val="yellow"/>
        </w:rPr>
      </w:pPr>
    </w:p>
    <w:p w14:paraId="76F72B02" w14:textId="4C67BAB6" w:rsidR="00A27C10" w:rsidRDefault="00D92B5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constitutional guarantee </w:t>
      </w:r>
      <w:r w:rsidR="009C289F" w:rsidRPr="003D3EAC">
        <w:rPr>
          <w:rFonts w:asciiTheme="minorHAnsi" w:hAnsiTheme="minorHAnsi"/>
        </w:rPr>
        <w:t xml:space="preserve">that </w:t>
      </w:r>
      <w:r w:rsidR="009C289F">
        <w:rPr>
          <w:rFonts w:asciiTheme="minorHAnsi" w:hAnsiTheme="minorHAnsi"/>
        </w:rPr>
        <w:t>t</w:t>
      </w:r>
      <w:r w:rsidR="009C289F" w:rsidRPr="00BA2B0B">
        <w:rPr>
          <w:rFonts w:asciiTheme="minorHAnsi" w:hAnsiTheme="minorHAnsi"/>
        </w:rPr>
        <w:t>he trial on indictment of any offence against any law of the Commonwealth shall be by jury</w:t>
      </w:r>
      <w:r w:rsidR="009C289F">
        <w:rPr>
          <w:rFonts w:asciiTheme="minorHAnsi" w:hAnsiTheme="minorHAnsi"/>
        </w:rPr>
        <w:t xml:space="preserve"> (</w:t>
      </w:r>
      <w:r w:rsidR="009C289F" w:rsidRPr="00A40DD3">
        <w:rPr>
          <w:rFonts w:asciiTheme="minorHAnsi" w:hAnsiTheme="minorHAnsi"/>
          <w:i/>
        </w:rPr>
        <w:t>Constitution</w:t>
      </w:r>
      <w:r w:rsidR="009C289F">
        <w:rPr>
          <w:rFonts w:asciiTheme="minorHAnsi" w:hAnsiTheme="minorHAnsi"/>
        </w:rPr>
        <w:t>, s 80) does not require more than that</w:t>
      </w:r>
      <w:r w:rsidR="00A40DD3">
        <w:rPr>
          <w:rFonts w:asciiTheme="minorHAnsi" w:hAnsiTheme="minorHAnsi"/>
        </w:rPr>
        <w:t>, on a trial,</w:t>
      </w:r>
      <w:r w:rsidR="009C289F">
        <w:rPr>
          <w:rFonts w:asciiTheme="minorHAnsi" w:hAnsiTheme="minorHAnsi"/>
        </w:rPr>
        <w:t xml:space="preserve"> the jury must determin</w:t>
      </w:r>
      <w:r w:rsidR="00ED0DB7">
        <w:rPr>
          <w:rFonts w:asciiTheme="minorHAnsi" w:hAnsiTheme="minorHAnsi"/>
        </w:rPr>
        <w:t xml:space="preserve">e </w:t>
      </w:r>
      <w:r w:rsidR="00317317">
        <w:rPr>
          <w:rFonts w:asciiTheme="minorHAnsi" w:hAnsiTheme="minorHAnsi"/>
        </w:rPr>
        <w:t xml:space="preserve">whether </w:t>
      </w:r>
      <w:r w:rsidR="00ED0DB7" w:rsidRPr="00697528">
        <w:rPr>
          <w:rFonts w:asciiTheme="minorHAnsi" w:hAnsiTheme="minorHAnsi"/>
          <w:i/>
        </w:rPr>
        <w:t>the elements of the offence</w:t>
      </w:r>
      <w:r w:rsidR="00317317">
        <w:rPr>
          <w:rFonts w:asciiTheme="minorHAnsi" w:hAnsiTheme="minorHAnsi"/>
        </w:rPr>
        <w:t xml:space="preserve"> are made out</w:t>
      </w:r>
      <w:r w:rsidR="00ED0DB7">
        <w:rPr>
          <w:rFonts w:asciiTheme="minorHAnsi" w:hAnsiTheme="minorHAnsi"/>
        </w:rPr>
        <w:t xml:space="preserve">.  </w:t>
      </w:r>
      <w:r w:rsidR="00317317">
        <w:rPr>
          <w:rFonts w:asciiTheme="minorHAnsi" w:hAnsiTheme="minorHAnsi"/>
        </w:rPr>
        <w:t>Matters of aggravation may be made elements of the offence (for example</w:t>
      </w:r>
      <w:r w:rsidR="00A27C10">
        <w:rPr>
          <w:rFonts w:asciiTheme="minorHAnsi" w:hAnsiTheme="minorHAnsi"/>
        </w:rPr>
        <w:t xml:space="preserve">, as in the offence of aggravated robbery in s 132.3 of the </w:t>
      </w:r>
      <w:r w:rsidR="00A27C10" w:rsidRPr="00A27C10">
        <w:rPr>
          <w:rFonts w:asciiTheme="minorHAnsi" w:hAnsiTheme="minorHAnsi"/>
          <w:i/>
        </w:rPr>
        <w:t>Criminal Code</w:t>
      </w:r>
      <w:r w:rsidR="00A27C10">
        <w:rPr>
          <w:rFonts w:asciiTheme="minorHAnsi" w:hAnsiTheme="minorHAnsi"/>
        </w:rPr>
        <w:t xml:space="preserve"> (Cth))</w:t>
      </w:r>
      <w:r w:rsidR="00317317">
        <w:rPr>
          <w:rFonts w:asciiTheme="minorHAnsi" w:hAnsiTheme="minorHAnsi"/>
        </w:rPr>
        <w:t>, or may instead go only to penalty</w:t>
      </w:r>
      <w:r w:rsidR="00A27C10">
        <w:rPr>
          <w:rFonts w:asciiTheme="minorHAnsi" w:hAnsiTheme="minorHAnsi"/>
        </w:rPr>
        <w:t xml:space="preserve"> (for example, as in s 141.1(6) of the </w:t>
      </w:r>
      <w:r w:rsidR="00A27C10" w:rsidRPr="00A27C10">
        <w:rPr>
          <w:rFonts w:asciiTheme="minorHAnsi" w:hAnsiTheme="minorHAnsi"/>
          <w:i/>
        </w:rPr>
        <w:t>Criminal Code</w:t>
      </w:r>
      <w:r w:rsidR="00A27C10">
        <w:rPr>
          <w:rFonts w:asciiTheme="minorHAnsi" w:hAnsiTheme="minorHAnsi"/>
        </w:rPr>
        <w:t xml:space="preserve"> (Cth))</w:t>
      </w:r>
      <w:r w:rsidR="00317317">
        <w:rPr>
          <w:rFonts w:asciiTheme="minorHAnsi" w:hAnsiTheme="minorHAnsi"/>
        </w:rPr>
        <w:t xml:space="preserve">.  </w:t>
      </w:r>
      <w:r w:rsidR="009C289F">
        <w:rPr>
          <w:rFonts w:asciiTheme="minorHAnsi" w:hAnsiTheme="minorHAnsi"/>
        </w:rPr>
        <w:t>Facts which are not elements of the offence</w:t>
      </w:r>
      <w:r w:rsidR="00ED0DB7">
        <w:rPr>
          <w:rFonts w:asciiTheme="minorHAnsi" w:hAnsiTheme="minorHAnsi"/>
        </w:rPr>
        <w:t xml:space="preserve"> -</w:t>
      </w:r>
      <w:r w:rsidR="004661D3">
        <w:rPr>
          <w:rFonts w:asciiTheme="minorHAnsi" w:hAnsiTheme="minorHAnsi"/>
        </w:rPr>
        <w:t xml:space="preserve"> including matters which may substantially affect the applicable penalty</w:t>
      </w:r>
      <w:r w:rsidR="00ED0DB7">
        <w:rPr>
          <w:rFonts w:asciiTheme="minorHAnsi" w:hAnsiTheme="minorHAnsi"/>
        </w:rPr>
        <w:t xml:space="preserve"> - </w:t>
      </w:r>
      <w:r w:rsidR="009C289F">
        <w:rPr>
          <w:rFonts w:asciiTheme="minorHAnsi" w:hAnsiTheme="minorHAnsi"/>
        </w:rPr>
        <w:t>may be determined by a sentencing judge</w:t>
      </w:r>
      <w:r w:rsidR="00ED0DB7">
        <w:rPr>
          <w:rFonts w:asciiTheme="minorHAnsi" w:hAnsiTheme="minorHAnsi"/>
        </w:rPr>
        <w:t xml:space="preserve"> alone</w:t>
      </w:r>
      <w:r w:rsidR="00A27C10">
        <w:rPr>
          <w:rFonts w:asciiTheme="minorHAnsi" w:hAnsiTheme="minorHAnsi"/>
        </w:rPr>
        <w:t>.</w:t>
      </w:r>
    </w:p>
    <w:p w14:paraId="605AE178" w14:textId="77777777" w:rsidR="00A27C10" w:rsidRPr="00A27C10" w:rsidRDefault="00A27C10" w:rsidP="00A27C10">
      <w:pPr>
        <w:pStyle w:val="ListParagraph"/>
        <w:rPr>
          <w:rFonts w:asciiTheme="minorHAnsi" w:hAnsiTheme="minorHAnsi"/>
        </w:rPr>
      </w:pPr>
    </w:p>
    <w:p w14:paraId="3444FB0B" w14:textId="7B2FFB77" w:rsidR="00D92B55" w:rsidRDefault="000260BF" w:rsidP="00EB7F1E">
      <w:pPr>
        <w:pStyle w:val="ListParagraph"/>
        <w:numPr>
          <w:ilvl w:val="0"/>
          <w:numId w:val="7"/>
        </w:numPr>
        <w:spacing w:line="276" w:lineRule="auto"/>
        <w:ind w:left="425" w:hanging="425"/>
        <w:contextualSpacing w:val="0"/>
        <w:rPr>
          <w:rFonts w:asciiTheme="minorHAnsi" w:hAnsiTheme="minorHAnsi"/>
        </w:rPr>
      </w:pPr>
      <w:r w:rsidRPr="000260BF">
        <w:rPr>
          <w:rFonts w:asciiTheme="minorHAnsi" w:hAnsiTheme="minorHAnsi"/>
          <w:i/>
        </w:rPr>
        <w:t>Kingswell</w:t>
      </w:r>
      <w:r w:rsidRPr="00C00000">
        <w:rPr>
          <w:rStyle w:val="Style"/>
          <w:rFonts w:asciiTheme="minorHAnsi" w:hAnsiTheme="minorHAnsi"/>
        </w:rPr>
        <w:footnoteReference w:id="85"/>
      </w:r>
      <w:r>
        <w:rPr>
          <w:rFonts w:asciiTheme="minorHAnsi" w:hAnsiTheme="minorHAnsi"/>
        </w:rPr>
        <w:t xml:space="preserve"> provides an illustration.  The </w:t>
      </w:r>
      <w:r w:rsidR="00ED0DB7">
        <w:rPr>
          <w:rFonts w:asciiTheme="minorHAnsi" w:hAnsiTheme="minorHAnsi"/>
        </w:rPr>
        <w:t xml:space="preserve">provisions of the </w:t>
      </w:r>
      <w:r w:rsidR="00ED0DB7" w:rsidRPr="00ED0DB7">
        <w:rPr>
          <w:rFonts w:asciiTheme="minorHAnsi" w:hAnsiTheme="minorHAnsi"/>
          <w:i/>
        </w:rPr>
        <w:t>Customs Act 1901</w:t>
      </w:r>
      <w:r w:rsidR="00ED0DB7">
        <w:rPr>
          <w:rFonts w:asciiTheme="minorHAnsi" w:hAnsiTheme="minorHAnsi"/>
        </w:rPr>
        <w:t xml:space="preserve"> (Cth)</w:t>
      </w:r>
      <w:r>
        <w:rPr>
          <w:rFonts w:asciiTheme="minorHAnsi" w:hAnsiTheme="minorHAnsi"/>
        </w:rPr>
        <w:t xml:space="preserve"> there under consideration provided </w:t>
      </w:r>
      <w:r w:rsidR="00697BB0">
        <w:rPr>
          <w:rFonts w:asciiTheme="minorHAnsi" w:hAnsiTheme="minorHAnsi"/>
        </w:rPr>
        <w:t>higher</w:t>
      </w:r>
      <w:r>
        <w:rPr>
          <w:rFonts w:asciiTheme="minorHAnsi" w:hAnsiTheme="minorHAnsi"/>
        </w:rPr>
        <w:t xml:space="preserve"> penalties for the offence of conspiring to import prohibited imports which are narcotic goods, </w:t>
      </w:r>
      <w:r w:rsidR="00697BB0">
        <w:rPr>
          <w:rFonts w:asciiTheme="minorHAnsi" w:hAnsiTheme="minorHAnsi"/>
        </w:rPr>
        <w:t xml:space="preserve">if “the Court” was satisfied that the </w:t>
      </w:r>
      <w:r w:rsidR="005775AC">
        <w:rPr>
          <w:rFonts w:asciiTheme="minorHAnsi" w:hAnsiTheme="minorHAnsi"/>
        </w:rPr>
        <w:t>narcotic good</w:t>
      </w:r>
      <w:r w:rsidR="00ED0DB7">
        <w:rPr>
          <w:rFonts w:asciiTheme="minorHAnsi" w:hAnsiTheme="minorHAnsi"/>
        </w:rPr>
        <w:t>s</w:t>
      </w:r>
      <w:r w:rsidR="005775AC">
        <w:rPr>
          <w:rFonts w:asciiTheme="minorHAnsi" w:hAnsiTheme="minorHAnsi"/>
        </w:rPr>
        <w:t xml:space="preserve"> consisted of a trafficable </w:t>
      </w:r>
      <w:r>
        <w:rPr>
          <w:rFonts w:asciiTheme="minorHAnsi" w:hAnsiTheme="minorHAnsi"/>
        </w:rPr>
        <w:t>quantity</w:t>
      </w:r>
      <w:r w:rsidR="005775AC">
        <w:rPr>
          <w:rFonts w:asciiTheme="minorHAnsi" w:hAnsiTheme="minorHAnsi"/>
        </w:rPr>
        <w:t xml:space="preserve"> or a commercial quantity</w:t>
      </w:r>
      <w:r w:rsidR="00697BB0">
        <w:rPr>
          <w:rFonts w:asciiTheme="minorHAnsi" w:hAnsiTheme="minorHAnsi"/>
        </w:rPr>
        <w:t xml:space="preserve">.  </w:t>
      </w:r>
      <w:r w:rsidR="005775AC">
        <w:rPr>
          <w:rFonts w:asciiTheme="minorHAnsi" w:hAnsiTheme="minorHAnsi"/>
        </w:rPr>
        <w:t>The majority</w:t>
      </w:r>
      <w:r w:rsidR="00321206">
        <w:rPr>
          <w:rFonts w:asciiTheme="minorHAnsi" w:hAnsiTheme="minorHAnsi"/>
        </w:rPr>
        <w:t xml:space="preserve"> of the High Court</w:t>
      </w:r>
      <w:r w:rsidR="005775AC">
        <w:rPr>
          <w:rFonts w:asciiTheme="minorHAnsi" w:hAnsiTheme="minorHAnsi"/>
        </w:rPr>
        <w:t xml:space="preserve"> in </w:t>
      </w:r>
      <w:r w:rsidR="005775AC" w:rsidRPr="005775AC">
        <w:rPr>
          <w:rFonts w:asciiTheme="minorHAnsi" w:hAnsiTheme="minorHAnsi"/>
          <w:i/>
        </w:rPr>
        <w:t>Kingswell</w:t>
      </w:r>
      <w:r w:rsidR="005775AC">
        <w:rPr>
          <w:rFonts w:asciiTheme="minorHAnsi" w:hAnsiTheme="minorHAnsi"/>
        </w:rPr>
        <w:t xml:space="preserve"> </w:t>
      </w:r>
      <w:r w:rsidR="006A0E4F">
        <w:rPr>
          <w:rFonts w:asciiTheme="minorHAnsi" w:hAnsiTheme="minorHAnsi"/>
        </w:rPr>
        <w:t>held that the statute did not create separate offences depending on the quantity</w:t>
      </w:r>
      <w:r w:rsidR="00697528">
        <w:rPr>
          <w:rFonts w:asciiTheme="minorHAnsi" w:hAnsiTheme="minorHAnsi"/>
        </w:rPr>
        <w:t>; it</w:t>
      </w:r>
      <w:r w:rsidR="006A0E4F">
        <w:rPr>
          <w:rFonts w:asciiTheme="minorHAnsi" w:hAnsiTheme="minorHAnsi"/>
        </w:rPr>
        <w:t xml:space="preserve"> </w:t>
      </w:r>
      <w:r w:rsidR="005775AC">
        <w:rPr>
          <w:rFonts w:asciiTheme="minorHAnsi" w:hAnsiTheme="minorHAnsi"/>
        </w:rPr>
        <w:t xml:space="preserve">construed the reference to “the Court” as a reference to the sentencing judge alone, and held that reposing </w:t>
      </w:r>
      <w:r w:rsidR="00697528">
        <w:rPr>
          <w:rFonts w:asciiTheme="minorHAnsi" w:hAnsiTheme="minorHAnsi"/>
        </w:rPr>
        <w:t xml:space="preserve">in the judge alone </w:t>
      </w:r>
      <w:r w:rsidR="005775AC">
        <w:rPr>
          <w:rFonts w:asciiTheme="minorHAnsi" w:hAnsiTheme="minorHAnsi"/>
        </w:rPr>
        <w:t xml:space="preserve">the determination of </w:t>
      </w:r>
      <w:r w:rsidR="00697528">
        <w:rPr>
          <w:rFonts w:asciiTheme="minorHAnsi" w:hAnsiTheme="minorHAnsi"/>
        </w:rPr>
        <w:t xml:space="preserve">the relevant </w:t>
      </w:r>
      <w:r w:rsidR="005775AC">
        <w:rPr>
          <w:rFonts w:asciiTheme="minorHAnsi" w:hAnsiTheme="minorHAnsi"/>
        </w:rPr>
        <w:t>quantity did not contravene s 80</w:t>
      </w:r>
      <w:r w:rsidR="00697528">
        <w:rPr>
          <w:rFonts w:asciiTheme="minorHAnsi" w:hAnsiTheme="minorHAnsi"/>
        </w:rPr>
        <w:t xml:space="preserve"> of the Constitution</w:t>
      </w:r>
      <w:r w:rsidR="005775AC">
        <w:rPr>
          <w:rFonts w:asciiTheme="minorHAnsi" w:hAnsiTheme="minorHAnsi"/>
        </w:rPr>
        <w:t>.</w:t>
      </w:r>
    </w:p>
    <w:p w14:paraId="5C5D94FF" w14:textId="77777777" w:rsidR="00142B9E" w:rsidRPr="00142B9E" w:rsidRDefault="00142B9E" w:rsidP="00142B9E">
      <w:pPr>
        <w:pStyle w:val="ListParagraph"/>
        <w:rPr>
          <w:rFonts w:asciiTheme="minorHAnsi" w:hAnsiTheme="minorHAnsi"/>
        </w:rPr>
      </w:pPr>
    </w:p>
    <w:p w14:paraId="195BD4F4" w14:textId="574518FF" w:rsidR="00142B9E" w:rsidRPr="00D92B55" w:rsidRDefault="00142B9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a person is found guilty of a federal offence by a jury, the verdict determines only that the elements of the offence </w:t>
      </w:r>
      <w:r w:rsidR="00A40DD3">
        <w:rPr>
          <w:rFonts w:asciiTheme="minorHAnsi" w:hAnsiTheme="minorHAnsi"/>
        </w:rPr>
        <w:t>(and any circumstances of aggravation</w:t>
      </w:r>
      <w:r w:rsidR="00A40DD3" w:rsidRPr="00A40DD3">
        <w:rPr>
          <w:rFonts w:asciiTheme="minorHAnsi" w:hAnsiTheme="minorHAnsi"/>
        </w:rPr>
        <w:t xml:space="preserve"> </w:t>
      </w:r>
      <w:r w:rsidR="00A40DD3">
        <w:rPr>
          <w:rFonts w:asciiTheme="minorHAnsi" w:hAnsiTheme="minorHAnsi"/>
        </w:rPr>
        <w:t xml:space="preserve">pleaded in the indictment which have been presented as a condition of a guilty verdict) </w:t>
      </w:r>
      <w:r>
        <w:rPr>
          <w:rFonts w:asciiTheme="minorHAnsi" w:hAnsiTheme="minorHAnsi"/>
        </w:rPr>
        <w:t>have been pr</w:t>
      </w:r>
      <w:r w:rsidR="000D6497">
        <w:rPr>
          <w:rFonts w:asciiTheme="minorHAnsi" w:hAnsiTheme="minorHAnsi"/>
        </w:rPr>
        <w:t>oven beyond reasonable doubt.  I</w:t>
      </w:r>
      <w:r>
        <w:rPr>
          <w:rFonts w:asciiTheme="minorHAnsi" w:hAnsiTheme="minorHAnsi"/>
        </w:rPr>
        <w:t>t is for the sentencing judge to find the relevant facts</w:t>
      </w:r>
      <w:r w:rsidR="00851F82">
        <w:rPr>
          <w:rFonts w:asciiTheme="minorHAnsi" w:hAnsiTheme="minorHAnsi"/>
        </w:rPr>
        <w:t xml:space="preserve"> of the offending, beyond reasonable doubt,</w:t>
      </w:r>
      <w:r>
        <w:rPr>
          <w:rFonts w:asciiTheme="minorHAnsi" w:hAnsiTheme="minorHAnsi"/>
        </w:rPr>
        <w:t xml:space="preserve"> for the purposes of sentencing.  </w:t>
      </w:r>
      <w:r w:rsidR="00841AF0" w:rsidRPr="00841AF0">
        <w:rPr>
          <w:rFonts w:asciiTheme="minorHAnsi" w:hAnsiTheme="minorHAnsi"/>
        </w:rPr>
        <w:t xml:space="preserve">A </w:t>
      </w:r>
      <w:r w:rsidR="00841AF0">
        <w:rPr>
          <w:rFonts w:asciiTheme="minorHAnsi" w:hAnsiTheme="minorHAnsi"/>
        </w:rPr>
        <w:t xml:space="preserve">sentencing judge </w:t>
      </w:r>
      <w:r w:rsidR="00841AF0" w:rsidRPr="00841AF0">
        <w:rPr>
          <w:rFonts w:asciiTheme="minorHAnsi" w:hAnsiTheme="minorHAnsi"/>
        </w:rPr>
        <w:t>is entitled to consider all the conduct of the accused, including that which would aggravate the offence</w:t>
      </w:r>
      <w:r w:rsidR="00697528">
        <w:rPr>
          <w:rFonts w:asciiTheme="minorHAnsi" w:hAnsiTheme="minorHAnsi"/>
        </w:rPr>
        <w:t xml:space="preserve"> of which the person has been found guilty.</w:t>
      </w:r>
      <w:r w:rsidR="00841AF0" w:rsidRPr="00841AF0">
        <w:rPr>
          <w:rFonts w:asciiTheme="minorHAnsi" w:hAnsiTheme="minorHAnsi"/>
        </w:rPr>
        <w:t xml:space="preserve"> </w:t>
      </w:r>
      <w:r w:rsidR="00697528">
        <w:rPr>
          <w:rFonts w:asciiTheme="minorHAnsi" w:hAnsiTheme="minorHAnsi"/>
        </w:rPr>
        <w:t xml:space="preserve"> However the judge</w:t>
      </w:r>
      <w:r w:rsidR="00841AF0" w:rsidRPr="00841AF0">
        <w:rPr>
          <w:rFonts w:asciiTheme="minorHAnsi" w:hAnsiTheme="minorHAnsi"/>
        </w:rPr>
        <w:t xml:space="preserve"> cannot take into account circumstances of aggravation which would have warranted a conviction for a more serious offence</w:t>
      </w:r>
      <w:r w:rsidR="00A659D8">
        <w:rPr>
          <w:rFonts w:asciiTheme="minorHAnsi" w:hAnsiTheme="minorHAnsi"/>
        </w:rPr>
        <w:t xml:space="preserve"> than that charged</w:t>
      </w:r>
      <w:r w:rsidR="00841AF0" w:rsidRPr="00841AF0">
        <w:rPr>
          <w:rFonts w:asciiTheme="minorHAnsi" w:hAnsiTheme="minorHAnsi"/>
        </w:rPr>
        <w:t>.</w:t>
      </w:r>
      <w:r w:rsidR="00841AF0" w:rsidRPr="00C00000">
        <w:rPr>
          <w:rStyle w:val="Style"/>
          <w:rFonts w:asciiTheme="minorHAnsi" w:hAnsiTheme="minorHAnsi"/>
        </w:rPr>
        <w:footnoteReference w:id="86"/>
      </w:r>
      <w:r w:rsidR="00841AF0">
        <w:rPr>
          <w:rFonts w:asciiTheme="minorHAnsi" w:hAnsiTheme="minorHAnsi"/>
        </w:rPr>
        <w:t xml:space="preserve">  </w:t>
      </w:r>
      <w:r>
        <w:rPr>
          <w:rFonts w:asciiTheme="minorHAnsi" w:hAnsiTheme="minorHAnsi"/>
        </w:rPr>
        <w:t>The judge</w:t>
      </w:r>
      <w:r w:rsidR="00AA693C">
        <w:rPr>
          <w:rFonts w:asciiTheme="minorHAnsi" w:hAnsiTheme="minorHAnsi"/>
        </w:rPr>
        <w:t>’</w:t>
      </w:r>
      <w:r>
        <w:rPr>
          <w:rFonts w:asciiTheme="minorHAnsi" w:hAnsiTheme="minorHAnsi"/>
        </w:rPr>
        <w:t>s factual findings must not be inconsistent with the verdict of the jury</w:t>
      </w:r>
      <w:r w:rsidR="00715910">
        <w:rPr>
          <w:rFonts w:asciiTheme="minorHAnsi" w:hAnsiTheme="minorHAnsi"/>
        </w:rPr>
        <w:t xml:space="preserve">, </w:t>
      </w:r>
      <w:r w:rsidR="00244531">
        <w:rPr>
          <w:rFonts w:asciiTheme="minorHAnsi" w:hAnsiTheme="minorHAnsi"/>
        </w:rPr>
        <w:t>or</w:t>
      </w:r>
      <w:r w:rsidR="001C5391">
        <w:rPr>
          <w:rFonts w:asciiTheme="minorHAnsi" w:hAnsiTheme="minorHAnsi"/>
        </w:rPr>
        <w:t xml:space="preserve"> with</w:t>
      </w:r>
      <w:r w:rsidR="000D1387">
        <w:rPr>
          <w:rFonts w:asciiTheme="minorHAnsi" w:hAnsiTheme="minorHAnsi"/>
        </w:rPr>
        <w:t xml:space="preserve"> any findings of fact which are </w:t>
      </w:r>
      <w:r w:rsidR="00841AF0">
        <w:rPr>
          <w:rFonts w:asciiTheme="minorHAnsi" w:hAnsiTheme="minorHAnsi"/>
        </w:rPr>
        <w:t xml:space="preserve">necessarily </w:t>
      </w:r>
      <w:r w:rsidR="000D1387">
        <w:rPr>
          <w:rFonts w:asciiTheme="minorHAnsi" w:hAnsiTheme="minorHAnsi"/>
        </w:rPr>
        <w:t>implicit in the verdict (including verdicts on other charges in the same trial)</w:t>
      </w:r>
      <w:r w:rsidR="00C369BB">
        <w:rPr>
          <w:rFonts w:asciiTheme="minorHAnsi" w:hAnsiTheme="minorHAnsi"/>
        </w:rPr>
        <w:t>, but a</w:t>
      </w:r>
      <w:r w:rsidR="000D1387" w:rsidRPr="00C369BB">
        <w:rPr>
          <w:rFonts w:asciiTheme="minorHAnsi" w:hAnsiTheme="minorHAnsi"/>
        </w:rPr>
        <w:t xml:space="preserve"> sentencing judge </w:t>
      </w:r>
      <w:r w:rsidR="00554AE1">
        <w:rPr>
          <w:rFonts w:asciiTheme="minorHAnsi" w:hAnsiTheme="minorHAnsi"/>
        </w:rPr>
        <w:t xml:space="preserve">is not required </w:t>
      </w:r>
      <w:r w:rsidR="000D1387" w:rsidRPr="00C369BB">
        <w:rPr>
          <w:rFonts w:asciiTheme="minorHAnsi" w:hAnsiTheme="minorHAnsi"/>
        </w:rPr>
        <w:t>to sentence on the basis of a view of the facts m</w:t>
      </w:r>
      <w:r w:rsidR="00C369BB">
        <w:rPr>
          <w:rFonts w:asciiTheme="minorHAnsi" w:hAnsiTheme="minorHAnsi"/>
        </w:rPr>
        <w:t>ost favourable to the offender.</w:t>
      </w:r>
      <w:r w:rsidR="00C369BB" w:rsidRPr="00C00000">
        <w:rPr>
          <w:rStyle w:val="Style"/>
          <w:rFonts w:asciiTheme="minorHAnsi" w:hAnsiTheme="minorHAnsi"/>
        </w:rPr>
        <w:footnoteReference w:id="87"/>
      </w:r>
      <w:r w:rsidR="00C369BB" w:rsidRPr="00C369BB">
        <w:rPr>
          <w:rFonts w:ascii="Times New Roman" w:hAnsi="Times New Roman"/>
          <w:sz w:val="24"/>
          <w:szCs w:val="24"/>
          <w:lang w:eastAsia="en-AU"/>
        </w:rPr>
        <w:t xml:space="preserve"> </w:t>
      </w:r>
      <w:r w:rsidR="00841AF0">
        <w:rPr>
          <w:rFonts w:ascii="Times New Roman" w:hAnsi="Times New Roman"/>
          <w:sz w:val="24"/>
          <w:szCs w:val="24"/>
          <w:lang w:eastAsia="en-AU"/>
        </w:rPr>
        <w:t xml:space="preserve"> </w:t>
      </w:r>
      <w:r w:rsidR="00973B0D" w:rsidRPr="00973B0D">
        <w:rPr>
          <w:rFonts w:asciiTheme="minorHAnsi" w:hAnsiTheme="minorHAnsi"/>
        </w:rPr>
        <w:t>So, for example, in a conspiracy case</w:t>
      </w:r>
      <w:r w:rsidR="00973B0D">
        <w:rPr>
          <w:rFonts w:asciiTheme="minorHAnsi" w:hAnsiTheme="minorHAnsi"/>
        </w:rPr>
        <w:t xml:space="preserve"> the sentencing judge is entitled not only to make findings about the formation of the agreement, but also about what was done </w:t>
      </w:r>
      <w:r w:rsidR="00865879">
        <w:rPr>
          <w:rFonts w:asciiTheme="minorHAnsi" w:hAnsiTheme="minorHAnsi"/>
        </w:rPr>
        <w:t>in furtherance of</w:t>
      </w:r>
      <w:r w:rsidR="00973B0D">
        <w:rPr>
          <w:rFonts w:asciiTheme="minorHAnsi" w:hAnsiTheme="minorHAnsi"/>
        </w:rPr>
        <w:t xml:space="preserve"> the agreement, even if that includes the commission of the substantive offence which </w:t>
      </w:r>
      <w:r w:rsidR="00914C20">
        <w:rPr>
          <w:rFonts w:asciiTheme="minorHAnsi" w:hAnsiTheme="minorHAnsi"/>
        </w:rPr>
        <w:t xml:space="preserve">was the object of </w:t>
      </w:r>
      <w:r w:rsidR="00973B0D">
        <w:rPr>
          <w:rFonts w:asciiTheme="minorHAnsi" w:hAnsiTheme="minorHAnsi"/>
        </w:rPr>
        <w:t>the conspira</w:t>
      </w:r>
      <w:r w:rsidR="00914C20">
        <w:rPr>
          <w:rFonts w:asciiTheme="minorHAnsi" w:hAnsiTheme="minorHAnsi"/>
        </w:rPr>
        <w:t>cy</w:t>
      </w:r>
      <w:r w:rsidR="00973B0D">
        <w:rPr>
          <w:rFonts w:asciiTheme="minorHAnsi" w:hAnsiTheme="minorHAnsi"/>
        </w:rPr>
        <w:t>.</w:t>
      </w:r>
      <w:r w:rsidR="00973B0D" w:rsidRPr="00C00000">
        <w:rPr>
          <w:rStyle w:val="Style"/>
          <w:rFonts w:asciiTheme="minorHAnsi" w:hAnsiTheme="minorHAnsi"/>
        </w:rPr>
        <w:footnoteReference w:id="88"/>
      </w:r>
    </w:p>
    <w:p w14:paraId="3F559334" w14:textId="525EFC9D" w:rsidR="00D92B55" w:rsidRPr="00097E4D" w:rsidRDefault="00D92B55">
      <w:pPr>
        <w:spacing w:line="276" w:lineRule="auto"/>
        <w:ind w:right="170"/>
        <w:rPr>
          <w:rFonts w:asciiTheme="minorHAnsi" w:hAnsiTheme="minorHAnsi"/>
          <w:highlight w:val="yellow"/>
        </w:rPr>
      </w:pPr>
    </w:p>
    <w:p w14:paraId="28F3F6DF" w14:textId="50F33337" w:rsidR="00B77BF1" w:rsidRPr="008D6EEA" w:rsidRDefault="0070764B" w:rsidP="003E7B85">
      <w:pPr>
        <w:pStyle w:val="Heading3"/>
      </w:pPr>
      <w:bookmarkStart w:id="972" w:name="_Ref492634109"/>
      <w:bookmarkStart w:id="973" w:name="_Toc33602763"/>
      <w:r w:rsidRPr="008D6EEA">
        <w:t xml:space="preserve">Relevant matters “known to the court”: </w:t>
      </w:r>
      <w:r w:rsidR="00885EFD" w:rsidRPr="008D6EEA">
        <w:t>Crimes Act 1914</w:t>
      </w:r>
      <w:r w:rsidRPr="008D6EEA">
        <w:t>, s 16A(2)</w:t>
      </w:r>
      <w:bookmarkEnd w:id="972"/>
      <w:bookmarkEnd w:id="973"/>
    </w:p>
    <w:p w14:paraId="465EC159" w14:textId="77777777" w:rsidR="00B77BF1" w:rsidRPr="00576EEE" w:rsidRDefault="00B77BF1" w:rsidP="003E7B85">
      <w:pPr>
        <w:pStyle w:val="NormalIndent"/>
        <w:keepNext/>
        <w:spacing w:line="276" w:lineRule="auto"/>
        <w:rPr>
          <w:rFonts w:ascii="Calibri" w:hAnsi="Calibri"/>
        </w:rPr>
      </w:pPr>
    </w:p>
    <w:p w14:paraId="1A9B754F" w14:textId="70F44418" w:rsidR="005F691C" w:rsidRPr="00C00000" w:rsidRDefault="005F691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All the matters listed in s 16A(2) must be taken into account where “</w:t>
      </w:r>
      <w:r w:rsidRPr="00C00000">
        <w:rPr>
          <w:rFonts w:asciiTheme="minorHAnsi" w:hAnsiTheme="minorHAnsi"/>
          <w:i/>
        </w:rPr>
        <w:t>relevant and known</w:t>
      </w:r>
      <w:r w:rsidRPr="00C00000">
        <w:rPr>
          <w:rFonts w:asciiTheme="minorHAnsi" w:hAnsiTheme="minorHAnsi"/>
          <w:iCs/>
        </w:rPr>
        <w:t>”</w:t>
      </w:r>
      <w:r w:rsidRPr="00C00000">
        <w:rPr>
          <w:rFonts w:asciiTheme="minorHAnsi" w:hAnsiTheme="minorHAnsi"/>
          <w:i/>
        </w:rPr>
        <w:t xml:space="preserve"> </w:t>
      </w:r>
      <w:r w:rsidRPr="00C00000">
        <w:rPr>
          <w:rFonts w:asciiTheme="minorHAnsi" w:hAnsiTheme="minorHAnsi"/>
        </w:rPr>
        <w:t xml:space="preserve">to the court.  The sub-section does not require the </w:t>
      </w:r>
      <w:r w:rsidR="006F5E96" w:rsidRPr="00C00000">
        <w:rPr>
          <w:rFonts w:asciiTheme="minorHAnsi" w:hAnsiTheme="minorHAnsi"/>
        </w:rPr>
        <w:t>sentencing</w:t>
      </w:r>
      <w:r w:rsidR="006F5E96">
        <w:rPr>
          <w:rFonts w:asciiTheme="minorHAnsi" w:hAnsiTheme="minorHAnsi"/>
        </w:rPr>
        <w:t xml:space="preserve"> court </w:t>
      </w:r>
      <w:r w:rsidRPr="00C00000">
        <w:rPr>
          <w:rFonts w:asciiTheme="minorHAnsi" w:hAnsiTheme="minorHAnsi"/>
        </w:rPr>
        <w:t xml:space="preserve">to refer to each of the matters specified; it requires only that the </w:t>
      </w:r>
      <w:r w:rsidRPr="00C00000">
        <w:rPr>
          <w:rFonts w:asciiTheme="minorHAnsi" w:hAnsiTheme="minorHAnsi"/>
          <w:i/>
          <w:iCs/>
        </w:rPr>
        <w:t>“relevant</w:t>
      </w:r>
      <w:r w:rsidRPr="00C00000">
        <w:rPr>
          <w:rFonts w:asciiTheme="minorHAnsi" w:hAnsiTheme="minorHAnsi"/>
        </w:rPr>
        <w:t xml:space="preserve"> </w:t>
      </w:r>
      <w:r w:rsidRPr="00C00000">
        <w:rPr>
          <w:rFonts w:asciiTheme="minorHAnsi" w:hAnsiTheme="minorHAnsi"/>
          <w:i/>
          <w:iCs/>
        </w:rPr>
        <w:t>and known”</w:t>
      </w:r>
      <w:r w:rsidRPr="00C00000">
        <w:rPr>
          <w:rFonts w:asciiTheme="minorHAnsi" w:hAnsiTheme="minorHAnsi"/>
        </w:rPr>
        <w:t xml:space="preserve"> matters be taken into account.</w:t>
      </w:r>
      <w:r w:rsidRPr="00C00000">
        <w:rPr>
          <w:rStyle w:val="Style"/>
          <w:rFonts w:asciiTheme="minorHAnsi" w:hAnsiTheme="minorHAnsi"/>
        </w:rPr>
        <w:footnoteReference w:id="89"/>
      </w:r>
      <w:r w:rsidRPr="00C00000">
        <w:rPr>
          <w:rFonts w:asciiTheme="minorHAnsi" w:hAnsiTheme="minorHAnsi"/>
        </w:rPr>
        <w:t xml:space="preserve">  </w:t>
      </w:r>
    </w:p>
    <w:p w14:paraId="58F009D3" w14:textId="77777777" w:rsidR="005F691C" w:rsidRPr="00C00000" w:rsidRDefault="005F691C" w:rsidP="005F691C">
      <w:pPr>
        <w:spacing w:line="276" w:lineRule="auto"/>
        <w:ind w:left="567" w:right="170" w:hanging="567"/>
        <w:jc w:val="both"/>
        <w:rPr>
          <w:rFonts w:asciiTheme="minorHAnsi" w:hAnsiTheme="minorHAnsi"/>
        </w:rPr>
      </w:pPr>
    </w:p>
    <w:p w14:paraId="0BB5D15A" w14:textId="63DFC5A3" w:rsidR="005F691C" w:rsidRDefault="005F691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In </w:t>
      </w:r>
      <w:r w:rsidRPr="00C00000">
        <w:rPr>
          <w:rFonts w:asciiTheme="minorHAnsi" w:hAnsiTheme="minorHAnsi"/>
          <w:bCs/>
          <w:i/>
          <w:iCs/>
        </w:rPr>
        <w:t>Weininger</w:t>
      </w:r>
      <w:r w:rsidR="00EB5783" w:rsidRPr="00C00000">
        <w:rPr>
          <w:rStyle w:val="Style"/>
          <w:rFonts w:asciiTheme="minorHAnsi" w:hAnsiTheme="minorHAnsi"/>
        </w:rPr>
        <w:footnoteReference w:id="90"/>
      </w:r>
      <w:r w:rsidRPr="00C00000">
        <w:rPr>
          <w:rFonts w:asciiTheme="minorHAnsi" w:hAnsiTheme="minorHAnsi"/>
          <w:bCs/>
          <w:i/>
          <w:iCs/>
        </w:rPr>
        <w:t xml:space="preserve"> </w:t>
      </w:r>
      <w:r w:rsidRPr="00C00000">
        <w:rPr>
          <w:rFonts w:asciiTheme="minorHAnsi" w:hAnsiTheme="minorHAnsi"/>
        </w:rPr>
        <w:t xml:space="preserve">the majority (Gleeson CJ, McHugh, Gummow and Hayne JJ) </w:t>
      </w:r>
      <w:r w:rsidR="007B7761">
        <w:rPr>
          <w:rFonts w:asciiTheme="minorHAnsi" w:hAnsiTheme="minorHAnsi"/>
        </w:rPr>
        <w:t>observed</w:t>
      </w:r>
      <w:r w:rsidRPr="00C00000">
        <w:rPr>
          <w:rFonts w:asciiTheme="minorHAnsi" w:hAnsiTheme="minorHAnsi"/>
        </w:rPr>
        <w:t xml:space="preserve"> that the phrase “</w:t>
      </w:r>
      <w:r w:rsidRPr="00C00000">
        <w:rPr>
          <w:rFonts w:asciiTheme="minorHAnsi" w:hAnsiTheme="minorHAnsi"/>
          <w:i/>
          <w:iCs/>
        </w:rPr>
        <w:t>known to the court</w:t>
      </w:r>
      <w:r w:rsidRPr="00C00000">
        <w:rPr>
          <w:rFonts w:asciiTheme="minorHAnsi" w:hAnsiTheme="minorHAnsi"/>
        </w:rPr>
        <w:t>” rather than “</w:t>
      </w:r>
      <w:r w:rsidRPr="00C00000">
        <w:rPr>
          <w:rFonts w:asciiTheme="minorHAnsi" w:hAnsiTheme="minorHAnsi"/>
          <w:i/>
          <w:iCs/>
        </w:rPr>
        <w:t>proved in evidence</w:t>
      </w:r>
      <w:r w:rsidRPr="00C00000">
        <w:rPr>
          <w:rFonts w:asciiTheme="minorHAnsi" w:hAnsiTheme="minorHAnsi"/>
        </w:rPr>
        <w:t xml:space="preserve">” or some equivalent expression suggests strongly that s 16A was not intended to require formal proof of matters before they could be taken into account in sentencing.  Put another way, the majority said </w:t>
      </w:r>
      <w:r w:rsidR="006F5E96">
        <w:rPr>
          <w:rFonts w:asciiTheme="minorHAnsi" w:hAnsiTheme="minorHAnsi"/>
        </w:rPr>
        <w:t xml:space="preserve">that </w:t>
      </w:r>
      <w:r w:rsidRPr="00C00000">
        <w:rPr>
          <w:rFonts w:asciiTheme="minorHAnsi" w:hAnsiTheme="minorHAnsi"/>
        </w:rPr>
        <w:t>the phrase “</w:t>
      </w:r>
      <w:r w:rsidRPr="00C00000">
        <w:rPr>
          <w:rFonts w:asciiTheme="minorHAnsi" w:hAnsiTheme="minorHAnsi"/>
          <w:i/>
          <w:iCs/>
        </w:rPr>
        <w:t>known to the court</w:t>
      </w:r>
      <w:r w:rsidRPr="00C00000">
        <w:rPr>
          <w:rFonts w:asciiTheme="minorHAnsi" w:hAnsiTheme="minorHAnsi"/>
        </w:rPr>
        <w:t>” should not be construed as imposing a universal requirement that matters urged in sentencing hearings be either formally “proved” or “admitted”.</w:t>
      </w:r>
    </w:p>
    <w:p w14:paraId="2CC5BCCC" w14:textId="77777777" w:rsidR="00A23FF3" w:rsidRPr="00EB7F1E" w:rsidRDefault="00A23FF3" w:rsidP="00EB7F1E">
      <w:pPr>
        <w:pStyle w:val="ListParagraph"/>
        <w:rPr>
          <w:rFonts w:asciiTheme="minorHAnsi" w:hAnsiTheme="minorHAnsi"/>
        </w:rPr>
      </w:pPr>
    </w:p>
    <w:p w14:paraId="1AADF61A" w14:textId="50EB57C8" w:rsidR="00A23FF3" w:rsidRPr="00C00000" w:rsidRDefault="00A23FF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So, for example, a court may properly act on the basis</w:t>
      </w:r>
      <w:r w:rsidR="00830731">
        <w:rPr>
          <w:rFonts w:asciiTheme="minorHAnsi" w:hAnsiTheme="minorHAnsi"/>
        </w:rPr>
        <w:t xml:space="preserve"> that</w:t>
      </w:r>
      <w:r w:rsidR="00165D62">
        <w:rPr>
          <w:rFonts w:asciiTheme="minorHAnsi" w:hAnsiTheme="minorHAnsi"/>
        </w:rPr>
        <w:t>, as a matter of human behaviour,</w:t>
      </w:r>
      <w:r w:rsidR="00830731">
        <w:rPr>
          <w:rFonts w:asciiTheme="minorHAnsi" w:hAnsiTheme="minorHAnsi"/>
        </w:rPr>
        <w:t xml:space="preserve"> a </w:t>
      </w:r>
      <w:r w:rsidR="00830731" w:rsidRPr="00EB7F1E">
        <w:rPr>
          <w:rFonts w:asciiTheme="minorHAnsi" w:hAnsiTheme="minorHAnsi"/>
        </w:rPr>
        <w:t xml:space="preserve">person who is prepared to risk </w:t>
      </w:r>
      <w:r w:rsidR="00165D62">
        <w:rPr>
          <w:rFonts w:asciiTheme="minorHAnsi" w:hAnsiTheme="minorHAnsi"/>
        </w:rPr>
        <w:t>a long prison sentence by engaging in large-scale drug offending</w:t>
      </w:r>
      <w:r w:rsidR="00830731" w:rsidRPr="00EB7F1E">
        <w:rPr>
          <w:rFonts w:asciiTheme="minorHAnsi" w:hAnsiTheme="minorHAnsi"/>
        </w:rPr>
        <w:t xml:space="preserve"> will only do so </w:t>
      </w:r>
      <w:r w:rsidR="00165D62">
        <w:rPr>
          <w:rFonts w:asciiTheme="minorHAnsi" w:hAnsiTheme="minorHAnsi"/>
        </w:rPr>
        <w:t xml:space="preserve">in the expectation of </w:t>
      </w:r>
      <w:r w:rsidR="00830731" w:rsidRPr="00EB7F1E">
        <w:rPr>
          <w:rFonts w:asciiTheme="minorHAnsi" w:hAnsiTheme="minorHAnsi"/>
        </w:rPr>
        <w:t>substantial profit or reward.</w:t>
      </w:r>
      <w:r w:rsidR="00165D62" w:rsidRPr="00C00000">
        <w:rPr>
          <w:rStyle w:val="Style"/>
          <w:rFonts w:asciiTheme="minorHAnsi" w:hAnsiTheme="minorHAnsi"/>
        </w:rPr>
        <w:footnoteReference w:id="91"/>
      </w:r>
    </w:p>
    <w:p w14:paraId="592D1A2C" w14:textId="77777777" w:rsidR="005F691C" w:rsidRPr="00C00000" w:rsidRDefault="005F691C" w:rsidP="005F691C">
      <w:pPr>
        <w:spacing w:line="276" w:lineRule="auto"/>
        <w:ind w:left="567" w:right="170" w:hanging="567"/>
        <w:jc w:val="both"/>
        <w:rPr>
          <w:rFonts w:asciiTheme="minorHAnsi" w:hAnsiTheme="minorHAnsi"/>
        </w:rPr>
      </w:pPr>
    </w:p>
    <w:p w14:paraId="6864986F" w14:textId="10DCDA50" w:rsidR="0070764B" w:rsidRPr="0070764B" w:rsidRDefault="00865879" w:rsidP="00EB7F1E">
      <w:pPr>
        <w:pStyle w:val="ListParagraph"/>
        <w:numPr>
          <w:ilvl w:val="0"/>
          <w:numId w:val="7"/>
        </w:numPr>
        <w:spacing w:line="276" w:lineRule="auto"/>
        <w:ind w:left="425" w:hanging="425"/>
        <w:contextualSpacing w:val="0"/>
        <w:rPr>
          <w:rFonts w:asciiTheme="minorHAnsi" w:hAnsiTheme="minorHAnsi"/>
        </w:rPr>
      </w:pPr>
      <w:bookmarkStart w:id="974" w:name="_Ref492548740"/>
      <w:bookmarkStart w:id="975" w:name="_Ref492548744"/>
      <w:r>
        <w:rPr>
          <w:rFonts w:asciiTheme="minorHAnsi" w:hAnsiTheme="minorHAnsi"/>
          <w:color w:val="000000"/>
          <w:szCs w:val="22"/>
          <w:lang w:eastAsia="en-AU"/>
        </w:rPr>
        <w:t>However o</w:t>
      </w:r>
      <w:r w:rsidR="0070764B">
        <w:rPr>
          <w:rFonts w:asciiTheme="minorHAnsi" w:hAnsiTheme="minorHAnsi"/>
          <w:color w:val="000000"/>
          <w:szCs w:val="22"/>
          <w:lang w:eastAsia="en-AU"/>
        </w:rPr>
        <w:t xml:space="preserve">ne significant limiting effect of the requirement in s 16A(2) that a listed </w:t>
      </w:r>
      <w:r w:rsidR="0070764B" w:rsidRPr="00EB7F1E">
        <w:rPr>
          <w:rFonts w:asciiTheme="minorHAnsi" w:hAnsiTheme="minorHAnsi"/>
        </w:rPr>
        <w:t>matter</w:t>
      </w:r>
      <w:r w:rsidR="0070764B">
        <w:rPr>
          <w:rFonts w:asciiTheme="minorHAnsi" w:hAnsiTheme="minorHAnsi"/>
          <w:color w:val="000000"/>
          <w:szCs w:val="22"/>
          <w:lang w:eastAsia="en-AU"/>
        </w:rPr>
        <w:t xml:space="preserve"> be “</w:t>
      </w:r>
      <w:r w:rsidR="0070764B" w:rsidRPr="00232E4D">
        <w:rPr>
          <w:rFonts w:asciiTheme="minorHAnsi" w:hAnsiTheme="minorHAnsi"/>
          <w:i/>
          <w:color w:val="000000"/>
          <w:szCs w:val="22"/>
          <w:lang w:eastAsia="en-AU"/>
        </w:rPr>
        <w:t>known to the court</w:t>
      </w:r>
      <w:r w:rsidR="0070764B">
        <w:rPr>
          <w:rFonts w:asciiTheme="minorHAnsi" w:hAnsiTheme="minorHAnsi"/>
          <w:color w:val="000000"/>
          <w:szCs w:val="22"/>
          <w:lang w:eastAsia="en-AU"/>
        </w:rPr>
        <w:t xml:space="preserve">” has been identified in the authorities.  In </w:t>
      </w:r>
      <w:r w:rsidR="0070764B" w:rsidRPr="00940D89">
        <w:rPr>
          <w:rFonts w:asciiTheme="minorHAnsi" w:hAnsiTheme="minorHAnsi"/>
          <w:i/>
          <w:color w:val="000000"/>
          <w:szCs w:val="22"/>
          <w:lang w:eastAsia="en-AU"/>
        </w:rPr>
        <w:t>Bui</w:t>
      </w:r>
      <w:r w:rsidR="0070764B">
        <w:rPr>
          <w:rFonts w:asciiTheme="minorHAnsi" w:hAnsiTheme="minorHAnsi"/>
          <w:color w:val="000000"/>
          <w:szCs w:val="22"/>
          <w:lang w:eastAsia="en-AU"/>
        </w:rPr>
        <w:t>,</w:t>
      </w:r>
      <w:r w:rsidR="0070764B" w:rsidRPr="00C00000">
        <w:rPr>
          <w:rStyle w:val="Style"/>
          <w:rFonts w:asciiTheme="minorHAnsi" w:hAnsiTheme="minorHAnsi"/>
        </w:rPr>
        <w:footnoteReference w:id="92"/>
      </w:r>
      <w:r w:rsidR="0070764B">
        <w:rPr>
          <w:rFonts w:asciiTheme="minorHAnsi" w:hAnsiTheme="minorHAnsi"/>
          <w:color w:val="000000"/>
          <w:szCs w:val="22"/>
          <w:lang w:eastAsia="en-AU"/>
        </w:rPr>
        <w:t xml:space="preserve"> the High Court dealt with a contention that the presumed stress and anxiety of a respondent to a successful Crown appeal against sentence should be taken into account in re-sentencing.  In rejecting the contention, the Court held that the requirement in s 16A(2) that a sentencing court must have regard to the “</w:t>
      </w:r>
      <w:r w:rsidR="0070764B" w:rsidRPr="006E47D8">
        <w:rPr>
          <w:rFonts w:asciiTheme="minorHAnsi" w:hAnsiTheme="minorHAnsi"/>
          <w:i/>
          <w:color w:val="000000"/>
          <w:szCs w:val="22"/>
          <w:lang w:eastAsia="en-AU"/>
        </w:rPr>
        <w:t>mental condition</w:t>
      </w:r>
      <w:r w:rsidR="0070764B">
        <w:rPr>
          <w:rFonts w:asciiTheme="minorHAnsi" w:hAnsiTheme="minorHAnsi"/>
          <w:color w:val="000000"/>
          <w:szCs w:val="22"/>
          <w:lang w:eastAsia="en-AU"/>
        </w:rPr>
        <w:t>” of an offender if “</w:t>
      </w:r>
      <w:r w:rsidR="0070764B" w:rsidRPr="006E47D8">
        <w:rPr>
          <w:rFonts w:asciiTheme="minorHAnsi" w:hAnsiTheme="minorHAnsi"/>
          <w:i/>
          <w:color w:val="000000"/>
          <w:szCs w:val="22"/>
          <w:lang w:eastAsia="en-AU"/>
        </w:rPr>
        <w:t>known to the court</w:t>
      </w:r>
      <w:r w:rsidR="0070764B">
        <w:rPr>
          <w:rFonts w:asciiTheme="minorHAnsi" w:hAnsiTheme="minorHAnsi"/>
          <w:color w:val="000000"/>
          <w:szCs w:val="22"/>
          <w:lang w:eastAsia="en-AU"/>
        </w:rPr>
        <w:t xml:space="preserve">” referred only to the actual mental condition of the offender, </w:t>
      </w:r>
      <w:r w:rsidR="0070764B" w:rsidRPr="006E47D8">
        <w:rPr>
          <w:rFonts w:asciiTheme="minorHAnsi" w:hAnsiTheme="minorHAnsi"/>
          <w:color w:val="000000"/>
          <w:szCs w:val="22"/>
          <w:lang w:eastAsia="en-AU"/>
        </w:rPr>
        <w:t xml:space="preserve">not </w:t>
      </w:r>
      <w:r w:rsidR="0070764B">
        <w:rPr>
          <w:rFonts w:asciiTheme="minorHAnsi" w:hAnsiTheme="minorHAnsi"/>
          <w:color w:val="000000"/>
          <w:szCs w:val="22"/>
          <w:lang w:eastAsia="en-AU"/>
        </w:rPr>
        <w:t xml:space="preserve">a </w:t>
      </w:r>
      <w:r w:rsidR="0070764B" w:rsidRPr="006E47D8">
        <w:rPr>
          <w:rFonts w:asciiTheme="minorHAnsi" w:hAnsiTheme="minorHAnsi"/>
          <w:color w:val="000000"/>
          <w:szCs w:val="22"/>
          <w:lang w:eastAsia="en-AU"/>
        </w:rPr>
        <w:t>presumed condition</w:t>
      </w:r>
      <w:r w:rsidR="0070764B">
        <w:rPr>
          <w:rFonts w:asciiTheme="minorHAnsi" w:hAnsiTheme="minorHAnsi"/>
          <w:color w:val="000000"/>
          <w:szCs w:val="22"/>
          <w:lang w:eastAsia="en-AU"/>
        </w:rPr>
        <w:t>,</w:t>
      </w:r>
      <w:r w:rsidR="0070764B" w:rsidRPr="006E47D8">
        <w:rPr>
          <w:rFonts w:asciiTheme="minorHAnsi" w:hAnsiTheme="minorHAnsi"/>
          <w:color w:val="000000"/>
          <w:szCs w:val="22"/>
          <w:lang w:eastAsia="en-AU"/>
        </w:rPr>
        <w:t xml:space="preserve"> and that </w:t>
      </w:r>
      <w:r w:rsidR="0070764B">
        <w:rPr>
          <w:rFonts w:asciiTheme="minorHAnsi" w:hAnsiTheme="minorHAnsi"/>
          <w:color w:val="000000"/>
          <w:szCs w:val="22"/>
          <w:lang w:eastAsia="en-AU"/>
        </w:rPr>
        <w:t xml:space="preserve">such </w:t>
      </w:r>
      <w:r w:rsidR="0070764B" w:rsidRPr="006E47D8">
        <w:rPr>
          <w:rFonts w:asciiTheme="minorHAnsi" w:hAnsiTheme="minorHAnsi"/>
          <w:color w:val="000000"/>
          <w:szCs w:val="22"/>
          <w:lang w:eastAsia="en-AU"/>
        </w:rPr>
        <w:t>a</w:t>
      </w:r>
      <w:r w:rsidR="0070764B">
        <w:rPr>
          <w:rFonts w:asciiTheme="minorHAnsi" w:hAnsiTheme="minorHAnsi"/>
          <w:color w:val="000000"/>
          <w:szCs w:val="22"/>
          <w:lang w:eastAsia="en-AU"/>
        </w:rPr>
        <w:t>ctual</w:t>
      </w:r>
      <w:r w:rsidR="0070764B" w:rsidRPr="006E47D8">
        <w:rPr>
          <w:rFonts w:asciiTheme="minorHAnsi" w:hAnsiTheme="minorHAnsi"/>
          <w:color w:val="000000"/>
          <w:szCs w:val="22"/>
          <w:lang w:eastAsia="en-AU"/>
        </w:rPr>
        <w:t xml:space="preserve"> condition </w:t>
      </w:r>
      <w:r w:rsidR="0070764B">
        <w:rPr>
          <w:rFonts w:asciiTheme="minorHAnsi" w:hAnsiTheme="minorHAnsi"/>
          <w:color w:val="000000"/>
          <w:szCs w:val="22"/>
          <w:lang w:eastAsia="en-AU"/>
        </w:rPr>
        <w:t>“</w:t>
      </w:r>
      <w:r w:rsidR="0070764B" w:rsidRPr="00340FD8">
        <w:rPr>
          <w:rFonts w:asciiTheme="minorHAnsi" w:hAnsiTheme="minorHAnsi"/>
          <w:i/>
          <w:color w:val="000000"/>
          <w:szCs w:val="22"/>
          <w:lang w:eastAsia="en-AU"/>
        </w:rPr>
        <w:t>must be demonstrated before the provision applies</w:t>
      </w:r>
      <w:r w:rsidR="0070764B">
        <w:rPr>
          <w:rFonts w:asciiTheme="minorHAnsi" w:hAnsiTheme="minorHAnsi"/>
          <w:color w:val="000000"/>
          <w:szCs w:val="22"/>
          <w:lang w:eastAsia="en-AU"/>
        </w:rPr>
        <w:t>”.</w:t>
      </w:r>
      <w:r w:rsidR="0070764B" w:rsidRPr="00C00000">
        <w:rPr>
          <w:rStyle w:val="Style"/>
          <w:rFonts w:asciiTheme="minorHAnsi" w:hAnsiTheme="minorHAnsi"/>
        </w:rPr>
        <w:footnoteReference w:id="93"/>
      </w:r>
      <w:r w:rsidR="0070764B">
        <w:rPr>
          <w:rFonts w:asciiTheme="minorHAnsi" w:hAnsiTheme="minorHAnsi"/>
          <w:color w:val="000000"/>
          <w:szCs w:val="22"/>
          <w:lang w:eastAsia="en-AU"/>
        </w:rPr>
        <w:t xml:space="preserve">  In </w:t>
      </w:r>
      <w:r w:rsidR="0070764B" w:rsidRPr="00D003BB">
        <w:rPr>
          <w:rFonts w:asciiTheme="minorHAnsi" w:hAnsiTheme="minorHAnsi"/>
          <w:i/>
          <w:color w:val="000000"/>
          <w:szCs w:val="22"/>
          <w:lang w:eastAsia="en-AU"/>
        </w:rPr>
        <w:t>Pratten (No 2)</w:t>
      </w:r>
      <w:r w:rsidR="0070764B" w:rsidRPr="00C00000">
        <w:rPr>
          <w:rStyle w:val="Style"/>
          <w:rFonts w:asciiTheme="minorHAnsi" w:hAnsiTheme="minorHAnsi"/>
        </w:rPr>
        <w:footnoteReference w:id="94"/>
      </w:r>
      <w:r w:rsidR="0070764B">
        <w:rPr>
          <w:rFonts w:asciiTheme="minorHAnsi" w:hAnsiTheme="minorHAnsi"/>
          <w:color w:val="000000"/>
          <w:szCs w:val="22"/>
          <w:lang w:eastAsia="en-AU"/>
        </w:rPr>
        <w:t xml:space="preserve"> the N</w:t>
      </w:r>
      <w:r w:rsidR="0002220F">
        <w:rPr>
          <w:rFonts w:asciiTheme="minorHAnsi" w:hAnsiTheme="minorHAnsi"/>
          <w:color w:val="000000"/>
          <w:szCs w:val="22"/>
          <w:lang w:eastAsia="en-AU"/>
        </w:rPr>
        <w:t>ew South Wales Court of Criminal Appeal</w:t>
      </w:r>
      <w:r w:rsidR="0070764B">
        <w:rPr>
          <w:rFonts w:asciiTheme="minorHAnsi" w:hAnsiTheme="minorHAnsi"/>
          <w:color w:val="000000"/>
          <w:szCs w:val="22"/>
          <w:lang w:eastAsia="en-AU"/>
        </w:rPr>
        <w:t xml:space="preserve"> held that, in accordance with </w:t>
      </w:r>
      <w:r w:rsidR="0070764B" w:rsidRPr="007D74EE">
        <w:rPr>
          <w:rFonts w:asciiTheme="minorHAnsi" w:hAnsiTheme="minorHAnsi"/>
          <w:i/>
          <w:color w:val="000000"/>
          <w:szCs w:val="22"/>
          <w:lang w:eastAsia="en-AU"/>
        </w:rPr>
        <w:t>Bui</w:t>
      </w:r>
      <w:r w:rsidR="0070764B">
        <w:rPr>
          <w:rFonts w:asciiTheme="minorHAnsi" w:hAnsiTheme="minorHAnsi"/>
          <w:color w:val="000000"/>
          <w:szCs w:val="22"/>
          <w:lang w:eastAsia="en-AU"/>
        </w:rPr>
        <w:t>, a court sentencing a federal offender should not act on a presumption that undue delay had caused or exacerbated stress, anxiety or depression</w:t>
      </w:r>
      <w:r w:rsidR="0070764B" w:rsidRPr="007D74EE">
        <w:rPr>
          <w:rFonts w:asciiTheme="minorHAnsi" w:hAnsiTheme="minorHAnsi"/>
          <w:color w:val="000000"/>
          <w:szCs w:val="22"/>
          <w:lang w:eastAsia="en-AU"/>
        </w:rPr>
        <w:t xml:space="preserve"> </w:t>
      </w:r>
      <w:r w:rsidR="0070764B">
        <w:rPr>
          <w:rFonts w:asciiTheme="minorHAnsi" w:hAnsiTheme="minorHAnsi"/>
          <w:color w:val="000000"/>
          <w:szCs w:val="22"/>
          <w:lang w:eastAsia="en-AU"/>
        </w:rPr>
        <w:t>in the offender.  Not only should these “</w:t>
      </w:r>
      <w:r w:rsidR="0070764B" w:rsidRPr="003D4534">
        <w:rPr>
          <w:rFonts w:asciiTheme="minorHAnsi" w:hAnsiTheme="minorHAnsi"/>
          <w:i/>
          <w:color w:val="000000"/>
          <w:szCs w:val="22"/>
          <w:lang w:eastAsia="en-AU"/>
        </w:rPr>
        <w:t>be established as actual, not presumed, conditions</w:t>
      </w:r>
      <w:r w:rsidR="0070764B">
        <w:rPr>
          <w:rFonts w:asciiTheme="minorHAnsi" w:hAnsiTheme="minorHAnsi"/>
          <w:color w:val="000000"/>
          <w:szCs w:val="22"/>
          <w:lang w:eastAsia="en-AU"/>
        </w:rPr>
        <w:t>”,</w:t>
      </w:r>
      <w:r w:rsidR="0070764B" w:rsidRPr="00C00000">
        <w:rPr>
          <w:rStyle w:val="Style"/>
          <w:rFonts w:asciiTheme="minorHAnsi" w:hAnsiTheme="minorHAnsi"/>
        </w:rPr>
        <w:footnoteReference w:id="95"/>
      </w:r>
      <w:r w:rsidR="0070764B">
        <w:rPr>
          <w:rFonts w:asciiTheme="minorHAnsi" w:hAnsiTheme="minorHAnsi"/>
          <w:color w:val="000000"/>
          <w:szCs w:val="22"/>
          <w:lang w:eastAsia="en-AU"/>
        </w:rPr>
        <w:t xml:space="preserve"> but the Court proceeded on the basis that a relevant causal link must also be established.</w:t>
      </w:r>
      <w:r w:rsidR="0070764B" w:rsidRPr="00C00000">
        <w:rPr>
          <w:rStyle w:val="Style"/>
          <w:rFonts w:asciiTheme="minorHAnsi" w:hAnsiTheme="minorHAnsi"/>
        </w:rPr>
        <w:footnoteReference w:id="96"/>
      </w:r>
      <w:r w:rsidR="0070764B">
        <w:rPr>
          <w:rFonts w:asciiTheme="minorHAnsi" w:hAnsiTheme="minorHAnsi"/>
          <w:color w:val="000000"/>
          <w:szCs w:val="22"/>
          <w:lang w:eastAsia="en-AU"/>
        </w:rPr>
        <w:t xml:space="preserve">  Similarly, in </w:t>
      </w:r>
      <w:r w:rsidR="0070764B" w:rsidRPr="006F5F61">
        <w:rPr>
          <w:rFonts w:asciiTheme="minorHAnsi" w:hAnsiTheme="minorHAnsi"/>
          <w:i/>
          <w:color w:val="000000"/>
          <w:szCs w:val="22"/>
          <w:lang w:eastAsia="en-AU"/>
        </w:rPr>
        <w:t>Besim and MHK (No 3)</w:t>
      </w:r>
      <w:r w:rsidR="0070764B">
        <w:rPr>
          <w:rFonts w:asciiTheme="minorHAnsi" w:hAnsiTheme="minorHAnsi"/>
          <w:color w:val="000000"/>
          <w:szCs w:val="22"/>
          <w:lang w:eastAsia="en-AU"/>
        </w:rPr>
        <w:t>,</w:t>
      </w:r>
      <w:r w:rsidR="0070764B" w:rsidRPr="00C00000">
        <w:rPr>
          <w:rStyle w:val="Style"/>
          <w:rFonts w:asciiTheme="minorHAnsi" w:hAnsiTheme="minorHAnsi"/>
        </w:rPr>
        <w:footnoteReference w:id="97"/>
      </w:r>
      <w:r w:rsidR="0070764B">
        <w:rPr>
          <w:rFonts w:asciiTheme="minorHAnsi" w:hAnsiTheme="minorHAnsi"/>
          <w:color w:val="000000"/>
          <w:szCs w:val="22"/>
          <w:lang w:eastAsia="en-AU"/>
        </w:rPr>
        <w:t xml:space="preserve"> the Victorian Court of Appeal held (applying </w:t>
      </w:r>
      <w:r w:rsidR="0070764B" w:rsidRPr="00485E58">
        <w:rPr>
          <w:rFonts w:asciiTheme="minorHAnsi" w:hAnsiTheme="minorHAnsi"/>
          <w:i/>
          <w:color w:val="000000"/>
          <w:szCs w:val="22"/>
          <w:lang w:eastAsia="en-AU"/>
        </w:rPr>
        <w:t>Bui</w:t>
      </w:r>
      <w:r w:rsidR="0070764B">
        <w:rPr>
          <w:rFonts w:asciiTheme="minorHAnsi" w:hAnsiTheme="minorHAnsi"/>
          <w:color w:val="000000"/>
          <w:szCs w:val="22"/>
          <w:lang w:eastAsia="en-AU"/>
        </w:rPr>
        <w:t>) that, “</w:t>
      </w:r>
      <w:r w:rsidR="0070764B" w:rsidRPr="00340FD8">
        <w:rPr>
          <w:rFonts w:asciiTheme="minorHAnsi" w:hAnsiTheme="minorHAnsi"/>
          <w:i/>
          <w:color w:val="000000"/>
          <w:szCs w:val="22"/>
          <w:lang w:eastAsia="en-AU"/>
        </w:rPr>
        <w:t>absent specific evidence</w:t>
      </w:r>
      <w:r w:rsidR="0070764B">
        <w:rPr>
          <w:rFonts w:asciiTheme="minorHAnsi" w:hAnsiTheme="minorHAnsi"/>
          <w:color w:val="000000"/>
          <w:szCs w:val="22"/>
          <w:lang w:eastAsia="en-AU"/>
        </w:rPr>
        <w:t>”, it was “</w:t>
      </w:r>
      <w:r w:rsidR="0070764B" w:rsidRPr="004A52C7">
        <w:rPr>
          <w:rFonts w:asciiTheme="minorHAnsi" w:hAnsiTheme="minorHAnsi"/>
          <w:i/>
          <w:color w:val="000000"/>
          <w:szCs w:val="22"/>
          <w:lang w:eastAsia="en-AU"/>
        </w:rPr>
        <w:t>not necessarily evident</w:t>
      </w:r>
      <w:r w:rsidR="0070764B">
        <w:rPr>
          <w:rFonts w:asciiTheme="minorHAnsi" w:hAnsiTheme="minorHAnsi"/>
          <w:color w:val="000000"/>
          <w:szCs w:val="22"/>
          <w:lang w:eastAsia="en-AU"/>
        </w:rPr>
        <w:t>” that the prospect of being subject to a continuing detention order at the completion of the respondents</w:t>
      </w:r>
      <w:r w:rsidR="00AA693C">
        <w:rPr>
          <w:rFonts w:asciiTheme="minorHAnsi" w:hAnsiTheme="minorHAnsi"/>
          <w:color w:val="000000"/>
          <w:szCs w:val="22"/>
          <w:lang w:eastAsia="en-AU"/>
        </w:rPr>
        <w:t>’</w:t>
      </w:r>
      <w:r w:rsidR="0070764B">
        <w:rPr>
          <w:rFonts w:asciiTheme="minorHAnsi" w:hAnsiTheme="minorHAnsi"/>
          <w:color w:val="000000"/>
          <w:szCs w:val="22"/>
          <w:lang w:eastAsia="en-AU"/>
        </w:rPr>
        <w:t xml:space="preserve"> sentences would make imprisonment more burdensome for them.</w:t>
      </w:r>
    </w:p>
    <w:p w14:paraId="3B6C0893" w14:textId="77777777" w:rsidR="0070764B" w:rsidRPr="0070764B" w:rsidRDefault="0070764B" w:rsidP="0070764B">
      <w:pPr>
        <w:spacing w:line="276" w:lineRule="auto"/>
        <w:ind w:right="170"/>
        <w:rPr>
          <w:rFonts w:asciiTheme="minorHAnsi" w:hAnsiTheme="minorHAnsi"/>
        </w:rPr>
      </w:pPr>
    </w:p>
    <w:p w14:paraId="3C5FC31A" w14:textId="477AF5B4" w:rsidR="0070764B" w:rsidRPr="006E47D8" w:rsidRDefault="0070764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color w:val="000000"/>
          <w:szCs w:val="22"/>
          <w:lang w:eastAsia="en-AU"/>
        </w:rPr>
        <w:t>By parity of reasoning, the same approach should be adopted whenever it is suggested that an offender</w:t>
      </w:r>
      <w:r w:rsidR="00AA693C">
        <w:rPr>
          <w:rFonts w:asciiTheme="minorHAnsi" w:hAnsiTheme="minorHAnsi"/>
          <w:color w:val="000000"/>
          <w:szCs w:val="22"/>
          <w:lang w:eastAsia="en-AU"/>
        </w:rPr>
        <w:t>’</w:t>
      </w:r>
      <w:r>
        <w:rPr>
          <w:rFonts w:asciiTheme="minorHAnsi" w:hAnsiTheme="minorHAnsi"/>
          <w:color w:val="000000"/>
          <w:szCs w:val="22"/>
          <w:lang w:eastAsia="en-AU"/>
        </w:rPr>
        <w:t>s physical or mental condition should be treated as a factor in mitigation: for example, where it is said that anxiety about the prospect of deportation will make imprisonment more burdensome for an offender (assuming that such a prospect may ever be treated as potentially mitigating: see “</w:t>
      </w:r>
      <w:r>
        <w:rPr>
          <w:rFonts w:asciiTheme="minorHAnsi" w:hAnsiTheme="minorHAnsi"/>
          <w:color w:val="000000"/>
          <w:szCs w:val="22"/>
          <w:lang w:eastAsia="en-AU"/>
        </w:rPr>
        <w:fldChar w:fldCharType="begin"/>
      </w:r>
      <w:r>
        <w:rPr>
          <w:rFonts w:asciiTheme="minorHAnsi" w:hAnsiTheme="minorHAnsi"/>
          <w:color w:val="000000"/>
          <w:szCs w:val="22"/>
          <w:lang w:eastAsia="en-AU"/>
        </w:rPr>
        <w:instrText xml:space="preserve"> REF _Ref492550047 \r \h </w:instrText>
      </w:r>
      <w:r w:rsidR="000D5273">
        <w:rPr>
          <w:rFonts w:asciiTheme="minorHAnsi" w:hAnsiTheme="minorHAnsi"/>
          <w:color w:val="000000"/>
          <w:szCs w:val="22"/>
          <w:lang w:eastAsia="en-AU"/>
        </w:rPr>
        <w:instrText xml:space="preserve"> \* MERGEFORMAT </w:instrText>
      </w:r>
      <w:r>
        <w:rPr>
          <w:rFonts w:asciiTheme="minorHAnsi" w:hAnsiTheme="minorHAnsi"/>
          <w:color w:val="000000"/>
          <w:szCs w:val="22"/>
          <w:lang w:eastAsia="en-AU"/>
        </w:rPr>
      </w:r>
      <w:r>
        <w:rPr>
          <w:rFonts w:asciiTheme="minorHAnsi" w:hAnsiTheme="minorHAnsi"/>
          <w:color w:val="000000"/>
          <w:szCs w:val="22"/>
          <w:lang w:eastAsia="en-AU"/>
        </w:rPr>
        <w:fldChar w:fldCharType="separate"/>
      </w:r>
      <w:r w:rsidR="00D44BCF">
        <w:rPr>
          <w:rFonts w:asciiTheme="minorHAnsi" w:hAnsiTheme="minorHAnsi"/>
          <w:color w:val="000000"/>
          <w:szCs w:val="22"/>
          <w:lang w:eastAsia="en-AU"/>
        </w:rPr>
        <w:t>4.5.7</w:t>
      </w:r>
      <w:r>
        <w:rPr>
          <w:rFonts w:asciiTheme="minorHAnsi" w:hAnsiTheme="minorHAnsi"/>
          <w:color w:val="000000"/>
          <w:szCs w:val="22"/>
          <w:lang w:eastAsia="en-AU"/>
        </w:rPr>
        <w:fldChar w:fldCharType="end"/>
      </w:r>
      <w:r>
        <w:rPr>
          <w:rFonts w:asciiTheme="minorHAnsi" w:hAnsiTheme="minorHAnsi"/>
          <w:color w:val="000000"/>
          <w:szCs w:val="22"/>
          <w:lang w:eastAsia="en-AU"/>
        </w:rPr>
        <w:t xml:space="preserve"> </w:t>
      </w:r>
      <w:r>
        <w:rPr>
          <w:rFonts w:asciiTheme="minorHAnsi" w:hAnsiTheme="minorHAnsi"/>
          <w:color w:val="000000"/>
          <w:szCs w:val="22"/>
          <w:lang w:eastAsia="en-AU"/>
        </w:rPr>
        <w:fldChar w:fldCharType="begin"/>
      </w:r>
      <w:r>
        <w:rPr>
          <w:rFonts w:asciiTheme="minorHAnsi" w:hAnsiTheme="minorHAnsi"/>
          <w:color w:val="000000"/>
          <w:szCs w:val="22"/>
          <w:lang w:eastAsia="en-AU"/>
        </w:rPr>
        <w:instrText xml:space="preserve"> REF _Ref492550050 \h </w:instrText>
      </w:r>
      <w:r w:rsidR="000D5273">
        <w:rPr>
          <w:rFonts w:asciiTheme="minorHAnsi" w:hAnsiTheme="minorHAnsi"/>
          <w:color w:val="000000"/>
          <w:szCs w:val="22"/>
          <w:lang w:eastAsia="en-AU"/>
        </w:rPr>
        <w:instrText xml:space="preserve"> \* MERGEFORMAT </w:instrText>
      </w:r>
      <w:r>
        <w:rPr>
          <w:rFonts w:asciiTheme="minorHAnsi" w:hAnsiTheme="minorHAnsi"/>
          <w:color w:val="000000"/>
          <w:szCs w:val="22"/>
          <w:lang w:eastAsia="en-AU"/>
        </w:rPr>
      </w:r>
      <w:r>
        <w:rPr>
          <w:rFonts w:asciiTheme="minorHAnsi" w:hAnsiTheme="minorHAnsi"/>
          <w:color w:val="000000"/>
          <w:szCs w:val="22"/>
          <w:lang w:eastAsia="en-AU"/>
        </w:rPr>
        <w:fldChar w:fldCharType="separate"/>
      </w:r>
      <w:r w:rsidR="00D44BCF" w:rsidRPr="00D44BCF">
        <w:rPr>
          <w:rFonts w:asciiTheme="minorHAnsi" w:hAnsiTheme="minorHAnsi"/>
          <w:color w:val="000000"/>
          <w:szCs w:val="22"/>
          <w:lang w:eastAsia="en-AU"/>
        </w:rPr>
        <w:t>Prospect of visa cancellation and deportation</w:t>
      </w:r>
      <w:r>
        <w:rPr>
          <w:rFonts w:asciiTheme="minorHAnsi" w:hAnsiTheme="minorHAnsi"/>
          <w:color w:val="000000"/>
          <w:szCs w:val="22"/>
          <w:lang w:eastAsia="en-AU"/>
        </w:rPr>
        <w:fldChar w:fldCharType="end"/>
      </w:r>
      <w:r>
        <w:rPr>
          <w:rFonts w:asciiTheme="minorHAnsi" w:hAnsiTheme="minorHAnsi"/>
          <w:color w:val="000000"/>
          <w:szCs w:val="22"/>
          <w:lang w:eastAsia="en-AU"/>
        </w:rPr>
        <w:t>”).</w:t>
      </w:r>
    </w:p>
    <w:p w14:paraId="40CC9B01" w14:textId="77777777" w:rsidR="0070764B" w:rsidRPr="00576EEE" w:rsidRDefault="0070764B" w:rsidP="0070764B">
      <w:pPr>
        <w:rPr>
          <w:rFonts w:ascii="Calibri" w:hAnsi="Calibri"/>
          <w:i/>
        </w:rPr>
      </w:pPr>
    </w:p>
    <w:p w14:paraId="5002BC3E" w14:textId="6231A0BA" w:rsidR="005977B4" w:rsidRPr="008D6EEA" w:rsidRDefault="005977B4" w:rsidP="003E7B85">
      <w:pPr>
        <w:pStyle w:val="Heading3"/>
      </w:pPr>
      <w:bookmarkStart w:id="976" w:name="_Toc33602764"/>
      <w:r w:rsidRPr="008D6EEA">
        <w:t>Findings</w:t>
      </w:r>
      <w:r w:rsidR="00F97C1B" w:rsidRPr="008D6EEA">
        <w:t xml:space="preserve"> of fact</w:t>
      </w:r>
      <w:r w:rsidRPr="008D6EEA">
        <w:t xml:space="preserve"> relating to aggravating or mitigating circumstances</w:t>
      </w:r>
      <w:bookmarkEnd w:id="974"/>
      <w:bookmarkEnd w:id="975"/>
      <w:bookmarkEnd w:id="976"/>
      <w:r w:rsidRPr="008D6EEA">
        <w:t xml:space="preserve"> </w:t>
      </w:r>
    </w:p>
    <w:p w14:paraId="38F95C40" w14:textId="77777777" w:rsidR="005977B4" w:rsidRPr="00576EEE" w:rsidRDefault="005977B4" w:rsidP="003E7B85">
      <w:pPr>
        <w:keepNext/>
        <w:spacing w:line="276" w:lineRule="auto"/>
        <w:rPr>
          <w:rFonts w:ascii="Calibri" w:hAnsi="Calibri"/>
        </w:rPr>
      </w:pPr>
    </w:p>
    <w:p w14:paraId="736FF0CC" w14:textId="5A985944" w:rsidR="00244531" w:rsidRDefault="0024453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F97C1B">
        <w:rPr>
          <w:rFonts w:asciiTheme="minorHAnsi" w:hAnsiTheme="minorHAnsi"/>
          <w:i/>
        </w:rPr>
        <w:t>Olbrich</w:t>
      </w:r>
      <w:r>
        <w:rPr>
          <w:rFonts w:asciiTheme="minorHAnsi" w:hAnsiTheme="minorHAnsi"/>
        </w:rPr>
        <w:t>,</w:t>
      </w:r>
      <w:r w:rsidRPr="00C00000">
        <w:rPr>
          <w:rStyle w:val="Style"/>
          <w:rFonts w:asciiTheme="minorHAnsi" w:hAnsiTheme="minorHAnsi"/>
        </w:rPr>
        <w:footnoteReference w:id="98"/>
      </w:r>
      <w:r>
        <w:rPr>
          <w:rFonts w:asciiTheme="minorHAnsi" w:hAnsiTheme="minorHAnsi"/>
          <w:i/>
        </w:rPr>
        <w:t xml:space="preserve"> </w:t>
      </w:r>
      <w:r w:rsidR="00F97C1B">
        <w:rPr>
          <w:rFonts w:asciiTheme="minorHAnsi" w:hAnsiTheme="minorHAnsi"/>
        </w:rPr>
        <w:t xml:space="preserve">the </w:t>
      </w:r>
      <w:r>
        <w:rPr>
          <w:rFonts w:asciiTheme="minorHAnsi" w:hAnsiTheme="minorHAnsi"/>
        </w:rPr>
        <w:t xml:space="preserve">majority </w:t>
      </w:r>
      <w:r w:rsidRPr="00CC745E">
        <w:rPr>
          <w:rFonts w:asciiTheme="minorHAnsi" w:hAnsiTheme="minorHAnsi"/>
        </w:rPr>
        <w:t xml:space="preserve">endorsed the following statement of principle by the </w:t>
      </w:r>
      <w:r>
        <w:rPr>
          <w:rFonts w:asciiTheme="minorHAnsi" w:hAnsiTheme="minorHAnsi"/>
        </w:rPr>
        <w:t xml:space="preserve">Victorian Court of Appeal in </w:t>
      </w:r>
      <w:r w:rsidRPr="00405B74">
        <w:rPr>
          <w:rFonts w:asciiTheme="minorHAnsi" w:hAnsiTheme="minorHAnsi"/>
          <w:i/>
        </w:rPr>
        <w:t>Storey</w:t>
      </w:r>
      <w:r w:rsidR="00F97C1B" w:rsidRPr="00C00000">
        <w:rPr>
          <w:rStyle w:val="Style"/>
          <w:rFonts w:asciiTheme="minorHAnsi" w:hAnsiTheme="minorHAnsi"/>
        </w:rPr>
        <w:footnoteReference w:id="99"/>
      </w:r>
      <w:r w:rsidR="00F97C1B">
        <w:rPr>
          <w:rFonts w:asciiTheme="minorHAnsi" w:hAnsiTheme="minorHAnsi"/>
        </w:rPr>
        <w:t xml:space="preserve"> about fact-finding for sentencing</w:t>
      </w:r>
      <w:r w:rsidRPr="00405B74">
        <w:rPr>
          <w:rFonts w:asciiTheme="minorHAnsi" w:hAnsiTheme="minorHAnsi"/>
        </w:rPr>
        <w:t>:</w:t>
      </w:r>
    </w:p>
    <w:p w14:paraId="2875B666" w14:textId="77777777" w:rsidR="00244531" w:rsidRDefault="00244531" w:rsidP="00EB7F1E">
      <w:pPr>
        <w:pStyle w:val="BodyText"/>
        <w:spacing w:line="276" w:lineRule="auto"/>
        <w:ind w:left="720" w:right="170" w:hanging="11"/>
        <w:jc w:val="both"/>
        <w:rPr>
          <w:rFonts w:asciiTheme="minorHAnsi" w:hAnsiTheme="minorHAnsi"/>
          <w:i/>
        </w:rPr>
      </w:pPr>
      <w:r w:rsidRPr="00671BB2">
        <w:rPr>
          <w:rFonts w:asciiTheme="minorHAnsi" w:hAnsiTheme="minorHAnsi"/>
          <w:i/>
        </w:rPr>
        <w:t>[</w:t>
      </w:r>
      <w:r w:rsidRPr="00405B74">
        <w:rPr>
          <w:rFonts w:asciiTheme="minorHAnsi" w:hAnsiTheme="minorHAnsi"/>
          <w:i/>
        </w:rPr>
        <w:t xml:space="preserve">T]he judge may not take facts into account in a way that is </w:t>
      </w:r>
      <w:r w:rsidRPr="00AC61FB">
        <w:rPr>
          <w:rFonts w:asciiTheme="minorHAnsi" w:hAnsiTheme="minorHAnsi"/>
          <w:i/>
          <w:u w:val="single"/>
        </w:rPr>
        <w:t>adverse</w:t>
      </w:r>
      <w:r w:rsidRPr="00405B74">
        <w:rPr>
          <w:rFonts w:asciiTheme="minorHAnsi" w:hAnsiTheme="minorHAnsi"/>
          <w:i/>
        </w:rPr>
        <w:t xml:space="preserve"> to the interests of the accused unless those facts have been established beyond reasonable doubt.  On the other hand, if there are circumstances which the judge proposes to take into account </w:t>
      </w:r>
      <w:r w:rsidRPr="00AC61FB">
        <w:rPr>
          <w:rFonts w:asciiTheme="minorHAnsi" w:hAnsiTheme="minorHAnsi"/>
          <w:i/>
          <w:u w:val="single"/>
        </w:rPr>
        <w:t>in favour</w:t>
      </w:r>
      <w:r w:rsidRPr="00405B74">
        <w:rPr>
          <w:rFonts w:asciiTheme="minorHAnsi" w:hAnsiTheme="minorHAnsi"/>
          <w:i/>
        </w:rPr>
        <w:t xml:space="preserve"> of the accused, it is enough if those circumstances are proved on the balance of probabilities.</w:t>
      </w:r>
    </w:p>
    <w:p w14:paraId="46E33D4C" w14:textId="77777777" w:rsidR="00244531" w:rsidRPr="0095283B" w:rsidRDefault="00244531" w:rsidP="0095283B">
      <w:pPr>
        <w:spacing w:line="276" w:lineRule="auto"/>
        <w:ind w:right="170"/>
        <w:rPr>
          <w:rFonts w:asciiTheme="minorHAnsi" w:hAnsiTheme="minorHAnsi"/>
        </w:rPr>
      </w:pPr>
    </w:p>
    <w:p w14:paraId="16B36913" w14:textId="37FD7252" w:rsidR="00244531" w:rsidRDefault="0024453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2116DF">
        <w:rPr>
          <w:rFonts w:asciiTheme="minorHAnsi" w:hAnsiTheme="minorHAnsi"/>
          <w:i/>
        </w:rPr>
        <w:t>Storey</w:t>
      </w:r>
      <w:r>
        <w:rPr>
          <w:rFonts w:asciiTheme="minorHAnsi" w:hAnsiTheme="minorHAnsi"/>
        </w:rPr>
        <w:t xml:space="preserve">, the Court </w:t>
      </w:r>
      <w:r w:rsidR="00F47D0C">
        <w:rPr>
          <w:rFonts w:asciiTheme="minorHAnsi" w:hAnsiTheme="minorHAnsi"/>
        </w:rPr>
        <w:t>emphas</w:t>
      </w:r>
      <w:r w:rsidR="00B86888">
        <w:rPr>
          <w:rFonts w:asciiTheme="minorHAnsi" w:hAnsiTheme="minorHAnsi"/>
        </w:rPr>
        <w:t>ised</w:t>
      </w:r>
      <w:r>
        <w:rPr>
          <w:rFonts w:asciiTheme="minorHAnsi" w:hAnsiTheme="minorHAnsi"/>
        </w:rPr>
        <w:t xml:space="preserve"> that the test was not whether the tag “aggravating” or “mitigating” should be applied to any particular fact but </w:t>
      </w:r>
      <w:r w:rsidRPr="00296A22">
        <w:rPr>
          <w:rFonts w:asciiTheme="minorHAnsi" w:hAnsiTheme="minorHAnsi"/>
          <w:i/>
        </w:rPr>
        <w:t>what use the judge proposed to make of the fact in relation to the offender</w:t>
      </w:r>
      <w:r>
        <w:rPr>
          <w:rFonts w:asciiTheme="minorHAnsi" w:hAnsiTheme="minorHAnsi"/>
        </w:rPr>
        <w:t>.</w:t>
      </w:r>
      <w:r w:rsidRPr="00C00000">
        <w:rPr>
          <w:rStyle w:val="Style"/>
          <w:rFonts w:asciiTheme="minorHAnsi" w:hAnsiTheme="minorHAnsi"/>
        </w:rPr>
        <w:footnoteReference w:id="100"/>
      </w:r>
    </w:p>
    <w:p w14:paraId="0E4EBEDE" w14:textId="77777777" w:rsidR="00296A22" w:rsidRPr="00296A22" w:rsidRDefault="00296A22" w:rsidP="00296A22">
      <w:pPr>
        <w:spacing w:line="276" w:lineRule="auto"/>
        <w:ind w:right="170"/>
        <w:rPr>
          <w:rFonts w:asciiTheme="minorHAnsi" w:hAnsiTheme="minorHAnsi"/>
        </w:rPr>
      </w:pPr>
    </w:p>
    <w:p w14:paraId="3E19474F" w14:textId="77777777" w:rsidR="00296A22" w:rsidRDefault="00296A2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Although the quoted passage from </w:t>
      </w:r>
      <w:r w:rsidRPr="00C811F0">
        <w:rPr>
          <w:rFonts w:asciiTheme="minorHAnsi" w:hAnsiTheme="minorHAnsi"/>
          <w:i/>
        </w:rPr>
        <w:t>Storey</w:t>
      </w:r>
      <w:r>
        <w:rPr>
          <w:rFonts w:asciiTheme="minorHAnsi" w:hAnsiTheme="minorHAnsi"/>
        </w:rPr>
        <w:t xml:space="preserve"> refers to “</w:t>
      </w:r>
      <w:r w:rsidRPr="008B03D0">
        <w:rPr>
          <w:rFonts w:asciiTheme="minorHAnsi" w:hAnsiTheme="minorHAnsi"/>
          <w:i/>
        </w:rPr>
        <w:t>facts</w:t>
      </w:r>
      <w:r>
        <w:rPr>
          <w:rFonts w:asciiTheme="minorHAnsi" w:hAnsiTheme="minorHAnsi"/>
        </w:rPr>
        <w:t>” relevant to sentencing, the principles stated are not confined to “</w:t>
      </w:r>
      <w:r w:rsidRPr="00C811F0">
        <w:rPr>
          <w:rFonts w:asciiTheme="minorHAnsi" w:hAnsiTheme="minorHAnsi"/>
          <w:i/>
        </w:rPr>
        <w:t>facts</w:t>
      </w:r>
      <w:r>
        <w:rPr>
          <w:rFonts w:asciiTheme="minorHAnsi" w:hAnsiTheme="minorHAnsi"/>
        </w:rPr>
        <w:t>” in a narrow sense; the principles apply to assessment of such matters as the risk of re-offending and the prospects of rehabilitation.</w:t>
      </w:r>
      <w:r w:rsidRPr="00C00000">
        <w:rPr>
          <w:rStyle w:val="Style"/>
          <w:rFonts w:asciiTheme="minorHAnsi" w:hAnsiTheme="minorHAnsi"/>
        </w:rPr>
        <w:footnoteReference w:id="101"/>
      </w:r>
    </w:p>
    <w:p w14:paraId="6AD17877" w14:textId="77777777" w:rsidR="00296A22" w:rsidRPr="00A527BB" w:rsidRDefault="00296A22" w:rsidP="00296A22">
      <w:pPr>
        <w:pStyle w:val="ListParagraph"/>
        <w:rPr>
          <w:rFonts w:asciiTheme="minorHAnsi" w:hAnsiTheme="minorHAnsi"/>
        </w:rPr>
      </w:pPr>
    </w:p>
    <w:p w14:paraId="2EFCB48E" w14:textId="77777777" w:rsidR="002E4A25" w:rsidRDefault="002E4A2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Care is required in the application of the principles in </w:t>
      </w:r>
      <w:r w:rsidRPr="001A5548">
        <w:rPr>
          <w:rFonts w:asciiTheme="minorHAnsi" w:hAnsiTheme="minorHAnsi"/>
          <w:i/>
        </w:rPr>
        <w:t>Storey</w:t>
      </w:r>
      <w:r>
        <w:rPr>
          <w:rFonts w:asciiTheme="minorHAnsi" w:hAnsiTheme="minorHAnsi"/>
        </w:rPr>
        <w:t xml:space="preserve"> and </w:t>
      </w:r>
      <w:r w:rsidRPr="001A5548">
        <w:rPr>
          <w:rFonts w:asciiTheme="minorHAnsi" w:hAnsiTheme="minorHAnsi"/>
          <w:i/>
        </w:rPr>
        <w:t>Olbrich</w:t>
      </w:r>
      <w:r>
        <w:rPr>
          <w:rFonts w:asciiTheme="minorHAnsi" w:hAnsiTheme="minorHAnsi"/>
        </w:rPr>
        <w:t>, for a number of reasons.</w:t>
      </w:r>
    </w:p>
    <w:p w14:paraId="2FA77026" w14:textId="77777777" w:rsidR="002E4A25" w:rsidRPr="006F7EC9" w:rsidRDefault="002E4A25" w:rsidP="002E4A25">
      <w:pPr>
        <w:pStyle w:val="ListParagraph"/>
        <w:rPr>
          <w:rFonts w:asciiTheme="minorHAnsi" w:hAnsiTheme="minorHAnsi"/>
        </w:rPr>
      </w:pPr>
    </w:p>
    <w:p w14:paraId="29B015F6" w14:textId="0B9FB374" w:rsidR="00296A22" w:rsidRDefault="002E4A2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First, it is crucial to </w:t>
      </w:r>
      <w:r w:rsidR="00F47D0C">
        <w:rPr>
          <w:rFonts w:asciiTheme="minorHAnsi" w:hAnsiTheme="minorHAnsi"/>
        </w:rPr>
        <w:t>character</w:t>
      </w:r>
      <w:r w:rsidR="00B67C2C">
        <w:rPr>
          <w:rFonts w:asciiTheme="minorHAnsi" w:hAnsiTheme="minorHAnsi"/>
        </w:rPr>
        <w:t>ise</w:t>
      </w:r>
      <w:r>
        <w:rPr>
          <w:rFonts w:asciiTheme="minorHAnsi" w:hAnsiTheme="minorHAnsi"/>
        </w:rPr>
        <w:t xml:space="preserve"> </w:t>
      </w:r>
      <w:r w:rsidR="0038583C">
        <w:rPr>
          <w:rFonts w:asciiTheme="minorHAnsi" w:hAnsiTheme="minorHAnsi"/>
        </w:rPr>
        <w:t xml:space="preserve">accurately </w:t>
      </w:r>
      <w:r>
        <w:rPr>
          <w:rFonts w:asciiTheme="minorHAnsi" w:hAnsiTheme="minorHAnsi"/>
        </w:rPr>
        <w:t>the use which is to be made of a disputed fact in order to assign the onus of proof</w:t>
      </w:r>
      <w:r w:rsidR="0038583C">
        <w:rPr>
          <w:rFonts w:asciiTheme="minorHAnsi" w:hAnsiTheme="minorHAnsi"/>
        </w:rPr>
        <w:t xml:space="preserve"> correctly</w:t>
      </w:r>
      <w:r>
        <w:rPr>
          <w:rFonts w:asciiTheme="minorHAnsi" w:hAnsiTheme="minorHAnsi"/>
        </w:rPr>
        <w:t xml:space="preserve">.  </w:t>
      </w:r>
      <w:r w:rsidR="00296A22" w:rsidRPr="003157B4">
        <w:rPr>
          <w:rFonts w:asciiTheme="minorHAnsi" w:hAnsiTheme="minorHAnsi"/>
          <w:i/>
        </w:rPr>
        <w:t>Besim</w:t>
      </w:r>
      <w:r w:rsidR="00296A22" w:rsidRPr="00C00000">
        <w:rPr>
          <w:rStyle w:val="Style"/>
          <w:rFonts w:asciiTheme="minorHAnsi" w:hAnsiTheme="minorHAnsi"/>
        </w:rPr>
        <w:footnoteReference w:id="102"/>
      </w:r>
      <w:r w:rsidR="00296A22">
        <w:rPr>
          <w:rFonts w:asciiTheme="minorHAnsi" w:hAnsiTheme="minorHAnsi"/>
        </w:rPr>
        <w:t xml:space="preserve"> </w:t>
      </w:r>
      <w:r w:rsidR="00296A22" w:rsidRPr="003157B4">
        <w:rPr>
          <w:rFonts w:asciiTheme="minorHAnsi" w:hAnsiTheme="minorHAnsi"/>
        </w:rPr>
        <w:t>illustrat</w:t>
      </w:r>
      <w:r w:rsidR="00296A22">
        <w:rPr>
          <w:rFonts w:asciiTheme="minorHAnsi" w:hAnsiTheme="minorHAnsi"/>
        </w:rPr>
        <w:t>es</w:t>
      </w:r>
      <w:r w:rsidR="00296A22" w:rsidRPr="003157B4">
        <w:rPr>
          <w:rFonts w:asciiTheme="minorHAnsi" w:hAnsiTheme="minorHAnsi"/>
        </w:rPr>
        <w:t xml:space="preserve"> th</w:t>
      </w:r>
      <w:r w:rsidR="0038583C">
        <w:rPr>
          <w:rFonts w:asciiTheme="minorHAnsi" w:hAnsiTheme="minorHAnsi"/>
        </w:rPr>
        <w:t>e</w:t>
      </w:r>
      <w:r w:rsidR="00296A22" w:rsidRPr="003157B4">
        <w:rPr>
          <w:rFonts w:asciiTheme="minorHAnsi" w:hAnsiTheme="minorHAnsi"/>
        </w:rPr>
        <w:t xml:space="preserve"> </w:t>
      </w:r>
      <w:r w:rsidR="00296A22">
        <w:rPr>
          <w:rFonts w:asciiTheme="minorHAnsi" w:hAnsiTheme="minorHAnsi"/>
        </w:rPr>
        <w:t>danger</w:t>
      </w:r>
      <w:r w:rsidR="0038583C">
        <w:rPr>
          <w:rFonts w:asciiTheme="minorHAnsi" w:hAnsiTheme="minorHAnsi"/>
        </w:rPr>
        <w:t xml:space="preserve"> of failing to do so</w:t>
      </w:r>
      <w:r w:rsidR="00296A22" w:rsidRPr="003157B4">
        <w:rPr>
          <w:rFonts w:asciiTheme="minorHAnsi" w:hAnsiTheme="minorHAnsi"/>
        </w:rPr>
        <w:t xml:space="preserve">.  </w:t>
      </w:r>
      <w:r w:rsidR="00296A22">
        <w:rPr>
          <w:rFonts w:asciiTheme="minorHAnsi" w:hAnsiTheme="minorHAnsi"/>
        </w:rPr>
        <w:t xml:space="preserve">The offender pleaded guilty to an offence of doing acts in preparation for, or planning, a terrorist act.  A crucial question </w:t>
      </w:r>
      <w:r w:rsidR="007647CF">
        <w:rPr>
          <w:rFonts w:asciiTheme="minorHAnsi" w:hAnsiTheme="minorHAnsi"/>
        </w:rPr>
        <w:t xml:space="preserve">of fact </w:t>
      </w:r>
      <w:r w:rsidR="00950577">
        <w:rPr>
          <w:rFonts w:asciiTheme="minorHAnsi" w:hAnsiTheme="minorHAnsi"/>
        </w:rPr>
        <w:t xml:space="preserve">in sentencing </w:t>
      </w:r>
      <w:r w:rsidR="00296A22">
        <w:rPr>
          <w:rFonts w:asciiTheme="minorHAnsi" w:hAnsiTheme="minorHAnsi"/>
        </w:rPr>
        <w:t xml:space="preserve">was whether the offender had since renounced the commitment to the violent jihadist ideology which was inherent in the offending (as this went to questions of remorse, the prospects of rehabilitation, the need for specific deterrence and the need for community protection).  The offender did not give evidence on the plea.  In purported application of the principles in </w:t>
      </w:r>
      <w:r w:rsidR="00296A22" w:rsidRPr="00A13E41">
        <w:rPr>
          <w:rFonts w:asciiTheme="minorHAnsi" w:hAnsiTheme="minorHAnsi"/>
          <w:i/>
        </w:rPr>
        <w:t>Storey</w:t>
      </w:r>
      <w:r w:rsidR="00296A22">
        <w:rPr>
          <w:rFonts w:asciiTheme="minorHAnsi" w:hAnsiTheme="minorHAnsi"/>
        </w:rPr>
        <w:t xml:space="preserve">, the judge found that he was neither persuaded by the offender on the balance of probabilities that the offender had renounced the ideology, nor persuaded by the prosecution beyond reasonable doubt that he had not.  On appeal by the CDPP, the </w:t>
      </w:r>
      <w:r w:rsidR="007647CF">
        <w:rPr>
          <w:rFonts w:asciiTheme="minorHAnsi" w:hAnsiTheme="minorHAnsi"/>
        </w:rPr>
        <w:t>Director contended that the judge</w:t>
      </w:r>
      <w:r w:rsidR="00AA693C">
        <w:rPr>
          <w:rFonts w:asciiTheme="minorHAnsi" w:hAnsiTheme="minorHAnsi"/>
        </w:rPr>
        <w:t>’</w:t>
      </w:r>
      <w:r w:rsidR="007647CF">
        <w:rPr>
          <w:rFonts w:asciiTheme="minorHAnsi" w:hAnsiTheme="minorHAnsi"/>
        </w:rPr>
        <w:t xml:space="preserve">s reasoning was erroneous.  The </w:t>
      </w:r>
      <w:r w:rsidR="00296A22">
        <w:rPr>
          <w:rFonts w:asciiTheme="minorHAnsi" w:hAnsiTheme="minorHAnsi"/>
        </w:rPr>
        <w:t xml:space="preserve">Court of Appeal </w:t>
      </w:r>
      <w:r w:rsidR="002A0A47">
        <w:rPr>
          <w:rFonts w:asciiTheme="minorHAnsi" w:hAnsiTheme="minorHAnsi"/>
        </w:rPr>
        <w:t>agreed</w:t>
      </w:r>
      <w:r w:rsidR="00296A22">
        <w:rPr>
          <w:rFonts w:asciiTheme="minorHAnsi" w:hAnsiTheme="minorHAnsi"/>
        </w:rPr>
        <w:t>.</w:t>
      </w:r>
      <w:r w:rsidR="00296A22" w:rsidRPr="00C00000">
        <w:rPr>
          <w:rStyle w:val="Style"/>
          <w:rFonts w:asciiTheme="minorHAnsi" w:hAnsiTheme="minorHAnsi"/>
        </w:rPr>
        <w:footnoteReference w:id="103"/>
      </w:r>
      <w:r w:rsidR="00296A22">
        <w:rPr>
          <w:rFonts w:asciiTheme="minorHAnsi" w:hAnsiTheme="minorHAnsi"/>
        </w:rPr>
        <w:t xml:space="preserve">  </w:t>
      </w:r>
      <w:r w:rsidR="002A0A47" w:rsidRPr="00904843">
        <w:rPr>
          <w:rFonts w:asciiTheme="minorHAnsi" w:hAnsiTheme="minorHAnsi"/>
        </w:rPr>
        <w:t xml:space="preserve">The </w:t>
      </w:r>
      <w:r w:rsidR="002A0A47">
        <w:rPr>
          <w:rFonts w:asciiTheme="minorHAnsi" w:hAnsiTheme="minorHAnsi"/>
        </w:rPr>
        <w:t>Crown bore no onus of proving that the offender</w:t>
      </w:r>
      <w:r w:rsidR="00AA693C">
        <w:rPr>
          <w:rFonts w:asciiTheme="minorHAnsi" w:hAnsiTheme="minorHAnsi"/>
        </w:rPr>
        <w:t>’</w:t>
      </w:r>
      <w:r w:rsidR="002A0A47">
        <w:rPr>
          <w:rFonts w:asciiTheme="minorHAnsi" w:hAnsiTheme="minorHAnsi"/>
        </w:rPr>
        <w:t xml:space="preserve">s adherence to jihadist ideology continued; it was wrong to approach the matter as if </w:t>
      </w:r>
      <w:r w:rsidR="00664B7A">
        <w:rPr>
          <w:rFonts w:asciiTheme="minorHAnsi" w:hAnsiTheme="minorHAnsi"/>
        </w:rPr>
        <w:t xml:space="preserve">it </w:t>
      </w:r>
      <w:r w:rsidR="002A0A47">
        <w:rPr>
          <w:rFonts w:asciiTheme="minorHAnsi" w:hAnsiTheme="minorHAnsi"/>
        </w:rPr>
        <w:t>were, in the classic sense, an aggravating factor.</w:t>
      </w:r>
      <w:r w:rsidR="002A0A47" w:rsidRPr="00C00000">
        <w:rPr>
          <w:rStyle w:val="Style"/>
          <w:rFonts w:asciiTheme="minorHAnsi" w:hAnsiTheme="minorHAnsi"/>
        </w:rPr>
        <w:footnoteReference w:id="104"/>
      </w:r>
      <w:r w:rsidR="002A0A47">
        <w:rPr>
          <w:rFonts w:asciiTheme="minorHAnsi" w:hAnsiTheme="minorHAnsi"/>
        </w:rPr>
        <w:t xml:space="preserve">  </w:t>
      </w:r>
      <w:r w:rsidR="00296A22">
        <w:rPr>
          <w:rFonts w:asciiTheme="minorHAnsi" w:hAnsiTheme="minorHAnsi"/>
        </w:rPr>
        <w:t xml:space="preserve">It was for the offender to make good a submission that he no longer held jihadist views; his failure to discharge that onus </w:t>
      </w:r>
      <w:r w:rsidR="00296A22" w:rsidRPr="00C86280">
        <w:rPr>
          <w:rFonts w:asciiTheme="minorHAnsi" w:hAnsiTheme="minorHAnsi"/>
        </w:rPr>
        <w:t xml:space="preserve">left the sentencing judge with nothing but the </w:t>
      </w:r>
      <w:r w:rsidR="00950577">
        <w:rPr>
          <w:rFonts w:asciiTheme="minorHAnsi" w:hAnsiTheme="minorHAnsi"/>
        </w:rPr>
        <w:t xml:space="preserve">proven fact of </w:t>
      </w:r>
      <w:r w:rsidR="00296A22" w:rsidRPr="00C86280">
        <w:rPr>
          <w:rFonts w:asciiTheme="minorHAnsi" w:hAnsiTheme="minorHAnsi"/>
        </w:rPr>
        <w:t xml:space="preserve">the </w:t>
      </w:r>
      <w:r w:rsidR="00296A22">
        <w:rPr>
          <w:rFonts w:asciiTheme="minorHAnsi" w:hAnsiTheme="minorHAnsi"/>
        </w:rPr>
        <w:t>offender</w:t>
      </w:r>
      <w:r w:rsidR="00AA693C">
        <w:rPr>
          <w:rFonts w:asciiTheme="minorHAnsi" w:hAnsiTheme="minorHAnsi"/>
        </w:rPr>
        <w:t>’</w:t>
      </w:r>
      <w:r w:rsidR="00296A22" w:rsidRPr="00C86280">
        <w:rPr>
          <w:rFonts w:asciiTheme="minorHAnsi" w:hAnsiTheme="minorHAnsi"/>
        </w:rPr>
        <w:t>s state of mind at the time of the commission of the offence</w:t>
      </w:r>
      <w:r w:rsidR="00296A22">
        <w:rPr>
          <w:rFonts w:asciiTheme="minorHAnsi" w:hAnsiTheme="minorHAnsi"/>
        </w:rPr>
        <w:t>.</w:t>
      </w:r>
    </w:p>
    <w:p w14:paraId="7BD2B6EB" w14:textId="77777777" w:rsidR="00244531" w:rsidRPr="00183E74" w:rsidRDefault="00244531" w:rsidP="00244531">
      <w:pPr>
        <w:spacing w:line="276" w:lineRule="auto"/>
        <w:ind w:right="170"/>
        <w:rPr>
          <w:rFonts w:asciiTheme="minorHAnsi" w:hAnsiTheme="minorHAnsi"/>
        </w:rPr>
      </w:pPr>
    </w:p>
    <w:p w14:paraId="381BD42D" w14:textId="3AA94398" w:rsidR="00A62FB3" w:rsidRPr="00A62FB3" w:rsidRDefault="00950577" w:rsidP="00EB7F1E">
      <w:pPr>
        <w:pStyle w:val="ListParagraph"/>
        <w:numPr>
          <w:ilvl w:val="0"/>
          <w:numId w:val="7"/>
        </w:numPr>
        <w:spacing w:line="276" w:lineRule="auto"/>
        <w:ind w:left="425" w:hanging="425"/>
        <w:contextualSpacing w:val="0"/>
        <w:rPr>
          <w:rStyle w:val="verdana"/>
          <w:rFonts w:asciiTheme="minorHAnsi" w:hAnsiTheme="minorHAnsi"/>
        </w:rPr>
      </w:pPr>
      <w:r>
        <w:rPr>
          <w:rFonts w:asciiTheme="minorHAnsi" w:hAnsiTheme="minorHAnsi"/>
        </w:rPr>
        <w:t xml:space="preserve">Second, </w:t>
      </w:r>
      <w:r w:rsidR="00A62FB3">
        <w:rPr>
          <w:rFonts w:asciiTheme="minorHAnsi" w:hAnsiTheme="minorHAnsi"/>
        </w:rPr>
        <w:t xml:space="preserve">as was pointed out </w:t>
      </w:r>
      <w:r w:rsidR="000F2F29">
        <w:rPr>
          <w:rFonts w:asciiTheme="minorHAnsi" w:hAnsiTheme="minorHAnsi"/>
        </w:rPr>
        <w:t>by</w:t>
      </w:r>
      <w:r w:rsidR="00A62FB3">
        <w:rPr>
          <w:rFonts w:asciiTheme="minorHAnsi" w:hAnsiTheme="minorHAnsi"/>
        </w:rPr>
        <w:t xml:space="preserve"> the High Court in </w:t>
      </w:r>
      <w:r w:rsidR="00A62FB3" w:rsidRPr="00C00000">
        <w:rPr>
          <w:rFonts w:asciiTheme="minorHAnsi" w:hAnsiTheme="minorHAnsi"/>
          <w:i/>
        </w:rPr>
        <w:t>Weininger</w:t>
      </w:r>
      <w:r w:rsidR="00A62FB3">
        <w:rPr>
          <w:rFonts w:asciiTheme="minorHAnsi" w:hAnsiTheme="minorHAnsi"/>
        </w:rPr>
        <w:t>,</w:t>
      </w:r>
      <w:r w:rsidR="00A62FB3" w:rsidRPr="00C00000">
        <w:rPr>
          <w:rStyle w:val="Style"/>
          <w:rFonts w:asciiTheme="minorHAnsi" w:hAnsiTheme="minorHAnsi"/>
        </w:rPr>
        <w:footnoteReference w:id="105"/>
      </w:r>
      <w:r w:rsidR="00A62FB3">
        <w:rPr>
          <w:rFonts w:asciiTheme="minorHAnsi" w:hAnsiTheme="minorHAnsi"/>
        </w:rPr>
        <w:t xml:space="preserve"> not</w:t>
      </w:r>
      <w:r w:rsidR="00A62FB3" w:rsidRPr="00FB5AAD">
        <w:rPr>
          <w:rFonts w:asciiTheme="minorHAnsi" w:hAnsiTheme="minorHAnsi"/>
        </w:rPr>
        <w:t xml:space="preserve"> all disputed issues of fact related to sentencing must be resolve</w:t>
      </w:r>
      <w:r w:rsidR="00A62FB3">
        <w:rPr>
          <w:rFonts w:asciiTheme="minorHAnsi" w:hAnsiTheme="minorHAnsi"/>
        </w:rPr>
        <w:t>d for or against the offender.  S</w:t>
      </w:r>
      <w:r w:rsidR="00A62FB3" w:rsidRPr="00FB5AAD">
        <w:rPr>
          <w:rFonts w:asciiTheme="minorHAnsi" w:hAnsiTheme="minorHAnsi"/>
        </w:rPr>
        <w:t xml:space="preserve">ome disputed issues of fact cannot be resolved in a way that goes either to increase or to decrease the sentence that is to be imposed. </w:t>
      </w:r>
      <w:r w:rsidR="00A62FB3">
        <w:rPr>
          <w:rFonts w:asciiTheme="minorHAnsi" w:hAnsiTheme="minorHAnsi"/>
        </w:rPr>
        <w:t xml:space="preserve"> </w:t>
      </w:r>
      <w:r w:rsidR="00A62FB3" w:rsidRPr="00FB5AAD">
        <w:rPr>
          <w:rFonts w:asciiTheme="minorHAnsi" w:hAnsiTheme="minorHAnsi"/>
        </w:rPr>
        <w:t>There may be issues which the material available to the sentencing judge will not permit the judge to resolve in that way</w:t>
      </w:r>
      <w:r w:rsidR="00A62FB3" w:rsidRPr="00576EEE">
        <w:rPr>
          <w:rStyle w:val="verdana"/>
          <w:rFonts w:ascii="Calibri" w:hAnsi="Calibri"/>
        </w:rPr>
        <w:t>.</w:t>
      </w:r>
    </w:p>
    <w:p w14:paraId="7393F820" w14:textId="77777777" w:rsidR="00A62FB3" w:rsidRPr="00A62FB3" w:rsidRDefault="00A62FB3" w:rsidP="00A62FB3">
      <w:pPr>
        <w:pStyle w:val="ListParagraph"/>
        <w:rPr>
          <w:rFonts w:asciiTheme="minorHAnsi" w:hAnsiTheme="minorHAnsi"/>
        </w:rPr>
      </w:pPr>
    </w:p>
    <w:p w14:paraId="53908EDA" w14:textId="4B555152" w:rsidR="00EF0BBA" w:rsidRDefault="00A62FB3" w:rsidP="00EB7F1E">
      <w:pPr>
        <w:pStyle w:val="ListParagraph"/>
        <w:numPr>
          <w:ilvl w:val="0"/>
          <w:numId w:val="7"/>
        </w:numPr>
        <w:spacing w:line="276" w:lineRule="auto"/>
        <w:ind w:left="425" w:hanging="425"/>
        <w:contextualSpacing w:val="0"/>
        <w:rPr>
          <w:rFonts w:asciiTheme="minorHAnsi" w:hAnsiTheme="minorHAnsi"/>
        </w:rPr>
      </w:pPr>
      <w:r w:rsidRPr="00671BB2">
        <w:rPr>
          <w:rFonts w:asciiTheme="minorHAnsi" w:hAnsiTheme="minorHAnsi"/>
          <w:i/>
        </w:rPr>
        <w:t>Olbrich</w:t>
      </w:r>
      <w:r w:rsidR="000F2F29" w:rsidRPr="00C00000">
        <w:rPr>
          <w:rStyle w:val="Style"/>
          <w:rFonts w:asciiTheme="minorHAnsi" w:hAnsiTheme="minorHAnsi"/>
        </w:rPr>
        <w:footnoteReference w:id="106"/>
      </w:r>
      <w:r w:rsidR="000F2F29">
        <w:rPr>
          <w:rFonts w:asciiTheme="minorHAnsi" w:hAnsiTheme="minorHAnsi"/>
          <w:i/>
        </w:rPr>
        <w:t xml:space="preserve"> </w:t>
      </w:r>
      <w:r>
        <w:rPr>
          <w:rFonts w:asciiTheme="minorHAnsi" w:hAnsiTheme="minorHAnsi"/>
        </w:rPr>
        <w:t xml:space="preserve">itself </w:t>
      </w:r>
      <w:r w:rsidRPr="00671BB2">
        <w:rPr>
          <w:rFonts w:asciiTheme="minorHAnsi" w:hAnsiTheme="minorHAnsi"/>
        </w:rPr>
        <w:t>provides an illustration.</w:t>
      </w:r>
      <w:r w:rsidR="000F2F29">
        <w:rPr>
          <w:rFonts w:asciiTheme="minorHAnsi" w:hAnsiTheme="minorHAnsi"/>
        </w:rPr>
        <w:t xml:space="preserve"> </w:t>
      </w:r>
      <w:r w:rsidRPr="004305C4">
        <w:rPr>
          <w:rFonts w:asciiTheme="minorHAnsi" w:hAnsiTheme="minorHAnsi"/>
        </w:rPr>
        <w:t xml:space="preserve"> </w:t>
      </w:r>
      <w:r w:rsidR="0095283B">
        <w:rPr>
          <w:rFonts w:asciiTheme="minorHAnsi" w:hAnsiTheme="minorHAnsi"/>
        </w:rPr>
        <w:t xml:space="preserve">In </w:t>
      </w:r>
      <w:r w:rsidR="000F2F29">
        <w:rPr>
          <w:rFonts w:asciiTheme="minorHAnsi" w:hAnsiTheme="minorHAnsi"/>
        </w:rPr>
        <w:t>that case</w:t>
      </w:r>
      <w:r w:rsidR="0095283B">
        <w:rPr>
          <w:rFonts w:asciiTheme="minorHAnsi" w:hAnsiTheme="minorHAnsi"/>
        </w:rPr>
        <w:t xml:space="preserve">, the sentencing judge had rejected evidence given by an offender that his role in a </w:t>
      </w:r>
      <w:r w:rsidR="00331375">
        <w:rPr>
          <w:rFonts w:asciiTheme="minorHAnsi" w:hAnsiTheme="minorHAnsi"/>
        </w:rPr>
        <w:t>heroin</w:t>
      </w:r>
      <w:r w:rsidR="0095283B">
        <w:rPr>
          <w:rFonts w:asciiTheme="minorHAnsi" w:hAnsiTheme="minorHAnsi"/>
        </w:rPr>
        <w:t xml:space="preserve"> importation was that of a mere courier, but on the evidence presented was unable to be satisfied of what the offender</w:t>
      </w:r>
      <w:r w:rsidR="00AA693C">
        <w:rPr>
          <w:rFonts w:asciiTheme="minorHAnsi" w:hAnsiTheme="minorHAnsi"/>
        </w:rPr>
        <w:t>’</w:t>
      </w:r>
      <w:r w:rsidR="0095283B">
        <w:rPr>
          <w:rFonts w:asciiTheme="minorHAnsi" w:hAnsiTheme="minorHAnsi"/>
        </w:rPr>
        <w:t xml:space="preserve">s role </w:t>
      </w:r>
      <w:r w:rsidR="00B64153">
        <w:rPr>
          <w:rFonts w:asciiTheme="minorHAnsi" w:hAnsiTheme="minorHAnsi"/>
        </w:rPr>
        <w:t xml:space="preserve">in the enterprise </w:t>
      </w:r>
      <w:r w:rsidR="0095283B">
        <w:rPr>
          <w:rFonts w:asciiTheme="minorHAnsi" w:hAnsiTheme="minorHAnsi"/>
        </w:rPr>
        <w:t>was</w:t>
      </w:r>
      <w:r w:rsidR="00B64153">
        <w:rPr>
          <w:rFonts w:asciiTheme="minorHAnsi" w:hAnsiTheme="minorHAnsi"/>
        </w:rPr>
        <w:t>, other than being the person who imported the drugs</w:t>
      </w:r>
      <w:r w:rsidR="0095283B">
        <w:rPr>
          <w:rFonts w:asciiTheme="minorHAnsi" w:hAnsiTheme="minorHAnsi"/>
        </w:rPr>
        <w:t xml:space="preserve">.  </w:t>
      </w:r>
      <w:r w:rsidR="00914F6C">
        <w:rPr>
          <w:rFonts w:asciiTheme="minorHAnsi" w:hAnsiTheme="minorHAnsi"/>
        </w:rPr>
        <w:t xml:space="preserve">On appeal, it was contended that </w:t>
      </w:r>
      <w:r w:rsidR="00A527BB">
        <w:rPr>
          <w:rFonts w:asciiTheme="minorHAnsi" w:hAnsiTheme="minorHAnsi"/>
        </w:rPr>
        <w:t xml:space="preserve">as </w:t>
      </w:r>
      <w:r w:rsidR="00914F6C" w:rsidRPr="00EC5D30">
        <w:rPr>
          <w:rFonts w:asciiTheme="minorHAnsi" w:hAnsiTheme="minorHAnsi"/>
        </w:rPr>
        <w:t xml:space="preserve">the prosecution </w:t>
      </w:r>
      <w:r w:rsidR="00A527BB">
        <w:rPr>
          <w:rFonts w:asciiTheme="minorHAnsi" w:hAnsiTheme="minorHAnsi"/>
        </w:rPr>
        <w:t xml:space="preserve">was unable to </w:t>
      </w:r>
      <w:r w:rsidR="00914F6C" w:rsidRPr="00EC5D30">
        <w:rPr>
          <w:rFonts w:asciiTheme="minorHAnsi" w:hAnsiTheme="minorHAnsi"/>
        </w:rPr>
        <w:t>prove beyond reasonable doubt</w:t>
      </w:r>
      <w:r w:rsidR="00914F6C">
        <w:rPr>
          <w:rFonts w:asciiTheme="minorHAnsi" w:hAnsiTheme="minorHAnsi"/>
        </w:rPr>
        <w:t xml:space="preserve"> </w:t>
      </w:r>
      <w:r w:rsidR="00A527BB">
        <w:rPr>
          <w:rFonts w:asciiTheme="minorHAnsi" w:hAnsiTheme="minorHAnsi"/>
        </w:rPr>
        <w:t>that the role of the offender extended beyond that of a mere courier</w:t>
      </w:r>
      <w:r w:rsidR="00914F6C">
        <w:rPr>
          <w:rFonts w:asciiTheme="minorHAnsi" w:hAnsiTheme="minorHAnsi"/>
        </w:rPr>
        <w:t xml:space="preserve">, the judge was required to sentence the offender on a view of the facts most favourable to the offender.  </w:t>
      </w:r>
      <w:r w:rsidR="0095283B">
        <w:rPr>
          <w:rFonts w:asciiTheme="minorHAnsi" w:hAnsiTheme="minorHAnsi"/>
        </w:rPr>
        <w:t xml:space="preserve">The majority of the High Court rejected </w:t>
      </w:r>
      <w:r w:rsidR="00914F6C">
        <w:rPr>
          <w:rFonts w:asciiTheme="minorHAnsi" w:hAnsiTheme="minorHAnsi"/>
        </w:rPr>
        <w:t>that</w:t>
      </w:r>
      <w:r w:rsidR="0095283B" w:rsidRPr="00CC745E">
        <w:rPr>
          <w:rFonts w:asciiTheme="minorHAnsi" w:hAnsiTheme="minorHAnsi"/>
        </w:rPr>
        <w:t xml:space="preserve"> </w:t>
      </w:r>
      <w:r w:rsidR="0095283B" w:rsidRPr="00EC5D30">
        <w:rPr>
          <w:rFonts w:asciiTheme="minorHAnsi" w:hAnsiTheme="minorHAnsi"/>
        </w:rPr>
        <w:t>contention</w:t>
      </w:r>
      <w:r w:rsidR="00914F6C">
        <w:rPr>
          <w:rFonts w:asciiTheme="minorHAnsi" w:hAnsiTheme="minorHAnsi"/>
        </w:rPr>
        <w:t>.</w:t>
      </w:r>
      <w:r w:rsidR="0095283B" w:rsidRPr="00EC5D30">
        <w:rPr>
          <w:rFonts w:asciiTheme="minorHAnsi" w:hAnsiTheme="minorHAnsi"/>
        </w:rPr>
        <w:t xml:space="preserve"> </w:t>
      </w:r>
      <w:r w:rsidR="00A527BB">
        <w:rPr>
          <w:rFonts w:asciiTheme="minorHAnsi" w:hAnsiTheme="minorHAnsi"/>
        </w:rPr>
        <w:t xml:space="preserve"> </w:t>
      </w:r>
      <w:r w:rsidR="0095283B">
        <w:rPr>
          <w:rFonts w:asciiTheme="minorHAnsi" w:hAnsiTheme="minorHAnsi"/>
        </w:rPr>
        <w:t>It would have been incongruous to require the sentencing judge to sentence the offender on the basis that he was a mere courier when the judge had disbelieved his evidence to that effect.</w:t>
      </w:r>
      <w:r w:rsidR="0095283B" w:rsidRPr="00C00000">
        <w:rPr>
          <w:rStyle w:val="Style"/>
          <w:rFonts w:asciiTheme="minorHAnsi" w:hAnsiTheme="minorHAnsi"/>
        </w:rPr>
        <w:footnoteReference w:id="107"/>
      </w:r>
      <w:r w:rsidR="00A527BB">
        <w:rPr>
          <w:rFonts w:asciiTheme="minorHAnsi" w:hAnsiTheme="minorHAnsi"/>
        </w:rPr>
        <w:t xml:space="preserve">  </w:t>
      </w:r>
      <w:r w:rsidR="00B64153">
        <w:rPr>
          <w:rFonts w:asciiTheme="minorHAnsi" w:hAnsiTheme="minorHAnsi"/>
        </w:rPr>
        <w:t>The majority held that the offender was to be sentenced for what he had done</w:t>
      </w:r>
      <w:r w:rsidR="00BC16D4">
        <w:rPr>
          <w:rFonts w:asciiTheme="minorHAnsi" w:hAnsiTheme="minorHAnsi"/>
        </w:rPr>
        <w:t>;</w:t>
      </w:r>
      <w:r w:rsidR="007E6FF8" w:rsidRPr="00C00000">
        <w:rPr>
          <w:rStyle w:val="Style"/>
          <w:rFonts w:asciiTheme="minorHAnsi" w:hAnsiTheme="minorHAnsi"/>
        </w:rPr>
        <w:footnoteReference w:id="108"/>
      </w:r>
      <w:r w:rsidR="007E6FF8">
        <w:rPr>
          <w:rFonts w:asciiTheme="minorHAnsi" w:hAnsiTheme="minorHAnsi"/>
        </w:rPr>
        <w:t xml:space="preserve"> the offender had properly been sentenced on the basis that nothing further was known of his role.</w:t>
      </w:r>
      <w:r w:rsidR="00EF0BBA" w:rsidRPr="00C00000">
        <w:rPr>
          <w:rStyle w:val="Style"/>
          <w:rFonts w:asciiTheme="minorHAnsi" w:hAnsiTheme="minorHAnsi"/>
        </w:rPr>
        <w:footnoteReference w:id="109"/>
      </w:r>
    </w:p>
    <w:p w14:paraId="30C261A3" w14:textId="77777777" w:rsidR="00EF0BBA" w:rsidRPr="00EF0BBA" w:rsidRDefault="00EF0BBA" w:rsidP="00EF0BBA">
      <w:pPr>
        <w:pStyle w:val="ListParagraph"/>
        <w:rPr>
          <w:rFonts w:asciiTheme="minorHAnsi" w:hAnsiTheme="minorHAnsi"/>
        </w:rPr>
      </w:pPr>
    </w:p>
    <w:p w14:paraId="3148CD0C" w14:textId="18829CFE" w:rsidR="000C5288" w:rsidRPr="000C5288" w:rsidRDefault="0033137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Third, </w:t>
      </w:r>
      <w:r w:rsidR="000C5288" w:rsidRPr="000C5288">
        <w:rPr>
          <w:rFonts w:asciiTheme="minorHAnsi" w:hAnsiTheme="minorHAnsi"/>
        </w:rPr>
        <w:t xml:space="preserve">there is no clear dichotomy between aggravating and mitigating matters.  The majority in </w:t>
      </w:r>
      <w:r w:rsidR="000C5288" w:rsidRPr="000C5288">
        <w:rPr>
          <w:rFonts w:asciiTheme="minorHAnsi" w:hAnsiTheme="minorHAnsi"/>
          <w:i/>
        </w:rPr>
        <w:t>Weininger</w:t>
      </w:r>
      <w:r w:rsidR="000C5288" w:rsidRPr="00C00000">
        <w:rPr>
          <w:rStyle w:val="Style"/>
          <w:rFonts w:asciiTheme="minorHAnsi" w:hAnsiTheme="minorHAnsi"/>
        </w:rPr>
        <w:footnoteReference w:id="110"/>
      </w:r>
      <w:r w:rsidR="000C5288" w:rsidRPr="000C5288">
        <w:rPr>
          <w:rFonts w:asciiTheme="minorHAnsi" w:hAnsiTheme="minorHAnsi"/>
        </w:rPr>
        <w:t xml:space="preserve"> made this crucial point as follows:</w:t>
      </w:r>
    </w:p>
    <w:p w14:paraId="50EF1947" w14:textId="713E3F70" w:rsidR="000C5288" w:rsidRPr="00671BB2" w:rsidRDefault="000C5288" w:rsidP="00EB7F1E">
      <w:pPr>
        <w:pStyle w:val="BodyText"/>
        <w:spacing w:line="276" w:lineRule="auto"/>
        <w:ind w:left="720" w:right="170" w:hanging="11"/>
        <w:jc w:val="both"/>
        <w:rPr>
          <w:rFonts w:asciiTheme="minorHAnsi" w:hAnsiTheme="minorHAnsi"/>
          <w:i/>
        </w:rPr>
      </w:pPr>
      <w:r w:rsidRPr="00671BB2">
        <w:rPr>
          <w:rFonts w:asciiTheme="minorHAnsi" w:hAnsiTheme="minorHAnsi"/>
          <w:i/>
        </w:rPr>
        <w:t>Many matters that must be taken into account in fixing a sentence are matters whose proper characterisation may lie somewhere along a line between two extremes.</w:t>
      </w:r>
      <w:r>
        <w:rPr>
          <w:rFonts w:asciiTheme="minorHAnsi" w:hAnsiTheme="minorHAnsi"/>
          <w:i/>
        </w:rPr>
        <w:t xml:space="preserve"> </w:t>
      </w:r>
      <w:r w:rsidRPr="00671BB2">
        <w:rPr>
          <w:rFonts w:asciiTheme="minorHAnsi" w:hAnsiTheme="minorHAnsi"/>
          <w:i/>
        </w:rPr>
        <w:t xml:space="preserve"> That is inevitably so. </w:t>
      </w:r>
      <w:r w:rsidR="006F5E96">
        <w:rPr>
          <w:rFonts w:asciiTheme="minorHAnsi" w:hAnsiTheme="minorHAnsi"/>
          <w:i/>
        </w:rPr>
        <w:t xml:space="preserve"> </w:t>
      </w:r>
      <w:r w:rsidRPr="00671BB2">
        <w:rPr>
          <w:rFonts w:asciiTheme="minorHAnsi" w:hAnsiTheme="minorHAnsi"/>
          <w:i/>
        </w:rPr>
        <w:t xml:space="preserve">The matters that must be taken into account in sentencing an offender include many matters of and concerning human behaviour. </w:t>
      </w:r>
      <w:r>
        <w:rPr>
          <w:rFonts w:asciiTheme="minorHAnsi" w:hAnsiTheme="minorHAnsi"/>
          <w:i/>
        </w:rPr>
        <w:t xml:space="preserve"> </w:t>
      </w:r>
      <w:r w:rsidRPr="00671BB2">
        <w:rPr>
          <w:rFonts w:asciiTheme="minorHAnsi" w:hAnsiTheme="minorHAnsi"/>
          <w:i/>
        </w:rPr>
        <w:t>It is, therefore, to invite error to present every question for a sentencer who is assessing a matter which is to be taken into account as a choice between extremes, one classified as aggravating and the opposite extreme classified as mitigating.</w:t>
      </w:r>
      <w:r>
        <w:rPr>
          <w:rFonts w:asciiTheme="minorHAnsi" w:hAnsiTheme="minorHAnsi"/>
          <w:i/>
        </w:rPr>
        <w:t xml:space="preserve"> </w:t>
      </w:r>
      <w:r w:rsidRPr="00671BB2">
        <w:rPr>
          <w:rFonts w:asciiTheme="minorHAnsi" w:hAnsiTheme="minorHAnsi"/>
          <w:i/>
        </w:rPr>
        <w:t xml:space="preserve"> Neither human behaviour, nor fixing of sentences is so simple.</w:t>
      </w:r>
    </w:p>
    <w:p w14:paraId="4772815B" w14:textId="77777777" w:rsidR="002B0EE4" w:rsidRPr="002B0EE4" w:rsidRDefault="002B0EE4" w:rsidP="002B0EE4">
      <w:pPr>
        <w:spacing w:line="276" w:lineRule="auto"/>
        <w:ind w:right="170"/>
        <w:rPr>
          <w:rFonts w:asciiTheme="minorHAnsi" w:hAnsiTheme="minorHAnsi"/>
        </w:rPr>
      </w:pPr>
    </w:p>
    <w:p w14:paraId="4AC42D83" w14:textId="7A04BC34" w:rsidR="00313AD3" w:rsidRDefault="00497A1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majority also pointed out that </w:t>
      </w:r>
      <w:r w:rsidR="00331375">
        <w:rPr>
          <w:rFonts w:asciiTheme="minorHAnsi" w:hAnsiTheme="minorHAnsi"/>
        </w:rPr>
        <w:t>a</w:t>
      </w:r>
      <w:r w:rsidR="00331375" w:rsidRPr="00077E0A">
        <w:rPr>
          <w:rFonts w:asciiTheme="minorHAnsi" w:hAnsiTheme="minorHAnsi"/>
        </w:rPr>
        <w:t xml:space="preserve"> sentencing hearing is not an inquisition into all that may bear upon the circumstances of the offence or matters personal to the offender.</w:t>
      </w:r>
      <w:r w:rsidR="00331375" w:rsidRPr="00C00000">
        <w:rPr>
          <w:rStyle w:val="Style"/>
          <w:rFonts w:asciiTheme="minorHAnsi" w:hAnsiTheme="minorHAnsi"/>
        </w:rPr>
        <w:footnoteReference w:id="111"/>
      </w:r>
    </w:p>
    <w:p w14:paraId="2E959F26" w14:textId="77777777" w:rsidR="00313AD3" w:rsidRPr="00313AD3" w:rsidRDefault="00313AD3" w:rsidP="00313AD3">
      <w:pPr>
        <w:spacing w:line="276" w:lineRule="auto"/>
        <w:ind w:right="170"/>
        <w:rPr>
          <w:rFonts w:asciiTheme="minorHAnsi" w:hAnsiTheme="minorHAnsi"/>
        </w:rPr>
      </w:pPr>
    </w:p>
    <w:p w14:paraId="28886885" w14:textId="231D9161" w:rsidR="00916ACC" w:rsidRDefault="00497A1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Fourth, </w:t>
      </w:r>
      <w:r w:rsidR="008126A8">
        <w:rPr>
          <w:rFonts w:asciiTheme="minorHAnsi" w:hAnsiTheme="minorHAnsi"/>
        </w:rPr>
        <w:t>findings about such matters as the offender</w:t>
      </w:r>
      <w:r w:rsidR="00AA693C">
        <w:rPr>
          <w:rFonts w:asciiTheme="minorHAnsi" w:hAnsiTheme="minorHAnsi"/>
        </w:rPr>
        <w:t>’</w:t>
      </w:r>
      <w:r w:rsidR="008126A8">
        <w:rPr>
          <w:rFonts w:asciiTheme="minorHAnsi" w:hAnsiTheme="minorHAnsi"/>
        </w:rPr>
        <w:t xml:space="preserve">s prospects of rehabilitation or the risk of re-offending do not always need to be </w:t>
      </w:r>
      <w:r w:rsidR="008126A8" w:rsidRPr="001A5548">
        <w:rPr>
          <w:rFonts w:asciiTheme="minorHAnsi" w:hAnsiTheme="minorHAnsi"/>
        </w:rPr>
        <w:t xml:space="preserve">articulated in terms of </w:t>
      </w:r>
      <w:r>
        <w:rPr>
          <w:rFonts w:asciiTheme="minorHAnsi" w:hAnsiTheme="minorHAnsi"/>
        </w:rPr>
        <w:t xml:space="preserve">a </w:t>
      </w:r>
      <w:r w:rsidR="008126A8" w:rsidRPr="001A5548">
        <w:rPr>
          <w:rFonts w:asciiTheme="minorHAnsi" w:hAnsiTheme="minorHAnsi"/>
        </w:rPr>
        <w:t>standard of proof</w:t>
      </w:r>
      <w:r w:rsidR="008126A8">
        <w:rPr>
          <w:rFonts w:asciiTheme="minorHAnsi" w:hAnsiTheme="minorHAnsi"/>
        </w:rPr>
        <w:t xml:space="preserve">; for example, </w:t>
      </w:r>
      <w:r w:rsidR="008126A8">
        <w:rPr>
          <w:rFonts w:asciiTheme="minorHAnsi" w:hAnsiTheme="minorHAnsi"/>
          <w:i/>
        </w:rPr>
        <w:t>“</w:t>
      </w:r>
      <w:r w:rsidR="008126A8" w:rsidRPr="00184CEE">
        <w:rPr>
          <w:rFonts w:asciiTheme="minorHAnsi" w:hAnsiTheme="minorHAnsi"/>
          <w:i/>
        </w:rPr>
        <w:t>assessment by the judge of the risk of a prisoner re-offending is not a feat which requires any refinement of thought process.</w:t>
      </w:r>
      <w:r w:rsidR="008126A8">
        <w:rPr>
          <w:rFonts w:asciiTheme="minorHAnsi" w:hAnsiTheme="minorHAnsi"/>
        </w:rPr>
        <w:t>”</w:t>
      </w:r>
      <w:r w:rsidR="008126A8" w:rsidRPr="00C00000">
        <w:rPr>
          <w:rStyle w:val="Style"/>
          <w:rFonts w:asciiTheme="minorHAnsi" w:hAnsiTheme="minorHAnsi"/>
        </w:rPr>
        <w:footnoteReference w:id="112"/>
      </w:r>
    </w:p>
    <w:p w14:paraId="141E8D50" w14:textId="77777777" w:rsidR="00916ACC" w:rsidRDefault="00916ACC" w:rsidP="00916ACC">
      <w:pPr>
        <w:spacing w:line="276" w:lineRule="auto"/>
        <w:ind w:right="170"/>
        <w:rPr>
          <w:rFonts w:asciiTheme="minorHAnsi" w:hAnsiTheme="minorHAnsi"/>
        </w:rPr>
      </w:pPr>
    </w:p>
    <w:p w14:paraId="1D961761" w14:textId="4FC0EEF7" w:rsidR="00CE5766" w:rsidRPr="00621E76" w:rsidRDefault="00CE5766" w:rsidP="003E7B85">
      <w:pPr>
        <w:pStyle w:val="Heading3"/>
      </w:pPr>
      <w:bookmarkStart w:id="977" w:name="_Ref11069985"/>
      <w:bookmarkStart w:id="978" w:name="_Ref11069988"/>
      <w:bookmarkStart w:id="979" w:name="_Toc33602765"/>
      <w:r w:rsidRPr="00621E76">
        <w:t>Finding of other uncharged offences</w:t>
      </w:r>
      <w:bookmarkEnd w:id="977"/>
      <w:bookmarkEnd w:id="978"/>
      <w:bookmarkEnd w:id="979"/>
    </w:p>
    <w:p w14:paraId="220B93D2" w14:textId="77777777" w:rsidR="00CE5766" w:rsidRPr="00621E76" w:rsidRDefault="00CE5766" w:rsidP="003E7B85">
      <w:pPr>
        <w:pStyle w:val="NormalIndent"/>
        <w:keepNext/>
        <w:spacing w:line="276" w:lineRule="auto"/>
        <w:ind w:left="720"/>
        <w:rPr>
          <w:rFonts w:asciiTheme="minorHAnsi" w:hAnsiTheme="minorHAnsi"/>
        </w:rPr>
      </w:pPr>
    </w:p>
    <w:p w14:paraId="2797D7C6" w14:textId="0C495084" w:rsidR="00A56ED8" w:rsidRPr="00621E76" w:rsidRDefault="00CE5766"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A central principle of sentencing</w:t>
      </w:r>
      <w:r w:rsidR="00A61949" w:rsidRPr="00621E76">
        <w:rPr>
          <w:rFonts w:asciiTheme="minorHAnsi" w:hAnsiTheme="minorHAnsi"/>
        </w:rPr>
        <w:t xml:space="preserve"> </w:t>
      </w:r>
      <w:r w:rsidRPr="00621E76">
        <w:rPr>
          <w:rFonts w:asciiTheme="minorHAnsi" w:hAnsiTheme="minorHAnsi"/>
        </w:rPr>
        <w:t xml:space="preserve">is that an offender </w:t>
      </w:r>
      <w:r w:rsidR="001847DA" w:rsidRPr="00621E76">
        <w:rPr>
          <w:rFonts w:asciiTheme="minorHAnsi" w:hAnsiTheme="minorHAnsi"/>
        </w:rPr>
        <w:t>may not be punished for other criminal conduct for which he or she is not then being sentenced</w:t>
      </w:r>
      <w:r w:rsidRPr="00621E76">
        <w:rPr>
          <w:rFonts w:asciiTheme="minorHAnsi" w:hAnsiTheme="minorHAnsi"/>
        </w:rPr>
        <w:t>.</w:t>
      </w:r>
      <w:r w:rsidR="00B03B71" w:rsidRPr="00621E76">
        <w:rPr>
          <w:rStyle w:val="Style"/>
          <w:rFonts w:asciiTheme="minorHAnsi" w:hAnsiTheme="minorHAnsi"/>
        </w:rPr>
        <w:footnoteReference w:id="113"/>
      </w:r>
    </w:p>
    <w:p w14:paraId="3C7A0DAE" w14:textId="36818982" w:rsidR="00A56ED8" w:rsidRPr="00621E76" w:rsidRDefault="00A56ED8" w:rsidP="00A56ED8">
      <w:pPr>
        <w:spacing w:line="276" w:lineRule="auto"/>
        <w:ind w:right="170"/>
        <w:rPr>
          <w:rFonts w:asciiTheme="minorHAnsi" w:hAnsiTheme="minorHAnsi"/>
        </w:rPr>
      </w:pPr>
    </w:p>
    <w:p w14:paraId="4358B891" w14:textId="25B94C6B" w:rsidR="002E0062" w:rsidRPr="00621E76" w:rsidRDefault="00207D6E"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However, in</w:t>
      </w:r>
      <w:r w:rsidR="00B03B71" w:rsidRPr="00621E76">
        <w:rPr>
          <w:rFonts w:asciiTheme="minorHAnsi" w:hAnsiTheme="minorHAnsi"/>
        </w:rPr>
        <w:t xml:space="preserve"> </w:t>
      </w:r>
      <w:r w:rsidR="00A56ED8" w:rsidRPr="00621E76">
        <w:rPr>
          <w:rFonts w:asciiTheme="minorHAnsi" w:hAnsiTheme="minorHAnsi"/>
        </w:rPr>
        <w:t xml:space="preserve">considering the circumstances or context of the instant offence, or in making factual findings about a matter relied upon in mitigation of sentence, a sentencing court is often presented with evidence of other offending.  </w:t>
      </w:r>
      <w:r w:rsidR="00B03B71" w:rsidRPr="00621E76">
        <w:rPr>
          <w:rFonts w:asciiTheme="minorHAnsi" w:hAnsiTheme="minorHAnsi"/>
        </w:rPr>
        <w:t xml:space="preserve">Such other offending may be relevant in various ways.  </w:t>
      </w:r>
      <w:r w:rsidR="002E0062" w:rsidRPr="00621E76">
        <w:rPr>
          <w:rFonts w:asciiTheme="minorHAnsi" w:hAnsiTheme="minorHAnsi"/>
        </w:rPr>
        <w:t>The following are examples:</w:t>
      </w:r>
    </w:p>
    <w:p w14:paraId="7615C267" w14:textId="5D100632" w:rsidR="002E0062" w:rsidRPr="00621E76" w:rsidRDefault="002E0062"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 xml:space="preserve">The </w:t>
      </w:r>
      <w:r w:rsidR="00A56ED8" w:rsidRPr="00621E76">
        <w:rPr>
          <w:rFonts w:asciiTheme="minorHAnsi" w:hAnsiTheme="minorHAnsi"/>
        </w:rPr>
        <w:t>occurrence of other offending may be relevant to determining whether the offending was an isolated incident or was committed as part of an ongoing criminal enterprise</w:t>
      </w:r>
      <w:r w:rsidR="00751D8B" w:rsidRPr="00621E76">
        <w:rPr>
          <w:rFonts w:asciiTheme="minorHAnsi" w:hAnsiTheme="minorHAnsi"/>
        </w:rPr>
        <w:t>.</w:t>
      </w:r>
      <w:r w:rsidR="00A56ED8" w:rsidRPr="00621E76">
        <w:rPr>
          <w:rStyle w:val="Style"/>
          <w:rFonts w:asciiTheme="minorHAnsi" w:hAnsiTheme="minorHAnsi"/>
        </w:rPr>
        <w:footnoteReference w:id="114"/>
      </w:r>
      <w:r w:rsidR="005F0858" w:rsidRPr="00621E76">
        <w:rPr>
          <w:rFonts w:asciiTheme="minorHAnsi" w:hAnsiTheme="minorHAnsi"/>
        </w:rPr>
        <w:t xml:space="preserve"> </w:t>
      </w:r>
    </w:p>
    <w:p w14:paraId="0FCFA4E9" w14:textId="1D654C4D" w:rsidR="00A56ED8" w:rsidRPr="00621E76" w:rsidRDefault="002E0062"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I</w:t>
      </w:r>
      <w:r w:rsidR="00A56ED8" w:rsidRPr="00621E76">
        <w:rPr>
          <w:rFonts w:asciiTheme="minorHAnsi" w:hAnsiTheme="minorHAnsi"/>
        </w:rPr>
        <w:t>n a conspiracy case</w:t>
      </w:r>
      <w:r w:rsidRPr="00621E76">
        <w:rPr>
          <w:rFonts w:asciiTheme="minorHAnsi" w:hAnsiTheme="minorHAnsi"/>
        </w:rPr>
        <w:t xml:space="preserve">, it may be necessary to </w:t>
      </w:r>
      <w:r w:rsidR="00A56ED8" w:rsidRPr="00621E76">
        <w:rPr>
          <w:rFonts w:asciiTheme="minorHAnsi" w:hAnsiTheme="minorHAnsi"/>
        </w:rPr>
        <w:t>make findings about what was done in furtherance of the agreement, even if that includes the commission of other offences, because it is necessary for a sentencing court to have regard to “</w:t>
      </w:r>
      <w:r w:rsidR="00A56ED8" w:rsidRPr="00621E76">
        <w:rPr>
          <w:rFonts w:asciiTheme="minorHAnsi" w:hAnsiTheme="minorHAnsi"/>
          <w:i/>
        </w:rPr>
        <w:t>considerations which advert to the content and duration and reality of the conspiracy</w:t>
      </w:r>
      <w:r w:rsidR="00A56ED8" w:rsidRPr="00621E76">
        <w:rPr>
          <w:rStyle w:val="verdana"/>
          <w:rFonts w:ascii="Calibri" w:hAnsi="Calibri"/>
        </w:rPr>
        <w:t>”</w:t>
      </w:r>
      <w:r w:rsidR="00A56ED8" w:rsidRPr="00621E76">
        <w:rPr>
          <w:rFonts w:asciiTheme="minorHAnsi" w:hAnsiTheme="minorHAnsi"/>
        </w:rPr>
        <w:t>.</w:t>
      </w:r>
      <w:r w:rsidR="00A56ED8" w:rsidRPr="00621E76">
        <w:rPr>
          <w:rStyle w:val="Style"/>
          <w:rFonts w:asciiTheme="minorHAnsi" w:hAnsiTheme="minorHAnsi"/>
        </w:rPr>
        <w:footnoteReference w:id="115"/>
      </w:r>
    </w:p>
    <w:p w14:paraId="18114C60" w14:textId="2A27379F" w:rsidR="002E0062" w:rsidRPr="00621E76" w:rsidRDefault="002E0062" w:rsidP="00EB7F1E">
      <w:pPr>
        <w:pStyle w:val="ListParagraph"/>
        <w:numPr>
          <w:ilvl w:val="1"/>
          <w:numId w:val="36"/>
        </w:numPr>
        <w:spacing w:line="276" w:lineRule="auto"/>
        <w:ind w:left="993" w:right="28" w:hanging="142"/>
        <w:rPr>
          <w:rFonts w:asciiTheme="minorHAnsi" w:hAnsiTheme="minorHAnsi"/>
        </w:rPr>
      </w:pPr>
      <w:r w:rsidRPr="00621E76">
        <w:rPr>
          <w:rFonts w:asciiTheme="minorHAnsi" w:hAnsiTheme="minorHAnsi"/>
        </w:rPr>
        <w:t>The occurrence of other offending may also be relevant in ascertaining the “character” or “antecedents” of the offender (</w:t>
      </w:r>
      <w:r w:rsidRPr="00621E76">
        <w:rPr>
          <w:rFonts w:asciiTheme="minorHAnsi" w:hAnsiTheme="minorHAnsi"/>
          <w:i/>
        </w:rPr>
        <w:t>Crimes Act 1914</w:t>
      </w:r>
      <w:r w:rsidRPr="00621E76">
        <w:rPr>
          <w:rFonts w:asciiTheme="minorHAnsi" w:hAnsiTheme="minorHAnsi"/>
        </w:rPr>
        <w:t>, s 16A(2)(m)),</w:t>
      </w:r>
      <w:r w:rsidRPr="00621E76">
        <w:rPr>
          <w:rStyle w:val="Style"/>
          <w:rFonts w:asciiTheme="minorHAnsi" w:hAnsiTheme="minorHAnsi"/>
        </w:rPr>
        <w:footnoteReference w:id="116"/>
      </w:r>
      <w:r w:rsidRPr="00621E76">
        <w:rPr>
          <w:rFonts w:asciiTheme="minorHAnsi" w:hAnsiTheme="minorHAnsi"/>
        </w:rPr>
        <w:t xml:space="preserve"> or in rebuttal of a submission that that the offender has good prospects of rehabilitation ((</w:t>
      </w:r>
      <w:r w:rsidRPr="00621E76">
        <w:rPr>
          <w:rFonts w:asciiTheme="minorHAnsi" w:hAnsiTheme="minorHAnsi"/>
          <w:i/>
        </w:rPr>
        <w:t>Crimes Act 1914</w:t>
      </w:r>
      <w:r w:rsidRPr="00621E76">
        <w:rPr>
          <w:rFonts w:asciiTheme="minorHAnsi" w:hAnsiTheme="minorHAnsi"/>
        </w:rPr>
        <w:t>, s 16A(2)(n)) or that there is little need for specific deterrence of the offender (</w:t>
      </w:r>
      <w:r w:rsidRPr="00621E76">
        <w:rPr>
          <w:rFonts w:asciiTheme="minorHAnsi" w:hAnsiTheme="minorHAnsi"/>
          <w:i/>
        </w:rPr>
        <w:t>Crimes Act 1914</w:t>
      </w:r>
      <w:r w:rsidRPr="00621E76">
        <w:rPr>
          <w:rFonts w:asciiTheme="minorHAnsi" w:hAnsiTheme="minorHAnsi"/>
        </w:rPr>
        <w:t>,</w:t>
      </w:r>
      <w:r w:rsidRPr="00621E76">
        <w:rPr>
          <w:rFonts w:asciiTheme="minorHAnsi" w:hAnsiTheme="minorHAnsi"/>
          <w:i/>
        </w:rPr>
        <w:t xml:space="preserve"> </w:t>
      </w:r>
      <w:r w:rsidRPr="00621E76">
        <w:rPr>
          <w:rFonts w:asciiTheme="minorHAnsi" w:hAnsiTheme="minorHAnsi"/>
        </w:rPr>
        <w:t>s 16A(2)(j)).</w:t>
      </w:r>
    </w:p>
    <w:p w14:paraId="76C60255" w14:textId="4DFD9536" w:rsidR="00A56ED8" w:rsidRPr="00621E76" w:rsidRDefault="00A56ED8" w:rsidP="00EB7F1E">
      <w:pPr>
        <w:spacing w:line="276" w:lineRule="auto"/>
        <w:ind w:right="170"/>
        <w:rPr>
          <w:rFonts w:asciiTheme="minorHAnsi" w:hAnsiTheme="minorHAnsi"/>
        </w:rPr>
      </w:pPr>
    </w:p>
    <w:p w14:paraId="795D9160" w14:textId="141A5414" w:rsidR="001847DA" w:rsidRPr="00621E76" w:rsidRDefault="00207D6E"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In </w:t>
      </w:r>
      <w:r w:rsidRPr="00621E76">
        <w:rPr>
          <w:rFonts w:asciiTheme="minorHAnsi" w:hAnsiTheme="minorHAnsi"/>
          <w:i/>
        </w:rPr>
        <w:t>De Simoni</w:t>
      </w:r>
      <w:r w:rsidRPr="00621E76">
        <w:rPr>
          <w:rFonts w:asciiTheme="minorHAnsi" w:hAnsiTheme="minorHAnsi"/>
        </w:rPr>
        <w:t>,</w:t>
      </w:r>
      <w:r w:rsidRPr="00621E76">
        <w:rPr>
          <w:rStyle w:val="Style"/>
          <w:rFonts w:asciiTheme="minorHAnsi" w:hAnsiTheme="minorHAnsi"/>
        </w:rPr>
        <w:footnoteReference w:id="117"/>
      </w:r>
      <w:r w:rsidRPr="00621E76">
        <w:rPr>
          <w:rFonts w:asciiTheme="minorHAnsi" w:hAnsiTheme="minorHAnsi"/>
        </w:rPr>
        <w:t xml:space="preserve"> Gibbs CJ (with whom Mason and Murphy JJ concurred) </w:t>
      </w:r>
      <w:r w:rsidR="002E0062" w:rsidRPr="00621E76">
        <w:rPr>
          <w:rFonts w:asciiTheme="minorHAnsi" w:hAnsiTheme="minorHAnsi"/>
        </w:rPr>
        <w:t>reconcil</w:t>
      </w:r>
      <w:r w:rsidRPr="00621E76">
        <w:rPr>
          <w:rFonts w:asciiTheme="minorHAnsi" w:hAnsiTheme="minorHAnsi"/>
        </w:rPr>
        <w:t>ed</w:t>
      </w:r>
      <w:r w:rsidR="002E0062" w:rsidRPr="00621E76">
        <w:rPr>
          <w:rFonts w:asciiTheme="minorHAnsi" w:hAnsiTheme="minorHAnsi"/>
        </w:rPr>
        <w:t xml:space="preserve"> the requirement</w:t>
      </w:r>
      <w:r w:rsidRPr="00621E76">
        <w:rPr>
          <w:rFonts w:asciiTheme="minorHAnsi" w:hAnsiTheme="minorHAnsi"/>
        </w:rPr>
        <w:t xml:space="preserve"> for a sentencing court to consider relevant matters and the requirement not to punish for other offending for which the offender was not </w:t>
      </w:r>
      <w:r w:rsidR="00D45176" w:rsidRPr="00621E76">
        <w:rPr>
          <w:rFonts w:asciiTheme="minorHAnsi" w:hAnsiTheme="minorHAnsi"/>
        </w:rPr>
        <w:t xml:space="preserve">then </w:t>
      </w:r>
      <w:r w:rsidRPr="00621E76">
        <w:rPr>
          <w:rFonts w:asciiTheme="minorHAnsi" w:hAnsiTheme="minorHAnsi"/>
        </w:rPr>
        <w:t xml:space="preserve">to </w:t>
      </w:r>
      <w:r w:rsidR="00D45176" w:rsidRPr="00621E76">
        <w:rPr>
          <w:rFonts w:asciiTheme="minorHAnsi" w:hAnsiTheme="minorHAnsi"/>
        </w:rPr>
        <w:t xml:space="preserve">be </w:t>
      </w:r>
      <w:r w:rsidRPr="00621E76">
        <w:rPr>
          <w:rFonts w:asciiTheme="minorHAnsi" w:hAnsiTheme="minorHAnsi"/>
        </w:rPr>
        <w:t>sentenced as follows:</w:t>
      </w:r>
    </w:p>
    <w:p w14:paraId="4226BD68" w14:textId="15BC96BC" w:rsidR="00A61949" w:rsidRPr="00621E76" w:rsidRDefault="00A61949" w:rsidP="00EB7F1E">
      <w:pPr>
        <w:pStyle w:val="BodyText"/>
        <w:spacing w:line="276" w:lineRule="auto"/>
        <w:ind w:left="720" w:right="170" w:hanging="11"/>
        <w:jc w:val="both"/>
        <w:rPr>
          <w:rFonts w:asciiTheme="minorHAnsi" w:hAnsiTheme="minorHAnsi"/>
          <w:i/>
        </w:rPr>
      </w:pPr>
      <w:r w:rsidRPr="00621E76">
        <w:rPr>
          <w:rFonts w:asciiTheme="minorHAnsi" w:hAnsiTheme="minorHAnsi"/>
          <w:i/>
        </w:rPr>
        <w:t>[T]he general principle that the sentence imposed on an offender should take account of all the circumstances of the offence is subject to a more fundamental and important principle, that no one should be punished for an offence of which he has not been convicted … The combined effect of the two principles, so far as it is relevant for present purposes, is that a judge, in imposing sentence, is entitled to consider all the conduct of the accused, including that which would aggravate the offence, but cannot take into account circumstances of aggravation which would have warranted a conviction for a more serious offence.</w:t>
      </w:r>
    </w:p>
    <w:p w14:paraId="4B813F71" w14:textId="77777777" w:rsidR="001847DA" w:rsidRPr="00621E76" w:rsidRDefault="001847DA" w:rsidP="001847DA">
      <w:pPr>
        <w:spacing w:line="276" w:lineRule="auto"/>
        <w:ind w:right="170"/>
        <w:rPr>
          <w:rFonts w:asciiTheme="minorHAnsi" w:hAnsiTheme="minorHAnsi"/>
        </w:rPr>
      </w:pPr>
    </w:p>
    <w:p w14:paraId="491E5E1F" w14:textId="70EDF716" w:rsidR="000F040B" w:rsidRPr="00621E76" w:rsidRDefault="00207D6E"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That is, </w:t>
      </w:r>
      <w:r w:rsidR="00EA3052" w:rsidRPr="00621E76">
        <w:rPr>
          <w:rFonts w:asciiTheme="minorHAnsi" w:hAnsiTheme="minorHAnsi"/>
          <w:i/>
        </w:rPr>
        <w:t>De Simoni</w:t>
      </w:r>
      <w:r w:rsidR="00EA3052" w:rsidRPr="00621E76">
        <w:rPr>
          <w:rFonts w:asciiTheme="minorHAnsi" w:hAnsiTheme="minorHAnsi"/>
        </w:rPr>
        <w:t xml:space="preserve"> recogn</w:t>
      </w:r>
      <w:r w:rsidR="00B86888" w:rsidRPr="00621E76">
        <w:rPr>
          <w:rFonts w:asciiTheme="minorHAnsi" w:hAnsiTheme="minorHAnsi"/>
        </w:rPr>
        <w:t>ises</w:t>
      </w:r>
      <w:r w:rsidRPr="00621E76">
        <w:rPr>
          <w:rFonts w:asciiTheme="minorHAnsi" w:hAnsiTheme="minorHAnsi"/>
        </w:rPr>
        <w:t xml:space="preserve"> that</w:t>
      </w:r>
      <w:r w:rsidR="00EA3052" w:rsidRPr="00621E76">
        <w:rPr>
          <w:rFonts w:asciiTheme="minorHAnsi" w:hAnsiTheme="minorHAnsi"/>
        </w:rPr>
        <w:t xml:space="preserve"> </w:t>
      </w:r>
      <w:r w:rsidR="00CE5766" w:rsidRPr="00621E76">
        <w:rPr>
          <w:rFonts w:asciiTheme="minorHAnsi" w:hAnsiTheme="minorHAnsi"/>
        </w:rPr>
        <w:t xml:space="preserve">a sentencing court may </w:t>
      </w:r>
      <w:r w:rsidR="00C4077D" w:rsidRPr="00621E76">
        <w:rPr>
          <w:rFonts w:asciiTheme="minorHAnsi" w:hAnsiTheme="minorHAnsi"/>
        </w:rPr>
        <w:t xml:space="preserve">properly have </w:t>
      </w:r>
      <w:r w:rsidR="00143158" w:rsidRPr="00621E76">
        <w:rPr>
          <w:rFonts w:asciiTheme="minorHAnsi" w:hAnsiTheme="minorHAnsi"/>
        </w:rPr>
        <w:t>regard to other offending</w:t>
      </w:r>
      <w:r w:rsidR="001847DA" w:rsidRPr="00621E76">
        <w:rPr>
          <w:rFonts w:asciiTheme="minorHAnsi" w:hAnsiTheme="minorHAnsi"/>
        </w:rPr>
        <w:t xml:space="preserve"> i</w:t>
      </w:r>
      <w:r w:rsidR="00C4077D" w:rsidRPr="00621E76">
        <w:rPr>
          <w:rFonts w:asciiTheme="minorHAnsi" w:hAnsiTheme="minorHAnsi"/>
        </w:rPr>
        <w:t xml:space="preserve">f it is relevant to sentencing. </w:t>
      </w:r>
      <w:r w:rsidRPr="00621E76">
        <w:rPr>
          <w:rFonts w:asciiTheme="minorHAnsi" w:hAnsiTheme="minorHAnsi"/>
        </w:rPr>
        <w:t xml:space="preserve"> </w:t>
      </w:r>
      <w:r w:rsidR="000F040B" w:rsidRPr="00621E76">
        <w:rPr>
          <w:rFonts w:asciiTheme="minorHAnsi" w:hAnsiTheme="minorHAnsi"/>
        </w:rPr>
        <w:t>But t</w:t>
      </w:r>
      <w:r w:rsidR="00C4077D" w:rsidRPr="00621E76">
        <w:rPr>
          <w:rFonts w:asciiTheme="minorHAnsi" w:hAnsiTheme="minorHAnsi"/>
        </w:rPr>
        <w:t xml:space="preserve">he </w:t>
      </w:r>
      <w:r w:rsidR="00D45176" w:rsidRPr="00621E76">
        <w:rPr>
          <w:rFonts w:asciiTheme="minorHAnsi" w:hAnsiTheme="minorHAnsi"/>
        </w:rPr>
        <w:t xml:space="preserve">court </w:t>
      </w:r>
      <w:r w:rsidR="00C4077D" w:rsidRPr="00621E76">
        <w:rPr>
          <w:rFonts w:asciiTheme="minorHAnsi" w:hAnsiTheme="minorHAnsi"/>
        </w:rPr>
        <w:t>must not</w:t>
      </w:r>
      <w:r w:rsidR="00D45176" w:rsidRPr="00621E76">
        <w:rPr>
          <w:rFonts w:asciiTheme="minorHAnsi" w:hAnsiTheme="minorHAnsi"/>
        </w:rPr>
        <w:t xml:space="preserve"> not </w:t>
      </w:r>
      <w:r w:rsidR="00833EC5" w:rsidRPr="00621E76">
        <w:rPr>
          <w:rFonts w:asciiTheme="minorHAnsi" w:hAnsiTheme="minorHAnsi"/>
        </w:rPr>
        <w:t>“</w:t>
      </w:r>
      <w:r w:rsidR="00D45176" w:rsidRPr="00621E76">
        <w:rPr>
          <w:rFonts w:asciiTheme="minorHAnsi" w:hAnsiTheme="minorHAnsi"/>
          <w:i/>
        </w:rPr>
        <w:t>take into account circumstances of aggravation which would have warranted a conviction for a more serious offence</w:t>
      </w:r>
      <w:r w:rsidR="00D45176" w:rsidRPr="00621E76">
        <w:rPr>
          <w:rFonts w:asciiTheme="minorHAnsi" w:hAnsiTheme="minorHAnsi"/>
        </w:rPr>
        <w:t>”.</w:t>
      </w:r>
      <w:r w:rsidR="00611AEE" w:rsidRPr="00621E76">
        <w:rPr>
          <w:rStyle w:val="Style"/>
          <w:rFonts w:asciiTheme="minorHAnsi" w:hAnsiTheme="minorHAnsi"/>
        </w:rPr>
        <w:footnoteReference w:id="118"/>
      </w:r>
      <w:r w:rsidR="00DC246C" w:rsidRPr="00621E76">
        <w:rPr>
          <w:rFonts w:asciiTheme="minorHAnsi" w:hAnsiTheme="minorHAnsi"/>
        </w:rPr>
        <w:t xml:space="preserve">  So, for example, a court sentencing an offender for an offence of attempted possession of prohibited drugs must not sentence the offender </w:t>
      </w:r>
      <w:r w:rsidR="00AD5C29" w:rsidRPr="00621E76">
        <w:rPr>
          <w:rFonts w:asciiTheme="minorHAnsi" w:hAnsiTheme="minorHAnsi"/>
        </w:rPr>
        <w:t xml:space="preserve">as if the offender were also party to the importation of the drugs, if the offender is not also charged with </w:t>
      </w:r>
      <w:r w:rsidR="006126B3" w:rsidRPr="00621E76">
        <w:rPr>
          <w:rFonts w:asciiTheme="minorHAnsi" w:hAnsiTheme="minorHAnsi"/>
        </w:rPr>
        <w:t xml:space="preserve">and being sentenced for </w:t>
      </w:r>
      <w:r w:rsidR="00AD5C29" w:rsidRPr="00621E76">
        <w:rPr>
          <w:rFonts w:asciiTheme="minorHAnsi" w:hAnsiTheme="minorHAnsi"/>
        </w:rPr>
        <w:t>that offence.</w:t>
      </w:r>
      <w:r w:rsidR="00AD5C29" w:rsidRPr="00621E76">
        <w:rPr>
          <w:rStyle w:val="Style"/>
          <w:rFonts w:asciiTheme="minorHAnsi" w:hAnsiTheme="minorHAnsi"/>
        </w:rPr>
        <w:footnoteReference w:id="119"/>
      </w:r>
    </w:p>
    <w:p w14:paraId="4F3B8EEC" w14:textId="77777777" w:rsidR="0052681B" w:rsidRPr="00621E76" w:rsidRDefault="0052681B" w:rsidP="00EB7F1E">
      <w:pPr>
        <w:pStyle w:val="ListParagraph"/>
        <w:rPr>
          <w:rFonts w:asciiTheme="minorHAnsi" w:hAnsiTheme="minorHAnsi"/>
        </w:rPr>
      </w:pPr>
    </w:p>
    <w:p w14:paraId="6F86C6DC" w14:textId="742CEA6B" w:rsidR="00FD6E69" w:rsidRPr="00621E76" w:rsidRDefault="00C4077D"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The </w:t>
      </w:r>
      <w:r w:rsidRPr="00621E76">
        <w:rPr>
          <w:rFonts w:asciiTheme="minorHAnsi" w:hAnsiTheme="minorHAnsi"/>
          <w:i/>
        </w:rPr>
        <w:t>De Simoni</w:t>
      </w:r>
      <w:r w:rsidRPr="00621E76">
        <w:rPr>
          <w:rFonts w:asciiTheme="minorHAnsi" w:hAnsiTheme="minorHAnsi"/>
        </w:rPr>
        <w:t xml:space="preserve"> principle does not prevent a sentencing court from treating as an aggravating circumstance facts that </w:t>
      </w:r>
      <w:r w:rsidR="000F040B" w:rsidRPr="00621E76">
        <w:rPr>
          <w:rFonts w:asciiTheme="minorHAnsi" w:hAnsiTheme="minorHAnsi"/>
        </w:rPr>
        <w:t>constitute a lesser offence than the instant offence.</w:t>
      </w:r>
      <w:r w:rsidR="00E024C4" w:rsidRPr="00621E76">
        <w:rPr>
          <w:rStyle w:val="Style"/>
          <w:rFonts w:asciiTheme="minorHAnsi" w:hAnsiTheme="minorHAnsi"/>
        </w:rPr>
        <w:footnoteReference w:id="120"/>
      </w:r>
    </w:p>
    <w:p w14:paraId="09654CD3" w14:textId="77777777" w:rsidR="00FD6E69" w:rsidRPr="00621E76" w:rsidRDefault="00FD6E69" w:rsidP="00FD6E69">
      <w:pPr>
        <w:pStyle w:val="ListParagraph"/>
        <w:rPr>
          <w:rFonts w:asciiTheme="minorHAnsi" w:hAnsiTheme="minorHAnsi"/>
        </w:rPr>
      </w:pPr>
    </w:p>
    <w:p w14:paraId="062427D6" w14:textId="366FA80E" w:rsidR="00CF3B30" w:rsidRPr="00621E76" w:rsidRDefault="0052681B">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Nor does the </w:t>
      </w:r>
      <w:r w:rsidRPr="00621E76">
        <w:rPr>
          <w:rFonts w:asciiTheme="minorHAnsi" w:hAnsiTheme="minorHAnsi"/>
          <w:i/>
        </w:rPr>
        <w:t>De Simoni</w:t>
      </w:r>
      <w:r w:rsidRPr="00621E76">
        <w:rPr>
          <w:rFonts w:asciiTheme="minorHAnsi" w:hAnsiTheme="minorHAnsi"/>
        </w:rPr>
        <w:t xml:space="preserve"> principle preclude a </w:t>
      </w:r>
      <w:r w:rsidR="00861E1B" w:rsidRPr="00621E76">
        <w:rPr>
          <w:rFonts w:asciiTheme="minorHAnsi" w:hAnsiTheme="minorHAnsi"/>
        </w:rPr>
        <w:t xml:space="preserve">court </w:t>
      </w:r>
      <w:r w:rsidRPr="00621E76">
        <w:rPr>
          <w:rFonts w:asciiTheme="minorHAnsi" w:hAnsiTheme="minorHAnsi"/>
        </w:rPr>
        <w:t>sentencing</w:t>
      </w:r>
      <w:r w:rsidR="00861E1B" w:rsidRPr="00621E76">
        <w:rPr>
          <w:rFonts w:asciiTheme="minorHAnsi" w:hAnsiTheme="minorHAnsi"/>
        </w:rPr>
        <w:t xml:space="preserve"> a federal offender</w:t>
      </w:r>
      <w:r w:rsidRPr="00621E76">
        <w:rPr>
          <w:rFonts w:asciiTheme="minorHAnsi" w:hAnsiTheme="minorHAnsi"/>
        </w:rPr>
        <w:t xml:space="preserve"> from </w:t>
      </w:r>
      <w:r w:rsidR="00DC246C" w:rsidRPr="00621E76">
        <w:rPr>
          <w:rFonts w:asciiTheme="minorHAnsi" w:hAnsiTheme="minorHAnsi"/>
        </w:rPr>
        <w:t xml:space="preserve">doing no more than </w:t>
      </w:r>
      <w:r w:rsidRPr="00621E76">
        <w:rPr>
          <w:rFonts w:asciiTheme="minorHAnsi" w:hAnsiTheme="minorHAnsi"/>
        </w:rPr>
        <w:t>taking other criminal conduct into account in negativing matters relied upon by the offender in mitigation</w:t>
      </w:r>
      <w:r w:rsidR="00861E1B" w:rsidRPr="00621E76">
        <w:rPr>
          <w:rStyle w:val="Style"/>
          <w:rFonts w:asciiTheme="minorHAnsi" w:hAnsiTheme="minorHAnsi"/>
        </w:rPr>
        <w:footnoteReference w:id="121"/>
      </w:r>
      <w:r w:rsidR="00DC246C" w:rsidRPr="00621E76">
        <w:rPr>
          <w:rFonts w:asciiTheme="minorHAnsi" w:hAnsiTheme="minorHAnsi"/>
        </w:rPr>
        <w:t xml:space="preserve"> or in determining the duration and nature of the offender</w:t>
      </w:r>
      <w:r w:rsidR="00AA693C" w:rsidRPr="00621E76">
        <w:rPr>
          <w:rFonts w:asciiTheme="minorHAnsi" w:hAnsiTheme="minorHAnsi"/>
        </w:rPr>
        <w:t>’</w:t>
      </w:r>
      <w:r w:rsidR="00DC246C" w:rsidRPr="00621E76">
        <w:rPr>
          <w:rFonts w:asciiTheme="minorHAnsi" w:hAnsiTheme="minorHAnsi"/>
        </w:rPr>
        <w:t>s involvement in the instant offence.</w:t>
      </w:r>
      <w:r w:rsidR="00DC246C" w:rsidRPr="00621E76">
        <w:rPr>
          <w:rStyle w:val="Style"/>
          <w:rFonts w:asciiTheme="minorHAnsi" w:hAnsiTheme="minorHAnsi"/>
        </w:rPr>
        <w:footnoteReference w:id="122"/>
      </w:r>
    </w:p>
    <w:p w14:paraId="467A4E72" w14:textId="77777777" w:rsidR="00CF3B30" w:rsidRPr="00621E76" w:rsidRDefault="00CF3B30" w:rsidP="00EB7F1E">
      <w:pPr>
        <w:pStyle w:val="ListParagraph"/>
        <w:rPr>
          <w:rFonts w:asciiTheme="minorHAnsi" w:hAnsiTheme="minorHAnsi"/>
        </w:rPr>
      </w:pPr>
    </w:p>
    <w:p w14:paraId="18A266D7" w14:textId="01F74524" w:rsidR="0052681B" w:rsidRPr="00621E76" w:rsidRDefault="00F6267F"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The crucial point is that the sentencing court must not lose the focus on the precise offence charged.</w:t>
      </w:r>
      <w:r w:rsidR="0076260C" w:rsidRPr="00621E76">
        <w:rPr>
          <w:rStyle w:val="Style"/>
          <w:rFonts w:asciiTheme="minorHAnsi" w:hAnsiTheme="minorHAnsi"/>
        </w:rPr>
        <w:footnoteReference w:id="123"/>
      </w:r>
    </w:p>
    <w:p w14:paraId="2950166E" w14:textId="77777777" w:rsidR="0052681B" w:rsidRPr="00621E76" w:rsidRDefault="0052681B" w:rsidP="0052681B">
      <w:pPr>
        <w:pStyle w:val="ListParagraph"/>
        <w:rPr>
          <w:rFonts w:asciiTheme="minorHAnsi" w:hAnsiTheme="minorHAnsi"/>
        </w:rPr>
      </w:pPr>
    </w:p>
    <w:p w14:paraId="60EA2171" w14:textId="0FD52469" w:rsidR="002E0062" w:rsidRPr="00621E76" w:rsidRDefault="000F040B" w:rsidP="00EB7F1E">
      <w:pPr>
        <w:pStyle w:val="ListParagraph"/>
        <w:numPr>
          <w:ilvl w:val="0"/>
          <w:numId w:val="7"/>
        </w:numPr>
        <w:spacing w:line="276" w:lineRule="auto"/>
        <w:ind w:left="425" w:hanging="425"/>
        <w:contextualSpacing w:val="0"/>
        <w:rPr>
          <w:rFonts w:asciiTheme="minorHAnsi" w:hAnsiTheme="minorHAnsi"/>
        </w:rPr>
      </w:pPr>
      <w:r w:rsidRPr="00621E76">
        <w:rPr>
          <w:rFonts w:asciiTheme="minorHAnsi" w:hAnsiTheme="minorHAnsi"/>
        </w:rPr>
        <w:t xml:space="preserve">A statutory procedure by which </w:t>
      </w:r>
      <w:r w:rsidRPr="00621E76">
        <w:rPr>
          <w:rFonts w:asciiTheme="minorHAnsi" w:hAnsiTheme="minorHAnsi" w:cstheme="minorHAnsi"/>
        </w:rPr>
        <w:t xml:space="preserve">one or more federal </w:t>
      </w:r>
      <w:r w:rsidRPr="00621E76">
        <w:rPr>
          <w:rFonts w:asciiTheme="minorHAnsi" w:hAnsiTheme="minorHAnsi"/>
        </w:rPr>
        <w:t>offences</w:t>
      </w:r>
      <w:r w:rsidRPr="00621E76">
        <w:rPr>
          <w:rFonts w:asciiTheme="minorHAnsi" w:hAnsiTheme="minorHAnsi" w:cstheme="minorHAnsi"/>
        </w:rPr>
        <w:t xml:space="preserve"> may be taken into account in sentencing a federal offende</w:t>
      </w:r>
      <w:r w:rsidRPr="00621E76">
        <w:rPr>
          <w:rFonts w:asciiTheme="minorHAnsi" w:hAnsiTheme="minorHAnsi"/>
        </w:rPr>
        <w:t xml:space="preserve">r </w:t>
      </w:r>
      <w:r w:rsidR="002E0062" w:rsidRPr="00621E76">
        <w:rPr>
          <w:rFonts w:asciiTheme="minorHAnsi" w:hAnsiTheme="minorHAnsi"/>
        </w:rPr>
        <w:t>(on the basis of an admission by the offender)</w:t>
      </w:r>
      <w:r w:rsidRPr="00621E76">
        <w:rPr>
          <w:rFonts w:asciiTheme="minorHAnsi" w:hAnsiTheme="minorHAnsi"/>
        </w:rPr>
        <w:t xml:space="preserve"> is provided for by s 16BA of the </w:t>
      </w:r>
      <w:r w:rsidRPr="00621E76">
        <w:rPr>
          <w:rFonts w:asciiTheme="minorHAnsi" w:hAnsiTheme="minorHAnsi"/>
          <w:i/>
        </w:rPr>
        <w:t>Crimes Act 1914</w:t>
      </w:r>
      <w:r w:rsidRPr="00621E76">
        <w:rPr>
          <w:rFonts w:asciiTheme="minorHAnsi" w:hAnsiTheme="minorHAnsi"/>
        </w:rPr>
        <w:t xml:space="preserve"> (Cth).</w:t>
      </w:r>
      <w:r w:rsidR="002E0062" w:rsidRPr="00621E76">
        <w:rPr>
          <w:rStyle w:val="Style"/>
          <w:rFonts w:asciiTheme="minorHAnsi" w:hAnsiTheme="minorHAnsi"/>
        </w:rPr>
        <w:footnoteReference w:id="124"/>
      </w:r>
      <w:r w:rsidR="002E0062" w:rsidRPr="00621E76">
        <w:rPr>
          <w:rFonts w:asciiTheme="minorHAnsi" w:hAnsiTheme="minorHAnsi"/>
        </w:rPr>
        <w:t xml:space="preserve">  Taking into account other offences is </w:t>
      </w:r>
      <w:r w:rsidR="007F0D7C" w:rsidRPr="00621E76">
        <w:rPr>
          <w:rFonts w:asciiTheme="minorHAnsi" w:hAnsiTheme="minorHAnsi"/>
        </w:rPr>
        <w:t xml:space="preserve">also </w:t>
      </w:r>
      <w:r w:rsidR="002E0062" w:rsidRPr="00621E76">
        <w:rPr>
          <w:rFonts w:asciiTheme="minorHAnsi" w:hAnsiTheme="minorHAnsi"/>
        </w:rPr>
        <w:t xml:space="preserve">specifically contemplated by s 16A(2)(b) of the </w:t>
      </w:r>
      <w:r w:rsidR="002E0062" w:rsidRPr="00621E76">
        <w:rPr>
          <w:rFonts w:asciiTheme="minorHAnsi" w:hAnsiTheme="minorHAnsi"/>
          <w:i/>
        </w:rPr>
        <w:t>Crimes Act 1914</w:t>
      </w:r>
      <w:r w:rsidR="002E0062" w:rsidRPr="00621E76">
        <w:rPr>
          <w:rFonts w:asciiTheme="minorHAnsi" w:hAnsiTheme="minorHAnsi"/>
        </w:rPr>
        <w:t xml:space="preserve"> (Cth)</w:t>
      </w:r>
      <w:r w:rsidR="00051A41" w:rsidRPr="00621E76">
        <w:rPr>
          <w:rFonts w:asciiTheme="minorHAnsi" w:hAnsiTheme="minorHAnsi"/>
        </w:rPr>
        <w:t>.</w:t>
      </w:r>
      <w:r w:rsidR="00051A41" w:rsidRPr="00621E76">
        <w:rPr>
          <w:rStyle w:val="Style"/>
          <w:rFonts w:asciiTheme="minorHAnsi" w:hAnsiTheme="minorHAnsi"/>
        </w:rPr>
        <w:footnoteReference w:id="125"/>
      </w:r>
      <w:r w:rsidR="002E0062" w:rsidRPr="00621E76">
        <w:rPr>
          <w:rFonts w:asciiTheme="minorHAnsi" w:hAnsiTheme="minorHAnsi"/>
        </w:rPr>
        <w:t xml:space="preserve"> </w:t>
      </w:r>
      <w:r w:rsidR="00051A41" w:rsidRPr="00621E76">
        <w:rPr>
          <w:rFonts w:asciiTheme="minorHAnsi" w:hAnsiTheme="minorHAnsi"/>
        </w:rPr>
        <w:t xml:space="preserve"> </w:t>
      </w:r>
      <w:r w:rsidR="002E0062" w:rsidRPr="00621E76">
        <w:rPr>
          <w:rFonts w:asciiTheme="minorHAnsi" w:hAnsiTheme="minorHAnsi"/>
        </w:rPr>
        <w:t>The imposition of a more severe sentence as a result of taking another offence into account</w:t>
      </w:r>
      <w:r w:rsidR="00E024C4" w:rsidRPr="00621E76">
        <w:rPr>
          <w:rFonts w:asciiTheme="minorHAnsi" w:hAnsiTheme="minorHAnsi"/>
        </w:rPr>
        <w:t xml:space="preserve"> pursuant to statutory authority</w:t>
      </w:r>
      <w:r w:rsidR="002E0062" w:rsidRPr="00621E76">
        <w:rPr>
          <w:rFonts w:asciiTheme="minorHAnsi" w:hAnsiTheme="minorHAnsi"/>
        </w:rPr>
        <w:t xml:space="preserve"> does not inherently infringe the </w:t>
      </w:r>
      <w:r w:rsidR="002E0062" w:rsidRPr="00621E76">
        <w:rPr>
          <w:rFonts w:asciiTheme="minorHAnsi" w:hAnsiTheme="minorHAnsi"/>
          <w:i/>
        </w:rPr>
        <w:t>De Simoni</w:t>
      </w:r>
      <w:r w:rsidR="002E0062" w:rsidRPr="00621E76">
        <w:rPr>
          <w:rFonts w:asciiTheme="minorHAnsi" w:hAnsiTheme="minorHAnsi"/>
        </w:rPr>
        <w:t xml:space="preserve"> principle.</w:t>
      </w:r>
      <w:r w:rsidR="002E0062" w:rsidRPr="00621E76">
        <w:rPr>
          <w:rStyle w:val="Style"/>
          <w:rFonts w:asciiTheme="minorHAnsi" w:hAnsiTheme="minorHAnsi"/>
        </w:rPr>
        <w:footnoteReference w:id="126"/>
      </w:r>
    </w:p>
    <w:p w14:paraId="1111E3F0" w14:textId="77777777" w:rsidR="002E0062" w:rsidRPr="00FD6E69" w:rsidRDefault="002E0062" w:rsidP="002E0062">
      <w:pPr>
        <w:pStyle w:val="ListParagraph"/>
        <w:rPr>
          <w:rFonts w:asciiTheme="minorHAnsi" w:hAnsiTheme="minorHAnsi"/>
        </w:rPr>
      </w:pPr>
    </w:p>
    <w:p w14:paraId="5FD53D7D" w14:textId="67A992E9" w:rsidR="00327AD1" w:rsidRPr="008D6EEA" w:rsidRDefault="00327AD1" w:rsidP="003E7B85">
      <w:pPr>
        <w:pStyle w:val="Heading3"/>
      </w:pPr>
      <w:bookmarkStart w:id="980" w:name="_Toc10198245"/>
      <w:bookmarkStart w:id="981" w:name="_Toc10384465"/>
      <w:bookmarkStart w:id="982" w:name="_Toc10458583"/>
      <w:bookmarkStart w:id="983" w:name="_Toc10559499"/>
      <w:bookmarkStart w:id="984" w:name="_Toc10640644"/>
      <w:bookmarkStart w:id="985" w:name="_Toc10718552"/>
      <w:bookmarkStart w:id="986" w:name="_Toc10889278"/>
      <w:bookmarkStart w:id="987" w:name="_Toc10890719"/>
      <w:bookmarkStart w:id="988" w:name="_Toc11078675"/>
      <w:bookmarkStart w:id="989" w:name="_Toc11086939"/>
      <w:bookmarkStart w:id="990" w:name="_Toc11087316"/>
      <w:bookmarkStart w:id="991" w:name="_Toc11240014"/>
      <w:bookmarkStart w:id="992" w:name="_Toc11405378"/>
      <w:bookmarkStart w:id="993" w:name="_Toc11407155"/>
      <w:bookmarkStart w:id="994" w:name="_Toc11485744"/>
      <w:bookmarkStart w:id="995" w:name="_Toc11583271"/>
      <w:bookmarkStart w:id="996" w:name="_Toc11692669"/>
      <w:bookmarkStart w:id="997" w:name="_Toc11773175"/>
      <w:bookmarkStart w:id="998" w:name="_Toc11826977"/>
      <w:bookmarkStart w:id="999" w:name="_Toc11833685"/>
      <w:bookmarkStart w:id="1000" w:name="_Toc11848080"/>
      <w:bookmarkStart w:id="1001" w:name="_Toc11851737"/>
      <w:bookmarkStart w:id="1002" w:name="_Toc12608570"/>
      <w:bookmarkStart w:id="1003" w:name="_Toc12706525"/>
      <w:bookmarkStart w:id="1004" w:name="_Toc12860461"/>
      <w:bookmarkStart w:id="1005" w:name="_Toc12862030"/>
      <w:bookmarkStart w:id="1006" w:name="_Toc12864076"/>
      <w:bookmarkStart w:id="1007" w:name="_Toc13551625"/>
      <w:bookmarkStart w:id="1008" w:name="_Toc13737402"/>
      <w:bookmarkStart w:id="1009" w:name="_Toc13737817"/>
      <w:bookmarkStart w:id="1010" w:name="_Toc25308375"/>
      <w:bookmarkStart w:id="1011" w:name="_Toc10198246"/>
      <w:bookmarkStart w:id="1012" w:name="_Toc10384466"/>
      <w:bookmarkStart w:id="1013" w:name="_Toc10458584"/>
      <w:bookmarkStart w:id="1014" w:name="_Toc10559500"/>
      <w:bookmarkStart w:id="1015" w:name="_Toc10640645"/>
      <w:bookmarkStart w:id="1016" w:name="_Toc10718553"/>
      <w:bookmarkStart w:id="1017" w:name="_Toc10889279"/>
      <w:bookmarkStart w:id="1018" w:name="_Toc10890720"/>
      <w:bookmarkStart w:id="1019" w:name="_Toc11078676"/>
      <w:bookmarkStart w:id="1020" w:name="_Toc11086940"/>
      <w:bookmarkStart w:id="1021" w:name="_Toc11087317"/>
      <w:bookmarkStart w:id="1022" w:name="_Toc11240015"/>
      <w:bookmarkStart w:id="1023" w:name="_Toc11405379"/>
      <w:bookmarkStart w:id="1024" w:name="_Toc11407156"/>
      <w:bookmarkStart w:id="1025" w:name="_Toc11485745"/>
      <w:bookmarkStart w:id="1026" w:name="_Toc11583272"/>
      <w:bookmarkStart w:id="1027" w:name="_Toc11692670"/>
      <w:bookmarkStart w:id="1028" w:name="_Toc11773176"/>
      <w:bookmarkStart w:id="1029" w:name="_Toc11826978"/>
      <w:bookmarkStart w:id="1030" w:name="_Toc11833686"/>
      <w:bookmarkStart w:id="1031" w:name="_Toc11848081"/>
      <w:bookmarkStart w:id="1032" w:name="_Toc11851738"/>
      <w:bookmarkStart w:id="1033" w:name="_Toc12608571"/>
      <w:bookmarkStart w:id="1034" w:name="_Toc12706526"/>
      <w:bookmarkStart w:id="1035" w:name="_Toc12860462"/>
      <w:bookmarkStart w:id="1036" w:name="_Toc12862031"/>
      <w:bookmarkStart w:id="1037" w:name="_Toc12864077"/>
      <w:bookmarkStart w:id="1038" w:name="_Toc13551626"/>
      <w:bookmarkStart w:id="1039" w:name="_Toc13737403"/>
      <w:bookmarkStart w:id="1040" w:name="_Toc13737818"/>
      <w:bookmarkStart w:id="1041" w:name="_Toc25308376"/>
      <w:bookmarkStart w:id="1042" w:name="_Ref492798349"/>
      <w:bookmarkStart w:id="1043" w:name="_Ref492798352"/>
      <w:bookmarkStart w:id="1044" w:name="_Toc33602766"/>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r w:rsidRPr="008D6EEA">
        <w:t>Hearsay assertions about an offender</w:t>
      </w:r>
      <w:r w:rsidR="00AA693C">
        <w:t>’</w:t>
      </w:r>
      <w:r w:rsidRPr="008D6EEA">
        <w:t>s state of mind</w:t>
      </w:r>
      <w:bookmarkEnd w:id="1042"/>
      <w:bookmarkEnd w:id="1043"/>
      <w:bookmarkEnd w:id="1044"/>
    </w:p>
    <w:p w14:paraId="0AF50A35" w14:textId="44B3AD3A" w:rsidR="00327AD1" w:rsidRDefault="00327AD1" w:rsidP="003E7B85">
      <w:pPr>
        <w:keepNext/>
        <w:spacing w:line="276" w:lineRule="auto"/>
        <w:ind w:left="567" w:right="170" w:hanging="567"/>
        <w:jc w:val="both"/>
        <w:rPr>
          <w:rFonts w:asciiTheme="minorHAnsi" w:hAnsiTheme="minorHAnsi"/>
        </w:rPr>
      </w:pPr>
    </w:p>
    <w:p w14:paraId="3C096183" w14:textId="67D781EC" w:rsidR="00327AD1" w:rsidRDefault="00327AD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Although sentencing court</w:t>
      </w:r>
      <w:r w:rsidR="001D7E4A">
        <w:rPr>
          <w:rFonts w:asciiTheme="minorHAnsi" w:hAnsiTheme="minorHAnsi"/>
        </w:rPr>
        <w:t>s</w:t>
      </w:r>
      <w:r>
        <w:rPr>
          <w:rFonts w:asciiTheme="minorHAnsi" w:hAnsiTheme="minorHAnsi"/>
        </w:rPr>
        <w:t xml:space="preserve"> are </w:t>
      </w:r>
      <w:r w:rsidR="00B20910">
        <w:rPr>
          <w:rFonts w:asciiTheme="minorHAnsi" w:hAnsiTheme="minorHAnsi"/>
        </w:rPr>
        <w:t xml:space="preserve">usually </w:t>
      </w:r>
      <w:r>
        <w:rPr>
          <w:rFonts w:asciiTheme="minorHAnsi" w:hAnsiTheme="minorHAnsi"/>
        </w:rPr>
        <w:t>not bound by the rules of evidence,</w:t>
      </w:r>
      <w:r w:rsidR="00B116CE" w:rsidRPr="00C00000">
        <w:rPr>
          <w:rStyle w:val="Style"/>
          <w:rFonts w:asciiTheme="minorHAnsi" w:hAnsiTheme="minorHAnsi"/>
        </w:rPr>
        <w:footnoteReference w:id="127"/>
      </w:r>
      <w:r>
        <w:rPr>
          <w:rFonts w:asciiTheme="minorHAnsi" w:hAnsiTheme="minorHAnsi"/>
        </w:rPr>
        <w:t xml:space="preserve"> the practice of </w:t>
      </w:r>
      <w:r w:rsidR="001D7E4A">
        <w:rPr>
          <w:rFonts w:asciiTheme="minorHAnsi" w:hAnsiTheme="minorHAnsi"/>
        </w:rPr>
        <w:t xml:space="preserve">offenders relying </w:t>
      </w:r>
      <w:r w:rsidR="003E22D6">
        <w:rPr>
          <w:rFonts w:asciiTheme="minorHAnsi" w:hAnsiTheme="minorHAnsi"/>
        </w:rPr>
        <w:t xml:space="preserve">on </w:t>
      </w:r>
      <w:r w:rsidR="00267C42">
        <w:rPr>
          <w:rFonts w:asciiTheme="minorHAnsi" w:hAnsiTheme="minorHAnsi"/>
        </w:rPr>
        <w:t xml:space="preserve">a </w:t>
      </w:r>
      <w:r w:rsidR="00FC0AD9">
        <w:rPr>
          <w:rFonts w:asciiTheme="minorHAnsi" w:hAnsiTheme="minorHAnsi"/>
        </w:rPr>
        <w:t>hearsay</w:t>
      </w:r>
      <w:r w:rsidR="00267C42">
        <w:rPr>
          <w:rFonts w:asciiTheme="minorHAnsi" w:hAnsiTheme="minorHAnsi"/>
        </w:rPr>
        <w:t xml:space="preserve"> account</w:t>
      </w:r>
      <w:r w:rsidR="00556FD2">
        <w:rPr>
          <w:rFonts w:asciiTheme="minorHAnsi" w:hAnsiTheme="minorHAnsi"/>
        </w:rPr>
        <w:t xml:space="preserve"> (such as </w:t>
      </w:r>
      <w:r w:rsidR="00072B0B">
        <w:rPr>
          <w:rFonts w:asciiTheme="minorHAnsi" w:hAnsiTheme="minorHAnsi"/>
        </w:rPr>
        <w:t xml:space="preserve">statements recounted </w:t>
      </w:r>
      <w:r w:rsidR="009B3881">
        <w:rPr>
          <w:rFonts w:asciiTheme="minorHAnsi" w:hAnsiTheme="minorHAnsi"/>
        </w:rPr>
        <w:t xml:space="preserve">in </w:t>
      </w:r>
      <w:r w:rsidR="00267C42">
        <w:rPr>
          <w:rFonts w:asciiTheme="minorHAnsi" w:hAnsiTheme="minorHAnsi"/>
        </w:rPr>
        <w:t xml:space="preserve">a </w:t>
      </w:r>
      <w:r w:rsidR="00556FD2">
        <w:rPr>
          <w:rFonts w:asciiTheme="minorHAnsi" w:hAnsiTheme="minorHAnsi"/>
        </w:rPr>
        <w:t xml:space="preserve">report of </w:t>
      </w:r>
      <w:r w:rsidR="00267C42">
        <w:rPr>
          <w:rFonts w:asciiTheme="minorHAnsi" w:hAnsiTheme="minorHAnsi"/>
        </w:rPr>
        <w:t xml:space="preserve">a </w:t>
      </w:r>
      <w:r w:rsidR="00556FD2">
        <w:rPr>
          <w:rFonts w:asciiTheme="minorHAnsi" w:hAnsiTheme="minorHAnsi"/>
        </w:rPr>
        <w:t>psychologist or psychiatrist)</w:t>
      </w:r>
      <w:r w:rsidR="001D7E4A">
        <w:rPr>
          <w:rFonts w:asciiTheme="minorHAnsi" w:hAnsiTheme="minorHAnsi"/>
        </w:rPr>
        <w:t xml:space="preserve"> of their state of mind</w:t>
      </w:r>
      <w:r w:rsidR="00556FD2">
        <w:rPr>
          <w:rFonts w:asciiTheme="minorHAnsi" w:hAnsiTheme="minorHAnsi"/>
        </w:rPr>
        <w:t xml:space="preserve"> on important matters</w:t>
      </w:r>
      <w:r w:rsidR="003E22D6">
        <w:rPr>
          <w:rFonts w:asciiTheme="minorHAnsi" w:hAnsiTheme="minorHAnsi"/>
        </w:rPr>
        <w:t xml:space="preserve"> </w:t>
      </w:r>
      <w:r w:rsidR="009C4F57">
        <w:rPr>
          <w:rFonts w:asciiTheme="minorHAnsi" w:hAnsiTheme="minorHAnsi"/>
        </w:rPr>
        <w:t>(</w:t>
      </w:r>
      <w:r w:rsidR="003E22D6">
        <w:rPr>
          <w:rFonts w:asciiTheme="minorHAnsi" w:hAnsiTheme="minorHAnsi"/>
        </w:rPr>
        <w:t>such as the existence of remorse</w:t>
      </w:r>
      <w:r w:rsidR="009B3881">
        <w:rPr>
          <w:rFonts w:asciiTheme="minorHAnsi" w:hAnsiTheme="minorHAnsi"/>
        </w:rPr>
        <w:t>,</w:t>
      </w:r>
      <w:r w:rsidR="00267C42">
        <w:rPr>
          <w:rFonts w:asciiTheme="minorHAnsi" w:hAnsiTheme="minorHAnsi"/>
        </w:rPr>
        <w:t xml:space="preserve"> or the renunciation of a terrorist ideology</w:t>
      </w:r>
      <w:r w:rsidR="009C4F57">
        <w:rPr>
          <w:rFonts w:asciiTheme="minorHAnsi" w:hAnsiTheme="minorHAnsi"/>
        </w:rPr>
        <w:t>)</w:t>
      </w:r>
      <w:r w:rsidR="001D7E4A" w:rsidRPr="001D7E4A">
        <w:rPr>
          <w:rFonts w:asciiTheme="minorHAnsi" w:hAnsiTheme="minorHAnsi"/>
        </w:rPr>
        <w:t xml:space="preserve"> </w:t>
      </w:r>
      <w:r w:rsidR="001D7E4A">
        <w:rPr>
          <w:rFonts w:asciiTheme="minorHAnsi" w:hAnsiTheme="minorHAnsi"/>
        </w:rPr>
        <w:t xml:space="preserve">has </w:t>
      </w:r>
      <w:r w:rsidR="007960BD">
        <w:rPr>
          <w:rFonts w:asciiTheme="minorHAnsi" w:hAnsiTheme="minorHAnsi"/>
        </w:rPr>
        <w:t xml:space="preserve">frequently </w:t>
      </w:r>
      <w:r w:rsidR="001D7E4A">
        <w:rPr>
          <w:rFonts w:asciiTheme="minorHAnsi" w:hAnsiTheme="minorHAnsi"/>
        </w:rPr>
        <w:t>been deprecated</w:t>
      </w:r>
      <w:r w:rsidR="007960BD">
        <w:rPr>
          <w:rFonts w:asciiTheme="minorHAnsi" w:hAnsiTheme="minorHAnsi"/>
        </w:rPr>
        <w:t>.</w:t>
      </w:r>
      <w:r w:rsidR="007960BD" w:rsidRPr="00C00000">
        <w:rPr>
          <w:rStyle w:val="Style"/>
          <w:rFonts w:asciiTheme="minorHAnsi" w:hAnsiTheme="minorHAnsi"/>
        </w:rPr>
        <w:footnoteReference w:id="128"/>
      </w:r>
      <w:r w:rsidR="001D7E4A">
        <w:rPr>
          <w:rFonts w:asciiTheme="minorHAnsi" w:hAnsiTheme="minorHAnsi"/>
        </w:rPr>
        <w:t xml:space="preserve"> </w:t>
      </w:r>
      <w:r w:rsidR="007960BD">
        <w:rPr>
          <w:rFonts w:asciiTheme="minorHAnsi" w:hAnsiTheme="minorHAnsi"/>
        </w:rPr>
        <w:t xml:space="preserve"> </w:t>
      </w:r>
      <w:r w:rsidR="00B7701E">
        <w:rPr>
          <w:rFonts w:asciiTheme="minorHAnsi" w:hAnsiTheme="minorHAnsi"/>
        </w:rPr>
        <w:t xml:space="preserve">The </w:t>
      </w:r>
      <w:r w:rsidR="00731A5A">
        <w:rPr>
          <w:rFonts w:asciiTheme="minorHAnsi" w:hAnsiTheme="minorHAnsi"/>
        </w:rPr>
        <w:t xml:space="preserve">same criticisms have been made of the </w:t>
      </w:r>
      <w:r w:rsidR="00B7701E">
        <w:rPr>
          <w:rFonts w:asciiTheme="minorHAnsi" w:hAnsiTheme="minorHAnsi"/>
        </w:rPr>
        <w:t xml:space="preserve">practice in relation to </w:t>
      </w:r>
      <w:r w:rsidR="001D7E4A">
        <w:rPr>
          <w:rFonts w:asciiTheme="minorHAnsi" w:hAnsiTheme="minorHAnsi"/>
        </w:rPr>
        <w:t>the sentencing of federal offenders</w:t>
      </w:r>
      <w:r w:rsidR="00B7701E">
        <w:rPr>
          <w:rFonts w:asciiTheme="minorHAnsi" w:hAnsiTheme="minorHAnsi"/>
        </w:rPr>
        <w:t xml:space="preserve">, and </w:t>
      </w:r>
      <w:r w:rsidR="006A7473">
        <w:rPr>
          <w:rFonts w:asciiTheme="minorHAnsi" w:hAnsiTheme="minorHAnsi"/>
        </w:rPr>
        <w:t xml:space="preserve">it has been held that a sentencing judge may </w:t>
      </w:r>
      <w:r w:rsidR="00B7701E">
        <w:rPr>
          <w:rFonts w:asciiTheme="minorHAnsi" w:hAnsiTheme="minorHAnsi"/>
        </w:rPr>
        <w:t>decline to act on such evidence in the absence of sworn evidence from the offender which is subject to cross-examination</w:t>
      </w:r>
      <w:r w:rsidR="001D7E4A">
        <w:rPr>
          <w:rFonts w:asciiTheme="minorHAnsi" w:hAnsiTheme="minorHAnsi"/>
        </w:rPr>
        <w:t>.</w:t>
      </w:r>
      <w:r w:rsidR="00B7701E" w:rsidRPr="00C00000">
        <w:rPr>
          <w:rStyle w:val="Style"/>
          <w:rFonts w:asciiTheme="minorHAnsi" w:hAnsiTheme="minorHAnsi"/>
        </w:rPr>
        <w:footnoteReference w:id="129"/>
      </w:r>
      <w:r w:rsidR="007960BD" w:rsidRPr="007960BD">
        <w:rPr>
          <w:rStyle w:val="NoSpacingChar"/>
          <w:i/>
        </w:rPr>
        <w:t xml:space="preserve"> </w:t>
      </w:r>
    </w:p>
    <w:p w14:paraId="31A12BCF" w14:textId="2B07AD3D" w:rsidR="00327AD1" w:rsidRDefault="00327AD1" w:rsidP="00CE5766">
      <w:pPr>
        <w:spacing w:line="276" w:lineRule="auto"/>
        <w:ind w:left="567" w:right="170" w:hanging="567"/>
        <w:jc w:val="both"/>
        <w:rPr>
          <w:rFonts w:asciiTheme="minorHAnsi" w:hAnsiTheme="minorHAnsi"/>
        </w:rPr>
      </w:pPr>
    </w:p>
    <w:p w14:paraId="3B4C9264" w14:textId="09F02AC8" w:rsidR="007E4CC3" w:rsidRPr="00C00000" w:rsidRDefault="0050349A" w:rsidP="003E7B85">
      <w:pPr>
        <w:pStyle w:val="Heading2"/>
        <w:rPr>
          <w:rStyle w:val="Strong"/>
          <w:b/>
        </w:rPr>
      </w:pPr>
      <w:bookmarkStart w:id="1045" w:name="_Toc11485747"/>
      <w:bookmarkStart w:id="1046" w:name="_Toc11583274"/>
      <w:bookmarkStart w:id="1047" w:name="_Toc11692672"/>
      <w:bookmarkStart w:id="1048" w:name="_Toc11773178"/>
      <w:bookmarkStart w:id="1049" w:name="_Toc11826980"/>
      <w:bookmarkStart w:id="1050" w:name="_Toc11833688"/>
      <w:bookmarkStart w:id="1051" w:name="_Toc11848083"/>
      <w:bookmarkStart w:id="1052" w:name="_Toc11851740"/>
      <w:bookmarkStart w:id="1053" w:name="_Toc12608573"/>
      <w:bookmarkStart w:id="1054" w:name="_Toc12706528"/>
      <w:bookmarkStart w:id="1055" w:name="_Toc12860464"/>
      <w:bookmarkStart w:id="1056" w:name="_Toc12862033"/>
      <w:bookmarkStart w:id="1057" w:name="_Toc12864079"/>
      <w:bookmarkStart w:id="1058" w:name="_Toc13551628"/>
      <w:bookmarkStart w:id="1059" w:name="_Toc13737405"/>
      <w:bookmarkStart w:id="1060" w:name="_Toc13737820"/>
      <w:bookmarkStart w:id="1061" w:name="_Toc25308378"/>
      <w:bookmarkStart w:id="1062" w:name="_Toc33602767"/>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C00000">
        <w:rPr>
          <w:rStyle w:val="Strong"/>
          <w:b/>
        </w:rPr>
        <w:t>“</w:t>
      </w:r>
      <w:r w:rsidR="007E4CC3" w:rsidRPr="00C00000">
        <w:rPr>
          <w:rStyle w:val="Strong"/>
          <w:b/>
        </w:rPr>
        <w:t>Instinctive synthesis</w:t>
      </w:r>
      <w:r w:rsidRPr="00C00000">
        <w:rPr>
          <w:rStyle w:val="Strong"/>
          <w:b/>
        </w:rPr>
        <w:t>” not the “two-stage approach”</w:t>
      </w:r>
      <w:bookmarkEnd w:id="1062"/>
    </w:p>
    <w:p w14:paraId="2F0BC6A4" w14:textId="77777777" w:rsidR="00237608" w:rsidRPr="00C00000" w:rsidRDefault="00237608" w:rsidP="003E7B85">
      <w:pPr>
        <w:pStyle w:val="ListParagraph"/>
        <w:keepNext/>
        <w:spacing w:line="276" w:lineRule="auto"/>
        <w:ind w:left="567" w:right="170" w:hanging="567"/>
        <w:contextualSpacing w:val="0"/>
        <w:rPr>
          <w:rFonts w:asciiTheme="minorHAnsi" w:hAnsiTheme="minorHAnsi"/>
        </w:rPr>
      </w:pPr>
    </w:p>
    <w:p w14:paraId="351D2DF2" w14:textId="162B1893" w:rsidR="00990DFA" w:rsidRDefault="00990DFA"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w:t>
      </w:r>
      <w:r>
        <w:rPr>
          <w:rFonts w:asciiTheme="minorHAnsi" w:hAnsiTheme="minorHAnsi"/>
        </w:rPr>
        <w:t xml:space="preserve">weight of authority is </w:t>
      </w:r>
      <w:r w:rsidRPr="00C00000">
        <w:rPr>
          <w:rFonts w:asciiTheme="minorHAnsi" w:hAnsiTheme="minorHAnsi"/>
        </w:rPr>
        <w:t xml:space="preserve">that the </w:t>
      </w:r>
      <w:r>
        <w:rPr>
          <w:rFonts w:asciiTheme="minorHAnsi" w:hAnsiTheme="minorHAnsi"/>
        </w:rPr>
        <w:t>preferable</w:t>
      </w:r>
      <w:r w:rsidRPr="00C00000">
        <w:rPr>
          <w:rFonts w:asciiTheme="minorHAnsi" w:hAnsiTheme="minorHAnsi"/>
        </w:rPr>
        <w:t xml:space="preserve"> approach to sentencing</w:t>
      </w:r>
      <w:r>
        <w:rPr>
          <w:rFonts w:asciiTheme="minorHAnsi" w:hAnsiTheme="minorHAnsi"/>
        </w:rPr>
        <w:t>, including the sentencing of a federal offender,</w:t>
      </w:r>
      <w:r w:rsidRPr="00C00000">
        <w:rPr>
          <w:rFonts w:asciiTheme="minorHAnsi" w:hAnsiTheme="minorHAnsi"/>
        </w:rPr>
        <w:t xml:space="preserve"> is to consider all the relevant matters and to arrive at an “</w:t>
      </w:r>
      <w:r w:rsidRPr="00C00000">
        <w:rPr>
          <w:rFonts w:asciiTheme="minorHAnsi" w:hAnsiTheme="minorHAnsi"/>
          <w:i/>
        </w:rPr>
        <w:t>instinctive synthesis</w:t>
      </w:r>
      <w:r w:rsidRPr="00C00000">
        <w:rPr>
          <w:rFonts w:asciiTheme="minorHAnsi" w:hAnsiTheme="minorHAnsi"/>
        </w:rPr>
        <w:t>” of them in determining the appropriate sentence.</w:t>
      </w:r>
      <w:r w:rsidRPr="00C00000">
        <w:rPr>
          <w:rStyle w:val="Style"/>
          <w:rFonts w:asciiTheme="minorHAnsi" w:hAnsiTheme="minorHAnsi"/>
        </w:rPr>
        <w:footnoteReference w:id="130"/>
      </w:r>
    </w:p>
    <w:p w14:paraId="7BE566BC" w14:textId="77777777" w:rsidR="00990DFA" w:rsidRPr="00990DFA" w:rsidRDefault="00990DFA" w:rsidP="00990DFA">
      <w:pPr>
        <w:pStyle w:val="ListParagraph"/>
        <w:rPr>
          <w:rFonts w:asciiTheme="minorHAnsi" w:hAnsiTheme="minorHAnsi"/>
        </w:rPr>
      </w:pPr>
    </w:p>
    <w:p w14:paraId="32EE689D" w14:textId="2027244E" w:rsidR="00443150" w:rsidRDefault="00443150" w:rsidP="00EB7F1E">
      <w:pPr>
        <w:pStyle w:val="ListParagraph"/>
        <w:numPr>
          <w:ilvl w:val="0"/>
          <w:numId w:val="7"/>
        </w:numPr>
        <w:spacing w:line="276" w:lineRule="auto"/>
        <w:ind w:left="425" w:hanging="425"/>
        <w:contextualSpacing w:val="0"/>
        <w:rPr>
          <w:rFonts w:asciiTheme="minorHAnsi" w:hAnsiTheme="minorHAnsi"/>
        </w:rPr>
      </w:pPr>
      <w:r w:rsidRPr="00290F71">
        <w:rPr>
          <w:rFonts w:asciiTheme="minorHAnsi" w:hAnsiTheme="minorHAnsi"/>
        </w:rPr>
        <w:t xml:space="preserve">A corollary is that neither the sentence nor the relevant range of sentences can helpfully be determined by singling out one factor as presumptively dictating the starting point. </w:t>
      </w:r>
    </w:p>
    <w:p w14:paraId="7F3028CC" w14:textId="77777777" w:rsidR="00443150" w:rsidRPr="00290F71" w:rsidRDefault="00443150" w:rsidP="00443150">
      <w:pPr>
        <w:pStyle w:val="ListParagraph"/>
        <w:rPr>
          <w:rFonts w:asciiTheme="minorHAnsi" w:hAnsiTheme="minorHAnsi"/>
        </w:rPr>
      </w:pPr>
    </w:p>
    <w:p w14:paraId="71D0416A" w14:textId="2752F8BD" w:rsidR="0053432F" w:rsidRDefault="0053432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The “instinctive synthesis” approach is contrasted with the approach that aims to reduce the sentencing method into stages or component parts or quantifiable elements that can be specified and go to make up the sentence.  This contrasting approach is often referred to as the “two-stage approach”</w:t>
      </w:r>
      <w:r w:rsidR="00F60B7F" w:rsidRPr="00C00000">
        <w:rPr>
          <w:rFonts w:asciiTheme="minorHAnsi" w:hAnsiTheme="minorHAnsi"/>
        </w:rPr>
        <w:t>.</w:t>
      </w:r>
      <w:r w:rsidRPr="00C00000">
        <w:rPr>
          <w:rFonts w:asciiTheme="minorHAnsi" w:hAnsiTheme="minorHAnsi"/>
        </w:rPr>
        <w:t xml:space="preserve"> </w:t>
      </w:r>
      <w:r w:rsidR="0050349A" w:rsidRPr="00C00000">
        <w:rPr>
          <w:rFonts w:asciiTheme="minorHAnsi" w:hAnsiTheme="minorHAnsi"/>
        </w:rPr>
        <w:t xml:space="preserve"> </w:t>
      </w:r>
      <w:r w:rsidRPr="00C00000">
        <w:rPr>
          <w:rFonts w:asciiTheme="minorHAnsi" w:hAnsiTheme="minorHAnsi"/>
        </w:rPr>
        <w:t>An example of a “two-stage approach” would be to consider the “objective” elements to arrive at a sentence and after that modify it by reason of “subjective” elements.</w:t>
      </w:r>
    </w:p>
    <w:p w14:paraId="65BA583E" w14:textId="4924F0B9" w:rsidR="00CE5766" w:rsidRPr="00CE5766" w:rsidRDefault="00CE5766">
      <w:pPr>
        <w:pStyle w:val="ListParagraph"/>
        <w:rPr>
          <w:rFonts w:asciiTheme="minorHAnsi" w:hAnsiTheme="minorHAnsi"/>
        </w:rPr>
      </w:pPr>
    </w:p>
    <w:p w14:paraId="7A76A4E7" w14:textId="112E3D1E" w:rsidR="00290F71" w:rsidRPr="00B55B46" w:rsidRDefault="00342FD5" w:rsidP="00EB7F1E">
      <w:pPr>
        <w:pStyle w:val="ListParagraph"/>
        <w:numPr>
          <w:ilvl w:val="0"/>
          <w:numId w:val="7"/>
        </w:numPr>
        <w:spacing w:line="276" w:lineRule="auto"/>
        <w:ind w:left="425" w:hanging="425"/>
        <w:contextualSpacing w:val="0"/>
        <w:rPr>
          <w:rFonts w:asciiTheme="minorHAnsi" w:hAnsiTheme="minorHAnsi"/>
        </w:rPr>
      </w:pPr>
      <w:r w:rsidRPr="00B55B46">
        <w:rPr>
          <w:rFonts w:asciiTheme="minorHAnsi" w:hAnsiTheme="minorHAnsi"/>
        </w:rPr>
        <w:t xml:space="preserve">In </w:t>
      </w:r>
      <w:r w:rsidRPr="00B55B46">
        <w:rPr>
          <w:rFonts w:asciiTheme="minorHAnsi" w:hAnsiTheme="minorHAnsi"/>
          <w:i/>
        </w:rPr>
        <w:t>Wong</w:t>
      </w:r>
      <w:r w:rsidRPr="00B55B46">
        <w:rPr>
          <w:rFonts w:asciiTheme="minorHAnsi" w:hAnsiTheme="minorHAnsi"/>
        </w:rPr>
        <w:t>,</w:t>
      </w:r>
      <w:r w:rsidRPr="00C00000">
        <w:rPr>
          <w:rStyle w:val="Style"/>
          <w:rFonts w:asciiTheme="minorHAnsi" w:hAnsiTheme="minorHAnsi"/>
        </w:rPr>
        <w:footnoteReference w:id="131"/>
      </w:r>
      <w:r w:rsidR="00057ABB" w:rsidRPr="00B55B46">
        <w:rPr>
          <w:rFonts w:asciiTheme="minorHAnsi" w:hAnsiTheme="minorHAnsi"/>
        </w:rPr>
        <w:t xml:space="preserve"> </w:t>
      </w:r>
      <w:r w:rsidR="00290F71" w:rsidRPr="00B55B46">
        <w:rPr>
          <w:rFonts w:asciiTheme="minorHAnsi" w:hAnsiTheme="minorHAnsi"/>
        </w:rPr>
        <w:t xml:space="preserve">the High Court held that </w:t>
      </w:r>
      <w:r w:rsidR="00EE5A64">
        <w:rPr>
          <w:rFonts w:asciiTheme="minorHAnsi" w:hAnsiTheme="minorHAnsi"/>
        </w:rPr>
        <w:t>a</w:t>
      </w:r>
      <w:r w:rsidR="00290F71" w:rsidRPr="00B55B46">
        <w:rPr>
          <w:rFonts w:asciiTheme="minorHAnsi" w:hAnsiTheme="minorHAnsi"/>
        </w:rPr>
        <w:t xml:space="preserve"> guideline judgment of the Court of Criminal Appeal of New South Wales </w:t>
      </w:r>
      <w:r w:rsidR="00EE5A64">
        <w:rPr>
          <w:rFonts w:asciiTheme="minorHAnsi" w:hAnsiTheme="minorHAnsi"/>
        </w:rPr>
        <w:t>relating to</w:t>
      </w:r>
      <w:r w:rsidR="00290F71" w:rsidRPr="00B55B46">
        <w:rPr>
          <w:rFonts w:asciiTheme="minorHAnsi" w:hAnsiTheme="minorHAnsi"/>
        </w:rPr>
        <w:t xml:space="preserve"> drug importation offences, which guideline was declared by reference to the quantity of </w:t>
      </w:r>
      <w:r w:rsidR="00EE5A64">
        <w:rPr>
          <w:rFonts w:asciiTheme="minorHAnsi" w:hAnsiTheme="minorHAnsi"/>
        </w:rPr>
        <w:t xml:space="preserve">the </w:t>
      </w:r>
      <w:r w:rsidR="00290F71" w:rsidRPr="00B55B46">
        <w:rPr>
          <w:rFonts w:asciiTheme="minorHAnsi" w:hAnsiTheme="minorHAnsi"/>
        </w:rPr>
        <w:t xml:space="preserve">drug imported, was contrary to s 16A of the </w:t>
      </w:r>
      <w:r w:rsidR="00885EFD" w:rsidRPr="00885EFD">
        <w:rPr>
          <w:rFonts w:asciiTheme="minorHAnsi" w:hAnsiTheme="minorHAnsi"/>
          <w:i/>
          <w:iCs/>
        </w:rPr>
        <w:t>Crimes Act 1914</w:t>
      </w:r>
      <w:r w:rsidR="00290F71" w:rsidRPr="00B55B46">
        <w:rPr>
          <w:rFonts w:asciiTheme="minorHAnsi" w:hAnsiTheme="minorHAnsi"/>
          <w:i/>
          <w:iCs/>
        </w:rPr>
        <w:t xml:space="preserve"> </w:t>
      </w:r>
      <w:r w:rsidR="00290F71" w:rsidRPr="00B55B46">
        <w:rPr>
          <w:rFonts w:asciiTheme="minorHAnsi" w:hAnsiTheme="minorHAnsi"/>
          <w:iCs/>
        </w:rPr>
        <w:t>(Cth)</w:t>
      </w:r>
      <w:r w:rsidR="00290F71" w:rsidRPr="00B55B46">
        <w:rPr>
          <w:rFonts w:asciiTheme="minorHAnsi" w:hAnsiTheme="minorHAnsi"/>
        </w:rPr>
        <w:t>.</w:t>
      </w:r>
      <w:r w:rsidRPr="00342FD5">
        <w:rPr>
          <w:rFonts w:asciiTheme="minorHAnsi" w:hAnsiTheme="minorHAnsi" w:cstheme="minorHAnsi"/>
        </w:rPr>
        <w:t xml:space="preserve"> </w:t>
      </w:r>
      <w:r>
        <w:rPr>
          <w:rFonts w:asciiTheme="minorHAnsi" w:hAnsiTheme="minorHAnsi" w:cstheme="minorHAnsi"/>
        </w:rPr>
        <w:t xml:space="preserve"> </w:t>
      </w:r>
      <w:r w:rsidR="00F94469">
        <w:rPr>
          <w:rFonts w:asciiTheme="minorHAnsi" w:hAnsiTheme="minorHAnsi" w:cstheme="minorHAnsi"/>
        </w:rPr>
        <w:t xml:space="preserve">In their joint judgment, </w:t>
      </w:r>
      <w:r w:rsidRPr="004C7D4A">
        <w:rPr>
          <w:rFonts w:asciiTheme="minorHAnsi" w:hAnsiTheme="minorHAnsi" w:cstheme="minorHAnsi"/>
        </w:rPr>
        <w:t>Gaudron, Gummow and Hayne JJ</w:t>
      </w:r>
      <w:r w:rsidRPr="00B55B46">
        <w:rPr>
          <w:rFonts w:asciiTheme="minorHAnsi" w:hAnsiTheme="minorHAnsi"/>
        </w:rPr>
        <w:t xml:space="preserve"> </w:t>
      </w:r>
      <w:r w:rsidR="00F47D0C">
        <w:rPr>
          <w:rFonts w:asciiTheme="minorHAnsi" w:hAnsiTheme="minorHAnsi"/>
        </w:rPr>
        <w:t>critic</w:t>
      </w:r>
      <w:r w:rsidR="00B86888">
        <w:rPr>
          <w:rFonts w:asciiTheme="minorHAnsi" w:hAnsiTheme="minorHAnsi"/>
        </w:rPr>
        <w:t>ised</w:t>
      </w:r>
      <w:r w:rsidR="00F94469">
        <w:rPr>
          <w:rFonts w:asciiTheme="minorHAnsi" w:hAnsiTheme="minorHAnsi"/>
        </w:rPr>
        <w:t xml:space="preserve"> t</w:t>
      </w:r>
      <w:r w:rsidRPr="00B55B46">
        <w:rPr>
          <w:rFonts w:asciiTheme="minorHAnsi" w:hAnsiTheme="minorHAnsi"/>
        </w:rPr>
        <w:t xml:space="preserve">he “two-stage approach” to sentencing as </w:t>
      </w:r>
      <w:r>
        <w:rPr>
          <w:rFonts w:asciiTheme="minorHAnsi" w:hAnsiTheme="minorHAnsi"/>
        </w:rPr>
        <w:t xml:space="preserve">a </w:t>
      </w:r>
      <w:r w:rsidRPr="00B55B46">
        <w:rPr>
          <w:rFonts w:asciiTheme="minorHAnsi" w:hAnsiTheme="minorHAnsi"/>
        </w:rPr>
        <w:t>depart</w:t>
      </w:r>
      <w:r>
        <w:rPr>
          <w:rFonts w:asciiTheme="minorHAnsi" w:hAnsiTheme="minorHAnsi"/>
        </w:rPr>
        <w:t>ure</w:t>
      </w:r>
      <w:r w:rsidRPr="00B55B46">
        <w:rPr>
          <w:rFonts w:asciiTheme="minorHAnsi" w:hAnsiTheme="minorHAnsi"/>
        </w:rPr>
        <w:t xml:space="preserve"> from principle </w:t>
      </w:r>
      <w:r>
        <w:rPr>
          <w:rFonts w:asciiTheme="minorHAnsi" w:hAnsiTheme="minorHAnsi"/>
        </w:rPr>
        <w:t xml:space="preserve">and </w:t>
      </w:r>
      <w:r w:rsidRPr="00B55B46">
        <w:rPr>
          <w:rFonts w:asciiTheme="minorHAnsi" w:hAnsiTheme="minorHAnsi"/>
        </w:rPr>
        <w:t>apt to give rise to error</w:t>
      </w:r>
      <w:r>
        <w:rPr>
          <w:rFonts w:asciiTheme="minorHAnsi" w:hAnsiTheme="minorHAnsi"/>
        </w:rPr>
        <w:t>.</w:t>
      </w:r>
      <w:r w:rsidRPr="00C00000">
        <w:rPr>
          <w:rStyle w:val="Style"/>
          <w:rFonts w:asciiTheme="minorHAnsi" w:hAnsiTheme="minorHAnsi"/>
        </w:rPr>
        <w:footnoteReference w:id="132"/>
      </w:r>
      <w:r w:rsidR="00671FE0" w:rsidRPr="00671FE0">
        <w:rPr>
          <w:rFonts w:asciiTheme="minorHAnsi" w:hAnsiTheme="minorHAnsi"/>
        </w:rPr>
        <w:t xml:space="preserve"> </w:t>
      </w:r>
      <w:r w:rsidR="00671FE0">
        <w:rPr>
          <w:rFonts w:asciiTheme="minorHAnsi" w:hAnsiTheme="minorHAnsi"/>
        </w:rPr>
        <w:t xml:space="preserve"> Subsequent decisions provide examples of ways in which a </w:t>
      </w:r>
      <w:r w:rsidR="00671FE0" w:rsidRPr="00290F71">
        <w:rPr>
          <w:rFonts w:asciiTheme="minorHAnsi" w:hAnsiTheme="minorHAnsi"/>
        </w:rPr>
        <w:t xml:space="preserve">sequential approach to sentencing </w:t>
      </w:r>
      <w:r w:rsidR="00671FE0">
        <w:rPr>
          <w:rFonts w:asciiTheme="minorHAnsi" w:hAnsiTheme="minorHAnsi"/>
        </w:rPr>
        <w:t>may be productive of error.</w:t>
      </w:r>
      <w:r w:rsidR="00671FE0" w:rsidRPr="00C00000">
        <w:rPr>
          <w:rStyle w:val="Style"/>
          <w:rFonts w:asciiTheme="minorHAnsi" w:hAnsiTheme="minorHAnsi"/>
        </w:rPr>
        <w:footnoteReference w:id="133"/>
      </w:r>
      <w:r w:rsidR="00671FE0">
        <w:rPr>
          <w:rFonts w:asciiTheme="minorHAnsi" w:hAnsiTheme="minorHAnsi"/>
        </w:rPr>
        <w:t xml:space="preserve">  Therefore </w:t>
      </w:r>
      <w:r w:rsidR="00671FE0" w:rsidRPr="00290F71">
        <w:rPr>
          <w:rFonts w:asciiTheme="minorHAnsi" w:hAnsiTheme="minorHAnsi"/>
        </w:rPr>
        <w:t xml:space="preserve">identifying a sentence in stages should </w:t>
      </w:r>
      <w:r w:rsidR="00671FE0">
        <w:rPr>
          <w:rFonts w:asciiTheme="minorHAnsi" w:hAnsiTheme="minorHAnsi"/>
        </w:rPr>
        <w:t xml:space="preserve">usually </w:t>
      </w:r>
      <w:r w:rsidR="00671FE0" w:rsidRPr="00290F71">
        <w:rPr>
          <w:rFonts w:asciiTheme="minorHAnsi" w:hAnsiTheme="minorHAnsi"/>
        </w:rPr>
        <w:t xml:space="preserve">be undertaken </w:t>
      </w:r>
      <w:r w:rsidR="00671FE0">
        <w:rPr>
          <w:rFonts w:asciiTheme="minorHAnsi" w:hAnsiTheme="minorHAnsi"/>
        </w:rPr>
        <w:t xml:space="preserve">only </w:t>
      </w:r>
      <w:r w:rsidR="00671FE0" w:rsidRPr="00290F71">
        <w:rPr>
          <w:rFonts w:asciiTheme="minorHAnsi" w:hAnsiTheme="minorHAnsi"/>
        </w:rPr>
        <w:t xml:space="preserve">when a statute </w:t>
      </w:r>
      <w:r w:rsidR="00671FE0">
        <w:rPr>
          <w:rFonts w:asciiTheme="minorHAnsi" w:hAnsiTheme="minorHAnsi"/>
        </w:rPr>
        <w:t xml:space="preserve">so </w:t>
      </w:r>
      <w:r w:rsidR="00671FE0" w:rsidRPr="00290F71">
        <w:rPr>
          <w:rFonts w:asciiTheme="minorHAnsi" w:hAnsiTheme="minorHAnsi"/>
        </w:rPr>
        <w:t>requires</w:t>
      </w:r>
      <w:r w:rsidR="00671FE0">
        <w:rPr>
          <w:rFonts w:asciiTheme="minorHAnsi" w:hAnsiTheme="minorHAnsi"/>
        </w:rPr>
        <w:t>.</w:t>
      </w:r>
      <w:r w:rsidR="00671FE0" w:rsidRPr="00C00000">
        <w:rPr>
          <w:rStyle w:val="Style"/>
          <w:rFonts w:asciiTheme="minorHAnsi" w:hAnsiTheme="minorHAnsi"/>
        </w:rPr>
        <w:footnoteReference w:id="134"/>
      </w:r>
      <w:r w:rsidR="00671FE0">
        <w:rPr>
          <w:rFonts w:asciiTheme="minorHAnsi" w:hAnsiTheme="minorHAnsi"/>
        </w:rPr>
        <w:t xml:space="preserve">  For relevant statutory requirements, see “</w:t>
      </w:r>
      <w:r w:rsidR="00671FE0">
        <w:rPr>
          <w:rFonts w:asciiTheme="minorHAnsi" w:hAnsiTheme="minorHAnsi"/>
        </w:rPr>
        <w:fldChar w:fldCharType="begin"/>
      </w:r>
      <w:r w:rsidR="00671FE0">
        <w:rPr>
          <w:rFonts w:asciiTheme="minorHAnsi" w:hAnsiTheme="minorHAnsi"/>
        </w:rPr>
        <w:instrText xml:space="preserve"> REF _Ref504387378 \r \h </w:instrText>
      </w:r>
      <w:r w:rsidR="00671FE0">
        <w:rPr>
          <w:rFonts w:asciiTheme="minorHAnsi" w:hAnsiTheme="minorHAnsi"/>
        </w:rPr>
      </w:r>
      <w:r w:rsidR="00671FE0">
        <w:rPr>
          <w:rFonts w:asciiTheme="minorHAnsi" w:hAnsiTheme="minorHAnsi"/>
        </w:rPr>
        <w:fldChar w:fldCharType="separate"/>
      </w:r>
      <w:r w:rsidR="00D44BCF">
        <w:rPr>
          <w:rFonts w:asciiTheme="minorHAnsi" w:hAnsiTheme="minorHAnsi"/>
        </w:rPr>
        <w:t>3.3</w:t>
      </w:r>
      <w:r w:rsidR="00671FE0">
        <w:rPr>
          <w:rFonts w:asciiTheme="minorHAnsi" w:hAnsiTheme="minorHAnsi"/>
        </w:rPr>
        <w:fldChar w:fldCharType="end"/>
      </w:r>
      <w:r w:rsidR="00671FE0">
        <w:rPr>
          <w:rFonts w:asciiTheme="minorHAnsi" w:hAnsiTheme="minorHAnsi"/>
        </w:rPr>
        <w:t xml:space="preserve"> </w:t>
      </w:r>
      <w:r w:rsidR="00671FE0">
        <w:rPr>
          <w:rFonts w:asciiTheme="minorHAnsi" w:hAnsiTheme="minorHAnsi"/>
        </w:rPr>
        <w:fldChar w:fldCharType="begin"/>
      </w:r>
      <w:r w:rsidR="00671FE0">
        <w:rPr>
          <w:rFonts w:asciiTheme="minorHAnsi" w:hAnsiTheme="minorHAnsi"/>
        </w:rPr>
        <w:instrText xml:space="preserve"> REF _Ref504387378 \h  \* MERGEFORMAT </w:instrText>
      </w:r>
      <w:r w:rsidR="00671FE0">
        <w:rPr>
          <w:rFonts w:asciiTheme="minorHAnsi" w:hAnsiTheme="minorHAnsi"/>
        </w:rPr>
      </w:r>
      <w:r w:rsidR="00671FE0">
        <w:rPr>
          <w:rFonts w:asciiTheme="minorHAnsi" w:hAnsiTheme="minorHAnsi"/>
        </w:rPr>
        <w:fldChar w:fldCharType="separate"/>
      </w:r>
      <w:r w:rsidR="00D44BCF" w:rsidRPr="00D44BCF">
        <w:rPr>
          <w:rFonts w:asciiTheme="minorHAnsi" w:hAnsiTheme="minorHAnsi"/>
        </w:rPr>
        <w:t>Where a two-stage approach is required by statute</w:t>
      </w:r>
      <w:r w:rsidR="00671FE0">
        <w:rPr>
          <w:rFonts w:asciiTheme="minorHAnsi" w:hAnsiTheme="minorHAnsi"/>
        </w:rPr>
        <w:fldChar w:fldCharType="end"/>
      </w:r>
      <w:r w:rsidR="00671FE0">
        <w:rPr>
          <w:rFonts w:asciiTheme="minorHAnsi" w:hAnsiTheme="minorHAnsi"/>
        </w:rPr>
        <w:t>”.</w:t>
      </w:r>
    </w:p>
    <w:p w14:paraId="34A11AD2" w14:textId="77777777" w:rsidR="00290F71" w:rsidRPr="00C00000" w:rsidRDefault="00290F71" w:rsidP="00290F71">
      <w:pPr>
        <w:spacing w:line="276" w:lineRule="auto"/>
        <w:ind w:left="567" w:right="170" w:hanging="567"/>
        <w:jc w:val="both"/>
        <w:rPr>
          <w:rFonts w:asciiTheme="minorHAnsi" w:hAnsiTheme="minorHAnsi"/>
        </w:rPr>
      </w:pPr>
    </w:p>
    <w:p w14:paraId="6E7368C5" w14:textId="35CEEA14" w:rsidR="00942ECC" w:rsidRDefault="00942ECC" w:rsidP="00EB7F1E">
      <w:pPr>
        <w:pStyle w:val="ListParagraph"/>
        <w:numPr>
          <w:ilvl w:val="0"/>
          <w:numId w:val="7"/>
        </w:numPr>
        <w:spacing w:line="276" w:lineRule="auto"/>
        <w:ind w:left="425" w:hanging="425"/>
        <w:contextualSpacing w:val="0"/>
        <w:rPr>
          <w:rFonts w:asciiTheme="minorHAnsi" w:hAnsiTheme="minorHAnsi"/>
        </w:rPr>
      </w:pPr>
      <w:r w:rsidRPr="00942ECC">
        <w:rPr>
          <w:rFonts w:asciiTheme="minorHAnsi" w:hAnsiTheme="minorHAnsi"/>
        </w:rPr>
        <w:t>Nevertheless it is common practice in some jurisdictions for a court sentencing a federal offender to specifiy the extent to which the sentence has been reduced as a result of a plea of guilty, even in the absence of a statutory requirement to do so.  See “</w:t>
      </w:r>
      <w:r w:rsidRPr="0052681B">
        <w:rPr>
          <w:rFonts w:asciiTheme="minorHAnsi" w:hAnsiTheme="minorHAnsi"/>
        </w:rPr>
        <w:fldChar w:fldCharType="begin"/>
      </w:r>
      <w:r w:rsidRPr="00942ECC">
        <w:rPr>
          <w:rFonts w:asciiTheme="minorHAnsi" w:hAnsiTheme="minorHAnsi"/>
        </w:rPr>
        <w:instrText xml:space="preserve"> REF _Ref495337739 \r \h  \* MERGEFORMAT </w:instrText>
      </w:r>
      <w:r w:rsidRPr="0052681B">
        <w:rPr>
          <w:rFonts w:asciiTheme="minorHAnsi" w:hAnsiTheme="minorHAnsi"/>
        </w:rPr>
      </w:r>
      <w:r w:rsidRPr="0052681B">
        <w:rPr>
          <w:rFonts w:asciiTheme="minorHAnsi" w:hAnsiTheme="minorHAnsi"/>
        </w:rPr>
        <w:fldChar w:fldCharType="separate"/>
      </w:r>
      <w:r w:rsidR="00D44BCF">
        <w:rPr>
          <w:rFonts w:asciiTheme="minorHAnsi" w:hAnsiTheme="minorHAnsi"/>
        </w:rPr>
        <w:t>7.8</w:t>
      </w:r>
      <w:r w:rsidRPr="0052681B">
        <w:rPr>
          <w:rFonts w:asciiTheme="minorHAnsi" w:hAnsiTheme="minorHAnsi"/>
        </w:rPr>
        <w:fldChar w:fldCharType="end"/>
      </w:r>
      <w:r w:rsidRPr="00942ECC">
        <w:rPr>
          <w:rFonts w:asciiTheme="minorHAnsi" w:hAnsiTheme="minorHAnsi"/>
        </w:rPr>
        <w:t xml:space="preserve"> </w:t>
      </w:r>
      <w:r w:rsidRPr="0052681B">
        <w:rPr>
          <w:rFonts w:asciiTheme="minorHAnsi" w:hAnsiTheme="minorHAnsi"/>
        </w:rPr>
        <w:fldChar w:fldCharType="begin"/>
      </w:r>
      <w:r w:rsidRPr="00942ECC">
        <w:rPr>
          <w:rFonts w:asciiTheme="minorHAnsi" w:hAnsiTheme="minorHAnsi"/>
        </w:rPr>
        <w:instrText xml:space="preserve"> REF _Ref495337739 \h  \* MERGEFORMAT </w:instrText>
      </w:r>
      <w:r w:rsidRPr="0052681B">
        <w:rPr>
          <w:rFonts w:asciiTheme="minorHAnsi" w:hAnsiTheme="minorHAnsi"/>
        </w:rPr>
      </w:r>
      <w:r w:rsidRPr="0052681B">
        <w:rPr>
          <w:rFonts w:asciiTheme="minorHAnsi" w:hAnsiTheme="minorHAnsi"/>
        </w:rPr>
        <w:fldChar w:fldCharType="separate"/>
      </w:r>
      <w:r w:rsidR="00D44BCF" w:rsidRPr="00D44BCF">
        <w:rPr>
          <w:rFonts w:asciiTheme="minorHAnsi" w:hAnsiTheme="minorHAnsi"/>
        </w:rPr>
        <w:t>Specifying a discount for a guilty plea</w:t>
      </w:r>
      <w:r w:rsidRPr="0052681B">
        <w:rPr>
          <w:rFonts w:asciiTheme="minorHAnsi" w:hAnsiTheme="minorHAnsi"/>
        </w:rPr>
        <w:fldChar w:fldCharType="end"/>
      </w:r>
      <w:r w:rsidRPr="00942ECC">
        <w:rPr>
          <w:rFonts w:asciiTheme="minorHAnsi" w:hAnsiTheme="minorHAnsi"/>
        </w:rPr>
        <w:t>”.</w:t>
      </w:r>
    </w:p>
    <w:p w14:paraId="1F1ACA03" w14:textId="77777777" w:rsidR="00942ECC" w:rsidRPr="00EB7F1E" w:rsidRDefault="00942ECC" w:rsidP="00EB7F1E">
      <w:pPr>
        <w:pStyle w:val="ListParagraph"/>
        <w:rPr>
          <w:rFonts w:asciiTheme="minorHAnsi" w:hAnsiTheme="minorHAnsi"/>
        </w:rPr>
      </w:pPr>
    </w:p>
    <w:p w14:paraId="6D74AE90" w14:textId="20701513" w:rsidR="00FC56B9" w:rsidRPr="00942ECC" w:rsidRDefault="00942EC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w:t>
      </w:r>
      <w:r w:rsidR="00F94469" w:rsidRPr="00942ECC">
        <w:rPr>
          <w:rFonts w:asciiTheme="minorHAnsi" w:hAnsiTheme="minorHAnsi"/>
        </w:rPr>
        <w:t>n</w:t>
      </w:r>
      <w:r w:rsidR="005F24FA" w:rsidRPr="00942ECC">
        <w:rPr>
          <w:rFonts w:asciiTheme="minorHAnsi" w:hAnsiTheme="minorHAnsi"/>
        </w:rPr>
        <w:t xml:space="preserve"> </w:t>
      </w:r>
      <w:r w:rsidR="0053432F" w:rsidRPr="00942ECC">
        <w:rPr>
          <w:rFonts w:asciiTheme="minorHAnsi" w:hAnsiTheme="minorHAnsi"/>
          <w:i/>
        </w:rPr>
        <w:t>Markaria</w:t>
      </w:r>
      <w:r w:rsidR="00285FB6" w:rsidRPr="00942ECC">
        <w:rPr>
          <w:rFonts w:asciiTheme="minorHAnsi" w:hAnsiTheme="minorHAnsi"/>
          <w:i/>
        </w:rPr>
        <w:t>n</w:t>
      </w:r>
      <w:r w:rsidR="00D8014A" w:rsidRPr="00942ECC">
        <w:rPr>
          <w:rFonts w:asciiTheme="minorHAnsi" w:hAnsiTheme="minorHAnsi"/>
        </w:rPr>
        <w:t>,</w:t>
      </w:r>
      <w:r w:rsidR="0053432F" w:rsidRPr="00C00000">
        <w:rPr>
          <w:rStyle w:val="Style"/>
          <w:rFonts w:asciiTheme="minorHAnsi" w:hAnsiTheme="minorHAnsi"/>
        </w:rPr>
        <w:footnoteReference w:id="135"/>
      </w:r>
      <w:r w:rsidR="00B94E54" w:rsidRPr="00942ECC">
        <w:rPr>
          <w:rFonts w:asciiTheme="minorHAnsi" w:hAnsiTheme="minorHAnsi"/>
        </w:rPr>
        <w:t xml:space="preserve"> </w:t>
      </w:r>
      <w:r w:rsidR="000D2029" w:rsidRPr="00942ECC">
        <w:rPr>
          <w:rFonts w:asciiTheme="minorHAnsi" w:hAnsiTheme="minorHAnsi"/>
        </w:rPr>
        <w:t>the majority held</w:t>
      </w:r>
      <w:r w:rsidR="0053432F" w:rsidRPr="00942ECC">
        <w:rPr>
          <w:rFonts w:asciiTheme="minorHAnsi" w:hAnsiTheme="minorHAnsi"/>
          <w:szCs w:val="22"/>
        </w:rPr>
        <w:t xml:space="preserve"> that making a </w:t>
      </w:r>
      <w:r w:rsidR="0053432F" w:rsidRPr="00E90120">
        <w:rPr>
          <w:rFonts w:asciiTheme="minorHAnsi" w:hAnsiTheme="minorHAnsi"/>
        </w:rPr>
        <w:t>specific</w:t>
      </w:r>
      <w:r w:rsidR="0053432F" w:rsidRPr="00942ECC">
        <w:rPr>
          <w:rFonts w:asciiTheme="minorHAnsi" w:hAnsiTheme="minorHAnsi"/>
          <w:szCs w:val="22"/>
        </w:rPr>
        <w:t xml:space="preserve"> quantifiable allowance</w:t>
      </w:r>
      <w:r w:rsidR="00371C6B" w:rsidRPr="00942ECC">
        <w:rPr>
          <w:rFonts w:asciiTheme="minorHAnsi" w:hAnsiTheme="minorHAnsi"/>
          <w:szCs w:val="22"/>
        </w:rPr>
        <w:t xml:space="preserve"> </w:t>
      </w:r>
      <w:r w:rsidR="000D2029" w:rsidRPr="00942ECC">
        <w:rPr>
          <w:rFonts w:asciiTheme="minorHAnsi" w:hAnsiTheme="minorHAnsi"/>
          <w:szCs w:val="22"/>
        </w:rPr>
        <w:t>for a particular factor (e.g. for a plea of guilty, when such quantification was not required by statute)</w:t>
      </w:r>
      <w:r w:rsidR="0053432F" w:rsidRPr="00942ECC">
        <w:rPr>
          <w:rFonts w:asciiTheme="minorHAnsi" w:hAnsiTheme="minorHAnsi"/>
          <w:szCs w:val="22"/>
        </w:rPr>
        <w:t xml:space="preserve"> </w:t>
      </w:r>
      <w:r w:rsidR="00D8014A" w:rsidRPr="00942ECC">
        <w:rPr>
          <w:rFonts w:asciiTheme="minorHAnsi" w:hAnsiTheme="minorHAnsi"/>
          <w:szCs w:val="22"/>
        </w:rPr>
        <w:t>did not of itself reveal error.</w:t>
      </w:r>
      <w:r w:rsidR="00FA33FB" w:rsidRPr="00942ECC">
        <w:rPr>
          <w:rFonts w:asciiTheme="minorHAnsi" w:hAnsiTheme="minorHAnsi"/>
          <w:szCs w:val="22"/>
        </w:rPr>
        <w:t xml:space="preserve"> </w:t>
      </w:r>
      <w:r w:rsidR="00FA33FB" w:rsidRPr="00942ECC">
        <w:rPr>
          <w:rFonts w:asciiTheme="minorHAnsi" w:hAnsiTheme="minorHAnsi"/>
        </w:rPr>
        <w:t xml:space="preserve"> Gleeson CJ, Gummow, Hayne and Callinan JJ </w:t>
      </w:r>
      <w:r w:rsidR="000775B2" w:rsidRPr="00942ECC">
        <w:rPr>
          <w:rFonts w:asciiTheme="minorHAnsi" w:hAnsiTheme="minorHAnsi"/>
        </w:rPr>
        <w:t xml:space="preserve">said that there was no universal rule rejecting “sequential” or “two-tiered” sentencing in favour of “instinctive synthesis”, and </w:t>
      </w:r>
      <w:r w:rsidR="00FA33FB" w:rsidRPr="00942ECC">
        <w:rPr>
          <w:rFonts w:asciiTheme="minorHAnsi" w:hAnsiTheme="minorHAnsi"/>
        </w:rPr>
        <w:t>acknowledged that there may be some occasions when an articulated arithmetical approach may better serve the ends of t</w:t>
      </w:r>
      <w:r w:rsidR="000775B2" w:rsidRPr="00942ECC">
        <w:rPr>
          <w:rFonts w:asciiTheme="minorHAnsi" w:hAnsiTheme="minorHAnsi"/>
        </w:rPr>
        <w:t>ransparency and accessibility.</w:t>
      </w:r>
    </w:p>
    <w:p w14:paraId="726B4423" w14:textId="77777777" w:rsidR="00FA33FB" w:rsidRPr="00716E44" w:rsidRDefault="00FA33FB" w:rsidP="00716E44">
      <w:pPr>
        <w:pStyle w:val="ListParagraph"/>
        <w:rPr>
          <w:rFonts w:asciiTheme="minorHAnsi" w:hAnsiTheme="minorHAnsi"/>
        </w:rPr>
      </w:pPr>
    </w:p>
    <w:p w14:paraId="548F6CAD" w14:textId="49C4E8E7" w:rsidR="004563C7" w:rsidRPr="00C00000" w:rsidRDefault="009608AF" w:rsidP="003E7B85">
      <w:pPr>
        <w:pStyle w:val="Heading2"/>
        <w:rPr>
          <w:rStyle w:val="Strong"/>
          <w:b/>
        </w:rPr>
      </w:pPr>
      <w:bookmarkStart w:id="1063" w:name="_Toc484358633"/>
      <w:bookmarkStart w:id="1064" w:name="_Toc484359023"/>
      <w:bookmarkStart w:id="1065" w:name="_Toc484363939"/>
      <w:bookmarkStart w:id="1066" w:name="_Toc484364353"/>
      <w:bookmarkStart w:id="1067" w:name="_Toc484365660"/>
      <w:bookmarkStart w:id="1068" w:name="_Toc484432554"/>
      <w:bookmarkStart w:id="1069" w:name="_Toc484358634"/>
      <w:bookmarkStart w:id="1070" w:name="_Toc484359024"/>
      <w:bookmarkStart w:id="1071" w:name="_Toc484363940"/>
      <w:bookmarkStart w:id="1072" w:name="_Toc484364354"/>
      <w:bookmarkStart w:id="1073" w:name="_Toc484365661"/>
      <w:bookmarkStart w:id="1074" w:name="_Toc484432555"/>
      <w:bookmarkStart w:id="1075" w:name="_Toc484358636"/>
      <w:bookmarkStart w:id="1076" w:name="_Toc484359026"/>
      <w:bookmarkStart w:id="1077" w:name="_Toc484363942"/>
      <w:bookmarkStart w:id="1078" w:name="_Toc484364356"/>
      <w:bookmarkStart w:id="1079" w:name="_Toc484365663"/>
      <w:bookmarkStart w:id="1080" w:name="_Toc484432557"/>
      <w:bookmarkStart w:id="1081" w:name="_Toc484358637"/>
      <w:bookmarkStart w:id="1082" w:name="_Toc484359027"/>
      <w:bookmarkStart w:id="1083" w:name="_Toc484363943"/>
      <w:bookmarkStart w:id="1084" w:name="_Toc484364357"/>
      <w:bookmarkStart w:id="1085" w:name="_Toc484365664"/>
      <w:bookmarkStart w:id="1086" w:name="_Toc484432558"/>
      <w:bookmarkStart w:id="1087" w:name="_Toc484358638"/>
      <w:bookmarkStart w:id="1088" w:name="_Toc484359028"/>
      <w:bookmarkStart w:id="1089" w:name="_Toc484363944"/>
      <w:bookmarkStart w:id="1090" w:name="_Toc484364358"/>
      <w:bookmarkStart w:id="1091" w:name="_Toc484365665"/>
      <w:bookmarkStart w:id="1092" w:name="_Toc484432559"/>
      <w:bookmarkStart w:id="1093" w:name="_Toc484358639"/>
      <w:bookmarkStart w:id="1094" w:name="_Toc484359029"/>
      <w:bookmarkStart w:id="1095" w:name="_Toc484363945"/>
      <w:bookmarkStart w:id="1096" w:name="_Toc484364359"/>
      <w:bookmarkStart w:id="1097" w:name="_Toc484365666"/>
      <w:bookmarkStart w:id="1098" w:name="_Toc484432560"/>
      <w:bookmarkStart w:id="1099" w:name="_Toc484358640"/>
      <w:bookmarkStart w:id="1100" w:name="_Toc484359030"/>
      <w:bookmarkStart w:id="1101" w:name="_Toc484363946"/>
      <w:bookmarkStart w:id="1102" w:name="_Toc484364360"/>
      <w:bookmarkStart w:id="1103" w:name="_Toc484365667"/>
      <w:bookmarkStart w:id="1104" w:name="_Toc484432561"/>
      <w:bookmarkStart w:id="1105" w:name="_Toc484358641"/>
      <w:bookmarkStart w:id="1106" w:name="_Toc484359031"/>
      <w:bookmarkStart w:id="1107" w:name="_Toc484363947"/>
      <w:bookmarkStart w:id="1108" w:name="_Toc484364361"/>
      <w:bookmarkStart w:id="1109" w:name="_Toc484365668"/>
      <w:bookmarkStart w:id="1110" w:name="_Toc484432562"/>
      <w:bookmarkStart w:id="1111" w:name="_Toc484358642"/>
      <w:bookmarkStart w:id="1112" w:name="_Toc484359032"/>
      <w:bookmarkStart w:id="1113" w:name="_Toc484363948"/>
      <w:bookmarkStart w:id="1114" w:name="_Toc484364362"/>
      <w:bookmarkStart w:id="1115" w:name="_Toc484365669"/>
      <w:bookmarkStart w:id="1116" w:name="_Toc484432563"/>
      <w:bookmarkStart w:id="1117" w:name="_Ref504387378"/>
      <w:bookmarkStart w:id="1118" w:name="_Ref504387382"/>
      <w:bookmarkStart w:id="1119" w:name="_Toc33602768"/>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r>
        <w:rPr>
          <w:rStyle w:val="Strong"/>
          <w:b/>
        </w:rPr>
        <w:t>Where a two-stage approach is</w:t>
      </w:r>
      <w:r w:rsidR="00340956" w:rsidRPr="00C00000">
        <w:rPr>
          <w:rStyle w:val="Strong"/>
          <w:b/>
        </w:rPr>
        <w:t xml:space="preserve"> </w:t>
      </w:r>
      <w:r>
        <w:rPr>
          <w:rStyle w:val="Strong"/>
          <w:b/>
        </w:rPr>
        <w:t>required by statute</w:t>
      </w:r>
      <w:bookmarkEnd w:id="1117"/>
      <w:bookmarkEnd w:id="1118"/>
      <w:bookmarkEnd w:id="1119"/>
    </w:p>
    <w:p w14:paraId="3BEB4454" w14:textId="77777777" w:rsidR="00604C5F" w:rsidRPr="00604C5F" w:rsidRDefault="00604C5F" w:rsidP="003E7B85">
      <w:pPr>
        <w:keepNext/>
        <w:spacing w:line="276" w:lineRule="auto"/>
        <w:ind w:right="170"/>
        <w:rPr>
          <w:rFonts w:asciiTheme="minorHAnsi" w:hAnsiTheme="minorHAnsi"/>
        </w:rPr>
      </w:pPr>
    </w:p>
    <w:p w14:paraId="13ED97A4" w14:textId="301396BD" w:rsidR="004563C7" w:rsidRPr="00C00000" w:rsidRDefault="00673F6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Specif</w:t>
      </w:r>
      <w:r w:rsidR="00A201C6">
        <w:rPr>
          <w:rFonts w:asciiTheme="minorHAnsi" w:hAnsiTheme="minorHAnsi"/>
        </w:rPr>
        <w:t xml:space="preserve">ication of </w:t>
      </w:r>
      <w:r>
        <w:rPr>
          <w:rFonts w:asciiTheme="minorHAnsi" w:hAnsiTheme="minorHAnsi"/>
        </w:rPr>
        <w:t xml:space="preserve">the sentence that would have been imposed but for a particular factor </w:t>
      </w:r>
      <w:r w:rsidR="00A201C6">
        <w:rPr>
          <w:rFonts w:asciiTheme="minorHAnsi" w:hAnsiTheme="minorHAnsi"/>
        </w:rPr>
        <w:t xml:space="preserve">has been described </w:t>
      </w:r>
      <w:r w:rsidR="00604C5F">
        <w:rPr>
          <w:rFonts w:asciiTheme="minorHAnsi" w:hAnsiTheme="minorHAnsi"/>
        </w:rPr>
        <w:t xml:space="preserve">as </w:t>
      </w:r>
      <w:r>
        <w:rPr>
          <w:rFonts w:asciiTheme="minorHAnsi" w:hAnsiTheme="minorHAnsi"/>
        </w:rPr>
        <w:t>antithetical to the “instinctive synthesis” approach</w:t>
      </w:r>
      <w:r w:rsidR="00D27AE5">
        <w:rPr>
          <w:rFonts w:asciiTheme="minorHAnsi" w:hAnsiTheme="minorHAnsi"/>
        </w:rPr>
        <w:t xml:space="preserve"> to sentencing</w:t>
      </w:r>
      <w:r>
        <w:rPr>
          <w:rFonts w:asciiTheme="minorHAnsi" w:hAnsiTheme="minorHAnsi"/>
        </w:rPr>
        <w:t>,</w:t>
      </w:r>
      <w:r w:rsidR="00D27AE5" w:rsidRPr="00C00000">
        <w:rPr>
          <w:rStyle w:val="Style"/>
          <w:rFonts w:asciiTheme="minorHAnsi" w:hAnsiTheme="minorHAnsi"/>
        </w:rPr>
        <w:footnoteReference w:id="136"/>
      </w:r>
      <w:r>
        <w:rPr>
          <w:rFonts w:asciiTheme="minorHAnsi" w:hAnsiTheme="minorHAnsi"/>
        </w:rPr>
        <w:t xml:space="preserve"> which is generally preferred over</w:t>
      </w:r>
      <w:r w:rsidR="00932EC7">
        <w:rPr>
          <w:rFonts w:asciiTheme="minorHAnsi" w:hAnsiTheme="minorHAnsi"/>
        </w:rPr>
        <w:t xml:space="preserve"> a</w:t>
      </w:r>
      <w:r>
        <w:rPr>
          <w:rFonts w:asciiTheme="minorHAnsi" w:hAnsiTheme="minorHAnsi"/>
        </w:rPr>
        <w:t xml:space="preserve"> </w:t>
      </w:r>
      <w:r w:rsidRPr="00C00000">
        <w:rPr>
          <w:rFonts w:asciiTheme="minorHAnsi" w:hAnsiTheme="minorHAnsi"/>
        </w:rPr>
        <w:t>“two-stage</w:t>
      </w:r>
      <w:r>
        <w:rPr>
          <w:rFonts w:asciiTheme="minorHAnsi" w:hAnsiTheme="minorHAnsi"/>
        </w:rPr>
        <w:t>”</w:t>
      </w:r>
      <w:r w:rsidRPr="00C00000">
        <w:rPr>
          <w:rFonts w:asciiTheme="minorHAnsi" w:hAnsiTheme="minorHAnsi"/>
        </w:rPr>
        <w:t xml:space="preserve"> or sequenced</w:t>
      </w:r>
      <w:r>
        <w:rPr>
          <w:rFonts w:asciiTheme="minorHAnsi" w:hAnsiTheme="minorHAnsi"/>
        </w:rPr>
        <w:t xml:space="preserve"> approach in sentencing of a federal offender.  </w:t>
      </w:r>
      <w:r w:rsidR="00D27AE5">
        <w:rPr>
          <w:rFonts w:asciiTheme="minorHAnsi" w:hAnsiTheme="minorHAnsi"/>
        </w:rPr>
        <w:t xml:space="preserve">Nevertheless it must be done </w:t>
      </w:r>
      <w:r w:rsidR="00645B07">
        <w:rPr>
          <w:rFonts w:asciiTheme="minorHAnsi" w:hAnsiTheme="minorHAnsi"/>
        </w:rPr>
        <w:t>if</w:t>
      </w:r>
      <w:r w:rsidR="002A4F73">
        <w:rPr>
          <w:rFonts w:asciiTheme="minorHAnsi" w:hAnsiTheme="minorHAnsi"/>
        </w:rPr>
        <w:t>, and to the extent that, it is</w:t>
      </w:r>
      <w:r w:rsidR="00645B07">
        <w:rPr>
          <w:rFonts w:asciiTheme="minorHAnsi" w:hAnsiTheme="minorHAnsi"/>
        </w:rPr>
        <w:t xml:space="preserve"> required by statute.</w:t>
      </w:r>
      <w:r w:rsidR="00645B07" w:rsidRPr="00C00000">
        <w:rPr>
          <w:rStyle w:val="Style"/>
          <w:rFonts w:asciiTheme="minorHAnsi" w:hAnsiTheme="minorHAnsi"/>
        </w:rPr>
        <w:footnoteReference w:id="137"/>
      </w:r>
      <w:r w:rsidR="00645B07">
        <w:rPr>
          <w:rFonts w:asciiTheme="minorHAnsi" w:hAnsiTheme="minorHAnsi"/>
        </w:rPr>
        <w:t xml:space="preserve">  There are two significant examples</w:t>
      </w:r>
      <w:r w:rsidR="00780A05">
        <w:rPr>
          <w:rFonts w:asciiTheme="minorHAnsi" w:hAnsiTheme="minorHAnsi"/>
        </w:rPr>
        <w:t xml:space="preserve"> of such statutory requirements.</w:t>
      </w:r>
    </w:p>
    <w:p w14:paraId="1CDF213B" w14:textId="77777777" w:rsidR="002F6222" w:rsidRPr="00C00000" w:rsidRDefault="002F6222" w:rsidP="00B07342">
      <w:pPr>
        <w:pStyle w:val="ListParagraph"/>
        <w:spacing w:line="276" w:lineRule="auto"/>
        <w:ind w:left="567" w:right="170"/>
        <w:contextualSpacing w:val="0"/>
        <w:rPr>
          <w:rFonts w:asciiTheme="minorHAnsi" w:eastAsiaTheme="minorEastAsia" w:hAnsiTheme="minorHAnsi" w:cstheme="minorBidi"/>
          <w:b/>
          <w:bCs/>
          <w:noProof/>
          <w:szCs w:val="22"/>
        </w:rPr>
      </w:pPr>
    </w:p>
    <w:p w14:paraId="370AA62E" w14:textId="789EB0FC" w:rsidR="002F6222" w:rsidRPr="00C00000" w:rsidRDefault="00885EFD" w:rsidP="003E7B85">
      <w:pPr>
        <w:pStyle w:val="Heading3"/>
      </w:pPr>
      <w:bookmarkStart w:id="1120" w:name="_Toc33602769"/>
      <w:r w:rsidRPr="00885EFD">
        <w:rPr>
          <w:i/>
        </w:rPr>
        <w:t>Crimes Act 1914</w:t>
      </w:r>
      <w:r w:rsidR="00711C31">
        <w:t xml:space="preserve">, s </w:t>
      </w:r>
      <w:r w:rsidR="002F6222" w:rsidRPr="00C00000">
        <w:t xml:space="preserve">16AC – future </w:t>
      </w:r>
      <w:r w:rsidR="005314AC">
        <w:t>cooperation</w:t>
      </w:r>
      <w:bookmarkEnd w:id="1120"/>
    </w:p>
    <w:p w14:paraId="2E961312" w14:textId="77777777" w:rsidR="002F6222" w:rsidRPr="00C00000" w:rsidRDefault="002F6222" w:rsidP="003E7B85">
      <w:pPr>
        <w:pStyle w:val="ListParagraph"/>
        <w:keepNext/>
        <w:spacing w:line="276" w:lineRule="auto"/>
        <w:ind w:left="567" w:right="170"/>
        <w:contextualSpacing w:val="0"/>
        <w:rPr>
          <w:rFonts w:asciiTheme="minorHAnsi" w:hAnsiTheme="minorHAnsi"/>
        </w:rPr>
      </w:pPr>
    </w:p>
    <w:p w14:paraId="4E6663A5" w14:textId="760318B8" w:rsidR="004563C7" w:rsidRPr="00C00000" w:rsidRDefault="0053432F" w:rsidP="00EB7F1E">
      <w:pPr>
        <w:pStyle w:val="ListParagraph"/>
        <w:numPr>
          <w:ilvl w:val="0"/>
          <w:numId w:val="7"/>
        </w:numPr>
        <w:spacing w:line="276" w:lineRule="auto"/>
        <w:ind w:left="425" w:hanging="425"/>
        <w:contextualSpacing w:val="0"/>
        <w:rPr>
          <w:rFonts w:asciiTheme="minorHAnsi" w:hAnsiTheme="minorHAnsi"/>
        </w:rPr>
      </w:pPr>
      <w:bookmarkStart w:id="1121" w:name="_Ref469664099"/>
      <w:r w:rsidRPr="00C00000">
        <w:rPr>
          <w:rFonts w:asciiTheme="minorHAnsi" w:hAnsiTheme="minorHAnsi"/>
        </w:rPr>
        <w:t xml:space="preserve">The first </w:t>
      </w:r>
      <w:r w:rsidR="00645B07">
        <w:rPr>
          <w:rFonts w:asciiTheme="minorHAnsi" w:hAnsiTheme="minorHAnsi"/>
        </w:rPr>
        <w:t xml:space="preserve">example of a statutory requirement for two-stage sentencing </w:t>
      </w:r>
      <w:r w:rsidRPr="00C00000">
        <w:rPr>
          <w:rFonts w:asciiTheme="minorHAnsi" w:hAnsiTheme="minorHAnsi"/>
        </w:rPr>
        <w:t xml:space="preserve">is where a federal offender has undertaken to co-operate with law enforcement agencies in future proceedings </w:t>
      </w:r>
      <w:r w:rsidR="00EE5A64">
        <w:rPr>
          <w:rFonts w:asciiTheme="minorHAnsi" w:hAnsiTheme="minorHAnsi"/>
        </w:rPr>
        <w:t>(</w:t>
      </w:r>
      <w:r w:rsidRPr="00C00000">
        <w:rPr>
          <w:rFonts w:asciiTheme="minorHAnsi" w:hAnsiTheme="minorHAnsi"/>
        </w:rPr>
        <w:t>including confiscation proceedings</w:t>
      </w:r>
      <w:r w:rsidR="00EE5A64">
        <w:rPr>
          <w:rFonts w:asciiTheme="minorHAnsi" w:hAnsiTheme="minorHAnsi"/>
        </w:rPr>
        <w:t>)</w:t>
      </w:r>
      <w:r w:rsidRPr="00C00000">
        <w:rPr>
          <w:rFonts w:asciiTheme="minorHAnsi" w:hAnsiTheme="minorHAnsi"/>
        </w:rPr>
        <w:t xml:space="preserve">.  In that situation, if the sentence is reduced by that undertaking, the court </w:t>
      </w:r>
      <w:r w:rsidR="00645B07">
        <w:rPr>
          <w:rFonts w:asciiTheme="minorHAnsi" w:hAnsiTheme="minorHAnsi"/>
        </w:rPr>
        <w:t xml:space="preserve">sentencing the offender </w:t>
      </w:r>
      <w:r w:rsidRPr="00C00000">
        <w:rPr>
          <w:rFonts w:asciiTheme="minorHAnsi" w:hAnsiTheme="minorHAnsi"/>
        </w:rPr>
        <w:t>is required by s</w:t>
      </w:r>
      <w:r w:rsidR="00B522AF" w:rsidRPr="00C00000">
        <w:rPr>
          <w:rFonts w:asciiTheme="minorHAnsi" w:hAnsiTheme="minorHAnsi"/>
        </w:rPr>
        <w:t xml:space="preserve"> </w:t>
      </w:r>
      <w:r w:rsidR="004563C7" w:rsidRPr="00C00000">
        <w:rPr>
          <w:rFonts w:asciiTheme="minorHAnsi" w:hAnsiTheme="minorHAnsi"/>
        </w:rPr>
        <w:t>16AC</w:t>
      </w:r>
      <w:r w:rsidRPr="00C00000">
        <w:rPr>
          <w:rFonts w:asciiTheme="minorHAnsi" w:hAnsiTheme="minorHAnsi"/>
        </w:rPr>
        <w:t xml:space="preserve"> of the </w:t>
      </w:r>
      <w:r w:rsidR="00885EFD" w:rsidRPr="00885EFD">
        <w:rPr>
          <w:rFonts w:asciiTheme="minorHAnsi" w:hAnsiTheme="minorHAnsi"/>
          <w:i/>
          <w:iCs/>
        </w:rPr>
        <w:t>Crimes Act 1914</w:t>
      </w:r>
      <w:r w:rsidRPr="00C00000">
        <w:rPr>
          <w:rFonts w:asciiTheme="minorHAnsi" w:hAnsiTheme="minorHAnsi"/>
          <w:i/>
          <w:iCs/>
        </w:rPr>
        <w:t xml:space="preserve"> </w:t>
      </w:r>
      <w:r w:rsidRPr="00C00000">
        <w:rPr>
          <w:rFonts w:asciiTheme="minorHAnsi" w:hAnsiTheme="minorHAnsi"/>
          <w:iCs/>
        </w:rPr>
        <w:t>(Cth)</w:t>
      </w:r>
      <w:r w:rsidR="00B55B46" w:rsidRPr="00C00000">
        <w:rPr>
          <w:rStyle w:val="Style"/>
          <w:rFonts w:asciiTheme="minorHAnsi" w:hAnsiTheme="minorHAnsi"/>
        </w:rPr>
        <w:footnoteReference w:id="138"/>
      </w:r>
      <w:r w:rsidRPr="00C00000">
        <w:rPr>
          <w:rFonts w:asciiTheme="minorHAnsi" w:hAnsiTheme="minorHAnsi"/>
        </w:rPr>
        <w:t xml:space="preserve"> to specify the sentence (and non-parole period where imposed) that would have been imposed but for that reduction.  </w:t>
      </w:r>
      <w:bookmarkEnd w:id="1121"/>
      <w:r w:rsidR="00CB357D">
        <w:rPr>
          <w:rFonts w:asciiTheme="minorHAnsi" w:hAnsiTheme="minorHAnsi"/>
        </w:rPr>
        <w:t>The operation of this provision is described below: see “</w:t>
      </w:r>
      <w:r w:rsidR="00CB357D">
        <w:rPr>
          <w:rFonts w:asciiTheme="minorHAnsi" w:hAnsiTheme="minorHAnsi"/>
        </w:rPr>
        <w:fldChar w:fldCharType="begin"/>
      </w:r>
      <w:r w:rsidR="00CB357D">
        <w:rPr>
          <w:rFonts w:asciiTheme="minorHAnsi" w:hAnsiTheme="minorHAnsi"/>
        </w:rPr>
        <w:instrText xml:space="preserve"> REF _Ref485914114 \r \h  \* MERGEFORMAT </w:instrText>
      </w:r>
      <w:r w:rsidR="00CB357D">
        <w:rPr>
          <w:rFonts w:asciiTheme="minorHAnsi" w:hAnsiTheme="minorHAnsi"/>
        </w:rPr>
      </w:r>
      <w:r w:rsidR="00CB357D">
        <w:rPr>
          <w:rFonts w:asciiTheme="minorHAnsi" w:hAnsiTheme="minorHAnsi"/>
        </w:rPr>
        <w:fldChar w:fldCharType="separate"/>
      </w:r>
      <w:r w:rsidR="00D44BCF">
        <w:rPr>
          <w:rFonts w:asciiTheme="minorHAnsi" w:hAnsiTheme="minorHAnsi"/>
        </w:rPr>
        <w:t>7.7</w:t>
      </w:r>
      <w:r w:rsidR="00CB357D">
        <w:rPr>
          <w:rFonts w:asciiTheme="minorHAnsi" w:hAnsiTheme="minorHAnsi"/>
        </w:rPr>
        <w:fldChar w:fldCharType="end"/>
      </w:r>
      <w:r w:rsidR="002A4F73">
        <w:rPr>
          <w:rFonts w:asciiTheme="minorHAnsi" w:hAnsiTheme="minorHAnsi"/>
        </w:rPr>
        <w:t xml:space="preserve"> </w:t>
      </w:r>
      <w:r w:rsidR="002A4F73">
        <w:rPr>
          <w:rFonts w:asciiTheme="minorHAnsi" w:hAnsiTheme="minorHAnsi"/>
        </w:rPr>
        <w:fldChar w:fldCharType="begin"/>
      </w:r>
      <w:r w:rsidR="002A4F73">
        <w:rPr>
          <w:rFonts w:asciiTheme="minorHAnsi" w:hAnsiTheme="minorHAnsi"/>
        </w:rPr>
        <w:instrText xml:space="preserve"> REF _Ref494884223 \h  \* MERGEFORMAT </w:instrText>
      </w:r>
      <w:r w:rsidR="002A4F73">
        <w:rPr>
          <w:rFonts w:asciiTheme="minorHAnsi" w:hAnsiTheme="minorHAnsi"/>
        </w:rPr>
      </w:r>
      <w:r w:rsidR="002A4F73">
        <w:rPr>
          <w:rFonts w:asciiTheme="minorHAnsi" w:hAnsiTheme="minorHAnsi"/>
        </w:rPr>
        <w:fldChar w:fldCharType="separate"/>
      </w:r>
      <w:r w:rsidR="00D44BCF" w:rsidRPr="00D44BCF">
        <w:rPr>
          <w:rFonts w:asciiTheme="minorHAnsi" w:hAnsiTheme="minorHAnsi"/>
        </w:rPr>
        <w:t xml:space="preserve">Specifying a reduction for undertaking to co-operate in future - </w:t>
      </w:r>
      <w:r w:rsidR="00D44BCF" w:rsidRPr="00D44BCF">
        <w:rPr>
          <w:rFonts w:asciiTheme="minorHAnsi" w:hAnsiTheme="minorHAnsi"/>
          <w:i/>
        </w:rPr>
        <w:t>Crimes Act 1914</w:t>
      </w:r>
      <w:r w:rsidR="00D44BCF" w:rsidRPr="00D44BCF">
        <w:rPr>
          <w:rFonts w:asciiTheme="minorHAnsi" w:hAnsiTheme="minorHAnsi"/>
        </w:rPr>
        <w:t xml:space="preserve"> s 16AC</w:t>
      </w:r>
      <w:r w:rsidR="002A4F73">
        <w:rPr>
          <w:rFonts w:asciiTheme="minorHAnsi" w:hAnsiTheme="minorHAnsi"/>
        </w:rPr>
        <w:fldChar w:fldCharType="end"/>
      </w:r>
      <w:r w:rsidR="00CB357D">
        <w:rPr>
          <w:rFonts w:asciiTheme="minorHAnsi" w:hAnsiTheme="minorHAnsi"/>
        </w:rPr>
        <w:t>”.</w:t>
      </w:r>
    </w:p>
    <w:p w14:paraId="49097D11" w14:textId="77777777" w:rsidR="002F6222" w:rsidRPr="00C00000" w:rsidRDefault="002F6222" w:rsidP="00B07342">
      <w:pPr>
        <w:pStyle w:val="ListParagraph"/>
        <w:spacing w:line="276" w:lineRule="auto"/>
        <w:ind w:left="567" w:right="170"/>
        <w:contextualSpacing w:val="0"/>
        <w:rPr>
          <w:rFonts w:asciiTheme="minorHAnsi" w:eastAsiaTheme="minorEastAsia" w:hAnsiTheme="minorHAnsi" w:cstheme="minorBidi"/>
          <w:b/>
          <w:bCs/>
          <w:noProof/>
          <w:szCs w:val="22"/>
        </w:rPr>
      </w:pPr>
    </w:p>
    <w:p w14:paraId="0C0FE400" w14:textId="2E8130AB" w:rsidR="002F6222" w:rsidRPr="00C00000" w:rsidRDefault="006012B1" w:rsidP="003E7B85">
      <w:pPr>
        <w:pStyle w:val="Heading3"/>
      </w:pPr>
      <w:bookmarkStart w:id="1122" w:name="_Ref504405398"/>
      <w:bookmarkStart w:id="1123" w:name="_Ref504405400"/>
      <w:bookmarkStart w:id="1124" w:name="_Toc33602770"/>
      <w:r>
        <w:t xml:space="preserve">Statutory requirements to </w:t>
      </w:r>
      <w:r w:rsidR="00CB357D">
        <w:t>specif</w:t>
      </w:r>
      <w:r>
        <w:t>y</w:t>
      </w:r>
      <w:r w:rsidR="00CB357D">
        <w:t xml:space="preserve"> a sentence reduction for a </w:t>
      </w:r>
      <w:r w:rsidR="002F6222" w:rsidRPr="00C00000">
        <w:t>plea of guilty</w:t>
      </w:r>
      <w:bookmarkEnd w:id="1122"/>
      <w:bookmarkEnd w:id="1123"/>
      <w:bookmarkEnd w:id="1124"/>
    </w:p>
    <w:p w14:paraId="58AA79EA" w14:textId="77777777" w:rsidR="002F6222" w:rsidRPr="00C00000" w:rsidRDefault="002F6222" w:rsidP="003E7B85">
      <w:pPr>
        <w:pStyle w:val="ListParagraph"/>
        <w:keepNext/>
        <w:spacing w:line="276" w:lineRule="auto"/>
        <w:ind w:left="567" w:right="170"/>
        <w:contextualSpacing w:val="0"/>
        <w:rPr>
          <w:rFonts w:asciiTheme="minorHAnsi" w:hAnsiTheme="minorHAnsi"/>
        </w:rPr>
      </w:pPr>
    </w:p>
    <w:p w14:paraId="2F3147B5" w14:textId="0A091F6C" w:rsidR="00CB357D" w:rsidRDefault="0053432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second </w:t>
      </w:r>
      <w:r w:rsidR="00CB357D">
        <w:rPr>
          <w:rFonts w:asciiTheme="minorHAnsi" w:hAnsiTheme="minorHAnsi"/>
        </w:rPr>
        <w:t xml:space="preserve">example of a statutory requirement for two-stage sentencing </w:t>
      </w:r>
      <w:r w:rsidRPr="00C00000">
        <w:rPr>
          <w:rFonts w:asciiTheme="minorHAnsi" w:hAnsiTheme="minorHAnsi"/>
        </w:rPr>
        <w:t xml:space="preserve">is </w:t>
      </w:r>
      <w:r w:rsidR="00CB357D">
        <w:rPr>
          <w:rFonts w:asciiTheme="minorHAnsi" w:hAnsiTheme="minorHAnsi"/>
        </w:rPr>
        <w:t xml:space="preserve">where the court is required by </w:t>
      </w:r>
      <w:r w:rsidR="008732A2">
        <w:rPr>
          <w:rFonts w:asciiTheme="minorHAnsi" w:hAnsiTheme="minorHAnsi"/>
        </w:rPr>
        <w:t>statute</w:t>
      </w:r>
      <w:r w:rsidR="00CB357D">
        <w:rPr>
          <w:rFonts w:asciiTheme="minorHAnsi" w:hAnsiTheme="minorHAnsi"/>
        </w:rPr>
        <w:t xml:space="preserve"> to specify any sentence reduction for a guilty plea</w:t>
      </w:r>
      <w:r w:rsidR="008732A2">
        <w:rPr>
          <w:rFonts w:asciiTheme="minorHAnsi" w:hAnsiTheme="minorHAnsi"/>
        </w:rPr>
        <w:t xml:space="preserve">. </w:t>
      </w:r>
      <w:r w:rsidR="008732A2" w:rsidRPr="008732A2">
        <w:rPr>
          <w:rFonts w:asciiTheme="minorHAnsi" w:hAnsiTheme="minorHAnsi"/>
        </w:rPr>
        <w:t xml:space="preserve"> </w:t>
      </w:r>
      <w:r w:rsidR="008732A2">
        <w:rPr>
          <w:rFonts w:asciiTheme="minorHAnsi" w:hAnsiTheme="minorHAnsi"/>
        </w:rPr>
        <w:t>Although t</w:t>
      </w:r>
      <w:r w:rsidR="008732A2" w:rsidRPr="00C00000">
        <w:rPr>
          <w:rFonts w:asciiTheme="minorHAnsi" w:hAnsiTheme="minorHAnsi"/>
        </w:rPr>
        <w:t xml:space="preserve">he </w:t>
      </w:r>
      <w:r w:rsidR="00885EFD" w:rsidRPr="00885EFD">
        <w:rPr>
          <w:rFonts w:asciiTheme="minorHAnsi" w:hAnsiTheme="minorHAnsi"/>
          <w:i/>
        </w:rPr>
        <w:t>Crimes Act 1914</w:t>
      </w:r>
      <w:r w:rsidR="008732A2" w:rsidRPr="00C00000">
        <w:rPr>
          <w:rFonts w:asciiTheme="minorHAnsi" w:hAnsiTheme="minorHAnsi"/>
          <w:i/>
        </w:rPr>
        <w:t xml:space="preserve"> </w:t>
      </w:r>
      <w:r w:rsidR="008732A2" w:rsidRPr="00C00000">
        <w:rPr>
          <w:rFonts w:asciiTheme="minorHAnsi" w:hAnsiTheme="minorHAnsi"/>
        </w:rPr>
        <w:t>(Cth) makes no such provision</w:t>
      </w:r>
      <w:r w:rsidR="008732A2">
        <w:rPr>
          <w:rFonts w:asciiTheme="minorHAnsi" w:hAnsiTheme="minorHAnsi"/>
        </w:rPr>
        <w:t>,</w:t>
      </w:r>
      <w:r w:rsidR="008732A2" w:rsidRPr="00C00000">
        <w:rPr>
          <w:rStyle w:val="Style"/>
          <w:rFonts w:asciiTheme="minorHAnsi" w:hAnsiTheme="minorHAnsi"/>
        </w:rPr>
        <w:footnoteReference w:id="139"/>
      </w:r>
      <w:r w:rsidR="008732A2" w:rsidRPr="00C00000">
        <w:rPr>
          <w:rFonts w:asciiTheme="minorHAnsi" w:hAnsiTheme="minorHAnsi"/>
        </w:rPr>
        <w:t xml:space="preserve"> </w:t>
      </w:r>
      <w:r w:rsidR="008732A2">
        <w:rPr>
          <w:rFonts w:asciiTheme="minorHAnsi" w:hAnsiTheme="minorHAnsi"/>
        </w:rPr>
        <w:t>some State or Territory laws do so</w:t>
      </w:r>
      <w:r w:rsidR="00940361">
        <w:rPr>
          <w:rFonts w:asciiTheme="minorHAnsi" w:hAnsiTheme="minorHAnsi"/>
        </w:rPr>
        <w:t>.</w:t>
      </w:r>
      <w:r w:rsidR="001F42DA" w:rsidRPr="00C00000">
        <w:rPr>
          <w:rStyle w:val="Style"/>
          <w:rFonts w:asciiTheme="minorHAnsi" w:hAnsiTheme="minorHAnsi"/>
        </w:rPr>
        <w:footnoteReference w:id="140"/>
      </w:r>
    </w:p>
    <w:p w14:paraId="06B03C0C" w14:textId="77777777" w:rsidR="00CB357D" w:rsidRPr="00CB357D" w:rsidRDefault="00CB357D" w:rsidP="00CB357D">
      <w:pPr>
        <w:spacing w:line="276" w:lineRule="auto"/>
        <w:ind w:right="170"/>
        <w:rPr>
          <w:rFonts w:asciiTheme="minorHAnsi" w:hAnsiTheme="minorHAnsi"/>
        </w:rPr>
      </w:pPr>
    </w:p>
    <w:p w14:paraId="4DB7BB36" w14:textId="595D914E" w:rsidR="001F42DA" w:rsidRDefault="001F42D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As procedural laws, these State and Territory </w:t>
      </w:r>
      <w:r w:rsidR="00190E3D">
        <w:rPr>
          <w:rFonts w:asciiTheme="minorHAnsi" w:hAnsiTheme="minorHAnsi"/>
        </w:rPr>
        <w:t xml:space="preserve">laws </w:t>
      </w:r>
      <w:r w:rsidR="009E2523">
        <w:rPr>
          <w:rFonts w:asciiTheme="minorHAnsi" w:hAnsiTheme="minorHAnsi"/>
        </w:rPr>
        <w:t>appl</w:t>
      </w:r>
      <w:r w:rsidR="000A023A">
        <w:rPr>
          <w:rFonts w:asciiTheme="minorHAnsi" w:hAnsiTheme="minorHAnsi"/>
        </w:rPr>
        <w:t>y</w:t>
      </w:r>
      <w:r>
        <w:rPr>
          <w:rFonts w:asciiTheme="minorHAnsi" w:hAnsiTheme="minorHAnsi"/>
        </w:rPr>
        <w:t xml:space="preserve"> as surrogate federal laws to the sentencing of federal offenders, pursuant to ss 68 and 79 of the </w:t>
      </w:r>
      <w:r w:rsidRPr="007002B9">
        <w:rPr>
          <w:rFonts w:asciiTheme="minorHAnsi" w:hAnsiTheme="minorHAnsi"/>
          <w:i/>
        </w:rPr>
        <w:t>Judiciary Act 1903</w:t>
      </w:r>
      <w:r>
        <w:rPr>
          <w:rFonts w:asciiTheme="minorHAnsi" w:hAnsiTheme="minorHAnsi"/>
        </w:rPr>
        <w:t xml:space="preserve"> (Cth)</w:t>
      </w:r>
      <w:r w:rsidR="000A023A">
        <w:rPr>
          <w:rFonts w:asciiTheme="minorHAnsi" w:hAnsiTheme="minorHAnsi"/>
        </w:rPr>
        <w:t>,</w:t>
      </w:r>
      <w:r w:rsidR="00974059">
        <w:rPr>
          <w:rFonts w:asciiTheme="minorHAnsi" w:hAnsiTheme="minorHAnsi"/>
        </w:rPr>
        <w:t xml:space="preserve"> if there is no </w:t>
      </w:r>
      <w:r w:rsidR="00974059" w:rsidRPr="00D21334">
        <w:rPr>
          <w:rFonts w:asciiTheme="minorHAnsi" w:hAnsiTheme="minorHAnsi"/>
        </w:rPr>
        <w:t>Commonwealth law which</w:t>
      </w:r>
      <w:r w:rsidR="00974059">
        <w:rPr>
          <w:rFonts w:asciiTheme="minorHAnsi" w:hAnsiTheme="minorHAnsi"/>
          <w:i/>
        </w:rPr>
        <w:t xml:space="preserve"> “</w:t>
      </w:r>
      <w:r w:rsidR="00974059" w:rsidRPr="004A5745">
        <w:rPr>
          <w:rFonts w:asciiTheme="minorHAnsi" w:hAnsiTheme="minorHAnsi"/>
          <w:i/>
        </w:rPr>
        <w:t>expressly or by implication made contrary provision</w:t>
      </w:r>
      <w:r w:rsidR="00974059">
        <w:rPr>
          <w:rFonts w:asciiTheme="minorHAnsi" w:hAnsiTheme="minorHAnsi"/>
          <w:i/>
        </w:rPr>
        <w:t>”</w:t>
      </w:r>
      <w:r w:rsidR="00974059" w:rsidRPr="00974059">
        <w:rPr>
          <w:rFonts w:asciiTheme="minorHAnsi" w:hAnsiTheme="minorHAnsi"/>
          <w:i/>
        </w:rPr>
        <w:t>,</w:t>
      </w:r>
      <w:r w:rsidR="00974059">
        <w:rPr>
          <w:rFonts w:asciiTheme="minorHAnsi" w:hAnsiTheme="minorHAnsi"/>
          <w:i/>
        </w:rPr>
        <w:t xml:space="preserve"> </w:t>
      </w:r>
      <w:r w:rsidR="00974059" w:rsidRPr="00D21334">
        <w:rPr>
          <w:rFonts w:asciiTheme="minorHAnsi" w:hAnsiTheme="minorHAnsi"/>
        </w:rPr>
        <w:t>and no Commonwealth legislative scheme which is</w:t>
      </w:r>
      <w:r w:rsidR="00974059" w:rsidRPr="004A5745">
        <w:rPr>
          <w:rFonts w:asciiTheme="minorHAnsi" w:hAnsiTheme="minorHAnsi"/>
          <w:i/>
        </w:rPr>
        <w:t xml:space="preserve"> </w:t>
      </w:r>
      <w:r w:rsidR="00AA693C">
        <w:rPr>
          <w:rFonts w:asciiTheme="minorHAnsi" w:hAnsiTheme="minorHAnsi"/>
          <w:i/>
        </w:rPr>
        <w:t>‘‘</w:t>
      </w:r>
      <w:r w:rsidR="00974059" w:rsidRPr="004A5745">
        <w:rPr>
          <w:rFonts w:asciiTheme="minorHAnsi" w:hAnsiTheme="minorHAnsi"/>
          <w:i/>
        </w:rPr>
        <w:t>complete upon its face</w:t>
      </w:r>
      <w:r w:rsidR="00AA693C">
        <w:rPr>
          <w:rFonts w:asciiTheme="minorHAnsi" w:hAnsiTheme="minorHAnsi"/>
          <w:i/>
        </w:rPr>
        <w:t>’’</w:t>
      </w:r>
      <w:r w:rsidR="00974059" w:rsidRPr="004A5745">
        <w:rPr>
          <w:rFonts w:asciiTheme="minorHAnsi" w:hAnsiTheme="minorHAnsi"/>
          <w:i/>
        </w:rPr>
        <w:t xml:space="preserve"> </w:t>
      </w:r>
      <w:r w:rsidR="00974059" w:rsidRPr="00D21334">
        <w:rPr>
          <w:rFonts w:asciiTheme="minorHAnsi" w:hAnsiTheme="minorHAnsi"/>
        </w:rPr>
        <w:t>and could be</w:t>
      </w:r>
      <w:r w:rsidR="00974059">
        <w:rPr>
          <w:rFonts w:asciiTheme="minorHAnsi" w:hAnsiTheme="minorHAnsi"/>
          <w:i/>
        </w:rPr>
        <w:t xml:space="preserve"> </w:t>
      </w:r>
      <w:r w:rsidR="00AA693C">
        <w:rPr>
          <w:rFonts w:asciiTheme="minorHAnsi" w:hAnsiTheme="minorHAnsi"/>
          <w:i/>
        </w:rPr>
        <w:t>‘‘</w:t>
      </w:r>
      <w:r w:rsidR="00974059" w:rsidRPr="004A5745">
        <w:rPr>
          <w:rFonts w:asciiTheme="minorHAnsi" w:hAnsiTheme="minorHAnsi"/>
          <w:i/>
        </w:rPr>
        <w:t>be seen to have left no room</w:t>
      </w:r>
      <w:r w:rsidR="00AA693C">
        <w:rPr>
          <w:rFonts w:asciiTheme="minorHAnsi" w:hAnsiTheme="minorHAnsi"/>
          <w:i/>
        </w:rPr>
        <w:t>’’</w:t>
      </w:r>
      <w:r w:rsidR="00974059" w:rsidRPr="004A5745">
        <w:rPr>
          <w:rFonts w:asciiTheme="minorHAnsi" w:hAnsiTheme="minorHAnsi"/>
          <w:i/>
        </w:rPr>
        <w:t xml:space="preserve"> </w:t>
      </w:r>
      <w:r w:rsidR="00974059" w:rsidRPr="00D21334">
        <w:rPr>
          <w:rFonts w:asciiTheme="minorHAnsi" w:hAnsiTheme="minorHAnsi"/>
        </w:rPr>
        <w:t>for the operation of</w:t>
      </w:r>
      <w:r w:rsidR="00974059" w:rsidRPr="00BA2B0B">
        <w:rPr>
          <w:rFonts w:asciiTheme="minorHAnsi" w:hAnsiTheme="minorHAnsi"/>
        </w:rPr>
        <w:t xml:space="preserve"> </w:t>
      </w:r>
      <w:r w:rsidR="00974059">
        <w:rPr>
          <w:rFonts w:asciiTheme="minorHAnsi" w:hAnsiTheme="minorHAnsi"/>
        </w:rPr>
        <w:t>the State or Territory law.</w:t>
      </w:r>
      <w:r w:rsidR="00974059" w:rsidRPr="00C00000">
        <w:rPr>
          <w:rStyle w:val="Style"/>
          <w:rFonts w:asciiTheme="minorHAnsi" w:hAnsiTheme="minorHAnsi"/>
        </w:rPr>
        <w:footnoteReference w:id="141"/>
      </w:r>
    </w:p>
    <w:p w14:paraId="5B26BB32" w14:textId="77777777" w:rsidR="001F42DA" w:rsidRPr="001F42DA" w:rsidRDefault="001F42DA" w:rsidP="001F42DA">
      <w:pPr>
        <w:pStyle w:val="ListParagraph"/>
        <w:rPr>
          <w:rFonts w:asciiTheme="minorHAnsi" w:hAnsiTheme="minorHAnsi"/>
        </w:rPr>
      </w:pPr>
    </w:p>
    <w:p w14:paraId="55623A34" w14:textId="4DB91ABA" w:rsidR="005E79EC" w:rsidRDefault="0094036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00DD1D31">
        <w:rPr>
          <w:rFonts w:asciiTheme="minorHAnsi" w:hAnsiTheme="minorHAnsi"/>
        </w:rPr>
        <w:t>Victoria</w:t>
      </w:r>
      <w:r w:rsidR="00974059">
        <w:rPr>
          <w:rFonts w:asciiTheme="minorHAnsi" w:hAnsiTheme="minorHAnsi"/>
        </w:rPr>
        <w:t>,</w:t>
      </w:r>
      <w:r w:rsidR="00780A05" w:rsidRPr="00C00000">
        <w:rPr>
          <w:rStyle w:val="Style"/>
          <w:rFonts w:asciiTheme="minorHAnsi" w:hAnsiTheme="minorHAnsi"/>
        </w:rPr>
        <w:footnoteReference w:id="142"/>
      </w:r>
      <w:r w:rsidR="00DD1D31">
        <w:rPr>
          <w:rFonts w:asciiTheme="minorHAnsi" w:hAnsiTheme="minorHAnsi"/>
        </w:rPr>
        <w:t xml:space="preserve"> </w:t>
      </w:r>
      <w:r w:rsidR="00974059">
        <w:rPr>
          <w:rFonts w:asciiTheme="minorHAnsi" w:hAnsiTheme="minorHAnsi"/>
        </w:rPr>
        <w:t>a</w:t>
      </w:r>
      <w:r w:rsidR="00A84D73">
        <w:rPr>
          <w:rFonts w:asciiTheme="minorHAnsi" w:hAnsiTheme="minorHAnsi"/>
        </w:rPr>
        <w:t xml:space="preserve"> sentencing court must specify the sentence it would have imposed but for the guilty plea.</w:t>
      </w:r>
      <w:r w:rsidR="0053432F" w:rsidRPr="00C00000">
        <w:rPr>
          <w:rFonts w:asciiTheme="minorHAnsi" w:hAnsiTheme="minorHAnsi"/>
        </w:rPr>
        <w:t xml:space="preserve">  </w:t>
      </w:r>
      <w:r w:rsidR="00A84D73">
        <w:rPr>
          <w:rFonts w:asciiTheme="minorHAnsi" w:hAnsiTheme="minorHAnsi"/>
        </w:rPr>
        <w:t xml:space="preserve">Although </w:t>
      </w:r>
      <w:r w:rsidR="00D304CB">
        <w:rPr>
          <w:rFonts w:asciiTheme="minorHAnsi" w:hAnsiTheme="minorHAnsi"/>
        </w:rPr>
        <w:t>it has not been authoritatively determined whether th</w:t>
      </w:r>
      <w:r w:rsidR="00974059">
        <w:rPr>
          <w:rFonts w:asciiTheme="minorHAnsi" w:hAnsiTheme="minorHAnsi"/>
        </w:rPr>
        <w:t>is requirement</w:t>
      </w:r>
      <w:r w:rsidR="00D304CB">
        <w:rPr>
          <w:rFonts w:asciiTheme="minorHAnsi" w:hAnsiTheme="minorHAnsi"/>
        </w:rPr>
        <w:t xml:space="preserve"> </w:t>
      </w:r>
      <w:r w:rsidR="00974059">
        <w:rPr>
          <w:rFonts w:asciiTheme="minorHAnsi" w:hAnsiTheme="minorHAnsi"/>
        </w:rPr>
        <w:t xml:space="preserve">applies to the sentencing of a federal offender, </w:t>
      </w:r>
      <w:r w:rsidR="00D304CB">
        <w:rPr>
          <w:rFonts w:asciiTheme="minorHAnsi" w:hAnsiTheme="minorHAnsi"/>
        </w:rPr>
        <w:t>in a number of cases</w:t>
      </w:r>
      <w:r w:rsidR="00073A3B">
        <w:rPr>
          <w:rFonts w:asciiTheme="minorHAnsi" w:hAnsiTheme="minorHAnsi"/>
        </w:rPr>
        <w:t xml:space="preserve"> </w:t>
      </w:r>
      <w:r w:rsidR="0069431B">
        <w:rPr>
          <w:rFonts w:asciiTheme="minorHAnsi" w:hAnsiTheme="minorHAnsi"/>
        </w:rPr>
        <w:t>the Victorian Court of Appeal has</w:t>
      </w:r>
      <w:r w:rsidR="00D304CB">
        <w:rPr>
          <w:rFonts w:asciiTheme="minorHAnsi" w:hAnsiTheme="minorHAnsi"/>
        </w:rPr>
        <w:t xml:space="preserve"> proceeded on the assumption that </w:t>
      </w:r>
      <w:r w:rsidR="00974059">
        <w:rPr>
          <w:rFonts w:asciiTheme="minorHAnsi" w:hAnsiTheme="minorHAnsi"/>
        </w:rPr>
        <w:t>it does</w:t>
      </w:r>
      <w:r w:rsidR="00B522AF" w:rsidRPr="00C00000">
        <w:rPr>
          <w:rFonts w:asciiTheme="minorHAnsi" w:hAnsiTheme="minorHAnsi"/>
        </w:rPr>
        <w:t>.</w:t>
      </w:r>
      <w:bookmarkStart w:id="1125" w:name="_Ref504415303"/>
      <w:r w:rsidR="00D34865" w:rsidRPr="00C00000">
        <w:rPr>
          <w:rStyle w:val="Style"/>
          <w:rFonts w:asciiTheme="minorHAnsi" w:hAnsiTheme="minorHAnsi"/>
        </w:rPr>
        <w:footnoteReference w:id="143"/>
      </w:r>
      <w:bookmarkEnd w:id="1125"/>
    </w:p>
    <w:p w14:paraId="0EAB28BC" w14:textId="77777777" w:rsidR="005E79EC" w:rsidRPr="005E79EC" w:rsidRDefault="005E79EC" w:rsidP="005E79EC">
      <w:pPr>
        <w:pStyle w:val="ListParagraph"/>
        <w:rPr>
          <w:rFonts w:asciiTheme="minorHAnsi" w:hAnsiTheme="minorHAnsi"/>
        </w:rPr>
      </w:pPr>
    </w:p>
    <w:p w14:paraId="7C5E9C04" w14:textId="759C324D" w:rsidR="00B537F8" w:rsidRDefault="00DB078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Like the relevant provision in Victoria, t</w:t>
      </w:r>
      <w:r w:rsidR="004538F0">
        <w:rPr>
          <w:rFonts w:asciiTheme="minorHAnsi" w:hAnsiTheme="minorHAnsi"/>
        </w:rPr>
        <w:t xml:space="preserve">he </w:t>
      </w:r>
      <w:r w:rsidR="004538F0" w:rsidRPr="00627036">
        <w:rPr>
          <w:rFonts w:asciiTheme="minorHAnsi" w:hAnsiTheme="minorHAnsi"/>
          <w:i/>
        </w:rPr>
        <w:t>Sentencing Act 1995</w:t>
      </w:r>
      <w:r w:rsidR="004538F0" w:rsidRPr="00627036">
        <w:rPr>
          <w:rFonts w:asciiTheme="minorHAnsi" w:hAnsiTheme="minorHAnsi"/>
        </w:rPr>
        <w:t xml:space="preserve"> (WA)</w:t>
      </w:r>
      <w:r w:rsidR="004538F0">
        <w:rPr>
          <w:rFonts w:asciiTheme="minorHAnsi" w:hAnsiTheme="minorHAnsi"/>
        </w:rPr>
        <w:t>,</w:t>
      </w:r>
      <w:r w:rsidR="004538F0" w:rsidRPr="00627036">
        <w:rPr>
          <w:rFonts w:asciiTheme="minorHAnsi" w:hAnsiTheme="minorHAnsi"/>
        </w:rPr>
        <w:t xml:space="preserve"> s 9AA(5)</w:t>
      </w:r>
      <w:r w:rsidR="004538F0">
        <w:rPr>
          <w:rFonts w:asciiTheme="minorHAnsi" w:hAnsiTheme="minorHAnsi"/>
        </w:rPr>
        <w:t xml:space="preserve">, </w:t>
      </w:r>
      <w:r w:rsidR="00A86AF2">
        <w:rPr>
          <w:rFonts w:asciiTheme="minorHAnsi" w:hAnsiTheme="minorHAnsi"/>
        </w:rPr>
        <w:t xml:space="preserve">requires a court to state the extent of a reduction of sentence for a guilty plea.  </w:t>
      </w:r>
      <w:r w:rsidR="00A7373F">
        <w:rPr>
          <w:rFonts w:asciiTheme="minorHAnsi" w:hAnsiTheme="minorHAnsi"/>
        </w:rPr>
        <w:t>However, the W</w:t>
      </w:r>
      <w:r w:rsidR="00857743">
        <w:rPr>
          <w:rFonts w:asciiTheme="minorHAnsi" w:hAnsiTheme="minorHAnsi"/>
        </w:rPr>
        <w:t xml:space="preserve">estern </w:t>
      </w:r>
      <w:r w:rsidR="00A7373F">
        <w:rPr>
          <w:rFonts w:asciiTheme="minorHAnsi" w:hAnsiTheme="minorHAnsi"/>
        </w:rPr>
        <w:t>A</w:t>
      </w:r>
      <w:r w:rsidR="00857743">
        <w:rPr>
          <w:rFonts w:asciiTheme="minorHAnsi" w:hAnsiTheme="minorHAnsi"/>
        </w:rPr>
        <w:t>ustralian</w:t>
      </w:r>
      <w:r w:rsidR="00A7373F">
        <w:rPr>
          <w:rFonts w:asciiTheme="minorHAnsi" w:hAnsiTheme="minorHAnsi"/>
        </w:rPr>
        <w:t xml:space="preserve"> provision is significantly different from th</w:t>
      </w:r>
      <w:r w:rsidR="00974059">
        <w:rPr>
          <w:rFonts w:asciiTheme="minorHAnsi" w:hAnsiTheme="minorHAnsi"/>
        </w:rPr>
        <w:t>at in</w:t>
      </w:r>
      <w:r w:rsidR="00A7373F">
        <w:rPr>
          <w:rFonts w:asciiTheme="minorHAnsi" w:hAnsiTheme="minorHAnsi"/>
        </w:rPr>
        <w:t xml:space="preserve"> Victoria.</w:t>
      </w:r>
      <w:r w:rsidR="00A7373F" w:rsidRPr="00A7373F">
        <w:rPr>
          <w:rFonts w:asciiTheme="minorHAnsi" w:hAnsiTheme="minorHAnsi"/>
        </w:rPr>
        <w:t xml:space="preserve"> </w:t>
      </w:r>
      <w:r w:rsidR="00A7373F">
        <w:rPr>
          <w:rFonts w:asciiTheme="minorHAnsi" w:hAnsiTheme="minorHAnsi"/>
        </w:rPr>
        <w:t xml:space="preserve"> </w:t>
      </w:r>
      <w:r w:rsidR="00974059">
        <w:rPr>
          <w:rFonts w:asciiTheme="minorHAnsi" w:hAnsiTheme="minorHAnsi"/>
        </w:rPr>
        <w:t>Section 9AA(5)</w:t>
      </w:r>
      <w:r w:rsidR="00A7373F">
        <w:rPr>
          <w:rFonts w:asciiTheme="minorHAnsi" w:hAnsiTheme="minorHAnsi"/>
        </w:rPr>
        <w:t xml:space="preserve"> applies only if the court reduces a head sentence </w:t>
      </w:r>
      <w:r w:rsidR="00A7373F" w:rsidRPr="00C9606E">
        <w:rPr>
          <w:rFonts w:asciiTheme="minorHAnsi" w:hAnsiTheme="minorHAnsi"/>
          <w:i/>
        </w:rPr>
        <w:t>under s 9AA(2) of the Act</w:t>
      </w:r>
      <w:r w:rsidR="00A7373F">
        <w:rPr>
          <w:rFonts w:asciiTheme="minorHAnsi" w:hAnsiTheme="minorHAnsi"/>
        </w:rPr>
        <w:t xml:space="preserve">.  </w:t>
      </w:r>
      <w:r w:rsidR="00620FC1">
        <w:rPr>
          <w:rFonts w:asciiTheme="minorHAnsi" w:hAnsiTheme="minorHAnsi"/>
        </w:rPr>
        <w:t xml:space="preserve">That sub-section permits a court to </w:t>
      </w:r>
      <w:r w:rsidR="00620FC1" w:rsidRPr="00A7373F">
        <w:rPr>
          <w:rFonts w:asciiTheme="minorHAnsi" w:hAnsiTheme="minorHAnsi"/>
        </w:rPr>
        <w:t xml:space="preserve">reduce the head sentence for the offence in order to </w:t>
      </w:r>
      <w:r w:rsidR="00F47D0C">
        <w:rPr>
          <w:rFonts w:asciiTheme="minorHAnsi" w:hAnsiTheme="minorHAnsi"/>
        </w:rPr>
        <w:t>recogn</w:t>
      </w:r>
      <w:r w:rsidR="00B67C2C">
        <w:rPr>
          <w:rFonts w:asciiTheme="minorHAnsi" w:hAnsiTheme="minorHAnsi"/>
        </w:rPr>
        <w:t>ise</w:t>
      </w:r>
      <w:r w:rsidR="00620FC1" w:rsidRPr="00A7373F">
        <w:rPr>
          <w:rFonts w:asciiTheme="minorHAnsi" w:hAnsiTheme="minorHAnsi"/>
        </w:rPr>
        <w:t xml:space="preserve"> the benefits to the State, and to any victim of or witness to the offence.</w:t>
      </w:r>
      <w:r w:rsidR="00A86AF2">
        <w:rPr>
          <w:rFonts w:asciiTheme="minorHAnsi" w:hAnsiTheme="minorHAnsi"/>
        </w:rPr>
        <w:t xml:space="preserve"> </w:t>
      </w:r>
      <w:r w:rsidR="00A7373F">
        <w:rPr>
          <w:rFonts w:asciiTheme="minorHAnsi" w:hAnsiTheme="minorHAnsi"/>
        </w:rPr>
        <w:t xml:space="preserve"> Sub-section 9AA(4) of the Act imposes </w:t>
      </w:r>
      <w:r w:rsidR="00A86AF2">
        <w:rPr>
          <w:rFonts w:asciiTheme="minorHAnsi" w:hAnsiTheme="minorHAnsi"/>
        </w:rPr>
        <w:t>a limit (in percentage terms) on the permissible extent of the reduction</w:t>
      </w:r>
      <w:r w:rsidR="00A7373F">
        <w:rPr>
          <w:rFonts w:asciiTheme="minorHAnsi" w:hAnsiTheme="minorHAnsi"/>
        </w:rPr>
        <w:t xml:space="preserve"> if </w:t>
      </w:r>
      <w:r w:rsidR="00A7373F" w:rsidRPr="00A7373F">
        <w:rPr>
          <w:rFonts w:asciiTheme="minorHAnsi" w:hAnsiTheme="minorHAnsi"/>
        </w:rPr>
        <w:t>the head sentence for an offence is or includes a fixed term</w:t>
      </w:r>
      <w:r w:rsidR="00A86AF2">
        <w:rPr>
          <w:rFonts w:asciiTheme="minorHAnsi" w:hAnsiTheme="minorHAnsi"/>
        </w:rPr>
        <w:t>.</w:t>
      </w:r>
      <w:r w:rsidR="004538F0">
        <w:rPr>
          <w:rFonts w:asciiTheme="minorHAnsi" w:hAnsiTheme="minorHAnsi"/>
        </w:rPr>
        <w:t xml:space="preserve"> </w:t>
      </w:r>
      <w:r w:rsidR="004538F0" w:rsidRPr="00627036">
        <w:rPr>
          <w:rFonts w:asciiTheme="minorHAnsi" w:hAnsiTheme="minorHAnsi"/>
        </w:rPr>
        <w:t xml:space="preserve"> </w:t>
      </w:r>
      <w:r w:rsidR="004538F0">
        <w:rPr>
          <w:rFonts w:asciiTheme="minorHAnsi" w:hAnsiTheme="minorHAnsi"/>
        </w:rPr>
        <w:t xml:space="preserve">In </w:t>
      </w:r>
      <w:r w:rsidR="00A7373F" w:rsidRPr="00A7373F">
        <w:rPr>
          <w:rFonts w:asciiTheme="minorHAnsi" w:hAnsiTheme="minorHAnsi"/>
          <w:i/>
        </w:rPr>
        <w:t>Ngo</w:t>
      </w:r>
      <w:r w:rsidR="004538F0" w:rsidRPr="00627036">
        <w:rPr>
          <w:rFonts w:asciiTheme="minorHAnsi" w:hAnsiTheme="minorHAnsi"/>
        </w:rPr>
        <w:t>,</w:t>
      </w:r>
      <w:r w:rsidR="00A7373F" w:rsidRPr="00C00000">
        <w:rPr>
          <w:rStyle w:val="Style"/>
          <w:rFonts w:asciiTheme="minorHAnsi" w:hAnsiTheme="minorHAnsi"/>
        </w:rPr>
        <w:footnoteReference w:id="144"/>
      </w:r>
      <w:r w:rsidR="004538F0" w:rsidRPr="00627036">
        <w:rPr>
          <w:rFonts w:asciiTheme="minorHAnsi" w:hAnsiTheme="minorHAnsi"/>
        </w:rPr>
        <w:t xml:space="preserve"> the W</w:t>
      </w:r>
      <w:r w:rsidR="000A023A">
        <w:rPr>
          <w:rFonts w:asciiTheme="minorHAnsi" w:hAnsiTheme="minorHAnsi"/>
        </w:rPr>
        <w:t>estern Australian</w:t>
      </w:r>
      <w:r w:rsidR="004538F0" w:rsidRPr="00627036">
        <w:rPr>
          <w:rFonts w:asciiTheme="minorHAnsi" w:hAnsiTheme="minorHAnsi"/>
        </w:rPr>
        <w:t xml:space="preserve"> Court of Appeal held that </w:t>
      </w:r>
      <w:r w:rsidR="00A7373F">
        <w:rPr>
          <w:rFonts w:asciiTheme="minorHAnsi" w:hAnsiTheme="minorHAnsi"/>
        </w:rPr>
        <w:t>s 9AA(5)</w:t>
      </w:r>
      <w:r w:rsidR="004538F0" w:rsidRPr="00627036">
        <w:rPr>
          <w:rFonts w:asciiTheme="minorHAnsi" w:hAnsiTheme="minorHAnsi"/>
        </w:rPr>
        <w:t xml:space="preserve"> did not apply to the sentencing of a federal offender</w:t>
      </w:r>
      <w:r w:rsidR="00A7373F">
        <w:rPr>
          <w:rFonts w:asciiTheme="minorHAnsi" w:hAnsiTheme="minorHAnsi"/>
        </w:rPr>
        <w:t>, because</w:t>
      </w:r>
      <w:r w:rsidR="004538F0">
        <w:rPr>
          <w:rFonts w:asciiTheme="minorHAnsi" w:hAnsiTheme="minorHAnsi"/>
        </w:rPr>
        <w:t xml:space="preserve"> the </w:t>
      </w:r>
      <w:r w:rsidR="00935E50">
        <w:rPr>
          <w:rFonts w:asciiTheme="minorHAnsi" w:hAnsiTheme="minorHAnsi"/>
        </w:rPr>
        <w:t xml:space="preserve">detailed and exhaustive </w:t>
      </w:r>
      <w:r w:rsidR="004538F0">
        <w:rPr>
          <w:rFonts w:asciiTheme="minorHAnsi" w:hAnsiTheme="minorHAnsi"/>
        </w:rPr>
        <w:t xml:space="preserve">provision in s 9AA </w:t>
      </w:r>
      <w:r w:rsidR="00A7373F">
        <w:rPr>
          <w:rFonts w:asciiTheme="minorHAnsi" w:hAnsiTheme="minorHAnsi"/>
        </w:rPr>
        <w:t xml:space="preserve">relating to the reduction of sentence for a guilty plea </w:t>
      </w:r>
      <w:r w:rsidR="004538F0">
        <w:rPr>
          <w:rFonts w:asciiTheme="minorHAnsi" w:hAnsiTheme="minorHAnsi"/>
        </w:rPr>
        <w:t xml:space="preserve">was inconsistent with the general </w:t>
      </w:r>
      <w:r w:rsidR="00935E50">
        <w:rPr>
          <w:rFonts w:asciiTheme="minorHAnsi" w:hAnsiTheme="minorHAnsi"/>
        </w:rPr>
        <w:t>and unqualified provision in</w:t>
      </w:r>
      <w:r w:rsidR="004538F0">
        <w:rPr>
          <w:rFonts w:asciiTheme="minorHAnsi" w:hAnsiTheme="minorHAnsi"/>
        </w:rPr>
        <w:t xml:space="preserve"> s 16A(2)(g) of the </w:t>
      </w:r>
      <w:r w:rsidR="00885EFD" w:rsidRPr="00885EFD">
        <w:rPr>
          <w:rFonts w:asciiTheme="minorHAnsi" w:hAnsiTheme="minorHAnsi"/>
          <w:i/>
        </w:rPr>
        <w:t>Crimes Act 1914</w:t>
      </w:r>
      <w:r w:rsidR="004538F0" w:rsidRPr="00935E50">
        <w:rPr>
          <w:rFonts w:asciiTheme="minorHAnsi" w:hAnsiTheme="minorHAnsi"/>
          <w:i/>
        </w:rPr>
        <w:t xml:space="preserve"> </w:t>
      </w:r>
      <w:r w:rsidR="004538F0">
        <w:rPr>
          <w:rFonts w:asciiTheme="minorHAnsi" w:hAnsiTheme="minorHAnsi"/>
        </w:rPr>
        <w:t xml:space="preserve">(Cth).  </w:t>
      </w:r>
      <w:r w:rsidR="00935E50">
        <w:rPr>
          <w:rFonts w:asciiTheme="minorHAnsi" w:hAnsiTheme="minorHAnsi"/>
        </w:rPr>
        <w:t xml:space="preserve">That is, there was </w:t>
      </w:r>
      <w:r w:rsidR="00935E50" w:rsidRPr="00935E50">
        <w:rPr>
          <w:rFonts w:asciiTheme="minorHAnsi" w:hAnsiTheme="minorHAnsi"/>
        </w:rPr>
        <w:t xml:space="preserve">no room in the Commonwealth legislative scheme embodied in </w:t>
      </w:r>
      <w:r w:rsidR="00190E3D">
        <w:rPr>
          <w:rFonts w:asciiTheme="minorHAnsi" w:hAnsiTheme="minorHAnsi"/>
        </w:rPr>
        <w:t xml:space="preserve">Part </w:t>
      </w:r>
      <w:r w:rsidR="00E45830">
        <w:rPr>
          <w:rFonts w:asciiTheme="minorHAnsi" w:hAnsiTheme="minorHAnsi"/>
        </w:rPr>
        <w:t>IB</w:t>
      </w:r>
      <w:r w:rsidR="00935E50" w:rsidRPr="00935E50">
        <w:rPr>
          <w:rFonts w:asciiTheme="minorHAnsi" w:hAnsiTheme="minorHAnsi"/>
        </w:rPr>
        <w:t xml:space="preserve"> of the </w:t>
      </w:r>
      <w:r w:rsidR="00935E50" w:rsidRPr="00EB7F1E">
        <w:rPr>
          <w:rFonts w:asciiTheme="minorHAnsi" w:hAnsiTheme="minorHAnsi"/>
          <w:i/>
          <w:iCs/>
        </w:rPr>
        <w:t>Crimes Act</w:t>
      </w:r>
      <w:r w:rsidR="00935E50" w:rsidRPr="00935E50">
        <w:rPr>
          <w:rFonts w:asciiTheme="minorHAnsi" w:hAnsiTheme="minorHAnsi"/>
        </w:rPr>
        <w:t xml:space="preserve"> for the operation of s 9AA.</w:t>
      </w:r>
    </w:p>
    <w:p w14:paraId="5D719BFB" w14:textId="77777777" w:rsidR="00B537F8" w:rsidRPr="00B537F8" w:rsidRDefault="00B537F8" w:rsidP="00B537F8">
      <w:pPr>
        <w:pStyle w:val="ListParagraph"/>
        <w:rPr>
          <w:rFonts w:asciiTheme="minorHAnsi" w:hAnsiTheme="minorHAnsi"/>
          <w:i/>
        </w:rPr>
      </w:pPr>
    </w:p>
    <w:p w14:paraId="1000354F" w14:textId="11B03FD1" w:rsidR="003D19EF" w:rsidRPr="00052BA9" w:rsidRDefault="00B537F8" w:rsidP="00EB7F1E">
      <w:pPr>
        <w:pStyle w:val="ListParagraph"/>
        <w:numPr>
          <w:ilvl w:val="0"/>
          <w:numId w:val="7"/>
        </w:numPr>
        <w:spacing w:line="276" w:lineRule="auto"/>
        <w:ind w:left="425" w:hanging="425"/>
        <w:contextualSpacing w:val="0"/>
        <w:rPr>
          <w:rFonts w:asciiTheme="minorHAnsi" w:hAnsiTheme="minorHAnsi"/>
        </w:rPr>
      </w:pPr>
      <w:r w:rsidRPr="00B537F8">
        <w:rPr>
          <w:rFonts w:asciiTheme="minorHAnsi" w:hAnsiTheme="minorHAnsi"/>
        </w:rPr>
        <w:t xml:space="preserve">The </w:t>
      </w:r>
      <w:r w:rsidR="00F54D65">
        <w:rPr>
          <w:rFonts w:asciiTheme="minorHAnsi" w:hAnsiTheme="minorHAnsi"/>
        </w:rPr>
        <w:t>decision in</w:t>
      </w:r>
      <w:r>
        <w:rPr>
          <w:rFonts w:asciiTheme="minorHAnsi" w:hAnsiTheme="minorHAnsi"/>
          <w:i/>
        </w:rPr>
        <w:t xml:space="preserve"> </w:t>
      </w:r>
      <w:r w:rsidR="004538F0" w:rsidRPr="004519A4">
        <w:rPr>
          <w:rFonts w:asciiTheme="minorHAnsi" w:hAnsiTheme="minorHAnsi"/>
          <w:i/>
        </w:rPr>
        <w:t>Ngo</w:t>
      </w:r>
      <w:r w:rsidR="004538F0">
        <w:rPr>
          <w:rFonts w:asciiTheme="minorHAnsi" w:hAnsiTheme="minorHAnsi"/>
        </w:rPr>
        <w:t xml:space="preserve"> </w:t>
      </w:r>
      <w:r w:rsidR="00F54D65">
        <w:rPr>
          <w:rFonts w:asciiTheme="minorHAnsi" w:hAnsiTheme="minorHAnsi"/>
        </w:rPr>
        <w:t xml:space="preserve">did </w:t>
      </w:r>
      <w:r w:rsidR="004538F0">
        <w:rPr>
          <w:rFonts w:asciiTheme="minorHAnsi" w:hAnsiTheme="minorHAnsi"/>
        </w:rPr>
        <w:t xml:space="preserve">not </w:t>
      </w:r>
      <w:r w:rsidR="00F54D65">
        <w:rPr>
          <w:rFonts w:asciiTheme="minorHAnsi" w:hAnsiTheme="minorHAnsi"/>
        </w:rPr>
        <w:t>suggest that</w:t>
      </w:r>
      <w:r w:rsidR="004538F0">
        <w:rPr>
          <w:rFonts w:asciiTheme="minorHAnsi" w:hAnsiTheme="minorHAnsi"/>
        </w:rPr>
        <w:t xml:space="preserve"> a requirement under State </w:t>
      </w:r>
      <w:r>
        <w:rPr>
          <w:rFonts w:asciiTheme="minorHAnsi" w:hAnsiTheme="minorHAnsi"/>
        </w:rPr>
        <w:t>o</w:t>
      </w:r>
      <w:r w:rsidR="00C9606E">
        <w:rPr>
          <w:rFonts w:asciiTheme="minorHAnsi" w:hAnsiTheme="minorHAnsi"/>
        </w:rPr>
        <w:t>r</w:t>
      </w:r>
      <w:r>
        <w:rPr>
          <w:rFonts w:asciiTheme="minorHAnsi" w:hAnsiTheme="minorHAnsi"/>
        </w:rPr>
        <w:t xml:space="preserve"> Territory </w:t>
      </w:r>
      <w:r w:rsidR="004538F0">
        <w:rPr>
          <w:rFonts w:asciiTheme="minorHAnsi" w:hAnsiTheme="minorHAnsi"/>
        </w:rPr>
        <w:t xml:space="preserve">law to specify the sentence reduction for a guilty plea is </w:t>
      </w:r>
      <w:r w:rsidR="00F54D65">
        <w:rPr>
          <w:rFonts w:asciiTheme="minorHAnsi" w:hAnsiTheme="minorHAnsi"/>
        </w:rPr>
        <w:t xml:space="preserve">itself </w:t>
      </w:r>
      <w:r w:rsidR="004538F0">
        <w:rPr>
          <w:rFonts w:asciiTheme="minorHAnsi" w:hAnsiTheme="minorHAnsi"/>
        </w:rPr>
        <w:t>necessarily inconsistent with s 16A</w:t>
      </w:r>
      <w:r w:rsidR="00F54D65">
        <w:rPr>
          <w:rFonts w:asciiTheme="minorHAnsi" w:hAnsiTheme="minorHAnsi"/>
        </w:rPr>
        <w:t xml:space="preserve"> of the </w:t>
      </w:r>
      <w:r w:rsidR="00885EFD" w:rsidRPr="00885EFD">
        <w:rPr>
          <w:rFonts w:asciiTheme="minorHAnsi" w:hAnsiTheme="minorHAnsi"/>
          <w:i/>
        </w:rPr>
        <w:t>Crimes Act 1914</w:t>
      </w:r>
      <w:r w:rsidR="004538F0">
        <w:rPr>
          <w:rFonts w:asciiTheme="minorHAnsi" w:hAnsiTheme="minorHAnsi"/>
        </w:rPr>
        <w:t>.</w:t>
      </w:r>
      <w:r w:rsidR="00940361" w:rsidRPr="00940361">
        <w:rPr>
          <w:rFonts w:asciiTheme="minorHAnsi" w:hAnsiTheme="minorHAnsi"/>
        </w:rPr>
        <w:t xml:space="preserve"> </w:t>
      </w:r>
      <w:r>
        <w:rPr>
          <w:rFonts w:asciiTheme="minorHAnsi" w:hAnsiTheme="minorHAnsi"/>
        </w:rPr>
        <w:t xml:space="preserve"> The inconsistency identified in that case arose from the prescriptive nature of the legislation under consideration as to the reduction of sentence for a plea of guilty, not merely from the existence of a requirement to specify the extent of the reduction.</w:t>
      </w:r>
    </w:p>
    <w:p w14:paraId="5C212E31" w14:textId="22621DDF" w:rsidR="00052BA9" w:rsidRDefault="00052BA9" w:rsidP="00052BA9">
      <w:pPr>
        <w:pStyle w:val="ListParagraph"/>
        <w:rPr>
          <w:rFonts w:asciiTheme="minorHAnsi" w:hAnsiTheme="minorHAnsi"/>
        </w:rPr>
      </w:pPr>
    </w:p>
    <w:p w14:paraId="2920B08E" w14:textId="7E957386" w:rsidR="00F54D65" w:rsidRDefault="00F54D6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position in the ACT is uncertain.  Section 35 of the </w:t>
      </w:r>
      <w:r w:rsidRPr="00F54D65">
        <w:rPr>
          <w:rFonts w:asciiTheme="minorHAnsi" w:hAnsiTheme="minorHAnsi"/>
          <w:i/>
        </w:rPr>
        <w:t>Crimes (Sentencing) Act 2005</w:t>
      </w:r>
      <w:r>
        <w:rPr>
          <w:rFonts w:asciiTheme="minorHAnsi" w:hAnsiTheme="minorHAnsi"/>
        </w:rPr>
        <w:t xml:space="preserve"> (ACT) provides for reduction of sentences for an offender who has pleaded guilty.  Section 37 of that Act requires a </w:t>
      </w:r>
      <w:r w:rsidR="0001478C">
        <w:rPr>
          <w:rFonts w:asciiTheme="minorHAnsi" w:hAnsiTheme="minorHAnsi"/>
        </w:rPr>
        <w:t xml:space="preserve">court which has (amongst other circumstances) imposed </w:t>
      </w:r>
      <w:r w:rsidR="0001478C" w:rsidRPr="0001478C">
        <w:rPr>
          <w:rFonts w:asciiTheme="minorHAnsi" w:hAnsiTheme="minorHAnsi"/>
        </w:rPr>
        <w:t xml:space="preserve">a lesser penalty for an offence under </w:t>
      </w:r>
      <w:r w:rsidR="0001478C">
        <w:rPr>
          <w:rFonts w:asciiTheme="minorHAnsi" w:hAnsiTheme="minorHAnsi"/>
        </w:rPr>
        <w:t xml:space="preserve">s </w:t>
      </w:r>
      <w:r w:rsidR="0001478C" w:rsidRPr="0001478C">
        <w:rPr>
          <w:rFonts w:asciiTheme="minorHAnsi" w:hAnsiTheme="minorHAnsi"/>
        </w:rPr>
        <w:t>35</w:t>
      </w:r>
      <w:r w:rsidR="0001478C">
        <w:rPr>
          <w:rFonts w:asciiTheme="minorHAnsi" w:hAnsiTheme="minorHAnsi"/>
        </w:rPr>
        <w:t xml:space="preserve"> to state the penalty it would otherwise have imposed.  Like the provision in Western Australia, s 35 is to some extent prescriptive of the circumstances in which</w:t>
      </w:r>
      <w:r w:rsidR="00D15965">
        <w:rPr>
          <w:rFonts w:asciiTheme="minorHAnsi" w:hAnsiTheme="minorHAnsi"/>
        </w:rPr>
        <w:t>, and the extent to which,</w:t>
      </w:r>
      <w:r w:rsidR="0001478C">
        <w:rPr>
          <w:rFonts w:asciiTheme="minorHAnsi" w:hAnsiTheme="minorHAnsi"/>
        </w:rPr>
        <w:t xml:space="preserve"> a court may reduce a sentence for a plea of guilty</w:t>
      </w:r>
      <w:r w:rsidR="009A579B">
        <w:rPr>
          <w:rFonts w:asciiTheme="minorHAnsi" w:hAnsiTheme="minorHAnsi"/>
        </w:rPr>
        <w:t>.</w:t>
      </w:r>
      <w:r w:rsidR="0001478C">
        <w:rPr>
          <w:rFonts w:asciiTheme="minorHAnsi" w:hAnsiTheme="minorHAnsi"/>
        </w:rPr>
        <w:t xml:space="preserve"> </w:t>
      </w:r>
      <w:r w:rsidR="009A579B">
        <w:rPr>
          <w:rFonts w:asciiTheme="minorHAnsi" w:hAnsiTheme="minorHAnsi"/>
        </w:rPr>
        <w:t xml:space="preserve"> For </w:t>
      </w:r>
      <w:r w:rsidR="0001478C">
        <w:rPr>
          <w:rFonts w:asciiTheme="minorHAnsi" w:hAnsiTheme="minorHAnsi"/>
        </w:rPr>
        <w:t xml:space="preserve">example, s 35(4) provides that </w:t>
      </w:r>
      <w:r w:rsidR="0001478C" w:rsidRPr="0001478C">
        <w:rPr>
          <w:rFonts w:asciiTheme="minorHAnsi" w:hAnsiTheme="minorHAnsi"/>
        </w:rPr>
        <w:t xml:space="preserve">the court must not make any significant reduction for the fact that the </w:t>
      </w:r>
      <w:hyperlink r:id="rId18" w:anchor="offender" w:history="1">
        <w:r w:rsidR="0001478C" w:rsidRPr="0001478C">
          <w:rPr>
            <w:rFonts w:asciiTheme="minorHAnsi" w:hAnsiTheme="minorHAnsi"/>
          </w:rPr>
          <w:t>offender</w:t>
        </w:r>
      </w:hyperlink>
      <w:r w:rsidR="0001478C" w:rsidRPr="0001478C">
        <w:rPr>
          <w:rFonts w:asciiTheme="minorHAnsi" w:hAnsiTheme="minorHAnsi"/>
        </w:rPr>
        <w:t xml:space="preserve"> pleaded guilty if, based on </w:t>
      </w:r>
      <w:hyperlink r:id="rId19" w:anchor="established_facts" w:history="1">
        <w:r w:rsidR="0001478C" w:rsidRPr="0001478C">
          <w:rPr>
            <w:rFonts w:asciiTheme="minorHAnsi" w:hAnsiTheme="minorHAnsi"/>
          </w:rPr>
          <w:t>established facts</w:t>
        </w:r>
      </w:hyperlink>
      <w:r w:rsidR="0001478C" w:rsidRPr="0001478C">
        <w:rPr>
          <w:rFonts w:asciiTheme="minorHAnsi" w:hAnsiTheme="minorHAnsi"/>
        </w:rPr>
        <w:t>, the court considers that the prosecution</w:t>
      </w:r>
      <w:r w:rsidR="00AA693C">
        <w:rPr>
          <w:rFonts w:asciiTheme="minorHAnsi" w:hAnsiTheme="minorHAnsi"/>
        </w:rPr>
        <w:t>’</w:t>
      </w:r>
      <w:r w:rsidR="0001478C" w:rsidRPr="0001478C">
        <w:rPr>
          <w:rFonts w:asciiTheme="minorHAnsi" w:hAnsiTheme="minorHAnsi"/>
        </w:rPr>
        <w:t>s case for the offence was overwhelmingly strong.</w:t>
      </w:r>
      <w:r w:rsidR="00D15965">
        <w:rPr>
          <w:rFonts w:asciiTheme="minorHAnsi" w:hAnsiTheme="minorHAnsi"/>
        </w:rPr>
        <w:t xml:space="preserve">  It is at least arguable that the conclusion reached in </w:t>
      </w:r>
      <w:r w:rsidR="00D15965" w:rsidRPr="00D15965">
        <w:rPr>
          <w:rFonts w:asciiTheme="minorHAnsi" w:hAnsiTheme="minorHAnsi"/>
          <w:i/>
        </w:rPr>
        <w:t>Ngo</w:t>
      </w:r>
      <w:r w:rsidR="00D15965">
        <w:rPr>
          <w:rFonts w:asciiTheme="minorHAnsi" w:hAnsiTheme="minorHAnsi"/>
        </w:rPr>
        <w:t xml:space="preserve"> would be equally applicable to the ACT provision.</w:t>
      </w:r>
    </w:p>
    <w:p w14:paraId="52965114" w14:textId="77777777" w:rsidR="00F54D65" w:rsidRPr="00052BA9" w:rsidRDefault="00F54D65" w:rsidP="00052BA9">
      <w:pPr>
        <w:pStyle w:val="ListParagraph"/>
        <w:rPr>
          <w:rFonts w:asciiTheme="minorHAnsi" w:hAnsiTheme="minorHAnsi"/>
        </w:rPr>
      </w:pPr>
    </w:p>
    <w:p w14:paraId="467619E5" w14:textId="0749927E" w:rsidR="00974059" w:rsidRPr="002A4404" w:rsidRDefault="00974059" w:rsidP="00EB7F1E">
      <w:pPr>
        <w:pStyle w:val="ListParagraph"/>
        <w:numPr>
          <w:ilvl w:val="0"/>
          <w:numId w:val="7"/>
        </w:numPr>
        <w:spacing w:line="276" w:lineRule="auto"/>
        <w:ind w:left="425" w:hanging="425"/>
        <w:contextualSpacing w:val="0"/>
        <w:rPr>
          <w:rFonts w:asciiTheme="minorHAnsi" w:hAnsiTheme="minorHAnsi"/>
        </w:rPr>
      </w:pPr>
      <w:r w:rsidRPr="002A4404">
        <w:rPr>
          <w:rFonts w:asciiTheme="minorHAnsi" w:hAnsiTheme="minorHAnsi"/>
        </w:rPr>
        <w:t>Procedural issues relating to these provision</w:t>
      </w:r>
      <w:r w:rsidR="00D15965">
        <w:rPr>
          <w:rFonts w:asciiTheme="minorHAnsi" w:hAnsiTheme="minorHAnsi"/>
        </w:rPr>
        <w:t>s, to the extent that they are applicable to the sentencing of a federal offender,</w:t>
      </w:r>
      <w:r w:rsidRPr="002A4404">
        <w:rPr>
          <w:rFonts w:asciiTheme="minorHAnsi" w:hAnsiTheme="minorHAnsi"/>
        </w:rPr>
        <w:t xml:space="preserve"> are discussed below: see “</w:t>
      </w:r>
      <w:r>
        <w:rPr>
          <w:rFonts w:asciiTheme="minorHAnsi" w:hAnsiTheme="minorHAnsi"/>
        </w:rPr>
        <w:fldChar w:fldCharType="begin"/>
      </w:r>
      <w:r>
        <w:rPr>
          <w:rFonts w:asciiTheme="minorHAnsi" w:hAnsiTheme="minorHAnsi"/>
        </w:rPr>
        <w:instrText xml:space="preserve"> REF _Ref495337739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7.8</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_Ref495337747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Specifying a discount for a guilty plea</w:t>
      </w:r>
      <w:r>
        <w:rPr>
          <w:rFonts w:asciiTheme="minorHAnsi" w:hAnsiTheme="minorHAnsi"/>
        </w:rPr>
        <w:fldChar w:fldCharType="end"/>
      </w:r>
      <w:r>
        <w:rPr>
          <w:rFonts w:asciiTheme="minorHAnsi" w:hAnsiTheme="minorHAnsi"/>
        </w:rPr>
        <w:t>”</w:t>
      </w:r>
      <w:r w:rsidRPr="002A4404">
        <w:rPr>
          <w:rFonts w:asciiTheme="minorHAnsi" w:hAnsiTheme="minorHAnsi"/>
        </w:rPr>
        <w:t xml:space="preserve"> and “</w:t>
      </w:r>
      <w:r w:rsidRPr="002A4404">
        <w:rPr>
          <w:rFonts w:asciiTheme="minorHAnsi" w:hAnsiTheme="minorHAnsi"/>
        </w:rPr>
        <w:fldChar w:fldCharType="begin"/>
      </w:r>
      <w:r w:rsidRPr="002A4404">
        <w:rPr>
          <w:rFonts w:asciiTheme="minorHAnsi" w:hAnsiTheme="minorHAnsi"/>
        </w:rPr>
        <w:instrText xml:space="preserve"> REF _Ref494293566 \r \h  \* MERGEFORMAT </w:instrText>
      </w:r>
      <w:r w:rsidRPr="002A4404">
        <w:rPr>
          <w:rFonts w:asciiTheme="minorHAnsi" w:hAnsiTheme="minorHAnsi"/>
        </w:rPr>
      </w:r>
      <w:r w:rsidRPr="002A4404">
        <w:rPr>
          <w:rFonts w:asciiTheme="minorHAnsi" w:hAnsiTheme="minorHAnsi"/>
        </w:rPr>
        <w:fldChar w:fldCharType="separate"/>
      </w:r>
      <w:r w:rsidR="00D44BCF">
        <w:rPr>
          <w:rFonts w:asciiTheme="minorHAnsi" w:hAnsiTheme="minorHAnsi"/>
        </w:rPr>
        <w:t>7.9</w:t>
      </w:r>
      <w:r w:rsidRPr="002A4404">
        <w:rPr>
          <w:rFonts w:asciiTheme="minorHAnsi" w:hAnsiTheme="minorHAnsi"/>
        </w:rPr>
        <w:fldChar w:fldCharType="end"/>
      </w:r>
      <w:r w:rsidRPr="002A4404">
        <w:rPr>
          <w:rFonts w:asciiTheme="minorHAnsi" w:hAnsiTheme="minorHAnsi"/>
        </w:rPr>
        <w:t xml:space="preserve"> </w:t>
      </w:r>
      <w:r w:rsidRPr="002A4404">
        <w:rPr>
          <w:rFonts w:asciiTheme="minorHAnsi" w:hAnsiTheme="minorHAnsi"/>
        </w:rPr>
        <w:fldChar w:fldCharType="begin"/>
      </w:r>
      <w:r w:rsidRPr="002A4404">
        <w:rPr>
          <w:rFonts w:asciiTheme="minorHAnsi" w:hAnsiTheme="minorHAnsi"/>
        </w:rPr>
        <w:instrText xml:space="preserve"> REF _Ref494293574 \h  \* MERGEFORMAT </w:instrText>
      </w:r>
      <w:r w:rsidRPr="002A4404">
        <w:rPr>
          <w:rFonts w:asciiTheme="minorHAnsi" w:hAnsiTheme="minorHAnsi"/>
        </w:rPr>
      </w:r>
      <w:r w:rsidRPr="002A4404">
        <w:rPr>
          <w:rFonts w:asciiTheme="minorHAnsi" w:hAnsiTheme="minorHAnsi"/>
        </w:rPr>
        <w:fldChar w:fldCharType="separate"/>
      </w:r>
      <w:r w:rsidR="00D44BCF" w:rsidRPr="00D44BCF">
        <w:rPr>
          <w:rFonts w:asciiTheme="minorHAnsi" w:hAnsiTheme="minorHAnsi"/>
        </w:rPr>
        <w:t>Interaction between sentencing discount for guilty plea and discount for undertaking to co-operate</w:t>
      </w:r>
      <w:r w:rsidRPr="002A4404">
        <w:rPr>
          <w:rFonts w:asciiTheme="minorHAnsi" w:hAnsiTheme="minorHAnsi"/>
        </w:rPr>
        <w:fldChar w:fldCharType="end"/>
      </w:r>
      <w:r w:rsidRPr="002A4404">
        <w:rPr>
          <w:rFonts w:asciiTheme="minorHAnsi" w:hAnsiTheme="minorHAnsi"/>
        </w:rPr>
        <w:t>”.</w:t>
      </w:r>
    </w:p>
    <w:p w14:paraId="3BCC30AC" w14:textId="77777777" w:rsidR="00974059" w:rsidRPr="00C00000" w:rsidRDefault="00974059" w:rsidP="00974059">
      <w:pPr>
        <w:spacing w:line="276" w:lineRule="auto"/>
        <w:ind w:left="567" w:right="170" w:hanging="567"/>
        <w:jc w:val="both"/>
        <w:rPr>
          <w:rFonts w:asciiTheme="minorHAnsi" w:hAnsiTheme="minorHAnsi"/>
        </w:rPr>
      </w:pPr>
    </w:p>
    <w:p w14:paraId="2A282C9F" w14:textId="77777777" w:rsidR="00E37520" w:rsidRPr="00C00000" w:rsidRDefault="00E37520" w:rsidP="003E7B85">
      <w:pPr>
        <w:pStyle w:val="Heading2"/>
        <w:rPr>
          <w:rStyle w:val="Strong"/>
          <w:b/>
        </w:rPr>
      </w:pPr>
      <w:bookmarkStart w:id="1126" w:name="_Ref506885323"/>
      <w:bookmarkStart w:id="1127" w:name="_Ref506885326"/>
      <w:bookmarkStart w:id="1128" w:name="_Toc33602771"/>
      <w:r w:rsidRPr="00C00000">
        <w:rPr>
          <w:rStyle w:val="Strong"/>
          <w:b/>
        </w:rPr>
        <w:t>Reasonable consistency in sentencing</w:t>
      </w:r>
      <w:bookmarkEnd w:id="1126"/>
      <w:bookmarkEnd w:id="1127"/>
      <w:bookmarkEnd w:id="1128"/>
      <w:r w:rsidRPr="00C00000">
        <w:rPr>
          <w:rStyle w:val="Strong"/>
          <w:b/>
        </w:rPr>
        <w:t xml:space="preserve"> </w:t>
      </w:r>
    </w:p>
    <w:p w14:paraId="6244A960" w14:textId="77777777" w:rsidR="00E37520" w:rsidRPr="00C00000" w:rsidRDefault="00E37520" w:rsidP="003E7B85">
      <w:pPr>
        <w:keepNext/>
        <w:spacing w:line="276" w:lineRule="auto"/>
        <w:rPr>
          <w:rFonts w:asciiTheme="minorHAnsi" w:hAnsiTheme="minorHAnsi"/>
        </w:rPr>
      </w:pPr>
    </w:p>
    <w:p w14:paraId="123CD680" w14:textId="06368975" w:rsidR="00B5026F" w:rsidRDefault="00B5026F" w:rsidP="00EB7F1E">
      <w:pPr>
        <w:pStyle w:val="ListParagraph"/>
        <w:numPr>
          <w:ilvl w:val="0"/>
          <w:numId w:val="7"/>
        </w:numPr>
        <w:spacing w:line="276" w:lineRule="auto"/>
        <w:ind w:left="425" w:hanging="425"/>
        <w:contextualSpacing w:val="0"/>
        <w:rPr>
          <w:rFonts w:asciiTheme="minorHAnsi" w:hAnsiTheme="minorHAnsi"/>
          <w:szCs w:val="22"/>
        </w:rPr>
      </w:pPr>
      <w:r w:rsidRPr="00C00000">
        <w:rPr>
          <w:rFonts w:asciiTheme="minorHAnsi" w:hAnsiTheme="minorHAnsi"/>
          <w:szCs w:val="22"/>
        </w:rPr>
        <w:t xml:space="preserve">Sentencing </w:t>
      </w:r>
      <w:r>
        <w:rPr>
          <w:rFonts w:asciiTheme="minorHAnsi" w:hAnsiTheme="minorHAnsi"/>
          <w:szCs w:val="22"/>
        </w:rPr>
        <w:t>is</w:t>
      </w:r>
      <w:r w:rsidR="00457BE9" w:rsidRPr="00C00000">
        <w:rPr>
          <w:rFonts w:asciiTheme="minorHAnsi" w:hAnsiTheme="minorHAnsi"/>
          <w:szCs w:val="22"/>
        </w:rPr>
        <w:t xml:space="preserve"> a discretionary judgment</w:t>
      </w:r>
      <w:r>
        <w:rPr>
          <w:rFonts w:asciiTheme="minorHAnsi" w:hAnsiTheme="minorHAnsi"/>
          <w:szCs w:val="22"/>
        </w:rPr>
        <w:t xml:space="preserve">; </w:t>
      </w:r>
      <w:r w:rsidRPr="00E90120">
        <w:rPr>
          <w:rFonts w:asciiTheme="minorHAnsi" w:hAnsiTheme="minorHAnsi"/>
        </w:rPr>
        <w:t>generally</w:t>
      </w:r>
      <w:r>
        <w:rPr>
          <w:rFonts w:asciiTheme="minorHAnsi" w:hAnsiTheme="minorHAnsi"/>
          <w:szCs w:val="22"/>
        </w:rPr>
        <w:t xml:space="preserve"> </w:t>
      </w:r>
      <w:r w:rsidR="00457BE9" w:rsidRPr="00C00000">
        <w:rPr>
          <w:rFonts w:asciiTheme="minorHAnsi" w:hAnsiTheme="minorHAnsi"/>
          <w:szCs w:val="22"/>
        </w:rPr>
        <w:t xml:space="preserve">there </w:t>
      </w:r>
      <w:r>
        <w:rPr>
          <w:rFonts w:asciiTheme="minorHAnsi" w:hAnsiTheme="minorHAnsi"/>
          <w:szCs w:val="22"/>
        </w:rPr>
        <w:t>is</w:t>
      </w:r>
      <w:r w:rsidR="00457BE9" w:rsidRPr="00C00000">
        <w:rPr>
          <w:rFonts w:asciiTheme="minorHAnsi" w:hAnsiTheme="minorHAnsi"/>
          <w:szCs w:val="22"/>
        </w:rPr>
        <w:t xml:space="preserve"> no single correct sentence.</w:t>
      </w:r>
      <w:r w:rsidR="00457BE9" w:rsidRPr="00F8149D">
        <w:rPr>
          <w:rStyle w:val="Style"/>
          <w:rFonts w:asciiTheme="minorHAnsi" w:hAnsiTheme="minorHAnsi"/>
        </w:rPr>
        <w:footnoteReference w:id="145"/>
      </w:r>
      <w:r w:rsidR="00457BE9" w:rsidRPr="00C00000">
        <w:rPr>
          <w:rFonts w:asciiTheme="minorHAnsi" w:hAnsiTheme="minorHAnsi"/>
          <w:szCs w:val="22"/>
        </w:rPr>
        <w:t xml:space="preserve">  </w:t>
      </w:r>
      <w:r>
        <w:rPr>
          <w:rFonts w:asciiTheme="minorHAnsi" w:hAnsiTheme="minorHAnsi"/>
          <w:szCs w:val="22"/>
        </w:rPr>
        <w:t xml:space="preserve">Some variation in sentencing is therefore inevitable.  The variation may be magnified by the vesting </w:t>
      </w:r>
      <w:r w:rsidR="00F8149D">
        <w:rPr>
          <w:rFonts w:asciiTheme="minorHAnsi" w:hAnsiTheme="minorHAnsi"/>
          <w:szCs w:val="22"/>
        </w:rPr>
        <w:t xml:space="preserve">of </w:t>
      </w:r>
      <w:r>
        <w:rPr>
          <w:rFonts w:asciiTheme="minorHAnsi" w:hAnsiTheme="minorHAnsi"/>
          <w:szCs w:val="22"/>
        </w:rPr>
        <w:t>federal criminal jurisdiction in State and Territory courts, rather than in a single federal court.</w:t>
      </w:r>
    </w:p>
    <w:p w14:paraId="04E82CCE" w14:textId="77777777" w:rsidR="00B5026F" w:rsidRPr="00F8149D" w:rsidRDefault="00B5026F" w:rsidP="00F8149D">
      <w:pPr>
        <w:spacing w:line="276" w:lineRule="auto"/>
        <w:ind w:right="170"/>
        <w:rPr>
          <w:rFonts w:asciiTheme="minorHAnsi" w:hAnsiTheme="minorHAnsi"/>
          <w:szCs w:val="22"/>
        </w:rPr>
      </w:pPr>
    </w:p>
    <w:p w14:paraId="0BD9DEAD" w14:textId="5C04E73E" w:rsidR="00B47777" w:rsidRDefault="00457BE9" w:rsidP="00EB7F1E">
      <w:pPr>
        <w:pStyle w:val="ListParagraph"/>
        <w:numPr>
          <w:ilvl w:val="0"/>
          <w:numId w:val="7"/>
        </w:numPr>
        <w:spacing w:line="276" w:lineRule="auto"/>
        <w:ind w:left="425" w:hanging="425"/>
        <w:contextualSpacing w:val="0"/>
        <w:rPr>
          <w:rFonts w:asciiTheme="minorHAnsi" w:hAnsiTheme="minorHAnsi"/>
          <w:szCs w:val="22"/>
        </w:rPr>
      </w:pPr>
      <w:r w:rsidRPr="00C00000">
        <w:rPr>
          <w:rFonts w:asciiTheme="minorHAnsi" w:hAnsiTheme="minorHAnsi"/>
          <w:szCs w:val="22"/>
        </w:rPr>
        <w:t>In</w:t>
      </w:r>
      <w:r w:rsidR="00F8149D">
        <w:rPr>
          <w:rFonts w:asciiTheme="minorHAnsi" w:hAnsiTheme="minorHAnsi"/>
          <w:szCs w:val="22"/>
        </w:rPr>
        <w:t xml:space="preserve"> recent years, however, courts have </w:t>
      </w:r>
      <w:r w:rsidR="00F47D0C" w:rsidRPr="00CC47DE">
        <w:rPr>
          <w:rFonts w:asciiTheme="minorHAnsi" w:hAnsiTheme="minorHAnsi"/>
        </w:rPr>
        <w:t>emph</w:t>
      </w:r>
      <w:r w:rsidR="00F47D0C" w:rsidRPr="00D06EAA">
        <w:rPr>
          <w:rFonts w:asciiTheme="minorHAnsi" w:hAnsiTheme="minorHAnsi"/>
        </w:rPr>
        <w:t>as</w:t>
      </w:r>
      <w:r w:rsidR="00B86888">
        <w:rPr>
          <w:rFonts w:asciiTheme="minorHAnsi" w:hAnsiTheme="minorHAnsi"/>
        </w:rPr>
        <w:t>ised</w:t>
      </w:r>
      <w:r w:rsidR="00F8149D">
        <w:rPr>
          <w:rFonts w:asciiTheme="minorHAnsi" w:hAnsiTheme="minorHAnsi"/>
          <w:szCs w:val="22"/>
        </w:rPr>
        <w:t xml:space="preserve"> the need to ensure greater consistency in the sentencing of federal offenders, while preserving the scope for discretionary judgment.</w:t>
      </w:r>
      <w:r w:rsidRPr="00C00000">
        <w:rPr>
          <w:rFonts w:asciiTheme="minorHAnsi" w:hAnsiTheme="minorHAnsi"/>
          <w:szCs w:val="22"/>
        </w:rPr>
        <w:t xml:space="preserve">  </w:t>
      </w:r>
      <w:r w:rsidR="00B47777">
        <w:rPr>
          <w:rFonts w:asciiTheme="minorHAnsi" w:hAnsiTheme="minorHAnsi"/>
          <w:szCs w:val="22"/>
        </w:rPr>
        <w:t xml:space="preserve">In </w:t>
      </w:r>
      <w:r w:rsidR="00B47777" w:rsidRPr="00B47777">
        <w:rPr>
          <w:rFonts w:asciiTheme="minorHAnsi" w:hAnsiTheme="minorHAnsi"/>
          <w:i/>
          <w:szCs w:val="22"/>
        </w:rPr>
        <w:t>Wong</w:t>
      </w:r>
      <w:r w:rsidR="00B47777">
        <w:rPr>
          <w:rFonts w:asciiTheme="minorHAnsi" w:hAnsiTheme="minorHAnsi"/>
          <w:szCs w:val="22"/>
        </w:rPr>
        <w:t>,</w:t>
      </w:r>
      <w:r w:rsidR="00B47777" w:rsidRPr="00C00000">
        <w:rPr>
          <w:rStyle w:val="Style"/>
          <w:rFonts w:asciiTheme="minorHAnsi" w:hAnsiTheme="minorHAnsi"/>
        </w:rPr>
        <w:footnoteReference w:id="146"/>
      </w:r>
      <w:r w:rsidR="00B47777">
        <w:rPr>
          <w:rFonts w:asciiTheme="minorHAnsi" w:hAnsiTheme="minorHAnsi"/>
          <w:szCs w:val="22"/>
        </w:rPr>
        <w:t xml:space="preserve"> Gleeson CJ said,</w:t>
      </w:r>
    </w:p>
    <w:p w14:paraId="07B12ECE" w14:textId="23B3624C" w:rsidR="00B47777" w:rsidRDefault="00932EC7" w:rsidP="00EB7F1E">
      <w:pPr>
        <w:pStyle w:val="ListParagraph"/>
        <w:ind w:left="1134" w:hanging="425"/>
        <w:rPr>
          <w:rFonts w:asciiTheme="minorHAnsi" w:hAnsiTheme="minorHAnsi"/>
          <w:i/>
        </w:rPr>
      </w:pPr>
      <w:r>
        <w:rPr>
          <w:rFonts w:asciiTheme="minorHAnsi" w:hAnsiTheme="minorHAnsi"/>
          <w:i/>
        </w:rPr>
        <w:t>[6]</w:t>
      </w:r>
      <w:r>
        <w:rPr>
          <w:rFonts w:asciiTheme="minorHAnsi" w:hAnsiTheme="minorHAnsi"/>
          <w:i/>
        </w:rPr>
        <w:tab/>
        <w:t xml:space="preserve">… </w:t>
      </w:r>
      <w:r w:rsidR="00B47777" w:rsidRPr="00B47777">
        <w:rPr>
          <w:rFonts w:asciiTheme="minorHAnsi" w:hAnsiTheme="minorHAnsi"/>
          <w:i/>
        </w:rPr>
        <w:t>All discretionary decision-making carries with it the probability of some degree of inconsistency.</w:t>
      </w:r>
      <w:r w:rsidR="00C851EB">
        <w:rPr>
          <w:rFonts w:asciiTheme="minorHAnsi" w:hAnsiTheme="minorHAnsi"/>
          <w:i/>
        </w:rPr>
        <w:t xml:space="preserve"> </w:t>
      </w:r>
      <w:r w:rsidR="00B47777" w:rsidRPr="00B47777">
        <w:rPr>
          <w:rFonts w:asciiTheme="minorHAnsi" w:hAnsiTheme="minorHAnsi"/>
          <w:i/>
        </w:rPr>
        <w:t xml:space="preserve"> But there are limits beyond which such inconsistency itself constitutes a form of injustice. </w:t>
      </w:r>
      <w:r w:rsidR="00C851EB">
        <w:rPr>
          <w:rFonts w:asciiTheme="minorHAnsi" w:hAnsiTheme="minorHAnsi"/>
          <w:i/>
        </w:rPr>
        <w:t xml:space="preserve"> </w:t>
      </w:r>
      <w:r w:rsidR="00B47777" w:rsidRPr="00B47777">
        <w:rPr>
          <w:rFonts w:asciiTheme="minorHAnsi" w:hAnsiTheme="minorHAnsi"/>
          <w:i/>
        </w:rPr>
        <w:t xml:space="preserve">The outcome of discretionary decision-making can never be uniform, but it ought to depend as little as possible upon the identity of the judge who happens to hear the case. </w:t>
      </w:r>
      <w:r w:rsidR="00C851EB">
        <w:rPr>
          <w:rFonts w:asciiTheme="minorHAnsi" w:hAnsiTheme="minorHAnsi"/>
          <w:i/>
        </w:rPr>
        <w:t xml:space="preserve"> </w:t>
      </w:r>
      <w:r w:rsidR="00B47777" w:rsidRPr="00B47777">
        <w:rPr>
          <w:rFonts w:asciiTheme="minorHAnsi" w:hAnsiTheme="minorHAnsi"/>
          <w:i/>
        </w:rPr>
        <w:t xml:space="preserve">Like cases should be treated in like manner. </w:t>
      </w:r>
      <w:r w:rsidR="00C851EB">
        <w:rPr>
          <w:rFonts w:asciiTheme="minorHAnsi" w:hAnsiTheme="minorHAnsi"/>
          <w:i/>
        </w:rPr>
        <w:t xml:space="preserve"> </w:t>
      </w:r>
      <w:r w:rsidR="00B47777" w:rsidRPr="00B47777">
        <w:rPr>
          <w:rFonts w:asciiTheme="minorHAnsi" w:hAnsiTheme="minorHAnsi"/>
          <w:i/>
        </w:rPr>
        <w:t>The administration of criminal justice works as a system; not merely as a multiplicity of unconnected single instances.</w:t>
      </w:r>
      <w:r w:rsidR="00C851EB">
        <w:rPr>
          <w:rFonts w:asciiTheme="minorHAnsi" w:hAnsiTheme="minorHAnsi"/>
          <w:i/>
        </w:rPr>
        <w:t xml:space="preserve"> </w:t>
      </w:r>
      <w:r w:rsidR="00B47777" w:rsidRPr="00B47777">
        <w:rPr>
          <w:rFonts w:asciiTheme="minorHAnsi" w:hAnsiTheme="minorHAnsi"/>
          <w:i/>
        </w:rPr>
        <w:t xml:space="preserve"> It should be systematically fair, and that involves, amongst other things, reasonable consistency.</w:t>
      </w:r>
    </w:p>
    <w:p w14:paraId="7B2E19A8" w14:textId="67172CE4" w:rsidR="00B47777" w:rsidRDefault="00932EC7" w:rsidP="00EB7F1E">
      <w:pPr>
        <w:pStyle w:val="ListParagraph"/>
        <w:ind w:left="1134" w:hanging="425"/>
        <w:rPr>
          <w:rFonts w:asciiTheme="minorHAnsi" w:hAnsiTheme="minorHAnsi"/>
          <w:i/>
        </w:rPr>
      </w:pPr>
      <w:r>
        <w:rPr>
          <w:rFonts w:asciiTheme="minorHAnsi" w:hAnsiTheme="minorHAnsi"/>
          <w:i/>
        </w:rPr>
        <w:t>[7]</w:t>
      </w:r>
      <w:r>
        <w:rPr>
          <w:rFonts w:asciiTheme="minorHAnsi" w:hAnsiTheme="minorHAnsi"/>
          <w:i/>
        </w:rPr>
        <w:tab/>
      </w:r>
      <w:r w:rsidR="00B47777" w:rsidRPr="00B47777">
        <w:rPr>
          <w:rFonts w:asciiTheme="minorHAnsi" w:hAnsiTheme="minorHAnsi"/>
          <w:i/>
        </w:rPr>
        <w:t>Most sentencing of offenders is dealt with as a matter of discretionary judgment. Within whatever tolerance is required by the necessary scope for individual discretion, reasonable consistency in sentencing is a requirement of justice.</w:t>
      </w:r>
    </w:p>
    <w:p w14:paraId="64640C09" w14:textId="77777777" w:rsidR="00B47777" w:rsidRPr="001C5DEF" w:rsidRDefault="00B47777" w:rsidP="00B47777">
      <w:pPr>
        <w:pStyle w:val="ListParagraph"/>
        <w:rPr>
          <w:rFonts w:asciiTheme="minorHAnsi" w:hAnsiTheme="minorHAnsi"/>
          <w:szCs w:val="22"/>
        </w:rPr>
      </w:pPr>
    </w:p>
    <w:p w14:paraId="75F06CC1" w14:textId="432809F8" w:rsidR="00C30C83" w:rsidRPr="006B340B" w:rsidRDefault="00C30C83" w:rsidP="00EB7F1E">
      <w:pPr>
        <w:pStyle w:val="ListParagraph"/>
        <w:numPr>
          <w:ilvl w:val="0"/>
          <w:numId w:val="7"/>
        </w:numPr>
        <w:spacing w:line="276" w:lineRule="auto"/>
        <w:ind w:left="425" w:hanging="425"/>
        <w:contextualSpacing w:val="0"/>
        <w:rPr>
          <w:rFonts w:asciiTheme="minorHAnsi" w:hAnsiTheme="minorHAnsi"/>
        </w:rPr>
      </w:pPr>
      <w:r w:rsidRPr="00412C45">
        <w:rPr>
          <w:rFonts w:asciiTheme="minorHAnsi" w:hAnsiTheme="minorHAnsi"/>
        </w:rPr>
        <w:t>In sentencing federal offenders</w:t>
      </w:r>
      <w:r>
        <w:rPr>
          <w:rFonts w:asciiTheme="minorHAnsi" w:hAnsiTheme="minorHAnsi"/>
        </w:rPr>
        <w:t>,</w:t>
      </w:r>
      <w:r w:rsidRPr="00412C45">
        <w:rPr>
          <w:rFonts w:asciiTheme="minorHAnsi" w:hAnsiTheme="minorHAnsi"/>
        </w:rPr>
        <w:t xml:space="preserve"> courts must take into account sentencing practice throughout Australia</w:t>
      </w:r>
      <w:r>
        <w:rPr>
          <w:rFonts w:asciiTheme="minorHAnsi" w:hAnsiTheme="minorHAnsi"/>
        </w:rPr>
        <w:t>.  It is an error for a court sentencing a federal offender to give priority to achieving reasonable consistency with sentencing for offences against the laws of that State or Territory over achieving reasonable consistency with sentencing for Commonwealth offences.</w:t>
      </w:r>
      <w:r w:rsidRPr="00C00000">
        <w:rPr>
          <w:rStyle w:val="Style"/>
          <w:rFonts w:asciiTheme="minorHAnsi" w:hAnsiTheme="minorHAnsi"/>
        </w:rPr>
        <w:footnoteReference w:id="147"/>
      </w:r>
    </w:p>
    <w:p w14:paraId="23892C24" w14:textId="77777777" w:rsidR="00C30C83" w:rsidRPr="001C5DEF" w:rsidRDefault="00C30C83" w:rsidP="001C5DEF">
      <w:pPr>
        <w:pStyle w:val="ListParagraph"/>
        <w:rPr>
          <w:rFonts w:asciiTheme="minorHAnsi" w:hAnsiTheme="minorHAnsi"/>
          <w:szCs w:val="22"/>
        </w:rPr>
      </w:pPr>
    </w:p>
    <w:p w14:paraId="79BDAF31" w14:textId="72133DC4" w:rsidR="000C5B08" w:rsidRDefault="0021764A"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 xml:space="preserve">Greater consistency in sentencing, </w:t>
      </w:r>
      <w:r w:rsidRPr="00E90120">
        <w:rPr>
          <w:rFonts w:asciiTheme="minorHAnsi" w:hAnsiTheme="minorHAnsi"/>
        </w:rPr>
        <w:t>both</w:t>
      </w:r>
      <w:r>
        <w:rPr>
          <w:rFonts w:asciiTheme="minorHAnsi" w:hAnsiTheme="minorHAnsi"/>
          <w:szCs w:val="22"/>
        </w:rPr>
        <w:t xml:space="preserve"> within and between jurisdictions, requires that sentencing courts are better informed about sentences imposed in comparable </w:t>
      </w:r>
      <w:r w:rsidR="002B7322">
        <w:rPr>
          <w:rFonts w:asciiTheme="minorHAnsi" w:hAnsiTheme="minorHAnsi"/>
          <w:szCs w:val="22"/>
        </w:rPr>
        <w:t xml:space="preserve">federal </w:t>
      </w:r>
      <w:r>
        <w:rPr>
          <w:rFonts w:asciiTheme="minorHAnsi" w:hAnsiTheme="minorHAnsi"/>
          <w:szCs w:val="22"/>
        </w:rPr>
        <w:t xml:space="preserve">cases.  </w:t>
      </w:r>
      <w:r w:rsidR="00FA094D">
        <w:rPr>
          <w:rFonts w:asciiTheme="minorHAnsi" w:hAnsiTheme="minorHAnsi"/>
          <w:szCs w:val="22"/>
        </w:rPr>
        <w:t>The need for such information has imposed greater demands</w:t>
      </w:r>
      <w:r w:rsidR="00F955BC">
        <w:rPr>
          <w:rFonts w:asciiTheme="minorHAnsi" w:hAnsiTheme="minorHAnsi"/>
          <w:szCs w:val="22"/>
        </w:rPr>
        <w:t xml:space="preserve"> and responsibilities</w:t>
      </w:r>
      <w:r w:rsidR="00FA094D">
        <w:rPr>
          <w:rFonts w:asciiTheme="minorHAnsi" w:hAnsiTheme="minorHAnsi"/>
          <w:szCs w:val="22"/>
        </w:rPr>
        <w:t>, not only on sentencing courts, but also on the parties, and particularly on the prosecution.</w:t>
      </w:r>
    </w:p>
    <w:p w14:paraId="7C2FB900" w14:textId="77777777" w:rsidR="000C5B08" w:rsidRPr="000C5B08" w:rsidRDefault="000C5B08" w:rsidP="001C5DEF">
      <w:pPr>
        <w:pStyle w:val="ListParagraph"/>
        <w:rPr>
          <w:rFonts w:asciiTheme="minorHAnsi" w:hAnsiTheme="minorHAnsi"/>
          <w:szCs w:val="22"/>
        </w:rPr>
      </w:pPr>
    </w:p>
    <w:p w14:paraId="2782FB82" w14:textId="72B151B2" w:rsidR="00E37520" w:rsidRDefault="00FA094D" w:rsidP="00901174">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 xml:space="preserve">The CDPP is in a unique position, as it is the </w:t>
      </w:r>
      <w:r w:rsidRPr="00E90120">
        <w:rPr>
          <w:rFonts w:asciiTheme="minorHAnsi" w:hAnsiTheme="minorHAnsi"/>
        </w:rPr>
        <w:t>major</w:t>
      </w:r>
      <w:r>
        <w:rPr>
          <w:rFonts w:asciiTheme="minorHAnsi" w:hAnsiTheme="minorHAnsi"/>
          <w:szCs w:val="22"/>
        </w:rPr>
        <w:t xml:space="preserve"> prosecution authority for federal offences, and therefore has access to a large body of information about sentences imposed for such offences.</w:t>
      </w:r>
      <w:r w:rsidR="00F955BC">
        <w:rPr>
          <w:rFonts w:asciiTheme="minorHAnsi" w:hAnsiTheme="minorHAnsi"/>
          <w:szCs w:val="22"/>
        </w:rPr>
        <w:t xml:space="preserve">  Expectations of the </w:t>
      </w:r>
      <w:r w:rsidR="00916FAD">
        <w:rPr>
          <w:rFonts w:asciiTheme="minorHAnsi" w:hAnsiTheme="minorHAnsi"/>
          <w:szCs w:val="22"/>
        </w:rPr>
        <w:t xml:space="preserve">assistance to be provided to a sentencing court by the </w:t>
      </w:r>
      <w:r w:rsidR="00F955BC">
        <w:rPr>
          <w:rFonts w:asciiTheme="minorHAnsi" w:hAnsiTheme="minorHAnsi"/>
          <w:szCs w:val="22"/>
        </w:rPr>
        <w:t>CDPP have increased accordingly.  See further, “</w:t>
      </w:r>
      <w:r w:rsidR="00F955BC">
        <w:rPr>
          <w:rFonts w:asciiTheme="minorHAnsi" w:hAnsiTheme="minorHAnsi"/>
          <w:szCs w:val="22"/>
        </w:rPr>
        <w:fldChar w:fldCharType="begin"/>
      </w:r>
      <w:r w:rsidR="00F955BC">
        <w:rPr>
          <w:rFonts w:asciiTheme="minorHAnsi" w:hAnsiTheme="minorHAnsi"/>
          <w:szCs w:val="22"/>
        </w:rPr>
        <w:instrText xml:space="preserve"> REF _Ref492740962 \r \h  \* MERGEFORMAT </w:instrText>
      </w:r>
      <w:r w:rsidR="00F955BC">
        <w:rPr>
          <w:rFonts w:asciiTheme="minorHAnsi" w:hAnsiTheme="minorHAnsi"/>
          <w:szCs w:val="22"/>
        </w:rPr>
      </w:r>
      <w:r w:rsidR="00F955BC">
        <w:rPr>
          <w:rFonts w:asciiTheme="minorHAnsi" w:hAnsiTheme="minorHAnsi"/>
          <w:szCs w:val="22"/>
        </w:rPr>
        <w:fldChar w:fldCharType="separate"/>
      </w:r>
      <w:r w:rsidR="00D44BCF">
        <w:rPr>
          <w:rFonts w:asciiTheme="minorHAnsi" w:hAnsiTheme="minorHAnsi"/>
          <w:szCs w:val="22"/>
        </w:rPr>
        <w:t>7.1</w:t>
      </w:r>
      <w:r w:rsidR="00F955BC">
        <w:rPr>
          <w:rFonts w:asciiTheme="minorHAnsi" w:hAnsiTheme="minorHAnsi"/>
          <w:szCs w:val="22"/>
        </w:rPr>
        <w:fldChar w:fldCharType="end"/>
      </w:r>
      <w:r w:rsidR="00F955BC">
        <w:rPr>
          <w:rFonts w:asciiTheme="minorHAnsi" w:hAnsiTheme="minorHAnsi"/>
          <w:szCs w:val="22"/>
        </w:rPr>
        <w:t xml:space="preserve"> </w:t>
      </w:r>
      <w:r w:rsidR="00F955BC">
        <w:rPr>
          <w:rFonts w:asciiTheme="minorHAnsi" w:hAnsiTheme="minorHAnsi"/>
          <w:szCs w:val="22"/>
        </w:rPr>
        <w:fldChar w:fldCharType="begin"/>
      </w:r>
      <w:r w:rsidR="00F955BC">
        <w:rPr>
          <w:rFonts w:asciiTheme="minorHAnsi" w:hAnsiTheme="minorHAnsi"/>
          <w:szCs w:val="22"/>
        </w:rPr>
        <w:instrText xml:space="preserve"> REF _Ref492740965 \h  \* MERGEFORMAT </w:instrText>
      </w:r>
      <w:r w:rsidR="00F955BC">
        <w:rPr>
          <w:rFonts w:asciiTheme="minorHAnsi" w:hAnsiTheme="minorHAnsi"/>
          <w:szCs w:val="22"/>
        </w:rPr>
      </w:r>
      <w:r w:rsidR="00F955BC">
        <w:rPr>
          <w:rFonts w:asciiTheme="minorHAnsi" w:hAnsiTheme="minorHAnsi"/>
          <w:szCs w:val="22"/>
        </w:rPr>
        <w:fldChar w:fldCharType="separate"/>
      </w:r>
      <w:r w:rsidR="00D44BCF" w:rsidRPr="00D44BCF">
        <w:rPr>
          <w:rFonts w:asciiTheme="minorHAnsi" w:hAnsiTheme="minorHAnsi"/>
          <w:szCs w:val="22"/>
        </w:rPr>
        <w:t>Role of the prosecution in a sentence hearing</w:t>
      </w:r>
      <w:r w:rsidR="00F955BC">
        <w:rPr>
          <w:rFonts w:asciiTheme="minorHAnsi" w:hAnsiTheme="minorHAnsi"/>
          <w:szCs w:val="22"/>
        </w:rPr>
        <w:fldChar w:fldCharType="end"/>
      </w:r>
      <w:r w:rsidR="00F955BC">
        <w:rPr>
          <w:rFonts w:asciiTheme="minorHAnsi" w:hAnsiTheme="minorHAnsi"/>
          <w:szCs w:val="22"/>
        </w:rPr>
        <w:t>”.</w:t>
      </w:r>
    </w:p>
    <w:p w14:paraId="68FFA972" w14:textId="77777777" w:rsidR="00C30C83" w:rsidRPr="00C30C83" w:rsidRDefault="00C30C83" w:rsidP="00C30C83">
      <w:pPr>
        <w:pStyle w:val="ListParagraph"/>
        <w:rPr>
          <w:rFonts w:asciiTheme="minorHAnsi" w:hAnsiTheme="minorHAnsi"/>
          <w:szCs w:val="22"/>
        </w:rPr>
      </w:pPr>
    </w:p>
    <w:p w14:paraId="3CD417FC" w14:textId="504FECBD" w:rsidR="00E37520" w:rsidRPr="00C00000" w:rsidRDefault="00E37520"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In </w:t>
      </w:r>
      <w:r w:rsidRPr="00C00000">
        <w:rPr>
          <w:rFonts w:asciiTheme="minorHAnsi" w:hAnsiTheme="minorHAnsi"/>
          <w:i/>
        </w:rPr>
        <w:t>Hili</w:t>
      </w:r>
      <w:r w:rsidR="00BD1F8A">
        <w:rPr>
          <w:rFonts w:asciiTheme="minorHAnsi" w:hAnsiTheme="minorHAnsi"/>
          <w:i/>
        </w:rPr>
        <w:t>,</w:t>
      </w:r>
      <w:r w:rsidR="00BD1F8A" w:rsidRPr="00C00000">
        <w:rPr>
          <w:rStyle w:val="Style"/>
          <w:rFonts w:asciiTheme="minorHAnsi" w:hAnsiTheme="minorHAnsi"/>
        </w:rPr>
        <w:footnoteReference w:id="148"/>
      </w:r>
      <w:r w:rsidRPr="00C00000">
        <w:rPr>
          <w:rFonts w:asciiTheme="minorHAnsi" w:hAnsiTheme="minorHAnsi"/>
        </w:rPr>
        <w:t xml:space="preserve"> the High Court set out six principles on consistency in federal sentencing</w:t>
      </w:r>
      <w:r w:rsidR="00BD1F8A">
        <w:rPr>
          <w:rFonts w:asciiTheme="minorHAnsi" w:hAnsiTheme="minorHAnsi"/>
        </w:rPr>
        <w:t xml:space="preserve">.  In </w:t>
      </w:r>
      <w:r w:rsidR="00BD1F8A" w:rsidRPr="00BD1F8A">
        <w:rPr>
          <w:rFonts w:asciiTheme="minorHAnsi" w:hAnsiTheme="minorHAnsi"/>
          <w:i/>
        </w:rPr>
        <w:t>Pham</w:t>
      </w:r>
      <w:r w:rsidR="00BD1F8A">
        <w:rPr>
          <w:rFonts w:asciiTheme="minorHAnsi" w:hAnsiTheme="minorHAnsi"/>
        </w:rPr>
        <w:t>,</w:t>
      </w:r>
      <w:r w:rsidR="005A25B2" w:rsidRPr="00C00000">
        <w:rPr>
          <w:rStyle w:val="Style"/>
          <w:rFonts w:asciiTheme="minorHAnsi" w:hAnsiTheme="minorHAnsi"/>
        </w:rPr>
        <w:footnoteReference w:id="149"/>
      </w:r>
      <w:r w:rsidR="00BD1F8A">
        <w:rPr>
          <w:rFonts w:asciiTheme="minorHAnsi" w:hAnsiTheme="minorHAnsi"/>
        </w:rPr>
        <w:t xml:space="preserve"> those principles were re</w:t>
      </w:r>
      <w:r w:rsidR="005A25B2">
        <w:rPr>
          <w:rFonts w:asciiTheme="minorHAnsi" w:hAnsiTheme="minorHAnsi"/>
        </w:rPr>
        <w:t>iterated</w:t>
      </w:r>
      <w:r w:rsidR="00BD1F8A">
        <w:rPr>
          <w:rFonts w:asciiTheme="minorHAnsi" w:hAnsiTheme="minorHAnsi"/>
        </w:rPr>
        <w:t xml:space="preserve">, with slight modifications, </w:t>
      </w:r>
      <w:r w:rsidR="007947AA">
        <w:rPr>
          <w:rFonts w:asciiTheme="minorHAnsi" w:hAnsiTheme="minorHAnsi"/>
        </w:rPr>
        <w:t xml:space="preserve">by the plurality </w:t>
      </w:r>
      <w:r w:rsidR="00BD1F8A">
        <w:rPr>
          <w:rFonts w:asciiTheme="minorHAnsi" w:hAnsiTheme="minorHAnsi"/>
        </w:rPr>
        <w:t>as follows</w:t>
      </w:r>
      <w:r w:rsidR="005A25B2">
        <w:rPr>
          <w:rFonts w:asciiTheme="minorHAnsi" w:hAnsiTheme="minorHAnsi"/>
        </w:rPr>
        <w:t xml:space="preserve"> (citations omitted)</w:t>
      </w:r>
      <w:r w:rsidR="00BD1F8A">
        <w:rPr>
          <w:rFonts w:asciiTheme="minorHAnsi" w:hAnsiTheme="minorHAnsi"/>
        </w:rPr>
        <w:t>:</w:t>
      </w:r>
      <w:r w:rsidR="00510874" w:rsidRPr="00C00000">
        <w:rPr>
          <w:rStyle w:val="Style"/>
          <w:rFonts w:asciiTheme="minorHAnsi" w:hAnsiTheme="minorHAnsi"/>
        </w:rPr>
        <w:footnoteReference w:id="150"/>
      </w:r>
    </w:p>
    <w:p w14:paraId="5CFDC4B0" w14:textId="7D81FA2F" w:rsidR="004C663F" w:rsidRPr="006B340B" w:rsidRDefault="004C663F" w:rsidP="00EB7F1E">
      <w:pPr>
        <w:pStyle w:val="BodyText"/>
        <w:spacing w:line="276" w:lineRule="auto"/>
        <w:ind w:left="1134" w:right="170" w:hanging="425"/>
        <w:jc w:val="both"/>
        <w:rPr>
          <w:rFonts w:asciiTheme="minorHAnsi" w:hAnsiTheme="minorHAnsi"/>
          <w:i/>
        </w:rPr>
      </w:pPr>
      <w:r w:rsidRPr="006B340B">
        <w:rPr>
          <w:rFonts w:asciiTheme="minorHAnsi" w:hAnsiTheme="minorHAnsi"/>
          <w:i/>
        </w:rPr>
        <w:t>(1)</w:t>
      </w:r>
      <w:r w:rsidRPr="006B340B">
        <w:rPr>
          <w:rFonts w:asciiTheme="minorHAnsi" w:hAnsiTheme="minorHAnsi"/>
          <w:i/>
        </w:rPr>
        <w:tab/>
        <w:t xml:space="preserve">Consistency in sentencing means that like cases are to be treated alike and different cases are to be treated differently. </w:t>
      </w:r>
    </w:p>
    <w:p w14:paraId="0E6F84B5" w14:textId="53A19F1D" w:rsidR="004C663F" w:rsidRPr="006B340B" w:rsidRDefault="004C663F" w:rsidP="00EB7F1E">
      <w:pPr>
        <w:pStyle w:val="BodyText"/>
        <w:spacing w:line="276" w:lineRule="auto"/>
        <w:ind w:left="1134" w:right="170" w:hanging="425"/>
        <w:jc w:val="both"/>
        <w:rPr>
          <w:rFonts w:asciiTheme="minorHAnsi" w:hAnsiTheme="minorHAnsi"/>
          <w:i/>
        </w:rPr>
      </w:pPr>
      <w:r w:rsidRPr="006B340B">
        <w:rPr>
          <w:rFonts w:asciiTheme="minorHAnsi" w:hAnsiTheme="minorHAnsi"/>
          <w:i/>
        </w:rPr>
        <w:t>(2)</w:t>
      </w:r>
      <w:r w:rsidRPr="006B340B">
        <w:rPr>
          <w:rFonts w:asciiTheme="minorHAnsi" w:hAnsiTheme="minorHAnsi"/>
          <w:i/>
        </w:rPr>
        <w:tab/>
        <w:t>The consistency that is sought is consistency in the application of the relevant legal principles.</w:t>
      </w:r>
    </w:p>
    <w:p w14:paraId="6742D564" w14:textId="12E7057E" w:rsidR="004C663F" w:rsidRPr="006B340B" w:rsidRDefault="004C663F" w:rsidP="00EB7F1E">
      <w:pPr>
        <w:pStyle w:val="BodyText"/>
        <w:spacing w:line="276" w:lineRule="auto"/>
        <w:ind w:left="1134" w:right="170" w:hanging="425"/>
        <w:jc w:val="both"/>
        <w:rPr>
          <w:rFonts w:asciiTheme="minorHAnsi" w:hAnsiTheme="minorHAnsi"/>
          <w:i/>
        </w:rPr>
      </w:pPr>
      <w:r w:rsidRPr="006B340B">
        <w:rPr>
          <w:rFonts w:asciiTheme="minorHAnsi" w:hAnsiTheme="minorHAnsi"/>
          <w:i/>
        </w:rPr>
        <w:t>(3)</w:t>
      </w:r>
      <w:r w:rsidRPr="006B340B">
        <w:rPr>
          <w:rFonts w:asciiTheme="minorHAnsi" w:hAnsiTheme="minorHAnsi"/>
          <w:i/>
        </w:rPr>
        <w:tab/>
        <w:t>Consistency in sentencing for federal offenders is to be achieved through the work of intermediate appellate courts.</w:t>
      </w:r>
    </w:p>
    <w:p w14:paraId="0A013BAB" w14:textId="5BAB4C16" w:rsidR="004C663F" w:rsidRPr="006B340B" w:rsidRDefault="004C663F" w:rsidP="00EB7F1E">
      <w:pPr>
        <w:pStyle w:val="BodyText"/>
        <w:spacing w:line="276" w:lineRule="auto"/>
        <w:ind w:left="1134" w:right="170" w:hanging="425"/>
        <w:jc w:val="both"/>
        <w:rPr>
          <w:rFonts w:asciiTheme="minorHAnsi" w:hAnsiTheme="minorHAnsi"/>
          <w:i/>
        </w:rPr>
      </w:pPr>
      <w:r w:rsidRPr="006B340B">
        <w:rPr>
          <w:rFonts w:asciiTheme="minorHAnsi" w:hAnsiTheme="minorHAnsi"/>
          <w:i/>
        </w:rPr>
        <w:t>(4)</w:t>
      </w:r>
      <w:r w:rsidRPr="006B340B">
        <w:rPr>
          <w:rFonts w:asciiTheme="minorHAnsi" w:hAnsiTheme="minorHAnsi"/>
          <w:i/>
        </w:rPr>
        <w:tab/>
        <w:t>Such consistency is not synonymous with numerical equivalence and it is incapable of mathematical expression or expression in tabular form.</w:t>
      </w:r>
    </w:p>
    <w:p w14:paraId="6C5AB688" w14:textId="2724227B" w:rsidR="004C663F" w:rsidRPr="006B340B" w:rsidRDefault="004C663F" w:rsidP="00EB7F1E">
      <w:pPr>
        <w:pStyle w:val="BodyText"/>
        <w:spacing w:line="276" w:lineRule="auto"/>
        <w:ind w:left="1134" w:right="170" w:hanging="425"/>
        <w:jc w:val="both"/>
        <w:rPr>
          <w:rFonts w:asciiTheme="minorHAnsi" w:hAnsiTheme="minorHAnsi"/>
          <w:i/>
        </w:rPr>
      </w:pPr>
      <w:r w:rsidRPr="006B340B">
        <w:rPr>
          <w:rFonts w:asciiTheme="minorHAnsi" w:hAnsiTheme="minorHAnsi"/>
          <w:i/>
        </w:rPr>
        <w:t>(5)</w:t>
      </w:r>
      <w:r w:rsidRPr="006B340B">
        <w:rPr>
          <w:rFonts w:asciiTheme="minorHAnsi" w:hAnsiTheme="minorHAnsi"/>
          <w:i/>
        </w:rPr>
        <w:tab/>
        <w:t>For that and other reasons, presentation in the form of numerical tables, bar charts and graphs of sentences passed on federal offenders in other cases is unhelpful and should be avoided.</w:t>
      </w:r>
    </w:p>
    <w:p w14:paraId="6F196E13" w14:textId="10F0B00C" w:rsidR="004C663F" w:rsidRPr="006B340B" w:rsidRDefault="004C663F" w:rsidP="00EB7F1E">
      <w:pPr>
        <w:pStyle w:val="BodyText"/>
        <w:spacing w:line="276" w:lineRule="auto"/>
        <w:ind w:left="1134" w:right="170" w:hanging="425"/>
        <w:jc w:val="both"/>
        <w:rPr>
          <w:rFonts w:asciiTheme="minorHAnsi" w:hAnsiTheme="minorHAnsi"/>
          <w:i/>
        </w:rPr>
      </w:pPr>
      <w:r w:rsidRPr="006B340B">
        <w:rPr>
          <w:rFonts w:asciiTheme="minorHAnsi" w:hAnsiTheme="minorHAnsi"/>
          <w:i/>
        </w:rPr>
        <w:t>(6)</w:t>
      </w:r>
      <w:r w:rsidRPr="006B340B">
        <w:rPr>
          <w:rFonts w:asciiTheme="minorHAnsi" w:hAnsiTheme="minorHAnsi"/>
          <w:i/>
        </w:rPr>
        <w:tab/>
        <w:t>When considering the sufficiency of a sentence imposed on a federal offender at first instance, an intermediate appellate court should follow the decisions of other intermediate appellate courts unless convinced that there is a compelling reason not to do so.</w:t>
      </w:r>
    </w:p>
    <w:p w14:paraId="3DA0B3AE" w14:textId="6B76F534" w:rsidR="004C663F" w:rsidRPr="006B340B" w:rsidRDefault="004C663F" w:rsidP="00EB7F1E">
      <w:pPr>
        <w:pStyle w:val="BodyText"/>
        <w:spacing w:line="276" w:lineRule="auto"/>
        <w:ind w:left="1134" w:right="170" w:hanging="425"/>
        <w:jc w:val="both"/>
        <w:rPr>
          <w:rFonts w:asciiTheme="minorHAnsi" w:hAnsiTheme="minorHAnsi"/>
          <w:i/>
        </w:rPr>
      </w:pPr>
      <w:r w:rsidRPr="006B340B">
        <w:rPr>
          <w:rFonts w:asciiTheme="minorHAnsi" w:hAnsiTheme="minorHAnsi"/>
          <w:i/>
        </w:rPr>
        <w:t>(7)</w:t>
      </w:r>
      <w:r w:rsidRPr="006B340B">
        <w:rPr>
          <w:rFonts w:asciiTheme="minorHAnsi" w:hAnsiTheme="minorHAnsi"/>
          <w:i/>
        </w:rPr>
        <w:tab/>
        <w:t>Appellate intervention on the ground of manifest excessiveness or inadequacy is not warranted unless, having regard to all of the relevant sentencing factors, including the degree to which the impugned sentence differs from sentences that have been imposed in comparable cases, the appellate court is driven to conclude that there must have been some misapplication of principle.</w:t>
      </w:r>
    </w:p>
    <w:p w14:paraId="68216EA0" w14:textId="3F395687" w:rsidR="006B340B" w:rsidRPr="001C5DEF" w:rsidRDefault="006B340B" w:rsidP="001C5DEF">
      <w:pPr>
        <w:pStyle w:val="ListParagraph"/>
        <w:rPr>
          <w:rFonts w:asciiTheme="minorHAnsi" w:hAnsiTheme="minorHAnsi"/>
          <w:szCs w:val="22"/>
        </w:rPr>
      </w:pPr>
    </w:p>
    <w:p w14:paraId="5438C59A" w14:textId="16A4A5E6" w:rsidR="00A60E03" w:rsidRPr="00EB7F1E" w:rsidRDefault="00EC12DC" w:rsidP="00EB7F1E">
      <w:pPr>
        <w:pStyle w:val="ListParagraph"/>
        <w:numPr>
          <w:ilvl w:val="0"/>
          <w:numId w:val="7"/>
        </w:numPr>
        <w:spacing w:line="276" w:lineRule="auto"/>
        <w:ind w:left="425" w:hanging="425"/>
        <w:contextualSpacing w:val="0"/>
        <w:rPr>
          <w:rFonts w:asciiTheme="minorHAnsi" w:hAnsiTheme="minorHAnsi"/>
        </w:rPr>
      </w:pPr>
      <w:r w:rsidRPr="00A60E03">
        <w:rPr>
          <w:rFonts w:asciiTheme="minorHAnsi" w:hAnsiTheme="minorHAnsi"/>
        </w:rPr>
        <w:t xml:space="preserve">Reasonable </w:t>
      </w:r>
      <w:r w:rsidR="00A60E03" w:rsidRPr="00EB7F1E">
        <w:rPr>
          <w:rFonts w:asciiTheme="minorHAnsi" w:hAnsiTheme="minorHAnsi"/>
        </w:rPr>
        <w:t>consistency in the application of relevant legal principles does not require adherence to a range of sentences that is demonstrably contrary to principle.</w:t>
      </w:r>
      <w:r w:rsidRPr="00C00000">
        <w:rPr>
          <w:rStyle w:val="Style"/>
          <w:rFonts w:asciiTheme="minorHAnsi" w:hAnsiTheme="minorHAnsi"/>
        </w:rPr>
        <w:footnoteReference w:id="151"/>
      </w:r>
    </w:p>
    <w:p w14:paraId="085D0DEA" w14:textId="6573B6C3" w:rsidR="00A60E03" w:rsidRPr="007F0D7C" w:rsidRDefault="00A60E03" w:rsidP="00EB7F1E">
      <w:pPr>
        <w:pStyle w:val="ListParagraph"/>
        <w:rPr>
          <w:rFonts w:asciiTheme="minorHAnsi" w:hAnsiTheme="minorHAnsi"/>
          <w:szCs w:val="22"/>
        </w:rPr>
      </w:pPr>
    </w:p>
    <w:p w14:paraId="1C348E76" w14:textId="071D91EE" w:rsidR="00B25A6B" w:rsidRDefault="0053609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plurality i</w:t>
      </w:r>
      <w:r w:rsidR="007947AA">
        <w:rPr>
          <w:rFonts w:asciiTheme="minorHAnsi" w:hAnsiTheme="minorHAnsi"/>
        </w:rPr>
        <w:t xml:space="preserve">n </w:t>
      </w:r>
      <w:r w:rsidR="007947AA" w:rsidRPr="007947AA">
        <w:rPr>
          <w:rFonts w:asciiTheme="minorHAnsi" w:hAnsiTheme="minorHAnsi"/>
          <w:i/>
        </w:rPr>
        <w:t>Pham</w:t>
      </w:r>
      <w:r>
        <w:rPr>
          <w:rFonts w:asciiTheme="minorHAnsi" w:hAnsiTheme="minorHAnsi"/>
        </w:rPr>
        <w:t xml:space="preserve"> said that </w:t>
      </w:r>
      <w:r w:rsidRPr="0053609D">
        <w:rPr>
          <w:rFonts w:asciiTheme="minorHAnsi" w:hAnsiTheme="minorHAnsi"/>
        </w:rPr>
        <w:t xml:space="preserve">intermediate appellate courts </w:t>
      </w:r>
      <w:r>
        <w:rPr>
          <w:rFonts w:asciiTheme="minorHAnsi" w:hAnsiTheme="minorHAnsi"/>
        </w:rPr>
        <w:t>“</w:t>
      </w:r>
      <w:r w:rsidRPr="0053609D">
        <w:rPr>
          <w:rFonts w:asciiTheme="minorHAnsi" w:hAnsiTheme="minorHAnsi"/>
          <w:i/>
        </w:rPr>
        <w:t>must have regard to sentencing decisions of other intermediate appellate courts in comparable cases as "yardsticks" that may serve to illustrate (although not define) the possible range of sentences available … unless there is a compelling reason not to do so.</w:t>
      </w:r>
      <w:r>
        <w:rPr>
          <w:rFonts w:asciiTheme="minorHAnsi" w:hAnsiTheme="minorHAnsi"/>
        </w:rPr>
        <w:t>”</w:t>
      </w:r>
      <w:r w:rsidR="004D7500" w:rsidRPr="00C00000">
        <w:rPr>
          <w:rStyle w:val="Style"/>
          <w:rFonts w:asciiTheme="minorHAnsi" w:hAnsiTheme="minorHAnsi"/>
        </w:rPr>
        <w:footnoteReference w:id="152"/>
      </w:r>
      <w:r>
        <w:rPr>
          <w:rFonts w:asciiTheme="minorHAnsi" w:hAnsiTheme="minorHAnsi"/>
        </w:rPr>
        <w:t xml:space="preserve">  </w:t>
      </w:r>
      <w:r w:rsidRPr="0053609D">
        <w:rPr>
          <w:rFonts w:asciiTheme="minorHAnsi" w:hAnsiTheme="minorHAnsi"/>
          <w:i/>
        </w:rPr>
        <w:t>A fortiori</w:t>
      </w:r>
      <w:r>
        <w:rPr>
          <w:rFonts w:asciiTheme="minorHAnsi" w:hAnsiTheme="minorHAnsi"/>
        </w:rPr>
        <w:t xml:space="preserve">, a sentencing court must also have regard to </w:t>
      </w:r>
      <w:r w:rsidR="004D7500">
        <w:rPr>
          <w:rFonts w:asciiTheme="minorHAnsi" w:hAnsiTheme="minorHAnsi"/>
        </w:rPr>
        <w:t>relevant decisions of intermediate appellate courts in other jurisdictions in relation to the sentencing of federal offenders.</w:t>
      </w:r>
    </w:p>
    <w:p w14:paraId="7957F323" w14:textId="77777777" w:rsidR="0053609D" w:rsidRPr="00F44B99" w:rsidRDefault="0053609D" w:rsidP="00F44B99">
      <w:pPr>
        <w:pStyle w:val="ListParagraph"/>
        <w:rPr>
          <w:rFonts w:asciiTheme="minorHAnsi" w:hAnsiTheme="minorHAnsi"/>
          <w:szCs w:val="22"/>
        </w:rPr>
      </w:pPr>
    </w:p>
    <w:p w14:paraId="253B67FC" w14:textId="147412BB" w:rsidR="0053609D" w:rsidRPr="0053609D" w:rsidRDefault="0053609D" w:rsidP="00EB7F1E">
      <w:pPr>
        <w:pStyle w:val="ListParagraph"/>
        <w:numPr>
          <w:ilvl w:val="0"/>
          <w:numId w:val="7"/>
        </w:numPr>
        <w:spacing w:line="276" w:lineRule="auto"/>
        <w:ind w:left="425" w:hanging="425"/>
        <w:contextualSpacing w:val="0"/>
        <w:rPr>
          <w:rFonts w:asciiTheme="minorHAnsi" w:hAnsiTheme="minorHAnsi"/>
        </w:rPr>
      </w:pPr>
      <w:r w:rsidRPr="0053609D">
        <w:rPr>
          <w:rFonts w:asciiTheme="minorHAnsi" w:hAnsiTheme="minorHAnsi"/>
        </w:rPr>
        <w:t xml:space="preserve">Moreover </w:t>
      </w:r>
      <w:r>
        <w:rPr>
          <w:rFonts w:asciiTheme="minorHAnsi" w:hAnsiTheme="minorHAnsi"/>
        </w:rPr>
        <w:t xml:space="preserve">in their joint judgment in </w:t>
      </w:r>
      <w:r w:rsidRPr="0053609D">
        <w:rPr>
          <w:rFonts w:asciiTheme="minorHAnsi" w:hAnsiTheme="minorHAnsi"/>
          <w:i/>
        </w:rPr>
        <w:t>Pham</w:t>
      </w:r>
      <w:r>
        <w:rPr>
          <w:rFonts w:asciiTheme="minorHAnsi" w:hAnsiTheme="minorHAnsi"/>
        </w:rPr>
        <w:t>,</w:t>
      </w:r>
      <w:r w:rsidRPr="00C00000">
        <w:rPr>
          <w:rStyle w:val="Style"/>
          <w:rFonts w:asciiTheme="minorHAnsi" w:hAnsiTheme="minorHAnsi"/>
        </w:rPr>
        <w:footnoteReference w:id="153"/>
      </w:r>
      <w:r>
        <w:rPr>
          <w:rFonts w:asciiTheme="minorHAnsi" w:hAnsiTheme="minorHAnsi"/>
        </w:rPr>
        <w:t xml:space="preserve"> </w:t>
      </w:r>
      <w:r w:rsidRPr="0053609D">
        <w:rPr>
          <w:rFonts w:asciiTheme="minorHAnsi" w:hAnsiTheme="minorHAnsi"/>
        </w:rPr>
        <w:t>Bell and Gageler JJ accepted the Director</w:t>
      </w:r>
      <w:r w:rsidR="00AA693C">
        <w:rPr>
          <w:rFonts w:asciiTheme="minorHAnsi" w:hAnsiTheme="minorHAnsi"/>
        </w:rPr>
        <w:t>’</w:t>
      </w:r>
      <w:r w:rsidRPr="0053609D">
        <w:rPr>
          <w:rFonts w:asciiTheme="minorHAnsi" w:hAnsiTheme="minorHAnsi"/>
        </w:rPr>
        <w:t xml:space="preserve">s submission that – </w:t>
      </w:r>
    </w:p>
    <w:p w14:paraId="73110443" w14:textId="43FF5D69" w:rsidR="0053609D" w:rsidRDefault="0053609D" w:rsidP="00EB7F1E">
      <w:pPr>
        <w:pStyle w:val="BodyText"/>
        <w:spacing w:line="276" w:lineRule="auto"/>
        <w:ind w:left="720" w:right="170" w:hanging="11"/>
        <w:jc w:val="both"/>
        <w:rPr>
          <w:rFonts w:asciiTheme="minorHAnsi" w:hAnsiTheme="minorHAnsi"/>
          <w:i/>
        </w:rPr>
      </w:pPr>
      <w:r w:rsidRPr="007947AA">
        <w:rPr>
          <w:rFonts w:asciiTheme="minorHAnsi" w:hAnsiTheme="minorHAnsi"/>
          <w:i/>
        </w:rPr>
        <w:t>comparable cases decided by the intermediate courts of appeal provide the most useful guidance to a sentencing judge.  An appellate court</w:t>
      </w:r>
      <w:r w:rsidR="00AA693C">
        <w:rPr>
          <w:rFonts w:asciiTheme="minorHAnsi" w:hAnsiTheme="minorHAnsi"/>
          <w:i/>
        </w:rPr>
        <w:t>’</w:t>
      </w:r>
      <w:r w:rsidRPr="007947AA">
        <w:rPr>
          <w:rFonts w:asciiTheme="minorHAnsi" w:hAnsiTheme="minorHAnsi"/>
          <w:i/>
        </w:rPr>
        <w:t>s reasons reveal the mix of factors that were taken into account and will usually involve consideration of the appropriateness of the sentence imposed at first instance.</w:t>
      </w:r>
    </w:p>
    <w:p w14:paraId="6EDD76BF" w14:textId="77777777" w:rsidR="0053609D" w:rsidRPr="00F44B99" w:rsidRDefault="0053609D" w:rsidP="00F44B99">
      <w:pPr>
        <w:pStyle w:val="ListParagraph"/>
        <w:rPr>
          <w:rFonts w:asciiTheme="minorHAnsi" w:hAnsiTheme="minorHAnsi"/>
          <w:szCs w:val="22"/>
        </w:rPr>
      </w:pPr>
    </w:p>
    <w:p w14:paraId="15B96145" w14:textId="2B22FF82" w:rsidR="007947AA" w:rsidRDefault="00CE709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Accordingly, while reference to first instance sentences may be of some value to sentencing courts </w:t>
      </w:r>
      <w:r w:rsidR="00F44B99">
        <w:rPr>
          <w:rFonts w:asciiTheme="minorHAnsi" w:hAnsiTheme="minorHAnsi"/>
        </w:rPr>
        <w:t xml:space="preserve">and to appellate courts </w:t>
      </w:r>
      <w:r>
        <w:rPr>
          <w:rFonts w:asciiTheme="minorHAnsi" w:hAnsiTheme="minorHAnsi"/>
        </w:rPr>
        <w:t>(for example, when few sentences have been imposed for the relevant offence), particular attention should be paid to the decisions of intermediate appellate courts</w:t>
      </w:r>
      <w:r w:rsidR="00F44B99">
        <w:rPr>
          <w:rFonts w:asciiTheme="minorHAnsi" w:hAnsiTheme="minorHAnsi"/>
        </w:rPr>
        <w:t>, not only as</w:t>
      </w:r>
      <w:r>
        <w:rPr>
          <w:rFonts w:asciiTheme="minorHAnsi" w:hAnsiTheme="minorHAnsi"/>
        </w:rPr>
        <w:t xml:space="preserve"> to the principles which those decisions reveal</w:t>
      </w:r>
      <w:r w:rsidR="00F44B99">
        <w:rPr>
          <w:rFonts w:asciiTheme="minorHAnsi" w:hAnsiTheme="minorHAnsi"/>
        </w:rPr>
        <w:t>, but also as a “yardstick” to illustrate the possible range of sentences available</w:t>
      </w:r>
      <w:r>
        <w:rPr>
          <w:rFonts w:asciiTheme="minorHAnsi" w:hAnsiTheme="minorHAnsi"/>
        </w:rPr>
        <w:t>.</w:t>
      </w:r>
    </w:p>
    <w:p w14:paraId="78B0D991" w14:textId="5B15802E" w:rsidR="00775748" w:rsidRDefault="00775748" w:rsidP="00775748">
      <w:pPr>
        <w:spacing w:line="276" w:lineRule="auto"/>
        <w:rPr>
          <w:rFonts w:asciiTheme="minorHAnsi" w:hAnsiTheme="minorHAnsi"/>
        </w:rPr>
      </w:pPr>
    </w:p>
    <w:p w14:paraId="0A3444F1" w14:textId="74A27205" w:rsidR="00775748" w:rsidRPr="00C00356" w:rsidRDefault="00775748" w:rsidP="00775748">
      <w:pPr>
        <w:pStyle w:val="ListParagraph"/>
        <w:numPr>
          <w:ilvl w:val="0"/>
          <w:numId w:val="7"/>
        </w:numPr>
        <w:spacing w:line="276" w:lineRule="auto"/>
        <w:ind w:left="425" w:hanging="425"/>
        <w:contextualSpacing w:val="0"/>
        <w:rPr>
          <w:rFonts w:asciiTheme="minorHAnsi" w:hAnsiTheme="minorHAnsi" w:cstheme="minorHAnsi"/>
        </w:rPr>
      </w:pPr>
      <w:r>
        <w:rPr>
          <w:rFonts w:asciiTheme="minorHAnsi" w:hAnsiTheme="minorHAnsi"/>
        </w:rPr>
        <w:t>In some jurisdictions, appellate courts</w:t>
      </w:r>
      <w:r w:rsidRPr="00A15539">
        <w:rPr>
          <w:rFonts w:asciiTheme="minorHAnsi" w:hAnsiTheme="minorHAnsi" w:cstheme="minorHAnsi"/>
          <w:i/>
        </w:rPr>
        <w:t xml:space="preserve"> </w:t>
      </w:r>
      <w:r>
        <w:rPr>
          <w:rFonts w:asciiTheme="minorHAnsi" w:hAnsiTheme="minorHAnsi" w:cstheme="minorHAnsi"/>
          <w:iCs/>
        </w:rPr>
        <w:t>“</w:t>
      </w:r>
      <w:r w:rsidRPr="00A3452A">
        <w:rPr>
          <w:rFonts w:asciiTheme="minorHAnsi" w:hAnsiTheme="minorHAnsi" w:cstheme="minorHAnsi"/>
          <w:i/>
        </w:rPr>
        <w:t>may seek to identify the applicable range by characterising the objective seriousness of the offence as falling within the low, mid or the high range of seriousness of the offence</w:t>
      </w:r>
      <w:r>
        <w:rPr>
          <w:rFonts w:asciiTheme="minorHAnsi" w:hAnsiTheme="minorHAnsi" w:cstheme="minorHAnsi"/>
          <w:iCs/>
        </w:rPr>
        <w:t>”.</w:t>
      </w:r>
      <w:r w:rsidRPr="00C00000">
        <w:rPr>
          <w:rStyle w:val="Style"/>
          <w:rFonts w:asciiTheme="minorHAnsi" w:hAnsiTheme="minorHAnsi"/>
        </w:rPr>
        <w:footnoteReference w:id="154"/>
      </w:r>
      <w:r>
        <w:rPr>
          <w:rFonts w:asciiTheme="minorHAnsi" w:hAnsiTheme="minorHAnsi" w:cstheme="minorHAnsi"/>
          <w:iCs/>
        </w:rPr>
        <w:t xml:space="preserve">  The practice </w:t>
      </w:r>
      <w:r w:rsidR="0085716C">
        <w:rPr>
          <w:rFonts w:asciiTheme="minorHAnsi" w:hAnsiTheme="minorHAnsi" w:cstheme="minorHAnsi"/>
          <w:iCs/>
        </w:rPr>
        <w:t>is</w:t>
      </w:r>
      <w:r>
        <w:rPr>
          <w:rFonts w:asciiTheme="minorHAnsi" w:hAnsiTheme="minorHAnsi" w:cstheme="minorHAnsi"/>
          <w:iCs/>
        </w:rPr>
        <w:t xml:space="preserve"> also used by first instance </w:t>
      </w:r>
      <w:r w:rsidR="0085716C">
        <w:rPr>
          <w:rFonts w:asciiTheme="minorHAnsi" w:hAnsiTheme="minorHAnsi" w:cstheme="minorHAnsi"/>
          <w:iCs/>
        </w:rPr>
        <w:t xml:space="preserve">courts in some jurisdictions </w:t>
      </w:r>
      <w:r>
        <w:rPr>
          <w:rFonts w:asciiTheme="minorHAnsi" w:hAnsiTheme="minorHAnsi" w:cstheme="minorHAnsi"/>
          <w:iCs/>
        </w:rPr>
        <w:t>to assist in sentencing.  In New South Wales, very fine nuances of categorisation are sometime adopted</w:t>
      </w:r>
      <w:r w:rsidR="001113ED">
        <w:rPr>
          <w:rFonts w:asciiTheme="minorHAnsi" w:hAnsiTheme="minorHAnsi" w:cstheme="minorHAnsi"/>
          <w:iCs/>
        </w:rPr>
        <w:t>.</w:t>
      </w:r>
      <w:r w:rsidR="001113ED" w:rsidRPr="00C00000">
        <w:rPr>
          <w:rStyle w:val="Style"/>
          <w:rFonts w:asciiTheme="minorHAnsi" w:hAnsiTheme="minorHAnsi"/>
        </w:rPr>
        <w:footnoteReference w:id="155"/>
      </w:r>
      <w:r>
        <w:rPr>
          <w:rFonts w:asciiTheme="minorHAnsi" w:hAnsiTheme="minorHAnsi" w:cstheme="minorHAnsi"/>
        </w:rPr>
        <w:t xml:space="preserve">  The Victorian Court of Appeal has </w:t>
      </w:r>
      <w:r w:rsidR="00D00CE2">
        <w:rPr>
          <w:rFonts w:asciiTheme="minorHAnsi" w:hAnsiTheme="minorHAnsi" w:cstheme="minorHAnsi"/>
        </w:rPr>
        <w:t>warned that such categorisation</w:t>
      </w:r>
      <w:r>
        <w:rPr>
          <w:rFonts w:asciiTheme="minorHAnsi" w:hAnsiTheme="minorHAnsi" w:cstheme="minorHAnsi"/>
        </w:rPr>
        <w:t xml:space="preserve"> “</w:t>
      </w:r>
      <w:r w:rsidRPr="00C00356">
        <w:rPr>
          <w:rFonts w:asciiTheme="minorHAnsi" w:hAnsiTheme="minorHAnsi" w:cstheme="minorHAnsi"/>
          <w:i/>
          <w:iCs/>
        </w:rPr>
        <w:t>may lead to sentencing judges unconsciously limiting their instinctive synthesis of a particular case by sentences in other cases classified within a particular range, rather than considering the individual facts of comparable cases.</w:t>
      </w:r>
      <w:r w:rsidRPr="00C00356">
        <w:rPr>
          <w:rFonts w:asciiTheme="minorHAnsi" w:hAnsiTheme="minorHAnsi" w:cstheme="minorHAnsi"/>
        </w:rPr>
        <w:t>”</w:t>
      </w:r>
      <w:r w:rsidR="00B95FA5" w:rsidRPr="00C00000">
        <w:rPr>
          <w:rStyle w:val="Style"/>
          <w:rFonts w:asciiTheme="minorHAnsi" w:hAnsiTheme="minorHAnsi"/>
        </w:rPr>
        <w:footnoteReference w:id="156"/>
      </w:r>
      <w:r w:rsidRPr="009265CC">
        <w:rPr>
          <w:rStyle w:val="Heading1Char"/>
        </w:rPr>
        <w:t xml:space="preserve"> </w:t>
      </w:r>
      <w:r>
        <w:rPr>
          <w:rStyle w:val="Heading1Char"/>
        </w:rPr>
        <w:t xml:space="preserve"> </w:t>
      </w:r>
      <w:r w:rsidRPr="00C00356">
        <w:rPr>
          <w:rFonts w:asciiTheme="minorHAnsi" w:hAnsiTheme="minorHAnsi" w:cstheme="minorHAnsi"/>
        </w:rPr>
        <w:t>The</w:t>
      </w:r>
      <w:r>
        <w:rPr>
          <w:rFonts w:asciiTheme="minorHAnsi" w:hAnsiTheme="minorHAnsi" w:cstheme="minorHAnsi"/>
        </w:rPr>
        <w:t xml:space="preserve"> Court considered that it is more consistent with the principles in </w:t>
      </w:r>
      <w:r w:rsidRPr="00C00356">
        <w:rPr>
          <w:rFonts w:asciiTheme="minorHAnsi" w:hAnsiTheme="minorHAnsi" w:cstheme="minorHAnsi"/>
          <w:i/>
          <w:iCs/>
        </w:rPr>
        <w:t>Pham</w:t>
      </w:r>
      <w:r w:rsidRPr="00C00356">
        <w:rPr>
          <w:rFonts w:asciiTheme="minorHAnsi" w:hAnsiTheme="minorHAnsi" w:cstheme="minorHAnsi"/>
        </w:rPr>
        <w:t xml:space="preserve"> </w:t>
      </w:r>
      <w:r>
        <w:rPr>
          <w:rFonts w:asciiTheme="minorHAnsi" w:hAnsiTheme="minorHAnsi" w:cstheme="minorHAnsi"/>
        </w:rPr>
        <w:t>“</w:t>
      </w:r>
      <w:r w:rsidRPr="00C00356">
        <w:rPr>
          <w:rFonts w:asciiTheme="minorHAnsi" w:hAnsiTheme="minorHAnsi" w:cstheme="minorHAnsi"/>
          <w:i/>
          <w:iCs/>
        </w:rPr>
        <w:t xml:space="preserve">to avoid categorising cases as falling within a particular </w:t>
      </w:r>
      <w:r w:rsidR="00AA693C">
        <w:rPr>
          <w:rFonts w:asciiTheme="minorHAnsi" w:hAnsiTheme="minorHAnsi" w:cstheme="minorHAnsi"/>
          <w:i/>
          <w:iCs/>
        </w:rPr>
        <w:t>‘</w:t>
      </w:r>
      <w:r w:rsidRPr="00C00356">
        <w:rPr>
          <w:rFonts w:asciiTheme="minorHAnsi" w:hAnsiTheme="minorHAnsi" w:cstheme="minorHAnsi"/>
          <w:i/>
          <w:iCs/>
        </w:rPr>
        <w:t>range</w:t>
      </w:r>
      <w:r w:rsidR="00AA693C">
        <w:rPr>
          <w:rFonts w:asciiTheme="minorHAnsi" w:hAnsiTheme="minorHAnsi" w:cstheme="minorHAnsi"/>
          <w:i/>
          <w:iCs/>
        </w:rPr>
        <w:t>’</w:t>
      </w:r>
      <w:r w:rsidRPr="00C00356">
        <w:rPr>
          <w:rFonts w:asciiTheme="minorHAnsi" w:hAnsiTheme="minorHAnsi" w:cstheme="minorHAnsi"/>
          <w:i/>
          <w:iCs/>
        </w:rPr>
        <w:t xml:space="preserve"> and, instead, for sentencing judges to have regard to relevantly comparable, and current, cases as </w:t>
      </w:r>
      <w:r w:rsidR="00AA693C">
        <w:rPr>
          <w:rFonts w:asciiTheme="minorHAnsi" w:hAnsiTheme="minorHAnsi" w:cstheme="minorHAnsi"/>
          <w:i/>
          <w:iCs/>
        </w:rPr>
        <w:t>‘</w:t>
      </w:r>
      <w:r w:rsidRPr="00C00356">
        <w:rPr>
          <w:rFonts w:asciiTheme="minorHAnsi" w:hAnsiTheme="minorHAnsi" w:cstheme="minorHAnsi"/>
          <w:i/>
          <w:iCs/>
        </w:rPr>
        <w:t>yardsticks</w:t>
      </w:r>
      <w:r w:rsidR="00AA693C">
        <w:rPr>
          <w:rFonts w:asciiTheme="minorHAnsi" w:hAnsiTheme="minorHAnsi" w:cstheme="minorHAnsi"/>
          <w:i/>
          <w:iCs/>
        </w:rPr>
        <w:t>’</w:t>
      </w:r>
      <w:r w:rsidRPr="00C00356">
        <w:rPr>
          <w:rFonts w:asciiTheme="minorHAnsi" w:hAnsiTheme="minorHAnsi" w:cstheme="minorHAnsi"/>
          <w:i/>
          <w:iCs/>
        </w:rPr>
        <w:t>.</w:t>
      </w:r>
      <w:r>
        <w:rPr>
          <w:rFonts w:asciiTheme="minorHAnsi" w:hAnsiTheme="minorHAnsi" w:cstheme="minorHAnsi"/>
        </w:rPr>
        <w:t>”</w:t>
      </w:r>
      <w:r w:rsidR="002A5024" w:rsidRPr="00C00000">
        <w:rPr>
          <w:rStyle w:val="Style"/>
          <w:rFonts w:asciiTheme="minorHAnsi" w:hAnsiTheme="minorHAnsi"/>
        </w:rPr>
        <w:footnoteReference w:id="157"/>
      </w:r>
    </w:p>
    <w:p w14:paraId="049BBBEB" w14:textId="77777777" w:rsidR="00CB7397" w:rsidRPr="00C00000" w:rsidRDefault="00CB7397" w:rsidP="007C11C2">
      <w:pPr>
        <w:spacing w:line="276" w:lineRule="auto"/>
        <w:ind w:left="567" w:hanging="567"/>
        <w:rPr>
          <w:rFonts w:asciiTheme="minorHAnsi" w:hAnsiTheme="minorHAnsi"/>
        </w:rPr>
      </w:pPr>
      <w:r w:rsidRPr="00C00000">
        <w:rPr>
          <w:rFonts w:asciiTheme="minorHAnsi" w:hAnsiTheme="minorHAnsi"/>
        </w:rPr>
        <w:br w:type="page"/>
      </w:r>
    </w:p>
    <w:p w14:paraId="33335C30" w14:textId="7C8F7F92" w:rsidR="00D64484" w:rsidRPr="00C00000" w:rsidRDefault="00D64484" w:rsidP="003E7B85">
      <w:pPr>
        <w:pStyle w:val="Heading1"/>
        <w:keepNext/>
        <w:spacing w:line="276" w:lineRule="auto"/>
        <w:rPr>
          <w:rFonts w:asciiTheme="minorHAnsi" w:hAnsiTheme="minorHAnsi"/>
          <w:sz w:val="30"/>
          <w:szCs w:val="30"/>
        </w:rPr>
      </w:pPr>
      <w:bookmarkStart w:id="1129" w:name="_Toc9487892"/>
      <w:bookmarkStart w:id="1130" w:name="_Toc9935384"/>
      <w:bookmarkStart w:id="1131" w:name="_Toc10198253"/>
      <w:bookmarkStart w:id="1132" w:name="_Toc10384473"/>
      <w:bookmarkStart w:id="1133" w:name="_Toc10458591"/>
      <w:bookmarkStart w:id="1134" w:name="_Toc10559507"/>
      <w:bookmarkStart w:id="1135" w:name="_Toc10640652"/>
      <w:bookmarkStart w:id="1136" w:name="_Toc10718560"/>
      <w:bookmarkStart w:id="1137" w:name="_Toc10889286"/>
      <w:bookmarkStart w:id="1138" w:name="_Toc10890727"/>
      <w:bookmarkStart w:id="1139" w:name="_Toc11078683"/>
      <w:bookmarkStart w:id="1140" w:name="_Toc11086947"/>
      <w:bookmarkStart w:id="1141" w:name="_Toc11087324"/>
      <w:bookmarkStart w:id="1142" w:name="_Toc11240022"/>
      <w:bookmarkStart w:id="1143" w:name="_Toc11405386"/>
      <w:bookmarkStart w:id="1144" w:name="_Toc11407163"/>
      <w:bookmarkStart w:id="1145" w:name="_Toc11485753"/>
      <w:bookmarkStart w:id="1146" w:name="_Toc11583280"/>
      <w:bookmarkStart w:id="1147" w:name="_Toc11692678"/>
      <w:bookmarkStart w:id="1148" w:name="_Toc11773184"/>
      <w:bookmarkStart w:id="1149" w:name="_Toc11826986"/>
      <w:bookmarkStart w:id="1150" w:name="_Toc11833694"/>
      <w:bookmarkStart w:id="1151" w:name="_Toc11848089"/>
      <w:bookmarkStart w:id="1152" w:name="_Toc11851746"/>
      <w:bookmarkStart w:id="1153" w:name="_Toc12608579"/>
      <w:bookmarkStart w:id="1154" w:name="_Toc12706534"/>
      <w:bookmarkStart w:id="1155" w:name="_Toc12860470"/>
      <w:bookmarkStart w:id="1156" w:name="_Toc12862039"/>
      <w:bookmarkStart w:id="1157" w:name="_Toc12864085"/>
      <w:bookmarkStart w:id="1158" w:name="_Toc13551634"/>
      <w:bookmarkStart w:id="1159" w:name="_Toc13737411"/>
      <w:bookmarkStart w:id="1160" w:name="_Toc13737826"/>
      <w:bookmarkStart w:id="1161" w:name="_Toc25308384"/>
      <w:bookmarkStart w:id="1162" w:name="_Toc33602772"/>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r w:rsidRPr="00C00000">
        <w:rPr>
          <w:rFonts w:asciiTheme="minorHAnsi" w:hAnsiTheme="minorHAnsi"/>
          <w:sz w:val="30"/>
          <w:szCs w:val="30"/>
        </w:rPr>
        <w:t xml:space="preserve">Sentencing </w:t>
      </w:r>
      <w:r w:rsidR="00EE75EC">
        <w:rPr>
          <w:rFonts w:asciiTheme="minorHAnsi" w:hAnsiTheme="minorHAnsi"/>
          <w:sz w:val="30"/>
          <w:szCs w:val="30"/>
        </w:rPr>
        <w:t>factors</w:t>
      </w:r>
      <w:bookmarkEnd w:id="1162"/>
    </w:p>
    <w:p w14:paraId="5464715B" w14:textId="77777777" w:rsidR="0003385E" w:rsidRPr="00C00000" w:rsidRDefault="0003385E" w:rsidP="003E7B85">
      <w:pPr>
        <w:keepNext/>
        <w:spacing w:line="276" w:lineRule="auto"/>
        <w:ind w:left="153" w:right="170"/>
        <w:rPr>
          <w:rFonts w:asciiTheme="minorHAnsi" w:hAnsiTheme="minorHAnsi"/>
        </w:rPr>
      </w:pPr>
    </w:p>
    <w:p w14:paraId="2C5D9AAF" w14:textId="4875E670" w:rsidR="007F4078" w:rsidRPr="00C00000" w:rsidRDefault="00B46516" w:rsidP="003E7B85">
      <w:pPr>
        <w:pStyle w:val="Heading2"/>
        <w:rPr>
          <w:rStyle w:val="Strong"/>
          <w:b/>
        </w:rPr>
      </w:pPr>
      <w:bookmarkStart w:id="1163" w:name="_Toc33602773"/>
      <w:r>
        <w:rPr>
          <w:rStyle w:val="Strong"/>
          <w:b/>
        </w:rPr>
        <w:t>The sources of sentencing principles</w:t>
      </w:r>
      <w:bookmarkEnd w:id="1163"/>
    </w:p>
    <w:p w14:paraId="1E03F143" w14:textId="1C3DE4BD" w:rsidR="007F4078" w:rsidRDefault="007F4078" w:rsidP="003E7B85">
      <w:pPr>
        <w:pStyle w:val="NormalIndent"/>
        <w:keepNext/>
        <w:spacing w:line="276" w:lineRule="auto"/>
        <w:ind w:right="170" w:hanging="567"/>
        <w:rPr>
          <w:rFonts w:asciiTheme="minorHAnsi" w:hAnsiTheme="minorHAnsi"/>
        </w:rPr>
      </w:pPr>
    </w:p>
    <w:p w14:paraId="0D7CDB0A" w14:textId="42286460" w:rsidR="00126B6E" w:rsidRPr="00126B6E" w:rsidRDefault="00126B6E" w:rsidP="003E7B85">
      <w:pPr>
        <w:pStyle w:val="Heading3"/>
      </w:pPr>
      <w:bookmarkStart w:id="1164" w:name="_Toc33602774"/>
      <w:r>
        <w:t xml:space="preserve">Part </w:t>
      </w:r>
      <w:r w:rsidR="00E45830">
        <w:t>IB</w:t>
      </w:r>
      <w:r>
        <w:t xml:space="preserve"> of the </w:t>
      </w:r>
      <w:r w:rsidR="00885EFD" w:rsidRPr="00885EFD">
        <w:rPr>
          <w:i/>
        </w:rPr>
        <w:t>Crimes Act 1914</w:t>
      </w:r>
      <w:bookmarkEnd w:id="1164"/>
    </w:p>
    <w:p w14:paraId="3A059E35" w14:textId="77777777" w:rsidR="00126B6E" w:rsidRPr="00C00000" w:rsidRDefault="00126B6E" w:rsidP="003E7B85">
      <w:pPr>
        <w:pStyle w:val="NormalIndent"/>
        <w:keepNext/>
        <w:spacing w:line="276" w:lineRule="auto"/>
        <w:ind w:right="170" w:hanging="567"/>
        <w:rPr>
          <w:rFonts w:asciiTheme="minorHAnsi" w:hAnsiTheme="minorHAnsi"/>
        </w:rPr>
      </w:pPr>
    </w:p>
    <w:p w14:paraId="43DE985F" w14:textId="062C839E" w:rsidR="006767AD" w:rsidRPr="006767AD" w:rsidRDefault="00BA57CB" w:rsidP="00EB7F1E">
      <w:pPr>
        <w:pStyle w:val="ListParagraph"/>
        <w:numPr>
          <w:ilvl w:val="0"/>
          <w:numId w:val="7"/>
        </w:numPr>
        <w:spacing w:line="276" w:lineRule="auto"/>
        <w:ind w:left="425" w:hanging="425"/>
        <w:contextualSpacing w:val="0"/>
        <w:rPr>
          <w:rFonts w:asciiTheme="minorHAnsi" w:hAnsiTheme="minorHAnsi"/>
        </w:rPr>
      </w:pPr>
      <w:r w:rsidRPr="00BA57CB">
        <w:rPr>
          <w:rFonts w:asciiTheme="minorHAnsi" w:hAnsiTheme="minorHAnsi"/>
        </w:rPr>
        <w:t>Sentencing of any federal offender must begin with a consideration of the applicable legislation</w:t>
      </w:r>
      <w:r>
        <w:rPr>
          <w:rFonts w:asciiTheme="minorHAnsi" w:hAnsiTheme="minorHAnsi"/>
        </w:rPr>
        <w:t>.</w:t>
      </w:r>
      <w:r w:rsidRPr="00C00000">
        <w:rPr>
          <w:rStyle w:val="Style"/>
          <w:rFonts w:asciiTheme="minorHAnsi" w:hAnsiTheme="minorHAnsi"/>
        </w:rPr>
        <w:footnoteReference w:id="158"/>
      </w:r>
      <w:r>
        <w:rPr>
          <w:rFonts w:asciiTheme="minorHAnsi" w:hAnsiTheme="minorHAnsi"/>
        </w:rPr>
        <w:t xml:space="preserve"> </w:t>
      </w:r>
      <w:r w:rsidRPr="00BA57CB">
        <w:rPr>
          <w:rFonts w:asciiTheme="minorHAnsi" w:hAnsiTheme="minorHAnsi"/>
        </w:rPr>
        <w:t xml:space="preserve"> </w:t>
      </w:r>
      <w:r w:rsidR="0053432F" w:rsidRPr="00C00000">
        <w:rPr>
          <w:rFonts w:asciiTheme="minorHAnsi" w:hAnsiTheme="minorHAnsi"/>
        </w:rPr>
        <w:t xml:space="preserve">The central sentencing principles in respect of federal offenders </w:t>
      </w:r>
      <w:r w:rsidR="004C1AD1" w:rsidRPr="00C00000">
        <w:rPr>
          <w:rFonts w:asciiTheme="minorHAnsi" w:hAnsiTheme="minorHAnsi"/>
        </w:rPr>
        <w:t xml:space="preserve">are </w:t>
      </w:r>
      <w:r w:rsidR="0053432F" w:rsidRPr="00C00000">
        <w:rPr>
          <w:rFonts w:asciiTheme="minorHAnsi" w:hAnsiTheme="minorHAnsi"/>
        </w:rPr>
        <w:t xml:space="preserve">set out in </w:t>
      </w:r>
      <w:r w:rsidR="004C1AD1" w:rsidRPr="00C00000">
        <w:rPr>
          <w:rFonts w:asciiTheme="minorHAnsi" w:hAnsiTheme="minorHAnsi"/>
        </w:rPr>
        <w:t xml:space="preserve">Part </w:t>
      </w:r>
      <w:r w:rsidR="00E45830">
        <w:rPr>
          <w:rFonts w:asciiTheme="minorHAnsi" w:hAnsiTheme="minorHAnsi"/>
        </w:rPr>
        <w:t>IB</w:t>
      </w:r>
      <w:r w:rsidR="004C1AD1" w:rsidRPr="00C00000">
        <w:rPr>
          <w:rFonts w:asciiTheme="minorHAnsi" w:hAnsiTheme="minorHAnsi"/>
        </w:rPr>
        <w:t xml:space="preserve"> of the </w:t>
      </w:r>
      <w:r w:rsidR="00885EFD" w:rsidRPr="00885EFD">
        <w:rPr>
          <w:rFonts w:asciiTheme="minorHAnsi" w:hAnsiTheme="minorHAnsi"/>
          <w:i/>
          <w:iCs/>
        </w:rPr>
        <w:t>Crimes Act 1914</w:t>
      </w:r>
      <w:r w:rsidR="0053432F" w:rsidRPr="00C00000">
        <w:rPr>
          <w:rFonts w:asciiTheme="minorHAnsi" w:hAnsiTheme="minorHAnsi"/>
          <w:i/>
          <w:iCs/>
        </w:rPr>
        <w:t xml:space="preserve"> </w:t>
      </w:r>
      <w:r w:rsidR="006767AD">
        <w:rPr>
          <w:rFonts w:asciiTheme="minorHAnsi" w:hAnsiTheme="minorHAnsi"/>
          <w:iCs/>
        </w:rPr>
        <w:t>(Cth)</w:t>
      </w:r>
      <w:r w:rsidR="00EC4695">
        <w:rPr>
          <w:rFonts w:asciiTheme="minorHAnsi" w:hAnsiTheme="minorHAnsi"/>
          <w:iCs/>
        </w:rPr>
        <w:t>, and particularly in s 16A of the Act</w:t>
      </w:r>
      <w:r w:rsidR="006767AD">
        <w:rPr>
          <w:rFonts w:asciiTheme="minorHAnsi" w:hAnsiTheme="minorHAnsi"/>
          <w:iCs/>
        </w:rPr>
        <w:t xml:space="preserve">. </w:t>
      </w:r>
    </w:p>
    <w:p w14:paraId="5A007604" w14:textId="77777777" w:rsidR="006767AD" w:rsidRPr="006767AD" w:rsidRDefault="006767AD" w:rsidP="006767AD">
      <w:pPr>
        <w:spacing w:line="276" w:lineRule="auto"/>
        <w:ind w:right="170"/>
        <w:rPr>
          <w:rFonts w:asciiTheme="minorHAnsi" w:hAnsiTheme="minorHAnsi"/>
        </w:rPr>
      </w:pPr>
    </w:p>
    <w:p w14:paraId="2647EE7D" w14:textId="3E4A9DB0" w:rsidR="00126B6E" w:rsidRPr="00126B6E" w:rsidRDefault="00126B6E" w:rsidP="000C6ED8">
      <w:pPr>
        <w:pStyle w:val="Heading3"/>
      </w:pPr>
      <w:bookmarkStart w:id="1165" w:name="_Toc33602775"/>
      <w:r>
        <w:t xml:space="preserve">The interaction between Part </w:t>
      </w:r>
      <w:r w:rsidR="00E45830">
        <w:t>IB</w:t>
      </w:r>
      <w:r>
        <w:t xml:space="preserve"> and common law sentencing principles</w:t>
      </w:r>
      <w:bookmarkEnd w:id="1165"/>
    </w:p>
    <w:p w14:paraId="30950B7A" w14:textId="77777777" w:rsidR="00126B6E" w:rsidRPr="00C00000" w:rsidRDefault="00126B6E" w:rsidP="000C6ED8">
      <w:pPr>
        <w:pStyle w:val="NormalIndent"/>
        <w:keepNext/>
        <w:spacing w:line="276" w:lineRule="auto"/>
        <w:ind w:right="170" w:hanging="567"/>
        <w:rPr>
          <w:rFonts w:asciiTheme="minorHAnsi" w:hAnsiTheme="minorHAnsi"/>
        </w:rPr>
      </w:pPr>
    </w:p>
    <w:p w14:paraId="5106BE43" w14:textId="3D2F9F66" w:rsidR="00B46516" w:rsidRPr="00B46516" w:rsidRDefault="00CE56DD" w:rsidP="00EB7F1E">
      <w:pPr>
        <w:pStyle w:val="ListParagraph"/>
        <w:numPr>
          <w:ilvl w:val="0"/>
          <w:numId w:val="7"/>
        </w:numPr>
        <w:spacing w:line="276" w:lineRule="auto"/>
        <w:ind w:left="425" w:hanging="425"/>
        <w:contextualSpacing w:val="0"/>
        <w:rPr>
          <w:rFonts w:asciiTheme="minorHAnsi" w:hAnsiTheme="minorHAnsi"/>
          <w:iCs/>
        </w:rPr>
      </w:pPr>
      <w:r w:rsidRPr="007E772C">
        <w:rPr>
          <w:rFonts w:asciiTheme="minorHAnsi" w:hAnsiTheme="minorHAnsi"/>
          <w:iCs/>
        </w:rPr>
        <w:t xml:space="preserve">Where the provisions of Part </w:t>
      </w:r>
      <w:r w:rsidR="00E45830">
        <w:rPr>
          <w:rFonts w:asciiTheme="minorHAnsi" w:hAnsiTheme="minorHAnsi"/>
          <w:iCs/>
        </w:rPr>
        <w:t>IB</w:t>
      </w:r>
      <w:r w:rsidRPr="007E772C">
        <w:rPr>
          <w:rFonts w:asciiTheme="minorHAnsi" w:hAnsiTheme="minorHAnsi"/>
          <w:iCs/>
        </w:rPr>
        <w:t xml:space="preserve"> leave a gap in the </w:t>
      </w:r>
      <w:r w:rsidR="007E772C" w:rsidRPr="007E772C">
        <w:rPr>
          <w:rFonts w:asciiTheme="minorHAnsi" w:hAnsiTheme="minorHAnsi"/>
          <w:iCs/>
        </w:rPr>
        <w:t xml:space="preserve">law, </w:t>
      </w:r>
      <w:r w:rsidR="007E772C" w:rsidRPr="00C00000">
        <w:rPr>
          <w:rFonts w:asciiTheme="minorHAnsi" w:hAnsiTheme="minorHAnsi"/>
        </w:rPr>
        <w:t xml:space="preserve">common law </w:t>
      </w:r>
      <w:r w:rsidR="007E772C">
        <w:rPr>
          <w:rFonts w:asciiTheme="minorHAnsi" w:hAnsiTheme="minorHAnsi"/>
        </w:rPr>
        <w:t xml:space="preserve">principles </w:t>
      </w:r>
      <w:r w:rsidR="007E772C" w:rsidRPr="00C00000">
        <w:rPr>
          <w:rFonts w:asciiTheme="minorHAnsi" w:hAnsiTheme="minorHAnsi"/>
        </w:rPr>
        <w:t>will apply</w:t>
      </w:r>
      <w:r w:rsidR="007E772C">
        <w:rPr>
          <w:rFonts w:asciiTheme="minorHAnsi" w:hAnsiTheme="minorHAnsi"/>
        </w:rPr>
        <w:t xml:space="preserve">, pursuant to s 80 of the </w:t>
      </w:r>
      <w:r w:rsidR="007E772C" w:rsidRPr="00C00000">
        <w:rPr>
          <w:rFonts w:asciiTheme="minorHAnsi" w:hAnsiTheme="minorHAnsi"/>
          <w:i/>
        </w:rPr>
        <w:t xml:space="preserve">Judiciary Act 1903 </w:t>
      </w:r>
      <w:r w:rsidR="007E772C" w:rsidRPr="00C00000">
        <w:rPr>
          <w:rFonts w:asciiTheme="minorHAnsi" w:hAnsiTheme="minorHAnsi"/>
        </w:rPr>
        <w:t>(Cth)</w:t>
      </w:r>
      <w:r w:rsidR="00A9101F">
        <w:rPr>
          <w:rFonts w:asciiTheme="minorHAnsi" w:hAnsiTheme="minorHAnsi"/>
        </w:rPr>
        <w:t>.</w:t>
      </w:r>
      <w:r w:rsidR="004E606D" w:rsidRPr="00C00000">
        <w:rPr>
          <w:rStyle w:val="Style"/>
          <w:rFonts w:asciiTheme="minorHAnsi" w:hAnsiTheme="minorHAnsi"/>
        </w:rPr>
        <w:footnoteReference w:id="159"/>
      </w:r>
      <w:r w:rsidR="007E772C" w:rsidRPr="00C00000">
        <w:rPr>
          <w:rFonts w:asciiTheme="minorHAnsi" w:hAnsiTheme="minorHAnsi"/>
          <w:i/>
        </w:rPr>
        <w:t xml:space="preserve">  </w:t>
      </w:r>
      <w:r w:rsidR="00B12643">
        <w:rPr>
          <w:rFonts w:asciiTheme="minorHAnsi" w:hAnsiTheme="minorHAnsi"/>
        </w:rPr>
        <w:t xml:space="preserve">Thus, </w:t>
      </w:r>
      <w:r w:rsidR="006D2A16" w:rsidRPr="00B12643">
        <w:rPr>
          <w:rFonts w:asciiTheme="minorHAnsi" w:hAnsiTheme="minorHAnsi"/>
        </w:rPr>
        <w:t>except to the extent stated in ss 16A and 16B of the</w:t>
      </w:r>
      <w:r w:rsidR="00B12643">
        <w:rPr>
          <w:rFonts w:asciiTheme="minorHAnsi" w:hAnsiTheme="minorHAnsi"/>
        </w:rPr>
        <w:t xml:space="preserve"> </w:t>
      </w:r>
      <w:r w:rsidR="00885EFD" w:rsidRPr="00885EFD">
        <w:rPr>
          <w:rFonts w:asciiTheme="minorHAnsi" w:hAnsiTheme="minorHAnsi"/>
          <w:i/>
        </w:rPr>
        <w:t>Crimes Act 1914</w:t>
      </w:r>
      <w:r w:rsidR="006D2A16" w:rsidRPr="00B12643">
        <w:rPr>
          <w:rFonts w:asciiTheme="minorHAnsi" w:hAnsiTheme="minorHAnsi"/>
          <w:i/>
        </w:rPr>
        <w:t xml:space="preserve"> </w:t>
      </w:r>
      <w:r w:rsidR="006D2A16" w:rsidRPr="00B12643">
        <w:rPr>
          <w:rFonts w:asciiTheme="minorHAnsi" w:hAnsiTheme="minorHAnsi"/>
        </w:rPr>
        <w:t xml:space="preserve">(Cth), </w:t>
      </w:r>
      <w:r w:rsidR="00B12643">
        <w:rPr>
          <w:rFonts w:asciiTheme="minorHAnsi" w:hAnsiTheme="minorHAnsi"/>
        </w:rPr>
        <w:t>“</w:t>
      </w:r>
      <w:r w:rsidR="006D2A16" w:rsidRPr="00B12643">
        <w:rPr>
          <w:rFonts w:asciiTheme="minorHAnsi" w:hAnsiTheme="minorHAnsi"/>
          <w:i/>
        </w:rPr>
        <w:t>general common law and not peculiarly local or state statutory principles of sentencing are</w:t>
      </w:r>
      <w:r w:rsidR="00B12643" w:rsidRPr="00B12643">
        <w:rPr>
          <w:rFonts w:asciiTheme="minorHAnsi" w:hAnsiTheme="minorHAnsi"/>
          <w:i/>
        </w:rPr>
        <w:t xml:space="preserve"> applicable</w:t>
      </w:r>
      <w:r w:rsidR="00B12643">
        <w:rPr>
          <w:rFonts w:asciiTheme="minorHAnsi" w:hAnsiTheme="minorHAnsi"/>
        </w:rPr>
        <w:t>”</w:t>
      </w:r>
      <w:r w:rsidR="006D2A16" w:rsidRPr="00B12643">
        <w:rPr>
          <w:rFonts w:asciiTheme="minorHAnsi" w:hAnsiTheme="minorHAnsi"/>
        </w:rPr>
        <w:t xml:space="preserve"> to the sentencing of federal offenders</w:t>
      </w:r>
      <w:r w:rsidR="00B12643" w:rsidRPr="00B12643">
        <w:rPr>
          <w:rFonts w:asciiTheme="minorHAnsi" w:hAnsiTheme="minorHAnsi"/>
        </w:rPr>
        <w:t>.</w:t>
      </w:r>
      <w:r w:rsidR="00B12643" w:rsidRPr="00C00000">
        <w:rPr>
          <w:rStyle w:val="Style"/>
          <w:rFonts w:asciiTheme="minorHAnsi" w:hAnsiTheme="minorHAnsi"/>
        </w:rPr>
        <w:footnoteReference w:id="160"/>
      </w:r>
      <w:r w:rsidR="00B12643" w:rsidRPr="00576EEE">
        <w:rPr>
          <w:rFonts w:ascii="Calibri" w:hAnsi="Calibri"/>
        </w:rPr>
        <w:t xml:space="preserve">  </w:t>
      </w:r>
      <w:r w:rsidR="007E772C">
        <w:rPr>
          <w:rFonts w:asciiTheme="minorHAnsi" w:hAnsiTheme="minorHAnsi"/>
        </w:rPr>
        <w:t xml:space="preserve">Those </w:t>
      </w:r>
      <w:r w:rsidR="00B12643">
        <w:rPr>
          <w:rFonts w:asciiTheme="minorHAnsi" w:hAnsiTheme="minorHAnsi"/>
        </w:rPr>
        <w:t xml:space="preserve">general </w:t>
      </w:r>
      <w:r w:rsidR="007E772C">
        <w:rPr>
          <w:rFonts w:asciiTheme="minorHAnsi" w:hAnsiTheme="minorHAnsi"/>
        </w:rPr>
        <w:t xml:space="preserve">common law principles may give content to the central requirement imposed by s 16A(1) of the </w:t>
      </w:r>
      <w:r w:rsidR="00885EFD" w:rsidRPr="00885EFD">
        <w:rPr>
          <w:rFonts w:asciiTheme="minorHAnsi" w:hAnsiTheme="minorHAnsi"/>
          <w:i/>
          <w:iCs/>
        </w:rPr>
        <w:t>Crimes Act 1914</w:t>
      </w:r>
      <w:r w:rsidR="007E772C" w:rsidRPr="00C00000">
        <w:rPr>
          <w:rFonts w:asciiTheme="minorHAnsi" w:hAnsiTheme="minorHAnsi"/>
          <w:i/>
          <w:iCs/>
        </w:rPr>
        <w:t xml:space="preserve"> </w:t>
      </w:r>
      <w:r w:rsidR="007E772C">
        <w:rPr>
          <w:rFonts w:asciiTheme="minorHAnsi" w:hAnsiTheme="minorHAnsi"/>
          <w:iCs/>
        </w:rPr>
        <w:t xml:space="preserve">(Cth), that a court sentencing a federal offender must impose a sentence or make an order that is </w:t>
      </w:r>
      <w:r w:rsidR="007E772C" w:rsidRPr="00C00000">
        <w:rPr>
          <w:rFonts w:asciiTheme="minorHAnsi" w:hAnsiTheme="minorHAnsi"/>
        </w:rPr>
        <w:t xml:space="preserve">of a </w:t>
      </w:r>
      <w:r w:rsidR="007E772C" w:rsidRPr="00C00000">
        <w:rPr>
          <w:rFonts w:asciiTheme="minorHAnsi" w:hAnsiTheme="minorHAnsi"/>
          <w:i/>
        </w:rPr>
        <w:t>“severity appropriate in all the circumstances”</w:t>
      </w:r>
      <w:r w:rsidR="007E772C">
        <w:rPr>
          <w:rFonts w:asciiTheme="minorHAnsi" w:hAnsiTheme="minorHAnsi"/>
        </w:rPr>
        <w:t>.</w:t>
      </w:r>
      <w:r w:rsidR="007E772C" w:rsidRPr="00C00000">
        <w:rPr>
          <w:rStyle w:val="Style"/>
          <w:rFonts w:asciiTheme="minorHAnsi" w:hAnsiTheme="minorHAnsi"/>
        </w:rPr>
        <w:footnoteReference w:id="161"/>
      </w:r>
      <w:r w:rsidR="007E772C">
        <w:rPr>
          <w:rFonts w:asciiTheme="minorHAnsi" w:hAnsiTheme="minorHAnsi"/>
        </w:rPr>
        <w:t xml:space="preserve">  </w:t>
      </w:r>
    </w:p>
    <w:p w14:paraId="2F16B9A0" w14:textId="172053D7" w:rsidR="00B46516" w:rsidRPr="00B46516" w:rsidRDefault="00B46516" w:rsidP="00B46516">
      <w:pPr>
        <w:pStyle w:val="ListParagraph"/>
        <w:rPr>
          <w:rFonts w:asciiTheme="minorHAnsi" w:hAnsiTheme="minorHAnsi"/>
        </w:rPr>
      </w:pPr>
    </w:p>
    <w:p w14:paraId="4D3A2F19" w14:textId="0CF410EC" w:rsidR="006767AD" w:rsidRPr="00126B6E" w:rsidRDefault="00126B6E" w:rsidP="000C6ED8">
      <w:pPr>
        <w:pStyle w:val="Heading3"/>
      </w:pPr>
      <w:bookmarkStart w:id="1166" w:name="_Ref507854651"/>
      <w:bookmarkStart w:id="1167" w:name="_Ref507854654"/>
      <w:bookmarkStart w:id="1168" w:name="_Toc33602776"/>
      <w:r>
        <w:t>Limited scope for applying sentencing principles under State/Territory legislation</w:t>
      </w:r>
      <w:bookmarkEnd w:id="1166"/>
      <w:bookmarkEnd w:id="1167"/>
      <w:bookmarkEnd w:id="1168"/>
      <w:r>
        <w:t xml:space="preserve"> </w:t>
      </w:r>
    </w:p>
    <w:p w14:paraId="35696F40" w14:textId="77777777" w:rsidR="004E606D" w:rsidRPr="004E606D" w:rsidRDefault="004E606D" w:rsidP="000C6ED8">
      <w:pPr>
        <w:pStyle w:val="ListParagraph"/>
        <w:keepNext/>
        <w:spacing w:line="276" w:lineRule="auto"/>
        <w:ind w:left="567"/>
        <w:contextualSpacing w:val="0"/>
        <w:rPr>
          <w:rFonts w:asciiTheme="minorHAnsi" w:hAnsiTheme="minorHAnsi"/>
          <w:iCs/>
        </w:rPr>
      </w:pPr>
    </w:p>
    <w:p w14:paraId="020A1328" w14:textId="7884430C" w:rsidR="001F4D00" w:rsidRPr="001F4D00" w:rsidRDefault="00AD18B3" w:rsidP="00EB7F1E">
      <w:pPr>
        <w:pStyle w:val="ListParagraph"/>
        <w:numPr>
          <w:ilvl w:val="0"/>
          <w:numId w:val="7"/>
        </w:numPr>
        <w:spacing w:line="276" w:lineRule="auto"/>
        <w:ind w:left="425" w:hanging="425"/>
        <w:contextualSpacing w:val="0"/>
        <w:rPr>
          <w:rFonts w:asciiTheme="minorHAnsi" w:hAnsiTheme="minorHAnsi"/>
        </w:rPr>
      </w:pPr>
      <w:r w:rsidRPr="00AD18B3">
        <w:rPr>
          <w:rFonts w:asciiTheme="minorHAnsi" w:hAnsiTheme="minorHAnsi"/>
          <w:iCs/>
        </w:rPr>
        <w:t xml:space="preserve">Of their own force the laws of the States </w:t>
      </w:r>
      <w:r w:rsidR="00971A69">
        <w:rPr>
          <w:rFonts w:asciiTheme="minorHAnsi" w:hAnsiTheme="minorHAnsi"/>
          <w:iCs/>
        </w:rPr>
        <w:t xml:space="preserve">or Territories </w:t>
      </w:r>
      <w:r w:rsidRPr="00AD18B3">
        <w:rPr>
          <w:rFonts w:asciiTheme="minorHAnsi" w:hAnsiTheme="minorHAnsi"/>
          <w:iCs/>
        </w:rPr>
        <w:t xml:space="preserve">with </w:t>
      </w:r>
      <w:r w:rsidRPr="00E90120">
        <w:rPr>
          <w:rFonts w:asciiTheme="minorHAnsi" w:hAnsiTheme="minorHAnsi"/>
        </w:rPr>
        <w:t>respect</w:t>
      </w:r>
      <w:r w:rsidRPr="00AD18B3">
        <w:rPr>
          <w:rFonts w:asciiTheme="minorHAnsi" w:hAnsiTheme="minorHAnsi"/>
          <w:iCs/>
        </w:rPr>
        <w:t xml:space="preserve"> to the sentencing of offenders could have no operation with respect to the sentencing of offenders against laws of the Commonwealth; any relevant operation is by reason of a federal law (such as s 68 o</w:t>
      </w:r>
      <w:r w:rsidR="00432349">
        <w:rPr>
          <w:rFonts w:asciiTheme="minorHAnsi" w:hAnsiTheme="minorHAnsi"/>
          <w:iCs/>
        </w:rPr>
        <w:t>r</w:t>
      </w:r>
      <w:r w:rsidRPr="00AD18B3">
        <w:rPr>
          <w:rFonts w:asciiTheme="minorHAnsi" w:hAnsiTheme="minorHAnsi"/>
          <w:iCs/>
        </w:rPr>
        <w:t xml:space="preserve"> s 79 of the </w:t>
      </w:r>
      <w:r w:rsidRPr="00AD18B3">
        <w:rPr>
          <w:rFonts w:asciiTheme="minorHAnsi" w:hAnsiTheme="minorHAnsi"/>
          <w:i/>
          <w:iCs/>
        </w:rPr>
        <w:t xml:space="preserve">Judiciary Act 1903 </w:t>
      </w:r>
      <w:r w:rsidRPr="00AD18B3">
        <w:rPr>
          <w:rFonts w:asciiTheme="minorHAnsi" w:hAnsiTheme="minorHAnsi"/>
          <w:iCs/>
        </w:rPr>
        <w:t>(Cth)) which “picks up“ State</w:t>
      </w:r>
      <w:r w:rsidR="00432349">
        <w:rPr>
          <w:rFonts w:asciiTheme="minorHAnsi" w:hAnsiTheme="minorHAnsi"/>
          <w:iCs/>
        </w:rPr>
        <w:t xml:space="preserve"> or Territory</w:t>
      </w:r>
      <w:r w:rsidRPr="00AD18B3">
        <w:rPr>
          <w:rFonts w:asciiTheme="minorHAnsi" w:hAnsiTheme="minorHAnsi"/>
          <w:iCs/>
        </w:rPr>
        <w:t xml:space="preserve"> law and applies it to the sentencing of a federal offender.</w:t>
      </w:r>
      <w:r w:rsidR="00971A69" w:rsidRPr="00C00000">
        <w:rPr>
          <w:rStyle w:val="FootnoteReference"/>
          <w:rFonts w:asciiTheme="minorHAnsi" w:hAnsiTheme="minorHAnsi"/>
        </w:rPr>
        <w:footnoteReference w:id="162"/>
      </w:r>
    </w:p>
    <w:p w14:paraId="5EA48178" w14:textId="77777777" w:rsidR="001F4D00" w:rsidRPr="001F4D00" w:rsidRDefault="001F4D00" w:rsidP="001F4D00">
      <w:pPr>
        <w:spacing w:line="276" w:lineRule="auto"/>
        <w:ind w:right="170"/>
        <w:rPr>
          <w:rFonts w:asciiTheme="minorHAnsi" w:hAnsiTheme="minorHAnsi"/>
        </w:rPr>
      </w:pPr>
    </w:p>
    <w:p w14:paraId="4214B49C" w14:textId="77777777" w:rsidR="007D4189" w:rsidRDefault="004E606D" w:rsidP="00EB7F1E">
      <w:pPr>
        <w:pStyle w:val="ListParagraph"/>
        <w:numPr>
          <w:ilvl w:val="0"/>
          <w:numId w:val="7"/>
        </w:numPr>
        <w:spacing w:line="276" w:lineRule="auto"/>
        <w:ind w:left="425" w:hanging="425"/>
        <w:contextualSpacing w:val="0"/>
        <w:rPr>
          <w:rFonts w:asciiTheme="minorHAnsi" w:hAnsiTheme="minorHAnsi"/>
        </w:rPr>
      </w:pPr>
      <w:r w:rsidRPr="0047359E">
        <w:rPr>
          <w:rFonts w:asciiTheme="minorHAnsi" w:hAnsiTheme="minorHAnsi"/>
          <w:iCs/>
        </w:rPr>
        <w:t xml:space="preserve">The regime in s 16A, supplemented by </w:t>
      </w:r>
      <w:r w:rsidR="007D4189" w:rsidRPr="0047359E">
        <w:rPr>
          <w:rFonts w:asciiTheme="minorHAnsi" w:hAnsiTheme="minorHAnsi"/>
          <w:iCs/>
        </w:rPr>
        <w:t xml:space="preserve">common law </w:t>
      </w:r>
      <w:r w:rsidRPr="0047359E">
        <w:rPr>
          <w:rFonts w:asciiTheme="minorHAnsi" w:hAnsiTheme="minorHAnsi"/>
          <w:iCs/>
        </w:rPr>
        <w:t xml:space="preserve">principles, </w:t>
      </w:r>
      <w:r w:rsidRPr="00E90120">
        <w:rPr>
          <w:rFonts w:asciiTheme="minorHAnsi" w:hAnsiTheme="minorHAnsi"/>
        </w:rPr>
        <w:t>generally</w:t>
      </w:r>
      <w:r w:rsidRPr="0047359E">
        <w:rPr>
          <w:rFonts w:asciiTheme="minorHAnsi" w:hAnsiTheme="minorHAnsi"/>
          <w:iCs/>
        </w:rPr>
        <w:t xml:space="preserve"> leaves little</w:t>
      </w:r>
      <w:r w:rsidR="002D2BDB" w:rsidRPr="0047359E">
        <w:rPr>
          <w:rFonts w:asciiTheme="minorHAnsi" w:hAnsiTheme="minorHAnsi"/>
          <w:iCs/>
        </w:rPr>
        <w:t xml:space="preserve"> </w:t>
      </w:r>
      <w:r w:rsidRPr="0047359E">
        <w:rPr>
          <w:rFonts w:asciiTheme="minorHAnsi" w:hAnsiTheme="minorHAnsi"/>
          <w:iCs/>
        </w:rPr>
        <w:t xml:space="preserve">room for </w:t>
      </w:r>
      <w:r w:rsidR="00A9517F" w:rsidRPr="0047359E">
        <w:rPr>
          <w:rFonts w:asciiTheme="minorHAnsi" w:hAnsiTheme="minorHAnsi"/>
          <w:iCs/>
        </w:rPr>
        <w:t xml:space="preserve">general </w:t>
      </w:r>
      <w:r w:rsidRPr="0047359E">
        <w:rPr>
          <w:rFonts w:asciiTheme="minorHAnsi" w:hAnsiTheme="minorHAnsi"/>
          <w:iCs/>
        </w:rPr>
        <w:t>s</w:t>
      </w:r>
      <w:r w:rsidR="00EC4695" w:rsidRPr="0047359E">
        <w:rPr>
          <w:rFonts w:asciiTheme="minorHAnsi" w:hAnsiTheme="minorHAnsi"/>
        </w:rPr>
        <w:t xml:space="preserve">entencing </w:t>
      </w:r>
      <w:r w:rsidR="0053432F" w:rsidRPr="0047359E">
        <w:rPr>
          <w:rFonts w:asciiTheme="minorHAnsi" w:hAnsiTheme="minorHAnsi"/>
        </w:rPr>
        <w:t>principles set down in</w:t>
      </w:r>
      <w:r w:rsidR="00211C1C" w:rsidRPr="0047359E">
        <w:rPr>
          <w:rFonts w:asciiTheme="minorHAnsi" w:hAnsiTheme="minorHAnsi"/>
        </w:rPr>
        <w:t xml:space="preserve"> S</w:t>
      </w:r>
      <w:r w:rsidR="004F7447" w:rsidRPr="0047359E">
        <w:rPr>
          <w:rFonts w:asciiTheme="minorHAnsi" w:hAnsiTheme="minorHAnsi"/>
        </w:rPr>
        <w:t xml:space="preserve">tate </w:t>
      </w:r>
      <w:r w:rsidR="00211C1C" w:rsidRPr="0047359E">
        <w:rPr>
          <w:rFonts w:asciiTheme="minorHAnsi" w:hAnsiTheme="minorHAnsi"/>
        </w:rPr>
        <w:t xml:space="preserve">or Territory </w:t>
      </w:r>
      <w:r w:rsidR="0053432F" w:rsidRPr="0047359E">
        <w:rPr>
          <w:rFonts w:asciiTheme="minorHAnsi" w:hAnsiTheme="minorHAnsi"/>
        </w:rPr>
        <w:t xml:space="preserve">legislation </w:t>
      </w:r>
      <w:r w:rsidRPr="0047359E">
        <w:rPr>
          <w:rFonts w:asciiTheme="minorHAnsi" w:hAnsiTheme="minorHAnsi"/>
        </w:rPr>
        <w:t xml:space="preserve">to be applied as surrogate federal law </w:t>
      </w:r>
      <w:r w:rsidR="0053432F" w:rsidRPr="0047359E">
        <w:rPr>
          <w:rFonts w:asciiTheme="minorHAnsi" w:hAnsiTheme="minorHAnsi"/>
        </w:rPr>
        <w:t>to the sentencing of federal offenders</w:t>
      </w:r>
      <w:r w:rsidR="004325EF" w:rsidRPr="0047359E">
        <w:rPr>
          <w:rFonts w:asciiTheme="minorHAnsi" w:hAnsiTheme="minorHAnsi"/>
        </w:rPr>
        <w:t>.</w:t>
      </w:r>
    </w:p>
    <w:p w14:paraId="5671EB1B" w14:textId="77777777" w:rsidR="007D4189" w:rsidRPr="007D4189" w:rsidRDefault="007D4189" w:rsidP="007D4189">
      <w:pPr>
        <w:pStyle w:val="ListParagraph"/>
        <w:rPr>
          <w:rFonts w:asciiTheme="minorHAnsi" w:hAnsiTheme="minorHAnsi"/>
        </w:rPr>
      </w:pPr>
    </w:p>
    <w:p w14:paraId="2B8777A2" w14:textId="30A2AE9C" w:rsidR="00B8472D" w:rsidRDefault="004F1583" w:rsidP="00EB7F1E">
      <w:pPr>
        <w:pStyle w:val="ListParagraph"/>
        <w:numPr>
          <w:ilvl w:val="0"/>
          <w:numId w:val="7"/>
        </w:numPr>
        <w:spacing w:line="276" w:lineRule="auto"/>
        <w:ind w:left="425" w:hanging="425"/>
        <w:contextualSpacing w:val="0"/>
        <w:rPr>
          <w:rFonts w:asciiTheme="minorHAnsi" w:hAnsiTheme="minorHAnsi"/>
        </w:rPr>
      </w:pPr>
      <w:r w:rsidRPr="0047359E">
        <w:rPr>
          <w:rFonts w:asciiTheme="minorHAnsi" w:hAnsiTheme="minorHAnsi"/>
        </w:rPr>
        <w:t xml:space="preserve">In </w:t>
      </w:r>
      <w:r w:rsidRPr="0047359E">
        <w:rPr>
          <w:rFonts w:asciiTheme="minorHAnsi" w:hAnsiTheme="minorHAnsi"/>
          <w:i/>
        </w:rPr>
        <w:t>Pham</w:t>
      </w:r>
      <w:r w:rsidRPr="0047359E">
        <w:rPr>
          <w:rFonts w:asciiTheme="minorHAnsi" w:hAnsiTheme="minorHAnsi"/>
        </w:rPr>
        <w:t>,</w:t>
      </w:r>
      <w:r w:rsidRPr="00C00000">
        <w:rPr>
          <w:rStyle w:val="Style"/>
          <w:rFonts w:asciiTheme="minorHAnsi" w:hAnsiTheme="minorHAnsi"/>
        </w:rPr>
        <w:footnoteReference w:id="163"/>
      </w:r>
      <w:r w:rsidRPr="0047359E">
        <w:rPr>
          <w:rFonts w:asciiTheme="minorHAnsi" w:hAnsiTheme="minorHAnsi"/>
        </w:rPr>
        <w:t xml:space="preserve"> the plurality observed, “</w:t>
      </w:r>
      <w:r w:rsidRPr="0047359E">
        <w:rPr>
          <w:rFonts w:asciiTheme="minorHAnsi" w:hAnsiTheme="minorHAnsi"/>
          <w:i/>
        </w:rPr>
        <w:t xml:space="preserve">To the extent that Pt IB of the </w:t>
      </w:r>
      <w:r w:rsidR="00885EFD" w:rsidRPr="00885EFD">
        <w:rPr>
          <w:rFonts w:asciiTheme="minorHAnsi" w:hAnsiTheme="minorHAnsi"/>
          <w:i/>
        </w:rPr>
        <w:t>Crimes Act 1914</w:t>
      </w:r>
      <w:r w:rsidRPr="0047359E">
        <w:rPr>
          <w:rFonts w:asciiTheme="minorHAnsi" w:hAnsiTheme="minorHAnsi"/>
          <w:i/>
        </w:rPr>
        <w:t xml:space="preserve"> (Cth) specifically or impliedly provides for sentencing considerations which are different from otherwise applicable State and Territory sentencing considerations, the Crimes Act is exclusive.</w:t>
      </w:r>
      <w:r w:rsidRPr="0047359E">
        <w:rPr>
          <w:rFonts w:asciiTheme="minorHAnsi" w:hAnsiTheme="minorHAnsi"/>
        </w:rPr>
        <w:t>”</w:t>
      </w:r>
      <w:r w:rsidR="0044783F" w:rsidRPr="00C00000">
        <w:rPr>
          <w:rStyle w:val="Style"/>
          <w:rFonts w:asciiTheme="minorHAnsi" w:hAnsiTheme="minorHAnsi"/>
        </w:rPr>
        <w:footnoteReference w:id="164"/>
      </w:r>
    </w:p>
    <w:p w14:paraId="632D1EF7" w14:textId="77777777" w:rsidR="00B8472D" w:rsidRPr="00EB7F1E" w:rsidRDefault="00B8472D" w:rsidP="00EB7F1E">
      <w:pPr>
        <w:pStyle w:val="ListParagraph"/>
        <w:rPr>
          <w:rFonts w:asciiTheme="minorHAnsi" w:hAnsiTheme="minorHAnsi"/>
        </w:rPr>
      </w:pPr>
    </w:p>
    <w:p w14:paraId="2579142A" w14:textId="4BD09AEF" w:rsidR="00006C1A" w:rsidRDefault="00F82DA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An example of the </w:t>
      </w:r>
      <w:r w:rsidR="00002E70">
        <w:rPr>
          <w:rFonts w:asciiTheme="minorHAnsi" w:hAnsiTheme="minorHAnsi"/>
        </w:rPr>
        <w:t xml:space="preserve">way in which </w:t>
      </w:r>
      <w:r w:rsidR="00432349">
        <w:rPr>
          <w:rFonts w:asciiTheme="minorHAnsi" w:hAnsiTheme="minorHAnsi"/>
        </w:rPr>
        <w:t xml:space="preserve">sentencing </w:t>
      </w:r>
      <w:r>
        <w:rPr>
          <w:rFonts w:asciiTheme="minorHAnsi" w:hAnsiTheme="minorHAnsi"/>
        </w:rPr>
        <w:t>considerations</w:t>
      </w:r>
      <w:r w:rsidR="007936E5">
        <w:rPr>
          <w:rFonts w:asciiTheme="minorHAnsi" w:hAnsiTheme="minorHAnsi"/>
        </w:rPr>
        <w:t xml:space="preserve"> </w:t>
      </w:r>
      <w:r w:rsidR="0022727C">
        <w:rPr>
          <w:rFonts w:asciiTheme="minorHAnsi" w:hAnsiTheme="minorHAnsi"/>
        </w:rPr>
        <w:t xml:space="preserve">set out in s 16A of the </w:t>
      </w:r>
      <w:r w:rsidR="0022727C" w:rsidRPr="00885EFD">
        <w:rPr>
          <w:rFonts w:asciiTheme="minorHAnsi" w:hAnsiTheme="minorHAnsi"/>
          <w:i/>
        </w:rPr>
        <w:t>Crimes Act 1914</w:t>
      </w:r>
      <w:r w:rsidR="0022727C">
        <w:rPr>
          <w:rFonts w:asciiTheme="minorHAnsi" w:hAnsiTheme="minorHAnsi"/>
        </w:rPr>
        <w:t xml:space="preserve"> (Cth)</w:t>
      </w:r>
      <w:r w:rsidR="007936E5">
        <w:rPr>
          <w:rFonts w:asciiTheme="minorHAnsi" w:hAnsiTheme="minorHAnsi"/>
        </w:rPr>
        <w:t xml:space="preserve"> preclude the application of State law to the sentencing of a federal offender</w:t>
      </w:r>
      <w:r>
        <w:rPr>
          <w:rFonts w:asciiTheme="minorHAnsi" w:hAnsiTheme="minorHAnsi"/>
        </w:rPr>
        <w:t xml:space="preserve"> is</w:t>
      </w:r>
      <w:r w:rsidR="00002E70">
        <w:rPr>
          <w:rFonts w:asciiTheme="minorHAnsi" w:hAnsiTheme="minorHAnsi"/>
        </w:rPr>
        <w:t xml:space="preserve"> provided by</w:t>
      </w:r>
      <w:r>
        <w:rPr>
          <w:rFonts w:asciiTheme="minorHAnsi" w:hAnsiTheme="minorHAnsi"/>
        </w:rPr>
        <w:t xml:space="preserve"> </w:t>
      </w:r>
      <w:r w:rsidRPr="00F82DA8">
        <w:rPr>
          <w:rFonts w:asciiTheme="minorHAnsi" w:hAnsiTheme="minorHAnsi"/>
          <w:i/>
        </w:rPr>
        <w:t>Ngo</w:t>
      </w:r>
      <w:r w:rsidR="00006C1A">
        <w:rPr>
          <w:rFonts w:asciiTheme="minorHAnsi" w:hAnsiTheme="minorHAnsi"/>
          <w:i/>
        </w:rPr>
        <w:t>.</w:t>
      </w:r>
      <w:r w:rsidRPr="00C00000">
        <w:rPr>
          <w:rStyle w:val="Style"/>
          <w:rFonts w:asciiTheme="minorHAnsi" w:hAnsiTheme="minorHAnsi"/>
        </w:rPr>
        <w:footnoteReference w:id="165"/>
      </w:r>
      <w:r>
        <w:rPr>
          <w:rFonts w:asciiTheme="minorHAnsi" w:hAnsiTheme="minorHAnsi"/>
        </w:rPr>
        <w:t xml:space="preserve"> </w:t>
      </w:r>
      <w:r w:rsidR="00006C1A">
        <w:rPr>
          <w:rFonts w:asciiTheme="minorHAnsi" w:hAnsiTheme="minorHAnsi"/>
        </w:rPr>
        <w:t xml:space="preserve"> In that case,</w:t>
      </w:r>
      <w:r>
        <w:rPr>
          <w:rFonts w:asciiTheme="minorHAnsi" w:hAnsiTheme="minorHAnsi"/>
        </w:rPr>
        <w:t xml:space="preserve"> </w:t>
      </w:r>
      <w:r w:rsidR="007936E5">
        <w:rPr>
          <w:rFonts w:asciiTheme="minorHAnsi" w:hAnsiTheme="minorHAnsi"/>
        </w:rPr>
        <w:t xml:space="preserve">the Western Australian Court of Appeal held that </w:t>
      </w:r>
      <w:r>
        <w:rPr>
          <w:rFonts w:asciiTheme="minorHAnsi" w:hAnsiTheme="minorHAnsi"/>
        </w:rPr>
        <w:t>a State law which made</w:t>
      </w:r>
      <w:r w:rsidRPr="006A6EE3">
        <w:rPr>
          <w:rFonts w:asciiTheme="minorHAnsi" w:hAnsiTheme="minorHAnsi"/>
        </w:rPr>
        <w:t xml:space="preserve"> detailed and exhaustive provision as to the </w:t>
      </w:r>
      <w:r>
        <w:rPr>
          <w:rFonts w:asciiTheme="minorHAnsi" w:hAnsiTheme="minorHAnsi"/>
        </w:rPr>
        <w:t xml:space="preserve">circumstances in which, and the extent to which, a court could give a sentence </w:t>
      </w:r>
      <w:r w:rsidRPr="006A6EE3">
        <w:rPr>
          <w:rFonts w:asciiTheme="minorHAnsi" w:hAnsiTheme="minorHAnsi"/>
        </w:rPr>
        <w:t xml:space="preserve">discount for a plea of guilty </w:t>
      </w:r>
      <w:r>
        <w:rPr>
          <w:rFonts w:asciiTheme="minorHAnsi" w:hAnsiTheme="minorHAnsi"/>
        </w:rPr>
        <w:t>was incapable of applying to the sentencing of a federal offender, because</w:t>
      </w:r>
      <w:r w:rsidRPr="006A6EE3">
        <w:rPr>
          <w:rFonts w:asciiTheme="minorHAnsi" w:hAnsiTheme="minorHAnsi"/>
        </w:rPr>
        <w:t xml:space="preserve"> </w:t>
      </w:r>
      <w:r>
        <w:rPr>
          <w:rFonts w:asciiTheme="minorHAnsi" w:hAnsiTheme="minorHAnsi"/>
        </w:rPr>
        <w:t xml:space="preserve">it was inconsistent with </w:t>
      </w:r>
      <w:r w:rsidRPr="006A6EE3">
        <w:rPr>
          <w:rFonts w:asciiTheme="minorHAnsi" w:hAnsiTheme="minorHAnsi"/>
        </w:rPr>
        <w:t xml:space="preserve">s 16A(2)(g) of the </w:t>
      </w:r>
      <w:r w:rsidR="00885EFD" w:rsidRPr="00885EFD">
        <w:rPr>
          <w:rFonts w:asciiTheme="minorHAnsi" w:hAnsiTheme="minorHAnsi"/>
          <w:i/>
        </w:rPr>
        <w:t>Crimes Act 1914</w:t>
      </w:r>
      <w:r>
        <w:rPr>
          <w:rFonts w:asciiTheme="minorHAnsi" w:hAnsiTheme="minorHAnsi"/>
        </w:rPr>
        <w:t xml:space="preserve"> (Cth), which made</w:t>
      </w:r>
      <w:r w:rsidRPr="006A6EE3">
        <w:rPr>
          <w:rFonts w:asciiTheme="minorHAnsi" w:hAnsiTheme="minorHAnsi"/>
        </w:rPr>
        <w:t xml:space="preserve"> general and unqualified provision to the effect that, if an offender has pleaded guilty, the sentencing court must take the guilty plea into account in determining the sentence to be passed</w:t>
      </w:r>
      <w:r w:rsidR="00006C1A">
        <w:rPr>
          <w:rFonts w:asciiTheme="minorHAnsi" w:hAnsiTheme="minorHAnsi"/>
        </w:rPr>
        <w:t>.</w:t>
      </w:r>
    </w:p>
    <w:p w14:paraId="54EA0573" w14:textId="1B57CE3B" w:rsidR="00006C1A" w:rsidRPr="00006C1A" w:rsidRDefault="00006C1A" w:rsidP="00006C1A">
      <w:pPr>
        <w:spacing w:line="276" w:lineRule="auto"/>
        <w:ind w:right="170"/>
        <w:rPr>
          <w:rFonts w:asciiTheme="minorHAnsi" w:hAnsiTheme="minorHAnsi"/>
        </w:rPr>
      </w:pPr>
    </w:p>
    <w:p w14:paraId="184B47F9" w14:textId="6B8B9740" w:rsidR="0053432F" w:rsidRDefault="00AF370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general, s</w:t>
      </w:r>
      <w:r w:rsidR="00006C1A">
        <w:rPr>
          <w:rFonts w:asciiTheme="minorHAnsi" w:hAnsiTheme="minorHAnsi"/>
        </w:rPr>
        <w:t xml:space="preserve">cope will only arise for </w:t>
      </w:r>
      <w:r w:rsidR="00125307">
        <w:rPr>
          <w:rFonts w:asciiTheme="minorHAnsi" w:hAnsiTheme="minorHAnsi"/>
        </w:rPr>
        <w:t xml:space="preserve">a </w:t>
      </w:r>
      <w:r w:rsidR="00A9517F" w:rsidRPr="0047359E">
        <w:rPr>
          <w:rFonts w:asciiTheme="minorHAnsi" w:hAnsiTheme="minorHAnsi"/>
        </w:rPr>
        <w:t xml:space="preserve">specific State </w:t>
      </w:r>
      <w:r w:rsidR="00006C1A">
        <w:rPr>
          <w:rFonts w:asciiTheme="minorHAnsi" w:hAnsiTheme="minorHAnsi"/>
        </w:rPr>
        <w:t xml:space="preserve">or Territory </w:t>
      </w:r>
      <w:r w:rsidR="0044783F">
        <w:rPr>
          <w:rFonts w:asciiTheme="minorHAnsi" w:hAnsiTheme="minorHAnsi"/>
        </w:rPr>
        <w:t>law</w:t>
      </w:r>
      <w:r w:rsidR="00A9517F" w:rsidRPr="0047359E">
        <w:rPr>
          <w:rFonts w:asciiTheme="minorHAnsi" w:hAnsiTheme="minorHAnsi"/>
        </w:rPr>
        <w:t xml:space="preserve"> relating to the exercise of sentencing discretion to be picked up and applied to the sentencing of federal offenders</w:t>
      </w:r>
      <w:r w:rsidR="00006C1A">
        <w:rPr>
          <w:rFonts w:asciiTheme="minorHAnsi" w:hAnsiTheme="minorHAnsi"/>
        </w:rPr>
        <w:t xml:space="preserve"> where Part IB </w:t>
      </w:r>
      <w:r w:rsidR="00863025">
        <w:rPr>
          <w:rFonts w:asciiTheme="minorHAnsi" w:hAnsiTheme="minorHAnsi"/>
        </w:rPr>
        <w:t xml:space="preserve">(supplemented by the common law) </w:t>
      </w:r>
      <w:r w:rsidR="00006C1A">
        <w:rPr>
          <w:rFonts w:asciiTheme="minorHAnsi" w:hAnsiTheme="minorHAnsi"/>
        </w:rPr>
        <w:t>makes no provision</w:t>
      </w:r>
      <w:r w:rsidR="00863025">
        <w:rPr>
          <w:rFonts w:asciiTheme="minorHAnsi" w:hAnsiTheme="minorHAnsi"/>
        </w:rPr>
        <w:t xml:space="preserve"> in relation to the matter dealt with by the State or Territory law.  A</w:t>
      </w:r>
      <w:r>
        <w:rPr>
          <w:rFonts w:asciiTheme="minorHAnsi" w:hAnsiTheme="minorHAnsi"/>
        </w:rPr>
        <w:t xml:space="preserve"> (rare)</w:t>
      </w:r>
      <w:r w:rsidR="00863025">
        <w:rPr>
          <w:rFonts w:asciiTheme="minorHAnsi" w:hAnsiTheme="minorHAnsi"/>
        </w:rPr>
        <w:t xml:space="preserve"> example </w:t>
      </w:r>
      <w:r>
        <w:rPr>
          <w:rFonts w:asciiTheme="minorHAnsi" w:hAnsiTheme="minorHAnsi"/>
        </w:rPr>
        <w:t xml:space="preserve">of such a case </w:t>
      </w:r>
      <w:r w:rsidR="00863025">
        <w:rPr>
          <w:rFonts w:asciiTheme="minorHAnsi" w:hAnsiTheme="minorHAnsi"/>
        </w:rPr>
        <w:t>is</w:t>
      </w:r>
      <w:r w:rsidR="007D4189">
        <w:rPr>
          <w:rFonts w:asciiTheme="minorHAnsi" w:hAnsiTheme="minorHAnsi"/>
        </w:rPr>
        <w:t xml:space="preserve"> </w:t>
      </w:r>
      <w:r w:rsidR="00863025" w:rsidRPr="00863025">
        <w:rPr>
          <w:rFonts w:asciiTheme="minorHAnsi" w:hAnsiTheme="minorHAnsi"/>
          <w:i/>
        </w:rPr>
        <w:t>ONA</w:t>
      </w:r>
      <w:r w:rsidR="00125307">
        <w:rPr>
          <w:rFonts w:asciiTheme="minorHAnsi" w:hAnsiTheme="minorHAnsi"/>
        </w:rPr>
        <w:t>.</w:t>
      </w:r>
      <w:r w:rsidR="00211C1C" w:rsidRPr="00C00000">
        <w:rPr>
          <w:rStyle w:val="Style"/>
          <w:rFonts w:asciiTheme="minorHAnsi" w:hAnsiTheme="minorHAnsi"/>
        </w:rPr>
        <w:footnoteReference w:id="166"/>
      </w:r>
      <w:r w:rsidR="00E6188D" w:rsidRPr="0047359E">
        <w:rPr>
          <w:rFonts w:asciiTheme="minorHAnsi" w:hAnsiTheme="minorHAnsi"/>
        </w:rPr>
        <w:t xml:space="preserve"> </w:t>
      </w:r>
      <w:r w:rsidR="00125307">
        <w:rPr>
          <w:rFonts w:asciiTheme="minorHAnsi" w:hAnsiTheme="minorHAnsi"/>
        </w:rPr>
        <w:t xml:space="preserve"> </w:t>
      </w:r>
      <w:r w:rsidR="000D1C2F">
        <w:rPr>
          <w:rFonts w:asciiTheme="minorHAnsi" w:hAnsiTheme="minorHAnsi"/>
        </w:rPr>
        <w:t>T</w:t>
      </w:r>
      <w:r w:rsidR="00125307">
        <w:rPr>
          <w:rFonts w:asciiTheme="minorHAnsi" w:hAnsiTheme="minorHAnsi"/>
        </w:rPr>
        <w:t>hat case</w:t>
      </w:r>
      <w:r w:rsidR="000D1C2F">
        <w:rPr>
          <w:rFonts w:asciiTheme="minorHAnsi" w:hAnsiTheme="minorHAnsi"/>
        </w:rPr>
        <w:t xml:space="preserve"> concerned </w:t>
      </w:r>
      <w:r w:rsidR="007D4189">
        <w:rPr>
          <w:rFonts w:asciiTheme="minorHAnsi" w:hAnsiTheme="minorHAnsi"/>
        </w:rPr>
        <w:t>a State law which provided that in</w:t>
      </w:r>
      <w:r w:rsidR="007D4189" w:rsidRPr="00576EEE">
        <w:rPr>
          <w:rStyle w:val="ssl4"/>
          <w:rFonts w:ascii="Calibri" w:hAnsi="Calibri"/>
        </w:rPr>
        <w:t xml:space="preserve"> </w:t>
      </w:r>
      <w:r w:rsidR="007D4189" w:rsidRPr="008E09CE">
        <w:rPr>
          <w:rFonts w:asciiTheme="minorHAnsi" w:hAnsiTheme="minorHAnsi"/>
        </w:rPr>
        <w:t xml:space="preserve">sentencing an offender a court must not have regard to any consequences that may arise from the registration </w:t>
      </w:r>
      <w:r w:rsidR="007D4189">
        <w:rPr>
          <w:rFonts w:asciiTheme="minorHAnsi" w:hAnsiTheme="minorHAnsi"/>
        </w:rPr>
        <w:t xml:space="preserve">of the offender </w:t>
      </w:r>
      <w:r w:rsidR="007D4189" w:rsidRPr="008E09CE">
        <w:rPr>
          <w:rFonts w:asciiTheme="minorHAnsi" w:hAnsiTheme="minorHAnsi"/>
        </w:rPr>
        <w:t>as a sexual offender</w:t>
      </w:r>
      <w:r w:rsidR="000D1C2F">
        <w:rPr>
          <w:rFonts w:asciiTheme="minorHAnsi" w:hAnsiTheme="minorHAnsi"/>
        </w:rPr>
        <w:t xml:space="preserve">. </w:t>
      </w:r>
      <w:r w:rsidR="007D4189" w:rsidRPr="008E09CE">
        <w:rPr>
          <w:rFonts w:asciiTheme="minorHAnsi" w:hAnsiTheme="minorHAnsi"/>
        </w:rPr>
        <w:t xml:space="preserve"> </w:t>
      </w:r>
      <w:r w:rsidR="000D1C2F">
        <w:rPr>
          <w:rFonts w:asciiTheme="minorHAnsi" w:hAnsiTheme="minorHAnsi"/>
        </w:rPr>
        <w:t xml:space="preserve">The State law </w:t>
      </w:r>
      <w:r w:rsidR="007D4189" w:rsidRPr="008E09CE">
        <w:rPr>
          <w:rFonts w:asciiTheme="minorHAnsi" w:hAnsiTheme="minorHAnsi"/>
        </w:rPr>
        <w:t xml:space="preserve">was </w:t>
      </w:r>
      <w:r w:rsidR="002A06FD">
        <w:rPr>
          <w:rFonts w:asciiTheme="minorHAnsi" w:hAnsiTheme="minorHAnsi"/>
        </w:rPr>
        <w:t xml:space="preserve">held </w:t>
      </w:r>
      <w:r w:rsidR="007D4189" w:rsidRPr="008E09CE">
        <w:rPr>
          <w:rFonts w:asciiTheme="minorHAnsi" w:hAnsiTheme="minorHAnsi"/>
        </w:rPr>
        <w:t xml:space="preserve">not </w:t>
      </w:r>
      <w:r w:rsidR="002A06FD">
        <w:rPr>
          <w:rFonts w:asciiTheme="minorHAnsi" w:hAnsiTheme="minorHAnsi"/>
        </w:rPr>
        <w:t xml:space="preserve">to be </w:t>
      </w:r>
      <w:r w:rsidR="007D4189" w:rsidRPr="008E09CE">
        <w:rPr>
          <w:rFonts w:asciiTheme="minorHAnsi" w:hAnsiTheme="minorHAnsi"/>
        </w:rPr>
        <w:t xml:space="preserve">inconsistent with the provisions of s 16A of the </w:t>
      </w:r>
      <w:r w:rsidR="00885EFD" w:rsidRPr="00885EFD">
        <w:rPr>
          <w:rFonts w:asciiTheme="minorHAnsi" w:hAnsiTheme="minorHAnsi"/>
          <w:i/>
        </w:rPr>
        <w:t>Crimes Act 1914</w:t>
      </w:r>
      <w:r w:rsidR="007D4189" w:rsidRPr="008E09CE">
        <w:rPr>
          <w:rFonts w:asciiTheme="minorHAnsi" w:hAnsiTheme="minorHAnsi"/>
        </w:rPr>
        <w:t xml:space="preserve"> (Cth), and was </w:t>
      </w:r>
      <w:r w:rsidR="002A06FD">
        <w:rPr>
          <w:rFonts w:asciiTheme="minorHAnsi" w:hAnsiTheme="minorHAnsi"/>
        </w:rPr>
        <w:t xml:space="preserve">held to </w:t>
      </w:r>
      <w:r w:rsidR="007D4189" w:rsidRPr="008E09CE">
        <w:rPr>
          <w:rFonts w:asciiTheme="minorHAnsi" w:hAnsiTheme="minorHAnsi"/>
        </w:rPr>
        <w:t>appl</w:t>
      </w:r>
      <w:r w:rsidR="002A06FD">
        <w:rPr>
          <w:rFonts w:asciiTheme="minorHAnsi" w:hAnsiTheme="minorHAnsi"/>
        </w:rPr>
        <w:t>y</w:t>
      </w:r>
      <w:r w:rsidR="007D4189" w:rsidRPr="008E09CE">
        <w:rPr>
          <w:rFonts w:asciiTheme="minorHAnsi" w:hAnsiTheme="minorHAnsi"/>
        </w:rPr>
        <w:t xml:space="preserve"> to the sentencing of a federal offender by (at least) s 79</w:t>
      </w:r>
      <w:r w:rsidR="007D4189">
        <w:rPr>
          <w:rFonts w:asciiTheme="minorHAnsi" w:hAnsiTheme="minorHAnsi"/>
        </w:rPr>
        <w:t xml:space="preserve"> of the </w:t>
      </w:r>
      <w:r w:rsidR="007D4189" w:rsidRPr="00C4393E">
        <w:rPr>
          <w:rFonts w:asciiTheme="minorHAnsi" w:hAnsiTheme="minorHAnsi"/>
          <w:i/>
        </w:rPr>
        <w:t>Judiciary Act 1903</w:t>
      </w:r>
      <w:r w:rsidR="007D4189">
        <w:rPr>
          <w:rFonts w:asciiTheme="minorHAnsi" w:hAnsiTheme="minorHAnsi"/>
        </w:rPr>
        <w:t xml:space="preserve"> (Cth).</w:t>
      </w:r>
    </w:p>
    <w:p w14:paraId="1B14CA84" w14:textId="352A6715" w:rsidR="00D23E7F" w:rsidRPr="00C00000" w:rsidRDefault="00D23E7F" w:rsidP="007C11C2">
      <w:pPr>
        <w:pStyle w:val="Body"/>
        <w:spacing w:line="276" w:lineRule="auto"/>
        <w:ind w:left="567" w:right="170" w:hanging="567"/>
        <w:jc w:val="both"/>
        <w:rPr>
          <w:rFonts w:asciiTheme="minorHAnsi" w:hAnsiTheme="minorHAnsi" w:cs="Arial"/>
          <w:szCs w:val="22"/>
          <w:lang w:val="en-AU"/>
        </w:rPr>
      </w:pPr>
    </w:p>
    <w:p w14:paraId="2081D80B" w14:textId="73F646ED" w:rsidR="00443150" w:rsidRPr="00126B6E" w:rsidRDefault="00443150" w:rsidP="000C6ED8">
      <w:pPr>
        <w:pStyle w:val="Heading3"/>
      </w:pPr>
      <w:bookmarkStart w:id="1169" w:name="_Toc484358652"/>
      <w:bookmarkStart w:id="1170" w:name="_Toc484359042"/>
      <w:bookmarkStart w:id="1171" w:name="_Toc484363958"/>
      <w:bookmarkStart w:id="1172" w:name="_Toc484364372"/>
      <w:bookmarkStart w:id="1173" w:name="_Toc484365679"/>
      <w:bookmarkStart w:id="1174" w:name="_Toc484432573"/>
      <w:bookmarkStart w:id="1175" w:name="_Toc484358653"/>
      <w:bookmarkStart w:id="1176" w:name="_Toc484359043"/>
      <w:bookmarkStart w:id="1177" w:name="_Toc484363959"/>
      <w:bookmarkStart w:id="1178" w:name="_Toc484364373"/>
      <w:bookmarkStart w:id="1179" w:name="_Toc484365680"/>
      <w:bookmarkStart w:id="1180" w:name="_Toc484432574"/>
      <w:bookmarkStart w:id="1181" w:name="_Toc484358655"/>
      <w:bookmarkStart w:id="1182" w:name="_Toc484359045"/>
      <w:bookmarkStart w:id="1183" w:name="_Toc484363961"/>
      <w:bookmarkStart w:id="1184" w:name="_Toc484364375"/>
      <w:bookmarkStart w:id="1185" w:name="_Toc484365682"/>
      <w:bookmarkStart w:id="1186" w:name="_Toc484432576"/>
      <w:bookmarkStart w:id="1187" w:name="_Toc33602777"/>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r>
        <w:t>Guideline judgments on the exercise of sentencing discretion</w:t>
      </w:r>
      <w:bookmarkEnd w:id="1187"/>
      <w:r>
        <w:t xml:space="preserve"> </w:t>
      </w:r>
    </w:p>
    <w:p w14:paraId="3049D49F" w14:textId="77777777" w:rsidR="00443150" w:rsidRPr="004E606D" w:rsidRDefault="00443150" w:rsidP="000C6ED8">
      <w:pPr>
        <w:pStyle w:val="ListParagraph"/>
        <w:keepNext/>
        <w:spacing w:line="276" w:lineRule="auto"/>
        <w:ind w:left="567"/>
        <w:contextualSpacing w:val="0"/>
        <w:rPr>
          <w:rFonts w:asciiTheme="minorHAnsi" w:hAnsiTheme="minorHAnsi"/>
          <w:iCs/>
        </w:rPr>
      </w:pPr>
    </w:p>
    <w:p w14:paraId="052BDBFF" w14:textId="55A80536" w:rsidR="00876071" w:rsidRPr="00876071" w:rsidRDefault="0051780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iCs/>
        </w:rPr>
        <w:t>In some</w:t>
      </w:r>
      <w:r w:rsidR="002F695A">
        <w:rPr>
          <w:rFonts w:asciiTheme="minorHAnsi" w:hAnsiTheme="minorHAnsi"/>
          <w:iCs/>
        </w:rPr>
        <w:t xml:space="preserve"> jurisdictions</w:t>
      </w:r>
      <w:r>
        <w:rPr>
          <w:rFonts w:asciiTheme="minorHAnsi" w:hAnsiTheme="minorHAnsi"/>
          <w:iCs/>
        </w:rPr>
        <w:t xml:space="preserve">, an </w:t>
      </w:r>
      <w:r w:rsidRPr="00E90120">
        <w:rPr>
          <w:rFonts w:asciiTheme="minorHAnsi" w:hAnsiTheme="minorHAnsi"/>
        </w:rPr>
        <w:t>appellate</w:t>
      </w:r>
      <w:r>
        <w:rPr>
          <w:rFonts w:asciiTheme="minorHAnsi" w:hAnsiTheme="minorHAnsi"/>
          <w:iCs/>
        </w:rPr>
        <w:t xml:space="preserve"> court is empowered </w:t>
      </w:r>
      <w:r w:rsidR="002F695A">
        <w:rPr>
          <w:rFonts w:asciiTheme="minorHAnsi" w:hAnsiTheme="minorHAnsi"/>
          <w:iCs/>
        </w:rPr>
        <w:t xml:space="preserve">under State or Territory law </w:t>
      </w:r>
      <w:r>
        <w:rPr>
          <w:rFonts w:asciiTheme="minorHAnsi" w:hAnsiTheme="minorHAnsi"/>
          <w:iCs/>
        </w:rPr>
        <w:t>to issue guideline judgments on matters relating to sentencing.</w:t>
      </w:r>
      <w:r w:rsidR="002F695A" w:rsidRPr="00C00000">
        <w:rPr>
          <w:rStyle w:val="Style"/>
          <w:rFonts w:asciiTheme="minorHAnsi" w:hAnsiTheme="minorHAnsi"/>
        </w:rPr>
        <w:footnoteReference w:id="167"/>
      </w:r>
      <w:r w:rsidR="00876071">
        <w:rPr>
          <w:rFonts w:asciiTheme="minorHAnsi" w:hAnsiTheme="minorHAnsi"/>
          <w:iCs/>
        </w:rPr>
        <w:t xml:space="preserve">  It is at least doubtful whether such a guideline judgment can be given specifically in relation to the sentencing of federal offenders, or whether a guideline judgment in general terms could be rendered applicable by federal law to the sentencing of federal offenders.</w:t>
      </w:r>
    </w:p>
    <w:p w14:paraId="144C9FF5" w14:textId="77777777" w:rsidR="00876071" w:rsidRPr="00876071" w:rsidRDefault="00876071" w:rsidP="00876071">
      <w:pPr>
        <w:spacing w:line="276" w:lineRule="auto"/>
        <w:ind w:right="170"/>
        <w:rPr>
          <w:rFonts w:asciiTheme="minorHAnsi" w:hAnsiTheme="minorHAnsi"/>
        </w:rPr>
      </w:pPr>
    </w:p>
    <w:p w14:paraId="268E1E88" w14:textId="65365681" w:rsidR="00876071" w:rsidRPr="00876071" w:rsidRDefault="003971E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iCs/>
        </w:rPr>
        <w:t xml:space="preserve">In </w:t>
      </w:r>
      <w:r w:rsidRPr="003971E1">
        <w:rPr>
          <w:rFonts w:asciiTheme="minorHAnsi" w:hAnsiTheme="minorHAnsi"/>
          <w:i/>
          <w:iCs/>
        </w:rPr>
        <w:t>Wong</w:t>
      </w:r>
      <w:r>
        <w:rPr>
          <w:rFonts w:asciiTheme="minorHAnsi" w:hAnsiTheme="minorHAnsi"/>
          <w:iCs/>
        </w:rPr>
        <w:t>,</w:t>
      </w:r>
      <w:r w:rsidR="00E137F4" w:rsidRPr="00C00000">
        <w:rPr>
          <w:rStyle w:val="Style"/>
          <w:rFonts w:asciiTheme="minorHAnsi" w:hAnsiTheme="minorHAnsi"/>
        </w:rPr>
        <w:footnoteReference w:id="168"/>
      </w:r>
      <w:r>
        <w:rPr>
          <w:rFonts w:asciiTheme="minorHAnsi" w:hAnsiTheme="minorHAnsi"/>
          <w:iCs/>
        </w:rPr>
        <w:t xml:space="preserve"> the </w:t>
      </w:r>
      <w:r w:rsidR="00A27E16">
        <w:rPr>
          <w:rFonts w:asciiTheme="minorHAnsi" w:hAnsiTheme="minorHAnsi"/>
          <w:iCs/>
        </w:rPr>
        <w:t>New South Wales</w:t>
      </w:r>
      <w:r w:rsidR="00F712C0">
        <w:rPr>
          <w:rFonts w:asciiTheme="minorHAnsi" w:hAnsiTheme="minorHAnsi"/>
          <w:iCs/>
        </w:rPr>
        <w:t xml:space="preserve"> Court </w:t>
      </w:r>
      <w:r w:rsidR="00F712C0" w:rsidRPr="00E90120">
        <w:rPr>
          <w:rFonts w:asciiTheme="minorHAnsi" w:hAnsiTheme="minorHAnsi"/>
        </w:rPr>
        <w:t>of</w:t>
      </w:r>
      <w:r w:rsidR="00F712C0">
        <w:rPr>
          <w:rFonts w:asciiTheme="minorHAnsi" w:hAnsiTheme="minorHAnsi"/>
          <w:iCs/>
        </w:rPr>
        <w:t xml:space="preserve"> Criminal Appeal </w:t>
      </w:r>
      <w:r w:rsidR="00E137F4">
        <w:rPr>
          <w:rFonts w:asciiTheme="minorHAnsi" w:hAnsiTheme="minorHAnsi"/>
          <w:iCs/>
        </w:rPr>
        <w:t xml:space="preserve">had </w:t>
      </w:r>
      <w:r>
        <w:rPr>
          <w:rFonts w:asciiTheme="minorHAnsi" w:hAnsiTheme="minorHAnsi"/>
          <w:iCs/>
        </w:rPr>
        <w:t xml:space="preserve">promulgated guidelines that were specific to Commonwealth </w:t>
      </w:r>
      <w:r w:rsidR="00F712C0">
        <w:rPr>
          <w:rFonts w:asciiTheme="minorHAnsi" w:hAnsiTheme="minorHAnsi"/>
          <w:iCs/>
        </w:rPr>
        <w:t xml:space="preserve">drug </w:t>
      </w:r>
      <w:r>
        <w:rPr>
          <w:rFonts w:asciiTheme="minorHAnsi" w:hAnsiTheme="minorHAnsi"/>
          <w:iCs/>
        </w:rPr>
        <w:t xml:space="preserve">offences.  </w:t>
      </w:r>
      <w:r w:rsidR="00E137F4">
        <w:rPr>
          <w:rFonts w:asciiTheme="minorHAnsi" w:hAnsiTheme="minorHAnsi"/>
          <w:iCs/>
        </w:rPr>
        <w:t xml:space="preserve">In the High Court, a majority (Gaudron, Gummow, Kirby and Hayne JJ) doubted whether the power of the </w:t>
      </w:r>
      <w:r w:rsidR="00F712C0">
        <w:rPr>
          <w:rFonts w:asciiTheme="minorHAnsi" w:hAnsiTheme="minorHAnsi"/>
          <w:iCs/>
        </w:rPr>
        <w:t xml:space="preserve">NSW CCA </w:t>
      </w:r>
      <w:r w:rsidR="00E137F4">
        <w:rPr>
          <w:rFonts w:asciiTheme="minorHAnsi" w:hAnsiTheme="minorHAnsi"/>
          <w:iCs/>
        </w:rPr>
        <w:t xml:space="preserve">to issue guidelines extended to guidelines relating to the sentencing of federal offenders.  </w:t>
      </w:r>
      <w:r w:rsidR="00876071">
        <w:rPr>
          <w:rFonts w:asciiTheme="minorHAnsi" w:hAnsiTheme="minorHAnsi"/>
          <w:iCs/>
        </w:rPr>
        <w:t xml:space="preserve">In any event, the High Court held that the guidelines in that case (which gave </w:t>
      </w:r>
      <w:r w:rsidR="00F712C0">
        <w:rPr>
          <w:rFonts w:asciiTheme="minorHAnsi" w:hAnsiTheme="minorHAnsi"/>
          <w:iCs/>
        </w:rPr>
        <w:t xml:space="preserve">primacy to the quantity of the drug in question) were inconsistent with the scheme of s 16A of the </w:t>
      </w:r>
      <w:r w:rsidR="00885EFD" w:rsidRPr="00885EFD">
        <w:rPr>
          <w:rFonts w:asciiTheme="minorHAnsi" w:hAnsiTheme="minorHAnsi"/>
          <w:i/>
          <w:iCs/>
        </w:rPr>
        <w:t>Crimes Act 1914</w:t>
      </w:r>
      <w:r w:rsidR="00F712C0">
        <w:rPr>
          <w:rFonts w:asciiTheme="minorHAnsi" w:hAnsiTheme="minorHAnsi"/>
          <w:iCs/>
        </w:rPr>
        <w:t xml:space="preserve"> (Cth).</w:t>
      </w:r>
    </w:p>
    <w:p w14:paraId="4063DB29" w14:textId="77777777" w:rsidR="00876071" w:rsidRPr="00876071" w:rsidRDefault="00876071" w:rsidP="00876071">
      <w:pPr>
        <w:spacing w:line="276" w:lineRule="auto"/>
        <w:ind w:right="170"/>
        <w:rPr>
          <w:rFonts w:asciiTheme="minorHAnsi" w:hAnsiTheme="minorHAnsi"/>
        </w:rPr>
      </w:pPr>
    </w:p>
    <w:p w14:paraId="1B6E9B33" w14:textId="70A16E33" w:rsidR="00443150" w:rsidRPr="004E606D" w:rsidRDefault="0087607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C00000">
        <w:rPr>
          <w:rFonts w:asciiTheme="minorHAnsi" w:hAnsiTheme="minorHAnsi"/>
          <w:i/>
        </w:rPr>
        <w:t>Atanackovic</w:t>
      </w:r>
      <w:r w:rsidRPr="00C00000">
        <w:rPr>
          <w:rFonts w:asciiTheme="minorHAnsi" w:hAnsiTheme="minorHAnsi"/>
        </w:rPr>
        <w:t>,</w:t>
      </w:r>
      <w:r w:rsidRPr="00C00000">
        <w:rPr>
          <w:rStyle w:val="Style"/>
          <w:rFonts w:asciiTheme="minorHAnsi" w:hAnsiTheme="minorHAnsi"/>
        </w:rPr>
        <w:footnoteReference w:id="169"/>
      </w:r>
      <w:r w:rsidRPr="00C00000">
        <w:rPr>
          <w:rFonts w:asciiTheme="minorHAnsi" w:hAnsiTheme="minorHAnsi"/>
        </w:rPr>
        <w:t xml:space="preserve"> the </w:t>
      </w:r>
      <w:r w:rsidR="00F712C0">
        <w:rPr>
          <w:rFonts w:asciiTheme="minorHAnsi" w:hAnsiTheme="minorHAnsi"/>
        </w:rPr>
        <w:t xml:space="preserve">Victorian </w:t>
      </w:r>
      <w:r w:rsidRPr="00C00000">
        <w:rPr>
          <w:rFonts w:asciiTheme="minorHAnsi" w:hAnsiTheme="minorHAnsi"/>
        </w:rPr>
        <w:t xml:space="preserve">Court </w:t>
      </w:r>
      <w:r>
        <w:rPr>
          <w:rFonts w:asciiTheme="minorHAnsi" w:hAnsiTheme="minorHAnsi"/>
        </w:rPr>
        <w:t xml:space="preserve">of Appeal </w:t>
      </w:r>
      <w:r w:rsidR="00F712C0">
        <w:rPr>
          <w:rFonts w:asciiTheme="minorHAnsi" w:hAnsiTheme="minorHAnsi"/>
        </w:rPr>
        <w:t xml:space="preserve">considered whether a previous </w:t>
      </w:r>
      <w:r w:rsidRPr="00C00000">
        <w:rPr>
          <w:rFonts w:asciiTheme="minorHAnsi" w:hAnsiTheme="minorHAnsi"/>
        </w:rPr>
        <w:t xml:space="preserve">guideline </w:t>
      </w:r>
      <w:r w:rsidR="00C00406">
        <w:rPr>
          <w:rFonts w:asciiTheme="minorHAnsi" w:hAnsiTheme="minorHAnsi"/>
        </w:rPr>
        <w:t>judgment</w:t>
      </w:r>
      <w:r w:rsidRPr="00C00000">
        <w:rPr>
          <w:rFonts w:asciiTheme="minorHAnsi" w:hAnsiTheme="minorHAnsi"/>
        </w:rPr>
        <w:t xml:space="preserve"> </w:t>
      </w:r>
      <w:r w:rsidR="00F712C0">
        <w:rPr>
          <w:rFonts w:asciiTheme="minorHAnsi" w:hAnsiTheme="minorHAnsi"/>
        </w:rPr>
        <w:t xml:space="preserve">of the Court relating to the use of community correction orders </w:t>
      </w:r>
      <w:r>
        <w:rPr>
          <w:rFonts w:asciiTheme="minorHAnsi" w:hAnsiTheme="minorHAnsi"/>
        </w:rPr>
        <w:t>in</w:t>
      </w:r>
      <w:r w:rsidR="00F712C0">
        <w:rPr>
          <w:rFonts w:asciiTheme="minorHAnsi" w:hAnsiTheme="minorHAnsi"/>
        </w:rPr>
        <w:t xml:space="preserve"> sentencing was applicable to the sentencing of federal offenders. </w:t>
      </w:r>
      <w:r>
        <w:rPr>
          <w:rFonts w:asciiTheme="minorHAnsi" w:hAnsiTheme="minorHAnsi"/>
        </w:rPr>
        <w:t xml:space="preserve"> </w:t>
      </w:r>
      <w:r w:rsidR="00F712C0">
        <w:rPr>
          <w:rFonts w:asciiTheme="minorHAnsi" w:hAnsiTheme="minorHAnsi"/>
        </w:rPr>
        <w:t xml:space="preserve">The Court held that it was not: the guideline judgment </w:t>
      </w:r>
      <w:r>
        <w:rPr>
          <w:rFonts w:asciiTheme="minorHAnsi" w:hAnsiTheme="minorHAnsi"/>
        </w:rPr>
        <w:t xml:space="preserve">could not </w:t>
      </w:r>
      <w:r w:rsidRPr="00C00000">
        <w:rPr>
          <w:rFonts w:asciiTheme="minorHAnsi" w:hAnsiTheme="minorHAnsi"/>
        </w:rPr>
        <w:t xml:space="preserve">be accommodated by s 16A of the </w:t>
      </w:r>
      <w:r w:rsidR="00885EFD" w:rsidRPr="00885EFD">
        <w:rPr>
          <w:rFonts w:asciiTheme="minorHAnsi" w:hAnsiTheme="minorHAnsi"/>
          <w:i/>
        </w:rPr>
        <w:t>Crimes Act 1914</w:t>
      </w:r>
      <w:r w:rsidRPr="00C00000">
        <w:rPr>
          <w:rFonts w:asciiTheme="minorHAnsi" w:hAnsiTheme="minorHAnsi"/>
        </w:rPr>
        <w:t xml:space="preserve"> (Cth), </w:t>
      </w:r>
      <w:r>
        <w:rPr>
          <w:rFonts w:asciiTheme="minorHAnsi" w:hAnsiTheme="minorHAnsi"/>
        </w:rPr>
        <w:t>did</w:t>
      </w:r>
      <w:r w:rsidRPr="00C00000">
        <w:rPr>
          <w:rFonts w:asciiTheme="minorHAnsi" w:hAnsiTheme="minorHAnsi"/>
        </w:rPr>
        <w:t xml:space="preserve"> not satisfy the requirements of s 80 of the </w:t>
      </w:r>
      <w:r w:rsidRPr="00C00000">
        <w:rPr>
          <w:rFonts w:asciiTheme="minorHAnsi" w:hAnsiTheme="minorHAnsi"/>
          <w:i/>
        </w:rPr>
        <w:t>Judiciary Act 1903 (Cth)</w:t>
      </w:r>
      <w:r w:rsidRPr="00C00000">
        <w:rPr>
          <w:rFonts w:asciiTheme="minorHAnsi" w:hAnsiTheme="minorHAnsi"/>
        </w:rPr>
        <w:t xml:space="preserve"> and, accordingly, </w:t>
      </w:r>
      <w:r>
        <w:rPr>
          <w:rFonts w:asciiTheme="minorHAnsi" w:hAnsiTheme="minorHAnsi"/>
        </w:rPr>
        <w:t>did</w:t>
      </w:r>
      <w:r w:rsidRPr="00C00000">
        <w:rPr>
          <w:rFonts w:asciiTheme="minorHAnsi" w:hAnsiTheme="minorHAnsi"/>
        </w:rPr>
        <w:t xml:space="preserve"> not apply to the sentencing of federal offenders.</w:t>
      </w:r>
    </w:p>
    <w:p w14:paraId="7D44B948" w14:textId="77777777" w:rsidR="00443150" w:rsidRPr="00C00000" w:rsidRDefault="00443150" w:rsidP="00443150">
      <w:pPr>
        <w:pStyle w:val="Body"/>
        <w:spacing w:line="276" w:lineRule="auto"/>
        <w:ind w:left="567" w:right="170" w:hanging="567"/>
        <w:jc w:val="both"/>
        <w:rPr>
          <w:rFonts w:asciiTheme="minorHAnsi" w:hAnsiTheme="minorHAnsi" w:cs="Arial"/>
          <w:szCs w:val="22"/>
          <w:lang w:val="en-AU"/>
        </w:rPr>
      </w:pPr>
    </w:p>
    <w:p w14:paraId="25A39EEA" w14:textId="10DB7195" w:rsidR="001E337B" w:rsidRPr="00EB7F1E" w:rsidRDefault="00BA2B0B">
      <w:pPr>
        <w:pStyle w:val="Heading2"/>
        <w:rPr>
          <w:rStyle w:val="Strong"/>
          <w:b/>
          <w:bCs w:val="0"/>
        </w:rPr>
      </w:pPr>
      <w:bookmarkStart w:id="1188" w:name="_Toc33602778"/>
      <w:r w:rsidRPr="00EB7F1E">
        <w:rPr>
          <w:rStyle w:val="Strong"/>
          <w:b/>
          <w:bCs w:val="0"/>
        </w:rPr>
        <w:t>Severity appropriate in all the circumstances – s 16A(1)</w:t>
      </w:r>
      <w:bookmarkEnd w:id="1188"/>
    </w:p>
    <w:p w14:paraId="2411120D" w14:textId="77777777" w:rsidR="00CE56DD" w:rsidRPr="00576EEE" w:rsidRDefault="00CE56DD" w:rsidP="000C6ED8">
      <w:pPr>
        <w:keepNext/>
        <w:spacing w:line="276" w:lineRule="auto"/>
        <w:ind w:left="567"/>
        <w:rPr>
          <w:rFonts w:ascii="Calibri" w:hAnsi="Calibri"/>
        </w:rPr>
      </w:pPr>
    </w:p>
    <w:p w14:paraId="30C3CE7E" w14:textId="18A76DA8" w:rsidR="00957369" w:rsidRDefault="008739C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overarching requirement in s 16A of the </w:t>
      </w:r>
      <w:r w:rsidR="00885EFD" w:rsidRPr="00885EFD">
        <w:rPr>
          <w:rFonts w:asciiTheme="minorHAnsi" w:hAnsiTheme="minorHAnsi"/>
          <w:i/>
          <w:iCs/>
        </w:rPr>
        <w:t>Crimes Act 1914</w:t>
      </w:r>
      <w:r w:rsidRPr="007E772C">
        <w:rPr>
          <w:rFonts w:asciiTheme="minorHAnsi" w:hAnsiTheme="minorHAnsi"/>
          <w:i/>
          <w:iCs/>
        </w:rPr>
        <w:t xml:space="preserve"> </w:t>
      </w:r>
      <w:r w:rsidRPr="007E772C">
        <w:rPr>
          <w:rFonts w:asciiTheme="minorHAnsi" w:hAnsiTheme="minorHAnsi"/>
          <w:iCs/>
        </w:rPr>
        <w:t xml:space="preserve">(Cth) </w:t>
      </w:r>
      <w:r>
        <w:rPr>
          <w:rFonts w:asciiTheme="minorHAnsi" w:hAnsiTheme="minorHAnsi"/>
          <w:iCs/>
        </w:rPr>
        <w:t xml:space="preserve">is that, in sentencing a federal offender, </w:t>
      </w:r>
      <w:r w:rsidR="0053432F" w:rsidRPr="00C00000">
        <w:rPr>
          <w:rFonts w:asciiTheme="minorHAnsi" w:hAnsiTheme="minorHAnsi"/>
        </w:rPr>
        <w:t xml:space="preserve">a court must impose a sentence or make an order that is of a </w:t>
      </w:r>
      <w:r w:rsidR="004A1455" w:rsidRPr="00C00000">
        <w:rPr>
          <w:rFonts w:asciiTheme="minorHAnsi" w:hAnsiTheme="minorHAnsi"/>
          <w:i/>
        </w:rPr>
        <w:t>“</w:t>
      </w:r>
      <w:r w:rsidR="0053432F" w:rsidRPr="00C00000">
        <w:rPr>
          <w:rFonts w:asciiTheme="minorHAnsi" w:hAnsiTheme="minorHAnsi"/>
          <w:i/>
        </w:rPr>
        <w:t>severity appropriate in all the circumstances</w:t>
      </w:r>
      <w:r w:rsidR="004A1455" w:rsidRPr="00C00000">
        <w:rPr>
          <w:rFonts w:asciiTheme="minorHAnsi" w:hAnsiTheme="minorHAnsi"/>
          <w:i/>
        </w:rPr>
        <w:t>”</w:t>
      </w:r>
      <w:r w:rsidR="0053432F" w:rsidRPr="00C00000">
        <w:rPr>
          <w:rFonts w:asciiTheme="minorHAnsi" w:hAnsiTheme="minorHAnsi"/>
        </w:rPr>
        <w:t xml:space="preserve"> of the offence </w:t>
      </w:r>
      <w:r w:rsidR="004325EF" w:rsidRPr="00C00000">
        <w:rPr>
          <w:rFonts w:asciiTheme="minorHAnsi" w:hAnsiTheme="minorHAnsi"/>
        </w:rPr>
        <w:t>(</w:t>
      </w:r>
      <w:r w:rsidR="0053432F" w:rsidRPr="00C00000">
        <w:rPr>
          <w:rFonts w:asciiTheme="minorHAnsi" w:hAnsiTheme="minorHAnsi"/>
        </w:rPr>
        <w:t>s</w:t>
      </w:r>
      <w:r w:rsidR="004325EF" w:rsidRPr="00C00000">
        <w:rPr>
          <w:rFonts w:asciiTheme="minorHAnsi" w:hAnsiTheme="minorHAnsi"/>
        </w:rPr>
        <w:t xml:space="preserve"> </w:t>
      </w:r>
      <w:r w:rsidR="0053432F" w:rsidRPr="00C00000">
        <w:rPr>
          <w:rFonts w:asciiTheme="minorHAnsi" w:hAnsiTheme="minorHAnsi"/>
        </w:rPr>
        <w:t>16A(1)</w:t>
      </w:r>
      <w:r w:rsidR="004325EF" w:rsidRPr="00C00000">
        <w:rPr>
          <w:rFonts w:asciiTheme="minorHAnsi" w:hAnsiTheme="minorHAnsi"/>
        </w:rPr>
        <w:t>)</w:t>
      </w:r>
      <w:r w:rsidR="0053432F" w:rsidRPr="00C00000">
        <w:rPr>
          <w:rFonts w:asciiTheme="minorHAnsi" w:hAnsiTheme="minorHAnsi"/>
        </w:rPr>
        <w:t xml:space="preserve">. </w:t>
      </w:r>
    </w:p>
    <w:p w14:paraId="69E0B05B" w14:textId="77777777" w:rsidR="00012E2E" w:rsidRPr="00EB7F1E" w:rsidRDefault="00012E2E" w:rsidP="00EB7F1E">
      <w:pPr>
        <w:spacing w:line="276" w:lineRule="auto"/>
        <w:ind w:right="170"/>
        <w:rPr>
          <w:rFonts w:asciiTheme="minorHAnsi" w:hAnsiTheme="minorHAnsi"/>
        </w:rPr>
      </w:pPr>
    </w:p>
    <w:p w14:paraId="6F6D1970" w14:textId="52D91FFC" w:rsidR="00130DCD" w:rsidRPr="001A7047" w:rsidRDefault="00130DCD" w:rsidP="000C6ED8">
      <w:pPr>
        <w:pStyle w:val="Heading3"/>
      </w:pPr>
      <w:bookmarkStart w:id="1189" w:name="_Toc9935392"/>
      <w:bookmarkStart w:id="1190" w:name="_Toc10198261"/>
      <w:bookmarkStart w:id="1191" w:name="_Toc10384481"/>
      <w:bookmarkStart w:id="1192" w:name="_Toc10458599"/>
      <w:bookmarkStart w:id="1193" w:name="_Toc10559515"/>
      <w:bookmarkStart w:id="1194" w:name="_Toc10640660"/>
      <w:bookmarkStart w:id="1195" w:name="_Toc10718568"/>
      <w:bookmarkStart w:id="1196" w:name="_Toc10889294"/>
      <w:bookmarkStart w:id="1197" w:name="_Toc10890735"/>
      <w:bookmarkStart w:id="1198" w:name="_Toc10999307"/>
      <w:bookmarkStart w:id="1199" w:name="_Toc11069371"/>
      <w:bookmarkStart w:id="1200" w:name="_Toc11072307"/>
      <w:bookmarkStart w:id="1201" w:name="_Toc11078691"/>
      <w:bookmarkStart w:id="1202" w:name="_Toc11086955"/>
      <w:bookmarkStart w:id="1203" w:name="_Toc11087332"/>
      <w:bookmarkStart w:id="1204" w:name="_Toc11240030"/>
      <w:bookmarkStart w:id="1205" w:name="_Toc11405394"/>
      <w:bookmarkStart w:id="1206" w:name="_Toc11407171"/>
      <w:bookmarkStart w:id="1207" w:name="_Toc11485761"/>
      <w:bookmarkStart w:id="1208" w:name="_Toc11583288"/>
      <w:bookmarkStart w:id="1209" w:name="_Toc11692686"/>
      <w:bookmarkStart w:id="1210" w:name="_Toc11773192"/>
      <w:bookmarkStart w:id="1211" w:name="_Toc11826994"/>
      <w:bookmarkStart w:id="1212" w:name="_Toc11833702"/>
      <w:bookmarkStart w:id="1213" w:name="_Toc11848097"/>
      <w:bookmarkStart w:id="1214" w:name="_Toc11851754"/>
      <w:bookmarkStart w:id="1215" w:name="_Toc12608587"/>
      <w:bookmarkStart w:id="1216" w:name="_Toc12706542"/>
      <w:bookmarkStart w:id="1217" w:name="_Toc12860478"/>
      <w:bookmarkStart w:id="1218" w:name="_Toc12862047"/>
      <w:bookmarkStart w:id="1219" w:name="_Toc12864093"/>
      <w:bookmarkStart w:id="1220" w:name="_Toc13551642"/>
      <w:bookmarkStart w:id="1221" w:name="_Toc13726771"/>
      <w:bookmarkStart w:id="1222" w:name="_Toc13727782"/>
      <w:bookmarkStart w:id="1223" w:name="_Toc13737419"/>
      <w:bookmarkStart w:id="1224" w:name="_Toc13737834"/>
      <w:bookmarkStart w:id="1225" w:name="_Toc25308392"/>
      <w:bookmarkStart w:id="1226" w:name="_Toc9935393"/>
      <w:bookmarkStart w:id="1227" w:name="_Toc10198262"/>
      <w:bookmarkStart w:id="1228" w:name="_Toc10384482"/>
      <w:bookmarkStart w:id="1229" w:name="_Toc10458600"/>
      <w:bookmarkStart w:id="1230" w:name="_Toc10559516"/>
      <w:bookmarkStart w:id="1231" w:name="_Toc10640661"/>
      <w:bookmarkStart w:id="1232" w:name="_Toc10718569"/>
      <w:bookmarkStart w:id="1233" w:name="_Toc10889295"/>
      <w:bookmarkStart w:id="1234" w:name="_Toc10890736"/>
      <w:bookmarkStart w:id="1235" w:name="_Toc11078692"/>
      <w:bookmarkStart w:id="1236" w:name="_Toc11086956"/>
      <w:bookmarkStart w:id="1237" w:name="_Toc11087333"/>
      <w:bookmarkStart w:id="1238" w:name="_Toc11240031"/>
      <w:bookmarkStart w:id="1239" w:name="_Toc11405395"/>
      <w:bookmarkStart w:id="1240" w:name="_Toc11407172"/>
      <w:bookmarkStart w:id="1241" w:name="_Toc11485762"/>
      <w:bookmarkStart w:id="1242" w:name="_Toc11583289"/>
      <w:bookmarkStart w:id="1243" w:name="_Toc11692687"/>
      <w:bookmarkStart w:id="1244" w:name="_Toc11773193"/>
      <w:bookmarkStart w:id="1245" w:name="_Toc11826995"/>
      <w:bookmarkStart w:id="1246" w:name="_Toc11833703"/>
      <w:bookmarkStart w:id="1247" w:name="_Toc11848098"/>
      <w:bookmarkStart w:id="1248" w:name="_Toc11851755"/>
      <w:bookmarkStart w:id="1249" w:name="_Toc12608588"/>
      <w:bookmarkStart w:id="1250" w:name="_Toc12706543"/>
      <w:bookmarkStart w:id="1251" w:name="_Toc12860479"/>
      <w:bookmarkStart w:id="1252" w:name="_Toc12862048"/>
      <w:bookmarkStart w:id="1253" w:name="_Toc12864094"/>
      <w:bookmarkStart w:id="1254" w:name="_Toc13551643"/>
      <w:bookmarkStart w:id="1255" w:name="_Toc13737420"/>
      <w:bookmarkStart w:id="1256" w:name="_Toc13737835"/>
      <w:bookmarkStart w:id="1257" w:name="_Toc25308393"/>
      <w:bookmarkStart w:id="1258" w:name="_Toc9935394"/>
      <w:bookmarkStart w:id="1259" w:name="_Toc10198263"/>
      <w:bookmarkStart w:id="1260" w:name="_Toc10384483"/>
      <w:bookmarkStart w:id="1261" w:name="_Toc10458601"/>
      <w:bookmarkStart w:id="1262" w:name="_Toc10559517"/>
      <w:bookmarkStart w:id="1263" w:name="_Toc10640662"/>
      <w:bookmarkStart w:id="1264" w:name="_Toc10718570"/>
      <w:bookmarkStart w:id="1265" w:name="_Toc10889296"/>
      <w:bookmarkStart w:id="1266" w:name="_Toc10890737"/>
      <w:bookmarkStart w:id="1267" w:name="_Toc11078693"/>
      <w:bookmarkStart w:id="1268" w:name="_Toc11086957"/>
      <w:bookmarkStart w:id="1269" w:name="_Toc11087334"/>
      <w:bookmarkStart w:id="1270" w:name="_Toc11240032"/>
      <w:bookmarkStart w:id="1271" w:name="_Toc11405396"/>
      <w:bookmarkStart w:id="1272" w:name="_Toc11407173"/>
      <w:bookmarkStart w:id="1273" w:name="_Toc11485763"/>
      <w:bookmarkStart w:id="1274" w:name="_Toc11583290"/>
      <w:bookmarkStart w:id="1275" w:name="_Toc11692688"/>
      <w:bookmarkStart w:id="1276" w:name="_Toc11773194"/>
      <w:bookmarkStart w:id="1277" w:name="_Toc11826996"/>
      <w:bookmarkStart w:id="1278" w:name="_Toc11833704"/>
      <w:bookmarkStart w:id="1279" w:name="_Toc11848099"/>
      <w:bookmarkStart w:id="1280" w:name="_Toc11851756"/>
      <w:bookmarkStart w:id="1281" w:name="_Toc12608589"/>
      <w:bookmarkStart w:id="1282" w:name="_Toc12706544"/>
      <w:bookmarkStart w:id="1283" w:name="_Toc12860480"/>
      <w:bookmarkStart w:id="1284" w:name="_Toc12862049"/>
      <w:bookmarkStart w:id="1285" w:name="_Toc12864095"/>
      <w:bookmarkStart w:id="1286" w:name="_Toc13551644"/>
      <w:bookmarkStart w:id="1287" w:name="_Toc13737421"/>
      <w:bookmarkStart w:id="1288" w:name="_Toc13737836"/>
      <w:bookmarkStart w:id="1289" w:name="_Toc25308394"/>
      <w:bookmarkStart w:id="1290" w:name="_Toc9935395"/>
      <w:bookmarkStart w:id="1291" w:name="_Toc10198264"/>
      <w:bookmarkStart w:id="1292" w:name="_Toc10384484"/>
      <w:bookmarkStart w:id="1293" w:name="_Toc10458602"/>
      <w:bookmarkStart w:id="1294" w:name="_Toc10559518"/>
      <w:bookmarkStart w:id="1295" w:name="_Toc10640663"/>
      <w:bookmarkStart w:id="1296" w:name="_Toc10718571"/>
      <w:bookmarkStart w:id="1297" w:name="_Toc10889297"/>
      <w:bookmarkStart w:id="1298" w:name="_Toc10890738"/>
      <w:bookmarkStart w:id="1299" w:name="_Toc11078694"/>
      <w:bookmarkStart w:id="1300" w:name="_Toc11086958"/>
      <w:bookmarkStart w:id="1301" w:name="_Toc11087335"/>
      <w:bookmarkStart w:id="1302" w:name="_Toc11240033"/>
      <w:bookmarkStart w:id="1303" w:name="_Toc11405397"/>
      <w:bookmarkStart w:id="1304" w:name="_Toc11407174"/>
      <w:bookmarkStart w:id="1305" w:name="_Toc11485764"/>
      <w:bookmarkStart w:id="1306" w:name="_Toc11583291"/>
      <w:bookmarkStart w:id="1307" w:name="_Toc11692689"/>
      <w:bookmarkStart w:id="1308" w:name="_Toc11773195"/>
      <w:bookmarkStart w:id="1309" w:name="_Toc11826997"/>
      <w:bookmarkStart w:id="1310" w:name="_Toc11833705"/>
      <w:bookmarkStart w:id="1311" w:name="_Toc11848100"/>
      <w:bookmarkStart w:id="1312" w:name="_Toc11851757"/>
      <w:bookmarkStart w:id="1313" w:name="_Toc12608590"/>
      <w:bookmarkStart w:id="1314" w:name="_Toc12706545"/>
      <w:bookmarkStart w:id="1315" w:name="_Toc12860481"/>
      <w:bookmarkStart w:id="1316" w:name="_Toc12862050"/>
      <w:bookmarkStart w:id="1317" w:name="_Toc12864096"/>
      <w:bookmarkStart w:id="1318" w:name="_Toc13551645"/>
      <w:bookmarkStart w:id="1319" w:name="_Toc13737422"/>
      <w:bookmarkStart w:id="1320" w:name="_Toc13737837"/>
      <w:bookmarkStart w:id="1321" w:name="_Toc25308395"/>
      <w:bookmarkStart w:id="1322" w:name="_Toc9935396"/>
      <w:bookmarkStart w:id="1323" w:name="_Toc10198265"/>
      <w:bookmarkStart w:id="1324" w:name="_Toc10384485"/>
      <w:bookmarkStart w:id="1325" w:name="_Toc10458603"/>
      <w:bookmarkStart w:id="1326" w:name="_Toc10559519"/>
      <w:bookmarkStart w:id="1327" w:name="_Toc10640664"/>
      <w:bookmarkStart w:id="1328" w:name="_Toc10718572"/>
      <w:bookmarkStart w:id="1329" w:name="_Toc10889298"/>
      <w:bookmarkStart w:id="1330" w:name="_Toc10890739"/>
      <w:bookmarkStart w:id="1331" w:name="_Toc11078695"/>
      <w:bookmarkStart w:id="1332" w:name="_Toc11086959"/>
      <w:bookmarkStart w:id="1333" w:name="_Toc11087336"/>
      <w:bookmarkStart w:id="1334" w:name="_Toc11240034"/>
      <w:bookmarkStart w:id="1335" w:name="_Toc11405398"/>
      <w:bookmarkStart w:id="1336" w:name="_Toc11407175"/>
      <w:bookmarkStart w:id="1337" w:name="_Toc11485765"/>
      <w:bookmarkStart w:id="1338" w:name="_Toc11583292"/>
      <w:bookmarkStart w:id="1339" w:name="_Toc11692690"/>
      <w:bookmarkStart w:id="1340" w:name="_Toc11773196"/>
      <w:bookmarkStart w:id="1341" w:name="_Toc11826998"/>
      <w:bookmarkStart w:id="1342" w:name="_Toc11833706"/>
      <w:bookmarkStart w:id="1343" w:name="_Toc11848101"/>
      <w:bookmarkStart w:id="1344" w:name="_Toc11851758"/>
      <w:bookmarkStart w:id="1345" w:name="_Toc12608591"/>
      <w:bookmarkStart w:id="1346" w:name="_Toc12706546"/>
      <w:bookmarkStart w:id="1347" w:name="_Toc12860482"/>
      <w:bookmarkStart w:id="1348" w:name="_Toc12862051"/>
      <w:bookmarkStart w:id="1349" w:name="_Toc12864097"/>
      <w:bookmarkStart w:id="1350" w:name="_Toc13551646"/>
      <w:bookmarkStart w:id="1351" w:name="_Toc13737423"/>
      <w:bookmarkStart w:id="1352" w:name="_Toc13737838"/>
      <w:bookmarkStart w:id="1353" w:name="_Toc25308396"/>
      <w:bookmarkStart w:id="1354" w:name="_Toc9935397"/>
      <w:bookmarkStart w:id="1355" w:name="_Toc10198266"/>
      <w:bookmarkStart w:id="1356" w:name="_Toc10384486"/>
      <w:bookmarkStart w:id="1357" w:name="_Toc10458604"/>
      <w:bookmarkStart w:id="1358" w:name="_Toc10559520"/>
      <w:bookmarkStart w:id="1359" w:name="_Toc10640665"/>
      <w:bookmarkStart w:id="1360" w:name="_Toc10718573"/>
      <w:bookmarkStart w:id="1361" w:name="_Toc10889299"/>
      <w:bookmarkStart w:id="1362" w:name="_Toc10890740"/>
      <w:bookmarkStart w:id="1363" w:name="_Toc11078696"/>
      <w:bookmarkStart w:id="1364" w:name="_Toc11086960"/>
      <w:bookmarkStart w:id="1365" w:name="_Toc11087337"/>
      <w:bookmarkStart w:id="1366" w:name="_Toc11240035"/>
      <w:bookmarkStart w:id="1367" w:name="_Toc11405399"/>
      <w:bookmarkStart w:id="1368" w:name="_Toc11407176"/>
      <w:bookmarkStart w:id="1369" w:name="_Toc11485766"/>
      <w:bookmarkStart w:id="1370" w:name="_Toc11583293"/>
      <w:bookmarkStart w:id="1371" w:name="_Toc11692691"/>
      <w:bookmarkStart w:id="1372" w:name="_Toc11773197"/>
      <w:bookmarkStart w:id="1373" w:name="_Toc11826999"/>
      <w:bookmarkStart w:id="1374" w:name="_Toc11833707"/>
      <w:bookmarkStart w:id="1375" w:name="_Toc11848102"/>
      <w:bookmarkStart w:id="1376" w:name="_Toc11851759"/>
      <w:bookmarkStart w:id="1377" w:name="_Toc12608592"/>
      <w:bookmarkStart w:id="1378" w:name="_Toc12706547"/>
      <w:bookmarkStart w:id="1379" w:name="_Toc12860483"/>
      <w:bookmarkStart w:id="1380" w:name="_Toc12862052"/>
      <w:bookmarkStart w:id="1381" w:name="_Toc12864098"/>
      <w:bookmarkStart w:id="1382" w:name="_Toc13551647"/>
      <w:bookmarkStart w:id="1383" w:name="_Toc13737424"/>
      <w:bookmarkStart w:id="1384" w:name="_Toc13737839"/>
      <w:bookmarkStart w:id="1385" w:name="_Toc25308397"/>
      <w:bookmarkStart w:id="1386" w:name="_Ref11070142"/>
      <w:bookmarkStart w:id="1387" w:name="_Ref11070144"/>
      <w:bookmarkStart w:id="1388" w:name="_Toc33602779"/>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r w:rsidRPr="001A7047">
        <w:t>Appropriate severity and the consideration of factors listed in s.16A(2)</w:t>
      </w:r>
      <w:bookmarkEnd w:id="1386"/>
      <w:bookmarkEnd w:id="1387"/>
      <w:bookmarkEnd w:id="1388"/>
    </w:p>
    <w:p w14:paraId="2B2D73C5" w14:textId="77777777" w:rsidR="008739CA" w:rsidRPr="001A7047" w:rsidRDefault="008739CA" w:rsidP="000C6ED8">
      <w:pPr>
        <w:pStyle w:val="NormalIndent"/>
        <w:keepNext/>
        <w:spacing w:line="276" w:lineRule="auto"/>
        <w:rPr>
          <w:rFonts w:ascii="Calibri" w:hAnsi="Calibri"/>
        </w:rPr>
      </w:pPr>
    </w:p>
    <w:p w14:paraId="1A3F6DF1" w14:textId="67C14C58" w:rsidR="009D5EC7" w:rsidRPr="001A7047" w:rsidRDefault="007D14EB"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In a</w:t>
      </w:r>
      <w:r w:rsidR="00D0555E" w:rsidRPr="001A7047">
        <w:rPr>
          <w:rFonts w:asciiTheme="minorHAnsi" w:hAnsiTheme="minorHAnsi"/>
        </w:rPr>
        <w:t xml:space="preserve"> series of decisions</w:t>
      </w:r>
      <w:r w:rsidRPr="001A7047">
        <w:rPr>
          <w:rFonts w:asciiTheme="minorHAnsi" w:hAnsiTheme="minorHAnsi"/>
        </w:rPr>
        <w:t>,</w:t>
      </w:r>
      <w:r w:rsidR="009D5EC7" w:rsidRPr="001A7047">
        <w:rPr>
          <w:rFonts w:asciiTheme="minorHAnsi" w:hAnsiTheme="minorHAnsi"/>
        </w:rPr>
        <w:t xml:space="preserve"> the High Court ha</w:t>
      </w:r>
      <w:r w:rsidRPr="001A7047">
        <w:rPr>
          <w:rFonts w:asciiTheme="minorHAnsi" w:hAnsiTheme="minorHAnsi"/>
        </w:rPr>
        <w:t>s</w:t>
      </w:r>
      <w:r w:rsidR="009D5EC7" w:rsidRPr="001A7047">
        <w:rPr>
          <w:rFonts w:asciiTheme="minorHAnsi" w:hAnsiTheme="minorHAnsi"/>
        </w:rPr>
        <w:t xml:space="preserve"> </w:t>
      </w:r>
      <w:r w:rsidR="00D0555E" w:rsidRPr="001A7047">
        <w:rPr>
          <w:rFonts w:asciiTheme="minorHAnsi" w:hAnsiTheme="minorHAnsi"/>
        </w:rPr>
        <w:t xml:space="preserve">explained the </w:t>
      </w:r>
      <w:r w:rsidR="004B17EA" w:rsidRPr="001A7047">
        <w:rPr>
          <w:rFonts w:asciiTheme="minorHAnsi" w:hAnsiTheme="minorHAnsi"/>
        </w:rPr>
        <w:t xml:space="preserve">effect of </w:t>
      </w:r>
      <w:r w:rsidR="00B13805" w:rsidRPr="001A7047">
        <w:rPr>
          <w:rFonts w:asciiTheme="minorHAnsi" w:hAnsiTheme="minorHAnsi"/>
        </w:rPr>
        <w:t xml:space="preserve">the </w:t>
      </w:r>
      <w:r w:rsidR="00D0555E" w:rsidRPr="001A7047">
        <w:rPr>
          <w:rFonts w:asciiTheme="minorHAnsi" w:hAnsiTheme="minorHAnsi"/>
        </w:rPr>
        <w:t>requirement in s 16A(1) for a sentencing court to impose a</w:t>
      </w:r>
      <w:r w:rsidR="009D5EC7" w:rsidRPr="001A7047">
        <w:rPr>
          <w:rFonts w:asciiTheme="minorHAnsi" w:hAnsiTheme="minorHAnsi"/>
        </w:rPr>
        <w:t xml:space="preserve"> sentence or </w:t>
      </w:r>
      <w:r w:rsidR="00D0555E" w:rsidRPr="001A7047">
        <w:rPr>
          <w:rFonts w:asciiTheme="minorHAnsi" w:hAnsiTheme="minorHAnsi"/>
        </w:rPr>
        <w:t xml:space="preserve">make an </w:t>
      </w:r>
      <w:r w:rsidR="009D5EC7" w:rsidRPr="001A7047">
        <w:rPr>
          <w:rFonts w:asciiTheme="minorHAnsi" w:hAnsiTheme="minorHAnsi"/>
        </w:rPr>
        <w:t xml:space="preserve">order of a </w:t>
      </w:r>
      <w:r w:rsidR="009D5EC7" w:rsidRPr="001A7047">
        <w:rPr>
          <w:rFonts w:asciiTheme="minorHAnsi" w:hAnsiTheme="minorHAnsi"/>
          <w:i/>
        </w:rPr>
        <w:t xml:space="preserve">“severity appropriate in all the circumstances” </w:t>
      </w:r>
      <w:r w:rsidR="009D5EC7" w:rsidRPr="001A7047">
        <w:rPr>
          <w:rFonts w:asciiTheme="minorHAnsi" w:hAnsiTheme="minorHAnsi"/>
        </w:rPr>
        <w:t xml:space="preserve">and </w:t>
      </w:r>
      <w:r w:rsidR="004B17EA" w:rsidRPr="001A7047">
        <w:rPr>
          <w:rFonts w:asciiTheme="minorHAnsi" w:hAnsiTheme="minorHAnsi"/>
        </w:rPr>
        <w:t xml:space="preserve">its interaction with </w:t>
      </w:r>
      <w:r w:rsidR="00047284" w:rsidRPr="001A7047">
        <w:rPr>
          <w:rFonts w:asciiTheme="minorHAnsi" w:hAnsiTheme="minorHAnsi"/>
        </w:rPr>
        <w:t xml:space="preserve">the requirement in </w:t>
      </w:r>
      <w:r w:rsidR="009D5EC7" w:rsidRPr="001A7047">
        <w:rPr>
          <w:rFonts w:asciiTheme="minorHAnsi" w:hAnsiTheme="minorHAnsi"/>
        </w:rPr>
        <w:t xml:space="preserve">s 16A(2) </w:t>
      </w:r>
      <w:r w:rsidR="00047284" w:rsidRPr="001A7047">
        <w:rPr>
          <w:rFonts w:asciiTheme="minorHAnsi" w:hAnsiTheme="minorHAnsi"/>
        </w:rPr>
        <w:t xml:space="preserve">to have regard to such of the matters listed </w:t>
      </w:r>
      <w:r w:rsidR="009D5EC7" w:rsidRPr="001A7047">
        <w:rPr>
          <w:rFonts w:asciiTheme="minorHAnsi" w:hAnsiTheme="minorHAnsi"/>
        </w:rPr>
        <w:t>as are “</w:t>
      </w:r>
      <w:r w:rsidR="009D5EC7" w:rsidRPr="001A7047">
        <w:rPr>
          <w:rFonts w:asciiTheme="minorHAnsi" w:hAnsiTheme="minorHAnsi"/>
          <w:i/>
          <w:iCs/>
        </w:rPr>
        <w:t>relevant and known to the court</w:t>
      </w:r>
      <w:r w:rsidR="009D5EC7" w:rsidRPr="001A7047">
        <w:rPr>
          <w:rFonts w:asciiTheme="minorHAnsi" w:hAnsiTheme="minorHAnsi"/>
        </w:rPr>
        <w:t>”.</w:t>
      </w:r>
    </w:p>
    <w:p w14:paraId="1153C3C1" w14:textId="77777777" w:rsidR="00D720A3" w:rsidRPr="001A7047" w:rsidRDefault="00D720A3" w:rsidP="00EB7F1E">
      <w:pPr>
        <w:spacing w:line="276" w:lineRule="auto"/>
        <w:ind w:right="170"/>
        <w:rPr>
          <w:rFonts w:asciiTheme="minorHAnsi" w:hAnsiTheme="minorHAnsi"/>
        </w:rPr>
      </w:pPr>
    </w:p>
    <w:p w14:paraId="796A2E17" w14:textId="0C214FE6" w:rsidR="00D720A3" w:rsidRPr="001A7047" w:rsidRDefault="00D720A3"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 xml:space="preserve">In </w:t>
      </w:r>
      <w:r w:rsidRPr="001A7047">
        <w:rPr>
          <w:rFonts w:asciiTheme="minorHAnsi" w:hAnsiTheme="minorHAnsi"/>
          <w:i/>
        </w:rPr>
        <w:t>Wong</w:t>
      </w:r>
      <w:r w:rsidRPr="001A7047">
        <w:rPr>
          <w:rFonts w:asciiTheme="minorHAnsi" w:hAnsiTheme="minorHAnsi"/>
        </w:rPr>
        <w:t>,</w:t>
      </w:r>
      <w:r w:rsidRPr="001A7047">
        <w:rPr>
          <w:rStyle w:val="Style"/>
          <w:rFonts w:asciiTheme="minorHAnsi" w:hAnsiTheme="minorHAnsi"/>
        </w:rPr>
        <w:footnoteReference w:id="170"/>
      </w:r>
      <w:r w:rsidRPr="001A7047">
        <w:rPr>
          <w:rFonts w:asciiTheme="minorHAnsi" w:hAnsiTheme="minorHAnsi"/>
        </w:rPr>
        <w:t xml:space="preserve"> the majority held that it was impermissible, in a drug importation case, to single out the quantity of the drug as the chief determinant of the seriousness of an offence and a starting point for assessing the sentence; such an approach was contrary to s 16A.  Gaudron, Gummow and Hayne JJ observed that s 16A provides no guidance about the accommodation that is to be made between the general requirement in s 16A(1) that the sentence be of a severity appropriate in all the circumstances of the offence and the very diverse list of matters in s 16A(2).  The sentencing court must have regard to all the matters listed in s 16A(2), to the extent that they are relevant and known to the </w:t>
      </w:r>
      <w:r w:rsidR="00875FA1" w:rsidRPr="001A7047">
        <w:rPr>
          <w:rFonts w:asciiTheme="minorHAnsi" w:hAnsiTheme="minorHAnsi"/>
        </w:rPr>
        <w:t>c</w:t>
      </w:r>
      <w:r w:rsidRPr="001A7047">
        <w:rPr>
          <w:rFonts w:asciiTheme="minorHAnsi" w:hAnsiTheme="minorHAnsi"/>
        </w:rPr>
        <w:t>ourt.  To fasten upon only some of the factors that are mentioned would depart from the legislative command.</w:t>
      </w:r>
      <w:r w:rsidRPr="001A7047">
        <w:rPr>
          <w:rStyle w:val="Style"/>
          <w:rFonts w:asciiTheme="minorHAnsi" w:hAnsiTheme="minorHAnsi"/>
        </w:rPr>
        <w:footnoteReference w:id="171"/>
      </w:r>
    </w:p>
    <w:p w14:paraId="461765B5" w14:textId="77777777" w:rsidR="00D720A3" w:rsidRPr="001A7047" w:rsidRDefault="00D720A3" w:rsidP="00EB7F1E">
      <w:pPr>
        <w:pStyle w:val="ListParagraph"/>
        <w:rPr>
          <w:rFonts w:asciiTheme="minorHAnsi" w:hAnsiTheme="minorHAnsi"/>
        </w:rPr>
      </w:pPr>
    </w:p>
    <w:p w14:paraId="644A39A8" w14:textId="141C0F61" w:rsidR="00AF3AA5" w:rsidRPr="001A7047" w:rsidRDefault="00AF3AA5"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 xml:space="preserve">In </w:t>
      </w:r>
      <w:r w:rsidRPr="001A7047">
        <w:rPr>
          <w:rFonts w:asciiTheme="minorHAnsi" w:hAnsiTheme="minorHAnsi"/>
          <w:i/>
        </w:rPr>
        <w:t>Johnson</w:t>
      </w:r>
      <w:r w:rsidRPr="001A7047">
        <w:rPr>
          <w:rFonts w:asciiTheme="minorHAnsi" w:hAnsiTheme="minorHAnsi"/>
        </w:rPr>
        <w:t>,</w:t>
      </w:r>
      <w:r w:rsidRPr="001A7047">
        <w:rPr>
          <w:rStyle w:val="Style"/>
          <w:rFonts w:asciiTheme="minorHAnsi" w:hAnsiTheme="minorHAnsi"/>
        </w:rPr>
        <w:footnoteReference w:id="172"/>
      </w:r>
      <w:r w:rsidRPr="001A7047">
        <w:rPr>
          <w:rFonts w:asciiTheme="minorHAnsi" w:hAnsiTheme="minorHAnsi"/>
        </w:rPr>
        <w:t xml:space="preserve"> the Court held that s 16A leaves room for the application of general common law principles, such as the principle of totality, except to the extent stated in s 16A or s 16B of the Act.  </w:t>
      </w:r>
      <w:r w:rsidR="009A3422" w:rsidRPr="001A7047">
        <w:rPr>
          <w:rFonts w:asciiTheme="minorHAnsi" w:hAnsiTheme="minorHAnsi"/>
        </w:rPr>
        <w:t xml:space="preserve">In </w:t>
      </w:r>
      <w:r w:rsidR="009A3422" w:rsidRPr="001A7047">
        <w:rPr>
          <w:rFonts w:asciiTheme="minorHAnsi" w:hAnsiTheme="minorHAnsi"/>
          <w:i/>
        </w:rPr>
        <w:t>Hili</w:t>
      </w:r>
      <w:r w:rsidR="009A3422" w:rsidRPr="001A7047">
        <w:rPr>
          <w:rFonts w:asciiTheme="minorHAnsi" w:hAnsiTheme="minorHAnsi"/>
        </w:rPr>
        <w:t>,</w:t>
      </w:r>
      <w:r w:rsidR="009A3422" w:rsidRPr="001A7047">
        <w:rPr>
          <w:rStyle w:val="Style"/>
          <w:rFonts w:asciiTheme="minorHAnsi" w:hAnsiTheme="minorHAnsi"/>
        </w:rPr>
        <w:footnoteReference w:id="173"/>
      </w:r>
      <w:r w:rsidR="009A3422" w:rsidRPr="001A7047">
        <w:rPr>
          <w:rFonts w:asciiTheme="minorHAnsi" w:hAnsiTheme="minorHAnsi"/>
        </w:rPr>
        <w:t xml:space="preserve"> after referring to </w:t>
      </w:r>
      <w:r w:rsidR="009A3422" w:rsidRPr="001A7047">
        <w:rPr>
          <w:rFonts w:asciiTheme="minorHAnsi" w:hAnsiTheme="minorHAnsi"/>
          <w:i/>
        </w:rPr>
        <w:t>Johnson</w:t>
      </w:r>
      <w:r w:rsidR="009A3422" w:rsidRPr="001A7047">
        <w:rPr>
          <w:rFonts w:asciiTheme="minorHAnsi" w:hAnsiTheme="minorHAnsi"/>
        </w:rPr>
        <w:t xml:space="preserve">, the plurality added that </w:t>
      </w:r>
      <w:r w:rsidR="00542333" w:rsidRPr="001A7047">
        <w:rPr>
          <w:rFonts w:asciiTheme="minorHAnsi" w:hAnsiTheme="minorHAnsi"/>
        </w:rPr>
        <w:t>s 16A</w:t>
      </w:r>
      <w:r w:rsidR="009A3422" w:rsidRPr="001A7047">
        <w:rPr>
          <w:rFonts w:asciiTheme="minorHAnsi" w:hAnsiTheme="minorHAnsi"/>
        </w:rPr>
        <w:t xml:space="preserve"> accommodates the application of some judicially developed general sentencing principles because those principles give relevant content to the statutory expression </w:t>
      </w:r>
      <w:r w:rsidR="00E61ECF" w:rsidRPr="001A7047">
        <w:rPr>
          <w:rFonts w:asciiTheme="minorHAnsi" w:hAnsiTheme="minorHAnsi"/>
        </w:rPr>
        <w:t>“</w:t>
      </w:r>
      <w:r w:rsidR="009A3422" w:rsidRPr="001A7047">
        <w:rPr>
          <w:rFonts w:asciiTheme="minorHAnsi" w:hAnsiTheme="minorHAnsi"/>
          <w:i/>
        </w:rPr>
        <w:t>of a severity appropriate in all the circumstances of the offence</w:t>
      </w:r>
      <w:r w:rsidR="00E61ECF" w:rsidRPr="001A7047">
        <w:rPr>
          <w:rFonts w:asciiTheme="minorHAnsi" w:hAnsiTheme="minorHAnsi"/>
        </w:rPr>
        <w:t>”</w:t>
      </w:r>
      <w:r w:rsidR="009A3422" w:rsidRPr="001A7047">
        <w:rPr>
          <w:rFonts w:asciiTheme="minorHAnsi" w:hAnsiTheme="minorHAnsi"/>
        </w:rPr>
        <w:t xml:space="preserve"> used in s 16A(1), as well as some of the expressions used in s 16A(2), such as </w:t>
      </w:r>
      <w:r w:rsidR="00E61ECF" w:rsidRPr="001A7047">
        <w:rPr>
          <w:rFonts w:asciiTheme="minorHAnsi" w:hAnsiTheme="minorHAnsi"/>
        </w:rPr>
        <w:t>“</w:t>
      </w:r>
      <w:r w:rsidR="009A3422" w:rsidRPr="001A7047">
        <w:rPr>
          <w:rFonts w:asciiTheme="minorHAnsi" w:hAnsiTheme="minorHAnsi"/>
          <w:i/>
        </w:rPr>
        <w:t>the need to ensure that the person is adequately punished for the offence</w:t>
      </w:r>
      <w:r w:rsidR="00E61ECF" w:rsidRPr="001A7047">
        <w:rPr>
          <w:rFonts w:asciiTheme="minorHAnsi" w:hAnsiTheme="minorHAnsi"/>
        </w:rPr>
        <w:t>” (s 16A(2)(k)).</w:t>
      </w:r>
    </w:p>
    <w:p w14:paraId="0E92BC79" w14:textId="77777777" w:rsidR="00AF3AA5" w:rsidRPr="00266F5E" w:rsidRDefault="00AF3AA5" w:rsidP="00AF3AA5">
      <w:pPr>
        <w:pStyle w:val="ListParagraph"/>
        <w:rPr>
          <w:rFonts w:asciiTheme="minorHAnsi" w:hAnsiTheme="minorHAnsi"/>
          <w:highlight w:val="yellow"/>
        </w:rPr>
      </w:pPr>
    </w:p>
    <w:p w14:paraId="52A1F55A" w14:textId="09AD0108" w:rsidR="005A6595" w:rsidRPr="001A7047" w:rsidRDefault="00DA27D1">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I</w:t>
      </w:r>
      <w:r w:rsidR="00F96DE3" w:rsidRPr="001A7047">
        <w:rPr>
          <w:rFonts w:asciiTheme="minorHAnsi" w:hAnsiTheme="minorHAnsi"/>
        </w:rPr>
        <w:t xml:space="preserve">n </w:t>
      </w:r>
      <w:r w:rsidR="00F96DE3" w:rsidRPr="001A7047">
        <w:rPr>
          <w:rFonts w:asciiTheme="minorHAnsi" w:hAnsiTheme="minorHAnsi"/>
          <w:i/>
        </w:rPr>
        <w:t>Bui</w:t>
      </w:r>
      <w:r w:rsidRPr="001A7047">
        <w:rPr>
          <w:rFonts w:asciiTheme="minorHAnsi" w:hAnsiTheme="minorHAnsi"/>
        </w:rPr>
        <w:t>,</w:t>
      </w:r>
      <w:r w:rsidR="000305E0" w:rsidRPr="001A7047">
        <w:rPr>
          <w:rStyle w:val="Style"/>
          <w:rFonts w:asciiTheme="minorHAnsi" w:hAnsiTheme="minorHAnsi"/>
        </w:rPr>
        <w:footnoteReference w:id="174"/>
      </w:r>
      <w:r w:rsidR="00F96DE3" w:rsidRPr="001A7047">
        <w:rPr>
          <w:rFonts w:asciiTheme="minorHAnsi" w:hAnsiTheme="minorHAnsi"/>
        </w:rPr>
        <w:t xml:space="preserve"> the Court </w:t>
      </w:r>
      <w:r w:rsidR="00F47D0C" w:rsidRPr="001A7047">
        <w:rPr>
          <w:rFonts w:asciiTheme="minorHAnsi" w:hAnsiTheme="minorHAnsi"/>
        </w:rPr>
        <w:t>emphas</w:t>
      </w:r>
      <w:r w:rsidR="00B86888" w:rsidRPr="001A7047">
        <w:rPr>
          <w:rFonts w:asciiTheme="minorHAnsi" w:hAnsiTheme="minorHAnsi"/>
        </w:rPr>
        <w:t>ised</w:t>
      </w:r>
      <w:r w:rsidR="00F96DE3" w:rsidRPr="001A7047">
        <w:rPr>
          <w:rFonts w:asciiTheme="minorHAnsi" w:hAnsiTheme="minorHAnsi"/>
        </w:rPr>
        <w:t xml:space="preserve"> that common law sentencing principles could only be accommodated</w:t>
      </w:r>
      <w:r w:rsidR="000305E0" w:rsidRPr="001A7047">
        <w:rPr>
          <w:rFonts w:asciiTheme="minorHAnsi" w:hAnsiTheme="minorHAnsi"/>
        </w:rPr>
        <w:t xml:space="preserve">, in accordance with s 80 of the </w:t>
      </w:r>
      <w:r w:rsidR="000305E0" w:rsidRPr="001A7047">
        <w:rPr>
          <w:rFonts w:asciiTheme="minorHAnsi" w:hAnsiTheme="minorHAnsi"/>
          <w:i/>
        </w:rPr>
        <w:t>Judiciary Act 1903</w:t>
      </w:r>
      <w:r w:rsidR="000305E0" w:rsidRPr="001A7047">
        <w:rPr>
          <w:rFonts w:asciiTheme="minorHAnsi" w:hAnsiTheme="minorHAnsi"/>
        </w:rPr>
        <w:t xml:space="preserve"> (Cth)</w:t>
      </w:r>
      <w:r w:rsidR="00875FA1" w:rsidRPr="001A7047">
        <w:rPr>
          <w:rFonts w:asciiTheme="minorHAnsi" w:hAnsiTheme="minorHAnsi"/>
        </w:rPr>
        <w:t>,</w:t>
      </w:r>
      <w:r w:rsidR="00F96DE3" w:rsidRPr="001A7047">
        <w:rPr>
          <w:rFonts w:asciiTheme="minorHAnsi" w:hAnsiTheme="minorHAnsi"/>
        </w:rPr>
        <w:t xml:space="preserve"> </w:t>
      </w:r>
      <w:r w:rsidRPr="001A7047">
        <w:rPr>
          <w:rFonts w:asciiTheme="minorHAnsi" w:hAnsiTheme="minorHAnsi"/>
        </w:rPr>
        <w:t xml:space="preserve">where s 16A left a gap for such principles to fill.  </w:t>
      </w:r>
      <w:r w:rsidR="00F96DE3" w:rsidRPr="001A7047">
        <w:rPr>
          <w:rFonts w:asciiTheme="minorHAnsi" w:hAnsiTheme="minorHAnsi" w:cstheme="minorHAnsi"/>
        </w:rPr>
        <w:t>See “</w:t>
      </w:r>
      <w:r w:rsidR="00F96DE3" w:rsidRPr="001A7047">
        <w:rPr>
          <w:rFonts w:asciiTheme="minorHAnsi" w:hAnsiTheme="minorHAnsi" w:cstheme="minorHAnsi"/>
        </w:rPr>
        <w:fldChar w:fldCharType="begin"/>
      </w:r>
      <w:r w:rsidR="00F96DE3" w:rsidRPr="001A7047">
        <w:rPr>
          <w:rFonts w:asciiTheme="minorHAnsi" w:hAnsiTheme="minorHAnsi" w:cstheme="minorHAnsi"/>
        </w:rPr>
        <w:instrText xml:space="preserve"> REF _Ref9850772 \r \h  \* MERGEFORMAT </w:instrText>
      </w:r>
      <w:r w:rsidR="00F96DE3" w:rsidRPr="001A7047">
        <w:rPr>
          <w:rFonts w:asciiTheme="minorHAnsi" w:hAnsiTheme="minorHAnsi" w:cstheme="minorHAnsi"/>
        </w:rPr>
      </w:r>
      <w:r w:rsidR="00F96DE3" w:rsidRPr="001A7047">
        <w:rPr>
          <w:rFonts w:asciiTheme="minorHAnsi" w:hAnsiTheme="minorHAnsi" w:cstheme="minorHAnsi"/>
        </w:rPr>
        <w:fldChar w:fldCharType="separate"/>
      </w:r>
      <w:r w:rsidR="00D44BCF">
        <w:rPr>
          <w:rFonts w:asciiTheme="minorHAnsi" w:hAnsiTheme="minorHAnsi" w:cstheme="minorHAnsi"/>
        </w:rPr>
        <w:t>2.5</w:t>
      </w:r>
      <w:r w:rsidR="00F96DE3" w:rsidRPr="001A7047">
        <w:rPr>
          <w:rFonts w:asciiTheme="minorHAnsi" w:hAnsiTheme="minorHAnsi" w:cstheme="minorHAnsi"/>
        </w:rPr>
        <w:fldChar w:fldCharType="end"/>
      </w:r>
      <w:r w:rsidR="00F96DE3" w:rsidRPr="001A7047">
        <w:rPr>
          <w:rFonts w:asciiTheme="minorHAnsi" w:hAnsiTheme="minorHAnsi" w:cstheme="minorHAnsi"/>
        </w:rPr>
        <w:t xml:space="preserve"> </w:t>
      </w:r>
      <w:r w:rsidR="00F96DE3" w:rsidRPr="001A7047">
        <w:rPr>
          <w:rFonts w:asciiTheme="minorHAnsi" w:hAnsiTheme="minorHAnsi" w:cstheme="minorHAnsi"/>
        </w:rPr>
        <w:fldChar w:fldCharType="begin"/>
      </w:r>
      <w:r w:rsidR="00F96DE3" w:rsidRPr="001A7047">
        <w:rPr>
          <w:rFonts w:asciiTheme="minorHAnsi" w:hAnsiTheme="minorHAnsi" w:cstheme="minorHAnsi"/>
        </w:rPr>
        <w:instrText xml:space="preserve"> REF _Ref9850775 \h  \* MERGEFORMAT </w:instrText>
      </w:r>
      <w:r w:rsidR="00F96DE3" w:rsidRPr="001A7047">
        <w:rPr>
          <w:rFonts w:asciiTheme="minorHAnsi" w:hAnsiTheme="minorHAnsi" w:cstheme="minorHAnsi"/>
        </w:rPr>
      </w:r>
      <w:r w:rsidR="00F96DE3" w:rsidRPr="001A7047">
        <w:rPr>
          <w:rFonts w:asciiTheme="minorHAnsi" w:hAnsiTheme="minorHAnsi" w:cstheme="minorHAnsi"/>
        </w:rPr>
        <w:fldChar w:fldCharType="separate"/>
      </w:r>
      <w:r w:rsidR="00D44BCF" w:rsidRPr="00D44BCF">
        <w:rPr>
          <w:rFonts w:asciiTheme="minorHAnsi" w:hAnsiTheme="minorHAnsi" w:cstheme="minorHAnsi"/>
        </w:rPr>
        <w:t>Applicability of the common law</w:t>
      </w:r>
      <w:r w:rsidR="00F96DE3" w:rsidRPr="001A7047">
        <w:rPr>
          <w:rFonts w:asciiTheme="minorHAnsi" w:hAnsiTheme="minorHAnsi" w:cstheme="minorHAnsi"/>
        </w:rPr>
        <w:fldChar w:fldCharType="end"/>
      </w:r>
      <w:r w:rsidR="00F96DE3" w:rsidRPr="001A7047">
        <w:rPr>
          <w:rFonts w:asciiTheme="minorHAnsi" w:hAnsiTheme="minorHAnsi" w:cstheme="minorHAnsi"/>
        </w:rPr>
        <w:t>”.</w:t>
      </w:r>
    </w:p>
    <w:p w14:paraId="08381B80" w14:textId="77777777" w:rsidR="005A6595" w:rsidRPr="001A7047" w:rsidRDefault="005A6595" w:rsidP="00EB7F1E">
      <w:pPr>
        <w:pStyle w:val="ListParagraph"/>
        <w:rPr>
          <w:rFonts w:asciiTheme="minorHAnsi" w:hAnsiTheme="minorHAnsi"/>
        </w:rPr>
      </w:pPr>
    </w:p>
    <w:p w14:paraId="1A054B6B" w14:textId="7515B1BC" w:rsidR="004B17EA" w:rsidRPr="001A7047" w:rsidRDefault="005A6595"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cstheme="minorHAnsi"/>
        </w:rPr>
        <w:t>In rejecting a contention that an offender was entitled to a</w:t>
      </w:r>
      <w:r w:rsidR="002B26A1" w:rsidRPr="001A7047">
        <w:rPr>
          <w:rFonts w:asciiTheme="minorHAnsi" w:hAnsiTheme="minorHAnsi" w:cstheme="minorHAnsi"/>
        </w:rPr>
        <w:t xml:space="preserve"> reduction of sentence upon a successful Crown appeal against sentence because of presumed stress or anxiety, the Court in</w:t>
      </w:r>
      <w:r w:rsidRPr="001A7047">
        <w:rPr>
          <w:rFonts w:asciiTheme="minorHAnsi" w:hAnsiTheme="minorHAnsi" w:cstheme="minorHAnsi"/>
          <w:i/>
        </w:rPr>
        <w:t xml:space="preserve"> Bui</w:t>
      </w:r>
      <w:r w:rsidRPr="001A7047">
        <w:rPr>
          <w:rFonts w:asciiTheme="minorHAnsi" w:hAnsiTheme="minorHAnsi" w:cstheme="minorHAnsi"/>
        </w:rPr>
        <w:t xml:space="preserve"> </w:t>
      </w:r>
      <w:r w:rsidR="002B26A1" w:rsidRPr="001A7047">
        <w:rPr>
          <w:rFonts w:asciiTheme="minorHAnsi" w:hAnsiTheme="minorHAnsi" w:cstheme="minorHAnsi"/>
        </w:rPr>
        <w:t>said</w:t>
      </w:r>
      <w:r w:rsidRPr="001A7047">
        <w:rPr>
          <w:rFonts w:asciiTheme="minorHAnsi" w:hAnsiTheme="minorHAnsi" w:cstheme="minorHAnsi"/>
        </w:rPr>
        <w:t>, “</w:t>
      </w:r>
      <w:r w:rsidRPr="001A7047">
        <w:rPr>
          <w:rFonts w:asciiTheme="minorHAnsi" w:hAnsiTheme="minorHAnsi" w:cstheme="minorHAnsi"/>
          <w:i/>
        </w:rPr>
        <w:t xml:space="preserve">Application of an automatic discount would not be consistent with the requirement of s 16A(1) </w:t>
      </w:r>
      <w:r w:rsidRPr="001A7047">
        <w:rPr>
          <w:rFonts w:asciiTheme="minorHAnsi" w:hAnsiTheme="minorHAnsi" w:cstheme="minorHAnsi"/>
        </w:rPr>
        <w:t xml:space="preserve">[of the </w:t>
      </w:r>
      <w:r w:rsidRPr="001A7047">
        <w:rPr>
          <w:rFonts w:asciiTheme="minorHAnsi" w:hAnsiTheme="minorHAnsi" w:cstheme="minorHAnsi"/>
          <w:i/>
        </w:rPr>
        <w:t>Crimes Act 1914</w:t>
      </w:r>
      <w:r w:rsidRPr="001A7047">
        <w:rPr>
          <w:rFonts w:asciiTheme="minorHAnsi" w:hAnsiTheme="minorHAnsi" w:cstheme="minorHAnsi"/>
        </w:rPr>
        <w:t xml:space="preserve">] </w:t>
      </w:r>
      <w:r w:rsidRPr="001A7047">
        <w:rPr>
          <w:rFonts w:asciiTheme="minorHAnsi" w:hAnsiTheme="minorHAnsi" w:cstheme="minorHAnsi"/>
          <w:i/>
        </w:rPr>
        <w:t>that a sentence be appropriate in its severity in all the circumstances of the case</w:t>
      </w:r>
      <w:r w:rsidRPr="001A7047">
        <w:rPr>
          <w:rFonts w:asciiTheme="minorHAnsi" w:hAnsiTheme="minorHAnsi" w:cstheme="minorHAnsi"/>
        </w:rPr>
        <w:t>”.</w:t>
      </w:r>
      <w:r w:rsidR="002B26A1" w:rsidRPr="001A7047">
        <w:rPr>
          <w:rStyle w:val="Style"/>
          <w:rFonts w:asciiTheme="minorHAnsi" w:hAnsiTheme="minorHAnsi"/>
        </w:rPr>
        <w:footnoteReference w:id="175"/>
      </w:r>
    </w:p>
    <w:p w14:paraId="04455E90" w14:textId="77777777" w:rsidR="004B17EA" w:rsidRPr="001A7047" w:rsidRDefault="004B17EA" w:rsidP="00EB7F1E">
      <w:pPr>
        <w:pStyle w:val="ListParagraph"/>
        <w:rPr>
          <w:rFonts w:asciiTheme="minorHAnsi" w:hAnsiTheme="minorHAnsi" w:cstheme="minorHAnsi"/>
        </w:rPr>
      </w:pPr>
    </w:p>
    <w:p w14:paraId="5198874F" w14:textId="5A42B016" w:rsidR="00F96DE3" w:rsidRPr="001A7047" w:rsidRDefault="00DA27D1"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 xml:space="preserve">In </w:t>
      </w:r>
      <w:r w:rsidRPr="001A7047">
        <w:rPr>
          <w:rFonts w:asciiTheme="minorHAnsi" w:hAnsiTheme="minorHAnsi"/>
          <w:i/>
        </w:rPr>
        <w:t>Pham</w:t>
      </w:r>
      <w:r w:rsidRPr="001A7047">
        <w:rPr>
          <w:rFonts w:asciiTheme="minorHAnsi" w:hAnsiTheme="minorHAnsi"/>
        </w:rPr>
        <w:t>,</w:t>
      </w:r>
      <w:r w:rsidRPr="001A7047">
        <w:rPr>
          <w:rStyle w:val="Style"/>
          <w:rFonts w:asciiTheme="minorHAnsi" w:hAnsiTheme="minorHAnsi"/>
        </w:rPr>
        <w:footnoteReference w:id="176"/>
      </w:r>
      <w:r w:rsidR="003B1FC2" w:rsidRPr="001A7047">
        <w:rPr>
          <w:rFonts w:asciiTheme="minorHAnsi" w:hAnsiTheme="minorHAnsi"/>
        </w:rPr>
        <w:t xml:space="preserve"> </w:t>
      </w:r>
      <w:r w:rsidR="004B17EA" w:rsidRPr="001A7047">
        <w:rPr>
          <w:rFonts w:asciiTheme="minorHAnsi" w:hAnsiTheme="minorHAnsi"/>
        </w:rPr>
        <w:t xml:space="preserve">the plurality </w:t>
      </w:r>
      <w:r w:rsidR="00A17D71" w:rsidRPr="001A7047">
        <w:rPr>
          <w:rFonts w:asciiTheme="minorHAnsi" w:hAnsiTheme="minorHAnsi"/>
        </w:rPr>
        <w:t>said</w:t>
      </w:r>
      <w:r w:rsidR="004B17EA" w:rsidRPr="001A7047">
        <w:rPr>
          <w:rFonts w:asciiTheme="minorHAnsi" w:hAnsiTheme="minorHAnsi"/>
        </w:rPr>
        <w:t xml:space="preserve"> that, to the extent that Part IB of the </w:t>
      </w:r>
      <w:r w:rsidR="004B17EA" w:rsidRPr="001A7047">
        <w:rPr>
          <w:rFonts w:asciiTheme="minorHAnsi" w:hAnsiTheme="minorHAnsi"/>
          <w:i/>
        </w:rPr>
        <w:t>Crimes Act 1914</w:t>
      </w:r>
      <w:r w:rsidR="004B17EA" w:rsidRPr="001A7047">
        <w:rPr>
          <w:rFonts w:asciiTheme="minorHAnsi" w:hAnsiTheme="minorHAnsi"/>
        </w:rPr>
        <w:t xml:space="preserve"> (Cth) (which includes s 16A) specifically or impliedly provides for sentencing considerations which are different from otherwise applicable State and Territory sentencing considerations, the </w:t>
      </w:r>
      <w:r w:rsidR="004B17EA" w:rsidRPr="001A7047">
        <w:rPr>
          <w:rFonts w:asciiTheme="minorHAnsi" w:hAnsiTheme="minorHAnsi"/>
          <w:i/>
        </w:rPr>
        <w:t>Crimes Act</w:t>
      </w:r>
      <w:r w:rsidR="004B17EA" w:rsidRPr="001A7047">
        <w:rPr>
          <w:rFonts w:asciiTheme="minorHAnsi" w:hAnsiTheme="minorHAnsi"/>
        </w:rPr>
        <w:t xml:space="preserve"> is exclusive</w:t>
      </w:r>
      <w:r w:rsidR="003B1FC2" w:rsidRPr="001A7047">
        <w:rPr>
          <w:rFonts w:asciiTheme="minorHAnsi" w:hAnsiTheme="minorHAnsi"/>
        </w:rPr>
        <w:t>.</w:t>
      </w:r>
      <w:r w:rsidR="003B1FC2" w:rsidRPr="001A7047">
        <w:rPr>
          <w:rStyle w:val="Style"/>
          <w:rFonts w:asciiTheme="minorHAnsi" w:hAnsiTheme="minorHAnsi"/>
        </w:rPr>
        <w:footnoteReference w:id="177"/>
      </w:r>
    </w:p>
    <w:p w14:paraId="638BC37B" w14:textId="77777777" w:rsidR="00F96DE3" w:rsidRPr="001A7047" w:rsidRDefault="00F96DE3" w:rsidP="00F96DE3">
      <w:pPr>
        <w:pStyle w:val="ListParagraph"/>
        <w:rPr>
          <w:rFonts w:asciiTheme="minorHAnsi" w:hAnsiTheme="minorHAnsi"/>
        </w:rPr>
      </w:pPr>
    </w:p>
    <w:p w14:paraId="29AE1A7C" w14:textId="3272CFF4" w:rsidR="00D720A3" w:rsidRPr="001A7047" w:rsidRDefault="00D720A3"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 xml:space="preserve">In </w:t>
      </w:r>
      <w:r w:rsidRPr="001A7047">
        <w:rPr>
          <w:rFonts w:asciiTheme="minorHAnsi" w:hAnsiTheme="minorHAnsi"/>
          <w:i/>
        </w:rPr>
        <w:t>Hili</w:t>
      </w:r>
      <w:r w:rsidRPr="001A7047">
        <w:rPr>
          <w:rFonts w:asciiTheme="minorHAnsi" w:hAnsiTheme="minorHAnsi"/>
        </w:rPr>
        <w:t>,</w:t>
      </w:r>
      <w:r w:rsidRPr="001A7047">
        <w:rPr>
          <w:rStyle w:val="Style"/>
          <w:rFonts w:asciiTheme="minorHAnsi" w:hAnsiTheme="minorHAnsi"/>
        </w:rPr>
        <w:footnoteReference w:id="178"/>
      </w:r>
      <w:r w:rsidRPr="001A7047">
        <w:rPr>
          <w:rFonts w:asciiTheme="minorHAnsi" w:hAnsiTheme="minorHAnsi"/>
        </w:rPr>
        <w:t xml:space="preserve"> the Court held that giving effect to the principle that the severity of the sentence be appropriate in all the circumstances meant that, when a sentence of imprisonment is imposed, there is no judicially determined norm or starting point (whether expressed as a percentage of the head sentence, or otherwise) for the period, or minimum period, a federal offender should serve in prison before being released. </w:t>
      </w:r>
    </w:p>
    <w:p w14:paraId="2E726CFF" w14:textId="77777777" w:rsidR="00D0555E" w:rsidRPr="001A7047" w:rsidRDefault="00D0555E" w:rsidP="00EB7F1E">
      <w:pPr>
        <w:pStyle w:val="ListParagraph"/>
        <w:rPr>
          <w:rFonts w:asciiTheme="minorHAnsi" w:hAnsiTheme="minorHAnsi"/>
        </w:rPr>
      </w:pPr>
    </w:p>
    <w:p w14:paraId="25BA6D2B" w14:textId="09A2DDCB" w:rsidR="00D720A3" w:rsidRPr="001A7047" w:rsidRDefault="00DC0502"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 xml:space="preserve">In </w:t>
      </w:r>
      <w:r w:rsidRPr="001A7047">
        <w:rPr>
          <w:rFonts w:asciiTheme="minorHAnsi" w:hAnsiTheme="minorHAnsi"/>
          <w:i/>
        </w:rPr>
        <w:t>Weininger</w:t>
      </w:r>
      <w:r w:rsidR="0000561C" w:rsidRPr="001A7047">
        <w:rPr>
          <w:rFonts w:asciiTheme="minorHAnsi" w:hAnsiTheme="minorHAnsi"/>
        </w:rPr>
        <w:t>,</w:t>
      </w:r>
      <w:r w:rsidR="0000561C" w:rsidRPr="001A7047">
        <w:rPr>
          <w:rStyle w:val="Style"/>
          <w:rFonts w:asciiTheme="minorHAnsi" w:hAnsiTheme="minorHAnsi"/>
        </w:rPr>
        <w:footnoteReference w:id="179"/>
      </w:r>
      <w:r w:rsidR="0000561C" w:rsidRPr="001A7047">
        <w:rPr>
          <w:rFonts w:asciiTheme="minorHAnsi" w:hAnsiTheme="minorHAnsi"/>
        </w:rPr>
        <w:t xml:space="preserve"> the Court considered the impli</w:t>
      </w:r>
      <w:r w:rsidR="002C3A28" w:rsidRPr="001A7047">
        <w:rPr>
          <w:rFonts w:asciiTheme="minorHAnsi" w:hAnsiTheme="minorHAnsi"/>
        </w:rPr>
        <w:t>cations of the requirement in s 16A(2) that the sentencing court must take into account such of the listed matters “as are relevant and known to the court”.  See “</w:t>
      </w:r>
      <w:r w:rsidR="002C3A28" w:rsidRPr="001A7047">
        <w:rPr>
          <w:rFonts w:asciiTheme="minorHAnsi" w:hAnsiTheme="minorHAnsi"/>
        </w:rPr>
        <w:fldChar w:fldCharType="begin"/>
      </w:r>
      <w:r w:rsidR="002C3A28" w:rsidRPr="001A7047">
        <w:rPr>
          <w:rFonts w:asciiTheme="minorHAnsi" w:hAnsiTheme="minorHAnsi"/>
        </w:rPr>
        <w:instrText xml:space="preserve"> REF _Ref492634109 \r \h  \* MERGEFORMAT </w:instrText>
      </w:r>
      <w:r w:rsidR="002C3A28" w:rsidRPr="001A7047">
        <w:rPr>
          <w:rFonts w:asciiTheme="minorHAnsi" w:hAnsiTheme="minorHAnsi"/>
        </w:rPr>
      </w:r>
      <w:r w:rsidR="002C3A28" w:rsidRPr="001A7047">
        <w:rPr>
          <w:rFonts w:asciiTheme="minorHAnsi" w:hAnsiTheme="minorHAnsi"/>
        </w:rPr>
        <w:fldChar w:fldCharType="separate"/>
      </w:r>
      <w:r w:rsidR="00D44BCF">
        <w:rPr>
          <w:rFonts w:asciiTheme="minorHAnsi" w:hAnsiTheme="minorHAnsi"/>
        </w:rPr>
        <w:t>3.1.3</w:t>
      </w:r>
      <w:r w:rsidR="002C3A28" w:rsidRPr="001A7047">
        <w:rPr>
          <w:rFonts w:asciiTheme="minorHAnsi" w:hAnsiTheme="minorHAnsi"/>
        </w:rPr>
        <w:fldChar w:fldCharType="end"/>
      </w:r>
      <w:r w:rsidR="002C3A28" w:rsidRPr="001A7047">
        <w:rPr>
          <w:rFonts w:asciiTheme="minorHAnsi" w:hAnsiTheme="minorHAnsi"/>
        </w:rPr>
        <w:t xml:space="preserve"> </w:t>
      </w:r>
      <w:r w:rsidR="002C3A28" w:rsidRPr="001A7047">
        <w:rPr>
          <w:rFonts w:asciiTheme="minorHAnsi" w:hAnsiTheme="minorHAnsi"/>
        </w:rPr>
        <w:fldChar w:fldCharType="begin"/>
      </w:r>
      <w:r w:rsidR="002C3A28" w:rsidRPr="001A7047">
        <w:rPr>
          <w:rFonts w:asciiTheme="minorHAnsi" w:hAnsiTheme="minorHAnsi"/>
        </w:rPr>
        <w:instrText xml:space="preserve"> REF _Ref492634109 \h  \* MERGEFORMAT </w:instrText>
      </w:r>
      <w:r w:rsidR="002C3A28" w:rsidRPr="001A7047">
        <w:rPr>
          <w:rFonts w:asciiTheme="minorHAnsi" w:hAnsiTheme="minorHAnsi"/>
        </w:rPr>
      </w:r>
      <w:r w:rsidR="002C3A28" w:rsidRPr="001A7047">
        <w:rPr>
          <w:rFonts w:asciiTheme="minorHAnsi" w:hAnsiTheme="minorHAnsi"/>
        </w:rPr>
        <w:fldChar w:fldCharType="separate"/>
      </w:r>
      <w:r w:rsidR="00D44BCF" w:rsidRPr="00D44BCF">
        <w:rPr>
          <w:rFonts w:asciiTheme="minorHAnsi" w:hAnsiTheme="minorHAnsi"/>
        </w:rPr>
        <w:t>Relevant matters “known to the court”: Crimes Act 1914, s 16A(2)</w:t>
      </w:r>
      <w:r w:rsidR="002C3A28" w:rsidRPr="001A7047">
        <w:rPr>
          <w:rFonts w:asciiTheme="minorHAnsi" w:hAnsiTheme="minorHAnsi"/>
        </w:rPr>
        <w:fldChar w:fldCharType="end"/>
      </w:r>
      <w:r w:rsidR="002C3A28" w:rsidRPr="001A7047">
        <w:rPr>
          <w:rFonts w:asciiTheme="minorHAnsi" w:hAnsiTheme="minorHAnsi"/>
        </w:rPr>
        <w:t>”.</w:t>
      </w:r>
    </w:p>
    <w:p w14:paraId="10AB9B8C" w14:textId="77777777" w:rsidR="0053432F" w:rsidRPr="001A7047" w:rsidRDefault="0053432F" w:rsidP="007C11C2">
      <w:pPr>
        <w:spacing w:line="276" w:lineRule="auto"/>
        <w:ind w:left="567" w:right="170" w:hanging="567"/>
        <w:jc w:val="both"/>
        <w:rPr>
          <w:rFonts w:asciiTheme="minorHAnsi" w:hAnsiTheme="minorHAnsi"/>
        </w:rPr>
      </w:pPr>
    </w:p>
    <w:p w14:paraId="437DC8A1" w14:textId="38E1DDAB" w:rsidR="00012E2E" w:rsidRPr="001A7047" w:rsidRDefault="00012E2E" w:rsidP="00012E2E">
      <w:pPr>
        <w:pStyle w:val="Heading3"/>
      </w:pPr>
      <w:bookmarkStart w:id="1389" w:name="_Ref11070224"/>
      <w:bookmarkStart w:id="1390" w:name="_Ref11070226"/>
      <w:bookmarkStart w:id="1391" w:name="_Toc33602780"/>
      <w:r w:rsidRPr="001A7047">
        <w:t>Requirement</w:t>
      </w:r>
      <w:r w:rsidR="00222670" w:rsidRPr="001A7047">
        <w:t>s of s 16A</w:t>
      </w:r>
      <w:r w:rsidRPr="001A7047">
        <w:t xml:space="preserve"> also appl</w:t>
      </w:r>
      <w:r w:rsidR="00222670" w:rsidRPr="001A7047">
        <w:t>y</w:t>
      </w:r>
      <w:r w:rsidRPr="001A7047">
        <w:t xml:space="preserve"> to fixing period of imprisonment to be served</w:t>
      </w:r>
      <w:bookmarkEnd w:id="1389"/>
      <w:bookmarkEnd w:id="1390"/>
      <w:bookmarkEnd w:id="1391"/>
      <w:r w:rsidRPr="001A7047">
        <w:t xml:space="preserve"> </w:t>
      </w:r>
    </w:p>
    <w:p w14:paraId="4B86B416" w14:textId="77777777" w:rsidR="00012E2E" w:rsidRPr="001A7047" w:rsidRDefault="00012E2E" w:rsidP="00012E2E">
      <w:pPr>
        <w:pStyle w:val="NormalIndent"/>
        <w:keepNext/>
        <w:spacing w:line="276" w:lineRule="auto"/>
        <w:rPr>
          <w:rFonts w:ascii="Calibri" w:hAnsi="Calibri"/>
        </w:rPr>
      </w:pPr>
    </w:p>
    <w:p w14:paraId="09B7838A" w14:textId="7F870B31" w:rsidR="00012E2E" w:rsidRPr="001A7047" w:rsidRDefault="00012E2E" w:rsidP="00EB7F1E">
      <w:pPr>
        <w:pStyle w:val="ListParagraph"/>
        <w:numPr>
          <w:ilvl w:val="0"/>
          <w:numId w:val="7"/>
        </w:numPr>
        <w:spacing w:line="276" w:lineRule="auto"/>
        <w:ind w:left="425" w:hanging="425"/>
        <w:contextualSpacing w:val="0"/>
        <w:rPr>
          <w:rFonts w:asciiTheme="minorHAnsi" w:hAnsiTheme="minorHAnsi"/>
        </w:rPr>
      </w:pPr>
      <w:r w:rsidRPr="001A7047">
        <w:rPr>
          <w:rFonts w:asciiTheme="minorHAnsi" w:hAnsiTheme="minorHAnsi"/>
        </w:rPr>
        <w:t>The reference in s 16A to an “order” includes a non-parole period or recognizance release order period.</w:t>
      </w:r>
      <w:r w:rsidRPr="001A7047">
        <w:rPr>
          <w:rStyle w:val="FootnoteReference"/>
          <w:rFonts w:asciiTheme="minorHAnsi" w:hAnsiTheme="minorHAnsi"/>
        </w:rPr>
        <w:footnoteReference w:id="180"/>
      </w:r>
      <w:r w:rsidRPr="001A7047">
        <w:rPr>
          <w:rFonts w:asciiTheme="minorHAnsi" w:hAnsiTheme="minorHAnsi"/>
        </w:rPr>
        <w:t xml:space="preserve">  That is, if a custodial sentence is to be imposed, the requirement in s 16A(1) for a sentence or order to be of a </w:t>
      </w:r>
      <w:r w:rsidRPr="001A7047">
        <w:rPr>
          <w:rFonts w:asciiTheme="minorHAnsi" w:hAnsiTheme="minorHAnsi"/>
          <w:i/>
        </w:rPr>
        <w:t>“severity appropriate in all the circumstances”</w:t>
      </w:r>
      <w:r w:rsidRPr="001A7047">
        <w:rPr>
          <w:rFonts w:asciiTheme="minorHAnsi" w:hAnsiTheme="minorHAnsi"/>
        </w:rPr>
        <w:t xml:space="preserve"> (as well as the requirement to take into account the matters listed in s 16A(2) to the extent that they are relevant and known to the court)</w:t>
      </w:r>
      <w:r w:rsidRPr="001A7047">
        <w:rPr>
          <w:rFonts w:asciiTheme="minorHAnsi" w:hAnsiTheme="minorHAnsi"/>
          <w:i/>
        </w:rPr>
        <w:t xml:space="preserve"> </w:t>
      </w:r>
      <w:r w:rsidRPr="001A7047">
        <w:rPr>
          <w:rFonts w:asciiTheme="minorHAnsi" w:hAnsiTheme="minorHAnsi"/>
        </w:rPr>
        <w:t>governs the determination not only of the appropriate head sentence but also of any non-parole period or recognizance release order period.</w:t>
      </w:r>
      <w:r w:rsidRPr="001A7047">
        <w:rPr>
          <w:rStyle w:val="FootnoteReference"/>
          <w:rFonts w:asciiTheme="minorHAnsi" w:hAnsiTheme="minorHAnsi"/>
        </w:rPr>
        <w:footnoteReference w:id="181"/>
      </w:r>
    </w:p>
    <w:p w14:paraId="603E0CEA" w14:textId="77777777" w:rsidR="00012E2E" w:rsidRDefault="00012E2E" w:rsidP="00012E2E">
      <w:pPr>
        <w:spacing w:line="276" w:lineRule="auto"/>
        <w:ind w:left="567" w:right="170" w:hanging="567"/>
        <w:jc w:val="both"/>
        <w:rPr>
          <w:rFonts w:asciiTheme="minorHAnsi" w:hAnsiTheme="minorHAnsi"/>
        </w:rPr>
      </w:pPr>
    </w:p>
    <w:p w14:paraId="03690733" w14:textId="328E5C84" w:rsidR="00A70704" w:rsidRDefault="00A70704" w:rsidP="00A70704">
      <w:pPr>
        <w:pStyle w:val="Heading3"/>
      </w:pPr>
      <w:bookmarkStart w:id="1392" w:name="_Ref11070259"/>
      <w:bookmarkStart w:id="1393" w:name="_Ref11070263"/>
      <w:bookmarkStart w:id="1394" w:name="_Toc33602781"/>
      <w:r>
        <w:t>No scope for presumption of imprisonmen</w:t>
      </w:r>
      <w:r w:rsidR="007A3DE0">
        <w:t>t</w:t>
      </w:r>
      <w:r w:rsidR="00222670">
        <w:t xml:space="preserve"> for an offence</w:t>
      </w:r>
      <w:bookmarkEnd w:id="1392"/>
      <w:bookmarkEnd w:id="1393"/>
      <w:bookmarkEnd w:id="1394"/>
    </w:p>
    <w:p w14:paraId="6F45D9DC" w14:textId="77777777" w:rsidR="00A70704" w:rsidRPr="00576EEE" w:rsidRDefault="00A70704" w:rsidP="00A70704">
      <w:pPr>
        <w:pStyle w:val="NormalIndent"/>
        <w:keepNext/>
        <w:spacing w:line="276" w:lineRule="auto"/>
        <w:rPr>
          <w:rFonts w:ascii="Calibri" w:hAnsi="Calibri"/>
        </w:rPr>
      </w:pPr>
    </w:p>
    <w:p w14:paraId="5914E8FE" w14:textId="556A7EE8" w:rsidR="008C6F34" w:rsidRDefault="00260A8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EB7F1E">
        <w:rPr>
          <w:rFonts w:asciiTheme="minorHAnsi" w:hAnsiTheme="minorHAnsi"/>
          <w:i/>
        </w:rPr>
        <w:t>Kovacevic</w:t>
      </w:r>
      <w:r>
        <w:rPr>
          <w:rFonts w:asciiTheme="minorHAnsi" w:hAnsiTheme="minorHAnsi"/>
        </w:rPr>
        <w:t>,</w:t>
      </w:r>
      <w:r w:rsidRPr="00C00000">
        <w:rPr>
          <w:rStyle w:val="Style"/>
          <w:rFonts w:asciiTheme="minorHAnsi" w:hAnsiTheme="minorHAnsi"/>
        </w:rPr>
        <w:footnoteReference w:id="182"/>
      </w:r>
      <w:r>
        <w:rPr>
          <w:rFonts w:asciiTheme="minorHAnsi" w:hAnsiTheme="minorHAnsi"/>
        </w:rPr>
        <w:t xml:space="preserve"> a five-member bench of the Full Court of the Supreme Court of South Australia considered the proper approach to the sentencing of an offender for sustained and deliberate fraud on the Commonwealth. </w:t>
      </w:r>
      <w:r w:rsidR="0017640C">
        <w:rPr>
          <w:rFonts w:asciiTheme="minorHAnsi" w:hAnsiTheme="minorHAnsi"/>
        </w:rPr>
        <w:t xml:space="preserve"> The </w:t>
      </w:r>
      <w:r w:rsidR="007078BF">
        <w:rPr>
          <w:rFonts w:asciiTheme="minorHAnsi" w:hAnsiTheme="minorHAnsi"/>
        </w:rPr>
        <w:t>plurality (</w:t>
      </w:r>
      <w:r w:rsidR="007078BF" w:rsidRPr="007E575B">
        <w:rPr>
          <w:rFonts w:asciiTheme="minorHAnsi" w:hAnsiTheme="minorHAnsi"/>
        </w:rPr>
        <w:t>Doyle CJ, Mullighan, Bleby and Martin JJ</w:t>
      </w:r>
      <w:r w:rsidR="007078BF">
        <w:rPr>
          <w:rFonts w:asciiTheme="minorHAnsi" w:hAnsiTheme="minorHAnsi"/>
        </w:rPr>
        <w:t>)</w:t>
      </w:r>
      <w:r w:rsidR="0017640C">
        <w:rPr>
          <w:rFonts w:asciiTheme="minorHAnsi" w:hAnsiTheme="minorHAnsi"/>
        </w:rPr>
        <w:t xml:space="preserve"> affirmed that i</w:t>
      </w:r>
      <w:r w:rsidR="00ED5C85" w:rsidRPr="00EB7F1E">
        <w:rPr>
          <w:rFonts w:asciiTheme="minorHAnsi" w:hAnsiTheme="minorHAnsi"/>
        </w:rPr>
        <w:t xml:space="preserve">t is part of the function of an appellate court to set standards for sentencing </w:t>
      </w:r>
      <w:r w:rsidR="0017640C">
        <w:rPr>
          <w:rFonts w:asciiTheme="minorHAnsi" w:hAnsiTheme="minorHAnsi"/>
        </w:rPr>
        <w:t>and that i</w:t>
      </w:r>
      <w:r w:rsidR="00ED5C85" w:rsidRPr="00EB7F1E">
        <w:rPr>
          <w:rFonts w:asciiTheme="minorHAnsi" w:hAnsiTheme="minorHAnsi"/>
        </w:rPr>
        <w:t>n performing that function, the court may indicate that a certain type of offending is likely to attract a certain type of punishment (in particular imprisonment) and indicate an appropriate sentence range for particular types of offending.</w:t>
      </w:r>
      <w:r w:rsidR="0017640C" w:rsidRPr="00C00000">
        <w:rPr>
          <w:rStyle w:val="Style"/>
          <w:rFonts w:asciiTheme="minorHAnsi" w:hAnsiTheme="minorHAnsi"/>
        </w:rPr>
        <w:footnoteReference w:id="183"/>
      </w:r>
      <w:r w:rsidR="00ED5C85" w:rsidRPr="00EB7F1E">
        <w:rPr>
          <w:rFonts w:asciiTheme="minorHAnsi" w:hAnsiTheme="minorHAnsi"/>
        </w:rPr>
        <w:t xml:space="preserve">  </w:t>
      </w:r>
      <w:r w:rsidR="008C6F34">
        <w:rPr>
          <w:rFonts w:asciiTheme="minorHAnsi" w:hAnsiTheme="minorHAnsi"/>
        </w:rPr>
        <w:t xml:space="preserve">But </w:t>
      </w:r>
      <w:r w:rsidR="008C6F34" w:rsidRPr="00EB7F1E">
        <w:rPr>
          <w:rFonts w:asciiTheme="minorHAnsi" w:hAnsiTheme="minorHAnsi"/>
        </w:rPr>
        <w:t>a sentencing standard cannot dictate a result in every case, or remove the need for consideration of the facts of each case and the application of the relevant considerations to those facts</w:t>
      </w:r>
      <w:r w:rsidR="008C6F34" w:rsidRPr="004F2343">
        <w:rPr>
          <w:rStyle w:val="ssleftalign"/>
          <w:rFonts w:ascii="Calibri" w:hAnsi="Calibri"/>
        </w:rPr>
        <w:t>.</w:t>
      </w:r>
      <w:r w:rsidR="008C6F34" w:rsidRPr="00C00000">
        <w:rPr>
          <w:rStyle w:val="Style"/>
          <w:rFonts w:asciiTheme="minorHAnsi" w:hAnsiTheme="minorHAnsi"/>
        </w:rPr>
        <w:footnoteReference w:id="184"/>
      </w:r>
      <w:r w:rsidR="008C6F34" w:rsidRPr="004F2343">
        <w:rPr>
          <w:rStyle w:val="ssleftalign"/>
          <w:rFonts w:ascii="Calibri" w:hAnsi="Calibri"/>
        </w:rPr>
        <w:t xml:space="preserve">  </w:t>
      </w:r>
      <w:r w:rsidR="00BB7DA2">
        <w:rPr>
          <w:rFonts w:asciiTheme="minorHAnsi" w:hAnsiTheme="minorHAnsi"/>
        </w:rPr>
        <w:t xml:space="preserve">While it was proper to say, for example, that for a particular type of offence </w:t>
      </w:r>
      <w:r w:rsidR="00BB7DA2" w:rsidRPr="008C7BE9">
        <w:rPr>
          <w:rFonts w:asciiTheme="minorHAnsi" w:hAnsiTheme="minorHAnsi"/>
        </w:rPr>
        <w:t xml:space="preserve">an </w:t>
      </w:r>
      <w:r w:rsidR="00BB7DA2">
        <w:rPr>
          <w:rFonts w:asciiTheme="minorHAnsi" w:hAnsiTheme="minorHAnsi"/>
        </w:rPr>
        <w:t>immediate term of</w:t>
      </w:r>
      <w:r w:rsidR="00BB7DA2" w:rsidRPr="008C7BE9">
        <w:rPr>
          <w:rFonts w:asciiTheme="minorHAnsi" w:hAnsiTheme="minorHAnsi"/>
        </w:rPr>
        <w:t xml:space="preserve"> imprisonment is ordinarily likely to be required</w:t>
      </w:r>
      <w:r w:rsidR="00EB32EB">
        <w:rPr>
          <w:rFonts w:asciiTheme="minorHAnsi" w:hAnsiTheme="minorHAnsi"/>
        </w:rPr>
        <w:t xml:space="preserve"> (in order to give effect to the relevant sentencing principles)</w:t>
      </w:r>
      <w:r w:rsidR="00BB7DA2">
        <w:rPr>
          <w:rFonts w:asciiTheme="minorHAnsi" w:hAnsiTheme="minorHAnsi"/>
        </w:rPr>
        <w:t xml:space="preserve">, it was not appropriate to say that such a sentence is required </w:t>
      </w:r>
      <w:r w:rsidR="008C6F34" w:rsidRPr="00EB7F1E">
        <w:rPr>
          <w:rFonts w:asciiTheme="minorHAnsi" w:hAnsiTheme="minorHAnsi"/>
        </w:rPr>
        <w:t>absent truly exceptional circumstances.</w:t>
      </w:r>
      <w:r w:rsidR="00BB7DA2" w:rsidRPr="00C00000">
        <w:rPr>
          <w:rStyle w:val="Style"/>
          <w:rFonts w:asciiTheme="minorHAnsi" w:hAnsiTheme="minorHAnsi"/>
        </w:rPr>
        <w:footnoteReference w:id="185"/>
      </w:r>
    </w:p>
    <w:p w14:paraId="6B79AEC7" w14:textId="4D3865FA" w:rsidR="007078BF" w:rsidRPr="00EB7F1E" w:rsidRDefault="007078BF" w:rsidP="00EB7F1E">
      <w:pPr>
        <w:spacing w:line="276" w:lineRule="auto"/>
        <w:ind w:right="170"/>
        <w:rPr>
          <w:rFonts w:asciiTheme="minorHAnsi" w:hAnsiTheme="minorHAnsi"/>
        </w:rPr>
      </w:pPr>
    </w:p>
    <w:p w14:paraId="5496C365" w14:textId="5775B956" w:rsidR="0029036B" w:rsidRDefault="00B53BE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similar approach was taken by the </w:t>
      </w:r>
      <w:r w:rsidR="009F06CC">
        <w:rPr>
          <w:rFonts w:asciiTheme="minorHAnsi" w:hAnsiTheme="minorHAnsi"/>
        </w:rPr>
        <w:t xml:space="preserve">New South Wales </w:t>
      </w:r>
      <w:r>
        <w:rPr>
          <w:rFonts w:asciiTheme="minorHAnsi" w:hAnsiTheme="minorHAnsi"/>
        </w:rPr>
        <w:t xml:space="preserve">Court of Criminal Appeal, in relation to the sentencing of State offenders, in </w:t>
      </w:r>
      <w:r w:rsidRPr="00EB7F1E">
        <w:rPr>
          <w:rFonts w:asciiTheme="minorHAnsi" w:hAnsiTheme="minorHAnsi"/>
          <w:i/>
        </w:rPr>
        <w:t>Parente</w:t>
      </w:r>
      <w:r>
        <w:rPr>
          <w:rFonts w:asciiTheme="minorHAnsi" w:hAnsiTheme="minorHAnsi"/>
        </w:rPr>
        <w:t>.</w:t>
      </w:r>
      <w:r w:rsidRPr="00C00000">
        <w:rPr>
          <w:rStyle w:val="Style"/>
          <w:rFonts w:asciiTheme="minorHAnsi" w:hAnsiTheme="minorHAnsi"/>
        </w:rPr>
        <w:footnoteReference w:id="186"/>
      </w:r>
      <w:r w:rsidR="0029036B">
        <w:rPr>
          <w:rFonts w:asciiTheme="minorHAnsi" w:hAnsiTheme="minorHAnsi"/>
        </w:rPr>
        <w:t xml:space="preserve">  </w:t>
      </w:r>
      <w:r w:rsidR="00562AF5">
        <w:rPr>
          <w:rFonts w:asciiTheme="minorHAnsi" w:hAnsiTheme="minorHAnsi"/>
        </w:rPr>
        <w:t>A</w:t>
      </w:r>
      <w:r w:rsidR="0002466C">
        <w:rPr>
          <w:rFonts w:asciiTheme="minorHAnsi" w:hAnsiTheme="minorHAnsi"/>
        </w:rPr>
        <w:t>n appellate court must not cross the boundary between (</w:t>
      </w:r>
      <w:r w:rsidR="0029036B">
        <w:rPr>
          <w:rFonts w:asciiTheme="minorHAnsi" w:hAnsiTheme="minorHAnsi"/>
        </w:rPr>
        <w:t>proper</w:t>
      </w:r>
      <w:r w:rsidR="0002466C">
        <w:rPr>
          <w:rFonts w:asciiTheme="minorHAnsi" w:hAnsiTheme="minorHAnsi"/>
        </w:rPr>
        <w:t>ly)</w:t>
      </w:r>
      <w:r w:rsidR="0029036B">
        <w:rPr>
          <w:rFonts w:asciiTheme="minorHAnsi" w:hAnsiTheme="minorHAnsi"/>
        </w:rPr>
        <w:t xml:space="preserve"> </w:t>
      </w:r>
      <w:r w:rsidR="0002466C" w:rsidRPr="00EB7F1E">
        <w:rPr>
          <w:rFonts w:asciiTheme="minorHAnsi" w:hAnsiTheme="minorHAnsi"/>
        </w:rPr>
        <w:t xml:space="preserve">identifying the </w:t>
      </w:r>
      <w:r w:rsidR="00AA693C">
        <w:rPr>
          <w:rFonts w:asciiTheme="minorHAnsi" w:hAnsiTheme="minorHAnsi"/>
        </w:rPr>
        <w:t>‘</w:t>
      </w:r>
      <w:r w:rsidR="0002466C" w:rsidRPr="00EB7F1E">
        <w:rPr>
          <w:rFonts w:asciiTheme="minorHAnsi" w:hAnsiTheme="minorHAnsi"/>
        </w:rPr>
        <w:t>unifying principles</w:t>
      </w:r>
      <w:r w:rsidR="00AA693C">
        <w:rPr>
          <w:rFonts w:asciiTheme="minorHAnsi" w:hAnsiTheme="minorHAnsi"/>
        </w:rPr>
        <w:t>’</w:t>
      </w:r>
      <w:r w:rsidR="0002466C" w:rsidRPr="00EB7F1E">
        <w:rPr>
          <w:rFonts w:asciiTheme="minorHAnsi" w:hAnsiTheme="minorHAnsi"/>
        </w:rPr>
        <w:t xml:space="preserve"> to be applied in any sentencing decision and </w:t>
      </w:r>
      <w:r w:rsidR="0002466C">
        <w:rPr>
          <w:rFonts w:asciiTheme="minorHAnsi" w:hAnsiTheme="minorHAnsi"/>
        </w:rPr>
        <w:t xml:space="preserve">(impermissibly) </w:t>
      </w:r>
      <w:r w:rsidR="0002466C" w:rsidRPr="00EB7F1E">
        <w:rPr>
          <w:rFonts w:asciiTheme="minorHAnsi" w:hAnsiTheme="minorHAnsi"/>
        </w:rPr>
        <w:t>imposing an unlegislated judicially</w:t>
      </w:r>
      <w:r w:rsidR="00FF307D">
        <w:rPr>
          <w:rFonts w:asciiTheme="minorHAnsi" w:hAnsiTheme="minorHAnsi"/>
        </w:rPr>
        <w:t>-</w:t>
      </w:r>
      <w:r w:rsidR="0002466C" w:rsidRPr="00EB7F1E">
        <w:rPr>
          <w:rFonts w:asciiTheme="minorHAnsi" w:hAnsiTheme="minorHAnsi"/>
        </w:rPr>
        <w:t>created constraint on the sentencing discretion</w:t>
      </w:r>
      <w:r w:rsidR="0029036B">
        <w:rPr>
          <w:rFonts w:asciiTheme="minorHAnsi" w:hAnsiTheme="minorHAnsi"/>
        </w:rPr>
        <w:t>.</w:t>
      </w:r>
      <w:r w:rsidR="00562AF5" w:rsidRPr="00C00000">
        <w:rPr>
          <w:rStyle w:val="Style"/>
          <w:rFonts w:asciiTheme="minorHAnsi" w:hAnsiTheme="minorHAnsi"/>
        </w:rPr>
        <w:footnoteReference w:id="187"/>
      </w:r>
    </w:p>
    <w:p w14:paraId="217C0F00" w14:textId="77777777" w:rsidR="00A70704" w:rsidRPr="00151497" w:rsidRDefault="00A70704" w:rsidP="00A70704">
      <w:pPr>
        <w:spacing w:line="276" w:lineRule="auto"/>
        <w:ind w:right="170"/>
        <w:rPr>
          <w:rFonts w:asciiTheme="minorHAnsi" w:hAnsiTheme="minorHAnsi"/>
        </w:rPr>
      </w:pPr>
    </w:p>
    <w:p w14:paraId="227AF279" w14:textId="110A4D50" w:rsidR="00284086" w:rsidRDefault="00284086" w:rsidP="000C6ED8">
      <w:pPr>
        <w:pStyle w:val="Heading3"/>
      </w:pPr>
      <w:bookmarkStart w:id="1395" w:name="_Toc33602782"/>
      <w:r>
        <w:t>Assessing the seriousness of the offence by reference to the maximum penalty</w:t>
      </w:r>
      <w:bookmarkEnd w:id="1395"/>
    </w:p>
    <w:p w14:paraId="61B4D0AA" w14:textId="77777777" w:rsidR="00284086" w:rsidRPr="00576EEE" w:rsidRDefault="00284086" w:rsidP="000C6ED8">
      <w:pPr>
        <w:pStyle w:val="NormalIndent"/>
        <w:keepNext/>
        <w:spacing w:line="276" w:lineRule="auto"/>
        <w:rPr>
          <w:rFonts w:ascii="Calibri" w:hAnsi="Calibri"/>
        </w:rPr>
      </w:pPr>
    </w:p>
    <w:p w14:paraId="238886E8" w14:textId="5A53F321" w:rsidR="00335595" w:rsidRDefault="0015149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w:t>
      </w:r>
      <w:r w:rsidRPr="00151497">
        <w:rPr>
          <w:rFonts w:asciiTheme="minorHAnsi" w:hAnsiTheme="minorHAnsi"/>
        </w:rPr>
        <w:t xml:space="preserve">e maximum penalty is one of many factors that bear </w:t>
      </w:r>
      <w:r w:rsidR="000F58B8">
        <w:rPr>
          <w:rFonts w:asciiTheme="minorHAnsi" w:hAnsiTheme="minorHAnsi"/>
        </w:rPr>
        <w:t>up</w:t>
      </w:r>
      <w:r w:rsidRPr="00151497">
        <w:rPr>
          <w:rFonts w:asciiTheme="minorHAnsi" w:hAnsiTheme="minorHAnsi"/>
        </w:rPr>
        <w:t xml:space="preserve">on the ultimate discretionary determination of the sentence for the offence.  </w:t>
      </w:r>
      <w:r>
        <w:rPr>
          <w:rFonts w:asciiTheme="minorHAnsi" w:hAnsiTheme="minorHAnsi"/>
        </w:rPr>
        <w:t>T</w:t>
      </w:r>
      <w:r w:rsidR="00335595" w:rsidRPr="00151497">
        <w:rPr>
          <w:rFonts w:asciiTheme="minorHAnsi" w:hAnsiTheme="minorHAnsi"/>
        </w:rPr>
        <w:t>he maximum penalty represents the legislature</w:t>
      </w:r>
      <w:r w:rsidR="00AA693C">
        <w:rPr>
          <w:rFonts w:asciiTheme="minorHAnsi" w:hAnsiTheme="minorHAnsi"/>
        </w:rPr>
        <w:t>’</w:t>
      </w:r>
      <w:r w:rsidR="00335595" w:rsidRPr="00151497">
        <w:rPr>
          <w:rFonts w:asciiTheme="minorHAnsi" w:hAnsiTheme="minorHAnsi"/>
        </w:rPr>
        <w:t>s assessment of the seriousness of the offence and for this reason provides a sentencing yardstick.</w:t>
      </w:r>
      <w:r w:rsidRPr="00C00000">
        <w:rPr>
          <w:rStyle w:val="Style"/>
          <w:rFonts w:asciiTheme="minorHAnsi" w:hAnsiTheme="minorHAnsi"/>
        </w:rPr>
        <w:footnoteReference w:id="188"/>
      </w:r>
    </w:p>
    <w:p w14:paraId="1C975CC3" w14:textId="77777777" w:rsidR="00151497" w:rsidRPr="00151497" w:rsidRDefault="00151497" w:rsidP="00151497">
      <w:pPr>
        <w:spacing w:line="276" w:lineRule="auto"/>
        <w:ind w:right="170"/>
        <w:rPr>
          <w:rFonts w:asciiTheme="minorHAnsi" w:hAnsiTheme="minorHAnsi"/>
        </w:rPr>
      </w:pPr>
    </w:p>
    <w:p w14:paraId="0EAACFB3" w14:textId="77777777" w:rsidR="00251378" w:rsidRDefault="00284086"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The maximum sentence available for the offence can underscore the relevance of general deterrence</w:t>
      </w:r>
      <w:r w:rsidRPr="00C00000">
        <w:rPr>
          <w:rStyle w:val="Style"/>
          <w:rFonts w:asciiTheme="minorHAnsi" w:hAnsiTheme="minorHAnsi"/>
        </w:rPr>
        <w:footnoteReference w:id="189"/>
      </w:r>
      <w:r w:rsidRPr="00C00000">
        <w:rPr>
          <w:rFonts w:asciiTheme="minorHAnsi" w:hAnsiTheme="minorHAnsi"/>
        </w:rPr>
        <w:t xml:space="preserve"> and serves as a basis of comparison between the case before the Court and the worst </w:t>
      </w:r>
      <w:r w:rsidR="00B04F3D">
        <w:rPr>
          <w:rFonts w:asciiTheme="minorHAnsi" w:hAnsiTheme="minorHAnsi"/>
        </w:rPr>
        <w:t xml:space="preserve">category of </w:t>
      </w:r>
      <w:r w:rsidRPr="00C00000">
        <w:rPr>
          <w:rFonts w:asciiTheme="minorHAnsi" w:hAnsiTheme="minorHAnsi"/>
        </w:rPr>
        <w:t>case.</w:t>
      </w:r>
      <w:r w:rsidRPr="00C00000">
        <w:rPr>
          <w:rStyle w:val="Style"/>
          <w:rFonts w:asciiTheme="minorHAnsi" w:hAnsiTheme="minorHAnsi"/>
        </w:rPr>
        <w:footnoteReference w:id="190"/>
      </w:r>
    </w:p>
    <w:p w14:paraId="70CF8434" w14:textId="77777777" w:rsidR="00251378" w:rsidRPr="00EB7F1E" w:rsidRDefault="00251378" w:rsidP="00EB7F1E">
      <w:pPr>
        <w:pStyle w:val="ListParagraph"/>
        <w:rPr>
          <w:rFonts w:asciiTheme="minorHAnsi" w:hAnsiTheme="minorHAnsi"/>
        </w:rPr>
      </w:pPr>
    </w:p>
    <w:p w14:paraId="70B5F940" w14:textId="61A31F7D" w:rsidR="00284086" w:rsidRPr="00C00000" w:rsidRDefault="008024D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An offence may fall into the worst category of case, and therefore warrant the imposition of the maximum prescribed penalty, </w:t>
      </w:r>
      <w:r w:rsidRPr="008024DE">
        <w:rPr>
          <w:rFonts w:asciiTheme="minorHAnsi" w:hAnsiTheme="minorHAnsi"/>
        </w:rPr>
        <w:t>notwithstanding that it is possible to imagine an even worse instance of the offence.</w:t>
      </w:r>
      <w:r w:rsidR="00BD47B3" w:rsidRPr="00C00000">
        <w:rPr>
          <w:rStyle w:val="Style"/>
          <w:rFonts w:asciiTheme="minorHAnsi" w:hAnsiTheme="minorHAnsi"/>
        </w:rPr>
        <w:footnoteReference w:id="191"/>
      </w:r>
      <w:r>
        <w:rPr>
          <w:rFonts w:asciiTheme="minorHAnsi" w:hAnsiTheme="minorHAnsi"/>
        </w:rPr>
        <w:t xml:space="preserve"> </w:t>
      </w:r>
      <w:r w:rsidR="003572A1">
        <w:rPr>
          <w:rFonts w:asciiTheme="minorHAnsi" w:hAnsiTheme="minorHAnsi"/>
        </w:rPr>
        <w:t xml:space="preserve"> However sentencing judges should avoid referring to an offence as being, or not being, within the “worst category”</w:t>
      </w:r>
      <w:r w:rsidR="00FB628C">
        <w:rPr>
          <w:rFonts w:asciiTheme="minorHAnsi" w:hAnsiTheme="minorHAnsi"/>
        </w:rPr>
        <w:t>, as the term may be confusing, may be misunderstood and may lead to error</w:t>
      </w:r>
      <w:r w:rsidR="003572A1">
        <w:rPr>
          <w:rFonts w:asciiTheme="minorHAnsi" w:hAnsiTheme="minorHAnsi"/>
        </w:rPr>
        <w:t>; w</w:t>
      </w:r>
      <w:r w:rsidR="003572A1" w:rsidRPr="003572A1">
        <w:rPr>
          <w:rFonts w:asciiTheme="minorHAnsi" w:hAnsiTheme="minorHAnsi"/>
        </w:rPr>
        <w:t xml:space="preserve">here relevant, </w:t>
      </w:r>
      <w:r w:rsidR="003572A1">
        <w:rPr>
          <w:rFonts w:asciiTheme="minorHAnsi" w:hAnsiTheme="minorHAnsi"/>
        </w:rPr>
        <w:t xml:space="preserve">the judge should </w:t>
      </w:r>
      <w:r w:rsidR="003572A1" w:rsidRPr="003572A1">
        <w:rPr>
          <w:rFonts w:asciiTheme="minorHAnsi" w:hAnsiTheme="minorHAnsi"/>
        </w:rPr>
        <w:t>state in full whether the offence is or is not so grave as to warrant the maximum prescribed penalty</w:t>
      </w:r>
      <w:r w:rsidR="003572A1">
        <w:rPr>
          <w:rFonts w:asciiTheme="minorHAnsi" w:hAnsiTheme="minorHAnsi"/>
        </w:rPr>
        <w:t>.</w:t>
      </w:r>
      <w:r w:rsidR="003572A1" w:rsidRPr="00C00000">
        <w:rPr>
          <w:rStyle w:val="Style"/>
          <w:rFonts w:asciiTheme="minorHAnsi" w:hAnsiTheme="minorHAnsi"/>
        </w:rPr>
        <w:footnoteReference w:id="192"/>
      </w:r>
    </w:p>
    <w:p w14:paraId="1027F0E2" w14:textId="77777777" w:rsidR="00284086" w:rsidRDefault="00284086" w:rsidP="00284086">
      <w:pPr>
        <w:spacing w:line="276" w:lineRule="auto"/>
        <w:ind w:left="567" w:right="170" w:hanging="567"/>
        <w:jc w:val="both"/>
        <w:rPr>
          <w:rFonts w:asciiTheme="minorHAnsi" w:hAnsiTheme="minorHAnsi"/>
        </w:rPr>
      </w:pPr>
    </w:p>
    <w:p w14:paraId="6750BF7A" w14:textId="61B97FCC" w:rsidR="001E337B" w:rsidRDefault="007752B9" w:rsidP="000C6ED8">
      <w:pPr>
        <w:pStyle w:val="Heading3"/>
      </w:pPr>
      <w:bookmarkStart w:id="1396" w:name="_Toc33602783"/>
      <w:r>
        <w:t>The availability of another offence with a lesser maximum penalty</w:t>
      </w:r>
      <w:bookmarkEnd w:id="1396"/>
    </w:p>
    <w:p w14:paraId="1FCEA010" w14:textId="77777777" w:rsidR="00284086" w:rsidRPr="00576EEE" w:rsidRDefault="00284086" w:rsidP="000C6ED8">
      <w:pPr>
        <w:pStyle w:val="NormalIndent"/>
        <w:keepNext/>
        <w:spacing w:line="276" w:lineRule="auto"/>
        <w:rPr>
          <w:rFonts w:ascii="Calibri" w:hAnsi="Calibri"/>
        </w:rPr>
      </w:pPr>
    </w:p>
    <w:p w14:paraId="58513A48" w14:textId="77B82722" w:rsidR="00934B82" w:rsidRDefault="00DB4B71"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In </w:t>
      </w:r>
      <w:r w:rsidRPr="00DB4B71">
        <w:rPr>
          <w:rFonts w:asciiTheme="minorHAnsi" w:hAnsiTheme="minorHAnsi" w:cs="Arial"/>
          <w:i/>
          <w:szCs w:val="22"/>
        </w:rPr>
        <w:t>Liang</w:t>
      </w:r>
      <w:r>
        <w:rPr>
          <w:rFonts w:asciiTheme="minorHAnsi" w:hAnsiTheme="minorHAnsi" w:cs="Arial"/>
          <w:szCs w:val="22"/>
        </w:rPr>
        <w:t>,</w:t>
      </w:r>
      <w:r w:rsidRPr="00C00000">
        <w:rPr>
          <w:rStyle w:val="Style"/>
          <w:rFonts w:asciiTheme="minorHAnsi" w:hAnsiTheme="minorHAnsi"/>
        </w:rPr>
        <w:footnoteReference w:id="193"/>
      </w:r>
      <w:r>
        <w:rPr>
          <w:rFonts w:asciiTheme="minorHAnsi" w:hAnsiTheme="minorHAnsi" w:cs="Arial"/>
          <w:szCs w:val="22"/>
        </w:rPr>
        <w:t xml:space="preserve"> the Victorian Court of Appeal held that a </w:t>
      </w:r>
      <w:r w:rsidRPr="00E90120">
        <w:rPr>
          <w:rFonts w:asciiTheme="minorHAnsi" w:hAnsiTheme="minorHAnsi"/>
        </w:rPr>
        <w:t>sentencing</w:t>
      </w:r>
      <w:r>
        <w:rPr>
          <w:rFonts w:asciiTheme="minorHAnsi" w:hAnsiTheme="minorHAnsi" w:cs="Arial"/>
          <w:szCs w:val="22"/>
        </w:rPr>
        <w:t xml:space="preserve"> judge must </w:t>
      </w:r>
      <w:r w:rsidR="007752B9" w:rsidRPr="00C00000">
        <w:rPr>
          <w:rFonts w:asciiTheme="minorHAnsi" w:hAnsiTheme="minorHAnsi" w:cs="Arial"/>
          <w:szCs w:val="22"/>
        </w:rPr>
        <w:t xml:space="preserve">take into account in mitigation of sentence that there was a </w:t>
      </w:r>
      <w:r w:rsidR="00AA693C">
        <w:rPr>
          <w:rFonts w:asciiTheme="minorHAnsi" w:hAnsiTheme="minorHAnsi" w:cs="Arial"/>
          <w:szCs w:val="22"/>
        </w:rPr>
        <w:t>‘</w:t>
      </w:r>
      <w:r w:rsidR="007752B9" w:rsidRPr="00C00000">
        <w:rPr>
          <w:rFonts w:asciiTheme="minorHAnsi" w:hAnsiTheme="minorHAnsi" w:cs="Arial"/>
          <w:szCs w:val="22"/>
        </w:rPr>
        <w:t>less punitive offence</w:t>
      </w:r>
      <w:r w:rsidR="00AA693C">
        <w:rPr>
          <w:rFonts w:asciiTheme="minorHAnsi" w:hAnsiTheme="minorHAnsi" w:cs="Arial"/>
          <w:szCs w:val="22"/>
        </w:rPr>
        <w:t>’</w:t>
      </w:r>
      <w:r w:rsidR="007752B9" w:rsidRPr="00C00000">
        <w:rPr>
          <w:rFonts w:asciiTheme="minorHAnsi" w:hAnsiTheme="minorHAnsi" w:cs="Arial"/>
          <w:szCs w:val="22"/>
        </w:rPr>
        <w:t xml:space="preserve"> on which the prosecution could have proceeded and which was </w:t>
      </w:r>
      <w:r w:rsidR="00AA693C">
        <w:rPr>
          <w:rFonts w:asciiTheme="minorHAnsi" w:hAnsiTheme="minorHAnsi" w:cs="Arial"/>
          <w:szCs w:val="22"/>
        </w:rPr>
        <w:t>‘</w:t>
      </w:r>
      <w:r w:rsidR="007752B9" w:rsidRPr="00C00000">
        <w:rPr>
          <w:rFonts w:asciiTheme="minorHAnsi" w:hAnsiTheme="minorHAnsi" w:cs="Arial"/>
          <w:szCs w:val="22"/>
        </w:rPr>
        <w:t>as appropriate or even more appropriate</w:t>
      </w:r>
      <w:r w:rsidR="00AA693C">
        <w:rPr>
          <w:rFonts w:asciiTheme="minorHAnsi" w:hAnsiTheme="minorHAnsi" w:cs="Arial"/>
          <w:szCs w:val="22"/>
        </w:rPr>
        <w:t>’</w:t>
      </w:r>
      <w:r w:rsidR="007752B9" w:rsidRPr="00C00000">
        <w:rPr>
          <w:rFonts w:asciiTheme="minorHAnsi" w:hAnsiTheme="minorHAnsi" w:cs="Arial"/>
          <w:szCs w:val="22"/>
        </w:rPr>
        <w:t xml:space="preserve"> to the facts than the charge for which the offender fell to be sentenced.</w:t>
      </w:r>
      <w:r w:rsidR="00934B82">
        <w:rPr>
          <w:rFonts w:asciiTheme="minorHAnsi" w:hAnsiTheme="minorHAnsi" w:cs="Arial"/>
          <w:szCs w:val="22"/>
        </w:rPr>
        <w:t xml:space="preserve">  </w:t>
      </w:r>
    </w:p>
    <w:p w14:paraId="779F7AC9" w14:textId="77777777" w:rsidR="00934B82" w:rsidRPr="00934B82" w:rsidRDefault="00934B82" w:rsidP="00934B82">
      <w:pPr>
        <w:spacing w:line="276" w:lineRule="auto"/>
        <w:ind w:right="170"/>
        <w:rPr>
          <w:rFonts w:asciiTheme="minorHAnsi" w:hAnsiTheme="minorHAnsi" w:cs="Arial"/>
          <w:szCs w:val="22"/>
        </w:rPr>
      </w:pPr>
    </w:p>
    <w:p w14:paraId="54DF3923" w14:textId="1A7C2CC0" w:rsidR="007752B9" w:rsidRDefault="00DB4B71"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In </w:t>
      </w:r>
      <w:r w:rsidRPr="000244F1">
        <w:rPr>
          <w:rFonts w:asciiTheme="minorHAnsi" w:hAnsiTheme="minorHAnsi" w:cs="Arial"/>
          <w:i/>
          <w:szCs w:val="22"/>
        </w:rPr>
        <w:t>Elias</w:t>
      </w:r>
      <w:r>
        <w:rPr>
          <w:rFonts w:asciiTheme="minorHAnsi" w:hAnsiTheme="minorHAnsi" w:cs="Arial"/>
          <w:szCs w:val="22"/>
        </w:rPr>
        <w:t>,</w:t>
      </w:r>
      <w:r w:rsidR="000244F1" w:rsidRPr="00C00000">
        <w:rPr>
          <w:rStyle w:val="Style"/>
          <w:rFonts w:asciiTheme="minorHAnsi" w:hAnsiTheme="minorHAnsi"/>
        </w:rPr>
        <w:footnoteReference w:id="194"/>
      </w:r>
      <w:r>
        <w:rPr>
          <w:rFonts w:asciiTheme="minorHAnsi" w:hAnsiTheme="minorHAnsi" w:cs="Arial"/>
          <w:szCs w:val="22"/>
        </w:rPr>
        <w:t xml:space="preserve"> </w:t>
      </w:r>
      <w:r w:rsidR="007752B9" w:rsidRPr="00C00000">
        <w:rPr>
          <w:rFonts w:asciiTheme="minorHAnsi" w:hAnsiTheme="minorHAnsi" w:cs="Arial"/>
          <w:szCs w:val="22"/>
        </w:rPr>
        <w:t xml:space="preserve">the High Court </w:t>
      </w:r>
      <w:r>
        <w:rPr>
          <w:rFonts w:asciiTheme="minorHAnsi" w:hAnsiTheme="minorHAnsi" w:cs="Arial"/>
          <w:szCs w:val="22"/>
        </w:rPr>
        <w:t xml:space="preserve">disapproved </w:t>
      </w:r>
      <w:r w:rsidRPr="00E90120">
        <w:rPr>
          <w:rFonts w:asciiTheme="minorHAnsi" w:hAnsiTheme="minorHAnsi"/>
        </w:rPr>
        <w:t>the</w:t>
      </w:r>
      <w:r>
        <w:rPr>
          <w:rFonts w:asciiTheme="minorHAnsi" w:hAnsiTheme="minorHAnsi" w:cs="Arial"/>
          <w:szCs w:val="22"/>
        </w:rPr>
        <w:t xml:space="preserve"> decision in </w:t>
      </w:r>
      <w:r w:rsidR="007752B9" w:rsidRPr="00C00000">
        <w:rPr>
          <w:rFonts w:asciiTheme="minorHAnsi" w:hAnsiTheme="minorHAnsi" w:cs="Arial"/>
          <w:i/>
          <w:szCs w:val="22"/>
        </w:rPr>
        <w:t>Liang</w:t>
      </w:r>
      <w:r w:rsidR="007752B9" w:rsidRPr="00C00000">
        <w:rPr>
          <w:rFonts w:asciiTheme="minorHAnsi" w:hAnsiTheme="minorHAnsi" w:cs="Arial"/>
          <w:szCs w:val="22"/>
        </w:rPr>
        <w:t xml:space="preserve">, and </w:t>
      </w:r>
      <w:r w:rsidR="000244F1">
        <w:rPr>
          <w:rFonts w:asciiTheme="minorHAnsi" w:hAnsiTheme="minorHAnsi" w:cs="Arial"/>
          <w:szCs w:val="22"/>
        </w:rPr>
        <w:t xml:space="preserve">held </w:t>
      </w:r>
      <w:r w:rsidR="007752B9" w:rsidRPr="00C00000">
        <w:rPr>
          <w:rFonts w:asciiTheme="minorHAnsi" w:hAnsiTheme="minorHAnsi" w:cs="Arial"/>
          <w:szCs w:val="22"/>
        </w:rPr>
        <w:t xml:space="preserve">that </w:t>
      </w:r>
      <w:r w:rsidR="00AA693C">
        <w:rPr>
          <w:rFonts w:asciiTheme="minorHAnsi" w:hAnsiTheme="minorHAnsi" w:cs="Arial"/>
          <w:szCs w:val="22"/>
        </w:rPr>
        <w:t>‘</w:t>
      </w:r>
      <w:r w:rsidR="007752B9" w:rsidRPr="00C00000">
        <w:rPr>
          <w:rFonts w:asciiTheme="minorHAnsi" w:hAnsiTheme="minorHAnsi" w:cs="Arial"/>
          <w:i/>
          <w:szCs w:val="22"/>
        </w:rPr>
        <w:t>There is no warrant under the common law of sentencing for a judge to take into account the lesser maximum penalty for an offence for which the offender could have been, but had not been, convicted</w:t>
      </w:r>
      <w:r w:rsidR="00AA693C">
        <w:rPr>
          <w:rFonts w:asciiTheme="minorHAnsi" w:hAnsiTheme="minorHAnsi" w:cs="Arial"/>
          <w:i/>
          <w:szCs w:val="22"/>
        </w:rPr>
        <w:t>’</w:t>
      </w:r>
      <w:r w:rsidR="007752B9" w:rsidRPr="00C00000">
        <w:rPr>
          <w:rFonts w:asciiTheme="minorHAnsi" w:hAnsiTheme="minorHAnsi" w:cs="Arial"/>
          <w:szCs w:val="22"/>
        </w:rPr>
        <w:t>.</w:t>
      </w:r>
      <w:r w:rsidR="007752B9" w:rsidRPr="00C00000">
        <w:rPr>
          <w:rStyle w:val="Style"/>
          <w:rFonts w:asciiTheme="minorHAnsi" w:hAnsiTheme="minorHAnsi"/>
        </w:rPr>
        <w:footnoteReference w:id="195"/>
      </w:r>
      <w:r w:rsidR="00934B82">
        <w:rPr>
          <w:rFonts w:asciiTheme="minorHAnsi" w:hAnsiTheme="minorHAnsi" w:cs="Arial"/>
          <w:szCs w:val="22"/>
        </w:rPr>
        <w:t xml:space="preserve">  </w:t>
      </w:r>
    </w:p>
    <w:p w14:paraId="0BE6B2FB" w14:textId="77777777" w:rsidR="000244F1" w:rsidRPr="000244F1" w:rsidRDefault="000244F1" w:rsidP="000244F1">
      <w:pPr>
        <w:spacing w:line="276" w:lineRule="auto"/>
        <w:ind w:right="170"/>
        <w:rPr>
          <w:rFonts w:asciiTheme="minorHAnsi" w:hAnsiTheme="minorHAnsi" w:cs="Arial"/>
          <w:szCs w:val="22"/>
        </w:rPr>
      </w:pPr>
    </w:p>
    <w:p w14:paraId="4AAFCEEB" w14:textId="6A328598" w:rsidR="000244F1" w:rsidRPr="00C00000" w:rsidRDefault="000244F1"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Accordingly, a sentence to be imposed on a federal </w:t>
      </w:r>
      <w:r w:rsidRPr="00E90120">
        <w:rPr>
          <w:rFonts w:asciiTheme="minorHAnsi" w:hAnsiTheme="minorHAnsi"/>
        </w:rPr>
        <w:t>offender</w:t>
      </w:r>
      <w:r>
        <w:rPr>
          <w:rFonts w:asciiTheme="minorHAnsi" w:hAnsiTheme="minorHAnsi" w:cs="Arial"/>
          <w:szCs w:val="22"/>
        </w:rPr>
        <w:t xml:space="preserve"> should not be mitigated on the basis that the offender could have been charged with a less serious offence (whether against a law of the Commonwealth or a law of a State or Territory).</w:t>
      </w:r>
    </w:p>
    <w:p w14:paraId="129FDDD1" w14:textId="77777777" w:rsidR="007752B9" w:rsidRPr="00C00000" w:rsidRDefault="007752B9" w:rsidP="00B07342">
      <w:pPr>
        <w:pStyle w:val="ListParagraph"/>
        <w:spacing w:line="276" w:lineRule="auto"/>
        <w:ind w:left="567" w:right="170"/>
        <w:contextualSpacing w:val="0"/>
        <w:rPr>
          <w:rFonts w:asciiTheme="minorHAnsi" w:eastAsiaTheme="minorEastAsia" w:hAnsiTheme="minorHAnsi" w:cstheme="minorBidi"/>
          <w:b/>
          <w:bCs/>
          <w:noProof/>
          <w:szCs w:val="22"/>
        </w:rPr>
      </w:pPr>
    </w:p>
    <w:p w14:paraId="1A0D5632" w14:textId="6CB41E9B" w:rsidR="001E337B" w:rsidRPr="00EB7F1E" w:rsidRDefault="00F863FA">
      <w:pPr>
        <w:pStyle w:val="Heading2"/>
      </w:pPr>
      <w:bookmarkStart w:id="1397" w:name="_Ref494462019"/>
      <w:bookmarkStart w:id="1398" w:name="_Ref494462027"/>
      <w:bookmarkStart w:id="1399" w:name="_Toc33602784"/>
      <w:r w:rsidRPr="00EB7F1E">
        <w:t>O</w:t>
      </w:r>
      <w:r w:rsidR="0053432F" w:rsidRPr="00EB7F1E">
        <w:t>ther sentences not yet served</w:t>
      </w:r>
      <w:r w:rsidR="00E32BAF" w:rsidRPr="00EB7F1E">
        <w:t xml:space="preserve"> </w:t>
      </w:r>
      <w:r w:rsidRPr="00EB7F1E">
        <w:t>–</w:t>
      </w:r>
      <w:r w:rsidR="00E32BAF" w:rsidRPr="00EB7F1E">
        <w:t xml:space="preserve"> </w:t>
      </w:r>
      <w:r w:rsidRPr="00EB7F1E">
        <w:t>s 16B</w:t>
      </w:r>
      <w:r w:rsidR="007752B9" w:rsidRPr="00EB7F1E">
        <w:t xml:space="preserve"> (totality principle)</w:t>
      </w:r>
      <w:bookmarkEnd w:id="1397"/>
      <w:bookmarkEnd w:id="1398"/>
      <w:bookmarkEnd w:id="1399"/>
    </w:p>
    <w:p w14:paraId="0CB089A5" w14:textId="77777777" w:rsidR="0053432F" w:rsidRPr="00C00000" w:rsidRDefault="0053432F" w:rsidP="000C6ED8">
      <w:pPr>
        <w:keepNext/>
        <w:spacing w:line="276" w:lineRule="auto"/>
        <w:ind w:left="567" w:right="170" w:hanging="567"/>
        <w:jc w:val="both"/>
        <w:rPr>
          <w:rFonts w:asciiTheme="minorHAnsi" w:hAnsiTheme="minorHAnsi"/>
        </w:rPr>
      </w:pPr>
    </w:p>
    <w:p w14:paraId="37331812" w14:textId="6272175D" w:rsidR="00A800E3" w:rsidRDefault="00B9435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16B </w:t>
      </w:r>
      <w:r w:rsidR="00AB4D81">
        <w:rPr>
          <w:rFonts w:asciiTheme="minorHAnsi" w:hAnsiTheme="minorHAnsi"/>
        </w:rPr>
        <w:t xml:space="preserve">of the </w:t>
      </w:r>
      <w:r w:rsidR="00885EFD" w:rsidRPr="00885EFD">
        <w:rPr>
          <w:rFonts w:asciiTheme="minorHAnsi" w:hAnsiTheme="minorHAnsi"/>
          <w:i/>
        </w:rPr>
        <w:t>Crimes Act 1914</w:t>
      </w:r>
      <w:r w:rsidR="00AB4D81">
        <w:rPr>
          <w:rFonts w:asciiTheme="minorHAnsi" w:hAnsiTheme="minorHAnsi"/>
        </w:rPr>
        <w:t xml:space="preserve"> (Cth) </w:t>
      </w:r>
      <w:r w:rsidRPr="00C00000">
        <w:rPr>
          <w:rFonts w:asciiTheme="minorHAnsi" w:hAnsiTheme="minorHAnsi"/>
        </w:rPr>
        <w:t>requires a Court in sentencing a federal offender to have regard to any sentence (federal</w:t>
      </w:r>
      <w:r w:rsidR="00CD760E">
        <w:rPr>
          <w:rFonts w:asciiTheme="minorHAnsi" w:hAnsiTheme="minorHAnsi"/>
        </w:rPr>
        <w:t>,</w:t>
      </w:r>
      <w:r w:rsidRPr="00C00000">
        <w:rPr>
          <w:rFonts w:asciiTheme="minorHAnsi" w:hAnsiTheme="minorHAnsi"/>
        </w:rPr>
        <w:t xml:space="preserve"> </w:t>
      </w:r>
      <w:r w:rsidR="00CD760E" w:rsidRPr="00C00000">
        <w:rPr>
          <w:rFonts w:asciiTheme="minorHAnsi" w:hAnsiTheme="minorHAnsi"/>
        </w:rPr>
        <w:t xml:space="preserve">state </w:t>
      </w:r>
      <w:r w:rsidRPr="00C00000">
        <w:rPr>
          <w:rFonts w:asciiTheme="minorHAnsi" w:hAnsiTheme="minorHAnsi"/>
        </w:rPr>
        <w:t>or territory) that the offender has not served</w:t>
      </w:r>
      <w:r w:rsidR="00714C22">
        <w:rPr>
          <w:rFonts w:asciiTheme="minorHAnsi" w:hAnsiTheme="minorHAnsi"/>
        </w:rPr>
        <w:t>,</w:t>
      </w:r>
      <w:r w:rsidRPr="00C00000">
        <w:rPr>
          <w:rFonts w:asciiTheme="minorHAnsi" w:hAnsiTheme="minorHAnsi"/>
        </w:rPr>
        <w:t xml:space="preserve"> or any sentence liable to be served through the revocation of a pa</w:t>
      </w:r>
      <w:r w:rsidR="00A800E3">
        <w:rPr>
          <w:rFonts w:asciiTheme="minorHAnsi" w:hAnsiTheme="minorHAnsi"/>
        </w:rPr>
        <w:t>role order or licence granted.</w:t>
      </w:r>
    </w:p>
    <w:p w14:paraId="7AE8A8F3" w14:textId="77777777" w:rsidR="00A800E3" w:rsidRPr="00A800E3" w:rsidRDefault="00A800E3" w:rsidP="00A800E3">
      <w:pPr>
        <w:spacing w:line="276" w:lineRule="auto"/>
        <w:ind w:right="170"/>
        <w:rPr>
          <w:rFonts w:asciiTheme="minorHAnsi" w:hAnsiTheme="minorHAnsi"/>
        </w:rPr>
      </w:pPr>
    </w:p>
    <w:p w14:paraId="2226415D" w14:textId="6EF17AC8" w:rsidR="00B9435C" w:rsidRDefault="00B9435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Th</w:t>
      </w:r>
      <w:r w:rsidR="00AB4D81">
        <w:rPr>
          <w:rFonts w:asciiTheme="minorHAnsi" w:hAnsiTheme="minorHAnsi"/>
        </w:rPr>
        <w:t>e Act</w:t>
      </w:r>
      <w:r w:rsidRPr="00C00000">
        <w:rPr>
          <w:rFonts w:asciiTheme="minorHAnsi" w:hAnsiTheme="minorHAnsi"/>
        </w:rPr>
        <w:t xml:space="preserve"> </w:t>
      </w:r>
      <w:r w:rsidR="00AB4D81">
        <w:rPr>
          <w:rFonts w:asciiTheme="minorHAnsi" w:hAnsiTheme="minorHAnsi"/>
        </w:rPr>
        <w:t>a</w:t>
      </w:r>
      <w:r w:rsidR="00195A9B">
        <w:rPr>
          <w:rFonts w:asciiTheme="minorHAnsi" w:hAnsiTheme="minorHAnsi"/>
        </w:rPr>
        <w:t>ccommodates</w:t>
      </w:r>
      <w:r w:rsidR="00D447D7">
        <w:rPr>
          <w:rFonts w:asciiTheme="minorHAnsi" w:hAnsiTheme="minorHAnsi"/>
        </w:rPr>
        <w:t xml:space="preserve"> </w:t>
      </w:r>
      <w:r w:rsidRPr="00C00000">
        <w:rPr>
          <w:rFonts w:asciiTheme="minorHAnsi" w:hAnsiTheme="minorHAnsi"/>
        </w:rPr>
        <w:t>th</w:t>
      </w:r>
      <w:r w:rsidR="00A800E3">
        <w:rPr>
          <w:rFonts w:asciiTheme="minorHAnsi" w:hAnsiTheme="minorHAnsi"/>
        </w:rPr>
        <w:t xml:space="preserve">e </w:t>
      </w:r>
      <w:r w:rsidR="00195A9B">
        <w:rPr>
          <w:rFonts w:asciiTheme="minorHAnsi" w:hAnsiTheme="minorHAnsi"/>
        </w:rPr>
        <w:t xml:space="preserve">application of the </w:t>
      </w:r>
      <w:r w:rsidR="00A800E3">
        <w:rPr>
          <w:rFonts w:asciiTheme="minorHAnsi" w:hAnsiTheme="minorHAnsi"/>
        </w:rPr>
        <w:t xml:space="preserve">common law </w:t>
      </w:r>
      <w:r w:rsidR="00195A9B">
        <w:rPr>
          <w:rFonts w:asciiTheme="minorHAnsi" w:hAnsiTheme="minorHAnsi"/>
        </w:rPr>
        <w:t xml:space="preserve">principle of </w:t>
      </w:r>
      <w:r w:rsidR="00A800E3">
        <w:rPr>
          <w:rFonts w:asciiTheme="minorHAnsi" w:hAnsiTheme="minorHAnsi"/>
        </w:rPr>
        <w:t>totality</w:t>
      </w:r>
      <w:r w:rsidR="002A35E3">
        <w:rPr>
          <w:rFonts w:asciiTheme="minorHAnsi" w:hAnsiTheme="minorHAnsi"/>
        </w:rPr>
        <w:t>:</w:t>
      </w:r>
      <w:r w:rsidR="00D447D7" w:rsidRPr="00C00000">
        <w:rPr>
          <w:rStyle w:val="Style"/>
          <w:rFonts w:asciiTheme="minorHAnsi" w:hAnsiTheme="minorHAnsi"/>
        </w:rPr>
        <w:footnoteReference w:id="196"/>
      </w:r>
      <w:r w:rsidR="00A800E3">
        <w:rPr>
          <w:rFonts w:asciiTheme="minorHAnsi" w:hAnsiTheme="minorHAnsi"/>
        </w:rPr>
        <w:t xml:space="preserve"> </w:t>
      </w:r>
      <w:r w:rsidR="00D447D7">
        <w:rPr>
          <w:rFonts w:asciiTheme="minorHAnsi" w:hAnsiTheme="minorHAnsi"/>
        </w:rPr>
        <w:t>that is, the requirement that t</w:t>
      </w:r>
      <w:r w:rsidR="00D447D7" w:rsidRPr="00D447D7">
        <w:rPr>
          <w:rFonts w:asciiTheme="minorHAnsi" w:hAnsiTheme="minorHAnsi"/>
        </w:rPr>
        <w:t xml:space="preserve">he sentencing judge impose an appropriate sentence for each offence and structure the sentences such that the overall sentence </w:t>
      </w:r>
      <w:r w:rsidR="00D447D7">
        <w:rPr>
          <w:rFonts w:asciiTheme="minorHAnsi" w:hAnsiTheme="minorHAnsi"/>
        </w:rPr>
        <w:t>is</w:t>
      </w:r>
      <w:r w:rsidR="00D447D7" w:rsidRPr="00D447D7">
        <w:rPr>
          <w:rFonts w:asciiTheme="minorHAnsi" w:hAnsiTheme="minorHAnsi"/>
        </w:rPr>
        <w:t xml:space="preserve"> just and appropriate to the totality of the offending behaviour</w:t>
      </w:r>
      <w:r w:rsidR="00A800E3">
        <w:rPr>
          <w:rFonts w:asciiTheme="minorHAnsi" w:hAnsiTheme="minorHAnsi"/>
        </w:rPr>
        <w:t>.</w:t>
      </w:r>
      <w:r w:rsidR="00D447D7" w:rsidRPr="00C00000">
        <w:rPr>
          <w:rStyle w:val="Style"/>
          <w:rFonts w:asciiTheme="minorHAnsi" w:hAnsiTheme="minorHAnsi"/>
        </w:rPr>
        <w:footnoteReference w:id="197"/>
      </w:r>
      <w:r w:rsidR="00454C86">
        <w:rPr>
          <w:rFonts w:asciiTheme="minorHAnsi" w:hAnsiTheme="minorHAnsi"/>
        </w:rPr>
        <w:t xml:space="preserve">  The principle requires consideration not only of </w:t>
      </w:r>
      <w:r w:rsidR="004F1C28">
        <w:rPr>
          <w:rFonts w:asciiTheme="minorHAnsi" w:hAnsiTheme="minorHAnsi"/>
        </w:rPr>
        <w:t xml:space="preserve">all sentences imposed on the same occasion, but also to sentences imposed previously to which the offender is still subject. </w:t>
      </w:r>
      <w:r w:rsidR="00862591">
        <w:rPr>
          <w:rFonts w:asciiTheme="minorHAnsi" w:hAnsiTheme="minorHAnsi"/>
        </w:rPr>
        <w:t xml:space="preserve"> That includes sentences imposed in another State or Territory.</w:t>
      </w:r>
      <w:r w:rsidR="00862591" w:rsidRPr="00C00000">
        <w:rPr>
          <w:rStyle w:val="Style"/>
          <w:rFonts w:asciiTheme="minorHAnsi" w:hAnsiTheme="minorHAnsi"/>
        </w:rPr>
        <w:footnoteReference w:id="198"/>
      </w:r>
    </w:p>
    <w:p w14:paraId="0AA352EB" w14:textId="77777777" w:rsidR="005D3752" w:rsidRPr="005D3752" w:rsidRDefault="005D3752" w:rsidP="005D3752">
      <w:pPr>
        <w:spacing w:line="276" w:lineRule="auto"/>
        <w:ind w:right="170"/>
        <w:rPr>
          <w:rFonts w:asciiTheme="minorHAnsi" w:hAnsiTheme="minorHAnsi"/>
        </w:rPr>
      </w:pPr>
    </w:p>
    <w:p w14:paraId="6B9D2B5F" w14:textId="529153CD" w:rsidR="0053432F" w:rsidRDefault="002F1A3C" w:rsidP="00EB7F1E">
      <w:pPr>
        <w:pStyle w:val="ListParagraph"/>
        <w:numPr>
          <w:ilvl w:val="0"/>
          <w:numId w:val="7"/>
        </w:numPr>
        <w:spacing w:line="276" w:lineRule="auto"/>
        <w:ind w:left="425" w:hanging="425"/>
        <w:contextualSpacing w:val="0"/>
        <w:rPr>
          <w:rFonts w:asciiTheme="minorHAnsi" w:hAnsiTheme="minorHAnsi"/>
        </w:rPr>
      </w:pPr>
      <w:r w:rsidRPr="002F1A3C">
        <w:rPr>
          <w:rFonts w:asciiTheme="minorHAnsi" w:hAnsiTheme="minorHAnsi"/>
        </w:rPr>
        <w:t xml:space="preserve">The totality principle is not enlivened when </w:t>
      </w:r>
      <w:r w:rsidR="00B9435C" w:rsidRPr="002F1A3C">
        <w:rPr>
          <w:rFonts w:asciiTheme="minorHAnsi" w:hAnsiTheme="minorHAnsi"/>
        </w:rPr>
        <w:t xml:space="preserve">the </w:t>
      </w:r>
      <w:r w:rsidR="004E48D2">
        <w:rPr>
          <w:rFonts w:asciiTheme="minorHAnsi" w:hAnsiTheme="minorHAnsi"/>
        </w:rPr>
        <w:t>defendant</w:t>
      </w:r>
      <w:r w:rsidR="00B9435C" w:rsidRPr="002F1A3C">
        <w:rPr>
          <w:rFonts w:asciiTheme="minorHAnsi" w:hAnsiTheme="minorHAnsi"/>
        </w:rPr>
        <w:t xml:space="preserve"> ha</w:t>
      </w:r>
      <w:r w:rsidRPr="002F1A3C">
        <w:rPr>
          <w:rFonts w:asciiTheme="minorHAnsi" w:hAnsiTheme="minorHAnsi"/>
        </w:rPr>
        <w:t>s</w:t>
      </w:r>
      <w:r w:rsidR="00B9435C" w:rsidRPr="002F1A3C">
        <w:rPr>
          <w:rFonts w:asciiTheme="minorHAnsi" w:hAnsiTheme="minorHAnsi"/>
        </w:rPr>
        <w:t xml:space="preserve"> completed the </w:t>
      </w:r>
      <w:r>
        <w:rPr>
          <w:rFonts w:asciiTheme="minorHAnsi" w:hAnsiTheme="minorHAnsi"/>
        </w:rPr>
        <w:t>other</w:t>
      </w:r>
      <w:r w:rsidR="00B9435C" w:rsidRPr="002F1A3C">
        <w:rPr>
          <w:rFonts w:asciiTheme="minorHAnsi" w:hAnsiTheme="minorHAnsi"/>
        </w:rPr>
        <w:t xml:space="preserve"> sentence </w:t>
      </w:r>
      <w:r w:rsidRPr="002F1A3C">
        <w:rPr>
          <w:rFonts w:asciiTheme="minorHAnsi" w:hAnsiTheme="minorHAnsi"/>
        </w:rPr>
        <w:t>by the time of sentencing</w:t>
      </w:r>
      <w:r>
        <w:rPr>
          <w:rFonts w:asciiTheme="minorHAnsi" w:hAnsiTheme="minorHAnsi"/>
        </w:rPr>
        <w:t>,</w:t>
      </w:r>
      <w:r w:rsidR="006351C0" w:rsidRPr="00C00000">
        <w:rPr>
          <w:rStyle w:val="Style"/>
          <w:rFonts w:asciiTheme="minorHAnsi" w:hAnsiTheme="minorHAnsi"/>
        </w:rPr>
        <w:footnoteReference w:id="199"/>
      </w:r>
      <w:r>
        <w:rPr>
          <w:rFonts w:asciiTheme="minorHAnsi" w:hAnsiTheme="minorHAnsi"/>
        </w:rPr>
        <w:t xml:space="preserve"> </w:t>
      </w:r>
      <w:r w:rsidR="006351C0">
        <w:rPr>
          <w:rFonts w:asciiTheme="minorHAnsi" w:hAnsiTheme="minorHAnsi"/>
        </w:rPr>
        <w:t xml:space="preserve">even if the earlier sentence was completed only while the </w:t>
      </w:r>
      <w:r w:rsidR="004E48D2">
        <w:rPr>
          <w:rFonts w:asciiTheme="minorHAnsi" w:hAnsiTheme="minorHAnsi"/>
        </w:rPr>
        <w:t>defendant</w:t>
      </w:r>
      <w:r w:rsidR="006351C0">
        <w:rPr>
          <w:rFonts w:asciiTheme="minorHAnsi" w:hAnsiTheme="minorHAnsi"/>
        </w:rPr>
        <w:t xml:space="preserve"> was </w:t>
      </w:r>
      <w:r w:rsidR="004E48D2">
        <w:rPr>
          <w:rFonts w:asciiTheme="minorHAnsi" w:hAnsiTheme="minorHAnsi"/>
        </w:rPr>
        <w:t xml:space="preserve">being </w:t>
      </w:r>
      <w:r w:rsidR="006351C0">
        <w:rPr>
          <w:rFonts w:asciiTheme="minorHAnsi" w:hAnsiTheme="minorHAnsi"/>
        </w:rPr>
        <w:t>held on remand for the</w:t>
      </w:r>
      <w:r w:rsidR="004E48D2">
        <w:rPr>
          <w:rFonts w:asciiTheme="minorHAnsi" w:hAnsiTheme="minorHAnsi"/>
        </w:rPr>
        <w:t xml:space="preserve"> federal offence for which the defendant then falls to be sentenced</w:t>
      </w:r>
      <w:r w:rsidRPr="002F1A3C">
        <w:rPr>
          <w:rFonts w:asciiTheme="minorHAnsi" w:hAnsiTheme="minorHAnsi"/>
        </w:rPr>
        <w:t>.</w:t>
      </w:r>
      <w:r w:rsidR="004E48D2" w:rsidRPr="00C00000">
        <w:rPr>
          <w:rStyle w:val="Style"/>
          <w:rFonts w:asciiTheme="minorHAnsi" w:hAnsiTheme="minorHAnsi"/>
        </w:rPr>
        <w:footnoteReference w:id="200"/>
      </w:r>
      <w:r>
        <w:rPr>
          <w:rFonts w:asciiTheme="minorHAnsi" w:hAnsiTheme="minorHAnsi"/>
        </w:rPr>
        <w:t xml:space="preserve">  </w:t>
      </w:r>
      <w:r w:rsidR="00CA6183">
        <w:rPr>
          <w:rFonts w:asciiTheme="minorHAnsi" w:hAnsiTheme="minorHAnsi"/>
        </w:rPr>
        <w:t xml:space="preserve">However the fact that the </w:t>
      </w:r>
      <w:r w:rsidR="004D5266">
        <w:rPr>
          <w:rFonts w:asciiTheme="minorHAnsi" w:hAnsiTheme="minorHAnsi"/>
        </w:rPr>
        <w:t>defendant</w:t>
      </w:r>
      <w:r w:rsidR="00CA6183" w:rsidRPr="00CA6183">
        <w:rPr>
          <w:rFonts w:asciiTheme="minorHAnsi" w:hAnsiTheme="minorHAnsi"/>
        </w:rPr>
        <w:t xml:space="preserve"> has finished a term of imprisonment shortly before a sentence for different offending is to be imposed </w:t>
      </w:r>
      <w:r w:rsidR="004F1EFF">
        <w:rPr>
          <w:rFonts w:asciiTheme="minorHAnsi" w:hAnsiTheme="minorHAnsi"/>
        </w:rPr>
        <w:t>may be</w:t>
      </w:r>
      <w:r w:rsidR="004F1EFF" w:rsidRPr="00CA6183">
        <w:rPr>
          <w:rFonts w:asciiTheme="minorHAnsi" w:hAnsiTheme="minorHAnsi"/>
        </w:rPr>
        <w:t xml:space="preserve"> </w:t>
      </w:r>
      <w:r w:rsidR="00CA6183" w:rsidRPr="00CA6183">
        <w:rPr>
          <w:rFonts w:asciiTheme="minorHAnsi" w:hAnsiTheme="minorHAnsi"/>
        </w:rPr>
        <w:t xml:space="preserve">a relevant factor for the </w:t>
      </w:r>
      <w:r w:rsidR="005D3752" w:rsidRPr="00CA6183">
        <w:rPr>
          <w:rFonts w:asciiTheme="minorHAnsi" w:hAnsiTheme="minorHAnsi"/>
        </w:rPr>
        <w:t xml:space="preserve">sentencing </w:t>
      </w:r>
      <w:r w:rsidR="00CA6183" w:rsidRPr="00CA6183">
        <w:rPr>
          <w:rFonts w:asciiTheme="minorHAnsi" w:hAnsiTheme="minorHAnsi"/>
        </w:rPr>
        <w:t>judge to take into account</w:t>
      </w:r>
      <w:r w:rsidR="004D5266">
        <w:rPr>
          <w:rFonts w:asciiTheme="minorHAnsi" w:hAnsiTheme="minorHAnsi"/>
        </w:rPr>
        <w:t>.</w:t>
      </w:r>
      <w:r w:rsidR="004D5266" w:rsidRPr="00C00000">
        <w:rPr>
          <w:rStyle w:val="Style"/>
          <w:rFonts w:asciiTheme="minorHAnsi" w:hAnsiTheme="minorHAnsi"/>
        </w:rPr>
        <w:footnoteReference w:id="201"/>
      </w:r>
    </w:p>
    <w:p w14:paraId="037E187A" w14:textId="77777777" w:rsidR="004F1C28" w:rsidRPr="004F1C28" w:rsidRDefault="004F1C28" w:rsidP="004F1C28">
      <w:pPr>
        <w:pStyle w:val="ListParagraph"/>
        <w:rPr>
          <w:rFonts w:asciiTheme="minorHAnsi" w:hAnsiTheme="minorHAnsi"/>
        </w:rPr>
      </w:pPr>
    </w:p>
    <w:p w14:paraId="6842E06C" w14:textId="2D4933BF" w:rsidR="004F1C28" w:rsidRPr="00C00000" w:rsidRDefault="004F1C28"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See also “</w:t>
      </w:r>
      <w:r>
        <w:rPr>
          <w:rFonts w:asciiTheme="minorHAnsi" w:hAnsiTheme="minorHAnsi"/>
        </w:rPr>
        <w:fldChar w:fldCharType="begin"/>
      </w:r>
      <w:r>
        <w:rPr>
          <w:rFonts w:asciiTheme="minorHAnsi" w:hAnsiTheme="minorHAnsi"/>
        </w:rPr>
        <w:instrText xml:space="preserve"> REF _Ref505610574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5.9.2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_Ref505610574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Whether sentences should be concurrent or cumulative</w:t>
      </w:r>
      <w:r>
        <w:rPr>
          <w:rFonts w:asciiTheme="minorHAnsi" w:hAnsiTheme="minorHAnsi"/>
        </w:rPr>
        <w:fldChar w:fldCharType="end"/>
      </w:r>
      <w:r>
        <w:rPr>
          <w:rFonts w:asciiTheme="minorHAnsi" w:hAnsiTheme="minorHAnsi"/>
        </w:rPr>
        <w:t>”.</w:t>
      </w:r>
    </w:p>
    <w:p w14:paraId="0795D0B4" w14:textId="77777777" w:rsidR="0053432F" w:rsidRPr="00C00000" w:rsidRDefault="0053432F" w:rsidP="007C11C2">
      <w:pPr>
        <w:spacing w:line="276" w:lineRule="auto"/>
        <w:ind w:left="153" w:right="170"/>
        <w:jc w:val="both"/>
        <w:rPr>
          <w:rFonts w:asciiTheme="minorHAnsi" w:hAnsiTheme="minorHAnsi"/>
        </w:rPr>
      </w:pPr>
    </w:p>
    <w:p w14:paraId="1974402A" w14:textId="11F0D719" w:rsidR="001E337B" w:rsidRPr="00EB7F1E" w:rsidRDefault="00F863FA">
      <w:pPr>
        <w:pStyle w:val="Heading2"/>
      </w:pPr>
      <w:bookmarkStart w:id="1400" w:name="_Toc33602785"/>
      <w:r w:rsidRPr="00EB7F1E">
        <w:t>N</w:t>
      </w:r>
      <w:r w:rsidR="008B3A92" w:rsidRPr="00EB7F1E">
        <w:t>on-</w:t>
      </w:r>
      <w:r w:rsidR="0053432F" w:rsidRPr="00EB7F1E">
        <w:t>exhaustive list of matters</w:t>
      </w:r>
      <w:r w:rsidRPr="00EB7F1E">
        <w:t xml:space="preserve"> – s 16A(2)</w:t>
      </w:r>
      <w:bookmarkEnd w:id="1400"/>
    </w:p>
    <w:p w14:paraId="1BCE5CA2" w14:textId="77777777" w:rsidR="0053432F" w:rsidRPr="00C00000" w:rsidRDefault="0053432F" w:rsidP="000C6ED8">
      <w:pPr>
        <w:keepNext/>
        <w:spacing w:line="276" w:lineRule="auto"/>
        <w:ind w:left="567" w:right="170"/>
        <w:jc w:val="both"/>
        <w:rPr>
          <w:rFonts w:asciiTheme="minorHAnsi" w:hAnsiTheme="minorHAnsi"/>
        </w:rPr>
      </w:pPr>
    </w:p>
    <w:p w14:paraId="56C4705E" w14:textId="228EC2E3" w:rsidR="00824B13" w:rsidRPr="00C00000" w:rsidRDefault="00607BD8"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16A(2) of the </w:t>
      </w:r>
      <w:r w:rsidR="00885EFD" w:rsidRPr="00885EFD">
        <w:rPr>
          <w:rFonts w:asciiTheme="minorHAnsi" w:hAnsiTheme="minorHAnsi"/>
          <w:i/>
        </w:rPr>
        <w:t>Crimes Act 1914</w:t>
      </w:r>
      <w:r w:rsidRPr="00C00000">
        <w:rPr>
          <w:rFonts w:asciiTheme="minorHAnsi" w:hAnsiTheme="minorHAnsi"/>
          <w:i/>
        </w:rPr>
        <w:t xml:space="preserve"> </w:t>
      </w:r>
      <w:r w:rsidRPr="00C00000">
        <w:rPr>
          <w:rFonts w:asciiTheme="minorHAnsi" w:hAnsiTheme="minorHAnsi"/>
        </w:rPr>
        <w:t xml:space="preserve">(Cth) sets out a non-exhaustive list of matters to which the court must have regard when passing sentence. </w:t>
      </w:r>
      <w:r w:rsidR="006E3E9B">
        <w:rPr>
          <w:rFonts w:asciiTheme="minorHAnsi" w:hAnsiTheme="minorHAnsi"/>
        </w:rPr>
        <w:t xml:space="preserve"> It </w:t>
      </w:r>
      <w:r w:rsidR="00824B13" w:rsidRPr="00C00000">
        <w:rPr>
          <w:rFonts w:asciiTheme="minorHAnsi" w:hAnsiTheme="minorHAnsi"/>
        </w:rPr>
        <w:t xml:space="preserve">provides:  </w:t>
      </w:r>
    </w:p>
    <w:p w14:paraId="2B1C562D" w14:textId="60EE1F47" w:rsidR="00360590" w:rsidRPr="00C00000" w:rsidRDefault="00360590" w:rsidP="00EB7F1E">
      <w:pPr>
        <w:autoSpaceDE w:val="0"/>
        <w:autoSpaceDN w:val="0"/>
        <w:adjustRightInd w:val="0"/>
        <w:spacing w:line="276" w:lineRule="auto"/>
        <w:ind w:left="1276"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(2)</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In addition to any other matters, the court must take into account such of the following matters as are relevant and known to the court: </w:t>
      </w:r>
    </w:p>
    <w:p w14:paraId="7922D669" w14:textId="57E89E69"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(a</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nature and circumstances of the offence; </w:t>
      </w:r>
    </w:p>
    <w:p w14:paraId="488860B9" w14:textId="0F702FB4"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(b</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other offences (if any) that are required or permitted to be taken into account; </w:t>
      </w:r>
    </w:p>
    <w:p w14:paraId="32F3664F" w14:textId="3AE1D048"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(c</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if the offence forms part of a course of conduct consisting of a series of criminal acts of the same or a similar character—that course of conduct; </w:t>
      </w:r>
    </w:p>
    <w:p w14:paraId="3EA8BB04" w14:textId="08EBD702"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(d</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personal circumstances of any victim of the offence; </w:t>
      </w:r>
    </w:p>
    <w:p w14:paraId="6A1B6BE1" w14:textId="10D4282D"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(e</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any injury, loss or damage resulting from the offence; </w:t>
      </w:r>
    </w:p>
    <w:p w14:paraId="3906985D" w14:textId="1D377FAE"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(ea</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if an individual who is a victim of the offence has suffered harm as a result of the offence—any victim impact statement for the victim; </w:t>
      </w:r>
    </w:p>
    <w:p w14:paraId="4D100AC4" w14:textId="4A5DD7EC"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(f</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degree to which the person has shown contrition for the offence: </w:t>
      </w:r>
    </w:p>
    <w:p w14:paraId="7B79D904" w14:textId="42D1BC8A" w:rsidR="00360590" w:rsidRPr="00C00000" w:rsidRDefault="00360590" w:rsidP="00EB7F1E">
      <w:pPr>
        <w:autoSpaceDE w:val="0"/>
        <w:autoSpaceDN w:val="0"/>
        <w:adjustRightInd w:val="0"/>
        <w:spacing w:line="276" w:lineRule="auto"/>
        <w:ind w:left="1984" w:hanging="283"/>
        <w:jc w:val="both"/>
        <w:rPr>
          <w:rFonts w:asciiTheme="minorHAnsi" w:hAnsiTheme="minorHAnsi"/>
          <w:i/>
          <w:color w:val="000000"/>
          <w:szCs w:val="22"/>
          <w:lang w:eastAsia="en-AU"/>
        </w:rPr>
      </w:pPr>
      <w:r w:rsidRPr="00C00000">
        <w:rPr>
          <w:rFonts w:asciiTheme="minorHAnsi" w:hAnsiTheme="minorHAnsi"/>
          <w:i/>
          <w:color w:val="000000"/>
          <w:szCs w:val="22"/>
          <w:lang w:eastAsia="en-AU"/>
        </w:rPr>
        <w:t>(i</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by taking action to make reparation for any injury, loss or damage resulting from the offence; or </w:t>
      </w:r>
    </w:p>
    <w:p w14:paraId="0C876A2A" w14:textId="37D49593" w:rsidR="00360590" w:rsidRPr="00C00000" w:rsidRDefault="00360590" w:rsidP="00EB7F1E">
      <w:pPr>
        <w:autoSpaceDE w:val="0"/>
        <w:autoSpaceDN w:val="0"/>
        <w:adjustRightInd w:val="0"/>
        <w:spacing w:line="276" w:lineRule="auto"/>
        <w:ind w:left="1984" w:hanging="283"/>
        <w:jc w:val="both"/>
        <w:rPr>
          <w:rFonts w:asciiTheme="minorHAnsi" w:hAnsiTheme="minorHAnsi"/>
          <w:i/>
          <w:color w:val="000000"/>
          <w:szCs w:val="22"/>
          <w:lang w:eastAsia="en-AU"/>
        </w:rPr>
      </w:pPr>
      <w:r w:rsidRPr="00C00000">
        <w:rPr>
          <w:rFonts w:asciiTheme="minorHAnsi" w:hAnsiTheme="minorHAnsi"/>
          <w:i/>
          <w:color w:val="000000"/>
          <w:szCs w:val="22"/>
          <w:lang w:eastAsia="en-AU"/>
        </w:rPr>
        <w:t>(ii</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in any other manner; </w:t>
      </w:r>
    </w:p>
    <w:p w14:paraId="42007C8A" w14:textId="6676071C"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(fa</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extent to which the person has failed to comply with: </w:t>
      </w:r>
    </w:p>
    <w:p w14:paraId="27B68536" w14:textId="47810392" w:rsidR="00360590" w:rsidRPr="00C00000" w:rsidRDefault="00360590" w:rsidP="00EB7F1E">
      <w:pPr>
        <w:autoSpaceDE w:val="0"/>
        <w:autoSpaceDN w:val="0"/>
        <w:adjustRightInd w:val="0"/>
        <w:spacing w:line="276" w:lineRule="auto"/>
        <w:ind w:left="1984" w:hanging="283"/>
        <w:jc w:val="both"/>
        <w:rPr>
          <w:rFonts w:asciiTheme="minorHAnsi" w:hAnsiTheme="minorHAnsi"/>
          <w:i/>
          <w:color w:val="000000"/>
          <w:szCs w:val="22"/>
          <w:lang w:eastAsia="en-AU"/>
        </w:rPr>
      </w:pPr>
      <w:r w:rsidRPr="00C00000">
        <w:rPr>
          <w:rFonts w:asciiTheme="minorHAnsi" w:hAnsiTheme="minorHAnsi"/>
          <w:i/>
          <w:color w:val="000000"/>
          <w:szCs w:val="22"/>
          <w:lang w:eastAsia="en-AU"/>
        </w:rPr>
        <w:t>(i</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any order under subsection 23CD(1) of the </w:t>
      </w:r>
      <w:r w:rsidRPr="007E5AFA">
        <w:rPr>
          <w:rFonts w:asciiTheme="minorHAnsi" w:hAnsiTheme="minorHAnsi"/>
          <w:i/>
          <w:color w:val="000000"/>
          <w:szCs w:val="22"/>
          <w:lang w:eastAsia="en-AU"/>
        </w:rPr>
        <w:t>Federal Court of Australia Act 1976</w:t>
      </w:r>
      <w:r w:rsidRPr="00C00000">
        <w:rPr>
          <w:rFonts w:asciiTheme="minorHAnsi" w:hAnsiTheme="minorHAnsi"/>
          <w:i/>
          <w:color w:val="000000"/>
          <w:szCs w:val="22"/>
          <w:lang w:eastAsia="en-AU"/>
        </w:rPr>
        <w:t xml:space="preserve">; or </w:t>
      </w:r>
    </w:p>
    <w:p w14:paraId="2021429C" w14:textId="4694AEBB" w:rsidR="00360590" w:rsidRPr="007E5AFA" w:rsidRDefault="00360590" w:rsidP="00EB7F1E">
      <w:pPr>
        <w:autoSpaceDE w:val="0"/>
        <w:autoSpaceDN w:val="0"/>
        <w:adjustRightInd w:val="0"/>
        <w:spacing w:line="276" w:lineRule="auto"/>
        <w:ind w:left="1984" w:hanging="283"/>
        <w:jc w:val="both"/>
        <w:rPr>
          <w:rFonts w:asciiTheme="minorHAnsi" w:hAnsiTheme="minorHAnsi"/>
          <w:i/>
          <w:color w:val="000000"/>
          <w:szCs w:val="22"/>
          <w:lang w:eastAsia="en-AU"/>
        </w:rPr>
      </w:pPr>
      <w:r w:rsidRPr="00C00000">
        <w:rPr>
          <w:rFonts w:asciiTheme="minorHAnsi" w:hAnsiTheme="minorHAnsi"/>
          <w:i/>
          <w:color w:val="000000"/>
          <w:szCs w:val="22"/>
          <w:lang w:eastAsia="en-AU"/>
        </w:rPr>
        <w:t>(ii</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any obligation under a law of the Commonwealth; or</w:t>
      </w:r>
    </w:p>
    <w:p w14:paraId="370513EB" w14:textId="66D3EE8E" w:rsidR="00360590" w:rsidRPr="00C00000" w:rsidRDefault="00360590" w:rsidP="00EB7F1E">
      <w:pPr>
        <w:autoSpaceDE w:val="0"/>
        <w:autoSpaceDN w:val="0"/>
        <w:adjustRightInd w:val="0"/>
        <w:spacing w:line="276" w:lineRule="auto"/>
        <w:ind w:left="1984" w:hanging="283"/>
        <w:jc w:val="both"/>
        <w:rPr>
          <w:rFonts w:asciiTheme="minorHAnsi" w:hAnsiTheme="minorHAnsi"/>
          <w:i/>
          <w:color w:val="000000"/>
          <w:szCs w:val="22"/>
          <w:lang w:eastAsia="en-AU"/>
        </w:rPr>
      </w:pPr>
      <w:r w:rsidRPr="00C00000">
        <w:rPr>
          <w:rFonts w:asciiTheme="minorHAnsi" w:hAnsiTheme="minorHAnsi"/>
          <w:i/>
          <w:color w:val="000000"/>
          <w:szCs w:val="22"/>
          <w:lang w:eastAsia="en-AU"/>
        </w:rPr>
        <w:t>(iii</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any obligation under a law of the State or Territory applying under subsection 68(1) of the </w:t>
      </w:r>
      <w:r w:rsidR="00BA5640" w:rsidRPr="007E5AFA">
        <w:rPr>
          <w:rFonts w:asciiTheme="minorHAnsi" w:hAnsiTheme="minorHAnsi"/>
          <w:i/>
          <w:color w:val="000000"/>
          <w:szCs w:val="22"/>
          <w:lang w:eastAsia="en-AU"/>
        </w:rPr>
        <w:t>Judiciary Act 1903</w:t>
      </w:r>
      <w:r w:rsidRPr="00C00000">
        <w:rPr>
          <w:rFonts w:asciiTheme="minorHAnsi" w:hAnsiTheme="minorHAnsi"/>
          <w:i/>
          <w:color w:val="000000"/>
          <w:szCs w:val="22"/>
          <w:lang w:eastAsia="en-AU"/>
        </w:rPr>
        <w:t xml:space="preserve">; </w:t>
      </w:r>
    </w:p>
    <w:p w14:paraId="58D9EF84" w14:textId="77777777" w:rsidR="00360590" w:rsidRPr="00C00000" w:rsidRDefault="00360590" w:rsidP="00EB7F1E">
      <w:pPr>
        <w:autoSpaceDE w:val="0"/>
        <w:autoSpaceDN w:val="0"/>
        <w:adjustRightInd w:val="0"/>
        <w:spacing w:line="276" w:lineRule="auto"/>
        <w:ind w:left="1985" w:hanging="284"/>
        <w:jc w:val="both"/>
        <w:rPr>
          <w:rFonts w:asciiTheme="minorHAnsi" w:hAnsiTheme="minorHAnsi"/>
          <w:i/>
          <w:color w:val="000000"/>
          <w:szCs w:val="22"/>
          <w:lang w:eastAsia="en-AU"/>
        </w:rPr>
      </w:pPr>
      <w:r w:rsidRPr="00C00000">
        <w:rPr>
          <w:rFonts w:asciiTheme="minorHAnsi" w:hAnsiTheme="minorHAnsi"/>
          <w:i/>
          <w:color w:val="000000"/>
          <w:szCs w:val="22"/>
          <w:lang w:eastAsia="en-AU"/>
        </w:rPr>
        <w:t xml:space="preserve">about pre-trial disclosure, or ongoing disclosure, in proceedings relating to the offence; </w:t>
      </w:r>
    </w:p>
    <w:p w14:paraId="3BC6904B" w14:textId="07E066F6"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(g</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if the person has pleaded guilty to the charge in respect of the offence—that fact; </w:t>
      </w:r>
    </w:p>
    <w:p w14:paraId="4B9A51F4" w14:textId="45B6ADDE"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(h</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degree to which the person has co-operated with law enforcement agencies in the investigation of the offence or of other offences; </w:t>
      </w:r>
    </w:p>
    <w:p w14:paraId="7A46ED21" w14:textId="4A2FE030"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(j</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deterrent effect that any sentence or order under consideration may have on the person; </w:t>
      </w:r>
    </w:p>
    <w:p w14:paraId="0E0415FC" w14:textId="59CC8C82"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(ja</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deterrent effect that any sentence or order under consideration may have on other persons; </w:t>
      </w:r>
    </w:p>
    <w:p w14:paraId="4DCC15ED" w14:textId="19FB4E01"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(k</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need to ensure that the person is adequately punished for the offence; </w:t>
      </w:r>
    </w:p>
    <w:p w14:paraId="2971F379" w14:textId="7B24C37B"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(m</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character, antecedents, age, means and physical or mental condition of the person; </w:t>
      </w:r>
    </w:p>
    <w:p w14:paraId="139642A6" w14:textId="02C33CAB"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(n</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 xml:space="preserve">the prospect of rehabilitation of the person; </w:t>
      </w:r>
    </w:p>
    <w:p w14:paraId="06879E0B" w14:textId="5D4B4CEC" w:rsidR="00360590" w:rsidRPr="00C00000" w:rsidRDefault="00360590" w:rsidP="00EB7F1E">
      <w:pPr>
        <w:autoSpaceDE w:val="0"/>
        <w:autoSpaceDN w:val="0"/>
        <w:adjustRightInd w:val="0"/>
        <w:spacing w:line="276" w:lineRule="auto"/>
        <w:ind w:left="1701" w:hanging="425"/>
        <w:jc w:val="both"/>
        <w:rPr>
          <w:rFonts w:asciiTheme="minorHAnsi" w:hAnsiTheme="minorHAnsi"/>
          <w:i/>
          <w:color w:val="000000"/>
          <w:szCs w:val="22"/>
          <w:lang w:eastAsia="en-AU"/>
        </w:rPr>
      </w:pPr>
      <w:r w:rsidRPr="00C00000">
        <w:rPr>
          <w:rFonts w:asciiTheme="minorHAnsi" w:hAnsiTheme="minorHAnsi"/>
          <w:i/>
          <w:color w:val="000000"/>
          <w:szCs w:val="22"/>
          <w:lang w:eastAsia="en-AU"/>
        </w:rPr>
        <w:t>(p</w:t>
      </w:r>
      <w:r w:rsidR="00F026BA">
        <w:rPr>
          <w:rFonts w:asciiTheme="minorHAnsi" w:hAnsiTheme="minorHAnsi"/>
          <w:i/>
          <w:color w:val="000000"/>
          <w:szCs w:val="22"/>
          <w:lang w:eastAsia="en-AU"/>
        </w:rPr>
        <w:t>)</w:t>
      </w:r>
      <w:r w:rsidR="00F026BA">
        <w:rPr>
          <w:rFonts w:asciiTheme="minorHAnsi" w:hAnsiTheme="minorHAnsi"/>
          <w:i/>
          <w:color w:val="000000"/>
          <w:szCs w:val="22"/>
          <w:lang w:eastAsia="en-AU"/>
        </w:rPr>
        <w:tab/>
      </w:r>
      <w:r w:rsidRPr="00C00000">
        <w:rPr>
          <w:rFonts w:asciiTheme="minorHAnsi" w:hAnsiTheme="minorHAnsi"/>
          <w:i/>
          <w:color w:val="000000"/>
          <w:szCs w:val="22"/>
          <w:lang w:eastAsia="en-AU"/>
        </w:rPr>
        <w:t>the probable effect that any sentence or order under consideration would have on any of the person</w:t>
      </w:r>
      <w:r w:rsidR="00AA693C">
        <w:rPr>
          <w:rFonts w:asciiTheme="minorHAnsi" w:hAnsiTheme="minorHAnsi"/>
          <w:i/>
          <w:color w:val="000000"/>
          <w:szCs w:val="22"/>
          <w:lang w:eastAsia="en-AU"/>
        </w:rPr>
        <w:t>’</w:t>
      </w:r>
      <w:r w:rsidRPr="00C00000">
        <w:rPr>
          <w:rFonts w:asciiTheme="minorHAnsi" w:hAnsiTheme="minorHAnsi"/>
          <w:i/>
          <w:color w:val="000000"/>
          <w:szCs w:val="22"/>
          <w:lang w:eastAsia="en-AU"/>
        </w:rPr>
        <w:t>s family or dependants.</w:t>
      </w:r>
    </w:p>
    <w:p w14:paraId="1BC6C744" w14:textId="77777777" w:rsidR="00360590" w:rsidRPr="00C00000" w:rsidRDefault="00360590" w:rsidP="007C11C2">
      <w:pPr>
        <w:pStyle w:val="ListParagraph"/>
        <w:spacing w:line="276" w:lineRule="auto"/>
        <w:ind w:left="873" w:right="170"/>
        <w:rPr>
          <w:rFonts w:asciiTheme="minorHAnsi" w:hAnsiTheme="minorHAnsi"/>
        </w:rPr>
      </w:pPr>
    </w:p>
    <w:p w14:paraId="2C6E16C3" w14:textId="2461A6C9" w:rsidR="006E3E9B" w:rsidRDefault="000A04BB"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16A(2) </w:t>
      </w:r>
      <w:r w:rsidR="00B068FE">
        <w:rPr>
          <w:rFonts w:asciiTheme="minorHAnsi" w:hAnsiTheme="minorHAnsi"/>
        </w:rPr>
        <w:t>was</w:t>
      </w:r>
      <w:r w:rsidRPr="00C00000">
        <w:rPr>
          <w:rFonts w:asciiTheme="minorHAnsi" w:hAnsiTheme="minorHAnsi"/>
        </w:rPr>
        <w:t xml:space="preserve"> based on s 10 of the </w:t>
      </w:r>
      <w:r w:rsidRPr="00C00000">
        <w:rPr>
          <w:rFonts w:asciiTheme="minorHAnsi" w:hAnsiTheme="minorHAnsi"/>
          <w:i/>
        </w:rPr>
        <w:t>Criminal Law (Sentencing) Act 1988</w:t>
      </w:r>
      <w:r w:rsidRPr="00C00000">
        <w:rPr>
          <w:rFonts w:asciiTheme="minorHAnsi" w:hAnsiTheme="minorHAnsi"/>
        </w:rPr>
        <w:t xml:space="preserve"> (SA)</w:t>
      </w:r>
      <w:r w:rsidR="00195A9B">
        <w:rPr>
          <w:rFonts w:asciiTheme="minorHAnsi" w:hAnsiTheme="minorHAnsi"/>
        </w:rPr>
        <w:t xml:space="preserve">, which </w:t>
      </w:r>
      <w:r w:rsidR="00DD7B3F">
        <w:rPr>
          <w:rFonts w:asciiTheme="minorHAnsi" w:hAnsiTheme="minorHAnsi"/>
        </w:rPr>
        <w:t>has been described as having</w:t>
      </w:r>
      <w:r w:rsidR="00195A9B">
        <w:rPr>
          <w:rFonts w:asciiTheme="minorHAnsi" w:hAnsiTheme="minorHAnsi"/>
        </w:rPr>
        <w:t xml:space="preserve"> </w:t>
      </w:r>
      <w:r w:rsidR="00CC1A53">
        <w:rPr>
          <w:rFonts w:asciiTheme="minorHAnsi" w:hAnsiTheme="minorHAnsi"/>
        </w:rPr>
        <w:t>declared what had</w:t>
      </w:r>
      <w:r w:rsidRPr="00C00000">
        <w:rPr>
          <w:rFonts w:asciiTheme="minorHAnsi" w:hAnsiTheme="minorHAnsi"/>
        </w:rPr>
        <w:t xml:space="preserve"> always been the </w:t>
      </w:r>
      <w:r w:rsidR="00CC1A53">
        <w:rPr>
          <w:rFonts w:asciiTheme="minorHAnsi" w:hAnsiTheme="minorHAnsi"/>
        </w:rPr>
        <w:t xml:space="preserve">position at common </w:t>
      </w:r>
      <w:r w:rsidRPr="00C00000">
        <w:rPr>
          <w:rFonts w:asciiTheme="minorHAnsi" w:hAnsiTheme="minorHAnsi"/>
        </w:rPr>
        <w:t>law.</w:t>
      </w:r>
      <w:r w:rsidR="00CC1A53" w:rsidRPr="00C00000">
        <w:rPr>
          <w:rStyle w:val="Style"/>
          <w:rFonts w:asciiTheme="minorHAnsi" w:hAnsiTheme="minorHAnsi"/>
        </w:rPr>
        <w:footnoteReference w:id="202"/>
      </w:r>
    </w:p>
    <w:p w14:paraId="75096A74" w14:textId="77777777" w:rsidR="006E3E9B" w:rsidRPr="006E3E9B" w:rsidRDefault="006E3E9B" w:rsidP="006E3E9B">
      <w:pPr>
        <w:spacing w:line="276" w:lineRule="auto"/>
        <w:ind w:right="170"/>
        <w:rPr>
          <w:rFonts w:asciiTheme="minorHAnsi" w:hAnsiTheme="minorHAnsi"/>
        </w:rPr>
      </w:pPr>
    </w:p>
    <w:p w14:paraId="047D3584" w14:textId="52D587B6" w:rsidR="00FC5B97" w:rsidRDefault="006E3E9B"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The matters set out in s 16A</w:t>
      </w:r>
      <w:r w:rsidR="00B068FE">
        <w:rPr>
          <w:rFonts w:asciiTheme="minorHAnsi" w:hAnsiTheme="minorHAnsi"/>
        </w:rPr>
        <w:t>(2) have been referred to as a “checklist”</w:t>
      </w:r>
      <w:r w:rsidRPr="00C00000">
        <w:rPr>
          <w:rFonts w:asciiTheme="minorHAnsi" w:hAnsiTheme="minorHAnsi"/>
        </w:rPr>
        <w:t>.</w:t>
      </w:r>
      <w:r w:rsidRPr="00C00000">
        <w:rPr>
          <w:rStyle w:val="Style"/>
          <w:rFonts w:asciiTheme="minorHAnsi" w:hAnsiTheme="minorHAnsi"/>
        </w:rPr>
        <w:footnoteReference w:id="203"/>
      </w:r>
      <w:r>
        <w:rPr>
          <w:rFonts w:asciiTheme="minorHAnsi" w:hAnsiTheme="minorHAnsi"/>
        </w:rPr>
        <w:t xml:space="preserve">  As is plain from the opening words of the subsection (</w:t>
      </w:r>
      <w:r w:rsidRPr="00C00000">
        <w:rPr>
          <w:rFonts w:asciiTheme="minorHAnsi" w:hAnsiTheme="minorHAnsi"/>
        </w:rPr>
        <w:t>“</w:t>
      </w:r>
      <w:r w:rsidRPr="00C00000">
        <w:rPr>
          <w:rFonts w:asciiTheme="minorHAnsi" w:hAnsiTheme="minorHAnsi"/>
          <w:i/>
          <w:iCs/>
        </w:rPr>
        <w:t>In addition to any other matters</w:t>
      </w:r>
      <w:r w:rsidRPr="00C00000">
        <w:rPr>
          <w:rFonts w:asciiTheme="minorHAnsi" w:hAnsiTheme="minorHAnsi"/>
        </w:rPr>
        <w:t xml:space="preserve"> ...”</w:t>
      </w:r>
      <w:r>
        <w:rPr>
          <w:rFonts w:asciiTheme="minorHAnsi" w:hAnsiTheme="minorHAnsi"/>
        </w:rPr>
        <w:t>), the list does not purport to be exhaustive</w:t>
      </w:r>
      <w:r w:rsidRPr="00C00000">
        <w:rPr>
          <w:rFonts w:asciiTheme="minorHAnsi" w:hAnsiTheme="minorHAnsi"/>
        </w:rPr>
        <w:t>.</w:t>
      </w:r>
      <w:r w:rsidRPr="00C00000">
        <w:rPr>
          <w:rStyle w:val="Style"/>
          <w:rFonts w:asciiTheme="minorHAnsi" w:hAnsiTheme="minorHAnsi"/>
        </w:rPr>
        <w:footnoteReference w:id="204"/>
      </w:r>
    </w:p>
    <w:p w14:paraId="74FFD1C4" w14:textId="77777777" w:rsidR="00FC5B97" w:rsidRPr="00FC5B97" w:rsidRDefault="00FC5B97" w:rsidP="00FC5B97">
      <w:pPr>
        <w:pStyle w:val="ListParagraph"/>
        <w:rPr>
          <w:rFonts w:asciiTheme="minorHAnsi" w:hAnsiTheme="minorHAnsi"/>
        </w:rPr>
      </w:pPr>
    </w:p>
    <w:p w14:paraId="59CAEC6F" w14:textId="129AD73D" w:rsidR="000E3485" w:rsidRDefault="00FC5B9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w:t>
      </w:r>
      <w:r w:rsidR="000E3485" w:rsidRPr="00CC1A53">
        <w:rPr>
          <w:rFonts w:asciiTheme="minorHAnsi" w:hAnsiTheme="minorHAnsi"/>
        </w:rPr>
        <w:t xml:space="preserve"> 16A, on</w:t>
      </w:r>
      <w:r w:rsidR="00CC1A53" w:rsidRPr="00CC1A53">
        <w:rPr>
          <w:rFonts w:asciiTheme="minorHAnsi" w:hAnsiTheme="minorHAnsi"/>
        </w:rPr>
        <w:t xml:space="preserve"> </w:t>
      </w:r>
      <w:r w:rsidR="000E3485" w:rsidRPr="00CC1A53">
        <w:rPr>
          <w:rFonts w:asciiTheme="minorHAnsi" w:hAnsiTheme="minorHAnsi"/>
        </w:rPr>
        <w:t>its proper construction, accommodates the application of common law</w:t>
      </w:r>
      <w:r w:rsidR="00CC1A53" w:rsidRPr="00CC1A53">
        <w:rPr>
          <w:rFonts w:asciiTheme="minorHAnsi" w:hAnsiTheme="minorHAnsi"/>
        </w:rPr>
        <w:t xml:space="preserve"> </w:t>
      </w:r>
      <w:r w:rsidR="000E3485" w:rsidRPr="00CC1A53">
        <w:rPr>
          <w:rFonts w:asciiTheme="minorHAnsi" w:hAnsiTheme="minorHAnsi"/>
        </w:rPr>
        <w:t>principles of sentencing, such as the principle of “totality” and some other judicially developed general sentencing principles</w:t>
      </w:r>
      <w:r>
        <w:rPr>
          <w:rFonts w:asciiTheme="minorHAnsi" w:hAnsiTheme="minorHAnsi"/>
        </w:rPr>
        <w:t>,</w:t>
      </w:r>
      <w:r w:rsidR="00CC1A53" w:rsidRPr="00CC1A53">
        <w:rPr>
          <w:rFonts w:asciiTheme="minorHAnsi" w:hAnsiTheme="minorHAnsi"/>
        </w:rPr>
        <w:t xml:space="preserve"> </w:t>
      </w:r>
      <w:r w:rsidR="000E3485" w:rsidRPr="00CC1A53">
        <w:rPr>
          <w:rFonts w:asciiTheme="minorHAnsi" w:hAnsiTheme="minorHAnsi"/>
        </w:rPr>
        <w:t>because those principles give relevant content to the statutory</w:t>
      </w:r>
      <w:r w:rsidR="00CC1A53" w:rsidRPr="00CC1A53">
        <w:rPr>
          <w:rFonts w:asciiTheme="minorHAnsi" w:hAnsiTheme="minorHAnsi"/>
        </w:rPr>
        <w:t xml:space="preserve"> </w:t>
      </w:r>
      <w:r w:rsidR="000E3485" w:rsidRPr="00CC1A53">
        <w:rPr>
          <w:rFonts w:asciiTheme="minorHAnsi" w:hAnsiTheme="minorHAnsi"/>
        </w:rPr>
        <w:t>expression “</w:t>
      </w:r>
      <w:r w:rsidR="000E3485" w:rsidRPr="008F6FAB">
        <w:rPr>
          <w:rFonts w:asciiTheme="minorHAnsi" w:hAnsiTheme="minorHAnsi"/>
          <w:i/>
        </w:rPr>
        <w:t>of a severity appropriate in all the circumstances of the</w:t>
      </w:r>
      <w:r w:rsidR="00CC1A53" w:rsidRPr="008F6FAB">
        <w:rPr>
          <w:rFonts w:asciiTheme="minorHAnsi" w:hAnsiTheme="minorHAnsi"/>
          <w:i/>
        </w:rPr>
        <w:t xml:space="preserve"> </w:t>
      </w:r>
      <w:r w:rsidR="000E3485" w:rsidRPr="008F6FAB">
        <w:rPr>
          <w:rFonts w:asciiTheme="minorHAnsi" w:hAnsiTheme="minorHAnsi"/>
          <w:i/>
        </w:rPr>
        <w:t>offence</w:t>
      </w:r>
      <w:r w:rsidR="000E3485" w:rsidRPr="00CC1A53">
        <w:rPr>
          <w:rFonts w:asciiTheme="minorHAnsi" w:hAnsiTheme="minorHAnsi"/>
        </w:rPr>
        <w:t>” used in s 16A(1), as well as some of the expressions used in</w:t>
      </w:r>
      <w:r w:rsidR="00CC1A53" w:rsidRPr="00CC1A53">
        <w:rPr>
          <w:rFonts w:asciiTheme="minorHAnsi" w:hAnsiTheme="minorHAnsi"/>
        </w:rPr>
        <w:t xml:space="preserve"> </w:t>
      </w:r>
      <w:r w:rsidR="000E3485" w:rsidRPr="00CC1A53">
        <w:rPr>
          <w:rFonts w:asciiTheme="minorHAnsi" w:hAnsiTheme="minorHAnsi"/>
        </w:rPr>
        <w:t>s 16A(2), such as “</w:t>
      </w:r>
      <w:r w:rsidR="000E3485" w:rsidRPr="008F6FAB">
        <w:rPr>
          <w:rFonts w:asciiTheme="minorHAnsi" w:hAnsiTheme="minorHAnsi"/>
          <w:i/>
        </w:rPr>
        <w:t>the need to ensure that the person is adequately</w:t>
      </w:r>
      <w:r w:rsidR="00CC1A53" w:rsidRPr="008F6FAB">
        <w:rPr>
          <w:rFonts w:asciiTheme="minorHAnsi" w:hAnsiTheme="minorHAnsi"/>
          <w:i/>
        </w:rPr>
        <w:t xml:space="preserve"> </w:t>
      </w:r>
      <w:r w:rsidR="000E3485" w:rsidRPr="008F6FAB">
        <w:rPr>
          <w:rFonts w:asciiTheme="minorHAnsi" w:hAnsiTheme="minorHAnsi"/>
          <w:i/>
        </w:rPr>
        <w:t>punished for the offence</w:t>
      </w:r>
      <w:r w:rsidR="000E3485" w:rsidRPr="00CC1A53">
        <w:rPr>
          <w:rFonts w:asciiTheme="minorHAnsi" w:hAnsiTheme="minorHAnsi"/>
        </w:rPr>
        <w:t>” (s 16A(2)(k)).</w:t>
      </w:r>
      <w:r w:rsidRPr="00C00000">
        <w:rPr>
          <w:rStyle w:val="Style"/>
          <w:rFonts w:asciiTheme="minorHAnsi" w:hAnsiTheme="minorHAnsi"/>
        </w:rPr>
        <w:footnoteReference w:id="205"/>
      </w:r>
    </w:p>
    <w:p w14:paraId="05B44AA7" w14:textId="77777777" w:rsidR="005F691C" w:rsidRPr="005F691C" w:rsidRDefault="005F691C" w:rsidP="005F691C">
      <w:pPr>
        <w:pStyle w:val="ListParagraph"/>
        <w:rPr>
          <w:rFonts w:asciiTheme="minorHAnsi" w:hAnsiTheme="minorHAnsi"/>
        </w:rPr>
      </w:pPr>
    </w:p>
    <w:p w14:paraId="594007B1" w14:textId="7BFE34AD" w:rsidR="005F691C" w:rsidRDefault="005F691C" w:rsidP="00901174">
      <w:pPr>
        <w:pStyle w:val="ListParagraph"/>
        <w:numPr>
          <w:ilvl w:val="0"/>
          <w:numId w:val="7"/>
        </w:numPr>
        <w:spacing w:line="276" w:lineRule="auto"/>
        <w:ind w:left="425" w:hanging="425"/>
        <w:contextualSpacing w:val="0"/>
        <w:rPr>
          <w:rFonts w:asciiTheme="minorHAnsi" w:hAnsiTheme="minorHAnsi"/>
        </w:rPr>
      </w:pPr>
      <w:r w:rsidRPr="00F47DF7">
        <w:rPr>
          <w:rFonts w:asciiTheme="minorHAnsi" w:hAnsiTheme="minorHAnsi"/>
        </w:rPr>
        <w:t xml:space="preserve">As the chapeau to s 16A(2) makes clear, a sentencing court is required to have regard to the factors listed in s 16A(2) only </w:t>
      </w:r>
      <w:r w:rsidR="002260A0" w:rsidRPr="00F47DF7">
        <w:rPr>
          <w:rFonts w:asciiTheme="minorHAnsi" w:hAnsiTheme="minorHAnsi"/>
        </w:rPr>
        <w:t xml:space="preserve">if </w:t>
      </w:r>
      <w:r w:rsidRPr="00F47DF7">
        <w:rPr>
          <w:rFonts w:asciiTheme="minorHAnsi" w:hAnsiTheme="minorHAnsi"/>
        </w:rPr>
        <w:t xml:space="preserve">they are </w:t>
      </w:r>
      <w:r w:rsidR="002260A0" w:rsidRPr="00F47DF7">
        <w:rPr>
          <w:rFonts w:asciiTheme="minorHAnsi" w:hAnsiTheme="minorHAnsi"/>
        </w:rPr>
        <w:t>“</w:t>
      </w:r>
      <w:r w:rsidR="002260A0" w:rsidRPr="00F47DF7">
        <w:rPr>
          <w:rFonts w:asciiTheme="minorHAnsi" w:hAnsiTheme="minorHAnsi"/>
          <w:i/>
          <w:color w:val="000000"/>
          <w:szCs w:val="22"/>
          <w:lang w:eastAsia="en-AU"/>
        </w:rPr>
        <w:t>relevant and known to the court</w:t>
      </w:r>
      <w:r w:rsidR="002260A0" w:rsidRPr="00F47DF7">
        <w:rPr>
          <w:rFonts w:asciiTheme="minorHAnsi" w:hAnsiTheme="minorHAnsi"/>
        </w:rPr>
        <w:t>”.  For further discussion of this requirement, see “</w:t>
      </w:r>
      <w:r w:rsidR="00AE63CF">
        <w:rPr>
          <w:rFonts w:asciiTheme="minorHAnsi" w:hAnsiTheme="minorHAnsi"/>
        </w:rPr>
        <w:fldChar w:fldCharType="begin"/>
      </w:r>
      <w:r w:rsidR="00AE63CF">
        <w:rPr>
          <w:rFonts w:asciiTheme="minorHAnsi" w:hAnsiTheme="minorHAnsi"/>
        </w:rPr>
        <w:instrText xml:space="preserve"> REF _Ref492634109 \r \h </w:instrText>
      </w:r>
      <w:r w:rsidR="00AE63CF">
        <w:rPr>
          <w:rFonts w:asciiTheme="minorHAnsi" w:hAnsiTheme="minorHAnsi"/>
        </w:rPr>
      </w:r>
      <w:r w:rsidR="00AE63CF">
        <w:rPr>
          <w:rFonts w:asciiTheme="minorHAnsi" w:hAnsiTheme="minorHAnsi"/>
        </w:rPr>
        <w:fldChar w:fldCharType="separate"/>
      </w:r>
      <w:r w:rsidR="00D44BCF">
        <w:rPr>
          <w:rFonts w:asciiTheme="minorHAnsi" w:hAnsiTheme="minorHAnsi"/>
        </w:rPr>
        <w:t>3.1.3</w:t>
      </w:r>
      <w:r w:rsidR="00AE63CF">
        <w:rPr>
          <w:rFonts w:asciiTheme="minorHAnsi" w:hAnsiTheme="minorHAnsi"/>
        </w:rPr>
        <w:fldChar w:fldCharType="end"/>
      </w:r>
      <w:r w:rsidR="00AE63CF">
        <w:rPr>
          <w:rFonts w:asciiTheme="minorHAnsi" w:hAnsiTheme="minorHAnsi"/>
        </w:rPr>
        <w:t xml:space="preserve"> </w:t>
      </w:r>
      <w:r w:rsidR="00AE63CF">
        <w:rPr>
          <w:rFonts w:asciiTheme="minorHAnsi" w:hAnsiTheme="minorHAnsi"/>
        </w:rPr>
        <w:fldChar w:fldCharType="begin"/>
      </w:r>
      <w:r w:rsidR="00AE63CF">
        <w:rPr>
          <w:rFonts w:asciiTheme="minorHAnsi" w:hAnsiTheme="minorHAnsi"/>
        </w:rPr>
        <w:instrText xml:space="preserve"> REF _Ref492634109 \h </w:instrText>
      </w:r>
      <w:r w:rsidR="008F6FAB">
        <w:rPr>
          <w:rFonts w:asciiTheme="minorHAnsi" w:hAnsiTheme="minorHAnsi"/>
        </w:rPr>
        <w:instrText xml:space="preserve"> \* MERGEFORMAT </w:instrText>
      </w:r>
      <w:r w:rsidR="00AE63CF">
        <w:rPr>
          <w:rFonts w:asciiTheme="minorHAnsi" w:hAnsiTheme="minorHAnsi"/>
        </w:rPr>
      </w:r>
      <w:r w:rsidR="00AE63CF">
        <w:rPr>
          <w:rFonts w:asciiTheme="minorHAnsi" w:hAnsiTheme="minorHAnsi"/>
        </w:rPr>
        <w:fldChar w:fldCharType="separate"/>
      </w:r>
      <w:r w:rsidR="00D44BCF" w:rsidRPr="00D44BCF">
        <w:rPr>
          <w:rFonts w:asciiTheme="minorHAnsi" w:hAnsiTheme="minorHAnsi"/>
        </w:rPr>
        <w:t xml:space="preserve">Relevant matters “known to the court”: </w:t>
      </w:r>
      <w:r w:rsidR="00D44BCF" w:rsidRPr="00D44BCF">
        <w:rPr>
          <w:rFonts w:asciiTheme="minorHAnsi" w:hAnsiTheme="minorHAnsi"/>
          <w:i/>
        </w:rPr>
        <w:t>Crimes Act 1914,</w:t>
      </w:r>
      <w:r w:rsidR="00D44BCF" w:rsidRPr="00D44BCF">
        <w:rPr>
          <w:rFonts w:asciiTheme="minorHAnsi" w:hAnsiTheme="minorHAnsi"/>
        </w:rPr>
        <w:t xml:space="preserve"> s 16A(2)</w:t>
      </w:r>
      <w:r w:rsidR="00AE63CF">
        <w:rPr>
          <w:rFonts w:asciiTheme="minorHAnsi" w:hAnsiTheme="minorHAnsi"/>
        </w:rPr>
        <w:fldChar w:fldCharType="end"/>
      </w:r>
      <w:r w:rsidR="002260A0" w:rsidRPr="00F47DF7">
        <w:rPr>
          <w:rFonts w:asciiTheme="minorHAnsi" w:hAnsiTheme="minorHAnsi"/>
        </w:rPr>
        <w:t>”.</w:t>
      </w:r>
    </w:p>
    <w:p w14:paraId="30A0FDFB" w14:textId="77777777" w:rsidR="00DC15DB" w:rsidRPr="00DC15DB" w:rsidRDefault="00DC15DB" w:rsidP="00DC15DB">
      <w:pPr>
        <w:pStyle w:val="ListParagraph"/>
        <w:rPr>
          <w:rFonts w:asciiTheme="minorHAnsi" w:hAnsiTheme="minorHAnsi"/>
        </w:rPr>
      </w:pPr>
    </w:p>
    <w:p w14:paraId="7ABCBF82" w14:textId="5DAA0CC2" w:rsidR="001E337B" w:rsidRPr="000C6ED8" w:rsidRDefault="00BA2B0B" w:rsidP="000C6ED8">
      <w:pPr>
        <w:pStyle w:val="Heading3"/>
      </w:pPr>
      <w:bookmarkStart w:id="1401" w:name="_Ref495312103"/>
      <w:bookmarkStart w:id="1402" w:name="_Ref495312106"/>
      <w:bookmarkStart w:id="1403" w:name="_Toc33602786"/>
      <w:r w:rsidRPr="000C6ED8">
        <w:t>Nature and circumstances of offence – s 16A(2)(a)</w:t>
      </w:r>
      <w:bookmarkEnd w:id="1401"/>
      <w:bookmarkEnd w:id="1402"/>
      <w:bookmarkEnd w:id="1403"/>
    </w:p>
    <w:p w14:paraId="360BE5EC" w14:textId="77777777" w:rsidR="006601A2" w:rsidRPr="00C00000" w:rsidRDefault="006601A2" w:rsidP="000C6ED8">
      <w:pPr>
        <w:keepNext/>
        <w:tabs>
          <w:tab w:val="left" w:pos="8364"/>
          <w:tab w:val="left" w:pos="9214"/>
        </w:tabs>
        <w:spacing w:line="276" w:lineRule="auto"/>
        <w:ind w:left="567" w:right="170" w:hanging="567"/>
        <w:jc w:val="both"/>
        <w:rPr>
          <w:rFonts w:asciiTheme="minorHAnsi" w:hAnsiTheme="minorHAnsi"/>
        </w:rPr>
      </w:pPr>
    </w:p>
    <w:p w14:paraId="018066C7" w14:textId="0398ABC0" w:rsidR="0053432F" w:rsidRPr="00C00000" w:rsidRDefault="0053432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The</w:t>
      </w:r>
      <w:r w:rsidR="00C55652" w:rsidRPr="00C00000">
        <w:rPr>
          <w:rFonts w:asciiTheme="minorHAnsi" w:hAnsiTheme="minorHAnsi"/>
        </w:rPr>
        <w:t xml:space="preserve"> nature and circumstances of the offence </w:t>
      </w:r>
      <w:r w:rsidRPr="00C00000">
        <w:rPr>
          <w:rFonts w:asciiTheme="minorHAnsi" w:hAnsiTheme="minorHAnsi"/>
        </w:rPr>
        <w:t>are required to be taken into account pursuant to s</w:t>
      </w:r>
      <w:r w:rsidR="00407496" w:rsidRPr="00C00000">
        <w:rPr>
          <w:rFonts w:asciiTheme="minorHAnsi" w:hAnsiTheme="minorHAnsi"/>
        </w:rPr>
        <w:t xml:space="preserve"> </w:t>
      </w:r>
      <w:r w:rsidRPr="00C00000">
        <w:rPr>
          <w:rFonts w:asciiTheme="minorHAnsi" w:hAnsiTheme="minorHAnsi"/>
        </w:rPr>
        <w:t xml:space="preserve">16A(2)(a) but only to the extent that they are relevant and known to the court.  In </w:t>
      </w:r>
      <w:r w:rsidR="00095052" w:rsidRPr="00C00000">
        <w:rPr>
          <w:rFonts w:asciiTheme="minorHAnsi" w:hAnsiTheme="minorHAnsi"/>
          <w:i/>
        </w:rPr>
        <w:t>O</w:t>
      </w:r>
      <w:r w:rsidRPr="00C00000">
        <w:rPr>
          <w:rFonts w:asciiTheme="minorHAnsi" w:hAnsiTheme="minorHAnsi"/>
          <w:i/>
        </w:rPr>
        <w:t>lbrich</w:t>
      </w:r>
      <w:r w:rsidRPr="00C00000">
        <w:rPr>
          <w:rStyle w:val="Style"/>
          <w:rFonts w:asciiTheme="minorHAnsi" w:hAnsiTheme="minorHAnsi"/>
        </w:rPr>
        <w:footnoteReference w:id="206"/>
      </w:r>
      <w:r w:rsidRPr="00C00000">
        <w:rPr>
          <w:rFonts w:asciiTheme="minorHAnsi" w:hAnsiTheme="minorHAnsi"/>
          <w:bCs/>
          <w:iCs/>
        </w:rPr>
        <w:t xml:space="preserve"> </w:t>
      </w:r>
      <w:r w:rsidRPr="00C00000">
        <w:rPr>
          <w:rFonts w:asciiTheme="minorHAnsi" w:hAnsiTheme="minorHAnsi"/>
        </w:rPr>
        <w:t>the High Court considered this paragraph in the context of a federal offender who had imported 1.1 kg of heroin in his luggage and who pleaded guilty to importing the heroin contrary to s</w:t>
      </w:r>
      <w:r w:rsidR="00407496" w:rsidRPr="00C00000">
        <w:rPr>
          <w:rFonts w:asciiTheme="minorHAnsi" w:hAnsiTheme="minorHAnsi"/>
        </w:rPr>
        <w:t xml:space="preserve"> </w:t>
      </w:r>
      <w:r w:rsidRPr="00C00000">
        <w:rPr>
          <w:rFonts w:asciiTheme="minorHAnsi" w:hAnsiTheme="minorHAnsi"/>
        </w:rPr>
        <w:t xml:space="preserve">233B of the </w:t>
      </w:r>
      <w:r w:rsidRPr="00C00000">
        <w:rPr>
          <w:rFonts w:asciiTheme="minorHAnsi" w:hAnsiTheme="minorHAnsi"/>
          <w:i/>
        </w:rPr>
        <w:t>Customs Act 1901</w:t>
      </w:r>
      <w:r w:rsidRPr="00C00000">
        <w:rPr>
          <w:rFonts w:asciiTheme="minorHAnsi" w:hAnsiTheme="minorHAnsi"/>
        </w:rPr>
        <w:t>.  It was unclear to the sentencing judge what precise role or position the offender held in the criminal hierarchy relating to the importation of the drug.</w:t>
      </w:r>
    </w:p>
    <w:p w14:paraId="35F3A42E" w14:textId="77777777" w:rsidR="0053432F" w:rsidRPr="00C00000" w:rsidRDefault="0053432F" w:rsidP="007C11C2">
      <w:pPr>
        <w:tabs>
          <w:tab w:val="left" w:pos="8364"/>
          <w:tab w:val="left" w:pos="9214"/>
        </w:tabs>
        <w:spacing w:line="276" w:lineRule="auto"/>
        <w:ind w:left="567" w:right="170" w:hanging="567"/>
        <w:jc w:val="both"/>
        <w:rPr>
          <w:rFonts w:asciiTheme="minorHAnsi" w:hAnsiTheme="minorHAnsi"/>
        </w:rPr>
      </w:pPr>
    </w:p>
    <w:p w14:paraId="5EEE41EA" w14:textId="27BB8520" w:rsidR="0053432F" w:rsidRDefault="0053432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 majority of the court (Gleeson CJ, Gaudron, Hayne and Callinan JJ)</w:t>
      </w:r>
      <w:r w:rsidR="005977B4">
        <w:rPr>
          <w:rFonts w:asciiTheme="minorHAnsi" w:hAnsiTheme="minorHAnsi"/>
        </w:rPr>
        <w:t xml:space="preserve"> </w:t>
      </w:r>
      <w:r w:rsidR="00B56D9D">
        <w:rPr>
          <w:rFonts w:asciiTheme="minorHAnsi" w:hAnsiTheme="minorHAnsi"/>
        </w:rPr>
        <w:t xml:space="preserve">did not accept that </w:t>
      </w:r>
      <w:r w:rsidR="00B56D9D" w:rsidRPr="00B56D9D">
        <w:rPr>
          <w:rFonts w:asciiTheme="minorHAnsi" w:hAnsiTheme="minorHAnsi"/>
        </w:rPr>
        <w:t xml:space="preserve">the identification of the precise nature of the </w:t>
      </w:r>
      <w:r w:rsidR="00B068FE">
        <w:rPr>
          <w:rFonts w:asciiTheme="minorHAnsi" w:hAnsiTheme="minorHAnsi"/>
        </w:rPr>
        <w:t>offender</w:t>
      </w:r>
      <w:r w:rsidR="00AA693C">
        <w:rPr>
          <w:rFonts w:asciiTheme="minorHAnsi" w:hAnsiTheme="minorHAnsi"/>
        </w:rPr>
        <w:t>’</w:t>
      </w:r>
      <w:r w:rsidR="00B068FE">
        <w:rPr>
          <w:rFonts w:asciiTheme="minorHAnsi" w:hAnsiTheme="minorHAnsi"/>
        </w:rPr>
        <w:t>s</w:t>
      </w:r>
      <w:r w:rsidR="00B56D9D" w:rsidRPr="00B56D9D">
        <w:rPr>
          <w:rFonts w:asciiTheme="minorHAnsi" w:hAnsiTheme="minorHAnsi"/>
        </w:rPr>
        <w:t xml:space="preserve"> involvement in an act of importation of prohibited imports </w:t>
      </w:r>
      <w:r w:rsidR="00B56D9D">
        <w:rPr>
          <w:rFonts w:asciiTheme="minorHAnsi" w:hAnsiTheme="minorHAnsi"/>
        </w:rPr>
        <w:t>was</w:t>
      </w:r>
      <w:r w:rsidR="00B56D9D" w:rsidRPr="00B56D9D">
        <w:rPr>
          <w:rFonts w:asciiTheme="minorHAnsi" w:hAnsiTheme="minorHAnsi"/>
        </w:rPr>
        <w:t xml:space="preserve"> an essential aspect of the sentencing process.</w:t>
      </w:r>
      <w:r w:rsidR="00B56D9D" w:rsidRPr="00C00000">
        <w:rPr>
          <w:rStyle w:val="Style"/>
          <w:rFonts w:asciiTheme="minorHAnsi" w:hAnsiTheme="minorHAnsi"/>
        </w:rPr>
        <w:footnoteReference w:id="207"/>
      </w:r>
      <w:r w:rsidR="00B56D9D">
        <w:rPr>
          <w:rFonts w:asciiTheme="minorHAnsi" w:hAnsiTheme="minorHAnsi"/>
        </w:rPr>
        <w:t xml:space="preserve">  </w:t>
      </w:r>
      <w:r w:rsidR="00B56D9D" w:rsidRPr="00C00000">
        <w:rPr>
          <w:rFonts w:asciiTheme="minorHAnsi" w:hAnsiTheme="minorHAnsi"/>
        </w:rPr>
        <w:t xml:space="preserve">The </w:t>
      </w:r>
      <w:r w:rsidRPr="00C00000">
        <w:rPr>
          <w:rFonts w:asciiTheme="minorHAnsi" w:hAnsiTheme="minorHAnsi"/>
        </w:rPr>
        <w:t>sentencing judge was required by s</w:t>
      </w:r>
      <w:r w:rsidR="00407496" w:rsidRPr="00C00000">
        <w:rPr>
          <w:rFonts w:asciiTheme="minorHAnsi" w:hAnsiTheme="minorHAnsi"/>
        </w:rPr>
        <w:t xml:space="preserve"> </w:t>
      </w:r>
      <w:r w:rsidRPr="00C00000">
        <w:rPr>
          <w:rFonts w:asciiTheme="minorHAnsi" w:hAnsiTheme="minorHAnsi"/>
        </w:rPr>
        <w:t>16A(2)(a) to take into account the nature and</w:t>
      </w:r>
      <w:r w:rsidRPr="00C00000">
        <w:rPr>
          <w:rFonts w:asciiTheme="minorHAnsi" w:hAnsiTheme="minorHAnsi"/>
          <w:b/>
        </w:rPr>
        <w:t xml:space="preserve"> </w:t>
      </w:r>
      <w:r w:rsidRPr="00C00000">
        <w:rPr>
          <w:rFonts w:asciiTheme="minorHAnsi" w:hAnsiTheme="minorHAnsi"/>
        </w:rPr>
        <w:t xml:space="preserve">circumstances of the offence only to the extent that these were </w:t>
      </w:r>
      <w:r w:rsidR="005977B4">
        <w:rPr>
          <w:rFonts w:asciiTheme="minorHAnsi" w:hAnsiTheme="minorHAnsi"/>
        </w:rPr>
        <w:t>“</w:t>
      </w:r>
      <w:r w:rsidRPr="00C00000">
        <w:rPr>
          <w:rFonts w:asciiTheme="minorHAnsi" w:hAnsiTheme="minorHAnsi"/>
        </w:rPr>
        <w:t>known to the court</w:t>
      </w:r>
      <w:r w:rsidR="005977B4">
        <w:rPr>
          <w:rFonts w:asciiTheme="minorHAnsi" w:hAnsiTheme="minorHAnsi"/>
        </w:rPr>
        <w:t>”</w:t>
      </w:r>
      <w:r w:rsidRPr="00C00000">
        <w:rPr>
          <w:rFonts w:asciiTheme="minorHAnsi" w:hAnsiTheme="minorHAnsi"/>
        </w:rPr>
        <w:t>.</w:t>
      </w:r>
      <w:r w:rsidR="00B56D9D" w:rsidRPr="00C00000">
        <w:rPr>
          <w:rStyle w:val="Style"/>
          <w:rFonts w:asciiTheme="minorHAnsi" w:hAnsiTheme="minorHAnsi"/>
        </w:rPr>
        <w:footnoteReference w:id="208"/>
      </w:r>
      <w:r w:rsidRPr="00C00000">
        <w:rPr>
          <w:rFonts w:asciiTheme="minorHAnsi" w:hAnsiTheme="minorHAnsi"/>
        </w:rPr>
        <w:t xml:space="preserve">  </w:t>
      </w:r>
      <w:r w:rsidR="00B56D9D" w:rsidRPr="00C00000">
        <w:rPr>
          <w:rFonts w:asciiTheme="minorHAnsi" w:hAnsiTheme="minorHAnsi"/>
        </w:rPr>
        <w:t xml:space="preserve">While </w:t>
      </w:r>
      <w:r w:rsidRPr="00C00000">
        <w:rPr>
          <w:rFonts w:asciiTheme="minorHAnsi" w:hAnsiTheme="minorHAnsi"/>
        </w:rPr>
        <w:t>an offender</w:t>
      </w:r>
      <w:r w:rsidR="00AA693C">
        <w:rPr>
          <w:rFonts w:asciiTheme="minorHAnsi" w:hAnsiTheme="minorHAnsi"/>
        </w:rPr>
        <w:t>’</w:t>
      </w:r>
      <w:r w:rsidRPr="00C00000">
        <w:rPr>
          <w:rFonts w:asciiTheme="minorHAnsi" w:hAnsiTheme="minorHAnsi"/>
        </w:rPr>
        <w:t xml:space="preserve">s role in the criminal enterprise was relevant, the task of sentencing was often required to be undertaken when it was not possible to establish the precise role or position of the offender in the criminal hierarchy.  In those </w:t>
      </w:r>
      <w:r w:rsidR="00165348" w:rsidRPr="00C00000">
        <w:rPr>
          <w:rFonts w:asciiTheme="minorHAnsi" w:hAnsiTheme="minorHAnsi"/>
        </w:rPr>
        <w:t>circumstances,</w:t>
      </w:r>
      <w:r w:rsidRPr="00C00000">
        <w:rPr>
          <w:rFonts w:asciiTheme="minorHAnsi" w:hAnsiTheme="minorHAnsi"/>
        </w:rPr>
        <w:t xml:space="preserve"> the sentencing judge should concentrat</w:t>
      </w:r>
      <w:r w:rsidR="00F47DF7">
        <w:rPr>
          <w:rFonts w:asciiTheme="minorHAnsi" w:hAnsiTheme="minorHAnsi"/>
        </w:rPr>
        <w:t>e on who the offender was and what the offender had done.</w:t>
      </w:r>
      <w:r w:rsidR="00F47DF7" w:rsidRPr="00C00000">
        <w:rPr>
          <w:rStyle w:val="Style"/>
          <w:rFonts w:asciiTheme="minorHAnsi" w:hAnsiTheme="minorHAnsi"/>
        </w:rPr>
        <w:footnoteReference w:id="209"/>
      </w:r>
    </w:p>
    <w:p w14:paraId="73D7B818" w14:textId="77777777" w:rsidR="005977B4" w:rsidRPr="005977B4" w:rsidRDefault="005977B4" w:rsidP="005977B4">
      <w:pPr>
        <w:pStyle w:val="ListParagraph"/>
        <w:rPr>
          <w:rFonts w:asciiTheme="minorHAnsi" w:hAnsiTheme="minorHAnsi"/>
        </w:rPr>
      </w:pPr>
    </w:p>
    <w:p w14:paraId="310BA8CB" w14:textId="5FEEE0EC" w:rsidR="005977B4" w:rsidRDefault="005977B4"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It follow</w:t>
      </w:r>
      <w:r w:rsidR="00F47DF7">
        <w:rPr>
          <w:rFonts w:asciiTheme="minorHAnsi" w:hAnsiTheme="minorHAnsi"/>
        </w:rPr>
        <w:t>s</w:t>
      </w:r>
      <w:r w:rsidRPr="00C00000">
        <w:rPr>
          <w:rFonts w:asciiTheme="minorHAnsi" w:hAnsiTheme="minorHAnsi"/>
        </w:rPr>
        <w:t xml:space="preserve"> that a sentencing judge </w:t>
      </w:r>
      <w:r w:rsidR="00F47DF7">
        <w:rPr>
          <w:rFonts w:asciiTheme="minorHAnsi" w:hAnsiTheme="minorHAnsi"/>
        </w:rPr>
        <w:t>i</w:t>
      </w:r>
      <w:r>
        <w:rPr>
          <w:rFonts w:asciiTheme="minorHAnsi" w:hAnsiTheme="minorHAnsi"/>
        </w:rPr>
        <w:t>s</w:t>
      </w:r>
      <w:r w:rsidRPr="00C00000">
        <w:rPr>
          <w:rFonts w:asciiTheme="minorHAnsi" w:hAnsiTheme="minorHAnsi"/>
        </w:rPr>
        <w:t xml:space="preserve"> entitled</w:t>
      </w:r>
      <w:r w:rsidR="00E31245">
        <w:rPr>
          <w:rFonts w:asciiTheme="minorHAnsi" w:hAnsiTheme="minorHAnsi"/>
        </w:rPr>
        <w:t xml:space="preserve"> </w:t>
      </w:r>
      <w:r w:rsidRPr="00C00000">
        <w:rPr>
          <w:rFonts w:asciiTheme="minorHAnsi" w:hAnsiTheme="minorHAnsi"/>
        </w:rPr>
        <w:t xml:space="preserve">to treat proven offences of possession and attempting to obtain possession of </w:t>
      </w:r>
      <w:r w:rsidR="00F47DF7">
        <w:rPr>
          <w:rFonts w:asciiTheme="minorHAnsi" w:hAnsiTheme="minorHAnsi"/>
        </w:rPr>
        <w:t>illicit drugs</w:t>
      </w:r>
      <w:r w:rsidRPr="00C00000">
        <w:rPr>
          <w:rFonts w:asciiTheme="minorHAnsi" w:hAnsiTheme="minorHAnsi"/>
        </w:rPr>
        <w:t xml:space="preserve"> as very serious offences</w:t>
      </w:r>
      <w:r w:rsidR="00B068FE" w:rsidRPr="00C00000">
        <w:rPr>
          <w:rFonts w:asciiTheme="minorHAnsi" w:hAnsiTheme="minorHAnsi"/>
        </w:rPr>
        <w:t xml:space="preserve">, </w:t>
      </w:r>
      <w:r w:rsidR="00B068FE">
        <w:rPr>
          <w:rFonts w:asciiTheme="minorHAnsi" w:hAnsiTheme="minorHAnsi"/>
        </w:rPr>
        <w:t xml:space="preserve">even </w:t>
      </w:r>
      <w:r w:rsidR="00B068FE" w:rsidRPr="00C00000">
        <w:rPr>
          <w:rFonts w:asciiTheme="minorHAnsi" w:hAnsiTheme="minorHAnsi"/>
        </w:rPr>
        <w:t>in the absence of precise evidence as to the nature of the offender</w:t>
      </w:r>
      <w:r w:rsidR="00AA693C">
        <w:rPr>
          <w:rFonts w:asciiTheme="minorHAnsi" w:hAnsiTheme="minorHAnsi"/>
        </w:rPr>
        <w:t>’</w:t>
      </w:r>
      <w:r w:rsidR="00B068FE" w:rsidRPr="00C00000">
        <w:rPr>
          <w:rFonts w:asciiTheme="minorHAnsi" w:hAnsiTheme="minorHAnsi"/>
        </w:rPr>
        <w:t>s participation</w:t>
      </w:r>
      <w:r w:rsidRPr="00C00000">
        <w:rPr>
          <w:rFonts w:asciiTheme="minorHAnsi" w:hAnsiTheme="minorHAnsi"/>
        </w:rPr>
        <w:t>.</w:t>
      </w:r>
      <w:r w:rsidRPr="00C00000">
        <w:rPr>
          <w:rStyle w:val="Style"/>
          <w:rFonts w:asciiTheme="minorHAnsi" w:hAnsiTheme="minorHAnsi"/>
        </w:rPr>
        <w:footnoteReference w:id="210"/>
      </w:r>
    </w:p>
    <w:p w14:paraId="63FEF67F" w14:textId="77777777" w:rsidR="00C73B94" w:rsidRPr="00C73B94" w:rsidRDefault="00C73B94" w:rsidP="00C73B94">
      <w:pPr>
        <w:pStyle w:val="ListParagraph"/>
        <w:rPr>
          <w:rFonts w:asciiTheme="minorHAnsi" w:hAnsiTheme="minorHAnsi"/>
        </w:rPr>
      </w:pPr>
    </w:p>
    <w:p w14:paraId="10043703" w14:textId="721EFFC7" w:rsidR="00C73B94" w:rsidRDefault="00C73B9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the charge is a rolled-up charge (that is a charge that would be objectionable for duplicity, as it alleges more than one offence),</w:t>
      </w:r>
      <w:r w:rsidR="00022664" w:rsidRPr="00C00000">
        <w:rPr>
          <w:rStyle w:val="Style"/>
          <w:rFonts w:asciiTheme="minorHAnsi" w:hAnsiTheme="minorHAnsi"/>
        </w:rPr>
        <w:footnoteReference w:id="211"/>
      </w:r>
      <w:r>
        <w:rPr>
          <w:rFonts w:asciiTheme="minorHAnsi" w:hAnsiTheme="minorHAnsi"/>
        </w:rPr>
        <w:t xml:space="preserve"> the nature and circumstances of the offence </w:t>
      </w:r>
      <w:r w:rsidR="00BB217C">
        <w:rPr>
          <w:rFonts w:asciiTheme="minorHAnsi" w:hAnsiTheme="minorHAnsi"/>
        </w:rPr>
        <w:t xml:space="preserve">for which the offender is to be sentencing </w:t>
      </w:r>
      <w:r>
        <w:rPr>
          <w:rFonts w:asciiTheme="minorHAnsi" w:hAnsiTheme="minorHAnsi"/>
        </w:rPr>
        <w:t>will include more than one criminal act</w:t>
      </w:r>
      <w:r w:rsidR="000C6F56">
        <w:rPr>
          <w:rFonts w:asciiTheme="minorHAnsi" w:hAnsiTheme="minorHAnsi"/>
        </w:rPr>
        <w:t xml:space="preserve">; </w:t>
      </w:r>
      <w:r w:rsidR="000C6F56" w:rsidRPr="00B33A47">
        <w:rPr>
          <w:rFonts w:asciiTheme="minorHAnsi" w:hAnsiTheme="minorHAnsi"/>
        </w:rPr>
        <w:t xml:space="preserve">the sentencing court must assess the criminality of the conduct as </w:t>
      </w:r>
      <w:r w:rsidR="00F47D0C">
        <w:rPr>
          <w:rFonts w:asciiTheme="minorHAnsi" w:hAnsiTheme="minorHAnsi"/>
        </w:rPr>
        <w:t>particular</w:t>
      </w:r>
      <w:r w:rsidR="00B86888">
        <w:rPr>
          <w:rFonts w:asciiTheme="minorHAnsi" w:hAnsiTheme="minorHAnsi"/>
        </w:rPr>
        <w:t>ised</w:t>
      </w:r>
      <w:r w:rsidR="000C6F56" w:rsidRPr="00B33A47">
        <w:rPr>
          <w:rFonts w:asciiTheme="minorHAnsi" w:hAnsiTheme="minorHAnsi"/>
        </w:rPr>
        <w:t>.</w:t>
      </w:r>
      <w:r w:rsidR="00B33A47" w:rsidRPr="00C00000">
        <w:rPr>
          <w:rStyle w:val="Style"/>
          <w:rFonts w:asciiTheme="minorHAnsi" w:hAnsiTheme="minorHAnsi"/>
        </w:rPr>
        <w:footnoteReference w:id="212"/>
      </w:r>
      <w:r w:rsidR="00BB217C">
        <w:rPr>
          <w:rFonts w:asciiTheme="minorHAnsi" w:hAnsiTheme="minorHAnsi"/>
        </w:rPr>
        <w:t xml:space="preserve"> </w:t>
      </w:r>
      <w:r w:rsidR="00B33A47">
        <w:rPr>
          <w:rFonts w:asciiTheme="minorHAnsi" w:hAnsiTheme="minorHAnsi"/>
        </w:rPr>
        <w:t xml:space="preserve"> </w:t>
      </w:r>
      <w:r w:rsidR="000C6F56" w:rsidRPr="00B33A47">
        <w:rPr>
          <w:rFonts w:asciiTheme="minorHAnsi" w:hAnsiTheme="minorHAnsi"/>
        </w:rPr>
        <w:t>The more contraventions or episodes of criminality that form part of the rolled up charge, the more objectively serious the offence is likely to be</w:t>
      </w:r>
      <w:r w:rsidR="00B33A47">
        <w:rPr>
          <w:rFonts w:asciiTheme="minorHAnsi" w:hAnsiTheme="minorHAnsi"/>
        </w:rPr>
        <w:t>.</w:t>
      </w:r>
      <w:r w:rsidR="00B33A47" w:rsidRPr="00C00000">
        <w:rPr>
          <w:rStyle w:val="Style"/>
          <w:rFonts w:asciiTheme="minorHAnsi" w:hAnsiTheme="minorHAnsi"/>
        </w:rPr>
        <w:footnoteReference w:id="213"/>
      </w:r>
      <w:r w:rsidR="000C6F56" w:rsidRPr="00B33A47">
        <w:rPr>
          <w:rFonts w:asciiTheme="minorHAnsi" w:hAnsiTheme="minorHAnsi"/>
        </w:rPr>
        <w:t xml:space="preserve"> </w:t>
      </w:r>
      <w:r w:rsidR="00B33A47">
        <w:rPr>
          <w:rFonts w:asciiTheme="minorHAnsi" w:hAnsiTheme="minorHAnsi"/>
        </w:rPr>
        <w:t xml:space="preserve"> However the offender is exposed only to the maximum penalty applicable to a single offence.</w:t>
      </w:r>
      <w:r w:rsidR="00B33A47" w:rsidRPr="00C00000">
        <w:rPr>
          <w:rStyle w:val="Style"/>
          <w:rFonts w:asciiTheme="minorHAnsi" w:hAnsiTheme="minorHAnsi"/>
        </w:rPr>
        <w:footnoteReference w:id="214"/>
      </w:r>
      <w:r w:rsidR="000C6F56" w:rsidRPr="00B33A47">
        <w:rPr>
          <w:rFonts w:asciiTheme="minorHAnsi" w:hAnsiTheme="minorHAnsi"/>
        </w:rPr>
        <w:t xml:space="preserve"> </w:t>
      </w:r>
    </w:p>
    <w:p w14:paraId="2EFEE370" w14:textId="77777777" w:rsidR="00F938F4" w:rsidRPr="00F938F4" w:rsidRDefault="00F938F4" w:rsidP="00F938F4">
      <w:pPr>
        <w:pStyle w:val="ListParagraph"/>
        <w:rPr>
          <w:rFonts w:asciiTheme="minorHAnsi" w:hAnsiTheme="minorHAnsi"/>
        </w:rPr>
      </w:pPr>
    </w:p>
    <w:p w14:paraId="30D994D0" w14:textId="1EC587BB" w:rsidR="00F938F4" w:rsidRPr="000C6ED8" w:rsidRDefault="00F938F4" w:rsidP="000C6ED8">
      <w:pPr>
        <w:pStyle w:val="Heading3"/>
      </w:pPr>
      <w:bookmarkStart w:id="1404" w:name="_Ref491271918"/>
      <w:bookmarkStart w:id="1405" w:name="_Ref491271921"/>
      <w:bookmarkStart w:id="1406" w:name="_Toc33602787"/>
      <w:r w:rsidRPr="000C6ED8">
        <w:t>Other offences taken into account – s 16A(2)(b)</w:t>
      </w:r>
      <w:bookmarkEnd w:id="1404"/>
      <w:bookmarkEnd w:id="1405"/>
      <w:bookmarkEnd w:id="1406"/>
    </w:p>
    <w:p w14:paraId="262ECC1A" w14:textId="77777777" w:rsidR="00F938F4" w:rsidRPr="000C6ED8" w:rsidRDefault="00F938F4" w:rsidP="000C6ED8">
      <w:pPr>
        <w:keepNext/>
        <w:tabs>
          <w:tab w:val="left" w:pos="8364"/>
          <w:tab w:val="left" w:pos="9214"/>
        </w:tabs>
        <w:spacing w:line="276" w:lineRule="auto"/>
        <w:ind w:left="567" w:right="170" w:hanging="567"/>
        <w:jc w:val="both"/>
        <w:rPr>
          <w:rFonts w:asciiTheme="minorHAnsi" w:hAnsiTheme="minorHAnsi"/>
          <w:b/>
        </w:rPr>
      </w:pPr>
    </w:p>
    <w:p w14:paraId="6C58C16F" w14:textId="28C8E80A" w:rsidR="00F938F4" w:rsidRDefault="008A7ED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16BA of the </w:t>
      </w:r>
      <w:r w:rsidR="00885EFD" w:rsidRPr="00885EFD">
        <w:rPr>
          <w:rFonts w:asciiTheme="minorHAnsi" w:hAnsiTheme="minorHAnsi"/>
          <w:i/>
        </w:rPr>
        <w:t>Crimes Act 1914</w:t>
      </w:r>
      <w:r>
        <w:rPr>
          <w:rFonts w:asciiTheme="minorHAnsi" w:hAnsiTheme="minorHAnsi"/>
        </w:rPr>
        <w:t xml:space="preserve"> (formerly s 21AA)</w:t>
      </w:r>
      <w:r w:rsidR="007A76ED">
        <w:rPr>
          <w:rFonts w:asciiTheme="minorHAnsi" w:hAnsiTheme="minorHAnsi"/>
        </w:rPr>
        <w:t xml:space="preserve"> provides a procedure by which one or more federal offences may be taken into account in sentencing a federal offender.  For a description of s 16BA, see “</w:t>
      </w:r>
      <w:r w:rsidR="007A76ED">
        <w:rPr>
          <w:rFonts w:asciiTheme="minorHAnsi" w:hAnsiTheme="minorHAnsi"/>
        </w:rPr>
        <w:fldChar w:fldCharType="begin"/>
      </w:r>
      <w:r w:rsidR="007A76ED">
        <w:rPr>
          <w:rFonts w:asciiTheme="minorHAnsi" w:hAnsiTheme="minorHAnsi"/>
        </w:rPr>
        <w:instrText xml:space="preserve"> REF _Ref493250434 \r \h  \* MERGEFORMAT </w:instrText>
      </w:r>
      <w:r w:rsidR="007A76ED">
        <w:rPr>
          <w:rFonts w:asciiTheme="minorHAnsi" w:hAnsiTheme="minorHAnsi"/>
        </w:rPr>
      </w:r>
      <w:r w:rsidR="007A76ED">
        <w:rPr>
          <w:rFonts w:asciiTheme="minorHAnsi" w:hAnsiTheme="minorHAnsi"/>
        </w:rPr>
        <w:fldChar w:fldCharType="separate"/>
      </w:r>
      <w:r w:rsidR="00D44BCF">
        <w:rPr>
          <w:rFonts w:asciiTheme="minorHAnsi" w:hAnsiTheme="minorHAnsi"/>
        </w:rPr>
        <w:t>7.5</w:t>
      </w:r>
      <w:r w:rsidR="007A76ED">
        <w:rPr>
          <w:rFonts w:asciiTheme="minorHAnsi" w:hAnsiTheme="minorHAnsi"/>
        </w:rPr>
        <w:fldChar w:fldCharType="end"/>
      </w:r>
      <w:r w:rsidR="007A76ED">
        <w:rPr>
          <w:rFonts w:asciiTheme="minorHAnsi" w:hAnsiTheme="minorHAnsi"/>
        </w:rPr>
        <w:t xml:space="preserve"> </w:t>
      </w:r>
      <w:r w:rsidR="007A76ED">
        <w:rPr>
          <w:rFonts w:asciiTheme="minorHAnsi" w:hAnsiTheme="minorHAnsi"/>
        </w:rPr>
        <w:fldChar w:fldCharType="begin"/>
      </w:r>
      <w:r w:rsidR="007A76ED">
        <w:rPr>
          <w:rFonts w:asciiTheme="minorHAnsi" w:hAnsiTheme="minorHAnsi"/>
        </w:rPr>
        <w:instrText xml:space="preserve"> REF _Ref493250440 \h  \* MERGEFORMAT </w:instrText>
      </w:r>
      <w:r w:rsidR="007A76ED">
        <w:rPr>
          <w:rFonts w:asciiTheme="minorHAnsi" w:hAnsiTheme="minorHAnsi"/>
        </w:rPr>
      </w:r>
      <w:r w:rsidR="007A76ED">
        <w:rPr>
          <w:rFonts w:asciiTheme="minorHAnsi" w:hAnsiTheme="minorHAnsi"/>
        </w:rPr>
        <w:fldChar w:fldCharType="separate"/>
      </w:r>
      <w:r w:rsidR="00D44BCF" w:rsidRPr="00D44BCF">
        <w:rPr>
          <w:rFonts w:asciiTheme="minorHAnsi" w:hAnsiTheme="minorHAnsi"/>
        </w:rPr>
        <w:t>Taking other federal offences into account</w:t>
      </w:r>
      <w:r w:rsidR="007A76ED">
        <w:rPr>
          <w:rFonts w:asciiTheme="minorHAnsi" w:hAnsiTheme="minorHAnsi"/>
        </w:rPr>
        <w:fldChar w:fldCharType="end"/>
      </w:r>
      <w:r w:rsidR="007A76ED">
        <w:rPr>
          <w:rFonts w:asciiTheme="minorHAnsi" w:hAnsiTheme="minorHAnsi"/>
        </w:rPr>
        <w:t>”.  The power to take an offence into account in sentencing a federal offender is discretionary (s 16BA(2)).  Taking an offence into account does not affect the applicable maximum penalty (s 16</w:t>
      </w:r>
      <w:r w:rsidR="00606B0F">
        <w:rPr>
          <w:rFonts w:asciiTheme="minorHAnsi" w:hAnsiTheme="minorHAnsi"/>
        </w:rPr>
        <w:t>BA(4)).</w:t>
      </w:r>
    </w:p>
    <w:p w14:paraId="58485420" w14:textId="77777777" w:rsidR="007A76ED" w:rsidRPr="007A76ED" w:rsidRDefault="007A76ED" w:rsidP="007A76ED">
      <w:pPr>
        <w:spacing w:line="276" w:lineRule="auto"/>
        <w:ind w:right="170"/>
        <w:rPr>
          <w:rFonts w:asciiTheme="minorHAnsi" w:hAnsiTheme="minorHAnsi"/>
        </w:rPr>
      </w:pPr>
    </w:p>
    <w:p w14:paraId="2B0E59C8" w14:textId="5948698B" w:rsidR="007A76ED" w:rsidRDefault="00B44A9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principles applicable to </w:t>
      </w:r>
      <w:r w:rsidR="00B068FE">
        <w:rPr>
          <w:rFonts w:asciiTheme="minorHAnsi" w:hAnsiTheme="minorHAnsi"/>
        </w:rPr>
        <w:t>sentencing an offender when another offence is taken</w:t>
      </w:r>
      <w:r>
        <w:rPr>
          <w:rFonts w:asciiTheme="minorHAnsi" w:hAnsiTheme="minorHAnsi"/>
        </w:rPr>
        <w:t xml:space="preserve"> into account have been authoritatively stated </w:t>
      </w:r>
      <w:r w:rsidR="00B14C7C">
        <w:rPr>
          <w:rFonts w:asciiTheme="minorHAnsi" w:hAnsiTheme="minorHAnsi"/>
        </w:rPr>
        <w:t xml:space="preserve">by the </w:t>
      </w:r>
      <w:r>
        <w:rPr>
          <w:rFonts w:asciiTheme="minorHAnsi" w:hAnsiTheme="minorHAnsi"/>
        </w:rPr>
        <w:t>New South Wales</w:t>
      </w:r>
      <w:r w:rsidR="00B14C7C">
        <w:rPr>
          <w:rFonts w:asciiTheme="minorHAnsi" w:hAnsiTheme="minorHAnsi"/>
        </w:rPr>
        <w:t xml:space="preserve"> Court of Criminal Appeal.</w:t>
      </w:r>
      <w:r w:rsidRPr="00C00000">
        <w:rPr>
          <w:rStyle w:val="Style"/>
          <w:rFonts w:asciiTheme="minorHAnsi" w:hAnsiTheme="minorHAnsi"/>
        </w:rPr>
        <w:footnoteReference w:id="215"/>
      </w:r>
      <w:r>
        <w:rPr>
          <w:rFonts w:asciiTheme="minorHAnsi" w:hAnsiTheme="minorHAnsi"/>
        </w:rPr>
        <w:t xml:space="preserve"> </w:t>
      </w:r>
      <w:r w:rsidR="00B14C7C">
        <w:rPr>
          <w:rFonts w:asciiTheme="minorHAnsi" w:hAnsiTheme="minorHAnsi"/>
        </w:rPr>
        <w:t xml:space="preserve"> Those principle</w:t>
      </w:r>
      <w:r w:rsidR="00DF5D05">
        <w:rPr>
          <w:rFonts w:asciiTheme="minorHAnsi" w:hAnsiTheme="minorHAnsi"/>
        </w:rPr>
        <w:t>s</w:t>
      </w:r>
      <w:r w:rsidR="00B14C7C">
        <w:rPr>
          <w:rFonts w:asciiTheme="minorHAnsi" w:hAnsiTheme="minorHAnsi"/>
        </w:rPr>
        <w:t xml:space="preserve"> apply</w:t>
      </w:r>
      <w:r>
        <w:rPr>
          <w:rFonts w:asciiTheme="minorHAnsi" w:hAnsiTheme="minorHAnsi"/>
        </w:rPr>
        <w:t xml:space="preserve"> to the sentencing of </w:t>
      </w:r>
      <w:r w:rsidR="00B14C7C">
        <w:rPr>
          <w:rFonts w:asciiTheme="minorHAnsi" w:hAnsiTheme="minorHAnsi"/>
        </w:rPr>
        <w:t xml:space="preserve">a </w:t>
      </w:r>
      <w:r>
        <w:rPr>
          <w:rFonts w:asciiTheme="minorHAnsi" w:hAnsiTheme="minorHAnsi"/>
        </w:rPr>
        <w:t>federal offender.</w:t>
      </w:r>
      <w:r w:rsidRPr="00C00000">
        <w:rPr>
          <w:rStyle w:val="Style"/>
          <w:rFonts w:asciiTheme="minorHAnsi" w:hAnsiTheme="minorHAnsi"/>
        </w:rPr>
        <w:footnoteReference w:id="216"/>
      </w:r>
      <w:r w:rsidRPr="00B44A92">
        <w:rPr>
          <w:rFonts w:asciiTheme="minorHAnsi" w:hAnsiTheme="minorHAnsi"/>
        </w:rPr>
        <w:t xml:space="preserve"> </w:t>
      </w:r>
      <w:r>
        <w:rPr>
          <w:rFonts w:asciiTheme="minorHAnsi" w:hAnsiTheme="minorHAnsi"/>
        </w:rPr>
        <w:t xml:space="preserve"> </w:t>
      </w:r>
      <w:r w:rsidR="007F2F0C">
        <w:rPr>
          <w:rFonts w:asciiTheme="minorHAnsi" w:hAnsiTheme="minorHAnsi"/>
        </w:rPr>
        <w:t xml:space="preserve">Although an offender is not to be punished for the admitted offence which is taken into account, </w:t>
      </w:r>
      <w:r w:rsidR="007F2F0C" w:rsidRPr="007F2F0C">
        <w:rPr>
          <w:rFonts w:asciiTheme="minorHAnsi" w:hAnsiTheme="minorHAnsi"/>
        </w:rPr>
        <w:t>offences</w:t>
      </w:r>
      <w:r w:rsidR="00184B97">
        <w:rPr>
          <w:rFonts w:asciiTheme="minorHAnsi" w:hAnsiTheme="minorHAnsi"/>
        </w:rPr>
        <w:t xml:space="preserve"> taken into </w:t>
      </w:r>
      <w:r w:rsidR="007F2F0C" w:rsidRPr="007F2F0C">
        <w:rPr>
          <w:rFonts w:asciiTheme="minorHAnsi" w:hAnsiTheme="minorHAnsi"/>
        </w:rPr>
        <w:t xml:space="preserve">account </w:t>
      </w:r>
      <w:r w:rsidR="00184B97">
        <w:rPr>
          <w:rFonts w:asciiTheme="minorHAnsi" w:hAnsiTheme="minorHAnsi"/>
        </w:rPr>
        <w:t xml:space="preserve">may </w:t>
      </w:r>
      <w:r w:rsidR="007F2F0C" w:rsidRPr="007F2F0C">
        <w:rPr>
          <w:rFonts w:asciiTheme="minorHAnsi" w:hAnsiTheme="minorHAnsi"/>
        </w:rPr>
        <w:t>increase the penalty otherwise appropriate</w:t>
      </w:r>
      <w:r w:rsidR="00184B97">
        <w:rPr>
          <w:rFonts w:asciiTheme="minorHAnsi" w:hAnsiTheme="minorHAnsi"/>
        </w:rPr>
        <w:t xml:space="preserve">, </w:t>
      </w:r>
      <w:r w:rsidR="007F2F0C" w:rsidRPr="007F2F0C">
        <w:rPr>
          <w:rFonts w:asciiTheme="minorHAnsi" w:hAnsiTheme="minorHAnsi"/>
        </w:rPr>
        <w:t xml:space="preserve">by giving greater weight to the need for </w:t>
      </w:r>
      <w:r w:rsidR="00184B97">
        <w:rPr>
          <w:rFonts w:asciiTheme="minorHAnsi" w:hAnsiTheme="minorHAnsi"/>
        </w:rPr>
        <w:t xml:space="preserve">specific </w:t>
      </w:r>
      <w:r w:rsidR="007F2F0C" w:rsidRPr="007F2F0C">
        <w:rPr>
          <w:rFonts w:asciiTheme="minorHAnsi" w:hAnsiTheme="minorHAnsi"/>
        </w:rPr>
        <w:t>deterrence</w:t>
      </w:r>
      <w:r w:rsidR="00184B97">
        <w:rPr>
          <w:rFonts w:asciiTheme="minorHAnsi" w:hAnsiTheme="minorHAnsi"/>
        </w:rPr>
        <w:t xml:space="preserve"> </w:t>
      </w:r>
      <w:r w:rsidR="007F2F0C" w:rsidRPr="007F2F0C">
        <w:rPr>
          <w:rFonts w:asciiTheme="minorHAnsi" w:hAnsiTheme="minorHAnsi"/>
        </w:rPr>
        <w:t xml:space="preserve">and </w:t>
      </w:r>
      <w:r w:rsidR="00923475">
        <w:rPr>
          <w:rFonts w:asciiTheme="minorHAnsi" w:hAnsiTheme="minorHAnsi"/>
        </w:rPr>
        <w:t xml:space="preserve">to </w:t>
      </w:r>
      <w:r w:rsidR="007F2F0C" w:rsidRPr="007F2F0C">
        <w:rPr>
          <w:rFonts w:asciiTheme="minorHAnsi" w:hAnsiTheme="minorHAnsi"/>
        </w:rPr>
        <w:t>the community</w:t>
      </w:r>
      <w:r w:rsidR="00AA693C">
        <w:rPr>
          <w:rFonts w:asciiTheme="minorHAnsi" w:hAnsiTheme="minorHAnsi"/>
        </w:rPr>
        <w:t>’</w:t>
      </w:r>
      <w:r w:rsidR="007F2F0C" w:rsidRPr="007F2F0C">
        <w:rPr>
          <w:rFonts w:asciiTheme="minorHAnsi" w:hAnsiTheme="minorHAnsi"/>
        </w:rPr>
        <w:t>s entitlement to extract retribution for serious offences.</w:t>
      </w:r>
      <w:r w:rsidR="00184B97" w:rsidRPr="00C00000">
        <w:rPr>
          <w:rStyle w:val="Style"/>
          <w:rFonts w:asciiTheme="minorHAnsi" w:hAnsiTheme="minorHAnsi"/>
        </w:rPr>
        <w:footnoteReference w:id="217"/>
      </w:r>
      <w:r w:rsidR="00184B97">
        <w:rPr>
          <w:rFonts w:asciiTheme="minorHAnsi" w:hAnsiTheme="minorHAnsi"/>
        </w:rPr>
        <w:t xml:space="preserve">  Therefore </w:t>
      </w:r>
      <w:r w:rsidR="007F2F0C">
        <w:rPr>
          <w:rFonts w:asciiTheme="minorHAnsi" w:hAnsiTheme="minorHAnsi"/>
        </w:rPr>
        <w:t xml:space="preserve">the practical </w:t>
      </w:r>
      <w:r w:rsidR="00554607">
        <w:rPr>
          <w:rFonts w:asciiTheme="minorHAnsi" w:hAnsiTheme="minorHAnsi"/>
        </w:rPr>
        <w:t xml:space="preserve">effect of taking an offence into account is that a more severe sentence, or a sentence of a more severe type, </w:t>
      </w:r>
      <w:r w:rsidR="00184B97">
        <w:rPr>
          <w:rFonts w:asciiTheme="minorHAnsi" w:hAnsiTheme="minorHAnsi"/>
        </w:rPr>
        <w:t xml:space="preserve">will usually </w:t>
      </w:r>
      <w:r w:rsidR="007F2F0C">
        <w:rPr>
          <w:rFonts w:asciiTheme="minorHAnsi" w:hAnsiTheme="minorHAnsi"/>
        </w:rPr>
        <w:t>result</w:t>
      </w:r>
      <w:r w:rsidR="00554607">
        <w:rPr>
          <w:rFonts w:asciiTheme="minorHAnsi" w:hAnsiTheme="minorHAnsi"/>
        </w:rPr>
        <w:t>.</w:t>
      </w:r>
    </w:p>
    <w:p w14:paraId="2D4B8190" w14:textId="77777777" w:rsidR="00816321" w:rsidRPr="00816321" w:rsidRDefault="00816321" w:rsidP="00816321">
      <w:pPr>
        <w:pStyle w:val="ListParagraph"/>
        <w:rPr>
          <w:rFonts w:asciiTheme="minorHAnsi" w:hAnsiTheme="minorHAnsi"/>
        </w:rPr>
      </w:pPr>
    </w:p>
    <w:p w14:paraId="3692C178" w14:textId="14096F6A" w:rsidR="00816321" w:rsidRDefault="00B44A9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There is no requirement to quantify the effect, or to specify the sentence that would otherwise have been imposed; taking the other offence into account is merely a relevant factor to be considered in the instinctive synthesis.</w:t>
      </w:r>
    </w:p>
    <w:p w14:paraId="717D4186" w14:textId="77777777" w:rsidR="00341DF6" w:rsidRPr="00341DF6" w:rsidRDefault="00341DF6" w:rsidP="00341DF6">
      <w:pPr>
        <w:pStyle w:val="ListParagraph"/>
        <w:rPr>
          <w:rFonts w:asciiTheme="minorHAnsi" w:hAnsiTheme="minorHAnsi"/>
        </w:rPr>
      </w:pPr>
    </w:p>
    <w:p w14:paraId="4903E0AB" w14:textId="64F1AAEE" w:rsidR="00341DF6" w:rsidRPr="00C00000" w:rsidRDefault="005E580A"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Apart from the procedure in</w:t>
      </w:r>
      <w:r w:rsidR="008F6FAB">
        <w:rPr>
          <w:rFonts w:asciiTheme="minorHAnsi" w:hAnsiTheme="minorHAnsi"/>
        </w:rPr>
        <w:t xml:space="preserve"> s 16BA for t</w:t>
      </w:r>
      <w:r w:rsidR="00341DF6">
        <w:rPr>
          <w:rFonts w:asciiTheme="minorHAnsi" w:hAnsiTheme="minorHAnsi"/>
        </w:rPr>
        <w:t>aking other offences into account</w:t>
      </w:r>
      <w:r w:rsidR="008F6FAB">
        <w:rPr>
          <w:rFonts w:asciiTheme="minorHAnsi" w:hAnsiTheme="minorHAnsi"/>
        </w:rPr>
        <w:t xml:space="preserve">, </w:t>
      </w:r>
      <w:r w:rsidR="00C73B94">
        <w:rPr>
          <w:rFonts w:asciiTheme="minorHAnsi" w:hAnsiTheme="minorHAnsi"/>
        </w:rPr>
        <w:t>an</w:t>
      </w:r>
      <w:r w:rsidR="008F6FAB">
        <w:rPr>
          <w:rFonts w:asciiTheme="minorHAnsi" w:hAnsiTheme="minorHAnsi"/>
        </w:rPr>
        <w:t xml:space="preserve">other way in which a sentencing court may have regard to other offending </w:t>
      </w:r>
      <w:r w:rsidR="004415D8">
        <w:rPr>
          <w:rFonts w:asciiTheme="minorHAnsi" w:hAnsiTheme="minorHAnsi"/>
        </w:rPr>
        <w:t xml:space="preserve">(for which the offender does not fall to be sentenced) </w:t>
      </w:r>
      <w:r w:rsidR="008F6FAB">
        <w:rPr>
          <w:rFonts w:asciiTheme="minorHAnsi" w:hAnsiTheme="minorHAnsi"/>
        </w:rPr>
        <w:t xml:space="preserve">is </w:t>
      </w:r>
      <w:r w:rsidR="002147CD">
        <w:rPr>
          <w:rFonts w:asciiTheme="minorHAnsi" w:hAnsiTheme="minorHAnsi"/>
        </w:rPr>
        <w:t xml:space="preserve">by </w:t>
      </w:r>
      <w:r w:rsidR="008F6FAB">
        <w:rPr>
          <w:rFonts w:asciiTheme="minorHAnsi" w:hAnsiTheme="minorHAnsi"/>
        </w:rPr>
        <w:t>the practice of treating a charge as a representative charge</w:t>
      </w:r>
      <w:r w:rsidR="00F032AD" w:rsidRPr="00C00000">
        <w:rPr>
          <w:rStyle w:val="Style"/>
          <w:rFonts w:asciiTheme="minorHAnsi" w:hAnsiTheme="minorHAnsi"/>
        </w:rPr>
        <w:footnoteReference w:id="218"/>
      </w:r>
      <w:r w:rsidR="004415D8">
        <w:rPr>
          <w:rFonts w:asciiTheme="minorHAnsi" w:hAnsiTheme="minorHAnsi"/>
        </w:rPr>
        <w:t xml:space="preserve"> </w:t>
      </w:r>
      <w:r w:rsidR="002147CD">
        <w:rPr>
          <w:rFonts w:asciiTheme="minorHAnsi" w:hAnsiTheme="minorHAnsi"/>
        </w:rPr>
        <w:t>(</w:t>
      </w:r>
      <w:r w:rsidR="004415D8">
        <w:rPr>
          <w:rFonts w:asciiTheme="minorHAnsi" w:hAnsiTheme="minorHAnsi"/>
        </w:rPr>
        <w:t xml:space="preserve">that is, as representative of other </w:t>
      </w:r>
      <w:r w:rsidR="008F6FAB">
        <w:rPr>
          <w:rFonts w:asciiTheme="minorHAnsi" w:hAnsiTheme="minorHAnsi"/>
        </w:rPr>
        <w:t>admitted offend</w:t>
      </w:r>
      <w:r w:rsidR="004415D8">
        <w:rPr>
          <w:rFonts w:asciiTheme="minorHAnsi" w:hAnsiTheme="minorHAnsi"/>
        </w:rPr>
        <w:t>ing of the same type</w:t>
      </w:r>
      <w:r w:rsidR="002147CD">
        <w:rPr>
          <w:rFonts w:asciiTheme="minorHAnsi" w:hAnsiTheme="minorHAnsi"/>
        </w:rPr>
        <w:t>)</w:t>
      </w:r>
      <w:r w:rsidR="004415D8">
        <w:rPr>
          <w:rFonts w:asciiTheme="minorHAnsi" w:hAnsiTheme="minorHAnsi"/>
        </w:rPr>
        <w:t>.  See “</w:t>
      </w:r>
      <w:r w:rsidR="004415D8">
        <w:rPr>
          <w:rFonts w:asciiTheme="minorHAnsi" w:hAnsiTheme="minorHAnsi"/>
        </w:rPr>
        <w:fldChar w:fldCharType="begin"/>
      </w:r>
      <w:r w:rsidR="004415D8">
        <w:rPr>
          <w:rFonts w:asciiTheme="minorHAnsi" w:hAnsiTheme="minorHAnsi"/>
        </w:rPr>
        <w:instrText xml:space="preserve"> REF _Ref494547332 \r \h </w:instrText>
      </w:r>
      <w:r w:rsidR="004415D8">
        <w:rPr>
          <w:rFonts w:asciiTheme="minorHAnsi" w:hAnsiTheme="minorHAnsi"/>
        </w:rPr>
      </w:r>
      <w:r w:rsidR="004415D8">
        <w:rPr>
          <w:rFonts w:asciiTheme="minorHAnsi" w:hAnsiTheme="minorHAnsi"/>
        </w:rPr>
        <w:fldChar w:fldCharType="separate"/>
      </w:r>
      <w:r w:rsidR="00D44BCF">
        <w:rPr>
          <w:rFonts w:asciiTheme="minorHAnsi" w:hAnsiTheme="minorHAnsi"/>
        </w:rPr>
        <w:t>4.4.3</w:t>
      </w:r>
      <w:r w:rsidR="004415D8">
        <w:rPr>
          <w:rFonts w:asciiTheme="minorHAnsi" w:hAnsiTheme="minorHAnsi"/>
        </w:rPr>
        <w:fldChar w:fldCharType="end"/>
      </w:r>
      <w:r w:rsidR="004415D8">
        <w:rPr>
          <w:rFonts w:asciiTheme="minorHAnsi" w:hAnsiTheme="minorHAnsi"/>
        </w:rPr>
        <w:t xml:space="preserve"> </w:t>
      </w:r>
      <w:r w:rsidR="004415D8">
        <w:rPr>
          <w:rFonts w:asciiTheme="minorHAnsi" w:hAnsiTheme="minorHAnsi"/>
        </w:rPr>
        <w:fldChar w:fldCharType="begin"/>
      </w:r>
      <w:r w:rsidR="004415D8">
        <w:rPr>
          <w:rFonts w:asciiTheme="minorHAnsi" w:hAnsiTheme="minorHAnsi"/>
        </w:rPr>
        <w:instrText xml:space="preserve"> REF _Ref494547338 \h  \* MERGEFORMAT </w:instrText>
      </w:r>
      <w:r w:rsidR="004415D8">
        <w:rPr>
          <w:rFonts w:asciiTheme="minorHAnsi" w:hAnsiTheme="minorHAnsi"/>
        </w:rPr>
      </w:r>
      <w:r w:rsidR="004415D8">
        <w:rPr>
          <w:rFonts w:asciiTheme="minorHAnsi" w:hAnsiTheme="minorHAnsi"/>
        </w:rPr>
        <w:fldChar w:fldCharType="separate"/>
      </w:r>
      <w:r w:rsidR="00D44BCF" w:rsidRPr="00D44BCF">
        <w:rPr>
          <w:rFonts w:asciiTheme="minorHAnsi" w:hAnsiTheme="minorHAnsi"/>
        </w:rPr>
        <w:t>Course of conduct – s 16A(2)(c)</w:t>
      </w:r>
      <w:r w:rsidR="004415D8">
        <w:rPr>
          <w:rFonts w:asciiTheme="minorHAnsi" w:hAnsiTheme="minorHAnsi"/>
        </w:rPr>
        <w:fldChar w:fldCharType="end"/>
      </w:r>
      <w:r w:rsidR="004415D8">
        <w:rPr>
          <w:rFonts w:asciiTheme="minorHAnsi" w:hAnsiTheme="minorHAnsi"/>
        </w:rPr>
        <w:t>”</w:t>
      </w:r>
      <w:r w:rsidR="006C7ED2">
        <w:rPr>
          <w:rFonts w:asciiTheme="minorHAnsi" w:hAnsiTheme="minorHAnsi"/>
        </w:rPr>
        <w:t>.</w:t>
      </w:r>
    </w:p>
    <w:p w14:paraId="24019DD0" w14:textId="77777777" w:rsidR="00F938F4" w:rsidRPr="00C00000" w:rsidRDefault="00F938F4" w:rsidP="00F938F4">
      <w:pPr>
        <w:tabs>
          <w:tab w:val="left" w:pos="8364"/>
          <w:tab w:val="left" w:pos="9214"/>
        </w:tabs>
        <w:spacing w:line="276" w:lineRule="auto"/>
        <w:ind w:left="567" w:right="170" w:hanging="567"/>
        <w:jc w:val="both"/>
        <w:rPr>
          <w:rFonts w:asciiTheme="minorHAnsi" w:hAnsiTheme="minorHAnsi"/>
        </w:rPr>
      </w:pPr>
    </w:p>
    <w:p w14:paraId="44007DA4" w14:textId="24D8D59F" w:rsidR="00F938F4" w:rsidRPr="000C6ED8" w:rsidRDefault="00F938F4" w:rsidP="000C6ED8">
      <w:pPr>
        <w:pStyle w:val="Heading3"/>
      </w:pPr>
      <w:bookmarkStart w:id="1407" w:name="_Ref494546531"/>
      <w:bookmarkStart w:id="1408" w:name="_Ref494546534"/>
      <w:bookmarkStart w:id="1409" w:name="_Ref494547332"/>
      <w:bookmarkStart w:id="1410" w:name="_Ref494547338"/>
      <w:bookmarkStart w:id="1411" w:name="_Toc33602788"/>
      <w:r w:rsidRPr="000C6ED8">
        <w:t>Course of conduct – s 16A(2)(c)</w:t>
      </w:r>
      <w:bookmarkEnd w:id="1407"/>
      <w:bookmarkEnd w:id="1408"/>
      <w:bookmarkEnd w:id="1409"/>
      <w:bookmarkEnd w:id="1410"/>
      <w:bookmarkEnd w:id="1411"/>
    </w:p>
    <w:p w14:paraId="61E0CA47" w14:textId="77777777" w:rsidR="00F938F4" w:rsidRPr="00C00000" w:rsidRDefault="00F938F4" w:rsidP="000C6ED8">
      <w:pPr>
        <w:keepNext/>
        <w:tabs>
          <w:tab w:val="left" w:pos="8364"/>
          <w:tab w:val="left" w:pos="9214"/>
        </w:tabs>
        <w:spacing w:line="276" w:lineRule="auto"/>
        <w:ind w:left="567" w:right="170" w:hanging="567"/>
        <w:jc w:val="both"/>
        <w:rPr>
          <w:rFonts w:asciiTheme="minorHAnsi" w:hAnsiTheme="minorHAnsi"/>
        </w:rPr>
      </w:pPr>
    </w:p>
    <w:p w14:paraId="7F06A74B" w14:textId="434E2249" w:rsidR="001238DB" w:rsidRPr="00D25701" w:rsidRDefault="004408D4" w:rsidP="00EB7F1E">
      <w:pPr>
        <w:pStyle w:val="ListParagraph"/>
        <w:numPr>
          <w:ilvl w:val="0"/>
          <w:numId w:val="7"/>
        </w:numPr>
        <w:spacing w:line="276" w:lineRule="auto"/>
        <w:ind w:left="425" w:hanging="425"/>
        <w:contextualSpacing w:val="0"/>
        <w:rPr>
          <w:rFonts w:asciiTheme="minorHAnsi" w:hAnsiTheme="minorHAnsi"/>
        </w:rPr>
      </w:pPr>
      <w:r w:rsidRPr="00D25701">
        <w:rPr>
          <w:rFonts w:asciiTheme="minorHAnsi" w:hAnsiTheme="minorHAnsi"/>
        </w:rPr>
        <w:t>Where an offence forms part of a course of conduct consisting of a series of criminal acts of the same or a similar character, regard must be had to that course of conduct.</w:t>
      </w:r>
      <w:r w:rsidR="001238DB" w:rsidRPr="00C00000">
        <w:rPr>
          <w:rStyle w:val="Style"/>
          <w:rFonts w:asciiTheme="minorHAnsi" w:hAnsiTheme="minorHAnsi"/>
        </w:rPr>
        <w:footnoteReference w:id="219"/>
      </w:r>
      <w:r w:rsidR="001238DB" w:rsidRPr="00D25701">
        <w:rPr>
          <w:rFonts w:asciiTheme="minorHAnsi" w:hAnsiTheme="minorHAnsi"/>
        </w:rPr>
        <w:t xml:space="preserve"> </w:t>
      </w:r>
      <w:r w:rsidR="00D25701">
        <w:rPr>
          <w:rFonts w:asciiTheme="minorHAnsi" w:hAnsiTheme="minorHAnsi"/>
        </w:rPr>
        <w:t xml:space="preserve"> </w:t>
      </w:r>
      <w:r w:rsidR="001238DB" w:rsidRPr="00D25701">
        <w:rPr>
          <w:rFonts w:asciiTheme="minorHAnsi" w:hAnsiTheme="minorHAnsi"/>
        </w:rPr>
        <w:t>A course of conduct within paragraph 16A(2)(c) may consist of conduct within one hour</w:t>
      </w:r>
      <w:r w:rsidR="001238DB" w:rsidRPr="00C00000">
        <w:rPr>
          <w:rStyle w:val="Style"/>
          <w:rFonts w:asciiTheme="minorHAnsi" w:hAnsiTheme="minorHAnsi"/>
        </w:rPr>
        <w:footnoteReference w:id="220"/>
      </w:r>
      <w:r w:rsidR="001238DB" w:rsidRPr="00D25701">
        <w:rPr>
          <w:rFonts w:asciiTheme="minorHAnsi" w:hAnsiTheme="minorHAnsi"/>
        </w:rPr>
        <w:t xml:space="preserve"> or over a number of years.</w:t>
      </w:r>
      <w:r w:rsidR="001238DB" w:rsidRPr="00C00000">
        <w:rPr>
          <w:rStyle w:val="Style"/>
          <w:rFonts w:asciiTheme="minorHAnsi" w:hAnsiTheme="minorHAnsi"/>
        </w:rPr>
        <w:footnoteReference w:id="221"/>
      </w:r>
    </w:p>
    <w:p w14:paraId="3C828299" w14:textId="77777777" w:rsidR="001238DB" w:rsidRPr="001238DB" w:rsidRDefault="001238DB" w:rsidP="001238DB">
      <w:pPr>
        <w:pStyle w:val="ListParagraph"/>
        <w:rPr>
          <w:rFonts w:asciiTheme="minorHAnsi" w:hAnsiTheme="minorHAnsi"/>
        </w:rPr>
      </w:pPr>
    </w:p>
    <w:p w14:paraId="21470B9C" w14:textId="70AB847D" w:rsidR="00844095" w:rsidRDefault="004726E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fact that offending form</w:t>
      </w:r>
      <w:r w:rsidR="006C7ED2">
        <w:rPr>
          <w:rFonts w:asciiTheme="minorHAnsi" w:hAnsiTheme="minorHAnsi"/>
        </w:rPr>
        <w:t>s</w:t>
      </w:r>
      <w:r>
        <w:rPr>
          <w:rFonts w:asciiTheme="minorHAnsi" w:hAnsiTheme="minorHAnsi"/>
        </w:rPr>
        <w:t xml:space="preserve"> part of such a course of </w:t>
      </w:r>
      <w:r w:rsidR="00CF72CD">
        <w:rPr>
          <w:rFonts w:asciiTheme="minorHAnsi" w:hAnsiTheme="minorHAnsi"/>
        </w:rPr>
        <w:t xml:space="preserve">criminal </w:t>
      </w:r>
      <w:r>
        <w:rPr>
          <w:rFonts w:asciiTheme="minorHAnsi" w:hAnsiTheme="minorHAnsi"/>
        </w:rPr>
        <w:t>conduct may be relevant in more than one way.</w:t>
      </w:r>
      <w:r w:rsidR="00454FB7" w:rsidRPr="00C00000">
        <w:rPr>
          <w:rStyle w:val="Style"/>
          <w:rFonts w:asciiTheme="minorHAnsi" w:hAnsiTheme="minorHAnsi"/>
        </w:rPr>
        <w:footnoteReference w:id="222"/>
      </w:r>
    </w:p>
    <w:p w14:paraId="7FBDA392" w14:textId="77777777" w:rsidR="00844095" w:rsidRPr="00844095" w:rsidRDefault="00844095" w:rsidP="00844095">
      <w:pPr>
        <w:pStyle w:val="ListParagraph"/>
        <w:rPr>
          <w:rFonts w:asciiTheme="minorHAnsi" w:hAnsiTheme="minorHAnsi"/>
        </w:rPr>
      </w:pPr>
    </w:p>
    <w:p w14:paraId="18D47615" w14:textId="7BD823F2" w:rsidR="00805CE6" w:rsidRDefault="004726E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First, it may be relevant to the application of the principle of totality.</w:t>
      </w:r>
      <w:r w:rsidR="00505530" w:rsidRPr="00C00000">
        <w:rPr>
          <w:rStyle w:val="Style"/>
          <w:rFonts w:asciiTheme="minorHAnsi" w:hAnsiTheme="minorHAnsi"/>
        </w:rPr>
        <w:footnoteReference w:id="223"/>
      </w:r>
      <w:r>
        <w:rPr>
          <w:rFonts w:asciiTheme="minorHAnsi" w:hAnsiTheme="minorHAnsi"/>
        </w:rPr>
        <w:t xml:space="preserve">  If the offend</w:t>
      </w:r>
      <w:r w:rsidR="00505530">
        <w:rPr>
          <w:rFonts w:asciiTheme="minorHAnsi" w:hAnsiTheme="minorHAnsi"/>
        </w:rPr>
        <w:t xml:space="preserve">er is to be sentenced for offences which </w:t>
      </w:r>
      <w:r>
        <w:rPr>
          <w:rFonts w:asciiTheme="minorHAnsi" w:hAnsiTheme="minorHAnsi"/>
        </w:rPr>
        <w:t>form part of a</w:t>
      </w:r>
      <w:r w:rsidR="00505530">
        <w:rPr>
          <w:rFonts w:asciiTheme="minorHAnsi" w:hAnsiTheme="minorHAnsi"/>
        </w:rPr>
        <w:t xml:space="preserve"> course of conduct, and is being sentenced or has been sentenced for other offences committed </w:t>
      </w:r>
      <w:r w:rsidR="005E580A">
        <w:rPr>
          <w:rFonts w:asciiTheme="minorHAnsi" w:hAnsiTheme="minorHAnsi"/>
        </w:rPr>
        <w:t xml:space="preserve">as part of </w:t>
      </w:r>
      <w:r w:rsidR="00505530">
        <w:rPr>
          <w:rFonts w:asciiTheme="minorHAnsi" w:hAnsiTheme="minorHAnsi"/>
        </w:rPr>
        <w:t>the same course of conduct, the sentencing court must have regard to the totality of the offending conduct in fixing sentence.</w:t>
      </w:r>
      <w:r w:rsidR="00454FB7" w:rsidRPr="00C00000">
        <w:rPr>
          <w:rStyle w:val="Style"/>
          <w:rFonts w:asciiTheme="minorHAnsi" w:hAnsiTheme="minorHAnsi"/>
        </w:rPr>
        <w:footnoteReference w:id="224"/>
      </w:r>
      <w:r w:rsidR="00505530">
        <w:rPr>
          <w:rFonts w:asciiTheme="minorHAnsi" w:hAnsiTheme="minorHAnsi"/>
        </w:rPr>
        <w:t xml:space="preserve">  </w:t>
      </w:r>
      <w:r w:rsidR="00454FB7">
        <w:rPr>
          <w:rFonts w:asciiTheme="minorHAnsi" w:hAnsiTheme="minorHAnsi"/>
        </w:rPr>
        <w:t>The principle act</w:t>
      </w:r>
      <w:r w:rsidR="00F62667">
        <w:rPr>
          <w:rFonts w:asciiTheme="minorHAnsi" w:hAnsiTheme="minorHAnsi"/>
        </w:rPr>
        <w:t>s as a check on the sentence to be imposed.</w:t>
      </w:r>
    </w:p>
    <w:p w14:paraId="3D454F53" w14:textId="77777777" w:rsidR="00805CE6" w:rsidRPr="00805CE6" w:rsidRDefault="00805CE6" w:rsidP="00805CE6">
      <w:pPr>
        <w:pStyle w:val="ListParagraph"/>
        <w:rPr>
          <w:rFonts w:asciiTheme="minorHAnsi" w:hAnsiTheme="minorHAnsi"/>
        </w:rPr>
      </w:pPr>
    </w:p>
    <w:p w14:paraId="468113C0" w14:textId="30010B83" w:rsidR="009F07DA" w:rsidRDefault="00F6266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Second, </w:t>
      </w:r>
      <w:r w:rsidR="009F07DA">
        <w:rPr>
          <w:rFonts w:asciiTheme="minorHAnsi" w:hAnsiTheme="minorHAnsi"/>
        </w:rPr>
        <w:t>while the existence of a course of conduct does not permit double punishment of the offender,</w:t>
      </w:r>
      <w:r w:rsidR="00961BE1" w:rsidRPr="00C00000">
        <w:rPr>
          <w:rStyle w:val="Style"/>
          <w:rFonts w:asciiTheme="minorHAnsi" w:hAnsiTheme="minorHAnsi"/>
        </w:rPr>
        <w:footnoteReference w:id="225"/>
      </w:r>
      <w:r w:rsidR="00961BE1" w:rsidRPr="00961BE1">
        <w:rPr>
          <w:rStyle w:val="Heading1Char"/>
        </w:rPr>
        <w:t xml:space="preserve"> </w:t>
      </w:r>
      <w:r>
        <w:rPr>
          <w:rFonts w:asciiTheme="minorHAnsi" w:hAnsiTheme="minorHAnsi"/>
        </w:rPr>
        <w:t>the fact that the instant offending form</w:t>
      </w:r>
      <w:r w:rsidR="00414DFD">
        <w:rPr>
          <w:rFonts w:asciiTheme="minorHAnsi" w:hAnsiTheme="minorHAnsi"/>
        </w:rPr>
        <w:t>ed</w:t>
      </w:r>
      <w:r>
        <w:rPr>
          <w:rFonts w:asciiTheme="minorHAnsi" w:hAnsiTheme="minorHAnsi"/>
        </w:rPr>
        <w:t xml:space="preserve"> part of a course of </w:t>
      </w:r>
      <w:r w:rsidR="00414DFD">
        <w:rPr>
          <w:rFonts w:asciiTheme="minorHAnsi" w:hAnsiTheme="minorHAnsi"/>
        </w:rPr>
        <w:t xml:space="preserve">criminal </w:t>
      </w:r>
      <w:r>
        <w:rPr>
          <w:rFonts w:asciiTheme="minorHAnsi" w:hAnsiTheme="minorHAnsi"/>
        </w:rPr>
        <w:t xml:space="preserve">conduct may be relevant in </w:t>
      </w:r>
      <w:r w:rsidR="009F07DA">
        <w:rPr>
          <w:rFonts w:asciiTheme="minorHAnsi" w:hAnsiTheme="minorHAnsi"/>
        </w:rPr>
        <w:t>putting the offending</w:t>
      </w:r>
      <w:r w:rsidR="00A076E2">
        <w:rPr>
          <w:rFonts w:asciiTheme="minorHAnsi" w:hAnsiTheme="minorHAnsi"/>
        </w:rPr>
        <w:t xml:space="preserve"> in context.  Such a course of conduct may show that the offending for which the offender is to be sentenced was not an isolated incident, or was </w:t>
      </w:r>
      <w:r w:rsidR="006251C0">
        <w:rPr>
          <w:rFonts w:asciiTheme="minorHAnsi" w:hAnsiTheme="minorHAnsi"/>
        </w:rPr>
        <w:t xml:space="preserve">planned and </w:t>
      </w:r>
      <w:r w:rsidR="00A076E2">
        <w:rPr>
          <w:rFonts w:asciiTheme="minorHAnsi" w:hAnsiTheme="minorHAnsi"/>
        </w:rPr>
        <w:t>premeditated and not spontaneous</w:t>
      </w:r>
      <w:r w:rsidR="006251C0">
        <w:rPr>
          <w:rFonts w:asciiTheme="minorHAnsi" w:hAnsiTheme="minorHAnsi"/>
        </w:rPr>
        <w:t xml:space="preserve"> or opportunistic</w:t>
      </w:r>
      <w:r w:rsidR="00A076E2">
        <w:rPr>
          <w:rFonts w:asciiTheme="minorHAnsi" w:hAnsiTheme="minorHAnsi"/>
        </w:rPr>
        <w:t>,</w:t>
      </w:r>
      <w:r w:rsidR="006251C0" w:rsidRPr="00C00000">
        <w:rPr>
          <w:rStyle w:val="Style"/>
          <w:rFonts w:asciiTheme="minorHAnsi" w:hAnsiTheme="minorHAnsi"/>
        </w:rPr>
        <w:footnoteReference w:id="226"/>
      </w:r>
      <w:r w:rsidR="00A076E2">
        <w:rPr>
          <w:rFonts w:asciiTheme="minorHAnsi" w:hAnsiTheme="minorHAnsi"/>
        </w:rPr>
        <w:t xml:space="preserve"> or </w:t>
      </w:r>
      <w:r w:rsidR="00A116CF">
        <w:rPr>
          <w:rFonts w:asciiTheme="minorHAnsi" w:hAnsiTheme="minorHAnsi"/>
        </w:rPr>
        <w:t xml:space="preserve">it </w:t>
      </w:r>
      <w:r w:rsidR="00A076E2">
        <w:rPr>
          <w:rFonts w:asciiTheme="minorHAnsi" w:hAnsiTheme="minorHAnsi"/>
        </w:rPr>
        <w:t>may cast light on the</w:t>
      </w:r>
      <w:r w:rsidR="006251C0">
        <w:rPr>
          <w:rFonts w:asciiTheme="minorHAnsi" w:hAnsiTheme="minorHAnsi"/>
        </w:rPr>
        <w:t xml:space="preserve"> motivation, commitment or</w:t>
      </w:r>
      <w:r w:rsidR="00A076E2">
        <w:rPr>
          <w:rFonts w:asciiTheme="minorHAnsi" w:hAnsiTheme="minorHAnsi"/>
        </w:rPr>
        <w:t xml:space="preserve"> role of the offender or the scale of the offending</w:t>
      </w:r>
      <w:r w:rsidR="00434DC7" w:rsidRPr="00C00000">
        <w:rPr>
          <w:rStyle w:val="Style"/>
          <w:rFonts w:asciiTheme="minorHAnsi" w:hAnsiTheme="minorHAnsi"/>
        </w:rPr>
        <w:footnoteReference w:id="227"/>
      </w:r>
      <w:r w:rsidR="00414DFD">
        <w:rPr>
          <w:rFonts w:asciiTheme="minorHAnsi" w:hAnsiTheme="minorHAnsi"/>
        </w:rPr>
        <w:t xml:space="preserve"> </w:t>
      </w:r>
      <w:r w:rsidR="00B14C7C">
        <w:rPr>
          <w:rFonts w:asciiTheme="minorHAnsi" w:hAnsiTheme="minorHAnsi"/>
        </w:rPr>
        <w:t xml:space="preserve">- </w:t>
      </w:r>
      <w:r w:rsidR="00414DFD">
        <w:rPr>
          <w:rFonts w:asciiTheme="minorHAnsi" w:hAnsiTheme="minorHAnsi"/>
        </w:rPr>
        <w:t xml:space="preserve">matters which are relevant to </w:t>
      </w:r>
      <w:r w:rsidR="00B14C7C">
        <w:rPr>
          <w:rFonts w:asciiTheme="minorHAnsi" w:hAnsiTheme="minorHAnsi"/>
        </w:rPr>
        <w:t>considering</w:t>
      </w:r>
      <w:r w:rsidR="00414DFD">
        <w:rPr>
          <w:rFonts w:asciiTheme="minorHAnsi" w:hAnsiTheme="minorHAnsi"/>
        </w:rPr>
        <w:t xml:space="preserve"> the nature and circumstances of the offence </w:t>
      </w:r>
      <w:r w:rsidR="00053EA5">
        <w:rPr>
          <w:rFonts w:asciiTheme="minorHAnsi" w:hAnsiTheme="minorHAnsi"/>
        </w:rPr>
        <w:t>(</w:t>
      </w:r>
      <w:r w:rsidR="00414DFD">
        <w:rPr>
          <w:rFonts w:asciiTheme="minorHAnsi" w:hAnsiTheme="minorHAnsi"/>
        </w:rPr>
        <w:t>s 16A(2)(a)</w:t>
      </w:r>
      <w:r w:rsidR="00053EA5">
        <w:rPr>
          <w:rFonts w:asciiTheme="minorHAnsi" w:hAnsiTheme="minorHAnsi"/>
        </w:rPr>
        <w:t>)</w:t>
      </w:r>
      <w:r w:rsidR="004414A7">
        <w:rPr>
          <w:rFonts w:asciiTheme="minorHAnsi" w:hAnsiTheme="minorHAnsi"/>
        </w:rPr>
        <w:t>,</w:t>
      </w:r>
      <w:r w:rsidR="00053EA5">
        <w:rPr>
          <w:rFonts w:asciiTheme="minorHAnsi" w:hAnsiTheme="minorHAnsi"/>
        </w:rPr>
        <w:t xml:space="preserve"> ensuring that the offender is</w:t>
      </w:r>
      <w:r w:rsidR="00A076E2">
        <w:rPr>
          <w:rFonts w:asciiTheme="minorHAnsi" w:hAnsiTheme="minorHAnsi"/>
        </w:rPr>
        <w:t xml:space="preserve"> </w:t>
      </w:r>
      <w:r w:rsidR="00053EA5" w:rsidRPr="00053EA5">
        <w:rPr>
          <w:rFonts w:asciiTheme="minorHAnsi" w:hAnsiTheme="minorHAnsi"/>
          <w:color w:val="000000"/>
          <w:szCs w:val="22"/>
          <w:lang w:eastAsia="en-AU"/>
        </w:rPr>
        <w:t>adequately punished for the offence</w:t>
      </w:r>
      <w:r w:rsidR="00053EA5">
        <w:rPr>
          <w:rFonts w:asciiTheme="minorHAnsi" w:hAnsiTheme="minorHAnsi"/>
        </w:rPr>
        <w:t xml:space="preserve"> (s 16A(2)(k))</w:t>
      </w:r>
      <w:r w:rsidR="004414A7">
        <w:rPr>
          <w:rFonts w:asciiTheme="minorHAnsi" w:hAnsiTheme="minorHAnsi"/>
        </w:rPr>
        <w:t xml:space="preserve">, and </w:t>
      </w:r>
      <w:r w:rsidR="00B14C7C">
        <w:rPr>
          <w:rFonts w:asciiTheme="minorHAnsi" w:hAnsiTheme="minorHAnsi"/>
        </w:rPr>
        <w:t xml:space="preserve">determining </w:t>
      </w:r>
      <w:r w:rsidR="004414A7">
        <w:rPr>
          <w:rFonts w:asciiTheme="minorHAnsi" w:hAnsiTheme="minorHAnsi"/>
        </w:rPr>
        <w:t>the need for specific deterrence (s 16A(2)(j))</w:t>
      </w:r>
      <w:r w:rsidR="00053EA5">
        <w:rPr>
          <w:rFonts w:asciiTheme="minorHAnsi" w:hAnsiTheme="minorHAnsi"/>
        </w:rPr>
        <w:t>.</w:t>
      </w:r>
    </w:p>
    <w:p w14:paraId="1B48638E" w14:textId="77777777" w:rsidR="009F07DA" w:rsidRPr="009F07DA" w:rsidRDefault="009F07DA" w:rsidP="009F07DA">
      <w:pPr>
        <w:pStyle w:val="ListParagraph"/>
        <w:rPr>
          <w:rFonts w:asciiTheme="minorHAnsi" w:hAnsiTheme="minorHAnsi"/>
        </w:rPr>
      </w:pPr>
    </w:p>
    <w:p w14:paraId="3D702C1C" w14:textId="0681E60F" w:rsidR="00A116CF" w:rsidRDefault="009F07D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Third, offending as part of a course of criminal conduct </w:t>
      </w:r>
      <w:r w:rsidR="00A116CF">
        <w:rPr>
          <w:rFonts w:asciiTheme="minorHAnsi" w:hAnsiTheme="minorHAnsi"/>
        </w:rPr>
        <w:t xml:space="preserve">may </w:t>
      </w:r>
      <w:r>
        <w:rPr>
          <w:rFonts w:asciiTheme="minorHAnsi" w:hAnsiTheme="minorHAnsi"/>
        </w:rPr>
        <w:t xml:space="preserve">also </w:t>
      </w:r>
      <w:r w:rsidR="00A116CF">
        <w:rPr>
          <w:rFonts w:asciiTheme="minorHAnsi" w:hAnsiTheme="minorHAnsi"/>
        </w:rPr>
        <w:t>reduce or negate mitigating factors th</w:t>
      </w:r>
      <w:r>
        <w:rPr>
          <w:rFonts w:asciiTheme="minorHAnsi" w:hAnsiTheme="minorHAnsi"/>
        </w:rPr>
        <w:t>at would otherwise have applied.</w:t>
      </w:r>
      <w:r w:rsidR="00A116CF">
        <w:rPr>
          <w:rFonts w:asciiTheme="minorHAnsi" w:hAnsiTheme="minorHAnsi"/>
        </w:rPr>
        <w:t xml:space="preserve"> </w:t>
      </w:r>
      <w:r>
        <w:rPr>
          <w:rFonts w:asciiTheme="minorHAnsi" w:hAnsiTheme="minorHAnsi"/>
        </w:rPr>
        <w:t xml:space="preserve"> For </w:t>
      </w:r>
      <w:r w:rsidR="00A116CF">
        <w:rPr>
          <w:rFonts w:asciiTheme="minorHAnsi" w:hAnsiTheme="minorHAnsi"/>
        </w:rPr>
        <w:t xml:space="preserve">example, </w:t>
      </w:r>
      <w:r>
        <w:rPr>
          <w:rFonts w:asciiTheme="minorHAnsi" w:hAnsiTheme="minorHAnsi"/>
        </w:rPr>
        <w:t>it may</w:t>
      </w:r>
      <w:r w:rsidR="00A116CF">
        <w:rPr>
          <w:rFonts w:asciiTheme="minorHAnsi" w:hAnsiTheme="minorHAnsi"/>
        </w:rPr>
        <w:t xml:space="preserve"> undermin</w:t>
      </w:r>
      <w:r>
        <w:rPr>
          <w:rFonts w:asciiTheme="minorHAnsi" w:hAnsiTheme="minorHAnsi"/>
        </w:rPr>
        <w:t>e</w:t>
      </w:r>
      <w:r w:rsidR="00A116CF">
        <w:rPr>
          <w:rFonts w:asciiTheme="minorHAnsi" w:hAnsiTheme="minorHAnsi"/>
        </w:rPr>
        <w:t xml:space="preserve"> a claim that the offending</w:t>
      </w:r>
      <w:r w:rsidR="00A076E2">
        <w:rPr>
          <w:rFonts w:asciiTheme="minorHAnsi" w:hAnsiTheme="minorHAnsi"/>
        </w:rPr>
        <w:t xml:space="preserve"> was out of character</w:t>
      </w:r>
      <w:r w:rsidR="004414A7" w:rsidRPr="00C00000">
        <w:rPr>
          <w:rStyle w:val="Style"/>
          <w:rFonts w:asciiTheme="minorHAnsi" w:hAnsiTheme="minorHAnsi"/>
        </w:rPr>
        <w:footnoteReference w:id="228"/>
      </w:r>
      <w:r w:rsidR="00A076E2">
        <w:rPr>
          <w:rFonts w:asciiTheme="minorHAnsi" w:hAnsiTheme="minorHAnsi"/>
        </w:rPr>
        <w:t xml:space="preserve"> </w:t>
      </w:r>
      <w:r w:rsidR="00414DFD">
        <w:rPr>
          <w:rFonts w:asciiTheme="minorHAnsi" w:hAnsiTheme="minorHAnsi"/>
        </w:rPr>
        <w:t xml:space="preserve">or was prompted by temporarily impaired mental functioning (see s 16A(2)(m)) </w:t>
      </w:r>
      <w:r w:rsidR="00A076E2">
        <w:rPr>
          <w:rFonts w:asciiTheme="minorHAnsi" w:hAnsiTheme="minorHAnsi"/>
        </w:rPr>
        <w:t xml:space="preserve">or that the </w:t>
      </w:r>
      <w:r w:rsidR="00A116CF">
        <w:rPr>
          <w:rFonts w:asciiTheme="minorHAnsi" w:hAnsiTheme="minorHAnsi"/>
        </w:rPr>
        <w:t>offender was contrite</w:t>
      </w:r>
      <w:r w:rsidR="00414DFD">
        <w:rPr>
          <w:rFonts w:asciiTheme="minorHAnsi" w:hAnsiTheme="minorHAnsi"/>
        </w:rPr>
        <w:t xml:space="preserve"> (s 16A(2)(f))</w:t>
      </w:r>
      <w:r w:rsidR="00A116CF">
        <w:rPr>
          <w:rFonts w:asciiTheme="minorHAnsi" w:hAnsiTheme="minorHAnsi"/>
        </w:rPr>
        <w:t>, or had good prospects of rehabilitation</w:t>
      </w:r>
      <w:r w:rsidR="00414DFD">
        <w:rPr>
          <w:rFonts w:asciiTheme="minorHAnsi" w:hAnsiTheme="minorHAnsi"/>
        </w:rPr>
        <w:t xml:space="preserve"> (s 16A(2)(n))</w:t>
      </w:r>
      <w:r w:rsidR="00A116CF">
        <w:rPr>
          <w:rFonts w:asciiTheme="minorHAnsi" w:hAnsiTheme="minorHAnsi"/>
        </w:rPr>
        <w:t>.</w:t>
      </w:r>
      <w:r w:rsidR="00EE5897">
        <w:rPr>
          <w:rFonts w:asciiTheme="minorHAnsi" w:hAnsiTheme="minorHAnsi"/>
        </w:rPr>
        <w:t xml:space="preserve">  </w:t>
      </w:r>
      <w:r w:rsidR="00961BE1">
        <w:rPr>
          <w:rFonts w:asciiTheme="minorHAnsi" w:hAnsiTheme="minorHAnsi"/>
        </w:rPr>
        <w:t>A course of conduct</w:t>
      </w:r>
      <w:r w:rsidR="00A116CF">
        <w:rPr>
          <w:rFonts w:asciiTheme="minorHAnsi" w:hAnsiTheme="minorHAnsi"/>
        </w:rPr>
        <w:t xml:space="preserve"> may be relevant to assessing the weight to be given to specific deterrence</w:t>
      </w:r>
      <w:r w:rsidR="00844095">
        <w:rPr>
          <w:rFonts w:asciiTheme="minorHAnsi" w:hAnsiTheme="minorHAnsi"/>
        </w:rPr>
        <w:t xml:space="preserve"> (s 16A(2)(j)), or to a guilty plea (s 16A(2)(g)) or to </w:t>
      </w:r>
      <w:r w:rsidR="005314AC">
        <w:rPr>
          <w:rFonts w:asciiTheme="minorHAnsi" w:hAnsiTheme="minorHAnsi"/>
        </w:rPr>
        <w:t>cooperation</w:t>
      </w:r>
      <w:r w:rsidR="00844095">
        <w:rPr>
          <w:rFonts w:asciiTheme="minorHAnsi" w:hAnsiTheme="minorHAnsi"/>
        </w:rPr>
        <w:t xml:space="preserve"> (s 16A(2)(h)).</w:t>
      </w:r>
      <w:r w:rsidR="00053EA5">
        <w:rPr>
          <w:rFonts w:asciiTheme="minorHAnsi" w:hAnsiTheme="minorHAnsi"/>
        </w:rPr>
        <w:t xml:space="preserve">  Any of these examples (which are by no means exhaustive) ultimately </w:t>
      </w:r>
      <w:r w:rsidR="006C7ED2">
        <w:rPr>
          <w:rFonts w:asciiTheme="minorHAnsi" w:hAnsiTheme="minorHAnsi"/>
        </w:rPr>
        <w:t xml:space="preserve">go </w:t>
      </w:r>
      <w:r w:rsidR="00053EA5">
        <w:rPr>
          <w:rFonts w:asciiTheme="minorHAnsi" w:hAnsiTheme="minorHAnsi"/>
        </w:rPr>
        <w:t>to ensuring that the</w:t>
      </w:r>
      <w:r>
        <w:rPr>
          <w:rFonts w:asciiTheme="minorHAnsi" w:hAnsiTheme="minorHAnsi"/>
        </w:rPr>
        <w:t xml:space="preserve"> sentence</w:t>
      </w:r>
      <w:r w:rsidR="00053EA5">
        <w:rPr>
          <w:rFonts w:asciiTheme="minorHAnsi" w:hAnsiTheme="minorHAnsi"/>
        </w:rPr>
        <w:t xml:space="preserve"> is </w:t>
      </w:r>
      <w:r>
        <w:rPr>
          <w:rFonts w:asciiTheme="minorHAnsi" w:hAnsiTheme="minorHAnsi"/>
        </w:rPr>
        <w:t>appropriate (s 16A(1)).</w:t>
      </w:r>
    </w:p>
    <w:p w14:paraId="2343B561" w14:textId="77777777" w:rsidR="00385512" w:rsidRPr="00576EEE" w:rsidRDefault="00385512" w:rsidP="00385512">
      <w:pPr>
        <w:rPr>
          <w:rFonts w:ascii="Calibri" w:hAnsi="Calibri"/>
          <w:sz w:val="20"/>
        </w:rPr>
      </w:pPr>
    </w:p>
    <w:p w14:paraId="4CA74EFA" w14:textId="637E51D5" w:rsidR="00DD7B3F" w:rsidRDefault="00FE0F3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There is controversy over whether the course of conduct referred to in s 16A(2)(c) may include </w:t>
      </w:r>
      <w:r w:rsidR="001630D2">
        <w:rPr>
          <w:rFonts w:asciiTheme="minorHAnsi" w:hAnsiTheme="minorHAnsi"/>
        </w:rPr>
        <w:t>offences</w:t>
      </w:r>
      <w:r>
        <w:rPr>
          <w:rFonts w:asciiTheme="minorHAnsi" w:hAnsiTheme="minorHAnsi"/>
        </w:rPr>
        <w:t xml:space="preserve"> </w:t>
      </w:r>
      <w:r w:rsidR="00BF2DA1">
        <w:rPr>
          <w:rFonts w:asciiTheme="minorHAnsi" w:hAnsiTheme="minorHAnsi"/>
        </w:rPr>
        <w:t xml:space="preserve">of </w:t>
      </w:r>
      <w:r>
        <w:rPr>
          <w:rFonts w:asciiTheme="minorHAnsi" w:hAnsiTheme="minorHAnsi"/>
        </w:rPr>
        <w:t xml:space="preserve">which the offender has not been </w:t>
      </w:r>
      <w:r w:rsidR="00AF378E">
        <w:rPr>
          <w:rFonts w:asciiTheme="minorHAnsi" w:hAnsiTheme="minorHAnsi"/>
        </w:rPr>
        <w:t>found guilty</w:t>
      </w:r>
      <w:r w:rsidR="001630D2">
        <w:rPr>
          <w:rFonts w:asciiTheme="minorHAnsi" w:hAnsiTheme="minorHAnsi"/>
        </w:rPr>
        <w:t xml:space="preserve">.  </w:t>
      </w:r>
      <w:r w:rsidR="00296C90">
        <w:rPr>
          <w:rFonts w:asciiTheme="minorHAnsi" w:hAnsiTheme="minorHAnsi"/>
        </w:rPr>
        <w:t xml:space="preserve">In </w:t>
      </w:r>
      <w:r w:rsidR="00296C90" w:rsidRPr="00AF378E">
        <w:rPr>
          <w:rFonts w:asciiTheme="minorHAnsi" w:hAnsiTheme="minorHAnsi"/>
          <w:i/>
        </w:rPr>
        <w:t>Weininger</w:t>
      </w:r>
      <w:r w:rsidR="00296C90">
        <w:rPr>
          <w:rFonts w:asciiTheme="minorHAnsi" w:hAnsiTheme="minorHAnsi"/>
        </w:rPr>
        <w:t>,</w:t>
      </w:r>
      <w:r w:rsidR="00100EEB" w:rsidRPr="00C00000">
        <w:rPr>
          <w:rStyle w:val="Style"/>
          <w:rFonts w:asciiTheme="minorHAnsi" w:hAnsiTheme="minorHAnsi"/>
        </w:rPr>
        <w:footnoteReference w:id="229"/>
      </w:r>
      <w:r w:rsidR="00296C90">
        <w:rPr>
          <w:rFonts w:asciiTheme="minorHAnsi" w:hAnsiTheme="minorHAnsi"/>
        </w:rPr>
        <w:t xml:space="preserve"> Callinan J expressed the view</w:t>
      </w:r>
      <w:r w:rsidR="00AF378E">
        <w:rPr>
          <w:rFonts w:asciiTheme="minorHAnsi" w:hAnsiTheme="minorHAnsi"/>
        </w:rPr>
        <w:t>,</w:t>
      </w:r>
      <w:r w:rsidR="00296C90">
        <w:rPr>
          <w:rFonts w:asciiTheme="minorHAnsi" w:hAnsiTheme="minorHAnsi"/>
        </w:rPr>
        <w:t xml:space="preserve"> </w:t>
      </w:r>
      <w:r w:rsidR="00AF378E" w:rsidRPr="00AF378E">
        <w:rPr>
          <w:rFonts w:asciiTheme="minorHAnsi" w:hAnsiTheme="minorHAnsi"/>
          <w:i/>
        </w:rPr>
        <w:t>obiter dicta</w:t>
      </w:r>
      <w:r w:rsidR="00AF378E">
        <w:rPr>
          <w:rFonts w:asciiTheme="minorHAnsi" w:hAnsiTheme="minorHAnsi"/>
        </w:rPr>
        <w:t xml:space="preserve">, </w:t>
      </w:r>
      <w:r w:rsidR="00296C90">
        <w:rPr>
          <w:rFonts w:asciiTheme="minorHAnsi" w:hAnsiTheme="minorHAnsi"/>
        </w:rPr>
        <w:t>that it could</w:t>
      </w:r>
      <w:r w:rsidR="00AF378E">
        <w:rPr>
          <w:rFonts w:asciiTheme="minorHAnsi" w:hAnsiTheme="minorHAnsi"/>
        </w:rPr>
        <w:t>; his Honour considered that</w:t>
      </w:r>
      <w:r w:rsidR="00296C90">
        <w:rPr>
          <w:rFonts w:asciiTheme="minorHAnsi" w:hAnsiTheme="minorHAnsi"/>
        </w:rPr>
        <w:t xml:space="preserve"> the difference in the language used in s 16A(2)(b) </w:t>
      </w:r>
      <w:r w:rsidR="00AF378E">
        <w:rPr>
          <w:rFonts w:asciiTheme="minorHAnsi" w:hAnsiTheme="minorHAnsi"/>
        </w:rPr>
        <w:t>and s 16A(2)(c) implied that the reference to “</w:t>
      </w:r>
      <w:r w:rsidR="00AF378E" w:rsidRPr="00AF378E">
        <w:rPr>
          <w:rFonts w:asciiTheme="minorHAnsi" w:hAnsiTheme="minorHAnsi"/>
          <w:i/>
        </w:rPr>
        <w:t>a series of criminal acts of the same or a similar character</w:t>
      </w:r>
      <w:r w:rsidR="00AF378E">
        <w:rPr>
          <w:rFonts w:asciiTheme="minorHAnsi" w:hAnsiTheme="minorHAnsi"/>
        </w:rPr>
        <w:t>” in the latter was not confined to offences of which the offender had been found guilty.  Kirby J in the same case, in dissent, expressed a contrary view.</w:t>
      </w:r>
      <w:r w:rsidR="00100EEB" w:rsidRPr="00C00000">
        <w:rPr>
          <w:rStyle w:val="Style"/>
          <w:rFonts w:asciiTheme="minorHAnsi" w:hAnsiTheme="minorHAnsi"/>
        </w:rPr>
        <w:footnoteReference w:id="230"/>
      </w:r>
    </w:p>
    <w:p w14:paraId="526422E8" w14:textId="77777777" w:rsidR="00DD7B3F" w:rsidRPr="00DD7B3F" w:rsidRDefault="00DD7B3F" w:rsidP="00DD7B3F">
      <w:pPr>
        <w:pStyle w:val="ListParagraph"/>
        <w:rPr>
          <w:rFonts w:asciiTheme="minorHAnsi" w:hAnsiTheme="minorHAnsi"/>
        </w:rPr>
      </w:pPr>
    </w:p>
    <w:p w14:paraId="67BB4B1F" w14:textId="69E68C75" w:rsidR="00385512" w:rsidRPr="00FE0F31" w:rsidRDefault="00100EE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view of the </w:t>
      </w:r>
      <w:r w:rsidR="00DD7B3F">
        <w:rPr>
          <w:rFonts w:asciiTheme="minorHAnsi" w:hAnsiTheme="minorHAnsi"/>
        </w:rPr>
        <w:t>C</w:t>
      </w:r>
      <w:r>
        <w:rPr>
          <w:rFonts w:asciiTheme="minorHAnsi" w:hAnsiTheme="minorHAnsi"/>
        </w:rPr>
        <w:t xml:space="preserve">DPP is that, at the least, </w:t>
      </w:r>
      <w:r w:rsidR="007A2205">
        <w:rPr>
          <w:rFonts w:asciiTheme="minorHAnsi" w:hAnsiTheme="minorHAnsi"/>
        </w:rPr>
        <w:t>other criminal conduct which the offender has admitted, or which has been proven beyond reasonable doubt, could constitute “</w:t>
      </w:r>
      <w:r w:rsidR="007A2205" w:rsidRPr="007A2205">
        <w:rPr>
          <w:rFonts w:asciiTheme="minorHAnsi" w:hAnsiTheme="minorHAnsi"/>
          <w:i/>
        </w:rPr>
        <w:t>criminal acts of the same or a similar character</w:t>
      </w:r>
      <w:r w:rsidR="007A2205">
        <w:rPr>
          <w:rFonts w:asciiTheme="minorHAnsi" w:hAnsiTheme="minorHAnsi"/>
        </w:rPr>
        <w:t xml:space="preserve">” within 16A(2)(c).  In this way, a sentencing judge may properly deal with </w:t>
      </w:r>
      <w:r w:rsidR="00F13653">
        <w:rPr>
          <w:rFonts w:asciiTheme="minorHAnsi" w:hAnsiTheme="minorHAnsi"/>
        </w:rPr>
        <w:t>charges which are treated, by agreement,</w:t>
      </w:r>
      <w:r w:rsidR="007A2205">
        <w:rPr>
          <w:rFonts w:asciiTheme="minorHAnsi" w:hAnsiTheme="minorHAnsi"/>
        </w:rPr>
        <w:t xml:space="preserve"> as representative charges, that is, as examples of a series of criminal acts </w:t>
      </w:r>
      <w:r w:rsidR="00E82519">
        <w:rPr>
          <w:rFonts w:asciiTheme="minorHAnsi" w:hAnsiTheme="minorHAnsi"/>
        </w:rPr>
        <w:t xml:space="preserve">constituting a course of conduct </w:t>
      </w:r>
      <w:r w:rsidR="007A2205">
        <w:rPr>
          <w:rFonts w:asciiTheme="minorHAnsi" w:hAnsiTheme="minorHAnsi"/>
        </w:rPr>
        <w:t>rather than merely as single instances.</w:t>
      </w:r>
      <w:r w:rsidR="00907712" w:rsidRPr="00C00000">
        <w:rPr>
          <w:rStyle w:val="Style"/>
          <w:rFonts w:asciiTheme="minorHAnsi" w:hAnsiTheme="minorHAnsi"/>
        </w:rPr>
        <w:footnoteReference w:id="231"/>
      </w:r>
      <w:r w:rsidR="007A2205">
        <w:rPr>
          <w:rFonts w:asciiTheme="minorHAnsi" w:hAnsiTheme="minorHAnsi"/>
        </w:rPr>
        <w:t xml:space="preserve">  Courts in sentencing federal offenders have often </w:t>
      </w:r>
      <w:r w:rsidR="00133A03">
        <w:rPr>
          <w:rFonts w:asciiTheme="minorHAnsi" w:hAnsiTheme="minorHAnsi"/>
        </w:rPr>
        <w:t>dealt with charges as representative counts;</w:t>
      </w:r>
      <w:r w:rsidR="00133A03" w:rsidRPr="00C00000">
        <w:rPr>
          <w:rStyle w:val="Style"/>
          <w:rFonts w:asciiTheme="minorHAnsi" w:hAnsiTheme="minorHAnsi"/>
        </w:rPr>
        <w:footnoteReference w:id="232"/>
      </w:r>
      <w:r w:rsidR="00133A03">
        <w:rPr>
          <w:rFonts w:asciiTheme="minorHAnsi" w:hAnsiTheme="minorHAnsi"/>
        </w:rPr>
        <w:t xml:space="preserve"> s 16A(2)(c) provides a </w:t>
      </w:r>
      <w:r w:rsidR="0019011C">
        <w:rPr>
          <w:rFonts w:asciiTheme="minorHAnsi" w:hAnsiTheme="minorHAnsi"/>
        </w:rPr>
        <w:t>sound</w:t>
      </w:r>
      <w:r w:rsidR="00133A03">
        <w:rPr>
          <w:rFonts w:asciiTheme="minorHAnsi" w:hAnsiTheme="minorHAnsi"/>
        </w:rPr>
        <w:t xml:space="preserve"> foundation for doing so.</w:t>
      </w:r>
      <w:r w:rsidR="009851E3" w:rsidRPr="00C00000">
        <w:rPr>
          <w:rStyle w:val="Style"/>
          <w:rFonts w:asciiTheme="minorHAnsi" w:hAnsiTheme="minorHAnsi"/>
        </w:rPr>
        <w:footnoteReference w:id="233"/>
      </w:r>
    </w:p>
    <w:p w14:paraId="1D762835" w14:textId="77777777" w:rsidR="00F938F4" w:rsidRPr="00C00000" w:rsidRDefault="00F938F4" w:rsidP="00F938F4">
      <w:pPr>
        <w:tabs>
          <w:tab w:val="left" w:pos="8364"/>
          <w:tab w:val="left" w:pos="9214"/>
        </w:tabs>
        <w:spacing w:line="276" w:lineRule="auto"/>
        <w:ind w:left="567" w:right="170" w:hanging="567"/>
        <w:jc w:val="both"/>
        <w:rPr>
          <w:rFonts w:asciiTheme="minorHAnsi" w:hAnsiTheme="minorHAnsi"/>
        </w:rPr>
      </w:pPr>
    </w:p>
    <w:p w14:paraId="5C8C0269" w14:textId="49AE0273" w:rsidR="001E337B" w:rsidRPr="000C6ED8" w:rsidRDefault="00BA2B0B" w:rsidP="000C6ED8">
      <w:pPr>
        <w:pStyle w:val="Heading3"/>
      </w:pPr>
      <w:bookmarkStart w:id="1412" w:name="_Toc33602789"/>
      <w:r w:rsidRPr="000C6ED8">
        <w:t>Circumstances of any victim – s 16A(2)(d)</w:t>
      </w:r>
      <w:bookmarkEnd w:id="1412"/>
    </w:p>
    <w:p w14:paraId="024558AE" w14:textId="77777777" w:rsidR="00FE4270" w:rsidRPr="000C6ED8" w:rsidRDefault="00FE4270" w:rsidP="000C6ED8">
      <w:pPr>
        <w:pStyle w:val="Body"/>
        <w:keepNext/>
        <w:tabs>
          <w:tab w:val="clear" w:pos="284"/>
        </w:tabs>
        <w:spacing w:line="276" w:lineRule="auto"/>
        <w:ind w:left="567" w:right="170" w:hanging="567"/>
        <w:rPr>
          <w:rFonts w:asciiTheme="minorHAnsi" w:hAnsiTheme="minorHAnsi" w:cs="Arial"/>
          <w:b/>
          <w:szCs w:val="22"/>
          <w:lang w:val="en-AU"/>
        </w:rPr>
      </w:pPr>
    </w:p>
    <w:p w14:paraId="4F677ACC" w14:textId="097598D1" w:rsidR="00424570" w:rsidRDefault="00B07E2E" w:rsidP="00EB7F1E">
      <w:pPr>
        <w:pStyle w:val="ListParagraph"/>
        <w:numPr>
          <w:ilvl w:val="0"/>
          <w:numId w:val="7"/>
        </w:numPr>
        <w:spacing w:line="276" w:lineRule="auto"/>
        <w:ind w:left="425" w:hanging="425"/>
        <w:contextualSpacing w:val="0"/>
        <w:rPr>
          <w:rFonts w:asciiTheme="minorHAnsi" w:hAnsiTheme="minorHAnsi" w:cs="Arial"/>
          <w:szCs w:val="22"/>
        </w:rPr>
      </w:pPr>
      <w:r w:rsidRPr="00C00000">
        <w:rPr>
          <w:rFonts w:asciiTheme="minorHAnsi" w:hAnsiTheme="minorHAnsi" w:cs="Arial"/>
          <w:szCs w:val="22"/>
        </w:rPr>
        <w:t xml:space="preserve">The personal circumstances of the victim must be taken into </w:t>
      </w:r>
      <w:r w:rsidRPr="00E90120">
        <w:rPr>
          <w:rFonts w:asciiTheme="minorHAnsi" w:hAnsiTheme="minorHAnsi"/>
        </w:rPr>
        <w:t>account</w:t>
      </w:r>
      <w:r w:rsidRPr="00C00000">
        <w:rPr>
          <w:rFonts w:asciiTheme="minorHAnsi" w:hAnsiTheme="minorHAnsi" w:cs="Arial"/>
          <w:szCs w:val="22"/>
        </w:rPr>
        <w:t xml:space="preserve">.  </w:t>
      </w:r>
      <w:r w:rsidR="00D23E7F" w:rsidRPr="00C00000">
        <w:rPr>
          <w:rFonts w:asciiTheme="minorHAnsi" w:hAnsiTheme="minorHAnsi" w:cs="Arial"/>
          <w:szCs w:val="22"/>
        </w:rPr>
        <w:t xml:space="preserve">In </w:t>
      </w:r>
      <w:r w:rsidR="00D23E7F" w:rsidRPr="00C00000">
        <w:rPr>
          <w:rFonts w:asciiTheme="minorHAnsi" w:hAnsiTheme="minorHAnsi" w:cs="Arial"/>
          <w:i/>
          <w:szCs w:val="22"/>
        </w:rPr>
        <w:t>Nahlous</w:t>
      </w:r>
      <w:r w:rsidR="00C03BE4" w:rsidRPr="00C00000">
        <w:rPr>
          <w:rStyle w:val="Style"/>
          <w:rFonts w:asciiTheme="minorHAnsi" w:hAnsiTheme="minorHAnsi"/>
        </w:rPr>
        <w:footnoteReference w:id="234"/>
      </w:r>
      <w:r w:rsidR="00D23E7F" w:rsidRPr="00C00000">
        <w:rPr>
          <w:rFonts w:asciiTheme="minorHAnsi" w:hAnsiTheme="minorHAnsi" w:cs="Arial"/>
          <w:i/>
          <w:szCs w:val="22"/>
        </w:rPr>
        <w:t xml:space="preserve"> </w:t>
      </w:r>
      <w:r w:rsidR="00D23E7F" w:rsidRPr="00C00000">
        <w:rPr>
          <w:rFonts w:asciiTheme="minorHAnsi" w:hAnsiTheme="minorHAnsi" w:cs="Arial"/>
          <w:szCs w:val="22"/>
        </w:rPr>
        <w:t>the court confined</w:t>
      </w:r>
      <w:r w:rsidR="008A59BF" w:rsidRPr="00C00000">
        <w:rPr>
          <w:rFonts w:asciiTheme="minorHAnsi" w:hAnsiTheme="minorHAnsi" w:cs="Arial"/>
          <w:szCs w:val="22"/>
        </w:rPr>
        <w:t xml:space="preserve"> the meaning of</w:t>
      </w:r>
      <w:r w:rsidR="00D23E7F" w:rsidRPr="00C00000">
        <w:rPr>
          <w:rFonts w:asciiTheme="minorHAnsi" w:hAnsiTheme="minorHAnsi" w:cs="Arial"/>
          <w:szCs w:val="22"/>
        </w:rPr>
        <w:t xml:space="preserve"> </w:t>
      </w:r>
      <w:r w:rsidR="00AA693C">
        <w:rPr>
          <w:rFonts w:asciiTheme="minorHAnsi" w:hAnsiTheme="minorHAnsi" w:cs="Arial"/>
          <w:szCs w:val="22"/>
        </w:rPr>
        <w:t>‘</w:t>
      </w:r>
      <w:r w:rsidR="00D23E7F" w:rsidRPr="00C00000">
        <w:rPr>
          <w:rFonts w:asciiTheme="minorHAnsi" w:hAnsiTheme="minorHAnsi" w:cs="Arial"/>
          <w:szCs w:val="22"/>
        </w:rPr>
        <w:t>victim</w:t>
      </w:r>
      <w:r w:rsidR="00AA693C">
        <w:rPr>
          <w:rFonts w:asciiTheme="minorHAnsi" w:hAnsiTheme="minorHAnsi" w:cs="Arial"/>
          <w:szCs w:val="22"/>
        </w:rPr>
        <w:t>’</w:t>
      </w:r>
      <w:r w:rsidR="00D23E7F" w:rsidRPr="00C00000">
        <w:rPr>
          <w:rFonts w:asciiTheme="minorHAnsi" w:hAnsiTheme="minorHAnsi" w:cs="Arial"/>
          <w:szCs w:val="22"/>
        </w:rPr>
        <w:t xml:space="preserve"> in s</w:t>
      </w:r>
      <w:r w:rsidR="006E505C" w:rsidRPr="00C00000">
        <w:rPr>
          <w:rFonts w:asciiTheme="minorHAnsi" w:hAnsiTheme="minorHAnsi" w:cs="Arial"/>
          <w:szCs w:val="22"/>
        </w:rPr>
        <w:t xml:space="preserve"> </w:t>
      </w:r>
      <w:r w:rsidR="00D23E7F" w:rsidRPr="00C00000">
        <w:rPr>
          <w:rFonts w:asciiTheme="minorHAnsi" w:hAnsiTheme="minorHAnsi" w:cs="Arial"/>
          <w:szCs w:val="22"/>
        </w:rPr>
        <w:t xml:space="preserve">16A(2)(d) </w:t>
      </w:r>
      <w:r w:rsidR="00885EFD" w:rsidRPr="00885EFD">
        <w:rPr>
          <w:rFonts w:asciiTheme="minorHAnsi" w:hAnsiTheme="minorHAnsi" w:cs="Arial"/>
          <w:i/>
          <w:szCs w:val="22"/>
        </w:rPr>
        <w:t>Crimes Act 1914</w:t>
      </w:r>
      <w:r w:rsidRPr="00C00000">
        <w:rPr>
          <w:rFonts w:asciiTheme="minorHAnsi" w:hAnsiTheme="minorHAnsi" w:cs="Arial"/>
          <w:i/>
          <w:szCs w:val="22"/>
        </w:rPr>
        <w:t xml:space="preserve"> </w:t>
      </w:r>
      <w:r w:rsidRPr="00C00000">
        <w:rPr>
          <w:rFonts w:asciiTheme="minorHAnsi" w:hAnsiTheme="minorHAnsi" w:cs="Arial"/>
          <w:szCs w:val="22"/>
        </w:rPr>
        <w:t>(Cth)</w:t>
      </w:r>
      <w:r w:rsidR="00D23E7F" w:rsidRPr="00C00000">
        <w:rPr>
          <w:rFonts w:asciiTheme="minorHAnsi" w:hAnsiTheme="minorHAnsi" w:cs="Arial"/>
          <w:szCs w:val="22"/>
        </w:rPr>
        <w:t>, in the context of a grooming offence, to the primary victim, not family members.</w:t>
      </w:r>
      <w:r w:rsidR="008A59BF" w:rsidRPr="00C00000">
        <w:rPr>
          <w:rFonts w:asciiTheme="minorHAnsi" w:hAnsiTheme="minorHAnsi" w:cs="Arial"/>
          <w:szCs w:val="22"/>
        </w:rPr>
        <w:t xml:space="preserve"> </w:t>
      </w:r>
      <w:r w:rsidR="00FC445F">
        <w:rPr>
          <w:rFonts w:asciiTheme="minorHAnsi" w:hAnsiTheme="minorHAnsi" w:cs="Arial"/>
          <w:szCs w:val="22"/>
        </w:rPr>
        <w:t xml:space="preserve"> </w:t>
      </w:r>
      <w:r w:rsidR="00D23E7F" w:rsidRPr="00C00000">
        <w:rPr>
          <w:rFonts w:asciiTheme="minorHAnsi" w:hAnsiTheme="minorHAnsi" w:cs="Arial"/>
          <w:szCs w:val="22"/>
        </w:rPr>
        <w:t xml:space="preserve">The </w:t>
      </w:r>
      <w:r w:rsidR="009F06CC">
        <w:rPr>
          <w:rFonts w:asciiTheme="minorHAnsi" w:hAnsiTheme="minorHAnsi" w:cs="Arial"/>
          <w:szCs w:val="22"/>
        </w:rPr>
        <w:t>c</w:t>
      </w:r>
      <w:r w:rsidR="00D23E7F" w:rsidRPr="00C00000">
        <w:rPr>
          <w:rFonts w:asciiTheme="minorHAnsi" w:hAnsiTheme="minorHAnsi" w:cs="Arial"/>
          <w:szCs w:val="22"/>
        </w:rPr>
        <w:t xml:space="preserve">ourt did </w:t>
      </w:r>
      <w:r w:rsidR="00F47D0C">
        <w:rPr>
          <w:rFonts w:asciiTheme="minorHAnsi" w:hAnsiTheme="minorHAnsi" w:cs="Arial"/>
          <w:szCs w:val="22"/>
        </w:rPr>
        <w:t>recogn</w:t>
      </w:r>
      <w:r w:rsidR="00B67C2C">
        <w:rPr>
          <w:rFonts w:asciiTheme="minorHAnsi" w:hAnsiTheme="minorHAnsi" w:cs="Arial"/>
          <w:szCs w:val="22"/>
        </w:rPr>
        <w:t>ise</w:t>
      </w:r>
      <w:r w:rsidR="00D23E7F" w:rsidRPr="00C00000">
        <w:rPr>
          <w:rFonts w:asciiTheme="minorHAnsi" w:hAnsiTheme="minorHAnsi" w:cs="Arial"/>
          <w:szCs w:val="22"/>
        </w:rPr>
        <w:t xml:space="preserve"> that there are Commonwealth offences where the categories of victims may be large or diffuse groups, such as insider trading and customs offences</w:t>
      </w:r>
      <w:r w:rsidR="00B05836" w:rsidRPr="00C00000">
        <w:rPr>
          <w:rFonts w:asciiTheme="minorHAnsi" w:hAnsiTheme="minorHAnsi" w:cs="Arial"/>
          <w:szCs w:val="22"/>
        </w:rPr>
        <w:t>.</w:t>
      </w:r>
      <w:r w:rsidR="00D23E7F" w:rsidRPr="00C00000">
        <w:rPr>
          <w:rFonts w:asciiTheme="minorHAnsi" w:hAnsiTheme="minorHAnsi" w:cs="Arial"/>
          <w:szCs w:val="22"/>
        </w:rPr>
        <w:t xml:space="preserve"> </w:t>
      </w:r>
    </w:p>
    <w:p w14:paraId="2E3E6FC4" w14:textId="77777777" w:rsidR="00337712" w:rsidRPr="00337712" w:rsidRDefault="00337712" w:rsidP="00337712">
      <w:pPr>
        <w:spacing w:line="276" w:lineRule="auto"/>
        <w:ind w:right="170"/>
        <w:rPr>
          <w:rFonts w:asciiTheme="minorHAnsi" w:hAnsiTheme="minorHAnsi" w:cs="Arial"/>
          <w:szCs w:val="22"/>
        </w:rPr>
      </w:pPr>
    </w:p>
    <w:p w14:paraId="7782A3C5" w14:textId="73DC1221" w:rsidR="00337712" w:rsidRDefault="00DD6402"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The circumstances of any victim will often be relevant as part </w:t>
      </w:r>
      <w:r w:rsidRPr="00E90120">
        <w:rPr>
          <w:rFonts w:asciiTheme="minorHAnsi" w:hAnsiTheme="minorHAnsi"/>
        </w:rPr>
        <w:t>of</w:t>
      </w:r>
      <w:r>
        <w:rPr>
          <w:rFonts w:asciiTheme="minorHAnsi" w:hAnsiTheme="minorHAnsi" w:cs="Arial"/>
          <w:szCs w:val="22"/>
        </w:rPr>
        <w:t xml:space="preserve"> the nature and circumstances of the offence (s 16A(2)(a)</w:t>
      </w:r>
      <w:r w:rsidR="00B14C7C">
        <w:rPr>
          <w:rFonts w:asciiTheme="minorHAnsi" w:hAnsiTheme="minorHAnsi" w:cs="Arial"/>
          <w:szCs w:val="22"/>
        </w:rPr>
        <w:t>)</w:t>
      </w:r>
      <w:r>
        <w:rPr>
          <w:rFonts w:asciiTheme="minorHAnsi" w:hAnsiTheme="minorHAnsi" w:cs="Arial"/>
          <w:szCs w:val="22"/>
        </w:rPr>
        <w:t xml:space="preserve">.  </w:t>
      </w:r>
      <w:r w:rsidR="0047020F">
        <w:rPr>
          <w:rFonts w:asciiTheme="minorHAnsi" w:hAnsiTheme="minorHAnsi" w:cs="Arial"/>
          <w:szCs w:val="22"/>
        </w:rPr>
        <w:t xml:space="preserve">A court sentencing a federal offender is also required to have regard to </w:t>
      </w:r>
      <w:r>
        <w:rPr>
          <w:rFonts w:asciiTheme="minorHAnsi" w:hAnsiTheme="minorHAnsi" w:cs="Arial"/>
          <w:szCs w:val="22"/>
        </w:rPr>
        <w:t xml:space="preserve">any injury loss or damage resulting from the offence (s 16A(2)(e)) and </w:t>
      </w:r>
      <w:r w:rsidR="0047020F">
        <w:rPr>
          <w:rFonts w:asciiTheme="minorHAnsi" w:hAnsiTheme="minorHAnsi" w:cs="Arial"/>
          <w:szCs w:val="22"/>
        </w:rPr>
        <w:t>any victim impact statement</w:t>
      </w:r>
      <w:r w:rsidRPr="00DD6402">
        <w:rPr>
          <w:rFonts w:asciiTheme="minorHAnsi" w:hAnsiTheme="minorHAnsi" w:cs="Arial"/>
          <w:szCs w:val="22"/>
        </w:rPr>
        <w:t xml:space="preserve"> </w:t>
      </w:r>
      <w:r>
        <w:rPr>
          <w:rFonts w:asciiTheme="minorHAnsi" w:hAnsiTheme="minorHAnsi" w:cs="Arial"/>
          <w:szCs w:val="22"/>
        </w:rPr>
        <w:t>(s 16A(2)(ea))</w:t>
      </w:r>
      <w:r w:rsidR="0047020F">
        <w:rPr>
          <w:rFonts w:asciiTheme="minorHAnsi" w:hAnsiTheme="minorHAnsi" w:cs="Arial"/>
          <w:szCs w:val="22"/>
        </w:rPr>
        <w:t>.</w:t>
      </w:r>
    </w:p>
    <w:p w14:paraId="5C81D11A" w14:textId="77777777" w:rsidR="00424570" w:rsidRPr="00424570" w:rsidRDefault="00424570" w:rsidP="00424570">
      <w:pPr>
        <w:spacing w:line="276" w:lineRule="auto"/>
        <w:ind w:right="170"/>
        <w:rPr>
          <w:rFonts w:asciiTheme="minorHAnsi" w:hAnsiTheme="minorHAnsi" w:cs="Arial"/>
          <w:szCs w:val="22"/>
        </w:rPr>
      </w:pPr>
    </w:p>
    <w:p w14:paraId="6D32866F" w14:textId="342A733C" w:rsidR="007E2D60" w:rsidRPr="00C00000" w:rsidRDefault="007E2D60" w:rsidP="007E2D60">
      <w:pPr>
        <w:pStyle w:val="ListParagraph"/>
        <w:numPr>
          <w:ilvl w:val="0"/>
          <w:numId w:val="7"/>
        </w:numPr>
        <w:spacing w:line="276" w:lineRule="auto"/>
        <w:ind w:left="425" w:hanging="425"/>
        <w:contextualSpacing w:val="0"/>
        <w:rPr>
          <w:rFonts w:asciiTheme="minorHAnsi" w:hAnsiTheme="minorHAnsi"/>
        </w:rPr>
      </w:pPr>
      <w:bookmarkStart w:id="1413" w:name="_Ref495166439"/>
      <w:bookmarkStart w:id="1414" w:name="_Ref495166442"/>
      <w:r w:rsidRPr="00C00000">
        <w:rPr>
          <w:rFonts w:asciiTheme="minorHAnsi" w:hAnsiTheme="minorHAnsi"/>
        </w:rPr>
        <w:t xml:space="preserve">In determining the sentence to be passed on an offender who has committed a sexual offence against a child overseas, contrary to the child sex tourism provisions of the </w:t>
      </w:r>
      <w:r w:rsidRPr="00C00000">
        <w:rPr>
          <w:rFonts w:asciiTheme="minorHAnsi" w:hAnsiTheme="minorHAnsi"/>
          <w:i/>
        </w:rPr>
        <w:t xml:space="preserve">Criminal Code Act 1995 </w:t>
      </w:r>
      <w:r w:rsidRPr="00C00000">
        <w:rPr>
          <w:rFonts w:asciiTheme="minorHAnsi" w:hAnsiTheme="minorHAnsi"/>
        </w:rPr>
        <w:t xml:space="preserve">(Cth), the court is required by s 274.30 of the </w:t>
      </w:r>
      <w:r w:rsidRPr="00C00000">
        <w:rPr>
          <w:rFonts w:asciiTheme="minorHAnsi" w:hAnsiTheme="minorHAnsi"/>
          <w:i/>
        </w:rPr>
        <w:t>Code</w:t>
      </w:r>
      <w:r w:rsidRPr="00C00000">
        <w:rPr>
          <w:rFonts w:asciiTheme="minorHAnsi" w:hAnsiTheme="minorHAnsi"/>
        </w:rPr>
        <w:t xml:space="preserve"> (previously s 50FD </w:t>
      </w:r>
      <w:r w:rsidRPr="00885EFD">
        <w:rPr>
          <w:rFonts w:asciiTheme="minorHAnsi" w:hAnsiTheme="minorHAnsi"/>
          <w:i/>
        </w:rPr>
        <w:t>Crimes Act 1914</w:t>
      </w:r>
      <w:r w:rsidRPr="00C00000">
        <w:rPr>
          <w:rFonts w:asciiTheme="minorHAnsi" w:hAnsiTheme="minorHAnsi"/>
        </w:rPr>
        <w:t xml:space="preserve"> (Cth)) to take into account the age and maturity of the victim so far as these matters are “</w:t>
      </w:r>
      <w:r w:rsidRPr="00C00000">
        <w:rPr>
          <w:rFonts w:asciiTheme="minorHAnsi" w:hAnsiTheme="minorHAnsi"/>
          <w:i/>
        </w:rPr>
        <w:t>relevant and</w:t>
      </w:r>
      <w:r w:rsidRPr="00C00000">
        <w:rPr>
          <w:rFonts w:asciiTheme="minorHAnsi" w:hAnsiTheme="minorHAnsi"/>
        </w:rPr>
        <w:t xml:space="preserve"> </w:t>
      </w:r>
      <w:r w:rsidRPr="00C00000">
        <w:rPr>
          <w:rFonts w:asciiTheme="minorHAnsi" w:hAnsiTheme="minorHAnsi"/>
          <w:i/>
        </w:rPr>
        <w:t>known</w:t>
      </w:r>
      <w:r w:rsidRPr="00C00000">
        <w:rPr>
          <w:rFonts w:asciiTheme="minorHAnsi" w:hAnsiTheme="minorHAnsi"/>
          <w:iCs/>
        </w:rPr>
        <w:t>”</w:t>
      </w:r>
      <w:r w:rsidRPr="00C00000">
        <w:rPr>
          <w:rFonts w:asciiTheme="minorHAnsi" w:hAnsiTheme="minorHAnsi"/>
        </w:rPr>
        <w:t xml:space="preserve"> to the court.  This requirement is in addition to the matters set out in s 16A(2)</w:t>
      </w:r>
      <w:r>
        <w:rPr>
          <w:rFonts w:asciiTheme="minorHAnsi" w:hAnsiTheme="minorHAnsi"/>
        </w:rPr>
        <w:t xml:space="preserve"> of the </w:t>
      </w:r>
      <w:r w:rsidRPr="00EB7F1E">
        <w:rPr>
          <w:rFonts w:asciiTheme="minorHAnsi" w:hAnsiTheme="minorHAnsi"/>
          <w:i/>
          <w:iCs/>
        </w:rPr>
        <w:t>Crimes Act 1914</w:t>
      </w:r>
      <w:r w:rsidRPr="00C00000">
        <w:rPr>
          <w:rFonts w:asciiTheme="minorHAnsi" w:hAnsiTheme="minorHAnsi"/>
        </w:rPr>
        <w:t>.</w:t>
      </w:r>
    </w:p>
    <w:p w14:paraId="465C45F6" w14:textId="77777777" w:rsidR="007E2D60" w:rsidRPr="00C00000" w:rsidRDefault="007E2D60" w:rsidP="007E2D60">
      <w:pPr>
        <w:spacing w:line="276" w:lineRule="auto"/>
        <w:ind w:left="153" w:right="170"/>
        <w:jc w:val="both"/>
        <w:rPr>
          <w:rFonts w:asciiTheme="minorHAnsi" w:hAnsiTheme="minorHAnsi"/>
        </w:rPr>
      </w:pPr>
    </w:p>
    <w:p w14:paraId="54A0D3C7" w14:textId="5286152B" w:rsidR="00F938F4" w:rsidRPr="000C6ED8" w:rsidRDefault="00F938F4" w:rsidP="000C6ED8">
      <w:pPr>
        <w:pStyle w:val="Heading3"/>
      </w:pPr>
      <w:bookmarkStart w:id="1415" w:name="_Ref11826283"/>
      <w:bookmarkStart w:id="1416" w:name="_Ref11826285"/>
      <w:bookmarkStart w:id="1417" w:name="_Toc33602790"/>
      <w:r w:rsidRPr="000C6ED8">
        <w:t>Injury, loss or damage resulting from the offence – s 16A(2)(e)</w:t>
      </w:r>
      <w:bookmarkEnd w:id="1413"/>
      <w:bookmarkEnd w:id="1414"/>
      <w:bookmarkEnd w:id="1415"/>
      <w:bookmarkEnd w:id="1416"/>
      <w:bookmarkEnd w:id="1417"/>
    </w:p>
    <w:p w14:paraId="38E951EF" w14:textId="77777777" w:rsidR="00F938F4" w:rsidRPr="00C00000" w:rsidRDefault="00F938F4" w:rsidP="000C6ED8">
      <w:pPr>
        <w:keepNext/>
        <w:tabs>
          <w:tab w:val="left" w:pos="8364"/>
          <w:tab w:val="left" w:pos="9214"/>
        </w:tabs>
        <w:spacing w:line="276" w:lineRule="auto"/>
        <w:ind w:left="567" w:right="170" w:hanging="567"/>
        <w:jc w:val="both"/>
        <w:rPr>
          <w:rFonts w:asciiTheme="minorHAnsi" w:hAnsiTheme="minorHAnsi"/>
        </w:rPr>
      </w:pPr>
    </w:p>
    <w:p w14:paraId="59B0AAC8" w14:textId="77777777" w:rsidR="00470823" w:rsidRPr="00DD6402" w:rsidRDefault="00935F92" w:rsidP="00EB7F1E">
      <w:pPr>
        <w:pStyle w:val="ListParagraph"/>
        <w:numPr>
          <w:ilvl w:val="0"/>
          <w:numId w:val="7"/>
        </w:numPr>
        <w:spacing w:line="276" w:lineRule="auto"/>
        <w:ind w:right="170"/>
        <w:rPr>
          <w:rFonts w:asciiTheme="minorHAnsi" w:hAnsiTheme="minorHAnsi" w:cstheme="minorHAnsi"/>
        </w:rPr>
      </w:pPr>
      <w:r w:rsidRPr="00DD6402">
        <w:rPr>
          <w:rFonts w:asciiTheme="minorHAnsi" w:hAnsiTheme="minorHAnsi" w:cstheme="minorHAnsi"/>
        </w:rPr>
        <w:t xml:space="preserve">A wide range of matters may be taken into account under this heading.  </w:t>
      </w:r>
      <w:r w:rsidR="00470823" w:rsidRPr="00DD6402">
        <w:rPr>
          <w:rFonts w:asciiTheme="minorHAnsi" w:hAnsiTheme="minorHAnsi" w:cstheme="minorHAnsi"/>
        </w:rPr>
        <w:t>They include:</w:t>
      </w:r>
    </w:p>
    <w:p w14:paraId="33E03187" w14:textId="2FA033CC" w:rsidR="00A8772B" w:rsidRPr="00DD6402" w:rsidRDefault="00A8772B" w:rsidP="00EB7F1E">
      <w:pPr>
        <w:pStyle w:val="ListParagraph"/>
        <w:numPr>
          <w:ilvl w:val="1"/>
          <w:numId w:val="36"/>
        </w:numPr>
        <w:spacing w:line="276" w:lineRule="auto"/>
        <w:ind w:left="993" w:right="28" w:hanging="142"/>
        <w:rPr>
          <w:rFonts w:asciiTheme="minorHAnsi" w:hAnsiTheme="minorHAnsi" w:cstheme="minorHAnsi"/>
        </w:rPr>
      </w:pPr>
      <w:r w:rsidRPr="00DD6402">
        <w:rPr>
          <w:rFonts w:asciiTheme="minorHAnsi" w:hAnsiTheme="minorHAnsi" w:cstheme="minorHAnsi"/>
        </w:rPr>
        <w:t xml:space="preserve">injury, loss or </w:t>
      </w:r>
      <w:r w:rsidRPr="00E90120">
        <w:rPr>
          <w:rFonts w:asciiTheme="minorHAnsi" w:hAnsiTheme="minorHAnsi"/>
        </w:rPr>
        <w:t>damage</w:t>
      </w:r>
      <w:r w:rsidRPr="00DD6402">
        <w:rPr>
          <w:rFonts w:asciiTheme="minorHAnsi" w:hAnsiTheme="minorHAnsi" w:cstheme="minorHAnsi"/>
        </w:rPr>
        <w:t xml:space="preserve"> cause</w:t>
      </w:r>
      <w:r w:rsidR="00621948" w:rsidRPr="00DD6402">
        <w:rPr>
          <w:rFonts w:asciiTheme="minorHAnsi" w:hAnsiTheme="minorHAnsi" w:cstheme="minorHAnsi"/>
        </w:rPr>
        <w:t>d</w:t>
      </w:r>
      <w:r w:rsidRPr="00DD6402">
        <w:rPr>
          <w:rFonts w:asciiTheme="minorHAnsi" w:hAnsiTheme="minorHAnsi" w:cstheme="minorHAnsi"/>
        </w:rPr>
        <w:t xml:space="preserve"> to</w:t>
      </w:r>
      <w:r w:rsidR="00935F92" w:rsidRPr="00DD6402">
        <w:rPr>
          <w:rFonts w:asciiTheme="minorHAnsi" w:hAnsiTheme="minorHAnsi" w:cstheme="minorHAnsi"/>
        </w:rPr>
        <w:t xml:space="preserve"> individual victim</w:t>
      </w:r>
      <w:r w:rsidR="00FA552E" w:rsidRPr="00DD6402">
        <w:rPr>
          <w:rFonts w:asciiTheme="minorHAnsi" w:hAnsiTheme="minorHAnsi" w:cstheme="minorHAnsi"/>
        </w:rPr>
        <w:t>s,</w:t>
      </w:r>
      <w:r w:rsidRPr="00DD6402">
        <w:rPr>
          <w:rStyle w:val="Style"/>
          <w:rFonts w:asciiTheme="minorHAnsi" w:hAnsiTheme="minorHAnsi" w:cstheme="minorHAnsi"/>
        </w:rPr>
        <w:footnoteReference w:id="235"/>
      </w:r>
      <w:r w:rsidR="00FA552E" w:rsidRPr="00DD6402">
        <w:rPr>
          <w:rFonts w:asciiTheme="minorHAnsi" w:hAnsiTheme="minorHAnsi" w:cstheme="minorHAnsi"/>
        </w:rPr>
        <w:t xml:space="preserve"> even if the individual victims or their individual losses cannot be identified;</w:t>
      </w:r>
      <w:r w:rsidR="00FA552E" w:rsidRPr="00DD6402">
        <w:rPr>
          <w:rStyle w:val="Style"/>
          <w:rFonts w:asciiTheme="minorHAnsi" w:hAnsiTheme="minorHAnsi" w:cstheme="minorHAnsi"/>
        </w:rPr>
        <w:footnoteReference w:id="236"/>
      </w:r>
    </w:p>
    <w:p w14:paraId="69F91317" w14:textId="2036EC7D" w:rsidR="00F938F4" w:rsidRPr="00DD6402" w:rsidRDefault="00A8772B" w:rsidP="00EB7F1E">
      <w:pPr>
        <w:pStyle w:val="ListParagraph"/>
        <w:numPr>
          <w:ilvl w:val="1"/>
          <w:numId w:val="36"/>
        </w:numPr>
        <w:spacing w:line="276" w:lineRule="auto"/>
        <w:ind w:left="993" w:right="28" w:hanging="142"/>
        <w:rPr>
          <w:rFonts w:asciiTheme="minorHAnsi" w:hAnsiTheme="minorHAnsi" w:cstheme="minorHAnsi"/>
        </w:rPr>
      </w:pPr>
      <w:r w:rsidRPr="00DD6402">
        <w:rPr>
          <w:rFonts w:asciiTheme="minorHAnsi" w:hAnsiTheme="minorHAnsi" w:cstheme="minorHAnsi"/>
        </w:rPr>
        <w:t>financial or other property loss to the Commonwealth or a public authority</w:t>
      </w:r>
      <w:r w:rsidR="00CF5081" w:rsidRPr="00DD6402">
        <w:rPr>
          <w:rFonts w:asciiTheme="minorHAnsi" w:hAnsiTheme="minorHAnsi" w:cstheme="minorHAnsi"/>
        </w:rPr>
        <w:t>, including public revenue foregone</w:t>
      </w:r>
      <w:r w:rsidRPr="00DD6402">
        <w:rPr>
          <w:rFonts w:asciiTheme="minorHAnsi" w:hAnsiTheme="minorHAnsi" w:cstheme="minorHAnsi"/>
        </w:rPr>
        <w:t>;</w:t>
      </w:r>
      <w:r w:rsidRPr="00DD6402">
        <w:rPr>
          <w:rStyle w:val="Style"/>
          <w:rFonts w:asciiTheme="minorHAnsi" w:hAnsiTheme="minorHAnsi" w:cstheme="minorHAnsi"/>
        </w:rPr>
        <w:footnoteReference w:id="237"/>
      </w:r>
    </w:p>
    <w:p w14:paraId="08EA2AEB" w14:textId="6BF681BB" w:rsidR="00A8772B" w:rsidRPr="00DD6402" w:rsidRDefault="00A8772B" w:rsidP="00EB7F1E">
      <w:pPr>
        <w:pStyle w:val="ListParagraph"/>
        <w:numPr>
          <w:ilvl w:val="1"/>
          <w:numId w:val="36"/>
        </w:numPr>
        <w:spacing w:line="276" w:lineRule="auto"/>
        <w:ind w:left="993" w:right="28" w:hanging="142"/>
        <w:rPr>
          <w:rFonts w:asciiTheme="minorHAnsi" w:hAnsiTheme="minorHAnsi" w:cstheme="minorHAnsi"/>
        </w:rPr>
      </w:pPr>
      <w:r w:rsidRPr="00DD6402">
        <w:rPr>
          <w:rFonts w:asciiTheme="minorHAnsi" w:hAnsiTheme="minorHAnsi" w:cstheme="minorHAnsi"/>
        </w:rPr>
        <w:t xml:space="preserve">damage to the </w:t>
      </w:r>
      <w:r w:rsidRPr="00E90120">
        <w:rPr>
          <w:rFonts w:asciiTheme="minorHAnsi" w:hAnsiTheme="minorHAnsi"/>
        </w:rPr>
        <w:t>Australian</w:t>
      </w:r>
      <w:r w:rsidRPr="00DD6402">
        <w:rPr>
          <w:rFonts w:asciiTheme="minorHAnsi" w:hAnsiTheme="minorHAnsi" w:cstheme="minorHAnsi"/>
        </w:rPr>
        <w:t xml:space="preserve"> economy caused by </w:t>
      </w:r>
      <w:r w:rsidRPr="00DB1155">
        <w:rPr>
          <w:rFonts w:asciiTheme="minorHAnsi" w:hAnsiTheme="minorHAnsi" w:cstheme="minorHAnsi"/>
        </w:rPr>
        <w:t>cartel activitie</w:t>
      </w:r>
      <w:r w:rsidRPr="00DD6402">
        <w:rPr>
          <w:rFonts w:asciiTheme="minorHAnsi" w:hAnsiTheme="minorHAnsi" w:cstheme="minorHAnsi"/>
          <w:sz w:val="20"/>
          <w:lang w:eastAsia="en-AU"/>
        </w:rPr>
        <w:t>s;</w:t>
      </w:r>
      <w:r w:rsidRPr="00DD6402">
        <w:rPr>
          <w:rStyle w:val="Style"/>
          <w:rFonts w:asciiTheme="minorHAnsi" w:hAnsiTheme="minorHAnsi" w:cstheme="minorHAnsi"/>
        </w:rPr>
        <w:footnoteReference w:id="238"/>
      </w:r>
      <w:r w:rsidRPr="00DD6402">
        <w:rPr>
          <w:rFonts w:asciiTheme="minorHAnsi" w:hAnsiTheme="minorHAnsi" w:cstheme="minorHAnsi"/>
          <w:sz w:val="20"/>
          <w:lang w:eastAsia="en-AU"/>
        </w:rPr>
        <w:t xml:space="preserve"> </w:t>
      </w:r>
    </w:p>
    <w:p w14:paraId="1E9969CA" w14:textId="565DAEC1" w:rsidR="00A8772B" w:rsidRPr="00DD6402" w:rsidRDefault="00A8772B" w:rsidP="00EB7F1E">
      <w:pPr>
        <w:pStyle w:val="ListParagraph"/>
        <w:numPr>
          <w:ilvl w:val="1"/>
          <w:numId w:val="36"/>
        </w:numPr>
        <w:spacing w:line="276" w:lineRule="auto"/>
        <w:ind w:left="993" w:right="28" w:hanging="142"/>
        <w:rPr>
          <w:rFonts w:asciiTheme="minorHAnsi" w:hAnsiTheme="minorHAnsi" w:cstheme="minorHAnsi"/>
        </w:rPr>
      </w:pPr>
      <w:r w:rsidRPr="00DB1155">
        <w:rPr>
          <w:rFonts w:asciiTheme="minorHAnsi" w:hAnsiTheme="minorHAnsi" w:cstheme="minorHAnsi"/>
        </w:rPr>
        <w:t xml:space="preserve">damage to the </w:t>
      </w:r>
      <w:r w:rsidRPr="00E90120">
        <w:rPr>
          <w:rFonts w:asciiTheme="minorHAnsi" w:hAnsiTheme="minorHAnsi"/>
        </w:rPr>
        <w:t>integrity</w:t>
      </w:r>
      <w:r w:rsidRPr="00DB1155">
        <w:rPr>
          <w:rFonts w:asciiTheme="minorHAnsi" w:hAnsiTheme="minorHAnsi" w:cstheme="minorHAnsi"/>
        </w:rPr>
        <w:t xml:space="preserve"> of markets caused by insider trading or market manipulation</w:t>
      </w:r>
      <w:r w:rsidR="003456FD" w:rsidRPr="00DB1155">
        <w:rPr>
          <w:rFonts w:asciiTheme="minorHAnsi" w:hAnsiTheme="minorHAnsi" w:cstheme="minorHAnsi"/>
        </w:rPr>
        <w:t>,</w:t>
      </w:r>
      <w:r w:rsidR="00AC1FDE" w:rsidRPr="00DB1155">
        <w:rPr>
          <w:rStyle w:val="Style"/>
          <w:rFonts w:asciiTheme="minorHAnsi" w:hAnsiTheme="minorHAnsi" w:cstheme="minorHAnsi"/>
        </w:rPr>
        <w:footnoteReference w:id="239"/>
      </w:r>
      <w:r w:rsidR="003456FD" w:rsidRPr="00DB1155">
        <w:rPr>
          <w:rStyle w:val="Style"/>
          <w:rFonts w:asciiTheme="minorHAnsi" w:hAnsiTheme="minorHAnsi"/>
        </w:rPr>
        <w:t xml:space="preserve"> </w:t>
      </w:r>
      <w:r w:rsidR="00DB1155" w:rsidRPr="00DB1155">
        <w:rPr>
          <w:rFonts w:asciiTheme="minorHAnsi" w:hAnsiTheme="minorHAnsi" w:cstheme="minorHAnsi"/>
        </w:rPr>
        <w:t xml:space="preserve">or </w:t>
      </w:r>
      <w:r w:rsidR="003456FD" w:rsidRPr="00DB1155">
        <w:rPr>
          <w:rFonts w:asciiTheme="minorHAnsi" w:hAnsiTheme="minorHAnsi" w:cstheme="minorHAnsi"/>
        </w:rPr>
        <w:t>by the bribery of foreign officials (even if no bribe is ultimately paid)</w:t>
      </w:r>
      <w:r w:rsidR="003456FD" w:rsidRPr="00DD6402">
        <w:rPr>
          <w:rFonts w:asciiTheme="minorHAnsi" w:hAnsiTheme="minorHAnsi" w:cstheme="minorHAnsi"/>
          <w:sz w:val="20"/>
          <w:lang w:eastAsia="en-AU"/>
        </w:rPr>
        <w:t>;</w:t>
      </w:r>
      <w:r w:rsidR="003456FD" w:rsidRPr="00DD6402">
        <w:rPr>
          <w:rStyle w:val="Style"/>
          <w:rFonts w:asciiTheme="minorHAnsi" w:hAnsiTheme="minorHAnsi" w:cstheme="minorHAnsi"/>
        </w:rPr>
        <w:footnoteReference w:id="240"/>
      </w:r>
      <w:r w:rsidR="00375373" w:rsidRPr="00DD6402">
        <w:rPr>
          <w:rFonts w:asciiTheme="minorHAnsi" w:hAnsiTheme="minorHAnsi" w:cstheme="minorHAnsi"/>
          <w:sz w:val="20"/>
          <w:lang w:eastAsia="en-AU"/>
        </w:rPr>
        <w:t xml:space="preserve"> </w:t>
      </w:r>
      <w:r w:rsidR="00375373" w:rsidRPr="00DB1155">
        <w:rPr>
          <w:rFonts w:asciiTheme="minorHAnsi" w:hAnsiTheme="minorHAnsi" w:cstheme="minorHAnsi"/>
        </w:rPr>
        <w:t>or</w:t>
      </w:r>
    </w:p>
    <w:p w14:paraId="2A6B4E06" w14:textId="05FAF240" w:rsidR="00C941DC" w:rsidRPr="00DD6402" w:rsidRDefault="00C941DC" w:rsidP="00EB7F1E">
      <w:pPr>
        <w:pStyle w:val="ListParagraph"/>
        <w:numPr>
          <w:ilvl w:val="1"/>
          <w:numId w:val="36"/>
        </w:numPr>
        <w:spacing w:line="276" w:lineRule="auto"/>
        <w:ind w:left="993" w:right="28" w:hanging="142"/>
        <w:rPr>
          <w:rFonts w:asciiTheme="minorHAnsi" w:hAnsiTheme="minorHAnsi" w:cstheme="minorHAnsi"/>
        </w:rPr>
      </w:pPr>
      <w:r w:rsidRPr="00DB1155">
        <w:rPr>
          <w:rFonts w:asciiTheme="minorHAnsi" w:hAnsiTheme="minorHAnsi" w:cstheme="minorHAnsi"/>
        </w:rPr>
        <w:t xml:space="preserve">damage to the </w:t>
      </w:r>
      <w:r w:rsidRPr="00E90120">
        <w:rPr>
          <w:rFonts w:asciiTheme="minorHAnsi" w:hAnsiTheme="minorHAnsi"/>
        </w:rPr>
        <w:t>reputation</w:t>
      </w:r>
      <w:r w:rsidRPr="00DB1155">
        <w:rPr>
          <w:rFonts w:asciiTheme="minorHAnsi" w:hAnsiTheme="minorHAnsi" w:cstheme="minorHAnsi"/>
        </w:rPr>
        <w:t xml:space="preserve"> or integrity of an important public institution</w:t>
      </w:r>
      <w:r w:rsidR="00375373" w:rsidRPr="00DD6402">
        <w:rPr>
          <w:rFonts w:asciiTheme="minorHAnsi" w:hAnsiTheme="minorHAnsi" w:cstheme="minorHAnsi"/>
          <w:sz w:val="20"/>
          <w:lang w:eastAsia="en-AU"/>
        </w:rPr>
        <w:t>.</w:t>
      </w:r>
      <w:r w:rsidRPr="00DD6402">
        <w:rPr>
          <w:rStyle w:val="Style"/>
          <w:rFonts w:asciiTheme="minorHAnsi" w:hAnsiTheme="minorHAnsi" w:cstheme="minorHAnsi"/>
        </w:rPr>
        <w:footnoteReference w:id="241"/>
      </w:r>
    </w:p>
    <w:p w14:paraId="4D1B05CD" w14:textId="77777777" w:rsidR="00895279" w:rsidRPr="00DD6402" w:rsidRDefault="00895279" w:rsidP="00895279">
      <w:pPr>
        <w:spacing w:line="276" w:lineRule="auto"/>
        <w:ind w:right="170"/>
        <w:rPr>
          <w:rFonts w:asciiTheme="minorHAnsi" w:hAnsiTheme="minorHAnsi" w:cstheme="minorHAnsi"/>
        </w:rPr>
      </w:pPr>
    </w:p>
    <w:p w14:paraId="43CA73A8" w14:textId="7F7441F8" w:rsidR="00895279" w:rsidRDefault="009F06C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w:t>
      </w:r>
      <w:r w:rsidR="00B444D2">
        <w:rPr>
          <w:rFonts w:asciiTheme="minorHAnsi" w:hAnsiTheme="minorHAnsi"/>
        </w:rPr>
        <w:t>njury, loss or damage to property or financial interests</w:t>
      </w:r>
      <w:r w:rsidR="00AF4358">
        <w:rPr>
          <w:rFonts w:asciiTheme="minorHAnsi" w:hAnsiTheme="minorHAnsi"/>
        </w:rPr>
        <w:t xml:space="preserve"> must be assessed in a realistic way</w:t>
      </w:r>
      <w:r w:rsidR="00274DFE">
        <w:rPr>
          <w:rFonts w:asciiTheme="minorHAnsi" w:hAnsiTheme="minorHAnsi"/>
        </w:rPr>
        <w:t>.</w:t>
      </w:r>
      <w:r w:rsidR="00274DFE" w:rsidRPr="00C00000">
        <w:rPr>
          <w:rStyle w:val="Style"/>
          <w:rFonts w:asciiTheme="minorHAnsi" w:hAnsiTheme="minorHAnsi"/>
        </w:rPr>
        <w:footnoteReference w:id="242"/>
      </w:r>
      <w:r w:rsidR="00375373">
        <w:rPr>
          <w:rFonts w:asciiTheme="minorHAnsi" w:hAnsiTheme="minorHAnsi"/>
        </w:rPr>
        <w:t xml:space="preserve"> </w:t>
      </w:r>
      <w:r w:rsidR="00CE4E91">
        <w:rPr>
          <w:rFonts w:asciiTheme="minorHAnsi" w:hAnsiTheme="minorHAnsi"/>
        </w:rPr>
        <w:t xml:space="preserve"> If voluntary reparation has been made, it should be taken into account in assessing the loss to the victim</w:t>
      </w:r>
      <w:r w:rsidR="00A1513F">
        <w:rPr>
          <w:rFonts w:asciiTheme="minorHAnsi" w:hAnsiTheme="minorHAnsi"/>
        </w:rPr>
        <w:t>;</w:t>
      </w:r>
      <w:r w:rsidR="00CE4E91">
        <w:rPr>
          <w:rFonts w:asciiTheme="minorHAnsi" w:hAnsiTheme="minorHAnsi"/>
        </w:rPr>
        <w:t xml:space="preserve"> </w:t>
      </w:r>
      <w:r w:rsidR="00A1513F">
        <w:rPr>
          <w:rFonts w:asciiTheme="minorHAnsi" w:hAnsiTheme="minorHAnsi"/>
        </w:rPr>
        <w:t>the position may be different where the payment is made under compulsion.</w:t>
      </w:r>
      <w:r w:rsidR="00A1513F" w:rsidRPr="00C00000">
        <w:rPr>
          <w:rStyle w:val="Style"/>
          <w:rFonts w:asciiTheme="minorHAnsi" w:hAnsiTheme="minorHAnsi"/>
        </w:rPr>
        <w:footnoteReference w:id="243"/>
      </w:r>
    </w:p>
    <w:p w14:paraId="487D3719" w14:textId="77777777" w:rsidR="00AD55EE" w:rsidRPr="00AD55EE" w:rsidRDefault="00AD55EE" w:rsidP="00AD55EE">
      <w:pPr>
        <w:spacing w:line="276" w:lineRule="auto"/>
        <w:ind w:right="170"/>
        <w:rPr>
          <w:rFonts w:asciiTheme="minorHAnsi" w:hAnsiTheme="minorHAnsi"/>
        </w:rPr>
      </w:pPr>
    </w:p>
    <w:p w14:paraId="6441D31C" w14:textId="2FA46BEF" w:rsidR="00AD55EE" w:rsidRDefault="00AD55E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the case of joint offenders, each offender may be regarded as severally responsible for the whole of any resulting loss or damage.</w:t>
      </w:r>
      <w:r w:rsidRPr="00C00000">
        <w:rPr>
          <w:rStyle w:val="Style"/>
          <w:rFonts w:asciiTheme="minorHAnsi" w:hAnsiTheme="minorHAnsi"/>
        </w:rPr>
        <w:footnoteReference w:id="244"/>
      </w:r>
    </w:p>
    <w:p w14:paraId="58EC5522" w14:textId="77777777" w:rsidR="00274BEA" w:rsidRPr="00274BEA" w:rsidRDefault="00274BEA" w:rsidP="00274BEA">
      <w:pPr>
        <w:pStyle w:val="ListParagraph"/>
        <w:rPr>
          <w:rFonts w:asciiTheme="minorHAnsi" w:hAnsiTheme="minorHAnsi"/>
        </w:rPr>
      </w:pPr>
    </w:p>
    <w:p w14:paraId="51CD6D44" w14:textId="6C1C351E" w:rsidR="00274BEA" w:rsidRPr="00895279" w:rsidRDefault="00274BE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“Injury, loss or damage resulting from the offence” does not encompass injury, loss or damage to the offender</w:t>
      </w:r>
      <w:r w:rsidR="00E35765">
        <w:rPr>
          <w:rFonts w:asciiTheme="minorHAnsi" w:hAnsiTheme="minorHAnsi"/>
        </w:rPr>
        <w:t xml:space="preserve">, such as expenditure incurred (and not recovered) in </w:t>
      </w:r>
      <w:r w:rsidR="00FA552E">
        <w:rPr>
          <w:rFonts w:asciiTheme="minorHAnsi" w:hAnsiTheme="minorHAnsi"/>
        </w:rPr>
        <w:t>connection with</w:t>
      </w:r>
      <w:r w:rsidR="00E35765">
        <w:rPr>
          <w:rFonts w:asciiTheme="minorHAnsi" w:hAnsiTheme="minorHAnsi"/>
        </w:rPr>
        <w:t xml:space="preserve"> the commission of the offence</w:t>
      </w:r>
      <w:r>
        <w:rPr>
          <w:rFonts w:asciiTheme="minorHAnsi" w:hAnsiTheme="minorHAnsi"/>
        </w:rPr>
        <w:t>.</w:t>
      </w:r>
      <w:r w:rsidR="00E35765" w:rsidRPr="00C00000">
        <w:rPr>
          <w:rStyle w:val="Style"/>
          <w:rFonts w:asciiTheme="minorHAnsi" w:hAnsiTheme="minorHAnsi"/>
        </w:rPr>
        <w:footnoteReference w:id="245"/>
      </w:r>
    </w:p>
    <w:p w14:paraId="53529284" w14:textId="66C55513" w:rsidR="00AC1FDE" w:rsidRPr="00AD55EE" w:rsidRDefault="00AC1FDE" w:rsidP="00AD55EE">
      <w:pPr>
        <w:pStyle w:val="Body"/>
        <w:tabs>
          <w:tab w:val="clear" w:pos="284"/>
          <w:tab w:val="left" w:pos="0"/>
        </w:tabs>
        <w:spacing w:line="276" w:lineRule="auto"/>
        <w:ind w:left="567" w:right="170" w:hanging="567"/>
        <w:rPr>
          <w:rFonts w:asciiTheme="minorHAnsi" w:hAnsiTheme="minorHAnsi" w:cs="Arial"/>
          <w:szCs w:val="22"/>
          <w:lang w:val="en-AU" w:eastAsia="en-AU"/>
        </w:rPr>
      </w:pPr>
    </w:p>
    <w:p w14:paraId="570F697E" w14:textId="221A3A80" w:rsidR="001E337B" w:rsidRPr="000C6ED8" w:rsidRDefault="00BA2B0B" w:rsidP="000C6ED8">
      <w:pPr>
        <w:pStyle w:val="Heading3"/>
      </w:pPr>
      <w:bookmarkStart w:id="1418" w:name="_Toc33602791"/>
      <w:r w:rsidRPr="000C6ED8">
        <w:t>Victim impact statements – s 16A(2)(ea)</w:t>
      </w:r>
      <w:bookmarkEnd w:id="1418"/>
    </w:p>
    <w:p w14:paraId="054ED8D3" w14:textId="77777777" w:rsidR="00412665" w:rsidRPr="00C00000" w:rsidRDefault="00412665" w:rsidP="000C6ED8">
      <w:pPr>
        <w:pStyle w:val="Body"/>
        <w:keepNext/>
        <w:tabs>
          <w:tab w:val="clear" w:pos="284"/>
          <w:tab w:val="left" w:pos="0"/>
        </w:tabs>
        <w:spacing w:line="276" w:lineRule="auto"/>
        <w:ind w:left="567" w:right="170" w:hanging="567"/>
        <w:rPr>
          <w:rFonts w:asciiTheme="minorHAnsi" w:hAnsiTheme="minorHAnsi" w:cs="Arial"/>
          <w:szCs w:val="22"/>
          <w:lang w:val="en-AU" w:eastAsia="en-AU"/>
        </w:rPr>
      </w:pPr>
    </w:p>
    <w:p w14:paraId="2D7D1095" w14:textId="5EAFA597" w:rsidR="004F26BD" w:rsidRPr="00EB7F1E" w:rsidRDefault="004F26BD">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This paragraph requires a court to have regard to </w:t>
      </w:r>
      <w:r w:rsidRPr="00EB7F1E">
        <w:rPr>
          <w:rFonts w:asciiTheme="minorHAnsi" w:hAnsiTheme="minorHAnsi"/>
          <w:iCs/>
          <w:color w:val="000000"/>
          <w:szCs w:val="22"/>
          <w:lang w:eastAsia="en-AU"/>
        </w:rPr>
        <w:t xml:space="preserve">any victim impact statement </w:t>
      </w:r>
      <w:r w:rsidR="00702A8D">
        <w:rPr>
          <w:rFonts w:asciiTheme="minorHAnsi" w:hAnsiTheme="minorHAnsi"/>
          <w:iCs/>
          <w:color w:val="000000"/>
          <w:szCs w:val="22"/>
          <w:lang w:eastAsia="en-AU"/>
        </w:rPr>
        <w:t xml:space="preserve">(VIS) </w:t>
      </w:r>
      <w:r w:rsidRPr="00EB7F1E">
        <w:rPr>
          <w:rFonts w:asciiTheme="minorHAnsi" w:hAnsiTheme="minorHAnsi"/>
          <w:iCs/>
          <w:color w:val="000000"/>
          <w:szCs w:val="22"/>
          <w:lang w:eastAsia="en-AU"/>
        </w:rPr>
        <w:t xml:space="preserve">for an individual </w:t>
      </w:r>
      <w:r w:rsidR="009F06CC">
        <w:rPr>
          <w:rFonts w:asciiTheme="minorHAnsi" w:hAnsiTheme="minorHAnsi"/>
          <w:iCs/>
          <w:color w:val="000000"/>
          <w:szCs w:val="22"/>
          <w:lang w:eastAsia="en-AU"/>
        </w:rPr>
        <w:t xml:space="preserve">who </w:t>
      </w:r>
      <w:r w:rsidRPr="00EB7F1E">
        <w:rPr>
          <w:rFonts w:asciiTheme="minorHAnsi" w:hAnsiTheme="minorHAnsi"/>
          <w:iCs/>
          <w:color w:val="000000"/>
          <w:szCs w:val="22"/>
          <w:lang w:eastAsia="en-AU"/>
        </w:rPr>
        <w:t>has suffered harm as a result of the offence.</w:t>
      </w:r>
      <w:r w:rsidRPr="00C00000">
        <w:rPr>
          <w:rStyle w:val="Style"/>
          <w:rFonts w:asciiTheme="minorHAnsi" w:hAnsiTheme="minorHAnsi"/>
        </w:rPr>
        <w:footnoteReference w:id="246"/>
      </w:r>
    </w:p>
    <w:p w14:paraId="0E699F5D" w14:textId="77777777" w:rsidR="00702A8D" w:rsidRPr="00F03B8B" w:rsidRDefault="00702A8D" w:rsidP="00EB7F1E">
      <w:pPr>
        <w:spacing w:line="276" w:lineRule="auto"/>
        <w:rPr>
          <w:rFonts w:asciiTheme="minorHAnsi" w:hAnsiTheme="minorHAnsi"/>
        </w:rPr>
      </w:pPr>
    </w:p>
    <w:p w14:paraId="52800415" w14:textId="5DB59BE9" w:rsidR="005F767A" w:rsidRPr="00C00000" w:rsidRDefault="005F767A" w:rsidP="00EB7F1E">
      <w:pPr>
        <w:pStyle w:val="ListParagraph"/>
        <w:numPr>
          <w:ilvl w:val="0"/>
          <w:numId w:val="7"/>
        </w:numPr>
        <w:spacing w:line="276" w:lineRule="auto"/>
        <w:ind w:left="425" w:hanging="425"/>
        <w:contextualSpacing w:val="0"/>
        <w:rPr>
          <w:rFonts w:asciiTheme="minorHAnsi" w:hAnsiTheme="minorHAnsi"/>
          <w:iCs/>
        </w:rPr>
      </w:pPr>
      <w:r w:rsidRPr="00C00000">
        <w:rPr>
          <w:rFonts w:asciiTheme="minorHAnsi" w:hAnsiTheme="minorHAnsi"/>
        </w:rPr>
        <w:t xml:space="preserve">The definition of who can provide a </w:t>
      </w:r>
      <w:r w:rsidR="00E370FB">
        <w:rPr>
          <w:rFonts w:asciiTheme="minorHAnsi" w:hAnsiTheme="minorHAnsi"/>
        </w:rPr>
        <w:t>VIS</w:t>
      </w:r>
      <w:r w:rsidRPr="00C00000">
        <w:rPr>
          <w:rFonts w:asciiTheme="minorHAnsi" w:hAnsiTheme="minorHAnsi"/>
        </w:rPr>
        <w:t xml:space="preserve"> and what it can contain are set out in s 16AAA(1) of the </w:t>
      </w:r>
      <w:r w:rsidR="00885EFD" w:rsidRPr="00885EFD">
        <w:rPr>
          <w:rFonts w:asciiTheme="minorHAnsi" w:hAnsiTheme="minorHAnsi"/>
          <w:i/>
          <w:iCs/>
        </w:rPr>
        <w:t>Crimes Act 1914</w:t>
      </w:r>
      <w:r w:rsidR="003347F6" w:rsidRPr="00C00000">
        <w:rPr>
          <w:rFonts w:asciiTheme="minorHAnsi" w:hAnsiTheme="minorHAnsi"/>
          <w:iCs/>
        </w:rPr>
        <w:t xml:space="preserve"> (Cth)</w:t>
      </w:r>
      <w:r w:rsidRPr="00C00000">
        <w:rPr>
          <w:rFonts w:asciiTheme="minorHAnsi" w:hAnsiTheme="minorHAnsi"/>
          <w:i/>
          <w:iCs/>
        </w:rPr>
        <w:t xml:space="preserve">.  </w:t>
      </w:r>
      <w:r w:rsidR="0047020F">
        <w:rPr>
          <w:rFonts w:asciiTheme="minorHAnsi" w:hAnsiTheme="minorHAnsi"/>
          <w:iCs/>
        </w:rPr>
        <w:t>In contrast to some State provisions</w:t>
      </w:r>
      <w:r w:rsidRPr="00C00000">
        <w:rPr>
          <w:rFonts w:asciiTheme="minorHAnsi" w:hAnsiTheme="minorHAnsi"/>
          <w:iCs/>
        </w:rPr>
        <w:t>, a Comm</w:t>
      </w:r>
      <w:r w:rsidR="007F1A9E" w:rsidRPr="00C00000">
        <w:rPr>
          <w:rFonts w:asciiTheme="minorHAnsi" w:hAnsiTheme="minorHAnsi"/>
          <w:iCs/>
        </w:rPr>
        <w:t>onwealth VIS</w:t>
      </w:r>
      <w:r w:rsidRPr="00C00000">
        <w:rPr>
          <w:rFonts w:asciiTheme="minorHAnsi" w:hAnsiTheme="minorHAnsi"/>
          <w:iCs/>
        </w:rPr>
        <w:t xml:space="preserve"> may be oral or in writin</w:t>
      </w:r>
      <w:r w:rsidR="007D5190" w:rsidRPr="00C00000">
        <w:rPr>
          <w:rFonts w:asciiTheme="minorHAnsi" w:hAnsiTheme="minorHAnsi"/>
          <w:iCs/>
        </w:rPr>
        <w:t>g</w:t>
      </w:r>
      <w:r w:rsidR="0047020F">
        <w:rPr>
          <w:rFonts w:asciiTheme="minorHAnsi" w:hAnsiTheme="minorHAnsi"/>
          <w:iCs/>
        </w:rPr>
        <w:t>,</w:t>
      </w:r>
      <w:r w:rsidR="007D5190" w:rsidRPr="00C00000">
        <w:rPr>
          <w:rFonts w:asciiTheme="minorHAnsi" w:hAnsiTheme="minorHAnsi"/>
          <w:iCs/>
        </w:rPr>
        <w:t xml:space="preserve"> but must be signed or otherwise acknowledged by the maker of the statement.</w:t>
      </w:r>
      <w:r w:rsidR="00EB5811" w:rsidRPr="00C00000">
        <w:rPr>
          <w:rFonts w:asciiTheme="minorHAnsi" w:hAnsiTheme="minorHAnsi"/>
          <w:iCs/>
        </w:rPr>
        <w:t xml:space="preserve">  </w:t>
      </w:r>
    </w:p>
    <w:p w14:paraId="14297784" w14:textId="77777777" w:rsidR="000A3BB3" w:rsidRPr="00C00000" w:rsidRDefault="000A3BB3" w:rsidP="007C11C2">
      <w:pPr>
        <w:pStyle w:val="ListParagraph"/>
        <w:spacing w:line="276" w:lineRule="auto"/>
        <w:ind w:left="567" w:right="170" w:hanging="567"/>
        <w:rPr>
          <w:rFonts w:asciiTheme="minorHAnsi" w:hAnsiTheme="minorHAnsi"/>
          <w:iCs/>
        </w:rPr>
      </w:pPr>
    </w:p>
    <w:p w14:paraId="15DACD49" w14:textId="7E99DDB0" w:rsidR="00EB5811" w:rsidRPr="00C00000" w:rsidRDefault="009B5F58" w:rsidP="00EB7F1E">
      <w:pPr>
        <w:pStyle w:val="ListParagraph"/>
        <w:numPr>
          <w:ilvl w:val="0"/>
          <w:numId w:val="7"/>
        </w:numPr>
        <w:spacing w:line="276" w:lineRule="auto"/>
        <w:ind w:left="425" w:hanging="425"/>
        <w:contextualSpacing w:val="0"/>
        <w:rPr>
          <w:rFonts w:asciiTheme="minorHAnsi" w:hAnsiTheme="minorHAnsi"/>
          <w:iCs/>
        </w:rPr>
      </w:pPr>
      <w:r>
        <w:rPr>
          <w:rFonts w:asciiTheme="minorHAnsi" w:hAnsiTheme="minorHAnsi"/>
          <w:iCs/>
        </w:rPr>
        <w:t>Under s</w:t>
      </w:r>
      <w:r w:rsidR="000A3BB3" w:rsidRPr="00C00000">
        <w:rPr>
          <w:rFonts w:asciiTheme="minorHAnsi" w:hAnsiTheme="minorHAnsi"/>
          <w:iCs/>
        </w:rPr>
        <w:t xml:space="preserve"> 16AB </w:t>
      </w:r>
      <w:r w:rsidR="00BA7520" w:rsidRPr="00C00000">
        <w:rPr>
          <w:rFonts w:asciiTheme="minorHAnsi" w:hAnsiTheme="minorHAnsi"/>
          <w:iCs/>
        </w:rPr>
        <w:t xml:space="preserve">of the </w:t>
      </w:r>
      <w:r w:rsidR="00885EFD" w:rsidRPr="00885EFD">
        <w:rPr>
          <w:rFonts w:asciiTheme="minorHAnsi" w:hAnsiTheme="minorHAnsi"/>
          <w:i/>
          <w:iCs/>
        </w:rPr>
        <w:t>Crimes Act 1914</w:t>
      </w:r>
      <w:r w:rsidR="00BA7520" w:rsidRPr="00C00000">
        <w:rPr>
          <w:rFonts w:asciiTheme="minorHAnsi" w:hAnsiTheme="minorHAnsi"/>
          <w:iCs/>
        </w:rPr>
        <w:t xml:space="preserve"> </w:t>
      </w:r>
      <w:r w:rsidR="00DB1CA4" w:rsidRPr="00C00000">
        <w:rPr>
          <w:rFonts w:asciiTheme="minorHAnsi" w:hAnsiTheme="minorHAnsi"/>
          <w:iCs/>
        </w:rPr>
        <w:t>(Cth)</w:t>
      </w:r>
      <w:r w:rsidR="000A3BB3" w:rsidRPr="00C00000">
        <w:rPr>
          <w:rFonts w:asciiTheme="minorHAnsi" w:hAnsiTheme="minorHAnsi"/>
          <w:iCs/>
        </w:rPr>
        <w:t>:</w:t>
      </w:r>
    </w:p>
    <w:p w14:paraId="1B3327E5" w14:textId="77777777" w:rsidR="000A3BB3" w:rsidRPr="00C00000" w:rsidRDefault="000A3BB3" w:rsidP="00EB7F1E">
      <w:pPr>
        <w:pStyle w:val="ListParagraph"/>
        <w:numPr>
          <w:ilvl w:val="1"/>
          <w:numId w:val="36"/>
        </w:numPr>
        <w:spacing w:line="276" w:lineRule="auto"/>
        <w:ind w:left="993" w:right="28" w:hanging="142"/>
        <w:rPr>
          <w:rFonts w:asciiTheme="minorHAnsi" w:hAnsiTheme="minorHAnsi"/>
          <w:iCs/>
        </w:rPr>
      </w:pPr>
      <w:r w:rsidRPr="00C00000">
        <w:rPr>
          <w:rFonts w:asciiTheme="minorHAnsi" w:hAnsiTheme="minorHAnsi"/>
          <w:iCs/>
        </w:rPr>
        <w:t xml:space="preserve">only one VIS can be given </w:t>
      </w:r>
      <w:r w:rsidRPr="00E90120">
        <w:rPr>
          <w:rFonts w:asciiTheme="minorHAnsi" w:hAnsiTheme="minorHAnsi"/>
        </w:rPr>
        <w:t>per</w:t>
      </w:r>
      <w:r w:rsidRPr="00C00000">
        <w:rPr>
          <w:rFonts w:asciiTheme="minorHAnsi" w:hAnsiTheme="minorHAnsi"/>
          <w:iCs/>
        </w:rPr>
        <w:t xml:space="preserve"> victim, unless the court grants leave;</w:t>
      </w:r>
    </w:p>
    <w:p w14:paraId="31AA180C" w14:textId="77777777" w:rsidR="000A3BB3" w:rsidRPr="00C00000" w:rsidRDefault="000A3BB3" w:rsidP="00EB7F1E">
      <w:pPr>
        <w:pStyle w:val="ListParagraph"/>
        <w:numPr>
          <w:ilvl w:val="1"/>
          <w:numId w:val="36"/>
        </w:numPr>
        <w:spacing w:line="276" w:lineRule="auto"/>
        <w:ind w:left="993" w:right="28" w:hanging="142"/>
        <w:rPr>
          <w:rFonts w:asciiTheme="minorHAnsi" w:hAnsiTheme="minorHAnsi"/>
          <w:iCs/>
        </w:rPr>
      </w:pPr>
      <w:r w:rsidRPr="00C00000">
        <w:rPr>
          <w:rFonts w:asciiTheme="minorHAnsi" w:hAnsiTheme="minorHAnsi"/>
          <w:iCs/>
        </w:rPr>
        <w:t xml:space="preserve">no implication is to be </w:t>
      </w:r>
      <w:r w:rsidRPr="00E90120">
        <w:rPr>
          <w:rFonts w:asciiTheme="minorHAnsi" w:hAnsiTheme="minorHAnsi"/>
        </w:rPr>
        <w:t>drawn</w:t>
      </w:r>
      <w:r w:rsidRPr="00C00000">
        <w:rPr>
          <w:rFonts w:asciiTheme="minorHAnsi" w:hAnsiTheme="minorHAnsi"/>
          <w:iCs/>
        </w:rPr>
        <w:t xml:space="preserve"> from the absence of a VIS;</w:t>
      </w:r>
      <w:r w:rsidR="008A59BF" w:rsidRPr="00C00000">
        <w:rPr>
          <w:rFonts w:asciiTheme="minorHAnsi" w:hAnsiTheme="minorHAnsi"/>
          <w:iCs/>
        </w:rPr>
        <w:t xml:space="preserve"> and</w:t>
      </w:r>
    </w:p>
    <w:p w14:paraId="1547281A" w14:textId="77777777" w:rsidR="000A3BB3" w:rsidRPr="00C00000" w:rsidRDefault="000A3BB3" w:rsidP="00EB7F1E">
      <w:pPr>
        <w:pStyle w:val="ListParagraph"/>
        <w:numPr>
          <w:ilvl w:val="1"/>
          <w:numId w:val="36"/>
        </w:numPr>
        <w:spacing w:line="276" w:lineRule="auto"/>
        <w:ind w:left="993" w:right="28" w:hanging="142"/>
        <w:rPr>
          <w:rFonts w:asciiTheme="minorHAnsi" w:hAnsiTheme="minorHAnsi"/>
          <w:iCs/>
        </w:rPr>
      </w:pPr>
      <w:r w:rsidRPr="00C00000">
        <w:rPr>
          <w:rFonts w:asciiTheme="minorHAnsi" w:hAnsiTheme="minorHAnsi"/>
          <w:iCs/>
        </w:rPr>
        <w:t xml:space="preserve">the accused may test the </w:t>
      </w:r>
      <w:r w:rsidRPr="00E90120">
        <w:rPr>
          <w:rFonts w:asciiTheme="minorHAnsi" w:hAnsiTheme="minorHAnsi"/>
        </w:rPr>
        <w:t>facts</w:t>
      </w:r>
      <w:r w:rsidRPr="00C00000">
        <w:rPr>
          <w:rFonts w:asciiTheme="minorHAnsi" w:hAnsiTheme="minorHAnsi"/>
          <w:iCs/>
        </w:rPr>
        <w:t xml:space="preserve"> in a VIS by cross examining the maker only if leave </w:t>
      </w:r>
      <w:r w:rsidR="00EF7126" w:rsidRPr="00C00000">
        <w:rPr>
          <w:rFonts w:asciiTheme="minorHAnsi" w:hAnsiTheme="minorHAnsi"/>
          <w:iCs/>
        </w:rPr>
        <w:t>is</w:t>
      </w:r>
      <w:r w:rsidRPr="00C00000">
        <w:rPr>
          <w:rFonts w:asciiTheme="minorHAnsi" w:hAnsiTheme="minorHAnsi"/>
          <w:iCs/>
        </w:rPr>
        <w:t xml:space="preserve"> granted by the court.  </w:t>
      </w:r>
    </w:p>
    <w:p w14:paraId="65DA1BF9" w14:textId="720877E5" w:rsidR="0022229F" w:rsidRDefault="0022229F" w:rsidP="007C11C2">
      <w:pPr>
        <w:spacing w:line="276" w:lineRule="auto"/>
        <w:ind w:left="567" w:right="170" w:hanging="567"/>
        <w:rPr>
          <w:rFonts w:asciiTheme="minorHAnsi" w:hAnsiTheme="minorHAnsi"/>
        </w:rPr>
      </w:pPr>
    </w:p>
    <w:p w14:paraId="3DCABB16" w14:textId="2F546605" w:rsidR="00702A8D" w:rsidRPr="00931A27" w:rsidRDefault="00702A8D" w:rsidP="00702A8D">
      <w:pPr>
        <w:pStyle w:val="ListParagraph"/>
        <w:numPr>
          <w:ilvl w:val="0"/>
          <w:numId w:val="7"/>
        </w:numPr>
        <w:spacing w:line="276" w:lineRule="auto"/>
        <w:ind w:left="425" w:hanging="425"/>
        <w:contextualSpacing w:val="0"/>
        <w:rPr>
          <w:rFonts w:asciiTheme="minorHAnsi" w:hAnsiTheme="minorHAnsi"/>
          <w:iCs/>
        </w:rPr>
      </w:pPr>
      <w:r w:rsidRPr="00C00000">
        <w:rPr>
          <w:rFonts w:asciiTheme="minorHAnsi" w:hAnsiTheme="minorHAnsi"/>
        </w:rPr>
        <w:t xml:space="preserve">There is no prescribed form </w:t>
      </w:r>
      <w:r>
        <w:rPr>
          <w:rFonts w:asciiTheme="minorHAnsi" w:hAnsiTheme="minorHAnsi"/>
        </w:rPr>
        <w:t xml:space="preserve">of VIS </w:t>
      </w:r>
      <w:r w:rsidRPr="00C00000">
        <w:rPr>
          <w:rFonts w:asciiTheme="minorHAnsi" w:hAnsiTheme="minorHAnsi"/>
        </w:rPr>
        <w:t>but a pro forma Commonwealth VIS has been developed by</w:t>
      </w:r>
      <w:r w:rsidR="009F06CC">
        <w:rPr>
          <w:rFonts w:asciiTheme="minorHAnsi" w:hAnsiTheme="minorHAnsi"/>
        </w:rPr>
        <w:t xml:space="preserve"> the</w:t>
      </w:r>
      <w:r w:rsidRPr="00C00000">
        <w:rPr>
          <w:rFonts w:asciiTheme="minorHAnsi" w:hAnsiTheme="minorHAnsi"/>
        </w:rPr>
        <w:t xml:space="preserve"> CDPP.</w:t>
      </w:r>
    </w:p>
    <w:p w14:paraId="49EC75C4" w14:textId="77777777" w:rsidR="00702A8D" w:rsidRPr="00C00000" w:rsidRDefault="00702A8D" w:rsidP="007C11C2">
      <w:pPr>
        <w:spacing w:line="276" w:lineRule="auto"/>
        <w:ind w:left="567" w:right="170" w:hanging="567"/>
        <w:rPr>
          <w:rFonts w:asciiTheme="minorHAnsi" w:hAnsiTheme="minorHAnsi"/>
        </w:rPr>
      </w:pPr>
    </w:p>
    <w:p w14:paraId="15FF92E8" w14:textId="2D371A42" w:rsidR="001E337B" w:rsidRPr="000C6ED8" w:rsidRDefault="00BA2B0B" w:rsidP="00C14A45">
      <w:pPr>
        <w:pStyle w:val="Heading3"/>
      </w:pPr>
      <w:bookmarkStart w:id="1419" w:name="_Ref492806119"/>
      <w:bookmarkStart w:id="1420" w:name="_Ref492806151"/>
      <w:bookmarkStart w:id="1421" w:name="_Toc33602792"/>
      <w:r w:rsidRPr="000C6ED8">
        <w:t>Degree to which contrition is shown – s 16A(2)(f)</w:t>
      </w:r>
      <w:bookmarkEnd w:id="1419"/>
      <w:bookmarkEnd w:id="1420"/>
      <w:bookmarkEnd w:id="1421"/>
    </w:p>
    <w:p w14:paraId="08B37CE4" w14:textId="77777777" w:rsidR="001835A1" w:rsidRPr="00C00000" w:rsidRDefault="001835A1" w:rsidP="00C14A45">
      <w:pPr>
        <w:keepNext/>
        <w:spacing w:line="276" w:lineRule="auto"/>
        <w:ind w:left="153" w:right="170"/>
        <w:jc w:val="both"/>
        <w:rPr>
          <w:rFonts w:asciiTheme="minorHAnsi" w:hAnsiTheme="minorHAnsi"/>
          <w:b/>
          <w:u w:val="single"/>
        </w:rPr>
      </w:pPr>
    </w:p>
    <w:p w14:paraId="6DD00D39" w14:textId="2C5A8A35" w:rsidR="00E370FB" w:rsidRPr="00C00000" w:rsidRDefault="00E370FB"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color w:val="000000"/>
          <w:szCs w:val="22"/>
          <w:lang w:eastAsia="en-AU"/>
        </w:rPr>
        <w:t>Th</w:t>
      </w:r>
      <w:r w:rsidR="009F06CC">
        <w:rPr>
          <w:rFonts w:asciiTheme="minorHAnsi" w:hAnsiTheme="minorHAnsi"/>
          <w:color w:val="000000"/>
          <w:szCs w:val="22"/>
          <w:lang w:eastAsia="en-AU"/>
        </w:rPr>
        <w:t>is</w:t>
      </w:r>
      <w:r>
        <w:rPr>
          <w:rFonts w:asciiTheme="minorHAnsi" w:hAnsiTheme="minorHAnsi"/>
          <w:color w:val="000000"/>
          <w:szCs w:val="22"/>
          <w:lang w:eastAsia="en-AU"/>
        </w:rPr>
        <w:t xml:space="preserve"> paragraph requires consideration of “</w:t>
      </w:r>
      <w:r w:rsidRPr="00C00000">
        <w:rPr>
          <w:rFonts w:asciiTheme="minorHAnsi" w:hAnsiTheme="minorHAnsi"/>
          <w:i/>
          <w:color w:val="000000"/>
          <w:szCs w:val="22"/>
          <w:lang w:eastAsia="en-AU"/>
        </w:rPr>
        <w:t>the degree to which the person has shown contrition for the offence</w:t>
      </w:r>
      <w:r>
        <w:rPr>
          <w:rFonts w:asciiTheme="minorHAnsi" w:hAnsiTheme="minorHAnsi"/>
          <w:i/>
          <w:color w:val="000000"/>
          <w:szCs w:val="22"/>
          <w:lang w:eastAsia="en-AU"/>
        </w:rPr>
        <w:t xml:space="preserve"> … by taking action … or in any other manner</w:t>
      </w:r>
      <w:r>
        <w:rPr>
          <w:rFonts w:asciiTheme="minorHAnsi" w:hAnsiTheme="minorHAnsi"/>
          <w:color w:val="000000"/>
          <w:szCs w:val="22"/>
          <w:lang w:eastAsia="en-AU"/>
        </w:rPr>
        <w:t>”.  That is, contrition must be “</w:t>
      </w:r>
      <w:r w:rsidRPr="00E370FB">
        <w:rPr>
          <w:rFonts w:asciiTheme="minorHAnsi" w:hAnsiTheme="minorHAnsi"/>
          <w:i/>
          <w:color w:val="000000"/>
          <w:szCs w:val="22"/>
          <w:lang w:eastAsia="en-AU"/>
        </w:rPr>
        <w:t>shown</w:t>
      </w:r>
      <w:r>
        <w:rPr>
          <w:rFonts w:asciiTheme="minorHAnsi" w:hAnsiTheme="minorHAnsi"/>
          <w:color w:val="000000"/>
          <w:szCs w:val="22"/>
          <w:lang w:eastAsia="en-AU"/>
        </w:rPr>
        <w:t>”</w:t>
      </w:r>
      <w:r w:rsidR="00664B7A">
        <w:rPr>
          <w:rFonts w:asciiTheme="minorHAnsi" w:hAnsiTheme="minorHAnsi"/>
          <w:color w:val="000000"/>
          <w:szCs w:val="22"/>
          <w:lang w:eastAsia="en-AU"/>
        </w:rPr>
        <w:t xml:space="preserve"> by the offender</w:t>
      </w:r>
      <w:r w:rsidR="001576FA">
        <w:rPr>
          <w:rFonts w:asciiTheme="minorHAnsi" w:hAnsiTheme="minorHAnsi"/>
          <w:color w:val="000000"/>
          <w:szCs w:val="22"/>
          <w:lang w:eastAsia="en-AU"/>
        </w:rPr>
        <w:t>.</w:t>
      </w:r>
      <w:r>
        <w:rPr>
          <w:rFonts w:asciiTheme="minorHAnsi" w:hAnsiTheme="minorHAnsi"/>
          <w:color w:val="000000"/>
          <w:szCs w:val="22"/>
          <w:lang w:eastAsia="en-AU"/>
        </w:rPr>
        <w:t xml:space="preserve"> </w:t>
      </w:r>
      <w:r w:rsidR="001576FA">
        <w:rPr>
          <w:rFonts w:asciiTheme="minorHAnsi" w:hAnsiTheme="minorHAnsi"/>
          <w:color w:val="000000"/>
          <w:szCs w:val="22"/>
          <w:lang w:eastAsia="en-AU"/>
        </w:rPr>
        <w:t xml:space="preserve"> Actions will often speak louder than words.</w:t>
      </w:r>
    </w:p>
    <w:p w14:paraId="4B6EC54D" w14:textId="77777777" w:rsidR="001835A1" w:rsidRPr="00C00000" w:rsidRDefault="001835A1" w:rsidP="007C11C2">
      <w:pPr>
        <w:spacing w:line="276" w:lineRule="auto"/>
        <w:ind w:left="567" w:right="170" w:hanging="567"/>
        <w:jc w:val="both"/>
        <w:rPr>
          <w:rFonts w:asciiTheme="minorHAnsi" w:hAnsiTheme="minorHAnsi"/>
          <w:szCs w:val="22"/>
        </w:rPr>
      </w:pPr>
    </w:p>
    <w:p w14:paraId="4847799A" w14:textId="2874CCE0" w:rsidR="007B337A" w:rsidRDefault="007B337A"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A</w:t>
      </w:r>
      <w:r w:rsidRPr="00C00000">
        <w:rPr>
          <w:rFonts w:asciiTheme="minorHAnsi" w:hAnsiTheme="minorHAnsi"/>
          <w:szCs w:val="22"/>
        </w:rPr>
        <w:t xml:space="preserve"> plea of guilty</w:t>
      </w:r>
      <w:r w:rsidR="00725FBD">
        <w:rPr>
          <w:rFonts w:asciiTheme="minorHAnsi" w:hAnsiTheme="minorHAnsi"/>
          <w:szCs w:val="22"/>
        </w:rPr>
        <w:t xml:space="preserve"> or</w:t>
      </w:r>
      <w:r>
        <w:rPr>
          <w:rFonts w:asciiTheme="minorHAnsi" w:hAnsiTheme="minorHAnsi"/>
          <w:szCs w:val="22"/>
        </w:rPr>
        <w:t xml:space="preserve"> the</w:t>
      </w:r>
      <w:r w:rsidRPr="00C00000">
        <w:rPr>
          <w:rFonts w:asciiTheme="minorHAnsi" w:hAnsiTheme="minorHAnsi"/>
          <w:szCs w:val="22"/>
        </w:rPr>
        <w:t xml:space="preserve"> making </w:t>
      </w:r>
      <w:r w:rsidR="009F06CC">
        <w:rPr>
          <w:rFonts w:asciiTheme="minorHAnsi" w:hAnsiTheme="minorHAnsi"/>
          <w:szCs w:val="22"/>
        </w:rPr>
        <w:t xml:space="preserve">of </w:t>
      </w:r>
      <w:r w:rsidRPr="00C00000">
        <w:rPr>
          <w:rFonts w:asciiTheme="minorHAnsi" w:hAnsiTheme="minorHAnsi"/>
          <w:szCs w:val="22"/>
        </w:rPr>
        <w:t xml:space="preserve">reparation </w:t>
      </w:r>
      <w:r>
        <w:rPr>
          <w:rFonts w:asciiTheme="minorHAnsi" w:hAnsiTheme="minorHAnsi"/>
          <w:szCs w:val="22"/>
        </w:rPr>
        <w:t xml:space="preserve">is usually </w:t>
      </w:r>
      <w:r w:rsidR="00725FBD">
        <w:rPr>
          <w:rFonts w:asciiTheme="minorHAnsi" w:hAnsiTheme="minorHAnsi"/>
          <w:szCs w:val="22"/>
        </w:rPr>
        <w:t>accepted as a demonstration of</w:t>
      </w:r>
      <w:r w:rsidRPr="00C00000">
        <w:rPr>
          <w:rFonts w:asciiTheme="minorHAnsi" w:hAnsiTheme="minorHAnsi"/>
          <w:szCs w:val="22"/>
        </w:rPr>
        <w:t xml:space="preserve"> contrition</w:t>
      </w:r>
      <w:r>
        <w:rPr>
          <w:rFonts w:asciiTheme="minorHAnsi" w:hAnsiTheme="minorHAnsi"/>
          <w:szCs w:val="22"/>
        </w:rPr>
        <w:t>;</w:t>
      </w:r>
      <w:r w:rsidRPr="00C00000">
        <w:rPr>
          <w:rFonts w:asciiTheme="minorHAnsi" w:hAnsiTheme="minorHAnsi"/>
          <w:szCs w:val="22"/>
        </w:rPr>
        <w:t xml:space="preserve"> </w:t>
      </w:r>
      <w:r>
        <w:rPr>
          <w:rFonts w:asciiTheme="minorHAnsi" w:hAnsiTheme="minorHAnsi"/>
          <w:szCs w:val="22"/>
        </w:rPr>
        <w:t>if so, it</w:t>
      </w:r>
      <w:r w:rsidRPr="00C00000">
        <w:rPr>
          <w:rFonts w:asciiTheme="minorHAnsi" w:hAnsiTheme="minorHAnsi"/>
          <w:szCs w:val="22"/>
        </w:rPr>
        <w:t xml:space="preserve"> must be taken into account under s 16A(2)(f).</w:t>
      </w:r>
      <w:r w:rsidRPr="00C00000">
        <w:rPr>
          <w:rStyle w:val="Style"/>
          <w:rFonts w:asciiTheme="minorHAnsi" w:hAnsiTheme="minorHAnsi"/>
        </w:rPr>
        <w:footnoteReference w:id="247"/>
      </w:r>
      <w:r w:rsidRPr="001576FA">
        <w:rPr>
          <w:rFonts w:asciiTheme="minorHAnsi" w:hAnsiTheme="minorHAnsi"/>
          <w:szCs w:val="22"/>
        </w:rPr>
        <w:t xml:space="preserve"> </w:t>
      </w:r>
      <w:r>
        <w:rPr>
          <w:rFonts w:asciiTheme="minorHAnsi" w:hAnsiTheme="minorHAnsi"/>
          <w:szCs w:val="22"/>
        </w:rPr>
        <w:t xml:space="preserve"> </w:t>
      </w:r>
      <w:r w:rsidR="00C1559C" w:rsidRPr="002E5C01">
        <w:rPr>
          <w:rFonts w:asciiTheme="minorHAnsi" w:hAnsiTheme="minorHAnsi"/>
          <w:szCs w:val="22"/>
        </w:rPr>
        <w:t>G</w:t>
      </w:r>
      <w:r>
        <w:rPr>
          <w:rFonts w:asciiTheme="minorHAnsi" w:hAnsiTheme="minorHAnsi"/>
          <w:szCs w:val="22"/>
        </w:rPr>
        <w:t>enuine co</w:t>
      </w:r>
      <w:r w:rsidRPr="00E90120">
        <w:rPr>
          <w:rFonts w:asciiTheme="minorHAnsi" w:hAnsiTheme="minorHAnsi"/>
        </w:rPr>
        <w:t>n</w:t>
      </w:r>
      <w:r>
        <w:rPr>
          <w:rFonts w:asciiTheme="minorHAnsi" w:hAnsiTheme="minorHAnsi"/>
          <w:szCs w:val="22"/>
        </w:rPr>
        <w:t>trition</w:t>
      </w:r>
      <w:r w:rsidRPr="00C00000">
        <w:rPr>
          <w:rFonts w:asciiTheme="minorHAnsi" w:hAnsiTheme="minorHAnsi"/>
          <w:szCs w:val="22"/>
        </w:rPr>
        <w:t xml:space="preserve"> </w:t>
      </w:r>
      <w:r w:rsidR="00C1559C">
        <w:rPr>
          <w:rFonts w:asciiTheme="minorHAnsi" w:hAnsiTheme="minorHAnsi"/>
          <w:szCs w:val="22"/>
        </w:rPr>
        <w:t xml:space="preserve">also </w:t>
      </w:r>
      <w:r w:rsidR="00C1559C" w:rsidRPr="002E5C01">
        <w:rPr>
          <w:rFonts w:asciiTheme="minorHAnsi" w:hAnsiTheme="minorHAnsi"/>
          <w:szCs w:val="22"/>
        </w:rPr>
        <w:t xml:space="preserve">enhances </w:t>
      </w:r>
      <w:r w:rsidR="00C1559C">
        <w:rPr>
          <w:rFonts w:asciiTheme="minorHAnsi" w:hAnsiTheme="minorHAnsi"/>
          <w:szCs w:val="22"/>
        </w:rPr>
        <w:t>the offender</w:t>
      </w:r>
      <w:r w:rsidR="00AA693C">
        <w:rPr>
          <w:rFonts w:asciiTheme="minorHAnsi" w:hAnsiTheme="minorHAnsi"/>
          <w:szCs w:val="22"/>
        </w:rPr>
        <w:t>’</w:t>
      </w:r>
      <w:r w:rsidR="00C1559C">
        <w:rPr>
          <w:rFonts w:asciiTheme="minorHAnsi" w:hAnsiTheme="minorHAnsi"/>
          <w:szCs w:val="22"/>
        </w:rPr>
        <w:t xml:space="preserve">s </w:t>
      </w:r>
      <w:r w:rsidR="00C1559C" w:rsidRPr="002E5C01">
        <w:rPr>
          <w:rFonts w:asciiTheme="minorHAnsi" w:hAnsiTheme="minorHAnsi"/>
          <w:szCs w:val="22"/>
        </w:rPr>
        <w:t xml:space="preserve">prospects of rehabilitation </w:t>
      </w:r>
      <w:r w:rsidR="00C1559C">
        <w:rPr>
          <w:rFonts w:asciiTheme="minorHAnsi" w:hAnsiTheme="minorHAnsi"/>
          <w:szCs w:val="22"/>
        </w:rPr>
        <w:t xml:space="preserve">(s 16A(2)(n)) </w:t>
      </w:r>
      <w:r w:rsidR="00C1559C" w:rsidRPr="002E5C01">
        <w:rPr>
          <w:rFonts w:asciiTheme="minorHAnsi" w:hAnsiTheme="minorHAnsi"/>
          <w:szCs w:val="22"/>
        </w:rPr>
        <w:t>and reduces the need for specific deterrence</w:t>
      </w:r>
      <w:r w:rsidR="00C1559C">
        <w:rPr>
          <w:rFonts w:asciiTheme="minorHAnsi" w:hAnsiTheme="minorHAnsi"/>
          <w:szCs w:val="22"/>
        </w:rPr>
        <w:t xml:space="preserve"> (s 16A(2)(j))</w:t>
      </w:r>
      <w:r w:rsidRPr="00C00000">
        <w:rPr>
          <w:rFonts w:asciiTheme="minorHAnsi" w:hAnsiTheme="minorHAnsi"/>
          <w:szCs w:val="22"/>
        </w:rPr>
        <w:t>.</w:t>
      </w:r>
      <w:r w:rsidRPr="000055BF">
        <w:rPr>
          <w:rFonts w:asciiTheme="minorHAnsi" w:hAnsiTheme="minorHAnsi"/>
          <w:position w:val="6"/>
          <w:sz w:val="16"/>
        </w:rPr>
        <w:footnoteReference w:id="248"/>
      </w:r>
    </w:p>
    <w:p w14:paraId="7910EC5F" w14:textId="77777777" w:rsidR="007B337A" w:rsidRPr="00E370FB" w:rsidRDefault="007B337A" w:rsidP="007B337A">
      <w:pPr>
        <w:spacing w:line="276" w:lineRule="auto"/>
        <w:ind w:right="170"/>
        <w:rPr>
          <w:rFonts w:asciiTheme="minorHAnsi" w:hAnsiTheme="minorHAnsi"/>
          <w:szCs w:val="22"/>
        </w:rPr>
      </w:pPr>
    </w:p>
    <w:p w14:paraId="7393F735" w14:textId="7A49E5E0" w:rsidR="001835A1" w:rsidRDefault="00B7063F"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Contrition, if relied upon</w:t>
      </w:r>
      <w:r w:rsidR="008B1461">
        <w:rPr>
          <w:rFonts w:asciiTheme="minorHAnsi" w:hAnsiTheme="minorHAnsi"/>
          <w:szCs w:val="22"/>
        </w:rPr>
        <w:t xml:space="preserve"> and not conceded by the </w:t>
      </w:r>
      <w:r w:rsidR="008B1461" w:rsidRPr="00E90120">
        <w:rPr>
          <w:rFonts w:asciiTheme="minorHAnsi" w:hAnsiTheme="minorHAnsi"/>
        </w:rPr>
        <w:t>prosecution</w:t>
      </w:r>
      <w:r>
        <w:rPr>
          <w:rFonts w:asciiTheme="minorHAnsi" w:hAnsiTheme="minorHAnsi"/>
          <w:szCs w:val="22"/>
        </w:rPr>
        <w:t xml:space="preserve">, </w:t>
      </w:r>
      <w:r w:rsidR="00972245">
        <w:rPr>
          <w:rFonts w:asciiTheme="minorHAnsi" w:hAnsiTheme="minorHAnsi"/>
          <w:szCs w:val="22"/>
        </w:rPr>
        <w:t>must</w:t>
      </w:r>
      <w:r>
        <w:rPr>
          <w:rFonts w:asciiTheme="minorHAnsi" w:hAnsiTheme="minorHAnsi"/>
          <w:szCs w:val="22"/>
        </w:rPr>
        <w:t xml:space="preserve"> be</w:t>
      </w:r>
      <w:r w:rsidR="001835A1" w:rsidRPr="00C00000">
        <w:rPr>
          <w:rFonts w:asciiTheme="minorHAnsi" w:hAnsiTheme="minorHAnsi"/>
          <w:szCs w:val="22"/>
        </w:rPr>
        <w:t xml:space="preserve"> established by </w:t>
      </w:r>
      <w:r w:rsidR="00972245">
        <w:rPr>
          <w:rFonts w:asciiTheme="minorHAnsi" w:hAnsiTheme="minorHAnsi"/>
          <w:szCs w:val="22"/>
        </w:rPr>
        <w:t>the offender.</w:t>
      </w:r>
      <w:r w:rsidR="00972245" w:rsidRPr="000055BF">
        <w:rPr>
          <w:rFonts w:asciiTheme="minorHAnsi" w:hAnsiTheme="minorHAnsi"/>
          <w:position w:val="6"/>
          <w:sz w:val="16"/>
        </w:rPr>
        <w:footnoteReference w:id="249"/>
      </w:r>
      <w:r w:rsidR="001835A1" w:rsidRPr="00C00000">
        <w:rPr>
          <w:rFonts w:asciiTheme="minorHAnsi" w:hAnsiTheme="minorHAnsi"/>
          <w:szCs w:val="22"/>
        </w:rPr>
        <w:t xml:space="preserve">  </w:t>
      </w:r>
      <w:r w:rsidR="00972245">
        <w:rPr>
          <w:rFonts w:asciiTheme="minorHAnsi" w:hAnsiTheme="minorHAnsi"/>
          <w:szCs w:val="22"/>
        </w:rPr>
        <w:t>A</w:t>
      </w:r>
      <w:r w:rsidR="009920BF" w:rsidRPr="00C00000">
        <w:rPr>
          <w:rFonts w:asciiTheme="minorHAnsi" w:hAnsiTheme="minorHAnsi"/>
          <w:szCs w:val="22"/>
        </w:rPr>
        <w:t xml:space="preserve"> </w:t>
      </w:r>
      <w:r w:rsidR="001835A1" w:rsidRPr="00C00000">
        <w:rPr>
          <w:rFonts w:asciiTheme="minorHAnsi" w:hAnsiTheme="minorHAnsi"/>
          <w:szCs w:val="22"/>
        </w:rPr>
        <w:t xml:space="preserve">judge </w:t>
      </w:r>
      <w:r w:rsidR="009920BF">
        <w:rPr>
          <w:rFonts w:asciiTheme="minorHAnsi" w:hAnsiTheme="minorHAnsi"/>
          <w:szCs w:val="22"/>
        </w:rPr>
        <w:t>is</w:t>
      </w:r>
      <w:r w:rsidR="001835A1" w:rsidRPr="00C00000">
        <w:rPr>
          <w:rFonts w:asciiTheme="minorHAnsi" w:hAnsiTheme="minorHAnsi"/>
          <w:szCs w:val="22"/>
        </w:rPr>
        <w:t xml:space="preserve"> not bound to accept </w:t>
      </w:r>
      <w:r w:rsidR="008B1461">
        <w:rPr>
          <w:rFonts w:asciiTheme="minorHAnsi" w:hAnsiTheme="minorHAnsi"/>
          <w:szCs w:val="22"/>
        </w:rPr>
        <w:t>hearsay</w:t>
      </w:r>
      <w:r w:rsidR="001835A1" w:rsidRPr="00C00000">
        <w:rPr>
          <w:rFonts w:asciiTheme="minorHAnsi" w:hAnsiTheme="minorHAnsi"/>
          <w:szCs w:val="22"/>
        </w:rPr>
        <w:t xml:space="preserve"> evidence of what the offender said to a psychologist or psychiatrist</w:t>
      </w:r>
      <w:r>
        <w:rPr>
          <w:rFonts w:asciiTheme="minorHAnsi" w:hAnsiTheme="minorHAnsi"/>
          <w:szCs w:val="22"/>
        </w:rPr>
        <w:t>,</w:t>
      </w:r>
      <w:r w:rsidR="001835A1" w:rsidRPr="00C00000">
        <w:rPr>
          <w:rFonts w:asciiTheme="minorHAnsi" w:hAnsiTheme="minorHAnsi"/>
          <w:szCs w:val="22"/>
        </w:rPr>
        <w:t xml:space="preserve"> let alone testimonials or </w:t>
      </w:r>
      <w:r>
        <w:rPr>
          <w:rFonts w:asciiTheme="minorHAnsi" w:hAnsiTheme="minorHAnsi"/>
          <w:szCs w:val="22"/>
        </w:rPr>
        <w:t xml:space="preserve">assertions </w:t>
      </w:r>
      <w:r w:rsidR="001835A1" w:rsidRPr="00C00000">
        <w:rPr>
          <w:rFonts w:asciiTheme="minorHAnsi" w:hAnsiTheme="minorHAnsi"/>
          <w:szCs w:val="22"/>
        </w:rPr>
        <w:t xml:space="preserve">from the </w:t>
      </w:r>
      <w:r w:rsidR="001835A1" w:rsidRPr="0001747C">
        <w:rPr>
          <w:rFonts w:asciiTheme="minorHAnsi" w:hAnsiTheme="minorHAnsi"/>
        </w:rPr>
        <w:t>Bar</w:t>
      </w:r>
      <w:r w:rsidR="001835A1" w:rsidRPr="00C00000">
        <w:rPr>
          <w:rFonts w:asciiTheme="minorHAnsi" w:hAnsiTheme="minorHAnsi"/>
          <w:szCs w:val="22"/>
        </w:rPr>
        <w:t xml:space="preserve"> table.</w:t>
      </w:r>
      <w:r w:rsidR="001835A1" w:rsidRPr="000055BF">
        <w:rPr>
          <w:rFonts w:asciiTheme="minorHAnsi" w:hAnsiTheme="minorHAnsi"/>
          <w:position w:val="6"/>
          <w:sz w:val="16"/>
        </w:rPr>
        <w:footnoteReference w:id="250"/>
      </w:r>
      <w:r w:rsidR="00131801">
        <w:rPr>
          <w:rFonts w:asciiTheme="minorHAnsi" w:hAnsiTheme="minorHAnsi"/>
          <w:szCs w:val="22"/>
        </w:rPr>
        <w:t xml:space="preserve">  Nothing in s 16A(2)(f) requ</w:t>
      </w:r>
      <w:r w:rsidR="00131801" w:rsidRPr="00EB7F1E">
        <w:rPr>
          <w:rFonts w:asciiTheme="minorHAnsi" w:hAnsiTheme="minorHAnsi"/>
          <w:szCs w:val="22"/>
        </w:rPr>
        <w:t>ire</w:t>
      </w:r>
      <w:r w:rsidR="00131801">
        <w:rPr>
          <w:rFonts w:asciiTheme="minorHAnsi" w:hAnsiTheme="minorHAnsi"/>
          <w:szCs w:val="22"/>
        </w:rPr>
        <w:t>s</w:t>
      </w:r>
      <w:r w:rsidR="00131801" w:rsidRPr="00EB7F1E">
        <w:rPr>
          <w:rFonts w:asciiTheme="minorHAnsi" w:hAnsiTheme="minorHAnsi"/>
          <w:szCs w:val="22"/>
        </w:rPr>
        <w:t xml:space="preserve"> a sentencing judge to place any particular weight on untested statements made by an offender to a psychologist or other third party.</w:t>
      </w:r>
      <w:r w:rsidR="00131801" w:rsidRPr="000055BF">
        <w:rPr>
          <w:rFonts w:asciiTheme="minorHAnsi" w:hAnsiTheme="minorHAnsi"/>
          <w:position w:val="6"/>
          <w:sz w:val="16"/>
        </w:rPr>
        <w:footnoteReference w:id="251"/>
      </w:r>
    </w:p>
    <w:p w14:paraId="61264FD6" w14:textId="47E8827A" w:rsidR="0004163C" w:rsidRPr="0004163C" w:rsidRDefault="0004163C" w:rsidP="0004163C">
      <w:pPr>
        <w:pStyle w:val="ListParagraph"/>
        <w:rPr>
          <w:rFonts w:asciiTheme="minorHAnsi" w:hAnsiTheme="minorHAnsi"/>
          <w:szCs w:val="22"/>
        </w:rPr>
      </w:pPr>
    </w:p>
    <w:p w14:paraId="606EA9EA" w14:textId="5620D380" w:rsidR="0004163C" w:rsidRPr="00EB7F1E" w:rsidRDefault="00F20D1E"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 xml:space="preserve">Payments </w:t>
      </w:r>
      <w:r w:rsidR="0004163C">
        <w:rPr>
          <w:rFonts w:asciiTheme="minorHAnsi" w:hAnsiTheme="minorHAnsi"/>
          <w:szCs w:val="22"/>
        </w:rPr>
        <w:t>made pursuant to a pecuniary penalty order</w:t>
      </w:r>
      <w:r>
        <w:rPr>
          <w:rFonts w:asciiTheme="minorHAnsi" w:hAnsiTheme="minorHAnsi"/>
          <w:szCs w:val="22"/>
        </w:rPr>
        <w:t xml:space="preserve"> </w:t>
      </w:r>
      <w:r w:rsidRPr="00E90120">
        <w:rPr>
          <w:rFonts w:asciiTheme="minorHAnsi" w:hAnsiTheme="minorHAnsi"/>
        </w:rPr>
        <w:t>under</w:t>
      </w:r>
      <w:r>
        <w:rPr>
          <w:rFonts w:asciiTheme="minorHAnsi" w:hAnsiTheme="minorHAnsi"/>
          <w:szCs w:val="22"/>
        </w:rPr>
        <w:t xml:space="preserve"> the </w:t>
      </w:r>
      <w:r w:rsidRPr="00F20D1E">
        <w:rPr>
          <w:rFonts w:asciiTheme="minorHAnsi" w:hAnsiTheme="minorHAnsi"/>
          <w:i/>
          <w:szCs w:val="22"/>
        </w:rPr>
        <w:t>Proceeds of Crime Act</w:t>
      </w:r>
      <w:r>
        <w:rPr>
          <w:rFonts w:asciiTheme="minorHAnsi" w:hAnsiTheme="minorHAnsi"/>
          <w:szCs w:val="22"/>
        </w:rPr>
        <w:t xml:space="preserve"> 2002 (Cth) cannot be taken into account as showing contrition</w:t>
      </w:r>
      <w:r w:rsidR="00C378F7">
        <w:rPr>
          <w:rFonts w:asciiTheme="minorHAnsi" w:hAnsiTheme="minorHAnsi"/>
          <w:szCs w:val="22"/>
        </w:rPr>
        <w:t>.</w:t>
      </w:r>
      <w:r w:rsidR="00F757B4" w:rsidRPr="00C00000">
        <w:rPr>
          <w:rStyle w:val="Style"/>
          <w:rFonts w:asciiTheme="minorHAnsi" w:hAnsiTheme="minorHAnsi"/>
        </w:rPr>
        <w:footnoteReference w:id="252"/>
      </w:r>
      <w:r w:rsidR="00C378F7">
        <w:rPr>
          <w:rFonts w:asciiTheme="minorHAnsi" w:hAnsiTheme="minorHAnsi"/>
          <w:szCs w:val="22"/>
        </w:rPr>
        <w:t xml:space="preserve"> </w:t>
      </w:r>
      <w:r>
        <w:rPr>
          <w:rFonts w:asciiTheme="minorHAnsi" w:hAnsiTheme="minorHAnsi"/>
          <w:szCs w:val="22"/>
        </w:rPr>
        <w:t xml:space="preserve"> </w:t>
      </w:r>
      <w:r w:rsidR="00C378F7">
        <w:rPr>
          <w:rFonts w:asciiTheme="minorHAnsi" w:hAnsiTheme="minorHAnsi"/>
          <w:szCs w:val="22"/>
        </w:rPr>
        <w:t xml:space="preserve">In </w:t>
      </w:r>
      <w:r w:rsidR="00C378F7" w:rsidRPr="00A32F36">
        <w:rPr>
          <w:rFonts w:asciiTheme="minorHAnsi" w:hAnsiTheme="minorHAnsi"/>
          <w:i/>
          <w:szCs w:val="22"/>
        </w:rPr>
        <w:t>Host</w:t>
      </w:r>
      <w:r w:rsidR="00C378F7">
        <w:rPr>
          <w:rFonts w:asciiTheme="minorHAnsi" w:hAnsiTheme="minorHAnsi"/>
          <w:szCs w:val="22"/>
        </w:rPr>
        <w:t>,</w:t>
      </w:r>
      <w:r w:rsidR="00A32F36" w:rsidRPr="00C00000">
        <w:rPr>
          <w:rStyle w:val="Style"/>
          <w:rFonts w:asciiTheme="minorHAnsi" w:hAnsiTheme="minorHAnsi"/>
        </w:rPr>
        <w:footnoteReference w:id="253"/>
      </w:r>
      <w:r w:rsidR="00C378F7">
        <w:rPr>
          <w:rFonts w:asciiTheme="minorHAnsi" w:hAnsiTheme="minorHAnsi"/>
          <w:szCs w:val="22"/>
        </w:rPr>
        <w:t xml:space="preserve"> two reasons were given for this conclusion.  First,</w:t>
      </w:r>
      <w:r>
        <w:rPr>
          <w:rFonts w:asciiTheme="minorHAnsi" w:hAnsiTheme="minorHAnsi"/>
          <w:szCs w:val="22"/>
        </w:rPr>
        <w:t xml:space="preserve"> s 16A(2)(f)</w:t>
      </w:r>
      <w:r w:rsidR="00C378F7">
        <w:rPr>
          <w:rFonts w:asciiTheme="minorHAnsi" w:hAnsiTheme="minorHAnsi"/>
          <w:szCs w:val="22"/>
        </w:rPr>
        <w:t xml:space="preserve"> of the </w:t>
      </w:r>
      <w:r w:rsidR="00885EFD" w:rsidRPr="00885EFD">
        <w:rPr>
          <w:rFonts w:asciiTheme="minorHAnsi" w:hAnsiTheme="minorHAnsi"/>
          <w:i/>
          <w:szCs w:val="22"/>
        </w:rPr>
        <w:t>Crimes Act 1914</w:t>
      </w:r>
      <w:r w:rsidR="00C378F7">
        <w:rPr>
          <w:rFonts w:asciiTheme="minorHAnsi" w:hAnsiTheme="minorHAnsi"/>
          <w:szCs w:val="22"/>
        </w:rPr>
        <w:t xml:space="preserve"> (Cth)</w:t>
      </w:r>
      <w:r>
        <w:rPr>
          <w:rFonts w:asciiTheme="minorHAnsi" w:hAnsiTheme="minorHAnsi"/>
          <w:szCs w:val="22"/>
        </w:rPr>
        <w:t xml:space="preserve"> only refers to voluntary action on the part of the offender (and not to payments made pursuant to a legal obligation)</w:t>
      </w:r>
      <w:r w:rsidR="00C378F7">
        <w:rPr>
          <w:rFonts w:asciiTheme="minorHAnsi" w:hAnsiTheme="minorHAnsi"/>
          <w:szCs w:val="22"/>
        </w:rPr>
        <w:t>.</w:t>
      </w:r>
      <w:r w:rsidR="00F757B4" w:rsidRPr="00C00000">
        <w:rPr>
          <w:rStyle w:val="Style"/>
          <w:rFonts w:asciiTheme="minorHAnsi" w:hAnsiTheme="minorHAnsi"/>
        </w:rPr>
        <w:footnoteReference w:id="254"/>
      </w:r>
      <w:r w:rsidR="00C378F7">
        <w:rPr>
          <w:rFonts w:asciiTheme="minorHAnsi" w:hAnsiTheme="minorHAnsi"/>
          <w:szCs w:val="22"/>
        </w:rPr>
        <w:t xml:space="preserve">  Second,</w:t>
      </w:r>
      <w:r>
        <w:rPr>
          <w:rFonts w:asciiTheme="minorHAnsi" w:hAnsiTheme="minorHAnsi"/>
          <w:szCs w:val="22"/>
        </w:rPr>
        <w:t xml:space="preserve"> </w:t>
      </w:r>
      <w:r w:rsidR="00C378F7">
        <w:rPr>
          <w:rFonts w:asciiTheme="minorHAnsi" w:hAnsiTheme="minorHAnsi"/>
          <w:szCs w:val="22"/>
        </w:rPr>
        <w:t xml:space="preserve">s 320(d) of the </w:t>
      </w:r>
      <w:r w:rsidR="00A32F36" w:rsidRPr="00F20D1E">
        <w:rPr>
          <w:rFonts w:asciiTheme="minorHAnsi" w:hAnsiTheme="minorHAnsi"/>
          <w:i/>
          <w:szCs w:val="22"/>
        </w:rPr>
        <w:t>Proceeds of Crime Act</w:t>
      </w:r>
      <w:r w:rsidR="00A32F36">
        <w:rPr>
          <w:rFonts w:asciiTheme="minorHAnsi" w:hAnsiTheme="minorHAnsi"/>
          <w:szCs w:val="22"/>
        </w:rPr>
        <w:t xml:space="preserve"> 2002 (Cth) </w:t>
      </w:r>
      <w:r w:rsidR="00C378F7">
        <w:rPr>
          <w:rFonts w:asciiTheme="minorHAnsi" w:hAnsiTheme="minorHAnsi"/>
          <w:szCs w:val="22"/>
        </w:rPr>
        <w:t xml:space="preserve">precludes </w:t>
      </w:r>
      <w:r>
        <w:rPr>
          <w:rFonts w:asciiTheme="minorHAnsi" w:hAnsiTheme="minorHAnsi"/>
          <w:szCs w:val="22"/>
        </w:rPr>
        <w:t xml:space="preserve">a sentencing court </w:t>
      </w:r>
      <w:r w:rsidR="00A32F36">
        <w:rPr>
          <w:rFonts w:asciiTheme="minorHAnsi" w:hAnsiTheme="minorHAnsi"/>
          <w:szCs w:val="22"/>
        </w:rPr>
        <w:t xml:space="preserve">from having regard to a pecuniary penalty order under the Act.  On </w:t>
      </w:r>
      <w:r w:rsidR="00C378F7">
        <w:rPr>
          <w:rFonts w:asciiTheme="minorHAnsi" w:hAnsiTheme="minorHAnsi"/>
          <w:szCs w:val="22"/>
        </w:rPr>
        <w:t>its proper construction</w:t>
      </w:r>
      <w:r w:rsidR="00A32F36">
        <w:rPr>
          <w:rFonts w:asciiTheme="minorHAnsi" w:hAnsiTheme="minorHAnsi"/>
          <w:szCs w:val="22"/>
        </w:rPr>
        <w:t>, s 320(d)</w:t>
      </w:r>
      <w:r w:rsidR="00C378F7">
        <w:rPr>
          <w:rFonts w:asciiTheme="minorHAnsi" w:hAnsiTheme="minorHAnsi"/>
          <w:szCs w:val="22"/>
        </w:rPr>
        <w:t xml:space="preserve"> not only </w:t>
      </w:r>
      <w:r w:rsidR="00A32F36">
        <w:rPr>
          <w:rFonts w:asciiTheme="minorHAnsi" w:hAnsiTheme="minorHAnsi"/>
          <w:szCs w:val="22"/>
        </w:rPr>
        <w:t xml:space="preserve">precludes a court from </w:t>
      </w:r>
      <w:r w:rsidR="00C378F7">
        <w:rPr>
          <w:rFonts w:asciiTheme="minorHAnsi" w:hAnsiTheme="minorHAnsi"/>
          <w:szCs w:val="22"/>
        </w:rPr>
        <w:t>having regard to the mere fact of a pecuniary penalty order but also to any action taken in consequence of it.</w:t>
      </w:r>
      <w:r w:rsidR="00201573" w:rsidRPr="00C00000">
        <w:rPr>
          <w:rStyle w:val="Style"/>
          <w:rFonts w:asciiTheme="minorHAnsi" w:hAnsiTheme="minorHAnsi"/>
        </w:rPr>
        <w:footnoteReference w:id="255"/>
      </w:r>
      <w:r w:rsidR="00A32F36">
        <w:rPr>
          <w:rFonts w:asciiTheme="minorHAnsi" w:hAnsiTheme="minorHAnsi"/>
          <w:szCs w:val="22"/>
        </w:rPr>
        <w:t xml:space="preserve">  Paragraph 16A(2)(f) of the </w:t>
      </w:r>
      <w:r w:rsidR="00885EFD" w:rsidRPr="00885EFD">
        <w:rPr>
          <w:rFonts w:asciiTheme="minorHAnsi" w:hAnsiTheme="minorHAnsi"/>
          <w:i/>
          <w:szCs w:val="22"/>
        </w:rPr>
        <w:t>Crimes Act 1914</w:t>
      </w:r>
      <w:r w:rsidR="00A32F36">
        <w:rPr>
          <w:rFonts w:asciiTheme="minorHAnsi" w:hAnsiTheme="minorHAnsi"/>
          <w:szCs w:val="22"/>
        </w:rPr>
        <w:t xml:space="preserve"> (Cth) is to be read subject to s 320(d) of the </w:t>
      </w:r>
      <w:r w:rsidR="00A32F36" w:rsidRPr="00C378F7">
        <w:rPr>
          <w:rFonts w:asciiTheme="minorHAnsi" w:hAnsiTheme="minorHAnsi"/>
          <w:i/>
          <w:szCs w:val="22"/>
        </w:rPr>
        <w:t>Proceeds of Crime Ac</w:t>
      </w:r>
      <w:r w:rsidR="00FC6CDB">
        <w:rPr>
          <w:rFonts w:asciiTheme="minorHAnsi" w:hAnsiTheme="minorHAnsi"/>
          <w:i/>
          <w:szCs w:val="22"/>
        </w:rPr>
        <w:t>t.</w:t>
      </w:r>
      <w:r w:rsidR="00201573" w:rsidRPr="00C00000">
        <w:rPr>
          <w:rStyle w:val="Style"/>
          <w:rFonts w:asciiTheme="minorHAnsi" w:hAnsiTheme="minorHAnsi"/>
        </w:rPr>
        <w:footnoteReference w:id="256"/>
      </w:r>
    </w:p>
    <w:p w14:paraId="580D67FD" w14:textId="77777777" w:rsidR="0028076C" w:rsidRPr="00EB7F1E" w:rsidRDefault="0028076C" w:rsidP="00EB7F1E">
      <w:pPr>
        <w:pStyle w:val="ListParagraph"/>
        <w:rPr>
          <w:rFonts w:asciiTheme="minorHAnsi" w:hAnsiTheme="minorHAnsi"/>
          <w:szCs w:val="22"/>
        </w:rPr>
      </w:pPr>
    </w:p>
    <w:p w14:paraId="445EB33C" w14:textId="168DADED" w:rsidR="0028076C" w:rsidRPr="00C00000" w:rsidRDefault="0028076C" w:rsidP="00EB7F1E">
      <w:pPr>
        <w:pStyle w:val="ListParagraph"/>
        <w:numPr>
          <w:ilvl w:val="0"/>
          <w:numId w:val="7"/>
        </w:numPr>
        <w:spacing w:line="276" w:lineRule="auto"/>
        <w:ind w:left="425" w:hanging="425"/>
        <w:contextualSpacing w:val="0"/>
        <w:rPr>
          <w:rFonts w:asciiTheme="minorHAnsi" w:hAnsiTheme="minorHAnsi"/>
          <w:szCs w:val="22"/>
        </w:rPr>
      </w:pPr>
      <w:r w:rsidRPr="00EB7F1E">
        <w:rPr>
          <w:rFonts w:asciiTheme="minorHAnsi" w:hAnsiTheme="minorHAnsi"/>
          <w:szCs w:val="22"/>
        </w:rPr>
        <w:t>A sentencing judge is entitled to have regard to a plea of not guilty as relevant to an assessment of contrition or lack of contrition</w:t>
      </w:r>
      <w:r>
        <w:rPr>
          <w:rFonts w:asciiTheme="minorHAnsi" w:hAnsiTheme="minorHAnsi"/>
          <w:szCs w:val="22"/>
        </w:rPr>
        <w:t xml:space="preserve">; to do so does not offend the principle that an offender is </w:t>
      </w:r>
      <w:r w:rsidRPr="00EB7F1E">
        <w:rPr>
          <w:rFonts w:asciiTheme="minorHAnsi" w:hAnsiTheme="minorHAnsi"/>
          <w:szCs w:val="22"/>
        </w:rPr>
        <w:t xml:space="preserve">not to be </w:t>
      </w:r>
      <w:r w:rsidR="00F47D0C">
        <w:rPr>
          <w:rFonts w:asciiTheme="minorHAnsi" w:hAnsiTheme="minorHAnsi"/>
          <w:szCs w:val="22"/>
        </w:rPr>
        <w:t>penal</w:t>
      </w:r>
      <w:r w:rsidR="00B86888">
        <w:rPr>
          <w:rFonts w:asciiTheme="minorHAnsi" w:hAnsiTheme="minorHAnsi"/>
          <w:szCs w:val="22"/>
        </w:rPr>
        <w:t>ised</w:t>
      </w:r>
      <w:r w:rsidRPr="00EB7F1E">
        <w:rPr>
          <w:rFonts w:asciiTheme="minorHAnsi" w:hAnsiTheme="minorHAnsi"/>
          <w:szCs w:val="22"/>
        </w:rPr>
        <w:t xml:space="preserve"> by reason of pleading not guilty.</w:t>
      </w:r>
      <w:r w:rsidRPr="00C00000">
        <w:rPr>
          <w:rStyle w:val="Style"/>
          <w:rFonts w:asciiTheme="minorHAnsi" w:hAnsiTheme="minorHAnsi"/>
        </w:rPr>
        <w:footnoteReference w:id="257"/>
      </w:r>
    </w:p>
    <w:p w14:paraId="0E7F9D19" w14:textId="77777777" w:rsidR="00E8610C" w:rsidRPr="00C00000" w:rsidRDefault="00E8610C" w:rsidP="007C11C2">
      <w:pPr>
        <w:spacing w:line="276" w:lineRule="auto"/>
        <w:ind w:left="567" w:right="170" w:hanging="567"/>
        <w:jc w:val="both"/>
        <w:rPr>
          <w:rFonts w:asciiTheme="minorHAnsi" w:hAnsiTheme="minorHAnsi"/>
        </w:rPr>
      </w:pPr>
    </w:p>
    <w:p w14:paraId="50BA90D6" w14:textId="6526DE27" w:rsidR="001E337B" w:rsidRPr="0013385D" w:rsidRDefault="00F4023E" w:rsidP="00C14A45">
      <w:pPr>
        <w:pStyle w:val="Heading3"/>
      </w:pPr>
      <w:bookmarkStart w:id="1422" w:name="_Ref11070334"/>
      <w:bookmarkStart w:id="1423" w:name="_Ref11070337"/>
      <w:bookmarkStart w:id="1424" w:name="_Toc33602793"/>
      <w:r w:rsidRPr="0013385D">
        <w:t>The fact of a g</w:t>
      </w:r>
      <w:r w:rsidR="00BA2B0B" w:rsidRPr="0013385D">
        <w:t>uilty plea to the charge – s 16A(2)(g)</w:t>
      </w:r>
      <w:bookmarkEnd w:id="1422"/>
      <w:bookmarkEnd w:id="1423"/>
      <w:bookmarkEnd w:id="1424"/>
    </w:p>
    <w:p w14:paraId="31FE58A8" w14:textId="77777777" w:rsidR="00D0681D" w:rsidRPr="0013385D" w:rsidRDefault="00D0681D" w:rsidP="00C14A45">
      <w:pPr>
        <w:pStyle w:val="ListParagraph"/>
        <w:keepNext/>
        <w:rPr>
          <w:rFonts w:asciiTheme="minorHAnsi" w:hAnsiTheme="minorHAnsi"/>
        </w:rPr>
      </w:pPr>
    </w:p>
    <w:p w14:paraId="3E526E60" w14:textId="77777777" w:rsidR="00C3365A" w:rsidRPr="0013385D" w:rsidRDefault="00742668">
      <w:pPr>
        <w:pStyle w:val="ListParagraph"/>
        <w:numPr>
          <w:ilvl w:val="0"/>
          <w:numId w:val="7"/>
        </w:numPr>
        <w:spacing w:line="276" w:lineRule="auto"/>
        <w:ind w:left="425" w:hanging="425"/>
        <w:contextualSpacing w:val="0"/>
        <w:rPr>
          <w:rFonts w:asciiTheme="minorHAnsi" w:hAnsiTheme="minorHAnsi"/>
        </w:rPr>
      </w:pPr>
      <w:bookmarkStart w:id="1425" w:name="_Ref469911048"/>
      <w:r w:rsidRPr="0013385D">
        <w:rPr>
          <w:rFonts w:asciiTheme="minorHAnsi" w:hAnsiTheme="minorHAnsi"/>
        </w:rPr>
        <w:t xml:space="preserve">If the offender has pleaded guilty, that fact must be taken into account: </w:t>
      </w:r>
      <w:r w:rsidR="00885EFD" w:rsidRPr="0013385D">
        <w:rPr>
          <w:rFonts w:asciiTheme="minorHAnsi" w:hAnsiTheme="minorHAnsi"/>
          <w:i/>
        </w:rPr>
        <w:t>Crimes Act 1914</w:t>
      </w:r>
      <w:r w:rsidRPr="0013385D">
        <w:rPr>
          <w:rFonts w:asciiTheme="minorHAnsi" w:hAnsiTheme="minorHAnsi"/>
          <w:i/>
        </w:rPr>
        <w:t xml:space="preserve"> </w:t>
      </w:r>
      <w:r w:rsidRPr="0013385D">
        <w:rPr>
          <w:rFonts w:asciiTheme="minorHAnsi" w:hAnsiTheme="minorHAnsi"/>
        </w:rPr>
        <w:t>(Cth), s 16A(2)(g).</w:t>
      </w:r>
      <w:bookmarkEnd w:id="1425"/>
    </w:p>
    <w:p w14:paraId="424C01BB" w14:textId="77777777" w:rsidR="00D0681D" w:rsidRPr="0013385D" w:rsidRDefault="00D0681D" w:rsidP="00D0681D">
      <w:pPr>
        <w:pStyle w:val="ListParagraph"/>
        <w:rPr>
          <w:rFonts w:asciiTheme="minorHAnsi" w:hAnsiTheme="minorHAnsi"/>
        </w:rPr>
      </w:pPr>
    </w:p>
    <w:p w14:paraId="3B383110" w14:textId="37721AAD" w:rsidR="00742668" w:rsidRPr="0013385D" w:rsidRDefault="00501BE2"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Although s 16A(2) does not refer to the converse circumstance, where the offender pleads not guilty, it is well-established that a plea of not guilty is not to be treated as an aggravating factor.</w:t>
      </w:r>
      <w:r w:rsidRPr="0013385D">
        <w:rPr>
          <w:rStyle w:val="Style"/>
          <w:rFonts w:asciiTheme="minorHAnsi" w:hAnsiTheme="minorHAnsi"/>
        </w:rPr>
        <w:footnoteReference w:id="258"/>
      </w:r>
    </w:p>
    <w:p w14:paraId="2D873831" w14:textId="5D44E7BF" w:rsidR="004B750A" w:rsidRPr="0013385D" w:rsidRDefault="004B750A" w:rsidP="004B750A">
      <w:pPr>
        <w:pStyle w:val="ListParagraph"/>
        <w:rPr>
          <w:rFonts w:asciiTheme="minorHAnsi" w:hAnsiTheme="minorHAnsi"/>
        </w:rPr>
      </w:pPr>
    </w:p>
    <w:p w14:paraId="1DBE1D80" w14:textId="556B3D7B" w:rsidR="004B750A" w:rsidRPr="0013385D" w:rsidRDefault="004B750A" w:rsidP="004B750A">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If a sentencing court has taken into account a plea of guilty as a mitigating factor, it should make clear that it has done so.  Generally an appellate court will not infer from the failure of a sentencing court to refer to a sentencing factor, without more, that the factor has been overlooked; the same approach has been taken in relation to the failure to </w:t>
      </w:r>
      <w:r w:rsidR="00E45DD7" w:rsidRPr="0013385D">
        <w:rPr>
          <w:rFonts w:asciiTheme="minorHAnsi" w:hAnsiTheme="minorHAnsi"/>
        </w:rPr>
        <w:t xml:space="preserve">refer to </w:t>
      </w:r>
      <w:r w:rsidRPr="0013385D">
        <w:rPr>
          <w:rFonts w:asciiTheme="minorHAnsi" w:hAnsiTheme="minorHAnsi"/>
        </w:rPr>
        <w:t>a plea of guilty.</w:t>
      </w:r>
      <w:bookmarkStart w:id="1426" w:name="_Ref10036545"/>
      <w:r w:rsidRPr="0013385D">
        <w:rPr>
          <w:rStyle w:val="Style"/>
          <w:rFonts w:asciiTheme="minorHAnsi" w:hAnsiTheme="minorHAnsi"/>
        </w:rPr>
        <w:footnoteReference w:id="259"/>
      </w:r>
      <w:bookmarkEnd w:id="1426"/>
      <w:r w:rsidRPr="0013385D">
        <w:rPr>
          <w:rFonts w:asciiTheme="minorHAnsi" w:hAnsiTheme="minorHAnsi"/>
        </w:rPr>
        <w:t xml:space="preserve">  However in </w:t>
      </w:r>
      <w:r w:rsidRPr="0013385D">
        <w:rPr>
          <w:rFonts w:asciiTheme="minorHAnsi" w:hAnsiTheme="minorHAnsi"/>
          <w:i/>
          <w:iCs/>
        </w:rPr>
        <w:t>Noble</w:t>
      </w:r>
      <w:r w:rsidRPr="0013385D">
        <w:rPr>
          <w:rFonts w:asciiTheme="minorHAnsi" w:hAnsiTheme="minorHAnsi"/>
        </w:rPr>
        <w:t>,</w:t>
      </w:r>
      <w:r w:rsidR="00BD5FB5" w:rsidRPr="0013385D">
        <w:rPr>
          <w:rStyle w:val="Style"/>
          <w:rFonts w:asciiTheme="minorHAnsi" w:hAnsiTheme="minorHAnsi"/>
        </w:rPr>
        <w:footnoteReference w:id="260"/>
      </w:r>
      <w:r w:rsidRPr="0013385D">
        <w:rPr>
          <w:rFonts w:asciiTheme="minorHAnsi" w:hAnsiTheme="minorHAnsi"/>
        </w:rPr>
        <w:t xml:space="preserve"> the New South Wales Court of Criminal Appeal </w:t>
      </w:r>
      <w:r w:rsidR="00BD5FB5" w:rsidRPr="0013385D">
        <w:rPr>
          <w:rFonts w:asciiTheme="minorHAnsi" w:hAnsiTheme="minorHAnsi" w:cstheme="minorHAnsi"/>
        </w:rPr>
        <w:t xml:space="preserve">held that the failure </w:t>
      </w:r>
      <w:r w:rsidR="00E45DD7" w:rsidRPr="0013385D">
        <w:rPr>
          <w:rFonts w:asciiTheme="minorHAnsi" w:hAnsiTheme="minorHAnsi" w:cstheme="minorHAnsi"/>
        </w:rPr>
        <w:t xml:space="preserve">of a court sentencing a federal offender </w:t>
      </w:r>
      <w:r w:rsidR="00BD5FB5" w:rsidRPr="0013385D">
        <w:rPr>
          <w:rFonts w:asciiTheme="minorHAnsi" w:hAnsiTheme="minorHAnsi" w:cstheme="minorHAnsi"/>
        </w:rPr>
        <w:t>to refer at all to a plea of guilty as a material consideration constitutes error.</w:t>
      </w:r>
      <w:r w:rsidR="00AF1B60" w:rsidRPr="0013385D">
        <w:rPr>
          <w:rFonts w:asciiTheme="minorHAnsi" w:hAnsiTheme="minorHAnsi" w:cstheme="minorHAnsi"/>
          <w:bCs/>
        </w:rPr>
        <w:t xml:space="preserve">  It remains to be determined whether such a strict approach </w:t>
      </w:r>
      <w:r w:rsidR="00E7434C" w:rsidRPr="0013385D">
        <w:rPr>
          <w:rFonts w:asciiTheme="minorHAnsi" w:hAnsiTheme="minorHAnsi" w:cstheme="minorHAnsi"/>
          <w:bCs/>
        </w:rPr>
        <w:t xml:space="preserve">will be </w:t>
      </w:r>
      <w:r w:rsidR="00AF1B60" w:rsidRPr="0013385D">
        <w:rPr>
          <w:rFonts w:asciiTheme="minorHAnsi" w:hAnsiTheme="minorHAnsi" w:cstheme="minorHAnsi"/>
          <w:bCs/>
        </w:rPr>
        <w:t>applie</w:t>
      </w:r>
      <w:r w:rsidR="00E7434C" w:rsidRPr="0013385D">
        <w:rPr>
          <w:rFonts w:asciiTheme="minorHAnsi" w:hAnsiTheme="minorHAnsi" w:cstheme="minorHAnsi"/>
          <w:bCs/>
        </w:rPr>
        <w:t>d</w:t>
      </w:r>
      <w:r w:rsidR="00AF1B60" w:rsidRPr="0013385D">
        <w:rPr>
          <w:rFonts w:asciiTheme="minorHAnsi" w:hAnsiTheme="minorHAnsi" w:cstheme="minorHAnsi"/>
          <w:bCs/>
        </w:rPr>
        <w:t xml:space="preserve"> in other jurisdictions.</w:t>
      </w:r>
    </w:p>
    <w:p w14:paraId="75BF01B6" w14:textId="77777777" w:rsidR="00742668" w:rsidRPr="0013385D" w:rsidRDefault="00742668" w:rsidP="00D0681D">
      <w:pPr>
        <w:pStyle w:val="ListParagraph"/>
        <w:rPr>
          <w:rFonts w:asciiTheme="minorHAnsi" w:hAnsiTheme="minorHAnsi"/>
        </w:rPr>
      </w:pPr>
    </w:p>
    <w:p w14:paraId="3BB18739" w14:textId="5D43A987" w:rsidR="00742668" w:rsidRPr="0013385D" w:rsidRDefault="007826F2" w:rsidP="00901174">
      <w:pPr>
        <w:pStyle w:val="ListParagraph"/>
        <w:numPr>
          <w:ilvl w:val="0"/>
          <w:numId w:val="7"/>
        </w:numPr>
        <w:spacing w:line="276" w:lineRule="auto"/>
        <w:ind w:left="425" w:hanging="425"/>
        <w:contextualSpacing w:val="0"/>
        <w:rPr>
          <w:rFonts w:asciiTheme="minorHAnsi" w:hAnsiTheme="minorHAnsi"/>
        </w:rPr>
      </w:pPr>
      <w:bookmarkStart w:id="1427" w:name="_Ref472494849"/>
      <w:r w:rsidRPr="0013385D">
        <w:rPr>
          <w:rFonts w:asciiTheme="minorHAnsi" w:hAnsiTheme="minorHAnsi"/>
          <w:b/>
        </w:rPr>
        <w:t>Subjective value of a plea:</w:t>
      </w:r>
      <w:r w:rsidRPr="0013385D">
        <w:rPr>
          <w:rFonts w:asciiTheme="minorHAnsi" w:hAnsiTheme="minorHAnsi"/>
        </w:rPr>
        <w:t xml:space="preserve">  </w:t>
      </w:r>
      <w:r w:rsidR="00742668" w:rsidRPr="0013385D">
        <w:rPr>
          <w:rFonts w:asciiTheme="minorHAnsi" w:hAnsiTheme="minorHAnsi"/>
        </w:rPr>
        <w:t>A guilty plea may be an indication of contrition or remorse, and may be mitigating in that way: see “</w:t>
      </w:r>
      <w:r w:rsidR="00742668" w:rsidRPr="0013385D">
        <w:rPr>
          <w:rFonts w:asciiTheme="minorHAnsi" w:hAnsiTheme="minorHAnsi"/>
        </w:rPr>
        <w:fldChar w:fldCharType="begin"/>
      </w:r>
      <w:r w:rsidR="00742668" w:rsidRPr="0013385D">
        <w:rPr>
          <w:rFonts w:asciiTheme="minorHAnsi" w:hAnsiTheme="minorHAnsi"/>
        </w:rPr>
        <w:instrText xml:space="preserve"> REF _Ref492806119 \r \h  \* MERGEFORMAT </w:instrText>
      </w:r>
      <w:r w:rsidR="00742668" w:rsidRPr="0013385D">
        <w:rPr>
          <w:rFonts w:asciiTheme="minorHAnsi" w:hAnsiTheme="minorHAnsi"/>
        </w:rPr>
      </w:r>
      <w:r w:rsidR="00742668" w:rsidRPr="0013385D">
        <w:rPr>
          <w:rFonts w:asciiTheme="minorHAnsi" w:hAnsiTheme="minorHAnsi"/>
        </w:rPr>
        <w:fldChar w:fldCharType="separate"/>
      </w:r>
      <w:r w:rsidR="00D44BCF">
        <w:rPr>
          <w:rFonts w:asciiTheme="minorHAnsi" w:hAnsiTheme="minorHAnsi"/>
        </w:rPr>
        <w:t>4.4.7</w:t>
      </w:r>
      <w:r w:rsidR="00742668" w:rsidRPr="0013385D">
        <w:rPr>
          <w:rFonts w:asciiTheme="minorHAnsi" w:hAnsiTheme="minorHAnsi"/>
        </w:rPr>
        <w:fldChar w:fldCharType="end"/>
      </w:r>
      <w:r w:rsidR="00742668" w:rsidRPr="0013385D">
        <w:rPr>
          <w:rFonts w:asciiTheme="minorHAnsi" w:hAnsiTheme="minorHAnsi"/>
        </w:rPr>
        <w:t xml:space="preserve"> </w:t>
      </w:r>
      <w:r w:rsidR="00742668" w:rsidRPr="0013385D">
        <w:rPr>
          <w:rFonts w:asciiTheme="minorHAnsi" w:hAnsiTheme="minorHAnsi"/>
        </w:rPr>
        <w:fldChar w:fldCharType="begin"/>
      </w:r>
      <w:r w:rsidR="00742668" w:rsidRPr="0013385D">
        <w:rPr>
          <w:rFonts w:asciiTheme="minorHAnsi" w:hAnsiTheme="minorHAnsi"/>
        </w:rPr>
        <w:instrText xml:space="preserve"> REF _Ref492806119 \h  \* MERGEFORMAT </w:instrText>
      </w:r>
      <w:r w:rsidR="00742668" w:rsidRPr="0013385D">
        <w:rPr>
          <w:rFonts w:asciiTheme="minorHAnsi" w:hAnsiTheme="minorHAnsi"/>
        </w:rPr>
      </w:r>
      <w:r w:rsidR="00742668" w:rsidRPr="0013385D">
        <w:rPr>
          <w:rFonts w:asciiTheme="minorHAnsi" w:hAnsiTheme="minorHAnsi"/>
        </w:rPr>
        <w:fldChar w:fldCharType="separate"/>
      </w:r>
      <w:r w:rsidR="00D44BCF" w:rsidRPr="00D44BCF">
        <w:rPr>
          <w:rFonts w:asciiTheme="minorHAnsi" w:hAnsiTheme="minorHAnsi"/>
        </w:rPr>
        <w:t>Degree to which contrition is shown – s 16A(2)(f)</w:t>
      </w:r>
      <w:r w:rsidR="00742668" w:rsidRPr="0013385D">
        <w:rPr>
          <w:rFonts w:asciiTheme="minorHAnsi" w:hAnsiTheme="minorHAnsi"/>
        </w:rPr>
        <w:fldChar w:fldCharType="end"/>
      </w:r>
      <w:r w:rsidR="00742668" w:rsidRPr="0013385D">
        <w:rPr>
          <w:rFonts w:asciiTheme="minorHAnsi" w:hAnsiTheme="minorHAnsi"/>
        </w:rPr>
        <w:t>”.  It may also be taken into account as evincing a willingness on the part of the offender</w:t>
      </w:r>
      <w:r w:rsidR="00742668" w:rsidRPr="0013385D">
        <w:rPr>
          <w:rFonts w:asciiTheme="minorHAnsi" w:hAnsiTheme="minorHAnsi"/>
          <w:i/>
        </w:rPr>
        <w:t xml:space="preserve"> “to facilitate the course of justice</w:t>
      </w:r>
      <w:r w:rsidR="00742668" w:rsidRPr="0013385D">
        <w:rPr>
          <w:rFonts w:asciiTheme="minorHAnsi" w:hAnsiTheme="minorHAnsi"/>
        </w:rPr>
        <w:t>”,</w:t>
      </w:r>
      <w:r w:rsidR="00742668" w:rsidRPr="0013385D">
        <w:rPr>
          <w:rStyle w:val="Style"/>
          <w:rFonts w:asciiTheme="minorHAnsi" w:hAnsiTheme="minorHAnsi"/>
        </w:rPr>
        <w:footnoteReference w:id="261"/>
      </w:r>
      <w:r w:rsidR="00742668" w:rsidRPr="0013385D">
        <w:rPr>
          <w:rFonts w:asciiTheme="minorHAnsi" w:hAnsiTheme="minorHAnsi"/>
        </w:rPr>
        <w:t xml:space="preserve"> for example by bringing an early end to criminal proceedings, by sparing witnesses the strain of giving evidence, and by saving the community the cost of a trial.  These </w:t>
      </w:r>
      <w:r w:rsidR="00742668" w:rsidRPr="0013385D">
        <w:rPr>
          <w:rFonts w:asciiTheme="minorHAnsi" w:hAnsiTheme="minorHAnsi"/>
          <w:i/>
        </w:rPr>
        <w:t>subjective factors</w:t>
      </w:r>
      <w:r w:rsidR="00742668" w:rsidRPr="0013385D">
        <w:rPr>
          <w:rFonts w:asciiTheme="minorHAnsi" w:hAnsiTheme="minorHAnsi"/>
        </w:rPr>
        <w:t xml:space="preserve"> – focusing on the state of mind of the offender – are often considered by a sentencing court in assessing the offender</w:t>
      </w:r>
      <w:r w:rsidR="00AA693C" w:rsidRPr="0013385D">
        <w:rPr>
          <w:rFonts w:asciiTheme="minorHAnsi" w:hAnsiTheme="minorHAnsi"/>
        </w:rPr>
        <w:t>’</w:t>
      </w:r>
      <w:r w:rsidR="00742668" w:rsidRPr="0013385D">
        <w:rPr>
          <w:rFonts w:asciiTheme="minorHAnsi" w:hAnsiTheme="minorHAnsi"/>
        </w:rPr>
        <w:t>s prospects of rehabilitation (s 16A(2)(n)) and the need for specific deterrence (s 16A(2)(j)).</w:t>
      </w:r>
      <w:r w:rsidR="006B6B50" w:rsidRPr="0013385D">
        <w:rPr>
          <w:rFonts w:asciiTheme="minorHAnsi" w:hAnsiTheme="minorHAnsi"/>
        </w:rPr>
        <w:t xml:space="preserve">  The circumstances of the case, including the timing of the plea and the strength of the prosecution case, may support an inference as to the state of mind which underlies the </w:t>
      </w:r>
      <w:r w:rsidR="00193661" w:rsidRPr="0013385D">
        <w:rPr>
          <w:rFonts w:asciiTheme="minorHAnsi" w:hAnsiTheme="minorHAnsi"/>
        </w:rPr>
        <w:t>offender</w:t>
      </w:r>
      <w:r w:rsidR="00AA693C" w:rsidRPr="0013385D">
        <w:rPr>
          <w:rFonts w:asciiTheme="minorHAnsi" w:hAnsiTheme="minorHAnsi"/>
        </w:rPr>
        <w:t>’</w:t>
      </w:r>
      <w:r w:rsidR="00193661" w:rsidRPr="0013385D">
        <w:rPr>
          <w:rFonts w:asciiTheme="minorHAnsi" w:hAnsiTheme="minorHAnsi"/>
        </w:rPr>
        <w:t xml:space="preserve">s </w:t>
      </w:r>
      <w:r w:rsidR="006B6B50" w:rsidRPr="0013385D">
        <w:rPr>
          <w:rFonts w:asciiTheme="minorHAnsi" w:hAnsiTheme="minorHAnsi"/>
        </w:rPr>
        <w:t>guilty plea</w:t>
      </w:r>
      <w:r w:rsidR="002F3C45" w:rsidRPr="0013385D">
        <w:rPr>
          <w:rFonts w:asciiTheme="minorHAnsi" w:hAnsiTheme="minorHAnsi"/>
        </w:rPr>
        <w:t>; in particular, a strong Crown case may justify the conclusion that the plea has resulted from the recognition of the inevitable and so qualifies the extent of genuine contrition.</w:t>
      </w:r>
      <w:r w:rsidR="00193661" w:rsidRPr="0013385D">
        <w:rPr>
          <w:rStyle w:val="Style"/>
          <w:rFonts w:asciiTheme="minorHAnsi" w:hAnsiTheme="minorHAnsi"/>
        </w:rPr>
        <w:footnoteReference w:id="262"/>
      </w:r>
      <w:r w:rsidR="00560589" w:rsidRPr="0013385D">
        <w:rPr>
          <w:rFonts w:asciiTheme="minorHAnsi" w:hAnsiTheme="minorHAnsi"/>
        </w:rPr>
        <w:t xml:space="preserve"> </w:t>
      </w:r>
    </w:p>
    <w:p w14:paraId="249D62F6" w14:textId="77777777" w:rsidR="00742668" w:rsidRPr="0013385D" w:rsidRDefault="00742668" w:rsidP="00742668">
      <w:pPr>
        <w:pStyle w:val="ListParagraph"/>
        <w:rPr>
          <w:rFonts w:asciiTheme="minorHAnsi" w:hAnsiTheme="minorHAnsi"/>
        </w:rPr>
      </w:pPr>
    </w:p>
    <w:p w14:paraId="44EA3542" w14:textId="69943D0B" w:rsidR="00742668" w:rsidRPr="0013385D" w:rsidRDefault="007826F2"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b/>
        </w:rPr>
        <w:t>Utilitarian value of a plea:</w:t>
      </w:r>
      <w:r w:rsidRPr="0013385D">
        <w:rPr>
          <w:rFonts w:asciiTheme="minorHAnsi" w:hAnsiTheme="minorHAnsi"/>
        </w:rPr>
        <w:t xml:space="preserve">  </w:t>
      </w:r>
      <w:r w:rsidR="00742668" w:rsidRPr="0013385D">
        <w:rPr>
          <w:rFonts w:asciiTheme="minorHAnsi" w:hAnsiTheme="minorHAnsi"/>
        </w:rPr>
        <w:t xml:space="preserve">The </w:t>
      </w:r>
      <w:r w:rsidR="00A17CE1" w:rsidRPr="0013385D">
        <w:rPr>
          <w:rFonts w:asciiTheme="minorHAnsi" w:hAnsiTheme="minorHAnsi"/>
        </w:rPr>
        <w:t xml:space="preserve">issue </w:t>
      </w:r>
      <w:r w:rsidR="00141C2F" w:rsidRPr="0013385D">
        <w:rPr>
          <w:rFonts w:asciiTheme="minorHAnsi" w:hAnsiTheme="minorHAnsi"/>
        </w:rPr>
        <w:t xml:space="preserve">about the relevance of a guilty plea </w:t>
      </w:r>
      <w:r w:rsidR="00A17CE1" w:rsidRPr="0013385D">
        <w:rPr>
          <w:rFonts w:asciiTheme="minorHAnsi" w:hAnsiTheme="minorHAnsi"/>
        </w:rPr>
        <w:t xml:space="preserve">which has proven </w:t>
      </w:r>
      <w:r w:rsidR="00742668" w:rsidRPr="0013385D">
        <w:rPr>
          <w:rFonts w:asciiTheme="minorHAnsi" w:hAnsiTheme="minorHAnsi"/>
        </w:rPr>
        <w:t xml:space="preserve">more controversial is whether it is also mitigating purely for its </w:t>
      </w:r>
      <w:r w:rsidR="00742668" w:rsidRPr="0013385D">
        <w:rPr>
          <w:rFonts w:asciiTheme="minorHAnsi" w:hAnsiTheme="minorHAnsi"/>
          <w:i/>
        </w:rPr>
        <w:t xml:space="preserve">utilitarian </w:t>
      </w:r>
      <w:r w:rsidR="00386315" w:rsidRPr="0013385D">
        <w:rPr>
          <w:rFonts w:asciiTheme="minorHAnsi" w:hAnsiTheme="minorHAnsi"/>
          <w:i/>
        </w:rPr>
        <w:t xml:space="preserve">(or objective) </w:t>
      </w:r>
      <w:r w:rsidR="00742668" w:rsidRPr="0013385D">
        <w:rPr>
          <w:rFonts w:asciiTheme="minorHAnsi" w:hAnsiTheme="minorHAnsi"/>
          <w:i/>
        </w:rPr>
        <w:t>value.</w:t>
      </w:r>
      <w:r w:rsidR="00742668" w:rsidRPr="0013385D">
        <w:rPr>
          <w:rFonts w:asciiTheme="minorHAnsi" w:hAnsiTheme="minorHAnsi"/>
        </w:rPr>
        <w:t xml:space="preserve">  </w:t>
      </w:r>
      <w:r w:rsidR="00ED5AAF" w:rsidRPr="0013385D">
        <w:rPr>
          <w:rFonts w:asciiTheme="minorHAnsi" w:hAnsiTheme="minorHAnsi"/>
        </w:rPr>
        <w:t xml:space="preserve">A guilty plea usually has </w:t>
      </w:r>
      <w:r w:rsidR="00742668" w:rsidRPr="0013385D">
        <w:rPr>
          <w:rFonts w:asciiTheme="minorHAnsi" w:hAnsiTheme="minorHAnsi"/>
        </w:rPr>
        <w:t>beneficial effects, such as avoiding the cost and delay of a trial, bringing finality to criminal proceedings and sparing witness</w:t>
      </w:r>
      <w:r w:rsidR="00FA6508" w:rsidRPr="0013385D">
        <w:rPr>
          <w:rFonts w:asciiTheme="minorHAnsi" w:hAnsiTheme="minorHAnsi"/>
        </w:rPr>
        <w:t>es</w:t>
      </w:r>
      <w:r w:rsidR="00742668" w:rsidRPr="0013385D">
        <w:rPr>
          <w:rFonts w:asciiTheme="minorHAnsi" w:hAnsiTheme="minorHAnsi"/>
        </w:rPr>
        <w:t xml:space="preserve"> the ordeal of giving evidence.  A plea may have such utilitarian value even if the offender lacks any contrition or remorse, and pleads guilty only in the face of a strong prosecution case and in the hope of receiving a lesser sentence.</w:t>
      </w:r>
      <w:r w:rsidR="00487E2D" w:rsidRPr="0013385D">
        <w:rPr>
          <w:rStyle w:val="Style"/>
          <w:rFonts w:asciiTheme="minorHAnsi" w:hAnsiTheme="minorHAnsi"/>
        </w:rPr>
        <w:footnoteReference w:id="263"/>
      </w:r>
      <w:r w:rsidR="00193661" w:rsidRPr="0013385D">
        <w:rPr>
          <w:rFonts w:asciiTheme="minorHAnsi" w:hAnsiTheme="minorHAnsi"/>
        </w:rPr>
        <w:t xml:space="preserve">  </w:t>
      </w:r>
      <w:r w:rsidR="00117014" w:rsidRPr="0013385D">
        <w:rPr>
          <w:rFonts w:asciiTheme="minorHAnsi" w:hAnsiTheme="minorHAnsi"/>
        </w:rPr>
        <w:t xml:space="preserve">The </w:t>
      </w:r>
      <w:r w:rsidR="00193661" w:rsidRPr="0013385D">
        <w:rPr>
          <w:rFonts w:asciiTheme="minorHAnsi" w:hAnsiTheme="minorHAnsi"/>
        </w:rPr>
        <w:t xml:space="preserve">strength of the prosecution case </w:t>
      </w:r>
      <w:r w:rsidR="00117014" w:rsidRPr="0013385D">
        <w:rPr>
          <w:rFonts w:asciiTheme="minorHAnsi" w:hAnsiTheme="minorHAnsi"/>
        </w:rPr>
        <w:t>is irrelevant to an assessment of the utilitarian value of the plea</w:t>
      </w:r>
      <w:r w:rsidR="00193661" w:rsidRPr="0013385D">
        <w:rPr>
          <w:rFonts w:asciiTheme="minorHAnsi" w:hAnsiTheme="minorHAnsi"/>
        </w:rPr>
        <w:t>.</w:t>
      </w:r>
      <w:r w:rsidR="00193661" w:rsidRPr="0013385D">
        <w:rPr>
          <w:rStyle w:val="Style"/>
          <w:rFonts w:asciiTheme="minorHAnsi" w:hAnsiTheme="minorHAnsi"/>
        </w:rPr>
        <w:footnoteReference w:id="264"/>
      </w:r>
    </w:p>
    <w:p w14:paraId="680A002A" w14:textId="77777777" w:rsidR="00742668" w:rsidRPr="0013385D" w:rsidRDefault="00742668" w:rsidP="00742668">
      <w:pPr>
        <w:pStyle w:val="ListParagraph"/>
        <w:rPr>
          <w:rFonts w:asciiTheme="minorHAnsi" w:hAnsiTheme="minorHAnsi"/>
        </w:rPr>
      </w:pPr>
    </w:p>
    <w:p w14:paraId="62B52745" w14:textId="5C5D3425" w:rsidR="00742668" w:rsidRPr="0013385D" w:rsidRDefault="00742668"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In </w:t>
      </w:r>
      <w:r w:rsidRPr="0013385D">
        <w:rPr>
          <w:rFonts w:asciiTheme="minorHAnsi" w:hAnsiTheme="minorHAnsi"/>
          <w:i/>
        </w:rPr>
        <w:t>Cameron</w:t>
      </w:r>
      <w:r w:rsidRPr="0013385D">
        <w:rPr>
          <w:rFonts w:asciiTheme="minorHAnsi" w:hAnsiTheme="minorHAnsi"/>
        </w:rPr>
        <w:t>,</w:t>
      </w:r>
      <w:r w:rsidRPr="0013385D">
        <w:rPr>
          <w:rStyle w:val="Style"/>
          <w:rFonts w:asciiTheme="minorHAnsi" w:hAnsiTheme="minorHAnsi"/>
        </w:rPr>
        <w:footnoteReference w:id="265"/>
      </w:r>
      <w:r w:rsidRPr="0013385D">
        <w:rPr>
          <w:rFonts w:asciiTheme="minorHAnsi" w:hAnsiTheme="minorHAnsi"/>
        </w:rPr>
        <w:t xml:space="preserve"> </w:t>
      </w:r>
      <w:r w:rsidR="00A915F1" w:rsidRPr="0013385D">
        <w:rPr>
          <w:rFonts w:asciiTheme="minorHAnsi" w:hAnsiTheme="minorHAnsi"/>
        </w:rPr>
        <w:t xml:space="preserve">a </w:t>
      </w:r>
      <w:r w:rsidRPr="0013385D">
        <w:rPr>
          <w:rFonts w:asciiTheme="minorHAnsi" w:hAnsiTheme="minorHAnsi"/>
        </w:rPr>
        <w:t xml:space="preserve">majority </w:t>
      </w:r>
      <w:r w:rsidR="00A915F1" w:rsidRPr="0013385D">
        <w:rPr>
          <w:rFonts w:asciiTheme="minorHAnsi" w:hAnsiTheme="minorHAnsi"/>
        </w:rPr>
        <w:t xml:space="preserve">of the High Court </w:t>
      </w:r>
      <w:r w:rsidRPr="0013385D">
        <w:rPr>
          <w:rFonts w:asciiTheme="minorHAnsi" w:hAnsiTheme="minorHAnsi"/>
        </w:rPr>
        <w:t>held that, apart from remorse or acceptance of responsibility, the only rationale for a plea of guilty being taken into account in mitigation was if the plea is seen, subjectively, as the willingness of the offender to facilitate the course of justice, and not on the basis that the plea has saved the community the expense of a contested hearing.</w:t>
      </w:r>
      <w:r w:rsidRPr="0013385D">
        <w:rPr>
          <w:rStyle w:val="Style"/>
          <w:rFonts w:asciiTheme="minorHAnsi" w:hAnsiTheme="minorHAnsi"/>
        </w:rPr>
        <w:footnoteReference w:id="266"/>
      </w:r>
    </w:p>
    <w:p w14:paraId="5AB05E01" w14:textId="77777777" w:rsidR="00742668" w:rsidRPr="0013385D" w:rsidRDefault="00742668" w:rsidP="00742668">
      <w:pPr>
        <w:pStyle w:val="ListParagraph"/>
        <w:rPr>
          <w:rFonts w:asciiTheme="minorHAnsi" w:hAnsiTheme="minorHAnsi"/>
        </w:rPr>
      </w:pPr>
    </w:p>
    <w:p w14:paraId="5FFD0CCF" w14:textId="32C8CDB7" w:rsidR="00742668" w:rsidRPr="0013385D" w:rsidRDefault="00742668"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The position regarding sentencing of federal offenders has been </w:t>
      </w:r>
      <w:r w:rsidR="00141C2F" w:rsidRPr="0013385D">
        <w:rPr>
          <w:rFonts w:asciiTheme="minorHAnsi" w:hAnsiTheme="minorHAnsi"/>
        </w:rPr>
        <w:t xml:space="preserve">somewhat </w:t>
      </w:r>
      <w:r w:rsidRPr="0013385D">
        <w:rPr>
          <w:rFonts w:asciiTheme="minorHAnsi" w:hAnsiTheme="minorHAnsi"/>
        </w:rPr>
        <w:t xml:space="preserve">uncertain following </w:t>
      </w:r>
      <w:r w:rsidRPr="0013385D">
        <w:rPr>
          <w:rFonts w:asciiTheme="minorHAnsi" w:hAnsiTheme="minorHAnsi"/>
          <w:i/>
        </w:rPr>
        <w:t>Cameron</w:t>
      </w:r>
      <w:r w:rsidRPr="0013385D">
        <w:rPr>
          <w:rFonts w:asciiTheme="minorHAnsi" w:hAnsiTheme="minorHAnsi"/>
        </w:rPr>
        <w:t>.</w:t>
      </w:r>
    </w:p>
    <w:p w14:paraId="09E13D71" w14:textId="77777777" w:rsidR="00742668" w:rsidRPr="0013385D" w:rsidRDefault="00742668" w:rsidP="00742668">
      <w:pPr>
        <w:pStyle w:val="ListParagraph"/>
        <w:rPr>
          <w:rFonts w:asciiTheme="minorHAnsi" w:hAnsiTheme="minorHAnsi"/>
        </w:rPr>
      </w:pPr>
    </w:p>
    <w:bookmarkEnd w:id="1427"/>
    <w:p w14:paraId="76BE1AC1" w14:textId="5D546F99" w:rsidR="00F943A7" w:rsidRPr="0013385D" w:rsidRDefault="00F943A7"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In</w:t>
      </w:r>
      <w:r w:rsidR="00170835" w:rsidRPr="0013385D">
        <w:rPr>
          <w:rFonts w:asciiTheme="minorHAnsi" w:hAnsiTheme="minorHAnsi"/>
        </w:rPr>
        <w:t xml:space="preserve"> </w:t>
      </w:r>
      <w:r w:rsidR="00170835" w:rsidRPr="0013385D">
        <w:rPr>
          <w:rFonts w:asciiTheme="minorHAnsi" w:hAnsiTheme="minorHAnsi"/>
          <w:i/>
        </w:rPr>
        <w:t>Tyler</w:t>
      </w:r>
      <w:r w:rsidR="00170835" w:rsidRPr="0013385D">
        <w:rPr>
          <w:rFonts w:asciiTheme="minorHAnsi" w:hAnsiTheme="minorHAnsi"/>
        </w:rPr>
        <w:t>,</w:t>
      </w:r>
      <w:r w:rsidR="00170835" w:rsidRPr="0013385D">
        <w:rPr>
          <w:rStyle w:val="Style"/>
          <w:rFonts w:asciiTheme="minorHAnsi" w:hAnsiTheme="minorHAnsi"/>
        </w:rPr>
        <w:footnoteReference w:id="267"/>
      </w:r>
      <w:r w:rsidR="00170835" w:rsidRPr="0013385D">
        <w:rPr>
          <w:rFonts w:asciiTheme="minorHAnsi" w:hAnsiTheme="minorHAnsi"/>
        </w:rPr>
        <w:t xml:space="preserve"> the New South Wales Court of Criminal Appeal held</w:t>
      </w:r>
      <w:r w:rsidR="0087490D" w:rsidRPr="0013385D">
        <w:rPr>
          <w:rFonts w:asciiTheme="minorHAnsi" w:hAnsiTheme="minorHAnsi"/>
        </w:rPr>
        <w:t xml:space="preserve"> that</w:t>
      </w:r>
      <w:r w:rsidR="00170835" w:rsidRPr="0013385D">
        <w:rPr>
          <w:rFonts w:asciiTheme="minorHAnsi" w:hAnsiTheme="minorHAnsi"/>
        </w:rPr>
        <w:t xml:space="preserve"> </w:t>
      </w:r>
      <w:r w:rsidR="0087490D" w:rsidRPr="0013385D">
        <w:rPr>
          <w:rFonts w:asciiTheme="minorHAnsi" w:hAnsiTheme="minorHAnsi"/>
        </w:rPr>
        <w:t xml:space="preserve">(in the absence of contrary statutory provision), </w:t>
      </w:r>
      <w:r w:rsidR="00170835" w:rsidRPr="0013385D">
        <w:rPr>
          <w:rFonts w:asciiTheme="minorHAnsi" w:hAnsiTheme="minorHAnsi"/>
          <w:i/>
        </w:rPr>
        <w:t>Cameron</w:t>
      </w:r>
      <w:r w:rsidR="00170835" w:rsidRPr="0013385D">
        <w:rPr>
          <w:rFonts w:asciiTheme="minorHAnsi" w:hAnsiTheme="minorHAnsi"/>
        </w:rPr>
        <w:t xml:space="preserve"> specifically precluded a court </w:t>
      </w:r>
      <w:r w:rsidR="0087490D" w:rsidRPr="0013385D">
        <w:rPr>
          <w:rFonts w:asciiTheme="minorHAnsi" w:hAnsiTheme="minorHAnsi"/>
        </w:rPr>
        <w:t>from taking into accou</w:t>
      </w:r>
      <w:r w:rsidR="00386315" w:rsidRPr="0013385D">
        <w:rPr>
          <w:rFonts w:asciiTheme="minorHAnsi" w:hAnsiTheme="minorHAnsi"/>
        </w:rPr>
        <w:t>n</w:t>
      </w:r>
      <w:r w:rsidR="0087490D" w:rsidRPr="0013385D">
        <w:rPr>
          <w:rFonts w:asciiTheme="minorHAnsi" w:hAnsiTheme="minorHAnsi"/>
        </w:rPr>
        <w:t xml:space="preserve">t the utilitarian value of a plea of guilty; accordingly arguments that the sentence imposed on a federal offender should be reduced </w:t>
      </w:r>
      <w:r w:rsidR="00386315" w:rsidRPr="0013385D">
        <w:rPr>
          <w:rFonts w:asciiTheme="minorHAnsi" w:hAnsiTheme="minorHAnsi"/>
        </w:rPr>
        <w:t xml:space="preserve">purely </w:t>
      </w:r>
      <w:r w:rsidR="0087490D" w:rsidRPr="0013385D">
        <w:rPr>
          <w:rFonts w:asciiTheme="minorHAnsi" w:hAnsiTheme="minorHAnsi"/>
        </w:rPr>
        <w:t>for its utilitarian benefits could not be sustained.</w:t>
      </w:r>
      <w:r w:rsidR="00FE6EF3" w:rsidRPr="0013385D">
        <w:rPr>
          <w:rFonts w:asciiTheme="minorHAnsi" w:hAnsiTheme="minorHAnsi"/>
        </w:rPr>
        <w:t xml:space="preserve">  </w:t>
      </w:r>
      <w:r w:rsidR="00FE6EF3" w:rsidRPr="0013385D">
        <w:rPr>
          <w:rFonts w:asciiTheme="minorHAnsi" w:hAnsiTheme="minorHAnsi"/>
          <w:i/>
        </w:rPr>
        <w:t>Tyler</w:t>
      </w:r>
      <w:r w:rsidR="00FE6EF3" w:rsidRPr="0013385D">
        <w:rPr>
          <w:rFonts w:asciiTheme="minorHAnsi" w:hAnsiTheme="minorHAnsi"/>
        </w:rPr>
        <w:t xml:space="preserve"> was</w:t>
      </w:r>
      <w:r w:rsidR="00F95FA0" w:rsidRPr="0013385D">
        <w:rPr>
          <w:rFonts w:asciiTheme="minorHAnsi" w:hAnsiTheme="minorHAnsi"/>
        </w:rPr>
        <w:t xml:space="preserve"> applied in a number of subsequent decisions in New South Wale</w:t>
      </w:r>
      <w:r w:rsidR="00E31245" w:rsidRPr="0013385D">
        <w:rPr>
          <w:rFonts w:asciiTheme="minorHAnsi" w:hAnsiTheme="minorHAnsi"/>
        </w:rPr>
        <w:t>s,</w:t>
      </w:r>
      <w:r w:rsidR="00F95FA0" w:rsidRPr="0013385D">
        <w:rPr>
          <w:rStyle w:val="Style"/>
          <w:rFonts w:asciiTheme="minorHAnsi" w:hAnsiTheme="minorHAnsi"/>
        </w:rPr>
        <w:footnoteReference w:id="268"/>
      </w:r>
      <w:r w:rsidR="00E31245" w:rsidRPr="0013385D">
        <w:rPr>
          <w:rFonts w:asciiTheme="minorHAnsi" w:hAnsiTheme="minorHAnsi"/>
        </w:rPr>
        <w:t xml:space="preserve"> until 2018, when the decision in </w:t>
      </w:r>
      <w:r w:rsidR="00E31245" w:rsidRPr="0013385D">
        <w:rPr>
          <w:rFonts w:asciiTheme="minorHAnsi" w:hAnsiTheme="minorHAnsi"/>
          <w:i/>
          <w:iCs/>
        </w:rPr>
        <w:t>Xiao</w:t>
      </w:r>
      <w:r w:rsidR="00051102" w:rsidRPr="0013385D">
        <w:rPr>
          <w:rStyle w:val="Style"/>
          <w:rFonts w:asciiTheme="minorHAnsi" w:hAnsiTheme="minorHAnsi"/>
        </w:rPr>
        <w:footnoteReference w:id="269"/>
      </w:r>
      <w:r w:rsidR="00E31245" w:rsidRPr="0013385D">
        <w:rPr>
          <w:rFonts w:asciiTheme="minorHAnsi" w:hAnsiTheme="minorHAnsi"/>
        </w:rPr>
        <w:t xml:space="preserve"> was handed down.</w:t>
      </w:r>
    </w:p>
    <w:p w14:paraId="31CD37CF" w14:textId="77777777" w:rsidR="00F943A7" w:rsidRPr="0013385D" w:rsidRDefault="00F943A7" w:rsidP="00F943A7">
      <w:pPr>
        <w:pStyle w:val="ListParagraph"/>
        <w:rPr>
          <w:rFonts w:asciiTheme="minorHAnsi" w:hAnsiTheme="minorHAnsi"/>
        </w:rPr>
      </w:pPr>
    </w:p>
    <w:p w14:paraId="1963B0F3" w14:textId="0A66AE2C" w:rsidR="00F943A7" w:rsidRPr="0013385D" w:rsidRDefault="00F943A7"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In </w:t>
      </w:r>
      <w:r w:rsidRPr="0013385D">
        <w:rPr>
          <w:rFonts w:asciiTheme="minorHAnsi" w:hAnsiTheme="minorHAnsi"/>
          <w:i/>
        </w:rPr>
        <w:t>Harrington</w:t>
      </w:r>
      <w:r w:rsidRPr="0013385D">
        <w:rPr>
          <w:rFonts w:asciiTheme="minorHAnsi" w:hAnsiTheme="minorHAnsi"/>
        </w:rPr>
        <w:t>,</w:t>
      </w:r>
      <w:r w:rsidR="008C7B5B" w:rsidRPr="0013385D">
        <w:rPr>
          <w:rStyle w:val="Style"/>
          <w:rFonts w:asciiTheme="minorHAnsi" w:hAnsiTheme="minorHAnsi"/>
        </w:rPr>
        <w:footnoteReference w:id="270"/>
      </w:r>
      <w:r w:rsidRPr="0013385D">
        <w:rPr>
          <w:rFonts w:asciiTheme="minorHAnsi" w:hAnsiTheme="minorHAnsi"/>
        </w:rPr>
        <w:t xml:space="preserve"> </w:t>
      </w:r>
      <w:r w:rsidR="0027398F" w:rsidRPr="0013385D">
        <w:rPr>
          <w:rFonts w:asciiTheme="minorHAnsi" w:hAnsiTheme="minorHAnsi"/>
        </w:rPr>
        <w:t xml:space="preserve">a majority of </w:t>
      </w:r>
      <w:r w:rsidRPr="0013385D">
        <w:rPr>
          <w:rFonts w:asciiTheme="minorHAnsi" w:hAnsiTheme="minorHAnsi"/>
        </w:rPr>
        <w:t xml:space="preserve">the ACT Court of Appeal followed </w:t>
      </w:r>
      <w:r w:rsidR="0087490D" w:rsidRPr="0013385D">
        <w:rPr>
          <w:rFonts w:asciiTheme="minorHAnsi" w:hAnsiTheme="minorHAnsi"/>
        </w:rPr>
        <w:t xml:space="preserve">and applied </w:t>
      </w:r>
      <w:r w:rsidR="0087490D" w:rsidRPr="0013385D">
        <w:rPr>
          <w:rFonts w:asciiTheme="minorHAnsi" w:hAnsiTheme="minorHAnsi"/>
          <w:i/>
        </w:rPr>
        <w:t>Tyler</w:t>
      </w:r>
      <w:r w:rsidR="008C7B5B" w:rsidRPr="0013385D">
        <w:rPr>
          <w:rFonts w:asciiTheme="minorHAnsi" w:hAnsiTheme="minorHAnsi"/>
        </w:rPr>
        <w:t xml:space="preserve"> in relation to the sentencing of a federal offender.</w:t>
      </w:r>
    </w:p>
    <w:p w14:paraId="6FA211D0" w14:textId="77777777" w:rsidR="00F943A7" w:rsidRPr="00266F5E" w:rsidRDefault="00F943A7" w:rsidP="00F943A7">
      <w:pPr>
        <w:pStyle w:val="ListParagraph"/>
        <w:rPr>
          <w:rFonts w:asciiTheme="minorHAnsi" w:hAnsiTheme="minorHAnsi"/>
          <w:highlight w:val="yellow"/>
        </w:rPr>
      </w:pPr>
    </w:p>
    <w:p w14:paraId="087B394A" w14:textId="4FA40532" w:rsidR="00742668" w:rsidRPr="0013385D" w:rsidRDefault="00742668"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In </w:t>
      </w:r>
      <w:r w:rsidRPr="0013385D">
        <w:rPr>
          <w:rFonts w:asciiTheme="minorHAnsi" w:hAnsiTheme="minorHAnsi"/>
          <w:i/>
        </w:rPr>
        <w:t>Thomas</w:t>
      </w:r>
      <w:r w:rsidRPr="0013385D">
        <w:rPr>
          <w:rFonts w:asciiTheme="minorHAnsi" w:hAnsiTheme="minorHAnsi"/>
        </w:rPr>
        <w:t>,</w:t>
      </w:r>
      <w:r w:rsidRPr="0013385D">
        <w:rPr>
          <w:rStyle w:val="Style"/>
          <w:rFonts w:asciiTheme="minorHAnsi" w:hAnsiTheme="minorHAnsi"/>
        </w:rPr>
        <w:footnoteReference w:id="271"/>
      </w:r>
      <w:r w:rsidRPr="0013385D">
        <w:rPr>
          <w:rFonts w:asciiTheme="minorHAnsi" w:hAnsiTheme="minorHAnsi"/>
        </w:rPr>
        <w:t xml:space="preserve"> the Victorian Court of Appeal held that</w:t>
      </w:r>
      <w:r w:rsidR="008C7B5B" w:rsidRPr="0013385D">
        <w:rPr>
          <w:rFonts w:asciiTheme="minorHAnsi" w:hAnsiTheme="minorHAnsi"/>
        </w:rPr>
        <w:t xml:space="preserve">, contrary to </w:t>
      </w:r>
      <w:r w:rsidR="008C7B5B" w:rsidRPr="0013385D">
        <w:rPr>
          <w:rFonts w:asciiTheme="minorHAnsi" w:hAnsiTheme="minorHAnsi"/>
          <w:i/>
        </w:rPr>
        <w:t>Tyler</w:t>
      </w:r>
      <w:r w:rsidR="008C7B5B" w:rsidRPr="0013385D">
        <w:rPr>
          <w:rFonts w:asciiTheme="minorHAnsi" w:hAnsiTheme="minorHAnsi"/>
        </w:rPr>
        <w:t>,</w:t>
      </w:r>
      <w:r w:rsidRPr="0013385D">
        <w:rPr>
          <w:rFonts w:asciiTheme="minorHAnsi" w:hAnsiTheme="minorHAnsi"/>
        </w:rPr>
        <w:t xml:space="preserve"> the utilitarian benefit of a plea of guilty must be taken into account </w:t>
      </w:r>
      <w:r w:rsidR="00A915F1" w:rsidRPr="0013385D">
        <w:rPr>
          <w:rFonts w:asciiTheme="minorHAnsi" w:hAnsiTheme="minorHAnsi"/>
        </w:rPr>
        <w:t xml:space="preserve">in sentencing a </w:t>
      </w:r>
      <w:r w:rsidRPr="0013385D">
        <w:rPr>
          <w:rFonts w:asciiTheme="minorHAnsi" w:hAnsiTheme="minorHAnsi"/>
        </w:rPr>
        <w:t xml:space="preserve">federal </w:t>
      </w:r>
      <w:r w:rsidR="00A915F1" w:rsidRPr="0013385D">
        <w:rPr>
          <w:rFonts w:asciiTheme="minorHAnsi" w:hAnsiTheme="minorHAnsi"/>
        </w:rPr>
        <w:t>offender</w:t>
      </w:r>
      <w:r w:rsidRPr="0013385D">
        <w:rPr>
          <w:rFonts w:asciiTheme="minorHAnsi" w:hAnsiTheme="minorHAnsi"/>
        </w:rPr>
        <w:t>.</w:t>
      </w:r>
      <w:r w:rsidR="00A915F1" w:rsidRPr="0013385D">
        <w:rPr>
          <w:rFonts w:asciiTheme="minorHAnsi" w:hAnsiTheme="minorHAnsi"/>
        </w:rPr>
        <w:t xml:space="preserve">  The Court held that the decision in </w:t>
      </w:r>
      <w:r w:rsidR="00A915F1" w:rsidRPr="0013385D">
        <w:rPr>
          <w:rFonts w:asciiTheme="minorHAnsi" w:hAnsiTheme="minorHAnsi"/>
          <w:i/>
        </w:rPr>
        <w:t>Cameron</w:t>
      </w:r>
      <w:r w:rsidR="00A915F1" w:rsidRPr="0013385D">
        <w:rPr>
          <w:rFonts w:asciiTheme="minorHAnsi" w:hAnsiTheme="minorHAnsi"/>
        </w:rPr>
        <w:t xml:space="preserve"> did not mandate a contrary conclusion.</w:t>
      </w:r>
    </w:p>
    <w:p w14:paraId="7A5173AB" w14:textId="77777777" w:rsidR="00742668" w:rsidRPr="0013385D" w:rsidRDefault="00742668" w:rsidP="00742668">
      <w:pPr>
        <w:pStyle w:val="ListParagraph"/>
        <w:spacing w:line="276" w:lineRule="auto"/>
        <w:ind w:left="567" w:right="28"/>
        <w:rPr>
          <w:rFonts w:asciiTheme="minorHAnsi" w:hAnsiTheme="minorHAnsi"/>
        </w:rPr>
      </w:pPr>
    </w:p>
    <w:p w14:paraId="4BD55610" w14:textId="72245207" w:rsidR="008C7B5B" w:rsidRPr="0013385D" w:rsidRDefault="008C7B5B"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In </w:t>
      </w:r>
      <w:r w:rsidRPr="0013385D">
        <w:rPr>
          <w:rFonts w:asciiTheme="minorHAnsi" w:hAnsiTheme="minorHAnsi"/>
          <w:i/>
        </w:rPr>
        <w:t>Xiao</w:t>
      </w:r>
      <w:r w:rsidRPr="0013385D">
        <w:rPr>
          <w:rFonts w:asciiTheme="minorHAnsi" w:hAnsiTheme="minorHAnsi"/>
        </w:rPr>
        <w:t>,</w:t>
      </w:r>
      <w:r w:rsidRPr="0013385D">
        <w:rPr>
          <w:rStyle w:val="Style"/>
          <w:rFonts w:asciiTheme="minorHAnsi" w:hAnsiTheme="minorHAnsi"/>
        </w:rPr>
        <w:footnoteReference w:id="272"/>
      </w:r>
      <w:r w:rsidRPr="0013385D">
        <w:rPr>
          <w:rFonts w:asciiTheme="minorHAnsi" w:hAnsiTheme="minorHAnsi"/>
        </w:rPr>
        <w:t xml:space="preserve"> a five-member bench of the New South Wales Court of Criminal Appeal declined to follow </w:t>
      </w:r>
      <w:r w:rsidRPr="0013385D">
        <w:rPr>
          <w:rFonts w:asciiTheme="minorHAnsi" w:hAnsiTheme="minorHAnsi"/>
          <w:i/>
        </w:rPr>
        <w:t>Tyler</w:t>
      </w:r>
      <w:r w:rsidRPr="0013385D">
        <w:rPr>
          <w:rFonts w:asciiTheme="minorHAnsi" w:hAnsiTheme="minorHAnsi"/>
        </w:rPr>
        <w:t xml:space="preserve"> and instead followed the decision in </w:t>
      </w:r>
      <w:r w:rsidRPr="0013385D">
        <w:rPr>
          <w:rFonts w:asciiTheme="minorHAnsi" w:hAnsiTheme="minorHAnsi"/>
          <w:i/>
        </w:rPr>
        <w:t>Thomas</w:t>
      </w:r>
      <w:r w:rsidRPr="0013385D">
        <w:rPr>
          <w:rFonts w:asciiTheme="minorHAnsi" w:hAnsiTheme="minorHAnsi"/>
        </w:rPr>
        <w:t>.</w:t>
      </w:r>
    </w:p>
    <w:p w14:paraId="01195A3B" w14:textId="77777777" w:rsidR="00143AEF" w:rsidRPr="0013385D" w:rsidRDefault="00143AEF" w:rsidP="00143AEF">
      <w:pPr>
        <w:pStyle w:val="ListParagraph"/>
        <w:rPr>
          <w:rFonts w:asciiTheme="minorHAnsi" w:hAnsiTheme="minorHAnsi"/>
        </w:rPr>
      </w:pPr>
    </w:p>
    <w:p w14:paraId="732B4AE5" w14:textId="614CE8E2" w:rsidR="00143AEF" w:rsidRPr="0013385D" w:rsidRDefault="00143AEF"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There appears to be no </w:t>
      </w:r>
      <w:r w:rsidR="002851CE" w:rsidRPr="0013385D">
        <w:rPr>
          <w:rFonts w:asciiTheme="minorHAnsi" w:hAnsiTheme="minorHAnsi"/>
        </w:rPr>
        <w:t>decision of an appellate court</w:t>
      </w:r>
      <w:r w:rsidRPr="0013385D">
        <w:rPr>
          <w:rFonts w:asciiTheme="minorHAnsi" w:hAnsiTheme="minorHAnsi"/>
        </w:rPr>
        <w:t xml:space="preserve"> in any other </w:t>
      </w:r>
      <w:r w:rsidR="002851CE" w:rsidRPr="0013385D">
        <w:rPr>
          <w:rFonts w:asciiTheme="minorHAnsi" w:hAnsiTheme="minorHAnsi"/>
        </w:rPr>
        <w:t xml:space="preserve">State or Territory </w:t>
      </w:r>
      <w:r w:rsidRPr="0013385D">
        <w:rPr>
          <w:rFonts w:asciiTheme="minorHAnsi" w:hAnsiTheme="minorHAnsi"/>
        </w:rPr>
        <w:t xml:space="preserve">which would bind a sentencing court </w:t>
      </w:r>
      <w:r w:rsidR="002851CE" w:rsidRPr="0013385D">
        <w:rPr>
          <w:rFonts w:asciiTheme="minorHAnsi" w:hAnsiTheme="minorHAnsi"/>
        </w:rPr>
        <w:t xml:space="preserve">in that jurisdiction </w:t>
      </w:r>
      <w:r w:rsidRPr="0013385D">
        <w:rPr>
          <w:rFonts w:asciiTheme="minorHAnsi" w:hAnsiTheme="minorHAnsi"/>
        </w:rPr>
        <w:t xml:space="preserve">to decline to </w:t>
      </w:r>
      <w:r w:rsidR="002851CE" w:rsidRPr="0013385D">
        <w:rPr>
          <w:rFonts w:asciiTheme="minorHAnsi" w:hAnsiTheme="minorHAnsi"/>
        </w:rPr>
        <w:t>have regard to the utilitarian benefit of a guilty plea in sentencing a federal offender.</w:t>
      </w:r>
      <w:r w:rsidR="002851CE" w:rsidRPr="0013385D">
        <w:rPr>
          <w:rStyle w:val="Style"/>
          <w:rFonts w:asciiTheme="minorHAnsi" w:hAnsiTheme="minorHAnsi"/>
        </w:rPr>
        <w:footnoteReference w:id="273"/>
      </w:r>
      <w:r w:rsidR="00F05C68" w:rsidRPr="0013385D">
        <w:rPr>
          <w:rFonts w:asciiTheme="minorHAnsi" w:hAnsiTheme="minorHAnsi"/>
        </w:rPr>
        <w:t xml:space="preserve">  The decisions in </w:t>
      </w:r>
      <w:r w:rsidR="00F05C68" w:rsidRPr="0013385D">
        <w:rPr>
          <w:rFonts w:asciiTheme="minorHAnsi" w:hAnsiTheme="minorHAnsi"/>
          <w:i/>
        </w:rPr>
        <w:t>Thomas</w:t>
      </w:r>
      <w:r w:rsidR="00F05C68" w:rsidRPr="0013385D">
        <w:rPr>
          <w:rFonts w:asciiTheme="minorHAnsi" w:hAnsiTheme="minorHAnsi"/>
        </w:rPr>
        <w:t xml:space="preserve"> and </w:t>
      </w:r>
      <w:r w:rsidR="00F05C68" w:rsidRPr="0013385D">
        <w:rPr>
          <w:rFonts w:asciiTheme="minorHAnsi" w:hAnsiTheme="minorHAnsi"/>
          <w:i/>
        </w:rPr>
        <w:t>Xiao</w:t>
      </w:r>
      <w:r w:rsidR="00F05C68" w:rsidRPr="0013385D">
        <w:rPr>
          <w:rFonts w:asciiTheme="minorHAnsi" w:hAnsiTheme="minorHAnsi"/>
        </w:rPr>
        <w:t xml:space="preserve"> have been followed and applied </w:t>
      </w:r>
      <w:r w:rsidR="00A466BF" w:rsidRPr="0013385D">
        <w:rPr>
          <w:rFonts w:asciiTheme="minorHAnsi" w:hAnsiTheme="minorHAnsi"/>
        </w:rPr>
        <w:t xml:space="preserve">by appellate courts </w:t>
      </w:r>
      <w:r w:rsidR="00F05C68" w:rsidRPr="0013385D">
        <w:rPr>
          <w:rFonts w:asciiTheme="minorHAnsi" w:hAnsiTheme="minorHAnsi"/>
        </w:rPr>
        <w:t>in Queensland</w:t>
      </w:r>
      <w:r w:rsidR="00F05C68" w:rsidRPr="0013385D">
        <w:rPr>
          <w:rStyle w:val="Style"/>
          <w:rFonts w:asciiTheme="minorHAnsi" w:hAnsiTheme="minorHAnsi"/>
        </w:rPr>
        <w:footnoteReference w:id="274"/>
      </w:r>
      <w:r w:rsidR="00F05C68" w:rsidRPr="0013385D">
        <w:rPr>
          <w:rFonts w:asciiTheme="minorHAnsi" w:hAnsiTheme="minorHAnsi"/>
        </w:rPr>
        <w:t xml:space="preserve"> and Tasmania</w:t>
      </w:r>
      <w:r w:rsidR="00F05C68" w:rsidRPr="0013385D">
        <w:rPr>
          <w:rStyle w:val="Style"/>
          <w:rFonts w:asciiTheme="minorHAnsi" w:hAnsiTheme="minorHAnsi"/>
        </w:rPr>
        <w:footnoteReference w:id="275"/>
      </w:r>
      <w:r w:rsidR="00A466BF" w:rsidRPr="0013385D">
        <w:rPr>
          <w:rFonts w:asciiTheme="minorHAnsi" w:hAnsiTheme="minorHAnsi"/>
        </w:rPr>
        <w:t xml:space="preserve"> in relation to the sentencing of federal offenders.</w:t>
      </w:r>
    </w:p>
    <w:p w14:paraId="4BDC468F" w14:textId="544CEF61" w:rsidR="008C7B5B" w:rsidRPr="0013385D" w:rsidRDefault="008C7B5B" w:rsidP="008C7B5B">
      <w:pPr>
        <w:pStyle w:val="ListParagraph"/>
        <w:rPr>
          <w:rFonts w:asciiTheme="minorHAnsi" w:hAnsiTheme="minorHAnsi"/>
        </w:rPr>
      </w:pPr>
    </w:p>
    <w:p w14:paraId="21CF5245" w14:textId="3C5E7B79" w:rsidR="00742668" w:rsidRPr="0013385D" w:rsidRDefault="00143AEF"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In the ACT, sentencing courts continue to be bound by the decision in </w:t>
      </w:r>
      <w:r w:rsidRPr="0013385D">
        <w:rPr>
          <w:rFonts w:asciiTheme="minorHAnsi" w:hAnsiTheme="minorHAnsi"/>
          <w:i/>
        </w:rPr>
        <w:t>Harrington</w:t>
      </w:r>
      <w:r w:rsidRPr="0013385D">
        <w:rPr>
          <w:rFonts w:asciiTheme="minorHAnsi" w:hAnsiTheme="minorHAnsi"/>
        </w:rPr>
        <w:t xml:space="preserve"> while that decision stands or until its effect is reversed by legislation.  But in each other jurisdiction, </w:t>
      </w:r>
      <w:r w:rsidR="00281CDF" w:rsidRPr="0013385D">
        <w:rPr>
          <w:rFonts w:asciiTheme="minorHAnsi" w:hAnsiTheme="minorHAnsi"/>
        </w:rPr>
        <w:t xml:space="preserve">in </w:t>
      </w:r>
      <w:r w:rsidRPr="0013385D">
        <w:rPr>
          <w:rFonts w:asciiTheme="minorHAnsi" w:hAnsiTheme="minorHAnsi"/>
        </w:rPr>
        <w:t xml:space="preserve">the </w:t>
      </w:r>
      <w:r w:rsidR="00A915F1" w:rsidRPr="0013385D">
        <w:rPr>
          <w:rFonts w:asciiTheme="minorHAnsi" w:hAnsiTheme="minorHAnsi"/>
        </w:rPr>
        <w:t>view of the CDPP</w:t>
      </w:r>
      <w:r w:rsidR="00F97D2D" w:rsidRPr="0013385D">
        <w:rPr>
          <w:rFonts w:asciiTheme="minorHAnsi" w:hAnsiTheme="minorHAnsi"/>
        </w:rPr>
        <w:t>, the weight of authority</w:t>
      </w:r>
      <w:r w:rsidR="009B4452" w:rsidRPr="0013385D">
        <w:rPr>
          <w:rFonts w:asciiTheme="minorHAnsi" w:hAnsiTheme="minorHAnsi"/>
        </w:rPr>
        <w:t xml:space="preserve"> </w:t>
      </w:r>
      <w:r w:rsidR="00A915F1" w:rsidRPr="0013385D">
        <w:rPr>
          <w:rFonts w:asciiTheme="minorHAnsi" w:hAnsiTheme="minorHAnsi"/>
        </w:rPr>
        <w:t xml:space="preserve">is that </w:t>
      </w:r>
      <w:r w:rsidR="00F97D2D" w:rsidRPr="0013385D">
        <w:rPr>
          <w:rFonts w:asciiTheme="minorHAnsi" w:hAnsiTheme="minorHAnsi"/>
        </w:rPr>
        <w:t>the utilitarian value of a guilty plea, as well as its subjective significance (if any), must be taken into account in sentencing a federal offender.</w:t>
      </w:r>
    </w:p>
    <w:p w14:paraId="2993F151" w14:textId="77777777" w:rsidR="00742668" w:rsidRPr="0013385D" w:rsidRDefault="00742668" w:rsidP="005C019F">
      <w:pPr>
        <w:pStyle w:val="ListParagraph"/>
        <w:rPr>
          <w:rFonts w:asciiTheme="minorHAnsi" w:hAnsiTheme="minorHAnsi"/>
        </w:rPr>
      </w:pPr>
    </w:p>
    <w:p w14:paraId="649125AE" w14:textId="77777777" w:rsidR="002326A1" w:rsidRPr="0013385D" w:rsidRDefault="007826F2" w:rsidP="00EB7F1E">
      <w:pPr>
        <w:pStyle w:val="ListParagraph"/>
        <w:numPr>
          <w:ilvl w:val="0"/>
          <w:numId w:val="7"/>
        </w:numPr>
        <w:spacing w:line="276" w:lineRule="auto"/>
        <w:ind w:left="425" w:hanging="425"/>
        <w:contextualSpacing w:val="0"/>
        <w:rPr>
          <w:rFonts w:asciiTheme="minorHAnsi" w:hAnsiTheme="minorHAnsi"/>
        </w:rPr>
      </w:pPr>
      <w:bookmarkStart w:id="1428" w:name="_Ref472495066"/>
      <w:r w:rsidRPr="0013385D">
        <w:rPr>
          <w:rFonts w:asciiTheme="minorHAnsi" w:hAnsiTheme="minorHAnsi"/>
          <w:b/>
        </w:rPr>
        <w:t>Assessing the weight to be given to a plea:</w:t>
      </w:r>
      <w:r w:rsidRPr="0013385D">
        <w:rPr>
          <w:rFonts w:asciiTheme="minorHAnsi" w:hAnsiTheme="minorHAnsi"/>
        </w:rPr>
        <w:t xml:space="preserve">  </w:t>
      </w:r>
      <w:r w:rsidR="002326A1" w:rsidRPr="0013385D">
        <w:rPr>
          <w:rFonts w:asciiTheme="minorHAnsi" w:hAnsiTheme="minorHAnsi"/>
        </w:rPr>
        <w:t>Although a guilty plea cannot automatically attract a sentence reduction,</w:t>
      </w:r>
      <w:r w:rsidR="002326A1" w:rsidRPr="0013385D">
        <w:rPr>
          <w:rStyle w:val="Style"/>
          <w:rFonts w:asciiTheme="minorHAnsi" w:hAnsiTheme="minorHAnsi"/>
        </w:rPr>
        <w:footnoteReference w:id="276"/>
      </w:r>
      <w:r w:rsidR="002326A1" w:rsidRPr="0013385D">
        <w:rPr>
          <w:rFonts w:asciiTheme="minorHAnsi" w:hAnsiTheme="minorHAnsi"/>
        </w:rPr>
        <w:t xml:space="preserve"> only in exceptional cases will no reduction be warranted.</w:t>
      </w:r>
      <w:r w:rsidR="002326A1" w:rsidRPr="0013385D">
        <w:rPr>
          <w:rStyle w:val="Style"/>
          <w:rFonts w:asciiTheme="minorHAnsi" w:hAnsiTheme="minorHAnsi"/>
        </w:rPr>
        <w:footnoteReference w:id="277"/>
      </w:r>
    </w:p>
    <w:p w14:paraId="17C84750" w14:textId="77777777" w:rsidR="002326A1" w:rsidRPr="0013385D" w:rsidRDefault="002326A1" w:rsidP="00EB7F1E">
      <w:pPr>
        <w:pStyle w:val="ListParagraph"/>
        <w:rPr>
          <w:rFonts w:asciiTheme="minorHAnsi" w:hAnsiTheme="minorHAnsi"/>
        </w:rPr>
      </w:pPr>
    </w:p>
    <w:p w14:paraId="0BB58318" w14:textId="7FC7953D" w:rsidR="002326A1" w:rsidRPr="0013385D" w:rsidRDefault="002326A1"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The weight to be attached to a guilty plea as a mitigating factor will always depend upon the circumstances of the case.  A significant consideration is whether the plea was entered at the first reasonable opportunity.</w:t>
      </w:r>
      <w:r w:rsidRPr="0013385D">
        <w:rPr>
          <w:rStyle w:val="Style"/>
          <w:rFonts w:asciiTheme="minorHAnsi" w:hAnsiTheme="minorHAnsi"/>
        </w:rPr>
        <w:footnoteReference w:id="278"/>
      </w:r>
    </w:p>
    <w:p w14:paraId="48B6C574" w14:textId="77777777" w:rsidR="00EC29EC" w:rsidRPr="0013385D" w:rsidRDefault="00EC29EC" w:rsidP="00EB7F1E">
      <w:pPr>
        <w:pStyle w:val="ListParagraph"/>
        <w:rPr>
          <w:rFonts w:asciiTheme="minorHAnsi" w:hAnsiTheme="minorHAnsi"/>
        </w:rPr>
      </w:pPr>
    </w:p>
    <w:p w14:paraId="212D647A" w14:textId="0A21AB56" w:rsidR="007E4EE1" w:rsidRPr="0013385D" w:rsidRDefault="007E4EE1"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Ordinarily, there will be no material difference between the discount to be allowed for a plea of guilty by reference to subjective or objective considerations, but it is important that the utilitarian benefit be adequately reflected.</w:t>
      </w:r>
      <w:r w:rsidRPr="0013385D">
        <w:rPr>
          <w:rStyle w:val="Style"/>
          <w:rFonts w:asciiTheme="minorHAnsi" w:hAnsiTheme="minorHAnsi"/>
        </w:rPr>
        <w:footnoteReference w:id="279"/>
      </w:r>
      <w:r w:rsidR="00CF142E" w:rsidRPr="0013385D">
        <w:rPr>
          <w:rFonts w:asciiTheme="minorHAnsi" w:hAnsiTheme="minorHAnsi"/>
        </w:rPr>
        <w:t xml:space="preserve">  If a court is required to have regard to the utilitarian benefits of a plea, failure to do so </w:t>
      </w:r>
      <w:r w:rsidR="009C2831" w:rsidRPr="0013385D">
        <w:rPr>
          <w:rFonts w:asciiTheme="minorHAnsi" w:hAnsiTheme="minorHAnsi"/>
        </w:rPr>
        <w:t>may</w:t>
      </w:r>
      <w:r w:rsidR="00733E67" w:rsidRPr="0013385D">
        <w:rPr>
          <w:rFonts w:asciiTheme="minorHAnsi" w:hAnsiTheme="minorHAnsi"/>
        </w:rPr>
        <w:t xml:space="preserve"> </w:t>
      </w:r>
      <w:r w:rsidR="00CF142E" w:rsidRPr="0013385D">
        <w:rPr>
          <w:rFonts w:asciiTheme="minorHAnsi" w:hAnsiTheme="minorHAnsi"/>
        </w:rPr>
        <w:t>constitute an appellable error.</w:t>
      </w:r>
      <w:r w:rsidR="00CF142E" w:rsidRPr="0013385D">
        <w:rPr>
          <w:rStyle w:val="Style"/>
          <w:rFonts w:asciiTheme="minorHAnsi" w:hAnsiTheme="minorHAnsi"/>
        </w:rPr>
        <w:footnoteReference w:id="280"/>
      </w:r>
    </w:p>
    <w:p w14:paraId="65746CB7" w14:textId="77777777" w:rsidR="007E4EE1" w:rsidRPr="0013385D" w:rsidRDefault="007E4EE1" w:rsidP="007E4EE1">
      <w:pPr>
        <w:pStyle w:val="ListParagraph"/>
        <w:rPr>
          <w:rFonts w:asciiTheme="minorHAnsi" w:hAnsiTheme="minorHAnsi"/>
        </w:rPr>
      </w:pPr>
    </w:p>
    <w:p w14:paraId="2EC9E0C7" w14:textId="772B4E21" w:rsidR="0065341F" w:rsidRPr="0013385D" w:rsidRDefault="00733E67"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A</w:t>
      </w:r>
      <w:r w:rsidR="00141C2F" w:rsidRPr="0013385D">
        <w:rPr>
          <w:rFonts w:asciiTheme="minorHAnsi" w:hAnsiTheme="minorHAnsi"/>
        </w:rPr>
        <w:t xml:space="preserve"> sentencing court</w:t>
      </w:r>
      <w:r w:rsidR="00193661" w:rsidRPr="0013385D">
        <w:rPr>
          <w:rFonts w:asciiTheme="minorHAnsi" w:hAnsiTheme="minorHAnsi"/>
        </w:rPr>
        <w:t xml:space="preserve"> will not </w:t>
      </w:r>
      <w:r w:rsidRPr="0013385D">
        <w:rPr>
          <w:rFonts w:asciiTheme="minorHAnsi" w:hAnsiTheme="minorHAnsi"/>
        </w:rPr>
        <w:t xml:space="preserve">necessarily </w:t>
      </w:r>
      <w:r w:rsidR="00193661" w:rsidRPr="0013385D">
        <w:rPr>
          <w:rFonts w:asciiTheme="minorHAnsi" w:hAnsiTheme="minorHAnsi"/>
        </w:rPr>
        <w:t>err in failing</w:t>
      </w:r>
      <w:r w:rsidR="00141C2F" w:rsidRPr="0013385D">
        <w:rPr>
          <w:rFonts w:asciiTheme="minorHAnsi" w:hAnsiTheme="minorHAnsi"/>
        </w:rPr>
        <w:t xml:space="preserve"> to differentiate between a reduction in sentence which reflects the willingness of the offender to facilitate the course of justice, and a reduction which reflects that willingness together with the utilitarian benefit derived from the plea</w:t>
      </w:r>
      <w:r w:rsidR="00231D68" w:rsidRPr="0013385D">
        <w:rPr>
          <w:rFonts w:asciiTheme="minorHAnsi" w:hAnsiTheme="minorHAnsi"/>
        </w:rPr>
        <w:t>, because there will generally be no difference in the reduction</w:t>
      </w:r>
      <w:r w:rsidR="00141C2F" w:rsidRPr="0013385D">
        <w:rPr>
          <w:rFonts w:asciiTheme="minorHAnsi" w:hAnsiTheme="minorHAnsi"/>
        </w:rPr>
        <w:t>.</w:t>
      </w:r>
      <w:r w:rsidR="00231D68" w:rsidRPr="0013385D">
        <w:rPr>
          <w:rStyle w:val="Style"/>
          <w:rFonts w:asciiTheme="minorHAnsi" w:hAnsiTheme="minorHAnsi"/>
        </w:rPr>
        <w:footnoteReference w:id="281"/>
      </w:r>
      <w:r w:rsidR="00231D68" w:rsidRPr="0013385D">
        <w:rPr>
          <w:rFonts w:asciiTheme="minorHAnsi" w:hAnsiTheme="minorHAnsi"/>
        </w:rPr>
        <w:t xml:space="preserve">  However, </w:t>
      </w:r>
      <w:r w:rsidR="00FC162F" w:rsidRPr="0013385D">
        <w:rPr>
          <w:rFonts w:asciiTheme="minorHAnsi" w:hAnsiTheme="minorHAnsi"/>
        </w:rPr>
        <w:t xml:space="preserve">some distinction between the subjective and objective criteria will usually be desirable </w:t>
      </w:r>
      <w:r w:rsidR="00FA6508" w:rsidRPr="0013385D">
        <w:rPr>
          <w:rFonts w:asciiTheme="minorHAnsi" w:hAnsiTheme="minorHAnsi"/>
        </w:rPr>
        <w:t xml:space="preserve">if the strength of the prosecution case has been taken into account in assessing the weight to be given to the guilty plea, to </w:t>
      </w:r>
      <w:r w:rsidR="00FC162F" w:rsidRPr="0013385D">
        <w:rPr>
          <w:rFonts w:asciiTheme="minorHAnsi" w:hAnsiTheme="minorHAnsi"/>
        </w:rPr>
        <w:t xml:space="preserve">demonstrate that </w:t>
      </w:r>
      <w:r w:rsidR="00FA6508" w:rsidRPr="0013385D">
        <w:rPr>
          <w:rFonts w:asciiTheme="minorHAnsi" w:hAnsiTheme="minorHAnsi"/>
        </w:rPr>
        <w:t xml:space="preserve">it has only been taken into account in relation </w:t>
      </w:r>
      <w:r w:rsidR="00FC162F" w:rsidRPr="0013385D">
        <w:rPr>
          <w:rFonts w:asciiTheme="minorHAnsi" w:hAnsiTheme="minorHAnsi"/>
        </w:rPr>
        <w:t>to the subjective criteria.</w:t>
      </w:r>
      <w:r w:rsidR="00547C3B" w:rsidRPr="0013385D">
        <w:rPr>
          <w:rStyle w:val="Style"/>
          <w:rFonts w:asciiTheme="minorHAnsi" w:hAnsiTheme="minorHAnsi"/>
        </w:rPr>
        <w:footnoteReference w:id="282"/>
      </w:r>
    </w:p>
    <w:p w14:paraId="4840E7AA" w14:textId="57E64EE8" w:rsidR="00141C2F" w:rsidRPr="00266F5E" w:rsidRDefault="00141C2F" w:rsidP="00141C2F">
      <w:pPr>
        <w:pStyle w:val="ListParagraph"/>
        <w:rPr>
          <w:rFonts w:asciiTheme="minorHAnsi" w:hAnsiTheme="minorHAnsi"/>
          <w:highlight w:val="yellow"/>
        </w:rPr>
      </w:pPr>
    </w:p>
    <w:p w14:paraId="2B9D7882" w14:textId="4DE8D644" w:rsidR="00742668" w:rsidRPr="0013385D" w:rsidRDefault="00742668"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Where it is unlikely that the guilt </w:t>
      </w:r>
      <w:r w:rsidR="00916935" w:rsidRPr="0013385D">
        <w:rPr>
          <w:rFonts w:asciiTheme="minorHAnsi" w:hAnsiTheme="minorHAnsi"/>
        </w:rPr>
        <w:t xml:space="preserve">of the offender </w:t>
      </w:r>
      <w:r w:rsidRPr="0013385D">
        <w:rPr>
          <w:rFonts w:asciiTheme="minorHAnsi" w:hAnsiTheme="minorHAnsi"/>
        </w:rPr>
        <w:t xml:space="preserve">would have been discovered and established, other than through the </w:t>
      </w:r>
      <w:r w:rsidR="00A14FB8" w:rsidRPr="0013385D">
        <w:rPr>
          <w:rFonts w:asciiTheme="minorHAnsi" w:hAnsiTheme="minorHAnsi"/>
        </w:rPr>
        <w:t>offender</w:t>
      </w:r>
      <w:r w:rsidR="00AA693C" w:rsidRPr="0013385D">
        <w:rPr>
          <w:rFonts w:asciiTheme="minorHAnsi" w:hAnsiTheme="minorHAnsi"/>
        </w:rPr>
        <w:t>’</w:t>
      </w:r>
      <w:r w:rsidR="00A14FB8" w:rsidRPr="0013385D">
        <w:rPr>
          <w:rFonts w:asciiTheme="minorHAnsi" w:hAnsiTheme="minorHAnsi"/>
        </w:rPr>
        <w:t xml:space="preserve">s voluntary </w:t>
      </w:r>
      <w:r w:rsidRPr="0013385D">
        <w:rPr>
          <w:rFonts w:asciiTheme="minorHAnsi" w:hAnsiTheme="minorHAnsi"/>
        </w:rPr>
        <w:t>disclosure, a considerable degree of leniency will apply.</w:t>
      </w:r>
      <w:r w:rsidRPr="0013385D">
        <w:rPr>
          <w:rStyle w:val="Style"/>
          <w:rFonts w:asciiTheme="minorHAnsi" w:hAnsiTheme="minorHAnsi"/>
        </w:rPr>
        <w:footnoteReference w:id="283"/>
      </w:r>
      <w:bookmarkEnd w:id="1428"/>
      <w:r w:rsidR="00487E2D" w:rsidRPr="0013385D">
        <w:rPr>
          <w:rFonts w:asciiTheme="minorHAnsi" w:hAnsiTheme="minorHAnsi"/>
        </w:rPr>
        <w:t xml:space="preserve"> </w:t>
      </w:r>
    </w:p>
    <w:p w14:paraId="5324E306" w14:textId="77777777" w:rsidR="00742668" w:rsidRPr="0013385D" w:rsidRDefault="00742668" w:rsidP="0065341F">
      <w:pPr>
        <w:pStyle w:val="ListParagraph"/>
        <w:rPr>
          <w:rFonts w:asciiTheme="minorHAnsi" w:hAnsiTheme="minorHAnsi"/>
          <w:b/>
        </w:rPr>
      </w:pPr>
    </w:p>
    <w:p w14:paraId="462C29C3" w14:textId="2F851486" w:rsidR="00742668" w:rsidRPr="0013385D" w:rsidRDefault="00742668" w:rsidP="00EB7F1E">
      <w:pPr>
        <w:pStyle w:val="ListParagraph"/>
        <w:numPr>
          <w:ilvl w:val="0"/>
          <w:numId w:val="7"/>
        </w:numPr>
        <w:spacing w:line="276" w:lineRule="auto"/>
        <w:ind w:left="425" w:hanging="425"/>
        <w:contextualSpacing w:val="0"/>
        <w:rPr>
          <w:rFonts w:asciiTheme="minorHAnsi" w:hAnsiTheme="minorHAnsi"/>
        </w:rPr>
      </w:pPr>
      <w:bookmarkStart w:id="1429" w:name="_Ref469911060"/>
      <w:r w:rsidRPr="0013385D">
        <w:rPr>
          <w:rFonts w:asciiTheme="minorHAnsi" w:hAnsiTheme="minorHAnsi"/>
        </w:rPr>
        <w:t xml:space="preserve">A State or Territory law which provides for a sentence reduction of, or up to, a particular extent upon a plea of guilty is inconsistent with s 16A(2)(g) of the </w:t>
      </w:r>
      <w:r w:rsidR="00885EFD" w:rsidRPr="0013385D">
        <w:rPr>
          <w:rFonts w:asciiTheme="minorHAnsi" w:hAnsiTheme="minorHAnsi"/>
          <w:i/>
        </w:rPr>
        <w:t>Crimes Act 1914</w:t>
      </w:r>
      <w:r w:rsidRPr="0013385D">
        <w:rPr>
          <w:rFonts w:asciiTheme="minorHAnsi" w:hAnsiTheme="minorHAnsi"/>
        </w:rPr>
        <w:t xml:space="preserve"> (Cth) and is incapable of being applied as surrogate federal law to the sentencing of a federal offender.</w:t>
      </w:r>
      <w:r w:rsidRPr="0013385D">
        <w:rPr>
          <w:rStyle w:val="Style"/>
          <w:rFonts w:asciiTheme="minorHAnsi" w:hAnsiTheme="minorHAnsi"/>
        </w:rPr>
        <w:footnoteReference w:id="284"/>
      </w:r>
    </w:p>
    <w:p w14:paraId="274AF522" w14:textId="77777777" w:rsidR="00742668" w:rsidRPr="0013385D" w:rsidRDefault="00742668" w:rsidP="00742668">
      <w:pPr>
        <w:pStyle w:val="ListParagraph"/>
        <w:rPr>
          <w:rFonts w:asciiTheme="minorHAnsi" w:hAnsiTheme="minorHAnsi"/>
          <w:b/>
        </w:rPr>
      </w:pPr>
    </w:p>
    <w:p w14:paraId="01AAE449" w14:textId="66AB2351" w:rsidR="00742668" w:rsidRPr="0013385D" w:rsidRDefault="003F45AC" w:rsidP="00901174">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b/>
          <w:bCs/>
        </w:rPr>
        <w:t>Quantifying the sentence reduction:</w:t>
      </w:r>
      <w:r w:rsidRPr="0013385D">
        <w:rPr>
          <w:rFonts w:asciiTheme="minorHAnsi" w:hAnsiTheme="minorHAnsi"/>
        </w:rPr>
        <w:t xml:space="preserve">  </w:t>
      </w:r>
      <w:r w:rsidR="000F12AC" w:rsidRPr="0013385D">
        <w:rPr>
          <w:rFonts w:asciiTheme="minorHAnsi" w:hAnsiTheme="minorHAnsi"/>
        </w:rPr>
        <w:t xml:space="preserve">There is no requirement in the </w:t>
      </w:r>
      <w:r w:rsidR="00885EFD" w:rsidRPr="0013385D">
        <w:rPr>
          <w:rFonts w:asciiTheme="minorHAnsi" w:hAnsiTheme="minorHAnsi"/>
          <w:i/>
        </w:rPr>
        <w:t>Crimes Act 1914</w:t>
      </w:r>
      <w:r w:rsidR="000F12AC" w:rsidRPr="0013385D">
        <w:rPr>
          <w:rFonts w:asciiTheme="minorHAnsi" w:hAnsiTheme="minorHAnsi"/>
          <w:i/>
        </w:rPr>
        <w:t xml:space="preserve"> </w:t>
      </w:r>
      <w:r w:rsidR="000F12AC" w:rsidRPr="0013385D">
        <w:rPr>
          <w:rFonts w:asciiTheme="minorHAnsi" w:hAnsiTheme="minorHAnsi"/>
        </w:rPr>
        <w:t>(Cth) that a sentencing court quantify any sentence reduction for a plea of guilty.</w:t>
      </w:r>
      <w:r w:rsidR="000F12AC" w:rsidRPr="0013385D">
        <w:rPr>
          <w:rStyle w:val="Style"/>
          <w:rFonts w:asciiTheme="minorHAnsi" w:hAnsiTheme="minorHAnsi"/>
        </w:rPr>
        <w:footnoteReference w:id="285"/>
      </w:r>
      <w:r w:rsidR="000F12AC" w:rsidRPr="0013385D">
        <w:rPr>
          <w:rFonts w:asciiTheme="minorHAnsi" w:hAnsiTheme="minorHAnsi"/>
        </w:rPr>
        <w:t xml:space="preserve">  </w:t>
      </w:r>
      <w:r w:rsidR="00742668" w:rsidRPr="0013385D">
        <w:rPr>
          <w:rFonts w:asciiTheme="minorHAnsi" w:hAnsiTheme="minorHAnsi"/>
        </w:rPr>
        <w:t>However some State</w:t>
      </w:r>
      <w:r w:rsidR="003837C1" w:rsidRPr="0013385D">
        <w:rPr>
          <w:rFonts w:asciiTheme="minorHAnsi" w:hAnsiTheme="minorHAnsi"/>
        </w:rPr>
        <w:t xml:space="preserve"> or Territory</w:t>
      </w:r>
      <w:r w:rsidR="00742668" w:rsidRPr="0013385D">
        <w:rPr>
          <w:rFonts w:asciiTheme="minorHAnsi" w:hAnsiTheme="minorHAnsi"/>
        </w:rPr>
        <w:t xml:space="preserve"> laws permit or require a sentencing court to </w:t>
      </w:r>
      <w:r w:rsidR="00A14FB8" w:rsidRPr="0013385D">
        <w:rPr>
          <w:rFonts w:asciiTheme="minorHAnsi" w:hAnsiTheme="minorHAnsi"/>
        </w:rPr>
        <w:t xml:space="preserve">state </w:t>
      </w:r>
      <w:r w:rsidR="00742668" w:rsidRPr="0013385D">
        <w:rPr>
          <w:rFonts w:asciiTheme="minorHAnsi" w:hAnsiTheme="minorHAnsi"/>
        </w:rPr>
        <w:t xml:space="preserve">the extent of the discount </w:t>
      </w:r>
      <w:r w:rsidR="00A14FB8" w:rsidRPr="0013385D">
        <w:rPr>
          <w:rFonts w:asciiTheme="minorHAnsi" w:hAnsiTheme="minorHAnsi"/>
        </w:rPr>
        <w:t xml:space="preserve">given </w:t>
      </w:r>
      <w:r w:rsidR="00742668" w:rsidRPr="0013385D">
        <w:rPr>
          <w:rFonts w:asciiTheme="minorHAnsi" w:hAnsiTheme="minorHAnsi"/>
        </w:rPr>
        <w:t>for the plea of guilty.</w:t>
      </w:r>
      <w:r w:rsidR="00FA1D31" w:rsidRPr="0013385D">
        <w:rPr>
          <w:rFonts w:asciiTheme="minorHAnsi" w:hAnsiTheme="minorHAnsi"/>
        </w:rPr>
        <w:t xml:space="preserve"> </w:t>
      </w:r>
      <w:r w:rsidR="00742668" w:rsidRPr="0013385D">
        <w:rPr>
          <w:rFonts w:asciiTheme="minorHAnsi" w:hAnsiTheme="minorHAnsi"/>
        </w:rPr>
        <w:t xml:space="preserve"> Such laws </w:t>
      </w:r>
      <w:r w:rsidR="00FA1D31" w:rsidRPr="0013385D">
        <w:rPr>
          <w:rFonts w:asciiTheme="minorHAnsi" w:hAnsiTheme="minorHAnsi"/>
        </w:rPr>
        <w:t>may be</w:t>
      </w:r>
      <w:r w:rsidR="00742668" w:rsidRPr="0013385D">
        <w:rPr>
          <w:rFonts w:asciiTheme="minorHAnsi" w:hAnsiTheme="minorHAnsi"/>
        </w:rPr>
        <w:t xml:space="preserve"> picked up and applied </w:t>
      </w:r>
      <w:r w:rsidR="00FA1D31" w:rsidRPr="0013385D">
        <w:rPr>
          <w:rFonts w:asciiTheme="minorHAnsi" w:hAnsiTheme="minorHAnsi"/>
        </w:rPr>
        <w:t xml:space="preserve">as surrogate federal laws </w:t>
      </w:r>
      <w:r w:rsidR="00742668" w:rsidRPr="0013385D">
        <w:rPr>
          <w:rFonts w:asciiTheme="minorHAnsi" w:hAnsiTheme="minorHAnsi"/>
        </w:rPr>
        <w:t>in sentencing federal offenders</w:t>
      </w:r>
      <w:r w:rsidR="00FA1D31" w:rsidRPr="0013385D">
        <w:rPr>
          <w:rFonts w:asciiTheme="minorHAnsi" w:hAnsiTheme="minorHAnsi"/>
        </w:rPr>
        <w:t>,</w:t>
      </w:r>
      <w:r w:rsidR="00742668" w:rsidRPr="0013385D">
        <w:rPr>
          <w:rFonts w:asciiTheme="minorHAnsi" w:hAnsiTheme="minorHAnsi"/>
        </w:rPr>
        <w:t xml:space="preserve"> pursuant to ss 68 and 79 of the </w:t>
      </w:r>
      <w:r w:rsidR="00742668" w:rsidRPr="0013385D">
        <w:rPr>
          <w:rFonts w:asciiTheme="minorHAnsi" w:hAnsiTheme="minorHAnsi"/>
          <w:i/>
        </w:rPr>
        <w:t xml:space="preserve">Judiciary Act 1903 </w:t>
      </w:r>
      <w:r w:rsidR="00742668" w:rsidRPr="0013385D">
        <w:rPr>
          <w:rFonts w:asciiTheme="minorHAnsi" w:hAnsiTheme="minorHAnsi"/>
        </w:rPr>
        <w:t>(Cth)</w:t>
      </w:r>
      <w:r w:rsidR="00FA1D31" w:rsidRPr="0013385D">
        <w:rPr>
          <w:rFonts w:asciiTheme="minorHAnsi" w:hAnsiTheme="minorHAnsi"/>
        </w:rPr>
        <w:t>: see “</w:t>
      </w:r>
      <w:r w:rsidR="00FA1D31" w:rsidRPr="0013385D">
        <w:rPr>
          <w:rFonts w:asciiTheme="minorHAnsi" w:hAnsiTheme="minorHAnsi"/>
        </w:rPr>
        <w:fldChar w:fldCharType="begin"/>
      </w:r>
      <w:r w:rsidR="00FA1D31" w:rsidRPr="0013385D">
        <w:rPr>
          <w:rFonts w:asciiTheme="minorHAnsi" w:hAnsiTheme="minorHAnsi"/>
        </w:rPr>
        <w:instrText xml:space="preserve"> REF _Ref504405398 \r \h  \* MERGEFORMAT </w:instrText>
      </w:r>
      <w:r w:rsidR="00FA1D31" w:rsidRPr="0013385D">
        <w:rPr>
          <w:rFonts w:asciiTheme="minorHAnsi" w:hAnsiTheme="minorHAnsi"/>
        </w:rPr>
      </w:r>
      <w:r w:rsidR="00FA1D31" w:rsidRPr="0013385D">
        <w:rPr>
          <w:rFonts w:asciiTheme="minorHAnsi" w:hAnsiTheme="minorHAnsi"/>
        </w:rPr>
        <w:fldChar w:fldCharType="separate"/>
      </w:r>
      <w:r w:rsidR="00D44BCF">
        <w:rPr>
          <w:rFonts w:asciiTheme="minorHAnsi" w:hAnsiTheme="minorHAnsi"/>
        </w:rPr>
        <w:t>3.3.2</w:t>
      </w:r>
      <w:r w:rsidR="00FA1D31" w:rsidRPr="0013385D">
        <w:rPr>
          <w:rFonts w:asciiTheme="minorHAnsi" w:hAnsiTheme="minorHAnsi"/>
        </w:rPr>
        <w:fldChar w:fldCharType="end"/>
      </w:r>
      <w:r w:rsidR="00FA1D31" w:rsidRPr="0013385D">
        <w:rPr>
          <w:rFonts w:asciiTheme="minorHAnsi" w:hAnsiTheme="minorHAnsi"/>
        </w:rPr>
        <w:t xml:space="preserve"> </w:t>
      </w:r>
      <w:r w:rsidR="00FA1D31" w:rsidRPr="0013385D">
        <w:rPr>
          <w:rFonts w:asciiTheme="minorHAnsi" w:hAnsiTheme="minorHAnsi"/>
        </w:rPr>
        <w:fldChar w:fldCharType="begin"/>
      </w:r>
      <w:r w:rsidR="00FA1D31" w:rsidRPr="0013385D">
        <w:rPr>
          <w:rFonts w:asciiTheme="minorHAnsi" w:hAnsiTheme="minorHAnsi"/>
        </w:rPr>
        <w:instrText xml:space="preserve"> REF _Ref504405400 \h  \* MERGEFORMAT </w:instrText>
      </w:r>
      <w:r w:rsidR="00FA1D31" w:rsidRPr="0013385D">
        <w:rPr>
          <w:rFonts w:asciiTheme="minorHAnsi" w:hAnsiTheme="minorHAnsi"/>
        </w:rPr>
      </w:r>
      <w:r w:rsidR="00FA1D31" w:rsidRPr="0013385D">
        <w:rPr>
          <w:rFonts w:asciiTheme="minorHAnsi" w:hAnsiTheme="minorHAnsi"/>
        </w:rPr>
        <w:fldChar w:fldCharType="separate"/>
      </w:r>
      <w:r w:rsidR="00D44BCF" w:rsidRPr="00D44BCF">
        <w:rPr>
          <w:rFonts w:asciiTheme="minorHAnsi" w:hAnsiTheme="minorHAnsi"/>
        </w:rPr>
        <w:t>Statutory requirements to specify a sentence reduction for a plea of guilty</w:t>
      </w:r>
      <w:r w:rsidR="00FA1D31" w:rsidRPr="0013385D">
        <w:rPr>
          <w:rFonts w:asciiTheme="minorHAnsi" w:hAnsiTheme="minorHAnsi"/>
        </w:rPr>
        <w:fldChar w:fldCharType="end"/>
      </w:r>
      <w:r w:rsidR="00FA1D31" w:rsidRPr="0013385D">
        <w:rPr>
          <w:rFonts w:asciiTheme="minorHAnsi" w:hAnsiTheme="minorHAnsi"/>
        </w:rPr>
        <w:t>”</w:t>
      </w:r>
      <w:r w:rsidR="00742668" w:rsidRPr="0013385D">
        <w:rPr>
          <w:rFonts w:asciiTheme="minorHAnsi" w:hAnsiTheme="minorHAnsi"/>
        </w:rPr>
        <w:t>.</w:t>
      </w:r>
      <w:bookmarkEnd w:id="1429"/>
    </w:p>
    <w:p w14:paraId="4FA5A798" w14:textId="11DBA5C4" w:rsidR="00B9781F" w:rsidRPr="0013385D" w:rsidRDefault="00B9781F" w:rsidP="00B9781F">
      <w:pPr>
        <w:pStyle w:val="ListParagraph"/>
        <w:rPr>
          <w:rFonts w:asciiTheme="minorHAnsi" w:hAnsiTheme="minorHAnsi"/>
        </w:rPr>
      </w:pPr>
    </w:p>
    <w:p w14:paraId="3F076947" w14:textId="54E55B8B" w:rsidR="00FE5F3C" w:rsidRPr="0013385D" w:rsidRDefault="005B1D1C"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As to the appropriate approach where a court is required to specify </w:t>
      </w:r>
      <w:r w:rsidR="00FE5F3C" w:rsidRPr="0013385D">
        <w:rPr>
          <w:rFonts w:asciiTheme="minorHAnsi" w:hAnsiTheme="minorHAnsi"/>
        </w:rPr>
        <w:t xml:space="preserve">the reduction of a sentence for a guilty plea and </w:t>
      </w:r>
      <w:r w:rsidRPr="0013385D">
        <w:rPr>
          <w:rFonts w:asciiTheme="minorHAnsi" w:hAnsiTheme="minorHAnsi"/>
        </w:rPr>
        <w:t xml:space="preserve">is also required to specify </w:t>
      </w:r>
      <w:r w:rsidR="00FE5F3C" w:rsidRPr="0013385D">
        <w:rPr>
          <w:rFonts w:asciiTheme="minorHAnsi" w:hAnsiTheme="minorHAnsi"/>
        </w:rPr>
        <w:t xml:space="preserve">the reduction of </w:t>
      </w:r>
      <w:r w:rsidRPr="0013385D">
        <w:rPr>
          <w:rFonts w:asciiTheme="minorHAnsi" w:hAnsiTheme="minorHAnsi"/>
        </w:rPr>
        <w:t xml:space="preserve">a sentence for an undertaking to co-operate under s 16AC of the </w:t>
      </w:r>
      <w:r w:rsidR="00885EFD" w:rsidRPr="0013385D">
        <w:rPr>
          <w:rFonts w:asciiTheme="minorHAnsi" w:hAnsiTheme="minorHAnsi"/>
          <w:i/>
        </w:rPr>
        <w:t>Crimes Act 1914</w:t>
      </w:r>
      <w:r w:rsidRPr="0013385D">
        <w:rPr>
          <w:rFonts w:asciiTheme="minorHAnsi" w:hAnsiTheme="minorHAnsi"/>
        </w:rPr>
        <w:t>, see “</w:t>
      </w:r>
      <w:r w:rsidRPr="0013385D">
        <w:rPr>
          <w:rFonts w:asciiTheme="minorHAnsi" w:hAnsiTheme="minorHAnsi"/>
        </w:rPr>
        <w:fldChar w:fldCharType="begin"/>
      </w:r>
      <w:r w:rsidRPr="0013385D">
        <w:rPr>
          <w:rFonts w:asciiTheme="minorHAnsi" w:hAnsiTheme="minorHAnsi"/>
        </w:rPr>
        <w:instrText xml:space="preserve"> REF _Ref494293566 \r \h  \* MERGEFORMAT </w:instrText>
      </w:r>
      <w:r w:rsidRPr="0013385D">
        <w:rPr>
          <w:rFonts w:asciiTheme="minorHAnsi" w:hAnsiTheme="minorHAnsi"/>
        </w:rPr>
      </w:r>
      <w:r w:rsidRPr="0013385D">
        <w:rPr>
          <w:rFonts w:asciiTheme="minorHAnsi" w:hAnsiTheme="minorHAnsi"/>
        </w:rPr>
        <w:fldChar w:fldCharType="separate"/>
      </w:r>
      <w:r w:rsidR="00D44BCF">
        <w:rPr>
          <w:rFonts w:asciiTheme="minorHAnsi" w:hAnsiTheme="minorHAnsi"/>
        </w:rPr>
        <w:t>7.9</w:t>
      </w:r>
      <w:r w:rsidRPr="0013385D">
        <w:rPr>
          <w:rFonts w:asciiTheme="minorHAnsi" w:hAnsiTheme="minorHAnsi"/>
        </w:rPr>
        <w:fldChar w:fldCharType="end"/>
      </w:r>
      <w:r w:rsidRPr="0013385D">
        <w:rPr>
          <w:rFonts w:asciiTheme="minorHAnsi" w:hAnsiTheme="minorHAnsi"/>
        </w:rPr>
        <w:t xml:space="preserve"> </w:t>
      </w:r>
      <w:r w:rsidRPr="0013385D">
        <w:rPr>
          <w:rFonts w:asciiTheme="minorHAnsi" w:hAnsiTheme="minorHAnsi"/>
        </w:rPr>
        <w:fldChar w:fldCharType="begin"/>
      </w:r>
      <w:r w:rsidRPr="0013385D">
        <w:rPr>
          <w:rFonts w:asciiTheme="minorHAnsi" w:hAnsiTheme="minorHAnsi"/>
        </w:rPr>
        <w:instrText xml:space="preserve"> REF _Ref494293566 \h  \* MERGEFORMAT </w:instrText>
      </w:r>
      <w:r w:rsidRPr="0013385D">
        <w:rPr>
          <w:rFonts w:asciiTheme="minorHAnsi" w:hAnsiTheme="minorHAnsi"/>
        </w:rPr>
      </w:r>
      <w:r w:rsidRPr="0013385D">
        <w:rPr>
          <w:rFonts w:asciiTheme="minorHAnsi" w:hAnsiTheme="minorHAnsi"/>
        </w:rPr>
        <w:fldChar w:fldCharType="separate"/>
      </w:r>
      <w:r w:rsidR="00D44BCF" w:rsidRPr="00D44BCF">
        <w:rPr>
          <w:rFonts w:asciiTheme="minorHAnsi" w:hAnsiTheme="minorHAnsi"/>
        </w:rPr>
        <w:t>Interaction between sentencing discount for guilty plea and discount for undertaking to co-operate</w:t>
      </w:r>
      <w:r w:rsidRPr="0013385D">
        <w:rPr>
          <w:rFonts w:asciiTheme="minorHAnsi" w:hAnsiTheme="minorHAnsi"/>
        </w:rPr>
        <w:fldChar w:fldCharType="end"/>
      </w:r>
      <w:r w:rsidRPr="0013385D">
        <w:rPr>
          <w:rFonts w:asciiTheme="minorHAnsi" w:hAnsiTheme="minorHAnsi"/>
        </w:rPr>
        <w:t>”.</w:t>
      </w:r>
    </w:p>
    <w:p w14:paraId="1A5EA482" w14:textId="77777777" w:rsidR="00FE5F3C" w:rsidRPr="0013385D" w:rsidRDefault="00FE5F3C" w:rsidP="00FE5F3C">
      <w:pPr>
        <w:pStyle w:val="ListParagraph"/>
        <w:rPr>
          <w:rFonts w:asciiTheme="minorHAnsi" w:hAnsiTheme="minorHAnsi"/>
        </w:rPr>
      </w:pPr>
    </w:p>
    <w:p w14:paraId="526F49E4" w14:textId="76EB4F57" w:rsidR="00B9781F" w:rsidRPr="0013385D" w:rsidRDefault="00B9781F"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In the absence of a statutory requirement to do so, quantification of a discount </w:t>
      </w:r>
      <w:r w:rsidR="00A14FB8" w:rsidRPr="0013385D">
        <w:rPr>
          <w:rFonts w:asciiTheme="minorHAnsi" w:hAnsiTheme="minorHAnsi"/>
        </w:rPr>
        <w:t xml:space="preserve">for a plea of guilty </w:t>
      </w:r>
      <w:r w:rsidRPr="0013385D">
        <w:rPr>
          <w:rFonts w:asciiTheme="minorHAnsi" w:hAnsiTheme="minorHAnsi"/>
        </w:rPr>
        <w:t xml:space="preserve">has </w:t>
      </w:r>
      <w:r w:rsidR="00A17415" w:rsidRPr="0013385D">
        <w:rPr>
          <w:rFonts w:asciiTheme="minorHAnsi" w:hAnsiTheme="minorHAnsi"/>
        </w:rPr>
        <w:t>traditionally</w:t>
      </w:r>
      <w:r w:rsidRPr="0013385D">
        <w:rPr>
          <w:rFonts w:asciiTheme="minorHAnsi" w:hAnsiTheme="minorHAnsi"/>
        </w:rPr>
        <w:t xml:space="preserve"> been regarded as a departure from the preferred process of instinctive synthesis in sentencing.</w:t>
      </w:r>
      <w:r w:rsidR="003837C1" w:rsidRPr="0013385D">
        <w:rPr>
          <w:rFonts w:asciiTheme="minorHAnsi" w:hAnsiTheme="minorHAnsi"/>
        </w:rPr>
        <w:t xml:space="preserve">  Nevertheless appellate courts have held that to do so is not necessarily erroneous, and is </w:t>
      </w:r>
      <w:r w:rsidR="00FD0B95" w:rsidRPr="0013385D">
        <w:rPr>
          <w:rFonts w:asciiTheme="minorHAnsi" w:hAnsiTheme="minorHAnsi"/>
        </w:rPr>
        <w:t xml:space="preserve">often </w:t>
      </w:r>
      <w:r w:rsidR="003837C1" w:rsidRPr="0013385D">
        <w:rPr>
          <w:rFonts w:asciiTheme="minorHAnsi" w:hAnsiTheme="minorHAnsi"/>
        </w:rPr>
        <w:t xml:space="preserve">desirable.  </w:t>
      </w:r>
      <w:r w:rsidR="00F943A7" w:rsidRPr="0013385D">
        <w:rPr>
          <w:rFonts w:asciiTheme="minorHAnsi" w:hAnsiTheme="minorHAnsi"/>
        </w:rPr>
        <w:t>See “</w:t>
      </w:r>
      <w:r w:rsidR="00F943A7" w:rsidRPr="0013385D">
        <w:rPr>
          <w:rFonts w:asciiTheme="minorHAnsi" w:hAnsiTheme="minorHAnsi"/>
        </w:rPr>
        <w:fldChar w:fldCharType="begin"/>
      </w:r>
      <w:r w:rsidR="00F943A7" w:rsidRPr="0013385D">
        <w:rPr>
          <w:rFonts w:asciiTheme="minorHAnsi" w:hAnsiTheme="minorHAnsi"/>
        </w:rPr>
        <w:instrText xml:space="preserve"> REF _Ref495337739 \r \h </w:instrText>
      </w:r>
      <w:r w:rsidR="00266F5E" w:rsidRPr="0013385D">
        <w:rPr>
          <w:rFonts w:asciiTheme="minorHAnsi" w:hAnsiTheme="minorHAnsi"/>
        </w:rPr>
        <w:instrText xml:space="preserve"> \* MERGEFORMAT </w:instrText>
      </w:r>
      <w:r w:rsidR="00F943A7" w:rsidRPr="0013385D">
        <w:rPr>
          <w:rFonts w:asciiTheme="minorHAnsi" w:hAnsiTheme="minorHAnsi"/>
        </w:rPr>
      </w:r>
      <w:r w:rsidR="00F943A7" w:rsidRPr="0013385D">
        <w:rPr>
          <w:rFonts w:asciiTheme="minorHAnsi" w:hAnsiTheme="minorHAnsi"/>
        </w:rPr>
        <w:fldChar w:fldCharType="separate"/>
      </w:r>
      <w:r w:rsidR="00D44BCF">
        <w:rPr>
          <w:rFonts w:asciiTheme="minorHAnsi" w:hAnsiTheme="minorHAnsi"/>
        </w:rPr>
        <w:t>7.8</w:t>
      </w:r>
      <w:r w:rsidR="00F943A7" w:rsidRPr="0013385D">
        <w:rPr>
          <w:rFonts w:asciiTheme="minorHAnsi" w:hAnsiTheme="minorHAnsi"/>
        </w:rPr>
        <w:fldChar w:fldCharType="end"/>
      </w:r>
      <w:r w:rsidR="00F943A7" w:rsidRPr="0013385D">
        <w:rPr>
          <w:rFonts w:asciiTheme="minorHAnsi" w:hAnsiTheme="minorHAnsi"/>
        </w:rPr>
        <w:t xml:space="preserve"> </w:t>
      </w:r>
      <w:r w:rsidR="00F943A7" w:rsidRPr="0013385D">
        <w:rPr>
          <w:rFonts w:asciiTheme="minorHAnsi" w:hAnsiTheme="minorHAnsi"/>
        </w:rPr>
        <w:fldChar w:fldCharType="begin"/>
      </w:r>
      <w:r w:rsidR="00F943A7" w:rsidRPr="0013385D">
        <w:rPr>
          <w:rFonts w:asciiTheme="minorHAnsi" w:hAnsiTheme="minorHAnsi"/>
        </w:rPr>
        <w:instrText xml:space="preserve"> REF _Ref495337739 \h  \* MERGEFORMAT </w:instrText>
      </w:r>
      <w:r w:rsidR="00F943A7" w:rsidRPr="0013385D">
        <w:rPr>
          <w:rFonts w:asciiTheme="minorHAnsi" w:hAnsiTheme="minorHAnsi"/>
        </w:rPr>
      </w:r>
      <w:r w:rsidR="00F943A7" w:rsidRPr="0013385D">
        <w:rPr>
          <w:rFonts w:asciiTheme="minorHAnsi" w:hAnsiTheme="minorHAnsi"/>
        </w:rPr>
        <w:fldChar w:fldCharType="separate"/>
      </w:r>
      <w:r w:rsidR="00D44BCF" w:rsidRPr="00D44BCF">
        <w:rPr>
          <w:rFonts w:asciiTheme="minorHAnsi" w:hAnsiTheme="minorHAnsi"/>
        </w:rPr>
        <w:t>Specifying a discount for a guilty plea</w:t>
      </w:r>
      <w:r w:rsidR="00F943A7" w:rsidRPr="0013385D">
        <w:rPr>
          <w:rFonts w:asciiTheme="minorHAnsi" w:hAnsiTheme="minorHAnsi"/>
        </w:rPr>
        <w:fldChar w:fldCharType="end"/>
      </w:r>
      <w:r w:rsidR="00F943A7" w:rsidRPr="0013385D">
        <w:rPr>
          <w:rFonts w:asciiTheme="minorHAnsi" w:hAnsiTheme="minorHAnsi"/>
        </w:rPr>
        <w:t>”.</w:t>
      </w:r>
    </w:p>
    <w:p w14:paraId="6D7EFDA3" w14:textId="77777777" w:rsidR="00FE5F3C" w:rsidRPr="0013385D" w:rsidRDefault="00FE5F3C" w:rsidP="00FE5F3C">
      <w:pPr>
        <w:pStyle w:val="ListParagraph"/>
        <w:rPr>
          <w:rFonts w:asciiTheme="minorHAnsi" w:hAnsiTheme="minorHAnsi"/>
        </w:rPr>
      </w:pPr>
    </w:p>
    <w:p w14:paraId="5F7ED5F0" w14:textId="484E6BF8" w:rsidR="001E337B" w:rsidRPr="0013385D" w:rsidRDefault="00BA2B0B" w:rsidP="00C14A45">
      <w:pPr>
        <w:pStyle w:val="Heading3"/>
      </w:pPr>
      <w:bookmarkStart w:id="1430" w:name="_Ref11070392"/>
      <w:bookmarkStart w:id="1431" w:name="_Ref11070395"/>
      <w:bookmarkStart w:id="1432" w:name="_Toc33602794"/>
      <w:r w:rsidRPr="0013385D">
        <w:t>Co-operat</w:t>
      </w:r>
      <w:r w:rsidR="0013385D">
        <w:t>ion</w:t>
      </w:r>
      <w:r w:rsidRPr="0013385D">
        <w:t xml:space="preserve"> with law enforcement agencies (past </w:t>
      </w:r>
      <w:r w:rsidR="005314AC" w:rsidRPr="0013385D">
        <w:t>cooperation</w:t>
      </w:r>
      <w:r w:rsidRPr="0013385D">
        <w:t>) – s 16A(2)(h)</w:t>
      </w:r>
      <w:bookmarkEnd w:id="1430"/>
      <w:bookmarkEnd w:id="1431"/>
      <w:bookmarkEnd w:id="1432"/>
    </w:p>
    <w:p w14:paraId="1FE24D4D" w14:textId="77777777" w:rsidR="00F004F1" w:rsidRPr="0013385D" w:rsidRDefault="00F004F1" w:rsidP="00C14A45">
      <w:pPr>
        <w:keepNext/>
        <w:widowControl w:val="0"/>
        <w:spacing w:line="276" w:lineRule="auto"/>
        <w:ind w:left="567" w:right="170" w:hanging="567"/>
        <w:jc w:val="both"/>
        <w:rPr>
          <w:rFonts w:asciiTheme="minorHAnsi" w:hAnsiTheme="minorHAnsi"/>
          <w:b/>
          <w:u w:val="single"/>
        </w:rPr>
      </w:pPr>
    </w:p>
    <w:p w14:paraId="1A100A28" w14:textId="03FD0FB3" w:rsidR="00CA0601" w:rsidRPr="0013385D" w:rsidRDefault="008A3C3C" w:rsidP="00EB7F1E">
      <w:pPr>
        <w:pStyle w:val="ListParagraph"/>
        <w:numPr>
          <w:ilvl w:val="0"/>
          <w:numId w:val="7"/>
        </w:numPr>
        <w:spacing w:line="276" w:lineRule="auto"/>
        <w:ind w:left="425" w:hanging="425"/>
        <w:contextualSpacing w:val="0"/>
        <w:rPr>
          <w:rFonts w:asciiTheme="minorHAnsi" w:hAnsiTheme="minorHAnsi"/>
        </w:rPr>
      </w:pPr>
      <w:bookmarkStart w:id="1433" w:name="_Ref469664110"/>
      <w:r w:rsidRPr="0013385D">
        <w:rPr>
          <w:rFonts w:asciiTheme="minorHAnsi" w:hAnsiTheme="minorHAnsi"/>
        </w:rPr>
        <w:t>Under s 16A(2)(h), t</w:t>
      </w:r>
      <w:r w:rsidR="00CA0601" w:rsidRPr="0013385D">
        <w:rPr>
          <w:rFonts w:asciiTheme="minorHAnsi" w:hAnsiTheme="minorHAnsi"/>
        </w:rPr>
        <w:t xml:space="preserve">he degree to which the </w:t>
      </w:r>
      <w:r w:rsidRPr="0013385D">
        <w:rPr>
          <w:rFonts w:asciiTheme="minorHAnsi" w:hAnsiTheme="minorHAnsi"/>
        </w:rPr>
        <w:t>offender</w:t>
      </w:r>
      <w:r w:rsidR="00CA0601" w:rsidRPr="0013385D">
        <w:rPr>
          <w:rFonts w:asciiTheme="minorHAnsi" w:hAnsiTheme="minorHAnsi"/>
        </w:rPr>
        <w:t xml:space="preserve"> has co-operated with law enforcement agencies in the investigation of the offence or other offences must be taken into account.  The word “</w:t>
      </w:r>
      <w:r w:rsidR="00CA0601" w:rsidRPr="0013385D">
        <w:rPr>
          <w:rFonts w:asciiTheme="minorHAnsi" w:hAnsiTheme="minorHAnsi"/>
          <w:i/>
          <w:iCs/>
        </w:rPr>
        <w:t>offence</w:t>
      </w:r>
      <w:r w:rsidR="00CA0601" w:rsidRPr="0013385D">
        <w:rPr>
          <w:rFonts w:asciiTheme="minorHAnsi" w:hAnsiTheme="minorHAnsi"/>
        </w:rPr>
        <w:t xml:space="preserve">” is defined in s 16 of the </w:t>
      </w:r>
      <w:r w:rsidR="00885EFD" w:rsidRPr="0013385D">
        <w:rPr>
          <w:rFonts w:asciiTheme="minorHAnsi" w:hAnsiTheme="minorHAnsi"/>
          <w:i/>
        </w:rPr>
        <w:t>Crimes Act 1914</w:t>
      </w:r>
      <w:r w:rsidR="00CA0601" w:rsidRPr="0013385D">
        <w:rPr>
          <w:rFonts w:asciiTheme="minorHAnsi" w:hAnsiTheme="minorHAnsi"/>
          <w:i/>
        </w:rPr>
        <w:t xml:space="preserve"> </w:t>
      </w:r>
      <w:r w:rsidR="00CA0601" w:rsidRPr="0013385D">
        <w:rPr>
          <w:rFonts w:asciiTheme="minorHAnsi" w:hAnsiTheme="minorHAnsi"/>
        </w:rPr>
        <w:t xml:space="preserve">(Cth) to mean a federal, </w:t>
      </w:r>
      <w:r w:rsidR="007A7D5B" w:rsidRPr="0013385D">
        <w:rPr>
          <w:rFonts w:asciiTheme="minorHAnsi" w:hAnsiTheme="minorHAnsi"/>
        </w:rPr>
        <w:t>S</w:t>
      </w:r>
      <w:r w:rsidR="000B733F" w:rsidRPr="0013385D">
        <w:rPr>
          <w:rFonts w:asciiTheme="minorHAnsi" w:hAnsiTheme="minorHAnsi"/>
        </w:rPr>
        <w:t>tate</w:t>
      </w:r>
      <w:r w:rsidR="00CA0601" w:rsidRPr="0013385D">
        <w:rPr>
          <w:rFonts w:asciiTheme="minorHAnsi" w:hAnsiTheme="minorHAnsi"/>
        </w:rPr>
        <w:t xml:space="preserve"> or </w:t>
      </w:r>
      <w:r w:rsidR="007A7D5B" w:rsidRPr="0013385D">
        <w:rPr>
          <w:rFonts w:asciiTheme="minorHAnsi" w:hAnsiTheme="minorHAnsi"/>
        </w:rPr>
        <w:t>T</w:t>
      </w:r>
      <w:r w:rsidR="00CA0601" w:rsidRPr="0013385D">
        <w:rPr>
          <w:rFonts w:asciiTheme="minorHAnsi" w:hAnsiTheme="minorHAnsi"/>
        </w:rPr>
        <w:t>erritory offence.</w:t>
      </w:r>
    </w:p>
    <w:p w14:paraId="746262C4" w14:textId="77777777" w:rsidR="00CA0601" w:rsidRPr="0013385D" w:rsidRDefault="00CA0601" w:rsidP="00CA0601">
      <w:pPr>
        <w:pStyle w:val="ListParagraph"/>
        <w:widowControl w:val="0"/>
        <w:spacing w:line="276" w:lineRule="auto"/>
        <w:ind w:left="567" w:right="170" w:hanging="567"/>
        <w:rPr>
          <w:rFonts w:asciiTheme="minorHAnsi" w:hAnsiTheme="minorHAnsi"/>
        </w:rPr>
      </w:pPr>
    </w:p>
    <w:p w14:paraId="7843A58E" w14:textId="35269821" w:rsidR="00CA0601" w:rsidRPr="0013385D" w:rsidRDefault="0053432F"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The</w:t>
      </w:r>
      <w:r w:rsidR="00CA0601" w:rsidRPr="0013385D">
        <w:rPr>
          <w:rFonts w:asciiTheme="minorHAnsi" w:hAnsiTheme="minorHAnsi"/>
        </w:rPr>
        <w:t xml:space="preserve"> </w:t>
      </w:r>
      <w:r w:rsidR="00885EFD" w:rsidRPr="0013385D">
        <w:rPr>
          <w:rFonts w:asciiTheme="minorHAnsi" w:hAnsiTheme="minorHAnsi"/>
          <w:i/>
        </w:rPr>
        <w:t>Crimes Act 1914</w:t>
      </w:r>
      <w:r w:rsidR="00CA0601" w:rsidRPr="0013385D">
        <w:rPr>
          <w:rFonts w:asciiTheme="minorHAnsi" w:hAnsiTheme="minorHAnsi"/>
        </w:rPr>
        <w:t xml:space="preserve"> distinguishes between </w:t>
      </w:r>
      <w:r w:rsidRPr="0013385D">
        <w:rPr>
          <w:rFonts w:asciiTheme="minorHAnsi" w:hAnsiTheme="minorHAnsi"/>
        </w:rPr>
        <w:t xml:space="preserve">two types of cooperation </w:t>
      </w:r>
      <w:r w:rsidR="00ED463A" w:rsidRPr="0013385D">
        <w:rPr>
          <w:rFonts w:asciiTheme="minorHAnsi" w:hAnsiTheme="minorHAnsi"/>
        </w:rPr>
        <w:t xml:space="preserve">by the offender </w:t>
      </w:r>
      <w:r w:rsidRPr="0013385D">
        <w:rPr>
          <w:rFonts w:asciiTheme="minorHAnsi" w:hAnsiTheme="minorHAnsi"/>
        </w:rPr>
        <w:t>that can be relevant</w:t>
      </w:r>
      <w:r w:rsidR="00ED463A" w:rsidRPr="0013385D">
        <w:rPr>
          <w:rFonts w:asciiTheme="minorHAnsi" w:hAnsiTheme="minorHAnsi"/>
        </w:rPr>
        <w:t xml:space="preserve"> to sentencing</w:t>
      </w:r>
      <w:r w:rsidR="00CA0601" w:rsidRPr="0013385D">
        <w:rPr>
          <w:rFonts w:asciiTheme="minorHAnsi" w:hAnsiTheme="minorHAnsi"/>
        </w:rPr>
        <w:t>:</w:t>
      </w:r>
    </w:p>
    <w:p w14:paraId="7253FEF5" w14:textId="77777777" w:rsidR="00ED463A" w:rsidRPr="0013385D" w:rsidRDefault="00CA0601" w:rsidP="00EB7F1E">
      <w:pPr>
        <w:pStyle w:val="ListParagraph"/>
        <w:numPr>
          <w:ilvl w:val="1"/>
          <w:numId w:val="36"/>
        </w:numPr>
        <w:spacing w:line="276" w:lineRule="auto"/>
        <w:ind w:left="993" w:right="28" w:hanging="142"/>
        <w:rPr>
          <w:rFonts w:asciiTheme="minorHAnsi" w:hAnsiTheme="minorHAnsi"/>
        </w:rPr>
      </w:pPr>
      <w:r w:rsidRPr="0013385D">
        <w:rPr>
          <w:rFonts w:asciiTheme="minorHAnsi" w:hAnsiTheme="minorHAnsi"/>
          <w:i/>
        </w:rPr>
        <w:t>cooperation with law enforcement agencies in respect of relevant assistance already rendered prior to the imposition of sentence</w:t>
      </w:r>
      <w:r w:rsidRPr="0013385D">
        <w:rPr>
          <w:rFonts w:asciiTheme="minorHAnsi" w:hAnsiTheme="minorHAnsi"/>
        </w:rPr>
        <w:t xml:space="preserve"> (i.e. past cooperation)</w:t>
      </w:r>
      <w:r w:rsidR="00ED463A" w:rsidRPr="0013385D">
        <w:rPr>
          <w:rFonts w:asciiTheme="minorHAnsi" w:hAnsiTheme="minorHAnsi"/>
        </w:rPr>
        <w:t xml:space="preserve">; and </w:t>
      </w:r>
    </w:p>
    <w:p w14:paraId="046D686A" w14:textId="29970CC2" w:rsidR="00ED463A" w:rsidRPr="0013385D" w:rsidRDefault="00ED463A" w:rsidP="00EB7F1E">
      <w:pPr>
        <w:pStyle w:val="ListParagraph"/>
        <w:numPr>
          <w:ilvl w:val="1"/>
          <w:numId w:val="36"/>
        </w:numPr>
        <w:spacing w:line="276" w:lineRule="auto"/>
        <w:ind w:left="993" w:right="28" w:hanging="142"/>
        <w:rPr>
          <w:rFonts w:asciiTheme="minorHAnsi" w:hAnsiTheme="minorHAnsi"/>
        </w:rPr>
      </w:pPr>
      <w:r w:rsidRPr="0013385D">
        <w:rPr>
          <w:rFonts w:asciiTheme="minorHAnsi" w:hAnsiTheme="minorHAnsi"/>
          <w:i/>
        </w:rPr>
        <w:t>an undertaking by the offender to co-operate in future</w:t>
      </w:r>
      <w:r w:rsidR="008F70A2" w:rsidRPr="0013385D">
        <w:rPr>
          <w:rFonts w:asciiTheme="minorHAnsi" w:hAnsiTheme="minorHAnsi"/>
          <w:i/>
        </w:rPr>
        <w:t xml:space="preserve">, </w:t>
      </w:r>
      <w:r w:rsidR="008F70A2" w:rsidRPr="0013385D">
        <w:rPr>
          <w:rFonts w:asciiTheme="minorHAnsi" w:hAnsiTheme="minorHAnsi"/>
        </w:rPr>
        <w:t>including in confiscation proceedings</w:t>
      </w:r>
      <w:r w:rsidRPr="0013385D">
        <w:rPr>
          <w:rFonts w:asciiTheme="minorHAnsi" w:hAnsiTheme="minorHAnsi"/>
          <w:i/>
        </w:rPr>
        <w:t xml:space="preserve"> </w:t>
      </w:r>
      <w:r w:rsidRPr="0013385D">
        <w:rPr>
          <w:rFonts w:asciiTheme="minorHAnsi" w:hAnsiTheme="minorHAnsi"/>
        </w:rPr>
        <w:t>(future co-operation)</w:t>
      </w:r>
      <w:r w:rsidR="00CA0601" w:rsidRPr="0013385D">
        <w:rPr>
          <w:rFonts w:asciiTheme="minorHAnsi" w:hAnsiTheme="minorHAnsi"/>
        </w:rPr>
        <w:t>.</w:t>
      </w:r>
    </w:p>
    <w:p w14:paraId="52BCA964" w14:textId="77777777" w:rsidR="00ED463A" w:rsidRPr="0013385D" w:rsidRDefault="00ED463A" w:rsidP="00ED463A">
      <w:pPr>
        <w:spacing w:line="276" w:lineRule="auto"/>
        <w:ind w:right="170"/>
        <w:rPr>
          <w:rFonts w:asciiTheme="minorHAnsi" w:hAnsiTheme="minorHAnsi"/>
        </w:rPr>
      </w:pPr>
    </w:p>
    <w:p w14:paraId="47BC5924" w14:textId="36BD5143" w:rsidR="0053432F" w:rsidRPr="0013385D" w:rsidRDefault="0053432F"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S</w:t>
      </w:r>
      <w:r w:rsidR="00EE3292" w:rsidRPr="0013385D">
        <w:rPr>
          <w:rFonts w:asciiTheme="minorHAnsi" w:hAnsiTheme="minorHAnsi"/>
        </w:rPr>
        <w:t>ection</w:t>
      </w:r>
      <w:r w:rsidR="00120FF9" w:rsidRPr="0013385D">
        <w:rPr>
          <w:rFonts w:asciiTheme="minorHAnsi" w:hAnsiTheme="minorHAnsi"/>
        </w:rPr>
        <w:t xml:space="preserve"> </w:t>
      </w:r>
      <w:r w:rsidRPr="0013385D">
        <w:rPr>
          <w:rFonts w:asciiTheme="minorHAnsi" w:hAnsiTheme="minorHAnsi"/>
        </w:rPr>
        <w:t xml:space="preserve">16A(2)(h) deals with </w:t>
      </w:r>
      <w:r w:rsidRPr="0013385D">
        <w:rPr>
          <w:rFonts w:asciiTheme="minorHAnsi" w:hAnsiTheme="minorHAnsi"/>
          <w:i/>
        </w:rPr>
        <w:t xml:space="preserve">past </w:t>
      </w:r>
      <w:r w:rsidR="005314AC" w:rsidRPr="0013385D">
        <w:rPr>
          <w:rFonts w:asciiTheme="minorHAnsi" w:hAnsiTheme="minorHAnsi"/>
          <w:i/>
        </w:rPr>
        <w:t>cooperation</w:t>
      </w:r>
      <w:r w:rsidRPr="0013385D">
        <w:rPr>
          <w:rFonts w:asciiTheme="minorHAnsi" w:hAnsiTheme="minorHAnsi"/>
        </w:rPr>
        <w:t xml:space="preserve"> </w:t>
      </w:r>
      <w:r w:rsidR="002456C3" w:rsidRPr="0013385D">
        <w:rPr>
          <w:rFonts w:asciiTheme="minorHAnsi" w:hAnsiTheme="minorHAnsi"/>
        </w:rPr>
        <w:t xml:space="preserve">whereas </w:t>
      </w:r>
      <w:r w:rsidR="008A3C3C" w:rsidRPr="0013385D">
        <w:rPr>
          <w:rFonts w:asciiTheme="minorHAnsi" w:hAnsiTheme="minorHAnsi"/>
        </w:rPr>
        <w:t xml:space="preserve">promised </w:t>
      </w:r>
      <w:r w:rsidR="008A3C3C" w:rsidRPr="0013385D">
        <w:rPr>
          <w:rFonts w:asciiTheme="minorHAnsi" w:hAnsiTheme="minorHAnsi"/>
          <w:i/>
        </w:rPr>
        <w:t>future cooperation</w:t>
      </w:r>
      <w:r w:rsidR="008A3C3C" w:rsidRPr="0013385D">
        <w:rPr>
          <w:rFonts w:asciiTheme="minorHAnsi" w:hAnsiTheme="minorHAnsi"/>
        </w:rPr>
        <w:t xml:space="preserve"> is dealt with in </w:t>
      </w:r>
      <w:r w:rsidR="0041285E" w:rsidRPr="0013385D">
        <w:rPr>
          <w:rFonts w:asciiTheme="minorHAnsi" w:hAnsiTheme="minorHAnsi"/>
        </w:rPr>
        <w:t xml:space="preserve">s </w:t>
      </w:r>
      <w:r w:rsidR="0033248C" w:rsidRPr="0013385D">
        <w:rPr>
          <w:rFonts w:asciiTheme="minorHAnsi" w:hAnsiTheme="minorHAnsi"/>
        </w:rPr>
        <w:t>16AC</w:t>
      </w:r>
      <w:r w:rsidR="008F70A2" w:rsidRPr="0013385D">
        <w:rPr>
          <w:rStyle w:val="Style"/>
          <w:rFonts w:asciiTheme="minorHAnsi" w:hAnsiTheme="minorHAnsi"/>
        </w:rPr>
        <w:footnoteReference w:id="286"/>
      </w:r>
      <w:r w:rsidR="002456C3" w:rsidRPr="0013385D">
        <w:rPr>
          <w:rFonts w:asciiTheme="minorHAnsi" w:hAnsiTheme="minorHAnsi"/>
        </w:rPr>
        <w:t xml:space="preserve"> </w:t>
      </w:r>
      <w:r w:rsidR="00033E49" w:rsidRPr="0013385D">
        <w:rPr>
          <w:rFonts w:asciiTheme="minorHAnsi" w:hAnsiTheme="minorHAnsi"/>
        </w:rPr>
        <w:t xml:space="preserve">of the </w:t>
      </w:r>
      <w:r w:rsidR="00885EFD" w:rsidRPr="0013385D">
        <w:rPr>
          <w:rFonts w:asciiTheme="minorHAnsi" w:hAnsiTheme="minorHAnsi"/>
          <w:i/>
        </w:rPr>
        <w:t>Crimes Act 1914</w:t>
      </w:r>
      <w:r w:rsidR="00033E49" w:rsidRPr="0013385D">
        <w:rPr>
          <w:rFonts w:asciiTheme="minorHAnsi" w:hAnsiTheme="minorHAnsi"/>
        </w:rPr>
        <w:t xml:space="preserve"> (Cth)</w:t>
      </w:r>
      <w:r w:rsidRPr="0013385D">
        <w:rPr>
          <w:rFonts w:asciiTheme="minorHAnsi" w:hAnsiTheme="minorHAnsi"/>
        </w:rPr>
        <w:t>.</w:t>
      </w:r>
      <w:bookmarkEnd w:id="1433"/>
      <w:r w:rsidR="00137B4B" w:rsidRPr="0013385D">
        <w:rPr>
          <w:rFonts w:asciiTheme="minorHAnsi" w:hAnsiTheme="minorHAnsi"/>
        </w:rPr>
        <w:t xml:space="preserve">  For more detail about s 16AC, see “</w:t>
      </w:r>
      <w:r w:rsidR="00137B4B" w:rsidRPr="0013385D">
        <w:rPr>
          <w:rFonts w:asciiTheme="minorHAnsi" w:hAnsiTheme="minorHAnsi"/>
        </w:rPr>
        <w:fldChar w:fldCharType="begin"/>
      </w:r>
      <w:r w:rsidR="00137B4B" w:rsidRPr="0013385D">
        <w:rPr>
          <w:rFonts w:asciiTheme="minorHAnsi" w:hAnsiTheme="minorHAnsi"/>
        </w:rPr>
        <w:instrText xml:space="preserve"> REF _Ref494884223 \r \h  \* MERGEFORMAT </w:instrText>
      </w:r>
      <w:r w:rsidR="00137B4B" w:rsidRPr="0013385D">
        <w:rPr>
          <w:rFonts w:asciiTheme="minorHAnsi" w:hAnsiTheme="minorHAnsi"/>
        </w:rPr>
      </w:r>
      <w:r w:rsidR="00137B4B" w:rsidRPr="0013385D">
        <w:rPr>
          <w:rFonts w:asciiTheme="minorHAnsi" w:hAnsiTheme="minorHAnsi"/>
        </w:rPr>
        <w:fldChar w:fldCharType="separate"/>
      </w:r>
      <w:r w:rsidR="00D44BCF">
        <w:rPr>
          <w:rFonts w:asciiTheme="minorHAnsi" w:hAnsiTheme="minorHAnsi"/>
        </w:rPr>
        <w:t>7.7</w:t>
      </w:r>
      <w:r w:rsidR="00137B4B" w:rsidRPr="0013385D">
        <w:rPr>
          <w:rFonts w:asciiTheme="minorHAnsi" w:hAnsiTheme="minorHAnsi"/>
        </w:rPr>
        <w:fldChar w:fldCharType="end"/>
      </w:r>
      <w:r w:rsidR="00137B4B" w:rsidRPr="0013385D">
        <w:rPr>
          <w:rFonts w:asciiTheme="minorHAnsi" w:hAnsiTheme="minorHAnsi"/>
        </w:rPr>
        <w:t xml:space="preserve"> </w:t>
      </w:r>
      <w:r w:rsidR="00137B4B" w:rsidRPr="0013385D">
        <w:rPr>
          <w:rFonts w:asciiTheme="minorHAnsi" w:hAnsiTheme="minorHAnsi"/>
        </w:rPr>
        <w:fldChar w:fldCharType="begin"/>
      </w:r>
      <w:r w:rsidR="00137B4B" w:rsidRPr="0013385D">
        <w:rPr>
          <w:rFonts w:asciiTheme="minorHAnsi" w:hAnsiTheme="minorHAnsi"/>
        </w:rPr>
        <w:instrText xml:space="preserve"> REF _Ref494884223 \h  \* MERGEFORMAT </w:instrText>
      </w:r>
      <w:r w:rsidR="00137B4B" w:rsidRPr="0013385D">
        <w:rPr>
          <w:rFonts w:asciiTheme="minorHAnsi" w:hAnsiTheme="minorHAnsi"/>
        </w:rPr>
      </w:r>
      <w:r w:rsidR="00137B4B" w:rsidRPr="0013385D">
        <w:rPr>
          <w:rFonts w:asciiTheme="minorHAnsi" w:hAnsiTheme="minorHAnsi"/>
        </w:rPr>
        <w:fldChar w:fldCharType="separate"/>
      </w:r>
      <w:r w:rsidR="00D44BCF" w:rsidRPr="00D44BCF">
        <w:rPr>
          <w:rFonts w:asciiTheme="minorHAnsi" w:hAnsiTheme="minorHAnsi"/>
        </w:rPr>
        <w:t xml:space="preserve">Specifying a reduction for undertaking to co-operate in future - </w:t>
      </w:r>
      <w:r w:rsidR="00D44BCF" w:rsidRPr="00D44BCF">
        <w:rPr>
          <w:rFonts w:asciiTheme="minorHAnsi" w:hAnsiTheme="minorHAnsi"/>
          <w:i/>
        </w:rPr>
        <w:t>Crimes Act 1914</w:t>
      </w:r>
      <w:r w:rsidR="00D44BCF" w:rsidRPr="00D44BCF">
        <w:rPr>
          <w:rFonts w:asciiTheme="minorHAnsi" w:hAnsiTheme="minorHAnsi"/>
        </w:rPr>
        <w:t xml:space="preserve"> s 16AC</w:t>
      </w:r>
      <w:r w:rsidR="00137B4B" w:rsidRPr="0013385D">
        <w:rPr>
          <w:rFonts w:asciiTheme="minorHAnsi" w:hAnsiTheme="minorHAnsi"/>
        </w:rPr>
        <w:fldChar w:fldCharType="end"/>
      </w:r>
      <w:r w:rsidR="00137B4B" w:rsidRPr="0013385D">
        <w:rPr>
          <w:rFonts w:asciiTheme="minorHAnsi" w:hAnsiTheme="minorHAnsi"/>
        </w:rPr>
        <w:t xml:space="preserve">”. </w:t>
      </w:r>
    </w:p>
    <w:p w14:paraId="1FB48F93" w14:textId="77777777" w:rsidR="0033248C" w:rsidRPr="0013385D" w:rsidRDefault="0033248C" w:rsidP="007C11C2">
      <w:pPr>
        <w:pStyle w:val="ListParagraph"/>
        <w:widowControl w:val="0"/>
        <w:spacing w:line="276" w:lineRule="auto"/>
        <w:ind w:left="567" w:right="170" w:hanging="567"/>
        <w:rPr>
          <w:rFonts w:asciiTheme="minorHAnsi" w:hAnsiTheme="minorHAnsi"/>
        </w:rPr>
      </w:pPr>
    </w:p>
    <w:p w14:paraId="3B030E6B" w14:textId="038CB5F2" w:rsidR="00A82B33" w:rsidRPr="0013385D" w:rsidRDefault="008A3C3C"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The distinction between the two types of co-operation is important.  </w:t>
      </w:r>
      <w:r w:rsidRPr="0013385D">
        <w:rPr>
          <w:rFonts w:asciiTheme="minorHAnsi" w:hAnsiTheme="minorHAnsi"/>
          <w:i/>
        </w:rPr>
        <w:t>Past co-operation</w:t>
      </w:r>
      <w:r w:rsidRPr="0013385D">
        <w:rPr>
          <w:rFonts w:asciiTheme="minorHAnsi" w:hAnsiTheme="minorHAnsi"/>
        </w:rPr>
        <w:t xml:space="preserve"> (that is, prior to </w:t>
      </w:r>
      <w:r w:rsidR="00A71969" w:rsidRPr="0013385D">
        <w:rPr>
          <w:rFonts w:asciiTheme="minorHAnsi" w:hAnsiTheme="minorHAnsi"/>
        </w:rPr>
        <w:t>sentencing</w:t>
      </w:r>
      <w:r w:rsidRPr="0013385D">
        <w:rPr>
          <w:rFonts w:asciiTheme="minorHAnsi" w:hAnsiTheme="minorHAnsi"/>
        </w:rPr>
        <w:t xml:space="preserve">) is </w:t>
      </w:r>
      <w:r w:rsidR="00E56D6F" w:rsidRPr="0013385D">
        <w:rPr>
          <w:rFonts w:asciiTheme="minorHAnsi" w:hAnsiTheme="minorHAnsi"/>
        </w:rPr>
        <w:t>a matter to be considered as part of the</w:t>
      </w:r>
      <w:r w:rsidR="00A71969" w:rsidRPr="0013385D">
        <w:rPr>
          <w:rFonts w:asciiTheme="minorHAnsi" w:hAnsiTheme="minorHAnsi"/>
        </w:rPr>
        <w:t xml:space="preserve"> “instinctive synthesis” of all relevant matters</w:t>
      </w:r>
      <w:r w:rsidR="00E56D6F" w:rsidRPr="0013385D">
        <w:rPr>
          <w:rFonts w:asciiTheme="minorHAnsi" w:hAnsiTheme="minorHAnsi"/>
        </w:rPr>
        <w:t xml:space="preserve">.  Therefore the court is not required to identify the extent of the reduction of the sentence </w:t>
      </w:r>
      <w:r w:rsidR="00A71969" w:rsidRPr="0013385D">
        <w:rPr>
          <w:rFonts w:asciiTheme="minorHAnsi" w:hAnsiTheme="minorHAnsi"/>
        </w:rPr>
        <w:t>for cooperation provided to date.</w:t>
      </w:r>
      <w:r w:rsidR="00A71969" w:rsidRPr="0013385D">
        <w:rPr>
          <w:rStyle w:val="Style"/>
          <w:rFonts w:asciiTheme="minorHAnsi" w:hAnsiTheme="minorHAnsi"/>
        </w:rPr>
        <w:footnoteReference w:id="287"/>
      </w:r>
      <w:r w:rsidR="00A71969" w:rsidRPr="0013385D">
        <w:rPr>
          <w:rFonts w:asciiTheme="minorHAnsi" w:hAnsiTheme="minorHAnsi"/>
        </w:rPr>
        <w:t xml:space="preserve"> </w:t>
      </w:r>
      <w:r w:rsidR="00E56D6F" w:rsidRPr="0013385D">
        <w:rPr>
          <w:rFonts w:asciiTheme="minorHAnsi" w:hAnsiTheme="minorHAnsi"/>
        </w:rPr>
        <w:t xml:space="preserve"> By contrast, </w:t>
      </w:r>
      <w:r w:rsidR="00A71969" w:rsidRPr="0013385D">
        <w:rPr>
          <w:rFonts w:asciiTheme="minorHAnsi" w:hAnsiTheme="minorHAnsi"/>
          <w:i/>
        </w:rPr>
        <w:t>where the offender has given an undertaking to cooperate in future</w:t>
      </w:r>
      <w:r w:rsidR="00A71969" w:rsidRPr="0013385D">
        <w:rPr>
          <w:rFonts w:asciiTheme="minorHAnsi" w:hAnsiTheme="minorHAnsi"/>
        </w:rPr>
        <w:t>, the sentencing court is required by s 16AC of the Crimes Act to specify the</w:t>
      </w:r>
      <w:r w:rsidR="00A82B33" w:rsidRPr="0013385D">
        <w:rPr>
          <w:rFonts w:asciiTheme="minorHAnsi" w:hAnsiTheme="minorHAnsi"/>
        </w:rPr>
        <w:t xml:space="preserve"> sentence that would have been imposed but for the undertaking</w:t>
      </w:r>
      <w:r w:rsidR="00E56D6F" w:rsidRPr="0013385D">
        <w:rPr>
          <w:rFonts w:asciiTheme="minorHAnsi" w:hAnsiTheme="minorHAnsi"/>
        </w:rPr>
        <w:t>.</w:t>
      </w:r>
      <w:r w:rsidR="00E56D6F" w:rsidRPr="0013385D">
        <w:rPr>
          <w:rStyle w:val="Style"/>
          <w:rFonts w:asciiTheme="minorHAnsi" w:hAnsiTheme="minorHAnsi"/>
        </w:rPr>
        <w:footnoteReference w:id="288"/>
      </w:r>
      <w:r w:rsidR="00A82B33" w:rsidRPr="0013385D">
        <w:rPr>
          <w:rFonts w:asciiTheme="minorHAnsi" w:hAnsiTheme="minorHAnsi"/>
        </w:rPr>
        <w:t xml:space="preserve">  By this means, the extent of the sentence reduction provided by reason of the undertaking is made explicit.</w:t>
      </w:r>
    </w:p>
    <w:p w14:paraId="749BB69B" w14:textId="77777777" w:rsidR="00A82B33" w:rsidRPr="0013385D" w:rsidRDefault="00A82B33" w:rsidP="00A82B33">
      <w:pPr>
        <w:pStyle w:val="ListParagraph"/>
        <w:rPr>
          <w:rFonts w:asciiTheme="minorHAnsi" w:hAnsiTheme="minorHAnsi"/>
        </w:rPr>
      </w:pPr>
    </w:p>
    <w:p w14:paraId="470BCD28" w14:textId="048279ED" w:rsidR="00A71969" w:rsidRPr="0013385D" w:rsidRDefault="00A82B33"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The obligation to take into account past co-operation applies even if the sentencing court specifies a reduction </w:t>
      </w:r>
      <w:r w:rsidR="00FD1693" w:rsidRPr="0013385D">
        <w:rPr>
          <w:rFonts w:asciiTheme="minorHAnsi" w:hAnsiTheme="minorHAnsi"/>
        </w:rPr>
        <w:t xml:space="preserve">for future co-operation, </w:t>
      </w:r>
      <w:r w:rsidRPr="0013385D">
        <w:rPr>
          <w:rFonts w:asciiTheme="minorHAnsi" w:hAnsiTheme="minorHAnsi"/>
        </w:rPr>
        <w:t>in accordance with s 16AC.</w:t>
      </w:r>
      <w:r w:rsidR="00A71969" w:rsidRPr="0013385D">
        <w:rPr>
          <w:rFonts w:asciiTheme="minorHAnsi" w:hAnsiTheme="minorHAnsi"/>
        </w:rPr>
        <w:t xml:space="preserve"> </w:t>
      </w:r>
      <w:r w:rsidR="00E56D6F" w:rsidRPr="0013385D">
        <w:rPr>
          <w:rFonts w:asciiTheme="minorHAnsi" w:hAnsiTheme="minorHAnsi"/>
        </w:rPr>
        <w:t xml:space="preserve"> </w:t>
      </w:r>
      <w:r w:rsidRPr="0013385D">
        <w:rPr>
          <w:rFonts w:asciiTheme="minorHAnsi" w:hAnsiTheme="minorHAnsi"/>
        </w:rPr>
        <w:t xml:space="preserve">The sentencing court must have regard to </w:t>
      </w:r>
      <w:r w:rsidR="00FD1693" w:rsidRPr="0013385D">
        <w:rPr>
          <w:rFonts w:asciiTheme="minorHAnsi" w:hAnsiTheme="minorHAnsi"/>
        </w:rPr>
        <w:t xml:space="preserve">both matters </w:t>
      </w:r>
      <w:r w:rsidR="00137B4B" w:rsidRPr="0013385D">
        <w:rPr>
          <w:rFonts w:asciiTheme="minorHAnsi" w:hAnsiTheme="minorHAnsi"/>
        </w:rPr>
        <w:t xml:space="preserve">(if applicable) </w:t>
      </w:r>
      <w:r w:rsidR="00FD1693" w:rsidRPr="0013385D">
        <w:rPr>
          <w:rFonts w:asciiTheme="minorHAnsi" w:hAnsiTheme="minorHAnsi"/>
        </w:rPr>
        <w:t>in determining the sentence, although the extent of the reduction for past co-operation need not be specified.</w:t>
      </w:r>
      <w:r w:rsidR="00FD1693" w:rsidRPr="0013385D">
        <w:rPr>
          <w:rStyle w:val="Style"/>
          <w:rFonts w:asciiTheme="minorHAnsi" w:hAnsiTheme="minorHAnsi"/>
        </w:rPr>
        <w:footnoteReference w:id="289"/>
      </w:r>
    </w:p>
    <w:p w14:paraId="1DC42792" w14:textId="11A6573D" w:rsidR="00A24D37" w:rsidRPr="0013385D" w:rsidRDefault="00A24D37" w:rsidP="00A71969">
      <w:pPr>
        <w:widowControl w:val="0"/>
        <w:spacing w:line="276" w:lineRule="auto"/>
        <w:ind w:left="567" w:right="170" w:hanging="567"/>
        <w:jc w:val="both"/>
        <w:rPr>
          <w:rFonts w:asciiTheme="minorHAnsi" w:hAnsiTheme="minorHAnsi"/>
        </w:rPr>
      </w:pPr>
    </w:p>
    <w:p w14:paraId="351A14C7" w14:textId="309A114F" w:rsidR="009A594C" w:rsidRPr="0013385D" w:rsidRDefault="00D94FE8" w:rsidP="00EB7F1E">
      <w:pPr>
        <w:pStyle w:val="ListParagraph"/>
        <w:numPr>
          <w:ilvl w:val="0"/>
          <w:numId w:val="7"/>
        </w:numPr>
        <w:spacing w:line="276" w:lineRule="auto"/>
        <w:ind w:left="425" w:hanging="425"/>
        <w:contextualSpacing w:val="0"/>
        <w:rPr>
          <w:rFonts w:asciiTheme="minorHAnsi" w:hAnsiTheme="minorHAnsi"/>
        </w:rPr>
      </w:pPr>
      <w:r w:rsidRPr="0013385D">
        <w:rPr>
          <w:rFonts w:asciiTheme="minorHAnsi" w:hAnsiTheme="minorHAnsi"/>
        </w:rPr>
        <w:t xml:space="preserve">The following </w:t>
      </w:r>
      <w:r w:rsidR="0053432F" w:rsidRPr="0013385D">
        <w:rPr>
          <w:rFonts w:asciiTheme="minorHAnsi" w:hAnsiTheme="minorHAnsi"/>
        </w:rPr>
        <w:t xml:space="preserve">general principles </w:t>
      </w:r>
      <w:r w:rsidRPr="0013385D">
        <w:rPr>
          <w:rFonts w:asciiTheme="minorHAnsi" w:hAnsiTheme="minorHAnsi"/>
        </w:rPr>
        <w:t xml:space="preserve">in relation to </w:t>
      </w:r>
      <w:r w:rsidR="0053432F" w:rsidRPr="0013385D">
        <w:rPr>
          <w:rFonts w:asciiTheme="minorHAnsi" w:hAnsiTheme="minorHAnsi"/>
        </w:rPr>
        <w:t xml:space="preserve">the sentencing discount to be given for assistance provided to the authorities </w:t>
      </w:r>
      <w:r w:rsidRPr="0013385D">
        <w:rPr>
          <w:rFonts w:asciiTheme="minorHAnsi" w:hAnsiTheme="minorHAnsi"/>
        </w:rPr>
        <w:t>can be gleaned from the decision of</w:t>
      </w:r>
      <w:r w:rsidR="0053432F" w:rsidRPr="0013385D">
        <w:rPr>
          <w:rFonts w:asciiTheme="minorHAnsi" w:hAnsiTheme="minorHAnsi"/>
        </w:rPr>
        <w:t xml:space="preserve"> the New South Wales Court of Criminal Appeal in </w:t>
      </w:r>
      <w:r w:rsidR="0053432F" w:rsidRPr="0013385D">
        <w:rPr>
          <w:rFonts w:asciiTheme="minorHAnsi" w:hAnsiTheme="minorHAnsi"/>
          <w:i/>
        </w:rPr>
        <w:t>Cartwright</w:t>
      </w:r>
      <w:r w:rsidR="0053432F" w:rsidRPr="0013385D">
        <w:rPr>
          <w:rStyle w:val="Style"/>
          <w:rFonts w:asciiTheme="minorHAnsi" w:hAnsiTheme="minorHAnsi"/>
        </w:rPr>
        <w:footnoteReference w:id="290"/>
      </w:r>
      <w:r w:rsidR="0053432F" w:rsidRPr="0013385D">
        <w:rPr>
          <w:rFonts w:asciiTheme="minorHAnsi" w:hAnsiTheme="minorHAnsi"/>
        </w:rPr>
        <w:t xml:space="preserve"> </w:t>
      </w:r>
      <w:r w:rsidRPr="0013385D">
        <w:rPr>
          <w:rFonts w:asciiTheme="minorHAnsi" w:hAnsiTheme="minorHAnsi"/>
        </w:rPr>
        <w:t>and from other authorities</w:t>
      </w:r>
      <w:r w:rsidR="002456C3" w:rsidRPr="0013385D">
        <w:rPr>
          <w:rFonts w:asciiTheme="minorHAnsi" w:hAnsiTheme="minorHAnsi"/>
        </w:rPr>
        <w:t>:</w:t>
      </w:r>
    </w:p>
    <w:p w14:paraId="4169A050" w14:textId="454988EE" w:rsidR="004F0741" w:rsidRPr="0013385D" w:rsidRDefault="0068460D">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It </w:t>
      </w:r>
      <w:r w:rsidR="004F0741" w:rsidRPr="0013385D">
        <w:rPr>
          <w:rFonts w:asciiTheme="minorHAnsi" w:hAnsiTheme="minorHAnsi"/>
        </w:rPr>
        <w:t>is in the public interest that criminals with information about the activities of other criminals with whom they are associated should be encouraged to give information to the police</w:t>
      </w:r>
      <w:r w:rsidR="00D2281F" w:rsidRPr="0013385D">
        <w:rPr>
          <w:rFonts w:asciiTheme="minorHAnsi" w:hAnsiTheme="minorHAnsi"/>
        </w:rPr>
        <w:t>.</w:t>
      </w:r>
      <w:r w:rsidR="00D2281F" w:rsidRPr="0013385D">
        <w:rPr>
          <w:rStyle w:val="Style"/>
          <w:rFonts w:asciiTheme="minorHAnsi" w:hAnsiTheme="minorHAnsi"/>
        </w:rPr>
        <w:footnoteReference w:id="291"/>
      </w:r>
    </w:p>
    <w:p w14:paraId="474C3702" w14:textId="3347E789" w:rsidR="004F0741" w:rsidRPr="0013385D" w:rsidRDefault="0068460D">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It </w:t>
      </w:r>
      <w:r w:rsidR="004F0741" w:rsidRPr="0013385D">
        <w:rPr>
          <w:rFonts w:asciiTheme="minorHAnsi" w:hAnsiTheme="minorHAnsi"/>
        </w:rPr>
        <w:t>is in the public interest that criminals should be persuaded not to trust one another and discounting the sentence of a person who provides such assistance facilitates such distrust</w:t>
      </w:r>
      <w:r w:rsidRPr="0013385D">
        <w:rPr>
          <w:rFonts w:asciiTheme="minorHAnsi" w:hAnsiTheme="minorHAnsi"/>
        </w:rPr>
        <w:t>.</w:t>
      </w:r>
      <w:r w:rsidRPr="0013385D">
        <w:rPr>
          <w:rStyle w:val="Style"/>
          <w:rFonts w:asciiTheme="minorHAnsi" w:hAnsiTheme="minorHAnsi"/>
        </w:rPr>
        <w:footnoteReference w:id="292"/>
      </w:r>
    </w:p>
    <w:p w14:paraId="55AF4F94" w14:textId="18312B2D" w:rsidR="004F0741" w:rsidRPr="0013385D" w:rsidRDefault="0068460D">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Leniency </w:t>
      </w:r>
      <w:r w:rsidR="004F0741" w:rsidRPr="0013385D">
        <w:rPr>
          <w:rFonts w:asciiTheme="minorHAnsi" w:hAnsiTheme="minorHAnsi"/>
        </w:rPr>
        <w:t>through a discount for assistance to police marks, or rewards, the good inherent in the conduct of the provider of the assistance</w:t>
      </w:r>
      <w:r w:rsidRPr="0013385D">
        <w:rPr>
          <w:rFonts w:asciiTheme="minorHAnsi" w:hAnsiTheme="minorHAnsi"/>
        </w:rPr>
        <w:t>.</w:t>
      </w:r>
      <w:r w:rsidRPr="0013385D">
        <w:rPr>
          <w:rStyle w:val="Style"/>
          <w:rFonts w:asciiTheme="minorHAnsi" w:hAnsiTheme="minorHAnsi"/>
        </w:rPr>
        <w:footnoteReference w:id="293"/>
      </w:r>
    </w:p>
    <w:p w14:paraId="0E77B2D5" w14:textId="4B5657CF" w:rsidR="001F3ED6" w:rsidRPr="0013385D" w:rsidRDefault="001F3ED6" w:rsidP="001F3ED6">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There is no standard discount; the assessment of an appropriate discount cannot be approached in a mechanical or mathematical way.</w:t>
      </w:r>
      <w:r w:rsidRPr="0013385D">
        <w:rPr>
          <w:rStyle w:val="Style"/>
          <w:rFonts w:asciiTheme="minorHAnsi" w:hAnsiTheme="minorHAnsi"/>
        </w:rPr>
        <w:footnoteReference w:id="294"/>
      </w:r>
    </w:p>
    <w:p w14:paraId="472632EF" w14:textId="77777777" w:rsidR="009E228D" w:rsidRPr="0013385D" w:rsidRDefault="00905532">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The weight to be given to the cooperation must be determined by having regard to all the circumstances of the case.</w:t>
      </w:r>
      <w:r w:rsidRPr="0013385D">
        <w:rPr>
          <w:rStyle w:val="Style"/>
          <w:rFonts w:asciiTheme="minorHAnsi" w:hAnsiTheme="minorHAnsi"/>
        </w:rPr>
        <w:footnoteReference w:id="295"/>
      </w:r>
      <w:r w:rsidR="009E228D" w:rsidRPr="0013385D">
        <w:rPr>
          <w:rFonts w:ascii="Calibri" w:hAnsi="Calibri"/>
        </w:rPr>
        <w:t xml:space="preserve"> </w:t>
      </w:r>
    </w:p>
    <w:p w14:paraId="2D6373F5" w14:textId="3B10BCC3" w:rsidR="00157353" w:rsidRPr="0013385D" w:rsidRDefault="0068460D">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Assistance </w:t>
      </w:r>
      <w:r w:rsidR="009E228D" w:rsidRPr="0013385D">
        <w:rPr>
          <w:rFonts w:asciiTheme="minorHAnsi" w:hAnsiTheme="minorHAnsi"/>
        </w:rPr>
        <w:t>to authorities may overlap with other mitigating factors, including a plea of guilty and an expression of remorse or contrition, as these matters are often part of a complex of inter-related considerations</w:t>
      </w:r>
      <w:r w:rsidRPr="0013385D">
        <w:rPr>
          <w:rFonts w:asciiTheme="minorHAnsi" w:hAnsiTheme="minorHAnsi"/>
        </w:rPr>
        <w:t>.</w:t>
      </w:r>
      <w:r w:rsidRPr="0013385D">
        <w:rPr>
          <w:rStyle w:val="Style"/>
          <w:rFonts w:asciiTheme="minorHAnsi" w:hAnsiTheme="minorHAnsi"/>
        </w:rPr>
        <w:footnoteReference w:id="296"/>
      </w:r>
    </w:p>
    <w:p w14:paraId="4B6954B7" w14:textId="08458CCF" w:rsidR="00566C7B" w:rsidRPr="0013385D" w:rsidRDefault="0068460D" w:rsidP="00EB7F1E">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The </w:t>
      </w:r>
      <w:r w:rsidR="00566C7B" w:rsidRPr="0013385D">
        <w:rPr>
          <w:rFonts w:asciiTheme="minorHAnsi" w:hAnsiTheme="minorHAnsi"/>
        </w:rPr>
        <w:t>application of a discount for assistance should not result in the imposition of a sentence which is so lenient that it would be disproportionate to the objective gravity of a particular offence and the circumstances of a particular offender.</w:t>
      </w:r>
      <w:r w:rsidRPr="0013385D">
        <w:rPr>
          <w:rStyle w:val="Style"/>
          <w:rFonts w:asciiTheme="minorHAnsi" w:hAnsiTheme="minorHAnsi"/>
        </w:rPr>
        <w:footnoteReference w:id="297"/>
      </w:r>
      <w:r w:rsidR="00F140A3" w:rsidRPr="0013385D">
        <w:rPr>
          <w:rFonts w:asciiTheme="minorHAnsi" w:hAnsiTheme="minorHAnsi"/>
        </w:rPr>
        <w:t xml:space="preserve">  </w:t>
      </w:r>
      <w:r w:rsidR="009E228D" w:rsidRPr="0013385D">
        <w:rPr>
          <w:rFonts w:asciiTheme="minorHAnsi" w:hAnsiTheme="minorHAnsi"/>
        </w:rPr>
        <w:t xml:space="preserve">The overriding obligation </w:t>
      </w:r>
      <w:r w:rsidRPr="0013385D">
        <w:rPr>
          <w:rFonts w:asciiTheme="minorHAnsi" w:hAnsiTheme="minorHAnsi"/>
        </w:rPr>
        <w:t xml:space="preserve">is always </w:t>
      </w:r>
      <w:r w:rsidR="009E228D" w:rsidRPr="0013385D">
        <w:rPr>
          <w:rFonts w:asciiTheme="minorHAnsi" w:hAnsiTheme="minorHAnsi"/>
        </w:rPr>
        <w:t xml:space="preserve">to impose a sentence </w:t>
      </w:r>
      <w:r w:rsidRPr="0013385D">
        <w:rPr>
          <w:rFonts w:asciiTheme="minorHAnsi" w:hAnsiTheme="minorHAnsi"/>
        </w:rPr>
        <w:t>or make an order that is of a severity appropriate in all the circumstances of the offence (</w:t>
      </w:r>
      <w:r w:rsidRPr="0013385D">
        <w:rPr>
          <w:rFonts w:asciiTheme="minorHAnsi" w:hAnsiTheme="minorHAnsi"/>
          <w:i/>
          <w:iCs/>
        </w:rPr>
        <w:t>Crimes Act 1914</w:t>
      </w:r>
      <w:r w:rsidRPr="0013385D">
        <w:rPr>
          <w:rFonts w:asciiTheme="minorHAnsi" w:hAnsiTheme="minorHAnsi"/>
        </w:rPr>
        <w:t xml:space="preserve"> (Cth), s 16A(1)).</w:t>
      </w:r>
    </w:p>
    <w:p w14:paraId="36E26760" w14:textId="77777777" w:rsidR="007B593F" w:rsidRPr="0013385D" w:rsidRDefault="00157353">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The discount to be given to a “true informer” may be considerable,</w:t>
      </w:r>
      <w:r w:rsidRPr="0013385D">
        <w:rPr>
          <w:rStyle w:val="Style"/>
          <w:rFonts w:asciiTheme="minorHAnsi" w:hAnsiTheme="minorHAnsi"/>
        </w:rPr>
        <w:footnoteReference w:id="298"/>
      </w:r>
      <w:r w:rsidRPr="0013385D">
        <w:rPr>
          <w:rFonts w:asciiTheme="minorHAnsi" w:hAnsiTheme="minorHAnsi"/>
        </w:rPr>
        <w:t xml:space="preserve"> but the weight to be given depends on the facts and must be balanced against other considerations including the seriousness of the offending and any circumstances of aggravation.</w:t>
      </w:r>
      <w:r w:rsidRPr="0013385D">
        <w:rPr>
          <w:rStyle w:val="Style"/>
          <w:rFonts w:asciiTheme="minorHAnsi" w:hAnsiTheme="minorHAnsi"/>
        </w:rPr>
        <w:footnoteReference w:id="299"/>
      </w:r>
      <w:r w:rsidR="007B593F" w:rsidRPr="0013385D">
        <w:rPr>
          <w:rFonts w:ascii="Calibri" w:hAnsi="Calibri"/>
        </w:rPr>
        <w:t xml:space="preserve"> </w:t>
      </w:r>
    </w:p>
    <w:p w14:paraId="4BC64E77" w14:textId="77777777" w:rsidR="004209E7" w:rsidRPr="0013385D" w:rsidRDefault="004209E7" w:rsidP="004209E7">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The assistance may concern an unrelated offence.</w:t>
      </w:r>
      <w:r w:rsidRPr="0013385D">
        <w:rPr>
          <w:rStyle w:val="Style"/>
          <w:rFonts w:asciiTheme="minorHAnsi" w:hAnsiTheme="minorHAnsi"/>
        </w:rPr>
        <w:footnoteReference w:id="300"/>
      </w:r>
    </w:p>
    <w:p w14:paraId="6ECC4906" w14:textId="5C1034DE" w:rsidR="000B314F" w:rsidRPr="0013385D" w:rsidRDefault="000B314F" w:rsidP="000B314F">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A discount could not be accorded if no cooperation was given, regardless of how much the particular prisoner may have been prepared to co-operate if able to do so.</w:t>
      </w:r>
      <w:r w:rsidRPr="0013385D">
        <w:rPr>
          <w:rStyle w:val="Style"/>
          <w:rFonts w:asciiTheme="minorHAnsi" w:hAnsiTheme="minorHAnsi"/>
        </w:rPr>
        <w:footnoteReference w:id="301"/>
      </w:r>
    </w:p>
    <w:p w14:paraId="3C18BC21" w14:textId="0E376D0F" w:rsidR="004209E7" w:rsidRPr="0013385D" w:rsidRDefault="00D2281F" w:rsidP="00EB7F1E">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Assistance actually </w:t>
      </w:r>
      <w:r w:rsidR="0036474B" w:rsidRPr="0013385D">
        <w:rPr>
          <w:rFonts w:asciiTheme="minorHAnsi" w:hAnsiTheme="minorHAnsi"/>
        </w:rPr>
        <w:t xml:space="preserve">rendered, for example by entrapping co-offenders or giving </w:t>
      </w:r>
      <w:r w:rsidRPr="0013385D">
        <w:rPr>
          <w:rFonts w:asciiTheme="minorHAnsi" w:hAnsiTheme="minorHAnsi"/>
        </w:rPr>
        <w:t>evidence</w:t>
      </w:r>
      <w:r w:rsidR="0036474B" w:rsidRPr="0013385D">
        <w:rPr>
          <w:rFonts w:asciiTheme="minorHAnsi" w:hAnsiTheme="minorHAnsi"/>
        </w:rPr>
        <w:t>,</w:t>
      </w:r>
      <w:r w:rsidRPr="0013385D">
        <w:rPr>
          <w:rFonts w:asciiTheme="minorHAnsi" w:hAnsiTheme="minorHAnsi"/>
        </w:rPr>
        <w:t xml:space="preserve"> </w:t>
      </w:r>
      <w:r w:rsidR="006263E7" w:rsidRPr="0013385D">
        <w:rPr>
          <w:rFonts w:asciiTheme="minorHAnsi" w:hAnsiTheme="minorHAnsi"/>
        </w:rPr>
        <w:t>has a</w:t>
      </w:r>
      <w:r w:rsidR="004209E7" w:rsidRPr="0013385D">
        <w:rPr>
          <w:rFonts w:asciiTheme="minorHAnsi" w:hAnsiTheme="minorHAnsi"/>
        </w:rPr>
        <w:t xml:space="preserve"> stronger claim than assistance which an offender was prepared to </w:t>
      </w:r>
      <w:r w:rsidR="0036474B" w:rsidRPr="0013385D">
        <w:rPr>
          <w:rFonts w:asciiTheme="minorHAnsi" w:hAnsiTheme="minorHAnsi"/>
        </w:rPr>
        <w:t xml:space="preserve">give </w:t>
      </w:r>
      <w:r w:rsidR="004209E7" w:rsidRPr="0013385D">
        <w:rPr>
          <w:rFonts w:asciiTheme="minorHAnsi" w:hAnsiTheme="minorHAnsi"/>
        </w:rPr>
        <w:t>but was not called upon to give.</w:t>
      </w:r>
      <w:r w:rsidR="006263E7" w:rsidRPr="0013385D">
        <w:rPr>
          <w:rStyle w:val="Style"/>
          <w:rFonts w:asciiTheme="minorHAnsi" w:hAnsiTheme="minorHAnsi"/>
        </w:rPr>
        <w:footnoteReference w:id="302"/>
      </w:r>
    </w:p>
    <w:p w14:paraId="4A9F9A7B" w14:textId="022C005B" w:rsidR="004209E7" w:rsidRPr="0013385D" w:rsidRDefault="009E228D" w:rsidP="004209E7">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However</w:t>
      </w:r>
      <w:r w:rsidR="000C675E" w:rsidRPr="0013385D">
        <w:rPr>
          <w:rFonts w:asciiTheme="minorHAnsi" w:hAnsiTheme="minorHAnsi"/>
        </w:rPr>
        <w:t>, if the offender actually provides cooperation,</w:t>
      </w:r>
      <w:r w:rsidRPr="0013385D">
        <w:rPr>
          <w:rFonts w:asciiTheme="minorHAnsi" w:hAnsiTheme="minorHAnsi"/>
        </w:rPr>
        <w:t xml:space="preserve"> t</w:t>
      </w:r>
      <w:r w:rsidR="004209E7" w:rsidRPr="0013385D">
        <w:rPr>
          <w:rFonts w:asciiTheme="minorHAnsi" w:hAnsiTheme="minorHAnsi"/>
        </w:rPr>
        <w:t>he weight given to the offender</w:t>
      </w:r>
      <w:r w:rsidR="00AA693C" w:rsidRPr="0013385D">
        <w:rPr>
          <w:rFonts w:asciiTheme="minorHAnsi" w:hAnsiTheme="minorHAnsi"/>
        </w:rPr>
        <w:t>’</w:t>
      </w:r>
      <w:r w:rsidR="004209E7" w:rsidRPr="0013385D">
        <w:rPr>
          <w:rFonts w:asciiTheme="minorHAnsi" w:hAnsiTheme="minorHAnsi"/>
        </w:rPr>
        <w:t>s cooperation should not be reduced merely because the offender was not ultimately required to give evidence, for example because the person about whom the information was provided pleaded guilty</w:t>
      </w:r>
      <w:r w:rsidR="004209E7" w:rsidRPr="0013385D">
        <w:rPr>
          <w:rStyle w:val="Style"/>
          <w:rFonts w:asciiTheme="minorHAnsi" w:hAnsiTheme="minorHAnsi"/>
        </w:rPr>
        <w:footnoteReference w:id="303"/>
      </w:r>
      <w:r w:rsidR="004209E7" w:rsidRPr="0013385D">
        <w:rPr>
          <w:rFonts w:asciiTheme="minorHAnsi" w:hAnsiTheme="minorHAnsi"/>
        </w:rPr>
        <w:t xml:space="preserve"> or because more cogent evidence from another source emerged.</w:t>
      </w:r>
      <w:r w:rsidR="004209E7" w:rsidRPr="0013385D">
        <w:rPr>
          <w:rStyle w:val="Style"/>
          <w:rFonts w:asciiTheme="minorHAnsi" w:hAnsiTheme="minorHAnsi"/>
        </w:rPr>
        <w:footnoteReference w:id="304"/>
      </w:r>
    </w:p>
    <w:p w14:paraId="3EDA1897" w14:textId="77777777" w:rsidR="00F614A3" w:rsidRPr="0013385D" w:rsidRDefault="00F614A3" w:rsidP="00F614A3">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If the offered assistance is genuine, but has little or no practical value, it may still be relevant as an indication of contrition (s 16A(2)(g)).</w:t>
      </w:r>
      <w:r w:rsidRPr="0013385D">
        <w:rPr>
          <w:rStyle w:val="Style"/>
          <w:rFonts w:asciiTheme="minorHAnsi" w:hAnsiTheme="minorHAnsi"/>
        </w:rPr>
        <w:footnoteReference w:id="305"/>
      </w:r>
    </w:p>
    <w:p w14:paraId="3F525EB7" w14:textId="77777777" w:rsidR="000B314F" w:rsidRPr="0013385D" w:rsidRDefault="000B314F" w:rsidP="000B314F">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Where information and cooperation is identifiable, it must be of such a nature that it could significantly assist authorities.</w:t>
      </w:r>
      <w:r w:rsidRPr="0013385D">
        <w:rPr>
          <w:rStyle w:val="Style"/>
          <w:rFonts w:asciiTheme="minorHAnsi" w:hAnsiTheme="minorHAnsi"/>
        </w:rPr>
        <w:footnoteReference w:id="306"/>
      </w:r>
    </w:p>
    <w:p w14:paraId="1B44A211" w14:textId="14ED8CBE" w:rsidR="000B314F" w:rsidRPr="0013385D" w:rsidRDefault="000B314F" w:rsidP="000B314F">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The utility or effectiveness of the information provided is </w:t>
      </w:r>
      <w:r w:rsidR="00290739" w:rsidRPr="0013385D">
        <w:rPr>
          <w:rFonts w:asciiTheme="minorHAnsi" w:hAnsiTheme="minorHAnsi"/>
        </w:rPr>
        <w:t>an important</w:t>
      </w:r>
      <w:r w:rsidR="0087037A" w:rsidRPr="0013385D">
        <w:rPr>
          <w:rFonts w:asciiTheme="minorHAnsi" w:hAnsiTheme="minorHAnsi"/>
        </w:rPr>
        <w:t xml:space="preserve"> factor to be taken into account</w:t>
      </w:r>
      <w:r w:rsidRPr="0013385D">
        <w:rPr>
          <w:rFonts w:asciiTheme="minorHAnsi" w:hAnsiTheme="minorHAnsi"/>
        </w:rPr>
        <w:t>.</w:t>
      </w:r>
      <w:r w:rsidRPr="0013385D">
        <w:rPr>
          <w:rStyle w:val="Style"/>
          <w:rFonts w:asciiTheme="minorHAnsi" w:hAnsiTheme="minorHAnsi"/>
        </w:rPr>
        <w:footnoteReference w:id="307"/>
      </w:r>
    </w:p>
    <w:p w14:paraId="4F68AD1C" w14:textId="77777777" w:rsidR="00C34979" w:rsidRPr="0013385D" w:rsidRDefault="00C34979" w:rsidP="00EB7F1E">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The fact that the offender could not give evidence against more than one person, or that there are others higher in the criminal enterprise, should not have a significant impact on the discount given for cooperation.</w:t>
      </w:r>
      <w:r w:rsidRPr="0013385D">
        <w:rPr>
          <w:rStyle w:val="Style"/>
          <w:rFonts w:asciiTheme="minorHAnsi" w:hAnsiTheme="minorHAnsi"/>
        </w:rPr>
        <w:footnoteReference w:id="308"/>
      </w:r>
    </w:p>
    <w:p w14:paraId="3580340F" w14:textId="4C939C5B" w:rsidR="009E228D" w:rsidRPr="0013385D" w:rsidRDefault="001B0400" w:rsidP="009E228D">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A </w:t>
      </w:r>
      <w:r w:rsidR="009E228D" w:rsidRPr="0013385D">
        <w:rPr>
          <w:rFonts w:asciiTheme="minorHAnsi" w:hAnsiTheme="minorHAnsi"/>
        </w:rPr>
        <w:t xml:space="preserve">discount </w:t>
      </w:r>
      <w:r w:rsidRPr="0013385D">
        <w:rPr>
          <w:rFonts w:asciiTheme="minorHAnsi" w:hAnsiTheme="minorHAnsi"/>
        </w:rPr>
        <w:t>may</w:t>
      </w:r>
      <w:r w:rsidR="009E228D" w:rsidRPr="0013385D">
        <w:rPr>
          <w:rFonts w:asciiTheme="minorHAnsi" w:hAnsiTheme="minorHAnsi"/>
        </w:rPr>
        <w:t xml:space="preserve"> be given even if the offender has not co-operated fully by disclosing everything he or she knows</w:t>
      </w:r>
      <w:r w:rsidRPr="0013385D">
        <w:rPr>
          <w:rFonts w:asciiTheme="minorHAnsi" w:hAnsiTheme="minorHAnsi"/>
        </w:rPr>
        <w:t>,</w:t>
      </w:r>
      <w:r w:rsidR="009E228D" w:rsidRPr="0013385D">
        <w:rPr>
          <w:rStyle w:val="Style"/>
          <w:rFonts w:asciiTheme="minorHAnsi" w:hAnsiTheme="minorHAnsi"/>
        </w:rPr>
        <w:footnoteReference w:id="309"/>
      </w:r>
      <w:r w:rsidR="009E228D" w:rsidRPr="0013385D">
        <w:rPr>
          <w:rFonts w:asciiTheme="minorHAnsi" w:hAnsiTheme="minorHAnsi"/>
        </w:rPr>
        <w:t xml:space="preserve"> </w:t>
      </w:r>
      <w:r w:rsidRPr="0013385D">
        <w:rPr>
          <w:rFonts w:asciiTheme="minorHAnsi" w:hAnsiTheme="minorHAnsi"/>
        </w:rPr>
        <w:t xml:space="preserve">but </w:t>
      </w:r>
      <w:r w:rsidR="009E228D" w:rsidRPr="0013385D">
        <w:rPr>
          <w:rFonts w:asciiTheme="minorHAnsi" w:hAnsiTheme="minorHAnsi"/>
        </w:rPr>
        <w:t>cooperation which is not full and frank</w:t>
      </w:r>
      <w:r w:rsidRPr="0013385D">
        <w:rPr>
          <w:rFonts w:asciiTheme="minorHAnsi" w:hAnsiTheme="minorHAnsi"/>
        </w:rPr>
        <w:t xml:space="preserve"> will usually be given little or no weight</w:t>
      </w:r>
      <w:r w:rsidR="009E228D" w:rsidRPr="0013385D">
        <w:rPr>
          <w:rFonts w:asciiTheme="minorHAnsi" w:hAnsiTheme="minorHAnsi"/>
        </w:rPr>
        <w:t>.</w:t>
      </w:r>
      <w:r w:rsidR="009E228D" w:rsidRPr="0013385D">
        <w:rPr>
          <w:rStyle w:val="Style"/>
          <w:rFonts w:asciiTheme="minorHAnsi" w:hAnsiTheme="minorHAnsi"/>
        </w:rPr>
        <w:footnoteReference w:id="310"/>
      </w:r>
      <w:r w:rsidR="009E228D" w:rsidRPr="0013385D">
        <w:rPr>
          <w:rFonts w:asciiTheme="minorHAnsi" w:hAnsiTheme="minorHAnsi"/>
        </w:rPr>
        <w:t xml:space="preserve"> </w:t>
      </w:r>
    </w:p>
    <w:p w14:paraId="125A04DC" w14:textId="77777777" w:rsidR="009E228D" w:rsidRPr="0013385D" w:rsidRDefault="009E228D" w:rsidP="009E228D">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A discount may not be awarded where the accused has deliberately delayed providing information or has destroyed evidence with the result that what is supplied is of little effective value or benefit.</w:t>
      </w:r>
      <w:r w:rsidRPr="0013385D">
        <w:rPr>
          <w:rStyle w:val="Style"/>
          <w:rFonts w:asciiTheme="minorHAnsi" w:hAnsiTheme="minorHAnsi"/>
        </w:rPr>
        <w:footnoteReference w:id="311"/>
      </w:r>
    </w:p>
    <w:p w14:paraId="2279247F" w14:textId="77777777" w:rsidR="009E228D" w:rsidRPr="0013385D" w:rsidRDefault="009E228D" w:rsidP="009E228D">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An offer of cooperation may be disregarded in sentencing if it is given in the knowledge that it will not be called upon.</w:t>
      </w:r>
    </w:p>
    <w:p w14:paraId="246E7F53" w14:textId="77777777" w:rsidR="00566C7B" w:rsidRPr="0013385D" w:rsidRDefault="00A31A25">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The risk of retributive violence in prison needs to be factored into the discount</w:t>
      </w:r>
      <w:r w:rsidR="00905532" w:rsidRPr="0013385D">
        <w:rPr>
          <w:rFonts w:asciiTheme="minorHAnsi" w:hAnsiTheme="minorHAnsi"/>
        </w:rPr>
        <w:t>.</w:t>
      </w:r>
      <w:r w:rsidRPr="0013385D">
        <w:rPr>
          <w:rStyle w:val="Style"/>
          <w:rFonts w:asciiTheme="minorHAnsi" w:hAnsiTheme="minorHAnsi"/>
        </w:rPr>
        <w:footnoteReference w:id="312"/>
      </w:r>
      <w:r w:rsidR="00BC625F" w:rsidRPr="0013385D">
        <w:rPr>
          <w:rFonts w:asciiTheme="minorHAnsi" w:hAnsiTheme="minorHAnsi"/>
        </w:rPr>
        <w:t xml:space="preserve"> </w:t>
      </w:r>
    </w:p>
    <w:p w14:paraId="21567759" w14:textId="1BCADCF4" w:rsidR="00A31A25" w:rsidRPr="0013385D" w:rsidRDefault="00E7434C" w:rsidP="00EB7F1E">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A</w:t>
      </w:r>
      <w:r w:rsidR="00566C7B" w:rsidRPr="0013385D">
        <w:rPr>
          <w:rFonts w:asciiTheme="minorHAnsi" w:hAnsiTheme="minorHAnsi"/>
        </w:rPr>
        <w:t xml:space="preserve"> person who has provided assistance will often, but not always, whilst a prisoner, be confined for his or her own protection in much harsher conditions than the general prison population</w:t>
      </w:r>
      <w:r w:rsidR="00CD6F34" w:rsidRPr="0013385D">
        <w:rPr>
          <w:rFonts w:asciiTheme="minorHAnsi" w:hAnsiTheme="minorHAnsi"/>
        </w:rPr>
        <w:t>.</w:t>
      </w:r>
      <w:r w:rsidR="00CD6F34" w:rsidRPr="0013385D">
        <w:rPr>
          <w:rStyle w:val="Style"/>
          <w:rFonts w:asciiTheme="minorHAnsi" w:hAnsiTheme="minorHAnsi"/>
        </w:rPr>
        <w:footnoteReference w:id="313"/>
      </w:r>
      <w:r w:rsidR="00CD6F34" w:rsidRPr="0013385D">
        <w:rPr>
          <w:rFonts w:asciiTheme="minorHAnsi" w:hAnsiTheme="minorHAnsi"/>
        </w:rPr>
        <w:t xml:space="preserve"> </w:t>
      </w:r>
      <w:r w:rsidR="00BC625F" w:rsidRPr="0013385D">
        <w:rPr>
          <w:rFonts w:asciiTheme="minorHAnsi" w:hAnsiTheme="minorHAnsi"/>
        </w:rPr>
        <w:t xml:space="preserve"> But it is no longer regarded as axiomatic that a person who has provided assistance to authorities will serve the sentence under harsher and more onerous conditions when compared to an ordinary prisoner.</w:t>
      </w:r>
      <w:r w:rsidR="00BC625F" w:rsidRPr="0013385D">
        <w:rPr>
          <w:rStyle w:val="Style"/>
          <w:rFonts w:asciiTheme="minorHAnsi" w:hAnsiTheme="minorHAnsi"/>
        </w:rPr>
        <w:footnoteReference w:id="314"/>
      </w:r>
    </w:p>
    <w:p w14:paraId="6D897547" w14:textId="6C8BC5E8" w:rsidR="00566C7B" w:rsidRPr="0013385D" w:rsidRDefault="00566C7B">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Hardship may also be occasioned to a prisoner upon their release into the community</w:t>
      </w:r>
      <w:r w:rsidR="0057011C" w:rsidRPr="0013385D">
        <w:rPr>
          <w:rFonts w:asciiTheme="minorHAnsi" w:hAnsiTheme="minorHAnsi"/>
        </w:rPr>
        <w:t>.</w:t>
      </w:r>
      <w:r w:rsidR="0057011C" w:rsidRPr="0013385D">
        <w:rPr>
          <w:rStyle w:val="Style"/>
          <w:rFonts w:asciiTheme="minorHAnsi" w:hAnsiTheme="minorHAnsi"/>
        </w:rPr>
        <w:footnoteReference w:id="315"/>
      </w:r>
    </w:p>
    <w:p w14:paraId="1F9E0961" w14:textId="1691AC3E" w:rsidR="00D808B7" w:rsidRPr="0013385D" w:rsidRDefault="0053432F" w:rsidP="00EB7F1E">
      <w:pPr>
        <w:pStyle w:val="ListParagraph"/>
        <w:numPr>
          <w:ilvl w:val="1"/>
          <w:numId w:val="27"/>
        </w:numPr>
        <w:spacing w:line="276" w:lineRule="auto"/>
        <w:ind w:left="851" w:hanging="425"/>
        <w:rPr>
          <w:rFonts w:asciiTheme="minorHAnsi" w:hAnsiTheme="minorHAnsi"/>
        </w:rPr>
      </w:pPr>
      <w:r w:rsidRPr="0013385D">
        <w:rPr>
          <w:rFonts w:asciiTheme="minorHAnsi" w:hAnsiTheme="minorHAnsi"/>
        </w:rPr>
        <w:t xml:space="preserve">The risk to personal safety </w:t>
      </w:r>
      <w:r w:rsidR="002931E0" w:rsidRPr="0013385D">
        <w:rPr>
          <w:rFonts w:asciiTheme="minorHAnsi" w:hAnsiTheme="minorHAnsi"/>
        </w:rPr>
        <w:t>should not</w:t>
      </w:r>
      <w:r w:rsidRPr="0013385D">
        <w:rPr>
          <w:rFonts w:asciiTheme="minorHAnsi" w:hAnsiTheme="minorHAnsi"/>
        </w:rPr>
        <w:t xml:space="preserve"> result in a </w:t>
      </w:r>
      <w:r w:rsidR="008770DD" w:rsidRPr="0013385D">
        <w:rPr>
          <w:rFonts w:asciiTheme="minorHAnsi" w:hAnsiTheme="minorHAnsi"/>
        </w:rPr>
        <w:t>sentence which</w:t>
      </w:r>
      <w:r w:rsidRPr="0013385D">
        <w:rPr>
          <w:rFonts w:asciiTheme="minorHAnsi" w:hAnsiTheme="minorHAnsi"/>
        </w:rPr>
        <w:t xml:space="preserve"> is “an affront to community standards”</w:t>
      </w:r>
      <w:r w:rsidR="00C64919" w:rsidRPr="0013385D">
        <w:rPr>
          <w:rFonts w:asciiTheme="minorHAnsi" w:hAnsiTheme="minorHAnsi"/>
        </w:rPr>
        <w:t>.</w:t>
      </w:r>
      <w:r w:rsidRPr="0013385D">
        <w:rPr>
          <w:rStyle w:val="Style"/>
          <w:rFonts w:asciiTheme="minorHAnsi" w:hAnsiTheme="minorHAnsi"/>
        </w:rPr>
        <w:footnoteReference w:id="316"/>
      </w:r>
    </w:p>
    <w:p w14:paraId="007E47CB" w14:textId="77777777" w:rsidR="002C43F1" w:rsidRPr="00C00000" w:rsidRDefault="002C43F1" w:rsidP="002C43F1">
      <w:pPr>
        <w:pStyle w:val="NormalIndent"/>
        <w:widowControl w:val="0"/>
        <w:spacing w:line="276" w:lineRule="auto"/>
        <w:ind w:hanging="567"/>
        <w:rPr>
          <w:rFonts w:asciiTheme="minorHAnsi" w:hAnsiTheme="minorHAnsi"/>
        </w:rPr>
      </w:pPr>
    </w:p>
    <w:p w14:paraId="196026CB" w14:textId="50566D91" w:rsidR="00066D01" w:rsidRPr="00C14A45" w:rsidRDefault="00066D01" w:rsidP="00C14A45">
      <w:pPr>
        <w:pStyle w:val="Heading3"/>
      </w:pPr>
      <w:bookmarkStart w:id="1434" w:name="_Toc33602795"/>
      <w:r w:rsidRPr="00C14A45">
        <w:t>Deterrent effect on the offender – s 16A(2)(j)</w:t>
      </w:r>
      <w:bookmarkEnd w:id="1434"/>
    </w:p>
    <w:p w14:paraId="18BCF085" w14:textId="77777777" w:rsidR="00066D01" w:rsidRPr="00C00000" w:rsidRDefault="00066D01" w:rsidP="00C14A45">
      <w:pPr>
        <w:keepNext/>
        <w:widowControl w:val="0"/>
        <w:tabs>
          <w:tab w:val="left" w:pos="8364"/>
          <w:tab w:val="left" w:pos="9214"/>
        </w:tabs>
        <w:spacing w:line="276" w:lineRule="auto"/>
        <w:ind w:left="567" w:right="170" w:hanging="567"/>
        <w:jc w:val="both"/>
        <w:rPr>
          <w:rFonts w:asciiTheme="minorHAnsi" w:hAnsiTheme="minorHAnsi"/>
        </w:rPr>
      </w:pPr>
    </w:p>
    <w:p w14:paraId="7A5FE93E" w14:textId="3865907C" w:rsidR="00B86E08" w:rsidRDefault="00B001B0" w:rsidP="00EB7F1E">
      <w:pPr>
        <w:pStyle w:val="ListParagraph"/>
        <w:numPr>
          <w:ilvl w:val="0"/>
          <w:numId w:val="7"/>
        </w:numPr>
        <w:spacing w:line="276" w:lineRule="auto"/>
        <w:ind w:left="425" w:hanging="425"/>
        <w:contextualSpacing w:val="0"/>
        <w:rPr>
          <w:rFonts w:asciiTheme="minorHAnsi" w:hAnsiTheme="minorHAnsi"/>
        </w:rPr>
      </w:pPr>
      <w:r w:rsidRPr="00245875">
        <w:rPr>
          <w:rFonts w:asciiTheme="minorHAnsi" w:hAnsiTheme="minorHAnsi"/>
        </w:rPr>
        <w:t xml:space="preserve">The court must take into account the deterrent effect that any sentence or order under consideration may have on the person. </w:t>
      </w:r>
      <w:r w:rsidR="00A21828">
        <w:rPr>
          <w:rFonts w:asciiTheme="minorHAnsi" w:hAnsiTheme="minorHAnsi"/>
        </w:rPr>
        <w:t xml:space="preserve"> </w:t>
      </w:r>
      <w:r w:rsidRPr="00245875">
        <w:rPr>
          <w:rFonts w:asciiTheme="minorHAnsi" w:hAnsiTheme="minorHAnsi"/>
        </w:rPr>
        <w:t xml:space="preserve">This </w:t>
      </w:r>
      <w:r w:rsidR="006F611E" w:rsidRPr="00245875">
        <w:rPr>
          <w:rFonts w:asciiTheme="minorHAnsi" w:hAnsiTheme="minorHAnsi"/>
        </w:rPr>
        <w:t xml:space="preserve">is known as specific </w:t>
      </w:r>
      <w:r w:rsidRPr="00245875">
        <w:rPr>
          <w:rFonts w:asciiTheme="minorHAnsi" w:hAnsiTheme="minorHAnsi"/>
        </w:rPr>
        <w:t xml:space="preserve">deterrence. </w:t>
      </w:r>
      <w:r w:rsidR="00A0556D">
        <w:rPr>
          <w:rFonts w:asciiTheme="minorHAnsi" w:hAnsiTheme="minorHAnsi"/>
        </w:rPr>
        <w:t xml:space="preserve"> </w:t>
      </w:r>
      <w:r w:rsidRPr="00245875">
        <w:rPr>
          <w:rFonts w:asciiTheme="minorHAnsi" w:hAnsiTheme="minorHAnsi"/>
        </w:rPr>
        <w:t>Its purpose is to discourage the offender from committing further offences</w:t>
      </w:r>
      <w:r w:rsidR="006F611E" w:rsidRPr="00245875">
        <w:rPr>
          <w:rFonts w:asciiTheme="minorHAnsi" w:hAnsiTheme="minorHAnsi"/>
        </w:rPr>
        <w:t>, by demonstrating to them the adverse consequences of their criminal activity.</w:t>
      </w:r>
    </w:p>
    <w:p w14:paraId="28C3DA9E" w14:textId="77777777" w:rsidR="00B86E08" w:rsidRPr="00B86E08" w:rsidRDefault="00B86E08" w:rsidP="00B86E08">
      <w:pPr>
        <w:widowControl w:val="0"/>
        <w:spacing w:line="276" w:lineRule="auto"/>
        <w:ind w:right="170"/>
        <w:rPr>
          <w:rFonts w:asciiTheme="minorHAnsi" w:hAnsiTheme="minorHAnsi"/>
        </w:rPr>
      </w:pPr>
    </w:p>
    <w:p w14:paraId="465DBF9B" w14:textId="65576DD5" w:rsidR="009D4416" w:rsidRDefault="00B86E0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Assessment of the need for specific deterrence</w:t>
      </w:r>
      <w:r w:rsidR="005D11BE" w:rsidRPr="00245875">
        <w:rPr>
          <w:rFonts w:asciiTheme="minorHAnsi" w:hAnsiTheme="minorHAnsi"/>
        </w:rPr>
        <w:t xml:space="preserve"> involve</w:t>
      </w:r>
      <w:r>
        <w:rPr>
          <w:rFonts w:asciiTheme="minorHAnsi" w:hAnsiTheme="minorHAnsi"/>
        </w:rPr>
        <w:t>s</w:t>
      </w:r>
      <w:r w:rsidR="005D11BE" w:rsidRPr="00245875">
        <w:rPr>
          <w:rFonts w:asciiTheme="minorHAnsi" w:hAnsiTheme="minorHAnsi"/>
        </w:rPr>
        <w:t xml:space="preserve"> an examination of </w:t>
      </w:r>
      <w:r w:rsidR="00E847F3">
        <w:rPr>
          <w:rFonts w:asciiTheme="minorHAnsi" w:hAnsiTheme="minorHAnsi"/>
        </w:rPr>
        <w:t xml:space="preserve">(amongst other things) </w:t>
      </w:r>
      <w:r w:rsidR="005D11BE" w:rsidRPr="00245875">
        <w:rPr>
          <w:rFonts w:asciiTheme="minorHAnsi" w:hAnsiTheme="minorHAnsi"/>
        </w:rPr>
        <w:t>the nature and circumstances of the offence</w:t>
      </w:r>
      <w:r w:rsidR="00CE0A74">
        <w:rPr>
          <w:rFonts w:asciiTheme="minorHAnsi" w:hAnsiTheme="minorHAnsi"/>
        </w:rPr>
        <w:t xml:space="preserve"> (s 16A(2)(a))</w:t>
      </w:r>
      <w:r w:rsidR="005D11BE" w:rsidRPr="00245875">
        <w:rPr>
          <w:rFonts w:asciiTheme="minorHAnsi" w:hAnsiTheme="minorHAnsi"/>
        </w:rPr>
        <w:t xml:space="preserve">, </w:t>
      </w:r>
      <w:r w:rsidR="00A0556D">
        <w:rPr>
          <w:rFonts w:asciiTheme="minorHAnsi" w:hAnsiTheme="minorHAnsi"/>
        </w:rPr>
        <w:t>the offender</w:t>
      </w:r>
      <w:r w:rsidR="00AA693C">
        <w:rPr>
          <w:rFonts w:asciiTheme="minorHAnsi" w:hAnsiTheme="minorHAnsi"/>
        </w:rPr>
        <w:t>’</w:t>
      </w:r>
      <w:r w:rsidR="00A0556D">
        <w:rPr>
          <w:rFonts w:asciiTheme="minorHAnsi" w:hAnsiTheme="minorHAnsi"/>
        </w:rPr>
        <w:t xml:space="preserve">s </w:t>
      </w:r>
      <w:r w:rsidR="00CE0A74">
        <w:rPr>
          <w:rFonts w:asciiTheme="minorHAnsi" w:hAnsiTheme="minorHAnsi"/>
        </w:rPr>
        <w:t xml:space="preserve">character, </w:t>
      </w:r>
      <w:r>
        <w:rPr>
          <w:rFonts w:asciiTheme="minorHAnsi" w:hAnsiTheme="minorHAnsi"/>
        </w:rPr>
        <w:t>antecedents</w:t>
      </w:r>
      <w:r w:rsidR="00CE0A74">
        <w:rPr>
          <w:rFonts w:asciiTheme="minorHAnsi" w:hAnsiTheme="minorHAnsi"/>
        </w:rPr>
        <w:t xml:space="preserve"> and</w:t>
      </w:r>
      <w:r w:rsidR="00B4013D">
        <w:rPr>
          <w:rFonts w:asciiTheme="minorHAnsi" w:hAnsiTheme="minorHAnsi"/>
        </w:rPr>
        <w:t xml:space="preserve"> age</w:t>
      </w:r>
      <w:r w:rsidR="00CE0A74">
        <w:rPr>
          <w:rFonts w:asciiTheme="minorHAnsi" w:hAnsiTheme="minorHAnsi"/>
        </w:rPr>
        <w:t xml:space="preserve"> (s 16A(2)(m))</w:t>
      </w:r>
      <w:r w:rsidR="00B4013D">
        <w:rPr>
          <w:rFonts w:asciiTheme="minorHAnsi" w:hAnsiTheme="minorHAnsi"/>
        </w:rPr>
        <w:t>,</w:t>
      </w:r>
      <w:r>
        <w:rPr>
          <w:rFonts w:asciiTheme="minorHAnsi" w:hAnsiTheme="minorHAnsi"/>
        </w:rPr>
        <w:t xml:space="preserve"> </w:t>
      </w:r>
      <w:r w:rsidR="00CE0A74">
        <w:rPr>
          <w:rFonts w:asciiTheme="minorHAnsi" w:hAnsiTheme="minorHAnsi"/>
        </w:rPr>
        <w:t>the offender</w:t>
      </w:r>
      <w:r w:rsidR="00AA693C">
        <w:rPr>
          <w:rFonts w:asciiTheme="minorHAnsi" w:hAnsiTheme="minorHAnsi"/>
        </w:rPr>
        <w:t>’</w:t>
      </w:r>
      <w:r w:rsidR="00CE0A74">
        <w:rPr>
          <w:rFonts w:asciiTheme="minorHAnsi" w:hAnsiTheme="minorHAnsi"/>
        </w:rPr>
        <w:t xml:space="preserve">s </w:t>
      </w:r>
      <w:r w:rsidR="00FC4DD9">
        <w:rPr>
          <w:rFonts w:asciiTheme="minorHAnsi" w:hAnsiTheme="minorHAnsi"/>
        </w:rPr>
        <w:t xml:space="preserve">current </w:t>
      </w:r>
      <w:r>
        <w:rPr>
          <w:rFonts w:asciiTheme="minorHAnsi" w:hAnsiTheme="minorHAnsi"/>
        </w:rPr>
        <w:t xml:space="preserve">circumstances </w:t>
      </w:r>
      <w:r w:rsidR="00811861">
        <w:rPr>
          <w:rFonts w:asciiTheme="minorHAnsi" w:hAnsiTheme="minorHAnsi"/>
        </w:rPr>
        <w:t xml:space="preserve">and </w:t>
      </w:r>
      <w:r w:rsidR="00A0556D">
        <w:rPr>
          <w:rFonts w:asciiTheme="minorHAnsi" w:hAnsiTheme="minorHAnsi"/>
        </w:rPr>
        <w:t>prospects of rehabilitation</w:t>
      </w:r>
      <w:r w:rsidR="00CE0A74">
        <w:rPr>
          <w:rFonts w:asciiTheme="minorHAnsi" w:hAnsiTheme="minorHAnsi"/>
        </w:rPr>
        <w:t xml:space="preserve"> (s 16A(2)(</w:t>
      </w:r>
      <w:r w:rsidR="001240AD">
        <w:rPr>
          <w:rFonts w:asciiTheme="minorHAnsi" w:hAnsiTheme="minorHAnsi"/>
        </w:rPr>
        <w:t>n))</w:t>
      </w:r>
      <w:r w:rsidR="00A0556D">
        <w:rPr>
          <w:rFonts w:asciiTheme="minorHAnsi" w:hAnsiTheme="minorHAnsi"/>
        </w:rPr>
        <w:t>,</w:t>
      </w:r>
      <w:r w:rsidR="00A0556D" w:rsidRPr="00245875">
        <w:rPr>
          <w:rFonts w:asciiTheme="minorHAnsi" w:hAnsiTheme="minorHAnsi"/>
        </w:rPr>
        <w:t xml:space="preserve"> </w:t>
      </w:r>
      <w:r w:rsidR="005D11BE" w:rsidRPr="00245875">
        <w:rPr>
          <w:rFonts w:asciiTheme="minorHAnsi" w:hAnsiTheme="minorHAnsi"/>
        </w:rPr>
        <w:t>and the likel</w:t>
      </w:r>
      <w:r w:rsidR="00247739" w:rsidRPr="00245875">
        <w:rPr>
          <w:rFonts w:asciiTheme="minorHAnsi" w:hAnsiTheme="minorHAnsi"/>
        </w:rPr>
        <w:t>ih</w:t>
      </w:r>
      <w:r w:rsidR="00A0556D">
        <w:rPr>
          <w:rFonts w:asciiTheme="minorHAnsi" w:hAnsiTheme="minorHAnsi"/>
        </w:rPr>
        <w:t>ood of re-offending.</w:t>
      </w:r>
      <w:r w:rsidR="00FC4DD9" w:rsidRPr="00C00000">
        <w:rPr>
          <w:rStyle w:val="Style"/>
          <w:rFonts w:asciiTheme="minorHAnsi" w:hAnsiTheme="minorHAnsi"/>
        </w:rPr>
        <w:footnoteReference w:id="317"/>
      </w:r>
      <w:r w:rsidR="00811861">
        <w:rPr>
          <w:rFonts w:asciiTheme="minorHAnsi" w:hAnsiTheme="minorHAnsi"/>
        </w:rPr>
        <w:t xml:space="preserve">  The presence o</w:t>
      </w:r>
      <w:r w:rsidR="00904F4C">
        <w:rPr>
          <w:rFonts w:asciiTheme="minorHAnsi" w:hAnsiTheme="minorHAnsi"/>
        </w:rPr>
        <w:t>r</w:t>
      </w:r>
      <w:r w:rsidR="00811861">
        <w:rPr>
          <w:rFonts w:asciiTheme="minorHAnsi" w:hAnsiTheme="minorHAnsi"/>
        </w:rPr>
        <w:t xml:space="preserve"> absence of </w:t>
      </w:r>
      <w:r w:rsidR="001240AD">
        <w:rPr>
          <w:rFonts w:asciiTheme="minorHAnsi" w:hAnsiTheme="minorHAnsi"/>
        </w:rPr>
        <w:t xml:space="preserve">remorse or </w:t>
      </w:r>
      <w:r w:rsidR="00811861">
        <w:rPr>
          <w:rFonts w:asciiTheme="minorHAnsi" w:hAnsiTheme="minorHAnsi"/>
        </w:rPr>
        <w:t xml:space="preserve">contrition </w:t>
      </w:r>
      <w:r w:rsidR="001240AD">
        <w:rPr>
          <w:rFonts w:asciiTheme="minorHAnsi" w:hAnsiTheme="minorHAnsi"/>
        </w:rPr>
        <w:t xml:space="preserve">(s 16A(2)(f)) </w:t>
      </w:r>
      <w:r w:rsidR="00811861">
        <w:rPr>
          <w:rFonts w:asciiTheme="minorHAnsi" w:hAnsiTheme="minorHAnsi"/>
        </w:rPr>
        <w:t>is often a significant consideration.</w:t>
      </w:r>
      <w:r w:rsidR="00904F4C" w:rsidRPr="000055BF">
        <w:rPr>
          <w:rFonts w:asciiTheme="minorHAnsi" w:hAnsiTheme="minorHAnsi"/>
          <w:position w:val="6"/>
          <w:sz w:val="16"/>
        </w:rPr>
        <w:footnoteReference w:id="318"/>
      </w:r>
      <w:r w:rsidR="00811861">
        <w:rPr>
          <w:rFonts w:asciiTheme="minorHAnsi" w:hAnsiTheme="minorHAnsi"/>
        </w:rPr>
        <w:t xml:space="preserve">  </w:t>
      </w:r>
    </w:p>
    <w:p w14:paraId="64D02F3D" w14:textId="77777777" w:rsidR="009D4416" w:rsidRPr="009D4416" w:rsidRDefault="009D4416" w:rsidP="009D4416">
      <w:pPr>
        <w:pStyle w:val="ListParagraph"/>
        <w:rPr>
          <w:rFonts w:asciiTheme="minorHAnsi" w:hAnsiTheme="minorHAnsi"/>
        </w:rPr>
      </w:pPr>
    </w:p>
    <w:p w14:paraId="4BEF16D1" w14:textId="4DD493F5" w:rsidR="00066D01" w:rsidRDefault="00FC4DD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While an offender is not to be punished disproportionately </w:t>
      </w:r>
      <w:r w:rsidR="009D4416">
        <w:rPr>
          <w:rFonts w:asciiTheme="minorHAnsi" w:hAnsiTheme="minorHAnsi"/>
        </w:rPr>
        <w:t xml:space="preserve">merely </w:t>
      </w:r>
      <w:r>
        <w:rPr>
          <w:rFonts w:asciiTheme="minorHAnsi" w:hAnsiTheme="minorHAnsi"/>
        </w:rPr>
        <w:t xml:space="preserve">because of his or her previous criminal history, such history </w:t>
      </w:r>
      <w:r w:rsidRPr="00A0556D">
        <w:rPr>
          <w:rFonts w:asciiTheme="minorHAnsi" w:hAnsiTheme="minorHAnsi"/>
        </w:rPr>
        <w:t>is relevant</w:t>
      </w:r>
      <w:r>
        <w:rPr>
          <w:rFonts w:asciiTheme="minorHAnsi" w:hAnsiTheme="minorHAnsi"/>
        </w:rPr>
        <w:t xml:space="preserve"> “</w:t>
      </w:r>
      <w:r w:rsidRPr="00CA5580">
        <w:rPr>
          <w:rFonts w:asciiTheme="minorHAnsi" w:hAnsiTheme="minorHAnsi"/>
          <w:i/>
        </w:rPr>
        <w:t>to show whether the instant offence is an uncharacteristic aberration or whether the offender has manifested in his commission of the instant offence a continuing attitude of disobedience of the law</w:t>
      </w:r>
      <w:r w:rsidR="00C57542">
        <w:rPr>
          <w:rFonts w:asciiTheme="minorHAnsi" w:hAnsiTheme="minorHAnsi"/>
        </w:rPr>
        <w:t>.</w:t>
      </w:r>
      <w:r w:rsidR="00CA5580">
        <w:rPr>
          <w:rFonts w:asciiTheme="minorHAnsi" w:hAnsiTheme="minorHAnsi"/>
        </w:rPr>
        <w:t>”</w:t>
      </w:r>
      <w:r w:rsidR="00CA5580" w:rsidRPr="000055BF">
        <w:rPr>
          <w:rFonts w:asciiTheme="minorHAnsi" w:hAnsiTheme="minorHAnsi"/>
          <w:position w:val="6"/>
          <w:sz w:val="16"/>
        </w:rPr>
        <w:footnoteReference w:id="319"/>
      </w:r>
      <w:r w:rsidR="00CA5580">
        <w:rPr>
          <w:rFonts w:asciiTheme="minorHAnsi" w:hAnsiTheme="minorHAnsi"/>
        </w:rPr>
        <w:t xml:space="preserve"> </w:t>
      </w:r>
      <w:r w:rsidR="00C57542">
        <w:rPr>
          <w:rFonts w:asciiTheme="minorHAnsi" w:hAnsiTheme="minorHAnsi"/>
        </w:rPr>
        <w:t xml:space="preserve"> The need for specific deterrence may be greater “</w:t>
      </w:r>
      <w:r w:rsidR="00C57542" w:rsidRPr="009D4416">
        <w:rPr>
          <w:rFonts w:asciiTheme="minorHAnsi" w:hAnsiTheme="minorHAnsi"/>
          <w:i/>
        </w:rPr>
        <w:t>given the failure of more moderate penalties as a deterrent</w:t>
      </w:r>
      <w:r w:rsidR="00C57542">
        <w:rPr>
          <w:rFonts w:asciiTheme="minorHAnsi" w:hAnsiTheme="minorHAnsi"/>
        </w:rPr>
        <w:t>”.</w:t>
      </w:r>
      <w:r w:rsidR="00C57542" w:rsidRPr="000055BF">
        <w:rPr>
          <w:rFonts w:asciiTheme="minorHAnsi" w:hAnsiTheme="minorHAnsi"/>
          <w:position w:val="6"/>
          <w:sz w:val="16"/>
        </w:rPr>
        <w:footnoteReference w:id="320"/>
      </w:r>
      <w:r w:rsidR="00591520">
        <w:rPr>
          <w:rFonts w:asciiTheme="minorHAnsi" w:hAnsiTheme="minorHAnsi"/>
        </w:rPr>
        <w:t xml:space="preserve">  Conversely, however, </w:t>
      </w:r>
      <w:r w:rsidR="00B81DD8">
        <w:rPr>
          <w:rFonts w:asciiTheme="minorHAnsi" w:hAnsiTheme="minorHAnsi"/>
        </w:rPr>
        <w:t>specific deterrence may be a factor deserving weight even if the offender has no</w:t>
      </w:r>
      <w:r w:rsidR="00591520">
        <w:rPr>
          <w:rFonts w:asciiTheme="minorHAnsi" w:hAnsiTheme="minorHAnsi"/>
        </w:rPr>
        <w:t xml:space="preserve"> previous convictions and good prospects of rehabilitation</w:t>
      </w:r>
      <w:r w:rsidR="00B81DD8">
        <w:rPr>
          <w:rFonts w:asciiTheme="minorHAnsi" w:hAnsiTheme="minorHAnsi"/>
        </w:rPr>
        <w:t>.</w:t>
      </w:r>
      <w:r w:rsidR="00B81DD8" w:rsidRPr="000055BF">
        <w:rPr>
          <w:rFonts w:asciiTheme="minorHAnsi" w:hAnsiTheme="minorHAnsi"/>
          <w:position w:val="6"/>
          <w:sz w:val="16"/>
        </w:rPr>
        <w:footnoteReference w:id="321"/>
      </w:r>
    </w:p>
    <w:p w14:paraId="2A95935A" w14:textId="77777777" w:rsidR="00B055AA" w:rsidRPr="00B055AA" w:rsidRDefault="00B055AA" w:rsidP="00B055AA">
      <w:pPr>
        <w:pStyle w:val="ListParagraph"/>
        <w:rPr>
          <w:rFonts w:asciiTheme="minorHAnsi" w:hAnsiTheme="minorHAnsi"/>
        </w:rPr>
      </w:pPr>
    </w:p>
    <w:p w14:paraId="5D9B9EE3" w14:textId="319862F0" w:rsidR="00B055AA" w:rsidRPr="00245875" w:rsidRDefault="00B055A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As with general deterrence, </w:t>
      </w:r>
      <w:r w:rsidR="009B072E">
        <w:rPr>
          <w:rFonts w:asciiTheme="minorHAnsi" w:hAnsiTheme="minorHAnsi"/>
        </w:rPr>
        <w:t xml:space="preserve">where a term of imprisonment is imposed, </w:t>
      </w:r>
      <w:r>
        <w:rPr>
          <w:rFonts w:asciiTheme="minorHAnsi" w:hAnsiTheme="minorHAnsi"/>
        </w:rPr>
        <w:t>the nee</w:t>
      </w:r>
      <w:r w:rsidR="009B072E">
        <w:rPr>
          <w:rFonts w:asciiTheme="minorHAnsi" w:hAnsiTheme="minorHAnsi"/>
        </w:rPr>
        <w:t>d for specific deterrence must be adequately reflected in both the head sentence and in the period of actual custody.</w:t>
      </w:r>
      <w:r w:rsidR="009B072E" w:rsidRPr="000055BF">
        <w:rPr>
          <w:rFonts w:asciiTheme="minorHAnsi" w:hAnsiTheme="minorHAnsi"/>
          <w:position w:val="6"/>
          <w:sz w:val="16"/>
        </w:rPr>
        <w:footnoteReference w:id="322"/>
      </w:r>
    </w:p>
    <w:p w14:paraId="4EAF23BD" w14:textId="77777777" w:rsidR="00245875" w:rsidRDefault="00245875" w:rsidP="006F611E">
      <w:pPr>
        <w:autoSpaceDE w:val="0"/>
        <w:autoSpaceDN w:val="0"/>
        <w:adjustRightInd w:val="0"/>
        <w:rPr>
          <w:rFonts w:asciiTheme="minorHAnsi" w:hAnsiTheme="minorHAnsi"/>
        </w:rPr>
      </w:pPr>
    </w:p>
    <w:p w14:paraId="2E4B2EA3" w14:textId="7DC55D2D" w:rsidR="001E337B" w:rsidRPr="00C14A45" w:rsidRDefault="00BA2B0B" w:rsidP="00C14A45">
      <w:pPr>
        <w:pStyle w:val="Heading3"/>
      </w:pPr>
      <w:bookmarkStart w:id="1435" w:name="_Toc33602796"/>
      <w:r w:rsidRPr="00C14A45">
        <w:t>Deterrent effect on other persons – s 16A(2)(ja)</w:t>
      </w:r>
      <w:bookmarkEnd w:id="1435"/>
    </w:p>
    <w:p w14:paraId="1548ED79" w14:textId="77777777" w:rsidR="008D3FA2" w:rsidRPr="00C00000" w:rsidRDefault="008D3FA2" w:rsidP="00C14A45">
      <w:pPr>
        <w:keepNext/>
        <w:widowControl w:val="0"/>
        <w:tabs>
          <w:tab w:val="left" w:pos="8364"/>
          <w:tab w:val="left" w:pos="9214"/>
        </w:tabs>
        <w:spacing w:line="276" w:lineRule="auto"/>
        <w:ind w:left="567" w:right="170" w:hanging="567"/>
        <w:jc w:val="both"/>
        <w:rPr>
          <w:rFonts w:asciiTheme="minorHAnsi" w:hAnsiTheme="minorHAnsi"/>
        </w:rPr>
      </w:pPr>
    </w:p>
    <w:p w14:paraId="29CAEEA9" w14:textId="77777777" w:rsidR="007B3FE0" w:rsidRDefault="00D4508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At common law</w:t>
      </w:r>
      <w:r w:rsidR="009051D2">
        <w:rPr>
          <w:rFonts w:asciiTheme="minorHAnsi" w:hAnsiTheme="minorHAnsi"/>
        </w:rPr>
        <w:t xml:space="preserve">, general deterrence (the need to impose punishment sufficient to deter other potential offenders from engaging in similar offending) </w:t>
      </w:r>
      <w:r w:rsidR="00B82365">
        <w:rPr>
          <w:rFonts w:asciiTheme="minorHAnsi" w:hAnsiTheme="minorHAnsi"/>
        </w:rPr>
        <w:t>has</w:t>
      </w:r>
      <w:r w:rsidR="009051D2">
        <w:rPr>
          <w:rFonts w:asciiTheme="minorHAnsi" w:hAnsiTheme="minorHAnsi"/>
        </w:rPr>
        <w:t xml:space="preserve"> </w:t>
      </w:r>
      <w:r>
        <w:rPr>
          <w:rFonts w:asciiTheme="minorHAnsi" w:hAnsiTheme="minorHAnsi"/>
        </w:rPr>
        <w:t xml:space="preserve">long </w:t>
      </w:r>
      <w:r w:rsidR="00B82365">
        <w:rPr>
          <w:rFonts w:asciiTheme="minorHAnsi" w:hAnsiTheme="minorHAnsi"/>
        </w:rPr>
        <w:t xml:space="preserve">been </w:t>
      </w:r>
      <w:r>
        <w:rPr>
          <w:rFonts w:asciiTheme="minorHAnsi" w:hAnsiTheme="minorHAnsi"/>
        </w:rPr>
        <w:t>regarded as one of the principal purposes of punishment</w:t>
      </w:r>
      <w:r w:rsidR="009051D2">
        <w:rPr>
          <w:rFonts w:asciiTheme="minorHAnsi" w:hAnsiTheme="minorHAnsi"/>
        </w:rPr>
        <w:t>.</w:t>
      </w:r>
      <w:r w:rsidR="005D108B" w:rsidRPr="00C00000">
        <w:rPr>
          <w:rStyle w:val="Style"/>
          <w:rFonts w:asciiTheme="minorHAnsi" w:hAnsiTheme="minorHAnsi"/>
        </w:rPr>
        <w:footnoteReference w:id="323"/>
      </w:r>
      <w:r w:rsidR="005D108B">
        <w:rPr>
          <w:rFonts w:asciiTheme="minorHAnsi" w:hAnsiTheme="minorHAnsi"/>
        </w:rPr>
        <w:t xml:space="preserve">  </w:t>
      </w:r>
      <w:r w:rsidR="007B3FE0">
        <w:rPr>
          <w:rFonts w:asciiTheme="minorHAnsi" w:hAnsiTheme="minorHAnsi"/>
        </w:rPr>
        <w:t>Although general deterrence is a quintessentially utilitarian principle, its origins as a sentencing principle of the common law long pre-date Mill or Bentham.</w:t>
      </w:r>
      <w:r w:rsidR="007B3FE0" w:rsidRPr="00C00000">
        <w:rPr>
          <w:rStyle w:val="Style"/>
          <w:rFonts w:asciiTheme="minorHAnsi" w:hAnsiTheme="minorHAnsi"/>
        </w:rPr>
        <w:footnoteReference w:id="324"/>
      </w:r>
    </w:p>
    <w:p w14:paraId="6932899B" w14:textId="77777777" w:rsidR="007B3FE0" w:rsidRPr="007B3FE0" w:rsidRDefault="007B3FE0" w:rsidP="007B3FE0">
      <w:pPr>
        <w:widowControl w:val="0"/>
        <w:spacing w:line="276" w:lineRule="auto"/>
        <w:ind w:right="170"/>
        <w:rPr>
          <w:rFonts w:asciiTheme="minorHAnsi" w:hAnsiTheme="minorHAnsi"/>
        </w:rPr>
      </w:pPr>
    </w:p>
    <w:p w14:paraId="52D5F2B3" w14:textId="0744D18F" w:rsidR="00D4508E" w:rsidRDefault="005D108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Prior to the enactment of s.16A, </w:t>
      </w:r>
      <w:r w:rsidR="00B82365">
        <w:rPr>
          <w:rFonts w:asciiTheme="minorHAnsi" w:hAnsiTheme="minorHAnsi"/>
        </w:rPr>
        <w:t xml:space="preserve">it </w:t>
      </w:r>
      <w:r w:rsidR="00B82365" w:rsidRPr="00B82365">
        <w:rPr>
          <w:rFonts w:asciiTheme="minorHAnsi" w:hAnsiTheme="minorHAnsi"/>
        </w:rPr>
        <w:t>was “perfectly clear” tha</w:t>
      </w:r>
      <w:r w:rsidR="00B82365">
        <w:rPr>
          <w:rFonts w:asciiTheme="minorHAnsi" w:hAnsiTheme="minorHAnsi"/>
        </w:rPr>
        <w:t>t a</w:t>
      </w:r>
      <w:r w:rsidR="00B82365" w:rsidRPr="00576EEE">
        <w:rPr>
          <w:rFonts w:ascii="Calibri" w:hAnsi="Calibri"/>
          <w:szCs w:val="22"/>
        </w:rPr>
        <w:t xml:space="preserve"> </w:t>
      </w:r>
      <w:r>
        <w:rPr>
          <w:rFonts w:asciiTheme="minorHAnsi" w:hAnsiTheme="minorHAnsi"/>
        </w:rPr>
        <w:t xml:space="preserve">court sentencing </w:t>
      </w:r>
      <w:r w:rsidR="00B82365">
        <w:rPr>
          <w:rFonts w:asciiTheme="minorHAnsi" w:hAnsiTheme="minorHAnsi"/>
        </w:rPr>
        <w:t xml:space="preserve">a </w:t>
      </w:r>
      <w:r>
        <w:rPr>
          <w:rFonts w:asciiTheme="minorHAnsi" w:hAnsiTheme="minorHAnsi"/>
        </w:rPr>
        <w:t>federal offender</w:t>
      </w:r>
      <w:r w:rsidR="00B82365">
        <w:rPr>
          <w:rFonts w:asciiTheme="minorHAnsi" w:hAnsiTheme="minorHAnsi"/>
        </w:rPr>
        <w:t xml:space="preserve"> was required to have regard</w:t>
      </w:r>
      <w:r>
        <w:rPr>
          <w:rFonts w:asciiTheme="minorHAnsi" w:hAnsiTheme="minorHAnsi"/>
        </w:rPr>
        <w:t xml:space="preserve"> to the need for general deterrence.</w:t>
      </w:r>
      <w:r w:rsidR="00B82365" w:rsidRPr="00C00000">
        <w:rPr>
          <w:rStyle w:val="Style"/>
          <w:rFonts w:asciiTheme="minorHAnsi" w:hAnsiTheme="minorHAnsi"/>
        </w:rPr>
        <w:footnoteReference w:id="325"/>
      </w:r>
    </w:p>
    <w:p w14:paraId="74CC8C60" w14:textId="77777777" w:rsidR="005D108B" w:rsidRPr="00C22F3C" w:rsidRDefault="005D108B" w:rsidP="005D108B">
      <w:pPr>
        <w:widowControl w:val="0"/>
        <w:spacing w:line="276" w:lineRule="auto"/>
        <w:ind w:right="170"/>
        <w:rPr>
          <w:rFonts w:asciiTheme="minorHAnsi" w:hAnsiTheme="minorHAnsi"/>
          <w:sz w:val="20"/>
        </w:rPr>
      </w:pPr>
    </w:p>
    <w:p w14:paraId="6632266D" w14:textId="77777777" w:rsidR="0016032B" w:rsidRDefault="0016032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originally enacted, s.16A did not refer to general deterrence</w:t>
      </w:r>
      <w:r w:rsidR="00A70616">
        <w:rPr>
          <w:rFonts w:asciiTheme="minorHAnsi" w:hAnsiTheme="minorHAnsi"/>
        </w:rPr>
        <w:t xml:space="preserve"> (even though it did refer, in s.16A(2)(j), to specific deterrence)</w:t>
      </w:r>
      <w:r>
        <w:rPr>
          <w:rFonts w:asciiTheme="minorHAnsi" w:hAnsiTheme="minorHAnsi"/>
        </w:rPr>
        <w:t xml:space="preserve">.  </w:t>
      </w:r>
      <w:r w:rsidR="00F704A1">
        <w:rPr>
          <w:rFonts w:asciiTheme="minorHAnsi" w:hAnsiTheme="minorHAnsi"/>
        </w:rPr>
        <w:t>However</w:t>
      </w:r>
      <w:r w:rsidR="00B82365">
        <w:rPr>
          <w:rFonts w:asciiTheme="minorHAnsi" w:hAnsiTheme="minorHAnsi"/>
        </w:rPr>
        <w:t>, despite the omission,</w:t>
      </w:r>
      <w:r w:rsidR="00F704A1">
        <w:rPr>
          <w:rFonts w:asciiTheme="minorHAnsi" w:hAnsiTheme="minorHAnsi"/>
        </w:rPr>
        <w:t xml:space="preserve"> s.16A was construed as preserving the requirement </w:t>
      </w:r>
      <w:r w:rsidR="00D4508E">
        <w:rPr>
          <w:rFonts w:asciiTheme="minorHAnsi" w:hAnsiTheme="minorHAnsi"/>
        </w:rPr>
        <w:t xml:space="preserve">for a court sentencing a federal offender to have regard to the need to deter others, through the requirement </w:t>
      </w:r>
      <w:r w:rsidR="00F704A1">
        <w:rPr>
          <w:rFonts w:asciiTheme="minorHAnsi" w:hAnsiTheme="minorHAnsi"/>
        </w:rPr>
        <w:t xml:space="preserve">in s.16A(1) to </w:t>
      </w:r>
      <w:r w:rsidR="00F704A1" w:rsidRPr="00FE16A4">
        <w:rPr>
          <w:rFonts w:asciiTheme="minorHAnsi" w:hAnsiTheme="minorHAnsi"/>
        </w:rPr>
        <w:t>impos</w:t>
      </w:r>
      <w:r w:rsidR="00F704A1">
        <w:rPr>
          <w:rFonts w:asciiTheme="minorHAnsi" w:hAnsiTheme="minorHAnsi"/>
        </w:rPr>
        <w:t>e</w:t>
      </w:r>
      <w:r w:rsidR="00F704A1" w:rsidRPr="00FE16A4">
        <w:rPr>
          <w:rFonts w:asciiTheme="minorHAnsi" w:hAnsiTheme="minorHAnsi"/>
        </w:rPr>
        <w:t xml:space="preserve"> a sentence "</w:t>
      </w:r>
      <w:r w:rsidR="00F704A1" w:rsidRPr="00A70616">
        <w:rPr>
          <w:rFonts w:asciiTheme="minorHAnsi" w:hAnsiTheme="minorHAnsi"/>
          <w:i/>
        </w:rPr>
        <w:t>of a severity appropriate in all the circumstances</w:t>
      </w:r>
      <w:r w:rsidR="00F704A1" w:rsidRPr="00FE16A4">
        <w:rPr>
          <w:rFonts w:asciiTheme="minorHAnsi" w:hAnsiTheme="minorHAnsi"/>
        </w:rPr>
        <w:t>"</w:t>
      </w:r>
      <w:r w:rsidR="00F704A1">
        <w:rPr>
          <w:rFonts w:asciiTheme="minorHAnsi" w:hAnsiTheme="minorHAnsi"/>
        </w:rPr>
        <w:t xml:space="preserve">, and the requirement in </w:t>
      </w:r>
      <w:r w:rsidR="00F704A1" w:rsidRPr="00FE16A4">
        <w:rPr>
          <w:rFonts w:asciiTheme="minorHAnsi" w:hAnsiTheme="minorHAnsi"/>
        </w:rPr>
        <w:t xml:space="preserve">s 16A(2)(k) </w:t>
      </w:r>
      <w:r w:rsidR="00F704A1">
        <w:rPr>
          <w:rFonts w:asciiTheme="minorHAnsi" w:hAnsiTheme="minorHAnsi"/>
        </w:rPr>
        <w:t xml:space="preserve">to have regard to </w:t>
      </w:r>
      <w:r w:rsidR="00F704A1" w:rsidRPr="00FE16A4">
        <w:rPr>
          <w:rFonts w:asciiTheme="minorHAnsi" w:hAnsiTheme="minorHAnsi"/>
        </w:rPr>
        <w:t>"</w:t>
      </w:r>
      <w:r w:rsidR="00F704A1" w:rsidRPr="00A70616">
        <w:rPr>
          <w:rFonts w:asciiTheme="minorHAnsi" w:hAnsiTheme="minorHAnsi"/>
          <w:i/>
        </w:rPr>
        <w:t>the need to ensure that the person is adequately punished for the offence</w:t>
      </w:r>
      <w:r w:rsidR="00F704A1" w:rsidRPr="00FE16A4">
        <w:rPr>
          <w:rFonts w:asciiTheme="minorHAnsi" w:hAnsiTheme="minorHAnsi"/>
        </w:rPr>
        <w:t>"</w:t>
      </w:r>
      <w:r w:rsidR="00D4508E">
        <w:rPr>
          <w:rFonts w:asciiTheme="minorHAnsi" w:hAnsiTheme="minorHAnsi"/>
        </w:rPr>
        <w:t>.</w:t>
      </w:r>
      <w:r w:rsidR="00D4508E" w:rsidRPr="00C00000">
        <w:rPr>
          <w:rStyle w:val="Style"/>
          <w:rFonts w:asciiTheme="minorHAnsi" w:hAnsiTheme="minorHAnsi"/>
        </w:rPr>
        <w:footnoteReference w:id="326"/>
      </w:r>
    </w:p>
    <w:p w14:paraId="2CF8FEA3" w14:textId="77777777" w:rsidR="0016032B" w:rsidRPr="0016032B" w:rsidRDefault="0016032B" w:rsidP="0016032B">
      <w:pPr>
        <w:widowControl w:val="0"/>
        <w:spacing w:line="276" w:lineRule="auto"/>
        <w:ind w:right="170"/>
        <w:rPr>
          <w:rFonts w:asciiTheme="minorHAnsi" w:hAnsiTheme="minorHAnsi"/>
        </w:rPr>
      </w:pPr>
    </w:p>
    <w:p w14:paraId="674D814A" w14:textId="77777777" w:rsidR="00066D01" w:rsidRDefault="002068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Following the insertion of </w:t>
      </w:r>
      <w:r w:rsidR="001C6AF7">
        <w:rPr>
          <w:rFonts w:asciiTheme="minorHAnsi" w:hAnsiTheme="minorHAnsi"/>
        </w:rPr>
        <w:t>p</w:t>
      </w:r>
      <w:r w:rsidR="00A70616">
        <w:rPr>
          <w:rFonts w:asciiTheme="minorHAnsi" w:hAnsiTheme="minorHAnsi"/>
        </w:rPr>
        <w:t xml:space="preserve">aragraph (ja) in s.16A(2) </w:t>
      </w:r>
      <w:r w:rsidR="001C6AF7">
        <w:rPr>
          <w:rFonts w:asciiTheme="minorHAnsi" w:hAnsiTheme="minorHAnsi"/>
        </w:rPr>
        <w:t>(</w:t>
      </w:r>
      <w:r w:rsidR="00A70616">
        <w:rPr>
          <w:rFonts w:asciiTheme="minorHAnsi" w:hAnsiTheme="minorHAnsi"/>
        </w:rPr>
        <w:t>with effect f</w:t>
      </w:r>
      <w:r w:rsidR="00CB46AA" w:rsidRPr="00C00000">
        <w:rPr>
          <w:rFonts w:asciiTheme="minorHAnsi" w:hAnsiTheme="minorHAnsi"/>
        </w:rPr>
        <w:t xml:space="preserve">rom </w:t>
      </w:r>
      <w:r w:rsidR="008D3FA2" w:rsidRPr="00C00000">
        <w:rPr>
          <w:rFonts w:asciiTheme="minorHAnsi" w:hAnsiTheme="minorHAnsi"/>
        </w:rPr>
        <w:t>27 November 2015</w:t>
      </w:r>
      <w:r w:rsidR="001C6AF7">
        <w:rPr>
          <w:rFonts w:asciiTheme="minorHAnsi" w:hAnsiTheme="minorHAnsi"/>
        </w:rPr>
        <w:t>)</w:t>
      </w:r>
      <w:r>
        <w:rPr>
          <w:rFonts w:asciiTheme="minorHAnsi" w:hAnsiTheme="minorHAnsi"/>
        </w:rPr>
        <w:t>,</w:t>
      </w:r>
      <w:r w:rsidR="001C6AF7" w:rsidRPr="00C00000">
        <w:rPr>
          <w:rStyle w:val="Style"/>
          <w:rFonts w:asciiTheme="minorHAnsi" w:hAnsiTheme="minorHAnsi"/>
        </w:rPr>
        <w:footnoteReference w:id="327"/>
      </w:r>
      <w:r w:rsidR="00A70616">
        <w:rPr>
          <w:rFonts w:asciiTheme="minorHAnsi" w:hAnsiTheme="minorHAnsi"/>
        </w:rPr>
        <w:t xml:space="preserve"> </w:t>
      </w:r>
      <w:r w:rsidR="008D3FA2" w:rsidRPr="00C00000">
        <w:rPr>
          <w:rFonts w:asciiTheme="minorHAnsi" w:hAnsiTheme="minorHAnsi"/>
        </w:rPr>
        <w:t>g</w:t>
      </w:r>
      <w:r w:rsidR="004436E0" w:rsidRPr="00C00000">
        <w:rPr>
          <w:rFonts w:asciiTheme="minorHAnsi" w:hAnsiTheme="minorHAnsi"/>
        </w:rPr>
        <w:t xml:space="preserve">eneral deterrence is </w:t>
      </w:r>
      <w:r w:rsidR="00CB46AA" w:rsidRPr="00C00000">
        <w:rPr>
          <w:rFonts w:asciiTheme="minorHAnsi" w:hAnsiTheme="minorHAnsi"/>
        </w:rPr>
        <w:t xml:space="preserve">now </w:t>
      </w:r>
      <w:r w:rsidR="001C6AF7">
        <w:rPr>
          <w:rFonts w:asciiTheme="minorHAnsi" w:hAnsiTheme="minorHAnsi"/>
        </w:rPr>
        <w:t xml:space="preserve">expressly </w:t>
      </w:r>
      <w:r>
        <w:rPr>
          <w:rFonts w:asciiTheme="minorHAnsi" w:hAnsiTheme="minorHAnsi"/>
        </w:rPr>
        <w:t xml:space="preserve">listed </w:t>
      </w:r>
      <w:r w:rsidR="008D3FA2" w:rsidRPr="00C00000">
        <w:rPr>
          <w:rFonts w:asciiTheme="minorHAnsi" w:hAnsiTheme="minorHAnsi"/>
        </w:rPr>
        <w:t xml:space="preserve">as a matter to be taken into account.  </w:t>
      </w:r>
      <w:r w:rsidR="001C6AF7">
        <w:rPr>
          <w:rFonts w:asciiTheme="minorHAnsi" w:hAnsiTheme="minorHAnsi"/>
        </w:rPr>
        <w:t xml:space="preserve">In </w:t>
      </w:r>
      <w:r w:rsidR="001C6AF7" w:rsidRPr="001C6AF7">
        <w:rPr>
          <w:rFonts w:asciiTheme="minorHAnsi" w:hAnsiTheme="minorHAnsi"/>
          <w:i/>
        </w:rPr>
        <w:t>Aitchison</w:t>
      </w:r>
      <w:r w:rsidR="001C6AF7">
        <w:rPr>
          <w:rFonts w:asciiTheme="minorHAnsi" w:hAnsiTheme="minorHAnsi"/>
        </w:rPr>
        <w:t>,</w:t>
      </w:r>
      <w:r w:rsidR="001C6AF7" w:rsidRPr="00C00000">
        <w:rPr>
          <w:rStyle w:val="Style"/>
          <w:rFonts w:asciiTheme="minorHAnsi" w:hAnsiTheme="minorHAnsi"/>
        </w:rPr>
        <w:footnoteReference w:id="328"/>
      </w:r>
      <w:r w:rsidR="001C6AF7">
        <w:rPr>
          <w:rFonts w:asciiTheme="minorHAnsi" w:hAnsiTheme="minorHAnsi"/>
        </w:rPr>
        <w:t xml:space="preserve"> the </w:t>
      </w:r>
      <w:r w:rsidR="001C6AF7" w:rsidRPr="001C6AF7">
        <w:rPr>
          <w:rFonts w:asciiTheme="minorHAnsi" w:hAnsiTheme="minorHAnsi"/>
        </w:rPr>
        <w:t>Victoria</w:t>
      </w:r>
      <w:r w:rsidR="001C6AF7">
        <w:rPr>
          <w:rFonts w:asciiTheme="minorHAnsi" w:hAnsiTheme="minorHAnsi"/>
        </w:rPr>
        <w:t xml:space="preserve">n </w:t>
      </w:r>
      <w:r w:rsidR="001C6AF7" w:rsidRPr="001C6AF7">
        <w:rPr>
          <w:rFonts w:asciiTheme="minorHAnsi" w:hAnsiTheme="minorHAnsi"/>
        </w:rPr>
        <w:t>Court of Appeal</w:t>
      </w:r>
      <w:r w:rsidR="001C6AF7">
        <w:rPr>
          <w:rFonts w:asciiTheme="minorHAnsi" w:hAnsiTheme="minorHAnsi"/>
        </w:rPr>
        <w:t xml:space="preserve"> held that t</w:t>
      </w:r>
      <w:r w:rsidR="00066D01">
        <w:rPr>
          <w:rFonts w:asciiTheme="minorHAnsi" w:hAnsiTheme="minorHAnsi"/>
        </w:rPr>
        <w:t>he listing of general deterrence in s.16A(2)</w:t>
      </w:r>
      <w:r w:rsidR="001C6AF7">
        <w:rPr>
          <w:rFonts w:asciiTheme="minorHAnsi" w:hAnsiTheme="minorHAnsi"/>
        </w:rPr>
        <w:t xml:space="preserve">(ja) effected no change to the law, and did not support any </w:t>
      </w:r>
      <w:r w:rsidR="00BE6821">
        <w:rPr>
          <w:rFonts w:asciiTheme="minorHAnsi" w:hAnsiTheme="minorHAnsi"/>
        </w:rPr>
        <w:t>inference</w:t>
      </w:r>
      <w:r w:rsidR="001C6AF7">
        <w:rPr>
          <w:rFonts w:asciiTheme="minorHAnsi" w:hAnsiTheme="minorHAnsi"/>
        </w:rPr>
        <w:t xml:space="preserve"> that general deterrence was not previously a factor in </w:t>
      </w:r>
      <w:r w:rsidR="00BE6821">
        <w:rPr>
          <w:rFonts w:asciiTheme="minorHAnsi" w:hAnsiTheme="minorHAnsi"/>
        </w:rPr>
        <w:t xml:space="preserve">the </w:t>
      </w:r>
      <w:r w:rsidR="001C6AF7">
        <w:rPr>
          <w:rFonts w:asciiTheme="minorHAnsi" w:hAnsiTheme="minorHAnsi"/>
        </w:rPr>
        <w:t>sentencing</w:t>
      </w:r>
      <w:r w:rsidR="00BE6821">
        <w:rPr>
          <w:rFonts w:asciiTheme="minorHAnsi" w:hAnsiTheme="minorHAnsi"/>
        </w:rPr>
        <w:t xml:space="preserve"> of </w:t>
      </w:r>
      <w:r w:rsidR="00985E9F">
        <w:rPr>
          <w:rFonts w:asciiTheme="minorHAnsi" w:hAnsiTheme="minorHAnsi"/>
        </w:rPr>
        <w:t>a federal offender</w:t>
      </w:r>
      <w:r w:rsidR="001C6AF7">
        <w:rPr>
          <w:rFonts w:asciiTheme="minorHAnsi" w:hAnsiTheme="minorHAnsi"/>
        </w:rPr>
        <w:t>.</w:t>
      </w:r>
      <w:r w:rsidR="004436E0" w:rsidRPr="00C00000">
        <w:rPr>
          <w:rFonts w:asciiTheme="minorHAnsi" w:hAnsiTheme="minorHAnsi"/>
        </w:rPr>
        <w:t xml:space="preserve"> </w:t>
      </w:r>
    </w:p>
    <w:p w14:paraId="2365D810" w14:textId="77777777" w:rsidR="00066D01" w:rsidRPr="00066D01" w:rsidRDefault="00066D01" w:rsidP="00066D01">
      <w:pPr>
        <w:widowControl w:val="0"/>
        <w:spacing w:line="276" w:lineRule="auto"/>
        <w:ind w:right="170"/>
        <w:rPr>
          <w:rFonts w:asciiTheme="minorHAnsi" w:hAnsiTheme="minorHAnsi"/>
        </w:rPr>
      </w:pPr>
    </w:p>
    <w:p w14:paraId="151EB209" w14:textId="424C3EEF" w:rsidR="00A21896" w:rsidRDefault="00680E9A"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General deterrence </w:t>
      </w:r>
      <w:r>
        <w:rPr>
          <w:rFonts w:asciiTheme="minorHAnsi" w:hAnsiTheme="minorHAnsi"/>
        </w:rPr>
        <w:t xml:space="preserve">must be given </w:t>
      </w:r>
      <w:r w:rsidR="00A21896">
        <w:rPr>
          <w:rFonts w:asciiTheme="minorHAnsi" w:hAnsiTheme="minorHAnsi"/>
        </w:rPr>
        <w:t>considerable</w:t>
      </w:r>
      <w:r>
        <w:rPr>
          <w:rFonts w:asciiTheme="minorHAnsi" w:hAnsiTheme="minorHAnsi"/>
        </w:rPr>
        <w:t xml:space="preserve"> weight </w:t>
      </w:r>
      <w:r w:rsidR="00A21896">
        <w:rPr>
          <w:rFonts w:asciiTheme="minorHAnsi" w:hAnsiTheme="minorHAnsi"/>
        </w:rPr>
        <w:t xml:space="preserve">where the offending is </w:t>
      </w:r>
      <w:r w:rsidR="0043334C">
        <w:rPr>
          <w:rFonts w:asciiTheme="minorHAnsi" w:hAnsiTheme="minorHAnsi"/>
        </w:rPr>
        <w:t xml:space="preserve">of a kind which </w:t>
      </w:r>
      <w:r w:rsidR="00A21896">
        <w:rPr>
          <w:rFonts w:asciiTheme="minorHAnsi" w:hAnsiTheme="minorHAnsi"/>
        </w:rPr>
        <w:t>can cause great harm</w:t>
      </w:r>
      <w:r>
        <w:rPr>
          <w:rFonts w:asciiTheme="minorHAnsi" w:hAnsiTheme="minorHAnsi"/>
        </w:rPr>
        <w:t xml:space="preserve">, including </w:t>
      </w:r>
      <w:r w:rsidR="00894E67">
        <w:rPr>
          <w:rFonts w:asciiTheme="minorHAnsi" w:hAnsiTheme="minorHAnsi"/>
        </w:rPr>
        <w:t>terrorism</w:t>
      </w:r>
      <w:r>
        <w:rPr>
          <w:rFonts w:asciiTheme="minorHAnsi" w:hAnsiTheme="minorHAnsi"/>
        </w:rPr>
        <w:t>,</w:t>
      </w:r>
      <w:r w:rsidR="00894E67" w:rsidRPr="00C00000">
        <w:rPr>
          <w:rStyle w:val="Style"/>
          <w:rFonts w:asciiTheme="minorHAnsi" w:hAnsiTheme="minorHAnsi"/>
        </w:rPr>
        <w:footnoteReference w:id="329"/>
      </w:r>
      <w:r>
        <w:rPr>
          <w:rFonts w:asciiTheme="minorHAnsi" w:hAnsiTheme="minorHAnsi"/>
        </w:rPr>
        <w:t xml:space="preserve"> </w:t>
      </w:r>
      <w:r w:rsidR="00910A59">
        <w:rPr>
          <w:rFonts w:asciiTheme="minorHAnsi" w:hAnsiTheme="minorHAnsi"/>
        </w:rPr>
        <w:t>serious drug offences,</w:t>
      </w:r>
      <w:r w:rsidR="00910A59" w:rsidRPr="00C00000">
        <w:rPr>
          <w:rStyle w:val="Style"/>
          <w:rFonts w:asciiTheme="minorHAnsi" w:hAnsiTheme="minorHAnsi"/>
        </w:rPr>
        <w:footnoteReference w:id="330"/>
      </w:r>
      <w:r w:rsidR="00910A59">
        <w:rPr>
          <w:rFonts w:asciiTheme="minorHAnsi" w:hAnsiTheme="minorHAnsi"/>
        </w:rPr>
        <w:t xml:space="preserve"> </w:t>
      </w:r>
      <w:r w:rsidR="00894E67">
        <w:rPr>
          <w:rFonts w:asciiTheme="minorHAnsi" w:hAnsiTheme="minorHAnsi"/>
        </w:rPr>
        <w:t xml:space="preserve">serious frauds on the </w:t>
      </w:r>
      <w:r w:rsidR="00894E67" w:rsidRPr="00894E67">
        <w:rPr>
          <w:rFonts w:asciiTheme="minorHAnsi" w:hAnsiTheme="minorHAnsi"/>
        </w:rPr>
        <w:t>Commonwealth</w:t>
      </w:r>
      <w:r w:rsidR="00894E67">
        <w:rPr>
          <w:rFonts w:asciiTheme="minorHAnsi" w:hAnsiTheme="minorHAnsi"/>
        </w:rPr>
        <w:t xml:space="preserve"> and its agencies,</w:t>
      </w:r>
      <w:r w:rsidR="00894E67" w:rsidRPr="00C00000">
        <w:rPr>
          <w:rStyle w:val="Style"/>
          <w:rFonts w:asciiTheme="minorHAnsi" w:hAnsiTheme="minorHAnsi"/>
        </w:rPr>
        <w:footnoteReference w:id="331"/>
      </w:r>
      <w:r w:rsidR="00894E67">
        <w:rPr>
          <w:rFonts w:asciiTheme="minorHAnsi" w:hAnsiTheme="minorHAnsi"/>
        </w:rPr>
        <w:t xml:space="preserve"> </w:t>
      </w:r>
      <w:r w:rsidR="008E0017">
        <w:rPr>
          <w:rFonts w:asciiTheme="minorHAnsi" w:hAnsiTheme="minorHAnsi"/>
        </w:rPr>
        <w:t>illegal importation of firearms for commercial gain,</w:t>
      </w:r>
      <w:r w:rsidR="008E0017" w:rsidRPr="00C00000">
        <w:rPr>
          <w:rStyle w:val="Style"/>
          <w:rFonts w:asciiTheme="minorHAnsi" w:hAnsiTheme="minorHAnsi"/>
        </w:rPr>
        <w:footnoteReference w:id="332"/>
      </w:r>
      <w:r w:rsidR="008E0017">
        <w:rPr>
          <w:rFonts w:asciiTheme="minorHAnsi" w:hAnsiTheme="minorHAnsi"/>
        </w:rPr>
        <w:t xml:space="preserve"> </w:t>
      </w:r>
      <w:r w:rsidR="00894E67" w:rsidRPr="00894E67">
        <w:rPr>
          <w:rFonts w:asciiTheme="minorHAnsi" w:hAnsiTheme="minorHAnsi"/>
        </w:rPr>
        <w:t>insider trading</w:t>
      </w:r>
      <w:r w:rsidR="00591A44">
        <w:rPr>
          <w:rFonts w:asciiTheme="minorHAnsi" w:hAnsiTheme="minorHAnsi"/>
        </w:rPr>
        <w:t xml:space="preserve"> and market manipulation</w:t>
      </w:r>
      <w:r w:rsidR="00894E67">
        <w:rPr>
          <w:rFonts w:asciiTheme="minorHAnsi" w:hAnsiTheme="minorHAnsi"/>
        </w:rPr>
        <w:t>,</w:t>
      </w:r>
      <w:r w:rsidR="00894E67" w:rsidRPr="00C00000">
        <w:rPr>
          <w:rStyle w:val="Style"/>
          <w:rFonts w:asciiTheme="minorHAnsi" w:hAnsiTheme="minorHAnsi"/>
        </w:rPr>
        <w:footnoteReference w:id="333"/>
      </w:r>
      <w:r w:rsidR="00894E67" w:rsidRPr="00894E67">
        <w:rPr>
          <w:rFonts w:asciiTheme="minorHAnsi" w:hAnsiTheme="minorHAnsi"/>
        </w:rPr>
        <w:t xml:space="preserve"> </w:t>
      </w:r>
      <w:r>
        <w:rPr>
          <w:rFonts w:asciiTheme="minorHAnsi" w:hAnsiTheme="minorHAnsi"/>
        </w:rPr>
        <w:t xml:space="preserve">and offences </w:t>
      </w:r>
      <w:r w:rsidRPr="00C00000">
        <w:rPr>
          <w:rFonts w:asciiTheme="minorHAnsi" w:hAnsiTheme="minorHAnsi"/>
        </w:rPr>
        <w:t>involving the accessing and possession of child pornography.</w:t>
      </w:r>
      <w:r w:rsidRPr="00C00000">
        <w:rPr>
          <w:rStyle w:val="Style"/>
          <w:rFonts w:asciiTheme="minorHAnsi" w:hAnsiTheme="minorHAnsi"/>
        </w:rPr>
        <w:footnoteReference w:id="334"/>
      </w:r>
    </w:p>
    <w:p w14:paraId="55A0BD0A" w14:textId="77777777" w:rsidR="00A21896" w:rsidRPr="00A21896" w:rsidRDefault="00A21896" w:rsidP="00A21896">
      <w:pPr>
        <w:widowControl w:val="0"/>
        <w:spacing w:line="276" w:lineRule="auto"/>
        <w:ind w:right="170"/>
        <w:rPr>
          <w:rFonts w:asciiTheme="minorHAnsi" w:hAnsiTheme="minorHAnsi"/>
        </w:rPr>
      </w:pPr>
    </w:p>
    <w:p w14:paraId="12810433" w14:textId="1160A8C0" w:rsidR="00816EDD" w:rsidRDefault="00894E67" w:rsidP="00EB7F1E">
      <w:pPr>
        <w:pStyle w:val="ListParagraph"/>
        <w:numPr>
          <w:ilvl w:val="0"/>
          <w:numId w:val="7"/>
        </w:numPr>
        <w:spacing w:line="276" w:lineRule="auto"/>
        <w:ind w:left="425" w:hanging="425"/>
        <w:contextualSpacing w:val="0"/>
        <w:rPr>
          <w:rFonts w:asciiTheme="minorHAnsi" w:hAnsiTheme="minorHAnsi"/>
        </w:rPr>
      </w:pPr>
      <w:r w:rsidRPr="00894E67">
        <w:rPr>
          <w:rFonts w:asciiTheme="minorHAnsi" w:hAnsiTheme="minorHAnsi"/>
        </w:rPr>
        <w:t xml:space="preserve">General deterrence is often given particular weight in sentencing for offences committed for financial gain and </w:t>
      </w:r>
      <w:r w:rsidR="00F47D0C">
        <w:rPr>
          <w:rFonts w:asciiTheme="minorHAnsi" w:hAnsiTheme="minorHAnsi"/>
        </w:rPr>
        <w:t>character</w:t>
      </w:r>
      <w:r w:rsidR="00B86888">
        <w:rPr>
          <w:rFonts w:asciiTheme="minorHAnsi" w:hAnsiTheme="minorHAnsi"/>
        </w:rPr>
        <w:t>ised</w:t>
      </w:r>
      <w:r w:rsidRPr="00894E67">
        <w:rPr>
          <w:rFonts w:asciiTheme="minorHAnsi" w:hAnsiTheme="minorHAnsi"/>
        </w:rPr>
        <w:t xml:space="preserve"> by premeditation and calculation of risk, </w:t>
      </w:r>
      <w:r>
        <w:rPr>
          <w:rFonts w:asciiTheme="minorHAnsi" w:hAnsiTheme="minorHAnsi"/>
        </w:rPr>
        <w:t>because t</w:t>
      </w:r>
      <w:r w:rsidRPr="00894E67">
        <w:rPr>
          <w:rFonts w:asciiTheme="minorHAnsi" w:hAnsiTheme="minorHAnsi"/>
        </w:rPr>
        <w:t>he perpetrators of such offences “</w:t>
      </w:r>
      <w:r w:rsidRPr="00894E67">
        <w:rPr>
          <w:rFonts w:asciiTheme="minorHAnsi" w:hAnsiTheme="minorHAnsi"/>
          <w:i/>
        </w:rPr>
        <w:t>are likely to be rational, profit seeking individuals who can weigh the benefits of committing a crime against the costs of being caught and punished</w:t>
      </w:r>
      <w:r w:rsidRPr="00894E67">
        <w:rPr>
          <w:rFonts w:asciiTheme="minorHAnsi" w:hAnsiTheme="minorHAnsi"/>
        </w:rPr>
        <w:t>”</w:t>
      </w:r>
      <w:r>
        <w:rPr>
          <w:rFonts w:asciiTheme="minorHAnsi" w:hAnsiTheme="minorHAnsi"/>
        </w:rPr>
        <w:t>.</w:t>
      </w:r>
      <w:r w:rsidRPr="00C00000">
        <w:rPr>
          <w:rStyle w:val="Style"/>
          <w:rFonts w:asciiTheme="minorHAnsi" w:hAnsiTheme="minorHAnsi"/>
        </w:rPr>
        <w:footnoteReference w:id="335"/>
      </w:r>
    </w:p>
    <w:p w14:paraId="7A8ACAA7" w14:textId="77777777" w:rsidR="00816EDD" w:rsidRPr="00816EDD" w:rsidRDefault="00816EDD" w:rsidP="00816EDD">
      <w:pPr>
        <w:widowControl w:val="0"/>
        <w:spacing w:line="276" w:lineRule="auto"/>
        <w:ind w:right="170"/>
        <w:rPr>
          <w:rFonts w:asciiTheme="minorHAnsi" w:hAnsiTheme="minorHAnsi"/>
        </w:rPr>
      </w:pPr>
    </w:p>
    <w:p w14:paraId="398D565D" w14:textId="10813C1E" w:rsidR="00AA596B" w:rsidRDefault="00816ED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Where </w:t>
      </w:r>
      <w:r w:rsidR="00207A68">
        <w:rPr>
          <w:rFonts w:asciiTheme="minorHAnsi" w:hAnsiTheme="minorHAnsi"/>
        </w:rPr>
        <w:t>imprisonment is required to give effect to the need for general deterrence, it</w:t>
      </w:r>
      <w:r>
        <w:rPr>
          <w:rFonts w:asciiTheme="minorHAnsi" w:hAnsiTheme="minorHAnsi"/>
        </w:rPr>
        <w:t xml:space="preserve"> must be reflected </w:t>
      </w:r>
      <w:r w:rsidRPr="00207A68">
        <w:rPr>
          <w:rStyle w:val="verdana"/>
          <w:rFonts w:asciiTheme="minorHAnsi" w:hAnsiTheme="minorHAnsi"/>
        </w:rPr>
        <w:t>in both the head sentence and in any provision for earlier release from custody</w:t>
      </w:r>
      <w:r w:rsidR="00207A68" w:rsidRPr="00207A68">
        <w:rPr>
          <w:rStyle w:val="verdana"/>
          <w:rFonts w:asciiTheme="minorHAnsi" w:hAnsiTheme="minorHAnsi"/>
        </w:rPr>
        <w:t>;</w:t>
      </w:r>
      <w:r w:rsidRPr="00576EEE">
        <w:rPr>
          <w:rStyle w:val="verdana"/>
          <w:rFonts w:ascii="Calibri" w:hAnsi="Calibri"/>
        </w:rPr>
        <w:t xml:space="preserve"> </w:t>
      </w:r>
      <w:r w:rsidR="00207A68" w:rsidRPr="00207A68">
        <w:rPr>
          <w:rStyle w:val="verdana"/>
          <w:rFonts w:asciiTheme="minorHAnsi" w:hAnsiTheme="minorHAnsi"/>
        </w:rPr>
        <w:t>t</w:t>
      </w:r>
      <w:r w:rsidRPr="00207A68">
        <w:rPr>
          <w:rStyle w:val="verdana"/>
          <w:rFonts w:asciiTheme="minorHAnsi" w:hAnsiTheme="minorHAnsi"/>
        </w:rPr>
        <w:t>he</w:t>
      </w:r>
      <w:r w:rsidR="00E439C0">
        <w:rPr>
          <w:rStyle w:val="verdana"/>
          <w:rFonts w:asciiTheme="minorHAnsi" w:hAnsiTheme="minorHAnsi"/>
        </w:rPr>
        <w:t xml:space="preserve"> period that the offender must </w:t>
      </w:r>
      <w:r w:rsidRPr="00207A68">
        <w:rPr>
          <w:rStyle w:val="verdana"/>
          <w:rFonts w:asciiTheme="minorHAnsi" w:hAnsiTheme="minorHAnsi"/>
        </w:rPr>
        <w:t>actually serve in custody is a matter of first importance in ensuring appropriate deterrence and punishment.</w:t>
      </w:r>
      <w:r w:rsidR="00207A68" w:rsidRPr="00C00000">
        <w:rPr>
          <w:rStyle w:val="Style"/>
          <w:rFonts w:asciiTheme="minorHAnsi" w:hAnsiTheme="minorHAnsi"/>
        </w:rPr>
        <w:footnoteReference w:id="336"/>
      </w:r>
    </w:p>
    <w:p w14:paraId="7E3704A0" w14:textId="77777777" w:rsidR="001E337B" w:rsidRPr="00894E67" w:rsidRDefault="001E337B">
      <w:pPr>
        <w:widowControl w:val="0"/>
        <w:spacing w:line="276" w:lineRule="auto"/>
        <w:ind w:right="170"/>
        <w:rPr>
          <w:rFonts w:asciiTheme="minorHAnsi" w:hAnsiTheme="minorHAnsi"/>
          <w:sz w:val="20"/>
        </w:rPr>
      </w:pPr>
    </w:p>
    <w:p w14:paraId="1FB95BF9" w14:textId="1C845DFD" w:rsidR="004436E0" w:rsidRPr="00C00000" w:rsidRDefault="00BE682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On the other hand, g</w:t>
      </w:r>
      <w:r w:rsidR="004436E0" w:rsidRPr="00C00000">
        <w:rPr>
          <w:rFonts w:asciiTheme="minorHAnsi" w:hAnsiTheme="minorHAnsi"/>
        </w:rPr>
        <w:t xml:space="preserve">eneral deterrence should often be given </w:t>
      </w:r>
      <w:r w:rsidR="00245875">
        <w:rPr>
          <w:rFonts w:asciiTheme="minorHAnsi" w:hAnsiTheme="minorHAnsi"/>
        </w:rPr>
        <w:t>less</w:t>
      </w:r>
      <w:r w:rsidR="004436E0" w:rsidRPr="00C00000">
        <w:rPr>
          <w:rFonts w:asciiTheme="minorHAnsi" w:hAnsiTheme="minorHAnsi"/>
        </w:rPr>
        <w:t xml:space="preserve"> weight in the case of an offender suffering from mental illness or intellectual handicap.</w:t>
      </w:r>
      <w:r w:rsidR="004436E0" w:rsidRPr="00C00000">
        <w:rPr>
          <w:rStyle w:val="Style"/>
          <w:rFonts w:asciiTheme="minorHAnsi" w:hAnsiTheme="minorHAnsi"/>
        </w:rPr>
        <w:footnoteReference w:id="337"/>
      </w:r>
      <w:r w:rsidR="008D3FA2" w:rsidRPr="00C00000">
        <w:rPr>
          <w:rFonts w:asciiTheme="minorHAnsi" w:hAnsiTheme="minorHAnsi"/>
        </w:rPr>
        <w:t xml:space="preserve">  </w:t>
      </w:r>
      <w:r w:rsidR="00680E9A">
        <w:rPr>
          <w:rFonts w:asciiTheme="minorHAnsi" w:hAnsiTheme="minorHAnsi"/>
        </w:rPr>
        <w:t>Considerations of general deterrence are also commonly moderated in sentencing a young offender</w:t>
      </w:r>
      <w:r w:rsidR="00C21F17">
        <w:rPr>
          <w:rFonts w:asciiTheme="minorHAnsi" w:hAnsiTheme="minorHAnsi"/>
        </w:rPr>
        <w:t>,</w:t>
      </w:r>
      <w:r w:rsidR="00145D83" w:rsidRPr="00C00000">
        <w:rPr>
          <w:rStyle w:val="Style"/>
          <w:rFonts w:asciiTheme="minorHAnsi" w:hAnsiTheme="minorHAnsi"/>
        </w:rPr>
        <w:footnoteReference w:id="338"/>
      </w:r>
      <w:r w:rsidR="00C21F17">
        <w:rPr>
          <w:rFonts w:asciiTheme="minorHAnsi" w:hAnsiTheme="minorHAnsi"/>
        </w:rPr>
        <w:t xml:space="preserve"> although </w:t>
      </w:r>
      <w:r w:rsidR="008D15BF">
        <w:rPr>
          <w:rFonts w:asciiTheme="minorHAnsi" w:hAnsiTheme="minorHAnsi"/>
        </w:rPr>
        <w:t xml:space="preserve">less so when </w:t>
      </w:r>
      <w:r w:rsidR="008D15BF" w:rsidRPr="008D15BF">
        <w:rPr>
          <w:rFonts w:asciiTheme="minorHAnsi" w:hAnsiTheme="minorHAnsi"/>
        </w:rPr>
        <w:t>the offender has been involved in serious and dangerous offending</w:t>
      </w:r>
      <w:r w:rsidR="008D15BF">
        <w:rPr>
          <w:rFonts w:asciiTheme="minorHAnsi" w:hAnsiTheme="minorHAnsi"/>
        </w:rPr>
        <w:t>, particularly where the offending has all the hallmarks of adult offending.</w:t>
      </w:r>
      <w:r w:rsidR="008D15BF" w:rsidRPr="00C00000">
        <w:rPr>
          <w:rStyle w:val="Style"/>
          <w:rFonts w:asciiTheme="minorHAnsi" w:hAnsiTheme="minorHAnsi"/>
        </w:rPr>
        <w:footnoteReference w:id="339"/>
      </w:r>
      <w:r w:rsidR="00480DD5">
        <w:rPr>
          <w:rFonts w:asciiTheme="minorHAnsi" w:hAnsiTheme="minorHAnsi"/>
        </w:rPr>
        <w:t xml:space="preserve">  </w:t>
      </w:r>
      <w:r w:rsidR="00D75ECB">
        <w:rPr>
          <w:rFonts w:asciiTheme="minorHAnsi" w:hAnsiTheme="minorHAnsi"/>
        </w:rPr>
        <w:t>In sentencing a young offender, t</w:t>
      </w:r>
      <w:r w:rsidR="00480DD5" w:rsidRPr="00480DD5">
        <w:rPr>
          <w:rFonts w:asciiTheme="minorHAnsi" w:hAnsiTheme="minorHAnsi"/>
        </w:rPr>
        <w:t>he greater the objective gravity of an offence, the less likely it is that general deterrence</w:t>
      </w:r>
      <w:r w:rsidR="00D75ECB">
        <w:rPr>
          <w:rFonts w:asciiTheme="minorHAnsi" w:hAnsiTheme="minorHAnsi"/>
        </w:rPr>
        <w:t xml:space="preserve"> (or denunciation</w:t>
      </w:r>
      <w:r w:rsidR="00480DD5" w:rsidRPr="00480DD5">
        <w:rPr>
          <w:rFonts w:asciiTheme="minorHAnsi" w:hAnsiTheme="minorHAnsi"/>
        </w:rPr>
        <w:t xml:space="preserve"> </w:t>
      </w:r>
      <w:r w:rsidR="00D75ECB">
        <w:rPr>
          <w:rFonts w:asciiTheme="minorHAnsi" w:hAnsiTheme="minorHAnsi"/>
        </w:rPr>
        <w:t>or</w:t>
      </w:r>
      <w:r w:rsidR="00480DD5" w:rsidRPr="00480DD5">
        <w:rPr>
          <w:rFonts w:asciiTheme="minorHAnsi" w:hAnsiTheme="minorHAnsi"/>
        </w:rPr>
        <w:t xml:space="preserve"> retribution</w:t>
      </w:r>
      <w:r w:rsidR="00D75ECB">
        <w:rPr>
          <w:rFonts w:asciiTheme="minorHAnsi" w:hAnsiTheme="minorHAnsi"/>
        </w:rPr>
        <w:t>)</w:t>
      </w:r>
      <w:r w:rsidR="00480DD5" w:rsidRPr="00480DD5">
        <w:rPr>
          <w:rFonts w:asciiTheme="minorHAnsi" w:hAnsiTheme="minorHAnsi"/>
        </w:rPr>
        <w:t xml:space="preserve"> will cede to the interests of rehabilitation</w:t>
      </w:r>
      <w:r w:rsidR="00D75ECB">
        <w:rPr>
          <w:rFonts w:asciiTheme="minorHAnsi" w:hAnsiTheme="minorHAnsi"/>
        </w:rPr>
        <w:t>.</w:t>
      </w:r>
      <w:r w:rsidR="00117598" w:rsidRPr="00C00000">
        <w:rPr>
          <w:rStyle w:val="Style"/>
          <w:rFonts w:asciiTheme="minorHAnsi" w:hAnsiTheme="minorHAnsi"/>
        </w:rPr>
        <w:footnoteReference w:id="340"/>
      </w:r>
    </w:p>
    <w:p w14:paraId="250A1E06" w14:textId="77777777" w:rsidR="008A45D5" w:rsidRPr="00C00000" w:rsidRDefault="008A45D5" w:rsidP="007C11C2">
      <w:pPr>
        <w:pStyle w:val="ListParagraph"/>
        <w:spacing w:line="276" w:lineRule="auto"/>
        <w:ind w:left="873" w:right="170"/>
        <w:rPr>
          <w:rFonts w:asciiTheme="minorHAnsi" w:hAnsiTheme="minorHAnsi"/>
        </w:rPr>
      </w:pPr>
    </w:p>
    <w:p w14:paraId="102E995C" w14:textId="4F5230EC" w:rsidR="001E337B" w:rsidRPr="00C14A45" w:rsidRDefault="00BA2B0B" w:rsidP="00C14A45">
      <w:pPr>
        <w:pStyle w:val="Heading3"/>
      </w:pPr>
      <w:bookmarkStart w:id="1436" w:name="_Ref507608389"/>
      <w:bookmarkStart w:id="1437" w:name="_Ref507608392"/>
      <w:bookmarkStart w:id="1438" w:name="_Toc33602797"/>
      <w:r w:rsidRPr="00C14A45">
        <w:t>Character, antecedents, age, means, physical/mental condition – s 16A(2)(m)</w:t>
      </w:r>
      <w:bookmarkEnd w:id="1436"/>
      <w:bookmarkEnd w:id="1437"/>
      <w:bookmarkEnd w:id="1438"/>
    </w:p>
    <w:p w14:paraId="66BE1558" w14:textId="77777777" w:rsidR="000608FA" w:rsidRPr="00C00000" w:rsidRDefault="000608FA" w:rsidP="00C14A45">
      <w:pPr>
        <w:pStyle w:val="NormalIndent"/>
        <w:keepNext/>
        <w:widowControl w:val="0"/>
        <w:spacing w:line="276" w:lineRule="auto"/>
        <w:ind w:left="720" w:right="170"/>
        <w:rPr>
          <w:rFonts w:asciiTheme="minorHAnsi" w:hAnsiTheme="minorHAnsi"/>
          <w:lang w:eastAsia="en-AU"/>
        </w:rPr>
      </w:pPr>
    </w:p>
    <w:p w14:paraId="1EAE849F" w14:textId="29BEFC14" w:rsidR="005243EB" w:rsidRPr="00752A05" w:rsidRDefault="005243E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Paragraph (m) of s 16A(2) </w:t>
      </w:r>
      <w:r w:rsidR="00752A05">
        <w:rPr>
          <w:rFonts w:asciiTheme="minorHAnsi" w:hAnsiTheme="minorHAnsi"/>
        </w:rPr>
        <w:t>requires the sentencing court to have regard to “</w:t>
      </w:r>
      <w:r w:rsidR="00752A05" w:rsidRPr="00C00000">
        <w:rPr>
          <w:rFonts w:asciiTheme="minorHAnsi" w:hAnsiTheme="minorHAnsi"/>
          <w:i/>
          <w:color w:val="000000"/>
          <w:szCs w:val="22"/>
          <w:lang w:eastAsia="en-AU"/>
        </w:rPr>
        <w:t>the character, antecedents, age, means and physical or mental condition</w:t>
      </w:r>
      <w:r w:rsidR="00752A05">
        <w:rPr>
          <w:rFonts w:asciiTheme="minorHAnsi" w:hAnsiTheme="minorHAnsi"/>
          <w:i/>
          <w:color w:val="000000"/>
          <w:szCs w:val="22"/>
          <w:lang w:eastAsia="en-AU"/>
        </w:rPr>
        <w:t>”</w:t>
      </w:r>
      <w:r w:rsidR="00752A05" w:rsidRPr="00C00000">
        <w:rPr>
          <w:rFonts w:asciiTheme="minorHAnsi" w:hAnsiTheme="minorHAnsi"/>
          <w:i/>
          <w:color w:val="000000"/>
          <w:szCs w:val="22"/>
          <w:lang w:eastAsia="en-AU"/>
        </w:rPr>
        <w:t xml:space="preserve"> </w:t>
      </w:r>
      <w:r w:rsidR="00752A05" w:rsidRPr="00752A05">
        <w:rPr>
          <w:rFonts w:asciiTheme="minorHAnsi" w:hAnsiTheme="minorHAnsi"/>
          <w:color w:val="000000"/>
          <w:szCs w:val="22"/>
          <w:lang w:eastAsia="en-AU"/>
        </w:rPr>
        <w:t>of the offender</w:t>
      </w:r>
      <w:r w:rsidR="00752A05">
        <w:rPr>
          <w:rFonts w:asciiTheme="minorHAnsi" w:hAnsiTheme="minorHAnsi"/>
          <w:color w:val="000000"/>
          <w:szCs w:val="22"/>
          <w:lang w:eastAsia="en-AU"/>
        </w:rPr>
        <w:t>, so far as they are “</w:t>
      </w:r>
      <w:r w:rsidR="00752A05" w:rsidRPr="00752A05">
        <w:rPr>
          <w:rFonts w:asciiTheme="minorHAnsi" w:hAnsiTheme="minorHAnsi"/>
          <w:i/>
          <w:color w:val="000000"/>
          <w:szCs w:val="22"/>
          <w:lang w:eastAsia="en-AU"/>
        </w:rPr>
        <w:t>relevant and known to the court</w:t>
      </w:r>
      <w:r w:rsidR="00752A05">
        <w:rPr>
          <w:rFonts w:asciiTheme="minorHAnsi" w:hAnsiTheme="minorHAnsi"/>
          <w:color w:val="000000"/>
          <w:szCs w:val="22"/>
          <w:lang w:eastAsia="en-AU"/>
        </w:rPr>
        <w:t>”</w:t>
      </w:r>
      <w:r w:rsidR="00752A05" w:rsidRPr="00752A05">
        <w:rPr>
          <w:rFonts w:asciiTheme="minorHAnsi" w:hAnsiTheme="minorHAnsi"/>
          <w:color w:val="000000"/>
          <w:szCs w:val="22"/>
          <w:lang w:eastAsia="en-AU"/>
        </w:rPr>
        <w:t>.</w:t>
      </w:r>
      <w:r w:rsidR="00752A05">
        <w:rPr>
          <w:rFonts w:asciiTheme="minorHAnsi" w:hAnsiTheme="minorHAnsi"/>
          <w:color w:val="000000"/>
          <w:szCs w:val="22"/>
          <w:lang w:eastAsia="en-AU"/>
        </w:rPr>
        <w:t xml:space="preserve">  This diverse collection of considerations</w:t>
      </w:r>
      <w:r w:rsidR="00044132">
        <w:rPr>
          <w:rFonts w:asciiTheme="minorHAnsi" w:hAnsiTheme="minorHAnsi"/>
          <w:color w:val="000000"/>
          <w:szCs w:val="22"/>
          <w:lang w:eastAsia="en-AU"/>
        </w:rPr>
        <w:t xml:space="preserve">, which </w:t>
      </w:r>
      <w:r w:rsidR="00044132" w:rsidRPr="00A1322A">
        <w:rPr>
          <w:rFonts w:asciiTheme="minorHAnsi" w:hAnsiTheme="minorHAnsi"/>
          <w:color w:val="000000"/>
          <w:szCs w:val="22"/>
          <w:lang w:eastAsia="en-AU"/>
        </w:rPr>
        <w:t>require</w:t>
      </w:r>
      <w:r w:rsidR="00044132">
        <w:rPr>
          <w:rFonts w:asciiTheme="minorHAnsi" w:hAnsiTheme="minorHAnsi"/>
          <w:color w:val="000000"/>
          <w:szCs w:val="22"/>
          <w:lang w:eastAsia="en-AU"/>
        </w:rPr>
        <w:t>s</w:t>
      </w:r>
      <w:r w:rsidR="00044132" w:rsidRPr="00A1322A">
        <w:rPr>
          <w:rFonts w:asciiTheme="minorHAnsi" w:hAnsiTheme="minorHAnsi"/>
          <w:color w:val="000000"/>
          <w:szCs w:val="22"/>
          <w:lang w:eastAsia="en-AU"/>
        </w:rPr>
        <w:t xml:space="preserve"> </w:t>
      </w:r>
      <w:r w:rsidR="00044132">
        <w:rPr>
          <w:rFonts w:asciiTheme="minorHAnsi" w:hAnsiTheme="minorHAnsi"/>
          <w:color w:val="000000"/>
          <w:szCs w:val="22"/>
          <w:lang w:eastAsia="en-AU"/>
        </w:rPr>
        <w:t>“</w:t>
      </w:r>
      <w:r w:rsidR="00044132" w:rsidRPr="00044132">
        <w:rPr>
          <w:rFonts w:asciiTheme="minorHAnsi" w:hAnsiTheme="minorHAnsi"/>
          <w:i/>
          <w:color w:val="000000"/>
          <w:szCs w:val="22"/>
          <w:lang w:eastAsia="en-AU"/>
        </w:rPr>
        <w:t>an overall personal assessment of the offender as part of the sentencing process</w:t>
      </w:r>
      <w:r w:rsidR="00044132">
        <w:rPr>
          <w:rFonts w:asciiTheme="minorHAnsi" w:hAnsiTheme="minorHAnsi"/>
          <w:color w:val="000000"/>
          <w:szCs w:val="22"/>
          <w:lang w:eastAsia="en-AU"/>
        </w:rPr>
        <w:t>”,</w:t>
      </w:r>
      <w:r w:rsidR="00044132" w:rsidRPr="00C00000">
        <w:rPr>
          <w:rStyle w:val="Style"/>
          <w:rFonts w:asciiTheme="minorHAnsi" w:hAnsiTheme="minorHAnsi"/>
        </w:rPr>
        <w:footnoteReference w:id="341"/>
      </w:r>
      <w:r w:rsidR="00752A05">
        <w:rPr>
          <w:rFonts w:asciiTheme="minorHAnsi" w:hAnsiTheme="minorHAnsi"/>
          <w:color w:val="000000"/>
          <w:szCs w:val="22"/>
          <w:lang w:eastAsia="en-AU"/>
        </w:rPr>
        <w:t xml:space="preserve"> raises a range of issues.</w:t>
      </w:r>
    </w:p>
    <w:p w14:paraId="0521B54A" w14:textId="77777777" w:rsidR="00752A05" w:rsidRPr="00752A05" w:rsidRDefault="00752A05" w:rsidP="00752A05">
      <w:pPr>
        <w:widowControl w:val="0"/>
        <w:spacing w:line="276" w:lineRule="auto"/>
        <w:ind w:right="170"/>
        <w:rPr>
          <w:rFonts w:asciiTheme="minorHAnsi" w:hAnsiTheme="minorHAnsi"/>
        </w:rPr>
      </w:pPr>
    </w:p>
    <w:p w14:paraId="7D3870CC" w14:textId="4436808D" w:rsidR="007D557D" w:rsidRDefault="00752A0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b/>
        </w:rPr>
        <w:t>Character - g</w:t>
      </w:r>
      <w:r w:rsidR="007D557D" w:rsidRPr="00C00000">
        <w:rPr>
          <w:rFonts w:asciiTheme="minorHAnsi" w:hAnsiTheme="minorHAnsi"/>
          <w:b/>
        </w:rPr>
        <w:t>ood character:</w:t>
      </w:r>
      <w:r w:rsidR="007D557D" w:rsidRPr="00C00000">
        <w:rPr>
          <w:rFonts w:asciiTheme="minorHAnsi" w:hAnsiTheme="minorHAnsi"/>
        </w:rPr>
        <w:t xml:space="preserve">  </w:t>
      </w:r>
      <w:r w:rsidR="006E2CBC" w:rsidRPr="00C00000">
        <w:rPr>
          <w:rFonts w:asciiTheme="minorHAnsi" w:hAnsiTheme="minorHAnsi"/>
        </w:rPr>
        <w:t xml:space="preserve">In </w:t>
      </w:r>
      <w:r w:rsidR="007D557D" w:rsidRPr="00C00000">
        <w:rPr>
          <w:rFonts w:asciiTheme="minorHAnsi" w:hAnsiTheme="minorHAnsi"/>
          <w:i/>
        </w:rPr>
        <w:t>Ryan</w:t>
      </w:r>
      <w:r w:rsidR="007D557D" w:rsidRPr="00C00000">
        <w:rPr>
          <w:rFonts w:asciiTheme="minorHAnsi" w:hAnsiTheme="minorHAnsi"/>
        </w:rPr>
        <w:t>,</w:t>
      </w:r>
      <w:r w:rsidR="006E2CBC" w:rsidRPr="00C00000">
        <w:rPr>
          <w:rStyle w:val="Style"/>
          <w:rFonts w:asciiTheme="minorHAnsi" w:hAnsiTheme="minorHAnsi"/>
        </w:rPr>
        <w:footnoteReference w:id="342"/>
      </w:r>
      <w:r w:rsidR="007D557D" w:rsidRPr="00C00000">
        <w:rPr>
          <w:rFonts w:asciiTheme="minorHAnsi" w:hAnsiTheme="minorHAnsi"/>
        </w:rPr>
        <w:t xml:space="preserve"> </w:t>
      </w:r>
      <w:r w:rsidR="006E2CBC">
        <w:rPr>
          <w:rFonts w:asciiTheme="minorHAnsi" w:hAnsiTheme="minorHAnsi"/>
        </w:rPr>
        <w:t xml:space="preserve">the majority held </w:t>
      </w:r>
      <w:r w:rsidR="007D557D" w:rsidRPr="00C00000">
        <w:rPr>
          <w:rFonts w:asciiTheme="minorHAnsi" w:hAnsiTheme="minorHAnsi"/>
        </w:rPr>
        <w:t xml:space="preserve">that </w:t>
      </w:r>
      <w:r w:rsidR="001A1AD0">
        <w:rPr>
          <w:rFonts w:asciiTheme="minorHAnsi" w:hAnsiTheme="minorHAnsi"/>
        </w:rPr>
        <w:t>the</w:t>
      </w:r>
      <w:r w:rsidR="007D557D" w:rsidRPr="00C00000">
        <w:rPr>
          <w:rFonts w:asciiTheme="minorHAnsi" w:hAnsiTheme="minorHAnsi"/>
        </w:rPr>
        <w:t xml:space="preserve"> sentencing judge had erred when he stated that </w:t>
      </w:r>
      <w:r w:rsidR="001A1AD0">
        <w:rPr>
          <w:rFonts w:asciiTheme="minorHAnsi" w:hAnsiTheme="minorHAnsi"/>
        </w:rPr>
        <w:t>the offender</w:t>
      </w:r>
      <w:r w:rsidR="00AA693C">
        <w:rPr>
          <w:rFonts w:asciiTheme="minorHAnsi" w:hAnsiTheme="minorHAnsi"/>
        </w:rPr>
        <w:t>’</w:t>
      </w:r>
      <w:r w:rsidR="001A1AD0">
        <w:rPr>
          <w:rFonts w:asciiTheme="minorHAnsi" w:hAnsiTheme="minorHAnsi"/>
        </w:rPr>
        <w:t>s</w:t>
      </w:r>
      <w:r w:rsidR="007D557D" w:rsidRPr="00C00000">
        <w:rPr>
          <w:rFonts w:asciiTheme="minorHAnsi" w:hAnsiTheme="minorHAnsi"/>
        </w:rPr>
        <w:t xml:space="preserve"> prior good character did not entitle him to “any leniency whatsoever” in circumstances where as a priest he had sexually assaulted young boys over an extensive period of time. </w:t>
      </w:r>
      <w:r w:rsidR="006E2CBC">
        <w:rPr>
          <w:rFonts w:asciiTheme="minorHAnsi" w:hAnsiTheme="minorHAnsi"/>
        </w:rPr>
        <w:t xml:space="preserve"> </w:t>
      </w:r>
      <w:r w:rsidR="0001054B">
        <w:rPr>
          <w:rFonts w:asciiTheme="minorHAnsi" w:hAnsiTheme="minorHAnsi"/>
        </w:rPr>
        <w:t>I</w:t>
      </w:r>
      <w:r w:rsidR="007D557D" w:rsidRPr="00C00000">
        <w:rPr>
          <w:rFonts w:asciiTheme="minorHAnsi" w:hAnsiTheme="minorHAnsi"/>
        </w:rPr>
        <w:t>f an offender is of otherwise good character the sentencing judge must take that fact into account</w:t>
      </w:r>
      <w:r w:rsidR="002D781C">
        <w:rPr>
          <w:rFonts w:asciiTheme="minorHAnsi" w:hAnsiTheme="minorHAnsi"/>
        </w:rPr>
        <w:t>,</w:t>
      </w:r>
      <w:r w:rsidR="007D557D" w:rsidRPr="00C00000">
        <w:rPr>
          <w:rFonts w:asciiTheme="minorHAnsi" w:hAnsiTheme="minorHAnsi"/>
        </w:rPr>
        <w:t xml:space="preserve"> but the weight to be given to that </w:t>
      </w:r>
      <w:r w:rsidR="00C13AA7">
        <w:rPr>
          <w:rFonts w:asciiTheme="minorHAnsi" w:hAnsiTheme="minorHAnsi"/>
        </w:rPr>
        <w:t xml:space="preserve">fact </w:t>
      </w:r>
      <w:r w:rsidR="007D557D" w:rsidRPr="00C00000">
        <w:rPr>
          <w:rFonts w:asciiTheme="minorHAnsi" w:hAnsiTheme="minorHAnsi"/>
        </w:rPr>
        <w:t>will depend on all the circumstances of the case.</w:t>
      </w:r>
      <w:r w:rsidR="007D557D" w:rsidRPr="00C00000">
        <w:rPr>
          <w:rStyle w:val="Style"/>
          <w:rFonts w:asciiTheme="minorHAnsi" w:hAnsiTheme="minorHAnsi"/>
        </w:rPr>
        <w:footnoteReference w:id="343"/>
      </w:r>
    </w:p>
    <w:p w14:paraId="6D4D409A" w14:textId="77777777" w:rsidR="00194B06" w:rsidRPr="00EB7F1E" w:rsidRDefault="00194B06" w:rsidP="00EB7F1E">
      <w:pPr>
        <w:pStyle w:val="ListParagraph"/>
        <w:rPr>
          <w:rFonts w:asciiTheme="minorHAnsi" w:hAnsiTheme="minorHAnsi"/>
        </w:rPr>
      </w:pPr>
    </w:p>
    <w:p w14:paraId="34B2C464" w14:textId="6E58A8E3" w:rsidR="00194B06" w:rsidRPr="00C00000" w:rsidRDefault="004B6FA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Character must be assessed by reference to all the circumstances, not merely </w:t>
      </w:r>
      <w:r w:rsidR="00B9686B">
        <w:rPr>
          <w:rFonts w:asciiTheme="minorHAnsi" w:hAnsiTheme="minorHAnsi"/>
        </w:rPr>
        <w:t>the existence or non-existence of previous convictions.  So, for example, e</w:t>
      </w:r>
      <w:r w:rsidR="00194B06" w:rsidRPr="001D4666">
        <w:rPr>
          <w:rFonts w:asciiTheme="minorHAnsi" w:hAnsiTheme="minorHAnsi"/>
        </w:rPr>
        <w:t xml:space="preserve">vidence which establishes that the </w:t>
      </w:r>
      <w:r w:rsidR="00194B06">
        <w:rPr>
          <w:rFonts w:asciiTheme="minorHAnsi" w:hAnsiTheme="minorHAnsi"/>
        </w:rPr>
        <w:t>offender has</w:t>
      </w:r>
      <w:r w:rsidR="00194B06" w:rsidRPr="001D4666">
        <w:rPr>
          <w:rFonts w:asciiTheme="minorHAnsi" w:hAnsiTheme="minorHAnsi"/>
        </w:rPr>
        <w:t xml:space="preserve"> made a positive contribution to society and ha</w:t>
      </w:r>
      <w:r w:rsidR="00194B06">
        <w:rPr>
          <w:rFonts w:asciiTheme="minorHAnsi" w:hAnsiTheme="minorHAnsi"/>
        </w:rPr>
        <w:t>s</w:t>
      </w:r>
      <w:r w:rsidR="00194B06" w:rsidRPr="001D4666">
        <w:rPr>
          <w:rFonts w:asciiTheme="minorHAnsi" w:hAnsiTheme="minorHAnsi"/>
        </w:rPr>
        <w:t xml:space="preserve"> demonstrated a consistent history of philanthropy </w:t>
      </w:r>
      <w:r w:rsidR="00194B06">
        <w:rPr>
          <w:rFonts w:asciiTheme="minorHAnsi" w:hAnsiTheme="minorHAnsi"/>
        </w:rPr>
        <w:t xml:space="preserve">may carry more weight than a claim </w:t>
      </w:r>
      <w:r w:rsidR="00194B06" w:rsidRPr="00EB7F1E">
        <w:rPr>
          <w:rFonts w:asciiTheme="minorHAnsi" w:hAnsiTheme="minorHAnsi"/>
        </w:rPr>
        <w:t xml:space="preserve">to good character based </w:t>
      </w:r>
      <w:r w:rsidR="00194B06">
        <w:rPr>
          <w:rFonts w:asciiTheme="minorHAnsi" w:hAnsiTheme="minorHAnsi"/>
        </w:rPr>
        <w:t xml:space="preserve">solely </w:t>
      </w:r>
      <w:r w:rsidR="00194B06" w:rsidRPr="00EB7F1E">
        <w:rPr>
          <w:rFonts w:asciiTheme="minorHAnsi" w:hAnsiTheme="minorHAnsi"/>
        </w:rPr>
        <w:t xml:space="preserve">upon </w:t>
      </w:r>
      <w:r w:rsidR="00194B06">
        <w:rPr>
          <w:rFonts w:asciiTheme="minorHAnsi" w:hAnsiTheme="minorHAnsi"/>
        </w:rPr>
        <w:t>an absence of previous offending.</w:t>
      </w:r>
      <w:r w:rsidR="00194B06" w:rsidRPr="00C00000">
        <w:rPr>
          <w:rStyle w:val="Style"/>
          <w:rFonts w:asciiTheme="minorHAnsi" w:hAnsiTheme="minorHAnsi"/>
        </w:rPr>
        <w:footnoteReference w:id="344"/>
      </w:r>
      <w:r>
        <w:rPr>
          <w:rFonts w:asciiTheme="minorHAnsi" w:hAnsiTheme="minorHAnsi"/>
        </w:rPr>
        <w:t xml:space="preserve">  Conversely t</w:t>
      </w:r>
      <w:r w:rsidRPr="00EB7F1E">
        <w:rPr>
          <w:rFonts w:asciiTheme="minorHAnsi" w:hAnsiTheme="minorHAnsi"/>
        </w:rPr>
        <w:t>he fact that a person is a member</w:t>
      </w:r>
      <w:r>
        <w:rPr>
          <w:rFonts w:asciiTheme="minorHAnsi" w:hAnsiTheme="minorHAnsi"/>
        </w:rPr>
        <w:t xml:space="preserve"> of a criminal organisation </w:t>
      </w:r>
      <w:r w:rsidRPr="00EB7F1E">
        <w:rPr>
          <w:rFonts w:asciiTheme="minorHAnsi" w:hAnsiTheme="minorHAnsi"/>
        </w:rPr>
        <w:t>may itself support a conclusion that he or she is of bad character with poor prospects for rehabilitation notwithstanding an otherwise moderate or good prior criminal record.</w:t>
      </w:r>
      <w:r w:rsidRPr="00C00000">
        <w:rPr>
          <w:rStyle w:val="Style"/>
          <w:rFonts w:asciiTheme="minorHAnsi" w:hAnsiTheme="minorHAnsi"/>
        </w:rPr>
        <w:footnoteReference w:id="345"/>
      </w:r>
    </w:p>
    <w:p w14:paraId="794C3ABE" w14:textId="77777777" w:rsidR="007D557D" w:rsidRPr="00C00000" w:rsidRDefault="007D557D" w:rsidP="007D557D">
      <w:pPr>
        <w:pStyle w:val="ListParagraph"/>
        <w:widowControl w:val="0"/>
        <w:tabs>
          <w:tab w:val="left" w:pos="284"/>
          <w:tab w:val="left" w:pos="567"/>
          <w:tab w:val="left" w:pos="851"/>
        </w:tabs>
        <w:spacing w:line="276" w:lineRule="auto"/>
        <w:ind w:left="567" w:right="170" w:hanging="567"/>
        <w:rPr>
          <w:rFonts w:asciiTheme="minorHAnsi" w:hAnsiTheme="minorHAnsi"/>
        </w:rPr>
      </w:pPr>
    </w:p>
    <w:p w14:paraId="7C7675F1" w14:textId="5D523FE8" w:rsidR="007D557D" w:rsidRPr="00C00000" w:rsidRDefault="00B9686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weight to be given to previous good character will depend, amongst other things, on the nature and seriousness of the offending.  </w:t>
      </w:r>
      <w:r w:rsidR="007D557D">
        <w:rPr>
          <w:rFonts w:asciiTheme="minorHAnsi" w:hAnsiTheme="minorHAnsi"/>
        </w:rPr>
        <w:t xml:space="preserve">Previous </w:t>
      </w:r>
      <w:r w:rsidR="007D557D" w:rsidRPr="00C00000">
        <w:rPr>
          <w:rFonts w:asciiTheme="minorHAnsi" w:hAnsiTheme="minorHAnsi"/>
        </w:rPr>
        <w:t xml:space="preserve">good character will </w:t>
      </w:r>
      <w:r w:rsidR="00997898">
        <w:rPr>
          <w:rFonts w:asciiTheme="minorHAnsi" w:hAnsiTheme="minorHAnsi"/>
        </w:rPr>
        <w:t xml:space="preserve">tend to </w:t>
      </w:r>
      <w:r w:rsidR="007D557D" w:rsidRPr="00C00000">
        <w:rPr>
          <w:rFonts w:asciiTheme="minorHAnsi" w:hAnsiTheme="minorHAnsi"/>
        </w:rPr>
        <w:t>have less signific</w:t>
      </w:r>
      <w:r w:rsidR="007D557D">
        <w:rPr>
          <w:rFonts w:asciiTheme="minorHAnsi" w:hAnsiTheme="minorHAnsi"/>
        </w:rPr>
        <w:t xml:space="preserve">ance for some types of offences; examples are </w:t>
      </w:r>
      <w:r w:rsidR="007D557D" w:rsidRPr="00C00000">
        <w:rPr>
          <w:rFonts w:asciiTheme="minorHAnsi" w:hAnsiTheme="minorHAnsi"/>
        </w:rPr>
        <w:t>importing drugs,</w:t>
      </w:r>
      <w:r w:rsidR="002D781C" w:rsidRPr="00C00000">
        <w:rPr>
          <w:rStyle w:val="Style"/>
          <w:rFonts w:asciiTheme="minorHAnsi" w:hAnsiTheme="minorHAnsi"/>
        </w:rPr>
        <w:footnoteReference w:id="346"/>
      </w:r>
      <w:r w:rsidR="007D557D" w:rsidRPr="00C00000">
        <w:rPr>
          <w:rFonts w:asciiTheme="minorHAnsi" w:hAnsiTheme="minorHAnsi"/>
        </w:rPr>
        <w:t xml:space="preserve"> using a carriage service to procure a person under 16 for sexual purposes</w:t>
      </w:r>
      <w:r w:rsidR="007D557D" w:rsidRPr="00C00000">
        <w:rPr>
          <w:rStyle w:val="Style"/>
          <w:rFonts w:asciiTheme="minorHAnsi" w:hAnsiTheme="minorHAnsi"/>
        </w:rPr>
        <w:footnoteReference w:id="347"/>
      </w:r>
      <w:r w:rsidR="007D557D" w:rsidRPr="00C00000">
        <w:rPr>
          <w:rFonts w:asciiTheme="minorHAnsi" w:hAnsiTheme="minorHAnsi"/>
        </w:rPr>
        <w:t xml:space="preserve"> </w:t>
      </w:r>
      <w:r w:rsidR="00803875">
        <w:rPr>
          <w:rFonts w:asciiTheme="minorHAnsi" w:hAnsiTheme="minorHAnsi"/>
        </w:rPr>
        <w:t xml:space="preserve">or </w:t>
      </w:r>
      <w:r w:rsidR="007D557D" w:rsidRPr="00C00000">
        <w:rPr>
          <w:rFonts w:asciiTheme="minorHAnsi" w:hAnsiTheme="minorHAnsi"/>
        </w:rPr>
        <w:t>child pornography offence</w:t>
      </w:r>
      <w:r w:rsidR="001F5172">
        <w:rPr>
          <w:rFonts w:asciiTheme="minorHAnsi" w:hAnsiTheme="minorHAnsi"/>
        </w:rPr>
        <w:t>s.</w:t>
      </w:r>
      <w:r w:rsidR="007D557D" w:rsidRPr="00C00000">
        <w:rPr>
          <w:rStyle w:val="Style"/>
          <w:rFonts w:asciiTheme="minorHAnsi" w:hAnsiTheme="minorHAnsi"/>
        </w:rPr>
        <w:footnoteReference w:id="348"/>
      </w:r>
      <w:r w:rsidR="007D557D" w:rsidRPr="00C00000">
        <w:rPr>
          <w:rFonts w:asciiTheme="minorHAnsi" w:hAnsiTheme="minorHAnsi"/>
        </w:rPr>
        <w:t xml:space="preserve"> </w:t>
      </w:r>
      <w:r w:rsidR="00792089">
        <w:rPr>
          <w:rFonts w:asciiTheme="minorHAnsi" w:hAnsiTheme="minorHAnsi"/>
        </w:rPr>
        <w:t xml:space="preserve"> </w:t>
      </w:r>
      <w:r w:rsidR="00997898">
        <w:rPr>
          <w:rFonts w:asciiTheme="minorHAnsi" w:hAnsiTheme="minorHAnsi"/>
        </w:rPr>
        <w:t xml:space="preserve">The reduced weight given to previous good character (or other factors personal to the offender) is a corollary of the heightened need for general deterrence, denunciation and </w:t>
      </w:r>
      <w:r w:rsidR="00640304">
        <w:rPr>
          <w:rFonts w:asciiTheme="minorHAnsi" w:hAnsiTheme="minorHAnsi"/>
        </w:rPr>
        <w:t xml:space="preserve">adequate </w:t>
      </w:r>
      <w:r w:rsidR="00997898">
        <w:rPr>
          <w:rFonts w:asciiTheme="minorHAnsi" w:hAnsiTheme="minorHAnsi"/>
        </w:rPr>
        <w:t>punishment</w:t>
      </w:r>
      <w:r w:rsidR="00640304" w:rsidRPr="00640304">
        <w:rPr>
          <w:rFonts w:asciiTheme="minorHAnsi" w:hAnsiTheme="minorHAnsi"/>
        </w:rPr>
        <w:t xml:space="preserve"> </w:t>
      </w:r>
      <w:r w:rsidR="00640304">
        <w:rPr>
          <w:rFonts w:asciiTheme="minorHAnsi" w:hAnsiTheme="minorHAnsi"/>
        </w:rPr>
        <w:t>which generally arises for such offences</w:t>
      </w:r>
      <w:r w:rsidR="00997898">
        <w:rPr>
          <w:rFonts w:asciiTheme="minorHAnsi" w:hAnsiTheme="minorHAnsi"/>
        </w:rPr>
        <w:t xml:space="preserve">.  </w:t>
      </w:r>
      <w:r w:rsidR="00A43F3D">
        <w:rPr>
          <w:rFonts w:asciiTheme="minorHAnsi" w:hAnsiTheme="minorHAnsi"/>
        </w:rPr>
        <w:t xml:space="preserve">Previous good character is </w:t>
      </w:r>
      <w:r w:rsidR="002D781C">
        <w:rPr>
          <w:rFonts w:asciiTheme="minorHAnsi" w:hAnsiTheme="minorHAnsi"/>
        </w:rPr>
        <w:t xml:space="preserve">generally </w:t>
      </w:r>
      <w:r w:rsidR="00A43F3D">
        <w:rPr>
          <w:rFonts w:asciiTheme="minorHAnsi" w:hAnsiTheme="minorHAnsi"/>
        </w:rPr>
        <w:t xml:space="preserve">accorded little weight </w:t>
      </w:r>
      <w:r w:rsidR="00803875" w:rsidRPr="00C00000">
        <w:rPr>
          <w:rFonts w:asciiTheme="minorHAnsi" w:hAnsiTheme="minorHAnsi"/>
        </w:rPr>
        <w:t xml:space="preserve">where </w:t>
      </w:r>
      <w:r w:rsidR="00803875">
        <w:rPr>
          <w:rFonts w:asciiTheme="minorHAnsi" w:hAnsiTheme="minorHAnsi"/>
        </w:rPr>
        <w:t xml:space="preserve">the offending </w:t>
      </w:r>
      <w:r w:rsidR="00803875" w:rsidRPr="00C00000">
        <w:rPr>
          <w:rFonts w:asciiTheme="minorHAnsi" w:hAnsiTheme="minorHAnsi"/>
        </w:rPr>
        <w:t>ha</w:t>
      </w:r>
      <w:r w:rsidR="00803875">
        <w:rPr>
          <w:rFonts w:asciiTheme="minorHAnsi" w:hAnsiTheme="minorHAnsi"/>
        </w:rPr>
        <w:t xml:space="preserve">s consisted of a course of conduct </w:t>
      </w:r>
      <w:r w:rsidR="00803875" w:rsidRPr="00C00000">
        <w:rPr>
          <w:rFonts w:asciiTheme="minorHAnsi" w:hAnsiTheme="minorHAnsi"/>
        </w:rPr>
        <w:t xml:space="preserve">over a long </w:t>
      </w:r>
      <w:r w:rsidR="00803875">
        <w:rPr>
          <w:rFonts w:asciiTheme="minorHAnsi" w:hAnsiTheme="minorHAnsi"/>
        </w:rPr>
        <w:t xml:space="preserve">period of </w:t>
      </w:r>
      <w:r w:rsidR="00803875" w:rsidRPr="00C00000">
        <w:rPr>
          <w:rFonts w:asciiTheme="minorHAnsi" w:hAnsiTheme="minorHAnsi"/>
        </w:rPr>
        <w:t>time</w:t>
      </w:r>
      <w:r w:rsidR="00803875" w:rsidRPr="00C00000">
        <w:rPr>
          <w:rStyle w:val="Style"/>
          <w:rFonts w:asciiTheme="minorHAnsi" w:hAnsiTheme="minorHAnsi"/>
        </w:rPr>
        <w:footnoteReference w:id="349"/>
      </w:r>
      <w:r w:rsidR="00803875">
        <w:rPr>
          <w:rFonts w:asciiTheme="minorHAnsi" w:hAnsiTheme="minorHAnsi"/>
        </w:rPr>
        <w:t xml:space="preserve"> or </w:t>
      </w:r>
      <w:r w:rsidR="00A43F3D">
        <w:rPr>
          <w:rFonts w:asciiTheme="minorHAnsi" w:hAnsiTheme="minorHAnsi"/>
        </w:rPr>
        <w:t xml:space="preserve">where </w:t>
      </w:r>
      <w:r w:rsidR="00A75A45">
        <w:rPr>
          <w:rFonts w:asciiTheme="minorHAnsi" w:hAnsiTheme="minorHAnsi"/>
        </w:rPr>
        <w:t>it was, directly or indirectly, instrumental in the commission of the offence</w:t>
      </w:r>
      <w:r w:rsidR="00A43F3D">
        <w:rPr>
          <w:rFonts w:asciiTheme="minorHAnsi" w:hAnsiTheme="minorHAnsi"/>
        </w:rPr>
        <w:t xml:space="preserve"> </w:t>
      </w:r>
      <w:r w:rsidR="00803875">
        <w:rPr>
          <w:rFonts w:asciiTheme="minorHAnsi" w:hAnsiTheme="minorHAnsi"/>
        </w:rPr>
        <w:t>(</w:t>
      </w:r>
      <w:r w:rsidR="00A43F3D">
        <w:rPr>
          <w:rFonts w:asciiTheme="minorHAnsi" w:hAnsiTheme="minorHAnsi"/>
        </w:rPr>
        <w:t xml:space="preserve">for example, if </w:t>
      </w:r>
      <w:r w:rsidR="00A75A45">
        <w:rPr>
          <w:rFonts w:asciiTheme="minorHAnsi" w:hAnsiTheme="minorHAnsi"/>
        </w:rPr>
        <w:t xml:space="preserve">the offence was </w:t>
      </w:r>
      <w:r w:rsidR="00A43F3D">
        <w:rPr>
          <w:rFonts w:asciiTheme="minorHAnsi" w:hAnsiTheme="minorHAnsi"/>
        </w:rPr>
        <w:t>committed in the course of practice as</w:t>
      </w:r>
      <w:r w:rsidR="00A75AEF">
        <w:rPr>
          <w:rFonts w:asciiTheme="minorHAnsi" w:hAnsiTheme="minorHAnsi"/>
        </w:rPr>
        <w:t xml:space="preserve"> a solicitor or</w:t>
      </w:r>
      <w:r w:rsidR="00A43F3D">
        <w:rPr>
          <w:rFonts w:asciiTheme="minorHAnsi" w:hAnsiTheme="minorHAnsi"/>
        </w:rPr>
        <w:t xml:space="preserve"> a tax agent</w:t>
      </w:r>
      <w:r w:rsidR="00803875">
        <w:rPr>
          <w:rFonts w:asciiTheme="minorHAnsi" w:hAnsiTheme="minorHAnsi"/>
        </w:rPr>
        <w:t xml:space="preserve">, </w:t>
      </w:r>
      <w:r w:rsidR="00A75A45">
        <w:rPr>
          <w:rFonts w:asciiTheme="minorHAnsi" w:hAnsiTheme="minorHAnsi"/>
        </w:rPr>
        <w:t>eligibility for which depended upon good character</w:t>
      </w:r>
      <w:r w:rsidR="00CD3831">
        <w:rPr>
          <w:rFonts w:asciiTheme="minorHAnsi" w:hAnsiTheme="minorHAnsi"/>
        </w:rPr>
        <w:t>,</w:t>
      </w:r>
      <w:r w:rsidR="00A43F3D">
        <w:rPr>
          <w:rFonts w:asciiTheme="minorHAnsi" w:hAnsiTheme="minorHAnsi"/>
        </w:rPr>
        <w:t xml:space="preserve"> </w:t>
      </w:r>
      <w:r w:rsidR="00296EAB">
        <w:rPr>
          <w:rFonts w:asciiTheme="minorHAnsi" w:hAnsiTheme="minorHAnsi"/>
        </w:rPr>
        <w:t xml:space="preserve">or in breach of trust that would not otherwise </w:t>
      </w:r>
      <w:r w:rsidR="00C13AA7">
        <w:rPr>
          <w:rFonts w:asciiTheme="minorHAnsi" w:hAnsiTheme="minorHAnsi"/>
        </w:rPr>
        <w:t xml:space="preserve">have </w:t>
      </w:r>
      <w:r w:rsidR="00296EAB">
        <w:rPr>
          <w:rFonts w:asciiTheme="minorHAnsi" w:hAnsiTheme="minorHAnsi"/>
        </w:rPr>
        <w:t xml:space="preserve">been reposed in the offender, </w:t>
      </w:r>
      <w:r w:rsidR="00A75A45">
        <w:rPr>
          <w:rFonts w:asciiTheme="minorHAnsi" w:hAnsiTheme="minorHAnsi"/>
        </w:rPr>
        <w:t xml:space="preserve">or </w:t>
      </w:r>
      <w:r w:rsidR="00296EAB">
        <w:rPr>
          <w:rFonts w:asciiTheme="minorHAnsi" w:hAnsiTheme="minorHAnsi"/>
        </w:rPr>
        <w:t xml:space="preserve">if </w:t>
      </w:r>
      <w:r w:rsidR="00A75A45">
        <w:rPr>
          <w:rFonts w:asciiTheme="minorHAnsi" w:hAnsiTheme="minorHAnsi"/>
        </w:rPr>
        <w:t>the offender exploited</w:t>
      </w:r>
      <w:r w:rsidR="00296EAB">
        <w:rPr>
          <w:rFonts w:asciiTheme="minorHAnsi" w:hAnsiTheme="minorHAnsi"/>
        </w:rPr>
        <w:t xml:space="preserve"> their</w:t>
      </w:r>
      <w:r w:rsidR="00A75A45">
        <w:rPr>
          <w:rFonts w:asciiTheme="minorHAnsi" w:hAnsiTheme="minorHAnsi"/>
        </w:rPr>
        <w:t xml:space="preserve"> </w:t>
      </w:r>
      <w:r w:rsidR="00296EAB">
        <w:rPr>
          <w:rFonts w:asciiTheme="minorHAnsi" w:hAnsiTheme="minorHAnsi"/>
        </w:rPr>
        <w:t xml:space="preserve">standing </w:t>
      </w:r>
      <w:r w:rsidR="00A75A45">
        <w:rPr>
          <w:rFonts w:asciiTheme="minorHAnsi" w:hAnsiTheme="minorHAnsi"/>
        </w:rPr>
        <w:t>and reputation to commit the offence</w:t>
      </w:r>
      <w:r w:rsidR="00803875">
        <w:rPr>
          <w:rFonts w:asciiTheme="minorHAnsi" w:hAnsiTheme="minorHAnsi"/>
        </w:rPr>
        <w:t>)</w:t>
      </w:r>
      <w:r w:rsidR="00A43F3D">
        <w:rPr>
          <w:rFonts w:asciiTheme="minorHAnsi" w:hAnsiTheme="minorHAnsi"/>
        </w:rPr>
        <w:t>.</w:t>
      </w:r>
      <w:r w:rsidR="00657992" w:rsidRPr="00C00000">
        <w:rPr>
          <w:rStyle w:val="Style"/>
          <w:rFonts w:asciiTheme="minorHAnsi" w:hAnsiTheme="minorHAnsi"/>
        </w:rPr>
        <w:footnoteReference w:id="350"/>
      </w:r>
      <w:r w:rsidR="00997898">
        <w:rPr>
          <w:rFonts w:asciiTheme="minorHAnsi" w:hAnsiTheme="minorHAnsi"/>
        </w:rPr>
        <w:t xml:space="preserve"> </w:t>
      </w:r>
    </w:p>
    <w:p w14:paraId="6797A68B" w14:textId="77777777" w:rsidR="007D557D" w:rsidRPr="00C00000" w:rsidRDefault="007D557D" w:rsidP="007D557D">
      <w:pPr>
        <w:pStyle w:val="ListParagraph"/>
        <w:widowControl w:val="0"/>
        <w:tabs>
          <w:tab w:val="left" w:pos="284"/>
          <w:tab w:val="left" w:pos="567"/>
          <w:tab w:val="left" w:pos="851"/>
        </w:tabs>
        <w:spacing w:line="276" w:lineRule="auto"/>
        <w:ind w:left="567" w:right="170" w:hanging="567"/>
        <w:rPr>
          <w:rFonts w:asciiTheme="minorHAnsi" w:hAnsiTheme="minorHAnsi"/>
        </w:rPr>
      </w:pPr>
    </w:p>
    <w:p w14:paraId="4D32095B" w14:textId="634A3892" w:rsidR="00826D4B" w:rsidRDefault="00CE6B3D"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b/>
        </w:rPr>
        <w:t>Antecedents</w:t>
      </w:r>
      <w:r>
        <w:rPr>
          <w:rFonts w:asciiTheme="minorHAnsi" w:hAnsiTheme="minorHAnsi"/>
          <w:b/>
        </w:rPr>
        <w:t xml:space="preserve"> generally</w:t>
      </w:r>
      <w:r w:rsidRPr="00C00000">
        <w:rPr>
          <w:rFonts w:asciiTheme="minorHAnsi" w:hAnsiTheme="minorHAnsi"/>
          <w:b/>
        </w:rPr>
        <w:t>:</w:t>
      </w:r>
      <w:r w:rsidRPr="00C00000">
        <w:rPr>
          <w:rFonts w:asciiTheme="minorHAnsi" w:hAnsiTheme="minorHAnsi"/>
          <w:i/>
        </w:rPr>
        <w:t xml:space="preserve"> “Antecedents”</w:t>
      </w:r>
      <w:r w:rsidRPr="00C00000">
        <w:rPr>
          <w:rFonts w:asciiTheme="minorHAnsi" w:hAnsiTheme="minorHAnsi"/>
        </w:rPr>
        <w:t xml:space="preserve"> in s 16A(2)(m) refer</w:t>
      </w:r>
      <w:r w:rsidR="00C5621C">
        <w:rPr>
          <w:rFonts w:asciiTheme="minorHAnsi" w:hAnsiTheme="minorHAnsi"/>
        </w:rPr>
        <w:t>s</w:t>
      </w:r>
      <w:r w:rsidRPr="00C00000">
        <w:rPr>
          <w:rFonts w:asciiTheme="minorHAnsi" w:hAnsiTheme="minorHAnsi"/>
        </w:rPr>
        <w:t xml:space="preserve"> to more than just prior convictions</w:t>
      </w:r>
      <w:r w:rsidR="00C5621C">
        <w:rPr>
          <w:rFonts w:asciiTheme="minorHAnsi" w:hAnsiTheme="minorHAnsi"/>
        </w:rPr>
        <w:t xml:space="preserve">; it </w:t>
      </w:r>
      <w:r w:rsidRPr="00C00000">
        <w:rPr>
          <w:rFonts w:asciiTheme="minorHAnsi" w:hAnsiTheme="minorHAnsi"/>
        </w:rPr>
        <w:t>covers a person</w:t>
      </w:r>
      <w:r w:rsidR="00AA693C">
        <w:rPr>
          <w:rFonts w:asciiTheme="minorHAnsi" w:hAnsiTheme="minorHAnsi"/>
        </w:rPr>
        <w:t>’</w:t>
      </w:r>
      <w:r w:rsidRPr="00C00000">
        <w:rPr>
          <w:rFonts w:asciiTheme="minorHAnsi" w:hAnsiTheme="minorHAnsi"/>
        </w:rPr>
        <w:t>s history.</w:t>
      </w:r>
      <w:r w:rsidRPr="00C00000">
        <w:rPr>
          <w:rStyle w:val="Style"/>
          <w:rFonts w:asciiTheme="minorHAnsi" w:hAnsiTheme="minorHAnsi"/>
        </w:rPr>
        <w:footnoteReference w:id="351"/>
      </w:r>
    </w:p>
    <w:p w14:paraId="4E5ABCB3" w14:textId="77777777" w:rsidR="00826D4B" w:rsidRPr="00826D4B" w:rsidRDefault="00826D4B" w:rsidP="00826D4B">
      <w:pPr>
        <w:pStyle w:val="ListParagraph"/>
        <w:rPr>
          <w:rFonts w:asciiTheme="minorHAnsi" w:hAnsiTheme="minorHAnsi"/>
        </w:rPr>
      </w:pPr>
    </w:p>
    <w:p w14:paraId="1FF85170" w14:textId="49CE7556" w:rsidR="00844621" w:rsidRDefault="00844621" w:rsidP="00EB7F1E">
      <w:pPr>
        <w:pStyle w:val="ListParagraph"/>
        <w:numPr>
          <w:ilvl w:val="0"/>
          <w:numId w:val="7"/>
        </w:numPr>
        <w:spacing w:line="276" w:lineRule="auto"/>
        <w:ind w:left="425" w:hanging="425"/>
        <w:contextualSpacing w:val="0"/>
        <w:rPr>
          <w:rFonts w:asciiTheme="minorHAnsi" w:hAnsiTheme="minorHAnsi"/>
        </w:rPr>
      </w:pPr>
      <w:r w:rsidRPr="00502910">
        <w:rPr>
          <w:rFonts w:asciiTheme="minorHAnsi" w:hAnsiTheme="minorHAnsi"/>
        </w:rPr>
        <w:t xml:space="preserve">The word </w:t>
      </w:r>
      <w:r w:rsidR="00AA693C">
        <w:rPr>
          <w:rFonts w:asciiTheme="minorHAnsi" w:hAnsiTheme="minorHAnsi"/>
        </w:rPr>
        <w:t>‘</w:t>
      </w:r>
      <w:r w:rsidRPr="00502910">
        <w:rPr>
          <w:rFonts w:asciiTheme="minorHAnsi" w:hAnsiTheme="minorHAnsi"/>
        </w:rPr>
        <w:t>antecedents</w:t>
      </w:r>
      <w:r w:rsidR="00AA693C">
        <w:rPr>
          <w:rFonts w:asciiTheme="minorHAnsi" w:hAnsiTheme="minorHAnsi"/>
        </w:rPr>
        <w:t>’</w:t>
      </w:r>
      <w:r w:rsidRPr="00502910">
        <w:rPr>
          <w:rFonts w:asciiTheme="minorHAnsi" w:hAnsiTheme="minorHAnsi"/>
        </w:rPr>
        <w:t xml:space="preserve"> is wide enough to include all aspects, favourable and unfavourable, of an offender</w:t>
      </w:r>
      <w:r w:rsidR="00AA693C">
        <w:rPr>
          <w:rFonts w:asciiTheme="minorHAnsi" w:hAnsiTheme="minorHAnsi"/>
        </w:rPr>
        <w:t>’</w:t>
      </w:r>
      <w:r w:rsidRPr="00502910">
        <w:rPr>
          <w:rFonts w:asciiTheme="minorHAnsi" w:hAnsiTheme="minorHAnsi"/>
        </w:rPr>
        <w:t xml:space="preserve">s background, past life, personal, family, social, employment and vocational circumstances, and of </w:t>
      </w:r>
      <w:r>
        <w:rPr>
          <w:rFonts w:asciiTheme="minorHAnsi" w:hAnsiTheme="minorHAnsi"/>
        </w:rPr>
        <w:t>the offender</w:t>
      </w:r>
      <w:r w:rsidR="00AA693C">
        <w:rPr>
          <w:rFonts w:asciiTheme="minorHAnsi" w:hAnsiTheme="minorHAnsi"/>
        </w:rPr>
        <w:t>’</w:t>
      </w:r>
      <w:r>
        <w:rPr>
          <w:rFonts w:asciiTheme="minorHAnsi" w:hAnsiTheme="minorHAnsi"/>
        </w:rPr>
        <w:t xml:space="preserve">s </w:t>
      </w:r>
      <w:r w:rsidRPr="00502910">
        <w:rPr>
          <w:rFonts w:asciiTheme="minorHAnsi" w:hAnsiTheme="minorHAnsi"/>
        </w:rPr>
        <w:t>current way of life and its interaction with the lives and welfare of others.</w:t>
      </w:r>
      <w:r w:rsidRPr="00C00000">
        <w:rPr>
          <w:rStyle w:val="Style"/>
          <w:rFonts w:asciiTheme="minorHAnsi" w:hAnsiTheme="minorHAnsi"/>
        </w:rPr>
        <w:footnoteReference w:id="352"/>
      </w:r>
      <w:r>
        <w:rPr>
          <w:rFonts w:asciiTheme="minorHAnsi" w:hAnsiTheme="minorHAnsi"/>
        </w:rPr>
        <w:t xml:space="preserve">  For example, the professional status of an offender or the hardship caused by their bankruptcy may form part of their antecedents.</w:t>
      </w:r>
      <w:r w:rsidRPr="00C00000">
        <w:rPr>
          <w:rStyle w:val="Style"/>
          <w:rFonts w:asciiTheme="minorHAnsi" w:hAnsiTheme="minorHAnsi"/>
        </w:rPr>
        <w:footnoteReference w:id="353"/>
      </w:r>
      <w:r w:rsidR="00827066">
        <w:rPr>
          <w:rFonts w:asciiTheme="minorHAnsi" w:hAnsiTheme="minorHAnsi"/>
        </w:rPr>
        <w:t xml:space="preserve">  The future effects of a conviction, such as limitations on travel, do not form part of the antecedents of the offender.</w:t>
      </w:r>
      <w:r w:rsidR="00827066" w:rsidRPr="00C00000">
        <w:rPr>
          <w:rStyle w:val="Style"/>
          <w:rFonts w:asciiTheme="minorHAnsi" w:hAnsiTheme="minorHAnsi"/>
        </w:rPr>
        <w:footnoteReference w:id="354"/>
      </w:r>
    </w:p>
    <w:p w14:paraId="5D2D938E" w14:textId="77777777" w:rsidR="00A713C0" w:rsidRPr="00EB7F1E" w:rsidRDefault="00A713C0" w:rsidP="00EB7F1E">
      <w:pPr>
        <w:pStyle w:val="ListParagraph"/>
        <w:rPr>
          <w:rFonts w:asciiTheme="minorHAnsi" w:hAnsiTheme="minorHAnsi"/>
        </w:rPr>
      </w:pPr>
    </w:p>
    <w:p w14:paraId="5D3D45FB" w14:textId="2F237C89" w:rsidR="00A713C0" w:rsidRPr="00C00000" w:rsidRDefault="00A713C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b/>
        </w:rPr>
        <w:t>Character and antecedents – other offending</w:t>
      </w:r>
      <w:r w:rsidRPr="00C00000">
        <w:rPr>
          <w:rFonts w:asciiTheme="minorHAnsi" w:hAnsiTheme="minorHAnsi"/>
          <w:b/>
        </w:rPr>
        <w:t>:</w:t>
      </w:r>
      <w:r w:rsidRPr="00C00000">
        <w:rPr>
          <w:rFonts w:asciiTheme="minorHAnsi" w:hAnsiTheme="minorHAnsi"/>
        </w:rPr>
        <w:t xml:space="preserve">  </w:t>
      </w:r>
      <w:r>
        <w:rPr>
          <w:rFonts w:asciiTheme="minorHAnsi" w:hAnsiTheme="minorHAnsi"/>
        </w:rPr>
        <w:t xml:space="preserve">Although an offender is not to be punished for offending on other occasions, such offending may be relevant to sentencing in a number of ways.  </w:t>
      </w:r>
      <w:r w:rsidR="00385DCD">
        <w:rPr>
          <w:rFonts w:asciiTheme="minorHAnsi" w:hAnsiTheme="minorHAnsi"/>
        </w:rPr>
        <w:t xml:space="preserve">For example, </w:t>
      </w:r>
      <w:r w:rsidR="00FC3799">
        <w:rPr>
          <w:rFonts w:asciiTheme="minorHAnsi" w:hAnsiTheme="minorHAnsi"/>
        </w:rPr>
        <w:t>an offender</w:t>
      </w:r>
      <w:r w:rsidR="00AA693C">
        <w:rPr>
          <w:rFonts w:asciiTheme="minorHAnsi" w:hAnsiTheme="minorHAnsi"/>
        </w:rPr>
        <w:t>’</w:t>
      </w:r>
      <w:r w:rsidR="00FC3799">
        <w:rPr>
          <w:rFonts w:asciiTheme="minorHAnsi" w:hAnsiTheme="minorHAnsi"/>
        </w:rPr>
        <w:t>s criminal history</w:t>
      </w:r>
      <w:r w:rsidR="00385DCD">
        <w:rPr>
          <w:rFonts w:asciiTheme="minorHAnsi" w:hAnsiTheme="minorHAnsi"/>
        </w:rPr>
        <w:t xml:space="preserve"> may show</w:t>
      </w:r>
      <w:r>
        <w:rPr>
          <w:rFonts w:asciiTheme="minorHAnsi" w:hAnsiTheme="minorHAnsi"/>
        </w:rPr>
        <w:t xml:space="preserve"> </w:t>
      </w:r>
      <w:r w:rsidRPr="00EB7F1E">
        <w:rPr>
          <w:rFonts w:asciiTheme="minorHAnsi" w:hAnsiTheme="minorHAnsi"/>
        </w:rPr>
        <w:t>persistent disregard for the law and the rights of other citizens</w:t>
      </w:r>
      <w:r w:rsidR="00385DCD" w:rsidRPr="00385DCD">
        <w:rPr>
          <w:rFonts w:asciiTheme="minorHAnsi" w:hAnsiTheme="minorHAnsi"/>
        </w:rPr>
        <w:t xml:space="preserve"> </w:t>
      </w:r>
      <w:r w:rsidR="00385DCD">
        <w:rPr>
          <w:rFonts w:asciiTheme="minorHAnsi" w:hAnsiTheme="minorHAnsi"/>
        </w:rPr>
        <w:t>and negate matters relied upon in mitigation.</w:t>
      </w:r>
      <w:r w:rsidR="00385DCD" w:rsidRPr="00C00000">
        <w:rPr>
          <w:rStyle w:val="Style"/>
          <w:rFonts w:asciiTheme="minorHAnsi" w:hAnsiTheme="minorHAnsi"/>
        </w:rPr>
        <w:footnoteReference w:id="355"/>
      </w:r>
      <w:r w:rsidR="00385DCD">
        <w:rPr>
          <w:rFonts w:asciiTheme="minorHAnsi" w:hAnsiTheme="minorHAnsi"/>
        </w:rPr>
        <w:t xml:space="preserve">  It may cast doubt on the offender</w:t>
      </w:r>
      <w:r w:rsidR="00AA693C">
        <w:rPr>
          <w:rFonts w:asciiTheme="minorHAnsi" w:hAnsiTheme="minorHAnsi"/>
        </w:rPr>
        <w:t>’</w:t>
      </w:r>
      <w:r w:rsidR="00385DCD">
        <w:rPr>
          <w:rFonts w:asciiTheme="minorHAnsi" w:hAnsiTheme="minorHAnsi"/>
        </w:rPr>
        <w:t>s remorse or contrition.  It may be highly relevant to the assessment of the offender</w:t>
      </w:r>
      <w:r w:rsidR="00AA693C">
        <w:rPr>
          <w:rFonts w:asciiTheme="minorHAnsi" w:hAnsiTheme="minorHAnsi"/>
        </w:rPr>
        <w:t>’</w:t>
      </w:r>
      <w:r w:rsidR="00385DCD">
        <w:rPr>
          <w:rFonts w:asciiTheme="minorHAnsi" w:hAnsiTheme="minorHAnsi"/>
        </w:rPr>
        <w:t>s prospects of rehabilitation and the need for specific deterrence.  It may require a focus on community protection.</w:t>
      </w:r>
    </w:p>
    <w:p w14:paraId="5241BECE" w14:textId="77777777" w:rsidR="00844621" w:rsidRPr="00861179" w:rsidRDefault="00844621" w:rsidP="00EB7F1E">
      <w:pPr>
        <w:pStyle w:val="ListParagraph"/>
        <w:rPr>
          <w:rFonts w:asciiTheme="minorHAnsi" w:hAnsiTheme="minorHAnsi"/>
        </w:rPr>
      </w:pPr>
    </w:p>
    <w:p w14:paraId="476AFB81" w14:textId="7F6D61FE" w:rsidR="00CE6B3D" w:rsidRDefault="00CE6B3D"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Convictions recorded after the offending (subsequent convictions) </w:t>
      </w:r>
      <w:r w:rsidR="00844621">
        <w:rPr>
          <w:rFonts w:asciiTheme="minorHAnsi" w:hAnsiTheme="minorHAnsi"/>
        </w:rPr>
        <w:t>form part of the offender</w:t>
      </w:r>
      <w:r w:rsidR="00AA693C">
        <w:rPr>
          <w:rFonts w:asciiTheme="minorHAnsi" w:hAnsiTheme="minorHAnsi"/>
        </w:rPr>
        <w:t>’</w:t>
      </w:r>
      <w:r w:rsidR="00844621">
        <w:rPr>
          <w:rFonts w:asciiTheme="minorHAnsi" w:hAnsiTheme="minorHAnsi"/>
        </w:rPr>
        <w:t xml:space="preserve">s </w:t>
      </w:r>
      <w:r w:rsidRPr="00C00000">
        <w:rPr>
          <w:rFonts w:asciiTheme="minorHAnsi" w:hAnsiTheme="minorHAnsi"/>
        </w:rPr>
        <w:t>antecedents and where “</w:t>
      </w:r>
      <w:r w:rsidRPr="00C00000">
        <w:rPr>
          <w:rFonts w:asciiTheme="minorHAnsi" w:hAnsiTheme="minorHAnsi"/>
          <w:i/>
          <w:iCs/>
        </w:rPr>
        <w:t>relevant and known</w:t>
      </w:r>
      <w:r w:rsidRPr="00C00000">
        <w:rPr>
          <w:rFonts w:asciiTheme="minorHAnsi" w:hAnsiTheme="minorHAnsi"/>
        </w:rPr>
        <w:t>” they must be taken into account</w:t>
      </w:r>
      <w:r w:rsidR="00240D06">
        <w:rPr>
          <w:rFonts w:asciiTheme="minorHAnsi" w:hAnsiTheme="minorHAnsi"/>
        </w:rPr>
        <w:t>.</w:t>
      </w:r>
      <w:r w:rsidR="00240D06" w:rsidRPr="00C00000">
        <w:rPr>
          <w:rStyle w:val="Style"/>
          <w:rFonts w:asciiTheme="minorHAnsi" w:hAnsiTheme="minorHAnsi"/>
        </w:rPr>
        <w:footnoteReference w:id="356"/>
      </w:r>
      <w:r w:rsidRPr="00C00000">
        <w:rPr>
          <w:rFonts w:asciiTheme="minorHAnsi" w:hAnsiTheme="minorHAnsi"/>
        </w:rPr>
        <w:t xml:space="preserve">  </w:t>
      </w:r>
      <w:r w:rsidR="00240D06">
        <w:rPr>
          <w:rFonts w:asciiTheme="minorHAnsi" w:hAnsiTheme="minorHAnsi"/>
        </w:rPr>
        <w:t>A s</w:t>
      </w:r>
      <w:r w:rsidRPr="00C00000">
        <w:rPr>
          <w:rFonts w:asciiTheme="minorHAnsi" w:hAnsiTheme="minorHAnsi"/>
        </w:rPr>
        <w:t>ubsequent conviction cannot increase the penalty range to a higher range applicable in respect of a second or subsequent offence.</w:t>
      </w:r>
    </w:p>
    <w:p w14:paraId="6E3F7082" w14:textId="77777777" w:rsidR="00CE6B3D" w:rsidRPr="00C00000" w:rsidRDefault="00CE6B3D" w:rsidP="00CE6B3D">
      <w:pPr>
        <w:pStyle w:val="ListParagraph"/>
        <w:widowControl w:val="0"/>
        <w:tabs>
          <w:tab w:val="left" w:pos="284"/>
          <w:tab w:val="left" w:pos="567"/>
          <w:tab w:val="left" w:pos="851"/>
        </w:tabs>
        <w:spacing w:line="276" w:lineRule="auto"/>
        <w:ind w:left="567" w:right="170" w:hanging="567"/>
        <w:rPr>
          <w:rFonts w:asciiTheme="minorHAnsi" w:hAnsiTheme="minorHAnsi"/>
        </w:rPr>
      </w:pPr>
    </w:p>
    <w:p w14:paraId="29DCD9BB" w14:textId="5B488CA4" w:rsidR="00CE6B3D" w:rsidRDefault="00CE6B3D" w:rsidP="00EB7F1E">
      <w:pPr>
        <w:pStyle w:val="ListParagraph"/>
        <w:numPr>
          <w:ilvl w:val="0"/>
          <w:numId w:val="7"/>
        </w:numPr>
        <w:spacing w:line="276" w:lineRule="auto"/>
        <w:ind w:left="425" w:hanging="425"/>
        <w:contextualSpacing w:val="0"/>
        <w:rPr>
          <w:rFonts w:asciiTheme="minorHAnsi" w:hAnsiTheme="minorHAnsi"/>
        </w:rPr>
      </w:pPr>
      <w:bookmarkStart w:id="1439" w:name="_Ref469665128"/>
      <w:r>
        <w:rPr>
          <w:rFonts w:asciiTheme="minorHAnsi" w:hAnsiTheme="minorHAnsi"/>
          <w:b/>
        </w:rPr>
        <w:t>Character and antecedents - d</w:t>
      </w:r>
      <w:r w:rsidRPr="00C00000">
        <w:rPr>
          <w:rFonts w:asciiTheme="minorHAnsi" w:hAnsiTheme="minorHAnsi"/>
          <w:b/>
        </w:rPr>
        <w:t>iversion:</w:t>
      </w:r>
      <w:r w:rsidRPr="00C00000">
        <w:rPr>
          <w:rFonts w:asciiTheme="minorHAnsi" w:hAnsiTheme="minorHAnsi"/>
        </w:rPr>
        <w:t xml:space="preserve">  Where the offender has had the benefit of a charge being diverted </w:t>
      </w:r>
      <w:r>
        <w:rPr>
          <w:rFonts w:asciiTheme="minorHAnsi" w:hAnsiTheme="minorHAnsi"/>
        </w:rPr>
        <w:t>rather than adjudicated upon by a court</w:t>
      </w:r>
      <w:r w:rsidRPr="00C00000">
        <w:rPr>
          <w:rFonts w:asciiTheme="minorHAnsi" w:hAnsiTheme="minorHAnsi"/>
        </w:rPr>
        <w:t>,</w:t>
      </w:r>
      <w:r w:rsidRPr="00C00000">
        <w:rPr>
          <w:rStyle w:val="Style"/>
          <w:rFonts w:asciiTheme="minorHAnsi" w:hAnsiTheme="minorHAnsi"/>
        </w:rPr>
        <w:footnoteReference w:id="357"/>
      </w:r>
      <w:r w:rsidRPr="00C00000">
        <w:rPr>
          <w:rFonts w:asciiTheme="minorHAnsi" w:hAnsiTheme="minorHAnsi"/>
        </w:rPr>
        <w:t xml:space="preserve"> </w:t>
      </w:r>
      <w:r>
        <w:rPr>
          <w:rFonts w:asciiTheme="minorHAnsi" w:hAnsiTheme="minorHAnsi"/>
        </w:rPr>
        <w:t>there will be no finding of</w:t>
      </w:r>
      <w:r w:rsidRPr="00C00000">
        <w:rPr>
          <w:rFonts w:asciiTheme="minorHAnsi" w:hAnsiTheme="minorHAnsi"/>
        </w:rPr>
        <w:t xml:space="preserve"> guilt</w:t>
      </w:r>
      <w:r>
        <w:rPr>
          <w:rFonts w:asciiTheme="minorHAnsi" w:hAnsiTheme="minorHAnsi"/>
        </w:rPr>
        <w:t xml:space="preserve">. </w:t>
      </w:r>
      <w:r w:rsidRPr="00C00000">
        <w:rPr>
          <w:rFonts w:asciiTheme="minorHAnsi" w:hAnsiTheme="minorHAnsi"/>
        </w:rPr>
        <w:t xml:space="preserve"> </w:t>
      </w:r>
      <w:r>
        <w:rPr>
          <w:rFonts w:asciiTheme="minorHAnsi" w:hAnsiTheme="minorHAnsi"/>
        </w:rPr>
        <w:t>T</w:t>
      </w:r>
      <w:r w:rsidRPr="00C00000">
        <w:rPr>
          <w:rFonts w:asciiTheme="minorHAnsi" w:hAnsiTheme="minorHAnsi"/>
        </w:rPr>
        <w:t>he diverted charge is “unjudged conduct”.</w:t>
      </w:r>
      <w:r w:rsidRPr="00C00000">
        <w:rPr>
          <w:rStyle w:val="Style"/>
          <w:rFonts w:asciiTheme="minorHAnsi" w:hAnsiTheme="minorHAnsi"/>
        </w:rPr>
        <w:footnoteReference w:id="358"/>
      </w:r>
      <w:r w:rsidRPr="00C00000">
        <w:rPr>
          <w:rFonts w:asciiTheme="minorHAnsi" w:hAnsiTheme="minorHAnsi"/>
        </w:rPr>
        <w:t xml:space="preserve">  So the diversion of a charge cannot be taken into account in sentencing (as an aspect of character or antecedent</w:t>
      </w:r>
      <w:r w:rsidR="001A1AD0">
        <w:rPr>
          <w:rFonts w:asciiTheme="minorHAnsi" w:hAnsiTheme="minorHAnsi"/>
        </w:rPr>
        <w:t>s</w:t>
      </w:r>
      <w:r w:rsidRPr="00C00000">
        <w:rPr>
          <w:rFonts w:asciiTheme="minorHAnsi" w:hAnsiTheme="minorHAnsi"/>
        </w:rPr>
        <w:t xml:space="preserve">) as if it </w:t>
      </w:r>
      <w:r w:rsidR="00E71E18">
        <w:rPr>
          <w:rFonts w:asciiTheme="minorHAnsi" w:hAnsiTheme="minorHAnsi"/>
        </w:rPr>
        <w:t>were</w:t>
      </w:r>
      <w:r w:rsidRPr="00C00000">
        <w:rPr>
          <w:rFonts w:asciiTheme="minorHAnsi" w:hAnsiTheme="minorHAnsi"/>
        </w:rPr>
        <w:t xml:space="preserve"> established criminal conduct.  </w:t>
      </w:r>
    </w:p>
    <w:p w14:paraId="18999B86" w14:textId="77777777" w:rsidR="00CE6B3D" w:rsidRPr="006A25CE" w:rsidRDefault="00CE6B3D" w:rsidP="00CE6B3D">
      <w:pPr>
        <w:pStyle w:val="ListParagraph"/>
        <w:rPr>
          <w:rFonts w:asciiTheme="minorHAnsi" w:hAnsiTheme="minorHAnsi"/>
        </w:rPr>
      </w:pPr>
    </w:p>
    <w:p w14:paraId="57F02D2F" w14:textId="52DFD0E6" w:rsidR="00CE6B3D" w:rsidRPr="00C00000" w:rsidRDefault="00CE6B3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However t</w:t>
      </w:r>
      <w:r w:rsidRPr="00C00000">
        <w:rPr>
          <w:rFonts w:asciiTheme="minorHAnsi" w:hAnsiTheme="minorHAnsi"/>
        </w:rPr>
        <w:t xml:space="preserve">he existence of a completed diversion </w:t>
      </w:r>
      <w:r w:rsidR="00E71E18">
        <w:rPr>
          <w:rFonts w:asciiTheme="minorHAnsi" w:hAnsiTheme="minorHAnsi"/>
        </w:rPr>
        <w:t>may</w:t>
      </w:r>
      <w:r w:rsidRPr="00C00000">
        <w:rPr>
          <w:rFonts w:asciiTheme="minorHAnsi" w:hAnsiTheme="minorHAnsi"/>
        </w:rPr>
        <w:t xml:space="preserve"> be relevant to ensure the </w:t>
      </w:r>
      <w:r w:rsidR="001A1AD0" w:rsidRPr="00C00000">
        <w:rPr>
          <w:rFonts w:asciiTheme="minorHAnsi" w:hAnsiTheme="minorHAnsi"/>
        </w:rPr>
        <w:t xml:space="preserve">court </w:t>
      </w:r>
      <w:r w:rsidRPr="00C00000">
        <w:rPr>
          <w:rFonts w:asciiTheme="minorHAnsi" w:hAnsiTheme="minorHAnsi"/>
        </w:rPr>
        <w:t>is not misled if the offender</w:t>
      </w:r>
      <w:r w:rsidR="00AA693C">
        <w:rPr>
          <w:rFonts w:asciiTheme="minorHAnsi" w:hAnsiTheme="minorHAnsi"/>
        </w:rPr>
        <w:t>’</w:t>
      </w:r>
      <w:r w:rsidRPr="00C00000">
        <w:rPr>
          <w:rFonts w:asciiTheme="minorHAnsi" w:hAnsiTheme="minorHAnsi"/>
        </w:rPr>
        <w:t>s behaviour is represented to be out of character or an aberration.</w:t>
      </w:r>
      <w:r w:rsidRPr="00C00000">
        <w:rPr>
          <w:rStyle w:val="Style"/>
          <w:rFonts w:asciiTheme="minorHAnsi" w:hAnsiTheme="minorHAnsi"/>
        </w:rPr>
        <w:footnoteReference w:id="359"/>
      </w:r>
      <w:bookmarkEnd w:id="1439"/>
    </w:p>
    <w:p w14:paraId="3402452F" w14:textId="77777777" w:rsidR="00CE6B3D" w:rsidRPr="00C00000" w:rsidRDefault="00CE6B3D" w:rsidP="00CE6B3D">
      <w:pPr>
        <w:widowControl w:val="0"/>
        <w:tabs>
          <w:tab w:val="left" w:pos="284"/>
          <w:tab w:val="left" w:pos="567"/>
          <w:tab w:val="left" w:pos="851"/>
        </w:tabs>
        <w:spacing w:line="276" w:lineRule="auto"/>
        <w:ind w:left="567" w:right="170" w:hanging="567"/>
        <w:jc w:val="both"/>
        <w:rPr>
          <w:rFonts w:asciiTheme="minorHAnsi" w:hAnsiTheme="minorHAnsi"/>
        </w:rPr>
      </w:pPr>
    </w:p>
    <w:p w14:paraId="7627AE6B" w14:textId="6F5DE896" w:rsidR="000608FA" w:rsidRPr="00C00000" w:rsidRDefault="00752A0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b/>
        </w:rPr>
        <w:t xml:space="preserve">Character and </w:t>
      </w:r>
      <w:r w:rsidR="00CE6B3D">
        <w:rPr>
          <w:rFonts w:asciiTheme="minorHAnsi" w:hAnsiTheme="minorHAnsi"/>
          <w:b/>
        </w:rPr>
        <w:t>antecedents - a</w:t>
      </w:r>
      <w:r w:rsidR="00CB46AA" w:rsidRPr="00C00000">
        <w:rPr>
          <w:rFonts w:asciiTheme="minorHAnsi" w:hAnsiTheme="minorHAnsi"/>
          <w:b/>
        </w:rPr>
        <w:t>bsence of prior convictions</w:t>
      </w:r>
      <w:r w:rsidR="00CB46AA" w:rsidRPr="00C00000">
        <w:rPr>
          <w:rFonts w:asciiTheme="minorHAnsi" w:hAnsiTheme="minorHAnsi"/>
        </w:rPr>
        <w:t xml:space="preserve">: </w:t>
      </w:r>
      <w:r w:rsidR="00E71E18">
        <w:rPr>
          <w:rFonts w:asciiTheme="minorHAnsi" w:hAnsiTheme="minorHAnsi"/>
        </w:rPr>
        <w:t xml:space="preserve"> </w:t>
      </w:r>
      <w:r w:rsidR="007D557D" w:rsidRPr="00C00000">
        <w:rPr>
          <w:rFonts w:asciiTheme="minorHAnsi" w:hAnsiTheme="minorHAnsi"/>
        </w:rPr>
        <w:t xml:space="preserve">In </w:t>
      </w:r>
      <w:r w:rsidR="007D557D" w:rsidRPr="00C00000">
        <w:rPr>
          <w:rFonts w:asciiTheme="minorHAnsi" w:hAnsiTheme="minorHAnsi"/>
          <w:bCs/>
          <w:i/>
          <w:iCs/>
        </w:rPr>
        <w:t>Weininger</w:t>
      </w:r>
      <w:r w:rsidR="007D557D">
        <w:rPr>
          <w:rFonts w:asciiTheme="minorHAnsi" w:hAnsiTheme="minorHAnsi"/>
          <w:bCs/>
          <w:i/>
          <w:iCs/>
        </w:rPr>
        <w:t>,</w:t>
      </w:r>
      <w:r w:rsidR="007D557D" w:rsidRPr="00C00000">
        <w:rPr>
          <w:rStyle w:val="Style"/>
          <w:rFonts w:asciiTheme="minorHAnsi" w:hAnsiTheme="minorHAnsi"/>
        </w:rPr>
        <w:footnoteReference w:id="360"/>
      </w:r>
      <w:r w:rsidR="007D557D" w:rsidRPr="00C00000">
        <w:rPr>
          <w:rFonts w:asciiTheme="minorHAnsi" w:hAnsiTheme="minorHAnsi"/>
        </w:rPr>
        <w:t xml:space="preserve"> </w:t>
      </w:r>
      <w:r w:rsidR="000608FA" w:rsidRPr="00C00000">
        <w:rPr>
          <w:rFonts w:asciiTheme="minorHAnsi" w:hAnsiTheme="minorHAnsi"/>
        </w:rPr>
        <w:t xml:space="preserve">the </w:t>
      </w:r>
      <w:r w:rsidR="00EC6963">
        <w:rPr>
          <w:rFonts w:asciiTheme="minorHAnsi" w:hAnsiTheme="minorHAnsi"/>
        </w:rPr>
        <w:t xml:space="preserve">appellant had no </w:t>
      </w:r>
      <w:r w:rsidR="000608FA" w:rsidRPr="00C00000">
        <w:rPr>
          <w:rFonts w:asciiTheme="minorHAnsi" w:hAnsiTheme="minorHAnsi"/>
        </w:rPr>
        <w:t>prior convictions</w:t>
      </w:r>
      <w:r w:rsidR="005243EB">
        <w:rPr>
          <w:rFonts w:asciiTheme="minorHAnsi" w:hAnsiTheme="minorHAnsi"/>
        </w:rPr>
        <w:t xml:space="preserve">, but there was evidence (including his statements </w:t>
      </w:r>
      <w:r w:rsidR="001A1AD0">
        <w:rPr>
          <w:rFonts w:asciiTheme="minorHAnsi" w:hAnsiTheme="minorHAnsi"/>
        </w:rPr>
        <w:t xml:space="preserve">to </w:t>
      </w:r>
      <w:r w:rsidR="005243EB" w:rsidRPr="00C00000">
        <w:rPr>
          <w:rFonts w:asciiTheme="minorHAnsi" w:hAnsiTheme="minorHAnsi"/>
        </w:rPr>
        <w:t>an undercover police officer before his arrest</w:t>
      </w:r>
      <w:r w:rsidR="005243EB">
        <w:rPr>
          <w:rFonts w:asciiTheme="minorHAnsi" w:hAnsiTheme="minorHAnsi"/>
        </w:rPr>
        <w:t>)</w:t>
      </w:r>
      <w:r w:rsidR="005243EB" w:rsidRPr="00C00000">
        <w:rPr>
          <w:rFonts w:asciiTheme="minorHAnsi" w:hAnsiTheme="minorHAnsi"/>
        </w:rPr>
        <w:t xml:space="preserve"> that he was involved in a continuing cocaine importation syndicate</w:t>
      </w:r>
      <w:r w:rsidR="000608FA" w:rsidRPr="00C00000">
        <w:rPr>
          <w:rFonts w:asciiTheme="minorHAnsi" w:hAnsiTheme="minorHAnsi"/>
        </w:rPr>
        <w:t xml:space="preserve">.  </w:t>
      </w:r>
      <w:r w:rsidR="005243EB">
        <w:rPr>
          <w:rFonts w:asciiTheme="minorHAnsi" w:hAnsiTheme="minorHAnsi"/>
        </w:rPr>
        <w:t xml:space="preserve">The </w:t>
      </w:r>
      <w:r w:rsidR="000608FA" w:rsidRPr="00C00000">
        <w:rPr>
          <w:rFonts w:asciiTheme="minorHAnsi" w:hAnsiTheme="minorHAnsi"/>
        </w:rPr>
        <w:t xml:space="preserve">majority </w:t>
      </w:r>
      <w:r w:rsidR="005243EB">
        <w:rPr>
          <w:rFonts w:asciiTheme="minorHAnsi" w:hAnsiTheme="minorHAnsi"/>
        </w:rPr>
        <w:t>of the High Court held that</w:t>
      </w:r>
      <w:r w:rsidR="000608FA" w:rsidRPr="00C00000">
        <w:rPr>
          <w:rFonts w:asciiTheme="minorHAnsi" w:hAnsiTheme="minorHAnsi"/>
        </w:rPr>
        <w:t xml:space="preserve"> the sentencing judge was not in error to treat what was known of the offender</w:t>
      </w:r>
      <w:r w:rsidR="00AA693C">
        <w:rPr>
          <w:rFonts w:asciiTheme="minorHAnsi" w:hAnsiTheme="minorHAnsi"/>
        </w:rPr>
        <w:t>’</w:t>
      </w:r>
      <w:r w:rsidR="000608FA" w:rsidRPr="00C00000">
        <w:rPr>
          <w:rFonts w:asciiTheme="minorHAnsi" w:hAnsiTheme="minorHAnsi"/>
        </w:rPr>
        <w:t>s character and antecedents as neither working in his favour nor against him in those circumstances.  The majority also added that in the circumstances of the particular case</w:t>
      </w:r>
      <w:r w:rsidR="005243EB">
        <w:rPr>
          <w:rFonts w:asciiTheme="minorHAnsi" w:hAnsiTheme="minorHAnsi"/>
        </w:rPr>
        <w:t>,</w:t>
      </w:r>
      <w:r w:rsidR="000608FA" w:rsidRPr="00C00000">
        <w:rPr>
          <w:rFonts w:asciiTheme="minorHAnsi" w:hAnsiTheme="minorHAnsi"/>
        </w:rPr>
        <w:t xml:space="preserve"> if the sentencing judge had found beyond reasonable doubt that the offender had previously been knowingly concerned in the importation of cocaine, even though he had no prior convictions, </w:t>
      </w:r>
      <w:r w:rsidR="00240D06">
        <w:rPr>
          <w:rFonts w:asciiTheme="minorHAnsi" w:hAnsiTheme="minorHAnsi"/>
        </w:rPr>
        <w:t xml:space="preserve">the judge would have been </w:t>
      </w:r>
      <w:r w:rsidR="000608FA" w:rsidRPr="00C00000">
        <w:rPr>
          <w:rFonts w:asciiTheme="minorHAnsi" w:hAnsiTheme="minorHAnsi"/>
        </w:rPr>
        <w:t xml:space="preserve">entitled to take </w:t>
      </w:r>
      <w:r w:rsidR="00240D06">
        <w:rPr>
          <w:rFonts w:asciiTheme="minorHAnsi" w:hAnsiTheme="minorHAnsi"/>
        </w:rPr>
        <w:t>the finding</w:t>
      </w:r>
      <w:r w:rsidR="000608FA" w:rsidRPr="00C00000">
        <w:rPr>
          <w:rFonts w:asciiTheme="minorHAnsi" w:hAnsiTheme="minorHAnsi"/>
        </w:rPr>
        <w:t xml:space="preserve"> into account as warranting the imposition of a heavier sentence.</w:t>
      </w:r>
    </w:p>
    <w:p w14:paraId="6B5B2898" w14:textId="77777777" w:rsidR="000608FA" w:rsidRPr="00C00000" w:rsidRDefault="000608FA" w:rsidP="007C11C2">
      <w:pPr>
        <w:tabs>
          <w:tab w:val="left" w:pos="284"/>
          <w:tab w:val="left" w:pos="567"/>
          <w:tab w:val="left" w:pos="851"/>
        </w:tabs>
        <w:spacing w:line="276" w:lineRule="auto"/>
        <w:ind w:left="153" w:right="170"/>
        <w:jc w:val="both"/>
        <w:rPr>
          <w:rFonts w:asciiTheme="minorHAnsi" w:hAnsiTheme="minorHAnsi"/>
        </w:rPr>
      </w:pPr>
    </w:p>
    <w:p w14:paraId="7DD839EC" w14:textId="13B4CBD5" w:rsidR="00690B32" w:rsidRDefault="002146C2" w:rsidP="00EB7F1E">
      <w:pPr>
        <w:pStyle w:val="ListParagraph"/>
        <w:numPr>
          <w:ilvl w:val="0"/>
          <w:numId w:val="7"/>
        </w:numPr>
        <w:spacing w:line="276" w:lineRule="auto"/>
        <w:ind w:left="425" w:hanging="425"/>
        <w:contextualSpacing w:val="0"/>
        <w:rPr>
          <w:rFonts w:asciiTheme="minorHAnsi" w:hAnsiTheme="minorHAnsi"/>
        </w:rPr>
      </w:pPr>
      <w:r w:rsidRPr="002146C2">
        <w:rPr>
          <w:rFonts w:asciiTheme="minorHAnsi" w:hAnsiTheme="minorHAnsi"/>
          <w:b/>
        </w:rPr>
        <w:t>Age</w:t>
      </w:r>
      <w:r w:rsidR="00F85745">
        <w:rPr>
          <w:rFonts w:asciiTheme="minorHAnsi" w:hAnsiTheme="minorHAnsi"/>
          <w:b/>
        </w:rPr>
        <w:t xml:space="preserve"> – young offender</w:t>
      </w:r>
      <w:r w:rsidR="00D57AFB">
        <w:rPr>
          <w:rFonts w:asciiTheme="minorHAnsi" w:hAnsiTheme="minorHAnsi"/>
          <w:b/>
        </w:rPr>
        <w:t xml:space="preserve">:  </w:t>
      </w:r>
      <w:r w:rsidR="00E23E44" w:rsidRPr="00E23E44">
        <w:rPr>
          <w:rFonts w:asciiTheme="minorHAnsi" w:hAnsiTheme="minorHAnsi"/>
        </w:rPr>
        <w:t>In sentencing young offenders</w:t>
      </w:r>
      <w:r w:rsidR="00E23E44">
        <w:rPr>
          <w:rFonts w:asciiTheme="minorHAnsi" w:hAnsiTheme="minorHAnsi"/>
        </w:rPr>
        <w:t>, courts should generally give more weight to</w:t>
      </w:r>
      <w:r w:rsidR="00E23E44" w:rsidRPr="00E23E44">
        <w:rPr>
          <w:rFonts w:asciiTheme="minorHAnsi" w:hAnsiTheme="minorHAnsi"/>
        </w:rPr>
        <w:t xml:space="preserve"> </w:t>
      </w:r>
      <w:r w:rsidR="00E23E44">
        <w:rPr>
          <w:rFonts w:asciiTheme="minorHAnsi" w:hAnsiTheme="minorHAnsi"/>
        </w:rPr>
        <w:t>rehabilitation, and less weight to general deterrence and denunciation as considerations in sentencing</w:t>
      </w:r>
      <w:r w:rsidR="00CD2029">
        <w:rPr>
          <w:rFonts w:asciiTheme="minorHAnsi" w:hAnsiTheme="minorHAnsi"/>
        </w:rPr>
        <w:t xml:space="preserve">, </w:t>
      </w:r>
      <w:r w:rsidR="001E1F1C">
        <w:rPr>
          <w:rFonts w:asciiTheme="minorHAnsi" w:hAnsiTheme="minorHAnsi"/>
        </w:rPr>
        <w:t xml:space="preserve">principally </w:t>
      </w:r>
      <w:r w:rsidR="00CD2029">
        <w:rPr>
          <w:rFonts w:asciiTheme="minorHAnsi" w:hAnsiTheme="minorHAnsi"/>
        </w:rPr>
        <w:t xml:space="preserve">because more severe punishment </w:t>
      </w:r>
      <w:r w:rsidR="00CD2029" w:rsidRPr="00CD2029">
        <w:rPr>
          <w:rFonts w:asciiTheme="minorHAnsi" w:hAnsiTheme="minorHAnsi"/>
        </w:rPr>
        <w:t>may in fact lead to further offending</w:t>
      </w:r>
      <w:r w:rsidR="001E1F1C">
        <w:rPr>
          <w:rFonts w:asciiTheme="minorHAnsi" w:hAnsiTheme="minorHAnsi"/>
        </w:rPr>
        <w:t>.</w:t>
      </w:r>
      <w:r w:rsidR="00EC4D07" w:rsidRPr="00C00000">
        <w:rPr>
          <w:rStyle w:val="Style"/>
          <w:rFonts w:asciiTheme="minorHAnsi" w:hAnsiTheme="minorHAnsi"/>
        </w:rPr>
        <w:footnoteReference w:id="361"/>
      </w:r>
      <w:r w:rsidR="00186C14">
        <w:rPr>
          <w:rFonts w:asciiTheme="minorHAnsi" w:hAnsiTheme="minorHAnsi"/>
        </w:rPr>
        <w:t xml:space="preserve"> </w:t>
      </w:r>
      <w:r w:rsidR="00E23E44">
        <w:rPr>
          <w:rFonts w:asciiTheme="minorHAnsi" w:hAnsiTheme="minorHAnsi"/>
        </w:rPr>
        <w:t xml:space="preserve"> </w:t>
      </w:r>
      <w:r w:rsidR="001E1F1C">
        <w:rPr>
          <w:rFonts w:asciiTheme="minorHAnsi" w:hAnsiTheme="minorHAnsi"/>
        </w:rPr>
        <w:t xml:space="preserve">Young offenders are also commonly more impressionable and more impulsive.  </w:t>
      </w:r>
      <w:r w:rsidR="00CD2029">
        <w:rPr>
          <w:rFonts w:asciiTheme="minorHAnsi" w:hAnsiTheme="minorHAnsi"/>
        </w:rPr>
        <w:t xml:space="preserve">These principles may apply to an offender who is more than 21 years of age, but </w:t>
      </w:r>
      <w:r w:rsidR="00CD2029" w:rsidRPr="00CD2029">
        <w:rPr>
          <w:rFonts w:asciiTheme="minorHAnsi" w:hAnsiTheme="minorHAnsi"/>
        </w:rPr>
        <w:t>the</w:t>
      </w:r>
      <w:r w:rsidR="00CD2029">
        <w:rPr>
          <w:rFonts w:asciiTheme="minorHAnsi" w:hAnsiTheme="minorHAnsi"/>
        </w:rPr>
        <w:t>ir</w:t>
      </w:r>
      <w:r w:rsidR="00CD2029" w:rsidRPr="00CD2029">
        <w:rPr>
          <w:rFonts w:asciiTheme="minorHAnsi" w:hAnsiTheme="minorHAnsi"/>
        </w:rPr>
        <w:t xml:space="preserve"> force diminishes </w:t>
      </w:r>
      <w:r w:rsidR="00EC4D07" w:rsidRPr="00CD2029">
        <w:rPr>
          <w:rFonts w:asciiTheme="minorHAnsi" w:hAnsiTheme="minorHAnsi"/>
        </w:rPr>
        <w:t>as the age in question increases.</w:t>
      </w:r>
      <w:r w:rsidR="00CD2029" w:rsidRPr="00C00000">
        <w:rPr>
          <w:rStyle w:val="Style"/>
          <w:rFonts w:asciiTheme="minorHAnsi" w:hAnsiTheme="minorHAnsi"/>
        </w:rPr>
        <w:footnoteReference w:id="362"/>
      </w:r>
    </w:p>
    <w:p w14:paraId="08494F88" w14:textId="77777777" w:rsidR="00690B32" w:rsidRPr="00690B32" w:rsidRDefault="00690B32" w:rsidP="00690B32">
      <w:pPr>
        <w:pStyle w:val="ListParagraph"/>
        <w:rPr>
          <w:rFonts w:asciiTheme="minorHAnsi" w:hAnsiTheme="minorHAnsi"/>
        </w:rPr>
      </w:pPr>
    </w:p>
    <w:p w14:paraId="4E0E8632" w14:textId="01A697DE" w:rsidR="002146C2" w:rsidRPr="005949AA" w:rsidRDefault="00690B32" w:rsidP="00EB7F1E">
      <w:pPr>
        <w:pStyle w:val="ListParagraph"/>
        <w:numPr>
          <w:ilvl w:val="0"/>
          <w:numId w:val="7"/>
        </w:numPr>
        <w:spacing w:line="276" w:lineRule="auto"/>
        <w:ind w:left="425" w:hanging="425"/>
        <w:contextualSpacing w:val="0"/>
        <w:rPr>
          <w:rFonts w:asciiTheme="minorHAnsi" w:hAnsiTheme="minorHAnsi"/>
        </w:rPr>
      </w:pPr>
      <w:r w:rsidRPr="00C76A8C">
        <w:rPr>
          <w:rFonts w:asciiTheme="minorHAnsi" w:hAnsiTheme="minorHAnsi"/>
        </w:rPr>
        <w:t xml:space="preserve">However, the weight to be given to the youth of an offender, as a mitigating circumstance, generally is reduced where the offence committed by the offender is serious. </w:t>
      </w:r>
      <w:r w:rsidR="00C76A8C">
        <w:rPr>
          <w:rFonts w:asciiTheme="minorHAnsi" w:hAnsiTheme="minorHAnsi"/>
        </w:rPr>
        <w:t xml:space="preserve"> </w:t>
      </w:r>
      <w:r w:rsidRPr="00C76A8C">
        <w:rPr>
          <w:rFonts w:asciiTheme="minorHAnsi" w:hAnsiTheme="minorHAnsi"/>
        </w:rPr>
        <w:t xml:space="preserve">In such cases, it is </w:t>
      </w:r>
      <w:r w:rsidR="00F47D0C">
        <w:rPr>
          <w:rFonts w:asciiTheme="minorHAnsi" w:hAnsiTheme="minorHAnsi"/>
        </w:rPr>
        <w:t>recogn</w:t>
      </w:r>
      <w:r w:rsidR="00B86888">
        <w:rPr>
          <w:rFonts w:asciiTheme="minorHAnsi" w:hAnsiTheme="minorHAnsi"/>
        </w:rPr>
        <w:t>ised</w:t>
      </w:r>
      <w:r w:rsidRPr="00C76A8C">
        <w:rPr>
          <w:rFonts w:asciiTheme="minorHAnsi" w:hAnsiTheme="minorHAnsi"/>
        </w:rPr>
        <w:t xml:space="preserve"> that the youth of the offender, while still relevant as a mitigating circumstance, must to a material degree give way to the requirements of general deterrence, specific deterrence and denunciation.</w:t>
      </w:r>
      <w:r w:rsidR="00C76A8C" w:rsidRPr="00C00000">
        <w:rPr>
          <w:rStyle w:val="Style"/>
          <w:rFonts w:asciiTheme="minorHAnsi" w:hAnsiTheme="minorHAnsi"/>
        </w:rPr>
        <w:footnoteReference w:id="363"/>
      </w:r>
      <w:r w:rsidR="00C76A8C">
        <w:rPr>
          <w:rFonts w:asciiTheme="minorHAnsi" w:hAnsiTheme="minorHAnsi"/>
        </w:rPr>
        <w:t xml:space="preserve">  </w:t>
      </w:r>
      <w:r w:rsidR="00BB1DCF">
        <w:rPr>
          <w:rFonts w:asciiTheme="minorHAnsi" w:hAnsiTheme="minorHAnsi"/>
        </w:rPr>
        <w:t>T</w:t>
      </w:r>
      <w:r w:rsidR="00C76A8C">
        <w:rPr>
          <w:rFonts w:asciiTheme="minorHAnsi" w:hAnsiTheme="minorHAnsi"/>
        </w:rPr>
        <w:t xml:space="preserve">he youth of an offender has been accorded </w:t>
      </w:r>
      <w:r w:rsidR="00C72826">
        <w:rPr>
          <w:rFonts w:asciiTheme="minorHAnsi" w:hAnsiTheme="minorHAnsi"/>
        </w:rPr>
        <w:t>less significance in sentencing for serious drug offences</w:t>
      </w:r>
      <w:r w:rsidR="007D4184">
        <w:rPr>
          <w:rFonts w:asciiTheme="minorHAnsi" w:hAnsiTheme="minorHAnsi"/>
        </w:rPr>
        <w:t>,</w:t>
      </w:r>
      <w:r w:rsidR="00EA0FB0" w:rsidRPr="00C00000">
        <w:rPr>
          <w:rStyle w:val="Style"/>
          <w:rFonts w:asciiTheme="minorHAnsi" w:hAnsiTheme="minorHAnsi"/>
        </w:rPr>
        <w:footnoteReference w:id="364"/>
      </w:r>
      <w:r w:rsidR="00EA0FB0">
        <w:rPr>
          <w:rFonts w:asciiTheme="minorHAnsi" w:hAnsiTheme="minorHAnsi"/>
        </w:rPr>
        <w:t xml:space="preserve"> for terrorism offences</w:t>
      </w:r>
      <w:r w:rsidR="007807A6">
        <w:rPr>
          <w:rFonts w:asciiTheme="minorHAnsi" w:hAnsiTheme="minorHAnsi"/>
        </w:rPr>
        <w:t>,</w:t>
      </w:r>
      <w:r w:rsidR="00EA0FB0" w:rsidRPr="00C00000">
        <w:rPr>
          <w:rStyle w:val="Style"/>
          <w:rFonts w:asciiTheme="minorHAnsi" w:hAnsiTheme="minorHAnsi"/>
        </w:rPr>
        <w:footnoteReference w:id="365"/>
      </w:r>
      <w:r w:rsidR="007807A6">
        <w:rPr>
          <w:rFonts w:asciiTheme="minorHAnsi" w:hAnsiTheme="minorHAnsi"/>
        </w:rPr>
        <w:t xml:space="preserve"> </w:t>
      </w:r>
      <w:r w:rsidR="007D4184">
        <w:rPr>
          <w:rFonts w:asciiTheme="minorHAnsi" w:hAnsiTheme="minorHAnsi"/>
        </w:rPr>
        <w:t xml:space="preserve">and </w:t>
      </w:r>
      <w:r w:rsidR="007807A6">
        <w:rPr>
          <w:rFonts w:asciiTheme="minorHAnsi" w:hAnsiTheme="minorHAnsi"/>
        </w:rPr>
        <w:t xml:space="preserve">for </w:t>
      </w:r>
      <w:r w:rsidR="009E3442">
        <w:rPr>
          <w:rFonts w:asciiTheme="minorHAnsi" w:hAnsiTheme="minorHAnsi"/>
        </w:rPr>
        <w:t xml:space="preserve">other </w:t>
      </w:r>
      <w:r w:rsidR="007807A6">
        <w:rPr>
          <w:rFonts w:asciiTheme="minorHAnsi" w:hAnsiTheme="minorHAnsi"/>
        </w:rPr>
        <w:t xml:space="preserve">offences </w:t>
      </w:r>
      <w:r w:rsidR="00261E0C">
        <w:rPr>
          <w:rFonts w:asciiTheme="minorHAnsi" w:hAnsiTheme="minorHAnsi"/>
        </w:rPr>
        <w:t xml:space="preserve">which have the hallmarks of adult offending </w:t>
      </w:r>
      <w:r w:rsidR="007D4184">
        <w:rPr>
          <w:rFonts w:asciiTheme="minorHAnsi" w:hAnsiTheme="minorHAnsi"/>
        </w:rPr>
        <w:t>(</w:t>
      </w:r>
      <w:r w:rsidR="00261E0C">
        <w:rPr>
          <w:rFonts w:asciiTheme="minorHAnsi" w:hAnsiTheme="minorHAnsi"/>
        </w:rPr>
        <w:t xml:space="preserve">for example, </w:t>
      </w:r>
      <w:r w:rsidR="007D4184">
        <w:rPr>
          <w:rFonts w:asciiTheme="minorHAnsi" w:hAnsiTheme="minorHAnsi"/>
        </w:rPr>
        <w:t xml:space="preserve">insider trading </w:t>
      </w:r>
      <w:r w:rsidR="007807A6">
        <w:rPr>
          <w:rFonts w:asciiTheme="minorHAnsi" w:hAnsiTheme="minorHAnsi"/>
        </w:rPr>
        <w:t>where the offend</w:t>
      </w:r>
      <w:r w:rsidR="00261E0C">
        <w:rPr>
          <w:rFonts w:asciiTheme="minorHAnsi" w:hAnsiTheme="minorHAnsi"/>
        </w:rPr>
        <w:t>er was operating in the adult sphere of business and commerc</w:t>
      </w:r>
      <w:r w:rsidR="0051624A">
        <w:rPr>
          <w:rFonts w:asciiTheme="minorHAnsi" w:hAnsiTheme="minorHAnsi"/>
        </w:rPr>
        <w:t>e</w:t>
      </w:r>
      <w:r w:rsidR="00724A9C" w:rsidRPr="00C00000">
        <w:rPr>
          <w:rStyle w:val="Style"/>
          <w:rFonts w:asciiTheme="minorHAnsi" w:hAnsiTheme="minorHAnsi"/>
        </w:rPr>
        <w:footnoteReference w:id="366"/>
      </w:r>
      <w:r w:rsidR="00261E0C">
        <w:rPr>
          <w:rFonts w:asciiTheme="minorHAnsi" w:hAnsiTheme="minorHAnsi"/>
        </w:rPr>
        <w:t>)</w:t>
      </w:r>
      <w:r w:rsidR="007807A6">
        <w:rPr>
          <w:rFonts w:asciiTheme="minorHAnsi" w:hAnsiTheme="minorHAnsi"/>
        </w:rPr>
        <w:t>.</w:t>
      </w:r>
    </w:p>
    <w:p w14:paraId="1835E8C0" w14:textId="77777777" w:rsidR="005949AA" w:rsidRPr="005949AA" w:rsidRDefault="005949AA" w:rsidP="005949AA">
      <w:pPr>
        <w:pStyle w:val="ListParagraph"/>
        <w:rPr>
          <w:rFonts w:asciiTheme="minorHAnsi" w:hAnsiTheme="minorHAnsi"/>
        </w:rPr>
      </w:pPr>
    </w:p>
    <w:p w14:paraId="36157B85" w14:textId="6154C580" w:rsidR="002C4954" w:rsidRDefault="005949AA" w:rsidP="00EB7F1E">
      <w:pPr>
        <w:pStyle w:val="ListParagraph"/>
        <w:numPr>
          <w:ilvl w:val="0"/>
          <w:numId w:val="7"/>
        </w:numPr>
        <w:spacing w:line="276" w:lineRule="auto"/>
        <w:ind w:left="425" w:hanging="425"/>
        <w:contextualSpacing w:val="0"/>
        <w:rPr>
          <w:rFonts w:asciiTheme="minorHAnsi" w:hAnsiTheme="minorHAnsi"/>
        </w:rPr>
      </w:pPr>
      <w:r w:rsidRPr="005949AA">
        <w:rPr>
          <w:rFonts w:asciiTheme="minorHAnsi" w:hAnsiTheme="minorHAnsi"/>
          <w:b/>
        </w:rPr>
        <w:t xml:space="preserve">Age – </w:t>
      </w:r>
      <w:r w:rsidR="006F4F12">
        <w:rPr>
          <w:rFonts w:asciiTheme="minorHAnsi" w:hAnsiTheme="minorHAnsi"/>
          <w:b/>
        </w:rPr>
        <w:t>m</w:t>
      </w:r>
      <w:r w:rsidR="003D2B2F">
        <w:rPr>
          <w:rFonts w:asciiTheme="minorHAnsi" w:hAnsiTheme="minorHAnsi"/>
          <w:b/>
        </w:rPr>
        <w:t xml:space="preserve">ature-aged </w:t>
      </w:r>
      <w:r w:rsidR="002647A4">
        <w:rPr>
          <w:rFonts w:asciiTheme="minorHAnsi" w:hAnsiTheme="minorHAnsi"/>
          <w:b/>
        </w:rPr>
        <w:t>offender</w:t>
      </w:r>
      <w:r w:rsidRPr="005949AA">
        <w:rPr>
          <w:rFonts w:asciiTheme="minorHAnsi" w:hAnsiTheme="minorHAnsi"/>
          <w:b/>
        </w:rPr>
        <w:t xml:space="preserve">: </w:t>
      </w:r>
      <w:r w:rsidRPr="005949AA">
        <w:rPr>
          <w:rFonts w:asciiTheme="minorHAnsi" w:hAnsiTheme="minorHAnsi"/>
        </w:rPr>
        <w:t xml:space="preserve"> </w:t>
      </w:r>
      <w:r w:rsidR="00035A4E">
        <w:rPr>
          <w:rFonts w:asciiTheme="minorHAnsi" w:hAnsiTheme="minorHAnsi"/>
        </w:rPr>
        <w:t>Although the age of an offender is never determinative,</w:t>
      </w:r>
      <w:r w:rsidR="00035A4E" w:rsidRPr="00C00000">
        <w:rPr>
          <w:rStyle w:val="Style"/>
          <w:rFonts w:asciiTheme="minorHAnsi" w:hAnsiTheme="minorHAnsi"/>
        </w:rPr>
        <w:footnoteReference w:id="367"/>
      </w:r>
      <w:r w:rsidR="00035A4E">
        <w:rPr>
          <w:rFonts w:asciiTheme="minorHAnsi" w:hAnsiTheme="minorHAnsi"/>
        </w:rPr>
        <w:t xml:space="preserve"> a</w:t>
      </w:r>
      <w:r w:rsidR="00A7287B">
        <w:rPr>
          <w:rFonts w:asciiTheme="minorHAnsi" w:hAnsiTheme="minorHAnsi"/>
        </w:rPr>
        <w:t>ge may be relevant in sentencing an offender of mature years, in a variety of ways</w:t>
      </w:r>
      <w:r w:rsidR="007D4B92">
        <w:rPr>
          <w:rFonts w:asciiTheme="minorHAnsi" w:hAnsiTheme="minorHAnsi"/>
        </w:rPr>
        <w:t>.  For example</w:t>
      </w:r>
      <w:r w:rsidR="008465BD">
        <w:rPr>
          <w:rFonts w:asciiTheme="minorHAnsi" w:hAnsiTheme="minorHAnsi"/>
        </w:rPr>
        <w:t>,</w:t>
      </w:r>
      <w:r w:rsidR="007D4B92">
        <w:rPr>
          <w:rFonts w:asciiTheme="minorHAnsi" w:hAnsiTheme="minorHAnsi"/>
        </w:rPr>
        <w:t xml:space="preserve"> the need for specific deterrence (s 16A(2)(j)) may be reduced; </w:t>
      </w:r>
      <w:r w:rsidR="0078213A">
        <w:rPr>
          <w:rFonts w:asciiTheme="minorHAnsi" w:hAnsiTheme="minorHAnsi"/>
        </w:rPr>
        <w:t xml:space="preserve">the offender may have a long period of good character </w:t>
      </w:r>
      <w:r w:rsidR="008465BD">
        <w:rPr>
          <w:rFonts w:asciiTheme="minorHAnsi" w:hAnsiTheme="minorHAnsi"/>
        </w:rPr>
        <w:t xml:space="preserve">to draw upon; </w:t>
      </w:r>
      <w:r w:rsidR="007D4B92">
        <w:rPr>
          <w:rFonts w:asciiTheme="minorHAnsi" w:hAnsiTheme="minorHAnsi"/>
        </w:rPr>
        <w:t xml:space="preserve">or the offender may suffer from age-related </w:t>
      </w:r>
      <w:r w:rsidR="001A4B97">
        <w:rPr>
          <w:rFonts w:asciiTheme="minorHAnsi" w:hAnsiTheme="minorHAnsi"/>
        </w:rPr>
        <w:t xml:space="preserve">infirmity or </w:t>
      </w:r>
      <w:r w:rsidR="007D4B92">
        <w:rPr>
          <w:rFonts w:asciiTheme="minorHAnsi" w:hAnsiTheme="minorHAnsi"/>
        </w:rPr>
        <w:t>ill-health</w:t>
      </w:r>
      <w:r w:rsidR="001A4B97">
        <w:rPr>
          <w:rFonts w:asciiTheme="minorHAnsi" w:hAnsiTheme="minorHAnsi"/>
        </w:rPr>
        <w:t xml:space="preserve"> which would make service of the sentence more burdensome</w:t>
      </w:r>
      <w:r w:rsidR="007D4B92">
        <w:rPr>
          <w:rFonts w:asciiTheme="minorHAnsi" w:hAnsiTheme="minorHAnsi"/>
        </w:rPr>
        <w:t>.</w:t>
      </w:r>
    </w:p>
    <w:p w14:paraId="24D4E77C" w14:textId="77777777" w:rsidR="002C4954" w:rsidRPr="002C4954" w:rsidRDefault="002C4954" w:rsidP="002C4954">
      <w:pPr>
        <w:pStyle w:val="ListParagraph"/>
        <w:rPr>
          <w:rFonts w:asciiTheme="minorHAnsi" w:hAnsiTheme="minorHAnsi"/>
        </w:rPr>
      </w:pPr>
    </w:p>
    <w:p w14:paraId="53782C1A" w14:textId="3DF50086" w:rsidR="002E1254" w:rsidRPr="00C5428F" w:rsidRDefault="007D4B92" w:rsidP="00EB7F1E">
      <w:pPr>
        <w:pStyle w:val="ListParagraph"/>
        <w:numPr>
          <w:ilvl w:val="0"/>
          <w:numId w:val="7"/>
        </w:numPr>
        <w:spacing w:line="276" w:lineRule="auto"/>
        <w:ind w:left="425" w:hanging="425"/>
        <w:contextualSpacing w:val="0"/>
        <w:rPr>
          <w:rFonts w:asciiTheme="minorHAnsi" w:hAnsiTheme="minorHAnsi"/>
        </w:rPr>
      </w:pPr>
      <w:r w:rsidRPr="00C5428F">
        <w:rPr>
          <w:rFonts w:asciiTheme="minorHAnsi" w:hAnsiTheme="minorHAnsi"/>
        </w:rPr>
        <w:t xml:space="preserve">At </w:t>
      </w:r>
      <w:r w:rsidR="005949AA" w:rsidRPr="00C5428F">
        <w:rPr>
          <w:rFonts w:asciiTheme="minorHAnsi" w:hAnsiTheme="minorHAnsi"/>
        </w:rPr>
        <w:t>common law</w:t>
      </w:r>
      <w:r w:rsidR="00FE7645" w:rsidRPr="00C5428F">
        <w:rPr>
          <w:rFonts w:asciiTheme="minorHAnsi" w:hAnsiTheme="minorHAnsi"/>
        </w:rPr>
        <w:t xml:space="preserve">, the age of the offender </w:t>
      </w:r>
      <w:r w:rsidR="00A7287B" w:rsidRPr="00C5428F">
        <w:rPr>
          <w:rFonts w:asciiTheme="minorHAnsi" w:hAnsiTheme="minorHAnsi"/>
        </w:rPr>
        <w:t xml:space="preserve">(particularly if coupled with ill-health) </w:t>
      </w:r>
      <w:r w:rsidR="00FE7645" w:rsidRPr="00C5428F">
        <w:rPr>
          <w:rFonts w:asciiTheme="minorHAnsi" w:hAnsiTheme="minorHAnsi"/>
        </w:rPr>
        <w:t xml:space="preserve">may be </w:t>
      </w:r>
      <w:r w:rsidR="00A7287B" w:rsidRPr="00C5428F">
        <w:rPr>
          <w:rFonts w:asciiTheme="minorHAnsi" w:hAnsiTheme="minorHAnsi"/>
        </w:rPr>
        <w:t xml:space="preserve">a weighty mitigating consideration </w:t>
      </w:r>
      <w:r w:rsidR="00FE7645" w:rsidRPr="00C5428F">
        <w:rPr>
          <w:rFonts w:asciiTheme="minorHAnsi" w:hAnsiTheme="minorHAnsi"/>
        </w:rPr>
        <w:t xml:space="preserve">if it means that a proportionate sentence </w:t>
      </w:r>
      <w:r w:rsidR="00A7287B" w:rsidRPr="00C5428F">
        <w:rPr>
          <w:rFonts w:asciiTheme="minorHAnsi" w:hAnsiTheme="minorHAnsi"/>
        </w:rPr>
        <w:t>would result in the offender serving</w:t>
      </w:r>
      <w:r w:rsidR="00FE7645" w:rsidRPr="00C5428F">
        <w:rPr>
          <w:rFonts w:asciiTheme="minorHAnsi" w:hAnsiTheme="minorHAnsi"/>
        </w:rPr>
        <w:t xml:space="preserve"> the whole or a very substantial portion of the remainder of their life in custody</w:t>
      </w:r>
      <w:r w:rsidR="002E1254" w:rsidRPr="00C5428F">
        <w:rPr>
          <w:rFonts w:asciiTheme="minorHAnsi" w:hAnsiTheme="minorHAnsi"/>
        </w:rPr>
        <w:t>; in such a case, moderation of other sentencing considerations on compassionate grounds may be warranted.</w:t>
      </w:r>
      <w:r w:rsidR="002E1254" w:rsidRPr="00C00000">
        <w:rPr>
          <w:rStyle w:val="Style"/>
          <w:rFonts w:asciiTheme="minorHAnsi" w:hAnsiTheme="minorHAnsi"/>
        </w:rPr>
        <w:footnoteReference w:id="368"/>
      </w:r>
      <w:r w:rsidR="002E1254" w:rsidRPr="00C5428F">
        <w:rPr>
          <w:rFonts w:asciiTheme="minorHAnsi" w:hAnsiTheme="minorHAnsi"/>
        </w:rPr>
        <w:t xml:space="preserve">  </w:t>
      </w:r>
      <w:r w:rsidR="00C5428F" w:rsidRPr="00C5428F">
        <w:rPr>
          <w:rFonts w:asciiTheme="minorHAnsi" w:hAnsiTheme="minorHAnsi"/>
        </w:rPr>
        <w:t>Although it is often contended that a sentencing c</w:t>
      </w:r>
      <w:r w:rsidR="002E1254" w:rsidRPr="00C5428F">
        <w:rPr>
          <w:rFonts w:asciiTheme="minorHAnsi" w:hAnsiTheme="minorHAnsi"/>
        </w:rPr>
        <w:t xml:space="preserve">ourt </w:t>
      </w:r>
      <w:r w:rsidR="00C5428F" w:rsidRPr="00C5428F">
        <w:rPr>
          <w:rFonts w:asciiTheme="minorHAnsi" w:hAnsiTheme="minorHAnsi"/>
        </w:rPr>
        <w:t>should</w:t>
      </w:r>
      <w:r w:rsidR="009B0E15" w:rsidRPr="00C5428F">
        <w:rPr>
          <w:rFonts w:asciiTheme="minorHAnsi" w:hAnsiTheme="minorHAnsi"/>
        </w:rPr>
        <w:t xml:space="preserve"> avoid a “crushing” </w:t>
      </w:r>
      <w:r w:rsidR="00AD0A72" w:rsidRPr="00C5428F">
        <w:rPr>
          <w:rFonts w:asciiTheme="minorHAnsi" w:hAnsiTheme="minorHAnsi"/>
        </w:rPr>
        <w:t>sentence</w:t>
      </w:r>
      <w:r w:rsidR="00C5428F" w:rsidRPr="00C5428F">
        <w:rPr>
          <w:rFonts w:asciiTheme="minorHAnsi" w:hAnsiTheme="minorHAnsi"/>
        </w:rPr>
        <w:t xml:space="preserve"> – </w:t>
      </w:r>
      <w:r w:rsidR="002E1254" w:rsidRPr="00C5428F">
        <w:rPr>
          <w:rFonts w:asciiTheme="minorHAnsi" w:hAnsiTheme="minorHAnsi"/>
        </w:rPr>
        <w:t xml:space="preserve">that </w:t>
      </w:r>
      <w:r w:rsidR="00CB27E1" w:rsidRPr="00C5428F">
        <w:rPr>
          <w:rFonts w:asciiTheme="minorHAnsi" w:hAnsiTheme="minorHAnsi"/>
        </w:rPr>
        <w:t>is, one which would induce a feeling of hopelessness and destroy any expectation of a useful life after release</w:t>
      </w:r>
      <w:r w:rsidR="009B0E15" w:rsidRPr="00C00000">
        <w:rPr>
          <w:rStyle w:val="Style"/>
          <w:rFonts w:asciiTheme="minorHAnsi" w:hAnsiTheme="minorHAnsi"/>
        </w:rPr>
        <w:footnoteReference w:id="369"/>
      </w:r>
      <w:r w:rsidR="00C5428F" w:rsidRPr="00C5428F">
        <w:rPr>
          <w:rFonts w:asciiTheme="minorHAnsi" w:hAnsiTheme="minorHAnsi"/>
        </w:rPr>
        <w:t xml:space="preserve"> –</w:t>
      </w:r>
      <w:r w:rsidR="00C5428F">
        <w:rPr>
          <w:rFonts w:asciiTheme="minorHAnsi" w:hAnsiTheme="minorHAnsi"/>
        </w:rPr>
        <w:t xml:space="preserve"> </w:t>
      </w:r>
      <w:r w:rsidR="00035A4E" w:rsidRPr="00C5428F">
        <w:rPr>
          <w:rFonts w:asciiTheme="minorHAnsi" w:hAnsiTheme="minorHAnsi"/>
        </w:rPr>
        <w:t>old age and ill health do not justify the imposition of an unacceptably lenient sentence</w:t>
      </w:r>
      <w:r w:rsidR="009B0E15" w:rsidRPr="00C5428F">
        <w:rPr>
          <w:rFonts w:asciiTheme="minorHAnsi" w:hAnsiTheme="minorHAnsi"/>
        </w:rPr>
        <w:t>;</w:t>
      </w:r>
      <w:r w:rsidR="002C4954" w:rsidRPr="00C5428F">
        <w:rPr>
          <w:rFonts w:asciiTheme="minorHAnsi" w:hAnsiTheme="minorHAnsi"/>
        </w:rPr>
        <w:t xml:space="preserve"> and </w:t>
      </w:r>
      <w:r w:rsidR="009B0E15" w:rsidRPr="00C5428F">
        <w:rPr>
          <w:rFonts w:asciiTheme="minorHAnsi" w:hAnsiTheme="minorHAnsi"/>
        </w:rPr>
        <w:t xml:space="preserve">the proper application of the </w:t>
      </w:r>
      <w:r w:rsidR="002C4954" w:rsidRPr="00C5428F">
        <w:rPr>
          <w:rFonts w:asciiTheme="minorHAnsi" w:hAnsiTheme="minorHAnsi"/>
        </w:rPr>
        <w:t>principles of general deterrence, denunciation and just punishment may</w:t>
      </w:r>
      <w:r w:rsidR="00625927" w:rsidRPr="00C5428F">
        <w:rPr>
          <w:rFonts w:asciiTheme="minorHAnsi" w:hAnsiTheme="minorHAnsi"/>
        </w:rPr>
        <w:t xml:space="preserve"> </w:t>
      </w:r>
      <w:r w:rsidR="002C4954" w:rsidRPr="00C5428F">
        <w:rPr>
          <w:rFonts w:asciiTheme="minorHAnsi" w:hAnsiTheme="minorHAnsi"/>
        </w:rPr>
        <w:t xml:space="preserve">require the imposition of </w:t>
      </w:r>
      <w:r w:rsidR="00625927" w:rsidRPr="00C5428F">
        <w:rPr>
          <w:rFonts w:asciiTheme="minorHAnsi" w:hAnsiTheme="minorHAnsi"/>
        </w:rPr>
        <w:t>a sentence which will have the effect that the offender may well spend the whole of his</w:t>
      </w:r>
      <w:r w:rsidR="009B0E15" w:rsidRPr="00C5428F">
        <w:rPr>
          <w:rFonts w:asciiTheme="minorHAnsi" w:hAnsiTheme="minorHAnsi"/>
        </w:rPr>
        <w:t xml:space="preserve"> or her</w:t>
      </w:r>
      <w:r w:rsidR="00625927" w:rsidRPr="00C5428F">
        <w:rPr>
          <w:rFonts w:asciiTheme="minorHAnsi" w:hAnsiTheme="minorHAnsi"/>
        </w:rPr>
        <w:t xml:space="preserve"> remaining life in custody.</w:t>
      </w:r>
      <w:r w:rsidR="00AD0A72" w:rsidRPr="00C00000">
        <w:rPr>
          <w:rStyle w:val="Style"/>
          <w:rFonts w:asciiTheme="minorHAnsi" w:hAnsiTheme="minorHAnsi"/>
        </w:rPr>
        <w:footnoteReference w:id="370"/>
      </w:r>
    </w:p>
    <w:p w14:paraId="462195D7" w14:textId="77777777" w:rsidR="002E1254" w:rsidRPr="002E1254" w:rsidRDefault="002E1254" w:rsidP="002E1254">
      <w:pPr>
        <w:pStyle w:val="ListParagraph"/>
        <w:rPr>
          <w:rFonts w:asciiTheme="minorHAnsi" w:hAnsiTheme="minorHAnsi"/>
        </w:rPr>
      </w:pPr>
    </w:p>
    <w:p w14:paraId="6B625F35" w14:textId="05E8EA7B" w:rsidR="005949AA" w:rsidRPr="005949AA" w:rsidRDefault="0062592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same principles have been applied in the sentenc</w:t>
      </w:r>
      <w:r w:rsidR="00C53A04">
        <w:rPr>
          <w:rFonts w:asciiTheme="minorHAnsi" w:hAnsiTheme="minorHAnsi"/>
        </w:rPr>
        <w:t>ing</w:t>
      </w:r>
      <w:r>
        <w:rPr>
          <w:rFonts w:asciiTheme="minorHAnsi" w:hAnsiTheme="minorHAnsi"/>
        </w:rPr>
        <w:t xml:space="preserve"> of federal offenders.</w:t>
      </w:r>
      <w:r w:rsidRPr="00C00000">
        <w:rPr>
          <w:rStyle w:val="Style"/>
          <w:rFonts w:asciiTheme="minorHAnsi" w:hAnsiTheme="minorHAnsi"/>
        </w:rPr>
        <w:footnoteReference w:id="371"/>
      </w:r>
    </w:p>
    <w:p w14:paraId="505D2898" w14:textId="77777777" w:rsidR="00D57AFB" w:rsidRPr="00C00000" w:rsidRDefault="00D57AFB" w:rsidP="00D57AFB">
      <w:pPr>
        <w:widowControl w:val="0"/>
        <w:spacing w:line="276" w:lineRule="auto"/>
        <w:ind w:left="567" w:right="170" w:hanging="567"/>
        <w:jc w:val="both"/>
        <w:rPr>
          <w:rFonts w:asciiTheme="minorHAnsi" w:hAnsiTheme="minorHAnsi"/>
        </w:rPr>
      </w:pPr>
    </w:p>
    <w:p w14:paraId="3FD58B2A" w14:textId="3EB7D4B6" w:rsidR="00D04CBD" w:rsidRDefault="002146C2" w:rsidP="00EB7F1E">
      <w:pPr>
        <w:pStyle w:val="ListParagraph"/>
        <w:numPr>
          <w:ilvl w:val="0"/>
          <w:numId w:val="7"/>
        </w:numPr>
        <w:spacing w:line="276" w:lineRule="auto"/>
        <w:ind w:left="425" w:hanging="425"/>
        <w:contextualSpacing w:val="0"/>
        <w:rPr>
          <w:rFonts w:asciiTheme="minorHAnsi" w:hAnsiTheme="minorHAnsi"/>
        </w:rPr>
      </w:pPr>
      <w:r w:rsidRPr="002146C2">
        <w:rPr>
          <w:rFonts w:asciiTheme="minorHAnsi" w:hAnsiTheme="minorHAnsi"/>
          <w:b/>
        </w:rPr>
        <w:t xml:space="preserve">Means: </w:t>
      </w:r>
      <w:r w:rsidR="00CE193C">
        <w:rPr>
          <w:rFonts w:asciiTheme="minorHAnsi" w:hAnsiTheme="minorHAnsi"/>
          <w:b/>
        </w:rPr>
        <w:t xml:space="preserve"> </w:t>
      </w:r>
      <w:r w:rsidR="00B144EA">
        <w:rPr>
          <w:rFonts w:asciiTheme="minorHAnsi" w:hAnsiTheme="minorHAnsi"/>
        </w:rPr>
        <w:t xml:space="preserve">The means of the offender are </w:t>
      </w:r>
      <w:r w:rsidR="00972100">
        <w:rPr>
          <w:rFonts w:asciiTheme="minorHAnsi" w:hAnsiTheme="minorHAnsi"/>
        </w:rPr>
        <w:t xml:space="preserve">particularly </w:t>
      </w:r>
      <w:r w:rsidR="00B144EA">
        <w:rPr>
          <w:rFonts w:asciiTheme="minorHAnsi" w:hAnsiTheme="minorHAnsi"/>
        </w:rPr>
        <w:t xml:space="preserve">relevant to the imposition of a financial penalty. </w:t>
      </w:r>
      <w:r w:rsidR="00972100">
        <w:rPr>
          <w:rFonts w:asciiTheme="minorHAnsi" w:hAnsiTheme="minorHAnsi"/>
        </w:rPr>
        <w:t xml:space="preserve"> </w:t>
      </w:r>
      <w:r w:rsidR="00D4083F">
        <w:rPr>
          <w:rFonts w:asciiTheme="minorHAnsi" w:hAnsiTheme="minorHAnsi"/>
        </w:rPr>
        <w:t xml:space="preserve">However they may also be relevant to assessing the gravity of the offending generally, for example, in determining whether or not the offending was motivated by financial hardship.  </w:t>
      </w:r>
      <w:r w:rsidR="001F0A0B">
        <w:rPr>
          <w:rFonts w:asciiTheme="minorHAnsi" w:hAnsiTheme="minorHAnsi"/>
        </w:rPr>
        <w:t>Such an assessment may result in either mitigation or aggravation of a sentence.</w:t>
      </w:r>
    </w:p>
    <w:p w14:paraId="2A844414" w14:textId="77777777" w:rsidR="00D04CBD" w:rsidRPr="00D04CBD" w:rsidRDefault="00D04CBD" w:rsidP="00D04CBD">
      <w:pPr>
        <w:pStyle w:val="ListParagraph"/>
        <w:rPr>
          <w:rFonts w:asciiTheme="minorHAnsi" w:hAnsiTheme="minorHAnsi"/>
        </w:rPr>
      </w:pPr>
    </w:p>
    <w:p w14:paraId="56F9DA76" w14:textId="69B7C39A" w:rsidR="002146C2" w:rsidRPr="00B144EA" w:rsidRDefault="00D04CBD"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Before imposing a fine on a federal offender</w:t>
      </w:r>
      <w:r w:rsidR="001838CA">
        <w:rPr>
          <w:rFonts w:asciiTheme="minorHAnsi" w:hAnsiTheme="minorHAnsi"/>
        </w:rPr>
        <w:t>,</w:t>
      </w:r>
      <w:r w:rsidR="001838CA" w:rsidRPr="00C00000">
        <w:rPr>
          <w:rStyle w:val="Style"/>
          <w:rFonts w:asciiTheme="minorHAnsi" w:hAnsiTheme="minorHAnsi"/>
        </w:rPr>
        <w:footnoteReference w:id="372"/>
      </w:r>
      <w:r>
        <w:rPr>
          <w:rFonts w:asciiTheme="minorHAnsi" w:hAnsiTheme="minorHAnsi"/>
        </w:rPr>
        <w:t xml:space="preserve"> a court is required to </w:t>
      </w:r>
      <w:r w:rsidRPr="00D04CBD">
        <w:rPr>
          <w:rFonts w:asciiTheme="minorHAnsi" w:hAnsiTheme="minorHAnsi"/>
        </w:rPr>
        <w:t xml:space="preserve">take into account the </w:t>
      </w:r>
      <w:r>
        <w:rPr>
          <w:rFonts w:asciiTheme="minorHAnsi" w:hAnsiTheme="minorHAnsi"/>
        </w:rPr>
        <w:t>“</w:t>
      </w:r>
      <w:r w:rsidRPr="00D04CBD">
        <w:rPr>
          <w:rFonts w:asciiTheme="minorHAnsi" w:hAnsiTheme="minorHAnsi"/>
        </w:rPr>
        <w:t>financial circumstances</w:t>
      </w:r>
      <w:r>
        <w:rPr>
          <w:rFonts w:asciiTheme="minorHAnsi" w:hAnsiTheme="minorHAnsi"/>
        </w:rPr>
        <w:t>”</w:t>
      </w:r>
      <w:r w:rsidRPr="00D04CBD">
        <w:rPr>
          <w:rFonts w:asciiTheme="minorHAnsi" w:hAnsiTheme="minorHAnsi"/>
        </w:rPr>
        <w:t xml:space="preserve"> of the offender, in addition to any other matters that the court is required to take into account</w:t>
      </w:r>
      <w:r>
        <w:rPr>
          <w:rFonts w:asciiTheme="minorHAnsi" w:hAnsiTheme="minorHAnsi"/>
        </w:rPr>
        <w:t xml:space="preserve">: </w:t>
      </w:r>
      <w:r w:rsidR="00885EFD" w:rsidRPr="00885EFD">
        <w:rPr>
          <w:rFonts w:asciiTheme="minorHAnsi" w:hAnsiTheme="minorHAnsi"/>
          <w:i/>
        </w:rPr>
        <w:t>Crimes Act 1914</w:t>
      </w:r>
      <w:r w:rsidRPr="00D04CBD">
        <w:rPr>
          <w:rFonts w:asciiTheme="minorHAnsi" w:hAnsiTheme="minorHAnsi"/>
          <w:i/>
        </w:rPr>
        <w:t xml:space="preserve"> (Cth)</w:t>
      </w:r>
      <w:r>
        <w:rPr>
          <w:rFonts w:asciiTheme="minorHAnsi" w:hAnsiTheme="minorHAnsi"/>
        </w:rPr>
        <w:t>, s 16C(1).  Therefore</w:t>
      </w:r>
      <w:r w:rsidR="001F0A0B">
        <w:rPr>
          <w:rFonts w:asciiTheme="minorHAnsi" w:hAnsiTheme="minorHAnsi"/>
        </w:rPr>
        <w:t>, before imposing a fine,</w:t>
      </w:r>
      <w:r>
        <w:rPr>
          <w:rFonts w:asciiTheme="minorHAnsi" w:hAnsiTheme="minorHAnsi"/>
        </w:rPr>
        <w:t xml:space="preserve"> the court must take into account not only the “means” of the offender (pursuant to s 16A(2)(m)) but also their “financial circumstances” generally.  As to the nature and effect of this requirement, see “</w:t>
      </w:r>
      <w:r>
        <w:rPr>
          <w:rFonts w:asciiTheme="minorHAnsi" w:hAnsiTheme="minorHAnsi"/>
        </w:rPr>
        <w:fldChar w:fldCharType="begin"/>
      </w:r>
      <w:r>
        <w:rPr>
          <w:rFonts w:asciiTheme="minorHAnsi" w:hAnsiTheme="minorHAnsi"/>
        </w:rPr>
        <w:instrText xml:space="preserve"> REF _Ref504146575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5.6.4</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_Ref504146578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Means and financial circumstances of offender</w:t>
      </w:r>
      <w:r>
        <w:rPr>
          <w:rFonts w:asciiTheme="minorHAnsi" w:hAnsiTheme="minorHAnsi"/>
        </w:rPr>
        <w:fldChar w:fldCharType="end"/>
      </w:r>
      <w:r>
        <w:rPr>
          <w:rFonts w:asciiTheme="minorHAnsi" w:hAnsiTheme="minorHAnsi"/>
        </w:rPr>
        <w:t>”.</w:t>
      </w:r>
    </w:p>
    <w:p w14:paraId="4A3EB888" w14:textId="77777777" w:rsidR="002146C2" w:rsidRPr="00C00000" w:rsidRDefault="002146C2" w:rsidP="002146C2">
      <w:pPr>
        <w:widowControl w:val="0"/>
        <w:spacing w:line="276" w:lineRule="auto"/>
        <w:ind w:left="567" w:right="170" w:hanging="567"/>
        <w:jc w:val="both"/>
        <w:rPr>
          <w:rFonts w:asciiTheme="minorHAnsi" w:hAnsiTheme="minorHAnsi"/>
        </w:rPr>
      </w:pPr>
    </w:p>
    <w:p w14:paraId="03D89905" w14:textId="04643177" w:rsidR="00DC5CFE" w:rsidRDefault="000608FA"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b/>
        </w:rPr>
        <w:t>Physical</w:t>
      </w:r>
      <w:r w:rsidR="003D2B2F">
        <w:rPr>
          <w:rFonts w:asciiTheme="minorHAnsi" w:hAnsiTheme="minorHAnsi"/>
          <w:b/>
        </w:rPr>
        <w:t xml:space="preserve"> or m</w:t>
      </w:r>
      <w:r w:rsidRPr="00C00000">
        <w:rPr>
          <w:rFonts w:asciiTheme="minorHAnsi" w:hAnsiTheme="minorHAnsi"/>
          <w:b/>
        </w:rPr>
        <w:t>ental condition</w:t>
      </w:r>
      <w:r w:rsidRPr="00C00000">
        <w:rPr>
          <w:rFonts w:asciiTheme="minorHAnsi" w:hAnsiTheme="minorHAnsi"/>
        </w:rPr>
        <w:t>: The court is required to take into account the physical or mental condition of the defendant</w:t>
      </w:r>
      <w:r w:rsidR="009C34BF">
        <w:rPr>
          <w:rFonts w:asciiTheme="minorHAnsi" w:hAnsiTheme="minorHAnsi"/>
        </w:rPr>
        <w:t>, to the extent that it is relevant and known to the court</w:t>
      </w:r>
      <w:r w:rsidRPr="00C00000">
        <w:rPr>
          <w:rFonts w:asciiTheme="minorHAnsi" w:hAnsiTheme="minorHAnsi"/>
        </w:rPr>
        <w:t>.</w:t>
      </w:r>
    </w:p>
    <w:p w14:paraId="4F88EBEC" w14:textId="77777777" w:rsidR="00DC5CFE" w:rsidRPr="00DC5CFE" w:rsidRDefault="00DC5CFE" w:rsidP="00DC5CFE">
      <w:pPr>
        <w:pStyle w:val="ListParagraph"/>
        <w:rPr>
          <w:rFonts w:asciiTheme="minorHAnsi" w:hAnsiTheme="minorHAnsi"/>
        </w:rPr>
      </w:pPr>
    </w:p>
    <w:p w14:paraId="1369521F" w14:textId="1E81DED4" w:rsidR="002D2F0E" w:rsidRDefault="002D2F0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requirement in the opening words of s 16A(2) that the matters </w:t>
      </w:r>
      <w:r w:rsidRPr="00E96CC0">
        <w:rPr>
          <w:rFonts w:asciiTheme="minorHAnsi" w:hAnsiTheme="minorHAnsi"/>
        </w:rPr>
        <w:t xml:space="preserve">listed </w:t>
      </w:r>
      <w:r w:rsidRPr="00E96CC0">
        <w:rPr>
          <w:rFonts w:asciiTheme="minorHAnsi" w:hAnsiTheme="minorHAnsi"/>
          <w:color w:val="000000"/>
          <w:szCs w:val="22"/>
          <w:lang w:eastAsia="en-AU"/>
        </w:rPr>
        <w:t>must be taken into account if “</w:t>
      </w:r>
      <w:r w:rsidRPr="00E96CC0">
        <w:rPr>
          <w:rFonts w:asciiTheme="minorHAnsi" w:hAnsiTheme="minorHAnsi"/>
          <w:i/>
          <w:color w:val="000000"/>
          <w:szCs w:val="22"/>
          <w:lang w:eastAsia="en-AU"/>
        </w:rPr>
        <w:t>relevant and known to the court</w:t>
      </w:r>
      <w:r w:rsidRPr="00E96CC0">
        <w:rPr>
          <w:rFonts w:asciiTheme="minorHAnsi" w:hAnsiTheme="minorHAnsi"/>
          <w:color w:val="000000"/>
          <w:szCs w:val="22"/>
          <w:lang w:eastAsia="en-AU"/>
        </w:rPr>
        <w:t>”</w:t>
      </w:r>
      <w:r>
        <w:rPr>
          <w:rFonts w:asciiTheme="minorHAnsi" w:hAnsiTheme="minorHAnsi"/>
          <w:i/>
          <w:color w:val="000000"/>
          <w:szCs w:val="22"/>
          <w:lang w:eastAsia="en-AU"/>
        </w:rPr>
        <w:t xml:space="preserve"> </w:t>
      </w:r>
      <w:r>
        <w:rPr>
          <w:rFonts w:asciiTheme="minorHAnsi" w:hAnsiTheme="minorHAnsi"/>
          <w:color w:val="000000"/>
          <w:szCs w:val="22"/>
          <w:lang w:eastAsia="en-AU"/>
        </w:rPr>
        <w:t xml:space="preserve">leaves no room for acting merely on a </w:t>
      </w:r>
      <w:r w:rsidRPr="002D2F0E">
        <w:rPr>
          <w:rFonts w:asciiTheme="minorHAnsi" w:hAnsiTheme="minorHAnsi"/>
          <w:i/>
          <w:color w:val="000000"/>
          <w:szCs w:val="22"/>
          <w:lang w:eastAsia="en-AU"/>
        </w:rPr>
        <w:t>presumption</w:t>
      </w:r>
      <w:r>
        <w:rPr>
          <w:rFonts w:asciiTheme="minorHAnsi" w:hAnsiTheme="minorHAnsi"/>
          <w:color w:val="000000"/>
          <w:szCs w:val="22"/>
          <w:lang w:eastAsia="en-AU"/>
        </w:rPr>
        <w:t xml:space="preserve"> of the existence of a mental condition;</w:t>
      </w:r>
      <w:r w:rsidRPr="002D2F0E">
        <w:rPr>
          <w:rFonts w:asciiTheme="minorHAnsi" w:hAnsiTheme="minorHAnsi"/>
          <w:color w:val="000000"/>
          <w:szCs w:val="22"/>
          <w:lang w:eastAsia="en-AU"/>
        </w:rPr>
        <w:t xml:space="preserve"> </w:t>
      </w:r>
      <w:r>
        <w:rPr>
          <w:rFonts w:asciiTheme="minorHAnsi" w:hAnsiTheme="minorHAnsi"/>
          <w:color w:val="000000"/>
          <w:szCs w:val="22"/>
          <w:lang w:eastAsia="en-AU"/>
        </w:rPr>
        <w:t xml:space="preserve">the </w:t>
      </w:r>
      <w:r w:rsidRPr="00F25500">
        <w:rPr>
          <w:rFonts w:asciiTheme="minorHAnsi" w:hAnsiTheme="minorHAnsi"/>
          <w:i/>
          <w:color w:val="000000"/>
          <w:szCs w:val="22"/>
          <w:lang w:eastAsia="en-AU"/>
        </w:rPr>
        <w:t>actual</w:t>
      </w:r>
      <w:r>
        <w:rPr>
          <w:rFonts w:asciiTheme="minorHAnsi" w:hAnsiTheme="minorHAnsi"/>
          <w:color w:val="000000"/>
          <w:szCs w:val="22"/>
          <w:lang w:eastAsia="en-AU"/>
        </w:rPr>
        <w:t xml:space="preserve"> mental condition of the offender</w:t>
      </w:r>
      <w:r w:rsidRPr="006E47D8">
        <w:rPr>
          <w:rFonts w:asciiTheme="minorHAnsi" w:hAnsiTheme="minorHAnsi"/>
          <w:color w:val="000000"/>
          <w:szCs w:val="22"/>
          <w:lang w:eastAsia="en-AU"/>
        </w:rPr>
        <w:t xml:space="preserve"> </w:t>
      </w:r>
      <w:r>
        <w:rPr>
          <w:rFonts w:asciiTheme="minorHAnsi" w:hAnsiTheme="minorHAnsi"/>
          <w:color w:val="000000"/>
          <w:szCs w:val="22"/>
          <w:lang w:eastAsia="en-AU"/>
        </w:rPr>
        <w:t>“</w:t>
      </w:r>
      <w:r w:rsidRPr="00340FD8">
        <w:rPr>
          <w:rFonts w:asciiTheme="minorHAnsi" w:hAnsiTheme="minorHAnsi"/>
          <w:i/>
          <w:color w:val="000000"/>
          <w:szCs w:val="22"/>
          <w:lang w:eastAsia="en-AU"/>
        </w:rPr>
        <w:t>must be demonstrated before the provision applies</w:t>
      </w:r>
      <w:r>
        <w:rPr>
          <w:rFonts w:asciiTheme="minorHAnsi" w:hAnsiTheme="minorHAnsi"/>
          <w:color w:val="000000"/>
          <w:szCs w:val="22"/>
          <w:lang w:eastAsia="en-AU"/>
        </w:rPr>
        <w:t>”.</w:t>
      </w:r>
      <w:r w:rsidRPr="00C00000">
        <w:rPr>
          <w:rStyle w:val="Style"/>
          <w:rFonts w:asciiTheme="minorHAnsi" w:hAnsiTheme="minorHAnsi"/>
        </w:rPr>
        <w:footnoteReference w:id="373"/>
      </w:r>
      <w:r>
        <w:rPr>
          <w:rFonts w:asciiTheme="minorHAnsi" w:hAnsiTheme="minorHAnsi"/>
          <w:color w:val="000000"/>
          <w:szCs w:val="22"/>
          <w:lang w:eastAsia="en-AU"/>
        </w:rPr>
        <w:t xml:space="preserve">  By parity of reasoning, the same principle must apply in relation to a physical condition.</w:t>
      </w:r>
      <w:r w:rsidR="006218A3" w:rsidRPr="006218A3">
        <w:rPr>
          <w:rFonts w:asciiTheme="minorHAnsi" w:hAnsiTheme="minorHAnsi"/>
        </w:rPr>
        <w:t xml:space="preserve"> </w:t>
      </w:r>
    </w:p>
    <w:p w14:paraId="4A801A58" w14:textId="77777777" w:rsidR="002D2F0E" w:rsidRPr="00383770" w:rsidRDefault="002D2F0E" w:rsidP="002D2F0E">
      <w:pPr>
        <w:widowControl w:val="0"/>
        <w:spacing w:line="276" w:lineRule="auto"/>
        <w:ind w:right="170"/>
        <w:rPr>
          <w:rFonts w:asciiTheme="minorHAnsi" w:hAnsiTheme="minorHAnsi"/>
        </w:rPr>
      </w:pPr>
    </w:p>
    <w:p w14:paraId="31AA647E" w14:textId="3CDB56E5" w:rsidR="00B4182F" w:rsidRDefault="00B4182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has long been accepted that </w:t>
      </w:r>
      <w:r w:rsidR="00213F3E">
        <w:rPr>
          <w:rFonts w:asciiTheme="minorHAnsi" w:hAnsiTheme="minorHAnsi"/>
        </w:rPr>
        <w:t xml:space="preserve">the </w:t>
      </w:r>
      <w:r w:rsidR="002D2F0E">
        <w:rPr>
          <w:rFonts w:asciiTheme="minorHAnsi" w:hAnsiTheme="minorHAnsi"/>
        </w:rPr>
        <w:t xml:space="preserve">physical </w:t>
      </w:r>
      <w:r w:rsidR="00327C57">
        <w:rPr>
          <w:rFonts w:asciiTheme="minorHAnsi" w:hAnsiTheme="minorHAnsi"/>
        </w:rPr>
        <w:t>ill-health</w:t>
      </w:r>
      <w:r w:rsidR="00A1322A">
        <w:rPr>
          <w:rFonts w:asciiTheme="minorHAnsi" w:hAnsiTheme="minorHAnsi"/>
        </w:rPr>
        <w:t xml:space="preserve"> of </w:t>
      </w:r>
      <w:r w:rsidR="00FB23E7">
        <w:rPr>
          <w:rFonts w:asciiTheme="minorHAnsi" w:hAnsiTheme="minorHAnsi"/>
        </w:rPr>
        <w:t>an</w:t>
      </w:r>
      <w:r w:rsidR="00A1322A">
        <w:rPr>
          <w:rFonts w:asciiTheme="minorHAnsi" w:hAnsiTheme="minorHAnsi"/>
        </w:rPr>
        <w:t xml:space="preserve"> offender</w:t>
      </w:r>
      <w:r w:rsidR="00327C57">
        <w:rPr>
          <w:rFonts w:asciiTheme="minorHAnsi" w:hAnsiTheme="minorHAnsi"/>
        </w:rPr>
        <w:t xml:space="preserve"> “</w:t>
      </w:r>
      <w:r w:rsidR="00327C57" w:rsidRPr="00327C57">
        <w:rPr>
          <w:rFonts w:asciiTheme="minorHAnsi" w:hAnsiTheme="minorHAnsi"/>
          <w:i/>
        </w:rPr>
        <w:t>will be a factor tending to mitigate punishment only when it appears that imprisonment will be a greater burden on the offender by reason of his state of heath or when there is a serious risk of imprisonment having a gravely adverse effect on the offender</w:t>
      </w:r>
      <w:r w:rsidR="00AA693C">
        <w:rPr>
          <w:rFonts w:asciiTheme="minorHAnsi" w:hAnsiTheme="minorHAnsi"/>
          <w:i/>
        </w:rPr>
        <w:t>’</w:t>
      </w:r>
      <w:r w:rsidR="00327C57" w:rsidRPr="00327C57">
        <w:rPr>
          <w:rFonts w:asciiTheme="minorHAnsi" w:hAnsiTheme="minorHAnsi"/>
          <w:i/>
        </w:rPr>
        <w:t>s health</w:t>
      </w:r>
      <w:r w:rsidR="00327C57">
        <w:rPr>
          <w:rFonts w:asciiTheme="minorHAnsi" w:hAnsiTheme="minorHAnsi"/>
        </w:rPr>
        <w:t>”</w:t>
      </w:r>
      <w:r w:rsidR="00327C57" w:rsidRPr="00327C57">
        <w:rPr>
          <w:rFonts w:asciiTheme="minorHAnsi" w:hAnsiTheme="minorHAnsi"/>
        </w:rPr>
        <w:t>.</w:t>
      </w:r>
      <w:r w:rsidR="00213F3E" w:rsidRPr="00C00000">
        <w:rPr>
          <w:rStyle w:val="Style"/>
          <w:rFonts w:asciiTheme="minorHAnsi" w:hAnsiTheme="minorHAnsi"/>
        </w:rPr>
        <w:footnoteReference w:id="374"/>
      </w:r>
      <w:r w:rsidR="00327C57" w:rsidRPr="00327C57">
        <w:rPr>
          <w:rFonts w:asciiTheme="minorHAnsi" w:hAnsiTheme="minorHAnsi"/>
        </w:rPr>
        <w:t xml:space="preserve"> </w:t>
      </w:r>
      <w:r w:rsidR="00327C57">
        <w:rPr>
          <w:rFonts w:asciiTheme="minorHAnsi" w:hAnsiTheme="minorHAnsi"/>
        </w:rPr>
        <w:t xml:space="preserve"> The </w:t>
      </w:r>
      <w:r w:rsidR="00A27708">
        <w:rPr>
          <w:rFonts w:asciiTheme="minorHAnsi" w:hAnsiTheme="minorHAnsi"/>
        </w:rPr>
        <w:t xml:space="preserve">principle is applicable to </w:t>
      </w:r>
      <w:r w:rsidR="00327C57">
        <w:rPr>
          <w:rFonts w:asciiTheme="minorHAnsi" w:hAnsiTheme="minorHAnsi"/>
        </w:rPr>
        <w:t>a</w:t>
      </w:r>
      <w:r w:rsidR="00A27708">
        <w:rPr>
          <w:rFonts w:asciiTheme="minorHAnsi" w:hAnsiTheme="minorHAnsi"/>
        </w:rPr>
        <w:t>ny physical condition, including a</w:t>
      </w:r>
      <w:r w:rsidR="00327C57">
        <w:rPr>
          <w:rFonts w:asciiTheme="minorHAnsi" w:hAnsiTheme="minorHAnsi"/>
        </w:rPr>
        <w:t xml:space="preserve"> </w:t>
      </w:r>
      <w:r w:rsidR="00D60CD3">
        <w:rPr>
          <w:rFonts w:asciiTheme="minorHAnsi" w:hAnsiTheme="minorHAnsi"/>
        </w:rPr>
        <w:t xml:space="preserve">physical </w:t>
      </w:r>
      <w:r w:rsidR="00327C57">
        <w:rPr>
          <w:rFonts w:asciiTheme="minorHAnsi" w:hAnsiTheme="minorHAnsi"/>
        </w:rPr>
        <w:t>disability.</w:t>
      </w:r>
      <w:r w:rsidR="00A27708" w:rsidRPr="00C00000">
        <w:rPr>
          <w:rStyle w:val="Style"/>
          <w:rFonts w:asciiTheme="minorHAnsi" w:hAnsiTheme="minorHAnsi"/>
        </w:rPr>
        <w:footnoteReference w:id="375"/>
      </w:r>
      <w:r w:rsidR="00FF0787">
        <w:rPr>
          <w:rFonts w:asciiTheme="minorHAnsi" w:hAnsiTheme="minorHAnsi"/>
        </w:rPr>
        <w:t xml:space="preserve">  The comparison to be made is not whether the burden of the sentence would be greater for the offender than it would be if the offender were not subject to the sentence, but whether the burden would be greater for the offender than for a person without that condition.</w:t>
      </w:r>
      <w:r w:rsidR="00FF0787" w:rsidRPr="00C00000">
        <w:rPr>
          <w:rStyle w:val="Style"/>
          <w:rFonts w:asciiTheme="minorHAnsi" w:hAnsiTheme="minorHAnsi"/>
        </w:rPr>
        <w:footnoteReference w:id="376"/>
      </w:r>
      <w:r w:rsidR="006218A3" w:rsidRPr="006218A3">
        <w:rPr>
          <w:rFonts w:asciiTheme="minorHAnsi" w:hAnsiTheme="minorHAnsi"/>
        </w:rPr>
        <w:t xml:space="preserve"> </w:t>
      </w:r>
    </w:p>
    <w:p w14:paraId="51D0E58C" w14:textId="77777777" w:rsidR="00B4182F" w:rsidRPr="00B4182F" w:rsidRDefault="00B4182F" w:rsidP="00B4182F">
      <w:pPr>
        <w:pStyle w:val="ListParagraph"/>
        <w:rPr>
          <w:rFonts w:asciiTheme="minorHAnsi" w:hAnsiTheme="minorHAnsi"/>
        </w:rPr>
      </w:pPr>
    </w:p>
    <w:p w14:paraId="7D99A02A" w14:textId="5989C922" w:rsidR="00164A08" w:rsidRDefault="0029409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Impaired mental functioning, whether due to </w:t>
      </w:r>
      <w:r w:rsidR="00E122CE">
        <w:rPr>
          <w:rFonts w:asciiTheme="minorHAnsi" w:hAnsiTheme="minorHAnsi"/>
        </w:rPr>
        <w:t>acquired brain injury</w:t>
      </w:r>
      <w:r w:rsidR="009648EE">
        <w:rPr>
          <w:rFonts w:asciiTheme="minorHAnsi" w:hAnsiTheme="minorHAnsi"/>
        </w:rPr>
        <w:t>,</w:t>
      </w:r>
      <w:r w:rsidR="009648EE" w:rsidRPr="00C00000">
        <w:rPr>
          <w:rStyle w:val="Style"/>
          <w:rFonts w:asciiTheme="minorHAnsi" w:hAnsiTheme="minorHAnsi"/>
        </w:rPr>
        <w:footnoteReference w:id="377"/>
      </w:r>
      <w:r w:rsidR="00E122CE">
        <w:rPr>
          <w:rFonts w:asciiTheme="minorHAnsi" w:hAnsiTheme="minorHAnsi"/>
        </w:rPr>
        <w:t xml:space="preserve"> </w:t>
      </w:r>
      <w:r>
        <w:rPr>
          <w:rFonts w:asciiTheme="minorHAnsi" w:hAnsiTheme="minorHAnsi"/>
        </w:rPr>
        <w:t>intellectual disability</w:t>
      </w:r>
      <w:r w:rsidR="00F14A55" w:rsidRPr="00C00000">
        <w:rPr>
          <w:rStyle w:val="Style"/>
          <w:rFonts w:asciiTheme="minorHAnsi" w:hAnsiTheme="minorHAnsi"/>
        </w:rPr>
        <w:footnoteReference w:id="378"/>
      </w:r>
      <w:r>
        <w:rPr>
          <w:rFonts w:asciiTheme="minorHAnsi" w:hAnsiTheme="minorHAnsi"/>
        </w:rPr>
        <w:t xml:space="preserve"> or a mental illness,</w:t>
      </w:r>
      <w:r w:rsidR="00960989" w:rsidRPr="00C00000">
        <w:rPr>
          <w:rStyle w:val="Style"/>
          <w:rFonts w:asciiTheme="minorHAnsi" w:hAnsiTheme="minorHAnsi"/>
        </w:rPr>
        <w:footnoteReference w:id="379"/>
      </w:r>
      <w:r>
        <w:rPr>
          <w:rFonts w:asciiTheme="minorHAnsi" w:hAnsiTheme="minorHAnsi"/>
        </w:rPr>
        <w:t xml:space="preserve"> may also be relevant to sentencing in a variety of ways. </w:t>
      </w:r>
      <w:r w:rsidR="00383770">
        <w:rPr>
          <w:rFonts w:asciiTheme="minorHAnsi" w:hAnsiTheme="minorHAnsi"/>
        </w:rPr>
        <w:t xml:space="preserve"> </w:t>
      </w:r>
      <w:r>
        <w:rPr>
          <w:rFonts w:asciiTheme="minorHAnsi" w:hAnsiTheme="minorHAnsi"/>
        </w:rPr>
        <w:t xml:space="preserve">The main ways were </w:t>
      </w:r>
      <w:r w:rsidR="00F47D0C">
        <w:rPr>
          <w:rFonts w:asciiTheme="minorHAnsi" w:hAnsiTheme="minorHAnsi"/>
        </w:rPr>
        <w:t>summar</w:t>
      </w:r>
      <w:r w:rsidR="00B86888">
        <w:rPr>
          <w:rFonts w:asciiTheme="minorHAnsi" w:hAnsiTheme="minorHAnsi"/>
        </w:rPr>
        <w:t>ised</w:t>
      </w:r>
      <w:r>
        <w:rPr>
          <w:rFonts w:asciiTheme="minorHAnsi" w:hAnsiTheme="minorHAnsi"/>
        </w:rPr>
        <w:t xml:space="preserve"> by the Victorian Court of Appeal i</w:t>
      </w:r>
      <w:r w:rsidR="00164A08">
        <w:rPr>
          <w:rFonts w:asciiTheme="minorHAnsi" w:hAnsiTheme="minorHAnsi"/>
        </w:rPr>
        <w:t xml:space="preserve">n </w:t>
      </w:r>
      <w:r w:rsidR="00164A08" w:rsidRPr="00164A08">
        <w:rPr>
          <w:rFonts w:asciiTheme="minorHAnsi" w:hAnsiTheme="minorHAnsi"/>
          <w:i/>
        </w:rPr>
        <w:t>Verdins</w:t>
      </w:r>
      <w:r w:rsidR="00EF1EAB" w:rsidRPr="00C00000">
        <w:rPr>
          <w:rStyle w:val="Style"/>
          <w:rFonts w:asciiTheme="minorHAnsi" w:hAnsiTheme="minorHAnsi"/>
        </w:rPr>
        <w:footnoteReference w:id="380"/>
      </w:r>
      <w:r w:rsidR="00164A08">
        <w:rPr>
          <w:rFonts w:asciiTheme="minorHAnsi" w:hAnsiTheme="minorHAnsi"/>
        </w:rPr>
        <w:t xml:space="preserve"> as follows:</w:t>
      </w:r>
    </w:p>
    <w:p w14:paraId="58F702F3" w14:textId="5B40B9C0" w:rsidR="00164A08" w:rsidRDefault="00164A08" w:rsidP="00164A08">
      <w:pPr>
        <w:pStyle w:val="ListParagraph"/>
        <w:rPr>
          <w:rFonts w:asciiTheme="minorHAnsi" w:hAnsiTheme="minorHAnsi"/>
        </w:rPr>
      </w:pPr>
    </w:p>
    <w:p w14:paraId="01929E66" w14:textId="77777777" w:rsidR="00164A08" w:rsidRPr="00EF1EAB" w:rsidRDefault="00164A08" w:rsidP="00EB7F1E">
      <w:pPr>
        <w:pStyle w:val="BodyText"/>
        <w:spacing w:line="276" w:lineRule="auto"/>
        <w:ind w:left="720" w:right="170" w:hanging="11"/>
        <w:jc w:val="both"/>
        <w:rPr>
          <w:rFonts w:asciiTheme="minorHAnsi" w:hAnsiTheme="minorHAnsi"/>
          <w:i/>
        </w:rPr>
      </w:pPr>
      <w:r w:rsidRPr="00EF1EAB">
        <w:rPr>
          <w:rFonts w:asciiTheme="minorHAnsi" w:hAnsiTheme="minorHAnsi"/>
          <w:i/>
        </w:rPr>
        <w:t>Impaired mental functioning, whether temporary or permanent (“the condition”), is relevant to sentencing in at least the following six ways:</w:t>
      </w:r>
    </w:p>
    <w:p w14:paraId="70D36BF8" w14:textId="15F5FED6" w:rsidR="00164A08" w:rsidRPr="00EF1EAB" w:rsidRDefault="00164A08" w:rsidP="00EB7F1E">
      <w:pPr>
        <w:pStyle w:val="BodyText"/>
        <w:spacing w:line="276" w:lineRule="auto"/>
        <w:ind w:left="1134" w:right="170" w:hanging="425"/>
        <w:jc w:val="both"/>
        <w:rPr>
          <w:rFonts w:asciiTheme="minorHAnsi" w:hAnsiTheme="minorHAnsi"/>
          <w:i/>
        </w:rPr>
      </w:pPr>
      <w:r w:rsidRPr="00EF1EAB">
        <w:rPr>
          <w:rFonts w:asciiTheme="minorHAnsi" w:hAnsiTheme="minorHAnsi"/>
          <w:i/>
        </w:rPr>
        <w:t>1.</w:t>
      </w:r>
      <w:r w:rsidRPr="00EF1EAB">
        <w:rPr>
          <w:rFonts w:asciiTheme="minorHAnsi" w:hAnsiTheme="minorHAnsi"/>
          <w:i/>
        </w:rPr>
        <w:tab/>
        <w:t>The condition may reduce the moral culpability of the offending conduct, as distinct from the offender</w:t>
      </w:r>
      <w:r w:rsidR="00AA693C">
        <w:rPr>
          <w:rFonts w:asciiTheme="minorHAnsi" w:hAnsiTheme="minorHAnsi"/>
          <w:i/>
        </w:rPr>
        <w:t>’</w:t>
      </w:r>
      <w:r w:rsidRPr="00EF1EAB">
        <w:rPr>
          <w:rFonts w:asciiTheme="minorHAnsi" w:hAnsiTheme="minorHAnsi"/>
          <w:i/>
        </w:rPr>
        <w:t>s legal responsibility.  Where that is so, the condition affects the punishment that is just in all the circumstances; and denunciation is less likely to be a relevant sentencing objective.</w:t>
      </w:r>
    </w:p>
    <w:p w14:paraId="79E1FCC8" w14:textId="77777777" w:rsidR="00164A08" w:rsidRPr="00EF1EAB" w:rsidRDefault="00164A08" w:rsidP="00EB7F1E">
      <w:pPr>
        <w:pStyle w:val="BodyText"/>
        <w:spacing w:line="276" w:lineRule="auto"/>
        <w:ind w:left="1134" w:right="170" w:hanging="425"/>
        <w:jc w:val="both"/>
        <w:rPr>
          <w:rFonts w:asciiTheme="minorHAnsi" w:hAnsiTheme="minorHAnsi"/>
          <w:i/>
        </w:rPr>
      </w:pPr>
      <w:r w:rsidRPr="00EF1EAB">
        <w:rPr>
          <w:rFonts w:asciiTheme="minorHAnsi" w:hAnsiTheme="minorHAnsi"/>
          <w:i/>
        </w:rPr>
        <w:t>2.</w:t>
      </w:r>
      <w:r w:rsidRPr="00EF1EAB">
        <w:rPr>
          <w:rFonts w:asciiTheme="minorHAnsi" w:hAnsiTheme="minorHAnsi"/>
          <w:i/>
        </w:rPr>
        <w:tab/>
        <w:t>The condition may have a bearing on the kind of sentence that is imposed and the conditions in which it should be served.</w:t>
      </w:r>
    </w:p>
    <w:p w14:paraId="6DAB7B6A" w14:textId="77777777" w:rsidR="00164A08" w:rsidRPr="00EF1EAB" w:rsidRDefault="00164A08" w:rsidP="00EB7F1E">
      <w:pPr>
        <w:pStyle w:val="BodyText"/>
        <w:spacing w:line="276" w:lineRule="auto"/>
        <w:ind w:left="1134" w:right="170" w:hanging="425"/>
        <w:jc w:val="both"/>
        <w:rPr>
          <w:rFonts w:asciiTheme="minorHAnsi" w:hAnsiTheme="minorHAnsi"/>
          <w:i/>
        </w:rPr>
      </w:pPr>
      <w:r w:rsidRPr="00EF1EAB">
        <w:rPr>
          <w:rFonts w:asciiTheme="minorHAnsi" w:hAnsiTheme="minorHAnsi"/>
          <w:i/>
        </w:rPr>
        <w:t>3.</w:t>
      </w:r>
      <w:r w:rsidRPr="00EF1EAB">
        <w:rPr>
          <w:rFonts w:asciiTheme="minorHAnsi" w:hAnsiTheme="minorHAnsi"/>
          <w:i/>
        </w:rPr>
        <w:tab/>
        <w:t>Whether general deterrence should be moderated or eliminated as a sentencing consideration depends upon the nature and severity of the symptoms exhibited by the offender, and the effect of the condition on the mental capacity of the offender, whether at the time of the offending or at the date of sentence or both.</w:t>
      </w:r>
    </w:p>
    <w:p w14:paraId="66AA8DF6" w14:textId="69AA77F6" w:rsidR="00164A08" w:rsidRPr="00EF1EAB" w:rsidRDefault="00164A08" w:rsidP="00EB7F1E">
      <w:pPr>
        <w:pStyle w:val="BodyText"/>
        <w:spacing w:line="276" w:lineRule="auto"/>
        <w:ind w:left="1134" w:right="170" w:hanging="425"/>
        <w:jc w:val="both"/>
        <w:rPr>
          <w:rFonts w:asciiTheme="minorHAnsi" w:hAnsiTheme="minorHAnsi"/>
          <w:i/>
        </w:rPr>
      </w:pPr>
      <w:r w:rsidRPr="00EF1EAB">
        <w:rPr>
          <w:rFonts w:asciiTheme="minorHAnsi" w:hAnsiTheme="minorHAnsi"/>
          <w:i/>
        </w:rPr>
        <w:t>4.</w:t>
      </w:r>
      <w:r w:rsidRPr="00EF1EAB">
        <w:rPr>
          <w:rFonts w:asciiTheme="minorHAnsi" w:hAnsiTheme="minorHAnsi"/>
          <w:i/>
        </w:rPr>
        <w:tab/>
        <w:t>Whether specific deterrence should be moderated or eliminated as a sentencing consideration likewise depends upon the nature and severity of the symptoms of the condition as exhibited by the offender, and the effect of the condition on the mental capacity of the offender, whether at the time of the offending or at the date of the sentence or both.</w:t>
      </w:r>
    </w:p>
    <w:p w14:paraId="38150B55" w14:textId="77777777" w:rsidR="00164A08" w:rsidRPr="00EF1EAB" w:rsidRDefault="00164A08" w:rsidP="00EB7F1E">
      <w:pPr>
        <w:pStyle w:val="BodyText"/>
        <w:spacing w:line="276" w:lineRule="auto"/>
        <w:ind w:left="1134" w:right="170" w:hanging="425"/>
        <w:jc w:val="both"/>
        <w:rPr>
          <w:rFonts w:asciiTheme="minorHAnsi" w:hAnsiTheme="minorHAnsi"/>
          <w:i/>
        </w:rPr>
      </w:pPr>
      <w:r w:rsidRPr="00EF1EAB">
        <w:rPr>
          <w:rFonts w:asciiTheme="minorHAnsi" w:hAnsiTheme="minorHAnsi"/>
          <w:i/>
        </w:rPr>
        <w:t>5.</w:t>
      </w:r>
      <w:r w:rsidRPr="00EF1EAB">
        <w:rPr>
          <w:rFonts w:asciiTheme="minorHAnsi" w:hAnsiTheme="minorHAnsi"/>
          <w:i/>
        </w:rPr>
        <w:tab/>
        <w:t>The existence of the condition at the date of sentencing (or its foreseeable recurrence) may mean that a given sentence will weigh more heavily on the offender than it would on a person in normal health.</w:t>
      </w:r>
    </w:p>
    <w:p w14:paraId="1A60841D" w14:textId="193E1749" w:rsidR="00164A08" w:rsidRPr="00EF1EAB" w:rsidRDefault="00164A08" w:rsidP="00EB7F1E">
      <w:pPr>
        <w:pStyle w:val="BodyText"/>
        <w:spacing w:line="276" w:lineRule="auto"/>
        <w:ind w:left="1134" w:right="170" w:hanging="425"/>
        <w:jc w:val="both"/>
        <w:rPr>
          <w:rFonts w:asciiTheme="minorHAnsi" w:hAnsiTheme="minorHAnsi"/>
          <w:i/>
        </w:rPr>
      </w:pPr>
      <w:r w:rsidRPr="00EF1EAB">
        <w:rPr>
          <w:rFonts w:asciiTheme="minorHAnsi" w:hAnsiTheme="minorHAnsi"/>
          <w:i/>
        </w:rPr>
        <w:t>6.</w:t>
      </w:r>
      <w:r w:rsidRPr="00EF1EAB">
        <w:rPr>
          <w:rFonts w:asciiTheme="minorHAnsi" w:hAnsiTheme="minorHAnsi"/>
          <w:i/>
        </w:rPr>
        <w:tab/>
        <w:t>Where there is a serious risk of imprisonment having a significant adverse effect on the offender</w:t>
      </w:r>
      <w:r w:rsidR="00AA693C">
        <w:rPr>
          <w:rFonts w:asciiTheme="minorHAnsi" w:hAnsiTheme="minorHAnsi"/>
          <w:i/>
        </w:rPr>
        <w:t>’</w:t>
      </w:r>
      <w:r w:rsidRPr="00EF1EAB">
        <w:rPr>
          <w:rFonts w:asciiTheme="minorHAnsi" w:hAnsiTheme="minorHAnsi"/>
          <w:i/>
        </w:rPr>
        <w:t>s mental health, this will be a factor tending to mitigate punishment.</w:t>
      </w:r>
    </w:p>
    <w:p w14:paraId="5D22DA35" w14:textId="77777777" w:rsidR="00164A08" w:rsidRPr="00164A08" w:rsidRDefault="00164A08" w:rsidP="00164A08">
      <w:pPr>
        <w:pStyle w:val="ListParagraph"/>
        <w:rPr>
          <w:rFonts w:asciiTheme="minorHAnsi" w:hAnsiTheme="minorHAnsi"/>
        </w:rPr>
      </w:pPr>
    </w:p>
    <w:p w14:paraId="1724F6E7" w14:textId="46E44C3D" w:rsidR="00383770" w:rsidRDefault="0038377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principles </w:t>
      </w:r>
      <w:r w:rsidR="00F47D0C">
        <w:rPr>
          <w:rFonts w:asciiTheme="minorHAnsi" w:hAnsiTheme="minorHAnsi"/>
        </w:rPr>
        <w:t>summar</w:t>
      </w:r>
      <w:r w:rsidR="00B86888">
        <w:rPr>
          <w:rFonts w:asciiTheme="minorHAnsi" w:hAnsiTheme="minorHAnsi"/>
        </w:rPr>
        <w:t>ised</w:t>
      </w:r>
      <w:r>
        <w:rPr>
          <w:rFonts w:asciiTheme="minorHAnsi" w:hAnsiTheme="minorHAnsi"/>
        </w:rPr>
        <w:t xml:space="preserve"> in </w:t>
      </w:r>
      <w:r w:rsidRPr="00383770">
        <w:rPr>
          <w:rFonts w:asciiTheme="minorHAnsi" w:hAnsiTheme="minorHAnsi"/>
          <w:i/>
        </w:rPr>
        <w:t>Verdins</w:t>
      </w:r>
      <w:r>
        <w:rPr>
          <w:rFonts w:asciiTheme="minorHAnsi" w:hAnsiTheme="minorHAnsi"/>
        </w:rPr>
        <w:t xml:space="preserve"> have been applied frequently</w:t>
      </w:r>
      <w:r w:rsidR="00932622">
        <w:rPr>
          <w:rFonts w:asciiTheme="minorHAnsi" w:hAnsiTheme="minorHAnsi"/>
        </w:rPr>
        <w:t xml:space="preserve"> throughout Australia</w:t>
      </w:r>
      <w:r w:rsidR="00E122CE">
        <w:rPr>
          <w:rFonts w:asciiTheme="minorHAnsi" w:hAnsiTheme="minorHAnsi"/>
        </w:rPr>
        <w:t>,</w:t>
      </w:r>
      <w:r w:rsidR="005507AC" w:rsidRPr="00C00000">
        <w:rPr>
          <w:rStyle w:val="Style"/>
          <w:rFonts w:asciiTheme="minorHAnsi" w:hAnsiTheme="minorHAnsi"/>
        </w:rPr>
        <w:footnoteReference w:id="381"/>
      </w:r>
      <w:r w:rsidR="00E122CE">
        <w:rPr>
          <w:rFonts w:asciiTheme="minorHAnsi" w:hAnsiTheme="minorHAnsi"/>
        </w:rPr>
        <w:t xml:space="preserve"> including in the sentencing of federal offenders</w:t>
      </w:r>
      <w:r>
        <w:rPr>
          <w:rFonts w:asciiTheme="minorHAnsi" w:hAnsiTheme="minorHAnsi"/>
        </w:rPr>
        <w:t>.</w:t>
      </w:r>
    </w:p>
    <w:p w14:paraId="30D6B51D" w14:textId="77777777" w:rsidR="00C0731C" w:rsidRPr="00C0731C" w:rsidRDefault="00C0731C" w:rsidP="00C0731C">
      <w:pPr>
        <w:widowControl w:val="0"/>
        <w:spacing w:line="276" w:lineRule="auto"/>
        <w:ind w:right="170"/>
        <w:rPr>
          <w:rFonts w:asciiTheme="minorHAnsi" w:hAnsiTheme="minorHAnsi"/>
        </w:rPr>
      </w:pPr>
    </w:p>
    <w:p w14:paraId="697DF84E" w14:textId="6B47309A" w:rsidR="009B1CC4" w:rsidRDefault="009B1CC4" w:rsidP="00EB7F1E">
      <w:pPr>
        <w:pStyle w:val="ListParagraph"/>
        <w:numPr>
          <w:ilvl w:val="0"/>
          <w:numId w:val="7"/>
        </w:numPr>
        <w:spacing w:line="276" w:lineRule="auto"/>
        <w:ind w:left="425" w:hanging="425"/>
        <w:contextualSpacing w:val="0"/>
        <w:rPr>
          <w:rFonts w:asciiTheme="minorHAnsi" w:hAnsiTheme="minorHAnsi"/>
        </w:rPr>
      </w:pPr>
      <w:r w:rsidRPr="009B1CC4">
        <w:rPr>
          <w:rFonts w:asciiTheme="minorHAnsi" w:hAnsiTheme="minorHAnsi"/>
        </w:rPr>
        <w:t xml:space="preserve">In order for the first, second, third and fourth principles </w:t>
      </w:r>
      <w:r w:rsidR="007D5585">
        <w:rPr>
          <w:rFonts w:asciiTheme="minorHAnsi" w:hAnsiTheme="minorHAnsi"/>
        </w:rPr>
        <w:t>set out</w:t>
      </w:r>
      <w:r w:rsidRPr="009B1CC4">
        <w:rPr>
          <w:rFonts w:asciiTheme="minorHAnsi" w:hAnsiTheme="minorHAnsi"/>
        </w:rPr>
        <w:t xml:space="preserve"> in </w:t>
      </w:r>
      <w:r w:rsidRPr="009B1CC4">
        <w:rPr>
          <w:rFonts w:asciiTheme="minorHAnsi" w:hAnsiTheme="minorHAnsi"/>
          <w:i/>
        </w:rPr>
        <w:t>Verdins</w:t>
      </w:r>
      <w:r w:rsidRPr="009B1CC4">
        <w:rPr>
          <w:rFonts w:asciiTheme="minorHAnsi" w:hAnsiTheme="minorHAnsi"/>
        </w:rPr>
        <w:t xml:space="preserve"> to have application to the sentencing task, there must be a connection between the impairment to mental functioning and the offender</w:t>
      </w:r>
      <w:r w:rsidR="00AA693C">
        <w:rPr>
          <w:rFonts w:asciiTheme="minorHAnsi" w:hAnsiTheme="minorHAnsi"/>
        </w:rPr>
        <w:t>’</w:t>
      </w:r>
      <w:r w:rsidRPr="009B1CC4">
        <w:rPr>
          <w:rFonts w:asciiTheme="minorHAnsi" w:hAnsiTheme="minorHAnsi"/>
        </w:rPr>
        <w:t xml:space="preserve">s moral culpability or the need for general and specific deterrence. </w:t>
      </w:r>
      <w:r>
        <w:rPr>
          <w:rFonts w:asciiTheme="minorHAnsi" w:hAnsiTheme="minorHAnsi"/>
        </w:rPr>
        <w:t xml:space="preserve"> </w:t>
      </w:r>
      <w:r w:rsidRPr="009B1CC4">
        <w:rPr>
          <w:rFonts w:asciiTheme="minorHAnsi" w:hAnsiTheme="minorHAnsi"/>
        </w:rPr>
        <w:t xml:space="preserve">If the mental impairment existed at the time of the offending, it must have some </w:t>
      </w:r>
      <w:r w:rsidR="00AA693C">
        <w:rPr>
          <w:rFonts w:asciiTheme="minorHAnsi" w:hAnsiTheme="minorHAnsi"/>
        </w:rPr>
        <w:t>‘</w:t>
      </w:r>
      <w:r w:rsidRPr="009B1CC4">
        <w:rPr>
          <w:rFonts w:asciiTheme="minorHAnsi" w:hAnsiTheme="minorHAnsi"/>
        </w:rPr>
        <w:t>realistic connection</w:t>
      </w:r>
      <w:r w:rsidR="00AA693C">
        <w:rPr>
          <w:rFonts w:asciiTheme="minorHAnsi" w:hAnsiTheme="minorHAnsi"/>
        </w:rPr>
        <w:t>’</w:t>
      </w:r>
      <w:r w:rsidRPr="009B1CC4">
        <w:rPr>
          <w:rFonts w:asciiTheme="minorHAnsi" w:hAnsiTheme="minorHAnsi"/>
        </w:rPr>
        <w:t xml:space="preserve"> with the offending; or have </w:t>
      </w:r>
      <w:r w:rsidR="00AA693C">
        <w:rPr>
          <w:rFonts w:asciiTheme="minorHAnsi" w:hAnsiTheme="minorHAnsi"/>
        </w:rPr>
        <w:t>‘</w:t>
      </w:r>
      <w:r w:rsidRPr="009B1CC4">
        <w:rPr>
          <w:rFonts w:asciiTheme="minorHAnsi" w:hAnsiTheme="minorHAnsi"/>
        </w:rPr>
        <w:t>caused or contributed</w:t>
      </w:r>
      <w:r w:rsidR="00AA693C">
        <w:rPr>
          <w:rFonts w:asciiTheme="minorHAnsi" w:hAnsiTheme="minorHAnsi"/>
        </w:rPr>
        <w:t>’</w:t>
      </w:r>
      <w:r w:rsidRPr="009B1CC4">
        <w:rPr>
          <w:rFonts w:asciiTheme="minorHAnsi" w:hAnsiTheme="minorHAnsi"/>
        </w:rPr>
        <w:t xml:space="preserve"> to the offending; or be </w:t>
      </w:r>
      <w:r w:rsidR="00AA693C">
        <w:rPr>
          <w:rFonts w:asciiTheme="minorHAnsi" w:hAnsiTheme="minorHAnsi"/>
        </w:rPr>
        <w:t>‘</w:t>
      </w:r>
      <w:r w:rsidRPr="009B1CC4">
        <w:rPr>
          <w:rFonts w:asciiTheme="minorHAnsi" w:hAnsiTheme="minorHAnsi"/>
        </w:rPr>
        <w:t>causally linked</w:t>
      </w:r>
      <w:r w:rsidR="00AA693C">
        <w:rPr>
          <w:rFonts w:asciiTheme="minorHAnsi" w:hAnsiTheme="minorHAnsi"/>
        </w:rPr>
        <w:t>’</w:t>
      </w:r>
      <w:r w:rsidRPr="009B1CC4">
        <w:rPr>
          <w:rFonts w:asciiTheme="minorHAnsi" w:hAnsiTheme="minorHAnsi"/>
        </w:rPr>
        <w:t xml:space="preserve"> to the offending.</w:t>
      </w:r>
      <w:r w:rsidRPr="00C00000">
        <w:rPr>
          <w:rStyle w:val="Style"/>
          <w:rFonts w:asciiTheme="minorHAnsi" w:hAnsiTheme="minorHAnsi"/>
        </w:rPr>
        <w:footnoteReference w:id="382"/>
      </w:r>
      <w:r w:rsidR="006F2DAF">
        <w:rPr>
          <w:rFonts w:asciiTheme="minorHAnsi" w:hAnsiTheme="minorHAnsi"/>
        </w:rPr>
        <w:t xml:space="preserve"> </w:t>
      </w:r>
      <w:r w:rsidR="006218A3" w:rsidRPr="00576EEE">
        <w:rPr>
          <w:rFonts w:ascii="Calibri" w:hAnsi="Calibri"/>
        </w:rPr>
        <w:t xml:space="preserve"> </w:t>
      </w:r>
      <w:r w:rsidR="006F2DAF" w:rsidRPr="006F2DAF">
        <w:rPr>
          <w:rFonts w:asciiTheme="minorHAnsi" w:hAnsiTheme="minorHAnsi"/>
        </w:rPr>
        <w:t xml:space="preserve">To show </w:t>
      </w:r>
      <w:r w:rsidR="0053277C">
        <w:rPr>
          <w:rFonts w:asciiTheme="minorHAnsi" w:hAnsiTheme="minorHAnsi"/>
        </w:rPr>
        <w:t>such a</w:t>
      </w:r>
      <w:r w:rsidR="006F2DAF" w:rsidRPr="006F2DAF">
        <w:rPr>
          <w:rFonts w:asciiTheme="minorHAnsi" w:hAnsiTheme="minorHAnsi"/>
        </w:rPr>
        <w:t xml:space="preserve"> connection, the offender must establish that the mental impairment affected the offender</w:t>
      </w:r>
      <w:r w:rsidR="00AA693C">
        <w:rPr>
          <w:rFonts w:asciiTheme="minorHAnsi" w:hAnsiTheme="minorHAnsi"/>
        </w:rPr>
        <w:t>’</w:t>
      </w:r>
      <w:r w:rsidR="006F2DAF" w:rsidRPr="006F2DAF">
        <w:rPr>
          <w:rFonts w:asciiTheme="minorHAnsi" w:hAnsiTheme="minorHAnsi"/>
        </w:rPr>
        <w:t>s ability to appreciate the wrongfulness of the conduct, or obscured the offender</w:t>
      </w:r>
      <w:r w:rsidR="00AA693C">
        <w:rPr>
          <w:rFonts w:asciiTheme="minorHAnsi" w:hAnsiTheme="minorHAnsi"/>
        </w:rPr>
        <w:t>’</w:t>
      </w:r>
      <w:r w:rsidR="006F2DAF" w:rsidRPr="006F2DAF">
        <w:rPr>
          <w:rFonts w:asciiTheme="minorHAnsi" w:hAnsiTheme="minorHAnsi"/>
        </w:rPr>
        <w:t>s intent to commit the offence, or impaired the offender</w:t>
      </w:r>
      <w:r w:rsidR="00AA693C">
        <w:rPr>
          <w:rFonts w:asciiTheme="minorHAnsi" w:hAnsiTheme="minorHAnsi"/>
        </w:rPr>
        <w:t>’</w:t>
      </w:r>
      <w:r w:rsidR="006F2DAF" w:rsidRPr="006F2DAF">
        <w:rPr>
          <w:rFonts w:asciiTheme="minorHAnsi" w:hAnsiTheme="minorHAnsi"/>
        </w:rPr>
        <w:t>s ability to make calm and rational choices or to think clearly at the time of the offence.</w:t>
      </w:r>
      <w:r w:rsidR="006F2DAF" w:rsidRPr="00C00000">
        <w:rPr>
          <w:rStyle w:val="Style"/>
          <w:rFonts w:asciiTheme="minorHAnsi" w:hAnsiTheme="minorHAnsi"/>
        </w:rPr>
        <w:footnoteReference w:id="383"/>
      </w:r>
    </w:p>
    <w:p w14:paraId="20ABBE46" w14:textId="77777777" w:rsidR="009B1CC4" w:rsidRPr="009B1CC4" w:rsidRDefault="009B1CC4" w:rsidP="009B1CC4">
      <w:pPr>
        <w:pStyle w:val="ListParagraph"/>
        <w:rPr>
          <w:rFonts w:asciiTheme="minorHAnsi" w:hAnsiTheme="minorHAnsi"/>
        </w:rPr>
      </w:pPr>
    </w:p>
    <w:p w14:paraId="7385AFA2" w14:textId="2520649B" w:rsidR="00597CD9" w:rsidRDefault="00597CD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In </w:t>
      </w:r>
      <w:r w:rsidRPr="00DC5CFE">
        <w:rPr>
          <w:rFonts w:asciiTheme="minorHAnsi" w:hAnsiTheme="minorHAnsi"/>
          <w:i/>
        </w:rPr>
        <w:t>Muldrock</w:t>
      </w:r>
      <w:r w:rsidRPr="00C00000">
        <w:rPr>
          <w:rFonts w:asciiTheme="minorHAnsi" w:hAnsiTheme="minorHAnsi"/>
        </w:rPr>
        <w:t>,</w:t>
      </w:r>
      <w:r w:rsidRPr="00C00000">
        <w:rPr>
          <w:rStyle w:val="Style"/>
          <w:rFonts w:asciiTheme="minorHAnsi" w:hAnsiTheme="minorHAnsi"/>
        </w:rPr>
        <w:footnoteReference w:id="384"/>
      </w:r>
      <w:r w:rsidRPr="00C00000">
        <w:rPr>
          <w:rFonts w:asciiTheme="minorHAnsi" w:hAnsiTheme="minorHAnsi"/>
        </w:rPr>
        <w:t xml:space="preserve"> </w:t>
      </w:r>
      <w:r>
        <w:rPr>
          <w:rFonts w:asciiTheme="minorHAnsi" w:hAnsiTheme="minorHAnsi"/>
        </w:rPr>
        <w:t>which concerned an intellectually-disabled offender, the High Court observed that the question of a causal relation between the condition and the offending was “</w:t>
      </w:r>
      <w:r w:rsidRPr="004A39C8">
        <w:rPr>
          <w:rFonts w:asciiTheme="minorHAnsi" w:hAnsiTheme="minorHAnsi"/>
          <w:i/>
        </w:rPr>
        <w:t>less likely to arise in sentencing a mentally retarded offender because the lack of capacity to reason, as an ordinary person might, as to the wrongfulness of the conduct will, in most cases, substantially lessen the offender</w:t>
      </w:r>
      <w:r w:rsidR="00AA693C">
        <w:rPr>
          <w:rFonts w:asciiTheme="minorHAnsi" w:hAnsiTheme="minorHAnsi"/>
          <w:i/>
        </w:rPr>
        <w:t>’</w:t>
      </w:r>
      <w:r w:rsidRPr="004A39C8">
        <w:rPr>
          <w:rFonts w:asciiTheme="minorHAnsi" w:hAnsiTheme="minorHAnsi"/>
          <w:i/>
        </w:rPr>
        <w:t>s moral culpability for the offence</w:t>
      </w:r>
      <w:r w:rsidRPr="004A39C8">
        <w:rPr>
          <w:rFonts w:asciiTheme="minorHAnsi" w:hAnsiTheme="minorHAnsi"/>
        </w:rPr>
        <w:t>.</w:t>
      </w:r>
      <w:r>
        <w:rPr>
          <w:rFonts w:asciiTheme="minorHAnsi" w:hAnsiTheme="minorHAnsi"/>
        </w:rPr>
        <w:t>”</w:t>
      </w:r>
      <w:r w:rsidRPr="00C00000">
        <w:rPr>
          <w:rStyle w:val="Style"/>
          <w:rFonts w:asciiTheme="minorHAnsi" w:hAnsiTheme="minorHAnsi"/>
        </w:rPr>
        <w:footnoteReference w:id="385"/>
      </w:r>
    </w:p>
    <w:p w14:paraId="6AAFBF3A" w14:textId="77777777" w:rsidR="00597CD9" w:rsidRPr="004A39C8" w:rsidRDefault="00597CD9" w:rsidP="00597CD9">
      <w:pPr>
        <w:pStyle w:val="ListParagraph"/>
        <w:rPr>
          <w:rFonts w:asciiTheme="minorHAnsi" w:hAnsiTheme="minorHAnsi"/>
        </w:rPr>
      </w:pPr>
    </w:p>
    <w:p w14:paraId="2F05F139" w14:textId="66C04E12" w:rsidR="004A39C8" w:rsidRDefault="006F2DA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main </w:t>
      </w:r>
      <w:r w:rsidR="00F2585B">
        <w:rPr>
          <w:rFonts w:asciiTheme="minorHAnsi" w:hAnsiTheme="minorHAnsi"/>
        </w:rPr>
        <w:t xml:space="preserve">reason </w:t>
      </w:r>
      <w:r>
        <w:rPr>
          <w:rFonts w:asciiTheme="minorHAnsi" w:hAnsiTheme="minorHAnsi"/>
        </w:rPr>
        <w:t>why</w:t>
      </w:r>
      <w:r w:rsidR="00E122CE">
        <w:rPr>
          <w:rFonts w:asciiTheme="minorHAnsi" w:hAnsiTheme="minorHAnsi"/>
        </w:rPr>
        <w:t xml:space="preserve"> </w:t>
      </w:r>
      <w:r w:rsidR="00A665C3">
        <w:rPr>
          <w:rFonts w:asciiTheme="minorHAnsi" w:hAnsiTheme="minorHAnsi"/>
        </w:rPr>
        <w:t xml:space="preserve">general deterrence may carry less weight in sentencing an offender with impaired mental functioning </w:t>
      </w:r>
      <w:r>
        <w:rPr>
          <w:rFonts w:asciiTheme="minorHAnsi" w:hAnsiTheme="minorHAnsi"/>
        </w:rPr>
        <w:t xml:space="preserve">is that </w:t>
      </w:r>
      <w:r w:rsidR="00A665C3">
        <w:rPr>
          <w:rFonts w:asciiTheme="minorHAnsi" w:hAnsiTheme="minorHAnsi"/>
        </w:rPr>
        <w:t>“</w:t>
      </w:r>
      <w:r w:rsidR="00A665C3" w:rsidRPr="00333683">
        <w:rPr>
          <w:rFonts w:asciiTheme="minorHAnsi" w:hAnsiTheme="minorHAnsi"/>
          <w:i/>
        </w:rPr>
        <w:t>such an offender is not an appropriate medium for making an example to others</w:t>
      </w:r>
      <w:r w:rsidR="00A665C3">
        <w:rPr>
          <w:rFonts w:asciiTheme="minorHAnsi" w:hAnsiTheme="minorHAnsi"/>
        </w:rPr>
        <w:t>”.</w:t>
      </w:r>
      <w:r w:rsidR="00A665C3" w:rsidRPr="00C00000">
        <w:rPr>
          <w:rStyle w:val="Style"/>
          <w:rFonts w:asciiTheme="minorHAnsi" w:hAnsiTheme="minorHAnsi"/>
        </w:rPr>
        <w:footnoteReference w:id="386"/>
      </w:r>
      <w:r w:rsidR="00A665C3">
        <w:rPr>
          <w:rFonts w:asciiTheme="minorHAnsi" w:hAnsiTheme="minorHAnsi"/>
        </w:rPr>
        <w:t xml:space="preserve">  </w:t>
      </w:r>
      <w:r w:rsidR="007C517A">
        <w:rPr>
          <w:rFonts w:asciiTheme="minorHAnsi" w:hAnsiTheme="minorHAnsi"/>
        </w:rPr>
        <w:t>Similarly</w:t>
      </w:r>
      <w:r w:rsidR="007C517A" w:rsidRPr="00C00000">
        <w:rPr>
          <w:rFonts w:asciiTheme="minorHAnsi" w:hAnsiTheme="minorHAnsi"/>
        </w:rPr>
        <w:t>, the retributive effect and denunciatory aspect of a sentence that is appropriate to a person of ordinary capacity will often be inappropriate to the situation of a mentally disabled offender and to the needs of the community.</w:t>
      </w:r>
      <w:r w:rsidR="007C517A" w:rsidRPr="00C00000">
        <w:rPr>
          <w:rStyle w:val="Style"/>
          <w:rFonts w:asciiTheme="minorHAnsi" w:hAnsiTheme="minorHAnsi"/>
        </w:rPr>
        <w:footnoteReference w:id="387"/>
      </w:r>
      <w:r w:rsidR="00066F16">
        <w:rPr>
          <w:rFonts w:asciiTheme="minorHAnsi" w:hAnsiTheme="minorHAnsi"/>
        </w:rPr>
        <w:t xml:space="preserve">  However, “[</w:t>
      </w:r>
      <w:r w:rsidR="00066F16">
        <w:rPr>
          <w:rFonts w:asciiTheme="minorHAnsi" w:hAnsiTheme="minorHAnsi"/>
          <w:i/>
        </w:rPr>
        <w:t>w]</w:t>
      </w:r>
      <w:r w:rsidR="00066F16" w:rsidRPr="00066F16">
        <w:rPr>
          <w:rFonts w:asciiTheme="minorHAnsi" w:hAnsiTheme="minorHAnsi"/>
          <w:i/>
        </w:rPr>
        <w:t>here the mental condition arises as a reaction to the discovery of the offender</w:t>
      </w:r>
      <w:r w:rsidR="00AA693C">
        <w:rPr>
          <w:rFonts w:asciiTheme="minorHAnsi" w:hAnsiTheme="minorHAnsi"/>
          <w:i/>
        </w:rPr>
        <w:t>’</w:t>
      </w:r>
      <w:r w:rsidR="00066F16" w:rsidRPr="00066F16">
        <w:rPr>
          <w:rFonts w:asciiTheme="minorHAnsi" w:hAnsiTheme="minorHAnsi"/>
          <w:i/>
        </w:rPr>
        <w:t>s crimes or to the prospect of incarceration, little or no moderation of general deterrence should be allowed in the instinctive synthesis.</w:t>
      </w:r>
      <w:r w:rsidR="00066F16">
        <w:rPr>
          <w:rFonts w:asciiTheme="minorHAnsi" w:hAnsiTheme="minorHAnsi"/>
        </w:rPr>
        <w:t>”</w:t>
      </w:r>
      <w:r w:rsidR="003C488C" w:rsidRPr="00C00000">
        <w:rPr>
          <w:rStyle w:val="Style"/>
          <w:rFonts w:asciiTheme="minorHAnsi" w:hAnsiTheme="minorHAnsi"/>
        </w:rPr>
        <w:footnoteReference w:id="388"/>
      </w:r>
    </w:p>
    <w:p w14:paraId="21485346" w14:textId="77777777" w:rsidR="004A39C8" w:rsidRPr="004A39C8" w:rsidRDefault="004A39C8" w:rsidP="004A39C8">
      <w:pPr>
        <w:pStyle w:val="ListParagraph"/>
        <w:rPr>
          <w:rFonts w:asciiTheme="minorHAnsi" w:hAnsiTheme="minorHAnsi"/>
        </w:rPr>
      </w:pPr>
    </w:p>
    <w:p w14:paraId="0A7338F1" w14:textId="6A486E82" w:rsidR="005720F4" w:rsidRDefault="00D54E9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w:t>
      </w:r>
      <w:r w:rsidR="00042A01">
        <w:rPr>
          <w:rFonts w:asciiTheme="minorHAnsi" w:hAnsiTheme="minorHAnsi"/>
        </w:rPr>
        <w:t xml:space="preserve">he </w:t>
      </w:r>
      <w:r w:rsidR="008104E5">
        <w:rPr>
          <w:rFonts w:asciiTheme="minorHAnsi" w:hAnsiTheme="minorHAnsi"/>
        </w:rPr>
        <w:t xml:space="preserve">mental condition of an offender can </w:t>
      </w:r>
      <w:r>
        <w:rPr>
          <w:rFonts w:asciiTheme="minorHAnsi" w:hAnsiTheme="minorHAnsi"/>
        </w:rPr>
        <w:t xml:space="preserve">also </w:t>
      </w:r>
      <w:r w:rsidR="008104E5">
        <w:rPr>
          <w:rFonts w:asciiTheme="minorHAnsi" w:hAnsiTheme="minorHAnsi"/>
        </w:rPr>
        <w:t>be relevant to sentencing in ways that do not mitigate the sentence</w:t>
      </w:r>
      <w:r w:rsidR="005720F4">
        <w:rPr>
          <w:rFonts w:asciiTheme="minorHAnsi" w:hAnsiTheme="minorHAnsi"/>
        </w:rPr>
        <w:t>, as Brennan J pointed out in</w:t>
      </w:r>
      <w:r w:rsidR="00042A01">
        <w:rPr>
          <w:rFonts w:asciiTheme="minorHAnsi" w:hAnsiTheme="minorHAnsi"/>
        </w:rPr>
        <w:t xml:space="preserve"> an oft-cited passage in</w:t>
      </w:r>
      <w:r w:rsidR="005720F4">
        <w:rPr>
          <w:rFonts w:asciiTheme="minorHAnsi" w:hAnsiTheme="minorHAnsi"/>
        </w:rPr>
        <w:t xml:space="preserve"> </w:t>
      </w:r>
      <w:r w:rsidR="003735E3" w:rsidRPr="005720F4">
        <w:rPr>
          <w:rFonts w:asciiTheme="minorHAnsi" w:hAnsiTheme="minorHAnsi"/>
          <w:i/>
        </w:rPr>
        <w:t>Channon</w:t>
      </w:r>
      <w:r w:rsidR="005720F4">
        <w:rPr>
          <w:rFonts w:asciiTheme="minorHAnsi" w:hAnsiTheme="minorHAnsi"/>
        </w:rPr>
        <w:t>:</w:t>
      </w:r>
      <w:r w:rsidR="005720F4" w:rsidRPr="00C00000">
        <w:rPr>
          <w:rStyle w:val="Style"/>
          <w:rFonts w:asciiTheme="minorHAnsi" w:hAnsiTheme="minorHAnsi"/>
        </w:rPr>
        <w:footnoteReference w:id="389"/>
      </w:r>
    </w:p>
    <w:p w14:paraId="62894002" w14:textId="7A7FF87B" w:rsidR="005720F4" w:rsidRPr="005720F4" w:rsidRDefault="005720F4" w:rsidP="00EB7F1E">
      <w:pPr>
        <w:pStyle w:val="BodyText"/>
        <w:spacing w:line="276" w:lineRule="auto"/>
        <w:ind w:left="720" w:right="170" w:hanging="11"/>
        <w:jc w:val="both"/>
        <w:rPr>
          <w:rFonts w:asciiTheme="minorHAnsi" w:hAnsiTheme="minorHAnsi"/>
          <w:i/>
        </w:rPr>
      </w:pPr>
      <w:r w:rsidRPr="005720F4">
        <w:rPr>
          <w:rFonts w:asciiTheme="minorHAnsi" w:hAnsiTheme="minorHAnsi"/>
          <w:i/>
        </w:rPr>
        <w:t>Psychiatric abnormality falling short of insanity is frequently found to be a cause of, or a factor contributing to, criminal conduct.</w:t>
      </w:r>
      <w:r>
        <w:rPr>
          <w:rFonts w:asciiTheme="minorHAnsi" w:hAnsiTheme="minorHAnsi"/>
          <w:i/>
        </w:rPr>
        <w:t xml:space="preserve"> </w:t>
      </w:r>
      <w:r w:rsidRPr="005720F4">
        <w:rPr>
          <w:rFonts w:asciiTheme="minorHAnsi" w:hAnsiTheme="minorHAnsi"/>
          <w:i/>
        </w:rPr>
        <w:t xml:space="preserve"> The sentencing of an offender in cases of that kind is inevitably difficult.</w:t>
      </w:r>
      <w:r>
        <w:rPr>
          <w:rFonts w:asciiTheme="minorHAnsi" w:hAnsiTheme="minorHAnsi"/>
          <w:i/>
        </w:rPr>
        <w:t xml:space="preserve"> </w:t>
      </w:r>
      <w:r w:rsidRPr="005720F4">
        <w:rPr>
          <w:rFonts w:asciiTheme="minorHAnsi" w:hAnsiTheme="minorHAnsi"/>
          <w:i/>
        </w:rPr>
        <w:t xml:space="preserve"> The difficulty arises in part because the factors which affect the sentence give differing significance to an offender</w:t>
      </w:r>
      <w:r w:rsidR="00AA693C">
        <w:rPr>
          <w:rFonts w:asciiTheme="minorHAnsi" w:hAnsiTheme="minorHAnsi"/>
          <w:i/>
        </w:rPr>
        <w:t>’</w:t>
      </w:r>
      <w:r w:rsidRPr="005720F4">
        <w:rPr>
          <w:rFonts w:asciiTheme="minorHAnsi" w:hAnsiTheme="minorHAnsi"/>
          <w:i/>
        </w:rPr>
        <w:t xml:space="preserve">s psychiatric abnormality. </w:t>
      </w:r>
      <w:r>
        <w:rPr>
          <w:rFonts w:asciiTheme="minorHAnsi" w:hAnsiTheme="minorHAnsi"/>
          <w:i/>
        </w:rPr>
        <w:t xml:space="preserve"> </w:t>
      </w:r>
      <w:r w:rsidRPr="005720F4">
        <w:rPr>
          <w:rFonts w:asciiTheme="minorHAnsi" w:hAnsiTheme="minorHAnsi"/>
          <w:i/>
        </w:rPr>
        <w:t xml:space="preserve">An abnormality may reduce the moral culpability of the offender and the deliberation which attended his criminal conduct; yet it may mark him as a more intractable subject for reform than one who is not so affected or even as one who is so likely to offend again that he should be removed from society for a lengthy or indeterminate period. </w:t>
      </w:r>
      <w:r>
        <w:rPr>
          <w:rFonts w:asciiTheme="minorHAnsi" w:hAnsiTheme="minorHAnsi"/>
          <w:i/>
        </w:rPr>
        <w:t xml:space="preserve"> </w:t>
      </w:r>
      <w:r w:rsidRPr="005720F4">
        <w:rPr>
          <w:rFonts w:asciiTheme="minorHAnsi" w:hAnsiTheme="minorHAnsi"/>
          <w:i/>
        </w:rPr>
        <w:t>The abnormality may seem on one view to lead towards a lenient sentence, and on another to a sentence which is severe.</w:t>
      </w:r>
      <w:r>
        <w:rPr>
          <w:rFonts w:asciiTheme="minorHAnsi" w:hAnsiTheme="minorHAnsi"/>
          <w:i/>
        </w:rPr>
        <w:t xml:space="preserve"> </w:t>
      </w:r>
      <w:r w:rsidRPr="005720F4">
        <w:rPr>
          <w:rFonts w:asciiTheme="minorHAnsi" w:hAnsiTheme="minorHAnsi"/>
          <w:i/>
        </w:rPr>
        <w:t xml:space="preserve"> That is not an unusual phenomenon in sentencing, where the court must fashion a sentence which either reconciles or balances the various objectives of sentencing, sometimes giving emphasis to one of the objectives of sentencing, sometimes giving emphasis to another. </w:t>
      </w:r>
      <w:r>
        <w:rPr>
          <w:rFonts w:asciiTheme="minorHAnsi" w:hAnsiTheme="minorHAnsi"/>
          <w:i/>
        </w:rPr>
        <w:t xml:space="preserve"> </w:t>
      </w:r>
      <w:r w:rsidRPr="005720F4">
        <w:rPr>
          <w:rFonts w:asciiTheme="minorHAnsi" w:hAnsiTheme="minorHAnsi"/>
          <w:i/>
        </w:rPr>
        <w:t xml:space="preserve">Although the court necessarily adopts a pragmatic approach, the judicial discretion is not at large, without guidance from principle. </w:t>
      </w:r>
      <w:r>
        <w:rPr>
          <w:rFonts w:asciiTheme="minorHAnsi" w:hAnsiTheme="minorHAnsi"/>
          <w:i/>
        </w:rPr>
        <w:t xml:space="preserve"> </w:t>
      </w:r>
      <w:r w:rsidRPr="005720F4">
        <w:rPr>
          <w:rFonts w:asciiTheme="minorHAnsi" w:hAnsiTheme="minorHAnsi"/>
          <w:i/>
        </w:rPr>
        <w:t>That guidance is found in the basic purpose which is to be served by the exercise of the sentencing power.</w:t>
      </w:r>
    </w:p>
    <w:p w14:paraId="33723833" w14:textId="77777777" w:rsidR="00454A26" w:rsidRPr="00EB7F1E" w:rsidRDefault="00454A26" w:rsidP="00EB7F1E">
      <w:pPr>
        <w:pStyle w:val="BodyText"/>
        <w:spacing w:line="276" w:lineRule="auto"/>
        <w:ind w:left="720" w:right="170" w:hanging="11"/>
        <w:jc w:val="both"/>
        <w:rPr>
          <w:rFonts w:asciiTheme="minorHAnsi" w:hAnsiTheme="minorHAnsi"/>
          <w:i/>
        </w:rPr>
      </w:pPr>
    </w:p>
    <w:p w14:paraId="7B58AC6F" w14:textId="1A6C6EC3" w:rsidR="00164A08" w:rsidRDefault="00042A0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mental condition of a</w:t>
      </w:r>
      <w:r w:rsidR="00DB0B3D">
        <w:rPr>
          <w:rFonts w:asciiTheme="minorHAnsi" w:hAnsiTheme="minorHAnsi"/>
        </w:rPr>
        <w:t xml:space="preserve"> federal</w:t>
      </w:r>
      <w:r>
        <w:rPr>
          <w:rFonts w:asciiTheme="minorHAnsi" w:hAnsiTheme="minorHAnsi"/>
        </w:rPr>
        <w:t xml:space="preserve"> offender may, for example, </w:t>
      </w:r>
      <w:r w:rsidR="00454A26">
        <w:rPr>
          <w:rFonts w:asciiTheme="minorHAnsi" w:hAnsiTheme="minorHAnsi"/>
        </w:rPr>
        <w:t>underlie a lack of contrition (s 16A(2)(f)</w:t>
      </w:r>
      <w:r w:rsidR="004A5AA4">
        <w:rPr>
          <w:rFonts w:asciiTheme="minorHAnsi" w:hAnsiTheme="minorHAnsi"/>
        </w:rPr>
        <w:t>)</w:t>
      </w:r>
      <w:r w:rsidR="00454A26">
        <w:rPr>
          <w:rFonts w:asciiTheme="minorHAnsi" w:hAnsiTheme="minorHAnsi"/>
        </w:rPr>
        <w:t xml:space="preserve">, or </w:t>
      </w:r>
      <w:r w:rsidR="00DB0B3D">
        <w:rPr>
          <w:rFonts w:asciiTheme="minorHAnsi" w:hAnsiTheme="minorHAnsi"/>
        </w:rPr>
        <w:t>contribute to an adverse assessment of the offender</w:t>
      </w:r>
      <w:r w:rsidR="00AA693C">
        <w:rPr>
          <w:rFonts w:asciiTheme="minorHAnsi" w:hAnsiTheme="minorHAnsi"/>
        </w:rPr>
        <w:t>’</w:t>
      </w:r>
      <w:r w:rsidR="00DB0B3D">
        <w:rPr>
          <w:rFonts w:asciiTheme="minorHAnsi" w:hAnsiTheme="minorHAnsi"/>
        </w:rPr>
        <w:t xml:space="preserve">s prospects of rehabilitation (s 16A(2)(n)), </w:t>
      </w:r>
      <w:r w:rsidR="00454A26">
        <w:rPr>
          <w:rFonts w:asciiTheme="minorHAnsi" w:hAnsiTheme="minorHAnsi"/>
        </w:rPr>
        <w:t xml:space="preserve">or </w:t>
      </w:r>
      <w:r w:rsidR="00DB0B3D">
        <w:rPr>
          <w:rFonts w:asciiTheme="minorHAnsi" w:hAnsiTheme="minorHAnsi"/>
        </w:rPr>
        <w:t>heighten the need for specific deterrence (s 16A(2)(j))</w:t>
      </w:r>
      <w:r w:rsidR="00E57050" w:rsidRPr="00C00000">
        <w:rPr>
          <w:rStyle w:val="Style"/>
          <w:rFonts w:asciiTheme="minorHAnsi" w:hAnsiTheme="minorHAnsi"/>
        </w:rPr>
        <w:footnoteReference w:id="390"/>
      </w:r>
      <w:r w:rsidR="00DB0B3D">
        <w:rPr>
          <w:rFonts w:asciiTheme="minorHAnsi" w:hAnsiTheme="minorHAnsi"/>
        </w:rPr>
        <w:t xml:space="preserve"> or </w:t>
      </w:r>
      <w:r w:rsidR="00797295">
        <w:rPr>
          <w:rFonts w:asciiTheme="minorHAnsi" w:hAnsiTheme="minorHAnsi"/>
        </w:rPr>
        <w:t xml:space="preserve">affect the determination of </w:t>
      </w:r>
      <w:r w:rsidR="00DB0B3D">
        <w:rPr>
          <w:rFonts w:asciiTheme="minorHAnsi" w:hAnsiTheme="minorHAnsi"/>
        </w:rPr>
        <w:t>a sentence which provides effective protection of the community.</w:t>
      </w:r>
      <w:r w:rsidR="00D54E9D" w:rsidRPr="00C00000">
        <w:rPr>
          <w:rStyle w:val="Style"/>
          <w:rFonts w:asciiTheme="minorHAnsi" w:hAnsiTheme="minorHAnsi"/>
        </w:rPr>
        <w:footnoteReference w:id="391"/>
      </w:r>
    </w:p>
    <w:p w14:paraId="492274BC" w14:textId="77777777" w:rsidR="00117598" w:rsidRPr="00117598" w:rsidRDefault="00117598" w:rsidP="00117598">
      <w:pPr>
        <w:pStyle w:val="ListParagraph"/>
        <w:rPr>
          <w:rFonts w:asciiTheme="minorHAnsi" w:hAnsiTheme="minorHAnsi"/>
        </w:rPr>
      </w:pPr>
    </w:p>
    <w:p w14:paraId="6BC72F57" w14:textId="46A16D14" w:rsidR="00D43476" w:rsidRPr="00CE0A74" w:rsidRDefault="00CE0A74" w:rsidP="00C14A45">
      <w:pPr>
        <w:pStyle w:val="Heading3"/>
      </w:pPr>
      <w:bookmarkStart w:id="1440" w:name="_Toc33602798"/>
      <w:r w:rsidRPr="00CE0A74">
        <w:t xml:space="preserve">Prospects of rehabilitation </w:t>
      </w:r>
      <w:r w:rsidR="00D43476" w:rsidRPr="00CE0A74">
        <w:t>– s 16A(2)(n)</w:t>
      </w:r>
      <w:bookmarkEnd w:id="1440"/>
    </w:p>
    <w:p w14:paraId="7FDDA56B" w14:textId="1119B8CA" w:rsidR="00D43476" w:rsidRPr="00576EEE" w:rsidRDefault="00D43476" w:rsidP="00C14A45">
      <w:pPr>
        <w:pStyle w:val="NormalIndent"/>
        <w:keepNext/>
        <w:rPr>
          <w:rFonts w:ascii="Calibri" w:hAnsi="Calibri"/>
          <w:highlight w:val="yellow"/>
        </w:rPr>
      </w:pPr>
    </w:p>
    <w:p w14:paraId="4065C410" w14:textId="4CE1EDDB" w:rsidR="00974D0D" w:rsidRDefault="001240A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One of the long-standing aims of sentencing is to promote the rehabilitation of offenders.  It is often of particular significance in the sentencing of young offenders</w:t>
      </w:r>
      <w:r w:rsidR="00974D0D">
        <w:rPr>
          <w:rFonts w:asciiTheme="minorHAnsi" w:hAnsiTheme="minorHAnsi"/>
        </w:rPr>
        <w:t xml:space="preserve">.  </w:t>
      </w:r>
      <w:r w:rsidR="00D93531">
        <w:rPr>
          <w:rFonts w:asciiTheme="minorHAnsi" w:hAnsiTheme="minorHAnsi"/>
        </w:rPr>
        <w:t>Although assessment of an offender</w:t>
      </w:r>
      <w:r w:rsidR="00AA693C">
        <w:rPr>
          <w:rFonts w:asciiTheme="minorHAnsi" w:hAnsiTheme="minorHAnsi"/>
        </w:rPr>
        <w:t>’</w:t>
      </w:r>
      <w:r w:rsidR="00D93531">
        <w:rPr>
          <w:rFonts w:asciiTheme="minorHAnsi" w:hAnsiTheme="minorHAnsi"/>
        </w:rPr>
        <w:t>s prospects of rehabilitation is often linked to an assessment of the need for specific deterrence (s 16A(2)(j))</w:t>
      </w:r>
      <w:r w:rsidR="00F01A58">
        <w:rPr>
          <w:rFonts w:asciiTheme="minorHAnsi" w:hAnsiTheme="minorHAnsi"/>
        </w:rPr>
        <w:t>, the two factors are distinct.</w:t>
      </w:r>
    </w:p>
    <w:p w14:paraId="4ACB4C96" w14:textId="77777777" w:rsidR="00974D0D" w:rsidRPr="00974D0D" w:rsidRDefault="00974D0D" w:rsidP="00974D0D">
      <w:pPr>
        <w:widowControl w:val="0"/>
        <w:spacing w:line="276" w:lineRule="auto"/>
        <w:ind w:right="170"/>
        <w:rPr>
          <w:rFonts w:asciiTheme="minorHAnsi" w:hAnsiTheme="minorHAnsi"/>
        </w:rPr>
      </w:pPr>
    </w:p>
    <w:p w14:paraId="4B48501B" w14:textId="0F8A1C22" w:rsidR="00974D0D" w:rsidRDefault="00974D0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Assessment of the prospects of rehabilitation is often difficult, especially when there is little evidence independent of the offender</w:t>
      </w:r>
      <w:r w:rsidR="00A80BB4">
        <w:rPr>
          <w:rFonts w:asciiTheme="minorHAnsi" w:hAnsiTheme="minorHAnsi"/>
        </w:rPr>
        <w:t xml:space="preserve"> on which </w:t>
      </w:r>
      <w:r>
        <w:rPr>
          <w:rFonts w:asciiTheme="minorHAnsi" w:hAnsiTheme="minorHAnsi"/>
        </w:rPr>
        <w:t>to base the assessment</w:t>
      </w:r>
      <w:r w:rsidR="00A80BB4">
        <w:rPr>
          <w:rFonts w:asciiTheme="minorHAnsi" w:hAnsiTheme="minorHAnsi"/>
        </w:rPr>
        <w:t>.</w:t>
      </w:r>
    </w:p>
    <w:p w14:paraId="65D90E51" w14:textId="77777777" w:rsidR="006428BB" w:rsidRPr="006428BB" w:rsidRDefault="006428BB" w:rsidP="006428BB">
      <w:pPr>
        <w:widowControl w:val="0"/>
        <w:spacing w:line="276" w:lineRule="auto"/>
        <w:ind w:right="170"/>
        <w:rPr>
          <w:rFonts w:asciiTheme="minorHAnsi" w:hAnsiTheme="minorHAnsi"/>
        </w:rPr>
      </w:pPr>
    </w:p>
    <w:p w14:paraId="22D2D8A7" w14:textId="126EBB2F" w:rsidR="00D43476" w:rsidRPr="00D43476" w:rsidRDefault="006428B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w:t>
      </w:r>
      <w:r w:rsidR="00974D0D">
        <w:rPr>
          <w:rFonts w:asciiTheme="minorHAnsi" w:hAnsiTheme="minorHAnsi"/>
        </w:rPr>
        <w:t>he weight to be given t</w:t>
      </w:r>
      <w:r w:rsidR="00F01A58">
        <w:rPr>
          <w:rFonts w:asciiTheme="minorHAnsi" w:hAnsiTheme="minorHAnsi"/>
        </w:rPr>
        <w:t>o an offender</w:t>
      </w:r>
      <w:r w:rsidR="00AA693C">
        <w:rPr>
          <w:rFonts w:asciiTheme="minorHAnsi" w:hAnsiTheme="minorHAnsi"/>
        </w:rPr>
        <w:t>’</w:t>
      </w:r>
      <w:r w:rsidR="00F01A58">
        <w:rPr>
          <w:rFonts w:asciiTheme="minorHAnsi" w:hAnsiTheme="minorHAnsi"/>
        </w:rPr>
        <w:t>s prospects of rehabilitation will depend on all the circumstances.  If general deterrence and denunciation are primary considerations in sentencing for the particular offence, even good prospects of rehabilitation will not preclude the imposition of a stern sentence.</w:t>
      </w:r>
      <w:r w:rsidR="00FB2D24">
        <w:rPr>
          <w:rFonts w:asciiTheme="minorHAnsi" w:hAnsiTheme="minorHAnsi"/>
        </w:rPr>
        <w:t xml:space="preserve">  On the other hand, if </w:t>
      </w:r>
      <w:r w:rsidR="008F4F89">
        <w:rPr>
          <w:rFonts w:asciiTheme="minorHAnsi" w:hAnsiTheme="minorHAnsi"/>
        </w:rPr>
        <w:t xml:space="preserve">at the time of sentencing </w:t>
      </w:r>
      <w:r w:rsidR="00FB2D24">
        <w:rPr>
          <w:rFonts w:asciiTheme="minorHAnsi" w:hAnsiTheme="minorHAnsi"/>
        </w:rPr>
        <w:t>an offender is well advanced on the path to rehabilitation</w:t>
      </w:r>
      <w:r w:rsidR="008F4F89">
        <w:rPr>
          <w:rFonts w:asciiTheme="minorHAnsi" w:hAnsiTheme="minorHAnsi"/>
        </w:rPr>
        <w:t>,</w:t>
      </w:r>
      <w:r w:rsidR="00FB2D24">
        <w:rPr>
          <w:rFonts w:asciiTheme="minorHAnsi" w:hAnsiTheme="minorHAnsi"/>
        </w:rPr>
        <w:t xml:space="preserve"> </w:t>
      </w:r>
      <w:r w:rsidR="0053277C">
        <w:rPr>
          <w:rFonts w:asciiTheme="minorHAnsi" w:hAnsiTheme="minorHAnsi"/>
        </w:rPr>
        <w:t xml:space="preserve">a </w:t>
      </w:r>
      <w:r w:rsidR="00FB2D24">
        <w:rPr>
          <w:rFonts w:asciiTheme="minorHAnsi" w:hAnsiTheme="minorHAnsi"/>
        </w:rPr>
        <w:t>sentencing court may be reluctant to impose a sentence which interrupts that progress.  That is a factor of particular significance when an appellate court</w:t>
      </w:r>
      <w:r w:rsidR="006C5F3C">
        <w:rPr>
          <w:rFonts w:asciiTheme="minorHAnsi" w:hAnsiTheme="minorHAnsi"/>
        </w:rPr>
        <w:t>, on a prosecution appeal,</w:t>
      </w:r>
      <w:r w:rsidR="00FB2D24">
        <w:rPr>
          <w:rFonts w:asciiTheme="minorHAnsi" w:hAnsiTheme="minorHAnsi"/>
        </w:rPr>
        <w:t xml:space="preserve"> is considering </w:t>
      </w:r>
      <w:r w:rsidR="006C5F3C">
        <w:rPr>
          <w:rFonts w:asciiTheme="minorHAnsi" w:hAnsiTheme="minorHAnsi"/>
        </w:rPr>
        <w:t>whether to impose an immediate custodial sentence on an offender who is not then in custody.</w:t>
      </w:r>
      <w:r w:rsidR="004E0A07" w:rsidRPr="00C00000">
        <w:rPr>
          <w:rStyle w:val="Style"/>
          <w:rFonts w:asciiTheme="minorHAnsi" w:hAnsiTheme="minorHAnsi"/>
        </w:rPr>
        <w:footnoteReference w:id="392"/>
      </w:r>
    </w:p>
    <w:p w14:paraId="3C6808B9" w14:textId="77777777" w:rsidR="00D43476" w:rsidRPr="009973DD" w:rsidRDefault="00D43476" w:rsidP="009973DD">
      <w:pPr>
        <w:widowControl w:val="0"/>
        <w:spacing w:line="276" w:lineRule="auto"/>
        <w:ind w:right="170"/>
        <w:rPr>
          <w:rFonts w:asciiTheme="minorHAnsi" w:hAnsiTheme="minorHAnsi"/>
        </w:rPr>
      </w:pPr>
    </w:p>
    <w:p w14:paraId="07C98C42" w14:textId="1354DFB2" w:rsidR="00864782" w:rsidRPr="00FF4D6C" w:rsidRDefault="00864782" w:rsidP="00C14A45">
      <w:pPr>
        <w:pStyle w:val="Heading3"/>
      </w:pPr>
      <w:bookmarkStart w:id="1441" w:name="_Ref7877552"/>
      <w:bookmarkStart w:id="1442" w:name="_Ref7877555"/>
      <w:bookmarkStart w:id="1443" w:name="_Toc33602799"/>
      <w:r w:rsidRPr="00FF4D6C">
        <w:t xml:space="preserve">Effect on Family </w:t>
      </w:r>
      <w:r w:rsidR="00D7128D" w:rsidRPr="00FF4D6C">
        <w:t>– s 16A(2)(p)</w:t>
      </w:r>
      <w:bookmarkEnd w:id="1441"/>
      <w:bookmarkEnd w:id="1442"/>
      <w:bookmarkEnd w:id="1443"/>
    </w:p>
    <w:p w14:paraId="71D4302A" w14:textId="77777777" w:rsidR="001C69A7" w:rsidRPr="00576EEE" w:rsidRDefault="001C69A7" w:rsidP="00C14A45">
      <w:pPr>
        <w:pStyle w:val="NormalIndent"/>
        <w:keepNext/>
        <w:rPr>
          <w:rFonts w:ascii="Calibri" w:hAnsi="Calibri"/>
          <w:highlight w:val="yellow"/>
        </w:rPr>
      </w:pPr>
    </w:p>
    <w:p w14:paraId="7166C401" w14:textId="3D0FBEA2" w:rsidR="004255DB" w:rsidRDefault="00CE2933" w:rsidP="00EB7F1E">
      <w:pPr>
        <w:pStyle w:val="ListParagraph"/>
        <w:numPr>
          <w:ilvl w:val="0"/>
          <w:numId w:val="7"/>
        </w:numPr>
        <w:spacing w:line="276" w:lineRule="auto"/>
        <w:ind w:left="425" w:hanging="425"/>
        <w:contextualSpacing w:val="0"/>
        <w:rPr>
          <w:rFonts w:asciiTheme="minorHAnsi" w:hAnsiTheme="minorHAnsi"/>
        </w:rPr>
      </w:pPr>
      <w:r w:rsidRPr="00165A8F">
        <w:rPr>
          <w:rFonts w:asciiTheme="minorHAnsi" w:hAnsiTheme="minorHAnsi"/>
        </w:rPr>
        <w:t xml:space="preserve">Unlike other factors listed in s 16A(2) of the </w:t>
      </w:r>
      <w:r w:rsidR="00885EFD" w:rsidRPr="00885EFD">
        <w:rPr>
          <w:rFonts w:asciiTheme="minorHAnsi" w:hAnsiTheme="minorHAnsi"/>
          <w:i/>
        </w:rPr>
        <w:t>Crimes Act 1914</w:t>
      </w:r>
      <w:r w:rsidRPr="00165A8F">
        <w:rPr>
          <w:rFonts w:asciiTheme="minorHAnsi" w:hAnsiTheme="minorHAnsi"/>
        </w:rPr>
        <w:t>, the “</w:t>
      </w:r>
      <w:r w:rsidRPr="00165A8F">
        <w:rPr>
          <w:rFonts w:asciiTheme="minorHAnsi" w:hAnsiTheme="minorHAnsi"/>
          <w:i/>
        </w:rPr>
        <w:t>the probable effect that any sentence or order under consideration would have on any of the person</w:t>
      </w:r>
      <w:r w:rsidR="00AA693C">
        <w:rPr>
          <w:rFonts w:asciiTheme="minorHAnsi" w:hAnsiTheme="minorHAnsi"/>
          <w:i/>
        </w:rPr>
        <w:t>’</w:t>
      </w:r>
      <w:r w:rsidRPr="00165A8F">
        <w:rPr>
          <w:rFonts w:asciiTheme="minorHAnsi" w:hAnsiTheme="minorHAnsi"/>
          <w:i/>
        </w:rPr>
        <w:t>s family or dependants</w:t>
      </w:r>
      <w:r w:rsidRPr="00165A8F">
        <w:rPr>
          <w:rFonts w:asciiTheme="minorHAnsi" w:hAnsiTheme="minorHAnsi"/>
        </w:rPr>
        <w:t>” (s 16A(2)(p)) is concerned with neither the offence nor the offender, but with the consequences of punishment fo</w:t>
      </w:r>
      <w:r w:rsidR="005A3527" w:rsidRPr="00165A8F">
        <w:rPr>
          <w:rFonts w:asciiTheme="minorHAnsi" w:hAnsiTheme="minorHAnsi"/>
        </w:rPr>
        <w:t>r a third party</w:t>
      </w:r>
      <w:r w:rsidR="002D0BF1">
        <w:rPr>
          <w:rFonts w:asciiTheme="minorHAnsi" w:hAnsiTheme="minorHAnsi"/>
        </w:rPr>
        <w:t>.  It is not a mitigating factor, properly so called</w:t>
      </w:r>
      <w:r w:rsidR="008C3D18" w:rsidRPr="00165A8F">
        <w:rPr>
          <w:rFonts w:asciiTheme="minorHAnsi" w:hAnsiTheme="minorHAnsi"/>
        </w:rPr>
        <w:t>; it is in substance an appeal for mercy</w:t>
      </w:r>
      <w:r w:rsidR="005A3527" w:rsidRPr="00165A8F">
        <w:rPr>
          <w:rFonts w:asciiTheme="minorHAnsi" w:hAnsiTheme="minorHAnsi"/>
        </w:rPr>
        <w:t>.</w:t>
      </w:r>
      <w:r w:rsidR="008C3D18" w:rsidRPr="00C00000">
        <w:rPr>
          <w:rStyle w:val="Style"/>
          <w:rFonts w:asciiTheme="minorHAnsi" w:hAnsiTheme="minorHAnsi"/>
        </w:rPr>
        <w:footnoteReference w:id="393"/>
      </w:r>
    </w:p>
    <w:p w14:paraId="3CB8F2A6" w14:textId="77777777" w:rsidR="004255DB" w:rsidRPr="004255DB" w:rsidRDefault="004255DB" w:rsidP="004255DB">
      <w:pPr>
        <w:widowControl w:val="0"/>
        <w:spacing w:line="276" w:lineRule="auto"/>
        <w:ind w:right="170"/>
        <w:rPr>
          <w:rFonts w:asciiTheme="minorHAnsi" w:hAnsiTheme="minorHAnsi"/>
        </w:rPr>
      </w:pPr>
    </w:p>
    <w:p w14:paraId="3F488892" w14:textId="20112E69" w:rsidR="00B34DD8" w:rsidRDefault="00850DB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Adverse consequences for family or dependants </w:t>
      </w:r>
      <w:r w:rsidR="00CD6547">
        <w:rPr>
          <w:rFonts w:asciiTheme="minorHAnsi" w:hAnsiTheme="minorHAnsi"/>
        </w:rPr>
        <w:t>are</w:t>
      </w:r>
      <w:r w:rsidR="00CD6547" w:rsidRPr="00165A8F">
        <w:rPr>
          <w:rFonts w:asciiTheme="minorHAnsi" w:hAnsiTheme="minorHAnsi"/>
        </w:rPr>
        <w:t xml:space="preserve"> </w:t>
      </w:r>
      <w:r w:rsidR="005A3527" w:rsidRPr="00165A8F">
        <w:rPr>
          <w:rFonts w:asciiTheme="minorHAnsi" w:hAnsiTheme="minorHAnsi"/>
        </w:rPr>
        <w:t xml:space="preserve">a commonplace incident of sentencing </w:t>
      </w:r>
      <w:r w:rsidR="002C79DC">
        <w:rPr>
          <w:rFonts w:asciiTheme="minorHAnsi" w:hAnsiTheme="minorHAnsi"/>
        </w:rPr>
        <w:t>(and an almost inevitable consequence of imprisonment).</w:t>
      </w:r>
      <w:r w:rsidR="00F56014" w:rsidRPr="00C00000">
        <w:rPr>
          <w:rStyle w:val="Style"/>
          <w:rFonts w:asciiTheme="minorHAnsi" w:hAnsiTheme="minorHAnsi"/>
        </w:rPr>
        <w:footnoteReference w:id="394"/>
      </w:r>
      <w:r w:rsidR="002C79DC">
        <w:rPr>
          <w:rFonts w:asciiTheme="minorHAnsi" w:hAnsiTheme="minorHAnsi"/>
        </w:rPr>
        <w:t xml:space="preserve"> </w:t>
      </w:r>
      <w:r w:rsidR="005A3527" w:rsidRPr="00165A8F">
        <w:rPr>
          <w:rFonts w:asciiTheme="minorHAnsi" w:hAnsiTheme="minorHAnsi"/>
        </w:rPr>
        <w:t xml:space="preserve"> </w:t>
      </w:r>
      <w:r w:rsidR="004255DB">
        <w:rPr>
          <w:rFonts w:asciiTheme="minorHAnsi" w:hAnsiTheme="minorHAnsi"/>
        </w:rPr>
        <w:t xml:space="preserve">Reduction </w:t>
      </w:r>
      <w:r w:rsidR="002C79DC">
        <w:rPr>
          <w:rFonts w:asciiTheme="minorHAnsi" w:hAnsiTheme="minorHAnsi"/>
        </w:rPr>
        <w:t xml:space="preserve">of punishment because of </w:t>
      </w:r>
      <w:r>
        <w:rPr>
          <w:rFonts w:asciiTheme="minorHAnsi" w:hAnsiTheme="minorHAnsi"/>
        </w:rPr>
        <w:t xml:space="preserve">the effect on </w:t>
      </w:r>
      <w:r w:rsidR="004255DB">
        <w:rPr>
          <w:rFonts w:asciiTheme="minorHAnsi" w:hAnsiTheme="minorHAnsi"/>
        </w:rPr>
        <w:t xml:space="preserve">a </w:t>
      </w:r>
      <w:r>
        <w:rPr>
          <w:rFonts w:asciiTheme="minorHAnsi" w:hAnsiTheme="minorHAnsi"/>
        </w:rPr>
        <w:t xml:space="preserve">third party tends </w:t>
      </w:r>
      <w:r w:rsidR="004255DB">
        <w:rPr>
          <w:rFonts w:asciiTheme="minorHAnsi" w:hAnsiTheme="minorHAnsi"/>
        </w:rPr>
        <w:t>to</w:t>
      </w:r>
      <w:r w:rsidR="00975BDD">
        <w:rPr>
          <w:rFonts w:asciiTheme="minorHAnsi" w:hAnsiTheme="minorHAnsi"/>
        </w:rPr>
        <w:t xml:space="preserve"> cause</w:t>
      </w:r>
      <w:r w:rsidR="00975BDD" w:rsidRPr="00BE0976">
        <w:rPr>
          <w:rFonts w:asciiTheme="minorHAnsi" w:hAnsiTheme="minorHAnsi" w:cstheme="minorHAnsi"/>
          <w:sz w:val="20"/>
        </w:rPr>
        <w:t xml:space="preserve"> </w:t>
      </w:r>
      <w:r w:rsidR="00975BDD" w:rsidRPr="00975BDD">
        <w:rPr>
          <w:rFonts w:asciiTheme="minorHAnsi" w:hAnsiTheme="minorHAnsi"/>
        </w:rPr>
        <w:t>unequal treatment of offenders</w:t>
      </w:r>
      <w:r>
        <w:rPr>
          <w:rFonts w:asciiTheme="minorHAnsi" w:hAnsiTheme="minorHAnsi"/>
        </w:rPr>
        <w:t xml:space="preserve"> and </w:t>
      </w:r>
      <w:r w:rsidR="007868ED">
        <w:rPr>
          <w:rFonts w:asciiTheme="minorHAnsi" w:hAnsiTheme="minorHAnsi"/>
        </w:rPr>
        <w:t xml:space="preserve">to </w:t>
      </w:r>
      <w:r>
        <w:rPr>
          <w:rFonts w:asciiTheme="minorHAnsi" w:hAnsiTheme="minorHAnsi"/>
        </w:rPr>
        <w:t xml:space="preserve">be contrary to the purposes of sentencing.  For these </w:t>
      </w:r>
      <w:r w:rsidR="005A3527" w:rsidRPr="00165A8F">
        <w:rPr>
          <w:rFonts w:asciiTheme="minorHAnsi" w:hAnsiTheme="minorHAnsi"/>
        </w:rPr>
        <w:t xml:space="preserve">and </w:t>
      </w:r>
      <w:r>
        <w:rPr>
          <w:rFonts w:asciiTheme="minorHAnsi" w:hAnsiTheme="minorHAnsi"/>
        </w:rPr>
        <w:t>other reasons the</w:t>
      </w:r>
      <w:r w:rsidR="000F3597" w:rsidRPr="00165A8F">
        <w:rPr>
          <w:rFonts w:asciiTheme="minorHAnsi" w:hAnsiTheme="minorHAnsi"/>
        </w:rPr>
        <w:t xml:space="preserve"> common law</w:t>
      </w:r>
      <w:r w:rsidR="005A3527" w:rsidRPr="00165A8F">
        <w:rPr>
          <w:rFonts w:asciiTheme="minorHAnsi" w:hAnsiTheme="minorHAnsi"/>
        </w:rPr>
        <w:t xml:space="preserve"> </w:t>
      </w:r>
      <w:r w:rsidR="006F401E" w:rsidRPr="00165A8F">
        <w:rPr>
          <w:rFonts w:asciiTheme="minorHAnsi" w:hAnsiTheme="minorHAnsi"/>
        </w:rPr>
        <w:t>has long</w:t>
      </w:r>
      <w:r w:rsidR="005A3527" w:rsidRPr="00165A8F">
        <w:rPr>
          <w:rFonts w:asciiTheme="minorHAnsi" w:hAnsiTheme="minorHAnsi"/>
        </w:rPr>
        <w:t xml:space="preserve"> treated </w:t>
      </w:r>
      <w:r w:rsidR="006F401E" w:rsidRPr="00165A8F">
        <w:rPr>
          <w:rFonts w:asciiTheme="minorHAnsi" w:hAnsiTheme="minorHAnsi"/>
        </w:rPr>
        <w:t xml:space="preserve">such hardship </w:t>
      </w:r>
      <w:r w:rsidR="005A3527" w:rsidRPr="00165A8F">
        <w:rPr>
          <w:rFonts w:asciiTheme="minorHAnsi" w:hAnsiTheme="minorHAnsi"/>
        </w:rPr>
        <w:t>as warranting mitigation only in exceptional circumstances.</w:t>
      </w:r>
      <w:r w:rsidR="00C905CF" w:rsidRPr="00C00000">
        <w:rPr>
          <w:rStyle w:val="Style"/>
          <w:rFonts w:asciiTheme="minorHAnsi" w:hAnsiTheme="minorHAnsi"/>
        </w:rPr>
        <w:footnoteReference w:id="395"/>
      </w:r>
      <w:r w:rsidR="00B34DD8" w:rsidRPr="00B34DD8">
        <w:rPr>
          <w:rFonts w:asciiTheme="minorHAnsi" w:hAnsiTheme="minorHAnsi"/>
        </w:rPr>
        <w:t xml:space="preserve"> </w:t>
      </w:r>
      <w:r w:rsidR="00B34DD8">
        <w:rPr>
          <w:rFonts w:asciiTheme="minorHAnsi" w:hAnsiTheme="minorHAnsi"/>
        </w:rPr>
        <w:t xml:space="preserve"> The </w:t>
      </w:r>
      <w:r w:rsidR="00B34DD8" w:rsidRPr="00C00000">
        <w:rPr>
          <w:rFonts w:asciiTheme="minorHAnsi" w:hAnsiTheme="minorHAnsi"/>
        </w:rPr>
        <w:t xml:space="preserve">plea for mercy </w:t>
      </w:r>
      <w:r w:rsidR="00B34DD8">
        <w:rPr>
          <w:rFonts w:asciiTheme="minorHAnsi" w:hAnsiTheme="minorHAnsi"/>
        </w:rPr>
        <w:t xml:space="preserve">must be </w:t>
      </w:r>
      <w:r w:rsidR="00B34DD8" w:rsidRPr="00C00000">
        <w:rPr>
          <w:rFonts w:asciiTheme="minorHAnsi" w:hAnsiTheme="minorHAnsi"/>
        </w:rPr>
        <w:t>irresistible</w:t>
      </w:r>
      <w:r>
        <w:rPr>
          <w:rFonts w:asciiTheme="minorHAnsi" w:hAnsiTheme="minorHAnsi"/>
        </w:rPr>
        <w:t>,</w:t>
      </w:r>
      <w:r w:rsidR="00B34DD8" w:rsidRPr="00C00000">
        <w:rPr>
          <w:rFonts w:asciiTheme="minorHAnsi" w:hAnsiTheme="minorHAnsi"/>
        </w:rPr>
        <w:t xml:space="preserve"> so that to refuse it would be inhumane</w:t>
      </w:r>
      <w:r w:rsidR="008972E9">
        <w:rPr>
          <w:rFonts w:asciiTheme="minorHAnsi" w:hAnsiTheme="minorHAnsi"/>
        </w:rPr>
        <w:t>.</w:t>
      </w:r>
      <w:r w:rsidR="00B34DD8" w:rsidRPr="00C00000">
        <w:rPr>
          <w:rStyle w:val="Style"/>
          <w:rFonts w:asciiTheme="minorHAnsi" w:hAnsiTheme="minorHAnsi"/>
        </w:rPr>
        <w:footnoteReference w:id="396"/>
      </w:r>
      <w:r w:rsidR="00BD26EC">
        <w:rPr>
          <w:rFonts w:asciiTheme="minorHAnsi" w:hAnsiTheme="minorHAnsi"/>
        </w:rPr>
        <w:t xml:space="preserve">  The occasions for reducing a sentence on this basis will be rare.</w:t>
      </w:r>
      <w:r w:rsidR="00BD26EC" w:rsidRPr="00C00000">
        <w:rPr>
          <w:rStyle w:val="Style"/>
          <w:rFonts w:asciiTheme="minorHAnsi" w:hAnsiTheme="minorHAnsi"/>
        </w:rPr>
        <w:footnoteReference w:id="397"/>
      </w:r>
    </w:p>
    <w:p w14:paraId="0432A9CA" w14:textId="77777777" w:rsidR="00B34DD8" w:rsidRPr="00B34DD8" w:rsidRDefault="00B34DD8" w:rsidP="00B34DD8">
      <w:pPr>
        <w:widowControl w:val="0"/>
        <w:spacing w:line="276" w:lineRule="auto"/>
        <w:ind w:right="170"/>
        <w:rPr>
          <w:rFonts w:asciiTheme="minorHAnsi" w:hAnsiTheme="minorHAnsi"/>
        </w:rPr>
      </w:pPr>
    </w:p>
    <w:p w14:paraId="6BA93082" w14:textId="71861109" w:rsidR="00CE2933" w:rsidRPr="00165A8F" w:rsidRDefault="006F401E" w:rsidP="00EB7F1E">
      <w:pPr>
        <w:pStyle w:val="ListParagraph"/>
        <w:numPr>
          <w:ilvl w:val="0"/>
          <w:numId w:val="7"/>
        </w:numPr>
        <w:spacing w:line="276" w:lineRule="auto"/>
        <w:ind w:left="425" w:hanging="425"/>
        <w:contextualSpacing w:val="0"/>
        <w:rPr>
          <w:rFonts w:asciiTheme="minorHAnsi" w:hAnsiTheme="minorHAnsi"/>
        </w:rPr>
      </w:pPr>
      <w:r w:rsidRPr="00165A8F">
        <w:rPr>
          <w:rFonts w:asciiTheme="minorHAnsi" w:hAnsiTheme="minorHAnsi"/>
        </w:rPr>
        <w:t>The provision on which s 16A(2)(p) was based, s</w:t>
      </w:r>
      <w:r w:rsidR="00693AF1" w:rsidRPr="00165A8F">
        <w:rPr>
          <w:rFonts w:asciiTheme="minorHAnsi" w:hAnsiTheme="minorHAnsi"/>
        </w:rPr>
        <w:t xml:space="preserve"> 10(n) of the </w:t>
      </w:r>
      <w:r w:rsidR="00693AF1" w:rsidRPr="00165A8F">
        <w:rPr>
          <w:rFonts w:asciiTheme="minorHAnsi" w:hAnsiTheme="minorHAnsi"/>
          <w:i/>
        </w:rPr>
        <w:t>Criminal Law (Sentencing) Act 1988</w:t>
      </w:r>
      <w:r w:rsidR="00693AF1" w:rsidRPr="00165A8F">
        <w:rPr>
          <w:rFonts w:asciiTheme="minorHAnsi" w:hAnsiTheme="minorHAnsi"/>
        </w:rPr>
        <w:t xml:space="preserve"> (SA),</w:t>
      </w:r>
      <w:r w:rsidR="00CB6E76" w:rsidRPr="00C00000">
        <w:rPr>
          <w:rStyle w:val="Style"/>
          <w:rFonts w:asciiTheme="minorHAnsi" w:hAnsiTheme="minorHAnsi"/>
        </w:rPr>
        <w:footnoteReference w:id="398"/>
      </w:r>
      <w:r w:rsidR="00693AF1" w:rsidRPr="00165A8F">
        <w:rPr>
          <w:rFonts w:asciiTheme="minorHAnsi" w:hAnsiTheme="minorHAnsi"/>
        </w:rPr>
        <w:t xml:space="preserve"> had been interpreted in light of the common law history as preserving the common law position, rather than removing the requirement for exceptional circumstances.</w:t>
      </w:r>
      <w:r w:rsidR="00F268C2" w:rsidRPr="00C00000">
        <w:rPr>
          <w:rStyle w:val="Style"/>
          <w:rFonts w:asciiTheme="minorHAnsi" w:hAnsiTheme="minorHAnsi"/>
        </w:rPr>
        <w:footnoteReference w:id="399"/>
      </w:r>
      <w:r w:rsidR="00693AF1" w:rsidRPr="00165A8F">
        <w:rPr>
          <w:rFonts w:asciiTheme="minorHAnsi" w:hAnsiTheme="minorHAnsi"/>
        </w:rPr>
        <w:t xml:space="preserve">  Section 16A(2)(p) was enacted against that background.</w:t>
      </w:r>
    </w:p>
    <w:p w14:paraId="559D4B12" w14:textId="77777777" w:rsidR="00E74790" w:rsidRPr="00E74790" w:rsidRDefault="00E74790" w:rsidP="00E74790">
      <w:pPr>
        <w:pStyle w:val="ListParagraph"/>
        <w:rPr>
          <w:rFonts w:asciiTheme="minorHAnsi" w:hAnsiTheme="minorHAnsi"/>
        </w:rPr>
      </w:pPr>
    </w:p>
    <w:p w14:paraId="4E0B08D7" w14:textId="35BDF800" w:rsidR="00E74790" w:rsidRDefault="00E7479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Appellate courts in New South Wales,</w:t>
      </w:r>
      <w:r w:rsidR="00F268C2" w:rsidRPr="00C00000">
        <w:rPr>
          <w:rStyle w:val="Style"/>
          <w:rFonts w:asciiTheme="minorHAnsi" w:hAnsiTheme="minorHAnsi"/>
        </w:rPr>
        <w:footnoteReference w:id="400"/>
      </w:r>
      <w:r>
        <w:rPr>
          <w:rFonts w:asciiTheme="minorHAnsi" w:hAnsiTheme="minorHAnsi"/>
        </w:rPr>
        <w:t xml:space="preserve"> Victoria,</w:t>
      </w:r>
      <w:r w:rsidR="00F268C2" w:rsidRPr="00C00000">
        <w:rPr>
          <w:rStyle w:val="Style"/>
          <w:rFonts w:asciiTheme="minorHAnsi" w:hAnsiTheme="minorHAnsi"/>
        </w:rPr>
        <w:footnoteReference w:id="401"/>
      </w:r>
      <w:r>
        <w:rPr>
          <w:rFonts w:asciiTheme="minorHAnsi" w:hAnsiTheme="minorHAnsi"/>
        </w:rPr>
        <w:t xml:space="preserve"> Queensland,</w:t>
      </w:r>
      <w:r w:rsidR="00F268C2" w:rsidRPr="00C00000">
        <w:rPr>
          <w:rStyle w:val="Style"/>
          <w:rFonts w:asciiTheme="minorHAnsi" w:hAnsiTheme="minorHAnsi"/>
        </w:rPr>
        <w:footnoteReference w:id="402"/>
      </w:r>
      <w:r>
        <w:rPr>
          <w:rFonts w:asciiTheme="minorHAnsi" w:hAnsiTheme="minorHAnsi"/>
        </w:rPr>
        <w:t xml:space="preserve"> Western Australia</w:t>
      </w:r>
      <w:r w:rsidR="00F268C2" w:rsidRPr="00C00000">
        <w:rPr>
          <w:rStyle w:val="Style"/>
          <w:rFonts w:asciiTheme="minorHAnsi" w:hAnsiTheme="minorHAnsi"/>
        </w:rPr>
        <w:footnoteReference w:id="403"/>
      </w:r>
      <w:r w:rsidR="00F268C2">
        <w:rPr>
          <w:rFonts w:asciiTheme="minorHAnsi" w:hAnsiTheme="minorHAnsi"/>
        </w:rPr>
        <w:t xml:space="preserve"> and South Australia</w:t>
      </w:r>
      <w:r w:rsidR="00FC3051">
        <w:rPr>
          <w:rFonts w:asciiTheme="minorHAnsi" w:hAnsiTheme="minorHAnsi"/>
        </w:rPr>
        <w:t>,</w:t>
      </w:r>
      <w:r w:rsidR="00F268C2" w:rsidRPr="00C00000">
        <w:rPr>
          <w:rStyle w:val="Style"/>
          <w:rFonts w:asciiTheme="minorHAnsi" w:hAnsiTheme="minorHAnsi"/>
        </w:rPr>
        <w:footnoteReference w:id="404"/>
      </w:r>
      <w:r w:rsidR="00F268C2">
        <w:rPr>
          <w:rFonts w:asciiTheme="minorHAnsi" w:hAnsiTheme="minorHAnsi"/>
        </w:rPr>
        <w:t xml:space="preserve"> </w:t>
      </w:r>
      <w:r w:rsidR="00FC3051">
        <w:rPr>
          <w:rFonts w:asciiTheme="minorHAnsi" w:hAnsiTheme="minorHAnsi"/>
        </w:rPr>
        <w:t xml:space="preserve">and </w:t>
      </w:r>
      <w:r w:rsidR="00D9160F">
        <w:rPr>
          <w:rFonts w:asciiTheme="minorHAnsi" w:hAnsiTheme="minorHAnsi"/>
        </w:rPr>
        <w:t xml:space="preserve">single judges of </w:t>
      </w:r>
      <w:r w:rsidR="00FC3051">
        <w:rPr>
          <w:rFonts w:asciiTheme="minorHAnsi" w:hAnsiTheme="minorHAnsi"/>
        </w:rPr>
        <w:t>the Supreme Court of Tasmania,</w:t>
      </w:r>
      <w:r w:rsidR="00FC3051" w:rsidRPr="00C00000">
        <w:rPr>
          <w:rStyle w:val="Style"/>
          <w:rFonts w:asciiTheme="minorHAnsi" w:hAnsiTheme="minorHAnsi"/>
        </w:rPr>
        <w:footnoteReference w:id="405"/>
      </w:r>
      <w:r w:rsidR="00FC3051">
        <w:rPr>
          <w:rFonts w:asciiTheme="minorHAnsi" w:hAnsiTheme="minorHAnsi"/>
        </w:rPr>
        <w:t xml:space="preserve"> </w:t>
      </w:r>
      <w:r w:rsidR="00F268C2">
        <w:rPr>
          <w:rFonts w:asciiTheme="minorHAnsi" w:hAnsiTheme="minorHAnsi"/>
        </w:rPr>
        <w:t xml:space="preserve">have all construed s 16A(2)(p) as preserving the common law requirement of exceptional circumstances.  Only the ACT </w:t>
      </w:r>
      <w:r w:rsidR="00D65D48">
        <w:rPr>
          <w:rFonts w:asciiTheme="minorHAnsi" w:hAnsiTheme="minorHAnsi"/>
        </w:rPr>
        <w:t>Court of Appeal has adopted a contrary construction, that exceptional circumstances are not required</w:t>
      </w:r>
      <w:r w:rsidR="00FC485E">
        <w:rPr>
          <w:rFonts w:asciiTheme="minorHAnsi" w:hAnsiTheme="minorHAnsi"/>
        </w:rPr>
        <w:t>;</w:t>
      </w:r>
      <w:r w:rsidR="00D65D48" w:rsidRPr="00C00000">
        <w:rPr>
          <w:rStyle w:val="Style"/>
          <w:rFonts w:asciiTheme="minorHAnsi" w:hAnsiTheme="minorHAnsi"/>
        </w:rPr>
        <w:footnoteReference w:id="406"/>
      </w:r>
      <w:r w:rsidR="00FC485E">
        <w:rPr>
          <w:rFonts w:asciiTheme="minorHAnsi" w:hAnsiTheme="minorHAnsi"/>
        </w:rPr>
        <w:t xml:space="preserve"> </w:t>
      </w:r>
      <w:r w:rsidR="00E30805">
        <w:rPr>
          <w:rFonts w:asciiTheme="minorHAnsi" w:hAnsiTheme="minorHAnsi"/>
        </w:rPr>
        <w:t xml:space="preserve">and </w:t>
      </w:r>
      <w:r w:rsidR="00FC485E">
        <w:rPr>
          <w:rFonts w:asciiTheme="minorHAnsi" w:hAnsiTheme="minorHAnsi"/>
        </w:rPr>
        <w:t>that decision was made without reference to many of the contrary authorities, or</w:t>
      </w:r>
      <w:r w:rsidR="00E30805">
        <w:rPr>
          <w:rFonts w:asciiTheme="minorHAnsi" w:hAnsiTheme="minorHAnsi"/>
        </w:rPr>
        <w:t xml:space="preserve"> to</w:t>
      </w:r>
      <w:r w:rsidR="00FC485E">
        <w:rPr>
          <w:rFonts w:asciiTheme="minorHAnsi" w:hAnsiTheme="minorHAnsi"/>
        </w:rPr>
        <w:t xml:space="preserve"> the history of</w:t>
      </w:r>
      <w:r w:rsidR="00B34DD8" w:rsidRPr="00B34DD8">
        <w:rPr>
          <w:rFonts w:asciiTheme="minorHAnsi" w:hAnsiTheme="minorHAnsi"/>
        </w:rPr>
        <w:t xml:space="preserve"> </w:t>
      </w:r>
      <w:r w:rsidR="00B34DD8">
        <w:rPr>
          <w:rFonts w:asciiTheme="minorHAnsi" w:hAnsiTheme="minorHAnsi"/>
        </w:rPr>
        <w:t xml:space="preserve">the provision, or </w:t>
      </w:r>
      <w:r w:rsidR="00ED06DD">
        <w:rPr>
          <w:rFonts w:asciiTheme="minorHAnsi" w:hAnsiTheme="minorHAnsi"/>
        </w:rPr>
        <w:t xml:space="preserve">to </w:t>
      </w:r>
      <w:r w:rsidR="00B34DD8">
        <w:rPr>
          <w:rFonts w:asciiTheme="minorHAnsi" w:hAnsiTheme="minorHAnsi"/>
        </w:rPr>
        <w:t xml:space="preserve">the policy </w:t>
      </w:r>
      <w:r w:rsidR="00ED06DD">
        <w:rPr>
          <w:rFonts w:asciiTheme="minorHAnsi" w:hAnsiTheme="minorHAnsi"/>
        </w:rPr>
        <w:t xml:space="preserve">considerations </w:t>
      </w:r>
      <w:r w:rsidR="00B34DD8">
        <w:rPr>
          <w:rFonts w:asciiTheme="minorHAnsi" w:hAnsiTheme="minorHAnsi"/>
        </w:rPr>
        <w:t>underlying it</w:t>
      </w:r>
      <w:r w:rsidR="00FC485E">
        <w:rPr>
          <w:rFonts w:asciiTheme="minorHAnsi" w:hAnsiTheme="minorHAnsi"/>
        </w:rPr>
        <w:t>.</w:t>
      </w:r>
    </w:p>
    <w:p w14:paraId="05852A47" w14:textId="77777777" w:rsidR="000F3597" w:rsidRPr="000F3597" w:rsidRDefault="000F3597" w:rsidP="000F3597">
      <w:pPr>
        <w:widowControl w:val="0"/>
        <w:spacing w:line="276" w:lineRule="auto"/>
        <w:ind w:right="170"/>
        <w:rPr>
          <w:rFonts w:asciiTheme="minorHAnsi" w:hAnsiTheme="minorHAnsi"/>
        </w:rPr>
      </w:pPr>
    </w:p>
    <w:p w14:paraId="6A390C17" w14:textId="4E2E38A7" w:rsidR="004E4DC7" w:rsidRDefault="00975BDD" w:rsidP="00EB7F1E">
      <w:pPr>
        <w:pStyle w:val="ListParagraph"/>
        <w:numPr>
          <w:ilvl w:val="0"/>
          <w:numId w:val="7"/>
        </w:numPr>
        <w:spacing w:line="276" w:lineRule="auto"/>
        <w:ind w:left="425" w:hanging="425"/>
        <w:contextualSpacing w:val="0"/>
        <w:rPr>
          <w:rFonts w:asciiTheme="minorHAnsi" w:hAnsiTheme="minorHAnsi"/>
        </w:rPr>
      </w:pPr>
      <w:r w:rsidRPr="004E4DC7">
        <w:rPr>
          <w:rFonts w:asciiTheme="minorHAnsi" w:hAnsiTheme="minorHAnsi"/>
        </w:rPr>
        <w:t>Paragraph 16A(2)(p) require</w:t>
      </w:r>
      <w:r w:rsidR="009B5DA7" w:rsidRPr="004E4DC7">
        <w:rPr>
          <w:rFonts w:asciiTheme="minorHAnsi" w:hAnsiTheme="minorHAnsi"/>
        </w:rPr>
        <w:t xml:space="preserve">s that hardship to family or dependants </w:t>
      </w:r>
      <w:r w:rsidRPr="004E4DC7">
        <w:rPr>
          <w:rFonts w:asciiTheme="minorHAnsi" w:hAnsiTheme="minorHAnsi"/>
        </w:rPr>
        <w:t>must be “</w:t>
      </w:r>
      <w:r w:rsidRPr="004E4DC7">
        <w:rPr>
          <w:rFonts w:asciiTheme="minorHAnsi" w:hAnsiTheme="minorHAnsi"/>
          <w:i/>
        </w:rPr>
        <w:t>the probable effect</w:t>
      </w:r>
      <w:r w:rsidRPr="004E4DC7">
        <w:rPr>
          <w:rFonts w:asciiTheme="minorHAnsi" w:hAnsiTheme="minorHAnsi"/>
        </w:rPr>
        <w:t>” of the sentence or order; a merely possible effect is not sufficient.</w:t>
      </w:r>
      <w:r w:rsidRPr="00C00000">
        <w:rPr>
          <w:rStyle w:val="Style"/>
          <w:rFonts w:asciiTheme="minorHAnsi" w:hAnsiTheme="minorHAnsi"/>
        </w:rPr>
        <w:footnoteReference w:id="407"/>
      </w:r>
      <w:r w:rsidR="00D9160F" w:rsidRPr="00D9160F">
        <w:rPr>
          <w:rFonts w:asciiTheme="minorHAnsi" w:hAnsiTheme="minorHAnsi"/>
        </w:rPr>
        <w:t xml:space="preserve"> </w:t>
      </w:r>
      <w:r w:rsidR="00D9160F">
        <w:rPr>
          <w:rFonts w:asciiTheme="minorHAnsi" w:hAnsiTheme="minorHAnsi"/>
        </w:rPr>
        <w:t xml:space="preserve"> </w:t>
      </w:r>
      <w:r w:rsidR="00D9160F" w:rsidRPr="004E4DC7">
        <w:rPr>
          <w:rFonts w:asciiTheme="minorHAnsi" w:hAnsiTheme="minorHAnsi"/>
        </w:rPr>
        <w:t>It is an error to refer to the existence of exceptional circumstance</w:t>
      </w:r>
      <w:r w:rsidR="00DE77E3">
        <w:rPr>
          <w:rFonts w:asciiTheme="minorHAnsi" w:hAnsiTheme="minorHAnsi"/>
        </w:rPr>
        <w:t>s</w:t>
      </w:r>
      <w:r w:rsidR="00D9160F" w:rsidRPr="004E4DC7">
        <w:rPr>
          <w:rFonts w:asciiTheme="minorHAnsi" w:hAnsiTheme="minorHAnsi"/>
        </w:rPr>
        <w:t xml:space="preserve"> in the context of family hardship in terms of risk; such matters are to be assessed on the balance of probabilities.</w:t>
      </w:r>
      <w:r w:rsidR="00D9160F" w:rsidRPr="00C00000">
        <w:rPr>
          <w:rStyle w:val="Style"/>
          <w:rFonts w:asciiTheme="minorHAnsi" w:hAnsiTheme="minorHAnsi"/>
        </w:rPr>
        <w:footnoteReference w:id="408"/>
      </w:r>
      <w:r w:rsidR="00FA551A">
        <w:rPr>
          <w:rFonts w:asciiTheme="minorHAnsi" w:hAnsiTheme="minorHAnsi"/>
        </w:rPr>
        <w:t xml:space="preserve">  If necessary, the court may defer sentencing to enable assessment of the probable effect;</w:t>
      </w:r>
      <w:r w:rsidR="00FA551A" w:rsidRPr="00C00000">
        <w:rPr>
          <w:rStyle w:val="Style"/>
          <w:rFonts w:asciiTheme="minorHAnsi" w:hAnsiTheme="minorHAnsi"/>
        </w:rPr>
        <w:footnoteReference w:id="409"/>
      </w:r>
      <w:r w:rsidR="00FA551A">
        <w:rPr>
          <w:rFonts w:asciiTheme="minorHAnsi" w:hAnsiTheme="minorHAnsi"/>
        </w:rPr>
        <w:t xml:space="preserve"> in some cases</w:t>
      </w:r>
      <w:r w:rsidR="00071735">
        <w:rPr>
          <w:rFonts w:asciiTheme="minorHAnsi" w:hAnsiTheme="minorHAnsi"/>
        </w:rPr>
        <w:t>,</w:t>
      </w:r>
      <w:r w:rsidR="00FA551A">
        <w:rPr>
          <w:rFonts w:asciiTheme="minorHAnsi" w:hAnsiTheme="minorHAnsi"/>
        </w:rPr>
        <w:t xml:space="preserve"> it may be an error not to do so.</w:t>
      </w:r>
      <w:r w:rsidR="00FA551A" w:rsidRPr="00C00000">
        <w:rPr>
          <w:rStyle w:val="Style"/>
          <w:rFonts w:asciiTheme="minorHAnsi" w:hAnsiTheme="minorHAnsi"/>
        </w:rPr>
        <w:footnoteReference w:id="410"/>
      </w:r>
    </w:p>
    <w:p w14:paraId="1EA571E1" w14:textId="77777777" w:rsidR="004E4DC7" w:rsidRPr="004E4DC7" w:rsidRDefault="004E4DC7" w:rsidP="004E4DC7">
      <w:pPr>
        <w:pStyle w:val="ListParagraph"/>
        <w:rPr>
          <w:rFonts w:asciiTheme="minorHAnsi" w:hAnsiTheme="minorHAnsi"/>
        </w:rPr>
      </w:pPr>
    </w:p>
    <w:p w14:paraId="63C14995" w14:textId="683DEF70" w:rsidR="00574640" w:rsidRDefault="009B5DA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As is the case at common law, </w:t>
      </w:r>
      <w:r w:rsidR="00DE13AD">
        <w:rPr>
          <w:rFonts w:asciiTheme="minorHAnsi" w:hAnsiTheme="minorHAnsi"/>
        </w:rPr>
        <w:t>reductions of sentence under s 16A(2)(p) will be rare.</w:t>
      </w:r>
      <w:r w:rsidR="00DE13AD" w:rsidRPr="00C00000">
        <w:rPr>
          <w:rStyle w:val="Style"/>
          <w:rFonts w:asciiTheme="minorHAnsi" w:hAnsiTheme="minorHAnsi"/>
        </w:rPr>
        <w:footnoteReference w:id="411"/>
      </w:r>
      <w:r w:rsidR="00FB7D8A">
        <w:rPr>
          <w:rFonts w:asciiTheme="minorHAnsi" w:hAnsiTheme="minorHAnsi"/>
        </w:rPr>
        <w:t xml:space="preserve"> </w:t>
      </w:r>
      <w:r w:rsidR="00FB7D8A" w:rsidRPr="00FB7D8A">
        <w:rPr>
          <w:rFonts w:asciiTheme="minorHAnsi" w:hAnsiTheme="minorHAnsi"/>
        </w:rPr>
        <w:t xml:space="preserve"> </w:t>
      </w:r>
      <w:r w:rsidR="00FB7D8A" w:rsidRPr="004E4DC7">
        <w:rPr>
          <w:rFonts w:asciiTheme="minorHAnsi" w:hAnsiTheme="minorHAnsi"/>
        </w:rPr>
        <w:t>Hardship must, on its own rather than in combination with other factors, be judged to be exceptional before it can be taken into account as a sentencing factor under s 16A(2)(p).</w:t>
      </w:r>
      <w:r w:rsidR="00FB7D8A" w:rsidRPr="00C00000">
        <w:rPr>
          <w:rStyle w:val="Style"/>
          <w:rFonts w:asciiTheme="minorHAnsi" w:hAnsiTheme="minorHAnsi"/>
        </w:rPr>
        <w:footnoteReference w:id="412"/>
      </w:r>
    </w:p>
    <w:p w14:paraId="12B38758" w14:textId="2FABC9E6" w:rsidR="00555228" w:rsidRDefault="00555228" w:rsidP="00555228">
      <w:pPr>
        <w:widowControl w:val="0"/>
        <w:spacing w:line="276" w:lineRule="auto"/>
        <w:ind w:right="170"/>
        <w:rPr>
          <w:rFonts w:asciiTheme="minorHAnsi" w:hAnsiTheme="minorHAnsi"/>
        </w:rPr>
      </w:pPr>
    </w:p>
    <w:p w14:paraId="1A24F9FB" w14:textId="3D58FB35" w:rsidR="004144A3" w:rsidRDefault="00555228" w:rsidP="00EB7F1E">
      <w:pPr>
        <w:pStyle w:val="ListParagraph"/>
        <w:numPr>
          <w:ilvl w:val="0"/>
          <w:numId w:val="7"/>
        </w:numPr>
        <w:spacing w:line="276" w:lineRule="auto"/>
        <w:ind w:left="425" w:hanging="425"/>
        <w:contextualSpacing w:val="0"/>
        <w:rPr>
          <w:rFonts w:asciiTheme="minorHAnsi" w:hAnsiTheme="minorHAnsi"/>
        </w:rPr>
      </w:pPr>
      <w:r w:rsidRPr="00555228">
        <w:rPr>
          <w:rFonts w:asciiTheme="minorHAnsi" w:hAnsiTheme="minorHAnsi"/>
        </w:rPr>
        <w:t xml:space="preserve">In </w:t>
      </w:r>
      <w:r w:rsidRPr="00555228">
        <w:rPr>
          <w:rFonts w:asciiTheme="minorHAnsi" w:hAnsiTheme="minorHAnsi"/>
          <w:i/>
        </w:rPr>
        <w:t>Gaw</w:t>
      </w:r>
      <w:r w:rsidRPr="00555228">
        <w:rPr>
          <w:rFonts w:asciiTheme="minorHAnsi" w:hAnsiTheme="minorHAnsi"/>
        </w:rPr>
        <w:t>,</w:t>
      </w:r>
      <w:r w:rsidRPr="00C00000">
        <w:rPr>
          <w:rStyle w:val="Style"/>
          <w:rFonts w:asciiTheme="minorHAnsi" w:hAnsiTheme="minorHAnsi"/>
        </w:rPr>
        <w:footnoteReference w:id="413"/>
      </w:r>
      <w:r w:rsidRPr="00555228">
        <w:rPr>
          <w:rFonts w:asciiTheme="minorHAnsi" w:hAnsiTheme="minorHAnsi"/>
        </w:rPr>
        <w:t xml:space="preserve"> Callaway JA (with whom Eames and Ashley JJA agreed) said “</w:t>
      </w:r>
      <w:r w:rsidRPr="001B100F">
        <w:rPr>
          <w:rFonts w:asciiTheme="minorHAnsi" w:hAnsiTheme="minorHAnsi"/>
          <w:i/>
        </w:rPr>
        <w:t>Hardship, even exceptional hardship, to children or other dependants is not a passport to freedom.</w:t>
      </w:r>
      <w:r w:rsidR="00613332">
        <w:rPr>
          <w:rFonts w:asciiTheme="minorHAnsi" w:hAnsiTheme="minorHAnsi"/>
          <w:i/>
        </w:rPr>
        <w:t xml:space="preserve"> </w:t>
      </w:r>
      <w:r w:rsidRPr="001B100F">
        <w:rPr>
          <w:rFonts w:asciiTheme="minorHAnsi" w:hAnsiTheme="minorHAnsi"/>
          <w:i/>
        </w:rPr>
        <w:t xml:space="preserve"> It is simply a factor to be taken into account. </w:t>
      </w:r>
      <w:r w:rsidR="00E41653">
        <w:rPr>
          <w:rFonts w:asciiTheme="minorHAnsi" w:hAnsiTheme="minorHAnsi"/>
          <w:i/>
        </w:rPr>
        <w:t xml:space="preserve"> </w:t>
      </w:r>
      <w:r w:rsidRPr="001B100F">
        <w:rPr>
          <w:rFonts w:asciiTheme="minorHAnsi" w:hAnsiTheme="minorHAnsi"/>
          <w:i/>
        </w:rPr>
        <w:t>In some cases it is entitled to great weight, in others to hardly any weight at all.</w:t>
      </w:r>
      <w:r w:rsidRPr="00555228">
        <w:rPr>
          <w:rFonts w:asciiTheme="minorHAnsi" w:hAnsiTheme="minorHAnsi"/>
        </w:rPr>
        <w:t>”</w:t>
      </w:r>
    </w:p>
    <w:p w14:paraId="043FC2AC" w14:textId="77777777" w:rsidR="004144A3" w:rsidRPr="00EB7F1E" w:rsidRDefault="004144A3" w:rsidP="00EB7F1E">
      <w:pPr>
        <w:pStyle w:val="ListParagraph"/>
        <w:rPr>
          <w:rFonts w:asciiTheme="minorHAnsi" w:hAnsiTheme="minorHAnsi"/>
        </w:rPr>
      </w:pPr>
    </w:p>
    <w:p w14:paraId="76FAF8E1" w14:textId="315634C8" w:rsidR="00555228" w:rsidRDefault="004144A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hardship to family is taken into account, it may affect </w:t>
      </w:r>
      <w:r w:rsidR="007E4DD0">
        <w:rPr>
          <w:rFonts w:asciiTheme="minorHAnsi" w:hAnsiTheme="minorHAnsi"/>
        </w:rPr>
        <w:t>either the type of sentence imposed or the duration of any period of imprisonment</w:t>
      </w:r>
      <w:r w:rsidR="006627CB">
        <w:rPr>
          <w:rFonts w:asciiTheme="minorHAnsi" w:hAnsiTheme="minorHAnsi"/>
        </w:rPr>
        <w:t xml:space="preserve"> to be served</w:t>
      </w:r>
      <w:r w:rsidR="007E4DD0">
        <w:rPr>
          <w:rFonts w:asciiTheme="minorHAnsi" w:hAnsiTheme="minorHAnsi"/>
        </w:rPr>
        <w:t>.</w:t>
      </w:r>
      <w:r w:rsidR="006627CB" w:rsidRPr="006627CB">
        <w:rPr>
          <w:rFonts w:asciiTheme="minorHAnsi" w:hAnsiTheme="minorHAnsi" w:cstheme="minorHAnsi"/>
        </w:rPr>
        <w:t xml:space="preserve"> </w:t>
      </w:r>
      <w:r w:rsidR="006627CB">
        <w:rPr>
          <w:rFonts w:asciiTheme="minorHAnsi" w:hAnsiTheme="minorHAnsi" w:cstheme="minorHAnsi"/>
        </w:rPr>
        <w:t xml:space="preserve"> </w:t>
      </w:r>
      <w:r w:rsidR="006627CB" w:rsidRPr="00943CE8">
        <w:rPr>
          <w:rFonts w:asciiTheme="minorHAnsi" w:hAnsiTheme="minorHAnsi" w:cstheme="minorHAnsi"/>
        </w:rPr>
        <w:t xml:space="preserve">In </w:t>
      </w:r>
      <w:r w:rsidR="006627CB">
        <w:rPr>
          <w:rFonts w:asciiTheme="minorHAnsi" w:hAnsiTheme="minorHAnsi" w:cstheme="minorHAnsi"/>
        </w:rPr>
        <w:t xml:space="preserve">some cases, the gravity of the offending may be such as to require that the offender serve a term of imprisonment despite </w:t>
      </w:r>
      <w:r w:rsidR="006627CB" w:rsidRPr="00943CE8">
        <w:rPr>
          <w:rFonts w:asciiTheme="minorHAnsi" w:hAnsiTheme="minorHAnsi" w:cstheme="minorHAnsi"/>
        </w:rPr>
        <w:t xml:space="preserve">a finding of exceptional </w:t>
      </w:r>
      <w:r w:rsidR="006627CB">
        <w:rPr>
          <w:rFonts w:asciiTheme="minorHAnsi" w:hAnsiTheme="minorHAnsi" w:cstheme="minorHAnsi"/>
        </w:rPr>
        <w:t>hardship to a family member</w:t>
      </w:r>
      <w:r w:rsidR="006627CB" w:rsidRPr="00943CE8">
        <w:rPr>
          <w:rFonts w:asciiTheme="minorHAnsi" w:hAnsiTheme="minorHAnsi" w:cstheme="minorHAnsi"/>
        </w:rPr>
        <w:t xml:space="preserve">, but the </w:t>
      </w:r>
      <w:r w:rsidR="00622DDC">
        <w:rPr>
          <w:rFonts w:asciiTheme="minorHAnsi" w:hAnsiTheme="minorHAnsi" w:cstheme="minorHAnsi"/>
        </w:rPr>
        <w:t>exceptional hardship may warrant a reduction of</w:t>
      </w:r>
      <w:r w:rsidR="006627CB" w:rsidRPr="00943CE8">
        <w:rPr>
          <w:rFonts w:asciiTheme="minorHAnsi" w:hAnsiTheme="minorHAnsi" w:cstheme="minorHAnsi"/>
        </w:rPr>
        <w:t xml:space="preserve"> the period </w:t>
      </w:r>
      <w:r w:rsidR="00622DDC">
        <w:rPr>
          <w:rFonts w:asciiTheme="minorHAnsi" w:hAnsiTheme="minorHAnsi" w:cstheme="minorHAnsi"/>
        </w:rPr>
        <w:t xml:space="preserve">of imprisonment </w:t>
      </w:r>
      <w:r w:rsidR="006627CB" w:rsidRPr="00943CE8">
        <w:rPr>
          <w:rFonts w:asciiTheme="minorHAnsi" w:hAnsiTheme="minorHAnsi" w:cstheme="minorHAnsi"/>
        </w:rPr>
        <w:t>to be served.</w:t>
      </w:r>
      <w:r w:rsidR="006627CB" w:rsidRPr="00C00000">
        <w:rPr>
          <w:rStyle w:val="Style"/>
          <w:rFonts w:asciiTheme="minorHAnsi" w:hAnsiTheme="minorHAnsi"/>
        </w:rPr>
        <w:footnoteReference w:id="414"/>
      </w:r>
    </w:p>
    <w:p w14:paraId="6753BDEE" w14:textId="77777777" w:rsidR="00574640" w:rsidRPr="00574640" w:rsidRDefault="00574640" w:rsidP="00574640">
      <w:pPr>
        <w:widowControl w:val="0"/>
        <w:spacing w:line="276" w:lineRule="auto"/>
        <w:ind w:right="170"/>
        <w:rPr>
          <w:rFonts w:asciiTheme="minorHAnsi" w:hAnsiTheme="minorHAnsi"/>
        </w:rPr>
      </w:pPr>
    </w:p>
    <w:p w14:paraId="44DC0E3B" w14:textId="4162E6EB" w:rsidR="00950685" w:rsidRDefault="00ED06D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w:t>
      </w:r>
      <w:r w:rsidR="00E31B45" w:rsidRPr="00E31B45">
        <w:rPr>
          <w:rFonts w:asciiTheme="minorHAnsi" w:hAnsiTheme="minorHAnsi"/>
        </w:rPr>
        <w:t>the relevant circumstances are not shown to be exceptional</w:t>
      </w:r>
      <w:r w:rsidR="00E31B45">
        <w:rPr>
          <w:rFonts w:asciiTheme="minorHAnsi" w:hAnsiTheme="minorHAnsi"/>
        </w:rPr>
        <w:t xml:space="preserve">, so that </w:t>
      </w:r>
      <w:r>
        <w:rPr>
          <w:rFonts w:asciiTheme="minorHAnsi" w:hAnsiTheme="minorHAnsi"/>
        </w:rPr>
        <w:t xml:space="preserve">s 16A(2)(p) </w:t>
      </w:r>
      <w:r w:rsidR="00E31B45">
        <w:rPr>
          <w:rFonts w:asciiTheme="minorHAnsi" w:hAnsiTheme="minorHAnsi"/>
        </w:rPr>
        <w:t>is</w:t>
      </w:r>
      <w:r>
        <w:rPr>
          <w:rFonts w:asciiTheme="minorHAnsi" w:hAnsiTheme="minorHAnsi"/>
        </w:rPr>
        <w:t xml:space="preserve"> not </w:t>
      </w:r>
      <w:r w:rsidR="00E31B45">
        <w:rPr>
          <w:rFonts w:asciiTheme="minorHAnsi" w:hAnsiTheme="minorHAnsi"/>
        </w:rPr>
        <w:t>engaged,</w:t>
      </w:r>
      <w:r w:rsidR="00E31B45" w:rsidRPr="00576EEE">
        <w:rPr>
          <w:rFonts w:ascii="Calibri" w:hAnsi="Calibri"/>
        </w:rPr>
        <w:t xml:space="preserve"> </w:t>
      </w:r>
      <w:r w:rsidR="00E31B45" w:rsidRPr="00E31B45">
        <w:rPr>
          <w:rFonts w:asciiTheme="minorHAnsi" w:hAnsiTheme="minorHAnsi"/>
        </w:rPr>
        <w:t xml:space="preserve">there can be no </w:t>
      </w:r>
      <w:r w:rsidR="00AA693C">
        <w:rPr>
          <w:rFonts w:asciiTheme="minorHAnsi" w:hAnsiTheme="minorHAnsi"/>
        </w:rPr>
        <w:t>‘</w:t>
      </w:r>
      <w:r w:rsidR="00E31B45" w:rsidRPr="00E31B45">
        <w:rPr>
          <w:rFonts w:asciiTheme="minorHAnsi" w:hAnsiTheme="minorHAnsi"/>
        </w:rPr>
        <w:t>residual discretion</w:t>
      </w:r>
      <w:r w:rsidR="00AA693C">
        <w:rPr>
          <w:rFonts w:asciiTheme="minorHAnsi" w:hAnsiTheme="minorHAnsi"/>
        </w:rPr>
        <w:t>’</w:t>
      </w:r>
      <w:r w:rsidR="00E31B45" w:rsidRPr="00E31B45">
        <w:rPr>
          <w:rFonts w:asciiTheme="minorHAnsi" w:hAnsiTheme="minorHAnsi"/>
        </w:rPr>
        <w:t xml:space="preserve"> to exercise mercy on grounds of family hardship</w:t>
      </w:r>
      <w:r w:rsidR="00E31B45">
        <w:rPr>
          <w:rFonts w:asciiTheme="minorHAnsi" w:hAnsiTheme="minorHAnsi"/>
        </w:rPr>
        <w:t>.</w:t>
      </w:r>
      <w:r w:rsidR="00E31B45" w:rsidRPr="00C00000">
        <w:rPr>
          <w:rStyle w:val="Style"/>
          <w:rFonts w:asciiTheme="minorHAnsi" w:hAnsiTheme="minorHAnsi"/>
        </w:rPr>
        <w:footnoteReference w:id="415"/>
      </w:r>
    </w:p>
    <w:p w14:paraId="491ABDAE" w14:textId="77777777" w:rsidR="00F90531" w:rsidRPr="00C00000" w:rsidRDefault="00F90531" w:rsidP="007C11C2">
      <w:pPr>
        <w:pStyle w:val="ListParagraph"/>
        <w:widowControl w:val="0"/>
        <w:spacing w:line="276" w:lineRule="auto"/>
        <w:ind w:left="567" w:right="170" w:hanging="567"/>
        <w:rPr>
          <w:rFonts w:asciiTheme="minorHAnsi" w:hAnsiTheme="minorHAnsi"/>
        </w:rPr>
      </w:pPr>
    </w:p>
    <w:p w14:paraId="12FD3194" w14:textId="79001F7C" w:rsidR="005228A5" w:rsidRPr="00C00000" w:rsidRDefault="005228A5" w:rsidP="00EB7F1E">
      <w:pPr>
        <w:pStyle w:val="ListParagraph"/>
        <w:numPr>
          <w:ilvl w:val="0"/>
          <w:numId w:val="7"/>
        </w:numPr>
        <w:spacing w:line="276" w:lineRule="auto"/>
        <w:ind w:left="425" w:hanging="425"/>
        <w:contextualSpacing w:val="0"/>
        <w:rPr>
          <w:rFonts w:asciiTheme="minorHAnsi" w:hAnsiTheme="minorHAnsi"/>
        </w:rPr>
      </w:pPr>
      <w:bookmarkStart w:id="1444" w:name="_Toc484359060"/>
      <w:bookmarkStart w:id="1445" w:name="_Toc484363976"/>
      <w:bookmarkStart w:id="1446" w:name="_Toc484364390"/>
      <w:bookmarkStart w:id="1447" w:name="_Toc484365697"/>
      <w:bookmarkStart w:id="1448" w:name="_Toc484432595"/>
      <w:bookmarkStart w:id="1449" w:name="_Toc484359061"/>
      <w:bookmarkStart w:id="1450" w:name="_Toc484363977"/>
      <w:bookmarkStart w:id="1451" w:name="_Toc484364391"/>
      <w:bookmarkStart w:id="1452" w:name="_Toc484365698"/>
      <w:bookmarkStart w:id="1453" w:name="_Toc484432596"/>
      <w:bookmarkStart w:id="1454" w:name="_Toc484359063"/>
      <w:bookmarkStart w:id="1455" w:name="_Toc484363979"/>
      <w:bookmarkStart w:id="1456" w:name="_Toc484364393"/>
      <w:bookmarkStart w:id="1457" w:name="_Toc484365700"/>
      <w:bookmarkStart w:id="1458" w:name="_Toc484432598"/>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Pr="001F3F8B">
        <w:rPr>
          <w:rFonts w:asciiTheme="minorHAnsi" w:hAnsiTheme="minorHAnsi"/>
          <w:i/>
        </w:rPr>
        <w:t>The effect on the offender</w:t>
      </w:r>
      <w:r w:rsidRPr="00C00000">
        <w:rPr>
          <w:rFonts w:asciiTheme="minorHAnsi" w:hAnsiTheme="minorHAnsi"/>
        </w:rPr>
        <w:t xml:space="preserve"> of the hardship </w:t>
      </w:r>
      <w:r w:rsidR="00A121B9">
        <w:rPr>
          <w:rFonts w:asciiTheme="minorHAnsi" w:hAnsiTheme="minorHAnsi"/>
        </w:rPr>
        <w:t xml:space="preserve">which their imprisonment will </w:t>
      </w:r>
      <w:r w:rsidRPr="00C00000">
        <w:rPr>
          <w:rFonts w:asciiTheme="minorHAnsi" w:hAnsiTheme="minorHAnsi"/>
        </w:rPr>
        <w:t xml:space="preserve">cause to their family raises different considerations and </w:t>
      </w:r>
      <w:r w:rsidR="004144A3">
        <w:rPr>
          <w:rFonts w:asciiTheme="minorHAnsi" w:hAnsiTheme="minorHAnsi"/>
        </w:rPr>
        <w:t>may be taken into account even if there are no</w:t>
      </w:r>
      <w:r w:rsidRPr="00C00000">
        <w:rPr>
          <w:rFonts w:asciiTheme="minorHAnsi" w:hAnsiTheme="minorHAnsi"/>
        </w:rPr>
        <w:t xml:space="preserve"> exceptional circumstances.</w:t>
      </w:r>
      <w:r w:rsidRPr="00C00000">
        <w:rPr>
          <w:rStyle w:val="Style"/>
          <w:rFonts w:asciiTheme="minorHAnsi" w:hAnsiTheme="minorHAnsi"/>
        </w:rPr>
        <w:footnoteReference w:id="416"/>
      </w:r>
      <w:r w:rsidRPr="00C00000">
        <w:rPr>
          <w:rFonts w:asciiTheme="minorHAnsi" w:hAnsiTheme="minorHAnsi"/>
        </w:rPr>
        <w:t xml:space="preserve"> </w:t>
      </w:r>
      <w:r>
        <w:rPr>
          <w:rFonts w:asciiTheme="minorHAnsi" w:hAnsiTheme="minorHAnsi"/>
        </w:rPr>
        <w:t xml:space="preserve"> </w:t>
      </w:r>
      <w:r w:rsidR="001F3F8B">
        <w:rPr>
          <w:rFonts w:asciiTheme="minorHAnsi" w:hAnsiTheme="minorHAnsi"/>
        </w:rPr>
        <w:t xml:space="preserve">This is a matter that may </w:t>
      </w:r>
      <w:r w:rsidR="00FC0201">
        <w:rPr>
          <w:rFonts w:asciiTheme="minorHAnsi" w:hAnsiTheme="minorHAnsi"/>
        </w:rPr>
        <w:t xml:space="preserve">fall for </w:t>
      </w:r>
      <w:r w:rsidR="001F3F8B">
        <w:rPr>
          <w:rFonts w:asciiTheme="minorHAnsi" w:hAnsiTheme="minorHAnsi"/>
        </w:rPr>
        <w:t>consider</w:t>
      </w:r>
      <w:r w:rsidR="00FC0201">
        <w:rPr>
          <w:rFonts w:asciiTheme="minorHAnsi" w:hAnsiTheme="minorHAnsi"/>
        </w:rPr>
        <w:t>ation</w:t>
      </w:r>
      <w:r w:rsidR="001F3F8B">
        <w:rPr>
          <w:rFonts w:asciiTheme="minorHAnsi" w:hAnsiTheme="minorHAnsi"/>
        </w:rPr>
        <w:t xml:space="preserve"> under</w:t>
      </w:r>
      <w:r w:rsidR="001A40B6">
        <w:rPr>
          <w:rFonts w:asciiTheme="minorHAnsi" w:hAnsiTheme="minorHAnsi"/>
        </w:rPr>
        <w:t>, for example,</w:t>
      </w:r>
      <w:r w:rsidR="001A40B6" w:rsidRPr="001A40B6">
        <w:rPr>
          <w:rFonts w:asciiTheme="minorHAnsi" w:hAnsiTheme="minorHAnsi"/>
        </w:rPr>
        <w:t xml:space="preserve"> </w:t>
      </w:r>
      <w:r w:rsidR="001A40B6">
        <w:rPr>
          <w:rFonts w:asciiTheme="minorHAnsi" w:hAnsiTheme="minorHAnsi"/>
        </w:rPr>
        <w:t xml:space="preserve">s 16A(2)(j), </w:t>
      </w:r>
      <w:r w:rsidR="001F3F8B">
        <w:rPr>
          <w:rFonts w:asciiTheme="minorHAnsi" w:hAnsiTheme="minorHAnsi"/>
        </w:rPr>
        <w:t>s 16A(2)(m)</w:t>
      </w:r>
      <w:r w:rsidR="001A40B6">
        <w:rPr>
          <w:rFonts w:asciiTheme="minorHAnsi" w:hAnsiTheme="minorHAnsi"/>
        </w:rPr>
        <w:t xml:space="preserve"> </w:t>
      </w:r>
      <w:r w:rsidR="007016E5">
        <w:rPr>
          <w:rFonts w:asciiTheme="minorHAnsi" w:hAnsiTheme="minorHAnsi"/>
        </w:rPr>
        <w:t>or</w:t>
      </w:r>
      <w:r w:rsidR="001A40B6">
        <w:rPr>
          <w:rFonts w:asciiTheme="minorHAnsi" w:hAnsiTheme="minorHAnsi"/>
        </w:rPr>
        <w:t xml:space="preserve"> s 16A(2)(n).</w:t>
      </w:r>
    </w:p>
    <w:p w14:paraId="1663AE3F" w14:textId="77777777" w:rsidR="005228A5" w:rsidRPr="00C00000" w:rsidRDefault="005228A5" w:rsidP="005228A5">
      <w:pPr>
        <w:pStyle w:val="ListParagraph"/>
        <w:widowControl w:val="0"/>
        <w:spacing w:line="276" w:lineRule="auto"/>
        <w:ind w:left="567" w:right="170" w:hanging="567"/>
        <w:rPr>
          <w:rFonts w:asciiTheme="minorHAnsi" w:hAnsiTheme="minorHAnsi"/>
        </w:rPr>
      </w:pPr>
    </w:p>
    <w:p w14:paraId="21EBAAA8" w14:textId="14807641" w:rsidR="00F363D6" w:rsidRPr="00EB7F1E" w:rsidRDefault="00F363D6">
      <w:pPr>
        <w:pStyle w:val="Heading2"/>
      </w:pPr>
      <w:bookmarkStart w:id="1459" w:name="_Toc33602800"/>
      <w:r w:rsidRPr="00EB7F1E">
        <w:t>Other matters not referred to in s 16A(2)</w:t>
      </w:r>
      <w:bookmarkEnd w:id="1459"/>
    </w:p>
    <w:p w14:paraId="152B8EFA" w14:textId="77777777" w:rsidR="00563C42" w:rsidRPr="00576EEE" w:rsidRDefault="00563C42" w:rsidP="00C14A45">
      <w:pPr>
        <w:pStyle w:val="NormalIndent"/>
        <w:keepNext/>
        <w:rPr>
          <w:rFonts w:ascii="Calibri" w:hAnsi="Calibri"/>
        </w:rPr>
      </w:pPr>
      <w:bookmarkStart w:id="1460" w:name="_Toc484358671"/>
      <w:bookmarkStart w:id="1461" w:name="_Toc484359065"/>
      <w:bookmarkStart w:id="1462" w:name="_Toc484363981"/>
      <w:bookmarkStart w:id="1463" w:name="_Toc484364395"/>
      <w:bookmarkStart w:id="1464" w:name="_Toc484365702"/>
      <w:bookmarkStart w:id="1465" w:name="_Toc484432600"/>
      <w:bookmarkEnd w:id="1460"/>
      <w:bookmarkEnd w:id="1461"/>
      <w:bookmarkEnd w:id="1462"/>
      <w:bookmarkEnd w:id="1463"/>
      <w:bookmarkEnd w:id="1464"/>
      <w:bookmarkEnd w:id="1465"/>
    </w:p>
    <w:p w14:paraId="39B46E9A" w14:textId="41AF66BF" w:rsidR="003D2074" w:rsidRDefault="001D31A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t>
      </w:r>
      <w:r w:rsidR="00563C42">
        <w:rPr>
          <w:rFonts w:asciiTheme="minorHAnsi" w:hAnsiTheme="minorHAnsi"/>
        </w:rPr>
        <w:t xml:space="preserve">list of factors in s.16A(2) </w:t>
      </w:r>
      <w:r>
        <w:rPr>
          <w:rFonts w:asciiTheme="minorHAnsi" w:hAnsiTheme="minorHAnsi"/>
        </w:rPr>
        <w:t xml:space="preserve">is not exhaustive of the matters which must be taken into account in sentencing a federal offender. </w:t>
      </w:r>
      <w:r w:rsidR="008B41E7">
        <w:rPr>
          <w:rFonts w:asciiTheme="minorHAnsi" w:hAnsiTheme="minorHAnsi"/>
        </w:rPr>
        <w:t xml:space="preserve"> As noted earlier, s 16A(2) accommodates the application of some judicially-developed principles of sentencing.  Such principles will not apply, </w:t>
      </w:r>
      <w:r w:rsidR="00A70349">
        <w:rPr>
          <w:rFonts w:asciiTheme="minorHAnsi" w:hAnsiTheme="minorHAnsi"/>
        </w:rPr>
        <w:t>however, if they are inconsistent with the requirements of s 16A on its proper construction, or with other Commonwealth laws, or if Commonwealth law leaves no gap to be filled by common law principles.</w:t>
      </w:r>
      <w:r w:rsidR="00A70349" w:rsidRPr="00C00000">
        <w:rPr>
          <w:rStyle w:val="Style"/>
          <w:rFonts w:asciiTheme="minorHAnsi" w:hAnsiTheme="minorHAnsi"/>
        </w:rPr>
        <w:footnoteReference w:id="417"/>
      </w:r>
    </w:p>
    <w:p w14:paraId="01059325" w14:textId="77777777" w:rsidR="00C54D97" w:rsidRPr="00C54D97" w:rsidRDefault="00C54D97" w:rsidP="00C54D97">
      <w:pPr>
        <w:widowControl w:val="0"/>
        <w:spacing w:line="276" w:lineRule="auto"/>
        <w:ind w:right="170"/>
        <w:rPr>
          <w:rFonts w:asciiTheme="minorHAnsi" w:hAnsiTheme="minorHAnsi"/>
        </w:rPr>
      </w:pPr>
    </w:p>
    <w:p w14:paraId="0EE89A5A" w14:textId="7EE3E30E" w:rsidR="00A70349" w:rsidRDefault="00A7034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following are some </w:t>
      </w:r>
      <w:r w:rsidR="00C54D97">
        <w:rPr>
          <w:rFonts w:asciiTheme="minorHAnsi" w:hAnsiTheme="minorHAnsi"/>
        </w:rPr>
        <w:t xml:space="preserve">matters </w:t>
      </w:r>
      <w:r>
        <w:rPr>
          <w:rFonts w:asciiTheme="minorHAnsi" w:hAnsiTheme="minorHAnsi"/>
        </w:rPr>
        <w:t xml:space="preserve">which </w:t>
      </w:r>
      <w:r w:rsidR="00C54D97">
        <w:rPr>
          <w:rFonts w:asciiTheme="minorHAnsi" w:hAnsiTheme="minorHAnsi"/>
        </w:rPr>
        <w:t>are not referred to in s 16A(2), and which have been argued to be applicable in the sentencing of federal offenders.</w:t>
      </w:r>
    </w:p>
    <w:p w14:paraId="4A3344D9" w14:textId="77777777" w:rsidR="0060743E" w:rsidRPr="0060743E" w:rsidRDefault="0060743E" w:rsidP="0060743E">
      <w:pPr>
        <w:pStyle w:val="ListParagraph"/>
        <w:rPr>
          <w:rFonts w:asciiTheme="minorHAnsi" w:hAnsiTheme="minorHAnsi"/>
        </w:rPr>
      </w:pPr>
    </w:p>
    <w:p w14:paraId="078A96F6" w14:textId="15064E1F" w:rsidR="0060743E" w:rsidRPr="001A5676" w:rsidRDefault="0060743E" w:rsidP="00C14A45">
      <w:pPr>
        <w:pStyle w:val="Heading3"/>
      </w:pPr>
      <w:bookmarkStart w:id="1466" w:name="_Ref507878575"/>
      <w:bookmarkStart w:id="1467" w:name="_Ref507878582"/>
      <w:bookmarkStart w:id="1468" w:name="_Toc33602801"/>
      <w:r w:rsidRPr="001A5676">
        <w:t>Community protection</w:t>
      </w:r>
      <w:bookmarkEnd w:id="1466"/>
      <w:bookmarkEnd w:id="1467"/>
      <w:bookmarkEnd w:id="1468"/>
    </w:p>
    <w:p w14:paraId="5A03EBCD" w14:textId="63073DAB" w:rsidR="003D2074" w:rsidRPr="00576EEE" w:rsidRDefault="003D2074" w:rsidP="00C14A45">
      <w:pPr>
        <w:pStyle w:val="NormalIndent"/>
        <w:keepNext/>
        <w:rPr>
          <w:rFonts w:ascii="Calibri" w:hAnsi="Calibri"/>
        </w:rPr>
      </w:pPr>
    </w:p>
    <w:p w14:paraId="42ED1325" w14:textId="5905C97E" w:rsidR="00675CAE" w:rsidRDefault="00090518" w:rsidP="00EB7F1E">
      <w:pPr>
        <w:pStyle w:val="ListParagraph"/>
        <w:numPr>
          <w:ilvl w:val="0"/>
          <w:numId w:val="7"/>
        </w:numPr>
        <w:spacing w:line="276" w:lineRule="auto"/>
        <w:ind w:left="425" w:hanging="425"/>
        <w:contextualSpacing w:val="0"/>
        <w:rPr>
          <w:rFonts w:asciiTheme="minorHAnsi" w:hAnsiTheme="minorHAnsi"/>
        </w:rPr>
      </w:pPr>
      <w:r w:rsidRPr="00090518">
        <w:rPr>
          <w:rFonts w:asciiTheme="minorHAnsi" w:hAnsiTheme="minorHAnsi"/>
        </w:rPr>
        <w:t xml:space="preserve">All the main purposes of punishment tend </w:t>
      </w:r>
      <w:r w:rsidR="00396662">
        <w:rPr>
          <w:rFonts w:asciiTheme="minorHAnsi" w:hAnsiTheme="minorHAnsi"/>
        </w:rPr>
        <w:t xml:space="preserve">ultimately </w:t>
      </w:r>
      <w:r>
        <w:rPr>
          <w:rFonts w:asciiTheme="minorHAnsi" w:hAnsiTheme="minorHAnsi"/>
        </w:rPr>
        <w:t>towards p</w:t>
      </w:r>
      <w:r w:rsidRPr="00090518">
        <w:rPr>
          <w:rFonts w:asciiTheme="minorHAnsi" w:hAnsiTheme="minorHAnsi"/>
        </w:rPr>
        <w:t>rotection of the community</w:t>
      </w:r>
      <w:r>
        <w:rPr>
          <w:rFonts w:asciiTheme="minorHAnsi" w:hAnsiTheme="minorHAnsi"/>
        </w:rPr>
        <w:t xml:space="preserve"> from crime.</w:t>
      </w:r>
      <w:r w:rsidRPr="00090518">
        <w:rPr>
          <w:rFonts w:asciiTheme="minorHAnsi" w:hAnsiTheme="minorHAnsi"/>
        </w:rPr>
        <w:t xml:space="preserve"> </w:t>
      </w:r>
      <w:r>
        <w:rPr>
          <w:rFonts w:asciiTheme="minorHAnsi" w:hAnsiTheme="minorHAnsi"/>
        </w:rPr>
        <w:t xml:space="preserve"> </w:t>
      </w:r>
      <w:r w:rsidRPr="00090518">
        <w:rPr>
          <w:rFonts w:asciiTheme="minorHAnsi" w:hAnsiTheme="minorHAnsi"/>
        </w:rPr>
        <w:t xml:space="preserve">However references to the need to protect the community </w:t>
      </w:r>
      <w:r>
        <w:rPr>
          <w:rFonts w:asciiTheme="minorHAnsi" w:hAnsiTheme="minorHAnsi"/>
        </w:rPr>
        <w:t xml:space="preserve">as a purpose of </w:t>
      </w:r>
      <w:r w:rsidRPr="00090518">
        <w:rPr>
          <w:rFonts w:asciiTheme="minorHAnsi" w:hAnsiTheme="minorHAnsi"/>
        </w:rPr>
        <w:t>sentencing</w:t>
      </w:r>
      <w:r>
        <w:rPr>
          <w:rFonts w:asciiTheme="minorHAnsi" w:hAnsiTheme="minorHAnsi"/>
        </w:rPr>
        <w:t xml:space="preserve"> </w:t>
      </w:r>
      <w:r w:rsidR="00396662">
        <w:rPr>
          <w:rFonts w:asciiTheme="minorHAnsi" w:hAnsiTheme="minorHAnsi"/>
        </w:rPr>
        <w:t xml:space="preserve">usually </w:t>
      </w:r>
      <w:r w:rsidR="002E7DF4">
        <w:rPr>
          <w:rFonts w:asciiTheme="minorHAnsi" w:hAnsiTheme="minorHAnsi"/>
        </w:rPr>
        <w:t xml:space="preserve">advert </w:t>
      </w:r>
      <w:r>
        <w:rPr>
          <w:rFonts w:asciiTheme="minorHAnsi" w:hAnsiTheme="minorHAnsi"/>
        </w:rPr>
        <w:t xml:space="preserve">more specifically to </w:t>
      </w:r>
      <w:r w:rsidR="00675CAE">
        <w:rPr>
          <w:rFonts w:asciiTheme="minorHAnsi" w:hAnsiTheme="minorHAnsi"/>
        </w:rPr>
        <w:t xml:space="preserve">the purpose of preventing the offender from committing </w:t>
      </w:r>
      <w:r w:rsidR="00791B9C">
        <w:rPr>
          <w:rFonts w:asciiTheme="minorHAnsi" w:hAnsiTheme="minorHAnsi"/>
        </w:rPr>
        <w:t xml:space="preserve">a further </w:t>
      </w:r>
      <w:r w:rsidR="00675CAE">
        <w:rPr>
          <w:rFonts w:asciiTheme="minorHAnsi" w:hAnsiTheme="minorHAnsi"/>
        </w:rPr>
        <w:t xml:space="preserve">offence, or reducing the risk </w:t>
      </w:r>
      <w:r w:rsidR="001F4ADE">
        <w:rPr>
          <w:rFonts w:asciiTheme="minorHAnsi" w:hAnsiTheme="minorHAnsi"/>
        </w:rPr>
        <w:t xml:space="preserve">that </w:t>
      </w:r>
      <w:r w:rsidR="00675CAE">
        <w:rPr>
          <w:rFonts w:asciiTheme="minorHAnsi" w:hAnsiTheme="minorHAnsi"/>
        </w:rPr>
        <w:t>the offender will do so</w:t>
      </w:r>
      <w:r w:rsidR="00DC50E1">
        <w:rPr>
          <w:rFonts w:asciiTheme="minorHAnsi" w:hAnsiTheme="minorHAnsi"/>
        </w:rPr>
        <w:t xml:space="preserve"> – not indirectly, by </w:t>
      </w:r>
      <w:r w:rsidR="00722686">
        <w:rPr>
          <w:rFonts w:asciiTheme="minorHAnsi" w:hAnsiTheme="minorHAnsi"/>
        </w:rPr>
        <w:t xml:space="preserve">seeking to </w:t>
      </w:r>
      <w:r w:rsidR="00DC50E1">
        <w:rPr>
          <w:rFonts w:asciiTheme="minorHAnsi" w:hAnsiTheme="minorHAnsi"/>
        </w:rPr>
        <w:t xml:space="preserve">deter </w:t>
      </w:r>
      <w:r w:rsidR="00722686">
        <w:rPr>
          <w:rFonts w:asciiTheme="minorHAnsi" w:hAnsiTheme="minorHAnsi"/>
        </w:rPr>
        <w:t xml:space="preserve">or to rehabilitate </w:t>
      </w:r>
      <w:r w:rsidR="00DC50E1">
        <w:rPr>
          <w:rFonts w:asciiTheme="minorHAnsi" w:hAnsiTheme="minorHAnsi"/>
        </w:rPr>
        <w:t>the offender, but directly, by incarceration or other measures to make commission of further offences impossible, or at least more difficult</w:t>
      </w:r>
      <w:r w:rsidR="00675CAE">
        <w:rPr>
          <w:rFonts w:asciiTheme="minorHAnsi" w:hAnsiTheme="minorHAnsi"/>
        </w:rPr>
        <w:t xml:space="preserve">.  </w:t>
      </w:r>
      <w:r w:rsidR="00BF3111">
        <w:rPr>
          <w:rFonts w:asciiTheme="minorHAnsi" w:hAnsiTheme="minorHAnsi"/>
        </w:rPr>
        <w:t>In appropriate cases</w:t>
      </w:r>
      <w:r w:rsidR="00791B9C">
        <w:rPr>
          <w:rFonts w:asciiTheme="minorHAnsi" w:hAnsiTheme="minorHAnsi"/>
        </w:rPr>
        <w:t xml:space="preserve">, the need to protect the community by such direct means </w:t>
      </w:r>
      <w:r w:rsidR="00742EE6">
        <w:rPr>
          <w:rFonts w:asciiTheme="minorHAnsi" w:hAnsiTheme="minorHAnsi"/>
        </w:rPr>
        <w:t xml:space="preserve">(often referred to as incapacitation) </w:t>
      </w:r>
      <w:r w:rsidR="00791B9C">
        <w:rPr>
          <w:rFonts w:asciiTheme="minorHAnsi" w:hAnsiTheme="minorHAnsi"/>
        </w:rPr>
        <w:t>is a legitimate purpose of sentencing, independent of other purposes such general or specific deterrence, or denunciation</w:t>
      </w:r>
      <w:r w:rsidR="006A1210">
        <w:rPr>
          <w:rFonts w:asciiTheme="minorHAnsi" w:hAnsiTheme="minorHAnsi"/>
        </w:rPr>
        <w:t xml:space="preserve">, </w:t>
      </w:r>
      <w:r w:rsidR="00722686">
        <w:rPr>
          <w:rFonts w:asciiTheme="minorHAnsi" w:hAnsiTheme="minorHAnsi"/>
        </w:rPr>
        <w:t xml:space="preserve">or rehabilitation, </w:t>
      </w:r>
      <w:r w:rsidR="006A1210">
        <w:rPr>
          <w:rFonts w:asciiTheme="minorHAnsi" w:hAnsiTheme="minorHAnsi"/>
        </w:rPr>
        <w:t xml:space="preserve">and </w:t>
      </w:r>
      <w:r w:rsidR="00791B9C">
        <w:rPr>
          <w:rFonts w:asciiTheme="minorHAnsi" w:hAnsiTheme="minorHAnsi"/>
        </w:rPr>
        <w:t>may warrant a more severe sentence</w:t>
      </w:r>
      <w:r w:rsidR="006A1210">
        <w:rPr>
          <w:rFonts w:asciiTheme="minorHAnsi" w:hAnsiTheme="minorHAnsi"/>
        </w:rPr>
        <w:t xml:space="preserve">.  </w:t>
      </w:r>
      <w:r w:rsidR="00E669EB">
        <w:rPr>
          <w:rFonts w:asciiTheme="minorHAnsi" w:hAnsiTheme="minorHAnsi"/>
        </w:rPr>
        <w:t xml:space="preserve">However </w:t>
      </w:r>
      <w:r w:rsidR="00722686">
        <w:rPr>
          <w:rFonts w:asciiTheme="minorHAnsi" w:hAnsiTheme="minorHAnsi"/>
        </w:rPr>
        <w:t xml:space="preserve">(except as provided by statute) </w:t>
      </w:r>
      <w:r w:rsidR="00E669EB">
        <w:rPr>
          <w:rFonts w:asciiTheme="minorHAnsi" w:hAnsiTheme="minorHAnsi"/>
        </w:rPr>
        <w:t>t</w:t>
      </w:r>
      <w:r w:rsidR="006A1210">
        <w:rPr>
          <w:rFonts w:asciiTheme="minorHAnsi" w:hAnsiTheme="minorHAnsi"/>
        </w:rPr>
        <w:t xml:space="preserve">he need to protect the community does not </w:t>
      </w:r>
      <w:r w:rsidR="00722686">
        <w:rPr>
          <w:rFonts w:asciiTheme="minorHAnsi" w:hAnsiTheme="minorHAnsi"/>
        </w:rPr>
        <w:t>permit</w:t>
      </w:r>
      <w:r w:rsidR="006A1210">
        <w:rPr>
          <w:rFonts w:asciiTheme="minorHAnsi" w:hAnsiTheme="minorHAnsi"/>
        </w:rPr>
        <w:t xml:space="preserve"> the imposition of a sentence which is disproportionate to the seriousness of the offending.</w:t>
      </w:r>
      <w:r w:rsidR="006A1210" w:rsidRPr="000055BF">
        <w:rPr>
          <w:rFonts w:asciiTheme="minorHAnsi" w:hAnsiTheme="minorHAnsi"/>
          <w:position w:val="6"/>
          <w:sz w:val="16"/>
        </w:rPr>
        <w:footnoteReference w:id="418"/>
      </w:r>
    </w:p>
    <w:p w14:paraId="73C17987" w14:textId="77777777" w:rsidR="00675CAE" w:rsidRPr="00675CAE" w:rsidRDefault="00675CAE" w:rsidP="00675CAE">
      <w:pPr>
        <w:widowControl w:val="0"/>
        <w:spacing w:line="276" w:lineRule="auto"/>
        <w:ind w:right="170"/>
        <w:rPr>
          <w:rFonts w:asciiTheme="minorHAnsi" w:hAnsiTheme="minorHAnsi"/>
        </w:rPr>
      </w:pPr>
    </w:p>
    <w:p w14:paraId="0A60D890" w14:textId="1F20F848" w:rsidR="0060743E" w:rsidRDefault="00E669EB">
      <w:pPr>
        <w:pStyle w:val="ListParagraph"/>
        <w:numPr>
          <w:ilvl w:val="0"/>
          <w:numId w:val="7"/>
        </w:numPr>
        <w:spacing w:line="276" w:lineRule="auto"/>
        <w:ind w:left="425" w:hanging="425"/>
        <w:contextualSpacing w:val="0"/>
        <w:rPr>
          <w:rFonts w:asciiTheme="minorHAnsi" w:hAnsiTheme="minorHAnsi"/>
        </w:rPr>
      </w:pPr>
      <w:r w:rsidRPr="009B32FD">
        <w:rPr>
          <w:rFonts w:asciiTheme="minorHAnsi" w:hAnsiTheme="minorHAnsi"/>
        </w:rPr>
        <w:t>This well-established common law principle has been applied in the sentencing of federal offenders</w:t>
      </w:r>
      <w:r w:rsidR="006E6515">
        <w:rPr>
          <w:rFonts w:asciiTheme="minorHAnsi" w:hAnsiTheme="minorHAnsi"/>
        </w:rPr>
        <w:t xml:space="preserve">, especially for </w:t>
      </w:r>
      <w:r w:rsidR="009D5B00" w:rsidRPr="009B32FD">
        <w:rPr>
          <w:rFonts w:asciiTheme="minorHAnsi" w:hAnsiTheme="minorHAnsi"/>
        </w:rPr>
        <w:t xml:space="preserve">preparatory </w:t>
      </w:r>
      <w:r w:rsidR="006E6515">
        <w:rPr>
          <w:rFonts w:asciiTheme="minorHAnsi" w:hAnsiTheme="minorHAnsi"/>
        </w:rPr>
        <w:t>terrorism offences</w:t>
      </w:r>
      <w:r w:rsidRPr="009B32FD">
        <w:rPr>
          <w:rFonts w:asciiTheme="minorHAnsi" w:hAnsiTheme="minorHAnsi"/>
        </w:rPr>
        <w:t>.</w:t>
      </w:r>
      <w:r w:rsidR="00205799" w:rsidRPr="00C00000">
        <w:rPr>
          <w:rStyle w:val="Style"/>
          <w:rFonts w:asciiTheme="minorHAnsi" w:hAnsiTheme="minorHAnsi"/>
        </w:rPr>
        <w:footnoteReference w:id="419"/>
      </w:r>
      <w:r w:rsidR="004257F8" w:rsidRPr="009B32FD">
        <w:rPr>
          <w:rFonts w:asciiTheme="minorHAnsi" w:hAnsiTheme="minorHAnsi"/>
        </w:rPr>
        <w:t xml:space="preserve"> </w:t>
      </w:r>
      <w:r w:rsidR="00926219" w:rsidRPr="009B32FD">
        <w:rPr>
          <w:rFonts w:asciiTheme="minorHAnsi" w:hAnsiTheme="minorHAnsi"/>
        </w:rPr>
        <w:t xml:space="preserve"> </w:t>
      </w:r>
      <w:r w:rsidRPr="009B32FD">
        <w:rPr>
          <w:rFonts w:asciiTheme="minorHAnsi" w:hAnsiTheme="minorHAnsi"/>
        </w:rPr>
        <w:t xml:space="preserve">Community protection will be of particular importance in sentencing </w:t>
      </w:r>
      <w:r w:rsidR="009656D6">
        <w:rPr>
          <w:rFonts w:asciiTheme="minorHAnsi" w:hAnsiTheme="minorHAnsi"/>
        </w:rPr>
        <w:t>those who commit</w:t>
      </w:r>
      <w:r w:rsidR="009D5B00">
        <w:rPr>
          <w:rFonts w:asciiTheme="minorHAnsi" w:hAnsiTheme="minorHAnsi"/>
        </w:rPr>
        <w:t xml:space="preserve"> such </w:t>
      </w:r>
      <w:r w:rsidR="009B32FD" w:rsidRPr="009B32FD">
        <w:rPr>
          <w:rFonts w:asciiTheme="minorHAnsi" w:hAnsiTheme="minorHAnsi"/>
        </w:rPr>
        <w:t>offences</w:t>
      </w:r>
      <w:r w:rsidR="009D5B00">
        <w:rPr>
          <w:rFonts w:asciiTheme="minorHAnsi" w:hAnsiTheme="minorHAnsi"/>
        </w:rPr>
        <w:t>.</w:t>
      </w:r>
      <w:r w:rsidR="009B32FD" w:rsidRPr="009B32FD">
        <w:rPr>
          <w:rFonts w:asciiTheme="minorHAnsi" w:hAnsiTheme="minorHAnsi"/>
        </w:rPr>
        <w:t xml:space="preserve"> </w:t>
      </w:r>
      <w:r w:rsidR="009D5B00">
        <w:rPr>
          <w:rFonts w:asciiTheme="minorHAnsi" w:hAnsiTheme="minorHAnsi"/>
        </w:rPr>
        <w:t xml:space="preserve"> </w:t>
      </w:r>
      <w:r w:rsidR="009D5B00" w:rsidRPr="006858E1">
        <w:rPr>
          <w:rFonts w:asciiTheme="minorHAnsi" w:hAnsiTheme="minorHAnsi"/>
        </w:rPr>
        <w:t xml:space="preserve">Such </w:t>
      </w:r>
      <w:r w:rsidR="006858E1">
        <w:rPr>
          <w:rFonts w:asciiTheme="minorHAnsi" w:hAnsiTheme="minorHAnsi"/>
        </w:rPr>
        <w:t>offenders</w:t>
      </w:r>
      <w:r w:rsidR="006858E1" w:rsidRPr="006858E1">
        <w:rPr>
          <w:rFonts w:asciiTheme="minorHAnsi" w:hAnsiTheme="minorHAnsi"/>
        </w:rPr>
        <w:t xml:space="preserve"> pose a very real danger to the community.</w:t>
      </w:r>
      <w:r w:rsidR="006858E1" w:rsidRPr="00B07553">
        <w:rPr>
          <w:rStyle w:val="Style"/>
          <w:rFonts w:asciiTheme="minorHAnsi" w:hAnsiTheme="minorHAnsi"/>
        </w:rPr>
        <w:footnoteReference w:id="420"/>
      </w:r>
      <w:r w:rsidR="006858E1" w:rsidRPr="00B07553">
        <w:rPr>
          <w:rFonts w:asciiTheme="minorHAnsi" w:hAnsiTheme="minorHAnsi"/>
        </w:rPr>
        <w:t xml:space="preserve">  </w:t>
      </w:r>
      <w:r w:rsidR="006858E1" w:rsidRPr="006858E1">
        <w:rPr>
          <w:rFonts w:asciiTheme="minorHAnsi" w:hAnsiTheme="minorHAnsi"/>
        </w:rPr>
        <w:t>T</w:t>
      </w:r>
      <w:r w:rsidR="009B32FD" w:rsidRPr="009B32FD">
        <w:rPr>
          <w:rFonts w:asciiTheme="minorHAnsi" w:hAnsiTheme="minorHAnsi"/>
        </w:rPr>
        <w:t xml:space="preserve">he sentencing court </w:t>
      </w:r>
      <w:r w:rsidR="004257F8" w:rsidRPr="009B32FD">
        <w:rPr>
          <w:rFonts w:asciiTheme="minorHAnsi" w:hAnsiTheme="minorHAnsi"/>
        </w:rPr>
        <w:t>is not simply concerned with future criminal conduct of a recidivist character</w:t>
      </w:r>
      <w:r w:rsidR="009B32FD">
        <w:rPr>
          <w:rFonts w:asciiTheme="minorHAnsi" w:hAnsiTheme="minorHAnsi"/>
        </w:rPr>
        <w:t xml:space="preserve">, but </w:t>
      </w:r>
      <w:r w:rsidR="004257F8" w:rsidRPr="009B32FD">
        <w:rPr>
          <w:rFonts w:asciiTheme="minorHAnsi" w:hAnsiTheme="minorHAnsi"/>
        </w:rPr>
        <w:t>with the possibility of perfection of the very crime for the preparation of which the offender has been found guilty.</w:t>
      </w:r>
      <w:r w:rsidR="009B32FD" w:rsidRPr="00C00000">
        <w:rPr>
          <w:rStyle w:val="Style"/>
          <w:rFonts w:asciiTheme="minorHAnsi" w:hAnsiTheme="minorHAnsi"/>
        </w:rPr>
        <w:footnoteReference w:id="421"/>
      </w:r>
      <w:r w:rsidR="009B32FD" w:rsidRPr="009B32FD">
        <w:rPr>
          <w:rFonts w:asciiTheme="minorHAnsi" w:hAnsiTheme="minorHAnsi"/>
        </w:rPr>
        <w:t xml:space="preserve"> </w:t>
      </w:r>
      <w:r w:rsidR="006E6515">
        <w:rPr>
          <w:rFonts w:asciiTheme="minorHAnsi" w:hAnsiTheme="minorHAnsi"/>
        </w:rPr>
        <w:t xml:space="preserve"> In such cases </w:t>
      </w:r>
      <w:r w:rsidR="004257F8" w:rsidRPr="009B32FD">
        <w:rPr>
          <w:rFonts w:asciiTheme="minorHAnsi" w:hAnsiTheme="minorHAnsi"/>
        </w:rPr>
        <w:t xml:space="preserve">the element of protection of society </w:t>
      </w:r>
      <w:r w:rsidR="006E6515">
        <w:rPr>
          <w:rFonts w:asciiTheme="minorHAnsi" w:hAnsiTheme="minorHAnsi"/>
        </w:rPr>
        <w:t xml:space="preserve">must be given </w:t>
      </w:r>
      <w:r w:rsidR="004257F8" w:rsidRPr="009B32FD">
        <w:rPr>
          <w:rFonts w:asciiTheme="minorHAnsi" w:hAnsiTheme="minorHAnsi"/>
        </w:rPr>
        <w:t>substantial weight.</w:t>
      </w:r>
      <w:r w:rsidR="006E6515" w:rsidRPr="00C00000">
        <w:rPr>
          <w:rStyle w:val="Style"/>
          <w:rFonts w:asciiTheme="minorHAnsi" w:hAnsiTheme="minorHAnsi"/>
        </w:rPr>
        <w:footnoteReference w:id="422"/>
      </w:r>
    </w:p>
    <w:p w14:paraId="3B171C68" w14:textId="77777777" w:rsidR="000C7842" w:rsidRPr="00EB7F1E" w:rsidRDefault="000C7842" w:rsidP="00EB7F1E">
      <w:pPr>
        <w:pStyle w:val="ListParagraph"/>
        <w:rPr>
          <w:rFonts w:asciiTheme="minorHAnsi" w:hAnsiTheme="minorHAnsi"/>
        </w:rPr>
      </w:pPr>
    </w:p>
    <w:p w14:paraId="4EE197F4" w14:textId="57DA8DBD" w:rsidR="000C7842" w:rsidRDefault="000C784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However the relevance of the principle of incapacitation or community protection is not confined to a particular class of offence.  The protection of the community</w:t>
      </w:r>
      <w:r w:rsidRPr="000C7842">
        <w:rPr>
          <w:rFonts w:asciiTheme="minorHAnsi" w:hAnsiTheme="minorHAnsi"/>
        </w:rPr>
        <w:t xml:space="preserve"> </w:t>
      </w:r>
      <w:r>
        <w:rPr>
          <w:rFonts w:asciiTheme="minorHAnsi" w:hAnsiTheme="minorHAnsi"/>
        </w:rPr>
        <w:t>may be an important consideration in sentencing an offender whenever the nature and circumstances of the offending and of the offender are such as to suggest that the offender presents a danger to the community.</w:t>
      </w:r>
    </w:p>
    <w:p w14:paraId="45199464" w14:textId="77777777" w:rsidR="00837898" w:rsidRPr="00837898" w:rsidRDefault="00837898" w:rsidP="00837898">
      <w:pPr>
        <w:pStyle w:val="ListParagraph"/>
        <w:rPr>
          <w:rFonts w:asciiTheme="minorHAnsi" w:hAnsiTheme="minorHAnsi"/>
        </w:rPr>
      </w:pPr>
    </w:p>
    <w:p w14:paraId="68FEBED4" w14:textId="5850E315" w:rsidR="001E337B" w:rsidRPr="00EC2A6E" w:rsidRDefault="00C82547" w:rsidP="00C14A45">
      <w:pPr>
        <w:pStyle w:val="Heading3"/>
      </w:pPr>
      <w:bookmarkStart w:id="1469" w:name="_Toc11692717"/>
      <w:bookmarkStart w:id="1470" w:name="_Toc11773223"/>
      <w:bookmarkStart w:id="1471" w:name="_Toc11827025"/>
      <w:bookmarkStart w:id="1472" w:name="_Toc11833733"/>
      <w:bookmarkStart w:id="1473" w:name="_Toc11848128"/>
      <w:bookmarkStart w:id="1474" w:name="_Toc11851785"/>
      <w:bookmarkStart w:id="1475" w:name="_Toc12608618"/>
      <w:bookmarkStart w:id="1476" w:name="_Toc12706573"/>
      <w:bookmarkStart w:id="1477" w:name="_Toc12860509"/>
      <w:bookmarkStart w:id="1478" w:name="_Toc12862078"/>
      <w:bookmarkStart w:id="1479" w:name="_Toc12864124"/>
      <w:bookmarkStart w:id="1480" w:name="_Toc13551673"/>
      <w:bookmarkStart w:id="1481" w:name="_Toc13737450"/>
      <w:bookmarkStart w:id="1482" w:name="_Toc13737865"/>
      <w:bookmarkStart w:id="1483" w:name="_Toc25308423"/>
      <w:bookmarkStart w:id="1484" w:name="_Toc11692718"/>
      <w:bookmarkStart w:id="1485" w:name="_Toc11773224"/>
      <w:bookmarkStart w:id="1486" w:name="_Toc11827026"/>
      <w:bookmarkStart w:id="1487" w:name="_Toc11833734"/>
      <w:bookmarkStart w:id="1488" w:name="_Toc11848129"/>
      <w:bookmarkStart w:id="1489" w:name="_Toc11851786"/>
      <w:bookmarkStart w:id="1490" w:name="_Toc12608619"/>
      <w:bookmarkStart w:id="1491" w:name="_Toc12706574"/>
      <w:bookmarkStart w:id="1492" w:name="_Toc12860510"/>
      <w:bookmarkStart w:id="1493" w:name="_Toc12862079"/>
      <w:bookmarkStart w:id="1494" w:name="_Toc12864125"/>
      <w:bookmarkStart w:id="1495" w:name="_Toc13551674"/>
      <w:bookmarkStart w:id="1496" w:name="_Toc13737451"/>
      <w:bookmarkStart w:id="1497" w:name="_Toc13737866"/>
      <w:bookmarkStart w:id="1498" w:name="_Toc25308424"/>
      <w:bookmarkStart w:id="1499" w:name="_Ref11070449"/>
      <w:bookmarkStart w:id="1500" w:name="_Ref11070451"/>
      <w:bookmarkStart w:id="1501" w:name="_Toc33602802"/>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r w:rsidRPr="00EC2A6E">
        <w:t>Parity</w:t>
      </w:r>
      <w:bookmarkEnd w:id="1499"/>
      <w:bookmarkEnd w:id="1500"/>
      <w:bookmarkEnd w:id="1501"/>
    </w:p>
    <w:p w14:paraId="0FEBB604" w14:textId="77777777" w:rsidR="001E337B" w:rsidRPr="00EC2A6E" w:rsidRDefault="001E337B" w:rsidP="00C14A45">
      <w:pPr>
        <w:pStyle w:val="NormalIndent"/>
        <w:keepNext/>
        <w:rPr>
          <w:rFonts w:ascii="Calibri" w:hAnsi="Calibri"/>
        </w:rPr>
      </w:pPr>
    </w:p>
    <w:p w14:paraId="59063B3D" w14:textId="2AEC185F" w:rsidR="00F81716" w:rsidRPr="00EC2A6E" w:rsidRDefault="004C1DAE"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It is well-established that t</w:t>
      </w:r>
      <w:r w:rsidR="00B6247B" w:rsidRPr="00EC2A6E">
        <w:rPr>
          <w:rFonts w:asciiTheme="minorHAnsi" w:hAnsiTheme="minorHAnsi"/>
        </w:rPr>
        <w:t xml:space="preserve">he </w:t>
      </w:r>
      <w:r w:rsidR="003F2F6D" w:rsidRPr="00EC2A6E">
        <w:rPr>
          <w:rFonts w:asciiTheme="minorHAnsi" w:hAnsiTheme="minorHAnsi"/>
        </w:rPr>
        <w:t xml:space="preserve">common law requirements </w:t>
      </w:r>
      <w:r w:rsidR="00B6247B" w:rsidRPr="00EC2A6E">
        <w:rPr>
          <w:rFonts w:asciiTheme="minorHAnsi" w:hAnsiTheme="minorHAnsi"/>
        </w:rPr>
        <w:t>for</w:t>
      </w:r>
      <w:r w:rsidR="003F2F6D" w:rsidRPr="00EC2A6E">
        <w:rPr>
          <w:rFonts w:asciiTheme="minorHAnsi" w:hAnsiTheme="minorHAnsi"/>
        </w:rPr>
        <w:t xml:space="preserve"> a sentencing court to avoid unjustified disparity in the sentences imposed on co-offenders</w:t>
      </w:r>
      <w:r w:rsidR="003F2F6D" w:rsidRPr="00EC2A6E">
        <w:rPr>
          <w:rStyle w:val="Style"/>
          <w:rFonts w:asciiTheme="minorHAnsi" w:hAnsiTheme="minorHAnsi"/>
        </w:rPr>
        <w:footnoteReference w:id="423"/>
      </w:r>
      <w:r w:rsidR="003F2F6D" w:rsidRPr="00EC2A6E">
        <w:rPr>
          <w:rFonts w:asciiTheme="minorHAnsi" w:hAnsiTheme="minorHAnsi"/>
        </w:rPr>
        <w:t xml:space="preserve"> apply to the sentencing of federal offenders.</w:t>
      </w:r>
      <w:r w:rsidRPr="00EC2A6E">
        <w:rPr>
          <w:rStyle w:val="Style"/>
          <w:rFonts w:asciiTheme="minorHAnsi" w:hAnsiTheme="minorHAnsi"/>
        </w:rPr>
        <w:footnoteReference w:id="424"/>
      </w:r>
    </w:p>
    <w:p w14:paraId="3E6FB879" w14:textId="77777777" w:rsidR="00F81716" w:rsidRPr="00EC2A6E" w:rsidRDefault="00F81716" w:rsidP="00EB7F1E">
      <w:pPr>
        <w:pStyle w:val="ListParagraph"/>
        <w:rPr>
          <w:rFonts w:asciiTheme="minorHAnsi" w:hAnsiTheme="minorHAnsi"/>
        </w:rPr>
      </w:pPr>
    </w:p>
    <w:p w14:paraId="6E685CCF" w14:textId="00129551" w:rsidR="003F2F6D" w:rsidRPr="00EC2A6E" w:rsidRDefault="00F81716"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Whether there is unjustified disparity is to be assessed </w:t>
      </w:r>
      <w:r w:rsidR="007D2CA0" w:rsidRPr="00EC2A6E">
        <w:rPr>
          <w:rFonts w:asciiTheme="minorHAnsi" w:hAnsiTheme="minorHAnsi"/>
        </w:rPr>
        <w:t xml:space="preserve">by an </w:t>
      </w:r>
      <w:r w:rsidRPr="00EC2A6E">
        <w:rPr>
          <w:rFonts w:asciiTheme="minorHAnsi" w:hAnsiTheme="minorHAnsi"/>
        </w:rPr>
        <w:t xml:space="preserve">objective comparison </w:t>
      </w:r>
      <w:r w:rsidR="007D2CA0" w:rsidRPr="00EC2A6E">
        <w:rPr>
          <w:rFonts w:asciiTheme="minorHAnsi" w:hAnsiTheme="minorHAnsi"/>
        </w:rPr>
        <w:t>with the co-offender</w:t>
      </w:r>
      <w:r w:rsidR="00AA693C" w:rsidRPr="00EC2A6E">
        <w:rPr>
          <w:rFonts w:asciiTheme="minorHAnsi" w:hAnsiTheme="minorHAnsi"/>
        </w:rPr>
        <w:t>’</w:t>
      </w:r>
      <w:r w:rsidR="007D2CA0" w:rsidRPr="00EC2A6E">
        <w:rPr>
          <w:rFonts w:asciiTheme="minorHAnsi" w:hAnsiTheme="minorHAnsi"/>
        </w:rPr>
        <w:t>s case</w:t>
      </w:r>
      <w:r w:rsidRPr="00EC2A6E">
        <w:rPr>
          <w:rFonts w:asciiTheme="minorHAnsi" w:hAnsiTheme="minorHAnsi"/>
        </w:rPr>
        <w:t>.  Matters which must be considered include factors personal to the offender (such as age, background, criminal history and general character) and the part each has played in the relevant criminal conduct or enterprise.</w:t>
      </w:r>
      <w:r w:rsidR="00C228EB" w:rsidRPr="00EC2A6E">
        <w:rPr>
          <w:rStyle w:val="Style"/>
          <w:rFonts w:asciiTheme="minorHAnsi" w:hAnsiTheme="minorHAnsi"/>
        </w:rPr>
        <w:footnoteReference w:id="425"/>
      </w:r>
    </w:p>
    <w:p w14:paraId="31B28C7B" w14:textId="77777777" w:rsidR="000336FB" w:rsidRPr="00EC2A6E" w:rsidRDefault="000336FB" w:rsidP="000336FB">
      <w:pPr>
        <w:widowControl w:val="0"/>
        <w:spacing w:line="276" w:lineRule="auto"/>
        <w:ind w:right="170"/>
        <w:rPr>
          <w:rFonts w:asciiTheme="minorHAnsi" w:hAnsiTheme="minorHAnsi"/>
        </w:rPr>
      </w:pPr>
    </w:p>
    <w:p w14:paraId="650B526E" w14:textId="4A1048B9" w:rsidR="00774C23" w:rsidRPr="00EC2A6E" w:rsidRDefault="00C228EB"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The foundation of the parity principle in the norm of equality before the law requires that its application be governed by consideration of substance rather than form</w:t>
      </w:r>
      <w:r w:rsidR="002D7A62" w:rsidRPr="00EC2A6E">
        <w:rPr>
          <w:rFonts w:asciiTheme="minorHAnsi" w:hAnsiTheme="minorHAnsi"/>
        </w:rPr>
        <w:t>; therefore t</w:t>
      </w:r>
      <w:r w:rsidRPr="00EC2A6E">
        <w:rPr>
          <w:rFonts w:asciiTheme="minorHAnsi" w:hAnsiTheme="minorHAnsi"/>
        </w:rPr>
        <w:t xml:space="preserve">he </w:t>
      </w:r>
      <w:r w:rsidR="002D7A62" w:rsidRPr="00EC2A6E">
        <w:rPr>
          <w:rFonts w:asciiTheme="minorHAnsi" w:hAnsiTheme="minorHAnsi"/>
        </w:rPr>
        <w:t xml:space="preserve">comparison is not confined to </w:t>
      </w:r>
      <w:r w:rsidRPr="00EC2A6E">
        <w:rPr>
          <w:rFonts w:asciiTheme="minorHAnsi" w:hAnsiTheme="minorHAnsi"/>
        </w:rPr>
        <w:t xml:space="preserve">offenders </w:t>
      </w:r>
      <w:r w:rsidR="002D7A62" w:rsidRPr="00EC2A6E">
        <w:rPr>
          <w:rFonts w:asciiTheme="minorHAnsi" w:hAnsiTheme="minorHAnsi"/>
        </w:rPr>
        <w:t>charged with the same offence.</w:t>
      </w:r>
      <w:r w:rsidR="00F70D34" w:rsidRPr="00EC2A6E">
        <w:rPr>
          <w:rStyle w:val="Style"/>
          <w:rFonts w:asciiTheme="minorHAnsi" w:hAnsiTheme="minorHAnsi"/>
        </w:rPr>
        <w:footnoteReference w:id="426"/>
      </w:r>
      <w:r w:rsidR="00652FB0" w:rsidRPr="00EC2A6E">
        <w:rPr>
          <w:rFonts w:asciiTheme="minorHAnsi" w:hAnsiTheme="minorHAnsi"/>
        </w:rPr>
        <w:t xml:space="preserve"> </w:t>
      </w:r>
      <w:r w:rsidR="002D7A62" w:rsidRPr="00EC2A6E">
        <w:rPr>
          <w:rFonts w:asciiTheme="minorHAnsi" w:hAnsiTheme="minorHAnsi"/>
        </w:rPr>
        <w:t xml:space="preserve"> This approach </w:t>
      </w:r>
      <w:r w:rsidR="00652FB0" w:rsidRPr="00EC2A6E">
        <w:rPr>
          <w:rFonts w:asciiTheme="minorHAnsi" w:hAnsiTheme="minorHAnsi"/>
        </w:rPr>
        <w:t>also appl</w:t>
      </w:r>
      <w:r w:rsidR="002D7A62" w:rsidRPr="00EC2A6E">
        <w:rPr>
          <w:rFonts w:asciiTheme="minorHAnsi" w:hAnsiTheme="minorHAnsi"/>
        </w:rPr>
        <w:t>ies</w:t>
      </w:r>
      <w:r w:rsidR="00652FB0" w:rsidRPr="00EC2A6E">
        <w:rPr>
          <w:rFonts w:asciiTheme="minorHAnsi" w:hAnsiTheme="minorHAnsi"/>
        </w:rPr>
        <w:t xml:space="preserve"> in the sentencing of federal offenders.</w:t>
      </w:r>
      <w:r w:rsidR="00652FB0" w:rsidRPr="00EC2A6E">
        <w:rPr>
          <w:rStyle w:val="Style"/>
          <w:rFonts w:asciiTheme="minorHAnsi" w:hAnsiTheme="minorHAnsi"/>
        </w:rPr>
        <w:footnoteReference w:id="427"/>
      </w:r>
    </w:p>
    <w:p w14:paraId="260CFE5C" w14:textId="77777777" w:rsidR="00774C23" w:rsidRPr="00EC2A6E" w:rsidRDefault="00774C23" w:rsidP="00EB7F1E">
      <w:pPr>
        <w:pStyle w:val="ListParagraph"/>
        <w:rPr>
          <w:rFonts w:asciiTheme="minorHAnsi" w:hAnsiTheme="minorHAnsi"/>
        </w:rPr>
      </w:pPr>
    </w:p>
    <w:p w14:paraId="0767FC1F" w14:textId="63BF3F52" w:rsidR="00F44DCF" w:rsidRPr="00EC2A6E" w:rsidRDefault="000D48EF"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The </w:t>
      </w:r>
      <w:r w:rsidR="00F01283" w:rsidRPr="00EC2A6E">
        <w:rPr>
          <w:rFonts w:asciiTheme="minorHAnsi" w:hAnsiTheme="minorHAnsi"/>
        </w:rPr>
        <w:t xml:space="preserve">proper limits of the application of principles of parity </w:t>
      </w:r>
      <w:r w:rsidR="00CD58B5" w:rsidRPr="00EC2A6E">
        <w:rPr>
          <w:rFonts w:asciiTheme="minorHAnsi" w:hAnsiTheme="minorHAnsi"/>
        </w:rPr>
        <w:t xml:space="preserve">and equal justice </w:t>
      </w:r>
      <w:r w:rsidR="00F01283" w:rsidRPr="00EC2A6E">
        <w:rPr>
          <w:rFonts w:asciiTheme="minorHAnsi" w:hAnsiTheme="minorHAnsi"/>
        </w:rPr>
        <w:t>to persons who are not co-offenders in the conventional sense is the subject of conflicting authority</w:t>
      </w:r>
      <w:r w:rsidRPr="00EC2A6E">
        <w:rPr>
          <w:rFonts w:asciiTheme="minorHAnsi" w:hAnsiTheme="minorHAnsi"/>
        </w:rPr>
        <w:t>.</w:t>
      </w:r>
      <w:r w:rsidR="00C36FE6" w:rsidRPr="00EC2A6E">
        <w:rPr>
          <w:rFonts w:asciiTheme="minorHAnsi" w:hAnsiTheme="minorHAnsi"/>
        </w:rPr>
        <w:t xml:space="preserve">  In Victoria, parity </w:t>
      </w:r>
      <w:r w:rsidR="00F44DCF" w:rsidRPr="00EC2A6E">
        <w:rPr>
          <w:rFonts w:asciiTheme="minorHAnsi" w:hAnsiTheme="minorHAnsi"/>
        </w:rPr>
        <w:t>(or equal justice) comparisons may be made with</w:t>
      </w:r>
      <w:r w:rsidR="00C36FE6" w:rsidRPr="00EC2A6E">
        <w:rPr>
          <w:rFonts w:asciiTheme="minorHAnsi" w:hAnsiTheme="minorHAnsi"/>
        </w:rPr>
        <w:t xml:space="preserve"> offenders who are </w:t>
      </w:r>
      <w:r w:rsidR="00F44DCF" w:rsidRPr="00EC2A6E">
        <w:rPr>
          <w:rFonts w:asciiTheme="minorHAnsi" w:hAnsiTheme="minorHAnsi"/>
        </w:rPr>
        <w:t>neither co-offenders nor</w:t>
      </w:r>
      <w:r w:rsidR="00C36FE6" w:rsidRPr="00EC2A6E">
        <w:rPr>
          <w:rFonts w:asciiTheme="minorHAnsi" w:hAnsiTheme="minorHAnsi"/>
        </w:rPr>
        <w:t xml:space="preserve"> part</w:t>
      </w:r>
      <w:r w:rsidR="00F44DCF" w:rsidRPr="00EC2A6E">
        <w:rPr>
          <w:rFonts w:asciiTheme="minorHAnsi" w:hAnsiTheme="minorHAnsi"/>
        </w:rPr>
        <w:t>ies to</w:t>
      </w:r>
      <w:r w:rsidR="00C36FE6" w:rsidRPr="00EC2A6E">
        <w:rPr>
          <w:rFonts w:asciiTheme="minorHAnsi" w:hAnsiTheme="minorHAnsi"/>
        </w:rPr>
        <w:t xml:space="preserve"> the same criminal enterprise,</w:t>
      </w:r>
      <w:r w:rsidR="00F44DCF" w:rsidRPr="00EC2A6E">
        <w:rPr>
          <w:rFonts w:asciiTheme="minorHAnsi" w:hAnsiTheme="minorHAnsi"/>
        </w:rPr>
        <w:t xml:space="preserve"> </w:t>
      </w:r>
      <w:r w:rsidR="002D7A62" w:rsidRPr="00EC2A6E">
        <w:rPr>
          <w:rFonts w:asciiTheme="minorHAnsi" w:hAnsiTheme="minorHAnsi"/>
        </w:rPr>
        <w:t xml:space="preserve">if </w:t>
      </w:r>
      <w:r w:rsidR="00F44DCF" w:rsidRPr="00EC2A6E">
        <w:rPr>
          <w:rFonts w:asciiTheme="minorHAnsi" w:hAnsiTheme="minorHAnsi"/>
        </w:rPr>
        <w:t xml:space="preserve">there is some other connection such as </w:t>
      </w:r>
      <w:r w:rsidR="00CF3F35" w:rsidRPr="00EC2A6E">
        <w:rPr>
          <w:rFonts w:asciiTheme="minorHAnsi" w:hAnsiTheme="minorHAnsi"/>
        </w:rPr>
        <w:t>a common</w:t>
      </w:r>
      <w:r w:rsidR="00F44DCF" w:rsidRPr="00EC2A6E">
        <w:rPr>
          <w:rFonts w:asciiTheme="minorHAnsi" w:hAnsiTheme="minorHAnsi"/>
        </w:rPr>
        <w:t xml:space="preserve"> victim.</w:t>
      </w:r>
      <w:r w:rsidR="00F01283" w:rsidRPr="00EC2A6E">
        <w:rPr>
          <w:rStyle w:val="Style"/>
          <w:rFonts w:asciiTheme="minorHAnsi" w:hAnsiTheme="minorHAnsi"/>
        </w:rPr>
        <w:footnoteReference w:id="428"/>
      </w:r>
      <w:r w:rsidRPr="00EC2A6E">
        <w:rPr>
          <w:rFonts w:asciiTheme="minorHAnsi" w:hAnsiTheme="minorHAnsi"/>
        </w:rPr>
        <w:t xml:space="preserve"> </w:t>
      </w:r>
      <w:r w:rsidR="00F44DCF" w:rsidRPr="00EC2A6E">
        <w:rPr>
          <w:rFonts w:asciiTheme="minorHAnsi" w:hAnsiTheme="minorHAnsi"/>
        </w:rPr>
        <w:t xml:space="preserve"> Courts </w:t>
      </w:r>
      <w:r w:rsidR="00C36FE6" w:rsidRPr="00EC2A6E">
        <w:rPr>
          <w:rFonts w:asciiTheme="minorHAnsi" w:hAnsiTheme="minorHAnsi"/>
        </w:rPr>
        <w:t>in Queensland</w:t>
      </w:r>
      <w:r w:rsidR="00C36FE6" w:rsidRPr="00EC2A6E">
        <w:rPr>
          <w:rStyle w:val="Style"/>
          <w:rFonts w:asciiTheme="minorHAnsi" w:hAnsiTheme="minorHAnsi"/>
        </w:rPr>
        <w:footnoteReference w:id="429"/>
      </w:r>
      <w:r w:rsidR="00C36FE6" w:rsidRPr="00EC2A6E">
        <w:rPr>
          <w:rFonts w:asciiTheme="minorHAnsi" w:hAnsiTheme="minorHAnsi"/>
        </w:rPr>
        <w:t xml:space="preserve"> and New South Wales</w:t>
      </w:r>
      <w:r w:rsidR="00C36FE6" w:rsidRPr="00EC2A6E">
        <w:rPr>
          <w:rStyle w:val="Style"/>
          <w:rFonts w:asciiTheme="minorHAnsi" w:hAnsiTheme="minorHAnsi"/>
        </w:rPr>
        <w:footnoteReference w:id="430"/>
      </w:r>
      <w:r w:rsidR="00C36FE6" w:rsidRPr="00EC2A6E">
        <w:rPr>
          <w:rFonts w:asciiTheme="minorHAnsi" w:hAnsiTheme="minorHAnsi"/>
        </w:rPr>
        <w:t xml:space="preserve"> have refused to</w:t>
      </w:r>
      <w:r w:rsidR="00F44DCF" w:rsidRPr="00EC2A6E">
        <w:rPr>
          <w:rFonts w:asciiTheme="minorHAnsi" w:hAnsiTheme="minorHAnsi"/>
        </w:rPr>
        <w:t xml:space="preserve"> extend parity (or equal justice) comparisons so far.</w:t>
      </w:r>
    </w:p>
    <w:p w14:paraId="342103B6" w14:textId="77777777" w:rsidR="00F44DCF" w:rsidRPr="00EC2A6E" w:rsidRDefault="00F44DCF" w:rsidP="00EB7F1E">
      <w:pPr>
        <w:pStyle w:val="ListParagraph"/>
        <w:rPr>
          <w:rFonts w:asciiTheme="minorHAnsi" w:hAnsiTheme="minorHAnsi"/>
        </w:rPr>
      </w:pPr>
    </w:p>
    <w:p w14:paraId="60B2799D" w14:textId="54F7AD8A" w:rsidR="001E337B" w:rsidRPr="00EC2A6E" w:rsidRDefault="00CF3F35"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T</w:t>
      </w:r>
      <w:r w:rsidR="000D48EF" w:rsidRPr="00EC2A6E">
        <w:rPr>
          <w:rFonts w:asciiTheme="minorHAnsi" w:hAnsiTheme="minorHAnsi"/>
        </w:rPr>
        <w:t>he greater the differences in nature and seriousness between the crimes charged, the more difficult the application of the</w:t>
      </w:r>
      <w:r w:rsidRPr="00EC2A6E">
        <w:rPr>
          <w:rFonts w:asciiTheme="minorHAnsi" w:hAnsiTheme="minorHAnsi"/>
        </w:rPr>
        <w:t xml:space="preserve"> parity </w:t>
      </w:r>
      <w:r w:rsidR="000D48EF" w:rsidRPr="00EC2A6E">
        <w:rPr>
          <w:rFonts w:asciiTheme="minorHAnsi" w:hAnsiTheme="minorHAnsi"/>
        </w:rPr>
        <w:t>principle will become, to the point where the differences are so great that the principle can no longer be applied.</w:t>
      </w:r>
      <w:r w:rsidR="000D48EF" w:rsidRPr="00EC2A6E">
        <w:rPr>
          <w:rStyle w:val="Style"/>
          <w:rFonts w:asciiTheme="minorHAnsi" w:hAnsiTheme="minorHAnsi"/>
        </w:rPr>
        <w:footnoteReference w:id="431"/>
      </w:r>
    </w:p>
    <w:p w14:paraId="13F39157" w14:textId="77777777" w:rsidR="00EB05E7" w:rsidRPr="00EB05E7" w:rsidRDefault="00EB05E7" w:rsidP="00EB05E7">
      <w:pPr>
        <w:pStyle w:val="ListParagraph"/>
        <w:rPr>
          <w:rFonts w:asciiTheme="minorHAnsi" w:hAnsiTheme="minorHAnsi"/>
        </w:rPr>
      </w:pPr>
    </w:p>
    <w:p w14:paraId="1EAED735" w14:textId="2CAA612F" w:rsidR="008A6F34" w:rsidRDefault="008A6F34" w:rsidP="00C14A45">
      <w:pPr>
        <w:pStyle w:val="Heading3"/>
      </w:pPr>
      <w:bookmarkStart w:id="1502" w:name="_Toc33602803"/>
      <w:r w:rsidRPr="00BA2B0B">
        <w:t>Delay</w:t>
      </w:r>
      <w:bookmarkEnd w:id="1502"/>
    </w:p>
    <w:p w14:paraId="2490C304" w14:textId="457AC418" w:rsidR="00946E6C" w:rsidRPr="00946E6C" w:rsidRDefault="00946E6C" w:rsidP="00C14A45">
      <w:pPr>
        <w:keepNext/>
        <w:spacing w:line="276" w:lineRule="auto"/>
        <w:ind w:left="567"/>
        <w:rPr>
          <w:rFonts w:asciiTheme="minorHAnsi" w:hAnsiTheme="minorHAnsi"/>
        </w:rPr>
      </w:pPr>
    </w:p>
    <w:p w14:paraId="5C248107" w14:textId="4054A621" w:rsidR="0031484F" w:rsidRPr="00091DFD" w:rsidRDefault="00091DFD" w:rsidP="00EB7F1E">
      <w:pPr>
        <w:keepNext/>
        <w:spacing w:line="276" w:lineRule="auto"/>
        <w:rPr>
          <w:rFonts w:asciiTheme="minorHAnsi" w:hAnsiTheme="minorHAnsi"/>
          <w:i/>
        </w:rPr>
      </w:pPr>
      <w:r w:rsidRPr="00091DFD">
        <w:rPr>
          <w:rFonts w:asciiTheme="minorHAnsi" w:hAnsiTheme="minorHAnsi"/>
          <w:i/>
        </w:rPr>
        <w:t>Common law principles</w:t>
      </w:r>
    </w:p>
    <w:p w14:paraId="34E2C200" w14:textId="1A697657" w:rsidR="00B3110C" w:rsidRDefault="00B57C9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D</w:t>
      </w:r>
      <w:r w:rsidRPr="004808BD">
        <w:rPr>
          <w:rFonts w:asciiTheme="minorHAnsi" w:hAnsiTheme="minorHAnsi"/>
        </w:rPr>
        <w:t xml:space="preserve">elay </w:t>
      </w:r>
      <w:r w:rsidR="005734DB">
        <w:rPr>
          <w:rFonts w:asciiTheme="minorHAnsi" w:hAnsiTheme="minorHAnsi"/>
        </w:rPr>
        <w:t xml:space="preserve">between the detection of </w:t>
      </w:r>
      <w:r w:rsidR="005A6CC6">
        <w:rPr>
          <w:rFonts w:asciiTheme="minorHAnsi" w:hAnsiTheme="minorHAnsi"/>
        </w:rPr>
        <w:t xml:space="preserve">the </w:t>
      </w:r>
      <w:r w:rsidR="005734DB">
        <w:rPr>
          <w:rFonts w:asciiTheme="minorHAnsi" w:hAnsiTheme="minorHAnsi"/>
        </w:rPr>
        <w:t xml:space="preserve">offending and the </w:t>
      </w:r>
      <w:r w:rsidR="005A6CC6">
        <w:rPr>
          <w:rFonts w:asciiTheme="minorHAnsi" w:hAnsiTheme="minorHAnsi"/>
        </w:rPr>
        <w:t xml:space="preserve">bringing of charges, or </w:t>
      </w:r>
      <w:r w:rsidR="005734DB">
        <w:rPr>
          <w:rFonts w:asciiTheme="minorHAnsi" w:hAnsiTheme="minorHAnsi"/>
        </w:rPr>
        <w:t xml:space="preserve">in </w:t>
      </w:r>
      <w:r w:rsidR="005A6CC6">
        <w:rPr>
          <w:rFonts w:asciiTheme="minorHAnsi" w:hAnsiTheme="minorHAnsi"/>
        </w:rPr>
        <w:t xml:space="preserve">the hearing and determination of charges, or in sentencing, </w:t>
      </w:r>
      <w:r w:rsidR="006E038B">
        <w:rPr>
          <w:rFonts w:asciiTheme="minorHAnsi" w:hAnsiTheme="minorHAnsi"/>
        </w:rPr>
        <w:t>is not, of itself, a mitigating factor.</w:t>
      </w:r>
      <w:r w:rsidR="006E038B" w:rsidRPr="00C00000">
        <w:rPr>
          <w:rStyle w:val="Style"/>
          <w:rFonts w:asciiTheme="minorHAnsi" w:hAnsiTheme="minorHAnsi"/>
        </w:rPr>
        <w:footnoteReference w:id="432"/>
      </w:r>
      <w:r w:rsidR="006E038B">
        <w:rPr>
          <w:rFonts w:asciiTheme="minorHAnsi" w:hAnsiTheme="minorHAnsi"/>
        </w:rPr>
        <w:t xml:space="preserve">  However delay </w:t>
      </w:r>
      <w:r w:rsidR="00341845">
        <w:rPr>
          <w:rFonts w:asciiTheme="minorHAnsi" w:hAnsiTheme="minorHAnsi"/>
        </w:rPr>
        <w:t xml:space="preserve">(that is, </w:t>
      </w:r>
      <w:r w:rsidR="00722686">
        <w:rPr>
          <w:rFonts w:asciiTheme="minorHAnsi" w:hAnsiTheme="minorHAnsi"/>
        </w:rPr>
        <w:t xml:space="preserve">delay which is </w:t>
      </w:r>
      <w:r w:rsidR="00341845">
        <w:rPr>
          <w:rFonts w:asciiTheme="minorHAnsi" w:hAnsiTheme="minorHAnsi"/>
        </w:rPr>
        <w:t>undue</w:t>
      </w:r>
      <w:r w:rsidR="00212AEA">
        <w:rPr>
          <w:rFonts w:asciiTheme="minorHAnsi" w:hAnsiTheme="minorHAnsi"/>
        </w:rPr>
        <w:t>, unwarranted</w:t>
      </w:r>
      <w:r w:rsidR="00341845">
        <w:rPr>
          <w:rFonts w:asciiTheme="minorHAnsi" w:hAnsiTheme="minorHAnsi"/>
        </w:rPr>
        <w:t xml:space="preserve"> or inordinate</w:t>
      </w:r>
      <w:r w:rsidR="00722686">
        <w:rPr>
          <w:rFonts w:asciiTheme="minorHAnsi" w:hAnsiTheme="minorHAnsi"/>
        </w:rPr>
        <w:t xml:space="preserve"> in the particular circumstances</w:t>
      </w:r>
      <w:r w:rsidR="00212AEA" w:rsidRPr="00C00000">
        <w:rPr>
          <w:rStyle w:val="Style"/>
          <w:rFonts w:asciiTheme="minorHAnsi" w:hAnsiTheme="minorHAnsi"/>
        </w:rPr>
        <w:footnoteReference w:id="433"/>
      </w:r>
      <w:r w:rsidR="00341845">
        <w:rPr>
          <w:rFonts w:asciiTheme="minorHAnsi" w:hAnsiTheme="minorHAnsi"/>
        </w:rPr>
        <w:t xml:space="preserve">) </w:t>
      </w:r>
      <w:r w:rsidR="005A6CC6" w:rsidRPr="004808BD">
        <w:rPr>
          <w:rFonts w:asciiTheme="minorHAnsi" w:hAnsiTheme="minorHAnsi"/>
        </w:rPr>
        <w:t>may be relevant to sentence in two principal ways.</w:t>
      </w:r>
    </w:p>
    <w:p w14:paraId="13F01D3B" w14:textId="77777777" w:rsidR="00B3110C" w:rsidRPr="00B3110C" w:rsidRDefault="00B3110C" w:rsidP="00B3110C">
      <w:pPr>
        <w:spacing w:line="276" w:lineRule="auto"/>
        <w:ind w:right="170"/>
        <w:rPr>
          <w:rFonts w:asciiTheme="minorHAnsi" w:hAnsiTheme="minorHAnsi"/>
        </w:rPr>
      </w:pPr>
    </w:p>
    <w:p w14:paraId="4E543852" w14:textId="17742148" w:rsidR="00B3110C" w:rsidRDefault="005A6CC6" w:rsidP="00EB7F1E">
      <w:pPr>
        <w:pStyle w:val="ListParagraph"/>
        <w:numPr>
          <w:ilvl w:val="0"/>
          <w:numId w:val="7"/>
        </w:numPr>
        <w:spacing w:line="276" w:lineRule="auto"/>
        <w:ind w:left="425" w:hanging="425"/>
        <w:contextualSpacing w:val="0"/>
        <w:rPr>
          <w:rFonts w:asciiTheme="minorHAnsi" w:hAnsiTheme="minorHAnsi"/>
        </w:rPr>
      </w:pPr>
      <w:r w:rsidRPr="004808BD">
        <w:rPr>
          <w:rFonts w:asciiTheme="minorHAnsi" w:hAnsiTheme="minorHAnsi"/>
        </w:rPr>
        <w:t xml:space="preserve">First, </w:t>
      </w:r>
      <w:r w:rsidR="00892CCF">
        <w:rPr>
          <w:rFonts w:asciiTheme="minorHAnsi" w:hAnsiTheme="minorHAnsi"/>
        </w:rPr>
        <w:t>as a result of the delay, the offender may have made progress towards rehabilitation, and the need for specific deterrence may accordingly be moderated.</w:t>
      </w:r>
      <w:r w:rsidR="00892CCF" w:rsidRPr="00C00000">
        <w:rPr>
          <w:rStyle w:val="Style"/>
          <w:rFonts w:asciiTheme="minorHAnsi" w:hAnsiTheme="minorHAnsi"/>
        </w:rPr>
        <w:footnoteReference w:id="434"/>
      </w:r>
      <w:r w:rsidR="00892CCF">
        <w:rPr>
          <w:rFonts w:asciiTheme="minorHAnsi" w:hAnsiTheme="minorHAnsi"/>
        </w:rPr>
        <w:t xml:space="preserve">  </w:t>
      </w:r>
      <w:r w:rsidR="00892CCF" w:rsidRPr="004808BD">
        <w:rPr>
          <w:rFonts w:asciiTheme="minorHAnsi" w:hAnsiTheme="minorHAnsi"/>
        </w:rPr>
        <w:t xml:space="preserve">Where </w:t>
      </w:r>
      <w:r w:rsidRPr="004808BD">
        <w:rPr>
          <w:rFonts w:asciiTheme="minorHAnsi" w:hAnsiTheme="minorHAnsi"/>
        </w:rPr>
        <w:t xml:space="preserve">there has been a relatively lengthy process of rehabilitation, insofar as circumstances permit, that process should not be </w:t>
      </w:r>
      <w:r w:rsidR="00F47D0C">
        <w:rPr>
          <w:rFonts w:asciiTheme="minorHAnsi" w:hAnsiTheme="minorHAnsi"/>
        </w:rPr>
        <w:t>jeopard</w:t>
      </w:r>
      <w:r w:rsidR="00B86888">
        <w:rPr>
          <w:rFonts w:asciiTheme="minorHAnsi" w:hAnsiTheme="minorHAnsi"/>
        </w:rPr>
        <w:t>ised</w:t>
      </w:r>
      <w:r w:rsidRPr="004808BD">
        <w:rPr>
          <w:rFonts w:asciiTheme="minorHAnsi" w:hAnsiTheme="minorHAnsi"/>
        </w:rPr>
        <w:t>.</w:t>
      </w:r>
      <w:r w:rsidR="00B3110C" w:rsidRPr="00C00000">
        <w:rPr>
          <w:rStyle w:val="Style"/>
          <w:rFonts w:asciiTheme="minorHAnsi" w:hAnsiTheme="minorHAnsi"/>
        </w:rPr>
        <w:footnoteReference w:id="435"/>
      </w:r>
      <w:r w:rsidR="00892CCF">
        <w:rPr>
          <w:rFonts w:asciiTheme="minorHAnsi" w:hAnsiTheme="minorHAnsi"/>
        </w:rPr>
        <w:t xml:space="preserve">  </w:t>
      </w:r>
      <w:r w:rsidR="00F87BD4">
        <w:rPr>
          <w:rFonts w:asciiTheme="minorHAnsi" w:hAnsiTheme="minorHAnsi"/>
        </w:rPr>
        <w:t xml:space="preserve">If, on the other hand, the offender has engaged in further offending </w:t>
      </w:r>
      <w:r w:rsidR="00B64BE2">
        <w:rPr>
          <w:rFonts w:asciiTheme="minorHAnsi" w:hAnsiTheme="minorHAnsi"/>
        </w:rPr>
        <w:t xml:space="preserve">since the detection of the initial offending, </w:t>
      </w:r>
      <w:r w:rsidR="00337A7D" w:rsidRPr="00337A7D">
        <w:rPr>
          <w:rFonts w:asciiTheme="minorHAnsi" w:hAnsiTheme="minorHAnsi"/>
        </w:rPr>
        <w:t xml:space="preserve">such mitigatory effect as the lapse of time </w:t>
      </w:r>
      <w:r w:rsidR="003A2415">
        <w:rPr>
          <w:rFonts w:asciiTheme="minorHAnsi" w:hAnsiTheme="minorHAnsi"/>
        </w:rPr>
        <w:t xml:space="preserve">between detection and sentencing </w:t>
      </w:r>
      <w:r w:rsidR="00337A7D" w:rsidRPr="00337A7D">
        <w:rPr>
          <w:rFonts w:asciiTheme="minorHAnsi" w:hAnsiTheme="minorHAnsi"/>
        </w:rPr>
        <w:t xml:space="preserve">might have produced </w:t>
      </w:r>
      <w:r w:rsidR="00337A7D">
        <w:rPr>
          <w:rFonts w:asciiTheme="minorHAnsi" w:hAnsiTheme="minorHAnsi"/>
        </w:rPr>
        <w:t>may</w:t>
      </w:r>
      <w:r w:rsidR="00337A7D" w:rsidRPr="00337A7D">
        <w:rPr>
          <w:rFonts w:asciiTheme="minorHAnsi" w:hAnsiTheme="minorHAnsi"/>
        </w:rPr>
        <w:t xml:space="preserve"> </w:t>
      </w:r>
      <w:r w:rsidR="00337A7D">
        <w:rPr>
          <w:rFonts w:asciiTheme="minorHAnsi" w:hAnsiTheme="minorHAnsi"/>
        </w:rPr>
        <w:t xml:space="preserve">be </w:t>
      </w:r>
      <w:r w:rsidR="00337A7D" w:rsidRPr="00337A7D">
        <w:rPr>
          <w:rFonts w:asciiTheme="minorHAnsi" w:hAnsiTheme="minorHAnsi"/>
        </w:rPr>
        <w:t>diminished, if not extinguished</w:t>
      </w:r>
      <w:r w:rsidR="00B64BE2">
        <w:rPr>
          <w:rFonts w:asciiTheme="minorHAnsi" w:hAnsiTheme="minorHAnsi"/>
        </w:rPr>
        <w:t>.</w:t>
      </w:r>
      <w:r w:rsidR="00B64BE2" w:rsidRPr="00C00000">
        <w:rPr>
          <w:rStyle w:val="Style"/>
          <w:rFonts w:asciiTheme="minorHAnsi" w:hAnsiTheme="minorHAnsi"/>
        </w:rPr>
        <w:footnoteReference w:id="436"/>
      </w:r>
      <w:r w:rsidR="00337A7D" w:rsidRPr="00337A7D">
        <w:rPr>
          <w:rStyle w:val="Heading1Char"/>
        </w:rPr>
        <w:t xml:space="preserve"> </w:t>
      </w:r>
    </w:p>
    <w:p w14:paraId="6EFC9BDE" w14:textId="77777777" w:rsidR="00B3110C" w:rsidRPr="00B3110C" w:rsidRDefault="00B3110C" w:rsidP="00B3110C">
      <w:pPr>
        <w:pStyle w:val="ListParagraph"/>
        <w:rPr>
          <w:rFonts w:asciiTheme="minorHAnsi" w:hAnsiTheme="minorHAnsi"/>
        </w:rPr>
      </w:pPr>
    </w:p>
    <w:p w14:paraId="1D592C19" w14:textId="001981A3" w:rsidR="00EB7BF2" w:rsidRDefault="005A6CC6" w:rsidP="00EB7F1E">
      <w:pPr>
        <w:pStyle w:val="ListParagraph"/>
        <w:numPr>
          <w:ilvl w:val="0"/>
          <w:numId w:val="7"/>
        </w:numPr>
        <w:spacing w:line="276" w:lineRule="auto"/>
        <w:ind w:left="425" w:hanging="425"/>
        <w:contextualSpacing w:val="0"/>
        <w:rPr>
          <w:rFonts w:asciiTheme="minorHAnsi" w:hAnsiTheme="minorHAnsi"/>
        </w:rPr>
      </w:pPr>
      <w:r w:rsidRPr="004808BD">
        <w:rPr>
          <w:rFonts w:asciiTheme="minorHAnsi" w:hAnsiTheme="minorHAnsi"/>
        </w:rPr>
        <w:t>Second, fairness dictates that the fact that an offender has been kept in suspense as to his or her fate should be taken into account in mitigation.</w:t>
      </w:r>
      <w:r w:rsidR="00B3110C" w:rsidRPr="00C00000">
        <w:rPr>
          <w:rStyle w:val="Style"/>
          <w:rFonts w:asciiTheme="minorHAnsi" w:hAnsiTheme="minorHAnsi"/>
        </w:rPr>
        <w:footnoteReference w:id="437"/>
      </w:r>
      <w:r w:rsidR="003E77AE">
        <w:rPr>
          <w:rFonts w:asciiTheme="minorHAnsi" w:hAnsiTheme="minorHAnsi"/>
        </w:rPr>
        <w:t xml:space="preserve">  Further, if </w:t>
      </w:r>
      <w:r w:rsidR="003E77AE" w:rsidRPr="003E77AE">
        <w:rPr>
          <w:rFonts w:asciiTheme="minorHAnsi" w:hAnsiTheme="minorHAnsi"/>
        </w:rPr>
        <w:t xml:space="preserve">during the period of delay the offender has adopted a reasonable expectation that he or she would not be charged, or </w:t>
      </w:r>
      <w:r w:rsidR="003E77AE">
        <w:rPr>
          <w:rFonts w:asciiTheme="minorHAnsi" w:hAnsiTheme="minorHAnsi"/>
        </w:rPr>
        <w:t xml:space="preserve">that </w:t>
      </w:r>
      <w:r w:rsidR="003E77AE" w:rsidRPr="003E77AE">
        <w:rPr>
          <w:rFonts w:asciiTheme="minorHAnsi" w:hAnsiTheme="minorHAnsi"/>
        </w:rPr>
        <w:t>a pending prosecution would not proceed, and the offender has ordered his or her affairs on the faith of that expectation</w:t>
      </w:r>
      <w:r w:rsidR="003E77AE">
        <w:rPr>
          <w:rFonts w:asciiTheme="minorHAnsi" w:hAnsiTheme="minorHAnsi"/>
        </w:rPr>
        <w:t>, fairness may require mitigation of the sentence.</w:t>
      </w:r>
      <w:r w:rsidR="003A2011" w:rsidRPr="00C00000">
        <w:rPr>
          <w:rStyle w:val="Style"/>
          <w:rFonts w:asciiTheme="minorHAnsi" w:hAnsiTheme="minorHAnsi"/>
        </w:rPr>
        <w:footnoteReference w:id="438"/>
      </w:r>
      <w:r w:rsidR="00040BD5">
        <w:rPr>
          <w:rFonts w:asciiTheme="minorHAnsi" w:hAnsiTheme="minorHAnsi"/>
        </w:rPr>
        <w:t xml:space="preserve">  Underlying this approach is the notion that the consequences of the delay </w:t>
      </w:r>
      <w:r w:rsidR="00C42E8A">
        <w:rPr>
          <w:rFonts w:asciiTheme="minorHAnsi" w:hAnsiTheme="minorHAnsi"/>
        </w:rPr>
        <w:t xml:space="preserve">(particularly stress or anxiety) </w:t>
      </w:r>
      <w:r w:rsidR="00040BD5">
        <w:rPr>
          <w:rFonts w:asciiTheme="minorHAnsi" w:hAnsiTheme="minorHAnsi"/>
        </w:rPr>
        <w:t>may, in effect, constitute additional punishment of the offender.</w:t>
      </w:r>
      <w:r w:rsidR="00040BD5" w:rsidRPr="00C00000">
        <w:rPr>
          <w:rStyle w:val="Style"/>
          <w:rFonts w:asciiTheme="minorHAnsi" w:hAnsiTheme="minorHAnsi"/>
        </w:rPr>
        <w:footnoteReference w:id="439"/>
      </w:r>
    </w:p>
    <w:p w14:paraId="0154494E" w14:textId="77777777" w:rsidR="00EB7BF2" w:rsidRPr="00EB7BF2" w:rsidRDefault="00EB7BF2" w:rsidP="00EB7BF2">
      <w:pPr>
        <w:pStyle w:val="ListParagraph"/>
        <w:rPr>
          <w:rFonts w:asciiTheme="minorHAnsi" w:hAnsiTheme="minorHAnsi"/>
        </w:rPr>
      </w:pPr>
    </w:p>
    <w:p w14:paraId="5038B50B" w14:textId="4CD9C95F" w:rsidR="00276969" w:rsidRDefault="005E500B" w:rsidP="00EB7F1E">
      <w:pPr>
        <w:pStyle w:val="ListParagraph"/>
        <w:numPr>
          <w:ilvl w:val="0"/>
          <w:numId w:val="7"/>
        </w:numPr>
        <w:spacing w:line="276" w:lineRule="auto"/>
        <w:ind w:left="425" w:hanging="425"/>
        <w:contextualSpacing w:val="0"/>
        <w:rPr>
          <w:rFonts w:asciiTheme="minorHAnsi" w:hAnsiTheme="minorHAnsi"/>
        </w:rPr>
      </w:pPr>
      <w:r w:rsidRPr="004808BD">
        <w:rPr>
          <w:rFonts w:asciiTheme="minorHAnsi" w:hAnsiTheme="minorHAnsi"/>
        </w:rPr>
        <w:t>When considering whether a delay requires an element of fairness to be taken into account as a mitigating factor, the court must have regard to the degree to which the accused had control over the length of that delay.</w:t>
      </w:r>
      <w:r w:rsidRPr="005E500B">
        <w:rPr>
          <w:rStyle w:val="Style"/>
          <w:rFonts w:asciiTheme="minorHAnsi" w:hAnsiTheme="minorHAnsi"/>
        </w:rPr>
        <w:footnoteReference w:id="440"/>
      </w:r>
      <w:r w:rsidRPr="005E500B">
        <w:rPr>
          <w:rStyle w:val="Style"/>
          <w:rFonts w:asciiTheme="minorHAnsi" w:hAnsiTheme="minorHAnsi"/>
        </w:rPr>
        <w:t xml:space="preserve"> </w:t>
      </w:r>
      <w:r w:rsidR="00892CCF" w:rsidRPr="00576EEE">
        <w:rPr>
          <w:rStyle w:val="verdana"/>
          <w:rFonts w:ascii="Calibri" w:hAnsi="Calibri"/>
        </w:rPr>
        <w:t xml:space="preserve">  </w:t>
      </w:r>
      <w:r w:rsidR="00276969" w:rsidRPr="00877A4A">
        <w:rPr>
          <w:rFonts w:asciiTheme="minorHAnsi" w:hAnsiTheme="minorHAnsi"/>
        </w:rPr>
        <w:t xml:space="preserve">An accused person </w:t>
      </w:r>
      <w:r w:rsidR="00276969">
        <w:rPr>
          <w:rFonts w:asciiTheme="minorHAnsi" w:hAnsiTheme="minorHAnsi"/>
        </w:rPr>
        <w:t xml:space="preserve">is not to be regarded as at fault merely for </w:t>
      </w:r>
      <w:r w:rsidR="00276969" w:rsidRPr="00877A4A">
        <w:rPr>
          <w:rFonts w:asciiTheme="minorHAnsi" w:hAnsiTheme="minorHAnsi"/>
        </w:rPr>
        <w:t>exercis</w:t>
      </w:r>
      <w:r w:rsidR="00276969">
        <w:rPr>
          <w:rFonts w:asciiTheme="minorHAnsi" w:hAnsiTheme="minorHAnsi"/>
        </w:rPr>
        <w:t>ing</w:t>
      </w:r>
      <w:r w:rsidR="00276969" w:rsidRPr="00877A4A">
        <w:rPr>
          <w:rFonts w:asciiTheme="minorHAnsi" w:hAnsiTheme="minorHAnsi"/>
        </w:rPr>
        <w:t xml:space="preserve"> </w:t>
      </w:r>
      <w:r w:rsidR="00276969">
        <w:rPr>
          <w:rFonts w:asciiTheme="minorHAnsi" w:hAnsiTheme="minorHAnsi"/>
        </w:rPr>
        <w:t>the</w:t>
      </w:r>
      <w:r w:rsidR="00276969" w:rsidRPr="00877A4A">
        <w:rPr>
          <w:rFonts w:asciiTheme="minorHAnsi" w:hAnsiTheme="minorHAnsi"/>
        </w:rPr>
        <w:t xml:space="preserve"> right to contest a charge</w:t>
      </w:r>
      <w:r w:rsidR="008523F5">
        <w:rPr>
          <w:rFonts w:asciiTheme="minorHAnsi" w:hAnsiTheme="minorHAnsi"/>
        </w:rPr>
        <w:t>.</w:t>
      </w:r>
      <w:r w:rsidR="00276969" w:rsidRPr="005E500B">
        <w:rPr>
          <w:rStyle w:val="Style"/>
          <w:rFonts w:asciiTheme="minorHAnsi" w:hAnsiTheme="minorHAnsi"/>
        </w:rPr>
        <w:footnoteReference w:id="441"/>
      </w:r>
      <w:r w:rsidR="00276969" w:rsidRPr="00576EEE">
        <w:rPr>
          <w:rFonts w:ascii="Calibri" w:hAnsi="Calibri"/>
        </w:rPr>
        <w:t xml:space="preserve"> </w:t>
      </w:r>
      <w:r w:rsidR="008523F5" w:rsidRPr="00576EEE">
        <w:rPr>
          <w:rFonts w:ascii="Calibri" w:hAnsi="Calibri"/>
        </w:rPr>
        <w:t xml:space="preserve"> </w:t>
      </w:r>
      <w:r w:rsidR="00AD20E2">
        <w:rPr>
          <w:rFonts w:asciiTheme="minorHAnsi" w:hAnsiTheme="minorHAnsi"/>
        </w:rPr>
        <w:t xml:space="preserve">If the delay is no more than an inevitable consequence of the length or complexity of the offending, or the steps taken by the offender to </w:t>
      </w:r>
      <w:r w:rsidR="00F25BE4">
        <w:rPr>
          <w:rFonts w:asciiTheme="minorHAnsi" w:hAnsiTheme="minorHAnsi"/>
        </w:rPr>
        <w:t>prevent detection</w:t>
      </w:r>
      <w:r w:rsidR="00AD20E2">
        <w:rPr>
          <w:rFonts w:asciiTheme="minorHAnsi" w:hAnsiTheme="minorHAnsi"/>
        </w:rPr>
        <w:t xml:space="preserve">, </w:t>
      </w:r>
      <w:r w:rsidR="003816B4">
        <w:rPr>
          <w:rFonts w:asciiTheme="minorHAnsi" w:hAnsiTheme="minorHAnsi"/>
        </w:rPr>
        <w:t xml:space="preserve">or the refusal of the offender to co-operate in the investigation of a complex fraud, </w:t>
      </w:r>
      <w:r w:rsidR="009553D1">
        <w:rPr>
          <w:rFonts w:asciiTheme="minorHAnsi" w:hAnsiTheme="minorHAnsi"/>
        </w:rPr>
        <w:t xml:space="preserve">or the resulting scale of the </w:t>
      </w:r>
      <w:r w:rsidR="00A6287F">
        <w:rPr>
          <w:rFonts w:asciiTheme="minorHAnsi" w:hAnsiTheme="minorHAnsi"/>
        </w:rPr>
        <w:t xml:space="preserve">investigation or the </w:t>
      </w:r>
      <w:r w:rsidR="009553D1">
        <w:rPr>
          <w:rFonts w:asciiTheme="minorHAnsi" w:hAnsiTheme="minorHAnsi"/>
        </w:rPr>
        <w:t xml:space="preserve">prosecution case, </w:t>
      </w:r>
      <w:r w:rsidR="00AD20E2">
        <w:rPr>
          <w:rFonts w:asciiTheme="minorHAnsi" w:hAnsiTheme="minorHAnsi"/>
        </w:rPr>
        <w:t xml:space="preserve">it will </w:t>
      </w:r>
      <w:r w:rsidR="0048102A">
        <w:rPr>
          <w:rFonts w:asciiTheme="minorHAnsi" w:hAnsiTheme="minorHAnsi"/>
        </w:rPr>
        <w:t xml:space="preserve">often </w:t>
      </w:r>
      <w:r w:rsidR="00863ADF">
        <w:rPr>
          <w:rFonts w:asciiTheme="minorHAnsi" w:hAnsiTheme="minorHAnsi"/>
        </w:rPr>
        <w:t xml:space="preserve">carry little </w:t>
      </w:r>
      <w:r w:rsidR="006E038B">
        <w:rPr>
          <w:rFonts w:asciiTheme="minorHAnsi" w:hAnsiTheme="minorHAnsi"/>
        </w:rPr>
        <w:t xml:space="preserve">or no </w:t>
      </w:r>
      <w:r w:rsidR="00863ADF">
        <w:rPr>
          <w:rFonts w:asciiTheme="minorHAnsi" w:hAnsiTheme="minorHAnsi"/>
        </w:rPr>
        <w:t xml:space="preserve">weight in </w:t>
      </w:r>
      <w:r w:rsidR="00AD20E2">
        <w:rPr>
          <w:rFonts w:asciiTheme="minorHAnsi" w:hAnsiTheme="minorHAnsi"/>
        </w:rPr>
        <w:t>mitigati</w:t>
      </w:r>
      <w:r w:rsidR="00863ADF">
        <w:rPr>
          <w:rFonts w:asciiTheme="minorHAnsi" w:hAnsiTheme="minorHAnsi"/>
        </w:rPr>
        <w:t>on</w:t>
      </w:r>
      <w:r w:rsidR="00AD20E2">
        <w:rPr>
          <w:rFonts w:asciiTheme="minorHAnsi" w:hAnsiTheme="minorHAnsi"/>
        </w:rPr>
        <w:t>.</w:t>
      </w:r>
      <w:r w:rsidR="00AD20E2" w:rsidRPr="00C00000">
        <w:rPr>
          <w:rStyle w:val="Style"/>
          <w:rFonts w:asciiTheme="minorHAnsi" w:hAnsiTheme="minorHAnsi"/>
        </w:rPr>
        <w:footnoteReference w:id="442"/>
      </w:r>
      <w:r w:rsidR="00AD20E2">
        <w:rPr>
          <w:rFonts w:asciiTheme="minorHAnsi" w:hAnsiTheme="minorHAnsi"/>
        </w:rPr>
        <w:t xml:space="preserve">  </w:t>
      </w:r>
      <w:r w:rsidR="0048102A">
        <w:rPr>
          <w:rFonts w:asciiTheme="minorHAnsi" w:hAnsiTheme="minorHAnsi"/>
        </w:rPr>
        <w:t>Moreover, t</w:t>
      </w:r>
      <w:r w:rsidR="00222E54">
        <w:rPr>
          <w:rFonts w:asciiTheme="minorHAnsi" w:hAnsiTheme="minorHAnsi"/>
        </w:rPr>
        <w:t>o the extent that</w:t>
      </w:r>
      <w:r w:rsidR="00892CCF" w:rsidRPr="00892CCF">
        <w:rPr>
          <w:rFonts w:asciiTheme="minorHAnsi" w:hAnsiTheme="minorHAnsi"/>
        </w:rPr>
        <w:t xml:space="preserve"> delay is </w:t>
      </w:r>
      <w:r w:rsidR="00863ADF">
        <w:rPr>
          <w:rFonts w:asciiTheme="minorHAnsi" w:hAnsiTheme="minorHAnsi"/>
        </w:rPr>
        <w:t xml:space="preserve">directly </w:t>
      </w:r>
      <w:r w:rsidR="00892CCF" w:rsidRPr="00892CCF">
        <w:rPr>
          <w:rFonts w:asciiTheme="minorHAnsi" w:hAnsiTheme="minorHAnsi"/>
        </w:rPr>
        <w:t xml:space="preserve">attributable to </w:t>
      </w:r>
      <w:r w:rsidR="00222E54">
        <w:rPr>
          <w:rFonts w:asciiTheme="minorHAnsi" w:hAnsiTheme="minorHAnsi"/>
        </w:rPr>
        <w:t xml:space="preserve">the conduct of </w:t>
      </w:r>
      <w:r w:rsidR="00892CCF" w:rsidRPr="00892CCF">
        <w:rPr>
          <w:rFonts w:asciiTheme="minorHAnsi" w:hAnsiTheme="minorHAnsi"/>
        </w:rPr>
        <w:t>an accused person</w:t>
      </w:r>
      <w:r w:rsidR="00222E54">
        <w:rPr>
          <w:rFonts w:asciiTheme="minorHAnsi" w:hAnsiTheme="minorHAnsi"/>
        </w:rPr>
        <w:t xml:space="preserve"> (for example, by absconding, or by lying to investigators</w:t>
      </w:r>
      <w:r w:rsidR="00892CCF" w:rsidRPr="00892CCF">
        <w:rPr>
          <w:rFonts w:asciiTheme="minorHAnsi" w:hAnsiTheme="minorHAnsi"/>
        </w:rPr>
        <w:t xml:space="preserve">, </w:t>
      </w:r>
      <w:r w:rsidR="00222E54">
        <w:rPr>
          <w:rFonts w:asciiTheme="minorHAnsi" w:hAnsiTheme="minorHAnsi"/>
        </w:rPr>
        <w:t>or by obstructive tactics</w:t>
      </w:r>
      <w:r w:rsidR="00AF2687">
        <w:rPr>
          <w:rFonts w:asciiTheme="minorHAnsi" w:hAnsiTheme="minorHAnsi"/>
        </w:rPr>
        <w:t xml:space="preserve"> in the trial</w:t>
      </w:r>
      <w:r w:rsidR="00222E54">
        <w:rPr>
          <w:rFonts w:asciiTheme="minorHAnsi" w:hAnsiTheme="minorHAnsi"/>
        </w:rPr>
        <w:t>)</w:t>
      </w:r>
      <w:r w:rsidR="003A2011">
        <w:rPr>
          <w:rFonts w:asciiTheme="minorHAnsi" w:hAnsiTheme="minorHAnsi"/>
        </w:rPr>
        <w:t>,</w:t>
      </w:r>
      <w:r w:rsidR="00222E54">
        <w:rPr>
          <w:rFonts w:asciiTheme="minorHAnsi" w:hAnsiTheme="minorHAnsi"/>
        </w:rPr>
        <w:t xml:space="preserve"> it would often be contrary to the public interest to mitigate the sentence because of the delay</w:t>
      </w:r>
      <w:r w:rsidR="00892CCF">
        <w:rPr>
          <w:rFonts w:asciiTheme="minorHAnsi" w:hAnsiTheme="minorHAnsi"/>
        </w:rPr>
        <w:t>.</w:t>
      </w:r>
      <w:r w:rsidR="00D4579D" w:rsidRPr="00C00000">
        <w:rPr>
          <w:rStyle w:val="Style"/>
          <w:rFonts w:asciiTheme="minorHAnsi" w:hAnsiTheme="minorHAnsi"/>
        </w:rPr>
        <w:footnoteReference w:id="443"/>
      </w:r>
    </w:p>
    <w:p w14:paraId="32E194D6" w14:textId="77777777" w:rsidR="00276969" w:rsidRPr="00276969" w:rsidRDefault="00276969" w:rsidP="00276969">
      <w:pPr>
        <w:pStyle w:val="ListParagraph"/>
        <w:rPr>
          <w:rFonts w:asciiTheme="minorHAnsi" w:hAnsiTheme="minorHAnsi"/>
        </w:rPr>
      </w:pPr>
    </w:p>
    <w:p w14:paraId="5B2915ED" w14:textId="406A360C" w:rsidR="005A6CC6" w:rsidRDefault="0027696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Some authorities proceed on the basis that</w:t>
      </w:r>
      <w:r w:rsidR="008523F5">
        <w:rPr>
          <w:rFonts w:asciiTheme="minorHAnsi" w:hAnsiTheme="minorHAnsi"/>
        </w:rPr>
        <w:t xml:space="preserve"> fairness to the offender does not require that</w:t>
      </w:r>
      <w:r>
        <w:rPr>
          <w:rFonts w:asciiTheme="minorHAnsi" w:hAnsiTheme="minorHAnsi"/>
        </w:rPr>
        <w:t xml:space="preserve"> </w:t>
      </w:r>
      <w:r w:rsidR="008523F5">
        <w:rPr>
          <w:rFonts w:asciiTheme="minorHAnsi" w:hAnsiTheme="minorHAnsi"/>
        </w:rPr>
        <w:t xml:space="preserve">delay </w:t>
      </w:r>
      <w:r w:rsidR="002F57EB">
        <w:rPr>
          <w:rFonts w:asciiTheme="minorHAnsi" w:hAnsiTheme="minorHAnsi"/>
        </w:rPr>
        <w:t xml:space="preserve">(although excessive) </w:t>
      </w:r>
      <w:r w:rsidR="008523F5">
        <w:rPr>
          <w:rFonts w:asciiTheme="minorHAnsi" w:hAnsiTheme="minorHAnsi"/>
        </w:rPr>
        <w:t xml:space="preserve">which is merely the inevitable consequence of an </w:t>
      </w:r>
      <w:r w:rsidR="008523F5" w:rsidRPr="00276969">
        <w:rPr>
          <w:rFonts w:asciiTheme="minorHAnsi" w:hAnsiTheme="minorHAnsi"/>
        </w:rPr>
        <w:t>overburdened criminal justice system</w:t>
      </w:r>
      <w:r w:rsidR="008523F5" w:rsidRPr="008523F5">
        <w:rPr>
          <w:rFonts w:asciiTheme="minorHAnsi" w:hAnsiTheme="minorHAnsi"/>
        </w:rPr>
        <w:t xml:space="preserve"> </w:t>
      </w:r>
      <w:r w:rsidR="008523F5">
        <w:rPr>
          <w:rFonts w:asciiTheme="minorHAnsi" w:hAnsiTheme="minorHAnsi"/>
        </w:rPr>
        <w:t>be treated as mitigating.</w:t>
      </w:r>
      <w:r w:rsidRPr="00C00000">
        <w:rPr>
          <w:rStyle w:val="Style"/>
          <w:rFonts w:asciiTheme="minorHAnsi" w:hAnsiTheme="minorHAnsi"/>
        </w:rPr>
        <w:footnoteReference w:id="444"/>
      </w:r>
      <w:r>
        <w:rPr>
          <w:rFonts w:asciiTheme="minorHAnsi" w:hAnsiTheme="minorHAnsi"/>
        </w:rPr>
        <w:t xml:space="preserve"> </w:t>
      </w:r>
      <w:r w:rsidR="008523F5">
        <w:rPr>
          <w:rFonts w:asciiTheme="minorHAnsi" w:hAnsiTheme="minorHAnsi"/>
        </w:rPr>
        <w:t xml:space="preserve"> In other cases, however, </w:t>
      </w:r>
      <w:r w:rsidR="00711C31">
        <w:rPr>
          <w:rFonts w:asciiTheme="minorHAnsi" w:hAnsiTheme="minorHAnsi"/>
        </w:rPr>
        <w:t xml:space="preserve">courts have proceeded on the basis that </w:t>
      </w:r>
      <w:r w:rsidR="0065228D">
        <w:rPr>
          <w:rFonts w:asciiTheme="minorHAnsi" w:hAnsiTheme="minorHAnsi"/>
        </w:rPr>
        <w:t xml:space="preserve">stress and anxiety resulting from </w:t>
      </w:r>
      <w:r w:rsidR="00040BD5">
        <w:rPr>
          <w:rFonts w:asciiTheme="minorHAnsi" w:hAnsiTheme="minorHAnsi"/>
        </w:rPr>
        <w:t xml:space="preserve">any undue </w:t>
      </w:r>
      <w:r w:rsidR="008523F5" w:rsidRPr="0048102A">
        <w:rPr>
          <w:rFonts w:asciiTheme="minorHAnsi" w:hAnsiTheme="minorHAnsi"/>
        </w:rPr>
        <w:t>d</w:t>
      </w:r>
      <w:r w:rsidR="008523F5" w:rsidRPr="004808BD">
        <w:rPr>
          <w:rFonts w:asciiTheme="minorHAnsi" w:hAnsiTheme="minorHAnsi"/>
        </w:rPr>
        <w:t xml:space="preserve">elay which is caused by the prosecutorial process or the administration of the courts </w:t>
      </w:r>
      <w:r w:rsidR="008523F5">
        <w:rPr>
          <w:rFonts w:asciiTheme="minorHAnsi" w:hAnsiTheme="minorHAnsi"/>
        </w:rPr>
        <w:t xml:space="preserve">(and not </w:t>
      </w:r>
      <w:r w:rsidR="008523F5" w:rsidRPr="004808BD">
        <w:rPr>
          <w:rFonts w:asciiTheme="minorHAnsi" w:hAnsiTheme="minorHAnsi"/>
        </w:rPr>
        <w:t>attr</w:t>
      </w:r>
      <w:r w:rsidR="00B0571C">
        <w:rPr>
          <w:rFonts w:asciiTheme="minorHAnsi" w:hAnsiTheme="minorHAnsi"/>
        </w:rPr>
        <w:t>ibutable to the actions of the offender</w:t>
      </w:r>
      <w:r w:rsidR="008523F5">
        <w:rPr>
          <w:rFonts w:asciiTheme="minorHAnsi" w:hAnsiTheme="minorHAnsi"/>
        </w:rPr>
        <w:t>)</w:t>
      </w:r>
      <w:r w:rsidR="00F54B54">
        <w:rPr>
          <w:rFonts w:asciiTheme="minorHAnsi" w:hAnsiTheme="minorHAnsi"/>
        </w:rPr>
        <w:t xml:space="preserve"> </w:t>
      </w:r>
      <w:r w:rsidR="008523F5">
        <w:rPr>
          <w:rFonts w:asciiTheme="minorHAnsi" w:hAnsiTheme="minorHAnsi"/>
        </w:rPr>
        <w:t>may</w:t>
      </w:r>
      <w:r w:rsidR="008523F5" w:rsidRPr="004808BD">
        <w:rPr>
          <w:rFonts w:asciiTheme="minorHAnsi" w:hAnsiTheme="minorHAnsi"/>
        </w:rPr>
        <w:t xml:space="preserve"> </w:t>
      </w:r>
      <w:r w:rsidR="009B3236">
        <w:rPr>
          <w:rFonts w:asciiTheme="minorHAnsi" w:hAnsiTheme="minorHAnsi"/>
        </w:rPr>
        <w:t xml:space="preserve">be treated </w:t>
      </w:r>
      <w:r w:rsidR="008523F5" w:rsidRPr="004808BD">
        <w:rPr>
          <w:rFonts w:asciiTheme="minorHAnsi" w:hAnsiTheme="minorHAnsi"/>
        </w:rPr>
        <w:t>as a factor in mitigation.</w:t>
      </w:r>
      <w:r w:rsidR="008523F5" w:rsidRPr="005E500B">
        <w:rPr>
          <w:rStyle w:val="Style"/>
          <w:rFonts w:asciiTheme="minorHAnsi" w:hAnsiTheme="minorHAnsi"/>
        </w:rPr>
        <w:footnoteReference w:id="445"/>
      </w:r>
    </w:p>
    <w:p w14:paraId="1160571E" w14:textId="77777777" w:rsidR="005A6CC6" w:rsidRPr="005A6CC6" w:rsidRDefault="005A6CC6" w:rsidP="005A6CC6">
      <w:pPr>
        <w:spacing w:line="276" w:lineRule="auto"/>
        <w:ind w:right="170"/>
        <w:rPr>
          <w:rFonts w:asciiTheme="minorHAnsi" w:hAnsiTheme="minorHAnsi"/>
        </w:rPr>
      </w:pPr>
    </w:p>
    <w:p w14:paraId="71624708" w14:textId="77777777" w:rsidR="0047255C" w:rsidRDefault="00F25BE4" w:rsidP="00EB7F1E">
      <w:pPr>
        <w:pStyle w:val="ListParagraph"/>
        <w:numPr>
          <w:ilvl w:val="0"/>
          <w:numId w:val="7"/>
        </w:numPr>
        <w:spacing w:line="276" w:lineRule="auto"/>
        <w:ind w:left="425" w:hanging="425"/>
        <w:contextualSpacing w:val="0"/>
        <w:rPr>
          <w:rFonts w:asciiTheme="minorHAnsi" w:hAnsiTheme="minorHAnsi"/>
        </w:rPr>
      </w:pPr>
      <w:r w:rsidRPr="00A6287F">
        <w:rPr>
          <w:rFonts w:asciiTheme="minorHAnsi" w:hAnsiTheme="minorHAnsi"/>
        </w:rPr>
        <w:t xml:space="preserve">There </w:t>
      </w:r>
      <w:r w:rsidR="00A6287F" w:rsidRPr="00A6287F">
        <w:rPr>
          <w:rFonts w:asciiTheme="minorHAnsi" w:hAnsiTheme="minorHAnsi"/>
        </w:rPr>
        <w:t>is no automatic discount in every case of asserted delay</w:t>
      </w:r>
      <w:r w:rsidR="00953405">
        <w:rPr>
          <w:rFonts w:asciiTheme="minorHAnsi" w:hAnsiTheme="minorHAnsi"/>
        </w:rPr>
        <w:t>;</w:t>
      </w:r>
      <w:r w:rsidR="00A6287F" w:rsidRPr="00A6287F">
        <w:rPr>
          <w:rFonts w:asciiTheme="minorHAnsi" w:hAnsiTheme="minorHAnsi"/>
        </w:rPr>
        <w:t xml:space="preserve"> </w:t>
      </w:r>
      <w:r w:rsidR="00953405" w:rsidRPr="00A6287F">
        <w:rPr>
          <w:rFonts w:asciiTheme="minorHAnsi" w:hAnsiTheme="minorHAnsi"/>
        </w:rPr>
        <w:t xml:space="preserve">the </w:t>
      </w:r>
      <w:r w:rsidR="00A6287F" w:rsidRPr="00A6287F">
        <w:rPr>
          <w:rFonts w:asciiTheme="minorHAnsi" w:hAnsiTheme="minorHAnsi"/>
        </w:rPr>
        <w:t>reasons and circumstances surrounding any delay need to be examined in each case</w:t>
      </w:r>
      <w:r w:rsidR="00A6287F" w:rsidRPr="00576EEE">
        <w:rPr>
          <w:rFonts w:ascii="Calibri" w:hAnsi="Calibri"/>
        </w:rPr>
        <w:t>.</w:t>
      </w:r>
      <w:r w:rsidR="00A6287F" w:rsidRPr="00C00000">
        <w:rPr>
          <w:rStyle w:val="Style"/>
          <w:rFonts w:asciiTheme="minorHAnsi" w:hAnsiTheme="minorHAnsi"/>
        </w:rPr>
        <w:footnoteReference w:id="446"/>
      </w:r>
      <w:r w:rsidR="00A6287F" w:rsidRPr="00576EEE">
        <w:rPr>
          <w:rFonts w:ascii="Calibri" w:hAnsi="Calibri"/>
        </w:rPr>
        <w:t xml:space="preserve">  </w:t>
      </w:r>
      <w:r w:rsidR="0047255C" w:rsidRPr="0047255C">
        <w:rPr>
          <w:rFonts w:asciiTheme="minorHAnsi" w:hAnsiTheme="minorHAnsi"/>
        </w:rPr>
        <w:t xml:space="preserve">In </w:t>
      </w:r>
      <w:r w:rsidR="005072CF" w:rsidRPr="0047255C">
        <w:rPr>
          <w:rFonts w:asciiTheme="minorHAnsi" w:hAnsiTheme="minorHAnsi"/>
        </w:rPr>
        <w:t>the general run of cases, delay will attract a significant discount only where the sentencing court concludes that there has been real progress towards rehabilitation as such or where other favourable factors have positively emerged in the time between the offences and the passing of sentence</w:t>
      </w:r>
      <w:r w:rsidR="0047255C">
        <w:rPr>
          <w:rFonts w:asciiTheme="minorHAnsi" w:hAnsiTheme="minorHAnsi"/>
        </w:rPr>
        <w:t>.</w:t>
      </w:r>
      <w:r w:rsidR="0047255C" w:rsidRPr="00C00000">
        <w:rPr>
          <w:rStyle w:val="Style"/>
          <w:rFonts w:asciiTheme="minorHAnsi" w:hAnsiTheme="minorHAnsi"/>
        </w:rPr>
        <w:footnoteReference w:id="447"/>
      </w:r>
      <w:r w:rsidR="0047255C">
        <w:rPr>
          <w:rFonts w:asciiTheme="minorHAnsi" w:hAnsiTheme="minorHAnsi"/>
        </w:rPr>
        <w:t xml:space="preserve">  </w:t>
      </w:r>
    </w:p>
    <w:p w14:paraId="7B2607B1" w14:textId="77777777" w:rsidR="0047255C" w:rsidRPr="0047255C" w:rsidRDefault="0047255C" w:rsidP="0047255C">
      <w:pPr>
        <w:pStyle w:val="ListParagraph"/>
        <w:rPr>
          <w:rFonts w:asciiTheme="minorHAnsi" w:hAnsiTheme="minorHAnsi"/>
        </w:rPr>
      </w:pPr>
    </w:p>
    <w:p w14:paraId="12336DD7" w14:textId="0F816091" w:rsidR="004808BD" w:rsidRDefault="00786CB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An offender who relies upon delay as a factor in mitigation of sentence bears the onus of establishing, on the balance of probabilities, the basis upon which mitigation is said to be warranted.</w:t>
      </w:r>
      <w:r w:rsidR="005A6CC6" w:rsidRPr="00C00000">
        <w:rPr>
          <w:rStyle w:val="Style"/>
          <w:rFonts w:asciiTheme="minorHAnsi" w:hAnsiTheme="minorHAnsi"/>
        </w:rPr>
        <w:footnoteReference w:id="448"/>
      </w:r>
    </w:p>
    <w:p w14:paraId="5162EEFF" w14:textId="77777777" w:rsidR="008A6F34" w:rsidRPr="00C00000" w:rsidRDefault="008A6F34" w:rsidP="008A6F34">
      <w:pPr>
        <w:spacing w:line="276" w:lineRule="auto"/>
        <w:ind w:left="567" w:right="170" w:hanging="567"/>
        <w:rPr>
          <w:rFonts w:asciiTheme="minorHAnsi" w:hAnsiTheme="minorHAnsi"/>
        </w:rPr>
      </w:pPr>
    </w:p>
    <w:p w14:paraId="69397410" w14:textId="5964E026" w:rsidR="00091DFD" w:rsidRPr="00091DFD" w:rsidRDefault="00091DFD" w:rsidP="00EB7F1E">
      <w:pPr>
        <w:keepNext/>
        <w:spacing w:line="276" w:lineRule="auto"/>
        <w:rPr>
          <w:rFonts w:asciiTheme="minorHAnsi" w:hAnsiTheme="minorHAnsi"/>
          <w:i/>
        </w:rPr>
      </w:pPr>
      <w:r>
        <w:rPr>
          <w:rFonts w:asciiTheme="minorHAnsi" w:hAnsiTheme="minorHAnsi"/>
          <w:i/>
        </w:rPr>
        <w:t xml:space="preserve">Interaction with </w:t>
      </w:r>
      <w:r w:rsidR="00885EFD" w:rsidRPr="00885EFD">
        <w:rPr>
          <w:rFonts w:asciiTheme="minorHAnsi" w:hAnsiTheme="minorHAnsi"/>
          <w:i/>
        </w:rPr>
        <w:t>Crimes Act 1914</w:t>
      </w:r>
      <w:r>
        <w:rPr>
          <w:rFonts w:asciiTheme="minorHAnsi" w:hAnsiTheme="minorHAnsi"/>
          <w:i/>
        </w:rPr>
        <w:t>, s 16A</w:t>
      </w:r>
    </w:p>
    <w:p w14:paraId="22F17F74" w14:textId="7F9896C0" w:rsidR="00AC27EB" w:rsidRDefault="003D4D6B" w:rsidP="00EB7F1E">
      <w:pPr>
        <w:pStyle w:val="ListParagraph"/>
        <w:numPr>
          <w:ilvl w:val="0"/>
          <w:numId w:val="7"/>
        </w:numPr>
        <w:spacing w:line="276" w:lineRule="auto"/>
        <w:ind w:left="425" w:hanging="425"/>
        <w:contextualSpacing w:val="0"/>
        <w:rPr>
          <w:rStyle w:val="verdana"/>
          <w:rFonts w:asciiTheme="minorHAnsi" w:hAnsiTheme="minorHAnsi"/>
        </w:rPr>
      </w:pPr>
      <w:r>
        <w:rPr>
          <w:rStyle w:val="verdana"/>
          <w:rFonts w:asciiTheme="minorHAnsi" w:hAnsiTheme="minorHAnsi"/>
        </w:rPr>
        <w:t>Although the common law principles</w:t>
      </w:r>
      <w:r w:rsidR="00946E6C">
        <w:rPr>
          <w:rStyle w:val="verdana"/>
          <w:rFonts w:asciiTheme="minorHAnsi" w:hAnsiTheme="minorHAnsi"/>
        </w:rPr>
        <w:t xml:space="preserve"> regarding delay</w:t>
      </w:r>
      <w:r w:rsidR="00F43315">
        <w:rPr>
          <w:rStyle w:val="verdana"/>
          <w:rFonts w:asciiTheme="minorHAnsi" w:hAnsiTheme="minorHAnsi"/>
        </w:rPr>
        <w:t xml:space="preserve"> have </w:t>
      </w:r>
      <w:r w:rsidR="00D17E84">
        <w:rPr>
          <w:rStyle w:val="verdana"/>
          <w:rFonts w:asciiTheme="minorHAnsi" w:hAnsiTheme="minorHAnsi"/>
        </w:rPr>
        <w:t>frequently been applied in the sentencing of federal offenders,</w:t>
      </w:r>
      <w:r w:rsidR="009B3236" w:rsidRPr="00C00000">
        <w:rPr>
          <w:rStyle w:val="Style"/>
          <w:rFonts w:asciiTheme="minorHAnsi" w:hAnsiTheme="minorHAnsi"/>
        </w:rPr>
        <w:footnoteReference w:id="449"/>
      </w:r>
      <w:r w:rsidR="00D17E84">
        <w:rPr>
          <w:rStyle w:val="verdana"/>
          <w:rFonts w:asciiTheme="minorHAnsi" w:hAnsiTheme="minorHAnsi"/>
        </w:rPr>
        <w:t xml:space="preserve"> there has been relatively little analysis of the consistency </w:t>
      </w:r>
      <w:r w:rsidR="008C4E59">
        <w:rPr>
          <w:rStyle w:val="verdana"/>
          <w:rFonts w:asciiTheme="minorHAnsi" w:hAnsiTheme="minorHAnsi"/>
        </w:rPr>
        <w:t xml:space="preserve">of those principles </w:t>
      </w:r>
      <w:r w:rsidR="00D17E84">
        <w:rPr>
          <w:rStyle w:val="verdana"/>
          <w:rFonts w:asciiTheme="minorHAnsi" w:hAnsiTheme="minorHAnsi"/>
        </w:rPr>
        <w:t xml:space="preserve">with the provisions of s 16A of the </w:t>
      </w:r>
      <w:r w:rsidR="00885EFD" w:rsidRPr="00885EFD">
        <w:rPr>
          <w:rStyle w:val="verdana"/>
          <w:rFonts w:asciiTheme="minorHAnsi" w:hAnsiTheme="minorHAnsi"/>
          <w:i/>
        </w:rPr>
        <w:t>Crimes Act 1914</w:t>
      </w:r>
      <w:r w:rsidR="00F44218">
        <w:rPr>
          <w:rStyle w:val="verdana"/>
          <w:rFonts w:asciiTheme="minorHAnsi" w:hAnsiTheme="minorHAnsi"/>
        </w:rPr>
        <w:t xml:space="preserve"> (Cth)</w:t>
      </w:r>
      <w:r w:rsidR="00AC27EB">
        <w:rPr>
          <w:rStyle w:val="verdana"/>
          <w:rFonts w:asciiTheme="minorHAnsi" w:hAnsiTheme="minorHAnsi"/>
        </w:rPr>
        <w:t>, which is the starting point in ascertaining the considerations relevant to the sentencing of a federal offender.</w:t>
      </w:r>
    </w:p>
    <w:p w14:paraId="01718576" w14:textId="77777777" w:rsidR="00AC27EB" w:rsidRPr="00AC27EB" w:rsidRDefault="00AC27EB" w:rsidP="00AC27EB">
      <w:pPr>
        <w:spacing w:line="276" w:lineRule="auto"/>
        <w:ind w:right="170"/>
        <w:rPr>
          <w:rStyle w:val="verdana"/>
          <w:rFonts w:asciiTheme="minorHAnsi" w:hAnsiTheme="minorHAnsi"/>
        </w:rPr>
      </w:pPr>
    </w:p>
    <w:p w14:paraId="594BA421" w14:textId="58DC9FF6" w:rsidR="00510506" w:rsidRDefault="008C4E59" w:rsidP="00EB7F1E">
      <w:pPr>
        <w:pStyle w:val="ListParagraph"/>
        <w:numPr>
          <w:ilvl w:val="0"/>
          <w:numId w:val="7"/>
        </w:numPr>
        <w:spacing w:line="276" w:lineRule="auto"/>
        <w:ind w:left="425" w:hanging="425"/>
        <w:contextualSpacing w:val="0"/>
        <w:rPr>
          <w:rStyle w:val="verdana"/>
          <w:rFonts w:asciiTheme="minorHAnsi" w:hAnsiTheme="minorHAnsi"/>
        </w:rPr>
      </w:pPr>
      <w:r>
        <w:rPr>
          <w:rStyle w:val="verdana"/>
          <w:rFonts w:asciiTheme="minorHAnsi" w:hAnsiTheme="minorHAnsi"/>
        </w:rPr>
        <w:t xml:space="preserve">In </w:t>
      </w:r>
      <w:r w:rsidRPr="008C4E59">
        <w:rPr>
          <w:rStyle w:val="verdana"/>
          <w:rFonts w:asciiTheme="minorHAnsi" w:hAnsiTheme="minorHAnsi"/>
          <w:i/>
        </w:rPr>
        <w:t>Scook</w:t>
      </w:r>
      <w:r>
        <w:rPr>
          <w:rStyle w:val="verdana"/>
          <w:rFonts w:asciiTheme="minorHAnsi" w:hAnsiTheme="minorHAnsi"/>
        </w:rPr>
        <w:t>,</w:t>
      </w:r>
      <w:r w:rsidRPr="00C00000">
        <w:rPr>
          <w:rStyle w:val="Style"/>
          <w:rFonts w:asciiTheme="minorHAnsi" w:hAnsiTheme="minorHAnsi"/>
        </w:rPr>
        <w:footnoteReference w:id="450"/>
      </w:r>
      <w:r>
        <w:rPr>
          <w:rStyle w:val="verdana"/>
          <w:rFonts w:asciiTheme="minorHAnsi" w:hAnsiTheme="minorHAnsi"/>
        </w:rPr>
        <w:t xml:space="preserve"> McLure JA (with whom Buss and Miller JJA agreed) said, </w:t>
      </w:r>
    </w:p>
    <w:p w14:paraId="74FAB8F6" w14:textId="6BA65F48" w:rsidR="008C4E59" w:rsidRPr="00EB7F1E" w:rsidRDefault="008C4E59" w:rsidP="00EB7F1E">
      <w:pPr>
        <w:pStyle w:val="BodyText"/>
        <w:spacing w:line="276" w:lineRule="auto"/>
        <w:ind w:left="720" w:right="170" w:hanging="11"/>
        <w:jc w:val="both"/>
        <w:rPr>
          <w:rFonts w:ascii="Calibri" w:hAnsi="Calibri"/>
        </w:rPr>
      </w:pPr>
      <w:r w:rsidRPr="00EB7F1E">
        <w:rPr>
          <w:rFonts w:ascii="Calibri" w:hAnsi="Calibri"/>
        </w:rPr>
        <w:t xml:space="preserve">Delay itself is not one of the mandatory sentencing matters listed in s 16A(2) of the </w:t>
      </w:r>
      <w:r w:rsidR="00885EFD" w:rsidRPr="00EB7F1E">
        <w:rPr>
          <w:rFonts w:ascii="Calibri" w:hAnsi="Calibri"/>
        </w:rPr>
        <w:t>Crimes Act 1914</w:t>
      </w:r>
      <w:r w:rsidRPr="00EB7F1E">
        <w:rPr>
          <w:rFonts w:ascii="Calibri" w:hAnsi="Calibri"/>
        </w:rPr>
        <w:t xml:space="preserve"> (Cth). Its relevance or otherwise to the sentencing of Commonwealth offenders will depend on the circumstances of the case. The principles articulated by State courts in sentencing State and Commonwealth offenders serve as a guide.</w:t>
      </w:r>
    </w:p>
    <w:p w14:paraId="50756007" w14:textId="77777777" w:rsidR="00AC27EB" w:rsidRPr="00AC27EB" w:rsidRDefault="00AC27EB" w:rsidP="00AC27EB">
      <w:pPr>
        <w:spacing w:line="276" w:lineRule="auto"/>
        <w:ind w:right="170"/>
        <w:rPr>
          <w:rFonts w:asciiTheme="minorHAnsi" w:hAnsiTheme="minorHAnsi"/>
        </w:rPr>
      </w:pPr>
    </w:p>
    <w:p w14:paraId="27A3EB05" w14:textId="1DA6324D" w:rsidR="008C4E59" w:rsidRDefault="008C4E5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7D503B">
        <w:rPr>
          <w:rFonts w:asciiTheme="minorHAnsi" w:hAnsiTheme="minorHAnsi"/>
          <w:i/>
        </w:rPr>
        <w:t>Pratten (No 2)</w:t>
      </w:r>
      <w:r>
        <w:rPr>
          <w:rFonts w:asciiTheme="minorHAnsi" w:hAnsiTheme="minorHAnsi"/>
        </w:rPr>
        <w:t>,</w:t>
      </w:r>
      <w:r w:rsidR="007D503B" w:rsidRPr="00C00000">
        <w:rPr>
          <w:rStyle w:val="Style"/>
          <w:rFonts w:asciiTheme="minorHAnsi" w:hAnsiTheme="minorHAnsi"/>
        </w:rPr>
        <w:footnoteReference w:id="451"/>
      </w:r>
      <w:r>
        <w:rPr>
          <w:rFonts w:asciiTheme="minorHAnsi" w:hAnsiTheme="minorHAnsi"/>
        </w:rPr>
        <w:t xml:space="preserve"> Basten JA (with whom S Campbell and N Adams JJ agreed)</w:t>
      </w:r>
      <w:r w:rsidR="007D503B">
        <w:rPr>
          <w:rFonts w:asciiTheme="minorHAnsi" w:hAnsiTheme="minorHAnsi"/>
        </w:rPr>
        <w:t xml:space="preserve"> </w:t>
      </w:r>
      <w:r w:rsidR="00232DCE">
        <w:rPr>
          <w:rFonts w:asciiTheme="minorHAnsi" w:hAnsiTheme="minorHAnsi"/>
        </w:rPr>
        <w:t xml:space="preserve">referred to a number of factors </w:t>
      </w:r>
      <w:r w:rsidR="00B44A78">
        <w:rPr>
          <w:rFonts w:asciiTheme="minorHAnsi" w:hAnsiTheme="minorHAnsi"/>
        </w:rPr>
        <w:t xml:space="preserve">specified in </w:t>
      </w:r>
      <w:r w:rsidR="00196C9D">
        <w:rPr>
          <w:rFonts w:asciiTheme="minorHAnsi" w:hAnsiTheme="minorHAnsi"/>
        </w:rPr>
        <w:t>s 16A</w:t>
      </w:r>
      <w:r w:rsidR="00B44A78">
        <w:rPr>
          <w:rFonts w:asciiTheme="minorHAnsi" w:hAnsiTheme="minorHAnsi"/>
        </w:rPr>
        <w:t>(2)</w:t>
      </w:r>
      <w:r w:rsidR="00B44A78" w:rsidRPr="00C00000">
        <w:rPr>
          <w:rStyle w:val="Style"/>
          <w:rFonts w:asciiTheme="minorHAnsi" w:hAnsiTheme="minorHAnsi"/>
        </w:rPr>
        <w:footnoteReference w:id="452"/>
      </w:r>
      <w:r w:rsidR="00B568F9">
        <w:rPr>
          <w:rFonts w:asciiTheme="minorHAnsi" w:hAnsiTheme="minorHAnsi"/>
        </w:rPr>
        <w:t xml:space="preserve"> as examples of </w:t>
      </w:r>
      <w:r w:rsidR="000E4BAB">
        <w:rPr>
          <w:rFonts w:asciiTheme="minorHAnsi" w:hAnsiTheme="minorHAnsi"/>
        </w:rPr>
        <w:t xml:space="preserve">ways in </w:t>
      </w:r>
      <w:r w:rsidR="00B568F9">
        <w:rPr>
          <w:rFonts w:asciiTheme="minorHAnsi" w:hAnsiTheme="minorHAnsi"/>
        </w:rPr>
        <w:t>which delay may be relevant</w:t>
      </w:r>
      <w:r w:rsidR="00232DCE">
        <w:rPr>
          <w:rFonts w:asciiTheme="minorHAnsi" w:hAnsiTheme="minorHAnsi"/>
        </w:rPr>
        <w:t xml:space="preserve"> in the sentencing of a federal offender.  His Honour </w:t>
      </w:r>
      <w:r w:rsidR="007D503B">
        <w:rPr>
          <w:rFonts w:asciiTheme="minorHAnsi" w:hAnsiTheme="minorHAnsi"/>
        </w:rPr>
        <w:t xml:space="preserve">made two significant points about </w:t>
      </w:r>
      <w:r w:rsidR="00232DCE">
        <w:rPr>
          <w:rFonts w:asciiTheme="minorHAnsi" w:hAnsiTheme="minorHAnsi"/>
        </w:rPr>
        <w:t>those statutory factors</w:t>
      </w:r>
      <w:r w:rsidR="00F44218">
        <w:rPr>
          <w:rFonts w:asciiTheme="minorHAnsi" w:hAnsiTheme="minorHAnsi"/>
        </w:rPr>
        <w:t>.</w:t>
      </w:r>
    </w:p>
    <w:p w14:paraId="48B402F9" w14:textId="01C8A25C" w:rsidR="00F44218" w:rsidRPr="00F44218" w:rsidRDefault="00F44218" w:rsidP="00F44218">
      <w:pPr>
        <w:spacing w:line="276" w:lineRule="auto"/>
        <w:ind w:right="170"/>
        <w:rPr>
          <w:rFonts w:asciiTheme="minorHAnsi" w:hAnsiTheme="minorHAnsi"/>
        </w:rPr>
      </w:pPr>
    </w:p>
    <w:p w14:paraId="70FF9FCB" w14:textId="53895492" w:rsidR="00A07F28" w:rsidRDefault="00A07F2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First, Basten JA referred to passages in some of the authorities involving the sentencing of federal offenders which suggest that mitigation should be accorded where delay is attributable to the </w:t>
      </w:r>
      <w:r w:rsidRPr="00535B02">
        <w:rPr>
          <w:rFonts w:asciiTheme="minorHAnsi" w:hAnsiTheme="minorHAnsi"/>
        </w:rPr>
        <w:t>dilatoriness or neglect on the part of the state or its instrumentalities</w:t>
      </w:r>
      <w:r>
        <w:rPr>
          <w:rFonts w:asciiTheme="minorHAnsi" w:hAnsiTheme="minorHAnsi"/>
        </w:rPr>
        <w:t>.</w:t>
      </w:r>
      <w:r w:rsidRPr="005E500B">
        <w:rPr>
          <w:rStyle w:val="Style"/>
          <w:rFonts w:asciiTheme="minorHAnsi" w:hAnsiTheme="minorHAnsi"/>
        </w:rPr>
        <w:footnoteReference w:id="453"/>
      </w:r>
      <w:r>
        <w:rPr>
          <w:rFonts w:asciiTheme="minorHAnsi" w:hAnsiTheme="minorHAnsi"/>
        </w:rPr>
        <w:t xml:space="preserve">  His Honour noted that, in relation to the sentencing of a federal offender, such a suggestion</w:t>
      </w:r>
      <w:r w:rsidRPr="00576EEE">
        <w:rPr>
          <w:rFonts w:ascii="Calibri" w:hAnsi="Calibri"/>
          <w:color w:val="000000"/>
        </w:rPr>
        <w:t xml:space="preserve"> “</w:t>
      </w:r>
      <w:r w:rsidRPr="009566E7">
        <w:rPr>
          <w:rFonts w:asciiTheme="minorHAnsi" w:hAnsiTheme="minorHAnsi"/>
          <w:i/>
        </w:rPr>
        <w:t>has not been located squarely within any of the factors listed in s 16A(2)</w:t>
      </w:r>
      <w:r w:rsidR="009566E7">
        <w:rPr>
          <w:rFonts w:asciiTheme="minorHAnsi" w:hAnsiTheme="minorHAnsi"/>
          <w:i/>
        </w:rPr>
        <w:t>.  N</w:t>
      </w:r>
      <w:r w:rsidRPr="009566E7">
        <w:rPr>
          <w:rFonts w:asciiTheme="minorHAnsi" w:hAnsiTheme="minorHAnsi"/>
          <w:i/>
        </w:rPr>
        <w:t>or does it self-evidently have such a home</w:t>
      </w:r>
      <w:r w:rsidRPr="00BB7AC3">
        <w:rPr>
          <w:rFonts w:asciiTheme="minorHAnsi" w:hAnsiTheme="minorHAnsi"/>
        </w:rPr>
        <w:t>.”</w:t>
      </w:r>
      <w:r w:rsidRPr="00C00000">
        <w:rPr>
          <w:rStyle w:val="Style"/>
          <w:rFonts w:asciiTheme="minorHAnsi" w:hAnsiTheme="minorHAnsi"/>
        </w:rPr>
        <w:footnoteReference w:id="454"/>
      </w:r>
      <w:r w:rsidRPr="00576EEE">
        <w:rPr>
          <w:rFonts w:ascii="Calibri" w:hAnsi="Calibri"/>
          <w:color w:val="000000"/>
        </w:rPr>
        <w:t xml:space="preserve">  </w:t>
      </w:r>
      <w:r w:rsidRPr="00460E88">
        <w:rPr>
          <w:rFonts w:asciiTheme="minorHAnsi" w:hAnsiTheme="minorHAnsi"/>
        </w:rPr>
        <w:t>Absent statutory authority, in sentencing a federal offender the severity of the penalty should not be reduced as an expression of disapproval of the conduct of the prosecutor or investigating authority.</w:t>
      </w:r>
      <w:r w:rsidRPr="00C00000">
        <w:rPr>
          <w:rStyle w:val="Style"/>
          <w:rFonts w:asciiTheme="minorHAnsi" w:hAnsiTheme="minorHAnsi"/>
        </w:rPr>
        <w:footnoteReference w:id="455"/>
      </w:r>
    </w:p>
    <w:p w14:paraId="19A21194" w14:textId="77777777" w:rsidR="00A07F28" w:rsidRPr="005E500B" w:rsidRDefault="00A07F28" w:rsidP="00A07F28">
      <w:pPr>
        <w:pStyle w:val="ListParagraph"/>
        <w:rPr>
          <w:rFonts w:asciiTheme="minorHAnsi" w:hAnsiTheme="minorHAnsi"/>
        </w:rPr>
      </w:pPr>
    </w:p>
    <w:p w14:paraId="7789F4A4" w14:textId="5D2D959B" w:rsidR="00F44218" w:rsidRDefault="00A07F2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Second</w:t>
      </w:r>
      <w:r w:rsidR="00133B0E">
        <w:rPr>
          <w:rFonts w:asciiTheme="minorHAnsi" w:hAnsiTheme="minorHAnsi"/>
        </w:rPr>
        <w:t>,</w:t>
      </w:r>
      <w:r w:rsidR="00F44218">
        <w:rPr>
          <w:rFonts w:asciiTheme="minorHAnsi" w:hAnsiTheme="minorHAnsi"/>
        </w:rPr>
        <w:t xml:space="preserve"> </w:t>
      </w:r>
      <w:r w:rsidR="00D813C6">
        <w:rPr>
          <w:rFonts w:asciiTheme="minorHAnsi" w:hAnsiTheme="minorHAnsi"/>
        </w:rPr>
        <w:t xml:space="preserve">with regard to </w:t>
      </w:r>
      <w:r w:rsidR="00F44218">
        <w:rPr>
          <w:rFonts w:asciiTheme="minorHAnsi" w:hAnsiTheme="minorHAnsi"/>
        </w:rPr>
        <w:t xml:space="preserve">stress </w:t>
      </w:r>
      <w:r w:rsidR="00D813C6">
        <w:rPr>
          <w:rFonts w:asciiTheme="minorHAnsi" w:hAnsiTheme="minorHAnsi"/>
        </w:rPr>
        <w:t xml:space="preserve">or </w:t>
      </w:r>
      <w:r w:rsidR="00F44218">
        <w:rPr>
          <w:rFonts w:asciiTheme="minorHAnsi" w:hAnsiTheme="minorHAnsi"/>
        </w:rPr>
        <w:t>anxiety</w:t>
      </w:r>
      <w:r w:rsidR="00D813C6">
        <w:rPr>
          <w:rFonts w:asciiTheme="minorHAnsi" w:hAnsiTheme="minorHAnsi"/>
        </w:rPr>
        <w:t xml:space="preserve"> resulting from delay, </w:t>
      </w:r>
      <w:r w:rsidR="00AC27EB">
        <w:rPr>
          <w:rFonts w:asciiTheme="minorHAnsi" w:hAnsiTheme="minorHAnsi"/>
        </w:rPr>
        <w:t xml:space="preserve">Basten JA </w:t>
      </w:r>
      <w:r w:rsidR="00C42E8A">
        <w:rPr>
          <w:rFonts w:asciiTheme="minorHAnsi" w:hAnsiTheme="minorHAnsi"/>
        </w:rPr>
        <w:t xml:space="preserve">pointed out </w:t>
      </w:r>
      <w:r w:rsidR="00C42E8A" w:rsidRPr="00EC1BF6">
        <w:rPr>
          <w:rFonts w:asciiTheme="minorHAnsi" w:hAnsiTheme="minorHAnsi"/>
        </w:rPr>
        <w:t>that stress and anxiety are a natural consequence of being charged and then convicted of serious criminal offences</w:t>
      </w:r>
      <w:r w:rsidR="00C42E8A">
        <w:rPr>
          <w:rFonts w:asciiTheme="minorHAnsi" w:hAnsiTheme="minorHAnsi"/>
        </w:rPr>
        <w:t>.</w:t>
      </w:r>
      <w:r w:rsidR="00CA4C05" w:rsidRPr="00C00000">
        <w:rPr>
          <w:rStyle w:val="Style"/>
          <w:rFonts w:asciiTheme="minorHAnsi" w:hAnsiTheme="minorHAnsi"/>
        </w:rPr>
        <w:footnoteReference w:id="456"/>
      </w:r>
      <w:r w:rsidR="00C42E8A">
        <w:rPr>
          <w:rFonts w:asciiTheme="minorHAnsi" w:hAnsiTheme="minorHAnsi"/>
        </w:rPr>
        <w:t xml:space="preserve">  If they are to affect the severity of the sentence of a federal offender, it will be through the considerations referred to in s 16A(2).</w:t>
      </w:r>
      <w:r w:rsidR="00C42E8A" w:rsidRPr="00C00000">
        <w:rPr>
          <w:rStyle w:val="Style"/>
          <w:rFonts w:asciiTheme="minorHAnsi" w:hAnsiTheme="minorHAnsi"/>
        </w:rPr>
        <w:footnoteReference w:id="457"/>
      </w:r>
      <w:r w:rsidR="00C42E8A">
        <w:rPr>
          <w:rFonts w:asciiTheme="minorHAnsi" w:hAnsiTheme="minorHAnsi"/>
        </w:rPr>
        <w:t xml:space="preserve">  The </w:t>
      </w:r>
      <w:r w:rsidR="00D813C6">
        <w:rPr>
          <w:rFonts w:asciiTheme="minorHAnsi" w:hAnsiTheme="minorHAnsi"/>
        </w:rPr>
        <w:t>relevant factors in s 16A(2) are the “</w:t>
      </w:r>
      <w:r w:rsidR="00D813C6" w:rsidRPr="00C00000">
        <w:rPr>
          <w:rFonts w:asciiTheme="minorHAnsi" w:hAnsiTheme="minorHAnsi"/>
          <w:i/>
          <w:color w:val="000000"/>
          <w:szCs w:val="22"/>
          <w:lang w:eastAsia="en-AU"/>
        </w:rPr>
        <w:t>physical or mental condition</w:t>
      </w:r>
      <w:r w:rsidR="00D813C6">
        <w:rPr>
          <w:rFonts w:asciiTheme="minorHAnsi" w:hAnsiTheme="minorHAnsi"/>
        </w:rPr>
        <w:t>” of the offender (s 16A(2)(m))</w:t>
      </w:r>
      <w:r w:rsidR="00F44218">
        <w:rPr>
          <w:rFonts w:asciiTheme="minorHAnsi" w:hAnsiTheme="minorHAnsi"/>
        </w:rPr>
        <w:t>.</w:t>
      </w:r>
      <w:r w:rsidR="00AC27EB" w:rsidRPr="00C00000">
        <w:rPr>
          <w:rStyle w:val="Style"/>
          <w:rFonts w:asciiTheme="minorHAnsi" w:hAnsiTheme="minorHAnsi"/>
        </w:rPr>
        <w:footnoteReference w:id="458"/>
      </w:r>
      <w:r w:rsidR="00F20412">
        <w:rPr>
          <w:rFonts w:asciiTheme="minorHAnsi" w:hAnsiTheme="minorHAnsi"/>
        </w:rPr>
        <w:t xml:space="preserve">  In accordance with the High Court decision in </w:t>
      </w:r>
      <w:r w:rsidR="00F20412" w:rsidRPr="00F20412">
        <w:rPr>
          <w:rFonts w:asciiTheme="minorHAnsi" w:hAnsiTheme="minorHAnsi"/>
          <w:i/>
        </w:rPr>
        <w:t>Bui</w:t>
      </w:r>
      <w:r w:rsidR="00F20412">
        <w:rPr>
          <w:rFonts w:asciiTheme="minorHAnsi" w:hAnsiTheme="minorHAnsi"/>
        </w:rPr>
        <w:t>,</w:t>
      </w:r>
      <w:r w:rsidR="00F20412" w:rsidRPr="00C00000">
        <w:rPr>
          <w:rStyle w:val="Style"/>
          <w:rFonts w:asciiTheme="minorHAnsi" w:hAnsiTheme="minorHAnsi"/>
        </w:rPr>
        <w:footnoteReference w:id="459"/>
      </w:r>
      <w:r w:rsidR="00F20412">
        <w:rPr>
          <w:rFonts w:asciiTheme="minorHAnsi" w:hAnsiTheme="minorHAnsi"/>
        </w:rPr>
        <w:t xml:space="preserve"> </w:t>
      </w:r>
      <w:r w:rsidR="00433968">
        <w:rPr>
          <w:rFonts w:asciiTheme="minorHAnsi" w:hAnsiTheme="minorHAnsi"/>
        </w:rPr>
        <w:t xml:space="preserve">his Honour said, </w:t>
      </w:r>
      <w:r w:rsidR="00F20412" w:rsidRPr="00F20412">
        <w:rPr>
          <w:rFonts w:asciiTheme="minorHAnsi" w:hAnsiTheme="minorHAnsi"/>
        </w:rPr>
        <w:t>these should be established as actual, not presumed, conditions</w:t>
      </w:r>
      <w:r w:rsidR="00F20412">
        <w:rPr>
          <w:rFonts w:asciiTheme="minorHAnsi" w:hAnsiTheme="minorHAnsi"/>
        </w:rPr>
        <w:t>.</w:t>
      </w:r>
      <w:r w:rsidR="00AC27EB" w:rsidRPr="00C00000">
        <w:rPr>
          <w:rStyle w:val="Style"/>
          <w:rFonts w:asciiTheme="minorHAnsi" w:hAnsiTheme="minorHAnsi"/>
        </w:rPr>
        <w:footnoteReference w:id="460"/>
      </w:r>
      <w:r w:rsidR="00F20412">
        <w:rPr>
          <w:rFonts w:asciiTheme="minorHAnsi" w:hAnsiTheme="minorHAnsi"/>
        </w:rPr>
        <w:t xml:space="preserve"> </w:t>
      </w:r>
      <w:r w:rsidR="00F20412" w:rsidRPr="00576EEE">
        <w:rPr>
          <w:rFonts w:ascii="Calibri" w:hAnsi="Calibri"/>
          <w:color w:val="000000"/>
        </w:rPr>
        <w:t xml:space="preserve"> </w:t>
      </w:r>
      <w:r w:rsidR="000E4BAB" w:rsidRPr="000E4BAB">
        <w:rPr>
          <w:rFonts w:asciiTheme="minorHAnsi" w:hAnsiTheme="minorHAnsi"/>
        </w:rPr>
        <w:t>In other words</w:t>
      </w:r>
      <w:r w:rsidR="00F20412" w:rsidRPr="00F20412">
        <w:rPr>
          <w:rFonts w:asciiTheme="minorHAnsi" w:hAnsiTheme="minorHAnsi"/>
        </w:rPr>
        <w:t xml:space="preserve">, </w:t>
      </w:r>
      <w:r w:rsidR="000E4BAB">
        <w:rPr>
          <w:rFonts w:asciiTheme="minorHAnsi" w:hAnsiTheme="minorHAnsi"/>
        </w:rPr>
        <w:t xml:space="preserve">it follows from </w:t>
      </w:r>
      <w:r w:rsidR="000E4BAB" w:rsidRPr="000E4BAB">
        <w:rPr>
          <w:rFonts w:asciiTheme="minorHAnsi" w:hAnsiTheme="minorHAnsi"/>
          <w:i/>
        </w:rPr>
        <w:t>Bui</w:t>
      </w:r>
      <w:r w:rsidR="000E4BAB" w:rsidRPr="00C00000">
        <w:rPr>
          <w:rStyle w:val="Style"/>
          <w:rFonts w:asciiTheme="minorHAnsi" w:hAnsiTheme="minorHAnsi"/>
        </w:rPr>
        <w:footnoteReference w:id="461"/>
      </w:r>
      <w:r w:rsidR="000E4BAB">
        <w:rPr>
          <w:rFonts w:asciiTheme="minorHAnsi" w:hAnsiTheme="minorHAnsi"/>
        </w:rPr>
        <w:t xml:space="preserve"> that </w:t>
      </w:r>
      <w:r w:rsidR="00F20412" w:rsidRPr="00F20412">
        <w:rPr>
          <w:rFonts w:asciiTheme="minorHAnsi" w:hAnsiTheme="minorHAnsi"/>
        </w:rPr>
        <w:t>if delay is invoked in mitigation, on the basis that it has caused or exacerbated the offender</w:t>
      </w:r>
      <w:r w:rsidR="00AA693C">
        <w:rPr>
          <w:rFonts w:asciiTheme="minorHAnsi" w:hAnsiTheme="minorHAnsi"/>
        </w:rPr>
        <w:t>’</w:t>
      </w:r>
      <w:r w:rsidR="00F20412" w:rsidRPr="00F20412">
        <w:rPr>
          <w:rFonts w:asciiTheme="minorHAnsi" w:hAnsiTheme="minorHAnsi"/>
        </w:rPr>
        <w:t xml:space="preserve">s </w:t>
      </w:r>
      <w:r w:rsidR="00D813C6" w:rsidRPr="00F20412">
        <w:rPr>
          <w:rFonts w:asciiTheme="minorHAnsi" w:hAnsiTheme="minorHAnsi"/>
        </w:rPr>
        <w:t>stress</w:t>
      </w:r>
      <w:r w:rsidR="00F20412" w:rsidRPr="00F20412">
        <w:rPr>
          <w:rFonts w:asciiTheme="minorHAnsi" w:hAnsiTheme="minorHAnsi"/>
        </w:rPr>
        <w:t>, anxiety, depression or other “</w:t>
      </w:r>
      <w:r w:rsidR="00F20412" w:rsidRPr="00D26F80">
        <w:rPr>
          <w:rFonts w:asciiTheme="minorHAnsi" w:hAnsiTheme="minorHAnsi"/>
          <w:i/>
        </w:rPr>
        <w:t>physical or mental condition</w:t>
      </w:r>
      <w:r w:rsidR="00F20412" w:rsidRPr="00F20412">
        <w:rPr>
          <w:rFonts w:asciiTheme="minorHAnsi" w:hAnsiTheme="minorHAnsi"/>
        </w:rPr>
        <w:t xml:space="preserve">”, </w:t>
      </w:r>
      <w:r w:rsidR="00F65A78">
        <w:rPr>
          <w:rFonts w:asciiTheme="minorHAnsi" w:hAnsiTheme="minorHAnsi"/>
        </w:rPr>
        <w:t xml:space="preserve">neither </w:t>
      </w:r>
      <w:r w:rsidR="00541E3C">
        <w:rPr>
          <w:rFonts w:asciiTheme="minorHAnsi" w:hAnsiTheme="minorHAnsi"/>
        </w:rPr>
        <w:t xml:space="preserve">the </w:t>
      </w:r>
      <w:r w:rsidR="00F65A78">
        <w:rPr>
          <w:rFonts w:asciiTheme="minorHAnsi" w:hAnsiTheme="minorHAnsi"/>
        </w:rPr>
        <w:t xml:space="preserve">condition nor its </w:t>
      </w:r>
      <w:r w:rsidR="00541E3C">
        <w:rPr>
          <w:rFonts w:asciiTheme="minorHAnsi" w:hAnsiTheme="minorHAnsi"/>
        </w:rPr>
        <w:t xml:space="preserve">cause </w:t>
      </w:r>
      <w:r w:rsidR="0087275F">
        <w:rPr>
          <w:rFonts w:asciiTheme="minorHAnsi" w:hAnsiTheme="minorHAnsi"/>
        </w:rPr>
        <w:t xml:space="preserve">can be presumed, </w:t>
      </w:r>
      <w:r w:rsidR="00F65A78">
        <w:rPr>
          <w:rFonts w:asciiTheme="minorHAnsi" w:hAnsiTheme="minorHAnsi"/>
        </w:rPr>
        <w:t>and</w:t>
      </w:r>
      <w:r w:rsidR="0087275F">
        <w:rPr>
          <w:rFonts w:asciiTheme="minorHAnsi" w:hAnsiTheme="minorHAnsi"/>
        </w:rPr>
        <w:t xml:space="preserve"> </w:t>
      </w:r>
      <w:r w:rsidR="00F20412" w:rsidRPr="00F20412">
        <w:rPr>
          <w:rFonts w:asciiTheme="minorHAnsi" w:hAnsiTheme="minorHAnsi"/>
        </w:rPr>
        <w:t xml:space="preserve">must </w:t>
      </w:r>
      <w:r w:rsidR="00D813C6" w:rsidRPr="00F20412">
        <w:rPr>
          <w:rFonts w:asciiTheme="minorHAnsi" w:hAnsiTheme="minorHAnsi"/>
        </w:rPr>
        <w:t>be established by evidence</w:t>
      </w:r>
      <w:r w:rsidR="00F65A78">
        <w:rPr>
          <w:rFonts w:asciiTheme="minorHAnsi" w:hAnsiTheme="minorHAnsi"/>
        </w:rPr>
        <w:t xml:space="preserve"> (or concession)</w:t>
      </w:r>
      <w:r w:rsidR="00D813C6" w:rsidRPr="00F20412">
        <w:rPr>
          <w:rFonts w:asciiTheme="minorHAnsi" w:hAnsiTheme="minorHAnsi"/>
        </w:rPr>
        <w:t>.</w:t>
      </w:r>
    </w:p>
    <w:p w14:paraId="78D34243" w14:textId="1A32975B" w:rsidR="00EC1BF6" w:rsidRDefault="00EC1BF6" w:rsidP="00EC1BF6">
      <w:pPr>
        <w:pStyle w:val="ListParagraph"/>
        <w:rPr>
          <w:rFonts w:asciiTheme="minorHAnsi" w:hAnsiTheme="minorHAnsi"/>
        </w:rPr>
      </w:pPr>
    </w:p>
    <w:p w14:paraId="21E53D4D" w14:textId="5C21628C" w:rsidR="00F41787" w:rsidRPr="00F41787" w:rsidRDefault="005314AC" w:rsidP="00C14A45">
      <w:pPr>
        <w:pStyle w:val="Heading3"/>
        <w:rPr>
          <w:bCs/>
        </w:rPr>
      </w:pPr>
      <w:bookmarkStart w:id="1503" w:name="_Toc33602804"/>
      <w:r>
        <w:rPr>
          <w:bCs/>
        </w:rPr>
        <w:t>Cooperation</w:t>
      </w:r>
      <w:r w:rsidR="00F41787">
        <w:rPr>
          <w:bCs/>
        </w:rPr>
        <w:t xml:space="preserve"> in the conduct of </w:t>
      </w:r>
      <w:r w:rsidR="001B367C">
        <w:rPr>
          <w:bCs/>
        </w:rPr>
        <w:t>criminal proceeding</w:t>
      </w:r>
      <w:r w:rsidR="009922FD">
        <w:rPr>
          <w:bCs/>
        </w:rPr>
        <w:t>s against the offender</w:t>
      </w:r>
      <w:bookmarkEnd w:id="1503"/>
    </w:p>
    <w:p w14:paraId="2BC51B81" w14:textId="472EEB41" w:rsidR="00F41787" w:rsidRDefault="00F41787" w:rsidP="00C14A45">
      <w:pPr>
        <w:pStyle w:val="ListParagraph"/>
        <w:keepNext/>
        <w:ind w:left="567"/>
        <w:contextualSpacing w:val="0"/>
        <w:rPr>
          <w:rFonts w:asciiTheme="minorHAnsi" w:hAnsiTheme="minorHAnsi"/>
        </w:rPr>
      </w:pPr>
    </w:p>
    <w:p w14:paraId="2BBA6CC4" w14:textId="77139F46" w:rsidR="001B367C" w:rsidRDefault="005314A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Cooperation</w:t>
      </w:r>
      <w:r w:rsidR="001B367C">
        <w:rPr>
          <w:rFonts w:asciiTheme="minorHAnsi" w:hAnsiTheme="minorHAnsi"/>
        </w:rPr>
        <w:t xml:space="preserve"> with law enforcement agencies is specified as a factor in s 16A(2)(</w:t>
      </w:r>
      <w:r w:rsidR="00355D49">
        <w:rPr>
          <w:rFonts w:asciiTheme="minorHAnsi" w:hAnsiTheme="minorHAnsi"/>
        </w:rPr>
        <w:t>h</w:t>
      </w:r>
      <w:r w:rsidR="001B367C">
        <w:rPr>
          <w:rFonts w:asciiTheme="minorHAnsi" w:hAnsiTheme="minorHAnsi"/>
        </w:rPr>
        <w:t xml:space="preserve">), but </w:t>
      </w:r>
      <w:r>
        <w:rPr>
          <w:rFonts w:asciiTheme="minorHAnsi" w:hAnsiTheme="minorHAnsi"/>
        </w:rPr>
        <w:t>cooperation</w:t>
      </w:r>
      <w:r w:rsidR="001B367C">
        <w:rPr>
          <w:rFonts w:asciiTheme="minorHAnsi" w:hAnsiTheme="minorHAnsi"/>
        </w:rPr>
        <w:t xml:space="preserve"> in the conduct of criminal proceedings against the offender </w:t>
      </w:r>
      <w:r w:rsidR="003B566F">
        <w:rPr>
          <w:rFonts w:asciiTheme="minorHAnsi" w:hAnsiTheme="minorHAnsi"/>
        </w:rPr>
        <w:t xml:space="preserve">(for example, by making admissions to avoid putting the prosecution to proof of particular matters) </w:t>
      </w:r>
      <w:r w:rsidR="001B367C">
        <w:rPr>
          <w:rFonts w:asciiTheme="minorHAnsi" w:hAnsiTheme="minorHAnsi"/>
        </w:rPr>
        <w:t>is not.</w:t>
      </w:r>
    </w:p>
    <w:p w14:paraId="202C0140" w14:textId="77777777" w:rsidR="001B367C" w:rsidRPr="001B367C" w:rsidRDefault="001B367C" w:rsidP="001B367C">
      <w:pPr>
        <w:spacing w:line="276" w:lineRule="auto"/>
        <w:ind w:right="170"/>
        <w:rPr>
          <w:rFonts w:asciiTheme="minorHAnsi" w:hAnsiTheme="minorHAnsi"/>
        </w:rPr>
      </w:pPr>
    </w:p>
    <w:p w14:paraId="4F64F84B" w14:textId="6DCE12EA" w:rsidR="003455A6" w:rsidRDefault="0068510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Cooperation</w:t>
      </w:r>
      <w:r w:rsidRPr="001B367C">
        <w:rPr>
          <w:rFonts w:asciiTheme="minorHAnsi" w:hAnsiTheme="minorHAnsi"/>
        </w:rPr>
        <w:t xml:space="preserve"> </w:t>
      </w:r>
      <w:r>
        <w:rPr>
          <w:rFonts w:asciiTheme="minorHAnsi" w:hAnsiTheme="minorHAnsi"/>
        </w:rPr>
        <w:t xml:space="preserve">of the latter kind may show remorse or contrition (s 16A(2)(f)) and may be mitigating to that extent.  </w:t>
      </w:r>
      <w:r w:rsidR="008140C5">
        <w:rPr>
          <w:rFonts w:asciiTheme="minorHAnsi" w:hAnsiTheme="minorHAnsi"/>
        </w:rPr>
        <w:t xml:space="preserve">But </w:t>
      </w:r>
      <w:r w:rsidR="008140C5" w:rsidRPr="001B367C">
        <w:rPr>
          <w:rFonts w:asciiTheme="minorHAnsi" w:hAnsiTheme="minorHAnsi"/>
        </w:rPr>
        <w:t xml:space="preserve">even </w:t>
      </w:r>
      <w:r w:rsidR="003455A6">
        <w:rPr>
          <w:rFonts w:asciiTheme="minorHAnsi" w:hAnsiTheme="minorHAnsi"/>
        </w:rPr>
        <w:t>if</w:t>
      </w:r>
      <w:r w:rsidR="008140C5" w:rsidRPr="001B367C">
        <w:rPr>
          <w:rFonts w:asciiTheme="minorHAnsi" w:hAnsiTheme="minorHAnsi"/>
        </w:rPr>
        <w:t xml:space="preserve"> remorse has not been shown</w:t>
      </w:r>
      <w:r w:rsidR="008140C5">
        <w:rPr>
          <w:rFonts w:asciiTheme="minorHAnsi" w:hAnsiTheme="minorHAnsi"/>
        </w:rPr>
        <w:t xml:space="preserve">, </w:t>
      </w:r>
      <w:r w:rsidR="005314AC">
        <w:rPr>
          <w:rFonts w:asciiTheme="minorHAnsi" w:hAnsiTheme="minorHAnsi"/>
        </w:rPr>
        <w:t>cooperation</w:t>
      </w:r>
      <w:r w:rsidR="008140C5">
        <w:rPr>
          <w:rFonts w:asciiTheme="minorHAnsi" w:hAnsiTheme="minorHAnsi"/>
        </w:rPr>
        <w:t xml:space="preserve"> </w:t>
      </w:r>
      <w:r w:rsidR="001B367C" w:rsidRPr="001B367C">
        <w:rPr>
          <w:rFonts w:asciiTheme="minorHAnsi" w:hAnsiTheme="minorHAnsi"/>
        </w:rPr>
        <w:t xml:space="preserve">with the </w:t>
      </w:r>
      <w:r w:rsidR="008140C5">
        <w:rPr>
          <w:rFonts w:asciiTheme="minorHAnsi" w:hAnsiTheme="minorHAnsi"/>
        </w:rPr>
        <w:t>prosecution</w:t>
      </w:r>
      <w:r w:rsidR="001B367C" w:rsidRPr="001B367C">
        <w:rPr>
          <w:rFonts w:asciiTheme="minorHAnsi" w:hAnsiTheme="minorHAnsi"/>
        </w:rPr>
        <w:t xml:space="preserve"> and facilitation of the conduct of </w:t>
      </w:r>
      <w:r w:rsidR="00A063C2">
        <w:rPr>
          <w:rFonts w:asciiTheme="minorHAnsi" w:hAnsiTheme="minorHAnsi"/>
        </w:rPr>
        <w:t xml:space="preserve">criminal proceedings against the offender </w:t>
      </w:r>
      <w:r w:rsidR="001B367C" w:rsidRPr="001B367C">
        <w:rPr>
          <w:rFonts w:asciiTheme="minorHAnsi" w:hAnsiTheme="minorHAnsi"/>
        </w:rPr>
        <w:t xml:space="preserve">may </w:t>
      </w:r>
      <w:r>
        <w:rPr>
          <w:rFonts w:asciiTheme="minorHAnsi" w:hAnsiTheme="minorHAnsi"/>
        </w:rPr>
        <w:t xml:space="preserve">be </w:t>
      </w:r>
      <w:r w:rsidR="001B367C" w:rsidRPr="001B367C">
        <w:rPr>
          <w:rFonts w:asciiTheme="minorHAnsi" w:hAnsiTheme="minorHAnsi"/>
        </w:rPr>
        <w:t xml:space="preserve">taken into account </w:t>
      </w:r>
      <w:r w:rsidR="003455A6">
        <w:rPr>
          <w:rFonts w:asciiTheme="minorHAnsi" w:hAnsiTheme="minorHAnsi"/>
        </w:rPr>
        <w:t xml:space="preserve">as a mitigating factor </w:t>
      </w:r>
      <w:r w:rsidR="008140C5">
        <w:rPr>
          <w:rFonts w:asciiTheme="minorHAnsi" w:hAnsiTheme="minorHAnsi"/>
        </w:rPr>
        <w:t>in</w:t>
      </w:r>
      <w:r w:rsidR="001B367C" w:rsidRPr="001B367C">
        <w:rPr>
          <w:rFonts w:asciiTheme="minorHAnsi" w:hAnsiTheme="minorHAnsi"/>
        </w:rPr>
        <w:t xml:space="preserve"> sentencing </w:t>
      </w:r>
      <w:r w:rsidR="008140C5">
        <w:rPr>
          <w:rFonts w:asciiTheme="minorHAnsi" w:hAnsiTheme="minorHAnsi"/>
        </w:rPr>
        <w:t>for its</w:t>
      </w:r>
      <w:r w:rsidR="001B367C" w:rsidRPr="001B367C">
        <w:rPr>
          <w:rFonts w:asciiTheme="minorHAnsi" w:hAnsiTheme="minorHAnsi"/>
        </w:rPr>
        <w:t xml:space="preserve"> utilitarian value.</w:t>
      </w:r>
      <w:r w:rsidR="006014BD" w:rsidRPr="00C00000">
        <w:rPr>
          <w:rStyle w:val="Style"/>
          <w:rFonts w:asciiTheme="minorHAnsi" w:hAnsiTheme="minorHAnsi"/>
        </w:rPr>
        <w:footnoteReference w:id="462"/>
      </w:r>
      <w:r w:rsidR="006014BD" w:rsidRPr="00576EEE">
        <w:rPr>
          <w:rFonts w:ascii="Calibri" w:hAnsi="Calibri"/>
          <w:i/>
          <w:szCs w:val="22"/>
        </w:rPr>
        <w:t xml:space="preserve"> </w:t>
      </w:r>
    </w:p>
    <w:p w14:paraId="16102E23" w14:textId="77777777" w:rsidR="003455A6" w:rsidRPr="003455A6" w:rsidRDefault="003455A6" w:rsidP="003455A6">
      <w:pPr>
        <w:pStyle w:val="ListParagraph"/>
        <w:rPr>
          <w:rFonts w:asciiTheme="minorHAnsi" w:hAnsiTheme="minorHAnsi"/>
        </w:rPr>
      </w:pPr>
    </w:p>
    <w:p w14:paraId="5B263A4B" w14:textId="24DC4E25" w:rsidR="00F41787" w:rsidRDefault="0071741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There is no automatic entitlement to </w:t>
      </w:r>
      <w:r w:rsidR="001B367C" w:rsidRPr="001B367C">
        <w:rPr>
          <w:rFonts w:asciiTheme="minorHAnsi" w:hAnsiTheme="minorHAnsi"/>
        </w:rPr>
        <w:t>a reduction in sentence</w:t>
      </w:r>
      <w:r>
        <w:rPr>
          <w:rFonts w:asciiTheme="minorHAnsi" w:hAnsiTheme="minorHAnsi"/>
        </w:rPr>
        <w:t xml:space="preserve"> for </w:t>
      </w:r>
      <w:r w:rsidR="005314AC">
        <w:rPr>
          <w:rFonts w:asciiTheme="minorHAnsi" w:hAnsiTheme="minorHAnsi"/>
        </w:rPr>
        <w:t>cooperation</w:t>
      </w:r>
      <w:r>
        <w:rPr>
          <w:rFonts w:asciiTheme="minorHAnsi" w:hAnsiTheme="minorHAnsi"/>
        </w:rPr>
        <w:t>; e</w:t>
      </w:r>
      <w:r w:rsidR="001B367C" w:rsidRPr="001B367C">
        <w:rPr>
          <w:rFonts w:asciiTheme="minorHAnsi" w:hAnsiTheme="minorHAnsi"/>
        </w:rPr>
        <w:t>ach case will depend upon its own circumstances.</w:t>
      </w:r>
      <w:r w:rsidRPr="00C00000">
        <w:rPr>
          <w:rStyle w:val="Style"/>
          <w:rFonts w:asciiTheme="minorHAnsi" w:hAnsiTheme="minorHAnsi"/>
        </w:rPr>
        <w:footnoteReference w:id="463"/>
      </w:r>
      <w:r>
        <w:rPr>
          <w:rFonts w:asciiTheme="minorHAnsi" w:hAnsiTheme="minorHAnsi"/>
        </w:rPr>
        <w:t xml:space="preserve"> </w:t>
      </w:r>
      <w:r w:rsidR="001B367C" w:rsidRPr="001B367C">
        <w:rPr>
          <w:rFonts w:asciiTheme="minorHAnsi" w:hAnsiTheme="minorHAnsi"/>
        </w:rPr>
        <w:t xml:space="preserve"> </w:t>
      </w:r>
      <w:r w:rsidR="003B566F">
        <w:rPr>
          <w:rFonts w:asciiTheme="minorHAnsi" w:hAnsiTheme="minorHAnsi"/>
        </w:rPr>
        <w:t>For example</w:t>
      </w:r>
      <w:r w:rsidR="006733BC">
        <w:rPr>
          <w:rFonts w:asciiTheme="minorHAnsi" w:hAnsiTheme="minorHAnsi"/>
        </w:rPr>
        <w:t>,</w:t>
      </w:r>
      <w:r w:rsidR="003B566F">
        <w:rPr>
          <w:rFonts w:asciiTheme="minorHAnsi" w:hAnsiTheme="minorHAnsi"/>
        </w:rPr>
        <w:t xml:space="preserve"> </w:t>
      </w:r>
      <w:r w:rsidR="00A22B4F">
        <w:rPr>
          <w:rFonts w:asciiTheme="minorHAnsi" w:hAnsiTheme="minorHAnsi"/>
        </w:rPr>
        <w:t xml:space="preserve">mere compliance with a statutory obligation to take steps to </w:t>
      </w:r>
      <w:r w:rsidR="00A22B4F" w:rsidRPr="00A22B4F">
        <w:rPr>
          <w:rFonts w:asciiTheme="minorHAnsi" w:hAnsiTheme="minorHAnsi"/>
        </w:rPr>
        <w:t>identify the real issues in dispute, to reduce the length of the trial and to avoid the calling of witnesses whose evidence was not in dispute or whose presence was not essential</w:t>
      </w:r>
      <w:r w:rsidR="00A22B4F">
        <w:rPr>
          <w:rFonts w:asciiTheme="minorHAnsi" w:hAnsiTheme="minorHAnsi"/>
        </w:rPr>
        <w:t xml:space="preserve"> would only warrant a reduction in sentence in exceptional circumstances.</w:t>
      </w:r>
      <w:r w:rsidR="00A22B4F" w:rsidRPr="00C00000">
        <w:rPr>
          <w:rStyle w:val="Style"/>
          <w:rFonts w:asciiTheme="minorHAnsi" w:hAnsiTheme="minorHAnsi"/>
        </w:rPr>
        <w:footnoteReference w:id="464"/>
      </w:r>
      <w:r w:rsidR="00A22B4F">
        <w:rPr>
          <w:rFonts w:asciiTheme="minorHAnsi" w:hAnsiTheme="minorHAnsi"/>
        </w:rPr>
        <w:t xml:space="preserve">  </w:t>
      </w:r>
      <w:r w:rsidR="00DC24FF">
        <w:rPr>
          <w:rFonts w:asciiTheme="minorHAnsi" w:hAnsiTheme="minorHAnsi"/>
        </w:rPr>
        <w:t>Also, i</w:t>
      </w:r>
      <w:r w:rsidR="003B566F">
        <w:rPr>
          <w:rFonts w:asciiTheme="minorHAnsi" w:hAnsiTheme="minorHAnsi"/>
        </w:rPr>
        <w:t xml:space="preserve">f </w:t>
      </w:r>
      <w:r w:rsidR="001B367C" w:rsidRPr="001B367C">
        <w:rPr>
          <w:rFonts w:asciiTheme="minorHAnsi" w:hAnsiTheme="minorHAnsi"/>
        </w:rPr>
        <w:t>admissions were made for strategic reasons</w:t>
      </w:r>
      <w:r w:rsidR="003B566F">
        <w:rPr>
          <w:rFonts w:asciiTheme="minorHAnsi" w:hAnsiTheme="minorHAnsi"/>
        </w:rPr>
        <w:t xml:space="preserve"> (e.g. in the conduct of a “confess and avoid” defence, </w:t>
      </w:r>
      <w:r w:rsidR="00431506">
        <w:rPr>
          <w:rFonts w:asciiTheme="minorHAnsi" w:hAnsiTheme="minorHAnsi"/>
        </w:rPr>
        <w:t>or</w:t>
      </w:r>
      <w:r w:rsidR="003B566F" w:rsidRPr="003B566F">
        <w:rPr>
          <w:rFonts w:asciiTheme="minorHAnsi" w:hAnsiTheme="minorHAnsi"/>
        </w:rPr>
        <w:t xml:space="preserve"> </w:t>
      </w:r>
      <w:r w:rsidR="003B566F" w:rsidRPr="001B367C">
        <w:rPr>
          <w:rFonts w:asciiTheme="minorHAnsi" w:hAnsiTheme="minorHAnsi"/>
        </w:rPr>
        <w:t xml:space="preserve">because </w:t>
      </w:r>
      <w:r w:rsidR="00431506">
        <w:rPr>
          <w:rFonts w:asciiTheme="minorHAnsi" w:hAnsiTheme="minorHAnsi"/>
        </w:rPr>
        <w:t xml:space="preserve">there was no forensic advantage in prolonging a </w:t>
      </w:r>
      <w:r w:rsidR="003B566F" w:rsidRPr="001B367C">
        <w:rPr>
          <w:rFonts w:asciiTheme="minorHAnsi" w:hAnsiTheme="minorHAnsi"/>
        </w:rPr>
        <w:t>trial by putting in issue matters that the Crown was plainly in a position to prove</w:t>
      </w:r>
      <w:r w:rsidR="003B566F">
        <w:rPr>
          <w:rFonts w:asciiTheme="minorHAnsi" w:hAnsiTheme="minorHAnsi"/>
        </w:rPr>
        <w:t>)</w:t>
      </w:r>
      <w:r w:rsidR="001B367C" w:rsidRPr="001B367C">
        <w:rPr>
          <w:rFonts w:asciiTheme="minorHAnsi" w:hAnsiTheme="minorHAnsi"/>
        </w:rPr>
        <w:t xml:space="preserve">, </w:t>
      </w:r>
      <w:r w:rsidR="003B566F">
        <w:rPr>
          <w:rFonts w:asciiTheme="minorHAnsi" w:hAnsiTheme="minorHAnsi"/>
        </w:rPr>
        <w:t>there may be no real</w:t>
      </w:r>
      <w:r w:rsidR="001B367C" w:rsidRPr="001B367C">
        <w:rPr>
          <w:rFonts w:asciiTheme="minorHAnsi" w:hAnsiTheme="minorHAnsi"/>
        </w:rPr>
        <w:t xml:space="preserve"> utilitarian benefit</w:t>
      </w:r>
      <w:r w:rsidR="003B566F">
        <w:rPr>
          <w:rFonts w:asciiTheme="minorHAnsi" w:hAnsiTheme="minorHAnsi"/>
        </w:rPr>
        <w:t xml:space="preserve"> and therefore no justification for mitigation.</w:t>
      </w:r>
      <w:r w:rsidR="00431506" w:rsidRPr="00C00000">
        <w:rPr>
          <w:rStyle w:val="Style"/>
          <w:rFonts w:asciiTheme="minorHAnsi" w:hAnsiTheme="minorHAnsi"/>
        </w:rPr>
        <w:footnoteReference w:id="465"/>
      </w:r>
    </w:p>
    <w:p w14:paraId="313016A0" w14:textId="77777777" w:rsidR="000E2F30" w:rsidRPr="000E2F30" w:rsidRDefault="000E2F30" w:rsidP="000E2F30">
      <w:pPr>
        <w:pStyle w:val="ListParagraph"/>
        <w:rPr>
          <w:rFonts w:asciiTheme="minorHAnsi" w:hAnsiTheme="minorHAnsi"/>
        </w:rPr>
      </w:pPr>
    </w:p>
    <w:p w14:paraId="131ADF9E" w14:textId="7EB5F9C2" w:rsidR="00BE0EB0" w:rsidRDefault="00685102">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Conversely, a</w:t>
      </w:r>
      <w:r w:rsidR="000E2F30">
        <w:rPr>
          <w:rFonts w:asciiTheme="minorHAnsi" w:hAnsiTheme="minorHAnsi"/>
        </w:rPr>
        <w:t>n offender</w:t>
      </w:r>
      <w:r w:rsidR="00AA693C">
        <w:rPr>
          <w:rFonts w:asciiTheme="minorHAnsi" w:hAnsiTheme="minorHAnsi"/>
        </w:rPr>
        <w:t>’</w:t>
      </w:r>
      <w:r w:rsidR="000E2F30">
        <w:rPr>
          <w:rFonts w:asciiTheme="minorHAnsi" w:hAnsiTheme="minorHAnsi"/>
        </w:rPr>
        <w:t xml:space="preserve">s </w:t>
      </w:r>
      <w:r w:rsidR="000E2F30" w:rsidRPr="006733BC">
        <w:rPr>
          <w:rFonts w:asciiTheme="minorHAnsi" w:hAnsiTheme="minorHAnsi"/>
          <w:i/>
        </w:rPr>
        <w:t>lack of cooperation</w:t>
      </w:r>
      <w:r w:rsidR="000E2F30">
        <w:rPr>
          <w:rFonts w:asciiTheme="minorHAnsi" w:hAnsiTheme="minorHAnsi"/>
        </w:rPr>
        <w:t>, or even obstruction, in the conduct of criminal proceedings cannot generally be treated as itself an aggravating factor in sentencing.</w:t>
      </w:r>
      <w:r w:rsidR="006733BC" w:rsidRPr="00C00000">
        <w:rPr>
          <w:rStyle w:val="Style"/>
          <w:rFonts w:asciiTheme="minorHAnsi" w:hAnsiTheme="minorHAnsi"/>
        </w:rPr>
        <w:footnoteReference w:id="466"/>
      </w:r>
      <w:r w:rsidR="000E2F30">
        <w:rPr>
          <w:rFonts w:asciiTheme="minorHAnsi" w:hAnsiTheme="minorHAnsi"/>
        </w:rPr>
        <w:t xml:space="preserve">  However it may be relevant in various ways, such as in determining whether contrition is shown</w:t>
      </w:r>
      <w:r w:rsidR="006733BC">
        <w:rPr>
          <w:rFonts w:asciiTheme="minorHAnsi" w:hAnsiTheme="minorHAnsi"/>
        </w:rPr>
        <w:t xml:space="preserve"> (</w:t>
      </w:r>
      <w:r w:rsidR="00885EFD" w:rsidRPr="00885EFD">
        <w:rPr>
          <w:rFonts w:asciiTheme="minorHAnsi" w:hAnsiTheme="minorHAnsi"/>
          <w:i/>
        </w:rPr>
        <w:t>Crimes Act 1914</w:t>
      </w:r>
      <w:r w:rsidR="00705229">
        <w:rPr>
          <w:rFonts w:asciiTheme="minorHAnsi" w:hAnsiTheme="minorHAnsi"/>
        </w:rPr>
        <w:t xml:space="preserve">, </w:t>
      </w:r>
      <w:r w:rsidR="006733BC">
        <w:rPr>
          <w:rFonts w:asciiTheme="minorHAnsi" w:hAnsiTheme="minorHAnsi"/>
        </w:rPr>
        <w:t>s 16A(2)(f))</w:t>
      </w:r>
      <w:r w:rsidR="000E2F30">
        <w:rPr>
          <w:rFonts w:asciiTheme="minorHAnsi" w:hAnsiTheme="minorHAnsi"/>
        </w:rPr>
        <w:t>, in assessing the offender</w:t>
      </w:r>
      <w:r w:rsidR="00AA693C">
        <w:rPr>
          <w:rFonts w:asciiTheme="minorHAnsi" w:hAnsiTheme="minorHAnsi"/>
        </w:rPr>
        <w:t>’</w:t>
      </w:r>
      <w:r w:rsidR="000E2F30">
        <w:rPr>
          <w:rFonts w:asciiTheme="minorHAnsi" w:hAnsiTheme="minorHAnsi"/>
        </w:rPr>
        <w:t>s prospects of rehabilitation</w:t>
      </w:r>
      <w:r w:rsidR="006733BC">
        <w:rPr>
          <w:rFonts w:asciiTheme="minorHAnsi" w:hAnsiTheme="minorHAnsi"/>
        </w:rPr>
        <w:t xml:space="preserve"> (s 16A(2)(n)), and in determining the weight to be given to specific deterrence (s 16A(2)(j)).</w:t>
      </w:r>
    </w:p>
    <w:p w14:paraId="2DAD27A7" w14:textId="77777777" w:rsidR="00BE0EB0" w:rsidRPr="00EB7F1E" w:rsidRDefault="00BE0EB0" w:rsidP="00EB7F1E">
      <w:pPr>
        <w:pStyle w:val="ListParagraph"/>
        <w:rPr>
          <w:rFonts w:asciiTheme="minorHAnsi" w:hAnsiTheme="minorHAnsi"/>
        </w:rPr>
      </w:pPr>
    </w:p>
    <w:p w14:paraId="79C4750F" w14:textId="5B92357D" w:rsidR="000E2F30" w:rsidRDefault="007176F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Also, a court sentencing a federal offender is required </w:t>
      </w:r>
      <w:r w:rsidR="00705229">
        <w:rPr>
          <w:rFonts w:asciiTheme="minorHAnsi" w:hAnsiTheme="minorHAnsi"/>
        </w:rPr>
        <w:t xml:space="preserve">(by s 16A(2)(fa)) </w:t>
      </w:r>
      <w:r>
        <w:rPr>
          <w:rFonts w:asciiTheme="minorHAnsi" w:hAnsiTheme="minorHAnsi"/>
        </w:rPr>
        <w:t xml:space="preserve">to have regard to the extent to which the offender has failed to comply with an order of the Federal Court, or an obligation under a law of the Commonwealth or a State or Territory law </w:t>
      </w:r>
      <w:r w:rsidR="00705229">
        <w:rPr>
          <w:rFonts w:asciiTheme="minorHAnsi" w:hAnsiTheme="minorHAnsi"/>
        </w:rPr>
        <w:t xml:space="preserve">applied by s 68(1) of the </w:t>
      </w:r>
      <w:r w:rsidR="00705229" w:rsidRPr="00705229">
        <w:rPr>
          <w:rFonts w:asciiTheme="minorHAnsi" w:hAnsiTheme="minorHAnsi"/>
          <w:i/>
        </w:rPr>
        <w:t>Judiciary Act 1903</w:t>
      </w:r>
      <w:r w:rsidR="00705229">
        <w:rPr>
          <w:rFonts w:asciiTheme="minorHAnsi" w:hAnsiTheme="minorHAnsi"/>
        </w:rPr>
        <w:t xml:space="preserve"> (Cth), </w:t>
      </w:r>
      <w:r w:rsidR="00705229" w:rsidRPr="00705229">
        <w:rPr>
          <w:rFonts w:asciiTheme="minorHAnsi" w:hAnsiTheme="minorHAnsi"/>
        </w:rPr>
        <w:t>about pre-trial disclosure, or ongoing disclosure, in proceedings relating to the offence</w:t>
      </w:r>
      <w:r w:rsidR="00705229">
        <w:rPr>
          <w:rFonts w:asciiTheme="minorHAnsi" w:hAnsiTheme="minorHAnsi"/>
        </w:rPr>
        <w:t>.</w:t>
      </w:r>
    </w:p>
    <w:p w14:paraId="1DA72303" w14:textId="77777777" w:rsidR="009922FD" w:rsidRPr="009922FD" w:rsidRDefault="009922FD" w:rsidP="009922FD">
      <w:pPr>
        <w:pStyle w:val="ListParagraph"/>
        <w:rPr>
          <w:rFonts w:asciiTheme="minorHAnsi" w:hAnsiTheme="minorHAnsi"/>
        </w:rPr>
      </w:pPr>
    </w:p>
    <w:p w14:paraId="0FF7DFC0" w14:textId="43FB28CC" w:rsidR="009922FD" w:rsidRPr="009922FD" w:rsidRDefault="009922FD" w:rsidP="00C14A45">
      <w:pPr>
        <w:pStyle w:val="Heading3"/>
      </w:pPr>
      <w:bookmarkStart w:id="1504" w:name="_Toc33602805"/>
      <w:r w:rsidRPr="009922FD">
        <w:t>Cultural background</w:t>
      </w:r>
      <w:r>
        <w:t xml:space="preserve"> of the offender</w:t>
      </w:r>
      <w:bookmarkEnd w:id="1504"/>
      <w:r w:rsidRPr="009922FD">
        <w:t xml:space="preserve"> </w:t>
      </w:r>
    </w:p>
    <w:p w14:paraId="4B876FA6" w14:textId="77777777" w:rsidR="009922FD" w:rsidRPr="009922FD" w:rsidRDefault="009922FD" w:rsidP="00C14A45">
      <w:pPr>
        <w:pStyle w:val="ListParagraph"/>
        <w:keepNext/>
        <w:ind w:left="567"/>
        <w:contextualSpacing w:val="0"/>
        <w:rPr>
          <w:rFonts w:asciiTheme="minorHAnsi" w:hAnsiTheme="minorHAnsi"/>
        </w:rPr>
      </w:pPr>
    </w:p>
    <w:p w14:paraId="2AFA1F9D" w14:textId="263B77CC" w:rsidR="009922FD" w:rsidRPr="00C00000" w:rsidRDefault="009922FD"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For offences committed on or after 13 December 2006 it is no longer mandatory to take into account the defendant</w:t>
      </w:r>
      <w:r w:rsidR="00AA693C">
        <w:rPr>
          <w:rFonts w:asciiTheme="minorHAnsi" w:hAnsiTheme="minorHAnsi"/>
        </w:rPr>
        <w:t>’</w:t>
      </w:r>
      <w:r w:rsidRPr="00C00000">
        <w:rPr>
          <w:rFonts w:asciiTheme="minorHAnsi" w:hAnsiTheme="minorHAnsi"/>
        </w:rPr>
        <w:t>s cultural background</w:t>
      </w:r>
      <w:r w:rsidR="0026027C">
        <w:rPr>
          <w:rFonts w:asciiTheme="minorHAnsi" w:hAnsiTheme="minorHAnsi"/>
        </w:rPr>
        <w:t xml:space="preserve"> (which was previously one of the matters listed in s 16A(2)(m) of the </w:t>
      </w:r>
      <w:r w:rsidR="00885EFD" w:rsidRPr="00885EFD">
        <w:rPr>
          <w:rFonts w:asciiTheme="minorHAnsi" w:hAnsiTheme="minorHAnsi"/>
          <w:i/>
        </w:rPr>
        <w:t>Crimes Act 1914</w:t>
      </w:r>
      <w:r w:rsidR="0026027C">
        <w:rPr>
          <w:rFonts w:asciiTheme="minorHAnsi" w:hAnsiTheme="minorHAnsi"/>
        </w:rPr>
        <w:t xml:space="preserve"> (Cth))</w:t>
      </w:r>
      <w:r w:rsidRPr="00C00000">
        <w:rPr>
          <w:rFonts w:asciiTheme="minorHAnsi" w:hAnsiTheme="minorHAnsi"/>
        </w:rPr>
        <w:t>.</w:t>
      </w:r>
      <w:r w:rsidRPr="00C00000">
        <w:rPr>
          <w:rStyle w:val="Style"/>
          <w:rFonts w:asciiTheme="minorHAnsi" w:hAnsiTheme="minorHAnsi"/>
        </w:rPr>
        <w:footnoteReference w:id="467"/>
      </w:r>
      <w:r w:rsidRPr="00C00000">
        <w:rPr>
          <w:rFonts w:asciiTheme="minorHAnsi" w:hAnsiTheme="minorHAnsi"/>
        </w:rPr>
        <w:t xml:space="preserve">  In addition</w:t>
      </w:r>
      <w:r w:rsidR="0026027C">
        <w:rPr>
          <w:rFonts w:asciiTheme="minorHAnsi" w:hAnsiTheme="minorHAnsi"/>
        </w:rPr>
        <w:t>,</w:t>
      </w:r>
      <w:r w:rsidRPr="00C00000">
        <w:rPr>
          <w:rFonts w:asciiTheme="minorHAnsi" w:hAnsiTheme="minorHAnsi"/>
        </w:rPr>
        <w:t xml:space="preserve"> for offences committed on or after that date, the court must not take</w:t>
      </w:r>
      <w:r w:rsidRPr="00C00000">
        <w:rPr>
          <w:rFonts w:asciiTheme="minorHAnsi" w:hAnsiTheme="minorHAnsi"/>
          <w:b/>
        </w:rPr>
        <w:t xml:space="preserve"> </w:t>
      </w:r>
      <w:r w:rsidRPr="00C00000">
        <w:rPr>
          <w:rFonts w:asciiTheme="minorHAnsi" w:hAnsiTheme="minorHAnsi"/>
        </w:rPr>
        <w:t xml:space="preserve">into account any form of customary law or cultural practice in mitigation or aggravation of the offending – see </w:t>
      </w:r>
      <w:r w:rsidR="00885EFD" w:rsidRPr="00885EFD">
        <w:rPr>
          <w:rFonts w:asciiTheme="minorHAnsi" w:hAnsiTheme="minorHAnsi"/>
          <w:i/>
        </w:rPr>
        <w:t>Crimes Act 1914</w:t>
      </w:r>
      <w:r w:rsidR="0026027C" w:rsidRPr="00C00000">
        <w:rPr>
          <w:rFonts w:asciiTheme="minorHAnsi" w:hAnsiTheme="minorHAnsi"/>
          <w:i/>
        </w:rPr>
        <w:t xml:space="preserve"> </w:t>
      </w:r>
      <w:r w:rsidR="0026027C" w:rsidRPr="00C00000">
        <w:rPr>
          <w:rFonts w:asciiTheme="minorHAnsi" w:hAnsiTheme="minorHAnsi"/>
        </w:rPr>
        <w:t>(Cth)</w:t>
      </w:r>
      <w:r w:rsidR="0026027C">
        <w:rPr>
          <w:rFonts w:asciiTheme="minorHAnsi" w:hAnsiTheme="minorHAnsi"/>
        </w:rPr>
        <w:t xml:space="preserve">, </w:t>
      </w:r>
      <w:r w:rsidRPr="00C00000">
        <w:rPr>
          <w:rFonts w:asciiTheme="minorHAnsi" w:hAnsiTheme="minorHAnsi"/>
        </w:rPr>
        <w:t>s 16A(2A).</w:t>
      </w:r>
      <w:r w:rsidRPr="00C00000">
        <w:rPr>
          <w:rStyle w:val="Style"/>
          <w:rFonts w:asciiTheme="minorHAnsi" w:hAnsiTheme="minorHAnsi"/>
        </w:rPr>
        <w:footnoteReference w:id="468"/>
      </w:r>
    </w:p>
    <w:p w14:paraId="589BA55F" w14:textId="77777777" w:rsidR="009922FD" w:rsidRPr="00C00000" w:rsidRDefault="009922FD" w:rsidP="009922FD">
      <w:pPr>
        <w:widowControl w:val="0"/>
        <w:spacing w:line="276" w:lineRule="auto"/>
        <w:ind w:left="567" w:right="170" w:hanging="567"/>
        <w:jc w:val="both"/>
        <w:rPr>
          <w:rFonts w:asciiTheme="minorHAnsi" w:hAnsiTheme="minorHAnsi"/>
        </w:rPr>
      </w:pPr>
    </w:p>
    <w:p w14:paraId="66241775" w14:textId="77777777" w:rsidR="009922FD" w:rsidRDefault="009922FD"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These amendments arose out of a decision by the Council of Australian Governments in July 2006 that laws should reflect the principle that no customary law or cultural practice lessens the seriousness of violence or sexual abuse.  The Act appears to be designed as a model to encourage States and Territories to adopt similar provisions.  The Act also applies the prohibition on taking customary law or cultural practice as mitigation on the question of bail.</w:t>
      </w:r>
    </w:p>
    <w:p w14:paraId="71B4D999" w14:textId="4119CE84" w:rsidR="00A63191" w:rsidRDefault="00A63191" w:rsidP="00A63191">
      <w:pPr>
        <w:widowControl w:val="0"/>
        <w:spacing w:line="276" w:lineRule="auto"/>
        <w:ind w:left="567" w:right="170" w:hanging="567"/>
        <w:jc w:val="both"/>
        <w:rPr>
          <w:rFonts w:asciiTheme="minorHAnsi" w:hAnsiTheme="minorHAnsi"/>
        </w:rPr>
      </w:pPr>
    </w:p>
    <w:p w14:paraId="16146D61" w14:textId="7BC86251" w:rsidR="00A63191" w:rsidRPr="00EC2A6E" w:rsidRDefault="00A948C2" w:rsidP="00EB7F1E">
      <w:pPr>
        <w:pStyle w:val="Heading3"/>
      </w:pPr>
      <w:bookmarkStart w:id="1505" w:name="_Ref11070493"/>
      <w:bookmarkStart w:id="1506" w:name="_Ref11070495"/>
      <w:bookmarkStart w:id="1507" w:name="_Toc33602806"/>
      <w:r w:rsidRPr="00EC2A6E">
        <w:t>“</w:t>
      </w:r>
      <w:r w:rsidR="00A63191" w:rsidRPr="00EC2A6E">
        <w:t xml:space="preserve">Extra-curial </w:t>
      </w:r>
      <w:r w:rsidR="00F87EEE" w:rsidRPr="00EC2A6E">
        <w:t>punishment</w:t>
      </w:r>
      <w:r w:rsidRPr="00EC2A6E">
        <w:t>”</w:t>
      </w:r>
      <w:r w:rsidR="00F87EEE" w:rsidRPr="00EC2A6E">
        <w:t xml:space="preserve"> generally</w:t>
      </w:r>
      <w:bookmarkEnd w:id="1505"/>
      <w:bookmarkEnd w:id="1506"/>
      <w:bookmarkEnd w:id="1507"/>
    </w:p>
    <w:p w14:paraId="657B1D9F" w14:textId="77777777" w:rsidR="00A63191" w:rsidRPr="00EC2A6E" w:rsidRDefault="00A63191" w:rsidP="00A63191">
      <w:pPr>
        <w:pStyle w:val="NormalIndent"/>
        <w:keepNext/>
        <w:rPr>
          <w:rFonts w:ascii="Calibri" w:hAnsi="Calibri"/>
        </w:rPr>
      </w:pPr>
    </w:p>
    <w:p w14:paraId="420CBAB1" w14:textId="007CEC11" w:rsidR="00A63191" w:rsidRPr="00EC2A6E" w:rsidRDefault="00A63191"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At common law, a sentencing court </w:t>
      </w:r>
      <w:r w:rsidR="00F87EEE" w:rsidRPr="00EC2A6E">
        <w:rPr>
          <w:rFonts w:asciiTheme="minorHAnsi" w:hAnsiTheme="minorHAnsi"/>
        </w:rPr>
        <w:t>may</w:t>
      </w:r>
      <w:r w:rsidRPr="00EC2A6E">
        <w:rPr>
          <w:rFonts w:asciiTheme="minorHAnsi" w:hAnsiTheme="minorHAnsi"/>
        </w:rPr>
        <w:t xml:space="preserve"> have regard to “extra-curial punishment”, that is loss or detriment imposed on an offender by persons other than the sentencing court for the purpose of punishing the offender for </w:t>
      </w:r>
      <w:r w:rsidR="00F87EEE" w:rsidRPr="00EC2A6E">
        <w:rPr>
          <w:rFonts w:asciiTheme="minorHAnsi" w:hAnsiTheme="minorHAnsi"/>
        </w:rPr>
        <w:t>the</w:t>
      </w:r>
      <w:r w:rsidRPr="00EC2A6E">
        <w:rPr>
          <w:rFonts w:asciiTheme="minorHAnsi" w:hAnsiTheme="minorHAnsi"/>
        </w:rPr>
        <w:t xml:space="preserve"> offence or at least by reason of the offender having committed the offence.</w:t>
      </w:r>
      <w:r w:rsidR="00F87EEE" w:rsidRPr="00EC2A6E">
        <w:rPr>
          <w:rStyle w:val="Style"/>
          <w:rFonts w:asciiTheme="minorHAnsi" w:hAnsiTheme="minorHAnsi"/>
        </w:rPr>
        <w:footnoteReference w:id="469"/>
      </w:r>
      <w:r w:rsidR="007031C5" w:rsidRPr="00EC2A6E">
        <w:rPr>
          <w:rFonts w:asciiTheme="minorHAnsi" w:hAnsiTheme="minorHAnsi"/>
        </w:rPr>
        <w:t xml:space="preserve">  The paradigm example is retributive assault</w:t>
      </w:r>
      <w:r w:rsidR="00E41AE3" w:rsidRPr="00EC2A6E">
        <w:rPr>
          <w:rFonts w:asciiTheme="minorHAnsi" w:hAnsiTheme="minorHAnsi"/>
        </w:rPr>
        <w:t>.</w:t>
      </w:r>
      <w:r w:rsidR="007031C5" w:rsidRPr="00EC2A6E">
        <w:rPr>
          <w:rStyle w:val="Style"/>
          <w:rFonts w:asciiTheme="minorHAnsi" w:hAnsiTheme="minorHAnsi"/>
        </w:rPr>
        <w:footnoteReference w:id="470"/>
      </w:r>
    </w:p>
    <w:p w14:paraId="237BB4F2" w14:textId="77777777" w:rsidR="002B0AAD" w:rsidRPr="00EC2A6E" w:rsidRDefault="002B0AAD" w:rsidP="00EB7F1E">
      <w:pPr>
        <w:widowControl w:val="0"/>
        <w:spacing w:line="276" w:lineRule="auto"/>
        <w:ind w:right="170"/>
        <w:rPr>
          <w:rFonts w:asciiTheme="minorHAnsi" w:hAnsiTheme="minorHAnsi"/>
        </w:rPr>
      </w:pPr>
    </w:p>
    <w:p w14:paraId="338FC63E" w14:textId="294A71C1" w:rsidR="00CE6861" w:rsidRPr="00EC2A6E" w:rsidRDefault="00CE6861"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The term</w:t>
      </w:r>
      <w:r w:rsidR="00B645EA" w:rsidRPr="00EC2A6E">
        <w:rPr>
          <w:rFonts w:asciiTheme="minorHAnsi" w:hAnsiTheme="minorHAnsi"/>
        </w:rPr>
        <w:t xml:space="preserve"> “extra-curial punishment”</w:t>
      </w:r>
      <w:r w:rsidRPr="00EC2A6E">
        <w:rPr>
          <w:rFonts w:asciiTheme="minorHAnsi" w:hAnsiTheme="minorHAnsi"/>
        </w:rPr>
        <w:t xml:space="preserve"> has not been applied with rigour and has been used on occasion</w:t>
      </w:r>
      <w:r w:rsidR="00B645EA" w:rsidRPr="00EC2A6E">
        <w:rPr>
          <w:rFonts w:asciiTheme="minorHAnsi" w:hAnsiTheme="minorHAnsi"/>
        </w:rPr>
        <w:t>s</w:t>
      </w:r>
      <w:r w:rsidRPr="00EC2A6E">
        <w:rPr>
          <w:rFonts w:asciiTheme="minorHAnsi" w:hAnsiTheme="minorHAnsi"/>
        </w:rPr>
        <w:t xml:space="preserve"> in a manner which extends beyond its proper reach: for example, </w:t>
      </w:r>
      <w:r w:rsidR="00BE0EB0" w:rsidRPr="00EC2A6E">
        <w:rPr>
          <w:rFonts w:asciiTheme="minorHAnsi" w:hAnsiTheme="minorHAnsi"/>
        </w:rPr>
        <w:t>i</w:t>
      </w:r>
      <w:r w:rsidRPr="00EC2A6E">
        <w:rPr>
          <w:rFonts w:asciiTheme="minorHAnsi" w:hAnsiTheme="minorHAnsi"/>
        </w:rPr>
        <w:t>t is doubtful whether legal consequences of a kind which flow directly from the conviction or the sentence, such as disqualification from holding an office, remaining in an occupation or holding a licence</w:t>
      </w:r>
      <w:r w:rsidR="007031C5" w:rsidRPr="00EC2A6E">
        <w:rPr>
          <w:rFonts w:asciiTheme="minorHAnsi" w:hAnsiTheme="minorHAnsi"/>
        </w:rPr>
        <w:t>,</w:t>
      </w:r>
      <w:r w:rsidRPr="00EC2A6E">
        <w:rPr>
          <w:rFonts w:asciiTheme="minorHAnsi" w:hAnsiTheme="minorHAnsi"/>
        </w:rPr>
        <w:t xml:space="preserve"> should be regarded as extra curial punishment.</w:t>
      </w:r>
      <w:r w:rsidR="00B645EA" w:rsidRPr="00EC2A6E">
        <w:rPr>
          <w:rStyle w:val="Style"/>
          <w:rFonts w:asciiTheme="minorHAnsi" w:hAnsiTheme="minorHAnsi"/>
        </w:rPr>
        <w:footnoteReference w:id="471"/>
      </w:r>
    </w:p>
    <w:p w14:paraId="28147C22" w14:textId="77777777" w:rsidR="00CE6861" w:rsidRPr="00EB7F1E" w:rsidRDefault="00CE6861" w:rsidP="00EB7F1E">
      <w:pPr>
        <w:pStyle w:val="ListParagraph"/>
        <w:rPr>
          <w:rFonts w:asciiTheme="minorHAnsi" w:hAnsiTheme="minorHAnsi"/>
        </w:rPr>
      </w:pPr>
    </w:p>
    <w:p w14:paraId="59A8A918" w14:textId="55E87AD6" w:rsidR="0052651E" w:rsidRPr="00EC2A6E" w:rsidRDefault="003C2BF0"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Detection and punishment of a criminal offence</w:t>
      </w:r>
      <w:r w:rsidR="00223821" w:rsidRPr="00EC2A6E">
        <w:rPr>
          <w:rFonts w:asciiTheme="minorHAnsi" w:hAnsiTheme="minorHAnsi"/>
        </w:rPr>
        <w:t xml:space="preserve"> may have a range of adverse consequences for an offender.  For example it may lead to a loss or employment or destruction of a business,</w:t>
      </w:r>
      <w:r w:rsidR="00E52E43" w:rsidRPr="00EC2A6E">
        <w:rPr>
          <w:rStyle w:val="Style"/>
          <w:rFonts w:asciiTheme="minorHAnsi" w:hAnsiTheme="minorHAnsi"/>
        </w:rPr>
        <w:footnoteReference w:id="472"/>
      </w:r>
      <w:r w:rsidR="00223821" w:rsidRPr="00EC2A6E">
        <w:rPr>
          <w:rFonts w:asciiTheme="minorHAnsi" w:hAnsiTheme="minorHAnsi"/>
        </w:rPr>
        <w:t xml:space="preserve"> </w:t>
      </w:r>
      <w:r w:rsidR="009004C0" w:rsidRPr="00EC2A6E">
        <w:rPr>
          <w:rFonts w:asciiTheme="minorHAnsi" w:hAnsiTheme="minorHAnsi"/>
        </w:rPr>
        <w:t xml:space="preserve">disqualification from public office, </w:t>
      </w:r>
      <w:r w:rsidR="00223821" w:rsidRPr="00EC2A6E">
        <w:rPr>
          <w:rFonts w:asciiTheme="minorHAnsi" w:hAnsiTheme="minorHAnsi"/>
        </w:rPr>
        <w:t>the loss of superannuation benefits,</w:t>
      </w:r>
      <w:r w:rsidR="00BC796D" w:rsidRPr="00EC2A6E">
        <w:rPr>
          <w:rStyle w:val="Style"/>
          <w:rFonts w:asciiTheme="minorHAnsi" w:hAnsiTheme="minorHAnsi"/>
        </w:rPr>
        <w:footnoteReference w:id="473"/>
      </w:r>
      <w:r w:rsidR="002B0AAD" w:rsidRPr="00EC2A6E">
        <w:rPr>
          <w:rFonts w:asciiTheme="minorHAnsi" w:hAnsiTheme="minorHAnsi"/>
        </w:rPr>
        <w:t xml:space="preserve"> banning or disqualification from the management of a corporation,</w:t>
      </w:r>
      <w:r w:rsidR="005F4C35" w:rsidRPr="00EC2A6E">
        <w:rPr>
          <w:rStyle w:val="Style"/>
          <w:rFonts w:asciiTheme="minorHAnsi" w:hAnsiTheme="minorHAnsi"/>
        </w:rPr>
        <w:footnoteReference w:id="474"/>
      </w:r>
      <w:r w:rsidR="002B0AAD" w:rsidRPr="00EC2A6E">
        <w:rPr>
          <w:rFonts w:asciiTheme="minorHAnsi" w:hAnsiTheme="minorHAnsi"/>
        </w:rPr>
        <w:t xml:space="preserve"> suspension of cancellation of an occupational licence or</w:t>
      </w:r>
      <w:r w:rsidR="009004C0" w:rsidRPr="00EC2A6E">
        <w:rPr>
          <w:rFonts w:asciiTheme="minorHAnsi" w:hAnsiTheme="minorHAnsi"/>
        </w:rPr>
        <w:t xml:space="preserve"> a</w:t>
      </w:r>
      <w:r w:rsidR="002B0AAD" w:rsidRPr="00EC2A6E">
        <w:rPr>
          <w:rFonts w:asciiTheme="minorHAnsi" w:hAnsiTheme="minorHAnsi"/>
        </w:rPr>
        <w:t xml:space="preserve"> right to practise a profession</w:t>
      </w:r>
      <w:r w:rsidR="00223821" w:rsidRPr="00EC2A6E">
        <w:rPr>
          <w:rFonts w:asciiTheme="minorHAnsi" w:hAnsiTheme="minorHAnsi"/>
        </w:rPr>
        <w:t>,</w:t>
      </w:r>
      <w:r w:rsidR="00E52E43" w:rsidRPr="00EC2A6E">
        <w:rPr>
          <w:rStyle w:val="Style"/>
          <w:rFonts w:asciiTheme="minorHAnsi" w:hAnsiTheme="minorHAnsi"/>
        </w:rPr>
        <w:footnoteReference w:id="475"/>
      </w:r>
      <w:r w:rsidR="00223821" w:rsidRPr="00EC2A6E">
        <w:rPr>
          <w:rFonts w:asciiTheme="minorHAnsi" w:hAnsiTheme="minorHAnsi"/>
        </w:rPr>
        <w:t xml:space="preserve"> cancellation of a visa</w:t>
      </w:r>
      <w:r w:rsidR="002C25B0" w:rsidRPr="00EC2A6E">
        <w:rPr>
          <w:rFonts w:asciiTheme="minorHAnsi" w:hAnsiTheme="minorHAnsi"/>
        </w:rPr>
        <w:t xml:space="preserve"> or deportation</w:t>
      </w:r>
      <w:r w:rsidR="00A948C2" w:rsidRPr="00EC2A6E">
        <w:rPr>
          <w:rFonts w:asciiTheme="minorHAnsi" w:hAnsiTheme="minorHAnsi"/>
        </w:rPr>
        <w:t>,</w:t>
      </w:r>
      <w:r w:rsidR="001C4D31" w:rsidRPr="00EC2A6E">
        <w:rPr>
          <w:rStyle w:val="Style"/>
          <w:rFonts w:asciiTheme="minorHAnsi" w:hAnsiTheme="minorHAnsi"/>
        </w:rPr>
        <w:footnoteReference w:id="476"/>
      </w:r>
      <w:r w:rsidR="009004C0" w:rsidRPr="00EC2A6E">
        <w:rPr>
          <w:rFonts w:asciiTheme="minorHAnsi" w:hAnsiTheme="minorHAnsi"/>
        </w:rPr>
        <w:t xml:space="preserve"> </w:t>
      </w:r>
      <w:r w:rsidR="00B2217E" w:rsidRPr="00EC2A6E">
        <w:rPr>
          <w:rFonts w:asciiTheme="minorHAnsi" w:hAnsiTheme="minorHAnsi"/>
        </w:rPr>
        <w:t>penalty taxes,</w:t>
      </w:r>
      <w:r w:rsidR="00B2217E" w:rsidRPr="00EC2A6E">
        <w:rPr>
          <w:rStyle w:val="Style"/>
          <w:rFonts w:asciiTheme="minorHAnsi" w:hAnsiTheme="minorHAnsi"/>
        </w:rPr>
        <w:footnoteReference w:id="477"/>
      </w:r>
      <w:r w:rsidR="00B2217E" w:rsidRPr="00EC2A6E">
        <w:rPr>
          <w:rFonts w:asciiTheme="minorHAnsi" w:hAnsiTheme="minorHAnsi"/>
        </w:rPr>
        <w:t xml:space="preserve"> </w:t>
      </w:r>
      <w:r w:rsidR="009004C0" w:rsidRPr="00EC2A6E">
        <w:rPr>
          <w:rFonts w:asciiTheme="minorHAnsi" w:hAnsiTheme="minorHAnsi"/>
        </w:rPr>
        <w:t>or the forfeiture or other confiscation of property pursuant to statute.</w:t>
      </w:r>
      <w:r w:rsidR="001C4D31" w:rsidRPr="00EC2A6E">
        <w:rPr>
          <w:rStyle w:val="Style"/>
          <w:rFonts w:asciiTheme="minorHAnsi" w:hAnsiTheme="minorHAnsi"/>
        </w:rPr>
        <w:footnoteReference w:id="478"/>
      </w:r>
      <w:r w:rsidR="00223821" w:rsidRPr="00EC2A6E">
        <w:rPr>
          <w:rFonts w:asciiTheme="minorHAnsi" w:hAnsiTheme="minorHAnsi"/>
        </w:rPr>
        <w:t xml:space="preserve"> </w:t>
      </w:r>
      <w:r w:rsidR="009004C0" w:rsidRPr="00EC2A6E">
        <w:rPr>
          <w:rFonts w:asciiTheme="minorHAnsi" w:hAnsiTheme="minorHAnsi"/>
        </w:rPr>
        <w:t xml:space="preserve"> </w:t>
      </w:r>
      <w:r w:rsidR="00973C4D" w:rsidRPr="00EC2A6E">
        <w:rPr>
          <w:rFonts w:asciiTheme="minorHAnsi" w:hAnsiTheme="minorHAnsi"/>
        </w:rPr>
        <w:t>Sentencing c</w:t>
      </w:r>
      <w:r w:rsidR="0052651E" w:rsidRPr="00EC2A6E">
        <w:rPr>
          <w:rFonts w:asciiTheme="minorHAnsi" w:hAnsiTheme="minorHAnsi"/>
        </w:rPr>
        <w:t>ourts have often treated</w:t>
      </w:r>
      <w:r w:rsidR="002C25B0" w:rsidRPr="00EC2A6E">
        <w:rPr>
          <w:rFonts w:asciiTheme="minorHAnsi" w:hAnsiTheme="minorHAnsi"/>
        </w:rPr>
        <w:t xml:space="preserve"> such</w:t>
      </w:r>
      <w:r w:rsidR="0052651E" w:rsidRPr="00EC2A6E">
        <w:rPr>
          <w:rFonts w:asciiTheme="minorHAnsi" w:hAnsiTheme="minorHAnsi"/>
        </w:rPr>
        <w:t xml:space="preserve"> matters as “extra-curial punishment”, even when the label is inapposite.</w:t>
      </w:r>
      <w:r w:rsidR="0052651E" w:rsidRPr="00EC2A6E">
        <w:rPr>
          <w:rStyle w:val="Style"/>
          <w:rFonts w:asciiTheme="minorHAnsi" w:hAnsiTheme="minorHAnsi"/>
        </w:rPr>
        <w:footnoteReference w:id="479"/>
      </w:r>
    </w:p>
    <w:p w14:paraId="1C0421F0" w14:textId="77777777" w:rsidR="0052651E" w:rsidRPr="00EC2A6E" w:rsidRDefault="0052651E" w:rsidP="00EB7F1E">
      <w:pPr>
        <w:pStyle w:val="ListParagraph"/>
        <w:rPr>
          <w:rFonts w:asciiTheme="minorHAnsi" w:hAnsiTheme="minorHAnsi"/>
        </w:rPr>
      </w:pPr>
    </w:p>
    <w:p w14:paraId="18BEAFE5" w14:textId="2A925AD7" w:rsidR="002B0AAD" w:rsidRPr="00EC2A6E" w:rsidRDefault="002B4852"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In principle, a</w:t>
      </w:r>
      <w:r w:rsidR="00973C4D" w:rsidRPr="00EC2A6E">
        <w:rPr>
          <w:rFonts w:asciiTheme="minorHAnsi" w:hAnsiTheme="minorHAnsi"/>
        </w:rPr>
        <w:t>dverse consequences should not be treated as “extra-curial punishment” unless</w:t>
      </w:r>
      <w:r w:rsidR="009004C0" w:rsidRPr="00EC2A6E">
        <w:rPr>
          <w:rFonts w:asciiTheme="minorHAnsi" w:hAnsiTheme="minorHAnsi"/>
        </w:rPr>
        <w:t xml:space="preserve"> they can be shown to be </w:t>
      </w:r>
      <w:r w:rsidR="003C2BF0" w:rsidRPr="00EC2A6E">
        <w:rPr>
          <w:rFonts w:asciiTheme="minorHAnsi" w:hAnsiTheme="minorHAnsi"/>
        </w:rPr>
        <w:t>causally related to the offending</w:t>
      </w:r>
      <w:r w:rsidR="00B11183" w:rsidRPr="00EC2A6E">
        <w:rPr>
          <w:rFonts w:asciiTheme="minorHAnsi" w:hAnsiTheme="minorHAnsi"/>
        </w:rPr>
        <w:t>,</w:t>
      </w:r>
      <w:r w:rsidR="00B11183" w:rsidRPr="00EC2A6E">
        <w:rPr>
          <w:rStyle w:val="Style"/>
          <w:rFonts w:asciiTheme="minorHAnsi" w:hAnsiTheme="minorHAnsi"/>
        </w:rPr>
        <w:footnoteReference w:id="480"/>
      </w:r>
      <w:r w:rsidR="0099155F" w:rsidRPr="00EC2A6E">
        <w:rPr>
          <w:rFonts w:asciiTheme="minorHAnsi" w:hAnsiTheme="minorHAnsi"/>
        </w:rPr>
        <w:t xml:space="preserve"> </w:t>
      </w:r>
      <w:r w:rsidR="00B11183" w:rsidRPr="00EC2A6E">
        <w:rPr>
          <w:rFonts w:asciiTheme="minorHAnsi" w:hAnsiTheme="minorHAnsi"/>
        </w:rPr>
        <w:t xml:space="preserve">and to be more than an ordinary incident </w:t>
      </w:r>
      <w:r w:rsidR="008D13FF" w:rsidRPr="00EC2A6E">
        <w:rPr>
          <w:rFonts w:asciiTheme="minorHAnsi" w:hAnsiTheme="minorHAnsi"/>
        </w:rPr>
        <w:t xml:space="preserve">or inevitable consequence </w:t>
      </w:r>
      <w:r w:rsidR="00B11183" w:rsidRPr="00EC2A6E">
        <w:rPr>
          <w:rFonts w:asciiTheme="minorHAnsi" w:hAnsiTheme="minorHAnsi"/>
        </w:rPr>
        <w:t>of the sentence imposed</w:t>
      </w:r>
      <w:r w:rsidR="008D13FF" w:rsidRPr="00EC2A6E">
        <w:rPr>
          <w:rFonts w:asciiTheme="minorHAnsi" w:hAnsiTheme="minorHAnsi"/>
        </w:rPr>
        <w:t>.</w:t>
      </w:r>
      <w:r w:rsidR="00B11183" w:rsidRPr="00EC2A6E">
        <w:rPr>
          <w:rStyle w:val="Style"/>
          <w:rFonts w:asciiTheme="minorHAnsi" w:hAnsiTheme="minorHAnsi"/>
        </w:rPr>
        <w:footnoteReference w:id="481"/>
      </w:r>
    </w:p>
    <w:p w14:paraId="40805A65" w14:textId="77777777" w:rsidR="0085111B" w:rsidRPr="00EC2A6E" w:rsidRDefault="0085111B" w:rsidP="00EB7F1E">
      <w:pPr>
        <w:pStyle w:val="ListParagraph"/>
        <w:rPr>
          <w:rFonts w:asciiTheme="minorHAnsi" w:hAnsiTheme="minorHAnsi"/>
        </w:rPr>
      </w:pPr>
    </w:p>
    <w:p w14:paraId="5EB787AA" w14:textId="3F2F5828" w:rsidR="0003456C" w:rsidRPr="00EC2A6E" w:rsidRDefault="00772482" w:rsidP="00EB7F1E">
      <w:pPr>
        <w:pStyle w:val="ListParagraph"/>
        <w:numPr>
          <w:ilvl w:val="0"/>
          <w:numId w:val="7"/>
        </w:numPr>
        <w:spacing w:line="276" w:lineRule="auto"/>
        <w:ind w:left="425" w:hanging="425"/>
        <w:contextualSpacing w:val="0"/>
        <w:rPr>
          <w:rStyle w:val="Style"/>
          <w:rFonts w:asciiTheme="minorHAnsi" w:hAnsiTheme="minorHAnsi"/>
          <w:sz w:val="22"/>
        </w:rPr>
      </w:pPr>
      <w:r w:rsidRPr="00EC2A6E">
        <w:rPr>
          <w:rFonts w:asciiTheme="minorHAnsi" w:hAnsiTheme="minorHAnsi"/>
        </w:rPr>
        <w:t>Since abuse of a professional position is usually an aggravating factor, dis</w:t>
      </w:r>
      <w:r w:rsidR="00694E3E" w:rsidRPr="00EC2A6E">
        <w:rPr>
          <w:rFonts w:asciiTheme="minorHAnsi" w:hAnsiTheme="minorHAnsi"/>
        </w:rPr>
        <w:t xml:space="preserve">qualification from holding such a position </w:t>
      </w:r>
      <w:r w:rsidR="00055455" w:rsidRPr="00EC2A6E">
        <w:rPr>
          <w:rFonts w:asciiTheme="minorHAnsi" w:hAnsiTheme="minorHAnsi"/>
        </w:rPr>
        <w:t xml:space="preserve">which results from such abuse </w:t>
      </w:r>
      <w:r w:rsidR="00694E3E" w:rsidRPr="00EC2A6E">
        <w:rPr>
          <w:rFonts w:asciiTheme="minorHAnsi" w:hAnsiTheme="minorHAnsi"/>
        </w:rPr>
        <w:t>will not generally be a significant mitigating factor, especially if the disqualification is primarily intended to ensure the protection of the public rather tha</w:t>
      </w:r>
      <w:r w:rsidR="00AD476F" w:rsidRPr="00EC2A6E">
        <w:rPr>
          <w:rFonts w:asciiTheme="minorHAnsi" w:hAnsiTheme="minorHAnsi"/>
        </w:rPr>
        <w:t>n</w:t>
      </w:r>
      <w:r w:rsidR="00694E3E" w:rsidRPr="00EC2A6E">
        <w:rPr>
          <w:rFonts w:asciiTheme="minorHAnsi" w:hAnsiTheme="minorHAnsi"/>
        </w:rPr>
        <w:t xml:space="preserve"> to punish the offender.</w:t>
      </w:r>
      <w:r w:rsidR="00694E3E" w:rsidRPr="00EC2A6E">
        <w:rPr>
          <w:rStyle w:val="Style"/>
          <w:rFonts w:asciiTheme="minorHAnsi" w:hAnsiTheme="minorHAnsi"/>
        </w:rPr>
        <w:footnoteReference w:id="482"/>
      </w:r>
      <w:r w:rsidR="00694E3E" w:rsidRPr="00EC2A6E">
        <w:rPr>
          <w:rFonts w:asciiTheme="minorHAnsi" w:hAnsiTheme="minorHAnsi"/>
        </w:rPr>
        <w:t xml:space="preserve"> </w:t>
      </w:r>
      <w:r w:rsidRPr="00EC2A6E">
        <w:rPr>
          <w:rFonts w:asciiTheme="minorHAnsi" w:hAnsiTheme="minorHAnsi"/>
        </w:rPr>
        <w:t xml:space="preserve"> </w:t>
      </w:r>
      <w:r w:rsidR="00C777D4" w:rsidRPr="00EC2A6E">
        <w:rPr>
          <w:rFonts w:asciiTheme="minorHAnsi" w:hAnsiTheme="minorHAnsi"/>
        </w:rPr>
        <w:t xml:space="preserve">In </w:t>
      </w:r>
      <w:r w:rsidR="00C777D4" w:rsidRPr="00EC2A6E">
        <w:rPr>
          <w:rFonts w:asciiTheme="minorHAnsi" w:hAnsiTheme="minorHAnsi"/>
          <w:i/>
        </w:rPr>
        <w:t>Talia</w:t>
      </w:r>
      <w:r w:rsidR="00C777D4" w:rsidRPr="00EC2A6E">
        <w:rPr>
          <w:rFonts w:asciiTheme="minorHAnsi" w:hAnsiTheme="minorHAnsi"/>
        </w:rPr>
        <w:t>,</w:t>
      </w:r>
      <w:r w:rsidR="00E52E43" w:rsidRPr="00EC2A6E">
        <w:rPr>
          <w:rStyle w:val="Style"/>
          <w:rFonts w:asciiTheme="minorHAnsi" w:hAnsiTheme="minorHAnsi"/>
        </w:rPr>
        <w:footnoteReference w:id="483"/>
      </w:r>
      <w:r w:rsidR="00C777D4" w:rsidRPr="00EC2A6E">
        <w:rPr>
          <w:rFonts w:asciiTheme="minorHAnsi" w:hAnsiTheme="minorHAnsi"/>
        </w:rPr>
        <w:t xml:space="preserve"> the Victorian Court of Appeal distinguished between occupational disqualification resulting from criminal conduct in the course of the employment from which the </w:t>
      </w:r>
      <w:r w:rsidR="00A2575C" w:rsidRPr="00EC2A6E">
        <w:rPr>
          <w:rFonts w:asciiTheme="minorHAnsi" w:hAnsiTheme="minorHAnsi"/>
        </w:rPr>
        <w:t>offender was</w:t>
      </w:r>
      <w:r w:rsidR="00C777D4" w:rsidRPr="00EC2A6E">
        <w:rPr>
          <w:rFonts w:asciiTheme="minorHAnsi" w:hAnsiTheme="minorHAnsi"/>
        </w:rPr>
        <w:t xml:space="preserve"> disqualified </w:t>
      </w:r>
      <w:r w:rsidR="00A2575C" w:rsidRPr="00EC2A6E">
        <w:rPr>
          <w:rFonts w:asciiTheme="minorHAnsi" w:hAnsiTheme="minorHAnsi"/>
        </w:rPr>
        <w:t xml:space="preserve">(as occurred in that case) </w:t>
      </w:r>
      <w:r w:rsidR="00C777D4" w:rsidRPr="00EC2A6E">
        <w:rPr>
          <w:rFonts w:asciiTheme="minorHAnsi" w:hAnsiTheme="minorHAnsi"/>
        </w:rPr>
        <w:t xml:space="preserve">and </w:t>
      </w:r>
      <w:r w:rsidR="00E159F3" w:rsidRPr="00EC2A6E">
        <w:rPr>
          <w:rFonts w:asciiTheme="minorHAnsi" w:hAnsiTheme="minorHAnsi"/>
        </w:rPr>
        <w:t xml:space="preserve">occupational disqualification resulting from </w:t>
      </w:r>
      <w:r w:rsidR="00C777D4" w:rsidRPr="00EC2A6E">
        <w:rPr>
          <w:rFonts w:asciiTheme="minorHAnsi" w:hAnsiTheme="minorHAnsi"/>
        </w:rPr>
        <w:t>criminal conduct remote from that employment.</w:t>
      </w:r>
      <w:r w:rsidR="00A2575C" w:rsidRPr="00EC2A6E">
        <w:rPr>
          <w:rFonts w:asciiTheme="minorHAnsi" w:hAnsiTheme="minorHAnsi"/>
        </w:rPr>
        <w:t xml:space="preserve">  In the former</w:t>
      </w:r>
      <w:r w:rsidR="008D13FF" w:rsidRPr="00EC2A6E">
        <w:rPr>
          <w:rFonts w:asciiTheme="minorHAnsi" w:hAnsiTheme="minorHAnsi"/>
        </w:rPr>
        <w:t xml:space="preserve"> circumstance</w:t>
      </w:r>
      <w:r w:rsidR="00A2575C" w:rsidRPr="00EC2A6E">
        <w:rPr>
          <w:rFonts w:asciiTheme="minorHAnsi" w:hAnsiTheme="minorHAnsi"/>
        </w:rPr>
        <w:t>, the disqualification was not necessarily mitigating or carried modest weight; in the latter</w:t>
      </w:r>
      <w:r w:rsidR="005415EE" w:rsidRPr="00EC2A6E">
        <w:rPr>
          <w:rFonts w:asciiTheme="minorHAnsi" w:hAnsiTheme="minorHAnsi"/>
        </w:rPr>
        <w:t xml:space="preserve"> there might be a stronger argument for the incidental loss of employment being treated as a circumstance of mitigation.</w:t>
      </w:r>
      <w:r w:rsidR="0004186C" w:rsidRPr="00EC2A6E">
        <w:rPr>
          <w:rStyle w:val="Style"/>
          <w:rFonts w:asciiTheme="minorHAnsi" w:hAnsiTheme="minorHAnsi"/>
        </w:rPr>
        <w:footnoteReference w:id="484"/>
      </w:r>
    </w:p>
    <w:p w14:paraId="0143F72E" w14:textId="77777777" w:rsidR="00E00C63" w:rsidRPr="00EC2A6E" w:rsidRDefault="00E00C63" w:rsidP="00EB7F1E">
      <w:pPr>
        <w:pStyle w:val="ListParagraph"/>
        <w:rPr>
          <w:rFonts w:asciiTheme="minorHAnsi" w:hAnsiTheme="minorHAnsi"/>
        </w:rPr>
      </w:pPr>
    </w:p>
    <w:p w14:paraId="7D7D8F79" w14:textId="135EAD97" w:rsidR="00F747F0" w:rsidRPr="00EC2A6E" w:rsidRDefault="00F747F0" w:rsidP="00F747F0">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In </w:t>
      </w:r>
      <w:r w:rsidRPr="00EC2A6E">
        <w:rPr>
          <w:rFonts w:asciiTheme="minorHAnsi" w:hAnsiTheme="minorHAnsi"/>
          <w:i/>
        </w:rPr>
        <w:t>Ryan</w:t>
      </w:r>
      <w:r w:rsidRPr="00EC2A6E">
        <w:rPr>
          <w:rFonts w:asciiTheme="minorHAnsi" w:hAnsiTheme="minorHAnsi"/>
        </w:rPr>
        <w:t>,</w:t>
      </w:r>
      <w:r w:rsidRPr="00EC2A6E">
        <w:rPr>
          <w:rStyle w:val="Style"/>
          <w:rFonts w:asciiTheme="minorHAnsi" w:hAnsiTheme="minorHAnsi"/>
        </w:rPr>
        <w:footnoteReference w:id="485"/>
      </w:r>
      <w:r w:rsidRPr="00EC2A6E">
        <w:rPr>
          <w:rFonts w:asciiTheme="minorHAnsi" w:hAnsiTheme="minorHAnsi"/>
        </w:rPr>
        <w:t xml:space="preserve"> McHugh J and Hayne J doubted that public opprobrium or stigma resulting from an offence should be treated as a mitigating factor in sentencing, while Kirby J and Callinan J considered that it should.  Their Honours</w:t>
      </w:r>
      <w:r w:rsidR="00AA693C" w:rsidRPr="00EC2A6E">
        <w:rPr>
          <w:rFonts w:asciiTheme="minorHAnsi" w:hAnsiTheme="minorHAnsi"/>
        </w:rPr>
        <w:t>’</w:t>
      </w:r>
      <w:r w:rsidRPr="00EC2A6E">
        <w:rPr>
          <w:rFonts w:asciiTheme="minorHAnsi" w:hAnsiTheme="minorHAnsi"/>
        </w:rPr>
        <w:t xml:space="preserve"> observations were </w:t>
      </w:r>
      <w:r w:rsidRPr="00EC2A6E">
        <w:rPr>
          <w:rFonts w:asciiTheme="minorHAnsi" w:hAnsiTheme="minorHAnsi"/>
          <w:i/>
        </w:rPr>
        <w:t>obiter dicta</w:t>
      </w:r>
      <w:r w:rsidRPr="00EC2A6E">
        <w:rPr>
          <w:rFonts w:asciiTheme="minorHAnsi" w:hAnsiTheme="minorHAnsi"/>
        </w:rPr>
        <w:t xml:space="preserve"> and the issue remains to be authoritatively resolved.</w:t>
      </w:r>
      <w:r w:rsidRPr="00EC2A6E">
        <w:rPr>
          <w:rStyle w:val="Style"/>
          <w:rFonts w:asciiTheme="minorHAnsi" w:hAnsiTheme="minorHAnsi"/>
        </w:rPr>
        <w:footnoteReference w:id="486"/>
      </w:r>
    </w:p>
    <w:p w14:paraId="54F60234" w14:textId="77777777" w:rsidR="00F747F0" w:rsidRPr="00EC2A6E" w:rsidRDefault="00F747F0" w:rsidP="00F747F0">
      <w:pPr>
        <w:pStyle w:val="ListParagraph"/>
        <w:rPr>
          <w:rFonts w:asciiTheme="minorHAnsi" w:hAnsiTheme="minorHAnsi"/>
        </w:rPr>
      </w:pPr>
    </w:p>
    <w:p w14:paraId="389BFC08" w14:textId="77777777" w:rsidR="00E159F3" w:rsidRPr="00EC2A6E" w:rsidRDefault="00E159F3" w:rsidP="00E159F3">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The weight, if any, to be given to matters treated as “extra-curial punishment” will depend on the circumstances.  Relevant considerations may include the nature and size of the administrative or other extra-curial punishment, the extent to which the penalty relates to the conduct the subject of the offence, the capacity of the offender to pay, the effect that the administrative penalty had in real terms on the offender and other questions of hardship.</w:t>
      </w:r>
      <w:r w:rsidRPr="00EC2A6E">
        <w:rPr>
          <w:rStyle w:val="Style"/>
          <w:rFonts w:asciiTheme="minorHAnsi" w:hAnsiTheme="minorHAnsi"/>
        </w:rPr>
        <w:footnoteReference w:id="487"/>
      </w:r>
    </w:p>
    <w:p w14:paraId="53209838" w14:textId="77777777" w:rsidR="00E159F3" w:rsidRPr="00EC2A6E" w:rsidRDefault="00E159F3" w:rsidP="00E159F3">
      <w:pPr>
        <w:pStyle w:val="ListParagraph"/>
        <w:rPr>
          <w:rFonts w:asciiTheme="minorHAnsi" w:hAnsiTheme="minorHAnsi"/>
        </w:rPr>
      </w:pPr>
    </w:p>
    <w:p w14:paraId="0A938969" w14:textId="3D01F605" w:rsidR="00E00C63" w:rsidRPr="00EC2A6E" w:rsidRDefault="00057D6D"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In assessing t</w:t>
      </w:r>
      <w:r w:rsidR="00DE2AE0" w:rsidRPr="00EC2A6E">
        <w:rPr>
          <w:rFonts w:asciiTheme="minorHAnsi" w:hAnsiTheme="minorHAnsi"/>
        </w:rPr>
        <w:t xml:space="preserve">he </w:t>
      </w:r>
      <w:r w:rsidR="00AC5AEA" w:rsidRPr="00EC2A6E">
        <w:rPr>
          <w:rFonts w:asciiTheme="minorHAnsi" w:hAnsiTheme="minorHAnsi"/>
        </w:rPr>
        <w:t xml:space="preserve">weight to be given to </w:t>
      </w:r>
      <w:r w:rsidR="00DE2AE0" w:rsidRPr="00EC2A6E">
        <w:rPr>
          <w:rFonts w:asciiTheme="minorHAnsi" w:hAnsiTheme="minorHAnsi"/>
        </w:rPr>
        <w:t xml:space="preserve">such matters as </w:t>
      </w:r>
      <w:r w:rsidR="005D2D38" w:rsidRPr="00EC2A6E">
        <w:rPr>
          <w:rFonts w:asciiTheme="minorHAnsi" w:hAnsiTheme="minorHAnsi"/>
        </w:rPr>
        <w:t xml:space="preserve">the actual or prospective </w:t>
      </w:r>
      <w:r w:rsidR="00AC5AEA" w:rsidRPr="00EC2A6E">
        <w:rPr>
          <w:rFonts w:asciiTheme="minorHAnsi" w:hAnsiTheme="minorHAnsi"/>
        </w:rPr>
        <w:t>loss of property</w:t>
      </w:r>
      <w:r w:rsidR="005D2D38" w:rsidRPr="00EC2A6E">
        <w:rPr>
          <w:rFonts w:asciiTheme="minorHAnsi" w:hAnsiTheme="minorHAnsi"/>
        </w:rPr>
        <w:t>,</w:t>
      </w:r>
      <w:r w:rsidR="00AC5AEA" w:rsidRPr="00EC2A6E">
        <w:rPr>
          <w:rFonts w:asciiTheme="minorHAnsi" w:hAnsiTheme="minorHAnsi"/>
        </w:rPr>
        <w:t xml:space="preserve"> </w:t>
      </w:r>
      <w:r w:rsidR="001F2C88" w:rsidRPr="00EC2A6E">
        <w:rPr>
          <w:rFonts w:asciiTheme="minorHAnsi" w:hAnsiTheme="minorHAnsi"/>
        </w:rPr>
        <w:t>income</w:t>
      </w:r>
      <w:r w:rsidR="005D2D38" w:rsidRPr="00EC2A6E">
        <w:rPr>
          <w:rFonts w:asciiTheme="minorHAnsi" w:hAnsiTheme="minorHAnsi"/>
        </w:rPr>
        <w:t>, professional status</w:t>
      </w:r>
      <w:r w:rsidR="001F2C88" w:rsidRPr="00EC2A6E">
        <w:rPr>
          <w:rFonts w:asciiTheme="minorHAnsi" w:hAnsiTheme="minorHAnsi"/>
        </w:rPr>
        <w:t xml:space="preserve"> or social standing</w:t>
      </w:r>
      <w:r w:rsidRPr="00EC2A6E">
        <w:rPr>
          <w:rFonts w:asciiTheme="minorHAnsi" w:hAnsiTheme="minorHAnsi"/>
        </w:rPr>
        <w:t xml:space="preserve">, a </w:t>
      </w:r>
      <w:r w:rsidR="008D13FF" w:rsidRPr="00EC2A6E">
        <w:rPr>
          <w:rFonts w:asciiTheme="minorHAnsi" w:hAnsiTheme="minorHAnsi"/>
        </w:rPr>
        <w:t xml:space="preserve">sentencing </w:t>
      </w:r>
      <w:r w:rsidRPr="00EC2A6E">
        <w:rPr>
          <w:rFonts w:asciiTheme="minorHAnsi" w:hAnsiTheme="minorHAnsi"/>
        </w:rPr>
        <w:t>court should bear in mind that “</w:t>
      </w:r>
      <w:r w:rsidRPr="00EC2A6E">
        <w:rPr>
          <w:rFonts w:asciiTheme="minorHAnsi" w:hAnsiTheme="minorHAnsi"/>
          <w:i/>
        </w:rPr>
        <w:t>it</w:t>
      </w:r>
      <w:r w:rsidR="001F2C88" w:rsidRPr="00EC2A6E">
        <w:rPr>
          <w:rFonts w:asciiTheme="minorHAnsi" w:hAnsiTheme="minorHAnsi"/>
          <w:i/>
        </w:rPr>
        <w:t xml:space="preserve"> </w:t>
      </w:r>
      <w:r w:rsidR="00E00C63" w:rsidRPr="00EC2A6E">
        <w:rPr>
          <w:rFonts w:asciiTheme="minorHAnsi" w:hAnsiTheme="minorHAnsi"/>
          <w:i/>
        </w:rPr>
        <w:t>is not generally appropriate that those who are wealthier, or who have a higher public profile, should receive lesser sentences because they have more to lose as a result of conviction.</w:t>
      </w:r>
      <w:r w:rsidRPr="00EC2A6E">
        <w:rPr>
          <w:rFonts w:asciiTheme="minorHAnsi" w:hAnsiTheme="minorHAnsi"/>
        </w:rPr>
        <w:t>”</w:t>
      </w:r>
      <w:r w:rsidRPr="00EC2A6E">
        <w:rPr>
          <w:rStyle w:val="Style"/>
          <w:rFonts w:asciiTheme="minorHAnsi" w:hAnsiTheme="minorHAnsi"/>
        </w:rPr>
        <w:footnoteReference w:id="488"/>
      </w:r>
      <w:r w:rsidR="008612E6" w:rsidRPr="00EC2A6E">
        <w:rPr>
          <w:rFonts w:ascii="Calibri" w:hAnsi="Calibri"/>
        </w:rPr>
        <w:t xml:space="preserve"> </w:t>
      </w:r>
      <w:r w:rsidR="00CA51A1" w:rsidRPr="00EC2A6E">
        <w:rPr>
          <w:rFonts w:ascii="Calibri" w:hAnsi="Calibri"/>
        </w:rPr>
        <w:t xml:space="preserve"> </w:t>
      </w:r>
      <w:r w:rsidR="00CA51A1" w:rsidRPr="00EC2A6E">
        <w:rPr>
          <w:rFonts w:asciiTheme="minorHAnsi" w:hAnsiTheme="minorHAnsi"/>
        </w:rPr>
        <w:t xml:space="preserve">If such matters are taken into account, care must be taken to avoid double counting (for example, </w:t>
      </w:r>
      <w:r w:rsidR="008612E6" w:rsidRPr="00EC2A6E">
        <w:rPr>
          <w:rFonts w:asciiTheme="minorHAnsi" w:hAnsiTheme="minorHAnsi"/>
        </w:rPr>
        <w:t xml:space="preserve">loss of good standing in the community </w:t>
      </w:r>
      <w:r w:rsidR="00CA51A1" w:rsidRPr="00EC2A6E">
        <w:rPr>
          <w:rFonts w:asciiTheme="minorHAnsi" w:hAnsiTheme="minorHAnsi"/>
        </w:rPr>
        <w:t xml:space="preserve">and </w:t>
      </w:r>
      <w:r w:rsidR="008612E6" w:rsidRPr="00EC2A6E">
        <w:rPr>
          <w:rFonts w:asciiTheme="minorHAnsi" w:hAnsiTheme="minorHAnsi"/>
        </w:rPr>
        <w:t>favourable consideration for prior good character</w:t>
      </w:r>
      <w:r w:rsidR="00CA51A1" w:rsidRPr="00EC2A6E">
        <w:rPr>
          <w:rFonts w:asciiTheme="minorHAnsi" w:hAnsiTheme="minorHAnsi"/>
        </w:rPr>
        <w:t>)</w:t>
      </w:r>
      <w:r w:rsidR="008612E6" w:rsidRPr="00EC2A6E">
        <w:rPr>
          <w:rFonts w:asciiTheme="minorHAnsi" w:hAnsiTheme="minorHAnsi"/>
        </w:rPr>
        <w:t>.</w:t>
      </w:r>
      <w:r w:rsidR="00CA51A1" w:rsidRPr="00EC2A6E">
        <w:rPr>
          <w:rStyle w:val="Style"/>
          <w:rFonts w:asciiTheme="minorHAnsi" w:hAnsiTheme="minorHAnsi"/>
        </w:rPr>
        <w:footnoteReference w:id="489"/>
      </w:r>
    </w:p>
    <w:p w14:paraId="094AFF03" w14:textId="77777777" w:rsidR="00772482" w:rsidRPr="00EC2A6E" w:rsidRDefault="00772482" w:rsidP="00EB7F1E">
      <w:pPr>
        <w:pStyle w:val="ListParagraph"/>
        <w:rPr>
          <w:rFonts w:asciiTheme="minorHAnsi" w:hAnsiTheme="minorHAnsi"/>
        </w:rPr>
      </w:pPr>
    </w:p>
    <w:p w14:paraId="4670F84A" w14:textId="05F0CEBB" w:rsidR="007F19A7" w:rsidRPr="00EC2A6E" w:rsidRDefault="00F747F0"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If extra-curial punishment is a relevant factor in sentencing, it must be weighed against </w:t>
      </w:r>
      <w:r w:rsidR="00C52368" w:rsidRPr="00EC2A6E">
        <w:rPr>
          <w:rFonts w:asciiTheme="minorHAnsi" w:hAnsiTheme="minorHAnsi"/>
        </w:rPr>
        <w:t xml:space="preserve">other </w:t>
      </w:r>
      <w:r w:rsidR="005527A5" w:rsidRPr="00EC2A6E">
        <w:rPr>
          <w:rFonts w:asciiTheme="minorHAnsi" w:hAnsiTheme="minorHAnsi"/>
        </w:rPr>
        <w:t xml:space="preserve">relevant </w:t>
      </w:r>
      <w:r w:rsidR="00C52368" w:rsidRPr="00EC2A6E">
        <w:rPr>
          <w:rFonts w:asciiTheme="minorHAnsi" w:hAnsiTheme="minorHAnsi"/>
        </w:rPr>
        <w:t xml:space="preserve">factors, such as the need for adequate punishment (s 16A(2)(k)), general deterrence (s 16A(2)(ja)) and specific deterrence (s 16A(2)(j)) and the overarching obligation to impose </w:t>
      </w:r>
      <w:r w:rsidR="005527A5" w:rsidRPr="00EC2A6E">
        <w:rPr>
          <w:rFonts w:asciiTheme="minorHAnsi" w:hAnsiTheme="minorHAnsi"/>
        </w:rPr>
        <w:t xml:space="preserve">a sentence or to make an order of a </w:t>
      </w:r>
      <w:r w:rsidR="005527A5" w:rsidRPr="00EC2A6E">
        <w:rPr>
          <w:rFonts w:asciiTheme="minorHAnsi" w:hAnsiTheme="minorHAnsi"/>
          <w:i/>
        </w:rPr>
        <w:t>“severity appropriate in all the circumstances”</w:t>
      </w:r>
      <w:r w:rsidR="005527A5" w:rsidRPr="00EC2A6E">
        <w:rPr>
          <w:rFonts w:asciiTheme="minorHAnsi" w:hAnsiTheme="minorHAnsi"/>
        </w:rPr>
        <w:t xml:space="preserve"> of the offence (s 16A(1))</w:t>
      </w:r>
      <w:r w:rsidR="00C52368" w:rsidRPr="00EC2A6E">
        <w:rPr>
          <w:rFonts w:asciiTheme="minorHAnsi" w:hAnsiTheme="minorHAnsi"/>
        </w:rPr>
        <w:t>.</w:t>
      </w:r>
    </w:p>
    <w:p w14:paraId="711E7F78" w14:textId="77777777" w:rsidR="007F19A7" w:rsidRPr="00EC2A6E" w:rsidRDefault="007F19A7" w:rsidP="008D13FF">
      <w:pPr>
        <w:pStyle w:val="ListParagraph"/>
        <w:rPr>
          <w:rFonts w:asciiTheme="minorHAnsi" w:hAnsiTheme="minorHAnsi"/>
        </w:rPr>
      </w:pPr>
    </w:p>
    <w:p w14:paraId="71E0A340" w14:textId="05C3CFD1" w:rsidR="00772482" w:rsidRPr="00EC2A6E" w:rsidRDefault="0004186C"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See also the following discussions of particular </w:t>
      </w:r>
      <w:r w:rsidR="009A721E" w:rsidRPr="00EC2A6E">
        <w:rPr>
          <w:rFonts w:asciiTheme="minorHAnsi" w:hAnsiTheme="minorHAnsi"/>
        </w:rPr>
        <w:t>issues</w:t>
      </w:r>
      <w:r w:rsidRPr="00EC2A6E">
        <w:rPr>
          <w:rFonts w:asciiTheme="minorHAnsi" w:hAnsiTheme="minorHAnsi"/>
        </w:rPr>
        <w:t xml:space="preserve">: </w:t>
      </w:r>
    </w:p>
    <w:p w14:paraId="585614BE" w14:textId="5BF073BA" w:rsidR="0004186C" w:rsidRPr="00EC2A6E" w:rsidRDefault="0004186C" w:rsidP="00EB7F1E">
      <w:pPr>
        <w:pStyle w:val="ListParagraph"/>
        <w:numPr>
          <w:ilvl w:val="1"/>
          <w:numId w:val="36"/>
        </w:numPr>
        <w:spacing w:line="276" w:lineRule="auto"/>
        <w:ind w:left="993" w:right="28" w:hanging="142"/>
        <w:rPr>
          <w:rFonts w:asciiTheme="minorHAnsi" w:hAnsiTheme="minorHAnsi"/>
        </w:rPr>
      </w:pPr>
      <w:r w:rsidRPr="00EC2A6E">
        <w:rPr>
          <w:rFonts w:asciiTheme="minorHAnsi" w:hAnsiTheme="minorHAnsi"/>
        </w:rPr>
        <w:t>“</w:t>
      </w:r>
      <w:r w:rsidRPr="00EC2A6E">
        <w:rPr>
          <w:rFonts w:asciiTheme="minorHAnsi" w:hAnsiTheme="minorHAnsi"/>
        </w:rPr>
        <w:fldChar w:fldCharType="begin"/>
      </w:r>
      <w:r w:rsidRPr="00EC2A6E">
        <w:rPr>
          <w:rFonts w:asciiTheme="minorHAnsi" w:hAnsiTheme="minorHAnsi"/>
        </w:rPr>
        <w:instrText xml:space="preserve"> REF _Ref492550047 \r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Pr>
          <w:rFonts w:asciiTheme="minorHAnsi" w:hAnsiTheme="minorHAnsi"/>
        </w:rPr>
        <w:t>4.5.7</w:t>
      </w:r>
      <w:r w:rsidRPr="00EC2A6E">
        <w:rPr>
          <w:rFonts w:asciiTheme="minorHAnsi" w:hAnsiTheme="minorHAnsi"/>
        </w:rPr>
        <w:fldChar w:fldCharType="end"/>
      </w:r>
      <w:r w:rsidRPr="00EC2A6E">
        <w:rPr>
          <w:rFonts w:asciiTheme="minorHAnsi" w:hAnsiTheme="minorHAnsi"/>
        </w:rPr>
        <w:t xml:space="preserve"> </w:t>
      </w:r>
      <w:r w:rsidRPr="00EC2A6E">
        <w:rPr>
          <w:rFonts w:asciiTheme="minorHAnsi" w:hAnsiTheme="minorHAnsi"/>
        </w:rPr>
        <w:fldChar w:fldCharType="begin"/>
      </w:r>
      <w:r w:rsidRPr="00EC2A6E">
        <w:rPr>
          <w:rFonts w:asciiTheme="minorHAnsi" w:hAnsiTheme="minorHAnsi"/>
        </w:rPr>
        <w:instrText xml:space="preserve"> REF _Ref492550047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sidRPr="00D44BCF">
        <w:rPr>
          <w:rFonts w:asciiTheme="minorHAnsi" w:hAnsiTheme="minorHAnsi"/>
        </w:rPr>
        <w:t>Prospect of visa cancellation and deportation</w:t>
      </w:r>
      <w:r w:rsidRPr="00EC2A6E">
        <w:rPr>
          <w:rFonts w:asciiTheme="minorHAnsi" w:hAnsiTheme="minorHAnsi"/>
        </w:rPr>
        <w:fldChar w:fldCharType="end"/>
      </w:r>
      <w:r w:rsidRPr="00EC2A6E">
        <w:rPr>
          <w:rFonts w:asciiTheme="minorHAnsi" w:hAnsiTheme="minorHAnsi"/>
        </w:rPr>
        <w:t>”</w:t>
      </w:r>
    </w:p>
    <w:p w14:paraId="316A2C58" w14:textId="5E2B1D2A" w:rsidR="0004186C" w:rsidRPr="00EC2A6E" w:rsidRDefault="0004186C" w:rsidP="00EB7F1E">
      <w:pPr>
        <w:pStyle w:val="ListParagraph"/>
        <w:numPr>
          <w:ilvl w:val="1"/>
          <w:numId w:val="36"/>
        </w:numPr>
        <w:spacing w:line="276" w:lineRule="auto"/>
        <w:ind w:left="993" w:right="28" w:hanging="142"/>
        <w:rPr>
          <w:rFonts w:asciiTheme="minorHAnsi" w:hAnsiTheme="minorHAnsi"/>
        </w:rPr>
      </w:pPr>
      <w:r w:rsidRPr="00EC2A6E">
        <w:rPr>
          <w:rFonts w:asciiTheme="minorHAnsi" w:hAnsiTheme="minorHAnsi"/>
        </w:rPr>
        <w:t>“</w:t>
      </w:r>
      <w:r w:rsidRPr="00EC2A6E">
        <w:rPr>
          <w:rFonts w:asciiTheme="minorHAnsi" w:hAnsiTheme="minorHAnsi"/>
        </w:rPr>
        <w:fldChar w:fldCharType="begin"/>
      </w:r>
      <w:r w:rsidRPr="00EC2A6E">
        <w:rPr>
          <w:rFonts w:asciiTheme="minorHAnsi" w:hAnsiTheme="minorHAnsi"/>
        </w:rPr>
        <w:instrText xml:space="preserve"> REF _Ref2007579 \r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Pr>
          <w:rFonts w:asciiTheme="minorHAnsi" w:hAnsiTheme="minorHAnsi"/>
        </w:rPr>
        <w:t>4.5.8</w:t>
      </w:r>
      <w:r w:rsidRPr="00EC2A6E">
        <w:rPr>
          <w:rFonts w:asciiTheme="minorHAnsi" w:hAnsiTheme="minorHAnsi"/>
        </w:rPr>
        <w:fldChar w:fldCharType="end"/>
      </w:r>
      <w:r w:rsidRPr="00EC2A6E">
        <w:rPr>
          <w:rFonts w:asciiTheme="minorHAnsi" w:hAnsiTheme="minorHAnsi"/>
        </w:rPr>
        <w:t xml:space="preserve"> </w:t>
      </w:r>
      <w:r w:rsidRPr="00EC2A6E">
        <w:rPr>
          <w:rFonts w:asciiTheme="minorHAnsi" w:hAnsiTheme="minorHAnsi"/>
        </w:rPr>
        <w:fldChar w:fldCharType="begin"/>
      </w:r>
      <w:r w:rsidRPr="00EC2A6E">
        <w:rPr>
          <w:rFonts w:asciiTheme="minorHAnsi" w:hAnsiTheme="minorHAnsi"/>
        </w:rPr>
        <w:instrText xml:space="preserve"> REF _Ref2007588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sidRPr="00D44BCF">
        <w:rPr>
          <w:rFonts w:asciiTheme="minorHAnsi" w:hAnsiTheme="minorHAnsi"/>
        </w:rPr>
        <w:t>Orders under Proceeds of Crime Act 2002 (Cth)</w:t>
      </w:r>
      <w:r w:rsidRPr="00EC2A6E">
        <w:rPr>
          <w:rFonts w:asciiTheme="minorHAnsi" w:hAnsiTheme="minorHAnsi"/>
        </w:rPr>
        <w:fldChar w:fldCharType="end"/>
      </w:r>
      <w:r w:rsidRPr="00EC2A6E">
        <w:rPr>
          <w:rFonts w:asciiTheme="minorHAnsi" w:hAnsiTheme="minorHAnsi"/>
        </w:rPr>
        <w:t>”</w:t>
      </w:r>
    </w:p>
    <w:p w14:paraId="28B58E99" w14:textId="2E49C2F9" w:rsidR="0004186C" w:rsidRPr="00EC2A6E" w:rsidRDefault="0004186C" w:rsidP="00EB7F1E">
      <w:pPr>
        <w:pStyle w:val="ListParagraph"/>
        <w:numPr>
          <w:ilvl w:val="1"/>
          <w:numId w:val="36"/>
        </w:numPr>
        <w:spacing w:line="276" w:lineRule="auto"/>
        <w:ind w:left="993" w:right="28" w:hanging="142"/>
        <w:rPr>
          <w:rFonts w:asciiTheme="minorHAnsi" w:hAnsiTheme="minorHAnsi"/>
        </w:rPr>
      </w:pPr>
      <w:r w:rsidRPr="00EC2A6E">
        <w:rPr>
          <w:rFonts w:asciiTheme="minorHAnsi" w:hAnsiTheme="minorHAnsi"/>
        </w:rPr>
        <w:t>“</w:t>
      </w:r>
      <w:r w:rsidRPr="00EC2A6E">
        <w:rPr>
          <w:rFonts w:asciiTheme="minorHAnsi" w:hAnsiTheme="minorHAnsi"/>
        </w:rPr>
        <w:fldChar w:fldCharType="begin"/>
      </w:r>
      <w:r w:rsidRPr="00EC2A6E">
        <w:rPr>
          <w:rFonts w:asciiTheme="minorHAnsi" w:hAnsiTheme="minorHAnsi"/>
        </w:rPr>
        <w:instrText xml:space="preserve"> REF _Ref2007606 \r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Pr>
          <w:rFonts w:asciiTheme="minorHAnsi" w:hAnsiTheme="minorHAnsi"/>
        </w:rPr>
        <w:t>4.5.9</w:t>
      </w:r>
      <w:r w:rsidRPr="00EC2A6E">
        <w:rPr>
          <w:rFonts w:asciiTheme="minorHAnsi" w:hAnsiTheme="minorHAnsi"/>
        </w:rPr>
        <w:fldChar w:fldCharType="end"/>
      </w:r>
      <w:r w:rsidRPr="00EC2A6E">
        <w:rPr>
          <w:rFonts w:asciiTheme="minorHAnsi" w:hAnsiTheme="minorHAnsi"/>
        </w:rPr>
        <w:t xml:space="preserve"> </w:t>
      </w:r>
      <w:r w:rsidRPr="00EC2A6E">
        <w:rPr>
          <w:rFonts w:asciiTheme="minorHAnsi" w:hAnsiTheme="minorHAnsi"/>
        </w:rPr>
        <w:fldChar w:fldCharType="begin"/>
      </w:r>
      <w:r w:rsidRPr="00EC2A6E">
        <w:rPr>
          <w:rFonts w:asciiTheme="minorHAnsi" w:hAnsiTheme="minorHAnsi"/>
        </w:rPr>
        <w:instrText xml:space="preserve"> REF _Ref2007614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sidRPr="00D44BCF">
        <w:rPr>
          <w:rFonts w:asciiTheme="minorHAnsi" w:hAnsiTheme="minorHAnsi"/>
        </w:rPr>
        <w:t>Prospect of a future order under Proceeds of Crime Act 2002 (Cth)</w:t>
      </w:r>
      <w:r w:rsidRPr="00EC2A6E">
        <w:rPr>
          <w:rFonts w:asciiTheme="minorHAnsi" w:hAnsiTheme="minorHAnsi"/>
        </w:rPr>
        <w:fldChar w:fldCharType="end"/>
      </w:r>
      <w:r w:rsidRPr="00EC2A6E">
        <w:rPr>
          <w:rFonts w:asciiTheme="minorHAnsi" w:hAnsiTheme="minorHAnsi"/>
        </w:rPr>
        <w:t>”</w:t>
      </w:r>
    </w:p>
    <w:p w14:paraId="272C8B85" w14:textId="6B262125" w:rsidR="0004186C" w:rsidRPr="00EC2A6E" w:rsidRDefault="0004186C" w:rsidP="00EB7F1E">
      <w:pPr>
        <w:pStyle w:val="ListParagraph"/>
        <w:numPr>
          <w:ilvl w:val="1"/>
          <w:numId w:val="36"/>
        </w:numPr>
        <w:spacing w:line="276" w:lineRule="auto"/>
        <w:ind w:left="993" w:right="28" w:hanging="142"/>
        <w:rPr>
          <w:rFonts w:asciiTheme="minorHAnsi" w:hAnsiTheme="minorHAnsi"/>
        </w:rPr>
      </w:pPr>
      <w:r w:rsidRPr="00EC2A6E">
        <w:rPr>
          <w:rFonts w:asciiTheme="minorHAnsi" w:hAnsiTheme="minorHAnsi"/>
        </w:rPr>
        <w:t>“</w:t>
      </w:r>
      <w:r w:rsidRPr="00EC2A6E">
        <w:rPr>
          <w:rFonts w:asciiTheme="minorHAnsi" w:hAnsiTheme="minorHAnsi"/>
        </w:rPr>
        <w:fldChar w:fldCharType="begin"/>
      </w:r>
      <w:r w:rsidRPr="00EC2A6E">
        <w:rPr>
          <w:rFonts w:asciiTheme="minorHAnsi" w:hAnsiTheme="minorHAnsi"/>
        </w:rPr>
        <w:instrText xml:space="preserve"> REF _Ref491941958 \r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Pr>
          <w:rFonts w:asciiTheme="minorHAnsi" w:hAnsiTheme="minorHAnsi"/>
        </w:rPr>
        <w:t>4.5.11</w:t>
      </w:r>
      <w:r w:rsidRPr="00EC2A6E">
        <w:rPr>
          <w:rFonts w:asciiTheme="minorHAnsi" w:hAnsiTheme="minorHAnsi"/>
        </w:rPr>
        <w:fldChar w:fldCharType="end"/>
      </w:r>
      <w:r w:rsidRPr="00EC2A6E">
        <w:rPr>
          <w:rFonts w:asciiTheme="minorHAnsi" w:hAnsiTheme="minorHAnsi"/>
        </w:rPr>
        <w:t xml:space="preserve"> </w:t>
      </w:r>
      <w:r w:rsidRPr="00EC2A6E">
        <w:rPr>
          <w:rFonts w:asciiTheme="minorHAnsi" w:hAnsiTheme="minorHAnsi"/>
        </w:rPr>
        <w:fldChar w:fldCharType="begin"/>
      </w:r>
      <w:r w:rsidRPr="00EC2A6E">
        <w:rPr>
          <w:rFonts w:asciiTheme="minorHAnsi" w:hAnsiTheme="minorHAnsi"/>
        </w:rPr>
        <w:instrText xml:space="preserve"> REF _Ref491941958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sidRPr="00D44BCF">
        <w:rPr>
          <w:rFonts w:asciiTheme="minorHAnsi" w:hAnsiTheme="minorHAnsi"/>
        </w:rPr>
        <w:t>Forfeiture by operation of law</w:t>
      </w:r>
      <w:r w:rsidRPr="00EC2A6E">
        <w:rPr>
          <w:rFonts w:asciiTheme="minorHAnsi" w:hAnsiTheme="minorHAnsi"/>
        </w:rPr>
        <w:fldChar w:fldCharType="end"/>
      </w:r>
      <w:r w:rsidRPr="00EC2A6E">
        <w:rPr>
          <w:rFonts w:asciiTheme="minorHAnsi" w:hAnsiTheme="minorHAnsi"/>
        </w:rPr>
        <w:t>”</w:t>
      </w:r>
    </w:p>
    <w:p w14:paraId="510E8574" w14:textId="4A3A87E4" w:rsidR="0004186C" w:rsidRPr="00EC2A6E" w:rsidRDefault="0004186C" w:rsidP="00EB7F1E">
      <w:pPr>
        <w:pStyle w:val="ListParagraph"/>
        <w:numPr>
          <w:ilvl w:val="1"/>
          <w:numId w:val="36"/>
        </w:numPr>
        <w:spacing w:line="276" w:lineRule="auto"/>
        <w:ind w:left="993" w:right="28" w:hanging="142"/>
        <w:rPr>
          <w:rFonts w:asciiTheme="minorHAnsi" w:hAnsiTheme="minorHAnsi"/>
        </w:rPr>
      </w:pPr>
      <w:r w:rsidRPr="00EC2A6E">
        <w:rPr>
          <w:rFonts w:asciiTheme="minorHAnsi" w:hAnsiTheme="minorHAnsi"/>
        </w:rPr>
        <w:t>“</w:t>
      </w:r>
      <w:r w:rsidRPr="00EC2A6E">
        <w:rPr>
          <w:rFonts w:asciiTheme="minorHAnsi" w:hAnsiTheme="minorHAnsi"/>
        </w:rPr>
        <w:fldChar w:fldCharType="begin"/>
      </w:r>
      <w:r w:rsidRPr="00EC2A6E">
        <w:rPr>
          <w:rFonts w:asciiTheme="minorHAnsi" w:hAnsiTheme="minorHAnsi"/>
        </w:rPr>
        <w:instrText xml:space="preserve"> REF _Ref2007683 \r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Pr>
          <w:rFonts w:asciiTheme="minorHAnsi" w:hAnsiTheme="minorHAnsi"/>
        </w:rPr>
        <w:t>4.5.12</w:t>
      </w:r>
      <w:r w:rsidRPr="00EC2A6E">
        <w:rPr>
          <w:rFonts w:asciiTheme="minorHAnsi" w:hAnsiTheme="minorHAnsi"/>
        </w:rPr>
        <w:fldChar w:fldCharType="end"/>
      </w:r>
      <w:r w:rsidRPr="00EC2A6E">
        <w:rPr>
          <w:rFonts w:asciiTheme="minorHAnsi" w:hAnsiTheme="minorHAnsi"/>
        </w:rPr>
        <w:t xml:space="preserve"> </w:t>
      </w:r>
      <w:r w:rsidRPr="00EC2A6E">
        <w:rPr>
          <w:rFonts w:asciiTheme="minorHAnsi" w:hAnsiTheme="minorHAnsi"/>
        </w:rPr>
        <w:fldChar w:fldCharType="begin"/>
      </w:r>
      <w:r w:rsidRPr="00EC2A6E">
        <w:rPr>
          <w:rFonts w:asciiTheme="minorHAnsi" w:hAnsiTheme="minorHAnsi"/>
        </w:rPr>
        <w:instrText xml:space="preserve"> REF _Ref2007691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sidRPr="00D44BCF">
        <w:rPr>
          <w:rFonts w:asciiTheme="minorHAnsi" w:hAnsiTheme="minorHAnsi"/>
        </w:rPr>
        <w:t>Superannuation order</w:t>
      </w:r>
      <w:r w:rsidRPr="00EC2A6E">
        <w:rPr>
          <w:rFonts w:asciiTheme="minorHAnsi" w:hAnsiTheme="minorHAnsi"/>
        </w:rPr>
        <w:fldChar w:fldCharType="end"/>
      </w:r>
      <w:r w:rsidRPr="00EC2A6E">
        <w:rPr>
          <w:rFonts w:asciiTheme="minorHAnsi" w:hAnsiTheme="minorHAnsi"/>
        </w:rPr>
        <w:t>”</w:t>
      </w:r>
    </w:p>
    <w:p w14:paraId="7E33ACBA" w14:textId="63A4386C" w:rsidR="0004186C" w:rsidRPr="00EC2A6E" w:rsidRDefault="0004186C" w:rsidP="00EB7F1E">
      <w:pPr>
        <w:pStyle w:val="ListParagraph"/>
        <w:numPr>
          <w:ilvl w:val="1"/>
          <w:numId w:val="36"/>
        </w:numPr>
        <w:spacing w:line="276" w:lineRule="auto"/>
        <w:ind w:left="993" w:right="28" w:hanging="142"/>
        <w:rPr>
          <w:rFonts w:asciiTheme="minorHAnsi" w:hAnsiTheme="minorHAnsi"/>
        </w:rPr>
      </w:pPr>
      <w:r w:rsidRPr="00EC2A6E">
        <w:rPr>
          <w:rFonts w:asciiTheme="minorHAnsi" w:hAnsiTheme="minorHAnsi"/>
        </w:rPr>
        <w:t>“</w:t>
      </w:r>
      <w:r w:rsidRPr="00EC2A6E">
        <w:rPr>
          <w:rFonts w:asciiTheme="minorHAnsi" w:hAnsiTheme="minorHAnsi"/>
        </w:rPr>
        <w:fldChar w:fldCharType="begin"/>
      </w:r>
      <w:r w:rsidRPr="00EC2A6E">
        <w:rPr>
          <w:rFonts w:asciiTheme="minorHAnsi" w:hAnsiTheme="minorHAnsi"/>
        </w:rPr>
        <w:instrText xml:space="preserve"> REF _Ref2007707 \r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Pr>
          <w:rFonts w:asciiTheme="minorHAnsi" w:hAnsiTheme="minorHAnsi"/>
        </w:rPr>
        <w:t>4.5.13</w:t>
      </w:r>
      <w:r w:rsidRPr="00EC2A6E">
        <w:rPr>
          <w:rFonts w:asciiTheme="minorHAnsi" w:hAnsiTheme="minorHAnsi"/>
        </w:rPr>
        <w:fldChar w:fldCharType="end"/>
      </w:r>
      <w:r w:rsidRPr="00EC2A6E">
        <w:rPr>
          <w:rFonts w:asciiTheme="minorHAnsi" w:hAnsiTheme="minorHAnsi"/>
        </w:rPr>
        <w:t xml:space="preserve"> </w:t>
      </w:r>
      <w:r w:rsidRPr="00EC2A6E">
        <w:rPr>
          <w:rFonts w:asciiTheme="minorHAnsi" w:hAnsiTheme="minorHAnsi"/>
        </w:rPr>
        <w:fldChar w:fldCharType="begin"/>
      </w:r>
      <w:r w:rsidRPr="00EC2A6E">
        <w:rPr>
          <w:rFonts w:asciiTheme="minorHAnsi" w:hAnsiTheme="minorHAnsi"/>
        </w:rPr>
        <w:instrText xml:space="preserve"> REF _Ref2007722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sidRPr="00D44BCF">
        <w:rPr>
          <w:rFonts w:asciiTheme="minorHAnsi" w:hAnsiTheme="minorHAnsi"/>
        </w:rPr>
        <w:t>Registration of sexual offenders and other offenders</w:t>
      </w:r>
      <w:r w:rsidRPr="00EC2A6E">
        <w:rPr>
          <w:rFonts w:asciiTheme="minorHAnsi" w:hAnsiTheme="minorHAnsi"/>
        </w:rPr>
        <w:fldChar w:fldCharType="end"/>
      </w:r>
      <w:r w:rsidRPr="00EC2A6E">
        <w:rPr>
          <w:rFonts w:asciiTheme="minorHAnsi" w:hAnsiTheme="minorHAnsi"/>
        </w:rPr>
        <w:t>”</w:t>
      </w:r>
    </w:p>
    <w:p w14:paraId="10B7DA19" w14:textId="37BFD523" w:rsidR="0004186C" w:rsidRPr="00EC2A6E" w:rsidRDefault="0004186C" w:rsidP="00EB7F1E">
      <w:pPr>
        <w:pStyle w:val="ListParagraph"/>
        <w:numPr>
          <w:ilvl w:val="1"/>
          <w:numId w:val="36"/>
        </w:numPr>
        <w:spacing w:line="276" w:lineRule="auto"/>
        <w:ind w:left="993" w:right="28" w:hanging="142"/>
        <w:rPr>
          <w:rFonts w:asciiTheme="minorHAnsi" w:hAnsiTheme="minorHAnsi"/>
        </w:rPr>
      </w:pPr>
      <w:r w:rsidRPr="00EC2A6E">
        <w:rPr>
          <w:rFonts w:asciiTheme="minorHAnsi" w:hAnsiTheme="minorHAnsi"/>
        </w:rPr>
        <w:t>“</w:t>
      </w:r>
      <w:r w:rsidRPr="00EC2A6E">
        <w:rPr>
          <w:rFonts w:asciiTheme="minorHAnsi" w:hAnsiTheme="minorHAnsi"/>
        </w:rPr>
        <w:fldChar w:fldCharType="begin"/>
      </w:r>
      <w:r w:rsidRPr="00EC2A6E">
        <w:rPr>
          <w:rFonts w:asciiTheme="minorHAnsi" w:hAnsiTheme="minorHAnsi"/>
        </w:rPr>
        <w:instrText xml:space="preserve"> REF _Ref493066725 \r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Pr>
          <w:rFonts w:asciiTheme="minorHAnsi" w:hAnsiTheme="minorHAnsi"/>
        </w:rPr>
        <w:t>4.5.14</w:t>
      </w:r>
      <w:r w:rsidRPr="00EC2A6E">
        <w:rPr>
          <w:rFonts w:asciiTheme="minorHAnsi" w:hAnsiTheme="minorHAnsi"/>
        </w:rPr>
        <w:fldChar w:fldCharType="end"/>
      </w:r>
      <w:r w:rsidRPr="00EC2A6E">
        <w:rPr>
          <w:rFonts w:asciiTheme="minorHAnsi" w:hAnsiTheme="minorHAnsi"/>
        </w:rPr>
        <w:t xml:space="preserve"> </w:t>
      </w:r>
      <w:r w:rsidRPr="00EC2A6E">
        <w:rPr>
          <w:rFonts w:asciiTheme="minorHAnsi" w:hAnsiTheme="minorHAnsi"/>
        </w:rPr>
        <w:fldChar w:fldCharType="begin"/>
      </w:r>
      <w:r w:rsidRPr="00EC2A6E">
        <w:rPr>
          <w:rFonts w:asciiTheme="minorHAnsi" w:hAnsiTheme="minorHAnsi"/>
        </w:rPr>
        <w:instrText xml:space="preserve"> REF _Ref493066725 \h </w:instrText>
      </w:r>
      <w:r w:rsidR="007031C5" w:rsidRPr="00EC2A6E">
        <w:rPr>
          <w:rFonts w:asciiTheme="minorHAnsi" w:hAnsiTheme="minorHAnsi"/>
        </w:rPr>
        <w:instrText xml:space="preserve"> \* MERGEFORMAT </w:instrText>
      </w:r>
      <w:r w:rsidRPr="00EC2A6E">
        <w:rPr>
          <w:rFonts w:asciiTheme="minorHAnsi" w:hAnsiTheme="minorHAnsi"/>
        </w:rPr>
      </w:r>
      <w:r w:rsidRPr="00EC2A6E">
        <w:rPr>
          <w:rFonts w:asciiTheme="minorHAnsi" w:hAnsiTheme="minorHAnsi"/>
        </w:rPr>
        <w:fldChar w:fldCharType="separate"/>
      </w:r>
      <w:r w:rsidR="00D44BCF" w:rsidRPr="00D44BCF">
        <w:rPr>
          <w:rFonts w:asciiTheme="minorHAnsi" w:hAnsiTheme="minorHAnsi"/>
        </w:rPr>
        <w:t>Control orders and continuing detention orders</w:t>
      </w:r>
      <w:r w:rsidRPr="00EC2A6E">
        <w:rPr>
          <w:rFonts w:asciiTheme="minorHAnsi" w:hAnsiTheme="minorHAnsi"/>
        </w:rPr>
        <w:fldChar w:fldCharType="end"/>
      </w:r>
      <w:r w:rsidRPr="00EC2A6E">
        <w:rPr>
          <w:rFonts w:asciiTheme="minorHAnsi" w:hAnsiTheme="minorHAnsi"/>
        </w:rPr>
        <w:t>”</w:t>
      </w:r>
    </w:p>
    <w:p w14:paraId="48A6B426" w14:textId="77777777" w:rsidR="00240051" w:rsidRPr="002146C2" w:rsidRDefault="00240051" w:rsidP="009922FD">
      <w:pPr>
        <w:pStyle w:val="ListParagraph"/>
        <w:rPr>
          <w:rFonts w:asciiTheme="minorHAnsi" w:hAnsiTheme="minorHAnsi"/>
        </w:rPr>
      </w:pPr>
    </w:p>
    <w:p w14:paraId="05ACD7A3" w14:textId="3D692A01" w:rsidR="001E337B" w:rsidRDefault="00EB05E7" w:rsidP="00C14A45">
      <w:pPr>
        <w:pStyle w:val="Heading3"/>
      </w:pPr>
      <w:bookmarkStart w:id="1508" w:name="_Ref492550047"/>
      <w:bookmarkStart w:id="1509" w:name="_Ref492550050"/>
      <w:bookmarkStart w:id="1510" w:name="_Toc33602807"/>
      <w:r>
        <w:t xml:space="preserve">Prospect of </w:t>
      </w:r>
      <w:r w:rsidR="00820794">
        <w:t xml:space="preserve">visa cancellation and </w:t>
      </w:r>
      <w:r w:rsidRPr="00BA2B0B">
        <w:t>deportation</w:t>
      </w:r>
      <w:bookmarkEnd w:id="1508"/>
      <w:bookmarkEnd w:id="1509"/>
      <w:bookmarkEnd w:id="1510"/>
      <w:r w:rsidRPr="00BA2B0B">
        <w:t xml:space="preserve"> </w:t>
      </w:r>
    </w:p>
    <w:p w14:paraId="546450F4" w14:textId="77777777" w:rsidR="00EA5662" w:rsidRPr="00576EEE" w:rsidRDefault="00EA5662" w:rsidP="00C14A45">
      <w:pPr>
        <w:pStyle w:val="NormalIndent"/>
        <w:keepNext/>
        <w:rPr>
          <w:rFonts w:ascii="Calibri" w:hAnsi="Calibri"/>
        </w:rPr>
      </w:pPr>
    </w:p>
    <w:p w14:paraId="4F1F7042" w14:textId="53B2664C" w:rsidR="00AB151B" w:rsidRDefault="006469AB" w:rsidP="00EB7F1E">
      <w:pPr>
        <w:pStyle w:val="ListParagraph"/>
        <w:numPr>
          <w:ilvl w:val="0"/>
          <w:numId w:val="7"/>
        </w:numPr>
        <w:spacing w:line="276" w:lineRule="auto"/>
        <w:ind w:left="425" w:hanging="425"/>
        <w:contextualSpacing w:val="0"/>
        <w:rPr>
          <w:rFonts w:asciiTheme="minorHAnsi" w:hAnsiTheme="minorHAnsi"/>
        </w:rPr>
      </w:pPr>
      <w:bookmarkStart w:id="1511" w:name="_Ref472495089"/>
      <w:r>
        <w:rPr>
          <w:rFonts w:asciiTheme="minorHAnsi" w:hAnsiTheme="minorHAnsi"/>
        </w:rPr>
        <w:t>A c</w:t>
      </w:r>
      <w:r w:rsidRPr="006469AB">
        <w:rPr>
          <w:rFonts w:asciiTheme="minorHAnsi" w:hAnsiTheme="minorHAnsi"/>
        </w:rPr>
        <w:t xml:space="preserve">ourt </w:t>
      </w:r>
      <w:r>
        <w:rPr>
          <w:rFonts w:asciiTheme="minorHAnsi" w:hAnsiTheme="minorHAnsi"/>
        </w:rPr>
        <w:t xml:space="preserve">sentencing a federal offender </w:t>
      </w:r>
      <w:r w:rsidRPr="006469AB">
        <w:rPr>
          <w:rFonts w:asciiTheme="minorHAnsi" w:hAnsiTheme="minorHAnsi"/>
        </w:rPr>
        <w:t xml:space="preserve">is not precluded from fixing a non-parole period in respect of a federal sentence </w:t>
      </w:r>
      <w:r>
        <w:rPr>
          <w:rFonts w:asciiTheme="minorHAnsi" w:hAnsiTheme="minorHAnsi"/>
        </w:rPr>
        <w:t xml:space="preserve">merely </w:t>
      </w:r>
      <w:r w:rsidRPr="006469AB">
        <w:rPr>
          <w:rFonts w:asciiTheme="minorHAnsi" w:hAnsiTheme="minorHAnsi"/>
        </w:rPr>
        <w:t>because the person is, or may be, liable to be deported from Australia</w:t>
      </w:r>
      <w:r w:rsidRPr="00576EEE">
        <w:rPr>
          <w:rFonts w:ascii="Calibri" w:hAnsi="Calibri"/>
          <w:i/>
        </w:rPr>
        <w:t>.</w:t>
      </w:r>
      <w:r w:rsidRPr="006469AB">
        <w:rPr>
          <w:rStyle w:val="Style"/>
          <w:rFonts w:asciiTheme="minorHAnsi" w:hAnsiTheme="minorHAnsi"/>
        </w:rPr>
        <w:footnoteReference w:id="490"/>
      </w:r>
      <w:r w:rsidRPr="006469AB">
        <w:rPr>
          <w:rStyle w:val="Style"/>
          <w:rFonts w:asciiTheme="minorHAnsi" w:hAnsiTheme="minorHAnsi"/>
        </w:rPr>
        <w:t xml:space="preserve"> </w:t>
      </w:r>
      <w:r w:rsidR="000124B4">
        <w:rPr>
          <w:rStyle w:val="Style"/>
          <w:rFonts w:asciiTheme="minorHAnsi" w:hAnsiTheme="minorHAnsi"/>
        </w:rPr>
        <w:t xml:space="preserve"> </w:t>
      </w:r>
      <w:r w:rsidRPr="00EC46C4">
        <w:rPr>
          <w:rFonts w:asciiTheme="minorHAnsi" w:hAnsiTheme="minorHAnsi"/>
        </w:rPr>
        <w:t>Nor should a sentencing court decline to do so on this basis.  A primary benefit of parole is rehabilitation of the offender and a non-resident non-citizen offender who is likely to be deported should also receive this benefit by being eligible for release on parole</w:t>
      </w:r>
      <w:r w:rsidR="00EC46C4">
        <w:rPr>
          <w:rFonts w:asciiTheme="minorHAnsi" w:hAnsiTheme="minorHAnsi"/>
        </w:rPr>
        <w:t>.</w:t>
      </w:r>
      <w:r w:rsidRPr="006469AB">
        <w:rPr>
          <w:rStyle w:val="Style"/>
          <w:rFonts w:asciiTheme="minorHAnsi" w:hAnsiTheme="minorHAnsi"/>
        </w:rPr>
        <w:footnoteReference w:id="491"/>
      </w:r>
    </w:p>
    <w:p w14:paraId="54AF2A8C" w14:textId="77777777" w:rsidR="00C91020" w:rsidRPr="00C91020" w:rsidRDefault="00C91020" w:rsidP="00C91020">
      <w:pPr>
        <w:spacing w:line="276" w:lineRule="auto"/>
        <w:ind w:right="170"/>
        <w:rPr>
          <w:rFonts w:asciiTheme="minorHAnsi" w:hAnsiTheme="minorHAnsi"/>
        </w:rPr>
      </w:pPr>
    </w:p>
    <w:p w14:paraId="15325B97" w14:textId="65787066" w:rsidR="006469AB" w:rsidRDefault="00C9102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Australian authority is divided on the question whether the prospect that an offender</w:t>
      </w:r>
      <w:r w:rsidR="00AA693C">
        <w:rPr>
          <w:rFonts w:asciiTheme="minorHAnsi" w:hAnsiTheme="minorHAnsi"/>
        </w:rPr>
        <w:t>’</w:t>
      </w:r>
      <w:r w:rsidR="00820794">
        <w:rPr>
          <w:rFonts w:asciiTheme="minorHAnsi" w:hAnsiTheme="minorHAnsi"/>
        </w:rPr>
        <w:t>s visa will be cancelled and that he or she</w:t>
      </w:r>
      <w:r>
        <w:rPr>
          <w:rFonts w:asciiTheme="minorHAnsi" w:hAnsiTheme="minorHAnsi"/>
        </w:rPr>
        <w:t xml:space="preserve"> will be deported can </w:t>
      </w:r>
      <w:r w:rsidR="00BA32CA">
        <w:rPr>
          <w:rFonts w:asciiTheme="minorHAnsi" w:hAnsiTheme="minorHAnsi"/>
        </w:rPr>
        <w:t xml:space="preserve">ever </w:t>
      </w:r>
      <w:r>
        <w:rPr>
          <w:rFonts w:asciiTheme="minorHAnsi" w:hAnsiTheme="minorHAnsi"/>
        </w:rPr>
        <w:t xml:space="preserve">be </w:t>
      </w:r>
      <w:r w:rsidR="007E1970">
        <w:rPr>
          <w:rFonts w:asciiTheme="minorHAnsi" w:hAnsiTheme="minorHAnsi"/>
        </w:rPr>
        <w:t xml:space="preserve">a </w:t>
      </w:r>
      <w:r>
        <w:rPr>
          <w:rFonts w:asciiTheme="minorHAnsi" w:hAnsiTheme="minorHAnsi"/>
        </w:rPr>
        <w:t>mitigating factor in sentencing, and if so in what circumstances.</w:t>
      </w:r>
      <w:r w:rsidR="00D778F7">
        <w:rPr>
          <w:rFonts w:asciiTheme="minorHAnsi" w:hAnsiTheme="minorHAnsi"/>
        </w:rPr>
        <w:t xml:space="preserve"> </w:t>
      </w:r>
    </w:p>
    <w:p w14:paraId="44228620" w14:textId="77777777" w:rsidR="00A82FB6" w:rsidRPr="00A82FB6" w:rsidRDefault="00A82FB6" w:rsidP="00A82FB6">
      <w:pPr>
        <w:pStyle w:val="ListParagraph"/>
        <w:rPr>
          <w:rFonts w:asciiTheme="minorHAnsi" w:hAnsiTheme="minorHAnsi"/>
        </w:rPr>
      </w:pPr>
    </w:p>
    <w:p w14:paraId="7F345AC4" w14:textId="65FB0FA9" w:rsidR="00D453B5" w:rsidRDefault="00D453B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Under the provisions of the </w:t>
      </w:r>
      <w:r w:rsidRPr="00D453B5">
        <w:rPr>
          <w:rFonts w:asciiTheme="minorHAnsi" w:hAnsiTheme="minorHAnsi"/>
          <w:i/>
        </w:rPr>
        <w:t>Migration Act</w:t>
      </w:r>
      <w:r>
        <w:rPr>
          <w:rFonts w:asciiTheme="minorHAnsi" w:hAnsiTheme="minorHAnsi"/>
        </w:rPr>
        <w:t xml:space="preserve"> </w:t>
      </w:r>
      <w:r w:rsidRPr="007E1970">
        <w:rPr>
          <w:rFonts w:asciiTheme="minorHAnsi" w:hAnsiTheme="minorHAnsi"/>
          <w:i/>
        </w:rPr>
        <w:t>1958</w:t>
      </w:r>
      <w:r>
        <w:rPr>
          <w:rFonts w:asciiTheme="minorHAnsi" w:hAnsiTheme="minorHAnsi"/>
        </w:rPr>
        <w:t xml:space="preserve"> (Cth), whether an offender is deported as a consequence of committing an offence depends upon the exercise of executive discretion</w:t>
      </w:r>
      <w:r w:rsidR="007E1970">
        <w:rPr>
          <w:rFonts w:asciiTheme="minorHAnsi" w:hAnsiTheme="minorHAnsi"/>
        </w:rPr>
        <w:t xml:space="preserve"> (even though there is a presumption in favour of deportation in some circumstances)</w:t>
      </w:r>
      <w:r>
        <w:rPr>
          <w:rFonts w:asciiTheme="minorHAnsi" w:hAnsiTheme="minorHAnsi"/>
        </w:rPr>
        <w:t>.  Appellate courts have held</w:t>
      </w:r>
      <w:r w:rsidRPr="006E138D">
        <w:rPr>
          <w:rFonts w:asciiTheme="minorHAnsi" w:hAnsiTheme="minorHAnsi"/>
        </w:rPr>
        <w:t>, in a number of contexts, that ordinarily a sentencing court should not engage in speculation about the possible future exercise of an administrative or a judicial discretion that might affect, or relate to, an offender at the completion of the offender</w:t>
      </w:r>
      <w:r w:rsidR="00AA693C">
        <w:rPr>
          <w:rFonts w:asciiTheme="minorHAnsi" w:hAnsiTheme="minorHAnsi"/>
        </w:rPr>
        <w:t>’</w:t>
      </w:r>
      <w:r w:rsidRPr="006E138D">
        <w:rPr>
          <w:rFonts w:asciiTheme="minorHAnsi" w:hAnsiTheme="minorHAnsi"/>
        </w:rPr>
        <w:t>s non-parole period, or after service of the whole sentence.</w:t>
      </w:r>
      <w:r w:rsidRPr="006469AB">
        <w:rPr>
          <w:rStyle w:val="Style"/>
          <w:rFonts w:asciiTheme="minorHAnsi" w:hAnsiTheme="minorHAnsi"/>
        </w:rPr>
        <w:footnoteReference w:id="492"/>
      </w:r>
    </w:p>
    <w:p w14:paraId="64D89CBB" w14:textId="77777777" w:rsidR="00D453B5" w:rsidRPr="00D453B5" w:rsidRDefault="00D453B5" w:rsidP="00D453B5">
      <w:pPr>
        <w:pStyle w:val="ListParagraph"/>
        <w:rPr>
          <w:rFonts w:asciiTheme="minorHAnsi" w:hAnsiTheme="minorHAnsi"/>
        </w:rPr>
      </w:pPr>
    </w:p>
    <w:p w14:paraId="68FAC3CE" w14:textId="6B94BB48" w:rsidR="00A82FB6" w:rsidRDefault="00AF4D8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Appellate courts </w:t>
      </w:r>
      <w:r w:rsidR="00A82FB6">
        <w:rPr>
          <w:rFonts w:asciiTheme="minorHAnsi" w:hAnsiTheme="minorHAnsi"/>
        </w:rPr>
        <w:t xml:space="preserve">in </w:t>
      </w:r>
      <w:r w:rsidR="00A82FB6" w:rsidRPr="00A82FB6">
        <w:rPr>
          <w:rFonts w:asciiTheme="minorHAnsi" w:hAnsiTheme="minorHAnsi"/>
        </w:rPr>
        <w:t>New South Wales</w:t>
      </w:r>
      <w:r>
        <w:rPr>
          <w:rFonts w:asciiTheme="minorHAnsi" w:hAnsiTheme="minorHAnsi"/>
        </w:rPr>
        <w:t>,</w:t>
      </w:r>
      <w:r w:rsidR="00A82FB6" w:rsidRPr="006469AB">
        <w:rPr>
          <w:rStyle w:val="Style"/>
          <w:rFonts w:asciiTheme="minorHAnsi" w:hAnsiTheme="minorHAnsi"/>
        </w:rPr>
        <w:footnoteReference w:id="493"/>
      </w:r>
      <w:r w:rsidRPr="00AF4D8C">
        <w:rPr>
          <w:rFonts w:asciiTheme="minorHAnsi" w:hAnsiTheme="minorHAnsi"/>
        </w:rPr>
        <w:t xml:space="preserve"> </w:t>
      </w:r>
      <w:r w:rsidRPr="00A82FB6">
        <w:rPr>
          <w:rFonts w:asciiTheme="minorHAnsi" w:hAnsiTheme="minorHAnsi"/>
        </w:rPr>
        <w:t>Western Australia</w:t>
      </w:r>
      <w:r w:rsidRPr="00576EEE">
        <w:rPr>
          <w:rFonts w:ascii="Calibri" w:hAnsi="Calibri"/>
          <w:i/>
        </w:rPr>
        <w:t>,</w:t>
      </w:r>
      <w:r w:rsidRPr="006469AB">
        <w:rPr>
          <w:rStyle w:val="Style"/>
          <w:rFonts w:asciiTheme="minorHAnsi" w:hAnsiTheme="minorHAnsi"/>
        </w:rPr>
        <w:footnoteReference w:id="494"/>
      </w:r>
      <w:r w:rsidRPr="00AF4D8C">
        <w:rPr>
          <w:rFonts w:asciiTheme="minorHAnsi" w:hAnsiTheme="minorHAnsi"/>
        </w:rPr>
        <w:t xml:space="preserve"> </w:t>
      </w:r>
      <w:r>
        <w:rPr>
          <w:rFonts w:asciiTheme="minorHAnsi" w:hAnsiTheme="minorHAnsi"/>
        </w:rPr>
        <w:t xml:space="preserve">and </w:t>
      </w:r>
      <w:r w:rsidRPr="00A82FB6">
        <w:rPr>
          <w:rFonts w:asciiTheme="minorHAnsi" w:hAnsiTheme="minorHAnsi"/>
        </w:rPr>
        <w:t>the Northern Territory</w:t>
      </w:r>
      <w:r w:rsidR="00631235" w:rsidRPr="006469AB">
        <w:rPr>
          <w:rStyle w:val="Style"/>
          <w:rFonts w:asciiTheme="minorHAnsi" w:hAnsiTheme="minorHAnsi"/>
        </w:rPr>
        <w:footnoteReference w:id="495"/>
      </w:r>
      <w:r>
        <w:rPr>
          <w:rFonts w:asciiTheme="minorHAnsi" w:hAnsiTheme="minorHAnsi"/>
        </w:rPr>
        <w:t xml:space="preserve"> </w:t>
      </w:r>
      <w:r w:rsidR="00BA32CA">
        <w:rPr>
          <w:rFonts w:asciiTheme="minorHAnsi" w:hAnsiTheme="minorHAnsi"/>
        </w:rPr>
        <w:t>have held that</w:t>
      </w:r>
      <w:r w:rsidR="00D778F7">
        <w:rPr>
          <w:rFonts w:asciiTheme="minorHAnsi" w:hAnsiTheme="minorHAnsi"/>
        </w:rPr>
        <w:t xml:space="preserve"> </w:t>
      </w:r>
      <w:r w:rsidR="00BA32CA">
        <w:rPr>
          <w:rFonts w:asciiTheme="minorHAnsi" w:hAnsiTheme="minorHAnsi"/>
        </w:rPr>
        <w:t>the prospect of deportation</w:t>
      </w:r>
      <w:r w:rsidR="00D778F7">
        <w:rPr>
          <w:rFonts w:asciiTheme="minorHAnsi" w:hAnsiTheme="minorHAnsi"/>
        </w:rPr>
        <w:t xml:space="preserve">, without more, </w:t>
      </w:r>
      <w:r>
        <w:rPr>
          <w:rFonts w:asciiTheme="minorHAnsi" w:hAnsiTheme="minorHAnsi"/>
        </w:rPr>
        <w:t>is</w:t>
      </w:r>
      <w:r w:rsidR="00BA32CA">
        <w:rPr>
          <w:rFonts w:asciiTheme="minorHAnsi" w:hAnsiTheme="minorHAnsi"/>
        </w:rPr>
        <w:t xml:space="preserve"> not a mitigating factor in sentencing</w:t>
      </w:r>
      <w:r w:rsidR="00BA32CA" w:rsidRPr="00BA32CA">
        <w:rPr>
          <w:rFonts w:asciiTheme="minorHAnsi" w:hAnsiTheme="minorHAnsi"/>
        </w:rPr>
        <w:t xml:space="preserve">. </w:t>
      </w:r>
      <w:r w:rsidR="00BA32CA">
        <w:rPr>
          <w:rFonts w:asciiTheme="minorHAnsi" w:hAnsiTheme="minorHAnsi"/>
        </w:rPr>
        <w:t xml:space="preserve"> </w:t>
      </w:r>
      <w:r w:rsidR="00F97B06">
        <w:rPr>
          <w:rFonts w:asciiTheme="minorHAnsi" w:hAnsiTheme="minorHAnsi"/>
        </w:rPr>
        <w:t xml:space="preserve">Amongst the reasons for this approach are that </w:t>
      </w:r>
      <w:r w:rsidR="00F97B06" w:rsidRPr="00576EEE">
        <w:rPr>
          <w:rFonts w:ascii="Calibri" w:hAnsi="Calibri"/>
          <w:lang w:eastAsia="en-AU"/>
        </w:rPr>
        <w:t>“</w:t>
      </w:r>
      <w:r w:rsidR="00F97B06" w:rsidRPr="0093041C">
        <w:rPr>
          <w:rFonts w:asciiTheme="minorHAnsi" w:hAnsiTheme="minorHAnsi"/>
          <w:i/>
        </w:rPr>
        <w:t>the prospect of deportation … is the product of an entirely separate legislative policy area of the regulation of society</w:t>
      </w:r>
      <w:r w:rsidR="00F97B06">
        <w:rPr>
          <w:rFonts w:asciiTheme="minorHAnsi" w:hAnsiTheme="minorHAnsi"/>
        </w:rPr>
        <w:t>”,</w:t>
      </w:r>
      <w:r w:rsidR="001247A3" w:rsidRPr="006469AB">
        <w:rPr>
          <w:rStyle w:val="Style"/>
          <w:rFonts w:asciiTheme="minorHAnsi" w:hAnsiTheme="minorHAnsi"/>
        </w:rPr>
        <w:footnoteReference w:id="496"/>
      </w:r>
      <w:r w:rsidR="00F97B06">
        <w:rPr>
          <w:rFonts w:asciiTheme="minorHAnsi" w:hAnsiTheme="minorHAnsi"/>
        </w:rPr>
        <w:t xml:space="preserve"> </w:t>
      </w:r>
      <w:r w:rsidR="00C10929">
        <w:rPr>
          <w:rFonts w:asciiTheme="minorHAnsi" w:hAnsiTheme="minorHAnsi"/>
        </w:rPr>
        <w:t>that deportation is entirely a matter for the executive government,</w:t>
      </w:r>
      <w:r w:rsidR="00C10929" w:rsidRPr="006469AB">
        <w:rPr>
          <w:rStyle w:val="Style"/>
          <w:rFonts w:asciiTheme="minorHAnsi" w:hAnsiTheme="minorHAnsi"/>
        </w:rPr>
        <w:footnoteReference w:id="497"/>
      </w:r>
      <w:r w:rsidR="00C10929">
        <w:rPr>
          <w:rFonts w:asciiTheme="minorHAnsi" w:hAnsiTheme="minorHAnsi"/>
        </w:rPr>
        <w:t xml:space="preserve"> </w:t>
      </w:r>
      <w:r w:rsidR="005D3942">
        <w:rPr>
          <w:rFonts w:asciiTheme="minorHAnsi" w:hAnsiTheme="minorHAnsi"/>
        </w:rPr>
        <w:t>that</w:t>
      </w:r>
      <w:r w:rsidR="00A80A52">
        <w:rPr>
          <w:rFonts w:asciiTheme="minorHAnsi" w:hAnsiTheme="minorHAnsi"/>
        </w:rPr>
        <w:t xml:space="preserve"> the possible exercise of a discretionary executive power does not affect the duty of a court in determining an appropriate sentence,</w:t>
      </w:r>
      <w:r w:rsidR="00A80A52" w:rsidRPr="006469AB">
        <w:rPr>
          <w:rStyle w:val="Style"/>
          <w:rFonts w:asciiTheme="minorHAnsi" w:hAnsiTheme="minorHAnsi"/>
        </w:rPr>
        <w:footnoteReference w:id="498"/>
      </w:r>
      <w:r w:rsidR="00A80A52">
        <w:rPr>
          <w:rFonts w:asciiTheme="minorHAnsi" w:hAnsiTheme="minorHAnsi"/>
        </w:rPr>
        <w:t xml:space="preserve"> </w:t>
      </w:r>
      <w:r w:rsidR="00F97B06">
        <w:rPr>
          <w:rFonts w:asciiTheme="minorHAnsi" w:hAnsiTheme="minorHAnsi"/>
        </w:rPr>
        <w:t xml:space="preserve">and that </w:t>
      </w:r>
      <w:r w:rsidR="00BA32CA" w:rsidRPr="00BA32CA">
        <w:rPr>
          <w:rFonts w:asciiTheme="minorHAnsi" w:hAnsiTheme="minorHAnsi"/>
        </w:rPr>
        <w:t>it is an affront to the proper administration of criminal justice that offenders who are liable to deportation might be treated more leniently than Australian citizens</w:t>
      </w:r>
      <w:r w:rsidR="00D778F7">
        <w:rPr>
          <w:rFonts w:asciiTheme="minorHAnsi" w:hAnsiTheme="minorHAnsi"/>
        </w:rPr>
        <w:t>.</w:t>
      </w:r>
      <w:r w:rsidR="001247A3" w:rsidRPr="006469AB">
        <w:rPr>
          <w:rStyle w:val="Style"/>
          <w:rFonts w:asciiTheme="minorHAnsi" w:hAnsiTheme="minorHAnsi"/>
        </w:rPr>
        <w:footnoteReference w:id="499"/>
      </w:r>
      <w:r w:rsidR="00346220">
        <w:rPr>
          <w:rFonts w:asciiTheme="minorHAnsi" w:hAnsiTheme="minorHAnsi"/>
        </w:rPr>
        <w:t xml:space="preserve">  Courts in these jurisdictions have also denied that an offender</w:t>
      </w:r>
      <w:r w:rsidR="00AA693C">
        <w:rPr>
          <w:rFonts w:asciiTheme="minorHAnsi" w:hAnsiTheme="minorHAnsi"/>
        </w:rPr>
        <w:t>’</w:t>
      </w:r>
      <w:r w:rsidR="00346220">
        <w:rPr>
          <w:rFonts w:asciiTheme="minorHAnsi" w:hAnsiTheme="minorHAnsi"/>
        </w:rPr>
        <w:t>s anxiety about possible deportation should be treated as mitigatory</w:t>
      </w:r>
      <w:r w:rsidR="005D3942">
        <w:rPr>
          <w:rFonts w:asciiTheme="minorHAnsi" w:hAnsiTheme="minorHAnsi"/>
        </w:rPr>
        <w:t>, any more than should unavoidable uncertainty about other consequences of a sentence.</w:t>
      </w:r>
      <w:r w:rsidR="005D3942" w:rsidRPr="006469AB">
        <w:rPr>
          <w:rStyle w:val="Style"/>
          <w:rFonts w:asciiTheme="minorHAnsi" w:hAnsiTheme="minorHAnsi"/>
        </w:rPr>
        <w:footnoteReference w:id="500"/>
      </w:r>
    </w:p>
    <w:p w14:paraId="2B80D3F4" w14:textId="29D3B8B1" w:rsidR="005D3942" w:rsidRPr="005D3942" w:rsidRDefault="005D3942" w:rsidP="005D3942">
      <w:pPr>
        <w:pStyle w:val="ListParagraph"/>
        <w:rPr>
          <w:rFonts w:asciiTheme="minorHAnsi" w:hAnsiTheme="minorHAnsi"/>
        </w:rPr>
      </w:pPr>
    </w:p>
    <w:p w14:paraId="7E89AB57" w14:textId="77777777" w:rsidR="009C4173" w:rsidRDefault="008442A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By contrast, </w:t>
      </w:r>
      <w:r w:rsidR="005D3942">
        <w:rPr>
          <w:rFonts w:asciiTheme="minorHAnsi" w:hAnsiTheme="minorHAnsi"/>
        </w:rPr>
        <w:t>a</w:t>
      </w:r>
      <w:r w:rsidR="00BA32CA">
        <w:rPr>
          <w:rFonts w:asciiTheme="minorHAnsi" w:hAnsiTheme="minorHAnsi"/>
        </w:rPr>
        <w:t>ppellate courts in Victoria</w:t>
      </w:r>
      <w:r w:rsidR="00314263" w:rsidRPr="00C00000">
        <w:rPr>
          <w:rStyle w:val="Style"/>
          <w:rFonts w:asciiTheme="minorHAnsi" w:hAnsiTheme="minorHAnsi"/>
        </w:rPr>
        <w:footnoteReference w:id="501"/>
      </w:r>
      <w:r w:rsidR="00BA32CA">
        <w:rPr>
          <w:rFonts w:asciiTheme="minorHAnsi" w:hAnsiTheme="minorHAnsi"/>
        </w:rPr>
        <w:t xml:space="preserve"> and Queensland</w:t>
      </w:r>
      <w:r w:rsidR="00314263" w:rsidRPr="00C00000">
        <w:rPr>
          <w:rStyle w:val="Style"/>
          <w:rFonts w:asciiTheme="minorHAnsi" w:hAnsiTheme="minorHAnsi"/>
        </w:rPr>
        <w:footnoteReference w:id="502"/>
      </w:r>
      <w:r w:rsidR="005D3942">
        <w:rPr>
          <w:rFonts w:asciiTheme="minorHAnsi" w:hAnsiTheme="minorHAnsi"/>
        </w:rPr>
        <w:t xml:space="preserve"> have held that the prospect of deportation can be a mitigating factor</w:t>
      </w:r>
      <w:r w:rsidR="00754357">
        <w:rPr>
          <w:rFonts w:asciiTheme="minorHAnsi" w:hAnsiTheme="minorHAnsi"/>
        </w:rPr>
        <w:t xml:space="preserve">, on </w:t>
      </w:r>
      <w:r w:rsidR="007C337E">
        <w:rPr>
          <w:rFonts w:asciiTheme="minorHAnsi" w:hAnsiTheme="minorHAnsi"/>
        </w:rPr>
        <w:t xml:space="preserve">either or both of two </w:t>
      </w:r>
      <w:r w:rsidR="00754357">
        <w:rPr>
          <w:rFonts w:asciiTheme="minorHAnsi" w:hAnsiTheme="minorHAnsi"/>
        </w:rPr>
        <w:t>bas</w:t>
      </w:r>
      <w:r w:rsidR="007C337E">
        <w:rPr>
          <w:rFonts w:asciiTheme="minorHAnsi" w:hAnsiTheme="minorHAnsi"/>
        </w:rPr>
        <w:t>es</w:t>
      </w:r>
      <w:r w:rsidR="00D61CA0">
        <w:rPr>
          <w:rFonts w:asciiTheme="minorHAnsi" w:hAnsiTheme="minorHAnsi"/>
        </w:rPr>
        <w:t>:</w:t>
      </w:r>
      <w:r w:rsidR="00754357">
        <w:rPr>
          <w:rFonts w:asciiTheme="minorHAnsi" w:hAnsiTheme="minorHAnsi"/>
        </w:rPr>
        <w:t xml:space="preserve"> that deportation consequent upon offending </w:t>
      </w:r>
      <w:r w:rsidR="004F550F">
        <w:rPr>
          <w:rFonts w:asciiTheme="minorHAnsi" w:hAnsiTheme="minorHAnsi"/>
        </w:rPr>
        <w:t>will</w:t>
      </w:r>
      <w:r w:rsidR="00754357">
        <w:rPr>
          <w:rFonts w:asciiTheme="minorHAnsi" w:hAnsiTheme="minorHAnsi"/>
        </w:rPr>
        <w:t xml:space="preserve"> cons</w:t>
      </w:r>
      <w:r w:rsidR="0078049F">
        <w:rPr>
          <w:rFonts w:asciiTheme="minorHAnsi" w:hAnsiTheme="minorHAnsi"/>
        </w:rPr>
        <w:t xml:space="preserve">titute </w:t>
      </w:r>
      <w:r w:rsidR="00CF31BD">
        <w:rPr>
          <w:rFonts w:asciiTheme="minorHAnsi" w:hAnsiTheme="minorHAnsi"/>
        </w:rPr>
        <w:t xml:space="preserve">an </w:t>
      </w:r>
      <w:r w:rsidR="005022CE">
        <w:rPr>
          <w:rFonts w:asciiTheme="minorHAnsi" w:hAnsiTheme="minorHAnsi"/>
        </w:rPr>
        <w:t>additional</w:t>
      </w:r>
      <w:r w:rsidR="0078049F">
        <w:rPr>
          <w:rFonts w:asciiTheme="minorHAnsi" w:hAnsiTheme="minorHAnsi"/>
        </w:rPr>
        <w:t xml:space="preserve"> punishment</w:t>
      </w:r>
      <w:r w:rsidR="001B7F8B">
        <w:rPr>
          <w:rFonts w:asciiTheme="minorHAnsi" w:hAnsiTheme="minorHAnsi"/>
        </w:rPr>
        <w:t xml:space="preserve">, by </w:t>
      </w:r>
      <w:r w:rsidR="00CF31BD">
        <w:rPr>
          <w:rFonts w:asciiTheme="minorHAnsi" w:hAnsiTheme="minorHAnsi"/>
        </w:rPr>
        <w:t xml:space="preserve">the offender </w:t>
      </w:r>
      <w:r w:rsidR="001B7F8B">
        <w:rPr>
          <w:rFonts w:asciiTheme="minorHAnsi" w:hAnsiTheme="minorHAnsi"/>
        </w:rPr>
        <w:t>losing the opportunity to settle permanently in Australia</w:t>
      </w:r>
      <w:r w:rsidR="00D61CA0">
        <w:rPr>
          <w:rFonts w:asciiTheme="minorHAnsi" w:hAnsiTheme="minorHAnsi"/>
        </w:rPr>
        <w:t>;</w:t>
      </w:r>
      <w:r w:rsidR="00754357">
        <w:rPr>
          <w:rFonts w:asciiTheme="minorHAnsi" w:hAnsiTheme="minorHAnsi"/>
        </w:rPr>
        <w:t xml:space="preserve"> or that uncertainty about the prospect of deportation </w:t>
      </w:r>
      <w:r w:rsidR="004F550F">
        <w:rPr>
          <w:rFonts w:asciiTheme="minorHAnsi" w:hAnsiTheme="minorHAnsi"/>
        </w:rPr>
        <w:t>will</w:t>
      </w:r>
      <w:r w:rsidR="00754357">
        <w:rPr>
          <w:rFonts w:asciiTheme="minorHAnsi" w:hAnsiTheme="minorHAnsi"/>
        </w:rPr>
        <w:t xml:space="preserve"> make </w:t>
      </w:r>
      <w:r w:rsidR="004F550F">
        <w:rPr>
          <w:rFonts w:asciiTheme="minorHAnsi" w:hAnsiTheme="minorHAnsi"/>
        </w:rPr>
        <w:t xml:space="preserve">the </w:t>
      </w:r>
      <w:r w:rsidR="00754357">
        <w:rPr>
          <w:rFonts w:asciiTheme="minorHAnsi" w:hAnsiTheme="minorHAnsi"/>
        </w:rPr>
        <w:t xml:space="preserve">service of a sentence </w:t>
      </w:r>
      <w:r w:rsidR="00D61CA0">
        <w:rPr>
          <w:rFonts w:asciiTheme="minorHAnsi" w:hAnsiTheme="minorHAnsi"/>
        </w:rPr>
        <w:t xml:space="preserve">of imprisonment </w:t>
      </w:r>
      <w:r w:rsidR="00754357">
        <w:rPr>
          <w:rFonts w:asciiTheme="minorHAnsi" w:hAnsiTheme="minorHAnsi"/>
        </w:rPr>
        <w:t>more onerous</w:t>
      </w:r>
      <w:r w:rsidR="004F550F">
        <w:rPr>
          <w:rFonts w:asciiTheme="minorHAnsi" w:hAnsiTheme="minorHAnsi"/>
        </w:rPr>
        <w:t xml:space="preserve"> for the particular offender</w:t>
      </w:r>
      <w:r w:rsidR="00754357">
        <w:rPr>
          <w:rFonts w:asciiTheme="minorHAnsi" w:hAnsiTheme="minorHAnsi"/>
        </w:rPr>
        <w:t>.</w:t>
      </w:r>
    </w:p>
    <w:p w14:paraId="4C5F1C73" w14:textId="77777777" w:rsidR="009C4173" w:rsidRPr="00EB7F1E" w:rsidRDefault="009C4173" w:rsidP="00EB7F1E">
      <w:pPr>
        <w:pStyle w:val="ListParagraph"/>
        <w:rPr>
          <w:rFonts w:asciiTheme="minorHAnsi" w:hAnsiTheme="minorHAnsi"/>
        </w:rPr>
      </w:pPr>
    </w:p>
    <w:p w14:paraId="4EF431C1" w14:textId="43E1A0C8" w:rsidR="00BA32CA" w:rsidRDefault="008442A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However </w:t>
      </w:r>
      <w:r w:rsidR="002579AD">
        <w:rPr>
          <w:rFonts w:asciiTheme="minorHAnsi" w:hAnsiTheme="minorHAnsi"/>
        </w:rPr>
        <w:t xml:space="preserve">even in </w:t>
      </w:r>
      <w:r w:rsidR="005B1D00">
        <w:rPr>
          <w:rFonts w:asciiTheme="minorHAnsi" w:hAnsiTheme="minorHAnsi"/>
        </w:rPr>
        <w:t>those jurisdictions a mere “</w:t>
      </w:r>
      <w:r w:rsidR="005B1D00" w:rsidRPr="00D26F80">
        <w:rPr>
          <w:rFonts w:asciiTheme="minorHAnsi" w:hAnsiTheme="minorHAnsi"/>
          <w:i/>
        </w:rPr>
        <w:t>speculative possibility</w:t>
      </w:r>
      <w:r w:rsidR="00CF31BD">
        <w:rPr>
          <w:rFonts w:asciiTheme="minorHAnsi" w:hAnsiTheme="minorHAnsi"/>
        </w:rPr>
        <w:t>”</w:t>
      </w:r>
      <w:r w:rsidR="005B1D00">
        <w:rPr>
          <w:rFonts w:asciiTheme="minorHAnsi" w:hAnsiTheme="minorHAnsi"/>
        </w:rPr>
        <w:t xml:space="preserve"> of deportation will not suffice</w:t>
      </w:r>
      <w:r w:rsidR="00172891">
        <w:rPr>
          <w:rFonts w:asciiTheme="minorHAnsi" w:hAnsiTheme="minorHAnsi"/>
        </w:rPr>
        <w:t>.</w:t>
      </w:r>
      <w:r w:rsidR="00CF31BD" w:rsidRPr="00C00000">
        <w:rPr>
          <w:rStyle w:val="Style"/>
          <w:rFonts w:asciiTheme="minorHAnsi" w:hAnsiTheme="minorHAnsi"/>
        </w:rPr>
        <w:footnoteReference w:id="503"/>
      </w:r>
      <w:r w:rsidR="005B1D00">
        <w:rPr>
          <w:rFonts w:asciiTheme="minorHAnsi" w:hAnsiTheme="minorHAnsi"/>
        </w:rPr>
        <w:t xml:space="preserve"> </w:t>
      </w:r>
      <w:r w:rsidR="00172891">
        <w:rPr>
          <w:rFonts w:asciiTheme="minorHAnsi" w:hAnsiTheme="minorHAnsi"/>
        </w:rPr>
        <w:t xml:space="preserve"> The </w:t>
      </w:r>
      <w:r w:rsidR="00A87BE7">
        <w:rPr>
          <w:rFonts w:asciiTheme="minorHAnsi" w:hAnsiTheme="minorHAnsi"/>
        </w:rPr>
        <w:t xml:space="preserve">prospect of deportation can only be mitigating (on either basis) if there is </w:t>
      </w:r>
      <w:r w:rsidR="000B0FFE" w:rsidRPr="00172891">
        <w:rPr>
          <w:rFonts w:asciiTheme="minorHAnsi" w:hAnsiTheme="minorHAnsi"/>
          <w:i/>
        </w:rPr>
        <w:t>both</w:t>
      </w:r>
      <w:r w:rsidR="000B0FFE">
        <w:rPr>
          <w:rFonts w:asciiTheme="minorHAnsi" w:hAnsiTheme="minorHAnsi"/>
        </w:rPr>
        <w:t xml:space="preserve"> </w:t>
      </w:r>
      <w:r w:rsidR="001A4F79">
        <w:rPr>
          <w:rFonts w:asciiTheme="minorHAnsi" w:hAnsiTheme="minorHAnsi"/>
        </w:rPr>
        <w:t xml:space="preserve">sufficient </w:t>
      </w:r>
      <w:r w:rsidR="00A87BE7">
        <w:rPr>
          <w:rFonts w:asciiTheme="minorHAnsi" w:hAnsiTheme="minorHAnsi"/>
        </w:rPr>
        <w:t xml:space="preserve">evidence (or a concession by the prosecution) </w:t>
      </w:r>
      <w:r w:rsidR="001A4F79">
        <w:rPr>
          <w:rFonts w:asciiTheme="minorHAnsi" w:hAnsiTheme="minorHAnsi"/>
        </w:rPr>
        <w:t>“</w:t>
      </w:r>
      <w:r w:rsidR="00CF31BD" w:rsidRPr="001A4F79">
        <w:rPr>
          <w:rFonts w:asciiTheme="minorHAnsi" w:hAnsiTheme="minorHAnsi"/>
          <w:i/>
        </w:rPr>
        <w:t>to permit a sensible quantification of that risk to be undertaken</w:t>
      </w:r>
      <w:r w:rsidR="001A4F79" w:rsidRPr="001A4F79">
        <w:rPr>
          <w:rFonts w:asciiTheme="minorHAnsi" w:hAnsiTheme="minorHAnsi"/>
        </w:rPr>
        <w:t>”</w:t>
      </w:r>
      <w:r w:rsidR="00B215A7" w:rsidRPr="00C00000">
        <w:rPr>
          <w:rStyle w:val="Style"/>
          <w:rFonts w:asciiTheme="minorHAnsi" w:hAnsiTheme="minorHAnsi"/>
        </w:rPr>
        <w:footnoteReference w:id="504"/>
      </w:r>
      <w:r w:rsidR="00A87BE7" w:rsidRPr="00C00000">
        <w:rPr>
          <w:rFonts w:asciiTheme="minorHAnsi" w:hAnsiTheme="minorHAnsi"/>
        </w:rPr>
        <w:t xml:space="preserve"> </w:t>
      </w:r>
      <w:r w:rsidR="00A87BE7">
        <w:rPr>
          <w:rFonts w:asciiTheme="minorHAnsi" w:hAnsiTheme="minorHAnsi"/>
        </w:rPr>
        <w:t>and</w:t>
      </w:r>
      <w:r w:rsidR="00A87BE7" w:rsidRPr="00C00000">
        <w:rPr>
          <w:rFonts w:asciiTheme="minorHAnsi" w:hAnsiTheme="minorHAnsi"/>
        </w:rPr>
        <w:t xml:space="preserve"> </w:t>
      </w:r>
      <w:r w:rsidR="00A87BE7">
        <w:rPr>
          <w:rFonts w:asciiTheme="minorHAnsi" w:hAnsiTheme="minorHAnsi"/>
        </w:rPr>
        <w:t xml:space="preserve">an evidentiary foundation for concluding </w:t>
      </w:r>
      <w:r w:rsidR="00A87BE7" w:rsidRPr="00C00000">
        <w:rPr>
          <w:rFonts w:asciiTheme="minorHAnsi" w:hAnsiTheme="minorHAnsi"/>
        </w:rPr>
        <w:t>that deportation will in fact be a hardship for the particular offender.</w:t>
      </w:r>
      <w:r w:rsidR="001A4F79" w:rsidRPr="00C00000">
        <w:rPr>
          <w:rStyle w:val="Style"/>
          <w:rFonts w:asciiTheme="minorHAnsi" w:hAnsiTheme="minorHAnsi"/>
        </w:rPr>
        <w:footnoteReference w:id="505"/>
      </w:r>
      <w:r w:rsidR="00A87BE7">
        <w:rPr>
          <w:rFonts w:asciiTheme="minorHAnsi" w:hAnsiTheme="minorHAnsi"/>
        </w:rPr>
        <w:t xml:space="preserve">  </w:t>
      </w:r>
      <w:r w:rsidR="003D7136" w:rsidRPr="003D7136">
        <w:rPr>
          <w:rFonts w:asciiTheme="minorHAnsi" w:hAnsiTheme="minorHAnsi"/>
        </w:rPr>
        <w:t>If the offender will not be eligible for parole for some years,</w:t>
      </w:r>
      <w:r w:rsidR="00744850" w:rsidRPr="00C00000">
        <w:rPr>
          <w:rStyle w:val="Style"/>
          <w:rFonts w:asciiTheme="minorHAnsi" w:hAnsiTheme="minorHAnsi"/>
        </w:rPr>
        <w:footnoteReference w:id="506"/>
      </w:r>
      <w:r w:rsidR="00744850">
        <w:rPr>
          <w:rFonts w:asciiTheme="minorHAnsi" w:hAnsiTheme="minorHAnsi"/>
        </w:rPr>
        <w:t xml:space="preserve"> or </w:t>
      </w:r>
      <w:r w:rsidR="006E4633">
        <w:rPr>
          <w:rFonts w:asciiTheme="minorHAnsi" w:hAnsiTheme="minorHAnsi"/>
        </w:rPr>
        <w:t>if</w:t>
      </w:r>
      <w:r w:rsidR="00DB22C4">
        <w:rPr>
          <w:rFonts w:asciiTheme="minorHAnsi" w:hAnsiTheme="minorHAnsi"/>
        </w:rPr>
        <w:t xml:space="preserve"> deportation </w:t>
      </w:r>
      <w:r w:rsidR="00CF51ED">
        <w:rPr>
          <w:rFonts w:asciiTheme="minorHAnsi" w:hAnsiTheme="minorHAnsi"/>
        </w:rPr>
        <w:t>will depend upon an administrative decision weighing many factors</w:t>
      </w:r>
      <w:r w:rsidR="00A66F7B">
        <w:rPr>
          <w:rFonts w:asciiTheme="minorHAnsi" w:hAnsiTheme="minorHAnsi"/>
        </w:rPr>
        <w:t>,</w:t>
      </w:r>
      <w:r w:rsidR="00A66F7B" w:rsidRPr="00C00000">
        <w:rPr>
          <w:rStyle w:val="Style"/>
          <w:rFonts w:asciiTheme="minorHAnsi" w:hAnsiTheme="minorHAnsi"/>
        </w:rPr>
        <w:footnoteReference w:id="507"/>
      </w:r>
      <w:r w:rsidR="00A66F7B">
        <w:rPr>
          <w:rFonts w:asciiTheme="minorHAnsi" w:hAnsiTheme="minorHAnsi"/>
        </w:rPr>
        <w:t xml:space="preserve"> </w:t>
      </w:r>
      <w:r w:rsidR="00744850">
        <w:rPr>
          <w:rFonts w:asciiTheme="minorHAnsi" w:hAnsiTheme="minorHAnsi"/>
        </w:rPr>
        <w:t xml:space="preserve">the </w:t>
      </w:r>
      <w:r w:rsidR="003D7136" w:rsidRPr="003D7136">
        <w:rPr>
          <w:rFonts w:asciiTheme="minorHAnsi" w:hAnsiTheme="minorHAnsi"/>
        </w:rPr>
        <w:t>assessment of the prospect of deportation will often be particularly speculative</w:t>
      </w:r>
      <w:r w:rsidR="003D7136" w:rsidRPr="00576EEE">
        <w:rPr>
          <w:rFonts w:ascii="Calibri" w:hAnsi="Calibri"/>
          <w:i/>
        </w:rPr>
        <w:t xml:space="preserve">. </w:t>
      </w:r>
      <w:r w:rsidR="003D7136">
        <w:rPr>
          <w:rFonts w:asciiTheme="minorHAnsi" w:hAnsiTheme="minorHAnsi"/>
        </w:rPr>
        <w:t xml:space="preserve"> </w:t>
      </w:r>
      <w:r w:rsidR="00A87BE7">
        <w:rPr>
          <w:rFonts w:asciiTheme="minorHAnsi" w:hAnsiTheme="minorHAnsi"/>
        </w:rPr>
        <w:t xml:space="preserve">The mere existence of </w:t>
      </w:r>
      <w:r w:rsidR="002579AD">
        <w:rPr>
          <w:rFonts w:asciiTheme="minorHAnsi" w:hAnsiTheme="minorHAnsi"/>
        </w:rPr>
        <w:t>the</w:t>
      </w:r>
      <w:r w:rsidR="00A87BE7">
        <w:rPr>
          <w:rFonts w:asciiTheme="minorHAnsi" w:hAnsiTheme="minorHAnsi"/>
        </w:rPr>
        <w:t xml:space="preserve"> statutory regime under </w:t>
      </w:r>
      <w:r w:rsidR="002579AD" w:rsidRPr="002579AD">
        <w:rPr>
          <w:rFonts w:asciiTheme="minorHAnsi" w:hAnsiTheme="minorHAnsi"/>
        </w:rPr>
        <w:t xml:space="preserve">s.501CA of the </w:t>
      </w:r>
      <w:r w:rsidR="002579AD" w:rsidRPr="002579AD">
        <w:rPr>
          <w:rFonts w:asciiTheme="minorHAnsi" w:hAnsiTheme="minorHAnsi"/>
          <w:i/>
        </w:rPr>
        <w:t>Migration Act 1958</w:t>
      </w:r>
      <w:r w:rsidR="002579AD" w:rsidRPr="002579AD">
        <w:rPr>
          <w:rFonts w:asciiTheme="minorHAnsi" w:hAnsiTheme="minorHAnsi"/>
        </w:rPr>
        <w:t xml:space="preserve"> (Cth)</w:t>
      </w:r>
      <w:r w:rsidR="003D7136">
        <w:rPr>
          <w:rFonts w:asciiTheme="minorHAnsi" w:hAnsiTheme="minorHAnsi"/>
        </w:rPr>
        <w:t>,</w:t>
      </w:r>
      <w:r w:rsidR="002579AD">
        <w:rPr>
          <w:rFonts w:asciiTheme="minorHAnsi" w:hAnsiTheme="minorHAnsi"/>
        </w:rPr>
        <w:t xml:space="preserve"> by </w:t>
      </w:r>
      <w:r w:rsidR="00A87BE7">
        <w:rPr>
          <w:rFonts w:asciiTheme="minorHAnsi" w:hAnsiTheme="minorHAnsi"/>
        </w:rPr>
        <w:t xml:space="preserve">which </w:t>
      </w:r>
      <w:r w:rsidR="002579AD">
        <w:rPr>
          <w:rFonts w:asciiTheme="minorHAnsi" w:hAnsiTheme="minorHAnsi"/>
        </w:rPr>
        <w:t xml:space="preserve">certain </w:t>
      </w:r>
      <w:r w:rsidR="00A87BE7">
        <w:rPr>
          <w:rFonts w:asciiTheme="minorHAnsi" w:hAnsiTheme="minorHAnsi"/>
        </w:rPr>
        <w:t>offender</w:t>
      </w:r>
      <w:r w:rsidR="002579AD">
        <w:rPr>
          <w:rFonts w:asciiTheme="minorHAnsi" w:hAnsiTheme="minorHAnsi"/>
        </w:rPr>
        <w:t xml:space="preserve">s are </w:t>
      </w:r>
      <w:r w:rsidR="00A87BE7">
        <w:rPr>
          <w:rFonts w:asciiTheme="minorHAnsi" w:hAnsiTheme="minorHAnsi"/>
        </w:rPr>
        <w:t xml:space="preserve">presumptively liable to deportation </w:t>
      </w:r>
      <w:r w:rsidR="00876807">
        <w:rPr>
          <w:rFonts w:asciiTheme="minorHAnsi" w:hAnsiTheme="minorHAnsi"/>
        </w:rPr>
        <w:t xml:space="preserve">(subject to the exercise of </w:t>
      </w:r>
      <w:r w:rsidR="00A66F7B">
        <w:rPr>
          <w:rFonts w:asciiTheme="minorHAnsi" w:hAnsiTheme="minorHAnsi"/>
        </w:rPr>
        <w:t>administrative</w:t>
      </w:r>
      <w:r w:rsidR="003D7136">
        <w:rPr>
          <w:rFonts w:asciiTheme="minorHAnsi" w:hAnsiTheme="minorHAnsi"/>
        </w:rPr>
        <w:t xml:space="preserve"> </w:t>
      </w:r>
      <w:r w:rsidR="00876807">
        <w:rPr>
          <w:rFonts w:asciiTheme="minorHAnsi" w:hAnsiTheme="minorHAnsi"/>
        </w:rPr>
        <w:t>discretion)</w:t>
      </w:r>
      <w:r w:rsidR="003D7136">
        <w:rPr>
          <w:rFonts w:asciiTheme="minorHAnsi" w:hAnsiTheme="minorHAnsi"/>
        </w:rPr>
        <w:t>,</w:t>
      </w:r>
      <w:r w:rsidR="00876807">
        <w:rPr>
          <w:rFonts w:asciiTheme="minorHAnsi" w:hAnsiTheme="minorHAnsi"/>
        </w:rPr>
        <w:t xml:space="preserve"> </w:t>
      </w:r>
      <w:r w:rsidR="00A87BE7">
        <w:rPr>
          <w:rFonts w:asciiTheme="minorHAnsi" w:hAnsiTheme="minorHAnsi"/>
        </w:rPr>
        <w:t xml:space="preserve">does not entitle </w:t>
      </w:r>
      <w:r w:rsidR="00744850">
        <w:rPr>
          <w:rFonts w:asciiTheme="minorHAnsi" w:hAnsiTheme="minorHAnsi"/>
        </w:rPr>
        <w:t xml:space="preserve">such </w:t>
      </w:r>
      <w:r w:rsidR="00A87BE7">
        <w:rPr>
          <w:rFonts w:asciiTheme="minorHAnsi" w:hAnsiTheme="minorHAnsi"/>
        </w:rPr>
        <w:t>an offender to a reduced sentence.</w:t>
      </w:r>
      <w:r w:rsidR="00A87BE7" w:rsidRPr="00C00000">
        <w:rPr>
          <w:rStyle w:val="Style"/>
          <w:rFonts w:asciiTheme="minorHAnsi" w:hAnsiTheme="minorHAnsi"/>
        </w:rPr>
        <w:footnoteReference w:id="508"/>
      </w:r>
      <w:r w:rsidR="00C307DC">
        <w:rPr>
          <w:rFonts w:asciiTheme="minorHAnsi" w:hAnsiTheme="minorHAnsi"/>
        </w:rPr>
        <w:t xml:space="preserve">  Moreover </w:t>
      </w:r>
      <w:r w:rsidR="009C4173" w:rsidRPr="00EB7F1E">
        <w:rPr>
          <w:rFonts w:asciiTheme="minorHAnsi" w:hAnsiTheme="minorHAnsi"/>
        </w:rPr>
        <w:t>it is impermissible for a judge to reduce an otherwise appropriate sentence to avoid the risk of deportation</w:t>
      </w:r>
      <w:r w:rsidR="009C4173">
        <w:rPr>
          <w:rFonts w:asciiTheme="minorHAnsi" w:hAnsiTheme="minorHAnsi"/>
        </w:rPr>
        <w:t>.</w:t>
      </w:r>
      <w:r w:rsidR="009C4173" w:rsidRPr="00C00000">
        <w:rPr>
          <w:rStyle w:val="Style"/>
          <w:rFonts w:asciiTheme="minorHAnsi" w:hAnsiTheme="minorHAnsi"/>
        </w:rPr>
        <w:footnoteReference w:id="509"/>
      </w:r>
    </w:p>
    <w:p w14:paraId="2F7F7BB0" w14:textId="37D1B7A1" w:rsidR="00754357" w:rsidRPr="00754357" w:rsidRDefault="00754357" w:rsidP="00754357">
      <w:pPr>
        <w:spacing w:line="276" w:lineRule="auto"/>
        <w:ind w:right="170"/>
        <w:rPr>
          <w:rFonts w:asciiTheme="minorHAnsi" w:hAnsiTheme="minorHAnsi"/>
        </w:rPr>
      </w:pPr>
    </w:p>
    <w:p w14:paraId="71B28BA2" w14:textId="7118DFA7" w:rsidR="00C91020" w:rsidRPr="00962B41" w:rsidRDefault="00A82FB6" w:rsidP="00EB7F1E">
      <w:pPr>
        <w:pStyle w:val="ListParagraph"/>
        <w:numPr>
          <w:ilvl w:val="0"/>
          <w:numId w:val="7"/>
        </w:numPr>
        <w:spacing w:line="276" w:lineRule="auto"/>
        <w:ind w:left="425" w:hanging="425"/>
        <w:contextualSpacing w:val="0"/>
        <w:rPr>
          <w:rFonts w:asciiTheme="minorHAnsi" w:hAnsiTheme="minorHAnsi"/>
        </w:rPr>
      </w:pPr>
      <w:r w:rsidRPr="00A82FB6">
        <w:rPr>
          <w:rFonts w:asciiTheme="minorHAnsi" w:hAnsiTheme="minorHAnsi"/>
        </w:rPr>
        <w:t>Th</w:t>
      </w:r>
      <w:r w:rsidR="00754357">
        <w:rPr>
          <w:rFonts w:asciiTheme="minorHAnsi" w:hAnsiTheme="minorHAnsi"/>
        </w:rPr>
        <w:t xml:space="preserve">e position in </w:t>
      </w:r>
      <w:r w:rsidRPr="00A82FB6">
        <w:rPr>
          <w:rFonts w:asciiTheme="minorHAnsi" w:hAnsiTheme="minorHAnsi"/>
        </w:rPr>
        <w:t>South Australia</w:t>
      </w:r>
      <w:r w:rsidR="00754357">
        <w:rPr>
          <w:rFonts w:asciiTheme="minorHAnsi" w:hAnsiTheme="minorHAnsi"/>
        </w:rPr>
        <w:t xml:space="preserve"> remains to be authoritatively determined</w:t>
      </w:r>
      <w:r w:rsidR="00FF5992">
        <w:rPr>
          <w:rFonts w:asciiTheme="minorHAnsi" w:hAnsiTheme="minorHAnsi"/>
        </w:rPr>
        <w:t>, as a result of conflicting decisions of the Full Court of the Supreme Court</w:t>
      </w:r>
      <w:r w:rsidR="00754357">
        <w:rPr>
          <w:rFonts w:asciiTheme="minorHAnsi" w:hAnsiTheme="minorHAnsi"/>
        </w:rPr>
        <w:t>.</w:t>
      </w:r>
      <w:r w:rsidRPr="006469AB">
        <w:rPr>
          <w:rStyle w:val="Style"/>
          <w:rFonts w:asciiTheme="minorHAnsi" w:hAnsiTheme="minorHAnsi"/>
        </w:rPr>
        <w:footnoteReference w:id="510"/>
      </w:r>
      <w:r w:rsidRPr="00576EEE">
        <w:rPr>
          <w:rFonts w:ascii="Calibri" w:hAnsi="Calibri"/>
          <w:i/>
        </w:rPr>
        <w:t xml:space="preserve"> </w:t>
      </w:r>
      <w:r w:rsidR="00BC7C5F">
        <w:rPr>
          <w:rFonts w:ascii="Calibri" w:hAnsi="Calibri"/>
        </w:rPr>
        <w:t xml:space="preserve"> The issue does not appear to have been </w:t>
      </w:r>
      <w:r w:rsidR="001776A6">
        <w:rPr>
          <w:rFonts w:ascii="Calibri" w:hAnsi="Calibri"/>
        </w:rPr>
        <w:t xml:space="preserve">authoritatively </w:t>
      </w:r>
      <w:r w:rsidR="00BC7C5F">
        <w:rPr>
          <w:rFonts w:ascii="Calibri" w:hAnsi="Calibri"/>
        </w:rPr>
        <w:t xml:space="preserve">decided </w:t>
      </w:r>
      <w:r w:rsidR="00820794">
        <w:rPr>
          <w:rFonts w:ascii="Calibri" w:hAnsi="Calibri"/>
        </w:rPr>
        <w:t xml:space="preserve">by an appellate court </w:t>
      </w:r>
      <w:r w:rsidR="00BC7C5F">
        <w:rPr>
          <w:rFonts w:ascii="Calibri" w:hAnsi="Calibri"/>
        </w:rPr>
        <w:t xml:space="preserve">in </w:t>
      </w:r>
      <w:r w:rsidR="007A1721">
        <w:rPr>
          <w:rFonts w:ascii="Calibri" w:hAnsi="Calibri"/>
        </w:rPr>
        <w:t>Tasmania</w:t>
      </w:r>
      <w:r w:rsidR="00AD476F" w:rsidRPr="006469AB">
        <w:rPr>
          <w:rStyle w:val="Style"/>
          <w:rFonts w:asciiTheme="minorHAnsi" w:hAnsiTheme="minorHAnsi"/>
        </w:rPr>
        <w:footnoteReference w:id="511"/>
      </w:r>
      <w:r w:rsidR="007A1721">
        <w:rPr>
          <w:rFonts w:ascii="Calibri" w:hAnsi="Calibri"/>
        </w:rPr>
        <w:t xml:space="preserve"> or </w:t>
      </w:r>
      <w:r w:rsidR="00BC7C5F">
        <w:rPr>
          <w:rFonts w:ascii="Calibri" w:hAnsi="Calibri"/>
        </w:rPr>
        <w:t>the ACT</w:t>
      </w:r>
      <w:r w:rsidR="00733EE6">
        <w:rPr>
          <w:rFonts w:ascii="Calibri" w:hAnsi="Calibri"/>
        </w:rPr>
        <w:t>.</w:t>
      </w:r>
      <w:r w:rsidR="00AD476F" w:rsidRPr="006469AB">
        <w:rPr>
          <w:rStyle w:val="Style"/>
          <w:rFonts w:asciiTheme="minorHAnsi" w:hAnsiTheme="minorHAnsi"/>
        </w:rPr>
        <w:footnoteReference w:id="512"/>
      </w:r>
    </w:p>
    <w:p w14:paraId="37EEC811" w14:textId="77777777" w:rsidR="00962B41" w:rsidRPr="00962B41" w:rsidRDefault="00962B41" w:rsidP="00962B41">
      <w:pPr>
        <w:pStyle w:val="ListParagraph"/>
        <w:rPr>
          <w:rFonts w:asciiTheme="minorHAnsi" w:hAnsiTheme="minorHAnsi"/>
        </w:rPr>
      </w:pPr>
    </w:p>
    <w:p w14:paraId="3E3F4279" w14:textId="49F06DBE" w:rsidR="00437A59" w:rsidRDefault="00962B4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00F73783">
        <w:rPr>
          <w:rFonts w:asciiTheme="minorHAnsi" w:hAnsiTheme="minorHAnsi"/>
        </w:rPr>
        <w:t>considering</w:t>
      </w:r>
      <w:r>
        <w:rPr>
          <w:rFonts w:asciiTheme="minorHAnsi" w:hAnsiTheme="minorHAnsi"/>
        </w:rPr>
        <w:t xml:space="preserve"> </w:t>
      </w:r>
      <w:r w:rsidR="00F73783">
        <w:rPr>
          <w:rFonts w:asciiTheme="minorHAnsi" w:hAnsiTheme="minorHAnsi"/>
        </w:rPr>
        <w:t xml:space="preserve">whether </w:t>
      </w:r>
      <w:r w:rsidR="003B66E9">
        <w:rPr>
          <w:rFonts w:asciiTheme="minorHAnsi" w:hAnsiTheme="minorHAnsi"/>
        </w:rPr>
        <w:t xml:space="preserve">the prospect of </w:t>
      </w:r>
      <w:r>
        <w:rPr>
          <w:rFonts w:asciiTheme="minorHAnsi" w:hAnsiTheme="minorHAnsi"/>
        </w:rPr>
        <w:t>deportation</w:t>
      </w:r>
      <w:r w:rsidR="003B66E9">
        <w:rPr>
          <w:rFonts w:asciiTheme="minorHAnsi" w:hAnsiTheme="minorHAnsi"/>
        </w:rPr>
        <w:t xml:space="preserve"> is a mitigating factor,</w:t>
      </w:r>
      <w:r>
        <w:rPr>
          <w:rFonts w:asciiTheme="minorHAnsi" w:hAnsiTheme="minorHAnsi"/>
        </w:rPr>
        <w:t xml:space="preserve"> </w:t>
      </w:r>
      <w:r w:rsidR="003B66E9">
        <w:rPr>
          <w:rFonts w:asciiTheme="minorHAnsi" w:hAnsiTheme="minorHAnsi"/>
        </w:rPr>
        <w:t xml:space="preserve">appellate </w:t>
      </w:r>
      <w:r>
        <w:rPr>
          <w:rFonts w:asciiTheme="minorHAnsi" w:hAnsiTheme="minorHAnsi"/>
        </w:rPr>
        <w:t xml:space="preserve">courts have not distinguished between offenders against State or Territory law </w:t>
      </w:r>
      <w:r w:rsidR="00F73783">
        <w:rPr>
          <w:rFonts w:asciiTheme="minorHAnsi" w:hAnsiTheme="minorHAnsi"/>
        </w:rPr>
        <w:t xml:space="preserve">on the one hand </w:t>
      </w:r>
      <w:r>
        <w:rPr>
          <w:rFonts w:asciiTheme="minorHAnsi" w:hAnsiTheme="minorHAnsi"/>
        </w:rPr>
        <w:t>and federal offenders</w:t>
      </w:r>
      <w:r w:rsidR="00F73783">
        <w:rPr>
          <w:rFonts w:asciiTheme="minorHAnsi" w:hAnsiTheme="minorHAnsi"/>
        </w:rPr>
        <w:t xml:space="preserve"> on the other</w:t>
      </w:r>
      <w:r>
        <w:rPr>
          <w:rFonts w:asciiTheme="minorHAnsi" w:hAnsiTheme="minorHAnsi"/>
        </w:rPr>
        <w:t>.</w:t>
      </w:r>
      <w:r w:rsidR="003B66E9">
        <w:rPr>
          <w:rFonts w:asciiTheme="minorHAnsi" w:hAnsiTheme="minorHAnsi"/>
        </w:rPr>
        <w:t xml:space="preserve">  </w:t>
      </w:r>
      <w:r w:rsidR="00F73783">
        <w:rPr>
          <w:rFonts w:asciiTheme="minorHAnsi" w:hAnsiTheme="minorHAnsi"/>
        </w:rPr>
        <w:t xml:space="preserve">In jurisdictions in which possible deportation is not regarded as </w:t>
      </w:r>
      <w:r w:rsidR="00E63AC7">
        <w:rPr>
          <w:rFonts w:asciiTheme="minorHAnsi" w:hAnsiTheme="minorHAnsi"/>
        </w:rPr>
        <w:t>mitigatory, c</w:t>
      </w:r>
      <w:r w:rsidR="003B66E9">
        <w:rPr>
          <w:rFonts w:asciiTheme="minorHAnsi" w:hAnsiTheme="minorHAnsi"/>
        </w:rPr>
        <w:t xml:space="preserve">ourts have applied the </w:t>
      </w:r>
      <w:r w:rsidR="006225AE">
        <w:rPr>
          <w:rFonts w:asciiTheme="minorHAnsi" w:hAnsiTheme="minorHAnsi"/>
        </w:rPr>
        <w:t>same approach in relation to the sentencing of a federal offender.</w:t>
      </w:r>
      <w:r w:rsidR="00564CB5" w:rsidRPr="006469AB">
        <w:rPr>
          <w:rStyle w:val="Style"/>
          <w:rFonts w:asciiTheme="minorHAnsi" w:hAnsiTheme="minorHAnsi"/>
        </w:rPr>
        <w:footnoteReference w:id="513"/>
      </w:r>
      <w:r w:rsidR="006225AE">
        <w:rPr>
          <w:rFonts w:asciiTheme="minorHAnsi" w:hAnsiTheme="minorHAnsi"/>
        </w:rPr>
        <w:t xml:space="preserve">  In jurisdictions in which possible deportation is regarded as mitigatory, it has </w:t>
      </w:r>
      <w:r w:rsidR="00FF50F7">
        <w:rPr>
          <w:rFonts w:asciiTheme="minorHAnsi" w:hAnsiTheme="minorHAnsi"/>
        </w:rPr>
        <w:t xml:space="preserve">also </w:t>
      </w:r>
      <w:r w:rsidR="006225AE">
        <w:rPr>
          <w:rFonts w:asciiTheme="minorHAnsi" w:hAnsiTheme="minorHAnsi"/>
        </w:rPr>
        <w:t>been treated as a potentially mitigating factor in the sentencing of a federal offender.</w:t>
      </w:r>
      <w:r w:rsidR="00C10B39" w:rsidRPr="00C00000">
        <w:rPr>
          <w:rStyle w:val="Style"/>
          <w:rFonts w:asciiTheme="minorHAnsi" w:hAnsiTheme="minorHAnsi"/>
        </w:rPr>
        <w:footnoteReference w:id="514"/>
      </w:r>
    </w:p>
    <w:p w14:paraId="1BE5E876" w14:textId="77777777" w:rsidR="00437A59" w:rsidRPr="00437A59" w:rsidRDefault="00437A59" w:rsidP="00437A59">
      <w:pPr>
        <w:pStyle w:val="ListParagraph"/>
        <w:rPr>
          <w:rFonts w:asciiTheme="minorHAnsi" w:hAnsiTheme="minorHAnsi"/>
        </w:rPr>
      </w:pPr>
    </w:p>
    <w:p w14:paraId="1C6E6FC8" w14:textId="20C0BD7B" w:rsidR="00962B41" w:rsidRDefault="001705E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However even in jurisdictions in which the prospect of deportation can be mitigatory, in </w:t>
      </w:r>
      <w:r w:rsidR="006E6C1C">
        <w:rPr>
          <w:rFonts w:asciiTheme="minorHAnsi" w:hAnsiTheme="minorHAnsi"/>
        </w:rPr>
        <w:t xml:space="preserve">light of the High Court decision in </w:t>
      </w:r>
      <w:r w:rsidR="006E6C1C" w:rsidRPr="006E6C1C">
        <w:rPr>
          <w:rFonts w:asciiTheme="minorHAnsi" w:hAnsiTheme="minorHAnsi"/>
          <w:i/>
        </w:rPr>
        <w:t>Bui</w:t>
      </w:r>
      <w:r w:rsidR="006E6C1C">
        <w:rPr>
          <w:rFonts w:asciiTheme="minorHAnsi" w:hAnsiTheme="minorHAnsi"/>
        </w:rPr>
        <w:t>,</w:t>
      </w:r>
      <w:r w:rsidR="00437A59" w:rsidRPr="00C00000">
        <w:rPr>
          <w:rStyle w:val="Style"/>
          <w:rFonts w:asciiTheme="minorHAnsi" w:hAnsiTheme="minorHAnsi"/>
        </w:rPr>
        <w:footnoteReference w:id="515"/>
      </w:r>
      <w:r w:rsidR="006E6C1C">
        <w:rPr>
          <w:rFonts w:asciiTheme="minorHAnsi" w:hAnsiTheme="minorHAnsi"/>
        </w:rPr>
        <w:t xml:space="preserve"> and cases which have applied the same principle in other contexts</w:t>
      </w:r>
      <w:r w:rsidR="00437A59">
        <w:rPr>
          <w:rFonts w:asciiTheme="minorHAnsi" w:hAnsiTheme="minorHAnsi"/>
        </w:rPr>
        <w:t>,</w:t>
      </w:r>
      <w:r w:rsidR="00437A59" w:rsidRPr="00C00000">
        <w:rPr>
          <w:rStyle w:val="Style"/>
          <w:rFonts w:asciiTheme="minorHAnsi" w:hAnsiTheme="minorHAnsi"/>
        </w:rPr>
        <w:footnoteReference w:id="516"/>
      </w:r>
      <w:r>
        <w:rPr>
          <w:rFonts w:asciiTheme="minorHAnsi" w:hAnsiTheme="minorHAnsi"/>
        </w:rPr>
        <w:t xml:space="preserve"> s 16A(2) of the </w:t>
      </w:r>
      <w:r w:rsidR="00885EFD" w:rsidRPr="00885EFD">
        <w:rPr>
          <w:rFonts w:asciiTheme="minorHAnsi" w:hAnsiTheme="minorHAnsi"/>
          <w:i/>
        </w:rPr>
        <w:t>Crimes Act 1914</w:t>
      </w:r>
      <w:r>
        <w:rPr>
          <w:rFonts w:asciiTheme="minorHAnsi" w:hAnsiTheme="minorHAnsi"/>
        </w:rPr>
        <w:t xml:space="preserve"> would seem to </w:t>
      </w:r>
      <w:r w:rsidR="00467039">
        <w:rPr>
          <w:rFonts w:asciiTheme="minorHAnsi" w:hAnsiTheme="minorHAnsi"/>
        </w:rPr>
        <w:t xml:space="preserve">preclude </w:t>
      </w:r>
      <w:r>
        <w:rPr>
          <w:rFonts w:asciiTheme="minorHAnsi" w:hAnsiTheme="minorHAnsi"/>
        </w:rPr>
        <w:t xml:space="preserve">a court sentencing a federal offender </w:t>
      </w:r>
      <w:r w:rsidR="00467039">
        <w:rPr>
          <w:rFonts w:asciiTheme="minorHAnsi" w:hAnsiTheme="minorHAnsi"/>
        </w:rPr>
        <w:t xml:space="preserve">from acting on a </w:t>
      </w:r>
      <w:r w:rsidR="005D0BE2">
        <w:rPr>
          <w:rFonts w:asciiTheme="minorHAnsi" w:hAnsiTheme="minorHAnsi"/>
        </w:rPr>
        <w:t xml:space="preserve">mere </w:t>
      </w:r>
      <w:r w:rsidRPr="005D0BE2">
        <w:rPr>
          <w:rFonts w:asciiTheme="minorHAnsi" w:hAnsiTheme="minorHAnsi"/>
          <w:i/>
        </w:rPr>
        <w:t>presum</w:t>
      </w:r>
      <w:r w:rsidR="00467039" w:rsidRPr="005D0BE2">
        <w:rPr>
          <w:rFonts w:asciiTheme="minorHAnsi" w:hAnsiTheme="minorHAnsi"/>
          <w:i/>
        </w:rPr>
        <w:t>ption</w:t>
      </w:r>
      <w:r w:rsidR="00467039">
        <w:rPr>
          <w:rFonts w:asciiTheme="minorHAnsi" w:hAnsiTheme="minorHAnsi"/>
        </w:rPr>
        <w:t xml:space="preserve"> </w:t>
      </w:r>
      <w:r>
        <w:rPr>
          <w:rFonts w:asciiTheme="minorHAnsi" w:hAnsiTheme="minorHAnsi"/>
        </w:rPr>
        <w:t xml:space="preserve">that </w:t>
      </w:r>
      <w:r w:rsidR="00467039">
        <w:rPr>
          <w:rFonts w:asciiTheme="minorHAnsi" w:hAnsiTheme="minorHAnsi"/>
        </w:rPr>
        <w:t>uncertainty about the prospect of deportation would cause the offender stress or anxiety such as to warrant mitigation of the sentence.</w:t>
      </w:r>
      <w:r w:rsidR="00437A59">
        <w:rPr>
          <w:rFonts w:asciiTheme="minorHAnsi" w:hAnsiTheme="minorHAnsi"/>
        </w:rPr>
        <w:t xml:space="preserve">  Rather,</w:t>
      </w:r>
      <w:r w:rsidR="00BE6C3D">
        <w:rPr>
          <w:rFonts w:asciiTheme="minorHAnsi" w:hAnsiTheme="minorHAnsi"/>
        </w:rPr>
        <w:t xml:space="preserve"> ”</w:t>
      </w:r>
      <w:r w:rsidR="00437A59" w:rsidRPr="0031507E">
        <w:rPr>
          <w:rFonts w:asciiTheme="minorHAnsi" w:hAnsiTheme="minorHAnsi"/>
          <w:i/>
        </w:rPr>
        <w:t>a condition of distress or anxiety must be demonstrated</w:t>
      </w:r>
      <w:r w:rsidR="00BE6C3D">
        <w:rPr>
          <w:rFonts w:asciiTheme="minorHAnsi" w:hAnsiTheme="minorHAnsi"/>
        </w:rPr>
        <w:t>”,</w:t>
      </w:r>
      <w:r w:rsidR="0031507E" w:rsidRPr="00C00000">
        <w:rPr>
          <w:rStyle w:val="Style"/>
          <w:rFonts w:asciiTheme="minorHAnsi" w:hAnsiTheme="minorHAnsi"/>
        </w:rPr>
        <w:footnoteReference w:id="517"/>
      </w:r>
      <w:r w:rsidR="00BE6C3D">
        <w:rPr>
          <w:rFonts w:asciiTheme="minorHAnsi" w:hAnsiTheme="minorHAnsi"/>
        </w:rPr>
        <w:t xml:space="preserve"> and it must be causally linked to the prospect of deportation</w:t>
      </w:r>
      <w:r w:rsidR="00CE6BE7" w:rsidRPr="00C00000">
        <w:rPr>
          <w:rStyle w:val="Style"/>
          <w:rFonts w:asciiTheme="minorHAnsi" w:hAnsiTheme="minorHAnsi"/>
        </w:rPr>
        <w:footnoteReference w:id="518"/>
      </w:r>
      <w:r w:rsidR="00BE6C3D">
        <w:rPr>
          <w:rFonts w:asciiTheme="minorHAnsi" w:hAnsiTheme="minorHAnsi"/>
        </w:rPr>
        <w:t xml:space="preserve"> (as distinct from distress or anxiety which is an incident of imprisonment and the uncertainties which flow from it</w:t>
      </w:r>
      <w:r w:rsidR="00CE6BE7" w:rsidRPr="006469AB">
        <w:rPr>
          <w:rStyle w:val="Style"/>
          <w:rFonts w:asciiTheme="minorHAnsi" w:hAnsiTheme="minorHAnsi"/>
        </w:rPr>
        <w:footnoteReference w:id="519"/>
      </w:r>
      <w:r w:rsidR="00BE6C3D">
        <w:rPr>
          <w:rFonts w:asciiTheme="minorHAnsi" w:hAnsiTheme="minorHAnsi"/>
        </w:rPr>
        <w:t>).</w:t>
      </w:r>
    </w:p>
    <w:bookmarkEnd w:id="1511"/>
    <w:p w14:paraId="74EA1337" w14:textId="77777777" w:rsidR="00EB7886" w:rsidRPr="00C00000" w:rsidRDefault="00EB7886" w:rsidP="007C11C2">
      <w:pPr>
        <w:pStyle w:val="ListParagraph"/>
        <w:spacing w:line="276" w:lineRule="auto"/>
        <w:ind w:left="567" w:right="170" w:hanging="567"/>
        <w:rPr>
          <w:rFonts w:asciiTheme="minorHAnsi" w:hAnsiTheme="minorHAnsi"/>
        </w:rPr>
      </w:pPr>
    </w:p>
    <w:p w14:paraId="23585A6C" w14:textId="72D92395" w:rsidR="001E337B" w:rsidRDefault="009873AA" w:rsidP="00C14A45">
      <w:pPr>
        <w:pStyle w:val="Heading3"/>
      </w:pPr>
      <w:bookmarkStart w:id="1512" w:name="_Ref2007579"/>
      <w:bookmarkStart w:id="1513" w:name="_Ref2007588"/>
      <w:bookmarkStart w:id="1514" w:name="_Toc33602808"/>
      <w:r>
        <w:t xml:space="preserve">Orders </w:t>
      </w:r>
      <w:r w:rsidR="00132A5D">
        <w:t xml:space="preserve">under </w:t>
      </w:r>
      <w:r w:rsidR="00132A5D" w:rsidRPr="00132A5D">
        <w:rPr>
          <w:i/>
        </w:rPr>
        <w:t>Proceeds of Crime Act</w:t>
      </w:r>
      <w:r w:rsidR="00132A5D">
        <w:t xml:space="preserve"> </w:t>
      </w:r>
      <w:r w:rsidR="00132A5D" w:rsidRPr="009873AA">
        <w:rPr>
          <w:i/>
        </w:rPr>
        <w:t>2002</w:t>
      </w:r>
      <w:r w:rsidR="00132A5D">
        <w:t xml:space="preserve"> (Cth)</w:t>
      </w:r>
      <w:bookmarkEnd w:id="1512"/>
      <w:bookmarkEnd w:id="1513"/>
      <w:bookmarkEnd w:id="1514"/>
    </w:p>
    <w:p w14:paraId="0F919F81" w14:textId="77777777" w:rsidR="00472AB4" w:rsidRPr="00C00000" w:rsidRDefault="00472AB4" w:rsidP="00C14A45">
      <w:pPr>
        <w:pStyle w:val="ListParagraph"/>
        <w:keepNext/>
        <w:spacing w:line="276" w:lineRule="auto"/>
        <w:ind w:left="567" w:hanging="567"/>
        <w:contextualSpacing w:val="0"/>
        <w:rPr>
          <w:rFonts w:asciiTheme="minorHAnsi" w:hAnsiTheme="minorHAnsi"/>
        </w:rPr>
      </w:pPr>
    </w:p>
    <w:p w14:paraId="51791A9C" w14:textId="1B7F47BB" w:rsidR="00405FC3" w:rsidRDefault="00DA583B" w:rsidP="00EB7F1E">
      <w:pPr>
        <w:pStyle w:val="ListParagraph"/>
        <w:numPr>
          <w:ilvl w:val="0"/>
          <w:numId w:val="7"/>
        </w:numPr>
        <w:spacing w:line="276" w:lineRule="auto"/>
        <w:ind w:left="425" w:hanging="425"/>
        <w:contextualSpacing w:val="0"/>
        <w:rPr>
          <w:rFonts w:asciiTheme="minorHAnsi" w:hAnsiTheme="minorHAnsi"/>
        </w:rPr>
      </w:pPr>
      <w:bookmarkStart w:id="1515" w:name="_Ref469663313"/>
      <w:r>
        <w:rPr>
          <w:rFonts w:asciiTheme="minorHAnsi" w:hAnsiTheme="minorHAnsi"/>
        </w:rPr>
        <w:t xml:space="preserve">There is no reference </w:t>
      </w:r>
      <w:r w:rsidR="0053432F" w:rsidRPr="00C00000">
        <w:rPr>
          <w:rFonts w:asciiTheme="minorHAnsi" w:hAnsiTheme="minorHAnsi"/>
        </w:rPr>
        <w:t>in s</w:t>
      </w:r>
      <w:r w:rsidR="00D82AC7" w:rsidRPr="00C00000">
        <w:rPr>
          <w:rFonts w:asciiTheme="minorHAnsi" w:hAnsiTheme="minorHAnsi"/>
        </w:rPr>
        <w:t xml:space="preserve"> </w:t>
      </w:r>
      <w:r w:rsidR="0053432F" w:rsidRPr="00C00000">
        <w:rPr>
          <w:rFonts w:asciiTheme="minorHAnsi" w:hAnsiTheme="minorHAnsi"/>
        </w:rPr>
        <w:t xml:space="preserve">16A(2) of the </w:t>
      </w:r>
      <w:r w:rsidR="00885EFD" w:rsidRPr="00885EFD">
        <w:rPr>
          <w:rFonts w:asciiTheme="minorHAnsi" w:hAnsiTheme="minorHAnsi"/>
          <w:i/>
        </w:rPr>
        <w:t>Crimes Act 1914</w:t>
      </w:r>
      <w:r w:rsidR="0053432F" w:rsidRPr="00C00000">
        <w:rPr>
          <w:rFonts w:asciiTheme="minorHAnsi" w:hAnsiTheme="minorHAnsi"/>
          <w:i/>
        </w:rPr>
        <w:t xml:space="preserve"> </w:t>
      </w:r>
      <w:r w:rsidR="0053432F" w:rsidRPr="00C00000">
        <w:rPr>
          <w:rFonts w:asciiTheme="minorHAnsi" w:hAnsiTheme="minorHAnsi"/>
        </w:rPr>
        <w:t xml:space="preserve">(Cth) </w:t>
      </w:r>
      <w:r>
        <w:rPr>
          <w:rFonts w:asciiTheme="minorHAnsi" w:hAnsiTheme="minorHAnsi"/>
        </w:rPr>
        <w:t xml:space="preserve">to the making of a pecuniary penalty order against the offender, or a forfeiture order in relation to property of the offender, under the </w:t>
      </w:r>
      <w:r w:rsidRPr="00405FC3">
        <w:rPr>
          <w:rFonts w:asciiTheme="minorHAnsi" w:hAnsiTheme="minorHAnsi"/>
          <w:i/>
        </w:rPr>
        <w:t>Proceeds of Crime Act 2002</w:t>
      </w:r>
      <w:r>
        <w:rPr>
          <w:rFonts w:asciiTheme="minorHAnsi" w:hAnsiTheme="minorHAnsi"/>
        </w:rPr>
        <w:t xml:space="preserve"> (Cth).  </w:t>
      </w:r>
      <w:r w:rsidR="000540DE">
        <w:rPr>
          <w:rFonts w:asciiTheme="minorHAnsi" w:hAnsiTheme="minorHAnsi"/>
        </w:rPr>
        <w:t xml:space="preserve">However s </w:t>
      </w:r>
      <w:r w:rsidR="000540DE">
        <w:rPr>
          <w:rFonts w:asciiTheme="minorHAnsi" w:hAnsiTheme="minorHAnsi"/>
          <w:szCs w:val="22"/>
        </w:rPr>
        <w:t>320 of t</w:t>
      </w:r>
      <w:r w:rsidR="000540DE" w:rsidRPr="00297BDC">
        <w:rPr>
          <w:rFonts w:asciiTheme="minorHAnsi" w:hAnsiTheme="minorHAnsi"/>
          <w:szCs w:val="22"/>
        </w:rPr>
        <w:t xml:space="preserve">he </w:t>
      </w:r>
      <w:r w:rsidR="000540DE" w:rsidRPr="00297BDC">
        <w:rPr>
          <w:rFonts w:asciiTheme="minorHAnsi" w:hAnsiTheme="minorHAnsi"/>
          <w:i/>
          <w:iCs/>
          <w:szCs w:val="22"/>
        </w:rPr>
        <w:t>Proceeds of Crime Act 2002</w:t>
      </w:r>
      <w:r w:rsidR="000540DE" w:rsidRPr="00297BDC">
        <w:rPr>
          <w:rFonts w:asciiTheme="minorHAnsi" w:hAnsiTheme="minorHAnsi"/>
          <w:iCs/>
          <w:szCs w:val="22"/>
        </w:rPr>
        <w:t xml:space="preserve"> (Cth)</w:t>
      </w:r>
      <w:r w:rsidR="000540DE" w:rsidRPr="00297BDC">
        <w:rPr>
          <w:rFonts w:asciiTheme="minorHAnsi" w:hAnsiTheme="minorHAnsi"/>
          <w:szCs w:val="22"/>
        </w:rPr>
        <w:t xml:space="preserve">, which operates from 1 January 2003, </w:t>
      </w:r>
      <w:r w:rsidR="000540DE" w:rsidRPr="00297BDC">
        <w:rPr>
          <w:rFonts w:asciiTheme="minorHAnsi" w:hAnsiTheme="minorHAnsi"/>
        </w:rPr>
        <w:t xml:space="preserve">makes specific provision for </w:t>
      </w:r>
      <w:r w:rsidR="000540DE">
        <w:rPr>
          <w:rFonts w:asciiTheme="minorHAnsi" w:hAnsiTheme="minorHAnsi"/>
        </w:rPr>
        <w:t xml:space="preserve">matters which </w:t>
      </w:r>
      <w:r w:rsidR="000540DE" w:rsidRPr="00297BDC">
        <w:rPr>
          <w:rFonts w:asciiTheme="minorHAnsi" w:hAnsiTheme="minorHAnsi"/>
        </w:rPr>
        <w:t xml:space="preserve">a court </w:t>
      </w:r>
      <w:r w:rsidR="00783642">
        <w:rPr>
          <w:rFonts w:asciiTheme="minorHAnsi" w:hAnsiTheme="minorHAnsi"/>
        </w:rPr>
        <w:t>may</w:t>
      </w:r>
      <w:r w:rsidR="000540DE">
        <w:rPr>
          <w:rFonts w:asciiTheme="minorHAnsi" w:hAnsiTheme="minorHAnsi"/>
        </w:rPr>
        <w:t xml:space="preserve"> or </w:t>
      </w:r>
      <w:r w:rsidR="00783642">
        <w:rPr>
          <w:rFonts w:asciiTheme="minorHAnsi" w:hAnsiTheme="minorHAnsi"/>
        </w:rPr>
        <w:t>may</w:t>
      </w:r>
      <w:r w:rsidR="000540DE">
        <w:rPr>
          <w:rFonts w:asciiTheme="minorHAnsi" w:hAnsiTheme="minorHAnsi"/>
        </w:rPr>
        <w:t xml:space="preserve"> not </w:t>
      </w:r>
      <w:r w:rsidR="00B057A6">
        <w:rPr>
          <w:rFonts w:asciiTheme="minorHAnsi" w:hAnsiTheme="minorHAnsi"/>
        </w:rPr>
        <w:t>take into account i</w:t>
      </w:r>
      <w:r w:rsidR="000540DE" w:rsidRPr="00297BDC">
        <w:rPr>
          <w:rFonts w:asciiTheme="minorHAnsi" w:hAnsiTheme="minorHAnsi"/>
        </w:rPr>
        <w:t>n sentencing</w:t>
      </w:r>
      <w:r w:rsidR="00405FC3">
        <w:rPr>
          <w:rFonts w:asciiTheme="minorHAnsi" w:hAnsiTheme="minorHAnsi"/>
        </w:rPr>
        <w:t xml:space="preserve"> in relation to those matters</w:t>
      </w:r>
      <w:r w:rsidR="000540DE" w:rsidRPr="00297BDC">
        <w:rPr>
          <w:rFonts w:asciiTheme="minorHAnsi" w:hAnsiTheme="minorHAnsi"/>
        </w:rPr>
        <w:t>.</w:t>
      </w:r>
    </w:p>
    <w:p w14:paraId="643DA460" w14:textId="77777777" w:rsidR="000540DE" w:rsidRPr="00C00000" w:rsidRDefault="000540DE" w:rsidP="000540DE">
      <w:pPr>
        <w:pStyle w:val="ListParagraph"/>
        <w:widowControl w:val="0"/>
        <w:spacing w:line="276" w:lineRule="auto"/>
        <w:ind w:left="567" w:right="170" w:hanging="567"/>
        <w:rPr>
          <w:rFonts w:asciiTheme="minorHAnsi" w:hAnsiTheme="minorHAnsi"/>
        </w:rPr>
      </w:pPr>
    </w:p>
    <w:p w14:paraId="2BD7E1A6" w14:textId="77777777" w:rsidR="000540DE" w:rsidRPr="00C00000" w:rsidRDefault="000540DE"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320 of the </w:t>
      </w:r>
      <w:r w:rsidRPr="00C00000">
        <w:rPr>
          <w:rFonts w:asciiTheme="minorHAnsi" w:hAnsiTheme="minorHAnsi"/>
          <w:i/>
        </w:rPr>
        <w:t>Proceeds of Crime Act 2002</w:t>
      </w:r>
      <w:r w:rsidRPr="00C00000">
        <w:rPr>
          <w:rFonts w:asciiTheme="minorHAnsi" w:hAnsiTheme="minorHAnsi"/>
        </w:rPr>
        <w:t xml:space="preserve"> (Cth) provides:</w:t>
      </w:r>
    </w:p>
    <w:p w14:paraId="3D1102D9" w14:textId="77777777" w:rsidR="000540DE" w:rsidRPr="00C00000" w:rsidRDefault="000540DE" w:rsidP="00F45386">
      <w:pPr>
        <w:widowControl w:val="0"/>
        <w:spacing w:line="276" w:lineRule="auto"/>
        <w:ind w:left="851"/>
        <w:rPr>
          <w:rFonts w:asciiTheme="minorHAnsi" w:hAnsiTheme="minorHAnsi"/>
          <w:i/>
          <w:szCs w:val="22"/>
        </w:rPr>
      </w:pPr>
      <w:r w:rsidRPr="00C00000">
        <w:rPr>
          <w:rFonts w:asciiTheme="minorHAnsi" w:hAnsiTheme="minorHAnsi"/>
          <w:b/>
          <w:bCs/>
          <w:i/>
          <w:szCs w:val="22"/>
        </w:rPr>
        <w:t>Effect of the confiscation scheme on sentencing</w:t>
      </w:r>
    </w:p>
    <w:p w14:paraId="34DD767F" w14:textId="6D8AFA05" w:rsidR="000540DE" w:rsidRPr="00C00000" w:rsidRDefault="000540DE" w:rsidP="00F45386">
      <w:pPr>
        <w:widowControl w:val="0"/>
        <w:spacing w:line="276" w:lineRule="auto"/>
        <w:ind w:left="851"/>
        <w:jc w:val="both"/>
        <w:rPr>
          <w:rFonts w:asciiTheme="minorHAnsi" w:hAnsiTheme="minorHAnsi"/>
          <w:i/>
          <w:szCs w:val="22"/>
        </w:rPr>
      </w:pPr>
      <w:r w:rsidRPr="00C00000">
        <w:rPr>
          <w:rFonts w:asciiTheme="minorHAnsi" w:hAnsiTheme="minorHAnsi"/>
          <w:i/>
          <w:szCs w:val="22"/>
        </w:rPr>
        <w:t>A court passing sentence on a person in respect of the person</w:t>
      </w:r>
      <w:r w:rsidR="00AA693C">
        <w:rPr>
          <w:rFonts w:asciiTheme="minorHAnsi" w:hAnsiTheme="minorHAnsi"/>
          <w:i/>
          <w:szCs w:val="22"/>
        </w:rPr>
        <w:t>’</w:t>
      </w:r>
      <w:r w:rsidRPr="00C00000">
        <w:rPr>
          <w:rFonts w:asciiTheme="minorHAnsi" w:hAnsiTheme="minorHAnsi"/>
          <w:i/>
          <w:szCs w:val="22"/>
        </w:rPr>
        <w:t>s conviction of an *indictable offence:</w:t>
      </w:r>
    </w:p>
    <w:p w14:paraId="38DFBD06" w14:textId="07A67DDE" w:rsidR="000540DE" w:rsidRPr="00C00000" w:rsidRDefault="000540DE" w:rsidP="00F45386">
      <w:pPr>
        <w:widowControl w:val="0"/>
        <w:spacing w:line="276" w:lineRule="auto"/>
        <w:ind w:left="1276" w:hanging="425"/>
        <w:jc w:val="both"/>
        <w:rPr>
          <w:rFonts w:asciiTheme="minorHAnsi" w:hAnsiTheme="minorHAnsi"/>
          <w:i/>
          <w:szCs w:val="22"/>
        </w:rPr>
      </w:pPr>
      <w:r w:rsidRPr="00C00000">
        <w:rPr>
          <w:rFonts w:asciiTheme="minorHAnsi" w:hAnsiTheme="minorHAnsi"/>
          <w:i/>
          <w:szCs w:val="22"/>
        </w:rPr>
        <w:t>(a)</w:t>
      </w:r>
      <w:r w:rsidR="00F45386">
        <w:rPr>
          <w:rFonts w:asciiTheme="minorHAnsi" w:hAnsiTheme="minorHAnsi"/>
          <w:i/>
          <w:szCs w:val="22"/>
        </w:rPr>
        <w:tab/>
      </w:r>
      <w:r w:rsidRPr="00C00000">
        <w:rPr>
          <w:rFonts w:asciiTheme="minorHAnsi" w:hAnsiTheme="minorHAnsi"/>
          <w:i/>
          <w:szCs w:val="22"/>
        </w:rPr>
        <w:t>may have regard to any cooperation by the person in resolving any action taken against the person under this Act; and</w:t>
      </w:r>
    </w:p>
    <w:p w14:paraId="7A636E09" w14:textId="19375E6E" w:rsidR="000540DE" w:rsidRPr="00C00000" w:rsidRDefault="000540DE" w:rsidP="00F45386">
      <w:pPr>
        <w:widowControl w:val="0"/>
        <w:spacing w:line="276" w:lineRule="auto"/>
        <w:ind w:left="1276" w:hanging="425"/>
        <w:jc w:val="both"/>
        <w:rPr>
          <w:rFonts w:asciiTheme="minorHAnsi" w:hAnsiTheme="minorHAnsi"/>
          <w:i/>
          <w:szCs w:val="22"/>
        </w:rPr>
      </w:pPr>
      <w:r w:rsidRPr="00C00000">
        <w:rPr>
          <w:rFonts w:asciiTheme="minorHAnsi" w:hAnsiTheme="minorHAnsi"/>
          <w:i/>
          <w:szCs w:val="22"/>
        </w:rPr>
        <w:t>(b)</w:t>
      </w:r>
      <w:r w:rsidR="00F45386">
        <w:rPr>
          <w:rFonts w:asciiTheme="minorHAnsi" w:hAnsiTheme="minorHAnsi"/>
          <w:i/>
          <w:szCs w:val="22"/>
        </w:rPr>
        <w:tab/>
      </w:r>
      <w:r w:rsidRPr="00C00000">
        <w:rPr>
          <w:rFonts w:asciiTheme="minorHAnsi" w:hAnsiTheme="minorHAnsi"/>
          <w:i/>
          <w:szCs w:val="22"/>
        </w:rPr>
        <w:t>must not have regard to any *forfeiture order that relates to the offence, to the extent that the order forfeits *proceeds of the offence; and</w:t>
      </w:r>
    </w:p>
    <w:p w14:paraId="53814DD3" w14:textId="7C2E5EF3" w:rsidR="000540DE" w:rsidRPr="00C00000" w:rsidRDefault="000540DE" w:rsidP="00F45386">
      <w:pPr>
        <w:widowControl w:val="0"/>
        <w:spacing w:line="276" w:lineRule="auto"/>
        <w:ind w:left="1276" w:hanging="425"/>
        <w:jc w:val="both"/>
        <w:rPr>
          <w:rFonts w:asciiTheme="minorHAnsi" w:hAnsiTheme="minorHAnsi"/>
          <w:i/>
          <w:szCs w:val="22"/>
        </w:rPr>
      </w:pPr>
      <w:r w:rsidRPr="00C00000">
        <w:rPr>
          <w:rFonts w:asciiTheme="minorHAnsi" w:hAnsiTheme="minorHAnsi"/>
          <w:i/>
          <w:szCs w:val="22"/>
        </w:rPr>
        <w:t>(c)</w:t>
      </w:r>
      <w:r w:rsidR="00F45386">
        <w:rPr>
          <w:rFonts w:asciiTheme="minorHAnsi" w:hAnsiTheme="minorHAnsi"/>
          <w:i/>
          <w:szCs w:val="22"/>
        </w:rPr>
        <w:tab/>
      </w:r>
      <w:r w:rsidRPr="00C00000">
        <w:rPr>
          <w:rFonts w:asciiTheme="minorHAnsi" w:hAnsiTheme="minorHAnsi"/>
          <w:i/>
          <w:szCs w:val="22"/>
        </w:rPr>
        <w:t>must have regard to the forfeiture order to the extent that the order forfeits any other property; and</w:t>
      </w:r>
    </w:p>
    <w:p w14:paraId="2293698D" w14:textId="19FD8AF0" w:rsidR="000540DE" w:rsidRPr="00C00000" w:rsidRDefault="000540DE" w:rsidP="00F45386">
      <w:pPr>
        <w:widowControl w:val="0"/>
        <w:spacing w:line="276" w:lineRule="auto"/>
        <w:ind w:left="1276" w:hanging="425"/>
        <w:jc w:val="both"/>
        <w:rPr>
          <w:rFonts w:asciiTheme="minorHAnsi" w:hAnsiTheme="minorHAnsi"/>
          <w:i/>
          <w:szCs w:val="22"/>
        </w:rPr>
      </w:pPr>
      <w:r w:rsidRPr="00C00000">
        <w:rPr>
          <w:rFonts w:asciiTheme="minorHAnsi" w:hAnsiTheme="minorHAnsi"/>
          <w:i/>
          <w:szCs w:val="22"/>
        </w:rPr>
        <w:t>(d)</w:t>
      </w:r>
      <w:r w:rsidR="00F45386">
        <w:rPr>
          <w:rFonts w:asciiTheme="minorHAnsi" w:hAnsiTheme="minorHAnsi"/>
          <w:i/>
          <w:szCs w:val="22"/>
        </w:rPr>
        <w:tab/>
      </w:r>
      <w:r w:rsidRPr="00C00000">
        <w:rPr>
          <w:rFonts w:asciiTheme="minorHAnsi" w:hAnsiTheme="minorHAnsi"/>
          <w:i/>
          <w:szCs w:val="22"/>
        </w:rPr>
        <w:t>must not have regard to any *pecuniary penalty order, or any *literary proceeds order, that relates to the offence.</w:t>
      </w:r>
    </w:p>
    <w:p w14:paraId="3BF851CB" w14:textId="77777777" w:rsidR="0012735D" w:rsidRDefault="0012735D" w:rsidP="0012735D">
      <w:pPr>
        <w:widowControl w:val="0"/>
        <w:spacing w:line="276" w:lineRule="auto"/>
        <w:ind w:left="720"/>
        <w:rPr>
          <w:rFonts w:asciiTheme="minorHAnsi" w:hAnsiTheme="minorHAnsi"/>
          <w:szCs w:val="22"/>
        </w:rPr>
      </w:pPr>
    </w:p>
    <w:p w14:paraId="0C450E28" w14:textId="40E252D6" w:rsidR="000540DE" w:rsidRPr="0012735D" w:rsidRDefault="0012735D" w:rsidP="00F45386">
      <w:pPr>
        <w:widowControl w:val="0"/>
        <w:spacing w:line="276" w:lineRule="auto"/>
        <w:ind w:left="426"/>
        <w:rPr>
          <w:rFonts w:asciiTheme="minorHAnsi" w:hAnsiTheme="minorHAnsi"/>
          <w:szCs w:val="22"/>
        </w:rPr>
      </w:pPr>
      <w:r w:rsidRPr="0012735D">
        <w:rPr>
          <w:rFonts w:asciiTheme="minorHAnsi" w:hAnsiTheme="minorHAnsi"/>
          <w:szCs w:val="22"/>
        </w:rPr>
        <w:t>Relevant term</w:t>
      </w:r>
      <w:r>
        <w:rPr>
          <w:rFonts w:asciiTheme="minorHAnsi" w:hAnsiTheme="minorHAnsi"/>
          <w:szCs w:val="22"/>
        </w:rPr>
        <w:t>s used in this section are defined in the Act as follows:</w:t>
      </w:r>
    </w:p>
    <w:p w14:paraId="176B350C" w14:textId="2CD1EF3B" w:rsidR="0012735D" w:rsidRDefault="0012735D" w:rsidP="00F45386">
      <w:pPr>
        <w:widowControl w:val="0"/>
        <w:spacing w:line="276" w:lineRule="auto"/>
        <w:ind w:left="1276" w:hanging="425"/>
        <w:jc w:val="both"/>
        <w:rPr>
          <w:rFonts w:asciiTheme="minorHAnsi" w:hAnsiTheme="minorHAnsi" w:cs="Arial"/>
          <w:szCs w:val="22"/>
        </w:rPr>
      </w:pPr>
      <w:r w:rsidRPr="00633B77">
        <w:rPr>
          <w:rFonts w:asciiTheme="minorHAnsi" w:hAnsiTheme="minorHAnsi" w:cs="Arial"/>
          <w:i/>
          <w:szCs w:val="22"/>
        </w:rPr>
        <w:t>indictable offence</w:t>
      </w:r>
      <w:r w:rsidRPr="0012735D">
        <w:rPr>
          <w:rFonts w:asciiTheme="minorHAnsi" w:hAnsiTheme="minorHAnsi" w:cs="Arial"/>
          <w:szCs w:val="22"/>
        </w:rPr>
        <w:t xml:space="preserve"> </w:t>
      </w:r>
      <w:r w:rsidRPr="00C00000">
        <w:rPr>
          <w:rFonts w:asciiTheme="minorHAnsi" w:hAnsiTheme="minorHAnsi" w:cs="Arial"/>
          <w:szCs w:val="22"/>
        </w:rPr>
        <w:t xml:space="preserve">is defined in s 338 </w:t>
      </w:r>
      <w:r>
        <w:rPr>
          <w:rFonts w:asciiTheme="minorHAnsi" w:hAnsiTheme="minorHAnsi" w:cs="Arial"/>
          <w:szCs w:val="22"/>
        </w:rPr>
        <w:t xml:space="preserve">(Dictionary) to </w:t>
      </w:r>
      <w:r w:rsidRPr="0012735D">
        <w:rPr>
          <w:rFonts w:asciiTheme="minorHAnsi" w:hAnsiTheme="minorHAnsi" w:cs="Arial"/>
          <w:szCs w:val="22"/>
        </w:rPr>
        <w:t>mean an offence against a law of the Commonwealth, or a *non</w:t>
      </w:r>
      <w:r w:rsidRPr="0012735D">
        <w:rPr>
          <w:rFonts w:asciiTheme="minorHAnsi" w:hAnsiTheme="minorHAnsi" w:cs="Arial"/>
          <w:szCs w:val="22"/>
        </w:rPr>
        <w:noBreakHyphen/>
        <w:t>governing Territory, that may be dealt with as an indictable offence (even if it may also be dealt with as a summary offence in some circumstances)</w:t>
      </w:r>
      <w:r w:rsidR="009647B1">
        <w:rPr>
          <w:rFonts w:asciiTheme="minorHAnsi" w:hAnsiTheme="minorHAnsi" w:cs="Arial"/>
          <w:szCs w:val="22"/>
        </w:rPr>
        <w:t>;</w:t>
      </w:r>
    </w:p>
    <w:p w14:paraId="503CD664" w14:textId="352A3FD2" w:rsidR="000540DE" w:rsidRDefault="000540DE" w:rsidP="00F45386">
      <w:pPr>
        <w:widowControl w:val="0"/>
        <w:spacing w:line="276" w:lineRule="auto"/>
        <w:ind w:left="1276" w:hanging="425"/>
        <w:jc w:val="both"/>
        <w:rPr>
          <w:rFonts w:asciiTheme="minorHAnsi" w:hAnsiTheme="minorHAnsi" w:cs="Arial"/>
          <w:szCs w:val="22"/>
        </w:rPr>
      </w:pPr>
      <w:r w:rsidRPr="00C00000">
        <w:rPr>
          <w:rFonts w:asciiTheme="minorHAnsi" w:hAnsiTheme="minorHAnsi" w:cs="Arial"/>
          <w:i/>
          <w:szCs w:val="22"/>
        </w:rPr>
        <w:t>forfeiture order</w:t>
      </w:r>
      <w:r w:rsidRPr="00C00000">
        <w:rPr>
          <w:rFonts w:asciiTheme="minorHAnsi" w:hAnsiTheme="minorHAnsi" w:cs="Arial"/>
          <w:szCs w:val="22"/>
        </w:rPr>
        <w:t xml:space="preserve"> is defined in s 338 </w:t>
      </w:r>
      <w:r w:rsidR="0012735D">
        <w:rPr>
          <w:rFonts w:asciiTheme="minorHAnsi" w:hAnsiTheme="minorHAnsi" w:cs="Arial"/>
          <w:szCs w:val="22"/>
        </w:rPr>
        <w:t xml:space="preserve">(Dictionary) </w:t>
      </w:r>
      <w:r w:rsidRPr="00C00000">
        <w:rPr>
          <w:rFonts w:asciiTheme="minorHAnsi" w:hAnsiTheme="minorHAnsi" w:cs="Arial"/>
          <w:szCs w:val="22"/>
        </w:rPr>
        <w:t>as an order under Division 1 of Part 2-2 o</w:t>
      </w:r>
      <w:r w:rsidR="009647B1">
        <w:rPr>
          <w:rFonts w:asciiTheme="minorHAnsi" w:hAnsiTheme="minorHAnsi" w:cs="Arial"/>
          <w:szCs w:val="22"/>
        </w:rPr>
        <w:t>f the Act that remains in force;</w:t>
      </w:r>
    </w:p>
    <w:p w14:paraId="2D847B74" w14:textId="268075BD" w:rsidR="000540DE" w:rsidRDefault="000540DE" w:rsidP="00F45386">
      <w:pPr>
        <w:widowControl w:val="0"/>
        <w:spacing w:line="276" w:lineRule="auto"/>
        <w:ind w:left="1276" w:hanging="425"/>
        <w:jc w:val="both"/>
        <w:rPr>
          <w:rFonts w:asciiTheme="minorHAnsi" w:hAnsiTheme="minorHAnsi" w:cs="Arial"/>
          <w:szCs w:val="22"/>
        </w:rPr>
      </w:pPr>
      <w:r w:rsidRPr="00C00000">
        <w:rPr>
          <w:rFonts w:asciiTheme="minorHAnsi" w:hAnsiTheme="minorHAnsi" w:cs="Arial"/>
          <w:i/>
          <w:szCs w:val="22"/>
        </w:rPr>
        <w:t xml:space="preserve">proceeds of </w:t>
      </w:r>
      <w:r w:rsidR="0012735D">
        <w:rPr>
          <w:rFonts w:asciiTheme="minorHAnsi" w:hAnsiTheme="minorHAnsi" w:cs="Arial"/>
          <w:i/>
          <w:szCs w:val="22"/>
        </w:rPr>
        <w:t xml:space="preserve">the </w:t>
      </w:r>
      <w:r w:rsidRPr="00C00000">
        <w:rPr>
          <w:rFonts w:asciiTheme="minorHAnsi" w:hAnsiTheme="minorHAnsi" w:cs="Arial"/>
          <w:i/>
          <w:szCs w:val="22"/>
        </w:rPr>
        <w:t>offence</w:t>
      </w:r>
      <w:r w:rsidRPr="00C00000">
        <w:rPr>
          <w:rFonts w:asciiTheme="minorHAnsi" w:hAnsiTheme="minorHAnsi" w:cs="Arial"/>
          <w:szCs w:val="22"/>
        </w:rPr>
        <w:t xml:space="preserve"> is defined in ss 338, 329 and 330 as wholly or partially derived or realised, whether directly or indirectly, from the commission of the offence whether the propert</w:t>
      </w:r>
      <w:r w:rsidR="009647B1">
        <w:rPr>
          <w:rFonts w:asciiTheme="minorHAnsi" w:hAnsiTheme="minorHAnsi" w:cs="Arial"/>
          <w:szCs w:val="22"/>
        </w:rPr>
        <w:t>y is situated outside Australia;</w:t>
      </w:r>
    </w:p>
    <w:p w14:paraId="404DED2E" w14:textId="63FEB957" w:rsidR="000540DE" w:rsidRDefault="000540DE" w:rsidP="00F45386">
      <w:pPr>
        <w:widowControl w:val="0"/>
        <w:spacing w:line="276" w:lineRule="auto"/>
        <w:ind w:left="1276" w:hanging="425"/>
        <w:jc w:val="both"/>
        <w:rPr>
          <w:rFonts w:asciiTheme="minorHAnsi" w:hAnsiTheme="minorHAnsi" w:cs="Arial"/>
          <w:szCs w:val="22"/>
        </w:rPr>
      </w:pPr>
      <w:r w:rsidRPr="00C00000">
        <w:rPr>
          <w:rFonts w:asciiTheme="minorHAnsi" w:hAnsiTheme="minorHAnsi" w:cs="Arial"/>
          <w:i/>
          <w:szCs w:val="22"/>
        </w:rPr>
        <w:t>pecuniary penalty order</w:t>
      </w:r>
      <w:r w:rsidRPr="00C00000">
        <w:rPr>
          <w:rFonts w:asciiTheme="minorHAnsi" w:hAnsiTheme="minorHAnsi" w:cs="Arial"/>
          <w:szCs w:val="22"/>
        </w:rPr>
        <w:t xml:space="preserve"> is defined in</w:t>
      </w:r>
      <w:r w:rsidR="009647B1">
        <w:rPr>
          <w:rFonts w:asciiTheme="minorHAnsi" w:hAnsiTheme="minorHAnsi" w:cs="Arial"/>
          <w:szCs w:val="22"/>
        </w:rPr>
        <w:t xml:space="preserve"> s 338 as an order under s 116; and</w:t>
      </w:r>
    </w:p>
    <w:p w14:paraId="34DE4E19" w14:textId="77777777" w:rsidR="000540DE" w:rsidRPr="00C00000" w:rsidRDefault="000540DE" w:rsidP="00F45386">
      <w:pPr>
        <w:widowControl w:val="0"/>
        <w:spacing w:line="276" w:lineRule="auto"/>
        <w:ind w:left="1276" w:hanging="425"/>
        <w:jc w:val="both"/>
        <w:rPr>
          <w:rFonts w:asciiTheme="minorHAnsi" w:hAnsiTheme="minorHAnsi" w:cs="Arial"/>
          <w:szCs w:val="22"/>
        </w:rPr>
      </w:pPr>
      <w:r w:rsidRPr="00C00000">
        <w:rPr>
          <w:rFonts w:asciiTheme="minorHAnsi" w:hAnsiTheme="minorHAnsi" w:cs="Arial"/>
          <w:i/>
          <w:szCs w:val="22"/>
        </w:rPr>
        <w:t>literary proceeds order</w:t>
      </w:r>
      <w:r w:rsidRPr="00C00000">
        <w:rPr>
          <w:rFonts w:asciiTheme="minorHAnsi" w:hAnsiTheme="minorHAnsi" w:cs="Arial"/>
          <w:szCs w:val="22"/>
        </w:rPr>
        <w:t xml:space="preserve"> is defined in s 338 as an order under s 152.</w:t>
      </w:r>
    </w:p>
    <w:p w14:paraId="4F66E4CE" w14:textId="77777777" w:rsidR="000540DE" w:rsidRPr="00C00000" w:rsidRDefault="000540DE" w:rsidP="000540DE">
      <w:pPr>
        <w:widowControl w:val="0"/>
        <w:spacing w:line="276" w:lineRule="auto"/>
        <w:rPr>
          <w:rFonts w:asciiTheme="minorHAnsi" w:hAnsiTheme="minorHAnsi"/>
        </w:rPr>
      </w:pPr>
    </w:p>
    <w:p w14:paraId="0D1DFAD7" w14:textId="523C671D" w:rsidR="000540DE" w:rsidRPr="00CD7BAB" w:rsidRDefault="00D5790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summary, therefore</w:t>
      </w:r>
      <w:r w:rsidR="000540DE" w:rsidRPr="00CD7BAB">
        <w:rPr>
          <w:rFonts w:asciiTheme="minorHAnsi" w:hAnsiTheme="minorHAnsi"/>
        </w:rPr>
        <w:t xml:space="preserve">, s 320: </w:t>
      </w:r>
    </w:p>
    <w:p w14:paraId="522CBE8E" w14:textId="77777777" w:rsidR="000540DE" w:rsidRDefault="000540DE" w:rsidP="00EB7F1E">
      <w:pPr>
        <w:pStyle w:val="ListParagraph"/>
        <w:numPr>
          <w:ilvl w:val="1"/>
          <w:numId w:val="36"/>
        </w:numPr>
        <w:spacing w:line="276" w:lineRule="auto"/>
        <w:ind w:left="993" w:right="28" w:hanging="142"/>
        <w:rPr>
          <w:rFonts w:asciiTheme="minorHAnsi" w:hAnsiTheme="minorHAnsi"/>
        </w:rPr>
      </w:pPr>
      <w:r w:rsidRPr="00237646">
        <w:rPr>
          <w:rFonts w:asciiTheme="minorHAnsi" w:hAnsiTheme="minorHAnsi"/>
          <w:i/>
        </w:rPr>
        <w:t>permits</w:t>
      </w:r>
      <w:r w:rsidRPr="00C00000">
        <w:rPr>
          <w:rFonts w:asciiTheme="minorHAnsi" w:hAnsiTheme="minorHAnsi"/>
        </w:rPr>
        <w:t xml:space="preserve"> </w:t>
      </w:r>
      <w:r>
        <w:rPr>
          <w:rFonts w:asciiTheme="minorHAnsi" w:hAnsiTheme="minorHAnsi"/>
        </w:rPr>
        <w:t>a court</w:t>
      </w:r>
      <w:r w:rsidRPr="00C00000">
        <w:rPr>
          <w:rFonts w:asciiTheme="minorHAnsi" w:hAnsiTheme="minorHAnsi"/>
        </w:rPr>
        <w:t xml:space="preserve"> sentencing </w:t>
      </w:r>
      <w:r>
        <w:rPr>
          <w:rFonts w:asciiTheme="minorHAnsi" w:hAnsiTheme="minorHAnsi"/>
        </w:rPr>
        <w:t xml:space="preserve">a federal offender for an indictable offence </w:t>
      </w:r>
      <w:r w:rsidRPr="00C00000">
        <w:rPr>
          <w:rFonts w:asciiTheme="minorHAnsi" w:hAnsiTheme="minorHAnsi"/>
        </w:rPr>
        <w:t>to have regard to any cooperation by the offender in resolving any action taken agai</w:t>
      </w:r>
      <w:r>
        <w:rPr>
          <w:rFonts w:asciiTheme="minorHAnsi" w:hAnsiTheme="minorHAnsi"/>
        </w:rPr>
        <w:t>nst the offender under the Act (s 320(a));</w:t>
      </w:r>
    </w:p>
    <w:p w14:paraId="3F19AD52" w14:textId="3E191D77" w:rsidR="0018311C" w:rsidRPr="00C00000" w:rsidRDefault="0018311C" w:rsidP="00EB7F1E">
      <w:pPr>
        <w:pStyle w:val="ListParagraph"/>
        <w:numPr>
          <w:ilvl w:val="1"/>
          <w:numId w:val="36"/>
        </w:numPr>
        <w:spacing w:line="276" w:lineRule="auto"/>
        <w:ind w:left="993" w:right="28" w:hanging="142"/>
        <w:rPr>
          <w:rFonts w:asciiTheme="minorHAnsi" w:hAnsiTheme="minorHAnsi"/>
        </w:rPr>
      </w:pPr>
      <w:r w:rsidRPr="00237646">
        <w:rPr>
          <w:rFonts w:asciiTheme="minorHAnsi" w:hAnsiTheme="minorHAnsi"/>
          <w:i/>
        </w:rPr>
        <w:t>precludes</w:t>
      </w:r>
      <w:r>
        <w:rPr>
          <w:rFonts w:asciiTheme="minorHAnsi" w:hAnsiTheme="minorHAnsi"/>
        </w:rPr>
        <w:t xml:space="preserve"> the</w:t>
      </w:r>
      <w:r w:rsidRPr="00C00000">
        <w:rPr>
          <w:rFonts w:asciiTheme="minorHAnsi" w:hAnsiTheme="minorHAnsi"/>
        </w:rPr>
        <w:t xml:space="preserve"> sentencing </w:t>
      </w:r>
      <w:r>
        <w:rPr>
          <w:rFonts w:asciiTheme="minorHAnsi" w:hAnsiTheme="minorHAnsi"/>
        </w:rPr>
        <w:t>court</w:t>
      </w:r>
      <w:r w:rsidRPr="00C00000">
        <w:rPr>
          <w:rFonts w:asciiTheme="minorHAnsi" w:hAnsiTheme="minorHAnsi"/>
        </w:rPr>
        <w:t xml:space="preserve"> from having regard to the forfeiture of the proceeds of the offence the person is convicted of </w:t>
      </w:r>
      <w:r>
        <w:rPr>
          <w:rFonts w:asciiTheme="minorHAnsi" w:hAnsiTheme="minorHAnsi"/>
        </w:rPr>
        <w:t xml:space="preserve">(s 320(b)) </w:t>
      </w:r>
      <w:r w:rsidRPr="00C00000">
        <w:rPr>
          <w:rFonts w:asciiTheme="minorHAnsi" w:hAnsiTheme="minorHAnsi"/>
        </w:rPr>
        <w:t xml:space="preserve">or any pecuniary penalty order or literary proceeds order </w:t>
      </w:r>
      <w:r>
        <w:rPr>
          <w:rFonts w:asciiTheme="minorHAnsi" w:hAnsiTheme="minorHAnsi"/>
        </w:rPr>
        <w:t xml:space="preserve">that </w:t>
      </w:r>
      <w:r w:rsidRPr="00C00000">
        <w:rPr>
          <w:rFonts w:asciiTheme="minorHAnsi" w:hAnsiTheme="minorHAnsi"/>
        </w:rPr>
        <w:t>relat</w:t>
      </w:r>
      <w:r>
        <w:rPr>
          <w:rFonts w:asciiTheme="minorHAnsi" w:hAnsiTheme="minorHAnsi"/>
        </w:rPr>
        <w:t>es</w:t>
      </w:r>
      <w:r w:rsidRPr="00C00000">
        <w:rPr>
          <w:rFonts w:asciiTheme="minorHAnsi" w:hAnsiTheme="minorHAnsi"/>
        </w:rPr>
        <w:t xml:space="preserve"> to that offence</w:t>
      </w:r>
      <w:r>
        <w:rPr>
          <w:rFonts w:asciiTheme="minorHAnsi" w:hAnsiTheme="minorHAnsi"/>
        </w:rPr>
        <w:t xml:space="preserve"> (s 320(d)); and</w:t>
      </w:r>
    </w:p>
    <w:p w14:paraId="57AAC871" w14:textId="795FD03F" w:rsidR="000540DE" w:rsidRDefault="000540DE" w:rsidP="00EB7F1E">
      <w:pPr>
        <w:pStyle w:val="ListParagraph"/>
        <w:numPr>
          <w:ilvl w:val="1"/>
          <w:numId w:val="36"/>
        </w:numPr>
        <w:spacing w:line="276" w:lineRule="auto"/>
        <w:ind w:left="993" w:right="28" w:hanging="142"/>
        <w:rPr>
          <w:rFonts w:asciiTheme="minorHAnsi" w:hAnsiTheme="minorHAnsi"/>
        </w:rPr>
      </w:pPr>
      <w:r w:rsidRPr="00237646">
        <w:rPr>
          <w:rFonts w:asciiTheme="minorHAnsi" w:hAnsiTheme="minorHAnsi"/>
          <w:i/>
        </w:rPr>
        <w:t>requires</w:t>
      </w:r>
      <w:r w:rsidRPr="00C00000">
        <w:rPr>
          <w:rFonts w:asciiTheme="minorHAnsi" w:hAnsiTheme="minorHAnsi"/>
        </w:rPr>
        <w:t xml:space="preserve"> the sentencing </w:t>
      </w:r>
      <w:r>
        <w:rPr>
          <w:rFonts w:asciiTheme="minorHAnsi" w:hAnsiTheme="minorHAnsi"/>
        </w:rPr>
        <w:t>court</w:t>
      </w:r>
      <w:r w:rsidRPr="00C00000">
        <w:rPr>
          <w:rFonts w:asciiTheme="minorHAnsi" w:hAnsiTheme="minorHAnsi"/>
        </w:rPr>
        <w:t xml:space="preserve"> to have regard to the forfeiture of other property that is </w:t>
      </w:r>
      <w:r w:rsidRPr="00C00000">
        <w:rPr>
          <w:rFonts w:asciiTheme="minorHAnsi" w:hAnsiTheme="minorHAnsi"/>
          <w:u w:val="single"/>
        </w:rPr>
        <w:t>not</w:t>
      </w:r>
      <w:r w:rsidRPr="00C00000">
        <w:rPr>
          <w:rFonts w:asciiTheme="minorHAnsi" w:hAnsiTheme="minorHAnsi"/>
        </w:rPr>
        <w:t xml:space="preserve"> proceeds of the</w:t>
      </w:r>
      <w:r w:rsidRPr="00C00000">
        <w:rPr>
          <w:rFonts w:asciiTheme="minorHAnsi" w:hAnsiTheme="minorHAnsi"/>
          <w:b/>
        </w:rPr>
        <w:t xml:space="preserve"> </w:t>
      </w:r>
      <w:r w:rsidRPr="00C00000">
        <w:rPr>
          <w:rFonts w:asciiTheme="minorHAnsi" w:hAnsiTheme="minorHAnsi"/>
        </w:rPr>
        <w:t xml:space="preserve">offence the person is convicted of </w:t>
      </w:r>
      <w:r w:rsidR="0018311C">
        <w:rPr>
          <w:rFonts w:asciiTheme="minorHAnsi" w:hAnsiTheme="minorHAnsi"/>
        </w:rPr>
        <w:t>(</w:t>
      </w:r>
      <w:r w:rsidRPr="00C00000">
        <w:rPr>
          <w:rFonts w:asciiTheme="minorHAnsi" w:hAnsiTheme="minorHAnsi"/>
        </w:rPr>
        <w:t>such as</w:t>
      </w:r>
      <w:r w:rsidR="00BD03C3">
        <w:rPr>
          <w:rFonts w:asciiTheme="minorHAnsi" w:hAnsiTheme="minorHAnsi"/>
        </w:rPr>
        <w:t xml:space="preserve"> real property</w:t>
      </w:r>
      <w:r w:rsidR="00BD03C3" w:rsidRPr="00C00000">
        <w:rPr>
          <w:rFonts w:asciiTheme="minorHAnsi" w:hAnsiTheme="minorHAnsi"/>
        </w:rPr>
        <w:t xml:space="preserve"> </w:t>
      </w:r>
      <w:r w:rsidR="00BD03C3">
        <w:rPr>
          <w:rFonts w:asciiTheme="minorHAnsi" w:hAnsiTheme="minorHAnsi"/>
        </w:rPr>
        <w:t xml:space="preserve">or a motor vehicle </w:t>
      </w:r>
      <w:r w:rsidRPr="00C00000">
        <w:rPr>
          <w:rFonts w:asciiTheme="minorHAnsi" w:hAnsiTheme="minorHAnsi"/>
        </w:rPr>
        <w:t>used in the commission of the offence</w:t>
      </w:r>
      <w:r w:rsidR="0018311C">
        <w:rPr>
          <w:rFonts w:asciiTheme="minorHAnsi" w:hAnsiTheme="minorHAnsi"/>
        </w:rPr>
        <w:t>)</w:t>
      </w:r>
      <w:r>
        <w:rPr>
          <w:rFonts w:asciiTheme="minorHAnsi" w:hAnsiTheme="minorHAnsi"/>
        </w:rPr>
        <w:t xml:space="preserve"> (s 320(c))</w:t>
      </w:r>
      <w:r w:rsidR="0018311C">
        <w:rPr>
          <w:rFonts w:asciiTheme="minorHAnsi" w:hAnsiTheme="minorHAnsi"/>
        </w:rPr>
        <w:t>.</w:t>
      </w:r>
    </w:p>
    <w:p w14:paraId="297849BB" w14:textId="77777777" w:rsidR="000540DE" w:rsidRPr="00C00000" w:rsidRDefault="000540DE" w:rsidP="000540DE">
      <w:pPr>
        <w:pStyle w:val="ListParagraph"/>
        <w:widowControl w:val="0"/>
        <w:spacing w:line="276" w:lineRule="auto"/>
        <w:ind w:left="873" w:right="170"/>
        <w:rPr>
          <w:rFonts w:asciiTheme="minorHAnsi" w:hAnsiTheme="minorHAnsi"/>
        </w:rPr>
      </w:pPr>
    </w:p>
    <w:p w14:paraId="6391E1D8" w14:textId="325EEEC2" w:rsidR="00D5790F" w:rsidRDefault="00D5790F" w:rsidP="00EB7F1E">
      <w:pPr>
        <w:pStyle w:val="ListParagraph"/>
        <w:numPr>
          <w:ilvl w:val="0"/>
          <w:numId w:val="7"/>
        </w:numPr>
        <w:spacing w:line="276" w:lineRule="auto"/>
        <w:ind w:left="425" w:hanging="425"/>
        <w:contextualSpacing w:val="0"/>
        <w:rPr>
          <w:rFonts w:asciiTheme="minorHAnsi" w:hAnsiTheme="minorHAnsi"/>
        </w:rPr>
      </w:pPr>
      <w:r w:rsidRPr="00CD7BAB">
        <w:rPr>
          <w:rFonts w:asciiTheme="minorHAnsi" w:hAnsiTheme="minorHAnsi"/>
        </w:rPr>
        <w:t xml:space="preserve">The broad scheme of s 320 </w:t>
      </w:r>
      <w:r>
        <w:rPr>
          <w:rFonts w:asciiTheme="minorHAnsi" w:hAnsiTheme="minorHAnsi"/>
        </w:rPr>
        <w:t xml:space="preserve">of the </w:t>
      </w:r>
      <w:r w:rsidRPr="00CD7BAB">
        <w:rPr>
          <w:rFonts w:asciiTheme="minorHAnsi" w:hAnsiTheme="minorHAnsi"/>
          <w:i/>
        </w:rPr>
        <w:t>Proceeds of Crime Act 2002</w:t>
      </w:r>
      <w:r w:rsidRPr="00CD7BAB">
        <w:rPr>
          <w:rFonts w:asciiTheme="minorHAnsi" w:hAnsiTheme="minorHAnsi"/>
        </w:rPr>
        <w:t xml:space="preserve"> (Cth)</w:t>
      </w:r>
      <w:r w:rsidRPr="00D5790F">
        <w:rPr>
          <w:rFonts w:asciiTheme="minorHAnsi" w:hAnsiTheme="minorHAnsi"/>
        </w:rPr>
        <w:t xml:space="preserve"> </w:t>
      </w:r>
      <w:r>
        <w:rPr>
          <w:rFonts w:asciiTheme="minorHAnsi" w:hAnsiTheme="minorHAnsi"/>
        </w:rPr>
        <w:t>(consistently with that under other legislative confiscation schemes</w:t>
      </w:r>
      <w:r w:rsidRPr="00C00000">
        <w:rPr>
          <w:rStyle w:val="Style"/>
          <w:rFonts w:asciiTheme="minorHAnsi" w:hAnsiTheme="minorHAnsi"/>
        </w:rPr>
        <w:footnoteReference w:id="520"/>
      </w:r>
      <w:r>
        <w:rPr>
          <w:rFonts w:asciiTheme="minorHAnsi" w:hAnsiTheme="minorHAnsi"/>
        </w:rPr>
        <w:t>)</w:t>
      </w:r>
      <w:r w:rsidRPr="00CD7BAB">
        <w:rPr>
          <w:rFonts w:asciiTheme="minorHAnsi" w:hAnsiTheme="minorHAnsi"/>
        </w:rPr>
        <w:t xml:space="preserve"> is that no regard is to be had to any order the effect of which would strip the benefits of the crime from the offender,</w:t>
      </w:r>
      <w:r w:rsidR="00B05280" w:rsidRPr="000055BF">
        <w:rPr>
          <w:rFonts w:asciiTheme="minorHAnsi" w:hAnsiTheme="minorHAnsi"/>
          <w:position w:val="6"/>
          <w:sz w:val="16"/>
        </w:rPr>
        <w:footnoteReference w:id="521"/>
      </w:r>
      <w:r w:rsidRPr="00CD7BAB">
        <w:rPr>
          <w:rFonts w:asciiTheme="minorHAnsi" w:hAnsiTheme="minorHAnsi"/>
        </w:rPr>
        <w:t xml:space="preserve"> but regard </w:t>
      </w:r>
      <w:r w:rsidR="002E14EA">
        <w:rPr>
          <w:rFonts w:asciiTheme="minorHAnsi" w:hAnsiTheme="minorHAnsi"/>
        </w:rPr>
        <w:t>must</w:t>
      </w:r>
      <w:r w:rsidRPr="00CD7BAB">
        <w:rPr>
          <w:rFonts w:asciiTheme="minorHAnsi" w:hAnsiTheme="minorHAnsi"/>
        </w:rPr>
        <w:t xml:space="preserve"> be had to the </w:t>
      </w:r>
      <w:r w:rsidR="00477521">
        <w:rPr>
          <w:rFonts w:asciiTheme="minorHAnsi" w:hAnsiTheme="minorHAnsi"/>
        </w:rPr>
        <w:t>court-ordered forfeiture</w:t>
      </w:r>
      <w:r w:rsidRPr="00CD7BAB">
        <w:rPr>
          <w:rFonts w:asciiTheme="minorHAnsi" w:hAnsiTheme="minorHAnsi"/>
        </w:rPr>
        <w:t xml:space="preserve"> of property which does not represent the proceeds of crime </w:t>
      </w:r>
      <w:r>
        <w:rPr>
          <w:rFonts w:asciiTheme="minorHAnsi" w:hAnsiTheme="minorHAnsi"/>
        </w:rPr>
        <w:t>(</w:t>
      </w:r>
      <w:r w:rsidRPr="00CD7BAB">
        <w:rPr>
          <w:rFonts w:asciiTheme="minorHAnsi" w:hAnsiTheme="minorHAnsi"/>
        </w:rPr>
        <w:t>such as property used in the commission of the crime</w:t>
      </w:r>
      <w:r>
        <w:rPr>
          <w:rFonts w:asciiTheme="minorHAnsi" w:hAnsiTheme="minorHAnsi"/>
        </w:rPr>
        <w:t xml:space="preserve"> or property mixed with proceeds of crime)</w:t>
      </w:r>
      <w:r w:rsidRPr="00CD7BAB">
        <w:rPr>
          <w:rFonts w:asciiTheme="minorHAnsi" w:hAnsiTheme="minorHAnsi"/>
        </w:rPr>
        <w:t>, which property may have been acquired lawfully.</w:t>
      </w:r>
      <w:r>
        <w:rPr>
          <w:rFonts w:asciiTheme="minorHAnsi" w:hAnsiTheme="minorHAnsi"/>
        </w:rPr>
        <w:t xml:space="preserve">  </w:t>
      </w:r>
      <w:r w:rsidR="00BF30FF">
        <w:rPr>
          <w:rFonts w:asciiTheme="minorHAnsi" w:hAnsiTheme="minorHAnsi"/>
        </w:rPr>
        <w:t>The underlying rationale for this distinction is that th</w:t>
      </w:r>
      <w:r w:rsidR="00932306">
        <w:rPr>
          <w:rFonts w:asciiTheme="minorHAnsi" w:hAnsiTheme="minorHAnsi"/>
        </w:rPr>
        <w:t>e latter may constitute a penalty</w:t>
      </w:r>
      <w:r w:rsidR="00553898">
        <w:rPr>
          <w:rFonts w:asciiTheme="minorHAnsi" w:hAnsiTheme="minorHAnsi"/>
        </w:rPr>
        <w:t xml:space="preserve"> (and is therefore relevant in ensuring that the total punishment is proportionate to the offending)</w:t>
      </w:r>
      <w:r w:rsidR="00932306">
        <w:rPr>
          <w:rFonts w:asciiTheme="minorHAnsi" w:hAnsiTheme="minorHAnsi"/>
        </w:rPr>
        <w:t xml:space="preserve">, whereas the former does not.  </w:t>
      </w:r>
      <w:r w:rsidR="00553898">
        <w:rPr>
          <w:rFonts w:asciiTheme="minorHAnsi" w:hAnsiTheme="minorHAnsi"/>
        </w:rPr>
        <w:t xml:space="preserve">The </w:t>
      </w:r>
      <w:r w:rsidR="00BF30FF" w:rsidRPr="00BF30FF">
        <w:rPr>
          <w:rFonts w:asciiTheme="minorHAnsi" w:hAnsiTheme="minorHAnsi"/>
        </w:rPr>
        <w:t>obligation to disgorge the pro</w:t>
      </w:r>
      <w:r w:rsidR="00BF30FF">
        <w:rPr>
          <w:rFonts w:asciiTheme="minorHAnsi" w:hAnsiTheme="minorHAnsi"/>
        </w:rPr>
        <w:t xml:space="preserve">ceeds of crime is not </w:t>
      </w:r>
      <w:r w:rsidR="001C76C4">
        <w:rPr>
          <w:rFonts w:asciiTheme="minorHAnsi" w:hAnsiTheme="minorHAnsi"/>
        </w:rPr>
        <w:t xml:space="preserve">to be treated as </w:t>
      </w:r>
      <w:r w:rsidR="00BF30FF">
        <w:rPr>
          <w:rFonts w:asciiTheme="minorHAnsi" w:hAnsiTheme="minorHAnsi"/>
        </w:rPr>
        <w:t xml:space="preserve">a penalty, but </w:t>
      </w:r>
      <w:r w:rsidR="001C76C4">
        <w:rPr>
          <w:rFonts w:asciiTheme="minorHAnsi" w:hAnsiTheme="minorHAnsi"/>
        </w:rPr>
        <w:t xml:space="preserve">merely as a means of </w:t>
      </w:r>
      <w:r w:rsidR="00BF30FF" w:rsidRPr="00BF30FF">
        <w:rPr>
          <w:rFonts w:asciiTheme="minorHAnsi" w:hAnsiTheme="minorHAnsi"/>
        </w:rPr>
        <w:t>prevent</w:t>
      </w:r>
      <w:r w:rsidR="001C76C4">
        <w:rPr>
          <w:rFonts w:asciiTheme="minorHAnsi" w:hAnsiTheme="minorHAnsi"/>
        </w:rPr>
        <w:t>ing</w:t>
      </w:r>
      <w:r w:rsidR="00BF30FF" w:rsidRPr="00BF30FF">
        <w:rPr>
          <w:rFonts w:asciiTheme="minorHAnsi" w:hAnsiTheme="minorHAnsi"/>
        </w:rPr>
        <w:t xml:space="preserve"> unjust enrichment</w:t>
      </w:r>
      <w:r w:rsidR="00AD2AB7">
        <w:rPr>
          <w:rFonts w:asciiTheme="minorHAnsi" w:hAnsiTheme="minorHAnsi"/>
        </w:rPr>
        <w:t>;</w:t>
      </w:r>
      <w:r w:rsidR="00194E34" w:rsidRPr="00C00000">
        <w:rPr>
          <w:rStyle w:val="Style"/>
          <w:rFonts w:asciiTheme="minorHAnsi" w:hAnsiTheme="minorHAnsi"/>
        </w:rPr>
        <w:footnoteReference w:id="522"/>
      </w:r>
      <w:r w:rsidR="00AD2AB7">
        <w:rPr>
          <w:rFonts w:asciiTheme="minorHAnsi" w:hAnsiTheme="minorHAnsi"/>
        </w:rPr>
        <w:t xml:space="preserve"> whereas forfeiture of property which is not proceeds of crime </w:t>
      </w:r>
      <w:r w:rsidR="00932306">
        <w:rPr>
          <w:rFonts w:asciiTheme="minorHAnsi" w:hAnsiTheme="minorHAnsi"/>
        </w:rPr>
        <w:t xml:space="preserve">constitutes a separate penalty and </w:t>
      </w:r>
      <w:r w:rsidR="00AD2AB7">
        <w:rPr>
          <w:rFonts w:asciiTheme="minorHAnsi" w:hAnsiTheme="minorHAnsi"/>
        </w:rPr>
        <w:t xml:space="preserve">may </w:t>
      </w:r>
      <w:r w:rsidR="00932306">
        <w:rPr>
          <w:rFonts w:asciiTheme="minorHAnsi" w:hAnsiTheme="minorHAnsi"/>
        </w:rPr>
        <w:t xml:space="preserve">therefore </w:t>
      </w:r>
      <w:r w:rsidR="00AD2AB7">
        <w:rPr>
          <w:rFonts w:asciiTheme="minorHAnsi" w:hAnsiTheme="minorHAnsi"/>
        </w:rPr>
        <w:t>be relevant to sentencing.</w:t>
      </w:r>
      <w:r w:rsidR="00AD2AB7" w:rsidRPr="00C00000">
        <w:rPr>
          <w:rStyle w:val="Style"/>
          <w:rFonts w:asciiTheme="minorHAnsi" w:hAnsiTheme="minorHAnsi"/>
        </w:rPr>
        <w:footnoteReference w:id="523"/>
      </w:r>
    </w:p>
    <w:p w14:paraId="2F73813A" w14:textId="77777777" w:rsidR="00F20FBF" w:rsidRPr="00F20FBF" w:rsidRDefault="00F20FBF" w:rsidP="00F20FBF">
      <w:pPr>
        <w:widowControl w:val="0"/>
        <w:spacing w:line="276" w:lineRule="auto"/>
        <w:ind w:right="170"/>
        <w:rPr>
          <w:rFonts w:asciiTheme="minorHAnsi" w:hAnsiTheme="minorHAnsi"/>
        </w:rPr>
      </w:pPr>
    </w:p>
    <w:p w14:paraId="5F600EF3" w14:textId="67713CCE" w:rsidR="00F20FBF" w:rsidRDefault="00F20FB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prohibition </w:t>
      </w:r>
      <w:r w:rsidR="000C4337">
        <w:rPr>
          <w:rFonts w:asciiTheme="minorHAnsi" w:hAnsiTheme="minorHAnsi"/>
        </w:rPr>
        <w:t xml:space="preserve">in s 320(d) on a </w:t>
      </w:r>
      <w:r w:rsidR="00633B77">
        <w:rPr>
          <w:rFonts w:asciiTheme="minorHAnsi" w:hAnsiTheme="minorHAnsi"/>
        </w:rPr>
        <w:t xml:space="preserve">court </w:t>
      </w:r>
      <w:r w:rsidR="000C4337">
        <w:rPr>
          <w:rFonts w:asciiTheme="minorHAnsi" w:hAnsiTheme="minorHAnsi"/>
        </w:rPr>
        <w:t xml:space="preserve">having regard to </w:t>
      </w:r>
      <w:r w:rsidR="001C76C4">
        <w:rPr>
          <w:rFonts w:asciiTheme="minorHAnsi" w:hAnsiTheme="minorHAnsi"/>
        </w:rPr>
        <w:t xml:space="preserve">any pecuniary penalty order </w:t>
      </w:r>
      <w:r w:rsidR="000C4337" w:rsidRPr="000C4337">
        <w:rPr>
          <w:rFonts w:asciiTheme="minorHAnsi" w:hAnsiTheme="minorHAnsi"/>
        </w:rPr>
        <w:t>that relates to the offence</w:t>
      </w:r>
      <w:r w:rsidR="000C4337">
        <w:rPr>
          <w:rFonts w:asciiTheme="minorHAnsi" w:hAnsiTheme="minorHAnsi"/>
        </w:rPr>
        <w:t xml:space="preserve"> renders that matter an irrelevant consideration</w:t>
      </w:r>
      <w:r w:rsidR="00633B77" w:rsidRPr="00633B77">
        <w:rPr>
          <w:rFonts w:asciiTheme="minorHAnsi" w:hAnsiTheme="minorHAnsi"/>
        </w:rPr>
        <w:t xml:space="preserve"> </w:t>
      </w:r>
      <w:r w:rsidR="00633B77">
        <w:rPr>
          <w:rFonts w:asciiTheme="minorHAnsi" w:hAnsiTheme="minorHAnsi"/>
        </w:rPr>
        <w:t>in sentencing an offender for a Commonwealth indictable offence</w:t>
      </w:r>
      <w:r w:rsidR="000C4337">
        <w:rPr>
          <w:rFonts w:asciiTheme="minorHAnsi" w:hAnsiTheme="minorHAnsi"/>
        </w:rPr>
        <w:t>.</w:t>
      </w:r>
      <w:r w:rsidR="000C4337" w:rsidRPr="00C00000">
        <w:rPr>
          <w:rStyle w:val="Style"/>
          <w:rFonts w:asciiTheme="minorHAnsi" w:hAnsiTheme="minorHAnsi"/>
        </w:rPr>
        <w:footnoteReference w:id="524"/>
      </w:r>
      <w:r w:rsidR="008312CB">
        <w:rPr>
          <w:rFonts w:asciiTheme="minorHAnsi" w:hAnsiTheme="minorHAnsi"/>
        </w:rPr>
        <w:t xml:space="preserve">  </w:t>
      </w:r>
      <w:r w:rsidR="001C76C4">
        <w:rPr>
          <w:rFonts w:asciiTheme="minorHAnsi" w:hAnsiTheme="minorHAnsi"/>
          <w:szCs w:val="22"/>
        </w:rPr>
        <w:t xml:space="preserve">On its proper construction, s 320(d) precludes a </w:t>
      </w:r>
      <w:r w:rsidR="00633B77">
        <w:rPr>
          <w:rFonts w:asciiTheme="minorHAnsi" w:hAnsiTheme="minorHAnsi"/>
          <w:szCs w:val="22"/>
        </w:rPr>
        <w:t xml:space="preserve">sentencing </w:t>
      </w:r>
      <w:r w:rsidR="001C76C4">
        <w:rPr>
          <w:rFonts w:asciiTheme="minorHAnsi" w:hAnsiTheme="minorHAnsi"/>
          <w:szCs w:val="22"/>
        </w:rPr>
        <w:t xml:space="preserve">court from having regard </w:t>
      </w:r>
      <w:r w:rsidR="00406E55">
        <w:rPr>
          <w:rFonts w:asciiTheme="minorHAnsi" w:hAnsiTheme="minorHAnsi"/>
          <w:szCs w:val="22"/>
        </w:rPr>
        <w:t xml:space="preserve">not only </w:t>
      </w:r>
      <w:r w:rsidR="001C76C4">
        <w:rPr>
          <w:rFonts w:asciiTheme="minorHAnsi" w:hAnsiTheme="minorHAnsi"/>
          <w:szCs w:val="22"/>
        </w:rPr>
        <w:t>to the mere fact of a pecuniary penalty order but also to any action taken in consequence of it, such as the payment of money pursuant to an order.</w:t>
      </w:r>
      <w:r w:rsidR="001C76C4" w:rsidRPr="00C00000">
        <w:rPr>
          <w:rStyle w:val="Style"/>
          <w:rFonts w:asciiTheme="minorHAnsi" w:hAnsiTheme="minorHAnsi"/>
        </w:rPr>
        <w:footnoteReference w:id="525"/>
      </w:r>
      <w:r w:rsidR="001C76C4">
        <w:rPr>
          <w:rFonts w:asciiTheme="minorHAnsi" w:hAnsiTheme="minorHAnsi"/>
          <w:szCs w:val="22"/>
        </w:rPr>
        <w:t xml:space="preserve">  </w:t>
      </w:r>
    </w:p>
    <w:p w14:paraId="1274FEA9" w14:textId="77777777" w:rsidR="00D5790F" w:rsidRPr="00D5790F" w:rsidRDefault="00D5790F" w:rsidP="00D5790F">
      <w:pPr>
        <w:widowControl w:val="0"/>
        <w:spacing w:line="276" w:lineRule="auto"/>
        <w:ind w:right="170"/>
        <w:rPr>
          <w:rFonts w:asciiTheme="minorHAnsi" w:hAnsiTheme="minorHAnsi"/>
        </w:rPr>
      </w:pPr>
    </w:p>
    <w:p w14:paraId="3CAAAC9C" w14:textId="527E0B1F" w:rsidR="00BF30FF" w:rsidRDefault="001C76C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However a sentencing court may have regard to</w:t>
      </w:r>
      <w:r w:rsidR="00BD03C3">
        <w:rPr>
          <w:rFonts w:asciiTheme="minorHAnsi" w:hAnsiTheme="minorHAnsi"/>
        </w:rPr>
        <w:t xml:space="preserve"> the offender</w:t>
      </w:r>
      <w:r w:rsidR="00AA693C">
        <w:rPr>
          <w:rFonts w:asciiTheme="minorHAnsi" w:hAnsiTheme="minorHAnsi"/>
        </w:rPr>
        <w:t>’</w:t>
      </w:r>
      <w:r w:rsidR="00BD03C3">
        <w:rPr>
          <w:rFonts w:asciiTheme="minorHAnsi" w:hAnsiTheme="minorHAnsi"/>
        </w:rPr>
        <w:t xml:space="preserve">s cooperation in relation to </w:t>
      </w:r>
      <w:r w:rsidR="00512E24">
        <w:rPr>
          <w:rFonts w:asciiTheme="minorHAnsi" w:hAnsiTheme="minorHAnsi"/>
        </w:rPr>
        <w:t>any action</w:t>
      </w:r>
      <w:r w:rsidR="00BD03C3">
        <w:rPr>
          <w:rFonts w:asciiTheme="minorHAnsi" w:hAnsiTheme="minorHAnsi"/>
        </w:rPr>
        <w:t xml:space="preserve"> under the </w:t>
      </w:r>
      <w:r w:rsidRPr="001C76C4">
        <w:rPr>
          <w:rFonts w:asciiTheme="minorHAnsi" w:hAnsiTheme="minorHAnsi"/>
          <w:i/>
        </w:rPr>
        <w:t xml:space="preserve">Proceeds of Crime </w:t>
      </w:r>
      <w:r w:rsidR="00BD03C3" w:rsidRPr="001C76C4">
        <w:rPr>
          <w:rFonts w:asciiTheme="minorHAnsi" w:hAnsiTheme="minorHAnsi"/>
          <w:i/>
        </w:rPr>
        <w:t>Act</w:t>
      </w:r>
      <w:r w:rsidR="00BD03C3">
        <w:rPr>
          <w:rFonts w:asciiTheme="minorHAnsi" w:hAnsiTheme="minorHAnsi"/>
        </w:rPr>
        <w:t xml:space="preserve"> (</w:t>
      </w:r>
      <w:r w:rsidR="00BF30FF">
        <w:rPr>
          <w:rFonts w:asciiTheme="minorHAnsi" w:hAnsiTheme="minorHAnsi"/>
        </w:rPr>
        <w:t>s 320</w:t>
      </w:r>
      <w:r w:rsidR="00BD03C3">
        <w:rPr>
          <w:rFonts w:asciiTheme="minorHAnsi" w:hAnsiTheme="minorHAnsi"/>
        </w:rPr>
        <w:t>(a))</w:t>
      </w:r>
      <w:r w:rsidR="00BF30FF">
        <w:rPr>
          <w:rFonts w:asciiTheme="minorHAnsi" w:hAnsiTheme="minorHAnsi"/>
        </w:rPr>
        <w:t xml:space="preserve">, </w:t>
      </w:r>
      <w:r w:rsidR="0031110B">
        <w:rPr>
          <w:rFonts w:asciiTheme="minorHAnsi" w:hAnsiTheme="minorHAnsi"/>
        </w:rPr>
        <w:t>even an action relating to an order (such as a pecuniary penalty order) which the court is precluded from have regard to</w:t>
      </w:r>
      <w:r w:rsidR="00511993">
        <w:rPr>
          <w:rFonts w:asciiTheme="minorHAnsi" w:hAnsiTheme="minorHAnsi"/>
        </w:rPr>
        <w:t xml:space="preserve"> in sentencing</w:t>
      </w:r>
      <w:r w:rsidR="0031110B">
        <w:rPr>
          <w:rFonts w:asciiTheme="minorHAnsi" w:hAnsiTheme="minorHAnsi"/>
        </w:rPr>
        <w:t xml:space="preserve">: </w:t>
      </w:r>
      <w:r w:rsidR="00BF30FF">
        <w:rPr>
          <w:rFonts w:asciiTheme="minorHAnsi" w:hAnsiTheme="minorHAnsi"/>
        </w:rPr>
        <w:t>see “</w:t>
      </w:r>
      <w:r w:rsidR="00BF30FF">
        <w:rPr>
          <w:rFonts w:asciiTheme="minorHAnsi" w:hAnsiTheme="minorHAnsi"/>
        </w:rPr>
        <w:fldChar w:fldCharType="begin"/>
      </w:r>
      <w:r w:rsidR="00BF30FF">
        <w:rPr>
          <w:rFonts w:asciiTheme="minorHAnsi" w:hAnsiTheme="minorHAnsi"/>
        </w:rPr>
        <w:instrText xml:space="preserve"> REF _Ref491696557 \r \h </w:instrText>
      </w:r>
      <w:r w:rsidR="00511993">
        <w:rPr>
          <w:rFonts w:asciiTheme="minorHAnsi" w:hAnsiTheme="minorHAnsi"/>
        </w:rPr>
        <w:instrText xml:space="preserve"> \* MERGEFORMAT </w:instrText>
      </w:r>
      <w:r w:rsidR="00BF30FF">
        <w:rPr>
          <w:rFonts w:asciiTheme="minorHAnsi" w:hAnsiTheme="minorHAnsi"/>
        </w:rPr>
      </w:r>
      <w:r w:rsidR="00BF30FF">
        <w:rPr>
          <w:rFonts w:asciiTheme="minorHAnsi" w:hAnsiTheme="minorHAnsi"/>
        </w:rPr>
        <w:fldChar w:fldCharType="separate"/>
      </w:r>
      <w:r w:rsidR="00D44BCF">
        <w:rPr>
          <w:rFonts w:asciiTheme="minorHAnsi" w:hAnsiTheme="minorHAnsi"/>
        </w:rPr>
        <w:t>4.5.10</w:t>
      </w:r>
      <w:r w:rsidR="00BF30FF">
        <w:rPr>
          <w:rFonts w:asciiTheme="minorHAnsi" w:hAnsiTheme="minorHAnsi"/>
        </w:rPr>
        <w:fldChar w:fldCharType="end"/>
      </w:r>
      <w:r w:rsidR="00BF30FF">
        <w:rPr>
          <w:rFonts w:asciiTheme="minorHAnsi" w:hAnsiTheme="minorHAnsi"/>
        </w:rPr>
        <w:t xml:space="preserve"> </w:t>
      </w:r>
      <w:r w:rsidR="00BF30FF">
        <w:rPr>
          <w:rFonts w:asciiTheme="minorHAnsi" w:hAnsiTheme="minorHAnsi"/>
        </w:rPr>
        <w:fldChar w:fldCharType="begin"/>
      </w:r>
      <w:r w:rsidR="00BF30FF">
        <w:rPr>
          <w:rFonts w:asciiTheme="minorHAnsi" w:hAnsiTheme="minorHAnsi"/>
        </w:rPr>
        <w:instrText xml:space="preserve"> REF _Ref491696557 \h </w:instrText>
      </w:r>
      <w:r w:rsidR="00511993">
        <w:rPr>
          <w:rFonts w:asciiTheme="minorHAnsi" w:hAnsiTheme="minorHAnsi"/>
        </w:rPr>
        <w:instrText xml:space="preserve"> \* MERGEFORMAT </w:instrText>
      </w:r>
      <w:r w:rsidR="00BF30FF">
        <w:rPr>
          <w:rFonts w:asciiTheme="minorHAnsi" w:hAnsiTheme="minorHAnsi"/>
        </w:rPr>
      </w:r>
      <w:r w:rsidR="00BF30FF">
        <w:rPr>
          <w:rFonts w:asciiTheme="minorHAnsi" w:hAnsiTheme="minorHAnsi"/>
        </w:rPr>
        <w:fldChar w:fldCharType="separate"/>
      </w:r>
      <w:r w:rsidR="00D44BCF" w:rsidRPr="00D44BCF">
        <w:rPr>
          <w:rFonts w:asciiTheme="minorHAnsi" w:hAnsiTheme="minorHAnsi"/>
        </w:rPr>
        <w:t>Cooperation in resolving action under Proceeds of Crime Act 2002 (Cth)</w:t>
      </w:r>
      <w:r w:rsidR="00BF30FF">
        <w:rPr>
          <w:rFonts w:asciiTheme="minorHAnsi" w:hAnsiTheme="minorHAnsi"/>
        </w:rPr>
        <w:fldChar w:fldCharType="end"/>
      </w:r>
      <w:r w:rsidR="00BF30FF">
        <w:rPr>
          <w:rFonts w:asciiTheme="minorHAnsi" w:hAnsiTheme="minorHAnsi"/>
        </w:rPr>
        <w:t>”.</w:t>
      </w:r>
    </w:p>
    <w:p w14:paraId="7C1B1744" w14:textId="77777777" w:rsidR="0031110B" w:rsidRPr="0031110B" w:rsidRDefault="0031110B" w:rsidP="0031110B">
      <w:pPr>
        <w:pStyle w:val="ListParagraph"/>
        <w:rPr>
          <w:rFonts w:asciiTheme="minorHAnsi" w:hAnsiTheme="minorHAnsi"/>
        </w:rPr>
      </w:pPr>
    </w:p>
    <w:p w14:paraId="79E26B22" w14:textId="1A07B158" w:rsidR="0031110B" w:rsidRDefault="00CF25C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Some uncertainty remains about the scope of the requirement (in s 320(c)) for a sentencing court, in relation to an indictable offence, to have regard </w:t>
      </w:r>
      <w:r w:rsidRPr="00CF25C2">
        <w:rPr>
          <w:rFonts w:asciiTheme="minorHAnsi" w:hAnsiTheme="minorHAnsi"/>
        </w:rPr>
        <w:t>to</w:t>
      </w:r>
      <w:r w:rsidRPr="00CF25C2">
        <w:rPr>
          <w:rFonts w:asciiTheme="minorHAnsi" w:hAnsiTheme="minorHAnsi"/>
          <w:szCs w:val="22"/>
        </w:rPr>
        <w:t xml:space="preserve"> a forfeiture order to the extent that the order forfeits property other than proceeds of crime.</w:t>
      </w:r>
      <w:r>
        <w:rPr>
          <w:rFonts w:asciiTheme="minorHAnsi" w:hAnsiTheme="minorHAnsi"/>
          <w:szCs w:val="22"/>
        </w:rPr>
        <w:t xml:space="preserve">  </w:t>
      </w:r>
      <w:r w:rsidR="00D52B9C">
        <w:rPr>
          <w:rFonts w:asciiTheme="minorHAnsi" w:hAnsiTheme="minorHAnsi"/>
          <w:szCs w:val="22"/>
        </w:rPr>
        <w:t>Where, u</w:t>
      </w:r>
      <w:r w:rsidR="00124F4B">
        <w:rPr>
          <w:rFonts w:asciiTheme="minorHAnsi" w:hAnsiTheme="minorHAnsi"/>
          <w:szCs w:val="22"/>
        </w:rPr>
        <w:t xml:space="preserve">nder State </w:t>
      </w:r>
      <w:r w:rsidR="00D52B9C">
        <w:rPr>
          <w:rFonts w:asciiTheme="minorHAnsi" w:hAnsiTheme="minorHAnsi"/>
          <w:szCs w:val="22"/>
        </w:rPr>
        <w:t xml:space="preserve">legislation, a sentencing court </w:t>
      </w:r>
      <w:r w:rsidR="00646073" w:rsidRPr="00646073">
        <w:rPr>
          <w:rFonts w:asciiTheme="minorHAnsi" w:hAnsiTheme="minorHAnsi"/>
          <w:i/>
          <w:szCs w:val="22"/>
        </w:rPr>
        <w:t>may</w:t>
      </w:r>
      <w:r w:rsidR="00D52B9C">
        <w:rPr>
          <w:rFonts w:asciiTheme="minorHAnsi" w:hAnsiTheme="minorHAnsi"/>
          <w:szCs w:val="22"/>
        </w:rPr>
        <w:t xml:space="preserve"> have regard to forfeiture to the extent that the forfeited property is not proceeds of crime, it has been held that the offender bears an onus of </w:t>
      </w:r>
      <w:r w:rsidR="00646073">
        <w:rPr>
          <w:rFonts w:asciiTheme="minorHAnsi" w:hAnsiTheme="minorHAnsi"/>
          <w:szCs w:val="22"/>
        </w:rPr>
        <w:t>establishing that the forfeiture should be regarded as mitigating; this means that the offender must establish</w:t>
      </w:r>
      <w:r w:rsidR="00D52B9C">
        <w:rPr>
          <w:rFonts w:asciiTheme="minorHAnsi" w:hAnsiTheme="minorHAnsi"/>
          <w:szCs w:val="22"/>
        </w:rPr>
        <w:t xml:space="preserve"> not only that the forfeited property was</w:t>
      </w:r>
      <w:r w:rsidR="0068630D">
        <w:rPr>
          <w:rFonts w:asciiTheme="minorHAnsi" w:hAnsiTheme="minorHAnsi"/>
          <w:szCs w:val="22"/>
        </w:rPr>
        <w:t xml:space="preserve"> not</w:t>
      </w:r>
      <w:r w:rsidR="00D52B9C">
        <w:rPr>
          <w:rFonts w:asciiTheme="minorHAnsi" w:hAnsiTheme="minorHAnsi"/>
          <w:szCs w:val="22"/>
        </w:rPr>
        <w:t xml:space="preserve"> the proceeds of the relevant offence, but also that it was lawfully acquired.</w:t>
      </w:r>
      <w:r w:rsidR="00D52B9C" w:rsidRPr="00C00000">
        <w:rPr>
          <w:rStyle w:val="Style"/>
          <w:rFonts w:asciiTheme="minorHAnsi" w:hAnsiTheme="minorHAnsi"/>
        </w:rPr>
        <w:footnoteReference w:id="526"/>
      </w:r>
      <w:r w:rsidR="00124F4B">
        <w:rPr>
          <w:rFonts w:asciiTheme="minorHAnsi" w:hAnsiTheme="minorHAnsi"/>
          <w:szCs w:val="22"/>
        </w:rPr>
        <w:t xml:space="preserve"> </w:t>
      </w:r>
      <w:r w:rsidR="00646073">
        <w:rPr>
          <w:rFonts w:asciiTheme="minorHAnsi" w:hAnsiTheme="minorHAnsi"/>
          <w:szCs w:val="22"/>
        </w:rPr>
        <w:t xml:space="preserve"> </w:t>
      </w:r>
      <w:r w:rsidR="002E202C">
        <w:rPr>
          <w:rFonts w:asciiTheme="minorHAnsi" w:hAnsiTheme="minorHAnsi"/>
          <w:szCs w:val="22"/>
        </w:rPr>
        <w:t>In</w:t>
      </w:r>
      <w:r w:rsidR="00C4736C">
        <w:rPr>
          <w:rFonts w:asciiTheme="minorHAnsi" w:hAnsiTheme="minorHAnsi"/>
          <w:szCs w:val="22"/>
        </w:rPr>
        <w:t xml:space="preserve"> </w:t>
      </w:r>
      <w:r w:rsidR="001A0AB6" w:rsidRPr="001A0AB6">
        <w:rPr>
          <w:rFonts w:asciiTheme="minorHAnsi" w:hAnsiTheme="minorHAnsi"/>
          <w:i/>
          <w:szCs w:val="22"/>
        </w:rPr>
        <w:t>TAN</w:t>
      </w:r>
      <w:r w:rsidR="001A0AB6">
        <w:rPr>
          <w:rFonts w:asciiTheme="minorHAnsi" w:hAnsiTheme="minorHAnsi"/>
          <w:szCs w:val="22"/>
        </w:rPr>
        <w:t>,</w:t>
      </w:r>
      <w:r w:rsidR="001A0AB6" w:rsidRPr="00C00000">
        <w:rPr>
          <w:rStyle w:val="Style"/>
          <w:rFonts w:asciiTheme="minorHAnsi" w:hAnsiTheme="minorHAnsi"/>
        </w:rPr>
        <w:footnoteReference w:id="527"/>
      </w:r>
      <w:r w:rsidR="001A0AB6">
        <w:rPr>
          <w:rFonts w:asciiTheme="minorHAnsi" w:hAnsiTheme="minorHAnsi"/>
          <w:szCs w:val="22"/>
        </w:rPr>
        <w:t xml:space="preserve"> the Court left</w:t>
      </w:r>
      <w:r w:rsidR="001A0AB6" w:rsidRPr="001A0AB6">
        <w:rPr>
          <w:rFonts w:asciiTheme="minorHAnsi" w:hAnsiTheme="minorHAnsi"/>
          <w:szCs w:val="22"/>
        </w:rPr>
        <w:t xml:space="preserve"> open</w:t>
      </w:r>
      <w:r w:rsidR="001A0AB6" w:rsidRPr="00576EEE">
        <w:rPr>
          <w:rStyle w:val="verdana"/>
          <w:rFonts w:ascii="Calibri" w:hAnsi="Calibri"/>
        </w:rPr>
        <w:t xml:space="preserve"> </w:t>
      </w:r>
      <w:r w:rsidR="001A0AB6" w:rsidRPr="001A0AB6">
        <w:rPr>
          <w:rFonts w:asciiTheme="minorHAnsi" w:hAnsiTheme="minorHAnsi"/>
        </w:rPr>
        <w:t xml:space="preserve">the question whether the </w:t>
      </w:r>
      <w:r w:rsidR="00DC0D92">
        <w:rPr>
          <w:rFonts w:asciiTheme="minorHAnsi" w:hAnsiTheme="minorHAnsi"/>
        </w:rPr>
        <w:t xml:space="preserve">same </w:t>
      </w:r>
      <w:r w:rsidR="001A0AB6" w:rsidRPr="001A0AB6">
        <w:rPr>
          <w:rFonts w:asciiTheme="minorHAnsi" w:hAnsiTheme="minorHAnsi"/>
        </w:rPr>
        <w:t>approach necessarily applies under s 320(c)</w:t>
      </w:r>
      <w:r w:rsidR="00DC0D92">
        <w:rPr>
          <w:rFonts w:asciiTheme="minorHAnsi" w:hAnsiTheme="minorHAnsi"/>
        </w:rPr>
        <w:t xml:space="preserve">, by which the sentencing court </w:t>
      </w:r>
      <w:r w:rsidR="00DC0D92" w:rsidRPr="00646073">
        <w:rPr>
          <w:rFonts w:asciiTheme="minorHAnsi" w:hAnsiTheme="minorHAnsi"/>
          <w:i/>
        </w:rPr>
        <w:t>must</w:t>
      </w:r>
      <w:r w:rsidR="00DC0D92">
        <w:rPr>
          <w:rFonts w:asciiTheme="minorHAnsi" w:hAnsiTheme="minorHAnsi"/>
        </w:rPr>
        <w:t xml:space="preserve"> have regard </w:t>
      </w:r>
      <w:r w:rsidR="00646073">
        <w:rPr>
          <w:rFonts w:asciiTheme="minorHAnsi" w:hAnsiTheme="minorHAnsi"/>
        </w:rPr>
        <w:t>to forfeiture of property which was not proceeds of crime</w:t>
      </w:r>
      <w:r w:rsidR="001A0AB6" w:rsidRPr="001A0AB6">
        <w:rPr>
          <w:rFonts w:asciiTheme="minorHAnsi" w:hAnsiTheme="minorHAnsi"/>
        </w:rPr>
        <w:t>.</w:t>
      </w:r>
    </w:p>
    <w:p w14:paraId="7AACBAB4" w14:textId="77777777" w:rsidR="00BF30FF" w:rsidRPr="00B304E3" w:rsidRDefault="00BF30FF" w:rsidP="00BF30FF">
      <w:pPr>
        <w:widowControl w:val="0"/>
        <w:spacing w:line="276" w:lineRule="auto"/>
        <w:ind w:right="170"/>
        <w:rPr>
          <w:rFonts w:asciiTheme="minorHAnsi" w:hAnsiTheme="minorHAnsi"/>
        </w:rPr>
      </w:pPr>
    </w:p>
    <w:p w14:paraId="3EC6ABC3" w14:textId="13B19907" w:rsidR="00574BD8" w:rsidRPr="008C055D" w:rsidRDefault="000540DE" w:rsidP="00EB7F1E">
      <w:pPr>
        <w:pStyle w:val="ListParagraph"/>
        <w:numPr>
          <w:ilvl w:val="0"/>
          <w:numId w:val="7"/>
        </w:numPr>
        <w:spacing w:line="276" w:lineRule="auto"/>
        <w:ind w:left="425" w:hanging="425"/>
        <w:contextualSpacing w:val="0"/>
        <w:rPr>
          <w:rFonts w:asciiTheme="minorHAnsi" w:hAnsiTheme="minorHAnsi"/>
        </w:rPr>
      </w:pPr>
      <w:r w:rsidRPr="008C055D">
        <w:rPr>
          <w:rFonts w:asciiTheme="minorHAnsi" w:hAnsiTheme="minorHAnsi"/>
        </w:rPr>
        <w:t xml:space="preserve">Section 320 of the </w:t>
      </w:r>
      <w:r w:rsidRPr="008C055D">
        <w:rPr>
          <w:rFonts w:asciiTheme="minorHAnsi" w:hAnsiTheme="minorHAnsi"/>
          <w:i/>
          <w:iCs/>
        </w:rPr>
        <w:t>Proceeds of Crime Act 2002</w:t>
      </w:r>
      <w:r w:rsidRPr="008C055D">
        <w:rPr>
          <w:rFonts w:asciiTheme="minorHAnsi" w:hAnsiTheme="minorHAnsi"/>
        </w:rPr>
        <w:t xml:space="preserve"> (Cth) is silent as to whether </w:t>
      </w:r>
      <w:r w:rsidRPr="008C055D">
        <w:rPr>
          <w:rFonts w:asciiTheme="minorHAnsi" w:hAnsiTheme="minorHAnsi"/>
          <w:i/>
        </w:rPr>
        <w:t>automatic forfeiture</w:t>
      </w:r>
      <w:r w:rsidRPr="008C055D">
        <w:rPr>
          <w:rFonts w:asciiTheme="minorHAnsi" w:hAnsiTheme="minorHAnsi"/>
        </w:rPr>
        <w:t xml:space="preserve"> </w:t>
      </w:r>
      <w:r w:rsidR="00574BD8" w:rsidRPr="008C055D">
        <w:rPr>
          <w:rFonts w:asciiTheme="minorHAnsi" w:hAnsiTheme="minorHAnsi"/>
        </w:rPr>
        <w:t xml:space="preserve">of property, by operation of the Act rather than pursuant to an order of a court, or the prospect of such forfeiture in future, </w:t>
      </w:r>
      <w:r w:rsidRPr="008C055D">
        <w:rPr>
          <w:rFonts w:asciiTheme="minorHAnsi" w:hAnsiTheme="minorHAnsi"/>
        </w:rPr>
        <w:t>can be taken into account in sentencing.</w:t>
      </w:r>
      <w:r w:rsidR="00512E24" w:rsidRPr="00C00000">
        <w:rPr>
          <w:rStyle w:val="Style"/>
          <w:rFonts w:asciiTheme="minorHAnsi" w:hAnsiTheme="minorHAnsi"/>
        </w:rPr>
        <w:footnoteReference w:id="528"/>
      </w:r>
      <w:r w:rsidRPr="008C055D">
        <w:rPr>
          <w:rFonts w:asciiTheme="minorHAnsi" w:hAnsiTheme="minorHAnsi"/>
        </w:rPr>
        <w:t xml:space="preserve"> </w:t>
      </w:r>
      <w:r w:rsidR="00574BD8" w:rsidRPr="008C055D">
        <w:rPr>
          <w:rFonts w:asciiTheme="minorHAnsi" w:hAnsiTheme="minorHAnsi"/>
        </w:rPr>
        <w:t xml:space="preserve"> The relevance of </w:t>
      </w:r>
      <w:r w:rsidR="00000D64" w:rsidRPr="008C055D">
        <w:rPr>
          <w:rFonts w:asciiTheme="minorHAnsi" w:hAnsiTheme="minorHAnsi"/>
        </w:rPr>
        <w:t xml:space="preserve">such </w:t>
      </w:r>
      <w:r w:rsidR="00574BD8" w:rsidRPr="008C055D">
        <w:rPr>
          <w:rFonts w:asciiTheme="minorHAnsi" w:hAnsiTheme="minorHAnsi"/>
        </w:rPr>
        <w:t>forfeiture is discussed below: see “</w:t>
      </w:r>
      <w:r w:rsidR="008C055D">
        <w:rPr>
          <w:rFonts w:asciiTheme="minorHAnsi" w:hAnsiTheme="minorHAnsi"/>
        </w:rPr>
        <w:fldChar w:fldCharType="begin"/>
      </w:r>
      <w:r w:rsidR="008C055D">
        <w:rPr>
          <w:rFonts w:asciiTheme="minorHAnsi" w:hAnsiTheme="minorHAnsi"/>
        </w:rPr>
        <w:instrText xml:space="preserve"> REF _Ref491941958 \r \h </w:instrText>
      </w:r>
      <w:r w:rsidR="00764796">
        <w:rPr>
          <w:rFonts w:asciiTheme="minorHAnsi" w:hAnsiTheme="minorHAnsi"/>
        </w:rPr>
        <w:instrText xml:space="preserve"> \* MERGEFORMAT </w:instrText>
      </w:r>
      <w:r w:rsidR="008C055D">
        <w:rPr>
          <w:rFonts w:asciiTheme="minorHAnsi" w:hAnsiTheme="minorHAnsi"/>
        </w:rPr>
      </w:r>
      <w:r w:rsidR="008C055D">
        <w:rPr>
          <w:rFonts w:asciiTheme="minorHAnsi" w:hAnsiTheme="minorHAnsi"/>
        </w:rPr>
        <w:fldChar w:fldCharType="separate"/>
      </w:r>
      <w:r w:rsidR="00D44BCF">
        <w:rPr>
          <w:rFonts w:asciiTheme="minorHAnsi" w:hAnsiTheme="minorHAnsi"/>
        </w:rPr>
        <w:t>4.5.11</w:t>
      </w:r>
      <w:r w:rsidR="008C055D">
        <w:rPr>
          <w:rFonts w:asciiTheme="minorHAnsi" w:hAnsiTheme="minorHAnsi"/>
        </w:rPr>
        <w:fldChar w:fldCharType="end"/>
      </w:r>
      <w:r w:rsidR="008C055D">
        <w:rPr>
          <w:rFonts w:asciiTheme="minorHAnsi" w:hAnsiTheme="minorHAnsi"/>
        </w:rPr>
        <w:t xml:space="preserve"> </w:t>
      </w:r>
      <w:r w:rsidR="008C055D">
        <w:rPr>
          <w:rFonts w:asciiTheme="minorHAnsi" w:hAnsiTheme="minorHAnsi"/>
        </w:rPr>
        <w:fldChar w:fldCharType="begin"/>
      </w:r>
      <w:r w:rsidR="008C055D">
        <w:rPr>
          <w:rFonts w:asciiTheme="minorHAnsi" w:hAnsiTheme="minorHAnsi"/>
        </w:rPr>
        <w:instrText xml:space="preserve"> REF _Ref491941961 \h </w:instrText>
      </w:r>
      <w:r w:rsidR="00764796">
        <w:rPr>
          <w:rFonts w:asciiTheme="minorHAnsi" w:hAnsiTheme="minorHAnsi"/>
        </w:rPr>
        <w:instrText xml:space="preserve"> \* MERGEFORMAT </w:instrText>
      </w:r>
      <w:r w:rsidR="008C055D">
        <w:rPr>
          <w:rFonts w:asciiTheme="minorHAnsi" w:hAnsiTheme="minorHAnsi"/>
        </w:rPr>
      </w:r>
      <w:r w:rsidR="008C055D">
        <w:rPr>
          <w:rFonts w:asciiTheme="minorHAnsi" w:hAnsiTheme="minorHAnsi"/>
        </w:rPr>
        <w:fldChar w:fldCharType="separate"/>
      </w:r>
      <w:r w:rsidR="00D44BCF" w:rsidRPr="00D44BCF">
        <w:rPr>
          <w:rFonts w:asciiTheme="minorHAnsi" w:hAnsiTheme="minorHAnsi"/>
        </w:rPr>
        <w:t>Forfeiture by operation of law</w:t>
      </w:r>
      <w:r w:rsidR="008C055D">
        <w:rPr>
          <w:rFonts w:asciiTheme="minorHAnsi" w:hAnsiTheme="minorHAnsi"/>
        </w:rPr>
        <w:fldChar w:fldCharType="end"/>
      </w:r>
      <w:r w:rsidR="00574BD8" w:rsidRPr="008C055D">
        <w:rPr>
          <w:rFonts w:asciiTheme="minorHAnsi" w:hAnsiTheme="minorHAnsi"/>
        </w:rPr>
        <w:t>”.</w:t>
      </w:r>
    </w:p>
    <w:p w14:paraId="020177B4" w14:textId="77777777" w:rsidR="00855A21" w:rsidRPr="00855A21" w:rsidRDefault="00855A21" w:rsidP="00855A21">
      <w:pPr>
        <w:widowControl w:val="0"/>
        <w:spacing w:line="276" w:lineRule="auto"/>
        <w:ind w:right="170"/>
        <w:rPr>
          <w:rFonts w:asciiTheme="minorHAnsi" w:hAnsiTheme="minorHAnsi"/>
        </w:rPr>
      </w:pPr>
    </w:p>
    <w:p w14:paraId="6679E7A7" w14:textId="08E846F8" w:rsidR="0061123E" w:rsidRDefault="0061123E" w:rsidP="00C14A45">
      <w:pPr>
        <w:pStyle w:val="Heading3"/>
      </w:pPr>
      <w:bookmarkStart w:id="1516" w:name="_Ref2007606"/>
      <w:bookmarkStart w:id="1517" w:name="_Ref2007614"/>
      <w:bookmarkStart w:id="1518" w:name="_Toc33602809"/>
      <w:r>
        <w:t xml:space="preserve">Prospect of a future order under </w:t>
      </w:r>
      <w:r w:rsidRPr="00132A5D">
        <w:rPr>
          <w:i/>
        </w:rPr>
        <w:t>Proceeds of Crime Act</w:t>
      </w:r>
      <w:r>
        <w:t xml:space="preserve"> 2002 (Cth)</w:t>
      </w:r>
      <w:bookmarkEnd w:id="1516"/>
      <w:bookmarkEnd w:id="1517"/>
      <w:bookmarkEnd w:id="1518"/>
    </w:p>
    <w:p w14:paraId="674D0EE3" w14:textId="37583990" w:rsidR="0061123E" w:rsidRPr="00576EEE" w:rsidRDefault="0061123E" w:rsidP="00C14A45">
      <w:pPr>
        <w:pStyle w:val="NormalIndent"/>
        <w:keepNext/>
        <w:rPr>
          <w:rFonts w:ascii="Calibri" w:hAnsi="Calibri"/>
        </w:rPr>
      </w:pPr>
    </w:p>
    <w:bookmarkEnd w:id="1515"/>
    <w:p w14:paraId="4C1FC859" w14:textId="1AE9137F" w:rsidR="00CF5223" w:rsidRDefault="00CF522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Pursuant to s 320(a)</w:t>
      </w:r>
      <w:r w:rsidRPr="00576EEE">
        <w:rPr>
          <w:rFonts w:ascii="Calibri" w:hAnsi="Calibri"/>
        </w:rPr>
        <w:t xml:space="preserve"> </w:t>
      </w:r>
      <w:r w:rsidRPr="00C00000">
        <w:rPr>
          <w:rFonts w:asciiTheme="minorHAnsi" w:hAnsiTheme="minorHAnsi"/>
        </w:rPr>
        <w:t xml:space="preserve">of the </w:t>
      </w:r>
      <w:r w:rsidRPr="00C00000">
        <w:rPr>
          <w:rFonts w:asciiTheme="minorHAnsi" w:hAnsiTheme="minorHAnsi"/>
          <w:i/>
          <w:iCs/>
        </w:rPr>
        <w:t xml:space="preserve">Proceeds of Crime Act 2002 </w:t>
      </w:r>
      <w:r w:rsidRPr="00C00000">
        <w:rPr>
          <w:rFonts w:asciiTheme="minorHAnsi" w:hAnsiTheme="minorHAnsi"/>
          <w:iCs/>
        </w:rPr>
        <w:t>(Cth)</w:t>
      </w:r>
      <w:r>
        <w:rPr>
          <w:rFonts w:asciiTheme="minorHAnsi" w:hAnsiTheme="minorHAnsi"/>
        </w:rPr>
        <w:t xml:space="preserve">, a sentencing court may have regard to any </w:t>
      </w:r>
      <w:r w:rsidR="005314AC">
        <w:rPr>
          <w:rFonts w:asciiTheme="minorHAnsi" w:hAnsiTheme="minorHAnsi"/>
        </w:rPr>
        <w:t>cooperation</w:t>
      </w:r>
      <w:r>
        <w:rPr>
          <w:rFonts w:asciiTheme="minorHAnsi" w:hAnsiTheme="minorHAnsi"/>
        </w:rPr>
        <w:t xml:space="preserve"> by an offender in relation to any action taken against the offender under the Act</w:t>
      </w:r>
      <w:r w:rsidR="00855A21">
        <w:rPr>
          <w:rFonts w:asciiTheme="minorHAnsi" w:hAnsiTheme="minorHAnsi"/>
        </w:rPr>
        <w:t>: see “</w:t>
      </w:r>
      <w:r w:rsidR="00855A21">
        <w:rPr>
          <w:rFonts w:asciiTheme="minorHAnsi" w:hAnsiTheme="minorHAnsi"/>
        </w:rPr>
        <w:fldChar w:fldCharType="begin"/>
      </w:r>
      <w:r w:rsidR="00855A21">
        <w:rPr>
          <w:rFonts w:asciiTheme="minorHAnsi" w:hAnsiTheme="minorHAnsi"/>
        </w:rPr>
        <w:instrText xml:space="preserve"> REF _Ref491696557 \r \h </w:instrText>
      </w:r>
      <w:r w:rsidR="00764796">
        <w:rPr>
          <w:rFonts w:asciiTheme="minorHAnsi" w:hAnsiTheme="minorHAnsi"/>
        </w:rPr>
        <w:instrText xml:space="preserve"> \* MERGEFORMAT </w:instrText>
      </w:r>
      <w:r w:rsidR="00855A21">
        <w:rPr>
          <w:rFonts w:asciiTheme="minorHAnsi" w:hAnsiTheme="minorHAnsi"/>
        </w:rPr>
      </w:r>
      <w:r w:rsidR="00855A21">
        <w:rPr>
          <w:rFonts w:asciiTheme="minorHAnsi" w:hAnsiTheme="minorHAnsi"/>
        </w:rPr>
        <w:fldChar w:fldCharType="separate"/>
      </w:r>
      <w:r w:rsidR="00D44BCF">
        <w:rPr>
          <w:rFonts w:asciiTheme="minorHAnsi" w:hAnsiTheme="minorHAnsi"/>
        </w:rPr>
        <w:t>4.5.10</w:t>
      </w:r>
      <w:r w:rsidR="00855A21">
        <w:rPr>
          <w:rFonts w:asciiTheme="minorHAnsi" w:hAnsiTheme="minorHAnsi"/>
        </w:rPr>
        <w:fldChar w:fldCharType="end"/>
      </w:r>
      <w:r w:rsidR="00855A21">
        <w:rPr>
          <w:rFonts w:asciiTheme="minorHAnsi" w:hAnsiTheme="minorHAnsi"/>
        </w:rPr>
        <w:t xml:space="preserve"> </w:t>
      </w:r>
      <w:r w:rsidR="00855A21">
        <w:rPr>
          <w:rFonts w:asciiTheme="minorHAnsi" w:hAnsiTheme="minorHAnsi"/>
        </w:rPr>
        <w:fldChar w:fldCharType="begin"/>
      </w:r>
      <w:r w:rsidR="00855A21">
        <w:rPr>
          <w:rFonts w:asciiTheme="minorHAnsi" w:hAnsiTheme="minorHAnsi"/>
        </w:rPr>
        <w:instrText xml:space="preserve"> REF _Ref491696557 \h </w:instrText>
      </w:r>
      <w:r w:rsidR="00764796">
        <w:rPr>
          <w:rFonts w:asciiTheme="minorHAnsi" w:hAnsiTheme="minorHAnsi"/>
        </w:rPr>
        <w:instrText xml:space="preserve"> \* MERGEFORMAT </w:instrText>
      </w:r>
      <w:r w:rsidR="00855A21">
        <w:rPr>
          <w:rFonts w:asciiTheme="minorHAnsi" w:hAnsiTheme="minorHAnsi"/>
        </w:rPr>
      </w:r>
      <w:r w:rsidR="00855A21">
        <w:rPr>
          <w:rFonts w:asciiTheme="minorHAnsi" w:hAnsiTheme="minorHAnsi"/>
        </w:rPr>
        <w:fldChar w:fldCharType="separate"/>
      </w:r>
      <w:r w:rsidR="00D44BCF" w:rsidRPr="00D44BCF">
        <w:rPr>
          <w:rFonts w:asciiTheme="minorHAnsi" w:hAnsiTheme="minorHAnsi"/>
        </w:rPr>
        <w:t>Cooperation in resolving action under Proceeds of Crime Act 2002 (Cth)</w:t>
      </w:r>
      <w:r w:rsidR="00855A21">
        <w:rPr>
          <w:rFonts w:asciiTheme="minorHAnsi" w:hAnsiTheme="minorHAnsi"/>
        </w:rPr>
        <w:fldChar w:fldCharType="end"/>
      </w:r>
      <w:r w:rsidR="00855A21">
        <w:rPr>
          <w:rFonts w:asciiTheme="minorHAnsi" w:hAnsiTheme="minorHAnsi"/>
        </w:rPr>
        <w:t>”</w:t>
      </w:r>
      <w:r>
        <w:rPr>
          <w:rFonts w:asciiTheme="minorHAnsi" w:hAnsiTheme="minorHAnsi"/>
        </w:rPr>
        <w:t xml:space="preserve">.  This may include </w:t>
      </w:r>
      <w:r w:rsidR="005314AC">
        <w:rPr>
          <w:rFonts w:asciiTheme="minorHAnsi" w:hAnsiTheme="minorHAnsi"/>
        </w:rPr>
        <w:t>cooperation</w:t>
      </w:r>
      <w:r>
        <w:rPr>
          <w:rFonts w:asciiTheme="minorHAnsi" w:hAnsiTheme="minorHAnsi"/>
        </w:rPr>
        <w:t xml:space="preserve"> </w:t>
      </w:r>
      <w:r w:rsidR="0054609C">
        <w:rPr>
          <w:rFonts w:asciiTheme="minorHAnsi" w:hAnsiTheme="minorHAnsi"/>
        </w:rPr>
        <w:t xml:space="preserve">which has occurred </w:t>
      </w:r>
      <w:r>
        <w:rPr>
          <w:rFonts w:asciiTheme="minorHAnsi" w:hAnsiTheme="minorHAnsi"/>
        </w:rPr>
        <w:t xml:space="preserve">in relation to an application for </w:t>
      </w:r>
      <w:r w:rsidRPr="00CF5223">
        <w:rPr>
          <w:rFonts w:asciiTheme="minorHAnsi" w:hAnsiTheme="minorHAnsi"/>
          <w:iCs/>
        </w:rPr>
        <w:t>a forfeiture order, a pecuniary penalty order or a literary proceeds order</w:t>
      </w:r>
      <w:r w:rsidRPr="00CF5223">
        <w:rPr>
          <w:rFonts w:asciiTheme="minorHAnsi" w:hAnsiTheme="minorHAnsi"/>
        </w:rPr>
        <w:t xml:space="preserve"> </w:t>
      </w:r>
      <w:r>
        <w:rPr>
          <w:rFonts w:asciiTheme="minorHAnsi" w:hAnsiTheme="minorHAnsi"/>
        </w:rPr>
        <w:t>which is still pending at the time of sentencing.</w:t>
      </w:r>
    </w:p>
    <w:p w14:paraId="7A55E07C" w14:textId="77777777" w:rsidR="00CF5223" w:rsidRPr="00CF5223" w:rsidRDefault="00CF5223" w:rsidP="00CF5223">
      <w:pPr>
        <w:pStyle w:val="ListParagraph"/>
        <w:rPr>
          <w:rFonts w:asciiTheme="minorHAnsi" w:hAnsiTheme="minorHAnsi"/>
        </w:rPr>
      </w:pPr>
    </w:p>
    <w:p w14:paraId="7259BF3F" w14:textId="10881108" w:rsidR="00000D64" w:rsidRPr="00000D64" w:rsidRDefault="0061123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iCs/>
        </w:rPr>
        <w:t xml:space="preserve">However s 320 </w:t>
      </w:r>
      <w:r w:rsidR="00000D64">
        <w:rPr>
          <w:rFonts w:asciiTheme="minorHAnsi" w:hAnsiTheme="minorHAnsi"/>
          <w:iCs/>
        </w:rPr>
        <w:t xml:space="preserve">is silent as to whether </w:t>
      </w:r>
      <w:r w:rsidR="00000D64" w:rsidRPr="0018311C">
        <w:rPr>
          <w:rFonts w:asciiTheme="minorHAnsi" w:hAnsiTheme="minorHAnsi"/>
          <w:i/>
          <w:iCs/>
        </w:rPr>
        <w:t>the prospect that a forfeiture order, a pecuniary penalty order or a literary proceeds order will be made in future</w:t>
      </w:r>
      <w:r w:rsidR="00000D64">
        <w:rPr>
          <w:rFonts w:asciiTheme="minorHAnsi" w:hAnsiTheme="minorHAnsi"/>
          <w:iCs/>
        </w:rPr>
        <w:t xml:space="preserve"> can be taken into </w:t>
      </w:r>
      <w:r w:rsidR="00000D64" w:rsidRPr="00E90120">
        <w:rPr>
          <w:rFonts w:asciiTheme="minorHAnsi" w:hAnsiTheme="minorHAnsi"/>
        </w:rPr>
        <w:t>account</w:t>
      </w:r>
      <w:r w:rsidR="00000D64">
        <w:rPr>
          <w:rFonts w:asciiTheme="minorHAnsi" w:hAnsiTheme="minorHAnsi"/>
          <w:iCs/>
        </w:rPr>
        <w:t xml:space="preserve">. </w:t>
      </w:r>
    </w:p>
    <w:p w14:paraId="7A3F2CB4" w14:textId="77777777" w:rsidR="00000D64" w:rsidRPr="00000D64" w:rsidRDefault="00000D64" w:rsidP="00000D64">
      <w:pPr>
        <w:pStyle w:val="ListParagraph"/>
        <w:rPr>
          <w:rFonts w:asciiTheme="minorHAnsi" w:hAnsiTheme="minorHAnsi"/>
        </w:rPr>
      </w:pPr>
    </w:p>
    <w:p w14:paraId="0E4B4AA2" w14:textId="41F19227" w:rsidR="00000D64" w:rsidRPr="00C00000" w:rsidRDefault="00000D64"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321 of the </w:t>
      </w:r>
      <w:r w:rsidRPr="00C00000">
        <w:rPr>
          <w:rFonts w:asciiTheme="minorHAnsi" w:hAnsiTheme="minorHAnsi"/>
          <w:i/>
          <w:iCs/>
        </w:rPr>
        <w:t xml:space="preserve">Proceeds of Crime Act 2002 </w:t>
      </w:r>
      <w:r w:rsidRPr="00C00000">
        <w:rPr>
          <w:rFonts w:asciiTheme="minorHAnsi" w:hAnsiTheme="minorHAnsi"/>
          <w:iCs/>
        </w:rPr>
        <w:t xml:space="preserve">(Cth) </w:t>
      </w:r>
      <w:r w:rsidRPr="00C00000">
        <w:rPr>
          <w:rFonts w:asciiTheme="minorHAnsi" w:hAnsiTheme="minorHAnsi"/>
        </w:rPr>
        <w:t>enables the court to defer sentencing pending the determination of a</w:t>
      </w:r>
      <w:r w:rsidR="00B6172E">
        <w:rPr>
          <w:rFonts w:asciiTheme="minorHAnsi" w:hAnsiTheme="minorHAnsi"/>
        </w:rPr>
        <w:t>n application for a</w:t>
      </w:r>
      <w:r w:rsidRPr="00C00000">
        <w:rPr>
          <w:rFonts w:asciiTheme="minorHAnsi" w:hAnsiTheme="minorHAnsi"/>
        </w:rPr>
        <w:t xml:space="preserve"> confiscation order</w:t>
      </w:r>
      <w:r w:rsidR="007C7080">
        <w:rPr>
          <w:rFonts w:asciiTheme="minorHAnsi" w:hAnsiTheme="minorHAnsi"/>
        </w:rPr>
        <w:t xml:space="preserve"> which has been made to that court,</w:t>
      </w:r>
      <w:r w:rsidRPr="00C00000">
        <w:rPr>
          <w:rFonts w:asciiTheme="minorHAnsi" w:hAnsiTheme="minorHAnsi"/>
        </w:rPr>
        <w:t xml:space="preserve"> where the court is satisfied that it is reasonable to do so in all the circumstances.  </w:t>
      </w:r>
      <w:r w:rsidR="007C7080">
        <w:rPr>
          <w:rFonts w:asciiTheme="minorHAnsi" w:hAnsiTheme="minorHAnsi"/>
        </w:rPr>
        <w:t xml:space="preserve">(A confiscation order means a </w:t>
      </w:r>
      <w:r w:rsidR="007C7080" w:rsidRPr="007C7080">
        <w:rPr>
          <w:rFonts w:asciiTheme="minorHAnsi" w:hAnsiTheme="minorHAnsi"/>
        </w:rPr>
        <w:t>forfeiture order, a pecuniary penalty order, a literary proceeds order or an unexplained wealth order</w:t>
      </w:r>
      <w:r w:rsidR="007C7080">
        <w:rPr>
          <w:rFonts w:asciiTheme="minorHAnsi" w:hAnsiTheme="minorHAnsi"/>
        </w:rPr>
        <w:t xml:space="preserve"> under the Act: see the Dictionary to the Act.)</w:t>
      </w:r>
      <w:r w:rsidR="00D232C1" w:rsidRPr="00D232C1">
        <w:rPr>
          <w:rFonts w:asciiTheme="minorHAnsi" w:hAnsiTheme="minorHAnsi"/>
        </w:rPr>
        <w:t xml:space="preserve"> </w:t>
      </w:r>
      <w:r w:rsidR="00D232C1">
        <w:rPr>
          <w:rFonts w:asciiTheme="minorHAnsi" w:hAnsiTheme="minorHAnsi"/>
        </w:rPr>
        <w:t xml:space="preserve"> Section 321 does not empower a sentencing court to defer sentencing where an application for a confiscation order has been made to another court, or where an application for a confiscation order has not yet been made.</w:t>
      </w:r>
    </w:p>
    <w:p w14:paraId="797AEAC9" w14:textId="28B7BB1B" w:rsidR="00000D64" w:rsidRDefault="00000D64" w:rsidP="00000D64">
      <w:pPr>
        <w:pStyle w:val="ListParagraph"/>
        <w:widowControl w:val="0"/>
        <w:spacing w:line="276" w:lineRule="auto"/>
        <w:ind w:left="567" w:right="170" w:hanging="567"/>
        <w:rPr>
          <w:rFonts w:asciiTheme="minorHAnsi" w:hAnsiTheme="minorHAnsi"/>
        </w:rPr>
      </w:pPr>
    </w:p>
    <w:p w14:paraId="4799B884" w14:textId="68F78668" w:rsidR="00000D64" w:rsidRDefault="00B6172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many cases, it will not be practicable or appropriate to defer sentencing pursuant to s 321. </w:t>
      </w:r>
      <w:r w:rsidR="00514E45">
        <w:rPr>
          <w:rFonts w:asciiTheme="minorHAnsi" w:hAnsiTheme="minorHAnsi"/>
        </w:rPr>
        <w:t xml:space="preserve"> Since a sentencing court is precluded by s 320 of the </w:t>
      </w:r>
      <w:r w:rsidR="00514E45" w:rsidRPr="00C00000">
        <w:rPr>
          <w:rFonts w:asciiTheme="minorHAnsi" w:hAnsiTheme="minorHAnsi"/>
          <w:i/>
          <w:iCs/>
        </w:rPr>
        <w:t xml:space="preserve">Proceeds of Crime Act 2002 </w:t>
      </w:r>
      <w:r w:rsidR="00514E45" w:rsidRPr="00C00000">
        <w:rPr>
          <w:rFonts w:asciiTheme="minorHAnsi" w:hAnsiTheme="minorHAnsi"/>
          <w:iCs/>
        </w:rPr>
        <w:t>(Cth)</w:t>
      </w:r>
      <w:r w:rsidR="00514E45">
        <w:rPr>
          <w:rFonts w:asciiTheme="minorHAnsi" w:hAnsiTheme="minorHAnsi"/>
          <w:iCs/>
        </w:rPr>
        <w:t xml:space="preserve"> </w:t>
      </w:r>
      <w:r w:rsidR="00514E45">
        <w:rPr>
          <w:rFonts w:asciiTheme="minorHAnsi" w:hAnsiTheme="minorHAnsi"/>
        </w:rPr>
        <w:t xml:space="preserve">from taking into account the fact that </w:t>
      </w:r>
      <w:r w:rsidR="00514E45" w:rsidRPr="0014127B">
        <w:rPr>
          <w:rFonts w:asciiTheme="minorHAnsi" w:hAnsiTheme="minorHAnsi"/>
          <w:i/>
        </w:rPr>
        <w:t>a pecuniary penalty order or literary proceeds order</w:t>
      </w:r>
      <w:r w:rsidR="00514E45">
        <w:rPr>
          <w:rFonts w:asciiTheme="minorHAnsi" w:hAnsiTheme="minorHAnsi"/>
        </w:rPr>
        <w:t xml:space="preserve"> has been made, the only reason to defer sentencing</w:t>
      </w:r>
      <w:r w:rsidR="0054744B">
        <w:rPr>
          <w:rFonts w:asciiTheme="minorHAnsi" w:hAnsiTheme="minorHAnsi"/>
        </w:rPr>
        <w:t xml:space="preserve"> (pursuant to s 321)</w:t>
      </w:r>
      <w:r w:rsidR="00514E45">
        <w:rPr>
          <w:rFonts w:asciiTheme="minorHAnsi" w:hAnsiTheme="minorHAnsi"/>
        </w:rPr>
        <w:t xml:space="preserve"> because an application for such an order is pending would be to assess whether the offender should be given any credit </w:t>
      </w:r>
      <w:r w:rsidR="00CF5223">
        <w:rPr>
          <w:rFonts w:asciiTheme="minorHAnsi" w:hAnsiTheme="minorHAnsi"/>
        </w:rPr>
        <w:t xml:space="preserve">(pursuant to s 320(a) of the Act) </w:t>
      </w:r>
      <w:r w:rsidR="0014127B">
        <w:rPr>
          <w:rFonts w:asciiTheme="minorHAnsi" w:hAnsiTheme="minorHAnsi"/>
        </w:rPr>
        <w:t xml:space="preserve">for co-operating in relation to the application.  On the other hand, if the pending application is for </w:t>
      </w:r>
      <w:r w:rsidR="0054744B" w:rsidRPr="0014127B">
        <w:rPr>
          <w:rFonts w:asciiTheme="minorHAnsi" w:hAnsiTheme="minorHAnsi"/>
          <w:i/>
        </w:rPr>
        <w:t>a forfeiture order</w:t>
      </w:r>
      <w:r w:rsidR="0014127B">
        <w:rPr>
          <w:rFonts w:asciiTheme="minorHAnsi" w:hAnsiTheme="minorHAnsi"/>
        </w:rPr>
        <w:t>, the sentencing court may consider deferring sentencing in order to see not only whether and to what extent the offender co-operates, but also whether the order is ultimately made</w:t>
      </w:r>
      <w:r w:rsidR="0054744B" w:rsidRPr="0054744B">
        <w:rPr>
          <w:rFonts w:asciiTheme="minorHAnsi" w:hAnsiTheme="minorHAnsi"/>
          <w:i/>
        </w:rPr>
        <w:t xml:space="preserve"> </w:t>
      </w:r>
      <w:r w:rsidR="0054744B" w:rsidRPr="0054744B">
        <w:rPr>
          <w:rFonts w:asciiTheme="minorHAnsi" w:hAnsiTheme="minorHAnsi"/>
        </w:rPr>
        <w:t xml:space="preserve">and if so </w:t>
      </w:r>
      <w:r w:rsidR="0054744B">
        <w:rPr>
          <w:rFonts w:asciiTheme="minorHAnsi" w:hAnsiTheme="minorHAnsi"/>
        </w:rPr>
        <w:t xml:space="preserve">whether and to what </w:t>
      </w:r>
      <w:r w:rsidR="0054744B" w:rsidRPr="0054744B">
        <w:rPr>
          <w:rFonts w:asciiTheme="minorHAnsi" w:hAnsiTheme="minorHAnsi"/>
        </w:rPr>
        <w:t xml:space="preserve">the extent </w:t>
      </w:r>
      <w:r w:rsidR="0054744B">
        <w:rPr>
          <w:rFonts w:asciiTheme="minorHAnsi" w:hAnsiTheme="minorHAnsi"/>
        </w:rPr>
        <w:t>the property is determined to</w:t>
      </w:r>
      <w:r w:rsidR="0054744B" w:rsidRPr="00D232C1">
        <w:rPr>
          <w:rFonts w:asciiTheme="minorHAnsi" w:hAnsiTheme="minorHAnsi"/>
        </w:rPr>
        <w:t xml:space="preserve"> be </w:t>
      </w:r>
      <w:r w:rsidR="0054744B" w:rsidRPr="0054744B">
        <w:rPr>
          <w:rFonts w:asciiTheme="minorHAnsi" w:hAnsiTheme="minorHAnsi"/>
          <w:i/>
        </w:rPr>
        <w:t>proceeds of the offence</w:t>
      </w:r>
      <w:r w:rsidR="0014127B">
        <w:rPr>
          <w:rFonts w:asciiTheme="minorHAnsi" w:hAnsiTheme="minorHAnsi"/>
        </w:rPr>
        <w:t xml:space="preserve">. </w:t>
      </w:r>
      <w:r w:rsidR="00FB13B7">
        <w:rPr>
          <w:rFonts w:asciiTheme="minorHAnsi" w:hAnsiTheme="minorHAnsi"/>
        </w:rPr>
        <w:t xml:space="preserve"> Even in such a case, however, a sentencing court may consider the deferral of sentence to be inappropriate if, for example, resolution of the application for a forfeiture order is unlikely in the near future</w:t>
      </w:r>
      <w:r w:rsidR="0054744B">
        <w:rPr>
          <w:rFonts w:asciiTheme="minorHAnsi" w:hAnsiTheme="minorHAnsi"/>
        </w:rPr>
        <w:t>,</w:t>
      </w:r>
      <w:r w:rsidR="00D31686" w:rsidRPr="00C00000">
        <w:rPr>
          <w:rStyle w:val="Style"/>
          <w:rFonts w:asciiTheme="minorHAnsi" w:hAnsiTheme="minorHAnsi"/>
        </w:rPr>
        <w:footnoteReference w:id="529"/>
      </w:r>
      <w:r w:rsidR="0054744B">
        <w:rPr>
          <w:rFonts w:asciiTheme="minorHAnsi" w:hAnsiTheme="minorHAnsi"/>
        </w:rPr>
        <w:t xml:space="preserve"> or </w:t>
      </w:r>
      <w:r w:rsidR="00D232C1">
        <w:rPr>
          <w:rFonts w:asciiTheme="minorHAnsi" w:hAnsiTheme="minorHAnsi"/>
        </w:rPr>
        <w:t>is unlikely to involve a determination of the extent to which the property is or is not proceeds of the offence</w:t>
      </w:r>
      <w:r w:rsidR="003202ED">
        <w:rPr>
          <w:rFonts w:asciiTheme="minorHAnsi" w:hAnsiTheme="minorHAnsi"/>
        </w:rPr>
        <w:t>, or if deferral of sentencing of one offender may have undesirable consequences for the sentencing of other offenders</w:t>
      </w:r>
      <w:r w:rsidR="00FB13B7">
        <w:rPr>
          <w:rFonts w:asciiTheme="minorHAnsi" w:hAnsiTheme="minorHAnsi"/>
        </w:rPr>
        <w:t>.</w:t>
      </w:r>
      <w:r w:rsidR="003202ED" w:rsidRPr="00C00000">
        <w:rPr>
          <w:rStyle w:val="Style"/>
          <w:rFonts w:asciiTheme="minorHAnsi" w:hAnsiTheme="minorHAnsi"/>
        </w:rPr>
        <w:footnoteReference w:id="530"/>
      </w:r>
    </w:p>
    <w:p w14:paraId="711D85C9" w14:textId="5B69B32E" w:rsidR="00B6172E" w:rsidRPr="00B6172E" w:rsidRDefault="00B6172E" w:rsidP="00B6172E">
      <w:pPr>
        <w:pStyle w:val="ListParagraph"/>
        <w:rPr>
          <w:rFonts w:asciiTheme="minorHAnsi" w:hAnsiTheme="minorHAnsi"/>
        </w:rPr>
      </w:pPr>
    </w:p>
    <w:p w14:paraId="31113243" w14:textId="557F0BD5" w:rsidR="00B860BA" w:rsidRDefault="008B08C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Where sentencing is not deferred pursuant to s 321</w:t>
      </w:r>
      <w:r w:rsidR="0081456F">
        <w:rPr>
          <w:rFonts w:asciiTheme="minorHAnsi" w:hAnsiTheme="minorHAnsi"/>
        </w:rPr>
        <w:t xml:space="preserve">, </w:t>
      </w:r>
      <w:r w:rsidR="00B860BA">
        <w:rPr>
          <w:rFonts w:asciiTheme="minorHAnsi" w:hAnsiTheme="minorHAnsi"/>
        </w:rPr>
        <w:t xml:space="preserve">a sentencing court </w:t>
      </w:r>
      <w:r w:rsidR="00746DDA">
        <w:rPr>
          <w:rFonts w:asciiTheme="minorHAnsi" w:hAnsiTheme="minorHAnsi"/>
        </w:rPr>
        <w:t>may</w:t>
      </w:r>
      <w:r w:rsidR="00B860BA">
        <w:rPr>
          <w:rFonts w:asciiTheme="minorHAnsi" w:hAnsiTheme="minorHAnsi"/>
        </w:rPr>
        <w:t xml:space="preserve"> have regard to the prospect that a confiscation order may be made in future</w:t>
      </w:r>
      <w:r w:rsidR="00746DDA">
        <w:rPr>
          <w:rFonts w:asciiTheme="minorHAnsi" w:hAnsiTheme="minorHAnsi"/>
        </w:rPr>
        <w:t>, but</w:t>
      </w:r>
      <w:r w:rsidR="00B860BA" w:rsidRPr="00B860BA">
        <w:rPr>
          <w:rFonts w:asciiTheme="minorHAnsi" w:hAnsiTheme="minorHAnsi"/>
        </w:rPr>
        <w:t xml:space="preserve"> </w:t>
      </w:r>
      <w:r w:rsidR="00576C3D">
        <w:rPr>
          <w:rFonts w:asciiTheme="minorHAnsi" w:hAnsiTheme="minorHAnsi"/>
        </w:rPr>
        <w:t>only in limited circumstances.</w:t>
      </w:r>
      <w:r w:rsidR="00746DDA" w:rsidRPr="00C00000">
        <w:rPr>
          <w:rStyle w:val="Style"/>
          <w:rFonts w:asciiTheme="minorHAnsi" w:hAnsiTheme="minorHAnsi"/>
        </w:rPr>
        <w:footnoteReference w:id="531"/>
      </w:r>
    </w:p>
    <w:p w14:paraId="6F788AF8" w14:textId="77777777" w:rsidR="00B860BA" w:rsidRPr="00B860BA" w:rsidRDefault="00B860BA" w:rsidP="00B860BA">
      <w:pPr>
        <w:pStyle w:val="ListParagraph"/>
        <w:rPr>
          <w:rFonts w:asciiTheme="minorHAnsi" w:hAnsiTheme="minorHAnsi"/>
        </w:rPr>
      </w:pPr>
    </w:p>
    <w:p w14:paraId="60118BAD" w14:textId="0F5FF94F" w:rsidR="0014127B" w:rsidRDefault="00B860B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the first place, the prospect that </w:t>
      </w:r>
      <w:r w:rsidRPr="00D37B94">
        <w:rPr>
          <w:rFonts w:asciiTheme="minorHAnsi" w:hAnsiTheme="minorHAnsi"/>
          <w:i/>
        </w:rPr>
        <w:t xml:space="preserve">a pecuniary penalty order or literary proceeds order </w:t>
      </w:r>
      <w:r>
        <w:rPr>
          <w:rFonts w:asciiTheme="minorHAnsi" w:hAnsiTheme="minorHAnsi"/>
        </w:rPr>
        <w:t>may be made against the offender in relation to the offence should not</w:t>
      </w:r>
      <w:r w:rsidR="00485B7F">
        <w:rPr>
          <w:rFonts w:asciiTheme="minorHAnsi" w:hAnsiTheme="minorHAnsi"/>
        </w:rPr>
        <w:t>, as such,</w:t>
      </w:r>
      <w:r>
        <w:rPr>
          <w:rFonts w:asciiTheme="minorHAnsi" w:hAnsiTheme="minorHAnsi"/>
        </w:rPr>
        <w:t xml:space="preserve"> be treated as</w:t>
      </w:r>
      <w:r w:rsidR="00BA3242">
        <w:rPr>
          <w:rFonts w:asciiTheme="minorHAnsi" w:hAnsiTheme="minorHAnsi"/>
        </w:rPr>
        <w:t xml:space="preserve"> a mitigating factor.  If such an order is made prior to sentencing, the sentencing court is precluded from taking the order into account (</w:t>
      </w:r>
      <w:r w:rsidR="00BA3242" w:rsidRPr="00C00000">
        <w:rPr>
          <w:rFonts w:asciiTheme="minorHAnsi" w:hAnsiTheme="minorHAnsi"/>
          <w:i/>
          <w:iCs/>
        </w:rPr>
        <w:t xml:space="preserve">Proceeds of Crime Act 2002 </w:t>
      </w:r>
      <w:r w:rsidR="00BA3242" w:rsidRPr="00C00000">
        <w:rPr>
          <w:rFonts w:asciiTheme="minorHAnsi" w:hAnsiTheme="minorHAnsi"/>
          <w:iCs/>
        </w:rPr>
        <w:t>(Cth)</w:t>
      </w:r>
      <w:r w:rsidR="00BA3242">
        <w:rPr>
          <w:rFonts w:asciiTheme="minorHAnsi" w:hAnsiTheme="minorHAnsi"/>
          <w:iCs/>
        </w:rPr>
        <w:t xml:space="preserve">, </w:t>
      </w:r>
      <w:r w:rsidR="00BA3242">
        <w:rPr>
          <w:rFonts w:asciiTheme="minorHAnsi" w:hAnsiTheme="minorHAnsi"/>
        </w:rPr>
        <w:t xml:space="preserve">s 320(d)).  It would be wrong in principle to take the prospect of such an order into account when the fact of such an order </w:t>
      </w:r>
      <w:r w:rsidR="00D37B94">
        <w:rPr>
          <w:rFonts w:asciiTheme="minorHAnsi" w:hAnsiTheme="minorHAnsi"/>
        </w:rPr>
        <w:t xml:space="preserve">having been made </w:t>
      </w:r>
      <w:r w:rsidR="00BA3242">
        <w:rPr>
          <w:rFonts w:asciiTheme="minorHAnsi" w:hAnsiTheme="minorHAnsi"/>
        </w:rPr>
        <w:t>cannot be taken into account.</w:t>
      </w:r>
    </w:p>
    <w:p w14:paraId="4AF8751B" w14:textId="77777777" w:rsidR="0014127B" w:rsidRPr="0014127B" w:rsidRDefault="0014127B" w:rsidP="0014127B">
      <w:pPr>
        <w:pStyle w:val="ListParagraph"/>
        <w:rPr>
          <w:rFonts w:asciiTheme="minorHAnsi" w:hAnsiTheme="minorHAnsi"/>
        </w:rPr>
      </w:pPr>
    </w:p>
    <w:p w14:paraId="7FAEB89B" w14:textId="5B1E6489" w:rsidR="00BA3242" w:rsidRDefault="00D37B9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Second</w:t>
      </w:r>
      <w:r w:rsidR="00BA3242">
        <w:rPr>
          <w:rFonts w:asciiTheme="minorHAnsi" w:hAnsiTheme="minorHAnsi"/>
        </w:rPr>
        <w:t xml:space="preserve">, the prospect that </w:t>
      </w:r>
      <w:r w:rsidR="00BA3242" w:rsidRPr="00D37B94">
        <w:rPr>
          <w:rFonts w:asciiTheme="minorHAnsi" w:hAnsiTheme="minorHAnsi"/>
          <w:i/>
        </w:rPr>
        <w:t xml:space="preserve">a forfeiture order may be made against the offender in relation to </w:t>
      </w:r>
      <w:r w:rsidRPr="00D37B94">
        <w:rPr>
          <w:rFonts w:asciiTheme="minorHAnsi" w:hAnsiTheme="minorHAnsi"/>
          <w:i/>
        </w:rPr>
        <w:t xml:space="preserve">proceeds of the </w:t>
      </w:r>
      <w:r w:rsidR="00BA3242" w:rsidRPr="00D37B94">
        <w:rPr>
          <w:rFonts w:asciiTheme="minorHAnsi" w:hAnsiTheme="minorHAnsi"/>
          <w:i/>
        </w:rPr>
        <w:t>offence</w:t>
      </w:r>
      <w:r w:rsidR="00BA3242">
        <w:rPr>
          <w:rFonts w:asciiTheme="minorHAnsi" w:hAnsiTheme="minorHAnsi"/>
        </w:rPr>
        <w:t xml:space="preserve"> should not be treated as a mitigating factor.  If such an order is made prior to sentencing, the sentencing court is precluded from taking the order into account (</w:t>
      </w:r>
      <w:r w:rsidR="00BA3242" w:rsidRPr="00C00000">
        <w:rPr>
          <w:rFonts w:asciiTheme="minorHAnsi" w:hAnsiTheme="minorHAnsi"/>
          <w:i/>
          <w:iCs/>
        </w:rPr>
        <w:t xml:space="preserve">Proceeds of Crime Act 2002 </w:t>
      </w:r>
      <w:r w:rsidR="00BA3242" w:rsidRPr="00C00000">
        <w:rPr>
          <w:rFonts w:asciiTheme="minorHAnsi" w:hAnsiTheme="minorHAnsi"/>
          <w:iCs/>
        </w:rPr>
        <w:t>(Cth)</w:t>
      </w:r>
      <w:r w:rsidR="00BA3242">
        <w:rPr>
          <w:rFonts w:asciiTheme="minorHAnsi" w:hAnsiTheme="minorHAnsi"/>
          <w:iCs/>
        </w:rPr>
        <w:t xml:space="preserve">, </w:t>
      </w:r>
      <w:r w:rsidR="00BA3242">
        <w:rPr>
          <w:rFonts w:asciiTheme="minorHAnsi" w:hAnsiTheme="minorHAnsi"/>
        </w:rPr>
        <w:t xml:space="preserve">s 320(b)).  </w:t>
      </w:r>
      <w:r>
        <w:rPr>
          <w:rFonts w:asciiTheme="minorHAnsi" w:hAnsiTheme="minorHAnsi"/>
        </w:rPr>
        <w:t>Again, it</w:t>
      </w:r>
      <w:r w:rsidR="00BA3242">
        <w:rPr>
          <w:rFonts w:asciiTheme="minorHAnsi" w:hAnsiTheme="minorHAnsi"/>
        </w:rPr>
        <w:t xml:space="preserve"> would be wrong in principle to take the prospect of such an order into account when the fact of such an order cannot be taken into account.</w:t>
      </w:r>
    </w:p>
    <w:p w14:paraId="6CED2205" w14:textId="77777777" w:rsidR="00BA3242" w:rsidRPr="0014127B" w:rsidRDefault="00BA3242" w:rsidP="00BA3242">
      <w:pPr>
        <w:pStyle w:val="ListParagraph"/>
        <w:rPr>
          <w:rFonts w:asciiTheme="minorHAnsi" w:hAnsiTheme="minorHAnsi"/>
        </w:rPr>
      </w:pPr>
    </w:p>
    <w:p w14:paraId="045E14E2" w14:textId="5BB1A201" w:rsidR="004128B5" w:rsidRDefault="00D37B94" w:rsidP="00EB7F1E">
      <w:pPr>
        <w:pStyle w:val="ListParagraph"/>
        <w:numPr>
          <w:ilvl w:val="0"/>
          <w:numId w:val="7"/>
        </w:numPr>
        <w:spacing w:line="276" w:lineRule="auto"/>
        <w:ind w:left="425" w:hanging="425"/>
        <w:contextualSpacing w:val="0"/>
        <w:rPr>
          <w:rFonts w:asciiTheme="minorHAnsi" w:hAnsiTheme="minorHAnsi"/>
        </w:rPr>
      </w:pPr>
      <w:r w:rsidRPr="004128B5">
        <w:rPr>
          <w:rFonts w:asciiTheme="minorHAnsi" w:hAnsiTheme="minorHAnsi"/>
        </w:rPr>
        <w:t xml:space="preserve">Third, in relation to the prospect that </w:t>
      </w:r>
      <w:r w:rsidRPr="00EB7F1E">
        <w:rPr>
          <w:rFonts w:asciiTheme="minorHAnsi" w:hAnsiTheme="minorHAnsi"/>
          <w:i/>
          <w:iCs/>
        </w:rPr>
        <w:t>a forfeiture order will be made against the offender in relation to property which is not proceeds of the offence</w:t>
      </w:r>
      <w:r w:rsidRPr="004128B5">
        <w:rPr>
          <w:rFonts w:asciiTheme="minorHAnsi" w:hAnsiTheme="minorHAnsi"/>
        </w:rPr>
        <w:t>, it will often be difficult for a sentencing court to assess the likelihood that a</w:t>
      </w:r>
      <w:r w:rsidR="00576C3D" w:rsidRPr="004128B5">
        <w:rPr>
          <w:rFonts w:asciiTheme="minorHAnsi" w:hAnsiTheme="minorHAnsi"/>
        </w:rPr>
        <w:t>n order will be made</w:t>
      </w:r>
      <w:r w:rsidR="00E32C86" w:rsidRPr="00E32C86">
        <w:rPr>
          <w:rFonts w:asciiTheme="minorHAnsi" w:hAnsiTheme="minorHAnsi"/>
        </w:rPr>
        <w:t xml:space="preserve"> </w:t>
      </w:r>
      <w:r w:rsidR="00E32C86">
        <w:rPr>
          <w:rFonts w:asciiTheme="minorHAnsi" w:hAnsiTheme="minorHAnsi"/>
        </w:rPr>
        <w:t xml:space="preserve">and the extent to which it forfeits property </w:t>
      </w:r>
      <w:r w:rsidR="00E32C86" w:rsidRPr="004128B5">
        <w:rPr>
          <w:rFonts w:asciiTheme="minorHAnsi" w:hAnsiTheme="minorHAnsi"/>
        </w:rPr>
        <w:t>of that character</w:t>
      </w:r>
      <w:r w:rsidR="00576C3D" w:rsidRPr="004128B5">
        <w:rPr>
          <w:rFonts w:asciiTheme="minorHAnsi" w:hAnsiTheme="minorHAnsi"/>
        </w:rPr>
        <w:t xml:space="preserve">. </w:t>
      </w:r>
      <w:r w:rsidR="004128B5" w:rsidRPr="004128B5">
        <w:rPr>
          <w:rFonts w:asciiTheme="minorHAnsi" w:hAnsiTheme="minorHAnsi"/>
        </w:rPr>
        <w:t xml:space="preserve"> </w:t>
      </w:r>
      <w:r w:rsidR="004128B5">
        <w:rPr>
          <w:rFonts w:asciiTheme="minorHAnsi" w:hAnsiTheme="minorHAnsi"/>
        </w:rPr>
        <w:t>A</w:t>
      </w:r>
      <w:r w:rsidR="004128B5" w:rsidRPr="004128B5">
        <w:rPr>
          <w:rFonts w:asciiTheme="minorHAnsi" w:hAnsiTheme="minorHAnsi"/>
        </w:rPr>
        <w:t xml:space="preserve"> sentencing </w:t>
      </w:r>
      <w:r w:rsidR="004128B5">
        <w:rPr>
          <w:rFonts w:asciiTheme="minorHAnsi" w:hAnsiTheme="minorHAnsi"/>
        </w:rPr>
        <w:t>court</w:t>
      </w:r>
      <w:r w:rsidR="004128B5" w:rsidRPr="004128B5">
        <w:rPr>
          <w:rFonts w:asciiTheme="minorHAnsi" w:hAnsiTheme="minorHAnsi"/>
        </w:rPr>
        <w:t xml:space="preserve"> is not required to speculate </w:t>
      </w:r>
      <w:r w:rsidR="00F63A15">
        <w:rPr>
          <w:rFonts w:asciiTheme="minorHAnsi" w:hAnsiTheme="minorHAnsi"/>
        </w:rPr>
        <w:t xml:space="preserve">about whether a forfeiture order will be made, or whether </w:t>
      </w:r>
      <w:r w:rsidR="003F09D5">
        <w:rPr>
          <w:rFonts w:asciiTheme="minorHAnsi" w:hAnsiTheme="minorHAnsi"/>
        </w:rPr>
        <w:t xml:space="preserve">(or to what extent) </w:t>
      </w:r>
      <w:r w:rsidR="00F63A15">
        <w:rPr>
          <w:rFonts w:asciiTheme="minorHAnsi" w:hAnsiTheme="minorHAnsi"/>
        </w:rPr>
        <w:t xml:space="preserve">the property </w:t>
      </w:r>
      <w:r w:rsidR="00485B7F">
        <w:rPr>
          <w:rFonts w:asciiTheme="minorHAnsi" w:hAnsiTheme="minorHAnsi"/>
        </w:rPr>
        <w:t>the subject of such an order</w:t>
      </w:r>
      <w:r w:rsidR="00F63A15">
        <w:rPr>
          <w:rFonts w:asciiTheme="minorHAnsi" w:hAnsiTheme="minorHAnsi"/>
        </w:rPr>
        <w:t xml:space="preserve"> is </w:t>
      </w:r>
      <w:r w:rsidR="00485B7F">
        <w:rPr>
          <w:rFonts w:asciiTheme="minorHAnsi" w:hAnsiTheme="minorHAnsi"/>
        </w:rPr>
        <w:t xml:space="preserve">not </w:t>
      </w:r>
      <w:r w:rsidR="00F63A15">
        <w:rPr>
          <w:rFonts w:asciiTheme="minorHAnsi" w:hAnsiTheme="minorHAnsi"/>
        </w:rPr>
        <w:t>proceeds of crime.</w:t>
      </w:r>
      <w:r w:rsidR="00FD0788" w:rsidRPr="00C00000">
        <w:rPr>
          <w:rStyle w:val="Style"/>
          <w:rFonts w:asciiTheme="minorHAnsi" w:hAnsiTheme="minorHAnsi"/>
        </w:rPr>
        <w:footnoteReference w:id="532"/>
      </w:r>
      <w:r w:rsidR="00F63A15">
        <w:rPr>
          <w:rFonts w:asciiTheme="minorHAnsi" w:hAnsiTheme="minorHAnsi"/>
        </w:rPr>
        <w:t xml:space="preserve">  </w:t>
      </w:r>
      <w:r w:rsidR="003F09D5">
        <w:rPr>
          <w:rFonts w:asciiTheme="minorHAnsi" w:hAnsiTheme="minorHAnsi"/>
        </w:rPr>
        <w:t xml:space="preserve">An </w:t>
      </w:r>
      <w:r w:rsidR="004128B5" w:rsidRPr="004128B5">
        <w:rPr>
          <w:rFonts w:asciiTheme="minorHAnsi" w:hAnsiTheme="minorHAnsi"/>
        </w:rPr>
        <w:t xml:space="preserve">offender </w:t>
      </w:r>
      <w:r w:rsidR="003F09D5">
        <w:rPr>
          <w:rFonts w:asciiTheme="minorHAnsi" w:hAnsiTheme="minorHAnsi"/>
        </w:rPr>
        <w:t>who relies</w:t>
      </w:r>
      <w:r w:rsidR="00485B7F" w:rsidRPr="00485B7F">
        <w:rPr>
          <w:rFonts w:asciiTheme="minorHAnsi" w:hAnsiTheme="minorHAnsi"/>
        </w:rPr>
        <w:t xml:space="preserve"> </w:t>
      </w:r>
      <w:r w:rsidR="00485B7F">
        <w:rPr>
          <w:rFonts w:asciiTheme="minorHAnsi" w:hAnsiTheme="minorHAnsi"/>
        </w:rPr>
        <w:t xml:space="preserve">on the prospect of such forfeiture as a mitigating factor </w:t>
      </w:r>
      <w:r w:rsidR="003F09D5">
        <w:rPr>
          <w:rFonts w:asciiTheme="minorHAnsi" w:hAnsiTheme="minorHAnsi"/>
        </w:rPr>
        <w:t xml:space="preserve">must satisfy the court accordingly.  </w:t>
      </w:r>
      <w:r w:rsidR="00485B7F">
        <w:rPr>
          <w:rFonts w:asciiTheme="minorHAnsi" w:hAnsiTheme="minorHAnsi"/>
        </w:rPr>
        <w:t xml:space="preserve">That is, the offender must persuade the court that property is likely </w:t>
      </w:r>
      <w:r w:rsidR="00E32C86">
        <w:rPr>
          <w:rFonts w:asciiTheme="minorHAnsi" w:hAnsiTheme="minorHAnsi"/>
        </w:rPr>
        <w:t xml:space="preserve">to be forfeited, and that at least some of the property is not proceeds of the crime.  </w:t>
      </w:r>
      <w:r w:rsidR="003F09D5">
        <w:rPr>
          <w:rFonts w:asciiTheme="minorHAnsi" w:hAnsiTheme="minorHAnsi"/>
        </w:rPr>
        <w:t>If</w:t>
      </w:r>
      <w:r w:rsidR="004128B5" w:rsidRPr="004128B5">
        <w:rPr>
          <w:rFonts w:asciiTheme="minorHAnsi" w:hAnsiTheme="minorHAnsi"/>
        </w:rPr>
        <w:t xml:space="preserve"> the information available is insufficient to enable the sentencing judge to make an assessment of the likelihood of forfeiture or its likely effect there will be no error in declining to take this into account</w:t>
      </w:r>
      <w:r w:rsidR="003F09D5">
        <w:rPr>
          <w:rFonts w:asciiTheme="minorHAnsi" w:hAnsiTheme="minorHAnsi"/>
        </w:rPr>
        <w:t>.</w:t>
      </w:r>
      <w:r w:rsidR="00381796" w:rsidRPr="00C00000">
        <w:rPr>
          <w:rStyle w:val="Style"/>
          <w:rFonts w:asciiTheme="minorHAnsi" w:hAnsiTheme="minorHAnsi"/>
        </w:rPr>
        <w:footnoteReference w:id="533"/>
      </w:r>
    </w:p>
    <w:p w14:paraId="224BE6F8" w14:textId="77777777" w:rsidR="00337C4D" w:rsidRPr="00C00000" w:rsidRDefault="00337C4D" w:rsidP="007C11C2">
      <w:pPr>
        <w:pStyle w:val="ListParagraph"/>
        <w:widowControl w:val="0"/>
        <w:spacing w:line="276" w:lineRule="auto"/>
        <w:ind w:left="567" w:right="170" w:hanging="567"/>
        <w:rPr>
          <w:rFonts w:asciiTheme="minorHAnsi" w:hAnsiTheme="minorHAnsi"/>
        </w:rPr>
      </w:pPr>
    </w:p>
    <w:p w14:paraId="54E882A5" w14:textId="5C92CCAD" w:rsidR="00584D95" w:rsidRPr="00C00000" w:rsidRDefault="00A52158" w:rsidP="00EB7F1E">
      <w:pPr>
        <w:pStyle w:val="ListParagraph"/>
        <w:numPr>
          <w:ilvl w:val="0"/>
          <w:numId w:val="7"/>
        </w:numPr>
        <w:spacing w:line="276" w:lineRule="auto"/>
        <w:ind w:left="425" w:hanging="425"/>
        <w:contextualSpacing w:val="0"/>
        <w:rPr>
          <w:rFonts w:asciiTheme="minorHAnsi" w:hAnsiTheme="minorHAnsi"/>
        </w:rPr>
      </w:pPr>
      <w:bookmarkStart w:id="1519" w:name="_Ref469663326"/>
      <w:r>
        <w:rPr>
          <w:rFonts w:asciiTheme="minorHAnsi" w:hAnsiTheme="minorHAnsi"/>
        </w:rPr>
        <w:t>T</w:t>
      </w:r>
      <w:r w:rsidR="00070BAB">
        <w:rPr>
          <w:rFonts w:asciiTheme="minorHAnsi" w:hAnsiTheme="minorHAnsi"/>
        </w:rPr>
        <w:t xml:space="preserve">he making of a </w:t>
      </w:r>
      <w:r w:rsidR="00050950">
        <w:rPr>
          <w:rFonts w:asciiTheme="minorHAnsi" w:hAnsiTheme="minorHAnsi"/>
        </w:rPr>
        <w:t>forfeiture order after sentencing</w:t>
      </w:r>
      <w:r w:rsidR="00070BAB">
        <w:rPr>
          <w:rFonts w:asciiTheme="minorHAnsi" w:hAnsiTheme="minorHAnsi"/>
        </w:rPr>
        <w:t xml:space="preserve"> </w:t>
      </w:r>
      <w:r>
        <w:rPr>
          <w:rFonts w:asciiTheme="minorHAnsi" w:hAnsiTheme="minorHAnsi"/>
        </w:rPr>
        <w:t>may constitute</w:t>
      </w:r>
      <w:r w:rsidR="0053432F" w:rsidRPr="00C00000">
        <w:rPr>
          <w:rFonts w:asciiTheme="minorHAnsi" w:hAnsiTheme="minorHAnsi"/>
        </w:rPr>
        <w:t xml:space="preserve"> fresh evidence on appeal</w:t>
      </w:r>
      <w:r>
        <w:rPr>
          <w:rFonts w:asciiTheme="minorHAnsi" w:hAnsiTheme="minorHAnsi"/>
        </w:rPr>
        <w:t>, where the prospect of forfeiture has not been taken into account in sentencing</w:t>
      </w:r>
      <w:r w:rsidR="00075929">
        <w:rPr>
          <w:rFonts w:asciiTheme="minorHAnsi" w:hAnsiTheme="minorHAnsi"/>
        </w:rPr>
        <w:t xml:space="preserve">, and </w:t>
      </w:r>
      <w:r w:rsidR="002C6570">
        <w:rPr>
          <w:rFonts w:asciiTheme="minorHAnsi" w:hAnsiTheme="minorHAnsi"/>
        </w:rPr>
        <w:t>sometimes require re-sentencing</w:t>
      </w:r>
      <w:r w:rsidR="0053432F" w:rsidRPr="00C00000">
        <w:rPr>
          <w:rFonts w:asciiTheme="minorHAnsi" w:hAnsiTheme="minorHAnsi"/>
        </w:rPr>
        <w:t>.</w:t>
      </w:r>
      <w:r w:rsidR="0053432F" w:rsidRPr="00C00000">
        <w:rPr>
          <w:rStyle w:val="Style"/>
          <w:rFonts w:asciiTheme="minorHAnsi" w:hAnsiTheme="minorHAnsi"/>
        </w:rPr>
        <w:footnoteReference w:id="534"/>
      </w:r>
      <w:bookmarkEnd w:id="1519"/>
      <w:r w:rsidR="002C6570">
        <w:rPr>
          <w:rFonts w:asciiTheme="minorHAnsi" w:hAnsiTheme="minorHAnsi"/>
        </w:rPr>
        <w:t xml:space="preserve">  </w:t>
      </w:r>
      <w:r w:rsidR="00304BEB">
        <w:rPr>
          <w:rFonts w:asciiTheme="minorHAnsi" w:hAnsiTheme="minorHAnsi"/>
        </w:rPr>
        <w:t xml:space="preserve">Appellate </w:t>
      </w:r>
      <w:r w:rsidR="002C6570">
        <w:rPr>
          <w:rFonts w:asciiTheme="minorHAnsi" w:hAnsiTheme="minorHAnsi"/>
        </w:rPr>
        <w:t>courts have called for legislative change to allow review of the sentence by the sentencing court without the need for an appeal.</w:t>
      </w:r>
      <w:r w:rsidR="002C6570" w:rsidRPr="00C00000">
        <w:rPr>
          <w:rStyle w:val="Style"/>
          <w:rFonts w:asciiTheme="minorHAnsi" w:hAnsiTheme="minorHAnsi"/>
        </w:rPr>
        <w:footnoteReference w:id="535"/>
      </w:r>
    </w:p>
    <w:p w14:paraId="76E8E9E0" w14:textId="77777777" w:rsidR="009D058E" w:rsidRPr="00C00000" w:rsidRDefault="009D058E" w:rsidP="007C11C2">
      <w:pPr>
        <w:pStyle w:val="ListParagraph"/>
        <w:widowControl w:val="0"/>
        <w:spacing w:line="276" w:lineRule="auto"/>
        <w:ind w:left="567" w:right="170" w:hanging="567"/>
        <w:rPr>
          <w:rFonts w:asciiTheme="minorHAnsi" w:hAnsiTheme="minorHAnsi"/>
        </w:rPr>
      </w:pPr>
    </w:p>
    <w:p w14:paraId="213E9E01" w14:textId="5FA6EF96" w:rsidR="00855A21" w:rsidRDefault="00855A21" w:rsidP="00C14A45">
      <w:pPr>
        <w:pStyle w:val="Heading3"/>
      </w:pPr>
      <w:bookmarkStart w:id="1520" w:name="_Ref491696557"/>
      <w:bookmarkStart w:id="1521" w:name="_Toc33602810"/>
      <w:bookmarkStart w:id="1522" w:name="_Ref491276104"/>
      <w:bookmarkStart w:id="1523" w:name="_Ref491276108"/>
      <w:r>
        <w:t xml:space="preserve">Cooperation in resolving action under </w:t>
      </w:r>
      <w:r w:rsidRPr="00EB7F1E">
        <w:rPr>
          <w:i/>
        </w:rPr>
        <w:t>Proceeds of Crime Act 2002</w:t>
      </w:r>
      <w:r>
        <w:t xml:space="preserve"> (Cth)</w:t>
      </w:r>
      <w:bookmarkEnd w:id="1520"/>
      <w:bookmarkEnd w:id="1521"/>
    </w:p>
    <w:p w14:paraId="7A403F16" w14:textId="77777777" w:rsidR="00855A21" w:rsidRPr="00576EEE" w:rsidRDefault="00855A21" w:rsidP="00C14A45">
      <w:pPr>
        <w:pStyle w:val="NormalIndent"/>
        <w:keepNext/>
        <w:rPr>
          <w:rFonts w:ascii="Calibri" w:hAnsi="Calibri"/>
        </w:rPr>
      </w:pPr>
    </w:p>
    <w:p w14:paraId="3612A079" w14:textId="24D67E73" w:rsidR="009145BC" w:rsidRPr="009145BC" w:rsidRDefault="001036B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Pursuant to s 320(a) of the </w:t>
      </w:r>
      <w:r w:rsidRPr="001036B2">
        <w:rPr>
          <w:rFonts w:asciiTheme="minorHAnsi" w:hAnsiTheme="minorHAnsi"/>
          <w:i/>
        </w:rPr>
        <w:t>Proceeds of Crime Act</w:t>
      </w:r>
      <w:r>
        <w:rPr>
          <w:rFonts w:asciiTheme="minorHAnsi" w:hAnsiTheme="minorHAnsi"/>
        </w:rPr>
        <w:t xml:space="preserve"> </w:t>
      </w:r>
      <w:r w:rsidRPr="001036B2">
        <w:rPr>
          <w:rFonts w:asciiTheme="minorHAnsi" w:hAnsiTheme="minorHAnsi"/>
          <w:i/>
        </w:rPr>
        <w:t>2002</w:t>
      </w:r>
      <w:r>
        <w:rPr>
          <w:rFonts w:asciiTheme="minorHAnsi" w:hAnsiTheme="minorHAnsi"/>
        </w:rPr>
        <w:t xml:space="preserve"> (Cth), </w:t>
      </w:r>
      <w:r w:rsidR="009145BC">
        <w:rPr>
          <w:rFonts w:asciiTheme="minorHAnsi" w:hAnsiTheme="minorHAnsi"/>
        </w:rPr>
        <w:t>a court sentencing an offender for an indictable offence “</w:t>
      </w:r>
      <w:r w:rsidR="009145BC" w:rsidRPr="00C00000">
        <w:rPr>
          <w:rFonts w:asciiTheme="minorHAnsi" w:hAnsiTheme="minorHAnsi"/>
          <w:i/>
          <w:szCs w:val="22"/>
        </w:rPr>
        <w:t>may have regard to any cooperation by the person in resolving any action taken against the person under</w:t>
      </w:r>
      <w:r w:rsidR="009145BC">
        <w:rPr>
          <w:rFonts w:asciiTheme="minorHAnsi" w:hAnsiTheme="minorHAnsi"/>
          <w:i/>
          <w:szCs w:val="22"/>
        </w:rPr>
        <w:t xml:space="preserve">” </w:t>
      </w:r>
      <w:r w:rsidR="009145BC" w:rsidRPr="009145BC">
        <w:rPr>
          <w:rFonts w:asciiTheme="minorHAnsi" w:hAnsiTheme="minorHAnsi"/>
          <w:szCs w:val="22"/>
        </w:rPr>
        <w:t>the Act.</w:t>
      </w:r>
      <w:r w:rsidR="00A16C93">
        <w:rPr>
          <w:rFonts w:asciiTheme="minorHAnsi" w:hAnsiTheme="minorHAnsi"/>
          <w:szCs w:val="22"/>
        </w:rPr>
        <w:t xml:space="preserve">  The cooperation may relate to any type of action under the Act, including </w:t>
      </w:r>
      <w:r w:rsidR="005F38AB">
        <w:rPr>
          <w:rFonts w:asciiTheme="minorHAnsi" w:hAnsiTheme="minorHAnsi"/>
          <w:szCs w:val="22"/>
        </w:rPr>
        <w:t>freezing orders (Part 2</w:t>
      </w:r>
      <w:r w:rsidR="00320388">
        <w:rPr>
          <w:rFonts w:asciiTheme="minorHAnsi" w:hAnsiTheme="minorHAnsi"/>
          <w:szCs w:val="22"/>
        </w:rPr>
        <w:t>-</w:t>
      </w:r>
      <w:r w:rsidR="005F38AB">
        <w:rPr>
          <w:rFonts w:asciiTheme="minorHAnsi" w:hAnsiTheme="minorHAnsi"/>
          <w:szCs w:val="22"/>
        </w:rPr>
        <w:t xml:space="preserve">1A), </w:t>
      </w:r>
      <w:r w:rsidR="00A16C93">
        <w:rPr>
          <w:rFonts w:asciiTheme="minorHAnsi" w:hAnsiTheme="minorHAnsi"/>
          <w:szCs w:val="22"/>
        </w:rPr>
        <w:t>restraining orders</w:t>
      </w:r>
      <w:r w:rsidR="005F38AB">
        <w:rPr>
          <w:rFonts w:asciiTheme="minorHAnsi" w:hAnsiTheme="minorHAnsi"/>
          <w:szCs w:val="22"/>
        </w:rPr>
        <w:t xml:space="preserve"> (Part 2</w:t>
      </w:r>
      <w:r w:rsidR="00320388">
        <w:rPr>
          <w:rFonts w:asciiTheme="minorHAnsi" w:hAnsiTheme="minorHAnsi"/>
          <w:szCs w:val="22"/>
        </w:rPr>
        <w:t>-</w:t>
      </w:r>
      <w:r w:rsidR="005F38AB">
        <w:rPr>
          <w:rFonts w:asciiTheme="minorHAnsi" w:hAnsiTheme="minorHAnsi"/>
          <w:szCs w:val="22"/>
        </w:rPr>
        <w:t>1)</w:t>
      </w:r>
      <w:r w:rsidR="00A16C93">
        <w:rPr>
          <w:rFonts w:asciiTheme="minorHAnsi" w:hAnsiTheme="minorHAnsi"/>
          <w:szCs w:val="22"/>
        </w:rPr>
        <w:t>, court-ordered forfeiture</w:t>
      </w:r>
      <w:r w:rsidR="005F38AB">
        <w:rPr>
          <w:rFonts w:asciiTheme="minorHAnsi" w:hAnsiTheme="minorHAnsi"/>
          <w:szCs w:val="22"/>
        </w:rPr>
        <w:t xml:space="preserve"> (Part 2</w:t>
      </w:r>
      <w:r w:rsidR="00320388">
        <w:rPr>
          <w:rFonts w:asciiTheme="minorHAnsi" w:hAnsiTheme="minorHAnsi"/>
          <w:szCs w:val="22"/>
        </w:rPr>
        <w:t>-</w:t>
      </w:r>
      <w:r w:rsidR="005F38AB">
        <w:rPr>
          <w:rFonts w:asciiTheme="minorHAnsi" w:hAnsiTheme="minorHAnsi"/>
          <w:szCs w:val="22"/>
        </w:rPr>
        <w:t>2)</w:t>
      </w:r>
      <w:r w:rsidR="00A16C93">
        <w:rPr>
          <w:rFonts w:asciiTheme="minorHAnsi" w:hAnsiTheme="minorHAnsi"/>
          <w:szCs w:val="22"/>
        </w:rPr>
        <w:t>, automatic forfeiture</w:t>
      </w:r>
      <w:r w:rsidR="005F38AB">
        <w:rPr>
          <w:rFonts w:asciiTheme="minorHAnsi" w:hAnsiTheme="minorHAnsi"/>
          <w:szCs w:val="22"/>
        </w:rPr>
        <w:t xml:space="preserve"> (Part 2</w:t>
      </w:r>
      <w:r w:rsidR="00320388">
        <w:rPr>
          <w:rFonts w:asciiTheme="minorHAnsi" w:hAnsiTheme="minorHAnsi"/>
          <w:szCs w:val="22"/>
        </w:rPr>
        <w:t>-</w:t>
      </w:r>
      <w:r w:rsidR="005F38AB">
        <w:rPr>
          <w:rFonts w:asciiTheme="minorHAnsi" w:hAnsiTheme="minorHAnsi"/>
          <w:szCs w:val="22"/>
        </w:rPr>
        <w:t>3), pecuniary penalty order (Part 2</w:t>
      </w:r>
      <w:r w:rsidR="00320388">
        <w:rPr>
          <w:rFonts w:asciiTheme="minorHAnsi" w:hAnsiTheme="minorHAnsi"/>
          <w:szCs w:val="22"/>
        </w:rPr>
        <w:t>-</w:t>
      </w:r>
      <w:r w:rsidR="005F38AB">
        <w:rPr>
          <w:rFonts w:asciiTheme="minorHAnsi" w:hAnsiTheme="minorHAnsi"/>
          <w:szCs w:val="22"/>
        </w:rPr>
        <w:t>4), literary proceeds orders (Part 2</w:t>
      </w:r>
      <w:r w:rsidR="00320388">
        <w:rPr>
          <w:rFonts w:asciiTheme="minorHAnsi" w:hAnsiTheme="minorHAnsi"/>
          <w:szCs w:val="22"/>
        </w:rPr>
        <w:t>-</w:t>
      </w:r>
      <w:r w:rsidR="005F38AB">
        <w:rPr>
          <w:rFonts w:asciiTheme="minorHAnsi" w:hAnsiTheme="minorHAnsi"/>
          <w:szCs w:val="22"/>
        </w:rPr>
        <w:t>5) or unexplained wealth orders (Part 2</w:t>
      </w:r>
      <w:r w:rsidR="00320388">
        <w:rPr>
          <w:rFonts w:asciiTheme="minorHAnsi" w:hAnsiTheme="minorHAnsi"/>
          <w:szCs w:val="22"/>
        </w:rPr>
        <w:t>-</w:t>
      </w:r>
      <w:r w:rsidR="005F38AB">
        <w:rPr>
          <w:rFonts w:asciiTheme="minorHAnsi" w:hAnsiTheme="minorHAnsi"/>
          <w:szCs w:val="22"/>
        </w:rPr>
        <w:t>6).</w:t>
      </w:r>
    </w:p>
    <w:p w14:paraId="21485EA9" w14:textId="77777777" w:rsidR="009145BC" w:rsidRPr="009145BC" w:rsidRDefault="009145BC" w:rsidP="009145BC">
      <w:pPr>
        <w:widowControl w:val="0"/>
        <w:spacing w:line="276" w:lineRule="auto"/>
        <w:ind w:right="170"/>
        <w:rPr>
          <w:rFonts w:asciiTheme="minorHAnsi" w:hAnsiTheme="minorHAnsi"/>
        </w:rPr>
      </w:pPr>
    </w:p>
    <w:p w14:paraId="10228AE0" w14:textId="0D1C9469" w:rsidR="0043174A" w:rsidRDefault="009145B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This provision is to be read broadly</w:t>
      </w:r>
      <w:r w:rsidR="00F91121">
        <w:rPr>
          <w:rFonts w:asciiTheme="minorHAnsi" w:hAnsiTheme="minorHAnsi"/>
        </w:rPr>
        <w:t>.</w:t>
      </w:r>
      <w:r w:rsidR="007A1CF9" w:rsidRPr="00C00000">
        <w:rPr>
          <w:rStyle w:val="Style"/>
          <w:rFonts w:asciiTheme="minorHAnsi" w:hAnsiTheme="minorHAnsi"/>
        </w:rPr>
        <w:footnoteReference w:id="536"/>
      </w:r>
      <w:r>
        <w:rPr>
          <w:rFonts w:asciiTheme="minorHAnsi" w:hAnsiTheme="minorHAnsi"/>
        </w:rPr>
        <w:t xml:space="preserve"> </w:t>
      </w:r>
      <w:r w:rsidR="00F91121">
        <w:rPr>
          <w:rFonts w:asciiTheme="minorHAnsi" w:hAnsiTheme="minorHAnsi"/>
        </w:rPr>
        <w:t xml:space="preserve"> </w:t>
      </w:r>
      <w:r w:rsidR="0099289B">
        <w:rPr>
          <w:rFonts w:asciiTheme="minorHAnsi" w:hAnsiTheme="minorHAnsi"/>
        </w:rPr>
        <w:t xml:space="preserve">Cooperation in resolving any action under the Act may include: </w:t>
      </w:r>
      <w:r w:rsidR="007A1CF9">
        <w:rPr>
          <w:rFonts w:asciiTheme="minorHAnsi" w:hAnsiTheme="minorHAnsi"/>
        </w:rPr>
        <w:t>withdrawing or refraining from making an application for exclusion of property from a restraining order or from an order for forfeiture;</w:t>
      </w:r>
      <w:r w:rsidR="007A1CF9" w:rsidRPr="00C00000">
        <w:rPr>
          <w:rStyle w:val="Style"/>
          <w:rFonts w:asciiTheme="minorHAnsi" w:hAnsiTheme="minorHAnsi"/>
        </w:rPr>
        <w:footnoteReference w:id="537"/>
      </w:r>
      <w:r w:rsidR="007A1CF9">
        <w:rPr>
          <w:rFonts w:asciiTheme="minorHAnsi" w:hAnsiTheme="minorHAnsi"/>
        </w:rPr>
        <w:t xml:space="preserve"> </w:t>
      </w:r>
      <w:r w:rsidR="0099289B" w:rsidRPr="0099289B">
        <w:rPr>
          <w:rFonts w:asciiTheme="minorHAnsi" w:hAnsiTheme="minorHAnsi"/>
        </w:rPr>
        <w:t>consenting to an order, particularly when done earlier rather than later</w:t>
      </w:r>
      <w:r w:rsidR="0099289B">
        <w:rPr>
          <w:rFonts w:asciiTheme="minorHAnsi" w:hAnsiTheme="minorHAnsi"/>
        </w:rPr>
        <w:t>;</w:t>
      </w:r>
      <w:r w:rsidR="0099289B" w:rsidRPr="00C00000">
        <w:rPr>
          <w:rStyle w:val="Style"/>
          <w:rFonts w:asciiTheme="minorHAnsi" w:hAnsiTheme="minorHAnsi"/>
        </w:rPr>
        <w:footnoteReference w:id="538"/>
      </w:r>
      <w:r w:rsidR="0099289B">
        <w:rPr>
          <w:rFonts w:asciiTheme="minorHAnsi" w:hAnsiTheme="minorHAnsi"/>
        </w:rPr>
        <w:t xml:space="preserve"> and taking s</w:t>
      </w:r>
      <w:r w:rsidR="0099289B" w:rsidRPr="0099289B">
        <w:rPr>
          <w:rFonts w:asciiTheme="minorHAnsi" w:hAnsiTheme="minorHAnsi"/>
        </w:rPr>
        <w:t>teps to aid the enforcement of an order</w:t>
      </w:r>
      <w:r w:rsidR="00F91121" w:rsidRPr="00F91121">
        <w:rPr>
          <w:rFonts w:asciiTheme="minorHAnsi" w:hAnsiTheme="minorHAnsi"/>
        </w:rPr>
        <w:t>, such as by obtaining loans or otherwise.</w:t>
      </w:r>
      <w:r w:rsidR="0099289B" w:rsidRPr="00C00000">
        <w:rPr>
          <w:rStyle w:val="Style"/>
          <w:rFonts w:asciiTheme="minorHAnsi" w:hAnsiTheme="minorHAnsi"/>
        </w:rPr>
        <w:footnoteReference w:id="539"/>
      </w:r>
      <w:r w:rsidR="00F91121" w:rsidRPr="00F91121">
        <w:rPr>
          <w:rFonts w:asciiTheme="minorHAnsi" w:hAnsiTheme="minorHAnsi"/>
        </w:rPr>
        <w:t xml:space="preserve">  </w:t>
      </w:r>
    </w:p>
    <w:p w14:paraId="19B7B330" w14:textId="77777777" w:rsidR="0043174A" w:rsidRPr="0043174A" w:rsidRDefault="0043174A" w:rsidP="0043174A">
      <w:pPr>
        <w:pStyle w:val="ListParagraph"/>
        <w:rPr>
          <w:rFonts w:asciiTheme="minorHAnsi" w:hAnsiTheme="minorHAnsi"/>
        </w:rPr>
      </w:pPr>
    </w:p>
    <w:p w14:paraId="6F29C8E6" w14:textId="48A0E810" w:rsidR="009145BC" w:rsidRDefault="00A67EE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Although a wide range of actions may constitute cooperation, cooperation </w:t>
      </w:r>
      <w:r w:rsidRPr="0043174A">
        <w:rPr>
          <w:rFonts w:asciiTheme="minorHAnsi" w:hAnsiTheme="minorHAnsi"/>
        </w:rPr>
        <w:t xml:space="preserve">requires a deliberate decision by the offender to facilitate the course pursued in the </w:t>
      </w:r>
      <w:r>
        <w:rPr>
          <w:rFonts w:asciiTheme="minorHAnsi" w:hAnsiTheme="minorHAnsi"/>
        </w:rPr>
        <w:t xml:space="preserve">action under the </w:t>
      </w:r>
      <w:r w:rsidRPr="0043174A">
        <w:rPr>
          <w:rFonts w:asciiTheme="minorHAnsi" w:hAnsiTheme="minorHAnsi"/>
          <w:i/>
        </w:rPr>
        <w:t>Proceeds of Crime Act</w:t>
      </w:r>
      <w:r>
        <w:rPr>
          <w:rFonts w:asciiTheme="minorHAnsi" w:hAnsiTheme="minorHAnsi"/>
        </w:rPr>
        <w:t>.</w:t>
      </w:r>
      <w:r w:rsidRPr="00C00000">
        <w:rPr>
          <w:rStyle w:val="Style"/>
          <w:rFonts w:asciiTheme="minorHAnsi" w:hAnsiTheme="minorHAnsi"/>
        </w:rPr>
        <w:footnoteReference w:id="540"/>
      </w:r>
      <w:r w:rsidRPr="00A67EE9">
        <w:rPr>
          <w:rStyle w:val="Heading1Char"/>
        </w:rPr>
        <w:t xml:space="preserve"> </w:t>
      </w:r>
      <w:r>
        <w:rPr>
          <w:rStyle w:val="Heading1Char"/>
        </w:rPr>
        <w:t xml:space="preserve"> </w:t>
      </w:r>
      <w:r w:rsidR="00124F4B">
        <w:rPr>
          <w:rFonts w:asciiTheme="minorHAnsi" w:hAnsiTheme="minorHAnsi"/>
        </w:rPr>
        <w:t xml:space="preserve">The offender bears the onus of establishing that their </w:t>
      </w:r>
      <w:r w:rsidR="00124F4B" w:rsidRPr="00124F4B">
        <w:rPr>
          <w:rFonts w:asciiTheme="minorHAnsi" w:hAnsiTheme="minorHAnsi"/>
        </w:rPr>
        <w:t>conduct amounted to cooperation which mitigated the severity of the sentence</w:t>
      </w:r>
      <w:r w:rsidR="00124F4B">
        <w:rPr>
          <w:rFonts w:asciiTheme="minorHAnsi" w:hAnsiTheme="minorHAnsi"/>
        </w:rPr>
        <w:t>.</w:t>
      </w:r>
      <w:r w:rsidR="00124F4B" w:rsidRPr="00C00000">
        <w:rPr>
          <w:rStyle w:val="Style"/>
          <w:rFonts w:asciiTheme="minorHAnsi" w:hAnsiTheme="minorHAnsi"/>
        </w:rPr>
        <w:footnoteReference w:id="541"/>
      </w:r>
      <w:r w:rsidRPr="00A67EE9">
        <w:rPr>
          <w:rFonts w:asciiTheme="minorHAnsi" w:hAnsiTheme="minorHAnsi"/>
        </w:rPr>
        <w:t xml:space="preserve"> </w:t>
      </w:r>
      <w:r w:rsidR="00124F4B">
        <w:rPr>
          <w:rFonts w:asciiTheme="minorHAnsi" w:hAnsiTheme="minorHAnsi"/>
        </w:rPr>
        <w:t xml:space="preserve"> If </w:t>
      </w:r>
      <w:r w:rsidRPr="00A67EE9">
        <w:rPr>
          <w:rFonts w:asciiTheme="minorHAnsi" w:hAnsiTheme="minorHAnsi"/>
        </w:rPr>
        <w:t>the sentencing court is not satisfied that the offender</w:t>
      </w:r>
      <w:r w:rsidR="00AA693C">
        <w:rPr>
          <w:rFonts w:asciiTheme="minorHAnsi" w:hAnsiTheme="minorHAnsi"/>
        </w:rPr>
        <w:t>’</w:t>
      </w:r>
      <w:r w:rsidRPr="00A67EE9">
        <w:rPr>
          <w:rFonts w:asciiTheme="minorHAnsi" w:hAnsiTheme="minorHAnsi"/>
        </w:rPr>
        <w:t xml:space="preserve">s decision was deliberately made for reasons that disclose a willingness to co-operate, the fact that (for example) an application for exclusion was not made or was withdrawn will not amount to </w:t>
      </w:r>
      <w:r w:rsidR="005314AC">
        <w:rPr>
          <w:rFonts w:asciiTheme="minorHAnsi" w:hAnsiTheme="minorHAnsi"/>
        </w:rPr>
        <w:t>cooperation</w:t>
      </w:r>
      <w:r w:rsidRPr="00A67EE9">
        <w:rPr>
          <w:rFonts w:asciiTheme="minorHAnsi" w:hAnsiTheme="minorHAnsi"/>
        </w:rPr>
        <w:t>.</w:t>
      </w:r>
      <w:r w:rsidRPr="00C00000">
        <w:rPr>
          <w:rStyle w:val="Style"/>
          <w:rFonts w:asciiTheme="minorHAnsi" w:hAnsiTheme="minorHAnsi"/>
        </w:rPr>
        <w:footnoteReference w:id="542"/>
      </w:r>
    </w:p>
    <w:p w14:paraId="4F3339F2" w14:textId="77777777" w:rsidR="00F91121" w:rsidRPr="00F91121" w:rsidRDefault="00F91121" w:rsidP="00F91121">
      <w:pPr>
        <w:widowControl w:val="0"/>
        <w:spacing w:line="276" w:lineRule="auto"/>
        <w:ind w:right="170"/>
        <w:rPr>
          <w:rFonts w:asciiTheme="minorHAnsi" w:hAnsiTheme="minorHAnsi"/>
        </w:rPr>
      </w:pPr>
    </w:p>
    <w:p w14:paraId="43E29BEB" w14:textId="2468E118" w:rsidR="00855A21" w:rsidRDefault="000C148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weight, if any, to be given to cooperation will depend upon the circumstances.  A</w:t>
      </w:r>
      <w:r w:rsidR="00855A21" w:rsidRPr="00814288">
        <w:rPr>
          <w:rFonts w:asciiTheme="minorHAnsi" w:hAnsiTheme="minorHAnsi"/>
        </w:rPr>
        <w:t xml:space="preserve"> decision not to pursue a </w:t>
      </w:r>
      <w:r w:rsidR="007E6247" w:rsidRPr="00814288">
        <w:rPr>
          <w:rFonts w:asciiTheme="minorHAnsi" w:hAnsiTheme="minorHAnsi"/>
        </w:rPr>
        <w:t xml:space="preserve">hopeless </w:t>
      </w:r>
      <w:r w:rsidR="00855A21" w:rsidRPr="00814288">
        <w:rPr>
          <w:rFonts w:asciiTheme="minorHAnsi" w:hAnsiTheme="minorHAnsi"/>
        </w:rPr>
        <w:t>application for exclusion</w:t>
      </w:r>
      <w:r>
        <w:rPr>
          <w:rFonts w:asciiTheme="minorHAnsi" w:hAnsiTheme="minorHAnsi"/>
        </w:rPr>
        <w:t xml:space="preserve"> of property from a</w:t>
      </w:r>
      <w:r w:rsidR="00392350">
        <w:rPr>
          <w:rFonts w:asciiTheme="minorHAnsi" w:hAnsiTheme="minorHAnsi"/>
        </w:rPr>
        <w:t xml:space="preserve"> confiscation</w:t>
      </w:r>
      <w:r>
        <w:rPr>
          <w:rFonts w:asciiTheme="minorHAnsi" w:hAnsiTheme="minorHAnsi"/>
        </w:rPr>
        <w:t xml:space="preserve"> order</w:t>
      </w:r>
      <w:r w:rsidR="00855A21" w:rsidRPr="00814288">
        <w:rPr>
          <w:rFonts w:asciiTheme="minorHAnsi" w:hAnsiTheme="minorHAnsi"/>
        </w:rPr>
        <w:t xml:space="preserve"> should receive less weight than one where the offender does not pursue an arguable claim or where the circumstances are complicated and would involve protracted litigation</w:t>
      </w:r>
      <w:r>
        <w:rPr>
          <w:rFonts w:asciiTheme="minorHAnsi" w:hAnsiTheme="minorHAnsi"/>
        </w:rPr>
        <w:t>.</w:t>
      </w:r>
      <w:r w:rsidRPr="00C00000">
        <w:rPr>
          <w:rStyle w:val="Style"/>
          <w:rFonts w:asciiTheme="minorHAnsi" w:hAnsiTheme="minorHAnsi"/>
        </w:rPr>
        <w:footnoteReference w:id="543"/>
      </w:r>
    </w:p>
    <w:p w14:paraId="67846AC6" w14:textId="113CAF60" w:rsidR="00855A21" w:rsidRDefault="00855A21" w:rsidP="00855A21">
      <w:pPr>
        <w:widowControl w:val="0"/>
        <w:spacing w:line="276" w:lineRule="auto"/>
        <w:ind w:right="170"/>
        <w:rPr>
          <w:rFonts w:asciiTheme="minorHAnsi" w:hAnsiTheme="minorHAnsi"/>
        </w:rPr>
      </w:pPr>
    </w:p>
    <w:p w14:paraId="5C38375A" w14:textId="157F93CC" w:rsidR="00A67EE9" w:rsidRDefault="00A67EE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Cooperation may be treated as mitigating whether or not it is indicative of contrition or remorse.</w:t>
      </w:r>
      <w:r w:rsidRPr="00C00000">
        <w:rPr>
          <w:rStyle w:val="Style"/>
          <w:rFonts w:asciiTheme="minorHAnsi" w:hAnsiTheme="minorHAnsi"/>
        </w:rPr>
        <w:footnoteReference w:id="544"/>
      </w:r>
      <w:r w:rsidRPr="00A67EE9">
        <w:rPr>
          <w:rFonts w:asciiTheme="minorHAnsi" w:hAnsiTheme="minorHAnsi"/>
        </w:rPr>
        <w:t xml:space="preserve"> </w:t>
      </w:r>
      <w:r>
        <w:rPr>
          <w:rFonts w:asciiTheme="minorHAnsi" w:hAnsiTheme="minorHAnsi"/>
        </w:rPr>
        <w:t xml:space="preserve"> </w:t>
      </w:r>
    </w:p>
    <w:p w14:paraId="73B04D09" w14:textId="77777777" w:rsidR="00A67EE9" w:rsidRPr="00A67EE9" w:rsidRDefault="00A67EE9" w:rsidP="00A67EE9">
      <w:pPr>
        <w:pStyle w:val="ListParagraph"/>
        <w:rPr>
          <w:rFonts w:asciiTheme="minorHAnsi" w:hAnsiTheme="minorHAnsi"/>
        </w:rPr>
      </w:pPr>
    </w:p>
    <w:p w14:paraId="2D572F09" w14:textId="575B8332" w:rsidR="00393088" w:rsidRPr="00E9607E" w:rsidRDefault="00000D64" w:rsidP="00C14A45">
      <w:pPr>
        <w:pStyle w:val="Heading3"/>
      </w:pPr>
      <w:bookmarkStart w:id="1524" w:name="_Ref491941958"/>
      <w:bookmarkStart w:id="1525" w:name="_Ref491941961"/>
      <w:bookmarkStart w:id="1526" w:name="_Toc33602811"/>
      <w:r>
        <w:t>F</w:t>
      </w:r>
      <w:r w:rsidR="00393088" w:rsidRPr="00E9607E">
        <w:t>orfeitur</w:t>
      </w:r>
      <w:r>
        <w:t>e by operation of law</w:t>
      </w:r>
      <w:bookmarkEnd w:id="1522"/>
      <w:bookmarkEnd w:id="1523"/>
      <w:bookmarkEnd w:id="1524"/>
      <w:bookmarkEnd w:id="1525"/>
      <w:bookmarkEnd w:id="1526"/>
      <w:r w:rsidR="00393088" w:rsidRPr="00E9607E">
        <w:t xml:space="preserve"> </w:t>
      </w:r>
    </w:p>
    <w:p w14:paraId="04B447FC" w14:textId="77777777" w:rsidR="00393088" w:rsidRPr="00C00000" w:rsidRDefault="00393088" w:rsidP="00C14A45">
      <w:pPr>
        <w:keepNext/>
        <w:spacing w:line="276" w:lineRule="auto"/>
        <w:ind w:left="567"/>
        <w:jc w:val="both"/>
        <w:rPr>
          <w:rFonts w:asciiTheme="minorHAnsi" w:hAnsiTheme="minorHAnsi"/>
        </w:rPr>
      </w:pPr>
    </w:p>
    <w:p w14:paraId="6ADBDDF1" w14:textId="1A021C27" w:rsidR="00131375" w:rsidRDefault="008C055D"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Many Commonwealth statutes provide for the forfeiture of property, by operation of law, in particular circumstances.</w:t>
      </w:r>
      <w:r w:rsidR="00DA4E0A" w:rsidRPr="00C00000">
        <w:rPr>
          <w:rStyle w:val="Style"/>
          <w:rFonts w:asciiTheme="minorHAnsi" w:hAnsiTheme="minorHAnsi"/>
        </w:rPr>
        <w:footnoteReference w:id="545"/>
      </w:r>
      <w:r>
        <w:rPr>
          <w:rFonts w:asciiTheme="minorHAnsi" w:hAnsiTheme="minorHAnsi"/>
          <w:szCs w:val="22"/>
        </w:rPr>
        <w:t xml:space="preserve">  </w:t>
      </w:r>
      <w:r w:rsidR="00C56D51">
        <w:rPr>
          <w:rFonts w:asciiTheme="minorHAnsi" w:hAnsiTheme="minorHAnsi"/>
          <w:szCs w:val="22"/>
        </w:rPr>
        <w:t>Such forfeiture may occur independently of whether a person is convicted of an offence.</w:t>
      </w:r>
      <w:r w:rsidR="00AD7576">
        <w:rPr>
          <w:rFonts w:asciiTheme="minorHAnsi" w:hAnsiTheme="minorHAnsi"/>
          <w:szCs w:val="22"/>
        </w:rPr>
        <w:t xml:space="preserve">  The legislation </w:t>
      </w:r>
      <w:r w:rsidR="002412B0">
        <w:rPr>
          <w:rFonts w:asciiTheme="minorHAnsi" w:hAnsiTheme="minorHAnsi"/>
          <w:szCs w:val="22"/>
        </w:rPr>
        <w:t xml:space="preserve">providing for forfeiture </w:t>
      </w:r>
      <w:r w:rsidR="00AD7576">
        <w:rPr>
          <w:rFonts w:asciiTheme="minorHAnsi" w:hAnsiTheme="minorHAnsi"/>
          <w:szCs w:val="22"/>
        </w:rPr>
        <w:t>often provides a means for the “condemnation” of forfeited property, that is, a</w:t>
      </w:r>
      <w:r w:rsidR="004173B4">
        <w:rPr>
          <w:rFonts w:asciiTheme="minorHAnsi" w:hAnsiTheme="minorHAnsi"/>
          <w:szCs w:val="22"/>
        </w:rPr>
        <w:t xml:space="preserve"> determination </w:t>
      </w:r>
      <w:r w:rsidR="00AD7576">
        <w:rPr>
          <w:rFonts w:asciiTheme="minorHAnsi" w:hAnsiTheme="minorHAnsi"/>
          <w:szCs w:val="22"/>
        </w:rPr>
        <w:t xml:space="preserve">by a court </w:t>
      </w:r>
      <w:r w:rsidR="004173B4">
        <w:rPr>
          <w:rFonts w:asciiTheme="minorHAnsi" w:hAnsiTheme="minorHAnsi"/>
          <w:szCs w:val="22"/>
        </w:rPr>
        <w:t xml:space="preserve">or the occurrence of an event </w:t>
      </w:r>
      <w:r w:rsidR="00AD7576">
        <w:rPr>
          <w:rFonts w:asciiTheme="minorHAnsi" w:hAnsiTheme="minorHAnsi"/>
          <w:szCs w:val="22"/>
        </w:rPr>
        <w:t>that</w:t>
      </w:r>
      <w:r w:rsidR="004173B4">
        <w:rPr>
          <w:rFonts w:asciiTheme="minorHAnsi" w:hAnsiTheme="minorHAnsi"/>
          <w:szCs w:val="22"/>
        </w:rPr>
        <w:t xml:space="preserve"> has the legal effect of confirming the forfeiture.</w:t>
      </w:r>
      <w:r w:rsidR="00AD7576">
        <w:rPr>
          <w:rFonts w:asciiTheme="minorHAnsi" w:hAnsiTheme="minorHAnsi"/>
          <w:szCs w:val="22"/>
        </w:rPr>
        <w:t xml:space="preserve"> </w:t>
      </w:r>
    </w:p>
    <w:p w14:paraId="25079A6E" w14:textId="77777777" w:rsidR="008C055D" w:rsidRPr="008C055D" w:rsidRDefault="008C055D" w:rsidP="008C055D">
      <w:pPr>
        <w:widowControl w:val="0"/>
        <w:spacing w:line="276" w:lineRule="auto"/>
        <w:ind w:right="170"/>
        <w:rPr>
          <w:rFonts w:asciiTheme="minorHAnsi" w:hAnsiTheme="minorHAnsi"/>
          <w:szCs w:val="22"/>
        </w:rPr>
      </w:pPr>
    </w:p>
    <w:p w14:paraId="77D88177" w14:textId="77777777" w:rsidR="00B87046" w:rsidRDefault="00C56D51"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More general provision for forfeiture</w:t>
      </w:r>
      <w:r w:rsidR="00A16EE2">
        <w:rPr>
          <w:rFonts w:asciiTheme="minorHAnsi" w:hAnsiTheme="minorHAnsi"/>
          <w:szCs w:val="22"/>
        </w:rPr>
        <w:t xml:space="preserve"> by</w:t>
      </w:r>
      <w:r>
        <w:rPr>
          <w:rFonts w:asciiTheme="minorHAnsi" w:hAnsiTheme="minorHAnsi"/>
          <w:szCs w:val="22"/>
        </w:rPr>
        <w:t xml:space="preserve"> operation of law is made by the </w:t>
      </w:r>
      <w:r w:rsidRPr="00C56D51">
        <w:rPr>
          <w:rFonts w:asciiTheme="minorHAnsi" w:hAnsiTheme="minorHAnsi"/>
          <w:i/>
          <w:szCs w:val="22"/>
        </w:rPr>
        <w:t>Proceeds of Crime Act</w:t>
      </w:r>
      <w:r>
        <w:rPr>
          <w:rFonts w:asciiTheme="minorHAnsi" w:hAnsiTheme="minorHAnsi"/>
          <w:szCs w:val="22"/>
        </w:rPr>
        <w:t xml:space="preserve"> </w:t>
      </w:r>
      <w:r w:rsidRPr="00DA4E0A">
        <w:rPr>
          <w:rFonts w:asciiTheme="minorHAnsi" w:hAnsiTheme="minorHAnsi"/>
          <w:i/>
          <w:szCs w:val="22"/>
        </w:rPr>
        <w:t>2002</w:t>
      </w:r>
      <w:r>
        <w:rPr>
          <w:rFonts w:asciiTheme="minorHAnsi" w:hAnsiTheme="minorHAnsi"/>
          <w:szCs w:val="22"/>
        </w:rPr>
        <w:t xml:space="preserve"> (Cth).</w:t>
      </w:r>
      <w:r w:rsidR="00A16EE2">
        <w:rPr>
          <w:rFonts w:asciiTheme="minorHAnsi" w:hAnsiTheme="minorHAnsi"/>
          <w:szCs w:val="22"/>
        </w:rPr>
        <w:t xml:space="preserve">  Part 2-3 of the Act provides for a scheme by which, if</w:t>
      </w:r>
      <w:r w:rsidR="00A16EE2" w:rsidRPr="00576EEE">
        <w:rPr>
          <w:rFonts w:ascii="Calibri" w:hAnsi="Calibri"/>
        </w:rPr>
        <w:t xml:space="preserve"> </w:t>
      </w:r>
      <w:r w:rsidR="00A16EE2" w:rsidRPr="00A16EE2">
        <w:rPr>
          <w:rFonts w:asciiTheme="minorHAnsi" w:hAnsiTheme="minorHAnsi"/>
          <w:szCs w:val="22"/>
        </w:rPr>
        <w:t xml:space="preserve">a person is </w:t>
      </w:r>
      <w:r w:rsidR="00A16EE2" w:rsidRPr="00E90120">
        <w:rPr>
          <w:rFonts w:asciiTheme="minorHAnsi" w:hAnsiTheme="minorHAnsi"/>
        </w:rPr>
        <w:t>convicted</w:t>
      </w:r>
      <w:r w:rsidR="00A16EE2" w:rsidRPr="00A16EE2">
        <w:rPr>
          <w:rFonts w:asciiTheme="minorHAnsi" w:hAnsiTheme="minorHAnsi"/>
          <w:szCs w:val="22"/>
        </w:rPr>
        <w:t xml:space="preserve"> of a </w:t>
      </w:r>
      <w:r w:rsidR="008F1BEF">
        <w:rPr>
          <w:rFonts w:asciiTheme="minorHAnsi" w:hAnsiTheme="minorHAnsi"/>
          <w:szCs w:val="22"/>
        </w:rPr>
        <w:t>“</w:t>
      </w:r>
      <w:r w:rsidR="00A16EE2" w:rsidRPr="00A16EE2">
        <w:rPr>
          <w:rFonts w:asciiTheme="minorHAnsi" w:hAnsiTheme="minorHAnsi"/>
          <w:szCs w:val="22"/>
        </w:rPr>
        <w:t>serious offence</w:t>
      </w:r>
      <w:r w:rsidR="008F1BEF">
        <w:rPr>
          <w:rFonts w:asciiTheme="minorHAnsi" w:hAnsiTheme="minorHAnsi"/>
          <w:szCs w:val="22"/>
        </w:rPr>
        <w:t>” (a term which is given a complex definition in s 338 of the Act)</w:t>
      </w:r>
      <w:r w:rsidR="00A16EE2" w:rsidRPr="00A16EE2">
        <w:rPr>
          <w:rFonts w:asciiTheme="minorHAnsi" w:hAnsiTheme="minorHAnsi"/>
          <w:szCs w:val="22"/>
        </w:rPr>
        <w:t>, property that is subject to a restraining order relating to the offence is forfeited to the Commonwealth unless the property is excluded from forfeiture.</w:t>
      </w:r>
      <w:r w:rsidR="00A16EE2">
        <w:rPr>
          <w:rFonts w:asciiTheme="minorHAnsi" w:hAnsiTheme="minorHAnsi"/>
          <w:szCs w:val="22"/>
        </w:rPr>
        <w:t xml:space="preserve">  </w:t>
      </w:r>
      <w:r w:rsidR="008F1BEF">
        <w:rPr>
          <w:rFonts w:asciiTheme="minorHAnsi" w:hAnsiTheme="minorHAnsi"/>
          <w:szCs w:val="22"/>
        </w:rPr>
        <w:t>(</w:t>
      </w:r>
      <w:r w:rsidR="00A16EE2">
        <w:rPr>
          <w:rFonts w:asciiTheme="minorHAnsi" w:hAnsiTheme="minorHAnsi"/>
          <w:szCs w:val="22"/>
        </w:rPr>
        <w:t>The scheme is separate from the power of a court under Part 2-2 of the Act to order forfeiture of property.</w:t>
      </w:r>
      <w:r w:rsidR="008F1BEF">
        <w:rPr>
          <w:rFonts w:asciiTheme="minorHAnsi" w:hAnsiTheme="minorHAnsi"/>
          <w:szCs w:val="22"/>
        </w:rPr>
        <w:t>)  Under Part 2-3, forfeiture occurs at the end of a specified period after a person is</w:t>
      </w:r>
      <w:r w:rsidR="00A2701D">
        <w:rPr>
          <w:rFonts w:asciiTheme="minorHAnsi" w:hAnsiTheme="minorHAnsi"/>
          <w:szCs w:val="22"/>
        </w:rPr>
        <w:t xml:space="preserve"> convicted of a serious offence (s 92).  The specified period is either 6 months, or a longer period (up to 15 months after the conviction day) which is fixed by a court under s 93. </w:t>
      </w:r>
    </w:p>
    <w:p w14:paraId="47CAC1DF" w14:textId="77777777" w:rsidR="00B87046" w:rsidRPr="00B87046" w:rsidRDefault="00B87046" w:rsidP="00B87046">
      <w:pPr>
        <w:pStyle w:val="ListParagraph"/>
        <w:rPr>
          <w:rFonts w:asciiTheme="minorHAnsi" w:hAnsiTheme="minorHAnsi"/>
          <w:szCs w:val="22"/>
        </w:rPr>
      </w:pPr>
    </w:p>
    <w:p w14:paraId="6A0EE207" w14:textId="130A3DC8" w:rsidR="00C56D51" w:rsidRPr="00C56D51" w:rsidRDefault="00A2701D"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The person whose conviction triggers the forfeiture by operation of law</w:t>
      </w:r>
      <w:r w:rsidR="00B87046">
        <w:rPr>
          <w:rFonts w:asciiTheme="minorHAnsi" w:hAnsiTheme="minorHAnsi"/>
          <w:szCs w:val="22"/>
        </w:rPr>
        <w:t xml:space="preserve"> under Part 2-3 of the </w:t>
      </w:r>
      <w:r w:rsidR="00B87046" w:rsidRPr="00B87046">
        <w:rPr>
          <w:rFonts w:asciiTheme="minorHAnsi" w:hAnsiTheme="minorHAnsi"/>
          <w:i/>
          <w:szCs w:val="22"/>
        </w:rPr>
        <w:t>Proceeds of Crime Act</w:t>
      </w:r>
      <w:r w:rsidR="00B87046">
        <w:rPr>
          <w:rFonts w:asciiTheme="minorHAnsi" w:hAnsiTheme="minorHAnsi"/>
          <w:szCs w:val="22"/>
        </w:rPr>
        <w:t xml:space="preserve"> </w:t>
      </w:r>
      <w:r w:rsidR="00B87046" w:rsidRPr="00DA4E0A">
        <w:rPr>
          <w:rFonts w:asciiTheme="minorHAnsi" w:hAnsiTheme="minorHAnsi"/>
          <w:i/>
          <w:szCs w:val="22"/>
        </w:rPr>
        <w:t>2002</w:t>
      </w:r>
      <w:r w:rsidR="00B87046">
        <w:rPr>
          <w:rFonts w:asciiTheme="minorHAnsi" w:hAnsiTheme="minorHAnsi"/>
          <w:szCs w:val="22"/>
        </w:rPr>
        <w:t xml:space="preserve"> (Cth)</w:t>
      </w:r>
      <w:r>
        <w:rPr>
          <w:rFonts w:asciiTheme="minorHAnsi" w:hAnsiTheme="minorHAnsi"/>
          <w:szCs w:val="22"/>
        </w:rPr>
        <w:t xml:space="preserve"> </w:t>
      </w:r>
      <w:r w:rsidR="00B87046">
        <w:rPr>
          <w:rFonts w:asciiTheme="minorHAnsi" w:hAnsiTheme="minorHAnsi"/>
          <w:szCs w:val="22"/>
        </w:rPr>
        <w:t>need not be the owner, or the sole owner</w:t>
      </w:r>
      <w:r w:rsidR="00F01E10">
        <w:rPr>
          <w:rFonts w:asciiTheme="minorHAnsi" w:hAnsiTheme="minorHAnsi"/>
          <w:szCs w:val="22"/>
        </w:rPr>
        <w:t>,</w:t>
      </w:r>
      <w:r w:rsidR="00B87046">
        <w:rPr>
          <w:rFonts w:asciiTheme="minorHAnsi" w:hAnsiTheme="minorHAnsi"/>
          <w:szCs w:val="22"/>
        </w:rPr>
        <w:t xml:space="preserve"> of the property.  For example</w:t>
      </w:r>
      <w:r w:rsidR="00F01E10">
        <w:rPr>
          <w:rFonts w:asciiTheme="minorHAnsi" w:hAnsiTheme="minorHAnsi"/>
          <w:szCs w:val="22"/>
        </w:rPr>
        <w:t>,</w:t>
      </w:r>
      <w:r w:rsidR="00B87046">
        <w:rPr>
          <w:rFonts w:asciiTheme="minorHAnsi" w:hAnsiTheme="minorHAnsi"/>
          <w:szCs w:val="22"/>
        </w:rPr>
        <w:t xml:space="preserve"> a restraining order may apply to property </w:t>
      </w:r>
      <w:r w:rsidR="00F01E10">
        <w:rPr>
          <w:rFonts w:asciiTheme="minorHAnsi" w:hAnsiTheme="minorHAnsi"/>
          <w:szCs w:val="22"/>
        </w:rPr>
        <w:t xml:space="preserve">of another person </w:t>
      </w:r>
      <w:r w:rsidR="00B87046">
        <w:rPr>
          <w:rFonts w:asciiTheme="minorHAnsi" w:hAnsiTheme="minorHAnsi"/>
          <w:szCs w:val="22"/>
        </w:rPr>
        <w:t xml:space="preserve">which is merely </w:t>
      </w:r>
      <w:r w:rsidR="00B87046" w:rsidRPr="00E90120">
        <w:rPr>
          <w:rFonts w:asciiTheme="minorHAnsi" w:hAnsiTheme="minorHAnsi"/>
        </w:rPr>
        <w:t>under</w:t>
      </w:r>
      <w:r w:rsidR="00B87046">
        <w:rPr>
          <w:rFonts w:asciiTheme="minorHAnsi" w:hAnsiTheme="minorHAnsi"/>
          <w:szCs w:val="22"/>
        </w:rPr>
        <w:t xml:space="preserve"> the effective control of the relevant offender</w:t>
      </w:r>
      <w:r w:rsidR="00F01E10">
        <w:rPr>
          <w:rFonts w:asciiTheme="minorHAnsi" w:hAnsiTheme="minorHAnsi"/>
          <w:szCs w:val="22"/>
        </w:rPr>
        <w:t xml:space="preserve">, or if there are reasonable grounds to suspect that the property is </w:t>
      </w:r>
      <w:r w:rsidR="00F01E10" w:rsidRPr="00F01E10">
        <w:rPr>
          <w:rFonts w:asciiTheme="minorHAnsi" w:hAnsiTheme="minorHAnsi"/>
          <w:szCs w:val="22"/>
        </w:rPr>
        <w:t>proceeds of the offence or an instrument of the offence</w:t>
      </w:r>
      <w:r w:rsidR="00F01E10">
        <w:rPr>
          <w:rFonts w:asciiTheme="minorHAnsi" w:hAnsiTheme="minorHAnsi"/>
          <w:szCs w:val="22"/>
        </w:rPr>
        <w:t xml:space="preserve"> (s 17).  </w:t>
      </w:r>
      <w:r w:rsidR="00815329">
        <w:rPr>
          <w:rFonts w:asciiTheme="minorHAnsi" w:hAnsiTheme="minorHAnsi"/>
          <w:szCs w:val="22"/>
        </w:rPr>
        <w:t>Such property will be forfeited unless excluded from the restraining order or from forfeiture.</w:t>
      </w:r>
    </w:p>
    <w:p w14:paraId="632B4FAA" w14:textId="77777777" w:rsidR="00C56D51" w:rsidRPr="00C56D51" w:rsidRDefault="00C56D51" w:rsidP="00C56D51">
      <w:pPr>
        <w:pStyle w:val="ListParagraph"/>
        <w:rPr>
          <w:rFonts w:asciiTheme="minorHAnsi" w:hAnsiTheme="minorHAnsi"/>
        </w:rPr>
      </w:pPr>
    </w:p>
    <w:p w14:paraId="58A0DE21" w14:textId="56F1F845" w:rsidR="004859A5" w:rsidRDefault="00393088"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 xml:space="preserve">At </w:t>
      </w:r>
      <w:r w:rsidRPr="00C00000">
        <w:rPr>
          <w:rFonts w:asciiTheme="minorHAnsi" w:hAnsiTheme="minorHAnsi"/>
          <w:szCs w:val="22"/>
        </w:rPr>
        <w:t>common law</w:t>
      </w:r>
      <w:r>
        <w:rPr>
          <w:rFonts w:asciiTheme="minorHAnsi" w:hAnsiTheme="minorHAnsi"/>
          <w:szCs w:val="22"/>
        </w:rPr>
        <w:t xml:space="preserve">, </w:t>
      </w:r>
      <w:r w:rsidRPr="00C00000">
        <w:rPr>
          <w:rFonts w:asciiTheme="minorHAnsi" w:hAnsiTheme="minorHAnsi"/>
          <w:szCs w:val="22"/>
        </w:rPr>
        <w:t xml:space="preserve">a sentencing court </w:t>
      </w:r>
      <w:r>
        <w:rPr>
          <w:rFonts w:asciiTheme="minorHAnsi" w:hAnsiTheme="minorHAnsi"/>
          <w:szCs w:val="22"/>
        </w:rPr>
        <w:t xml:space="preserve">is required </w:t>
      </w:r>
      <w:r w:rsidRPr="00C00000">
        <w:rPr>
          <w:rFonts w:asciiTheme="minorHAnsi" w:hAnsiTheme="minorHAnsi"/>
          <w:szCs w:val="22"/>
        </w:rPr>
        <w:t>to take into account</w:t>
      </w:r>
      <w:r>
        <w:rPr>
          <w:rFonts w:asciiTheme="minorHAnsi" w:hAnsiTheme="minorHAnsi"/>
          <w:szCs w:val="22"/>
        </w:rPr>
        <w:t xml:space="preserve">, as a factor in mitigation, </w:t>
      </w:r>
      <w:r w:rsidRPr="00C00000">
        <w:rPr>
          <w:rFonts w:asciiTheme="minorHAnsi" w:hAnsiTheme="minorHAnsi"/>
          <w:szCs w:val="22"/>
        </w:rPr>
        <w:t xml:space="preserve">the fact </w:t>
      </w:r>
      <w:r>
        <w:rPr>
          <w:rFonts w:asciiTheme="minorHAnsi" w:hAnsiTheme="minorHAnsi"/>
          <w:szCs w:val="22"/>
        </w:rPr>
        <w:t xml:space="preserve">that </w:t>
      </w:r>
      <w:r w:rsidRPr="00C00000">
        <w:rPr>
          <w:rFonts w:asciiTheme="minorHAnsi" w:hAnsiTheme="minorHAnsi"/>
          <w:szCs w:val="22"/>
        </w:rPr>
        <w:t xml:space="preserve">property </w:t>
      </w:r>
      <w:r w:rsidR="004819AB">
        <w:rPr>
          <w:rFonts w:asciiTheme="minorHAnsi" w:hAnsiTheme="minorHAnsi"/>
          <w:szCs w:val="22"/>
        </w:rPr>
        <w:t xml:space="preserve">of the offender </w:t>
      </w:r>
      <w:r w:rsidRPr="00C00000">
        <w:rPr>
          <w:rFonts w:asciiTheme="minorHAnsi" w:hAnsiTheme="minorHAnsi"/>
          <w:szCs w:val="22"/>
        </w:rPr>
        <w:t xml:space="preserve">that was not the proceeds of crime </w:t>
      </w:r>
      <w:r w:rsidR="004A30A5">
        <w:rPr>
          <w:rFonts w:asciiTheme="minorHAnsi" w:hAnsiTheme="minorHAnsi"/>
          <w:szCs w:val="22"/>
        </w:rPr>
        <w:t>has been</w:t>
      </w:r>
      <w:r>
        <w:rPr>
          <w:rFonts w:asciiTheme="minorHAnsi" w:hAnsiTheme="minorHAnsi"/>
          <w:szCs w:val="22"/>
        </w:rPr>
        <w:t xml:space="preserve"> forfeit</w:t>
      </w:r>
      <w:r w:rsidR="004A30A5">
        <w:rPr>
          <w:rFonts w:asciiTheme="minorHAnsi" w:hAnsiTheme="minorHAnsi"/>
          <w:szCs w:val="22"/>
        </w:rPr>
        <w:t>ed</w:t>
      </w:r>
      <w:r>
        <w:rPr>
          <w:rFonts w:asciiTheme="minorHAnsi" w:hAnsiTheme="minorHAnsi"/>
          <w:szCs w:val="22"/>
        </w:rPr>
        <w:t>.</w:t>
      </w:r>
      <w:r w:rsidR="00557AA9" w:rsidRPr="00C00000">
        <w:rPr>
          <w:rStyle w:val="Style"/>
          <w:rFonts w:asciiTheme="minorHAnsi" w:hAnsiTheme="minorHAnsi"/>
        </w:rPr>
        <w:footnoteReference w:id="546"/>
      </w:r>
      <w:r>
        <w:rPr>
          <w:rFonts w:asciiTheme="minorHAnsi" w:hAnsiTheme="minorHAnsi"/>
          <w:szCs w:val="22"/>
        </w:rPr>
        <w:t xml:space="preserve">  </w:t>
      </w:r>
      <w:r w:rsidR="00967D10">
        <w:rPr>
          <w:rFonts w:asciiTheme="minorHAnsi" w:hAnsiTheme="minorHAnsi"/>
          <w:szCs w:val="22"/>
        </w:rPr>
        <w:t xml:space="preserve">The offender bears the onus of establishing that the forfeiture should be treated as mitigatory; this means, amongst other things, that the offender must </w:t>
      </w:r>
      <w:r w:rsidR="004A30A5">
        <w:rPr>
          <w:rFonts w:asciiTheme="minorHAnsi" w:hAnsiTheme="minorHAnsi"/>
          <w:szCs w:val="22"/>
        </w:rPr>
        <w:t xml:space="preserve">establish </w:t>
      </w:r>
      <w:r w:rsidR="004819AB">
        <w:rPr>
          <w:rFonts w:asciiTheme="minorHAnsi" w:hAnsiTheme="minorHAnsi"/>
          <w:szCs w:val="22"/>
        </w:rPr>
        <w:t>that the property was</w:t>
      </w:r>
      <w:r w:rsidR="00967D10">
        <w:rPr>
          <w:rFonts w:asciiTheme="minorHAnsi" w:hAnsiTheme="minorHAnsi"/>
          <w:szCs w:val="22"/>
        </w:rPr>
        <w:t xml:space="preserve"> not </w:t>
      </w:r>
      <w:r w:rsidR="004819AB">
        <w:rPr>
          <w:rFonts w:asciiTheme="minorHAnsi" w:hAnsiTheme="minorHAnsi"/>
          <w:szCs w:val="22"/>
        </w:rPr>
        <w:t xml:space="preserve">proceeds of crime. </w:t>
      </w:r>
      <w:r w:rsidR="00967D10">
        <w:rPr>
          <w:rFonts w:asciiTheme="minorHAnsi" w:hAnsiTheme="minorHAnsi"/>
          <w:szCs w:val="22"/>
        </w:rPr>
        <w:t xml:space="preserve"> </w:t>
      </w:r>
      <w:r>
        <w:rPr>
          <w:rFonts w:asciiTheme="minorHAnsi" w:hAnsiTheme="minorHAnsi"/>
          <w:szCs w:val="22"/>
        </w:rPr>
        <w:t xml:space="preserve">The </w:t>
      </w:r>
      <w:r w:rsidR="00E60711">
        <w:rPr>
          <w:rFonts w:asciiTheme="minorHAnsi" w:hAnsiTheme="minorHAnsi"/>
          <w:szCs w:val="22"/>
        </w:rPr>
        <w:t>common law</w:t>
      </w:r>
      <w:r>
        <w:rPr>
          <w:rFonts w:asciiTheme="minorHAnsi" w:hAnsiTheme="minorHAnsi"/>
          <w:szCs w:val="22"/>
        </w:rPr>
        <w:t xml:space="preserve"> principle</w:t>
      </w:r>
      <w:r w:rsidR="004A30A5">
        <w:rPr>
          <w:rFonts w:asciiTheme="minorHAnsi" w:hAnsiTheme="minorHAnsi"/>
          <w:szCs w:val="22"/>
        </w:rPr>
        <w:t>s</w:t>
      </w:r>
      <w:r>
        <w:rPr>
          <w:rFonts w:asciiTheme="minorHAnsi" w:hAnsiTheme="minorHAnsi"/>
          <w:szCs w:val="22"/>
        </w:rPr>
        <w:t xml:space="preserve"> appl</w:t>
      </w:r>
      <w:r w:rsidR="004A30A5">
        <w:rPr>
          <w:rFonts w:asciiTheme="minorHAnsi" w:hAnsiTheme="minorHAnsi"/>
          <w:szCs w:val="22"/>
        </w:rPr>
        <w:t>y</w:t>
      </w:r>
      <w:r w:rsidRPr="00C00000">
        <w:rPr>
          <w:rFonts w:asciiTheme="minorHAnsi" w:hAnsiTheme="minorHAnsi"/>
          <w:szCs w:val="22"/>
        </w:rPr>
        <w:t xml:space="preserve"> in </w:t>
      </w:r>
      <w:r>
        <w:rPr>
          <w:rFonts w:asciiTheme="minorHAnsi" w:hAnsiTheme="minorHAnsi"/>
          <w:szCs w:val="22"/>
        </w:rPr>
        <w:t xml:space="preserve">sentencing a </w:t>
      </w:r>
      <w:r w:rsidRPr="00C00000">
        <w:rPr>
          <w:rFonts w:asciiTheme="minorHAnsi" w:hAnsiTheme="minorHAnsi"/>
          <w:szCs w:val="22"/>
        </w:rPr>
        <w:t xml:space="preserve">federal </w:t>
      </w:r>
      <w:r>
        <w:rPr>
          <w:rFonts w:asciiTheme="minorHAnsi" w:hAnsiTheme="minorHAnsi"/>
          <w:szCs w:val="22"/>
        </w:rPr>
        <w:t xml:space="preserve">offender, </w:t>
      </w:r>
      <w:r w:rsidRPr="00C00000">
        <w:rPr>
          <w:rFonts w:asciiTheme="minorHAnsi" w:hAnsiTheme="minorHAnsi"/>
          <w:szCs w:val="22"/>
        </w:rPr>
        <w:t xml:space="preserve">as </w:t>
      </w:r>
      <w:r w:rsidR="004A30A5">
        <w:rPr>
          <w:rFonts w:asciiTheme="minorHAnsi" w:hAnsiTheme="minorHAnsi"/>
          <w:szCs w:val="22"/>
        </w:rPr>
        <w:t>they are</w:t>
      </w:r>
      <w:r>
        <w:rPr>
          <w:rFonts w:asciiTheme="minorHAnsi" w:hAnsiTheme="minorHAnsi"/>
          <w:szCs w:val="22"/>
        </w:rPr>
        <w:t xml:space="preserve"> </w:t>
      </w:r>
      <w:r w:rsidRPr="00C00000">
        <w:rPr>
          <w:rFonts w:asciiTheme="minorHAnsi" w:hAnsiTheme="minorHAnsi"/>
          <w:szCs w:val="22"/>
        </w:rPr>
        <w:t xml:space="preserve">not excluded by </w:t>
      </w:r>
      <w:r>
        <w:rPr>
          <w:rFonts w:asciiTheme="minorHAnsi" w:hAnsiTheme="minorHAnsi"/>
          <w:szCs w:val="22"/>
        </w:rPr>
        <w:t xml:space="preserve">or inconsistent with </w:t>
      </w:r>
      <w:r w:rsidRPr="00C00000">
        <w:rPr>
          <w:rFonts w:asciiTheme="minorHAnsi" w:hAnsiTheme="minorHAnsi"/>
          <w:szCs w:val="22"/>
        </w:rPr>
        <w:t>federal legislation.</w:t>
      </w:r>
      <w:r w:rsidRPr="00C00000">
        <w:rPr>
          <w:rStyle w:val="Style"/>
          <w:rFonts w:asciiTheme="minorHAnsi" w:hAnsiTheme="minorHAnsi"/>
        </w:rPr>
        <w:footnoteReference w:id="547"/>
      </w:r>
      <w:r w:rsidRPr="00C00000">
        <w:rPr>
          <w:rFonts w:asciiTheme="minorHAnsi" w:hAnsiTheme="minorHAnsi"/>
          <w:szCs w:val="22"/>
        </w:rPr>
        <w:t xml:space="preserve"> </w:t>
      </w:r>
      <w:r w:rsidR="00CC71A8">
        <w:rPr>
          <w:rFonts w:asciiTheme="minorHAnsi" w:hAnsiTheme="minorHAnsi"/>
          <w:szCs w:val="22"/>
        </w:rPr>
        <w:t xml:space="preserve"> </w:t>
      </w:r>
    </w:p>
    <w:p w14:paraId="2E5D3AAB" w14:textId="77777777" w:rsidR="004859A5" w:rsidRPr="004859A5" w:rsidRDefault="004859A5" w:rsidP="004859A5">
      <w:pPr>
        <w:pStyle w:val="ListParagraph"/>
        <w:rPr>
          <w:rFonts w:asciiTheme="minorHAnsi" w:hAnsiTheme="minorHAnsi"/>
        </w:rPr>
      </w:pPr>
    </w:p>
    <w:p w14:paraId="133A4E9D" w14:textId="4275922E" w:rsidR="00393088" w:rsidRPr="00C00000" w:rsidRDefault="00C9444B" w:rsidP="00EB7F1E">
      <w:pPr>
        <w:pStyle w:val="ListParagraph"/>
        <w:numPr>
          <w:ilvl w:val="0"/>
          <w:numId w:val="7"/>
        </w:numPr>
        <w:spacing w:line="276" w:lineRule="auto"/>
        <w:ind w:left="425" w:hanging="425"/>
        <w:contextualSpacing w:val="0"/>
        <w:rPr>
          <w:rFonts w:asciiTheme="minorHAnsi" w:hAnsiTheme="minorHAnsi"/>
          <w:szCs w:val="22"/>
        </w:rPr>
      </w:pPr>
      <w:r w:rsidRPr="00C00000">
        <w:rPr>
          <w:rFonts w:asciiTheme="minorHAnsi" w:hAnsiTheme="minorHAnsi"/>
        </w:rPr>
        <w:t>In addition, if property</w:t>
      </w:r>
      <w:r>
        <w:rPr>
          <w:rFonts w:asciiTheme="minorHAnsi" w:hAnsiTheme="minorHAnsi"/>
        </w:rPr>
        <w:t xml:space="preserve"> which is not proceeds of crime</w:t>
      </w:r>
      <w:r w:rsidRPr="00C00000">
        <w:rPr>
          <w:rFonts w:asciiTheme="minorHAnsi" w:hAnsiTheme="minorHAnsi"/>
        </w:rPr>
        <w:t xml:space="preserve"> is likely to be forfeited this is also relevant to sentencing and must be taken into account where it is known.</w:t>
      </w:r>
      <w:r w:rsidRPr="00C00000">
        <w:rPr>
          <w:rStyle w:val="Style"/>
          <w:rFonts w:asciiTheme="minorHAnsi" w:hAnsiTheme="minorHAnsi"/>
        </w:rPr>
        <w:footnoteReference w:id="548"/>
      </w:r>
      <w:r>
        <w:rPr>
          <w:rFonts w:asciiTheme="minorHAnsi" w:hAnsiTheme="minorHAnsi"/>
        </w:rPr>
        <w:t xml:space="preserve">  However</w:t>
      </w:r>
      <w:r w:rsidRPr="004128B5">
        <w:rPr>
          <w:rFonts w:asciiTheme="minorHAnsi" w:hAnsiTheme="minorHAnsi"/>
        </w:rPr>
        <w:t xml:space="preserve">, it will often be difficult for a sentencing court to assess the likelihood that </w:t>
      </w:r>
      <w:r>
        <w:rPr>
          <w:rFonts w:asciiTheme="minorHAnsi" w:hAnsiTheme="minorHAnsi"/>
        </w:rPr>
        <w:t xml:space="preserve">property </w:t>
      </w:r>
      <w:r w:rsidR="00967D10">
        <w:rPr>
          <w:rFonts w:asciiTheme="minorHAnsi" w:hAnsiTheme="minorHAnsi"/>
        </w:rPr>
        <w:t xml:space="preserve">of the offender </w:t>
      </w:r>
      <w:r>
        <w:rPr>
          <w:rFonts w:asciiTheme="minorHAnsi" w:hAnsiTheme="minorHAnsi"/>
        </w:rPr>
        <w:t xml:space="preserve">will be subject to forfeiture by operation of law </w:t>
      </w:r>
      <w:r w:rsidR="00967D10">
        <w:rPr>
          <w:rFonts w:asciiTheme="minorHAnsi" w:hAnsiTheme="minorHAnsi"/>
        </w:rPr>
        <w:t xml:space="preserve">or </w:t>
      </w:r>
      <w:r>
        <w:rPr>
          <w:rFonts w:asciiTheme="minorHAnsi" w:hAnsiTheme="minorHAnsi"/>
        </w:rPr>
        <w:t xml:space="preserve">the extent to which </w:t>
      </w:r>
      <w:r w:rsidR="00967D10">
        <w:rPr>
          <w:rFonts w:asciiTheme="minorHAnsi" w:hAnsiTheme="minorHAnsi"/>
        </w:rPr>
        <w:t xml:space="preserve">such </w:t>
      </w:r>
      <w:r>
        <w:rPr>
          <w:rFonts w:asciiTheme="minorHAnsi" w:hAnsiTheme="minorHAnsi"/>
        </w:rPr>
        <w:t xml:space="preserve">property </w:t>
      </w:r>
      <w:r w:rsidR="00967D10">
        <w:rPr>
          <w:rFonts w:asciiTheme="minorHAnsi" w:hAnsiTheme="minorHAnsi"/>
        </w:rPr>
        <w:t>is not the proceeds of crime</w:t>
      </w:r>
      <w:r w:rsidRPr="004128B5">
        <w:rPr>
          <w:rFonts w:asciiTheme="minorHAnsi" w:hAnsiTheme="minorHAnsi"/>
        </w:rPr>
        <w:t>.</w:t>
      </w:r>
      <w:r w:rsidRPr="00C00000">
        <w:rPr>
          <w:rStyle w:val="Style"/>
          <w:rFonts w:asciiTheme="minorHAnsi" w:hAnsiTheme="minorHAnsi"/>
        </w:rPr>
        <w:footnoteReference w:id="549"/>
      </w:r>
      <w:r w:rsidRPr="004128B5">
        <w:rPr>
          <w:rFonts w:asciiTheme="minorHAnsi" w:hAnsiTheme="minorHAnsi"/>
        </w:rPr>
        <w:t xml:space="preserve">  </w:t>
      </w:r>
      <w:r>
        <w:rPr>
          <w:rFonts w:asciiTheme="minorHAnsi" w:hAnsiTheme="minorHAnsi"/>
        </w:rPr>
        <w:t>A</w:t>
      </w:r>
      <w:r w:rsidRPr="004128B5">
        <w:rPr>
          <w:rFonts w:asciiTheme="minorHAnsi" w:hAnsiTheme="minorHAnsi"/>
        </w:rPr>
        <w:t xml:space="preserve"> sentencing </w:t>
      </w:r>
      <w:r>
        <w:rPr>
          <w:rFonts w:asciiTheme="minorHAnsi" w:hAnsiTheme="minorHAnsi"/>
        </w:rPr>
        <w:t>court</w:t>
      </w:r>
      <w:r w:rsidRPr="004128B5">
        <w:rPr>
          <w:rFonts w:asciiTheme="minorHAnsi" w:hAnsiTheme="minorHAnsi"/>
        </w:rPr>
        <w:t xml:space="preserve"> is not required to speculate </w:t>
      </w:r>
      <w:r>
        <w:rPr>
          <w:rFonts w:asciiTheme="minorHAnsi" w:hAnsiTheme="minorHAnsi"/>
        </w:rPr>
        <w:t xml:space="preserve">about </w:t>
      </w:r>
      <w:r w:rsidR="00967D10">
        <w:rPr>
          <w:rFonts w:asciiTheme="minorHAnsi" w:hAnsiTheme="minorHAnsi"/>
        </w:rPr>
        <w:t>these matters</w:t>
      </w:r>
      <w:r>
        <w:rPr>
          <w:rFonts w:asciiTheme="minorHAnsi" w:hAnsiTheme="minorHAnsi"/>
        </w:rPr>
        <w:t>.</w:t>
      </w:r>
      <w:r w:rsidRPr="00C00000">
        <w:rPr>
          <w:rStyle w:val="Style"/>
          <w:rFonts w:asciiTheme="minorHAnsi" w:hAnsiTheme="minorHAnsi"/>
        </w:rPr>
        <w:footnoteReference w:id="550"/>
      </w:r>
      <w:r>
        <w:rPr>
          <w:rFonts w:asciiTheme="minorHAnsi" w:hAnsiTheme="minorHAnsi"/>
        </w:rPr>
        <w:t xml:space="preserve">  An </w:t>
      </w:r>
      <w:r w:rsidRPr="004128B5">
        <w:rPr>
          <w:rFonts w:asciiTheme="minorHAnsi" w:hAnsiTheme="minorHAnsi"/>
        </w:rPr>
        <w:t xml:space="preserve">offender </w:t>
      </w:r>
      <w:r>
        <w:rPr>
          <w:rFonts w:asciiTheme="minorHAnsi" w:hAnsiTheme="minorHAnsi"/>
        </w:rPr>
        <w:t>who relies</w:t>
      </w:r>
      <w:r w:rsidRPr="00485B7F">
        <w:rPr>
          <w:rFonts w:asciiTheme="minorHAnsi" w:hAnsiTheme="minorHAnsi"/>
        </w:rPr>
        <w:t xml:space="preserve"> </w:t>
      </w:r>
      <w:r>
        <w:rPr>
          <w:rFonts w:asciiTheme="minorHAnsi" w:hAnsiTheme="minorHAnsi"/>
        </w:rPr>
        <w:t>on the prospect of such forfeiture as a mitigating factor must satisfy the court accordingly.  That is, the offender must persuade the court that property is likely to be forfeited, and that at least some of the property is not proceeds of the crime.  If</w:t>
      </w:r>
      <w:r w:rsidRPr="004128B5">
        <w:rPr>
          <w:rFonts w:asciiTheme="minorHAnsi" w:hAnsiTheme="minorHAnsi"/>
        </w:rPr>
        <w:t xml:space="preserve"> the information available is insufficient to enable the sentencing judge to make an assessment of the likelihood of forfeiture or its likely effect there will be no error in declining to take this into account</w:t>
      </w:r>
      <w:r>
        <w:rPr>
          <w:rFonts w:asciiTheme="minorHAnsi" w:hAnsiTheme="minorHAnsi"/>
        </w:rPr>
        <w:t>.</w:t>
      </w:r>
      <w:r w:rsidRPr="00C00000">
        <w:rPr>
          <w:rStyle w:val="Style"/>
          <w:rFonts w:asciiTheme="minorHAnsi" w:hAnsiTheme="minorHAnsi"/>
        </w:rPr>
        <w:footnoteReference w:id="551"/>
      </w:r>
      <w:r>
        <w:rPr>
          <w:rFonts w:asciiTheme="minorHAnsi" w:hAnsiTheme="minorHAnsi"/>
        </w:rPr>
        <w:t xml:space="preserve">  </w:t>
      </w:r>
    </w:p>
    <w:p w14:paraId="36247C93" w14:textId="77777777" w:rsidR="00883AEB" w:rsidRPr="00C00000" w:rsidRDefault="00883AEB" w:rsidP="00883AEB">
      <w:pPr>
        <w:pStyle w:val="ListParagraph"/>
        <w:widowControl w:val="0"/>
        <w:spacing w:line="276" w:lineRule="auto"/>
        <w:ind w:left="567" w:right="170" w:hanging="567"/>
        <w:rPr>
          <w:rFonts w:asciiTheme="minorHAnsi" w:hAnsiTheme="minorHAnsi"/>
        </w:rPr>
      </w:pPr>
    </w:p>
    <w:p w14:paraId="66DD50FF" w14:textId="58B85C5F" w:rsidR="00CC71A8" w:rsidRPr="00C00000" w:rsidRDefault="00CC71A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weight </w:t>
      </w:r>
      <w:r w:rsidR="00E50620">
        <w:rPr>
          <w:rFonts w:asciiTheme="minorHAnsi" w:hAnsiTheme="minorHAnsi"/>
        </w:rPr>
        <w:t xml:space="preserve">(if any) </w:t>
      </w:r>
      <w:r>
        <w:rPr>
          <w:rFonts w:asciiTheme="minorHAnsi" w:hAnsiTheme="minorHAnsi"/>
        </w:rPr>
        <w:t xml:space="preserve">to be given to the forfeiture, or likely forfeiture, of property that is not proceeds of crime will depend upon all the circumstances.  </w:t>
      </w:r>
    </w:p>
    <w:p w14:paraId="1AA111F7" w14:textId="77777777" w:rsidR="00883AEB" w:rsidRPr="00C00000" w:rsidRDefault="00883AEB" w:rsidP="00883AEB">
      <w:pPr>
        <w:pStyle w:val="ListParagraph"/>
        <w:widowControl w:val="0"/>
        <w:spacing w:line="276" w:lineRule="auto"/>
        <w:ind w:left="567" w:right="170" w:hanging="567"/>
        <w:rPr>
          <w:rFonts w:asciiTheme="minorHAnsi" w:hAnsiTheme="minorHAnsi"/>
        </w:rPr>
      </w:pPr>
    </w:p>
    <w:p w14:paraId="606132D4" w14:textId="3977240A" w:rsidR="009D058E" w:rsidRPr="00007FDA" w:rsidRDefault="009D058E" w:rsidP="00C14A45">
      <w:pPr>
        <w:pStyle w:val="Heading3"/>
      </w:pPr>
      <w:bookmarkStart w:id="1527" w:name="_Ref2007683"/>
      <w:bookmarkStart w:id="1528" w:name="_Ref2007691"/>
      <w:bookmarkStart w:id="1529" w:name="_Toc33602812"/>
      <w:r w:rsidRPr="00007FDA">
        <w:t xml:space="preserve">Superannuation </w:t>
      </w:r>
      <w:r w:rsidR="00007FDA" w:rsidRPr="00007FDA">
        <w:t>order</w:t>
      </w:r>
      <w:bookmarkEnd w:id="1527"/>
      <w:bookmarkEnd w:id="1528"/>
      <w:bookmarkEnd w:id="1529"/>
    </w:p>
    <w:p w14:paraId="0BE7E3FB" w14:textId="77777777" w:rsidR="009D058E" w:rsidRPr="00C00000" w:rsidRDefault="009D058E" w:rsidP="00C14A45">
      <w:pPr>
        <w:pStyle w:val="ListParagraph"/>
        <w:keepNext/>
        <w:spacing w:line="276" w:lineRule="auto"/>
        <w:ind w:left="567" w:hanging="567"/>
        <w:contextualSpacing w:val="0"/>
        <w:rPr>
          <w:rFonts w:asciiTheme="minorHAnsi" w:hAnsiTheme="minorHAnsi"/>
        </w:rPr>
      </w:pPr>
    </w:p>
    <w:p w14:paraId="4BAB2BF0" w14:textId="2D0B7CBD" w:rsidR="001128A6" w:rsidRDefault="001128A6" w:rsidP="00EB7F1E">
      <w:pPr>
        <w:pStyle w:val="ListParagraph"/>
        <w:numPr>
          <w:ilvl w:val="0"/>
          <w:numId w:val="7"/>
        </w:numPr>
        <w:spacing w:line="276" w:lineRule="auto"/>
        <w:ind w:left="425" w:hanging="425"/>
        <w:contextualSpacing w:val="0"/>
        <w:rPr>
          <w:rFonts w:asciiTheme="minorHAnsi" w:hAnsiTheme="minorHAnsi"/>
        </w:rPr>
      </w:pPr>
      <w:bookmarkStart w:id="1530" w:name="_Ref469911005"/>
      <w:r w:rsidRPr="00CC11EA">
        <w:rPr>
          <w:rFonts w:asciiTheme="minorHAnsi" w:hAnsiTheme="minorHAnsi"/>
        </w:rPr>
        <w:t xml:space="preserve">The </w:t>
      </w:r>
      <w:r w:rsidRPr="00CC11EA">
        <w:rPr>
          <w:rFonts w:asciiTheme="minorHAnsi" w:hAnsiTheme="minorHAnsi"/>
          <w:i/>
        </w:rPr>
        <w:t>Crimes (Superannuation Benefits) Act 1989</w:t>
      </w:r>
      <w:r w:rsidRPr="00CC11EA">
        <w:rPr>
          <w:rFonts w:asciiTheme="minorHAnsi" w:hAnsiTheme="minorHAnsi"/>
        </w:rPr>
        <w:t xml:space="preserve"> (Cth) provides for the making of a superannuation order.  </w:t>
      </w:r>
      <w:r w:rsidR="00DA4E0A">
        <w:rPr>
          <w:rFonts w:asciiTheme="minorHAnsi" w:hAnsiTheme="minorHAnsi"/>
        </w:rPr>
        <w:t>In summary, a</w:t>
      </w:r>
      <w:r w:rsidRPr="00CC11EA">
        <w:rPr>
          <w:rFonts w:asciiTheme="minorHAnsi" w:hAnsiTheme="minorHAnsi"/>
        </w:rPr>
        <w:t xml:space="preserve"> superannuation order is an order forfeiting the Commonwealth</w:t>
      </w:r>
      <w:r w:rsidR="00AA693C">
        <w:rPr>
          <w:rFonts w:asciiTheme="minorHAnsi" w:hAnsiTheme="minorHAnsi"/>
        </w:rPr>
        <w:t>’</w:t>
      </w:r>
      <w:r w:rsidRPr="00CC11EA">
        <w:rPr>
          <w:rFonts w:asciiTheme="minorHAnsi" w:hAnsiTheme="minorHAnsi"/>
        </w:rPr>
        <w:t xml:space="preserve">s contribution to the superannuation of a Commonwealth </w:t>
      </w:r>
      <w:r w:rsidR="002430EC" w:rsidRPr="00CC11EA">
        <w:rPr>
          <w:rFonts w:asciiTheme="minorHAnsi" w:hAnsiTheme="minorHAnsi"/>
        </w:rPr>
        <w:t>public servant who has been convicted of a corruption offence</w:t>
      </w:r>
      <w:r w:rsidRPr="00CC11EA">
        <w:rPr>
          <w:rFonts w:asciiTheme="minorHAnsi" w:hAnsiTheme="minorHAnsi"/>
        </w:rPr>
        <w:t>.</w:t>
      </w:r>
      <w:r w:rsidRPr="00C00000">
        <w:rPr>
          <w:rStyle w:val="Style"/>
          <w:rFonts w:asciiTheme="minorHAnsi" w:hAnsiTheme="minorHAnsi"/>
        </w:rPr>
        <w:footnoteReference w:id="552"/>
      </w:r>
      <w:r w:rsidR="002430EC" w:rsidRPr="00CC11EA">
        <w:rPr>
          <w:rFonts w:asciiTheme="minorHAnsi" w:hAnsiTheme="minorHAnsi"/>
        </w:rPr>
        <w:t xml:space="preserve">  Part VA of the </w:t>
      </w:r>
      <w:r w:rsidR="002430EC" w:rsidRPr="00CC11EA">
        <w:rPr>
          <w:rFonts w:asciiTheme="minorHAnsi" w:hAnsiTheme="minorHAnsi"/>
          <w:i/>
        </w:rPr>
        <w:t>Australian Federal Police Act 1979</w:t>
      </w:r>
      <w:r w:rsidR="002430EC" w:rsidRPr="00CC11EA">
        <w:rPr>
          <w:rFonts w:asciiTheme="minorHAnsi" w:hAnsiTheme="minorHAnsi"/>
        </w:rPr>
        <w:t xml:space="preserve"> </w:t>
      </w:r>
      <w:r w:rsidR="00CC11EA">
        <w:rPr>
          <w:rFonts w:asciiTheme="minorHAnsi" w:hAnsiTheme="minorHAnsi"/>
        </w:rPr>
        <w:t xml:space="preserve">(Cth) </w:t>
      </w:r>
      <w:r w:rsidR="002430EC" w:rsidRPr="00CC11EA">
        <w:rPr>
          <w:rFonts w:asciiTheme="minorHAnsi" w:hAnsiTheme="minorHAnsi"/>
        </w:rPr>
        <w:t>similar</w:t>
      </w:r>
      <w:r w:rsidR="001070F1">
        <w:rPr>
          <w:rFonts w:asciiTheme="minorHAnsi" w:hAnsiTheme="minorHAnsi"/>
        </w:rPr>
        <w:t>ly</w:t>
      </w:r>
      <w:r w:rsidR="002430EC" w:rsidRPr="00CC11EA">
        <w:rPr>
          <w:rFonts w:asciiTheme="minorHAnsi" w:hAnsiTheme="minorHAnsi"/>
        </w:rPr>
        <w:t xml:space="preserve"> provi</w:t>
      </w:r>
      <w:r w:rsidR="001070F1">
        <w:rPr>
          <w:rFonts w:asciiTheme="minorHAnsi" w:hAnsiTheme="minorHAnsi"/>
        </w:rPr>
        <w:t>des</w:t>
      </w:r>
      <w:r w:rsidR="002430EC" w:rsidRPr="00CC11EA">
        <w:rPr>
          <w:rFonts w:asciiTheme="minorHAnsi" w:hAnsiTheme="minorHAnsi"/>
        </w:rPr>
        <w:t xml:space="preserve"> for the making of a superannuation order in relation to </w:t>
      </w:r>
      <w:r w:rsidR="00CC11EA" w:rsidRPr="00CC11EA">
        <w:rPr>
          <w:rFonts w:asciiTheme="minorHAnsi" w:hAnsiTheme="minorHAnsi"/>
        </w:rPr>
        <w:t xml:space="preserve">an employee or </w:t>
      </w:r>
      <w:r w:rsidR="004751AA" w:rsidRPr="00CC11EA">
        <w:rPr>
          <w:rFonts w:asciiTheme="minorHAnsi" w:hAnsiTheme="minorHAnsi"/>
        </w:rPr>
        <w:t>member of the Australian Federal Police</w:t>
      </w:r>
      <w:r w:rsidR="00CC11EA">
        <w:rPr>
          <w:rFonts w:asciiTheme="minorHAnsi" w:hAnsiTheme="minorHAnsi"/>
        </w:rPr>
        <w:t>.</w:t>
      </w:r>
    </w:p>
    <w:p w14:paraId="3D0DFCEB" w14:textId="77777777" w:rsidR="00CC11EA" w:rsidRPr="00CC11EA" w:rsidRDefault="00CC11EA" w:rsidP="00CC11EA">
      <w:pPr>
        <w:widowControl w:val="0"/>
        <w:spacing w:line="276" w:lineRule="auto"/>
        <w:ind w:right="28"/>
        <w:rPr>
          <w:rFonts w:asciiTheme="minorHAnsi" w:hAnsiTheme="minorHAnsi"/>
        </w:rPr>
      </w:pPr>
    </w:p>
    <w:p w14:paraId="68E91D36" w14:textId="34A0F6B6" w:rsidR="001128A6" w:rsidRDefault="009D058E"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 court sentencing</w:t>
      </w:r>
      <w:r w:rsidR="00393088">
        <w:rPr>
          <w:rFonts w:asciiTheme="minorHAnsi" w:hAnsiTheme="minorHAnsi"/>
        </w:rPr>
        <w:t xml:space="preserve"> a federal offender</w:t>
      </w:r>
      <w:r w:rsidRPr="00C00000">
        <w:rPr>
          <w:rFonts w:asciiTheme="minorHAnsi" w:hAnsiTheme="minorHAnsi"/>
        </w:rPr>
        <w:t xml:space="preserve"> is precluded from taking into account the possibility that a superannuation order may be made</w:t>
      </w:r>
      <w:r w:rsidR="00393088">
        <w:rPr>
          <w:rFonts w:asciiTheme="minorHAnsi" w:hAnsiTheme="minorHAnsi"/>
        </w:rPr>
        <w:t>,</w:t>
      </w:r>
      <w:r w:rsidRPr="00C00000">
        <w:rPr>
          <w:rFonts w:asciiTheme="minorHAnsi" w:hAnsiTheme="minorHAnsi"/>
        </w:rPr>
        <w:t xml:space="preserve"> where a person is convicted of an offence punishable by imprisonment for a term longer than 12 months.</w:t>
      </w:r>
      <w:r w:rsidRPr="00C00000">
        <w:rPr>
          <w:rStyle w:val="Style"/>
          <w:rFonts w:asciiTheme="minorHAnsi" w:hAnsiTheme="minorHAnsi"/>
        </w:rPr>
        <w:footnoteReference w:id="553"/>
      </w:r>
      <w:r w:rsidRPr="00C00000">
        <w:rPr>
          <w:rFonts w:asciiTheme="minorHAnsi" w:hAnsiTheme="minorHAnsi"/>
        </w:rPr>
        <w:t xml:space="preserve">  </w:t>
      </w:r>
    </w:p>
    <w:p w14:paraId="4BC42FC9" w14:textId="77777777" w:rsidR="001128A6" w:rsidRPr="001128A6" w:rsidRDefault="001128A6" w:rsidP="001128A6">
      <w:pPr>
        <w:widowControl w:val="0"/>
        <w:spacing w:line="276" w:lineRule="auto"/>
        <w:ind w:right="28"/>
        <w:rPr>
          <w:rFonts w:asciiTheme="minorHAnsi" w:hAnsiTheme="minorHAnsi"/>
        </w:rPr>
      </w:pPr>
    </w:p>
    <w:p w14:paraId="5B0593C8" w14:textId="3FD40677" w:rsidR="002802C2" w:rsidRPr="00EC2A6E" w:rsidRDefault="007B68FC" w:rsidP="00C14A45">
      <w:pPr>
        <w:pStyle w:val="Heading3"/>
        <w:rPr>
          <w:bCs/>
        </w:rPr>
      </w:pPr>
      <w:bookmarkStart w:id="1531" w:name="_Ref2007707"/>
      <w:bookmarkStart w:id="1532" w:name="_Ref2007722"/>
      <w:bookmarkStart w:id="1533" w:name="_Toc33602813"/>
      <w:bookmarkEnd w:id="1530"/>
      <w:r w:rsidRPr="00EC2A6E">
        <w:rPr>
          <w:bCs/>
        </w:rPr>
        <w:t>Registration of sexual offender</w:t>
      </w:r>
      <w:r w:rsidR="0061030C" w:rsidRPr="00EC2A6E">
        <w:rPr>
          <w:bCs/>
        </w:rPr>
        <w:t>s and other offenders</w:t>
      </w:r>
      <w:bookmarkEnd w:id="1531"/>
      <w:bookmarkEnd w:id="1532"/>
      <w:bookmarkEnd w:id="1533"/>
      <w:r w:rsidRPr="00EC2A6E">
        <w:rPr>
          <w:bCs/>
        </w:rPr>
        <w:t xml:space="preserve"> </w:t>
      </w:r>
    </w:p>
    <w:p w14:paraId="66F2B8C4" w14:textId="77777777" w:rsidR="00E51179" w:rsidRPr="00EC2A6E" w:rsidRDefault="00E51179" w:rsidP="00C14A45">
      <w:pPr>
        <w:keepNext/>
        <w:spacing w:line="276" w:lineRule="auto"/>
        <w:ind w:left="567"/>
        <w:rPr>
          <w:rFonts w:asciiTheme="minorHAnsi" w:hAnsiTheme="minorHAnsi"/>
        </w:rPr>
      </w:pPr>
    </w:p>
    <w:p w14:paraId="5E72222C" w14:textId="2A7A0282" w:rsidR="000B5768" w:rsidRPr="00EC2A6E" w:rsidRDefault="009F2E27"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Each</w:t>
      </w:r>
      <w:r w:rsidR="00E9537A" w:rsidRPr="00EC2A6E">
        <w:rPr>
          <w:rFonts w:asciiTheme="minorHAnsi" w:hAnsiTheme="minorHAnsi"/>
        </w:rPr>
        <w:t xml:space="preserve"> State and Territory </w:t>
      </w:r>
      <w:r w:rsidRPr="00EC2A6E">
        <w:rPr>
          <w:rFonts w:asciiTheme="minorHAnsi" w:hAnsiTheme="minorHAnsi"/>
        </w:rPr>
        <w:t xml:space="preserve">has </w:t>
      </w:r>
      <w:r w:rsidR="00E9537A" w:rsidRPr="00EC2A6E">
        <w:rPr>
          <w:rFonts w:asciiTheme="minorHAnsi" w:hAnsiTheme="minorHAnsi"/>
        </w:rPr>
        <w:t xml:space="preserve">laws </w:t>
      </w:r>
      <w:r w:rsidRPr="00EC2A6E">
        <w:rPr>
          <w:rFonts w:asciiTheme="minorHAnsi" w:hAnsiTheme="minorHAnsi"/>
        </w:rPr>
        <w:t xml:space="preserve">which </w:t>
      </w:r>
      <w:r w:rsidR="00E9537A" w:rsidRPr="00EC2A6E">
        <w:rPr>
          <w:rFonts w:asciiTheme="minorHAnsi" w:hAnsiTheme="minorHAnsi"/>
        </w:rPr>
        <w:t xml:space="preserve">provide for </w:t>
      </w:r>
      <w:r w:rsidR="007B68FC" w:rsidRPr="00EC2A6E">
        <w:rPr>
          <w:rFonts w:asciiTheme="minorHAnsi" w:hAnsiTheme="minorHAnsi"/>
        </w:rPr>
        <w:t xml:space="preserve">statutory consequences following from the sentencing of a person for </w:t>
      </w:r>
      <w:r w:rsidRPr="00EC2A6E">
        <w:rPr>
          <w:rFonts w:asciiTheme="minorHAnsi" w:hAnsiTheme="minorHAnsi"/>
        </w:rPr>
        <w:t xml:space="preserve">sexual </w:t>
      </w:r>
      <w:r w:rsidR="007B68FC" w:rsidRPr="00EC2A6E">
        <w:rPr>
          <w:rFonts w:asciiTheme="minorHAnsi" w:hAnsiTheme="minorHAnsi"/>
        </w:rPr>
        <w:t>offence</w:t>
      </w:r>
      <w:r w:rsidRPr="00EC2A6E">
        <w:rPr>
          <w:rFonts w:asciiTheme="minorHAnsi" w:hAnsiTheme="minorHAnsi"/>
        </w:rPr>
        <w:t>s</w:t>
      </w:r>
      <w:r w:rsidR="00BC16AA" w:rsidRPr="00EC2A6E">
        <w:rPr>
          <w:rFonts w:asciiTheme="minorHAnsi" w:hAnsiTheme="minorHAnsi"/>
        </w:rPr>
        <w:t xml:space="preserve"> against children</w:t>
      </w:r>
      <w:r w:rsidR="007B68FC" w:rsidRPr="00EC2A6E">
        <w:rPr>
          <w:rFonts w:asciiTheme="minorHAnsi" w:hAnsiTheme="minorHAnsi"/>
        </w:rPr>
        <w:t>.</w:t>
      </w:r>
      <w:r w:rsidR="00440E7D" w:rsidRPr="00EC2A6E">
        <w:rPr>
          <w:rStyle w:val="Style"/>
          <w:rFonts w:asciiTheme="minorHAnsi" w:hAnsiTheme="minorHAnsi"/>
        </w:rPr>
        <w:footnoteReference w:id="554"/>
      </w:r>
      <w:r w:rsidR="007B68FC" w:rsidRPr="00EC2A6E">
        <w:rPr>
          <w:rFonts w:asciiTheme="minorHAnsi" w:hAnsiTheme="minorHAnsi"/>
        </w:rPr>
        <w:t xml:space="preserve">  </w:t>
      </w:r>
      <w:r w:rsidR="00BC16AA" w:rsidRPr="00EC2A6E">
        <w:rPr>
          <w:rFonts w:asciiTheme="minorHAnsi" w:hAnsiTheme="minorHAnsi"/>
        </w:rPr>
        <w:t xml:space="preserve">Some </w:t>
      </w:r>
      <w:r w:rsidR="000B5768" w:rsidRPr="00EC2A6E">
        <w:rPr>
          <w:rFonts w:asciiTheme="minorHAnsi" w:hAnsiTheme="minorHAnsi"/>
        </w:rPr>
        <w:t xml:space="preserve">such laws </w:t>
      </w:r>
      <w:r w:rsidR="00BC16AA" w:rsidRPr="00EC2A6E">
        <w:rPr>
          <w:rFonts w:asciiTheme="minorHAnsi" w:hAnsiTheme="minorHAnsi"/>
        </w:rPr>
        <w:t>cover other sexual offences as well</w:t>
      </w:r>
      <w:r w:rsidR="00471EB2" w:rsidRPr="00EC2A6E">
        <w:rPr>
          <w:rFonts w:asciiTheme="minorHAnsi" w:hAnsiTheme="minorHAnsi"/>
        </w:rPr>
        <w:t>; some also cover offences of violence against children</w:t>
      </w:r>
      <w:r w:rsidR="00BC16AA" w:rsidRPr="00EC2A6E">
        <w:rPr>
          <w:rFonts w:asciiTheme="minorHAnsi" w:hAnsiTheme="minorHAnsi"/>
        </w:rPr>
        <w:t>.</w:t>
      </w:r>
      <w:r w:rsidR="000B5768" w:rsidRPr="00EC2A6E">
        <w:rPr>
          <w:rFonts w:asciiTheme="minorHAnsi" w:hAnsiTheme="minorHAnsi"/>
        </w:rPr>
        <w:t xml:space="preserve">  The laws generally provide for the inclusion of offenders on a register, and</w:t>
      </w:r>
      <w:r w:rsidR="001F4D00" w:rsidRPr="00EC2A6E">
        <w:rPr>
          <w:rFonts w:asciiTheme="minorHAnsi" w:hAnsiTheme="minorHAnsi"/>
        </w:rPr>
        <w:t xml:space="preserve"> for</w:t>
      </w:r>
      <w:r w:rsidR="000B5768" w:rsidRPr="00EC2A6E">
        <w:rPr>
          <w:rFonts w:asciiTheme="minorHAnsi" w:hAnsiTheme="minorHAnsi"/>
        </w:rPr>
        <w:t xml:space="preserve"> the imposition of reporting and other obligations.</w:t>
      </w:r>
    </w:p>
    <w:p w14:paraId="25BEF6A4" w14:textId="77777777" w:rsidR="00214742" w:rsidRPr="00EC2A6E" w:rsidRDefault="00214742" w:rsidP="00EB7F1E">
      <w:pPr>
        <w:widowControl w:val="0"/>
        <w:spacing w:line="276" w:lineRule="auto"/>
        <w:ind w:right="28"/>
        <w:rPr>
          <w:rFonts w:asciiTheme="minorHAnsi" w:hAnsiTheme="minorHAnsi"/>
        </w:rPr>
      </w:pPr>
    </w:p>
    <w:p w14:paraId="67E48AB9" w14:textId="7EF73934" w:rsidR="00214742" w:rsidRPr="00EC2A6E" w:rsidRDefault="00214742" w:rsidP="00EB7F1E">
      <w:pPr>
        <w:pStyle w:val="ListParagraph"/>
        <w:numPr>
          <w:ilvl w:val="0"/>
          <w:numId w:val="7"/>
        </w:numPr>
        <w:spacing w:line="276" w:lineRule="auto"/>
        <w:ind w:left="425" w:hanging="425"/>
        <w:contextualSpacing w:val="0"/>
        <w:rPr>
          <w:rFonts w:asciiTheme="minorHAnsi" w:hAnsiTheme="minorHAnsi"/>
          <w:bCs/>
        </w:rPr>
      </w:pPr>
      <w:r w:rsidRPr="00EC2A6E">
        <w:rPr>
          <w:rFonts w:asciiTheme="minorHAnsi" w:hAnsiTheme="minorHAnsi"/>
          <w:bCs/>
        </w:rPr>
        <w:t>In most jurisdictions,</w:t>
      </w:r>
      <w:r w:rsidRPr="00EC2A6E">
        <w:rPr>
          <w:rStyle w:val="Style"/>
          <w:rFonts w:asciiTheme="minorHAnsi" w:hAnsiTheme="minorHAnsi"/>
        </w:rPr>
        <w:footnoteReference w:id="555"/>
      </w:r>
      <w:r w:rsidRPr="00EC2A6E">
        <w:rPr>
          <w:rFonts w:asciiTheme="minorHAnsi" w:hAnsiTheme="minorHAnsi"/>
          <w:bCs/>
        </w:rPr>
        <w:t xml:space="preserve"> the registration and reporting obligations arise automatically (with very limited exceptions</w:t>
      </w:r>
      <w:r w:rsidRPr="00EC2A6E">
        <w:rPr>
          <w:rStyle w:val="Style"/>
          <w:rFonts w:asciiTheme="minorHAnsi" w:hAnsiTheme="minorHAnsi"/>
        </w:rPr>
        <w:footnoteReference w:id="556"/>
      </w:r>
      <w:r w:rsidRPr="00EC2A6E">
        <w:rPr>
          <w:rFonts w:asciiTheme="minorHAnsi" w:hAnsiTheme="minorHAnsi"/>
          <w:bCs/>
        </w:rPr>
        <w:t xml:space="preserve">) once the court imposes sentence for a </w:t>
      </w:r>
      <w:r w:rsidR="000A1FEF" w:rsidRPr="00EC2A6E">
        <w:rPr>
          <w:rFonts w:asciiTheme="minorHAnsi" w:hAnsiTheme="minorHAnsi"/>
          <w:bCs/>
        </w:rPr>
        <w:t xml:space="preserve">listed </w:t>
      </w:r>
      <w:r w:rsidRPr="00EC2A6E">
        <w:rPr>
          <w:rFonts w:asciiTheme="minorHAnsi" w:hAnsiTheme="minorHAnsi"/>
          <w:bCs/>
        </w:rPr>
        <w:t>offence.</w:t>
      </w:r>
      <w:r w:rsidRPr="00EC2A6E">
        <w:rPr>
          <w:rStyle w:val="Style"/>
          <w:rFonts w:asciiTheme="minorHAnsi" w:hAnsiTheme="minorHAnsi"/>
        </w:rPr>
        <w:footnoteReference w:id="557"/>
      </w:r>
      <w:r w:rsidRPr="00EC2A6E">
        <w:rPr>
          <w:rFonts w:asciiTheme="minorHAnsi" w:hAnsiTheme="minorHAnsi"/>
          <w:bCs/>
        </w:rPr>
        <w:t xml:space="preserve">  That is, there is no need for any further court order beyond the sentence.  The provisions generally give courts power to make orders imposing registration</w:t>
      </w:r>
      <w:r w:rsidR="00AD476F" w:rsidRPr="00EC2A6E">
        <w:rPr>
          <w:rFonts w:asciiTheme="minorHAnsi" w:hAnsiTheme="minorHAnsi"/>
          <w:bCs/>
        </w:rPr>
        <w:t xml:space="preserve"> or </w:t>
      </w:r>
      <w:r w:rsidRPr="00EC2A6E">
        <w:rPr>
          <w:rFonts w:asciiTheme="minorHAnsi" w:hAnsiTheme="minorHAnsi"/>
          <w:bCs/>
        </w:rPr>
        <w:t xml:space="preserve">reporting obligations on a person who is sentenced for </w:t>
      </w:r>
      <w:r w:rsidR="000A1FEF" w:rsidRPr="00EC2A6E">
        <w:rPr>
          <w:rFonts w:asciiTheme="minorHAnsi" w:hAnsiTheme="minorHAnsi"/>
          <w:bCs/>
        </w:rPr>
        <w:t xml:space="preserve">other specified </w:t>
      </w:r>
      <w:r w:rsidRPr="00EC2A6E">
        <w:rPr>
          <w:rFonts w:asciiTheme="minorHAnsi" w:hAnsiTheme="minorHAnsi"/>
          <w:bCs/>
        </w:rPr>
        <w:t>offences.</w:t>
      </w:r>
    </w:p>
    <w:p w14:paraId="45AAD93D" w14:textId="77777777" w:rsidR="00214742" w:rsidRPr="00EC2A6E" w:rsidRDefault="00214742" w:rsidP="00214742">
      <w:pPr>
        <w:widowControl w:val="0"/>
        <w:spacing w:line="276" w:lineRule="auto"/>
        <w:rPr>
          <w:rFonts w:asciiTheme="minorHAnsi" w:hAnsiTheme="minorHAnsi"/>
        </w:rPr>
      </w:pPr>
    </w:p>
    <w:p w14:paraId="53029319" w14:textId="54FD0095" w:rsidR="00AD476F" w:rsidRPr="00EC2A6E" w:rsidRDefault="00214742">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Legislation in each State and Territory lists federal offences among the various offences which trigger registration and reporting requirements. </w:t>
      </w:r>
      <w:r w:rsidR="00F062B1" w:rsidRPr="00EC2A6E">
        <w:rPr>
          <w:rFonts w:asciiTheme="minorHAnsi" w:hAnsiTheme="minorHAnsi"/>
        </w:rPr>
        <w:t xml:space="preserve"> </w:t>
      </w:r>
      <w:r w:rsidRPr="00EC2A6E">
        <w:rPr>
          <w:rFonts w:asciiTheme="minorHAnsi" w:hAnsiTheme="minorHAnsi"/>
        </w:rPr>
        <w:t>The legislation in each jurisdiction is broadly similar in structure, and in terms of the types of federal offences listed.</w:t>
      </w:r>
      <w:r w:rsidR="00F062B1" w:rsidRPr="00EC2A6E">
        <w:rPr>
          <w:rStyle w:val="Style"/>
          <w:rFonts w:asciiTheme="minorHAnsi" w:hAnsiTheme="minorHAnsi"/>
        </w:rPr>
        <w:footnoteReference w:id="558"/>
      </w:r>
    </w:p>
    <w:p w14:paraId="2D27947C" w14:textId="77777777" w:rsidR="00AD476F" w:rsidRPr="00EC2A6E" w:rsidRDefault="00AD476F" w:rsidP="00EB7F1E">
      <w:pPr>
        <w:pStyle w:val="ListParagraph"/>
        <w:rPr>
          <w:rFonts w:asciiTheme="minorHAnsi" w:hAnsiTheme="minorHAnsi"/>
        </w:rPr>
      </w:pPr>
    </w:p>
    <w:p w14:paraId="62582532" w14:textId="6B70109B" w:rsidR="000B5768" w:rsidRPr="00EC2A6E" w:rsidRDefault="00C9644B"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A</w:t>
      </w:r>
      <w:r w:rsidR="00214742" w:rsidRPr="00EC2A6E">
        <w:rPr>
          <w:rFonts w:asciiTheme="minorHAnsi" w:hAnsiTheme="minorHAnsi"/>
        </w:rPr>
        <w:t xml:space="preserve"> list of federal offences which are “registrable offences” for the purposes of each jurisdiction</w:t>
      </w:r>
      <w:r w:rsidR="00AA693C" w:rsidRPr="00EC2A6E">
        <w:rPr>
          <w:rFonts w:asciiTheme="minorHAnsi" w:hAnsiTheme="minorHAnsi"/>
        </w:rPr>
        <w:t>’</w:t>
      </w:r>
      <w:r w:rsidR="00214742" w:rsidRPr="00EC2A6E">
        <w:rPr>
          <w:rFonts w:asciiTheme="minorHAnsi" w:hAnsiTheme="minorHAnsi"/>
        </w:rPr>
        <w:t xml:space="preserve">s sex offender registration legislation is set out in Appendix </w:t>
      </w:r>
      <w:r w:rsidR="009051B2" w:rsidRPr="00EC2A6E">
        <w:rPr>
          <w:rFonts w:asciiTheme="minorHAnsi" w:hAnsiTheme="minorHAnsi"/>
        </w:rPr>
        <w:t>2</w:t>
      </w:r>
      <w:r w:rsidR="00214742" w:rsidRPr="00EC2A6E">
        <w:rPr>
          <w:rFonts w:asciiTheme="minorHAnsi" w:hAnsiTheme="minorHAnsi"/>
        </w:rPr>
        <w:t xml:space="preserve"> to this </w:t>
      </w:r>
      <w:r w:rsidR="00520658" w:rsidRPr="00EC2A6E">
        <w:rPr>
          <w:rFonts w:asciiTheme="minorHAnsi" w:hAnsiTheme="minorHAnsi"/>
        </w:rPr>
        <w:t>guide</w:t>
      </w:r>
      <w:r w:rsidR="00214742" w:rsidRPr="00EC2A6E">
        <w:rPr>
          <w:rFonts w:asciiTheme="minorHAnsi" w:hAnsiTheme="minorHAnsi"/>
        </w:rPr>
        <w:t>.</w:t>
      </w:r>
    </w:p>
    <w:p w14:paraId="0F380F0E" w14:textId="77777777" w:rsidR="00530E5E" w:rsidRPr="00EC2A6E" w:rsidRDefault="00530E5E" w:rsidP="00530E5E">
      <w:pPr>
        <w:pStyle w:val="ListParagraph"/>
        <w:rPr>
          <w:rFonts w:asciiTheme="minorHAnsi" w:hAnsiTheme="minorHAnsi"/>
        </w:rPr>
      </w:pPr>
    </w:p>
    <w:p w14:paraId="523BD3C7" w14:textId="42D51385" w:rsidR="00530E5E" w:rsidRPr="00EC2A6E" w:rsidRDefault="00530E5E"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In cases involving offences to which such laws apply, </w:t>
      </w:r>
      <w:r w:rsidR="00122B82" w:rsidRPr="00EC2A6E">
        <w:rPr>
          <w:rFonts w:asciiTheme="minorHAnsi" w:hAnsiTheme="minorHAnsi"/>
        </w:rPr>
        <w:t xml:space="preserve">the prosecution should take </w:t>
      </w:r>
      <w:r w:rsidRPr="00EC2A6E">
        <w:rPr>
          <w:rFonts w:asciiTheme="minorHAnsi" w:hAnsiTheme="minorHAnsi"/>
        </w:rPr>
        <w:t>care to ensure that the sentencing court is informed of any relevant obligations, and that any necessary orders to give effect to the laws are sought.</w:t>
      </w:r>
    </w:p>
    <w:p w14:paraId="66E13F97" w14:textId="77777777" w:rsidR="002802C2" w:rsidRPr="00266F5E" w:rsidRDefault="002802C2" w:rsidP="002802C2">
      <w:pPr>
        <w:pStyle w:val="ListParagraph"/>
        <w:widowControl w:val="0"/>
        <w:spacing w:line="276" w:lineRule="auto"/>
        <w:ind w:left="567" w:hanging="567"/>
        <w:rPr>
          <w:rFonts w:asciiTheme="minorHAnsi" w:hAnsiTheme="minorHAnsi"/>
          <w:highlight w:val="yellow"/>
        </w:rPr>
      </w:pPr>
    </w:p>
    <w:p w14:paraId="6A517B37" w14:textId="0D9E3C01" w:rsidR="002802C2" w:rsidRPr="00EC2A6E" w:rsidRDefault="002802C2"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bCs/>
        </w:rPr>
        <w:t xml:space="preserve">The </w:t>
      </w:r>
      <w:r w:rsidR="00C64EE9" w:rsidRPr="00EC2A6E">
        <w:rPr>
          <w:rFonts w:asciiTheme="minorHAnsi" w:hAnsiTheme="minorHAnsi"/>
          <w:bCs/>
        </w:rPr>
        <w:t xml:space="preserve">laws of some jurisdictions preclude a </w:t>
      </w:r>
      <w:r w:rsidRPr="00EC2A6E">
        <w:rPr>
          <w:rFonts w:asciiTheme="minorHAnsi" w:hAnsiTheme="minorHAnsi"/>
          <w:bCs/>
        </w:rPr>
        <w:t xml:space="preserve">court in sentencing </w:t>
      </w:r>
      <w:r w:rsidR="00C64EE9" w:rsidRPr="00EC2A6E">
        <w:rPr>
          <w:rFonts w:asciiTheme="minorHAnsi" w:hAnsiTheme="minorHAnsi"/>
          <w:bCs/>
        </w:rPr>
        <w:t xml:space="preserve">an offender </w:t>
      </w:r>
      <w:r w:rsidRPr="00EC2A6E">
        <w:rPr>
          <w:rFonts w:asciiTheme="minorHAnsi" w:hAnsiTheme="minorHAnsi"/>
          <w:bCs/>
        </w:rPr>
        <w:t>from having regard to the consequence</w:t>
      </w:r>
      <w:r w:rsidR="00E828E7" w:rsidRPr="00EC2A6E">
        <w:rPr>
          <w:rFonts w:asciiTheme="minorHAnsi" w:hAnsiTheme="minorHAnsi"/>
          <w:bCs/>
        </w:rPr>
        <w:t>s</w:t>
      </w:r>
      <w:r w:rsidRPr="00EC2A6E">
        <w:rPr>
          <w:rFonts w:asciiTheme="minorHAnsi" w:hAnsiTheme="minorHAnsi"/>
          <w:bCs/>
        </w:rPr>
        <w:t xml:space="preserve"> of </w:t>
      </w:r>
      <w:r w:rsidR="00C64EE9" w:rsidRPr="00EC2A6E">
        <w:rPr>
          <w:rFonts w:asciiTheme="minorHAnsi" w:hAnsiTheme="minorHAnsi"/>
          <w:bCs/>
        </w:rPr>
        <w:t xml:space="preserve">sexual offender </w:t>
      </w:r>
      <w:r w:rsidRPr="00EC2A6E">
        <w:rPr>
          <w:rFonts w:asciiTheme="minorHAnsi" w:hAnsiTheme="minorHAnsi"/>
          <w:bCs/>
        </w:rPr>
        <w:t>registration</w:t>
      </w:r>
      <w:r w:rsidR="00C64EE9" w:rsidRPr="00EC2A6E">
        <w:rPr>
          <w:rFonts w:asciiTheme="minorHAnsi" w:hAnsiTheme="minorHAnsi"/>
          <w:bCs/>
        </w:rPr>
        <w:t xml:space="preserve">.  In </w:t>
      </w:r>
      <w:r w:rsidR="00C64EE9" w:rsidRPr="00EC2A6E">
        <w:rPr>
          <w:rFonts w:asciiTheme="minorHAnsi" w:hAnsiTheme="minorHAnsi"/>
          <w:bCs/>
          <w:i/>
        </w:rPr>
        <w:t>ONA</w:t>
      </w:r>
      <w:r w:rsidR="00C64EE9" w:rsidRPr="00EC2A6E">
        <w:rPr>
          <w:rFonts w:asciiTheme="minorHAnsi" w:hAnsiTheme="minorHAnsi"/>
          <w:bCs/>
        </w:rPr>
        <w:t>,</w:t>
      </w:r>
      <w:r w:rsidR="00C64EE9" w:rsidRPr="00EC2A6E">
        <w:rPr>
          <w:rStyle w:val="Style"/>
          <w:rFonts w:asciiTheme="minorHAnsi" w:hAnsiTheme="minorHAnsi"/>
        </w:rPr>
        <w:footnoteReference w:id="559"/>
      </w:r>
      <w:r w:rsidR="00C64EE9" w:rsidRPr="00EC2A6E">
        <w:rPr>
          <w:rFonts w:asciiTheme="minorHAnsi" w:hAnsiTheme="minorHAnsi"/>
          <w:bCs/>
        </w:rPr>
        <w:t xml:space="preserve"> such a provision in the </w:t>
      </w:r>
      <w:r w:rsidR="00C64EE9" w:rsidRPr="00EC2A6E">
        <w:rPr>
          <w:rFonts w:asciiTheme="minorHAnsi" w:hAnsiTheme="minorHAnsi"/>
          <w:bCs/>
          <w:i/>
        </w:rPr>
        <w:t>Sentencing Act 1991</w:t>
      </w:r>
      <w:r w:rsidR="00C64EE9" w:rsidRPr="00EC2A6E">
        <w:rPr>
          <w:rFonts w:asciiTheme="minorHAnsi" w:hAnsiTheme="minorHAnsi"/>
          <w:bCs/>
        </w:rPr>
        <w:t xml:space="preserve"> (Vic) was held to apply</w:t>
      </w:r>
      <w:r w:rsidRPr="00EC2A6E">
        <w:rPr>
          <w:rFonts w:asciiTheme="minorHAnsi" w:hAnsiTheme="minorHAnsi"/>
          <w:bCs/>
        </w:rPr>
        <w:t xml:space="preserve"> to </w:t>
      </w:r>
      <w:r w:rsidR="00C64EE9" w:rsidRPr="00EC2A6E">
        <w:rPr>
          <w:rFonts w:asciiTheme="minorHAnsi" w:hAnsiTheme="minorHAnsi"/>
          <w:bCs/>
        </w:rPr>
        <w:t xml:space="preserve">the sentencing of a </w:t>
      </w:r>
      <w:r w:rsidRPr="00EC2A6E">
        <w:rPr>
          <w:rFonts w:asciiTheme="minorHAnsi" w:hAnsiTheme="minorHAnsi"/>
          <w:bCs/>
        </w:rPr>
        <w:t xml:space="preserve">federal offender by operation of 79(1) </w:t>
      </w:r>
      <w:r w:rsidR="00C64EE9" w:rsidRPr="00EC2A6E">
        <w:rPr>
          <w:rFonts w:asciiTheme="minorHAnsi" w:hAnsiTheme="minorHAnsi"/>
          <w:bCs/>
        </w:rPr>
        <w:t xml:space="preserve">(and possibly also s 68(1)) </w:t>
      </w:r>
      <w:r w:rsidRPr="00EC2A6E">
        <w:rPr>
          <w:rFonts w:asciiTheme="minorHAnsi" w:hAnsiTheme="minorHAnsi"/>
          <w:bCs/>
        </w:rPr>
        <w:t xml:space="preserve">of the </w:t>
      </w:r>
      <w:r w:rsidRPr="00EC2A6E">
        <w:rPr>
          <w:rFonts w:asciiTheme="minorHAnsi" w:hAnsiTheme="minorHAnsi"/>
          <w:bCs/>
          <w:i/>
        </w:rPr>
        <w:t xml:space="preserve">Judiciary Act 1903 </w:t>
      </w:r>
      <w:r w:rsidRPr="00EC2A6E">
        <w:rPr>
          <w:rFonts w:asciiTheme="minorHAnsi" w:hAnsiTheme="minorHAnsi"/>
          <w:bCs/>
        </w:rPr>
        <w:t>(Cth).</w:t>
      </w:r>
      <w:r w:rsidR="00C64EE9" w:rsidRPr="00EC2A6E">
        <w:rPr>
          <w:rFonts w:asciiTheme="minorHAnsi" w:hAnsiTheme="minorHAnsi"/>
          <w:bCs/>
        </w:rPr>
        <w:t xml:space="preserve">  The Court held that nothing in s 16A of the </w:t>
      </w:r>
      <w:r w:rsidR="00885EFD" w:rsidRPr="00EC2A6E">
        <w:rPr>
          <w:rFonts w:asciiTheme="minorHAnsi" w:hAnsiTheme="minorHAnsi"/>
          <w:bCs/>
          <w:i/>
        </w:rPr>
        <w:t>Crimes Act 1914</w:t>
      </w:r>
      <w:r w:rsidR="00C64EE9" w:rsidRPr="00EC2A6E">
        <w:rPr>
          <w:rFonts w:asciiTheme="minorHAnsi" w:hAnsiTheme="minorHAnsi"/>
          <w:bCs/>
        </w:rPr>
        <w:t xml:space="preserve"> (Cth) was inconsistent with or otherwise precluded the application of the State provision to the sentencing of a federal offender.</w:t>
      </w:r>
      <w:r w:rsidR="00553A70" w:rsidRPr="00EC2A6E">
        <w:rPr>
          <w:rFonts w:asciiTheme="minorHAnsi" w:hAnsiTheme="minorHAnsi"/>
          <w:bCs/>
        </w:rPr>
        <w:t xml:space="preserve">  In </w:t>
      </w:r>
      <w:r w:rsidR="00553A70" w:rsidRPr="00EC2A6E">
        <w:rPr>
          <w:rFonts w:asciiTheme="minorHAnsi" w:hAnsiTheme="minorHAnsi"/>
          <w:bCs/>
          <w:i/>
        </w:rPr>
        <w:t>Sabel</w:t>
      </w:r>
      <w:r w:rsidR="00553A70" w:rsidRPr="00EC2A6E">
        <w:rPr>
          <w:rFonts w:asciiTheme="minorHAnsi" w:hAnsiTheme="minorHAnsi"/>
          <w:bCs/>
        </w:rPr>
        <w:t>,</w:t>
      </w:r>
      <w:r w:rsidR="00553A70" w:rsidRPr="00EC2A6E">
        <w:rPr>
          <w:rStyle w:val="Style"/>
          <w:rFonts w:asciiTheme="minorHAnsi" w:hAnsiTheme="minorHAnsi"/>
        </w:rPr>
        <w:footnoteReference w:id="560"/>
      </w:r>
      <w:r w:rsidR="00553A70" w:rsidRPr="00EC2A6E">
        <w:rPr>
          <w:rFonts w:asciiTheme="minorHAnsi" w:hAnsiTheme="minorHAnsi"/>
          <w:bCs/>
        </w:rPr>
        <w:t xml:space="preserve"> a similar conclusion was reached in relation to a cognate provision under </w:t>
      </w:r>
      <w:r w:rsidR="00122B82" w:rsidRPr="00EC2A6E">
        <w:rPr>
          <w:rFonts w:asciiTheme="minorHAnsi" w:hAnsiTheme="minorHAnsi"/>
          <w:bCs/>
        </w:rPr>
        <w:t>New South Wales</w:t>
      </w:r>
      <w:r w:rsidR="00553A70" w:rsidRPr="00EC2A6E">
        <w:rPr>
          <w:rFonts w:asciiTheme="minorHAnsi" w:hAnsiTheme="minorHAnsi"/>
          <w:bCs/>
        </w:rPr>
        <w:t xml:space="preserve"> law.</w:t>
      </w:r>
    </w:p>
    <w:p w14:paraId="6973F9F8" w14:textId="77777777" w:rsidR="008D3B53" w:rsidRPr="00EC2A6E" w:rsidRDefault="008D3B53" w:rsidP="008D3B53">
      <w:pPr>
        <w:pStyle w:val="ListParagraph"/>
        <w:rPr>
          <w:rFonts w:asciiTheme="minorHAnsi" w:hAnsiTheme="minorHAnsi"/>
        </w:rPr>
      </w:pPr>
    </w:p>
    <w:p w14:paraId="5F923D8E" w14:textId="67B2E093" w:rsidR="008D3B53" w:rsidRPr="00EC2A6E" w:rsidRDefault="008D3B53"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Even in the absence of such a provision, or if such a provision were not picked up and applied as surrogate federal law to the sentencing of a federal offender, </w:t>
      </w:r>
      <w:r w:rsidR="00450F42" w:rsidRPr="00EC2A6E">
        <w:rPr>
          <w:rFonts w:asciiTheme="minorHAnsi" w:hAnsiTheme="minorHAnsi"/>
        </w:rPr>
        <w:t xml:space="preserve">the prospect of </w:t>
      </w:r>
      <w:r w:rsidR="000378F3" w:rsidRPr="00EC2A6E">
        <w:rPr>
          <w:rFonts w:asciiTheme="minorHAnsi" w:hAnsiTheme="minorHAnsi"/>
        </w:rPr>
        <w:t xml:space="preserve">registration or reporting requirements or other restrictions </w:t>
      </w:r>
      <w:r w:rsidR="0061030C" w:rsidRPr="00EC2A6E">
        <w:rPr>
          <w:rFonts w:asciiTheme="minorHAnsi" w:hAnsiTheme="minorHAnsi"/>
        </w:rPr>
        <w:t>consequent upon conviction or sentencing is</w:t>
      </w:r>
      <w:r w:rsidR="000378F3" w:rsidRPr="00EC2A6E">
        <w:rPr>
          <w:rFonts w:asciiTheme="minorHAnsi" w:hAnsiTheme="minorHAnsi"/>
        </w:rPr>
        <w:t xml:space="preserve"> not </w:t>
      </w:r>
      <w:r w:rsidR="0061030C" w:rsidRPr="00EC2A6E">
        <w:rPr>
          <w:rFonts w:asciiTheme="minorHAnsi" w:hAnsiTheme="minorHAnsi"/>
        </w:rPr>
        <w:t xml:space="preserve">ordinarily to be treated as </w:t>
      </w:r>
      <w:r w:rsidR="000378F3" w:rsidRPr="00EC2A6E">
        <w:rPr>
          <w:rFonts w:asciiTheme="minorHAnsi" w:hAnsiTheme="minorHAnsi"/>
        </w:rPr>
        <w:t>a mitigating factor in sentencing.</w:t>
      </w:r>
      <w:r w:rsidR="000378F3" w:rsidRPr="00EC2A6E">
        <w:rPr>
          <w:rStyle w:val="Style"/>
          <w:rFonts w:asciiTheme="minorHAnsi" w:hAnsiTheme="minorHAnsi"/>
        </w:rPr>
        <w:footnoteReference w:id="561"/>
      </w:r>
      <w:r w:rsidR="000378F3" w:rsidRPr="00EC2A6E">
        <w:rPr>
          <w:rFonts w:asciiTheme="minorHAnsi" w:hAnsiTheme="minorHAnsi"/>
        </w:rPr>
        <w:t xml:space="preserve"> </w:t>
      </w:r>
    </w:p>
    <w:p w14:paraId="52F0D461" w14:textId="211F266D" w:rsidR="002802C2" w:rsidRDefault="002802C2" w:rsidP="002802C2">
      <w:pPr>
        <w:widowControl w:val="0"/>
        <w:spacing w:line="276" w:lineRule="auto"/>
        <w:rPr>
          <w:rFonts w:asciiTheme="minorHAnsi" w:hAnsiTheme="minorHAnsi"/>
        </w:rPr>
      </w:pPr>
    </w:p>
    <w:p w14:paraId="43DDBA11" w14:textId="527ECE5A" w:rsidR="00DF5230" w:rsidRPr="00E9607E" w:rsidRDefault="00DF5230" w:rsidP="001F7E6F">
      <w:pPr>
        <w:pStyle w:val="Heading3"/>
      </w:pPr>
      <w:bookmarkStart w:id="1534" w:name="_Ref493066725"/>
      <w:bookmarkStart w:id="1535" w:name="_Ref493066734"/>
      <w:bookmarkStart w:id="1536" w:name="_Toc33602814"/>
      <w:r>
        <w:t>Control orders and continuing detention orders</w:t>
      </w:r>
      <w:bookmarkEnd w:id="1534"/>
      <w:bookmarkEnd w:id="1535"/>
      <w:bookmarkEnd w:id="1536"/>
      <w:r w:rsidRPr="00E9607E">
        <w:t xml:space="preserve"> </w:t>
      </w:r>
    </w:p>
    <w:p w14:paraId="2C37F638" w14:textId="77777777" w:rsidR="00DF5230" w:rsidRPr="00C00000" w:rsidRDefault="00DF5230" w:rsidP="001F7E6F">
      <w:pPr>
        <w:keepNext/>
        <w:widowControl w:val="0"/>
        <w:spacing w:line="276" w:lineRule="auto"/>
        <w:ind w:left="153" w:right="170"/>
        <w:jc w:val="both"/>
        <w:rPr>
          <w:rFonts w:asciiTheme="minorHAnsi" w:hAnsiTheme="minorHAnsi"/>
        </w:rPr>
      </w:pPr>
    </w:p>
    <w:p w14:paraId="79ED863A" w14:textId="2971016B" w:rsidR="00DF5230" w:rsidRDefault="00C9274A"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Division 104 of t</w:t>
      </w:r>
      <w:r w:rsidR="00DD26DB">
        <w:rPr>
          <w:rFonts w:asciiTheme="minorHAnsi" w:hAnsiTheme="minorHAnsi"/>
          <w:szCs w:val="22"/>
        </w:rPr>
        <w:t xml:space="preserve">he </w:t>
      </w:r>
      <w:r w:rsidR="00DD26DB" w:rsidRPr="00DD26DB">
        <w:rPr>
          <w:rFonts w:asciiTheme="minorHAnsi" w:hAnsiTheme="minorHAnsi"/>
          <w:i/>
          <w:szCs w:val="22"/>
        </w:rPr>
        <w:t>Criminal Code</w:t>
      </w:r>
      <w:r w:rsidR="00DD26DB">
        <w:rPr>
          <w:rFonts w:asciiTheme="minorHAnsi" w:hAnsiTheme="minorHAnsi"/>
          <w:szCs w:val="22"/>
        </w:rPr>
        <w:t xml:space="preserve"> (Cth) provides for the making of control orders</w:t>
      </w:r>
      <w:r>
        <w:rPr>
          <w:rFonts w:asciiTheme="minorHAnsi" w:hAnsiTheme="minorHAnsi"/>
          <w:szCs w:val="22"/>
        </w:rPr>
        <w:t xml:space="preserve"> in </w:t>
      </w:r>
      <w:r w:rsidRPr="00E90120">
        <w:rPr>
          <w:rFonts w:asciiTheme="minorHAnsi" w:hAnsiTheme="minorHAnsi"/>
        </w:rPr>
        <w:t>order</w:t>
      </w:r>
      <w:r>
        <w:rPr>
          <w:rFonts w:asciiTheme="minorHAnsi" w:hAnsiTheme="minorHAnsi"/>
          <w:szCs w:val="22"/>
        </w:rPr>
        <w:t xml:space="preserve"> to </w:t>
      </w:r>
      <w:r w:rsidRPr="00C9274A">
        <w:rPr>
          <w:rFonts w:asciiTheme="minorHAnsi" w:hAnsiTheme="minorHAnsi"/>
          <w:szCs w:val="22"/>
        </w:rPr>
        <w:t>protect the public from a terrorist act</w:t>
      </w:r>
      <w:r>
        <w:rPr>
          <w:rFonts w:asciiTheme="minorHAnsi" w:hAnsiTheme="minorHAnsi"/>
          <w:szCs w:val="22"/>
        </w:rPr>
        <w:t xml:space="preserve">, or to </w:t>
      </w:r>
      <w:r w:rsidRPr="00C9274A">
        <w:rPr>
          <w:rFonts w:asciiTheme="minorHAnsi" w:hAnsiTheme="minorHAnsi"/>
          <w:szCs w:val="22"/>
        </w:rPr>
        <w:t>prevent the provision of support for or the facilitation of a terrorist act</w:t>
      </w:r>
      <w:r>
        <w:rPr>
          <w:rFonts w:asciiTheme="minorHAnsi" w:hAnsiTheme="minorHAnsi"/>
          <w:szCs w:val="22"/>
        </w:rPr>
        <w:t xml:space="preserve">, or to </w:t>
      </w:r>
      <w:r w:rsidRPr="00C9274A">
        <w:rPr>
          <w:rFonts w:asciiTheme="minorHAnsi" w:hAnsiTheme="minorHAnsi"/>
          <w:szCs w:val="22"/>
        </w:rPr>
        <w:t>prevent the provision of support for</w:t>
      </w:r>
      <w:r>
        <w:rPr>
          <w:rFonts w:asciiTheme="minorHAnsi" w:hAnsiTheme="minorHAnsi"/>
          <w:szCs w:val="22"/>
        </w:rPr>
        <w:t>,</w:t>
      </w:r>
      <w:r w:rsidRPr="00C9274A">
        <w:rPr>
          <w:rFonts w:asciiTheme="minorHAnsi" w:hAnsiTheme="minorHAnsi"/>
          <w:szCs w:val="22"/>
        </w:rPr>
        <w:t xml:space="preserve"> or the facilitation of the engagement in</w:t>
      </w:r>
      <w:r>
        <w:rPr>
          <w:rFonts w:asciiTheme="minorHAnsi" w:hAnsiTheme="minorHAnsi"/>
          <w:szCs w:val="22"/>
        </w:rPr>
        <w:t>,</w:t>
      </w:r>
      <w:r w:rsidRPr="00C9274A">
        <w:rPr>
          <w:rFonts w:asciiTheme="minorHAnsi" w:hAnsiTheme="minorHAnsi"/>
          <w:szCs w:val="22"/>
        </w:rPr>
        <w:t xml:space="preserve"> a hostile activity in a foreign country</w:t>
      </w:r>
      <w:r w:rsidR="00DF5230" w:rsidRPr="00C00000">
        <w:rPr>
          <w:rFonts w:asciiTheme="minorHAnsi" w:hAnsiTheme="minorHAnsi"/>
          <w:szCs w:val="22"/>
        </w:rPr>
        <w:t xml:space="preserve">. </w:t>
      </w:r>
      <w:r>
        <w:rPr>
          <w:rFonts w:asciiTheme="minorHAnsi" w:hAnsiTheme="minorHAnsi"/>
          <w:szCs w:val="22"/>
        </w:rPr>
        <w:t xml:space="preserve"> The making of a control order in relation to a person is not conditioned upon the person being convicted or found guilty of an offence. </w:t>
      </w:r>
    </w:p>
    <w:p w14:paraId="2878C8B3" w14:textId="77777777" w:rsidR="00C9274A" w:rsidRPr="00C9274A" w:rsidRDefault="00C9274A" w:rsidP="00C9274A">
      <w:pPr>
        <w:widowControl w:val="0"/>
        <w:spacing w:line="276" w:lineRule="auto"/>
        <w:ind w:right="170"/>
        <w:rPr>
          <w:rFonts w:asciiTheme="minorHAnsi" w:hAnsiTheme="minorHAnsi"/>
          <w:szCs w:val="22"/>
        </w:rPr>
      </w:pPr>
    </w:p>
    <w:p w14:paraId="274F003D" w14:textId="0C00DEE2" w:rsidR="00C9274A" w:rsidRPr="00852235" w:rsidRDefault="00D82CB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szCs w:val="22"/>
        </w:rPr>
        <w:t xml:space="preserve">Division 105A of the </w:t>
      </w:r>
      <w:r w:rsidRPr="00DA4E0A">
        <w:rPr>
          <w:rFonts w:asciiTheme="minorHAnsi" w:hAnsiTheme="minorHAnsi"/>
          <w:i/>
          <w:szCs w:val="22"/>
        </w:rPr>
        <w:t>Criminal Code</w:t>
      </w:r>
      <w:r>
        <w:rPr>
          <w:rFonts w:asciiTheme="minorHAnsi" w:hAnsiTheme="minorHAnsi"/>
          <w:szCs w:val="22"/>
        </w:rPr>
        <w:t xml:space="preserve"> (Cth) provides for the making of a continuing </w:t>
      </w:r>
      <w:r w:rsidRPr="00E90120">
        <w:rPr>
          <w:rFonts w:asciiTheme="minorHAnsi" w:hAnsiTheme="minorHAnsi"/>
        </w:rPr>
        <w:t>detention</w:t>
      </w:r>
      <w:r>
        <w:rPr>
          <w:rFonts w:asciiTheme="minorHAnsi" w:hAnsiTheme="minorHAnsi"/>
          <w:szCs w:val="22"/>
        </w:rPr>
        <w:t xml:space="preserve"> </w:t>
      </w:r>
      <w:r w:rsidR="00915A8C">
        <w:rPr>
          <w:rFonts w:asciiTheme="minorHAnsi" w:hAnsiTheme="minorHAnsi"/>
          <w:szCs w:val="22"/>
        </w:rPr>
        <w:t xml:space="preserve">order </w:t>
      </w:r>
      <w:r w:rsidR="008A6F34">
        <w:rPr>
          <w:rFonts w:asciiTheme="minorHAnsi" w:hAnsiTheme="minorHAnsi"/>
          <w:szCs w:val="22"/>
        </w:rPr>
        <w:t xml:space="preserve">(CDO) </w:t>
      </w:r>
      <w:r w:rsidR="00915A8C">
        <w:rPr>
          <w:rFonts w:asciiTheme="minorHAnsi" w:hAnsiTheme="minorHAnsi"/>
          <w:szCs w:val="22"/>
        </w:rPr>
        <w:t xml:space="preserve">in relation to a </w:t>
      </w:r>
      <w:r w:rsidR="00FC23E6">
        <w:rPr>
          <w:rFonts w:asciiTheme="minorHAnsi" w:hAnsiTheme="minorHAnsi"/>
          <w:szCs w:val="22"/>
        </w:rPr>
        <w:t xml:space="preserve">terrorist offender </w:t>
      </w:r>
      <w:r w:rsidR="00915A8C">
        <w:rPr>
          <w:rFonts w:asciiTheme="minorHAnsi" w:hAnsiTheme="minorHAnsi"/>
          <w:szCs w:val="22"/>
        </w:rPr>
        <w:t xml:space="preserve">who </w:t>
      </w:r>
      <w:r w:rsidR="00FC23E6">
        <w:rPr>
          <w:rFonts w:asciiTheme="minorHAnsi" w:hAnsiTheme="minorHAnsi"/>
          <w:szCs w:val="22"/>
        </w:rPr>
        <w:t xml:space="preserve">is </w:t>
      </w:r>
      <w:r w:rsidR="00915A8C">
        <w:rPr>
          <w:rFonts w:asciiTheme="minorHAnsi" w:hAnsiTheme="minorHAnsi"/>
          <w:szCs w:val="22"/>
        </w:rPr>
        <w:t xml:space="preserve">in custody and serving a sentence of imprisonment for a </w:t>
      </w:r>
      <w:r w:rsidR="00FC23E6">
        <w:rPr>
          <w:rFonts w:asciiTheme="minorHAnsi" w:hAnsiTheme="minorHAnsi"/>
          <w:szCs w:val="22"/>
        </w:rPr>
        <w:t xml:space="preserve">specified </w:t>
      </w:r>
      <w:r w:rsidR="00915A8C">
        <w:rPr>
          <w:rFonts w:asciiTheme="minorHAnsi" w:hAnsiTheme="minorHAnsi"/>
          <w:szCs w:val="22"/>
        </w:rPr>
        <w:t xml:space="preserve">terrorism offence or </w:t>
      </w:r>
      <w:r w:rsidR="00FC23E6">
        <w:rPr>
          <w:rFonts w:asciiTheme="minorHAnsi" w:hAnsiTheme="minorHAnsi"/>
          <w:szCs w:val="22"/>
        </w:rPr>
        <w:t xml:space="preserve">foreign incursion </w:t>
      </w:r>
      <w:r w:rsidR="00915A8C">
        <w:rPr>
          <w:rFonts w:asciiTheme="minorHAnsi" w:hAnsiTheme="minorHAnsi"/>
          <w:szCs w:val="22"/>
        </w:rPr>
        <w:t>offence.</w:t>
      </w:r>
      <w:r w:rsidR="00FC23E6">
        <w:rPr>
          <w:rFonts w:asciiTheme="minorHAnsi" w:hAnsiTheme="minorHAnsi"/>
          <w:szCs w:val="22"/>
        </w:rPr>
        <w:t xml:space="preserve">  A </w:t>
      </w:r>
      <w:r w:rsidR="0061030C">
        <w:rPr>
          <w:rFonts w:asciiTheme="minorHAnsi" w:hAnsiTheme="minorHAnsi"/>
          <w:szCs w:val="22"/>
        </w:rPr>
        <w:t>CDO</w:t>
      </w:r>
      <w:r w:rsidR="00FC23E6">
        <w:rPr>
          <w:rFonts w:asciiTheme="minorHAnsi" w:hAnsiTheme="minorHAnsi"/>
          <w:szCs w:val="22"/>
        </w:rPr>
        <w:t xml:space="preserve"> requires the continuing detention of an offender beyond the completion of his or her sentence.</w:t>
      </w:r>
      <w:r w:rsidR="00C9557B">
        <w:rPr>
          <w:rFonts w:asciiTheme="minorHAnsi" w:hAnsiTheme="minorHAnsi"/>
          <w:szCs w:val="22"/>
        </w:rPr>
        <w:t xml:space="preserve">  In sentencing </w:t>
      </w:r>
      <w:r w:rsidR="00852235">
        <w:rPr>
          <w:rFonts w:asciiTheme="minorHAnsi" w:hAnsiTheme="minorHAnsi"/>
          <w:szCs w:val="22"/>
        </w:rPr>
        <w:t xml:space="preserve">for </w:t>
      </w:r>
      <w:r w:rsidR="00C9557B">
        <w:rPr>
          <w:rFonts w:asciiTheme="minorHAnsi" w:hAnsiTheme="minorHAnsi"/>
          <w:szCs w:val="22"/>
        </w:rPr>
        <w:t>a</w:t>
      </w:r>
      <w:r w:rsidR="00852235">
        <w:rPr>
          <w:rFonts w:asciiTheme="minorHAnsi" w:hAnsiTheme="minorHAnsi"/>
          <w:szCs w:val="22"/>
        </w:rPr>
        <w:t xml:space="preserve"> terrorist</w:t>
      </w:r>
      <w:r w:rsidR="00C9557B">
        <w:rPr>
          <w:rFonts w:asciiTheme="minorHAnsi" w:hAnsiTheme="minorHAnsi"/>
          <w:szCs w:val="22"/>
        </w:rPr>
        <w:t xml:space="preserve"> offen</w:t>
      </w:r>
      <w:r w:rsidR="00852235">
        <w:rPr>
          <w:rFonts w:asciiTheme="minorHAnsi" w:hAnsiTheme="minorHAnsi"/>
          <w:szCs w:val="22"/>
        </w:rPr>
        <w:t xml:space="preserve">ce, the sentencing court must warn the offender that </w:t>
      </w:r>
      <w:r w:rsidR="00852235" w:rsidRPr="00E425AE">
        <w:rPr>
          <w:rFonts w:asciiTheme="minorHAnsi" w:hAnsiTheme="minorHAnsi"/>
        </w:rPr>
        <w:t xml:space="preserve">an application may be made under Division </w:t>
      </w:r>
      <w:r w:rsidR="00852235">
        <w:rPr>
          <w:rFonts w:asciiTheme="minorHAnsi" w:hAnsiTheme="minorHAnsi"/>
        </w:rPr>
        <w:t xml:space="preserve">105A </w:t>
      </w:r>
      <w:r w:rsidR="00852235" w:rsidRPr="00E425AE">
        <w:rPr>
          <w:rFonts w:asciiTheme="minorHAnsi" w:hAnsiTheme="minorHAnsi"/>
        </w:rPr>
        <w:t xml:space="preserve">for a </w:t>
      </w:r>
      <w:r w:rsidR="00852235">
        <w:rPr>
          <w:rFonts w:asciiTheme="minorHAnsi" w:hAnsiTheme="minorHAnsi"/>
        </w:rPr>
        <w:t>CDO</w:t>
      </w:r>
      <w:r w:rsidR="00852235" w:rsidRPr="00E425AE">
        <w:rPr>
          <w:rFonts w:asciiTheme="minorHAnsi" w:hAnsiTheme="minorHAnsi"/>
        </w:rPr>
        <w:t xml:space="preserve"> requiring the person to be detained in a prison after the end of the person</w:t>
      </w:r>
      <w:r w:rsidR="00AA693C">
        <w:rPr>
          <w:rFonts w:asciiTheme="minorHAnsi" w:hAnsiTheme="minorHAnsi"/>
        </w:rPr>
        <w:t>’</w:t>
      </w:r>
      <w:r w:rsidR="00852235" w:rsidRPr="00E425AE">
        <w:rPr>
          <w:rFonts w:asciiTheme="minorHAnsi" w:hAnsiTheme="minorHAnsi"/>
        </w:rPr>
        <w:t>s sentence for the offence</w:t>
      </w:r>
      <w:r w:rsidR="00852235">
        <w:rPr>
          <w:rFonts w:asciiTheme="minorHAnsi" w:hAnsiTheme="minorHAnsi"/>
        </w:rPr>
        <w:t>: see “</w:t>
      </w:r>
      <w:r w:rsidR="00852235">
        <w:rPr>
          <w:rFonts w:asciiTheme="minorHAnsi" w:hAnsiTheme="minorHAnsi"/>
        </w:rPr>
        <w:fldChar w:fldCharType="begin"/>
      </w:r>
      <w:r w:rsidR="00852235">
        <w:rPr>
          <w:rFonts w:asciiTheme="minorHAnsi" w:hAnsiTheme="minorHAnsi"/>
        </w:rPr>
        <w:instrText xml:space="preserve"> REF _Ref517020945 \r \h  \* MERGEFORMAT </w:instrText>
      </w:r>
      <w:r w:rsidR="00852235">
        <w:rPr>
          <w:rFonts w:asciiTheme="minorHAnsi" w:hAnsiTheme="minorHAnsi"/>
        </w:rPr>
      </w:r>
      <w:r w:rsidR="00852235">
        <w:rPr>
          <w:rFonts w:asciiTheme="minorHAnsi" w:hAnsiTheme="minorHAnsi"/>
        </w:rPr>
        <w:fldChar w:fldCharType="separate"/>
      </w:r>
      <w:r w:rsidR="00D44BCF">
        <w:rPr>
          <w:rFonts w:asciiTheme="minorHAnsi" w:hAnsiTheme="minorHAnsi"/>
        </w:rPr>
        <w:t>7.11</w:t>
      </w:r>
      <w:r w:rsidR="00852235">
        <w:rPr>
          <w:rFonts w:asciiTheme="minorHAnsi" w:hAnsiTheme="minorHAnsi"/>
        </w:rPr>
        <w:fldChar w:fldCharType="end"/>
      </w:r>
      <w:r w:rsidR="00852235">
        <w:rPr>
          <w:rFonts w:asciiTheme="minorHAnsi" w:hAnsiTheme="minorHAnsi"/>
        </w:rPr>
        <w:t xml:space="preserve"> </w:t>
      </w:r>
      <w:r w:rsidR="00852235">
        <w:rPr>
          <w:rFonts w:asciiTheme="minorHAnsi" w:hAnsiTheme="minorHAnsi"/>
        </w:rPr>
        <w:fldChar w:fldCharType="begin"/>
      </w:r>
      <w:r w:rsidR="00852235">
        <w:rPr>
          <w:rFonts w:asciiTheme="minorHAnsi" w:hAnsiTheme="minorHAnsi"/>
        </w:rPr>
        <w:instrText xml:space="preserve"> REF _Ref517020948 \h  \* MERGEFORMAT </w:instrText>
      </w:r>
      <w:r w:rsidR="00852235">
        <w:rPr>
          <w:rFonts w:asciiTheme="minorHAnsi" w:hAnsiTheme="minorHAnsi"/>
        </w:rPr>
      </w:r>
      <w:r w:rsidR="00852235">
        <w:rPr>
          <w:rFonts w:asciiTheme="minorHAnsi" w:hAnsiTheme="minorHAnsi"/>
        </w:rPr>
        <w:fldChar w:fldCharType="separate"/>
      </w:r>
      <w:r w:rsidR="00D44BCF" w:rsidRPr="00D44BCF">
        <w:rPr>
          <w:rFonts w:asciiTheme="minorHAnsi" w:hAnsiTheme="minorHAnsi"/>
        </w:rPr>
        <w:t>Requirement to warn a terrorism offender about the possibility of a continuing detention order</w:t>
      </w:r>
      <w:r w:rsidR="00852235">
        <w:rPr>
          <w:rFonts w:asciiTheme="minorHAnsi" w:hAnsiTheme="minorHAnsi"/>
        </w:rPr>
        <w:fldChar w:fldCharType="end"/>
      </w:r>
      <w:r w:rsidR="00852235">
        <w:rPr>
          <w:rFonts w:asciiTheme="minorHAnsi" w:hAnsiTheme="minorHAnsi"/>
        </w:rPr>
        <w:t>”.</w:t>
      </w:r>
    </w:p>
    <w:p w14:paraId="53AF4698" w14:textId="77777777" w:rsidR="00D82CB8" w:rsidRPr="00D82CB8" w:rsidRDefault="00D82CB8" w:rsidP="00D82CB8">
      <w:pPr>
        <w:pStyle w:val="ListParagraph"/>
        <w:rPr>
          <w:rFonts w:asciiTheme="minorHAnsi" w:hAnsiTheme="minorHAnsi"/>
          <w:szCs w:val="22"/>
        </w:rPr>
      </w:pPr>
    </w:p>
    <w:p w14:paraId="37E877E4" w14:textId="3EDB9D97" w:rsidR="00FC23E6" w:rsidRDefault="00FC23E6" w:rsidP="00EB7F1E">
      <w:pPr>
        <w:pStyle w:val="ListParagraph"/>
        <w:numPr>
          <w:ilvl w:val="0"/>
          <w:numId w:val="7"/>
        </w:numPr>
        <w:spacing w:line="276" w:lineRule="auto"/>
        <w:ind w:left="425" w:hanging="425"/>
        <w:contextualSpacing w:val="0"/>
        <w:rPr>
          <w:rFonts w:asciiTheme="minorHAnsi" w:hAnsiTheme="minorHAnsi"/>
          <w:szCs w:val="22"/>
        </w:rPr>
      </w:pPr>
      <w:r>
        <w:rPr>
          <w:rFonts w:asciiTheme="minorHAnsi" w:hAnsiTheme="minorHAnsi"/>
          <w:szCs w:val="22"/>
        </w:rPr>
        <w:t xml:space="preserve">Courts have declined to treat </w:t>
      </w:r>
      <w:r w:rsidR="00E31AC2">
        <w:rPr>
          <w:rFonts w:asciiTheme="minorHAnsi" w:hAnsiTheme="minorHAnsi"/>
          <w:szCs w:val="22"/>
        </w:rPr>
        <w:t xml:space="preserve">as a mitigating factor in sentencing </w:t>
      </w:r>
      <w:r>
        <w:rPr>
          <w:rFonts w:asciiTheme="minorHAnsi" w:hAnsiTheme="minorHAnsi"/>
          <w:szCs w:val="22"/>
        </w:rPr>
        <w:t>the possibility that an offender will be subject to a control order</w:t>
      </w:r>
      <w:r w:rsidR="00E31AC2" w:rsidRPr="00C00000">
        <w:rPr>
          <w:rStyle w:val="Style"/>
          <w:rFonts w:asciiTheme="minorHAnsi" w:hAnsiTheme="minorHAnsi"/>
        </w:rPr>
        <w:footnoteReference w:id="562"/>
      </w:r>
      <w:r>
        <w:rPr>
          <w:rFonts w:asciiTheme="minorHAnsi" w:hAnsiTheme="minorHAnsi"/>
          <w:szCs w:val="22"/>
        </w:rPr>
        <w:t xml:space="preserve"> or </w:t>
      </w:r>
      <w:r w:rsidR="008A6F34">
        <w:rPr>
          <w:rFonts w:asciiTheme="minorHAnsi" w:hAnsiTheme="minorHAnsi"/>
          <w:szCs w:val="22"/>
        </w:rPr>
        <w:t>CDO</w:t>
      </w:r>
      <w:r w:rsidR="00491276">
        <w:rPr>
          <w:rFonts w:asciiTheme="minorHAnsi" w:hAnsiTheme="minorHAnsi"/>
          <w:szCs w:val="22"/>
        </w:rPr>
        <w:t>.</w:t>
      </w:r>
      <w:r w:rsidR="00491276" w:rsidRPr="00C00000">
        <w:rPr>
          <w:rStyle w:val="Style"/>
          <w:rFonts w:asciiTheme="minorHAnsi" w:hAnsiTheme="minorHAnsi"/>
        </w:rPr>
        <w:footnoteReference w:id="563"/>
      </w:r>
      <w:r w:rsidR="00491276">
        <w:rPr>
          <w:rFonts w:asciiTheme="minorHAnsi" w:hAnsiTheme="minorHAnsi"/>
          <w:szCs w:val="22"/>
        </w:rPr>
        <w:t xml:space="preserve">  </w:t>
      </w:r>
      <w:r w:rsidR="00666C01">
        <w:rPr>
          <w:rFonts w:asciiTheme="minorHAnsi" w:hAnsiTheme="minorHAnsi"/>
          <w:szCs w:val="22"/>
        </w:rPr>
        <w:t xml:space="preserve">In </w:t>
      </w:r>
      <w:r w:rsidR="00666C01" w:rsidRPr="00666C01">
        <w:rPr>
          <w:rFonts w:asciiTheme="minorHAnsi" w:hAnsiTheme="minorHAnsi"/>
          <w:i/>
          <w:szCs w:val="22"/>
        </w:rPr>
        <w:t>Besim and MHK</w:t>
      </w:r>
      <w:r w:rsidR="003D5832">
        <w:rPr>
          <w:rFonts w:asciiTheme="minorHAnsi" w:hAnsiTheme="minorHAnsi"/>
          <w:i/>
          <w:szCs w:val="22"/>
        </w:rPr>
        <w:t xml:space="preserve"> (No 3)</w:t>
      </w:r>
      <w:r w:rsidR="00666C01">
        <w:rPr>
          <w:rFonts w:asciiTheme="minorHAnsi" w:hAnsiTheme="minorHAnsi"/>
          <w:szCs w:val="22"/>
        </w:rPr>
        <w:t xml:space="preserve">, the </w:t>
      </w:r>
      <w:r w:rsidR="009E23B1">
        <w:rPr>
          <w:rFonts w:asciiTheme="minorHAnsi" w:hAnsiTheme="minorHAnsi"/>
          <w:szCs w:val="22"/>
        </w:rPr>
        <w:t xml:space="preserve">Victorian </w:t>
      </w:r>
      <w:r w:rsidR="00666C01">
        <w:rPr>
          <w:rFonts w:asciiTheme="minorHAnsi" w:hAnsiTheme="minorHAnsi"/>
          <w:szCs w:val="22"/>
        </w:rPr>
        <w:t>Court</w:t>
      </w:r>
      <w:r w:rsidR="009E23B1">
        <w:rPr>
          <w:rFonts w:asciiTheme="minorHAnsi" w:hAnsiTheme="minorHAnsi"/>
          <w:szCs w:val="22"/>
        </w:rPr>
        <w:t xml:space="preserve"> of Appeal</w:t>
      </w:r>
      <w:r w:rsidR="00666C01">
        <w:rPr>
          <w:rFonts w:asciiTheme="minorHAnsi" w:hAnsiTheme="minorHAnsi"/>
          <w:szCs w:val="22"/>
        </w:rPr>
        <w:t xml:space="preserve"> </w:t>
      </w:r>
      <w:r w:rsidR="00F47D0C">
        <w:rPr>
          <w:rFonts w:asciiTheme="minorHAnsi" w:hAnsiTheme="minorHAnsi"/>
          <w:szCs w:val="22"/>
        </w:rPr>
        <w:t>emphas</w:t>
      </w:r>
      <w:r w:rsidR="00B86888">
        <w:rPr>
          <w:rFonts w:asciiTheme="minorHAnsi" w:hAnsiTheme="minorHAnsi"/>
          <w:szCs w:val="22"/>
        </w:rPr>
        <w:t>ised</w:t>
      </w:r>
      <w:r w:rsidR="00666C01">
        <w:rPr>
          <w:rFonts w:asciiTheme="minorHAnsi" w:hAnsiTheme="minorHAnsi"/>
          <w:szCs w:val="22"/>
        </w:rPr>
        <w:t xml:space="preserve"> not only </w:t>
      </w:r>
      <w:r w:rsidR="00EC18AC">
        <w:rPr>
          <w:rFonts w:asciiTheme="minorHAnsi" w:hAnsiTheme="minorHAnsi"/>
          <w:szCs w:val="22"/>
        </w:rPr>
        <w:t xml:space="preserve">that </w:t>
      </w:r>
      <w:r w:rsidR="00666C01">
        <w:rPr>
          <w:rFonts w:asciiTheme="minorHAnsi" w:hAnsiTheme="minorHAnsi"/>
          <w:szCs w:val="22"/>
        </w:rPr>
        <w:t xml:space="preserve">the possibility of a </w:t>
      </w:r>
      <w:r w:rsidR="008B7A34">
        <w:rPr>
          <w:rFonts w:asciiTheme="minorHAnsi" w:hAnsiTheme="minorHAnsi"/>
          <w:szCs w:val="22"/>
        </w:rPr>
        <w:t>CDO</w:t>
      </w:r>
      <w:r w:rsidR="00666C01">
        <w:rPr>
          <w:rFonts w:asciiTheme="minorHAnsi" w:hAnsiTheme="minorHAnsi"/>
          <w:szCs w:val="22"/>
        </w:rPr>
        <w:t xml:space="preserve"> </w:t>
      </w:r>
      <w:r w:rsidR="00EC18AC">
        <w:rPr>
          <w:rFonts w:asciiTheme="minorHAnsi" w:hAnsiTheme="minorHAnsi"/>
          <w:szCs w:val="22"/>
        </w:rPr>
        <w:t xml:space="preserve">was </w:t>
      </w:r>
      <w:r w:rsidR="003D5832">
        <w:rPr>
          <w:rFonts w:asciiTheme="minorHAnsi" w:hAnsiTheme="minorHAnsi"/>
          <w:szCs w:val="22"/>
        </w:rPr>
        <w:t xml:space="preserve">merely </w:t>
      </w:r>
      <w:r w:rsidR="00CF5E84">
        <w:rPr>
          <w:rFonts w:asciiTheme="minorHAnsi" w:hAnsiTheme="minorHAnsi"/>
          <w:szCs w:val="22"/>
        </w:rPr>
        <w:t xml:space="preserve">a matter of speculation at the time of sentencing, but also </w:t>
      </w:r>
      <w:r w:rsidR="00EC18AC">
        <w:rPr>
          <w:rFonts w:asciiTheme="minorHAnsi" w:hAnsiTheme="minorHAnsi"/>
          <w:szCs w:val="22"/>
        </w:rPr>
        <w:t xml:space="preserve">that such a </w:t>
      </w:r>
      <w:r w:rsidR="00CF5E84">
        <w:rPr>
          <w:rFonts w:asciiTheme="minorHAnsi" w:hAnsiTheme="minorHAnsi"/>
          <w:szCs w:val="22"/>
        </w:rPr>
        <w:t xml:space="preserve">possibility did not </w:t>
      </w:r>
      <w:r w:rsidR="00D95117">
        <w:rPr>
          <w:rFonts w:asciiTheme="minorHAnsi" w:hAnsiTheme="minorHAnsi"/>
          <w:szCs w:val="22"/>
        </w:rPr>
        <w:t xml:space="preserve">affect the </w:t>
      </w:r>
      <w:r w:rsidR="0061030C">
        <w:rPr>
          <w:rFonts w:asciiTheme="minorHAnsi" w:hAnsiTheme="minorHAnsi"/>
          <w:szCs w:val="22"/>
        </w:rPr>
        <w:t>sentencing c</w:t>
      </w:r>
      <w:r w:rsidR="00D95117">
        <w:rPr>
          <w:rFonts w:asciiTheme="minorHAnsi" w:hAnsiTheme="minorHAnsi"/>
          <w:szCs w:val="22"/>
        </w:rPr>
        <w:t>ourt</w:t>
      </w:r>
      <w:r w:rsidR="00AA693C">
        <w:rPr>
          <w:rFonts w:asciiTheme="minorHAnsi" w:hAnsiTheme="minorHAnsi"/>
          <w:szCs w:val="22"/>
        </w:rPr>
        <w:t>’</w:t>
      </w:r>
      <w:r w:rsidR="00D95117">
        <w:rPr>
          <w:rFonts w:asciiTheme="minorHAnsi" w:hAnsiTheme="minorHAnsi"/>
          <w:szCs w:val="22"/>
        </w:rPr>
        <w:t>s synthesis of considerations of general deterrence, denunciation, protection of the community and rehabilitation.</w:t>
      </w:r>
      <w:r w:rsidR="00D95117" w:rsidRPr="00C00000">
        <w:rPr>
          <w:rStyle w:val="Style"/>
          <w:rFonts w:asciiTheme="minorHAnsi" w:hAnsiTheme="minorHAnsi"/>
        </w:rPr>
        <w:footnoteReference w:id="564"/>
      </w:r>
      <w:r w:rsidR="009E23B1">
        <w:rPr>
          <w:rFonts w:asciiTheme="minorHAnsi" w:hAnsiTheme="minorHAnsi"/>
          <w:szCs w:val="22"/>
        </w:rPr>
        <w:t xml:space="preserve">  Moreover the Court rejected a contention that the prospect of a </w:t>
      </w:r>
      <w:r w:rsidR="008B7A34">
        <w:rPr>
          <w:rFonts w:asciiTheme="minorHAnsi" w:hAnsiTheme="minorHAnsi"/>
          <w:szCs w:val="22"/>
        </w:rPr>
        <w:t>CDO</w:t>
      </w:r>
      <w:r w:rsidR="009E23B1">
        <w:rPr>
          <w:rFonts w:asciiTheme="minorHAnsi" w:hAnsiTheme="minorHAnsi"/>
          <w:szCs w:val="22"/>
        </w:rPr>
        <w:t xml:space="preserve"> should mitigate the sentence on the basis that it would make imprisonment more burdensome</w:t>
      </w:r>
      <w:r w:rsidR="008B7A34">
        <w:rPr>
          <w:rFonts w:asciiTheme="minorHAnsi" w:hAnsiTheme="minorHAnsi"/>
          <w:szCs w:val="22"/>
        </w:rPr>
        <w:t xml:space="preserve">. </w:t>
      </w:r>
      <w:r w:rsidR="009E23B1">
        <w:rPr>
          <w:rFonts w:asciiTheme="minorHAnsi" w:hAnsiTheme="minorHAnsi"/>
          <w:szCs w:val="22"/>
        </w:rPr>
        <w:t xml:space="preserve"> </w:t>
      </w:r>
      <w:r w:rsidR="008B7A34">
        <w:rPr>
          <w:rFonts w:asciiTheme="minorHAnsi" w:hAnsiTheme="minorHAnsi"/>
          <w:szCs w:val="22"/>
        </w:rPr>
        <w:t xml:space="preserve">Not </w:t>
      </w:r>
      <w:r w:rsidR="009E23B1">
        <w:rPr>
          <w:rFonts w:asciiTheme="minorHAnsi" w:hAnsiTheme="minorHAnsi"/>
          <w:szCs w:val="22"/>
        </w:rPr>
        <w:t>only was there no evidence to support the contention</w:t>
      </w:r>
      <w:r w:rsidR="00B41128">
        <w:rPr>
          <w:rFonts w:asciiTheme="minorHAnsi" w:hAnsiTheme="minorHAnsi"/>
          <w:szCs w:val="22"/>
        </w:rPr>
        <w:t xml:space="preserve"> in that case</w:t>
      </w:r>
      <w:r w:rsidR="009E23B1">
        <w:rPr>
          <w:rFonts w:asciiTheme="minorHAnsi" w:hAnsiTheme="minorHAnsi"/>
          <w:szCs w:val="22"/>
        </w:rPr>
        <w:t xml:space="preserve">, but also the prospect of a </w:t>
      </w:r>
      <w:r w:rsidR="008B7A34">
        <w:rPr>
          <w:rFonts w:asciiTheme="minorHAnsi" w:hAnsiTheme="minorHAnsi"/>
          <w:szCs w:val="22"/>
        </w:rPr>
        <w:t>CDO was merely an incident of the offending and of the sentences imposed, and w</w:t>
      </w:r>
      <w:r w:rsidR="005B7545">
        <w:rPr>
          <w:rFonts w:asciiTheme="minorHAnsi" w:hAnsiTheme="minorHAnsi"/>
          <w:szCs w:val="22"/>
        </w:rPr>
        <w:t>as</w:t>
      </w:r>
      <w:r w:rsidR="008B7A34">
        <w:rPr>
          <w:rFonts w:asciiTheme="minorHAnsi" w:hAnsiTheme="minorHAnsi"/>
          <w:szCs w:val="22"/>
        </w:rPr>
        <w:t xml:space="preserve"> therefore not mitigating.</w:t>
      </w:r>
      <w:r w:rsidR="003D5832" w:rsidRPr="00C00000">
        <w:rPr>
          <w:rStyle w:val="Style"/>
          <w:rFonts w:asciiTheme="minorHAnsi" w:hAnsiTheme="minorHAnsi"/>
        </w:rPr>
        <w:footnoteReference w:id="565"/>
      </w:r>
    </w:p>
    <w:p w14:paraId="01BDB6D3" w14:textId="77777777" w:rsidR="00FC23E6" w:rsidRPr="00FC23E6" w:rsidRDefault="00FC23E6" w:rsidP="00FC23E6">
      <w:pPr>
        <w:pStyle w:val="ListParagraph"/>
        <w:rPr>
          <w:rFonts w:asciiTheme="minorHAnsi" w:hAnsiTheme="minorHAnsi"/>
          <w:szCs w:val="22"/>
        </w:rPr>
      </w:pPr>
    </w:p>
    <w:p w14:paraId="56C73DCF" w14:textId="3818A8B9" w:rsidR="001D31AE" w:rsidRDefault="00AD11EC" w:rsidP="001F7E6F">
      <w:pPr>
        <w:pStyle w:val="Heading3"/>
      </w:pPr>
      <w:bookmarkStart w:id="1537" w:name="_Toc33602815"/>
      <w:r>
        <w:t>“</w:t>
      </w:r>
      <w:r w:rsidR="00393088">
        <w:t>Double j</w:t>
      </w:r>
      <w:r w:rsidR="001D31AE" w:rsidRPr="0073451C">
        <w:t>eopardy</w:t>
      </w:r>
      <w:r>
        <w:t>”</w:t>
      </w:r>
      <w:r w:rsidR="001D31AE" w:rsidRPr="0073451C">
        <w:t xml:space="preserve"> in resentencin</w:t>
      </w:r>
      <w:r w:rsidR="004A4886">
        <w:t xml:space="preserve">g </w:t>
      </w:r>
      <w:r w:rsidR="00CB1AF2">
        <w:t>on</w:t>
      </w:r>
      <w:r w:rsidR="004A4886">
        <w:t xml:space="preserve"> prosecution appeal</w:t>
      </w:r>
      <w:bookmarkEnd w:id="1537"/>
    </w:p>
    <w:p w14:paraId="635EB686" w14:textId="77777777" w:rsidR="004A4886" w:rsidRPr="00576EEE" w:rsidRDefault="004A4886" w:rsidP="001F7E6F">
      <w:pPr>
        <w:pStyle w:val="NormalIndent"/>
        <w:keepNext/>
        <w:rPr>
          <w:rFonts w:ascii="Calibri" w:hAnsi="Calibri"/>
        </w:rPr>
      </w:pPr>
    </w:p>
    <w:p w14:paraId="7A0A890F" w14:textId="0A399275" w:rsidR="0066327B" w:rsidRDefault="004A488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resentencing an offender following a successfully prosecution appeal, appellate courts have </w:t>
      </w:r>
      <w:r w:rsidR="00D32A13">
        <w:rPr>
          <w:rFonts w:asciiTheme="minorHAnsi" w:hAnsiTheme="minorHAnsi"/>
        </w:rPr>
        <w:t>often</w:t>
      </w:r>
      <w:r>
        <w:rPr>
          <w:rFonts w:asciiTheme="minorHAnsi" w:hAnsiTheme="minorHAnsi"/>
        </w:rPr>
        <w:t xml:space="preserve"> </w:t>
      </w:r>
      <w:r w:rsidR="00D32A13">
        <w:rPr>
          <w:rFonts w:asciiTheme="minorHAnsi" w:hAnsiTheme="minorHAnsi"/>
        </w:rPr>
        <w:t xml:space="preserve">treated as a mitigating factor </w:t>
      </w:r>
      <w:r>
        <w:rPr>
          <w:rFonts w:asciiTheme="minorHAnsi" w:hAnsiTheme="minorHAnsi"/>
        </w:rPr>
        <w:t>the stress and anxiety of the respondent to the appeal while the appeal is pending</w:t>
      </w:r>
      <w:r w:rsidR="00D32A13">
        <w:rPr>
          <w:rFonts w:asciiTheme="minorHAnsi" w:hAnsiTheme="minorHAnsi"/>
        </w:rPr>
        <w:t>.</w:t>
      </w:r>
      <w:r w:rsidR="00D32A13" w:rsidRPr="00C00000">
        <w:rPr>
          <w:rStyle w:val="Style"/>
          <w:rFonts w:asciiTheme="minorHAnsi" w:hAnsiTheme="minorHAnsi"/>
        </w:rPr>
        <w:footnoteReference w:id="566"/>
      </w:r>
      <w:r w:rsidR="00D32A13">
        <w:rPr>
          <w:rFonts w:asciiTheme="minorHAnsi" w:hAnsiTheme="minorHAnsi"/>
        </w:rPr>
        <w:t xml:space="preserve">  This is sometimes said to involve </w:t>
      </w:r>
      <w:r w:rsidR="00D32A13" w:rsidRPr="00C00000">
        <w:rPr>
          <w:rFonts w:asciiTheme="minorHAnsi" w:hAnsiTheme="minorHAnsi"/>
        </w:rPr>
        <w:t>an element of “double jeopardy”</w:t>
      </w:r>
      <w:r w:rsidR="00D32A13">
        <w:rPr>
          <w:rFonts w:asciiTheme="minorHAnsi" w:hAnsiTheme="minorHAnsi"/>
        </w:rPr>
        <w:t>.</w:t>
      </w:r>
      <w:r w:rsidR="001E3E6A" w:rsidRPr="00C00000">
        <w:rPr>
          <w:rStyle w:val="Style"/>
          <w:rFonts w:asciiTheme="minorHAnsi" w:hAnsiTheme="minorHAnsi"/>
        </w:rPr>
        <w:footnoteReference w:id="567"/>
      </w:r>
      <w:r w:rsidR="009B5D62" w:rsidRPr="009B5D62">
        <w:rPr>
          <w:rFonts w:asciiTheme="minorHAnsi" w:hAnsiTheme="minorHAnsi"/>
        </w:rPr>
        <w:t xml:space="preserve"> </w:t>
      </w:r>
      <w:r w:rsidR="009B5D62">
        <w:rPr>
          <w:rFonts w:asciiTheme="minorHAnsi" w:hAnsiTheme="minorHAnsi"/>
        </w:rPr>
        <w:t xml:space="preserve"> In </w:t>
      </w:r>
      <w:r w:rsidR="00E81F2A">
        <w:rPr>
          <w:rFonts w:asciiTheme="minorHAnsi" w:hAnsiTheme="minorHAnsi"/>
        </w:rPr>
        <w:t>most</w:t>
      </w:r>
      <w:r w:rsidR="009B5D62">
        <w:rPr>
          <w:rFonts w:asciiTheme="minorHAnsi" w:hAnsiTheme="minorHAnsi"/>
        </w:rPr>
        <w:t xml:space="preserve"> jurisdictions (</w:t>
      </w:r>
      <w:r w:rsidR="00E81F2A">
        <w:rPr>
          <w:rFonts w:asciiTheme="minorHAnsi" w:hAnsiTheme="minorHAnsi"/>
        </w:rPr>
        <w:t>including</w:t>
      </w:r>
      <w:r w:rsidR="009B5D62">
        <w:rPr>
          <w:rFonts w:asciiTheme="minorHAnsi" w:hAnsiTheme="minorHAnsi"/>
        </w:rPr>
        <w:t xml:space="preserve"> </w:t>
      </w:r>
      <w:r w:rsidR="00282DEB">
        <w:rPr>
          <w:rFonts w:asciiTheme="minorHAnsi" w:hAnsiTheme="minorHAnsi"/>
        </w:rPr>
        <w:t>NSW</w:t>
      </w:r>
      <w:r w:rsidR="00BF6AA3">
        <w:rPr>
          <w:rFonts w:asciiTheme="minorHAnsi" w:hAnsiTheme="minorHAnsi"/>
        </w:rPr>
        <w:t>,</w:t>
      </w:r>
      <w:r w:rsidR="00282DEB" w:rsidRPr="00C00000">
        <w:rPr>
          <w:rStyle w:val="Style"/>
          <w:rFonts w:asciiTheme="minorHAnsi" w:hAnsiTheme="minorHAnsi"/>
        </w:rPr>
        <w:footnoteReference w:id="568"/>
      </w:r>
      <w:r w:rsidR="00282DEB" w:rsidRPr="00282DEB">
        <w:rPr>
          <w:rFonts w:asciiTheme="minorHAnsi" w:hAnsiTheme="minorHAnsi"/>
        </w:rPr>
        <w:t xml:space="preserve"> </w:t>
      </w:r>
      <w:r w:rsidR="009B5D62">
        <w:rPr>
          <w:rFonts w:asciiTheme="minorHAnsi" w:hAnsiTheme="minorHAnsi"/>
        </w:rPr>
        <w:t>Victoria</w:t>
      </w:r>
      <w:r w:rsidR="00BF6AA3">
        <w:rPr>
          <w:rFonts w:asciiTheme="minorHAnsi" w:hAnsiTheme="minorHAnsi"/>
        </w:rPr>
        <w:t>,</w:t>
      </w:r>
      <w:r w:rsidR="009B5D62" w:rsidRPr="00C00000">
        <w:rPr>
          <w:rStyle w:val="Style"/>
          <w:rFonts w:asciiTheme="minorHAnsi" w:hAnsiTheme="minorHAnsi"/>
        </w:rPr>
        <w:footnoteReference w:id="569"/>
      </w:r>
      <w:r w:rsidR="00BF6AA3">
        <w:rPr>
          <w:rFonts w:asciiTheme="minorHAnsi" w:hAnsiTheme="minorHAnsi"/>
        </w:rPr>
        <w:t xml:space="preserve"> </w:t>
      </w:r>
      <w:r w:rsidR="00E81F2A">
        <w:rPr>
          <w:rFonts w:asciiTheme="minorHAnsi" w:hAnsiTheme="minorHAnsi"/>
        </w:rPr>
        <w:t>Western Australia,</w:t>
      </w:r>
      <w:r w:rsidR="00E81F2A" w:rsidRPr="00C00000">
        <w:rPr>
          <w:rStyle w:val="Style"/>
          <w:rFonts w:asciiTheme="minorHAnsi" w:hAnsiTheme="minorHAnsi"/>
        </w:rPr>
        <w:footnoteReference w:id="570"/>
      </w:r>
      <w:r w:rsidR="00E81F2A">
        <w:rPr>
          <w:rFonts w:asciiTheme="minorHAnsi" w:hAnsiTheme="minorHAnsi"/>
        </w:rPr>
        <w:t xml:space="preserve"> </w:t>
      </w:r>
      <w:r w:rsidR="00BF6AA3">
        <w:rPr>
          <w:rFonts w:asciiTheme="minorHAnsi" w:hAnsiTheme="minorHAnsi"/>
        </w:rPr>
        <w:t>South Australia</w:t>
      </w:r>
      <w:r w:rsidR="00BF6AA3" w:rsidRPr="00C00000">
        <w:rPr>
          <w:rStyle w:val="Style"/>
          <w:rFonts w:asciiTheme="minorHAnsi" w:hAnsiTheme="minorHAnsi"/>
        </w:rPr>
        <w:footnoteReference w:id="571"/>
      </w:r>
      <w:r w:rsidR="007450AE">
        <w:rPr>
          <w:rFonts w:asciiTheme="minorHAnsi" w:hAnsiTheme="minorHAnsi"/>
        </w:rPr>
        <w:t xml:space="preserve"> </w:t>
      </w:r>
      <w:r w:rsidR="00CE4B20">
        <w:rPr>
          <w:rFonts w:asciiTheme="minorHAnsi" w:hAnsiTheme="minorHAnsi"/>
        </w:rPr>
        <w:t xml:space="preserve">and </w:t>
      </w:r>
      <w:r w:rsidR="007450AE">
        <w:rPr>
          <w:rFonts w:asciiTheme="minorHAnsi" w:hAnsiTheme="minorHAnsi"/>
        </w:rPr>
        <w:t>the ACT</w:t>
      </w:r>
      <w:r w:rsidR="00B62E19" w:rsidRPr="00C00000">
        <w:rPr>
          <w:rStyle w:val="Style"/>
          <w:rFonts w:asciiTheme="minorHAnsi" w:hAnsiTheme="minorHAnsi"/>
        </w:rPr>
        <w:footnoteReference w:id="572"/>
      </w:r>
      <w:r w:rsidR="00333082">
        <w:rPr>
          <w:rFonts w:asciiTheme="minorHAnsi" w:hAnsiTheme="minorHAnsi"/>
        </w:rPr>
        <w:t>)</w:t>
      </w:r>
      <w:r w:rsidR="009B5D62">
        <w:rPr>
          <w:rFonts w:asciiTheme="minorHAnsi" w:hAnsiTheme="minorHAnsi"/>
        </w:rPr>
        <w:t>, this practice has been reversed by statute.</w:t>
      </w:r>
    </w:p>
    <w:p w14:paraId="6AAF8A98" w14:textId="77777777" w:rsidR="00D32A13" w:rsidRPr="00D32A13" w:rsidRDefault="00D32A13" w:rsidP="00D32A13">
      <w:pPr>
        <w:widowControl w:val="0"/>
        <w:spacing w:line="276" w:lineRule="auto"/>
        <w:ind w:right="170"/>
        <w:rPr>
          <w:rFonts w:asciiTheme="minorHAnsi" w:hAnsiTheme="minorHAnsi"/>
        </w:rPr>
      </w:pPr>
    </w:p>
    <w:p w14:paraId="73446469" w14:textId="3745FCD3" w:rsidR="00F15A6D" w:rsidRDefault="009B5D6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9B5D62">
        <w:rPr>
          <w:rFonts w:asciiTheme="minorHAnsi" w:hAnsiTheme="minorHAnsi"/>
          <w:i/>
        </w:rPr>
        <w:t>Bui</w:t>
      </w:r>
      <w:r>
        <w:rPr>
          <w:rFonts w:asciiTheme="minorHAnsi" w:hAnsiTheme="minorHAnsi"/>
        </w:rPr>
        <w:t>,</w:t>
      </w:r>
      <w:r w:rsidRPr="00C00000">
        <w:rPr>
          <w:rStyle w:val="Style"/>
          <w:rFonts w:asciiTheme="minorHAnsi" w:hAnsiTheme="minorHAnsi"/>
        </w:rPr>
        <w:footnoteReference w:id="573"/>
      </w:r>
      <w:r>
        <w:rPr>
          <w:rFonts w:asciiTheme="minorHAnsi" w:hAnsiTheme="minorHAnsi"/>
        </w:rPr>
        <w:t xml:space="preserve"> the </w:t>
      </w:r>
      <w:r w:rsidR="00282DEB">
        <w:rPr>
          <w:rFonts w:asciiTheme="minorHAnsi" w:hAnsiTheme="minorHAnsi"/>
        </w:rPr>
        <w:t xml:space="preserve">Commonwealth </w:t>
      </w:r>
      <w:r>
        <w:rPr>
          <w:rFonts w:asciiTheme="minorHAnsi" w:hAnsiTheme="minorHAnsi"/>
        </w:rPr>
        <w:t xml:space="preserve">Director contended that a State statute which precluded an appeal court from having regard to </w:t>
      </w:r>
      <w:r w:rsidR="0085512C">
        <w:rPr>
          <w:rFonts w:asciiTheme="minorHAnsi" w:hAnsiTheme="minorHAnsi"/>
        </w:rPr>
        <w:t>any “</w:t>
      </w:r>
      <w:r w:rsidR="0085512C" w:rsidRPr="00DA4E0A">
        <w:rPr>
          <w:rFonts w:asciiTheme="minorHAnsi" w:hAnsiTheme="minorHAnsi"/>
          <w:i/>
        </w:rPr>
        <w:t xml:space="preserve">element of </w:t>
      </w:r>
      <w:r w:rsidRPr="00DA4E0A">
        <w:rPr>
          <w:rFonts w:asciiTheme="minorHAnsi" w:hAnsiTheme="minorHAnsi"/>
          <w:i/>
        </w:rPr>
        <w:t>double jeopardy</w:t>
      </w:r>
      <w:r>
        <w:rPr>
          <w:rFonts w:asciiTheme="minorHAnsi" w:hAnsiTheme="minorHAnsi"/>
        </w:rPr>
        <w:t xml:space="preserve">” in resentencing </w:t>
      </w:r>
      <w:r w:rsidR="0085512C">
        <w:rPr>
          <w:rFonts w:asciiTheme="minorHAnsi" w:hAnsiTheme="minorHAnsi"/>
        </w:rPr>
        <w:t xml:space="preserve">the respondent </w:t>
      </w:r>
      <w:r>
        <w:rPr>
          <w:rFonts w:asciiTheme="minorHAnsi" w:hAnsiTheme="minorHAnsi"/>
        </w:rPr>
        <w:t>following a successful prosecution appeal</w:t>
      </w:r>
      <w:r w:rsidR="00D544DF">
        <w:rPr>
          <w:rFonts w:asciiTheme="minorHAnsi" w:hAnsiTheme="minorHAnsi"/>
        </w:rPr>
        <w:t xml:space="preserve"> w</w:t>
      </w:r>
      <w:r w:rsidR="0085512C">
        <w:rPr>
          <w:rFonts w:asciiTheme="minorHAnsi" w:hAnsiTheme="minorHAnsi"/>
        </w:rPr>
        <w:t>as</w:t>
      </w:r>
      <w:r w:rsidR="00D544DF">
        <w:rPr>
          <w:rFonts w:asciiTheme="minorHAnsi" w:hAnsiTheme="minorHAnsi"/>
        </w:rPr>
        <w:t xml:space="preserve"> </w:t>
      </w:r>
      <w:r w:rsidR="001D31AE" w:rsidRPr="00C00000">
        <w:rPr>
          <w:rFonts w:asciiTheme="minorHAnsi" w:hAnsiTheme="minorHAnsi"/>
        </w:rPr>
        <w:t xml:space="preserve">applied </w:t>
      </w:r>
      <w:r w:rsidR="00D544DF">
        <w:rPr>
          <w:rFonts w:asciiTheme="minorHAnsi" w:hAnsiTheme="minorHAnsi"/>
        </w:rPr>
        <w:t xml:space="preserve">to the sentencing of a </w:t>
      </w:r>
      <w:r w:rsidR="001D31AE" w:rsidRPr="00C00000">
        <w:rPr>
          <w:rFonts w:asciiTheme="minorHAnsi" w:hAnsiTheme="minorHAnsi"/>
        </w:rPr>
        <w:t>federal offender</w:t>
      </w:r>
      <w:r w:rsidR="00D544DF">
        <w:rPr>
          <w:rFonts w:asciiTheme="minorHAnsi" w:hAnsiTheme="minorHAnsi"/>
        </w:rPr>
        <w:t xml:space="preserve"> by the provisions of</w:t>
      </w:r>
      <w:r w:rsidR="001D31AE" w:rsidRPr="00C00000">
        <w:rPr>
          <w:rFonts w:asciiTheme="minorHAnsi" w:hAnsiTheme="minorHAnsi"/>
        </w:rPr>
        <w:t xml:space="preserve"> the </w:t>
      </w:r>
      <w:r w:rsidR="001D31AE" w:rsidRPr="00C00000">
        <w:rPr>
          <w:rFonts w:asciiTheme="minorHAnsi" w:hAnsiTheme="minorHAnsi"/>
          <w:i/>
        </w:rPr>
        <w:t xml:space="preserve">Judiciary Act 1903 </w:t>
      </w:r>
      <w:r w:rsidR="001D31AE" w:rsidRPr="00C00000">
        <w:rPr>
          <w:rFonts w:asciiTheme="minorHAnsi" w:hAnsiTheme="minorHAnsi"/>
        </w:rPr>
        <w:t>(Cth)</w:t>
      </w:r>
      <w:r w:rsidR="001D31AE" w:rsidRPr="00C00000">
        <w:rPr>
          <w:rFonts w:asciiTheme="minorHAnsi" w:hAnsiTheme="minorHAnsi"/>
          <w:i/>
        </w:rPr>
        <w:t xml:space="preserve">. </w:t>
      </w:r>
      <w:r w:rsidR="001D31AE" w:rsidRPr="00C00000">
        <w:rPr>
          <w:rFonts w:asciiTheme="minorHAnsi" w:hAnsiTheme="minorHAnsi"/>
        </w:rPr>
        <w:t xml:space="preserve"> </w:t>
      </w:r>
      <w:r w:rsidR="00D544DF">
        <w:rPr>
          <w:rFonts w:asciiTheme="minorHAnsi" w:hAnsiTheme="minorHAnsi"/>
        </w:rPr>
        <w:t xml:space="preserve">In its decision, however, the High Court went further.  </w:t>
      </w:r>
      <w:r w:rsidR="00AD11EC">
        <w:rPr>
          <w:rFonts w:asciiTheme="minorHAnsi" w:hAnsiTheme="minorHAnsi"/>
        </w:rPr>
        <w:t xml:space="preserve">The Court held that </w:t>
      </w:r>
      <w:r w:rsidR="003724BC">
        <w:rPr>
          <w:rFonts w:asciiTheme="minorHAnsi" w:hAnsiTheme="minorHAnsi"/>
        </w:rPr>
        <w:t xml:space="preserve">the so-called principle of double jeopardy was a principle of judge-made law which was not accommodated by s 16A of the </w:t>
      </w:r>
      <w:r w:rsidR="00885EFD" w:rsidRPr="00885EFD">
        <w:rPr>
          <w:rFonts w:asciiTheme="minorHAnsi" w:hAnsiTheme="minorHAnsi"/>
          <w:i/>
        </w:rPr>
        <w:t>Crimes Act 1914</w:t>
      </w:r>
      <w:r w:rsidR="003724BC">
        <w:rPr>
          <w:rFonts w:asciiTheme="minorHAnsi" w:hAnsiTheme="minorHAnsi"/>
          <w:i/>
        </w:rPr>
        <w:t xml:space="preserve"> </w:t>
      </w:r>
      <w:r w:rsidR="003724BC" w:rsidRPr="003724BC">
        <w:rPr>
          <w:rFonts w:asciiTheme="minorHAnsi" w:hAnsiTheme="minorHAnsi"/>
        </w:rPr>
        <w:t>(Cth)</w:t>
      </w:r>
      <w:r w:rsidR="003724BC">
        <w:rPr>
          <w:rFonts w:asciiTheme="minorHAnsi" w:hAnsiTheme="minorHAnsi"/>
        </w:rPr>
        <w:t xml:space="preserve">, and was not picked up or applied by s 80 of the </w:t>
      </w:r>
      <w:r w:rsidR="003724BC" w:rsidRPr="003724BC">
        <w:rPr>
          <w:rFonts w:asciiTheme="minorHAnsi" w:hAnsiTheme="minorHAnsi"/>
          <w:i/>
        </w:rPr>
        <w:t>Judiciary Act 1903</w:t>
      </w:r>
      <w:r w:rsidR="003724BC">
        <w:rPr>
          <w:rFonts w:asciiTheme="minorHAnsi" w:hAnsiTheme="minorHAnsi"/>
        </w:rPr>
        <w:t xml:space="preserve"> (Cth) to a court exercising federal jurisdiction, as there was no gap in federal law. </w:t>
      </w:r>
      <w:r w:rsidR="003724BC" w:rsidRPr="003724BC">
        <w:rPr>
          <w:rFonts w:asciiTheme="minorHAnsi" w:hAnsiTheme="minorHAnsi"/>
          <w:i/>
        </w:rPr>
        <w:t xml:space="preserve"> </w:t>
      </w:r>
      <w:r w:rsidR="00F15A6D">
        <w:rPr>
          <w:rFonts w:asciiTheme="minorHAnsi" w:hAnsiTheme="minorHAnsi"/>
        </w:rPr>
        <w:t>Therefore, the Court held, no question of picking up the State provisions which excluded elements of double jeopardy arose, because the judge-made rule did not apply.</w:t>
      </w:r>
    </w:p>
    <w:p w14:paraId="51309065" w14:textId="77777777" w:rsidR="00F15A6D" w:rsidRPr="00F15A6D" w:rsidRDefault="00F15A6D" w:rsidP="00F15A6D">
      <w:pPr>
        <w:pStyle w:val="ListParagraph"/>
        <w:rPr>
          <w:rFonts w:asciiTheme="minorHAnsi" w:hAnsiTheme="minorHAnsi"/>
        </w:rPr>
      </w:pPr>
    </w:p>
    <w:p w14:paraId="02D001C1" w14:textId="3CB22C26" w:rsidR="00D544DF" w:rsidRDefault="00F15A6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effect of the decision in </w:t>
      </w:r>
      <w:r w:rsidRPr="00F15A6D">
        <w:rPr>
          <w:rFonts w:asciiTheme="minorHAnsi" w:hAnsiTheme="minorHAnsi"/>
          <w:i/>
        </w:rPr>
        <w:t>Bui</w:t>
      </w:r>
      <w:r>
        <w:rPr>
          <w:rFonts w:asciiTheme="minorHAnsi" w:hAnsiTheme="minorHAnsi"/>
        </w:rPr>
        <w:t xml:space="preserve"> is that an appellate court </w:t>
      </w:r>
      <w:r w:rsidR="005B7E17">
        <w:rPr>
          <w:rFonts w:asciiTheme="minorHAnsi" w:hAnsiTheme="minorHAnsi"/>
        </w:rPr>
        <w:t xml:space="preserve">(in any Australian State or Territory) </w:t>
      </w:r>
      <w:r>
        <w:rPr>
          <w:rFonts w:asciiTheme="minorHAnsi" w:hAnsiTheme="minorHAnsi"/>
        </w:rPr>
        <w:t>in resentencing a federal offender</w:t>
      </w:r>
      <w:r w:rsidR="005B7E17">
        <w:rPr>
          <w:rFonts w:asciiTheme="minorHAnsi" w:hAnsiTheme="minorHAnsi"/>
        </w:rPr>
        <w:t xml:space="preserve"> </w:t>
      </w:r>
      <w:r>
        <w:rPr>
          <w:rFonts w:asciiTheme="minorHAnsi" w:hAnsiTheme="minorHAnsi"/>
        </w:rPr>
        <w:t>following a successful Crown appeal must not have regard to any element of double jeopardy</w:t>
      </w:r>
      <w:r w:rsidR="005B7E17">
        <w:rPr>
          <w:rFonts w:asciiTheme="minorHAnsi" w:hAnsiTheme="minorHAnsi"/>
        </w:rPr>
        <w:t xml:space="preserve"> (that is, the court must not </w:t>
      </w:r>
      <w:r w:rsidR="0029543B">
        <w:rPr>
          <w:rFonts w:asciiTheme="minorHAnsi" w:hAnsiTheme="minorHAnsi"/>
        </w:rPr>
        <w:t xml:space="preserve">have regard to the </w:t>
      </w:r>
      <w:r w:rsidR="0029543B" w:rsidRPr="0029543B">
        <w:rPr>
          <w:rFonts w:asciiTheme="minorHAnsi" w:hAnsiTheme="minorHAnsi"/>
          <w:i/>
        </w:rPr>
        <w:t>presumed distress or anxiety</w:t>
      </w:r>
      <w:r w:rsidR="0029543B">
        <w:rPr>
          <w:rFonts w:asciiTheme="minorHAnsi" w:hAnsiTheme="minorHAnsi"/>
        </w:rPr>
        <w:t xml:space="preserve"> of the respondent)</w:t>
      </w:r>
      <w:r>
        <w:rPr>
          <w:rFonts w:asciiTheme="minorHAnsi" w:hAnsiTheme="minorHAnsi"/>
        </w:rPr>
        <w:t xml:space="preserve">, whether or not </w:t>
      </w:r>
      <w:r w:rsidR="005B7E17">
        <w:rPr>
          <w:rFonts w:asciiTheme="minorHAnsi" w:hAnsiTheme="minorHAnsi"/>
        </w:rPr>
        <w:t xml:space="preserve">that element has been excluded by statute in </w:t>
      </w:r>
      <w:r w:rsidR="00190C18">
        <w:rPr>
          <w:rFonts w:asciiTheme="minorHAnsi" w:hAnsiTheme="minorHAnsi"/>
        </w:rPr>
        <w:t>that jurisdiction.</w:t>
      </w:r>
      <w:r w:rsidR="00190C18" w:rsidRPr="00C00000">
        <w:rPr>
          <w:rStyle w:val="Style"/>
          <w:rFonts w:asciiTheme="minorHAnsi" w:hAnsiTheme="minorHAnsi"/>
        </w:rPr>
        <w:footnoteReference w:id="574"/>
      </w:r>
    </w:p>
    <w:p w14:paraId="3A421E14" w14:textId="77777777" w:rsidR="005B7E17" w:rsidRPr="005B7E17" w:rsidRDefault="005B7E17" w:rsidP="005B7E17">
      <w:pPr>
        <w:pStyle w:val="ListParagraph"/>
        <w:rPr>
          <w:rFonts w:asciiTheme="minorHAnsi" w:hAnsiTheme="minorHAnsi"/>
        </w:rPr>
      </w:pPr>
    </w:p>
    <w:p w14:paraId="578DAE8A" w14:textId="32357ADF" w:rsidR="005B7E17" w:rsidRDefault="0029543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An appellate court is not, however, necessarily precluded from having regard to any evidence of </w:t>
      </w:r>
      <w:r w:rsidRPr="0029543B">
        <w:rPr>
          <w:rFonts w:asciiTheme="minorHAnsi" w:hAnsiTheme="minorHAnsi"/>
          <w:i/>
        </w:rPr>
        <w:t>actual distress or anxiety</w:t>
      </w:r>
      <w:r>
        <w:rPr>
          <w:rFonts w:asciiTheme="minorHAnsi" w:hAnsiTheme="minorHAnsi"/>
        </w:rPr>
        <w:t xml:space="preserve"> experienced by the respondent.</w:t>
      </w:r>
      <w:r w:rsidRPr="00C00000">
        <w:rPr>
          <w:rStyle w:val="Style"/>
          <w:rFonts w:asciiTheme="minorHAnsi" w:hAnsiTheme="minorHAnsi"/>
        </w:rPr>
        <w:footnoteReference w:id="575"/>
      </w:r>
      <w:r w:rsidR="00401DBA">
        <w:rPr>
          <w:rFonts w:asciiTheme="minorHAnsi" w:hAnsiTheme="minorHAnsi"/>
        </w:rPr>
        <w:t xml:space="preserve"> </w:t>
      </w:r>
      <w:r w:rsidR="007D6331">
        <w:rPr>
          <w:rFonts w:asciiTheme="minorHAnsi" w:hAnsiTheme="minorHAnsi"/>
        </w:rPr>
        <w:t xml:space="preserve"> </w:t>
      </w:r>
      <w:r w:rsidR="00401DBA">
        <w:rPr>
          <w:rFonts w:asciiTheme="minorHAnsi" w:hAnsiTheme="minorHAnsi"/>
        </w:rPr>
        <w:t>The weight</w:t>
      </w:r>
      <w:r w:rsidR="002A732F">
        <w:rPr>
          <w:rFonts w:asciiTheme="minorHAnsi" w:hAnsiTheme="minorHAnsi"/>
        </w:rPr>
        <w:t xml:space="preserve"> (if any)</w:t>
      </w:r>
      <w:r w:rsidR="00401DBA">
        <w:rPr>
          <w:rFonts w:asciiTheme="minorHAnsi" w:hAnsiTheme="minorHAnsi"/>
        </w:rPr>
        <w:t xml:space="preserve"> to be accorded to such evidence </w:t>
      </w:r>
      <w:r w:rsidR="0092304F">
        <w:rPr>
          <w:rFonts w:asciiTheme="minorHAnsi" w:hAnsiTheme="minorHAnsi"/>
        </w:rPr>
        <w:t>will vary from case to case.</w:t>
      </w:r>
      <w:r w:rsidR="0092304F" w:rsidRPr="00C00000">
        <w:rPr>
          <w:rStyle w:val="Style"/>
          <w:rFonts w:asciiTheme="minorHAnsi" w:hAnsiTheme="minorHAnsi"/>
        </w:rPr>
        <w:footnoteReference w:id="576"/>
      </w:r>
    </w:p>
    <w:p w14:paraId="7C10808D" w14:textId="77777777" w:rsidR="00393595" w:rsidRPr="00C00000" w:rsidRDefault="00393595" w:rsidP="00393595">
      <w:pPr>
        <w:rPr>
          <w:rFonts w:asciiTheme="minorHAnsi" w:hAnsiTheme="minorHAnsi"/>
          <w:b/>
          <w:i/>
          <w:sz w:val="24"/>
          <w:szCs w:val="24"/>
        </w:rPr>
      </w:pPr>
      <w:r w:rsidRPr="00C00000">
        <w:rPr>
          <w:rFonts w:asciiTheme="minorHAnsi" w:hAnsiTheme="minorHAnsi"/>
          <w:b/>
          <w:i/>
          <w:sz w:val="24"/>
          <w:szCs w:val="24"/>
        </w:rPr>
        <w:br w:type="page"/>
      </w:r>
    </w:p>
    <w:p w14:paraId="20208FF8" w14:textId="77777777" w:rsidR="0026470C" w:rsidRPr="00C00000" w:rsidRDefault="0026470C" w:rsidP="007C11C2">
      <w:pPr>
        <w:pStyle w:val="Heading1"/>
        <w:spacing w:line="276" w:lineRule="auto"/>
        <w:rPr>
          <w:rFonts w:asciiTheme="minorHAnsi" w:hAnsiTheme="minorHAnsi"/>
          <w:sz w:val="30"/>
          <w:szCs w:val="30"/>
        </w:rPr>
        <w:sectPr w:rsidR="0026470C" w:rsidRPr="00C00000" w:rsidSect="00837228">
          <w:headerReference w:type="even" r:id="rId20"/>
          <w:headerReference w:type="default" r:id="rId21"/>
          <w:footerReference w:type="even" r:id="rId22"/>
          <w:footerReference w:type="default" r:id="rId23"/>
          <w:headerReference w:type="first" r:id="rId24"/>
          <w:footerReference w:type="first" r:id="rId25"/>
          <w:pgSz w:w="11907" w:h="16840" w:code="9"/>
          <w:pgMar w:top="1134" w:right="1134" w:bottom="1134" w:left="1134" w:header="709" w:footer="380" w:gutter="0"/>
          <w:pgNumType w:start="1"/>
          <w:cols w:space="720"/>
          <w:docGrid w:linePitch="299"/>
        </w:sectPr>
      </w:pPr>
    </w:p>
    <w:p w14:paraId="1C3FE28E" w14:textId="364B2CC9" w:rsidR="00EA7546" w:rsidRPr="00C00000" w:rsidRDefault="00EA7546" w:rsidP="001F7E6F">
      <w:pPr>
        <w:pStyle w:val="Heading1"/>
        <w:keepNext/>
        <w:spacing w:line="276" w:lineRule="auto"/>
        <w:rPr>
          <w:rFonts w:asciiTheme="minorHAnsi" w:hAnsiTheme="minorHAnsi"/>
          <w:sz w:val="30"/>
          <w:szCs w:val="30"/>
        </w:rPr>
      </w:pPr>
      <w:bookmarkStart w:id="1538" w:name="_Ref489177581"/>
      <w:bookmarkStart w:id="1539" w:name="_Toc33602816"/>
      <w:r w:rsidRPr="00C00000">
        <w:rPr>
          <w:rFonts w:asciiTheme="minorHAnsi" w:hAnsiTheme="minorHAnsi"/>
          <w:sz w:val="30"/>
          <w:szCs w:val="30"/>
        </w:rPr>
        <w:t xml:space="preserve">Commonwealth </w:t>
      </w:r>
      <w:r w:rsidR="006A406D">
        <w:rPr>
          <w:rFonts w:asciiTheme="minorHAnsi" w:hAnsiTheme="minorHAnsi"/>
          <w:sz w:val="30"/>
          <w:szCs w:val="30"/>
        </w:rPr>
        <w:t>s</w:t>
      </w:r>
      <w:r w:rsidRPr="00C00000">
        <w:rPr>
          <w:rFonts w:asciiTheme="minorHAnsi" w:hAnsiTheme="minorHAnsi"/>
          <w:sz w:val="30"/>
          <w:szCs w:val="30"/>
        </w:rPr>
        <w:t xml:space="preserve">entencing </w:t>
      </w:r>
      <w:r w:rsidR="006A406D">
        <w:rPr>
          <w:rFonts w:asciiTheme="minorHAnsi" w:hAnsiTheme="minorHAnsi"/>
          <w:sz w:val="30"/>
          <w:szCs w:val="30"/>
        </w:rPr>
        <w:t>o</w:t>
      </w:r>
      <w:r w:rsidRPr="00C00000">
        <w:rPr>
          <w:rFonts w:asciiTheme="minorHAnsi" w:hAnsiTheme="minorHAnsi"/>
          <w:sz w:val="30"/>
          <w:szCs w:val="30"/>
        </w:rPr>
        <w:t>ptions</w:t>
      </w:r>
      <w:bookmarkEnd w:id="1538"/>
      <w:bookmarkEnd w:id="1539"/>
    </w:p>
    <w:p w14:paraId="2818EC33" w14:textId="68C43696" w:rsidR="00D1317D" w:rsidRDefault="00D1317D" w:rsidP="001F7E6F">
      <w:pPr>
        <w:keepNext/>
        <w:spacing w:line="276" w:lineRule="auto"/>
        <w:ind w:right="28"/>
        <w:rPr>
          <w:rFonts w:asciiTheme="minorHAnsi" w:hAnsiTheme="minorHAnsi"/>
        </w:rPr>
      </w:pPr>
    </w:p>
    <w:p w14:paraId="0B6E2A8B" w14:textId="5E8A6A06" w:rsidR="00D1317D" w:rsidRDefault="00D1317D" w:rsidP="001F7E6F">
      <w:pPr>
        <w:pStyle w:val="Heading2"/>
      </w:pPr>
      <w:bookmarkStart w:id="1540" w:name="_Toc33602817"/>
      <w:r>
        <w:t>Introduction</w:t>
      </w:r>
      <w:bookmarkEnd w:id="1540"/>
    </w:p>
    <w:p w14:paraId="4A6F17DF" w14:textId="77777777" w:rsidR="00D1317D" w:rsidRPr="00D1317D" w:rsidRDefault="00D1317D" w:rsidP="001F7E6F">
      <w:pPr>
        <w:keepNext/>
        <w:spacing w:line="276" w:lineRule="auto"/>
        <w:ind w:right="28"/>
        <w:rPr>
          <w:rFonts w:asciiTheme="minorHAnsi" w:hAnsiTheme="minorHAnsi"/>
        </w:rPr>
      </w:pPr>
    </w:p>
    <w:p w14:paraId="324B36A1" w14:textId="086255BC" w:rsidR="00A71F93" w:rsidRDefault="00A71F9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b/>
        </w:rPr>
        <w:t>T</w:t>
      </w:r>
      <w:r w:rsidR="00F56DA1" w:rsidRPr="00A71F93">
        <w:rPr>
          <w:rFonts w:asciiTheme="minorHAnsi" w:hAnsiTheme="minorHAnsi"/>
          <w:b/>
        </w:rPr>
        <w:t xml:space="preserve">here are six sentencing options </w:t>
      </w:r>
      <w:r>
        <w:rPr>
          <w:rFonts w:asciiTheme="minorHAnsi" w:hAnsiTheme="minorHAnsi"/>
          <w:b/>
        </w:rPr>
        <w:t xml:space="preserve">which apply generally </w:t>
      </w:r>
      <w:r w:rsidR="00F56DA1" w:rsidRPr="00A71F93">
        <w:rPr>
          <w:rFonts w:asciiTheme="minorHAnsi" w:hAnsiTheme="minorHAnsi"/>
          <w:b/>
        </w:rPr>
        <w:t>in relation to a federal offender</w:t>
      </w:r>
      <w:r w:rsidR="00F56DA1" w:rsidRPr="00C00000">
        <w:rPr>
          <w:rFonts w:asciiTheme="minorHAnsi" w:hAnsiTheme="minorHAnsi"/>
        </w:rPr>
        <w:t xml:space="preserve"> once the Cour</w:t>
      </w:r>
      <w:r w:rsidR="009C60CC">
        <w:rPr>
          <w:rFonts w:asciiTheme="minorHAnsi" w:hAnsiTheme="minorHAnsi"/>
        </w:rPr>
        <w:t xml:space="preserve">t has found the charge proved.  </w:t>
      </w:r>
      <w:r>
        <w:rPr>
          <w:rFonts w:asciiTheme="minorHAnsi" w:hAnsiTheme="minorHAnsi"/>
        </w:rPr>
        <w:t>Those six options are described in this Chapter.</w:t>
      </w:r>
    </w:p>
    <w:p w14:paraId="3F7FB7C8" w14:textId="77777777" w:rsidR="00A71F93" w:rsidRPr="00A71F93" w:rsidRDefault="00A71F93" w:rsidP="00A71F93">
      <w:pPr>
        <w:spacing w:line="276" w:lineRule="auto"/>
        <w:ind w:right="28"/>
        <w:rPr>
          <w:rFonts w:asciiTheme="minorHAnsi" w:hAnsiTheme="minorHAnsi"/>
        </w:rPr>
      </w:pPr>
    </w:p>
    <w:p w14:paraId="5309FEDF" w14:textId="7F776AA1" w:rsidR="00BC5DB5" w:rsidRDefault="00A71F93"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Of course, for some offences only some of these options are available: for example, for summary offences for which the maximum penalty is a fine, imprisonment is not available as a sentencing option.  </w:t>
      </w:r>
      <w:r w:rsidR="00A95970">
        <w:rPr>
          <w:rFonts w:asciiTheme="minorHAnsi" w:hAnsiTheme="minorHAnsi"/>
        </w:rPr>
        <w:t>Conversely,</w:t>
      </w:r>
      <w:r>
        <w:rPr>
          <w:rFonts w:asciiTheme="minorHAnsi" w:hAnsiTheme="minorHAnsi"/>
        </w:rPr>
        <w:t xml:space="preserve"> </w:t>
      </w:r>
      <w:r w:rsidR="00A95970">
        <w:rPr>
          <w:rFonts w:asciiTheme="minorHAnsi" w:hAnsiTheme="minorHAnsi"/>
        </w:rPr>
        <w:t>t</w:t>
      </w:r>
      <w:r w:rsidR="009C60CC">
        <w:rPr>
          <w:rFonts w:asciiTheme="minorHAnsi" w:hAnsiTheme="minorHAnsi"/>
        </w:rPr>
        <w:t xml:space="preserve">here are </w:t>
      </w:r>
      <w:r w:rsidR="00A95970">
        <w:rPr>
          <w:rFonts w:asciiTheme="minorHAnsi" w:hAnsiTheme="minorHAnsi"/>
        </w:rPr>
        <w:t xml:space="preserve">statutory </w:t>
      </w:r>
      <w:r w:rsidR="009C60CC">
        <w:rPr>
          <w:rFonts w:asciiTheme="minorHAnsi" w:hAnsiTheme="minorHAnsi"/>
        </w:rPr>
        <w:t xml:space="preserve">restrictions on the availability of some </w:t>
      </w:r>
      <w:r w:rsidR="00A95970">
        <w:rPr>
          <w:rFonts w:asciiTheme="minorHAnsi" w:hAnsiTheme="minorHAnsi"/>
        </w:rPr>
        <w:t>non-custodial</w:t>
      </w:r>
      <w:r w:rsidR="009C60CC">
        <w:rPr>
          <w:rFonts w:asciiTheme="minorHAnsi" w:hAnsiTheme="minorHAnsi"/>
        </w:rPr>
        <w:t xml:space="preserve"> options in relation to sentencing for particular offences</w:t>
      </w:r>
      <w:r w:rsidR="002071D0">
        <w:rPr>
          <w:rFonts w:asciiTheme="minorHAnsi" w:hAnsiTheme="minorHAnsi"/>
        </w:rPr>
        <w:t>: see “</w:t>
      </w:r>
      <w:r w:rsidR="002071D0">
        <w:rPr>
          <w:rFonts w:asciiTheme="minorHAnsi" w:hAnsiTheme="minorHAnsi"/>
        </w:rPr>
        <w:fldChar w:fldCharType="begin"/>
      </w:r>
      <w:r w:rsidR="002071D0">
        <w:rPr>
          <w:rFonts w:asciiTheme="minorHAnsi" w:hAnsiTheme="minorHAnsi"/>
        </w:rPr>
        <w:instrText xml:space="preserve"> REF _Ref492478753 \r \h </w:instrText>
      </w:r>
      <w:r w:rsidR="002071D0">
        <w:rPr>
          <w:rFonts w:asciiTheme="minorHAnsi" w:hAnsiTheme="minorHAnsi"/>
        </w:rPr>
      </w:r>
      <w:r w:rsidR="002071D0">
        <w:rPr>
          <w:rFonts w:asciiTheme="minorHAnsi" w:hAnsiTheme="minorHAnsi"/>
        </w:rPr>
        <w:fldChar w:fldCharType="separate"/>
      </w:r>
      <w:r w:rsidR="00D44BCF">
        <w:rPr>
          <w:rFonts w:asciiTheme="minorHAnsi" w:hAnsiTheme="minorHAnsi"/>
        </w:rPr>
        <w:t>8.1</w:t>
      </w:r>
      <w:r w:rsidR="002071D0">
        <w:rPr>
          <w:rFonts w:asciiTheme="minorHAnsi" w:hAnsiTheme="minorHAnsi"/>
        </w:rPr>
        <w:fldChar w:fldCharType="end"/>
      </w:r>
      <w:r w:rsidR="002071D0">
        <w:rPr>
          <w:rFonts w:asciiTheme="minorHAnsi" w:hAnsiTheme="minorHAnsi"/>
        </w:rPr>
        <w:t xml:space="preserve"> </w:t>
      </w:r>
      <w:r w:rsidR="002071D0">
        <w:rPr>
          <w:rFonts w:asciiTheme="minorHAnsi" w:hAnsiTheme="minorHAnsi"/>
        </w:rPr>
        <w:fldChar w:fldCharType="begin"/>
      </w:r>
      <w:r w:rsidR="002071D0">
        <w:rPr>
          <w:rFonts w:asciiTheme="minorHAnsi" w:hAnsiTheme="minorHAnsi"/>
        </w:rPr>
        <w:instrText xml:space="preserve"> REF _Ref492478761 \h  \* MERGEFORMAT </w:instrText>
      </w:r>
      <w:r w:rsidR="002071D0">
        <w:rPr>
          <w:rFonts w:asciiTheme="minorHAnsi" w:hAnsiTheme="minorHAnsi"/>
        </w:rPr>
      </w:r>
      <w:r w:rsidR="002071D0">
        <w:rPr>
          <w:rFonts w:asciiTheme="minorHAnsi" w:hAnsiTheme="minorHAnsi"/>
        </w:rPr>
        <w:fldChar w:fldCharType="separate"/>
      </w:r>
      <w:r w:rsidR="00D44BCF" w:rsidRPr="00D44BCF">
        <w:rPr>
          <w:rFonts w:asciiTheme="minorHAnsi" w:hAnsiTheme="minorHAnsi"/>
        </w:rPr>
        <w:t>Offences to which a prescriptive sentencing regime applies</w:t>
      </w:r>
      <w:r w:rsidR="002071D0">
        <w:rPr>
          <w:rFonts w:asciiTheme="minorHAnsi" w:hAnsiTheme="minorHAnsi"/>
        </w:rPr>
        <w:fldChar w:fldCharType="end"/>
      </w:r>
      <w:r w:rsidR="002071D0">
        <w:rPr>
          <w:rFonts w:asciiTheme="minorHAnsi" w:hAnsiTheme="minorHAnsi"/>
        </w:rPr>
        <w:t>”</w:t>
      </w:r>
      <w:r w:rsidR="00A95970">
        <w:rPr>
          <w:rFonts w:asciiTheme="minorHAnsi" w:hAnsiTheme="minorHAnsi"/>
        </w:rPr>
        <w:t>.</w:t>
      </w:r>
    </w:p>
    <w:p w14:paraId="692BDE35" w14:textId="77777777" w:rsidR="009C60CC" w:rsidRPr="009C60CC" w:rsidRDefault="009C60CC" w:rsidP="009C60CC">
      <w:pPr>
        <w:spacing w:line="276" w:lineRule="auto"/>
        <w:ind w:right="28"/>
        <w:rPr>
          <w:rFonts w:asciiTheme="minorHAnsi" w:hAnsiTheme="minorHAnsi"/>
        </w:rPr>
      </w:pPr>
    </w:p>
    <w:p w14:paraId="18D908F0" w14:textId="5EA28EFC" w:rsidR="00A95970" w:rsidRDefault="00BC5DB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State or Territory sentencing options do not apply to the sentencing of a federal offender of their own force, nor are they picked up and applied as surrogate federal laws by ss</w:t>
      </w:r>
      <w:r w:rsidRPr="00C00000">
        <w:rPr>
          <w:rFonts w:asciiTheme="minorHAnsi" w:hAnsiTheme="minorHAnsi"/>
        </w:rPr>
        <w:t xml:space="preserve"> 68 and 79 of the </w:t>
      </w:r>
      <w:r w:rsidRPr="00C00000">
        <w:rPr>
          <w:rFonts w:asciiTheme="minorHAnsi" w:hAnsiTheme="minorHAnsi"/>
          <w:i/>
        </w:rPr>
        <w:t xml:space="preserve">Judiciary Act 1903 </w:t>
      </w:r>
      <w:r w:rsidRPr="00C00000">
        <w:rPr>
          <w:rFonts w:asciiTheme="minorHAnsi" w:hAnsiTheme="minorHAnsi"/>
        </w:rPr>
        <w:t>(Cth)</w:t>
      </w:r>
      <w:r>
        <w:rPr>
          <w:rFonts w:asciiTheme="minorHAnsi" w:hAnsiTheme="minorHAnsi"/>
        </w:rPr>
        <w:t>.</w:t>
      </w:r>
      <w:r w:rsidRPr="00C00000">
        <w:rPr>
          <w:rStyle w:val="Style"/>
          <w:rFonts w:asciiTheme="minorHAnsi" w:hAnsiTheme="minorHAnsi"/>
        </w:rPr>
        <w:footnoteReference w:id="577"/>
      </w:r>
      <w:r w:rsidRPr="00C00000">
        <w:rPr>
          <w:rFonts w:asciiTheme="minorHAnsi" w:hAnsiTheme="minorHAnsi"/>
        </w:rPr>
        <w:t xml:space="preserve"> </w:t>
      </w:r>
      <w:r>
        <w:rPr>
          <w:rFonts w:asciiTheme="minorHAnsi" w:hAnsiTheme="minorHAnsi"/>
        </w:rPr>
        <w:t xml:space="preserve"> State or Territory options are, however, picked up and applied in some circumstances by other Commonwealth laws.  Notable example</w:t>
      </w:r>
      <w:r w:rsidR="001A0F2D">
        <w:rPr>
          <w:rFonts w:asciiTheme="minorHAnsi" w:hAnsiTheme="minorHAnsi"/>
        </w:rPr>
        <w:t>s</w:t>
      </w:r>
      <w:r>
        <w:rPr>
          <w:rFonts w:asciiTheme="minorHAnsi" w:hAnsiTheme="minorHAnsi"/>
        </w:rPr>
        <w:t xml:space="preserve"> are</w:t>
      </w:r>
      <w:r w:rsidR="00A95970">
        <w:rPr>
          <w:rFonts w:asciiTheme="minorHAnsi" w:hAnsiTheme="minorHAnsi"/>
        </w:rPr>
        <w:t>:</w:t>
      </w:r>
    </w:p>
    <w:p w14:paraId="7805380D" w14:textId="3E24EEE6" w:rsidR="00A95970" w:rsidRDefault="001A0F2D" w:rsidP="00901174">
      <w:pPr>
        <w:pStyle w:val="ListParagraph"/>
        <w:numPr>
          <w:ilvl w:val="1"/>
          <w:numId w:val="36"/>
        </w:numPr>
        <w:spacing w:line="276" w:lineRule="auto"/>
        <w:ind w:left="993" w:right="28" w:hanging="142"/>
        <w:rPr>
          <w:rFonts w:asciiTheme="minorHAnsi" w:hAnsiTheme="minorHAnsi"/>
        </w:rPr>
      </w:pPr>
      <w:r w:rsidRPr="00A95970">
        <w:rPr>
          <w:rFonts w:asciiTheme="minorHAnsi" w:hAnsiTheme="minorHAnsi"/>
        </w:rPr>
        <w:t>community service orders and the like</w:t>
      </w:r>
      <w:r>
        <w:rPr>
          <w:rFonts w:asciiTheme="minorHAnsi" w:hAnsiTheme="minorHAnsi"/>
        </w:rPr>
        <w:t xml:space="preserve">, which are picked up and applied by </w:t>
      </w:r>
      <w:r w:rsidRPr="00A95970">
        <w:rPr>
          <w:rFonts w:asciiTheme="minorHAnsi" w:hAnsiTheme="minorHAnsi"/>
          <w:b/>
        </w:rPr>
        <w:t xml:space="preserve">s 20AB of the </w:t>
      </w:r>
      <w:r w:rsidR="00885EFD" w:rsidRPr="00885EFD">
        <w:rPr>
          <w:rFonts w:asciiTheme="minorHAnsi" w:hAnsiTheme="minorHAnsi"/>
          <w:b/>
          <w:i/>
        </w:rPr>
        <w:t>Crimes Act 1914</w:t>
      </w:r>
      <w:r w:rsidR="00A95970">
        <w:rPr>
          <w:rFonts w:asciiTheme="minorHAnsi" w:hAnsiTheme="minorHAnsi"/>
        </w:rPr>
        <w:t>, as one of the six general options (see “</w:t>
      </w:r>
      <w:r w:rsidR="00A95970">
        <w:rPr>
          <w:rFonts w:asciiTheme="minorHAnsi" w:hAnsiTheme="minorHAnsi"/>
        </w:rPr>
        <w:fldChar w:fldCharType="begin"/>
      </w:r>
      <w:r w:rsidR="00A95970">
        <w:rPr>
          <w:rFonts w:asciiTheme="minorHAnsi" w:hAnsiTheme="minorHAnsi"/>
        </w:rPr>
        <w:instrText xml:space="preserve"> REF _Ref492478336 \r \h  \* MERGEFORMAT </w:instrText>
      </w:r>
      <w:r w:rsidR="00A95970">
        <w:rPr>
          <w:rFonts w:asciiTheme="minorHAnsi" w:hAnsiTheme="minorHAnsi"/>
        </w:rPr>
      </w:r>
      <w:r w:rsidR="00A95970">
        <w:rPr>
          <w:rFonts w:asciiTheme="minorHAnsi" w:hAnsiTheme="minorHAnsi"/>
        </w:rPr>
        <w:fldChar w:fldCharType="separate"/>
      </w:r>
      <w:r w:rsidR="00D44BCF">
        <w:rPr>
          <w:rFonts w:asciiTheme="minorHAnsi" w:hAnsiTheme="minorHAnsi"/>
        </w:rPr>
        <w:t>5.7</w:t>
      </w:r>
      <w:r w:rsidR="00A95970">
        <w:rPr>
          <w:rFonts w:asciiTheme="minorHAnsi" w:hAnsiTheme="minorHAnsi"/>
        </w:rPr>
        <w:fldChar w:fldCharType="end"/>
      </w:r>
      <w:r w:rsidR="00A95970">
        <w:rPr>
          <w:rFonts w:asciiTheme="minorHAnsi" w:hAnsiTheme="minorHAnsi"/>
        </w:rPr>
        <w:t xml:space="preserve"> </w:t>
      </w:r>
      <w:r w:rsidR="00A95970">
        <w:rPr>
          <w:rFonts w:asciiTheme="minorHAnsi" w:hAnsiTheme="minorHAnsi"/>
        </w:rPr>
        <w:fldChar w:fldCharType="begin"/>
      </w:r>
      <w:r w:rsidR="00A95970">
        <w:rPr>
          <w:rFonts w:asciiTheme="minorHAnsi" w:hAnsiTheme="minorHAnsi"/>
        </w:rPr>
        <w:instrText xml:space="preserve"> REF _Ref492478339 \h  \* MERGEFORMAT </w:instrText>
      </w:r>
      <w:r w:rsidR="00A95970">
        <w:rPr>
          <w:rFonts w:asciiTheme="minorHAnsi" w:hAnsiTheme="minorHAnsi"/>
        </w:rPr>
      </w:r>
      <w:r w:rsidR="00A95970">
        <w:rPr>
          <w:rFonts w:asciiTheme="minorHAnsi" w:hAnsiTheme="minorHAnsi"/>
        </w:rPr>
        <w:fldChar w:fldCharType="separate"/>
      </w:r>
      <w:r w:rsidR="00D44BCF" w:rsidRPr="00D44BCF">
        <w:rPr>
          <w:rFonts w:asciiTheme="minorHAnsi" w:hAnsiTheme="minorHAnsi"/>
        </w:rPr>
        <w:t xml:space="preserve">Orders applied by </w:t>
      </w:r>
      <w:r w:rsidR="00D44BCF" w:rsidRPr="00D44BCF">
        <w:rPr>
          <w:rFonts w:asciiTheme="minorHAnsi" w:hAnsiTheme="minorHAnsi"/>
          <w:i/>
        </w:rPr>
        <w:t>Crimes Act 1914,</w:t>
      </w:r>
      <w:r w:rsidR="00D44BCF" w:rsidRPr="00D44BCF">
        <w:rPr>
          <w:rFonts w:asciiTheme="minorHAnsi" w:hAnsiTheme="minorHAnsi"/>
        </w:rPr>
        <w:t xml:space="preserve"> s.20AB</w:t>
      </w:r>
      <w:r w:rsidR="00A95970">
        <w:rPr>
          <w:rFonts w:asciiTheme="minorHAnsi" w:hAnsiTheme="minorHAnsi"/>
        </w:rPr>
        <w:fldChar w:fldCharType="end"/>
      </w:r>
      <w:r w:rsidR="00A95970">
        <w:rPr>
          <w:rFonts w:asciiTheme="minorHAnsi" w:hAnsiTheme="minorHAnsi"/>
        </w:rPr>
        <w:t>”)</w:t>
      </w:r>
      <w:r>
        <w:rPr>
          <w:rFonts w:asciiTheme="minorHAnsi" w:hAnsiTheme="minorHAnsi"/>
        </w:rPr>
        <w:t>; and</w:t>
      </w:r>
    </w:p>
    <w:p w14:paraId="0EF194CE" w14:textId="69B11921" w:rsidR="008A3395" w:rsidRDefault="001A0F2D" w:rsidP="00901174">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State and Territory dispositions in relation to </w:t>
      </w:r>
      <w:r w:rsidRPr="00A95970">
        <w:rPr>
          <w:rFonts w:asciiTheme="minorHAnsi" w:hAnsiTheme="minorHAnsi"/>
          <w:b/>
        </w:rPr>
        <w:t>children and young persons</w:t>
      </w:r>
      <w:r>
        <w:rPr>
          <w:rFonts w:asciiTheme="minorHAnsi" w:hAnsiTheme="minorHAnsi"/>
        </w:rPr>
        <w:t xml:space="preserve"> </w:t>
      </w:r>
      <w:r w:rsidR="00A95970">
        <w:rPr>
          <w:rFonts w:asciiTheme="minorHAnsi" w:hAnsiTheme="minorHAnsi"/>
        </w:rPr>
        <w:t xml:space="preserve">which are applied </w:t>
      </w:r>
      <w:r>
        <w:rPr>
          <w:rFonts w:asciiTheme="minorHAnsi" w:hAnsiTheme="minorHAnsi"/>
        </w:rPr>
        <w:t xml:space="preserve">by s 20AC of the </w:t>
      </w:r>
      <w:r w:rsidR="00885EFD" w:rsidRPr="00885EFD">
        <w:rPr>
          <w:rFonts w:asciiTheme="minorHAnsi" w:hAnsiTheme="minorHAnsi"/>
          <w:i/>
        </w:rPr>
        <w:t>Crimes Act 1914</w:t>
      </w:r>
      <w:r>
        <w:rPr>
          <w:rFonts w:asciiTheme="minorHAnsi" w:hAnsiTheme="minorHAnsi"/>
        </w:rPr>
        <w:t xml:space="preserve">.  These options are described </w:t>
      </w:r>
      <w:r w:rsidR="00A95970">
        <w:rPr>
          <w:rFonts w:asciiTheme="minorHAnsi" w:hAnsiTheme="minorHAnsi"/>
        </w:rPr>
        <w:t>in a later Chapter</w:t>
      </w:r>
      <w:r>
        <w:rPr>
          <w:rFonts w:asciiTheme="minorHAnsi" w:hAnsiTheme="minorHAnsi"/>
        </w:rPr>
        <w:t>: see “</w:t>
      </w:r>
      <w:r>
        <w:rPr>
          <w:rFonts w:asciiTheme="minorHAnsi" w:hAnsiTheme="minorHAnsi"/>
        </w:rPr>
        <w:fldChar w:fldCharType="begin"/>
      </w:r>
      <w:r>
        <w:rPr>
          <w:rFonts w:asciiTheme="minorHAnsi" w:hAnsiTheme="minorHAnsi"/>
        </w:rPr>
        <w:instrText xml:space="preserve"> REF _Ref492478404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_Ref492478391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Children and young persons</w:t>
      </w:r>
      <w:r>
        <w:rPr>
          <w:rFonts w:asciiTheme="minorHAnsi" w:hAnsiTheme="minorHAnsi"/>
        </w:rPr>
        <w:fldChar w:fldCharType="end"/>
      </w:r>
      <w:r>
        <w:rPr>
          <w:rFonts w:asciiTheme="minorHAnsi" w:hAnsiTheme="minorHAnsi"/>
        </w:rPr>
        <w:t>”.</w:t>
      </w:r>
    </w:p>
    <w:p w14:paraId="49697C21" w14:textId="77777777" w:rsidR="008A3395" w:rsidRPr="008A3395" w:rsidRDefault="008A3395" w:rsidP="008A3395">
      <w:pPr>
        <w:spacing w:line="276" w:lineRule="auto"/>
        <w:ind w:right="28"/>
        <w:rPr>
          <w:rFonts w:asciiTheme="minorHAnsi" w:hAnsiTheme="minorHAnsi"/>
        </w:rPr>
      </w:pPr>
    </w:p>
    <w:p w14:paraId="26E71B0C" w14:textId="76B9D43F" w:rsidR="00CA4F0B" w:rsidRDefault="00CA4F0B"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Particular </w:t>
      </w:r>
      <w:r w:rsidRPr="00A71F93">
        <w:rPr>
          <w:rFonts w:asciiTheme="minorHAnsi" w:hAnsiTheme="minorHAnsi"/>
        </w:rPr>
        <w:t>additional options apply to the sentencing of</w:t>
      </w:r>
      <w:r w:rsidRPr="00A71F93">
        <w:rPr>
          <w:rFonts w:asciiTheme="minorHAnsi" w:hAnsiTheme="minorHAnsi"/>
          <w:b/>
        </w:rPr>
        <w:t xml:space="preserve"> mentally-ill or intellectually-disabled offenders</w:t>
      </w:r>
      <w:r>
        <w:rPr>
          <w:rFonts w:asciiTheme="minorHAnsi" w:hAnsiTheme="minorHAnsi"/>
        </w:rPr>
        <w:t>: see “</w:t>
      </w:r>
      <w:r>
        <w:rPr>
          <w:rFonts w:asciiTheme="minorHAnsi" w:hAnsiTheme="minorHAnsi"/>
        </w:rPr>
        <w:fldChar w:fldCharType="begin"/>
      </w:r>
      <w:r>
        <w:rPr>
          <w:rFonts w:asciiTheme="minorHAnsi" w:hAnsiTheme="minorHAnsi"/>
        </w:rPr>
        <w:instrText xml:space="preserve"> REF _Ref485743945 \r \h </w:instrText>
      </w:r>
      <w:r>
        <w:rPr>
          <w:rFonts w:asciiTheme="minorHAnsi" w:hAnsiTheme="minorHAnsi"/>
        </w:rPr>
      </w:r>
      <w:r>
        <w:rPr>
          <w:rFonts w:asciiTheme="minorHAnsi" w:hAnsiTheme="minorHAnsi"/>
        </w:rPr>
        <w:fldChar w:fldCharType="separate"/>
      </w:r>
      <w:r w:rsidR="00D44BCF">
        <w:rPr>
          <w:rFonts w:asciiTheme="minorHAnsi" w:hAnsiTheme="minorHAnsi"/>
        </w:rPr>
        <w:t>8.6</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_Ref485743945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 xml:space="preserve">Disposition of persons suffering from mental illness/intellectual disability </w:t>
      </w:r>
      <w:r>
        <w:rPr>
          <w:rFonts w:asciiTheme="minorHAnsi" w:hAnsiTheme="minorHAnsi"/>
        </w:rPr>
        <w:fldChar w:fldCharType="end"/>
      </w:r>
      <w:r>
        <w:rPr>
          <w:rFonts w:asciiTheme="minorHAnsi" w:hAnsiTheme="minorHAnsi"/>
        </w:rPr>
        <w:t xml:space="preserve">”.  </w:t>
      </w:r>
    </w:p>
    <w:p w14:paraId="0B055283" w14:textId="77777777" w:rsidR="00CA4F0B" w:rsidRPr="002071D0" w:rsidRDefault="00CA4F0B" w:rsidP="00CA4F0B">
      <w:pPr>
        <w:pStyle w:val="ListParagraph"/>
        <w:rPr>
          <w:rFonts w:asciiTheme="minorHAnsi" w:hAnsiTheme="minorHAnsi"/>
        </w:rPr>
      </w:pPr>
    </w:p>
    <w:p w14:paraId="419E98F4" w14:textId="648D089A" w:rsidR="00A71F93" w:rsidRDefault="00A71F93"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As to the options for dealing with persons charged with a federal offence who are found to be </w:t>
      </w:r>
      <w:r w:rsidRPr="00622773">
        <w:rPr>
          <w:rFonts w:asciiTheme="minorHAnsi" w:hAnsiTheme="minorHAnsi"/>
          <w:b/>
        </w:rPr>
        <w:t>unfit to be tried</w:t>
      </w:r>
      <w:r>
        <w:rPr>
          <w:rFonts w:asciiTheme="minorHAnsi" w:hAnsiTheme="minorHAnsi"/>
        </w:rPr>
        <w:t>, see “</w:t>
      </w:r>
      <w:r>
        <w:rPr>
          <w:rFonts w:asciiTheme="minorHAnsi" w:hAnsiTheme="minorHAnsi"/>
        </w:rPr>
        <w:fldChar w:fldCharType="begin"/>
      </w:r>
      <w:r>
        <w:rPr>
          <w:rFonts w:asciiTheme="minorHAnsi" w:hAnsiTheme="minorHAnsi"/>
        </w:rPr>
        <w:instrText xml:space="preserve"> REF _Ref492478935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8.4</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_Ref492478942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Fitness to be Tried</w:t>
      </w:r>
      <w:r>
        <w:rPr>
          <w:rFonts w:asciiTheme="minorHAnsi" w:hAnsiTheme="minorHAnsi"/>
        </w:rPr>
        <w:fldChar w:fldCharType="end"/>
      </w:r>
      <w:r w:rsidR="00622773">
        <w:rPr>
          <w:rFonts w:asciiTheme="minorHAnsi" w:hAnsiTheme="minorHAnsi"/>
        </w:rPr>
        <w:t>”.</w:t>
      </w:r>
    </w:p>
    <w:p w14:paraId="7C5EAAB8" w14:textId="77777777" w:rsidR="00A71F93" w:rsidRPr="002071D0" w:rsidRDefault="00A71F93" w:rsidP="00A71F93">
      <w:pPr>
        <w:pStyle w:val="ListParagraph"/>
        <w:rPr>
          <w:rFonts w:asciiTheme="minorHAnsi" w:hAnsiTheme="minorHAnsi"/>
        </w:rPr>
      </w:pPr>
    </w:p>
    <w:p w14:paraId="56C84C21" w14:textId="562067AF" w:rsidR="00A71F93" w:rsidRDefault="00A71F93"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options for dealing with persons charged with a federal offence who are found </w:t>
      </w:r>
      <w:r w:rsidRPr="00622773">
        <w:rPr>
          <w:rFonts w:asciiTheme="minorHAnsi" w:hAnsiTheme="minorHAnsi"/>
          <w:b/>
        </w:rPr>
        <w:t>not guilty by reason of mental illness</w:t>
      </w:r>
      <w:r>
        <w:rPr>
          <w:rFonts w:asciiTheme="minorHAnsi" w:hAnsiTheme="minorHAnsi"/>
        </w:rPr>
        <w:t xml:space="preserve"> are also described </w:t>
      </w:r>
      <w:r w:rsidR="00A95970">
        <w:rPr>
          <w:rFonts w:asciiTheme="minorHAnsi" w:hAnsiTheme="minorHAnsi"/>
        </w:rPr>
        <w:t>in a later Chapter</w:t>
      </w:r>
      <w:r>
        <w:rPr>
          <w:rFonts w:asciiTheme="minorHAnsi" w:hAnsiTheme="minorHAnsi"/>
        </w:rPr>
        <w:t xml:space="preserve">: </w:t>
      </w:r>
      <w:r w:rsidR="00A95970">
        <w:rPr>
          <w:rFonts w:asciiTheme="minorHAnsi" w:hAnsiTheme="minorHAnsi"/>
        </w:rPr>
        <w:t xml:space="preserve">see </w:t>
      </w:r>
      <w:r>
        <w:rPr>
          <w:rFonts w:asciiTheme="minorHAnsi" w:hAnsiTheme="minorHAnsi"/>
        </w:rPr>
        <w:t>“</w:t>
      </w:r>
      <w:r>
        <w:rPr>
          <w:rFonts w:asciiTheme="minorHAnsi" w:hAnsiTheme="minorHAnsi"/>
        </w:rPr>
        <w:fldChar w:fldCharType="begin"/>
      </w:r>
      <w:r>
        <w:rPr>
          <w:rFonts w:asciiTheme="minorHAnsi" w:hAnsiTheme="minorHAnsi"/>
        </w:rPr>
        <w:instrText xml:space="preserve"> REF _Ref492479120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8.5</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_Ref492479127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Dispositions following acquittal because of mental illness</w:t>
      </w:r>
      <w:r>
        <w:rPr>
          <w:rFonts w:asciiTheme="minorHAnsi" w:hAnsiTheme="minorHAnsi"/>
        </w:rPr>
        <w:fldChar w:fldCharType="end"/>
      </w:r>
      <w:r>
        <w:rPr>
          <w:rFonts w:asciiTheme="minorHAnsi" w:hAnsiTheme="minorHAnsi"/>
        </w:rPr>
        <w:t>”.</w:t>
      </w:r>
    </w:p>
    <w:p w14:paraId="0468CDF8" w14:textId="77777777" w:rsidR="00D50826" w:rsidRPr="00EB7F1E" w:rsidRDefault="00D50826" w:rsidP="00EB7F1E">
      <w:pPr>
        <w:pStyle w:val="ListParagraph"/>
        <w:rPr>
          <w:rFonts w:asciiTheme="minorHAnsi" w:hAnsiTheme="minorHAnsi"/>
        </w:rPr>
      </w:pPr>
    </w:p>
    <w:p w14:paraId="2E098A50" w14:textId="65867807" w:rsidR="00D50826" w:rsidRDefault="00D50826"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Examples of</w:t>
      </w:r>
      <w:r w:rsidR="00CC0B7F">
        <w:rPr>
          <w:rFonts w:asciiTheme="minorHAnsi" w:hAnsiTheme="minorHAnsi"/>
        </w:rPr>
        <w:t xml:space="preserve"> common State or Territory</w:t>
      </w:r>
      <w:r>
        <w:rPr>
          <w:rFonts w:asciiTheme="minorHAnsi" w:hAnsiTheme="minorHAnsi"/>
        </w:rPr>
        <w:t xml:space="preserve"> </w:t>
      </w:r>
      <w:r w:rsidRPr="00EB7F1E">
        <w:rPr>
          <w:rFonts w:asciiTheme="minorHAnsi" w:hAnsiTheme="minorHAnsi"/>
          <w:b/>
          <w:bCs/>
        </w:rPr>
        <w:t xml:space="preserve">sentencing options which are not </w:t>
      </w:r>
      <w:r w:rsidR="00CC0B7F" w:rsidRPr="00EB7F1E">
        <w:rPr>
          <w:rFonts w:asciiTheme="minorHAnsi" w:hAnsiTheme="minorHAnsi"/>
          <w:b/>
          <w:bCs/>
        </w:rPr>
        <w:t xml:space="preserve">generally </w:t>
      </w:r>
      <w:r w:rsidRPr="00EB7F1E">
        <w:rPr>
          <w:rFonts w:asciiTheme="minorHAnsi" w:hAnsiTheme="minorHAnsi"/>
          <w:b/>
          <w:bCs/>
        </w:rPr>
        <w:t>available</w:t>
      </w:r>
      <w:r>
        <w:rPr>
          <w:rFonts w:asciiTheme="minorHAnsi" w:hAnsiTheme="minorHAnsi"/>
        </w:rPr>
        <w:t xml:space="preserve"> </w:t>
      </w:r>
      <w:r w:rsidR="00CC0B7F">
        <w:rPr>
          <w:rFonts w:asciiTheme="minorHAnsi" w:hAnsiTheme="minorHAnsi"/>
        </w:rPr>
        <w:t>in sentencing a federal offender are set out in “</w:t>
      </w:r>
      <w:r w:rsidR="00CC0B7F">
        <w:rPr>
          <w:rFonts w:asciiTheme="minorHAnsi" w:hAnsiTheme="minorHAnsi"/>
        </w:rPr>
        <w:fldChar w:fldCharType="begin"/>
      </w:r>
      <w:r w:rsidR="00CC0B7F">
        <w:rPr>
          <w:rFonts w:asciiTheme="minorHAnsi" w:hAnsiTheme="minorHAnsi"/>
        </w:rPr>
        <w:instrText xml:space="preserve"> REF _Ref12599074 \r \h  \* MERGEFORMAT </w:instrText>
      </w:r>
      <w:r w:rsidR="00CC0B7F">
        <w:rPr>
          <w:rFonts w:asciiTheme="minorHAnsi" w:hAnsiTheme="minorHAnsi"/>
        </w:rPr>
      </w:r>
      <w:r w:rsidR="00CC0B7F">
        <w:rPr>
          <w:rFonts w:asciiTheme="minorHAnsi" w:hAnsiTheme="minorHAnsi"/>
        </w:rPr>
        <w:fldChar w:fldCharType="separate"/>
      </w:r>
      <w:r w:rsidR="00D44BCF">
        <w:rPr>
          <w:rFonts w:asciiTheme="minorHAnsi" w:hAnsiTheme="minorHAnsi"/>
        </w:rPr>
        <w:t>5.12</w:t>
      </w:r>
      <w:r w:rsidR="00CC0B7F">
        <w:rPr>
          <w:rFonts w:asciiTheme="minorHAnsi" w:hAnsiTheme="minorHAnsi"/>
        </w:rPr>
        <w:fldChar w:fldCharType="end"/>
      </w:r>
      <w:r w:rsidR="00CC0B7F">
        <w:rPr>
          <w:rFonts w:asciiTheme="minorHAnsi" w:hAnsiTheme="minorHAnsi"/>
        </w:rPr>
        <w:t xml:space="preserve"> </w:t>
      </w:r>
      <w:r w:rsidR="00CC0B7F">
        <w:rPr>
          <w:rFonts w:asciiTheme="minorHAnsi" w:hAnsiTheme="minorHAnsi"/>
        </w:rPr>
        <w:fldChar w:fldCharType="begin"/>
      </w:r>
      <w:r w:rsidR="00CC0B7F">
        <w:rPr>
          <w:rFonts w:asciiTheme="minorHAnsi" w:hAnsiTheme="minorHAnsi"/>
        </w:rPr>
        <w:instrText xml:space="preserve"> REF _Ref12599077 \h  \* MERGEFORMAT </w:instrText>
      </w:r>
      <w:r w:rsidR="00CC0B7F">
        <w:rPr>
          <w:rFonts w:asciiTheme="minorHAnsi" w:hAnsiTheme="minorHAnsi"/>
        </w:rPr>
      </w:r>
      <w:r w:rsidR="00CC0B7F">
        <w:rPr>
          <w:rFonts w:asciiTheme="minorHAnsi" w:hAnsiTheme="minorHAnsi"/>
        </w:rPr>
        <w:fldChar w:fldCharType="separate"/>
      </w:r>
      <w:r w:rsidR="00D44BCF" w:rsidRPr="00D44BCF">
        <w:rPr>
          <w:rFonts w:asciiTheme="minorHAnsi" w:hAnsiTheme="minorHAnsi"/>
        </w:rPr>
        <w:t>Options not generally available in sentencing a federal offender</w:t>
      </w:r>
      <w:r w:rsidR="00CC0B7F">
        <w:rPr>
          <w:rFonts w:asciiTheme="minorHAnsi" w:hAnsiTheme="minorHAnsi"/>
        </w:rPr>
        <w:fldChar w:fldCharType="end"/>
      </w:r>
      <w:r w:rsidR="00CC0B7F">
        <w:rPr>
          <w:rFonts w:asciiTheme="minorHAnsi" w:hAnsiTheme="minorHAnsi"/>
        </w:rPr>
        <w:t>”.</w:t>
      </w:r>
    </w:p>
    <w:p w14:paraId="5D1D6E6B" w14:textId="77777777" w:rsidR="00A71F93" w:rsidRPr="00BC5DB5" w:rsidRDefault="00A71F93" w:rsidP="00A71F93">
      <w:pPr>
        <w:spacing w:line="276" w:lineRule="auto"/>
        <w:ind w:right="28"/>
        <w:rPr>
          <w:rFonts w:asciiTheme="minorHAnsi" w:hAnsiTheme="minorHAnsi"/>
        </w:rPr>
      </w:pPr>
    </w:p>
    <w:p w14:paraId="1F623C74" w14:textId="6B5D9B01" w:rsidR="00F56DA1" w:rsidRPr="00D940D5" w:rsidRDefault="00BA2B0B" w:rsidP="001F7E6F">
      <w:pPr>
        <w:pStyle w:val="Heading2"/>
        <w:rPr>
          <w:rStyle w:val="Strong"/>
          <w:b/>
        </w:rPr>
      </w:pPr>
      <w:bookmarkStart w:id="1541" w:name="_Toc33602818"/>
      <w:r w:rsidRPr="00BA2B0B">
        <w:rPr>
          <w:rStyle w:val="Strong"/>
          <w:b/>
        </w:rPr>
        <w:t>Six general sentencing options</w:t>
      </w:r>
      <w:bookmarkEnd w:id="1541"/>
    </w:p>
    <w:p w14:paraId="16B5FDB8" w14:textId="77777777" w:rsidR="006A5485" w:rsidRPr="00C00000" w:rsidRDefault="006A5485" w:rsidP="001F7E6F">
      <w:pPr>
        <w:pStyle w:val="NormalIndent"/>
        <w:keepNext/>
        <w:spacing w:line="276" w:lineRule="auto"/>
        <w:ind w:left="720"/>
        <w:rPr>
          <w:rFonts w:asciiTheme="minorHAnsi" w:hAnsiTheme="minorHAnsi"/>
        </w:rPr>
      </w:pPr>
    </w:p>
    <w:p w14:paraId="5ED32B92" w14:textId="300C6EE8" w:rsidR="00F56DA1" w:rsidRPr="00C00000" w:rsidRDefault="00F56DA1" w:rsidP="00EB7F1E">
      <w:pPr>
        <w:pStyle w:val="ListParagraph"/>
        <w:keepNext/>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w:t>
      </w:r>
      <w:r w:rsidR="009C1D19">
        <w:rPr>
          <w:rFonts w:asciiTheme="minorHAnsi" w:hAnsiTheme="minorHAnsi"/>
        </w:rPr>
        <w:t xml:space="preserve">following table </w:t>
      </w:r>
      <w:r w:rsidR="00F47D0C">
        <w:rPr>
          <w:rFonts w:asciiTheme="minorHAnsi" w:hAnsiTheme="minorHAnsi"/>
        </w:rPr>
        <w:t>summar</w:t>
      </w:r>
      <w:r w:rsidR="00B86888">
        <w:rPr>
          <w:rFonts w:asciiTheme="minorHAnsi" w:hAnsiTheme="minorHAnsi"/>
        </w:rPr>
        <w:t>ises</w:t>
      </w:r>
      <w:r w:rsidR="009C1D19">
        <w:rPr>
          <w:rFonts w:asciiTheme="minorHAnsi" w:hAnsiTheme="minorHAnsi"/>
        </w:rPr>
        <w:t xml:space="preserve"> the </w:t>
      </w:r>
      <w:r w:rsidRPr="00C00000">
        <w:rPr>
          <w:rFonts w:asciiTheme="minorHAnsi" w:hAnsiTheme="minorHAnsi"/>
        </w:rPr>
        <w:t>six gen</w:t>
      </w:r>
      <w:r w:rsidR="00974286" w:rsidRPr="00C00000">
        <w:rPr>
          <w:rFonts w:asciiTheme="minorHAnsi" w:hAnsiTheme="minorHAnsi"/>
        </w:rPr>
        <w:t>eral federal sentencing options</w:t>
      </w:r>
      <w:r w:rsidR="00FC6FBD" w:rsidRPr="00C00000">
        <w:rPr>
          <w:rFonts w:asciiTheme="minorHAnsi" w:hAnsiTheme="minorHAnsi"/>
        </w:rPr>
        <w:t>, following a finding o</w:t>
      </w:r>
      <w:r w:rsidR="00974286" w:rsidRPr="00C00000">
        <w:rPr>
          <w:rFonts w:asciiTheme="minorHAnsi" w:hAnsiTheme="minorHAnsi"/>
        </w:rPr>
        <w:t>f guilt</w:t>
      </w:r>
      <w:r w:rsidRPr="00C00000">
        <w:rPr>
          <w:rFonts w:asciiTheme="minorHAnsi" w:hAnsiTheme="minorHAnsi"/>
        </w:rPr>
        <w:t>:</w:t>
      </w:r>
    </w:p>
    <w:p w14:paraId="3F85C185" w14:textId="77777777" w:rsidR="009C1D19" w:rsidRPr="00C00000" w:rsidRDefault="009C1D19" w:rsidP="00EB7F1E">
      <w:pPr>
        <w:pStyle w:val="Body"/>
        <w:keepNext/>
        <w:spacing w:line="276" w:lineRule="auto"/>
        <w:ind w:left="153"/>
        <w:rPr>
          <w:rFonts w:asciiTheme="minorHAnsi" w:hAnsiTheme="minorHAnsi"/>
          <w:lang w:val="en-AU"/>
        </w:rPr>
      </w:pPr>
    </w:p>
    <w:tbl>
      <w:tblPr>
        <w:tblW w:w="9855" w:type="dxa"/>
        <w:jc w:val="center"/>
        <w:tblLook w:val="0000" w:firstRow="0" w:lastRow="0" w:firstColumn="0" w:lastColumn="0" w:noHBand="0" w:noVBand="0"/>
      </w:tblPr>
      <w:tblGrid>
        <w:gridCol w:w="3005"/>
        <w:gridCol w:w="4120"/>
        <w:gridCol w:w="1540"/>
        <w:gridCol w:w="1190"/>
      </w:tblGrid>
      <w:tr w:rsidR="007A4ECC" w:rsidRPr="004F2343" w14:paraId="34875740" w14:textId="77777777" w:rsidTr="00EB7F1E">
        <w:trPr>
          <w:trHeight w:val="587"/>
          <w:tblHeader/>
          <w:jc w:val="center"/>
        </w:trPr>
        <w:tc>
          <w:tcPr>
            <w:tcW w:w="3005" w:type="dxa"/>
            <w:shd w:val="clear" w:color="auto" w:fill="D9D9D9" w:themeFill="background1" w:themeFillShade="D9"/>
          </w:tcPr>
          <w:p w14:paraId="6D768854" w14:textId="77777777" w:rsidR="007A4ECC" w:rsidRPr="004F2343" w:rsidRDefault="007A4ECC" w:rsidP="00EB7F1E">
            <w:pPr>
              <w:pStyle w:val="Body"/>
              <w:keepNext/>
              <w:ind w:left="153"/>
              <w:jc w:val="center"/>
              <w:rPr>
                <w:rFonts w:ascii="Calibri" w:hAnsi="Calibri"/>
                <w:b/>
                <w:i/>
                <w:sz w:val="20"/>
                <w:lang w:val="en-AU"/>
              </w:rPr>
            </w:pPr>
            <w:r w:rsidRPr="004F2343">
              <w:rPr>
                <w:rFonts w:ascii="Calibri" w:hAnsi="Calibri"/>
                <w:b/>
                <w:i/>
                <w:sz w:val="20"/>
                <w:lang w:val="en-AU"/>
              </w:rPr>
              <w:t>Option</w:t>
            </w:r>
          </w:p>
        </w:tc>
        <w:tc>
          <w:tcPr>
            <w:tcW w:w="4120" w:type="dxa"/>
            <w:shd w:val="clear" w:color="auto" w:fill="D9D9D9" w:themeFill="background1" w:themeFillShade="D9"/>
          </w:tcPr>
          <w:p w14:paraId="2BC36F82" w14:textId="680791DF" w:rsidR="007A4ECC" w:rsidRPr="004F2343" w:rsidRDefault="007A4ECC" w:rsidP="00EB7F1E">
            <w:pPr>
              <w:pStyle w:val="Body"/>
              <w:keepNext/>
              <w:tabs>
                <w:tab w:val="clear" w:pos="284"/>
              </w:tabs>
              <w:ind w:left="153"/>
              <w:jc w:val="center"/>
              <w:rPr>
                <w:rFonts w:ascii="Calibri" w:hAnsi="Calibri"/>
                <w:b/>
                <w:i/>
                <w:sz w:val="20"/>
                <w:lang w:val="en-AU"/>
              </w:rPr>
            </w:pPr>
            <w:r w:rsidRPr="004F2343">
              <w:rPr>
                <w:rFonts w:ascii="Calibri" w:hAnsi="Calibri"/>
                <w:b/>
                <w:i/>
                <w:sz w:val="20"/>
                <w:lang w:val="en-AU"/>
              </w:rPr>
              <w:t>Specific criteria</w:t>
            </w:r>
            <w:r w:rsidR="005437E7" w:rsidRPr="004F2343">
              <w:rPr>
                <w:rFonts w:ascii="Calibri" w:hAnsi="Calibri"/>
                <w:b/>
                <w:i/>
                <w:sz w:val="20"/>
                <w:lang w:val="en-AU"/>
              </w:rPr>
              <w:br/>
            </w:r>
            <w:r w:rsidRPr="004F2343">
              <w:rPr>
                <w:rFonts w:ascii="Calibri" w:hAnsi="Calibri"/>
                <w:b/>
                <w:i/>
                <w:sz w:val="20"/>
                <w:lang w:val="en-AU"/>
              </w:rPr>
              <w:t>(in addition to s 16A)</w:t>
            </w:r>
          </w:p>
        </w:tc>
        <w:tc>
          <w:tcPr>
            <w:tcW w:w="2730" w:type="dxa"/>
            <w:gridSpan w:val="2"/>
            <w:shd w:val="clear" w:color="auto" w:fill="D9D9D9" w:themeFill="background1" w:themeFillShade="D9"/>
          </w:tcPr>
          <w:p w14:paraId="5D2E9F23" w14:textId="77777777" w:rsidR="007A4ECC" w:rsidRPr="004F2343" w:rsidRDefault="007A4ECC" w:rsidP="00EB7F1E">
            <w:pPr>
              <w:pStyle w:val="Body"/>
              <w:keepNext/>
              <w:jc w:val="center"/>
              <w:rPr>
                <w:rFonts w:ascii="Calibri" w:hAnsi="Calibri"/>
                <w:b/>
                <w:i/>
                <w:sz w:val="20"/>
                <w:lang w:val="en-AU"/>
              </w:rPr>
            </w:pPr>
            <w:r w:rsidRPr="004F2343">
              <w:rPr>
                <w:rFonts w:ascii="Calibri" w:hAnsi="Calibri"/>
                <w:b/>
                <w:i/>
                <w:sz w:val="20"/>
                <w:lang w:val="en-AU"/>
              </w:rPr>
              <w:t>Crimes Act 1914 sections</w:t>
            </w:r>
          </w:p>
          <w:p w14:paraId="03998B72" w14:textId="7E8932D2" w:rsidR="007A4ECC" w:rsidRPr="004F2343" w:rsidRDefault="007A4ECC" w:rsidP="00EB7F1E">
            <w:pPr>
              <w:pStyle w:val="Body"/>
              <w:keepNext/>
              <w:ind w:left="153"/>
              <w:jc w:val="center"/>
              <w:rPr>
                <w:rFonts w:ascii="Calibri" w:hAnsi="Calibri"/>
                <w:b/>
                <w:i/>
                <w:sz w:val="20"/>
                <w:lang w:val="en-AU"/>
              </w:rPr>
            </w:pPr>
            <w:r w:rsidRPr="004F2343">
              <w:rPr>
                <w:rFonts w:ascii="Calibri" w:hAnsi="Calibri"/>
                <w:b/>
                <w:sz w:val="20"/>
                <w:lang w:val="en-AU"/>
              </w:rPr>
              <w:t xml:space="preserve">Imposition </w:t>
            </w:r>
            <w:r w:rsidRPr="004F2343">
              <w:rPr>
                <w:rFonts w:ascii="Calibri" w:hAnsi="Calibri"/>
                <w:b/>
                <w:sz w:val="20"/>
                <w:lang w:val="en-AU"/>
              </w:rPr>
              <w:tab/>
            </w:r>
            <w:r w:rsidRPr="004F2343">
              <w:rPr>
                <w:rFonts w:ascii="Calibri" w:hAnsi="Calibri"/>
                <w:b/>
                <w:i/>
                <w:sz w:val="20"/>
                <w:lang w:val="en-AU"/>
              </w:rPr>
              <w:t>Breach</w:t>
            </w:r>
          </w:p>
        </w:tc>
      </w:tr>
      <w:tr w:rsidR="009C1D19" w:rsidRPr="004F2343" w14:paraId="75E60777" w14:textId="77777777" w:rsidTr="00EB7F1E">
        <w:trPr>
          <w:jc w:val="center"/>
        </w:trPr>
        <w:tc>
          <w:tcPr>
            <w:tcW w:w="3005" w:type="dxa"/>
          </w:tcPr>
          <w:p w14:paraId="50842D2D" w14:textId="1FF55896" w:rsidR="009C1D19" w:rsidRPr="004F2343" w:rsidRDefault="009C1D19" w:rsidP="000125B0">
            <w:pPr>
              <w:pStyle w:val="Body"/>
              <w:tabs>
                <w:tab w:val="clear" w:pos="284"/>
              </w:tabs>
              <w:spacing w:line="276" w:lineRule="auto"/>
              <w:ind w:left="153"/>
              <w:rPr>
                <w:rFonts w:ascii="Calibri" w:hAnsi="Calibri"/>
                <w:b/>
                <w:szCs w:val="22"/>
                <w:lang w:val="en-AU"/>
              </w:rPr>
            </w:pPr>
            <w:r w:rsidRPr="004F2343">
              <w:rPr>
                <w:rFonts w:ascii="Calibri" w:hAnsi="Calibri"/>
                <w:b/>
                <w:szCs w:val="22"/>
                <w:lang w:val="en-AU"/>
              </w:rPr>
              <w:t>1.</w:t>
            </w:r>
            <w:r w:rsidR="009216E5" w:rsidRPr="004F2343">
              <w:rPr>
                <w:rFonts w:ascii="Calibri" w:hAnsi="Calibri"/>
                <w:szCs w:val="22"/>
                <w:lang w:val="en-AU"/>
              </w:rPr>
              <w:t xml:space="preserve"> </w:t>
            </w:r>
            <w:r w:rsidRPr="004F2343">
              <w:rPr>
                <w:rFonts w:ascii="Calibri" w:hAnsi="Calibri"/>
                <w:b/>
                <w:szCs w:val="22"/>
                <w:lang w:val="en-AU"/>
              </w:rPr>
              <w:t>Dismiss charge(s)</w:t>
            </w:r>
          </w:p>
          <w:p w14:paraId="79C5E858" w14:textId="77777777" w:rsidR="009C1D19" w:rsidRPr="004F2343" w:rsidRDefault="009C1D19" w:rsidP="000125B0">
            <w:pPr>
              <w:pStyle w:val="Body"/>
              <w:tabs>
                <w:tab w:val="clear" w:pos="284"/>
              </w:tabs>
              <w:spacing w:line="276" w:lineRule="auto"/>
              <w:ind w:left="153"/>
              <w:rPr>
                <w:rFonts w:ascii="Calibri" w:hAnsi="Calibri"/>
                <w:szCs w:val="22"/>
                <w:lang w:val="en-AU"/>
              </w:rPr>
            </w:pPr>
          </w:p>
        </w:tc>
        <w:tc>
          <w:tcPr>
            <w:tcW w:w="4120" w:type="dxa"/>
          </w:tcPr>
          <w:p w14:paraId="386F5F5F" w14:textId="77777777" w:rsidR="009C1D19" w:rsidRPr="004F2343" w:rsidRDefault="009C1D19" w:rsidP="00EB7F1E">
            <w:pPr>
              <w:spacing w:line="276" w:lineRule="auto"/>
              <w:ind w:right="28"/>
              <w:jc w:val="both"/>
              <w:rPr>
                <w:rFonts w:ascii="Calibri" w:hAnsi="Calibri"/>
              </w:rPr>
            </w:pPr>
            <w:r w:rsidRPr="004F2343">
              <w:rPr>
                <w:rFonts w:ascii="Calibri" w:hAnsi="Calibri"/>
              </w:rPr>
              <w:t>Having regard to:</w:t>
            </w:r>
          </w:p>
          <w:p w14:paraId="23AA8C77" w14:textId="77777777" w:rsidR="009C1D19" w:rsidRPr="004F2343" w:rsidRDefault="009C1D19">
            <w:pPr>
              <w:pStyle w:val="ListParagraph"/>
              <w:numPr>
                <w:ilvl w:val="0"/>
                <w:numId w:val="42"/>
              </w:numPr>
              <w:spacing w:line="276" w:lineRule="auto"/>
              <w:ind w:left="402" w:right="28" w:hanging="283"/>
              <w:rPr>
                <w:rFonts w:ascii="Calibri" w:hAnsi="Calibri"/>
              </w:rPr>
            </w:pPr>
            <w:r w:rsidRPr="004F2343">
              <w:rPr>
                <w:rFonts w:ascii="Calibri" w:hAnsi="Calibri"/>
              </w:rPr>
              <w:t>the character, antecedents, age, health or mental condition of the person; or</w:t>
            </w:r>
          </w:p>
          <w:p w14:paraId="60DB799C" w14:textId="77777777" w:rsidR="009C1D19" w:rsidRPr="004F2343" w:rsidRDefault="009C1D19">
            <w:pPr>
              <w:pStyle w:val="ListParagraph"/>
              <w:numPr>
                <w:ilvl w:val="0"/>
                <w:numId w:val="42"/>
              </w:numPr>
              <w:spacing w:line="276" w:lineRule="auto"/>
              <w:ind w:left="402" w:right="28" w:hanging="283"/>
              <w:rPr>
                <w:rFonts w:ascii="Calibri" w:hAnsi="Calibri"/>
              </w:rPr>
            </w:pPr>
            <w:r w:rsidRPr="004F2343">
              <w:rPr>
                <w:rFonts w:ascii="Calibri" w:hAnsi="Calibri"/>
              </w:rPr>
              <w:t>the extent (if any) to which the offence is of a trivial nature; or</w:t>
            </w:r>
          </w:p>
          <w:p w14:paraId="5ED54158" w14:textId="77777777" w:rsidR="009C1D19" w:rsidRPr="004F2343" w:rsidRDefault="009C1D19">
            <w:pPr>
              <w:pStyle w:val="ListParagraph"/>
              <w:numPr>
                <w:ilvl w:val="0"/>
                <w:numId w:val="42"/>
              </w:numPr>
              <w:spacing w:line="276" w:lineRule="auto"/>
              <w:ind w:left="402" w:right="28" w:hanging="283"/>
              <w:rPr>
                <w:rFonts w:ascii="Calibri" w:hAnsi="Calibri"/>
              </w:rPr>
            </w:pPr>
            <w:r w:rsidRPr="004F2343">
              <w:rPr>
                <w:rFonts w:ascii="Calibri" w:hAnsi="Calibri"/>
              </w:rPr>
              <w:t>the extent (if any) to which the offence was committed under extenuating circumstances</w:t>
            </w:r>
          </w:p>
          <w:p w14:paraId="3638A77C" w14:textId="77777777" w:rsidR="009C1D19" w:rsidRPr="004F2343" w:rsidRDefault="009C1D19" w:rsidP="00EB7F1E">
            <w:pPr>
              <w:spacing w:line="276" w:lineRule="auto"/>
              <w:ind w:right="28"/>
              <w:jc w:val="both"/>
              <w:rPr>
                <w:rFonts w:ascii="Calibri" w:hAnsi="Calibri"/>
                <w:szCs w:val="22"/>
              </w:rPr>
            </w:pPr>
            <w:r w:rsidRPr="004F2343">
              <w:rPr>
                <w:rFonts w:ascii="Calibri" w:hAnsi="Calibri"/>
              </w:rPr>
              <w:t>it is inexpedient to inflict any punishment</w:t>
            </w:r>
          </w:p>
        </w:tc>
        <w:tc>
          <w:tcPr>
            <w:tcW w:w="1540" w:type="dxa"/>
          </w:tcPr>
          <w:p w14:paraId="367E03B5"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 19B(1)(c)</w:t>
            </w:r>
          </w:p>
        </w:tc>
        <w:tc>
          <w:tcPr>
            <w:tcW w:w="1190" w:type="dxa"/>
          </w:tcPr>
          <w:p w14:paraId="1B61116B"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w:t>
            </w:r>
          </w:p>
        </w:tc>
      </w:tr>
      <w:tr w:rsidR="009C1D19" w:rsidRPr="004F2343" w14:paraId="08BCCCE5" w14:textId="77777777" w:rsidTr="00EB7F1E">
        <w:trPr>
          <w:jc w:val="center"/>
        </w:trPr>
        <w:tc>
          <w:tcPr>
            <w:tcW w:w="3005" w:type="dxa"/>
          </w:tcPr>
          <w:p w14:paraId="14B95905" w14:textId="01C2ED34" w:rsidR="009C1D19" w:rsidRPr="004F2343" w:rsidRDefault="009216E5" w:rsidP="009216E5">
            <w:pPr>
              <w:pStyle w:val="Body"/>
              <w:tabs>
                <w:tab w:val="clear" w:pos="284"/>
              </w:tabs>
              <w:spacing w:line="276" w:lineRule="auto"/>
              <w:ind w:left="142"/>
              <w:rPr>
                <w:rFonts w:ascii="Calibri" w:hAnsi="Calibri"/>
                <w:b/>
                <w:szCs w:val="22"/>
                <w:lang w:val="en-AU"/>
              </w:rPr>
            </w:pPr>
            <w:r w:rsidRPr="004F2343">
              <w:rPr>
                <w:rFonts w:ascii="Calibri" w:hAnsi="Calibri"/>
                <w:b/>
                <w:szCs w:val="22"/>
                <w:lang w:val="en-AU"/>
              </w:rPr>
              <w:t xml:space="preserve">2. </w:t>
            </w:r>
            <w:r w:rsidR="009C1D19" w:rsidRPr="004F2343">
              <w:rPr>
                <w:rFonts w:ascii="Calibri" w:hAnsi="Calibri"/>
                <w:b/>
                <w:szCs w:val="22"/>
                <w:lang w:val="en-AU"/>
              </w:rPr>
              <w:t>Bond without conviction</w:t>
            </w:r>
          </w:p>
        </w:tc>
        <w:tc>
          <w:tcPr>
            <w:tcW w:w="4120" w:type="dxa"/>
          </w:tcPr>
          <w:p w14:paraId="2598C0CD" w14:textId="77777777" w:rsidR="009C1D19" w:rsidRPr="004F2343" w:rsidRDefault="009C1D19" w:rsidP="00EB7F1E">
            <w:pPr>
              <w:spacing w:line="276" w:lineRule="auto"/>
              <w:ind w:right="28"/>
              <w:jc w:val="both"/>
              <w:rPr>
                <w:rFonts w:ascii="Calibri" w:hAnsi="Calibri"/>
              </w:rPr>
            </w:pPr>
            <w:r w:rsidRPr="004F2343">
              <w:rPr>
                <w:rFonts w:ascii="Calibri" w:hAnsi="Calibri"/>
              </w:rPr>
              <w:t>Having regard to:</w:t>
            </w:r>
          </w:p>
          <w:p w14:paraId="702943D9" w14:textId="77777777" w:rsidR="009C1D19" w:rsidRPr="004F2343" w:rsidRDefault="009C1D19" w:rsidP="00EB7F1E">
            <w:pPr>
              <w:pStyle w:val="ListParagraph"/>
              <w:numPr>
                <w:ilvl w:val="0"/>
                <w:numId w:val="42"/>
              </w:numPr>
              <w:spacing w:line="276" w:lineRule="auto"/>
              <w:ind w:left="402" w:right="28" w:hanging="283"/>
              <w:rPr>
                <w:rFonts w:ascii="Calibri" w:hAnsi="Calibri"/>
              </w:rPr>
            </w:pPr>
            <w:r w:rsidRPr="004F2343">
              <w:rPr>
                <w:rFonts w:ascii="Calibri" w:hAnsi="Calibri"/>
              </w:rPr>
              <w:t>the character, antecedents, age, health or mental condition of the person; or</w:t>
            </w:r>
          </w:p>
          <w:p w14:paraId="7A1CD1B1" w14:textId="77777777" w:rsidR="009C1D19" w:rsidRPr="004F2343" w:rsidRDefault="009C1D19" w:rsidP="00EB7F1E">
            <w:pPr>
              <w:pStyle w:val="ListParagraph"/>
              <w:numPr>
                <w:ilvl w:val="0"/>
                <w:numId w:val="42"/>
              </w:numPr>
              <w:spacing w:line="276" w:lineRule="auto"/>
              <w:ind w:left="402" w:right="28" w:hanging="283"/>
              <w:rPr>
                <w:rFonts w:ascii="Calibri" w:hAnsi="Calibri"/>
              </w:rPr>
            </w:pPr>
            <w:r w:rsidRPr="004F2343">
              <w:rPr>
                <w:rFonts w:ascii="Calibri" w:hAnsi="Calibri"/>
              </w:rPr>
              <w:t>the extent (if any) to which the offence is of a trivial nature; or</w:t>
            </w:r>
          </w:p>
          <w:p w14:paraId="3EA568DD" w14:textId="77777777" w:rsidR="009C1D19" w:rsidRPr="004F2343" w:rsidRDefault="009C1D19" w:rsidP="00EB7F1E">
            <w:pPr>
              <w:pStyle w:val="ListParagraph"/>
              <w:numPr>
                <w:ilvl w:val="0"/>
                <w:numId w:val="42"/>
              </w:numPr>
              <w:spacing w:line="276" w:lineRule="auto"/>
              <w:ind w:left="402" w:right="28" w:hanging="283"/>
              <w:rPr>
                <w:rFonts w:ascii="Calibri" w:hAnsi="Calibri"/>
              </w:rPr>
            </w:pPr>
            <w:r w:rsidRPr="004F2343">
              <w:rPr>
                <w:rFonts w:ascii="Calibri" w:hAnsi="Calibri"/>
              </w:rPr>
              <w:t>the extent (if any) to which the offence was committed under extenuating circumstances</w:t>
            </w:r>
          </w:p>
          <w:p w14:paraId="6AB4BFF9" w14:textId="77777777" w:rsidR="009C1D19" w:rsidRPr="004F2343" w:rsidRDefault="009C1D19" w:rsidP="00EB7F1E">
            <w:pPr>
              <w:spacing w:line="276" w:lineRule="auto"/>
              <w:ind w:right="28"/>
              <w:jc w:val="both"/>
              <w:rPr>
                <w:rFonts w:ascii="Calibri" w:hAnsi="Calibri"/>
              </w:rPr>
            </w:pPr>
            <w:r w:rsidRPr="004F2343">
              <w:rPr>
                <w:rFonts w:ascii="Calibri" w:hAnsi="Calibri"/>
              </w:rPr>
              <w:t>it is inexpedient to inflict any punishment other than a nominal punishment.</w:t>
            </w:r>
          </w:p>
          <w:p w14:paraId="33359D8E" w14:textId="77777777" w:rsidR="009C1D19" w:rsidRPr="004F2343" w:rsidRDefault="009C1D19" w:rsidP="00EB7F1E">
            <w:pPr>
              <w:pStyle w:val="Body"/>
              <w:spacing w:line="276" w:lineRule="auto"/>
              <w:ind w:left="153"/>
              <w:jc w:val="both"/>
              <w:rPr>
                <w:rFonts w:ascii="Calibri" w:hAnsi="Calibri"/>
              </w:rPr>
            </w:pPr>
          </w:p>
          <w:p w14:paraId="2AEA3238" w14:textId="63178A20" w:rsidR="009C1D19" w:rsidRPr="004F2343" w:rsidRDefault="009C1D19" w:rsidP="00EB7F1E">
            <w:pPr>
              <w:spacing w:line="276" w:lineRule="auto"/>
              <w:ind w:right="28"/>
              <w:jc w:val="both"/>
              <w:rPr>
                <w:rFonts w:ascii="Calibri" w:hAnsi="Calibri"/>
                <w:szCs w:val="22"/>
              </w:rPr>
            </w:pPr>
            <w:r w:rsidRPr="004F2343">
              <w:rPr>
                <w:rFonts w:ascii="Calibri" w:hAnsi="Calibri"/>
              </w:rPr>
              <w:t xml:space="preserve">The person must give security, with or without sureties, by recognizance or otherwise that he or she will </w:t>
            </w:r>
            <w:r w:rsidR="005822A0" w:rsidRPr="004F2343">
              <w:rPr>
                <w:rFonts w:ascii="Calibri" w:hAnsi="Calibri"/>
              </w:rPr>
              <w:t xml:space="preserve">be of good behaviour for up to 3 years and </w:t>
            </w:r>
            <w:r w:rsidRPr="004F2343">
              <w:rPr>
                <w:rFonts w:ascii="Calibri" w:hAnsi="Calibri"/>
              </w:rPr>
              <w:t xml:space="preserve">comply with </w:t>
            </w:r>
            <w:r w:rsidR="005822A0" w:rsidRPr="004F2343">
              <w:rPr>
                <w:rFonts w:ascii="Calibri" w:hAnsi="Calibri"/>
              </w:rPr>
              <w:t xml:space="preserve">other </w:t>
            </w:r>
            <w:r w:rsidRPr="004F2343">
              <w:rPr>
                <w:rFonts w:ascii="Calibri" w:hAnsi="Calibri"/>
              </w:rPr>
              <w:t xml:space="preserve">specified conditions </w:t>
            </w:r>
          </w:p>
        </w:tc>
        <w:tc>
          <w:tcPr>
            <w:tcW w:w="1540" w:type="dxa"/>
          </w:tcPr>
          <w:p w14:paraId="75955BD1"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 19B(1)(d)</w:t>
            </w:r>
          </w:p>
        </w:tc>
        <w:tc>
          <w:tcPr>
            <w:tcW w:w="1190" w:type="dxa"/>
          </w:tcPr>
          <w:p w14:paraId="7DF05A15"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 20A</w:t>
            </w:r>
          </w:p>
        </w:tc>
      </w:tr>
      <w:tr w:rsidR="009C1D19" w:rsidRPr="004F2343" w14:paraId="39E1193C" w14:textId="77777777" w:rsidTr="00EB7F1E">
        <w:trPr>
          <w:jc w:val="center"/>
        </w:trPr>
        <w:tc>
          <w:tcPr>
            <w:tcW w:w="3005" w:type="dxa"/>
          </w:tcPr>
          <w:p w14:paraId="4E0D2B02" w14:textId="363CBBA8" w:rsidR="009C1D19" w:rsidRPr="004F2343" w:rsidRDefault="009216E5" w:rsidP="009216E5">
            <w:pPr>
              <w:pStyle w:val="Body"/>
              <w:tabs>
                <w:tab w:val="clear" w:pos="284"/>
              </w:tabs>
              <w:spacing w:line="276" w:lineRule="auto"/>
              <w:ind w:left="142"/>
              <w:rPr>
                <w:rFonts w:ascii="Calibri" w:hAnsi="Calibri"/>
                <w:b/>
                <w:szCs w:val="22"/>
                <w:lang w:val="en-AU"/>
              </w:rPr>
            </w:pPr>
            <w:r w:rsidRPr="004F2343">
              <w:rPr>
                <w:rFonts w:ascii="Calibri" w:hAnsi="Calibri"/>
                <w:b/>
                <w:szCs w:val="22"/>
                <w:lang w:val="en-AU"/>
              </w:rPr>
              <w:t xml:space="preserve">3. </w:t>
            </w:r>
            <w:r w:rsidR="009C1D19" w:rsidRPr="004F2343">
              <w:rPr>
                <w:rFonts w:ascii="Calibri" w:hAnsi="Calibri"/>
                <w:b/>
                <w:szCs w:val="22"/>
                <w:lang w:val="en-AU"/>
              </w:rPr>
              <w:t>Bond with conviction</w:t>
            </w:r>
          </w:p>
          <w:p w14:paraId="6A37BFF2" w14:textId="77777777" w:rsidR="009C1D19" w:rsidRPr="004F2343" w:rsidRDefault="009C1D19" w:rsidP="000125B0">
            <w:pPr>
              <w:pStyle w:val="Body"/>
              <w:tabs>
                <w:tab w:val="clear" w:pos="284"/>
              </w:tabs>
              <w:spacing w:line="276" w:lineRule="auto"/>
              <w:ind w:left="153"/>
              <w:rPr>
                <w:rFonts w:ascii="Calibri" w:hAnsi="Calibri"/>
                <w:b/>
                <w:szCs w:val="22"/>
                <w:lang w:val="en-AU"/>
              </w:rPr>
            </w:pPr>
          </w:p>
        </w:tc>
        <w:tc>
          <w:tcPr>
            <w:tcW w:w="4120" w:type="dxa"/>
          </w:tcPr>
          <w:p w14:paraId="77CB870B" w14:textId="77777777" w:rsidR="009C1D19" w:rsidRPr="004F2343" w:rsidRDefault="009C1D19" w:rsidP="00EB7F1E">
            <w:pPr>
              <w:spacing w:line="276" w:lineRule="auto"/>
              <w:ind w:right="28"/>
              <w:jc w:val="both"/>
              <w:rPr>
                <w:rFonts w:ascii="Calibri" w:hAnsi="Calibri"/>
              </w:rPr>
            </w:pPr>
            <w:r w:rsidRPr="004F2343">
              <w:rPr>
                <w:rFonts w:ascii="Calibri" w:hAnsi="Calibri"/>
              </w:rPr>
              <w:t>Conviction appropriate</w:t>
            </w:r>
          </w:p>
          <w:p w14:paraId="5E0E2367" w14:textId="77777777" w:rsidR="00604BCE" w:rsidRPr="004F2343" w:rsidRDefault="00604BCE" w:rsidP="00EB7F1E">
            <w:pPr>
              <w:spacing w:line="276" w:lineRule="auto"/>
              <w:ind w:right="28"/>
              <w:jc w:val="both"/>
              <w:rPr>
                <w:rFonts w:ascii="Calibri" w:hAnsi="Calibri"/>
              </w:rPr>
            </w:pPr>
          </w:p>
          <w:p w14:paraId="5608B2EC" w14:textId="62AB3B48" w:rsidR="009C1D19" w:rsidRPr="004F2343" w:rsidRDefault="00604BCE" w:rsidP="00EB7F1E">
            <w:pPr>
              <w:spacing w:line="276" w:lineRule="auto"/>
              <w:ind w:right="28"/>
              <w:jc w:val="both"/>
              <w:rPr>
                <w:rFonts w:ascii="Calibri" w:hAnsi="Calibri"/>
              </w:rPr>
            </w:pPr>
            <w:r w:rsidRPr="004F2343">
              <w:rPr>
                <w:rFonts w:ascii="Calibri" w:hAnsi="Calibri"/>
              </w:rPr>
              <w:t>The court thinks fit.</w:t>
            </w:r>
          </w:p>
          <w:p w14:paraId="10677D22" w14:textId="4A5D4B85" w:rsidR="009C1D19" w:rsidRPr="004F2343" w:rsidRDefault="009C1D19" w:rsidP="00EB7F1E">
            <w:pPr>
              <w:spacing w:line="276" w:lineRule="auto"/>
              <w:ind w:right="28"/>
              <w:jc w:val="both"/>
              <w:rPr>
                <w:rFonts w:ascii="Calibri" w:hAnsi="Calibri"/>
              </w:rPr>
            </w:pPr>
            <w:r w:rsidRPr="004F2343">
              <w:rPr>
                <w:rFonts w:ascii="Calibri" w:hAnsi="Calibri"/>
              </w:rPr>
              <w:t xml:space="preserve">The person must give security, with or without sureties, by recognizance or otherwise that he or she will </w:t>
            </w:r>
            <w:r w:rsidR="005822A0" w:rsidRPr="004F2343">
              <w:rPr>
                <w:rFonts w:ascii="Calibri" w:hAnsi="Calibri"/>
              </w:rPr>
              <w:t xml:space="preserve">be of good behaviour for up to 5 years and </w:t>
            </w:r>
            <w:r w:rsidRPr="004F2343">
              <w:rPr>
                <w:rFonts w:ascii="Calibri" w:hAnsi="Calibri"/>
              </w:rPr>
              <w:t xml:space="preserve">comply with </w:t>
            </w:r>
            <w:r w:rsidR="005822A0" w:rsidRPr="004F2343">
              <w:rPr>
                <w:rFonts w:ascii="Calibri" w:hAnsi="Calibri"/>
              </w:rPr>
              <w:t xml:space="preserve">other </w:t>
            </w:r>
            <w:r w:rsidRPr="004F2343">
              <w:rPr>
                <w:rFonts w:ascii="Calibri" w:hAnsi="Calibri"/>
              </w:rPr>
              <w:t>specified conditions</w:t>
            </w:r>
          </w:p>
          <w:p w14:paraId="6D383CC4" w14:textId="77777777" w:rsidR="009C1D19" w:rsidRPr="004F2343" w:rsidRDefault="009C1D19" w:rsidP="00EB7F1E">
            <w:pPr>
              <w:pStyle w:val="Body"/>
              <w:spacing w:line="276" w:lineRule="auto"/>
              <w:jc w:val="both"/>
              <w:rPr>
                <w:rFonts w:ascii="Calibri" w:hAnsi="Calibri"/>
                <w:szCs w:val="22"/>
                <w:lang w:val="en-AU"/>
              </w:rPr>
            </w:pPr>
          </w:p>
        </w:tc>
        <w:tc>
          <w:tcPr>
            <w:tcW w:w="1540" w:type="dxa"/>
          </w:tcPr>
          <w:p w14:paraId="21802CFB"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 20(1)(a)</w:t>
            </w:r>
          </w:p>
        </w:tc>
        <w:tc>
          <w:tcPr>
            <w:tcW w:w="1190" w:type="dxa"/>
          </w:tcPr>
          <w:p w14:paraId="4D4A63BD"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 20A</w:t>
            </w:r>
          </w:p>
        </w:tc>
      </w:tr>
      <w:tr w:rsidR="009C1D19" w:rsidRPr="004F2343" w14:paraId="5D24FE30" w14:textId="77777777" w:rsidTr="00EB7F1E">
        <w:trPr>
          <w:jc w:val="center"/>
        </w:trPr>
        <w:tc>
          <w:tcPr>
            <w:tcW w:w="3005" w:type="dxa"/>
          </w:tcPr>
          <w:p w14:paraId="0B91E8E5" w14:textId="15BB32C0" w:rsidR="009C1D19" w:rsidRPr="004F2343" w:rsidRDefault="009216E5" w:rsidP="009216E5">
            <w:pPr>
              <w:pStyle w:val="Body"/>
              <w:tabs>
                <w:tab w:val="clear" w:pos="284"/>
              </w:tabs>
              <w:spacing w:line="276" w:lineRule="auto"/>
              <w:ind w:left="142"/>
              <w:rPr>
                <w:rFonts w:ascii="Calibri" w:hAnsi="Calibri"/>
                <w:b/>
                <w:szCs w:val="22"/>
                <w:lang w:val="en-AU"/>
              </w:rPr>
            </w:pPr>
            <w:r w:rsidRPr="004F2343">
              <w:rPr>
                <w:rFonts w:ascii="Calibri" w:hAnsi="Calibri"/>
                <w:b/>
                <w:szCs w:val="22"/>
                <w:lang w:val="en-AU"/>
              </w:rPr>
              <w:t xml:space="preserve">4. </w:t>
            </w:r>
            <w:r w:rsidR="009C1D19" w:rsidRPr="004F2343">
              <w:rPr>
                <w:rFonts w:ascii="Calibri" w:hAnsi="Calibri"/>
                <w:b/>
                <w:szCs w:val="22"/>
                <w:lang w:val="en-AU"/>
              </w:rPr>
              <w:t>Fine (with conviction only)</w:t>
            </w:r>
          </w:p>
        </w:tc>
        <w:tc>
          <w:tcPr>
            <w:tcW w:w="4120" w:type="dxa"/>
          </w:tcPr>
          <w:p w14:paraId="77A0415A" w14:textId="05070D81" w:rsidR="009C1D19" w:rsidRPr="004F2343" w:rsidRDefault="009C1D19" w:rsidP="00EB7F1E">
            <w:pPr>
              <w:spacing w:line="276" w:lineRule="auto"/>
              <w:ind w:right="28"/>
              <w:jc w:val="both"/>
              <w:rPr>
                <w:rFonts w:ascii="Calibri" w:hAnsi="Calibri"/>
              </w:rPr>
            </w:pPr>
            <w:r w:rsidRPr="004F2343">
              <w:rPr>
                <w:rFonts w:ascii="Calibri" w:hAnsi="Calibri"/>
              </w:rPr>
              <w:t xml:space="preserve">Offence </w:t>
            </w:r>
            <w:r w:rsidR="00177DC0" w:rsidRPr="004F2343">
              <w:rPr>
                <w:rFonts w:ascii="Calibri" w:hAnsi="Calibri"/>
              </w:rPr>
              <w:t>is</w:t>
            </w:r>
            <w:r w:rsidRPr="004F2343">
              <w:rPr>
                <w:rFonts w:ascii="Calibri" w:hAnsi="Calibri"/>
              </w:rPr>
              <w:t xml:space="preserve"> punishable by a fine </w:t>
            </w:r>
          </w:p>
          <w:p w14:paraId="59F80152" w14:textId="77777777" w:rsidR="009C1D19" w:rsidRPr="004F2343" w:rsidRDefault="009C1D19" w:rsidP="00EB7F1E">
            <w:pPr>
              <w:pStyle w:val="Body"/>
              <w:spacing w:line="276" w:lineRule="auto"/>
              <w:ind w:left="153"/>
              <w:jc w:val="both"/>
              <w:rPr>
                <w:rFonts w:ascii="Calibri" w:hAnsi="Calibri"/>
              </w:rPr>
            </w:pPr>
          </w:p>
          <w:p w14:paraId="1A5788B9" w14:textId="77777777" w:rsidR="009C1D19" w:rsidRPr="004F2343" w:rsidRDefault="009C1D19" w:rsidP="00EB7F1E">
            <w:pPr>
              <w:spacing w:line="276" w:lineRule="auto"/>
              <w:ind w:right="28"/>
              <w:jc w:val="both"/>
              <w:rPr>
                <w:rFonts w:ascii="Calibri" w:hAnsi="Calibri"/>
              </w:rPr>
            </w:pPr>
            <w:r w:rsidRPr="004F2343">
              <w:rPr>
                <w:rFonts w:ascii="Calibri" w:hAnsi="Calibri"/>
              </w:rPr>
              <w:t>Conviction appropriate</w:t>
            </w:r>
          </w:p>
          <w:p w14:paraId="2B24E432" w14:textId="77777777" w:rsidR="009C1D19" w:rsidRPr="004F2343" w:rsidRDefault="009C1D19" w:rsidP="00EB7F1E">
            <w:pPr>
              <w:pStyle w:val="Body"/>
              <w:spacing w:line="276" w:lineRule="auto"/>
              <w:ind w:left="153"/>
              <w:jc w:val="both"/>
              <w:rPr>
                <w:rFonts w:ascii="Calibri" w:hAnsi="Calibri"/>
              </w:rPr>
            </w:pPr>
          </w:p>
          <w:p w14:paraId="4153147A" w14:textId="77777777" w:rsidR="009C1D19" w:rsidRPr="004F2343" w:rsidRDefault="009C1D19" w:rsidP="00EB7F1E">
            <w:pPr>
              <w:spacing w:line="276" w:lineRule="auto"/>
              <w:ind w:right="28"/>
              <w:jc w:val="both"/>
              <w:rPr>
                <w:rFonts w:ascii="Calibri" w:hAnsi="Calibri"/>
                <w:szCs w:val="22"/>
              </w:rPr>
            </w:pPr>
            <w:r w:rsidRPr="004F2343">
              <w:rPr>
                <w:rFonts w:ascii="Calibri" w:hAnsi="Calibri"/>
              </w:rPr>
              <w:t>Must have regard to means and financial circumstances of offender</w:t>
            </w:r>
          </w:p>
          <w:p w14:paraId="2B455CA5" w14:textId="77777777" w:rsidR="009C1D19" w:rsidRPr="004F2343" w:rsidRDefault="009C1D19" w:rsidP="00EB7F1E">
            <w:pPr>
              <w:pStyle w:val="Body"/>
              <w:spacing w:line="276" w:lineRule="auto"/>
              <w:ind w:left="153"/>
              <w:jc w:val="both"/>
              <w:rPr>
                <w:rFonts w:ascii="Calibri" w:hAnsi="Calibri"/>
              </w:rPr>
            </w:pPr>
          </w:p>
          <w:p w14:paraId="1EFFF4FE" w14:textId="77777777" w:rsidR="009C1D19" w:rsidRPr="004F2343" w:rsidRDefault="009C1D19" w:rsidP="00EB7F1E">
            <w:pPr>
              <w:spacing w:line="276" w:lineRule="auto"/>
              <w:ind w:right="28"/>
              <w:jc w:val="both"/>
              <w:rPr>
                <w:rFonts w:ascii="Calibri" w:hAnsi="Calibri"/>
              </w:rPr>
            </w:pPr>
            <w:r w:rsidRPr="004F2343">
              <w:rPr>
                <w:rFonts w:ascii="Calibri" w:hAnsi="Calibri"/>
              </w:rPr>
              <w:t xml:space="preserve">Lower maxima for offences dealt with summarily </w:t>
            </w:r>
          </w:p>
          <w:p w14:paraId="5C667FF3" w14:textId="77777777" w:rsidR="009C1D19" w:rsidRPr="004F2343" w:rsidRDefault="009C1D19" w:rsidP="00EB7F1E">
            <w:pPr>
              <w:pStyle w:val="Body"/>
              <w:spacing w:line="276" w:lineRule="auto"/>
              <w:ind w:left="153"/>
              <w:jc w:val="both"/>
              <w:rPr>
                <w:rFonts w:ascii="Calibri" w:hAnsi="Calibri"/>
              </w:rPr>
            </w:pPr>
          </w:p>
          <w:p w14:paraId="634778A6" w14:textId="77777777" w:rsidR="009C1D19" w:rsidRPr="004F2343" w:rsidRDefault="009C1D19" w:rsidP="00EB7F1E">
            <w:pPr>
              <w:spacing w:line="276" w:lineRule="auto"/>
              <w:ind w:right="28"/>
              <w:jc w:val="both"/>
              <w:rPr>
                <w:rFonts w:ascii="Calibri" w:hAnsi="Calibri"/>
              </w:rPr>
            </w:pPr>
            <w:r w:rsidRPr="004F2343">
              <w:rPr>
                <w:rFonts w:ascii="Calibri" w:hAnsi="Calibri"/>
              </w:rPr>
              <w:t>Different maxima for natural persons and bodies corporate</w:t>
            </w:r>
          </w:p>
          <w:p w14:paraId="51C473D8" w14:textId="77777777" w:rsidR="009C1D19" w:rsidRPr="004F2343" w:rsidRDefault="009C1D19" w:rsidP="00EB7F1E">
            <w:pPr>
              <w:pStyle w:val="Body"/>
              <w:spacing w:line="276" w:lineRule="auto"/>
              <w:ind w:left="153"/>
              <w:jc w:val="both"/>
              <w:rPr>
                <w:rFonts w:ascii="Calibri" w:hAnsi="Calibri"/>
                <w:szCs w:val="22"/>
                <w:lang w:val="en-AU"/>
              </w:rPr>
            </w:pPr>
          </w:p>
        </w:tc>
        <w:tc>
          <w:tcPr>
            <w:tcW w:w="1540" w:type="dxa"/>
          </w:tcPr>
          <w:p w14:paraId="789CFEA1"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ss 4B, 4D</w:t>
            </w:r>
          </w:p>
        </w:tc>
        <w:tc>
          <w:tcPr>
            <w:tcW w:w="1190" w:type="dxa"/>
          </w:tcPr>
          <w:p w14:paraId="39E16C89"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 15A</w:t>
            </w:r>
          </w:p>
          <w:p w14:paraId="180D9BF7"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State law generally</w:t>
            </w:r>
          </w:p>
        </w:tc>
      </w:tr>
      <w:tr w:rsidR="009C1D19" w:rsidRPr="004F2343" w14:paraId="1C722DC0" w14:textId="77777777" w:rsidTr="00EB7F1E">
        <w:trPr>
          <w:jc w:val="center"/>
        </w:trPr>
        <w:tc>
          <w:tcPr>
            <w:tcW w:w="3005" w:type="dxa"/>
          </w:tcPr>
          <w:p w14:paraId="6F385EC3" w14:textId="2BA0B51F" w:rsidR="009C1D19" w:rsidRPr="004F2343" w:rsidRDefault="00583047" w:rsidP="000125B0">
            <w:pPr>
              <w:pStyle w:val="Body"/>
              <w:tabs>
                <w:tab w:val="clear" w:pos="284"/>
              </w:tabs>
              <w:spacing w:line="276" w:lineRule="auto"/>
              <w:ind w:left="153"/>
              <w:rPr>
                <w:rFonts w:ascii="Calibri" w:hAnsi="Calibri"/>
                <w:b/>
                <w:szCs w:val="22"/>
                <w:lang w:val="en-AU"/>
              </w:rPr>
            </w:pPr>
            <w:r w:rsidRPr="004F2343">
              <w:rPr>
                <w:rFonts w:ascii="Calibri" w:hAnsi="Calibri"/>
                <w:b/>
                <w:szCs w:val="22"/>
                <w:lang w:val="en-AU"/>
              </w:rPr>
              <w:t xml:space="preserve">5. </w:t>
            </w:r>
            <w:r w:rsidR="009C1D19" w:rsidRPr="004F2343">
              <w:rPr>
                <w:rFonts w:ascii="Calibri" w:hAnsi="Calibri"/>
                <w:b/>
                <w:szCs w:val="22"/>
                <w:lang w:val="en-AU"/>
              </w:rPr>
              <w:t>State/Territory post-conviction orders</w:t>
            </w:r>
          </w:p>
          <w:p w14:paraId="60984B2F" w14:textId="77777777" w:rsidR="009C1D19" w:rsidRPr="004F2343" w:rsidRDefault="009C1D19" w:rsidP="000125B0">
            <w:pPr>
              <w:pStyle w:val="Body"/>
              <w:tabs>
                <w:tab w:val="clear" w:pos="284"/>
              </w:tabs>
              <w:spacing w:line="276" w:lineRule="auto"/>
              <w:ind w:left="153"/>
              <w:rPr>
                <w:rFonts w:ascii="Calibri" w:hAnsi="Calibri"/>
                <w:b/>
                <w:szCs w:val="22"/>
                <w:lang w:val="en-AU"/>
              </w:rPr>
            </w:pPr>
            <w:r w:rsidRPr="004F2343">
              <w:rPr>
                <w:rFonts w:ascii="Calibri" w:hAnsi="Calibri"/>
                <w:b/>
                <w:szCs w:val="22"/>
                <w:lang w:val="en-AU"/>
              </w:rPr>
              <w:t xml:space="preserve">(e.g. community based orders, periodic/weekend detention, etc) </w:t>
            </w:r>
          </w:p>
        </w:tc>
        <w:tc>
          <w:tcPr>
            <w:tcW w:w="4120" w:type="dxa"/>
          </w:tcPr>
          <w:p w14:paraId="4D893D17" w14:textId="77777777" w:rsidR="009C1D19" w:rsidRPr="004F2343" w:rsidRDefault="009C1D19" w:rsidP="00EB7F1E">
            <w:pPr>
              <w:spacing w:line="276" w:lineRule="auto"/>
              <w:ind w:right="28"/>
              <w:jc w:val="both"/>
              <w:rPr>
                <w:rFonts w:ascii="Calibri" w:hAnsi="Calibri"/>
              </w:rPr>
            </w:pPr>
            <w:r w:rsidRPr="004F2343">
              <w:rPr>
                <w:rFonts w:ascii="Calibri" w:hAnsi="Calibri"/>
              </w:rPr>
              <w:t>Conviction appropriate</w:t>
            </w:r>
          </w:p>
          <w:p w14:paraId="24F96E3A" w14:textId="77777777" w:rsidR="009C1D19" w:rsidRPr="004F2343" w:rsidRDefault="009C1D19" w:rsidP="00EB7F1E">
            <w:pPr>
              <w:pStyle w:val="Body"/>
              <w:spacing w:line="276" w:lineRule="auto"/>
              <w:ind w:left="153"/>
              <w:jc w:val="both"/>
              <w:rPr>
                <w:rFonts w:ascii="Calibri" w:hAnsi="Calibri"/>
              </w:rPr>
            </w:pPr>
          </w:p>
          <w:p w14:paraId="10067CDE" w14:textId="77777777" w:rsidR="009C1D19" w:rsidRPr="004F2343" w:rsidRDefault="009C1D19" w:rsidP="00EB7F1E">
            <w:pPr>
              <w:spacing w:line="276" w:lineRule="auto"/>
              <w:ind w:right="28"/>
              <w:jc w:val="both"/>
              <w:rPr>
                <w:rFonts w:ascii="Calibri" w:hAnsi="Calibri"/>
              </w:rPr>
            </w:pPr>
            <w:r w:rsidRPr="004F2343">
              <w:rPr>
                <w:rFonts w:ascii="Calibri" w:hAnsi="Calibri"/>
              </w:rPr>
              <w:t>Sentence or order can only be made if:</w:t>
            </w:r>
          </w:p>
          <w:p w14:paraId="63F1034C" w14:textId="77777777" w:rsidR="009C1D19" w:rsidRPr="004F2343" w:rsidRDefault="009C1D19" w:rsidP="00EB7F1E">
            <w:pPr>
              <w:pStyle w:val="ListParagraph"/>
              <w:numPr>
                <w:ilvl w:val="0"/>
                <w:numId w:val="42"/>
              </w:numPr>
              <w:spacing w:line="276" w:lineRule="auto"/>
              <w:ind w:left="402" w:right="28" w:hanging="283"/>
              <w:rPr>
                <w:rFonts w:ascii="Calibri" w:hAnsi="Calibri"/>
                <w:szCs w:val="22"/>
              </w:rPr>
            </w:pPr>
            <w:r w:rsidRPr="004F2343">
              <w:rPr>
                <w:rFonts w:ascii="Calibri" w:hAnsi="Calibri"/>
              </w:rPr>
              <w:t>under the law of the State or Territory, a court is empowered to pass such a sentence, or make such an order, in respect of a State or Territory offender in corresponding cases; and</w:t>
            </w:r>
          </w:p>
          <w:p w14:paraId="301872B9" w14:textId="5DFF4B90" w:rsidR="009C1D19" w:rsidRPr="004F2343" w:rsidRDefault="009C1D19" w:rsidP="00EB7F1E">
            <w:pPr>
              <w:pStyle w:val="ListParagraph"/>
              <w:numPr>
                <w:ilvl w:val="0"/>
                <w:numId w:val="42"/>
              </w:numPr>
              <w:spacing w:line="276" w:lineRule="auto"/>
              <w:ind w:left="402" w:right="28" w:hanging="283"/>
              <w:rPr>
                <w:rFonts w:ascii="Calibri" w:hAnsi="Calibri"/>
                <w:szCs w:val="22"/>
              </w:rPr>
            </w:pPr>
            <w:r w:rsidRPr="004F2343">
              <w:rPr>
                <w:rFonts w:ascii="Calibri" w:hAnsi="Calibri"/>
                <w:szCs w:val="22"/>
              </w:rPr>
              <w:t xml:space="preserve">the order is of a kind referred to in the provision (e.g. community based </w:t>
            </w:r>
            <w:r w:rsidRPr="00EB7F1E">
              <w:rPr>
                <w:rFonts w:ascii="Calibri" w:hAnsi="Calibri"/>
              </w:rPr>
              <w:t>order</w:t>
            </w:r>
            <w:r w:rsidRPr="004F2343">
              <w:rPr>
                <w:rFonts w:ascii="Calibri" w:hAnsi="Calibri"/>
                <w:szCs w:val="22"/>
              </w:rPr>
              <w:t>, community service/work, community correction, attendance centre, periodic or weekend detention)</w:t>
            </w:r>
            <w:r w:rsidR="006745A3" w:rsidRPr="004F2343">
              <w:rPr>
                <w:rStyle w:val="Style"/>
              </w:rPr>
              <w:footnoteReference w:id="578"/>
            </w:r>
          </w:p>
          <w:p w14:paraId="34F5DD34" w14:textId="77777777" w:rsidR="009C1D19" w:rsidRPr="004F2343" w:rsidRDefault="009C1D19" w:rsidP="00EB7F1E">
            <w:pPr>
              <w:pStyle w:val="Body"/>
              <w:spacing w:line="276" w:lineRule="auto"/>
              <w:ind w:left="153"/>
              <w:jc w:val="both"/>
              <w:rPr>
                <w:rFonts w:ascii="Calibri" w:hAnsi="Calibri"/>
                <w:szCs w:val="22"/>
                <w:lang w:val="en-AU"/>
              </w:rPr>
            </w:pPr>
          </w:p>
        </w:tc>
        <w:tc>
          <w:tcPr>
            <w:tcW w:w="1540" w:type="dxa"/>
          </w:tcPr>
          <w:p w14:paraId="5733DDFE"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 xml:space="preserve">s 20AB; </w:t>
            </w:r>
          </w:p>
          <w:p w14:paraId="7BD84BC3" w14:textId="4E03537E"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 xml:space="preserve">Crimes Regulations </w:t>
            </w:r>
            <w:r w:rsidR="00FD37F1" w:rsidRPr="00EB7F1E">
              <w:rPr>
                <w:rFonts w:ascii="Calibri" w:hAnsi="Calibri"/>
                <w:color w:val="548DD4" w:themeColor="text2" w:themeTint="99"/>
                <w:szCs w:val="22"/>
                <w:lang w:val="en-AU"/>
              </w:rPr>
              <w:t>2019</w:t>
            </w:r>
            <w:r w:rsidRPr="004F2343">
              <w:rPr>
                <w:rFonts w:ascii="Calibri" w:hAnsi="Calibri"/>
                <w:szCs w:val="22"/>
                <w:lang w:val="en-AU"/>
              </w:rPr>
              <w:t xml:space="preserve">, reg </w:t>
            </w:r>
            <w:r w:rsidR="00FD37F1" w:rsidRPr="00EB7F1E">
              <w:rPr>
                <w:rFonts w:ascii="Calibri" w:hAnsi="Calibri"/>
                <w:color w:val="548DD4" w:themeColor="text2" w:themeTint="99"/>
                <w:szCs w:val="22"/>
                <w:lang w:val="en-AU"/>
              </w:rPr>
              <w:t>15</w:t>
            </w:r>
          </w:p>
        </w:tc>
        <w:tc>
          <w:tcPr>
            <w:tcW w:w="1190" w:type="dxa"/>
          </w:tcPr>
          <w:p w14:paraId="33DF66A9" w14:textId="77777777" w:rsidR="009C1D19" w:rsidRPr="004F2343" w:rsidRDefault="009C1D19" w:rsidP="000125B0">
            <w:pPr>
              <w:pStyle w:val="Body"/>
              <w:spacing w:line="276" w:lineRule="auto"/>
              <w:ind w:left="153"/>
              <w:rPr>
                <w:rFonts w:ascii="Calibri" w:hAnsi="Calibri"/>
                <w:szCs w:val="22"/>
                <w:lang w:val="en-AU"/>
              </w:rPr>
            </w:pPr>
            <w:r w:rsidRPr="004F2343">
              <w:rPr>
                <w:rFonts w:ascii="Calibri" w:hAnsi="Calibri"/>
                <w:szCs w:val="22"/>
                <w:lang w:val="en-AU"/>
              </w:rPr>
              <w:t>s 20AC</w:t>
            </w:r>
          </w:p>
        </w:tc>
      </w:tr>
      <w:tr w:rsidR="009C1D19" w:rsidRPr="004F2343" w14:paraId="3324289E" w14:textId="77777777" w:rsidTr="00EB7F1E">
        <w:trPr>
          <w:trHeight w:val="3214"/>
          <w:jc w:val="center"/>
        </w:trPr>
        <w:tc>
          <w:tcPr>
            <w:tcW w:w="3005" w:type="dxa"/>
          </w:tcPr>
          <w:p w14:paraId="6351D5BF" w14:textId="77777777" w:rsidR="009C1D19" w:rsidRPr="004F2343" w:rsidRDefault="009C1D19">
            <w:pPr>
              <w:pStyle w:val="Body"/>
              <w:tabs>
                <w:tab w:val="clear" w:pos="284"/>
              </w:tabs>
              <w:spacing w:line="276" w:lineRule="auto"/>
              <w:ind w:left="153"/>
              <w:rPr>
                <w:rFonts w:ascii="Calibri" w:hAnsi="Calibri"/>
                <w:b/>
                <w:szCs w:val="22"/>
                <w:lang w:val="en-AU"/>
              </w:rPr>
            </w:pPr>
            <w:r w:rsidRPr="004F2343">
              <w:rPr>
                <w:rFonts w:ascii="Calibri" w:hAnsi="Calibri"/>
                <w:b/>
                <w:szCs w:val="22"/>
                <w:lang w:val="en-AU"/>
              </w:rPr>
              <w:t>6. Imprisonment</w:t>
            </w:r>
          </w:p>
          <w:p w14:paraId="737ADF45" w14:textId="77777777" w:rsidR="009C1D19" w:rsidRPr="004F2343" w:rsidRDefault="009C1D19" w:rsidP="00EB7F1E">
            <w:pPr>
              <w:pStyle w:val="Body"/>
              <w:keepNext/>
              <w:spacing w:line="276" w:lineRule="auto"/>
              <w:rPr>
                <w:rFonts w:ascii="Calibri" w:hAnsi="Calibri"/>
                <w:b/>
                <w:szCs w:val="22"/>
                <w:lang w:val="en-AU"/>
              </w:rPr>
            </w:pPr>
          </w:p>
          <w:p w14:paraId="4BD46043" w14:textId="77777777" w:rsidR="009C1D19" w:rsidRPr="004F2343" w:rsidRDefault="009C1D19" w:rsidP="00EB7F1E">
            <w:pPr>
              <w:pStyle w:val="Body"/>
              <w:keepNext/>
              <w:spacing w:line="276" w:lineRule="auto"/>
              <w:rPr>
                <w:rFonts w:ascii="Calibri" w:hAnsi="Calibri"/>
                <w:b/>
                <w:szCs w:val="22"/>
                <w:lang w:val="en-AU"/>
              </w:rPr>
            </w:pPr>
          </w:p>
          <w:p w14:paraId="2D7DD078" w14:textId="77777777" w:rsidR="009C1D19" w:rsidRPr="004F2343" w:rsidRDefault="009C1D19" w:rsidP="00EB7F1E">
            <w:pPr>
              <w:pStyle w:val="Body"/>
              <w:keepNext/>
              <w:spacing w:line="276" w:lineRule="auto"/>
              <w:rPr>
                <w:rFonts w:ascii="Calibri" w:hAnsi="Calibri"/>
                <w:b/>
                <w:szCs w:val="22"/>
                <w:lang w:val="en-AU"/>
              </w:rPr>
            </w:pPr>
          </w:p>
          <w:p w14:paraId="4EB3552C" w14:textId="77777777" w:rsidR="009C1D19" w:rsidRPr="004F2343" w:rsidRDefault="009C1D19" w:rsidP="00EB7F1E">
            <w:pPr>
              <w:pStyle w:val="Body"/>
              <w:keepNext/>
              <w:spacing w:line="276" w:lineRule="auto"/>
              <w:rPr>
                <w:rFonts w:ascii="Calibri" w:hAnsi="Calibri"/>
                <w:b/>
                <w:szCs w:val="22"/>
                <w:lang w:val="en-AU"/>
              </w:rPr>
            </w:pPr>
          </w:p>
          <w:p w14:paraId="50D7610F" w14:textId="77777777" w:rsidR="009C1D19" w:rsidRPr="004F2343" w:rsidRDefault="009C1D19" w:rsidP="00EB7F1E">
            <w:pPr>
              <w:pStyle w:val="Body"/>
              <w:keepNext/>
              <w:spacing w:line="276" w:lineRule="auto"/>
              <w:rPr>
                <w:rFonts w:ascii="Calibri" w:hAnsi="Calibri"/>
                <w:szCs w:val="22"/>
                <w:lang w:val="en-AU"/>
              </w:rPr>
            </w:pPr>
          </w:p>
          <w:p w14:paraId="71B361C0" w14:textId="77777777" w:rsidR="009C1D19" w:rsidRPr="004F2343" w:rsidRDefault="009C1D19" w:rsidP="00EB7F1E">
            <w:pPr>
              <w:pStyle w:val="Body"/>
              <w:keepNext/>
              <w:spacing w:line="276" w:lineRule="auto"/>
              <w:rPr>
                <w:rFonts w:ascii="Calibri" w:hAnsi="Calibri"/>
                <w:szCs w:val="22"/>
                <w:lang w:val="en-AU"/>
              </w:rPr>
            </w:pPr>
          </w:p>
          <w:p w14:paraId="09B9F2C5" w14:textId="320D1BEE" w:rsidR="009C1D19" w:rsidRPr="004F2343" w:rsidRDefault="009C1D19" w:rsidP="00EB7F1E">
            <w:pPr>
              <w:pStyle w:val="Body"/>
              <w:keepNext/>
              <w:spacing w:line="276" w:lineRule="auto"/>
              <w:rPr>
                <w:rFonts w:ascii="Calibri" w:hAnsi="Calibri"/>
                <w:szCs w:val="22"/>
                <w:lang w:val="en-AU"/>
              </w:rPr>
            </w:pPr>
          </w:p>
          <w:p w14:paraId="3BF54A02" w14:textId="535E9D14" w:rsidR="00D609E8" w:rsidRPr="004F2343" w:rsidRDefault="00D609E8" w:rsidP="00EB7F1E">
            <w:pPr>
              <w:pStyle w:val="Body"/>
              <w:keepNext/>
              <w:spacing w:line="276" w:lineRule="auto"/>
              <w:rPr>
                <w:rFonts w:ascii="Calibri" w:hAnsi="Calibri"/>
                <w:szCs w:val="22"/>
                <w:lang w:val="en-AU"/>
              </w:rPr>
            </w:pPr>
          </w:p>
          <w:p w14:paraId="62696E6D" w14:textId="35637C3C" w:rsidR="009C1D19" w:rsidRPr="004F2343" w:rsidRDefault="009C1D19" w:rsidP="00EB7F1E">
            <w:pPr>
              <w:pStyle w:val="Body"/>
              <w:keepNext/>
              <w:tabs>
                <w:tab w:val="clear" w:pos="284"/>
                <w:tab w:val="left" w:pos="884"/>
              </w:tabs>
              <w:spacing w:line="276" w:lineRule="auto"/>
              <w:ind w:left="672"/>
              <w:rPr>
                <w:rFonts w:ascii="Calibri" w:hAnsi="Calibri"/>
                <w:szCs w:val="22"/>
                <w:lang w:val="en-AU"/>
              </w:rPr>
            </w:pPr>
          </w:p>
        </w:tc>
        <w:tc>
          <w:tcPr>
            <w:tcW w:w="4120" w:type="dxa"/>
          </w:tcPr>
          <w:p w14:paraId="01BE3BB2" w14:textId="77777777" w:rsidR="009C1D19" w:rsidRPr="004F2343" w:rsidRDefault="009C1D19" w:rsidP="00EB7F1E">
            <w:pPr>
              <w:spacing w:line="276" w:lineRule="auto"/>
              <w:ind w:right="28"/>
              <w:jc w:val="both"/>
              <w:rPr>
                <w:rFonts w:ascii="Calibri" w:hAnsi="Calibri"/>
              </w:rPr>
            </w:pPr>
            <w:r w:rsidRPr="004F2343">
              <w:rPr>
                <w:rFonts w:ascii="Calibri" w:hAnsi="Calibri"/>
              </w:rPr>
              <w:t>Offence is punishable by imprisonment</w:t>
            </w:r>
          </w:p>
          <w:p w14:paraId="7A04C4F2" w14:textId="77777777" w:rsidR="009C1D19" w:rsidRPr="004F2343" w:rsidRDefault="009C1D19" w:rsidP="00EB7F1E">
            <w:pPr>
              <w:pStyle w:val="Body"/>
              <w:keepNext/>
              <w:spacing w:line="276" w:lineRule="auto"/>
              <w:ind w:left="153"/>
              <w:jc w:val="both"/>
              <w:rPr>
                <w:rFonts w:ascii="Calibri" w:hAnsi="Calibri"/>
              </w:rPr>
            </w:pPr>
          </w:p>
          <w:p w14:paraId="24047B58" w14:textId="77777777" w:rsidR="009C1D19" w:rsidRPr="004F2343" w:rsidRDefault="009C1D19" w:rsidP="00EB7F1E">
            <w:pPr>
              <w:spacing w:line="276" w:lineRule="auto"/>
              <w:ind w:right="28"/>
              <w:jc w:val="both"/>
              <w:rPr>
                <w:rFonts w:ascii="Calibri" w:hAnsi="Calibri"/>
              </w:rPr>
            </w:pPr>
            <w:r w:rsidRPr="004F2343">
              <w:rPr>
                <w:rFonts w:ascii="Calibri" w:hAnsi="Calibri"/>
              </w:rPr>
              <w:t>Conviction appropriate</w:t>
            </w:r>
          </w:p>
          <w:p w14:paraId="5AFC9A16" w14:textId="41DD87F4" w:rsidR="009C1D19" w:rsidRPr="004F2343" w:rsidRDefault="009C1D19" w:rsidP="00EB7F1E">
            <w:pPr>
              <w:pStyle w:val="Body"/>
              <w:keepNext/>
              <w:spacing w:line="276" w:lineRule="auto"/>
              <w:ind w:left="153"/>
              <w:jc w:val="both"/>
              <w:rPr>
                <w:rFonts w:ascii="Calibri" w:hAnsi="Calibri"/>
              </w:rPr>
            </w:pPr>
          </w:p>
          <w:p w14:paraId="6AB565BE" w14:textId="38AD0739" w:rsidR="00177DC0" w:rsidRPr="004F2343" w:rsidRDefault="00177DC0" w:rsidP="00EB7F1E">
            <w:pPr>
              <w:spacing w:line="276" w:lineRule="auto"/>
              <w:ind w:right="28"/>
              <w:jc w:val="both"/>
              <w:rPr>
                <w:rFonts w:ascii="Calibri" w:hAnsi="Calibri"/>
              </w:rPr>
            </w:pPr>
            <w:r w:rsidRPr="004F2343">
              <w:rPr>
                <w:rFonts w:ascii="Calibri" w:hAnsi="Calibri"/>
              </w:rPr>
              <w:t>Imprisonment is mandatory</w:t>
            </w:r>
            <w:r w:rsidR="007A4ECC" w:rsidRPr="004F2343">
              <w:rPr>
                <w:rFonts w:ascii="Calibri" w:hAnsi="Calibri"/>
              </w:rPr>
              <w:t>;</w:t>
            </w:r>
            <w:r w:rsidRPr="004F2343">
              <w:rPr>
                <w:rFonts w:ascii="Calibri" w:hAnsi="Calibri"/>
              </w:rPr>
              <w:t xml:space="preserve"> or</w:t>
            </w:r>
          </w:p>
          <w:p w14:paraId="27B023E5" w14:textId="6B10FB6F" w:rsidR="009C1D19" w:rsidRPr="004F2343" w:rsidRDefault="009C1D19" w:rsidP="00EB7F1E">
            <w:pPr>
              <w:spacing w:line="276" w:lineRule="auto"/>
              <w:ind w:right="28"/>
              <w:jc w:val="both"/>
              <w:rPr>
                <w:rFonts w:ascii="Calibri" w:hAnsi="Calibri"/>
              </w:rPr>
            </w:pPr>
            <w:r w:rsidRPr="004F2343">
              <w:rPr>
                <w:rFonts w:ascii="Calibri" w:hAnsi="Calibri"/>
              </w:rPr>
              <w:t>no other sentence is appropriate in all the circumstances of the case</w:t>
            </w:r>
          </w:p>
          <w:p w14:paraId="058AB9C7" w14:textId="2B07D3FC" w:rsidR="00D609E8" w:rsidRPr="004F2343" w:rsidRDefault="00D609E8" w:rsidP="00EB7F1E">
            <w:pPr>
              <w:pStyle w:val="Body"/>
              <w:keepNext/>
              <w:spacing w:line="276" w:lineRule="auto"/>
              <w:ind w:left="153"/>
              <w:jc w:val="both"/>
              <w:rPr>
                <w:rFonts w:ascii="Calibri" w:hAnsi="Calibri"/>
              </w:rPr>
            </w:pPr>
          </w:p>
          <w:p w14:paraId="66743169" w14:textId="70A6F21F" w:rsidR="005437E7" w:rsidRPr="00EB7F1E" w:rsidRDefault="00D609E8" w:rsidP="00EB7F1E">
            <w:pPr>
              <w:spacing w:line="276" w:lineRule="auto"/>
              <w:ind w:right="28"/>
              <w:jc w:val="both"/>
              <w:rPr>
                <w:rFonts w:ascii="Calibri" w:hAnsi="Calibri"/>
              </w:rPr>
            </w:pPr>
            <w:r w:rsidRPr="00EB7F1E">
              <w:rPr>
                <w:rFonts w:ascii="Calibri" w:hAnsi="Calibri"/>
              </w:rPr>
              <w:t>Must be exceptional circumstances for certain minor property offences</w:t>
            </w:r>
          </w:p>
          <w:p w14:paraId="5D3926DD" w14:textId="1F6740A0" w:rsidR="009C1D19" w:rsidRPr="004F2343" w:rsidRDefault="009C1D19" w:rsidP="00EB7F1E">
            <w:pPr>
              <w:pStyle w:val="Body"/>
              <w:keepNext/>
              <w:spacing w:line="276" w:lineRule="auto"/>
              <w:ind w:left="153"/>
              <w:jc w:val="both"/>
              <w:rPr>
                <w:rFonts w:ascii="Calibri" w:hAnsi="Calibri"/>
                <w:szCs w:val="22"/>
                <w:lang w:val="en-AU"/>
              </w:rPr>
            </w:pPr>
          </w:p>
        </w:tc>
        <w:tc>
          <w:tcPr>
            <w:tcW w:w="1540" w:type="dxa"/>
          </w:tcPr>
          <w:p w14:paraId="0F5E334D" w14:textId="77777777" w:rsidR="009C1D19" w:rsidRPr="004F2343" w:rsidRDefault="009C1D19" w:rsidP="00EB7F1E">
            <w:pPr>
              <w:pStyle w:val="Body"/>
              <w:keepNext/>
              <w:spacing w:line="276" w:lineRule="auto"/>
              <w:ind w:left="153"/>
              <w:rPr>
                <w:rFonts w:ascii="Calibri" w:hAnsi="Calibri"/>
                <w:szCs w:val="22"/>
                <w:lang w:val="en-AU"/>
              </w:rPr>
            </w:pPr>
          </w:p>
          <w:p w14:paraId="2BE2D6BC" w14:textId="77777777" w:rsidR="009C1D19" w:rsidRPr="004F2343" w:rsidRDefault="009C1D19" w:rsidP="00EB7F1E">
            <w:pPr>
              <w:pStyle w:val="Body"/>
              <w:keepNext/>
              <w:spacing w:line="276" w:lineRule="auto"/>
              <w:ind w:left="153"/>
              <w:rPr>
                <w:rFonts w:ascii="Calibri" w:hAnsi="Calibri"/>
                <w:szCs w:val="22"/>
                <w:lang w:val="en-AU"/>
              </w:rPr>
            </w:pPr>
          </w:p>
          <w:p w14:paraId="3854A1E5" w14:textId="77777777" w:rsidR="009C1D19" w:rsidRPr="004F2343" w:rsidRDefault="009C1D19" w:rsidP="00EB7F1E">
            <w:pPr>
              <w:pStyle w:val="Body"/>
              <w:keepNext/>
              <w:spacing w:line="276" w:lineRule="auto"/>
              <w:ind w:left="153"/>
              <w:rPr>
                <w:rFonts w:ascii="Calibri" w:hAnsi="Calibri"/>
                <w:szCs w:val="22"/>
                <w:lang w:val="en-AU"/>
              </w:rPr>
            </w:pPr>
          </w:p>
          <w:p w14:paraId="21D39F7E" w14:textId="77777777" w:rsidR="009C1D19" w:rsidRPr="004F2343" w:rsidRDefault="009C1D19" w:rsidP="00EB7F1E">
            <w:pPr>
              <w:pStyle w:val="Body"/>
              <w:keepNext/>
              <w:spacing w:line="276" w:lineRule="auto"/>
              <w:ind w:left="153"/>
              <w:rPr>
                <w:rFonts w:ascii="Calibri" w:hAnsi="Calibri"/>
                <w:szCs w:val="22"/>
                <w:lang w:val="en-AU"/>
              </w:rPr>
            </w:pPr>
          </w:p>
          <w:p w14:paraId="4E9A5B52" w14:textId="77777777" w:rsidR="009C1D19" w:rsidRPr="004F2343" w:rsidRDefault="009C1D19" w:rsidP="00EB7F1E">
            <w:pPr>
              <w:pStyle w:val="Body"/>
              <w:keepNext/>
              <w:spacing w:line="276" w:lineRule="auto"/>
              <w:ind w:left="153"/>
              <w:rPr>
                <w:rFonts w:ascii="Calibri" w:hAnsi="Calibri"/>
                <w:szCs w:val="22"/>
                <w:lang w:val="en-AU"/>
              </w:rPr>
            </w:pPr>
          </w:p>
          <w:p w14:paraId="12AE3B9F" w14:textId="77777777" w:rsidR="009C1D19" w:rsidRPr="004F2343" w:rsidRDefault="009C1D19" w:rsidP="00EB7F1E">
            <w:pPr>
              <w:pStyle w:val="Body"/>
              <w:keepNext/>
              <w:spacing w:line="276" w:lineRule="auto"/>
              <w:ind w:left="153"/>
              <w:rPr>
                <w:rFonts w:ascii="Calibri" w:hAnsi="Calibri"/>
                <w:szCs w:val="22"/>
                <w:lang w:val="en-AU"/>
              </w:rPr>
            </w:pPr>
          </w:p>
          <w:p w14:paraId="44BFF5BC" w14:textId="218D0598" w:rsidR="00177DC0" w:rsidRPr="004F2343" w:rsidRDefault="00D609E8" w:rsidP="00EB7F1E">
            <w:pPr>
              <w:pStyle w:val="Body"/>
              <w:keepNext/>
              <w:spacing w:line="276" w:lineRule="auto"/>
              <w:ind w:left="153"/>
              <w:rPr>
                <w:rFonts w:ascii="Calibri" w:hAnsi="Calibri"/>
                <w:szCs w:val="22"/>
                <w:lang w:val="en-AU"/>
              </w:rPr>
            </w:pPr>
            <w:r w:rsidRPr="004F2343">
              <w:rPr>
                <w:rFonts w:ascii="Calibri" w:hAnsi="Calibri"/>
                <w:szCs w:val="22"/>
                <w:lang w:val="en-AU"/>
              </w:rPr>
              <w:t>s</w:t>
            </w:r>
            <w:r w:rsidR="00177DC0" w:rsidRPr="004F2343">
              <w:rPr>
                <w:rFonts w:ascii="Calibri" w:hAnsi="Calibri"/>
                <w:szCs w:val="22"/>
                <w:lang w:val="en-AU"/>
              </w:rPr>
              <w:t xml:space="preserve"> 17A(1)</w:t>
            </w:r>
          </w:p>
          <w:p w14:paraId="41320CA4" w14:textId="77777777" w:rsidR="009C1D19" w:rsidRPr="004F2343" w:rsidRDefault="009C1D19" w:rsidP="00EB7F1E">
            <w:pPr>
              <w:pStyle w:val="Body"/>
              <w:keepNext/>
              <w:spacing w:line="276" w:lineRule="auto"/>
              <w:ind w:left="153"/>
              <w:rPr>
                <w:rFonts w:ascii="Calibri" w:hAnsi="Calibri"/>
                <w:szCs w:val="22"/>
                <w:lang w:val="en-AU"/>
              </w:rPr>
            </w:pPr>
          </w:p>
          <w:p w14:paraId="381BCD2A" w14:textId="193CF89B" w:rsidR="009C1D19" w:rsidRPr="004F2343" w:rsidRDefault="00D609E8" w:rsidP="00EB7F1E">
            <w:pPr>
              <w:pStyle w:val="Body"/>
              <w:keepNext/>
              <w:spacing w:line="276" w:lineRule="auto"/>
              <w:ind w:left="153"/>
              <w:rPr>
                <w:rFonts w:ascii="Calibri" w:hAnsi="Calibri"/>
                <w:szCs w:val="22"/>
                <w:lang w:val="en-AU"/>
              </w:rPr>
            </w:pPr>
            <w:r w:rsidRPr="004F2343">
              <w:rPr>
                <w:rFonts w:ascii="Calibri" w:hAnsi="Calibri"/>
                <w:szCs w:val="22"/>
                <w:lang w:val="en-AU"/>
              </w:rPr>
              <w:t>s 17</w:t>
            </w:r>
            <w:r w:rsidR="00DA1324" w:rsidRPr="004F2343">
              <w:rPr>
                <w:rFonts w:ascii="Calibri" w:hAnsi="Calibri"/>
                <w:szCs w:val="22"/>
                <w:lang w:val="en-AU"/>
              </w:rPr>
              <w:t>B</w:t>
            </w:r>
          </w:p>
          <w:p w14:paraId="57D8C83F" w14:textId="503D4D78" w:rsidR="009C1D19" w:rsidRPr="004F2343" w:rsidRDefault="009C1D19" w:rsidP="00EB7F1E">
            <w:pPr>
              <w:pStyle w:val="Body"/>
              <w:keepNext/>
              <w:spacing w:line="276" w:lineRule="auto"/>
              <w:ind w:left="153"/>
              <w:rPr>
                <w:rFonts w:ascii="Calibri" w:hAnsi="Calibri"/>
                <w:szCs w:val="22"/>
                <w:lang w:val="en-AU"/>
              </w:rPr>
            </w:pPr>
          </w:p>
        </w:tc>
        <w:tc>
          <w:tcPr>
            <w:tcW w:w="1190" w:type="dxa"/>
          </w:tcPr>
          <w:p w14:paraId="32870024" w14:textId="77777777" w:rsidR="009C1D19" w:rsidRPr="004F2343" w:rsidRDefault="009C1D19" w:rsidP="00EB7F1E">
            <w:pPr>
              <w:pStyle w:val="Body"/>
              <w:keepNext/>
              <w:spacing w:line="276" w:lineRule="auto"/>
              <w:ind w:left="153"/>
              <w:rPr>
                <w:rFonts w:ascii="Calibri" w:hAnsi="Calibri"/>
                <w:szCs w:val="22"/>
                <w:lang w:val="en-AU"/>
              </w:rPr>
            </w:pPr>
          </w:p>
          <w:p w14:paraId="001D2419" w14:textId="77777777" w:rsidR="009C1D19" w:rsidRPr="004F2343" w:rsidRDefault="009C1D19" w:rsidP="00EB7F1E">
            <w:pPr>
              <w:pStyle w:val="Body"/>
              <w:keepNext/>
              <w:spacing w:line="276" w:lineRule="auto"/>
              <w:ind w:left="153"/>
              <w:rPr>
                <w:rFonts w:ascii="Calibri" w:hAnsi="Calibri"/>
                <w:szCs w:val="22"/>
                <w:lang w:val="en-AU"/>
              </w:rPr>
            </w:pPr>
          </w:p>
          <w:p w14:paraId="78FE7D57" w14:textId="77777777" w:rsidR="009C1D19" w:rsidRPr="004F2343" w:rsidRDefault="009C1D19" w:rsidP="00EB7F1E">
            <w:pPr>
              <w:pStyle w:val="Body"/>
              <w:keepNext/>
              <w:spacing w:line="276" w:lineRule="auto"/>
              <w:ind w:left="153"/>
              <w:rPr>
                <w:rFonts w:ascii="Calibri" w:hAnsi="Calibri"/>
                <w:szCs w:val="22"/>
                <w:lang w:val="en-AU"/>
              </w:rPr>
            </w:pPr>
          </w:p>
          <w:p w14:paraId="561B5D87" w14:textId="77777777" w:rsidR="009C1D19" w:rsidRPr="004F2343" w:rsidRDefault="009C1D19" w:rsidP="00EB7F1E">
            <w:pPr>
              <w:pStyle w:val="Body"/>
              <w:keepNext/>
              <w:spacing w:line="276" w:lineRule="auto"/>
              <w:ind w:left="153"/>
              <w:rPr>
                <w:rFonts w:ascii="Calibri" w:hAnsi="Calibri"/>
                <w:szCs w:val="22"/>
                <w:lang w:val="en-AU"/>
              </w:rPr>
            </w:pPr>
          </w:p>
          <w:p w14:paraId="72DFF40F" w14:textId="77777777" w:rsidR="009C1D19" w:rsidRPr="004F2343" w:rsidRDefault="009C1D19" w:rsidP="00EB7F1E">
            <w:pPr>
              <w:pStyle w:val="Body"/>
              <w:keepNext/>
              <w:spacing w:line="276" w:lineRule="auto"/>
              <w:ind w:left="153"/>
              <w:rPr>
                <w:rFonts w:ascii="Calibri" w:hAnsi="Calibri"/>
                <w:szCs w:val="22"/>
                <w:lang w:val="en-AU"/>
              </w:rPr>
            </w:pPr>
          </w:p>
          <w:p w14:paraId="14A2D27F" w14:textId="77777777" w:rsidR="009C1D19" w:rsidRPr="004F2343" w:rsidRDefault="009C1D19" w:rsidP="00EB7F1E">
            <w:pPr>
              <w:pStyle w:val="Body"/>
              <w:keepNext/>
              <w:spacing w:line="276" w:lineRule="auto"/>
              <w:ind w:left="153"/>
              <w:rPr>
                <w:rFonts w:ascii="Calibri" w:hAnsi="Calibri"/>
                <w:szCs w:val="22"/>
                <w:lang w:val="en-AU"/>
              </w:rPr>
            </w:pPr>
          </w:p>
          <w:p w14:paraId="45720D1B" w14:textId="77777777" w:rsidR="009C1D19" w:rsidRPr="004F2343" w:rsidRDefault="009C1D19" w:rsidP="00EB7F1E">
            <w:pPr>
              <w:pStyle w:val="Body"/>
              <w:keepNext/>
              <w:spacing w:line="276" w:lineRule="auto"/>
              <w:ind w:left="153"/>
              <w:rPr>
                <w:rFonts w:ascii="Calibri" w:hAnsi="Calibri"/>
                <w:szCs w:val="22"/>
                <w:lang w:val="en-AU"/>
              </w:rPr>
            </w:pPr>
          </w:p>
          <w:p w14:paraId="436D9CC6" w14:textId="77777777" w:rsidR="009C1D19" w:rsidRPr="004F2343" w:rsidRDefault="009C1D19" w:rsidP="00EB7F1E">
            <w:pPr>
              <w:pStyle w:val="Body"/>
              <w:keepNext/>
              <w:spacing w:line="276" w:lineRule="auto"/>
              <w:rPr>
                <w:rFonts w:ascii="Calibri" w:hAnsi="Calibri"/>
                <w:szCs w:val="22"/>
                <w:lang w:val="en-AU"/>
              </w:rPr>
            </w:pPr>
          </w:p>
          <w:p w14:paraId="5F243B35" w14:textId="77777777" w:rsidR="009C1D19" w:rsidRPr="004F2343" w:rsidRDefault="009C1D19" w:rsidP="00EB7F1E">
            <w:pPr>
              <w:pStyle w:val="Body"/>
              <w:keepNext/>
              <w:spacing w:line="276" w:lineRule="auto"/>
              <w:rPr>
                <w:rFonts w:ascii="Calibri" w:hAnsi="Calibri"/>
                <w:szCs w:val="22"/>
                <w:lang w:val="en-AU"/>
              </w:rPr>
            </w:pPr>
          </w:p>
          <w:p w14:paraId="3B547BF5" w14:textId="06DB1203" w:rsidR="009C1D19" w:rsidRPr="004F2343" w:rsidRDefault="009C1D19" w:rsidP="00EB7F1E">
            <w:pPr>
              <w:pStyle w:val="Body"/>
              <w:keepNext/>
              <w:spacing w:line="276" w:lineRule="auto"/>
              <w:ind w:left="153"/>
              <w:rPr>
                <w:rFonts w:ascii="Calibri" w:hAnsi="Calibri"/>
                <w:szCs w:val="22"/>
                <w:lang w:val="en-AU"/>
              </w:rPr>
            </w:pPr>
          </w:p>
        </w:tc>
      </w:tr>
    </w:tbl>
    <w:p w14:paraId="4E3A66A8" w14:textId="6E97297D" w:rsidR="00096CCE" w:rsidRDefault="00096CCE" w:rsidP="009C1D19">
      <w:pPr>
        <w:pStyle w:val="BlockText"/>
        <w:tabs>
          <w:tab w:val="clear" w:pos="426"/>
          <w:tab w:val="clear" w:pos="993"/>
        </w:tabs>
        <w:spacing w:before="0" w:line="276" w:lineRule="auto"/>
        <w:ind w:right="0"/>
        <w:jc w:val="both"/>
        <w:rPr>
          <w:rFonts w:asciiTheme="minorHAnsi" w:hAnsiTheme="minorHAnsi"/>
        </w:rPr>
      </w:pPr>
    </w:p>
    <w:p w14:paraId="381F9F6A" w14:textId="6D121FEE" w:rsidR="006B65AB" w:rsidRDefault="006B65AB" w:rsidP="00EB7F1E">
      <w:pPr>
        <w:pStyle w:val="ListParagraph"/>
        <w:keepNext/>
        <w:numPr>
          <w:ilvl w:val="0"/>
          <w:numId w:val="7"/>
        </w:numPr>
        <w:spacing w:line="276" w:lineRule="auto"/>
        <w:ind w:left="425" w:hanging="425"/>
        <w:contextualSpacing w:val="0"/>
        <w:rPr>
          <w:rFonts w:asciiTheme="minorHAnsi" w:hAnsiTheme="minorHAnsi"/>
        </w:rPr>
      </w:pPr>
      <w:r>
        <w:rPr>
          <w:rFonts w:asciiTheme="minorHAnsi" w:hAnsiTheme="minorHAnsi"/>
        </w:rPr>
        <w:t>Key features of the regime for fixing a sentence of imprisonment are as follows:</w:t>
      </w:r>
    </w:p>
    <w:p w14:paraId="6B5FD9F4" w14:textId="77777777" w:rsidR="0032486B" w:rsidRPr="00EB7F1E" w:rsidRDefault="0032486B" w:rsidP="00EB7F1E">
      <w:pPr>
        <w:keepNext/>
        <w:spacing w:line="276" w:lineRule="auto"/>
        <w:rPr>
          <w:rFonts w:asciiTheme="minorHAnsi" w:hAnsiTheme="minorHAnsi"/>
        </w:rPr>
      </w:pPr>
    </w:p>
    <w:tbl>
      <w:tblPr>
        <w:tblW w:w="9855" w:type="dxa"/>
        <w:jc w:val="center"/>
        <w:tblLook w:val="0000" w:firstRow="0" w:lastRow="0" w:firstColumn="0" w:lastColumn="0" w:noHBand="0" w:noVBand="0"/>
      </w:tblPr>
      <w:tblGrid>
        <w:gridCol w:w="3038"/>
        <w:gridCol w:w="4173"/>
        <w:gridCol w:w="1544"/>
        <w:gridCol w:w="1100"/>
      </w:tblGrid>
      <w:tr w:rsidR="0032486B" w:rsidRPr="004F2343" w14:paraId="6D94013C" w14:textId="77777777" w:rsidTr="00EB7F1E">
        <w:trPr>
          <w:trHeight w:val="587"/>
          <w:tblHeader/>
          <w:jc w:val="center"/>
        </w:trPr>
        <w:tc>
          <w:tcPr>
            <w:tcW w:w="3038" w:type="dxa"/>
            <w:shd w:val="clear" w:color="auto" w:fill="D9D9D9" w:themeFill="background1" w:themeFillShade="D9"/>
          </w:tcPr>
          <w:p w14:paraId="5430A26E" w14:textId="77777777" w:rsidR="0032486B" w:rsidRPr="004F2343" w:rsidRDefault="0032486B" w:rsidP="00EB7F1E">
            <w:pPr>
              <w:pStyle w:val="Body"/>
              <w:keepNext/>
              <w:ind w:left="153"/>
              <w:jc w:val="center"/>
              <w:rPr>
                <w:rFonts w:ascii="Calibri" w:hAnsi="Calibri"/>
                <w:b/>
                <w:i/>
                <w:sz w:val="20"/>
                <w:lang w:val="en-AU"/>
              </w:rPr>
            </w:pPr>
            <w:r w:rsidRPr="004F2343">
              <w:rPr>
                <w:rFonts w:ascii="Calibri" w:hAnsi="Calibri"/>
                <w:b/>
                <w:i/>
                <w:sz w:val="20"/>
                <w:lang w:val="en-AU"/>
              </w:rPr>
              <w:t>Option</w:t>
            </w:r>
          </w:p>
        </w:tc>
        <w:tc>
          <w:tcPr>
            <w:tcW w:w="4173" w:type="dxa"/>
            <w:shd w:val="clear" w:color="auto" w:fill="D9D9D9" w:themeFill="background1" w:themeFillShade="D9"/>
          </w:tcPr>
          <w:p w14:paraId="3034B1E5" w14:textId="1DED9DE3" w:rsidR="0032486B" w:rsidRPr="004F2343" w:rsidRDefault="0032486B" w:rsidP="00EB7F1E">
            <w:pPr>
              <w:pStyle w:val="Body"/>
              <w:keepNext/>
              <w:tabs>
                <w:tab w:val="clear" w:pos="284"/>
              </w:tabs>
              <w:ind w:left="153"/>
              <w:jc w:val="center"/>
              <w:rPr>
                <w:rFonts w:ascii="Calibri" w:hAnsi="Calibri"/>
                <w:b/>
                <w:i/>
                <w:sz w:val="20"/>
                <w:lang w:val="en-AU"/>
              </w:rPr>
            </w:pPr>
            <w:r w:rsidRPr="004F2343">
              <w:rPr>
                <w:rFonts w:ascii="Calibri" w:hAnsi="Calibri"/>
                <w:b/>
                <w:i/>
                <w:sz w:val="20"/>
                <w:lang w:val="en-AU"/>
              </w:rPr>
              <w:t>Specific criteria</w:t>
            </w:r>
            <w:r w:rsidR="005437E7" w:rsidRPr="004F2343">
              <w:rPr>
                <w:rFonts w:ascii="Calibri" w:hAnsi="Calibri"/>
                <w:b/>
                <w:i/>
                <w:sz w:val="20"/>
                <w:lang w:val="en-AU"/>
              </w:rPr>
              <w:br/>
            </w:r>
            <w:r w:rsidRPr="004F2343">
              <w:rPr>
                <w:rFonts w:ascii="Calibri" w:hAnsi="Calibri"/>
                <w:b/>
                <w:i/>
                <w:sz w:val="20"/>
                <w:lang w:val="en-AU"/>
              </w:rPr>
              <w:t>(in addition to s 16A)</w:t>
            </w:r>
          </w:p>
        </w:tc>
        <w:tc>
          <w:tcPr>
            <w:tcW w:w="2644" w:type="dxa"/>
            <w:gridSpan w:val="2"/>
            <w:shd w:val="clear" w:color="auto" w:fill="D9D9D9" w:themeFill="background1" w:themeFillShade="D9"/>
          </w:tcPr>
          <w:p w14:paraId="70996A51" w14:textId="77777777" w:rsidR="0032486B" w:rsidRPr="004F2343" w:rsidRDefault="0032486B" w:rsidP="00EB7F1E">
            <w:pPr>
              <w:pStyle w:val="Body"/>
              <w:keepNext/>
              <w:jc w:val="center"/>
              <w:rPr>
                <w:rFonts w:ascii="Calibri" w:hAnsi="Calibri"/>
                <w:b/>
                <w:i/>
                <w:sz w:val="20"/>
                <w:lang w:val="en-AU"/>
              </w:rPr>
            </w:pPr>
            <w:r w:rsidRPr="004F2343">
              <w:rPr>
                <w:rFonts w:ascii="Calibri" w:hAnsi="Calibri"/>
                <w:b/>
                <w:i/>
                <w:sz w:val="20"/>
                <w:lang w:val="en-AU"/>
              </w:rPr>
              <w:t>Crimes Act 1914 sections</w:t>
            </w:r>
          </w:p>
          <w:p w14:paraId="4890943F" w14:textId="77777777" w:rsidR="0032486B" w:rsidRPr="004F2343" w:rsidRDefault="0032486B" w:rsidP="00EB7F1E">
            <w:pPr>
              <w:pStyle w:val="Body"/>
              <w:keepNext/>
              <w:ind w:left="153"/>
              <w:jc w:val="center"/>
              <w:rPr>
                <w:rFonts w:ascii="Calibri" w:hAnsi="Calibri"/>
                <w:b/>
                <w:i/>
                <w:sz w:val="20"/>
                <w:lang w:val="en-AU"/>
              </w:rPr>
            </w:pPr>
            <w:r w:rsidRPr="004F2343">
              <w:rPr>
                <w:rFonts w:ascii="Calibri" w:hAnsi="Calibri"/>
                <w:b/>
                <w:sz w:val="20"/>
                <w:lang w:val="en-AU"/>
              </w:rPr>
              <w:t xml:space="preserve">Imposition </w:t>
            </w:r>
            <w:r w:rsidRPr="004F2343">
              <w:rPr>
                <w:rFonts w:ascii="Calibri" w:hAnsi="Calibri"/>
                <w:b/>
                <w:sz w:val="20"/>
                <w:lang w:val="en-AU"/>
              </w:rPr>
              <w:tab/>
            </w:r>
            <w:r w:rsidRPr="004F2343">
              <w:rPr>
                <w:rFonts w:ascii="Calibri" w:hAnsi="Calibri"/>
                <w:b/>
                <w:i/>
                <w:sz w:val="20"/>
                <w:lang w:val="en-AU"/>
              </w:rPr>
              <w:t>Breach</w:t>
            </w:r>
          </w:p>
        </w:tc>
      </w:tr>
      <w:tr w:rsidR="0032486B" w:rsidRPr="004F2343" w14:paraId="6D3EB3DC" w14:textId="77777777" w:rsidTr="00EB7F1E">
        <w:trPr>
          <w:jc w:val="center"/>
        </w:trPr>
        <w:tc>
          <w:tcPr>
            <w:tcW w:w="3038" w:type="dxa"/>
            <w:tcBorders>
              <w:top w:val="nil"/>
            </w:tcBorders>
          </w:tcPr>
          <w:p w14:paraId="5DF47A96" w14:textId="74F961D4" w:rsidR="0032486B" w:rsidRPr="004F2343" w:rsidRDefault="0032486B" w:rsidP="00EB7F1E">
            <w:pPr>
              <w:pStyle w:val="Body"/>
              <w:widowControl w:val="0"/>
              <w:spacing w:line="276" w:lineRule="auto"/>
              <w:rPr>
                <w:rFonts w:ascii="Calibri" w:hAnsi="Calibri"/>
                <w:b/>
                <w:szCs w:val="22"/>
                <w:lang w:val="en-AU"/>
              </w:rPr>
            </w:pPr>
            <w:r w:rsidRPr="004F2343">
              <w:rPr>
                <w:rFonts w:ascii="Calibri" w:hAnsi="Calibri"/>
                <w:b/>
                <w:szCs w:val="22"/>
                <w:lang w:val="en-AU"/>
              </w:rPr>
              <w:t>Head sentence/total effective sentence</w:t>
            </w:r>
          </w:p>
        </w:tc>
        <w:tc>
          <w:tcPr>
            <w:tcW w:w="4173" w:type="dxa"/>
            <w:tcBorders>
              <w:top w:val="nil"/>
            </w:tcBorders>
          </w:tcPr>
          <w:p w14:paraId="2579E08A" w14:textId="77777777" w:rsidR="0032486B" w:rsidRPr="004F2343" w:rsidRDefault="0032486B" w:rsidP="00EB7F1E">
            <w:pPr>
              <w:spacing w:line="276" w:lineRule="auto"/>
              <w:ind w:right="28"/>
              <w:jc w:val="both"/>
              <w:rPr>
                <w:rFonts w:ascii="Calibri" w:hAnsi="Calibri"/>
                <w:szCs w:val="22"/>
              </w:rPr>
            </w:pPr>
            <w:r w:rsidRPr="004F2343">
              <w:rPr>
                <w:rFonts w:ascii="Calibri" w:hAnsi="Calibri"/>
                <w:szCs w:val="22"/>
              </w:rPr>
              <w:t xml:space="preserve">Individual </w:t>
            </w:r>
            <w:r w:rsidRPr="00EB7F1E">
              <w:rPr>
                <w:rFonts w:ascii="Calibri" w:hAnsi="Calibri"/>
              </w:rPr>
              <w:t>sentences</w:t>
            </w:r>
            <w:r w:rsidRPr="004F2343">
              <w:rPr>
                <w:rFonts w:ascii="Calibri" w:hAnsi="Calibri"/>
                <w:szCs w:val="22"/>
              </w:rPr>
              <w:t xml:space="preserve"> to be fixed.</w:t>
            </w:r>
          </w:p>
          <w:p w14:paraId="5A3C09D1" w14:textId="77777777" w:rsidR="0032486B" w:rsidRPr="004F2343" w:rsidRDefault="0032486B" w:rsidP="00987C4E">
            <w:pPr>
              <w:pStyle w:val="Body"/>
              <w:widowControl w:val="0"/>
              <w:spacing w:line="276" w:lineRule="auto"/>
              <w:ind w:left="153"/>
              <w:rPr>
                <w:rFonts w:ascii="Calibri" w:hAnsi="Calibri"/>
                <w:szCs w:val="22"/>
                <w:lang w:val="en-AU"/>
              </w:rPr>
            </w:pPr>
          </w:p>
          <w:p w14:paraId="070FB805" w14:textId="16539F54" w:rsidR="0032486B" w:rsidRPr="004F2343" w:rsidRDefault="0032486B" w:rsidP="00EB7F1E">
            <w:pPr>
              <w:spacing w:line="276" w:lineRule="auto"/>
              <w:ind w:right="28"/>
              <w:jc w:val="both"/>
              <w:rPr>
                <w:rFonts w:ascii="Calibri" w:hAnsi="Calibri"/>
                <w:szCs w:val="22"/>
              </w:rPr>
            </w:pPr>
            <w:r w:rsidRPr="004F2343">
              <w:rPr>
                <w:rFonts w:ascii="Calibri" w:hAnsi="Calibri"/>
                <w:szCs w:val="22"/>
              </w:rPr>
              <w:t xml:space="preserve">Total </w:t>
            </w:r>
            <w:r w:rsidRPr="00EB7F1E">
              <w:rPr>
                <w:rFonts w:ascii="Calibri" w:hAnsi="Calibri"/>
              </w:rPr>
              <w:t>effective</w:t>
            </w:r>
            <w:r w:rsidRPr="004F2343">
              <w:rPr>
                <w:rFonts w:ascii="Calibri" w:hAnsi="Calibri"/>
                <w:szCs w:val="22"/>
              </w:rPr>
              <w:t xml:space="preserve"> sentence to be fixed by orders for concurrency/cumulation</w:t>
            </w:r>
          </w:p>
          <w:p w14:paraId="01133E09" w14:textId="77777777" w:rsidR="0032486B" w:rsidRPr="004F2343" w:rsidRDefault="0032486B" w:rsidP="00EB7F1E">
            <w:pPr>
              <w:pStyle w:val="Body"/>
              <w:widowControl w:val="0"/>
              <w:spacing w:line="276" w:lineRule="auto"/>
              <w:ind w:left="153"/>
              <w:rPr>
                <w:rFonts w:ascii="Calibri" w:hAnsi="Calibri"/>
                <w:szCs w:val="22"/>
                <w:lang w:val="en-AU"/>
              </w:rPr>
            </w:pPr>
          </w:p>
          <w:p w14:paraId="396DE3A4" w14:textId="6BEDB260" w:rsidR="0032486B" w:rsidRPr="004F2343" w:rsidRDefault="0032486B" w:rsidP="00EB7F1E">
            <w:pPr>
              <w:spacing w:line="276" w:lineRule="auto"/>
              <w:ind w:right="28"/>
              <w:jc w:val="both"/>
              <w:rPr>
                <w:rFonts w:ascii="Calibri" w:hAnsi="Calibri"/>
              </w:rPr>
            </w:pPr>
            <w:r w:rsidRPr="00EB7F1E">
              <w:rPr>
                <w:rFonts w:ascii="Calibri" w:hAnsi="Calibri"/>
              </w:rPr>
              <w:t>Commencement</w:t>
            </w:r>
            <w:r w:rsidRPr="004F2343">
              <w:rPr>
                <w:rFonts w:ascii="Calibri" w:hAnsi="Calibri"/>
                <w:szCs w:val="22"/>
              </w:rPr>
              <w:t xml:space="preserve"> according to State law</w:t>
            </w:r>
          </w:p>
        </w:tc>
        <w:tc>
          <w:tcPr>
            <w:tcW w:w="1544" w:type="dxa"/>
            <w:tcBorders>
              <w:top w:val="nil"/>
            </w:tcBorders>
          </w:tcPr>
          <w:p w14:paraId="47C2D7D4" w14:textId="77777777" w:rsidR="0032486B" w:rsidRPr="004F2343" w:rsidRDefault="0032486B" w:rsidP="00EB7F1E">
            <w:pPr>
              <w:pStyle w:val="Body"/>
              <w:widowControl w:val="0"/>
              <w:spacing w:line="276" w:lineRule="auto"/>
              <w:ind w:left="153"/>
              <w:rPr>
                <w:rFonts w:ascii="Calibri" w:hAnsi="Calibri"/>
                <w:szCs w:val="22"/>
                <w:lang w:val="en-AU"/>
              </w:rPr>
            </w:pPr>
          </w:p>
          <w:p w14:paraId="18DEC446" w14:textId="77777777" w:rsidR="0032486B" w:rsidRPr="004F2343" w:rsidRDefault="0032486B" w:rsidP="00EB7F1E">
            <w:pPr>
              <w:pStyle w:val="Body"/>
              <w:widowControl w:val="0"/>
              <w:spacing w:line="276" w:lineRule="auto"/>
              <w:ind w:left="153"/>
              <w:rPr>
                <w:rFonts w:ascii="Calibri" w:hAnsi="Calibri"/>
                <w:szCs w:val="22"/>
                <w:lang w:val="en-AU"/>
              </w:rPr>
            </w:pPr>
          </w:p>
          <w:p w14:paraId="351C6641" w14:textId="77A84FB6"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w:t>
            </w:r>
          </w:p>
          <w:p w14:paraId="1D8BA7A1" w14:textId="77777777" w:rsidR="0032486B" w:rsidRPr="004F2343" w:rsidRDefault="0032486B" w:rsidP="00EB7F1E">
            <w:pPr>
              <w:pStyle w:val="Body"/>
              <w:widowControl w:val="0"/>
              <w:spacing w:line="276" w:lineRule="auto"/>
              <w:ind w:left="153"/>
              <w:rPr>
                <w:rFonts w:ascii="Calibri" w:hAnsi="Calibri"/>
                <w:szCs w:val="22"/>
                <w:lang w:val="en-AU"/>
              </w:rPr>
            </w:pPr>
          </w:p>
          <w:p w14:paraId="11AA8111" w14:textId="77777777" w:rsidR="0032486B" w:rsidRPr="004F2343" w:rsidRDefault="0032486B" w:rsidP="00EB7F1E">
            <w:pPr>
              <w:pStyle w:val="Body"/>
              <w:widowControl w:val="0"/>
              <w:spacing w:line="276" w:lineRule="auto"/>
              <w:ind w:left="153"/>
              <w:rPr>
                <w:rFonts w:ascii="Calibri" w:hAnsi="Calibri"/>
                <w:szCs w:val="22"/>
                <w:lang w:val="en-AU"/>
              </w:rPr>
            </w:pPr>
          </w:p>
          <w:p w14:paraId="77A07419" w14:textId="6499A009"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16E</w:t>
            </w:r>
          </w:p>
        </w:tc>
        <w:tc>
          <w:tcPr>
            <w:tcW w:w="1100" w:type="dxa"/>
            <w:tcBorders>
              <w:top w:val="nil"/>
            </w:tcBorders>
          </w:tcPr>
          <w:p w14:paraId="6192E5AE" w14:textId="77777777" w:rsidR="0032486B" w:rsidRPr="004F2343" w:rsidRDefault="0032486B" w:rsidP="00EB7F1E">
            <w:pPr>
              <w:pStyle w:val="Body"/>
              <w:widowControl w:val="0"/>
              <w:spacing w:line="276" w:lineRule="auto"/>
              <w:rPr>
                <w:rFonts w:ascii="Calibri" w:hAnsi="Calibri"/>
                <w:szCs w:val="22"/>
                <w:lang w:val="en-AU"/>
              </w:rPr>
            </w:pPr>
          </w:p>
          <w:p w14:paraId="5B823520" w14:textId="77777777" w:rsidR="0032486B" w:rsidRPr="004F2343" w:rsidRDefault="0032486B" w:rsidP="00EB7F1E">
            <w:pPr>
              <w:pStyle w:val="Body"/>
              <w:widowControl w:val="0"/>
              <w:spacing w:line="276" w:lineRule="auto"/>
              <w:rPr>
                <w:rFonts w:ascii="Calibri" w:hAnsi="Calibri"/>
                <w:szCs w:val="22"/>
                <w:lang w:val="en-AU"/>
              </w:rPr>
            </w:pPr>
          </w:p>
          <w:p w14:paraId="2D3D0290" w14:textId="77777777" w:rsidR="0032486B" w:rsidRPr="004F2343" w:rsidRDefault="0032486B" w:rsidP="00EB7F1E">
            <w:pPr>
              <w:pStyle w:val="Body"/>
              <w:widowControl w:val="0"/>
              <w:spacing w:line="276" w:lineRule="auto"/>
              <w:rPr>
                <w:rFonts w:ascii="Calibri" w:hAnsi="Calibri"/>
                <w:szCs w:val="22"/>
                <w:lang w:val="en-AU"/>
              </w:rPr>
            </w:pPr>
          </w:p>
          <w:p w14:paraId="18982468" w14:textId="77777777" w:rsidR="0032486B" w:rsidRPr="004F2343" w:rsidRDefault="0032486B" w:rsidP="00EB7F1E">
            <w:pPr>
              <w:pStyle w:val="Body"/>
              <w:widowControl w:val="0"/>
              <w:spacing w:line="276" w:lineRule="auto"/>
              <w:rPr>
                <w:rFonts w:ascii="Calibri" w:hAnsi="Calibri"/>
                <w:szCs w:val="22"/>
                <w:lang w:val="en-AU"/>
              </w:rPr>
            </w:pPr>
          </w:p>
          <w:p w14:paraId="1FB9784F" w14:textId="77777777" w:rsidR="0032486B" w:rsidRPr="004F2343" w:rsidRDefault="0032486B" w:rsidP="00EB7F1E">
            <w:pPr>
              <w:pStyle w:val="Body"/>
              <w:widowControl w:val="0"/>
              <w:spacing w:line="276" w:lineRule="auto"/>
              <w:rPr>
                <w:rFonts w:ascii="Calibri" w:hAnsi="Calibri"/>
                <w:szCs w:val="22"/>
                <w:lang w:val="en-AU"/>
              </w:rPr>
            </w:pPr>
          </w:p>
          <w:p w14:paraId="61AAB716" w14:textId="77777777" w:rsidR="0032486B" w:rsidRPr="004F2343" w:rsidRDefault="0032486B" w:rsidP="00EB7F1E">
            <w:pPr>
              <w:pStyle w:val="Body"/>
              <w:widowControl w:val="0"/>
              <w:spacing w:line="276" w:lineRule="auto"/>
              <w:ind w:left="153"/>
              <w:rPr>
                <w:rFonts w:ascii="Calibri" w:hAnsi="Calibri"/>
                <w:szCs w:val="22"/>
                <w:lang w:val="en-AU"/>
              </w:rPr>
            </w:pPr>
          </w:p>
        </w:tc>
      </w:tr>
      <w:tr w:rsidR="0032486B" w:rsidRPr="004F2343" w14:paraId="2AEE3621" w14:textId="77777777" w:rsidTr="00EB7F1E">
        <w:tblPrEx>
          <w:jc w:val="left"/>
          <w:tblLook w:val="04A0" w:firstRow="1" w:lastRow="0" w:firstColumn="1" w:lastColumn="0" w:noHBand="0" w:noVBand="1"/>
        </w:tblPrEx>
        <w:tc>
          <w:tcPr>
            <w:tcW w:w="3038" w:type="dxa"/>
          </w:tcPr>
          <w:p w14:paraId="4AA22CB6" w14:textId="77777777" w:rsidR="0032486B" w:rsidRPr="004F2343" w:rsidRDefault="0032486B" w:rsidP="00EB7F1E">
            <w:pPr>
              <w:pStyle w:val="Body"/>
              <w:widowControl w:val="0"/>
              <w:spacing w:line="276" w:lineRule="auto"/>
              <w:rPr>
                <w:rFonts w:ascii="Calibri" w:hAnsi="Calibri"/>
                <w:b/>
                <w:szCs w:val="22"/>
                <w:lang w:val="en-AU"/>
              </w:rPr>
            </w:pPr>
            <w:r w:rsidRPr="004F2343">
              <w:rPr>
                <w:rFonts w:ascii="Calibri" w:hAnsi="Calibri"/>
                <w:b/>
                <w:szCs w:val="22"/>
                <w:lang w:val="en-AU"/>
              </w:rPr>
              <w:t>Period to be served</w:t>
            </w:r>
          </w:p>
          <w:p w14:paraId="4A9A1B5B" w14:textId="77777777" w:rsidR="0032486B" w:rsidRPr="004F2343" w:rsidRDefault="0032486B" w:rsidP="00EB7F1E">
            <w:pPr>
              <w:pStyle w:val="Body"/>
              <w:widowControl w:val="0"/>
              <w:spacing w:line="276" w:lineRule="auto"/>
              <w:rPr>
                <w:rFonts w:ascii="Calibri" w:hAnsi="Calibri"/>
                <w:szCs w:val="22"/>
                <w:lang w:val="en-AU"/>
              </w:rPr>
            </w:pPr>
          </w:p>
          <w:p w14:paraId="151858B7" w14:textId="77777777" w:rsidR="0032486B" w:rsidRPr="004F2343" w:rsidRDefault="0032486B" w:rsidP="00EB7F1E">
            <w:pPr>
              <w:pStyle w:val="Body"/>
              <w:widowControl w:val="0"/>
              <w:spacing w:line="276" w:lineRule="auto"/>
              <w:rPr>
                <w:rFonts w:ascii="Calibri" w:hAnsi="Calibri"/>
                <w:szCs w:val="22"/>
                <w:lang w:val="en-AU"/>
              </w:rPr>
            </w:pPr>
          </w:p>
          <w:p w14:paraId="6210121C" w14:textId="77777777" w:rsidR="0032486B" w:rsidRPr="004F2343" w:rsidRDefault="0032486B" w:rsidP="00EB7F1E">
            <w:pPr>
              <w:pStyle w:val="Body"/>
              <w:widowControl w:val="0"/>
              <w:spacing w:line="276" w:lineRule="auto"/>
              <w:rPr>
                <w:rFonts w:ascii="Calibri" w:hAnsi="Calibri"/>
                <w:szCs w:val="22"/>
                <w:lang w:val="en-AU"/>
              </w:rPr>
            </w:pPr>
            <w:r w:rsidRPr="004F2343">
              <w:rPr>
                <w:rFonts w:ascii="Calibri" w:hAnsi="Calibri"/>
                <w:szCs w:val="22"/>
                <w:lang w:val="en-AU"/>
              </w:rPr>
              <w:t>4 options:</w:t>
            </w:r>
          </w:p>
          <w:p w14:paraId="1D93ADC4" w14:textId="77777777" w:rsidR="0032486B" w:rsidRPr="004F2343" w:rsidRDefault="0032486B" w:rsidP="00EB7F1E">
            <w:pPr>
              <w:pStyle w:val="Body"/>
              <w:widowControl w:val="0"/>
              <w:numPr>
                <w:ilvl w:val="0"/>
                <w:numId w:val="4"/>
              </w:numPr>
              <w:tabs>
                <w:tab w:val="clear" w:pos="284"/>
              </w:tabs>
              <w:spacing w:line="276" w:lineRule="auto"/>
              <w:ind w:left="284" w:hanging="142"/>
              <w:rPr>
                <w:rFonts w:ascii="Calibri" w:hAnsi="Calibri"/>
                <w:szCs w:val="22"/>
                <w:lang w:val="en-AU"/>
              </w:rPr>
            </w:pPr>
            <w:r w:rsidRPr="004F2343">
              <w:rPr>
                <w:rFonts w:ascii="Calibri" w:hAnsi="Calibri"/>
                <w:szCs w:val="22"/>
                <w:lang w:val="en-AU"/>
              </w:rPr>
              <w:t>To be released forthwith under recognizance release order (RRO)</w:t>
            </w:r>
          </w:p>
          <w:p w14:paraId="457DF9C4"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0CE3AB93"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1539D1F0" w14:textId="77777777" w:rsidR="0032486B" w:rsidRPr="004F2343" w:rsidRDefault="0032486B" w:rsidP="00EB7F1E">
            <w:pPr>
              <w:pStyle w:val="Body"/>
              <w:widowControl w:val="0"/>
              <w:numPr>
                <w:ilvl w:val="0"/>
                <w:numId w:val="4"/>
              </w:numPr>
              <w:tabs>
                <w:tab w:val="clear" w:pos="284"/>
              </w:tabs>
              <w:spacing w:line="276" w:lineRule="auto"/>
              <w:ind w:left="284" w:hanging="142"/>
              <w:rPr>
                <w:rFonts w:ascii="Calibri" w:hAnsi="Calibri"/>
                <w:szCs w:val="22"/>
                <w:lang w:val="en-AU"/>
              </w:rPr>
            </w:pPr>
            <w:r w:rsidRPr="004F2343">
              <w:rPr>
                <w:rFonts w:ascii="Calibri" w:hAnsi="Calibri"/>
                <w:szCs w:val="22"/>
                <w:lang w:val="en-AU"/>
              </w:rPr>
              <w:t>To be released on RRO after serving specified period</w:t>
            </w:r>
          </w:p>
          <w:p w14:paraId="6637AC1E"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00D2E321" w14:textId="256D35CA" w:rsidR="0032486B" w:rsidRPr="004F2343" w:rsidRDefault="0032486B">
            <w:pPr>
              <w:pStyle w:val="Body"/>
              <w:widowControl w:val="0"/>
              <w:tabs>
                <w:tab w:val="clear" w:pos="284"/>
              </w:tabs>
              <w:spacing w:line="276" w:lineRule="auto"/>
              <w:rPr>
                <w:rFonts w:ascii="Calibri" w:hAnsi="Calibri"/>
                <w:szCs w:val="22"/>
                <w:lang w:val="en-AU"/>
              </w:rPr>
            </w:pPr>
          </w:p>
          <w:p w14:paraId="69B556DB" w14:textId="77777777" w:rsidR="000D1D1E" w:rsidRPr="004F2343" w:rsidRDefault="000D1D1E" w:rsidP="00EB7F1E">
            <w:pPr>
              <w:pStyle w:val="Body"/>
              <w:widowControl w:val="0"/>
              <w:tabs>
                <w:tab w:val="clear" w:pos="284"/>
              </w:tabs>
              <w:spacing w:line="276" w:lineRule="auto"/>
              <w:rPr>
                <w:rFonts w:ascii="Calibri" w:hAnsi="Calibri"/>
                <w:szCs w:val="22"/>
                <w:lang w:val="en-AU"/>
              </w:rPr>
            </w:pPr>
          </w:p>
          <w:p w14:paraId="35600F81" w14:textId="77777777" w:rsidR="0032486B" w:rsidRPr="004F2343" w:rsidRDefault="0032486B" w:rsidP="00EB7F1E">
            <w:pPr>
              <w:pStyle w:val="Body"/>
              <w:widowControl w:val="0"/>
              <w:numPr>
                <w:ilvl w:val="0"/>
                <w:numId w:val="4"/>
              </w:numPr>
              <w:tabs>
                <w:tab w:val="clear" w:pos="284"/>
              </w:tabs>
              <w:spacing w:line="276" w:lineRule="auto"/>
              <w:ind w:left="284" w:hanging="142"/>
              <w:rPr>
                <w:rFonts w:ascii="Calibri" w:hAnsi="Calibri"/>
                <w:szCs w:val="22"/>
                <w:lang w:val="en-AU"/>
              </w:rPr>
            </w:pPr>
            <w:r w:rsidRPr="004F2343">
              <w:rPr>
                <w:rFonts w:ascii="Calibri" w:hAnsi="Calibri"/>
                <w:szCs w:val="22"/>
                <w:lang w:val="en-AU"/>
              </w:rPr>
              <w:t>Non-parole period (NPP)</w:t>
            </w:r>
          </w:p>
          <w:p w14:paraId="413F8947"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3D823DBA"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4886CAF5"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7624F04B"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02235E8B"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21EEA030"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5A8412ED"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17D6F580"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2C94FC74"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6AA5B685"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7257F7FC"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33D17F6D"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07123C43" w14:textId="77777777" w:rsidR="0032486B" w:rsidRPr="004F2343" w:rsidRDefault="0032486B" w:rsidP="00EB7F1E">
            <w:pPr>
              <w:pStyle w:val="Body"/>
              <w:widowControl w:val="0"/>
              <w:tabs>
                <w:tab w:val="clear" w:pos="284"/>
              </w:tabs>
              <w:spacing w:line="276" w:lineRule="auto"/>
              <w:rPr>
                <w:rFonts w:ascii="Calibri" w:hAnsi="Calibri"/>
                <w:szCs w:val="22"/>
                <w:lang w:val="en-AU"/>
              </w:rPr>
            </w:pPr>
          </w:p>
          <w:p w14:paraId="619E8AA3" w14:textId="77777777" w:rsidR="0032486B" w:rsidRPr="004F2343" w:rsidRDefault="0032486B" w:rsidP="00EB7F1E">
            <w:pPr>
              <w:pStyle w:val="Body"/>
              <w:widowControl w:val="0"/>
              <w:numPr>
                <w:ilvl w:val="0"/>
                <w:numId w:val="4"/>
              </w:numPr>
              <w:tabs>
                <w:tab w:val="clear" w:pos="284"/>
              </w:tabs>
              <w:spacing w:line="276" w:lineRule="auto"/>
              <w:ind w:left="284" w:hanging="142"/>
              <w:rPr>
                <w:rFonts w:ascii="Calibri" w:hAnsi="Calibri"/>
                <w:b/>
                <w:szCs w:val="22"/>
                <w:lang w:val="en-AU"/>
              </w:rPr>
            </w:pPr>
            <w:r w:rsidRPr="004F2343">
              <w:rPr>
                <w:rFonts w:ascii="Calibri" w:hAnsi="Calibri"/>
                <w:szCs w:val="22"/>
                <w:lang w:val="en-AU"/>
              </w:rPr>
              <w:t>Straight sentence</w:t>
            </w:r>
          </w:p>
        </w:tc>
        <w:tc>
          <w:tcPr>
            <w:tcW w:w="4173" w:type="dxa"/>
          </w:tcPr>
          <w:p w14:paraId="1A39872D" w14:textId="77777777" w:rsidR="0032486B" w:rsidRPr="004F2343" w:rsidRDefault="0032486B" w:rsidP="00EB7F1E">
            <w:pPr>
              <w:spacing w:line="276" w:lineRule="auto"/>
              <w:ind w:right="28"/>
              <w:jc w:val="both"/>
              <w:rPr>
                <w:rFonts w:ascii="Calibri" w:hAnsi="Calibri"/>
              </w:rPr>
            </w:pPr>
            <w:r w:rsidRPr="004F2343">
              <w:rPr>
                <w:rFonts w:ascii="Calibri" w:hAnsi="Calibri"/>
              </w:rPr>
              <w:t>Governed by various factors, including length of head sentence and whether serving another federal sentence.</w:t>
            </w:r>
          </w:p>
          <w:p w14:paraId="2C039BC5" w14:textId="77777777" w:rsidR="0032486B" w:rsidRPr="004F2343" w:rsidRDefault="0032486B" w:rsidP="00EB7F1E">
            <w:pPr>
              <w:pStyle w:val="Body"/>
              <w:widowControl w:val="0"/>
              <w:spacing w:line="276" w:lineRule="auto"/>
              <w:rPr>
                <w:rFonts w:ascii="Calibri" w:hAnsi="Calibri"/>
              </w:rPr>
            </w:pPr>
          </w:p>
          <w:p w14:paraId="217BA6EA" w14:textId="77777777" w:rsidR="0032486B" w:rsidRPr="004F2343" w:rsidRDefault="0032486B" w:rsidP="00EB7F1E">
            <w:pPr>
              <w:spacing w:line="276" w:lineRule="auto"/>
              <w:ind w:right="28"/>
              <w:jc w:val="both"/>
              <w:rPr>
                <w:rFonts w:ascii="Calibri" w:hAnsi="Calibri"/>
              </w:rPr>
            </w:pPr>
            <w:r w:rsidRPr="004F2343">
              <w:rPr>
                <w:rFonts w:ascii="Calibri" w:hAnsi="Calibri"/>
              </w:rPr>
              <w:t>RRO requires entry into recognizance to be of good behaviour for up to 5 years, other conditions may be imposed</w:t>
            </w:r>
            <w:r w:rsidRPr="004F2343">
              <w:rPr>
                <w:rStyle w:val="Style"/>
              </w:rPr>
              <w:footnoteReference w:id="579"/>
            </w:r>
          </w:p>
          <w:p w14:paraId="1FBF2A63" w14:textId="77777777" w:rsidR="0032486B" w:rsidRPr="004F2343" w:rsidRDefault="0032486B" w:rsidP="00EB7F1E">
            <w:pPr>
              <w:pStyle w:val="Body"/>
              <w:widowControl w:val="0"/>
              <w:spacing w:line="276" w:lineRule="auto"/>
              <w:rPr>
                <w:rFonts w:ascii="Calibri" w:hAnsi="Calibri"/>
              </w:rPr>
            </w:pPr>
          </w:p>
          <w:p w14:paraId="03C9E778" w14:textId="77777777" w:rsidR="0032486B" w:rsidRPr="004F2343" w:rsidRDefault="0032486B" w:rsidP="00EB7F1E">
            <w:pPr>
              <w:pStyle w:val="Body"/>
              <w:widowControl w:val="0"/>
              <w:spacing w:line="276" w:lineRule="auto"/>
              <w:rPr>
                <w:rFonts w:ascii="Calibri" w:hAnsi="Calibri"/>
              </w:rPr>
            </w:pPr>
          </w:p>
          <w:p w14:paraId="73C18F5A" w14:textId="77777777" w:rsidR="0032486B" w:rsidRPr="004F2343" w:rsidRDefault="0032486B" w:rsidP="00EB7F1E">
            <w:pPr>
              <w:spacing w:line="276" w:lineRule="auto"/>
              <w:ind w:right="28"/>
              <w:jc w:val="both"/>
              <w:rPr>
                <w:rFonts w:ascii="Calibri" w:hAnsi="Calibri"/>
              </w:rPr>
            </w:pPr>
            <w:r w:rsidRPr="004F2343">
              <w:rPr>
                <w:rFonts w:ascii="Calibri" w:hAnsi="Calibri"/>
              </w:rPr>
              <w:t>RRO generally only if head sentence or aggregate for federal offences is 3 years or less</w:t>
            </w:r>
          </w:p>
          <w:p w14:paraId="63A568B4" w14:textId="77777777" w:rsidR="0032486B" w:rsidRPr="004F2343" w:rsidRDefault="0032486B" w:rsidP="00EB7F1E">
            <w:pPr>
              <w:widowControl w:val="0"/>
              <w:spacing w:line="276" w:lineRule="auto"/>
              <w:ind w:right="-1"/>
              <w:rPr>
                <w:rFonts w:ascii="Calibri" w:hAnsi="Calibri"/>
              </w:rPr>
            </w:pPr>
          </w:p>
          <w:p w14:paraId="5BAEA8B7" w14:textId="77777777" w:rsidR="0032486B" w:rsidRPr="004F2343" w:rsidRDefault="0032486B" w:rsidP="00EB7F1E">
            <w:pPr>
              <w:widowControl w:val="0"/>
              <w:spacing w:line="276" w:lineRule="auto"/>
              <w:ind w:right="-1"/>
              <w:rPr>
                <w:rFonts w:ascii="Calibri" w:hAnsi="Calibri"/>
              </w:rPr>
            </w:pPr>
          </w:p>
          <w:p w14:paraId="568B60D3" w14:textId="77777777" w:rsidR="0032486B" w:rsidRPr="004F2343" w:rsidRDefault="0032486B" w:rsidP="00EB7F1E">
            <w:pPr>
              <w:spacing w:line="276" w:lineRule="auto"/>
              <w:ind w:right="28"/>
              <w:jc w:val="both"/>
              <w:rPr>
                <w:rFonts w:ascii="Calibri" w:hAnsi="Calibri"/>
              </w:rPr>
            </w:pPr>
            <w:r w:rsidRPr="004F2343">
              <w:rPr>
                <w:rFonts w:ascii="Calibri" w:hAnsi="Calibri"/>
              </w:rPr>
              <w:t>NPP generally only if head sentence or aggregate for federal offences is more than 3 years</w:t>
            </w:r>
          </w:p>
          <w:p w14:paraId="3C0E7185" w14:textId="77777777" w:rsidR="0032486B" w:rsidRPr="004F2343" w:rsidRDefault="0032486B" w:rsidP="00EB7F1E">
            <w:pPr>
              <w:widowControl w:val="0"/>
              <w:spacing w:line="276" w:lineRule="auto"/>
              <w:ind w:right="-1"/>
              <w:rPr>
                <w:rFonts w:ascii="Calibri" w:hAnsi="Calibri"/>
              </w:rPr>
            </w:pPr>
          </w:p>
          <w:p w14:paraId="1125C041" w14:textId="77777777" w:rsidR="0032486B" w:rsidRPr="004F2343" w:rsidRDefault="0032486B" w:rsidP="00EB7F1E">
            <w:pPr>
              <w:spacing w:line="276" w:lineRule="auto"/>
              <w:ind w:right="28"/>
              <w:jc w:val="both"/>
              <w:rPr>
                <w:rFonts w:ascii="Calibri" w:hAnsi="Calibri"/>
              </w:rPr>
            </w:pPr>
            <w:r w:rsidRPr="004F2343">
              <w:rPr>
                <w:rFonts w:ascii="Calibri" w:hAnsi="Calibri"/>
              </w:rPr>
              <w:t>For certain national security offences, must be ¾ of head sentence or aggregate.</w:t>
            </w:r>
          </w:p>
          <w:p w14:paraId="704D3548" w14:textId="77777777" w:rsidR="0032486B" w:rsidRPr="004F2343" w:rsidRDefault="0032486B" w:rsidP="00EB7F1E">
            <w:pPr>
              <w:widowControl w:val="0"/>
              <w:spacing w:line="276" w:lineRule="auto"/>
              <w:ind w:right="-1"/>
              <w:rPr>
                <w:rFonts w:ascii="Calibri" w:hAnsi="Calibri"/>
              </w:rPr>
            </w:pPr>
          </w:p>
          <w:p w14:paraId="5D0209C9" w14:textId="77777777" w:rsidR="0032486B" w:rsidRPr="004F2343" w:rsidRDefault="0032486B" w:rsidP="00EB7F1E">
            <w:pPr>
              <w:spacing w:line="276" w:lineRule="auto"/>
              <w:ind w:right="28"/>
              <w:jc w:val="both"/>
              <w:rPr>
                <w:rFonts w:ascii="Calibri" w:hAnsi="Calibri"/>
              </w:rPr>
            </w:pPr>
            <w:r w:rsidRPr="004F2343">
              <w:rPr>
                <w:rFonts w:ascii="Calibri" w:hAnsi="Calibri"/>
              </w:rPr>
              <w:t>For certain people smuggling offences, mandatory minimum NPP</w:t>
            </w:r>
          </w:p>
          <w:p w14:paraId="323E3CF6" w14:textId="77777777" w:rsidR="0032486B" w:rsidRPr="004F2343" w:rsidRDefault="0032486B" w:rsidP="00EB7F1E">
            <w:pPr>
              <w:widowControl w:val="0"/>
              <w:spacing w:line="276" w:lineRule="auto"/>
              <w:ind w:right="-1"/>
              <w:rPr>
                <w:rFonts w:ascii="Calibri" w:hAnsi="Calibri"/>
              </w:rPr>
            </w:pPr>
          </w:p>
          <w:p w14:paraId="18B57426" w14:textId="77777777" w:rsidR="0032486B" w:rsidRPr="004F2343" w:rsidRDefault="0032486B" w:rsidP="00EB7F1E">
            <w:pPr>
              <w:spacing w:line="276" w:lineRule="auto"/>
              <w:ind w:right="28"/>
              <w:jc w:val="both"/>
              <w:rPr>
                <w:rFonts w:ascii="Calibri" w:hAnsi="Calibri"/>
              </w:rPr>
            </w:pPr>
            <w:r w:rsidRPr="004F2343">
              <w:rPr>
                <w:rFonts w:ascii="Calibri" w:hAnsi="Calibri"/>
              </w:rPr>
              <w:t>Otherwise period to be served to be determined by general sentencing principles.</w:t>
            </w:r>
          </w:p>
          <w:p w14:paraId="043593ED" w14:textId="77777777" w:rsidR="0032486B" w:rsidRPr="004F2343" w:rsidRDefault="0032486B" w:rsidP="00EB7F1E">
            <w:pPr>
              <w:widowControl w:val="0"/>
              <w:spacing w:line="276" w:lineRule="auto"/>
              <w:ind w:right="-1"/>
              <w:rPr>
                <w:rFonts w:ascii="Calibri" w:hAnsi="Calibri"/>
              </w:rPr>
            </w:pPr>
          </w:p>
          <w:p w14:paraId="16788E77" w14:textId="49030986" w:rsidR="0032486B" w:rsidRPr="004F2343" w:rsidRDefault="006D5A84" w:rsidP="00EB7F1E">
            <w:pPr>
              <w:pStyle w:val="ListParagraph"/>
              <w:numPr>
                <w:ilvl w:val="0"/>
                <w:numId w:val="42"/>
              </w:numPr>
              <w:spacing w:line="276" w:lineRule="auto"/>
              <w:ind w:left="402" w:right="28" w:hanging="283"/>
              <w:rPr>
                <w:rFonts w:ascii="Calibri" w:hAnsi="Calibri"/>
              </w:rPr>
            </w:pPr>
            <w:r w:rsidRPr="004F2343">
              <w:rPr>
                <w:rFonts w:ascii="Calibri" w:hAnsi="Calibri"/>
              </w:rPr>
              <w:t>RRO/NPP n</w:t>
            </w:r>
            <w:r w:rsidR="0032486B" w:rsidRPr="004F2343">
              <w:rPr>
                <w:rFonts w:ascii="Calibri" w:hAnsi="Calibri"/>
              </w:rPr>
              <w:t xml:space="preserve">ot appropriate having regard to the nature and circumstances of the offence or offences concerned and to the antecedents of the </w:t>
            </w:r>
            <w:r w:rsidR="0032486B" w:rsidRPr="00EB7F1E">
              <w:rPr>
                <w:rFonts w:ascii="Calibri" w:hAnsi="Calibri"/>
                <w:szCs w:val="22"/>
              </w:rPr>
              <w:t>person</w:t>
            </w:r>
            <w:r w:rsidR="0032486B" w:rsidRPr="004F2343">
              <w:rPr>
                <w:rFonts w:ascii="Calibri" w:hAnsi="Calibri"/>
              </w:rPr>
              <w:t>; or</w:t>
            </w:r>
          </w:p>
          <w:p w14:paraId="29FE3AE2" w14:textId="77777777" w:rsidR="0032486B" w:rsidRPr="004F2343" w:rsidRDefault="0032486B" w:rsidP="00EB7F1E">
            <w:pPr>
              <w:pStyle w:val="ListParagraph"/>
              <w:numPr>
                <w:ilvl w:val="0"/>
                <w:numId w:val="42"/>
              </w:numPr>
              <w:spacing w:line="276" w:lineRule="auto"/>
              <w:ind w:left="402" w:right="28" w:hanging="283"/>
              <w:rPr>
                <w:rFonts w:ascii="Calibri" w:hAnsi="Calibri"/>
              </w:rPr>
            </w:pPr>
            <w:r w:rsidRPr="004F2343">
              <w:rPr>
                <w:rFonts w:ascii="Calibri" w:hAnsi="Calibri"/>
              </w:rPr>
              <w:t xml:space="preserve">the person is expected to be serving a State/Territory sentence on the day after the end of the </w:t>
            </w:r>
            <w:r w:rsidRPr="00EB7F1E">
              <w:rPr>
                <w:rFonts w:ascii="Calibri" w:hAnsi="Calibri"/>
                <w:szCs w:val="22"/>
              </w:rPr>
              <w:t>federal</w:t>
            </w:r>
            <w:r w:rsidRPr="004F2343">
              <w:rPr>
                <w:rFonts w:ascii="Calibri" w:hAnsi="Calibri"/>
              </w:rPr>
              <w:t xml:space="preserve"> sentence.</w:t>
            </w:r>
          </w:p>
          <w:p w14:paraId="1925A6CD" w14:textId="77777777" w:rsidR="0032486B" w:rsidRPr="004F2343" w:rsidRDefault="0032486B" w:rsidP="00EB7F1E">
            <w:pPr>
              <w:pStyle w:val="Body"/>
              <w:widowControl w:val="0"/>
              <w:spacing w:line="276" w:lineRule="auto"/>
              <w:rPr>
                <w:rFonts w:ascii="Calibri" w:hAnsi="Calibri"/>
              </w:rPr>
            </w:pPr>
          </w:p>
          <w:p w14:paraId="547CD0E0" w14:textId="77777777" w:rsidR="0032486B" w:rsidRPr="004F2343" w:rsidRDefault="0032486B" w:rsidP="00EB7F1E">
            <w:pPr>
              <w:spacing w:line="276" w:lineRule="auto"/>
              <w:ind w:right="28"/>
              <w:jc w:val="both"/>
              <w:rPr>
                <w:rFonts w:ascii="Calibri" w:hAnsi="Calibri"/>
              </w:rPr>
            </w:pPr>
            <w:r w:rsidRPr="004F2343">
              <w:rPr>
                <w:rFonts w:ascii="Calibri" w:hAnsi="Calibri"/>
              </w:rPr>
              <w:t>Open discretion not to make RRO if head sentence or aggregate for federal offences is 6 months or less</w:t>
            </w:r>
          </w:p>
        </w:tc>
        <w:tc>
          <w:tcPr>
            <w:tcW w:w="1544" w:type="dxa"/>
          </w:tcPr>
          <w:p w14:paraId="53660960" w14:textId="77777777" w:rsidR="0032486B" w:rsidRPr="004F2343" w:rsidRDefault="0032486B" w:rsidP="00EB7F1E">
            <w:pPr>
              <w:pStyle w:val="Body"/>
              <w:widowControl w:val="0"/>
              <w:spacing w:line="276" w:lineRule="auto"/>
              <w:ind w:left="153"/>
              <w:rPr>
                <w:rFonts w:ascii="Calibri" w:hAnsi="Calibri"/>
                <w:szCs w:val="22"/>
                <w:lang w:val="en-AU"/>
              </w:rPr>
            </w:pPr>
          </w:p>
          <w:p w14:paraId="0C828637" w14:textId="77777777" w:rsidR="0032486B" w:rsidRPr="004F2343" w:rsidRDefault="0032486B" w:rsidP="00EB7F1E">
            <w:pPr>
              <w:pStyle w:val="Body"/>
              <w:widowControl w:val="0"/>
              <w:spacing w:line="276" w:lineRule="auto"/>
              <w:ind w:left="153"/>
              <w:rPr>
                <w:rFonts w:ascii="Calibri" w:hAnsi="Calibri"/>
                <w:szCs w:val="22"/>
                <w:lang w:val="en-AU"/>
              </w:rPr>
            </w:pPr>
          </w:p>
          <w:p w14:paraId="06639366" w14:textId="77777777" w:rsidR="0032486B" w:rsidRPr="004F2343" w:rsidRDefault="0032486B" w:rsidP="00EB7F1E">
            <w:pPr>
              <w:pStyle w:val="Body"/>
              <w:widowControl w:val="0"/>
              <w:spacing w:line="276" w:lineRule="auto"/>
              <w:ind w:left="153"/>
              <w:rPr>
                <w:rFonts w:ascii="Calibri" w:hAnsi="Calibri"/>
                <w:szCs w:val="22"/>
                <w:lang w:val="en-AU"/>
              </w:rPr>
            </w:pPr>
          </w:p>
          <w:p w14:paraId="351A5200" w14:textId="77777777" w:rsidR="0032486B" w:rsidRPr="004F2343" w:rsidRDefault="0032486B" w:rsidP="00EB7F1E">
            <w:pPr>
              <w:pStyle w:val="Body"/>
              <w:widowControl w:val="0"/>
              <w:spacing w:line="276" w:lineRule="auto"/>
              <w:ind w:left="153"/>
              <w:rPr>
                <w:rFonts w:ascii="Calibri" w:hAnsi="Calibri"/>
                <w:szCs w:val="22"/>
                <w:lang w:val="en-AU"/>
              </w:rPr>
            </w:pPr>
          </w:p>
          <w:p w14:paraId="4DC88857"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20(1)(b)</w:t>
            </w:r>
          </w:p>
          <w:p w14:paraId="2123503E"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19AC</w:t>
            </w:r>
          </w:p>
          <w:p w14:paraId="62CA1DCF"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19AE</w:t>
            </w:r>
          </w:p>
          <w:p w14:paraId="7EE66C61"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19AR(2)(e)</w:t>
            </w:r>
          </w:p>
          <w:p w14:paraId="68D8D1CD" w14:textId="77777777" w:rsidR="0032486B" w:rsidRPr="004F2343" w:rsidRDefault="0032486B" w:rsidP="00EB7F1E">
            <w:pPr>
              <w:pStyle w:val="Body"/>
              <w:widowControl w:val="0"/>
              <w:spacing w:line="276" w:lineRule="auto"/>
              <w:ind w:left="153"/>
              <w:rPr>
                <w:rFonts w:ascii="Calibri" w:hAnsi="Calibri"/>
                <w:szCs w:val="22"/>
                <w:lang w:val="en-AU"/>
              </w:rPr>
            </w:pPr>
          </w:p>
          <w:p w14:paraId="60F59C62"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20(1)(b)</w:t>
            </w:r>
          </w:p>
          <w:p w14:paraId="497D3F8E"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19AC</w:t>
            </w:r>
          </w:p>
          <w:p w14:paraId="64FC1043"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19AE</w:t>
            </w:r>
          </w:p>
          <w:p w14:paraId="3508C6D6"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19AR(2)(e)</w:t>
            </w:r>
          </w:p>
          <w:p w14:paraId="2CC0DA2F" w14:textId="77777777" w:rsidR="0032486B" w:rsidRPr="004F2343" w:rsidRDefault="0032486B" w:rsidP="00EB7F1E">
            <w:pPr>
              <w:pStyle w:val="Body"/>
              <w:widowControl w:val="0"/>
              <w:spacing w:line="276" w:lineRule="auto"/>
              <w:ind w:left="153"/>
              <w:rPr>
                <w:rFonts w:ascii="Calibri" w:hAnsi="Calibri"/>
                <w:szCs w:val="22"/>
                <w:lang w:val="en-AU"/>
              </w:rPr>
            </w:pPr>
          </w:p>
          <w:p w14:paraId="7D7EF9C3"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19AB</w:t>
            </w:r>
          </w:p>
          <w:p w14:paraId="0B40B2FE"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19AD</w:t>
            </w:r>
          </w:p>
          <w:p w14:paraId="4C1F6535" w14:textId="77777777" w:rsidR="0032486B" w:rsidRPr="004F2343" w:rsidRDefault="0032486B" w:rsidP="00EB7F1E">
            <w:pPr>
              <w:pStyle w:val="Body"/>
              <w:widowControl w:val="0"/>
              <w:spacing w:line="276" w:lineRule="auto"/>
              <w:ind w:left="153"/>
              <w:rPr>
                <w:rFonts w:ascii="Calibri" w:hAnsi="Calibri"/>
                <w:szCs w:val="22"/>
                <w:lang w:val="en-AU"/>
              </w:rPr>
            </w:pPr>
          </w:p>
          <w:p w14:paraId="6B7A7F2A" w14:textId="77777777" w:rsidR="0032486B" w:rsidRPr="004F2343" w:rsidRDefault="0032486B" w:rsidP="00EB7F1E">
            <w:pPr>
              <w:pStyle w:val="Body"/>
              <w:widowControl w:val="0"/>
              <w:spacing w:line="276" w:lineRule="auto"/>
              <w:ind w:left="153"/>
              <w:rPr>
                <w:rFonts w:ascii="Calibri" w:hAnsi="Calibri"/>
                <w:szCs w:val="22"/>
                <w:lang w:val="en-AU"/>
              </w:rPr>
            </w:pPr>
          </w:p>
          <w:p w14:paraId="556D5116"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19AG</w:t>
            </w:r>
          </w:p>
          <w:p w14:paraId="5DCCA94F" w14:textId="77777777" w:rsidR="0032486B" w:rsidRPr="004F2343" w:rsidRDefault="0032486B" w:rsidP="00EB7F1E">
            <w:pPr>
              <w:pStyle w:val="Body"/>
              <w:widowControl w:val="0"/>
              <w:spacing w:line="276" w:lineRule="auto"/>
              <w:ind w:left="153"/>
              <w:rPr>
                <w:rFonts w:ascii="Calibri" w:hAnsi="Calibri"/>
                <w:szCs w:val="22"/>
                <w:lang w:val="en-AU"/>
              </w:rPr>
            </w:pPr>
          </w:p>
          <w:p w14:paraId="0F882042" w14:textId="77777777" w:rsidR="0032486B" w:rsidRPr="004F2343" w:rsidRDefault="0032486B" w:rsidP="00EB7F1E">
            <w:pPr>
              <w:pStyle w:val="Body"/>
              <w:widowControl w:val="0"/>
              <w:spacing w:line="276" w:lineRule="auto"/>
              <w:ind w:left="153"/>
              <w:rPr>
                <w:rFonts w:ascii="Calibri" w:hAnsi="Calibri"/>
                <w:szCs w:val="22"/>
                <w:lang w:val="en-AU"/>
              </w:rPr>
            </w:pPr>
          </w:p>
          <w:p w14:paraId="744A2E4F" w14:textId="77777777" w:rsidR="0032486B" w:rsidRPr="004F2343" w:rsidRDefault="0032486B" w:rsidP="00EB7F1E">
            <w:pPr>
              <w:pStyle w:val="Body"/>
              <w:widowControl w:val="0"/>
              <w:spacing w:line="276" w:lineRule="auto"/>
              <w:ind w:left="153"/>
              <w:rPr>
                <w:rFonts w:ascii="Calibri" w:hAnsi="Calibri"/>
                <w:szCs w:val="22"/>
                <w:lang w:val="en-AU"/>
              </w:rPr>
            </w:pPr>
          </w:p>
          <w:p w14:paraId="5CDF7E97" w14:textId="77777777" w:rsidR="0032486B" w:rsidRPr="004F2343" w:rsidRDefault="0032486B" w:rsidP="00EB7F1E">
            <w:pPr>
              <w:pStyle w:val="Body"/>
              <w:widowControl w:val="0"/>
              <w:spacing w:line="276" w:lineRule="auto"/>
              <w:ind w:left="153"/>
              <w:rPr>
                <w:rFonts w:ascii="Calibri" w:hAnsi="Calibri"/>
                <w:szCs w:val="22"/>
                <w:lang w:val="en-AU"/>
              </w:rPr>
            </w:pPr>
          </w:p>
          <w:p w14:paraId="0508444C" w14:textId="77777777" w:rsidR="0032486B" w:rsidRPr="004F2343" w:rsidRDefault="0032486B" w:rsidP="00EB7F1E">
            <w:pPr>
              <w:pStyle w:val="Body"/>
              <w:widowControl w:val="0"/>
              <w:spacing w:line="276" w:lineRule="auto"/>
              <w:ind w:left="153"/>
              <w:rPr>
                <w:rFonts w:ascii="Calibri" w:hAnsi="Calibri"/>
                <w:szCs w:val="22"/>
                <w:lang w:val="en-AU"/>
              </w:rPr>
            </w:pPr>
          </w:p>
          <w:p w14:paraId="2930B821" w14:textId="77777777" w:rsidR="0032486B" w:rsidRPr="004F2343" w:rsidRDefault="0032486B" w:rsidP="00EB7F1E">
            <w:pPr>
              <w:pStyle w:val="Body"/>
              <w:widowControl w:val="0"/>
              <w:spacing w:line="276" w:lineRule="auto"/>
              <w:ind w:left="153"/>
              <w:rPr>
                <w:rFonts w:ascii="Calibri" w:hAnsi="Calibri"/>
                <w:szCs w:val="22"/>
                <w:lang w:val="en-AU"/>
              </w:rPr>
            </w:pPr>
          </w:p>
          <w:p w14:paraId="4D149D62" w14:textId="77777777" w:rsidR="0032486B" w:rsidRPr="004F2343" w:rsidRDefault="0032486B" w:rsidP="00EB7F1E">
            <w:pPr>
              <w:pStyle w:val="Body"/>
              <w:widowControl w:val="0"/>
              <w:spacing w:line="276" w:lineRule="auto"/>
              <w:ind w:left="153"/>
              <w:rPr>
                <w:rFonts w:ascii="Calibri" w:hAnsi="Calibri"/>
                <w:szCs w:val="22"/>
                <w:lang w:val="en-AU"/>
              </w:rPr>
            </w:pPr>
          </w:p>
          <w:p w14:paraId="2AE698D0" w14:textId="77777777" w:rsidR="0032486B" w:rsidRPr="004F2343" w:rsidRDefault="0032486B" w:rsidP="00EB7F1E">
            <w:pPr>
              <w:pStyle w:val="Body"/>
              <w:widowControl w:val="0"/>
              <w:spacing w:line="276" w:lineRule="auto"/>
              <w:ind w:left="153"/>
              <w:rPr>
                <w:rFonts w:ascii="Calibri" w:hAnsi="Calibri"/>
                <w:szCs w:val="22"/>
                <w:lang w:val="en-AU"/>
              </w:rPr>
            </w:pPr>
          </w:p>
          <w:p w14:paraId="6B811FBA" w14:textId="77777777" w:rsidR="0032486B" w:rsidRPr="004F2343" w:rsidRDefault="0032486B" w:rsidP="00EB7F1E">
            <w:pPr>
              <w:pStyle w:val="Body"/>
              <w:widowControl w:val="0"/>
              <w:spacing w:line="276" w:lineRule="auto"/>
              <w:ind w:left="153"/>
              <w:rPr>
                <w:rFonts w:ascii="Calibri" w:hAnsi="Calibri"/>
                <w:szCs w:val="22"/>
                <w:lang w:val="en-AU"/>
              </w:rPr>
            </w:pPr>
          </w:p>
          <w:p w14:paraId="53AB1D4D"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19AB(3)</w:t>
            </w:r>
          </w:p>
          <w:p w14:paraId="66900131"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19AC(4)</w:t>
            </w:r>
          </w:p>
          <w:p w14:paraId="3D8A960F"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19AD(2)</w:t>
            </w:r>
          </w:p>
          <w:p w14:paraId="08AB8E73"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19AE(2)</w:t>
            </w:r>
          </w:p>
          <w:p w14:paraId="388492D1"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19AR(4)</w:t>
            </w:r>
          </w:p>
          <w:p w14:paraId="510128E0" w14:textId="77777777" w:rsidR="0032486B" w:rsidRPr="004F2343" w:rsidRDefault="0032486B" w:rsidP="00EB7F1E">
            <w:pPr>
              <w:pStyle w:val="Body"/>
              <w:widowControl w:val="0"/>
              <w:spacing w:line="276" w:lineRule="auto"/>
              <w:ind w:left="153"/>
              <w:rPr>
                <w:rFonts w:ascii="Calibri" w:hAnsi="Calibri"/>
                <w:szCs w:val="22"/>
                <w:lang w:val="en-AU"/>
              </w:rPr>
            </w:pPr>
          </w:p>
          <w:p w14:paraId="348A081F" w14:textId="77777777" w:rsidR="0032486B" w:rsidRPr="004F2343" w:rsidRDefault="0032486B" w:rsidP="00EB7F1E">
            <w:pPr>
              <w:pStyle w:val="Body"/>
              <w:widowControl w:val="0"/>
              <w:spacing w:line="276" w:lineRule="auto"/>
              <w:ind w:left="153"/>
              <w:rPr>
                <w:rFonts w:ascii="Calibri" w:hAnsi="Calibri"/>
                <w:szCs w:val="22"/>
                <w:lang w:val="en-AU"/>
              </w:rPr>
            </w:pPr>
          </w:p>
          <w:p w14:paraId="2E665292" w14:textId="77777777" w:rsidR="0032486B" w:rsidRPr="004F2343" w:rsidRDefault="0032486B" w:rsidP="00EB7F1E">
            <w:pPr>
              <w:pStyle w:val="Body"/>
              <w:widowControl w:val="0"/>
              <w:spacing w:line="276" w:lineRule="auto"/>
              <w:ind w:left="153"/>
              <w:rPr>
                <w:rFonts w:ascii="Calibri" w:hAnsi="Calibri"/>
                <w:szCs w:val="22"/>
                <w:lang w:val="en-AU"/>
              </w:rPr>
            </w:pPr>
          </w:p>
          <w:p w14:paraId="267A858E" w14:textId="77777777" w:rsidR="0032486B" w:rsidRPr="004F2343" w:rsidRDefault="0032486B" w:rsidP="00EB7F1E">
            <w:pPr>
              <w:pStyle w:val="Body"/>
              <w:widowControl w:val="0"/>
              <w:spacing w:line="276" w:lineRule="auto"/>
              <w:ind w:left="153"/>
              <w:rPr>
                <w:rFonts w:ascii="Calibri" w:hAnsi="Calibri"/>
                <w:szCs w:val="22"/>
                <w:lang w:val="en-AU"/>
              </w:rPr>
            </w:pPr>
            <w:r w:rsidRPr="004F2343">
              <w:rPr>
                <w:rFonts w:ascii="Calibri" w:hAnsi="Calibri"/>
                <w:szCs w:val="22"/>
                <w:lang w:val="en-AU"/>
              </w:rPr>
              <w:t>s 19AC(3)</w:t>
            </w:r>
          </w:p>
          <w:p w14:paraId="45625C3F" w14:textId="77777777" w:rsidR="0032486B" w:rsidRPr="004F2343" w:rsidRDefault="0032486B" w:rsidP="00EB7F1E">
            <w:pPr>
              <w:pStyle w:val="Body"/>
              <w:widowControl w:val="0"/>
              <w:spacing w:line="276" w:lineRule="auto"/>
              <w:ind w:left="153"/>
              <w:rPr>
                <w:rFonts w:ascii="Calibri" w:hAnsi="Calibri"/>
                <w:szCs w:val="22"/>
                <w:lang w:val="en-AU"/>
              </w:rPr>
            </w:pPr>
          </w:p>
        </w:tc>
        <w:tc>
          <w:tcPr>
            <w:tcW w:w="1100" w:type="dxa"/>
          </w:tcPr>
          <w:p w14:paraId="6979B78C" w14:textId="77777777" w:rsidR="0032486B" w:rsidRPr="004F2343" w:rsidRDefault="0032486B" w:rsidP="00EB7F1E">
            <w:pPr>
              <w:pStyle w:val="Body"/>
              <w:widowControl w:val="0"/>
              <w:spacing w:line="276" w:lineRule="auto"/>
              <w:rPr>
                <w:rFonts w:ascii="Calibri" w:hAnsi="Calibri"/>
                <w:szCs w:val="22"/>
                <w:lang w:val="en-AU"/>
              </w:rPr>
            </w:pPr>
          </w:p>
          <w:p w14:paraId="7D836DD1" w14:textId="77777777" w:rsidR="0032486B" w:rsidRPr="004F2343" w:rsidRDefault="0032486B" w:rsidP="00EB7F1E">
            <w:pPr>
              <w:pStyle w:val="Body"/>
              <w:widowControl w:val="0"/>
              <w:spacing w:line="276" w:lineRule="auto"/>
              <w:rPr>
                <w:rFonts w:ascii="Calibri" w:hAnsi="Calibri"/>
                <w:szCs w:val="22"/>
                <w:lang w:val="en-AU"/>
              </w:rPr>
            </w:pPr>
          </w:p>
          <w:p w14:paraId="3618E3B6" w14:textId="77777777" w:rsidR="0032486B" w:rsidRPr="004F2343" w:rsidRDefault="0032486B" w:rsidP="00EB7F1E">
            <w:pPr>
              <w:pStyle w:val="Body"/>
              <w:widowControl w:val="0"/>
              <w:spacing w:line="276" w:lineRule="auto"/>
              <w:rPr>
                <w:rFonts w:ascii="Calibri" w:hAnsi="Calibri"/>
                <w:szCs w:val="22"/>
                <w:lang w:val="en-AU"/>
              </w:rPr>
            </w:pPr>
          </w:p>
          <w:p w14:paraId="73E48F76" w14:textId="77777777" w:rsidR="0032486B" w:rsidRPr="004F2343" w:rsidRDefault="0032486B" w:rsidP="00EB7F1E">
            <w:pPr>
              <w:pStyle w:val="Body"/>
              <w:widowControl w:val="0"/>
              <w:spacing w:line="276" w:lineRule="auto"/>
              <w:rPr>
                <w:rFonts w:ascii="Calibri" w:hAnsi="Calibri"/>
                <w:szCs w:val="22"/>
                <w:lang w:val="en-AU"/>
              </w:rPr>
            </w:pPr>
          </w:p>
          <w:p w14:paraId="2260939C" w14:textId="77777777" w:rsidR="0032486B" w:rsidRPr="004F2343" w:rsidRDefault="0032486B" w:rsidP="00EB7F1E">
            <w:pPr>
              <w:pStyle w:val="Body"/>
              <w:widowControl w:val="0"/>
              <w:spacing w:line="276" w:lineRule="auto"/>
              <w:rPr>
                <w:rFonts w:ascii="Calibri" w:hAnsi="Calibri"/>
                <w:szCs w:val="22"/>
                <w:lang w:val="en-AU"/>
              </w:rPr>
            </w:pPr>
            <w:r w:rsidRPr="004F2343">
              <w:rPr>
                <w:rFonts w:ascii="Calibri" w:hAnsi="Calibri"/>
                <w:szCs w:val="22"/>
                <w:lang w:val="en-AU"/>
              </w:rPr>
              <w:t>s 20A</w:t>
            </w:r>
          </w:p>
          <w:p w14:paraId="6E0B9751" w14:textId="77777777" w:rsidR="0032486B" w:rsidRPr="004F2343" w:rsidRDefault="0032486B" w:rsidP="00EB7F1E">
            <w:pPr>
              <w:pStyle w:val="Body"/>
              <w:widowControl w:val="0"/>
              <w:spacing w:line="276" w:lineRule="auto"/>
              <w:rPr>
                <w:rFonts w:ascii="Calibri" w:hAnsi="Calibri"/>
                <w:szCs w:val="22"/>
                <w:lang w:val="en-AU"/>
              </w:rPr>
            </w:pPr>
          </w:p>
          <w:p w14:paraId="4DB901D9" w14:textId="77777777" w:rsidR="0032486B" w:rsidRPr="004F2343" w:rsidRDefault="0032486B" w:rsidP="00EB7F1E">
            <w:pPr>
              <w:pStyle w:val="Body"/>
              <w:widowControl w:val="0"/>
              <w:spacing w:line="276" w:lineRule="auto"/>
              <w:rPr>
                <w:rFonts w:ascii="Calibri" w:hAnsi="Calibri"/>
                <w:szCs w:val="22"/>
                <w:lang w:val="en-AU"/>
              </w:rPr>
            </w:pPr>
          </w:p>
          <w:p w14:paraId="4D88D2C0" w14:textId="77777777" w:rsidR="0032486B" w:rsidRPr="004F2343" w:rsidRDefault="0032486B" w:rsidP="00EB7F1E">
            <w:pPr>
              <w:pStyle w:val="Body"/>
              <w:widowControl w:val="0"/>
              <w:spacing w:line="276" w:lineRule="auto"/>
              <w:rPr>
                <w:rFonts w:ascii="Calibri" w:hAnsi="Calibri"/>
                <w:szCs w:val="22"/>
                <w:lang w:val="en-AU"/>
              </w:rPr>
            </w:pPr>
          </w:p>
          <w:p w14:paraId="1509DF54" w14:textId="77777777" w:rsidR="0032486B" w:rsidRPr="004F2343" w:rsidRDefault="0032486B" w:rsidP="00EB7F1E">
            <w:pPr>
              <w:pStyle w:val="Body"/>
              <w:widowControl w:val="0"/>
              <w:spacing w:line="276" w:lineRule="auto"/>
              <w:rPr>
                <w:rFonts w:ascii="Calibri" w:hAnsi="Calibri"/>
                <w:szCs w:val="22"/>
                <w:lang w:val="en-AU"/>
              </w:rPr>
            </w:pPr>
          </w:p>
          <w:p w14:paraId="36C9493F" w14:textId="77777777" w:rsidR="0032486B" w:rsidRPr="004F2343" w:rsidRDefault="0032486B" w:rsidP="00EB7F1E">
            <w:pPr>
              <w:pStyle w:val="Body"/>
              <w:widowControl w:val="0"/>
              <w:spacing w:line="276" w:lineRule="auto"/>
              <w:rPr>
                <w:rFonts w:ascii="Calibri" w:hAnsi="Calibri"/>
                <w:szCs w:val="22"/>
                <w:lang w:val="en-AU"/>
              </w:rPr>
            </w:pPr>
            <w:r w:rsidRPr="004F2343">
              <w:rPr>
                <w:rFonts w:ascii="Calibri" w:hAnsi="Calibri"/>
                <w:szCs w:val="22"/>
                <w:lang w:val="en-AU"/>
              </w:rPr>
              <w:t>s 20A</w:t>
            </w:r>
          </w:p>
          <w:p w14:paraId="630BC469" w14:textId="77777777" w:rsidR="0032486B" w:rsidRPr="004F2343" w:rsidRDefault="0032486B" w:rsidP="00EB7F1E">
            <w:pPr>
              <w:pStyle w:val="Body"/>
              <w:widowControl w:val="0"/>
              <w:spacing w:line="276" w:lineRule="auto"/>
              <w:rPr>
                <w:rFonts w:ascii="Calibri" w:hAnsi="Calibri"/>
                <w:szCs w:val="22"/>
                <w:lang w:val="en-AU"/>
              </w:rPr>
            </w:pPr>
          </w:p>
          <w:p w14:paraId="557AD7C5" w14:textId="77777777" w:rsidR="0032486B" w:rsidRPr="004F2343" w:rsidRDefault="0032486B" w:rsidP="00EB7F1E">
            <w:pPr>
              <w:pStyle w:val="Body"/>
              <w:widowControl w:val="0"/>
              <w:spacing w:line="276" w:lineRule="auto"/>
              <w:rPr>
                <w:rFonts w:ascii="Calibri" w:hAnsi="Calibri"/>
                <w:szCs w:val="22"/>
                <w:lang w:val="en-AU"/>
              </w:rPr>
            </w:pPr>
          </w:p>
          <w:p w14:paraId="64B4826C" w14:textId="77777777" w:rsidR="0032486B" w:rsidRPr="004F2343" w:rsidRDefault="0032486B" w:rsidP="00EB7F1E">
            <w:pPr>
              <w:pStyle w:val="Body"/>
              <w:widowControl w:val="0"/>
              <w:spacing w:line="276" w:lineRule="auto"/>
              <w:rPr>
                <w:rFonts w:ascii="Calibri" w:hAnsi="Calibri"/>
                <w:szCs w:val="22"/>
                <w:lang w:val="en-AU"/>
              </w:rPr>
            </w:pPr>
          </w:p>
          <w:p w14:paraId="7BFC4B9D" w14:textId="77777777" w:rsidR="0032486B" w:rsidRPr="004F2343" w:rsidRDefault="0032486B" w:rsidP="00EB7F1E">
            <w:pPr>
              <w:pStyle w:val="Body"/>
              <w:widowControl w:val="0"/>
              <w:spacing w:line="276" w:lineRule="auto"/>
              <w:rPr>
                <w:rFonts w:ascii="Calibri" w:hAnsi="Calibri"/>
                <w:szCs w:val="22"/>
                <w:lang w:val="en-AU"/>
              </w:rPr>
            </w:pPr>
          </w:p>
          <w:p w14:paraId="18EDB2D5" w14:textId="77777777" w:rsidR="0032486B" w:rsidRPr="004F2343" w:rsidRDefault="0032486B" w:rsidP="00EB7F1E">
            <w:pPr>
              <w:pStyle w:val="Body"/>
              <w:widowControl w:val="0"/>
              <w:spacing w:line="276" w:lineRule="auto"/>
              <w:rPr>
                <w:rFonts w:ascii="Calibri" w:hAnsi="Calibri"/>
                <w:szCs w:val="22"/>
                <w:lang w:val="en-AU"/>
              </w:rPr>
            </w:pPr>
            <w:r w:rsidRPr="004F2343">
              <w:rPr>
                <w:rFonts w:ascii="Calibri" w:hAnsi="Calibri"/>
                <w:szCs w:val="22"/>
                <w:lang w:val="en-AU"/>
              </w:rPr>
              <w:t>Div 5 of Pt IB (breach of parole)</w:t>
            </w:r>
          </w:p>
          <w:p w14:paraId="71F26553" w14:textId="77777777" w:rsidR="0032486B" w:rsidRPr="004F2343" w:rsidRDefault="0032486B" w:rsidP="00EB7F1E">
            <w:pPr>
              <w:pStyle w:val="Body"/>
              <w:widowControl w:val="0"/>
              <w:spacing w:line="276" w:lineRule="auto"/>
              <w:ind w:left="153"/>
              <w:rPr>
                <w:rFonts w:ascii="Calibri" w:hAnsi="Calibri"/>
                <w:szCs w:val="22"/>
                <w:lang w:val="en-AU"/>
              </w:rPr>
            </w:pPr>
          </w:p>
          <w:p w14:paraId="7B261A15" w14:textId="77777777" w:rsidR="0032486B" w:rsidRPr="004F2343" w:rsidRDefault="0032486B" w:rsidP="00EB7F1E">
            <w:pPr>
              <w:pStyle w:val="Body"/>
              <w:widowControl w:val="0"/>
              <w:spacing w:line="276" w:lineRule="auto"/>
              <w:ind w:left="153"/>
              <w:rPr>
                <w:rFonts w:ascii="Calibri" w:hAnsi="Calibri"/>
                <w:szCs w:val="22"/>
                <w:lang w:val="en-AU"/>
              </w:rPr>
            </w:pPr>
          </w:p>
          <w:p w14:paraId="7FC39E6C" w14:textId="77777777" w:rsidR="0032486B" w:rsidRPr="004F2343" w:rsidRDefault="0032486B" w:rsidP="00EB7F1E">
            <w:pPr>
              <w:pStyle w:val="Body"/>
              <w:widowControl w:val="0"/>
              <w:spacing w:line="276" w:lineRule="auto"/>
              <w:ind w:left="153"/>
              <w:rPr>
                <w:rFonts w:ascii="Calibri" w:hAnsi="Calibri"/>
                <w:szCs w:val="22"/>
                <w:lang w:val="en-AU"/>
              </w:rPr>
            </w:pPr>
          </w:p>
          <w:p w14:paraId="0EA18CC0" w14:textId="77777777" w:rsidR="0032486B" w:rsidRPr="004F2343" w:rsidRDefault="0032486B" w:rsidP="00EB7F1E">
            <w:pPr>
              <w:pStyle w:val="Body"/>
              <w:widowControl w:val="0"/>
              <w:spacing w:line="276" w:lineRule="auto"/>
              <w:ind w:left="153"/>
              <w:rPr>
                <w:rFonts w:ascii="Calibri" w:hAnsi="Calibri"/>
                <w:szCs w:val="22"/>
                <w:lang w:val="en-AU"/>
              </w:rPr>
            </w:pPr>
          </w:p>
          <w:p w14:paraId="66A14A6F" w14:textId="77777777" w:rsidR="0032486B" w:rsidRPr="004F2343" w:rsidRDefault="0032486B" w:rsidP="00EB7F1E">
            <w:pPr>
              <w:pStyle w:val="Body"/>
              <w:widowControl w:val="0"/>
              <w:spacing w:line="276" w:lineRule="auto"/>
              <w:ind w:left="153"/>
              <w:rPr>
                <w:rFonts w:ascii="Calibri" w:hAnsi="Calibri"/>
                <w:szCs w:val="22"/>
                <w:lang w:val="en-AU"/>
              </w:rPr>
            </w:pPr>
          </w:p>
          <w:p w14:paraId="54B1765D" w14:textId="77777777" w:rsidR="0032486B" w:rsidRPr="004F2343" w:rsidRDefault="0032486B" w:rsidP="00EB7F1E">
            <w:pPr>
              <w:pStyle w:val="Body"/>
              <w:widowControl w:val="0"/>
              <w:spacing w:line="276" w:lineRule="auto"/>
              <w:ind w:left="153"/>
              <w:rPr>
                <w:rFonts w:ascii="Calibri" w:hAnsi="Calibri"/>
                <w:szCs w:val="22"/>
                <w:lang w:val="en-AU"/>
              </w:rPr>
            </w:pPr>
          </w:p>
          <w:p w14:paraId="3716B929" w14:textId="77777777" w:rsidR="0032486B" w:rsidRPr="004F2343" w:rsidRDefault="0032486B" w:rsidP="00EB7F1E">
            <w:pPr>
              <w:pStyle w:val="Body"/>
              <w:widowControl w:val="0"/>
              <w:spacing w:line="276" w:lineRule="auto"/>
              <w:ind w:left="153"/>
              <w:rPr>
                <w:rFonts w:ascii="Calibri" w:hAnsi="Calibri"/>
                <w:szCs w:val="22"/>
                <w:lang w:val="en-AU"/>
              </w:rPr>
            </w:pPr>
          </w:p>
          <w:p w14:paraId="7DCA1888" w14:textId="77777777" w:rsidR="0032486B" w:rsidRPr="004F2343" w:rsidRDefault="0032486B" w:rsidP="00EB7F1E">
            <w:pPr>
              <w:pStyle w:val="Body"/>
              <w:widowControl w:val="0"/>
              <w:spacing w:line="276" w:lineRule="auto"/>
              <w:ind w:left="153"/>
              <w:rPr>
                <w:rFonts w:ascii="Calibri" w:hAnsi="Calibri"/>
                <w:szCs w:val="22"/>
                <w:lang w:val="en-AU"/>
              </w:rPr>
            </w:pPr>
          </w:p>
          <w:p w14:paraId="4D1C13EA" w14:textId="77777777" w:rsidR="0032486B" w:rsidRPr="004F2343" w:rsidRDefault="0032486B" w:rsidP="00EB7F1E">
            <w:pPr>
              <w:pStyle w:val="Body"/>
              <w:widowControl w:val="0"/>
              <w:spacing w:line="276" w:lineRule="auto"/>
              <w:ind w:left="153"/>
              <w:rPr>
                <w:rFonts w:ascii="Calibri" w:hAnsi="Calibri"/>
                <w:szCs w:val="22"/>
                <w:lang w:val="en-AU"/>
              </w:rPr>
            </w:pPr>
          </w:p>
          <w:p w14:paraId="4934D13F" w14:textId="77777777" w:rsidR="0032486B" w:rsidRPr="004F2343" w:rsidRDefault="0032486B" w:rsidP="00EB7F1E">
            <w:pPr>
              <w:pStyle w:val="Body"/>
              <w:widowControl w:val="0"/>
              <w:spacing w:line="276" w:lineRule="auto"/>
              <w:ind w:left="153"/>
              <w:rPr>
                <w:rFonts w:ascii="Calibri" w:hAnsi="Calibri"/>
                <w:szCs w:val="22"/>
                <w:lang w:val="en-AU"/>
              </w:rPr>
            </w:pPr>
          </w:p>
          <w:p w14:paraId="0A4C448B" w14:textId="77777777" w:rsidR="0032486B" w:rsidRPr="004F2343" w:rsidRDefault="0032486B" w:rsidP="00EB7F1E">
            <w:pPr>
              <w:pStyle w:val="Body"/>
              <w:widowControl w:val="0"/>
              <w:spacing w:line="276" w:lineRule="auto"/>
              <w:ind w:left="153"/>
              <w:rPr>
                <w:rFonts w:ascii="Calibri" w:hAnsi="Calibri"/>
                <w:szCs w:val="22"/>
                <w:lang w:val="en-AU"/>
              </w:rPr>
            </w:pPr>
          </w:p>
        </w:tc>
      </w:tr>
    </w:tbl>
    <w:p w14:paraId="26986E57" w14:textId="7925EED7" w:rsidR="006B65AB" w:rsidRDefault="006B65AB" w:rsidP="009C1D19">
      <w:pPr>
        <w:pStyle w:val="BlockText"/>
        <w:tabs>
          <w:tab w:val="clear" w:pos="426"/>
          <w:tab w:val="clear" w:pos="993"/>
        </w:tabs>
        <w:spacing w:before="0" w:line="276" w:lineRule="auto"/>
        <w:ind w:right="0"/>
        <w:jc w:val="both"/>
        <w:rPr>
          <w:rFonts w:asciiTheme="minorHAnsi" w:hAnsiTheme="minorHAnsi"/>
        </w:rPr>
      </w:pPr>
    </w:p>
    <w:p w14:paraId="5E13823D" w14:textId="60C5C533" w:rsidR="0005429A" w:rsidRDefault="00247C49"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Other</w:t>
      </w:r>
      <w:r w:rsidR="0005429A">
        <w:rPr>
          <w:rFonts w:asciiTheme="minorHAnsi" w:hAnsiTheme="minorHAnsi"/>
        </w:rPr>
        <w:t xml:space="preserve"> </w:t>
      </w:r>
      <w:r w:rsidR="00182999">
        <w:rPr>
          <w:rFonts w:asciiTheme="minorHAnsi" w:hAnsiTheme="minorHAnsi"/>
        </w:rPr>
        <w:t xml:space="preserve">sentencing options and orders which </w:t>
      </w:r>
      <w:r w:rsidR="00230B98">
        <w:rPr>
          <w:rFonts w:asciiTheme="minorHAnsi" w:hAnsiTheme="minorHAnsi"/>
        </w:rPr>
        <w:t xml:space="preserve">are </w:t>
      </w:r>
      <w:r>
        <w:rPr>
          <w:rFonts w:asciiTheme="minorHAnsi" w:hAnsiTheme="minorHAnsi"/>
        </w:rPr>
        <w:t xml:space="preserve">available </w:t>
      </w:r>
      <w:r w:rsidR="0005429A">
        <w:rPr>
          <w:rFonts w:asciiTheme="minorHAnsi" w:hAnsiTheme="minorHAnsi"/>
        </w:rPr>
        <w:t>in particular circumstances are described in Chapter</w:t>
      </w:r>
      <w:r w:rsidR="00D92BC7">
        <w:rPr>
          <w:rFonts w:asciiTheme="minorHAnsi" w:hAnsiTheme="minorHAnsi"/>
        </w:rPr>
        <w:t xml:space="preserve">s </w:t>
      </w:r>
      <w:r w:rsidR="00D92BC7">
        <w:rPr>
          <w:rFonts w:asciiTheme="minorHAnsi" w:hAnsiTheme="minorHAnsi"/>
        </w:rPr>
        <w:fldChar w:fldCharType="begin"/>
      </w:r>
      <w:r w:rsidR="00D92BC7">
        <w:rPr>
          <w:rFonts w:asciiTheme="minorHAnsi" w:hAnsiTheme="minorHAnsi"/>
        </w:rPr>
        <w:instrText xml:space="preserve"> REF _Ref494533841 \r \h </w:instrText>
      </w:r>
      <w:r w:rsidR="00D92BC7">
        <w:rPr>
          <w:rFonts w:asciiTheme="minorHAnsi" w:hAnsiTheme="minorHAnsi"/>
        </w:rPr>
      </w:r>
      <w:r w:rsidR="00D92BC7">
        <w:rPr>
          <w:rFonts w:asciiTheme="minorHAnsi" w:hAnsiTheme="minorHAnsi"/>
        </w:rPr>
        <w:fldChar w:fldCharType="separate"/>
      </w:r>
      <w:r w:rsidR="00D44BCF">
        <w:rPr>
          <w:rFonts w:asciiTheme="minorHAnsi" w:hAnsiTheme="minorHAnsi"/>
        </w:rPr>
        <w:t>6</w:t>
      </w:r>
      <w:r w:rsidR="00D92BC7">
        <w:rPr>
          <w:rFonts w:asciiTheme="minorHAnsi" w:hAnsiTheme="minorHAnsi"/>
        </w:rPr>
        <w:fldChar w:fldCharType="end"/>
      </w:r>
      <w:r w:rsidR="00D92BC7">
        <w:rPr>
          <w:rFonts w:asciiTheme="minorHAnsi" w:hAnsiTheme="minorHAnsi"/>
        </w:rPr>
        <w:t xml:space="preserve"> and</w:t>
      </w:r>
      <w:r w:rsidR="0005429A">
        <w:rPr>
          <w:rFonts w:asciiTheme="minorHAnsi" w:hAnsiTheme="minorHAnsi"/>
        </w:rPr>
        <w:t xml:space="preserve"> </w:t>
      </w:r>
      <w:r w:rsidR="0005429A">
        <w:rPr>
          <w:rFonts w:asciiTheme="minorHAnsi" w:hAnsiTheme="minorHAnsi"/>
        </w:rPr>
        <w:fldChar w:fldCharType="begin"/>
      </w:r>
      <w:r w:rsidR="0005429A">
        <w:rPr>
          <w:rFonts w:asciiTheme="minorHAnsi" w:hAnsiTheme="minorHAnsi"/>
        </w:rPr>
        <w:instrText xml:space="preserve"> REF _Ref484289631 \r \h </w:instrText>
      </w:r>
      <w:r w:rsidR="0005429A">
        <w:rPr>
          <w:rFonts w:asciiTheme="minorHAnsi" w:hAnsiTheme="minorHAnsi"/>
        </w:rPr>
      </w:r>
      <w:r w:rsidR="0005429A">
        <w:rPr>
          <w:rFonts w:asciiTheme="minorHAnsi" w:hAnsiTheme="minorHAnsi"/>
        </w:rPr>
        <w:fldChar w:fldCharType="separate"/>
      </w:r>
      <w:r w:rsidR="00D44BCF">
        <w:rPr>
          <w:rFonts w:asciiTheme="minorHAnsi" w:hAnsiTheme="minorHAnsi"/>
        </w:rPr>
        <w:t>8</w:t>
      </w:r>
      <w:r w:rsidR="0005429A">
        <w:rPr>
          <w:rFonts w:asciiTheme="minorHAnsi" w:hAnsiTheme="minorHAnsi"/>
        </w:rPr>
        <w:fldChar w:fldCharType="end"/>
      </w:r>
      <w:r w:rsidR="0005429A">
        <w:rPr>
          <w:rFonts w:asciiTheme="minorHAnsi" w:hAnsiTheme="minorHAnsi"/>
        </w:rPr>
        <w:t>.  The present Chapter deals with the six general sentencing options.</w:t>
      </w:r>
    </w:p>
    <w:p w14:paraId="5732F2D2" w14:textId="77777777" w:rsidR="009C1D19" w:rsidRDefault="009C1D19">
      <w:pPr>
        <w:rPr>
          <w:rFonts w:asciiTheme="minorHAnsi" w:hAnsiTheme="minorHAnsi"/>
          <w:b/>
          <w:highlight w:val="lightGray"/>
        </w:rPr>
      </w:pPr>
      <w:r w:rsidRPr="00051102">
        <w:rPr>
          <w:rFonts w:ascii="Calibri" w:hAnsi="Calibri"/>
          <w:highlight w:val="lightGray"/>
        </w:rPr>
        <w:br w:type="page"/>
      </w:r>
    </w:p>
    <w:p w14:paraId="052A64D0" w14:textId="5FC65836" w:rsidR="008E5DEA" w:rsidRPr="00A84447" w:rsidRDefault="00CC4570" w:rsidP="00A84447">
      <w:pPr>
        <w:pStyle w:val="Heading2"/>
        <w:rPr>
          <w:bCs/>
        </w:rPr>
      </w:pPr>
      <w:bookmarkStart w:id="1542" w:name="_Toc33602819"/>
      <w:r w:rsidRPr="00A84447">
        <w:rPr>
          <w:bCs/>
        </w:rPr>
        <w:t xml:space="preserve">Dismiss charge – </w:t>
      </w:r>
      <w:r w:rsidR="00885EFD" w:rsidRPr="00A84447">
        <w:rPr>
          <w:bCs/>
        </w:rPr>
        <w:t>Crimes Act 1914</w:t>
      </w:r>
      <w:r w:rsidR="00DA5BD4" w:rsidRPr="00A84447">
        <w:rPr>
          <w:bCs/>
        </w:rPr>
        <w:t xml:space="preserve">, </w:t>
      </w:r>
      <w:r w:rsidR="000D7F13" w:rsidRPr="00A84447">
        <w:rPr>
          <w:bCs/>
        </w:rPr>
        <w:t>s</w:t>
      </w:r>
      <w:r w:rsidRPr="00A84447">
        <w:rPr>
          <w:bCs/>
        </w:rPr>
        <w:t xml:space="preserve"> 19B</w:t>
      </w:r>
      <w:bookmarkEnd w:id="1542"/>
      <w:r w:rsidRPr="00A84447">
        <w:rPr>
          <w:bCs/>
        </w:rPr>
        <w:t xml:space="preserve"> </w:t>
      </w:r>
    </w:p>
    <w:p w14:paraId="466A42D9" w14:textId="77777777" w:rsidR="00CC4570" w:rsidRPr="00C00000" w:rsidRDefault="00CC4570" w:rsidP="001F7E6F">
      <w:pPr>
        <w:pStyle w:val="NormalIndent"/>
        <w:keepNext/>
        <w:spacing w:line="276" w:lineRule="auto"/>
        <w:ind w:hanging="567"/>
        <w:rPr>
          <w:rFonts w:asciiTheme="minorHAnsi" w:hAnsiTheme="minorHAnsi"/>
        </w:rPr>
      </w:pPr>
    </w:p>
    <w:p w14:paraId="3B86059C" w14:textId="0DD5E552" w:rsidR="004C7568" w:rsidRDefault="00DE6B9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Where </w:t>
      </w:r>
      <w:r w:rsidRPr="00DE6B95">
        <w:rPr>
          <w:rFonts w:asciiTheme="minorHAnsi" w:hAnsiTheme="minorHAnsi"/>
        </w:rPr>
        <w:t>a person is charged before a court with a federal offence or federal offences</w:t>
      </w:r>
      <w:r>
        <w:rPr>
          <w:rFonts w:asciiTheme="minorHAnsi" w:hAnsiTheme="minorHAnsi"/>
        </w:rPr>
        <w:t>, the court may, pursuant to s</w:t>
      </w:r>
      <w:r w:rsidR="00CC4570" w:rsidRPr="00C00000">
        <w:rPr>
          <w:rFonts w:asciiTheme="minorHAnsi" w:hAnsiTheme="minorHAnsi"/>
        </w:rPr>
        <w:t xml:space="preserve"> 19B</w:t>
      </w:r>
      <w:r w:rsidR="00E073AF">
        <w:rPr>
          <w:rFonts w:asciiTheme="minorHAnsi" w:hAnsiTheme="minorHAnsi"/>
        </w:rPr>
        <w:t>(1)</w:t>
      </w:r>
      <w:r>
        <w:rPr>
          <w:rFonts w:asciiTheme="minorHAnsi" w:hAnsiTheme="minorHAnsi"/>
        </w:rPr>
        <w:t>(c),</w:t>
      </w:r>
      <w:r w:rsidR="00CC4570" w:rsidRPr="00C00000">
        <w:rPr>
          <w:rFonts w:asciiTheme="minorHAnsi" w:hAnsiTheme="minorHAnsi"/>
        </w:rPr>
        <w:t xml:space="preserve"> dismiss </w:t>
      </w:r>
      <w:r>
        <w:rPr>
          <w:rFonts w:asciiTheme="minorHAnsi" w:hAnsiTheme="minorHAnsi"/>
        </w:rPr>
        <w:t xml:space="preserve">the charge or charges, if it is satisfied of the criteria </w:t>
      </w:r>
      <w:r w:rsidR="00E073AF">
        <w:rPr>
          <w:rFonts w:asciiTheme="minorHAnsi" w:hAnsiTheme="minorHAnsi"/>
        </w:rPr>
        <w:t xml:space="preserve">in the two-stage test </w:t>
      </w:r>
      <w:r>
        <w:rPr>
          <w:rFonts w:asciiTheme="minorHAnsi" w:hAnsiTheme="minorHAnsi"/>
        </w:rPr>
        <w:t xml:space="preserve">set out in </w:t>
      </w:r>
      <w:r w:rsidR="004C7568">
        <w:rPr>
          <w:rFonts w:asciiTheme="minorHAnsi" w:hAnsiTheme="minorHAnsi"/>
        </w:rPr>
        <w:t xml:space="preserve">that sub-section.  </w:t>
      </w:r>
    </w:p>
    <w:p w14:paraId="61CB275F" w14:textId="77777777" w:rsidR="004C7568" w:rsidRPr="004C7568" w:rsidRDefault="004C7568" w:rsidP="004C7568">
      <w:pPr>
        <w:spacing w:line="276" w:lineRule="auto"/>
        <w:ind w:right="28"/>
        <w:rPr>
          <w:rFonts w:asciiTheme="minorHAnsi" w:hAnsiTheme="minorHAnsi"/>
        </w:rPr>
      </w:pPr>
    </w:p>
    <w:p w14:paraId="75935D04" w14:textId="288322DA" w:rsidR="00973BAC" w:rsidRDefault="004C7568"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to the applicable criteria, see “</w:t>
      </w:r>
      <w:r>
        <w:rPr>
          <w:rFonts w:asciiTheme="minorHAnsi" w:hAnsiTheme="minorHAnsi"/>
        </w:rPr>
        <w:fldChar w:fldCharType="begin"/>
      </w:r>
      <w:r>
        <w:rPr>
          <w:rFonts w:asciiTheme="minorHAnsi" w:hAnsiTheme="minorHAnsi"/>
        </w:rPr>
        <w:instrText xml:space="preserve"> REF _Ref492831680 \r \h </w:instrText>
      </w:r>
      <w:r>
        <w:rPr>
          <w:rFonts w:asciiTheme="minorHAnsi" w:hAnsiTheme="minorHAnsi"/>
        </w:rPr>
      </w:r>
      <w:r>
        <w:rPr>
          <w:rFonts w:asciiTheme="minorHAnsi" w:hAnsiTheme="minorHAnsi"/>
        </w:rPr>
        <w:fldChar w:fldCharType="separate"/>
      </w:r>
      <w:r w:rsidR="00D44BCF">
        <w:rPr>
          <w:rFonts w:asciiTheme="minorHAnsi" w:hAnsiTheme="minorHAnsi"/>
        </w:rPr>
        <w:t>5.4.1</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_Ref492831689 \h </w:instrText>
      </w:r>
      <w:r w:rsidR="005930DF">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The 2-stage process</w:t>
      </w:r>
      <w:r>
        <w:rPr>
          <w:rFonts w:asciiTheme="minorHAnsi" w:hAnsiTheme="minorHAnsi"/>
        </w:rPr>
        <w:fldChar w:fldCharType="end"/>
      </w:r>
      <w:r>
        <w:rPr>
          <w:rFonts w:asciiTheme="minorHAnsi" w:hAnsiTheme="minorHAnsi"/>
        </w:rPr>
        <w:t>”.</w:t>
      </w:r>
    </w:p>
    <w:p w14:paraId="2ECD99F5" w14:textId="77777777" w:rsidR="00912992" w:rsidRPr="00912992" w:rsidRDefault="00912992" w:rsidP="00912992">
      <w:pPr>
        <w:pStyle w:val="ListParagraph"/>
        <w:rPr>
          <w:rFonts w:asciiTheme="minorHAnsi" w:hAnsiTheme="minorHAnsi"/>
        </w:rPr>
      </w:pPr>
    </w:p>
    <w:p w14:paraId="7DB54965" w14:textId="5C1E6A9E" w:rsidR="00912992" w:rsidRDefault="0091299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dismissal of a charge under s 19B cannot be subject to any conditions.</w:t>
      </w:r>
      <w:r w:rsidRPr="00C00000">
        <w:rPr>
          <w:rStyle w:val="Style"/>
          <w:rFonts w:asciiTheme="minorHAnsi" w:hAnsiTheme="minorHAnsi"/>
        </w:rPr>
        <w:footnoteReference w:id="580"/>
      </w:r>
    </w:p>
    <w:p w14:paraId="119DD863" w14:textId="77777777" w:rsidR="001A6C72" w:rsidRPr="001A6C72" w:rsidRDefault="001A6C72" w:rsidP="001A6C72">
      <w:pPr>
        <w:pStyle w:val="ListParagraph"/>
        <w:rPr>
          <w:rFonts w:asciiTheme="minorHAnsi" w:hAnsiTheme="minorHAnsi"/>
        </w:rPr>
      </w:pPr>
    </w:p>
    <w:p w14:paraId="15ED0F89" w14:textId="229380A3" w:rsidR="001A6C72" w:rsidRDefault="001A6C72">
      <w:pPr>
        <w:rPr>
          <w:rFonts w:asciiTheme="minorHAnsi" w:hAnsiTheme="minorHAnsi"/>
        </w:rPr>
      </w:pPr>
      <w:r>
        <w:rPr>
          <w:rFonts w:asciiTheme="minorHAnsi" w:hAnsiTheme="minorHAnsi"/>
        </w:rPr>
        <w:br w:type="page"/>
      </w:r>
    </w:p>
    <w:p w14:paraId="6F442594" w14:textId="77777777" w:rsidR="00235C5E" w:rsidRPr="00C00000" w:rsidRDefault="00235C5E" w:rsidP="007C11C2">
      <w:pPr>
        <w:spacing w:line="276" w:lineRule="auto"/>
        <w:ind w:left="153"/>
        <w:rPr>
          <w:rFonts w:asciiTheme="minorHAnsi" w:hAnsiTheme="minorHAnsi"/>
        </w:rPr>
      </w:pPr>
    </w:p>
    <w:p w14:paraId="246282B9" w14:textId="31BA1711" w:rsidR="008E5DEA" w:rsidRDefault="00533177" w:rsidP="001F7E6F">
      <w:pPr>
        <w:pStyle w:val="Heading2"/>
      </w:pPr>
      <w:bookmarkStart w:id="1543" w:name="_Toc33602820"/>
      <w:r w:rsidRPr="00C00000">
        <w:t xml:space="preserve">Bond without conviction – </w:t>
      </w:r>
      <w:r w:rsidR="00885EFD" w:rsidRPr="00885EFD">
        <w:rPr>
          <w:i/>
        </w:rPr>
        <w:t>Crimes Act 1914</w:t>
      </w:r>
      <w:r w:rsidR="00DA5BD4">
        <w:t xml:space="preserve">, </w:t>
      </w:r>
      <w:r w:rsidR="004051F2" w:rsidRPr="00C00000">
        <w:t xml:space="preserve">s </w:t>
      </w:r>
      <w:r w:rsidRPr="00C00000">
        <w:t>19B</w:t>
      </w:r>
      <w:bookmarkEnd w:id="1543"/>
      <w:r w:rsidRPr="00C00000">
        <w:t xml:space="preserve"> </w:t>
      </w:r>
    </w:p>
    <w:p w14:paraId="723DB2AB" w14:textId="77777777" w:rsidR="00533177" w:rsidRPr="00C00000" w:rsidRDefault="00533177" w:rsidP="001F7E6F">
      <w:pPr>
        <w:pStyle w:val="NormalIndent"/>
        <w:keepNext/>
        <w:spacing w:line="276" w:lineRule="auto"/>
        <w:ind w:hanging="567"/>
        <w:rPr>
          <w:rFonts w:asciiTheme="minorHAnsi" w:hAnsiTheme="minorHAnsi"/>
        </w:rPr>
      </w:pPr>
    </w:p>
    <w:p w14:paraId="5E6B5BAA" w14:textId="5CEA20D2" w:rsidR="004C7568" w:rsidRDefault="006904E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19B of the </w:t>
      </w:r>
      <w:r w:rsidR="00885EFD" w:rsidRPr="00885EFD">
        <w:rPr>
          <w:rFonts w:asciiTheme="minorHAnsi" w:hAnsiTheme="minorHAnsi"/>
          <w:i/>
        </w:rPr>
        <w:t>Crimes Act 1914</w:t>
      </w:r>
      <w:r>
        <w:rPr>
          <w:rFonts w:asciiTheme="minorHAnsi" w:hAnsiTheme="minorHAnsi"/>
        </w:rPr>
        <w:t xml:space="preserve"> (Cth) </w:t>
      </w:r>
      <w:r w:rsidR="004C7568">
        <w:rPr>
          <w:rFonts w:asciiTheme="minorHAnsi" w:hAnsiTheme="minorHAnsi"/>
        </w:rPr>
        <w:t xml:space="preserve">empowers a court to discharge without conviction a person charged with one or more federal offences, </w:t>
      </w:r>
      <w:r w:rsidR="005275B2">
        <w:rPr>
          <w:rFonts w:asciiTheme="minorHAnsi" w:hAnsiTheme="minorHAnsi"/>
        </w:rPr>
        <w:t xml:space="preserve">where the charge is proved, </w:t>
      </w:r>
      <w:r w:rsidR="004C7568" w:rsidRPr="004C7568">
        <w:rPr>
          <w:rFonts w:asciiTheme="minorHAnsi" w:hAnsiTheme="minorHAnsi"/>
        </w:rPr>
        <w:t xml:space="preserve">upon </w:t>
      </w:r>
      <w:r w:rsidR="004C7568">
        <w:rPr>
          <w:rFonts w:asciiTheme="minorHAnsi" w:hAnsiTheme="minorHAnsi"/>
        </w:rPr>
        <w:t>the person</w:t>
      </w:r>
      <w:r w:rsidR="004C7568" w:rsidRPr="004C7568">
        <w:rPr>
          <w:rFonts w:asciiTheme="minorHAnsi" w:hAnsiTheme="minorHAnsi"/>
        </w:rPr>
        <w:t xml:space="preserve"> giving security, with or without sureties, by recognizance or otherwise, to the satisfaction of the court, that he or she will comply with </w:t>
      </w:r>
      <w:r w:rsidR="00E3193D">
        <w:rPr>
          <w:rFonts w:asciiTheme="minorHAnsi" w:hAnsiTheme="minorHAnsi"/>
        </w:rPr>
        <w:t xml:space="preserve">specified </w:t>
      </w:r>
      <w:r w:rsidR="004C7568" w:rsidRPr="004C7568">
        <w:rPr>
          <w:rFonts w:asciiTheme="minorHAnsi" w:hAnsiTheme="minorHAnsi"/>
        </w:rPr>
        <w:t>conditions</w:t>
      </w:r>
      <w:r w:rsidR="00E3193D">
        <w:rPr>
          <w:rFonts w:asciiTheme="minorHAnsi" w:hAnsiTheme="minorHAnsi"/>
        </w:rPr>
        <w:t>.</w:t>
      </w:r>
    </w:p>
    <w:p w14:paraId="2037156A" w14:textId="77777777" w:rsidR="00B51B4F" w:rsidRPr="00B51B4F" w:rsidRDefault="00B51B4F" w:rsidP="00B51B4F">
      <w:pPr>
        <w:spacing w:line="276" w:lineRule="auto"/>
        <w:ind w:right="28"/>
        <w:rPr>
          <w:rFonts w:asciiTheme="minorHAnsi" w:hAnsiTheme="minorHAnsi"/>
        </w:rPr>
      </w:pPr>
    </w:p>
    <w:p w14:paraId="17ABB836" w14:textId="0FCACDCB" w:rsidR="00B51B4F" w:rsidRDefault="00B51B4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section requires that the person give “</w:t>
      </w:r>
      <w:r w:rsidRPr="00B51B4F">
        <w:rPr>
          <w:rFonts w:asciiTheme="minorHAnsi" w:hAnsiTheme="minorHAnsi"/>
          <w:i/>
        </w:rPr>
        <w:t>security … by recognizance or otherwise</w:t>
      </w:r>
      <w:r>
        <w:rPr>
          <w:rFonts w:asciiTheme="minorHAnsi" w:hAnsiTheme="minorHAnsi"/>
        </w:rPr>
        <w:t>”.  In practice, security is invariably given by recognizance</w:t>
      </w:r>
      <w:r w:rsidR="00965636">
        <w:rPr>
          <w:rFonts w:asciiTheme="minorHAnsi" w:hAnsiTheme="minorHAnsi"/>
        </w:rPr>
        <w:t xml:space="preserve"> (that is, a bond)</w:t>
      </w:r>
      <w:r>
        <w:rPr>
          <w:rFonts w:asciiTheme="minorHAnsi" w:hAnsiTheme="minorHAnsi"/>
        </w:rPr>
        <w:t>, and such an order is therefore commonly referred to as a s 19B bond.</w:t>
      </w:r>
    </w:p>
    <w:p w14:paraId="54DAC0E5" w14:textId="77777777" w:rsidR="00E3193D" w:rsidRPr="00E3193D" w:rsidRDefault="00E3193D" w:rsidP="00E3193D">
      <w:pPr>
        <w:spacing w:line="276" w:lineRule="auto"/>
        <w:ind w:right="28"/>
        <w:rPr>
          <w:rFonts w:asciiTheme="minorHAnsi" w:hAnsiTheme="minorHAnsi"/>
        </w:rPr>
      </w:pPr>
    </w:p>
    <w:p w14:paraId="5FE16420" w14:textId="27F97631" w:rsidR="00A02359" w:rsidRPr="00EC2A6E" w:rsidRDefault="00A02359" w:rsidP="001F7E6F">
      <w:pPr>
        <w:pStyle w:val="Heading3"/>
      </w:pPr>
      <w:bookmarkStart w:id="1544" w:name="_Toc11692738"/>
      <w:bookmarkStart w:id="1545" w:name="_Toc11773244"/>
      <w:bookmarkStart w:id="1546" w:name="_Toc11827046"/>
      <w:bookmarkStart w:id="1547" w:name="_Toc11833754"/>
      <w:bookmarkStart w:id="1548" w:name="_Toc11848149"/>
      <w:bookmarkStart w:id="1549" w:name="_Toc11851806"/>
      <w:bookmarkStart w:id="1550" w:name="_Toc12608639"/>
      <w:bookmarkStart w:id="1551" w:name="_Toc12706594"/>
      <w:bookmarkStart w:id="1552" w:name="_Toc12860530"/>
      <w:bookmarkStart w:id="1553" w:name="_Toc12862099"/>
      <w:bookmarkStart w:id="1554" w:name="_Toc12864145"/>
      <w:bookmarkStart w:id="1555" w:name="_Toc13551694"/>
      <w:bookmarkStart w:id="1556" w:name="_Toc13737471"/>
      <w:bookmarkStart w:id="1557" w:name="_Toc13737886"/>
      <w:bookmarkStart w:id="1558" w:name="_Toc25308444"/>
      <w:bookmarkStart w:id="1559" w:name="_Toc11583336"/>
      <w:bookmarkStart w:id="1560" w:name="_Toc11692739"/>
      <w:bookmarkStart w:id="1561" w:name="_Toc11773245"/>
      <w:bookmarkStart w:id="1562" w:name="_Toc11827047"/>
      <w:bookmarkStart w:id="1563" w:name="_Toc11833755"/>
      <w:bookmarkStart w:id="1564" w:name="_Toc11848150"/>
      <w:bookmarkStart w:id="1565" w:name="_Toc11851807"/>
      <w:bookmarkStart w:id="1566" w:name="_Toc12608640"/>
      <w:bookmarkStart w:id="1567" w:name="_Toc12706595"/>
      <w:bookmarkStart w:id="1568" w:name="_Toc12860531"/>
      <w:bookmarkStart w:id="1569" w:name="_Toc12862100"/>
      <w:bookmarkStart w:id="1570" w:name="_Toc12864146"/>
      <w:bookmarkStart w:id="1571" w:name="_Toc13551695"/>
      <w:bookmarkStart w:id="1572" w:name="_Toc13737472"/>
      <w:bookmarkStart w:id="1573" w:name="_Toc13737887"/>
      <w:bookmarkStart w:id="1574" w:name="_Toc25308445"/>
      <w:bookmarkStart w:id="1575" w:name="_Ref11583579"/>
      <w:bookmarkStart w:id="1576" w:name="_Ref11583580"/>
      <w:bookmarkStart w:id="1577" w:name="_Ref492831680"/>
      <w:bookmarkStart w:id="1578" w:name="_Ref492831689"/>
      <w:bookmarkStart w:id="1579" w:name="_Toc33602821"/>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r w:rsidRPr="00EC2A6E">
        <w:t xml:space="preserve">The 2-stage </w:t>
      </w:r>
      <w:r w:rsidR="0078465F" w:rsidRPr="00EC2A6E">
        <w:t>process</w:t>
      </w:r>
      <w:bookmarkEnd w:id="1575"/>
      <w:bookmarkEnd w:id="1576"/>
      <w:bookmarkEnd w:id="1577"/>
      <w:bookmarkEnd w:id="1578"/>
      <w:bookmarkEnd w:id="1579"/>
    </w:p>
    <w:p w14:paraId="00A2BA94" w14:textId="77777777" w:rsidR="00B51B4F" w:rsidRPr="00EC2A6E" w:rsidRDefault="00B51B4F" w:rsidP="001F7E6F">
      <w:pPr>
        <w:pStyle w:val="NormalIndent"/>
        <w:keepNext/>
        <w:rPr>
          <w:rFonts w:ascii="Calibri" w:hAnsi="Calibri"/>
        </w:rPr>
      </w:pPr>
    </w:p>
    <w:p w14:paraId="7EE2FBF0" w14:textId="0F9436FC" w:rsidR="00E3193D" w:rsidRPr="00EC2A6E" w:rsidRDefault="0038668C"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The criteria for making an order under s 19B</w:t>
      </w:r>
      <w:r w:rsidR="00124AF7" w:rsidRPr="00EC2A6E">
        <w:rPr>
          <w:rFonts w:asciiTheme="minorHAnsi" w:hAnsiTheme="minorHAnsi"/>
        </w:rPr>
        <w:t>(1)</w:t>
      </w:r>
      <w:r w:rsidRPr="00EC2A6E">
        <w:rPr>
          <w:rFonts w:asciiTheme="minorHAnsi" w:hAnsiTheme="minorHAnsi"/>
        </w:rPr>
        <w:t xml:space="preserve"> of the </w:t>
      </w:r>
      <w:r w:rsidRPr="00EC2A6E">
        <w:rPr>
          <w:rFonts w:asciiTheme="minorHAnsi" w:hAnsiTheme="minorHAnsi"/>
          <w:i/>
          <w:iCs/>
        </w:rPr>
        <w:t xml:space="preserve">Crimes Act </w:t>
      </w:r>
      <w:r w:rsidR="0012394E" w:rsidRPr="00EC2A6E">
        <w:rPr>
          <w:rFonts w:asciiTheme="minorHAnsi" w:hAnsiTheme="minorHAnsi"/>
          <w:i/>
          <w:iCs/>
        </w:rPr>
        <w:t>1914</w:t>
      </w:r>
      <w:r w:rsidR="0012394E" w:rsidRPr="00EC2A6E">
        <w:rPr>
          <w:rFonts w:asciiTheme="minorHAnsi" w:hAnsiTheme="minorHAnsi"/>
        </w:rPr>
        <w:t xml:space="preserve"> </w:t>
      </w:r>
      <w:r w:rsidRPr="00EC2A6E">
        <w:rPr>
          <w:rFonts w:asciiTheme="minorHAnsi" w:hAnsiTheme="minorHAnsi"/>
        </w:rPr>
        <w:t xml:space="preserve">are set out in the section. </w:t>
      </w:r>
      <w:r w:rsidR="00E3193D" w:rsidRPr="00EC2A6E">
        <w:rPr>
          <w:rFonts w:asciiTheme="minorHAnsi" w:hAnsiTheme="minorHAnsi"/>
        </w:rPr>
        <w:t xml:space="preserve"> </w:t>
      </w:r>
      <w:r w:rsidR="00124AF7" w:rsidRPr="00EC2A6E">
        <w:rPr>
          <w:rFonts w:asciiTheme="minorHAnsi" w:hAnsiTheme="minorHAnsi"/>
        </w:rPr>
        <w:t>It provides that t</w:t>
      </w:r>
      <w:r w:rsidRPr="00EC2A6E">
        <w:rPr>
          <w:rFonts w:asciiTheme="minorHAnsi" w:hAnsiTheme="minorHAnsi"/>
        </w:rPr>
        <w:t>he court may make such an order where—</w:t>
      </w:r>
    </w:p>
    <w:p w14:paraId="0E859E86" w14:textId="50AD4839" w:rsidR="005275B2" w:rsidRPr="00EC2A6E" w:rsidRDefault="005275B2" w:rsidP="00EB7F1E">
      <w:pPr>
        <w:pStyle w:val="ListParagraph"/>
        <w:spacing w:line="276" w:lineRule="auto"/>
        <w:ind w:left="1276" w:right="28" w:hanging="425"/>
        <w:rPr>
          <w:rFonts w:asciiTheme="minorHAnsi" w:hAnsiTheme="minorHAnsi"/>
          <w:i/>
        </w:rPr>
      </w:pPr>
      <w:r w:rsidRPr="00EC2A6E">
        <w:rPr>
          <w:rFonts w:asciiTheme="minorHAnsi" w:hAnsiTheme="minorHAnsi"/>
          <w:i/>
        </w:rPr>
        <w:t>(a)</w:t>
      </w:r>
      <w:r w:rsidRPr="00EC2A6E">
        <w:rPr>
          <w:rFonts w:asciiTheme="minorHAnsi" w:hAnsiTheme="minorHAnsi"/>
          <w:i/>
        </w:rPr>
        <w:tab/>
        <w:t>a person is charged before a court with a federal offence or federal offences; and</w:t>
      </w:r>
    </w:p>
    <w:p w14:paraId="64E822A4" w14:textId="769BEFCE" w:rsidR="00E3193D" w:rsidRPr="00EC2A6E" w:rsidRDefault="005275B2" w:rsidP="005275B2">
      <w:pPr>
        <w:pStyle w:val="ListParagraph"/>
        <w:spacing w:line="276" w:lineRule="auto"/>
        <w:ind w:left="1276" w:right="28" w:hanging="425"/>
        <w:rPr>
          <w:rFonts w:asciiTheme="minorHAnsi" w:hAnsiTheme="minorHAnsi"/>
          <w:i/>
        </w:rPr>
      </w:pPr>
      <w:r w:rsidRPr="00EC2A6E">
        <w:rPr>
          <w:rFonts w:asciiTheme="minorHAnsi" w:hAnsiTheme="minorHAnsi"/>
          <w:i/>
        </w:rPr>
        <w:t>(b)</w:t>
      </w:r>
      <w:r w:rsidRPr="00EC2A6E">
        <w:rPr>
          <w:rFonts w:asciiTheme="minorHAnsi" w:hAnsiTheme="minorHAnsi"/>
          <w:i/>
        </w:rPr>
        <w:tab/>
      </w:r>
      <w:r w:rsidR="00E3193D" w:rsidRPr="00EC2A6E">
        <w:rPr>
          <w:rFonts w:asciiTheme="minorHAnsi" w:hAnsiTheme="minorHAnsi"/>
          <w:i/>
        </w:rPr>
        <w:t>the court is satisfied, in respect of that charge or more than one of those charges, that the charge is proved, but is of the opinion, having regard to:</w:t>
      </w:r>
    </w:p>
    <w:p w14:paraId="3885E28B" w14:textId="2D2AF99D" w:rsidR="00E3193D" w:rsidRPr="00EC2A6E" w:rsidRDefault="00124AF7" w:rsidP="00EB7F1E">
      <w:pPr>
        <w:spacing w:line="276" w:lineRule="auto"/>
        <w:ind w:left="1701" w:right="28" w:hanging="425"/>
        <w:rPr>
          <w:rFonts w:asciiTheme="minorHAnsi" w:hAnsiTheme="minorHAnsi"/>
          <w:i/>
        </w:rPr>
      </w:pPr>
      <w:r w:rsidRPr="00EC2A6E">
        <w:rPr>
          <w:rFonts w:asciiTheme="minorHAnsi" w:hAnsiTheme="minorHAnsi"/>
          <w:i/>
        </w:rPr>
        <w:t>(i)</w:t>
      </w:r>
      <w:r w:rsidRPr="00EC2A6E">
        <w:rPr>
          <w:rFonts w:asciiTheme="minorHAnsi" w:hAnsiTheme="minorHAnsi"/>
          <w:i/>
        </w:rPr>
        <w:tab/>
      </w:r>
      <w:r w:rsidR="00E3193D" w:rsidRPr="00EC2A6E">
        <w:rPr>
          <w:rFonts w:asciiTheme="minorHAnsi" w:hAnsiTheme="minorHAnsi"/>
          <w:i/>
        </w:rPr>
        <w:t xml:space="preserve">the character, antecedents, </w:t>
      </w:r>
      <w:r w:rsidR="00E3193D" w:rsidRPr="00EC2A6E">
        <w:rPr>
          <w:rFonts w:asciiTheme="minorHAnsi" w:hAnsiTheme="minorHAnsi"/>
          <w:i/>
          <w:strike/>
        </w:rPr>
        <w:t>cultural background</w:t>
      </w:r>
      <w:r w:rsidR="00E3193D" w:rsidRPr="00EC2A6E">
        <w:rPr>
          <w:rFonts w:asciiTheme="minorHAnsi" w:hAnsiTheme="minorHAnsi"/>
          <w:i/>
        </w:rPr>
        <w:t xml:space="preserve"> [deleted in December 2006], age, health or mental condition of the person;</w:t>
      </w:r>
    </w:p>
    <w:p w14:paraId="4A7EDB4E" w14:textId="6FB17C29" w:rsidR="00E3193D" w:rsidRPr="00EC2A6E" w:rsidRDefault="00124AF7" w:rsidP="00EB7F1E">
      <w:pPr>
        <w:spacing w:line="276" w:lineRule="auto"/>
        <w:ind w:left="1701" w:right="28" w:hanging="425"/>
        <w:rPr>
          <w:rFonts w:asciiTheme="minorHAnsi" w:hAnsiTheme="minorHAnsi"/>
          <w:i/>
        </w:rPr>
      </w:pPr>
      <w:r w:rsidRPr="00EC2A6E">
        <w:rPr>
          <w:rFonts w:asciiTheme="minorHAnsi" w:hAnsiTheme="minorHAnsi"/>
          <w:i/>
        </w:rPr>
        <w:t>(ii)</w:t>
      </w:r>
      <w:r w:rsidRPr="00EC2A6E">
        <w:rPr>
          <w:rFonts w:asciiTheme="minorHAnsi" w:hAnsiTheme="minorHAnsi"/>
          <w:i/>
        </w:rPr>
        <w:tab/>
      </w:r>
      <w:r w:rsidR="00E3193D" w:rsidRPr="00EC2A6E">
        <w:rPr>
          <w:rFonts w:asciiTheme="minorHAnsi" w:hAnsiTheme="minorHAnsi"/>
          <w:i/>
        </w:rPr>
        <w:t>the extent (if any) to which the offence is of a trivial nature; or</w:t>
      </w:r>
    </w:p>
    <w:p w14:paraId="2318CCA3" w14:textId="561357CC" w:rsidR="00E3193D" w:rsidRPr="00EC2A6E" w:rsidRDefault="00124AF7" w:rsidP="00EB7F1E">
      <w:pPr>
        <w:spacing w:line="276" w:lineRule="auto"/>
        <w:ind w:left="1701" w:right="28" w:hanging="425"/>
        <w:rPr>
          <w:rFonts w:asciiTheme="minorHAnsi" w:hAnsiTheme="minorHAnsi"/>
          <w:i/>
        </w:rPr>
      </w:pPr>
      <w:r w:rsidRPr="00EC2A6E">
        <w:rPr>
          <w:rFonts w:asciiTheme="minorHAnsi" w:hAnsiTheme="minorHAnsi"/>
          <w:i/>
        </w:rPr>
        <w:t>(iii)</w:t>
      </w:r>
      <w:r w:rsidRPr="00EC2A6E">
        <w:rPr>
          <w:rFonts w:asciiTheme="minorHAnsi" w:hAnsiTheme="minorHAnsi"/>
          <w:i/>
        </w:rPr>
        <w:tab/>
      </w:r>
      <w:r w:rsidR="00E3193D" w:rsidRPr="00EC2A6E">
        <w:rPr>
          <w:rFonts w:asciiTheme="minorHAnsi" w:hAnsiTheme="minorHAnsi"/>
          <w:i/>
        </w:rPr>
        <w:t>the extent (if any) to which the offence was committed under extenuating circumstances</w:t>
      </w:r>
      <w:r w:rsidR="00230B98" w:rsidRPr="00EC2A6E">
        <w:rPr>
          <w:rFonts w:asciiTheme="minorHAnsi" w:hAnsiTheme="minorHAnsi"/>
          <w:i/>
        </w:rPr>
        <w:t>;</w:t>
      </w:r>
    </w:p>
    <w:p w14:paraId="0B4A260C" w14:textId="32B991D6" w:rsidR="00E3193D" w:rsidRPr="00EC2A6E" w:rsidRDefault="00E3193D" w:rsidP="00124AF7">
      <w:pPr>
        <w:pStyle w:val="ListParagraph"/>
        <w:spacing w:line="276" w:lineRule="auto"/>
        <w:ind w:left="1276" w:right="28"/>
        <w:rPr>
          <w:rFonts w:asciiTheme="minorHAnsi" w:hAnsiTheme="minorHAnsi"/>
          <w:i/>
        </w:rPr>
      </w:pPr>
      <w:r w:rsidRPr="00EC2A6E">
        <w:rPr>
          <w:rFonts w:asciiTheme="minorHAnsi" w:hAnsiTheme="minorHAnsi"/>
          <w:i/>
        </w:rPr>
        <w:t>that it is inexpedient to inflict any punishment or to inflict any punishment other than a nominal punishment, or that it is expedient to release the offender on probation</w:t>
      </w:r>
      <w:r w:rsidR="0038668C" w:rsidRPr="00EC2A6E">
        <w:rPr>
          <w:rFonts w:asciiTheme="minorHAnsi" w:hAnsiTheme="minorHAnsi"/>
          <w:i/>
        </w:rPr>
        <w:t xml:space="preserve"> …</w:t>
      </w:r>
    </w:p>
    <w:p w14:paraId="36C2CF18" w14:textId="21EA6E29" w:rsidR="00E3193D" w:rsidRPr="00EC2A6E" w:rsidRDefault="00E3193D" w:rsidP="00E3193D">
      <w:pPr>
        <w:spacing w:line="276" w:lineRule="auto"/>
        <w:ind w:right="28"/>
        <w:rPr>
          <w:rFonts w:asciiTheme="minorHAnsi" w:hAnsiTheme="minorHAnsi"/>
        </w:rPr>
      </w:pPr>
    </w:p>
    <w:p w14:paraId="6FD2E798" w14:textId="77777777" w:rsidR="0038668C" w:rsidRPr="00EC2A6E" w:rsidRDefault="00A02359"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The discretion conferred on a sentencer by s 19B has been held to consist of two stages.</w:t>
      </w:r>
      <w:r w:rsidRPr="00EC2A6E">
        <w:rPr>
          <w:rStyle w:val="Style"/>
          <w:rFonts w:asciiTheme="minorHAnsi" w:hAnsiTheme="minorHAnsi"/>
        </w:rPr>
        <w:footnoteReference w:id="581"/>
      </w:r>
      <w:r w:rsidRPr="00EC2A6E">
        <w:rPr>
          <w:rFonts w:asciiTheme="minorHAnsi" w:hAnsiTheme="minorHAnsi"/>
        </w:rPr>
        <w:t xml:space="preserve"> </w:t>
      </w:r>
    </w:p>
    <w:p w14:paraId="1A5EDB32" w14:textId="440E21EA" w:rsidR="00A02359" w:rsidRPr="00EC2A6E" w:rsidRDefault="00A02359" w:rsidP="0047266C">
      <w:pPr>
        <w:pStyle w:val="ListParagraph"/>
        <w:numPr>
          <w:ilvl w:val="0"/>
          <w:numId w:val="23"/>
        </w:numPr>
        <w:spacing w:line="276" w:lineRule="auto"/>
        <w:ind w:right="28"/>
        <w:rPr>
          <w:rFonts w:asciiTheme="minorHAnsi" w:hAnsiTheme="minorHAnsi"/>
        </w:rPr>
      </w:pPr>
      <w:r w:rsidRPr="00EC2A6E">
        <w:rPr>
          <w:rFonts w:asciiTheme="minorHAnsi" w:hAnsiTheme="minorHAnsi"/>
        </w:rPr>
        <w:t>First</w:t>
      </w:r>
      <w:r w:rsidR="00230B98" w:rsidRPr="00EC2A6E">
        <w:rPr>
          <w:rFonts w:asciiTheme="minorHAnsi" w:hAnsiTheme="minorHAnsi"/>
        </w:rPr>
        <w:t>,</w:t>
      </w:r>
      <w:r w:rsidRPr="00EC2A6E">
        <w:rPr>
          <w:rFonts w:asciiTheme="minorHAnsi" w:hAnsiTheme="minorHAnsi"/>
        </w:rPr>
        <w:t xml:space="preserve"> one or more of the factors specified in s 19B(1)(b)(i), (ii) or (iii) must be identified.</w:t>
      </w:r>
    </w:p>
    <w:p w14:paraId="12997D5D" w14:textId="3C893407" w:rsidR="00A02359" w:rsidRPr="00EC2A6E" w:rsidRDefault="00230B98" w:rsidP="0047266C">
      <w:pPr>
        <w:pStyle w:val="ListParagraph"/>
        <w:numPr>
          <w:ilvl w:val="0"/>
          <w:numId w:val="23"/>
        </w:numPr>
        <w:spacing w:line="276" w:lineRule="auto"/>
        <w:ind w:right="28"/>
        <w:rPr>
          <w:rFonts w:asciiTheme="minorHAnsi" w:hAnsiTheme="minorHAnsi"/>
        </w:rPr>
      </w:pPr>
      <w:r w:rsidRPr="00EC2A6E">
        <w:rPr>
          <w:rFonts w:asciiTheme="minorHAnsi" w:hAnsiTheme="minorHAnsi"/>
        </w:rPr>
        <w:t xml:space="preserve">Second, </w:t>
      </w:r>
      <w:r w:rsidR="00A02359" w:rsidRPr="00EC2A6E">
        <w:rPr>
          <w:rFonts w:asciiTheme="minorHAnsi" w:hAnsiTheme="minorHAnsi"/>
        </w:rPr>
        <w:t>consider</w:t>
      </w:r>
      <w:r w:rsidRPr="00EC2A6E">
        <w:rPr>
          <w:rFonts w:asciiTheme="minorHAnsi" w:hAnsiTheme="minorHAnsi"/>
        </w:rPr>
        <w:t>ation must be given to</w:t>
      </w:r>
      <w:r w:rsidR="00A02359" w:rsidRPr="00EC2A6E">
        <w:rPr>
          <w:rFonts w:asciiTheme="minorHAnsi" w:hAnsiTheme="minorHAnsi"/>
        </w:rPr>
        <w:t xml:space="preserve"> whether, in light of that factor or factors and taking into account the principles and matters specified in s 16A of the Act, “</w:t>
      </w:r>
      <w:r w:rsidR="00A02359" w:rsidRPr="00EC2A6E">
        <w:rPr>
          <w:rFonts w:asciiTheme="minorHAnsi" w:hAnsiTheme="minorHAnsi"/>
          <w:i/>
          <w:iCs/>
        </w:rPr>
        <w:t>it is inexpedient to inflict any punishment, or to inflict any punishment other than a nominal punishment</w:t>
      </w:r>
      <w:r w:rsidR="007E246C" w:rsidRPr="00EC2A6E">
        <w:rPr>
          <w:rFonts w:asciiTheme="minorHAnsi" w:hAnsiTheme="minorHAnsi"/>
          <w:i/>
        </w:rPr>
        <w:t>, or that it is expedient to release the offender on probation</w:t>
      </w:r>
      <w:r w:rsidR="00A02359" w:rsidRPr="00EC2A6E">
        <w:rPr>
          <w:rFonts w:asciiTheme="minorHAnsi" w:hAnsiTheme="minorHAnsi"/>
        </w:rPr>
        <w:t>”.</w:t>
      </w:r>
    </w:p>
    <w:p w14:paraId="256B1CF9" w14:textId="77777777" w:rsidR="00A02359" w:rsidRPr="00EC2A6E" w:rsidRDefault="00A02359" w:rsidP="00A02359">
      <w:pPr>
        <w:pStyle w:val="ListParagraph"/>
        <w:spacing w:line="276" w:lineRule="auto"/>
        <w:ind w:left="567" w:right="28" w:hanging="567"/>
        <w:rPr>
          <w:rFonts w:asciiTheme="minorHAnsi" w:hAnsiTheme="minorHAnsi"/>
        </w:rPr>
      </w:pPr>
    </w:p>
    <w:p w14:paraId="2B466BE1" w14:textId="49023EF6" w:rsidR="00A02359" w:rsidRPr="00EC2A6E" w:rsidRDefault="00A02359"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b/>
        </w:rPr>
        <w:t xml:space="preserve">First-stage </w:t>
      </w:r>
      <w:r w:rsidR="00F417E9" w:rsidRPr="00EC2A6E">
        <w:rPr>
          <w:rFonts w:asciiTheme="minorHAnsi" w:hAnsiTheme="minorHAnsi"/>
          <w:b/>
        </w:rPr>
        <w:t>consideration</w:t>
      </w:r>
      <w:r w:rsidRPr="00EC2A6E">
        <w:rPr>
          <w:rFonts w:asciiTheme="minorHAnsi" w:hAnsiTheme="minorHAnsi"/>
          <w:b/>
        </w:rPr>
        <w:t>:</w:t>
      </w:r>
      <w:r w:rsidRPr="00EC2A6E">
        <w:rPr>
          <w:rFonts w:asciiTheme="minorHAnsi" w:hAnsiTheme="minorHAnsi"/>
        </w:rPr>
        <w:t xml:space="preserve"> The first stage </w:t>
      </w:r>
      <w:r w:rsidR="00F417E9" w:rsidRPr="00EC2A6E">
        <w:rPr>
          <w:rFonts w:asciiTheme="minorHAnsi" w:hAnsiTheme="minorHAnsi"/>
        </w:rPr>
        <w:t xml:space="preserve">involves identification of one or more of the factors </w:t>
      </w:r>
      <w:r w:rsidRPr="00EC2A6E">
        <w:rPr>
          <w:rFonts w:asciiTheme="minorHAnsi" w:hAnsiTheme="minorHAnsi"/>
        </w:rPr>
        <w:t>set out in sub-paragraphs (i), (ii) or (iii) of s 19B(1)(b)</w:t>
      </w:r>
      <w:r w:rsidR="00F417E9" w:rsidRPr="00EC2A6E">
        <w:rPr>
          <w:rFonts w:asciiTheme="minorHAnsi" w:hAnsiTheme="minorHAnsi"/>
        </w:rPr>
        <w:t>.</w:t>
      </w:r>
      <w:r w:rsidRPr="00EC2A6E">
        <w:rPr>
          <w:rFonts w:asciiTheme="minorHAnsi" w:hAnsiTheme="minorHAnsi"/>
        </w:rPr>
        <w:t xml:space="preserve"> </w:t>
      </w:r>
      <w:r w:rsidR="00CE4FA3" w:rsidRPr="00EC2A6E">
        <w:rPr>
          <w:rFonts w:asciiTheme="minorHAnsi" w:hAnsiTheme="minorHAnsi"/>
        </w:rPr>
        <w:t xml:space="preserve"> The sub-paragraphs </w:t>
      </w:r>
      <w:r w:rsidRPr="00EC2A6E">
        <w:rPr>
          <w:rFonts w:asciiTheme="minorHAnsi" w:hAnsiTheme="minorHAnsi"/>
        </w:rPr>
        <w:t>are alternatives.</w:t>
      </w:r>
    </w:p>
    <w:p w14:paraId="481EE70F" w14:textId="77777777" w:rsidR="00A02359" w:rsidRPr="00EC2A6E" w:rsidRDefault="00A02359" w:rsidP="00A02359">
      <w:pPr>
        <w:spacing w:line="276" w:lineRule="auto"/>
        <w:ind w:right="28"/>
        <w:rPr>
          <w:rFonts w:asciiTheme="minorHAnsi" w:hAnsiTheme="minorHAnsi"/>
        </w:rPr>
      </w:pPr>
    </w:p>
    <w:p w14:paraId="518BAE20" w14:textId="78A05E2E" w:rsidR="00A02359" w:rsidRPr="00EC2A6E" w:rsidRDefault="00D12121" w:rsidP="00901174">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Sub-paragraph (i) refers to </w:t>
      </w:r>
      <w:r w:rsidR="00A02359" w:rsidRPr="00EC2A6E">
        <w:rPr>
          <w:rFonts w:asciiTheme="minorHAnsi" w:hAnsiTheme="minorHAnsi"/>
        </w:rPr>
        <w:t>“</w:t>
      </w:r>
      <w:r w:rsidR="00A02359" w:rsidRPr="00EC2A6E">
        <w:rPr>
          <w:rFonts w:asciiTheme="minorHAnsi" w:hAnsiTheme="minorHAnsi"/>
          <w:i/>
          <w:iCs/>
        </w:rPr>
        <w:t>the character, antecedents, age, health or mental condition</w:t>
      </w:r>
      <w:r w:rsidR="00A02359" w:rsidRPr="00EC2A6E">
        <w:rPr>
          <w:rFonts w:asciiTheme="minorHAnsi" w:hAnsiTheme="minorHAnsi"/>
        </w:rPr>
        <w:t>”</w:t>
      </w:r>
      <w:r w:rsidRPr="00EC2A6E">
        <w:rPr>
          <w:rFonts w:asciiTheme="minorHAnsi" w:hAnsiTheme="minorHAnsi"/>
        </w:rPr>
        <w:t xml:space="preserve"> of the person</w:t>
      </w:r>
      <w:r w:rsidR="00A02359" w:rsidRPr="00EC2A6E">
        <w:rPr>
          <w:rFonts w:asciiTheme="minorHAnsi" w:hAnsiTheme="minorHAnsi"/>
        </w:rPr>
        <w:t>.</w:t>
      </w:r>
      <w:r w:rsidR="004D0D93" w:rsidRPr="00EC2A6E">
        <w:rPr>
          <w:rStyle w:val="Style"/>
          <w:rFonts w:asciiTheme="minorHAnsi" w:hAnsiTheme="minorHAnsi"/>
        </w:rPr>
        <w:footnoteReference w:id="582"/>
      </w:r>
      <w:r w:rsidR="00A02359" w:rsidRPr="00EC2A6E">
        <w:rPr>
          <w:rFonts w:asciiTheme="minorHAnsi" w:hAnsiTheme="minorHAnsi"/>
        </w:rPr>
        <w:t xml:space="preserve"> </w:t>
      </w:r>
      <w:r w:rsidRPr="00EC2A6E">
        <w:rPr>
          <w:rFonts w:asciiTheme="minorHAnsi" w:hAnsiTheme="minorHAnsi"/>
        </w:rPr>
        <w:t xml:space="preserve"> </w:t>
      </w:r>
      <w:r w:rsidR="00230B98" w:rsidRPr="00EC2A6E">
        <w:rPr>
          <w:rFonts w:asciiTheme="minorHAnsi" w:hAnsiTheme="minorHAnsi"/>
        </w:rPr>
        <w:t>This reflects the considerations listed in s 16A(2)(m) of the Act: see “</w:t>
      </w:r>
      <w:r w:rsidR="00230B98" w:rsidRPr="00EC2A6E">
        <w:rPr>
          <w:rFonts w:asciiTheme="minorHAnsi" w:hAnsiTheme="minorHAnsi"/>
        </w:rPr>
        <w:fldChar w:fldCharType="begin"/>
      </w:r>
      <w:r w:rsidR="00230B98" w:rsidRPr="00EC2A6E">
        <w:rPr>
          <w:rFonts w:asciiTheme="minorHAnsi" w:hAnsiTheme="minorHAnsi"/>
        </w:rPr>
        <w:instrText xml:space="preserve"> REF _Ref507608389 \r  \* MERGEFORMAT </w:instrText>
      </w:r>
      <w:r w:rsidR="00230B98" w:rsidRPr="00EC2A6E">
        <w:rPr>
          <w:rFonts w:asciiTheme="minorHAnsi" w:hAnsiTheme="minorHAnsi"/>
        </w:rPr>
        <w:fldChar w:fldCharType="separate"/>
      </w:r>
      <w:r w:rsidR="00D44BCF">
        <w:rPr>
          <w:rFonts w:asciiTheme="minorHAnsi" w:hAnsiTheme="minorHAnsi"/>
        </w:rPr>
        <w:t>4.4.12</w:t>
      </w:r>
      <w:r w:rsidR="00230B98" w:rsidRPr="00EC2A6E">
        <w:rPr>
          <w:rFonts w:asciiTheme="minorHAnsi" w:hAnsiTheme="minorHAnsi"/>
        </w:rPr>
        <w:fldChar w:fldCharType="end"/>
      </w:r>
      <w:r w:rsidR="00230B98" w:rsidRPr="00EC2A6E">
        <w:rPr>
          <w:rFonts w:asciiTheme="minorHAnsi" w:hAnsiTheme="minorHAnsi"/>
        </w:rPr>
        <w:t xml:space="preserve"> </w:t>
      </w:r>
      <w:r w:rsidR="00230B98" w:rsidRPr="00EC2A6E">
        <w:rPr>
          <w:rFonts w:asciiTheme="minorHAnsi" w:hAnsiTheme="minorHAnsi"/>
        </w:rPr>
        <w:fldChar w:fldCharType="begin"/>
      </w:r>
      <w:r w:rsidR="00230B98" w:rsidRPr="00EC2A6E">
        <w:rPr>
          <w:rFonts w:asciiTheme="minorHAnsi" w:hAnsiTheme="minorHAnsi"/>
        </w:rPr>
        <w:instrText xml:space="preserve"> REF _Ref507608389  \* MERGEFORMAT </w:instrText>
      </w:r>
      <w:r w:rsidR="00230B98" w:rsidRPr="00EC2A6E">
        <w:rPr>
          <w:rFonts w:asciiTheme="minorHAnsi" w:hAnsiTheme="minorHAnsi"/>
        </w:rPr>
        <w:fldChar w:fldCharType="separate"/>
      </w:r>
      <w:r w:rsidR="00D44BCF" w:rsidRPr="00D44BCF">
        <w:rPr>
          <w:rFonts w:asciiTheme="minorHAnsi" w:hAnsiTheme="minorHAnsi"/>
        </w:rPr>
        <w:t>Character, antecedents, age, means, physical/mental condition – s 16A(2)(m)</w:t>
      </w:r>
      <w:r w:rsidR="00230B98" w:rsidRPr="00EC2A6E">
        <w:rPr>
          <w:rFonts w:asciiTheme="minorHAnsi" w:hAnsiTheme="minorHAnsi"/>
        </w:rPr>
        <w:fldChar w:fldCharType="end"/>
      </w:r>
      <w:r w:rsidR="00230B98" w:rsidRPr="00EC2A6E">
        <w:rPr>
          <w:rFonts w:asciiTheme="minorHAnsi" w:hAnsiTheme="minorHAnsi"/>
        </w:rPr>
        <w:t>”.</w:t>
      </w:r>
    </w:p>
    <w:p w14:paraId="7F463A9A" w14:textId="77777777" w:rsidR="002A1AF0" w:rsidRPr="00EC2A6E" w:rsidRDefault="002A1AF0" w:rsidP="00EB7F1E">
      <w:pPr>
        <w:pStyle w:val="ListParagraph"/>
        <w:rPr>
          <w:rFonts w:asciiTheme="minorHAnsi" w:hAnsiTheme="minorHAnsi"/>
        </w:rPr>
      </w:pPr>
    </w:p>
    <w:p w14:paraId="3079E1E1" w14:textId="0CECE825" w:rsidR="002A1AF0" w:rsidRPr="00EC2A6E" w:rsidRDefault="00162A16" w:rsidP="00901174">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The consequences which would flow from a conviction </w:t>
      </w:r>
      <w:r w:rsidR="001F3D29" w:rsidRPr="00EC2A6E">
        <w:rPr>
          <w:rFonts w:asciiTheme="minorHAnsi" w:hAnsiTheme="minorHAnsi"/>
        </w:rPr>
        <w:t>(</w:t>
      </w:r>
      <w:r w:rsidRPr="00EC2A6E">
        <w:rPr>
          <w:rFonts w:asciiTheme="minorHAnsi" w:hAnsiTheme="minorHAnsi"/>
        </w:rPr>
        <w:t xml:space="preserve">such as restrictions on </w:t>
      </w:r>
      <w:r w:rsidR="007D62B2" w:rsidRPr="00EC2A6E">
        <w:rPr>
          <w:rFonts w:asciiTheme="minorHAnsi" w:hAnsiTheme="minorHAnsi"/>
        </w:rPr>
        <w:t>entry into foreign countries</w:t>
      </w:r>
      <w:r w:rsidRPr="00EC2A6E">
        <w:rPr>
          <w:rFonts w:asciiTheme="minorHAnsi" w:hAnsiTheme="minorHAnsi"/>
        </w:rPr>
        <w:t xml:space="preserve"> or disqualification from being an officer of a corporation</w:t>
      </w:r>
      <w:r w:rsidR="001F3D29" w:rsidRPr="00EC2A6E">
        <w:rPr>
          <w:rFonts w:asciiTheme="minorHAnsi" w:hAnsiTheme="minorHAnsi"/>
        </w:rPr>
        <w:t>)</w:t>
      </w:r>
      <w:r w:rsidRPr="00EC2A6E">
        <w:rPr>
          <w:rFonts w:asciiTheme="minorHAnsi" w:hAnsiTheme="minorHAnsi"/>
        </w:rPr>
        <w:t xml:space="preserve"> do not form part of a person</w:t>
      </w:r>
      <w:r w:rsidR="00AA693C" w:rsidRPr="00EC2A6E">
        <w:rPr>
          <w:rFonts w:asciiTheme="minorHAnsi" w:hAnsiTheme="minorHAnsi"/>
        </w:rPr>
        <w:t>’</w:t>
      </w:r>
      <w:r w:rsidRPr="00EC2A6E">
        <w:rPr>
          <w:rFonts w:asciiTheme="minorHAnsi" w:hAnsiTheme="minorHAnsi"/>
        </w:rPr>
        <w:t>s antecedents.</w:t>
      </w:r>
      <w:r w:rsidR="001F3D29" w:rsidRPr="00EC2A6E">
        <w:rPr>
          <w:rStyle w:val="Style"/>
          <w:rFonts w:asciiTheme="minorHAnsi" w:hAnsiTheme="minorHAnsi"/>
        </w:rPr>
        <w:footnoteReference w:id="583"/>
      </w:r>
    </w:p>
    <w:p w14:paraId="3EA755EE" w14:textId="77777777" w:rsidR="00D12121" w:rsidRPr="00EC2A6E" w:rsidRDefault="00D12121" w:rsidP="00D12121">
      <w:pPr>
        <w:pStyle w:val="ListParagraph"/>
        <w:rPr>
          <w:rFonts w:asciiTheme="minorHAnsi" w:hAnsiTheme="minorHAnsi"/>
        </w:rPr>
      </w:pPr>
    </w:p>
    <w:p w14:paraId="30EF9DE1" w14:textId="2DE19D28" w:rsidR="00D12121" w:rsidRPr="00EC2A6E" w:rsidRDefault="00D12121" w:rsidP="00EB7F1E">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Sub-paragraph (ii) refers to </w:t>
      </w:r>
      <w:r w:rsidR="00672622" w:rsidRPr="00EC2A6E">
        <w:rPr>
          <w:rFonts w:asciiTheme="minorHAnsi" w:hAnsiTheme="minorHAnsi"/>
        </w:rPr>
        <w:t>“</w:t>
      </w:r>
      <w:r w:rsidRPr="00EC2A6E">
        <w:rPr>
          <w:rFonts w:asciiTheme="minorHAnsi" w:hAnsiTheme="minorHAnsi"/>
          <w:i/>
        </w:rPr>
        <w:t>the extent (if any) to which the offence is of a trivial nature</w:t>
      </w:r>
      <w:r w:rsidR="00672622" w:rsidRPr="00EC2A6E">
        <w:rPr>
          <w:rFonts w:asciiTheme="minorHAnsi" w:hAnsiTheme="minorHAnsi"/>
        </w:rPr>
        <w:t>”.</w:t>
      </w:r>
    </w:p>
    <w:p w14:paraId="7CE649D1" w14:textId="77777777" w:rsidR="00672622" w:rsidRPr="00EC2A6E" w:rsidRDefault="00672622" w:rsidP="00672622">
      <w:pPr>
        <w:pStyle w:val="ListParagraph"/>
        <w:rPr>
          <w:rFonts w:asciiTheme="minorHAnsi" w:hAnsiTheme="minorHAnsi"/>
        </w:rPr>
      </w:pPr>
    </w:p>
    <w:p w14:paraId="32165D93" w14:textId="37657BC8" w:rsidR="00D12121" w:rsidRPr="00EC2A6E" w:rsidRDefault="00672622">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Sub-paragraph (ii) refers to “</w:t>
      </w:r>
      <w:r w:rsidRPr="00EC2A6E">
        <w:rPr>
          <w:rFonts w:asciiTheme="minorHAnsi" w:hAnsiTheme="minorHAnsi"/>
          <w:i/>
        </w:rPr>
        <w:t>the extent (if any) to which the offence was committed under extenuating circumstances</w:t>
      </w:r>
      <w:r w:rsidRPr="00EC2A6E">
        <w:rPr>
          <w:rFonts w:asciiTheme="minorHAnsi" w:hAnsiTheme="minorHAnsi"/>
        </w:rPr>
        <w:t>”.</w:t>
      </w:r>
      <w:r w:rsidR="002A1AF0" w:rsidRPr="00EC2A6E">
        <w:rPr>
          <w:rFonts w:asciiTheme="minorHAnsi" w:hAnsiTheme="minorHAnsi"/>
        </w:rPr>
        <w:t xml:space="preserve">  Extenuating circumstances are circumstances which “</w:t>
      </w:r>
      <w:r w:rsidR="002A1AF0" w:rsidRPr="00EC2A6E">
        <w:rPr>
          <w:rFonts w:asciiTheme="minorHAnsi" w:hAnsiTheme="minorHAnsi"/>
          <w:i/>
          <w:iCs/>
        </w:rPr>
        <w:t>serve to make the offence seem less serious</w:t>
      </w:r>
      <w:r w:rsidR="002A1AF0" w:rsidRPr="00EC2A6E">
        <w:rPr>
          <w:rFonts w:asciiTheme="minorHAnsi" w:hAnsiTheme="minorHAnsi"/>
        </w:rPr>
        <w:t>”, “</w:t>
      </w:r>
      <w:r w:rsidR="002A1AF0" w:rsidRPr="00EC2A6E">
        <w:rPr>
          <w:rFonts w:asciiTheme="minorHAnsi" w:hAnsiTheme="minorHAnsi"/>
          <w:i/>
          <w:iCs/>
        </w:rPr>
        <w:t>lessen, or seem to lessen, the seeming magnitude of (guilt or offence) by partial excuses”</w:t>
      </w:r>
      <w:r w:rsidR="00135408" w:rsidRPr="00EC2A6E">
        <w:rPr>
          <w:rFonts w:asciiTheme="minorHAnsi" w:hAnsiTheme="minorHAnsi"/>
          <w:i/>
          <w:iCs/>
        </w:rPr>
        <w:t>,</w:t>
      </w:r>
      <w:r w:rsidR="002A1AF0" w:rsidRPr="00EC2A6E">
        <w:rPr>
          <w:rFonts w:asciiTheme="minorHAnsi" w:hAnsiTheme="minorHAnsi"/>
        </w:rPr>
        <w:t xml:space="preserve"> or excuse, in any appreciable degree, the commission of the offence charged.</w:t>
      </w:r>
      <w:r w:rsidR="002A1AF0" w:rsidRPr="00EC2A6E">
        <w:rPr>
          <w:rStyle w:val="Style"/>
          <w:rFonts w:asciiTheme="minorHAnsi" w:hAnsiTheme="minorHAnsi"/>
        </w:rPr>
        <w:footnoteReference w:id="584"/>
      </w:r>
      <w:r w:rsidR="00162A16" w:rsidRPr="00EC2A6E">
        <w:rPr>
          <w:rFonts w:asciiTheme="minorHAnsi" w:hAnsiTheme="minorHAnsi"/>
        </w:rPr>
        <w:t xml:space="preserve">  </w:t>
      </w:r>
      <w:r w:rsidR="00426474" w:rsidRPr="00EC2A6E">
        <w:rPr>
          <w:rFonts w:asciiTheme="minorHAnsi" w:hAnsiTheme="minorHAnsi"/>
        </w:rPr>
        <w:t>The provision does not allow the court to have regard to extenuating circumstances generally;</w:t>
      </w:r>
      <w:r w:rsidR="00426474" w:rsidRPr="00EC2A6E">
        <w:rPr>
          <w:rStyle w:val="ssleftalign"/>
          <w:rFonts w:ascii="Calibri" w:hAnsi="Calibri"/>
        </w:rPr>
        <w:t xml:space="preserve"> t</w:t>
      </w:r>
      <w:r w:rsidR="00162A16" w:rsidRPr="00EC2A6E">
        <w:rPr>
          <w:rFonts w:asciiTheme="minorHAnsi" w:hAnsiTheme="minorHAnsi"/>
        </w:rPr>
        <w:t>here must be some link between the extenuating circumstances relied on and the commission of the offence.</w:t>
      </w:r>
      <w:r w:rsidR="00162A16" w:rsidRPr="00EC2A6E">
        <w:rPr>
          <w:rStyle w:val="Style"/>
          <w:rFonts w:asciiTheme="minorHAnsi" w:hAnsiTheme="minorHAnsi"/>
        </w:rPr>
        <w:footnoteReference w:id="585"/>
      </w:r>
    </w:p>
    <w:p w14:paraId="16C7B337" w14:textId="77777777" w:rsidR="002A1AF0" w:rsidRPr="00EC2A6E" w:rsidRDefault="002A1AF0" w:rsidP="00EB7F1E">
      <w:pPr>
        <w:pStyle w:val="ListParagraph"/>
        <w:rPr>
          <w:rFonts w:ascii="Times New Roman" w:hAnsi="Times New Roman"/>
          <w:sz w:val="24"/>
          <w:szCs w:val="24"/>
          <w:lang w:eastAsia="en-AU"/>
        </w:rPr>
      </w:pPr>
    </w:p>
    <w:p w14:paraId="39A59418" w14:textId="6FDC6E59" w:rsidR="002A1AF0" w:rsidRPr="00EC2A6E" w:rsidRDefault="00026D60">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lang w:val="en-US"/>
        </w:rPr>
        <w:t>Not all mitigating matters are capable of falling within (i), (ii) or (iii).  In particular, the considerations listed do not include consequences that would flow from conviction for the offence.</w:t>
      </w:r>
      <w:r w:rsidR="008500A4" w:rsidRPr="00EC2A6E">
        <w:rPr>
          <w:rFonts w:asciiTheme="minorHAnsi" w:hAnsiTheme="minorHAnsi"/>
          <w:lang w:val="en-US"/>
        </w:rPr>
        <w:t xml:space="preserve">  Nor does the list in the sub-paragraphs encompass other mitigating factors such as a plea of guilty, contrition, </w:t>
      </w:r>
      <w:r w:rsidR="004F5D82" w:rsidRPr="00EC2A6E">
        <w:rPr>
          <w:rFonts w:asciiTheme="minorHAnsi" w:hAnsiTheme="minorHAnsi"/>
          <w:lang w:val="en-US"/>
        </w:rPr>
        <w:t>reparation</w:t>
      </w:r>
      <w:r w:rsidR="00135408" w:rsidRPr="00EC2A6E">
        <w:rPr>
          <w:rFonts w:asciiTheme="minorHAnsi" w:hAnsiTheme="minorHAnsi"/>
          <w:lang w:val="en-US"/>
        </w:rPr>
        <w:t xml:space="preserve"> or</w:t>
      </w:r>
      <w:r w:rsidR="004F5D82" w:rsidRPr="00EC2A6E">
        <w:rPr>
          <w:rFonts w:asciiTheme="minorHAnsi" w:hAnsiTheme="minorHAnsi"/>
          <w:lang w:val="en-US"/>
        </w:rPr>
        <w:t xml:space="preserve"> </w:t>
      </w:r>
      <w:r w:rsidR="008500A4" w:rsidRPr="00EC2A6E">
        <w:rPr>
          <w:rFonts w:asciiTheme="minorHAnsi" w:hAnsiTheme="minorHAnsi"/>
          <w:lang w:val="en-US"/>
        </w:rPr>
        <w:t>co-operation with law enforcement agencies</w:t>
      </w:r>
      <w:r w:rsidR="005443EC" w:rsidRPr="00EC2A6E">
        <w:rPr>
          <w:rFonts w:asciiTheme="minorHAnsi" w:hAnsiTheme="minorHAnsi"/>
          <w:lang w:val="en-US"/>
        </w:rPr>
        <w:t>.  The factors relevant to the first stage are thus more confined than under the New South Wales counterpart of s 19B.</w:t>
      </w:r>
      <w:r w:rsidR="005443EC" w:rsidRPr="00EC2A6E">
        <w:rPr>
          <w:rStyle w:val="Style"/>
          <w:rFonts w:asciiTheme="minorHAnsi" w:hAnsiTheme="minorHAnsi"/>
        </w:rPr>
        <w:footnoteReference w:id="586"/>
      </w:r>
    </w:p>
    <w:p w14:paraId="28272CBD" w14:textId="77777777" w:rsidR="00344CF1" w:rsidRPr="00EC2A6E" w:rsidRDefault="00344CF1" w:rsidP="00EB7F1E">
      <w:pPr>
        <w:pStyle w:val="ListParagraph"/>
        <w:rPr>
          <w:rFonts w:asciiTheme="minorHAnsi" w:hAnsiTheme="minorHAnsi"/>
        </w:rPr>
      </w:pPr>
    </w:p>
    <w:p w14:paraId="57C765AF" w14:textId="24860DCE" w:rsidR="00344CF1" w:rsidRPr="00EC2A6E" w:rsidRDefault="00344CF1">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 xml:space="preserve">The mitigating factors referred to </w:t>
      </w:r>
      <w:r w:rsidR="00576EF9" w:rsidRPr="00EC2A6E">
        <w:rPr>
          <w:rFonts w:asciiTheme="minorHAnsi" w:hAnsiTheme="minorHAnsi"/>
        </w:rPr>
        <w:t xml:space="preserve">in sub-paragraphs (i), (ii) or (iii) </w:t>
      </w:r>
      <w:r w:rsidRPr="00EC2A6E">
        <w:rPr>
          <w:rFonts w:asciiTheme="minorHAnsi" w:hAnsiTheme="minorHAnsi"/>
        </w:rPr>
        <w:t xml:space="preserve">are not mere pegs on which to hang leniency dictated by some extraneous and idiosyncratic consideration. </w:t>
      </w:r>
      <w:r w:rsidR="00691960" w:rsidRPr="00EC2A6E">
        <w:rPr>
          <w:rFonts w:asciiTheme="minorHAnsi" w:hAnsiTheme="minorHAnsi"/>
        </w:rPr>
        <w:t xml:space="preserve"> One or more of the mitigating matters listed must provide a sufficient ground to hold that it would be expedient to extend the leniency which the statute permits.</w:t>
      </w:r>
      <w:r w:rsidR="00691960" w:rsidRPr="00EC2A6E">
        <w:rPr>
          <w:rStyle w:val="Style"/>
          <w:rFonts w:asciiTheme="minorHAnsi" w:hAnsiTheme="minorHAnsi"/>
        </w:rPr>
        <w:footnoteReference w:id="587"/>
      </w:r>
    </w:p>
    <w:p w14:paraId="554F1F5F" w14:textId="77777777" w:rsidR="00344CF1" w:rsidRPr="00EC2A6E" w:rsidRDefault="00344CF1" w:rsidP="00EB7F1E">
      <w:pPr>
        <w:pStyle w:val="ListParagraph"/>
        <w:rPr>
          <w:rFonts w:asciiTheme="minorHAnsi" w:hAnsiTheme="minorHAnsi"/>
        </w:rPr>
      </w:pPr>
    </w:p>
    <w:p w14:paraId="7E4F0E7C" w14:textId="4B20871C" w:rsidR="00AE47D4" w:rsidRPr="00EC2A6E" w:rsidRDefault="00672622" w:rsidP="00D428AC">
      <w:pPr>
        <w:pStyle w:val="ListParagraph"/>
        <w:numPr>
          <w:ilvl w:val="0"/>
          <w:numId w:val="7"/>
        </w:numPr>
        <w:spacing w:line="276" w:lineRule="auto"/>
        <w:ind w:left="425" w:hanging="425"/>
        <w:contextualSpacing w:val="0"/>
        <w:rPr>
          <w:rFonts w:asciiTheme="minorHAnsi" w:hAnsiTheme="minorHAnsi" w:cstheme="minorHAnsi"/>
        </w:rPr>
      </w:pPr>
      <w:r w:rsidRPr="00EC2A6E">
        <w:rPr>
          <w:rFonts w:asciiTheme="minorHAnsi" w:hAnsiTheme="minorHAnsi"/>
          <w:b/>
        </w:rPr>
        <w:t xml:space="preserve">Second-stage </w:t>
      </w:r>
      <w:r w:rsidR="007D62B2" w:rsidRPr="00EC2A6E">
        <w:rPr>
          <w:rFonts w:asciiTheme="minorHAnsi" w:hAnsiTheme="minorHAnsi"/>
          <w:b/>
        </w:rPr>
        <w:t>consideration</w:t>
      </w:r>
      <w:r w:rsidRPr="00EC2A6E">
        <w:rPr>
          <w:rFonts w:asciiTheme="minorHAnsi" w:hAnsiTheme="minorHAnsi"/>
          <w:b/>
        </w:rPr>
        <w:t>:</w:t>
      </w:r>
      <w:r w:rsidRPr="00EC2A6E">
        <w:rPr>
          <w:rFonts w:asciiTheme="minorHAnsi" w:hAnsiTheme="minorHAnsi"/>
        </w:rPr>
        <w:t xml:space="preserve"> </w:t>
      </w:r>
      <w:r w:rsidRPr="00EC2A6E">
        <w:rPr>
          <w:rFonts w:asciiTheme="minorHAnsi" w:hAnsiTheme="minorHAnsi" w:cstheme="minorHAnsi"/>
        </w:rPr>
        <w:t>The second stage c</w:t>
      </w:r>
      <w:r w:rsidR="007D62B2" w:rsidRPr="00EC2A6E">
        <w:rPr>
          <w:rFonts w:asciiTheme="minorHAnsi" w:hAnsiTheme="minorHAnsi" w:cstheme="minorHAnsi"/>
        </w:rPr>
        <w:t>onsideration</w:t>
      </w:r>
      <w:r w:rsidRPr="00EC2A6E">
        <w:rPr>
          <w:rFonts w:asciiTheme="minorHAnsi" w:hAnsiTheme="minorHAnsi" w:cstheme="minorHAnsi"/>
        </w:rPr>
        <w:t xml:space="preserve"> </w:t>
      </w:r>
      <w:r w:rsidR="007D62B2" w:rsidRPr="00EC2A6E">
        <w:rPr>
          <w:rFonts w:asciiTheme="minorHAnsi" w:hAnsiTheme="minorHAnsi" w:cstheme="minorHAnsi"/>
        </w:rPr>
        <w:t>involves a determination</w:t>
      </w:r>
      <w:r w:rsidR="0016057C" w:rsidRPr="00EC2A6E">
        <w:rPr>
          <w:rFonts w:asciiTheme="minorHAnsi" w:hAnsiTheme="minorHAnsi" w:cstheme="minorHAnsi"/>
        </w:rPr>
        <w:t xml:space="preserve"> </w:t>
      </w:r>
      <w:r w:rsidR="007D62B2" w:rsidRPr="00EC2A6E">
        <w:rPr>
          <w:rFonts w:asciiTheme="minorHAnsi" w:hAnsiTheme="minorHAnsi" w:cstheme="minorHAnsi"/>
        </w:rPr>
        <w:t xml:space="preserve">whether </w:t>
      </w:r>
      <w:r w:rsidR="0016057C" w:rsidRPr="00EC2A6E">
        <w:rPr>
          <w:rFonts w:asciiTheme="minorHAnsi" w:hAnsiTheme="minorHAnsi" w:cstheme="minorHAnsi"/>
        </w:rPr>
        <w:t>“</w:t>
      </w:r>
      <w:r w:rsidR="0016057C" w:rsidRPr="00EC2A6E">
        <w:rPr>
          <w:rFonts w:asciiTheme="minorHAnsi" w:hAnsiTheme="minorHAnsi" w:cstheme="minorHAnsi"/>
          <w:i/>
        </w:rPr>
        <w:t>it is inexpedient to inflict any punishment, or to inflict any punishment other than a nominal punishment, or that it is expedient to release the offender on probation</w:t>
      </w:r>
      <w:r w:rsidR="0016057C" w:rsidRPr="00EC2A6E">
        <w:rPr>
          <w:rFonts w:asciiTheme="minorHAnsi" w:hAnsiTheme="minorHAnsi" w:cstheme="minorHAnsi"/>
        </w:rPr>
        <w:t>”</w:t>
      </w:r>
      <w:r w:rsidRPr="00EC2A6E">
        <w:rPr>
          <w:rFonts w:asciiTheme="minorHAnsi" w:hAnsiTheme="minorHAnsi" w:cstheme="minorHAnsi"/>
        </w:rPr>
        <w:t>.</w:t>
      </w:r>
    </w:p>
    <w:p w14:paraId="0741D1C6" w14:textId="77777777" w:rsidR="00AE47D4" w:rsidRPr="00266F5E" w:rsidRDefault="00AE47D4" w:rsidP="00EB7F1E">
      <w:pPr>
        <w:pStyle w:val="ListParagraph"/>
        <w:rPr>
          <w:rFonts w:asciiTheme="minorHAnsi" w:hAnsiTheme="minorHAnsi"/>
          <w:highlight w:val="yellow"/>
        </w:rPr>
      </w:pPr>
    </w:p>
    <w:p w14:paraId="6C322550" w14:textId="39EC0FE5" w:rsidR="004F5D82" w:rsidRPr="00EC2A6E" w:rsidRDefault="001736F6" w:rsidP="00D428AC">
      <w:pPr>
        <w:pStyle w:val="ListParagraph"/>
        <w:numPr>
          <w:ilvl w:val="0"/>
          <w:numId w:val="7"/>
        </w:numPr>
        <w:spacing w:line="276" w:lineRule="auto"/>
        <w:ind w:left="425" w:hanging="425"/>
        <w:contextualSpacing w:val="0"/>
        <w:rPr>
          <w:rFonts w:asciiTheme="minorHAnsi" w:hAnsiTheme="minorHAnsi" w:cstheme="minorHAnsi"/>
        </w:rPr>
      </w:pPr>
      <w:r w:rsidRPr="00EC2A6E">
        <w:rPr>
          <w:rFonts w:asciiTheme="minorHAnsi" w:hAnsiTheme="minorHAnsi" w:cstheme="minorHAnsi"/>
        </w:rPr>
        <w:t>That is, a</w:t>
      </w:r>
      <w:r w:rsidR="00C11067" w:rsidRPr="00EC2A6E">
        <w:rPr>
          <w:rFonts w:asciiTheme="minorHAnsi" w:hAnsiTheme="minorHAnsi" w:cstheme="minorHAnsi"/>
        </w:rPr>
        <w:t xml:space="preserve">n order for dismissal of a charge or a bond without conviction </w:t>
      </w:r>
      <w:r w:rsidR="00CE4FA3" w:rsidRPr="00EC2A6E">
        <w:rPr>
          <w:rFonts w:asciiTheme="minorHAnsi" w:hAnsiTheme="minorHAnsi" w:cstheme="minorHAnsi"/>
        </w:rPr>
        <w:t xml:space="preserve">(not involving probation) implicitly </w:t>
      </w:r>
      <w:r w:rsidR="00C11067" w:rsidRPr="00EC2A6E">
        <w:rPr>
          <w:rFonts w:asciiTheme="minorHAnsi" w:hAnsiTheme="minorHAnsi" w:cstheme="minorHAnsi"/>
        </w:rPr>
        <w:t xml:space="preserve">involves imposing </w:t>
      </w:r>
      <w:r w:rsidR="00C11067" w:rsidRPr="00EC2A6E">
        <w:rPr>
          <w:rFonts w:asciiTheme="minorHAnsi" w:hAnsiTheme="minorHAnsi" w:cstheme="minorHAnsi"/>
          <w:i/>
          <w:iCs/>
        </w:rPr>
        <w:t>no punishment</w:t>
      </w:r>
      <w:r w:rsidR="00C11067" w:rsidRPr="00EC2A6E">
        <w:rPr>
          <w:rFonts w:asciiTheme="minorHAnsi" w:hAnsiTheme="minorHAnsi" w:cstheme="minorHAnsi"/>
        </w:rPr>
        <w:t xml:space="preserve">, or only </w:t>
      </w:r>
      <w:r w:rsidR="00C11067" w:rsidRPr="00EC2A6E">
        <w:rPr>
          <w:rFonts w:asciiTheme="minorHAnsi" w:hAnsiTheme="minorHAnsi" w:cstheme="minorHAnsi"/>
          <w:i/>
          <w:iCs/>
        </w:rPr>
        <w:t>nominal punishment</w:t>
      </w:r>
      <w:r w:rsidRPr="00EC2A6E">
        <w:rPr>
          <w:rFonts w:asciiTheme="minorHAnsi" w:hAnsiTheme="minorHAnsi" w:cstheme="minorHAnsi"/>
        </w:rPr>
        <w:t>.</w:t>
      </w:r>
      <w:r w:rsidR="00C11067" w:rsidRPr="00EC2A6E">
        <w:rPr>
          <w:rFonts w:asciiTheme="minorHAnsi" w:hAnsiTheme="minorHAnsi" w:cstheme="minorHAnsi"/>
        </w:rPr>
        <w:t xml:space="preserve"> </w:t>
      </w:r>
      <w:r w:rsidRPr="00EC2A6E">
        <w:rPr>
          <w:rFonts w:asciiTheme="minorHAnsi" w:hAnsiTheme="minorHAnsi" w:cstheme="minorHAnsi"/>
        </w:rPr>
        <w:t xml:space="preserve"> Such an order may only be made if is expedient to </w:t>
      </w:r>
      <w:r w:rsidR="001639CA" w:rsidRPr="00EC2A6E">
        <w:rPr>
          <w:rFonts w:asciiTheme="minorHAnsi" w:hAnsiTheme="minorHAnsi" w:cstheme="minorHAnsi"/>
        </w:rPr>
        <w:t>d</w:t>
      </w:r>
      <w:r w:rsidRPr="00EC2A6E">
        <w:rPr>
          <w:rFonts w:asciiTheme="minorHAnsi" w:hAnsiTheme="minorHAnsi" w:cstheme="minorHAnsi"/>
        </w:rPr>
        <w:t xml:space="preserve">o </w:t>
      </w:r>
      <w:r w:rsidR="001639CA" w:rsidRPr="00EC2A6E">
        <w:rPr>
          <w:rFonts w:asciiTheme="minorHAnsi" w:hAnsiTheme="minorHAnsi" w:cstheme="minorHAnsi"/>
        </w:rPr>
        <w:t>s</w:t>
      </w:r>
      <w:r w:rsidRPr="00EC2A6E">
        <w:rPr>
          <w:rFonts w:asciiTheme="minorHAnsi" w:hAnsiTheme="minorHAnsi" w:cstheme="minorHAnsi"/>
        </w:rPr>
        <w:t>o.</w:t>
      </w:r>
    </w:p>
    <w:p w14:paraId="799EB939" w14:textId="77777777" w:rsidR="004F5D82" w:rsidRPr="00EC2A6E" w:rsidRDefault="004F5D82" w:rsidP="00EB7F1E">
      <w:pPr>
        <w:pStyle w:val="ListParagraph"/>
        <w:rPr>
          <w:rFonts w:asciiTheme="minorHAnsi" w:hAnsiTheme="minorHAnsi"/>
        </w:rPr>
      </w:pPr>
    </w:p>
    <w:p w14:paraId="3EC881E1" w14:textId="302A8C0D" w:rsidR="001639CA" w:rsidRPr="00EC2A6E" w:rsidRDefault="001736F6" w:rsidP="00D428AC">
      <w:pPr>
        <w:pStyle w:val="ListParagraph"/>
        <w:numPr>
          <w:ilvl w:val="0"/>
          <w:numId w:val="7"/>
        </w:numPr>
        <w:spacing w:line="276" w:lineRule="auto"/>
        <w:ind w:left="425" w:hanging="425"/>
        <w:contextualSpacing w:val="0"/>
        <w:rPr>
          <w:rFonts w:asciiTheme="minorHAnsi" w:hAnsiTheme="minorHAnsi" w:cstheme="minorHAnsi"/>
        </w:rPr>
      </w:pPr>
      <w:r w:rsidRPr="00EC2A6E">
        <w:rPr>
          <w:rFonts w:asciiTheme="minorHAnsi" w:hAnsiTheme="minorHAnsi" w:cstheme="minorHAnsi"/>
        </w:rPr>
        <w:t xml:space="preserve">Determination that such an outcome </w:t>
      </w:r>
      <w:r w:rsidR="0002300C" w:rsidRPr="00EC2A6E">
        <w:rPr>
          <w:rFonts w:asciiTheme="minorHAnsi" w:hAnsiTheme="minorHAnsi" w:cstheme="minorHAnsi"/>
        </w:rPr>
        <w:t xml:space="preserve">(that is, no punishment or only nominal punishment) </w:t>
      </w:r>
      <w:r w:rsidRPr="00EC2A6E">
        <w:rPr>
          <w:rFonts w:asciiTheme="minorHAnsi" w:hAnsiTheme="minorHAnsi" w:cstheme="minorHAnsi"/>
        </w:rPr>
        <w:t xml:space="preserve">is expedient </w:t>
      </w:r>
      <w:r w:rsidR="006717E3" w:rsidRPr="00EC2A6E">
        <w:rPr>
          <w:rFonts w:asciiTheme="minorHAnsi" w:hAnsiTheme="minorHAnsi" w:cstheme="minorHAnsi"/>
        </w:rPr>
        <w:t>requires consideration of a wide range of factors in addition to the mitigating factors relied upon</w:t>
      </w:r>
      <w:r w:rsidR="0002300C" w:rsidRPr="00EC2A6E">
        <w:rPr>
          <w:rFonts w:asciiTheme="minorHAnsi" w:hAnsiTheme="minorHAnsi" w:cstheme="minorHAnsi"/>
        </w:rPr>
        <w:t xml:space="preserve"> at the first stage</w:t>
      </w:r>
      <w:r w:rsidR="006717E3" w:rsidRPr="00EC2A6E">
        <w:rPr>
          <w:rFonts w:asciiTheme="minorHAnsi" w:hAnsiTheme="minorHAnsi" w:cstheme="minorHAnsi"/>
        </w:rPr>
        <w:t xml:space="preserve"> to enliven the discretion</w:t>
      </w:r>
      <w:r w:rsidR="001639CA" w:rsidRPr="00EC2A6E">
        <w:rPr>
          <w:rFonts w:asciiTheme="minorHAnsi" w:hAnsiTheme="minorHAnsi" w:cstheme="minorHAnsi"/>
        </w:rPr>
        <w:t>.</w:t>
      </w:r>
    </w:p>
    <w:p w14:paraId="521EB6A8" w14:textId="77777777" w:rsidR="001639CA" w:rsidRPr="00EC2A6E" w:rsidRDefault="001639CA" w:rsidP="00EB7F1E">
      <w:pPr>
        <w:pStyle w:val="ListParagraph"/>
        <w:rPr>
          <w:rFonts w:asciiTheme="minorHAnsi" w:hAnsiTheme="minorHAnsi" w:cstheme="minorHAnsi"/>
        </w:rPr>
      </w:pPr>
    </w:p>
    <w:p w14:paraId="44944178" w14:textId="78837D48" w:rsidR="006717E3" w:rsidRPr="00EC2A6E" w:rsidRDefault="001639CA" w:rsidP="00D428AC">
      <w:pPr>
        <w:pStyle w:val="ListParagraph"/>
        <w:numPr>
          <w:ilvl w:val="0"/>
          <w:numId w:val="7"/>
        </w:numPr>
        <w:spacing w:line="276" w:lineRule="auto"/>
        <w:ind w:left="425" w:hanging="425"/>
        <w:contextualSpacing w:val="0"/>
        <w:rPr>
          <w:rFonts w:asciiTheme="minorHAnsi" w:hAnsiTheme="minorHAnsi" w:cstheme="minorHAnsi"/>
        </w:rPr>
      </w:pPr>
      <w:r w:rsidRPr="00EC2A6E">
        <w:rPr>
          <w:rFonts w:asciiTheme="minorHAnsi" w:hAnsiTheme="minorHAnsi" w:cstheme="minorHAnsi"/>
        </w:rPr>
        <w:t>An order under s 19B</w:t>
      </w:r>
      <w:r w:rsidR="00AE47D4" w:rsidRPr="00EC2A6E">
        <w:rPr>
          <w:rFonts w:asciiTheme="minorHAnsi" w:hAnsiTheme="minorHAnsi" w:cstheme="minorHAnsi"/>
        </w:rPr>
        <w:t>(1)</w:t>
      </w:r>
      <w:r w:rsidRPr="00EC2A6E">
        <w:rPr>
          <w:rFonts w:asciiTheme="minorHAnsi" w:hAnsiTheme="minorHAnsi" w:cstheme="minorHAnsi"/>
        </w:rPr>
        <w:t xml:space="preserve"> is an “order” within the meaning of s 16A(1);</w:t>
      </w:r>
      <w:r w:rsidRPr="00EC2A6E">
        <w:rPr>
          <w:rStyle w:val="Style"/>
          <w:rFonts w:asciiTheme="minorHAnsi" w:hAnsiTheme="minorHAnsi"/>
        </w:rPr>
        <w:footnoteReference w:id="588"/>
      </w:r>
      <w:r w:rsidRPr="00EC2A6E">
        <w:rPr>
          <w:rFonts w:asciiTheme="minorHAnsi" w:hAnsiTheme="minorHAnsi" w:cstheme="minorHAnsi"/>
        </w:rPr>
        <w:t xml:space="preserve"> therefore </w:t>
      </w:r>
      <w:r w:rsidR="00576EF9" w:rsidRPr="00EC2A6E">
        <w:rPr>
          <w:rFonts w:asciiTheme="minorHAnsi" w:hAnsiTheme="minorHAnsi" w:cstheme="minorHAnsi"/>
        </w:rPr>
        <w:t xml:space="preserve">all matters under s 16A of the </w:t>
      </w:r>
      <w:r w:rsidR="00576EF9" w:rsidRPr="00EC2A6E">
        <w:rPr>
          <w:rFonts w:asciiTheme="minorHAnsi" w:hAnsiTheme="minorHAnsi" w:cstheme="minorHAnsi"/>
          <w:i/>
          <w:iCs/>
        </w:rPr>
        <w:t>Crimes Act 1914</w:t>
      </w:r>
      <w:r w:rsidRPr="00EC2A6E">
        <w:rPr>
          <w:rFonts w:asciiTheme="minorHAnsi" w:hAnsiTheme="minorHAnsi" w:cstheme="minorHAnsi"/>
          <w:i/>
          <w:iCs/>
        </w:rPr>
        <w:t xml:space="preserve"> </w:t>
      </w:r>
      <w:r w:rsidRPr="00EC2A6E">
        <w:rPr>
          <w:rFonts w:asciiTheme="minorHAnsi" w:hAnsiTheme="minorHAnsi" w:cstheme="minorHAnsi"/>
        </w:rPr>
        <w:t>which are relevant and known to the court must be considered in deciding whether to make an order under s 19B</w:t>
      </w:r>
      <w:r w:rsidR="00576EF9" w:rsidRPr="00EC2A6E">
        <w:rPr>
          <w:rFonts w:asciiTheme="minorHAnsi" w:hAnsiTheme="minorHAnsi" w:cstheme="minorHAnsi"/>
        </w:rPr>
        <w:t>.</w:t>
      </w:r>
      <w:r w:rsidR="00552A41" w:rsidRPr="00EC2A6E">
        <w:rPr>
          <w:rStyle w:val="Style"/>
          <w:rFonts w:asciiTheme="minorHAnsi" w:hAnsiTheme="minorHAnsi"/>
        </w:rPr>
        <w:footnoteReference w:id="589"/>
      </w:r>
    </w:p>
    <w:p w14:paraId="5767D04D" w14:textId="77777777" w:rsidR="006717E3" w:rsidRPr="00EC2A6E" w:rsidRDefault="006717E3" w:rsidP="00EB7F1E">
      <w:pPr>
        <w:pStyle w:val="ListParagraph"/>
        <w:rPr>
          <w:rFonts w:asciiTheme="minorHAnsi" w:hAnsiTheme="minorHAnsi"/>
        </w:rPr>
      </w:pPr>
    </w:p>
    <w:p w14:paraId="2A2F3E53" w14:textId="5A686E27" w:rsidR="00552A41" w:rsidRPr="00EC2A6E" w:rsidRDefault="0002300C">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rPr>
        <w:t>It follows t</w:t>
      </w:r>
      <w:r w:rsidR="00026D60" w:rsidRPr="00EC2A6E">
        <w:rPr>
          <w:rFonts w:asciiTheme="minorHAnsi" w:hAnsiTheme="minorHAnsi"/>
        </w:rPr>
        <w:t xml:space="preserve">hat, </w:t>
      </w:r>
      <w:r w:rsidR="001639CA" w:rsidRPr="00EC2A6E">
        <w:rPr>
          <w:rFonts w:asciiTheme="minorHAnsi" w:hAnsiTheme="minorHAnsi"/>
        </w:rPr>
        <w:t xml:space="preserve">in considering </w:t>
      </w:r>
      <w:r w:rsidR="006C3954" w:rsidRPr="00EC2A6E">
        <w:rPr>
          <w:rFonts w:asciiTheme="minorHAnsi" w:hAnsiTheme="minorHAnsi"/>
        </w:rPr>
        <w:t>whether it is expedient to make an order under s 19B</w:t>
      </w:r>
      <w:r w:rsidR="00AE47D4" w:rsidRPr="00EC2A6E">
        <w:rPr>
          <w:rFonts w:asciiTheme="minorHAnsi" w:hAnsiTheme="minorHAnsi"/>
        </w:rPr>
        <w:t>(1)</w:t>
      </w:r>
      <w:r w:rsidR="006C3954" w:rsidRPr="00EC2A6E">
        <w:rPr>
          <w:rFonts w:asciiTheme="minorHAnsi" w:hAnsiTheme="minorHAnsi"/>
        </w:rPr>
        <w:t xml:space="preserve">, </w:t>
      </w:r>
      <w:r w:rsidR="003C0CF6" w:rsidRPr="00EC2A6E">
        <w:rPr>
          <w:rFonts w:asciiTheme="minorHAnsi" w:hAnsiTheme="minorHAnsi"/>
        </w:rPr>
        <w:t xml:space="preserve">the court </w:t>
      </w:r>
      <w:r w:rsidR="00D428AC" w:rsidRPr="00EC2A6E">
        <w:rPr>
          <w:rFonts w:asciiTheme="minorHAnsi" w:hAnsiTheme="minorHAnsi"/>
        </w:rPr>
        <w:t xml:space="preserve">must consider, amongst other things, the nature and circumstances of the offence (s 16A(2)(a)), whether it forms part of </w:t>
      </w:r>
      <w:r w:rsidR="00D428AC" w:rsidRPr="00EC2A6E">
        <w:rPr>
          <w:rFonts w:asciiTheme="minorHAnsi" w:hAnsiTheme="minorHAnsi"/>
          <w:iCs/>
          <w:color w:val="000000"/>
          <w:szCs w:val="22"/>
          <w:lang w:eastAsia="en-AU"/>
        </w:rPr>
        <w:t>a course of conduct consisting of a series of criminal acts of the same or a similar character (s 16A(2)(c)), the personal circumstances of any victim (s 16A(2)(d))</w:t>
      </w:r>
      <w:r w:rsidR="00AE47D4" w:rsidRPr="00EC2A6E">
        <w:rPr>
          <w:rFonts w:asciiTheme="minorHAnsi" w:hAnsiTheme="minorHAnsi"/>
          <w:iCs/>
          <w:color w:val="000000"/>
          <w:szCs w:val="22"/>
          <w:lang w:eastAsia="en-AU"/>
        </w:rPr>
        <w:t>,</w:t>
      </w:r>
      <w:r w:rsidR="008500A4" w:rsidRPr="00EC2A6E">
        <w:rPr>
          <w:rFonts w:asciiTheme="minorHAnsi" w:hAnsiTheme="minorHAnsi"/>
          <w:iCs/>
          <w:color w:val="000000"/>
          <w:szCs w:val="22"/>
          <w:lang w:eastAsia="en-AU"/>
        </w:rPr>
        <w:t xml:space="preserve"> any victim impact statement (s 16A(2)(ea)) and any injury loss or damage from the offence (s 16A(2)(e))</w:t>
      </w:r>
      <w:r w:rsidR="00576EF9" w:rsidRPr="00EC2A6E">
        <w:rPr>
          <w:rFonts w:asciiTheme="minorHAnsi" w:hAnsiTheme="minorHAnsi"/>
          <w:iCs/>
          <w:color w:val="000000"/>
          <w:szCs w:val="22"/>
          <w:lang w:eastAsia="en-AU"/>
        </w:rPr>
        <w:t>, to the extent that they are relevant and known to the court</w:t>
      </w:r>
      <w:r w:rsidR="008500A4" w:rsidRPr="00EC2A6E">
        <w:rPr>
          <w:rFonts w:asciiTheme="minorHAnsi" w:hAnsiTheme="minorHAnsi"/>
          <w:iCs/>
          <w:color w:val="000000"/>
          <w:szCs w:val="22"/>
          <w:lang w:eastAsia="en-AU"/>
        </w:rPr>
        <w:t>.</w:t>
      </w:r>
      <w:r w:rsidR="00576EF9" w:rsidRPr="00EC2A6E">
        <w:rPr>
          <w:rFonts w:asciiTheme="minorHAnsi" w:hAnsiTheme="minorHAnsi"/>
          <w:iCs/>
          <w:color w:val="000000"/>
          <w:szCs w:val="22"/>
          <w:lang w:eastAsia="en-AU"/>
        </w:rPr>
        <w:t xml:space="preserve">  The court mu</w:t>
      </w:r>
      <w:r w:rsidR="00135408" w:rsidRPr="00EC2A6E">
        <w:rPr>
          <w:rFonts w:asciiTheme="minorHAnsi" w:hAnsiTheme="minorHAnsi"/>
          <w:iCs/>
          <w:color w:val="000000"/>
          <w:szCs w:val="22"/>
          <w:lang w:eastAsia="en-AU"/>
        </w:rPr>
        <w:t>st also consider at the second stage matters in mitigation, including matters which do not fall within sub-paragraphs (i), (ii) or (iii) of s 19B(1)(b)</w:t>
      </w:r>
      <w:r w:rsidR="00F91029" w:rsidRPr="00EC2A6E">
        <w:rPr>
          <w:rFonts w:asciiTheme="minorHAnsi" w:hAnsiTheme="minorHAnsi"/>
          <w:iCs/>
          <w:color w:val="000000"/>
          <w:szCs w:val="22"/>
          <w:lang w:eastAsia="en-AU"/>
        </w:rPr>
        <w:t>, such as the likely consequences of a conviction</w:t>
      </w:r>
      <w:r w:rsidRPr="00EC2A6E">
        <w:rPr>
          <w:rFonts w:asciiTheme="minorHAnsi" w:hAnsiTheme="minorHAnsi"/>
          <w:iCs/>
          <w:color w:val="000000"/>
          <w:szCs w:val="22"/>
          <w:lang w:eastAsia="en-AU"/>
        </w:rPr>
        <w:t>,</w:t>
      </w:r>
      <w:r w:rsidR="00F91029" w:rsidRPr="00EC2A6E">
        <w:rPr>
          <w:rStyle w:val="Style"/>
          <w:rFonts w:asciiTheme="minorHAnsi" w:hAnsiTheme="minorHAnsi"/>
        </w:rPr>
        <w:footnoteReference w:id="590"/>
      </w:r>
      <w:r w:rsidRPr="00EC2A6E">
        <w:rPr>
          <w:rFonts w:asciiTheme="minorHAnsi" w:hAnsiTheme="minorHAnsi"/>
          <w:iCs/>
          <w:color w:val="000000"/>
          <w:szCs w:val="22"/>
          <w:lang w:eastAsia="en-AU"/>
        </w:rPr>
        <w:t xml:space="preserve"> to the extent that they are relevant and known to the court.</w:t>
      </w:r>
    </w:p>
    <w:p w14:paraId="3006ABE8" w14:textId="77777777" w:rsidR="00552A41" w:rsidRPr="00EC2A6E" w:rsidRDefault="00552A41" w:rsidP="00EB7F1E">
      <w:pPr>
        <w:pStyle w:val="ListParagraph"/>
        <w:rPr>
          <w:rFonts w:asciiTheme="minorHAnsi" w:hAnsiTheme="minorHAnsi"/>
        </w:rPr>
      </w:pPr>
    </w:p>
    <w:p w14:paraId="74DBEA1E" w14:textId="7FC53078" w:rsidR="005922BF" w:rsidRPr="00EC2A6E" w:rsidRDefault="00576EF9">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lang w:val="en-US"/>
        </w:rPr>
        <w:t>The overarching obligation of the sentencing court remains: the court “</w:t>
      </w:r>
      <w:r w:rsidRPr="00EC2A6E">
        <w:rPr>
          <w:rFonts w:asciiTheme="minorHAnsi" w:hAnsiTheme="minorHAnsi"/>
          <w:i/>
          <w:iCs/>
        </w:rPr>
        <w:t xml:space="preserve">must impose a sentence or make an order that is of a severity appropriate in all the circumstances of the offence” </w:t>
      </w:r>
      <w:r w:rsidRPr="00EC2A6E">
        <w:rPr>
          <w:rFonts w:asciiTheme="minorHAnsi" w:hAnsiTheme="minorHAnsi"/>
        </w:rPr>
        <w:t>(</w:t>
      </w:r>
      <w:r w:rsidRPr="00EC2A6E">
        <w:rPr>
          <w:rFonts w:asciiTheme="minorHAnsi" w:hAnsiTheme="minorHAnsi"/>
          <w:i/>
          <w:iCs/>
        </w:rPr>
        <w:t>Crimes Act 1914</w:t>
      </w:r>
      <w:r w:rsidRPr="00EC2A6E">
        <w:rPr>
          <w:rFonts w:asciiTheme="minorHAnsi" w:hAnsiTheme="minorHAnsi"/>
        </w:rPr>
        <w:t xml:space="preserve">, s.16A(1)).  </w:t>
      </w:r>
      <w:r w:rsidR="00552A41" w:rsidRPr="00EC2A6E">
        <w:rPr>
          <w:rFonts w:asciiTheme="minorHAnsi" w:hAnsiTheme="minorHAnsi"/>
        </w:rPr>
        <w:t>T</w:t>
      </w:r>
      <w:r w:rsidR="00026D60" w:rsidRPr="00EC2A6E">
        <w:rPr>
          <w:rFonts w:asciiTheme="minorHAnsi" w:hAnsiTheme="minorHAnsi"/>
        </w:rPr>
        <w:t xml:space="preserve">he court </w:t>
      </w:r>
      <w:r w:rsidR="00026D60" w:rsidRPr="00EC2A6E">
        <w:rPr>
          <w:rFonts w:asciiTheme="minorHAnsi" w:hAnsiTheme="minorHAnsi"/>
          <w:i/>
          <w:iCs/>
        </w:rPr>
        <w:t>must</w:t>
      </w:r>
      <w:r w:rsidR="00026D60" w:rsidRPr="00EC2A6E">
        <w:rPr>
          <w:rFonts w:asciiTheme="minorHAnsi" w:hAnsiTheme="minorHAnsi"/>
        </w:rPr>
        <w:t xml:space="preserve"> give proper weight to considerations of general deterrence</w:t>
      </w:r>
      <w:r w:rsidR="00E37835" w:rsidRPr="00EC2A6E">
        <w:rPr>
          <w:rFonts w:asciiTheme="minorHAnsi" w:hAnsiTheme="minorHAnsi"/>
        </w:rPr>
        <w:t xml:space="preserve"> (s.16A(2)(ja))</w:t>
      </w:r>
      <w:r w:rsidR="00026D60" w:rsidRPr="00EC2A6E">
        <w:rPr>
          <w:rFonts w:asciiTheme="minorHAnsi" w:hAnsiTheme="minorHAnsi"/>
        </w:rPr>
        <w:t>, specific deterrence</w:t>
      </w:r>
      <w:r w:rsidR="00E37835" w:rsidRPr="00EC2A6E">
        <w:rPr>
          <w:rFonts w:asciiTheme="minorHAnsi" w:hAnsiTheme="minorHAnsi"/>
        </w:rPr>
        <w:t xml:space="preserve"> (s.16A(2)(j))</w:t>
      </w:r>
      <w:r w:rsidR="00026D60" w:rsidRPr="00EC2A6E">
        <w:rPr>
          <w:rFonts w:asciiTheme="minorHAnsi" w:hAnsiTheme="minorHAnsi"/>
        </w:rPr>
        <w:t>, denunciation and adequate (that is, proportionate) punishment</w:t>
      </w:r>
      <w:r w:rsidR="00E37835" w:rsidRPr="00EC2A6E">
        <w:rPr>
          <w:rFonts w:asciiTheme="minorHAnsi" w:hAnsiTheme="minorHAnsi"/>
        </w:rPr>
        <w:t xml:space="preserve"> (s.16A(2)(k))</w:t>
      </w:r>
      <w:r w:rsidR="006717E3" w:rsidRPr="00EC2A6E">
        <w:rPr>
          <w:rFonts w:asciiTheme="minorHAnsi" w:hAnsiTheme="minorHAnsi"/>
        </w:rPr>
        <w:t>.</w:t>
      </w:r>
      <w:r w:rsidR="00026D60" w:rsidRPr="00EC2A6E">
        <w:rPr>
          <w:rFonts w:asciiTheme="minorHAnsi" w:hAnsiTheme="minorHAnsi"/>
        </w:rPr>
        <w:t xml:space="preserve"> </w:t>
      </w:r>
      <w:r w:rsidR="006717E3" w:rsidRPr="00EC2A6E">
        <w:rPr>
          <w:rFonts w:asciiTheme="minorHAnsi" w:hAnsiTheme="minorHAnsi"/>
        </w:rPr>
        <w:t xml:space="preserve"> </w:t>
      </w:r>
      <w:r w:rsidR="00E37835" w:rsidRPr="00EC2A6E">
        <w:rPr>
          <w:rFonts w:asciiTheme="minorHAnsi" w:hAnsiTheme="minorHAnsi"/>
        </w:rPr>
        <w:t xml:space="preserve">An order which involves </w:t>
      </w:r>
      <w:r w:rsidR="00E37835" w:rsidRPr="00EC2A6E">
        <w:rPr>
          <w:rFonts w:asciiTheme="minorHAnsi" w:hAnsiTheme="minorHAnsi"/>
          <w:i/>
          <w:iCs/>
        </w:rPr>
        <w:t>no punishment</w:t>
      </w:r>
      <w:r w:rsidR="00E37835" w:rsidRPr="00EC2A6E">
        <w:rPr>
          <w:rFonts w:asciiTheme="minorHAnsi" w:hAnsiTheme="minorHAnsi"/>
        </w:rPr>
        <w:t xml:space="preserve"> or only </w:t>
      </w:r>
      <w:r w:rsidR="00E37835" w:rsidRPr="00EC2A6E">
        <w:rPr>
          <w:rFonts w:asciiTheme="minorHAnsi" w:hAnsiTheme="minorHAnsi"/>
          <w:i/>
          <w:iCs/>
        </w:rPr>
        <w:t>nominal punishment</w:t>
      </w:r>
      <w:r w:rsidR="00C11067" w:rsidRPr="00EC2A6E">
        <w:rPr>
          <w:rFonts w:asciiTheme="minorHAnsi" w:hAnsiTheme="minorHAnsi"/>
        </w:rPr>
        <w:t xml:space="preserve"> </w:t>
      </w:r>
      <w:r w:rsidR="00026D60" w:rsidRPr="00EC2A6E">
        <w:rPr>
          <w:rFonts w:asciiTheme="minorHAnsi" w:hAnsiTheme="minorHAnsi"/>
        </w:rPr>
        <w:t>necessarily accords little or no weight to such purposes</w:t>
      </w:r>
      <w:r w:rsidR="00C11067" w:rsidRPr="00EC2A6E">
        <w:rPr>
          <w:rFonts w:asciiTheme="minorHAnsi" w:hAnsiTheme="minorHAnsi"/>
        </w:rPr>
        <w:t>.</w:t>
      </w:r>
    </w:p>
    <w:p w14:paraId="1600087A" w14:textId="77777777" w:rsidR="005922BF" w:rsidRPr="00EC2A6E" w:rsidRDefault="005922BF" w:rsidP="00EB7F1E">
      <w:pPr>
        <w:pStyle w:val="ListParagraph"/>
        <w:rPr>
          <w:rFonts w:asciiTheme="minorHAnsi" w:hAnsiTheme="minorHAnsi"/>
        </w:rPr>
      </w:pPr>
    </w:p>
    <w:p w14:paraId="30DE908D" w14:textId="4A4485C2" w:rsidR="00552A41" w:rsidRPr="00EC2A6E" w:rsidRDefault="005922BF">
      <w:pPr>
        <w:pStyle w:val="ListParagraph"/>
        <w:numPr>
          <w:ilvl w:val="0"/>
          <w:numId w:val="7"/>
        </w:numPr>
        <w:spacing w:line="276" w:lineRule="auto"/>
        <w:ind w:left="425" w:hanging="425"/>
        <w:contextualSpacing w:val="0"/>
        <w:rPr>
          <w:rFonts w:asciiTheme="minorHAnsi" w:hAnsiTheme="minorHAnsi"/>
        </w:rPr>
      </w:pPr>
      <w:r w:rsidRPr="00EC2A6E">
        <w:rPr>
          <w:rFonts w:asciiTheme="minorHAnsi" w:hAnsiTheme="minorHAnsi"/>
          <w:b/>
        </w:rPr>
        <w:t>Exercise of the discretion:</w:t>
      </w:r>
      <w:r w:rsidRPr="00EC2A6E">
        <w:rPr>
          <w:rFonts w:asciiTheme="minorHAnsi" w:hAnsiTheme="minorHAnsi"/>
        </w:rPr>
        <w:t xml:space="preserve">  </w:t>
      </w:r>
      <w:r w:rsidR="0092156B" w:rsidRPr="00EC2A6E">
        <w:rPr>
          <w:rFonts w:asciiTheme="minorHAnsi" w:hAnsiTheme="minorHAnsi"/>
        </w:rPr>
        <w:t xml:space="preserve">The </w:t>
      </w:r>
      <w:r w:rsidR="00D428AC" w:rsidRPr="00EC2A6E">
        <w:rPr>
          <w:rFonts w:asciiTheme="minorHAnsi" w:hAnsiTheme="minorHAnsi"/>
        </w:rPr>
        <w:t xml:space="preserve">circumstances in which an order under s 19B(1) will be appropriate </w:t>
      </w:r>
      <w:r w:rsidR="00E4797D" w:rsidRPr="00EC2A6E">
        <w:rPr>
          <w:rFonts w:asciiTheme="minorHAnsi" w:hAnsiTheme="minorHAnsi"/>
        </w:rPr>
        <w:t>have been described as</w:t>
      </w:r>
      <w:r w:rsidR="00D428AC" w:rsidRPr="00EC2A6E">
        <w:rPr>
          <w:rFonts w:asciiTheme="minorHAnsi" w:hAnsiTheme="minorHAnsi"/>
        </w:rPr>
        <w:t xml:space="preserve"> “exceptional”, “rare”, </w:t>
      </w:r>
      <w:r w:rsidR="00E4797D" w:rsidRPr="00EC2A6E">
        <w:rPr>
          <w:rFonts w:asciiTheme="minorHAnsi" w:hAnsiTheme="minorHAnsi"/>
        </w:rPr>
        <w:t xml:space="preserve">“unusal”, “atypical”, </w:t>
      </w:r>
      <w:r w:rsidR="00D428AC" w:rsidRPr="00EC2A6E">
        <w:rPr>
          <w:rFonts w:asciiTheme="minorHAnsi" w:hAnsiTheme="minorHAnsi"/>
        </w:rPr>
        <w:t>“special” or “singular”</w:t>
      </w:r>
      <w:r w:rsidR="00D428AC" w:rsidRPr="00EC2A6E">
        <w:rPr>
          <w:rStyle w:val="Style"/>
          <w:rFonts w:asciiTheme="minorHAnsi" w:hAnsiTheme="minorHAnsi"/>
        </w:rPr>
        <w:footnoteReference w:id="591"/>
      </w:r>
      <w:r w:rsidR="00D428AC" w:rsidRPr="00EC2A6E">
        <w:rPr>
          <w:rFonts w:asciiTheme="minorHAnsi" w:hAnsiTheme="minorHAnsi"/>
        </w:rPr>
        <w:t xml:space="preserve"> </w:t>
      </w:r>
      <w:r w:rsidR="0092156B" w:rsidRPr="00EC2A6E">
        <w:rPr>
          <w:rFonts w:asciiTheme="minorHAnsi" w:hAnsiTheme="minorHAnsi"/>
        </w:rPr>
        <w:t xml:space="preserve">and </w:t>
      </w:r>
      <w:r w:rsidR="005B4F0B" w:rsidRPr="00EC2A6E">
        <w:rPr>
          <w:rFonts w:asciiTheme="minorHAnsi" w:hAnsiTheme="minorHAnsi"/>
        </w:rPr>
        <w:t xml:space="preserve">as </w:t>
      </w:r>
      <w:r w:rsidR="0092156B" w:rsidRPr="00EC2A6E">
        <w:rPr>
          <w:rFonts w:asciiTheme="minorHAnsi" w:hAnsiTheme="minorHAnsi"/>
        </w:rPr>
        <w:t>requiring something to distinguish the instant case from what may be regarded as a typical breach.</w:t>
      </w:r>
      <w:r w:rsidR="0092156B" w:rsidRPr="00EC2A6E">
        <w:rPr>
          <w:rStyle w:val="Style"/>
          <w:rFonts w:asciiTheme="minorHAnsi" w:hAnsiTheme="minorHAnsi"/>
        </w:rPr>
        <w:footnoteReference w:id="592"/>
      </w:r>
      <w:r w:rsidR="005B4F0B" w:rsidRPr="00EC2A6E">
        <w:rPr>
          <w:rFonts w:asciiTheme="minorHAnsi" w:hAnsiTheme="minorHAnsi"/>
        </w:rPr>
        <w:t xml:space="preserve">  </w:t>
      </w:r>
      <w:r w:rsidR="00F417E9" w:rsidRPr="00EC2A6E">
        <w:rPr>
          <w:rFonts w:asciiTheme="minorHAnsi" w:hAnsiTheme="minorHAnsi"/>
        </w:rPr>
        <w:t xml:space="preserve">These </w:t>
      </w:r>
      <w:r w:rsidR="0092156B" w:rsidRPr="00EC2A6E">
        <w:rPr>
          <w:rFonts w:asciiTheme="minorHAnsi" w:hAnsiTheme="minorHAnsi"/>
        </w:rPr>
        <w:t xml:space="preserve">terms </w:t>
      </w:r>
      <w:r w:rsidR="00F417E9" w:rsidRPr="00EC2A6E">
        <w:rPr>
          <w:rFonts w:asciiTheme="minorHAnsi" w:hAnsiTheme="minorHAnsi"/>
        </w:rPr>
        <w:t xml:space="preserve">are not substitutes for the </w:t>
      </w:r>
      <w:r w:rsidR="0092156B" w:rsidRPr="00EC2A6E">
        <w:rPr>
          <w:rFonts w:asciiTheme="minorHAnsi" w:hAnsiTheme="minorHAnsi"/>
        </w:rPr>
        <w:t xml:space="preserve">language of the </w:t>
      </w:r>
      <w:r w:rsidR="00F417E9" w:rsidRPr="00EC2A6E">
        <w:rPr>
          <w:rFonts w:asciiTheme="minorHAnsi" w:hAnsiTheme="minorHAnsi"/>
        </w:rPr>
        <w:t>statut</w:t>
      </w:r>
      <w:r w:rsidR="0092156B" w:rsidRPr="00EC2A6E">
        <w:rPr>
          <w:rFonts w:asciiTheme="minorHAnsi" w:hAnsiTheme="minorHAnsi"/>
        </w:rPr>
        <w:t>e</w:t>
      </w:r>
      <w:r w:rsidR="00F417E9" w:rsidRPr="00EC2A6E">
        <w:rPr>
          <w:rFonts w:asciiTheme="minorHAnsi" w:hAnsiTheme="minorHAnsi"/>
        </w:rPr>
        <w:t>,</w:t>
      </w:r>
      <w:r w:rsidR="0092156B" w:rsidRPr="00EC2A6E">
        <w:rPr>
          <w:rStyle w:val="Style"/>
          <w:rFonts w:asciiTheme="minorHAnsi" w:hAnsiTheme="minorHAnsi"/>
        </w:rPr>
        <w:footnoteReference w:id="593"/>
      </w:r>
      <w:r w:rsidR="00F417E9" w:rsidRPr="00EC2A6E">
        <w:rPr>
          <w:rFonts w:asciiTheme="minorHAnsi" w:hAnsiTheme="minorHAnsi"/>
        </w:rPr>
        <w:t xml:space="preserve"> but describe the effect of applying the law.  </w:t>
      </w:r>
      <w:r w:rsidR="00DA4C5A" w:rsidRPr="00EC2A6E">
        <w:rPr>
          <w:rFonts w:asciiTheme="minorHAnsi" w:hAnsiTheme="minorHAnsi"/>
        </w:rPr>
        <w:t xml:space="preserve">That is, unless the offence is trivial, an order which involves </w:t>
      </w:r>
      <w:r w:rsidR="00DA4C5A" w:rsidRPr="00EC2A6E">
        <w:rPr>
          <w:rFonts w:asciiTheme="minorHAnsi" w:hAnsiTheme="minorHAnsi"/>
          <w:i/>
          <w:iCs/>
        </w:rPr>
        <w:t>no punishment</w:t>
      </w:r>
      <w:r w:rsidR="00DA4C5A" w:rsidRPr="00EC2A6E">
        <w:rPr>
          <w:rFonts w:asciiTheme="minorHAnsi" w:hAnsiTheme="minorHAnsi"/>
        </w:rPr>
        <w:t xml:space="preserve"> or only </w:t>
      </w:r>
      <w:r w:rsidR="00DA4C5A" w:rsidRPr="00EC2A6E">
        <w:rPr>
          <w:rFonts w:asciiTheme="minorHAnsi" w:hAnsiTheme="minorHAnsi"/>
          <w:i/>
          <w:iCs/>
        </w:rPr>
        <w:t>nominal punishment</w:t>
      </w:r>
      <w:r w:rsidR="00DA4C5A" w:rsidRPr="00EC2A6E">
        <w:rPr>
          <w:rFonts w:asciiTheme="minorHAnsi" w:hAnsiTheme="minorHAnsi"/>
        </w:rPr>
        <w:t xml:space="preserve"> will rarely be an </w:t>
      </w:r>
      <w:r w:rsidR="002525F2">
        <w:rPr>
          <w:rFonts w:asciiTheme="minorHAnsi" w:hAnsiTheme="minorHAnsi"/>
        </w:rPr>
        <w:t>o</w:t>
      </w:r>
      <w:r w:rsidR="00DA4C5A" w:rsidRPr="00EC2A6E">
        <w:rPr>
          <w:rFonts w:asciiTheme="minorHAnsi" w:hAnsiTheme="minorHAnsi"/>
          <w:lang w:val="en-US"/>
        </w:rPr>
        <w:t>rder “</w:t>
      </w:r>
      <w:r w:rsidR="00DA4C5A" w:rsidRPr="00EC2A6E">
        <w:rPr>
          <w:rFonts w:asciiTheme="minorHAnsi" w:hAnsiTheme="minorHAnsi"/>
          <w:i/>
          <w:iCs/>
        </w:rPr>
        <w:t>of a severity appropriate in all the circumstances of the offence</w:t>
      </w:r>
      <w:r w:rsidR="00DA4C5A" w:rsidRPr="00EC2A6E">
        <w:rPr>
          <w:rFonts w:asciiTheme="minorHAnsi" w:hAnsiTheme="minorHAnsi"/>
          <w:lang w:val="en-US"/>
        </w:rPr>
        <w:t xml:space="preserve">” (s 16A(1)) or will rarely give sufficient effect to the requirement for adequate punishment </w:t>
      </w:r>
      <w:r w:rsidR="00F417E9" w:rsidRPr="00EC2A6E">
        <w:rPr>
          <w:rFonts w:asciiTheme="minorHAnsi" w:hAnsiTheme="minorHAnsi"/>
          <w:lang w:val="en-US"/>
        </w:rPr>
        <w:t xml:space="preserve">(s 16A(2)(k)) </w:t>
      </w:r>
      <w:r w:rsidR="00DA4C5A" w:rsidRPr="00EC2A6E">
        <w:rPr>
          <w:rFonts w:asciiTheme="minorHAnsi" w:hAnsiTheme="minorHAnsi"/>
          <w:lang w:val="en-US"/>
        </w:rPr>
        <w:t>or take sufficient account of the need for general deterrence</w:t>
      </w:r>
      <w:r w:rsidR="00F417E9" w:rsidRPr="00EC2A6E">
        <w:rPr>
          <w:rFonts w:asciiTheme="minorHAnsi" w:hAnsiTheme="minorHAnsi"/>
          <w:lang w:val="en-US"/>
        </w:rPr>
        <w:t xml:space="preserve"> (s 16A(2)(ja)) or denunciation.</w:t>
      </w:r>
    </w:p>
    <w:p w14:paraId="63209965" w14:textId="77777777" w:rsidR="00552A41" w:rsidRPr="00EC2A6E" w:rsidRDefault="00552A41" w:rsidP="00EB7F1E">
      <w:pPr>
        <w:pStyle w:val="ListParagraph"/>
        <w:rPr>
          <w:rFonts w:asciiTheme="minorHAnsi" w:hAnsiTheme="minorHAnsi"/>
        </w:rPr>
      </w:pPr>
    </w:p>
    <w:p w14:paraId="1ADFE561" w14:textId="7BF19F58" w:rsidR="009F0CE3" w:rsidRPr="00EC2A6E" w:rsidRDefault="00A73679">
      <w:pPr>
        <w:pStyle w:val="ListParagraph"/>
        <w:numPr>
          <w:ilvl w:val="0"/>
          <w:numId w:val="7"/>
        </w:numPr>
        <w:spacing w:line="276" w:lineRule="auto"/>
        <w:ind w:left="425" w:hanging="425"/>
        <w:contextualSpacing w:val="0"/>
        <w:rPr>
          <w:rFonts w:asciiTheme="minorHAnsi" w:hAnsiTheme="minorHAnsi"/>
          <w:u w:val="single"/>
        </w:rPr>
      </w:pPr>
      <w:r w:rsidRPr="00EC2A6E">
        <w:rPr>
          <w:rFonts w:asciiTheme="minorHAnsi" w:hAnsiTheme="minorHAnsi"/>
        </w:rPr>
        <w:t xml:space="preserve">For these reasons, it has been held that an exercise of the discretion under s 19B will be </w:t>
      </w:r>
      <w:r w:rsidR="009101AF" w:rsidRPr="00EC2A6E">
        <w:rPr>
          <w:rFonts w:asciiTheme="minorHAnsi" w:hAnsiTheme="minorHAnsi"/>
        </w:rPr>
        <w:t xml:space="preserve">unusual or </w:t>
      </w:r>
      <w:r w:rsidRPr="00EC2A6E">
        <w:rPr>
          <w:rFonts w:asciiTheme="minorHAnsi" w:hAnsiTheme="minorHAnsi"/>
        </w:rPr>
        <w:t>exceptional in cases involving fraudulent or deliberately deceptive conduct</w:t>
      </w:r>
      <w:r w:rsidRPr="00EC2A6E">
        <w:rPr>
          <w:rStyle w:val="Style"/>
          <w:rFonts w:asciiTheme="minorHAnsi" w:hAnsiTheme="minorHAnsi"/>
        </w:rPr>
        <w:footnoteReference w:id="594"/>
      </w:r>
      <w:r w:rsidRPr="00EC2A6E">
        <w:rPr>
          <w:rFonts w:asciiTheme="minorHAnsi" w:hAnsiTheme="minorHAnsi"/>
        </w:rPr>
        <w:t xml:space="preserve"> or in other cases in which general deterrence is important</w:t>
      </w:r>
      <w:r w:rsidR="002270C6" w:rsidRPr="00EC2A6E">
        <w:rPr>
          <w:rFonts w:asciiTheme="minorHAnsi" w:hAnsiTheme="minorHAnsi"/>
        </w:rPr>
        <w:t xml:space="preserve">. </w:t>
      </w:r>
      <w:r w:rsidRPr="00EC2A6E">
        <w:rPr>
          <w:rFonts w:asciiTheme="minorHAnsi" w:hAnsiTheme="minorHAnsi"/>
        </w:rPr>
        <w:t xml:space="preserve"> </w:t>
      </w:r>
      <w:r w:rsidR="002270C6" w:rsidRPr="00EC2A6E">
        <w:rPr>
          <w:rFonts w:asciiTheme="minorHAnsi" w:hAnsiTheme="minorHAnsi"/>
        </w:rPr>
        <w:t>Examples are</w:t>
      </w:r>
      <w:r w:rsidRPr="00EC2A6E">
        <w:rPr>
          <w:rFonts w:asciiTheme="minorHAnsi" w:hAnsiTheme="minorHAnsi"/>
        </w:rPr>
        <w:t xml:space="preserve"> a case involving dishonesty by a public official (even </w:t>
      </w:r>
      <w:r w:rsidR="002270C6" w:rsidRPr="00EC2A6E">
        <w:rPr>
          <w:rFonts w:asciiTheme="minorHAnsi" w:hAnsiTheme="minorHAnsi"/>
        </w:rPr>
        <w:t>though</w:t>
      </w:r>
      <w:r w:rsidRPr="00EC2A6E">
        <w:rPr>
          <w:rFonts w:asciiTheme="minorHAnsi" w:hAnsiTheme="minorHAnsi"/>
        </w:rPr>
        <w:t xml:space="preserve"> the benefit dishonestly obtained </w:t>
      </w:r>
      <w:r w:rsidR="002270C6" w:rsidRPr="00EC2A6E">
        <w:rPr>
          <w:rFonts w:asciiTheme="minorHAnsi" w:hAnsiTheme="minorHAnsi"/>
        </w:rPr>
        <w:t>was</w:t>
      </w:r>
      <w:r w:rsidRPr="00EC2A6E">
        <w:rPr>
          <w:rFonts w:asciiTheme="minorHAnsi" w:hAnsiTheme="minorHAnsi"/>
        </w:rPr>
        <w:t xml:space="preserve"> relatively small)</w:t>
      </w:r>
      <w:r w:rsidRPr="00EC2A6E">
        <w:rPr>
          <w:rStyle w:val="Style"/>
          <w:rFonts w:asciiTheme="minorHAnsi" w:hAnsiTheme="minorHAnsi"/>
        </w:rPr>
        <w:footnoteReference w:id="595"/>
      </w:r>
      <w:r w:rsidRPr="00EC2A6E">
        <w:rPr>
          <w:rFonts w:asciiTheme="minorHAnsi" w:hAnsiTheme="minorHAnsi"/>
        </w:rPr>
        <w:t xml:space="preserve"> </w:t>
      </w:r>
      <w:r w:rsidR="002270C6" w:rsidRPr="00EC2A6E">
        <w:rPr>
          <w:rFonts w:asciiTheme="minorHAnsi" w:hAnsiTheme="minorHAnsi"/>
        </w:rPr>
        <w:t>and a case involving</w:t>
      </w:r>
      <w:r w:rsidRPr="00EC2A6E">
        <w:rPr>
          <w:rFonts w:asciiTheme="minorHAnsi" w:hAnsiTheme="minorHAnsi"/>
        </w:rPr>
        <w:t xml:space="preserve"> the unauthorised writing of prescriptions by a medical practitioner (despite </w:t>
      </w:r>
      <w:r w:rsidR="002270C6" w:rsidRPr="00EC2A6E">
        <w:rPr>
          <w:rFonts w:asciiTheme="minorHAnsi" w:hAnsiTheme="minorHAnsi"/>
        </w:rPr>
        <w:t xml:space="preserve">the practitioner </w:t>
      </w:r>
      <w:r w:rsidRPr="00EC2A6E">
        <w:rPr>
          <w:rFonts w:asciiTheme="minorHAnsi" w:hAnsiTheme="minorHAnsi"/>
        </w:rPr>
        <w:t>receiving no personal benefit from doing so).</w:t>
      </w:r>
      <w:r w:rsidRPr="00EC2A6E">
        <w:rPr>
          <w:rStyle w:val="Style"/>
          <w:rFonts w:asciiTheme="minorHAnsi" w:hAnsiTheme="minorHAnsi"/>
        </w:rPr>
        <w:footnoteReference w:id="596"/>
      </w:r>
      <w:r w:rsidRPr="00EC2A6E">
        <w:rPr>
          <w:rFonts w:asciiTheme="minorHAnsi" w:hAnsiTheme="minorHAnsi"/>
        </w:rPr>
        <w:t xml:space="preserve">  Similarly, w</w:t>
      </w:r>
      <w:r w:rsidR="005B4F0B" w:rsidRPr="00EC2A6E">
        <w:rPr>
          <w:rFonts w:asciiTheme="minorHAnsi" w:hAnsiTheme="minorHAnsi"/>
        </w:rPr>
        <w:t xml:space="preserve">here offending is serious, a s 19B bond will </w:t>
      </w:r>
      <w:r w:rsidRPr="00EC2A6E">
        <w:rPr>
          <w:rFonts w:asciiTheme="minorHAnsi" w:hAnsiTheme="minorHAnsi"/>
        </w:rPr>
        <w:t xml:space="preserve">usually </w:t>
      </w:r>
      <w:r w:rsidR="005B4F0B" w:rsidRPr="00EC2A6E">
        <w:rPr>
          <w:rFonts w:asciiTheme="minorHAnsi" w:hAnsiTheme="minorHAnsi"/>
        </w:rPr>
        <w:t>be inappropriate notwithstanding the personal circumstances of the offender.</w:t>
      </w:r>
      <w:r w:rsidR="005B4F0B" w:rsidRPr="00EC2A6E">
        <w:rPr>
          <w:rStyle w:val="Style"/>
          <w:rFonts w:asciiTheme="minorHAnsi" w:hAnsiTheme="minorHAnsi"/>
        </w:rPr>
        <w:footnoteReference w:id="597"/>
      </w:r>
    </w:p>
    <w:p w14:paraId="026A32A6" w14:textId="77777777" w:rsidR="009F0CE3" w:rsidRPr="00EC2A6E" w:rsidRDefault="009F0CE3" w:rsidP="00EB7F1E">
      <w:pPr>
        <w:pStyle w:val="ListParagraph"/>
        <w:rPr>
          <w:rFonts w:asciiTheme="minorHAnsi" w:hAnsiTheme="minorHAnsi"/>
        </w:rPr>
      </w:pPr>
    </w:p>
    <w:p w14:paraId="47200D4F" w14:textId="2CC9859A" w:rsidR="00A02359" w:rsidRPr="00EC2A6E" w:rsidRDefault="00A02359" w:rsidP="00EB7F1E">
      <w:pPr>
        <w:pStyle w:val="ListParagraph"/>
        <w:numPr>
          <w:ilvl w:val="0"/>
          <w:numId w:val="7"/>
        </w:numPr>
        <w:spacing w:line="276" w:lineRule="auto"/>
        <w:ind w:left="425" w:hanging="425"/>
        <w:contextualSpacing w:val="0"/>
        <w:rPr>
          <w:rFonts w:asciiTheme="minorHAnsi" w:hAnsiTheme="minorHAnsi"/>
          <w:u w:val="single"/>
        </w:rPr>
      </w:pPr>
      <w:r w:rsidRPr="00EC2A6E">
        <w:rPr>
          <w:rFonts w:asciiTheme="minorHAnsi" w:hAnsiTheme="minorHAnsi"/>
        </w:rPr>
        <w:t xml:space="preserve">In </w:t>
      </w:r>
      <w:r w:rsidR="004D0D93" w:rsidRPr="00EC2A6E">
        <w:rPr>
          <w:rFonts w:asciiTheme="minorHAnsi" w:hAnsiTheme="minorHAnsi"/>
          <w:i/>
        </w:rPr>
        <w:t>Moroney</w:t>
      </w:r>
      <w:r w:rsidRPr="00EC2A6E">
        <w:rPr>
          <w:rFonts w:asciiTheme="minorHAnsi" w:hAnsiTheme="minorHAnsi"/>
        </w:rPr>
        <w:t>,</w:t>
      </w:r>
      <w:r w:rsidR="004D0D93" w:rsidRPr="00EC2A6E">
        <w:rPr>
          <w:rStyle w:val="Style"/>
          <w:rFonts w:asciiTheme="minorHAnsi" w:hAnsiTheme="minorHAnsi"/>
        </w:rPr>
        <w:footnoteReference w:id="598"/>
      </w:r>
      <w:r w:rsidRPr="00EC2A6E">
        <w:rPr>
          <w:rFonts w:asciiTheme="minorHAnsi" w:hAnsiTheme="minorHAnsi"/>
        </w:rPr>
        <w:t xml:space="preserve"> </w:t>
      </w:r>
      <w:r w:rsidR="004D0D93" w:rsidRPr="00EC2A6E">
        <w:rPr>
          <w:rFonts w:asciiTheme="minorHAnsi" w:hAnsiTheme="minorHAnsi"/>
        </w:rPr>
        <w:t xml:space="preserve">T </w:t>
      </w:r>
      <w:r w:rsidRPr="00EC2A6E">
        <w:rPr>
          <w:rFonts w:asciiTheme="minorHAnsi" w:hAnsiTheme="minorHAnsi"/>
        </w:rPr>
        <w:t xml:space="preserve">Forrest </w:t>
      </w:r>
      <w:r w:rsidR="004D0D93" w:rsidRPr="00EC2A6E">
        <w:rPr>
          <w:rFonts w:asciiTheme="minorHAnsi" w:hAnsiTheme="minorHAnsi"/>
        </w:rPr>
        <w:t>J observed</w:t>
      </w:r>
      <w:r w:rsidRPr="00EC2A6E">
        <w:rPr>
          <w:rFonts w:asciiTheme="minorHAnsi" w:hAnsiTheme="minorHAnsi"/>
        </w:rPr>
        <w:t xml:space="preserve"> that s 19B is probably being overused in Victoria in the context of welfare fraud.</w:t>
      </w:r>
      <w:r w:rsidR="00D57836" w:rsidRPr="00EC2A6E">
        <w:rPr>
          <w:rStyle w:val="Style"/>
          <w:rFonts w:asciiTheme="minorHAnsi" w:hAnsiTheme="minorHAnsi"/>
        </w:rPr>
        <w:footnoteReference w:id="599"/>
      </w:r>
    </w:p>
    <w:p w14:paraId="0119F2EA" w14:textId="77777777" w:rsidR="00672622" w:rsidRPr="00672622" w:rsidRDefault="00672622" w:rsidP="00672622">
      <w:pPr>
        <w:spacing w:line="276" w:lineRule="auto"/>
        <w:ind w:right="28"/>
        <w:rPr>
          <w:rFonts w:asciiTheme="minorHAnsi" w:hAnsiTheme="minorHAnsi"/>
          <w:u w:val="single"/>
        </w:rPr>
      </w:pPr>
    </w:p>
    <w:p w14:paraId="63F98037" w14:textId="39C3D9EE" w:rsidR="00672622" w:rsidRDefault="00672622" w:rsidP="001F7E6F">
      <w:pPr>
        <w:pStyle w:val="Heading3"/>
      </w:pPr>
      <w:bookmarkStart w:id="1580" w:name="_Toc33602822"/>
      <w:r>
        <w:t>Single bond may be ordered for two or more federal offences</w:t>
      </w:r>
      <w:bookmarkEnd w:id="1580"/>
    </w:p>
    <w:p w14:paraId="43A7D22F" w14:textId="7734E965" w:rsidR="00672622" w:rsidRDefault="00672622" w:rsidP="001F7E6F">
      <w:pPr>
        <w:keepNext/>
        <w:spacing w:line="276" w:lineRule="auto"/>
        <w:rPr>
          <w:rFonts w:asciiTheme="minorHAnsi" w:hAnsiTheme="minorHAnsi"/>
          <w:u w:val="single"/>
        </w:rPr>
      </w:pPr>
    </w:p>
    <w:p w14:paraId="1626E1A3" w14:textId="43CEFF37" w:rsidR="00DE687E" w:rsidRPr="0016057C" w:rsidRDefault="00DE687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general, the imposition of a single penalty in relation to more than one offence is permitted only to the extent that it is clearly </w:t>
      </w:r>
      <w:r w:rsidR="00F47D0C">
        <w:rPr>
          <w:rFonts w:asciiTheme="minorHAnsi" w:hAnsiTheme="minorHAnsi"/>
        </w:rPr>
        <w:t>author</w:t>
      </w:r>
      <w:r w:rsidR="00B86888">
        <w:rPr>
          <w:rFonts w:asciiTheme="minorHAnsi" w:hAnsiTheme="minorHAnsi"/>
        </w:rPr>
        <w:t>ised</w:t>
      </w:r>
      <w:r>
        <w:rPr>
          <w:rFonts w:asciiTheme="minorHAnsi" w:hAnsiTheme="minorHAnsi"/>
        </w:rPr>
        <w:t xml:space="preserve"> by statute.  Commonwealth legislation provides for aggregate penalties only in limited circumstances.  The main provision permitting aggregate penalties in courts of summary jurisdiction is s 4K(4) of the </w:t>
      </w:r>
      <w:r w:rsidR="00885EFD" w:rsidRPr="00885EFD">
        <w:rPr>
          <w:rFonts w:asciiTheme="minorHAnsi" w:hAnsiTheme="minorHAnsi"/>
          <w:i/>
        </w:rPr>
        <w:t>Crimes Act 1914</w:t>
      </w:r>
      <w:r w:rsidRPr="00593B89">
        <w:rPr>
          <w:rFonts w:asciiTheme="minorHAnsi" w:hAnsiTheme="minorHAnsi"/>
          <w:i/>
        </w:rPr>
        <w:t xml:space="preserve"> </w:t>
      </w:r>
      <w:r>
        <w:rPr>
          <w:rFonts w:asciiTheme="minorHAnsi" w:hAnsiTheme="minorHAnsi"/>
        </w:rPr>
        <w:t xml:space="preserve">(Cth).  That sub-section permits an aggregate penalty only </w:t>
      </w:r>
      <w:r w:rsidRPr="00DE687E">
        <w:rPr>
          <w:rFonts w:asciiTheme="minorHAnsi" w:hAnsiTheme="minorHAnsi"/>
        </w:rPr>
        <w:t xml:space="preserve">for offences against the same provision of a law of the Commonwealth </w:t>
      </w:r>
      <w:r w:rsidR="001A11E9">
        <w:rPr>
          <w:rFonts w:asciiTheme="minorHAnsi" w:hAnsiTheme="minorHAnsi"/>
        </w:rPr>
        <w:t xml:space="preserve">which </w:t>
      </w:r>
      <w:r w:rsidRPr="00DE687E">
        <w:rPr>
          <w:rFonts w:asciiTheme="minorHAnsi" w:hAnsiTheme="minorHAnsi"/>
        </w:rPr>
        <w:t>are founded on the same facts, or form, or are part of, a series of offences of the same or a similar character</w:t>
      </w:r>
      <w:r w:rsidRPr="001A11E9">
        <w:rPr>
          <w:rFonts w:asciiTheme="minorHAnsi" w:hAnsiTheme="minorHAnsi"/>
        </w:rPr>
        <w:t>.</w:t>
      </w:r>
      <w:r w:rsidR="001A11E9" w:rsidRPr="001A11E9">
        <w:rPr>
          <w:rFonts w:asciiTheme="minorHAnsi" w:hAnsiTheme="minorHAnsi"/>
        </w:rPr>
        <w:t xml:space="preserve">  </w:t>
      </w:r>
      <w:r w:rsidR="001A11E9">
        <w:rPr>
          <w:rFonts w:asciiTheme="minorHAnsi" w:hAnsiTheme="minorHAnsi"/>
        </w:rPr>
        <w:t>Section 4K(4) only relates to the aggregation of post-conviction penalties</w:t>
      </w:r>
      <w:r w:rsidR="005930DF">
        <w:rPr>
          <w:rFonts w:asciiTheme="minorHAnsi" w:hAnsiTheme="minorHAnsi"/>
        </w:rPr>
        <w:t>, not a non-conviction order such as an order under s 19B(1)(d)</w:t>
      </w:r>
      <w:r w:rsidR="001A11E9">
        <w:rPr>
          <w:rFonts w:asciiTheme="minorHAnsi" w:hAnsiTheme="minorHAnsi"/>
        </w:rPr>
        <w:t xml:space="preserve">. </w:t>
      </w:r>
      <w:r>
        <w:rPr>
          <w:rFonts w:asciiTheme="minorHAnsi" w:hAnsiTheme="minorHAnsi"/>
        </w:rPr>
        <w:t xml:space="preserve">  (See further “</w:t>
      </w:r>
      <w:r>
        <w:rPr>
          <w:rFonts w:asciiTheme="minorHAnsi" w:hAnsiTheme="minorHAnsi"/>
        </w:rPr>
        <w:fldChar w:fldCharType="begin"/>
      </w:r>
      <w:r>
        <w:rPr>
          <w:rFonts w:asciiTheme="minorHAnsi" w:hAnsiTheme="minorHAnsi"/>
        </w:rPr>
        <w:instrText xml:space="preserve"> REF _Ref492823967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7.10</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_Ref492823974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Aggregate penalty</w:t>
      </w:r>
      <w:r>
        <w:rPr>
          <w:rFonts w:asciiTheme="minorHAnsi" w:hAnsiTheme="minorHAnsi"/>
        </w:rPr>
        <w:fldChar w:fldCharType="end"/>
      </w:r>
      <w:r>
        <w:rPr>
          <w:rFonts w:asciiTheme="minorHAnsi" w:hAnsiTheme="minorHAnsi"/>
        </w:rPr>
        <w:t>”.)</w:t>
      </w:r>
    </w:p>
    <w:p w14:paraId="6CAADAD7" w14:textId="77777777" w:rsidR="00DE687E" w:rsidRPr="00672622" w:rsidRDefault="00DE687E" w:rsidP="00DE687E">
      <w:pPr>
        <w:spacing w:line="276" w:lineRule="auto"/>
        <w:ind w:right="28"/>
        <w:rPr>
          <w:rFonts w:asciiTheme="minorHAnsi" w:hAnsiTheme="minorHAnsi"/>
          <w:u w:val="single"/>
        </w:rPr>
      </w:pPr>
    </w:p>
    <w:p w14:paraId="43EAC293" w14:textId="481BB2A9" w:rsidR="00672622" w:rsidRDefault="003124F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0016057C">
        <w:rPr>
          <w:rFonts w:asciiTheme="minorHAnsi" w:hAnsiTheme="minorHAnsi"/>
        </w:rPr>
        <w:t xml:space="preserve">its own terms, s 19B applies whenever a person is charged before a court with one or more federal offences.  </w:t>
      </w:r>
      <w:r w:rsidR="00BC2E12">
        <w:rPr>
          <w:rFonts w:asciiTheme="minorHAnsi" w:hAnsiTheme="minorHAnsi"/>
        </w:rPr>
        <w:t xml:space="preserve">It is implicit that a single order may be made in relation to more than one of the offences with which the person is charged.  </w:t>
      </w:r>
      <w:r>
        <w:rPr>
          <w:rFonts w:asciiTheme="minorHAnsi" w:hAnsiTheme="minorHAnsi"/>
        </w:rPr>
        <w:t xml:space="preserve">By contrast with s 4K, there </w:t>
      </w:r>
      <w:r w:rsidR="00BC2E12">
        <w:rPr>
          <w:rFonts w:asciiTheme="minorHAnsi" w:hAnsiTheme="minorHAnsi"/>
        </w:rPr>
        <w:t>is no explicit requirement that the charges be for the same offence</w:t>
      </w:r>
      <w:r>
        <w:rPr>
          <w:rFonts w:asciiTheme="minorHAnsi" w:hAnsiTheme="minorHAnsi"/>
        </w:rPr>
        <w:t>, or for offences against the same provision of the Commonwealth law</w:t>
      </w:r>
      <w:r w:rsidR="00BC2E12">
        <w:rPr>
          <w:rFonts w:asciiTheme="minorHAnsi" w:hAnsiTheme="minorHAnsi"/>
        </w:rPr>
        <w:t xml:space="preserve">, or </w:t>
      </w:r>
      <w:r>
        <w:rPr>
          <w:rFonts w:asciiTheme="minorHAnsi" w:hAnsiTheme="minorHAnsi"/>
        </w:rPr>
        <w:t xml:space="preserve">for offences </w:t>
      </w:r>
      <w:r w:rsidR="00BC2E12">
        <w:rPr>
          <w:rFonts w:asciiTheme="minorHAnsi" w:hAnsiTheme="minorHAnsi"/>
        </w:rPr>
        <w:t>of the same or similar nature, or that they be contained in the same charge-sheet or information.</w:t>
      </w:r>
      <w:r>
        <w:rPr>
          <w:rFonts w:asciiTheme="minorHAnsi" w:hAnsiTheme="minorHAnsi"/>
        </w:rPr>
        <w:t xml:space="preserve">  The better view would appear to be that the power to make a single order </w:t>
      </w:r>
      <w:r w:rsidR="002B6A70">
        <w:rPr>
          <w:rFonts w:asciiTheme="minorHAnsi" w:hAnsiTheme="minorHAnsi"/>
        </w:rPr>
        <w:t xml:space="preserve">under </w:t>
      </w:r>
      <w:r>
        <w:rPr>
          <w:rFonts w:asciiTheme="minorHAnsi" w:hAnsiTheme="minorHAnsi"/>
        </w:rPr>
        <w:t xml:space="preserve">s 19B </w:t>
      </w:r>
      <w:r w:rsidR="002B6A70">
        <w:rPr>
          <w:rFonts w:asciiTheme="minorHAnsi" w:hAnsiTheme="minorHAnsi"/>
        </w:rPr>
        <w:t xml:space="preserve">in relation to multiple offences </w:t>
      </w:r>
      <w:r>
        <w:rPr>
          <w:rFonts w:asciiTheme="minorHAnsi" w:hAnsiTheme="minorHAnsi"/>
        </w:rPr>
        <w:t>is not subject to any such implied limitations</w:t>
      </w:r>
      <w:r w:rsidR="002B6A70">
        <w:rPr>
          <w:rFonts w:asciiTheme="minorHAnsi" w:hAnsiTheme="minorHAnsi"/>
        </w:rPr>
        <w:t>.</w:t>
      </w:r>
    </w:p>
    <w:p w14:paraId="7F8A76FC" w14:textId="77777777" w:rsidR="002B6A70" w:rsidRPr="002B6A70" w:rsidRDefault="002B6A70" w:rsidP="002B6A70">
      <w:pPr>
        <w:pStyle w:val="ListParagraph"/>
        <w:rPr>
          <w:rFonts w:asciiTheme="minorHAnsi" w:hAnsiTheme="minorHAnsi"/>
        </w:rPr>
      </w:pPr>
    </w:p>
    <w:p w14:paraId="69A1E3F8" w14:textId="631AB853" w:rsidR="002B6A70" w:rsidRDefault="002B6A7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It should be noted, however, that there is no power to combine an order under s 19B with any kind of bond or order in relation to State or Territory offences.</w:t>
      </w:r>
    </w:p>
    <w:p w14:paraId="2390A5A9" w14:textId="77777777" w:rsidR="00BC2E12" w:rsidRPr="00BC2E12" w:rsidRDefault="00BC2E12" w:rsidP="00BC2E12">
      <w:pPr>
        <w:spacing w:line="276" w:lineRule="auto"/>
        <w:ind w:right="28"/>
        <w:rPr>
          <w:rFonts w:asciiTheme="minorHAnsi" w:hAnsiTheme="minorHAnsi"/>
        </w:rPr>
      </w:pPr>
    </w:p>
    <w:p w14:paraId="33D103C4" w14:textId="65174C5E" w:rsidR="00B44D7A" w:rsidRPr="00672622" w:rsidRDefault="008C6403" w:rsidP="001F7E6F">
      <w:pPr>
        <w:pStyle w:val="Heading3"/>
      </w:pPr>
      <w:bookmarkStart w:id="1581" w:name="_Toc33602823"/>
      <w:r w:rsidRPr="00672622">
        <w:t xml:space="preserve">Length of </w:t>
      </w:r>
      <w:r w:rsidR="0038668C">
        <w:t>good behaviour period</w:t>
      </w:r>
      <w:r w:rsidR="00B51B4F">
        <w:t xml:space="preserve"> under s 19B</w:t>
      </w:r>
      <w:bookmarkEnd w:id="1581"/>
      <w:r w:rsidR="0038668C">
        <w:t xml:space="preserve"> </w:t>
      </w:r>
    </w:p>
    <w:p w14:paraId="748A35AA" w14:textId="77777777" w:rsidR="00146BAA" w:rsidRPr="00C00000" w:rsidRDefault="00146BAA" w:rsidP="001F7E6F">
      <w:pPr>
        <w:keepNext/>
        <w:spacing w:line="276" w:lineRule="auto"/>
        <w:rPr>
          <w:rFonts w:asciiTheme="minorHAnsi" w:hAnsiTheme="minorHAnsi"/>
        </w:rPr>
      </w:pPr>
    </w:p>
    <w:p w14:paraId="1658793C" w14:textId="1F296F86" w:rsidR="00B51B4F" w:rsidRPr="00C00000" w:rsidRDefault="00A1220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 recognizance (or other security)</w:t>
      </w:r>
      <w:r w:rsidR="00B51B4F">
        <w:rPr>
          <w:rFonts w:asciiTheme="minorHAnsi" w:hAnsiTheme="minorHAnsi"/>
        </w:rPr>
        <w:t xml:space="preserve"> under s 19B</w:t>
      </w:r>
      <w:r>
        <w:rPr>
          <w:rFonts w:asciiTheme="minorHAnsi" w:hAnsiTheme="minorHAnsi"/>
        </w:rPr>
        <w:t xml:space="preserve"> </w:t>
      </w:r>
      <w:r w:rsidR="00B51B4F" w:rsidRPr="00C00000">
        <w:rPr>
          <w:rFonts w:asciiTheme="minorHAnsi" w:hAnsiTheme="minorHAnsi"/>
        </w:rPr>
        <w:t>may</w:t>
      </w:r>
      <w:r w:rsidR="00D32B52">
        <w:rPr>
          <w:rFonts w:asciiTheme="minorHAnsi" w:hAnsiTheme="minorHAnsi"/>
        </w:rPr>
        <w:t xml:space="preserve"> be</w:t>
      </w:r>
      <w:r w:rsidR="00B51B4F" w:rsidRPr="00C00000">
        <w:rPr>
          <w:rFonts w:asciiTheme="minorHAnsi" w:hAnsiTheme="minorHAnsi"/>
        </w:rPr>
        <w:t xml:space="preserve"> </w:t>
      </w:r>
      <w:r w:rsidR="00B51B4F">
        <w:rPr>
          <w:rFonts w:asciiTheme="minorHAnsi" w:hAnsiTheme="minorHAnsi"/>
        </w:rPr>
        <w:t xml:space="preserve">(and almost always is) conditional on the </w:t>
      </w:r>
      <w:r>
        <w:rPr>
          <w:rFonts w:asciiTheme="minorHAnsi" w:hAnsiTheme="minorHAnsi"/>
        </w:rPr>
        <w:t>person</w:t>
      </w:r>
      <w:r w:rsidR="00B51B4F">
        <w:rPr>
          <w:rFonts w:asciiTheme="minorHAnsi" w:hAnsiTheme="minorHAnsi"/>
        </w:rPr>
        <w:t xml:space="preserve"> being of good behaviour for a specified period, not exceeding</w:t>
      </w:r>
      <w:r>
        <w:rPr>
          <w:rFonts w:asciiTheme="minorHAnsi" w:hAnsiTheme="minorHAnsi"/>
        </w:rPr>
        <w:t xml:space="preserve"> 3</w:t>
      </w:r>
      <w:r w:rsidR="00B51B4F" w:rsidRPr="00C00000">
        <w:rPr>
          <w:rFonts w:asciiTheme="minorHAnsi" w:hAnsiTheme="minorHAnsi"/>
        </w:rPr>
        <w:t xml:space="preserve"> years</w:t>
      </w:r>
      <w:r w:rsidR="00B51B4F">
        <w:rPr>
          <w:rFonts w:asciiTheme="minorHAnsi" w:hAnsiTheme="minorHAnsi"/>
        </w:rPr>
        <w:t>.</w:t>
      </w:r>
    </w:p>
    <w:p w14:paraId="596BF210" w14:textId="77777777" w:rsidR="00CC5764" w:rsidRPr="00CC5764" w:rsidRDefault="00CC5764" w:rsidP="00CC5764">
      <w:pPr>
        <w:spacing w:line="276" w:lineRule="auto"/>
        <w:ind w:right="28"/>
        <w:rPr>
          <w:rFonts w:asciiTheme="minorHAnsi" w:hAnsiTheme="minorHAnsi"/>
        </w:rPr>
      </w:pPr>
    </w:p>
    <w:p w14:paraId="6D7FDFD2" w14:textId="4B7084C1" w:rsidR="00A1220C" w:rsidRDefault="00A1220C" w:rsidP="001F7E6F">
      <w:pPr>
        <w:pStyle w:val="Heading3"/>
      </w:pPr>
      <w:bookmarkStart w:id="1582" w:name="_Toc33602824"/>
      <w:r>
        <w:t>Reparation, restitution, compensation or costs as a condition of a bond</w:t>
      </w:r>
      <w:bookmarkEnd w:id="1582"/>
    </w:p>
    <w:p w14:paraId="5EE8EBE9" w14:textId="77777777" w:rsidR="00A1220C" w:rsidRPr="00051102" w:rsidRDefault="00A1220C" w:rsidP="001F7E6F">
      <w:pPr>
        <w:pStyle w:val="NormalIndent"/>
        <w:keepNext/>
        <w:rPr>
          <w:rFonts w:ascii="Calibri" w:hAnsi="Calibri"/>
        </w:rPr>
      </w:pPr>
    </w:p>
    <w:p w14:paraId="6A7C99E6" w14:textId="6C9B4993" w:rsidR="00A04626" w:rsidRDefault="00A1220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accordance with s 19B(1)(d)(ii), a court may impose a condition of a s 19B bond that the offender make </w:t>
      </w:r>
      <w:r w:rsidRPr="00967B8B">
        <w:rPr>
          <w:rFonts w:asciiTheme="minorHAnsi" w:hAnsiTheme="minorHAnsi"/>
        </w:rPr>
        <w:t>reparation</w:t>
      </w:r>
      <w:r>
        <w:rPr>
          <w:rFonts w:asciiTheme="minorHAnsi" w:hAnsiTheme="minorHAnsi"/>
        </w:rPr>
        <w:t xml:space="preserve"> or</w:t>
      </w:r>
      <w:r w:rsidRPr="00967B8B">
        <w:rPr>
          <w:rFonts w:asciiTheme="minorHAnsi" w:hAnsiTheme="minorHAnsi"/>
        </w:rPr>
        <w:t xml:space="preserve"> restitution, </w:t>
      </w:r>
      <w:r>
        <w:rPr>
          <w:rFonts w:asciiTheme="minorHAnsi" w:hAnsiTheme="minorHAnsi"/>
        </w:rPr>
        <w:t xml:space="preserve">or pay </w:t>
      </w:r>
      <w:r w:rsidRPr="00967B8B">
        <w:rPr>
          <w:rFonts w:asciiTheme="minorHAnsi" w:hAnsiTheme="minorHAnsi"/>
        </w:rPr>
        <w:t>compensation or costs</w:t>
      </w:r>
      <w:r>
        <w:rPr>
          <w:rFonts w:asciiTheme="minorHAnsi" w:hAnsiTheme="minorHAnsi"/>
        </w:rPr>
        <w:t xml:space="preserve">, on or before a specified date, or by specified instalments.  The condition may be for any making of </w:t>
      </w:r>
      <w:r w:rsidRPr="00967B8B">
        <w:rPr>
          <w:rFonts w:asciiTheme="minorHAnsi" w:hAnsiTheme="minorHAnsi"/>
        </w:rPr>
        <w:t>reparation</w:t>
      </w:r>
      <w:r>
        <w:rPr>
          <w:rFonts w:asciiTheme="minorHAnsi" w:hAnsiTheme="minorHAnsi"/>
        </w:rPr>
        <w:t xml:space="preserve"> or</w:t>
      </w:r>
      <w:r w:rsidRPr="00967B8B">
        <w:rPr>
          <w:rFonts w:asciiTheme="minorHAnsi" w:hAnsiTheme="minorHAnsi"/>
        </w:rPr>
        <w:t xml:space="preserve"> restitution, </w:t>
      </w:r>
      <w:r>
        <w:rPr>
          <w:rFonts w:asciiTheme="minorHAnsi" w:hAnsiTheme="minorHAnsi"/>
        </w:rPr>
        <w:t xml:space="preserve">or payment of </w:t>
      </w:r>
      <w:r w:rsidRPr="00967B8B">
        <w:rPr>
          <w:rFonts w:asciiTheme="minorHAnsi" w:hAnsiTheme="minorHAnsi"/>
        </w:rPr>
        <w:t>compensation or costs</w:t>
      </w:r>
      <w:r>
        <w:rPr>
          <w:rFonts w:asciiTheme="minorHAnsi" w:hAnsiTheme="minorHAnsi"/>
        </w:rPr>
        <w:t xml:space="preserve"> that the court is otherwise empowered to order.</w:t>
      </w:r>
    </w:p>
    <w:p w14:paraId="1C62790D" w14:textId="77777777" w:rsidR="00A04626" w:rsidRPr="00EB7F1E" w:rsidRDefault="00A04626" w:rsidP="00EB7F1E">
      <w:pPr>
        <w:spacing w:line="276" w:lineRule="auto"/>
        <w:rPr>
          <w:rFonts w:asciiTheme="minorHAnsi" w:hAnsiTheme="minorHAnsi"/>
        </w:rPr>
      </w:pPr>
    </w:p>
    <w:p w14:paraId="1EF32723" w14:textId="67A1D1B5" w:rsidR="00A04626" w:rsidRDefault="00734B1B" w:rsidP="00A04626">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It is usually more appropriate for reparation to be the subject of a separate order, rather than made a condition of a recognizance.</w:t>
      </w:r>
      <w:r w:rsidRPr="00C00000">
        <w:rPr>
          <w:rStyle w:val="Style"/>
          <w:rFonts w:asciiTheme="minorHAnsi" w:hAnsiTheme="minorHAnsi"/>
        </w:rPr>
        <w:footnoteReference w:id="600"/>
      </w:r>
      <w:r>
        <w:rPr>
          <w:rFonts w:asciiTheme="minorHAnsi" w:hAnsiTheme="minorHAnsi"/>
        </w:rPr>
        <w:t xml:space="preserve">  As to the making of a reparation order, see “</w:t>
      </w:r>
      <w:r>
        <w:rPr>
          <w:rFonts w:asciiTheme="minorHAnsi" w:hAnsiTheme="minorHAnsi"/>
        </w:rPr>
        <w:fldChar w:fldCharType="begin"/>
      </w:r>
      <w:r>
        <w:rPr>
          <w:rFonts w:asciiTheme="minorHAnsi" w:hAnsiTheme="minorHAnsi"/>
        </w:rPr>
        <w:instrText xml:space="preserve"> REF _Ref494544049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6.1</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_Ref494544049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Reparation – Crimes Act 1914, s 21B</w:t>
      </w:r>
      <w:r>
        <w:rPr>
          <w:rFonts w:asciiTheme="minorHAnsi" w:hAnsiTheme="minorHAnsi"/>
        </w:rPr>
        <w:fldChar w:fldCharType="end"/>
      </w:r>
      <w:r>
        <w:rPr>
          <w:rFonts w:asciiTheme="minorHAnsi" w:hAnsiTheme="minorHAnsi"/>
        </w:rPr>
        <w:t>”.</w:t>
      </w:r>
    </w:p>
    <w:p w14:paraId="663BEDF3" w14:textId="77777777" w:rsidR="00A1220C" w:rsidRPr="00051102" w:rsidRDefault="00A1220C" w:rsidP="00A1220C">
      <w:pPr>
        <w:pStyle w:val="NormalIndent"/>
        <w:rPr>
          <w:rFonts w:ascii="Calibri" w:hAnsi="Calibri"/>
        </w:rPr>
      </w:pPr>
    </w:p>
    <w:p w14:paraId="02CB9565" w14:textId="28BE50DB" w:rsidR="002D5937" w:rsidRDefault="002D5937" w:rsidP="001F7E6F">
      <w:pPr>
        <w:pStyle w:val="Heading3"/>
      </w:pPr>
      <w:bookmarkStart w:id="1583" w:name="_Toc33602825"/>
      <w:r>
        <w:t>Probation as a condition of a bond</w:t>
      </w:r>
      <w:bookmarkEnd w:id="1583"/>
    </w:p>
    <w:p w14:paraId="64471F19" w14:textId="77777777" w:rsidR="002D5937" w:rsidRPr="00051102" w:rsidRDefault="002D5937" w:rsidP="001F7E6F">
      <w:pPr>
        <w:pStyle w:val="NormalIndent"/>
        <w:keepNext/>
        <w:rPr>
          <w:rFonts w:ascii="Calibri" w:hAnsi="Calibri"/>
        </w:rPr>
      </w:pPr>
    </w:p>
    <w:p w14:paraId="0A0C27F5" w14:textId="378DBD30" w:rsidR="002D5937" w:rsidRPr="002D5937" w:rsidRDefault="002D593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accordance with s 19B(1)(d)(iii), a s 19B bond may include a </w:t>
      </w:r>
      <w:r w:rsidRPr="002D5937">
        <w:rPr>
          <w:rFonts w:asciiTheme="minorHAnsi" w:hAnsiTheme="minorHAnsi"/>
        </w:rPr>
        <w:t>condition that the person will, during the period so specified, be subject to the supervision of a probation officer appointed in accordance with the order and obey all reasonable directions of a probation officer so appointed.</w:t>
      </w:r>
      <w:r w:rsidR="00294FBB">
        <w:rPr>
          <w:rFonts w:asciiTheme="minorHAnsi" w:hAnsiTheme="minorHAnsi"/>
        </w:rPr>
        <w:t xml:space="preserve">  However there do not appear to be any statutory mechanisms or administrative arrangements that would allow State or Territory probation officers to perform functions under such an order.</w:t>
      </w:r>
    </w:p>
    <w:p w14:paraId="17DFFEE4" w14:textId="77777777" w:rsidR="002D5937" w:rsidRPr="00051102" w:rsidRDefault="002D5937" w:rsidP="002D5937">
      <w:pPr>
        <w:pStyle w:val="NormalIndent"/>
        <w:rPr>
          <w:rFonts w:ascii="Calibri" w:hAnsi="Calibri"/>
        </w:rPr>
      </w:pPr>
    </w:p>
    <w:p w14:paraId="3CEBC2BC" w14:textId="38C215FC" w:rsidR="00CC5764" w:rsidRPr="00672622" w:rsidRDefault="00A1220C" w:rsidP="001F7E6F">
      <w:pPr>
        <w:pStyle w:val="Heading3"/>
      </w:pPr>
      <w:bookmarkStart w:id="1584" w:name="_Toc33602826"/>
      <w:r>
        <w:t>Other c</w:t>
      </w:r>
      <w:r w:rsidR="00CC5764">
        <w:t xml:space="preserve">onditions of </w:t>
      </w:r>
      <w:r w:rsidR="00CC5764" w:rsidRPr="00672622">
        <w:t>bond</w:t>
      </w:r>
      <w:bookmarkEnd w:id="1584"/>
    </w:p>
    <w:p w14:paraId="3B9A6D41" w14:textId="77777777" w:rsidR="00CC5764" w:rsidRPr="00C00000" w:rsidRDefault="00CC5764" w:rsidP="001F7E6F">
      <w:pPr>
        <w:keepNext/>
        <w:spacing w:line="276" w:lineRule="auto"/>
        <w:rPr>
          <w:rFonts w:asciiTheme="minorHAnsi" w:hAnsiTheme="minorHAnsi"/>
        </w:rPr>
      </w:pPr>
    </w:p>
    <w:p w14:paraId="3900C68C" w14:textId="616917BE" w:rsidR="0069680D" w:rsidRDefault="00A1220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accordance with s 19B(1)(d)(iii), </w:t>
      </w:r>
      <w:r w:rsidR="002D5937">
        <w:rPr>
          <w:rFonts w:asciiTheme="minorHAnsi" w:hAnsiTheme="minorHAnsi"/>
        </w:rPr>
        <w:t>a court may impose such other conditions in a s 19B bond</w:t>
      </w:r>
      <w:r w:rsidR="008C6403" w:rsidRPr="00C00000">
        <w:rPr>
          <w:rFonts w:asciiTheme="minorHAnsi" w:hAnsiTheme="minorHAnsi"/>
        </w:rPr>
        <w:t xml:space="preserve"> “as the Court thinks fit to specify in the ord</w:t>
      </w:r>
      <w:r w:rsidR="002D5937">
        <w:rPr>
          <w:rFonts w:asciiTheme="minorHAnsi" w:hAnsiTheme="minorHAnsi"/>
        </w:rPr>
        <w:t>er”.</w:t>
      </w:r>
      <w:r w:rsidR="0069680D">
        <w:rPr>
          <w:rFonts w:asciiTheme="minorHAnsi" w:hAnsiTheme="minorHAnsi"/>
        </w:rPr>
        <w:t xml:space="preserve">  </w:t>
      </w:r>
      <w:r w:rsidR="00BB5023">
        <w:rPr>
          <w:rFonts w:asciiTheme="minorHAnsi" w:hAnsiTheme="minorHAnsi"/>
        </w:rPr>
        <w:t>Despite the apparent breadth of this provision, it is subject to implied limitations.</w:t>
      </w:r>
      <w:r w:rsidR="00BB5023" w:rsidRPr="00C00000">
        <w:rPr>
          <w:rStyle w:val="Style"/>
          <w:rFonts w:asciiTheme="minorHAnsi" w:hAnsiTheme="minorHAnsi"/>
        </w:rPr>
        <w:footnoteReference w:id="601"/>
      </w:r>
      <w:r w:rsidR="00BB5023">
        <w:rPr>
          <w:rFonts w:asciiTheme="minorHAnsi" w:hAnsiTheme="minorHAnsi"/>
        </w:rPr>
        <w:t xml:space="preserve">  </w:t>
      </w:r>
      <w:r w:rsidR="00D54294">
        <w:rPr>
          <w:rFonts w:asciiTheme="minorHAnsi" w:hAnsiTheme="minorHAnsi"/>
        </w:rPr>
        <w:t xml:space="preserve">One such limitation is the </w:t>
      </w:r>
      <w:r w:rsidR="00D54294" w:rsidRPr="00D54294">
        <w:rPr>
          <w:rFonts w:asciiTheme="minorHAnsi" w:hAnsiTheme="minorHAnsi"/>
        </w:rPr>
        <w:t>general law principle that a person who has not been convicted o</w:t>
      </w:r>
      <w:r w:rsidR="00A04626">
        <w:rPr>
          <w:rFonts w:asciiTheme="minorHAnsi" w:hAnsiTheme="minorHAnsi"/>
        </w:rPr>
        <w:t>f</w:t>
      </w:r>
      <w:r w:rsidR="00D54294" w:rsidRPr="00D54294">
        <w:rPr>
          <w:rFonts w:asciiTheme="minorHAnsi" w:hAnsiTheme="minorHAnsi"/>
        </w:rPr>
        <w:t xml:space="preserve"> an offence should not be punished by a court</w:t>
      </w:r>
      <w:r w:rsidR="00A6569D" w:rsidRPr="00A6569D">
        <w:rPr>
          <w:rFonts w:asciiTheme="minorHAnsi" w:hAnsiTheme="minorHAnsi"/>
        </w:rPr>
        <w:t xml:space="preserve">; </w:t>
      </w:r>
      <w:r w:rsidR="00A6569D">
        <w:rPr>
          <w:rFonts w:asciiTheme="minorHAnsi" w:hAnsiTheme="minorHAnsi"/>
        </w:rPr>
        <w:t xml:space="preserve">in the absence of clear statutory authority, </w:t>
      </w:r>
      <w:r w:rsidR="00A6569D" w:rsidRPr="00A6569D">
        <w:rPr>
          <w:rFonts w:asciiTheme="minorHAnsi" w:hAnsiTheme="minorHAnsi"/>
        </w:rPr>
        <w:t xml:space="preserve">a </w:t>
      </w:r>
      <w:r w:rsidR="00A6569D">
        <w:rPr>
          <w:rFonts w:asciiTheme="minorHAnsi" w:hAnsiTheme="minorHAnsi"/>
        </w:rPr>
        <w:t>condition may not be imposed if it would amount to punishment.</w:t>
      </w:r>
      <w:r w:rsidR="00A6569D" w:rsidRPr="00C00000">
        <w:rPr>
          <w:rStyle w:val="Style"/>
          <w:rFonts w:asciiTheme="minorHAnsi" w:hAnsiTheme="minorHAnsi"/>
        </w:rPr>
        <w:footnoteReference w:id="602"/>
      </w:r>
    </w:p>
    <w:p w14:paraId="361125BE" w14:textId="77777777" w:rsidR="0069680D" w:rsidRPr="0069680D" w:rsidRDefault="0069680D" w:rsidP="0069680D">
      <w:pPr>
        <w:spacing w:line="276" w:lineRule="auto"/>
        <w:ind w:right="28"/>
        <w:rPr>
          <w:rFonts w:asciiTheme="minorHAnsi" w:hAnsiTheme="minorHAnsi"/>
        </w:rPr>
      </w:pPr>
    </w:p>
    <w:p w14:paraId="451A1C6E" w14:textId="1DF2B57A" w:rsidR="00B04F0F" w:rsidRPr="00C00000" w:rsidRDefault="00B04F0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w:t>
      </w:r>
      <w:r w:rsidR="00BB5023">
        <w:rPr>
          <w:rFonts w:asciiTheme="minorHAnsi" w:hAnsiTheme="minorHAnsi"/>
        </w:rPr>
        <w:t>ny</w:t>
      </w:r>
      <w:r>
        <w:rPr>
          <w:rFonts w:asciiTheme="minorHAnsi" w:hAnsiTheme="minorHAnsi"/>
        </w:rPr>
        <w:t xml:space="preserve"> condition </w:t>
      </w:r>
      <w:r w:rsidR="00BB5023">
        <w:rPr>
          <w:rFonts w:asciiTheme="minorHAnsi" w:hAnsiTheme="minorHAnsi"/>
        </w:rPr>
        <w:t xml:space="preserve">imposed </w:t>
      </w:r>
      <w:r>
        <w:rPr>
          <w:rFonts w:asciiTheme="minorHAnsi" w:hAnsiTheme="minorHAnsi"/>
        </w:rPr>
        <w:t>must “</w:t>
      </w:r>
      <w:r w:rsidRPr="00B04F0F">
        <w:rPr>
          <w:rFonts w:asciiTheme="minorHAnsi" w:hAnsiTheme="minorHAnsi"/>
          <w:i/>
        </w:rPr>
        <w:t>be expressed in unambiguous and definitive language, so that the person submitting to it is left in no doubt as to what are the precise obligations to be satisfied</w:t>
      </w:r>
      <w:r>
        <w:rPr>
          <w:rFonts w:asciiTheme="minorHAnsi" w:hAnsiTheme="minorHAnsi"/>
        </w:rPr>
        <w:t>”.</w:t>
      </w:r>
      <w:r w:rsidRPr="00C00000">
        <w:rPr>
          <w:rStyle w:val="Style"/>
          <w:rFonts w:asciiTheme="minorHAnsi" w:hAnsiTheme="minorHAnsi"/>
        </w:rPr>
        <w:footnoteReference w:id="603"/>
      </w:r>
    </w:p>
    <w:p w14:paraId="40914AAA" w14:textId="77777777" w:rsidR="00B04F0F" w:rsidRPr="00C00000" w:rsidRDefault="00B04F0F" w:rsidP="00B04F0F">
      <w:pPr>
        <w:pStyle w:val="ListParagraph"/>
        <w:spacing w:line="276" w:lineRule="auto"/>
        <w:ind w:left="567" w:right="28" w:hanging="567"/>
        <w:rPr>
          <w:rFonts w:asciiTheme="minorHAnsi" w:hAnsiTheme="minorHAnsi"/>
        </w:rPr>
      </w:pPr>
    </w:p>
    <w:p w14:paraId="1C538C53" w14:textId="3F5B7C98" w:rsidR="00BB5023" w:rsidRDefault="00BB5023" w:rsidP="001F7E6F">
      <w:pPr>
        <w:pStyle w:val="Heading3"/>
      </w:pPr>
      <w:bookmarkStart w:id="1585" w:name="_Toc33602827"/>
      <w:r>
        <w:t>No power to order community work as a condition of a bond</w:t>
      </w:r>
      <w:bookmarkEnd w:id="1585"/>
    </w:p>
    <w:p w14:paraId="771041DD" w14:textId="4644AD6F" w:rsidR="00BB5023" w:rsidRPr="00051102" w:rsidRDefault="00BB5023" w:rsidP="001F7E6F">
      <w:pPr>
        <w:pStyle w:val="NormalIndent"/>
        <w:keepNext/>
        <w:rPr>
          <w:rFonts w:ascii="Calibri" w:hAnsi="Calibri"/>
        </w:rPr>
      </w:pPr>
    </w:p>
    <w:p w14:paraId="53BE4A26" w14:textId="17C0D102" w:rsidR="00BB5023" w:rsidRPr="00BB5023" w:rsidRDefault="00BB502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power in s 19B(1)(d)(iii) to impose conditions does not permit </w:t>
      </w:r>
      <w:r w:rsidRPr="00C00000">
        <w:rPr>
          <w:rFonts w:asciiTheme="minorHAnsi" w:hAnsiTheme="minorHAnsi"/>
        </w:rPr>
        <w:t>a condition to perform unpaid community work.</w:t>
      </w:r>
      <w:r w:rsidRPr="00C00000">
        <w:rPr>
          <w:rStyle w:val="Style"/>
          <w:rFonts w:asciiTheme="minorHAnsi" w:hAnsiTheme="minorHAnsi"/>
        </w:rPr>
        <w:footnoteReference w:id="604"/>
      </w:r>
    </w:p>
    <w:p w14:paraId="18AFAB80" w14:textId="77777777" w:rsidR="00BB5023" w:rsidRPr="00051102" w:rsidRDefault="00BB5023" w:rsidP="00BB5023">
      <w:pPr>
        <w:pStyle w:val="NormalIndent"/>
        <w:rPr>
          <w:rFonts w:ascii="Calibri" w:hAnsi="Calibri"/>
        </w:rPr>
      </w:pPr>
    </w:p>
    <w:p w14:paraId="1F91DC43" w14:textId="3E995C48" w:rsidR="00CB186E" w:rsidRPr="00E9607E" w:rsidRDefault="003B1917" w:rsidP="001F7E6F">
      <w:pPr>
        <w:pStyle w:val="Heading3"/>
      </w:pPr>
      <w:bookmarkStart w:id="1586" w:name="_Toc33602828"/>
      <w:r>
        <w:t>Payment of money as condition of a bond</w:t>
      </w:r>
      <w:bookmarkEnd w:id="1586"/>
      <w:r w:rsidR="00DC6AEA" w:rsidRPr="00E9607E">
        <w:t xml:space="preserve"> </w:t>
      </w:r>
    </w:p>
    <w:p w14:paraId="39BBA672" w14:textId="77777777" w:rsidR="00146BAA" w:rsidRPr="00C00000" w:rsidRDefault="00146BAA" w:rsidP="001F7E6F">
      <w:pPr>
        <w:keepNext/>
        <w:spacing w:line="276" w:lineRule="auto"/>
        <w:rPr>
          <w:rFonts w:asciiTheme="minorHAnsi" w:hAnsiTheme="minorHAnsi"/>
        </w:rPr>
      </w:pPr>
    </w:p>
    <w:p w14:paraId="6F4D3A11" w14:textId="77777777" w:rsidR="00CF4B1E" w:rsidRDefault="00CF4B1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w:t>
      </w:r>
      <w:r w:rsidRPr="00C00000">
        <w:rPr>
          <w:rFonts w:asciiTheme="minorHAnsi" w:hAnsiTheme="minorHAnsi"/>
        </w:rPr>
        <w:t xml:space="preserve">n </w:t>
      </w:r>
      <w:r w:rsidRPr="00C00000">
        <w:rPr>
          <w:rFonts w:asciiTheme="minorHAnsi" w:hAnsiTheme="minorHAnsi"/>
          <w:i/>
        </w:rPr>
        <w:t>Brittain v Mansour</w:t>
      </w:r>
      <w:r w:rsidRPr="00C00000">
        <w:rPr>
          <w:rStyle w:val="FootnoteReference"/>
          <w:rFonts w:asciiTheme="minorHAnsi" w:hAnsiTheme="minorHAnsi"/>
        </w:rPr>
        <w:footnoteReference w:id="605"/>
      </w:r>
      <w:r w:rsidRPr="00C00000">
        <w:rPr>
          <w:rFonts w:asciiTheme="minorHAnsi" w:hAnsiTheme="minorHAnsi"/>
        </w:rPr>
        <w:t xml:space="preserve">, it </w:t>
      </w:r>
      <w:r>
        <w:rPr>
          <w:rFonts w:asciiTheme="minorHAnsi" w:hAnsiTheme="minorHAnsi"/>
        </w:rPr>
        <w:t xml:space="preserve">was held that there was no power to impose as a condition of a bond under the </w:t>
      </w:r>
      <w:r w:rsidRPr="00CC5764">
        <w:rPr>
          <w:rFonts w:asciiTheme="minorHAnsi" w:hAnsiTheme="minorHAnsi"/>
          <w:i/>
        </w:rPr>
        <w:t>Sentencing Act 1991</w:t>
      </w:r>
      <w:r>
        <w:rPr>
          <w:rFonts w:asciiTheme="minorHAnsi" w:hAnsiTheme="minorHAnsi"/>
        </w:rPr>
        <w:t xml:space="preserve"> (Vic) a requirement that the offender pay </w:t>
      </w:r>
      <w:r w:rsidRPr="00C00000">
        <w:rPr>
          <w:rFonts w:asciiTheme="minorHAnsi" w:hAnsiTheme="minorHAnsi"/>
        </w:rPr>
        <w:t xml:space="preserve">money to the court fund </w:t>
      </w:r>
      <w:r>
        <w:rPr>
          <w:rFonts w:asciiTheme="minorHAnsi" w:hAnsiTheme="minorHAnsi"/>
        </w:rPr>
        <w:t>or to a nominated charity.  Such a condition was, in substance, a fine.  The power to impose conditions on a bond did not extend to the imposition of such a monetary impost.</w:t>
      </w:r>
      <w:r w:rsidRPr="00C00000">
        <w:rPr>
          <w:rStyle w:val="FootnoteReference"/>
          <w:rFonts w:asciiTheme="minorHAnsi" w:hAnsiTheme="minorHAnsi"/>
        </w:rPr>
        <w:footnoteReference w:id="606"/>
      </w:r>
    </w:p>
    <w:p w14:paraId="00B98FD9" w14:textId="77777777" w:rsidR="00CF4B1E" w:rsidRPr="00C00000" w:rsidRDefault="00CF4B1E" w:rsidP="00CF4B1E">
      <w:pPr>
        <w:pStyle w:val="ListParagraph"/>
        <w:spacing w:line="276" w:lineRule="auto"/>
        <w:ind w:left="567" w:right="28" w:hanging="567"/>
        <w:rPr>
          <w:rFonts w:asciiTheme="minorHAnsi" w:hAnsiTheme="minorHAnsi"/>
        </w:rPr>
      </w:pPr>
    </w:p>
    <w:p w14:paraId="286B6873" w14:textId="10398409" w:rsidR="000B4F1F" w:rsidRPr="00C00000" w:rsidRDefault="000B4F1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reasoning </w:t>
      </w:r>
      <w:r w:rsidRPr="00C00000">
        <w:rPr>
          <w:rFonts w:asciiTheme="minorHAnsi" w:hAnsiTheme="minorHAnsi"/>
        </w:rPr>
        <w:t xml:space="preserve">in </w:t>
      </w:r>
      <w:r w:rsidRPr="00C00000">
        <w:rPr>
          <w:rFonts w:asciiTheme="minorHAnsi" w:hAnsiTheme="minorHAnsi"/>
          <w:i/>
        </w:rPr>
        <w:t>Brittain v Mansour</w:t>
      </w:r>
      <w:r>
        <w:rPr>
          <w:rFonts w:asciiTheme="minorHAnsi" w:hAnsiTheme="minorHAnsi"/>
        </w:rPr>
        <w:t xml:space="preserve"> would seem to apply equally to orders under s 19B of the </w:t>
      </w:r>
      <w:r w:rsidR="00885EFD" w:rsidRPr="00885EFD">
        <w:rPr>
          <w:rFonts w:asciiTheme="minorHAnsi" w:hAnsiTheme="minorHAnsi"/>
          <w:i/>
        </w:rPr>
        <w:t>Crimes Act 1914</w:t>
      </w:r>
      <w:r>
        <w:rPr>
          <w:rFonts w:asciiTheme="minorHAnsi" w:hAnsiTheme="minorHAnsi"/>
        </w:rPr>
        <w:t xml:space="preserve"> (Cth).  I</w:t>
      </w:r>
      <w:r w:rsidRPr="00C00000">
        <w:rPr>
          <w:rFonts w:asciiTheme="minorHAnsi" w:hAnsiTheme="minorHAnsi"/>
        </w:rPr>
        <w:t xml:space="preserve">t is </w:t>
      </w:r>
      <w:r>
        <w:rPr>
          <w:rFonts w:asciiTheme="minorHAnsi" w:hAnsiTheme="minorHAnsi"/>
        </w:rPr>
        <w:t xml:space="preserve">therefore </w:t>
      </w:r>
      <w:r w:rsidRPr="00C00000">
        <w:rPr>
          <w:rFonts w:asciiTheme="minorHAnsi" w:hAnsiTheme="minorHAnsi"/>
        </w:rPr>
        <w:t xml:space="preserve">the view of the CDPP that a court cannot impose as a condition of a section 19B </w:t>
      </w:r>
      <w:r w:rsidR="00D75F9F">
        <w:rPr>
          <w:rFonts w:asciiTheme="minorHAnsi" w:hAnsiTheme="minorHAnsi"/>
        </w:rPr>
        <w:t>bond</w:t>
      </w:r>
      <w:r w:rsidRPr="00C00000">
        <w:rPr>
          <w:rFonts w:asciiTheme="minorHAnsi" w:hAnsiTheme="minorHAnsi"/>
        </w:rPr>
        <w:t xml:space="preserve"> a condition to pay a monetary amount to a charitable organisation or to </w:t>
      </w:r>
      <w:r>
        <w:rPr>
          <w:rFonts w:asciiTheme="minorHAnsi" w:hAnsiTheme="minorHAnsi"/>
        </w:rPr>
        <w:t>a</w:t>
      </w:r>
      <w:r w:rsidRPr="00C00000">
        <w:rPr>
          <w:rFonts w:asciiTheme="minorHAnsi" w:hAnsiTheme="minorHAnsi"/>
        </w:rPr>
        <w:t xml:space="preserve"> court fund. </w:t>
      </w:r>
      <w:r w:rsidR="00F3214C">
        <w:rPr>
          <w:rFonts w:asciiTheme="minorHAnsi" w:hAnsiTheme="minorHAnsi"/>
        </w:rPr>
        <w:t xml:space="preserve"> The only power to order </w:t>
      </w:r>
      <w:r w:rsidR="004E0120">
        <w:rPr>
          <w:rFonts w:asciiTheme="minorHAnsi" w:hAnsiTheme="minorHAnsi"/>
        </w:rPr>
        <w:t xml:space="preserve">payment of money as a condition of a bond is the power in s 19B(1)(d)(ii) to require that the offender make </w:t>
      </w:r>
      <w:r w:rsidR="004E0120" w:rsidRPr="00967B8B">
        <w:rPr>
          <w:rFonts w:asciiTheme="minorHAnsi" w:hAnsiTheme="minorHAnsi"/>
        </w:rPr>
        <w:t>reparation</w:t>
      </w:r>
      <w:r w:rsidR="004E0120">
        <w:rPr>
          <w:rFonts w:asciiTheme="minorHAnsi" w:hAnsiTheme="minorHAnsi"/>
        </w:rPr>
        <w:t xml:space="preserve"> or</w:t>
      </w:r>
      <w:r w:rsidR="004E0120" w:rsidRPr="00967B8B">
        <w:rPr>
          <w:rFonts w:asciiTheme="minorHAnsi" w:hAnsiTheme="minorHAnsi"/>
        </w:rPr>
        <w:t xml:space="preserve"> restitution, </w:t>
      </w:r>
      <w:r w:rsidR="004E0120">
        <w:rPr>
          <w:rFonts w:asciiTheme="minorHAnsi" w:hAnsiTheme="minorHAnsi"/>
        </w:rPr>
        <w:t xml:space="preserve">or pay </w:t>
      </w:r>
      <w:r w:rsidR="004E0120" w:rsidRPr="00967B8B">
        <w:rPr>
          <w:rFonts w:asciiTheme="minorHAnsi" w:hAnsiTheme="minorHAnsi"/>
        </w:rPr>
        <w:t>compensation or costs</w:t>
      </w:r>
      <w:r w:rsidR="004E0120">
        <w:rPr>
          <w:rFonts w:asciiTheme="minorHAnsi" w:hAnsiTheme="minorHAnsi"/>
        </w:rPr>
        <w:t>.</w:t>
      </w:r>
    </w:p>
    <w:p w14:paraId="54372DB9" w14:textId="77777777" w:rsidR="00A272AA" w:rsidRPr="00C00000" w:rsidRDefault="00A272AA" w:rsidP="007C11C2">
      <w:pPr>
        <w:pStyle w:val="ListParagraph"/>
        <w:spacing w:line="276" w:lineRule="auto"/>
        <w:ind w:left="873" w:right="28"/>
        <w:rPr>
          <w:rFonts w:asciiTheme="minorHAnsi" w:hAnsiTheme="minorHAnsi"/>
        </w:rPr>
      </w:pPr>
    </w:p>
    <w:p w14:paraId="2FAF4635" w14:textId="45461E40" w:rsidR="00423465" w:rsidRPr="00E9607E" w:rsidRDefault="00423465" w:rsidP="001F7E6F">
      <w:pPr>
        <w:pStyle w:val="Heading3"/>
      </w:pPr>
      <w:bookmarkStart w:id="1587" w:name="_Toc33602829"/>
      <w:r w:rsidRPr="00E9607E">
        <w:t>Form of bond</w:t>
      </w:r>
      <w:bookmarkEnd w:id="1587"/>
    </w:p>
    <w:p w14:paraId="7225192C" w14:textId="77777777" w:rsidR="00146BAA" w:rsidRPr="00C00000" w:rsidRDefault="00146BAA" w:rsidP="001F7E6F">
      <w:pPr>
        <w:keepNext/>
        <w:spacing w:line="276" w:lineRule="auto"/>
        <w:rPr>
          <w:rFonts w:asciiTheme="minorHAnsi" w:hAnsiTheme="minorHAnsi"/>
        </w:rPr>
      </w:pPr>
    </w:p>
    <w:p w14:paraId="2854C274" w14:textId="08BB3805" w:rsidR="009E7B32" w:rsidRDefault="00BF6B4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No particular for</w:t>
      </w:r>
      <w:r w:rsidR="00612B6D">
        <w:rPr>
          <w:rFonts w:asciiTheme="minorHAnsi" w:hAnsiTheme="minorHAnsi"/>
        </w:rPr>
        <w:t>m</w:t>
      </w:r>
      <w:r>
        <w:rPr>
          <w:rFonts w:asciiTheme="minorHAnsi" w:hAnsiTheme="minorHAnsi"/>
        </w:rPr>
        <w:t xml:space="preserve"> of bond under s 19B is required by statute.  The section itself provides (in s 19B(1)(d)) that the court may, by order, “</w:t>
      </w:r>
      <w:r w:rsidRPr="009E7B32">
        <w:rPr>
          <w:rFonts w:asciiTheme="minorHAnsi" w:hAnsiTheme="minorHAnsi"/>
          <w:i/>
        </w:rPr>
        <w:t>discharge the person, without proceeding to conviction … upon his or her giving security, with or without sureties, by recognizance or otherwise, to the satisfaction of the court</w:t>
      </w:r>
      <w:r w:rsidR="009E7B32" w:rsidRPr="009E7B32">
        <w:rPr>
          <w:rFonts w:asciiTheme="minorHAnsi" w:hAnsiTheme="minorHAnsi"/>
          <w:i/>
        </w:rPr>
        <w:t xml:space="preserve"> …</w:t>
      </w:r>
      <w:r w:rsidR="009E7B32" w:rsidRPr="009E7B32">
        <w:rPr>
          <w:rFonts w:asciiTheme="minorHAnsi" w:hAnsiTheme="minorHAnsi"/>
        </w:rPr>
        <w:t>”</w:t>
      </w:r>
      <w:r w:rsidR="009E7B32">
        <w:rPr>
          <w:rFonts w:asciiTheme="minorHAnsi" w:hAnsiTheme="minorHAnsi"/>
        </w:rPr>
        <w:t>.  The essential requirement, therefore is “</w:t>
      </w:r>
      <w:r w:rsidR="009E7B32" w:rsidRPr="009E7B32">
        <w:rPr>
          <w:rFonts w:asciiTheme="minorHAnsi" w:hAnsiTheme="minorHAnsi"/>
          <w:i/>
        </w:rPr>
        <w:t>security … to the satisfaction of the court</w:t>
      </w:r>
      <w:r w:rsidR="009E7B32">
        <w:rPr>
          <w:rFonts w:asciiTheme="minorHAnsi" w:hAnsiTheme="minorHAnsi"/>
        </w:rPr>
        <w:t xml:space="preserve">”.  The form of security is not specified, but in practice is invariably a specified sum.  </w:t>
      </w:r>
      <w:r w:rsidR="009E7B32" w:rsidRPr="00C00000">
        <w:rPr>
          <w:rFonts w:asciiTheme="minorHAnsi" w:hAnsiTheme="minorHAnsi"/>
        </w:rPr>
        <w:t xml:space="preserve">There is no statutory limit </w:t>
      </w:r>
      <w:r w:rsidR="004D766E">
        <w:rPr>
          <w:rFonts w:asciiTheme="minorHAnsi" w:hAnsiTheme="minorHAnsi"/>
        </w:rPr>
        <w:t xml:space="preserve">on the sum </w:t>
      </w:r>
      <w:r w:rsidR="009E7B32" w:rsidRPr="00C00000">
        <w:rPr>
          <w:rFonts w:asciiTheme="minorHAnsi" w:hAnsiTheme="minorHAnsi"/>
        </w:rPr>
        <w:t>that can be fixed and there is some variation around Australia in the amounts chosen.</w:t>
      </w:r>
      <w:r w:rsidR="009E7B32" w:rsidRPr="00C00000">
        <w:rPr>
          <w:rStyle w:val="Style"/>
          <w:rFonts w:asciiTheme="minorHAnsi" w:hAnsiTheme="minorHAnsi"/>
        </w:rPr>
        <w:footnoteReference w:id="607"/>
      </w:r>
      <w:r w:rsidR="00E96BB0">
        <w:rPr>
          <w:rFonts w:asciiTheme="minorHAnsi" w:hAnsiTheme="minorHAnsi"/>
        </w:rPr>
        <w:t xml:space="preserve"> </w:t>
      </w:r>
      <w:r w:rsidR="0021791C">
        <w:rPr>
          <w:rFonts w:asciiTheme="minorHAnsi" w:hAnsiTheme="minorHAnsi"/>
        </w:rPr>
        <w:t xml:space="preserve"> In practice </w:t>
      </w:r>
      <w:r w:rsidR="0021791C" w:rsidRPr="00C00000">
        <w:rPr>
          <w:rFonts w:asciiTheme="minorHAnsi" w:hAnsiTheme="minorHAnsi"/>
        </w:rPr>
        <w:t xml:space="preserve">a surety is </w:t>
      </w:r>
      <w:r w:rsidR="00A04626">
        <w:rPr>
          <w:rFonts w:asciiTheme="minorHAnsi" w:hAnsiTheme="minorHAnsi"/>
        </w:rPr>
        <w:t>rarely, if ever,</w:t>
      </w:r>
      <w:r w:rsidR="0021791C" w:rsidRPr="00C00000">
        <w:rPr>
          <w:rFonts w:asciiTheme="minorHAnsi" w:hAnsiTheme="minorHAnsi"/>
        </w:rPr>
        <w:t xml:space="preserve"> required.</w:t>
      </w:r>
    </w:p>
    <w:p w14:paraId="22852673" w14:textId="77777777" w:rsidR="00E96BB0" w:rsidRPr="00E96BB0" w:rsidRDefault="00E96BB0" w:rsidP="00E96BB0">
      <w:pPr>
        <w:spacing w:line="276" w:lineRule="auto"/>
        <w:ind w:right="28"/>
        <w:rPr>
          <w:rFonts w:asciiTheme="minorHAnsi" w:hAnsiTheme="minorHAnsi"/>
        </w:rPr>
      </w:pPr>
    </w:p>
    <w:p w14:paraId="1443967D" w14:textId="46F9C9B9" w:rsidR="00423465" w:rsidRPr="00E96BB0" w:rsidRDefault="00DC3CA3" w:rsidP="00EB7F1E">
      <w:pPr>
        <w:pStyle w:val="ListParagraph"/>
        <w:numPr>
          <w:ilvl w:val="0"/>
          <w:numId w:val="7"/>
        </w:numPr>
        <w:spacing w:line="276" w:lineRule="auto"/>
        <w:ind w:left="425" w:hanging="425"/>
        <w:contextualSpacing w:val="0"/>
        <w:rPr>
          <w:rFonts w:asciiTheme="minorHAnsi" w:hAnsiTheme="minorHAnsi"/>
        </w:rPr>
      </w:pPr>
      <w:r w:rsidRPr="00E96BB0">
        <w:rPr>
          <w:rFonts w:asciiTheme="minorHAnsi" w:hAnsiTheme="minorHAnsi"/>
        </w:rPr>
        <w:t xml:space="preserve">A form of s 19B bond is </w:t>
      </w:r>
      <w:r w:rsidR="00423465" w:rsidRPr="00E96BB0">
        <w:rPr>
          <w:rFonts w:asciiTheme="minorHAnsi" w:hAnsiTheme="minorHAnsi"/>
        </w:rPr>
        <w:t xml:space="preserve">prescribed </w:t>
      </w:r>
      <w:r w:rsidRPr="00E96BB0">
        <w:rPr>
          <w:rFonts w:asciiTheme="minorHAnsi" w:hAnsiTheme="minorHAnsi"/>
        </w:rPr>
        <w:t xml:space="preserve">as Form 10 </w:t>
      </w:r>
      <w:r w:rsidR="00423465" w:rsidRPr="00E96BB0">
        <w:rPr>
          <w:rFonts w:asciiTheme="minorHAnsi" w:hAnsiTheme="minorHAnsi"/>
        </w:rPr>
        <w:t xml:space="preserve">under the </w:t>
      </w:r>
      <w:r w:rsidR="00423465" w:rsidRPr="00E96BB0">
        <w:rPr>
          <w:rFonts w:asciiTheme="minorHAnsi" w:hAnsiTheme="minorHAnsi"/>
          <w:i/>
        </w:rPr>
        <w:t xml:space="preserve">Crimes Regulations </w:t>
      </w:r>
      <w:r w:rsidR="000E29F8" w:rsidRPr="00EB7F1E">
        <w:rPr>
          <w:rFonts w:asciiTheme="minorHAnsi" w:hAnsiTheme="minorHAnsi"/>
          <w:i/>
          <w:color w:val="548DD4" w:themeColor="text2" w:themeTint="99"/>
        </w:rPr>
        <w:t>2019</w:t>
      </w:r>
      <w:r w:rsidR="000E29F8" w:rsidRPr="00E96BB0">
        <w:rPr>
          <w:rFonts w:asciiTheme="minorHAnsi" w:hAnsiTheme="minorHAnsi"/>
          <w:i/>
        </w:rPr>
        <w:t xml:space="preserve"> </w:t>
      </w:r>
      <w:r w:rsidRPr="00E96BB0">
        <w:rPr>
          <w:rFonts w:asciiTheme="minorHAnsi" w:hAnsiTheme="minorHAnsi"/>
        </w:rPr>
        <w:t>(Cth), although the use of the prescribed form is optional</w:t>
      </w:r>
      <w:r w:rsidR="00855596" w:rsidRPr="00E96BB0">
        <w:rPr>
          <w:rFonts w:asciiTheme="minorHAnsi" w:hAnsiTheme="minorHAnsi"/>
        </w:rPr>
        <w:t xml:space="preserve">.  </w:t>
      </w:r>
      <w:r w:rsidRPr="00E96BB0">
        <w:rPr>
          <w:rFonts w:asciiTheme="minorHAnsi" w:hAnsiTheme="minorHAnsi"/>
        </w:rPr>
        <w:t>A State or Territory bond form should not be used for a s 19B bond.</w:t>
      </w:r>
      <w:r w:rsidRPr="00C00000">
        <w:rPr>
          <w:rStyle w:val="Style"/>
          <w:rFonts w:asciiTheme="minorHAnsi" w:hAnsiTheme="minorHAnsi"/>
        </w:rPr>
        <w:footnoteReference w:id="608"/>
      </w:r>
    </w:p>
    <w:p w14:paraId="7FF0E34B" w14:textId="77777777" w:rsidR="005E2FDA" w:rsidRPr="00C00000" w:rsidRDefault="005E2FDA" w:rsidP="007C11C2">
      <w:pPr>
        <w:pStyle w:val="ListParagraph"/>
        <w:spacing w:line="276" w:lineRule="auto"/>
        <w:ind w:left="567" w:right="28" w:hanging="567"/>
        <w:rPr>
          <w:rFonts w:asciiTheme="minorHAnsi" w:hAnsiTheme="minorHAnsi"/>
        </w:rPr>
      </w:pPr>
    </w:p>
    <w:p w14:paraId="1ACB445B" w14:textId="74E57003" w:rsidR="00964C8D" w:rsidRPr="00E9607E" w:rsidRDefault="00001A60" w:rsidP="001F7E6F">
      <w:pPr>
        <w:pStyle w:val="Heading3"/>
      </w:pPr>
      <w:bookmarkStart w:id="1588" w:name="_Toc33602830"/>
      <w:r>
        <w:t xml:space="preserve">Section </w:t>
      </w:r>
      <w:r w:rsidR="00964C8D">
        <w:t>19B bond not available</w:t>
      </w:r>
      <w:r>
        <w:t xml:space="preserve"> for certain people-smuggling offences</w:t>
      </w:r>
      <w:bookmarkEnd w:id="1588"/>
    </w:p>
    <w:p w14:paraId="030A0A9D" w14:textId="77777777" w:rsidR="00964C8D" w:rsidRPr="00C00000" w:rsidRDefault="00964C8D" w:rsidP="001F7E6F">
      <w:pPr>
        <w:pStyle w:val="NormalIndent"/>
        <w:keepNext/>
        <w:spacing w:line="276" w:lineRule="auto"/>
        <w:rPr>
          <w:rFonts w:asciiTheme="minorHAnsi" w:hAnsiTheme="minorHAnsi"/>
        </w:rPr>
      </w:pPr>
    </w:p>
    <w:p w14:paraId="3345DB50" w14:textId="6AA7E098" w:rsidR="00964C8D" w:rsidRPr="00C00000" w:rsidRDefault="00964C8D" w:rsidP="00901174">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A s </w:t>
      </w:r>
      <w:r>
        <w:rPr>
          <w:rFonts w:asciiTheme="minorHAnsi" w:hAnsiTheme="minorHAnsi"/>
        </w:rPr>
        <w:t>19B</w:t>
      </w:r>
      <w:r w:rsidRPr="00C00000">
        <w:rPr>
          <w:rFonts w:asciiTheme="minorHAnsi" w:hAnsiTheme="minorHAnsi"/>
        </w:rPr>
        <w:t xml:space="preserve"> (or s </w:t>
      </w:r>
      <w:r>
        <w:rPr>
          <w:rFonts w:asciiTheme="minorHAnsi" w:hAnsiTheme="minorHAnsi"/>
        </w:rPr>
        <w:t>20</w:t>
      </w:r>
      <w:r w:rsidRPr="00C00000">
        <w:rPr>
          <w:rFonts w:asciiTheme="minorHAnsi" w:hAnsiTheme="minorHAnsi"/>
        </w:rPr>
        <w:t xml:space="preserve">) bond cannot be imposed on an offender found guilty of </w:t>
      </w:r>
      <w:r>
        <w:rPr>
          <w:rFonts w:asciiTheme="minorHAnsi" w:hAnsiTheme="minorHAnsi"/>
        </w:rPr>
        <w:t xml:space="preserve">certain </w:t>
      </w:r>
      <w:r w:rsidRPr="00C00000">
        <w:rPr>
          <w:rFonts w:asciiTheme="minorHAnsi" w:hAnsiTheme="minorHAnsi"/>
        </w:rPr>
        <w:t xml:space="preserve">people smuggling offence contrary to the </w:t>
      </w:r>
      <w:r w:rsidRPr="00C00000">
        <w:rPr>
          <w:rFonts w:asciiTheme="minorHAnsi" w:hAnsiTheme="minorHAnsi"/>
          <w:i/>
        </w:rPr>
        <w:t>Migration Act</w:t>
      </w:r>
      <w:r w:rsidRPr="00C00000">
        <w:rPr>
          <w:rFonts w:asciiTheme="minorHAnsi" w:hAnsiTheme="minorHAnsi"/>
        </w:rPr>
        <w:t xml:space="preserve"> </w:t>
      </w:r>
      <w:r w:rsidRPr="00C00000">
        <w:rPr>
          <w:rFonts w:asciiTheme="minorHAnsi" w:hAnsiTheme="minorHAnsi"/>
          <w:i/>
        </w:rPr>
        <w:t xml:space="preserve">1958 </w:t>
      </w:r>
      <w:r>
        <w:rPr>
          <w:rFonts w:asciiTheme="minorHAnsi" w:hAnsiTheme="minorHAnsi"/>
        </w:rPr>
        <w:t xml:space="preserve">(Cth), </w:t>
      </w:r>
      <w:r w:rsidRPr="00C00000">
        <w:rPr>
          <w:rFonts w:asciiTheme="minorHAnsi" w:hAnsiTheme="minorHAnsi"/>
        </w:rPr>
        <w:t>unless the offender was not over 18 at the time of the offence.</w:t>
      </w:r>
      <w:r>
        <w:rPr>
          <w:rFonts w:asciiTheme="minorHAnsi" w:hAnsiTheme="minorHAnsi"/>
        </w:rPr>
        <w:t xml:space="preserve">  See “</w:t>
      </w:r>
      <w:r>
        <w:rPr>
          <w:rFonts w:asciiTheme="minorHAnsi" w:hAnsiTheme="minorHAnsi"/>
        </w:rPr>
        <w:fldChar w:fldCharType="begin"/>
      </w:r>
      <w:r>
        <w:rPr>
          <w:rFonts w:asciiTheme="minorHAnsi" w:hAnsiTheme="minorHAnsi"/>
        </w:rPr>
        <w:instrText xml:space="preserve"> REF _Ref492552379 \r \h </w:instrText>
      </w:r>
      <w:r w:rsidR="00350BDE">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8.1.2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_Ref492552382 \h </w:instrText>
      </w:r>
      <w:r w:rsidR="00350BDE">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Mandatory imprisonment for certain people-smuggling offences</w:t>
      </w:r>
      <w:r>
        <w:rPr>
          <w:rFonts w:asciiTheme="minorHAnsi" w:hAnsiTheme="minorHAnsi"/>
        </w:rPr>
        <w:fldChar w:fldCharType="end"/>
      </w:r>
      <w:r>
        <w:rPr>
          <w:rFonts w:asciiTheme="minorHAnsi" w:hAnsiTheme="minorHAnsi"/>
        </w:rPr>
        <w:t>”.</w:t>
      </w:r>
    </w:p>
    <w:p w14:paraId="7889F92D" w14:textId="77777777" w:rsidR="00957C8A" w:rsidRPr="00C00000" w:rsidRDefault="00957C8A" w:rsidP="007C11C2">
      <w:pPr>
        <w:pStyle w:val="ListParagraph"/>
        <w:spacing w:line="276" w:lineRule="auto"/>
        <w:ind w:left="567" w:right="28" w:hanging="567"/>
        <w:rPr>
          <w:rFonts w:asciiTheme="minorHAnsi" w:hAnsiTheme="minorHAnsi"/>
          <w:u w:val="single"/>
        </w:rPr>
      </w:pPr>
    </w:p>
    <w:p w14:paraId="60292FBA" w14:textId="77777777" w:rsidR="001902DC" w:rsidRPr="00E9607E" w:rsidRDefault="009838DC" w:rsidP="001F7E6F">
      <w:pPr>
        <w:pStyle w:val="Heading3"/>
      </w:pPr>
      <w:bookmarkStart w:id="1589" w:name="_Toc33602831"/>
      <w:r w:rsidRPr="00E9607E">
        <w:t>Corporations</w:t>
      </w:r>
      <w:bookmarkEnd w:id="1589"/>
      <w:r w:rsidRPr="00E9607E">
        <w:t xml:space="preserve"> </w:t>
      </w:r>
    </w:p>
    <w:p w14:paraId="2718E07E" w14:textId="77777777" w:rsidR="000D7F13" w:rsidRPr="00C00000" w:rsidRDefault="000D7F13" w:rsidP="001F7E6F">
      <w:pPr>
        <w:keepNext/>
        <w:spacing w:line="276" w:lineRule="auto"/>
        <w:rPr>
          <w:rFonts w:asciiTheme="minorHAnsi" w:hAnsiTheme="minorHAnsi"/>
        </w:rPr>
      </w:pPr>
    </w:p>
    <w:p w14:paraId="00690729" w14:textId="5CF5727A" w:rsidR="00423465" w:rsidRPr="00C00000" w:rsidRDefault="00423465"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The provisions of s</w:t>
      </w:r>
      <w:r w:rsidR="00320EC3">
        <w:rPr>
          <w:rFonts w:asciiTheme="minorHAnsi" w:hAnsiTheme="minorHAnsi"/>
        </w:rPr>
        <w:t xml:space="preserve"> 19B (</w:t>
      </w:r>
      <w:r w:rsidRPr="00C00000">
        <w:rPr>
          <w:rFonts w:asciiTheme="minorHAnsi" w:hAnsiTheme="minorHAnsi"/>
        </w:rPr>
        <w:t>and s</w:t>
      </w:r>
      <w:r w:rsidR="00320EC3">
        <w:rPr>
          <w:rFonts w:asciiTheme="minorHAnsi" w:hAnsiTheme="minorHAnsi"/>
        </w:rPr>
        <w:t xml:space="preserve"> 20)</w:t>
      </w:r>
      <w:r w:rsidRPr="00C00000">
        <w:rPr>
          <w:rFonts w:asciiTheme="minorHAnsi" w:hAnsiTheme="minorHAnsi"/>
        </w:rPr>
        <w:t xml:space="preserve"> apply to a corporation as well as to a natural person.</w:t>
      </w:r>
      <w:r w:rsidRPr="00C00000">
        <w:rPr>
          <w:rStyle w:val="Style"/>
          <w:rFonts w:asciiTheme="minorHAnsi" w:hAnsiTheme="minorHAnsi"/>
        </w:rPr>
        <w:footnoteReference w:id="609"/>
      </w:r>
    </w:p>
    <w:p w14:paraId="58446B03" w14:textId="77777777" w:rsidR="009838DC" w:rsidRPr="00C00000" w:rsidRDefault="009838DC" w:rsidP="007C11C2">
      <w:pPr>
        <w:pStyle w:val="ListParagraph"/>
        <w:spacing w:line="276" w:lineRule="auto"/>
        <w:ind w:left="873" w:right="28"/>
        <w:rPr>
          <w:rFonts w:asciiTheme="minorHAnsi" w:hAnsiTheme="minorHAnsi"/>
        </w:rPr>
      </w:pPr>
    </w:p>
    <w:p w14:paraId="53CA37FE" w14:textId="6F1FF29F" w:rsidR="009838DC" w:rsidRPr="00E9607E" w:rsidRDefault="009838DC" w:rsidP="001F7E6F">
      <w:pPr>
        <w:pStyle w:val="Heading3"/>
      </w:pPr>
      <w:bookmarkStart w:id="1590" w:name="_Toc33602832"/>
      <w:r w:rsidRPr="00E9607E">
        <w:t>Obligation on the court</w:t>
      </w:r>
      <w:bookmarkEnd w:id="1590"/>
    </w:p>
    <w:p w14:paraId="0FD2F4B3" w14:textId="77777777" w:rsidR="000D7F13" w:rsidRPr="00C00000" w:rsidRDefault="000D7F13" w:rsidP="001F7E6F">
      <w:pPr>
        <w:keepNext/>
        <w:spacing w:line="276" w:lineRule="auto"/>
        <w:rPr>
          <w:rFonts w:asciiTheme="minorHAnsi" w:hAnsiTheme="minorHAnsi"/>
        </w:rPr>
      </w:pPr>
    </w:p>
    <w:p w14:paraId="2B02404F" w14:textId="77777777" w:rsidR="009838DC" w:rsidRPr="00C00000" w:rsidRDefault="009838D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court must: </w:t>
      </w:r>
    </w:p>
    <w:p w14:paraId="7C887675" w14:textId="437181F7" w:rsidR="00A04626" w:rsidRPr="00C00000" w:rsidRDefault="00A04626" w:rsidP="00A04626">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explain or cause to be explained the purpose of the order, the consequences which may follow if it is not complied with and that the </w:t>
      </w:r>
      <w:r>
        <w:rPr>
          <w:rFonts w:asciiTheme="minorHAnsi" w:hAnsiTheme="minorHAnsi"/>
        </w:rPr>
        <w:t>recognizance</w:t>
      </w:r>
      <w:r w:rsidRPr="00C00000">
        <w:rPr>
          <w:rFonts w:asciiTheme="minorHAnsi" w:hAnsiTheme="minorHAnsi"/>
        </w:rPr>
        <w:t xml:space="preserve"> may be discharged or varied under s 20AA</w:t>
      </w:r>
      <w:r>
        <w:rPr>
          <w:rFonts w:asciiTheme="minorHAnsi" w:hAnsiTheme="minorHAnsi"/>
        </w:rPr>
        <w:t xml:space="preserve"> (s 19B(2)); and</w:t>
      </w:r>
    </w:p>
    <w:p w14:paraId="49328757" w14:textId="7493B313" w:rsidR="009838DC" w:rsidRPr="00C00000" w:rsidRDefault="009838DC"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provide a copy of the order to the offender</w:t>
      </w:r>
      <w:r w:rsidR="00A04626">
        <w:rPr>
          <w:rFonts w:asciiTheme="minorHAnsi" w:hAnsiTheme="minorHAnsi"/>
        </w:rPr>
        <w:t xml:space="preserve"> (s 19B(4)).</w:t>
      </w:r>
    </w:p>
    <w:p w14:paraId="36801835" w14:textId="77777777" w:rsidR="009838DC" w:rsidRPr="00C00000" w:rsidRDefault="009838DC" w:rsidP="007C11C2">
      <w:pPr>
        <w:pStyle w:val="ListParagraph"/>
        <w:spacing w:line="276" w:lineRule="auto"/>
        <w:ind w:left="873" w:right="28"/>
        <w:rPr>
          <w:rFonts w:asciiTheme="minorHAnsi" w:hAnsiTheme="minorHAnsi"/>
        </w:rPr>
      </w:pPr>
    </w:p>
    <w:p w14:paraId="6B2D6BCA" w14:textId="5B35D809" w:rsidR="009838DC" w:rsidRPr="00E9607E" w:rsidRDefault="009838DC" w:rsidP="001F7E6F">
      <w:pPr>
        <w:pStyle w:val="Heading3"/>
      </w:pPr>
      <w:bookmarkStart w:id="1591" w:name="_Toc33602833"/>
      <w:r w:rsidRPr="00E9607E">
        <w:t>Breach action –</w:t>
      </w:r>
      <w:r w:rsidR="006300C6">
        <w:t xml:space="preserve"> </w:t>
      </w:r>
      <w:r w:rsidR="00885EFD" w:rsidRPr="00885EFD">
        <w:rPr>
          <w:i/>
        </w:rPr>
        <w:t>Crimes Act 1914</w:t>
      </w:r>
      <w:r w:rsidR="00DA5BD4">
        <w:t>,</w:t>
      </w:r>
      <w:r w:rsidR="00DA5BD4" w:rsidRPr="00DA5BD4">
        <w:t xml:space="preserve"> </w:t>
      </w:r>
      <w:r w:rsidR="00DA5BD4" w:rsidRPr="00E9607E">
        <w:t>s 20A(1A)</w:t>
      </w:r>
      <w:bookmarkEnd w:id="1591"/>
    </w:p>
    <w:p w14:paraId="488D099C" w14:textId="77777777" w:rsidR="00E27F01" w:rsidRPr="00051102" w:rsidRDefault="00E27F01" w:rsidP="001F7E6F">
      <w:pPr>
        <w:pStyle w:val="NormalIndent"/>
        <w:keepNext/>
        <w:rPr>
          <w:rFonts w:ascii="Calibri" w:hAnsi="Calibri"/>
        </w:rPr>
      </w:pPr>
    </w:p>
    <w:p w14:paraId="65B68ECB" w14:textId="33323D95" w:rsidR="009838DC" w:rsidRPr="00C00000" w:rsidRDefault="009838D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w:t>
      </w:r>
      <w:r w:rsidR="00B240B4" w:rsidRPr="00C00000">
        <w:rPr>
          <w:rFonts w:asciiTheme="minorHAnsi" w:hAnsiTheme="minorHAnsi"/>
        </w:rPr>
        <w:t>ection</w:t>
      </w:r>
      <w:r w:rsidR="00801ACB" w:rsidRPr="00C00000">
        <w:rPr>
          <w:rFonts w:asciiTheme="minorHAnsi" w:hAnsiTheme="minorHAnsi"/>
        </w:rPr>
        <w:t xml:space="preserve"> </w:t>
      </w:r>
      <w:r w:rsidRPr="00C00000">
        <w:rPr>
          <w:rFonts w:asciiTheme="minorHAnsi" w:hAnsiTheme="minorHAnsi"/>
        </w:rPr>
        <w:t xml:space="preserve">20A(1A) </w:t>
      </w:r>
      <w:r w:rsidR="00801ACB" w:rsidRPr="00C00000">
        <w:rPr>
          <w:rFonts w:asciiTheme="minorHAnsi" w:hAnsiTheme="minorHAnsi"/>
        </w:rPr>
        <w:t xml:space="preserve">of the </w:t>
      </w:r>
      <w:r w:rsidR="00885EFD" w:rsidRPr="00885EFD">
        <w:rPr>
          <w:rFonts w:asciiTheme="minorHAnsi" w:hAnsiTheme="minorHAnsi"/>
          <w:i/>
        </w:rPr>
        <w:t>Crimes Act 1914</w:t>
      </w:r>
      <w:r w:rsidR="00801ACB" w:rsidRPr="00C00000">
        <w:rPr>
          <w:rFonts w:asciiTheme="minorHAnsi" w:hAnsiTheme="minorHAnsi"/>
        </w:rPr>
        <w:t xml:space="preserve"> provides that </w:t>
      </w:r>
      <w:r w:rsidRPr="00C00000">
        <w:rPr>
          <w:rFonts w:asciiTheme="minorHAnsi" w:hAnsiTheme="minorHAnsi"/>
        </w:rPr>
        <w:t xml:space="preserve">breach action </w:t>
      </w:r>
      <w:r w:rsidR="00E96BB0">
        <w:rPr>
          <w:rFonts w:asciiTheme="minorHAnsi" w:hAnsiTheme="minorHAnsi"/>
        </w:rPr>
        <w:t xml:space="preserve">(in relation to an order under either s 19B or s 20) </w:t>
      </w:r>
      <w:r w:rsidR="00320EC3">
        <w:rPr>
          <w:rFonts w:asciiTheme="minorHAnsi" w:hAnsiTheme="minorHAnsi"/>
        </w:rPr>
        <w:t xml:space="preserve">may only </w:t>
      </w:r>
      <w:r w:rsidRPr="00C00000">
        <w:rPr>
          <w:rFonts w:asciiTheme="minorHAnsi" w:hAnsiTheme="minorHAnsi"/>
        </w:rPr>
        <w:t xml:space="preserve">be taken before the end of the period of the bond if the breach involves a failure to comply with a condition of an order other than a failure constituted by the commission by the person of an offence.  Where the breach is occasioned by the commission of an offence during the period of the bond breach, </w:t>
      </w:r>
      <w:r w:rsidR="00264FA2">
        <w:rPr>
          <w:rFonts w:asciiTheme="minorHAnsi" w:hAnsiTheme="minorHAnsi"/>
        </w:rPr>
        <w:t xml:space="preserve">proceedings for breach may be brought either within or </w:t>
      </w:r>
      <w:r w:rsidR="00315DFD">
        <w:rPr>
          <w:rFonts w:asciiTheme="minorHAnsi" w:hAnsiTheme="minorHAnsi"/>
        </w:rPr>
        <w:t>outside</w:t>
      </w:r>
      <w:r w:rsidRPr="00C00000">
        <w:rPr>
          <w:rFonts w:asciiTheme="minorHAnsi" w:hAnsiTheme="minorHAnsi"/>
        </w:rPr>
        <w:t xml:space="preserve"> the period of the bond.</w:t>
      </w:r>
    </w:p>
    <w:p w14:paraId="2790FBE2" w14:textId="77777777" w:rsidR="009838DC" w:rsidRPr="00C00000" w:rsidRDefault="009838DC" w:rsidP="007C11C2">
      <w:pPr>
        <w:pStyle w:val="ListParagraph"/>
        <w:spacing w:line="276" w:lineRule="auto"/>
        <w:ind w:left="567" w:right="28" w:hanging="567"/>
        <w:rPr>
          <w:rFonts w:asciiTheme="minorHAnsi" w:hAnsiTheme="minorHAnsi"/>
        </w:rPr>
      </w:pPr>
    </w:p>
    <w:p w14:paraId="001BC36E" w14:textId="77777777" w:rsidR="009838DC" w:rsidRPr="00C00000" w:rsidRDefault="00D3507E"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Breach action is initiated by summons or information and warrant that can only be issued by a Magistrate pursuant to s 20AC.  </w:t>
      </w:r>
    </w:p>
    <w:p w14:paraId="4424FA86" w14:textId="77777777" w:rsidR="00D3507E" w:rsidRPr="00C00000" w:rsidRDefault="00D3507E" w:rsidP="007C11C2">
      <w:pPr>
        <w:pStyle w:val="ListParagraph"/>
        <w:spacing w:line="276" w:lineRule="auto"/>
        <w:ind w:left="567" w:right="28" w:hanging="567"/>
        <w:rPr>
          <w:rFonts w:asciiTheme="minorHAnsi" w:hAnsiTheme="minorHAnsi"/>
        </w:rPr>
      </w:pPr>
    </w:p>
    <w:p w14:paraId="59ABBCEC" w14:textId="77777777" w:rsidR="00423465" w:rsidRPr="00C00000" w:rsidRDefault="00423465"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Where the court is satisfied that the person has without reasonable excuse failed to comply with a condition, the sentencing options are set out in s 20A(5)(a).  They are:</w:t>
      </w:r>
    </w:p>
    <w:p w14:paraId="1BFFF2B8" w14:textId="77777777" w:rsidR="00346A2E" w:rsidRPr="00C00000" w:rsidRDefault="0081572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r</w:t>
      </w:r>
      <w:r w:rsidR="00346A2E" w:rsidRPr="00C00000">
        <w:rPr>
          <w:rFonts w:asciiTheme="minorHAnsi" w:hAnsiTheme="minorHAnsi"/>
        </w:rPr>
        <w:t>evoke the order and convict the person and deal with the person in a manner as if the order had not been made; or</w:t>
      </w:r>
    </w:p>
    <w:p w14:paraId="7635C37F" w14:textId="77777777" w:rsidR="00346A2E" w:rsidRPr="00C00000" w:rsidRDefault="00346A2E"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take no action.</w:t>
      </w:r>
    </w:p>
    <w:p w14:paraId="33EC0C02" w14:textId="394AF2DD" w:rsidR="00185C44" w:rsidRDefault="00185C44" w:rsidP="007C11C2">
      <w:pPr>
        <w:pStyle w:val="ListParagraph"/>
        <w:spacing w:line="276" w:lineRule="auto"/>
        <w:ind w:left="873" w:right="28"/>
        <w:rPr>
          <w:rFonts w:asciiTheme="minorHAnsi" w:hAnsiTheme="minorHAnsi"/>
        </w:rPr>
      </w:pPr>
    </w:p>
    <w:p w14:paraId="0B53D012" w14:textId="7F915ECF" w:rsidR="001A6C72" w:rsidRDefault="001A6C72">
      <w:pPr>
        <w:rPr>
          <w:rFonts w:asciiTheme="minorHAnsi" w:hAnsiTheme="minorHAnsi"/>
        </w:rPr>
      </w:pPr>
      <w:r>
        <w:rPr>
          <w:rFonts w:asciiTheme="minorHAnsi" w:hAnsiTheme="minorHAnsi"/>
        </w:rPr>
        <w:br w:type="page"/>
      </w:r>
    </w:p>
    <w:p w14:paraId="06EF36DF" w14:textId="77777777" w:rsidR="001A6C72" w:rsidRPr="00C00000" w:rsidRDefault="001A6C72" w:rsidP="007C11C2">
      <w:pPr>
        <w:pStyle w:val="ListParagraph"/>
        <w:spacing w:line="276" w:lineRule="auto"/>
        <w:ind w:left="873" w:right="28"/>
        <w:rPr>
          <w:rFonts w:asciiTheme="minorHAnsi" w:hAnsiTheme="minorHAnsi"/>
        </w:rPr>
      </w:pPr>
    </w:p>
    <w:p w14:paraId="01957469" w14:textId="3A2AB482" w:rsidR="008E5DEA" w:rsidRDefault="00346A2E" w:rsidP="001F7E6F">
      <w:pPr>
        <w:pStyle w:val="Heading2"/>
      </w:pPr>
      <w:bookmarkStart w:id="1592" w:name="_Ref506654476"/>
      <w:bookmarkStart w:id="1593" w:name="_Ref506654479"/>
      <w:bookmarkStart w:id="1594" w:name="_Toc33602834"/>
      <w:r w:rsidRPr="00C00000">
        <w:t>Bond with conviction –</w:t>
      </w:r>
      <w:r w:rsidR="006300C6">
        <w:t xml:space="preserve"> </w:t>
      </w:r>
      <w:r w:rsidR="00885EFD" w:rsidRPr="00885EFD">
        <w:rPr>
          <w:i/>
        </w:rPr>
        <w:t>Crimes Act 1914</w:t>
      </w:r>
      <w:bookmarkEnd w:id="1592"/>
      <w:bookmarkEnd w:id="1593"/>
      <w:r w:rsidR="00DA5BD4">
        <w:t>,</w:t>
      </w:r>
      <w:r w:rsidR="00DA5BD4" w:rsidRPr="00C00000">
        <w:t xml:space="preserve"> s 20</w:t>
      </w:r>
      <w:r w:rsidR="00DA5BD4">
        <w:t>(1)(a)</w:t>
      </w:r>
      <w:bookmarkEnd w:id="1594"/>
    </w:p>
    <w:p w14:paraId="5D9F7ECA" w14:textId="77777777" w:rsidR="00346A2E" w:rsidRPr="004E0120" w:rsidRDefault="00346A2E" w:rsidP="001F7E6F">
      <w:pPr>
        <w:keepNext/>
        <w:spacing w:line="276" w:lineRule="auto"/>
        <w:ind w:right="28"/>
        <w:rPr>
          <w:rFonts w:asciiTheme="minorHAnsi" w:hAnsiTheme="minorHAnsi"/>
          <w:u w:val="single"/>
        </w:rPr>
      </w:pPr>
    </w:p>
    <w:p w14:paraId="4ACFF063" w14:textId="266BE88C" w:rsidR="00727D7C" w:rsidRPr="00C00000" w:rsidRDefault="00346A2E" w:rsidP="00EB7F1E">
      <w:pPr>
        <w:pStyle w:val="ListParagraph"/>
        <w:numPr>
          <w:ilvl w:val="0"/>
          <w:numId w:val="7"/>
        </w:numPr>
        <w:spacing w:line="276" w:lineRule="auto"/>
        <w:ind w:left="425" w:hanging="425"/>
        <w:contextualSpacing w:val="0"/>
        <w:rPr>
          <w:rFonts w:asciiTheme="minorHAnsi" w:hAnsiTheme="minorHAnsi"/>
        </w:rPr>
      </w:pPr>
      <w:bookmarkStart w:id="1595" w:name="_Ref469664997"/>
      <w:r w:rsidRPr="00C00000">
        <w:rPr>
          <w:rFonts w:asciiTheme="minorHAnsi" w:hAnsiTheme="minorHAnsi"/>
        </w:rPr>
        <w:t>S</w:t>
      </w:r>
      <w:r w:rsidR="00B240B4" w:rsidRPr="00C00000">
        <w:rPr>
          <w:rFonts w:asciiTheme="minorHAnsi" w:hAnsiTheme="minorHAnsi"/>
        </w:rPr>
        <w:t>ection</w:t>
      </w:r>
      <w:r w:rsidRPr="00C00000">
        <w:rPr>
          <w:rFonts w:asciiTheme="minorHAnsi" w:hAnsiTheme="minorHAnsi"/>
        </w:rPr>
        <w:t xml:space="preserve"> 20 enables the court to release a federal offender on a bond with conviction upon giving security with or without sureties and conditions.</w:t>
      </w:r>
      <w:bookmarkEnd w:id="1595"/>
    </w:p>
    <w:p w14:paraId="2645E593" w14:textId="77777777" w:rsidR="00727D7C" w:rsidRPr="00C00000" w:rsidRDefault="00727D7C" w:rsidP="007C11C2">
      <w:pPr>
        <w:pStyle w:val="ListParagraph"/>
        <w:spacing w:line="276" w:lineRule="auto"/>
        <w:ind w:left="873" w:right="28"/>
        <w:rPr>
          <w:rFonts w:asciiTheme="minorHAnsi" w:hAnsiTheme="minorHAnsi"/>
        </w:rPr>
      </w:pPr>
    </w:p>
    <w:p w14:paraId="1469919F" w14:textId="5F05CBF1" w:rsidR="00975D84" w:rsidRDefault="00975D84" w:rsidP="001F7E6F">
      <w:pPr>
        <w:pStyle w:val="Heading3"/>
      </w:pPr>
      <w:bookmarkStart w:id="1596" w:name="_Toc33602835"/>
      <w:r>
        <w:t>Single bond may be ordered for two or more federal offences</w:t>
      </w:r>
      <w:bookmarkEnd w:id="1596"/>
    </w:p>
    <w:p w14:paraId="31044D57" w14:textId="77777777" w:rsidR="00975D84" w:rsidRDefault="00975D84" w:rsidP="001F7E6F">
      <w:pPr>
        <w:keepNext/>
        <w:spacing w:line="276" w:lineRule="auto"/>
        <w:ind w:right="28"/>
        <w:rPr>
          <w:rFonts w:asciiTheme="minorHAnsi" w:hAnsiTheme="minorHAnsi"/>
          <w:u w:val="single"/>
        </w:rPr>
      </w:pPr>
    </w:p>
    <w:p w14:paraId="0D17CE83" w14:textId="584A5607" w:rsidR="00975D84" w:rsidRPr="0016057C" w:rsidRDefault="00975D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general, the imposition of a single penalty in relation to more than one offence is permitted only to the extent that it is clearly </w:t>
      </w:r>
      <w:r w:rsidR="00F47D0C">
        <w:rPr>
          <w:rFonts w:asciiTheme="minorHAnsi" w:hAnsiTheme="minorHAnsi"/>
        </w:rPr>
        <w:t>author</w:t>
      </w:r>
      <w:r w:rsidR="00B86888">
        <w:rPr>
          <w:rFonts w:asciiTheme="minorHAnsi" w:hAnsiTheme="minorHAnsi"/>
        </w:rPr>
        <w:t>ised</w:t>
      </w:r>
      <w:r>
        <w:rPr>
          <w:rFonts w:asciiTheme="minorHAnsi" w:hAnsiTheme="minorHAnsi"/>
        </w:rPr>
        <w:t xml:space="preserve"> by statute.  Commonwealth legislation provides for aggregate penalties only in limited circumstances.  The main provision permitting aggregate penalties in courts of summary jurisdiction is s 4K(4) of the </w:t>
      </w:r>
      <w:r w:rsidR="00885EFD" w:rsidRPr="00885EFD">
        <w:rPr>
          <w:rFonts w:asciiTheme="minorHAnsi" w:hAnsiTheme="minorHAnsi"/>
          <w:i/>
        </w:rPr>
        <w:t>Crimes Act 1914</w:t>
      </w:r>
      <w:r w:rsidRPr="00593B89">
        <w:rPr>
          <w:rFonts w:asciiTheme="minorHAnsi" w:hAnsiTheme="minorHAnsi"/>
          <w:i/>
        </w:rPr>
        <w:t xml:space="preserve"> </w:t>
      </w:r>
      <w:r>
        <w:rPr>
          <w:rFonts w:asciiTheme="minorHAnsi" w:hAnsiTheme="minorHAnsi"/>
        </w:rPr>
        <w:t xml:space="preserve">(Cth).  That sub-section permits an aggregate penalty only where </w:t>
      </w:r>
      <w:r w:rsidRPr="00DE687E">
        <w:rPr>
          <w:rFonts w:asciiTheme="minorHAnsi" w:hAnsiTheme="minorHAnsi"/>
        </w:rPr>
        <w:t xml:space="preserve">charges against the same person for any number of offences against the same provision of a law of the Commonwealth </w:t>
      </w:r>
      <w:r>
        <w:rPr>
          <w:rFonts w:asciiTheme="minorHAnsi" w:hAnsiTheme="minorHAnsi"/>
        </w:rPr>
        <w:t xml:space="preserve">have been </w:t>
      </w:r>
      <w:r w:rsidRPr="00DE687E">
        <w:rPr>
          <w:rFonts w:asciiTheme="minorHAnsi" w:hAnsiTheme="minorHAnsi"/>
        </w:rPr>
        <w:t xml:space="preserve">joined in the same information, complaint or summons </w:t>
      </w:r>
      <w:r>
        <w:rPr>
          <w:rFonts w:asciiTheme="minorHAnsi" w:hAnsiTheme="minorHAnsi"/>
        </w:rPr>
        <w:t xml:space="preserve">on the basis that the </w:t>
      </w:r>
      <w:r w:rsidRPr="00DE687E">
        <w:rPr>
          <w:rFonts w:asciiTheme="minorHAnsi" w:hAnsiTheme="minorHAnsi"/>
        </w:rPr>
        <w:t>charges are founded on the same facts, or form, or are part of, a series of offences of the same or a similar character</w:t>
      </w:r>
      <w:r w:rsidRPr="00051102">
        <w:rPr>
          <w:rStyle w:val="verdana"/>
          <w:rFonts w:ascii="Calibri" w:hAnsi="Calibri"/>
        </w:rPr>
        <w:t>.</w:t>
      </w:r>
      <w:r>
        <w:rPr>
          <w:rFonts w:asciiTheme="minorHAnsi" w:hAnsiTheme="minorHAnsi"/>
        </w:rPr>
        <w:t xml:space="preserve">  (See further “</w:t>
      </w:r>
      <w:r>
        <w:rPr>
          <w:rFonts w:asciiTheme="minorHAnsi" w:hAnsiTheme="minorHAnsi"/>
        </w:rPr>
        <w:fldChar w:fldCharType="begin"/>
      </w:r>
      <w:r>
        <w:rPr>
          <w:rFonts w:asciiTheme="minorHAnsi" w:hAnsiTheme="minorHAnsi"/>
        </w:rPr>
        <w:instrText xml:space="preserve"> REF _Ref492823967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7.10</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_Ref492823974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Aggregate penalty</w:t>
      </w:r>
      <w:r>
        <w:rPr>
          <w:rFonts w:asciiTheme="minorHAnsi" w:hAnsiTheme="minorHAnsi"/>
        </w:rPr>
        <w:fldChar w:fldCharType="end"/>
      </w:r>
      <w:r>
        <w:rPr>
          <w:rFonts w:asciiTheme="minorHAnsi" w:hAnsiTheme="minorHAnsi"/>
        </w:rPr>
        <w:t>”.)</w:t>
      </w:r>
    </w:p>
    <w:p w14:paraId="655A2B23" w14:textId="77777777" w:rsidR="00975D84" w:rsidRPr="00672622" w:rsidRDefault="00975D84" w:rsidP="00975D84">
      <w:pPr>
        <w:spacing w:line="276" w:lineRule="auto"/>
        <w:ind w:right="28"/>
        <w:rPr>
          <w:rFonts w:asciiTheme="minorHAnsi" w:hAnsiTheme="minorHAnsi"/>
          <w:u w:val="single"/>
        </w:rPr>
      </w:pPr>
    </w:p>
    <w:p w14:paraId="4F35DCB8" w14:textId="3E07756A" w:rsidR="00975D84" w:rsidRDefault="00975D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its own terms, s 20 applies whenever a person is </w:t>
      </w:r>
      <w:r w:rsidR="00D75F9F">
        <w:rPr>
          <w:rFonts w:asciiTheme="minorHAnsi" w:hAnsiTheme="minorHAnsi"/>
        </w:rPr>
        <w:t>convicted of</w:t>
      </w:r>
      <w:r>
        <w:rPr>
          <w:rFonts w:asciiTheme="minorHAnsi" w:hAnsiTheme="minorHAnsi"/>
        </w:rPr>
        <w:t xml:space="preserve"> one or more federal offences.  It is implicit that a single order may be made in relation to more than one of the offences with which the person is charged.  By contrast with s 4K, there is no explicit requirement that the charges be for the same offence, or for offences against the same provision of the Commonwealth law, or for offences of the same or similar nature, or that they be contained in the same charge-sheet or information.  The better view would appear to be that the power to make a single order under s </w:t>
      </w:r>
      <w:r w:rsidR="00D75F9F">
        <w:rPr>
          <w:rFonts w:asciiTheme="minorHAnsi" w:hAnsiTheme="minorHAnsi"/>
        </w:rPr>
        <w:t>20</w:t>
      </w:r>
      <w:r>
        <w:rPr>
          <w:rFonts w:asciiTheme="minorHAnsi" w:hAnsiTheme="minorHAnsi"/>
        </w:rPr>
        <w:t xml:space="preserve"> in relation to multiple offences is not subject to any such implied limitations.</w:t>
      </w:r>
    </w:p>
    <w:p w14:paraId="6061541C" w14:textId="77777777" w:rsidR="00975D84" w:rsidRPr="002B6A70" w:rsidRDefault="00975D84" w:rsidP="00975D84">
      <w:pPr>
        <w:pStyle w:val="ListParagraph"/>
        <w:rPr>
          <w:rFonts w:asciiTheme="minorHAnsi" w:hAnsiTheme="minorHAnsi"/>
        </w:rPr>
      </w:pPr>
    </w:p>
    <w:p w14:paraId="10E4AB23" w14:textId="1D3D90FE" w:rsidR="00975D84" w:rsidRDefault="00975D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should be noted, however, that there is no power to combine an order under s </w:t>
      </w:r>
      <w:r w:rsidR="00D75F9F">
        <w:rPr>
          <w:rFonts w:asciiTheme="minorHAnsi" w:hAnsiTheme="minorHAnsi"/>
        </w:rPr>
        <w:t>20</w:t>
      </w:r>
      <w:r>
        <w:rPr>
          <w:rFonts w:asciiTheme="minorHAnsi" w:hAnsiTheme="minorHAnsi"/>
        </w:rPr>
        <w:t xml:space="preserve"> with any kind of bond or order in relation to State or Territory offences.</w:t>
      </w:r>
    </w:p>
    <w:p w14:paraId="2F8625F2" w14:textId="77777777" w:rsidR="00975D84" w:rsidRPr="00BC2E12" w:rsidRDefault="00975D84" w:rsidP="00975D84">
      <w:pPr>
        <w:spacing w:line="276" w:lineRule="auto"/>
        <w:ind w:right="28"/>
        <w:rPr>
          <w:rFonts w:asciiTheme="minorHAnsi" w:hAnsiTheme="minorHAnsi"/>
        </w:rPr>
      </w:pPr>
    </w:p>
    <w:p w14:paraId="6285098C" w14:textId="2A8E476B" w:rsidR="00727D7C" w:rsidRPr="00E9607E" w:rsidRDefault="00727D7C" w:rsidP="001F7E6F">
      <w:pPr>
        <w:pStyle w:val="Heading3"/>
      </w:pPr>
      <w:bookmarkStart w:id="1597" w:name="_Toc33602836"/>
      <w:r w:rsidRPr="00E9607E">
        <w:t>Length</w:t>
      </w:r>
      <w:r w:rsidR="00950D10">
        <w:t xml:space="preserve"> of good behaviour period</w:t>
      </w:r>
      <w:bookmarkEnd w:id="1597"/>
    </w:p>
    <w:p w14:paraId="24CC3533" w14:textId="77777777" w:rsidR="00146BAA" w:rsidRPr="00C00000" w:rsidRDefault="00146BAA" w:rsidP="001F7E6F">
      <w:pPr>
        <w:pStyle w:val="NormalIndent"/>
        <w:keepNext/>
        <w:spacing w:line="276" w:lineRule="auto"/>
        <w:rPr>
          <w:rFonts w:asciiTheme="minorHAnsi" w:hAnsiTheme="minorHAnsi"/>
        </w:rPr>
      </w:pPr>
    </w:p>
    <w:p w14:paraId="4921AA3D" w14:textId="7729710E" w:rsidR="00346A2E" w:rsidRPr="00C00000" w:rsidRDefault="00727D7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w:t>
      </w:r>
      <w:r w:rsidR="00950D10">
        <w:rPr>
          <w:rFonts w:asciiTheme="minorHAnsi" w:hAnsiTheme="minorHAnsi"/>
        </w:rPr>
        <w:t>n order under s 20(1)(a), without passing sentence, that the offender be released</w:t>
      </w:r>
      <w:r w:rsidR="00950D10" w:rsidRPr="00C00000">
        <w:rPr>
          <w:rFonts w:asciiTheme="minorHAnsi" w:hAnsiTheme="minorHAnsi"/>
        </w:rPr>
        <w:t xml:space="preserve"> </w:t>
      </w:r>
      <w:r w:rsidR="008E65DA" w:rsidRPr="00C00000">
        <w:rPr>
          <w:rFonts w:asciiTheme="minorHAnsi" w:hAnsiTheme="minorHAnsi"/>
        </w:rPr>
        <w:t xml:space="preserve">may </w:t>
      </w:r>
      <w:r w:rsidR="006300C6">
        <w:rPr>
          <w:rFonts w:asciiTheme="minorHAnsi" w:hAnsiTheme="minorHAnsi"/>
        </w:rPr>
        <w:t xml:space="preserve">be </w:t>
      </w:r>
      <w:r w:rsidR="00950D10">
        <w:rPr>
          <w:rFonts w:asciiTheme="minorHAnsi" w:hAnsiTheme="minorHAnsi"/>
        </w:rPr>
        <w:t>conditional on the offender being of good behaviour for a specified period, not exceeding</w:t>
      </w:r>
      <w:r w:rsidR="00346A2E" w:rsidRPr="00C00000">
        <w:rPr>
          <w:rFonts w:asciiTheme="minorHAnsi" w:hAnsiTheme="minorHAnsi"/>
        </w:rPr>
        <w:t xml:space="preserve"> 5 years</w:t>
      </w:r>
      <w:r w:rsidR="00BE2027">
        <w:rPr>
          <w:rFonts w:asciiTheme="minorHAnsi" w:hAnsiTheme="minorHAnsi"/>
        </w:rPr>
        <w:t>.</w:t>
      </w:r>
    </w:p>
    <w:p w14:paraId="2B8CAF4B" w14:textId="77777777" w:rsidR="00E24190" w:rsidRPr="00C00000" w:rsidRDefault="00E24190" w:rsidP="007C11C2">
      <w:pPr>
        <w:pStyle w:val="ListParagraph"/>
        <w:spacing w:line="276" w:lineRule="auto"/>
        <w:ind w:left="873" w:right="28"/>
        <w:rPr>
          <w:rFonts w:asciiTheme="minorHAnsi" w:hAnsiTheme="minorHAnsi"/>
        </w:rPr>
      </w:pPr>
    </w:p>
    <w:p w14:paraId="57FE46B9" w14:textId="0910D062" w:rsidR="00BE2027" w:rsidRDefault="00BC2D62" w:rsidP="001F7E6F">
      <w:pPr>
        <w:pStyle w:val="Heading3"/>
      </w:pPr>
      <w:bookmarkStart w:id="1598" w:name="_Ref507318258"/>
      <w:bookmarkStart w:id="1599" w:name="_Ref507318266"/>
      <w:bookmarkStart w:id="1600" w:name="_Toc33602837"/>
      <w:r>
        <w:t>Reparation, restitution, compensation or costs as a condition of a bond</w:t>
      </w:r>
      <w:bookmarkEnd w:id="1598"/>
      <w:bookmarkEnd w:id="1599"/>
      <w:bookmarkEnd w:id="1600"/>
    </w:p>
    <w:p w14:paraId="2DF8BE74" w14:textId="77777777" w:rsidR="00BC2D62" w:rsidRPr="00051102" w:rsidRDefault="00BC2D62" w:rsidP="001F7E6F">
      <w:pPr>
        <w:pStyle w:val="NormalIndent"/>
        <w:keepNext/>
        <w:rPr>
          <w:rFonts w:ascii="Calibri" w:hAnsi="Calibri"/>
        </w:rPr>
      </w:pPr>
    </w:p>
    <w:p w14:paraId="24FA1253" w14:textId="030801B0" w:rsidR="009708FA" w:rsidRDefault="00BE2027">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accordance with s 20(1)(a)(ii), a court may impose a condition of a s 20</w:t>
      </w:r>
      <w:r w:rsidR="0004460F">
        <w:rPr>
          <w:rFonts w:asciiTheme="minorHAnsi" w:hAnsiTheme="minorHAnsi"/>
        </w:rPr>
        <w:t>(1)(a)</w:t>
      </w:r>
      <w:r>
        <w:rPr>
          <w:rFonts w:asciiTheme="minorHAnsi" w:hAnsiTheme="minorHAnsi"/>
        </w:rPr>
        <w:t xml:space="preserve"> </w:t>
      </w:r>
      <w:r w:rsidR="0004460F">
        <w:rPr>
          <w:rFonts w:asciiTheme="minorHAnsi" w:hAnsiTheme="minorHAnsi"/>
        </w:rPr>
        <w:t>order</w:t>
      </w:r>
      <w:r w:rsidR="00BC2D62">
        <w:rPr>
          <w:rFonts w:asciiTheme="minorHAnsi" w:hAnsiTheme="minorHAnsi"/>
        </w:rPr>
        <w:t xml:space="preserve"> that the offender </w:t>
      </w:r>
      <w:r>
        <w:rPr>
          <w:rFonts w:asciiTheme="minorHAnsi" w:hAnsiTheme="minorHAnsi"/>
        </w:rPr>
        <w:t xml:space="preserve">make </w:t>
      </w:r>
      <w:r w:rsidRPr="00967B8B">
        <w:rPr>
          <w:rFonts w:asciiTheme="minorHAnsi" w:hAnsiTheme="minorHAnsi"/>
        </w:rPr>
        <w:t>reparation</w:t>
      </w:r>
      <w:r w:rsidR="00BC2D62">
        <w:rPr>
          <w:rFonts w:asciiTheme="minorHAnsi" w:hAnsiTheme="minorHAnsi"/>
        </w:rPr>
        <w:t xml:space="preserve"> or</w:t>
      </w:r>
      <w:r w:rsidRPr="00967B8B">
        <w:rPr>
          <w:rFonts w:asciiTheme="minorHAnsi" w:hAnsiTheme="minorHAnsi"/>
        </w:rPr>
        <w:t xml:space="preserve"> restitution, </w:t>
      </w:r>
      <w:r w:rsidR="00BC2D62">
        <w:rPr>
          <w:rFonts w:asciiTheme="minorHAnsi" w:hAnsiTheme="minorHAnsi"/>
        </w:rPr>
        <w:t xml:space="preserve">or pay </w:t>
      </w:r>
      <w:r w:rsidRPr="00967B8B">
        <w:rPr>
          <w:rFonts w:asciiTheme="minorHAnsi" w:hAnsiTheme="minorHAnsi"/>
        </w:rPr>
        <w:t>compensation or costs</w:t>
      </w:r>
      <w:r w:rsidR="00BC2D62">
        <w:rPr>
          <w:rFonts w:asciiTheme="minorHAnsi" w:hAnsiTheme="minorHAnsi"/>
        </w:rPr>
        <w:t>,</w:t>
      </w:r>
      <w:r>
        <w:rPr>
          <w:rFonts w:asciiTheme="minorHAnsi" w:hAnsiTheme="minorHAnsi"/>
        </w:rPr>
        <w:t xml:space="preserve"> </w:t>
      </w:r>
      <w:r w:rsidR="00BC2D62">
        <w:rPr>
          <w:rFonts w:asciiTheme="minorHAnsi" w:hAnsiTheme="minorHAnsi"/>
        </w:rPr>
        <w:t xml:space="preserve">on or before a specified date, or by specified instalments. </w:t>
      </w:r>
      <w:r w:rsidR="00950D10">
        <w:rPr>
          <w:rFonts w:asciiTheme="minorHAnsi" w:hAnsiTheme="minorHAnsi"/>
        </w:rPr>
        <w:t xml:space="preserve"> The condition may be for </w:t>
      </w:r>
      <w:r w:rsidR="009F6E09">
        <w:rPr>
          <w:rFonts w:asciiTheme="minorHAnsi" w:hAnsiTheme="minorHAnsi"/>
        </w:rPr>
        <w:t xml:space="preserve">any </w:t>
      </w:r>
      <w:r w:rsidR="00950D10">
        <w:rPr>
          <w:rFonts w:asciiTheme="minorHAnsi" w:hAnsiTheme="minorHAnsi"/>
        </w:rPr>
        <w:t>mak</w:t>
      </w:r>
      <w:r w:rsidR="009F6E09">
        <w:rPr>
          <w:rFonts w:asciiTheme="minorHAnsi" w:hAnsiTheme="minorHAnsi"/>
        </w:rPr>
        <w:t xml:space="preserve">ing of </w:t>
      </w:r>
      <w:r w:rsidR="00950D10" w:rsidRPr="00967B8B">
        <w:rPr>
          <w:rFonts w:asciiTheme="minorHAnsi" w:hAnsiTheme="minorHAnsi"/>
        </w:rPr>
        <w:t>reparation</w:t>
      </w:r>
      <w:r w:rsidR="00950D10">
        <w:rPr>
          <w:rFonts w:asciiTheme="minorHAnsi" w:hAnsiTheme="minorHAnsi"/>
        </w:rPr>
        <w:t xml:space="preserve"> or</w:t>
      </w:r>
      <w:r w:rsidR="00950D10" w:rsidRPr="00967B8B">
        <w:rPr>
          <w:rFonts w:asciiTheme="minorHAnsi" w:hAnsiTheme="minorHAnsi"/>
        </w:rPr>
        <w:t xml:space="preserve"> restitution, </w:t>
      </w:r>
      <w:r w:rsidR="00950D10">
        <w:rPr>
          <w:rFonts w:asciiTheme="minorHAnsi" w:hAnsiTheme="minorHAnsi"/>
        </w:rPr>
        <w:t>or pay</w:t>
      </w:r>
      <w:r w:rsidR="009F6E09">
        <w:rPr>
          <w:rFonts w:asciiTheme="minorHAnsi" w:hAnsiTheme="minorHAnsi"/>
        </w:rPr>
        <w:t>ment of</w:t>
      </w:r>
      <w:r w:rsidR="00950D10">
        <w:rPr>
          <w:rFonts w:asciiTheme="minorHAnsi" w:hAnsiTheme="minorHAnsi"/>
        </w:rPr>
        <w:t xml:space="preserve"> </w:t>
      </w:r>
      <w:r w:rsidR="00950D10" w:rsidRPr="00967B8B">
        <w:rPr>
          <w:rFonts w:asciiTheme="minorHAnsi" w:hAnsiTheme="minorHAnsi"/>
        </w:rPr>
        <w:t>compensation or costs</w:t>
      </w:r>
      <w:r w:rsidR="00950D10">
        <w:rPr>
          <w:rFonts w:asciiTheme="minorHAnsi" w:hAnsiTheme="minorHAnsi"/>
        </w:rPr>
        <w:t xml:space="preserve"> that the court is otherwise empowered to order</w:t>
      </w:r>
      <w:r w:rsidR="009F6E09">
        <w:rPr>
          <w:rFonts w:asciiTheme="minorHAnsi" w:hAnsiTheme="minorHAnsi"/>
        </w:rPr>
        <w:t>.</w:t>
      </w:r>
      <w:r w:rsidR="007E7666">
        <w:rPr>
          <w:rFonts w:asciiTheme="minorHAnsi" w:hAnsiTheme="minorHAnsi"/>
        </w:rPr>
        <w:t xml:space="preserve"> </w:t>
      </w:r>
      <w:r w:rsidR="00734B1B">
        <w:rPr>
          <w:rFonts w:asciiTheme="minorHAnsi" w:hAnsiTheme="minorHAnsi"/>
        </w:rPr>
        <w:t xml:space="preserve"> The offender is not to be imprisoned for failure to comply with the condition (s 20(2A)).</w:t>
      </w:r>
    </w:p>
    <w:p w14:paraId="441F06B8" w14:textId="77777777" w:rsidR="009708FA" w:rsidRPr="00EB7F1E" w:rsidRDefault="009708FA" w:rsidP="00EB7F1E">
      <w:pPr>
        <w:spacing w:line="276" w:lineRule="auto"/>
        <w:rPr>
          <w:rFonts w:asciiTheme="minorHAnsi" w:hAnsiTheme="minorHAnsi"/>
        </w:rPr>
      </w:pPr>
    </w:p>
    <w:p w14:paraId="3881F453" w14:textId="4E2CC48A" w:rsidR="007E7666" w:rsidRDefault="00734B1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w:t>
      </w:r>
      <w:r w:rsidR="009708FA">
        <w:rPr>
          <w:rFonts w:asciiTheme="minorHAnsi" w:hAnsiTheme="minorHAnsi"/>
        </w:rPr>
        <w:t xml:space="preserve">usually </w:t>
      </w:r>
      <w:r>
        <w:rPr>
          <w:rFonts w:asciiTheme="minorHAnsi" w:hAnsiTheme="minorHAnsi"/>
        </w:rPr>
        <w:t xml:space="preserve">more appropriate for reparation to be </w:t>
      </w:r>
      <w:r w:rsidR="009708FA">
        <w:rPr>
          <w:rFonts w:asciiTheme="minorHAnsi" w:hAnsiTheme="minorHAnsi"/>
        </w:rPr>
        <w:t xml:space="preserve">the subject of a </w:t>
      </w:r>
      <w:r w:rsidR="007E7666">
        <w:rPr>
          <w:rFonts w:asciiTheme="minorHAnsi" w:hAnsiTheme="minorHAnsi"/>
        </w:rPr>
        <w:t xml:space="preserve">separate order, </w:t>
      </w:r>
      <w:r w:rsidR="009708FA">
        <w:rPr>
          <w:rFonts w:asciiTheme="minorHAnsi" w:hAnsiTheme="minorHAnsi"/>
        </w:rPr>
        <w:t xml:space="preserve">rather than made a condition of a </w:t>
      </w:r>
      <w:r>
        <w:rPr>
          <w:rFonts w:asciiTheme="minorHAnsi" w:hAnsiTheme="minorHAnsi"/>
        </w:rPr>
        <w:t>recognizance</w:t>
      </w:r>
      <w:r w:rsidR="009708FA">
        <w:rPr>
          <w:rFonts w:asciiTheme="minorHAnsi" w:hAnsiTheme="minorHAnsi"/>
        </w:rPr>
        <w:t>.</w:t>
      </w:r>
      <w:r w:rsidRPr="00C00000">
        <w:rPr>
          <w:rStyle w:val="Style"/>
          <w:rFonts w:asciiTheme="minorHAnsi" w:hAnsiTheme="minorHAnsi"/>
        </w:rPr>
        <w:footnoteReference w:id="610"/>
      </w:r>
      <w:r w:rsidR="009708FA">
        <w:rPr>
          <w:rFonts w:asciiTheme="minorHAnsi" w:hAnsiTheme="minorHAnsi"/>
        </w:rPr>
        <w:t xml:space="preserve">  As to the making of a reparation order, see “</w:t>
      </w:r>
      <w:r w:rsidR="009708FA">
        <w:rPr>
          <w:rFonts w:asciiTheme="minorHAnsi" w:hAnsiTheme="minorHAnsi"/>
        </w:rPr>
        <w:fldChar w:fldCharType="begin"/>
      </w:r>
      <w:r w:rsidR="009708FA">
        <w:rPr>
          <w:rFonts w:asciiTheme="minorHAnsi" w:hAnsiTheme="minorHAnsi"/>
        </w:rPr>
        <w:instrText xml:space="preserve"> REF _Ref494544049 \r \h  \* MERGEFORMAT </w:instrText>
      </w:r>
      <w:r w:rsidR="009708FA">
        <w:rPr>
          <w:rFonts w:asciiTheme="minorHAnsi" w:hAnsiTheme="minorHAnsi"/>
        </w:rPr>
      </w:r>
      <w:r w:rsidR="009708FA">
        <w:rPr>
          <w:rFonts w:asciiTheme="minorHAnsi" w:hAnsiTheme="minorHAnsi"/>
        </w:rPr>
        <w:fldChar w:fldCharType="separate"/>
      </w:r>
      <w:r w:rsidR="00D44BCF">
        <w:rPr>
          <w:rFonts w:asciiTheme="minorHAnsi" w:hAnsiTheme="minorHAnsi"/>
        </w:rPr>
        <w:t>6.1</w:t>
      </w:r>
      <w:r w:rsidR="009708FA">
        <w:rPr>
          <w:rFonts w:asciiTheme="minorHAnsi" w:hAnsiTheme="minorHAnsi"/>
        </w:rPr>
        <w:fldChar w:fldCharType="end"/>
      </w:r>
      <w:r w:rsidR="009708FA">
        <w:rPr>
          <w:rFonts w:asciiTheme="minorHAnsi" w:hAnsiTheme="minorHAnsi"/>
        </w:rPr>
        <w:t xml:space="preserve"> </w:t>
      </w:r>
      <w:r w:rsidR="009708FA">
        <w:rPr>
          <w:rFonts w:asciiTheme="minorHAnsi" w:hAnsiTheme="minorHAnsi"/>
        </w:rPr>
        <w:fldChar w:fldCharType="begin"/>
      </w:r>
      <w:r w:rsidR="009708FA">
        <w:rPr>
          <w:rFonts w:asciiTheme="minorHAnsi" w:hAnsiTheme="minorHAnsi"/>
        </w:rPr>
        <w:instrText xml:space="preserve"> REF _Ref494544049 \h  \* MERGEFORMAT </w:instrText>
      </w:r>
      <w:r w:rsidR="009708FA">
        <w:rPr>
          <w:rFonts w:asciiTheme="minorHAnsi" w:hAnsiTheme="minorHAnsi"/>
        </w:rPr>
      </w:r>
      <w:r w:rsidR="009708FA">
        <w:rPr>
          <w:rFonts w:asciiTheme="minorHAnsi" w:hAnsiTheme="minorHAnsi"/>
        </w:rPr>
        <w:fldChar w:fldCharType="separate"/>
      </w:r>
      <w:r w:rsidR="00D44BCF" w:rsidRPr="00D44BCF">
        <w:rPr>
          <w:rFonts w:asciiTheme="minorHAnsi" w:hAnsiTheme="minorHAnsi"/>
        </w:rPr>
        <w:t>Reparation – Crimes Act 1914, s 21B</w:t>
      </w:r>
      <w:r w:rsidR="009708FA">
        <w:rPr>
          <w:rFonts w:asciiTheme="minorHAnsi" w:hAnsiTheme="minorHAnsi"/>
        </w:rPr>
        <w:fldChar w:fldCharType="end"/>
      </w:r>
      <w:r w:rsidR="009708FA">
        <w:rPr>
          <w:rFonts w:asciiTheme="minorHAnsi" w:hAnsiTheme="minorHAnsi"/>
        </w:rPr>
        <w:t>”.</w:t>
      </w:r>
    </w:p>
    <w:p w14:paraId="4311EACF" w14:textId="77777777" w:rsidR="00BE2027" w:rsidRPr="00BE2027" w:rsidRDefault="00BE2027" w:rsidP="00BE2027">
      <w:pPr>
        <w:spacing w:line="276" w:lineRule="auto"/>
        <w:ind w:right="28"/>
        <w:rPr>
          <w:rFonts w:asciiTheme="minorHAnsi" w:hAnsiTheme="minorHAnsi"/>
        </w:rPr>
      </w:pPr>
    </w:p>
    <w:p w14:paraId="4E2317F9" w14:textId="4455B311" w:rsidR="00865CCE" w:rsidRDefault="00865CCE" w:rsidP="001F7E6F">
      <w:pPr>
        <w:pStyle w:val="Heading3"/>
      </w:pPr>
      <w:bookmarkStart w:id="1601" w:name="_Ref507318454"/>
      <w:bookmarkStart w:id="1602" w:name="_Ref507318457"/>
      <w:bookmarkStart w:id="1603" w:name="_Toc33602838"/>
      <w:r>
        <w:t>Pecuniary penalty as a condition of a bond</w:t>
      </w:r>
      <w:bookmarkEnd w:id="1601"/>
      <w:bookmarkEnd w:id="1602"/>
      <w:bookmarkEnd w:id="1603"/>
    </w:p>
    <w:p w14:paraId="4DF86BD4" w14:textId="0701F819" w:rsidR="00865CCE" w:rsidRDefault="00865CCE" w:rsidP="001F7E6F">
      <w:pPr>
        <w:pStyle w:val="ListParagraph"/>
        <w:keepNext/>
        <w:spacing w:line="276" w:lineRule="auto"/>
        <w:ind w:left="567" w:right="28" w:hanging="567"/>
        <w:contextualSpacing w:val="0"/>
        <w:jc w:val="left"/>
        <w:rPr>
          <w:rFonts w:asciiTheme="minorHAnsi" w:hAnsiTheme="minorHAnsi"/>
        </w:rPr>
      </w:pPr>
    </w:p>
    <w:p w14:paraId="71979C50" w14:textId="1564ACD2" w:rsidR="00865CCE" w:rsidRPr="00865CCE" w:rsidRDefault="00BC2D6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Pursuant to</w:t>
      </w:r>
      <w:r w:rsidRPr="00BC2D62">
        <w:rPr>
          <w:rFonts w:asciiTheme="minorHAnsi" w:hAnsiTheme="minorHAnsi"/>
        </w:rPr>
        <w:t xml:space="preserve"> </w:t>
      </w:r>
      <w:r w:rsidRPr="00C00000">
        <w:rPr>
          <w:rFonts w:asciiTheme="minorHAnsi" w:hAnsiTheme="minorHAnsi"/>
        </w:rPr>
        <w:t>s 20(1)(a)(i</w:t>
      </w:r>
      <w:r>
        <w:rPr>
          <w:rFonts w:asciiTheme="minorHAnsi" w:hAnsiTheme="minorHAnsi"/>
        </w:rPr>
        <w:t>ii</w:t>
      </w:r>
      <w:r w:rsidRPr="00C00000">
        <w:rPr>
          <w:rFonts w:asciiTheme="minorHAnsi" w:hAnsiTheme="minorHAnsi"/>
        </w:rPr>
        <w:t>)</w:t>
      </w:r>
      <w:r>
        <w:rPr>
          <w:rFonts w:asciiTheme="minorHAnsi" w:hAnsiTheme="minorHAnsi"/>
        </w:rPr>
        <w:t xml:space="preserve">, a court may impose </w:t>
      </w:r>
      <w:r w:rsidR="0004460F">
        <w:rPr>
          <w:rFonts w:asciiTheme="minorHAnsi" w:hAnsiTheme="minorHAnsi"/>
        </w:rPr>
        <w:t>a condition of a s 20(1)(a) order that the offender</w:t>
      </w:r>
      <w:r w:rsidRPr="00051102">
        <w:rPr>
          <w:rStyle w:val="verdana"/>
          <w:rFonts w:ascii="Calibri" w:hAnsi="Calibri"/>
        </w:rPr>
        <w:t xml:space="preserve"> </w:t>
      </w:r>
      <w:r w:rsidRPr="0004460F">
        <w:rPr>
          <w:rFonts w:asciiTheme="minorHAnsi" w:hAnsiTheme="minorHAnsi"/>
        </w:rPr>
        <w:t>will pay to the Commonwealth such pecuniary penalty (if any) as the court specifies in the order</w:t>
      </w:r>
      <w:r w:rsidR="00CA5E57">
        <w:rPr>
          <w:rFonts w:asciiTheme="minorHAnsi" w:hAnsiTheme="minorHAnsi"/>
        </w:rPr>
        <w:t>,</w:t>
      </w:r>
      <w:r w:rsidRPr="0004460F">
        <w:rPr>
          <w:rFonts w:asciiTheme="minorHAnsi" w:hAnsiTheme="minorHAnsi"/>
        </w:rPr>
        <w:t xml:space="preserve"> on or before a date specified in the order or by specified instalments as provided in the order</w:t>
      </w:r>
      <w:r w:rsidR="0004460F" w:rsidRPr="0004460F">
        <w:rPr>
          <w:rFonts w:asciiTheme="minorHAnsi" w:hAnsiTheme="minorHAnsi"/>
        </w:rPr>
        <w:t xml:space="preserve">.  </w:t>
      </w:r>
      <w:r w:rsidR="0004460F">
        <w:rPr>
          <w:rFonts w:asciiTheme="minorHAnsi" w:hAnsiTheme="minorHAnsi"/>
        </w:rPr>
        <w:t xml:space="preserve">The </w:t>
      </w:r>
      <w:r w:rsidR="0004460F" w:rsidRPr="0004460F">
        <w:rPr>
          <w:rFonts w:asciiTheme="minorHAnsi" w:hAnsiTheme="minorHAnsi"/>
        </w:rPr>
        <w:t xml:space="preserve">maximum </w:t>
      </w:r>
      <w:r w:rsidR="0004460F">
        <w:rPr>
          <w:rFonts w:asciiTheme="minorHAnsi" w:hAnsiTheme="minorHAnsi"/>
        </w:rPr>
        <w:t xml:space="preserve">pecuniary </w:t>
      </w:r>
      <w:r w:rsidR="00CA5E57">
        <w:rPr>
          <w:rFonts w:asciiTheme="minorHAnsi" w:hAnsiTheme="minorHAnsi"/>
        </w:rPr>
        <w:t xml:space="preserve">penalty </w:t>
      </w:r>
      <w:r w:rsidR="0004460F">
        <w:rPr>
          <w:rFonts w:asciiTheme="minorHAnsi" w:hAnsiTheme="minorHAnsi"/>
        </w:rPr>
        <w:t xml:space="preserve">is that specified in s 20(5).  If the offence is punishable by a fine, the maximum pecuniary penalty is </w:t>
      </w:r>
      <w:r w:rsidR="0004460F" w:rsidRPr="0004460F">
        <w:rPr>
          <w:rFonts w:asciiTheme="minorHAnsi" w:hAnsiTheme="minorHAnsi"/>
        </w:rPr>
        <w:t>the amount of the maximum fine that the court is empowered to impose on the person for the offence</w:t>
      </w:r>
      <w:r w:rsidR="0004460F">
        <w:rPr>
          <w:rFonts w:asciiTheme="minorHAnsi" w:hAnsiTheme="minorHAnsi"/>
        </w:rPr>
        <w:t>.  If not, the maximum pecuniary penalty is 60 penalty units in the case of a court of summary jurisdiction, or 300 penalty units otherwise.</w:t>
      </w:r>
    </w:p>
    <w:p w14:paraId="3EBB8331" w14:textId="77777777" w:rsidR="00865CCE" w:rsidRPr="00865CCE" w:rsidRDefault="00865CCE" w:rsidP="00865CCE">
      <w:pPr>
        <w:pStyle w:val="ListParagraph"/>
        <w:spacing w:line="276" w:lineRule="auto"/>
        <w:ind w:left="567" w:right="28" w:hanging="567"/>
        <w:rPr>
          <w:rFonts w:asciiTheme="minorHAnsi" w:hAnsiTheme="minorHAnsi"/>
        </w:rPr>
      </w:pPr>
    </w:p>
    <w:p w14:paraId="4F2D8E83" w14:textId="0BB1A3BC" w:rsidR="008E65DA" w:rsidRPr="00E9607E" w:rsidRDefault="008E65DA" w:rsidP="001F7E6F">
      <w:pPr>
        <w:pStyle w:val="Heading3"/>
      </w:pPr>
      <w:bookmarkStart w:id="1604" w:name="_Toc33602839"/>
      <w:r w:rsidRPr="00E9607E">
        <w:t>Other conditions: for a period of up to 2 years</w:t>
      </w:r>
      <w:bookmarkEnd w:id="1604"/>
      <w:r w:rsidRPr="00E9607E">
        <w:t xml:space="preserve"> </w:t>
      </w:r>
    </w:p>
    <w:p w14:paraId="21C10F42" w14:textId="77777777" w:rsidR="00146BAA" w:rsidRPr="00C00000" w:rsidRDefault="00146BAA" w:rsidP="001F7E6F">
      <w:pPr>
        <w:pStyle w:val="NormalIndent"/>
        <w:keepNext/>
        <w:spacing w:line="276" w:lineRule="auto"/>
        <w:rPr>
          <w:rFonts w:asciiTheme="minorHAnsi" w:hAnsiTheme="minorHAnsi"/>
        </w:rPr>
      </w:pPr>
    </w:p>
    <w:p w14:paraId="671A26B4" w14:textId="4418B9BF" w:rsidR="00B010C6" w:rsidRDefault="008E65DA"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Other conditions may </w:t>
      </w:r>
      <w:r w:rsidR="00346A2E" w:rsidRPr="00C00000">
        <w:rPr>
          <w:rFonts w:asciiTheme="minorHAnsi" w:hAnsiTheme="minorHAnsi"/>
        </w:rPr>
        <w:t>be imposed for up to 2 years</w:t>
      </w:r>
      <w:r w:rsidR="00E206BB">
        <w:rPr>
          <w:rFonts w:asciiTheme="minorHAnsi" w:hAnsiTheme="minorHAnsi"/>
        </w:rPr>
        <w:t>:</w:t>
      </w:r>
      <w:r w:rsidRPr="00C00000">
        <w:rPr>
          <w:rFonts w:asciiTheme="minorHAnsi" w:hAnsiTheme="minorHAnsi"/>
        </w:rPr>
        <w:t xml:space="preserve"> </w:t>
      </w:r>
      <w:r w:rsidR="00346A2E" w:rsidRPr="00C00000">
        <w:rPr>
          <w:rFonts w:asciiTheme="minorHAnsi" w:hAnsiTheme="minorHAnsi"/>
        </w:rPr>
        <w:t>s 20(1)(a)(iv)</w:t>
      </w:r>
      <w:r w:rsidRPr="00C00000">
        <w:rPr>
          <w:rFonts w:asciiTheme="minorHAnsi" w:hAnsiTheme="minorHAnsi"/>
        </w:rPr>
        <w:t xml:space="preserve">. </w:t>
      </w:r>
      <w:r w:rsidR="00E206BB">
        <w:rPr>
          <w:rFonts w:asciiTheme="minorHAnsi" w:hAnsiTheme="minorHAnsi"/>
        </w:rPr>
        <w:t xml:space="preserve"> </w:t>
      </w:r>
      <w:r w:rsidRPr="00C00000">
        <w:rPr>
          <w:rFonts w:asciiTheme="minorHAnsi" w:hAnsiTheme="minorHAnsi"/>
        </w:rPr>
        <w:t xml:space="preserve">Under </w:t>
      </w:r>
      <w:r w:rsidR="00346A2E" w:rsidRPr="00C00000">
        <w:rPr>
          <w:rFonts w:asciiTheme="minorHAnsi" w:hAnsiTheme="minorHAnsi"/>
        </w:rPr>
        <w:t xml:space="preserve">this sub-paragraph the court can impose </w:t>
      </w:r>
      <w:r w:rsidR="00E206BB">
        <w:rPr>
          <w:rFonts w:asciiTheme="minorHAnsi" w:hAnsiTheme="minorHAnsi"/>
        </w:rPr>
        <w:t xml:space="preserve">such </w:t>
      </w:r>
      <w:r w:rsidR="00346A2E" w:rsidRPr="00C00000">
        <w:rPr>
          <w:rFonts w:asciiTheme="minorHAnsi" w:hAnsiTheme="minorHAnsi"/>
        </w:rPr>
        <w:t xml:space="preserve">conditions </w:t>
      </w:r>
      <w:r w:rsidR="00346A2E" w:rsidRPr="00C00000">
        <w:rPr>
          <w:rFonts w:asciiTheme="minorHAnsi" w:hAnsiTheme="minorHAnsi"/>
          <w:i/>
        </w:rPr>
        <w:t>“as the court thinks fit to specify in the order”</w:t>
      </w:r>
      <w:r w:rsidR="00B010C6">
        <w:rPr>
          <w:rFonts w:asciiTheme="minorHAnsi" w:hAnsiTheme="minorHAnsi"/>
        </w:rPr>
        <w:t>.</w:t>
      </w:r>
    </w:p>
    <w:p w14:paraId="3B4712DF" w14:textId="77777777" w:rsidR="00B010C6" w:rsidRPr="00B010C6" w:rsidRDefault="00B010C6" w:rsidP="00B010C6">
      <w:pPr>
        <w:spacing w:line="276" w:lineRule="auto"/>
        <w:ind w:right="28"/>
        <w:rPr>
          <w:rFonts w:asciiTheme="minorHAnsi" w:hAnsiTheme="minorHAnsi"/>
        </w:rPr>
      </w:pPr>
    </w:p>
    <w:p w14:paraId="3E5C7578" w14:textId="45E041EA" w:rsidR="00477189" w:rsidRPr="00C00000" w:rsidRDefault="0047718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Despite the expansive words used </w:t>
      </w:r>
      <w:r>
        <w:rPr>
          <w:rFonts w:asciiTheme="minorHAnsi" w:hAnsiTheme="minorHAnsi"/>
        </w:rPr>
        <w:t xml:space="preserve">in </w:t>
      </w:r>
      <w:r w:rsidRPr="00C00000">
        <w:rPr>
          <w:rFonts w:asciiTheme="minorHAnsi" w:hAnsiTheme="minorHAnsi"/>
        </w:rPr>
        <w:t>s 20(1)(a)(iv)</w:t>
      </w:r>
      <w:r>
        <w:rPr>
          <w:rFonts w:asciiTheme="minorHAnsi" w:hAnsiTheme="minorHAnsi"/>
        </w:rPr>
        <w:t>, a</w:t>
      </w:r>
      <w:r w:rsidRPr="00C00000">
        <w:rPr>
          <w:rFonts w:asciiTheme="minorHAnsi" w:hAnsiTheme="minorHAnsi"/>
        </w:rPr>
        <w:t xml:space="preserve"> condition imposed must not be inconsistent with the release of the person</w:t>
      </w:r>
      <w:r>
        <w:rPr>
          <w:rFonts w:asciiTheme="minorHAnsi" w:hAnsiTheme="minorHAnsi"/>
        </w:rPr>
        <w:t>, and must be reasonably capable of compliance;</w:t>
      </w:r>
      <w:r w:rsidRPr="00C00000">
        <w:rPr>
          <w:rFonts w:asciiTheme="minorHAnsi" w:hAnsiTheme="minorHAnsi"/>
        </w:rPr>
        <w:t xml:space="preserve"> s 20</w:t>
      </w:r>
      <w:r>
        <w:rPr>
          <w:rFonts w:asciiTheme="minorHAnsi" w:hAnsiTheme="minorHAnsi"/>
        </w:rPr>
        <w:t>(1)(a)(iv)</w:t>
      </w:r>
      <w:r w:rsidRPr="00C00000">
        <w:rPr>
          <w:rFonts w:asciiTheme="minorHAnsi" w:hAnsiTheme="minorHAnsi"/>
        </w:rPr>
        <w:t xml:space="preserve"> must be read down accordingly.</w:t>
      </w:r>
      <w:r w:rsidRPr="00C00000">
        <w:rPr>
          <w:rStyle w:val="Style"/>
          <w:rFonts w:asciiTheme="minorHAnsi" w:hAnsiTheme="minorHAnsi"/>
        </w:rPr>
        <w:footnoteReference w:id="611"/>
      </w:r>
      <w:r w:rsidRPr="00C00000">
        <w:rPr>
          <w:rFonts w:asciiTheme="minorHAnsi" w:hAnsiTheme="minorHAnsi"/>
        </w:rPr>
        <w:t xml:space="preserve">  </w:t>
      </w:r>
      <w:r w:rsidR="00366924">
        <w:rPr>
          <w:rFonts w:asciiTheme="minorHAnsi" w:hAnsiTheme="minorHAnsi"/>
        </w:rPr>
        <w:t xml:space="preserve">A condition must also </w:t>
      </w:r>
      <w:r w:rsidR="00B04F0F">
        <w:rPr>
          <w:rFonts w:asciiTheme="minorHAnsi" w:hAnsiTheme="minorHAnsi"/>
        </w:rPr>
        <w:t>“</w:t>
      </w:r>
      <w:r w:rsidR="00366924" w:rsidRPr="00B04F0F">
        <w:rPr>
          <w:rFonts w:asciiTheme="minorHAnsi" w:hAnsiTheme="minorHAnsi"/>
          <w:i/>
        </w:rPr>
        <w:t xml:space="preserve">be </w:t>
      </w:r>
      <w:r w:rsidR="00B04F0F" w:rsidRPr="00B04F0F">
        <w:rPr>
          <w:rFonts w:asciiTheme="minorHAnsi" w:hAnsiTheme="minorHAnsi"/>
          <w:i/>
        </w:rPr>
        <w:t>expressed in unambiguous and definitive language, so that the person submitting to it is left in no doubt as to what are the precise obligations to be satisfied</w:t>
      </w:r>
      <w:r w:rsidR="00B04F0F">
        <w:rPr>
          <w:rFonts w:asciiTheme="minorHAnsi" w:hAnsiTheme="minorHAnsi"/>
        </w:rPr>
        <w:t>”</w:t>
      </w:r>
      <w:r w:rsidR="00366924">
        <w:rPr>
          <w:rFonts w:asciiTheme="minorHAnsi" w:hAnsiTheme="minorHAnsi"/>
        </w:rPr>
        <w:t>.</w:t>
      </w:r>
      <w:r w:rsidR="00366924" w:rsidRPr="00C00000">
        <w:rPr>
          <w:rStyle w:val="Style"/>
          <w:rFonts w:asciiTheme="minorHAnsi" w:hAnsiTheme="minorHAnsi"/>
        </w:rPr>
        <w:footnoteReference w:id="612"/>
      </w:r>
    </w:p>
    <w:p w14:paraId="7C135994" w14:textId="6E551F79" w:rsidR="00477189" w:rsidRDefault="00477189" w:rsidP="00477189">
      <w:pPr>
        <w:pStyle w:val="NormalIndent"/>
        <w:spacing w:line="276" w:lineRule="auto"/>
        <w:rPr>
          <w:rFonts w:asciiTheme="minorHAnsi" w:hAnsiTheme="minorHAnsi"/>
        </w:rPr>
      </w:pPr>
    </w:p>
    <w:p w14:paraId="1607D5CF" w14:textId="1FCE33A0" w:rsidR="00A029C6" w:rsidRPr="00E9607E" w:rsidRDefault="00A029C6" w:rsidP="001F7E6F">
      <w:pPr>
        <w:pStyle w:val="Heading3"/>
      </w:pPr>
      <w:bookmarkStart w:id="1605" w:name="_Toc33602840"/>
      <w:r w:rsidRPr="00E9607E">
        <w:t>Condition</w:t>
      </w:r>
      <w:r>
        <w:t xml:space="preserve"> requiring treatment or probation</w:t>
      </w:r>
      <w:bookmarkEnd w:id="1605"/>
      <w:r w:rsidRPr="00E9607E">
        <w:t xml:space="preserve"> </w:t>
      </w:r>
    </w:p>
    <w:p w14:paraId="45A22DFB" w14:textId="77777777" w:rsidR="00A029C6" w:rsidRPr="00C00000" w:rsidRDefault="00A029C6" w:rsidP="001F7E6F">
      <w:pPr>
        <w:pStyle w:val="NormalIndent"/>
        <w:keepNext/>
        <w:spacing w:line="276" w:lineRule="auto"/>
        <w:rPr>
          <w:rFonts w:asciiTheme="minorHAnsi" w:hAnsiTheme="minorHAnsi"/>
        </w:rPr>
      </w:pPr>
    </w:p>
    <w:p w14:paraId="45E30CF5" w14:textId="089FC1E0" w:rsidR="00B010C6" w:rsidRDefault="006E188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An example</w:t>
      </w:r>
      <w:r w:rsidR="00B010C6">
        <w:rPr>
          <w:rFonts w:asciiTheme="minorHAnsi" w:hAnsiTheme="minorHAnsi"/>
        </w:rPr>
        <w:t xml:space="preserve"> </w:t>
      </w:r>
      <w:r>
        <w:rPr>
          <w:rFonts w:asciiTheme="minorHAnsi" w:hAnsiTheme="minorHAnsi"/>
        </w:rPr>
        <w:t xml:space="preserve">given in the </w:t>
      </w:r>
      <w:r w:rsidR="00B010C6">
        <w:rPr>
          <w:rFonts w:asciiTheme="minorHAnsi" w:hAnsiTheme="minorHAnsi"/>
        </w:rPr>
        <w:t xml:space="preserve">legislation </w:t>
      </w:r>
      <w:r w:rsidR="00D13B42">
        <w:rPr>
          <w:rFonts w:asciiTheme="minorHAnsi" w:hAnsiTheme="minorHAnsi"/>
        </w:rPr>
        <w:t xml:space="preserve">of a condition which may be specified under s 20(1)(a)(iv) </w:t>
      </w:r>
      <w:r>
        <w:rPr>
          <w:rFonts w:asciiTheme="minorHAnsi" w:hAnsiTheme="minorHAnsi"/>
        </w:rPr>
        <w:t>is a condition that “</w:t>
      </w:r>
      <w:r w:rsidRPr="006E188F">
        <w:rPr>
          <w:rFonts w:asciiTheme="minorHAnsi" w:hAnsiTheme="minorHAnsi"/>
          <w:i/>
        </w:rPr>
        <w:t>the person will undertake a specified counselling, education or treatment program during a specified part of, or throughout, the specified period</w:t>
      </w:r>
      <w:r>
        <w:rPr>
          <w:rFonts w:asciiTheme="minorHAnsi" w:hAnsiTheme="minorHAnsi"/>
        </w:rPr>
        <w:t xml:space="preserve">”.  </w:t>
      </w:r>
    </w:p>
    <w:p w14:paraId="409E5AD3" w14:textId="77777777" w:rsidR="00B010C6" w:rsidRPr="00B010C6" w:rsidRDefault="00B010C6" w:rsidP="00B010C6">
      <w:pPr>
        <w:pStyle w:val="ListParagraph"/>
        <w:rPr>
          <w:rFonts w:asciiTheme="minorHAnsi" w:hAnsiTheme="minorHAnsi"/>
        </w:rPr>
      </w:pPr>
    </w:p>
    <w:p w14:paraId="7971B4A8" w14:textId="523077D9" w:rsidR="006E188F" w:rsidRDefault="00B010C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20 </w:t>
      </w:r>
      <w:r w:rsidR="006E188F">
        <w:rPr>
          <w:rFonts w:asciiTheme="minorHAnsi" w:hAnsiTheme="minorHAnsi"/>
        </w:rPr>
        <w:t xml:space="preserve">also contemplates </w:t>
      </w:r>
      <w:r>
        <w:rPr>
          <w:rFonts w:asciiTheme="minorHAnsi" w:hAnsiTheme="minorHAnsi"/>
        </w:rPr>
        <w:t xml:space="preserve">a condition </w:t>
      </w:r>
      <w:r w:rsidR="006E188F">
        <w:rPr>
          <w:rFonts w:asciiTheme="minorHAnsi" w:hAnsiTheme="minorHAnsi"/>
        </w:rPr>
        <w:t xml:space="preserve">that </w:t>
      </w:r>
      <w:r>
        <w:rPr>
          <w:rFonts w:asciiTheme="minorHAnsi" w:hAnsiTheme="minorHAnsi"/>
        </w:rPr>
        <w:t xml:space="preserve">the person </w:t>
      </w:r>
      <w:r w:rsidR="00143B9A">
        <w:rPr>
          <w:rFonts w:asciiTheme="minorHAnsi" w:hAnsiTheme="minorHAnsi"/>
        </w:rPr>
        <w:t>“</w:t>
      </w:r>
      <w:r w:rsidRPr="00143B9A">
        <w:rPr>
          <w:rFonts w:asciiTheme="minorHAnsi" w:hAnsiTheme="minorHAnsi"/>
          <w:i/>
        </w:rPr>
        <w:t>be subject to the supervision of a probation officer appointed in accordance with the order</w:t>
      </w:r>
      <w:r w:rsidR="00143B9A">
        <w:rPr>
          <w:rFonts w:asciiTheme="minorHAnsi" w:hAnsiTheme="minorHAnsi"/>
        </w:rPr>
        <w:t>”</w:t>
      </w:r>
      <w:r w:rsidRPr="00B010C6">
        <w:rPr>
          <w:rFonts w:asciiTheme="minorHAnsi" w:hAnsiTheme="minorHAnsi"/>
        </w:rPr>
        <w:t xml:space="preserve"> and </w:t>
      </w:r>
      <w:r w:rsidR="00143B9A">
        <w:rPr>
          <w:rFonts w:asciiTheme="minorHAnsi" w:hAnsiTheme="minorHAnsi"/>
        </w:rPr>
        <w:t>“</w:t>
      </w:r>
      <w:r w:rsidRPr="00143B9A">
        <w:rPr>
          <w:rFonts w:asciiTheme="minorHAnsi" w:hAnsiTheme="minorHAnsi"/>
          <w:i/>
        </w:rPr>
        <w:t>obey all reasonable directions of the probation officer</w:t>
      </w:r>
      <w:r w:rsidR="00143B9A">
        <w:rPr>
          <w:rFonts w:asciiTheme="minorHAnsi" w:hAnsiTheme="minorHAnsi"/>
        </w:rPr>
        <w:t>”</w:t>
      </w:r>
      <w:r>
        <w:rPr>
          <w:rFonts w:asciiTheme="minorHAnsi" w:hAnsiTheme="minorHAnsi"/>
        </w:rPr>
        <w:t>, because such a condition is referred to in s 20(1A).  Under that sub-section, if the court imposes such a condition it “</w:t>
      </w:r>
      <w:r w:rsidRPr="00B010C6">
        <w:rPr>
          <w:rFonts w:asciiTheme="minorHAnsi" w:hAnsiTheme="minorHAnsi"/>
          <w:i/>
        </w:rPr>
        <w:t>must also specify the condition that the person will not travel interstate or overseas without the written permission of the probation officer</w:t>
      </w:r>
      <w:r w:rsidRPr="00B010C6">
        <w:rPr>
          <w:rFonts w:asciiTheme="minorHAnsi" w:hAnsiTheme="minorHAnsi"/>
        </w:rPr>
        <w:t>.</w:t>
      </w:r>
      <w:r>
        <w:rPr>
          <w:rFonts w:asciiTheme="minorHAnsi" w:hAnsiTheme="minorHAnsi"/>
        </w:rPr>
        <w:t>”</w:t>
      </w:r>
      <w:r w:rsidR="00294FBB">
        <w:rPr>
          <w:rFonts w:asciiTheme="minorHAnsi" w:hAnsiTheme="minorHAnsi"/>
        </w:rPr>
        <w:t xml:space="preserve">  However there do not appear to be any statutory mechanisms or administrative arrangements that would allow State or Territory probation officers to perform functions under such an order.</w:t>
      </w:r>
    </w:p>
    <w:p w14:paraId="7BC3482F" w14:textId="77777777" w:rsidR="006E188F" w:rsidRPr="006E188F" w:rsidRDefault="006E188F" w:rsidP="006E188F">
      <w:pPr>
        <w:spacing w:line="276" w:lineRule="auto"/>
        <w:ind w:right="28"/>
        <w:rPr>
          <w:rFonts w:asciiTheme="minorHAnsi" w:hAnsiTheme="minorHAnsi"/>
        </w:rPr>
      </w:pPr>
    </w:p>
    <w:p w14:paraId="5CBC3856" w14:textId="0D67B504" w:rsidR="00143B9A" w:rsidRDefault="00143B9A"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In </w:t>
      </w:r>
      <w:r w:rsidRPr="00C00000">
        <w:rPr>
          <w:rFonts w:asciiTheme="minorHAnsi" w:hAnsiTheme="minorHAnsi"/>
          <w:i/>
        </w:rPr>
        <w:t>Jones</w:t>
      </w:r>
      <w:r w:rsidR="00AA4E86" w:rsidRPr="00AA4E86">
        <w:rPr>
          <w:rFonts w:asciiTheme="minorHAnsi" w:hAnsiTheme="minorHAnsi"/>
        </w:rPr>
        <w:t>,</w:t>
      </w:r>
      <w:r w:rsidRPr="00C00000">
        <w:rPr>
          <w:rStyle w:val="Style"/>
          <w:rFonts w:asciiTheme="minorHAnsi" w:hAnsiTheme="minorHAnsi"/>
        </w:rPr>
        <w:footnoteReference w:id="613"/>
      </w:r>
      <w:r w:rsidRPr="00C00000">
        <w:rPr>
          <w:rFonts w:asciiTheme="minorHAnsi" w:hAnsiTheme="minorHAnsi"/>
        </w:rPr>
        <w:t xml:space="preserve"> Burt CJ doubted </w:t>
      </w:r>
      <w:r w:rsidR="00AA4E86">
        <w:rPr>
          <w:rFonts w:asciiTheme="minorHAnsi" w:hAnsiTheme="minorHAnsi"/>
        </w:rPr>
        <w:t xml:space="preserve">that </w:t>
      </w:r>
      <w:r w:rsidRPr="00C00000">
        <w:rPr>
          <w:rFonts w:asciiTheme="minorHAnsi" w:hAnsiTheme="minorHAnsi"/>
        </w:rPr>
        <w:t xml:space="preserve">a condition requiring the defendant to </w:t>
      </w:r>
      <w:r w:rsidRPr="00C00000">
        <w:rPr>
          <w:rFonts w:asciiTheme="minorHAnsi" w:hAnsiTheme="minorHAnsi"/>
          <w:i/>
        </w:rPr>
        <w:t>“undergo such treatment for your drug addiction as the probation officer shall direct”</w:t>
      </w:r>
      <w:r w:rsidRPr="00C00000">
        <w:rPr>
          <w:rFonts w:asciiTheme="minorHAnsi" w:hAnsiTheme="minorHAnsi"/>
        </w:rPr>
        <w:t xml:space="preserve"> was a valid condition under s 20.  </w:t>
      </w:r>
      <w:r w:rsidR="009872C0">
        <w:rPr>
          <w:rFonts w:asciiTheme="minorHAnsi" w:hAnsiTheme="minorHAnsi"/>
        </w:rPr>
        <w:t>Although</w:t>
      </w:r>
      <w:r w:rsidR="00AA4E86">
        <w:rPr>
          <w:rFonts w:asciiTheme="minorHAnsi" w:hAnsiTheme="minorHAnsi"/>
        </w:rPr>
        <w:t xml:space="preserve"> it is now clear that a condition requiring treatment for drug addiction would be valid, </w:t>
      </w:r>
      <w:r w:rsidR="009872C0">
        <w:rPr>
          <w:rFonts w:asciiTheme="minorHAnsi" w:hAnsiTheme="minorHAnsi"/>
        </w:rPr>
        <w:t xml:space="preserve">the area for </w:t>
      </w:r>
      <w:r w:rsidR="00477189">
        <w:rPr>
          <w:rFonts w:asciiTheme="minorHAnsi" w:hAnsiTheme="minorHAnsi"/>
        </w:rPr>
        <w:t xml:space="preserve">doubt </w:t>
      </w:r>
      <w:r w:rsidR="009872C0">
        <w:rPr>
          <w:rFonts w:asciiTheme="minorHAnsi" w:hAnsiTheme="minorHAnsi"/>
        </w:rPr>
        <w:t xml:space="preserve">is </w:t>
      </w:r>
      <w:r w:rsidR="00477189">
        <w:rPr>
          <w:rFonts w:asciiTheme="minorHAnsi" w:hAnsiTheme="minorHAnsi"/>
        </w:rPr>
        <w:t xml:space="preserve">whether </w:t>
      </w:r>
      <w:r w:rsidR="009872C0">
        <w:rPr>
          <w:rFonts w:asciiTheme="minorHAnsi" w:hAnsiTheme="minorHAnsi"/>
        </w:rPr>
        <w:t xml:space="preserve">a </w:t>
      </w:r>
      <w:r w:rsidR="00477189">
        <w:rPr>
          <w:rFonts w:asciiTheme="minorHAnsi" w:hAnsiTheme="minorHAnsi"/>
        </w:rPr>
        <w:t xml:space="preserve">condition could be imposed </w:t>
      </w:r>
      <w:r w:rsidR="009872C0">
        <w:rPr>
          <w:rFonts w:asciiTheme="minorHAnsi" w:hAnsiTheme="minorHAnsi"/>
        </w:rPr>
        <w:t xml:space="preserve">that left to </w:t>
      </w:r>
      <w:r w:rsidR="00477189">
        <w:rPr>
          <w:rFonts w:asciiTheme="minorHAnsi" w:hAnsiTheme="minorHAnsi"/>
        </w:rPr>
        <w:t xml:space="preserve">the discretion of </w:t>
      </w:r>
      <w:r w:rsidR="009872C0">
        <w:rPr>
          <w:rFonts w:asciiTheme="minorHAnsi" w:hAnsiTheme="minorHAnsi"/>
        </w:rPr>
        <w:t>another person the nature and extent of the treatment</w:t>
      </w:r>
      <w:r w:rsidR="00477189">
        <w:rPr>
          <w:rFonts w:asciiTheme="minorHAnsi" w:hAnsiTheme="minorHAnsi"/>
        </w:rPr>
        <w:t xml:space="preserve">; that is, </w:t>
      </w:r>
      <w:r w:rsidR="009872C0">
        <w:rPr>
          <w:rFonts w:asciiTheme="minorHAnsi" w:hAnsiTheme="minorHAnsi"/>
        </w:rPr>
        <w:t>such a condition</w:t>
      </w:r>
      <w:r w:rsidR="00477189">
        <w:rPr>
          <w:rFonts w:asciiTheme="minorHAnsi" w:hAnsiTheme="minorHAnsi"/>
        </w:rPr>
        <w:t xml:space="preserve"> might be regarded as akin to impermissible sub-delegation</w:t>
      </w:r>
      <w:r w:rsidR="00A029C6">
        <w:rPr>
          <w:rFonts w:asciiTheme="minorHAnsi" w:hAnsiTheme="minorHAnsi"/>
        </w:rPr>
        <w:t>, or be too uncertain in what it requires of the offender</w:t>
      </w:r>
      <w:r w:rsidR="00477189">
        <w:rPr>
          <w:rFonts w:asciiTheme="minorHAnsi" w:hAnsiTheme="minorHAnsi"/>
        </w:rPr>
        <w:t>.</w:t>
      </w:r>
    </w:p>
    <w:p w14:paraId="0FBE144F" w14:textId="77777777" w:rsidR="00A029C6" w:rsidRPr="00A029C6" w:rsidRDefault="00A029C6" w:rsidP="00A029C6">
      <w:pPr>
        <w:pStyle w:val="ListParagraph"/>
        <w:rPr>
          <w:rFonts w:asciiTheme="minorHAnsi" w:hAnsiTheme="minorHAnsi"/>
        </w:rPr>
      </w:pPr>
    </w:p>
    <w:p w14:paraId="4B9C8001" w14:textId="545736FC" w:rsidR="00A029C6" w:rsidRDefault="00A029C6" w:rsidP="001F7E6F">
      <w:pPr>
        <w:pStyle w:val="Heading3"/>
      </w:pPr>
      <w:bookmarkStart w:id="1606" w:name="_Ref494121749"/>
      <w:bookmarkStart w:id="1607" w:name="_Toc33602841"/>
      <w:r>
        <w:t>Condition requiring unpaid work as a condition of a bond</w:t>
      </w:r>
      <w:bookmarkEnd w:id="1606"/>
      <w:bookmarkEnd w:id="1607"/>
    </w:p>
    <w:p w14:paraId="14897ED9" w14:textId="77777777" w:rsidR="00A029C6" w:rsidRPr="00051102" w:rsidRDefault="00A029C6" w:rsidP="001F7E6F">
      <w:pPr>
        <w:pStyle w:val="NormalIndent"/>
        <w:keepNext/>
        <w:rPr>
          <w:rFonts w:ascii="Calibri" w:hAnsi="Calibri"/>
        </w:rPr>
      </w:pPr>
    </w:p>
    <w:p w14:paraId="4A9458BF" w14:textId="367456B7" w:rsidR="00BE6B1D" w:rsidRDefault="00A029C6"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It is </w:t>
      </w:r>
      <w:r>
        <w:rPr>
          <w:rFonts w:asciiTheme="minorHAnsi" w:hAnsiTheme="minorHAnsi"/>
        </w:rPr>
        <w:t>at least</w:t>
      </w:r>
      <w:r w:rsidRPr="00C00000">
        <w:rPr>
          <w:rFonts w:asciiTheme="minorHAnsi" w:hAnsiTheme="minorHAnsi"/>
        </w:rPr>
        <w:t xml:space="preserve"> doubtful </w:t>
      </w:r>
      <w:r>
        <w:rPr>
          <w:rFonts w:asciiTheme="minorHAnsi" w:hAnsiTheme="minorHAnsi"/>
        </w:rPr>
        <w:t xml:space="preserve">whether </w:t>
      </w:r>
      <w:r w:rsidRPr="00C00000">
        <w:rPr>
          <w:rFonts w:asciiTheme="minorHAnsi" w:hAnsiTheme="minorHAnsi"/>
        </w:rPr>
        <w:t xml:space="preserve">a court </w:t>
      </w:r>
      <w:r>
        <w:rPr>
          <w:rFonts w:asciiTheme="minorHAnsi" w:hAnsiTheme="minorHAnsi"/>
        </w:rPr>
        <w:t>can</w:t>
      </w:r>
      <w:r w:rsidRPr="00C00000">
        <w:rPr>
          <w:rFonts w:asciiTheme="minorHAnsi" w:hAnsiTheme="minorHAnsi"/>
        </w:rPr>
        <w:t xml:space="preserve"> impose a condition to perform unpaid community work as a condition of a </w:t>
      </w:r>
      <w:r>
        <w:rPr>
          <w:rFonts w:asciiTheme="minorHAnsi" w:hAnsiTheme="minorHAnsi"/>
        </w:rPr>
        <w:t xml:space="preserve">s 20 </w:t>
      </w:r>
      <w:r w:rsidR="00BE6B1D">
        <w:rPr>
          <w:rFonts w:asciiTheme="minorHAnsi" w:hAnsiTheme="minorHAnsi"/>
        </w:rPr>
        <w:t>bond</w:t>
      </w:r>
      <w:r w:rsidR="00924B39">
        <w:rPr>
          <w:rFonts w:asciiTheme="minorHAnsi" w:hAnsiTheme="minorHAnsi"/>
        </w:rPr>
        <w:t>.</w:t>
      </w:r>
    </w:p>
    <w:p w14:paraId="4D50DB39" w14:textId="77777777" w:rsidR="00BE6B1D" w:rsidRPr="00BE6B1D" w:rsidRDefault="00BE6B1D" w:rsidP="00BE6B1D">
      <w:pPr>
        <w:spacing w:line="276" w:lineRule="auto"/>
        <w:ind w:right="28"/>
        <w:rPr>
          <w:rFonts w:asciiTheme="minorHAnsi" w:hAnsiTheme="minorHAnsi"/>
        </w:rPr>
      </w:pPr>
    </w:p>
    <w:p w14:paraId="48FFAD8D" w14:textId="039AACA8" w:rsidR="00BE6B1D" w:rsidRDefault="003378B4" w:rsidP="00EB7F1E">
      <w:pPr>
        <w:pStyle w:val="ListParagraph"/>
        <w:numPr>
          <w:ilvl w:val="0"/>
          <w:numId w:val="7"/>
        </w:numPr>
        <w:spacing w:line="276" w:lineRule="auto"/>
        <w:ind w:left="425" w:hanging="425"/>
        <w:contextualSpacing w:val="0"/>
        <w:rPr>
          <w:rFonts w:asciiTheme="minorHAnsi" w:hAnsiTheme="minorHAnsi"/>
        </w:rPr>
      </w:pPr>
      <w:r w:rsidRPr="00FE16A4">
        <w:rPr>
          <w:rFonts w:asciiTheme="minorHAnsi" w:hAnsiTheme="minorHAnsi"/>
        </w:rPr>
        <w:t>In</w:t>
      </w:r>
      <w:r w:rsidR="001410D4">
        <w:rPr>
          <w:rFonts w:asciiTheme="minorHAnsi" w:hAnsiTheme="minorHAnsi"/>
        </w:rPr>
        <w:t xml:space="preserve"> </w:t>
      </w:r>
      <w:r w:rsidR="001410D4" w:rsidRPr="001410D4">
        <w:rPr>
          <w:rFonts w:asciiTheme="minorHAnsi" w:hAnsiTheme="minorHAnsi"/>
          <w:i/>
        </w:rPr>
        <w:t>Adams</w:t>
      </w:r>
      <w:r w:rsidR="00541118" w:rsidRPr="00541118">
        <w:rPr>
          <w:rFonts w:asciiTheme="minorHAnsi" w:hAnsiTheme="minorHAnsi"/>
          <w:i/>
        </w:rPr>
        <w:t xml:space="preserve"> v </w:t>
      </w:r>
      <w:r w:rsidR="001410D4" w:rsidRPr="001410D4">
        <w:rPr>
          <w:rFonts w:asciiTheme="minorHAnsi" w:hAnsiTheme="minorHAnsi"/>
          <w:i/>
        </w:rPr>
        <w:t>Carr</w:t>
      </w:r>
      <w:r w:rsidR="00E6095C" w:rsidRPr="00E6095C">
        <w:rPr>
          <w:rFonts w:asciiTheme="minorHAnsi" w:hAnsiTheme="minorHAnsi"/>
        </w:rPr>
        <w:t>,</w:t>
      </w:r>
      <w:r w:rsidR="001410D4" w:rsidRPr="00C00000">
        <w:rPr>
          <w:rStyle w:val="Style"/>
          <w:rFonts w:asciiTheme="minorHAnsi" w:hAnsiTheme="minorHAnsi"/>
        </w:rPr>
        <w:footnoteReference w:id="614"/>
      </w:r>
      <w:r w:rsidRPr="00FE16A4">
        <w:rPr>
          <w:rFonts w:asciiTheme="minorHAnsi" w:hAnsiTheme="minorHAnsi"/>
        </w:rPr>
        <w:t xml:space="preserve"> the South Australian Court of Criminal Appeal </w:t>
      </w:r>
      <w:r w:rsidR="001410D4">
        <w:rPr>
          <w:rFonts w:asciiTheme="minorHAnsi" w:hAnsiTheme="minorHAnsi"/>
        </w:rPr>
        <w:t xml:space="preserve">held </w:t>
      </w:r>
      <w:r w:rsidRPr="00FE16A4">
        <w:rPr>
          <w:rFonts w:asciiTheme="minorHAnsi" w:hAnsiTheme="minorHAnsi"/>
        </w:rPr>
        <w:t xml:space="preserve">that </w:t>
      </w:r>
      <w:r w:rsidR="00924B39">
        <w:rPr>
          <w:rFonts w:asciiTheme="minorHAnsi" w:hAnsiTheme="minorHAnsi"/>
        </w:rPr>
        <w:t xml:space="preserve">a condition for performance of </w:t>
      </w:r>
      <w:r w:rsidRPr="00FE16A4">
        <w:rPr>
          <w:rFonts w:asciiTheme="minorHAnsi" w:hAnsiTheme="minorHAnsi"/>
        </w:rPr>
        <w:t xml:space="preserve">community service and an associated order that the offender comply with the lawful direction of a community service officer could </w:t>
      </w:r>
      <w:r w:rsidR="00924B39">
        <w:rPr>
          <w:rFonts w:asciiTheme="minorHAnsi" w:hAnsiTheme="minorHAnsi"/>
        </w:rPr>
        <w:t xml:space="preserve">validly </w:t>
      </w:r>
      <w:r w:rsidRPr="00FE16A4">
        <w:rPr>
          <w:rFonts w:asciiTheme="minorHAnsi" w:hAnsiTheme="minorHAnsi"/>
        </w:rPr>
        <w:t>be imposed under s 20</w:t>
      </w:r>
      <w:r w:rsidR="001410D4">
        <w:rPr>
          <w:rFonts w:asciiTheme="minorHAnsi" w:hAnsiTheme="minorHAnsi"/>
        </w:rPr>
        <w:t>(1)(a)</w:t>
      </w:r>
      <w:r w:rsidRPr="00FE16A4">
        <w:rPr>
          <w:rFonts w:asciiTheme="minorHAnsi" w:hAnsiTheme="minorHAnsi"/>
        </w:rPr>
        <w:t xml:space="preserve"> </w:t>
      </w:r>
      <w:r w:rsidR="001410D4" w:rsidRPr="00FE16A4">
        <w:rPr>
          <w:rFonts w:asciiTheme="minorHAnsi" w:hAnsiTheme="minorHAnsi"/>
        </w:rPr>
        <w:t xml:space="preserve">of the </w:t>
      </w:r>
      <w:r w:rsidR="00885EFD" w:rsidRPr="00885EFD">
        <w:rPr>
          <w:rFonts w:asciiTheme="minorHAnsi" w:hAnsiTheme="minorHAnsi"/>
          <w:i/>
        </w:rPr>
        <w:t>Crimes Act 1914</w:t>
      </w:r>
      <w:r w:rsidR="001410D4" w:rsidRPr="00FE16A4">
        <w:rPr>
          <w:rFonts w:asciiTheme="minorHAnsi" w:hAnsiTheme="minorHAnsi"/>
          <w:i/>
        </w:rPr>
        <w:t xml:space="preserve"> </w:t>
      </w:r>
      <w:r w:rsidR="001410D4" w:rsidRPr="00FE16A4">
        <w:rPr>
          <w:rFonts w:asciiTheme="minorHAnsi" w:hAnsiTheme="minorHAnsi"/>
        </w:rPr>
        <w:t>(Cth)</w:t>
      </w:r>
      <w:r w:rsidR="00924B39">
        <w:rPr>
          <w:rFonts w:asciiTheme="minorHAnsi" w:hAnsiTheme="minorHAnsi"/>
        </w:rPr>
        <w:t xml:space="preserve"> </w:t>
      </w:r>
      <w:r w:rsidRPr="00FE16A4">
        <w:rPr>
          <w:rFonts w:asciiTheme="minorHAnsi" w:hAnsiTheme="minorHAnsi"/>
        </w:rPr>
        <w:t xml:space="preserve">and carried out in South Australia by arrangements </w:t>
      </w:r>
      <w:r w:rsidR="00706A77">
        <w:rPr>
          <w:rFonts w:asciiTheme="minorHAnsi" w:hAnsiTheme="minorHAnsi"/>
        </w:rPr>
        <w:t>under</w:t>
      </w:r>
      <w:r w:rsidRPr="00FE16A4">
        <w:rPr>
          <w:rFonts w:asciiTheme="minorHAnsi" w:hAnsiTheme="minorHAnsi"/>
        </w:rPr>
        <w:t xml:space="preserve"> s 3B</w:t>
      </w:r>
      <w:r w:rsidR="00D0786D">
        <w:rPr>
          <w:rFonts w:asciiTheme="minorHAnsi" w:hAnsiTheme="minorHAnsi"/>
        </w:rPr>
        <w:t xml:space="preserve"> of the Act</w:t>
      </w:r>
      <w:r w:rsidRPr="00FE16A4">
        <w:rPr>
          <w:rFonts w:asciiTheme="minorHAnsi" w:hAnsiTheme="minorHAnsi"/>
        </w:rPr>
        <w:t>.</w:t>
      </w:r>
    </w:p>
    <w:p w14:paraId="632180B3" w14:textId="77777777" w:rsidR="00BE6B1D" w:rsidRPr="00BE6B1D" w:rsidRDefault="00BE6B1D" w:rsidP="00BE6B1D">
      <w:pPr>
        <w:pStyle w:val="ListParagraph"/>
        <w:rPr>
          <w:rFonts w:asciiTheme="minorHAnsi" w:hAnsiTheme="minorHAnsi"/>
        </w:rPr>
      </w:pPr>
    </w:p>
    <w:p w14:paraId="1565821A" w14:textId="5FDE5B75" w:rsidR="00A029C6" w:rsidRDefault="001410D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However the weight of authority is </w:t>
      </w:r>
      <w:r w:rsidR="00D0786D">
        <w:rPr>
          <w:rFonts w:asciiTheme="minorHAnsi" w:hAnsiTheme="minorHAnsi"/>
        </w:rPr>
        <w:t>that unpaid work cannot be required as a condition of a s 20 recognizance</w:t>
      </w:r>
      <w:r w:rsidR="00EA3C81">
        <w:rPr>
          <w:rFonts w:asciiTheme="minorHAnsi" w:hAnsiTheme="minorHAnsi"/>
        </w:rPr>
        <w:t xml:space="preserve">, </w:t>
      </w:r>
      <w:r w:rsidR="003A30C6">
        <w:rPr>
          <w:rFonts w:asciiTheme="minorHAnsi" w:hAnsiTheme="minorHAnsi"/>
        </w:rPr>
        <w:t>at least</w:t>
      </w:r>
      <w:r w:rsidR="00EA3C81">
        <w:rPr>
          <w:rFonts w:asciiTheme="minorHAnsi" w:hAnsiTheme="minorHAnsi"/>
        </w:rPr>
        <w:t xml:space="preserve"> where community service is provided for as a separate sentencing option under State legislation which is applied by s 20AB of the </w:t>
      </w:r>
      <w:r w:rsidR="00885EFD" w:rsidRPr="00885EFD">
        <w:rPr>
          <w:rFonts w:asciiTheme="minorHAnsi" w:hAnsiTheme="minorHAnsi"/>
          <w:i/>
        </w:rPr>
        <w:t>Crimes Act 1914</w:t>
      </w:r>
      <w:r w:rsidR="00EA3C81" w:rsidRPr="00051102">
        <w:rPr>
          <w:rFonts w:ascii="Calibri" w:hAnsi="Calibri"/>
        </w:rPr>
        <w:t xml:space="preserve"> (</w:t>
      </w:r>
      <w:r w:rsidR="00EA3C81" w:rsidRPr="00924B39">
        <w:rPr>
          <w:rFonts w:asciiTheme="minorHAnsi" w:hAnsiTheme="minorHAnsi"/>
        </w:rPr>
        <w:t>Cth)</w:t>
      </w:r>
      <w:r>
        <w:rPr>
          <w:rFonts w:asciiTheme="minorHAnsi" w:hAnsiTheme="minorHAnsi"/>
        </w:rPr>
        <w:t>.</w:t>
      </w:r>
      <w:r w:rsidRPr="00C00000">
        <w:rPr>
          <w:rStyle w:val="Style"/>
          <w:rFonts w:asciiTheme="minorHAnsi" w:hAnsiTheme="minorHAnsi"/>
        </w:rPr>
        <w:footnoteReference w:id="615"/>
      </w:r>
      <w:r>
        <w:rPr>
          <w:rFonts w:asciiTheme="minorHAnsi" w:hAnsiTheme="minorHAnsi"/>
        </w:rPr>
        <w:t xml:space="preserve">  </w:t>
      </w:r>
      <w:r w:rsidR="003378B4" w:rsidRPr="00F4214F">
        <w:rPr>
          <w:rFonts w:asciiTheme="minorHAnsi" w:hAnsiTheme="minorHAnsi"/>
        </w:rPr>
        <w:t>In</w:t>
      </w:r>
      <w:r w:rsidR="00FA417A" w:rsidRPr="00FA417A">
        <w:rPr>
          <w:rFonts w:asciiTheme="minorHAnsi" w:hAnsiTheme="minorHAnsi"/>
          <w:i/>
        </w:rPr>
        <w:t xml:space="preserve"> </w:t>
      </w:r>
      <w:r w:rsidR="00FA417A">
        <w:rPr>
          <w:rFonts w:asciiTheme="minorHAnsi" w:hAnsiTheme="minorHAnsi"/>
          <w:i/>
        </w:rPr>
        <w:t>Shambayati</w:t>
      </w:r>
      <w:r w:rsidR="003378B4" w:rsidRPr="00FE16A4">
        <w:rPr>
          <w:rFonts w:asciiTheme="minorHAnsi" w:hAnsiTheme="minorHAnsi"/>
        </w:rPr>
        <w:fldChar w:fldCharType="begin"/>
      </w:r>
      <w:r w:rsidR="003378B4">
        <w:rPr>
          <w:rFonts w:asciiTheme="minorHAnsi" w:hAnsiTheme="minorHAnsi"/>
        </w:rPr>
        <w:instrText xml:space="preserve">  "Shambayati v R (1999) 105 A Crim R 373" </w:instrText>
      </w:r>
      <w:r w:rsidR="003378B4" w:rsidRPr="00FE16A4">
        <w:rPr>
          <w:rFonts w:asciiTheme="minorHAnsi" w:hAnsiTheme="minorHAnsi"/>
        </w:rPr>
        <w:fldChar w:fldCharType="end"/>
      </w:r>
      <w:r w:rsidR="003378B4">
        <w:rPr>
          <w:rFonts w:asciiTheme="minorHAnsi" w:hAnsiTheme="minorHAnsi"/>
        </w:rPr>
        <w:t>,</w:t>
      </w:r>
      <w:r w:rsidR="00FA417A" w:rsidRPr="00C00000">
        <w:rPr>
          <w:rStyle w:val="Style"/>
          <w:rFonts w:asciiTheme="minorHAnsi" w:hAnsiTheme="minorHAnsi"/>
        </w:rPr>
        <w:footnoteReference w:id="616"/>
      </w:r>
      <w:r w:rsidR="003378B4">
        <w:rPr>
          <w:rFonts w:asciiTheme="minorHAnsi" w:hAnsiTheme="minorHAnsi"/>
        </w:rPr>
        <w:t xml:space="preserve"> the </w:t>
      </w:r>
      <w:r w:rsidR="00FA417A">
        <w:rPr>
          <w:rFonts w:asciiTheme="minorHAnsi" w:hAnsiTheme="minorHAnsi"/>
        </w:rPr>
        <w:t xml:space="preserve">Queensland </w:t>
      </w:r>
      <w:r w:rsidR="003378B4">
        <w:rPr>
          <w:rFonts w:asciiTheme="minorHAnsi" w:hAnsiTheme="minorHAnsi"/>
        </w:rPr>
        <w:t xml:space="preserve">Court of Appeal </w:t>
      </w:r>
      <w:r w:rsidR="00F350B7">
        <w:rPr>
          <w:rFonts w:asciiTheme="minorHAnsi" w:hAnsiTheme="minorHAnsi"/>
        </w:rPr>
        <w:t xml:space="preserve">held that </w:t>
      </w:r>
      <w:r w:rsidR="00373A12">
        <w:rPr>
          <w:rFonts w:asciiTheme="minorHAnsi" w:hAnsiTheme="minorHAnsi"/>
        </w:rPr>
        <w:t xml:space="preserve">a condition of a recognizance under s 20(1)(a) that the offender perform 50 hours community service was invalid.  </w:t>
      </w:r>
      <w:r w:rsidR="00D0786D">
        <w:rPr>
          <w:rFonts w:asciiTheme="minorHAnsi" w:hAnsiTheme="minorHAnsi"/>
        </w:rPr>
        <w:t xml:space="preserve">The Court observed that although </w:t>
      </w:r>
      <w:r w:rsidR="00F350B7">
        <w:rPr>
          <w:rFonts w:asciiTheme="minorHAnsi" w:hAnsiTheme="minorHAnsi"/>
        </w:rPr>
        <w:t xml:space="preserve">the terms of s 20(1)(a)(iv) </w:t>
      </w:r>
      <w:r w:rsidR="00F350B7" w:rsidRPr="00F350B7">
        <w:rPr>
          <w:rFonts w:asciiTheme="minorHAnsi" w:hAnsiTheme="minorHAnsi"/>
        </w:rPr>
        <w:t>are wide enough to include community service</w:t>
      </w:r>
      <w:r w:rsidR="00F350B7">
        <w:rPr>
          <w:rFonts w:asciiTheme="minorHAnsi" w:hAnsiTheme="minorHAnsi"/>
        </w:rPr>
        <w:t>,</w:t>
      </w:r>
      <w:r w:rsidR="00F350B7" w:rsidRPr="00F350B7">
        <w:rPr>
          <w:rFonts w:asciiTheme="minorHAnsi" w:hAnsiTheme="minorHAnsi"/>
        </w:rPr>
        <w:t xml:space="preserve"> </w:t>
      </w:r>
      <w:r w:rsidR="00F350B7">
        <w:rPr>
          <w:rFonts w:asciiTheme="minorHAnsi" w:hAnsiTheme="minorHAnsi"/>
        </w:rPr>
        <w:t>“</w:t>
      </w:r>
      <w:r w:rsidR="00F350B7" w:rsidRPr="00F350B7">
        <w:rPr>
          <w:rFonts w:asciiTheme="minorHAnsi" w:hAnsiTheme="minorHAnsi"/>
        </w:rPr>
        <w:t>community service</w:t>
      </w:r>
      <w:r w:rsidR="00373A12">
        <w:rPr>
          <w:rFonts w:asciiTheme="minorHAnsi" w:hAnsiTheme="minorHAnsi"/>
        </w:rPr>
        <w:t>”</w:t>
      </w:r>
      <w:r w:rsidR="00F350B7" w:rsidRPr="00F350B7">
        <w:rPr>
          <w:rFonts w:asciiTheme="minorHAnsi" w:hAnsiTheme="minorHAnsi"/>
        </w:rPr>
        <w:t xml:space="preserve"> ha</w:t>
      </w:r>
      <w:r w:rsidR="00373A12">
        <w:rPr>
          <w:rFonts w:asciiTheme="minorHAnsi" w:hAnsiTheme="minorHAnsi"/>
        </w:rPr>
        <w:t>d</w:t>
      </w:r>
      <w:r w:rsidR="00F350B7" w:rsidRPr="00F350B7">
        <w:rPr>
          <w:rFonts w:asciiTheme="minorHAnsi" w:hAnsiTheme="minorHAnsi"/>
        </w:rPr>
        <w:t xml:space="preserve"> no meaning or regime for its performance except relevantly </w:t>
      </w:r>
      <w:r w:rsidR="00373A12">
        <w:rPr>
          <w:rFonts w:asciiTheme="minorHAnsi" w:hAnsiTheme="minorHAnsi"/>
        </w:rPr>
        <w:t>as a separate sentencing option under State legislation</w:t>
      </w:r>
      <w:r w:rsidR="00B34095">
        <w:rPr>
          <w:rFonts w:asciiTheme="minorHAnsi" w:hAnsiTheme="minorHAnsi"/>
        </w:rPr>
        <w:t>, which was not incorporated by s 20</w:t>
      </w:r>
      <w:r w:rsidR="00373A12">
        <w:rPr>
          <w:rFonts w:asciiTheme="minorHAnsi" w:hAnsiTheme="minorHAnsi"/>
        </w:rPr>
        <w:t>.</w:t>
      </w:r>
      <w:r w:rsidR="00373A12" w:rsidRPr="00C00000">
        <w:rPr>
          <w:rStyle w:val="Style"/>
          <w:rFonts w:asciiTheme="minorHAnsi" w:hAnsiTheme="minorHAnsi"/>
        </w:rPr>
        <w:footnoteReference w:id="617"/>
      </w:r>
      <w:r w:rsidR="00373A12">
        <w:rPr>
          <w:rFonts w:asciiTheme="minorHAnsi" w:hAnsiTheme="minorHAnsi"/>
        </w:rPr>
        <w:t xml:space="preserve">  </w:t>
      </w:r>
      <w:r w:rsidR="00BE6B1D">
        <w:rPr>
          <w:rFonts w:asciiTheme="minorHAnsi" w:hAnsiTheme="minorHAnsi"/>
        </w:rPr>
        <w:t xml:space="preserve">The Court distinguished </w:t>
      </w:r>
      <w:r w:rsidR="00BE6B1D" w:rsidRPr="00BE6B1D">
        <w:rPr>
          <w:rFonts w:asciiTheme="minorHAnsi" w:hAnsiTheme="minorHAnsi"/>
          <w:i/>
        </w:rPr>
        <w:t>Adams</w:t>
      </w:r>
      <w:r w:rsidR="00541118" w:rsidRPr="00541118">
        <w:rPr>
          <w:rFonts w:asciiTheme="minorHAnsi" w:hAnsiTheme="minorHAnsi"/>
          <w:i/>
        </w:rPr>
        <w:t xml:space="preserve"> v </w:t>
      </w:r>
      <w:r w:rsidR="00BE6B1D" w:rsidRPr="00BE6B1D">
        <w:rPr>
          <w:rFonts w:asciiTheme="minorHAnsi" w:hAnsiTheme="minorHAnsi"/>
          <w:i/>
        </w:rPr>
        <w:t>Carr</w:t>
      </w:r>
      <w:r w:rsidR="00BE6B1D">
        <w:rPr>
          <w:rFonts w:asciiTheme="minorHAnsi" w:hAnsiTheme="minorHAnsi"/>
        </w:rPr>
        <w:t xml:space="preserve"> on the basis that </w:t>
      </w:r>
      <w:r w:rsidR="00F350B7" w:rsidRPr="00F350B7">
        <w:rPr>
          <w:rFonts w:asciiTheme="minorHAnsi" w:hAnsiTheme="minorHAnsi"/>
        </w:rPr>
        <w:t>under</w:t>
      </w:r>
      <w:r w:rsidR="00D0786D">
        <w:rPr>
          <w:rFonts w:asciiTheme="minorHAnsi" w:hAnsiTheme="minorHAnsi"/>
        </w:rPr>
        <w:t xml:space="preserve"> the</w:t>
      </w:r>
      <w:r w:rsidR="00F350B7" w:rsidRPr="00F350B7">
        <w:rPr>
          <w:rFonts w:asciiTheme="minorHAnsi" w:hAnsiTheme="minorHAnsi"/>
        </w:rPr>
        <w:t xml:space="preserve"> </w:t>
      </w:r>
      <w:r w:rsidR="00BE6B1D">
        <w:rPr>
          <w:rFonts w:asciiTheme="minorHAnsi" w:hAnsiTheme="minorHAnsi"/>
        </w:rPr>
        <w:t xml:space="preserve">State legislation considered in that case, </w:t>
      </w:r>
      <w:r w:rsidR="00BE6B1D" w:rsidRPr="00BE6B1D">
        <w:rPr>
          <w:rFonts w:asciiTheme="minorHAnsi" w:hAnsiTheme="minorHAnsi"/>
        </w:rPr>
        <w:t xml:space="preserve">community service could be imposed only </w:t>
      </w:r>
      <w:r w:rsidR="00D0786D">
        <w:rPr>
          <w:rFonts w:asciiTheme="minorHAnsi" w:hAnsiTheme="minorHAnsi"/>
        </w:rPr>
        <w:t xml:space="preserve">as a </w:t>
      </w:r>
      <w:r w:rsidR="00BE6B1D" w:rsidRPr="00BE6B1D">
        <w:rPr>
          <w:rFonts w:asciiTheme="minorHAnsi" w:hAnsiTheme="minorHAnsi"/>
        </w:rPr>
        <w:t xml:space="preserve">condition </w:t>
      </w:r>
      <w:r w:rsidR="00D0786D">
        <w:rPr>
          <w:rFonts w:asciiTheme="minorHAnsi" w:hAnsiTheme="minorHAnsi"/>
        </w:rPr>
        <w:t>of</w:t>
      </w:r>
      <w:r w:rsidR="00BE6B1D" w:rsidRPr="00BE6B1D">
        <w:rPr>
          <w:rFonts w:asciiTheme="minorHAnsi" w:hAnsiTheme="minorHAnsi"/>
        </w:rPr>
        <w:t xml:space="preserve"> a recognizance</w:t>
      </w:r>
      <w:r w:rsidR="00BE6B1D">
        <w:rPr>
          <w:rFonts w:asciiTheme="minorHAnsi" w:hAnsiTheme="minorHAnsi"/>
        </w:rPr>
        <w:t>.</w:t>
      </w:r>
      <w:r w:rsidR="006D7B53" w:rsidRPr="00C00000">
        <w:rPr>
          <w:rStyle w:val="Style"/>
          <w:rFonts w:asciiTheme="minorHAnsi" w:hAnsiTheme="minorHAnsi"/>
        </w:rPr>
        <w:footnoteReference w:id="618"/>
      </w:r>
      <w:r w:rsidR="00BE6B1D">
        <w:rPr>
          <w:rFonts w:asciiTheme="minorHAnsi" w:hAnsiTheme="minorHAnsi"/>
        </w:rPr>
        <w:t xml:space="preserve">  </w:t>
      </w:r>
      <w:r w:rsidR="00354A51">
        <w:rPr>
          <w:rFonts w:asciiTheme="minorHAnsi" w:hAnsiTheme="minorHAnsi"/>
        </w:rPr>
        <w:t xml:space="preserve">The Court in </w:t>
      </w:r>
      <w:r w:rsidR="00354A51" w:rsidRPr="00354A51">
        <w:rPr>
          <w:rFonts w:asciiTheme="minorHAnsi" w:hAnsiTheme="minorHAnsi"/>
          <w:i/>
        </w:rPr>
        <w:t>Shambayati</w:t>
      </w:r>
      <w:r w:rsidR="00F350B7" w:rsidRPr="00F350B7">
        <w:rPr>
          <w:rFonts w:asciiTheme="minorHAnsi" w:hAnsiTheme="minorHAnsi"/>
        </w:rPr>
        <w:t xml:space="preserve"> conclude</w:t>
      </w:r>
      <w:r w:rsidR="00354A51">
        <w:rPr>
          <w:rFonts w:asciiTheme="minorHAnsi" w:hAnsiTheme="minorHAnsi"/>
        </w:rPr>
        <w:t>d</w:t>
      </w:r>
      <w:r w:rsidR="00F350B7" w:rsidRPr="00F350B7">
        <w:rPr>
          <w:rFonts w:asciiTheme="minorHAnsi" w:hAnsiTheme="minorHAnsi"/>
        </w:rPr>
        <w:t xml:space="preserve"> that the only way in which community service </w:t>
      </w:r>
      <w:r w:rsidR="00354A51">
        <w:rPr>
          <w:rFonts w:asciiTheme="minorHAnsi" w:hAnsiTheme="minorHAnsi"/>
        </w:rPr>
        <w:t xml:space="preserve">could </w:t>
      </w:r>
      <w:r w:rsidR="00F350B7" w:rsidRPr="00F350B7">
        <w:rPr>
          <w:rFonts w:asciiTheme="minorHAnsi" w:hAnsiTheme="minorHAnsi"/>
        </w:rPr>
        <w:t xml:space="preserve">be imposed for a federal offence </w:t>
      </w:r>
      <w:r w:rsidR="003A30C6">
        <w:rPr>
          <w:rFonts w:asciiTheme="minorHAnsi" w:hAnsiTheme="minorHAnsi"/>
        </w:rPr>
        <w:t xml:space="preserve">in Queensland </w:t>
      </w:r>
      <w:r w:rsidR="00354A51">
        <w:rPr>
          <w:rFonts w:asciiTheme="minorHAnsi" w:hAnsiTheme="minorHAnsi"/>
        </w:rPr>
        <w:t xml:space="preserve">was </w:t>
      </w:r>
      <w:r w:rsidR="00F350B7" w:rsidRPr="00F350B7">
        <w:rPr>
          <w:rFonts w:asciiTheme="minorHAnsi" w:hAnsiTheme="minorHAnsi"/>
        </w:rPr>
        <w:t>by an order made pursuant to s20AB.</w:t>
      </w:r>
      <w:r w:rsidR="006D7B53" w:rsidRPr="00C00000">
        <w:rPr>
          <w:rStyle w:val="Style"/>
          <w:rFonts w:asciiTheme="minorHAnsi" w:hAnsiTheme="minorHAnsi"/>
        </w:rPr>
        <w:footnoteReference w:id="619"/>
      </w:r>
    </w:p>
    <w:p w14:paraId="723CD6BD" w14:textId="4D225131" w:rsidR="00A029C6" w:rsidRPr="00A4681E" w:rsidRDefault="00A029C6" w:rsidP="00A029C6">
      <w:pPr>
        <w:pStyle w:val="ListParagraph"/>
        <w:spacing w:line="276" w:lineRule="auto"/>
        <w:ind w:left="567" w:right="28" w:hanging="567"/>
        <w:rPr>
          <w:rFonts w:asciiTheme="minorHAnsi" w:hAnsiTheme="minorHAnsi"/>
        </w:rPr>
      </w:pPr>
    </w:p>
    <w:p w14:paraId="161A4FA8" w14:textId="70943E25" w:rsidR="00975D84" w:rsidRPr="00E9607E" w:rsidRDefault="00D75F9F" w:rsidP="001F7E6F">
      <w:pPr>
        <w:pStyle w:val="Heading3"/>
      </w:pPr>
      <w:bookmarkStart w:id="1608" w:name="_Ref507318895"/>
      <w:bookmarkStart w:id="1609" w:name="_Ref507318910"/>
      <w:bookmarkStart w:id="1610" w:name="_Toc33602842"/>
      <w:r>
        <w:t>Payment of money to charity as condition of a bond</w:t>
      </w:r>
      <w:bookmarkEnd w:id="1608"/>
      <w:bookmarkEnd w:id="1609"/>
      <w:bookmarkEnd w:id="1610"/>
      <w:r w:rsidR="00975D84" w:rsidRPr="00E9607E">
        <w:t xml:space="preserve"> </w:t>
      </w:r>
    </w:p>
    <w:p w14:paraId="0A6E99F4" w14:textId="77777777" w:rsidR="00975D84" w:rsidRPr="00C00000" w:rsidRDefault="00975D84" w:rsidP="001F7E6F">
      <w:pPr>
        <w:keepNext/>
        <w:spacing w:line="276" w:lineRule="auto"/>
        <w:rPr>
          <w:rFonts w:asciiTheme="minorHAnsi" w:hAnsiTheme="minorHAnsi"/>
        </w:rPr>
      </w:pPr>
    </w:p>
    <w:p w14:paraId="5014E8C7" w14:textId="7813793C" w:rsidR="00975D84" w:rsidRDefault="00975D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w:t>
      </w:r>
      <w:r w:rsidRPr="00C00000">
        <w:rPr>
          <w:rFonts w:asciiTheme="minorHAnsi" w:hAnsiTheme="minorHAnsi"/>
        </w:rPr>
        <w:t xml:space="preserve">n </w:t>
      </w:r>
      <w:r w:rsidRPr="00C00000">
        <w:rPr>
          <w:rFonts w:asciiTheme="minorHAnsi" w:hAnsiTheme="minorHAnsi"/>
          <w:i/>
        </w:rPr>
        <w:t>Brittain v Mansour</w:t>
      </w:r>
      <w:r w:rsidRPr="00C00000">
        <w:rPr>
          <w:rStyle w:val="FootnoteReference"/>
          <w:rFonts w:asciiTheme="minorHAnsi" w:hAnsiTheme="minorHAnsi"/>
        </w:rPr>
        <w:footnoteReference w:id="620"/>
      </w:r>
      <w:r w:rsidRPr="00C00000">
        <w:rPr>
          <w:rFonts w:asciiTheme="minorHAnsi" w:hAnsiTheme="minorHAnsi"/>
        </w:rPr>
        <w:t xml:space="preserve">, it </w:t>
      </w:r>
      <w:r>
        <w:rPr>
          <w:rFonts w:asciiTheme="minorHAnsi" w:hAnsiTheme="minorHAnsi"/>
        </w:rPr>
        <w:t xml:space="preserve">was held that there was no power to impose </w:t>
      </w:r>
      <w:r w:rsidR="00BE2027">
        <w:rPr>
          <w:rFonts w:asciiTheme="minorHAnsi" w:hAnsiTheme="minorHAnsi"/>
        </w:rPr>
        <w:t xml:space="preserve">as </w:t>
      </w:r>
      <w:r>
        <w:rPr>
          <w:rFonts w:asciiTheme="minorHAnsi" w:hAnsiTheme="minorHAnsi"/>
        </w:rPr>
        <w:t xml:space="preserve">a condition </w:t>
      </w:r>
      <w:r w:rsidR="00BE2027">
        <w:rPr>
          <w:rFonts w:asciiTheme="minorHAnsi" w:hAnsiTheme="minorHAnsi"/>
        </w:rPr>
        <w:t>of</w:t>
      </w:r>
      <w:r>
        <w:rPr>
          <w:rFonts w:asciiTheme="minorHAnsi" w:hAnsiTheme="minorHAnsi"/>
        </w:rPr>
        <w:t xml:space="preserve"> a bond under the </w:t>
      </w:r>
      <w:r w:rsidRPr="00CC5764">
        <w:rPr>
          <w:rFonts w:asciiTheme="minorHAnsi" w:hAnsiTheme="minorHAnsi"/>
          <w:i/>
        </w:rPr>
        <w:t>Sentencing Act 1991</w:t>
      </w:r>
      <w:r>
        <w:rPr>
          <w:rFonts w:asciiTheme="minorHAnsi" w:hAnsiTheme="minorHAnsi"/>
        </w:rPr>
        <w:t xml:space="preserve"> (Vic)</w:t>
      </w:r>
      <w:r w:rsidR="00BE2027">
        <w:rPr>
          <w:rFonts w:asciiTheme="minorHAnsi" w:hAnsiTheme="minorHAnsi"/>
        </w:rPr>
        <w:t xml:space="preserve"> a requirement that the offender pay </w:t>
      </w:r>
      <w:r w:rsidR="00BE2027" w:rsidRPr="00C00000">
        <w:rPr>
          <w:rFonts w:asciiTheme="minorHAnsi" w:hAnsiTheme="minorHAnsi"/>
        </w:rPr>
        <w:t xml:space="preserve">money to the court fund </w:t>
      </w:r>
      <w:r w:rsidR="00BE2027">
        <w:rPr>
          <w:rFonts w:asciiTheme="minorHAnsi" w:hAnsiTheme="minorHAnsi"/>
        </w:rPr>
        <w:t xml:space="preserve">or to a nominated charity.  </w:t>
      </w:r>
      <w:r>
        <w:rPr>
          <w:rFonts w:asciiTheme="minorHAnsi" w:hAnsiTheme="minorHAnsi"/>
        </w:rPr>
        <w:t>Such a condition was, in substance, a fine.  The power to impose conditions on a bond did not extend to the imposition of such a monetary impost.</w:t>
      </w:r>
      <w:r w:rsidRPr="00C00000">
        <w:rPr>
          <w:rStyle w:val="FootnoteReference"/>
          <w:rFonts w:asciiTheme="minorHAnsi" w:hAnsiTheme="minorHAnsi"/>
        </w:rPr>
        <w:footnoteReference w:id="621"/>
      </w:r>
    </w:p>
    <w:p w14:paraId="4D32EA8A" w14:textId="77777777" w:rsidR="00975D84" w:rsidRPr="00C00000" w:rsidRDefault="00975D84" w:rsidP="00975D84">
      <w:pPr>
        <w:pStyle w:val="ListParagraph"/>
        <w:spacing w:line="276" w:lineRule="auto"/>
        <w:ind w:left="567" w:right="28" w:hanging="567"/>
        <w:rPr>
          <w:rFonts w:asciiTheme="minorHAnsi" w:hAnsiTheme="minorHAnsi"/>
        </w:rPr>
      </w:pPr>
    </w:p>
    <w:p w14:paraId="355C9E94" w14:textId="065F8A30" w:rsidR="00975D84" w:rsidRPr="00C00000" w:rsidRDefault="00967B8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w:t>
      </w:r>
      <w:r w:rsidR="00975D84" w:rsidRPr="00C00000">
        <w:rPr>
          <w:rFonts w:asciiTheme="minorHAnsi" w:hAnsiTheme="minorHAnsi"/>
        </w:rPr>
        <w:t xml:space="preserve">he view of the CDPP </w:t>
      </w:r>
      <w:r>
        <w:rPr>
          <w:rFonts w:asciiTheme="minorHAnsi" w:hAnsiTheme="minorHAnsi"/>
        </w:rPr>
        <w:t xml:space="preserve">is </w:t>
      </w:r>
      <w:r w:rsidR="00975D84" w:rsidRPr="00C00000">
        <w:rPr>
          <w:rFonts w:asciiTheme="minorHAnsi" w:hAnsiTheme="minorHAnsi"/>
        </w:rPr>
        <w:t>that</w:t>
      </w:r>
      <w:r>
        <w:rPr>
          <w:rFonts w:asciiTheme="minorHAnsi" w:hAnsiTheme="minorHAnsi"/>
        </w:rPr>
        <w:t>, for similar reasons,</w:t>
      </w:r>
      <w:r w:rsidR="00975D84" w:rsidRPr="00C00000">
        <w:rPr>
          <w:rFonts w:asciiTheme="minorHAnsi" w:hAnsiTheme="minorHAnsi"/>
        </w:rPr>
        <w:t xml:space="preserve"> a court cannot impose as a condition of a section 20 </w:t>
      </w:r>
      <w:r w:rsidR="00A53DA1">
        <w:rPr>
          <w:rFonts w:asciiTheme="minorHAnsi" w:hAnsiTheme="minorHAnsi"/>
        </w:rPr>
        <w:t>recognizance</w:t>
      </w:r>
      <w:r w:rsidR="00975D84" w:rsidRPr="00C00000">
        <w:rPr>
          <w:rFonts w:asciiTheme="minorHAnsi" w:hAnsiTheme="minorHAnsi"/>
        </w:rPr>
        <w:t xml:space="preserve"> a condition to pay a monetary amount to a charitable organisation or to </w:t>
      </w:r>
      <w:r w:rsidR="00975D84">
        <w:rPr>
          <w:rFonts w:asciiTheme="minorHAnsi" w:hAnsiTheme="minorHAnsi"/>
        </w:rPr>
        <w:t>a</w:t>
      </w:r>
      <w:r w:rsidR="00975D84" w:rsidRPr="00C00000">
        <w:rPr>
          <w:rFonts w:asciiTheme="minorHAnsi" w:hAnsiTheme="minorHAnsi"/>
        </w:rPr>
        <w:t xml:space="preserve"> court fund. </w:t>
      </w:r>
      <w:r>
        <w:rPr>
          <w:rFonts w:asciiTheme="minorHAnsi" w:hAnsiTheme="minorHAnsi"/>
        </w:rPr>
        <w:t xml:space="preserve"> The only powers to order payment of money as a condition of a s 20 </w:t>
      </w:r>
      <w:r w:rsidR="00A53DA1">
        <w:rPr>
          <w:rFonts w:asciiTheme="minorHAnsi" w:hAnsiTheme="minorHAnsi"/>
        </w:rPr>
        <w:t>recognizance</w:t>
      </w:r>
      <w:r>
        <w:rPr>
          <w:rFonts w:asciiTheme="minorHAnsi" w:hAnsiTheme="minorHAnsi"/>
        </w:rPr>
        <w:t xml:space="preserve"> are those in s 20(1)(a)(ii) (</w:t>
      </w:r>
      <w:r w:rsidRPr="00967B8B">
        <w:rPr>
          <w:rFonts w:asciiTheme="minorHAnsi" w:hAnsiTheme="minorHAnsi"/>
        </w:rPr>
        <w:t>reparation, restitution, compensation or costs</w:t>
      </w:r>
      <w:r>
        <w:rPr>
          <w:rFonts w:asciiTheme="minorHAnsi" w:hAnsiTheme="minorHAnsi"/>
        </w:rPr>
        <w:t xml:space="preserve"> that the court is otherwise empowered to order) and s 20(1)(a)(iii) (</w:t>
      </w:r>
      <w:r w:rsidR="00865CCE">
        <w:rPr>
          <w:rFonts w:asciiTheme="minorHAnsi" w:hAnsiTheme="minorHAnsi"/>
        </w:rPr>
        <w:t xml:space="preserve">payment </w:t>
      </w:r>
      <w:r w:rsidR="00865CCE" w:rsidRPr="00865CCE">
        <w:rPr>
          <w:rFonts w:asciiTheme="minorHAnsi" w:hAnsiTheme="minorHAnsi"/>
        </w:rPr>
        <w:t>to the Commonwealth of a pecuniary penalty</w:t>
      </w:r>
      <w:r w:rsidR="00865CCE">
        <w:rPr>
          <w:rFonts w:asciiTheme="minorHAnsi" w:hAnsiTheme="minorHAnsi"/>
        </w:rPr>
        <w:t>).</w:t>
      </w:r>
    </w:p>
    <w:p w14:paraId="3D3C6391" w14:textId="77777777" w:rsidR="00975D84" w:rsidRPr="00C00000" w:rsidRDefault="00975D84" w:rsidP="00975D84">
      <w:pPr>
        <w:pStyle w:val="ListParagraph"/>
        <w:spacing w:line="276" w:lineRule="auto"/>
        <w:ind w:left="873" w:right="28"/>
        <w:rPr>
          <w:rFonts w:asciiTheme="minorHAnsi" w:hAnsiTheme="minorHAnsi"/>
        </w:rPr>
      </w:pPr>
    </w:p>
    <w:p w14:paraId="2E21B567" w14:textId="323D07E3" w:rsidR="00975D84" w:rsidRPr="00E9607E" w:rsidRDefault="009F6E09" w:rsidP="001F7E6F">
      <w:pPr>
        <w:pStyle w:val="Heading3"/>
      </w:pPr>
      <w:bookmarkStart w:id="1611" w:name="_Ref507319673"/>
      <w:bookmarkStart w:id="1612" w:name="_Ref507319676"/>
      <w:bookmarkStart w:id="1613" w:name="_Toc33602843"/>
      <w:r>
        <w:t>Other impermissible conditions of a s 20 bond</w:t>
      </w:r>
      <w:bookmarkEnd w:id="1611"/>
      <w:bookmarkEnd w:id="1612"/>
      <w:bookmarkEnd w:id="1613"/>
    </w:p>
    <w:p w14:paraId="5E38FDF8" w14:textId="77777777" w:rsidR="00975D84" w:rsidRPr="00C00000" w:rsidRDefault="00975D84" w:rsidP="001F7E6F">
      <w:pPr>
        <w:pStyle w:val="ListParagraph"/>
        <w:keepNext/>
        <w:spacing w:line="276" w:lineRule="auto"/>
        <w:ind w:left="567" w:right="28" w:hanging="567"/>
        <w:contextualSpacing w:val="0"/>
        <w:jc w:val="left"/>
        <w:rPr>
          <w:rFonts w:asciiTheme="minorHAnsi" w:hAnsiTheme="minorHAnsi"/>
        </w:rPr>
      </w:pPr>
    </w:p>
    <w:p w14:paraId="465B722C" w14:textId="70677AB5" w:rsidR="009F6E09" w:rsidRDefault="009F6E0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 condition imposed on an offender found guilty of social security fraud that she not apply for a sole parent</w:t>
      </w:r>
      <w:r w:rsidR="00AA693C">
        <w:rPr>
          <w:rFonts w:asciiTheme="minorHAnsi" w:hAnsiTheme="minorHAnsi"/>
        </w:rPr>
        <w:t>’</w:t>
      </w:r>
      <w:r w:rsidRPr="00C00000">
        <w:rPr>
          <w:rFonts w:asciiTheme="minorHAnsi" w:hAnsiTheme="minorHAnsi"/>
        </w:rPr>
        <w:t>s pension for two years was beyond the limits of sound sentencing di</w:t>
      </w:r>
      <w:r w:rsidR="00B02FAC">
        <w:rPr>
          <w:rFonts w:asciiTheme="minorHAnsi" w:hAnsiTheme="minorHAnsi"/>
        </w:rPr>
        <w:t>scretion</w:t>
      </w:r>
      <w:r w:rsidRPr="00C00000">
        <w:rPr>
          <w:rFonts w:asciiTheme="minorHAnsi" w:hAnsiTheme="minorHAnsi"/>
        </w:rPr>
        <w:t>.</w:t>
      </w:r>
      <w:r w:rsidRPr="00C00000">
        <w:rPr>
          <w:rStyle w:val="Style"/>
          <w:rFonts w:asciiTheme="minorHAnsi" w:hAnsiTheme="minorHAnsi"/>
        </w:rPr>
        <w:footnoteReference w:id="622"/>
      </w:r>
    </w:p>
    <w:p w14:paraId="37CC7480" w14:textId="77777777" w:rsidR="00B02FAC" w:rsidRPr="00B02FAC" w:rsidRDefault="00B02FAC" w:rsidP="00A4681E">
      <w:pPr>
        <w:pStyle w:val="ListParagraph"/>
        <w:spacing w:line="276" w:lineRule="auto"/>
        <w:ind w:left="567" w:right="28" w:hanging="567"/>
        <w:rPr>
          <w:rFonts w:asciiTheme="minorHAnsi" w:hAnsiTheme="minorHAnsi"/>
        </w:rPr>
      </w:pPr>
    </w:p>
    <w:p w14:paraId="1C76A8F8" w14:textId="2884F266" w:rsidR="00B02FAC" w:rsidRPr="00C00000" w:rsidRDefault="00B02FAC" w:rsidP="00EB7F1E">
      <w:pPr>
        <w:pStyle w:val="ListParagraph"/>
        <w:numPr>
          <w:ilvl w:val="0"/>
          <w:numId w:val="7"/>
        </w:numPr>
        <w:spacing w:line="276" w:lineRule="auto"/>
        <w:ind w:left="425" w:hanging="425"/>
        <w:contextualSpacing w:val="0"/>
        <w:rPr>
          <w:rFonts w:asciiTheme="minorHAnsi" w:hAnsiTheme="minorHAnsi"/>
        </w:rPr>
      </w:pPr>
      <w:r w:rsidRPr="00B02FAC">
        <w:rPr>
          <w:rFonts w:asciiTheme="minorHAnsi" w:hAnsiTheme="minorHAnsi"/>
          <w:szCs w:val="22"/>
        </w:rPr>
        <w:t xml:space="preserve">In </w:t>
      </w:r>
      <w:r w:rsidRPr="00B02FAC">
        <w:rPr>
          <w:rFonts w:asciiTheme="minorHAnsi" w:hAnsiTheme="minorHAnsi"/>
          <w:i/>
          <w:szCs w:val="22"/>
        </w:rPr>
        <w:t>Manolakis</w:t>
      </w:r>
      <w:r w:rsidRPr="00B02FAC">
        <w:rPr>
          <w:rFonts w:asciiTheme="minorHAnsi" w:hAnsiTheme="minorHAnsi"/>
          <w:szCs w:val="22"/>
        </w:rPr>
        <w:t>,</w:t>
      </w:r>
      <w:r w:rsidRPr="00B02FAC">
        <w:rPr>
          <w:rStyle w:val="Style"/>
          <w:rFonts w:asciiTheme="minorHAnsi" w:hAnsiTheme="minorHAnsi"/>
        </w:rPr>
        <w:footnoteReference w:id="623"/>
      </w:r>
      <w:r w:rsidRPr="00B02FAC">
        <w:rPr>
          <w:rFonts w:asciiTheme="minorHAnsi" w:hAnsiTheme="minorHAnsi"/>
          <w:szCs w:val="22"/>
        </w:rPr>
        <w:t xml:space="preserve"> condition</w:t>
      </w:r>
      <w:r>
        <w:rPr>
          <w:rFonts w:asciiTheme="minorHAnsi" w:hAnsiTheme="minorHAnsi"/>
          <w:szCs w:val="22"/>
        </w:rPr>
        <w:t>s</w:t>
      </w:r>
      <w:r w:rsidRPr="00B02FAC">
        <w:rPr>
          <w:rFonts w:asciiTheme="minorHAnsi" w:hAnsiTheme="minorHAnsi"/>
          <w:szCs w:val="22"/>
        </w:rPr>
        <w:t xml:space="preserve"> </w:t>
      </w:r>
      <w:r>
        <w:rPr>
          <w:rFonts w:asciiTheme="minorHAnsi" w:hAnsiTheme="minorHAnsi"/>
          <w:szCs w:val="22"/>
        </w:rPr>
        <w:t xml:space="preserve">which </w:t>
      </w:r>
      <w:r w:rsidRPr="00B02FAC">
        <w:rPr>
          <w:rFonts w:asciiTheme="minorHAnsi" w:hAnsiTheme="minorHAnsi"/>
          <w:szCs w:val="22"/>
        </w:rPr>
        <w:t>prohibit</w:t>
      </w:r>
      <w:r>
        <w:rPr>
          <w:rFonts w:asciiTheme="minorHAnsi" w:hAnsiTheme="minorHAnsi"/>
          <w:szCs w:val="22"/>
        </w:rPr>
        <w:t>ed</w:t>
      </w:r>
      <w:r w:rsidRPr="00B02FAC">
        <w:rPr>
          <w:rFonts w:asciiTheme="minorHAnsi" w:hAnsiTheme="minorHAnsi"/>
          <w:szCs w:val="22"/>
        </w:rPr>
        <w:t xml:space="preserve"> contact with any politician and </w:t>
      </w:r>
      <w:r>
        <w:rPr>
          <w:rFonts w:asciiTheme="minorHAnsi" w:hAnsiTheme="minorHAnsi"/>
          <w:szCs w:val="22"/>
        </w:rPr>
        <w:t xml:space="preserve">required the offender </w:t>
      </w:r>
      <w:r w:rsidRPr="00B02FAC">
        <w:rPr>
          <w:rFonts w:asciiTheme="minorHAnsi" w:hAnsiTheme="minorHAnsi"/>
          <w:szCs w:val="22"/>
        </w:rPr>
        <w:t>to obey the directions of a corrections officer in relation to psychological or psychiatric counselling</w:t>
      </w:r>
      <w:r w:rsidRPr="00C00000">
        <w:rPr>
          <w:rFonts w:asciiTheme="minorHAnsi" w:hAnsiTheme="minorHAnsi"/>
        </w:rPr>
        <w:t xml:space="preserve"> were considered unsuitable</w:t>
      </w:r>
      <w:r w:rsidR="00862A10">
        <w:rPr>
          <w:rFonts w:asciiTheme="minorHAnsi" w:hAnsiTheme="minorHAnsi"/>
        </w:rPr>
        <w:t>, in the particular circumstances of the case</w:t>
      </w:r>
      <w:r w:rsidRPr="00C00000">
        <w:rPr>
          <w:rFonts w:asciiTheme="minorHAnsi" w:hAnsiTheme="minorHAnsi"/>
        </w:rPr>
        <w:t>.</w:t>
      </w:r>
    </w:p>
    <w:p w14:paraId="0F3CF7DB" w14:textId="77777777" w:rsidR="00B02FAC" w:rsidRPr="00C00000" w:rsidRDefault="00B02FAC" w:rsidP="00A4681E">
      <w:pPr>
        <w:pStyle w:val="ListParagraph"/>
        <w:spacing w:line="276" w:lineRule="auto"/>
        <w:ind w:left="567" w:right="28" w:hanging="567"/>
        <w:rPr>
          <w:rFonts w:asciiTheme="minorHAnsi" w:hAnsiTheme="minorHAnsi"/>
        </w:rPr>
      </w:pPr>
    </w:p>
    <w:p w14:paraId="7A956CDD" w14:textId="255D8BCF" w:rsidR="008E65DA" w:rsidRPr="00E9607E" w:rsidRDefault="008E65DA" w:rsidP="001F7E6F">
      <w:pPr>
        <w:pStyle w:val="Heading3"/>
      </w:pPr>
      <w:bookmarkStart w:id="1614" w:name="_Toc33602844"/>
      <w:r w:rsidRPr="00E9607E">
        <w:t>Form of bond</w:t>
      </w:r>
      <w:bookmarkEnd w:id="1614"/>
    </w:p>
    <w:p w14:paraId="517E65CD" w14:textId="77777777" w:rsidR="00146BAA" w:rsidRPr="00C00000" w:rsidRDefault="00146BAA" w:rsidP="001F7E6F">
      <w:pPr>
        <w:pStyle w:val="NormalIndent"/>
        <w:keepNext/>
        <w:spacing w:line="276" w:lineRule="auto"/>
        <w:rPr>
          <w:rFonts w:asciiTheme="minorHAnsi" w:hAnsiTheme="minorHAnsi"/>
        </w:rPr>
      </w:pPr>
    </w:p>
    <w:p w14:paraId="79144BB3" w14:textId="3AB36005" w:rsidR="008E65DA" w:rsidRPr="00C00000" w:rsidRDefault="00E65734"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A form of bond under s 20(1)(a) is prescribed as Form 11 under the </w:t>
      </w:r>
      <w:r w:rsidRPr="009541AE">
        <w:rPr>
          <w:rFonts w:asciiTheme="minorHAnsi" w:hAnsiTheme="minorHAnsi"/>
          <w:i/>
        </w:rPr>
        <w:t xml:space="preserve">Crimes Regulations 2019 </w:t>
      </w:r>
      <w:r w:rsidRPr="009541AE">
        <w:rPr>
          <w:rFonts w:asciiTheme="minorHAnsi" w:hAnsiTheme="minorHAnsi"/>
        </w:rPr>
        <w:t>(Cth), although the use of the prescribed form is optional</w:t>
      </w:r>
      <w:r w:rsidRPr="009541AE" w:rsidDel="00E65734">
        <w:rPr>
          <w:rFonts w:asciiTheme="minorHAnsi" w:hAnsiTheme="minorHAnsi"/>
        </w:rPr>
        <w:t xml:space="preserve"> </w:t>
      </w:r>
      <w:r w:rsidR="00233D88" w:rsidRPr="009541AE">
        <w:rPr>
          <w:rFonts w:asciiTheme="minorHAnsi" w:hAnsiTheme="minorHAnsi"/>
        </w:rPr>
        <w:t xml:space="preserve">.  </w:t>
      </w:r>
      <w:r w:rsidR="00233D88" w:rsidRPr="00C00000">
        <w:rPr>
          <w:rFonts w:asciiTheme="minorHAnsi" w:hAnsiTheme="minorHAnsi"/>
        </w:rPr>
        <w:t xml:space="preserve">A </w:t>
      </w:r>
      <w:r w:rsidR="00080E80" w:rsidRPr="00C00000">
        <w:rPr>
          <w:rFonts w:asciiTheme="minorHAnsi" w:hAnsiTheme="minorHAnsi"/>
        </w:rPr>
        <w:t>s</w:t>
      </w:r>
      <w:r w:rsidR="00233D88" w:rsidRPr="00C00000">
        <w:rPr>
          <w:rFonts w:asciiTheme="minorHAnsi" w:hAnsiTheme="minorHAnsi"/>
        </w:rPr>
        <w:t>tate bond form should not be used.</w:t>
      </w:r>
      <w:r w:rsidR="00233D88" w:rsidRPr="00C00000">
        <w:rPr>
          <w:rStyle w:val="Style"/>
          <w:rFonts w:asciiTheme="minorHAnsi" w:hAnsiTheme="minorHAnsi"/>
        </w:rPr>
        <w:footnoteReference w:id="624"/>
      </w:r>
      <w:r w:rsidR="00233D88" w:rsidRPr="00C00000">
        <w:rPr>
          <w:rFonts w:asciiTheme="minorHAnsi" w:hAnsiTheme="minorHAnsi"/>
        </w:rPr>
        <w:t xml:space="preserve">  A s 20 bond </w:t>
      </w:r>
      <w:r w:rsidR="00E206BB">
        <w:rPr>
          <w:rFonts w:asciiTheme="minorHAnsi" w:hAnsiTheme="minorHAnsi"/>
        </w:rPr>
        <w:t>must</w:t>
      </w:r>
      <w:r w:rsidR="00233D88" w:rsidRPr="00C00000">
        <w:rPr>
          <w:rFonts w:asciiTheme="minorHAnsi" w:hAnsiTheme="minorHAnsi"/>
        </w:rPr>
        <w:t xml:space="preserve"> specify the monetary amount of security to be given by the offender.</w:t>
      </w:r>
      <w:r w:rsidR="00233D88" w:rsidRPr="00C00000">
        <w:rPr>
          <w:rStyle w:val="Style"/>
          <w:rFonts w:asciiTheme="minorHAnsi" w:hAnsiTheme="minorHAnsi"/>
        </w:rPr>
        <w:footnoteReference w:id="625"/>
      </w:r>
      <w:r w:rsidR="00233D88" w:rsidRPr="00C00000">
        <w:rPr>
          <w:rFonts w:asciiTheme="minorHAnsi" w:hAnsiTheme="minorHAnsi"/>
        </w:rPr>
        <w:t xml:space="preserve">  The section does not limit the amount.  A bond can also involve a surety but this is </w:t>
      </w:r>
      <w:r w:rsidR="00A04626">
        <w:rPr>
          <w:rFonts w:asciiTheme="minorHAnsi" w:hAnsiTheme="minorHAnsi"/>
        </w:rPr>
        <w:t>rarely, if ever,</w:t>
      </w:r>
      <w:r w:rsidR="00233D88" w:rsidRPr="00C00000">
        <w:rPr>
          <w:rFonts w:asciiTheme="minorHAnsi" w:hAnsiTheme="minorHAnsi"/>
        </w:rPr>
        <w:t xml:space="preserve"> required.</w:t>
      </w:r>
    </w:p>
    <w:p w14:paraId="1AA91741" w14:textId="77777777" w:rsidR="00C70EE1" w:rsidRPr="00C00000" w:rsidRDefault="00C70EE1" w:rsidP="007C11C2">
      <w:pPr>
        <w:pStyle w:val="ListParagraph"/>
        <w:spacing w:line="276" w:lineRule="auto"/>
        <w:ind w:left="567" w:right="28" w:hanging="567"/>
        <w:rPr>
          <w:rFonts w:asciiTheme="minorHAnsi" w:hAnsiTheme="minorHAnsi"/>
        </w:rPr>
      </w:pPr>
    </w:p>
    <w:p w14:paraId="63EDCA97" w14:textId="3BA53E56" w:rsidR="00BD130B" w:rsidRPr="00E9607E" w:rsidRDefault="00B0668D" w:rsidP="001F7E6F">
      <w:pPr>
        <w:pStyle w:val="Heading3"/>
      </w:pPr>
      <w:bookmarkStart w:id="1615" w:name="_Toc33602845"/>
      <w:r>
        <w:t>When a s 20 bond is not available</w:t>
      </w:r>
      <w:bookmarkEnd w:id="1615"/>
    </w:p>
    <w:p w14:paraId="3481E29D" w14:textId="77777777" w:rsidR="00146BAA" w:rsidRPr="00C00000" w:rsidRDefault="00146BAA" w:rsidP="001F7E6F">
      <w:pPr>
        <w:pStyle w:val="NormalIndent"/>
        <w:keepNext/>
        <w:spacing w:line="276" w:lineRule="auto"/>
        <w:rPr>
          <w:rFonts w:asciiTheme="minorHAnsi" w:hAnsiTheme="minorHAnsi"/>
        </w:rPr>
      </w:pPr>
    </w:p>
    <w:p w14:paraId="75DF801E" w14:textId="5B9933FF" w:rsidR="00BD130B" w:rsidRPr="00C00000" w:rsidRDefault="00BD130B" w:rsidP="00901174">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 s</w:t>
      </w:r>
      <w:r w:rsidR="00B240B4" w:rsidRPr="00C00000">
        <w:rPr>
          <w:rFonts w:asciiTheme="minorHAnsi" w:hAnsiTheme="minorHAnsi"/>
        </w:rPr>
        <w:t>ection</w:t>
      </w:r>
      <w:r w:rsidRPr="00C00000">
        <w:rPr>
          <w:rFonts w:asciiTheme="minorHAnsi" w:hAnsiTheme="minorHAnsi"/>
        </w:rPr>
        <w:t xml:space="preserve"> 20 </w:t>
      </w:r>
      <w:r w:rsidR="00F106A8" w:rsidRPr="00C00000">
        <w:rPr>
          <w:rFonts w:asciiTheme="minorHAnsi" w:hAnsiTheme="minorHAnsi"/>
        </w:rPr>
        <w:t>(</w:t>
      </w:r>
      <w:r w:rsidRPr="00C00000">
        <w:rPr>
          <w:rFonts w:asciiTheme="minorHAnsi" w:hAnsiTheme="minorHAnsi"/>
        </w:rPr>
        <w:t xml:space="preserve">or </w:t>
      </w:r>
      <w:r w:rsidR="00F106A8" w:rsidRPr="00C00000">
        <w:rPr>
          <w:rFonts w:asciiTheme="minorHAnsi" w:hAnsiTheme="minorHAnsi"/>
        </w:rPr>
        <w:t xml:space="preserve">section </w:t>
      </w:r>
      <w:r w:rsidRPr="00C00000">
        <w:rPr>
          <w:rFonts w:asciiTheme="minorHAnsi" w:hAnsiTheme="minorHAnsi"/>
        </w:rPr>
        <w:t>19B</w:t>
      </w:r>
      <w:r w:rsidR="00F106A8" w:rsidRPr="00C00000">
        <w:rPr>
          <w:rFonts w:asciiTheme="minorHAnsi" w:hAnsiTheme="minorHAnsi"/>
        </w:rPr>
        <w:t>)</w:t>
      </w:r>
      <w:r w:rsidRPr="00C00000">
        <w:rPr>
          <w:rFonts w:asciiTheme="minorHAnsi" w:hAnsiTheme="minorHAnsi"/>
        </w:rPr>
        <w:t xml:space="preserve"> bond cannot be imposed on an offender found guilty of </w:t>
      </w:r>
      <w:r w:rsidR="00B0668D">
        <w:rPr>
          <w:rFonts w:asciiTheme="minorHAnsi" w:hAnsiTheme="minorHAnsi"/>
        </w:rPr>
        <w:t xml:space="preserve">certain </w:t>
      </w:r>
      <w:r w:rsidRPr="00C00000">
        <w:rPr>
          <w:rFonts w:asciiTheme="minorHAnsi" w:hAnsiTheme="minorHAnsi"/>
        </w:rPr>
        <w:t xml:space="preserve">people smuggling offence contrary to the </w:t>
      </w:r>
      <w:r w:rsidRPr="00C00000">
        <w:rPr>
          <w:rFonts w:asciiTheme="minorHAnsi" w:hAnsiTheme="minorHAnsi"/>
          <w:i/>
        </w:rPr>
        <w:t>Migration Act</w:t>
      </w:r>
      <w:r w:rsidRPr="00C00000">
        <w:rPr>
          <w:rFonts w:asciiTheme="minorHAnsi" w:hAnsiTheme="minorHAnsi"/>
        </w:rPr>
        <w:t xml:space="preserve"> </w:t>
      </w:r>
      <w:r w:rsidRPr="00C00000">
        <w:rPr>
          <w:rFonts w:asciiTheme="minorHAnsi" w:hAnsiTheme="minorHAnsi"/>
          <w:i/>
        </w:rPr>
        <w:t xml:space="preserve">1958 </w:t>
      </w:r>
      <w:r w:rsidR="00B0668D">
        <w:rPr>
          <w:rFonts w:asciiTheme="minorHAnsi" w:hAnsiTheme="minorHAnsi"/>
        </w:rPr>
        <w:t xml:space="preserve">(Cth), </w:t>
      </w:r>
      <w:r w:rsidRPr="00C00000">
        <w:rPr>
          <w:rFonts w:asciiTheme="minorHAnsi" w:hAnsiTheme="minorHAnsi"/>
        </w:rPr>
        <w:t>unless the offender was not over 18 at the time of the offence.</w:t>
      </w:r>
      <w:r w:rsidR="00964C8D">
        <w:rPr>
          <w:rFonts w:asciiTheme="minorHAnsi" w:hAnsiTheme="minorHAnsi"/>
        </w:rPr>
        <w:t xml:space="preserve">  See “</w:t>
      </w:r>
      <w:r w:rsidR="00964C8D">
        <w:rPr>
          <w:rFonts w:asciiTheme="minorHAnsi" w:hAnsiTheme="minorHAnsi"/>
        </w:rPr>
        <w:fldChar w:fldCharType="begin"/>
      </w:r>
      <w:r w:rsidR="00964C8D">
        <w:rPr>
          <w:rFonts w:asciiTheme="minorHAnsi" w:hAnsiTheme="minorHAnsi"/>
        </w:rPr>
        <w:instrText xml:space="preserve"> REF _Ref492552379 \r \h </w:instrText>
      </w:r>
      <w:r w:rsidR="000D5C21">
        <w:rPr>
          <w:rFonts w:asciiTheme="minorHAnsi" w:hAnsiTheme="minorHAnsi"/>
        </w:rPr>
        <w:instrText xml:space="preserve"> \* MERGEFORMAT </w:instrText>
      </w:r>
      <w:r w:rsidR="00964C8D">
        <w:rPr>
          <w:rFonts w:asciiTheme="minorHAnsi" w:hAnsiTheme="minorHAnsi"/>
        </w:rPr>
      </w:r>
      <w:r w:rsidR="00964C8D">
        <w:rPr>
          <w:rFonts w:asciiTheme="minorHAnsi" w:hAnsiTheme="minorHAnsi"/>
        </w:rPr>
        <w:fldChar w:fldCharType="separate"/>
      </w:r>
      <w:r w:rsidR="00D44BCF">
        <w:rPr>
          <w:rFonts w:asciiTheme="minorHAnsi" w:hAnsiTheme="minorHAnsi"/>
        </w:rPr>
        <w:t>8.1.2</w:t>
      </w:r>
      <w:r w:rsidR="00964C8D">
        <w:rPr>
          <w:rFonts w:asciiTheme="minorHAnsi" w:hAnsiTheme="minorHAnsi"/>
        </w:rPr>
        <w:fldChar w:fldCharType="end"/>
      </w:r>
      <w:r w:rsidR="00964C8D">
        <w:rPr>
          <w:rFonts w:asciiTheme="minorHAnsi" w:hAnsiTheme="minorHAnsi"/>
        </w:rPr>
        <w:t xml:space="preserve"> </w:t>
      </w:r>
      <w:r w:rsidR="00964C8D">
        <w:rPr>
          <w:rFonts w:asciiTheme="minorHAnsi" w:hAnsiTheme="minorHAnsi"/>
        </w:rPr>
        <w:fldChar w:fldCharType="begin"/>
      </w:r>
      <w:r w:rsidR="00964C8D">
        <w:rPr>
          <w:rFonts w:asciiTheme="minorHAnsi" w:hAnsiTheme="minorHAnsi"/>
        </w:rPr>
        <w:instrText xml:space="preserve"> REF _Ref492552382 \h </w:instrText>
      </w:r>
      <w:r w:rsidR="000D5C21">
        <w:rPr>
          <w:rFonts w:asciiTheme="minorHAnsi" w:hAnsiTheme="minorHAnsi"/>
        </w:rPr>
        <w:instrText xml:space="preserve"> \* MERGEFORMAT </w:instrText>
      </w:r>
      <w:r w:rsidR="00964C8D">
        <w:rPr>
          <w:rFonts w:asciiTheme="minorHAnsi" w:hAnsiTheme="minorHAnsi"/>
        </w:rPr>
      </w:r>
      <w:r w:rsidR="00964C8D">
        <w:rPr>
          <w:rFonts w:asciiTheme="minorHAnsi" w:hAnsiTheme="minorHAnsi"/>
        </w:rPr>
        <w:fldChar w:fldCharType="separate"/>
      </w:r>
      <w:r w:rsidR="00D44BCF" w:rsidRPr="00D44BCF">
        <w:rPr>
          <w:rFonts w:asciiTheme="minorHAnsi" w:hAnsiTheme="minorHAnsi"/>
        </w:rPr>
        <w:t>Mandatory imprisonment for certain people-smuggling offences</w:t>
      </w:r>
      <w:r w:rsidR="00964C8D">
        <w:rPr>
          <w:rFonts w:asciiTheme="minorHAnsi" w:hAnsiTheme="minorHAnsi"/>
        </w:rPr>
        <w:fldChar w:fldCharType="end"/>
      </w:r>
      <w:r w:rsidR="00964C8D">
        <w:rPr>
          <w:rFonts w:asciiTheme="minorHAnsi" w:hAnsiTheme="minorHAnsi"/>
        </w:rPr>
        <w:t>”.</w:t>
      </w:r>
    </w:p>
    <w:p w14:paraId="1A42EBFF" w14:textId="77777777" w:rsidR="00E27F01" w:rsidRPr="00C00000" w:rsidRDefault="00E27F01" w:rsidP="007C11C2">
      <w:pPr>
        <w:pStyle w:val="ListParagraph"/>
        <w:spacing w:line="276" w:lineRule="auto"/>
        <w:ind w:left="873" w:right="28"/>
        <w:rPr>
          <w:rFonts w:asciiTheme="minorHAnsi" w:hAnsiTheme="minorHAnsi"/>
        </w:rPr>
      </w:pPr>
    </w:p>
    <w:p w14:paraId="7FD12974" w14:textId="4F1A752A" w:rsidR="00630987" w:rsidRPr="00E9607E" w:rsidRDefault="00630987" w:rsidP="001F7E6F">
      <w:pPr>
        <w:pStyle w:val="Heading3"/>
      </w:pPr>
      <w:bookmarkStart w:id="1616" w:name="_Toc33602846"/>
      <w:r w:rsidRPr="00E9607E">
        <w:t>Obligation on court</w:t>
      </w:r>
      <w:bookmarkEnd w:id="1616"/>
    </w:p>
    <w:p w14:paraId="16303596" w14:textId="77777777" w:rsidR="000D7F13" w:rsidRPr="00C00000" w:rsidRDefault="000D7F13" w:rsidP="001F7E6F">
      <w:pPr>
        <w:pStyle w:val="NormalIndent"/>
        <w:keepNext/>
        <w:spacing w:line="276" w:lineRule="auto"/>
        <w:rPr>
          <w:rFonts w:asciiTheme="minorHAnsi" w:hAnsiTheme="minorHAnsi"/>
        </w:rPr>
      </w:pPr>
    </w:p>
    <w:p w14:paraId="4058785B" w14:textId="5548F448" w:rsidR="00520D48" w:rsidRPr="00C00000" w:rsidRDefault="00690F81" w:rsidP="00520D48">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a person is released by order under s 20(1)(a) of the </w:t>
      </w:r>
      <w:r w:rsidRPr="00EB7F1E">
        <w:rPr>
          <w:rFonts w:asciiTheme="minorHAnsi" w:hAnsiTheme="minorHAnsi"/>
          <w:i/>
          <w:iCs/>
        </w:rPr>
        <w:t>Crimes Act 1914</w:t>
      </w:r>
      <w:r>
        <w:rPr>
          <w:rFonts w:asciiTheme="minorHAnsi" w:hAnsiTheme="minorHAnsi"/>
        </w:rPr>
        <w:t xml:space="preserve"> (Cth), t</w:t>
      </w:r>
      <w:r w:rsidR="00520D48" w:rsidRPr="00C00000">
        <w:rPr>
          <w:rFonts w:asciiTheme="minorHAnsi" w:hAnsiTheme="minorHAnsi"/>
        </w:rPr>
        <w:t xml:space="preserve">he court must: </w:t>
      </w:r>
    </w:p>
    <w:p w14:paraId="1D0E1354" w14:textId="03AF83A7" w:rsidR="00520D48" w:rsidRPr="00C00000" w:rsidRDefault="00690F81" w:rsidP="00520D48">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before making the order, </w:t>
      </w:r>
      <w:r w:rsidR="00520D48" w:rsidRPr="00C00000">
        <w:rPr>
          <w:rFonts w:asciiTheme="minorHAnsi" w:hAnsiTheme="minorHAnsi"/>
        </w:rPr>
        <w:t xml:space="preserve">explain or cause to be explained the purpose </w:t>
      </w:r>
      <w:r w:rsidR="00520D48">
        <w:rPr>
          <w:rFonts w:asciiTheme="minorHAnsi" w:hAnsiTheme="minorHAnsi"/>
        </w:rPr>
        <w:t xml:space="preserve">and effect </w:t>
      </w:r>
      <w:r w:rsidR="00520D48" w:rsidRPr="00C00000">
        <w:rPr>
          <w:rFonts w:asciiTheme="minorHAnsi" w:hAnsiTheme="minorHAnsi"/>
        </w:rPr>
        <w:t xml:space="preserve">of the order, the consequences which may follow if it is not complied with and that the </w:t>
      </w:r>
      <w:r w:rsidR="00520D48">
        <w:rPr>
          <w:rFonts w:asciiTheme="minorHAnsi" w:hAnsiTheme="minorHAnsi"/>
        </w:rPr>
        <w:t>recognizance</w:t>
      </w:r>
      <w:r w:rsidR="00520D48" w:rsidRPr="00C00000">
        <w:rPr>
          <w:rFonts w:asciiTheme="minorHAnsi" w:hAnsiTheme="minorHAnsi"/>
        </w:rPr>
        <w:t xml:space="preserve"> may be discharged or varied under s 20AA</w:t>
      </w:r>
      <w:r w:rsidR="00520D48">
        <w:rPr>
          <w:rFonts w:asciiTheme="minorHAnsi" w:hAnsiTheme="minorHAnsi"/>
        </w:rPr>
        <w:t xml:space="preserve"> (s </w:t>
      </w:r>
      <w:r>
        <w:rPr>
          <w:rFonts w:asciiTheme="minorHAnsi" w:hAnsiTheme="minorHAnsi"/>
        </w:rPr>
        <w:t>20</w:t>
      </w:r>
      <w:r w:rsidR="00520D48">
        <w:rPr>
          <w:rFonts w:asciiTheme="minorHAnsi" w:hAnsiTheme="minorHAnsi"/>
        </w:rPr>
        <w:t>(2)); and</w:t>
      </w:r>
    </w:p>
    <w:p w14:paraId="40082FF1" w14:textId="37E2FA06" w:rsidR="00520D48" w:rsidRPr="00C00000" w:rsidRDefault="00520D48" w:rsidP="00520D48">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provide a copy of the order to the offender</w:t>
      </w:r>
      <w:r>
        <w:rPr>
          <w:rFonts w:asciiTheme="minorHAnsi" w:hAnsiTheme="minorHAnsi"/>
        </w:rPr>
        <w:t xml:space="preserve"> </w:t>
      </w:r>
      <w:r w:rsidR="00384370">
        <w:rPr>
          <w:rFonts w:asciiTheme="minorHAnsi" w:hAnsiTheme="minorHAnsi"/>
        </w:rPr>
        <w:t xml:space="preserve">as soon as practicable </w:t>
      </w:r>
      <w:r>
        <w:rPr>
          <w:rFonts w:asciiTheme="minorHAnsi" w:hAnsiTheme="minorHAnsi"/>
        </w:rPr>
        <w:t xml:space="preserve">(s </w:t>
      </w:r>
      <w:r w:rsidR="00690F81">
        <w:rPr>
          <w:rFonts w:asciiTheme="minorHAnsi" w:hAnsiTheme="minorHAnsi"/>
        </w:rPr>
        <w:t>20</w:t>
      </w:r>
      <w:r>
        <w:rPr>
          <w:rFonts w:asciiTheme="minorHAnsi" w:hAnsiTheme="minorHAnsi"/>
        </w:rPr>
        <w:t>(4)).</w:t>
      </w:r>
    </w:p>
    <w:p w14:paraId="152413C2" w14:textId="77777777" w:rsidR="00520D48" w:rsidRPr="00C00000" w:rsidRDefault="00520D48" w:rsidP="00520D48">
      <w:pPr>
        <w:pStyle w:val="ListParagraph"/>
        <w:spacing w:line="276" w:lineRule="auto"/>
        <w:ind w:left="873" w:right="28"/>
        <w:rPr>
          <w:rFonts w:asciiTheme="minorHAnsi" w:hAnsiTheme="minorHAnsi"/>
        </w:rPr>
      </w:pPr>
    </w:p>
    <w:p w14:paraId="3949F40C" w14:textId="7B9789C7" w:rsidR="00CE4054" w:rsidRPr="00E9607E" w:rsidRDefault="00CE4054" w:rsidP="001F7E6F">
      <w:pPr>
        <w:pStyle w:val="Heading3"/>
      </w:pPr>
      <w:bookmarkStart w:id="1617" w:name="_Toc13551722"/>
      <w:bookmarkStart w:id="1618" w:name="_Toc13737499"/>
      <w:bookmarkStart w:id="1619" w:name="_Toc13737914"/>
      <w:bookmarkStart w:id="1620" w:name="_Toc25308472"/>
      <w:bookmarkStart w:id="1621" w:name="_Toc13551723"/>
      <w:bookmarkStart w:id="1622" w:name="_Toc13737500"/>
      <w:bookmarkStart w:id="1623" w:name="_Toc13737915"/>
      <w:bookmarkStart w:id="1624" w:name="_Toc25308473"/>
      <w:bookmarkStart w:id="1625" w:name="_Toc33602847"/>
      <w:bookmarkEnd w:id="1617"/>
      <w:bookmarkEnd w:id="1618"/>
      <w:bookmarkEnd w:id="1619"/>
      <w:bookmarkEnd w:id="1620"/>
      <w:bookmarkEnd w:id="1621"/>
      <w:bookmarkEnd w:id="1622"/>
      <w:bookmarkEnd w:id="1623"/>
      <w:bookmarkEnd w:id="1624"/>
      <w:r w:rsidRPr="00E9607E">
        <w:t>Breach action –</w:t>
      </w:r>
      <w:r w:rsidR="006300C6">
        <w:t xml:space="preserve"> </w:t>
      </w:r>
      <w:r w:rsidR="00885EFD" w:rsidRPr="00885EFD">
        <w:rPr>
          <w:i/>
        </w:rPr>
        <w:t>Crimes Act 1914</w:t>
      </w:r>
      <w:r w:rsidR="00DA5BD4">
        <w:t>,</w:t>
      </w:r>
      <w:r w:rsidR="00DA5BD4" w:rsidRPr="00DA5BD4">
        <w:t xml:space="preserve"> </w:t>
      </w:r>
      <w:r w:rsidR="00DA5BD4" w:rsidRPr="00E9607E">
        <w:t>s 20A(1A)</w:t>
      </w:r>
      <w:bookmarkEnd w:id="1625"/>
    </w:p>
    <w:p w14:paraId="6524337E" w14:textId="77777777" w:rsidR="000D7F13" w:rsidRPr="00C00000" w:rsidRDefault="000D7F13" w:rsidP="001F7E6F">
      <w:pPr>
        <w:pStyle w:val="NormalIndent"/>
        <w:keepNext/>
        <w:spacing w:line="276" w:lineRule="auto"/>
        <w:rPr>
          <w:rFonts w:asciiTheme="minorHAnsi" w:hAnsiTheme="minorHAnsi"/>
        </w:rPr>
      </w:pPr>
    </w:p>
    <w:p w14:paraId="38D85F63" w14:textId="3BA4E1FD" w:rsidR="00CE4054" w:rsidRPr="00C00000" w:rsidRDefault="00CE4054"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Breach action </w:t>
      </w:r>
      <w:r w:rsidR="00320EC3">
        <w:rPr>
          <w:rFonts w:asciiTheme="minorHAnsi" w:hAnsiTheme="minorHAnsi"/>
        </w:rPr>
        <w:t>may only</w:t>
      </w:r>
      <w:r w:rsidRPr="00C00000">
        <w:rPr>
          <w:rFonts w:asciiTheme="minorHAnsi" w:hAnsiTheme="minorHAnsi"/>
        </w:rPr>
        <w:t xml:space="preserve"> be taken before the end of the period of the bond if the breach involves a failure to comply with a condition of an order other than a failure constituted by the commission by the person of an offence.  Where the breach is occasioned by further offending</w:t>
      </w:r>
      <w:r w:rsidR="00320EC3">
        <w:rPr>
          <w:rFonts w:asciiTheme="minorHAnsi" w:hAnsiTheme="minorHAnsi"/>
        </w:rPr>
        <w:t>,</w:t>
      </w:r>
      <w:r w:rsidRPr="00C00000">
        <w:rPr>
          <w:rFonts w:asciiTheme="minorHAnsi" w:hAnsiTheme="minorHAnsi"/>
        </w:rPr>
        <w:t xml:space="preserve"> breach action can be taken </w:t>
      </w:r>
      <w:r w:rsidR="00264FA2">
        <w:rPr>
          <w:rFonts w:asciiTheme="minorHAnsi" w:hAnsiTheme="minorHAnsi"/>
        </w:rPr>
        <w:t xml:space="preserve">either within or </w:t>
      </w:r>
      <w:r w:rsidRPr="00C00000">
        <w:rPr>
          <w:rFonts w:asciiTheme="minorHAnsi" w:hAnsiTheme="minorHAnsi"/>
        </w:rPr>
        <w:t>outside the period of the bond.</w:t>
      </w:r>
      <w:r w:rsidR="00DC2383" w:rsidRPr="00C00000">
        <w:rPr>
          <w:rStyle w:val="Style"/>
          <w:rFonts w:asciiTheme="minorHAnsi" w:hAnsiTheme="minorHAnsi"/>
        </w:rPr>
        <w:footnoteReference w:id="626"/>
      </w:r>
    </w:p>
    <w:p w14:paraId="5FD0210B" w14:textId="77777777" w:rsidR="00CE4054" w:rsidRPr="00C00000" w:rsidRDefault="00CE4054" w:rsidP="007C11C2">
      <w:pPr>
        <w:pStyle w:val="ListParagraph"/>
        <w:tabs>
          <w:tab w:val="left" w:pos="426"/>
          <w:tab w:val="left" w:pos="709"/>
          <w:tab w:val="left" w:pos="851"/>
        </w:tabs>
        <w:spacing w:line="276" w:lineRule="auto"/>
        <w:ind w:left="567" w:right="-1" w:hanging="567"/>
        <w:rPr>
          <w:rFonts w:asciiTheme="minorHAnsi" w:hAnsiTheme="minorHAnsi"/>
        </w:rPr>
      </w:pPr>
    </w:p>
    <w:p w14:paraId="4E909928" w14:textId="18D4416E" w:rsidR="00CE4054" w:rsidRPr="00C00000" w:rsidRDefault="00CE4054"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Breach action is initiated by summons or information and </w:t>
      </w:r>
      <w:r w:rsidR="0065508B" w:rsidRPr="00C00000">
        <w:rPr>
          <w:rFonts w:asciiTheme="minorHAnsi" w:hAnsiTheme="minorHAnsi"/>
        </w:rPr>
        <w:t xml:space="preserve">a </w:t>
      </w:r>
      <w:r w:rsidRPr="00C00000">
        <w:rPr>
          <w:rFonts w:asciiTheme="minorHAnsi" w:hAnsiTheme="minorHAnsi"/>
        </w:rPr>
        <w:t xml:space="preserve">warrant that can only be issued by a </w:t>
      </w:r>
      <w:r w:rsidR="0065508B" w:rsidRPr="00C00000">
        <w:rPr>
          <w:rFonts w:asciiTheme="minorHAnsi" w:hAnsiTheme="minorHAnsi"/>
        </w:rPr>
        <w:t xml:space="preserve">Magistrate pursuant to s 20AC of the </w:t>
      </w:r>
      <w:r w:rsidR="00885EFD" w:rsidRPr="00885EFD">
        <w:rPr>
          <w:rFonts w:asciiTheme="minorHAnsi" w:hAnsiTheme="minorHAnsi"/>
          <w:i/>
        </w:rPr>
        <w:t>Crimes Act 1914</w:t>
      </w:r>
      <w:r w:rsidR="0065508B" w:rsidRPr="00C00000">
        <w:rPr>
          <w:rFonts w:asciiTheme="minorHAnsi" w:hAnsiTheme="minorHAnsi"/>
        </w:rPr>
        <w:t>.</w:t>
      </w:r>
    </w:p>
    <w:p w14:paraId="1C507E88" w14:textId="77777777" w:rsidR="00CE4054" w:rsidRPr="00C00000" w:rsidRDefault="00CE4054" w:rsidP="007C11C2">
      <w:pPr>
        <w:pStyle w:val="ListParagraph"/>
        <w:tabs>
          <w:tab w:val="left" w:pos="567"/>
          <w:tab w:val="left" w:pos="709"/>
          <w:tab w:val="left" w:pos="851"/>
        </w:tabs>
        <w:spacing w:line="276" w:lineRule="auto"/>
        <w:ind w:left="567" w:right="-1" w:hanging="567"/>
        <w:rPr>
          <w:rFonts w:asciiTheme="minorHAnsi" w:hAnsiTheme="minorHAnsi"/>
        </w:rPr>
      </w:pPr>
    </w:p>
    <w:p w14:paraId="5712E991" w14:textId="77777777" w:rsidR="00CE4054" w:rsidRPr="00C00000" w:rsidRDefault="00CE4054"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Where the court is satisfied that the person has without reasonable excuse failed to comply with a condition the sentencing options are set out in s 20A(5)(b).  They are:</w:t>
      </w:r>
    </w:p>
    <w:p w14:paraId="45C254E4" w14:textId="0536B6E4" w:rsidR="00A3517C" w:rsidRPr="00C00000" w:rsidRDefault="00A3517C"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continue the order and impose a pecuniary penalty not exceeding </w:t>
      </w:r>
      <w:r w:rsidR="003130FB">
        <w:rPr>
          <w:rFonts w:asciiTheme="minorHAnsi" w:hAnsiTheme="minorHAnsi"/>
        </w:rPr>
        <w:t>10 penalty units</w:t>
      </w:r>
      <w:r w:rsidRPr="00C00000">
        <w:rPr>
          <w:rFonts w:asciiTheme="minorHAnsi" w:hAnsiTheme="minorHAnsi"/>
        </w:rPr>
        <w:t>;</w:t>
      </w:r>
    </w:p>
    <w:p w14:paraId="5D2ED387" w14:textId="27FE6AD0" w:rsidR="00A3517C" w:rsidRPr="00C00000" w:rsidRDefault="00A3517C"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revoke the order and deal with the person as if no order had been made; or</w:t>
      </w:r>
    </w:p>
    <w:p w14:paraId="09CF2698" w14:textId="77777777" w:rsidR="00A3517C" w:rsidRPr="00C00000" w:rsidRDefault="00A3517C"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take no action.</w:t>
      </w:r>
    </w:p>
    <w:p w14:paraId="37470CEF" w14:textId="4A0665D1" w:rsidR="001540E4" w:rsidRDefault="0041533A" w:rsidP="0041533A">
      <w:pPr>
        <w:pStyle w:val="BlockText"/>
        <w:tabs>
          <w:tab w:val="clear" w:pos="426"/>
          <w:tab w:val="clear" w:pos="993"/>
          <w:tab w:val="left" w:pos="567"/>
          <w:tab w:val="left" w:pos="709"/>
          <w:tab w:val="left" w:pos="851"/>
        </w:tabs>
        <w:spacing w:before="0" w:line="276" w:lineRule="auto"/>
        <w:ind w:left="576" w:right="-1" w:firstLine="0"/>
        <w:jc w:val="both"/>
        <w:rPr>
          <w:rFonts w:asciiTheme="minorHAnsi" w:hAnsiTheme="minorHAnsi"/>
        </w:rPr>
      </w:pPr>
      <w:r w:rsidRPr="00C00000">
        <w:rPr>
          <w:rFonts w:asciiTheme="minorHAnsi" w:hAnsiTheme="minorHAnsi"/>
        </w:rPr>
        <w:t>A person is not to be imprisoned for failure to pay an amount of reparation or costs as a condition of a bond</w:t>
      </w:r>
      <w:r>
        <w:rPr>
          <w:rFonts w:asciiTheme="minorHAnsi" w:hAnsiTheme="minorHAnsi"/>
        </w:rPr>
        <w:t>:</w:t>
      </w:r>
      <w:r w:rsidRPr="00C00000">
        <w:rPr>
          <w:rFonts w:asciiTheme="minorHAnsi" w:hAnsiTheme="minorHAnsi"/>
        </w:rPr>
        <w:t xml:space="preserve"> s 20(2A)</w:t>
      </w:r>
      <w:r>
        <w:rPr>
          <w:rFonts w:asciiTheme="minorHAnsi" w:hAnsiTheme="minorHAnsi"/>
        </w:rPr>
        <w:t>.</w:t>
      </w:r>
    </w:p>
    <w:p w14:paraId="4A0F24E1" w14:textId="0772B4BF" w:rsidR="00E206BB" w:rsidRDefault="00E206BB">
      <w:pPr>
        <w:rPr>
          <w:rFonts w:asciiTheme="minorHAnsi" w:hAnsiTheme="minorHAnsi"/>
          <w:sz w:val="26"/>
          <w:szCs w:val="26"/>
        </w:rPr>
      </w:pPr>
      <w:r>
        <w:rPr>
          <w:rFonts w:asciiTheme="minorHAnsi" w:hAnsiTheme="minorHAnsi"/>
          <w:sz w:val="26"/>
          <w:szCs w:val="26"/>
        </w:rPr>
        <w:br w:type="page"/>
      </w:r>
    </w:p>
    <w:p w14:paraId="3BC7F249" w14:textId="24E4154E" w:rsidR="008E5DEA" w:rsidRDefault="008B3A92" w:rsidP="001F7E6F">
      <w:pPr>
        <w:pStyle w:val="Heading2"/>
      </w:pPr>
      <w:bookmarkStart w:id="1626" w:name="_Toc11692767"/>
      <w:bookmarkStart w:id="1627" w:name="_Toc11773273"/>
      <w:bookmarkStart w:id="1628" w:name="_Toc11827075"/>
      <w:bookmarkStart w:id="1629" w:name="_Toc11833783"/>
      <w:bookmarkStart w:id="1630" w:name="_Toc11848178"/>
      <w:bookmarkStart w:id="1631" w:name="_Toc11851835"/>
      <w:bookmarkStart w:id="1632" w:name="_Toc12608668"/>
      <w:bookmarkStart w:id="1633" w:name="_Toc12706623"/>
      <w:bookmarkStart w:id="1634" w:name="_Toc12860559"/>
      <w:bookmarkStart w:id="1635" w:name="_Toc12862128"/>
      <w:bookmarkStart w:id="1636" w:name="_Toc12864174"/>
      <w:bookmarkStart w:id="1637" w:name="_Toc13551725"/>
      <w:bookmarkStart w:id="1638" w:name="_Toc13737502"/>
      <w:bookmarkStart w:id="1639" w:name="_Toc13737917"/>
      <w:bookmarkStart w:id="1640" w:name="_Toc25308475"/>
      <w:bookmarkStart w:id="1641" w:name="_Toc33602848"/>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r w:rsidRPr="00C00000">
        <w:t>Fine/</w:t>
      </w:r>
      <w:r w:rsidR="00007FDA" w:rsidRPr="00C00000">
        <w:t xml:space="preserve">pecuniary </w:t>
      </w:r>
      <w:r w:rsidR="00191D3F" w:rsidRPr="00C00000">
        <w:t>penalty</w:t>
      </w:r>
      <w:bookmarkEnd w:id="1641"/>
    </w:p>
    <w:p w14:paraId="00A69C9C" w14:textId="77777777" w:rsidR="00191D3F" w:rsidRPr="00C00000" w:rsidRDefault="00191D3F" w:rsidP="001F7E6F">
      <w:pPr>
        <w:pStyle w:val="BlockText"/>
        <w:keepNext/>
        <w:tabs>
          <w:tab w:val="clear" w:pos="426"/>
          <w:tab w:val="clear" w:pos="993"/>
          <w:tab w:val="left" w:pos="567"/>
          <w:tab w:val="left" w:pos="709"/>
          <w:tab w:val="left" w:pos="851"/>
        </w:tabs>
        <w:spacing w:before="0" w:line="276" w:lineRule="auto"/>
        <w:ind w:left="873" w:right="0" w:firstLine="0"/>
        <w:rPr>
          <w:rFonts w:asciiTheme="minorHAnsi" w:hAnsiTheme="minorHAnsi"/>
        </w:rPr>
      </w:pPr>
    </w:p>
    <w:p w14:paraId="12D2C818" w14:textId="7BBD31B3" w:rsidR="00651668" w:rsidRPr="00C00000" w:rsidRDefault="00CB4C7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w:t>
      </w:r>
      <w:r w:rsidR="00651668" w:rsidRPr="00C00000">
        <w:rPr>
          <w:rFonts w:asciiTheme="minorHAnsi" w:hAnsiTheme="minorHAnsi"/>
        </w:rPr>
        <w:t xml:space="preserve">reference </w:t>
      </w:r>
      <w:r>
        <w:rPr>
          <w:rFonts w:asciiTheme="minorHAnsi" w:hAnsiTheme="minorHAnsi"/>
        </w:rPr>
        <w:t xml:space="preserve">in </w:t>
      </w:r>
      <w:r w:rsidRPr="00C00000">
        <w:rPr>
          <w:rFonts w:asciiTheme="minorHAnsi" w:hAnsiTheme="minorHAnsi"/>
        </w:rPr>
        <w:t xml:space="preserve">the </w:t>
      </w:r>
      <w:r w:rsidR="00885EFD" w:rsidRPr="00885EFD">
        <w:rPr>
          <w:rFonts w:asciiTheme="minorHAnsi" w:hAnsiTheme="minorHAnsi"/>
          <w:i/>
        </w:rPr>
        <w:t>Crimes Act 1914</w:t>
      </w:r>
      <w:r w:rsidRPr="00C00000">
        <w:rPr>
          <w:rFonts w:asciiTheme="minorHAnsi" w:hAnsiTheme="minorHAnsi"/>
        </w:rPr>
        <w:t xml:space="preserve"> (Cth) </w:t>
      </w:r>
      <w:r w:rsidR="00651668" w:rsidRPr="00C00000">
        <w:rPr>
          <w:rFonts w:asciiTheme="minorHAnsi" w:hAnsiTheme="minorHAnsi"/>
        </w:rPr>
        <w:t xml:space="preserve">to a </w:t>
      </w:r>
      <w:r w:rsidR="00F9432A" w:rsidRPr="00C00000">
        <w:rPr>
          <w:rFonts w:asciiTheme="minorHAnsi" w:hAnsiTheme="minorHAnsi"/>
        </w:rPr>
        <w:t>“</w:t>
      </w:r>
      <w:r w:rsidR="00651668" w:rsidRPr="00C00000">
        <w:rPr>
          <w:rFonts w:asciiTheme="minorHAnsi" w:hAnsiTheme="minorHAnsi"/>
        </w:rPr>
        <w:t>fine</w:t>
      </w:r>
      <w:r w:rsidR="00F9432A" w:rsidRPr="00C00000">
        <w:rPr>
          <w:rFonts w:asciiTheme="minorHAnsi" w:hAnsiTheme="minorHAnsi"/>
        </w:rPr>
        <w:t>”</w:t>
      </w:r>
      <w:r w:rsidR="00651668" w:rsidRPr="00C00000">
        <w:rPr>
          <w:rFonts w:asciiTheme="minorHAnsi" w:hAnsiTheme="minorHAnsi"/>
        </w:rPr>
        <w:t xml:space="preserve"> </w:t>
      </w:r>
      <w:r>
        <w:rPr>
          <w:rFonts w:asciiTheme="minorHAnsi" w:hAnsiTheme="minorHAnsi"/>
        </w:rPr>
        <w:t xml:space="preserve">is </w:t>
      </w:r>
      <w:r w:rsidR="00651668" w:rsidRPr="00C00000">
        <w:rPr>
          <w:rFonts w:asciiTheme="minorHAnsi" w:hAnsiTheme="minorHAnsi"/>
        </w:rPr>
        <w:t xml:space="preserve">defined in s 3(2) </w:t>
      </w:r>
      <w:r>
        <w:rPr>
          <w:rFonts w:asciiTheme="minorHAnsi" w:hAnsiTheme="minorHAnsi"/>
        </w:rPr>
        <w:t xml:space="preserve">of the Act </w:t>
      </w:r>
      <w:r w:rsidR="00651668" w:rsidRPr="00C00000">
        <w:rPr>
          <w:rFonts w:asciiTheme="minorHAnsi" w:hAnsiTheme="minorHAnsi"/>
        </w:rPr>
        <w:t>to include a reference to a pecuniary penalty other than:</w:t>
      </w:r>
    </w:p>
    <w:p w14:paraId="78AB5C9E" w14:textId="77777777" w:rsidR="00651668" w:rsidRPr="00C00000" w:rsidRDefault="00651668" w:rsidP="00DB1D35">
      <w:pPr>
        <w:pStyle w:val="BlockText"/>
        <w:numPr>
          <w:ilvl w:val="0"/>
          <w:numId w:val="10"/>
        </w:numPr>
        <w:tabs>
          <w:tab w:val="clear" w:pos="426"/>
          <w:tab w:val="clear" w:pos="993"/>
        </w:tabs>
        <w:spacing w:before="0" w:line="276" w:lineRule="auto"/>
        <w:ind w:left="851" w:right="-1" w:hanging="425"/>
        <w:jc w:val="both"/>
        <w:rPr>
          <w:rFonts w:asciiTheme="minorHAnsi" w:hAnsiTheme="minorHAnsi"/>
        </w:rPr>
      </w:pPr>
      <w:r w:rsidRPr="00C00000">
        <w:rPr>
          <w:rFonts w:asciiTheme="minorHAnsi" w:hAnsiTheme="minorHAnsi"/>
        </w:rPr>
        <w:t xml:space="preserve">a pecuniary penalty imposed under Division 3 of Part 13 of the </w:t>
      </w:r>
      <w:r w:rsidRPr="00C00000">
        <w:rPr>
          <w:rFonts w:asciiTheme="minorHAnsi" w:hAnsiTheme="minorHAnsi"/>
          <w:i/>
        </w:rPr>
        <w:t>Customs Act 1901</w:t>
      </w:r>
      <w:r w:rsidRPr="00C00000">
        <w:rPr>
          <w:rFonts w:asciiTheme="minorHAnsi" w:hAnsiTheme="minorHAnsi"/>
        </w:rPr>
        <w:t>,</w:t>
      </w:r>
    </w:p>
    <w:p w14:paraId="4F459323" w14:textId="77777777" w:rsidR="00651668" w:rsidRPr="00C00000" w:rsidRDefault="00651668" w:rsidP="00EB7F1E">
      <w:pPr>
        <w:pStyle w:val="BlockText"/>
        <w:numPr>
          <w:ilvl w:val="0"/>
          <w:numId w:val="10"/>
        </w:numPr>
        <w:tabs>
          <w:tab w:val="clear" w:pos="426"/>
          <w:tab w:val="clear" w:pos="993"/>
        </w:tabs>
        <w:spacing w:before="0" w:line="276" w:lineRule="auto"/>
        <w:ind w:left="851" w:right="-1" w:hanging="425"/>
        <w:jc w:val="both"/>
        <w:rPr>
          <w:rFonts w:asciiTheme="minorHAnsi" w:hAnsiTheme="minorHAnsi"/>
        </w:rPr>
      </w:pPr>
      <w:r w:rsidRPr="00C00000">
        <w:rPr>
          <w:rFonts w:asciiTheme="minorHAnsi" w:hAnsiTheme="minorHAnsi"/>
        </w:rPr>
        <w:t xml:space="preserve">a pecuniary penalty order under the </w:t>
      </w:r>
      <w:r w:rsidRPr="00C00000">
        <w:rPr>
          <w:rFonts w:asciiTheme="minorHAnsi" w:hAnsiTheme="minorHAnsi"/>
          <w:i/>
        </w:rPr>
        <w:t>Proceeds of Crime Act 1987</w:t>
      </w:r>
      <w:r w:rsidRPr="00C00000">
        <w:rPr>
          <w:rFonts w:asciiTheme="minorHAnsi" w:hAnsiTheme="minorHAnsi"/>
        </w:rPr>
        <w:t xml:space="preserve"> (Cth), and from 1 January 2003, a pecuniary penalty order or a literary proceeds order under the </w:t>
      </w:r>
      <w:r w:rsidRPr="00C00000">
        <w:rPr>
          <w:rFonts w:asciiTheme="minorHAnsi" w:hAnsiTheme="minorHAnsi"/>
          <w:i/>
        </w:rPr>
        <w:t>Proceeds of Crime Act 2002</w:t>
      </w:r>
      <w:r w:rsidRPr="00C00000">
        <w:rPr>
          <w:rFonts w:asciiTheme="minorHAnsi" w:hAnsiTheme="minorHAnsi"/>
        </w:rPr>
        <w:t xml:space="preserve"> (Cth); or</w:t>
      </w:r>
    </w:p>
    <w:p w14:paraId="68805B5A" w14:textId="77777777" w:rsidR="00651668" w:rsidRPr="00C00000" w:rsidRDefault="00651668" w:rsidP="00EB7F1E">
      <w:pPr>
        <w:pStyle w:val="BlockText"/>
        <w:numPr>
          <w:ilvl w:val="0"/>
          <w:numId w:val="10"/>
        </w:numPr>
        <w:tabs>
          <w:tab w:val="clear" w:pos="426"/>
          <w:tab w:val="clear" w:pos="993"/>
        </w:tabs>
        <w:spacing w:before="0" w:line="276" w:lineRule="auto"/>
        <w:ind w:left="851" w:right="-1" w:hanging="425"/>
        <w:jc w:val="both"/>
        <w:rPr>
          <w:rFonts w:asciiTheme="minorHAnsi" w:hAnsiTheme="minorHAnsi"/>
        </w:rPr>
      </w:pPr>
      <w:r w:rsidRPr="00C00000">
        <w:rPr>
          <w:rFonts w:asciiTheme="minorHAnsi" w:hAnsiTheme="minorHAnsi"/>
        </w:rPr>
        <w:t xml:space="preserve">a superannuation order made under the </w:t>
      </w:r>
      <w:r w:rsidRPr="00C00000">
        <w:rPr>
          <w:rFonts w:asciiTheme="minorHAnsi" w:hAnsiTheme="minorHAnsi"/>
          <w:i/>
        </w:rPr>
        <w:t>Australian Federal Police Act 1979</w:t>
      </w:r>
      <w:r w:rsidRPr="00C00000">
        <w:rPr>
          <w:rFonts w:asciiTheme="minorHAnsi" w:hAnsiTheme="minorHAnsi"/>
        </w:rPr>
        <w:t xml:space="preserve"> or the </w:t>
      </w:r>
      <w:r w:rsidRPr="00C00000">
        <w:rPr>
          <w:rFonts w:asciiTheme="minorHAnsi" w:hAnsiTheme="minorHAnsi"/>
          <w:i/>
        </w:rPr>
        <w:t>Crimes (Superannuation Benefits) Act 1989</w:t>
      </w:r>
      <w:r w:rsidRPr="00C00000">
        <w:rPr>
          <w:rFonts w:asciiTheme="minorHAnsi" w:hAnsiTheme="minorHAnsi"/>
        </w:rPr>
        <w:t xml:space="preserve"> (Cth).</w:t>
      </w:r>
    </w:p>
    <w:p w14:paraId="12C8DACC" w14:textId="77777777" w:rsidR="00E27F01" w:rsidRPr="00C00000" w:rsidRDefault="00E27F01" w:rsidP="007C11C2">
      <w:pPr>
        <w:pStyle w:val="BlockText"/>
        <w:tabs>
          <w:tab w:val="clear" w:pos="426"/>
          <w:tab w:val="clear" w:pos="993"/>
        </w:tabs>
        <w:spacing w:before="0" w:line="276" w:lineRule="auto"/>
        <w:ind w:left="1134" w:right="-1" w:firstLine="0"/>
        <w:jc w:val="both"/>
        <w:rPr>
          <w:rFonts w:asciiTheme="minorHAnsi" w:hAnsiTheme="minorHAnsi"/>
        </w:rPr>
      </w:pPr>
    </w:p>
    <w:p w14:paraId="3E7E7736" w14:textId="61DF13A5" w:rsidR="00651668" w:rsidRDefault="00651668" w:rsidP="001F7E6F">
      <w:pPr>
        <w:pStyle w:val="Heading3"/>
      </w:pPr>
      <w:bookmarkStart w:id="1642" w:name="_Toc33602849"/>
      <w:r w:rsidRPr="00E9607E">
        <w:t>Penalty unit</w:t>
      </w:r>
      <w:r w:rsidR="00047699" w:rsidRPr="00E9607E">
        <w:t xml:space="preserve"> value</w:t>
      </w:r>
      <w:bookmarkEnd w:id="1642"/>
    </w:p>
    <w:p w14:paraId="320FFA5E" w14:textId="77777777" w:rsidR="001F7E6F" w:rsidRPr="001F7E6F" w:rsidRDefault="001F7E6F" w:rsidP="001F7E6F">
      <w:pPr>
        <w:pStyle w:val="BlockText"/>
        <w:keepNext/>
        <w:tabs>
          <w:tab w:val="clear" w:pos="426"/>
          <w:tab w:val="clear" w:pos="993"/>
          <w:tab w:val="left" w:pos="567"/>
          <w:tab w:val="left" w:pos="709"/>
          <w:tab w:val="left" w:pos="851"/>
        </w:tabs>
        <w:spacing w:before="0" w:line="276" w:lineRule="auto"/>
        <w:ind w:left="873" w:right="0" w:firstLine="0"/>
        <w:rPr>
          <w:rFonts w:asciiTheme="minorHAnsi" w:hAnsiTheme="minorHAnsi"/>
        </w:rPr>
      </w:pPr>
    </w:p>
    <w:p w14:paraId="44F41E32" w14:textId="464A0129" w:rsidR="0059710D" w:rsidRPr="00C00000" w:rsidRDefault="00651668"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w:t>
      </w:r>
      <w:r w:rsidR="00885EFD" w:rsidRPr="00885EFD">
        <w:rPr>
          <w:rFonts w:asciiTheme="minorHAnsi" w:hAnsiTheme="minorHAnsi"/>
          <w:i/>
        </w:rPr>
        <w:t>Crimes Act 1914</w:t>
      </w:r>
      <w:r w:rsidRPr="00C00000">
        <w:rPr>
          <w:rFonts w:asciiTheme="minorHAnsi" w:hAnsiTheme="minorHAnsi"/>
        </w:rPr>
        <w:t xml:space="preserve"> (Cth) adopts a penalty unit system of describing the maximum permissible fine.  </w:t>
      </w:r>
      <w:r w:rsidR="00E073AF">
        <w:rPr>
          <w:rFonts w:asciiTheme="minorHAnsi" w:hAnsiTheme="minorHAnsi"/>
        </w:rPr>
        <w:t xml:space="preserve">Penalty unit is defined in s 4AAA of the Act.  </w:t>
      </w:r>
      <w:r w:rsidRPr="00C00000">
        <w:rPr>
          <w:rFonts w:asciiTheme="minorHAnsi" w:hAnsiTheme="minorHAnsi"/>
        </w:rPr>
        <w:t xml:space="preserve">A </w:t>
      </w:r>
      <w:r w:rsidRPr="00C00000">
        <w:rPr>
          <w:rFonts w:asciiTheme="minorHAnsi" w:hAnsiTheme="minorHAnsi"/>
          <w:i/>
        </w:rPr>
        <w:t>penalty unit</w:t>
      </w:r>
      <w:r w:rsidRPr="00C00000">
        <w:rPr>
          <w:rFonts w:asciiTheme="minorHAnsi" w:hAnsiTheme="minorHAnsi"/>
        </w:rPr>
        <w:t xml:space="preserve"> means</w:t>
      </w:r>
      <w:r w:rsidR="00B00A3F" w:rsidRPr="00C00000">
        <w:rPr>
          <w:rFonts w:asciiTheme="minorHAnsi" w:hAnsiTheme="minorHAnsi"/>
        </w:rPr>
        <w:t>:</w:t>
      </w:r>
    </w:p>
    <w:p w14:paraId="37D7471D" w14:textId="5C1E78EF" w:rsidR="00E073AF" w:rsidRDefault="00E073AF"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b/>
        </w:rPr>
        <w:t>$</w:t>
      </w:r>
      <w:r>
        <w:rPr>
          <w:rFonts w:asciiTheme="minorHAnsi" w:hAnsiTheme="minorHAnsi"/>
          <w:b/>
        </w:rPr>
        <w:t>210</w:t>
      </w:r>
      <w:r w:rsidRPr="00C00000">
        <w:rPr>
          <w:rFonts w:asciiTheme="minorHAnsi" w:hAnsiTheme="minorHAnsi"/>
        </w:rPr>
        <w:t xml:space="preserve"> for offences committed on or </w:t>
      </w:r>
      <w:r>
        <w:rPr>
          <w:rFonts w:asciiTheme="minorHAnsi" w:hAnsiTheme="minorHAnsi"/>
        </w:rPr>
        <w:t>after 1 July 2017</w:t>
      </w:r>
      <w:r w:rsidRPr="00C00000">
        <w:rPr>
          <w:rFonts w:asciiTheme="minorHAnsi" w:hAnsiTheme="minorHAnsi"/>
        </w:rPr>
        <w:t xml:space="preserve">; </w:t>
      </w:r>
    </w:p>
    <w:p w14:paraId="344D1551" w14:textId="1DB7ACEB" w:rsidR="00B00A3F" w:rsidRPr="00C00000" w:rsidRDefault="0065166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b/>
        </w:rPr>
        <w:t>$180</w:t>
      </w:r>
      <w:r w:rsidRPr="00C00000">
        <w:rPr>
          <w:rFonts w:asciiTheme="minorHAnsi" w:hAnsiTheme="minorHAnsi"/>
        </w:rPr>
        <w:t xml:space="preserve"> for offences committed </w:t>
      </w:r>
      <w:r w:rsidR="00E073AF">
        <w:rPr>
          <w:rFonts w:asciiTheme="minorHAnsi" w:hAnsiTheme="minorHAnsi"/>
        </w:rPr>
        <w:t xml:space="preserve">between </w:t>
      </w:r>
      <w:r w:rsidRPr="00C00000">
        <w:rPr>
          <w:rFonts w:asciiTheme="minorHAnsi" w:hAnsiTheme="minorHAnsi"/>
        </w:rPr>
        <w:t>31 July 2015</w:t>
      </w:r>
      <w:r w:rsidR="00E073AF">
        <w:rPr>
          <w:rFonts w:asciiTheme="minorHAnsi" w:hAnsiTheme="minorHAnsi"/>
        </w:rPr>
        <w:t xml:space="preserve"> and 30 June 2017</w:t>
      </w:r>
      <w:r w:rsidR="00B00A3F" w:rsidRPr="00C00000">
        <w:rPr>
          <w:rFonts w:asciiTheme="minorHAnsi" w:hAnsiTheme="minorHAnsi"/>
        </w:rPr>
        <w:t>;</w:t>
      </w:r>
      <w:r w:rsidRPr="00C00000">
        <w:rPr>
          <w:rFonts w:asciiTheme="minorHAnsi" w:hAnsiTheme="minorHAnsi"/>
        </w:rPr>
        <w:t xml:space="preserve"> </w:t>
      </w:r>
    </w:p>
    <w:p w14:paraId="48DCD51F" w14:textId="77777777" w:rsidR="00B00A3F" w:rsidRPr="00C00000" w:rsidRDefault="0065166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b/>
        </w:rPr>
        <w:t>$170</w:t>
      </w:r>
      <w:r w:rsidRPr="00C00000">
        <w:rPr>
          <w:rFonts w:asciiTheme="minorHAnsi" w:hAnsiTheme="minorHAnsi"/>
        </w:rPr>
        <w:t xml:space="preserve"> for offences committed between 28 December 2012  and 30 July 2015</w:t>
      </w:r>
      <w:r w:rsidR="00A05515" w:rsidRPr="00C00000">
        <w:rPr>
          <w:rFonts w:asciiTheme="minorHAnsi" w:hAnsiTheme="minorHAnsi"/>
        </w:rPr>
        <w:t>;</w:t>
      </w:r>
      <w:r w:rsidR="00FB5F0B" w:rsidRPr="00C00000">
        <w:rPr>
          <w:rStyle w:val="Style"/>
          <w:rFonts w:asciiTheme="minorHAnsi" w:hAnsiTheme="minorHAnsi"/>
        </w:rPr>
        <w:footnoteReference w:id="627"/>
      </w:r>
      <w:r w:rsidRPr="00C00000">
        <w:rPr>
          <w:rFonts w:asciiTheme="minorHAnsi" w:hAnsiTheme="minorHAnsi"/>
        </w:rPr>
        <w:t xml:space="preserve"> and </w:t>
      </w:r>
    </w:p>
    <w:p w14:paraId="33D00CC6" w14:textId="779D0F6C" w:rsidR="00651668" w:rsidRPr="00C00000" w:rsidRDefault="0065166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b/>
        </w:rPr>
        <w:t>$110</w:t>
      </w:r>
      <w:r w:rsidRPr="00C00000">
        <w:rPr>
          <w:rFonts w:asciiTheme="minorHAnsi" w:hAnsiTheme="minorHAnsi"/>
        </w:rPr>
        <w:t xml:space="preserve"> for offences commi</w:t>
      </w:r>
      <w:r w:rsidR="00E54149" w:rsidRPr="00C00000">
        <w:rPr>
          <w:rFonts w:asciiTheme="minorHAnsi" w:hAnsiTheme="minorHAnsi"/>
        </w:rPr>
        <w:t>tted between 7 April 1997 and 27</w:t>
      </w:r>
      <w:r w:rsidR="00431BC9">
        <w:rPr>
          <w:rFonts w:asciiTheme="minorHAnsi" w:hAnsiTheme="minorHAnsi"/>
        </w:rPr>
        <w:t xml:space="preserve"> December 2012.</w:t>
      </w:r>
    </w:p>
    <w:p w14:paraId="76DABF95" w14:textId="77777777" w:rsidR="00610F4F" w:rsidRDefault="00610F4F" w:rsidP="00610F4F">
      <w:pPr>
        <w:spacing w:line="276" w:lineRule="auto"/>
        <w:ind w:left="142"/>
        <w:rPr>
          <w:rFonts w:asciiTheme="minorHAnsi" w:hAnsiTheme="minorHAnsi"/>
        </w:rPr>
      </w:pPr>
    </w:p>
    <w:p w14:paraId="390954D6" w14:textId="08C7DFA0" w:rsidR="00E073AF" w:rsidRPr="00EB7F1E" w:rsidRDefault="00E073AF" w:rsidP="00EB7F1E">
      <w:pPr>
        <w:pStyle w:val="ListParagraph"/>
        <w:numPr>
          <w:ilvl w:val="0"/>
          <w:numId w:val="7"/>
        </w:numPr>
        <w:spacing w:line="276" w:lineRule="auto"/>
        <w:ind w:left="425" w:hanging="425"/>
        <w:contextualSpacing w:val="0"/>
        <w:rPr>
          <w:rFonts w:asciiTheme="minorHAnsi" w:hAnsiTheme="minorHAnsi"/>
        </w:rPr>
      </w:pPr>
      <w:r w:rsidRPr="00EB7F1E">
        <w:rPr>
          <w:rFonts w:asciiTheme="minorHAnsi" w:hAnsiTheme="minorHAnsi"/>
        </w:rPr>
        <w:t xml:space="preserve">The value of a penalty unit is subject to indexation under s 4AA(3) of the </w:t>
      </w:r>
      <w:r w:rsidR="00885EFD" w:rsidRPr="00EB7F1E">
        <w:rPr>
          <w:rFonts w:asciiTheme="minorHAnsi" w:hAnsiTheme="minorHAnsi"/>
          <w:i/>
        </w:rPr>
        <w:t>Crimes Act 1914</w:t>
      </w:r>
      <w:r w:rsidRPr="00EB7F1E">
        <w:rPr>
          <w:rFonts w:asciiTheme="minorHAnsi" w:hAnsiTheme="minorHAnsi"/>
        </w:rPr>
        <w:t>.</w:t>
      </w:r>
    </w:p>
    <w:p w14:paraId="0114FC55" w14:textId="77777777" w:rsidR="00E27F01" w:rsidRPr="00C00000" w:rsidRDefault="00E27F01" w:rsidP="007C11C2">
      <w:pPr>
        <w:pStyle w:val="BlockText"/>
        <w:tabs>
          <w:tab w:val="clear" w:pos="426"/>
          <w:tab w:val="clear" w:pos="993"/>
        </w:tabs>
        <w:spacing w:before="0" w:line="276" w:lineRule="auto"/>
        <w:ind w:left="1593" w:right="0" w:firstLine="0"/>
        <w:jc w:val="both"/>
        <w:rPr>
          <w:rFonts w:asciiTheme="minorHAnsi" w:hAnsiTheme="minorHAnsi"/>
        </w:rPr>
      </w:pPr>
    </w:p>
    <w:p w14:paraId="1D210772" w14:textId="5DD06F43" w:rsidR="00651668" w:rsidRPr="00E9607E" w:rsidRDefault="00E86E77" w:rsidP="001F7E6F">
      <w:pPr>
        <w:pStyle w:val="Heading3"/>
      </w:pPr>
      <w:bookmarkStart w:id="1643" w:name="_Toc33602850"/>
      <w:r w:rsidRPr="00E9607E">
        <w:t>Imprisonment</w:t>
      </w:r>
      <w:r w:rsidR="00651668" w:rsidRPr="00E9607E">
        <w:t xml:space="preserve"> </w:t>
      </w:r>
      <w:r w:rsidR="00B8740C" w:rsidRPr="00E9607E">
        <w:t xml:space="preserve">converted into a </w:t>
      </w:r>
      <w:r w:rsidR="00651668" w:rsidRPr="00E9607E">
        <w:t>fine formula</w:t>
      </w:r>
      <w:r w:rsidRPr="00E9607E">
        <w:t xml:space="preserve"> –</w:t>
      </w:r>
      <w:r w:rsidR="00007FDA">
        <w:t xml:space="preserve"> </w:t>
      </w:r>
      <w:r w:rsidR="00885EFD" w:rsidRPr="00885EFD">
        <w:rPr>
          <w:i/>
        </w:rPr>
        <w:t>Crimes Act 1914</w:t>
      </w:r>
      <w:r w:rsidR="00DA5BD4">
        <w:t>,</w:t>
      </w:r>
      <w:r w:rsidR="00DA5BD4" w:rsidRPr="00DA5BD4">
        <w:t xml:space="preserve"> </w:t>
      </w:r>
      <w:r w:rsidR="00DA5BD4" w:rsidRPr="00E9607E">
        <w:t>s 4B</w:t>
      </w:r>
      <w:bookmarkEnd w:id="1643"/>
    </w:p>
    <w:p w14:paraId="17276D98" w14:textId="77777777" w:rsidR="00FE081C" w:rsidRPr="00F40D81" w:rsidRDefault="00FE081C" w:rsidP="00F40D81">
      <w:pPr>
        <w:pStyle w:val="BlockText"/>
        <w:keepNext/>
        <w:tabs>
          <w:tab w:val="clear" w:pos="426"/>
          <w:tab w:val="clear" w:pos="993"/>
          <w:tab w:val="left" w:pos="567"/>
          <w:tab w:val="left" w:pos="709"/>
          <w:tab w:val="left" w:pos="851"/>
        </w:tabs>
        <w:spacing w:before="0" w:line="276" w:lineRule="auto"/>
        <w:ind w:left="873" w:right="0" w:firstLine="0"/>
        <w:rPr>
          <w:rFonts w:asciiTheme="minorHAnsi" w:hAnsiTheme="minorHAnsi"/>
        </w:rPr>
      </w:pPr>
    </w:p>
    <w:p w14:paraId="00A2F46D" w14:textId="141828A3" w:rsidR="003F2226" w:rsidRDefault="001D0B0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an offence is punishable by imprisonment only (that is, a fine is not specified as an alternative or additional penalty), s</w:t>
      </w:r>
      <w:r w:rsidR="00E86E77" w:rsidRPr="00C00000">
        <w:rPr>
          <w:rFonts w:asciiTheme="minorHAnsi" w:hAnsiTheme="minorHAnsi"/>
        </w:rPr>
        <w:t xml:space="preserve"> </w:t>
      </w:r>
      <w:r w:rsidR="00651668" w:rsidRPr="00C00000">
        <w:rPr>
          <w:rFonts w:asciiTheme="minorHAnsi" w:hAnsiTheme="minorHAnsi"/>
        </w:rPr>
        <w:t xml:space="preserve">4B of the </w:t>
      </w:r>
      <w:r w:rsidR="00885EFD" w:rsidRPr="00885EFD">
        <w:rPr>
          <w:rFonts w:asciiTheme="minorHAnsi" w:hAnsiTheme="minorHAnsi"/>
          <w:i/>
        </w:rPr>
        <w:t>Crimes Act 1914</w:t>
      </w:r>
      <w:r w:rsidR="00651668" w:rsidRPr="00C00000">
        <w:rPr>
          <w:rFonts w:asciiTheme="minorHAnsi" w:hAnsiTheme="minorHAnsi"/>
        </w:rPr>
        <w:t xml:space="preserve"> (Cth) permits the court to impose a pecuniary penalty, </w:t>
      </w:r>
      <w:r w:rsidR="003F2226" w:rsidRPr="00C00000">
        <w:rPr>
          <w:rFonts w:asciiTheme="minorHAnsi" w:hAnsiTheme="minorHAnsi"/>
        </w:rPr>
        <w:t>instead of or in addition to imprisonment</w:t>
      </w:r>
      <w:r w:rsidR="003F2226">
        <w:rPr>
          <w:rFonts w:asciiTheme="minorHAnsi" w:hAnsiTheme="minorHAnsi"/>
        </w:rPr>
        <w:t>, on a natural person who has been convicted of the offence</w:t>
      </w:r>
      <w:r w:rsidR="003F2226" w:rsidRPr="00C00000">
        <w:rPr>
          <w:rFonts w:asciiTheme="minorHAnsi" w:hAnsiTheme="minorHAnsi"/>
        </w:rPr>
        <w:t>.</w:t>
      </w:r>
      <w:r w:rsidR="003F2226" w:rsidRPr="00C00000">
        <w:rPr>
          <w:rStyle w:val="Style"/>
          <w:rFonts w:asciiTheme="minorHAnsi" w:hAnsiTheme="minorHAnsi"/>
        </w:rPr>
        <w:footnoteReference w:id="628"/>
      </w:r>
    </w:p>
    <w:p w14:paraId="14C895D6" w14:textId="1989CC8D" w:rsidR="003F2226" w:rsidRDefault="003F2226" w:rsidP="003F2226">
      <w:pPr>
        <w:pStyle w:val="BlockText"/>
        <w:tabs>
          <w:tab w:val="clear" w:pos="426"/>
          <w:tab w:val="clear" w:pos="993"/>
        </w:tabs>
        <w:spacing w:before="0" w:line="276" w:lineRule="auto"/>
        <w:ind w:right="0"/>
        <w:jc w:val="both"/>
        <w:rPr>
          <w:rFonts w:asciiTheme="minorHAnsi" w:hAnsiTheme="minorHAnsi"/>
        </w:rPr>
      </w:pPr>
    </w:p>
    <w:p w14:paraId="154B32C3" w14:textId="1B18DCE5" w:rsidR="001D0B0A" w:rsidRDefault="003F222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4B contains a </w:t>
      </w:r>
      <w:r w:rsidR="00651668" w:rsidRPr="00C00000">
        <w:rPr>
          <w:rFonts w:asciiTheme="minorHAnsi" w:hAnsiTheme="minorHAnsi"/>
        </w:rPr>
        <w:t xml:space="preserve">formula for calculating the maximum </w:t>
      </w:r>
      <w:r>
        <w:rPr>
          <w:rFonts w:asciiTheme="minorHAnsi" w:hAnsiTheme="minorHAnsi"/>
        </w:rPr>
        <w:t xml:space="preserve">fine, by reference to the number of penalty units.  The relevant number of penalty units </w:t>
      </w:r>
      <w:r w:rsidR="00651668" w:rsidRPr="00C00000">
        <w:rPr>
          <w:rFonts w:asciiTheme="minorHAnsi" w:hAnsiTheme="minorHAnsi"/>
        </w:rPr>
        <w:t xml:space="preserve">is the maximum term of imprisonment (expressed in months) multiplied by 5.  </w:t>
      </w:r>
      <w:r>
        <w:rPr>
          <w:rFonts w:asciiTheme="minorHAnsi" w:hAnsiTheme="minorHAnsi"/>
        </w:rPr>
        <w:t>For example, if the offence is punishable</w:t>
      </w:r>
      <w:r w:rsidR="00431BC9">
        <w:rPr>
          <w:rFonts w:asciiTheme="minorHAnsi" w:hAnsiTheme="minorHAnsi"/>
        </w:rPr>
        <w:t xml:space="preserve"> by imprisonment for 12 months, the maximum fine is 60 penalty units.</w:t>
      </w:r>
    </w:p>
    <w:p w14:paraId="582AD0C4" w14:textId="77777777" w:rsidR="001D0B0A" w:rsidRDefault="001D0B0A" w:rsidP="001D0B0A">
      <w:pPr>
        <w:pStyle w:val="BlockText"/>
        <w:tabs>
          <w:tab w:val="clear" w:pos="426"/>
          <w:tab w:val="clear" w:pos="993"/>
        </w:tabs>
        <w:spacing w:before="0" w:line="276" w:lineRule="auto"/>
        <w:ind w:right="0"/>
        <w:jc w:val="both"/>
        <w:rPr>
          <w:rFonts w:asciiTheme="minorHAnsi" w:hAnsiTheme="minorHAnsi"/>
        </w:rPr>
      </w:pPr>
    </w:p>
    <w:p w14:paraId="5AA9A230" w14:textId="4878358E" w:rsidR="00651668" w:rsidRPr="00C00000" w:rsidRDefault="00651668"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Where a corporation is convicted of a federal offence and the contrary intention does not appear</w:t>
      </w:r>
      <w:r w:rsidR="00A53EDC">
        <w:rPr>
          <w:rFonts w:asciiTheme="minorHAnsi" w:hAnsiTheme="minorHAnsi"/>
        </w:rPr>
        <w:t>,</w:t>
      </w:r>
      <w:r w:rsidRPr="00C00000">
        <w:rPr>
          <w:rFonts w:asciiTheme="minorHAnsi" w:hAnsiTheme="minorHAnsi"/>
        </w:rPr>
        <w:t xml:space="preserve"> the maximum pecuniary penalty that can be imposed is five times the amount that could be imposed on a natural person </w:t>
      </w:r>
      <w:r w:rsidR="00036020" w:rsidRPr="00C00000">
        <w:rPr>
          <w:rFonts w:asciiTheme="minorHAnsi" w:hAnsiTheme="minorHAnsi"/>
        </w:rPr>
        <w:t>convicted of the same offence</w:t>
      </w:r>
      <w:r w:rsidR="00655F20" w:rsidRPr="00C00000">
        <w:rPr>
          <w:rFonts w:asciiTheme="minorHAnsi" w:hAnsiTheme="minorHAnsi"/>
        </w:rPr>
        <w:t>.</w:t>
      </w:r>
      <w:r w:rsidR="00655F20" w:rsidRPr="00C00000">
        <w:rPr>
          <w:rStyle w:val="Style"/>
          <w:rFonts w:asciiTheme="minorHAnsi" w:hAnsiTheme="minorHAnsi"/>
        </w:rPr>
        <w:footnoteReference w:id="629"/>
      </w:r>
    </w:p>
    <w:p w14:paraId="38BFE487" w14:textId="77777777" w:rsidR="000071CB" w:rsidRPr="00C00000" w:rsidRDefault="000071CB" w:rsidP="007C11C2">
      <w:pPr>
        <w:pStyle w:val="BlockText"/>
        <w:tabs>
          <w:tab w:val="clear" w:pos="426"/>
          <w:tab w:val="clear" w:pos="993"/>
        </w:tabs>
        <w:spacing w:before="0" w:line="276" w:lineRule="auto"/>
        <w:ind w:left="873" w:right="0" w:firstLine="0"/>
        <w:jc w:val="both"/>
        <w:rPr>
          <w:rFonts w:asciiTheme="minorHAnsi" w:hAnsiTheme="minorHAnsi"/>
        </w:rPr>
      </w:pPr>
    </w:p>
    <w:p w14:paraId="34AEE7C2" w14:textId="55AD0B1E" w:rsidR="00651668" w:rsidRPr="00E9607E" w:rsidRDefault="00651668" w:rsidP="001F7E6F">
      <w:pPr>
        <w:pStyle w:val="Heading3"/>
      </w:pPr>
      <w:bookmarkStart w:id="1644" w:name="_Ref507934416"/>
      <w:bookmarkStart w:id="1645" w:name="_Toc33602851"/>
      <w:r w:rsidRPr="00E9607E">
        <w:t xml:space="preserve">Maximum </w:t>
      </w:r>
      <w:r w:rsidR="00132A4D">
        <w:t xml:space="preserve">penalties </w:t>
      </w:r>
      <w:r w:rsidRPr="00E9607E">
        <w:t>on summary disposition</w:t>
      </w:r>
      <w:r w:rsidR="00132A4D">
        <w:t xml:space="preserve"> of an indictable offence</w:t>
      </w:r>
      <w:r w:rsidR="007F678A" w:rsidRPr="00E9607E">
        <w:t xml:space="preserve"> –</w:t>
      </w:r>
      <w:r w:rsidR="00007FDA">
        <w:t xml:space="preserve"> </w:t>
      </w:r>
      <w:r w:rsidR="00885EFD" w:rsidRPr="00885EFD">
        <w:rPr>
          <w:i/>
        </w:rPr>
        <w:t>Crimes Act 1914</w:t>
      </w:r>
      <w:r w:rsidR="00DA5BD4">
        <w:t>,</w:t>
      </w:r>
      <w:r w:rsidR="00DA5BD4" w:rsidRPr="00DA5BD4">
        <w:t xml:space="preserve"> </w:t>
      </w:r>
      <w:r w:rsidR="00132A4D">
        <w:t>s</w:t>
      </w:r>
      <w:r w:rsidR="00DA5BD4" w:rsidRPr="00E9607E">
        <w:t xml:space="preserve">s </w:t>
      </w:r>
      <w:r w:rsidR="00132A4D">
        <w:t xml:space="preserve">4J and </w:t>
      </w:r>
      <w:r w:rsidR="00DA5BD4" w:rsidRPr="00E9607E">
        <w:t>4J</w:t>
      </w:r>
      <w:r w:rsidR="00132A4D">
        <w:t>A</w:t>
      </w:r>
      <w:bookmarkEnd w:id="1644"/>
      <w:bookmarkEnd w:id="1645"/>
    </w:p>
    <w:p w14:paraId="34FDD9B7" w14:textId="77777777" w:rsidR="00FE081C" w:rsidRPr="00C00000" w:rsidRDefault="00FE081C" w:rsidP="00F40D81">
      <w:pPr>
        <w:pStyle w:val="BlockText"/>
        <w:keepNext/>
        <w:tabs>
          <w:tab w:val="clear" w:pos="426"/>
          <w:tab w:val="clear" w:pos="993"/>
          <w:tab w:val="left" w:pos="567"/>
          <w:tab w:val="left" w:pos="709"/>
          <w:tab w:val="left" w:pos="851"/>
        </w:tabs>
        <w:spacing w:before="0" w:line="276" w:lineRule="auto"/>
        <w:ind w:left="873" w:right="0" w:firstLine="0"/>
        <w:rPr>
          <w:rFonts w:asciiTheme="minorHAnsi" w:hAnsiTheme="minorHAnsi"/>
        </w:rPr>
      </w:pPr>
    </w:p>
    <w:p w14:paraId="09960BF6" w14:textId="1A6B4105" w:rsidR="000A6BEB" w:rsidRPr="00C00000" w:rsidRDefault="00651668"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w:t>
      </w:r>
      <w:r w:rsidR="00C63CF3" w:rsidRPr="00C00000">
        <w:rPr>
          <w:rFonts w:asciiTheme="minorHAnsi" w:hAnsiTheme="minorHAnsi"/>
        </w:rPr>
        <w:t>ection</w:t>
      </w:r>
      <w:r w:rsidR="007F678A" w:rsidRPr="00C00000">
        <w:rPr>
          <w:rFonts w:asciiTheme="minorHAnsi" w:hAnsiTheme="minorHAnsi"/>
        </w:rPr>
        <w:t xml:space="preserve"> </w:t>
      </w:r>
      <w:r w:rsidRPr="00C00000">
        <w:rPr>
          <w:rFonts w:asciiTheme="minorHAnsi" w:hAnsiTheme="minorHAnsi"/>
        </w:rPr>
        <w:t xml:space="preserve">4J sets out the maximum </w:t>
      </w:r>
      <w:r w:rsidR="007F678A" w:rsidRPr="00C00000">
        <w:rPr>
          <w:rFonts w:asciiTheme="minorHAnsi" w:hAnsiTheme="minorHAnsi"/>
        </w:rPr>
        <w:t>fine</w:t>
      </w:r>
      <w:r w:rsidR="004D68E7">
        <w:rPr>
          <w:rFonts w:asciiTheme="minorHAnsi" w:hAnsiTheme="minorHAnsi"/>
        </w:rPr>
        <w:t>,</w:t>
      </w:r>
      <w:r w:rsidR="007F678A" w:rsidRPr="00C00000">
        <w:rPr>
          <w:rFonts w:asciiTheme="minorHAnsi" w:hAnsiTheme="minorHAnsi"/>
        </w:rPr>
        <w:t xml:space="preserve"> </w:t>
      </w:r>
      <w:r w:rsidR="00431BC9">
        <w:rPr>
          <w:rFonts w:asciiTheme="minorHAnsi" w:hAnsiTheme="minorHAnsi"/>
        </w:rPr>
        <w:t>a</w:t>
      </w:r>
      <w:r w:rsidR="004D68E7">
        <w:rPr>
          <w:rFonts w:asciiTheme="minorHAnsi" w:hAnsiTheme="minorHAnsi"/>
        </w:rPr>
        <w:t>nd maximum term of imprisonment,</w:t>
      </w:r>
      <w:r w:rsidR="00431BC9">
        <w:rPr>
          <w:rFonts w:asciiTheme="minorHAnsi" w:hAnsiTheme="minorHAnsi"/>
        </w:rPr>
        <w:t xml:space="preserve"> </w:t>
      </w:r>
      <w:r w:rsidR="007F678A" w:rsidRPr="00C00000">
        <w:rPr>
          <w:rFonts w:asciiTheme="minorHAnsi" w:hAnsiTheme="minorHAnsi"/>
        </w:rPr>
        <w:t>that</w:t>
      </w:r>
      <w:r w:rsidRPr="00C00000">
        <w:rPr>
          <w:rFonts w:asciiTheme="minorHAnsi" w:hAnsiTheme="minorHAnsi"/>
        </w:rPr>
        <w:t xml:space="preserve"> may be imposed when </w:t>
      </w:r>
      <w:r w:rsidRPr="00E63B72">
        <w:rPr>
          <w:rFonts w:asciiTheme="minorHAnsi" w:hAnsiTheme="minorHAnsi"/>
          <w:b/>
        </w:rPr>
        <w:t>an indictable offence</w:t>
      </w:r>
      <w:r w:rsidR="00E63B72" w:rsidRPr="00E63B72">
        <w:rPr>
          <w:rFonts w:asciiTheme="minorHAnsi" w:hAnsiTheme="minorHAnsi"/>
          <w:b/>
        </w:rPr>
        <w:t xml:space="preserve"> </w:t>
      </w:r>
      <w:r w:rsidR="004D68E7">
        <w:rPr>
          <w:rFonts w:asciiTheme="minorHAnsi" w:hAnsiTheme="minorHAnsi"/>
          <w:b/>
        </w:rPr>
        <w:t xml:space="preserve">against a law of the Commonwealth </w:t>
      </w:r>
      <w:r w:rsidR="00E63B72" w:rsidRPr="00E63B72">
        <w:rPr>
          <w:rFonts w:asciiTheme="minorHAnsi" w:hAnsiTheme="minorHAnsi"/>
          <w:b/>
        </w:rPr>
        <w:t>which is punishable by imprisonment</w:t>
      </w:r>
      <w:r w:rsidRPr="00E63B72">
        <w:rPr>
          <w:rFonts w:asciiTheme="minorHAnsi" w:hAnsiTheme="minorHAnsi"/>
          <w:b/>
        </w:rPr>
        <w:t xml:space="preserve"> is de</w:t>
      </w:r>
      <w:r w:rsidR="00431BC9" w:rsidRPr="00E63B72">
        <w:rPr>
          <w:rFonts w:asciiTheme="minorHAnsi" w:hAnsiTheme="minorHAnsi"/>
          <w:b/>
        </w:rPr>
        <w:t xml:space="preserve">termined </w:t>
      </w:r>
      <w:r w:rsidRPr="00E63B72">
        <w:rPr>
          <w:rFonts w:asciiTheme="minorHAnsi" w:hAnsiTheme="minorHAnsi"/>
          <w:b/>
        </w:rPr>
        <w:t>summar</w:t>
      </w:r>
      <w:r w:rsidR="00431BC9" w:rsidRPr="00E63B72">
        <w:rPr>
          <w:rFonts w:asciiTheme="minorHAnsi" w:hAnsiTheme="minorHAnsi"/>
          <w:b/>
        </w:rPr>
        <w:t>il</w:t>
      </w:r>
      <w:r w:rsidRPr="00E63B72">
        <w:rPr>
          <w:rFonts w:asciiTheme="minorHAnsi" w:hAnsiTheme="minorHAnsi"/>
          <w:b/>
        </w:rPr>
        <w:t>y</w:t>
      </w:r>
      <w:r w:rsidRPr="00C00000">
        <w:rPr>
          <w:rFonts w:asciiTheme="minorHAnsi" w:hAnsiTheme="minorHAnsi"/>
        </w:rPr>
        <w:t>.</w:t>
      </w:r>
      <w:r w:rsidR="004278D9" w:rsidRPr="00C00000">
        <w:rPr>
          <w:rStyle w:val="Style"/>
          <w:rFonts w:asciiTheme="minorHAnsi" w:hAnsiTheme="minorHAnsi"/>
        </w:rPr>
        <w:footnoteReference w:id="630"/>
      </w:r>
      <w:r w:rsidRPr="00C00000">
        <w:rPr>
          <w:rFonts w:asciiTheme="minorHAnsi" w:hAnsiTheme="minorHAnsi"/>
        </w:rPr>
        <w:t xml:space="preserve">  </w:t>
      </w:r>
      <w:r w:rsidR="004D68E7">
        <w:rPr>
          <w:rFonts w:asciiTheme="minorHAnsi" w:hAnsiTheme="minorHAnsi"/>
        </w:rPr>
        <w:t xml:space="preserve">If the offence </w:t>
      </w:r>
      <w:r w:rsidR="004D68E7" w:rsidRPr="004D68E7">
        <w:rPr>
          <w:rFonts w:asciiTheme="minorHAnsi" w:hAnsiTheme="minorHAnsi"/>
        </w:rPr>
        <w:t xml:space="preserve">relates to property whose value does not exceed $5,000, </w:t>
      </w:r>
      <w:r w:rsidR="004D68E7">
        <w:rPr>
          <w:rFonts w:asciiTheme="minorHAnsi" w:hAnsiTheme="minorHAnsi"/>
        </w:rPr>
        <w:t xml:space="preserve">the offence may be dealt with summarily on the request of the prosecutor, if the court thinks fit (s 4J(4)); in such a case, the maximum penalty which may be imposed on summary conviction is </w:t>
      </w:r>
      <w:r w:rsidR="006A27CF">
        <w:rPr>
          <w:rFonts w:asciiTheme="minorHAnsi" w:hAnsiTheme="minorHAnsi"/>
        </w:rPr>
        <w:t>12 months</w:t>
      </w:r>
      <w:r w:rsidR="00AA693C">
        <w:rPr>
          <w:rFonts w:asciiTheme="minorHAnsi" w:hAnsiTheme="minorHAnsi"/>
        </w:rPr>
        <w:t>’</w:t>
      </w:r>
      <w:r w:rsidR="006A27CF">
        <w:rPr>
          <w:rFonts w:asciiTheme="minorHAnsi" w:hAnsiTheme="minorHAnsi"/>
        </w:rPr>
        <w:t xml:space="preserve"> imprisonment or a fine of 60 penalty units or both (s 4J(5)).  In any other case, t</w:t>
      </w:r>
      <w:r w:rsidR="00431BC9">
        <w:rPr>
          <w:rFonts w:asciiTheme="minorHAnsi" w:hAnsiTheme="minorHAnsi"/>
        </w:rPr>
        <w:t xml:space="preserve">he maximum </w:t>
      </w:r>
      <w:r w:rsidR="00132A4D">
        <w:rPr>
          <w:rFonts w:asciiTheme="minorHAnsi" w:hAnsiTheme="minorHAnsi"/>
        </w:rPr>
        <w:t>penalty</w:t>
      </w:r>
      <w:r w:rsidR="00431BC9">
        <w:rPr>
          <w:rFonts w:asciiTheme="minorHAnsi" w:hAnsiTheme="minorHAnsi"/>
        </w:rPr>
        <w:t xml:space="preserve"> on summary conviction</w:t>
      </w:r>
      <w:r w:rsidR="006A27CF">
        <w:rPr>
          <w:rFonts w:asciiTheme="minorHAnsi" w:hAnsiTheme="minorHAnsi"/>
        </w:rPr>
        <w:t xml:space="preserve"> for an indictable offence</w:t>
      </w:r>
      <w:r w:rsidR="00431BC9">
        <w:rPr>
          <w:rFonts w:asciiTheme="minorHAnsi" w:hAnsiTheme="minorHAnsi"/>
        </w:rPr>
        <w:t xml:space="preserve"> is determined by the maximum penalty for the offence generally, as follows</w:t>
      </w:r>
      <w:r w:rsidR="000A6BEB" w:rsidRPr="00C00000">
        <w:rPr>
          <w:rFonts w:asciiTheme="minorHAnsi" w:hAnsiTheme="minorHAnsi"/>
        </w:rPr>
        <w:t>:</w:t>
      </w:r>
    </w:p>
    <w:p w14:paraId="5CA6BEAB" w14:textId="78EE3DE3" w:rsidR="000A6BEB" w:rsidRPr="00C00000" w:rsidRDefault="00431BC9" w:rsidP="00EB7F1E">
      <w:pPr>
        <w:pStyle w:val="ListParagraph"/>
        <w:numPr>
          <w:ilvl w:val="1"/>
          <w:numId w:val="36"/>
        </w:numPr>
        <w:spacing w:line="276" w:lineRule="auto"/>
        <w:ind w:left="993" w:right="28" w:hanging="142"/>
        <w:rPr>
          <w:rFonts w:asciiTheme="minorHAnsi" w:hAnsiTheme="minorHAnsi"/>
        </w:rPr>
      </w:pPr>
      <w:r w:rsidRPr="00E63B72">
        <w:rPr>
          <w:rFonts w:asciiTheme="minorHAnsi" w:hAnsiTheme="minorHAnsi"/>
          <w:i/>
        </w:rPr>
        <w:t xml:space="preserve">If the maximum penalty for the offence is a term of imprisonment </w:t>
      </w:r>
      <w:r w:rsidR="00651668" w:rsidRPr="00E63B72">
        <w:rPr>
          <w:rFonts w:asciiTheme="minorHAnsi" w:hAnsiTheme="minorHAnsi"/>
          <w:i/>
        </w:rPr>
        <w:t>not exceeding 5 years</w:t>
      </w:r>
      <w:r w:rsidR="00673675" w:rsidRPr="00673675">
        <w:rPr>
          <w:rFonts w:asciiTheme="minorHAnsi" w:hAnsiTheme="minorHAnsi"/>
        </w:rPr>
        <w:t>,</w:t>
      </w:r>
      <w:r w:rsidR="005E5B53" w:rsidRPr="00C00000">
        <w:rPr>
          <w:rFonts w:asciiTheme="minorHAnsi" w:hAnsiTheme="minorHAnsi"/>
          <w:b/>
        </w:rPr>
        <w:t xml:space="preserve"> </w:t>
      </w:r>
      <w:r w:rsidR="00651668" w:rsidRPr="00C00000">
        <w:rPr>
          <w:rFonts w:asciiTheme="minorHAnsi" w:hAnsiTheme="minorHAnsi"/>
        </w:rPr>
        <w:t>the maximum sentence when imposed on summary conviction is imprisonment for 12 months and/or a fine not exceeding 60 penalty units</w:t>
      </w:r>
      <w:r w:rsidR="000A6BEB" w:rsidRPr="00C00000">
        <w:rPr>
          <w:rFonts w:asciiTheme="minorHAnsi" w:hAnsiTheme="minorHAnsi"/>
        </w:rPr>
        <w:t xml:space="preserve">; </w:t>
      </w:r>
      <w:r w:rsidR="00673675">
        <w:rPr>
          <w:rFonts w:asciiTheme="minorHAnsi" w:hAnsiTheme="minorHAnsi"/>
        </w:rPr>
        <w:t>and</w:t>
      </w:r>
    </w:p>
    <w:p w14:paraId="4D522400" w14:textId="3B860656" w:rsidR="0087787C" w:rsidRPr="00C00000" w:rsidRDefault="00673675" w:rsidP="00EB7F1E">
      <w:pPr>
        <w:pStyle w:val="ListParagraph"/>
        <w:numPr>
          <w:ilvl w:val="1"/>
          <w:numId w:val="36"/>
        </w:numPr>
        <w:spacing w:line="276" w:lineRule="auto"/>
        <w:ind w:left="993" w:right="28" w:hanging="142"/>
        <w:rPr>
          <w:rFonts w:asciiTheme="minorHAnsi" w:hAnsiTheme="minorHAnsi"/>
        </w:rPr>
      </w:pPr>
      <w:r w:rsidRPr="00E63B72">
        <w:rPr>
          <w:rFonts w:asciiTheme="minorHAnsi" w:hAnsiTheme="minorHAnsi"/>
          <w:i/>
        </w:rPr>
        <w:t xml:space="preserve">If the maximum penalty for the offence is a term of imprisonment </w:t>
      </w:r>
      <w:r w:rsidR="00651668" w:rsidRPr="00E63B72">
        <w:rPr>
          <w:rFonts w:asciiTheme="minorHAnsi" w:hAnsiTheme="minorHAnsi"/>
          <w:i/>
        </w:rPr>
        <w:t>exceeding 5 years but not exceeding 10 years</w:t>
      </w:r>
      <w:r w:rsidRPr="002E5AA1">
        <w:rPr>
          <w:rFonts w:asciiTheme="minorHAnsi" w:hAnsiTheme="minorHAnsi"/>
        </w:rPr>
        <w:t>,</w:t>
      </w:r>
      <w:r w:rsidR="005E5B53" w:rsidRPr="00C00000">
        <w:rPr>
          <w:rFonts w:asciiTheme="minorHAnsi" w:hAnsiTheme="minorHAnsi"/>
          <w:b/>
        </w:rPr>
        <w:t xml:space="preserve"> </w:t>
      </w:r>
      <w:r w:rsidR="00366C3A" w:rsidRPr="00C00000">
        <w:rPr>
          <w:rFonts w:asciiTheme="minorHAnsi" w:hAnsiTheme="minorHAnsi"/>
        </w:rPr>
        <w:t xml:space="preserve">the </w:t>
      </w:r>
      <w:r w:rsidR="00651668" w:rsidRPr="00C00000">
        <w:rPr>
          <w:rFonts w:asciiTheme="minorHAnsi" w:hAnsiTheme="minorHAnsi"/>
        </w:rPr>
        <w:t>maximum sentence for the offence when imposed summarily is 2 years imprisonment and/or 120 penalty units.</w:t>
      </w:r>
    </w:p>
    <w:p w14:paraId="1FADE2B1" w14:textId="145E09FF" w:rsidR="00673675" w:rsidRDefault="00673675" w:rsidP="00EB7F1E">
      <w:pPr>
        <w:pStyle w:val="BlockText"/>
        <w:tabs>
          <w:tab w:val="clear" w:pos="426"/>
          <w:tab w:val="clear" w:pos="993"/>
        </w:tabs>
        <w:spacing w:before="0" w:line="276" w:lineRule="auto"/>
        <w:ind w:right="0" w:firstLine="0"/>
        <w:jc w:val="both"/>
        <w:rPr>
          <w:rFonts w:asciiTheme="minorHAnsi" w:hAnsiTheme="minorHAnsi"/>
        </w:rPr>
      </w:pPr>
      <w:r>
        <w:rPr>
          <w:rFonts w:asciiTheme="minorHAnsi" w:hAnsiTheme="minorHAnsi"/>
        </w:rPr>
        <w:t>(No provision is made in relation to an offence punishable by a term of imprisonment exceeding 10 years because generally speaking such an offence cannot be determined summarily.)</w:t>
      </w:r>
    </w:p>
    <w:p w14:paraId="6CDE64C8" w14:textId="77777777" w:rsidR="00673675" w:rsidRDefault="00673675" w:rsidP="00673675">
      <w:pPr>
        <w:pStyle w:val="BlockText"/>
        <w:tabs>
          <w:tab w:val="clear" w:pos="426"/>
          <w:tab w:val="clear" w:pos="993"/>
        </w:tabs>
        <w:spacing w:before="0" w:line="276" w:lineRule="auto"/>
        <w:ind w:right="0"/>
        <w:jc w:val="both"/>
        <w:rPr>
          <w:rFonts w:asciiTheme="minorHAnsi" w:hAnsiTheme="minorHAnsi"/>
        </w:rPr>
      </w:pPr>
    </w:p>
    <w:p w14:paraId="777A4136" w14:textId="56ADCDD4" w:rsidR="00E63B72" w:rsidRDefault="00E63B72"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Section 4J</w:t>
      </w:r>
      <w:r>
        <w:rPr>
          <w:rFonts w:asciiTheme="minorHAnsi" w:hAnsiTheme="minorHAnsi"/>
        </w:rPr>
        <w:t>A</w:t>
      </w:r>
      <w:r w:rsidRPr="00C00000">
        <w:rPr>
          <w:rFonts w:asciiTheme="minorHAnsi" w:hAnsiTheme="minorHAnsi"/>
        </w:rPr>
        <w:t>, sets out the maximum fine that may be imposed</w:t>
      </w:r>
      <w:r w:rsidR="00132A4D">
        <w:rPr>
          <w:rFonts w:asciiTheme="minorHAnsi" w:hAnsiTheme="minorHAnsi"/>
        </w:rPr>
        <w:t xml:space="preserve"> </w:t>
      </w:r>
      <w:r w:rsidRPr="00C00000">
        <w:rPr>
          <w:rFonts w:asciiTheme="minorHAnsi" w:hAnsiTheme="minorHAnsi"/>
        </w:rPr>
        <w:t xml:space="preserve">when </w:t>
      </w:r>
      <w:r w:rsidRPr="00E63B72">
        <w:rPr>
          <w:rFonts w:asciiTheme="minorHAnsi" w:hAnsiTheme="minorHAnsi"/>
          <w:b/>
        </w:rPr>
        <w:t xml:space="preserve">an indictable offence </w:t>
      </w:r>
      <w:r w:rsidR="004D68E7">
        <w:rPr>
          <w:rFonts w:asciiTheme="minorHAnsi" w:hAnsiTheme="minorHAnsi"/>
          <w:b/>
        </w:rPr>
        <w:t xml:space="preserve">against a law of the Commonwealth </w:t>
      </w:r>
      <w:r w:rsidRPr="00E63B72">
        <w:rPr>
          <w:rFonts w:asciiTheme="minorHAnsi" w:hAnsiTheme="minorHAnsi"/>
          <w:b/>
        </w:rPr>
        <w:t xml:space="preserve">which is </w:t>
      </w:r>
      <w:r>
        <w:rPr>
          <w:rFonts w:asciiTheme="minorHAnsi" w:hAnsiTheme="minorHAnsi"/>
          <w:b/>
        </w:rPr>
        <w:t xml:space="preserve">not </w:t>
      </w:r>
      <w:r w:rsidRPr="00E63B72">
        <w:rPr>
          <w:rFonts w:asciiTheme="minorHAnsi" w:hAnsiTheme="minorHAnsi"/>
          <w:b/>
        </w:rPr>
        <w:t>punishable by imprisonment</w:t>
      </w:r>
      <w:r w:rsidR="004621C6">
        <w:rPr>
          <w:rStyle w:val="FootnoteReference"/>
          <w:rFonts w:asciiTheme="minorHAnsi" w:hAnsiTheme="minorHAnsi"/>
          <w:b/>
        </w:rPr>
        <w:footnoteReference w:id="631"/>
      </w:r>
      <w:r w:rsidRPr="00E63B72">
        <w:rPr>
          <w:rFonts w:asciiTheme="minorHAnsi" w:hAnsiTheme="minorHAnsi"/>
          <w:b/>
        </w:rPr>
        <w:t xml:space="preserve"> is determined summarily</w:t>
      </w:r>
      <w:r w:rsidR="00132A4D" w:rsidRPr="00C00000">
        <w:rPr>
          <w:rFonts w:asciiTheme="minorHAnsi" w:hAnsiTheme="minorHAnsi"/>
        </w:rPr>
        <w:t xml:space="preserve"> </w:t>
      </w:r>
      <w:r w:rsidR="00132A4D">
        <w:rPr>
          <w:rFonts w:asciiTheme="minorHAnsi" w:hAnsiTheme="minorHAnsi"/>
        </w:rPr>
        <w:t xml:space="preserve">(subject to </w:t>
      </w:r>
      <w:r w:rsidR="006A27CF">
        <w:rPr>
          <w:rFonts w:asciiTheme="minorHAnsi" w:hAnsiTheme="minorHAnsi"/>
        </w:rPr>
        <w:t xml:space="preserve">the power in s 4J(4) and to </w:t>
      </w:r>
      <w:r w:rsidR="00132A4D">
        <w:rPr>
          <w:rFonts w:asciiTheme="minorHAnsi" w:hAnsiTheme="minorHAnsi"/>
        </w:rPr>
        <w:t>any contrary intention indicated by the law creating the offence)</w:t>
      </w:r>
      <w:r w:rsidRPr="00C00000">
        <w:rPr>
          <w:rFonts w:asciiTheme="minorHAnsi" w:hAnsiTheme="minorHAnsi"/>
        </w:rPr>
        <w:t xml:space="preserve">.  </w:t>
      </w:r>
      <w:r>
        <w:rPr>
          <w:rFonts w:asciiTheme="minorHAnsi" w:hAnsiTheme="minorHAnsi"/>
        </w:rPr>
        <w:t>The maximum fine on summary conviction is determined by the maximum fine for the offence generally, as follows</w:t>
      </w:r>
      <w:r w:rsidRPr="00C00000">
        <w:rPr>
          <w:rFonts w:asciiTheme="minorHAnsi" w:hAnsiTheme="minorHAnsi"/>
        </w:rPr>
        <w:t>:</w:t>
      </w:r>
    </w:p>
    <w:p w14:paraId="02A0AF64" w14:textId="77777777" w:rsidR="00F871C9" w:rsidRPr="00F871C9" w:rsidRDefault="00F871C9" w:rsidP="00EB7F1E">
      <w:pPr>
        <w:pStyle w:val="ListParagraph"/>
        <w:numPr>
          <w:ilvl w:val="1"/>
          <w:numId w:val="36"/>
        </w:numPr>
        <w:spacing w:line="276" w:lineRule="auto"/>
        <w:ind w:left="993" w:right="28" w:hanging="142"/>
        <w:rPr>
          <w:rFonts w:asciiTheme="minorHAnsi" w:hAnsiTheme="minorHAnsi"/>
        </w:rPr>
      </w:pPr>
      <w:r w:rsidRPr="00F871C9">
        <w:rPr>
          <w:rFonts w:asciiTheme="minorHAnsi" w:hAnsiTheme="minorHAnsi"/>
          <w:i/>
        </w:rPr>
        <w:t>if the offence would be punishable on indictment by a pecuniary penalty of not more than 300 penalty units for an individual</w:t>
      </w:r>
      <w:r w:rsidRPr="00F871C9">
        <w:rPr>
          <w:rFonts w:asciiTheme="minorHAnsi" w:hAnsiTheme="minorHAnsi"/>
        </w:rPr>
        <w:t>, the maximum pecuniary penalty which may be imposed on an individual on summary conviction is 60 penalty units;</w:t>
      </w:r>
    </w:p>
    <w:p w14:paraId="63BE2665" w14:textId="105F305C" w:rsidR="00F871C9" w:rsidRPr="00F871C9" w:rsidRDefault="00F871C9" w:rsidP="00EB7F1E">
      <w:pPr>
        <w:pStyle w:val="ListParagraph"/>
        <w:numPr>
          <w:ilvl w:val="1"/>
          <w:numId w:val="36"/>
        </w:numPr>
        <w:spacing w:line="276" w:lineRule="auto"/>
        <w:ind w:left="993" w:right="28" w:hanging="142"/>
        <w:rPr>
          <w:rFonts w:asciiTheme="minorHAnsi" w:hAnsiTheme="minorHAnsi"/>
        </w:rPr>
      </w:pPr>
      <w:r w:rsidRPr="00F871C9">
        <w:rPr>
          <w:rFonts w:asciiTheme="minorHAnsi" w:hAnsiTheme="minorHAnsi"/>
          <w:i/>
        </w:rPr>
        <w:t>if the offence would be punishable on indictment by a pecuniary penalty</w:t>
      </w:r>
      <w:r>
        <w:rPr>
          <w:rFonts w:asciiTheme="minorHAnsi" w:hAnsiTheme="minorHAnsi"/>
          <w:i/>
        </w:rPr>
        <w:t xml:space="preserve"> of not more than 6</w:t>
      </w:r>
      <w:r w:rsidRPr="00F871C9">
        <w:rPr>
          <w:rFonts w:asciiTheme="minorHAnsi" w:hAnsiTheme="minorHAnsi"/>
          <w:i/>
        </w:rPr>
        <w:t>00 penalty units for an individual</w:t>
      </w:r>
      <w:r w:rsidRPr="00F871C9">
        <w:rPr>
          <w:rFonts w:asciiTheme="minorHAnsi" w:hAnsiTheme="minorHAnsi"/>
        </w:rPr>
        <w:t xml:space="preserve">, the maximum pecuniary penalty which may be imposed on an individual on summary conviction is </w:t>
      </w:r>
      <w:r>
        <w:rPr>
          <w:rFonts w:asciiTheme="minorHAnsi" w:hAnsiTheme="minorHAnsi"/>
        </w:rPr>
        <w:t>12</w:t>
      </w:r>
      <w:r w:rsidRPr="00F871C9">
        <w:rPr>
          <w:rFonts w:asciiTheme="minorHAnsi" w:hAnsiTheme="minorHAnsi"/>
        </w:rPr>
        <w:t>0 penalty units;</w:t>
      </w:r>
    </w:p>
    <w:p w14:paraId="710BE1BA" w14:textId="34A3C91E" w:rsidR="00F871C9" w:rsidRPr="00F871C9" w:rsidRDefault="00F871C9" w:rsidP="00EB7F1E">
      <w:pPr>
        <w:pStyle w:val="ListParagraph"/>
        <w:numPr>
          <w:ilvl w:val="1"/>
          <w:numId w:val="36"/>
        </w:numPr>
        <w:spacing w:line="276" w:lineRule="auto"/>
        <w:ind w:left="993" w:right="28" w:hanging="142"/>
        <w:rPr>
          <w:rFonts w:asciiTheme="minorHAnsi" w:hAnsiTheme="minorHAnsi"/>
        </w:rPr>
      </w:pPr>
      <w:r w:rsidRPr="00F871C9">
        <w:rPr>
          <w:rFonts w:asciiTheme="minorHAnsi" w:hAnsiTheme="minorHAnsi"/>
          <w:i/>
        </w:rPr>
        <w:t>if the offence would be punishable on indictment by a pecuniary penalty</w:t>
      </w:r>
      <w:r>
        <w:rPr>
          <w:rFonts w:asciiTheme="minorHAnsi" w:hAnsiTheme="minorHAnsi"/>
          <w:i/>
        </w:rPr>
        <w:t xml:space="preserve"> of not more than 15</w:t>
      </w:r>
      <w:r w:rsidRPr="00F871C9">
        <w:rPr>
          <w:rFonts w:asciiTheme="minorHAnsi" w:hAnsiTheme="minorHAnsi"/>
          <w:i/>
        </w:rPr>
        <w:t>00 penalty units for a</w:t>
      </w:r>
      <w:r>
        <w:rPr>
          <w:rFonts w:asciiTheme="minorHAnsi" w:hAnsiTheme="minorHAnsi"/>
          <w:i/>
        </w:rPr>
        <w:t xml:space="preserve"> body corporate</w:t>
      </w:r>
      <w:r w:rsidRPr="00F871C9">
        <w:rPr>
          <w:rFonts w:asciiTheme="minorHAnsi" w:hAnsiTheme="minorHAnsi"/>
        </w:rPr>
        <w:t>, the maximum pecuniary penalty which may be imposed on a</w:t>
      </w:r>
      <w:r>
        <w:rPr>
          <w:rFonts w:asciiTheme="minorHAnsi" w:hAnsiTheme="minorHAnsi"/>
        </w:rPr>
        <w:t xml:space="preserve"> body corporate on</w:t>
      </w:r>
      <w:r w:rsidRPr="00F871C9">
        <w:rPr>
          <w:rFonts w:asciiTheme="minorHAnsi" w:hAnsiTheme="minorHAnsi"/>
        </w:rPr>
        <w:t xml:space="preserve"> summary conviction is </w:t>
      </w:r>
      <w:r>
        <w:rPr>
          <w:rFonts w:asciiTheme="minorHAnsi" w:hAnsiTheme="minorHAnsi"/>
        </w:rPr>
        <w:t>30</w:t>
      </w:r>
      <w:r w:rsidRPr="00F871C9">
        <w:rPr>
          <w:rFonts w:asciiTheme="minorHAnsi" w:hAnsiTheme="minorHAnsi"/>
        </w:rPr>
        <w:t>0 penalty units;</w:t>
      </w:r>
    </w:p>
    <w:p w14:paraId="25E8CD45" w14:textId="31433104" w:rsidR="00F871C9" w:rsidRPr="00F871C9" w:rsidRDefault="00F871C9" w:rsidP="00EB7F1E">
      <w:pPr>
        <w:pStyle w:val="ListParagraph"/>
        <w:numPr>
          <w:ilvl w:val="1"/>
          <w:numId w:val="36"/>
        </w:numPr>
        <w:spacing w:line="276" w:lineRule="auto"/>
        <w:ind w:left="993" w:right="28" w:hanging="142"/>
        <w:rPr>
          <w:rFonts w:asciiTheme="minorHAnsi" w:hAnsiTheme="minorHAnsi"/>
        </w:rPr>
      </w:pPr>
      <w:r w:rsidRPr="00F871C9">
        <w:rPr>
          <w:rFonts w:asciiTheme="minorHAnsi" w:hAnsiTheme="minorHAnsi"/>
          <w:i/>
        </w:rPr>
        <w:t>if the offence would be punishable on indictment by a pecuniary penalty</w:t>
      </w:r>
      <w:r>
        <w:rPr>
          <w:rFonts w:asciiTheme="minorHAnsi" w:hAnsiTheme="minorHAnsi"/>
          <w:i/>
        </w:rPr>
        <w:t xml:space="preserve"> of not more than 30</w:t>
      </w:r>
      <w:r w:rsidRPr="00F871C9">
        <w:rPr>
          <w:rFonts w:asciiTheme="minorHAnsi" w:hAnsiTheme="minorHAnsi"/>
          <w:i/>
        </w:rPr>
        <w:t>00 penalty units for a</w:t>
      </w:r>
      <w:r>
        <w:rPr>
          <w:rFonts w:asciiTheme="minorHAnsi" w:hAnsiTheme="minorHAnsi"/>
          <w:i/>
        </w:rPr>
        <w:t xml:space="preserve"> body corporate</w:t>
      </w:r>
      <w:r w:rsidRPr="00F871C9">
        <w:rPr>
          <w:rFonts w:asciiTheme="minorHAnsi" w:hAnsiTheme="minorHAnsi"/>
        </w:rPr>
        <w:t>, the maximum pecuniary penalty which may be imposed on a</w:t>
      </w:r>
      <w:r>
        <w:rPr>
          <w:rFonts w:asciiTheme="minorHAnsi" w:hAnsiTheme="minorHAnsi"/>
        </w:rPr>
        <w:t xml:space="preserve"> body corporate on</w:t>
      </w:r>
      <w:r w:rsidRPr="00F871C9">
        <w:rPr>
          <w:rFonts w:asciiTheme="minorHAnsi" w:hAnsiTheme="minorHAnsi"/>
        </w:rPr>
        <w:t xml:space="preserve"> summary conviction is </w:t>
      </w:r>
      <w:r>
        <w:rPr>
          <w:rFonts w:asciiTheme="minorHAnsi" w:hAnsiTheme="minorHAnsi"/>
        </w:rPr>
        <w:t>60</w:t>
      </w:r>
      <w:r w:rsidRPr="00F871C9">
        <w:rPr>
          <w:rFonts w:asciiTheme="minorHAnsi" w:hAnsiTheme="minorHAnsi"/>
        </w:rPr>
        <w:t>0 penalty units;</w:t>
      </w:r>
    </w:p>
    <w:p w14:paraId="5BD33C57" w14:textId="1E4CF111" w:rsidR="00E63B72" w:rsidRDefault="00E63B72" w:rsidP="00EB7F1E">
      <w:pPr>
        <w:pStyle w:val="BlockText"/>
        <w:tabs>
          <w:tab w:val="clear" w:pos="426"/>
          <w:tab w:val="clear" w:pos="993"/>
        </w:tabs>
        <w:spacing w:before="0" w:line="276" w:lineRule="auto"/>
        <w:ind w:right="0" w:firstLine="0"/>
        <w:jc w:val="both"/>
        <w:rPr>
          <w:rFonts w:asciiTheme="minorHAnsi" w:hAnsiTheme="minorHAnsi"/>
        </w:rPr>
      </w:pPr>
      <w:r>
        <w:rPr>
          <w:rFonts w:asciiTheme="minorHAnsi" w:hAnsiTheme="minorHAnsi"/>
        </w:rPr>
        <w:t xml:space="preserve">(No provision is made in relation to an offence punishable by a </w:t>
      </w:r>
      <w:r w:rsidR="00F871C9">
        <w:rPr>
          <w:rFonts w:asciiTheme="minorHAnsi" w:hAnsiTheme="minorHAnsi"/>
        </w:rPr>
        <w:t xml:space="preserve">pecuniary penalty exceeding </w:t>
      </w:r>
      <w:r w:rsidR="00132A4D">
        <w:rPr>
          <w:rFonts w:asciiTheme="minorHAnsi" w:hAnsiTheme="minorHAnsi"/>
        </w:rPr>
        <w:t>600 penalty units for an individual or 3000 penalty units for a body corporate</w:t>
      </w:r>
      <w:r>
        <w:rPr>
          <w:rFonts w:asciiTheme="minorHAnsi" w:hAnsiTheme="minorHAnsi"/>
        </w:rPr>
        <w:t xml:space="preserve"> because generally speaking such an offence cannot be determined summarily.)</w:t>
      </w:r>
    </w:p>
    <w:p w14:paraId="07D2B79C" w14:textId="77777777" w:rsidR="00E63B72" w:rsidRPr="00C00000" w:rsidRDefault="00E63B72" w:rsidP="00E63B72">
      <w:pPr>
        <w:pStyle w:val="BlockText"/>
        <w:tabs>
          <w:tab w:val="clear" w:pos="426"/>
          <w:tab w:val="clear" w:pos="993"/>
        </w:tabs>
        <w:spacing w:before="0" w:line="276" w:lineRule="auto"/>
        <w:ind w:right="0"/>
        <w:jc w:val="both"/>
        <w:rPr>
          <w:rFonts w:asciiTheme="minorHAnsi" w:hAnsiTheme="minorHAnsi"/>
        </w:rPr>
      </w:pPr>
    </w:p>
    <w:p w14:paraId="38CA390A" w14:textId="5B96A5DD" w:rsidR="00651668" w:rsidRPr="00C00000" w:rsidRDefault="006A27C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None of these provisions permits a court of summary jurisdiction to impose a sentence of imprisonment or a fine which is greater than that which could have been imposed on indictment</w:t>
      </w:r>
      <w:r w:rsidR="004278D9">
        <w:rPr>
          <w:rFonts w:asciiTheme="minorHAnsi" w:hAnsiTheme="minorHAnsi"/>
        </w:rPr>
        <w:t xml:space="preserve"> (ss 4J(6), 4JA(2))</w:t>
      </w:r>
      <w:r>
        <w:rPr>
          <w:rFonts w:asciiTheme="minorHAnsi" w:hAnsiTheme="minorHAnsi"/>
        </w:rPr>
        <w:t xml:space="preserve">, or to impose </w:t>
      </w:r>
      <w:r w:rsidR="004278D9">
        <w:rPr>
          <w:rFonts w:asciiTheme="minorHAnsi" w:hAnsiTheme="minorHAnsi"/>
        </w:rPr>
        <w:t>both a sentence of imprisonment and</w:t>
      </w:r>
      <w:r>
        <w:rPr>
          <w:rFonts w:asciiTheme="minorHAnsi" w:hAnsiTheme="minorHAnsi"/>
        </w:rPr>
        <w:t xml:space="preserve"> a fine if </w:t>
      </w:r>
      <w:r w:rsidR="004278D9">
        <w:rPr>
          <w:rFonts w:asciiTheme="minorHAnsi" w:hAnsiTheme="minorHAnsi"/>
        </w:rPr>
        <w:t>the offence is not punishable by both on indictment (s 4J(6))</w:t>
      </w:r>
      <w:r w:rsidR="001B5B91" w:rsidRPr="00C00000">
        <w:rPr>
          <w:rFonts w:asciiTheme="minorHAnsi" w:hAnsiTheme="minorHAnsi"/>
        </w:rPr>
        <w:t>.</w:t>
      </w:r>
    </w:p>
    <w:p w14:paraId="40FB0F12" w14:textId="77777777" w:rsidR="00C70EE1" w:rsidRPr="00C00000" w:rsidRDefault="00C70EE1" w:rsidP="007C11C2">
      <w:pPr>
        <w:pStyle w:val="BlockText"/>
        <w:tabs>
          <w:tab w:val="clear" w:pos="426"/>
          <w:tab w:val="clear" w:pos="993"/>
        </w:tabs>
        <w:spacing w:before="0" w:line="276" w:lineRule="auto"/>
        <w:ind w:left="0" w:right="0" w:firstLine="0"/>
        <w:jc w:val="both"/>
        <w:rPr>
          <w:rFonts w:asciiTheme="minorHAnsi" w:hAnsiTheme="minorHAnsi"/>
        </w:rPr>
      </w:pPr>
    </w:p>
    <w:p w14:paraId="7A7E0897" w14:textId="3B2A4C1B" w:rsidR="00651668" w:rsidRPr="00E9607E" w:rsidRDefault="00DA31E2" w:rsidP="001F7E6F">
      <w:pPr>
        <w:pStyle w:val="Heading3"/>
      </w:pPr>
      <w:bookmarkStart w:id="1646" w:name="_Ref504146575"/>
      <w:bookmarkStart w:id="1647" w:name="_Ref504146578"/>
      <w:bookmarkStart w:id="1648" w:name="_Toc33602852"/>
      <w:r>
        <w:t>Means and financial circumstances of offender</w:t>
      </w:r>
      <w:bookmarkEnd w:id="1646"/>
      <w:bookmarkEnd w:id="1647"/>
      <w:bookmarkEnd w:id="1648"/>
    </w:p>
    <w:p w14:paraId="501C8E01" w14:textId="77777777" w:rsidR="00FE081C" w:rsidRPr="00C00000" w:rsidRDefault="00FE081C" w:rsidP="00F40D81">
      <w:pPr>
        <w:pStyle w:val="BlockText"/>
        <w:keepNext/>
        <w:tabs>
          <w:tab w:val="clear" w:pos="426"/>
          <w:tab w:val="clear" w:pos="993"/>
          <w:tab w:val="left" w:pos="567"/>
          <w:tab w:val="left" w:pos="709"/>
          <w:tab w:val="left" w:pos="851"/>
        </w:tabs>
        <w:spacing w:before="0" w:line="276" w:lineRule="auto"/>
        <w:ind w:left="873" w:right="0" w:firstLine="0"/>
        <w:rPr>
          <w:rFonts w:asciiTheme="minorHAnsi" w:hAnsiTheme="minorHAnsi"/>
        </w:rPr>
      </w:pPr>
    </w:p>
    <w:p w14:paraId="77D79BBA" w14:textId="45B22B6C" w:rsidR="00DA31E2" w:rsidRDefault="00CB4C7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sentencing a federal offender, t</w:t>
      </w:r>
      <w:r w:rsidR="006B7866" w:rsidRPr="00C00000">
        <w:rPr>
          <w:rFonts w:asciiTheme="minorHAnsi" w:hAnsiTheme="minorHAnsi"/>
        </w:rPr>
        <w:t xml:space="preserve">he court is </w:t>
      </w:r>
      <w:r>
        <w:rPr>
          <w:rFonts w:asciiTheme="minorHAnsi" w:hAnsiTheme="minorHAnsi"/>
        </w:rPr>
        <w:t xml:space="preserve">required to have regard to the “means” of the offender: </w:t>
      </w:r>
      <w:r w:rsidR="00885EFD" w:rsidRPr="00885EFD">
        <w:rPr>
          <w:rFonts w:asciiTheme="minorHAnsi" w:hAnsiTheme="minorHAnsi"/>
          <w:i/>
        </w:rPr>
        <w:t>Crimes Act 1914</w:t>
      </w:r>
      <w:r>
        <w:rPr>
          <w:rFonts w:asciiTheme="minorHAnsi" w:hAnsiTheme="minorHAnsi"/>
        </w:rPr>
        <w:t xml:space="preserve"> (Cth), s 16A(2)(m).  In addition to this and </w:t>
      </w:r>
      <w:r w:rsidRPr="00C00000">
        <w:rPr>
          <w:rFonts w:asciiTheme="minorHAnsi" w:hAnsiTheme="minorHAnsi"/>
        </w:rPr>
        <w:t>to any other factors that the court is permitted or required to take into account</w:t>
      </w:r>
      <w:r>
        <w:rPr>
          <w:rFonts w:asciiTheme="minorHAnsi" w:hAnsiTheme="minorHAnsi"/>
        </w:rPr>
        <w:t xml:space="preserve">, before imposing a fine </w:t>
      </w:r>
      <w:r w:rsidR="00DA31E2">
        <w:rPr>
          <w:rFonts w:asciiTheme="minorHAnsi" w:hAnsiTheme="minorHAnsi"/>
        </w:rPr>
        <w:t xml:space="preserve">on a federal offender, the court must have regard to the </w:t>
      </w:r>
      <w:r w:rsidR="00793FB6">
        <w:rPr>
          <w:rFonts w:asciiTheme="minorHAnsi" w:hAnsiTheme="minorHAnsi"/>
        </w:rPr>
        <w:t>“</w:t>
      </w:r>
      <w:r w:rsidR="00DA31E2">
        <w:rPr>
          <w:rFonts w:asciiTheme="minorHAnsi" w:hAnsiTheme="minorHAnsi"/>
        </w:rPr>
        <w:t>financial circumstances</w:t>
      </w:r>
      <w:r w:rsidR="00793FB6">
        <w:rPr>
          <w:rFonts w:asciiTheme="minorHAnsi" w:hAnsiTheme="minorHAnsi"/>
        </w:rPr>
        <w:t>”</w:t>
      </w:r>
      <w:r w:rsidR="00DA31E2">
        <w:rPr>
          <w:rFonts w:asciiTheme="minorHAnsi" w:hAnsiTheme="minorHAnsi"/>
        </w:rPr>
        <w:t xml:space="preserve"> of the offender: </w:t>
      </w:r>
      <w:r w:rsidR="00885EFD" w:rsidRPr="00885EFD">
        <w:rPr>
          <w:rFonts w:asciiTheme="minorHAnsi" w:hAnsiTheme="minorHAnsi"/>
          <w:i/>
        </w:rPr>
        <w:t>Crimes Act 1914</w:t>
      </w:r>
      <w:r w:rsidR="00DA31E2">
        <w:rPr>
          <w:rFonts w:asciiTheme="minorHAnsi" w:hAnsiTheme="minorHAnsi"/>
        </w:rPr>
        <w:t xml:space="preserve"> (Cth), </w:t>
      </w:r>
      <w:r w:rsidR="00651668" w:rsidRPr="00C00000">
        <w:rPr>
          <w:rFonts w:asciiTheme="minorHAnsi" w:hAnsiTheme="minorHAnsi"/>
        </w:rPr>
        <w:t>s 16C(1)</w:t>
      </w:r>
      <w:r w:rsidR="00DA31E2">
        <w:rPr>
          <w:rFonts w:asciiTheme="minorHAnsi" w:hAnsiTheme="minorHAnsi"/>
        </w:rPr>
        <w:t>.</w:t>
      </w:r>
      <w:r w:rsidR="00DA31E2" w:rsidRPr="00C00000">
        <w:rPr>
          <w:rStyle w:val="Style"/>
          <w:rFonts w:asciiTheme="minorHAnsi" w:hAnsiTheme="minorHAnsi"/>
        </w:rPr>
        <w:footnoteReference w:id="632"/>
      </w:r>
      <w:r w:rsidR="00FB5F0B" w:rsidRPr="00C00000">
        <w:rPr>
          <w:rFonts w:asciiTheme="minorHAnsi" w:hAnsiTheme="minorHAnsi"/>
        </w:rPr>
        <w:t xml:space="preserve"> </w:t>
      </w:r>
      <w:r w:rsidR="00DA31E2">
        <w:rPr>
          <w:rFonts w:asciiTheme="minorHAnsi" w:hAnsiTheme="minorHAnsi"/>
        </w:rPr>
        <w:t>However a</w:t>
      </w:r>
      <w:r w:rsidR="00DA31E2" w:rsidRPr="00C00000">
        <w:rPr>
          <w:rFonts w:asciiTheme="minorHAnsi" w:hAnsiTheme="minorHAnsi"/>
        </w:rPr>
        <w:t xml:space="preserve"> court is not precluded from imposing a fine if the financial circumstances of the offender cannot be ascertained </w:t>
      </w:r>
      <w:r w:rsidR="00DA31E2">
        <w:rPr>
          <w:rFonts w:asciiTheme="minorHAnsi" w:hAnsiTheme="minorHAnsi"/>
        </w:rPr>
        <w:t xml:space="preserve">by the court: </w:t>
      </w:r>
      <w:r w:rsidR="00DA31E2" w:rsidRPr="00C00000">
        <w:rPr>
          <w:rFonts w:asciiTheme="minorHAnsi" w:hAnsiTheme="minorHAnsi"/>
        </w:rPr>
        <w:t>s 16C(2).</w:t>
      </w:r>
    </w:p>
    <w:p w14:paraId="287E1A48" w14:textId="77777777" w:rsidR="00DA31E2" w:rsidRDefault="00DA31E2" w:rsidP="00DA31E2">
      <w:pPr>
        <w:pStyle w:val="BlockText"/>
        <w:tabs>
          <w:tab w:val="clear" w:pos="426"/>
          <w:tab w:val="clear" w:pos="993"/>
        </w:tabs>
        <w:spacing w:before="0" w:line="276" w:lineRule="auto"/>
        <w:ind w:right="0"/>
        <w:jc w:val="both"/>
        <w:rPr>
          <w:rFonts w:asciiTheme="minorHAnsi" w:hAnsiTheme="minorHAnsi"/>
        </w:rPr>
      </w:pPr>
    </w:p>
    <w:p w14:paraId="6ED49F3E" w14:textId="1095383E" w:rsidR="003433B6" w:rsidRDefault="005F457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requirement </w:t>
      </w:r>
      <w:r w:rsidRPr="008404D7">
        <w:rPr>
          <w:rFonts w:asciiTheme="minorHAnsi" w:hAnsiTheme="minorHAnsi"/>
        </w:rPr>
        <w:t>to take financial circumstances into account does not dictate that the financial circumstances will determine the fine that is to be imposed.</w:t>
      </w:r>
      <w:r w:rsidRPr="00C00000">
        <w:rPr>
          <w:rStyle w:val="Style"/>
          <w:rFonts w:asciiTheme="minorHAnsi" w:hAnsiTheme="minorHAnsi"/>
        </w:rPr>
        <w:footnoteReference w:id="633"/>
      </w:r>
      <w:r w:rsidRPr="00051102">
        <w:rPr>
          <w:rStyle w:val="ssleftalign"/>
          <w:rFonts w:ascii="Calibri" w:hAnsi="Calibri"/>
        </w:rPr>
        <w:t xml:space="preserve">  </w:t>
      </w:r>
      <w:r w:rsidR="008404D7" w:rsidRPr="008404D7">
        <w:rPr>
          <w:rFonts w:asciiTheme="minorHAnsi" w:hAnsiTheme="minorHAnsi"/>
        </w:rPr>
        <w:t>The financial circumstances of the offender is a mandatory consideration, but, expressly, there are other considerations; the capacity of the offender to pay is relevant but not decisive.</w:t>
      </w:r>
      <w:r w:rsidR="008404D7" w:rsidRPr="00C00000">
        <w:rPr>
          <w:rStyle w:val="Style"/>
          <w:rFonts w:asciiTheme="minorHAnsi" w:hAnsiTheme="minorHAnsi"/>
        </w:rPr>
        <w:footnoteReference w:id="634"/>
      </w:r>
      <w:r w:rsidR="007440C9" w:rsidRPr="007440C9">
        <w:rPr>
          <w:rFonts w:asciiTheme="minorHAnsi" w:hAnsiTheme="minorHAnsi"/>
        </w:rPr>
        <w:t xml:space="preserve"> </w:t>
      </w:r>
      <w:r w:rsidR="007440C9">
        <w:rPr>
          <w:rFonts w:asciiTheme="minorHAnsi" w:hAnsiTheme="minorHAnsi"/>
        </w:rPr>
        <w:t xml:space="preserve"> A fine or pecuniary penalty which exceeds the capacity of the offender to pay is not necessarily excessive</w:t>
      </w:r>
      <w:r w:rsidR="00F4335F">
        <w:rPr>
          <w:rFonts w:asciiTheme="minorHAnsi" w:hAnsiTheme="minorHAnsi"/>
        </w:rPr>
        <w:t xml:space="preserve">, and may be </w:t>
      </w:r>
      <w:r w:rsidR="00972100">
        <w:rPr>
          <w:rFonts w:asciiTheme="minorHAnsi" w:hAnsiTheme="minorHAnsi"/>
        </w:rPr>
        <w:t>entirely appropriate (to satisfy the requirements of general and specific deterrence) where the offence was committed for financial gain</w:t>
      </w:r>
      <w:r w:rsidR="007440C9">
        <w:rPr>
          <w:rFonts w:asciiTheme="minorHAnsi" w:hAnsiTheme="minorHAnsi"/>
        </w:rPr>
        <w:t>.</w:t>
      </w:r>
      <w:r w:rsidR="007440C9" w:rsidRPr="00C00000">
        <w:rPr>
          <w:rStyle w:val="Style"/>
          <w:rFonts w:asciiTheme="minorHAnsi" w:hAnsiTheme="minorHAnsi"/>
        </w:rPr>
        <w:footnoteReference w:id="635"/>
      </w:r>
    </w:p>
    <w:p w14:paraId="177EBAD5" w14:textId="77777777" w:rsidR="003433B6" w:rsidRDefault="003433B6" w:rsidP="003433B6">
      <w:pPr>
        <w:pStyle w:val="ListParagraph"/>
        <w:rPr>
          <w:rFonts w:asciiTheme="minorHAnsi" w:hAnsiTheme="minorHAnsi"/>
        </w:rPr>
      </w:pPr>
    </w:p>
    <w:p w14:paraId="2AE14C18" w14:textId="0C1FDE0E" w:rsidR="005F4579" w:rsidRDefault="0015174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Consideration of the </w:t>
      </w:r>
      <w:r w:rsidRPr="00151742">
        <w:rPr>
          <w:rFonts w:asciiTheme="minorHAnsi" w:hAnsiTheme="minorHAnsi"/>
        </w:rPr>
        <w:t xml:space="preserve">financial circumstances </w:t>
      </w:r>
      <w:r>
        <w:rPr>
          <w:rFonts w:asciiTheme="minorHAnsi" w:hAnsiTheme="minorHAnsi"/>
        </w:rPr>
        <w:t xml:space="preserve">of the offender </w:t>
      </w:r>
      <w:r w:rsidRPr="00151742">
        <w:rPr>
          <w:rFonts w:asciiTheme="minorHAnsi" w:hAnsiTheme="minorHAnsi"/>
        </w:rPr>
        <w:t>may increase, rather than decrease, a fine in order for it to be a deterrent for the offender.</w:t>
      </w:r>
      <w:r w:rsidRPr="00C00000">
        <w:rPr>
          <w:rStyle w:val="Style"/>
          <w:rFonts w:asciiTheme="minorHAnsi" w:hAnsiTheme="minorHAnsi"/>
        </w:rPr>
        <w:footnoteReference w:id="636"/>
      </w:r>
    </w:p>
    <w:p w14:paraId="0E19C1F9" w14:textId="77777777" w:rsidR="00151742" w:rsidRDefault="00151742" w:rsidP="00151742">
      <w:pPr>
        <w:pStyle w:val="ListParagraph"/>
        <w:rPr>
          <w:rFonts w:asciiTheme="minorHAnsi" w:hAnsiTheme="minorHAnsi"/>
        </w:rPr>
      </w:pPr>
    </w:p>
    <w:p w14:paraId="0ADDF354" w14:textId="0C98EC8B" w:rsidR="00612B6D" w:rsidRDefault="00612B6D" w:rsidP="001F7E6F">
      <w:pPr>
        <w:pStyle w:val="Heading3"/>
      </w:pPr>
      <w:bookmarkStart w:id="1649" w:name="_Toc33602853"/>
      <w:r>
        <w:t>Aggregate fine for multiple offences</w:t>
      </w:r>
      <w:bookmarkEnd w:id="1649"/>
    </w:p>
    <w:p w14:paraId="5BA0AD4F" w14:textId="77777777" w:rsidR="00612B6D" w:rsidRDefault="00612B6D" w:rsidP="00F40D81">
      <w:pPr>
        <w:pStyle w:val="BlockText"/>
        <w:keepNext/>
        <w:tabs>
          <w:tab w:val="clear" w:pos="426"/>
          <w:tab w:val="clear" w:pos="993"/>
          <w:tab w:val="left" w:pos="567"/>
          <w:tab w:val="left" w:pos="709"/>
          <w:tab w:val="left" w:pos="851"/>
        </w:tabs>
        <w:spacing w:before="0" w:line="276" w:lineRule="auto"/>
        <w:ind w:left="873" w:right="0" w:firstLine="0"/>
        <w:rPr>
          <w:rFonts w:asciiTheme="minorHAnsi" w:hAnsiTheme="minorHAnsi"/>
        </w:rPr>
      </w:pPr>
    </w:p>
    <w:p w14:paraId="318E008E" w14:textId="32362BA7" w:rsidR="00612B6D" w:rsidRPr="00C00000" w:rsidRDefault="00612B6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There is no general power to impose a single aggregate fine for multiple federal offences.  There are, however, particular circumstances in which a court may impose an aggregate fine in sentencing a federal offender: see “</w:t>
      </w:r>
      <w:r>
        <w:rPr>
          <w:rFonts w:asciiTheme="minorHAnsi" w:hAnsiTheme="minorHAnsi"/>
        </w:rPr>
        <w:fldChar w:fldCharType="begin"/>
      </w:r>
      <w:r>
        <w:rPr>
          <w:rFonts w:asciiTheme="minorHAnsi" w:hAnsiTheme="minorHAnsi"/>
        </w:rPr>
        <w:instrText xml:space="preserve"> REF _Ref492823967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7.10</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_Ref492823967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Aggregate penalty</w:t>
      </w:r>
      <w:r>
        <w:rPr>
          <w:rFonts w:asciiTheme="minorHAnsi" w:hAnsiTheme="minorHAnsi"/>
        </w:rPr>
        <w:fldChar w:fldCharType="end"/>
      </w:r>
      <w:r>
        <w:rPr>
          <w:rFonts w:asciiTheme="minorHAnsi" w:hAnsiTheme="minorHAnsi"/>
        </w:rPr>
        <w:t>”.</w:t>
      </w:r>
      <w:r w:rsidR="00B5553B">
        <w:rPr>
          <w:rFonts w:asciiTheme="minorHAnsi" w:hAnsiTheme="minorHAnsi"/>
        </w:rPr>
        <w:t xml:space="preserve">  In no circumstances can a court impose a single aggregate fine for a Commonwealth offence and a State offence.</w:t>
      </w:r>
    </w:p>
    <w:p w14:paraId="3F2BA8A3" w14:textId="77777777" w:rsidR="00612B6D" w:rsidRPr="00051102" w:rsidRDefault="00612B6D" w:rsidP="00612B6D">
      <w:pPr>
        <w:pStyle w:val="NormalIndent"/>
        <w:rPr>
          <w:rFonts w:ascii="Calibri" w:hAnsi="Calibri"/>
        </w:rPr>
      </w:pPr>
    </w:p>
    <w:p w14:paraId="251FB82B" w14:textId="4053160E" w:rsidR="00651668" w:rsidRPr="00E9607E" w:rsidRDefault="00651668" w:rsidP="001F7E6F">
      <w:pPr>
        <w:pStyle w:val="Heading3"/>
      </w:pPr>
      <w:bookmarkStart w:id="1650" w:name="_Toc33602854"/>
      <w:r w:rsidRPr="00E9607E">
        <w:t>Fine an</w:t>
      </w:r>
      <w:r w:rsidR="00392D2F" w:rsidRPr="00E9607E">
        <w:t>d imprisonment</w:t>
      </w:r>
      <w:bookmarkEnd w:id="1650"/>
    </w:p>
    <w:p w14:paraId="4CE91380" w14:textId="77777777" w:rsidR="00FE081C" w:rsidRPr="00C00000" w:rsidRDefault="00FE081C" w:rsidP="00F40D81">
      <w:pPr>
        <w:pStyle w:val="BlockText"/>
        <w:keepNext/>
        <w:tabs>
          <w:tab w:val="clear" w:pos="426"/>
          <w:tab w:val="clear" w:pos="993"/>
          <w:tab w:val="left" w:pos="567"/>
          <w:tab w:val="left" w:pos="709"/>
          <w:tab w:val="left" w:pos="851"/>
        </w:tabs>
        <w:spacing w:before="0" w:line="276" w:lineRule="auto"/>
        <w:ind w:left="873" w:right="0" w:firstLine="0"/>
        <w:rPr>
          <w:rFonts w:asciiTheme="minorHAnsi" w:hAnsiTheme="minorHAnsi"/>
        </w:rPr>
      </w:pPr>
    </w:p>
    <w:p w14:paraId="1FFC11A4" w14:textId="1D46BF0C" w:rsidR="001D0B0A" w:rsidRDefault="00651668"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Some Commonwealth offences are</w:t>
      </w:r>
      <w:r w:rsidR="001D0B0A">
        <w:rPr>
          <w:rFonts w:asciiTheme="minorHAnsi" w:hAnsiTheme="minorHAnsi"/>
        </w:rPr>
        <w:t xml:space="preserve"> specifically</w:t>
      </w:r>
      <w:r w:rsidRPr="00C00000">
        <w:rPr>
          <w:rFonts w:asciiTheme="minorHAnsi" w:hAnsiTheme="minorHAnsi"/>
        </w:rPr>
        <w:t xml:space="preserve"> punishable by </w:t>
      </w:r>
      <w:r w:rsidR="001D0B0A">
        <w:rPr>
          <w:rFonts w:asciiTheme="minorHAnsi" w:hAnsiTheme="minorHAnsi"/>
        </w:rPr>
        <w:t xml:space="preserve">both a </w:t>
      </w:r>
      <w:r w:rsidRPr="00C00000">
        <w:rPr>
          <w:rFonts w:asciiTheme="minorHAnsi" w:hAnsiTheme="minorHAnsi"/>
        </w:rPr>
        <w:t xml:space="preserve">fine and imprisonment.  </w:t>
      </w:r>
      <w:r w:rsidR="001D0B0A">
        <w:rPr>
          <w:rFonts w:asciiTheme="minorHAnsi" w:hAnsiTheme="minorHAnsi"/>
        </w:rPr>
        <w:t xml:space="preserve">Moreover, </w:t>
      </w:r>
      <w:r w:rsidRPr="00C00000">
        <w:rPr>
          <w:rFonts w:asciiTheme="minorHAnsi" w:hAnsiTheme="minorHAnsi"/>
        </w:rPr>
        <w:t xml:space="preserve">the effect of s 4B </w:t>
      </w:r>
      <w:r w:rsidR="001D0B0A">
        <w:rPr>
          <w:rFonts w:asciiTheme="minorHAnsi" w:hAnsiTheme="minorHAnsi"/>
        </w:rPr>
        <w:t xml:space="preserve">of the </w:t>
      </w:r>
      <w:r w:rsidR="00885EFD" w:rsidRPr="00885EFD">
        <w:rPr>
          <w:rFonts w:asciiTheme="minorHAnsi" w:hAnsiTheme="minorHAnsi"/>
          <w:i/>
        </w:rPr>
        <w:t>Crimes Act 1914</w:t>
      </w:r>
      <w:r w:rsidR="001D0B0A">
        <w:rPr>
          <w:rFonts w:asciiTheme="minorHAnsi" w:hAnsiTheme="minorHAnsi"/>
        </w:rPr>
        <w:t xml:space="preserve"> (Cth) is that whenever an </w:t>
      </w:r>
      <w:r w:rsidR="001D0B0A" w:rsidRPr="00C00000">
        <w:rPr>
          <w:rFonts w:asciiTheme="minorHAnsi" w:hAnsiTheme="minorHAnsi"/>
        </w:rPr>
        <w:t>offence is punishable by imprisonment only</w:t>
      </w:r>
      <w:r w:rsidR="001D0B0A">
        <w:rPr>
          <w:rFonts w:asciiTheme="minorHAnsi" w:hAnsiTheme="minorHAnsi"/>
        </w:rPr>
        <w:t>,</w:t>
      </w:r>
      <w:r w:rsidR="001D0B0A" w:rsidRPr="00C00000">
        <w:rPr>
          <w:rFonts w:asciiTheme="minorHAnsi" w:hAnsiTheme="minorHAnsi"/>
        </w:rPr>
        <w:t xml:space="preserve"> </w:t>
      </w:r>
      <w:r w:rsidRPr="00C00000">
        <w:rPr>
          <w:rFonts w:asciiTheme="minorHAnsi" w:hAnsiTheme="minorHAnsi"/>
        </w:rPr>
        <w:t xml:space="preserve">a court </w:t>
      </w:r>
      <w:r w:rsidR="001D0B0A">
        <w:rPr>
          <w:rFonts w:asciiTheme="minorHAnsi" w:hAnsiTheme="minorHAnsi"/>
        </w:rPr>
        <w:t xml:space="preserve">has power </w:t>
      </w:r>
      <w:r w:rsidRPr="00C00000">
        <w:rPr>
          <w:rFonts w:asciiTheme="minorHAnsi" w:hAnsiTheme="minorHAnsi"/>
        </w:rPr>
        <w:t>to impose a pecuniary penalty</w:t>
      </w:r>
      <w:r w:rsidR="001D0B0A">
        <w:rPr>
          <w:rFonts w:asciiTheme="minorHAnsi" w:hAnsiTheme="minorHAnsi"/>
        </w:rPr>
        <w:t xml:space="preserve"> instead of, or</w:t>
      </w:r>
      <w:r w:rsidRPr="00C00000">
        <w:rPr>
          <w:rFonts w:asciiTheme="minorHAnsi" w:hAnsiTheme="minorHAnsi"/>
        </w:rPr>
        <w:t xml:space="preserve"> in addition to</w:t>
      </w:r>
      <w:r w:rsidR="001D0B0A">
        <w:rPr>
          <w:rFonts w:asciiTheme="minorHAnsi" w:hAnsiTheme="minorHAnsi"/>
        </w:rPr>
        <w:t>,</w:t>
      </w:r>
      <w:r w:rsidRPr="00C00000">
        <w:rPr>
          <w:rFonts w:asciiTheme="minorHAnsi" w:hAnsiTheme="minorHAnsi"/>
        </w:rPr>
        <w:t xml:space="preserve"> imprisonment.</w:t>
      </w:r>
    </w:p>
    <w:p w14:paraId="35E04325" w14:textId="77777777" w:rsidR="001D0B0A" w:rsidRDefault="001D0B0A" w:rsidP="001D0B0A">
      <w:pPr>
        <w:pStyle w:val="BlockText"/>
        <w:tabs>
          <w:tab w:val="clear" w:pos="426"/>
          <w:tab w:val="clear" w:pos="993"/>
        </w:tabs>
        <w:spacing w:before="0" w:line="276" w:lineRule="auto"/>
        <w:ind w:right="0"/>
        <w:jc w:val="both"/>
        <w:rPr>
          <w:rFonts w:asciiTheme="minorHAnsi" w:hAnsiTheme="minorHAnsi"/>
        </w:rPr>
      </w:pPr>
    </w:p>
    <w:p w14:paraId="249DF316" w14:textId="146A5CF0" w:rsidR="00651668" w:rsidRPr="00C00000" w:rsidRDefault="00E0567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most common circumstance in which a fine is imposed in addition to a term of imprisonment is where the offender has profited from the offending.</w:t>
      </w:r>
      <w:r w:rsidRPr="00C00000">
        <w:rPr>
          <w:rStyle w:val="Style"/>
          <w:rFonts w:asciiTheme="minorHAnsi" w:hAnsiTheme="minorHAnsi"/>
        </w:rPr>
        <w:footnoteReference w:id="637"/>
      </w:r>
    </w:p>
    <w:p w14:paraId="5A8367CF" w14:textId="77777777" w:rsidR="006B621D" w:rsidRPr="00C00000" w:rsidRDefault="006B621D" w:rsidP="007C11C2">
      <w:pPr>
        <w:pStyle w:val="BlockText"/>
        <w:tabs>
          <w:tab w:val="clear" w:pos="426"/>
          <w:tab w:val="clear" w:pos="993"/>
        </w:tabs>
        <w:spacing w:before="0" w:line="276" w:lineRule="auto"/>
        <w:ind w:left="873" w:right="0" w:firstLine="0"/>
        <w:jc w:val="both"/>
        <w:rPr>
          <w:rFonts w:asciiTheme="minorHAnsi" w:hAnsiTheme="minorHAnsi"/>
        </w:rPr>
      </w:pPr>
    </w:p>
    <w:p w14:paraId="7E3261B6" w14:textId="0CCFE37B" w:rsidR="00651668" w:rsidRPr="009541AE" w:rsidRDefault="00D936A0" w:rsidP="006D50C7">
      <w:pPr>
        <w:pStyle w:val="Heading3"/>
      </w:pPr>
      <w:bookmarkStart w:id="1651" w:name="_Ref8119346"/>
      <w:bookmarkStart w:id="1652" w:name="_Ref8119349"/>
      <w:bookmarkStart w:id="1653" w:name="_Toc33602855"/>
      <w:r w:rsidRPr="009541AE">
        <w:t>Enforcement</w:t>
      </w:r>
      <w:r w:rsidR="00A91A7E" w:rsidRPr="009541AE">
        <w:t xml:space="preserve"> of fines</w:t>
      </w:r>
      <w:r w:rsidR="00E54149" w:rsidRPr="009541AE">
        <w:t xml:space="preserve"> – </w:t>
      </w:r>
      <w:r w:rsidR="00007FDA" w:rsidRPr="009541AE">
        <w:rPr>
          <w:i/>
        </w:rPr>
        <w:t>Crimes Act 1914</w:t>
      </w:r>
      <w:r w:rsidR="00007FDA" w:rsidRPr="009541AE">
        <w:t xml:space="preserve">, </w:t>
      </w:r>
      <w:r w:rsidR="009477CA" w:rsidRPr="009541AE">
        <w:t xml:space="preserve">s </w:t>
      </w:r>
      <w:r w:rsidR="0016494B" w:rsidRPr="009541AE">
        <w:t>15A</w:t>
      </w:r>
      <w:bookmarkEnd w:id="1651"/>
      <w:bookmarkEnd w:id="1652"/>
      <w:bookmarkEnd w:id="1653"/>
    </w:p>
    <w:p w14:paraId="6DDB8A6F" w14:textId="77777777" w:rsidR="0087184E" w:rsidRPr="009541AE" w:rsidRDefault="0087184E" w:rsidP="006D50C7">
      <w:pPr>
        <w:pStyle w:val="BlockText"/>
        <w:keepNext/>
        <w:tabs>
          <w:tab w:val="clear" w:pos="426"/>
          <w:tab w:val="clear" w:pos="993"/>
        </w:tabs>
        <w:spacing w:before="0" w:line="276" w:lineRule="auto"/>
        <w:ind w:left="567" w:right="0" w:firstLine="0"/>
        <w:jc w:val="both"/>
        <w:rPr>
          <w:rFonts w:ascii="Calibri" w:hAnsi="Calibri"/>
        </w:rPr>
      </w:pPr>
    </w:p>
    <w:p w14:paraId="1A5AC654" w14:textId="6775A528" w:rsidR="00651668" w:rsidRPr="009541AE" w:rsidRDefault="00651668" w:rsidP="002632BC">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Section 15A adopts </w:t>
      </w:r>
      <w:r w:rsidR="001745B3" w:rsidRPr="009541AE">
        <w:rPr>
          <w:rFonts w:asciiTheme="minorHAnsi" w:hAnsiTheme="minorHAnsi"/>
        </w:rPr>
        <w:t>S</w:t>
      </w:r>
      <w:r w:rsidRPr="009541AE">
        <w:rPr>
          <w:rFonts w:asciiTheme="minorHAnsi" w:hAnsiTheme="minorHAnsi"/>
        </w:rPr>
        <w:t>tate</w:t>
      </w:r>
      <w:r w:rsidR="001745B3" w:rsidRPr="009541AE">
        <w:rPr>
          <w:rFonts w:asciiTheme="minorHAnsi" w:hAnsiTheme="minorHAnsi"/>
        </w:rPr>
        <w:t>/Territory</w:t>
      </w:r>
      <w:r w:rsidRPr="009541AE">
        <w:rPr>
          <w:rFonts w:asciiTheme="minorHAnsi" w:hAnsiTheme="minorHAnsi"/>
        </w:rPr>
        <w:t xml:space="preserve"> law relating to enforcement of fines.</w:t>
      </w:r>
      <w:r w:rsidR="00D936A0" w:rsidRPr="009541AE">
        <w:rPr>
          <w:rStyle w:val="Style"/>
          <w:rFonts w:asciiTheme="minorHAnsi" w:hAnsiTheme="minorHAnsi"/>
        </w:rPr>
        <w:footnoteReference w:id="638"/>
      </w:r>
      <w:r w:rsidRPr="009541AE">
        <w:rPr>
          <w:rFonts w:asciiTheme="minorHAnsi" w:hAnsiTheme="minorHAnsi"/>
        </w:rPr>
        <w:t xml:space="preserve">  </w:t>
      </w:r>
      <w:r w:rsidR="00E20278" w:rsidRPr="009541AE">
        <w:rPr>
          <w:rFonts w:asciiTheme="minorHAnsi" w:hAnsiTheme="minorHAnsi"/>
        </w:rPr>
        <w:t>Section 15A(1) provides:</w:t>
      </w:r>
    </w:p>
    <w:p w14:paraId="1FBF0287" w14:textId="3BAB1051" w:rsidR="00E20278" w:rsidRPr="009541AE" w:rsidRDefault="00E20278" w:rsidP="00EB7F1E">
      <w:pPr>
        <w:pStyle w:val="BodyText"/>
        <w:spacing w:line="276" w:lineRule="auto"/>
        <w:ind w:left="1134" w:right="170" w:hanging="567"/>
        <w:jc w:val="both"/>
        <w:rPr>
          <w:rFonts w:asciiTheme="minorHAnsi" w:hAnsiTheme="minorHAnsi"/>
          <w:i/>
        </w:rPr>
      </w:pPr>
      <w:r w:rsidRPr="009541AE">
        <w:rPr>
          <w:rFonts w:asciiTheme="minorHAnsi" w:hAnsiTheme="minorHAnsi"/>
          <w:i/>
        </w:rPr>
        <w:t>(1)</w:t>
      </w:r>
      <w:r w:rsidRPr="009541AE">
        <w:rPr>
          <w:rFonts w:asciiTheme="minorHAnsi" w:hAnsiTheme="minorHAnsi"/>
          <w:i/>
        </w:rPr>
        <w:tab/>
        <w:t>A law of a State or Territory relating to the enforcement or recovery of a fine imposed on an offender applies to a person convicted in the State or Territory of an offence against a law of the Commonwealth. The law applies:</w:t>
      </w:r>
    </w:p>
    <w:p w14:paraId="7DD0ADAF" w14:textId="62B402A3" w:rsidR="00E20278" w:rsidRPr="009541AE" w:rsidRDefault="00E20278" w:rsidP="00EB7F1E">
      <w:pPr>
        <w:pStyle w:val="BodyText"/>
        <w:spacing w:line="276" w:lineRule="auto"/>
        <w:ind w:left="1560" w:right="170" w:hanging="426"/>
        <w:jc w:val="both"/>
        <w:rPr>
          <w:rFonts w:asciiTheme="minorHAnsi" w:hAnsiTheme="minorHAnsi"/>
          <w:i/>
        </w:rPr>
      </w:pPr>
      <w:r w:rsidRPr="009541AE">
        <w:rPr>
          <w:rFonts w:asciiTheme="minorHAnsi" w:hAnsiTheme="minorHAnsi"/>
          <w:i/>
        </w:rPr>
        <w:t>(a)</w:t>
      </w:r>
      <w:r w:rsidRPr="009541AE">
        <w:rPr>
          <w:rFonts w:asciiTheme="minorHAnsi" w:hAnsiTheme="minorHAnsi"/>
          <w:i/>
        </w:rPr>
        <w:tab/>
        <w:t>so far as it is not inconsistent with a law of the Commonwealth; and</w:t>
      </w:r>
    </w:p>
    <w:p w14:paraId="49A41F11" w14:textId="4EDC37FC" w:rsidR="00E20278" w:rsidRPr="009541AE" w:rsidRDefault="00E20278" w:rsidP="00EB7F1E">
      <w:pPr>
        <w:pStyle w:val="BodyText"/>
        <w:spacing w:line="276" w:lineRule="auto"/>
        <w:ind w:left="1560" w:right="170" w:hanging="426"/>
        <w:jc w:val="both"/>
        <w:rPr>
          <w:rFonts w:asciiTheme="minorHAnsi" w:hAnsiTheme="minorHAnsi"/>
          <w:i/>
        </w:rPr>
      </w:pPr>
      <w:r w:rsidRPr="009541AE">
        <w:rPr>
          <w:rFonts w:asciiTheme="minorHAnsi" w:hAnsiTheme="minorHAnsi"/>
          <w:i/>
        </w:rPr>
        <w:t>(b)</w:t>
      </w:r>
      <w:r w:rsidRPr="009541AE">
        <w:rPr>
          <w:rFonts w:asciiTheme="minorHAnsi" w:hAnsiTheme="minorHAnsi"/>
          <w:i/>
        </w:rPr>
        <w:tab/>
        <w:t>with the modifications (if any) made by or under this section.</w:t>
      </w:r>
    </w:p>
    <w:p w14:paraId="7E883AB8" w14:textId="77777777" w:rsidR="000212C5" w:rsidRPr="009541AE" w:rsidRDefault="000212C5" w:rsidP="00EB7F1E">
      <w:pPr>
        <w:pStyle w:val="BlockText"/>
        <w:tabs>
          <w:tab w:val="clear" w:pos="426"/>
          <w:tab w:val="clear" w:pos="993"/>
        </w:tabs>
        <w:spacing w:before="0" w:line="276" w:lineRule="auto"/>
        <w:ind w:right="0"/>
        <w:jc w:val="both"/>
        <w:rPr>
          <w:rFonts w:asciiTheme="minorHAnsi" w:hAnsiTheme="minorHAnsi"/>
        </w:rPr>
      </w:pPr>
    </w:p>
    <w:p w14:paraId="4C1421C0" w14:textId="20876F42" w:rsidR="00056B7E" w:rsidRPr="009541AE" w:rsidRDefault="00E20278">
      <w:pPr>
        <w:pStyle w:val="BlockText"/>
        <w:numPr>
          <w:ilvl w:val="0"/>
          <w:numId w:val="7"/>
        </w:numPr>
        <w:tabs>
          <w:tab w:val="clear" w:pos="426"/>
          <w:tab w:val="clear" w:pos="993"/>
        </w:tabs>
        <w:spacing w:before="0" w:line="276" w:lineRule="auto"/>
        <w:ind w:right="0"/>
        <w:jc w:val="both"/>
        <w:rPr>
          <w:rFonts w:asciiTheme="minorHAnsi" w:hAnsiTheme="minorHAnsi"/>
        </w:rPr>
      </w:pPr>
      <w:r w:rsidRPr="009541AE">
        <w:rPr>
          <w:rFonts w:asciiTheme="minorHAnsi" w:hAnsiTheme="minorHAnsi"/>
        </w:rPr>
        <w:t xml:space="preserve">The provision is comparable </w:t>
      </w:r>
      <w:r w:rsidR="00FF289C" w:rsidRPr="009541AE">
        <w:rPr>
          <w:rFonts w:asciiTheme="minorHAnsi" w:hAnsiTheme="minorHAnsi"/>
        </w:rPr>
        <w:t xml:space="preserve">to s 79 of the </w:t>
      </w:r>
      <w:r w:rsidR="00FF289C" w:rsidRPr="009541AE">
        <w:rPr>
          <w:rFonts w:asciiTheme="minorHAnsi" w:hAnsiTheme="minorHAnsi"/>
          <w:i/>
          <w:iCs/>
        </w:rPr>
        <w:t>Judiciary Act 1903 (Cth)</w:t>
      </w:r>
      <w:r w:rsidR="00FF289C" w:rsidRPr="009541AE">
        <w:rPr>
          <w:rFonts w:asciiTheme="minorHAnsi" w:hAnsiTheme="minorHAnsi"/>
        </w:rPr>
        <w:t>.</w:t>
      </w:r>
      <w:r w:rsidR="00FF289C" w:rsidRPr="009541AE">
        <w:rPr>
          <w:rStyle w:val="Style"/>
          <w:rFonts w:asciiTheme="minorHAnsi" w:hAnsiTheme="minorHAnsi"/>
        </w:rPr>
        <w:footnoteReference w:id="639"/>
      </w:r>
      <w:r w:rsidR="00FF289C" w:rsidRPr="009541AE">
        <w:rPr>
          <w:rFonts w:asciiTheme="minorHAnsi" w:hAnsiTheme="minorHAnsi"/>
        </w:rPr>
        <w:t xml:space="preserve">  </w:t>
      </w:r>
      <w:r w:rsidR="00056B7E" w:rsidRPr="009541AE">
        <w:rPr>
          <w:rFonts w:asciiTheme="minorHAnsi" w:hAnsiTheme="minorHAnsi"/>
        </w:rPr>
        <w:t>State/Territory laws apply notwithstanding that in their terms they are confined to persons convicted in courts of the State/Territory of offences against the laws of the State/Territory.</w:t>
      </w:r>
      <w:r w:rsidR="000212C5" w:rsidRPr="009541AE">
        <w:rPr>
          <w:rFonts w:asciiTheme="minorHAnsi" w:hAnsiTheme="minorHAnsi"/>
        </w:rPr>
        <w:t xml:space="preserve"> </w:t>
      </w:r>
      <w:r w:rsidR="00056B7E" w:rsidRPr="009541AE">
        <w:rPr>
          <w:rFonts w:asciiTheme="minorHAnsi" w:hAnsiTheme="minorHAnsi"/>
        </w:rPr>
        <w:t xml:space="preserve"> To that extent, and to that extent only, the State laws are given an expanded meaning.</w:t>
      </w:r>
      <w:r w:rsidR="000212C5" w:rsidRPr="009541AE">
        <w:rPr>
          <w:rFonts w:asciiTheme="minorHAnsi" w:hAnsiTheme="minorHAnsi"/>
        </w:rPr>
        <w:t xml:space="preserve"> </w:t>
      </w:r>
      <w:r w:rsidR="00056B7E" w:rsidRPr="009541AE">
        <w:rPr>
          <w:rFonts w:asciiTheme="minorHAnsi" w:hAnsiTheme="minorHAnsi"/>
        </w:rPr>
        <w:t xml:space="preserve"> Otherwise the laws are applied with their meaning unchanged.</w:t>
      </w:r>
      <w:r w:rsidR="000212C5" w:rsidRPr="009541AE">
        <w:rPr>
          <w:rStyle w:val="Style"/>
          <w:rFonts w:asciiTheme="minorHAnsi" w:hAnsiTheme="minorHAnsi"/>
        </w:rPr>
        <w:footnoteReference w:id="640"/>
      </w:r>
    </w:p>
    <w:p w14:paraId="06C4026F" w14:textId="77777777" w:rsidR="00FF289C" w:rsidRPr="009541AE" w:rsidRDefault="00FF289C" w:rsidP="00EB7F1E">
      <w:pPr>
        <w:pStyle w:val="BlockText"/>
        <w:tabs>
          <w:tab w:val="clear" w:pos="426"/>
          <w:tab w:val="clear" w:pos="993"/>
        </w:tabs>
        <w:spacing w:before="0" w:line="276" w:lineRule="auto"/>
        <w:ind w:right="0"/>
        <w:jc w:val="both"/>
        <w:rPr>
          <w:rFonts w:asciiTheme="minorHAnsi" w:hAnsiTheme="minorHAnsi"/>
        </w:rPr>
      </w:pPr>
    </w:p>
    <w:p w14:paraId="7A2B4750" w14:textId="705396D1" w:rsidR="00FF289C" w:rsidRPr="009541AE" w:rsidRDefault="00FF289C">
      <w:pPr>
        <w:pStyle w:val="BlockText"/>
        <w:numPr>
          <w:ilvl w:val="0"/>
          <w:numId w:val="7"/>
        </w:numPr>
        <w:tabs>
          <w:tab w:val="clear" w:pos="426"/>
          <w:tab w:val="clear" w:pos="993"/>
        </w:tabs>
        <w:spacing w:before="0" w:line="276" w:lineRule="auto"/>
        <w:ind w:right="0"/>
        <w:jc w:val="both"/>
        <w:rPr>
          <w:rFonts w:asciiTheme="minorHAnsi" w:hAnsiTheme="minorHAnsi"/>
        </w:rPr>
      </w:pPr>
      <w:r w:rsidRPr="009541AE">
        <w:rPr>
          <w:rFonts w:asciiTheme="minorHAnsi" w:hAnsiTheme="minorHAnsi"/>
        </w:rPr>
        <w:t xml:space="preserve">Like the cognate provisions of the </w:t>
      </w:r>
      <w:r w:rsidRPr="009541AE">
        <w:rPr>
          <w:rFonts w:asciiTheme="minorHAnsi" w:hAnsiTheme="minorHAnsi"/>
          <w:i/>
          <w:iCs/>
        </w:rPr>
        <w:t>Judiciary Act</w:t>
      </w:r>
      <w:r w:rsidRPr="009541AE">
        <w:rPr>
          <w:rFonts w:asciiTheme="minorHAnsi" w:hAnsiTheme="minorHAnsi"/>
        </w:rPr>
        <w:t xml:space="preserve">, s 15A does not apply State or Territory law to the extent that </w:t>
      </w:r>
      <w:r w:rsidR="000C61BD" w:rsidRPr="009541AE">
        <w:rPr>
          <w:rFonts w:asciiTheme="minorHAnsi" w:hAnsiTheme="minorHAnsi"/>
        </w:rPr>
        <w:t>to do so would be contrary to the Constitution or inconsistent with a law of the Commonwealth.  To avoid inconsistency with the requirements of Chapter III of the Consti</w:t>
      </w:r>
      <w:r w:rsidR="00BF282C" w:rsidRPr="009541AE">
        <w:rPr>
          <w:rFonts w:asciiTheme="minorHAnsi" w:hAnsiTheme="minorHAnsi"/>
        </w:rPr>
        <w:t>t</w:t>
      </w:r>
      <w:r w:rsidR="000C61BD" w:rsidRPr="009541AE">
        <w:rPr>
          <w:rFonts w:asciiTheme="minorHAnsi" w:hAnsiTheme="minorHAnsi"/>
        </w:rPr>
        <w:t xml:space="preserve">ution, s 15A includes provisions to ensure that, in the application of State or Territory law, the judicial power of the Commonwealth is not exercised other than by a court and that a court is not vested with </w:t>
      </w:r>
      <w:r w:rsidR="00D50506" w:rsidRPr="009541AE">
        <w:rPr>
          <w:rFonts w:asciiTheme="minorHAnsi" w:hAnsiTheme="minorHAnsi"/>
        </w:rPr>
        <w:t xml:space="preserve">a </w:t>
      </w:r>
      <w:r w:rsidR="000C61BD" w:rsidRPr="009541AE">
        <w:rPr>
          <w:rFonts w:asciiTheme="minorHAnsi" w:hAnsiTheme="minorHAnsi"/>
        </w:rPr>
        <w:t>non-judicial power or function which is not auxiliary or incidental to the exercise of judicial power.</w:t>
      </w:r>
      <w:r w:rsidR="00D50506" w:rsidRPr="009541AE">
        <w:rPr>
          <w:rFonts w:asciiTheme="minorHAnsi" w:hAnsiTheme="minorHAnsi"/>
        </w:rPr>
        <w:t xml:space="preserve">  To this end s 15A modifies State or Territory law as applied so that only a court may impose a penalty for failure to pay a fine (s 15A(1AA))</w:t>
      </w:r>
      <w:r w:rsidR="00C64EEA" w:rsidRPr="009541AE">
        <w:rPr>
          <w:rFonts w:asciiTheme="minorHAnsi" w:hAnsiTheme="minorHAnsi"/>
        </w:rPr>
        <w:t xml:space="preserve"> and provides for the enforcement of fines other than by a court (s 15A(1ACB) and (1AD)).</w:t>
      </w:r>
    </w:p>
    <w:p w14:paraId="338FE213" w14:textId="77777777" w:rsidR="00C64EEA" w:rsidRPr="006E33A0" w:rsidRDefault="00C64EEA" w:rsidP="00EB7F1E">
      <w:pPr>
        <w:pStyle w:val="ListParagraph"/>
        <w:rPr>
          <w:rFonts w:asciiTheme="minorHAnsi" w:hAnsiTheme="minorHAnsi"/>
          <w:highlight w:val="cyan"/>
        </w:rPr>
      </w:pPr>
    </w:p>
    <w:p w14:paraId="0B0FFCFF" w14:textId="746AC186" w:rsidR="00C64EEA" w:rsidRPr="009541AE" w:rsidRDefault="00C64EEA">
      <w:pPr>
        <w:pStyle w:val="BlockText"/>
        <w:numPr>
          <w:ilvl w:val="0"/>
          <w:numId w:val="7"/>
        </w:numPr>
        <w:tabs>
          <w:tab w:val="clear" w:pos="426"/>
          <w:tab w:val="clear" w:pos="993"/>
        </w:tabs>
        <w:spacing w:before="0" w:line="276" w:lineRule="auto"/>
        <w:ind w:right="0"/>
        <w:jc w:val="both"/>
        <w:rPr>
          <w:rFonts w:asciiTheme="minorHAnsi" w:hAnsiTheme="minorHAnsi"/>
        </w:rPr>
      </w:pPr>
      <w:r w:rsidRPr="009541AE">
        <w:rPr>
          <w:rFonts w:asciiTheme="minorHAnsi" w:hAnsiTheme="minorHAnsi"/>
        </w:rPr>
        <w:t>If a court imposes a sentence or sentences of imprisonment on a person in respect of a failure to pay a fine or fines imposed for a federal offence or offences, the court must direct that the sentence, or all the sentences, commence to be served from the earliest practicable day despite the fact that the person may, on that day, already be serving another sentence of imprisonment for a federal, State or Territory</w:t>
      </w:r>
      <w:r w:rsidR="00982778" w:rsidRPr="009541AE">
        <w:rPr>
          <w:rFonts w:asciiTheme="minorHAnsi" w:hAnsiTheme="minorHAnsi"/>
        </w:rPr>
        <w:t xml:space="preserve"> </w:t>
      </w:r>
      <w:r w:rsidRPr="009541AE">
        <w:rPr>
          <w:rFonts w:asciiTheme="minorHAnsi" w:hAnsiTheme="minorHAnsi"/>
        </w:rPr>
        <w:t>offence (s 15A(3)).  However the court may order whole or partial cumulation where it is of the opinion that, in all the circumstances of the case, it is more appropriate to do so (s 1</w:t>
      </w:r>
      <w:r w:rsidR="00766713" w:rsidRPr="009541AE">
        <w:rPr>
          <w:rFonts w:asciiTheme="minorHAnsi" w:hAnsiTheme="minorHAnsi"/>
        </w:rPr>
        <w:t>5A(4)).</w:t>
      </w:r>
    </w:p>
    <w:p w14:paraId="6AEEEC15" w14:textId="77777777" w:rsidR="00D50506" w:rsidRDefault="00D50506" w:rsidP="00EB7F1E">
      <w:pPr>
        <w:pStyle w:val="ListParagraph"/>
        <w:rPr>
          <w:rFonts w:asciiTheme="minorHAnsi" w:hAnsiTheme="minorHAnsi"/>
        </w:rPr>
      </w:pPr>
    </w:p>
    <w:p w14:paraId="2486531E" w14:textId="37721B61" w:rsidR="001A6C72" w:rsidRDefault="001A6C72">
      <w:pPr>
        <w:rPr>
          <w:rFonts w:asciiTheme="minorHAnsi" w:hAnsiTheme="minorHAnsi"/>
        </w:rPr>
      </w:pPr>
      <w:r>
        <w:rPr>
          <w:rFonts w:asciiTheme="minorHAnsi" w:hAnsiTheme="minorHAnsi"/>
        </w:rPr>
        <w:br w:type="page"/>
      </w:r>
    </w:p>
    <w:p w14:paraId="2F912019" w14:textId="77777777" w:rsidR="0021590D" w:rsidRPr="00C00000" w:rsidRDefault="0021590D" w:rsidP="007C11C2">
      <w:pPr>
        <w:pStyle w:val="BlockText"/>
        <w:tabs>
          <w:tab w:val="left" w:pos="567"/>
          <w:tab w:val="left" w:pos="709"/>
          <w:tab w:val="left" w:pos="851"/>
        </w:tabs>
        <w:spacing w:before="0" w:line="276" w:lineRule="auto"/>
        <w:ind w:left="873" w:right="0" w:firstLine="0"/>
        <w:jc w:val="both"/>
        <w:rPr>
          <w:rFonts w:asciiTheme="minorHAnsi" w:hAnsiTheme="minorHAnsi"/>
        </w:rPr>
      </w:pPr>
    </w:p>
    <w:p w14:paraId="502F78FE" w14:textId="1DD5E9FD" w:rsidR="008E5DEA" w:rsidRPr="00D80655" w:rsidRDefault="0073451C" w:rsidP="006D50C7">
      <w:pPr>
        <w:pStyle w:val="Heading2"/>
        <w:jc w:val="both"/>
      </w:pPr>
      <w:bookmarkStart w:id="1654" w:name="_Ref492478336"/>
      <w:bookmarkStart w:id="1655" w:name="_Ref492478339"/>
      <w:bookmarkStart w:id="1656" w:name="_Toc33602856"/>
      <w:r w:rsidRPr="00D80655">
        <w:t xml:space="preserve">Orders applied by </w:t>
      </w:r>
      <w:r w:rsidR="00885EFD" w:rsidRPr="00885EFD">
        <w:rPr>
          <w:i/>
        </w:rPr>
        <w:t>Crimes Act 1914</w:t>
      </w:r>
      <w:r w:rsidRPr="00D80655">
        <w:t>, s.20AB</w:t>
      </w:r>
      <w:bookmarkEnd w:id="1654"/>
      <w:bookmarkEnd w:id="1655"/>
      <w:bookmarkEnd w:id="1656"/>
    </w:p>
    <w:p w14:paraId="67666A7D" w14:textId="77777777" w:rsidR="005C14CC" w:rsidRPr="00051102" w:rsidRDefault="005C14CC" w:rsidP="006D50C7">
      <w:pPr>
        <w:keepNext/>
        <w:spacing w:line="276" w:lineRule="auto"/>
        <w:ind w:left="567"/>
        <w:jc w:val="both"/>
        <w:rPr>
          <w:rFonts w:ascii="Calibri" w:hAnsi="Calibri"/>
          <w:highlight w:val="yellow"/>
        </w:rPr>
      </w:pPr>
    </w:p>
    <w:p w14:paraId="484192F9" w14:textId="1EB4EC7D" w:rsidR="00C70EE1" w:rsidRDefault="005C14CC" w:rsidP="006D50C7">
      <w:pPr>
        <w:pStyle w:val="Heading3"/>
      </w:pPr>
      <w:bookmarkStart w:id="1657" w:name="_Toc33602857"/>
      <w:r>
        <w:t>The power conferred by s 20AB</w:t>
      </w:r>
      <w:bookmarkEnd w:id="1657"/>
    </w:p>
    <w:p w14:paraId="35939712" w14:textId="77777777" w:rsidR="005C14CC" w:rsidRPr="00051102" w:rsidRDefault="005C14CC" w:rsidP="006D50C7">
      <w:pPr>
        <w:pStyle w:val="NormalIndent"/>
        <w:keepNext/>
        <w:spacing w:line="276" w:lineRule="auto"/>
        <w:jc w:val="both"/>
        <w:rPr>
          <w:rFonts w:ascii="Calibri" w:hAnsi="Calibri"/>
        </w:rPr>
      </w:pPr>
    </w:p>
    <w:p w14:paraId="6027501A" w14:textId="5167FD21" w:rsidR="005C14CC" w:rsidRDefault="00A2013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20AB of the </w:t>
      </w:r>
      <w:r w:rsidR="00885EFD" w:rsidRPr="00885EFD">
        <w:rPr>
          <w:rFonts w:asciiTheme="minorHAnsi" w:hAnsiTheme="minorHAnsi"/>
          <w:i/>
        </w:rPr>
        <w:t>Crimes Act 1914</w:t>
      </w:r>
      <w:r>
        <w:rPr>
          <w:rFonts w:asciiTheme="minorHAnsi" w:hAnsiTheme="minorHAnsi"/>
        </w:rPr>
        <w:t xml:space="preserve"> (Cth)</w:t>
      </w:r>
      <w:r w:rsidR="004D56A0">
        <w:rPr>
          <w:rFonts w:asciiTheme="minorHAnsi" w:hAnsiTheme="minorHAnsi"/>
        </w:rPr>
        <w:t xml:space="preserve"> was inserted in 1982</w:t>
      </w:r>
      <w:r w:rsidR="009852A4">
        <w:rPr>
          <w:rFonts w:asciiTheme="minorHAnsi" w:hAnsiTheme="minorHAnsi"/>
        </w:rPr>
        <w:t>.</w:t>
      </w:r>
      <w:r w:rsidR="004D56A0" w:rsidRPr="00C00000">
        <w:rPr>
          <w:rStyle w:val="Style"/>
          <w:rFonts w:asciiTheme="minorHAnsi" w:hAnsiTheme="minorHAnsi"/>
        </w:rPr>
        <w:footnoteReference w:id="641"/>
      </w:r>
      <w:r>
        <w:rPr>
          <w:rFonts w:asciiTheme="minorHAnsi" w:hAnsiTheme="minorHAnsi"/>
        </w:rPr>
        <w:t xml:space="preserve"> </w:t>
      </w:r>
      <w:r w:rsidR="009852A4">
        <w:rPr>
          <w:rFonts w:asciiTheme="minorHAnsi" w:hAnsiTheme="minorHAnsi"/>
        </w:rPr>
        <w:t xml:space="preserve"> The then Attorney-General said that the purpose of the section was </w:t>
      </w:r>
      <w:r w:rsidR="009852A4" w:rsidRPr="00EB7F1E">
        <w:rPr>
          <w:rFonts w:asciiTheme="minorHAnsi" w:hAnsiTheme="minorHAnsi"/>
        </w:rPr>
        <w:t>to “</w:t>
      </w:r>
      <w:r w:rsidR="009852A4" w:rsidRPr="00EB7F1E">
        <w:rPr>
          <w:rFonts w:asciiTheme="minorHAnsi" w:hAnsiTheme="minorHAnsi"/>
          <w:i/>
          <w:iCs/>
        </w:rPr>
        <w:t>make available to the courts, when dealing with Commonwealth offenders, sentencing options such as community service orders now available in relation to State and Territory offenders</w:t>
      </w:r>
      <w:r w:rsidR="009852A4" w:rsidRPr="00257D56">
        <w:rPr>
          <w:rFonts w:asciiTheme="minorHAnsi" w:hAnsiTheme="minorHAnsi"/>
        </w:rPr>
        <w:t>”</w:t>
      </w:r>
      <w:r w:rsidR="009852A4" w:rsidRPr="00EB7F1E">
        <w:rPr>
          <w:rFonts w:asciiTheme="minorHAnsi" w:hAnsiTheme="minorHAnsi"/>
        </w:rPr>
        <w:t>.</w:t>
      </w:r>
      <w:r w:rsidR="009852A4" w:rsidRPr="00C00000">
        <w:rPr>
          <w:rStyle w:val="Style"/>
          <w:rFonts w:asciiTheme="minorHAnsi" w:hAnsiTheme="minorHAnsi"/>
        </w:rPr>
        <w:footnoteReference w:id="642"/>
      </w:r>
      <w:r w:rsidR="009852A4">
        <w:rPr>
          <w:rFonts w:asciiTheme="minorHAnsi" w:hAnsiTheme="minorHAnsi"/>
        </w:rPr>
        <w:t xml:space="preserve">  The section </w:t>
      </w:r>
      <w:r>
        <w:rPr>
          <w:rFonts w:asciiTheme="minorHAnsi" w:hAnsiTheme="minorHAnsi"/>
        </w:rPr>
        <w:t>enables a court sentencing a federal offender to impose a State or Territory order of a specified type</w:t>
      </w:r>
      <w:r w:rsidR="00125287">
        <w:rPr>
          <w:rFonts w:asciiTheme="minorHAnsi" w:hAnsiTheme="minorHAnsi"/>
        </w:rPr>
        <w:t>.</w:t>
      </w:r>
    </w:p>
    <w:p w14:paraId="594B82B0" w14:textId="77777777" w:rsidR="005C14CC" w:rsidRDefault="005C14CC" w:rsidP="005C14CC">
      <w:pPr>
        <w:pStyle w:val="BlockText"/>
        <w:tabs>
          <w:tab w:val="clear" w:pos="426"/>
          <w:tab w:val="clear" w:pos="993"/>
        </w:tabs>
        <w:spacing w:before="0" w:line="276" w:lineRule="auto"/>
        <w:ind w:right="0"/>
        <w:jc w:val="both"/>
        <w:rPr>
          <w:rFonts w:asciiTheme="minorHAnsi" w:hAnsiTheme="minorHAnsi"/>
        </w:rPr>
      </w:pPr>
    </w:p>
    <w:p w14:paraId="0F779066" w14:textId="0A2B040F" w:rsidR="004D3DDC" w:rsidRDefault="0012528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Subsection 20AB(1) provide</w:t>
      </w:r>
      <w:r w:rsidR="00920359">
        <w:rPr>
          <w:rFonts w:asciiTheme="minorHAnsi" w:hAnsiTheme="minorHAnsi"/>
        </w:rPr>
        <w:t>s</w:t>
      </w:r>
      <w:r>
        <w:rPr>
          <w:rFonts w:asciiTheme="minorHAnsi" w:hAnsiTheme="minorHAnsi"/>
        </w:rPr>
        <w:t>:</w:t>
      </w:r>
    </w:p>
    <w:p w14:paraId="163E418D" w14:textId="7C021663" w:rsidR="00A2013B" w:rsidRPr="00A2013B" w:rsidRDefault="00A2013B" w:rsidP="00EB7F1E">
      <w:pPr>
        <w:pStyle w:val="BodyText"/>
        <w:spacing w:line="276" w:lineRule="auto"/>
        <w:ind w:left="1134" w:right="170" w:hanging="567"/>
        <w:jc w:val="both"/>
        <w:rPr>
          <w:rFonts w:asciiTheme="minorHAnsi" w:hAnsiTheme="minorHAnsi"/>
          <w:i/>
        </w:rPr>
      </w:pPr>
      <w:r w:rsidRPr="00A2013B">
        <w:rPr>
          <w:rFonts w:asciiTheme="minorHAnsi" w:hAnsiTheme="minorHAnsi"/>
          <w:i/>
        </w:rPr>
        <w:t>(1)</w:t>
      </w:r>
      <w:r>
        <w:rPr>
          <w:rFonts w:asciiTheme="minorHAnsi" w:hAnsiTheme="minorHAnsi"/>
          <w:i/>
        </w:rPr>
        <w:tab/>
      </w:r>
      <w:r w:rsidRPr="00A2013B">
        <w:rPr>
          <w:rFonts w:asciiTheme="minorHAnsi" w:hAnsiTheme="minorHAnsi"/>
          <w:i/>
        </w:rPr>
        <w:t>A court may pass a sentence, or make an order, in respect of a person convicted before the court in a participating State or participating Territory of a federal offence, if:</w:t>
      </w:r>
    </w:p>
    <w:p w14:paraId="67C4D1D4" w14:textId="61FBC925" w:rsidR="00A2013B" w:rsidRPr="00A2013B" w:rsidRDefault="00A2013B" w:rsidP="00EB7F1E">
      <w:pPr>
        <w:pStyle w:val="BodyText"/>
        <w:spacing w:line="276" w:lineRule="auto"/>
        <w:ind w:left="1560" w:right="170" w:hanging="426"/>
        <w:jc w:val="both"/>
        <w:rPr>
          <w:rFonts w:asciiTheme="minorHAnsi" w:hAnsiTheme="minorHAnsi"/>
          <w:i/>
        </w:rPr>
      </w:pPr>
      <w:bookmarkStart w:id="1658" w:name="CLF.CRIMES.CRIMA14.S20AB.1.A"/>
      <w:bookmarkEnd w:id="1658"/>
      <w:r w:rsidRPr="00A2013B">
        <w:rPr>
          <w:rFonts w:asciiTheme="minorHAnsi" w:hAnsiTheme="minorHAnsi"/>
          <w:i/>
        </w:rPr>
        <w:t>(a)</w:t>
      </w:r>
      <w:r>
        <w:rPr>
          <w:rFonts w:asciiTheme="minorHAnsi" w:hAnsiTheme="minorHAnsi"/>
          <w:i/>
        </w:rPr>
        <w:tab/>
      </w:r>
      <w:r w:rsidRPr="00A2013B">
        <w:rPr>
          <w:rFonts w:asciiTheme="minorHAnsi" w:hAnsiTheme="minorHAnsi"/>
          <w:i/>
        </w:rPr>
        <w:t>subsection (1AA) applies to the sentence or order; and</w:t>
      </w:r>
    </w:p>
    <w:p w14:paraId="513BDBC3" w14:textId="5544AEA4" w:rsidR="00A2013B" w:rsidRPr="00A2013B" w:rsidRDefault="00A2013B" w:rsidP="00EB7F1E">
      <w:pPr>
        <w:pStyle w:val="BodyText"/>
        <w:spacing w:line="276" w:lineRule="auto"/>
        <w:ind w:left="1560" w:right="170" w:hanging="426"/>
        <w:jc w:val="both"/>
        <w:rPr>
          <w:rFonts w:asciiTheme="minorHAnsi" w:hAnsiTheme="minorHAnsi"/>
          <w:i/>
        </w:rPr>
      </w:pPr>
      <w:bookmarkStart w:id="1659" w:name="CLF.CRIMES.CRIMA14.S20AB.1.B"/>
      <w:bookmarkEnd w:id="1659"/>
      <w:r w:rsidRPr="00A2013B">
        <w:rPr>
          <w:rFonts w:asciiTheme="minorHAnsi" w:hAnsiTheme="minorHAnsi"/>
          <w:i/>
        </w:rPr>
        <w:t>(b)</w:t>
      </w:r>
      <w:r>
        <w:rPr>
          <w:rFonts w:asciiTheme="minorHAnsi" w:hAnsiTheme="minorHAnsi"/>
          <w:i/>
        </w:rPr>
        <w:tab/>
      </w:r>
      <w:r w:rsidRPr="00A2013B">
        <w:rPr>
          <w:rFonts w:asciiTheme="minorHAnsi" w:hAnsiTheme="minorHAnsi"/>
          <w:i/>
        </w:rPr>
        <w:t>under the law of the State or Territory, a court is empowered to pass such a sentence, or make such an order, in respect of a State or Territory offender in corresponding cases; and</w:t>
      </w:r>
    </w:p>
    <w:p w14:paraId="1955B905" w14:textId="076087CF" w:rsidR="00A2013B" w:rsidRPr="00A2013B" w:rsidRDefault="00A2013B" w:rsidP="00EB7F1E">
      <w:pPr>
        <w:pStyle w:val="BodyText"/>
        <w:spacing w:line="276" w:lineRule="auto"/>
        <w:ind w:left="1560" w:right="170" w:hanging="426"/>
        <w:jc w:val="both"/>
        <w:rPr>
          <w:rFonts w:asciiTheme="minorHAnsi" w:hAnsiTheme="minorHAnsi"/>
          <w:i/>
        </w:rPr>
      </w:pPr>
      <w:bookmarkStart w:id="1660" w:name="CLF.CRIMES.CRIMA14.S20AB.1.C"/>
      <w:bookmarkEnd w:id="1660"/>
      <w:r>
        <w:rPr>
          <w:rFonts w:asciiTheme="minorHAnsi" w:hAnsiTheme="minorHAnsi"/>
          <w:i/>
        </w:rPr>
        <w:t>(c)</w:t>
      </w:r>
      <w:r>
        <w:rPr>
          <w:rFonts w:asciiTheme="minorHAnsi" w:hAnsiTheme="minorHAnsi"/>
          <w:i/>
        </w:rPr>
        <w:tab/>
      </w:r>
      <w:r w:rsidRPr="00A2013B">
        <w:rPr>
          <w:rFonts w:asciiTheme="minorHAnsi" w:hAnsiTheme="minorHAnsi"/>
          <w:i/>
        </w:rPr>
        <w:t>the first-mentioned court is:</w:t>
      </w:r>
    </w:p>
    <w:p w14:paraId="232F5F94" w14:textId="403FA15F" w:rsidR="00A2013B" w:rsidRPr="00EB7F1E" w:rsidRDefault="00A2013B"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61" w:name="CLF.CRIMES.CRIMA14.S20AB.1.C.I"/>
      <w:bookmarkEnd w:id="1661"/>
      <w:r>
        <w:rPr>
          <w:rFonts w:asciiTheme="minorHAnsi" w:hAnsiTheme="minorHAnsi"/>
          <w:i/>
        </w:rPr>
        <w:t>(i)</w:t>
      </w:r>
      <w:r>
        <w:rPr>
          <w:rFonts w:asciiTheme="minorHAnsi" w:hAnsiTheme="minorHAnsi"/>
          <w:i/>
        </w:rPr>
        <w:tab/>
      </w:r>
      <w:r w:rsidRPr="00EB7F1E">
        <w:rPr>
          <w:rFonts w:asciiTheme="minorHAnsi" w:hAnsiTheme="minorHAnsi"/>
          <w:i/>
          <w:color w:val="000000"/>
          <w:szCs w:val="22"/>
          <w:lang w:eastAsia="en-AU"/>
        </w:rPr>
        <w:t>empowered as mentioned in paragraph (b); or</w:t>
      </w:r>
    </w:p>
    <w:p w14:paraId="1E867FBF" w14:textId="7DB8E5CD" w:rsidR="00A2013B" w:rsidRPr="00EB7F1E" w:rsidRDefault="00A2013B"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62" w:name="CLF.CRIMES.CRIMA14.S20AB.1.C.II"/>
      <w:bookmarkEnd w:id="1662"/>
      <w:r w:rsidRPr="00EB7F1E">
        <w:rPr>
          <w:rFonts w:asciiTheme="minorHAnsi" w:hAnsiTheme="minorHAnsi"/>
          <w:i/>
          <w:color w:val="000000"/>
          <w:szCs w:val="22"/>
          <w:lang w:eastAsia="en-AU"/>
        </w:rPr>
        <w:t>(ii)</w:t>
      </w:r>
      <w:r w:rsidRPr="00EB7F1E">
        <w:rPr>
          <w:rFonts w:asciiTheme="minorHAnsi" w:hAnsiTheme="minorHAnsi"/>
          <w:i/>
          <w:color w:val="000000"/>
          <w:szCs w:val="22"/>
          <w:lang w:eastAsia="en-AU"/>
        </w:rPr>
        <w:tab/>
        <w:t>a federal court.</w:t>
      </w:r>
    </w:p>
    <w:p w14:paraId="28DF7A36" w14:textId="77777777" w:rsidR="00A2013B" w:rsidRPr="00A2013B" w:rsidRDefault="00A2013B" w:rsidP="00A2013B">
      <w:pPr>
        <w:pStyle w:val="ListParagraph"/>
        <w:spacing w:line="276" w:lineRule="auto"/>
        <w:ind w:left="851" w:right="28"/>
        <w:rPr>
          <w:rFonts w:asciiTheme="minorHAnsi" w:hAnsiTheme="minorHAnsi"/>
          <w:i/>
        </w:rPr>
      </w:pPr>
    </w:p>
    <w:p w14:paraId="784E24A8" w14:textId="0A496CBC" w:rsidR="00D3169C" w:rsidRDefault="006605AD" w:rsidP="00EB7F1E">
      <w:pPr>
        <w:pStyle w:val="ListParagraph"/>
        <w:numPr>
          <w:ilvl w:val="0"/>
          <w:numId w:val="7"/>
        </w:numPr>
        <w:spacing w:line="276" w:lineRule="auto"/>
        <w:ind w:left="425" w:hanging="425"/>
        <w:contextualSpacing w:val="0"/>
        <w:rPr>
          <w:rFonts w:asciiTheme="minorHAnsi" w:hAnsiTheme="minorHAnsi"/>
        </w:rPr>
      </w:pPr>
      <w:bookmarkStart w:id="1663" w:name="CLF.CRIMES.CRIMA14.S20AB.1AA"/>
      <w:bookmarkEnd w:id="1663"/>
      <w:r>
        <w:rPr>
          <w:rFonts w:asciiTheme="minorHAnsi" w:hAnsiTheme="minorHAnsi"/>
        </w:rPr>
        <w:t>As to the meaning of “participating State” and “participating Territory” see “</w:t>
      </w:r>
      <w:r w:rsidR="00E25660">
        <w:rPr>
          <w:rFonts w:asciiTheme="minorHAnsi" w:hAnsiTheme="minorHAnsi"/>
        </w:rPr>
        <w:fldChar w:fldCharType="begin"/>
      </w:r>
      <w:r w:rsidR="00E25660">
        <w:rPr>
          <w:rFonts w:asciiTheme="minorHAnsi" w:hAnsiTheme="minorHAnsi"/>
        </w:rPr>
        <w:instrText xml:space="preserve"> REF _Ref10728304 \r \h  \* MERGEFORMAT </w:instrText>
      </w:r>
      <w:r w:rsidR="00E25660">
        <w:rPr>
          <w:rFonts w:asciiTheme="minorHAnsi" w:hAnsiTheme="minorHAnsi"/>
        </w:rPr>
      </w:r>
      <w:r w:rsidR="00E25660">
        <w:rPr>
          <w:rFonts w:asciiTheme="minorHAnsi" w:hAnsiTheme="minorHAnsi"/>
        </w:rPr>
        <w:fldChar w:fldCharType="separate"/>
      </w:r>
      <w:r w:rsidR="00D44BCF">
        <w:rPr>
          <w:rFonts w:asciiTheme="minorHAnsi" w:hAnsiTheme="minorHAnsi"/>
        </w:rPr>
        <w:t>5.7.2</w:t>
      </w:r>
      <w:r w:rsidR="00E25660">
        <w:rPr>
          <w:rFonts w:asciiTheme="minorHAnsi" w:hAnsiTheme="minorHAnsi"/>
        </w:rPr>
        <w:fldChar w:fldCharType="end"/>
      </w:r>
      <w:r w:rsidR="00E25660">
        <w:rPr>
          <w:rFonts w:asciiTheme="minorHAnsi" w:hAnsiTheme="minorHAnsi"/>
        </w:rPr>
        <w:t xml:space="preserve"> </w:t>
      </w:r>
      <w:r w:rsidR="00E25660">
        <w:rPr>
          <w:rFonts w:asciiTheme="minorHAnsi" w:hAnsiTheme="minorHAnsi"/>
        </w:rPr>
        <w:fldChar w:fldCharType="begin"/>
      </w:r>
      <w:r w:rsidR="00E25660">
        <w:rPr>
          <w:rFonts w:asciiTheme="minorHAnsi" w:hAnsiTheme="minorHAnsi"/>
        </w:rPr>
        <w:instrText xml:space="preserve"> REF _Ref10728307 \h  \* MERGEFORMAT </w:instrText>
      </w:r>
      <w:r w:rsidR="00E25660">
        <w:rPr>
          <w:rFonts w:asciiTheme="minorHAnsi" w:hAnsiTheme="minorHAnsi"/>
        </w:rPr>
      </w:r>
      <w:r w:rsidR="00E25660">
        <w:rPr>
          <w:rFonts w:asciiTheme="minorHAnsi" w:hAnsiTheme="minorHAnsi"/>
        </w:rPr>
        <w:fldChar w:fldCharType="separate"/>
      </w:r>
      <w:r w:rsidR="00D44BCF" w:rsidRPr="00D44BCF">
        <w:rPr>
          <w:rFonts w:asciiTheme="minorHAnsi" w:hAnsiTheme="minorHAnsi"/>
        </w:rPr>
        <w:t>Participating State or Territory</w:t>
      </w:r>
      <w:r w:rsidR="00E25660">
        <w:rPr>
          <w:rFonts w:asciiTheme="minorHAnsi" w:hAnsiTheme="minorHAnsi"/>
        </w:rPr>
        <w:fldChar w:fldCharType="end"/>
      </w:r>
      <w:r>
        <w:rPr>
          <w:rFonts w:asciiTheme="minorHAnsi" w:hAnsiTheme="minorHAnsi"/>
        </w:rPr>
        <w:t>”</w:t>
      </w:r>
      <w:r w:rsidR="001F3839">
        <w:rPr>
          <w:rFonts w:asciiTheme="minorHAnsi" w:hAnsiTheme="minorHAnsi"/>
        </w:rPr>
        <w:t>.  Each State and Territory is a participating State or participating Territory.</w:t>
      </w:r>
    </w:p>
    <w:p w14:paraId="41D901F1" w14:textId="77777777" w:rsidR="00920359" w:rsidRDefault="00920359" w:rsidP="00920359">
      <w:pPr>
        <w:pStyle w:val="BlockText"/>
        <w:tabs>
          <w:tab w:val="clear" w:pos="426"/>
          <w:tab w:val="clear" w:pos="993"/>
        </w:tabs>
        <w:spacing w:before="0" w:line="276" w:lineRule="auto"/>
        <w:ind w:right="0"/>
        <w:jc w:val="both"/>
        <w:rPr>
          <w:rFonts w:asciiTheme="minorHAnsi" w:hAnsiTheme="minorHAnsi"/>
        </w:rPr>
      </w:pPr>
    </w:p>
    <w:p w14:paraId="2FAF02CE" w14:textId="086F07B0" w:rsidR="00920359" w:rsidRDefault="00920359"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 20AB (1AA) describes the relevant types of sentences or orders.</w:t>
      </w:r>
      <w:r w:rsidR="005C14CC">
        <w:rPr>
          <w:rFonts w:asciiTheme="minorHAnsi" w:hAnsiTheme="minorHAnsi"/>
        </w:rPr>
        <w:t xml:space="preserve">  See “</w:t>
      </w:r>
      <w:r w:rsidR="005C14CC">
        <w:rPr>
          <w:rFonts w:asciiTheme="minorHAnsi" w:hAnsiTheme="minorHAnsi"/>
        </w:rPr>
        <w:fldChar w:fldCharType="begin"/>
      </w:r>
      <w:r w:rsidR="005C14CC">
        <w:rPr>
          <w:rFonts w:asciiTheme="minorHAnsi" w:hAnsiTheme="minorHAnsi"/>
        </w:rPr>
        <w:instrText xml:space="preserve"> REF _Ref494538844 \r \h </w:instrText>
      </w:r>
      <w:r w:rsidR="005C14CC">
        <w:rPr>
          <w:rFonts w:asciiTheme="minorHAnsi" w:hAnsiTheme="minorHAnsi"/>
        </w:rPr>
      </w:r>
      <w:r w:rsidR="005C14CC">
        <w:rPr>
          <w:rFonts w:asciiTheme="minorHAnsi" w:hAnsiTheme="minorHAnsi"/>
        </w:rPr>
        <w:fldChar w:fldCharType="separate"/>
      </w:r>
      <w:r w:rsidR="00D44BCF">
        <w:rPr>
          <w:rFonts w:asciiTheme="minorHAnsi" w:hAnsiTheme="minorHAnsi"/>
        </w:rPr>
        <w:t>5.7.3</w:t>
      </w:r>
      <w:r w:rsidR="005C14CC">
        <w:rPr>
          <w:rFonts w:asciiTheme="minorHAnsi" w:hAnsiTheme="minorHAnsi"/>
        </w:rPr>
        <w:fldChar w:fldCharType="end"/>
      </w:r>
      <w:r w:rsidR="005C14CC">
        <w:rPr>
          <w:rFonts w:asciiTheme="minorHAnsi" w:hAnsiTheme="minorHAnsi"/>
        </w:rPr>
        <w:t xml:space="preserve"> </w:t>
      </w:r>
      <w:r w:rsidR="005C14CC">
        <w:rPr>
          <w:rFonts w:asciiTheme="minorHAnsi" w:hAnsiTheme="minorHAnsi"/>
        </w:rPr>
        <w:fldChar w:fldCharType="begin"/>
      </w:r>
      <w:r w:rsidR="005C14CC">
        <w:rPr>
          <w:rFonts w:asciiTheme="minorHAnsi" w:hAnsiTheme="minorHAnsi"/>
        </w:rPr>
        <w:instrText xml:space="preserve"> REF _Ref494538844 \h  \* MERGEFORMAT </w:instrText>
      </w:r>
      <w:r w:rsidR="005C14CC">
        <w:rPr>
          <w:rFonts w:asciiTheme="minorHAnsi" w:hAnsiTheme="minorHAnsi"/>
        </w:rPr>
      </w:r>
      <w:r w:rsidR="005C14CC">
        <w:rPr>
          <w:rFonts w:asciiTheme="minorHAnsi" w:hAnsiTheme="minorHAnsi"/>
        </w:rPr>
        <w:fldChar w:fldCharType="separate"/>
      </w:r>
      <w:r w:rsidR="00D44BCF" w:rsidRPr="00D44BCF">
        <w:rPr>
          <w:rFonts w:asciiTheme="minorHAnsi" w:hAnsiTheme="minorHAnsi"/>
        </w:rPr>
        <w:t>Types of State or Territory sentences or orders which are applied by s 20AB</w:t>
      </w:r>
      <w:r w:rsidR="005C14CC">
        <w:rPr>
          <w:rFonts w:asciiTheme="minorHAnsi" w:hAnsiTheme="minorHAnsi"/>
        </w:rPr>
        <w:fldChar w:fldCharType="end"/>
      </w:r>
      <w:r w:rsidR="005C14CC">
        <w:rPr>
          <w:rFonts w:asciiTheme="minorHAnsi" w:hAnsiTheme="minorHAnsi"/>
        </w:rPr>
        <w:t>”.</w:t>
      </w:r>
    </w:p>
    <w:p w14:paraId="05811047" w14:textId="77777777" w:rsidR="001F3839" w:rsidRDefault="001F3839" w:rsidP="001F3839">
      <w:pPr>
        <w:pStyle w:val="BlockText"/>
        <w:tabs>
          <w:tab w:val="clear" w:pos="426"/>
          <w:tab w:val="clear" w:pos="993"/>
        </w:tabs>
        <w:spacing w:before="0" w:line="276" w:lineRule="auto"/>
        <w:ind w:right="0"/>
        <w:jc w:val="both"/>
        <w:rPr>
          <w:rFonts w:asciiTheme="minorHAnsi" w:hAnsiTheme="minorHAnsi"/>
        </w:rPr>
      </w:pPr>
    </w:p>
    <w:p w14:paraId="3646D387" w14:textId="77777777" w:rsidR="00D416D4" w:rsidRDefault="001F3839">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effect of s 20AB is that </w:t>
      </w:r>
      <w:r w:rsidR="00097312">
        <w:rPr>
          <w:rFonts w:asciiTheme="minorHAnsi" w:hAnsiTheme="minorHAnsi"/>
        </w:rPr>
        <w:t xml:space="preserve">if a </w:t>
      </w:r>
      <w:r>
        <w:rPr>
          <w:rFonts w:asciiTheme="minorHAnsi" w:hAnsiTheme="minorHAnsi"/>
        </w:rPr>
        <w:t xml:space="preserve">court in a State or Territory has power to pass a sentence or to make an order of a kind described in s 20AB(1AA) </w:t>
      </w:r>
      <w:r w:rsidRPr="001F3839">
        <w:rPr>
          <w:rFonts w:asciiTheme="minorHAnsi" w:hAnsiTheme="minorHAnsi"/>
        </w:rPr>
        <w:t>in respect of a State or Territory offender in corresponding cases</w:t>
      </w:r>
      <w:r>
        <w:rPr>
          <w:rFonts w:asciiTheme="minorHAnsi" w:hAnsiTheme="minorHAnsi"/>
        </w:rPr>
        <w:t>, th</w:t>
      </w:r>
      <w:r w:rsidR="00097312">
        <w:rPr>
          <w:rFonts w:asciiTheme="minorHAnsi" w:hAnsiTheme="minorHAnsi"/>
        </w:rPr>
        <w:t>e court may pass such a sentence or make such an order</w:t>
      </w:r>
      <w:r w:rsidR="00097312" w:rsidRPr="00A2013B">
        <w:rPr>
          <w:rFonts w:asciiTheme="minorHAnsi" w:hAnsiTheme="minorHAnsi"/>
          <w:i/>
        </w:rPr>
        <w:t xml:space="preserve"> </w:t>
      </w:r>
      <w:r w:rsidR="00097312" w:rsidRPr="00097312">
        <w:rPr>
          <w:rFonts w:asciiTheme="minorHAnsi" w:hAnsiTheme="minorHAnsi"/>
        </w:rPr>
        <w:t>in respect of a person convicted before the court of a federal offence</w:t>
      </w:r>
      <w:r w:rsidR="00097312">
        <w:rPr>
          <w:rFonts w:asciiTheme="minorHAnsi" w:hAnsiTheme="minorHAnsi"/>
        </w:rPr>
        <w:t>.</w:t>
      </w:r>
      <w:r w:rsidR="003354CD">
        <w:rPr>
          <w:rFonts w:asciiTheme="minorHAnsi" w:hAnsiTheme="minorHAnsi"/>
        </w:rPr>
        <w:t xml:space="preserve"> </w:t>
      </w:r>
    </w:p>
    <w:p w14:paraId="65A03B64" w14:textId="77777777" w:rsidR="00D416D4" w:rsidRPr="00EB7F1E" w:rsidRDefault="00D416D4" w:rsidP="00EB7F1E">
      <w:pPr>
        <w:pStyle w:val="ListParagraph"/>
        <w:rPr>
          <w:rFonts w:asciiTheme="minorHAnsi" w:hAnsiTheme="minorHAnsi"/>
        </w:rPr>
      </w:pPr>
    </w:p>
    <w:p w14:paraId="1B1AED29" w14:textId="456A7460" w:rsidR="001F3839" w:rsidRDefault="00D416D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20AB </w:t>
      </w:r>
      <w:r w:rsidRPr="00EB7F1E">
        <w:rPr>
          <w:rFonts w:asciiTheme="minorHAnsi" w:hAnsiTheme="minorHAnsi"/>
        </w:rPr>
        <w:t>is an ambulatory provision; it is intended to apply, as far as practicable, State or Territory sentencing options of the kinds described in s.20AB(1AA) under State or Territory laws as in force from time to time.</w:t>
      </w:r>
      <w:r w:rsidRPr="00C00000">
        <w:rPr>
          <w:rStyle w:val="Style"/>
          <w:rFonts w:asciiTheme="minorHAnsi" w:hAnsiTheme="minorHAnsi"/>
        </w:rPr>
        <w:footnoteReference w:id="643"/>
      </w:r>
    </w:p>
    <w:p w14:paraId="312B1678" w14:textId="77777777" w:rsidR="00D416D4" w:rsidRDefault="00D416D4" w:rsidP="00A2013B">
      <w:pPr>
        <w:pStyle w:val="BlockText"/>
        <w:tabs>
          <w:tab w:val="clear" w:pos="426"/>
          <w:tab w:val="clear" w:pos="993"/>
        </w:tabs>
        <w:spacing w:before="0" w:line="276" w:lineRule="auto"/>
        <w:ind w:right="0"/>
        <w:jc w:val="both"/>
        <w:rPr>
          <w:rFonts w:asciiTheme="minorHAnsi" w:hAnsiTheme="minorHAnsi"/>
        </w:rPr>
      </w:pPr>
    </w:p>
    <w:p w14:paraId="6A820DE6" w14:textId="77777777" w:rsidR="00607D20" w:rsidRPr="00EB7F1E" w:rsidRDefault="00607D20" w:rsidP="00EB7F1E">
      <w:pPr>
        <w:pStyle w:val="ListParagraph"/>
        <w:rPr>
          <w:rFonts w:asciiTheme="minorHAnsi" w:hAnsiTheme="minorHAnsi"/>
        </w:rPr>
      </w:pPr>
      <w:bookmarkStart w:id="1664" w:name="_Ref494537652"/>
    </w:p>
    <w:p w14:paraId="07046473" w14:textId="75822297" w:rsidR="004412A4" w:rsidRPr="00E9607E" w:rsidRDefault="004412A4" w:rsidP="006D50C7">
      <w:pPr>
        <w:pStyle w:val="Heading3"/>
      </w:pPr>
      <w:bookmarkStart w:id="1665" w:name="_Ref10728304"/>
      <w:bookmarkStart w:id="1666" w:name="_Ref10728307"/>
      <w:bookmarkStart w:id="1667" w:name="_Toc33602858"/>
      <w:r>
        <w:t>Participating State or Territory</w:t>
      </w:r>
      <w:bookmarkEnd w:id="1664"/>
      <w:bookmarkEnd w:id="1665"/>
      <w:bookmarkEnd w:id="1666"/>
      <w:bookmarkEnd w:id="1667"/>
    </w:p>
    <w:p w14:paraId="198B421D" w14:textId="77777777" w:rsidR="004412A4" w:rsidRDefault="004412A4" w:rsidP="006D50C7">
      <w:pPr>
        <w:pStyle w:val="BlockText"/>
        <w:keepNext/>
        <w:tabs>
          <w:tab w:val="clear" w:pos="426"/>
          <w:tab w:val="clear" w:pos="993"/>
        </w:tabs>
        <w:spacing w:before="0" w:line="276" w:lineRule="auto"/>
        <w:ind w:left="567" w:right="0"/>
        <w:jc w:val="both"/>
        <w:rPr>
          <w:rFonts w:asciiTheme="minorHAnsi" w:hAnsiTheme="minorHAnsi"/>
        </w:rPr>
      </w:pPr>
    </w:p>
    <w:p w14:paraId="68B90548" w14:textId="794A49BD" w:rsidR="003E681B" w:rsidRDefault="004412A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An order of a kind described in s 20AB</w:t>
      </w:r>
      <w:r w:rsidR="006104D8">
        <w:rPr>
          <w:rFonts w:asciiTheme="minorHAnsi" w:hAnsiTheme="minorHAnsi"/>
        </w:rPr>
        <w:t xml:space="preserve">(1AA) is only available in sentencing a federal offender in a “participating State” or “participating Territory”.  </w:t>
      </w:r>
      <w:r>
        <w:rPr>
          <w:rFonts w:asciiTheme="minorHAnsi" w:hAnsiTheme="minorHAnsi"/>
        </w:rPr>
        <w:t xml:space="preserve">“Participating State” and “participating Territory” are defined in s 3(1) of the </w:t>
      </w:r>
      <w:r w:rsidR="00885EFD" w:rsidRPr="00885EFD">
        <w:rPr>
          <w:rFonts w:asciiTheme="minorHAnsi" w:hAnsiTheme="minorHAnsi"/>
          <w:i/>
        </w:rPr>
        <w:t>Crimes Act 1914</w:t>
      </w:r>
      <w:r>
        <w:rPr>
          <w:rFonts w:asciiTheme="minorHAnsi" w:hAnsiTheme="minorHAnsi"/>
        </w:rPr>
        <w:t xml:space="preserve"> (Cth) as having the </w:t>
      </w:r>
      <w:r w:rsidR="006104D8">
        <w:rPr>
          <w:rFonts w:asciiTheme="minorHAnsi" w:hAnsiTheme="minorHAnsi"/>
        </w:rPr>
        <w:t xml:space="preserve">meanings given by s 3B(2).  </w:t>
      </w:r>
      <w:r w:rsidR="003E681B">
        <w:rPr>
          <w:rFonts w:asciiTheme="minorHAnsi" w:hAnsiTheme="minorHAnsi"/>
        </w:rPr>
        <w:t>Section 3B(2) provides that a</w:t>
      </w:r>
      <w:r w:rsidR="001F3C69">
        <w:rPr>
          <w:rFonts w:asciiTheme="minorHAnsi" w:hAnsiTheme="minorHAnsi"/>
        </w:rPr>
        <w:t xml:space="preserve"> State is a participating State, and the Australian Capital Territory or Northern Territory is a participating Territory, if an arrangement is in force under s 3B(1).</w:t>
      </w:r>
      <w:r w:rsidR="000C59AB" w:rsidRPr="000C59AB">
        <w:rPr>
          <w:rFonts w:asciiTheme="minorHAnsi" w:hAnsiTheme="minorHAnsi"/>
        </w:rPr>
        <w:t xml:space="preserve"> </w:t>
      </w:r>
      <w:r w:rsidR="000C59AB">
        <w:rPr>
          <w:rFonts w:asciiTheme="minorHAnsi" w:hAnsiTheme="minorHAnsi"/>
        </w:rPr>
        <w:t xml:space="preserve"> A territory other than the ACT or the NT is a participating Territory: s 3B(2)(b)(i).</w:t>
      </w:r>
    </w:p>
    <w:p w14:paraId="309B7DCD" w14:textId="78F2F066" w:rsidR="004412A4" w:rsidRDefault="004412A4" w:rsidP="003E681B">
      <w:pPr>
        <w:pStyle w:val="BlockText"/>
        <w:tabs>
          <w:tab w:val="clear" w:pos="426"/>
          <w:tab w:val="clear" w:pos="993"/>
        </w:tabs>
        <w:spacing w:before="0" w:line="276" w:lineRule="auto"/>
        <w:ind w:right="0"/>
        <w:jc w:val="both"/>
        <w:rPr>
          <w:rFonts w:asciiTheme="minorHAnsi" w:hAnsiTheme="minorHAnsi"/>
        </w:rPr>
      </w:pPr>
    </w:p>
    <w:p w14:paraId="5E15BE9B" w14:textId="6A750D78" w:rsidR="001F3C69" w:rsidRDefault="001F3C6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Sub-section 3B(1) provides for the making of arrangements between the Governor-General and the Governor of a State, or the Government of the</w:t>
      </w:r>
      <w:r w:rsidRPr="001F3C69">
        <w:rPr>
          <w:rFonts w:asciiTheme="minorHAnsi" w:hAnsiTheme="minorHAnsi"/>
        </w:rPr>
        <w:t xml:space="preserve"> </w:t>
      </w:r>
      <w:r>
        <w:rPr>
          <w:rFonts w:asciiTheme="minorHAnsi" w:hAnsiTheme="minorHAnsi"/>
        </w:rPr>
        <w:t xml:space="preserve">ACT, or the Administrator of the NT, for </w:t>
      </w:r>
      <w:r w:rsidRPr="001F3C69">
        <w:rPr>
          <w:rFonts w:asciiTheme="minorHAnsi" w:hAnsiTheme="minorHAnsi"/>
        </w:rPr>
        <w:t>officers of the State or Territory to exercise powers and perform functions, and facilities and procedures of the State or Territory to be made available</w:t>
      </w:r>
      <w:r>
        <w:rPr>
          <w:rFonts w:asciiTheme="minorHAnsi" w:hAnsiTheme="minorHAnsi"/>
        </w:rPr>
        <w:t xml:space="preserve">, </w:t>
      </w:r>
      <w:r w:rsidRPr="001F3C69">
        <w:rPr>
          <w:rFonts w:asciiTheme="minorHAnsi" w:hAnsiTheme="minorHAnsi"/>
        </w:rPr>
        <w:t>in relation to the carrying out or enforcement under this Act of orders made under this Act or another Act.</w:t>
      </w:r>
    </w:p>
    <w:p w14:paraId="620FB16F" w14:textId="77777777" w:rsidR="003E681B" w:rsidRDefault="003E681B" w:rsidP="003E681B">
      <w:pPr>
        <w:pStyle w:val="ListParagraph"/>
        <w:rPr>
          <w:rFonts w:asciiTheme="minorHAnsi" w:hAnsiTheme="minorHAnsi"/>
        </w:rPr>
      </w:pPr>
    </w:p>
    <w:p w14:paraId="4FF91194" w14:textId="24B1F52D" w:rsidR="000F7685" w:rsidRDefault="00D3169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Relevant arrangements under s 3B(1) of the </w:t>
      </w:r>
      <w:r w:rsidR="00885EFD" w:rsidRPr="00885EFD">
        <w:rPr>
          <w:rFonts w:asciiTheme="minorHAnsi" w:hAnsiTheme="minorHAnsi"/>
          <w:i/>
        </w:rPr>
        <w:t>Crimes Act 1914</w:t>
      </w:r>
      <w:r>
        <w:rPr>
          <w:rFonts w:asciiTheme="minorHAnsi" w:hAnsiTheme="minorHAnsi"/>
        </w:rPr>
        <w:t xml:space="preserve"> (Cth) </w:t>
      </w:r>
      <w:r w:rsidR="001149F3">
        <w:rPr>
          <w:rFonts w:asciiTheme="minorHAnsi" w:hAnsiTheme="minorHAnsi"/>
        </w:rPr>
        <w:t xml:space="preserve">have been </w:t>
      </w:r>
      <w:r>
        <w:rPr>
          <w:rFonts w:asciiTheme="minorHAnsi" w:hAnsiTheme="minorHAnsi"/>
        </w:rPr>
        <w:t>in place between the Commonwealth and each State, the ACT and the NT</w:t>
      </w:r>
      <w:r w:rsidR="001149F3">
        <w:rPr>
          <w:rFonts w:asciiTheme="minorHAnsi" w:hAnsiTheme="minorHAnsi"/>
        </w:rPr>
        <w:t xml:space="preserve"> since </w:t>
      </w:r>
      <w:r w:rsidR="00865992">
        <w:rPr>
          <w:rFonts w:asciiTheme="minorHAnsi" w:hAnsiTheme="minorHAnsi"/>
        </w:rPr>
        <w:t xml:space="preserve">at least </w:t>
      </w:r>
      <w:r w:rsidR="001149F3">
        <w:rPr>
          <w:rFonts w:asciiTheme="minorHAnsi" w:hAnsiTheme="minorHAnsi"/>
        </w:rPr>
        <w:t>1990</w:t>
      </w:r>
      <w:r w:rsidR="00606384">
        <w:rPr>
          <w:rFonts w:asciiTheme="minorHAnsi" w:hAnsiTheme="minorHAnsi"/>
        </w:rPr>
        <w:t xml:space="preserve"> (earlier in relation to some jurisdictions)</w:t>
      </w:r>
      <w:r>
        <w:rPr>
          <w:rFonts w:asciiTheme="minorHAnsi" w:hAnsiTheme="minorHAnsi"/>
        </w:rPr>
        <w:t>.</w:t>
      </w:r>
      <w:r w:rsidR="00606384" w:rsidRPr="00C00000">
        <w:rPr>
          <w:rStyle w:val="Style"/>
          <w:rFonts w:asciiTheme="minorHAnsi" w:hAnsiTheme="minorHAnsi"/>
        </w:rPr>
        <w:footnoteReference w:id="644"/>
      </w:r>
    </w:p>
    <w:p w14:paraId="1A299C19" w14:textId="77777777" w:rsidR="000F7685" w:rsidRDefault="000F7685" w:rsidP="000F7685">
      <w:pPr>
        <w:pStyle w:val="ListParagraph"/>
        <w:rPr>
          <w:rFonts w:asciiTheme="minorHAnsi" w:hAnsiTheme="minorHAnsi"/>
        </w:rPr>
      </w:pPr>
    </w:p>
    <w:p w14:paraId="279291E2" w14:textId="398A18C0" w:rsidR="003E681B" w:rsidRDefault="000F768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Therefore each State is a participating State, and the ACT, the Northern Territory and each other Territory is a participating Territory for the purposes of s</w:t>
      </w:r>
      <w:r w:rsidR="006605AD">
        <w:rPr>
          <w:rFonts w:asciiTheme="minorHAnsi" w:hAnsiTheme="minorHAnsi"/>
        </w:rPr>
        <w:t xml:space="preserve"> 20AB.</w:t>
      </w:r>
    </w:p>
    <w:p w14:paraId="19982B81" w14:textId="60B50688" w:rsidR="00920359" w:rsidRDefault="00920359" w:rsidP="00920359">
      <w:pPr>
        <w:pStyle w:val="ListParagraph"/>
        <w:rPr>
          <w:rFonts w:asciiTheme="minorHAnsi" w:hAnsiTheme="minorHAnsi"/>
        </w:rPr>
      </w:pPr>
    </w:p>
    <w:p w14:paraId="29B68690" w14:textId="12F3593A" w:rsidR="00920359" w:rsidRPr="009541AE" w:rsidRDefault="00920359" w:rsidP="006D50C7">
      <w:pPr>
        <w:pStyle w:val="Heading3"/>
      </w:pPr>
      <w:bookmarkStart w:id="1668" w:name="_Ref494538844"/>
      <w:bookmarkStart w:id="1669" w:name="_Toc33602859"/>
      <w:r w:rsidRPr="009541AE">
        <w:t>Types of State or Territory sentences or orders which are applied by s 20AB</w:t>
      </w:r>
      <w:bookmarkEnd w:id="1668"/>
      <w:bookmarkEnd w:id="1669"/>
    </w:p>
    <w:p w14:paraId="054CA99D" w14:textId="613C0297" w:rsidR="00920359" w:rsidRPr="009541AE" w:rsidRDefault="00920359" w:rsidP="006D50C7">
      <w:pPr>
        <w:pStyle w:val="NormalIndent"/>
        <w:keepNext/>
        <w:spacing w:line="276" w:lineRule="auto"/>
        <w:jc w:val="both"/>
        <w:rPr>
          <w:rFonts w:ascii="Calibri" w:hAnsi="Calibri"/>
        </w:rPr>
      </w:pPr>
    </w:p>
    <w:p w14:paraId="25AE4CC0" w14:textId="77777777" w:rsidR="008066F0" w:rsidRPr="009541AE" w:rsidRDefault="00920359"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The orders which are applied by s 20AB are specified in s 20AB(1AA), which provides:</w:t>
      </w:r>
    </w:p>
    <w:p w14:paraId="6A9710A2" w14:textId="77777777" w:rsidR="008066F0" w:rsidRPr="009541AE" w:rsidRDefault="008066F0" w:rsidP="00EB7F1E">
      <w:pPr>
        <w:pStyle w:val="BodyText"/>
        <w:spacing w:line="276" w:lineRule="auto"/>
        <w:ind w:left="1134" w:right="170" w:hanging="567"/>
        <w:jc w:val="both"/>
        <w:rPr>
          <w:rFonts w:asciiTheme="minorHAnsi" w:hAnsiTheme="minorHAnsi"/>
          <w:i/>
        </w:rPr>
      </w:pPr>
      <w:bookmarkStart w:id="1670" w:name="CLF.CRIMES.CRIMA14.S3B.1.B"/>
      <w:bookmarkEnd w:id="1670"/>
      <w:r w:rsidRPr="009541AE">
        <w:rPr>
          <w:rFonts w:asciiTheme="minorHAnsi" w:hAnsiTheme="minorHAnsi"/>
          <w:i/>
        </w:rPr>
        <w:t>(1AA)</w:t>
      </w:r>
      <w:r w:rsidRPr="009541AE">
        <w:rPr>
          <w:rFonts w:asciiTheme="minorHAnsi" w:hAnsiTheme="minorHAnsi"/>
          <w:i/>
        </w:rPr>
        <w:tab/>
        <w:t>This subsection applies to a sentence or order that is:</w:t>
      </w:r>
    </w:p>
    <w:p w14:paraId="4066164E" w14:textId="77777777" w:rsidR="008066F0" w:rsidRPr="009541AE" w:rsidRDefault="008066F0" w:rsidP="00EB7F1E">
      <w:pPr>
        <w:pStyle w:val="BodyText"/>
        <w:spacing w:line="276" w:lineRule="auto"/>
        <w:ind w:left="1560" w:right="170" w:hanging="426"/>
        <w:jc w:val="both"/>
        <w:rPr>
          <w:rFonts w:asciiTheme="minorHAnsi" w:hAnsiTheme="minorHAnsi"/>
          <w:i/>
        </w:rPr>
      </w:pPr>
      <w:bookmarkStart w:id="1671" w:name="CLF.CRIMES.CRIMA14.S20AB.1AA.A"/>
      <w:bookmarkEnd w:id="1671"/>
      <w:r w:rsidRPr="009541AE">
        <w:rPr>
          <w:rFonts w:asciiTheme="minorHAnsi" w:hAnsiTheme="minorHAnsi"/>
          <w:i/>
        </w:rPr>
        <w:t>(a)</w:t>
      </w:r>
      <w:r w:rsidRPr="009541AE">
        <w:rPr>
          <w:rFonts w:asciiTheme="minorHAnsi" w:hAnsiTheme="minorHAnsi"/>
          <w:i/>
        </w:rPr>
        <w:tab/>
        <w:t>known as any of the following:</w:t>
      </w:r>
    </w:p>
    <w:p w14:paraId="2772870E"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72" w:name="CLF.CRIMES.CRIMA14.S20AB.1AA.A.I"/>
      <w:bookmarkEnd w:id="1672"/>
      <w:r w:rsidRPr="009541AE">
        <w:rPr>
          <w:rFonts w:asciiTheme="minorHAnsi" w:hAnsiTheme="minorHAnsi"/>
          <w:i/>
          <w:color w:val="000000"/>
          <w:szCs w:val="22"/>
          <w:lang w:eastAsia="en-AU"/>
        </w:rPr>
        <w:t>(i)</w:t>
      </w:r>
      <w:r w:rsidRPr="009541AE">
        <w:rPr>
          <w:rFonts w:asciiTheme="minorHAnsi" w:hAnsiTheme="minorHAnsi"/>
          <w:i/>
          <w:color w:val="000000"/>
          <w:szCs w:val="22"/>
          <w:lang w:eastAsia="en-AU"/>
        </w:rPr>
        <w:tab/>
        <w:t>an attendance centre order or attendance order;</w:t>
      </w:r>
    </w:p>
    <w:p w14:paraId="6FB3D9F5"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73" w:name="CLF.CRIMES.CRIMA14.S20AB.1AA.A.II"/>
      <w:bookmarkEnd w:id="1673"/>
      <w:r w:rsidRPr="009541AE">
        <w:rPr>
          <w:rFonts w:asciiTheme="minorHAnsi" w:hAnsiTheme="minorHAnsi"/>
          <w:i/>
          <w:color w:val="000000"/>
          <w:szCs w:val="22"/>
          <w:lang w:eastAsia="en-AU"/>
        </w:rPr>
        <w:t>(ii)</w:t>
      </w:r>
      <w:r w:rsidRPr="009541AE">
        <w:rPr>
          <w:rFonts w:asciiTheme="minorHAnsi" w:hAnsiTheme="minorHAnsi"/>
          <w:i/>
          <w:color w:val="000000"/>
          <w:szCs w:val="22"/>
          <w:lang w:eastAsia="en-AU"/>
        </w:rPr>
        <w:tab/>
        <w:t>a community based order;</w:t>
      </w:r>
    </w:p>
    <w:p w14:paraId="61BD7CD8"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74" w:name="CLF.CRIMES.CRIMA14.S20AB.1AA.A.III"/>
      <w:bookmarkEnd w:id="1674"/>
      <w:r w:rsidRPr="009541AE">
        <w:rPr>
          <w:rFonts w:asciiTheme="minorHAnsi" w:hAnsiTheme="minorHAnsi"/>
          <w:i/>
          <w:color w:val="000000"/>
          <w:szCs w:val="22"/>
          <w:lang w:eastAsia="en-AU"/>
        </w:rPr>
        <w:t>(ii)</w:t>
      </w:r>
      <w:r w:rsidRPr="009541AE">
        <w:rPr>
          <w:rFonts w:asciiTheme="minorHAnsi" w:hAnsiTheme="minorHAnsi"/>
          <w:i/>
          <w:color w:val="000000"/>
          <w:szCs w:val="22"/>
          <w:lang w:eastAsia="en-AU"/>
        </w:rPr>
        <w:tab/>
        <w:t>a community correction order;</w:t>
      </w:r>
    </w:p>
    <w:p w14:paraId="3D6B5996"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75" w:name="CLF.CRIMES.CRIMA14.S20AB.1AA.A.IV"/>
      <w:bookmarkEnd w:id="1675"/>
      <w:r w:rsidRPr="009541AE">
        <w:rPr>
          <w:rFonts w:asciiTheme="minorHAnsi" w:hAnsiTheme="minorHAnsi"/>
          <w:i/>
          <w:color w:val="000000"/>
          <w:szCs w:val="22"/>
          <w:lang w:eastAsia="en-AU"/>
        </w:rPr>
        <w:t>(iv)</w:t>
      </w:r>
      <w:r w:rsidRPr="009541AE">
        <w:rPr>
          <w:rFonts w:asciiTheme="minorHAnsi" w:hAnsiTheme="minorHAnsi"/>
          <w:i/>
          <w:color w:val="000000"/>
          <w:szCs w:val="22"/>
          <w:lang w:eastAsia="en-AU"/>
        </w:rPr>
        <w:tab/>
        <w:t>a community custody order;</w:t>
      </w:r>
    </w:p>
    <w:p w14:paraId="5A58B7A4"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76" w:name="CLF.CRIMES.CRIMA14.S20AB.1AA.A.V"/>
      <w:bookmarkEnd w:id="1676"/>
      <w:r w:rsidRPr="009541AE">
        <w:rPr>
          <w:rFonts w:asciiTheme="minorHAnsi" w:hAnsiTheme="minorHAnsi"/>
          <w:i/>
          <w:color w:val="000000"/>
          <w:szCs w:val="22"/>
          <w:lang w:eastAsia="en-AU"/>
        </w:rPr>
        <w:t>(v)</w:t>
      </w:r>
      <w:r w:rsidRPr="009541AE">
        <w:rPr>
          <w:rFonts w:asciiTheme="minorHAnsi" w:hAnsiTheme="minorHAnsi"/>
          <w:i/>
          <w:color w:val="000000"/>
          <w:szCs w:val="22"/>
          <w:lang w:eastAsia="en-AU"/>
        </w:rPr>
        <w:tab/>
        <w:t>a community service order;</w:t>
      </w:r>
    </w:p>
    <w:p w14:paraId="1889FADA"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77" w:name="CLF.CRIMES.CRIMA14.S20AB.1AA.A.VI"/>
      <w:bookmarkEnd w:id="1677"/>
      <w:r w:rsidRPr="009541AE">
        <w:rPr>
          <w:rFonts w:asciiTheme="minorHAnsi" w:hAnsiTheme="minorHAnsi"/>
          <w:i/>
          <w:color w:val="000000"/>
          <w:szCs w:val="22"/>
          <w:lang w:eastAsia="en-AU"/>
        </w:rPr>
        <w:t>(vi)</w:t>
      </w:r>
      <w:r w:rsidRPr="009541AE">
        <w:rPr>
          <w:rFonts w:asciiTheme="minorHAnsi" w:hAnsiTheme="minorHAnsi"/>
          <w:i/>
          <w:color w:val="000000"/>
          <w:szCs w:val="22"/>
          <w:lang w:eastAsia="en-AU"/>
        </w:rPr>
        <w:tab/>
        <w:t>a community work order;</w:t>
      </w:r>
    </w:p>
    <w:p w14:paraId="006942BC"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78" w:name="CLF.CRIMES.CRIMA14.S20AB.1AA.A.VII"/>
      <w:bookmarkEnd w:id="1678"/>
      <w:r w:rsidRPr="009541AE">
        <w:rPr>
          <w:rFonts w:asciiTheme="minorHAnsi" w:hAnsiTheme="minorHAnsi"/>
          <w:i/>
          <w:color w:val="000000"/>
          <w:szCs w:val="22"/>
          <w:lang w:eastAsia="en-AU"/>
        </w:rPr>
        <w:t>(vii)</w:t>
      </w:r>
      <w:r w:rsidRPr="009541AE">
        <w:rPr>
          <w:rFonts w:asciiTheme="minorHAnsi" w:hAnsiTheme="minorHAnsi"/>
          <w:i/>
          <w:color w:val="000000"/>
          <w:szCs w:val="22"/>
          <w:lang w:eastAsia="en-AU"/>
        </w:rPr>
        <w:tab/>
      </w:r>
      <w:bookmarkStart w:id="1679" w:name="_Hlk507322151"/>
      <w:r w:rsidRPr="009541AE">
        <w:rPr>
          <w:rFonts w:asciiTheme="minorHAnsi" w:hAnsiTheme="minorHAnsi"/>
          <w:i/>
          <w:color w:val="000000"/>
          <w:szCs w:val="22"/>
          <w:lang w:eastAsia="en-AU"/>
        </w:rPr>
        <w:t>a drug or alcohol treatment order or rehabilitation order</w:t>
      </w:r>
      <w:bookmarkEnd w:id="1679"/>
      <w:r w:rsidRPr="009541AE">
        <w:rPr>
          <w:rFonts w:asciiTheme="minorHAnsi" w:hAnsiTheme="minorHAnsi"/>
          <w:i/>
          <w:color w:val="000000"/>
          <w:szCs w:val="22"/>
          <w:lang w:eastAsia="en-AU"/>
        </w:rPr>
        <w:t>;</w:t>
      </w:r>
    </w:p>
    <w:p w14:paraId="6131C8FD"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80" w:name="CLF.CRIMES.CRIMA14.S20AB.1AA.A.VIII"/>
      <w:bookmarkEnd w:id="1680"/>
      <w:r w:rsidRPr="009541AE">
        <w:rPr>
          <w:rFonts w:asciiTheme="minorHAnsi" w:hAnsiTheme="minorHAnsi"/>
          <w:i/>
          <w:color w:val="000000"/>
          <w:szCs w:val="22"/>
          <w:lang w:eastAsia="en-AU"/>
        </w:rPr>
        <w:t>(viii)</w:t>
      </w:r>
      <w:r w:rsidRPr="009541AE">
        <w:rPr>
          <w:rFonts w:asciiTheme="minorHAnsi" w:hAnsiTheme="minorHAnsi"/>
          <w:i/>
          <w:color w:val="000000"/>
          <w:szCs w:val="22"/>
          <w:lang w:eastAsia="en-AU"/>
        </w:rPr>
        <w:tab/>
        <w:t>a good behaviour order;</w:t>
      </w:r>
    </w:p>
    <w:p w14:paraId="4DF86F92"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81" w:name="CLF.CRIMES.CRIMA14.S20AB.1AA.A.IX"/>
      <w:bookmarkEnd w:id="1681"/>
      <w:r w:rsidRPr="009541AE">
        <w:rPr>
          <w:rFonts w:asciiTheme="minorHAnsi" w:hAnsiTheme="minorHAnsi"/>
          <w:i/>
          <w:color w:val="000000"/>
          <w:szCs w:val="22"/>
          <w:lang w:eastAsia="en-AU"/>
        </w:rPr>
        <w:t>(ix)</w:t>
      </w:r>
      <w:r w:rsidRPr="009541AE">
        <w:rPr>
          <w:rFonts w:asciiTheme="minorHAnsi" w:hAnsiTheme="minorHAnsi"/>
          <w:i/>
          <w:color w:val="000000"/>
          <w:szCs w:val="22"/>
          <w:lang w:eastAsia="en-AU"/>
        </w:rPr>
        <w:tab/>
        <w:t>an intensive correction order;</w:t>
      </w:r>
    </w:p>
    <w:p w14:paraId="4EDD1E36"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82" w:name="CLF.CRIMES.CRIMA14.S20AB.1AA.A.X"/>
      <w:bookmarkEnd w:id="1682"/>
      <w:r w:rsidRPr="009541AE">
        <w:rPr>
          <w:rFonts w:asciiTheme="minorHAnsi" w:hAnsiTheme="minorHAnsi"/>
          <w:i/>
          <w:color w:val="000000"/>
          <w:szCs w:val="22"/>
          <w:lang w:eastAsia="en-AU"/>
        </w:rPr>
        <w:t>(x)</w:t>
      </w:r>
      <w:r w:rsidRPr="009541AE">
        <w:rPr>
          <w:rFonts w:asciiTheme="minorHAnsi" w:hAnsiTheme="minorHAnsi"/>
          <w:i/>
          <w:color w:val="000000"/>
          <w:szCs w:val="22"/>
          <w:lang w:eastAsia="en-AU"/>
        </w:rPr>
        <w:tab/>
        <w:t>an intensive supervision order;</w:t>
      </w:r>
    </w:p>
    <w:p w14:paraId="13DCE638"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83" w:name="CLF.CRIMES.CRIMA14.S20AB.1AA.A.XI"/>
      <w:bookmarkEnd w:id="1683"/>
      <w:r w:rsidRPr="009541AE">
        <w:rPr>
          <w:rFonts w:asciiTheme="minorHAnsi" w:hAnsiTheme="minorHAnsi"/>
          <w:i/>
          <w:color w:val="000000"/>
          <w:szCs w:val="22"/>
          <w:lang w:eastAsia="en-AU"/>
        </w:rPr>
        <w:t>(xi)</w:t>
      </w:r>
      <w:r w:rsidRPr="009541AE">
        <w:rPr>
          <w:rFonts w:asciiTheme="minorHAnsi" w:hAnsiTheme="minorHAnsi"/>
          <w:i/>
          <w:color w:val="000000"/>
          <w:szCs w:val="22"/>
          <w:lang w:eastAsia="en-AU"/>
        </w:rPr>
        <w:tab/>
        <w:t>a sentence of periodic detention or a periodic detention order;</w:t>
      </w:r>
    </w:p>
    <w:p w14:paraId="1C78BBB3"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84" w:name="CLF.CRIMES.CRIMA14.S20AB.1AA.A.XII"/>
      <w:bookmarkEnd w:id="1684"/>
      <w:r w:rsidRPr="009541AE">
        <w:rPr>
          <w:rFonts w:asciiTheme="minorHAnsi" w:hAnsiTheme="minorHAnsi"/>
          <w:i/>
          <w:color w:val="000000"/>
          <w:szCs w:val="22"/>
          <w:lang w:eastAsia="en-AU"/>
        </w:rPr>
        <w:t>(xii)</w:t>
      </w:r>
      <w:r w:rsidRPr="009541AE">
        <w:rPr>
          <w:rFonts w:asciiTheme="minorHAnsi" w:hAnsiTheme="minorHAnsi"/>
          <w:i/>
          <w:color w:val="000000"/>
          <w:szCs w:val="22"/>
          <w:lang w:eastAsia="en-AU"/>
        </w:rPr>
        <w:tab/>
        <w:t>a sentence of weekend detention or a weekend detention order;</w:t>
      </w:r>
    </w:p>
    <w:p w14:paraId="5EC59532" w14:textId="77777777" w:rsidR="008066F0" w:rsidRPr="009541AE" w:rsidRDefault="008066F0" w:rsidP="00EB7F1E">
      <w:pPr>
        <w:autoSpaceDE w:val="0"/>
        <w:autoSpaceDN w:val="0"/>
        <w:adjustRightInd w:val="0"/>
        <w:spacing w:line="276" w:lineRule="auto"/>
        <w:ind w:left="1984" w:hanging="424"/>
        <w:jc w:val="both"/>
        <w:rPr>
          <w:rFonts w:asciiTheme="minorHAnsi" w:hAnsiTheme="minorHAnsi"/>
          <w:i/>
          <w:color w:val="000000"/>
          <w:szCs w:val="22"/>
          <w:lang w:eastAsia="en-AU"/>
        </w:rPr>
      </w:pPr>
      <w:bookmarkStart w:id="1685" w:name="CLF.CRIMES.CRIMA14.S20AB.1AA.A.XIII"/>
      <w:bookmarkEnd w:id="1685"/>
      <w:r w:rsidRPr="009541AE">
        <w:rPr>
          <w:rFonts w:asciiTheme="minorHAnsi" w:hAnsiTheme="minorHAnsi"/>
          <w:i/>
          <w:color w:val="000000"/>
          <w:szCs w:val="22"/>
          <w:lang w:eastAsia="en-AU"/>
        </w:rPr>
        <w:t>(xii)</w:t>
      </w:r>
      <w:r w:rsidRPr="009541AE">
        <w:rPr>
          <w:rFonts w:asciiTheme="minorHAnsi" w:hAnsiTheme="minorHAnsi"/>
          <w:i/>
          <w:color w:val="000000"/>
          <w:szCs w:val="22"/>
          <w:lang w:eastAsia="en-AU"/>
        </w:rPr>
        <w:tab/>
        <w:t>a work order; or</w:t>
      </w:r>
    </w:p>
    <w:p w14:paraId="5CF990D4" w14:textId="13107396" w:rsidR="008066F0" w:rsidRPr="009541AE" w:rsidRDefault="008066F0" w:rsidP="00EB7F1E">
      <w:pPr>
        <w:pStyle w:val="BodyText"/>
        <w:spacing w:line="276" w:lineRule="auto"/>
        <w:ind w:left="1560" w:right="170" w:hanging="426"/>
        <w:jc w:val="both"/>
        <w:rPr>
          <w:rFonts w:asciiTheme="minorHAnsi" w:hAnsiTheme="minorHAnsi"/>
          <w:i/>
        </w:rPr>
      </w:pPr>
      <w:bookmarkStart w:id="1686" w:name="CLF.CRIMES.CRIMA14.S20AB.1AA.B"/>
      <w:bookmarkEnd w:id="1686"/>
      <w:r w:rsidRPr="009541AE">
        <w:rPr>
          <w:rFonts w:asciiTheme="minorHAnsi" w:hAnsiTheme="minorHAnsi"/>
          <w:i/>
        </w:rPr>
        <w:t>(b)</w:t>
      </w:r>
      <w:r w:rsidRPr="009541AE">
        <w:rPr>
          <w:rFonts w:asciiTheme="minorHAnsi" w:hAnsiTheme="minorHAnsi"/>
          <w:i/>
        </w:rPr>
        <w:tab/>
        <w:t xml:space="preserve">similar to a sentence or order to which </w:t>
      </w:r>
      <w:hyperlink r:id="rId26" w:tgtFrame="_parent" w:history="1">
        <w:r w:rsidRPr="009541AE">
          <w:rPr>
            <w:rFonts w:asciiTheme="minorHAnsi" w:hAnsiTheme="minorHAnsi"/>
            <w:i/>
          </w:rPr>
          <w:t>paragraph (a)</w:t>
        </w:r>
      </w:hyperlink>
      <w:r w:rsidRPr="009541AE">
        <w:rPr>
          <w:rFonts w:asciiTheme="minorHAnsi" w:hAnsiTheme="minorHAnsi"/>
          <w:i/>
        </w:rPr>
        <w:t xml:space="preserve"> applies; or</w:t>
      </w:r>
    </w:p>
    <w:p w14:paraId="6D3603E8" w14:textId="77777777" w:rsidR="008066F0" w:rsidRPr="009541AE" w:rsidRDefault="008066F0" w:rsidP="00EB7F1E">
      <w:pPr>
        <w:pStyle w:val="BodyText"/>
        <w:spacing w:line="276" w:lineRule="auto"/>
        <w:ind w:left="1560" w:right="170" w:hanging="426"/>
        <w:jc w:val="both"/>
        <w:rPr>
          <w:rFonts w:asciiTheme="minorHAnsi" w:hAnsiTheme="minorHAnsi"/>
          <w:i/>
        </w:rPr>
      </w:pPr>
      <w:bookmarkStart w:id="1687" w:name="CLF.CRIMES.CRIMA14.S20AB.1AA.C"/>
      <w:bookmarkEnd w:id="1687"/>
      <w:r w:rsidRPr="009541AE">
        <w:rPr>
          <w:rFonts w:asciiTheme="minorHAnsi" w:hAnsiTheme="minorHAnsi"/>
          <w:i/>
        </w:rPr>
        <w:t>(c)</w:t>
      </w:r>
      <w:r w:rsidRPr="009541AE">
        <w:rPr>
          <w:rFonts w:asciiTheme="minorHAnsi" w:hAnsiTheme="minorHAnsi"/>
          <w:i/>
        </w:rPr>
        <w:tab/>
        <w:t>prescribed for the purposes of this subsection.</w:t>
      </w:r>
    </w:p>
    <w:p w14:paraId="4C40D4E4" w14:textId="1A26A6AB" w:rsidR="008066F0" w:rsidRPr="009541AE" w:rsidRDefault="008066F0" w:rsidP="008066F0">
      <w:pPr>
        <w:pStyle w:val="BlockText"/>
        <w:tabs>
          <w:tab w:val="clear" w:pos="426"/>
          <w:tab w:val="clear" w:pos="993"/>
        </w:tabs>
        <w:spacing w:before="0" w:line="276" w:lineRule="auto"/>
        <w:ind w:right="0"/>
        <w:jc w:val="both"/>
        <w:rPr>
          <w:rFonts w:asciiTheme="minorHAnsi" w:hAnsiTheme="minorHAnsi"/>
        </w:rPr>
      </w:pPr>
    </w:p>
    <w:p w14:paraId="57D49D66" w14:textId="792F060C" w:rsidR="008066F0" w:rsidRPr="009541AE" w:rsidRDefault="009A24D3"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The list in s 20AB(1AA)(a) describes various orders which are, or have been, provided for by State or Territory laws.  Paragraph (</w:t>
      </w:r>
      <w:r w:rsidR="00CE0EBA" w:rsidRPr="009541AE">
        <w:rPr>
          <w:rFonts w:asciiTheme="minorHAnsi" w:hAnsiTheme="minorHAnsi"/>
        </w:rPr>
        <w:t>b</w:t>
      </w:r>
      <w:r w:rsidRPr="009541AE">
        <w:rPr>
          <w:rFonts w:asciiTheme="minorHAnsi" w:hAnsiTheme="minorHAnsi"/>
        </w:rPr>
        <w:t>)</w:t>
      </w:r>
      <w:r w:rsidR="00CE0EBA" w:rsidRPr="009541AE">
        <w:rPr>
          <w:rFonts w:asciiTheme="minorHAnsi" w:hAnsiTheme="minorHAnsi"/>
        </w:rPr>
        <w:t xml:space="preserve"> extends the list of applied orders to include a sentence or order that is “</w:t>
      </w:r>
      <w:r w:rsidR="00CE0EBA" w:rsidRPr="009541AE">
        <w:rPr>
          <w:rFonts w:asciiTheme="minorHAnsi" w:hAnsiTheme="minorHAnsi"/>
          <w:i/>
        </w:rPr>
        <w:t xml:space="preserve">similar to a sentence or order to which </w:t>
      </w:r>
      <w:hyperlink r:id="rId27" w:tgtFrame="_parent" w:history="1">
        <w:r w:rsidR="00CE0EBA" w:rsidRPr="009541AE">
          <w:rPr>
            <w:rFonts w:asciiTheme="minorHAnsi" w:hAnsiTheme="minorHAnsi"/>
            <w:i/>
          </w:rPr>
          <w:t>paragraph (a)</w:t>
        </w:r>
      </w:hyperlink>
      <w:r w:rsidR="00CE0EBA" w:rsidRPr="009541AE">
        <w:rPr>
          <w:rFonts w:asciiTheme="minorHAnsi" w:hAnsiTheme="minorHAnsi"/>
          <w:i/>
        </w:rPr>
        <w:t xml:space="preserve"> applies</w:t>
      </w:r>
      <w:r w:rsidR="00CE0EBA" w:rsidRPr="009541AE">
        <w:rPr>
          <w:rFonts w:asciiTheme="minorHAnsi" w:hAnsiTheme="minorHAnsi"/>
        </w:rPr>
        <w:t>”.  Paragraph (c) allows for other sentences or orders to be prescribed by regulations.</w:t>
      </w:r>
    </w:p>
    <w:p w14:paraId="76C0D0C2" w14:textId="77777777" w:rsidR="0059534A" w:rsidRPr="009541AE" w:rsidRDefault="0059534A" w:rsidP="0059534A">
      <w:pPr>
        <w:pStyle w:val="BlockText"/>
        <w:tabs>
          <w:tab w:val="clear" w:pos="426"/>
          <w:tab w:val="clear" w:pos="993"/>
        </w:tabs>
        <w:spacing w:before="0" w:line="276" w:lineRule="auto"/>
        <w:ind w:right="0"/>
        <w:jc w:val="both"/>
        <w:rPr>
          <w:rFonts w:asciiTheme="minorHAnsi" w:hAnsiTheme="minorHAnsi"/>
        </w:rPr>
      </w:pPr>
    </w:p>
    <w:p w14:paraId="01268F6F" w14:textId="10A7D58A" w:rsidR="0059534A" w:rsidRPr="009541AE" w:rsidRDefault="005322E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The following orders are prescribed, for the purposes of s 20AB, by regulation </w:t>
      </w:r>
      <w:r w:rsidR="003F7CE1" w:rsidRPr="009541AE">
        <w:rPr>
          <w:rFonts w:asciiTheme="minorHAnsi" w:hAnsiTheme="minorHAnsi"/>
        </w:rPr>
        <w:t xml:space="preserve">15 </w:t>
      </w:r>
      <w:r w:rsidRPr="009541AE">
        <w:rPr>
          <w:rFonts w:asciiTheme="minorHAnsi" w:hAnsiTheme="minorHAnsi"/>
        </w:rPr>
        <w:t xml:space="preserve">of the </w:t>
      </w:r>
      <w:r w:rsidRPr="009541AE">
        <w:rPr>
          <w:rFonts w:asciiTheme="minorHAnsi" w:hAnsiTheme="minorHAnsi"/>
          <w:i/>
          <w:iCs/>
        </w:rPr>
        <w:t xml:space="preserve">Crimes Regulations </w:t>
      </w:r>
      <w:r w:rsidR="003F7CE1" w:rsidRPr="009541AE">
        <w:rPr>
          <w:rFonts w:asciiTheme="minorHAnsi" w:hAnsiTheme="minorHAnsi"/>
          <w:i/>
          <w:iCs/>
        </w:rPr>
        <w:t>2019</w:t>
      </w:r>
      <w:r w:rsidRPr="009541AE">
        <w:rPr>
          <w:rFonts w:asciiTheme="minorHAnsi" w:hAnsiTheme="minorHAnsi"/>
        </w:rPr>
        <w:t xml:space="preserve"> (Cth)</w:t>
      </w:r>
      <w:r w:rsidR="00F442E9" w:rsidRPr="009541AE">
        <w:rPr>
          <w:rFonts w:asciiTheme="minorHAnsi" w:hAnsiTheme="minorHAnsi"/>
        </w:rPr>
        <w:t xml:space="preserve"> (which commenced on 27 July 2019)</w:t>
      </w:r>
      <w:r w:rsidRPr="009541AE">
        <w:rPr>
          <w:rFonts w:asciiTheme="minorHAnsi" w:hAnsiTheme="minorHAnsi"/>
        </w:rPr>
        <w:t>:</w:t>
      </w:r>
      <w:r w:rsidR="00BF3664" w:rsidRPr="009541AE">
        <w:rPr>
          <w:rStyle w:val="Style"/>
          <w:rFonts w:asciiTheme="minorHAnsi" w:hAnsiTheme="minorHAnsi"/>
        </w:rPr>
        <w:t xml:space="preserve"> </w:t>
      </w:r>
    </w:p>
    <w:p w14:paraId="35B298A6" w14:textId="31756C6B" w:rsidR="002E1F57" w:rsidRPr="009541AE" w:rsidRDefault="002E1F57" w:rsidP="002E1F57">
      <w:pPr>
        <w:pStyle w:val="ListParagraph"/>
        <w:rPr>
          <w:rFonts w:asciiTheme="minorHAnsi" w:hAnsiTheme="minorHAnsi"/>
        </w:rPr>
      </w:pPr>
    </w:p>
    <w:tbl>
      <w:tblPr>
        <w:tblW w:w="5000" w:type="pct"/>
        <w:tblBorders>
          <w:top w:val="single" w:sz="4" w:space="0" w:color="auto"/>
          <w:bottom w:val="single" w:sz="2" w:space="0" w:color="auto"/>
          <w:insideH w:val="single" w:sz="4" w:space="0" w:color="auto"/>
        </w:tblBorders>
        <w:tblLook w:val="04A0" w:firstRow="1" w:lastRow="0" w:firstColumn="1" w:lastColumn="0" w:noHBand="0" w:noVBand="1"/>
      </w:tblPr>
      <w:tblGrid>
        <w:gridCol w:w="937"/>
        <w:gridCol w:w="5103"/>
        <w:gridCol w:w="3599"/>
      </w:tblGrid>
      <w:tr w:rsidR="00FB185D" w:rsidRPr="009541AE" w14:paraId="44FFDBC2" w14:textId="77777777" w:rsidTr="007F0AB7">
        <w:trPr>
          <w:tblHeader/>
        </w:trPr>
        <w:tc>
          <w:tcPr>
            <w:tcW w:w="486" w:type="pct"/>
            <w:tcBorders>
              <w:top w:val="single" w:sz="12" w:space="0" w:color="auto"/>
              <w:bottom w:val="single" w:sz="12" w:space="0" w:color="auto"/>
            </w:tcBorders>
            <w:shd w:val="clear" w:color="auto" w:fill="auto"/>
          </w:tcPr>
          <w:p w14:paraId="6648D80D" w14:textId="77777777" w:rsidR="00FB185D" w:rsidRPr="009541AE" w:rsidRDefault="00FB185D" w:rsidP="007F0AB7">
            <w:pPr>
              <w:pStyle w:val="TableHeading"/>
              <w:keepLines/>
              <w:rPr>
                <w:rFonts w:ascii="Calibri" w:hAnsi="Calibri" w:cstheme="minorHAnsi"/>
                <w:sz w:val="22"/>
                <w:szCs w:val="22"/>
              </w:rPr>
            </w:pPr>
            <w:r w:rsidRPr="009541AE">
              <w:rPr>
                <w:rFonts w:ascii="Calibri" w:hAnsi="Calibri" w:cstheme="minorHAnsi"/>
                <w:sz w:val="22"/>
                <w:szCs w:val="22"/>
              </w:rPr>
              <w:t>Item</w:t>
            </w:r>
          </w:p>
        </w:tc>
        <w:tc>
          <w:tcPr>
            <w:tcW w:w="2647" w:type="pct"/>
            <w:tcBorders>
              <w:top w:val="single" w:sz="12" w:space="0" w:color="auto"/>
              <w:bottom w:val="single" w:sz="12" w:space="0" w:color="auto"/>
            </w:tcBorders>
            <w:shd w:val="clear" w:color="auto" w:fill="auto"/>
          </w:tcPr>
          <w:p w14:paraId="1395593F" w14:textId="77777777" w:rsidR="00FB185D" w:rsidRPr="009541AE" w:rsidRDefault="00FB185D" w:rsidP="007F0AB7">
            <w:pPr>
              <w:pStyle w:val="TableHeading"/>
              <w:keepLines/>
              <w:rPr>
                <w:rFonts w:ascii="Calibri" w:hAnsi="Calibri" w:cstheme="minorHAnsi"/>
                <w:sz w:val="22"/>
                <w:szCs w:val="22"/>
              </w:rPr>
            </w:pPr>
            <w:r w:rsidRPr="009541AE">
              <w:rPr>
                <w:rFonts w:ascii="Calibri" w:hAnsi="Calibri" w:cstheme="minorHAnsi"/>
                <w:sz w:val="22"/>
                <w:szCs w:val="22"/>
              </w:rPr>
              <w:t>Prescribed order</w:t>
            </w:r>
          </w:p>
        </w:tc>
        <w:tc>
          <w:tcPr>
            <w:tcW w:w="1867" w:type="pct"/>
            <w:tcBorders>
              <w:top w:val="single" w:sz="12" w:space="0" w:color="auto"/>
              <w:bottom w:val="single" w:sz="12" w:space="0" w:color="auto"/>
            </w:tcBorders>
            <w:shd w:val="clear" w:color="auto" w:fill="auto"/>
          </w:tcPr>
          <w:p w14:paraId="638D764A" w14:textId="77777777" w:rsidR="00FB185D" w:rsidRPr="009541AE" w:rsidRDefault="00FB185D" w:rsidP="007F0AB7">
            <w:pPr>
              <w:pStyle w:val="TableHeading"/>
              <w:keepLines/>
              <w:rPr>
                <w:rFonts w:ascii="Calibri" w:hAnsi="Calibri" w:cstheme="minorHAnsi"/>
                <w:sz w:val="22"/>
                <w:szCs w:val="22"/>
              </w:rPr>
            </w:pPr>
            <w:r w:rsidRPr="009541AE">
              <w:rPr>
                <w:rFonts w:ascii="Calibri" w:hAnsi="Calibri" w:cstheme="minorHAnsi"/>
                <w:sz w:val="22"/>
                <w:szCs w:val="22"/>
              </w:rPr>
              <w:t>Law under which order is made</w:t>
            </w:r>
          </w:p>
        </w:tc>
      </w:tr>
      <w:tr w:rsidR="00FB185D" w:rsidRPr="009541AE" w14:paraId="1F861F76" w14:textId="77777777" w:rsidTr="007F0AB7">
        <w:trPr>
          <w:cantSplit/>
        </w:trPr>
        <w:tc>
          <w:tcPr>
            <w:tcW w:w="486" w:type="pct"/>
            <w:shd w:val="clear" w:color="auto" w:fill="auto"/>
          </w:tcPr>
          <w:p w14:paraId="5D7A88B4" w14:textId="11B7B86C" w:rsidR="00FB185D" w:rsidRPr="009541AE" w:rsidRDefault="003F7CE1" w:rsidP="007F0AB7">
            <w:pPr>
              <w:pStyle w:val="Tabletext"/>
              <w:rPr>
                <w:rFonts w:ascii="Calibri" w:hAnsi="Calibri" w:cstheme="minorHAnsi"/>
                <w:sz w:val="22"/>
                <w:szCs w:val="22"/>
              </w:rPr>
            </w:pPr>
            <w:r w:rsidRPr="009541AE">
              <w:rPr>
                <w:rFonts w:ascii="Calibri" w:hAnsi="Calibri" w:cstheme="minorHAnsi"/>
                <w:sz w:val="22"/>
                <w:szCs w:val="22"/>
              </w:rPr>
              <w:t>1</w:t>
            </w:r>
          </w:p>
        </w:tc>
        <w:tc>
          <w:tcPr>
            <w:tcW w:w="2647" w:type="pct"/>
            <w:shd w:val="clear" w:color="auto" w:fill="auto"/>
          </w:tcPr>
          <w:p w14:paraId="40DB4F9C" w14:textId="77777777" w:rsidR="00FB185D" w:rsidRPr="009541AE" w:rsidRDefault="00FB185D" w:rsidP="007F0AB7">
            <w:pPr>
              <w:pStyle w:val="Tabletext"/>
              <w:rPr>
                <w:rFonts w:ascii="Calibri" w:hAnsi="Calibri" w:cstheme="minorHAnsi"/>
                <w:sz w:val="22"/>
                <w:szCs w:val="22"/>
              </w:rPr>
            </w:pPr>
            <w:r w:rsidRPr="009541AE">
              <w:rPr>
                <w:rFonts w:ascii="Calibri" w:hAnsi="Calibri" w:cstheme="minorHAnsi"/>
                <w:sz w:val="22"/>
                <w:szCs w:val="22"/>
              </w:rPr>
              <w:t>Home detention order</w:t>
            </w:r>
          </w:p>
        </w:tc>
        <w:tc>
          <w:tcPr>
            <w:tcW w:w="1867" w:type="pct"/>
            <w:shd w:val="clear" w:color="auto" w:fill="auto"/>
          </w:tcPr>
          <w:p w14:paraId="3889F4EE" w14:textId="42B489E0" w:rsidR="00FB185D" w:rsidRPr="009541AE" w:rsidRDefault="004663AC" w:rsidP="007F0AB7">
            <w:pPr>
              <w:pStyle w:val="Tabletext"/>
              <w:rPr>
                <w:rFonts w:ascii="Calibri" w:hAnsi="Calibri" w:cstheme="minorHAnsi"/>
                <w:sz w:val="22"/>
                <w:szCs w:val="22"/>
              </w:rPr>
            </w:pPr>
            <w:r w:rsidRPr="009541AE">
              <w:rPr>
                <w:rFonts w:ascii="Calibri" w:hAnsi="Calibri" w:cstheme="minorHAnsi"/>
                <w:sz w:val="22"/>
                <w:szCs w:val="22"/>
              </w:rPr>
              <w:t>Subdivision 1 of Division 7 of Part 3 of the Sentencing Act 2017 (SA), as in force at the commencement of this instrument</w:t>
            </w:r>
          </w:p>
        </w:tc>
      </w:tr>
      <w:tr w:rsidR="00EE5597" w:rsidRPr="009541AE" w14:paraId="43A02FEF" w14:textId="77777777" w:rsidTr="007F0AB7">
        <w:trPr>
          <w:cantSplit/>
        </w:trPr>
        <w:tc>
          <w:tcPr>
            <w:tcW w:w="486" w:type="pct"/>
            <w:shd w:val="clear" w:color="auto" w:fill="auto"/>
          </w:tcPr>
          <w:p w14:paraId="40DB5ECB" w14:textId="3CFB0B2F" w:rsidR="00EE5597" w:rsidRPr="009541AE" w:rsidRDefault="00EE5597" w:rsidP="007F0AB7">
            <w:pPr>
              <w:pStyle w:val="Tabletext"/>
              <w:rPr>
                <w:rFonts w:ascii="Calibri" w:hAnsi="Calibri" w:cstheme="minorHAnsi"/>
                <w:sz w:val="22"/>
                <w:szCs w:val="22"/>
              </w:rPr>
            </w:pPr>
            <w:r w:rsidRPr="009541AE">
              <w:rPr>
                <w:rFonts w:ascii="Calibri" w:hAnsi="Calibri" w:cstheme="minorHAnsi"/>
                <w:sz w:val="22"/>
                <w:szCs w:val="22"/>
              </w:rPr>
              <w:t>2</w:t>
            </w:r>
          </w:p>
        </w:tc>
        <w:tc>
          <w:tcPr>
            <w:tcW w:w="2647" w:type="pct"/>
            <w:shd w:val="clear" w:color="auto" w:fill="auto"/>
          </w:tcPr>
          <w:p w14:paraId="3AD056D5" w14:textId="718F541D" w:rsidR="00EE5597" w:rsidRPr="009541AE" w:rsidDel="004663AC" w:rsidRDefault="00EE5597" w:rsidP="007F0AB7">
            <w:pPr>
              <w:pStyle w:val="Tabletext"/>
              <w:rPr>
                <w:rFonts w:ascii="Calibri" w:hAnsi="Calibri" w:cstheme="minorHAnsi"/>
                <w:sz w:val="22"/>
                <w:szCs w:val="22"/>
              </w:rPr>
            </w:pPr>
            <w:r w:rsidRPr="009541AE">
              <w:rPr>
                <w:rFonts w:ascii="Calibri" w:hAnsi="Calibri" w:cstheme="minorHAnsi"/>
                <w:sz w:val="22"/>
                <w:szCs w:val="22"/>
              </w:rPr>
              <w:t>Home detention order</w:t>
            </w:r>
          </w:p>
        </w:tc>
        <w:tc>
          <w:tcPr>
            <w:tcW w:w="1867" w:type="pct"/>
            <w:shd w:val="clear" w:color="auto" w:fill="auto"/>
          </w:tcPr>
          <w:p w14:paraId="659FEEFC" w14:textId="7731C8C3" w:rsidR="00EE5597" w:rsidRPr="009541AE" w:rsidRDefault="00EE5597" w:rsidP="007F0AB7">
            <w:pPr>
              <w:pStyle w:val="Tabletext"/>
              <w:rPr>
                <w:rFonts w:ascii="Calibri" w:hAnsi="Calibri" w:cstheme="minorHAnsi"/>
                <w:sz w:val="22"/>
                <w:szCs w:val="22"/>
              </w:rPr>
            </w:pPr>
            <w:r w:rsidRPr="009541AE">
              <w:rPr>
                <w:rFonts w:ascii="Calibri" w:hAnsi="Calibri" w:cstheme="minorHAnsi"/>
                <w:sz w:val="22"/>
                <w:szCs w:val="22"/>
              </w:rPr>
              <w:t>Part 5A of the Sentencing Act 1997 (Tas.), as in force at the commencement of this instrument</w:t>
            </w:r>
          </w:p>
        </w:tc>
      </w:tr>
      <w:tr w:rsidR="009541AE" w:rsidRPr="009541AE" w:rsidDel="00282EC5" w14:paraId="66116D66" w14:textId="77777777" w:rsidTr="007F0AB7">
        <w:tc>
          <w:tcPr>
            <w:tcW w:w="486" w:type="pct"/>
            <w:tcBorders>
              <w:bottom w:val="single" w:sz="12" w:space="0" w:color="auto"/>
            </w:tcBorders>
            <w:shd w:val="clear" w:color="auto" w:fill="auto"/>
          </w:tcPr>
          <w:p w14:paraId="4E6AD376" w14:textId="231A2427" w:rsidR="00FB185D" w:rsidRPr="009541AE" w:rsidDel="00282EC5" w:rsidRDefault="00FB185D" w:rsidP="007F0AB7">
            <w:pPr>
              <w:pStyle w:val="Tabletext"/>
              <w:rPr>
                <w:rFonts w:ascii="Calibri" w:hAnsi="Calibri" w:cstheme="minorHAnsi"/>
                <w:sz w:val="22"/>
                <w:szCs w:val="22"/>
              </w:rPr>
            </w:pPr>
            <w:r w:rsidRPr="009541AE">
              <w:rPr>
                <w:rFonts w:ascii="Calibri" w:hAnsi="Calibri" w:cstheme="minorHAnsi"/>
                <w:sz w:val="22"/>
                <w:szCs w:val="22"/>
              </w:rPr>
              <w:t>3</w:t>
            </w:r>
          </w:p>
        </w:tc>
        <w:tc>
          <w:tcPr>
            <w:tcW w:w="2647" w:type="pct"/>
            <w:tcBorders>
              <w:bottom w:val="single" w:sz="12" w:space="0" w:color="auto"/>
            </w:tcBorders>
            <w:shd w:val="clear" w:color="auto" w:fill="auto"/>
          </w:tcPr>
          <w:p w14:paraId="733F413D" w14:textId="77777777" w:rsidR="00FB185D" w:rsidRPr="009541AE" w:rsidDel="00282EC5" w:rsidRDefault="00FB185D" w:rsidP="007F0AB7">
            <w:pPr>
              <w:pStyle w:val="Tabletext"/>
              <w:rPr>
                <w:rFonts w:ascii="Calibri" w:hAnsi="Calibri" w:cstheme="minorHAnsi"/>
                <w:sz w:val="22"/>
                <w:szCs w:val="22"/>
              </w:rPr>
            </w:pPr>
            <w:r w:rsidRPr="009541AE">
              <w:rPr>
                <w:rFonts w:ascii="Calibri" w:hAnsi="Calibri" w:cstheme="minorHAnsi"/>
                <w:sz w:val="22"/>
                <w:szCs w:val="22"/>
              </w:rPr>
              <w:t>Home detention order</w:t>
            </w:r>
          </w:p>
        </w:tc>
        <w:tc>
          <w:tcPr>
            <w:tcW w:w="1867" w:type="pct"/>
            <w:tcBorders>
              <w:bottom w:val="single" w:sz="12" w:space="0" w:color="auto"/>
            </w:tcBorders>
            <w:shd w:val="clear" w:color="auto" w:fill="auto"/>
          </w:tcPr>
          <w:p w14:paraId="5CB6A629" w14:textId="7901475C" w:rsidR="00FB185D" w:rsidRPr="009541AE" w:rsidDel="00282EC5" w:rsidRDefault="00FB185D" w:rsidP="007F0AB7">
            <w:pPr>
              <w:pStyle w:val="Tabletext"/>
              <w:rPr>
                <w:rFonts w:ascii="Calibri" w:hAnsi="Calibri" w:cstheme="minorHAnsi"/>
                <w:sz w:val="22"/>
                <w:szCs w:val="22"/>
              </w:rPr>
            </w:pPr>
            <w:r w:rsidRPr="009541AE">
              <w:rPr>
                <w:rFonts w:ascii="Calibri" w:hAnsi="Calibri" w:cstheme="minorHAnsi"/>
                <w:sz w:val="22"/>
                <w:szCs w:val="22"/>
              </w:rPr>
              <w:t xml:space="preserve">Subdivision 2 of Division 5 of Part 3 of the </w:t>
            </w:r>
            <w:r w:rsidRPr="009541AE">
              <w:rPr>
                <w:rFonts w:ascii="Calibri" w:hAnsi="Calibri" w:cstheme="minorHAnsi"/>
                <w:i/>
                <w:sz w:val="22"/>
                <w:szCs w:val="22"/>
              </w:rPr>
              <w:t xml:space="preserve">Sentencing Act </w:t>
            </w:r>
            <w:r w:rsidRPr="009541AE">
              <w:rPr>
                <w:rFonts w:ascii="Calibri" w:hAnsi="Calibri" w:cstheme="minorHAnsi"/>
                <w:sz w:val="22"/>
                <w:szCs w:val="22"/>
              </w:rPr>
              <w:t>(NT)</w:t>
            </w:r>
            <w:r w:rsidR="004663AC" w:rsidRPr="009541AE">
              <w:t xml:space="preserve"> </w:t>
            </w:r>
            <w:r w:rsidR="004663AC" w:rsidRPr="009541AE">
              <w:rPr>
                <w:rFonts w:ascii="Calibri" w:hAnsi="Calibri" w:cstheme="minorHAnsi"/>
                <w:sz w:val="22"/>
                <w:szCs w:val="22"/>
              </w:rPr>
              <w:t>, as in force at the commencement of this instrument</w:t>
            </w:r>
          </w:p>
        </w:tc>
      </w:tr>
    </w:tbl>
    <w:p w14:paraId="00CD236F" w14:textId="5424D34C" w:rsidR="00FB185D" w:rsidRPr="00266F5E" w:rsidRDefault="00FB185D" w:rsidP="002E1F57">
      <w:pPr>
        <w:pStyle w:val="ListParagraph"/>
        <w:rPr>
          <w:rFonts w:asciiTheme="minorHAnsi" w:hAnsiTheme="minorHAnsi" w:cstheme="minorHAnsi"/>
          <w:szCs w:val="22"/>
          <w:highlight w:val="yellow"/>
        </w:rPr>
      </w:pPr>
    </w:p>
    <w:p w14:paraId="67FF618E" w14:textId="77777777" w:rsidR="009C512F" w:rsidRPr="00266F5E" w:rsidRDefault="009C512F" w:rsidP="00EB7F1E">
      <w:pPr>
        <w:autoSpaceDE w:val="0"/>
        <w:autoSpaceDN w:val="0"/>
        <w:adjustRightInd w:val="0"/>
        <w:rPr>
          <w:rFonts w:asciiTheme="minorHAnsi" w:hAnsiTheme="minorHAnsi"/>
          <w:highlight w:val="yellow"/>
        </w:rPr>
      </w:pPr>
    </w:p>
    <w:p w14:paraId="72E4DE58" w14:textId="3CE9B479" w:rsidR="002E1F57" w:rsidRPr="009541AE" w:rsidRDefault="005322E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By virtue of </w:t>
      </w:r>
      <w:r w:rsidR="008E0E1F" w:rsidRPr="009541AE">
        <w:rPr>
          <w:rFonts w:asciiTheme="minorHAnsi" w:hAnsiTheme="minorHAnsi"/>
        </w:rPr>
        <w:t xml:space="preserve">a combination of </w:t>
      </w:r>
      <w:r w:rsidRPr="009541AE">
        <w:rPr>
          <w:rFonts w:asciiTheme="minorHAnsi" w:hAnsiTheme="minorHAnsi"/>
        </w:rPr>
        <w:t>the</w:t>
      </w:r>
      <w:r w:rsidR="00491EF2" w:rsidRPr="009541AE">
        <w:rPr>
          <w:rFonts w:asciiTheme="minorHAnsi" w:hAnsiTheme="minorHAnsi"/>
        </w:rPr>
        <w:t xml:space="preserve"> prescriptions in the </w:t>
      </w:r>
      <w:r w:rsidR="00491EF2" w:rsidRPr="009541AE">
        <w:rPr>
          <w:rFonts w:asciiTheme="minorHAnsi" w:hAnsiTheme="minorHAnsi"/>
          <w:i/>
          <w:iCs/>
        </w:rPr>
        <w:t>Crimes Regulation</w:t>
      </w:r>
      <w:r w:rsidR="00FF5EB1" w:rsidRPr="009541AE">
        <w:rPr>
          <w:rFonts w:asciiTheme="minorHAnsi" w:hAnsiTheme="minorHAnsi"/>
          <w:i/>
          <w:iCs/>
        </w:rPr>
        <w:t>s</w:t>
      </w:r>
      <w:r w:rsidR="00491EF2" w:rsidRPr="009541AE">
        <w:rPr>
          <w:rFonts w:asciiTheme="minorHAnsi" w:hAnsiTheme="minorHAnsi"/>
        </w:rPr>
        <w:t xml:space="preserve"> and </w:t>
      </w:r>
      <w:r w:rsidR="000D522C" w:rsidRPr="009541AE">
        <w:rPr>
          <w:rFonts w:asciiTheme="minorHAnsi" w:hAnsiTheme="minorHAnsi"/>
        </w:rPr>
        <w:t xml:space="preserve">the operation of </w:t>
      </w:r>
      <w:r w:rsidR="008E0E1F" w:rsidRPr="009541AE">
        <w:rPr>
          <w:rFonts w:asciiTheme="minorHAnsi" w:hAnsiTheme="minorHAnsi" w:cstheme="minorHAnsi"/>
        </w:rPr>
        <w:t>s 20AB(1AA)(a) and (b)</w:t>
      </w:r>
      <w:r w:rsidR="00491EF2" w:rsidRPr="009541AE">
        <w:rPr>
          <w:rFonts w:asciiTheme="minorHAnsi" w:hAnsiTheme="minorHAnsi"/>
        </w:rPr>
        <w:t xml:space="preserve"> </w:t>
      </w:r>
      <w:r w:rsidR="008E0E1F" w:rsidRPr="009541AE">
        <w:rPr>
          <w:rFonts w:asciiTheme="minorHAnsi" w:hAnsiTheme="minorHAnsi"/>
        </w:rPr>
        <w:t>of the Act</w:t>
      </w:r>
      <w:r w:rsidRPr="009541AE">
        <w:rPr>
          <w:rFonts w:asciiTheme="minorHAnsi" w:hAnsiTheme="minorHAnsi"/>
        </w:rPr>
        <w:t xml:space="preserve">, </w:t>
      </w:r>
      <w:r w:rsidR="009C60E9" w:rsidRPr="009541AE">
        <w:rPr>
          <w:rFonts w:asciiTheme="minorHAnsi" w:hAnsiTheme="minorHAnsi"/>
        </w:rPr>
        <w:t xml:space="preserve">at least </w:t>
      </w:r>
      <w:r w:rsidRPr="009541AE">
        <w:rPr>
          <w:rFonts w:asciiTheme="minorHAnsi" w:hAnsiTheme="minorHAnsi"/>
        </w:rPr>
        <w:t>t</w:t>
      </w:r>
      <w:r w:rsidR="002E1F57" w:rsidRPr="009541AE">
        <w:rPr>
          <w:rFonts w:asciiTheme="minorHAnsi" w:hAnsiTheme="minorHAnsi"/>
        </w:rPr>
        <w:t xml:space="preserve">he following </w:t>
      </w:r>
      <w:r w:rsidR="000D522C" w:rsidRPr="009541AE">
        <w:rPr>
          <w:rFonts w:asciiTheme="minorHAnsi" w:hAnsiTheme="minorHAnsi"/>
        </w:rPr>
        <w:t xml:space="preserve">current </w:t>
      </w:r>
      <w:r w:rsidR="002E1F57" w:rsidRPr="009541AE">
        <w:rPr>
          <w:rFonts w:asciiTheme="minorHAnsi" w:hAnsiTheme="minorHAnsi"/>
        </w:rPr>
        <w:t>options under State or Territory laws are applied by s 20AB:</w:t>
      </w:r>
    </w:p>
    <w:p w14:paraId="065AAF84" w14:textId="39B1B408" w:rsidR="002E1F57"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New South Wales:</w:t>
      </w:r>
      <w:r w:rsidRPr="009541AE">
        <w:rPr>
          <w:rFonts w:asciiTheme="minorHAnsi" w:hAnsiTheme="minorHAnsi"/>
        </w:rPr>
        <w:t xml:space="preserve"> </w:t>
      </w:r>
      <w:r w:rsidR="002E1F57" w:rsidRPr="009541AE">
        <w:rPr>
          <w:rFonts w:asciiTheme="minorHAnsi" w:hAnsiTheme="minorHAnsi"/>
        </w:rPr>
        <w:t>intensive correction orders</w:t>
      </w:r>
      <w:r w:rsidR="00FF5EB1" w:rsidRPr="009541AE">
        <w:rPr>
          <w:rFonts w:asciiTheme="minorHAnsi" w:hAnsiTheme="minorHAnsi"/>
          <w:color w:val="548DD4" w:themeColor="text2" w:themeTint="99"/>
        </w:rPr>
        <w:t xml:space="preserve"> </w:t>
      </w:r>
      <w:r w:rsidR="00FF5EB1" w:rsidRPr="00E75576">
        <w:rPr>
          <w:rFonts w:asciiTheme="minorHAnsi" w:hAnsiTheme="minorHAnsi"/>
        </w:rPr>
        <w:t>and</w:t>
      </w:r>
      <w:r w:rsidR="00DE1CCB" w:rsidRPr="00E75576">
        <w:rPr>
          <w:rFonts w:asciiTheme="minorHAnsi" w:hAnsiTheme="minorHAnsi"/>
        </w:rPr>
        <w:t xml:space="preserve"> community correction orders</w:t>
      </w:r>
      <w:r w:rsidR="002E1F57" w:rsidRPr="009541AE">
        <w:rPr>
          <w:rFonts w:asciiTheme="minorHAnsi" w:hAnsiTheme="minorHAnsi"/>
        </w:rPr>
        <w:t>;</w:t>
      </w:r>
      <w:r w:rsidR="002E1F57" w:rsidRPr="009541AE">
        <w:rPr>
          <w:rStyle w:val="Style"/>
          <w:rFonts w:asciiTheme="minorHAnsi" w:hAnsiTheme="minorHAnsi"/>
        </w:rPr>
        <w:footnoteReference w:id="645"/>
      </w:r>
    </w:p>
    <w:p w14:paraId="1A3ADD48" w14:textId="71545A44" w:rsidR="00CE615F"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Victoria:</w:t>
      </w:r>
      <w:r w:rsidRPr="009541AE">
        <w:rPr>
          <w:rFonts w:asciiTheme="minorHAnsi" w:hAnsiTheme="minorHAnsi"/>
        </w:rPr>
        <w:t xml:space="preserve"> community correction orders;</w:t>
      </w:r>
      <w:r w:rsidRPr="009541AE">
        <w:rPr>
          <w:rStyle w:val="Style"/>
          <w:rFonts w:asciiTheme="minorHAnsi" w:hAnsiTheme="minorHAnsi"/>
        </w:rPr>
        <w:t xml:space="preserve"> </w:t>
      </w:r>
      <w:r w:rsidRPr="009541AE">
        <w:rPr>
          <w:rStyle w:val="Style"/>
          <w:rFonts w:asciiTheme="minorHAnsi" w:hAnsiTheme="minorHAnsi"/>
        </w:rPr>
        <w:footnoteReference w:id="646"/>
      </w:r>
    </w:p>
    <w:p w14:paraId="600C1745" w14:textId="703A011D" w:rsidR="002E1F57"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 xml:space="preserve">Queensland: </w:t>
      </w:r>
      <w:r w:rsidR="002E1F57" w:rsidRPr="009541AE">
        <w:rPr>
          <w:rFonts w:asciiTheme="minorHAnsi" w:hAnsiTheme="minorHAnsi"/>
        </w:rPr>
        <w:t>community service orders and intensive correction orders;</w:t>
      </w:r>
      <w:r w:rsidR="002E1F57" w:rsidRPr="009541AE">
        <w:rPr>
          <w:rStyle w:val="Style"/>
          <w:rFonts w:asciiTheme="minorHAnsi" w:hAnsiTheme="minorHAnsi"/>
        </w:rPr>
        <w:footnoteReference w:id="647"/>
      </w:r>
    </w:p>
    <w:p w14:paraId="4507E192" w14:textId="475AFECA" w:rsidR="00CE615F"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Western Australia:</w:t>
      </w:r>
      <w:r w:rsidRPr="009541AE">
        <w:rPr>
          <w:rFonts w:asciiTheme="minorHAnsi" w:hAnsiTheme="minorHAnsi"/>
        </w:rPr>
        <w:t xml:space="preserve"> community based orders</w:t>
      </w:r>
      <w:r w:rsidR="00DB7D12" w:rsidRPr="009541AE">
        <w:rPr>
          <w:rFonts w:asciiTheme="minorHAnsi" w:hAnsiTheme="minorHAnsi"/>
        </w:rPr>
        <w:t xml:space="preserve"> and</w:t>
      </w:r>
      <w:r w:rsidRPr="009541AE">
        <w:rPr>
          <w:rFonts w:asciiTheme="minorHAnsi" w:hAnsiTheme="minorHAnsi"/>
        </w:rPr>
        <w:t xml:space="preserve"> intensive supervision orders;</w:t>
      </w:r>
      <w:r w:rsidRPr="009541AE">
        <w:rPr>
          <w:rStyle w:val="Style"/>
          <w:rFonts w:asciiTheme="minorHAnsi" w:hAnsiTheme="minorHAnsi"/>
        </w:rPr>
        <w:footnoteReference w:id="648"/>
      </w:r>
      <w:r w:rsidRPr="009541AE">
        <w:rPr>
          <w:rStyle w:val="Style"/>
          <w:rFonts w:asciiTheme="minorHAnsi" w:hAnsiTheme="minorHAnsi"/>
        </w:rPr>
        <w:t xml:space="preserve"> </w:t>
      </w:r>
      <w:r w:rsidRPr="009541AE">
        <w:rPr>
          <w:rFonts w:asciiTheme="minorHAnsi" w:hAnsiTheme="minorHAnsi"/>
        </w:rPr>
        <w:t>and</w:t>
      </w:r>
    </w:p>
    <w:p w14:paraId="4AE5945F" w14:textId="1AE8D24E" w:rsidR="002E1F57"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South Australia:</w:t>
      </w:r>
      <w:r w:rsidRPr="009541AE">
        <w:rPr>
          <w:rFonts w:asciiTheme="minorHAnsi" w:hAnsiTheme="minorHAnsi"/>
        </w:rPr>
        <w:t xml:space="preserve"> </w:t>
      </w:r>
      <w:r w:rsidR="00B222A0" w:rsidRPr="009541AE">
        <w:rPr>
          <w:rFonts w:asciiTheme="minorHAnsi" w:hAnsiTheme="minorHAnsi"/>
        </w:rPr>
        <w:t>home detention orders</w:t>
      </w:r>
      <w:r w:rsidR="00BE63DF" w:rsidRPr="009541AE">
        <w:rPr>
          <w:rFonts w:asciiTheme="minorHAnsi" w:hAnsiTheme="minorHAnsi"/>
        </w:rPr>
        <w:t xml:space="preserve"> and</w:t>
      </w:r>
      <w:r w:rsidR="00B222A0" w:rsidRPr="009541AE">
        <w:rPr>
          <w:rFonts w:asciiTheme="minorHAnsi" w:hAnsiTheme="minorHAnsi"/>
        </w:rPr>
        <w:t xml:space="preserve"> </w:t>
      </w:r>
      <w:r w:rsidR="00892953" w:rsidRPr="009541AE">
        <w:rPr>
          <w:rFonts w:asciiTheme="minorHAnsi" w:hAnsiTheme="minorHAnsi"/>
        </w:rPr>
        <w:t>intensive correction orders</w:t>
      </w:r>
      <w:r w:rsidR="002E1F57" w:rsidRPr="009541AE">
        <w:rPr>
          <w:rFonts w:asciiTheme="minorHAnsi" w:hAnsiTheme="minorHAnsi"/>
        </w:rPr>
        <w:t>;</w:t>
      </w:r>
      <w:r w:rsidR="002E1F57" w:rsidRPr="009541AE">
        <w:rPr>
          <w:rStyle w:val="Style"/>
          <w:rFonts w:asciiTheme="minorHAnsi" w:hAnsiTheme="minorHAnsi"/>
        </w:rPr>
        <w:footnoteReference w:id="649"/>
      </w:r>
    </w:p>
    <w:p w14:paraId="6479E656" w14:textId="525CEB7B" w:rsidR="002E1F57"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Australian Capital Territory:</w:t>
      </w:r>
      <w:r w:rsidRPr="009541AE">
        <w:rPr>
          <w:rFonts w:asciiTheme="minorHAnsi" w:hAnsiTheme="minorHAnsi"/>
        </w:rPr>
        <w:t xml:space="preserve"> </w:t>
      </w:r>
      <w:r w:rsidR="002E1F57" w:rsidRPr="009541AE">
        <w:rPr>
          <w:rFonts w:asciiTheme="minorHAnsi" w:hAnsiTheme="minorHAnsi"/>
        </w:rPr>
        <w:t>good behaviour orders;</w:t>
      </w:r>
      <w:r w:rsidR="002E1F57" w:rsidRPr="009541AE">
        <w:rPr>
          <w:rStyle w:val="Style"/>
          <w:rFonts w:asciiTheme="minorHAnsi" w:hAnsiTheme="minorHAnsi"/>
        </w:rPr>
        <w:footnoteReference w:id="650"/>
      </w:r>
    </w:p>
    <w:p w14:paraId="33866BAD" w14:textId="3B041F34" w:rsidR="002E1F57"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Northern Territory:</w:t>
      </w:r>
      <w:r w:rsidRPr="009541AE">
        <w:rPr>
          <w:rFonts w:asciiTheme="minorHAnsi" w:hAnsiTheme="minorHAnsi"/>
        </w:rPr>
        <w:t xml:space="preserve"> </w:t>
      </w:r>
      <w:r w:rsidR="002E1F57" w:rsidRPr="009541AE">
        <w:rPr>
          <w:rFonts w:asciiTheme="minorHAnsi" w:hAnsiTheme="minorHAnsi"/>
        </w:rPr>
        <w:t>community work orders, community based orders, home detention orders and community custody orders;</w:t>
      </w:r>
      <w:r w:rsidR="002E1F57" w:rsidRPr="009541AE">
        <w:rPr>
          <w:rStyle w:val="Style"/>
          <w:rFonts w:asciiTheme="minorHAnsi" w:hAnsiTheme="minorHAnsi"/>
        </w:rPr>
        <w:footnoteReference w:id="651"/>
      </w:r>
      <w:r w:rsidR="002E1F57" w:rsidRPr="009541AE">
        <w:rPr>
          <w:rStyle w:val="Style"/>
          <w:rFonts w:asciiTheme="minorHAnsi" w:hAnsiTheme="minorHAnsi"/>
        </w:rPr>
        <w:t xml:space="preserve"> </w:t>
      </w:r>
    </w:p>
    <w:p w14:paraId="3F04EFCD" w14:textId="197ABEFA" w:rsidR="002E1F57" w:rsidRPr="009541AE" w:rsidRDefault="00CE615F"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b/>
        </w:rPr>
        <w:t>Tasmania:</w:t>
      </w:r>
      <w:r w:rsidRPr="009541AE">
        <w:rPr>
          <w:rFonts w:asciiTheme="minorHAnsi" w:hAnsiTheme="minorHAnsi"/>
        </w:rPr>
        <w:t xml:space="preserve"> </w:t>
      </w:r>
      <w:r w:rsidR="00F442E9" w:rsidRPr="00E75576">
        <w:rPr>
          <w:rFonts w:asciiTheme="minorHAnsi" w:hAnsiTheme="minorHAnsi"/>
        </w:rPr>
        <w:t xml:space="preserve">home detention orders and </w:t>
      </w:r>
      <w:r w:rsidR="002E1F57" w:rsidRPr="009541AE">
        <w:rPr>
          <w:rFonts w:asciiTheme="minorHAnsi" w:hAnsiTheme="minorHAnsi"/>
        </w:rPr>
        <w:t>community service orders.</w:t>
      </w:r>
      <w:r w:rsidR="002E1F57" w:rsidRPr="009541AE">
        <w:rPr>
          <w:rStyle w:val="Style"/>
          <w:rFonts w:asciiTheme="minorHAnsi" w:hAnsiTheme="minorHAnsi"/>
        </w:rPr>
        <w:footnoteReference w:id="652"/>
      </w:r>
    </w:p>
    <w:p w14:paraId="679543B3" w14:textId="77777777" w:rsidR="00FD3B1C" w:rsidRPr="009541AE" w:rsidRDefault="00FD3B1C" w:rsidP="00FD3B1C">
      <w:pPr>
        <w:pStyle w:val="ListParagraph"/>
        <w:rPr>
          <w:rFonts w:asciiTheme="minorHAnsi" w:hAnsiTheme="minorHAnsi"/>
        </w:rPr>
      </w:pPr>
    </w:p>
    <w:p w14:paraId="7D34C852" w14:textId="7A4C4ACF" w:rsidR="00602624" w:rsidRPr="009541AE" w:rsidRDefault="002A0860"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There is some uncertainty about the extent to which State or Territory orders for the treatment of drug or alcohol abuse (which are distinct from the orders listed in the regulations) are picked up by s 20AB.  Despite not being listed in the regulations, such an order under State or Territory law would be picked up and applied by s 20AB(1AA) if it can be </w:t>
      </w:r>
      <w:r w:rsidR="00F47D0C" w:rsidRPr="009541AE">
        <w:rPr>
          <w:rFonts w:asciiTheme="minorHAnsi" w:hAnsiTheme="minorHAnsi"/>
        </w:rPr>
        <w:t>character</w:t>
      </w:r>
      <w:r w:rsidR="00B86888" w:rsidRPr="009541AE">
        <w:rPr>
          <w:rFonts w:asciiTheme="minorHAnsi" w:hAnsiTheme="minorHAnsi"/>
        </w:rPr>
        <w:t>ised</w:t>
      </w:r>
      <w:r w:rsidRPr="009541AE">
        <w:rPr>
          <w:rFonts w:asciiTheme="minorHAnsi" w:hAnsiTheme="minorHAnsi"/>
        </w:rPr>
        <w:t xml:space="preserve"> as </w:t>
      </w:r>
      <w:r w:rsidR="00223285" w:rsidRPr="009541AE">
        <w:rPr>
          <w:rFonts w:asciiTheme="minorHAnsi" w:hAnsiTheme="minorHAnsi"/>
        </w:rPr>
        <w:t>a sentence or order known as “</w:t>
      </w:r>
      <w:r w:rsidRPr="009541AE">
        <w:rPr>
          <w:rFonts w:asciiTheme="minorHAnsi" w:hAnsiTheme="minorHAnsi"/>
          <w:i/>
        </w:rPr>
        <w:t>a drug or alcohol treatment order or rehabilitation order</w:t>
      </w:r>
      <w:r w:rsidRPr="009541AE">
        <w:rPr>
          <w:rFonts w:asciiTheme="minorHAnsi" w:hAnsiTheme="minorHAnsi"/>
        </w:rPr>
        <w:t>”</w:t>
      </w:r>
      <w:r w:rsidR="00223285" w:rsidRPr="009541AE">
        <w:rPr>
          <w:rFonts w:asciiTheme="minorHAnsi" w:hAnsiTheme="minorHAnsi"/>
        </w:rPr>
        <w:t xml:space="preserve"> (within s 20AB(1AA)(a)(vii)) or “</w:t>
      </w:r>
      <w:r w:rsidR="00223285" w:rsidRPr="009541AE">
        <w:rPr>
          <w:rFonts w:asciiTheme="minorHAnsi" w:hAnsiTheme="minorHAnsi"/>
          <w:i/>
        </w:rPr>
        <w:t xml:space="preserve">similar to a sentence or order to which </w:t>
      </w:r>
      <w:hyperlink r:id="rId28" w:tgtFrame="_parent" w:history="1">
        <w:r w:rsidR="00223285" w:rsidRPr="009541AE">
          <w:rPr>
            <w:rFonts w:asciiTheme="minorHAnsi" w:hAnsiTheme="minorHAnsi"/>
            <w:i/>
          </w:rPr>
          <w:t>paragraph (a)</w:t>
        </w:r>
      </w:hyperlink>
      <w:r w:rsidR="00223285" w:rsidRPr="009541AE">
        <w:rPr>
          <w:rFonts w:asciiTheme="minorHAnsi" w:hAnsiTheme="minorHAnsi"/>
          <w:i/>
        </w:rPr>
        <w:t xml:space="preserve"> applies</w:t>
      </w:r>
      <w:r w:rsidR="00223285" w:rsidRPr="009541AE">
        <w:rPr>
          <w:rFonts w:asciiTheme="minorHAnsi" w:hAnsiTheme="minorHAnsi"/>
        </w:rPr>
        <w:t>”.</w:t>
      </w:r>
      <w:r w:rsidR="00807148" w:rsidRPr="009541AE">
        <w:rPr>
          <w:rFonts w:asciiTheme="minorHAnsi" w:hAnsiTheme="minorHAnsi"/>
        </w:rPr>
        <w:t xml:space="preserve">  Whether a particular option under State or Territory law is “</w:t>
      </w:r>
      <w:r w:rsidR="00807148" w:rsidRPr="009541AE">
        <w:rPr>
          <w:rFonts w:asciiTheme="minorHAnsi" w:hAnsiTheme="minorHAnsi"/>
          <w:i/>
        </w:rPr>
        <w:t xml:space="preserve">similar to a sentence or order to which </w:t>
      </w:r>
      <w:hyperlink r:id="rId29" w:tgtFrame="_parent" w:history="1">
        <w:r w:rsidR="00807148" w:rsidRPr="009541AE">
          <w:rPr>
            <w:rFonts w:asciiTheme="minorHAnsi" w:hAnsiTheme="minorHAnsi"/>
            <w:i/>
          </w:rPr>
          <w:t>paragraph (a)</w:t>
        </w:r>
      </w:hyperlink>
      <w:r w:rsidR="00807148" w:rsidRPr="009541AE">
        <w:rPr>
          <w:rFonts w:asciiTheme="minorHAnsi" w:hAnsiTheme="minorHAnsi"/>
          <w:i/>
        </w:rPr>
        <w:t xml:space="preserve"> applies</w:t>
      </w:r>
      <w:r w:rsidR="00807148" w:rsidRPr="009541AE">
        <w:rPr>
          <w:rFonts w:asciiTheme="minorHAnsi" w:hAnsiTheme="minorHAnsi"/>
        </w:rPr>
        <w:t>” is a question of degree, which must be considered in the context of the legislation as a whole, and in particular Part 1B, and in the light of the legislative purpose to extend sentencing options.</w:t>
      </w:r>
      <w:r w:rsidR="00807148" w:rsidRPr="009541AE">
        <w:rPr>
          <w:rStyle w:val="Style"/>
          <w:rFonts w:asciiTheme="minorHAnsi" w:hAnsiTheme="minorHAnsi"/>
        </w:rPr>
        <w:footnoteReference w:id="653"/>
      </w:r>
    </w:p>
    <w:p w14:paraId="6CF5FE5A" w14:textId="77777777" w:rsidR="00602624" w:rsidRPr="009541AE" w:rsidRDefault="00602624" w:rsidP="00602624">
      <w:pPr>
        <w:widowControl w:val="0"/>
        <w:spacing w:line="276" w:lineRule="auto"/>
        <w:ind w:right="170"/>
        <w:rPr>
          <w:rFonts w:asciiTheme="minorHAnsi" w:hAnsiTheme="minorHAnsi"/>
        </w:rPr>
      </w:pPr>
    </w:p>
    <w:p w14:paraId="0B13B2A1" w14:textId="79DFDDF8" w:rsidR="00FD3B1C" w:rsidRPr="009541AE" w:rsidRDefault="00FD3B1C"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Section 20AB only picks up State or Territory </w:t>
      </w:r>
      <w:r w:rsidRPr="009541AE">
        <w:rPr>
          <w:rFonts w:asciiTheme="minorHAnsi" w:hAnsiTheme="minorHAnsi"/>
          <w:i/>
        </w:rPr>
        <w:t>sentences or orders</w:t>
      </w:r>
      <w:r w:rsidRPr="009541AE">
        <w:rPr>
          <w:rFonts w:asciiTheme="minorHAnsi" w:hAnsiTheme="minorHAnsi"/>
        </w:rPr>
        <w:t xml:space="preserve">.  </w:t>
      </w:r>
      <w:r w:rsidR="00BC4FED" w:rsidRPr="009541AE">
        <w:rPr>
          <w:rFonts w:asciiTheme="minorHAnsi" w:hAnsiTheme="minorHAnsi"/>
        </w:rPr>
        <w:t>A</w:t>
      </w:r>
      <w:r w:rsidR="008C712C" w:rsidRPr="009541AE">
        <w:rPr>
          <w:rFonts w:asciiTheme="minorHAnsi" w:hAnsiTheme="minorHAnsi"/>
        </w:rPr>
        <w:t xml:space="preserve"> sentencing option under</w:t>
      </w:r>
      <w:r w:rsidR="00BC4FED" w:rsidRPr="009541AE">
        <w:rPr>
          <w:rFonts w:asciiTheme="minorHAnsi" w:hAnsiTheme="minorHAnsi"/>
        </w:rPr>
        <w:t xml:space="preserve"> State law which provided for an offender to perform community work only as a condition of a recognizance, rather than directly pursuant to an order of the sentencing court, </w:t>
      </w:r>
      <w:r w:rsidR="00B222A0" w:rsidRPr="009541AE">
        <w:rPr>
          <w:rFonts w:asciiTheme="minorHAnsi" w:hAnsiTheme="minorHAnsi"/>
        </w:rPr>
        <w:t>might</w:t>
      </w:r>
      <w:r w:rsidR="008C712C" w:rsidRPr="009541AE">
        <w:rPr>
          <w:rFonts w:asciiTheme="minorHAnsi" w:hAnsiTheme="minorHAnsi"/>
        </w:rPr>
        <w:t xml:space="preserve"> </w:t>
      </w:r>
      <w:r w:rsidR="00B222A0" w:rsidRPr="009541AE">
        <w:rPr>
          <w:rFonts w:asciiTheme="minorHAnsi" w:hAnsiTheme="minorHAnsi"/>
        </w:rPr>
        <w:t xml:space="preserve">be </w:t>
      </w:r>
      <w:r w:rsidR="00D80655" w:rsidRPr="009541AE">
        <w:rPr>
          <w:rFonts w:asciiTheme="minorHAnsi" w:hAnsiTheme="minorHAnsi"/>
        </w:rPr>
        <w:t>in</w:t>
      </w:r>
      <w:r w:rsidR="008C712C" w:rsidRPr="009541AE">
        <w:rPr>
          <w:rFonts w:asciiTheme="minorHAnsi" w:hAnsiTheme="minorHAnsi"/>
        </w:rPr>
        <w:t>capable of being applied by s 20AB.</w:t>
      </w:r>
      <w:r w:rsidR="008C712C" w:rsidRPr="009541AE">
        <w:rPr>
          <w:rStyle w:val="Style"/>
          <w:rFonts w:asciiTheme="minorHAnsi" w:hAnsiTheme="minorHAnsi"/>
        </w:rPr>
        <w:footnoteReference w:id="654"/>
      </w:r>
    </w:p>
    <w:p w14:paraId="1C537C97" w14:textId="4243CF1B" w:rsidR="00602624" w:rsidRDefault="00602624" w:rsidP="00602624">
      <w:pPr>
        <w:pStyle w:val="BlockText"/>
        <w:tabs>
          <w:tab w:val="clear" w:pos="426"/>
          <w:tab w:val="clear" w:pos="993"/>
        </w:tabs>
        <w:spacing w:before="0" w:line="276" w:lineRule="auto"/>
        <w:ind w:right="0"/>
        <w:jc w:val="both"/>
        <w:rPr>
          <w:rFonts w:asciiTheme="minorHAnsi" w:hAnsiTheme="minorHAnsi"/>
        </w:rPr>
      </w:pPr>
    </w:p>
    <w:p w14:paraId="281C1064" w14:textId="3B101706" w:rsidR="002D3D20" w:rsidRPr="009541AE" w:rsidRDefault="002D3D20" w:rsidP="002D3D20">
      <w:pPr>
        <w:pStyle w:val="Heading3"/>
      </w:pPr>
      <w:bookmarkStart w:id="1688" w:name="_Ref10727992"/>
      <w:bookmarkStart w:id="1689" w:name="_Ref10727994"/>
      <w:bookmarkStart w:id="1690" w:name="_Toc33602860"/>
      <w:r w:rsidRPr="009541AE">
        <w:t>Corresponding cases</w:t>
      </w:r>
      <w:bookmarkEnd w:id="1688"/>
      <w:bookmarkEnd w:id="1689"/>
      <w:bookmarkEnd w:id="1690"/>
    </w:p>
    <w:p w14:paraId="268CA26B" w14:textId="77777777" w:rsidR="002D3D20" w:rsidRPr="009541AE" w:rsidRDefault="002D3D20" w:rsidP="00EB7F1E">
      <w:pPr>
        <w:pStyle w:val="BlockText"/>
        <w:keepNext/>
        <w:tabs>
          <w:tab w:val="clear" w:pos="426"/>
          <w:tab w:val="clear" w:pos="993"/>
        </w:tabs>
        <w:spacing w:before="0" w:line="276" w:lineRule="auto"/>
        <w:ind w:left="567" w:right="0" w:firstLine="0"/>
        <w:jc w:val="both"/>
        <w:rPr>
          <w:rFonts w:asciiTheme="minorHAnsi" w:hAnsiTheme="minorHAnsi"/>
        </w:rPr>
      </w:pPr>
    </w:p>
    <w:p w14:paraId="2EE00139" w14:textId="1D0A599D" w:rsidR="002D3D20" w:rsidRPr="009541AE" w:rsidRDefault="002D3D20"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A court sentencing a federal offender may impose a sentence or make an order of a kind described in s 20AB(1AA) only if</w:t>
      </w:r>
      <w:r w:rsidR="00DE0470" w:rsidRPr="009541AE">
        <w:rPr>
          <w:rFonts w:asciiTheme="minorHAnsi" w:hAnsiTheme="minorHAnsi"/>
        </w:rPr>
        <w:t>, under the law of the relevant State or Territory,</w:t>
      </w:r>
      <w:r w:rsidRPr="009541AE">
        <w:rPr>
          <w:rFonts w:asciiTheme="minorHAnsi" w:hAnsiTheme="minorHAnsi"/>
        </w:rPr>
        <w:t xml:space="preserve"> “</w:t>
      </w:r>
      <w:r w:rsidRPr="009541AE">
        <w:rPr>
          <w:rFonts w:asciiTheme="minorHAnsi" w:hAnsiTheme="minorHAnsi"/>
          <w:i/>
        </w:rPr>
        <w:t>a court is empowered to pass such a sentence, or make such an order, in respect of a State or Territory offender in corresponding cases</w:t>
      </w:r>
      <w:r w:rsidR="00DE0470" w:rsidRPr="009541AE">
        <w:rPr>
          <w:rFonts w:asciiTheme="minorHAnsi" w:hAnsiTheme="minorHAnsi"/>
        </w:rPr>
        <w:t>” (s 20AB(1)(b)).</w:t>
      </w:r>
    </w:p>
    <w:p w14:paraId="33DDAA98" w14:textId="4C6F3F52" w:rsidR="00DE0470" w:rsidRPr="009541AE" w:rsidRDefault="00DE0470" w:rsidP="00EB7F1E">
      <w:pPr>
        <w:pStyle w:val="BlockText"/>
        <w:tabs>
          <w:tab w:val="clear" w:pos="426"/>
          <w:tab w:val="clear" w:pos="993"/>
        </w:tabs>
        <w:spacing w:before="0" w:line="276" w:lineRule="auto"/>
        <w:ind w:left="0" w:right="0" w:firstLine="0"/>
        <w:jc w:val="both"/>
        <w:rPr>
          <w:rFonts w:asciiTheme="minorHAnsi" w:hAnsiTheme="minorHAnsi"/>
        </w:rPr>
      </w:pPr>
    </w:p>
    <w:p w14:paraId="79B44B78" w14:textId="78881695" w:rsidR="00DE0470" w:rsidRPr="009541AE" w:rsidRDefault="002B7CD7"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This limitation requires a</w:t>
      </w:r>
      <w:r w:rsidR="00B32287" w:rsidRPr="009541AE">
        <w:rPr>
          <w:rFonts w:asciiTheme="minorHAnsi" w:hAnsiTheme="minorHAnsi"/>
        </w:rPr>
        <w:t xml:space="preserve"> comparison</w:t>
      </w:r>
      <w:r w:rsidRPr="009541AE">
        <w:rPr>
          <w:rFonts w:asciiTheme="minorHAnsi" w:hAnsiTheme="minorHAnsi"/>
        </w:rPr>
        <w:t xml:space="preserve"> between the instant federal case and the powers of the court “</w:t>
      </w:r>
      <w:r w:rsidRPr="009541AE">
        <w:rPr>
          <w:rFonts w:asciiTheme="minorHAnsi" w:hAnsiTheme="minorHAnsi"/>
          <w:i/>
        </w:rPr>
        <w:t>in respect of a State or Territory offender in corresponding cases</w:t>
      </w:r>
      <w:r w:rsidRPr="009541AE">
        <w:rPr>
          <w:rFonts w:asciiTheme="minorHAnsi" w:hAnsiTheme="minorHAnsi"/>
        </w:rPr>
        <w:t xml:space="preserve">”.  </w:t>
      </w:r>
      <w:r w:rsidR="00B32287" w:rsidRPr="009541AE">
        <w:rPr>
          <w:rFonts w:asciiTheme="minorHAnsi" w:hAnsiTheme="minorHAnsi"/>
        </w:rPr>
        <w:t xml:space="preserve">The comparison </w:t>
      </w:r>
      <w:r w:rsidR="00F95823" w:rsidRPr="009541AE">
        <w:rPr>
          <w:rFonts w:asciiTheme="minorHAnsi" w:hAnsiTheme="minorHAnsi"/>
        </w:rPr>
        <w:t>in</w:t>
      </w:r>
      <w:r w:rsidR="00B32287" w:rsidRPr="009541AE">
        <w:rPr>
          <w:rFonts w:asciiTheme="minorHAnsi" w:hAnsiTheme="minorHAnsi"/>
        </w:rPr>
        <w:t xml:space="preserve"> question is concerned with the powers of a court in “cases” generally, not with a single hypothetical State or Territory offender whose case corresponds with that of the federal offender.  Close attention must be paid to the circumstances in which, under State/Territory law, a court may pass the relevant sentence or make the relevant order in corresponding cases.</w:t>
      </w:r>
    </w:p>
    <w:p w14:paraId="1FBAB23A" w14:textId="77777777" w:rsidR="00DE0470" w:rsidRPr="009541AE" w:rsidRDefault="00DE0470" w:rsidP="00EB7F1E">
      <w:pPr>
        <w:pStyle w:val="ListParagraph"/>
        <w:rPr>
          <w:rFonts w:asciiTheme="minorHAnsi" w:hAnsiTheme="minorHAnsi"/>
        </w:rPr>
      </w:pPr>
    </w:p>
    <w:p w14:paraId="57AD8738" w14:textId="301832D4" w:rsidR="002D3D20" w:rsidRPr="009541AE" w:rsidRDefault="00DE0470"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i/>
        </w:rPr>
        <w:t>Tran</w:t>
      </w:r>
      <w:r w:rsidR="0081616A" w:rsidRPr="009541AE">
        <w:rPr>
          <w:rStyle w:val="Style"/>
          <w:rFonts w:asciiTheme="minorHAnsi" w:hAnsiTheme="minorHAnsi"/>
        </w:rPr>
        <w:footnoteReference w:id="655"/>
      </w:r>
      <w:r w:rsidRPr="009541AE">
        <w:rPr>
          <w:rFonts w:asciiTheme="minorHAnsi" w:hAnsiTheme="minorHAnsi"/>
        </w:rPr>
        <w:t xml:space="preserve"> </w:t>
      </w:r>
      <w:r w:rsidR="007F7C56" w:rsidRPr="009541AE">
        <w:rPr>
          <w:rFonts w:asciiTheme="minorHAnsi" w:hAnsiTheme="minorHAnsi"/>
        </w:rPr>
        <w:t>provides an example of the</w:t>
      </w:r>
      <w:r w:rsidR="00D40B3F" w:rsidRPr="009541AE">
        <w:rPr>
          <w:rFonts w:asciiTheme="minorHAnsi" w:hAnsiTheme="minorHAnsi"/>
        </w:rPr>
        <w:t xml:space="preserve"> </w:t>
      </w:r>
      <w:r w:rsidR="00021E22" w:rsidRPr="009541AE">
        <w:rPr>
          <w:rFonts w:asciiTheme="minorHAnsi" w:hAnsiTheme="minorHAnsi"/>
        </w:rPr>
        <w:t>application of this comparison</w:t>
      </w:r>
      <w:r w:rsidR="007F7C56" w:rsidRPr="009541AE">
        <w:rPr>
          <w:rFonts w:asciiTheme="minorHAnsi" w:hAnsiTheme="minorHAnsi"/>
        </w:rPr>
        <w:t xml:space="preserve">.  </w:t>
      </w:r>
      <w:r w:rsidR="00021E22" w:rsidRPr="009541AE">
        <w:rPr>
          <w:rFonts w:asciiTheme="minorHAnsi" w:hAnsiTheme="minorHAnsi"/>
        </w:rPr>
        <w:t>In that case, t</w:t>
      </w:r>
      <w:r w:rsidR="007F7C56" w:rsidRPr="009541AE">
        <w:rPr>
          <w:rFonts w:asciiTheme="minorHAnsi" w:hAnsiTheme="minorHAnsi"/>
        </w:rPr>
        <w:t>he sentencing judge imposed a sentence of imprisonment for a Commonwealth offence</w:t>
      </w:r>
      <w:r w:rsidR="0081616A" w:rsidRPr="009541AE">
        <w:rPr>
          <w:rFonts w:asciiTheme="minorHAnsi" w:hAnsiTheme="minorHAnsi"/>
        </w:rPr>
        <w:t xml:space="preserve"> and</w:t>
      </w:r>
      <w:r w:rsidR="007F7C56" w:rsidRPr="009541AE">
        <w:rPr>
          <w:rFonts w:asciiTheme="minorHAnsi" w:hAnsiTheme="minorHAnsi"/>
        </w:rPr>
        <w:t xml:space="preserve"> </w:t>
      </w:r>
      <w:r w:rsidR="0081616A" w:rsidRPr="009541AE">
        <w:rPr>
          <w:rFonts w:asciiTheme="minorHAnsi" w:hAnsiTheme="minorHAnsi"/>
        </w:rPr>
        <w:t xml:space="preserve">ordered that the offender serve a period of that sentence in home detention and then be released on a recognizance release order </w:t>
      </w:r>
      <w:r w:rsidR="007945D8" w:rsidRPr="009541AE">
        <w:rPr>
          <w:rFonts w:asciiTheme="minorHAnsi" w:hAnsiTheme="minorHAnsi"/>
        </w:rPr>
        <w:t xml:space="preserve">(RRO) </w:t>
      </w:r>
      <w:r w:rsidR="0081616A" w:rsidRPr="009541AE">
        <w:rPr>
          <w:rFonts w:asciiTheme="minorHAnsi" w:hAnsiTheme="minorHAnsi"/>
        </w:rPr>
        <w:t xml:space="preserve">under s 20(1)(b) of the </w:t>
      </w:r>
      <w:r w:rsidR="0081616A" w:rsidRPr="009541AE">
        <w:rPr>
          <w:rFonts w:asciiTheme="minorHAnsi" w:hAnsiTheme="minorHAnsi"/>
          <w:i/>
        </w:rPr>
        <w:t>Crimes Act 1914</w:t>
      </w:r>
      <w:r w:rsidR="0081616A" w:rsidRPr="009541AE">
        <w:rPr>
          <w:rFonts w:asciiTheme="minorHAnsi" w:hAnsiTheme="minorHAnsi"/>
        </w:rPr>
        <w:t xml:space="preserve">.  </w:t>
      </w:r>
      <w:r w:rsidR="00021E22" w:rsidRPr="009541AE">
        <w:rPr>
          <w:rFonts w:asciiTheme="minorHAnsi" w:hAnsiTheme="minorHAnsi"/>
        </w:rPr>
        <w:t>Although h</w:t>
      </w:r>
      <w:r w:rsidR="007945D8" w:rsidRPr="009541AE">
        <w:rPr>
          <w:rFonts w:asciiTheme="minorHAnsi" w:hAnsiTheme="minorHAnsi"/>
        </w:rPr>
        <w:t>ome detention under State sentencing legislation was an order of a kind described in s 20AB(1AA)</w:t>
      </w:r>
      <w:r w:rsidR="00021E22" w:rsidRPr="009541AE">
        <w:rPr>
          <w:rFonts w:asciiTheme="minorHAnsi" w:hAnsiTheme="minorHAnsi"/>
        </w:rPr>
        <w:t>, t</w:t>
      </w:r>
      <w:r w:rsidR="007945D8" w:rsidRPr="009541AE">
        <w:rPr>
          <w:rFonts w:asciiTheme="minorHAnsi" w:hAnsiTheme="minorHAnsi"/>
        </w:rPr>
        <w:t xml:space="preserve">he Full Court of the Supreme Court held that s 20AB did not empower the sentencing judge to make the order because the court was not empowered to make such an order in corresponding </w:t>
      </w:r>
      <w:r w:rsidR="00021E22" w:rsidRPr="009541AE">
        <w:rPr>
          <w:rFonts w:asciiTheme="minorHAnsi" w:hAnsiTheme="minorHAnsi"/>
        </w:rPr>
        <w:t xml:space="preserve">State </w:t>
      </w:r>
      <w:r w:rsidR="007945D8" w:rsidRPr="009541AE">
        <w:rPr>
          <w:rFonts w:asciiTheme="minorHAnsi" w:hAnsiTheme="minorHAnsi"/>
        </w:rPr>
        <w:t xml:space="preserve">cases.  </w:t>
      </w:r>
      <w:r w:rsidR="000212C5" w:rsidRPr="009541AE">
        <w:rPr>
          <w:rFonts w:asciiTheme="minorHAnsi" w:hAnsiTheme="minorHAnsi"/>
        </w:rPr>
        <w:t>That was because u</w:t>
      </w:r>
      <w:r w:rsidR="0081616A" w:rsidRPr="009541AE">
        <w:rPr>
          <w:rFonts w:asciiTheme="minorHAnsi" w:hAnsiTheme="minorHAnsi"/>
        </w:rPr>
        <w:t xml:space="preserve">nder the </w:t>
      </w:r>
      <w:r w:rsidR="007F7C56" w:rsidRPr="009541AE">
        <w:rPr>
          <w:rFonts w:asciiTheme="minorHAnsi" w:hAnsiTheme="minorHAnsi"/>
        </w:rPr>
        <w:t xml:space="preserve">State Act, </w:t>
      </w:r>
      <w:r w:rsidR="00021E22" w:rsidRPr="009541AE">
        <w:rPr>
          <w:rFonts w:asciiTheme="minorHAnsi" w:hAnsiTheme="minorHAnsi"/>
        </w:rPr>
        <w:t>a</w:t>
      </w:r>
      <w:r w:rsidR="00F60F19" w:rsidRPr="009541AE">
        <w:rPr>
          <w:rFonts w:asciiTheme="minorHAnsi" w:hAnsiTheme="minorHAnsi"/>
        </w:rPr>
        <w:t xml:space="preserve"> home detention </w:t>
      </w:r>
      <w:r w:rsidR="00F95823" w:rsidRPr="009541AE">
        <w:rPr>
          <w:rFonts w:asciiTheme="minorHAnsi" w:hAnsiTheme="minorHAnsi"/>
        </w:rPr>
        <w:t xml:space="preserve">order </w:t>
      </w:r>
      <w:r w:rsidR="00F60F19" w:rsidRPr="009541AE">
        <w:rPr>
          <w:rFonts w:asciiTheme="minorHAnsi" w:hAnsiTheme="minorHAnsi"/>
        </w:rPr>
        <w:t>was not available in relation to that part of a partially suspended sentence which was to be served before the release of the offender</w:t>
      </w:r>
      <w:r w:rsidR="007945D8" w:rsidRPr="009541AE">
        <w:rPr>
          <w:rFonts w:asciiTheme="minorHAnsi" w:hAnsiTheme="minorHAnsi"/>
        </w:rPr>
        <w:t>, which was the disposition which corresponded with a RRO under s 20(1)(b).</w:t>
      </w:r>
      <w:r w:rsidR="00BF583E" w:rsidRPr="009541AE">
        <w:rPr>
          <w:rStyle w:val="Style"/>
          <w:rFonts w:asciiTheme="minorHAnsi" w:hAnsiTheme="minorHAnsi"/>
        </w:rPr>
        <w:footnoteReference w:id="656"/>
      </w:r>
    </w:p>
    <w:p w14:paraId="0381A3D4" w14:textId="77777777" w:rsidR="002D3D20" w:rsidRDefault="002D3D20" w:rsidP="00602624">
      <w:pPr>
        <w:pStyle w:val="BlockText"/>
        <w:tabs>
          <w:tab w:val="clear" w:pos="426"/>
          <w:tab w:val="clear" w:pos="993"/>
        </w:tabs>
        <w:spacing w:before="0" w:line="276" w:lineRule="auto"/>
        <w:ind w:right="0"/>
        <w:jc w:val="both"/>
        <w:rPr>
          <w:rFonts w:asciiTheme="minorHAnsi" w:hAnsiTheme="minorHAnsi"/>
        </w:rPr>
      </w:pPr>
    </w:p>
    <w:p w14:paraId="4DD47656" w14:textId="67C975E8" w:rsidR="008C712C" w:rsidRDefault="008C712C" w:rsidP="006D50C7">
      <w:pPr>
        <w:pStyle w:val="Heading3"/>
      </w:pPr>
      <w:bookmarkStart w:id="1691" w:name="_Toc33602861"/>
      <w:r>
        <w:t>Pre-conditions for an order under State/Territory law</w:t>
      </w:r>
      <w:bookmarkEnd w:id="1691"/>
    </w:p>
    <w:p w14:paraId="3813CFB0" w14:textId="3F198A2B" w:rsidR="008C712C" w:rsidRDefault="008C712C" w:rsidP="006D50C7">
      <w:pPr>
        <w:pStyle w:val="BlockText"/>
        <w:keepNext/>
        <w:tabs>
          <w:tab w:val="clear" w:pos="426"/>
          <w:tab w:val="clear" w:pos="993"/>
        </w:tabs>
        <w:spacing w:before="0" w:line="276" w:lineRule="auto"/>
        <w:ind w:left="567" w:right="0" w:firstLine="0"/>
        <w:jc w:val="both"/>
        <w:rPr>
          <w:rFonts w:asciiTheme="minorHAnsi" w:hAnsiTheme="minorHAnsi"/>
        </w:rPr>
      </w:pPr>
    </w:p>
    <w:p w14:paraId="51D65987" w14:textId="54A9AC00" w:rsidR="00521C5E" w:rsidRDefault="007F0AB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Some State or Territory laws contain a pre-condition for the making of an order of a kind described in s 20AB(1AA) that the court must first </w:t>
      </w:r>
      <w:r w:rsidR="00521C5E" w:rsidRPr="007F0AB7">
        <w:rPr>
          <w:rFonts w:asciiTheme="minorHAnsi" w:hAnsiTheme="minorHAnsi"/>
        </w:rPr>
        <w:t>pass another sentence or make another order (</w:t>
      </w:r>
      <w:r w:rsidR="00C46680">
        <w:rPr>
          <w:rFonts w:asciiTheme="minorHAnsi" w:hAnsiTheme="minorHAnsi"/>
        </w:rPr>
        <w:t xml:space="preserve">including a </w:t>
      </w:r>
      <w:r w:rsidR="00521C5E" w:rsidRPr="007F0AB7">
        <w:rPr>
          <w:rFonts w:asciiTheme="minorHAnsi" w:hAnsiTheme="minorHAnsi"/>
        </w:rPr>
        <w:t xml:space="preserve">suspended </w:t>
      </w:r>
      <w:r w:rsidR="00C46680">
        <w:rPr>
          <w:rFonts w:asciiTheme="minorHAnsi" w:hAnsiTheme="minorHAnsi"/>
        </w:rPr>
        <w:t>sentence or order).  A court sentencing a federal offender is relieved of such a pre-</w:t>
      </w:r>
      <w:r w:rsidR="00B36313">
        <w:rPr>
          <w:rFonts w:asciiTheme="minorHAnsi" w:hAnsiTheme="minorHAnsi"/>
        </w:rPr>
        <w:t>condition by virtue of s 20AB(1A</w:t>
      </w:r>
      <w:r w:rsidR="00C46680">
        <w:rPr>
          <w:rFonts w:asciiTheme="minorHAnsi" w:hAnsiTheme="minorHAnsi"/>
        </w:rPr>
        <w:t xml:space="preserve">). </w:t>
      </w:r>
      <w:r w:rsidR="007B247B">
        <w:rPr>
          <w:rFonts w:asciiTheme="minorHAnsi" w:hAnsiTheme="minorHAnsi"/>
        </w:rPr>
        <w:t xml:space="preserve"> That is, the court may pass a sentence or make an order applied by s 20AB without first passing the other sentence or making the other order.</w:t>
      </w:r>
      <w:r w:rsidR="000E01A4">
        <w:rPr>
          <w:rFonts w:asciiTheme="minorHAnsi" w:hAnsiTheme="minorHAnsi"/>
        </w:rPr>
        <w:t xml:space="preserve">  For example, if a State law requires that</w:t>
      </w:r>
      <w:r w:rsidR="007B5D5A">
        <w:rPr>
          <w:rFonts w:asciiTheme="minorHAnsi" w:hAnsiTheme="minorHAnsi"/>
        </w:rPr>
        <w:t xml:space="preserve"> a court must </w:t>
      </w:r>
      <w:r w:rsidR="007B5D5A" w:rsidRPr="007B5D5A">
        <w:rPr>
          <w:rFonts w:asciiTheme="minorHAnsi" w:hAnsiTheme="minorHAnsi"/>
        </w:rPr>
        <w:t>first fix an appropriate term of imprisonment before considering whether it should be served by way of periodic detention</w:t>
      </w:r>
      <w:r w:rsidR="007B5D5A">
        <w:rPr>
          <w:rFonts w:asciiTheme="minorHAnsi" w:hAnsiTheme="minorHAnsi"/>
        </w:rPr>
        <w:t xml:space="preserve">, s 20AB(1B) </w:t>
      </w:r>
      <w:r w:rsidR="00B36313">
        <w:rPr>
          <w:rFonts w:asciiTheme="minorHAnsi" w:hAnsiTheme="minorHAnsi"/>
        </w:rPr>
        <w:t>is</w:t>
      </w:r>
      <w:r w:rsidR="007B5D5A">
        <w:rPr>
          <w:rFonts w:asciiTheme="minorHAnsi" w:hAnsiTheme="minorHAnsi"/>
        </w:rPr>
        <w:t xml:space="preserve"> effective to remove that requirement.</w:t>
      </w:r>
      <w:r w:rsidR="007B5D5A" w:rsidRPr="00C00000">
        <w:rPr>
          <w:rStyle w:val="Style"/>
          <w:rFonts w:asciiTheme="minorHAnsi" w:hAnsiTheme="minorHAnsi"/>
        </w:rPr>
        <w:footnoteReference w:id="657"/>
      </w:r>
    </w:p>
    <w:p w14:paraId="4641C229" w14:textId="77777777" w:rsidR="00C46680" w:rsidRPr="008C712C" w:rsidRDefault="00C46680" w:rsidP="00C46680">
      <w:pPr>
        <w:pStyle w:val="BlockText"/>
        <w:tabs>
          <w:tab w:val="clear" w:pos="426"/>
          <w:tab w:val="clear" w:pos="993"/>
        </w:tabs>
        <w:spacing w:before="0" w:line="276" w:lineRule="auto"/>
        <w:ind w:right="0"/>
        <w:jc w:val="both"/>
        <w:rPr>
          <w:rFonts w:asciiTheme="minorHAnsi" w:hAnsiTheme="minorHAnsi"/>
        </w:rPr>
      </w:pPr>
    </w:p>
    <w:p w14:paraId="099D0656" w14:textId="165A5516" w:rsidR="00B36313" w:rsidRDefault="00C46680" w:rsidP="00EB7F1E">
      <w:pPr>
        <w:pStyle w:val="ListParagraph"/>
        <w:numPr>
          <w:ilvl w:val="0"/>
          <w:numId w:val="7"/>
        </w:numPr>
        <w:spacing w:line="276" w:lineRule="auto"/>
        <w:ind w:left="425" w:hanging="425"/>
        <w:contextualSpacing w:val="0"/>
        <w:rPr>
          <w:rFonts w:asciiTheme="minorHAnsi" w:hAnsiTheme="minorHAnsi"/>
        </w:rPr>
      </w:pPr>
      <w:r w:rsidRPr="00C46680">
        <w:rPr>
          <w:rFonts w:asciiTheme="minorHAnsi" w:hAnsiTheme="minorHAnsi"/>
        </w:rPr>
        <w:t xml:space="preserve">However </w:t>
      </w:r>
      <w:r w:rsidR="00B36313">
        <w:rPr>
          <w:rFonts w:asciiTheme="minorHAnsi" w:hAnsiTheme="minorHAnsi"/>
        </w:rPr>
        <w:t xml:space="preserve">s 20AB(1A) only relieves a court </w:t>
      </w:r>
      <w:r w:rsidRPr="00C46680">
        <w:rPr>
          <w:rFonts w:asciiTheme="minorHAnsi" w:hAnsiTheme="minorHAnsi"/>
        </w:rPr>
        <w:t xml:space="preserve">sentencing a federal offender </w:t>
      </w:r>
      <w:r w:rsidR="00B36313">
        <w:rPr>
          <w:rFonts w:asciiTheme="minorHAnsi" w:hAnsiTheme="minorHAnsi"/>
        </w:rPr>
        <w:t xml:space="preserve">of a “requirement” </w:t>
      </w:r>
      <w:r w:rsidR="00C71DF5">
        <w:rPr>
          <w:rFonts w:asciiTheme="minorHAnsi" w:hAnsiTheme="minorHAnsi"/>
        </w:rPr>
        <w:t xml:space="preserve">under State or Territory law </w:t>
      </w:r>
      <w:r w:rsidR="00B36313">
        <w:rPr>
          <w:rFonts w:asciiTheme="minorHAnsi" w:hAnsiTheme="minorHAnsi"/>
        </w:rPr>
        <w:t xml:space="preserve">to first pass </w:t>
      </w:r>
      <w:r w:rsidR="00C71DF5">
        <w:rPr>
          <w:rFonts w:asciiTheme="minorHAnsi" w:hAnsiTheme="minorHAnsi"/>
        </w:rPr>
        <w:t xml:space="preserve">another sentence or make another order.  In </w:t>
      </w:r>
      <w:r w:rsidR="00C71DF5" w:rsidRPr="00C71DF5">
        <w:rPr>
          <w:rFonts w:asciiTheme="minorHAnsi" w:hAnsiTheme="minorHAnsi"/>
          <w:i/>
        </w:rPr>
        <w:t>Togias</w:t>
      </w:r>
      <w:r w:rsidR="00C70C55">
        <w:rPr>
          <w:rFonts w:asciiTheme="minorHAnsi" w:hAnsiTheme="minorHAnsi"/>
          <w:i/>
        </w:rPr>
        <w:t xml:space="preserve"> </w:t>
      </w:r>
      <w:r w:rsidR="00C70C55">
        <w:rPr>
          <w:rFonts w:asciiTheme="minorHAnsi" w:hAnsiTheme="minorHAnsi"/>
        </w:rPr>
        <w:t>(2001)</w:t>
      </w:r>
      <w:r w:rsidR="00C71DF5">
        <w:rPr>
          <w:rFonts w:asciiTheme="minorHAnsi" w:hAnsiTheme="minorHAnsi"/>
        </w:rPr>
        <w:t>,</w:t>
      </w:r>
      <w:r w:rsidR="002155CE" w:rsidRPr="00C00000">
        <w:rPr>
          <w:rStyle w:val="Style"/>
          <w:rFonts w:asciiTheme="minorHAnsi" w:hAnsiTheme="minorHAnsi"/>
        </w:rPr>
        <w:footnoteReference w:id="658"/>
      </w:r>
      <w:r w:rsidR="00C71DF5">
        <w:rPr>
          <w:rFonts w:asciiTheme="minorHAnsi" w:hAnsiTheme="minorHAnsi"/>
        </w:rPr>
        <w:t xml:space="preserve"> Spigelman CJ said that s </w:t>
      </w:r>
      <w:r w:rsidR="00C71DF5" w:rsidRPr="00C71DF5">
        <w:rPr>
          <w:rFonts w:asciiTheme="minorHAnsi" w:hAnsiTheme="minorHAnsi"/>
        </w:rPr>
        <w:t xml:space="preserve">20AB(1A) should </w:t>
      </w:r>
      <w:r w:rsidR="00C71DF5">
        <w:rPr>
          <w:rFonts w:asciiTheme="minorHAnsi" w:hAnsiTheme="minorHAnsi"/>
        </w:rPr>
        <w:t xml:space="preserve">not </w:t>
      </w:r>
      <w:r w:rsidR="00C71DF5" w:rsidRPr="00C71DF5">
        <w:rPr>
          <w:rFonts w:asciiTheme="minorHAnsi" w:hAnsiTheme="minorHAnsi"/>
        </w:rPr>
        <w:t>be read as if the words "</w:t>
      </w:r>
      <w:r w:rsidR="00C71DF5" w:rsidRPr="004511DC">
        <w:rPr>
          <w:rFonts w:asciiTheme="minorHAnsi" w:hAnsiTheme="minorHAnsi"/>
          <w:i/>
        </w:rPr>
        <w:t>requires that a court must first pass another sentence</w:t>
      </w:r>
      <w:r w:rsidR="00C71DF5" w:rsidRPr="00C71DF5">
        <w:rPr>
          <w:rFonts w:asciiTheme="minorHAnsi" w:hAnsiTheme="minorHAnsi"/>
        </w:rPr>
        <w:t>" encompass both a negative and positive formulation</w:t>
      </w:r>
      <w:r w:rsidR="00C71DF5">
        <w:rPr>
          <w:rFonts w:asciiTheme="minorHAnsi" w:hAnsiTheme="minorHAnsi"/>
        </w:rPr>
        <w:t>, as t</w:t>
      </w:r>
      <w:r w:rsidR="00C71DF5" w:rsidRPr="00C71DF5">
        <w:rPr>
          <w:rFonts w:asciiTheme="minorHAnsi" w:hAnsiTheme="minorHAnsi"/>
        </w:rPr>
        <w:t xml:space="preserve">hese words are negative rather than positive in effect. </w:t>
      </w:r>
      <w:r w:rsidR="00C71DF5">
        <w:rPr>
          <w:rFonts w:asciiTheme="minorHAnsi" w:hAnsiTheme="minorHAnsi"/>
        </w:rPr>
        <w:t xml:space="preserve"> They did not have the effect of removing a qualification under State law that a sentence of periodic detention </w:t>
      </w:r>
      <w:r w:rsidR="00BD3ADC">
        <w:rPr>
          <w:rFonts w:asciiTheme="minorHAnsi" w:hAnsiTheme="minorHAnsi"/>
        </w:rPr>
        <w:t>was available only in relation to a sentence of imprisonment not exceeding three years.</w:t>
      </w:r>
      <w:r w:rsidR="00BD3ADC" w:rsidRPr="00C00000">
        <w:rPr>
          <w:rStyle w:val="Style"/>
          <w:rFonts w:asciiTheme="minorHAnsi" w:hAnsiTheme="minorHAnsi"/>
        </w:rPr>
        <w:footnoteReference w:id="659"/>
      </w:r>
    </w:p>
    <w:p w14:paraId="446BD94D" w14:textId="22D74C37" w:rsidR="001C4519" w:rsidRPr="00EB7F1E" w:rsidRDefault="001C4519" w:rsidP="00EB7F1E">
      <w:pPr>
        <w:pStyle w:val="BlockText"/>
        <w:tabs>
          <w:tab w:val="clear" w:pos="426"/>
          <w:tab w:val="clear" w:pos="993"/>
        </w:tabs>
        <w:spacing w:before="0" w:line="276" w:lineRule="auto"/>
        <w:ind w:right="0"/>
        <w:jc w:val="both"/>
        <w:rPr>
          <w:rFonts w:asciiTheme="minorHAnsi" w:hAnsiTheme="minorHAnsi"/>
        </w:rPr>
      </w:pPr>
    </w:p>
    <w:p w14:paraId="4DA06734" w14:textId="2A6032E6" w:rsidR="00C46680" w:rsidRPr="006B5CEC" w:rsidRDefault="00BD3AD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court sentencing a federal offender </w:t>
      </w:r>
      <w:r w:rsidR="00C46680" w:rsidRPr="00C46680">
        <w:rPr>
          <w:rFonts w:asciiTheme="minorHAnsi" w:hAnsiTheme="minorHAnsi"/>
        </w:rPr>
        <w:t xml:space="preserve">is not otherwise relieved of pre-conditions under State or Territory law </w:t>
      </w:r>
      <w:r>
        <w:rPr>
          <w:rFonts w:asciiTheme="minorHAnsi" w:hAnsiTheme="minorHAnsi"/>
        </w:rPr>
        <w:t xml:space="preserve">that apply to </w:t>
      </w:r>
      <w:r w:rsidR="003770DA">
        <w:rPr>
          <w:rFonts w:asciiTheme="minorHAnsi" w:hAnsiTheme="minorHAnsi"/>
        </w:rPr>
        <w:t xml:space="preserve">the </w:t>
      </w:r>
      <w:r>
        <w:rPr>
          <w:rFonts w:asciiTheme="minorHAnsi" w:hAnsiTheme="minorHAnsi"/>
        </w:rPr>
        <w:t xml:space="preserve">imposition of </w:t>
      </w:r>
      <w:r w:rsidR="00C46680" w:rsidRPr="00C46680">
        <w:rPr>
          <w:rFonts w:asciiTheme="minorHAnsi" w:hAnsiTheme="minorHAnsi"/>
        </w:rPr>
        <w:t xml:space="preserve">a sentence or </w:t>
      </w:r>
      <w:r>
        <w:rPr>
          <w:rFonts w:asciiTheme="minorHAnsi" w:hAnsiTheme="minorHAnsi"/>
        </w:rPr>
        <w:t xml:space="preserve">making of an </w:t>
      </w:r>
      <w:r w:rsidR="00C46680" w:rsidRPr="00C46680">
        <w:rPr>
          <w:rFonts w:asciiTheme="minorHAnsi" w:hAnsiTheme="minorHAnsi"/>
        </w:rPr>
        <w:t>order applied by s 20AB.  For example, if a State law requires the consent of the offender to the making of the order, the same requirement would apply to the sentencing of a federal offender.</w:t>
      </w:r>
      <w:r w:rsidR="007B247B" w:rsidRPr="00C00000">
        <w:rPr>
          <w:rStyle w:val="Style"/>
          <w:rFonts w:asciiTheme="minorHAnsi" w:hAnsiTheme="minorHAnsi"/>
        </w:rPr>
        <w:footnoteReference w:id="660"/>
      </w:r>
      <w:r w:rsidR="009A1011">
        <w:rPr>
          <w:rFonts w:asciiTheme="minorHAnsi" w:hAnsiTheme="minorHAnsi"/>
        </w:rPr>
        <w:t xml:space="preserve">  Similarly, if State law requires a prior assessment that the offender would be suitable for a particular type of order, the same requirement would apply to the sentencing of a federal offender.</w:t>
      </w:r>
      <w:r w:rsidR="009A1011" w:rsidRPr="00C00000">
        <w:rPr>
          <w:rStyle w:val="Style"/>
          <w:rFonts w:asciiTheme="minorHAnsi" w:hAnsiTheme="minorHAnsi"/>
        </w:rPr>
        <w:footnoteReference w:id="661"/>
      </w:r>
      <w:r w:rsidR="00E50B8C">
        <w:rPr>
          <w:rFonts w:asciiTheme="minorHAnsi" w:hAnsiTheme="minorHAnsi"/>
        </w:rPr>
        <w:t xml:space="preserve"> </w:t>
      </w:r>
    </w:p>
    <w:p w14:paraId="63F9A5DE" w14:textId="2BE9E3EB" w:rsidR="008C712C" w:rsidRPr="008C712C" w:rsidRDefault="008C712C" w:rsidP="008C712C">
      <w:pPr>
        <w:pStyle w:val="BlockText"/>
        <w:tabs>
          <w:tab w:val="clear" w:pos="426"/>
          <w:tab w:val="clear" w:pos="993"/>
        </w:tabs>
        <w:spacing w:before="0" w:line="276" w:lineRule="auto"/>
        <w:ind w:left="567" w:right="0" w:hanging="567"/>
        <w:jc w:val="both"/>
        <w:rPr>
          <w:rFonts w:asciiTheme="minorHAnsi" w:hAnsiTheme="minorHAnsi"/>
        </w:rPr>
      </w:pPr>
    </w:p>
    <w:p w14:paraId="0BE17A3C" w14:textId="214F146E" w:rsidR="00CE1D14" w:rsidRPr="00E9607E" w:rsidRDefault="00CE1D14" w:rsidP="006D50C7">
      <w:pPr>
        <w:pStyle w:val="Heading3"/>
      </w:pPr>
      <w:bookmarkStart w:id="1692" w:name="_Toc33602862"/>
      <w:r>
        <w:t xml:space="preserve">State/Territory laws </w:t>
      </w:r>
      <w:r w:rsidR="002E6DC1">
        <w:t>apply in respect to a sentence or order under s 20AB(1)</w:t>
      </w:r>
      <w:bookmarkEnd w:id="1692"/>
    </w:p>
    <w:p w14:paraId="06E20996" w14:textId="77777777" w:rsidR="00CE1D14" w:rsidRPr="00C00000" w:rsidRDefault="00CE1D14" w:rsidP="006D50C7">
      <w:pPr>
        <w:pStyle w:val="BlockText"/>
        <w:keepNext/>
        <w:tabs>
          <w:tab w:val="clear" w:pos="426"/>
          <w:tab w:val="clear" w:pos="993"/>
        </w:tabs>
        <w:spacing w:before="0" w:line="276" w:lineRule="auto"/>
        <w:ind w:left="567" w:right="0" w:firstLine="0"/>
        <w:jc w:val="both"/>
        <w:rPr>
          <w:rFonts w:asciiTheme="minorHAnsi" w:hAnsiTheme="minorHAnsi"/>
        </w:rPr>
      </w:pPr>
    </w:p>
    <w:p w14:paraId="456F7BFA" w14:textId="7C2C0AD5" w:rsidR="002E6DC1" w:rsidRDefault="00E44487" w:rsidP="00EB7F1E">
      <w:pPr>
        <w:pStyle w:val="ListParagraph"/>
        <w:numPr>
          <w:ilvl w:val="0"/>
          <w:numId w:val="7"/>
        </w:numPr>
        <w:spacing w:line="276" w:lineRule="auto"/>
        <w:ind w:left="425" w:hanging="425"/>
        <w:contextualSpacing w:val="0"/>
        <w:rPr>
          <w:rFonts w:asciiTheme="minorHAnsi" w:hAnsiTheme="minorHAnsi"/>
        </w:rPr>
      </w:pPr>
      <w:r w:rsidRPr="002E6DC1">
        <w:rPr>
          <w:rFonts w:asciiTheme="minorHAnsi" w:hAnsiTheme="minorHAnsi"/>
        </w:rPr>
        <w:t xml:space="preserve">If a </w:t>
      </w:r>
      <w:r w:rsidR="00250AA9" w:rsidRPr="002E6DC1">
        <w:rPr>
          <w:rFonts w:asciiTheme="minorHAnsi" w:hAnsiTheme="minorHAnsi"/>
        </w:rPr>
        <w:t xml:space="preserve">sentence or order under s 20AB(1) </w:t>
      </w:r>
      <w:r w:rsidR="007B0B34">
        <w:rPr>
          <w:rFonts w:asciiTheme="minorHAnsi" w:hAnsiTheme="minorHAnsi"/>
        </w:rPr>
        <w:t xml:space="preserve">of the </w:t>
      </w:r>
      <w:r w:rsidR="00885EFD" w:rsidRPr="00885EFD">
        <w:rPr>
          <w:rFonts w:asciiTheme="minorHAnsi" w:hAnsiTheme="minorHAnsi"/>
          <w:i/>
        </w:rPr>
        <w:t>Crimes Act 1914</w:t>
      </w:r>
      <w:r w:rsidR="007B0B34">
        <w:rPr>
          <w:rFonts w:asciiTheme="minorHAnsi" w:hAnsiTheme="minorHAnsi"/>
        </w:rPr>
        <w:t xml:space="preserve"> (Cth) </w:t>
      </w:r>
      <w:r w:rsidR="00250AA9" w:rsidRPr="002E6DC1">
        <w:rPr>
          <w:rFonts w:asciiTheme="minorHAnsi" w:hAnsiTheme="minorHAnsi"/>
        </w:rPr>
        <w:t xml:space="preserve">is passed or made in respect of a federal offender, </w:t>
      </w:r>
      <w:r w:rsidR="00607033" w:rsidRPr="002E6DC1">
        <w:rPr>
          <w:rFonts w:asciiTheme="minorHAnsi" w:hAnsiTheme="minorHAnsi"/>
        </w:rPr>
        <w:t xml:space="preserve">provisions of </w:t>
      </w:r>
      <w:r w:rsidR="00250AA9" w:rsidRPr="002E6DC1">
        <w:rPr>
          <w:rFonts w:asciiTheme="minorHAnsi" w:hAnsiTheme="minorHAnsi"/>
        </w:rPr>
        <w:t xml:space="preserve">the laws of the relevant </w:t>
      </w:r>
      <w:r w:rsidR="00607033" w:rsidRPr="002E6DC1">
        <w:rPr>
          <w:rFonts w:asciiTheme="minorHAnsi" w:hAnsiTheme="minorHAnsi"/>
        </w:rPr>
        <w:t>State or Territory</w:t>
      </w:r>
      <w:r w:rsidR="004511DC">
        <w:rPr>
          <w:rFonts w:asciiTheme="minorHAnsi" w:hAnsiTheme="minorHAnsi"/>
        </w:rPr>
        <w:t xml:space="preserve"> with</w:t>
      </w:r>
      <w:r w:rsidR="00607033" w:rsidRPr="002E6DC1">
        <w:rPr>
          <w:rFonts w:asciiTheme="minorHAnsi" w:hAnsiTheme="minorHAnsi"/>
        </w:rPr>
        <w:t xml:space="preserve"> respect to</w:t>
      </w:r>
      <w:r w:rsidR="00250AA9" w:rsidRPr="002E6DC1">
        <w:rPr>
          <w:rFonts w:asciiTheme="minorHAnsi" w:hAnsiTheme="minorHAnsi"/>
        </w:rPr>
        <w:t xml:space="preserve"> such</w:t>
      </w:r>
      <w:r w:rsidR="00607033" w:rsidRPr="002E6DC1">
        <w:rPr>
          <w:rFonts w:asciiTheme="minorHAnsi" w:hAnsiTheme="minorHAnsi"/>
        </w:rPr>
        <w:t xml:space="preserve"> a sentence or order </w:t>
      </w:r>
      <w:r w:rsidR="00250AA9" w:rsidRPr="002E6DC1">
        <w:rPr>
          <w:rFonts w:asciiTheme="minorHAnsi" w:hAnsiTheme="minorHAnsi"/>
        </w:rPr>
        <w:t xml:space="preserve">apply to and in relation to </w:t>
      </w:r>
      <w:r w:rsidR="002E6DC1" w:rsidRPr="002E6DC1">
        <w:rPr>
          <w:rFonts w:asciiTheme="minorHAnsi" w:hAnsiTheme="minorHAnsi"/>
        </w:rPr>
        <w:t>the sentence or order: s 20AB(3).</w:t>
      </w:r>
      <w:r w:rsidR="00EC49F6">
        <w:rPr>
          <w:rFonts w:asciiTheme="minorHAnsi" w:hAnsiTheme="minorHAnsi"/>
        </w:rPr>
        <w:t xml:space="preserve"> </w:t>
      </w:r>
    </w:p>
    <w:p w14:paraId="26463110" w14:textId="77777777" w:rsidR="002E6DC1" w:rsidRDefault="002E6DC1" w:rsidP="002E6DC1">
      <w:pPr>
        <w:pStyle w:val="BlockText"/>
        <w:tabs>
          <w:tab w:val="clear" w:pos="426"/>
          <w:tab w:val="clear" w:pos="993"/>
        </w:tabs>
        <w:spacing w:before="0" w:line="276" w:lineRule="auto"/>
        <w:ind w:right="0"/>
        <w:jc w:val="both"/>
        <w:rPr>
          <w:rFonts w:asciiTheme="minorHAnsi" w:hAnsiTheme="minorHAnsi"/>
        </w:rPr>
      </w:pPr>
    </w:p>
    <w:p w14:paraId="6AFC6606" w14:textId="47F8E3B3" w:rsidR="00AD7425" w:rsidRDefault="002E6DC1">
      <w:pPr>
        <w:pStyle w:val="ListParagraph"/>
        <w:numPr>
          <w:ilvl w:val="0"/>
          <w:numId w:val="7"/>
        </w:numPr>
        <w:spacing w:line="276" w:lineRule="auto"/>
        <w:ind w:left="425" w:hanging="425"/>
        <w:contextualSpacing w:val="0"/>
        <w:rPr>
          <w:rFonts w:asciiTheme="minorHAnsi" w:hAnsiTheme="minorHAnsi"/>
        </w:rPr>
      </w:pPr>
      <w:r w:rsidRPr="002E6DC1">
        <w:rPr>
          <w:rFonts w:asciiTheme="minorHAnsi" w:hAnsiTheme="minorHAnsi"/>
        </w:rPr>
        <w:t>The State or Territory provisions</w:t>
      </w:r>
      <w:r w:rsidR="00EC49F6">
        <w:rPr>
          <w:rFonts w:asciiTheme="minorHAnsi" w:hAnsiTheme="minorHAnsi"/>
        </w:rPr>
        <w:t xml:space="preserve"> referred to in s 20AB(3)</w:t>
      </w:r>
      <w:r w:rsidRPr="002E6DC1">
        <w:rPr>
          <w:rFonts w:asciiTheme="minorHAnsi" w:hAnsiTheme="minorHAnsi"/>
        </w:rPr>
        <w:t xml:space="preserve"> apply</w:t>
      </w:r>
      <w:r w:rsidR="00553FD5" w:rsidRPr="002E6DC1">
        <w:rPr>
          <w:rFonts w:asciiTheme="minorHAnsi" w:hAnsiTheme="minorHAnsi"/>
        </w:rPr>
        <w:t xml:space="preserve"> “</w:t>
      </w:r>
      <w:r w:rsidR="00553FD5" w:rsidRPr="002E6DC1">
        <w:rPr>
          <w:rFonts w:asciiTheme="minorHAnsi" w:hAnsiTheme="minorHAnsi"/>
          <w:i/>
        </w:rPr>
        <w:t>so far as those provisions are capable of application and are not inconsistent with the laws of the Commonwealth</w:t>
      </w:r>
      <w:r w:rsidR="00B34A04">
        <w:rPr>
          <w:rFonts w:asciiTheme="minorHAnsi" w:hAnsiTheme="minorHAnsi"/>
        </w:rPr>
        <w:t>” (s 20AB(3)).</w:t>
      </w:r>
      <w:r>
        <w:rPr>
          <w:rFonts w:asciiTheme="minorHAnsi" w:hAnsiTheme="minorHAnsi"/>
        </w:rPr>
        <w:t xml:space="preserve">  </w:t>
      </w:r>
      <w:r w:rsidR="00542104" w:rsidRPr="002E6DC1">
        <w:rPr>
          <w:rFonts w:asciiTheme="minorHAnsi" w:hAnsiTheme="minorHAnsi"/>
        </w:rPr>
        <w:t xml:space="preserve">The limitation is similar to </w:t>
      </w:r>
      <w:r w:rsidR="00EB4C07" w:rsidRPr="002E6DC1">
        <w:rPr>
          <w:rFonts w:asciiTheme="minorHAnsi" w:hAnsiTheme="minorHAnsi"/>
        </w:rPr>
        <w:t xml:space="preserve">those </w:t>
      </w:r>
      <w:r w:rsidR="00CE1D14" w:rsidRPr="002E6DC1">
        <w:rPr>
          <w:rFonts w:asciiTheme="minorHAnsi" w:hAnsiTheme="minorHAnsi"/>
        </w:rPr>
        <w:t xml:space="preserve">which apply </w:t>
      </w:r>
      <w:r w:rsidR="00520D48">
        <w:rPr>
          <w:rFonts w:asciiTheme="minorHAnsi" w:hAnsiTheme="minorHAnsi"/>
        </w:rPr>
        <w:t>under</w:t>
      </w:r>
      <w:r w:rsidR="00CE1D14" w:rsidRPr="002E6DC1">
        <w:rPr>
          <w:rFonts w:asciiTheme="minorHAnsi" w:hAnsiTheme="minorHAnsi"/>
        </w:rPr>
        <w:t xml:space="preserve"> </w:t>
      </w:r>
      <w:r w:rsidR="00EB4C07" w:rsidRPr="002E6DC1">
        <w:rPr>
          <w:rFonts w:asciiTheme="minorHAnsi" w:hAnsiTheme="minorHAnsi"/>
        </w:rPr>
        <w:t xml:space="preserve">ss 68 and 79 of the </w:t>
      </w:r>
      <w:r w:rsidR="00EB4C07" w:rsidRPr="002E6DC1">
        <w:rPr>
          <w:rFonts w:asciiTheme="minorHAnsi" w:hAnsiTheme="minorHAnsi"/>
          <w:i/>
        </w:rPr>
        <w:t>Judiciary Act 1903</w:t>
      </w:r>
      <w:r w:rsidR="00EB4C07" w:rsidRPr="002E6DC1">
        <w:rPr>
          <w:rFonts w:asciiTheme="minorHAnsi" w:hAnsiTheme="minorHAnsi"/>
        </w:rPr>
        <w:t xml:space="preserve"> (Cth): see “</w:t>
      </w:r>
      <w:r w:rsidR="00CE1D14" w:rsidRPr="002E6DC1">
        <w:rPr>
          <w:rFonts w:asciiTheme="minorHAnsi" w:hAnsiTheme="minorHAnsi"/>
        </w:rPr>
        <w:fldChar w:fldCharType="begin"/>
      </w:r>
      <w:r w:rsidR="00CE1D14" w:rsidRPr="002E6DC1">
        <w:rPr>
          <w:rFonts w:asciiTheme="minorHAnsi" w:hAnsiTheme="minorHAnsi"/>
        </w:rPr>
        <w:instrText xml:space="preserve"> REF _Ref494532915 \r \h  \* MERGEFORMAT </w:instrText>
      </w:r>
      <w:r w:rsidR="00CE1D14" w:rsidRPr="002E6DC1">
        <w:rPr>
          <w:rFonts w:asciiTheme="minorHAnsi" w:hAnsiTheme="minorHAnsi"/>
        </w:rPr>
      </w:r>
      <w:r w:rsidR="00CE1D14" w:rsidRPr="002E6DC1">
        <w:rPr>
          <w:rFonts w:asciiTheme="minorHAnsi" w:hAnsiTheme="minorHAnsi"/>
        </w:rPr>
        <w:fldChar w:fldCharType="separate"/>
      </w:r>
      <w:r w:rsidR="00D44BCF">
        <w:rPr>
          <w:rFonts w:asciiTheme="minorHAnsi" w:hAnsiTheme="minorHAnsi"/>
        </w:rPr>
        <w:t>2.7</w:t>
      </w:r>
      <w:r w:rsidR="00CE1D14" w:rsidRPr="002E6DC1">
        <w:rPr>
          <w:rFonts w:asciiTheme="minorHAnsi" w:hAnsiTheme="minorHAnsi"/>
        </w:rPr>
        <w:fldChar w:fldCharType="end"/>
      </w:r>
      <w:r w:rsidR="00CE1D14" w:rsidRPr="002E6DC1">
        <w:rPr>
          <w:rFonts w:asciiTheme="minorHAnsi" w:hAnsiTheme="minorHAnsi"/>
        </w:rPr>
        <w:t xml:space="preserve"> </w:t>
      </w:r>
      <w:r w:rsidR="00CE1D14" w:rsidRPr="002E6DC1">
        <w:rPr>
          <w:rFonts w:asciiTheme="minorHAnsi" w:hAnsiTheme="minorHAnsi"/>
        </w:rPr>
        <w:fldChar w:fldCharType="begin"/>
      </w:r>
      <w:r w:rsidR="00CE1D14" w:rsidRPr="002E6DC1">
        <w:rPr>
          <w:rFonts w:asciiTheme="minorHAnsi" w:hAnsiTheme="minorHAnsi"/>
        </w:rPr>
        <w:instrText xml:space="preserve"> REF _Ref494532906 \h  \* MERGEFORMAT </w:instrText>
      </w:r>
      <w:r w:rsidR="00CE1D14" w:rsidRPr="002E6DC1">
        <w:rPr>
          <w:rFonts w:asciiTheme="minorHAnsi" w:hAnsiTheme="minorHAnsi"/>
        </w:rPr>
      </w:r>
      <w:r w:rsidR="00CE1D14" w:rsidRPr="002E6DC1">
        <w:rPr>
          <w:rFonts w:asciiTheme="minorHAnsi" w:hAnsiTheme="minorHAnsi"/>
        </w:rPr>
        <w:fldChar w:fldCharType="separate"/>
      </w:r>
      <w:r w:rsidR="00D44BCF" w:rsidRPr="00D44BCF">
        <w:rPr>
          <w:rFonts w:asciiTheme="minorHAnsi" w:hAnsiTheme="minorHAnsi"/>
        </w:rPr>
        <w:t>The application of State and Territory laws by Judiciary Act 1903, ss 68 and 79</w:t>
      </w:r>
      <w:r w:rsidR="00CE1D14" w:rsidRPr="002E6DC1">
        <w:rPr>
          <w:rFonts w:asciiTheme="minorHAnsi" w:hAnsiTheme="minorHAnsi"/>
        </w:rPr>
        <w:fldChar w:fldCharType="end"/>
      </w:r>
      <w:r w:rsidR="00EB4C07" w:rsidRPr="002E6DC1">
        <w:rPr>
          <w:rFonts w:asciiTheme="minorHAnsi" w:hAnsiTheme="minorHAnsi"/>
        </w:rPr>
        <w:t>”</w:t>
      </w:r>
      <w:r w:rsidR="00CE1D14" w:rsidRPr="002E6DC1">
        <w:rPr>
          <w:rFonts w:asciiTheme="minorHAnsi" w:hAnsiTheme="minorHAnsi"/>
        </w:rPr>
        <w:t>.</w:t>
      </w:r>
    </w:p>
    <w:p w14:paraId="1AE69785" w14:textId="77777777" w:rsidR="00AD7425" w:rsidRPr="00EB7F1E" w:rsidRDefault="00AD7425" w:rsidP="00EB7F1E">
      <w:pPr>
        <w:pStyle w:val="ListParagraph"/>
        <w:rPr>
          <w:rFonts w:asciiTheme="minorHAnsi" w:hAnsiTheme="minorHAnsi"/>
        </w:rPr>
      </w:pPr>
    </w:p>
    <w:p w14:paraId="6D14EBC9" w14:textId="5F4A74C6" w:rsidR="00553FD5" w:rsidRDefault="001F780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DE3283">
        <w:rPr>
          <w:rFonts w:asciiTheme="minorHAnsi" w:hAnsiTheme="minorHAnsi"/>
          <w:i/>
        </w:rPr>
        <w:t>Atanackovic</w:t>
      </w:r>
      <w:r>
        <w:rPr>
          <w:rFonts w:asciiTheme="minorHAnsi" w:hAnsiTheme="minorHAnsi"/>
        </w:rPr>
        <w:t>,</w:t>
      </w:r>
      <w:r w:rsidRPr="00C00000">
        <w:rPr>
          <w:rStyle w:val="Style"/>
          <w:rFonts w:asciiTheme="minorHAnsi" w:hAnsiTheme="minorHAnsi"/>
        </w:rPr>
        <w:footnoteReference w:id="662"/>
      </w:r>
      <w:r>
        <w:rPr>
          <w:rFonts w:asciiTheme="minorHAnsi" w:hAnsiTheme="minorHAnsi"/>
        </w:rPr>
        <w:t xml:space="preserve"> the </w:t>
      </w:r>
      <w:r w:rsidR="00DE3283">
        <w:rPr>
          <w:rFonts w:asciiTheme="minorHAnsi" w:hAnsiTheme="minorHAnsi"/>
        </w:rPr>
        <w:t xml:space="preserve">Victorian Court of Appeal held that a State provision in relation to a community correction order (an order of a kind prescribed for the purposes of s 20AB(1AA)) which permitted such an order to be combined with a term of imprisonment was not applicable to the sentencing of a federal offender as it was inconsistent with Part 1B of the </w:t>
      </w:r>
      <w:r w:rsidR="00885EFD" w:rsidRPr="00885EFD">
        <w:rPr>
          <w:rFonts w:asciiTheme="minorHAnsi" w:hAnsiTheme="minorHAnsi"/>
          <w:i/>
        </w:rPr>
        <w:t>Crimes Act 1914</w:t>
      </w:r>
      <w:r w:rsidR="00DE3283">
        <w:rPr>
          <w:rFonts w:asciiTheme="minorHAnsi" w:hAnsiTheme="minorHAnsi"/>
        </w:rPr>
        <w:t xml:space="preserve"> (Cth).</w:t>
      </w:r>
    </w:p>
    <w:p w14:paraId="2543E924" w14:textId="77777777" w:rsidR="00EC49F6" w:rsidRDefault="00EC49F6" w:rsidP="00EC49F6">
      <w:pPr>
        <w:pStyle w:val="ListParagraph"/>
        <w:rPr>
          <w:rFonts w:asciiTheme="minorHAnsi" w:hAnsiTheme="minorHAnsi"/>
        </w:rPr>
      </w:pPr>
    </w:p>
    <w:p w14:paraId="725E817B" w14:textId="39D53067" w:rsidR="00EC49F6" w:rsidRPr="002E6DC1" w:rsidRDefault="00EC49F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Provisions of State or Territory law which are applied by s 20AB(3) are referred to in s 20AC(1) as “</w:t>
      </w:r>
      <w:r w:rsidRPr="007B0B34">
        <w:rPr>
          <w:rFonts w:asciiTheme="minorHAnsi" w:hAnsiTheme="minorHAnsi"/>
          <w:i/>
        </w:rPr>
        <w:t>applied provisions</w:t>
      </w:r>
      <w:r>
        <w:rPr>
          <w:rFonts w:asciiTheme="minorHAnsi" w:hAnsiTheme="minorHAnsi"/>
        </w:rPr>
        <w:t xml:space="preserve">”.  Proceedings may be brought under s 20AC if </w:t>
      </w:r>
      <w:r w:rsidR="007B0B34">
        <w:rPr>
          <w:rFonts w:asciiTheme="minorHAnsi" w:hAnsiTheme="minorHAnsi"/>
        </w:rPr>
        <w:t xml:space="preserve">(amongst other things) </w:t>
      </w:r>
      <w:r>
        <w:rPr>
          <w:rFonts w:asciiTheme="minorHAnsi" w:hAnsiTheme="minorHAnsi"/>
        </w:rPr>
        <w:t>an offender fails</w:t>
      </w:r>
      <w:r w:rsidRPr="007B0B34">
        <w:rPr>
          <w:rFonts w:asciiTheme="minorHAnsi" w:hAnsiTheme="minorHAnsi"/>
        </w:rPr>
        <w:t xml:space="preserve"> to comply </w:t>
      </w:r>
      <w:r w:rsidR="007B0B34" w:rsidRPr="007B0B34">
        <w:rPr>
          <w:rFonts w:asciiTheme="minorHAnsi" w:hAnsiTheme="minorHAnsi"/>
        </w:rPr>
        <w:t>“</w:t>
      </w:r>
      <w:r w:rsidRPr="007B0B34">
        <w:rPr>
          <w:rFonts w:asciiTheme="minorHAnsi" w:hAnsiTheme="minorHAnsi"/>
          <w:i/>
        </w:rPr>
        <w:t>with any requirements made in relation to the sentence or order by or under the applied provisions</w:t>
      </w:r>
      <w:r w:rsidR="007B0B34" w:rsidRPr="007B0B34">
        <w:rPr>
          <w:rFonts w:asciiTheme="minorHAnsi" w:hAnsiTheme="minorHAnsi"/>
        </w:rPr>
        <w:t>”</w:t>
      </w:r>
      <w:r w:rsidR="007B0B34">
        <w:rPr>
          <w:rFonts w:asciiTheme="minorHAnsi" w:hAnsiTheme="minorHAnsi"/>
        </w:rPr>
        <w:t xml:space="preserve"> (see s 20AC(2), (6))</w:t>
      </w:r>
      <w:r w:rsidR="007B0B34" w:rsidRPr="007B0B34">
        <w:rPr>
          <w:rFonts w:asciiTheme="minorHAnsi" w:hAnsiTheme="minorHAnsi"/>
        </w:rPr>
        <w:t>.</w:t>
      </w:r>
    </w:p>
    <w:p w14:paraId="778D9437" w14:textId="77777777" w:rsidR="00E44487" w:rsidRDefault="00E44487" w:rsidP="00E44487">
      <w:pPr>
        <w:pStyle w:val="ListParagraph"/>
        <w:rPr>
          <w:rFonts w:asciiTheme="minorHAnsi" w:hAnsiTheme="minorHAnsi"/>
        </w:rPr>
      </w:pPr>
    </w:p>
    <w:p w14:paraId="4C2863BF" w14:textId="5AD1E779" w:rsidR="00165D9C" w:rsidRPr="00E9607E" w:rsidRDefault="002833F6" w:rsidP="006D50C7">
      <w:pPr>
        <w:pStyle w:val="Heading3"/>
      </w:pPr>
      <w:bookmarkStart w:id="1693" w:name="_Toc33602863"/>
      <w:r>
        <w:t>Orders without conviction are not available</w:t>
      </w:r>
      <w:bookmarkEnd w:id="1693"/>
    </w:p>
    <w:p w14:paraId="44877998" w14:textId="77777777" w:rsidR="00FE081C" w:rsidRPr="00C00000" w:rsidRDefault="00FE081C" w:rsidP="006D50C7">
      <w:pPr>
        <w:pStyle w:val="NormalIndent"/>
        <w:keepNext/>
        <w:spacing w:line="276" w:lineRule="auto"/>
        <w:jc w:val="both"/>
        <w:rPr>
          <w:rFonts w:asciiTheme="minorHAnsi" w:hAnsiTheme="minorHAnsi"/>
        </w:rPr>
      </w:pPr>
    </w:p>
    <w:p w14:paraId="1C508294" w14:textId="7190E768" w:rsidR="00165D9C" w:rsidRPr="00C00000" w:rsidRDefault="00165D9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w:t>
      </w:r>
      <w:r w:rsidR="0063510B" w:rsidRPr="00C00000">
        <w:rPr>
          <w:rFonts w:asciiTheme="minorHAnsi" w:hAnsiTheme="minorHAnsi"/>
        </w:rPr>
        <w:t>ection</w:t>
      </w:r>
      <w:r w:rsidRPr="00C00000">
        <w:rPr>
          <w:rFonts w:asciiTheme="minorHAnsi" w:hAnsiTheme="minorHAnsi"/>
        </w:rPr>
        <w:t xml:space="preserve"> 20AB(1) makes prescribed </w:t>
      </w:r>
      <w:r w:rsidR="0063510B" w:rsidRPr="00C00000">
        <w:rPr>
          <w:rFonts w:asciiTheme="minorHAnsi" w:hAnsiTheme="minorHAnsi"/>
        </w:rPr>
        <w:t>s</w:t>
      </w:r>
      <w:r w:rsidRPr="00C00000">
        <w:rPr>
          <w:rFonts w:asciiTheme="minorHAnsi" w:hAnsiTheme="minorHAnsi"/>
        </w:rPr>
        <w:t>tate sentencing options applicable to a federal offender only on conviction.</w:t>
      </w:r>
      <w:r w:rsidR="002833F6">
        <w:rPr>
          <w:rFonts w:asciiTheme="minorHAnsi" w:hAnsiTheme="minorHAnsi"/>
        </w:rPr>
        <w:t xml:space="preserve">  Therefore even if, under State or Territory law, a court may make an order of the relevant type without conviction, there is no power to do so in sentencing a federal offender.</w:t>
      </w:r>
      <w:r w:rsidR="00182999" w:rsidRPr="00C00000">
        <w:rPr>
          <w:rStyle w:val="Style"/>
          <w:rFonts w:asciiTheme="minorHAnsi" w:hAnsiTheme="minorHAnsi"/>
        </w:rPr>
        <w:footnoteReference w:id="663"/>
      </w:r>
      <w:r w:rsidR="002833F6" w:rsidRPr="002833F6">
        <w:rPr>
          <w:rFonts w:asciiTheme="minorHAnsi" w:hAnsiTheme="minorHAnsi"/>
        </w:rPr>
        <w:t xml:space="preserve"> </w:t>
      </w:r>
    </w:p>
    <w:p w14:paraId="57AE30BF" w14:textId="77777777" w:rsidR="00C70EE1" w:rsidRPr="00C00000" w:rsidRDefault="00C70EE1" w:rsidP="007C11C2">
      <w:pPr>
        <w:pStyle w:val="BlockText"/>
        <w:tabs>
          <w:tab w:val="clear" w:pos="426"/>
          <w:tab w:val="clear" w:pos="993"/>
        </w:tabs>
        <w:spacing w:before="0" w:line="276" w:lineRule="auto"/>
        <w:ind w:left="567" w:right="0" w:hanging="567"/>
        <w:jc w:val="both"/>
        <w:rPr>
          <w:rFonts w:asciiTheme="minorHAnsi" w:hAnsiTheme="minorHAnsi"/>
        </w:rPr>
      </w:pPr>
    </w:p>
    <w:p w14:paraId="5090E614" w14:textId="3EFADC34" w:rsidR="009D1897" w:rsidRPr="00E9607E" w:rsidRDefault="000B7C28" w:rsidP="006D50C7">
      <w:pPr>
        <w:pStyle w:val="Heading3"/>
      </w:pPr>
      <w:bookmarkStart w:id="1694" w:name="_Toc33602864"/>
      <w:r>
        <w:t>Order may be combined</w:t>
      </w:r>
      <w:r w:rsidR="002833F6">
        <w:t xml:space="preserve"> with a </w:t>
      </w:r>
      <w:r w:rsidR="009D1897" w:rsidRPr="00E9607E">
        <w:t>fine/pecuniary penalty order</w:t>
      </w:r>
      <w:bookmarkEnd w:id="1694"/>
    </w:p>
    <w:p w14:paraId="61D76D2C" w14:textId="77777777" w:rsidR="00901AB1" w:rsidRPr="00C00000" w:rsidRDefault="00901AB1" w:rsidP="006D50C7">
      <w:pPr>
        <w:pStyle w:val="NormalIndent"/>
        <w:keepNext/>
        <w:spacing w:line="276" w:lineRule="auto"/>
        <w:jc w:val="both"/>
        <w:rPr>
          <w:rFonts w:asciiTheme="minorHAnsi" w:hAnsiTheme="minorHAnsi"/>
        </w:rPr>
      </w:pPr>
    </w:p>
    <w:p w14:paraId="20841E02" w14:textId="54DFB89C" w:rsidR="00A86B7C" w:rsidRPr="00C00000" w:rsidRDefault="000B7C2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a court passes a sentence or makes an order under s 20AB(1), it may also </w:t>
      </w:r>
      <w:r w:rsidRPr="002833F6">
        <w:rPr>
          <w:rFonts w:asciiTheme="minorHAnsi" w:hAnsiTheme="minorHAnsi"/>
        </w:rPr>
        <w:t>impose any fine or other pecuniary penalty that the court is empowered to impose on the person for the offence</w:t>
      </w:r>
      <w:r>
        <w:rPr>
          <w:rFonts w:asciiTheme="minorHAnsi" w:hAnsiTheme="minorHAnsi"/>
        </w:rPr>
        <w:t>:</w:t>
      </w:r>
      <w:r w:rsidR="00A86B7C" w:rsidRPr="00C00000">
        <w:rPr>
          <w:rFonts w:asciiTheme="minorHAnsi" w:hAnsiTheme="minorHAnsi"/>
        </w:rPr>
        <w:t xml:space="preserve"> </w:t>
      </w:r>
      <w:r w:rsidR="00885EFD" w:rsidRPr="00885EFD">
        <w:rPr>
          <w:rFonts w:asciiTheme="minorHAnsi" w:hAnsiTheme="minorHAnsi"/>
          <w:i/>
        </w:rPr>
        <w:t>Crimes Act 1914</w:t>
      </w:r>
      <w:r w:rsidRPr="00C00000">
        <w:rPr>
          <w:rFonts w:asciiTheme="minorHAnsi" w:hAnsiTheme="minorHAnsi"/>
          <w:i/>
        </w:rPr>
        <w:t xml:space="preserve"> </w:t>
      </w:r>
      <w:r w:rsidRPr="00C00000">
        <w:rPr>
          <w:rFonts w:asciiTheme="minorHAnsi" w:hAnsiTheme="minorHAnsi"/>
        </w:rPr>
        <w:t>(Cth)</w:t>
      </w:r>
      <w:r>
        <w:rPr>
          <w:rFonts w:asciiTheme="minorHAnsi" w:hAnsiTheme="minorHAnsi"/>
        </w:rPr>
        <w:t xml:space="preserve">, </w:t>
      </w:r>
      <w:r w:rsidR="00A86B7C" w:rsidRPr="00C00000">
        <w:rPr>
          <w:rFonts w:asciiTheme="minorHAnsi" w:hAnsiTheme="minorHAnsi"/>
        </w:rPr>
        <w:t>s 20AB(4)(a)</w:t>
      </w:r>
      <w:r w:rsidR="00A86B7C" w:rsidRPr="00C00000">
        <w:rPr>
          <w:rFonts w:asciiTheme="minorHAnsi" w:hAnsiTheme="minorHAnsi"/>
          <w:i/>
        </w:rPr>
        <w:t>.</w:t>
      </w:r>
    </w:p>
    <w:p w14:paraId="34FDB433" w14:textId="77777777" w:rsidR="002833F6" w:rsidRPr="00C00000" w:rsidRDefault="002833F6" w:rsidP="007C11C2">
      <w:pPr>
        <w:spacing w:line="276" w:lineRule="auto"/>
        <w:ind w:left="567" w:right="-1"/>
        <w:jc w:val="both"/>
        <w:rPr>
          <w:rFonts w:asciiTheme="minorHAnsi" w:hAnsiTheme="minorHAnsi"/>
        </w:rPr>
      </w:pPr>
    </w:p>
    <w:p w14:paraId="5255B78D" w14:textId="43063B0F" w:rsidR="00A86B7C" w:rsidRPr="00E9607E" w:rsidRDefault="006B2AD2" w:rsidP="006D50C7">
      <w:pPr>
        <w:pStyle w:val="Heading3"/>
      </w:pPr>
      <w:bookmarkStart w:id="1695" w:name="_Toc33602865"/>
      <w:r>
        <w:t>Order may be combined with an order for</w:t>
      </w:r>
      <w:r w:rsidR="00C61B65" w:rsidRPr="00E9607E">
        <w:t xml:space="preserve"> </w:t>
      </w:r>
      <w:r w:rsidR="00A86B7C" w:rsidRPr="00E9607E">
        <w:t>reparation</w:t>
      </w:r>
      <w:r>
        <w:t xml:space="preserve">, restitution or </w:t>
      </w:r>
      <w:r w:rsidR="00A86B7C" w:rsidRPr="00E9607E">
        <w:t>compensation</w:t>
      </w:r>
      <w:bookmarkEnd w:id="1695"/>
    </w:p>
    <w:p w14:paraId="3D6F7DA1" w14:textId="77777777" w:rsidR="00901AB1" w:rsidRPr="00C00000" w:rsidRDefault="00901AB1" w:rsidP="006D50C7">
      <w:pPr>
        <w:pStyle w:val="NormalIndent"/>
        <w:keepNext/>
        <w:spacing w:line="276" w:lineRule="auto"/>
        <w:jc w:val="both"/>
        <w:rPr>
          <w:rFonts w:asciiTheme="minorHAnsi" w:hAnsiTheme="minorHAnsi"/>
        </w:rPr>
      </w:pPr>
    </w:p>
    <w:p w14:paraId="2E90EC36" w14:textId="6EAFB9E6" w:rsidR="000B7C28" w:rsidRPr="000B7C28" w:rsidRDefault="000B7C2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a court passes a sentence or makes an order under s 20AB(1), it may also </w:t>
      </w:r>
      <w:r w:rsidRPr="002833F6">
        <w:rPr>
          <w:rFonts w:asciiTheme="minorHAnsi" w:hAnsiTheme="minorHAnsi"/>
        </w:rPr>
        <w:t>make any order requiring the person to make reparation or restitution, or pay compensation, in respect of the offence that the court is empowered to make</w:t>
      </w:r>
      <w:r>
        <w:rPr>
          <w:rFonts w:asciiTheme="minorHAnsi" w:hAnsiTheme="minorHAnsi"/>
        </w:rPr>
        <w:t>:</w:t>
      </w:r>
      <w:r w:rsidRPr="00C00000">
        <w:rPr>
          <w:rFonts w:asciiTheme="minorHAnsi" w:hAnsiTheme="minorHAnsi"/>
        </w:rPr>
        <w:t xml:space="preserve"> </w:t>
      </w:r>
      <w:r w:rsidR="00885EFD" w:rsidRPr="00885EFD">
        <w:rPr>
          <w:rFonts w:asciiTheme="minorHAnsi" w:hAnsiTheme="minorHAnsi"/>
          <w:i/>
        </w:rPr>
        <w:t>Crimes Act 1914</w:t>
      </w:r>
      <w:r w:rsidRPr="00C00000">
        <w:rPr>
          <w:rFonts w:asciiTheme="minorHAnsi" w:hAnsiTheme="minorHAnsi"/>
          <w:i/>
        </w:rPr>
        <w:t xml:space="preserve"> </w:t>
      </w:r>
      <w:r w:rsidRPr="00C00000">
        <w:rPr>
          <w:rFonts w:asciiTheme="minorHAnsi" w:hAnsiTheme="minorHAnsi"/>
        </w:rPr>
        <w:t>(Cth)</w:t>
      </w:r>
      <w:r>
        <w:rPr>
          <w:rFonts w:asciiTheme="minorHAnsi" w:hAnsiTheme="minorHAnsi"/>
        </w:rPr>
        <w:t>, s 20AB(4)(b</w:t>
      </w:r>
      <w:r w:rsidRPr="00C00000">
        <w:rPr>
          <w:rFonts w:asciiTheme="minorHAnsi" w:hAnsiTheme="minorHAnsi"/>
        </w:rPr>
        <w:t>)</w:t>
      </w:r>
      <w:r w:rsidRPr="00C00000">
        <w:rPr>
          <w:rFonts w:asciiTheme="minorHAnsi" w:hAnsiTheme="minorHAnsi"/>
          <w:i/>
        </w:rPr>
        <w:t>.</w:t>
      </w:r>
    </w:p>
    <w:p w14:paraId="410E79BE" w14:textId="77777777" w:rsidR="000B7C28" w:rsidRPr="000B7C28" w:rsidRDefault="000B7C28" w:rsidP="000B7C28">
      <w:pPr>
        <w:spacing w:line="276" w:lineRule="auto"/>
        <w:ind w:right="-1"/>
        <w:jc w:val="both"/>
        <w:rPr>
          <w:rFonts w:asciiTheme="minorHAnsi" w:hAnsiTheme="minorHAnsi"/>
        </w:rPr>
      </w:pPr>
    </w:p>
    <w:p w14:paraId="7933686B" w14:textId="4793F8A8" w:rsidR="00A86B7C" w:rsidRPr="00C00000" w:rsidRDefault="000B7C28"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main power to order a federal offender to make reparation or restitution or to pay compensation is set out in s 21B</w:t>
      </w:r>
      <w:r w:rsidR="00A86B7C" w:rsidRPr="00C00000">
        <w:rPr>
          <w:rFonts w:asciiTheme="minorHAnsi" w:hAnsiTheme="minorHAnsi"/>
        </w:rPr>
        <w:t xml:space="preserve"> of the </w:t>
      </w:r>
      <w:r w:rsidR="00885EFD" w:rsidRPr="00885EFD">
        <w:rPr>
          <w:rFonts w:asciiTheme="minorHAnsi" w:hAnsiTheme="minorHAnsi"/>
          <w:i/>
        </w:rPr>
        <w:t>Crimes Act 1914</w:t>
      </w:r>
      <w:r w:rsidR="00A86B7C" w:rsidRPr="00C00000">
        <w:rPr>
          <w:rFonts w:asciiTheme="minorHAnsi" w:hAnsiTheme="minorHAnsi"/>
          <w:i/>
        </w:rPr>
        <w:t xml:space="preserve"> </w:t>
      </w:r>
      <w:r w:rsidR="00A86B7C" w:rsidRPr="00C00000">
        <w:rPr>
          <w:rFonts w:asciiTheme="minorHAnsi" w:hAnsiTheme="minorHAnsi"/>
        </w:rPr>
        <w:t>(Cth).</w:t>
      </w:r>
      <w:r>
        <w:rPr>
          <w:rFonts w:asciiTheme="minorHAnsi" w:hAnsiTheme="minorHAnsi"/>
        </w:rPr>
        <w:t xml:space="preserve">  See “</w:t>
      </w:r>
      <w:r>
        <w:rPr>
          <w:rFonts w:asciiTheme="minorHAnsi" w:hAnsiTheme="minorHAnsi"/>
        </w:rPr>
        <w:fldChar w:fldCharType="begin"/>
      </w:r>
      <w:r>
        <w:rPr>
          <w:rFonts w:asciiTheme="minorHAnsi" w:hAnsiTheme="minorHAnsi"/>
        </w:rPr>
        <w:instrText xml:space="preserve"> REF _Ref494544049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6.1</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_Ref494544054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Reparation – Crimes Act 1914, s 21B</w:t>
      </w:r>
      <w:r>
        <w:rPr>
          <w:rFonts w:asciiTheme="minorHAnsi" w:hAnsiTheme="minorHAnsi"/>
        </w:rPr>
        <w:fldChar w:fldCharType="end"/>
      </w:r>
      <w:r>
        <w:rPr>
          <w:rFonts w:asciiTheme="minorHAnsi" w:hAnsiTheme="minorHAnsi"/>
        </w:rPr>
        <w:t>”.</w:t>
      </w:r>
    </w:p>
    <w:p w14:paraId="4439D665" w14:textId="77777777" w:rsidR="00A86B7C" w:rsidRPr="00C00000" w:rsidRDefault="00A86B7C" w:rsidP="007C11C2">
      <w:pPr>
        <w:pStyle w:val="NormalIndent"/>
        <w:spacing w:line="276" w:lineRule="auto"/>
        <w:rPr>
          <w:rFonts w:asciiTheme="minorHAnsi" w:hAnsiTheme="minorHAnsi"/>
        </w:rPr>
      </w:pPr>
    </w:p>
    <w:p w14:paraId="78CCEA83" w14:textId="1A0C0952" w:rsidR="006B2AD2" w:rsidRDefault="006B2AD2" w:rsidP="006D50C7">
      <w:pPr>
        <w:pStyle w:val="Heading3"/>
      </w:pPr>
      <w:bookmarkStart w:id="1696" w:name="_Toc33602866"/>
      <w:r>
        <w:t>Order may be combined with another order</w:t>
      </w:r>
      <w:bookmarkEnd w:id="1696"/>
      <w:r w:rsidR="00BA1348">
        <w:t xml:space="preserve"> </w:t>
      </w:r>
    </w:p>
    <w:p w14:paraId="550B6D1D" w14:textId="77777777" w:rsidR="006B2AD2" w:rsidRPr="00051102" w:rsidRDefault="006B2AD2" w:rsidP="006D50C7">
      <w:pPr>
        <w:pStyle w:val="NormalIndent"/>
        <w:keepNext/>
        <w:spacing w:line="276" w:lineRule="auto"/>
        <w:jc w:val="both"/>
        <w:rPr>
          <w:rFonts w:ascii="Calibri" w:hAnsi="Calibri"/>
        </w:rPr>
      </w:pPr>
    </w:p>
    <w:p w14:paraId="54ED00CD" w14:textId="40A28686" w:rsidR="006B2AD2" w:rsidRDefault="006B2AD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a court passes a sentence or makes an order under s 20AB(1), it may also “</w:t>
      </w:r>
      <w:r w:rsidRPr="006B2AD2">
        <w:rPr>
          <w:rFonts w:asciiTheme="minorHAnsi" w:hAnsiTheme="minorHAnsi"/>
          <w:i/>
        </w:rPr>
        <w:t>make any other order that the court is empowered to make</w:t>
      </w:r>
      <w:r>
        <w:rPr>
          <w:rFonts w:asciiTheme="minorHAnsi" w:hAnsiTheme="minorHAnsi"/>
        </w:rPr>
        <w:t>”:</w:t>
      </w:r>
      <w:r w:rsidRPr="00C00000">
        <w:rPr>
          <w:rFonts w:asciiTheme="minorHAnsi" w:hAnsiTheme="minorHAnsi"/>
        </w:rPr>
        <w:t xml:space="preserve"> </w:t>
      </w:r>
      <w:r w:rsidR="00885EFD" w:rsidRPr="00885EFD">
        <w:rPr>
          <w:rFonts w:asciiTheme="minorHAnsi" w:hAnsiTheme="minorHAnsi"/>
          <w:i/>
        </w:rPr>
        <w:t>Crimes Act 1914</w:t>
      </w:r>
      <w:r w:rsidRPr="00C00000">
        <w:rPr>
          <w:rFonts w:asciiTheme="minorHAnsi" w:hAnsiTheme="minorHAnsi"/>
          <w:i/>
        </w:rPr>
        <w:t xml:space="preserve"> </w:t>
      </w:r>
      <w:r w:rsidRPr="00C00000">
        <w:rPr>
          <w:rFonts w:asciiTheme="minorHAnsi" w:hAnsiTheme="minorHAnsi"/>
        </w:rPr>
        <w:t>(Cth)</w:t>
      </w:r>
      <w:r>
        <w:rPr>
          <w:rFonts w:asciiTheme="minorHAnsi" w:hAnsiTheme="minorHAnsi"/>
        </w:rPr>
        <w:t>, s 20AB(4)(c</w:t>
      </w:r>
      <w:r w:rsidRPr="00C00000">
        <w:rPr>
          <w:rFonts w:asciiTheme="minorHAnsi" w:hAnsiTheme="minorHAnsi"/>
        </w:rPr>
        <w:t>)</w:t>
      </w:r>
      <w:r w:rsidRPr="00C00000">
        <w:rPr>
          <w:rFonts w:asciiTheme="minorHAnsi" w:hAnsiTheme="minorHAnsi"/>
          <w:i/>
        </w:rPr>
        <w:t>.</w:t>
      </w:r>
      <w:r w:rsidR="008426A5">
        <w:rPr>
          <w:rFonts w:asciiTheme="minorHAnsi" w:hAnsiTheme="minorHAnsi"/>
        </w:rPr>
        <w:t xml:space="preserve">  This may include, for example, orders for forfeiture or disqualification.</w:t>
      </w:r>
    </w:p>
    <w:p w14:paraId="3D6D0B1F" w14:textId="77777777" w:rsidR="00FD64FB" w:rsidRDefault="00FD64FB" w:rsidP="00FD64FB">
      <w:pPr>
        <w:spacing w:line="276" w:lineRule="auto"/>
        <w:ind w:right="-1"/>
        <w:jc w:val="both"/>
        <w:rPr>
          <w:rFonts w:asciiTheme="minorHAnsi" w:hAnsiTheme="minorHAnsi"/>
        </w:rPr>
      </w:pPr>
    </w:p>
    <w:p w14:paraId="434F7E6B" w14:textId="4D3CCC1A" w:rsidR="00FD64FB" w:rsidRPr="000B7C28" w:rsidRDefault="0092284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It is doubtful whether</w:t>
      </w:r>
      <w:r w:rsidR="005433E0">
        <w:rPr>
          <w:rFonts w:asciiTheme="minorHAnsi" w:hAnsiTheme="minorHAnsi"/>
        </w:rPr>
        <w:t xml:space="preserve"> </w:t>
      </w:r>
      <w:r w:rsidR="00FD64FB">
        <w:rPr>
          <w:rFonts w:asciiTheme="minorHAnsi" w:hAnsiTheme="minorHAnsi"/>
        </w:rPr>
        <w:t>s 20AB(4)(c)</w:t>
      </w:r>
      <w:r w:rsidR="005433E0">
        <w:rPr>
          <w:rFonts w:asciiTheme="minorHAnsi" w:hAnsiTheme="minorHAnsi"/>
        </w:rPr>
        <w:t xml:space="preserve"> </w:t>
      </w:r>
      <w:r w:rsidR="00FD64FB">
        <w:rPr>
          <w:rFonts w:asciiTheme="minorHAnsi" w:hAnsiTheme="minorHAnsi"/>
        </w:rPr>
        <w:t>empower</w:t>
      </w:r>
      <w:r>
        <w:rPr>
          <w:rFonts w:asciiTheme="minorHAnsi" w:hAnsiTheme="minorHAnsi"/>
        </w:rPr>
        <w:t>s</w:t>
      </w:r>
      <w:r w:rsidR="00FD64FB">
        <w:rPr>
          <w:rFonts w:asciiTheme="minorHAnsi" w:hAnsiTheme="minorHAnsi"/>
        </w:rPr>
        <w:t xml:space="preserve"> a court to </w:t>
      </w:r>
      <w:r w:rsidR="00AB088F">
        <w:rPr>
          <w:rFonts w:asciiTheme="minorHAnsi" w:hAnsiTheme="minorHAnsi"/>
        </w:rPr>
        <w:t>combine an order picked up by s 20AB with</w:t>
      </w:r>
      <w:r w:rsidR="00FD64FB">
        <w:rPr>
          <w:rFonts w:asciiTheme="minorHAnsi" w:hAnsiTheme="minorHAnsi"/>
        </w:rPr>
        <w:t xml:space="preserve"> an</w:t>
      </w:r>
      <w:r w:rsidR="005433E0">
        <w:rPr>
          <w:rFonts w:asciiTheme="minorHAnsi" w:hAnsiTheme="minorHAnsi"/>
        </w:rPr>
        <w:t xml:space="preserve"> additional </w:t>
      </w:r>
      <w:r w:rsidR="00FD64FB">
        <w:rPr>
          <w:rFonts w:asciiTheme="minorHAnsi" w:hAnsiTheme="minorHAnsi"/>
        </w:rPr>
        <w:t>sentenc</w:t>
      </w:r>
      <w:r>
        <w:rPr>
          <w:rFonts w:asciiTheme="minorHAnsi" w:hAnsiTheme="minorHAnsi"/>
        </w:rPr>
        <w:t>ing option</w:t>
      </w:r>
      <w:r w:rsidR="00FD64FB">
        <w:rPr>
          <w:rFonts w:asciiTheme="minorHAnsi" w:hAnsiTheme="minorHAnsi"/>
        </w:rPr>
        <w:t xml:space="preserve"> </w:t>
      </w:r>
      <w:r w:rsidR="005433E0">
        <w:rPr>
          <w:rFonts w:asciiTheme="minorHAnsi" w:hAnsiTheme="minorHAnsi"/>
        </w:rPr>
        <w:t>(such as an order under s 20(1)(a), or an additional State or Territory option applied unde</w:t>
      </w:r>
      <w:r w:rsidR="00121425">
        <w:rPr>
          <w:rFonts w:asciiTheme="minorHAnsi" w:hAnsiTheme="minorHAnsi"/>
        </w:rPr>
        <w:t>r s 20AB) for the same offence.</w:t>
      </w:r>
      <w:r w:rsidR="00121425" w:rsidRPr="00C00000">
        <w:rPr>
          <w:rStyle w:val="Style"/>
          <w:rFonts w:asciiTheme="minorHAnsi" w:hAnsiTheme="minorHAnsi"/>
        </w:rPr>
        <w:footnoteReference w:id="664"/>
      </w:r>
    </w:p>
    <w:p w14:paraId="2344928A" w14:textId="77777777" w:rsidR="006B2AD2" w:rsidRPr="000B7C28" w:rsidRDefault="006B2AD2" w:rsidP="006B2AD2">
      <w:pPr>
        <w:spacing w:line="276" w:lineRule="auto"/>
        <w:ind w:right="-1"/>
        <w:jc w:val="both"/>
        <w:rPr>
          <w:rFonts w:asciiTheme="minorHAnsi" w:hAnsiTheme="minorHAnsi"/>
        </w:rPr>
      </w:pPr>
    </w:p>
    <w:p w14:paraId="79E2AE8A" w14:textId="05E2EB5C" w:rsidR="009D1897" w:rsidRPr="00E9607E" w:rsidRDefault="006300C6" w:rsidP="006D50C7">
      <w:pPr>
        <w:pStyle w:val="Heading3"/>
      </w:pPr>
      <w:bookmarkStart w:id="1697" w:name="_Toc33602867"/>
      <w:r>
        <w:t xml:space="preserve">Order </w:t>
      </w:r>
      <w:r w:rsidR="00F846C5">
        <w:t>can</w:t>
      </w:r>
      <w:r w:rsidR="002A4404">
        <w:t>not</w:t>
      </w:r>
      <w:r w:rsidR="00F846C5">
        <w:t xml:space="preserve"> be combined with a term of </w:t>
      </w:r>
      <w:r w:rsidR="009D1897" w:rsidRPr="00E9607E">
        <w:t xml:space="preserve">imprisonment </w:t>
      </w:r>
      <w:r w:rsidR="007D115B" w:rsidRPr="00E9607E">
        <w:t xml:space="preserve">for </w:t>
      </w:r>
      <w:r w:rsidR="00F846C5">
        <w:t>the same</w:t>
      </w:r>
      <w:r w:rsidR="008A5513" w:rsidRPr="00E9607E">
        <w:t xml:space="preserve"> </w:t>
      </w:r>
      <w:r w:rsidR="007D115B" w:rsidRPr="00E9607E">
        <w:t>offence</w:t>
      </w:r>
      <w:bookmarkEnd w:id="1697"/>
    </w:p>
    <w:p w14:paraId="084ED9C6" w14:textId="77777777" w:rsidR="00901AB1" w:rsidRPr="00FD64FB" w:rsidRDefault="00901AB1" w:rsidP="006D50C7">
      <w:pPr>
        <w:pStyle w:val="ListParagraph"/>
        <w:keepNext/>
        <w:tabs>
          <w:tab w:val="left" w:pos="567"/>
          <w:tab w:val="left" w:pos="709"/>
          <w:tab w:val="left" w:pos="993"/>
        </w:tabs>
        <w:spacing w:line="276" w:lineRule="auto"/>
        <w:ind w:left="567" w:hanging="567"/>
        <w:contextualSpacing w:val="0"/>
        <w:rPr>
          <w:rFonts w:asciiTheme="minorHAnsi" w:hAnsiTheme="minorHAnsi"/>
          <w:u w:val="single"/>
        </w:rPr>
      </w:pPr>
    </w:p>
    <w:p w14:paraId="54053B4C" w14:textId="1F0C1563" w:rsidR="00E21C06" w:rsidRPr="00C00000" w:rsidRDefault="00BC1F7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Some State or Territory laws permit an order of the kind described in s 20AB(1AA) to be combined with a term of imprisonment.  </w:t>
      </w:r>
    </w:p>
    <w:p w14:paraId="67C0BF8E" w14:textId="77777777" w:rsidR="00E21C06" w:rsidRPr="00C00000" w:rsidRDefault="00E21C06" w:rsidP="007C11C2">
      <w:pPr>
        <w:pStyle w:val="ListParagraph"/>
        <w:tabs>
          <w:tab w:val="left" w:pos="567"/>
          <w:tab w:val="left" w:pos="709"/>
          <w:tab w:val="left" w:pos="993"/>
        </w:tabs>
        <w:spacing w:line="276" w:lineRule="auto"/>
        <w:ind w:left="567" w:right="-1" w:hanging="567"/>
        <w:rPr>
          <w:rFonts w:asciiTheme="minorHAnsi" w:hAnsiTheme="minorHAnsi"/>
        </w:rPr>
      </w:pPr>
    </w:p>
    <w:p w14:paraId="0C392635" w14:textId="48132D69" w:rsidR="00756068" w:rsidRDefault="00756068">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An example is the </w:t>
      </w:r>
      <w:r w:rsidRPr="00EB7F1E">
        <w:rPr>
          <w:rFonts w:asciiTheme="minorHAnsi" w:hAnsiTheme="minorHAnsi"/>
          <w:i/>
          <w:iCs/>
        </w:rPr>
        <w:t>Sentencing Act 1991</w:t>
      </w:r>
      <w:r>
        <w:rPr>
          <w:rFonts w:asciiTheme="minorHAnsi" w:hAnsiTheme="minorHAnsi"/>
        </w:rPr>
        <w:t xml:space="preserve"> (Vic), which was considered </w:t>
      </w:r>
      <w:r w:rsidRPr="00C00000">
        <w:rPr>
          <w:rFonts w:asciiTheme="minorHAnsi" w:hAnsiTheme="minorHAnsi"/>
        </w:rPr>
        <w:t xml:space="preserve">in </w:t>
      </w:r>
      <w:r w:rsidR="00E21C06" w:rsidRPr="00C00000">
        <w:rPr>
          <w:rFonts w:asciiTheme="minorHAnsi" w:hAnsiTheme="minorHAnsi"/>
          <w:i/>
        </w:rPr>
        <w:t>Atanackovic</w:t>
      </w:r>
      <w:r>
        <w:rPr>
          <w:rFonts w:asciiTheme="minorHAnsi" w:hAnsiTheme="minorHAnsi"/>
          <w:iCs/>
        </w:rPr>
        <w:t>.</w:t>
      </w:r>
      <w:r w:rsidR="007B0B34" w:rsidRPr="00C00000">
        <w:rPr>
          <w:rStyle w:val="Style"/>
          <w:rFonts w:asciiTheme="minorHAnsi" w:hAnsiTheme="minorHAnsi"/>
        </w:rPr>
        <w:footnoteReference w:id="665"/>
      </w:r>
      <w:r w:rsidR="00E21C06" w:rsidRPr="00C00000">
        <w:rPr>
          <w:rFonts w:asciiTheme="minorHAnsi" w:hAnsiTheme="minorHAnsi"/>
        </w:rPr>
        <w:t xml:space="preserve"> </w:t>
      </w:r>
      <w:r>
        <w:rPr>
          <w:rFonts w:asciiTheme="minorHAnsi" w:hAnsiTheme="minorHAnsi"/>
        </w:rPr>
        <w:t xml:space="preserve"> Section</w:t>
      </w:r>
      <w:r w:rsidRPr="00C00000">
        <w:rPr>
          <w:rFonts w:asciiTheme="minorHAnsi" w:hAnsiTheme="minorHAnsi"/>
        </w:rPr>
        <w:t xml:space="preserve"> 44(1) of the </w:t>
      </w:r>
      <w:r w:rsidRPr="00EB7F1E">
        <w:rPr>
          <w:rFonts w:asciiTheme="minorHAnsi" w:hAnsiTheme="minorHAnsi"/>
          <w:iCs/>
        </w:rPr>
        <w:t>Act</w:t>
      </w:r>
      <w:r>
        <w:rPr>
          <w:rFonts w:asciiTheme="minorHAnsi" w:hAnsiTheme="minorHAnsi"/>
        </w:rPr>
        <w:t xml:space="preserve"> permitted</w:t>
      </w:r>
      <w:r w:rsidRPr="00C00000">
        <w:rPr>
          <w:rFonts w:asciiTheme="minorHAnsi" w:hAnsiTheme="minorHAnsi"/>
        </w:rPr>
        <w:t xml:space="preserve"> a </w:t>
      </w:r>
      <w:r>
        <w:rPr>
          <w:rFonts w:asciiTheme="minorHAnsi" w:hAnsiTheme="minorHAnsi"/>
        </w:rPr>
        <w:t>community correction order (</w:t>
      </w:r>
      <w:r w:rsidRPr="00C00000">
        <w:rPr>
          <w:rFonts w:asciiTheme="minorHAnsi" w:hAnsiTheme="minorHAnsi"/>
        </w:rPr>
        <w:t>CCO</w:t>
      </w:r>
      <w:r>
        <w:rPr>
          <w:rFonts w:asciiTheme="minorHAnsi" w:hAnsiTheme="minorHAnsi"/>
        </w:rPr>
        <w:t>)</w:t>
      </w:r>
      <w:r w:rsidRPr="00C00000">
        <w:rPr>
          <w:rFonts w:asciiTheme="minorHAnsi" w:hAnsiTheme="minorHAnsi"/>
        </w:rPr>
        <w:t xml:space="preserve"> </w:t>
      </w:r>
      <w:r>
        <w:rPr>
          <w:rFonts w:asciiTheme="minorHAnsi" w:hAnsiTheme="minorHAnsi"/>
        </w:rPr>
        <w:t xml:space="preserve">to </w:t>
      </w:r>
      <w:r w:rsidRPr="00C00000">
        <w:rPr>
          <w:rFonts w:asciiTheme="minorHAnsi" w:hAnsiTheme="minorHAnsi"/>
        </w:rPr>
        <w:t>be imposed in addition to a term of imprisonment not exceeding two years involving immediate incarceration</w:t>
      </w:r>
      <w:r>
        <w:rPr>
          <w:rFonts w:asciiTheme="minorHAnsi" w:hAnsiTheme="minorHAnsi"/>
        </w:rPr>
        <w:t xml:space="preserve">.  If the court imposed a term of imprisonment of between one and two years, it was required by s 11 of the </w:t>
      </w:r>
      <w:r w:rsidRPr="00EB7F1E">
        <w:rPr>
          <w:rFonts w:asciiTheme="minorHAnsi" w:hAnsiTheme="minorHAnsi"/>
          <w:iCs/>
        </w:rPr>
        <w:t>Act</w:t>
      </w:r>
      <w:r w:rsidRPr="00C00000">
        <w:rPr>
          <w:rFonts w:asciiTheme="minorHAnsi" w:hAnsiTheme="minorHAnsi"/>
          <w:i/>
        </w:rPr>
        <w:t xml:space="preserve"> </w:t>
      </w:r>
      <w:r>
        <w:rPr>
          <w:rFonts w:asciiTheme="minorHAnsi" w:hAnsiTheme="minorHAnsi"/>
        </w:rPr>
        <w:t xml:space="preserve">to fix a non-parole period.  The Victorian Court of Appeal </w:t>
      </w:r>
      <w:r w:rsidR="00E21C06" w:rsidRPr="00C00000">
        <w:rPr>
          <w:rFonts w:asciiTheme="minorHAnsi" w:hAnsiTheme="minorHAnsi"/>
        </w:rPr>
        <w:t xml:space="preserve">held that the legislative scheme established by Part </w:t>
      </w:r>
      <w:r w:rsidR="00E45830">
        <w:rPr>
          <w:rFonts w:asciiTheme="minorHAnsi" w:hAnsiTheme="minorHAnsi"/>
        </w:rPr>
        <w:t>IB</w:t>
      </w:r>
      <w:r w:rsidR="00E21C06" w:rsidRPr="00C00000">
        <w:rPr>
          <w:rFonts w:asciiTheme="minorHAnsi" w:hAnsiTheme="minorHAnsi"/>
        </w:rPr>
        <w:t xml:space="preserve">, </w:t>
      </w:r>
      <w:r w:rsidR="0096283D" w:rsidRPr="00C00000">
        <w:rPr>
          <w:rFonts w:asciiTheme="minorHAnsi" w:hAnsiTheme="minorHAnsi"/>
        </w:rPr>
        <w:t>D</w:t>
      </w:r>
      <w:r w:rsidR="00E21C06" w:rsidRPr="00C00000">
        <w:rPr>
          <w:rFonts w:asciiTheme="minorHAnsi" w:hAnsiTheme="minorHAnsi"/>
        </w:rPr>
        <w:t xml:space="preserve">ivision 4 of the </w:t>
      </w:r>
      <w:r w:rsidR="00885EFD" w:rsidRPr="00885EFD">
        <w:rPr>
          <w:rFonts w:asciiTheme="minorHAnsi" w:hAnsiTheme="minorHAnsi"/>
          <w:i/>
        </w:rPr>
        <w:t>Crimes Act 1914</w:t>
      </w:r>
      <w:r w:rsidR="00E21C06" w:rsidRPr="00C00000">
        <w:rPr>
          <w:rFonts w:asciiTheme="minorHAnsi" w:hAnsiTheme="minorHAnsi"/>
        </w:rPr>
        <w:t xml:space="preserve"> (Cth) le</w:t>
      </w:r>
      <w:r>
        <w:rPr>
          <w:rFonts w:asciiTheme="minorHAnsi" w:hAnsiTheme="minorHAnsi"/>
        </w:rPr>
        <w:t>ft</w:t>
      </w:r>
      <w:r w:rsidR="00E21C06" w:rsidRPr="00C00000">
        <w:rPr>
          <w:rFonts w:asciiTheme="minorHAnsi" w:hAnsiTheme="minorHAnsi"/>
        </w:rPr>
        <w:t xml:space="preserve"> no room for the operation of either s 11 or </w:t>
      </w:r>
      <w:r w:rsidR="00D1284E">
        <w:rPr>
          <w:rFonts w:asciiTheme="minorHAnsi" w:hAnsiTheme="minorHAnsi"/>
        </w:rPr>
        <w:t xml:space="preserve">s </w:t>
      </w:r>
      <w:r w:rsidR="00E21C06" w:rsidRPr="00C00000">
        <w:rPr>
          <w:rFonts w:asciiTheme="minorHAnsi" w:hAnsiTheme="minorHAnsi"/>
        </w:rPr>
        <w:t xml:space="preserve">44 of the </w:t>
      </w:r>
      <w:r w:rsidR="00E21C06" w:rsidRPr="00C00000">
        <w:rPr>
          <w:rFonts w:asciiTheme="minorHAnsi" w:hAnsiTheme="minorHAnsi"/>
          <w:i/>
        </w:rPr>
        <w:t>Sentencing Act 19</w:t>
      </w:r>
      <w:r w:rsidR="00D1284E">
        <w:rPr>
          <w:rFonts w:asciiTheme="minorHAnsi" w:hAnsiTheme="minorHAnsi"/>
          <w:i/>
        </w:rPr>
        <w:t>9</w:t>
      </w:r>
      <w:r w:rsidR="00E21C06" w:rsidRPr="00C00000">
        <w:rPr>
          <w:rFonts w:asciiTheme="minorHAnsi" w:hAnsiTheme="minorHAnsi"/>
          <w:i/>
        </w:rPr>
        <w:t>1</w:t>
      </w:r>
      <w:r w:rsidR="004E026B" w:rsidRPr="00C00000">
        <w:rPr>
          <w:rFonts w:asciiTheme="minorHAnsi" w:hAnsiTheme="minorHAnsi"/>
          <w:i/>
        </w:rPr>
        <w:t xml:space="preserve"> </w:t>
      </w:r>
      <w:r w:rsidR="004E026B" w:rsidRPr="00C00000">
        <w:rPr>
          <w:rFonts w:asciiTheme="minorHAnsi" w:hAnsiTheme="minorHAnsi"/>
        </w:rPr>
        <w:t>(Vic)</w:t>
      </w:r>
      <w:r w:rsidR="00E21C06" w:rsidRPr="00C00000">
        <w:rPr>
          <w:rFonts w:asciiTheme="minorHAnsi" w:hAnsiTheme="minorHAnsi"/>
        </w:rPr>
        <w:t xml:space="preserve">.  Accordingly, a combination sentence of a term of imprisonment and a CCO </w:t>
      </w:r>
      <w:r w:rsidR="004E026B" w:rsidRPr="00C00000">
        <w:rPr>
          <w:rFonts w:asciiTheme="minorHAnsi" w:hAnsiTheme="minorHAnsi"/>
        </w:rPr>
        <w:t>for a</w:t>
      </w:r>
      <w:r w:rsidR="00560B45" w:rsidRPr="00C00000">
        <w:rPr>
          <w:rFonts w:asciiTheme="minorHAnsi" w:hAnsiTheme="minorHAnsi"/>
        </w:rPr>
        <w:t xml:space="preserve"> single </w:t>
      </w:r>
      <w:r w:rsidR="0036508F" w:rsidRPr="00C00000">
        <w:rPr>
          <w:rFonts w:asciiTheme="minorHAnsi" w:hAnsiTheme="minorHAnsi"/>
        </w:rPr>
        <w:t xml:space="preserve">federal </w:t>
      </w:r>
      <w:r w:rsidR="004E026B" w:rsidRPr="00C00000">
        <w:rPr>
          <w:rFonts w:asciiTheme="minorHAnsi" w:hAnsiTheme="minorHAnsi"/>
        </w:rPr>
        <w:t xml:space="preserve">offence </w:t>
      </w:r>
      <w:r>
        <w:rPr>
          <w:rFonts w:asciiTheme="minorHAnsi" w:hAnsiTheme="minorHAnsi"/>
        </w:rPr>
        <w:t>was</w:t>
      </w:r>
      <w:r w:rsidR="00E21C06" w:rsidRPr="00C00000">
        <w:rPr>
          <w:rFonts w:asciiTheme="minorHAnsi" w:hAnsiTheme="minorHAnsi"/>
        </w:rPr>
        <w:t xml:space="preserve"> not available.</w:t>
      </w:r>
      <w:r w:rsidR="00A44EFA" w:rsidRPr="00C00000">
        <w:rPr>
          <w:rStyle w:val="Style"/>
          <w:rFonts w:asciiTheme="minorHAnsi" w:hAnsiTheme="minorHAnsi"/>
        </w:rPr>
        <w:footnoteReference w:id="666"/>
      </w:r>
    </w:p>
    <w:p w14:paraId="04C33704" w14:textId="77777777" w:rsidR="00756068" w:rsidRPr="00EB7F1E" w:rsidRDefault="00756068" w:rsidP="00EB7F1E">
      <w:pPr>
        <w:pStyle w:val="ListParagraph"/>
        <w:rPr>
          <w:rFonts w:asciiTheme="minorHAnsi" w:hAnsiTheme="minorHAnsi"/>
        </w:rPr>
      </w:pPr>
    </w:p>
    <w:p w14:paraId="68818878" w14:textId="22C1E6F8" w:rsidR="00D45ADE" w:rsidRPr="00C00000" w:rsidRDefault="0083797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t>
      </w:r>
      <w:r w:rsidR="00F846C5">
        <w:rPr>
          <w:rFonts w:asciiTheme="minorHAnsi" w:hAnsiTheme="minorHAnsi"/>
        </w:rPr>
        <w:t xml:space="preserve">Court </w:t>
      </w:r>
      <w:r w:rsidR="00756068">
        <w:rPr>
          <w:rFonts w:asciiTheme="minorHAnsi" w:hAnsiTheme="minorHAnsi"/>
        </w:rPr>
        <w:t xml:space="preserve">in </w:t>
      </w:r>
      <w:r w:rsidR="00756068" w:rsidRPr="00C00000">
        <w:rPr>
          <w:rFonts w:asciiTheme="minorHAnsi" w:hAnsiTheme="minorHAnsi"/>
          <w:i/>
        </w:rPr>
        <w:t>Atanackovic</w:t>
      </w:r>
      <w:r w:rsidR="00756068">
        <w:rPr>
          <w:rFonts w:asciiTheme="minorHAnsi" w:hAnsiTheme="minorHAnsi"/>
        </w:rPr>
        <w:t xml:space="preserve"> </w:t>
      </w:r>
      <w:r w:rsidR="004D767B">
        <w:rPr>
          <w:rFonts w:asciiTheme="minorHAnsi" w:hAnsiTheme="minorHAnsi"/>
        </w:rPr>
        <w:t>left open the question</w:t>
      </w:r>
      <w:r w:rsidR="00BC1F7F">
        <w:rPr>
          <w:rFonts w:asciiTheme="minorHAnsi" w:hAnsiTheme="minorHAnsi"/>
        </w:rPr>
        <w:t xml:space="preserve"> whether </w:t>
      </w:r>
      <w:r w:rsidR="00F846C5">
        <w:rPr>
          <w:rFonts w:asciiTheme="minorHAnsi" w:hAnsiTheme="minorHAnsi"/>
        </w:rPr>
        <w:t xml:space="preserve">(except as expressly provided) two sentencing options could ever be </w:t>
      </w:r>
      <w:r w:rsidR="00FD5A14">
        <w:rPr>
          <w:rFonts w:asciiTheme="minorHAnsi" w:hAnsiTheme="minorHAnsi"/>
        </w:rPr>
        <w:t>combined in sentencing for a single federal offence.</w:t>
      </w:r>
      <w:r w:rsidR="00FD5A14" w:rsidRPr="00C00000">
        <w:rPr>
          <w:rStyle w:val="Style"/>
          <w:rFonts w:asciiTheme="minorHAnsi" w:hAnsiTheme="minorHAnsi"/>
        </w:rPr>
        <w:footnoteReference w:id="667"/>
      </w:r>
    </w:p>
    <w:p w14:paraId="4C5D5449" w14:textId="77777777" w:rsidR="00E21C06" w:rsidRPr="00C00000" w:rsidRDefault="00E21C06" w:rsidP="007C11C2">
      <w:pPr>
        <w:pStyle w:val="ListParagraph"/>
        <w:tabs>
          <w:tab w:val="left" w:pos="567"/>
          <w:tab w:val="left" w:pos="709"/>
          <w:tab w:val="left" w:pos="993"/>
        </w:tabs>
        <w:spacing w:line="276" w:lineRule="auto"/>
        <w:ind w:left="567" w:right="-1"/>
        <w:rPr>
          <w:rFonts w:asciiTheme="minorHAnsi" w:hAnsiTheme="minorHAnsi"/>
        </w:rPr>
      </w:pPr>
    </w:p>
    <w:p w14:paraId="3377558E" w14:textId="267C1D29" w:rsidR="008C6928" w:rsidRPr="00E9607E" w:rsidRDefault="006300C6" w:rsidP="006D50C7">
      <w:pPr>
        <w:pStyle w:val="Heading3"/>
      </w:pPr>
      <w:bookmarkStart w:id="1698" w:name="_Toc33602868"/>
      <w:r>
        <w:t>Order</w:t>
      </w:r>
      <w:r w:rsidR="006E2FB0">
        <w:t xml:space="preserve"> for one offence can be coupled with a term of </w:t>
      </w:r>
      <w:r w:rsidR="008C6928" w:rsidRPr="00E9607E">
        <w:t xml:space="preserve">imprisonment </w:t>
      </w:r>
      <w:r w:rsidR="006E2FB0">
        <w:t>for another</w:t>
      </w:r>
      <w:bookmarkEnd w:id="1698"/>
    </w:p>
    <w:p w14:paraId="0419E4AF" w14:textId="77777777" w:rsidR="00DE3A71" w:rsidRPr="00C00000" w:rsidRDefault="00DE3A71" w:rsidP="006D50C7">
      <w:pPr>
        <w:pStyle w:val="ListParagraph"/>
        <w:keepNext/>
        <w:tabs>
          <w:tab w:val="left" w:pos="567"/>
          <w:tab w:val="left" w:pos="709"/>
          <w:tab w:val="left" w:pos="993"/>
        </w:tabs>
        <w:spacing w:line="276" w:lineRule="auto"/>
        <w:ind w:left="567" w:hanging="567"/>
        <w:contextualSpacing w:val="0"/>
        <w:rPr>
          <w:rFonts w:asciiTheme="minorHAnsi" w:hAnsiTheme="minorHAnsi"/>
          <w:u w:val="single"/>
        </w:rPr>
      </w:pPr>
    </w:p>
    <w:p w14:paraId="09EB4779" w14:textId="6012F6CE" w:rsidR="006E2FB0" w:rsidRDefault="006E2FB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w:t>
      </w:r>
      <w:r w:rsidR="00E21C06" w:rsidRPr="00C00000">
        <w:rPr>
          <w:rFonts w:asciiTheme="minorHAnsi" w:hAnsiTheme="minorHAnsi"/>
        </w:rPr>
        <w:t xml:space="preserve"> a federal offender is to be sentenced for more than one federal offence</w:t>
      </w:r>
      <w:r>
        <w:rPr>
          <w:rFonts w:asciiTheme="minorHAnsi" w:hAnsiTheme="minorHAnsi"/>
        </w:rPr>
        <w:t>,</w:t>
      </w:r>
      <w:r w:rsidR="00E21C06" w:rsidRPr="00C00000">
        <w:rPr>
          <w:rFonts w:asciiTheme="minorHAnsi" w:hAnsiTheme="minorHAnsi"/>
        </w:rPr>
        <w:t xml:space="preserve"> it is open to impose a period of imprisonment for one offence and a</w:t>
      </w:r>
      <w:r>
        <w:rPr>
          <w:rFonts w:asciiTheme="minorHAnsi" w:hAnsiTheme="minorHAnsi"/>
        </w:rPr>
        <w:t xml:space="preserve">n order applied by s 20AB for one </w:t>
      </w:r>
      <w:r w:rsidR="00E21C06" w:rsidRPr="00C00000">
        <w:rPr>
          <w:rFonts w:asciiTheme="minorHAnsi" w:hAnsiTheme="minorHAnsi"/>
        </w:rPr>
        <w:t xml:space="preserve">or </w:t>
      </w:r>
      <w:r>
        <w:rPr>
          <w:rFonts w:asciiTheme="minorHAnsi" w:hAnsiTheme="minorHAnsi"/>
        </w:rPr>
        <w:t xml:space="preserve">more </w:t>
      </w:r>
      <w:r w:rsidR="00E21C06" w:rsidRPr="00C00000">
        <w:rPr>
          <w:rFonts w:asciiTheme="minorHAnsi" w:hAnsiTheme="minorHAnsi"/>
        </w:rPr>
        <w:t xml:space="preserve">other </w:t>
      </w:r>
      <w:r w:rsidR="006878E9" w:rsidRPr="00C00000">
        <w:rPr>
          <w:rFonts w:asciiTheme="minorHAnsi" w:hAnsiTheme="minorHAnsi"/>
        </w:rPr>
        <w:t>offences</w:t>
      </w:r>
      <w:r>
        <w:rPr>
          <w:rFonts w:asciiTheme="minorHAnsi" w:hAnsiTheme="minorHAnsi"/>
        </w:rPr>
        <w:t>.</w:t>
      </w:r>
      <w:r w:rsidR="00B818CE" w:rsidRPr="00C00000">
        <w:rPr>
          <w:rStyle w:val="Style"/>
          <w:rFonts w:asciiTheme="minorHAnsi" w:hAnsiTheme="minorHAnsi"/>
        </w:rPr>
        <w:footnoteReference w:id="668"/>
      </w:r>
    </w:p>
    <w:p w14:paraId="246C8E39" w14:textId="77777777" w:rsidR="006E2FB0" w:rsidRDefault="006E2FB0" w:rsidP="006E2FB0">
      <w:pPr>
        <w:pStyle w:val="Body"/>
        <w:tabs>
          <w:tab w:val="clear" w:pos="284"/>
        </w:tabs>
        <w:spacing w:line="276" w:lineRule="auto"/>
        <w:jc w:val="both"/>
        <w:rPr>
          <w:rFonts w:asciiTheme="minorHAnsi" w:hAnsiTheme="minorHAnsi"/>
          <w:lang w:val="en-AU"/>
        </w:rPr>
      </w:pPr>
    </w:p>
    <w:p w14:paraId="7066B49C" w14:textId="06CF3EFC" w:rsidR="008C6928" w:rsidRPr="00C00000" w:rsidRDefault="006E2FB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commencement of the order applied by s 20AB would need to be fixed in accordance with State or Territory law.  For example, </w:t>
      </w:r>
      <w:r w:rsidRPr="00C00000">
        <w:rPr>
          <w:rFonts w:asciiTheme="minorHAnsi" w:hAnsiTheme="minorHAnsi"/>
        </w:rPr>
        <w:t>s 38(2) of the</w:t>
      </w:r>
      <w:r w:rsidRPr="00C00000">
        <w:rPr>
          <w:rFonts w:asciiTheme="minorHAnsi" w:hAnsiTheme="minorHAnsi"/>
          <w:i/>
        </w:rPr>
        <w:t xml:space="preserve"> Sentencing Act 1991</w:t>
      </w:r>
      <w:r w:rsidRPr="00C00000">
        <w:rPr>
          <w:rFonts w:asciiTheme="minorHAnsi" w:hAnsiTheme="minorHAnsi"/>
        </w:rPr>
        <w:t xml:space="preserve"> (Vic)</w:t>
      </w:r>
      <w:r w:rsidR="004220EE">
        <w:rPr>
          <w:rFonts w:asciiTheme="minorHAnsi" w:hAnsiTheme="minorHAnsi"/>
        </w:rPr>
        <w:t xml:space="preserve"> requires that a </w:t>
      </w:r>
      <w:r w:rsidR="00E512AD" w:rsidRPr="00C00000">
        <w:rPr>
          <w:rFonts w:asciiTheme="minorHAnsi" w:hAnsiTheme="minorHAnsi"/>
        </w:rPr>
        <w:t xml:space="preserve">CCO must not commence more than 3 months after </w:t>
      </w:r>
      <w:r w:rsidR="00B200F9" w:rsidRPr="00C00000">
        <w:rPr>
          <w:rFonts w:asciiTheme="minorHAnsi" w:hAnsiTheme="minorHAnsi"/>
        </w:rPr>
        <w:t>it was made (</w:t>
      </w:r>
      <w:r w:rsidR="005652DF">
        <w:rPr>
          <w:rFonts w:asciiTheme="minorHAnsi" w:hAnsiTheme="minorHAnsi"/>
        </w:rPr>
        <w:t xml:space="preserve">that is, </w:t>
      </w:r>
      <w:r w:rsidR="00B200F9" w:rsidRPr="00C00000">
        <w:rPr>
          <w:rFonts w:asciiTheme="minorHAnsi" w:hAnsiTheme="minorHAnsi"/>
        </w:rPr>
        <w:t>the date the sentence was imposed).</w:t>
      </w:r>
      <w:r w:rsidR="005652DF" w:rsidRPr="00C00000">
        <w:rPr>
          <w:rStyle w:val="Style"/>
          <w:rFonts w:asciiTheme="minorHAnsi" w:hAnsiTheme="minorHAnsi"/>
        </w:rPr>
        <w:footnoteReference w:id="669"/>
      </w:r>
    </w:p>
    <w:p w14:paraId="2F2BB6DD" w14:textId="77777777" w:rsidR="008C6928" w:rsidRPr="00C00000" w:rsidRDefault="008C6928" w:rsidP="007C11C2">
      <w:pPr>
        <w:pStyle w:val="Body"/>
        <w:tabs>
          <w:tab w:val="clear" w:pos="284"/>
        </w:tabs>
        <w:spacing w:line="276" w:lineRule="auto"/>
        <w:ind w:left="567"/>
        <w:jc w:val="both"/>
        <w:rPr>
          <w:rFonts w:asciiTheme="minorHAnsi" w:hAnsiTheme="minorHAnsi"/>
          <w:lang w:val="en-AU"/>
        </w:rPr>
      </w:pPr>
    </w:p>
    <w:p w14:paraId="7B02D8DF" w14:textId="3CB8D0A6" w:rsidR="00047F85" w:rsidRPr="00E9607E" w:rsidRDefault="001036F9" w:rsidP="006D50C7">
      <w:pPr>
        <w:pStyle w:val="Heading3"/>
      </w:pPr>
      <w:bookmarkStart w:id="1699" w:name="_Toc33602869"/>
      <w:r>
        <w:t xml:space="preserve">Application of a </w:t>
      </w:r>
      <w:r w:rsidR="004615DF" w:rsidRPr="00E9607E">
        <w:t xml:space="preserve">guideline judgment </w:t>
      </w:r>
      <w:r>
        <w:t>regarding use of an order applied by s 20AB</w:t>
      </w:r>
      <w:bookmarkEnd w:id="1699"/>
    </w:p>
    <w:p w14:paraId="3746E550" w14:textId="77777777" w:rsidR="00DE3A71" w:rsidRPr="00C00000" w:rsidRDefault="00DE3A71" w:rsidP="006D50C7">
      <w:pPr>
        <w:keepNext/>
        <w:spacing w:line="276" w:lineRule="auto"/>
        <w:ind w:left="567"/>
        <w:jc w:val="both"/>
        <w:rPr>
          <w:rFonts w:asciiTheme="minorHAnsi" w:hAnsiTheme="minorHAnsi"/>
        </w:rPr>
      </w:pPr>
    </w:p>
    <w:p w14:paraId="35D8031B" w14:textId="6F7A40D3" w:rsidR="007E1D61" w:rsidRPr="007F159E" w:rsidRDefault="007E1D61"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In </w:t>
      </w:r>
      <w:r w:rsidR="002655DB" w:rsidRPr="00C00000">
        <w:rPr>
          <w:rFonts w:asciiTheme="minorHAnsi" w:hAnsiTheme="minorHAnsi"/>
          <w:i/>
        </w:rPr>
        <w:t>Boulton,</w:t>
      </w:r>
      <w:r w:rsidR="002655DB" w:rsidRPr="00C00000">
        <w:rPr>
          <w:rStyle w:val="Style"/>
          <w:rFonts w:asciiTheme="minorHAnsi" w:hAnsiTheme="minorHAnsi"/>
        </w:rPr>
        <w:footnoteReference w:id="670"/>
      </w:r>
      <w:r w:rsidR="002655DB" w:rsidRPr="00C00000">
        <w:rPr>
          <w:rFonts w:asciiTheme="minorHAnsi" w:hAnsiTheme="minorHAnsi"/>
        </w:rPr>
        <w:t xml:space="preserve"> </w:t>
      </w:r>
      <w:r w:rsidR="002655DB">
        <w:rPr>
          <w:rFonts w:asciiTheme="minorHAnsi" w:hAnsiTheme="minorHAnsi"/>
        </w:rPr>
        <w:t>the Victorian Court of Appeal issued a guideline judgment</w:t>
      </w:r>
      <w:r w:rsidR="005562AF" w:rsidRPr="00C00000">
        <w:rPr>
          <w:rStyle w:val="Style"/>
          <w:rFonts w:asciiTheme="minorHAnsi" w:hAnsiTheme="minorHAnsi"/>
        </w:rPr>
        <w:footnoteReference w:id="671"/>
      </w:r>
      <w:r w:rsidR="002655DB">
        <w:rPr>
          <w:rFonts w:asciiTheme="minorHAnsi" w:hAnsiTheme="minorHAnsi"/>
        </w:rPr>
        <w:t xml:space="preserve"> </w:t>
      </w:r>
      <w:r w:rsidR="005562AF">
        <w:rPr>
          <w:rFonts w:asciiTheme="minorHAnsi" w:hAnsiTheme="minorHAnsi"/>
        </w:rPr>
        <w:t xml:space="preserve">on </w:t>
      </w:r>
      <w:r w:rsidR="002655DB">
        <w:rPr>
          <w:rFonts w:asciiTheme="minorHAnsi" w:hAnsiTheme="minorHAnsi"/>
        </w:rPr>
        <w:t xml:space="preserve">the use of community correction orders (CCOs) under </w:t>
      </w:r>
      <w:r w:rsidR="005562AF">
        <w:rPr>
          <w:rFonts w:asciiTheme="minorHAnsi" w:hAnsiTheme="minorHAnsi"/>
        </w:rPr>
        <w:t xml:space="preserve">Part 3A of the </w:t>
      </w:r>
      <w:r w:rsidR="005562AF" w:rsidRPr="005562AF">
        <w:rPr>
          <w:rFonts w:asciiTheme="minorHAnsi" w:hAnsiTheme="minorHAnsi"/>
          <w:i/>
        </w:rPr>
        <w:t>Sentencing Act 1991</w:t>
      </w:r>
      <w:r w:rsidR="005562AF">
        <w:rPr>
          <w:rFonts w:asciiTheme="minorHAnsi" w:hAnsiTheme="minorHAnsi"/>
        </w:rPr>
        <w:t xml:space="preserve"> (Vic).  </w:t>
      </w:r>
      <w:r w:rsidR="00F33501" w:rsidRPr="00FE16A4">
        <w:rPr>
          <w:rFonts w:asciiTheme="minorHAnsi" w:hAnsiTheme="minorHAnsi"/>
          <w:i/>
        </w:rPr>
        <w:t>Boulton</w:t>
      </w:r>
      <w:r w:rsidR="00F33501" w:rsidRPr="00FE16A4">
        <w:rPr>
          <w:rFonts w:asciiTheme="minorHAnsi" w:hAnsiTheme="minorHAnsi"/>
        </w:rPr>
        <w:t xml:space="preserve"> espouse</w:t>
      </w:r>
      <w:r w:rsidR="00F33501">
        <w:rPr>
          <w:rFonts w:asciiTheme="minorHAnsi" w:hAnsiTheme="minorHAnsi"/>
        </w:rPr>
        <w:t>d</w:t>
      </w:r>
      <w:r w:rsidR="00F33501" w:rsidRPr="00FE16A4">
        <w:rPr>
          <w:rFonts w:asciiTheme="minorHAnsi" w:hAnsiTheme="minorHAnsi"/>
        </w:rPr>
        <w:t xml:space="preserve"> an appr</w:t>
      </w:r>
      <w:r w:rsidR="00F33501">
        <w:rPr>
          <w:rFonts w:asciiTheme="minorHAnsi" w:hAnsiTheme="minorHAnsi"/>
        </w:rPr>
        <w:t xml:space="preserve">oach to sentencing which </w:t>
      </w:r>
      <w:r w:rsidR="00F47D0C">
        <w:rPr>
          <w:rFonts w:asciiTheme="minorHAnsi" w:hAnsiTheme="minorHAnsi"/>
        </w:rPr>
        <w:t>emphas</w:t>
      </w:r>
      <w:r w:rsidR="00B86888">
        <w:rPr>
          <w:rFonts w:asciiTheme="minorHAnsi" w:hAnsiTheme="minorHAnsi"/>
        </w:rPr>
        <w:t>ised</w:t>
      </w:r>
      <w:r w:rsidR="00F33501" w:rsidRPr="00FE16A4">
        <w:rPr>
          <w:rFonts w:asciiTheme="minorHAnsi" w:hAnsiTheme="minorHAnsi"/>
        </w:rPr>
        <w:t xml:space="preserve"> the advantages of a CCO compared to imprisonment and </w:t>
      </w:r>
      <w:r w:rsidR="00A64F8F">
        <w:rPr>
          <w:rFonts w:asciiTheme="minorHAnsi" w:hAnsiTheme="minorHAnsi"/>
        </w:rPr>
        <w:t>which required</w:t>
      </w:r>
      <w:r w:rsidR="00F33501" w:rsidRPr="00FE16A4">
        <w:rPr>
          <w:rFonts w:asciiTheme="minorHAnsi" w:hAnsiTheme="minorHAnsi"/>
        </w:rPr>
        <w:t xml:space="preserve"> sentencing judges to take into account those advantages before concluding that imprisonment is the only sentencing option. </w:t>
      </w:r>
      <w:r w:rsidR="00F33501">
        <w:rPr>
          <w:rFonts w:asciiTheme="minorHAnsi" w:hAnsiTheme="minorHAnsi"/>
        </w:rPr>
        <w:t xml:space="preserve"> </w:t>
      </w:r>
      <w:r w:rsidR="005562AF">
        <w:rPr>
          <w:rFonts w:asciiTheme="minorHAnsi" w:hAnsiTheme="minorHAnsi"/>
        </w:rPr>
        <w:t xml:space="preserve">In </w:t>
      </w:r>
      <w:r w:rsidRPr="00C00000">
        <w:rPr>
          <w:rFonts w:asciiTheme="minorHAnsi" w:hAnsiTheme="minorHAnsi"/>
          <w:i/>
        </w:rPr>
        <w:t>Atanackovic</w:t>
      </w:r>
      <w:r w:rsidR="004615DF" w:rsidRPr="00C00000">
        <w:rPr>
          <w:rFonts w:asciiTheme="minorHAnsi" w:hAnsiTheme="minorHAnsi"/>
        </w:rPr>
        <w:t>,</w:t>
      </w:r>
      <w:r w:rsidR="00F33501" w:rsidRPr="00C00000">
        <w:rPr>
          <w:rStyle w:val="Style"/>
          <w:rFonts w:asciiTheme="minorHAnsi" w:hAnsiTheme="minorHAnsi"/>
        </w:rPr>
        <w:footnoteReference w:id="672"/>
      </w:r>
      <w:r w:rsidR="004615DF" w:rsidRPr="00C00000">
        <w:rPr>
          <w:rFonts w:asciiTheme="minorHAnsi" w:hAnsiTheme="minorHAnsi"/>
        </w:rPr>
        <w:t xml:space="preserve"> </w:t>
      </w:r>
      <w:r w:rsidR="004E026B" w:rsidRPr="00C00000">
        <w:rPr>
          <w:rFonts w:asciiTheme="minorHAnsi" w:hAnsiTheme="minorHAnsi"/>
        </w:rPr>
        <w:t xml:space="preserve">the Court </w:t>
      </w:r>
      <w:r w:rsidR="005562AF">
        <w:rPr>
          <w:rFonts w:asciiTheme="minorHAnsi" w:hAnsiTheme="minorHAnsi"/>
        </w:rPr>
        <w:t xml:space="preserve">of Appeal </w:t>
      </w:r>
      <w:r w:rsidRPr="00C00000">
        <w:rPr>
          <w:rFonts w:asciiTheme="minorHAnsi" w:hAnsiTheme="minorHAnsi"/>
        </w:rPr>
        <w:t xml:space="preserve">held that the guideline </w:t>
      </w:r>
      <w:r w:rsidR="00C00406">
        <w:rPr>
          <w:rFonts w:asciiTheme="minorHAnsi" w:hAnsiTheme="minorHAnsi"/>
        </w:rPr>
        <w:t>judgment</w:t>
      </w:r>
      <w:r w:rsidRPr="00C00000">
        <w:rPr>
          <w:rFonts w:asciiTheme="minorHAnsi" w:hAnsiTheme="minorHAnsi"/>
        </w:rPr>
        <w:t xml:space="preserve"> </w:t>
      </w:r>
      <w:r w:rsidR="00F33501">
        <w:rPr>
          <w:rFonts w:asciiTheme="minorHAnsi" w:hAnsiTheme="minorHAnsi"/>
        </w:rPr>
        <w:t xml:space="preserve">in </w:t>
      </w:r>
      <w:r w:rsidR="00F33501" w:rsidRPr="00F33501">
        <w:rPr>
          <w:rFonts w:asciiTheme="minorHAnsi" w:hAnsiTheme="minorHAnsi"/>
          <w:i/>
        </w:rPr>
        <w:t>Boulton</w:t>
      </w:r>
      <w:r w:rsidR="00F33501">
        <w:rPr>
          <w:rFonts w:asciiTheme="minorHAnsi" w:hAnsiTheme="minorHAnsi"/>
        </w:rPr>
        <w:t xml:space="preserve"> </w:t>
      </w:r>
      <w:r w:rsidR="005562AF">
        <w:rPr>
          <w:rFonts w:asciiTheme="minorHAnsi" w:hAnsiTheme="minorHAnsi"/>
        </w:rPr>
        <w:t xml:space="preserve">could </w:t>
      </w:r>
      <w:r w:rsidR="00F33501">
        <w:rPr>
          <w:rFonts w:asciiTheme="minorHAnsi" w:hAnsiTheme="minorHAnsi"/>
        </w:rPr>
        <w:t xml:space="preserve">not </w:t>
      </w:r>
      <w:r w:rsidRPr="00C00000">
        <w:rPr>
          <w:rFonts w:asciiTheme="minorHAnsi" w:hAnsiTheme="minorHAnsi"/>
        </w:rPr>
        <w:t xml:space="preserve">be accommodated by s 16A of the </w:t>
      </w:r>
      <w:r w:rsidR="00885EFD" w:rsidRPr="00885EFD">
        <w:rPr>
          <w:rFonts w:asciiTheme="minorHAnsi" w:hAnsiTheme="minorHAnsi"/>
          <w:i/>
        </w:rPr>
        <w:t>Crimes Act 1914</w:t>
      </w:r>
      <w:r w:rsidR="004E026B" w:rsidRPr="00C00000">
        <w:rPr>
          <w:rFonts w:asciiTheme="minorHAnsi" w:hAnsiTheme="minorHAnsi"/>
        </w:rPr>
        <w:t xml:space="preserve"> (Cth)</w:t>
      </w:r>
      <w:r w:rsidR="0028610D" w:rsidRPr="00C00000">
        <w:rPr>
          <w:rFonts w:asciiTheme="minorHAnsi" w:hAnsiTheme="minorHAnsi"/>
        </w:rPr>
        <w:t>,</w:t>
      </w:r>
      <w:r w:rsidR="004E026B" w:rsidRPr="00C00000">
        <w:rPr>
          <w:rFonts w:asciiTheme="minorHAnsi" w:hAnsiTheme="minorHAnsi"/>
        </w:rPr>
        <w:t xml:space="preserve"> </w:t>
      </w:r>
      <w:r w:rsidR="005562AF">
        <w:rPr>
          <w:rFonts w:asciiTheme="minorHAnsi" w:hAnsiTheme="minorHAnsi"/>
        </w:rPr>
        <w:t>did</w:t>
      </w:r>
      <w:r w:rsidRPr="00C00000">
        <w:rPr>
          <w:rFonts w:asciiTheme="minorHAnsi" w:hAnsiTheme="minorHAnsi"/>
        </w:rPr>
        <w:t xml:space="preserve"> not satisfy the requirements of s 80 of the </w:t>
      </w:r>
      <w:r w:rsidR="00BA5640" w:rsidRPr="00C00000">
        <w:rPr>
          <w:rFonts w:asciiTheme="minorHAnsi" w:hAnsiTheme="minorHAnsi"/>
          <w:i/>
        </w:rPr>
        <w:t>Judiciary Act 1903</w:t>
      </w:r>
      <w:r w:rsidR="00597681" w:rsidRPr="00C00000">
        <w:rPr>
          <w:rFonts w:asciiTheme="minorHAnsi" w:hAnsiTheme="minorHAnsi"/>
          <w:i/>
        </w:rPr>
        <w:t xml:space="preserve"> (Cth)</w:t>
      </w:r>
      <w:r w:rsidR="00597681" w:rsidRPr="00C00000">
        <w:rPr>
          <w:rFonts w:asciiTheme="minorHAnsi" w:hAnsiTheme="minorHAnsi"/>
        </w:rPr>
        <w:t xml:space="preserve"> </w:t>
      </w:r>
      <w:r w:rsidRPr="00C00000">
        <w:rPr>
          <w:rFonts w:asciiTheme="minorHAnsi" w:hAnsiTheme="minorHAnsi"/>
        </w:rPr>
        <w:t>and</w:t>
      </w:r>
      <w:r w:rsidR="006B7866" w:rsidRPr="00C00000">
        <w:rPr>
          <w:rFonts w:asciiTheme="minorHAnsi" w:hAnsiTheme="minorHAnsi"/>
        </w:rPr>
        <w:t>,</w:t>
      </w:r>
      <w:r w:rsidRPr="00C00000">
        <w:rPr>
          <w:rFonts w:asciiTheme="minorHAnsi" w:hAnsiTheme="minorHAnsi"/>
        </w:rPr>
        <w:t xml:space="preserve"> accordingly</w:t>
      </w:r>
      <w:r w:rsidR="006B7866" w:rsidRPr="00C00000">
        <w:rPr>
          <w:rFonts w:asciiTheme="minorHAnsi" w:hAnsiTheme="minorHAnsi"/>
        </w:rPr>
        <w:t>,</w:t>
      </w:r>
      <w:r w:rsidRPr="00C00000">
        <w:rPr>
          <w:rFonts w:asciiTheme="minorHAnsi" w:hAnsiTheme="minorHAnsi"/>
        </w:rPr>
        <w:t xml:space="preserve"> </w:t>
      </w:r>
      <w:r w:rsidR="005562AF">
        <w:rPr>
          <w:rFonts w:asciiTheme="minorHAnsi" w:hAnsiTheme="minorHAnsi"/>
        </w:rPr>
        <w:t>did</w:t>
      </w:r>
      <w:r w:rsidRPr="00C00000">
        <w:rPr>
          <w:rFonts w:asciiTheme="minorHAnsi" w:hAnsiTheme="minorHAnsi"/>
        </w:rPr>
        <w:t xml:space="preserve"> not apply to the sentencing of federal offenders</w:t>
      </w:r>
      <w:r w:rsidR="00EA56DC" w:rsidRPr="00C00000">
        <w:rPr>
          <w:rFonts w:asciiTheme="minorHAnsi" w:hAnsiTheme="minorHAnsi"/>
        </w:rPr>
        <w:t>.</w:t>
      </w:r>
      <w:r w:rsidR="007014F7" w:rsidRPr="00C00000">
        <w:rPr>
          <w:rStyle w:val="Style"/>
          <w:rFonts w:asciiTheme="minorHAnsi" w:hAnsiTheme="minorHAnsi"/>
        </w:rPr>
        <w:footnoteReference w:id="673"/>
      </w:r>
    </w:p>
    <w:p w14:paraId="76DFE398" w14:textId="5EEF1908" w:rsidR="001A3ED2" w:rsidRDefault="001A3ED2" w:rsidP="007F159E">
      <w:pPr>
        <w:pStyle w:val="Body"/>
        <w:tabs>
          <w:tab w:val="clear" w:pos="284"/>
        </w:tabs>
        <w:spacing w:line="276" w:lineRule="auto"/>
        <w:ind w:left="567"/>
        <w:jc w:val="both"/>
        <w:rPr>
          <w:rFonts w:asciiTheme="minorHAnsi" w:hAnsiTheme="minorHAnsi"/>
          <w:lang w:val="en-AU"/>
        </w:rPr>
      </w:pPr>
    </w:p>
    <w:p w14:paraId="0F664682" w14:textId="0F9A15FB" w:rsidR="00F774C7" w:rsidRPr="00E9607E" w:rsidRDefault="006B1003" w:rsidP="006D50C7">
      <w:pPr>
        <w:pStyle w:val="Heading3"/>
      </w:pPr>
      <w:bookmarkStart w:id="1700" w:name="_Toc33602870"/>
      <w:r>
        <w:t>Whether a single order can be impose</w:t>
      </w:r>
      <w:r w:rsidR="00232907">
        <w:t>d</w:t>
      </w:r>
      <w:r>
        <w:t xml:space="preserve"> for more than one</w:t>
      </w:r>
      <w:r w:rsidR="00F774C7" w:rsidRPr="00E9607E">
        <w:t xml:space="preserve"> </w:t>
      </w:r>
      <w:r>
        <w:t>federal</w:t>
      </w:r>
      <w:r w:rsidR="00F774C7" w:rsidRPr="00E9607E">
        <w:t xml:space="preserve"> offence</w:t>
      </w:r>
      <w:bookmarkEnd w:id="1700"/>
    </w:p>
    <w:p w14:paraId="61AB94C2" w14:textId="77777777" w:rsidR="00DE3A71" w:rsidRPr="00C00000" w:rsidRDefault="00DE3A71" w:rsidP="006D50C7">
      <w:pPr>
        <w:pStyle w:val="NormalIndent"/>
        <w:keepNext/>
        <w:spacing w:line="276" w:lineRule="auto"/>
        <w:jc w:val="both"/>
        <w:rPr>
          <w:rFonts w:asciiTheme="minorHAnsi" w:hAnsiTheme="minorHAnsi"/>
        </w:rPr>
      </w:pPr>
    </w:p>
    <w:p w14:paraId="4DA2DDB5" w14:textId="52ACC168" w:rsidR="009466C2" w:rsidRDefault="009466C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single order applied by s 20AB of the </w:t>
      </w:r>
      <w:r w:rsidR="00885EFD" w:rsidRPr="00885EFD">
        <w:rPr>
          <w:rFonts w:asciiTheme="minorHAnsi" w:hAnsiTheme="minorHAnsi"/>
          <w:i/>
        </w:rPr>
        <w:t>Crimes Act 1914</w:t>
      </w:r>
      <w:r>
        <w:rPr>
          <w:rFonts w:asciiTheme="minorHAnsi" w:hAnsiTheme="minorHAnsi"/>
        </w:rPr>
        <w:t xml:space="preserve"> (Cth) may be imposed for two or more federal offences</w:t>
      </w:r>
      <w:r w:rsidR="0082637A">
        <w:rPr>
          <w:rFonts w:asciiTheme="minorHAnsi" w:hAnsiTheme="minorHAnsi"/>
        </w:rPr>
        <w:t xml:space="preserve"> (that is, as an aggregate sentence)</w:t>
      </w:r>
      <w:r>
        <w:rPr>
          <w:rFonts w:asciiTheme="minorHAnsi" w:hAnsiTheme="minorHAnsi"/>
        </w:rPr>
        <w:t xml:space="preserve"> if the </w:t>
      </w:r>
      <w:r w:rsidR="0082637A">
        <w:rPr>
          <w:rFonts w:asciiTheme="minorHAnsi" w:hAnsiTheme="minorHAnsi"/>
        </w:rPr>
        <w:t xml:space="preserve">sentencing </w:t>
      </w:r>
      <w:r>
        <w:rPr>
          <w:rFonts w:asciiTheme="minorHAnsi" w:hAnsiTheme="minorHAnsi"/>
        </w:rPr>
        <w:t xml:space="preserve">court is </w:t>
      </w:r>
      <w:r w:rsidR="0082637A">
        <w:rPr>
          <w:rFonts w:asciiTheme="minorHAnsi" w:hAnsiTheme="minorHAnsi"/>
        </w:rPr>
        <w:t xml:space="preserve">permitted to do </w:t>
      </w:r>
      <w:r w:rsidR="001D322A" w:rsidRPr="00EB7F1E">
        <w:rPr>
          <w:rFonts w:asciiTheme="minorHAnsi" w:hAnsiTheme="minorHAnsi"/>
          <w:color w:val="548DD4" w:themeColor="text2" w:themeTint="99"/>
        </w:rPr>
        <w:t>so</w:t>
      </w:r>
      <w:r w:rsidR="001D322A">
        <w:rPr>
          <w:rFonts w:asciiTheme="minorHAnsi" w:hAnsiTheme="minorHAnsi"/>
        </w:rPr>
        <w:t xml:space="preserve"> </w:t>
      </w:r>
      <w:r w:rsidR="0082637A">
        <w:rPr>
          <w:rFonts w:asciiTheme="minorHAnsi" w:hAnsiTheme="minorHAnsi"/>
        </w:rPr>
        <w:t>either by a law of the Commonwealth or by a State or Territory law which is applied as surrogate federal law to the sentencing of a federal offender.</w:t>
      </w:r>
    </w:p>
    <w:p w14:paraId="6188EE12" w14:textId="77777777" w:rsidR="00DA14DC" w:rsidRDefault="00DA14DC" w:rsidP="00DA14DC">
      <w:pPr>
        <w:widowControl w:val="0"/>
        <w:spacing w:line="276" w:lineRule="auto"/>
        <w:jc w:val="both"/>
        <w:rPr>
          <w:rFonts w:asciiTheme="minorHAnsi" w:hAnsiTheme="minorHAnsi"/>
        </w:rPr>
      </w:pPr>
    </w:p>
    <w:p w14:paraId="3E11D649" w14:textId="3C00B878" w:rsidR="0082637A" w:rsidRDefault="0082637A" w:rsidP="00EB7F1E">
      <w:pPr>
        <w:pStyle w:val="ListParagraph"/>
        <w:numPr>
          <w:ilvl w:val="0"/>
          <w:numId w:val="7"/>
        </w:numPr>
        <w:spacing w:line="276" w:lineRule="auto"/>
        <w:ind w:left="425" w:hanging="425"/>
        <w:contextualSpacing w:val="0"/>
        <w:rPr>
          <w:rFonts w:asciiTheme="minorHAnsi" w:hAnsiTheme="minorHAnsi"/>
        </w:rPr>
      </w:pPr>
      <w:r w:rsidRPr="0082637A">
        <w:rPr>
          <w:rFonts w:asciiTheme="minorHAnsi" w:hAnsiTheme="minorHAnsi"/>
          <w:b/>
        </w:rPr>
        <w:t>Commonwealth laws permitting aggregate sentences:</w:t>
      </w:r>
      <w:r w:rsidRPr="00215C01">
        <w:rPr>
          <w:rFonts w:asciiTheme="minorHAnsi" w:hAnsiTheme="minorHAnsi"/>
        </w:rPr>
        <w:t xml:space="preserve">  </w:t>
      </w:r>
      <w:r w:rsidR="00215C01">
        <w:rPr>
          <w:rFonts w:asciiTheme="minorHAnsi" w:hAnsiTheme="minorHAnsi"/>
        </w:rPr>
        <w:t xml:space="preserve">The principal Commonwealth provision which empowers a court to impose an aggregate sentence for two or more offences is s 4K(4) of the </w:t>
      </w:r>
      <w:r w:rsidR="00885EFD" w:rsidRPr="00885EFD">
        <w:rPr>
          <w:rFonts w:asciiTheme="minorHAnsi" w:hAnsiTheme="minorHAnsi"/>
          <w:i/>
        </w:rPr>
        <w:t>Crimes Act 1914</w:t>
      </w:r>
      <w:r w:rsidR="00215C01">
        <w:rPr>
          <w:rFonts w:asciiTheme="minorHAnsi" w:hAnsiTheme="minorHAnsi"/>
        </w:rPr>
        <w:t>.  In summary, it empowers a court exercising summary jurisdiction to impose a single sentence for two or more Commonwealth offences against “</w:t>
      </w:r>
      <w:r w:rsidR="00215C01" w:rsidRPr="00215C01">
        <w:rPr>
          <w:rFonts w:asciiTheme="minorHAnsi" w:hAnsiTheme="minorHAnsi"/>
          <w:i/>
        </w:rPr>
        <w:t>the same provision of a law of the Commonwealth</w:t>
      </w:r>
      <w:r w:rsidR="00215C01">
        <w:rPr>
          <w:rFonts w:asciiTheme="minorHAnsi" w:hAnsiTheme="minorHAnsi"/>
        </w:rPr>
        <w:t>”</w:t>
      </w:r>
      <w:r w:rsidR="004F5662">
        <w:rPr>
          <w:rFonts w:asciiTheme="minorHAnsi" w:hAnsiTheme="minorHAnsi"/>
        </w:rPr>
        <w:t>, where charges for the offences</w:t>
      </w:r>
      <w:r w:rsidR="00215C01">
        <w:rPr>
          <w:rFonts w:asciiTheme="minorHAnsi" w:hAnsiTheme="minorHAnsi"/>
        </w:rPr>
        <w:t xml:space="preserve"> </w:t>
      </w:r>
      <w:r w:rsidR="004F5662">
        <w:rPr>
          <w:rFonts w:asciiTheme="minorHAnsi" w:hAnsiTheme="minorHAnsi"/>
        </w:rPr>
        <w:t>have been joined in the same information, complaint or summons.  See “</w:t>
      </w:r>
      <w:r w:rsidR="004F5662">
        <w:rPr>
          <w:rFonts w:asciiTheme="minorHAnsi" w:hAnsiTheme="minorHAnsi"/>
        </w:rPr>
        <w:fldChar w:fldCharType="begin"/>
      </w:r>
      <w:r w:rsidR="004F5662">
        <w:rPr>
          <w:rFonts w:asciiTheme="minorHAnsi" w:hAnsiTheme="minorHAnsi"/>
        </w:rPr>
        <w:instrText xml:space="preserve"> REF _Ref494884739 \r \h  \* MERGEFORMAT </w:instrText>
      </w:r>
      <w:r w:rsidR="004F5662">
        <w:rPr>
          <w:rFonts w:asciiTheme="minorHAnsi" w:hAnsiTheme="minorHAnsi"/>
        </w:rPr>
      </w:r>
      <w:r w:rsidR="004F5662">
        <w:rPr>
          <w:rFonts w:asciiTheme="minorHAnsi" w:hAnsiTheme="minorHAnsi"/>
        </w:rPr>
        <w:fldChar w:fldCharType="separate"/>
      </w:r>
      <w:r w:rsidR="00D44BCF">
        <w:rPr>
          <w:rFonts w:asciiTheme="minorHAnsi" w:hAnsiTheme="minorHAnsi"/>
        </w:rPr>
        <w:t>7.10.5</w:t>
      </w:r>
      <w:r w:rsidR="004F5662">
        <w:rPr>
          <w:rFonts w:asciiTheme="minorHAnsi" w:hAnsiTheme="minorHAnsi"/>
        </w:rPr>
        <w:fldChar w:fldCharType="end"/>
      </w:r>
      <w:r w:rsidR="004F5662">
        <w:rPr>
          <w:rFonts w:asciiTheme="minorHAnsi" w:hAnsiTheme="minorHAnsi"/>
        </w:rPr>
        <w:t xml:space="preserve"> </w:t>
      </w:r>
      <w:r w:rsidR="004F5662">
        <w:rPr>
          <w:rFonts w:asciiTheme="minorHAnsi" w:hAnsiTheme="minorHAnsi"/>
        </w:rPr>
        <w:fldChar w:fldCharType="begin"/>
      </w:r>
      <w:r w:rsidR="004F5662">
        <w:rPr>
          <w:rFonts w:asciiTheme="minorHAnsi" w:hAnsiTheme="minorHAnsi"/>
        </w:rPr>
        <w:instrText xml:space="preserve"> REF _Ref494884745 \h  \* MERGEFORMAT </w:instrText>
      </w:r>
      <w:r w:rsidR="004F5662">
        <w:rPr>
          <w:rFonts w:asciiTheme="minorHAnsi" w:hAnsiTheme="minorHAnsi"/>
        </w:rPr>
      </w:r>
      <w:r w:rsidR="004F5662">
        <w:rPr>
          <w:rFonts w:asciiTheme="minorHAnsi" w:hAnsiTheme="minorHAnsi"/>
        </w:rPr>
        <w:fldChar w:fldCharType="separate"/>
      </w:r>
      <w:r w:rsidR="00D44BCF" w:rsidRPr="00D44BCF">
        <w:rPr>
          <w:rFonts w:asciiTheme="minorHAnsi" w:hAnsiTheme="minorHAnsi"/>
        </w:rPr>
        <w:t>Aggregate penalty for offences dealt with summarily – Crimes Act 1914, s 4K</w:t>
      </w:r>
      <w:r w:rsidR="004F5662">
        <w:rPr>
          <w:rFonts w:asciiTheme="minorHAnsi" w:hAnsiTheme="minorHAnsi"/>
        </w:rPr>
        <w:fldChar w:fldCharType="end"/>
      </w:r>
      <w:r w:rsidR="004F5662">
        <w:rPr>
          <w:rFonts w:asciiTheme="minorHAnsi" w:hAnsiTheme="minorHAnsi"/>
        </w:rPr>
        <w:t>”.</w:t>
      </w:r>
    </w:p>
    <w:p w14:paraId="1FD0CDA6" w14:textId="77777777" w:rsidR="004F5662" w:rsidRDefault="004F5662" w:rsidP="004F5662">
      <w:pPr>
        <w:pStyle w:val="ListParagraph"/>
        <w:rPr>
          <w:rFonts w:asciiTheme="minorHAnsi" w:hAnsiTheme="minorHAnsi"/>
        </w:rPr>
      </w:pPr>
    </w:p>
    <w:p w14:paraId="5C6721B3" w14:textId="1678B277" w:rsidR="004F5662" w:rsidRDefault="004F566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Some Commonwealth Acts also empower a court to impose a single sentence for </w:t>
      </w:r>
      <w:r w:rsidR="0010449A">
        <w:rPr>
          <w:rFonts w:asciiTheme="minorHAnsi" w:hAnsiTheme="minorHAnsi"/>
        </w:rPr>
        <w:t xml:space="preserve">a </w:t>
      </w:r>
      <w:r>
        <w:rPr>
          <w:rFonts w:asciiTheme="minorHAnsi" w:hAnsiTheme="minorHAnsi"/>
        </w:rPr>
        <w:t xml:space="preserve">particular </w:t>
      </w:r>
      <w:r w:rsidR="0010449A">
        <w:rPr>
          <w:rFonts w:asciiTheme="minorHAnsi" w:hAnsiTheme="minorHAnsi"/>
        </w:rPr>
        <w:t xml:space="preserve">offence or </w:t>
      </w:r>
      <w:r>
        <w:rPr>
          <w:rFonts w:asciiTheme="minorHAnsi" w:hAnsiTheme="minorHAnsi"/>
        </w:rPr>
        <w:t xml:space="preserve">offences against that Act.  The most commonly-used of these provisions is s 219 of the </w:t>
      </w:r>
      <w:r w:rsidRPr="00C00000">
        <w:rPr>
          <w:rFonts w:asciiTheme="minorHAnsi" w:hAnsiTheme="minorHAnsi"/>
          <w:i/>
        </w:rPr>
        <w:t>Social Security (Administration) Act 1999</w:t>
      </w:r>
      <w:r w:rsidRPr="00C00000">
        <w:rPr>
          <w:rFonts w:asciiTheme="minorHAnsi" w:hAnsiTheme="minorHAnsi"/>
        </w:rPr>
        <w:t xml:space="preserve"> (Cth)</w:t>
      </w:r>
      <w:r>
        <w:rPr>
          <w:rFonts w:asciiTheme="minorHAnsi" w:hAnsiTheme="minorHAnsi"/>
        </w:rPr>
        <w:t>.  See “</w:t>
      </w:r>
      <w:r>
        <w:rPr>
          <w:rFonts w:asciiTheme="minorHAnsi" w:hAnsiTheme="minorHAnsi"/>
        </w:rPr>
        <w:fldChar w:fldCharType="begin"/>
      </w:r>
      <w:r>
        <w:rPr>
          <w:rFonts w:asciiTheme="minorHAnsi" w:hAnsiTheme="minorHAnsi"/>
        </w:rPr>
        <w:instrText xml:space="preserve"> REF _Ref494884948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7.10.4</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_Ref494884929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Aggregate penalties permitted for particular Commonwealth offences</w:t>
      </w:r>
      <w:r>
        <w:rPr>
          <w:rFonts w:asciiTheme="minorHAnsi" w:hAnsiTheme="minorHAnsi"/>
        </w:rPr>
        <w:fldChar w:fldCharType="end"/>
      </w:r>
      <w:r>
        <w:rPr>
          <w:rFonts w:asciiTheme="minorHAnsi" w:hAnsiTheme="minorHAnsi"/>
        </w:rPr>
        <w:t>”.</w:t>
      </w:r>
    </w:p>
    <w:p w14:paraId="717C8FBA" w14:textId="77777777" w:rsidR="00D41A9E" w:rsidRDefault="00D41A9E" w:rsidP="00D41A9E">
      <w:pPr>
        <w:pStyle w:val="ListParagraph"/>
        <w:rPr>
          <w:rFonts w:asciiTheme="minorHAnsi" w:hAnsiTheme="minorHAnsi"/>
        </w:rPr>
      </w:pPr>
    </w:p>
    <w:p w14:paraId="1833E7EF" w14:textId="61C574AA" w:rsidR="00D41A9E" w:rsidRPr="00215C01" w:rsidRDefault="00D41A9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Either of these provisions would appear apt to permit a single order applied by s 20AB to be imposed for two or more federal offences, if the relevant pre-conditions are satisfied.</w:t>
      </w:r>
    </w:p>
    <w:p w14:paraId="7C204DD4" w14:textId="77777777" w:rsidR="009466C2" w:rsidRPr="00C00000" w:rsidRDefault="009466C2" w:rsidP="009466C2">
      <w:pPr>
        <w:widowControl w:val="0"/>
        <w:spacing w:line="276" w:lineRule="auto"/>
        <w:ind w:left="567" w:hanging="567"/>
        <w:jc w:val="both"/>
        <w:rPr>
          <w:rFonts w:asciiTheme="minorHAnsi" w:hAnsiTheme="minorHAnsi"/>
        </w:rPr>
      </w:pPr>
    </w:p>
    <w:p w14:paraId="0E76C4C6" w14:textId="10219DD4" w:rsidR="00F774C7" w:rsidRPr="006761D6" w:rsidRDefault="0010449A" w:rsidP="00EB7F1E">
      <w:pPr>
        <w:pStyle w:val="ListParagraph"/>
        <w:numPr>
          <w:ilvl w:val="0"/>
          <w:numId w:val="7"/>
        </w:numPr>
        <w:spacing w:line="276" w:lineRule="auto"/>
        <w:ind w:left="425" w:hanging="425"/>
        <w:contextualSpacing w:val="0"/>
        <w:rPr>
          <w:rFonts w:asciiTheme="minorHAnsi" w:hAnsiTheme="minorHAnsi"/>
          <w:b/>
        </w:rPr>
      </w:pPr>
      <w:r>
        <w:rPr>
          <w:rFonts w:asciiTheme="minorHAnsi" w:hAnsiTheme="minorHAnsi"/>
          <w:b/>
        </w:rPr>
        <w:t>State/Territory laws permitting aggregate sentence</w:t>
      </w:r>
      <w:r w:rsidR="0084551A" w:rsidRPr="00C00000">
        <w:rPr>
          <w:rFonts w:asciiTheme="minorHAnsi" w:hAnsiTheme="minorHAnsi"/>
        </w:rPr>
        <w:t xml:space="preserve">:  </w:t>
      </w:r>
      <w:r w:rsidR="00D46574">
        <w:rPr>
          <w:rFonts w:asciiTheme="minorHAnsi" w:hAnsiTheme="minorHAnsi"/>
        </w:rPr>
        <w:t xml:space="preserve">The existence of </w:t>
      </w:r>
      <w:r w:rsidR="00E931A4">
        <w:rPr>
          <w:rFonts w:asciiTheme="minorHAnsi" w:hAnsiTheme="minorHAnsi"/>
        </w:rPr>
        <w:t xml:space="preserve">provisions in </w:t>
      </w:r>
      <w:r w:rsidR="00057296">
        <w:rPr>
          <w:rFonts w:asciiTheme="minorHAnsi" w:hAnsiTheme="minorHAnsi"/>
        </w:rPr>
        <w:t>Commonwea</w:t>
      </w:r>
      <w:r w:rsidR="00DA14DC">
        <w:rPr>
          <w:rFonts w:asciiTheme="minorHAnsi" w:hAnsiTheme="minorHAnsi"/>
        </w:rPr>
        <w:t>l</w:t>
      </w:r>
      <w:r w:rsidR="00057296">
        <w:rPr>
          <w:rFonts w:asciiTheme="minorHAnsi" w:hAnsiTheme="minorHAnsi"/>
        </w:rPr>
        <w:t>th</w:t>
      </w:r>
      <w:r w:rsidR="00E931A4">
        <w:rPr>
          <w:rFonts w:asciiTheme="minorHAnsi" w:hAnsiTheme="minorHAnsi"/>
        </w:rPr>
        <w:t xml:space="preserve"> law</w:t>
      </w:r>
      <w:r w:rsidR="00DA14DC">
        <w:rPr>
          <w:rFonts w:asciiTheme="minorHAnsi" w:hAnsiTheme="minorHAnsi"/>
        </w:rPr>
        <w:t xml:space="preserve"> which permit aggregate sentencing do not preclude the application of </w:t>
      </w:r>
      <w:r w:rsidR="0057091B">
        <w:rPr>
          <w:rFonts w:asciiTheme="minorHAnsi" w:hAnsiTheme="minorHAnsi"/>
        </w:rPr>
        <w:t xml:space="preserve">general </w:t>
      </w:r>
      <w:r w:rsidR="00DA14DC">
        <w:rPr>
          <w:rFonts w:asciiTheme="minorHAnsi" w:hAnsiTheme="minorHAnsi"/>
        </w:rPr>
        <w:t>State/Territory laws which permit aggregate sentencing in proceedings on indictment.</w:t>
      </w:r>
      <w:r w:rsidR="0057091B" w:rsidRPr="00C00000">
        <w:rPr>
          <w:rStyle w:val="FootnoteReference"/>
          <w:rFonts w:asciiTheme="minorHAnsi" w:hAnsiTheme="minorHAnsi"/>
        </w:rPr>
        <w:footnoteReference w:id="674"/>
      </w:r>
      <w:r w:rsidR="00DA14DC">
        <w:rPr>
          <w:rFonts w:asciiTheme="minorHAnsi" w:hAnsiTheme="minorHAnsi"/>
        </w:rPr>
        <w:t xml:space="preserve">  Nor (probably) do they preclude the application of State/Territory laws which permit </w:t>
      </w:r>
      <w:r w:rsidR="0057091B">
        <w:rPr>
          <w:rFonts w:asciiTheme="minorHAnsi" w:hAnsiTheme="minorHAnsi"/>
        </w:rPr>
        <w:t>the imposition of an aggregate sentence in proceedings determined summarily.</w:t>
      </w:r>
      <w:r w:rsidR="0057091B" w:rsidRPr="00C00000">
        <w:rPr>
          <w:rStyle w:val="FootnoteReference"/>
          <w:rFonts w:asciiTheme="minorHAnsi" w:hAnsiTheme="minorHAnsi"/>
        </w:rPr>
        <w:footnoteReference w:id="675"/>
      </w:r>
    </w:p>
    <w:p w14:paraId="0CCAEBE4" w14:textId="77777777" w:rsidR="006761D6" w:rsidRPr="000B7076" w:rsidRDefault="006761D6" w:rsidP="000B7076">
      <w:pPr>
        <w:widowControl w:val="0"/>
        <w:spacing w:line="276" w:lineRule="auto"/>
        <w:ind w:left="567" w:hanging="567"/>
        <w:jc w:val="both"/>
        <w:rPr>
          <w:rFonts w:asciiTheme="minorHAnsi" w:hAnsiTheme="minorHAnsi"/>
        </w:rPr>
      </w:pPr>
    </w:p>
    <w:p w14:paraId="0BB6B5A0" w14:textId="1DAD549B" w:rsidR="00F774C7" w:rsidRPr="00E057EE" w:rsidRDefault="00E057EE" w:rsidP="00EB7F1E">
      <w:pPr>
        <w:pStyle w:val="ListParagraph"/>
        <w:numPr>
          <w:ilvl w:val="0"/>
          <w:numId w:val="7"/>
        </w:numPr>
        <w:spacing w:line="276" w:lineRule="auto"/>
        <w:ind w:left="425" w:hanging="425"/>
        <w:contextualSpacing w:val="0"/>
        <w:rPr>
          <w:rFonts w:asciiTheme="minorHAnsi" w:hAnsiTheme="minorHAnsi"/>
        </w:rPr>
      </w:pPr>
      <w:r w:rsidRPr="00E057EE">
        <w:rPr>
          <w:rFonts w:asciiTheme="minorHAnsi" w:hAnsiTheme="minorHAnsi"/>
        </w:rPr>
        <w:t xml:space="preserve">Some </w:t>
      </w:r>
      <w:r>
        <w:rPr>
          <w:rFonts w:asciiTheme="minorHAnsi" w:hAnsiTheme="minorHAnsi"/>
        </w:rPr>
        <w:t>State/Territory laws make specific provision for an order of a kind applied by s 20AB</w:t>
      </w:r>
      <w:r w:rsidR="009C543B">
        <w:rPr>
          <w:rFonts w:asciiTheme="minorHAnsi" w:hAnsiTheme="minorHAnsi"/>
        </w:rPr>
        <w:t xml:space="preserve"> to be imposed for more than one offence.  Such laws would appear to </w:t>
      </w:r>
      <w:r w:rsidR="00524632">
        <w:rPr>
          <w:rFonts w:asciiTheme="minorHAnsi" w:hAnsiTheme="minorHAnsi"/>
        </w:rPr>
        <w:t xml:space="preserve">be picked up and applied to the sentencing of a federal offender in a corresponding case, either by s 68 or s 79 of the </w:t>
      </w:r>
      <w:r w:rsidR="00524632" w:rsidRPr="00524632">
        <w:rPr>
          <w:rFonts w:asciiTheme="minorHAnsi" w:hAnsiTheme="minorHAnsi"/>
          <w:i/>
        </w:rPr>
        <w:t>Judiciary Act 1903</w:t>
      </w:r>
      <w:r w:rsidR="00524632">
        <w:rPr>
          <w:rFonts w:asciiTheme="minorHAnsi" w:hAnsiTheme="minorHAnsi"/>
        </w:rPr>
        <w:t xml:space="preserve"> (Cth) or by s 20AB(1) and (3) of the </w:t>
      </w:r>
      <w:r w:rsidR="00885EFD" w:rsidRPr="00885EFD">
        <w:rPr>
          <w:rFonts w:asciiTheme="minorHAnsi" w:hAnsiTheme="minorHAnsi"/>
          <w:i/>
        </w:rPr>
        <w:t>Crimes Act 1914</w:t>
      </w:r>
      <w:r w:rsidR="00524632">
        <w:rPr>
          <w:rFonts w:asciiTheme="minorHAnsi" w:hAnsiTheme="minorHAnsi"/>
        </w:rPr>
        <w:t xml:space="preserve"> (Cth), except to the extent that they are incapable of application or inconsistent with a law of the Commonwealth.  Th</w:t>
      </w:r>
      <w:r w:rsidR="00D33D82">
        <w:rPr>
          <w:rFonts w:asciiTheme="minorHAnsi" w:hAnsiTheme="minorHAnsi"/>
        </w:rPr>
        <w:t xml:space="preserve">ere does not appear to be any law of the </w:t>
      </w:r>
      <w:r w:rsidR="009C543B">
        <w:rPr>
          <w:rFonts w:asciiTheme="minorHAnsi" w:hAnsiTheme="minorHAnsi"/>
        </w:rPr>
        <w:t xml:space="preserve">Commonwealth </w:t>
      </w:r>
      <w:r w:rsidR="00D33D82">
        <w:rPr>
          <w:rFonts w:asciiTheme="minorHAnsi" w:hAnsiTheme="minorHAnsi"/>
        </w:rPr>
        <w:t xml:space="preserve">which </w:t>
      </w:r>
      <w:r w:rsidR="009C543B">
        <w:rPr>
          <w:rFonts w:asciiTheme="minorHAnsi" w:hAnsiTheme="minorHAnsi"/>
        </w:rPr>
        <w:t xml:space="preserve">would </w:t>
      </w:r>
      <w:r w:rsidR="00D33D82">
        <w:rPr>
          <w:rFonts w:asciiTheme="minorHAnsi" w:hAnsiTheme="minorHAnsi"/>
        </w:rPr>
        <w:t>generally</w:t>
      </w:r>
      <w:r w:rsidR="009C543B">
        <w:rPr>
          <w:rFonts w:asciiTheme="minorHAnsi" w:hAnsiTheme="minorHAnsi"/>
        </w:rPr>
        <w:t xml:space="preserve"> preclude the application of such a law to the sentencing of a federal offender.  </w:t>
      </w:r>
      <w:r w:rsidR="00D33D82">
        <w:rPr>
          <w:rFonts w:asciiTheme="minorHAnsi" w:hAnsiTheme="minorHAnsi"/>
        </w:rPr>
        <w:t>See “</w:t>
      </w:r>
      <w:r w:rsidR="00D33D82">
        <w:rPr>
          <w:rFonts w:asciiTheme="minorHAnsi" w:hAnsiTheme="minorHAnsi"/>
        </w:rPr>
        <w:fldChar w:fldCharType="begin"/>
      </w:r>
      <w:r w:rsidR="00D33D82">
        <w:rPr>
          <w:rFonts w:asciiTheme="minorHAnsi" w:hAnsiTheme="minorHAnsi"/>
        </w:rPr>
        <w:instrText xml:space="preserve"> REF _Ref494892240 \r \h  \* MERGEFORMAT </w:instrText>
      </w:r>
      <w:r w:rsidR="00D33D82">
        <w:rPr>
          <w:rFonts w:asciiTheme="minorHAnsi" w:hAnsiTheme="minorHAnsi"/>
        </w:rPr>
      </w:r>
      <w:r w:rsidR="00D33D82">
        <w:rPr>
          <w:rFonts w:asciiTheme="minorHAnsi" w:hAnsiTheme="minorHAnsi"/>
        </w:rPr>
        <w:fldChar w:fldCharType="separate"/>
      </w:r>
      <w:r w:rsidR="00D44BCF">
        <w:rPr>
          <w:rFonts w:asciiTheme="minorHAnsi" w:hAnsiTheme="minorHAnsi"/>
        </w:rPr>
        <w:t>7.10.3</w:t>
      </w:r>
      <w:r w:rsidR="00D33D82">
        <w:rPr>
          <w:rFonts w:asciiTheme="minorHAnsi" w:hAnsiTheme="minorHAnsi"/>
        </w:rPr>
        <w:fldChar w:fldCharType="end"/>
      </w:r>
      <w:r w:rsidR="00D33D82">
        <w:rPr>
          <w:rFonts w:asciiTheme="minorHAnsi" w:hAnsiTheme="minorHAnsi"/>
        </w:rPr>
        <w:t xml:space="preserve"> </w:t>
      </w:r>
      <w:r w:rsidR="00D33D82">
        <w:rPr>
          <w:rFonts w:asciiTheme="minorHAnsi" w:hAnsiTheme="minorHAnsi"/>
        </w:rPr>
        <w:fldChar w:fldCharType="begin"/>
      </w:r>
      <w:r w:rsidR="00D33D82">
        <w:rPr>
          <w:rFonts w:asciiTheme="minorHAnsi" w:hAnsiTheme="minorHAnsi"/>
        </w:rPr>
        <w:instrText xml:space="preserve"> REF _Ref494892243 \h  \* MERGEFORMAT </w:instrText>
      </w:r>
      <w:r w:rsidR="00D33D82">
        <w:rPr>
          <w:rFonts w:asciiTheme="minorHAnsi" w:hAnsiTheme="minorHAnsi"/>
        </w:rPr>
      </w:r>
      <w:r w:rsidR="00D33D82">
        <w:rPr>
          <w:rFonts w:asciiTheme="minorHAnsi" w:hAnsiTheme="minorHAnsi"/>
        </w:rPr>
        <w:fldChar w:fldCharType="separate"/>
      </w:r>
      <w:r w:rsidR="00D44BCF" w:rsidRPr="00D44BCF">
        <w:rPr>
          <w:rFonts w:asciiTheme="minorHAnsi" w:hAnsiTheme="minorHAnsi"/>
        </w:rPr>
        <w:t>Single sentence or order under State/Territory option applied by Crimes Act s 20AB</w:t>
      </w:r>
      <w:r w:rsidR="00D33D82">
        <w:rPr>
          <w:rFonts w:asciiTheme="minorHAnsi" w:hAnsiTheme="minorHAnsi"/>
        </w:rPr>
        <w:fldChar w:fldCharType="end"/>
      </w:r>
      <w:r w:rsidR="00D33D82">
        <w:rPr>
          <w:rFonts w:asciiTheme="minorHAnsi" w:hAnsiTheme="minorHAnsi"/>
        </w:rPr>
        <w:t>”.</w:t>
      </w:r>
    </w:p>
    <w:p w14:paraId="061D1D51" w14:textId="77777777" w:rsidR="00E057EE" w:rsidRPr="00C00000" w:rsidRDefault="00E057EE" w:rsidP="00E057EE">
      <w:pPr>
        <w:widowControl w:val="0"/>
        <w:spacing w:line="276" w:lineRule="auto"/>
        <w:jc w:val="both"/>
        <w:rPr>
          <w:rFonts w:asciiTheme="minorHAnsi" w:hAnsiTheme="minorHAnsi"/>
          <w:b/>
        </w:rPr>
      </w:pPr>
    </w:p>
    <w:p w14:paraId="6F2C7B80" w14:textId="2995A1CC" w:rsidR="00E057EE" w:rsidRPr="00E9607E" w:rsidRDefault="00E057EE" w:rsidP="006D50C7">
      <w:pPr>
        <w:pStyle w:val="Heading3"/>
      </w:pPr>
      <w:bookmarkStart w:id="1701" w:name="_Toc33602871"/>
      <w:r>
        <w:t>A single order cannot be imposed for a federal</w:t>
      </w:r>
      <w:r w:rsidRPr="00E9607E">
        <w:t xml:space="preserve"> offence</w:t>
      </w:r>
      <w:r>
        <w:t xml:space="preserve"> and a State/Territory offence</w:t>
      </w:r>
      <w:bookmarkEnd w:id="1701"/>
    </w:p>
    <w:p w14:paraId="188AD038" w14:textId="77777777" w:rsidR="00E057EE" w:rsidRPr="00C00000" w:rsidRDefault="00E057EE" w:rsidP="006D50C7">
      <w:pPr>
        <w:pStyle w:val="NormalIndent"/>
        <w:keepNext/>
        <w:spacing w:line="276" w:lineRule="auto"/>
        <w:jc w:val="both"/>
        <w:rPr>
          <w:rFonts w:asciiTheme="minorHAnsi" w:hAnsiTheme="minorHAnsi"/>
        </w:rPr>
      </w:pPr>
    </w:p>
    <w:p w14:paraId="54D4A306" w14:textId="65D3F4E5" w:rsidR="00E057EE" w:rsidRDefault="00E057E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not permissible to impose </w:t>
      </w:r>
      <w:r w:rsidRPr="00C00000">
        <w:rPr>
          <w:rFonts w:asciiTheme="minorHAnsi" w:hAnsiTheme="minorHAnsi"/>
        </w:rPr>
        <w:t>a single aggregate</w:t>
      </w:r>
      <w:r>
        <w:rPr>
          <w:rFonts w:asciiTheme="minorHAnsi" w:hAnsiTheme="minorHAnsi"/>
        </w:rPr>
        <w:t xml:space="preserve"> penalty</w:t>
      </w:r>
      <w:r w:rsidRPr="00C00000">
        <w:rPr>
          <w:rFonts w:asciiTheme="minorHAnsi" w:hAnsiTheme="minorHAnsi"/>
        </w:rPr>
        <w:t xml:space="preserve"> for </w:t>
      </w:r>
      <w:r>
        <w:rPr>
          <w:rFonts w:asciiTheme="minorHAnsi" w:hAnsiTheme="minorHAnsi"/>
        </w:rPr>
        <w:t xml:space="preserve">a </w:t>
      </w:r>
      <w:r w:rsidRPr="00C00000">
        <w:rPr>
          <w:rFonts w:asciiTheme="minorHAnsi" w:hAnsiTheme="minorHAnsi"/>
        </w:rPr>
        <w:t xml:space="preserve">federal </w:t>
      </w:r>
      <w:r>
        <w:rPr>
          <w:rFonts w:asciiTheme="minorHAnsi" w:hAnsiTheme="minorHAnsi"/>
        </w:rPr>
        <w:t xml:space="preserve">offence </w:t>
      </w:r>
      <w:r w:rsidRPr="00C00000">
        <w:rPr>
          <w:rFonts w:asciiTheme="minorHAnsi" w:hAnsiTheme="minorHAnsi"/>
        </w:rPr>
        <w:t xml:space="preserve">and </w:t>
      </w:r>
      <w:r>
        <w:rPr>
          <w:rFonts w:asciiTheme="minorHAnsi" w:hAnsiTheme="minorHAnsi"/>
        </w:rPr>
        <w:t>a S</w:t>
      </w:r>
      <w:r w:rsidRPr="00C00000">
        <w:rPr>
          <w:rFonts w:asciiTheme="minorHAnsi" w:hAnsiTheme="minorHAnsi"/>
        </w:rPr>
        <w:t>tate</w:t>
      </w:r>
      <w:r>
        <w:rPr>
          <w:rFonts w:asciiTheme="minorHAnsi" w:hAnsiTheme="minorHAnsi"/>
        </w:rPr>
        <w:t xml:space="preserve"> or Territory</w:t>
      </w:r>
      <w:r w:rsidRPr="00C00000">
        <w:rPr>
          <w:rFonts w:asciiTheme="minorHAnsi" w:hAnsiTheme="minorHAnsi"/>
        </w:rPr>
        <w:t xml:space="preserve"> offence.</w:t>
      </w:r>
      <w:r w:rsidRPr="00C00000">
        <w:rPr>
          <w:rStyle w:val="Style"/>
          <w:rFonts w:asciiTheme="minorHAnsi" w:hAnsiTheme="minorHAnsi"/>
        </w:rPr>
        <w:footnoteReference w:id="676"/>
      </w:r>
      <w:r>
        <w:rPr>
          <w:rFonts w:asciiTheme="minorHAnsi" w:hAnsiTheme="minorHAnsi"/>
        </w:rPr>
        <w:t xml:space="preserve">  Therefore a court could not impose a single order of a kind applied by s 20AB of the </w:t>
      </w:r>
      <w:r w:rsidR="00885EFD" w:rsidRPr="00885EFD">
        <w:rPr>
          <w:rFonts w:asciiTheme="minorHAnsi" w:hAnsiTheme="minorHAnsi"/>
          <w:i/>
        </w:rPr>
        <w:t>Crimes Act 1914</w:t>
      </w:r>
      <w:r>
        <w:rPr>
          <w:rFonts w:asciiTheme="minorHAnsi" w:hAnsiTheme="minorHAnsi"/>
        </w:rPr>
        <w:t xml:space="preserve"> for both a Commonwealth offence and a State/Territory offence.</w:t>
      </w:r>
    </w:p>
    <w:p w14:paraId="7B627CAF" w14:textId="77777777" w:rsidR="00AD5B3B" w:rsidRPr="00C00000" w:rsidRDefault="00AD5B3B" w:rsidP="007C11C2">
      <w:pPr>
        <w:widowControl w:val="0"/>
        <w:spacing w:line="276" w:lineRule="auto"/>
        <w:ind w:left="567" w:hanging="567"/>
        <w:jc w:val="both"/>
        <w:rPr>
          <w:rFonts w:asciiTheme="minorHAnsi" w:hAnsiTheme="minorHAnsi"/>
        </w:rPr>
      </w:pPr>
    </w:p>
    <w:p w14:paraId="0C56434F" w14:textId="2796A1DB" w:rsidR="00AD5B3B" w:rsidRPr="00E9607E" w:rsidRDefault="00AD5B3B" w:rsidP="006D50C7">
      <w:pPr>
        <w:pStyle w:val="Heading3"/>
      </w:pPr>
      <w:bookmarkStart w:id="1702" w:name="_Toc33602872"/>
      <w:r w:rsidRPr="00E9607E">
        <w:t>Obligation on court</w:t>
      </w:r>
      <w:r w:rsidR="002C208B">
        <w:t xml:space="preserve"> to explain the order</w:t>
      </w:r>
      <w:bookmarkEnd w:id="1702"/>
    </w:p>
    <w:p w14:paraId="6460D961" w14:textId="77777777" w:rsidR="00DE3A71" w:rsidRPr="00C00000" w:rsidRDefault="00DE3A71" w:rsidP="006D50C7">
      <w:pPr>
        <w:pStyle w:val="NormalIndent"/>
        <w:keepNext/>
        <w:spacing w:line="276" w:lineRule="auto"/>
        <w:jc w:val="both"/>
        <w:rPr>
          <w:rFonts w:asciiTheme="minorHAnsi" w:hAnsiTheme="minorHAnsi"/>
        </w:rPr>
      </w:pPr>
    </w:p>
    <w:p w14:paraId="72805A77" w14:textId="38468BEA" w:rsidR="00F774C7" w:rsidRPr="00C00000" w:rsidRDefault="009477CA" w:rsidP="00EB7F1E">
      <w:pPr>
        <w:pStyle w:val="ListParagraph"/>
        <w:numPr>
          <w:ilvl w:val="0"/>
          <w:numId w:val="7"/>
        </w:numPr>
        <w:spacing w:line="276" w:lineRule="auto"/>
        <w:ind w:left="425" w:hanging="425"/>
        <w:contextualSpacing w:val="0"/>
        <w:rPr>
          <w:rFonts w:asciiTheme="minorHAnsi" w:hAnsiTheme="minorHAnsi"/>
          <w:b/>
        </w:rPr>
      </w:pPr>
      <w:bookmarkStart w:id="1703" w:name="_Ref469663145"/>
      <w:r w:rsidRPr="00C00000">
        <w:rPr>
          <w:rFonts w:asciiTheme="minorHAnsi" w:hAnsiTheme="minorHAnsi"/>
        </w:rPr>
        <w:t xml:space="preserve">A court </w:t>
      </w:r>
      <w:r w:rsidR="00AD5B3B" w:rsidRPr="00C00000">
        <w:rPr>
          <w:rFonts w:asciiTheme="minorHAnsi" w:hAnsiTheme="minorHAnsi"/>
        </w:rPr>
        <w:t xml:space="preserve">must </w:t>
      </w:r>
      <w:r w:rsidR="00F774C7" w:rsidRPr="00C00000">
        <w:rPr>
          <w:rFonts w:asciiTheme="minorHAnsi" w:hAnsiTheme="minorHAnsi"/>
        </w:rPr>
        <w:t xml:space="preserve">explain the effect of the order, consequence of </w:t>
      </w:r>
      <w:r w:rsidR="00AD5B3B" w:rsidRPr="00C00000">
        <w:rPr>
          <w:rFonts w:asciiTheme="minorHAnsi" w:hAnsiTheme="minorHAnsi"/>
        </w:rPr>
        <w:t>non-compliance</w:t>
      </w:r>
      <w:r w:rsidR="00F774C7" w:rsidRPr="00C00000">
        <w:rPr>
          <w:rFonts w:asciiTheme="minorHAnsi" w:hAnsiTheme="minorHAnsi"/>
        </w:rPr>
        <w:t xml:space="preserve"> and variation possibility (s 20AB(2)) and give a copy of the order to the offender</w:t>
      </w:r>
      <w:r w:rsidR="00E86D58">
        <w:rPr>
          <w:rFonts w:asciiTheme="minorHAnsi" w:hAnsiTheme="minorHAnsi"/>
        </w:rPr>
        <w:t xml:space="preserve"> (s 20AB(5))</w:t>
      </w:r>
      <w:r w:rsidR="00F774C7" w:rsidRPr="00C00000">
        <w:rPr>
          <w:rFonts w:asciiTheme="minorHAnsi" w:hAnsiTheme="minorHAnsi"/>
        </w:rPr>
        <w:t>.</w:t>
      </w:r>
      <w:bookmarkEnd w:id="1703"/>
    </w:p>
    <w:p w14:paraId="411B8D94" w14:textId="77777777" w:rsidR="00AD5B3B" w:rsidRPr="00C00000" w:rsidRDefault="00AD5B3B" w:rsidP="007C11C2">
      <w:pPr>
        <w:widowControl w:val="0"/>
        <w:spacing w:line="276" w:lineRule="auto"/>
        <w:ind w:left="873"/>
        <w:jc w:val="both"/>
        <w:rPr>
          <w:rFonts w:asciiTheme="minorHAnsi" w:hAnsiTheme="minorHAnsi"/>
        </w:rPr>
      </w:pPr>
    </w:p>
    <w:p w14:paraId="59133477" w14:textId="22E4AB87" w:rsidR="00AD5B3B" w:rsidRPr="00E9607E" w:rsidRDefault="00AD5B3B" w:rsidP="006D50C7">
      <w:pPr>
        <w:pStyle w:val="Heading3"/>
      </w:pPr>
      <w:bookmarkStart w:id="1704" w:name="_Toc33602873"/>
      <w:r w:rsidRPr="00E9607E">
        <w:t xml:space="preserve">Breach </w:t>
      </w:r>
      <w:r w:rsidR="002C208B">
        <w:t>of an order applied by s 20AB</w:t>
      </w:r>
      <w:bookmarkEnd w:id="1704"/>
    </w:p>
    <w:p w14:paraId="50D0A0EE" w14:textId="77777777" w:rsidR="00DE3A71" w:rsidRPr="00C00000" w:rsidRDefault="00DE3A71" w:rsidP="006D50C7">
      <w:pPr>
        <w:pStyle w:val="NormalIndent"/>
        <w:keepNext/>
        <w:spacing w:line="276" w:lineRule="auto"/>
        <w:jc w:val="both"/>
        <w:rPr>
          <w:rFonts w:asciiTheme="minorHAnsi" w:hAnsiTheme="minorHAnsi"/>
        </w:rPr>
      </w:pPr>
    </w:p>
    <w:p w14:paraId="59FA7B39" w14:textId="2C587947" w:rsidR="003B67B0" w:rsidRPr="002E1F57" w:rsidRDefault="00B1324D" w:rsidP="00EB7F1E">
      <w:pPr>
        <w:pStyle w:val="ListParagraph"/>
        <w:numPr>
          <w:ilvl w:val="0"/>
          <w:numId w:val="7"/>
        </w:numPr>
        <w:spacing w:line="276" w:lineRule="auto"/>
        <w:ind w:left="425" w:hanging="425"/>
        <w:contextualSpacing w:val="0"/>
        <w:rPr>
          <w:rFonts w:asciiTheme="minorHAnsi" w:hAnsiTheme="minorHAnsi"/>
          <w:b/>
        </w:rPr>
      </w:pPr>
      <w:bookmarkStart w:id="1705" w:name="_Ref469577120"/>
      <w:r w:rsidRPr="00B1324D">
        <w:rPr>
          <w:rFonts w:asciiTheme="minorHAnsi" w:hAnsiTheme="minorHAnsi"/>
        </w:rPr>
        <w:t>Where an offender fails to comply with a</w:t>
      </w:r>
      <w:r w:rsidR="009466C2">
        <w:rPr>
          <w:rFonts w:asciiTheme="minorHAnsi" w:hAnsiTheme="minorHAnsi"/>
        </w:rPr>
        <w:t>n order applied by s 20AB</w:t>
      </w:r>
      <w:r w:rsidRPr="00B1324D">
        <w:rPr>
          <w:rFonts w:asciiTheme="minorHAnsi" w:hAnsiTheme="minorHAnsi"/>
        </w:rPr>
        <w:t>, s 20AC sets out the consequences.</w:t>
      </w:r>
      <w:r>
        <w:rPr>
          <w:rFonts w:asciiTheme="minorHAnsi" w:hAnsiTheme="minorHAnsi"/>
        </w:rPr>
        <w:t xml:space="preserve">  </w:t>
      </w:r>
      <w:r w:rsidR="00F774C7" w:rsidRPr="00B1324D">
        <w:rPr>
          <w:rFonts w:asciiTheme="minorHAnsi" w:hAnsiTheme="minorHAnsi"/>
        </w:rPr>
        <w:t>Breach action is initiated by summons or information and warrant</w:t>
      </w:r>
      <w:r w:rsidR="003B67B0">
        <w:rPr>
          <w:rFonts w:asciiTheme="minorHAnsi" w:hAnsiTheme="minorHAnsi"/>
        </w:rPr>
        <w:t xml:space="preserve"> (s 20AC(2)), to compel the attendance of the person before the court which passed the sentence or made the order under s 20AB. </w:t>
      </w:r>
      <w:r w:rsidR="00F774C7" w:rsidRPr="00B1324D">
        <w:rPr>
          <w:rFonts w:asciiTheme="minorHAnsi" w:hAnsiTheme="minorHAnsi"/>
        </w:rPr>
        <w:t xml:space="preserve"> </w:t>
      </w:r>
      <w:r w:rsidR="003B67B0">
        <w:rPr>
          <w:rFonts w:asciiTheme="minorHAnsi" w:hAnsiTheme="minorHAnsi"/>
        </w:rPr>
        <w:t xml:space="preserve">A summons or warrant </w:t>
      </w:r>
      <w:r w:rsidR="00F774C7" w:rsidRPr="00B1324D">
        <w:rPr>
          <w:rFonts w:asciiTheme="minorHAnsi" w:hAnsiTheme="minorHAnsi"/>
        </w:rPr>
        <w:t xml:space="preserve">can only be issued by a </w:t>
      </w:r>
      <w:r w:rsidR="003B67B0" w:rsidRPr="00B1324D">
        <w:rPr>
          <w:rFonts w:asciiTheme="minorHAnsi" w:hAnsiTheme="minorHAnsi"/>
        </w:rPr>
        <w:t>magistrate</w:t>
      </w:r>
      <w:r w:rsidR="00F774C7" w:rsidRPr="00B1324D">
        <w:rPr>
          <w:rFonts w:asciiTheme="minorHAnsi" w:hAnsiTheme="minorHAnsi"/>
        </w:rPr>
        <w:t>.</w:t>
      </w:r>
    </w:p>
    <w:p w14:paraId="3149F240" w14:textId="77777777" w:rsidR="003B67B0" w:rsidRPr="003B67B0" w:rsidRDefault="003B67B0" w:rsidP="003B67B0">
      <w:pPr>
        <w:widowControl w:val="0"/>
        <w:spacing w:line="276" w:lineRule="auto"/>
        <w:jc w:val="both"/>
        <w:rPr>
          <w:rFonts w:asciiTheme="minorHAnsi" w:hAnsiTheme="minorHAnsi"/>
          <w:b/>
        </w:rPr>
      </w:pPr>
    </w:p>
    <w:p w14:paraId="6EBAB348" w14:textId="3504DD8A" w:rsidR="00F774C7" w:rsidRPr="00B1324D" w:rsidRDefault="003B67B0" w:rsidP="00EB7F1E">
      <w:pPr>
        <w:pStyle w:val="ListParagraph"/>
        <w:numPr>
          <w:ilvl w:val="0"/>
          <w:numId w:val="7"/>
        </w:numPr>
        <w:spacing w:line="276" w:lineRule="auto"/>
        <w:ind w:left="425" w:hanging="425"/>
        <w:contextualSpacing w:val="0"/>
        <w:rPr>
          <w:rFonts w:asciiTheme="minorHAnsi" w:hAnsiTheme="minorHAnsi"/>
          <w:b/>
        </w:rPr>
      </w:pPr>
      <w:r>
        <w:rPr>
          <w:rFonts w:asciiTheme="minorHAnsi" w:hAnsiTheme="minorHAnsi"/>
        </w:rPr>
        <w:t xml:space="preserve">If </w:t>
      </w:r>
      <w:r w:rsidR="00B1324D">
        <w:rPr>
          <w:rFonts w:asciiTheme="minorHAnsi" w:hAnsiTheme="minorHAnsi"/>
        </w:rPr>
        <w:t xml:space="preserve">the court </w:t>
      </w:r>
      <w:r>
        <w:rPr>
          <w:rFonts w:asciiTheme="minorHAnsi" w:hAnsiTheme="minorHAnsi"/>
        </w:rPr>
        <w:t>is</w:t>
      </w:r>
      <w:r w:rsidR="00B1324D">
        <w:rPr>
          <w:rFonts w:asciiTheme="minorHAnsi" w:hAnsiTheme="minorHAnsi"/>
        </w:rPr>
        <w:t xml:space="preserve"> satisfied </w:t>
      </w:r>
      <w:r>
        <w:rPr>
          <w:rFonts w:asciiTheme="minorHAnsi" w:hAnsiTheme="minorHAnsi"/>
        </w:rPr>
        <w:t>that t</w:t>
      </w:r>
      <w:r w:rsidRPr="003B67B0">
        <w:rPr>
          <w:rFonts w:asciiTheme="minorHAnsi" w:hAnsiTheme="minorHAnsi"/>
        </w:rPr>
        <w:t>he person has, without reasonable cause or excuse, failed to comply with the sentence or order or with any requirements made in relation to the sentence or order by or under the applied provisions</w:t>
      </w:r>
      <w:r w:rsidRPr="00051102">
        <w:rPr>
          <w:rStyle w:val="verdana"/>
          <w:rFonts w:ascii="Calibri" w:hAnsi="Calibri"/>
        </w:rPr>
        <w:t xml:space="preserve">, </w:t>
      </w:r>
      <w:r w:rsidRPr="003B67B0">
        <w:rPr>
          <w:rFonts w:asciiTheme="minorHAnsi" w:hAnsiTheme="minorHAnsi"/>
        </w:rPr>
        <w:t>it may</w:t>
      </w:r>
      <w:r>
        <w:rPr>
          <w:rFonts w:asciiTheme="minorHAnsi" w:hAnsiTheme="minorHAnsi"/>
        </w:rPr>
        <w:t xml:space="preserve"> (pursuant to </w:t>
      </w:r>
      <w:r w:rsidR="000416DE" w:rsidRPr="00B1324D">
        <w:rPr>
          <w:rFonts w:asciiTheme="minorHAnsi" w:hAnsiTheme="minorHAnsi"/>
        </w:rPr>
        <w:t>s 20AC(6)</w:t>
      </w:r>
      <w:r>
        <w:rPr>
          <w:rFonts w:asciiTheme="minorHAnsi" w:hAnsiTheme="minorHAnsi"/>
        </w:rPr>
        <w:t>)</w:t>
      </w:r>
      <w:r w:rsidR="00F774C7" w:rsidRPr="00B1324D">
        <w:rPr>
          <w:rFonts w:asciiTheme="minorHAnsi" w:hAnsiTheme="minorHAnsi"/>
        </w:rPr>
        <w:t>:</w:t>
      </w:r>
      <w:bookmarkEnd w:id="1705"/>
    </w:p>
    <w:p w14:paraId="4F22209D" w14:textId="77777777" w:rsidR="00F774C7" w:rsidRPr="00C00000" w:rsidRDefault="00F774C7"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impose a pecunia</w:t>
      </w:r>
      <w:r w:rsidR="000416DE" w:rsidRPr="00C00000">
        <w:rPr>
          <w:rFonts w:asciiTheme="minorHAnsi" w:hAnsiTheme="minorHAnsi"/>
        </w:rPr>
        <w:t>ry penalty not exceeding 10 penalty units</w:t>
      </w:r>
      <w:r w:rsidR="006B7866" w:rsidRPr="00C00000">
        <w:rPr>
          <w:rFonts w:asciiTheme="minorHAnsi" w:hAnsiTheme="minorHAnsi"/>
        </w:rPr>
        <w:t>;</w:t>
      </w:r>
      <w:r w:rsidR="000416DE" w:rsidRPr="00C00000">
        <w:rPr>
          <w:rStyle w:val="Style"/>
          <w:rFonts w:asciiTheme="minorHAnsi" w:hAnsiTheme="minorHAnsi"/>
        </w:rPr>
        <w:footnoteReference w:id="677"/>
      </w:r>
    </w:p>
    <w:p w14:paraId="6B4A0165" w14:textId="78F2FCE6" w:rsidR="00F774C7" w:rsidRPr="00C00000" w:rsidRDefault="00F774C7"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revoke the </w:t>
      </w:r>
      <w:r w:rsidR="008F5D26" w:rsidRPr="00C00000">
        <w:rPr>
          <w:rFonts w:asciiTheme="minorHAnsi" w:hAnsiTheme="minorHAnsi"/>
        </w:rPr>
        <w:t>original o</w:t>
      </w:r>
      <w:r w:rsidRPr="00C00000">
        <w:rPr>
          <w:rFonts w:asciiTheme="minorHAnsi" w:hAnsiTheme="minorHAnsi"/>
        </w:rPr>
        <w:t>rder and re-sentence</w:t>
      </w:r>
      <w:r w:rsidR="002E1F57">
        <w:rPr>
          <w:rFonts w:asciiTheme="minorHAnsi" w:hAnsiTheme="minorHAnsi"/>
        </w:rPr>
        <w:t xml:space="preserve"> the offender</w:t>
      </w:r>
      <w:r w:rsidRPr="00C00000">
        <w:rPr>
          <w:rFonts w:asciiTheme="minorHAnsi" w:hAnsiTheme="minorHAnsi"/>
        </w:rPr>
        <w:t>; or</w:t>
      </w:r>
    </w:p>
    <w:p w14:paraId="11248225" w14:textId="77777777" w:rsidR="00F774C7" w:rsidRPr="00C00000" w:rsidRDefault="00F774C7"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take no action.</w:t>
      </w:r>
    </w:p>
    <w:p w14:paraId="40A1820F" w14:textId="77777777" w:rsidR="00FF51A5" w:rsidRPr="00C00000" w:rsidRDefault="00FF51A5" w:rsidP="007C11C2">
      <w:pPr>
        <w:pStyle w:val="ListParagraph"/>
        <w:tabs>
          <w:tab w:val="left" w:pos="709"/>
          <w:tab w:val="left" w:pos="993"/>
          <w:tab w:val="left" w:pos="1276"/>
        </w:tabs>
        <w:spacing w:line="276" w:lineRule="auto"/>
        <w:ind w:left="1506" w:right="-1"/>
        <w:rPr>
          <w:rFonts w:asciiTheme="minorHAnsi" w:hAnsiTheme="minorHAnsi"/>
        </w:rPr>
      </w:pPr>
    </w:p>
    <w:p w14:paraId="67A3AF0F" w14:textId="40AA6C09" w:rsidR="002E1F57" w:rsidRDefault="002E1F57" w:rsidP="00EB7F1E">
      <w:pPr>
        <w:pStyle w:val="ListParagraph"/>
        <w:numPr>
          <w:ilvl w:val="0"/>
          <w:numId w:val="7"/>
        </w:numPr>
        <w:spacing w:line="276" w:lineRule="auto"/>
        <w:ind w:left="425" w:hanging="425"/>
        <w:contextualSpacing w:val="0"/>
        <w:rPr>
          <w:rFonts w:asciiTheme="minorHAnsi" w:hAnsiTheme="minorHAnsi"/>
        </w:rPr>
      </w:pPr>
      <w:r w:rsidRPr="002E1F57">
        <w:rPr>
          <w:rFonts w:asciiTheme="minorHAnsi" w:hAnsiTheme="minorHAnsi"/>
        </w:rPr>
        <w:t xml:space="preserve">The provisions in s 20AC operate to the exclusion of any provisions of State or Territory law relating to a breach of the applied order. </w:t>
      </w:r>
      <w:r w:rsidR="00195DEF">
        <w:rPr>
          <w:rFonts w:asciiTheme="minorHAnsi" w:hAnsiTheme="minorHAnsi"/>
        </w:rPr>
        <w:t xml:space="preserve"> So, for example, State provisions which allow a parole authority to cancel periodic detention and have the offender taken back into custody</w:t>
      </w:r>
      <w:r w:rsidR="00225724">
        <w:rPr>
          <w:rFonts w:asciiTheme="minorHAnsi" w:hAnsiTheme="minorHAnsi"/>
        </w:rPr>
        <w:t xml:space="preserve"> </w:t>
      </w:r>
      <w:r w:rsidR="00D96932">
        <w:rPr>
          <w:rFonts w:asciiTheme="minorHAnsi" w:hAnsiTheme="minorHAnsi"/>
        </w:rPr>
        <w:t>do not apply.</w:t>
      </w:r>
      <w:r w:rsidR="00D96932" w:rsidRPr="00C00000">
        <w:rPr>
          <w:rStyle w:val="Style"/>
          <w:rFonts w:asciiTheme="minorHAnsi" w:hAnsiTheme="minorHAnsi"/>
        </w:rPr>
        <w:footnoteReference w:id="678"/>
      </w:r>
      <w:r w:rsidR="00FC6145">
        <w:rPr>
          <w:rFonts w:asciiTheme="minorHAnsi" w:hAnsiTheme="minorHAnsi"/>
        </w:rPr>
        <w:t xml:space="preserve">  Underlying s 20AC is </w:t>
      </w:r>
      <w:r w:rsidR="00772A5F">
        <w:rPr>
          <w:rFonts w:asciiTheme="minorHAnsi" w:hAnsiTheme="minorHAnsi"/>
        </w:rPr>
        <w:t>the constitutional requirement that the federal judicial power can only be exercised by a court; to have permitted an administrative body to revoke or vary an order might have infringed this requirement.</w:t>
      </w:r>
      <w:r w:rsidR="00772A5F" w:rsidRPr="00C00000">
        <w:rPr>
          <w:rStyle w:val="Style"/>
          <w:rFonts w:asciiTheme="minorHAnsi" w:hAnsiTheme="minorHAnsi"/>
        </w:rPr>
        <w:footnoteReference w:id="679"/>
      </w:r>
    </w:p>
    <w:p w14:paraId="1AC9C45A" w14:textId="77777777" w:rsidR="00521C5E" w:rsidRDefault="00521C5E" w:rsidP="00521C5E">
      <w:pPr>
        <w:widowControl w:val="0"/>
        <w:spacing w:line="276" w:lineRule="auto"/>
        <w:jc w:val="both"/>
        <w:rPr>
          <w:rFonts w:asciiTheme="minorHAnsi" w:hAnsiTheme="minorHAnsi"/>
        </w:rPr>
      </w:pPr>
    </w:p>
    <w:p w14:paraId="32A8D7CF" w14:textId="699A1165" w:rsidR="00521C5E" w:rsidRDefault="00521C5E" w:rsidP="00EB7F1E">
      <w:pPr>
        <w:pStyle w:val="ListParagraph"/>
        <w:numPr>
          <w:ilvl w:val="0"/>
          <w:numId w:val="7"/>
        </w:numPr>
        <w:spacing w:line="276" w:lineRule="auto"/>
        <w:ind w:left="425" w:hanging="425"/>
        <w:contextualSpacing w:val="0"/>
        <w:rPr>
          <w:rFonts w:asciiTheme="minorHAnsi" w:hAnsiTheme="minorHAnsi"/>
        </w:rPr>
      </w:pPr>
      <w:r w:rsidRPr="00842070">
        <w:rPr>
          <w:rFonts w:asciiTheme="minorHAnsi" w:hAnsiTheme="minorHAnsi"/>
        </w:rPr>
        <w:t xml:space="preserve">A court is not precluded from passing a sentence, or making an order, under s 20AB(1) only because the court is empowered </w:t>
      </w:r>
      <w:r w:rsidR="00842070" w:rsidRPr="00842070">
        <w:rPr>
          <w:rFonts w:asciiTheme="minorHAnsi" w:hAnsiTheme="minorHAnsi"/>
        </w:rPr>
        <w:t>under s 20AC</w:t>
      </w:r>
      <w:r w:rsidRPr="00842070">
        <w:rPr>
          <w:rFonts w:asciiTheme="minorHAnsi" w:hAnsiTheme="minorHAnsi"/>
        </w:rPr>
        <w:t xml:space="preserve"> to take action </w:t>
      </w:r>
      <w:r w:rsidR="00842070" w:rsidRPr="00842070">
        <w:rPr>
          <w:rFonts w:asciiTheme="minorHAnsi" w:hAnsiTheme="minorHAnsi"/>
        </w:rPr>
        <w:t xml:space="preserve">on failure to comply </w:t>
      </w:r>
      <w:r w:rsidRPr="00842070">
        <w:rPr>
          <w:rFonts w:asciiTheme="minorHAnsi" w:hAnsiTheme="minorHAnsi"/>
        </w:rPr>
        <w:t>that is, or may be, inconsistent with action that</w:t>
      </w:r>
      <w:r w:rsidR="00842070" w:rsidRPr="00842070">
        <w:rPr>
          <w:rFonts w:asciiTheme="minorHAnsi" w:hAnsiTheme="minorHAnsi"/>
        </w:rPr>
        <w:t xml:space="preserve"> the State or Territory </w:t>
      </w:r>
      <w:r w:rsidRPr="00842070">
        <w:rPr>
          <w:rFonts w:asciiTheme="minorHAnsi" w:hAnsiTheme="minorHAnsi"/>
        </w:rPr>
        <w:t xml:space="preserve">court </w:t>
      </w:r>
      <w:r w:rsidR="00842070" w:rsidRPr="00842070">
        <w:rPr>
          <w:rFonts w:asciiTheme="minorHAnsi" w:hAnsiTheme="minorHAnsi"/>
        </w:rPr>
        <w:t>may</w:t>
      </w:r>
      <w:r w:rsidRPr="00842070">
        <w:rPr>
          <w:rFonts w:asciiTheme="minorHAnsi" w:hAnsiTheme="minorHAnsi"/>
        </w:rPr>
        <w:t xml:space="preserve"> take for such a failure by a State or Territory offender</w:t>
      </w:r>
      <w:r w:rsidR="00842070">
        <w:rPr>
          <w:rFonts w:asciiTheme="minorHAnsi" w:hAnsiTheme="minorHAnsi"/>
        </w:rPr>
        <w:t>: s 20AB(1B)</w:t>
      </w:r>
      <w:r w:rsidRPr="00842070">
        <w:rPr>
          <w:rFonts w:asciiTheme="minorHAnsi" w:hAnsiTheme="minorHAnsi"/>
        </w:rPr>
        <w:t>.</w:t>
      </w:r>
      <w:r w:rsidR="00E82387" w:rsidRPr="00C00000">
        <w:rPr>
          <w:rStyle w:val="Style"/>
          <w:rFonts w:asciiTheme="minorHAnsi" w:hAnsiTheme="minorHAnsi"/>
        </w:rPr>
        <w:footnoteReference w:id="680"/>
      </w:r>
    </w:p>
    <w:p w14:paraId="08341AE3" w14:textId="1B8A814A" w:rsidR="001A6C72" w:rsidRDefault="001A6C72" w:rsidP="001A6C72">
      <w:pPr>
        <w:pStyle w:val="ListParagraph"/>
        <w:rPr>
          <w:rFonts w:asciiTheme="minorHAnsi" w:hAnsiTheme="minorHAnsi"/>
        </w:rPr>
      </w:pPr>
    </w:p>
    <w:p w14:paraId="2B8EAF61" w14:textId="64B878FD" w:rsidR="00A51FE1" w:rsidRPr="00EB7F1E" w:rsidRDefault="00A51FE1" w:rsidP="00EB7F1E">
      <w:pPr>
        <w:pStyle w:val="Heading3"/>
      </w:pPr>
      <w:bookmarkStart w:id="1706" w:name="_Toc33602874"/>
      <w:r>
        <w:t>Issues relating to orders applied by s 20AB</w:t>
      </w:r>
      <w:r w:rsidR="000D0B3A">
        <w:t xml:space="preserve"> specific to a particular State or Territory</w:t>
      </w:r>
      <w:bookmarkEnd w:id="1706"/>
    </w:p>
    <w:p w14:paraId="48BBADBD" w14:textId="51CED0EB" w:rsidR="00A51FE1" w:rsidRDefault="00A51FE1" w:rsidP="000D0B3A">
      <w:pPr>
        <w:pStyle w:val="NormalIndent"/>
        <w:keepNext/>
        <w:spacing w:line="276" w:lineRule="auto"/>
        <w:jc w:val="both"/>
        <w:rPr>
          <w:rFonts w:asciiTheme="minorHAnsi" w:hAnsiTheme="minorHAnsi"/>
        </w:rPr>
      </w:pPr>
    </w:p>
    <w:p w14:paraId="0631AA0E" w14:textId="369E9DEB" w:rsidR="000D0B3A" w:rsidRDefault="000D0B3A" w:rsidP="000D0B3A">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Issues relating to orders applied by s 20AB which are specific to a particular State or Territory are discussed in Appendix 4 to this guide.</w:t>
      </w:r>
    </w:p>
    <w:p w14:paraId="7E1D07ED" w14:textId="77777777" w:rsidR="000D0B3A" w:rsidRPr="00EB7F1E" w:rsidRDefault="000D0B3A" w:rsidP="00EB7F1E">
      <w:pPr>
        <w:spacing w:line="276" w:lineRule="auto"/>
        <w:rPr>
          <w:rFonts w:asciiTheme="minorHAnsi" w:hAnsiTheme="minorHAnsi"/>
        </w:rPr>
      </w:pPr>
    </w:p>
    <w:p w14:paraId="3E78F20F" w14:textId="1DD15B97" w:rsidR="001A6C72" w:rsidRDefault="001A6C72">
      <w:pPr>
        <w:rPr>
          <w:rFonts w:asciiTheme="minorHAnsi" w:hAnsiTheme="minorHAnsi"/>
        </w:rPr>
      </w:pPr>
      <w:r>
        <w:rPr>
          <w:rFonts w:asciiTheme="minorHAnsi" w:hAnsiTheme="minorHAnsi"/>
        </w:rPr>
        <w:br w:type="page"/>
      </w:r>
    </w:p>
    <w:p w14:paraId="03B3661C" w14:textId="77777777" w:rsidR="00B1324D" w:rsidRPr="00C00000" w:rsidRDefault="00B1324D" w:rsidP="007C11C2">
      <w:pPr>
        <w:pStyle w:val="ListParagraph"/>
        <w:tabs>
          <w:tab w:val="left" w:pos="709"/>
          <w:tab w:val="left" w:pos="993"/>
          <w:tab w:val="left" w:pos="1276"/>
        </w:tabs>
        <w:spacing w:line="276" w:lineRule="auto"/>
        <w:ind w:left="1506" w:right="-1"/>
        <w:rPr>
          <w:rFonts w:asciiTheme="minorHAnsi" w:hAnsiTheme="minorHAnsi"/>
        </w:rPr>
      </w:pPr>
    </w:p>
    <w:p w14:paraId="26C5730C" w14:textId="4FE96597" w:rsidR="008E5DEA" w:rsidRPr="00CB713A" w:rsidRDefault="00677999" w:rsidP="00B92247">
      <w:pPr>
        <w:pStyle w:val="Heading2"/>
      </w:pPr>
      <w:bookmarkStart w:id="1707" w:name="_Toc33602875"/>
      <w:r w:rsidRPr="00CB713A">
        <w:t>Imprisonment</w:t>
      </w:r>
      <w:r w:rsidR="0041054F" w:rsidRPr="00CB713A">
        <w:t>: head sentence</w:t>
      </w:r>
      <w:bookmarkEnd w:id="1707"/>
    </w:p>
    <w:p w14:paraId="7FDB68ED" w14:textId="6C569B87" w:rsidR="00677999" w:rsidRDefault="00677999" w:rsidP="00B92247">
      <w:pPr>
        <w:keepNext/>
        <w:tabs>
          <w:tab w:val="left" w:pos="709"/>
          <w:tab w:val="left" w:pos="993"/>
          <w:tab w:val="left" w:pos="1276"/>
        </w:tabs>
        <w:spacing w:line="276" w:lineRule="auto"/>
        <w:ind w:left="153" w:right="-1"/>
        <w:rPr>
          <w:rFonts w:asciiTheme="minorHAnsi" w:hAnsiTheme="minorHAnsi"/>
        </w:rPr>
      </w:pPr>
    </w:p>
    <w:p w14:paraId="51997890" w14:textId="56450B94" w:rsidR="00B92247" w:rsidRPr="00B92247" w:rsidRDefault="00B92247" w:rsidP="00B92247">
      <w:pPr>
        <w:pStyle w:val="Heading3"/>
      </w:pPr>
      <w:bookmarkStart w:id="1708" w:name="_Toc33602876"/>
      <w:r>
        <w:t xml:space="preserve">Imprisonment available only if </w:t>
      </w:r>
      <w:r w:rsidR="00A84447">
        <w:t>applicable to</w:t>
      </w:r>
      <w:r>
        <w:t xml:space="preserve"> the offence</w:t>
      </w:r>
      <w:bookmarkEnd w:id="1708"/>
    </w:p>
    <w:p w14:paraId="02655D38" w14:textId="2AE47053" w:rsidR="00B92247" w:rsidRDefault="00B92247" w:rsidP="00B92247">
      <w:pPr>
        <w:keepNext/>
        <w:tabs>
          <w:tab w:val="left" w:pos="709"/>
          <w:tab w:val="left" w:pos="993"/>
          <w:tab w:val="left" w:pos="1276"/>
        </w:tabs>
        <w:spacing w:line="276" w:lineRule="auto"/>
        <w:ind w:left="153" w:right="-1"/>
        <w:rPr>
          <w:rFonts w:asciiTheme="minorHAnsi" w:hAnsiTheme="minorHAnsi"/>
        </w:rPr>
      </w:pPr>
    </w:p>
    <w:p w14:paraId="18B5E145" w14:textId="3D246D6F" w:rsidR="00B92247" w:rsidRDefault="00B9224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An offender may only be sentenced to a term of imprisonment if the offence is punishable by imprisonment.</w:t>
      </w:r>
      <w:r w:rsidR="00E27591">
        <w:rPr>
          <w:rFonts w:asciiTheme="minorHAnsi" w:hAnsiTheme="minorHAnsi"/>
        </w:rPr>
        <w:t xml:space="preserve">  (See “</w:t>
      </w:r>
      <w:r w:rsidR="00E27591">
        <w:rPr>
          <w:rFonts w:asciiTheme="minorHAnsi" w:hAnsiTheme="minorHAnsi"/>
        </w:rPr>
        <w:fldChar w:fldCharType="begin"/>
      </w:r>
      <w:r w:rsidR="00E27591">
        <w:rPr>
          <w:rFonts w:asciiTheme="minorHAnsi" w:hAnsiTheme="minorHAnsi"/>
        </w:rPr>
        <w:instrText xml:space="preserve"> REF _Ref8050204 \r \h </w:instrText>
      </w:r>
      <w:r w:rsidR="00E27591">
        <w:rPr>
          <w:rFonts w:asciiTheme="minorHAnsi" w:hAnsiTheme="minorHAnsi"/>
        </w:rPr>
      </w:r>
      <w:r w:rsidR="00E27591">
        <w:rPr>
          <w:rFonts w:asciiTheme="minorHAnsi" w:hAnsiTheme="minorHAnsi"/>
        </w:rPr>
        <w:fldChar w:fldCharType="separate"/>
      </w:r>
      <w:r w:rsidR="00D44BCF">
        <w:rPr>
          <w:rFonts w:asciiTheme="minorHAnsi" w:hAnsiTheme="minorHAnsi"/>
        </w:rPr>
        <w:t>2.8</w:t>
      </w:r>
      <w:r w:rsidR="00E27591">
        <w:rPr>
          <w:rFonts w:asciiTheme="minorHAnsi" w:hAnsiTheme="minorHAnsi"/>
        </w:rPr>
        <w:fldChar w:fldCharType="end"/>
      </w:r>
      <w:r w:rsidR="00E27591">
        <w:rPr>
          <w:rFonts w:asciiTheme="minorHAnsi" w:hAnsiTheme="minorHAnsi"/>
        </w:rPr>
        <w:t xml:space="preserve"> </w:t>
      </w:r>
      <w:r w:rsidR="00E27591">
        <w:rPr>
          <w:rFonts w:asciiTheme="minorHAnsi" w:hAnsiTheme="minorHAnsi"/>
        </w:rPr>
        <w:fldChar w:fldCharType="begin"/>
      </w:r>
      <w:r w:rsidR="00E27591">
        <w:rPr>
          <w:rFonts w:asciiTheme="minorHAnsi" w:hAnsiTheme="minorHAnsi"/>
        </w:rPr>
        <w:instrText xml:space="preserve"> REF _Ref8050207 \h  \* MERGEFORMAT </w:instrText>
      </w:r>
      <w:r w:rsidR="00E27591">
        <w:rPr>
          <w:rFonts w:asciiTheme="minorHAnsi" w:hAnsiTheme="minorHAnsi"/>
        </w:rPr>
      </w:r>
      <w:r w:rsidR="00E27591">
        <w:rPr>
          <w:rFonts w:asciiTheme="minorHAnsi" w:hAnsiTheme="minorHAnsi"/>
        </w:rPr>
        <w:fldChar w:fldCharType="separate"/>
      </w:r>
      <w:r w:rsidR="00D44BCF" w:rsidRPr="00D44BCF">
        <w:rPr>
          <w:rFonts w:asciiTheme="minorHAnsi" w:hAnsiTheme="minorHAnsi"/>
        </w:rPr>
        <w:t>Maximum penalties for Commonwealth offences</w:t>
      </w:r>
      <w:r w:rsidR="00E27591">
        <w:rPr>
          <w:rFonts w:asciiTheme="minorHAnsi" w:hAnsiTheme="minorHAnsi"/>
        </w:rPr>
        <w:fldChar w:fldCharType="end"/>
      </w:r>
      <w:r w:rsidR="00E27591">
        <w:rPr>
          <w:rFonts w:asciiTheme="minorHAnsi" w:hAnsiTheme="minorHAnsi"/>
        </w:rPr>
        <w:t xml:space="preserve">”.)  The authority to impose a sentence of imprisonment comes from the statutory prescription that the offence is punishable by imprisonment, not from any provision in Part 1B of the </w:t>
      </w:r>
      <w:r w:rsidR="00E27591" w:rsidRPr="00EB7F1E">
        <w:rPr>
          <w:rFonts w:asciiTheme="minorHAnsi" w:hAnsiTheme="minorHAnsi"/>
          <w:i/>
        </w:rPr>
        <w:t>Crimes Act 1914</w:t>
      </w:r>
      <w:r w:rsidR="00E27591">
        <w:rPr>
          <w:rFonts w:asciiTheme="minorHAnsi" w:hAnsiTheme="minorHAnsi"/>
        </w:rPr>
        <w:t>.</w:t>
      </w:r>
      <w:r w:rsidR="00E27591" w:rsidRPr="00C00000">
        <w:rPr>
          <w:rStyle w:val="Style"/>
          <w:rFonts w:asciiTheme="minorHAnsi" w:hAnsiTheme="minorHAnsi"/>
        </w:rPr>
        <w:footnoteReference w:id="681"/>
      </w:r>
    </w:p>
    <w:p w14:paraId="52A531D9" w14:textId="77777777" w:rsidR="00012A28" w:rsidRDefault="00012A28" w:rsidP="00012A28">
      <w:pPr>
        <w:widowControl w:val="0"/>
        <w:spacing w:line="276" w:lineRule="auto"/>
        <w:jc w:val="both"/>
        <w:rPr>
          <w:rFonts w:asciiTheme="minorHAnsi" w:hAnsiTheme="minorHAnsi"/>
        </w:rPr>
      </w:pPr>
    </w:p>
    <w:p w14:paraId="601D46E9" w14:textId="0E887EB7" w:rsidR="00012A28" w:rsidRDefault="00012A2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Some offences are only punishable by imprisonment in certain circumstances: for example, for a repeat offence.  If such a condition applies, the court must be satisfied beyond reasonable doubt that that it is met before it may impose such a sentence.</w:t>
      </w:r>
    </w:p>
    <w:p w14:paraId="248BE374" w14:textId="77777777" w:rsidR="00B92247" w:rsidRPr="00C00000" w:rsidRDefault="00B92247" w:rsidP="00012A28">
      <w:pPr>
        <w:widowControl w:val="0"/>
        <w:spacing w:line="276" w:lineRule="auto"/>
        <w:jc w:val="both"/>
        <w:rPr>
          <w:rFonts w:asciiTheme="minorHAnsi" w:hAnsiTheme="minorHAnsi"/>
        </w:rPr>
      </w:pPr>
    </w:p>
    <w:p w14:paraId="1F553693" w14:textId="40DB8607" w:rsidR="00D12249" w:rsidRPr="00E9607E" w:rsidRDefault="009004F1" w:rsidP="00B92247">
      <w:pPr>
        <w:pStyle w:val="Heading3"/>
      </w:pPr>
      <w:bookmarkStart w:id="1709" w:name="_Toc33602877"/>
      <w:r>
        <w:t>Imprisonment as a sentence of l</w:t>
      </w:r>
      <w:r w:rsidR="009477CA" w:rsidRPr="00E9607E">
        <w:t>ast resort –</w:t>
      </w:r>
      <w:r w:rsidR="00D0085F">
        <w:t xml:space="preserve"> </w:t>
      </w:r>
      <w:r w:rsidR="00885EFD" w:rsidRPr="00885EFD">
        <w:rPr>
          <w:i/>
        </w:rPr>
        <w:t>Crimes Act 1914</w:t>
      </w:r>
      <w:r w:rsidR="00DA5BD4">
        <w:t>,</w:t>
      </w:r>
      <w:r w:rsidR="00DA5BD4" w:rsidRPr="00DA5BD4">
        <w:t xml:space="preserve"> </w:t>
      </w:r>
      <w:r w:rsidR="00DA5BD4" w:rsidRPr="00E9607E">
        <w:t>s 17A</w:t>
      </w:r>
      <w:bookmarkEnd w:id="1709"/>
    </w:p>
    <w:p w14:paraId="29E7275B" w14:textId="77777777" w:rsidR="00B92247" w:rsidRDefault="00B92247" w:rsidP="00B92247">
      <w:pPr>
        <w:keepNext/>
        <w:widowControl w:val="0"/>
        <w:spacing w:line="276" w:lineRule="auto"/>
        <w:jc w:val="both"/>
        <w:rPr>
          <w:rFonts w:asciiTheme="minorHAnsi" w:hAnsiTheme="minorHAnsi"/>
        </w:rPr>
      </w:pPr>
      <w:bookmarkStart w:id="1710" w:name="_Ref469663165"/>
    </w:p>
    <w:p w14:paraId="6E4956E6" w14:textId="5F637506" w:rsidR="00F925C5" w:rsidRDefault="00F60CE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17A(1) of the </w:t>
      </w:r>
      <w:r w:rsidR="00885EFD" w:rsidRPr="00885EFD">
        <w:rPr>
          <w:rFonts w:asciiTheme="minorHAnsi" w:hAnsiTheme="minorHAnsi"/>
          <w:i/>
        </w:rPr>
        <w:t>Crimes Act 1914</w:t>
      </w:r>
      <w:r>
        <w:rPr>
          <w:rFonts w:asciiTheme="minorHAnsi" w:hAnsiTheme="minorHAnsi"/>
        </w:rPr>
        <w:t xml:space="preserve"> (Cth) provides</w:t>
      </w:r>
      <w:r w:rsidR="00F925C5">
        <w:rPr>
          <w:rFonts w:asciiTheme="minorHAnsi" w:hAnsiTheme="minorHAnsi"/>
        </w:rPr>
        <w:t>,</w:t>
      </w:r>
      <w:r>
        <w:rPr>
          <w:rFonts w:asciiTheme="minorHAnsi" w:hAnsiTheme="minorHAnsi"/>
        </w:rPr>
        <w:t xml:space="preserve"> </w:t>
      </w:r>
    </w:p>
    <w:p w14:paraId="6ECFC6E7" w14:textId="77777777" w:rsidR="00F925C5" w:rsidRPr="00F925C5" w:rsidRDefault="00F925C5" w:rsidP="00F925C5">
      <w:pPr>
        <w:widowControl w:val="0"/>
        <w:spacing w:line="276" w:lineRule="auto"/>
        <w:ind w:left="1080"/>
        <w:jc w:val="both"/>
        <w:rPr>
          <w:rFonts w:asciiTheme="minorHAnsi" w:hAnsiTheme="minorHAnsi"/>
          <w:i/>
        </w:rPr>
      </w:pPr>
      <w:r w:rsidRPr="00F925C5">
        <w:rPr>
          <w:rFonts w:asciiTheme="minorHAnsi" w:hAnsiTheme="minorHAnsi"/>
          <w:i/>
        </w:rPr>
        <w:t>A court shall not pass a sentence of imprisonment on any person for a federal offence, or for an offence against the law of an external Territory that is prescribed for the purposes of this section, unless the court, after having considered all other available sentences, is satisfied that no other sentence is appropriate in all the circumstances of the case.</w:t>
      </w:r>
    </w:p>
    <w:p w14:paraId="0A013B29" w14:textId="77777777" w:rsidR="00F925C5" w:rsidRDefault="00F925C5" w:rsidP="00F925C5">
      <w:pPr>
        <w:widowControl w:val="0"/>
        <w:spacing w:line="276" w:lineRule="auto"/>
        <w:jc w:val="both"/>
        <w:rPr>
          <w:rFonts w:asciiTheme="minorHAnsi" w:hAnsiTheme="minorHAnsi"/>
        </w:rPr>
      </w:pPr>
    </w:p>
    <w:p w14:paraId="231B5D3A" w14:textId="2F78D9F3" w:rsidR="00437576" w:rsidRDefault="00F925C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This provision</w:t>
      </w:r>
      <w:r w:rsidR="00D12249" w:rsidRPr="00C00000">
        <w:rPr>
          <w:rFonts w:asciiTheme="minorHAnsi" w:hAnsiTheme="minorHAnsi"/>
        </w:rPr>
        <w:t xml:space="preserve"> restate</w:t>
      </w:r>
      <w:r w:rsidR="00437576">
        <w:rPr>
          <w:rFonts w:asciiTheme="minorHAnsi" w:hAnsiTheme="minorHAnsi"/>
        </w:rPr>
        <w:t>s</w:t>
      </w:r>
      <w:r w:rsidR="00D12249" w:rsidRPr="00C00000">
        <w:rPr>
          <w:rFonts w:asciiTheme="minorHAnsi" w:hAnsiTheme="minorHAnsi"/>
        </w:rPr>
        <w:t xml:space="preserve"> the established common law position</w:t>
      </w:r>
      <w:r w:rsidR="000F3AC9">
        <w:rPr>
          <w:rFonts w:asciiTheme="minorHAnsi" w:hAnsiTheme="minorHAnsi"/>
        </w:rPr>
        <w:t xml:space="preserve"> that imprisonment is a sentence of last resort</w:t>
      </w:r>
      <w:r w:rsidR="00D12249" w:rsidRPr="00C00000">
        <w:rPr>
          <w:rFonts w:asciiTheme="minorHAnsi" w:hAnsiTheme="minorHAnsi"/>
        </w:rPr>
        <w:t>.</w:t>
      </w:r>
      <w:r w:rsidR="00437576" w:rsidRPr="00C00000">
        <w:rPr>
          <w:rStyle w:val="Style"/>
          <w:rFonts w:asciiTheme="minorHAnsi" w:hAnsiTheme="minorHAnsi"/>
        </w:rPr>
        <w:footnoteReference w:id="682"/>
      </w:r>
      <w:r w:rsidR="00BE72B4" w:rsidRPr="00BE72B4">
        <w:rPr>
          <w:rFonts w:asciiTheme="minorHAnsi" w:hAnsiTheme="minorHAnsi"/>
        </w:rPr>
        <w:t xml:space="preserve"> </w:t>
      </w:r>
      <w:r w:rsidR="00BE72B4">
        <w:rPr>
          <w:rFonts w:asciiTheme="minorHAnsi" w:hAnsiTheme="minorHAnsi"/>
        </w:rPr>
        <w:t xml:space="preserve"> </w:t>
      </w:r>
      <w:r>
        <w:rPr>
          <w:rFonts w:asciiTheme="minorHAnsi" w:hAnsiTheme="minorHAnsi"/>
        </w:rPr>
        <w:t>Before imposing a sentence of imprisonment, the court must consider</w:t>
      </w:r>
      <w:r w:rsidR="00BE72B4" w:rsidRPr="00C00000">
        <w:rPr>
          <w:rFonts w:asciiTheme="minorHAnsi" w:hAnsiTheme="minorHAnsi"/>
        </w:rPr>
        <w:t xml:space="preserve"> </w:t>
      </w:r>
      <w:r>
        <w:rPr>
          <w:rFonts w:asciiTheme="minorHAnsi" w:hAnsiTheme="minorHAnsi"/>
        </w:rPr>
        <w:t>“</w:t>
      </w:r>
      <w:r w:rsidR="00BE72B4" w:rsidRPr="00C00000">
        <w:rPr>
          <w:rFonts w:asciiTheme="minorHAnsi" w:hAnsiTheme="minorHAnsi"/>
        </w:rPr>
        <w:t>all other available sentences</w:t>
      </w:r>
      <w:r>
        <w:rPr>
          <w:rFonts w:asciiTheme="minorHAnsi" w:hAnsiTheme="minorHAnsi"/>
        </w:rPr>
        <w:t>”</w:t>
      </w:r>
      <w:r w:rsidR="00BE72B4" w:rsidRPr="00C00000">
        <w:rPr>
          <w:rFonts w:asciiTheme="minorHAnsi" w:hAnsiTheme="minorHAnsi"/>
        </w:rPr>
        <w:t xml:space="preserve"> and </w:t>
      </w:r>
      <w:r>
        <w:rPr>
          <w:rFonts w:asciiTheme="minorHAnsi" w:hAnsiTheme="minorHAnsi"/>
        </w:rPr>
        <w:t>“</w:t>
      </w:r>
      <w:r w:rsidR="00BE72B4" w:rsidRPr="00C00000">
        <w:rPr>
          <w:rFonts w:asciiTheme="minorHAnsi" w:hAnsiTheme="minorHAnsi"/>
        </w:rPr>
        <w:t>all the circumstances of the case</w:t>
      </w:r>
      <w:r>
        <w:rPr>
          <w:rFonts w:asciiTheme="minorHAnsi" w:hAnsiTheme="minorHAnsi"/>
        </w:rPr>
        <w:t>”</w:t>
      </w:r>
      <w:r w:rsidR="00BE72B4" w:rsidRPr="00C00000">
        <w:rPr>
          <w:rFonts w:asciiTheme="minorHAnsi" w:hAnsiTheme="minorHAnsi"/>
          <w:i/>
        </w:rPr>
        <w:t>.</w:t>
      </w:r>
      <w:r w:rsidR="00BE72B4" w:rsidRPr="00C00000">
        <w:rPr>
          <w:rStyle w:val="Style"/>
          <w:rFonts w:asciiTheme="minorHAnsi" w:hAnsiTheme="minorHAnsi"/>
        </w:rPr>
        <w:footnoteReference w:id="683"/>
      </w:r>
    </w:p>
    <w:p w14:paraId="6BD439E8" w14:textId="77777777" w:rsidR="001E337B" w:rsidRDefault="001E337B">
      <w:pPr>
        <w:widowControl w:val="0"/>
        <w:spacing w:line="276" w:lineRule="auto"/>
        <w:jc w:val="both"/>
        <w:rPr>
          <w:rFonts w:asciiTheme="minorHAnsi" w:hAnsiTheme="minorHAnsi"/>
        </w:rPr>
      </w:pPr>
    </w:p>
    <w:p w14:paraId="06138D39" w14:textId="7F560871" w:rsidR="00B62018" w:rsidRDefault="00D1224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If the court imposes a sentence of imprisonment</w:t>
      </w:r>
      <w:r w:rsidR="00384370">
        <w:rPr>
          <w:rFonts w:asciiTheme="minorHAnsi" w:hAnsiTheme="minorHAnsi"/>
        </w:rPr>
        <w:t>,</w:t>
      </w:r>
      <w:r w:rsidRPr="00C00000">
        <w:rPr>
          <w:rFonts w:asciiTheme="minorHAnsi" w:hAnsiTheme="minorHAnsi"/>
        </w:rPr>
        <w:t xml:space="preserve"> it is required by s 17A</w:t>
      </w:r>
      <w:r w:rsidR="00184702">
        <w:rPr>
          <w:rFonts w:asciiTheme="minorHAnsi" w:hAnsiTheme="minorHAnsi"/>
        </w:rPr>
        <w:t>(2)</w:t>
      </w:r>
      <w:r w:rsidRPr="00C00000">
        <w:rPr>
          <w:rFonts w:asciiTheme="minorHAnsi" w:hAnsiTheme="minorHAnsi"/>
        </w:rPr>
        <w:t xml:space="preserve"> to </w:t>
      </w:r>
      <w:r w:rsidR="00B02B89" w:rsidRPr="00C00000">
        <w:rPr>
          <w:rFonts w:asciiTheme="minorHAnsi" w:hAnsiTheme="minorHAnsi"/>
        </w:rPr>
        <w:t xml:space="preserve">give </w:t>
      </w:r>
      <w:r w:rsidRPr="00C00000">
        <w:rPr>
          <w:rFonts w:asciiTheme="minorHAnsi" w:hAnsiTheme="minorHAnsi"/>
        </w:rPr>
        <w:t xml:space="preserve">reasons and have them entered in the record of the court.  </w:t>
      </w:r>
      <w:r w:rsidR="00D83257">
        <w:rPr>
          <w:rFonts w:asciiTheme="minorHAnsi" w:hAnsiTheme="minorHAnsi"/>
        </w:rPr>
        <w:t xml:space="preserve">The obligation to give reasons does not require that the sentencing court give </w:t>
      </w:r>
      <w:r w:rsidR="00D83257" w:rsidRPr="00D83257">
        <w:rPr>
          <w:rFonts w:asciiTheme="minorHAnsi" w:hAnsiTheme="minorHAnsi"/>
        </w:rPr>
        <w:t>separate and distinct reasons</w:t>
      </w:r>
      <w:r w:rsidR="00D83257">
        <w:rPr>
          <w:rFonts w:asciiTheme="minorHAnsi" w:hAnsiTheme="minorHAnsi"/>
        </w:rPr>
        <w:t>, or</w:t>
      </w:r>
      <w:r w:rsidR="00D83257" w:rsidRPr="00D83257">
        <w:rPr>
          <w:rFonts w:asciiTheme="minorHAnsi" w:hAnsiTheme="minorHAnsi"/>
        </w:rPr>
        <w:t xml:space="preserve"> run through a checklist of possibilities and state why each of them is not appropriate</w:t>
      </w:r>
      <w:r w:rsidR="00D83257">
        <w:rPr>
          <w:rFonts w:asciiTheme="minorHAnsi" w:hAnsiTheme="minorHAnsi"/>
        </w:rPr>
        <w:t xml:space="preserve">; the reasons need only </w:t>
      </w:r>
      <w:r w:rsidR="00D83257" w:rsidRPr="00D83257">
        <w:rPr>
          <w:rFonts w:asciiTheme="minorHAnsi" w:hAnsiTheme="minorHAnsi"/>
        </w:rPr>
        <w:t>adequately explain why no other sentence but one of imprisonment is considered appropriate</w:t>
      </w:r>
      <w:r w:rsidR="00D83257">
        <w:rPr>
          <w:rFonts w:asciiTheme="minorHAnsi" w:hAnsiTheme="minorHAnsi"/>
        </w:rPr>
        <w:t>.</w:t>
      </w:r>
      <w:r w:rsidR="00D83257" w:rsidRPr="00C00000">
        <w:rPr>
          <w:rStyle w:val="Style"/>
          <w:rFonts w:asciiTheme="minorHAnsi" w:hAnsiTheme="minorHAnsi"/>
        </w:rPr>
        <w:footnoteReference w:id="684"/>
      </w:r>
      <w:r w:rsidR="00305389" w:rsidRPr="00051102">
        <w:rPr>
          <w:rFonts w:ascii="Calibri" w:hAnsi="Calibri"/>
        </w:rPr>
        <w:t xml:space="preserve"> </w:t>
      </w:r>
    </w:p>
    <w:p w14:paraId="1F6F566A" w14:textId="361D1DD6" w:rsidR="00D83257" w:rsidRDefault="00D83257" w:rsidP="00D83257">
      <w:pPr>
        <w:pStyle w:val="ListParagraph"/>
        <w:rPr>
          <w:rFonts w:asciiTheme="minorHAnsi" w:hAnsiTheme="minorHAnsi"/>
        </w:rPr>
      </w:pPr>
    </w:p>
    <w:p w14:paraId="3F4C8BC0" w14:textId="2583BEB2" w:rsidR="009004F1" w:rsidRDefault="00D1224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Failure to </w:t>
      </w:r>
      <w:r w:rsidR="008739ED">
        <w:rPr>
          <w:rFonts w:asciiTheme="minorHAnsi" w:hAnsiTheme="minorHAnsi"/>
        </w:rPr>
        <w:t xml:space="preserve">comply with </w:t>
      </w:r>
      <w:r w:rsidR="00F925C5">
        <w:rPr>
          <w:rFonts w:asciiTheme="minorHAnsi" w:hAnsiTheme="minorHAnsi"/>
        </w:rPr>
        <w:t xml:space="preserve">the provisions of </w:t>
      </w:r>
      <w:r w:rsidR="008739ED">
        <w:rPr>
          <w:rFonts w:asciiTheme="minorHAnsi" w:hAnsiTheme="minorHAnsi"/>
        </w:rPr>
        <w:t>s 17A</w:t>
      </w:r>
      <w:r w:rsidRPr="00C00000">
        <w:rPr>
          <w:rFonts w:asciiTheme="minorHAnsi" w:hAnsiTheme="minorHAnsi"/>
        </w:rPr>
        <w:t xml:space="preserve"> does not invalidate the sentence</w:t>
      </w:r>
      <w:r w:rsidRPr="00C00000">
        <w:rPr>
          <w:rStyle w:val="Style"/>
          <w:rFonts w:asciiTheme="minorHAnsi" w:hAnsiTheme="minorHAnsi"/>
        </w:rPr>
        <w:footnoteReference w:id="685"/>
      </w:r>
      <w:r w:rsidR="00CA6188">
        <w:rPr>
          <w:rFonts w:asciiTheme="minorHAnsi" w:hAnsiTheme="minorHAnsi"/>
        </w:rPr>
        <w:t xml:space="preserve"> </w:t>
      </w:r>
      <w:r w:rsidR="00F925C5">
        <w:rPr>
          <w:rFonts w:asciiTheme="minorHAnsi" w:hAnsiTheme="minorHAnsi"/>
        </w:rPr>
        <w:t>(</w:t>
      </w:r>
      <w:r w:rsidR="008739ED">
        <w:rPr>
          <w:rFonts w:asciiTheme="minorHAnsi" w:hAnsiTheme="minorHAnsi"/>
        </w:rPr>
        <w:t xml:space="preserve">in the sense </w:t>
      </w:r>
      <w:r w:rsidR="00681726">
        <w:rPr>
          <w:rFonts w:asciiTheme="minorHAnsi" w:hAnsiTheme="minorHAnsi"/>
        </w:rPr>
        <w:t>that is does not render it a nullity</w:t>
      </w:r>
      <w:r w:rsidR="00681726" w:rsidRPr="00C00000">
        <w:rPr>
          <w:rStyle w:val="Style"/>
          <w:rFonts w:asciiTheme="minorHAnsi" w:hAnsiTheme="minorHAnsi"/>
        </w:rPr>
        <w:footnoteReference w:id="686"/>
      </w:r>
      <w:r w:rsidR="00F925C5">
        <w:rPr>
          <w:rFonts w:asciiTheme="minorHAnsi" w:hAnsiTheme="minorHAnsi"/>
        </w:rPr>
        <w:t>),</w:t>
      </w:r>
      <w:r w:rsidR="00681726">
        <w:rPr>
          <w:rFonts w:asciiTheme="minorHAnsi" w:hAnsiTheme="minorHAnsi"/>
        </w:rPr>
        <w:t xml:space="preserve"> </w:t>
      </w:r>
      <w:r w:rsidR="00CA6188">
        <w:rPr>
          <w:rFonts w:asciiTheme="minorHAnsi" w:hAnsiTheme="minorHAnsi"/>
        </w:rPr>
        <w:t xml:space="preserve">but </w:t>
      </w:r>
      <w:r w:rsidR="008739ED">
        <w:rPr>
          <w:rFonts w:asciiTheme="minorHAnsi" w:hAnsiTheme="minorHAnsi"/>
        </w:rPr>
        <w:t>if the sentencing court is shown to have erroneously considered that no other sentencing option</w:t>
      </w:r>
      <w:r w:rsidR="00B62018">
        <w:rPr>
          <w:rFonts w:asciiTheme="minorHAnsi" w:hAnsiTheme="minorHAnsi"/>
        </w:rPr>
        <w:t xml:space="preserve"> could be imposed</w:t>
      </w:r>
      <w:r w:rsidR="008739ED">
        <w:rPr>
          <w:rFonts w:asciiTheme="minorHAnsi" w:hAnsiTheme="minorHAnsi"/>
        </w:rPr>
        <w:t xml:space="preserve"> </w:t>
      </w:r>
      <w:r w:rsidR="002C719F">
        <w:rPr>
          <w:rFonts w:asciiTheme="minorHAnsi" w:hAnsiTheme="minorHAnsi"/>
        </w:rPr>
        <w:t>it will</w:t>
      </w:r>
      <w:r w:rsidR="00192D75">
        <w:rPr>
          <w:rFonts w:asciiTheme="minorHAnsi" w:hAnsiTheme="minorHAnsi"/>
        </w:rPr>
        <w:t xml:space="preserve"> constitute a</w:t>
      </w:r>
      <w:r w:rsidR="00681726">
        <w:rPr>
          <w:rFonts w:asciiTheme="minorHAnsi" w:hAnsiTheme="minorHAnsi"/>
        </w:rPr>
        <w:t xml:space="preserve"> vitiating </w:t>
      </w:r>
      <w:r w:rsidR="00192D75">
        <w:rPr>
          <w:rFonts w:asciiTheme="minorHAnsi" w:hAnsiTheme="minorHAnsi"/>
        </w:rPr>
        <w:t xml:space="preserve">error </w:t>
      </w:r>
      <w:r w:rsidR="00681726">
        <w:rPr>
          <w:rFonts w:asciiTheme="minorHAnsi" w:hAnsiTheme="minorHAnsi"/>
        </w:rPr>
        <w:t>in</w:t>
      </w:r>
      <w:r w:rsidR="00192D75">
        <w:rPr>
          <w:rFonts w:asciiTheme="minorHAnsi" w:hAnsiTheme="minorHAnsi"/>
        </w:rPr>
        <w:t xml:space="preserve"> the exercise of the </w:t>
      </w:r>
      <w:r w:rsidR="00681726">
        <w:rPr>
          <w:rFonts w:asciiTheme="minorHAnsi" w:hAnsiTheme="minorHAnsi"/>
        </w:rPr>
        <w:t>sentencing discretion.</w:t>
      </w:r>
      <w:r w:rsidR="00CA6188" w:rsidRPr="00C00000">
        <w:rPr>
          <w:rStyle w:val="Style"/>
          <w:rFonts w:asciiTheme="minorHAnsi" w:hAnsiTheme="minorHAnsi"/>
        </w:rPr>
        <w:footnoteReference w:id="687"/>
      </w:r>
    </w:p>
    <w:p w14:paraId="699E715F" w14:textId="77777777" w:rsidR="009004F1" w:rsidRDefault="009004F1" w:rsidP="009004F1">
      <w:pPr>
        <w:pStyle w:val="ListParagraph"/>
        <w:rPr>
          <w:rFonts w:asciiTheme="minorHAnsi" w:hAnsiTheme="minorHAnsi"/>
        </w:rPr>
      </w:pPr>
    </w:p>
    <w:p w14:paraId="7C83AA9A" w14:textId="2CD596A4" w:rsidR="009004F1" w:rsidRPr="00575398" w:rsidRDefault="0057539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 17A appl</w:t>
      </w:r>
      <w:r w:rsidR="00C35247">
        <w:rPr>
          <w:rFonts w:asciiTheme="minorHAnsi" w:hAnsiTheme="minorHAnsi"/>
        </w:rPr>
        <w:t>ies</w:t>
      </w:r>
      <w:r>
        <w:rPr>
          <w:rFonts w:asciiTheme="minorHAnsi" w:hAnsiTheme="minorHAnsi"/>
        </w:rPr>
        <w:t xml:space="preserve"> subject to </w:t>
      </w:r>
      <w:r w:rsidRPr="00575398">
        <w:rPr>
          <w:rFonts w:asciiTheme="minorHAnsi" w:hAnsiTheme="minorHAnsi"/>
        </w:rPr>
        <w:t>any contrary intention in the law creating the offence</w:t>
      </w:r>
      <w:r>
        <w:rPr>
          <w:rFonts w:asciiTheme="minorHAnsi" w:hAnsiTheme="minorHAnsi"/>
        </w:rPr>
        <w:t xml:space="preserve">: </w:t>
      </w:r>
      <w:r w:rsidR="00885EFD" w:rsidRPr="00885EFD">
        <w:rPr>
          <w:rFonts w:asciiTheme="minorHAnsi" w:hAnsiTheme="minorHAnsi"/>
          <w:i/>
        </w:rPr>
        <w:t>Crimes Act 1914</w:t>
      </w:r>
      <w:r>
        <w:rPr>
          <w:rFonts w:asciiTheme="minorHAnsi" w:hAnsiTheme="minorHAnsi"/>
        </w:rPr>
        <w:t xml:space="preserve"> (Cth), s 17A(4)</w:t>
      </w:r>
      <w:r w:rsidRPr="00575398">
        <w:rPr>
          <w:rFonts w:asciiTheme="minorHAnsi" w:hAnsiTheme="minorHAnsi"/>
        </w:rPr>
        <w:t>.</w:t>
      </w:r>
      <w:r>
        <w:rPr>
          <w:rFonts w:asciiTheme="minorHAnsi" w:hAnsiTheme="minorHAnsi"/>
        </w:rPr>
        <w:t xml:space="preserve">  </w:t>
      </w:r>
      <w:r w:rsidR="00025660" w:rsidRPr="00575398">
        <w:rPr>
          <w:rFonts w:asciiTheme="minorHAnsi" w:hAnsiTheme="minorHAnsi"/>
        </w:rPr>
        <w:t xml:space="preserve">A statutory requirement for a </w:t>
      </w:r>
      <w:r w:rsidR="00D12249" w:rsidRPr="00575398">
        <w:rPr>
          <w:rFonts w:asciiTheme="minorHAnsi" w:hAnsiTheme="minorHAnsi"/>
        </w:rPr>
        <w:t>mandatory minimum sentence of imprisonment</w:t>
      </w:r>
      <w:r w:rsidR="00C35247" w:rsidRPr="00C00000">
        <w:rPr>
          <w:rStyle w:val="Style"/>
          <w:rFonts w:asciiTheme="minorHAnsi" w:hAnsiTheme="minorHAnsi"/>
        </w:rPr>
        <w:footnoteReference w:id="688"/>
      </w:r>
      <w:r w:rsidR="00D12249" w:rsidRPr="00575398">
        <w:rPr>
          <w:rFonts w:asciiTheme="minorHAnsi" w:hAnsiTheme="minorHAnsi"/>
        </w:rPr>
        <w:t xml:space="preserve"> is inconsistent with</w:t>
      </w:r>
      <w:r w:rsidR="00025660" w:rsidRPr="00575398">
        <w:rPr>
          <w:rFonts w:asciiTheme="minorHAnsi" w:hAnsiTheme="minorHAnsi"/>
        </w:rPr>
        <w:t>, and prevails over,</w:t>
      </w:r>
      <w:r w:rsidR="00D12249" w:rsidRPr="00575398">
        <w:rPr>
          <w:rFonts w:asciiTheme="minorHAnsi" w:hAnsiTheme="minorHAnsi"/>
        </w:rPr>
        <w:t xml:space="preserve"> s 17A.</w:t>
      </w:r>
      <w:r w:rsidR="00D12249" w:rsidRPr="00C00000">
        <w:rPr>
          <w:rStyle w:val="Style"/>
          <w:rFonts w:asciiTheme="minorHAnsi" w:hAnsiTheme="minorHAnsi"/>
        </w:rPr>
        <w:footnoteReference w:id="689"/>
      </w:r>
      <w:bookmarkEnd w:id="1710"/>
    </w:p>
    <w:p w14:paraId="6234CB22" w14:textId="4598D492" w:rsidR="009004F1" w:rsidRDefault="009004F1" w:rsidP="009004F1">
      <w:pPr>
        <w:widowControl w:val="0"/>
        <w:tabs>
          <w:tab w:val="left" w:pos="567"/>
        </w:tabs>
        <w:spacing w:line="276" w:lineRule="auto"/>
        <w:ind w:right="170"/>
        <w:rPr>
          <w:rFonts w:asciiTheme="minorHAnsi" w:hAnsiTheme="minorHAnsi"/>
        </w:rPr>
      </w:pPr>
    </w:p>
    <w:p w14:paraId="09D99F6D" w14:textId="708E5318" w:rsidR="00005FD4" w:rsidRPr="00E9607E" w:rsidRDefault="009004F1" w:rsidP="006D50C7">
      <w:pPr>
        <w:pStyle w:val="Heading3"/>
      </w:pPr>
      <w:bookmarkStart w:id="1711" w:name="_Toc33602878"/>
      <w:r>
        <w:t>Restriction on i</w:t>
      </w:r>
      <w:r w:rsidR="000F3AC9">
        <w:t xml:space="preserve">mprisonment for </w:t>
      </w:r>
      <w:r>
        <w:t xml:space="preserve">certain </w:t>
      </w:r>
      <w:r w:rsidR="000F3AC9">
        <w:t>minor offences</w:t>
      </w:r>
      <w:r w:rsidR="00005FD4" w:rsidRPr="00E9607E">
        <w:t xml:space="preserve"> </w:t>
      </w:r>
      <w:r w:rsidR="002E2BFD" w:rsidRPr="00E9607E">
        <w:t>–</w:t>
      </w:r>
      <w:r w:rsidR="00F24F37">
        <w:t xml:space="preserve"> </w:t>
      </w:r>
      <w:r w:rsidR="00885EFD" w:rsidRPr="00885EFD">
        <w:rPr>
          <w:i/>
        </w:rPr>
        <w:t>Crimes Act 1914</w:t>
      </w:r>
      <w:r w:rsidR="00DA5BD4">
        <w:t>,</w:t>
      </w:r>
      <w:r w:rsidR="00DA5BD4" w:rsidRPr="00DA5BD4">
        <w:t xml:space="preserve"> </w:t>
      </w:r>
      <w:r w:rsidR="00DA5BD4" w:rsidRPr="00E9607E">
        <w:t>s 17B(1)</w:t>
      </w:r>
      <w:bookmarkEnd w:id="1711"/>
    </w:p>
    <w:p w14:paraId="7CC5DF67" w14:textId="77777777" w:rsidR="00FF51A5" w:rsidRPr="00051102" w:rsidRDefault="00FF51A5" w:rsidP="006D50C7">
      <w:pPr>
        <w:pStyle w:val="NormalIndent"/>
        <w:keepNext/>
        <w:spacing w:line="276" w:lineRule="auto"/>
        <w:jc w:val="both"/>
        <w:rPr>
          <w:rFonts w:ascii="Calibri" w:hAnsi="Calibri"/>
        </w:rPr>
      </w:pPr>
    </w:p>
    <w:p w14:paraId="03588EAD" w14:textId="4E7FE072" w:rsidR="004300B7" w:rsidRPr="00C00000" w:rsidRDefault="00005FD4" w:rsidP="00EB7F1E">
      <w:pPr>
        <w:pStyle w:val="ListParagraph"/>
        <w:numPr>
          <w:ilvl w:val="0"/>
          <w:numId w:val="7"/>
        </w:numPr>
        <w:spacing w:line="276" w:lineRule="auto"/>
        <w:ind w:left="425" w:hanging="425"/>
        <w:contextualSpacing w:val="0"/>
        <w:rPr>
          <w:rFonts w:asciiTheme="minorHAnsi" w:hAnsiTheme="minorHAnsi"/>
        </w:rPr>
      </w:pPr>
      <w:bookmarkStart w:id="1712" w:name="_Ref469577128"/>
      <w:r w:rsidRPr="00C00000">
        <w:rPr>
          <w:rFonts w:asciiTheme="minorHAnsi" w:hAnsiTheme="minorHAnsi"/>
        </w:rPr>
        <w:t>Section 17B(1) imposes a restriction on the imposition of</w:t>
      </w:r>
      <w:r w:rsidR="000F5B7C">
        <w:rPr>
          <w:rFonts w:asciiTheme="minorHAnsi" w:hAnsiTheme="minorHAnsi"/>
        </w:rPr>
        <w:t xml:space="preserve"> a sentence of</w:t>
      </w:r>
      <w:r w:rsidRPr="00C00000">
        <w:rPr>
          <w:rFonts w:asciiTheme="minorHAnsi" w:hAnsiTheme="minorHAnsi"/>
        </w:rPr>
        <w:t xml:space="preserve"> imprisonment </w:t>
      </w:r>
      <w:r w:rsidR="004300B7">
        <w:rPr>
          <w:rFonts w:asciiTheme="minorHAnsi" w:hAnsiTheme="minorHAnsi"/>
        </w:rPr>
        <w:t xml:space="preserve">for minor examples of specified </w:t>
      </w:r>
      <w:r w:rsidR="001D283D">
        <w:rPr>
          <w:rFonts w:asciiTheme="minorHAnsi" w:hAnsiTheme="minorHAnsi"/>
        </w:rPr>
        <w:t xml:space="preserve">federal </w:t>
      </w:r>
      <w:r w:rsidR="004300B7">
        <w:rPr>
          <w:rFonts w:asciiTheme="minorHAnsi" w:hAnsiTheme="minorHAnsi"/>
        </w:rPr>
        <w:t>property offences</w:t>
      </w:r>
      <w:r w:rsidR="00B534F1">
        <w:rPr>
          <w:rFonts w:asciiTheme="minorHAnsi" w:hAnsiTheme="minorHAnsi"/>
        </w:rPr>
        <w:t xml:space="preserve"> (a “section 17B offence”)</w:t>
      </w:r>
      <w:r w:rsidR="004300B7">
        <w:rPr>
          <w:rFonts w:asciiTheme="minorHAnsi" w:hAnsiTheme="minorHAnsi"/>
        </w:rPr>
        <w:t>.</w:t>
      </w:r>
      <w:r w:rsidR="004300B7" w:rsidRPr="004300B7">
        <w:rPr>
          <w:rFonts w:asciiTheme="minorHAnsi" w:hAnsiTheme="minorHAnsi"/>
        </w:rPr>
        <w:t xml:space="preserve"> </w:t>
      </w:r>
      <w:r w:rsidR="004300B7">
        <w:rPr>
          <w:rFonts w:asciiTheme="minorHAnsi" w:hAnsiTheme="minorHAnsi"/>
        </w:rPr>
        <w:t xml:space="preserve"> </w:t>
      </w:r>
      <w:r w:rsidR="001D283D">
        <w:rPr>
          <w:rFonts w:asciiTheme="minorHAnsi" w:hAnsiTheme="minorHAnsi"/>
        </w:rPr>
        <w:t xml:space="preserve">By s 17B(3), </w:t>
      </w:r>
      <w:r w:rsidR="00B534F1">
        <w:rPr>
          <w:rFonts w:asciiTheme="minorHAnsi" w:hAnsiTheme="minorHAnsi"/>
        </w:rPr>
        <w:t>a “section 17B offence” is defined to mean</w:t>
      </w:r>
      <w:r w:rsidR="001D283D">
        <w:rPr>
          <w:rFonts w:asciiTheme="minorHAnsi" w:hAnsiTheme="minorHAnsi"/>
        </w:rPr>
        <w:t>:</w:t>
      </w:r>
      <w:r w:rsidR="003770DA" w:rsidRPr="00C00000">
        <w:rPr>
          <w:rStyle w:val="Style"/>
          <w:rFonts w:asciiTheme="minorHAnsi" w:hAnsiTheme="minorHAnsi"/>
        </w:rPr>
        <w:footnoteReference w:id="690"/>
      </w:r>
    </w:p>
    <w:p w14:paraId="77663306" w14:textId="7AC4D503" w:rsidR="004300B7" w:rsidRPr="00C00000" w:rsidRDefault="00B534F1"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an </w:t>
      </w:r>
      <w:r w:rsidR="004300B7">
        <w:rPr>
          <w:rFonts w:asciiTheme="minorHAnsi" w:hAnsiTheme="minorHAnsi"/>
        </w:rPr>
        <w:t xml:space="preserve">offence against </w:t>
      </w:r>
      <w:r w:rsidR="004300B7" w:rsidRPr="00C00000">
        <w:rPr>
          <w:rFonts w:asciiTheme="minorHAnsi" w:hAnsiTheme="minorHAnsi"/>
        </w:rPr>
        <w:t xml:space="preserve">s 29 of the </w:t>
      </w:r>
      <w:r w:rsidR="00885EFD" w:rsidRPr="00885EFD">
        <w:rPr>
          <w:rFonts w:asciiTheme="minorHAnsi" w:hAnsiTheme="minorHAnsi"/>
          <w:i/>
        </w:rPr>
        <w:t>Crimes Act 1914</w:t>
      </w:r>
      <w:r w:rsidR="004300B7" w:rsidRPr="00C00000">
        <w:rPr>
          <w:rFonts w:asciiTheme="minorHAnsi" w:hAnsiTheme="minorHAnsi"/>
        </w:rPr>
        <w:t xml:space="preserve"> (Cth);</w:t>
      </w:r>
    </w:p>
    <w:p w14:paraId="3E034801" w14:textId="03707802" w:rsidR="004300B7" w:rsidRPr="00C00000" w:rsidRDefault="00B534F1"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an o</w:t>
      </w:r>
      <w:r w:rsidR="004300B7">
        <w:rPr>
          <w:rFonts w:asciiTheme="minorHAnsi" w:hAnsiTheme="minorHAnsi"/>
        </w:rPr>
        <w:t xml:space="preserve">ffence against </w:t>
      </w:r>
      <w:r w:rsidR="004300B7" w:rsidRPr="00C00000">
        <w:rPr>
          <w:rFonts w:asciiTheme="minorHAnsi" w:hAnsiTheme="minorHAnsi"/>
        </w:rPr>
        <w:t xml:space="preserve">s 131.1, 132.1, 132.6, 132.7, 134.1, 134.2, 135.1, 135.2, 135.4, 145.4 or 145.5 of the </w:t>
      </w:r>
      <w:r w:rsidR="004300B7" w:rsidRPr="00C00000">
        <w:rPr>
          <w:rFonts w:asciiTheme="minorHAnsi" w:hAnsiTheme="minorHAnsi"/>
          <w:i/>
        </w:rPr>
        <w:t>Criminal Code</w:t>
      </w:r>
      <w:r w:rsidR="001D283D">
        <w:rPr>
          <w:rFonts w:asciiTheme="minorHAnsi" w:hAnsiTheme="minorHAnsi"/>
          <w:i/>
        </w:rPr>
        <w:t xml:space="preserve"> (Cth)</w:t>
      </w:r>
      <w:r w:rsidR="004300B7" w:rsidRPr="00C00000">
        <w:rPr>
          <w:rFonts w:asciiTheme="minorHAnsi" w:hAnsiTheme="minorHAnsi"/>
        </w:rPr>
        <w:t xml:space="preserve">; </w:t>
      </w:r>
      <w:r>
        <w:rPr>
          <w:rFonts w:asciiTheme="minorHAnsi" w:hAnsiTheme="minorHAnsi"/>
        </w:rPr>
        <w:t>or</w:t>
      </w:r>
      <w:r w:rsidR="004300B7" w:rsidRPr="00C00000">
        <w:rPr>
          <w:rFonts w:asciiTheme="minorHAnsi" w:hAnsiTheme="minorHAnsi"/>
        </w:rPr>
        <w:t xml:space="preserve"> </w:t>
      </w:r>
    </w:p>
    <w:p w14:paraId="2F69DD02" w14:textId="1AD25EEA" w:rsidR="004300B7" w:rsidRPr="00C00000" w:rsidRDefault="00B534F1"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 </w:t>
      </w:r>
      <w:r w:rsidR="004300B7" w:rsidRPr="00C00000">
        <w:rPr>
          <w:rFonts w:asciiTheme="minorHAnsi" w:hAnsiTheme="minorHAnsi"/>
        </w:rPr>
        <w:t>prescribed offence against federal law</w:t>
      </w:r>
      <w:r w:rsidR="004300B7">
        <w:rPr>
          <w:rFonts w:asciiTheme="minorHAnsi" w:hAnsiTheme="minorHAnsi"/>
        </w:rPr>
        <w:t>.</w:t>
      </w:r>
      <w:r w:rsidR="004300B7" w:rsidRPr="00C00000">
        <w:rPr>
          <w:rFonts w:asciiTheme="minorHAnsi" w:hAnsiTheme="minorHAnsi"/>
        </w:rPr>
        <w:t xml:space="preserve"> </w:t>
      </w:r>
      <w:r w:rsidR="001D283D">
        <w:rPr>
          <w:rFonts w:asciiTheme="minorHAnsi" w:hAnsiTheme="minorHAnsi"/>
        </w:rPr>
        <w:t xml:space="preserve"> </w:t>
      </w:r>
      <w:r w:rsidR="004300B7" w:rsidRPr="00C00000">
        <w:rPr>
          <w:rFonts w:asciiTheme="minorHAnsi" w:hAnsiTheme="minorHAnsi"/>
        </w:rPr>
        <w:t>(No offences have been prescribed.)</w:t>
      </w:r>
    </w:p>
    <w:p w14:paraId="0B50545F" w14:textId="77777777" w:rsidR="004300B7" w:rsidRPr="00C00000" w:rsidRDefault="004300B7" w:rsidP="004300B7">
      <w:pPr>
        <w:pStyle w:val="ListParagraph"/>
        <w:spacing w:line="276" w:lineRule="auto"/>
        <w:ind w:left="567" w:right="-1" w:hanging="567"/>
        <w:rPr>
          <w:rFonts w:asciiTheme="minorHAnsi" w:hAnsiTheme="minorHAnsi"/>
        </w:rPr>
      </w:pPr>
    </w:p>
    <w:p w14:paraId="4E186535" w14:textId="43850402" w:rsidR="00005FD4" w:rsidRDefault="00B534F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w:t>
      </w:r>
      <w:r w:rsidR="00005FD4" w:rsidRPr="00C00000">
        <w:rPr>
          <w:rFonts w:asciiTheme="minorHAnsi" w:hAnsiTheme="minorHAnsi"/>
        </w:rPr>
        <w:t xml:space="preserve">a person is convicted of one or more </w:t>
      </w:r>
      <w:r>
        <w:rPr>
          <w:rFonts w:asciiTheme="minorHAnsi" w:hAnsiTheme="minorHAnsi"/>
        </w:rPr>
        <w:t xml:space="preserve">s 17B </w:t>
      </w:r>
      <w:r w:rsidR="00005FD4" w:rsidRPr="00C00000">
        <w:rPr>
          <w:rFonts w:asciiTheme="minorHAnsi" w:hAnsiTheme="minorHAnsi"/>
        </w:rPr>
        <w:t>offences relating to property, money or both, the total value of which does not exceed $2,000</w:t>
      </w:r>
      <w:r>
        <w:rPr>
          <w:rFonts w:asciiTheme="minorHAnsi" w:hAnsiTheme="minorHAnsi"/>
        </w:rPr>
        <w:t>,</w:t>
      </w:r>
      <w:r w:rsidR="00CA3642" w:rsidRPr="00C00000">
        <w:rPr>
          <w:rStyle w:val="Style"/>
          <w:rFonts w:asciiTheme="minorHAnsi" w:hAnsiTheme="minorHAnsi"/>
        </w:rPr>
        <w:footnoteReference w:id="691"/>
      </w:r>
      <w:r w:rsidR="00005FD4" w:rsidRPr="00C00000">
        <w:rPr>
          <w:rFonts w:asciiTheme="minorHAnsi" w:hAnsiTheme="minorHAnsi"/>
        </w:rPr>
        <w:t xml:space="preserve"> and the person has not previously been sentenced to imprisonment</w:t>
      </w:r>
      <w:r>
        <w:rPr>
          <w:rFonts w:asciiTheme="minorHAnsi" w:hAnsiTheme="minorHAnsi"/>
        </w:rPr>
        <w:t xml:space="preserve">, </w:t>
      </w:r>
      <w:r w:rsidRPr="00B534F1">
        <w:rPr>
          <w:rFonts w:asciiTheme="minorHAnsi" w:hAnsiTheme="minorHAnsi"/>
        </w:rPr>
        <w:t>the court convicting the person is not to pass a sentence of imprisonment for that offence, or for any of those offences, unless the court is satisfied that there are exceptional circumstances that warrant it</w:t>
      </w:r>
      <w:r w:rsidR="00CA3642">
        <w:rPr>
          <w:rFonts w:asciiTheme="minorHAnsi" w:hAnsiTheme="minorHAnsi"/>
        </w:rPr>
        <w:t>: s 17B(1)</w:t>
      </w:r>
      <w:r w:rsidRPr="00B534F1">
        <w:rPr>
          <w:rFonts w:asciiTheme="minorHAnsi" w:hAnsiTheme="minorHAnsi"/>
        </w:rPr>
        <w:t>.</w:t>
      </w:r>
      <w:bookmarkEnd w:id="1712"/>
      <w:r w:rsidR="00CA3642">
        <w:rPr>
          <w:rFonts w:asciiTheme="minorHAnsi" w:hAnsiTheme="minorHAnsi"/>
        </w:rPr>
        <w:t xml:space="preserve"> </w:t>
      </w:r>
    </w:p>
    <w:p w14:paraId="20F6449A" w14:textId="77777777" w:rsidR="00FF31FD" w:rsidRDefault="00FF31FD" w:rsidP="00FF31FD">
      <w:pPr>
        <w:tabs>
          <w:tab w:val="left" w:pos="567"/>
        </w:tabs>
        <w:spacing w:line="276" w:lineRule="auto"/>
        <w:ind w:right="-1"/>
        <w:rPr>
          <w:rFonts w:asciiTheme="minorHAnsi" w:hAnsiTheme="minorHAnsi"/>
        </w:rPr>
      </w:pPr>
    </w:p>
    <w:p w14:paraId="7807E40F" w14:textId="6E032D38" w:rsidR="00FF31FD" w:rsidRPr="00FF31FD" w:rsidRDefault="00FF31FD" w:rsidP="006D50C7">
      <w:pPr>
        <w:pStyle w:val="Heading3"/>
      </w:pPr>
      <w:bookmarkStart w:id="1713" w:name="_Toc33602879"/>
      <w:r w:rsidRPr="00FF31FD">
        <w:t>Maximum period of imprisonment for an indictable offence determined summarily</w:t>
      </w:r>
      <w:bookmarkEnd w:id="1713"/>
    </w:p>
    <w:p w14:paraId="1BD3A1E3" w14:textId="77777777" w:rsidR="00FF31FD" w:rsidRDefault="00FF31FD" w:rsidP="006D50C7">
      <w:pPr>
        <w:keepNext/>
        <w:tabs>
          <w:tab w:val="left" w:pos="567"/>
        </w:tabs>
        <w:spacing w:line="276" w:lineRule="auto"/>
        <w:ind w:left="567"/>
        <w:jc w:val="both"/>
        <w:rPr>
          <w:rFonts w:asciiTheme="minorHAnsi" w:hAnsiTheme="minorHAnsi"/>
        </w:rPr>
      </w:pPr>
    </w:p>
    <w:p w14:paraId="0112FBD9" w14:textId="45F0AAE0" w:rsidR="00FF31FD" w:rsidRPr="00FF31FD" w:rsidRDefault="00FF31FD"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an indictable offence punishable by imprisonment is heard and determined by a court of summary jurisdiction, a lesser maximum penalty will apply: see “</w:t>
      </w:r>
      <w:r>
        <w:rPr>
          <w:rFonts w:asciiTheme="minorHAnsi" w:hAnsiTheme="minorHAnsi"/>
        </w:rPr>
        <w:fldChar w:fldCharType="begin"/>
      </w:r>
      <w:r>
        <w:rPr>
          <w:rFonts w:asciiTheme="minorHAnsi" w:hAnsiTheme="minorHAnsi"/>
        </w:rPr>
        <w:instrText xml:space="preserve"> REF _Ref507934416 \r  \* MERGEFORMAT </w:instrText>
      </w:r>
      <w:r>
        <w:rPr>
          <w:rFonts w:asciiTheme="minorHAnsi" w:hAnsiTheme="minorHAnsi"/>
        </w:rPr>
        <w:fldChar w:fldCharType="separate"/>
      </w:r>
      <w:r w:rsidR="00D44BCF">
        <w:rPr>
          <w:rFonts w:asciiTheme="minorHAnsi" w:hAnsiTheme="minorHAnsi"/>
        </w:rPr>
        <w:t>5.6.3</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_Ref507934416  \* MERGEFORMAT </w:instrText>
      </w:r>
      <w:r>
        <w:rPr>
          <w:rFonts w:asciiTheme="minorHAnsi" w:hAnsiTheme="minorHAnsi"/>
        </w:rPr>
        <w:fldChar w:fldCharType="separate"/>
      </w:r>
      <w:r w:rsidR="00D44BCF" w:rsidRPr="00D44BCF">
        <w:rPr>
          <w:rFonts w:asciiTheme="minorHAnsi" w:hAnsiTheme="minorHAnsi"/>
        </w:rPr>
        <w:t>Maximum penalties on summary disposition of an indictable offence –</w:t>
      </w:r>
      <w:r w:rsidR="00D44BCF" w:rsidRPr="00D44BCF">
        <w:rPr>
          <w:rFonts w:asciiTheme="minorHAnsi" w:hAnsiTheme="minorHAnsi"/>
          <w:i/>
        </w:rPr>
        <w:t xml:space="preserve"> Crimes Act </w:t>
      </w:r>
      <w:r w:rsidR="00D44BCF" w:rsidRPr="00D44BCF">
        <w:rPr>
          <w:rFonts w:asciiTheme="minorHAnsi" w:hAnsiTheme="minorHAnsi"/>
        </w:rPr>
        <w:t>1914, ss 4J and 4JA</w:t>
      </w:r>
      <w:r>
        <w:rPr>
          <w:rFonts w:asciiTheme="minorHAnsi" w:hAnsiTheme="minorHAnsi"/>
        </w:rPr>
        <w:fldChar w:fldCharType="end"/>
      </w:r>
      <w:r>
        <w:rPr>
          <w:rFonts w:asciiTheme="minorHAnsi" w:hAnsiTheme="minorHAnsi"/>
        </w:rPr>
        <w:t>”.</w:t>
      </w:r>
    </w:p>
    <w:p w14:paraId="18EF8696" w14:textId="77777777" w:rsidR="00005FD4" w:rsidRPr="00C00000" w:rsidRDefault="00005FD4" w:rsidP="007C11C2">
      <w:pPr>
        <w:pStyle w:val="ListParagraph"/>
        <w:tabs>
          <w:tab w:val="left" w:pos="426"/>
          <w:tab w:val="left" w:pos="709"/>
        </w:tabs>
        <w:spacing w:line="276" w:lineRule="auto"/>
        <w:ind w:left="567" w:right="-1" w:hanging="567"/>
        <w:rPr>
          <w:rFonts w:asciiTheme="minorHAnsi" w:hAnsiTheme="minorHAnsi"/>
        </w:rPr>
      </w:pPr>
    </w:p>
    <w:p w14:paraId="16D4BC89" w14:textId="6203DEB6" w:rsidR="000B6FEE" w:rsidRPr="00364B92" w:rsidRDefault="000B6FEE" w:rsidP="006D50C7">
      <w:pPr>
        <w:pStyle w:val="Heading3"/>
      </w:pPr>
      <w:bookmarkStart w:id="1714" w:name="_Ref485568835"/>
      <w:bookmarkStart w:id="1715" w:name="_Ref485568837"/>
      <w:bookmarkStart w:id="1716" w:name="_Toc33602880"/>
      <w:r w:rsidRPr="00364B92">
        <w:t xml:space="preserve">Mandatory </w:t>
      </w:r>
      <w:r w:rsidR="009B3887">
        <w:t>imprisonment</w:t>
      </w:r>
      <w:bookmarkEnd w:id="1714"/>
      <w:bookmarkEnd w:id="1715"/>
      <w:bookmarkEnd w:id="1716"/>
      <w:r w:rsidRPr="00364B92">
        <w:t xml:space="preserve"> </w:t>
      </w:r>
    </w:p>
    <w:p w14:paraId="7A519AA6" w14:textId="77777777" w:rsidR="000B6FEE" w:rsidRPr="00C00000" w:rsidRDefault="000B6FEE" w:rsidP="006D50C7">
      <w:pPr>
        <w:pStyle w:val="NormalIndent"/>
        <w:keepNext/>
        <w:spacing w:line="276" w:lineRule="auto"/>
        <w:jc w:val="both"/>
        <w:rPr>
          <w:rFonts w:asciiTheme="minorHAnsi" w:hAnsiTheme="minorHAnsi"/>
        </w:rPr>
      </w:pPr>
    </w:p>
    <w:p w14:paraId="4A260A2F" w14:textId="10F37ADD" w:rsidR="00F70AE7" w:rsidRDefault="000B6FEE"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In general federal legislation does not provide for mandatory penalties.</w:t>
      </w:r>
    </w:p>
    <w:p w14:paraId="67BD2CE6" w14:textId="77777777" w:rsidR="00F70AE7" w:rsidRDefault="00F70AE7" w:rsidP="00F70AE7">
      <w:pPr>
        <w:widowControl w:val="0"/>
        <w:spacing w:line="276" w:lineRule="auto"/>
        <w:jc w:val="both"/>
        <w:rPr>
          <w:rFonts w:asciiTheme="minorHAnsi" w:hAnsiTheme="minorHAnsi"/>
        </w:rPr>
      </w:pPr>
    </w:p>
    <w:p w14:paraId="27A6CC11" w14:textId="31DC91EE" w:rsidR="000B6FEE" w:rsidRPr="00C00000" w:rsidRDefault="000B6FEE" w:rsidP="00901174">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An exception is s 236B of the </w:t>
      </w:r>
      <w:r w:rsidRPr="00C00000">
        <w:rPr>
          <w:rFonts w:asciiTheme="minorHAnsi" w:hAnsiTheme="minorHAnsi"/>
          <w:i/>
          <w:iCs/>
        </w:rPr>
        <w:t>Migration Act 1958</w:t>
      </w:r>
      <w:r w:rsidRPr="00C00000">
        <w:rPr>
          <w:rFonts w:asciiTheme="minorHAnsi" w:hAnsiTheme="minorHAnsi"/>
        </w:rPr>
        <w:t xml:space="preserve"> which requires a minimum head sentence and non-parole period to be imposed for</w:t>
      </w:r>
      <w:r w:rsidR="00F70AE7">
        <w:rPr>
          <w:rFonts w:asciiTheme="minorHAnsi" w:hAnsiTheme="minorHAnsi"/>
        </w:rPr>
        <w:t xml:space="preserve"> certain offences related to </w:t>
      </w:r>
      <w:r w:rsidRPr="00C00000">
        <w:rPr>
          <w:rFonts w:asciiTheme="minorHAnsi" w:hAnsiTheme="minorHAnsi"/>
        </w:rPr>
        <w:t>people smuggling</w:t>
      </w:r>
      <w:r w:rsidR="00F70AE7">
        <w:rPr>
          <w:rFonts w:asciiTheme="minorHAnsi" w:hAnsiTheme="minorHAnsi"/>
        </w:rPr>
        <w:t>.  See “</w:t>
      </w:r>
      <w:r w:rsidR="00F70AE7">
        <w:rPr>
          <w:rFonts w:asciiTheme="minorHAnsi" w:hAnsiTheme="minorHAnsi"/>
        </w:rPr>
        <w:fldChar w:fldCharType="begin"/>
      </w:r>
      <w:r w:rsidR="00F70AE7">
        <w:rPr>
          <w:rFonts w:asciiTheme="minorHAnsi" w:hAnsiTheme="minorHAnsi"/>
        </w:rPr>
        <w:instrText xml:space="preserve"> REF _Ref492551931 \r \h </w:instrText>
      </w:r>
      <w:r w:rsidR="00226D33">
        <w:rPr>
          <w:rFonts w:asciiTheme="minorHAnsi" w:hAnsiTheme="minorHAnsi"/>
        </w:rPr>
        <w:instrText xml:space="preserve"> \* MERGEFORMAT </w:instrText>
      </w:r>
      <w:r w:rsidR="00F70AE7">
        <w:rPr>
          <w:rFonts w:asciiTheme="minorHAnsi" w:hAnsiTheme="minorHAnsi"/>
        </w:rPr>
      </w:r>
      <w:r w:rsidR="00F70AE7">
        <w:rPr>
          <w:rFonts w:asciiTheme="minorHAnsi" w:hAnsiTheme="minorHAnsi"/>
        </w:rPr>
        <w:fldChar w:fldCharType="separate"/>
      </w:r>
      <w:r w:rsidR="00D44BCF">
        <w:rPr>
          <w:rFonts w:asciiTheme="minorHAnsi" w:hAnsiTheme="minorHAnsi"/>
        </w:rPr>
        <w:t>8.1.2</w:t>
      </w:r>
      <w:r w:rsidR="00F70AE7">
        <w:rPr>
          <w:rFonts w:asciiTheme="minorHAnsi" w:hAnsiTheme="minorHAnsi"/>
        </w:rPr>
        <w:fldChar w:fldCharType="end"/>
      </w:r>
      <w:r w:rsidR="00F70AE7">
        <w:rPr>
          <w:rFonts w:asciiTheme="minorHAnsi" w:hAnsiTheme="minorHAnsi"/>
        </w:rPr>
        <w:t xml:space="preserve"> </w:t>
      </w:r>
      <w:r w:rsidR="00F70AE7">
        <w:rPr>
          <w:rFonts w:asciiTheme="minorHAnsi" w:hAnsiTheme="minorHAnsi"/>
        </w:rPr>
        <w:fldChar w:fldCharType="begin"/>
      </w:r>
      <w:r w:rsidR="00F70AE7">
        <w:rPr>
          <w:rFonts w:asciiTheme="minorHAnsi" w:hAnsiTheme="minorHAnsi"/>
        </w:rPr>
        <w:instrText xml:space="preserve"> REF _Ref492551934 \h </w:instrText>
      </w:r>
      <w:r w:rsidR="00226D33">
        <w:rPr>
          <w:rFonts w:asciiTheme="minorHAnsi" w:hAnsiTheme="minorHAnsi"/>
        </w:rPr>
        <w:instrText xml:space="preserve"> \* MERGEFORMAT </w:instrText>
      </w:r>
      <w:r w:rsidR="00F70AE7">
        <w:rPr>
          <w:rFonts w:asciiTheme="minorHAnsi" w:hAnsiTheme="minorHAnsi"/>
        </w:rPr>
      </w:r>
      <w:r w:rsidR="00F70AE7">
        <w:rPr>
          <w:rFonts w:asciiTheme="minorHAnsi" w:hAnsiTheme="minorHAnsi"/>
        </w:rPr>
        <w:fldChar w:fldCharType="separate"/>
      </w:r>
      <w:r w:rsidR="00D44BCF" w:rsidRPr="00D44BCF">
        <w:rPr>
          <w:rFonts w:asciiTheme="minorHAnsi" w:hAnsiTheme="minorHAnsi"/>
        </w:rPr>
        <w:t>Mandatory imprisonment for certain people-smuggling offences</w:t>
      </w:r>
      <w:r w:rsidR="00F70AE7">
        <w:rPr>
          <w:rFonts w:asciiTheme="minorHAnsi" w:hAnsiTheme="minorHAnsi"/>
        </w:rPr>
        <w:fldChar w:fldCharType="end"/>
      </w:r>
      <w:r w:rsidR="00F70AE7">
        <w:rPr>
          <w:rFonts w:asciiTheme="minorHAnsi" w:hAnsiTheme="minorHAnsi"/>
        </w:rPr>
        <w:t>”.</w:t>
      </w:r>
    </w:p>
    <w:p w14:paraId="44EF6218" w14:textId="77777777" w:rsidR="000B6FEE" w:rsidRPr="00C00000" w:rsidRDefault="000B6FEE" w:rsidP="000B6FEE">
      <w:pPr>
        <w:widowControl w:val="0"/>
        <w:tabs>
          <w:tab w:val="left" w:pos="284"/>
          <w:tab w:val="left" w:pos="993"/>
        </w:tabs>
        <w:spacing w:line="276" w:lineRule="auto"/>
        <w:ind w:left="567" w:hanging="567"/>
        <w:jc w:val="both"/>
        <w:rPr>
          <w:rFonts w:asciiTheme="minorHAnsi" w:hAnsiTheme="minorHAnsi"/>
        </w:rPr>
      </w:pPr>
    </w:p>
    <w:p w14:paraId="30D4C433" w14:textId="67C8F28A" w:rsidR="005D70F3" w:rsidRPr="00364B92" w:rsidRDefault="005D70F3" w:rsidP="006D50C7">
      <w:pPr>
        <w:pStyle w:val="Heading3"/>
        <w:rPr>
          <w:bCs/>
        </w:rPr>
      </w:pPr>
      <w:bookmarkStart w:id="1717" w:name="_Toc33602881"/>
      <w:r w:rsidRPr="00364B92">
        <w:rPr>
          <w:bCs/>
        </w:rPr>
        <w:t>Aggregate sentence of imprisonment</w:t>
      </w:r>
      <w:r w:rsidR="0034401E">
        <w:rPr>
          <w:bCs/>
        </w:rPr>
        <w:t xml:space="preserve"> for multiple federal offences</w:t>
      </w:r>
      <w:bookmarkEnd w:id="1717"/>
    </w:p>
    <w:p w14:paraId="77209B5B" w14:textId="77777777" w:rsidR="00226D33" w:rsidRDefault="00226D33" w:rsidP="006D50C7">
      <w:pPr>
        <w:pStyle w:val="BlockText"/>
        <w:keepNext/>
        <w:tabs>
          <w:tab w:val="clear" w:pos="426"/>
          <w:tab w:val="clear" w:pos="993"/>
        </w:tabs>
        <w:spacing w:before="0" w:line="276" w:lineRule="auto"/>
        <w:ind w:left="567" w:right="0"/>
        <w:jc w:val="both"/>
        <w:rPr>
          <w:rFonts w:asciiTheme="minorHAnsi" w:hAnsiTheme="minorHAnsi"/>
        </w:rPr>
      </w:pPr>
    </w:p>
    <w:p w14:paraId="38F4E9DF" w14:textId="49312B74" w:rsidR="00226D33" w:rsidRPr="00C00000" w:rsidRDefault="00226D3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There is no general power to impose a</w:t>
      </w:r>
      <w:r w:rsidR="00FA5781">
        <w:rPr>
          <w:rFonts w:asciiTheme="minorHAnsi" w:hAnsiTheme="minorHAnsi"/>
        </w:rPr>
        <w:t xml:space="preserve"> single</w:t>
      </w:r>
      <w:r>
        <w:rPr>
          <w:rFonts w:asciiTheme="minorHAnsi" w:hAnsiTheme="minorHAnsi"/>
        </w:rPr>
        <w:t xml:space="preserve"> aggregate term of imprisonment for multiple federal offences.  There are, however, particular circumstances in which a court may impose an aggregate penalty, including an aggregate sentence of imprisonment, in sentencing a federal offender: see “</w:t>
      </w:r>
      <w:r>
        <w:rPr>
          <w:rFonts w:asciiTheme="minorHAnsi" w:hAnsiTheme="minorHAnsi"/>
        </w:rPr>
        <w:fldChar w:fldCharType="begin"/>
      </w:r>
      <w:r>
        <w:rPr>
          <w:rFonts w:asciiTheme="minorHAnsi" w:hAnsiTheme="minorHAnsi"/>
        </w:rPr>
        <w:instrText xml:space="preserve"> REF _Ref492823967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7.10</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_Ref492823967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Aggregate penalty</w:t>
      </w:r>
      <w:r>
        <w:rPr>
          <w:rFonts w:asciiTheme="minorHAnsi" w:hAnsiTheme="minorHAnsi"/>
        </w:rPr>
        <w:fldChar w:fldCharType="end"/>
      </w:r>
      <w:r>
        <w:rPr>
          <w:rFonts w:asciiTheme="minorHAnsi" w:hAnsiTheme="minorHAnsi"/>
        </w:rPr>
        <w:t>”.</w:t>
      </w:r>
    </w:p>
    <w:p w14:paraId="26BCD493" w14:textId="77777777" w:rsidR="00226D33" w:rsidRPr="00051102" w:rsidRDefault="00226D33" w:rsidP="00226D33">
      <w:pPr>
        <w:pStyle w:val="NormalIndent"/>
        <w:rPr>
          <w:rFonts w:ascii="Calibri" w:hAnsi="Calibri"/>
        </w:rPr>
      </w:pPr>
    </w:p>
    <w:p w14:paraId="2532D090" w14:textId="557496A1" w:rsidR="005D70F3" w:rsidRPr="00364B92" w:rsidRDefault="005D70F3" w:rsidP="006D50C7">
      <w:pPr>
        <w:pStyle w:val="Heading3"/>
      </w:pPr>
      <w:bookmarkStart w:id="1718" w:name="_Toc33602882"/>
      <w:r w:rsidRPr="00364B92">
        <w:t xml:space="preserve">Aggregate </w:t>
      </w:r>
      <w:r w:rsidR="00226D33">
        <w:t xml:space="preserve">sentence of </w:t>
      </w:r>
      <w:r w:rsidRPr="00364B92">
        <w:t>imprisonment</w:t>
      </w:r>
      <w:r w:rsidR="00226D33">
        <w:t xml:space="preserve"> for federal and State offences is not permitted</w:t>
      </w:r>
      <w:bookmarkEnd w:id="1718"/>
    </w:p>
    <w:p w14:paraId="2977EEDE" w14:textId="77777777" w:rsidR="005D70F3" w:rsidRPr="00051102" w:rsidRDefault="005D70F3" w:rsidP="006D50C7">
      <w:pPr>
        <w:keepNext/>
        <w:spacing w:line="276" w:lineRule="auto"/>
        <w:ind w:left="567"/>
        <w:jc w:val="both"/>
        <w:rPr>
          <w:rFonts w:ascii="Calibri" w:hAnsi="Calibri"/>
        </w:rPr>
      </w:pPr>
    </w:p>
    <w:p w14:paraId="24A97FF4" w14:textId="6713D6FA" w:rsidR="00226D33" w:rsidRPr="00C00000" w:rsidRDefault="00226D33" w:rsidP="00EB7F1E">
      <w:pPr>
        <w:pStyle w:val="ListParagraph"/>
        <w:numPr>
          <w:ilvl w:val="0"/>
          <w:numId w:val="7"/>
        </w:numPr>
        <w:spacing w:line="276" w:lineRule="auto"/>
        <w:ind w:left="425" w:hanging="425"/>
        <w:contextualSpacing w:val="0"/>
        <w:rPr>
          <w:rFonts w:asciiTheme="minorHAnsi" w:hAnsiTheme="minorHAnsi"/>
        </w:rPr>
      </w:pPr>
      <w:bookmarkStart w:id="1719" w:name="_Ref469911452"/>
      <w:bookmarkStart w:id="1720" w:name="_Ref469911432"/>
      <w:r w:rsidRPr="00C00000">
        <w:rPr>
          <w:rFonts w:asciiTheme="minorHAnsi" w:hAnsiTheme="minorHAnsi"/>
        </w:rPr>
        <w:t>It is not possible to impose a single aggregate period of imprisonment when sentencing on both Commonwealth and State offences.</w:t>
      </w:r>
      <w:r w:rsidRPr="00C00000">
        <w:rPr>
          <w:rStyle w:val="Style"/>
          <w:rFonts w:asciiTheme="minorHAnsi" w:hAnsiTheme="minorHAnsi"/>
        </w:rPr>
        <w:footnoteReference w:id="692"/>
      </w:r>
      <w:bookmarkEnd w:id="1719"/>
    </w:p>
    <w:p w14:paraId="159E7EA6" w14:textId="77777777" w:rsidR="00226D33" w:rsidRPr="00C00000" w:rsidRDefault="00226D33" w:rsidP="00226D33">
      <w:pPr>
        <w:tabs>
          <w:tab w:val="left" w:pos="709"/>
        </w:tabs>
        <w:spacing w:line="276" w:lineRule="auto"/>
        <w:ind w:left="862" w:right="-1" w:hanging="709"/>
        <w:jc w:val="both"/>
        <w:rPr>
          <w:rFonts w:asciiTheme="minorHAnsi" w:hAnsiTheme="minorHAnsi"/>
        </w:rPr>
      </w:pPr>
    </w:p>
    <w:p w14:paraId="402D8289" w14:textId="02CF843E" w:rsidR="00115AAB" w:rsidRPr="00E9607E" w:rsidRDefault="00115AAB" w:rsidP="006D50C7">
      <w:pPr>
        <w:pStyle w:val="Heading3"/>
      </w:pPr>
      <w:bookmarkStart w:id="1721" w:name="_Toc33602883"/>
      <w:bookmarkEnd w:id="1720"/>
      <w:r w:rsidRPr="00E9607E">
        <w:t>Commencement of sentences</w:t>
      </w:r>
      <w:bookmarkEnd w:id="1721"/>
    </w:p>
    <w:p w14:paraId="2CF59DB5" w14:textId="77777777" w:rsidR="00355BF2" w:rsidRPr="00C00000" w:rsidRDefault="00355BF2" w:rsidP="006D50C7">
      <w:pPr>
        <w:pStyle w:val="ListParagraph"/>
        <w:keepNext/>
        <w:spacing w:line="276" w:lineRule="auto"/>
        <w:ind w:left="567"/>
        <w:contextualSpacing w:val="0"/>
        <w:rPr>
          <w:rFonts w:asciiTheme="minorHAnsi" w:hAnsiTheme="minorHAnsi"/>
          <w:u w:val="single"/>
        </w:rPr>
      </w:pPr>
    </w:p>
    <w:p w14:paraId="65AFFDB8" w14:textId="4E87DE98" w:rsidR="00F11813" w:rsidRDefault="00F340FF" w:rsidP="00EB7F1E">
      <w:pPr>
        <w:pStyle w:val="ListParagraph"/>
        <w:numPr>
          <w:ilvl w:val="0"/>
          <w:numId w:val="7"/>
        </w:numPr>
        <w:spacing w:line="276" w:lineRule="auto"/>
        <w:ind w:left="425" w:hanging="425"/>
        <w:contextualSpacing w:val="0"/>
        <w:rPr>
          <w:rFonts w:asciiTheme="minorHAnsi" w:hAnsiTheme="minorHAnsi"/>
        </w:rPr>
      </w:pPr>
      <w:r w:rsidRPr="00F340FF">
        <w:rPr>
          <w:rFonts w:asciiTheme="minorHAnsi" w:hAnsiTheme="minorHAnsi"/>
        </w:rPr>
        <w:t>There is no single nationally-applicable law relating to the commencement of a federal sentence of imprisonment.</w:t>
      </w:r>
      <w:r w:rsidR="00CE3F22" w:rsidRPr="00C00000">
        <w:rPr>
          <w:rStyle w:val="Style"/>
          <w:rFonts w:asciiTheme="minorHAnsi" w:hAnsiTheme="minorHAnsi"/>
        </w:rPr>
        <w:footnoteReference w:id="693"/>
      </w:r>
      <w:r w:rsidRPr="00F340FF">
        <w:rPr>
          <w:rFonts w:asciiTheme="minorHAnsi" w:hAnsiTheme="minorHAnsi"/>
        </w:rPr>
        <w:t xml:space="preserve">  Instead, </w:t>
      </w:r>
      <w:r>
        <w:rPr>
          <w:rFonts w:asciiTheme="minorHAnsi" w:hAnsiTheme="minorHAnsi"/>
        </w:rPr>
        <w:t>s</w:t>
      </w:r>
      <w:r w:rsidR="009477CA" w:rsidRPr="00F340FF">
        <w:rPr>
          <w:rFonts w:asciiTheme="minorHAnsi" w:hAnsiTheme="minorHAnsi"/>
        </w:rPr>
        <w:t xml:space="preserve"> </w:t>
      </w:r>
      <w:r w:rsidR="00EE3292" w:rsidRPr="00F340FF">
        <w:rPr>
          <w:rFonts w:asciiTheme="minorHAnsi" w:hAnsiTheme="minorHAnsi"/>
        </w:rPr>
        <w:t xml:space="preserve">16E(1) </w:t>
      </w:r>
      <w:r w:rsidR="00885EFD" w:rsidRPr="00885EFD">
        <w:rPr>
          <w:rFonts w:asciiTheme="minorHAnsi" w:hAnsiTheme="minorHAnsi"/>
          <w:i/>
        </w:rPr>
        <w:t>Crimes Act 1914</w:t>
      </w:r>
      <w:r w:rsidR="00EE3292" w:rsidRPr="00F340FF">
        <w:rPr>
          <w:rFonts w:asciiTheme="minorHAnsi" w:hAnsiTheme="minorHAnsi"/>
        </w:rPr>
        <w:t xml:space="preserve"> </w:t>
      </w:r>
      <w:r w:rsidR="003E37EA" w:rsidRPr="00F340FF">
        <w:rPr>
          <w:rFonts w:asciiTheme="minorHAnsi" w:hAnsiTheme="minorHAnsi"/>
        </w:rPr>
        <w:t xml:space="preserve">(Cth) </w:t>
      </w:r>
      <w:r w:rsidR="009477CA" w:rsidRPr="00F340FF">
        <w:rPr>
          <w:rFonts w:asciiTheme="minorHAnsi" w:hAnsiTheme="minorHAnsi"/>
        </w:rPr>
        <w:t xml:space="preserve">provides that the law of a </w:t>
      </w:r>
      <w:r w:rsidR="00D61627" w:rsidRPr="00F340FF">
        <w:rPr>
          <w:rFonts w:asciiTheme="minorHAnsi" w:hAnsiTheme="minorHAnsi"/>
        </w:rPr>
        <w:t xml:space="preserve">State </w:t>
      </w:r>
      <w:r w:rsidR="009477CA" w:rsidRPr="00F340FF">
        <w:rPr>
          <w:rFonts w:asciiTheme="minorHAnsi" w:hAnsiTheme="minorHAnsi"/>
        </w:rPr>
        <w:t xml:space="preserve">or </w:t>
      </w:r>
      <w:r w:rsidR="00D61627" w:rsidRPr="00F340FF">
        <w:rPr>
          <w:rFonts w:asciiTheme="minorHAnsi" w:hAnsiTheme="minorHAnsi"/>
        </w:rPr>
        <w:t xml:space="preserve">Territory </w:t>
      </w:r>
      <w:r w:rsidR="00EE3292" w:rsidRPr="00F340FF">
        <w:rPr>
          <w:rFonts w:asciiTheme="minorHAnsi" w:hAnsiTheme="minorHAnsi"/>
        </w:rPr>
        <w:t xml:space="preserve">relating to the commencement of sentences and of non-parole periods applies </w:t>
      </w:r>
      <w:r w:rsidR="00DA6921" w:rsidRPr="00F340FF">
        <w:rPr>
          <w:rFonts w:asciiTheme="minorHAnsi" w:hAnsiTheme="minorHAnsi"/>
        </w:rPr>
        <w:t>to a person who is sentenced in that State or Territory for a federal offence in the same way as it applies to a person who is sentenced in that State or Territory for a State or Territory offence</w:t>
      </w:r>
      <w:r w:rsidR="00EE3292" w:rsidRPr="00F340FF">
        <w:rPr>
          <w:rFonts w:asciiTheme="minorHAnsi" w:hAnsiTheme="minorHAnsi"/>
        </w:rPr>
        <w:t xml:space="preserve">.  </w:t>
      </w:r>
    </w:p>
    <w:p w14:paraId="362550A2" w14:textId="77777777" w:rsidR="008B728D" w:rsidRPr="008B728D" w:rsidRDefault="008B728D" w:rsidP="008B728D">
      <w:pPr>
        <w:spacing w:line="276" w:lineRule="auto"/>
        <w:ind w:right="-1"/>
        <w:rPr>
          <w:rFonts w:asciiTheme="minorHAnsi" w:hAnsiTheme="minorHAnsi"/>
        </w:rPr>
      </w:pPr>
    </w:p>
    <w:p w14:paraId="7756FADA" w14:textId="60C7AFA3" w:rsidR="008B728D" w:rsidRDefault="008B728D" w:rsidP="00901174">
      <w:pPr>
        <w:pStyle w:val="ListParagraph"/>
        <w:numPr>
          <w:ilvl w:val="0"/>
          <w:numId w:val="7"/>
        </w:numPr>
        <w:spacing w:line="276" w:lineRule="auto"/>
        <w:ind w:left="425" w:hanging="425"/>
        <w:contextualSpacing w:val="0"/>
        <w:rPr>
          <w:rFonts w:asciiTheme="minorHAnsi" w:hAnsiTheme="minorHAnsi"/>
        </w:rPr>
      </w:pPr>
      <w:r w:rsidRPr="00F340FF">
        <w:rPr>
          <w:rFonts w:asciiTheme="minorHAnsi" w:hAnsiTheme="minorHAnsi"/>
        </w:rPr>
        <w:t>Section 16E(1) is subject to s 16E(2) and (3)</w:t>
      </w:r>
      <w:r>
        <w:rPr>
          <w:rFonts w:asciiTheme="minorHAnsi" w:hAnsiTheme="minorHAnsi"/>
        </w:rPr>
        <w:t xml:space="preserve">, </w:t>
      </w:r>
      <w:r w:rsidRPr="00F340FF">
        <w:rPr>
          <w:rFonts w:asciiTheme="minorHAnsi" w:hAnsiTheme="minorHAnsi"/>
        </w:rPr>
        <w:t>which relate to the effect of pre-sentence custody for the offence: see “</w:t>
      </w:r>
      <w:r w:rsidRPr="00F340FF">
        <w:rPr>
          <w:rFonts w:asciiTheme="minorHAnsi" w:hAnsiTheme="minorHAnsi"/>
        </w:rPr>
        <w:fldChar w:fldCharType="begin"/>
      </w:r>
      <w:r w:rsidRPr="00F340FF">
        <w:rPr>
          <w:rFonts w:asciiTheme="minorHAnsi" w:hAnsiTheme="minorHAnsi"/>
        </w:rPr>
        <w:instrText xml:space="preserve"> REF _Ref504752166 \r \h  \* MERGEFORMAT </w:instrText>
      </w:r>
      <w:r w:rsidRPr="00F340FF">
        <w:rPr>
          <w:rFonts w:asciiTheme="minorHAnsi" w:hAnsiTheme="minorHAnsi"/>
        </w:rPr>
      </w:r>
      <w:r w:rsidRPr="00F340FF">
        <w:rPr>
          <w:rFonts w:asciiTheme="minorHAnsi" w:hAnsiTheme="minorHAnsi"/>
        </w:rPr>
        <w:fldChar w:fldCharType="separate"/>
      </w:r>
      <w:r w:rsidR="00D44BCF">
        <w:rPr>
          <w:rFonts w:asciiTheme="minorHAnsi" w:hAnsiTheme="minorHAnsi"/>
        </w:rPr>
        <w:t>5.8.9</w:t>
      </w:r>
      <w:r w:rsidRPr="00F340FF">
        <w:rPr>
          <w:rFonts w:asciiTheme="minorHAnsi" w:hAnsiTheme="minorHAnsi"/>
        </w:rPr>
        <w:fldChar w:fldCharType="end"/>
      </w:r>
      <w:r w:rsidRPr="00F340FF">
        <w:rPr>
          <w:rFonts w:asciiTheme="minorHAnsi" w:hAnsiTheme="minorHAnsi"/>
        </w:rPr>
        <w:t xml:space="preserve"> </w:t>
      </w:r>
      <w:r w:rsidRPr="00F340FF">
        <w:rPr>
          <w:rFonts w:asciiTheme="minorHAnsi" w:hAnsiTheme="minorHAnsi"/>
        </w:rPr>
        <w:fldChar w:fldCharType="begin"/>
      </w:r>
      <w:r w:rsidRPr="00F340FF">
        <w:rPr>
          <w:rFonts w:asciiTheme="minorHAnsi" w:hAnsiTheme="minorHAnsi"/>
        </w:rPr>
        <w:instrText xml:space="preserve"> REF _Ref504752166 \h  \* MERGEFORMAT </w:instrText>
      </w:r>
      <w:r w:rsidRPr="00F340FF">
        <w:rPr>
          <w:rFonts w:asciiTheme="minorHAnsi" w:hAnsiTheme="minorHAnsi"/>
        </w:rPr>
      </w:r>
      <w:r w:rsidRPr="00F340FF">
        <w:rPr>
          <w:rFonts w:asciiTheme="minorHAnsi" w:hAnsiTheme="minorHAnsi"/>
        </w:rPr>
        <w:fldChar w:fldCharType="separate"/>
      </w:r>
      <w:r w:rsidR="00D44BCF" w:rsidRPr="00D44BCF">
        <w:rPr>
          <w:rFonts w:asciiTheme="minorHAnsi" w:hAnsiTheme="minorHAnsi"/>
        </w:rPr>
        <w:t>Credit for pre-sentence custody for the offence</w:t>
      </w:r>
      <w:r w:rsidRPr="00F340FF">
        <w:rPr>
          <w:rFonts w:asciiTheme="minorHAnsi" w:hAnsiTheme="minorHAnsi"/>
        </w:rPr>
        <w:fldChar w:fldCharType="end"/>
      </w:r>
      <w:r w:rsidRPr="00F340FF">
        <w:rPr>
          <w:rFonts w:asciiTheme="minorHAnsi" w:hAnsiTheme="minorHAnsi"/>
        </w:rPr>
        <w:t>”.</w:t>
      </w:r>
    </w:p>
    <w:p w14:paraId="13FC388B" w14:textId="01C437F3" w:rsidR="00737025" w:rsidRPr="00737025" w:rsidRDefault="00737025" w:rsidP="00737025">
      <w:pPr>
        <w:spacing w:line="276" w:lineRule="auto"/>
        <w:ind w:right="-1"/>
        <w:rPr>
          <w:rFonts w:asciiTheme="minorHAnsi" w:hAnsiTheme="minorHAnsi"/>
        </w:rPr>
      </w:pPr>
    </w:p>
    <w:p w14:paraId="7E45812C" w14:textId="7BA22C0B" w:rsidR="008B728D" w:rsidRDefault="008B728D" w:rsidP="00EB7F1E">
      <w:pPr>
        <w:pStyle w:val="ListParagraph"/>
        <w:numPr>
          <w:ilvl w:val="0"/>
          <w:numId w:val="7"/>
        </w:numPr>
        <w:spacing w:line="276" w:lineRule="auto"/>
        <w:ind w:left="425" w:hanging="425"/>
        <w:contextualSpacing w:val="0"/>
        <w:rPr>
          <w:rFonts w:asciiTheme="minorHAnsi" w:hAnsiTheme="minorHAnsi"/>
        </w:rPr>
      </w:pPr>
      <w:r w:rsidRPr="00D61627">
        <w:rPr>
          <w:rFonts w:asciiTheme="minorHAnsi" w:hAnsiTheme="minorHAnsi"/>
        </w:rPr>
        <w:t xml:space="preserve">The purpose of </w:t>
      </w:r>
      <w:r>
        <w:rPr>
          <w:rFonts w:asciiTheme="minorHAnsi" w:hAnsiTheme="minorHAnsi"/>
        </w:rPr>
        <w:t>picking up and applying State or Territory laws relating to the commencement of a sentence of imprisonment is “</w:t>
      </w:r>
      <w:r w:rsidRPr="00F14088">
        <w:rPr>
          <w:rFonts w:asciiTheme="minorHAnsi" w:hAnsiTheme="minorHAnsi"/>
          <w:i/>
        </w:rPr>
        <w:t>to avoid the problem of an offender who is sentenced to joint State and federal terms (eg a drug offender) commencing the terms on different dates</w:t>
      </w:r>
      <w:r>
        <w:rPr>
          <w:rFonts w:asciiTheme="minorHAnsi" w:hAnsiTheme="minorHAnsi"/>
        </w:rPr>
        <w:t>”</w:t>
      </w:r>
      <w:r w:rsidRPr="00D61627">
        <w:rPr>
          <w:rFonts w:asciiTheme="minorHAnsi" w:hAnsiTheme="minorHAnsi"/>
        </w:rPr>
        <w:t>.</w:t>
      </w:r>
      <w:r w:rsidRPr="00C00000">
        <w:rPr>
          <w:rStyle w:val="Style"/>
          <w:rFonts w:asciiTheme="minorHAnsi" w:hAnsiTheme="minorHAnsi"/>
        </w:rPr>
        <w:footnoteReference w:id="694"/>
      </w:r>
    </w:p>
    <w:p w14:paraId="4B797C4E" w14:textId="77777777" w:rsidR="008B728D" w:rsidRPr="00737025" w:rsidRDefault="008B728D" w:rsidP="008B728D">
      <w:pPr>
        <w:spacing w:line="276" w:lineRule="auto"/>
        <w:ind w:right="-1"/>
        <w:rPr>
          <w:rFonts w:asciiTheme="minorHAnsi" w:hAnsiTheme="minorHAnsi"/>
        </w:rPr>
      </w:pPr>
    </w:p>
    <w:p w14:paraId="23D7C9B9" w14:textId="70F2BDBF" w:rsidR="00D61627" w:rsidRDefault="00CE0AD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most jurisdictions, by default a sentence </w:t>
      </w:r>
      <w:r w:rsidR="00737025">
        <w:rPr>
          <w:rFonts w:asciiTheme="minorHAnsi" w:hAnsiTheme="minorHAnsi"/>
        </w:rPr>
        <w:t xml:space="preserve">of imprisonment commences on the day on which the </w:t>
      </w:r>
      <w:r>
        <w:rPr>
          <w:rFonts w:asciiTheme="minorHAnsi" w:hAnsiTheme="minorHAnsi"/>
        </w:rPr>
        <w:t xml:space="preserve">offender is taken into custody, or if already in custody, when </w:t>
      </w:r>
      <w:r w:rsidR="00737025">
        <w:rPr>
          <w:rFonts w:asciiTheme="minorHAnsi" w:hAnsiTheme="minorHAnsi"/>
        </w:rPr>
        <w:t>sentence is imposed.</w:t>
      </w:r>
      <w:r w:rsidR="008B2217" w:rsidRPr="00C00000">
        <w:rPr>
          <w:rStyle w:val="Style"/>
          <w:rFonts w:asciiTheme="minorHAnsi" w:hAnsiTheme="minorHAnsi"/>
        </w:rPr>
        <w:footnoteReference w:id="695"/>
      </w:r>
      <w:r w:rsidR="00737025">
        <w:rPr>
          <w:rFonts w:asciiTheme="minorHAnsi" w:hAnsiTheme="minorHAnsi"/>
        </w:rPr>
        <w:t xml:space="preserve">  </w:t>
      </w:r>
      <w:r w:rsidR="008D30A0">
        <w:rPr>
          <w:rFonts w:asciiTheme="minorHAnsi" w:hAnsiTheme="minorHAnsi"/>
        </w:rPr>
        <w:t xml:space="preserve">Laws in </w:t>
      </w:r>
      <w:r w:rsidR="00737025">
        <w:rPr>
          <w:rFonts w:asciiTheme="minorHAnsi" w:hAnsiTheme="minorHAnsi"/>
        </w:rPr>
        <w:t>some State</w:t>
      </w:r>
      <w:r w:rsidR="008D30A0">
        <w:rPr>
          <w:rFonts w:asciiTheme="minorHAnsi" w:hAnsiTheme="minorHAnsi"/>
        </w:rPr>
        <w:t>s</w:t>
      </w:r>
      <w:r w:rsidR="00737025">
        <w:rPr>
          <w:rFonts w:asciiTheme="minorHAnsi" w:hAnsiTheme="minorHAnsi"/>
        </w:rPr>
        <w:t xml:space="preserve"> and Territor</w:t>
      </w:r>
      <w:r w:rsidR="008D30A0">
        <w:rPr>
          <w:rFonts w:asciiTheme="minorHAnsi" w:hAnsiTheme="minorHAnsi"/>
        </w:rPr>
        <w:t>ies</w:t>
      </w:r>
      <w:r w:rsidR="00737025">
        <w:rPr>
          <w:rFonts w:asciiTheme="minorHAnsi" w:hAnsiTheme="minorHAnsi"/>
        </w:rPr>
        <w:t xml:space="preserve"> provide for a sentence to be backdated, either automatically or pursuant to a direction of the court</w:t>
      </w:r>
      <w:r>
        <w:rPr>
          <w:rFonts w:asciiTheme="minorHAnsi" w:hAnsiTheme="minorHAnsi"/>
        </w:rPr>
        <w:t xml:space="preserve">, </w:t>
      </w:r>
      <w:r w:rsidR="00737025">
        <w:rPr>
          <w:rFonts w:asciiTheme="minorHAnsi" w:hAnsiTheme="minorHAnsi"/>
        </w:rPr>
        <w:t>to account for periods of pre-sentence custody for the offence</w:t>
      </w:r>
      <w:r>
        <w:rPr>
          <w:rFonts w:asciiTheme="minorHAnsi" w:hAnsiTheme="minorHAnsi"/>
        </w:rPr>
        <w:t>.</w:t>
      </w:r>
      <w:r w:rsidR="00992BA2" w:rsidRPr="00C00000">
        <w:rPr>
          <w:rStyle w:val="Style"/>
          <w:rFonts w:asciiTheme="minorHAnsi" w:hAnsiTheme="minorHAnsi"/>
        </w:rPr>
        <w:footnoteReference w:id="696"/>
      </w:r>
      <w:r w:rsidR="00992BA2">
        <w:rPr>
          <w:rFonts w:asciiTheme="minorHAnsi" w:hAnsiTheme="minorHAnsi"/>
        </w:rPr>
        <w:t xml:space="preserve"> </w:t>
      </w:r>
      <w:r>
        <w:rPr>
          <w:rFonts w:asciiTheme="minorHAnsi" w:hAnsiTheme="minorHAnsi"/>
        </w:rPr>
        <w:t xml:space="preserve"> </w:t>
      </w:r>
      <w:r w:rsidR="00992BA2">
        <w:rPr>
          <w:rFonts w:asciiTheme="minorHAnsi" w:hAnsiTheme="minorHAnsi"/>
        </w:rPr>
        <w:t>In s</w:t>
      </w:r>
      <w:r w:rsidR="00621C36">
        <w:rPr>
          <w:rFonts w:asciiTheme="minorHAnsi" w:hAnsiTheme="minorHAnsi"/>
        </w:rPr>
        <w:t xml:space="preserve">ome </w:t>
      </w:r>
      <w:r w:rsidR="00384370">
        <w:rPr>
          <w:rFonts w:asciiTheme="minorHAnsi" w:hAnsiTheme="minorHAnsi"/>
        </w:rPr>
        <w:t>jurisdictions</w:t>
      </w:r>
      <w:r w:rsidR="00992BA2">
        <w:rPr>
          <w:rFonts w:asciiTheme="minorHAnsi" w:hAnsiTheme="minorHAnsi"/>
        </w:rPr>
        <w:t xml:space="preserve">, a court may direct that </w:t>
      </w:r>
      <w:r w:rsidR="00621C36">
        <w:rPr>
          <w:rFonts w:asciiTheme="minorHAnsi" w:hAnsiTheme="minorHAnsi"/>
        </w:rPr>
        <w:t xml:space="preserve">a sentence </w:t>
      </w:r>
      <w:r w:rsidR="00992BA2">
        <w:rPr>
          <w:rFonts w:asciiTheme="minorHAnsi" w:hAnsiTheme="minorHAnsi"/>
        </w:rPr>
        <w:t>commence at a later date, at the completion of other sentences.</w:t>
      </w:r>
      <w:r w:rsidR="00992BA2" w:rsidRPr="00C00000">
        <w:rPr>
          <w:rStyle w:val="Style"/>
          <w:rFonts w:asciiTheme="minorHAnsi" w:hAnsiTheme="minorHAnsi"/>
        </w:rPr>
        <w:footnoteReference w:id="697"/>
      </w:r>
      <w:r w:rsidR="00992BA2">
        <w:rPr>
          <w:rFonts w:asciiTheme="minorHAnsi" w:hAnsiTheme="minorHAnsi"/>
        </w:rPr>
        <w:t xml:space="preserve">  </w:t>
      </w:r>
      <w:r w:rsidR="008B728D">
        <w:rPr>
          <w:rFonts w:asciiTheme="minorHAnsi" w:hAnsiTheme="minorHAnsi"/>
        </w:rPr>
        <w:t xml:space="preserve">Such State </w:t>
      </w:r>
      <w:r>
        <w:rPr>
          <w:rFonts w:asciiTheme="minorHAnsi" w:hAnsiTheme="minorHAnsi"/>
        </w:rPr>
        <w:t xml:space="preserve">or Territory </w:t>
      </w:r>
      <w:r w:rsidR="008B728D">
        <w:rPr>
          <w:rFonts w:asciiTheme="minorHAnsi" w:hAnsiTheme="minorHAnsi"/>
        </w:rPr>
        <w:t>laws are generally picked up and applied by s 16</w:t>
      </w:r>
      <w:r w:rsidR="002612CC">
        <w:rPr>
          <w:rFonts w:asciiTheme="minorHAnsi" w:hAnsiTheme="minorHAnsi"/>
        </w:rPr>
        <w:t>E</w:t>
      </w:r>
      <w:r w:rsidR="008B728D">
        <w:rPr>
          <w:rFonts w:asciiTheme="minorHAnsi" w:hAnsiTheme="minorHAnsi"/>
        </w:rPr>
        <w:t>.</w:t>
      </w:r>
      <w:r w:rsidR="00992BA2" w:rsidRPr="00992BA2">
        <w:rPr>
          <w:rFonts w:asciiTheme="minorHAnsi" w:hAnsiTheme="minorHAnsi" w:cstheme="minorHAnsi"/>
          <w:i/>
        </w:rPr>
        <w:t xml:space="preserve"> </w:t>
      </w:r>
    </w:p>
    <w:p w14:paraId="4262D9EF" w14:textId="77777777" w:rsidR="00C120AE" w:rsidRPr="00C120AE" w:rsidRDefault="00C120AE" w:rsidP="00C120AE">
      <w:pPr>
        <w:pStyle w:val="ListParagraph"/>
        <w:rPr>
          <w:rFonts w:asciiTheme="minorHAnsi" w:hAnsiTheme="minorHAnsi"/>
        </w:rPr>
      </w:pPr>
    </w:p>
    <w:p w14:paraId="1B60964E" w14:textId="5B47BED1" w:rsidR="008B728D" w:rsidRDefault="00496C72"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application of State and Territory laws relating to the commencement of a sentence of imprisonment is subject to an implicit </w:t>
      </w:r>
      <w:r w:rsidR="009A7926">
        <w:rPr>
          <w:rFonts w:asciiTheme="minorHAnsi" w:hAnsiTheme="minorHAnsi"/>
        </w:rPr>
        <w:t xml:space="preserve">but important </w:t>
      </w:r>
      <w:r>
        <w:rPr>
          <w:rFonts w:asciiTheme="minorHAnsi" w:hAnsiTheme="minorHAnsi"/>
        </w:rPr>
        <w:t xml:space="preserve">qualification under s 19 of the </w:t>
      </w:r>
      <w:r w:rsidR="00885EFD" w:rsidRPr="00885EFD">
        <w:rPr>
          <w:rFonts w:asciiTheme="minorHAnsi" w:hAnsiTheme="minorHAnsi"/>
          <w:i/>
        </w:rPr>
        <w:t>Crimes Act 1914</w:t>
      </w:r>
      <w:r>
        <w:rPr>
          <w:rFonts w:asciiTheme="minorHAnsi" w:hAnsiTheme="minorHAnsi"/>
        </w:rPr>
        <w:t xml:space="preserve"> (Cth).  That provision requires a court sentencing a federal offender to direct when the sentence for a federal offence commences, if the offender is sentenced </w:t>
      </w:r>
      <w:r w:rsidR="009A7926">
        <w:rPr>
          <w:rFonts w:asciiTheme="minorHAnsi" w:hAnsiTheme="minorHAnsi"/>
        </w:rPr>
        <w:t xml:space="preserve">to imprisonment </w:t>
      </w:r>
      <w:r>
        <w:rPr>
          <w:rFonts w:asciiTheme="minorHAnsi" w:hAnsiTheme="minorHAnsi"/>
        </w:rPr>
        <w:t>for more than one offence (including a State or Territory offence)</w:t>
      </w:r>
      <w:r w:rsidR="009A7926">
        <w:rPr>
          <w:rFonts w:asciiTheme="minorHAnsi" w:hAnsiTheme="minorHAnsi"/>
        </w:rPr>
        <w:t xml:space="preserve"> or is already serving a sentence of imprisonment.  By that means, cumulation or concurrency of sentences is achieved.  See “</w:t>
      </w:r>
      <w:r w:rsidR="009A7926">
        <w:rPr>
          <w:rFonts w:asciiTheme="minorHAnsi" w:hAnsiTheme="minorHAnsi"/>
        </w:rPr>
        <w:fldChar w:fldCharType="begin"/>
      </w:r>
      <w:r w:rsidR="009A7926">
        <w:rPr>
          <w:rFonts w:asciiTheme="minorHAnsi" w:hAnsiTheme="minorHAnsi"/>
        </w:rPr>
        <w:instrText xml:space="preserve"> REF _Ref504834699 \r \h  \* MERGEFORMAT </w:instrText>
      </w:r>
      <w:r w:rsidR="009A7926">
        <w:rPr>
          <w:rFonts w:asciiTheme="minorHAnsi" w:hAnsiTheme="minorHAnsi"/>
        </w:rPr>
      </w:r>
      <w:r w:rsidR="009A7926">
        <w:rPr>
          <w:rFonts w:asciiTheme="minorHAnsi" w:hAnsiTheme="minorHAnsi"/>
        </w:rPr>
        <w:fldChar w:fldCharType="separate"/>
      </w:r>
      <w:r w:rsidR="00D44BCF">
        <w:rPr>
          <w:rFonts w:asciiTheme="minorHAnsi" w:hAnsiTheme="minorHAnsi"/>
        </w:rPr>
        <w:t>5.9</w:t>
      </w:r>
      <w:r w:rsidR="009A7926">
        <w:rPr>
          <w:rFonts w:asciiTheme="minorHAnsi" w:hAnsiTheme="minorHAnsi"/>
        </w:rPr>
        <w:fldChar w:fldCharType="end"/>
      </w:r>
      <w:r w:rsidR="009A7926">
        <w:rPr>
          <w:rFonts w:asciiTheme="minorHAnsi" w:hAnsiTheme="minorHAnsi"/>
        </w:rPr>
        <w:t xml:space="preserve"> </w:t>
      </w:r>
      <w:r w:rsidR="009A7926">
        <w:rPr>
          <w:rFonts w:asciiTheme="minorHAnsi" w:hAnsiTheme="minorHAnsi"/>
        </w:rPr>
        <w:fldChar w:fldCharType="begin"/>
      </w:r>
      <w:r w:rsidR="009A7926">
        <w:rPr>
          <w:rFonts w:asciiTheme="minorHAnsi" w:hAnsiTheme="minorHAnsi"/>
        </w:rPr>
        <w:instrText xml:space="preserve"> REF _Ref504834702 \h  \* MERGEFORMAT </w:instrText>
      </w:r>
      <w:r w:rsidR="009A7926">
        <w:rPr>
          <w:rFonts w:asciiTheme="minorHAnsi" w:hAnsiTheme="minorHAnsi"/>
        </w:rPr>
      </w:r>
      <w:r w:rsidR="009A7926">
        <w:rPr>
          <w:rFonts w:asciiTheme="minorHAnsi" w:hAnsiTheme="minorHAnsi"/>
        </w:rPr>
        <w:fldChar w:fldCharType="separate"/>
      </w:r>
      <w:r w:rsidR="00D44BCF" w:rsidRPr="00D44BCF">
        <w:rPr>
          <w:rFonts w:asciiTheme="minorHAnsi" w:hAnsiTheme="minorHAnsi"/>
        </w:rPr>
        <w:t>Imprisonment: concurrency or cumulation of sentences</w:t>
      </w:r>
      <w:r w:rsidR="009A7926">
        <w:rPr>
          <w:rFonts w:asciiTheme="minorHAnsi" w:hAnsiTheme="minorHAnsi"/>
        </w:rPr>
        <w:fldChar w:fldCharType="end"/>
      </w:r>
      <w:r w:rsidR="009A7926">
        <w:rPr>
          <w:rFonts w:asciiTheme="minorHAnsi" w:hAnsiTheme="minorHAnsi"/>
        </w:rPr>
        <w:t>”.</w:t>
      </w:r>
    </w:p>
    <w:p w14:paraId="31C594F7" w14:textId="77777777" w:rsidR="005418C2" w:rsidRPr="00EB7F1E" w:rsidRDefault="005418C2" w:rsidP="00EB7F1E">
      <w:pPr>
        <w:pStyle w:val="ListParagraph"/>
        <w:rPr>
          <w:rFonts w:asciiTheme="minorHAnsi" w:hAnsiTheme="minorHAnsi"/>
        </w:rPr>
      </w:pPr>
    </w:p>
    <w:p w14:paraId="33E5E097" w14:textId="20CF92C6" w:rsidR="00757BB4" w:rsidRDefault="005418C2" w:rsidP="00EB7F1E">
      <w:pPr>
        <w:pStyle w:val="ListParagraph"/>
        <w:numPr>
          <w:ilvl w:val="0"/>
          <w:numId w:val="7"/>
        </w:numPr>
        <w:spacing w:line="276" w:lineRule="auto"/>
        <w:ind w:left="425" w:hanging="425"/>
        <w:contextualSpacing w:val="0"/>
        <w:rPr>
          <w:rFonts w:asciiTheme="minorHAnsi" w:hAnsiTheme="minorHAnsi"/>
        </w:rPr>
      </w:pPr>
      <w:r w:rsidRPr="00757BB4">
        <w:rPr>
          <w:rFonts w:asciiTheme="minorHAnsi" w:hAnsiTheme="minorHAnsi"/>
        </w:rPr>
        <w:t>Alt</w:t>
      </w:r>
      <w:r w:rsidRPr="00BB25EE">
        <w:rPr>
          <w:rFonts w:asciiTheme="minorHAnsi" w:hAnsiTheme="minorHAnsi"/>
        </w:rPr>
        <w:t xml:space="preserve">hough State and Territory laws generally apply in relation to </w:t>
      </w:r>
      <w:r w:rsidRPr="00EB7F1E">
        <w:rPr>
          <w:rFonts w:asciiTheme="minorHAnsi" w:hAnsiTheme="minorHAnsi"/>
          <w:i/>
        </w:rPr>
        <w:t xml:space="preserve">the commencement of a </w:t>
      </w:r>
      <w:r w:rsidRPr="00757BB4">
        <w:rPr>
          <w:rFonts w:asciiTheme="minorHAnsi" w:hAnsiTheme="minorHAnsi"/>
          <w:i/>
        </w:rPr>
        <w:t xml:space="preserve">federal </w:t>
      </w:r>
      <w:r w:rsidRPr="00EB7F1E">
        <w:rPr>
          <w:rFonts w:asciiTheme="minorHAnsi" w:hAnsiTheme="minorHAnsi"/>
          <w:i/>
        </w:rPr>
        <w:t>sentence of imprisonment</w:t>
      </w:r>
      <w:r w:rsidRPr="00757BB4">
        <w:rPr>
          <w:rFonts w:asciiTheme="minorHAnsi" w:hAnsiTheme="minorHAnsi"/>
        </w:rPr>
        <w:t xml:space="preserve"> (t</w:t>
      </w:r>
      <w:r w:rsidRPr="00BB25EE">
        <w:rPr>
          <w:rFonts w:asciiTheme="minorHAnsi" w:hAnsiTheme="minorHAnsi"/>
        </w:rPr>
        <w:t xml:space="preserve">hat is, the head sentence), the </w:t>
      </w:r>
      <w:r w:rsidRPr="00EB7F1E">
        <w:rPr>
          <w:rFonts w:asciiTheme="minorHAnsi" w:hAnsiTheme="minorHAnsi"/>
          <w:i/>
        </w:rPr>
        <w:t>Crimes Act 1914</w:t>
      </w:r>
      <w:r w:rsidRPr="00757BB4">
        <w:rPr>
          <w:rFonts w:asciiTheme="minorHAnsi" w:hAnsiTheme="minorHAnsi"/>
        </w:rPr>
        <w:t xml:space="preserve"> (C</w:t>
      </w:r>
      <w:r w:rsidRPr="00BB25EE">
        <w:rPr>
          <w:rFonts w:asciiTheme="minorHAnsi" w:hAnsiTheme="minorHAnsi"/>
        </w:rPr>
        <w:t>th) makes comprehensive provision (to the exclusion of State and Territory laws</w:t>
      </w:r>
      <w:r w:rsidR="00757BB4" w:rsidRPr="00C00000">
        <w:rPr>
          <w:rStyle w:val="Style"/>
          <w:rFonts w:asciiTheme="minorHAnsi" w:hAnsiTheme="minorHAnsi"/>
        </w:rPr>
        <w:footnoteReference w:id="698"/>
      </w:r>
      <w:r w:rsidRPr="00757BB4">
        <w:rPr>
          <w:rFonts w:asciiTheme="minorHAnsi" w:hAnsiTheme="minorHAnsi"/>
        </w:rPr>
        <w:t>) fo</w:t>
      </w:r>
      <w:r w:rsidRPr="00BB25EE">
        <w:rPr>
          <w:rFonts w:asciiTheme="minorHAnsi" w:hAnsiTheme="minorHAnsi"/>
        </w:rPr>
        <w:t>r the making of orders governing the period, or minimum period</w:t>
      </w:r>
      <w:r w:rsidR="00757BB4" w:rsidRPr="00BB25EE">
        <w:rPr>
          <w:rFonts w:asciiTheme="minorHAnsi" w:hAnsiTheme="minorHAnsi"/>
        </w:rPr>
        <w:t>,</w:t>
      </w:r>
      <w:r w:rsidRPr="00BB25EE">
        <w:rPr>
          <w:rFonts w:asciiTheme="minorHAnsi" w:hAnsiTheme="minorHAnsi"/>
        </w:rPr>
        <w:t xml:space="preserve"> to be served.  </w:t>
      </w:r>
      <w:r w:rsidR="00757BB4" w:rsidRPr="00BB25EE">
        <w:rPr>
          <w:rFonts w:asciiTheme="minorHAnsi" w:hAnsiTheme="minorHAnsi"/>
        </w:rPr>
        <w:t>See “</w:t>
      </w:r>
      <w:r w:rsidR="00757BB4" w:rsidRPr="00757BB4">
        <w:rPr>
          <w:rFonts w:asciiTheme="minorHAnsi" w:hAnsiTheme="minorHAnsi"/>
        </w:rPr>
        <w:fldChar w:fldCharType="begin"/>
      </w:r>
      <w:r w:rsidR="00757BB4" w:rsidRPr="00757BB4">
        <w:rPr>
          <w:rFonts w:asciiTheme="minorHAnsi" w:hAnsiTheme="minorHAnsi"/>
        </w:rPr>
        <w:instrText xml:space="preserve"> REF _Ref8453143 \r \h  \* MERGEFORMAT </w:instrText>
      </w:r>
      <w:r w:rsidR="00757BB4" w:rsidRPr="00757BB4">
        <w:rPr>
          <w:rFonts w:asciiTheme="minorHAnsi" w:hAnsiTheme="minorHAnsi"/>
        </w:rPr>
      </w:r>
      <w:r w:rsidR="00757BB4" w:rsidRPr="00757BB4">
        <w:rPr>
          <w:rFonts w:asciiTheme="minorHAnsi" w:hAnsiTheme="minorHAnsi"/>
        </w:rPr>
        <w:fldChar w:fldCharType="separate"/>
      </w:r>
      <w:r w:rsidR="00D44BCF">
        <w:rPr>
          <w:rFonts w:asciiTheme="minorHAnsi" w:hAnsiTheme="minorHAnsi"/>
        </w:rPr>
        <w:t>5.10</w:t>
      </w:r>
      <w:r w:rsidR="00757BB4" w:rsidRPr="00757BB4">
        <w:rPr>
          <w:rFonts w:asciiTheme="minorHAnsi" w:hAnsiTheme="minorHAnsi"/>
        </w:rPr>
        <w:fldChar w:fldCharType="end"/>
      </w:r>
      <w:r w:rsidR="00757BB4" w:rsidRPr="00757BB4">
        <w:rPr>
          <w:rFonts w:asciiTheme="minorHAnsi" w:hAnsiTheme="minorHAnsi"/>
        </w:rPr>
        <w:t xml:space="preserve"> </w:t>
      </w:r>
      <w:r w:rsidR="00757BB4" w:rsidRPr="00757BB4">
        <w:rPr>
          <w:rFonts w:asciiTheme="minorHAnsi" w:hAnsiTheme="minorHAnsi"/>
        </w:rPr>
        <w:fldChar w:fldCharType="begin"/>
      </w:r>
      <w:r w:rsidR="00757BB4" w:rsidRPr="00757BB4">
        <w:rPr>
          <w:rFonts w:asciiTheme="minorHAnsi" w:hAnsiTheme="minorHAnsi"/>
        </w:rPr>
        <w:instrText xml:space="preserve"> REF _Ref8453146 \h  \* MERGEFORMAT </w:instrText>
      </w:r>
      <w:r w:rsidR="00757BB4" w:rsidRPr="00757BB4">
        <w:rPr>
          <w:rFonts w:asciiTheme="minorHAnsi" w:hAnsiTheme="minorHAnsi"/>
        </w:rPr>
      </w:r>
      <w:r w:rsidR="00757BB4" w:rsidRPr="00757BB4">
        <w:rPr>
          <w:rFonts w:asciiTheme="minorHAnsi" w:hAnsiTheme="minorHAnsi"/>
        </w:rPr>
        <w:fldChar w:fldCharType="separate"/>
      </w:r>
      <w:r w:rsidR="00D44BCF" w:rsidRPr="00D44BCF">
        <w:rPr>
          <w:rFonts w:asciiTheme="minorHAnsi" w:hAnsiTheme="minorHAnsi"/>
        </w:rPr>
        <w:t>Imprisonment: period to be served</w:t>
      </w:r>
      <w:r w:rsidR="00757BB4" w:rsidRPr="00757BB4">
        <w:rPr>
          <w:rFonts w:asciiTheme="minorHAnsi" w:hAnsiTheme="minorHAnsi"/>
        </w:rPr>
        <w:fldChar w:fldCharType="end"/>
      </w:r>
      <w:r w:rsidR="00757BB4" w:rsidRPr="00757BB4">
        <w:rPr>
          <w:rFonts w:asciiTheme="minorHAnsi" w:hAnsiTheme="minorHAnsi"/>
        </w:rPr>
        <w:t>”.</w:t>
      </w:r>
    </w:p>
    <w:p w14:paraId="69AF554E" w14:textId="77777777" w:rsidR="00BB25EE" w:rsidRPr="00EB7F1E" w:rsidRDefault="00BB25EE" w:rsidP="00EB7F1E">
      <w:pPr>
        <w:pStyle w:val="ListParagraph"/>
        <w:rPr>
          <w:rFonts w:asciiTheme="minorHAnsi" w:hAnsiTheme="minorHAnsi"/>
        </w:rPr>
      </w:pPr>
    </w:p>
    <w:p w14:paraId="147AACAA" w14:textId="5D0D2697" w:rsidR="00BB25EE" w:rsidRPr="00757BB4" w:rsidRDefault="00BB25E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 non-parole period for one or more federal offences cannot be fixed to commence earlier than the commencement date of the head sentence(s).</w:t>
      </w:r>
      <w:r w:rsidRPr="00C00000">
        <w:rPr>
          <w:rStyle w:val="Style"/>
          <w:rFonts w:asciiTheme="minorHAnsi" w:hAnsiTheme="minorHAnsi"/>
        </w:rPr>
        <w:footnoteReference w:id="699"/>
      </w:r>
    </w:p>
    <w:p w14:paraId="6372E4BB" w14:textId="77777777" w:rsidR="008B728D" w:rsidRPr="00D61627" w:rsidRDefault="008B728D" w:rsidP="008B728D">
      <w:pPr>
        <w:spacing w:line="276" w:lineRule="auto"/>
        <w:ind w:right="-1"/>
        <w:rPr>
          <w:rFonts w:asciiTheme="minorHAnsi" w:hAnsiTheme="minorHAnsi"/>
        </w:rPr>
      </w:pPr>
    </w:p>
    <w:p w14:paraId="20F57EB4" w14:textId="4D769BAD" w:rsidR="001B550F" w:rsidRDefault="00040AC0" w:rsidP="006D50C7">
      <w:pPr>
        <w:pStyle w:val="Heading3"/>
      </w:pPr>
      <w:bookmarkStart w:id="1722" w:name="_Ref504752166"/>
      <w:bookmarkStart w:id="1723" w:name="_Toc33602884"/>
      <w:r>
        <w:t>Credit for p</w:t>
      </w:r>
      <w:r w:rsidR="001B550F">
        <w:t>re-sentence custody for the offence</w:t>
      </w:r>
      <w:bookmarkEnd w:id="1722"/>
      <w:bookmarkEnd w:id="1723"/>
    </w:p>
    <w:p w14:paraId="48294AD3" w14:textId="77777777" w:rsidR="001B550F" w:rsidRPr="00051102" w:rsidRDefault="001B550F" w:rsidP="006D50C7">
      <w:pPr>
        <w:pStyle w:val="NormalIndent"/>
        <w:keepNext/>
        <w:spacing w:line="276" w:lineRule="auto"/>
        <w:jc w:val="both"/>
        <w:rPr>
          <w:rFonts w:ascii="Calibri" w:hAnsi="Calibri"/>
        </w:rPr>
      </w:pPr>
    </w:p>
    <w:p w14:paraId="223EBFC0" w14:textId="0BE78C64" w:rsidR="00670177" w:rsidRDefault="00402902" w:rsidP="00EB7F1E">
      <w:pPr>
        <w:pStyle w:val="ListParagraph"/>
        <w:numPr>
          <w:ilvl w:val="0"/>
          <w:numId w:val="7"/>
        </w:numPr>
        <w:spacing w:line="276" w:lineRule="auto"/>
        <w:ind w:left="425" w:hanging="425"/>
        <w:contextualSpacing w:val="0"/>
        <w:rPr>
          <w:rFonts w:asciiTheme="minorHAnsi" w:hAnsiTheme="minorHAnsi"/>
        </w:rPr>
      </w:pPr>
      <w:bookmarkStart w:id="1724" w:name="_Ref469663205"/>
      <w:r>
        <w:rPr>
          <w:rFonts w:asciiTheme="minorHAnsi" w:hAnsiTheme="minorHAnsi"/>
        </w:rPr>
        <w:t>In general,</w:t>
      </w:r>
      <w:r w:rsidRPr="00402902">
        <w:rPr>
          <w:rFonts w:asciiTheme="minorHAnsi" w:hAnsiTheme="minorHAnsi"/>
        </w:rPr>
        <w:t xml:space="preserve"> </w:t>
      </w:r>
      <w:r>
        <w:rPr>
          <w:rFonts w:asciiTheme="minorHAnsi" w:hAnsiTheme="minorHAnsi"/>
        </w:rPr>
        <w:t xml:space="preserve">a federal offender who is sentenced to imprisonment will be given credit for pre-sentence custody for the offence.  </w:t>
      </w:r>
      <w:r w:rsidR="00670177">
        <w:rPr>
          <w:rFonts w:asciiTheme="minorHAnsi" w:hAnsiTheme="minorHAnsi"/>
        </w:rPr>
        <w:t xml:space="preserve">Sub-sections 16E(2) and (3) of the </w:t>
      </w:r>
      <w:r w:rsidR="00885EFD" w:rsidRPr="00885EFD">
        <w:rPr>
          <w:rFonts w:asciiTheme="minorHAnsi" w:hAnsiTheme="minorHAnsi"/>
          <w:i/>
        </w:rPr>
        <w:t>Crimes Act 1914</w:t>
      </w:r>
      <w:r w:rsidR="00670177">
        <w:rPr>
          <w:rFonts w:asciiTheme="minorHAnsi" w:hAnsiTheme="minorHAnsi"/>
        </w:rPr>
        <w:t xml:space="preserve"> (Cth) provide for ways in which </w:t>
      </w:r>
      <w:r>
        <w:rPr>
          <w:rFonts w:asciiTheme="minorHAnsi" w:hAnsiTheme="minorHAnsi"/>
        </w:rPr>
        <w:t xml:space="preserve">such credit may be given. </w:t>
      </w:r>
    </w:p>
    <w:p w14:paraId="3478E41F" w14:textId="77777777" w:rsidR="00670177" w:rsidRPr="00670177" w:rsidRDefault="00670177" w:rsidP="00670177">
      <w:pPr>
        <w:spacing w:line="276" w:lineRule="auto"/>
        <w:ind w:right="-1"/>
        <w:rPr>
          <w:rFonts w:asciiTheme="minorHAnsi" w:hAnsiTheme="minorHAnsi"/>
        </w:rPr>
      </w:pPr>
    </w:p>
    <w:p w14:paraId="0677EB54" w14:textId="36C3B106" w:rsidR="00CF1DEB" w:rsidRDefault="00EE3292"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16E(2) </w:t>
      </w:r>
      <w:r w:rsidR="009477CA" w:rsidRPr="00C00000">
        <w:rPr>
          <w:rFonts w:asciiTheme="minorHAnsi" w:hAnsiTheme="minorHAnsi"/>
        </w:rPr>
        <w:t xml:space="preserve">provides that </w:t>
      </w:r>
      <w:r w:rsidR="009477CA" w:rsidRPr="00923DF5">
        <w:rPr>
          <w:rFonts w:asciiTheme="minorHAnsi" w:hAnsiTheme="minorHAnsi"/>
        </w:rPr>
        <w:t>where a law of a state or t</w:t>
      </w:r>
      <w:r w:rsidRPr="00923DF5">
        <w:rPr>
          <w:rFonts w:asciiTheme="minorHAnsi" w:hAnsiTheme="minorHAnsi"/>
        </w:rPr>
        <w:t xml:space="preserve">erritory has the effect that a sentence of imprisonment </w:t>
      </w:r>
      <w:r w:rsidR="000805CA" w:rsidRPr="00923DF5">
        <w:rPr>
          <w:rFonts w:asciiTheme="minorHAnsi" w:hAnsiTheme="minorHAnsi"/>
        </w:rPr>
        <w:t xml:space="preserve">may be reduced by the period that the person has been in custody for the offence or </w:t>
      </w:r>
      <w:r w:rsidRPr="00923DF5">
        <w:rPr>
          <w:rFonts w:asciiTheme="minorHAnsi" w:hAnsiTheme="minorHAnsi"/>
        </w:rPr>
        <w:t>is to commence on the day in which a person was taken into custody for that offence</w:t>
      </w:r>
      <w:r w:rsidRPr="00C00000">
        <w:rPr>
          <w:rFonts w:asciiTheme="minorHAnsi" w:hAnsiTheme="minorHAnsi"/>
        </w:rPr>
        <w:t xml:space="preserve">, that </w:t>
      </w:r>
      <w:r w:rsidR="00040AC0">
        <w:rPr>
          <w:rFonts w:asciiTheme="minorHAnsi" w:hAnsiTheme="minorHAnsi"/>
        </w:rPr>
        <w:t xml:space="preserve">law </w:t>
      </w:r>
      <w:r w:rsidR="00040AC0" w:rsidRPr="00040AC0">
        <w:rPr>
          <w:rFonts w:asciiTheme="minorHAnsi" w:hAnsiTheme="minorHAnsi"/>
        </w:rPr>
        <w:t>applies in the same way to a federal sentence imposed on a person in that State or Territory or to a non-parole period fixed in respect of that sentence.</w:t>
      </w:r>
      <w:r w:rsidRPr="00C00000">
        <w:rPr>
          <w:rFonts w:asciiTheme="minorHAnsi" w:hAnsiTheme="minorHAnsi"/>
        </w:rPr>
        <w:t xml:space="preserve"> </w:t>
      </w:r>
      <w:bookmarkEnd w:id="1724"/>
    </w:p>
    <w:p w14:paraId="248897A6" w14:textId="77777777" w:rsidR="000805CA" w:rsidRPr="000805CA" w:rsidRDefault="000805CA" w:rsidP="000805CA">
      <w:pPr>
        <w:pStyle w:val="ListParagraph"/>
        <w:rPr>
          <w:rFonts w:asciiTheme="minorHAnsi" w:hAnsiTheme="minorHAnsi"/>
        </w:rPr>
      </w:pPr>
    </w:p>
    <w:p w14:paraId="44D47322" w14:textId="21E898F1" w:rsidR="00521830" w:rsidRDefault="00535116" w:rsidP="00EB7F1E">
      <w:pPr>
        <w:pStyle w:val="ListParagraph"/>
        <w:numPr>
          <w:ilvl w:val="0"/>
          <w:numId w:val="7"/>
        </w:numPr>
        <w:spacing w:line="276" w:lineRule="auto"/>
        <w:ind w:left="425" w:hanging="425"/>
        <w:contextualSpacing w:val="0"/>
        <w:rPr>
          <w:rFonts w:asciiTheme="minorHAnsi" w:hAnsiTheme="minorHAnsi"/>
        </w:rPr>
      </w:pPr>
      <w:bookmarkStart w:id="1725" w:name="_Ref469577151"/>
      <w:r>
        <w:rPr>
          <w:rFonts w:asciiTheme="minorHAnsi" w:hAnsiTheme="minorHAnsi"/>
        </w:rPr>
        <w:t xml:space="preserve">Examples of </w:t>
      </w:r>
      <w:r w:rsidR="00521830">
        <w:rPr>
          <w:rFonts w:asciiTheme="minorHAnsi" w:hAnsiTheme="minorHAnsi"/>
        </w:rPr>
        <w:t>State or Territory law</w:t>
      </w:r>
      <w:r>
        <w:rPr>
          <w:rFonts w:asciiTheme="minorHAnsi" w:hAnsiTheme="minorHAnsi"/>
        </w:rPr>
        <w:t>s which plainly fall within s 16E(2) are laws which provide</w:t>
      </w:r>
      <w:r w:rsidR="007C4B45">
        <w:rPr>
          <w:rFonts w:asciiTheme="minorHAnsi" w:hAnsiTheme="minorHAnsi"/>
        </w:rPr>
        <w:t xml:space="preserve"> for</w:t>
      </w:r>
      <w:r w:rsidR="00521830">
        <w:rPr>
          <w:rFonts w:asciiTheme="minorHAnsi" w:hAnsiTheme="minorHAnsi"/>
        </w:rPr>
        <w:t>:</w:t>
      </w:r>
    </w:p>
    <w:p w14:paraId="4110F479" w14:textId="1CABDD23" w:rsidR="00402902" w:rsidRDefault="00402902"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 sentencing court </w:t>
      </w:r>
      <w:r w:rsidR="007C4B45">
        <w:rPr>
          <w:rFonts w:asciiTheme="minorHAnsi" w:hAnsiTheme="minorHAnsi"/>
        </w:rPr>
        <w:t>to</w:t>
      </w:r>
      <w:r>
        <w:rPr>
          <w:rFonts w:asciiTheme="minorHAnsi" w:hAnsiTheme="minorHAnsi"/>
        </w:rPr>
        <w:t xml:space="preserve"> </w:t>
      </w:r>
      <w:r w:rsidRPr="00CE43E2">
        <w:rPr>
          <w:rFonts w:asciiTheme="minorHAnsi" w:hAnsiTheme="minorHAnsi"/>
          <w:b/>
        </w:rPr>
        <w:t>backdate a sentence</w:t>
      </w:r>
      <w:r>
        <w:rPr>
          <w:rFonts w:asciiTheme="minorHAnsi" w:hAnsiTheme="minorHAnsi"/>
        </w:rPr>
        <w:t xml:space="preserve"> to the commencement of custody for the offence</w:t>
      </w:r>
      <w:r w:rsidR="00860501">
        <w:rPr>
          <w:rFonts w:asciiTheme="minorHAnsi" w:hAnsiTheme="minorHAnsi"/>
        </w:rPr>
        <w:t xml:space="preserve"> to allow for the offender</w:t>
      </w:r>
      <w:r w:rsidR="00AA693C">
        <w:rPr>
          <w:rFonts w:asciiTheme="minorHAnsi" w:hAnsiTheme="minorHAnsi"/>
        </w:rPr>
        <w:t>’</w:t>
      </w:r>
      <w:r w:rsidR="00860501">
        <w:rPr>
          <w:rFonts w:asciiTheme="minorHAnsi" w:hAnsiTheme="minorHAnsi"/>
        </w:rPr>
        <w:t>s pre-sentence custody for the offence</w:t>
      </w:r>
      <w:r>
        <w:rPr>
          <w:rFonts w:asciiTheme="minorHAnsi" w:hAnsiTheme="minorHAnsi"/>
        </w:rPr>
        <w:t>;</w:t>
      </w:r>
      <w:r w:rsidRPr="00295C71">
        <w:rPr>
          <w:rStyle w:val="Style"/>
          <w:rFonts w:asciiTheme="minorHAnsi" w:hAnsiTheme="minorHAnsi"/>
        </w:rPr>
        <w:footnoteReference w:id="700"/>
      </w:r>
      <w:r>
        <w:rPr>
          <w:rFonts w:asciiTheme="minorHAnsi" w:hAnsiTheme="minorHAnsi"/>
        </w:rPr>
        <w:t xml:space="preserve"> or </w:t>
      </w:r>
    </w:p>
    <w:p w14:paraId="434E61E1" w14:textId="084F4EC0" w:rsidR="00535116" w:rsidRDefault="0053511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 sentencing court </w:t>
      </w:r>
      <w:r w:rsidR="007C4B45">
        <w:rPr>
          <w:rFonts w:asciiTheme="minorHAnsi" w:hAnsiTheme="minorHAnsi"/>
        </w:rPr>
        <w:t>to</w:t>
      </w:r>
      <w:r>
        <w:rPr>
          <w:rFonts w:asciiTheme="minorHAnsi" w:hAnsiTheme="minorHAnsi"/>
        </w:rPr>
        <w:t xml:space="preserve"> </w:t>
      </w:r>
      <w:r w:rsidRPr="00097450">
        <w:rPr>
          <w:rFonts w:asciiTheme="minorHAnsi" w:hAnsiTheme="minorHAnsi"/>
          <w:b/>
        </w:rPr>
        <w:t>reduce the sentence</w:t>
      </w:r>
      <w:r>
        <w:rPr>
          <w:rFonts w:asciiTheme="minorHAnsi" w:hAnsiTheme="minorHAnsi"/>
        </w:rPr>
        <w:t xml:space="preserve"> to be imposed on an offender by a period corresponding to </w:t>
      </w:r>
      <w:r w:rsidR="002612CC">
        <w:rPr>
          <w:rFonts w:asciiTheme="minorHAnsi" w:hAnsiTheme="minorHAnsi"/>
        </w:rPr>
        <w:t>the offender</w:t>
      </w:r>
      <w:r w:rsidR="00AA693C">
        <w:rPr>
          <w:rFonts w:asciiTheme="minorHAnsi" w:hAnsiTheme="minorHAnsi"/>
        </w:rPr>
        <w:t>’</w:t>
      </w:r>
      <w:r w:rsidR="002612CC">
        <w:rPr>
          <w:rFonts w:asciiTheme="minorHAnsi" w:hAnsiTheme="minorHAnsi"/>
        </w:rPr>
        <w:t>s pre-sentence custody for the offence.</w:t>
      </w:r>
      <w:r w:rsidR="004303E3" w:rsidRPr="00295C71">
        <w:rPr>
          <w:rStyle w:val="Style"/>
          <w:rFonts w:asciiTheme="minorHAnsi" w:hAnsiTheme="minorHAnsi"/>
        </w:rPr>
        <w:footnoteReference w:id="701"/>
      </w:r>
    </w:p>
    <w:p w14:paraId="11D4C5C7" w14:textId="77777777" w:rsidR="00AC1CDC" w:rsidRPr="00AC1CDC" w:rsidRDefault="00AC1CDC" w:rsidP="00AC1CDC">
      <w:pPr>
        <w:spacing w:line="276" w:lineRule="auto"/>
        <w:ind w:right="-1"/>
        <w:rPr>
          <w:rFonts w:asciiTheme="minorHAnsi" w:hAnsiTheme="minorHAnsi"/>
        </w:rPr>
      </w:pPr>
    </w:p>
    <w:p w14:paraId="4A977764" w14:textId="4AFE1E14" w:rsidR="00CC3E4B" w:rsidRDefault="008F628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the Australian Law Reform Commission noted in its 2006 report</w:t>
      </w:r>
      <w:r w:rsidR="00860501">
        <w:rPr>
          <w:rFonts w:asciiTheme="minorHAnsi" w:hAnsiTheme="minorHAnsi"/>
        </w:rPr>
        <w:t xml:space="preserve"> on federal sentencing</w:t>
      </w:r>
      <w:r>
        <w:rPr>
          <w:rFonts w:asciiTheme="minorHAnsi" w:hAnsiTheme="minorHAnsi"/>
        </w:rPr>
        <w:t>,</w:t>
      </w:r>
      <w:r w:rsidR="00C569A2" w:rsidRPr="00C00000">
        <w:rPr>
          <w:rStyle w:val="Style"/>
          <w:rFonts w:asciiTheme="minorHAnsi" w:hAnsiTheme="minorHAnsi"/>
        </w:rPr>
        <w:footnoteReference w:id="702"/>
      </w:r>
      <w:r>
        <w:rPr>
          <w:rFonts w:asciiTheme="minorHAnsi" w:hAnsiTheme="minorHAnsi"/>
        </w:rPr>
        <w:t xml:space="preserve"> s 16E(2) </w:t>
      </w:r>
      <w:r w:rsidRPr="008F6287">
        <w:rPr>
          <w:rFonts w:asciiTheme="minorHAnsi" w:hAnsiTheme="minorHAnsi"/>
        </w:rPr>
        <w:t xml:space="preserve">does not expressly refer to </w:t>
      </w:r>
      <w:r>
        <w:rPr>
          <w:rFonts w:asciiTheme="minorHAnsi" w:hAnsiTheme="minorHAnsi"/>
        </w:rPr>
        <w:t xml:space="preserve">State or Territory </w:t>
      </w:r>
      <w:r w:rsidRPr="008F6287">
        <w:rPr>
          <w:rFonts w:asciiTheme="minorHAnsi" w:hAnsiTheme="minorHAnsi"/>
        </w:rPr>
        <w:t xml:space="preserve">laws </w:t>
      </w:r>
      <w:r w:rsidR="0030477C">
        <w:rPr>
          <w:rFonts w:asciiTheme="minorHAnsi" w:hAnsiTheme="minorHAnsi"/>
        </w:rPr>
        <w:t xml:space="preserve">(notably in Victoria and Queensland) </w:t>
      </w:r>
      <w:r w:rsidRPr="008F6287">
        <w:rPr>
          <w:rFonts w:asciiTheme="minorHAnsi" w:hAnsiTheme="minorHAnsi"/>
        </w:rPr>
        <w:t xml:space="preserve">that allow for </w:t>
      </w:r>
      <w:r w:rsidRPr="00097450">
        <w:rPr>
          <w:rFonts w:asciiTheme="minorHAnsi" w:hAnsiTheme="minorHAnsi"/>
          <w:b/>
        </w:rPr>
        <w:t>time spent in pre-sentence custody to be declared as time already served</w:t>
      </w:r>
      <w:r w:rsidRPr="008F6287">
        <w:rPr>
          <w:rFonts w:asciiTheme="minorHAnsi" w:hAnsiTheme="minorHAnsi"/>
        </w:rPr>
        <w:t xml:space="preserve"> under the sentence.</w:t>
      </w:r>
      <w:r w:rsidR="00157514" w:rsidRPr="00295C71">
        <w:rPr>
          <w:rStyle w:val="Style"/>
          <w:rFonts w:asciiTheme="minorHAnsi" w:hAnsiTheme="minorHAnsi"/>
        </w:rPr>
        <w:footnoteReference w:id="703"/>
      </w:r>
      <w:r>
        <w:rPr>
          <w:rFonts w:asciiTheme="minorHAnsi" w:hAnsiTheme="minorHAnsi"/>
        </w:rPr>
        <w:t xml:space="preserve">  </w:t>
      </w:r>
      <w:r w:rsidR="005007AA">
        <w:rPr>
          <w:rFonts w:asciiTheme="minorHAnsi" w:hAnsiTheme="minorHAnsi"/>
        </w:rPr>
        <w:t>Courts have, however, treated such laws as being picked up and applied to the sentencing of federal offenders by s 16E.</w:t>
      </w:r>
      <w:r w:rsidR="005007AA" w:rsidRPr="00295C71">
        <w:rPr>
          <w:rStyle w:val="Style"/>
          <w:rFonts w:asciiTheme="minorHAnsi" w:hAnsiTheme="minorHAnsi"/>
        </w:rPr>
        <w:footnoteReference w:id="704"/>
      </w:r>
      <w:r w:rsidR="000C714D">
        <w:rPr>
          <w:rFonts w:asciiTheme="minorHAnsi" w:hAnsiTheme="minorHAnsi"/>
        </w:rPr>
        <w:t xml:space="preserve">  In sentencing federal offenders</w:t>
      </w:r>
      <w:r w:rsidR="000C5AAA">
        <w:rPr>
          <w:rFonts w:asciiTheme="minorHAnsi" w:hAnsiTheme="minorHAnsi"/>
        </w:rPr>
        <w:t>,</w:t>
      </w:r>
      <w:r w:rsidR="000C714D">
        <w:rPr>
          <w:rFonts w:asciiTheme="minorHAnsi" w:hAnsiTheme="minorHAnsi"/>
        </w:rPr>
        <w:t xml:space="preserve"> </w:t>
      </w:r>
      <w:r w:rsidR="00762435">
        <w:rPr>
          <w:rFonts w:asciiTheme="minorHAnsi" w:hAnsiTheme="minorHAnsi"/>
        </w:rPr>
        <w:t xml:space="preserve">the practice of </w:t>
      </w:r>
      <w:r w:rsidR="000C714D">
        <w:rPr>
          <w:rFonts w:asciiTheme="minorHAnsi" w:hAnsiTheme="minorHAnsi"/>
        </w:rPr>
        <w:t xml:space="preserve">courts in Victoria and Queensland </w:t>
      </w:r>
      <w:r w:rsidR="00762435">
        <w:rPr>
          <w:rFonts w:asciiTheme="minorHAnsi" w:hAnsiTheme="minorHAnsi"/>
        </w:rPr>
        <w:t xml:space="preserve">is to </w:t>
      </w:r>
      <w:r w:rsidR="000C714D">
        <w:rPr>
          <w:rFonts w:asciiTheme="minorHAnsi" w:hAnsiTheme="minorHAnsi"/>
        </w:rPr>
        <w:t xml:space="preserve">allow for pre-sentence custody for the offence </w:t>
      </w:r>
      <w:r w:rsidR="0030477C">
        <w:rPr>
          <w:rFonts w:asciiTheme="minorHAnsi" w:hAnsiTheme="minorHAnsi"/>
        </w:rPr>
        <w:t xml:space="preserve">by declaring the time already served, </w:t>
      </w:r>
      <w:r w:rsidR="000C714D">
        <w:rPr>
          <w:rFonts w:asciiTheme="minorHAnsi" w:hAnsiTheme="minorHAnsi"/>
        </w:rPr>
        <w:t>in the same way as</w:t>
      </w:r>
      <w:r w:rsidR="000C5AAA">
        <w:rPr>
          <w:rFonts w:asciiTheme="minorHAnsi" w:hAnsiTheme="minorHAnsi"/>
        </w:rPr>
        <w:t xml:space="preserve"> they would</w:t>
      </w:r>
      <w:r w:rsidR="000C714D">
        <w:rPr>
          <w:rFonts w:asciiTheme="minorHAnsi" w:hAnsiTheme="minorHAnsi"/>
        </w:rPr>
        <w:t xml:space="preserve"> </w:t>
      </w:r>
      <w:r w:rsidR="000C5AAA">
        <w:rPr>
          <w:rFonts w:asciiTheme="minorHAnsi" w:hAnsiTheme="minorHAnsi"/>
        </w:rPr>
        <w:t xml:space="preserve">in sentencing </w:t>
      </w:r>
      <w:r w:rsidR="000C714D">
        <w:rPr>
          <w:rFonts w:asciiTheme="minorHAnsi" w:hAnsiTheme="minorHAnsi"/>
        </w:rPr>
        <w:t>a State offender.</w:t>
      </w:r>
    </w:p>
    <w:p w14:paraId="30C7EE78" w14:textId="56F2BC06" w:rsidR="00E743A4" w:rsidRDefault="00E743A4" w:rsidP="00E743A4">
      <w:pPr>
        <w:spacing w:line="276" w:lineRule="auto"/>
        <w:ind w:right="-1"/>
        <w:rPr>
          <w:rFonts w:asciiTheme="minorHAnsi" w:hAnsiTheme="minorHAnsi"/>
        </w:rPr>
      </w:pPr>
    </w:p>
    <w:p w14:paraId="263AE5CF" w14:textId="1457657C" w:rsidR="006D6AFD" w:rsidRDefault="00EE3292"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Sectio</w:t>
      </w:r>
      <w:r w:rsidR="009477CA" w:rsidRPr="00C00000">
        <w:rPr>
          <w:rFonts w:asciiTheme="minorHAnsi" w:hAnsiTheme="minorHAnsi"/>
        </w:rPr>
        <w:t xml:space="preserve">n 16E(3) provides that </w:t>
      </w:r>
      <w:r w:rsidR="009477CA" w:rsidRPr="00923DF5">
        <w:rPr>
          <w:rFonts w:asciiTheme="minorHAnsi" w:hAnsiTheme="minorHAnsi"/>
        </w:rPr>
        <w:t>where</w:t>
      </w:r>
      <w:r w:rsidR="00923DF5">
        <w:rPr>
          <w:rFonts w:asciiTheme="minorHAnsi" w:hAnsiTheme="minorHAnsi"/>
        </w:rPr>
        <w:t xml:space="preserve"> the </w:t>
      </w:r>
      <w:r w:rsidRPr="00923DF5">
        <w:rPr>
          <w:rFonts w:asciiTheme="minorHAnsi" w:hAnsiTheme="minorHAnsi"/>
        </w:rPr>
        <w:t xml:space="preserve">law </w:t>
      </w:r>
      <w:r w:rsidR="00923DF5">
        <w:rPr>
          <w:rFonts w:asciiTheme="minorHAnsi" w:hAnsiTheme="minorHAnsi"/>
        </w:rPr>
        <w:t xml:space="preserve">of the State or Territory </w:t>
      </w:r>
      <w:r w:rsidRPr="00923DF5">
        <w:rPr>
          <w:rFonts w:asciiTheme="minorHAnsi" w:hAnsiTheme="minorHAnsi"/>
        </w:rPr>
        <w:t xml:space="preserve">does not have the effect mentioned in </w:t>
      </w:r>
      <w:r w:rsidR="00923DF5">
        <w:rPr>
          <w:rFonts w:asciiTheme="minorHAnsi" w:hAnsiTheme="minorHAnsi"/>
        </w:rPr>
        <w:t>s</w:t>
      </w:r>
      <w:r w:rsidR="00A3219C">
        <w:rPr>
          <w:rFonts w:asciiTheme="minorHAnsi" w:hAnsiTheme="minorHAnsi"/>
        </w:rPr>
        <w:t xml:space="preserve"> </w:t>
      </w:r>
      <w:r w:rsidR="00923DF5">
        <w:rPr>
          <w:rFonts w:asciiTheme="minorHAnsi" w:hAnsiTheme="minorHAnsi"/>
        </w:rPr>
        <w:t>16E</w:t>
      </w:r>
      <w:r w:rsidRPr="00923DF5">
        <w:rPr>
          <w:rFonts w:asciiTheme="minorHAnsi" w:hAnsiTheme="minorHAnsi"/>
        </w:rPr>
        <w:t>(2),</w:t>
      </w:r>
      <w:r w:rsidRPr="00C00000">
        <w:rPr>
          <w:rFonts w:asciiTheme="minorHAnsi" w:hAnsiTheme="minorHAnsi"/>
        </w:rPr>
        <w:t xml:space="preserve"> a court imposing a federal term of imprisonment </w:t>
      </w:r>
      <w:r w:rsidR="00A3219C">
        <w:rPr>
          <w:rFonts w:asciiTheme="minorHAnsi" w:hAnsiTheme="minorHAnsi"/>
        </w:rPr>
        <w:t xml:space="preserve">or non-parole period </w:t>
      </w:r>
      <w:r w:rsidRPr="00C00000">
        <w:rPr>
          <w:rFonts w:asciiTheme="minorHAnsi" w:hAnsiTheme="minorHAnsi"/>
        </w:rPr>
        <w:t>must take into account any period that the person has spent in custody in relation to the offence concerned.</w:t>
      </w:r>
      <w:bookmarkEnd w:id="1725"/>
      <w:r w:rsidR="00A3219C" w:rsidRPr="00295C71">
        <w:rPr>
          <w:rStyle w:val="Style"/>
          <w:rFonts w:asciiTheme="minorHAnsi" w:hAnsiTheme="minorHAnsi"/>
        </w:rPr>
        <w:footnoteReference w:id="705"/>
      </w:r>
      <w:r w:rsidR="001B550F">
        <w:rPr>
          <w:rFonts w:asciiTheme="minorHAnsi" w:hAnsiTheme="minorHAnsi"/>
        </w:rPr>
        <w:t xml:space="preserve">  This residual provision operates to ensure that pre-sentence time in custody for the offence is taken into account in fixing sentence, if the law of the relevant State or Territory does not make provision for it to be credited towards the service of a sentence in one of the ways referred to in s 16E(2).</w:t>
      </w:r>
      <w:r w:rsidR="002E683D">
        <w:rPr>
          <w:rFonts w:asciiTheme="minorHAnsi" w:hAnsiTheme="minorHAnsi"/>
        </w:rPr>
        <w:t xml:space="preserve">  This might arise if, for example, </w:t>
      </w:r>
      <w:r w:rsidR="00E904F2">
        <w:rPr>
          <w:rFonts w:asciiTheme="minorHAnsi" w:hAnsiTheme="minorHAnsi"/>
        </w:rPr>
        <w:t>a period in custody was of a kind which is “</w:t>
      </w:r>
      <w:r w:rsidR="00E904F2" w:rsidRPr="00860501">
        <w:rPr>
          <w:rFonts w:asciiTheme="minorHAnsi" w:hAnsiTheme="minorHAnsi"/>
          <w:i/>
        </w:rPr>
        <w:t>custody for the offence</w:t>
      </w:r>
      <w:r w:rsidR="00E904F2">
        <w:rPr>
          <w:rFonts w:asciiTheme="minorHAnsi" w:hAnsiTheme="minorHAnsi"/>
        </w:rPr>
        <w:t>” within s 16E, but is not custody of a kind which, under the law of the State or Territory, may be taken into account in backdating a sentence or in declaring a period of custody as time already served.</w:t>
      </w:r>
      <w:r w:rsidR="00E904F2" w:rsidRPr="00295C71">
        <w:rPr>
          <w:rStyle w:val="Style"/>
          <w:rFonts w:asciiTheme="minorHAnsi" w:hAnsiTheme="minorHAnsi"/>
        </w:rPr>
        <w:footnoteReference w:id="706"/>
      </w:r>
    </w:p>
    <w:p w14:paraId="59836A20" w14:textId="2D6A2404" w:rsidR="00EE052D" w:rsidRPr="00EE052D" w:rsidRDefault="00EE052D" w:rsidP="00EE052D">
      <w:pPr>
        <w:pStyle w:val="ListParagraph"/>
        <w:rPr>
          <w:rFonts w:asciiTheme="minorHAnsi" w:hAnsiTheme="minorHAnsi"/>
        </w:rPr>
      </w:pPr>
    </w:p>
    <w:p w14:paraId="4C19D764" w14:textId="6311F1C9" w:rsidR="003F6D62" w:rsidRDefault="003F6D6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3F6D62">
        <w:rPr>
          <w:rFonts w:asciiTheme="minorHAnsi" w:hAnsiTheme="minorHAnsi"/>
          <w:i/>
        </w:rPr>
        <w:t>Alimudin</w:t>
      </w:r>
      <w:r>
        <w:rPr>
          <w:rFonts w:asciiTheme="minorHAnsi" w:hAnsiTheme="minorHAnsi"/>
        </w:rPr>
        <w:t>,</w:t>
      </w:r>
      <w:r w:rsidRPr="00295C71">
        <w:rPr>
          <w:rStyle w:val="Style"/>
          <w:rFonts w:asciiTheme="minorHAnsi" w:hAnsiTheme="minorHAnsi"/>
        </w:rPr>
        <w:footnoteReference w:id="707"/>
      </w:r>
      <w:r>
        <w:rPr>
          <w:rFonts w:asciiTheme="minorHAnsi" w:hAnsiTheme="minorHAnsi"/>
        </w:rPr>
        <w:t xml:space="preserve"> t</w:t>
      </w:r>
      <w:r w:rsidRPr="0012193B">
        <w:rPr>
          <w:rFonts w:asciiTheme="minorHAnsi" w:hAnsiTheme="minorHAnsi"/>
        </w:rPr>
        <w:t xml:space="preserve">he </w:t>
      </w:r>
      <w:r w:rsidR="00F34C98" w:rsidRPr="0012193B">
        <w:rPr>
          <w:rFonts w:asciiTheme="minorHAnsi" w:hAnsiTheme="minorHAnsi"/>
        </w:rPr>
        <w:t xml:space="preserve">Northern Territory Court of Appeal held that the references in s 16E to </w:t>
      </w:r>
      <w:r w:rsidR="00F34C98">
        <w:rPr>
          <w:rFonts w:asciiTheme="minorHAnsi" w:hAnsiTheme="minorHAnsi"/>
        </w:rPr>
        <w:t>“</w:t>
      </w:r>
      <w:r w:rsidR="00F34C98" w:rsidRPr="00860501">
        <w:rPr>
          <w:rFonts w:asciiTheme="minorHAnsi" w:hAnsiTheme="minorHAnsi"/>
          <w:i/>
        </w:rPr>
        <w:t>custody for the offence</w:t>
      </w:r>
      <w:r w:rsidR="00F34C98">
        <w:rPr>
          <w:rFonts w:asciiTheme="minorHAnsi" w:hAnsiTheme="minorHAnsi"/>
        </w:rPr>
        <w:t>”</w:t>
      </w:r>
      <w:r w:rsidR="00F34C98" w:rsidRPr="0012193B">
        <w:rPr>
          <w:rFonts w:asciiTheme="minorHAnsi" w:hAnsiTheme="minorHAnsi"/>
        </w:rPr>
        <w:t xml:space="preserve"> should be construed broadly</w:t>
      </w:r>
      <w:r w:rsidR="00F0295D">
        <w:rPr>
          <w:rFonts w:asciiTheme="minorHAnsi" w:hAnsiTheme="minorHAnsi"/>
        </w:rPr>
        <w:t>.</w:t>
      </w:r>
      <w:r w:rsidR="00020B9A" w:rsidRPr="00295C71">
        <w:rPr>
          <w:rStyle w:val="Style"/>
          <w:rFonts w:asciiTheme="minorHAnsi" w:hAnsiTheme="minorHAnsi"/>
        </w:rPr>
        <w:footnoteReference w:id="708"/>
      </w:r>
      <w:r w:rsidR="00F34C98" w:rsidRPr="00051102">
        <w:rPr>
          <w:rStyle w:val="sslistitemcontent"/>
          <w:rFonts w:ascii="Calibri" w:hAnsi="Calibri"/>
        </w:rPr>
        <w:t xml:space="preserve"> </w:t>
      </w:r>
      <w:r w:rsidR="00F0295D" w:rsidRPr="00051102">
        <w:rPr>
          <w:rStyle w:val="sslistitemcontent"/>
          <w:rFonts w:ascii="Calibri" w:hAnsi="Calibri"/>
        </w:rPr>
        <w:t xml:space="preserve"> </w:t>
      </w:r>
      <w:r>
        <w:rPr>
          <w:rFonts w:asciiTheme="minorHAnsi" w:hAnsiTheme="minorHAnsi"/>
        </w:rPr>
        <w:t>T</w:t>
      </w:r>
      <w:r w:rsidR="00F34C98">
        <w:rPr>
          <w:rFonts w:asciiTheme="minorHAnsi" w:hAnsiTheme="minorHAnsi"/>
        </w:rPr>
        <w:t xml:space="preserve">he Court held that a period of </w:t>
      </w:r>
      <w:r w:rsidR="00F34C98" w:rsidRPr="00EB7F1E">
        <w:rPr>
          <w:rFonts w:asciiTheme="minorHAnsi" w:hAnsiTheme="minorHAnsi"/>
          <w:i/>
        </w:rPr>
        <w:t>pre-charge detention</w:t>
      </w:r>
      <w:r w:rsidR="00F34C98">
        <w:rPr>
          <w:rFonts w:asciiTheme="minorHAnsi" w:hAnsiTheme="minorHAnsi"/>
        </w:rPr>
        <w:t xml:space="preserve"> of the offender (pursuant to </w:t>
      </w:r>
      <w:r w:rsidR="00F34C98" w:rsidRPr="004347C5">
        <w:rPr>
          <w:rFonts w:asciiTheme="minorHAnsi" w:hAnsiTheme="minorHAnsi"/>
        </w:rPr>
        <w:t xml:space="preserve">the </w:t>
      </w:r>
      <w:r w:rsidR="00F34C98" w:rsidRPr="004347C5">
        <w:rPr>
          <w:rFonts w:asciiTheme="minorHAnsi" w:hAnsiTheme="minorHAnsi"/>
          <w:i/>
        </w:rPr>
        <w:t>Fisheries Management Act 1991</w:t>
      </w:r>
      <w:r w:rsidR="00F34C98" w:rsidRPr="004347C5">
        <w:rPr>
          <w:rFonts w:asciiTheme="minorHAnsi" w:hAnsiTheme="minorHAnsi"/>
        </w:rPr>
        <w:t xml:space="preserve"> (Cth) and in immigration detention)</w:t>
      </w:r>
      <w:r w:rsidR="00F34C98">
        <w:rPr>
          <w:rFonts w:asciiTheme="minorHAnsi" w:hAnsiTheme="minorHAnsi"/>
        </w:rPr>
        <w:t xml:space="preserve"> which arose from the offending </w:t>
      </w:r>
      <w:r w:rsidR="00311028">
        <w:rPr>
          <w:rFonts w:asciiTheme="minorHAnsi" w:hAnsiTheme="minorHAnsi"/>
        </w:rPr>
        <w:t>(</w:t>
      </w:r>
      <w:r>
        <w:rPr>
          <w:rFonts w:asciiTheme="minorHAnsi" w:hAnsiTheme="minorHAnsi"/>
        </w:rPr>
        <w:t xml:space="preserve">pending consideration of whether charges for </w:t>
      </w:r>
      <w:r w:rsidR="00311028">
        <w:rPr>
          <w:rFonts w:asciiTheme="minorHAnsi" w:hAnsiTheme="minorHAnsi"/>
        </w:rPr>
        <w:t>the offence</w:t>
      </w:r>
      <w:r>
        <w:rPr>
          <w:rFonts w:asciiTheme="minorHAnsi" w:hAnsiTheme="minorHAnsi"/>
        </w:rPr>
        <w:t xml:space="preserve"> should be laid</w:t>
      </w:r>
      <w:r w:rsidR="00311028">
        <w:rPr>
          <w:rFonts w:asciiTheme="minorHAnsi" w:hAnsiTheme="minorHAnsi"/>
        </w:rPr>
        <w:t xml:space="preserve">) </w:t>
      </w:r>
      <w:r w:rsidR="00F34C98">
        <w:rPr>
          <w:rFonts w:asciiTheme="minorHAnsi" w:hAnsiTheme="minorHAnsi"/>
        </w:rPr>
        <w:t>should be treated as “</w:t>
      </w:r>
      <w:r w:rsidR="00F34C98" w:rsidRPr="003F6D62">
        <w:rPr>
          <w:rFonts w:asciiTheme="minorHAnsi" w:hAnsiTheme="minorHAnsi"/>
          <w:i/>
        </w:rPr>
        <w:t>custody for the offence</w:t>
      </w:r>
      <w:r w:rsidR="00F34C98">
        <w:rPr>
          <w:rFonts w:asciiTheme="minorHAnsi" w:hAnsiTheme="minorHAnsi"/>
        </w:rPr>
        <w:t xml:space="preserve">” within s 16E, and that Territory law which permitted backdating of a sentence </w:t>
      </w:r>
      <w:r w:rsidR="00F0295D">
        <w:rPr>
          <w:rFonts w:asciiTheme="minorHAnsi" w:hAnsiTheme="minorHAnsi"/>
        </w:rPr>
        <w:t xml:space="preserve">if </w:t>
      </w:r>
      <w:r w:rsidR="00F34C98">
        <w:rPr>
          <w:rFonts w:asciiTheme="minorHAnsi" w:hAnsiTheme="minorHAnsi"/>
        </w:rPr>
        <w:t>the</w:t>
      </w:r>
      <w:r w:rsidR="00F34C98" w:rsidRPr="00051102">
        <w:rPr>
          <w:rStyle w:val="sslistitemcontent"/>
          <w:rFonts w:ascii="Calibri" w:hAnsi="Calibri"/>
        </w:rPr>
        <w:t xml:space="preserve"> </w:t>
      </w:r>
      <w:r w:rsidR="00F34C98" w:rsidRPr="00F34C98">
        <w:rPr>
          <w:rFonts w:asciiTheme="minorHAnsi" w:hAnsiTheme="minorHAnsi"/>
        </w:rPr>
        <w:t xml:space="preserve">offender had been </w:t>
      </w:r>
      <w:r w:rsidR="00F0295D">
        <w:rPr>
          <w:rFonts w:asciiTheme="minorHAnsi" w:hAnsiTheme="minorHAnsi"/>
        </w:rPr>
        <w:t>“</w:t>
      </w:r>
      <w:r w:rsidR="00F34C98" w:rsidRPr="003F6D62">
        <w:rPr>
          <w:rFonts w:asciiTheme="minorHAnsi" w:hAnsiTheme="minorHAnsi"/>
          <w:i/>
        </w:rPr>
        <w:t>in custody on account of his or her arrest</w:t>
      </w:r>
      <w:r w:rsidR="00CD6292">
        <w:rPr>
          <w:rFonts w:asciiTheme="minorHAnsi" w:hAnsiTheme="minorHAnsi"/>
        </w:rPr>
        <w:t>”</w:t>
      </w:r>
      <w:r w:rsidR="00F34C98" w:rsidRPr="00F34C98">
        <w:rPr>
          <w:rFonts w:asciiTheme="minorHAnsi" w:hAnsiTheme="minorHAnsi"/>
        </w:rPr>
        <w:t xml:space="preserve"> for the offence</w:t>
      </w:r>
      <w:r w:rsidR="00F34C98" w:rsidRPr="00051102">
        <w:rPr>
          <w:rStyle w:val="sslistitemcontent"/>
          <w:rFonts w:ascii="Calibri" w:hAnsi="Calibri"/>
        </w:rPr>
        <w:t xml:space="preserve"> </w:t>
      </w:r>
      <w:r w:rsidR="00F34C98" w:rsidRPr="00F34C98">
        <w:rPr>
          <w:rFonts w:asciiTheme="minorHAnsi" w:hAnsiTheme="minorHAnsi"/>
        </w:rPr>
        <w:t xml:space="preserve">should be </w:t>
      </w:r>
      <w:r w:rsidR="00F34C98">
        <w:rPr>
          <w:rFonts w:asciiTheme="minorHAnsi" w:hAnsiTheme="minorHAnsi"/>
        </w:rPr>
        <w:t>taken to apply.</w:t>
      </w:r>
    </w:p>
    <w:p w14:paraId="6911724C" w14:textId="77777777" w:rsidR="003F6D62" w:rsidRPr="003F6D62" w:rsidRDefault="003F6D62" w:rsidP="003F6D62">
      <w:pPr>
        <w:pStyle w:val="ListParagraph"/>
        <w:rPr>
          <w:rFonts w:asciiTheme="minorHAnsi" w:hAnsiTheme="minorHAnsi"/>
        </w:rPr>
      </w:pPr>
    </w:p>
    <w:p w14:paraId="1247EF9C" w14:textId="77777777" w:rsidR="00184A66" w:rsidRDefault="00F0295D" w:rsidP="00EB7F1E">
      <w:pPr>
        <w:pStyle w:val="ListParagraph"/>
        <w:numPr>
          <w:ilvl w:val="0"/>
          <w:numId w:val="7"/>
        </w:numPr>
        <w:spacing w:line="276" w:lineRule="auto"/>
        <w:ind w:left="425" w:hanging="425"/>
        <w:contextualSpacing w:val="0"/>
        <w:rPr>
          <w:rFonts w:asciiTheme="minorHAnsi" w:hAnsiTheme="minorHAnsi"/>
        </w:rPr>
      </w:pPr>
      <w:r w:rsidRPr="003F6D62">
        <w:rPr>
          <w:rFonts w:asciiTheme="minorHAnsi" w:hAnsiTheme="minorHAnsi"/>
        </w:rPr>
        <w:t xml:space="preserve">The Court </w:t>
      </w:r>
      <w:r w:rsidR="003F6D62" w:rsidRPr="003F6D62">
        <w:rPr>
          <w:rFonts w:asciiTheme="minorHAnsi" w:hAnsiTheme="minorHAnsi"/>
        </w:rPr>
        <w:t xml:space="preserve">in </w:t>
      </w:r>
      <w:r w:rsidR="003F6D62" w:rsidRPr="003F6D62">
        <w:rPr>
          <w:rFonts w:asciiTheme="minorHAnsi" w:hAnsiTheme="minorHAnsi"/>
          <w:i/>
        </w:rPr>
        <w:t>Alimudin</w:t>
      </w:r>
      <w:r w:rsidR="003F6D62" w:rsidRPr="003F6D62">
        <w:rPr>
          <w:rFonts w:asciiTheme="minorHAnsi" w:hAnsiTheme="minorHAnsi"/>
        </w:rPr>
        <w:t xml:space="preserve"> </w:t>
      </w:r>
      <w:r w:rsidRPr="003F6D62">
        <w:rPr>
          <w:rFonts w:asciiTheme="minorHAnsi" w:hAnsiTheme="minorHAnsi"/>
        </w:rPr>
        <w:t>also observed that it was sufficient “</w:t>
      </w:r>
      <w:r w:rsidRPr="003F6D62">
        <w:rPr>
          <w:rFonts w:asciiTheme="minorHAnsi" w:hAnsiTheme="minorHAnsi"/>
          <w:i/>
        </w:rPr>
        <w:t>that there is conformity between the conduct that led to the arrest and the conduct for which the person was ultimately sentenced to imprisonment</w:t>
      </w:r>
      <w:r w:rsidRPr="003F6D62">
        <w:rPr>
          <w:rFonts w:asciiTheme="minorHAnsi" w:hAnsiTheme="minorHAnsi"/>
        </w:rPr>
        <w:t>”.</w:t>
      </w:r>
      <w:r w:rsidRPr="00295C71">
        <w:rPr>
          <w:rStyle w:val="Style"/>
          <w:rFonts w:asciiTheme="minorHAnsi" w:hAnsiTheme="minorHAnsi"/>
        </w:rPr>
        <w:footnoteReference w:id="709"/>
      </w:r>
      <w:r w:rsidRPr="00051102">
        <w:rPr>
          <w:rStyle w:val="sslistitemcontent"/>
          <w:rFonts w:ascii="Calibri" w:hAnsi="Calibri"/>
        </w:rPr>
        <w:t xml:space="preserve">  </w:t>
      </w:r>
      <w:r w:rsidR="005A78B9" w:rsidRPr="003F6D62">
        <w:rPr>
          <w:rFonts w:asciiTheme="minorHAnsi" w:hAnsiTheme="minorHAnsi"/>
        </w:rPr>
        <w:t xml:space="preserve">It follows that if, for example, the offender was originally arrested and held in custody on a charge for a State drug offence, but ultimately charged with and sentenced for a Commonwealth drug offence arising from the same conduct, the custody for the State offence may be treated as custody for the Commonwealth offence for the purposes of s 16E, and credited in sentencing the offender for the Commonwealth offence </w:t>
      </w:r>
      <w:r w:rsidR="003F6D62">
        <w:rPr>
          <w:rFonts w:asciiTheme="minorHAnsi" w:hAnsiTheme="minorHAnsi"/>
        </w:rPr>
        <w:t xml:space="preserve">either </w:t>
      </w:r>
      <w:r w:rsidR="005A78B9" w:rsidRPr="003F6D62">
        <w:rPr>
          <w:rFonts w:asciiTheme="minorHAnsi" w:hAnsiTheme="minorHAnsi"/>
        </w:rPr>
        <w:t>in accordance with the law applied by s 16E(2) or under s 16E(3).</w:t>
      </w:r>
    </w:p>
    <w:p w14:paraId="4FD8DD26" w14:textId="77777777" w:rsidR="00184A66" w:rsidRPr="00EB7F1E" w:rsidRDefault="00184A66" w:rsidP="00EB7F1E">
      <w:pPr>
        <w:pStyle w:val="ListParagraph"/>
        <w:rPr>
          <w:rFonts w:asciiTheme="minorHAnsi" w:hAnsiTheme="minorHAnsi"/>
        </w:rPr>
      </w:pPr>
    </w:p>
    <w:p w14:paraId="7A3C7972" w14:textId="217A4F20" w:rsidR="00F34C98" w:rsidRDefault="00341C7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Where </w:t>
      </w:r>
      <w:r w:rsidR="00184A66">
        <w:rPr>
          <w:rFonts w:asciiTheme="minorHAnsi" w:hAnsiTheme="minorHAnsi"/>
        </w:rPr>
        <w:t>an offender</w:t>
      </w:r>
      <w:r w:rsidR="00AA693C">
        <w:rPr>
          <w:rFonts w:asciiTheme="minorHAnsi" w:hAnsiTheme="minorHAnsi"/>
        </w:rPr>
        <w:t>’</w:t>
      </w:r>
      <w:r w:rsidR="00184A66">
        <w:rPr>
          <w:rFonts w:asciiTheme="minorHAnsi" w:hAnsiTheme="minorHAnsi"/>
        </w:rPr>
        <w:t xml:space="preserve">s visa </w:t>
      </w:r>
      <w:r>
        <w:rPr>
          <w:rFonts w:asciiTheme="minorHAnsi" w:hAnsiTheme="minorHAnsi"/>
        </w:rPr>
        <w:t>was</w:t>
      </w:r>
      <w:r w:rsidR="00184A66">
        <w:rPr>
          <w:rFonts w:asciiTheme="minorHAnsi" w:hAnsiTheme="minorHAnsi"/>
        </w:rPr>
        <w:t xml:space="preserve"> cancelled as a result of the relevant offending and the offender </w:t>
      </w:r>
      <w:r>
        <w:rPr>
          <w:rFonts w:asciiTheme="minorHAnsi" w:hAnsiTheme="minorHAnsi"/>
        </w:rPr>
        <w:t>was then taken into i</w:t>
      </w:r>
      <w:r w:rsidR="00184A66">
        <w:rPr>
          <w:rFonts w:asciiTheme="minorHAnsi" w:hAnsiTheme="minorHAnsi"/>
        </w:rPr>
        <w:t>mmigration detention</w:t>
      </w:r>
      <w:r>
        <w:rPr>
          <w:rFonts w:asciiTheme="minorHAnsi" w:hAnsiTheme="minorHAnsi"/>
        </w:rPr>
        <w:t>, the period of immigration detention has been treated by sentencing judges as “</w:t>
      </w:r>
      <w:r w:rsidRPr="00860501">
        <w:rPr>
          <w:rFonts w:asciiTheme="minorHAnsi" w:hAnsiTheme="minorHAnsi"/>
          <w:i/>
        </w:rPr>
        <w:t>custody for the offence</w:t>
      </w:r>
      <w:r>
        <w:rPr>
          <w:rFonts w:asciiTheme="minorHAnsi" w:hAnsiTheme="minorHAnsi"/>
        </w:rPr>
        <w:t>”</w:t>
      </w:r>
      <w:r w:rsidR="00F622F8">
        <w:rPr>
          <w:rFonts w:asciiTheme="minorHAnsi" w:hAnsiTheme="minorHAnsi"/>
        </w:rPr>
        <w:t xml:space="preserve"> within the meaning of s 16E</w:t>
      </w:r>
      <w:r>
        <w:rPr>
          <w:rFonts w:asciiTheme="minorHAnsi" w:hAnsiTheme="minorHAnsi"/>
        </w:rPr>
        <w:t>.</w:t>
      </w:r>
      <w:r w:rsidRPr="00295C71">
        <w:rPr>
          <w:rStyle w:val="Style"/>
          <w:rFonts w:asciiTheme="minorHAnsi" w:hAnsiTheme="minorHAnsi"/>
        </w:rPr>
        <w:footnoteReference w:id="710"/>
      </w:r>
    </w:p>
    <w:p w14:paraId="091642D9" w14:textId="77777777" w:rsidR="00342E41" w:rsidRPr="00EB7F1E" w:rsidRDefault="00342E41" w:rsidP="00EB7F1E">
      <w:pPr>
        <w:pStyle w:val="ListParagraph"/>
        <w:rPr>
          <w:rFonts w:asciiTheme="minorHAnsi" w:hAnsiTheme="minorHAnsi"/>
        </w:rPr>
      </w:pPr>
    </w:p>
    <w:p w14:paraId="6995F32F" w14:textId="52FC32C1" w:rsidR="005A78B9" w:rsidRDefault="003F6D6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Custody in another country while awaiting extradition for the offence </w:t>
      </w:r>
      <w:r w:rsidR="008D30A0">
        <w:rPr>
          <w:rFonts w:asciiTheme="minorHAnsi" w:hAnsiTheme="minorHAnsi"/>
        </w:rPr>
        <w:t>may</w:t>
      </w:r>
      <w:r>
        <w:rPr>
          <w:rFonts w:asciiTheme="minorHAnsi" w:hAnsiTheme="minorHAnsi"/>
        </w:rPr>
        <w:t xml:space="preserve"> also be treated as “</w:t>
      </w:r>
      <w:r w:rsidRPr="008D30A0">
        <w:rPr>
          <w:rFonts w:asciiTheme="minorHAnsi" w:hAnsiTheme="minorHAnsi"/>
          <w:i/>
        </w:rPr>
        <w:t>custody for the offence</w:t>
      </w:r>
      <w:r>
        <w:rPr>
          <w:rFonts w:asciiTheme="minorHAnsi" w:hAnsiTheme="minorHAnsi"/>
        </w:rPr>
        <w:t>” within s 16E.</w:t>
      </w:r>
      <w:r w:rsidRPr="00295C71">
        <w:rPr>
          <w:rStyle w:val="Style"/>
          <w:rFonts w:asciiTheme="minorHAnsi" w:hAnsiTheme="minorHAnsi"/>
        </w:rPr>
        <w:footnoteReference w:id="711"/>
      </w:r>
      <w:r w:rsidR="005D7704" w:rsidRPr="005D7704">
        <w:rPr>
          <w:rFonts w:asciiTheme="minorHAnsi" w:hAnsiTheme="minorHAnsi"/>
        </w:rPr>
        <w:t xml:space="preserve"> </w:t>
      </w:r>
      <w:r w:rsidR="005D7704">
        <w:rPr>
          <w:rFonts w:asciiTheme="minorHAnsi" w:hAnsiTheme="minorHAnsi"/>
        </w:rPr>
        <w:t xml:space="preserve"> However the period for which credit </w:t>
      </w:r>
      <w:r w:rsidR="006455FE">
        <w:rPr>
          <w:rFonts w:asciiTheme="minorHAnsi" w:hAnsiTheme="minorHAnsi"/>
        </w:rPr>
        <w:t>is given may be reduced on the basis that the offender</w:t>
      </w:r>
      <w:r w:rsidR="005D7704" w:rsidRPr="00C00000">
        <w:rPr>
          <w:rFonts w:asciiTheme="minorHAnsi" w:hAnsiTheme="minorHAnsi"/>
        </w:rPr>
        <w:t xml:space="preserve"> had prolonged challenges to extradition beyond what was reasonably necessary.</w:t>
      </w:r>
      <w:r w:rsidR="005D7704" w:rsidRPr="00C00000">
        <w:rPr>
          <w:rStyle w:val="Style"/>
          <w:rFonts w:asciiTheme="minorHAnsi" w:hAnsiTheme="minorHAnsi"/>
        </w:rPr>
        <w:footnoteReference w:id="712"/>
      </w:r>
    </w:p>
    <w:p w14:paraId="451B0E11" w14:textId="77777777" w:rsidR="005D7704" w:rsidRPr="005D7704" w:rsidRDefault="005D7704" w:rsidP="005D7704">
      <w:pPr>
        <w:pStyle w:val="ListParagraph"/>
        <w:rPr>
          <w:rFonts w:asciiTheme="minorHAnsi" w:hAnsiTheme="minorHAnsi"/>
        </w:rPr>
      </w:pPr>
    </w:p>
    <w:p w14:paraId="6243EDAE" w14:textId="0388664F" w:rsidR="005D7704" w:rsidRDefault="005D770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Credit for pre-sentence custody may be denied </w:t>
      </w:r>
      <w:r w:rsidRPr="00C00000">
        <w:rPr>
          <w:rFonts w:asciiTheme="minorHAnsi" w:hAnsiTheme="minorHAnsi"/>
        </w:rPr>
        <w:t xml:space="preserve">where </w:t>
      </w:r>
      <w:r>
        <w:rPr>
          <w:rFonts w:asciiTheme="minorHAnsi" w:hAnsiTheme="minorHAnsi"/>
        </w:rPr>
        <w:t xml:space="preserve">an allowance has been made for the same period of custody in sentencing </w:t>
      </w:r>
      <w:r w:rsidRPr="00C00000">
        <w:rPr>
          <w:rFonts w:asciiTheme="minorHAnsi" w:hAnsiTheme="minorHAnsi"/>
        </w:rPr>
        <w:t xml:space="preserve">the offender </w:t>
      </w:r>
      <w:r>
        <w:rPr>
          <w:rFonts w:asciiTheme="minorHAnsi" w:hAnsiTheme="minorHAnsi"/>
        </w:rPr>
        <w:t>for another offence</w:t>
      </w:r>
      <w:r w:rsidR="00D70301">
        <w:rPr>
          <w:rFonts w:asciiTheme="minorHAnsi" w:hAnsiTheme="minorHAnsi"/>
        </w:rPr>
        <w:t>, including in another jurisdiction</w:t>
      </w:r>
      <w:r w:rsidRPr="00C00000">
        <w:rPr>
          <w:rFonts w:asciiTheme="minorHAnsi" w:hAnsiTheme="minorHAnsi"/>
        </w:rPr>
        <w:t>.</w:t>
      </w:r>
      <w:r w:rsidRPr="00C00000">
        <w:rPr>
          <w:rStyle w:val="Style"/>
          <w:rFonts w:asciiTheme="minorHAnsi" w:hAnsiTheme="minorHAnsi"/>
        </w:rPr>
        <w:footnoteReference w:id="713"/>
      </w:r>
    </w:p>
    <w:p w14:paraId="57634A07" w14:textId="77777777" w:rsidR="006E1185" w:rsidRDefault="006E1185" w:rsidP="00EB7F1E">
      <w:pPr>
        <w:pStyle w:val="ListParagraph"/>
        <w:rPr>
          <w:rFonts w:asciiTheme="minorHAnsi" w:hAnsiTheme="minorHAnsi"/>
        </w:rPr>
      </w:pPr>
    </w:p>
    <w:p w14:paraId="370A5B43" w14:textId="64604A82" w:rsidR="00E55DEF" w:rsidRDefault="00E55DEF" w:rsidP="006D50C7">
      <w:pPr>
        <w:pStyle w:val="Heading3"/>
      </w:pPr>
      <w:bookmarkStart w:id="1726" w:name="_Toc10198372"/>
      <w:bookmarkStart w:id="1727" w:name="_Toc10384592"/>
      <w:bookmarkStart w:id="1728" w:name="_Toc10458710"/>
      <w:bookmarkStart w:id="1729" w:name="_Toc10559626"/>
      <w:bookmarkStart w:id="1730" w:name="_Toc10640771"/>
      <w:bookmarkStart w:id="1731" w:name="_Toc10718680"/>
      <w:bookmarkStart w:id="1732" w:name="_Toc10889406"/>
      <w:bookmarkStart w:id="1733" w:name="_Toc10890847"/>
      <w:bookmarkStart w:id="1734" w:name="_Toc11078803"/>
      <w:bookmarkStart w:id="1735" w:name="_Toc11087067"/>
      <w:bookmarkStart w:id="1736" w:name="_Toc11087444"/>
      <w:bookmarkStart w:id="1737" w:name="_Toc11240142"/>
      <w:bookmarkStart w:id="1738" w:name="_Toc11405506"/>
      <w:bookmarkStart w:id="1739" w:name="_Toc11407283"/>
      <w:bookmarkStart w:id="1740" w:name="_Toc11485874"/>
      <w:bookmarkStart w:id="1741" w:name="_Toc11583402"/>
      <w:bookmarkStart w:id="1742" w:name="_Toc11692806"/>
      <w:bookmarkStart w:id="1743" w:name="_Toc11773312"/>
      <w:bookmarkStart w:id="1744" w:name="_Toc11827114"/>
      <w:bookmarkStart w:id="1745" w:name="_Toc11833822"/>
      <w:bookmarkStart w:id="1746" w:name="_Toc11848217"/>
      <w:bookmarkStart w:id="1747" w:name="_Toc11851874"/>
      <w:bookmarkStart w:id="1748" w:name="_Toc12608707"/>
      <w:bookmarkStart w:id="1749" w:name="_Toc12706662"/>
      <w:bookmarkStart w:id="1750" w:name="_Toc12860598"/>
      <w:bookmarkStart w:id="1751" w:name="_Toc12862167"/>
      <w:bookmarkStart w:id="1752" w:name="_Toc12864213"/>
      <w:bookmarkStart w:id="1753" w:name="_Toc13551764"/>
      <w:bookmarkStart w:id="1754" w:name="_Toc13737541"/>
      <w:bookmarkStart w:id="1755" w:name="_Toc13737956"/>
      <w:bookmarkStart w:id="1756" w:name="_Toc25308514"/>
      <w:bookmarkStart w:id="1757" w:name="_Toc10198373"/>
      <w:bookmarkStart w:id="1758" w:name="_Toc10384593"/>
      <w:bookmarkStart w:id="1759" w:name="_Toc10458711"/>
      <w:bookmarkStart w:id="1760" w:name="_Toc10559627"/>
      <w:bookmarkStart w:id="1761" w:name="_Toc10640772"/>
      <w:bookmarkStart w:id="1762" w:name="_Toc10718681"/>
      <w:bookmarkStart w:id="1763" w:name="_Toc10889407"/>
      <w:bookmarkStart w:id="1764" w:name="_Toc10890848"/>
      <w:bookmarkStart w:id="1765" w:name="_Toc11078804"/>
      <w:bookmarkStart w:id="1766" w:name="_Toc11087068"/>
      <w:bookmarkStart w:id="1767" w:name="_Toc11087445"/>
      <w:bookmarkStart w:id="1768" w:name="_Toc11240143"/>
      <w:bookmarkStart w:id="1769" w:name="_Toc11405507"/>
      <w:bookmarkStart w:id="1770" w:name="_Toc11407284"/>
      <w:bookmarkStart w:id="1771" w:name="_Toc11485875"/>
      <w:bookmarkStart w:id="1772" w:name="_Toc11583403"/>
      <w:bookmarkStart w:id="1773" w:name="_Toc11692807"/>
      <w:bookmarkStart w:id="1774" w:name="_Toc11773313"/>
      <w:bookmarkStart w:id="1775" w:name="_Toc11827115"/>
      <w:bookmarkStart w:id="1776" w:name="_Toc11833823"/>
      <w:bookmarkStart w:id="1777" w:name="_Toc11848218"/>
      <w:bookmarkStart w:id="1778" w:name="_Toc11851875"/>
      <w:bookmarkStart w:id="1779" w:name="_Toc12608708"/>
      <w:bookmarkStart w:id="1780" w:name="_Toc12706663"/>
      <w:bookmarkStart w:id="1781" w:name="_Toc12860599"/>
      <w:bookmarkStart w:id="1782" w:name="_Toc12862168"/>
      <w:bookmarkStart w:id="1783" w:name="_Toc12864214"/>
      <w:bookmarkStart w:id="1784" w:name="_Toc13551765"/>
      <w:bookmarkStart w:id="1785" w:name="_Toc13737542"/>
      <w:bookmarkStart w:id="1786" w:name="_Toc13737957"/>
      <w:bookmarkStart w:id="1787" w:name="_Toc25308515"/>
      <w:bookmarkStart w:id="1788" w:name="_Ref506318476"/>
      <w:bookmarkStart w:id="1789" w:name="_Ref506318478"/>
      <w:bookmarkStart w:id="1790" w:name="_Toc3360288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r w:rsidRPr="00E55DEF">
        <w:t>Taking into account other pre-sentence custody</w:t>
      </w:r>
      <w:bookmarkEnd w:id="1788"/>
      <w:bookmarkEnd w:id="1789"/>
      <w:bookmarkEnd w:id="1790"/>
    </w:p>
    <w:p w14:paraId="4E8DEA97" w14:textId="77777777" w:rsidR="00E55DEF" w:rsidRPr="00051102" w:rsidRDefault="00E55DEF" w:rsidP="006D50C7">
      <w:pPr>
        <w:pStyle w:val="NormalIndent"/>
        <w:keepNext/>
        <w:spacing w:line="276" w:lineRule="auto"/>
        <w:jc w:val="both"/>
        <w:rPr>
          <w:rFonts w:ascii="Calibri" w:hAnsi="Calibri"/>
        </w:rPr>
      </w:pPr>
    </w:p>
    <w:p w14:paraId="23C3F14B" w14:textId="37ECB563" w:rsidR="00C00B92" w:rsidRDefault="00311028"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 16E</w:t>
      </w:r>
      <w:r w:rsidR="00E555C8">
        <w:rPr>
          <w:rFonts w:asciiTheme="minorHAnsi" w:hAnsiTheme="minorHAnsi"/>
        </w:rPr>
        <w:t xml:space="preserve"> of the </w:t>
      </w:r>
      <w:r w:rsidR="00885EFD" w:rsidRPr="00885EFD">
        <w:rPr>
          <w:rFonts w:asciiTheme="minorHAnsi" w:hAnsiTheme="minorHAnsi"/>
          <w:i/>
        </w:rPr>
        <w:t>Crimes Act 1914</w:t>
      </w:r>
      <w:r w:rsidR="00E555C8">
        <w:rPr>
          <w:rFonts w:asciiTheme="minorHAnsi" w:hAnsiTheme="minorHAnsi"/>
        </w:rPr>
        <w:t xml:space="preserve"> (Cth)</w:t>
      </w:r>
      <w:r>
        <w:rPr>
          <w:rFonts w:asciiTheme="minorHAnsi" w:hAnsiTheme="minorHAnsi"/>
        </w:rPr>
        <w:t xml:space="preserve"> provides </w:t>
      </w:r>
      <w:r w:rsidR="002D2789">
        <w:rPr>
          <w:rFonts w:asciiTheme="minorHAnsi" w:hAnsiTheme="minorHAnsi"/>
        </w:rPr>
        <w:t xml:space="preserve">various </w:t>
      </w:r>
      <w:r>
        <w:rPr>
          <w:rFonts w:asciiTheme="minorHAnsi" w:hAnsiTheme="minorHAnsi"/>
        </w:rPr>
        <w:t>means for taking into account pre-sentence “</w:t>
      </w:r>
      <w:r w:rsidRPr="00923DF5">
        <w:rPr>
          <w:rFonts w:asciiTheme="minorHAnsi" w:hAnsiTheme="minorHAnsi"/>
          <w:i/>
        </w:rPr>
        <w:t>custody for the offence</w:t>
      </w:r>
      <w:r>
        <w:rPr>
          <w:rFonts w:asciiTheme="minorHAnsi" w:hAnsiTheme="minorHAnsi"/>
        </w:rPr>
        <w:t>” for which the offender is sentenced</w:t>
      </w:r>
      <w:r w:rsidR="00E555C8">
        <w:rPr>
          <w:rFonts w:asciiTheme="minorHAnsi" w:hAnsiTheme="minorHAnsi"/>
        </w:rPr>
        <w:t xml:space="preserve"> (see “</w:t>
      </w:r>
      <w:r w:rsidR="00E555C8">
        <w:rPr>
          <w:rFonts w:asciiTheme="minorHAnsi" w:hAnsiTheme="minorHAnsi"/>
        </w:rPr>
        <w:fldChar w:fldCharType="begin"/>
      </w:r>
      <w:r w:rsidR="00E555C8">
        <w:rPr>
          <w:rFonts w:asciiTheme="minorHAnsi" w:hAnsiTheme="minorHAnsi"/>
        </w:rPr>
        <w:instrText xml:space="preserve"> REF _Ref504752166 \r \h </w:instrText>
      </w:r>
      <w:r w:rsidR="00E555C8">
        <w:rPr>
          <w:rFonts w:asciiTheme="minorHAnsi" w:hAnsiTheme="minorHAnsi"/>
        </w:rPr>
      </w:r>
      <w:r w:rsidR="00E555C8">
        <w:rPr>
          <w:rFonts w:asciiTheme="minorHAnsi" w:hAnsiTheme="minorHAnsi"/>
        </w:rPr>
        <w:fldChar w:fldCharType="separate"/>
      </w:r>
      <w:r w:rsidR="00D44BCF">
        <w:rPr>
          <w:rFonts w:asciiTheme="minorHAnsi" w:hAnsiTheme="minorHAnsi"/>
        </w:rPr>
        <w:t>5.8.9</w:t>
      </w:r>
      <w:r w:rsidR="00E555C8">
        <w:rPr>
          <w:rFonts w:asciiTheme="minorHAnsi" w:hAnsiTheme="minorHAnsi"/>
        </w:rPr>
        <w:fldChar w:fldCharType="end"/>
      </w:r>
      <w:r w:rsidR="00E555C8">
        <w:rPr>
          <w:rFonts w:asciiTheme="minorHAnsi" w:hAnsiTheme="minorHAnsi"/>
        </w:rPr>
        <w:t xml:space="preserve"> </w:t>
      </w:r>
      <w:r w:rsidR="00E555C8">
        <w:rPr>
          <w:rFonts w:asciiTheme="minorHAnsi" w:hAnsiTheme="minorHAnsi"/>
        </w:rPr>
        <w:fldChar w:fldCharType="begin"/>
      </w:r>
      <w:r w:rsidR="00E555C8">
        <w:rPr>
          <w:rFonts w:asciiTheme="minorHAnsi" w:hAnsiTheme="minorHAnsi"/>
        </w:rPr>
        <w:instrText xml:space="preserve"> REF _Ref504752166 \h  \* MERGEFORMAT </w:instrText>
      </w:r>
      <w:r w:rsidR="00E555C8">
        <w:rPr>
          <w:rFonts w:asciiTheme="minorHAnsi" w:hAnsiTheme="minorHAnsi"/>
        </w:rPr>
      </w:r>
      <w:r w:rsidR="00E555C8">
        <w:rPr>
          <w:rFonts w:asciiTheme="minorHAnsi" w:hAnsiTheme="minorHAnsi"/>
        </w:rPr>
        <w:fldChar w:fldCharType="separate"/>
      </w:r>
      <w:r w:rsidR="00D44BCF" w:rsidRPr="00D44BCF">
        <w:rPr>
          <w:rFonts w:asciiTheme="minorHAnsi" w:hAnsiTheme="minorHAnsi"/>
        </w:rPr>
        <w:t>Credit for pre-sentence custody for the offence</w:t>
      </w:r>
      <w:r w:rsidR="00E555C8">
        <w:rPr>
          <w:rFonts w:asciiTheme="minorHAnsi" w:hAnsiTheme="minorHAnsi"/>
        </w:rPr>
        <w:fldChar w:fldCharType="end"/>
      </w:r>
      <w:r w:rsidR="00E555C8">
        <w:rPr>
          <w:rFonts w:asciiTheme="minorHAnsi" w:hAnsiTheme="minorHAnsi"/>
        </w:rPr>
        <w:t>”)</w:t>
      </w:r>
      <w:r>
        <w:rPr>
          <w:rFonts w:asciiTheme="minorHAnsi" w:hAnsiTheme="minorHAnsi"/>
        </w:rPr>
        <w:t>.  The reference to “custody for the offence” is to be construed broadly; t</w:t>
      </w:r>
      <w:r w:rsidRPr="00311028">
        <w:rPr>
          <w:rFonts w:asciiTheme="minorHAnsi" w:hAnsiTheme="minorHAnsi"/>
        </w:rPr>
        <w:t>here does not need to be a nexus with a specific offence but rather a nexus between the conduct giving rise to the arrest and detention and the offence or offences for which the person is to be sentenced</w:t>
      </w:r>
      <w:r w:rsidR="00C00B92">
        <w:rPr>
          <w:rFonts w:asciiTheme="minorHAnsi" w:hAnsiTheme="minorHAnsi"/>
        </w:rPr>
        <w:t>.</w:t>
      </w:r>
      <w:r w:rsidR="00C00B92" w:rsidRPr="00295C71">
        <w:rPr>
          <w:rStyle w:val="Style"/>
          <w:rFonts w:asciiTheme="minorHAnsi" w:hAnsiTheme="minorHAnsi"/>
        </w:rPr>
        <w:footnoteReference w:id="714"/>
      </w:r>
      <w:r w:rsidR="00C00B92">
        <w:rPr>
          <w:rFonts w:asciiTheme="minorHAnsi" w:hAnsiTheme="minorHAnsi"/>
        </w:rPr>
        <w:t xml:space="preserve">  </w:t>
      </w:r>
    </w:p>
    <w:p w14:paraId="53E9499F" w14:textId="77777777" w:rsidR="00E555C8" w:rsidRPr="00E555C8" w:rsidRDefault="00E555C8" w:rsidP="00E555C8">
      <w:pPr>
        <w:spacing w:line="276" w:lineRule="auto"/>
        <w:ind w:right="-1"/>
        <w:rPr>
          <w:rFonts w:asciiTheme="minorHAnsi" w:hAnsiTheme="minorHAnsi"/>
        </w:rPr>
      </w:pPr>
    </w:p>
    <w:p w14:paraId="465CB880" w14:textId="744541A6" w:rsidR="00F416A8" w:rsidRDefault="002048F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w:t>
      </w:r>
      <w:r w:rsidR="00C00B92">
        <w:rPr>
          <w:rFonts w:asciiTheme="minorHAnsi" w:hAnsiTheme="minorHAnsi"/>
        </w:rPr>
        <w:t xml:space="preserve">pre-sentence custody cannot be so </w:t>
      </w:r>
      <w:r w:rsidR="00F47D0C">
        <w:rPr>
          <w:rFonts w:asciiTheme="minorHAnsi" w:hAnsiTheme="minorHAnsi"/>
        </w:rPr>
        <w:t>character</w:t>
      </w:r>
      <w:r w:rsidR="00B86888">
        <w:rPr>
          <w:rFonts w:asciiTheme="minorHAnsi" w:hAnsiTheme="minorHAnsi"/>
        </w:rPr>
        <w:t>ised</w:t>
      </w:r>
      <w:r w:rsidR="00E64DE4">
        <w:rPr>
          <w:rFonts w:asciiTheme="minorHAnsi" w:hAnsiTheme="minorHAnsi"/>
        </w:rPr>
        <w:t xml:space="preserve"> (that is, as “custody for the </w:t>
      </w:r>
      <w:r w:rsidR="00DB4749">
        <w:rPr>
          <w:rFonts w:asciiTheme="minorHAnsi" w:hAnsiTheme="minorHAnsi"/>
        </w:rPr>
        <w:t xml:space="preserve">[Commonwealth] </w:t>
      </w:r>
      <w:r w:rsidR="00E64DE4">
        <w:rPr>
          <w:rFonts w:asciiTheme="minorHAnsi" w:hAnsiTheme="minorHAnsi"/>
        </w:rPr>
        <w:t>offence”</w:t>
      </w:r>
      <w:r w:rsidR="00DB4749">
        <w:rPr>
          <w:rFonts w:asciiTheme="minorHAnsi" w:hAnsiTheme="minorHAnsi"/>
        </w:rPr>
        <w:t xml:space="preserve"> for which the offender is sentenced</w:t>
      </w:r>
      <w:r w:rsidR="00F15D7C">
        <w:rPr>
          <w:rFonts w:asciiTheme="minorHAnsi" w:hAnsiTheme="minorHAnsi"/>
        </w:rPr>
        <w:t>)</w:t>
      </w:r>
      <w:r w:rsidR="00C00B92">
        <w:rPr>
          <w:rFonts w:asciiTheme="minorHAnsi" w:hAnsiTheme="minorHAnsi"/>
        </w:rPr>
        <w:t xml:space="preserve">, </w:t>
      </w:r>
      <w:r w:rsidR="00E64DE4">
        <w:rPr>
          <w:rFonts w:asciiTheme="minorHAnsi" w:hAnsiTheme="minorHAnsi"/>
        </w:rPr>
        <w:t xml:space="preserve">neither </w:t>
      </w:r>
      <w:r w:rsidR="00C00B92">
        <w:rPr>
          <w:rFonts w:asciiTheme="minorHAnsi" w:hAnsiTheme="minorHAnsi"/>
        </w:rPr>
        <w:t>s 16E</w:t>
      </w:r>
      <w:r w:rsidR="00E64DE4">
        <w:rPr>
          <w:rFonts w:asciiTheme="minorHAnsi" w:hAnsiTheme="minorHAnsi"/>
        </w:rPr>
        <w:t>(2) nor s 16E(3)</w:t>
      </w:r>
      <w:r w:rsidR="00C00B92">
        <w:rPr>
          <w:rFonts w:asciiTheme="minorHAnsi" w:hAnsiTheme="minorHAnsi"/>
        </w:rPr>
        <w:t xml:space="preserve"> will apply.</w:t>
      </w:r>
      <w:r w:rsidR="004A729B" w:rsidRPr="00295C71">
        <w:rPr>
          <w:rStyle w:val="Style"/>
          <w:rFonts w:asciiTheme="minorHAnsi" w:hAnsiTheme="minorHAnsi"/>
        </w:rPr>
        <w:footnoteReference w:id="715"/>
      </w:r>
    </w:p>
    <w:p w14:paraId="12BF6472" w14:textId="77777777" w:rsidR="00F416A8" w:rsidRPr="00F416A8" w:rsidRDefault="00F416A8" w:rsidP="00F416A8">
      <w:pPr>
        <w:pStyle w:val="ListParagraph"/>
        <w:rPr>
          <w:rFonts w:asciiTheme="minorHAnsi" w:hAnsiTheme="minorHAnsi"/>
        </w:rPr>
      </w:pPr>
    </w:p>
    <w:p w14:paraId="48C924B1" w14:textId="2901A8EE" w:rsidR="00F416A8" w:rsidRDefault="00F416A8"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Pre-sentence custody </w:t>
      </w:r>
      <w:r w:rsidRPr="00923DF5">
        <w:rPr>
          <w:rFonts w:asciiTheme="minorHAnsi" w:hAnsiTheme="minorHAnsi"/>
          <w:i/>
        </w:rPr>
        <w:t>for another offence</w:t>
      </w:r>
      <w:r>
        <w:rPr>
          <w:rFonts w:asciiTheme="minorHAnsi" w:hAnsiTheme="minorHAnsi"/>
        </w:rPr>
        <w:t xml:space="preserve"> may </w:t>
      </w:r>
      <w:r w:rsidR="00136300">
        <w:rPr>
          <w:rFonts w:asciiTheme="minorHAnsi" w:hAnsiTheme="minorHAnsi"/>
        </w:rPr>
        <w:t xml:space="preserve">fall to </w:t>
      </w:r>
      <w:r>
        <w:rPr>
          <w:rFonts w:asciiTheme="minorHAnsi" w:hAnsiTheme="minorHAnsi"/>
        </w:rPr>
        <w:t>be taken into account under the totality principle</w:t>
      </w:r>
      <w:r w:rsidR="001579E2">
        <w:rPr>
          <w:rFonts w:asciiTheme="minorHAnsi" w:hAnsiTheme="minorHAnsi"/>
        </w:rPr>
        <w:t>.</w:t>
      </w:r>
      <w:r w:rsidR="00434B55" w:rsidRPr="00295C71">
        <w:rPr>
          <w:rStyle w:val="Style"/>
          <w:rFonts w:asciiTheme="minorHAnsi" w:hAnsiTheme="minorHAnsi"/>
        </w:rPr>
        <w:footnoteReference w:id="716"/>
      </w:r>
      <w:r w:rsidR="00923DF5">
        <w:rPr>
          <w:rFonts w:asciiTheme="minorHAnsi" w:hAnsiTheme="minorHAnsi"/>
        </w:rPr>
        <w:t xml:space="preserve"> </w:t>
      </w:r>
      <w:r w:rsidR="005F0530">
        <w:rPr>
          <w:rFonts w:asciiTheme="minorHAnsi" w:hAnsiTheme="minorHAnsi"/>
        </w:rPr>
        <w:t xml:space="preserve"> Common law principles of totality apply to the sentencing of a federal offender.</w:t>
      </w:r>
      <w:r w:rsidR="0029750F" w:rsidRPr="00C00000">
        <w:rPr>
          <w:rStyle w:val="Style"/>
          <w:rFonts w:asciiTheme="minorHAnsi" w:hAnsiTheme="minorHAnsi"/>
        </w:rPr>
        <w:footnoteReference w:id="717"/>
      </w:r>
      <w:r w:rsidR="001579E2" w:rsidRPr="001579E2">
        <w:rPr>
          <w:rFonts w:asciiTheme="minorHAnsi" w:hAnsiTheme="minorHAnsi"/>
        </w:rPr>
        <w:t xml:space="preserve"> </w:t>
      </w:r>
      <w:r w:rsidR="001579E2">
        <w:rPr>
          <w:rFonts w:asciiTheme="minorHAnsi" w:hAnsiTheme="minorHAnsi"/>
        </w:rPr>
        <w:t xml:space="preserve"> </w:t>
      </w:r>
      <w:r w:rsidR="00475CA8">
        <w:rPr>
          <w:rFonts w:asciiTheme="minorHAnsi" w:hAnsiTheme="minorHAnsi"/>
        </w:rPr>
        <w:t>I</w:t>
      </w:r>
      <w:r w:rsidR="001579E2">
        <w:rPr>
          <w:rFonts w:asciiTheme="minorHAnsi" w:hAnsiTheme="minorHAnsi"/>
        </w:rPr>
        <w:t xml:space="preserve">n </w:t>
      </w:r>
      <w:r w:rsidR="00475CA8">
        <w:rPr>
          <w:rFonts w:asciiTheme="minorHAnsi" w:hAnsiTheme="minorHAnsi"/>
        </w:rPr>
        <w:t xml:space="preserve">relation to other sentences which </w:t>
      </w:r>
      <w:r w:rsidR="00AC0C23">
        <w:rPr>
          <w:rFonts w:asciiTheme="minorHAnsi" w:hAnsiTheme="minorHAnsi"/>
        </w:rPr>
        <w:t>the offender has</w:t>
      </w:r>
      <w:r w:rsidR="00475CA8">
        <w:rPr>
          <w:rFonts w:asciiTheme="minorHAnsi" w:hAnsiTheme="minorHAnsi"/>
        </w:rPr>
        <w:t xml:space="preserve"> not yet served, see</w:t>
      </w:r>
      <w:r w:rsidR="001579E2">
        <w:rPr>
          <w:rFonts w:asciiTheme="minorHAnsi" w:hAnsiTheme="minorHAnsi"/>
        </w:rPr>
        <w:t xml:space="preserve"> “</w:t>
      </w:r>
      <w:r w:rsidR="00D0427E">
        <w:rPr>
          <w:rFonts w:asciiTheme="minorHAnsi" w:hAnsiTheme="minorHAnsi"/>
        </w:rPr>
        <w:fldChar w:fldCharType="begin"/>
      </w:r>
      <w:r w:rsidR="00D0427E">
        <w:rPr>
          <w:rFonts w:asciiTheme="minorHAnsi" w:hAnsiTheme="minorHAnsi"/>
        </w:rPr>
        <w:instrText xml:space="preserve"> REF _Ref494462019 \r \h  \* MERGEFORMAT </w:instrText>
      </w:r>
      <w:r w:rsidR="00D0427E">
        <w:rPr>
          <w:rFonts w:asciiTheme="minorHAnsi" w:hAnsiTheme="minorHAnsi"/>
        </w:rPr>
      </w:r>
      <w:r w:rsidR="00D0427E">
        <w:rPr>
          <w:rFonts w:asciiTheme="minorHAnsi" w:hAnsiTheme="minorHAnsi"/>
        </w:rPr>
        <w:fldChar w:fldCharType="separate"/>
      </w:r>
      <w:r w:rsidR="00D44BCF">
        <w:rPr>
          <w:rFonts w:asciiTheme="minorHAnsi" w:hAnsiTheme="minorHAnsi"/>
        </w:rPr>
        <w:t>4.3</w:t>
      </w:r>
      <w:r w:rsidR="00D0427E">
        <w:rPr>
          <w:rFonts w:asciiTheme="minorHAnsi" w:hAnsiTheme="minorHAnsi"/>
        </w:rPr>
        <w:fldChar w:fldCharType="end"/>
      </w:r>
      <w:r w:rsidR="00D0427E">
        <w:rPr>
          <w:rFonts w:asciiTheme="minorHAnsi" w:hAnsiTheme="minorHAnsi"/>
        </w:rPr>
        <w:t xml:space="preserve"> </w:t>
      </w:r>
      <w:r w:rsidR="001579E2">
        <w:rPr>
          <w:rFonts w:asciiTheme="minorHAnsi" w:hAnsiTheme="minorHAnsi"/>
        </w:rPr>
        <w:fldChar w:fldCharType="begin"/>
      </w:r>
      <w:r w:rsidR="001579E2">
        <w:rPr>
          <w:rFonts w:asciiTheme="minorHAnsi" w:hAnsiTheme="minorHAnsi"/>
        </w:rPr>
        <w:instrText xml:space="preserve"> REF _Ref494462019 \h  \* MERGEFORMAT </w:instrText>
      </w:r>
      <w:r w:rsidR="001579E2">
        <w:rPr>
          <w:rFonts w:asciiTheme="minorHAnsi" w:hAnsiTheme="minorHAnsi"/>
        </w:rPr>
      </w:r>
      <w:r w:rsidR="001579E2">
        <w:rPr>
          <w:rFonts w:asciiTheme="minorHAnsi" w:hAnsiTheme="minorHAnsi"/>
        </w:rPr>
        <w:fldChar w:fldCharType="separate"/>
      </w:r>
      <w:r w:rsidR="00D44BCF" w:rsidRPr="00D44BCF">
        <w:rPr>
          <w:rFonts w:asciiTheme="minorHAnsi" w:hAnsiTheme="minorHAnsi"/>
        </w:rPr>
        <w:t>Other sentences not yet served – s 16B (totality principle)</w:t>
      </w:r>
      <w:r w:rsidR="001579E2">
        <w:rPr>
          <w:rFonts w:asciiTheme="minorHAnsi" w:hAnsiTheme="minorHAnsi"/>
        </w:rPr>
        <w:fldChar w:fldCharType="end"/>
      </w:r>
      <w:r w:rsidR="001579E2">
        <w:rPr>
          <w:rFonts w:asciiTheme="minorHAnsi" w:hAnsiTheme="minorHAnsi"/>
        </w:rPr>
        <w:t>”.</w:t>
      </w:r>
    </w:p>
    <w:p w14:paraId="1236AB05" w14:textId="77777777" w:rsidR="00F416A8" w:rsidRPr="00F416A8" w:rsidRDefault="00F416A8" w:rsidP="00F416A8">
      <w:pPr>
        <w:pStyle w:val="ListParagraph"/>
        <w:rPr>
          <w:rFonts w:asciiTheme="minorHAnsi" w:hAnsiTheme="minorHAnsi"/>
        </w:rPr>
      </w:pPr>
    </w:p>
    <w:p w14:paraId="1C34D364" w14:textId="6724859C" w:rsidR="0034547D" w:rsidRDefault="00CC479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Courts in some jurisdiction</w:t>
      </w:r>
      <w:r w:rsidR="00BE298D">
        <w:rPr>
          <w:rFonts w:asciiTheme="minorHAnsi" w:hAnsiTheme="minorHAnsi"/>
        </w:rPr>
        <w:t>s have recogn</w:t>
      </w:r>
      <w:r w:rsidR="00B86888">
        <w:rPr>
          <w:rFonts w:asciiTheme="minorHAnsi" w:hAnsiTheme="minorHAnsi"/>
        </w:rPr>
        <w:t>ised</w:t>
      </w:r>
      <w:r w:rsidR="00BE298D">
        <w:rPr>
          <w:rFonts w:asciiTheme="minorHAnsi" w:hAnsiTheme="minorHAnsi"/>
        </w:rPr>
        <w:t xml:space="preserve"> a residual discretion </w:t>
      </w:r>
      <w:r w:rsidR="00756E97">
        <w:rPr>
          <w:rFonts w:asciiTheme="minorHAnsi" w:hAnsiTheme="minorHAnsi"/>
        </w:rPr>
        <w:t xml:space="preserve">for a sentencing court in fixing sentence </w:t>
      </w:r>
      <w:r w:rsidR="00D2520E">
        <w:rPr>
          <w:rFonts w:asciiTheme="minorHAnsi" w:hAnsiTheme="minorHAnsi"/>
        </w:rPr>
        <w:t xml:space="preserve">to take into account </w:t>
      </w:r>
      <w:r w:rsidR="00756E97">
        <w:rPr>
          <w:rFonts w:asciiTheme="minorHAnsi" w:hAnsiTheme="minorHAnsi"/>
        </w:rPr>
        <w:t>pre-sentence custody</w:t>
      </w:r>
      <w:r w:rsidR="001E5C00">
        <w:rPr>
          <w:rFonts w:asciiTheme="minorHAnsi" w:hAnsiTheme="minorHAnsi"/>
        </w:rPr>
        <w:t xml:space="preserve"> </w:t>
      </w:r>
      <w:r w:rsidR="00D2520E">
        <w:rPr>
          <w:rFonts w:asciiTheme="minorHAnsi" w:hAnsiTheme="minorHAnsi"/>
        </w:rPr>
        <w:t>which is not required to be taken into account under the totality principle or as pre-sentence custody for the instant offence.</w:t>
      </w:r>
      <w:r w:rsidR="007B25D2" w:rsidRPr="00295C71">
        <w:rPr>
          <w:rStyle w:val="Style"/>
          <w:rFonts w:asciiTheme="minorHAnsi" w:hAnsiTheme="minorHAnsi"/>
        </w:rPr>
        <w:footnoteReference w:id="718"/>
      </w:r>
      <w:r w:rsidR="00427156">
        <w:rPr>
          <w:rFonts w:asciiTheme="minorHAnsi" w:hAnsiTheme="minorHAnsi"/>
        </w:rPr>
        <w:t xml:space="preserve"> </w:t>
      </w:r>
      <w:r w:rsidR="0030477C">
        <w:rPr>
          <w:rFonts w:asciiTheme="minorHAnsi" w:hAnsiTheme="minorHAnsi"/>
        </w:rPr>
        <w:t xml:space="preserve"> </w:t>
      </w:r>
      <w:r w:rsidR="00A72D03">
        <w:rPr>
          <w:rFonts w:asciiTheme="minorHAnsi" w:hAnsiTheme="minorHAnsi"/>
        </w:rPr>
        <w:t xml:space="preserve">The discretion </w:t>
      </w:r>
      <w:r w:rsidR="0034547D">
        <w:rPr>
          <w:rFonts w:asciiTheme="minorHAnsi" w:hAnsiTheme="minorHAnsi"/>
        </w:rPr>
        <w:t xml:space="preserve">is </w:t>
      </w:r>
      <w:r w:rsidR="00A72D03">
        <w:rPr>
          <w:rFonts w:asciiTheme="minorHAnsi" w:hAnsiTheme="minorHAnsi"/>
        </w:rPr>
        <w:t xml:space="preserve">sometimes called the </w:t>
      </w:r>
      <w:r w:rsidR="00A72D03" w:rsidRPr="00CE301E">
        <w:rPr>
          <w:rFonts w:asciiTheme="minorHAnsi" w:hAnsiTheme="minorHAnsi"/>
          <w:i/>
        </w:rPr>
        <w:t>Renzella</w:t>
      </w:r>
      <w:r w:rsidR="00A72D03">
        <w:rPr>
          <w:rFonts w:asciiTheme="minorHAnsi" w:hAnsiTheme="minorHAnsi"/>
        </w:rPr>
        <w:t xml:space="preserve"> discretion.</w:t>
      </w:r>
      <w:r w:rsidR="00A72D03" w:rsidRPr="00295C71">
        <w:rPr>
          <w:rStyle w:val="Style"/>
          <w:rFonts w:asciiTheme="minorHAnsi" w:hAnsiTheme="minorHAnsi"/>
        </w:rPr>
        <w:footnoteReference w:id="719"/>
      </w:r>
      <w:r w:rsidR="00A72D03">
        <w:rPr>
          <w:rFonts w:asciiTheme="minorHAnsi" w:hAnsiTheme="minorHAnsi"/>
        </w:rPr>
        <w:t xml:space="preserve">  The other period of custody may include custody in another jurisdiction.</w:t>
      </w:r>
      <w:r w:rsidR="00A72D03" w:rsidRPr="00295C71">
        <w:rPr>
          <w:rStyle w:val="Style"/>
          <w:rFonts w:asciiTheme="minorHAnsi" w:hAnsiTheme="minorHAnsi"/>
        </w:rPr>
        <w:footnoteReference w:id="720"/>
      </w:r>
      <w:r w:rsidR="00A72D03">
        <w:rPr>
          <w:rFonts w:asciiTheme="minorHAnsi" w:hAnsiTheme="minorHAnsi"/>
        </w:rPr>
        <w:t xml:space="preserve">  The other period of custody may be taken into account in various ways, including by reduction of the head sentence</w:t>
      </w:r>
      <w:r w:rsidR="0034547D">
        <w:rPr>
          <w:rFonts w:asciiTheme="minorHAnsi" w:hAnsiTheme="minorHAnsi"/>
        </w:rPr>
        <w:t>,</w:t>
      </w:r>
      <w:r w:rsidR="00A72D03">
        <w:rPr>
          <w:rFonts w:asciiTheme="minorHAnsi" w:hAnsiTheme="minorHAnsi"/>
        </w:rPr>
        <w:t xml:space="preserve"> or the period to be served, or both.  </w:t>
      </w:r>
      <w:r w:rsidR="0034547D">
        <w:rPr>
          <w:rFonts w:asciiTheme="minorHAnsi" w:hAnsiTheme="minorHAnsi"/>
        </w:rPr>
        <w:t>The allowance to be made is within the discretion of the sentencing court, and the exercise is not a mathematical one.</w:t>
      </w:r>
      <w:r w:rsidR="0034547D" w:rsidRPr="00295C71">
        <w:rPr>
          <w:rStyle w:val="Style"/>
          <w:rFonts w:asciiTheme="minorHAnsi" w:hAnsiTheme="minorHAnsi"/>
        </w:rPr>
        <w:footnoteReference w:id="721"/>
      </w:r>
    </w:p>
    <w:p w14:paraId="7D81BDAA" w14:textId="77777777" w:rsidR="0034547D" w:rsidRPr="0034547D" w:rsidRDefault="0034547D" w:rsidP="0034547D">
      <w:pPr>
        <w:pStyle w:val="ListParagraph"/>
        <w:rPr>
          <w:rFonts w:asciiTheme="minorHAnsi" w:hAnsiTheme="minorHAnsi"/>
        </w:rPr>
      </w:pPr>
    </w:p>
    <w:p w14:paraId="733396E5" w14:textId="7F2694F3" w:rsidR="00C00B92" w:rsidRDefault="0047661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An </w:t>
      </w:r>
      <w:r w:rsidR="0030477C">
        <w:rPr>
          <w:rFonts w:asciiTheme="minorHAnsi" w:hAnsiTheme="minorHAnsi"/>
        </w:rPr>
        <w:t>example</w:t>
      </w:r>
      <w:r w:rsidR="00BE298D">
        <w:rPr>
          <w:rFonts w:asciiTheme="minorHAnsi" w:hAnsiTheme="minorHAnsi"/>
        </w:rPr>
        <w:t xml:space="preserve"> of the exercise of th</w:t>
      </w:r>
      <w:r w:rsidR="0034547D">
        <w:rPr>
          <w:rFonts w:asciiTheme="minorHAnsi" w:hAnsiTheme="minorHAnsi"/>
        </w:rPr>
        <w:t xml:space="preserve">e </w:t>
      </w:r>
      <w:r w:rsidR="0034547D" w:rsidRPr="0034547D">
        <w:rPr>
          <w:rFonts w:asciiTheme="minorHAnsi" w:hAnsiTheme="minorHAnsi"/>
          <w:i/>
        </w:rPr>
        <w:t>Renzella</w:t>
      </w:r>
      <w:r w:rsidR="00BE298D">
        <w:rPr>
          <w:rFonts w:asciiTheme="minorHAnsi" w:hAnsiTheme="minorHAnsi"/>
        </w:rPr>
        <w:t xml:space="preserve"> discretion</w:t>
      </w:r>
      <w:r>
        <w:rPr>
          <w:rFonts w:asciiTheme="minorHAnsi" w:hAnsiTheme="minorHAnsi"/>
        </w:rPr>
        <w:t xml:space="preserve"> is </w:t>
      </w:r>
      <w:r w:rsidR="00DC1B6D" w:rsidRPr="00DC1B6D">
        <w:rPr>
          <w:rFonts w:asciiTheme="minorHAnsi" w:hAnsiTheme="minorHAnsi"/>
          <w:i/>
        </w:rPr>
        <w:t>Karpinski</w:t>
      </w:r>
      <w:r w:rsidR="00DC1B6D">
        <w:rPr>
          <w:rFonts w:asciiTheme="minorHAnsi" w:hAnsiTheme="minorHAnsi"/>
        </w:rPr>
        <w:t>,</w:t>
      </w:r>
      <w:r w:rsidR="00DC1B6D" w:rsidRPr="00295C71">
        <w:rPr>
          <w:rStyle w:val="Style"/>
          <w:rFonts w:asciiTheme="minorHAnsi" w:hAnsiTheme="minorHAnsi"/>
        </w:rPr>
        <w:footnoteReference w:id="722"/>
      </w:r>
      <w:r w:rsidR="00DC1B6D">
        <w:rPr>
          <w:rFonts w:asciiTheme="minorHAnsi" w:hAnsiTheme="minorHAnsi"/>
        </w:rPr>
        <w:t xml:space="preserve"> </w:t>
      </w:r>
      <w:r>
        <w:rPr>
          <w:rFonts w:asciiTheme="minorHAnsi" w:hAnsiTheme="minorHAnsi"/>
        </w:rPr>
        <w:t xml:space="preserve">where </w:t>
      </w:r>
      <w:r w:rsidR="00DC1B6D">
        <w:rPr>
          <w:rFonts w:asciiTheme="minorHAnsi" w:hAnsiTheme="minorHAnsi"/>
        </w:rPr>
        <w:t>the</w:t>
      </w:r>
      <w:r w:rsidR="0030477C">
        <w:rPr>
          <w:rFonts w:asciiTheme="minorHAnsi" w:hAnsiTheme="minorHAnsi"/>
        </w:rPr>
        <w:t xml:space="preserve"> offender ha</w:t>
      </w:r>
      <w:r w:rsidR="00DC1B6D">
        <w:rPr>
          <w:rFonts w:asciiTheme="minorHAnsi" w:hAnsiTheme="minorHAnsi"/>
        </w:rPr>
        <w:t>d</w:t>
      </w:r>
      <w:r w:rsidR="0030477C">
        <w:rPr>
          <w:rFonts w:asciiTheme="minorHAnsi" w:hAnsiTheme="minorHAnsi"/>
        </w:rPr>
        <w:t xml:space="preserve"> been held in custody </w:t>
      </w:r>
      <w:r>
        <w:rPr>
          <w:rFonts w:asciiTheme="minorHAnsi" w:hAnsiTheme="minorHAnsi"/>
        </w:rPr>
        <w:t xml:space="preserve">for a period of time </w:t>
      </w:r>
      <w:r w:rsidR="00F15D7C">
        <w:rPr>
          <w:rFonts w:asciiTheme="minorHAnsi" w:hAnsiTheme="minorHAnsi"/>
        </w:rPr>
        <w:t>solely</w:t>
      </w:r>
      <w:r w:rsidR="0030477C">
        <w:rPr>
          <w:rFonts w:asciiTheme="minorHAnsi" w:hAnsiTheme="minorHAnsi"/>
        </w:rPr>
        <w:t xml:space="preserve"> on </w:t>
      </w:r>
      <w:r>
        <w:rPr>
          <w:rFonts w:asciiTheme="minorHAnsi" w:hAnsiTheme="minorHAnsi"/>
        </w:rPr>
        <w:t>an</w:t>
      </w:r>
      <w:r w:rsidR="0030477C">
        <w:rPr>
          <w:rFonts w:asciiTheme="minorHAnsi" w:hAnsiTheme="minorHAnsi"/>
        </w:rPr>
        <w:t xml:space="preserve">other unrelated charge, </w:t>
      </w:r>
      <w:r w:rsidR="00E37C80">
        <w:rPr>
          <w:rFonts w:asciiTheme="minorHAnsi" w:hAnsiTheme="minorHAnsi"/>
        </w:rPr>
        <w:t>proceedings for</w:t>
      </w:r>
      <w:r>
        <w:rPr>
          <w:rFonts w:asciiTheme="minorHAnsi" w:hAnsiTheme="minorHAnsi"/>
        </w:rPr>
        <w:t xml:space="preserve"> </w:t>
      </w:r>
      <w:r w:rsidR="00DC1B6D">
        <w:rPr>
          <w:rFonts w:asciiTheme="minorHAnsi" w:hAnsiTheme="minorHAnsi"/>
        </w:rPr>
        <w:t xml:space="preserve">which </w:t>
      </w:r>
      <w:r w:rsidR="00E37C80">
        <w:rPr>
          <w:rFonts w:asciiTheme="minorHAnsi" w:hAnsiTheme="minorHAnsi"/>
        </w:rPr>
        <w:t xml:space="preserve">were </w:t>
      </w:r>
      <w:r>
        <w:rPr>
          <w:rFonts w:asciiTheme="minorHAnsi" w:hAnsiTheme="minorHAnsi"/>
        </w:rPr>
        <w:t xml:space="preserve">ultimately </w:t>
      </w:r>
      <w:r w:rsidR="00E37C80">
        <w:rPr>
          <w:rFonts w:asciiTheme="minorHAnsi" w:hAnsiTheme="minorHAnsi"/>
        </w:rPr>
        <w:t>discontinued</w:t>
      </w:r>
      <w:r w:rsidR="004377EB">
        <w:rPr>
          <w:rFonts w:asciiTheme="minorHAnsi" w:hAnsiTheme="minorHAnsi"/>
        </w:rPr>
        <w:t xml:space="preserve">. </w:t>
      </w:r>
      <w:r>
        <w:rPr>
          <w:rFonts w:asciiTheme="minorHAnsi" w:hAnsiTheme="minorHAnsi"/>
        </w:rPr>
        <w:t xml:space="preserve"> </w:t>
      </w:r>
      <w:r w:rsidR="004377EB">
        <w:rPr>
          <w:rFonts w:asciiTheme="minorHAnsi" w:hAnsiTheme="minorHAnsi"/>
        </w:rPr>
        <w:t xml:space="preserve">In </w:t>
      </w:r>
      <w:r w:rsidR="00A72D03">
        <w:rPr>
          <w:rFonts w:asciiTheme="minorHAnsi" w:hAnsiTheme="minorHAnsi"/>
        </w:rPr>
        <w:t>re-sentencing the offender for</w:t>
      </w:r>
      <w:r w:rsidR="0034547D">
        <w:rPr>
          <w:rFonts w:asciiTheme="minorHAnsi" w:hAnsiTheme="minorHAnsi"/>
        </w:rPr>
        <w:t xml:space="preserve"> the instant</w:t>
      </w:r>
      <w:r w:rsidR="00A72D03">
        <w:rPr>
          <w:rFonts w:asciiTheme="minorHAnsi" w:hAnsiTheme="minorHAnsi"/>
        </w:rPr>
        <w:t xml:space="preserve"> offence, </w:t>
      </w:r>
      <w:r w:rsidR="00DC1B6D">
        <w:rPr>
          <w:rFonts w:asciiTheme="minorHAnsi" w:hAnsiTheme="minorHAnsi"/>
        </w:rPr>
        <w:t xml:space="preserve">the </w:t>
      </w:r>
      <w:r w:rsidR="00BE298D">
        <w:rPr>
          <w:rFonts w:asciiTheme="minorHAnsi" w:hAnsiTheme="minorHAnsi"/>
        </w:rPr>
        <w:t xml:space="preserve">Victorian </w:t>
      </w:r>
      <w:r w:rsidR="00DC1B6D">
        <w:rPr>
          <w:rFonts w:asciiTheme="minorHAnsi" w:hAnsiTheme="minorHAnsi"/>
        </w:rPr>
        <w:t>Court of Appeal held that</w:t>
      </w:r>
      <w:r w:rsidR="009A7D41">
        <w:rPr>
          <w:rFonts w:asciiTheme="minorHAnsi" w:hAnsiTheme="minorHAnsi"/>
        </w:rPr>
        <w:t xml:space="preserve"> </w:t>
      </w:r>
      <w:r>
        <w:rPr>
          <w:rFonts w:asciiTheme="minorHAnsi" w:hAnsiTheme="minorHAnsi"/>
        </w:rPr>
        <w:t>allow</w:t>
      </w:r>
      <w:r w:rsidR="00A72D03">
        <w:rPr>
          <w:rFonts w:asciiTheme="minorHAnsi" w:hAnsiTheme="minorHAnsi"/>
        </w:rPr>
        <w:t>ance should be made</w:t>
      </w:r>
      <w:r>
        <w:rPr>
          <w:rFonts w:asciiTheme="minorHAnsi" w:hAnsiTheme="minorHAnsi"/>
        </w:rPr>
        <w:t xml:space="preserve"> for the </w:t>
      </w:r>
      <w:r w:rsidR="00DC1B6D">
        <w:rPr>
          <w:rFonts w:asciiTheme="minorHAnsi" w:hAnsiTheme="minorHAnsi"/>
        </w:rPr>
        <w:t>“</w:t>
      </w:r>
      <w:r w:rsidR="00DC1B6D" w:rsidRPr="00F15D7C">
        <w:rPr>
          <w:rFonts w:asciiTheme="minorHAnsi" w:hAnsiTheme="minorHAnsi"/>
          <w:i/>
        </w:rPr>
        <w:t>unallocated pre-sentence detention</w:t>
      </w:r>
      <w:r w:rsidR="00DC1B6D">
        <w:rPr>
          <w:rFonts w:asciiTheme="minorHAnsi" w:hAnsiTheme="minorHAnsi"/>
        </w:rPr>
        <w:t xml:space="preserve">” or </w:t>
      </w:r>
      <w:r>
        <w:rPr>
          <w:rFonts w:asciiTheme="minorHAnsi" w:hAnsiTheme="minorHAnsi"/>
        </w:rPr>
        <w:t>“</w:t>
      </w:r>
      <w:r w:rsidRPr="00F15D7C">
        <w:rPr>
          <w:rFonts w:asciiTheme="minorHAnsi" w:hAnsiTheme="minorHAnsi"/>
          <w:i/>
        </w:rPr>
        <w:t>dead time</w:t>
      </w:r>
      <w:r>
        <w:rPr>
          <w:rFonts w:asciiTheme="minorHAnsi" w:hAnsiTheme="minorHAnsi"/>
        </w:rPr>
        <w:t xml:space="preserve">” spent in custody on the </w:t>
      </w:r>
      <w:r w:rsidR="00E37C80">
        <w:rPr>
          <w:rFonts w:asciiTheme="minorHAnsi" w:hAnsiTheme="minorHAnsi"/>
        </w:rPr>
        <w:t>unrelated</w:t>
      </w:r>
      <w:r>
        <w:rPr>
          <w:rFonts w:asciiTheme="minorHAnsi" w:hAnsiTheme="minorHAnsi"/>
        </w:rPr>
        <w:t xml:space="preserve"> charge.</w:t>
      </w:r>
    </w:p>
    <w:p w14:paraId="2874AD51" w14:textId="77777777" w:rsidR="00C00B92" w:rsidRPr="00C00B92" w:rsidRDefault="00C00B92" w:rsidP="0034547D">
      <w:pPr>
        <w:pStyle w:val="ListParagraph"/>
        <w:rPr>
          <w:rFonts w:asciiTheme="minorHAnsi" w:hAnsiTheme="minorHAnsi"/>
        </w:rPr>
      </w:pPr>
    </w:p>
    <w:p w14:paraId="27FDDF94" w14:textId="7DFF2680" w:rsidR="0034547D" w:rsidRDefault="009A7D4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9A7D41">
        <w:rPr>
          <w:rFonts w:asciiTheme="minorHAnsi" w:hAnsiTheme="minorHAnsi"/>
          <w:i/>
        </w:rPr>
        <w:t>Karpinski</w:t>
      </w:r>
      <w:r>
        <w:rPr>
          <w:rFonts w:asciiTheme="minorHAnsi" w:hAnsiTheme="minorHAnsi"/>
        </w:rPr>
        <w:t xml:space="preserve">, </w:t>
      </w:r>
      <w:r w:rsidR="00534535">
        <w:rPr>
          <w:rFonts w:asciiTheme="minorHAnsi" w:hAnsiTheme="minorHAnsi"/>
        </w:rPr>
        <w:t xml:space="preserve">Weinberg JA expressed the view that </w:t>
      </w:r>
      <w:r w:rsidR="00534535" w:rsidRPr="005173EE">
        <w:rPr>
          <w:rFonts w:asciiTheme="minorHAnsi" w:hAnsiTheme="minorHAnsi"/>
        </w:rPr>
        <w:t xml:space="preserve">the law </w:t>
      </w:r>
      <w:r w:rsidR="00A8379D">
        <w:rPr>
          <w:rFonts w:asciiTheme="minorHAnsi" w:hAnsiTheme="minorHAnsi"/>
        </w:rPr>
        <w:t xml:space="preserve">(that is, in Victoria) </w:t>
      </w:r>
      <w:r w:rsidR="00534535" w:rsidRPr="005173EE">
        <w:rPr>
          <w:rFonts w:asciiTheme="minorHAnsi" w:hAnsiTheme="minorHAnsi"/>
        </w:rPr>
        <w:t xml:space="preserve">regarding the credit to be given for pre-sentence detention in respect of unrelated </w:t>
      </w:r>
      <w:r w:rsidR="0034547D">
        <w:rPr>
          <w:rFonts w:asciiTheme="minorHAnsi" w:hAnsiTheme="minorHAnsi"/>
        </w:rPr>
        <w:t>custody</w:t>
      </w:r>
      <w:r w:rsidR="00534535" w:rsidRPr="005173EE">
        <w:rPr>
          <w:rFonts w:asciiTheme="minorHAnsi" w:hAnsiTheme="minorHAnsi"/>
        </w:rPr>
        <w:t xml:space="preserve"> is in an unsatisfactory state, and </w:t>
      </w:r>
      <w:r w:rsidR="0034547D">
        <w:rPr>
          <w:rFonts w:asciiTheme="minorHAnsi" w:hAnsiTheme="minorHAnsi"/>
        </w:rPr>
        <w:t xml:space="preserve">that </w:t>
      </w:r>
      <w:r w:rsidR="00534535" w:rsidRPr="005173EE">
        <w:rPr>
          <w:rFonts w:asciiTheme="minorHAnsi" w:hAnsiTheme="minorHAnsi"/>
        </w:rPr>
        <w:t>the credit for such detention “</w:t>
      </w:r>
      <w:r w:rsidR="00534535" w:rsidRPr="005173EE">
        <w:rPr>
          <w:rFonts w:asciiTheme="minorHAnsi" w:hAnsiTheme="minorHAnsi"/>
          <w:i/>
        </w:rPr>
        <w:t>is often now invoked in circumstances where its application is difficult to justify, either as a matter of logic, or in principle.</w:t>
      </w:r>
      <w:r w:rsidR="00534535" w:rsidRPr="005173EE">
        <w:rPr>
          <w:rFonts w:asciiTheme="minorHAnsi" w:hAnsiTheme="minorHAnsi"/>
        </w:rPr>
        <w:t>”</w:t>
      </w:r>
      <w:r w:rsidR="00534535" w:rsidRPr="00295C71">
        <w:rPr>
          <w:rStyle w:val="Style"/>
          <w:rFonts w:asciiTheme="minorHAnsi" w:hAnsiTheme="minorHAnsi"/>
        </w:rPr>
        <w:footnoteReference w:id="723"/>
      </w:r>
      <w:r w:rsidR="00573ED4">
        <w:rPr>
          <w:rFonts w:asciiTheme="minorHAnsi" w:hAnsiTheme="minorHAnsi"/>
        </w:rPr>
        <w:t xml:space="preserve">  </w:t>
      </w:r>
    </w:p>
    <w:p w14:paraId="15C63ABB" w14:textId="77777777" w:rsidR="0034547D" w:rsidRPr="0034547D" w:rsidRDefault="0034547D" w:rsidP="0034547D">
      <w:pPr>
        <w:pStyle w:val="ListParagraph"/>
        <w:rPr>
          <w:rFonts w:asciiTheme="minorHAnsi" w:hAnsiTheme="minorHAnsi"/>
        </w:rPr>
      </w:pPr>
    </w:p>
    <w:p w14:paraId="1CA15CA5" w14:textId="062D21F8" w:rsidR="00CE39CC" w:rsidRDefault="00BE298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Courts in New South Wales have declined to recogn</w:t>
      </w:r>
      <w:r w:rsidR="00B67C2C">
        <w:rPr>
          <w:rFonts w:asciiTheme="minorHAnsi" w:hAnsiTheme="minorHAnsi"/>
        </w:rPr>
        <w:t>ise</w:t>
      </w:r>
      <w:r>
        <w:rPr>
          <w:rFonts w:asciiTheme="minorHAnsi" w:hAnsiTheme="minorHAnsi"/>
        </w:rPr>
        <w:t xml:space="preserve"> the existence of the residual discretion</w:t>
      </w:r>
      <w:r w:rsidR="00701C43">
        <w:rPr>
          <w:rFonts w:asciiTheme="minorHAnsi" w:hAnsiTheme="minorHAnsi"/>
        </w:rPr>
        <w:t xml:space="preserve"> as part of the common law of that State</w:t>
      </w:r>
      <w:r>
        <w:rPr>
          <w:rFonts w:asciiTheme="minorHAnsi" w:hAnsiTheme="minorHAnsi"/>
        </w:rPr>
        <w:t>.</w:t>
      </w:r>
      <w:r w:rsidR="00701C43" w:rsidRPr="00295C71">
        <w:rPr>
          <w:rStyle w:val="Style"/>
          <w:rFonts w:asciiTheme="minorHAnsi" w:hAnsiTheme="minorHAnsi"/>
        </w:rPr>
        <w:footnoteReference w:id="724"/>
      </w:r>
      <w:r w:rsidR="00312FBA">
        <w:rPr>
          <w:rFonts w:asciiTheme="minorHAnsi" w:hAnsiTheme="minorHAnsi"/>
        </w:rPr>
        <w:t xml:space="preserve">  Courts in South Australia appear to have taken a similar view.</w:t>
      </w:r>
      <w:r w:rsidR="00312FBA" w:rsidRPr="00295C71">
        <w:rPr>
          <w:rStyle w:val="Style"/>
          <w:rFonts w:asciiTheme="minorHAnsi" w:hAnsiTheme="minorHAnsi"/>
        </w:rPr>
        <w:footnoteReference w:id="725"/>
      </w:r>
    </w:p>
    <w:p w14:paraId="56833148" w14:textId="77777777" w:rsidR="00CE39CC" w:rsidRPr="00CE39CC" w:rsidRDefault="00CE39CC" w:rsidP="00CE39CC">
      <w:pPr>
        <w:pStyle w:val="ListParagraph"/>
        <w:rPr>
          <w:rFonts w:asciiTheme="minorHAnsi" w:hAnsiTheme="minorHAnsi"/>
        </w:rPr>
      </w:pPr>
    </w:p>
    <w:p w14:paraId="235BEE63" w14:textId="7DA2CBD2" w:rsidR="00E55DEF" w:rsidRDefault="00475CA8">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Although </w:t>
      </w:r>
      <w:r w:rsidR="00694D4B">
        <w:rPr>
          <w:rFonts w:asciiTheme="minorHAnsi" w:hAnsiTheme="minorHAnsi"/>
        </w:rPr>
        <w:t xml:space="preserve">it has been assumed that </w:t>
      </w:r>
      <w:r>
        <w:rPr>
          <w:rFonts w:asciiTheme="minorHAnsi" w:hAnsiTheme="minorHAnsi"/>
        </w:rPr>
        <w:t xml:space="preserve">the </w:t>
      </w:r>
      <w:r w:rsidRPr="00475CA8">
        <w:rPr>
          <w:rFonts w:asciiTheme="minorHAnsi" w:hAnsiTheme="minorHAnsi"/>
          <w:i/>
        </w:rPr>
        <w:t>Renzella</w:t>
      </w:r>
      <w:r>
        <w:rPr>
          <w:rFonts w:asciiTheme="minorHAnsi" w:hAnsiTheme="minorHAnsi"/>
        </w:rPr>
        <w:t xml:space="preserve"> discretion appl</w:t>
      </w:r>
      <w:r w:rsidR="00694D4B">
        <w:rPr>
          <w:rFonts w:asciiTheme="minorHAnsi" w:hAnsiTheme="minorHAnsi"/>
        </w:rPr>
        <w:t>ies</w:t>
      </w:r>
      <w:r>
        <w:rPr>
          <w:rFonts w:asciiTheme="minorHAnsi" w:hAnsiTheme="minorHAnsi"/>
        </w:rPr>
        <w:t xml:space="preserve"> to the sentencing of a federal offender,</w:t>
      </w:r>
      <w:r w:rsidR="00B76F9C" w:rsidRPr="00295C71">
        <w:rPr>
          <w:rStyle w:val="Style"/>
          <w:rFonts w:asciiTheme="minorHAnsi" w:hAnsiTheme="minorHAnsi"/>
        </w:rPr>
        <w:footnoteReference w:id="726"/>
      </w:r>
      <w:r>
        <w:rPr>
          <w:rFonts w:asciiTheme="minorHAnsi" w:hAnsiTheme="minorHAnsi"/>
        </w:rPr>
        <w:t xml:space="preserve"> t</w:t>
      </w:r>
      <w:r w:rsidR="00E161CA">
        <w:rPr>
          <w:rFonts w:asciiTheme="minorHAnsi" w:hAnsiTheme="minorHAnsi"/>
        </w:rPr>
        <w:t>he</w:t>
      </w:r>
      <w:r w:rsidR="00E650E1">
        <w:rPr>
          <w:rFonts w:asciiTheme="minorHAnsi" w:hAnsiTheme="minorHAnsi"/>
        </w:rPr>
        <w:t xml:space="preserve">re does not appear to have been any </w:t>
      </w:r>
      <w:r>
        <w:rPr>
          <w:rFonts w:asciiTheme="minorHAnsi" w:hAnsiTheme="minorHAnsi"/>
        </w:rPr>
        <w:t xml:space="preserve">judicial </w:t>
      </w:r>
      <w:r w:rsidR="00E650E1">
        <w:rPr>
          <w:rFonts w:asciiTheme="minorHAnsi" w:hAnsiTheme="minorHAnsi"/>
        </w:rPr>
        <w:t xml:space="preserve">consideration of whether the legislative scheme under the </w:t>
      </w:r>
      <w:r w:rsidR="00885EFD" w:rsidRPr="00885EFD">
        <w:rPr>
          <w:rFonts w:asciiTheme="minorHAnsi" w:hAnsiTheme="minorHAnsi"/>
          <w:i/>
        </w:rPr>
        <w:t>Crimes Act 1914</w:t>
      </w:r>
      <w:r w:rsidR="00E650E1">
        <w:rPr>
          <w:rFonts w:asciiTheme="minorHAnsi" w:hAnsiTheme="minorHAnsi"/>
        </w:rPr>
        <w:t xml:space="preserve"> (Cth)</w:t>
      </w:r>
      <w:r w:rsidR="004B0E3E">
        <w:rPr>
          <w:rFonts w:asciiTheme="minorHAnsi" w:hAnsiTheme="minorHAnsi"/>
        </w:rPr>
        <w:t xml:space="preserve"> (particularly ss 16A</w:t>
      </w:r>
      <w:r w:rsidR="00B74EC2">
        <w:rPr>
          <w:rFonts w:asciiTheme="minorHAnsi" w:hAnsiTheme="minorHAnsi"/>
        </w:rPr>
        <w:t>,</w:t>
      </w:r>
      <w:r w:rsidR="00B74EC2" w:rsidRPr="00C00000">
        <w:rPr>
          <w:rStyle w:val="Style"/>
          <w:rFonts w:asciiTheme="minorHAnsi" w:hAnsiTheme="minorHAnsi"/>
        </w:rPr>
        <w:footnoteReference w:id="727"/>
      </w:r>
      <w:r w:rsidR="004B0E3E">
        <w:rPr>
          <w:rFonts w:asciiTheme="minorHAnsi" w:hAnsiTheme="minorHAnsi"/>
        </w:rPr>
        <w:t xml:space="preserve"> 16B and 16E)</w:t>
      </w:r>
      <w:r w:rsidR="00E650E1">
        <w:rPr>
          <w:rFonts w:asciiTheme="minorHAnsi" w:hAnsiTheme="minorHAnsi"/>
        </w:rPr>
        <w:t xml:space="preserve"> </w:t>
      </w:r>
      <w:r w:rsidR="0050436C">
        <w:rPr>
          <w:rFonts w:asciiTheme="minorHAnsi" w:hAnsiTheme="minorHAnsi"/>
        </w:rPr>
        <w:t xml:space="preserve">can accommodate the </w:t>
      </w:r>
      <w:r w:rsidR="00A8379D" w:rsidRPr="00A8379D">
        <w:rPr>
          <w:rFonts w:asciiTheme="minorHAnsi" w:hAnsiTheme="minorHAnsi"/>
          <w:i/>
        </w:rPr>
        <w:t>Renzella</w:t>
      </w:r>
      <w:r w:rsidR="0050436C">
        <w:rPr>
          <w:rFonts w:asciiTheme="minorHAnsi" w:hAnsiTheme="minorHAnsi"/>
        </w:rPr>
        <w:t xml:space="preserve"> </w:t>
      </w:r>
      <w:r w:rsidR="00CE39CC">
        <w:rPr>
          <w:rFonts w:asciiTheme="minorHAnsi" w:hAnsiTheme="minorHAnsi"/>
        </w:rPr>
        <w:t>discretion</w:t>
      </w:r>
      <w:r w:rsidR="0050436C">
        <w:rPr>
          <w:rFonts w:asciiTheme="minorHAnsi" w:hAnsiTheme="minorHAnsi"/>
        </w:rPr>
        <w:t xml:space="preserve">, in the sense that it </w:t>
      </w:r>
      <w:r w:rsidR="00E650E1">
        <w:rPr>
          <w:rFonts w:asciiTheme="minorHAnsi" w:hAnsiTheme="minorHAnsi"/>
        </w:rPr>
        <w:t>leaves a gap to be filled by the application of the common law principle</w:t>
      </w:r>
      <w:r w:rsidR="00E161CA">
        <w:rPr>
          <w:rFonts w:asciiTheme="minorHAnsi" w:hAnsiTheme="minorHAnsi"/>
        </w:rPr>
        <w:t>.</w:t>
      </w:r>
      <w:r w:rsidR="00E650E1" w:rsidRPr="00C00000">
        <w:rPr>
          <w:rStyle w:val="Style"/>
          <w:rFonts w:asciiTheme="minorHAnsi" w:hAnsiTheme="minorHAnsi"/>
        </w:rPr>
        <w:footnoteReference w:id="728"/>
      </w:r>
    </w:p>
    <w:p w14:paraId="69922762" w14:textId="24FD7E7E" w:rsidR="00694610" w:rsidRDefault="00694610" w:rsidP="00694610">
      <w:pPr>
        <w:pStyle w:val="ListParagraph"/>
        <w:rPr>
          <w:rFonts w:asciiTheme="minorHAnsi" w:hAnsiTheme="minorHAnsi"/>
        </w:rPr>
      </w:pPr>
    </w:p>
    <w:p w14:paraId="2BEA7A45" w14:textId="1C85D5A2" w:rsidR="00694610" w:rsidRPr="009541AE" w:rsidRDefault="00694610" w:rsidP="00EB7F1E">
      <w:pPr>
        <w:pStyle w:val="Heading3"/>
      </w:pPr>
      <w:bookmarkStart w:id="1791" w:name="_Ref11070989"/>
      <w:bookmarkStart w:id="1792" w:name="_Ref11070992"/>
      <w:bookmarkStart w:id="1793" w:name="_Toc33602886"/>
      <w:r w:rsidRPr="009541AE">
        <w:t>Correction of error in sentence of imprisonment</w:t>
      </w:r>
      <w:bookmarkEnd w:id="1791"/>
      <w:bookmarkEnd w:id="1792"/>
      <w:bookmarkEnd w:id="1793"/>
    </w:p>
    <w:p w14:paraId="537D643C" w14:textId="77777777" w:rsidR="00694610" w:rsidRPr="009541AE" w:rsidRDefault="00694610" w:rsidP="00EB7F1E">
      <w:pPr>
        <w:pStyle w:val="ListParagraph"/>
        <w:rPr>
          <w:rFonts w:asciiTheme="minorHAnsi" w:hAnsiTheme="minorHAnsi"/>
        </w:rPr>
      </w:pPr>
    </w:p>
    <w:p w14:paraId="682B3F4C" w14:textId="50A47B91" w:rsidR="00E44A7A" w:rsidRPr="009541AE" w:rsidRDefault="00E44A7A">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The </w:t>
      </w:r>
      <w:r w:rsidRPr="009541AE">
        <w:rPr>
          <w:rFonts w:asciiTheme="minorHAnsi" w:hAnsiTheme="minorHAnsi"/>
          <w:i/>
          <w:iCs/>
        </w:rPr>
        <w:t>Crimes Act 1914</w:t>
      </w:r>
      <w:r w:rsidRPr="009541AE">
        <w:rPr>
          <w:rFonts w:asciiTheme="minorHAnsi" w:hAnsiTheme="minorHAnsi"/>
        </w:rPr>
        <w:t xml:space="preserve"> (Cth) contains two powers for a sentencing court to correct errors in relation to a sentence of imprisonment imposed on a federal offender:</w:t>
      </w:r>
    </w:p>
    <w:p w14:paraId="721D8897" w14:textId="35453C8D" w:rsidR="002C11CE" w:rsidRPr="009541AE" w:rsidRDefault="002C11CE" w:rsidP="002C11C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rPr>
        <w:t>Section 19AHA</w:t>
      </w:r>
      <w:r w:rsidR="00D96C5C" w:rsidRPr="009541AE">
        <w:rPr>
          <w:rFonts w:asciiTheme="minorHAnsi" w:hAnsiTheme="minorHAnsi"/>
        </w:rPr>
        <w:t xml:space="preserve"> confers a power for a sentencing court to rectify an error of a technical nature made by the court or a defect of form or an ambiguity in an order imposing a sentence of imprisonment</w:t>
      </w:r>
      <w:r w:rsidR="00AC0C23" w:rsidRPr="009541AE">
        <w:rPr>
          <w:rFonts w:asciiTheme="minorHAnsi" w:hAnsiTheme="minorHAnsi"/>
        </w:rPr>
        <w:t xml:space="preserve"> or</w:t>
      </w:r>
      <w:r w:rsidR="00D96C5C" w:rsidRPr="009541AE">
        <w:rPr>
          <w:rFonts w:asciiTheme="minorHAnsi" w:hAnsiTheme="minorHAnsi"/>
        </w:rPr>
        <w:t xml:space="preserve"> an order fixing a </w:t>
      </w:r>
      <w:r w:rsidR="00AC0C23" w:rsidRPr="009541AE">
        <w:rPr>
          <w:rFonts w:asciiTheme="minorHAnsi" w:hAnsiTheme="minorHAnsi"/>
        </w:rPr>
        <w:t>non-parole period (</w:t>
      </w:r>
      <w:r w:rsidR="00D96C5C" w:rsidRPr="009541AE">
        <w:rPr>
          <w:rFonts w:asciiTheme="minorHAnsi" w:hAnsiTheme="minorHAnsi"/>
        </w:rPr>
        <w:t>NPP</w:t>
      </w:r>
      <w:r w:rsidR="00AC0C23" w:rsidRPr="009541AE">
        <w:rPr>
          <w:rFonts w:asciiTheme="minorHAnsi" w:hAnsiTheme="minorHAnsi"/>
        </w:rPr>
        <w:t>)</w:t>
      </w:r>
      <w:r w:rsidR="00D96C5C" w:rsidRPr="009541AE">
        <w:rPr>
          <w:rFonts w:asciiTheme="minorHAnsi" w:hAnsiTheme="minorHAnsi"/>
        </w:rPr>
        <w:t xml:space="preserve"> or</w:t>
      </w:r>
      <w:r w:rsidR="00AC0C23" w:rsidRPr="009541AE">
        <w:rPr>
          <w:rFonts w:asciiTheme="minorHAnsi" w:hAnsiTheme="minorHAnsi"/>
        </w:rPr>
        <w:t xml:space="preserve"> </w:t>
      </w:r>
      <w:r w:rsidR="00D96C5C" w:rsidRPr="009541AE">
        <w:rPr>
          <w:rFonts w:asciiTheme="minorHAnsi" w:hAnsiTheme="minorHAnsi"/>
        </w:rPr>
        <w:t>a</w:t>
      </w:r>
      <w:r w:rsidR="00AC0C23" w:rsidRPr="009541AE">
        <w:rPr>
          <w:rFonts w:asciiTheme="minorHAnsi" w:hAnsiTheme="minorHAnsi"/>
        </w:rPr>
        <w:t xml:space="preserve"> recognizance release order</w:t>
      </w:r>
      <w:r w:rsidR="00D96C5C" w:rsidRPr="009541AE">
        <w:rPr>
          <w:rFonts w:asciiTheme="minorHAnsi" w:hAnsiTheme="minorHAnsi"/>
        </w:rPr>
        <w:t xml:space="preserve"> </w:t>
      </w:r>
      <w:r w:rsidR="00AC0C23" w:rsidRPr="009541AE">
        <w:rPr>
          <w:rFonts w:asciiTheme="minorHAnsi" w:hAnsiTheme="minorHAnsi"/>
        </w:rPr>
        <w:t>(</w:t>
      </w:r>
      <w:r w:rsidR="00D96C5C" w:rsidRPr="009541AE">
        <w:rPr>
          <w:rFonts w:asciiTheme="minorHAnsi" w:hAnsiTheme="minorHAnsi"/>
        </w:rPr>
        <w:t>RRO</w:t>
      </w:r>
      <w:r w:rsidR="00AC0C23" w:rsidRPr="009541AE">
        <w:rPr>
          <w:rFonts w:asciiTheme="minorHAnsi" w:hAnsiTheme="minorHAnsi"/>
        </w:rPr>
        <w:t>)</w:t>
      </w:r>
      <w:r w:rsidR="00D96C5C" w:rsidRPr="009541AE">
        <w:rPr>
          <w:rFonts w:asciiTheme="minorHAnsi" w:hAnsiTheme="minorHAnsi"/>
        </w:rPr>
        <w:t>.  The section also preserves the validity of the order despite the error, defect or ambiguity.  See “</w:t>
      </w:r>
      <w:r w:rsidR="00D96C5C" w:rsidRPr="009541AE">
        <w:rPr>
          <w:rFonts w:asciiTheme="minorHAnsi" w:hAnsiTheme="minorHAnsi"/>
        </w:rPr>
        <w:fldChar w:fldCharType="begin"/>
      </w:r>
      <w:r w:rsidR="00D96C5C" w:rsidRPr="009541AE">
        <w:rPr>
          <w:rFonts w:asciiTheme="minorHAnsi" w:hAnsiTheme="minorHAnsi"/>
        </w:rPr>
        <w:instrText xml:space="preserve"> REF _Ref10987717 \r \h </w:instrText>
      </w:r>
      <w:r w:rsidR="003770DA" w:rsidRPr="009541AE">
        <w:rPr>
          <w:rFonts w:asciiTheme="minorHAnsi" w:hAnsiTheme="minorHAnsi"/>
        </w:rPr>
        <w:instrText xml:space="preserve"> \* MERGEFORMAT </w:instrText>
      </w:r>
      <w:r w:rsidR="00D96C5C" w:rsidRPr="009541AE">
        <w:rPr>
          <w:rFonts w:asciiTheme="minorHAnsi" w:hAnsiTheme="minorHAnsi"/>
        </w:rPr>
      </w:r>
      <w:r w:rsidR="00D96C5C" w:rsidRPr="009541AE">
        <w:rPr>
          <w:rFonts w:asciiTheme="minorHAnsi" w:hAnsiTheme="minorHAnsi"/>
        </w:rPr>
        <w:fldChar w:fldCharType="separate"/>
      </w:r>
      <w:r w:rsidR="00D44BCF">
        <w:rPr>
          <w:rFonts w:asciiTheme="minorHAnsi" w:hAnsiTheme="minorHAnsi"/>
        </w:rPr>
        <w:t>7.12.2</w:t>
      </w:r>
      <w:r w:rsidR="00D96C5C" w:rsidRPr="009541AE">
        <w:rPr>
          <w:rFonts w:asciiTheme="minorHAnsi" w:hAnsiTheme="minorHAnsi"/>
        </w:rPr>
        <w:fldChar w:fldCharType="end"/>
      </w:r>
      <w:r w:rsidR="00D96C5C" w:rsidRPr="009541AE">
        <w:rPr>
          <w:rFonts w:asciiTheme="minorHAnsi" w:hAnsiTheme="minorHAnsi"/>
        </w:rPr>
        <w:t xml:space="preserve"> </w:t>
      </w:r>
      <w:r w:rsidR="00D96C5C" w:rsidRPr="009541AE">
        <w:rPr>
          <w:rFonts w:asciiTheme="minorHAnsi" w:hAnsiTheme="minorHAnsi"/>
        </w:rPr>
        <w:fldChar w:fldCharType="begin"/>
      </w:r>
      <w:r w:rsidR="00D96C5C" w:rsidRPr="009541AE">
        <w:rPr>
          <w:rFonts w:asciiTheme="minorHAnsi" w:hAnsiTheme="minorHAnsi"/>
        </w:rPr>
        <w:instrText xml:space="preserve"> REF _Ref10987717 \h </w:instrText>
      </w:r>
      <w:r w:rsidR="003770DA" w:rsidRPr="009541AE">
        <w:rPr>
          <w:rFonts w:asciiTheme="minorHAnsi" w:hAnsiTheme="minorHAnsi"/>
        </w:rPr>
        <w:instrText xml:space="preserve"> \* MERGEFORMAT </w:instrText>
      </w:r>
      <w:r w:rsidR="00D96C5C" w:rsidRPr="009541AE">
        <w:rPr>
          <w:rFonts w:asciiTheme="minorHAnsi" w:hAnsiTheme="minorHAnsi"/>
        </w:rPr>
      </w:r>
      <w:r w:rsidR="00D96C5C" w:rsidRPr="009541AE">
        <w:rPr>
          <w:rFonts w:asciiTheme="minorHAnsi" w:hAnsiTheme="minorHAnsi"/>
        </w:rPr>
        <w:fldChar w:fldCharType="separate"/>
      </w:r>
      <w:r w:rsidR="00D44BCF" w:rsidRPr="00D44BCF">
        <w:rPr>
          <w:rFonts w:asciiTheme="minorHAnsi" w:hAnsiTheme="minorHAnsi"/>
        </w:rPr>
        <w:t>Power to correct error in sentence of imprisonment: Crimes Act 1914, s 19AHA</w:t>
      </w:r>
      <w:r w:rsidR="00D96C5C" w:rsidRPr="009541AE">
        <w:rPr>
          <w:rFonts w:asciiTheme="minorHAnsi" w:hAnsiTheme="minorHAnsi"/>
        </w:rPr>
        <w:fldChar w:fldCharType="end"/>
      </w:r>
      <w:r w:rsidR="00D96C5C" w:rsidRPr="009541AE">
        <w:rPr>
          <w:rFonts w:asciiTheme="minorHAnsi" w:hAnsiTheme="minorHAnsi"/>
        </w:rPr>
        <w:t>”.</w:t>
      </w:r>
    </w:p>
    <w:p w14:paraId="69722129" w14:textId="33557393" w:rsidR="00694610" w:rsidRPr="009541AE" w:rsidRDefault="00E44A7A"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rPr>
        <w:t xml:space="preserve">Section 19AH provides a mechanism by which a court may, on application, correct a failure to fix, or properly to fix, a </w:t>
      </w:r>
      <w:r w:rsidR="00A245B1" w:rsidRPr="009541AE">
        <w:rPr>
          <w:rFonts w:asciiTheme="minorHAnsi" w:hAnsiTheme="minorHAnsi"/>
        </w:rPr>
        <w:t>NPP</w:t>
      </w:r>
      <w:r w:rsidRPr="009541AE">
        <w:rPr>
          <w:rFonts w:asciiTheme="minorHAnsi" w:hAnsiTheme="minorHAnsi"/>
        </w:rPr>
        <w:t xml:space="preserve">, or to make, or properly to make, a </w:t>
      </w:r>
      <w:r w:rsidR="00A245B1" w:rsidRPr="009541AE">
        <w:rPr>
          <w:rFonts w:asciiTheme="minorHAnsi" w:hAnsiTheme="minorHAnsi"/>
        </w:rPr>
        <w:t>RRO</w:t>
      </w:r>
      <w:r w:rsidRPr="009541AE">
        <w:rPr>
          <w:rFonts w:asciiTheme="minorHAnsi" w:hAnsiTheme="minorHAnsi"/>
        </w:rPr>
        <w:t xml:space="preserve">, under the Act.  </w:t>
      </w:r>
      <w:r w:rsidR="00D96C5C" w:rsidRPr="009541AE">
        <w:rPr>
          <w:rFonts w:asciiTheme="minorHAnsi" w:hAnsiTheme="minorHAnsi"/>
        </w:rPr>
        <w:t xml:space="preserve">The section also preserves the validity of the order despite the error.  </w:t>
      </w:r>
      <w:r w:rsidRPr="009541AE">
        <w:rPr>
          <w:rFonts w:asciiTheme="minorHAnsi" w:hAnsiTheme="minorHAnsi"/>
        </w:rPr>
        <w:t>See “</w:t>
      </w:r>
      <w:r w:rsidRPr="009541AE">
        <w:rPr>
          <w:rFonts w:asciiTheme="minorHAnsi" w:hAnsiTheme="minorHAnsi"/>
        </w:rPr>
        <w:fldChar w:fldCharType="begin"/>
      </w:r>
      <w:r w:rsidRPr="009541AE">
        <w:rPr>
          <w:rFonts w:asciiTheme="minorHAnsi" w:hAnsiTheme="minorHAnsi"/>
        </w:rPr>
        <w:instrText xml:space="preserve"> REF _Ref10976865 \r \h </w:instrText>
      </w:r>
      <w:r w:rsidR="003770DA" w:rsidRPr="009541AE">
        <w:rPr>
          <w:rFonts w:asciiTheme="minorHAnsi" w:hAnsiTheme="minorHAnsi"/>
        </w:rPr>
        <w:instrText xml:space="preserve"> \* MERGEFORMAT </w:instrText>
      </w:r>
      <w:r w:rsidRPr="009541AE">
        <w:rPr>
          <w:rFonts w:asciiTheme="minorHAnsi" w:hAnsiTheme="minorHAnsi"/>
        </w:rPr>
      </w:r>
      <w:r w:rsidRPr="009541AE">
        <w:rPr>
          <w:rFonts w:asciiTheme="minorHAnsi" w:hAnsiTheme="minorHAnsi"/>
        </w:rPr>
        <w:fldChar w:fldCharType="separate"/>
      </w:r>
      <w:r w:rsidR="00D44BCF">
        <w:rPr>
          <w:rFonts w:asciiTheme="minorHAnsi" w:hAnsiTheme="minorHAnsi"/>
        </w:rPr>
        <w:t>7.12.3</w:t>
      </w:r>
      <w:r w:rsidRPr="009541AE">
        <w:rPr>
          <w:rFonts w:asciiTheme="minorHAnsi" w:hAnsiTheme="minorHAnsi"/>
        </w:rPr>
        <w:fldChar w:fldCharType="end"/>
      </w:r>
      <w:r w:rsidRPr="009541AE">
        <w:rPr>
          <w:rFonts w:asciiTheme="minorHAnsi" w:hAnsiTheme="minorHAnsi"/>
        </w:rPr>
        <w:t xml:space="preserve"> </w:t>
      </w:r>
      <w:r w:rsidRPr="009541AE">
        <w:rPr>
          <w:rFonts w:asciiTheme="minorHAnsi" w:hAnsiTheme="minorHAnsi"/>
        </w:rPr>
        <w:fldChar w:fldCharType="begin"/>
      </w:r>
      <w:r w:rsidRPr="009541AE">
        <w:rPr>
          <w:rFonts w:asciiTheme="minorHAnsi" w:hAnsiTheme="minorHAnsi"/>
        </w:rPr>
        <w:instrText xml:space="preserve"> REF _Ref10976865 \h </w:instrText>
      </w:r>
      <w:r w:rsidR="003770DA" w:rsidRPr="009541AE">
        <w:rPr>
          <w:rFonts w:asciiTheme="minorHAnsi" w:hAnsiTheme="minorHAnsi"/>
        </w:rPr>
        <w:instrText xml:space="preserve"> \* MERGEFORMAT </w:instrText>
      </w:r>
      <w:r w:rsidRPr="009541AE">
        <w:rPr>
          <w:rFonts w:asciiTheme="minorHAnsi" w:hAnsiTheme="minorHAnsi"/>
        </w:rPr>
      </w:r>
      <w:r w:rsidRPr="009541AE">
        <w:rPr>
          <w:rFonts w:asciiTheme="minorHAnsi" w:hAnsiTheme="minorHAnsi"/>
        </w:rPr>
        <w:fldChar w:fldCharType="separate"/>
      </w:r>
      <w:r w:rsidR="00D44BCF" w:rsidRPr="00D44BCF">
        <w:rPr>
          <w:rFonts w:asciiTheme="minorHAnsi" w:hAnsiTheme="minorHAnsi"/>
        </w:rPr>
        <w:t>Power to correct error in fixing NPP or making RRO: Crimes Act 1914, s 19AH</w:t>
      </w:r>
      <w:r w:rsidRPr="009541AE">
        <w:rPr>
          <w:rFonts w:asciiTheme="minorHAnsi" w:hAnsiTheme="minorHAnsi"/>
        </w:rPr>
        <w:fldChar w:fldCharType="end"/>
      </w:r>
      <w:r w:rsidRPr="009541AE">
        <w:rPr>
          <w:rFonts w:asciiTheme="minorHAnsi" w:hAnsiTheme="minorHAnsi"/>
        </w:rPr>
        <w:t>”.</w:t>
      </w:r>
    </w:p>
    <w:p w14:paraId="18D505AA" w14:textId="5F061248" w:rsidR="001A6C72" w:rsidRDefault="001A6C72">
      <w:pPr>
        <w:rPr>
          <w:rFonts w:asciiTheme="minorHAnsi" w:hAnsiTheme="minorHAnsi"/>
        </w:rPr>
      </w:pPr>
      <w:r>
        <w:rPr>
          <w:rFonts w:asciiTheme="minorHAnsi" w:hAnsiTheme="minorHAnsi"/>
        </w:rPr>
        <w:br w:type="page"/>
      </w:r>
    </w:p>
    <w:p w14:paraId="06F82D2D" w14:textId="77777777" w:rsidR="00E55DEF" w:rsidRPr="000805CA" w:rsidRDefault="00E55DEF" w:rsidP="00E55DEF">
      <w:pPr>
        <w:pStyle w:val="ListParagraph"/>
        <w:rPr>
          <w:rFonts w:asciiTheme="minorHAnsi" w:hAnsiTheme="minorHAnsi"/>
        </w:rPr>
      </w:pPr>
    </w:p>
    <w:p w14:paraId="682AD1D3" w14:textId="24982725" w:rsidR="001725EC" w:rsidRPr="00364B92" w:rsidRDefault="00F26A73" w:rsidP="006D50C7">
      <w:pPr>
        <w:pStyle w:val="Heading2"/>
        <w:jc w:val="both"/>
      </w:pPr>
      <w:bookmarkStart w:id="1794" w:name="_Ref504834699"/>
      <w:bookmarkStart w:id="1795" w:name="_Ref504834702"/>
      <w:bookmarkStart w:id="1796" w:name="_Toc33602887"/>
      <w:r>
        <w:t xml:space="preserve">Imprisonment: concurrency or cumulation of </w:t>
      </w:r>
      <w:r w:rsidR="001725EC" w:rsidRPr="00364B92">
        <w:t>sentences</w:t>
      </w:r>
      <w:bookmarkEnd w:id="1794"/>
      <w:bookmarkEnd w:id="1795"/>
      <w:bookmarkEnd w:id="1796"/>
      <w:r w:rsidR="001725EC" w:rsidRPr="00364B92">
        <w:t xml:space="preserve"> </w:t>
      </w:r>
    </w:p>
    <w:p w14:paraId="4DC06E68" w14:textId="77777777" w:rsidR="001725EC" w:rsidRPr="00C00000" w:rsidRDefault="001725EC" w:rsidP="006D50C7">
      <w:pPr>
        <w:pStyle w:val="NormalIndent"/>
        <w:keepNext/>
        <w:spacing w:line="276" w:lineRule="auto"/>
        <w:jc w:val="both"/>
        <w:rPr>
          <w:rFonts w:asciiTheme="minorHAnsi" w:hAnsiTheme="minorHAnsi"/>
        </w:rPr>
      </w:pPr>
    </w:p>
    <w:p w14:paraId="3DDC1660" w14:textId="3858ABD2" w:rsidR="00D232C0" w:rsidRPr="00364B92" w:rsidRDefault="00D232C0" w:rsidP="006D50C7">
      <w:pPr>
        <w:pStyle w:val="Heading3"/>
      </w:pPr>
      <w:bookmarkStart w:id="1797" w:name="_Ref11160368"/>
      <w:bookmarkStart w:id="1798" w:name="_Ref11160370"/>
      <w:bookmarkStart w:id="1799" w:name="_Toc33602888"/>
      <w:r>
        <w:t xml:space="preserve">The mechanism for cumulation or </w:t>
      </w:r>
      <w:r w:rsidR="00451323">
        <w:t>concurrency</w:t>
      </w:r>
      <w:r>
        <w:t xml:space="preserve"> of sentences on a federal offender</w:t>
      </w:r>
      <w:r w:rsidRPr="00D232C0">
        <w:t xml:space="preserve">: </w:t>
      </w:r>
      <w:r w:rsidR="00F24F37" w:rsidRPr="00885EFD">
        <w:rPr>
          <w:i/>
        </w:rPr>
        <w:t xml:space="preserve">Crimes Act </w:t>
      </w:r>
      <w:r w:rsidR="00F24F37" w:rsidRPr="00F24F37">
        <w:t>1914</w:t>
      </w:r>
      <w:r w:rsidR="00F24F37">
        <w:t xml:space="preserve">, </w:t>
      </w:r>
      <w:r w:rsidRPr="00F24F37">
        <w:t>s</w:t>
      </w:r>
      <w:r w:rsidRPr="00D232C0">
        <w:t xml:space="preserve"> 19</w:t>
      </w:r>
      <w:bookmarkEnd w:id="1797"/>
      <w:bookmarkEnd w:id="1798"/>
      <w:bookmarkEnd w:id="1799"/>
    </w:p>
    <w:p w14:paraId="3F5325B2" w14:textId="77777777" w:rsidR="00D232C0" w:rsidRPr="00C00000" w:rsidRDefault="00D232C0" w:rsidP="006D50C7">
      <w:pPr>
        <w:pStyle w:val="NormalIndent"/>
        <w:keepNext/>
        <w:spacing w:line="276" w:lineRule="auto"/>
        <w:jc w:val="both"/>
        <w:rPr>
          <w:rFonts w:asciiTheme="minorHAnsi" w:hAnsiTheme="minorHAnsi"/>
        </w:rPr>
      </w:pPr>
    </w:p>
    <w:p w14:paraId="3AB6EEA1" w14:textId="61258826" w:rsidR="00947DC7" w:rsidRDefault="00A43B6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mechanism by which </w:t>
      </w:r>
      <w:r w:rsidR="00724706">
        <w:rPr>
          <w:rFonts w:asciiTheme="minorHAnsi" w:hAnsiTheme="minorHAnsi"/>
        </w:rPr>
        <w:t xml:space="preserve">a </w:t>
      </w:r>
      <w:r>
        <w:rPr>
          <w:rFonts w:asciiTheme="minorHAnsi" w:hAnsiTheme="minorHAnsi"/>
        </w:rPr>
        <w:t>sentence</w:t>
      </w:r>
      <w:r w:rsidR="00724706">
        <w:rPr>
          <w:rFonts w:asciiTheme="minorHAnsi" w:hAnsiTheme="minorHAnsi"/>
        </w:rPr>
        <w:t xml:space="preserve"> imposed on a federal offender is</w:t>
      </w:r>
      <w:r>
        <w:rPr>
          <w:rFonts w:asciiTheme="minorHAnsi" w:hAnsiTheme="minorHAnsi"/>
        </w:rPr>
        <w:t xml:space="preserve"> to be served cumulatively upon or concurrently with </w:t>
      </w:r>
      <w:r w:rsidR="00724706">
        <w:rPr>
          <w:rFonts w:asciiTheme="minorHAnsi" w:hAnsiTheme="minorHAnsi"/>
        </w:rPr>
        <w:t xml:space="preserve">one or more </w:t>
      </w:r>
      <w:r>
        <w:rPr>
          <w:rFonts w:asciiTheme="minorHAnsi" w:hAnsiTheme="minorHAnsi"/>
        </w:rPr>
        <w:t>other federal sentence</w:t>
      </w:r>
      <w:r w:rsidR="00724706">
        <w:rPr>
          <w:rFonts w:asciiTheme="minorHAnsi" w:hAnsiTheme="minorHAnsi"/>
        </w:rPr>
        <w:t>s</w:t>
      </w:r>
      <w:r>
        <w:rPr>
          <w:rFonts w:asciiTheme="minorHAnsi" w:hAnsiTheme="minorHAnsi"/>
        </w:rPr>
        <w:t xml:space="preserve"> or sentence</w:t>
      </w:r>
      <w:r w:rsidR="00724706">
        <w:rPr>
          <w:rFonts w:asciiTheme="minorHAnsi" w:hAnsiTheme="minorHAnsi"/>
        </w:rPr>
        <w:t>s</w:t>
      </w:r>
      <w:r>
        <w:rPr>
          <w:rFonts w:asciiTheme="minorHAnsi" w:hAnsiTheme="minorHAnsi"/>
        </w:rPr>
        <w:t xml:space="preserve"> for State/Territory offences</w:t>
      </w:r>
      <w:r w:rsidR="00724706">
        <w:rPr>
          <w:rFonts w:asciiTheme="minorHAnsi" w:hAnsiTheme="minorHAnsi"/>
        </w:rPr>
        <w:t xml:space="preserve"> (whether imposed at the same time or previously, and whether or not imposed by the same court)</w:t>
      </w:r>
      <w:r>
        <w:rPr>
          <w:rFonts w:asciiTheme="minorHAnsi" w:hAnsiTheme="minorHAnsi"/>
        </w:rPr>
        <w:t xml:space="preserve"> is governed by s 19 of the </w:t>
      </w:r>
      <w:r w:rsidR="00885EFD" w:rsidRPr="00885EFD">
        <w:rPr>
          <w:rFonts w:asciiTheme="minorHAnsi" w:hAnsiTheme="minorHAnsi"/>
          <w:i/>
        </w:rPr>
        <w:t>Crimes Act 1914</w:t>
      </w:r>
      <w:r w:rsidRPr="00A43B68">
        <w:rPr>
          <w:rFonts w:asciiTheme="minorHAnsi" w:hAnsiTheme="minorHAnsi"/>
          <w:i/>
        </w:rPr>
        <w:t xml:space="preserve"> </w:t>
      </w:r>
      <w:r>
        <w:rPr>
          <w:rFonts w:asciiTheme="minorHAnsi" w:hAnsiTheme="minorHAnsi"/>
        </w:rPr>
        <w:t>(Cth).  State and Territory laws do not apply</w:t>
      </w:r>
      <w:r w:rsidR="00957BBE">
        <w:rPr>
          <w:rFonts w:asciiTheme="minorHAnsi" w:hAnsiTheme="minorHAnsi"/>
        </w:rPr>
        <w:t xml:space="preserve"> directly</w:t>
      </w:r>
      <w:r>
        <w:rPr>
          <w:rFonts w:asciiTheme="minorHAnsi" w:hAnsiTheme="minorHAnsi"/>
        </w:rPr>
        <w:t>.</w:t>
      </w:r>
      <w:r w:rsidR="00957BBE" w:rsidRPr="00295C71">
        <w:rPr>
          <w:rStyle w:val="Style"/>
          <w:rFonts w:asciiTheme="minorHAnsi" w:hAnsiTheme="minorHAnsi"/>
        </w:rPr>
        <w:footnoteReference w:id="729"/>
      </w:r>
    </w:p>
    <w:p w14:paraId="3403E629" w14:textId="77777777" w:rsidR="00A43B68" w:rsidRDefault="00A43B68" w:rsidP="00A43B68">
      <w:pPr>
        <w:widowControl w:val="0"/>
        <w:spacing w:line="276" w:lineRule="auto"/>
        <w:jc w:val="both"/>
        <w:rPr>
          <w:rFonts w:asciiTheme="minorHAnsi" w:hAnsiTheme="minorHAnsi"/>
        </w:rPr>
      </w:pPr>
    </w:p>
    <w:p w14:paraId="4EDA5F8F" w14:textId="7E97A4AD" w:rsidR="00A43B68" w:rsidRDefault="00A43B68"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contrast to the position in a number of States and Territories,</w:t>
      </w:r>
      <w:r w:rsidR="00724706" w:rsidRPr="00C00000">
        <w:rPr>
          <w:rStyle w:val="Style"/>
          <w:rFonts w:asciiTheme="minorHAnsi" w:hAnsiTheme="minorHAnsi"/>
        </w:rPr>
        <w:footnoteReference w:id="730"/>
      </w:r>
      <w:r>
        <w:rPr>
          <w:rFonts w:asciiTheme="minorHAnsi" w:hAnsiTheme="minorHAnsi"/>
        </w:rPr>
        <w:t xml:space="preserve"> </w:t>
      </w:r>
      <w:r w:rsidR="00125FDE">
        <w:rPr>
          <w:rFonts w:asciiTheme="minorHAnsi" w:hAnsiTheme="minorHAnsi"/>
        </w:rPr>
        <w:t xml:space="preserve">in the sentencing of a federal offender </w:t>
      </w:r>
      <w:r>
        <w:rPr>
          <w:rFonts w:asciiTheme="minorHAnsi" w:hAnsiTheme="minorHAnsi"/>
        </w:rPr>
        <w:t xml:space="preserve">there is no default rule that a sentence is to be served concurrently </w:t>
      </w:r>
      <w:r w:rsidR="002F5F3F">
        <w:rPr>
          <w:rFonts w:asciiTheme="minorHAnsi" w:hAnsiTheme="minorHAnsi"/>
        </w:rPr>
        <w:t xml:space="preserve">with </w:t>
      </w:r>
      <w:r>
        <w:rPr>
          <w:rFonts w:asciiTheme="minorHAnsi" w:hAnsiTheme="minorHAnsi"/>
        </w:rPr>
        <w:t>or cumulatively</w:t>
      </w:r>
      <w:r w:rsidR="002F5F3F">
        <w:rPr>
          <w:rFonts w:asciiTheme="minorHAnsi" w:hAnsiTheme="minorHAnsi"/>
        </w:rPr>
        <w:t xml:space="preserve"> upon another sentence</w:t>
      </w:r>
      <w:r>
        <w:rPr>
          <w:rFonts w:asciiTheme="minorHAnsi" w:hAnsiTheme="minorHAnsi"/>
        </w:rPr>
        <w:t xml:space="preserve">.  </w:t>
      </w:r>
      <w:r w:rsidR="002B70DF">
        <w:rPr>
          <w:rFonts w:asciiTheme="minorHAnsi" w:hAnsiTheme="minorHAnsi"/>
        </w:rPr>
        <w:t xml:space="preserve">Instead, whether a sentence for a federal offence is to be served concurrently with or </w:t>
      </w:r>
      <w:r w:rsidR="00756230">
        <w:rPr>
          <w:rFonts w:asciiTheme="minorHAnsi" w:hAnsiTheme="minorHAnsi"/>
        </w:rPr>
        <w:t xml:space="preserve">(wholly or partly) </w:t>
      </w:r>
      <w:r w:rsidR="002B70DF">
        <w:rPr>
          <w:rFonts w:asciiTheme="minorHAnsi" w:hAnsiTheme="minorHAnsi"/>
        </w:rPr>
        <w:t xml:space="preserve">cumulatively upon another sentence </w:t>
      </w:r>
      <w:r w:rsidR="00425322">
        <w:rPr>
          <w:rFonts w:asciiTheme="minorHAnsi" w:hAnsiTheme="minorHAnsi"/>
        </w:rPr>
        <w:t xml:space="preserve">(whether </w:t>
      </w:r>
      <w:r w:rsidR="002B70DF">
        <w:rPr>
          <w:rFonts w:asciiTheme="minorHAnsi" w:hAnsiTheme="minorHAnsi"/>
        </w:rPr>
        <w:t>imposed at the same time or previously</w:t>
      </w:r>
      <w:r w:rsidR="00425322">
        <w:rPr>
          <w:rFonts w:asciiTheme="minorHAnsi" w:hAnsiTheme="minorHAnsi"/>
        </w:rPr>
        <w:t>)</w:t>
      </w:r>
      <w:r w:rsidR="002B70DF">
        <w:rPr>
          <w:rFonts w:asciiTheme="minorHAnsi" w:hAnsiTheme="minorHAnsi"/>
        </w:rPr>
        <w:t xml:space="preserve"> is to be determined by the </w:t>
      </w:r>
      <w:r>
        <w:rPr>
          <w:rFonts w:asciiTheme="minorHAnsi" w:hAnsiTheme="minorHAnsi"/>
        </w:rPr>
        <w:t>sentencing court</w:t>
      </w:r>
      <w:r w:rsidR="005C5489">
        <w:rPr>
          <w:rFonts w:asciiTheme="minorHAnsi" w:hAnsiTheme="minorHAnsi"/>
        </w:rPr>
        <w:t>.</w:t>
      </w:r>
      <w:r w:rsidR="002B70DF">
        <w:rPr>
          <w:rFonts w:asciiTheme="minorHAnsi" w:hAnsiTheme="minorHAnsi"/>
        </w:rPr>
        <w:t xml:space="preserve"> </w:t>
      </w:r>
      <w:r w:rsidR="005C5489">
        <w:rPr>
          <w:rFonts w:asciiTheme="minorHAnsi" w:hAnsiTheme="minorHAnsi"/>
        </w:rPr>
        <w:t xml:space="preserve"> The </w:t>
      </w:r>
      <w:r w:rsidR="002B70DF">
        <w:rPr>
          <w:rFonts w:asciiTheme="minorHAnsi" w:hAnsiTheme="minorHAnsi"/>
        </w:rPr>
        <w:t xml:space="preserve">court </w:t>
      </w:r>
      <w:r>
        <w:rPr>
          <w:rFonts w:asciiTheme="minorHAnsi" w:hAnsiTheme="minorHAnsi"/>
        </w:rPr>
        <w:t xml:space="preserve">is required to make orders </w:t>
      </w:r>
      <w:r w:rsidR="004E34DC">
        <w:rPr>
          <w:rFonts w:asciiTheme="minorHAnsi" w:hAnsiTheme="minorHAnsi"/>
        </w:rPr>
        <w:t>for the commencement of</w:t>
      </w:r>
      <w:r>
        <w:rPr>
          <w:rFonts w:asciiTheme="minorHAnsi" w:hAnsiTheme="minorHAnsi"/>
        </w:rPr>
        <w:t xml:space="preserve"> each federal </w:t>
      </w:r>
      <w:r w:rsidR="004E34DC">
        <w:rPr>
          <w:rFonts w:asciiTheme="minorHAnsi" w:hAnsiTheme="minorHAnsi"/>
        </w:rPr>
        <w:t>sentence</w:t>
      </w:r>
      <w:r w:rsidR="005C5489">
        <w:rPr>
          <w:rFonts w:asciiTheme="minorHAnsi" w:hAnsiTheme="minorHAnsi"/>
        </w:rPr>
        <w:t>,</w:t>
      </w:r>
      <w:r>
        <w:rPr>
          <w:rFonts w:asciiTheme="minorHAnsi" w:hAnsiTheme="minorHAnsi"/>
        </w:rPr>
        <w:t xml:space="preserve"> which effectively provide for concurrency</w:t>
      </w:r>
      <w:r w:rsidR="00FB19EC">
        <w:rPr>
          <w:rFonts w:asciiTheme="minorHAnsi" w:hAnsiTheme="minorHAnsi"/>
        </w:rPr>
        <w:t xml:space="preserve"> or cumulation of the sentence.</w:t>
      </w:r>
      <w:r w:rsidR="001F3307" w:rsidRPr="00C00000">
        <w:rPr>
          <w:rStyle w:val="Style"/>
          <w:rFonts w:asciiTheme="minorHAnsi" w:hAnsiTheme="minorHAnsi"/>
        </w:rPr>
        <w:footnoteReference w:id="731"/>
      </w:r>
      <w:r w:rsidR="001B0ECD">
        <w:rPr>
          <w:rFonts w:asciiTheme="minorHAnsi" w:hAnsiTheme="minorHAnsi"/>
        </w:rPr>
        <w:t xml:space="preserve">  </w:t>
      </w:r>
      <w:r w:rsidR="006209BB">
        <w:rPr>
          <w:rFonts w:asciiTheme="minorHAnsi" w:hAnsiTheme="minorHAnsi"/>
        </w:rPr>
        <w:t>This mechanism has been critic</w:t>
      </w:r>
      <w:r w:rsidR="00B86888">
        <w:rPr>
          <w:rFonts w:asciiTheme="minorHAnsi" w:hAnsiTheme="minorHAnsi"/>
        </w:rPr>
        <w:t>ised</w:t>
      </w:r>
      <w:r w:rsidR="006209BB">
        <w:rPr>
          <w:rFonts w:asciiTheme="minorHAnsi" w:hAnsiTheme="minorHAnsi"/>
        </w:rPr>
        <w:t xml:space="preserve"> as </w:t>
      </w:r>
      <w:r w:rsidR="006209BB" w:rsidRPr="00EB7F1E">
        <w:rPr>
          <w:rFonts w:asciiTheme="minorHAnsi" w:hAnsiTheme="minorHAnsi"/>
        </w:rPr>
        <w:t>“</w:t>
      </w:r>
      <w:r w:rsidR="006209BB" w:rsidRPr="00EB7F1E">
        <w:rPr>
          <w:rFonts w:asciiTheme="minorHAnsi" w:hAnsiTheme="minorHAnsi"/>
          <w:i/>
        </w:rPr>
        <w:t>unnecessarily cumbersome, confusing and prone to error</w:t>
      </w:r>
      <w:r w:rsidR="006209BB" w:rsidRPr="00EB7F1E">
        <w:rPr>
          <w:rFonts w:asciiTheme="minorHAnsi" w:hAnsiTheme="minorHAnsi"/>
        </w:rPr>
        <w:t>”.</w:t>
      </w:r>
      <w:r w:rsidR="006209BB" w:rsidRPr="00C00000">
        <w:rPr>
          <w:rStyle w:val="Style"/>
          <w:rFonts w:asciiTheme="minorHAnsi" w:hAnsiTheme="minorHAnsi"/>
        </w:rPr>
        <w:footnoteReference w:id="732"/>
      </w:r>
      <w:r w:rsidR="006209BB">
        <w:rPr>
          <w:rFonts w:asciiTheme="minorHAnsi" w:hAnsiTheme="minorHAnsi"/>
        </w:rPr>
        <w:t xml:space="preserve">  </w:t>
      </w:r>
      <w:r w:rsidR="001B0ECD">
        <w:rPr>
          <w:rFonts w:asciiTheme="minorHAnsi" w:hAnsiTheme="minorHAnsi"/>
        </w:rPr>
        <w:t>(As to the exercise of the discretion whether to order cumulation or concurrency, see “</w:t>
      </w:r>
      <w:r w:rsidR="001B0ECD">
        <w:rPr>
          <w:rFonts w:asciiTheme="minorHAnsi" w:hAnsiTheme="minorHAnsi"/>
        </w:rPr>
        <w:fldChar w:fldCharType="begin"/>
      </w:r>
      <w:r w:rsidR="001B0ECD">
        <w:rPr>
          <w:rFonts w:asciiTheme="minorHAnsi" w:hAnsiTheme="minorHAnsi"/>
        </w:rPr>
        <w:instrText xml:space="preserve"> REF _Ref505610574 \r \h </w:instrText>
      </w:r>
      <w:r w:rsidR="001B0ECD">
        <w:rPr>
          <w:rFonts w:asciiTheme="minorHAnsi" w:hAnsiTheme="minorHAnsi"/>
        </w:rPr>
      </w:r>
      <w:r w:rsidR="001B0ECD">
        <w:rPr>
          <w:rFonts w:asciiTheme="minorHAnsi" w:hAnsiTheme="minorHAnsi"/>
        </w:rPr>
        <w:fldChar w:fldCharType="separate"/>
      </w:r>
      <w:r w:rsidR="00D44BCF">
        <w:rPr>
          <w:rFonts w:asciiTheme="minorHAnsi" w:hAnsiTheme="minorHAnsi"/>
        </w:rPr>
        <w:t>5.9.2</w:t>
      </w:r>
      <w:r w:rsidR="001B0ECD">
        <w:rPr>
          <w:rFonts w:asciiTheme="minorHAnsi" w:hAnsiTheme="minorHAnsi"/>
        </w:rPr>
        <w:fldChar w:fldCharType="end"/>
      </w:r>
      <w:r w:rsidR="001B0ECD">
        <w:rPr>
          <w:rFonts w:asciiTheme="minorHAnsi" w:hAnsiTheme="minorHAnsi"/>
        </w:rPr>
        <w:t xml:space="preserve"> </w:t>
      </w:r>
      <w:r w:rsidR="001B0ECD">
        <w:rPr>
          <w:rFonts w:asciiTheme="minorHAnsi" w:hAnsiTheme="minorHAnsi"/>
        </w:rPr>
        <w:fldChar w:fldCharType="begin"/>
      </w:r>
      <w:r w:rsidR="001B0ECD">
        <w:rPr>
          <w:rFonts w:asciiTheme="minorHAnsi" w:hAnsiTheme="minorHAnsi"/>
        </w:rPr>
        <w:instrText xml:space="preserve"> REF _Ref505610577 \h  \* MERGEFORMAT </w:instrText>
      </w:r>
      <w:r w:rsidR="001B0ECD">
        <w:rPr>
          <w:rFonts w:asciiTheme="minorHAnsi" w:hAnsiTheme="minorHAnsi"/>
        </w:rPr>
      </w:r>
      <w:r w:rsidR="001B0ECD">
        <w:rPr>
          <w:rFonts w:asciiTheme="minorHAnsi" w:hAnsiTheme="minorHAnsi"/>
        </w:rPr>
        <w:fldChar w:fldCharType="separate"/>
      </w:r>
      <w:r w:rsidR="00D44BCF" w:rsidRPr="00D44BCF">
        <w:rPr>
          <w:rFonts w:asciiTheme="minorHAnsi" w:hAnsiTheme="minorHAnsi"/>
        </w:rPr>
        <w:t>Whether sentences should be concurrent or cumulative</w:t>
      </w:r>
      <w:r w:rsidR="001B0ECD">
        <w:rPr>
          <w:rFonts w:asciiTheme="minorHAnsi" w:hAnsiTheme="minorHAnsi"/>
        </w:rPr>
        <w:fldChar w:fldCharType="end"/>
      </w:r>
      <w:r w:rsidR="001B0ECD">
        <w:rPr>
          <w:rFonts w:asciiTheme="minorHAnsi" w:hAnsiTheme="minorHAnsi"/>
        </w:rPr>
        <w:t>”.)</w:t>
      </w:r>
    </w:p>
    <w:p w14:paraId="38351EDE" w14:textId="1F6EEAFE" w:rsidR="00A43B68" w:rsidRPr="00947DC7" w:rsidRDefault="00A43B68" w:rsidP="00A43B68">
      <w:pPr>
        <w:widowControl w:val="0"/>
        <w:spacing w:line="276" w:lineRule="auto"/>
        <w:jc w:val="both"/>
        <w:rPr>
          <w:rFonts w:asciiTheme="minorHAnsi" w:hAnsiTheme="minorHAnsi"/>
        </w:rPr>
      </w:pPr>
    </w:p>
    <w:p w14:paraId="6B53C497" w14:textId="2ABEF4ED" w:rsidR="001725EC" w:rsidRPr="00C00000" w:rsidRDefault="001725E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19 of the </w:t>
      </w:r>
      <w:r w:rsidR="00885EFD" w:rsidRPr="00885EFD">
        <w:rPr>
          <w:rFonts w:asciiTheme="minorHAnsi" w:hAnsiTheme="minorHAnsi"/>
          <w:i/>
        </w:rPr>
        <w:t>Crimes Act 1914</w:t>
      </w:r>
      <w:r w:rsidRPr="00C00000">
        <w:rPr>
          <w:rFonts w:asciiTheme="minorHAnsi" w:hAnsiTheme="minorHAnsi"/>
        </w:rPr>
        <w:t xml:space="preserve"> (Cth) covers a range of federal sentencing situations.  It </w:t>
      </w:r>
      <w:r w:rsidR="000E2594">
        <w:rPr>
          <w:rFonts w:asciiTheme="minorHAnsi" w:hAnsiTheme="minorHAnsi"/>
        </w:rPr>
        <w:t>applies</w:t>
      </w:r>
      <w:r w:rsidRPr="00C00000">
        <w:rPr>
          <w:rFonts w:asciiTheme="minorHAnsi" w:hAnsiTheme="minorHAnsi"/>
        </w:rPr>
        <w:t>:</w:t>
      </w:r>
    </w:p>
    <w:p w14:paraId="156B9FB9" w14:textId="1A8C0A60" w:rsidR="001725EC" w:rsidRPr="00C00000" w:rsidRDefault="001725EC" w:rsidP="00E15236">
      <w:pPr>
        <w:pStyle w:val="ListParagraph"/>
        <w:widowControl w:val="0"/>
        <w:numPr>
          <w:ilvl w:val="0"/>
          <w:numId w:val="12"/>
        </w:numPr>
        <w:spacing w:line="276" w:lineRule="auto"/>
        <w:ind w:left="851" w:hanging="425"/>
        <w:contextualSpacing w:val="0"/>
        <w:rPr>
          <w:rFonts w:asciiTheme="minorHAnsi" w:hAnsiTheme="minorHAnsi"/>
        </w:rPr>
      </w:pPr>
      <w:r w:rsidRPr="00C00000">
        <w:rPr>
          <w:rFonts w:asciiTheme="minorHAnsi" w:hAnsiTheme="minorHAnsi"/>
        </w:rPr>
        <w:t xml:space="preserve">where the </w:t>
      </w:r>
      <w:r w:rsidR="0071524E">
        <w:rPr>
          <w:rFonts w:asciiTheme="minorHAnsi" w:hAnsiTheme="minorHAnsi"/>
        </w:rPr>
        <w:t xml:space="preserve">offender </w:t>
      </w:r>
      <w:r w:rsidRPr="00C00000">
        <w:rPr>
          <w:rFonts w:asciiTheme="minorHAnsi" w:hAnsiTheme="minorHAnsi"/>
        </w:rPr>
        <w:t xml:space="preserve">is </w:t>
      </w:r>
      <w:r w:rsidRPr="00665959">
        <w:rPr>
          <w:rFonts w:asciiTheme="minorHAnsi" w:hAnsiTheme="minorHAnsi"/>
          <w:i/>
        </w:rPr>
        <w:t xml:space="preserve">already the subject of a </w:t>
      </w:r>
      <w:r w:rsidR="00D940FA" w:rsidRPr="00665959">
        <w:rPr>
          <w:rFonts w:asciiTheme="minorHAnsi" w:hAnsiTheme="minorHAnsi"/>
          <w:i/>
        </w:rPr>
        <w:t>State</w:t>
      </w:r>
      <w:r w:rsidR="00D940FA">
        <w:rPr>
          <w:rFonts w:asciiTheme="minorHAnsi" w:hAnsiTheme="minorHAnsi"/>
          <w:i/>
        </w:rPr>
        <w:t>/Territory</w:t>
      </w:r>
      <w:r w:rsidR="00D940FA" w:rsidRPr="00665959">
        <w:rPr>
          <w:rFonts w:asciiTheme="minorHAnsi" w:hAnsiTheme="minorHAnsi"/>
          <w:i/>
        </w:rPr>
        <w:t xml:space="preserve"> </w:t>
      </w:r>
      <w:r w:rsidRPr="00665959">
        <w:rPr>
          <w:rFonts w:asciiTheme="minorHAnsi" w:hAnsiTheme="minorHAnsi"/>
          <w:i/>
        </w:rPr>
        <w:t>sentence</w:t>
      </w:r>
      <w:r w:rsidRPr="00C00000">
        <w:rPr>
          <w:rFonts w:asciiTheme="minorHAnsi" w:hAnsiTheme="minorHAnsi"/>
        </w:rPr>
        <w:t xml:space="preserve"> - s 19(1); </w:t>
      </w:r>
    </w:p>
    <w:p w14:paraId="5CDB2F02" w14:textId="092B7824" w:rsidR="001725EC" w:rsidRPr="00C00000" w:rsidRDefault="001725EC" w:rsidP="00EB7F1E">
      <w:pPr>
        <w:pStyle w:val="ListParagraph"/>
        <w:widowControl w:val="0"/>
        <w:numPr>
          <w:ilvl w:val="0"/>
          <w:numId w:val="12"/>
        </w:numPr>
        <w:spacing w:line="276" w:lineRule="auto"/>
        <w:ind w:left="851" w:hanging="425"/>
        <w:contextualSpacing w:val="0"/>
        <w:rPr>
          <w:rFonts w:asciiTheme="minorHAnsi" w:hAnsiTheme="minorHAnsi"/>
        </w:rPr>
      </w:pPr>
      <w:r w:rsidRPr="00C00000">
        <w:rPr>
          <w:rFonts w:asciiTheme="minorHAnsi" w:hAnsiTheme="minorHAnsi"/>
        </w:rPr>
        <w:t xml:space="preserve">where </w:t>
      </w:r>
      <w:r w:rsidRPr="00665959">
        <w:rPr>
          <w:rFonts w:asciiTheme="minorHAnsi" w:hAnsiTheme="minorHAnsi"/>
          <w:i/>
        </w:rPr>
        <w:t>two or more federal sentences</w:t>
      </w:r>
      <w:r w:rsidRPr="00C00000">
        <w:rPr>
          <w:rFonts w:asciiTheme="minorHAnsi" w:hAnsiTheme="minorHAnsi"/>
        </w:rPr>
        <w:t xml:space="preserve"> are imposed - s 19(2); </w:t>
      </w:r>
      <w:r w:rsidR="00665959">
        <w:rPr>
          <w:rFonts w:asciiTheme="minorHAnsi" w:hAnsiTheme="minorHAnsi"/>
        </w:rPr>
        <w:t>or</w:t>
      </w:r>
      <w:r w:rsidRPr="00C00000">
        <w:rPr>
          <w:rFonts w:asciiTheme="minorHAnsi" w:hAnsiTheme="minorHAnsi"/>
        </w:rPr>
        <w:t xml:space="preserve"> </w:t>
      </w:r>
    </w:p>
    <w:p w14:paraId="5FA73F69" w14:textId="5E75A08A" w:rsidR="001725EC" w:rsidRPr="00C00000" w:rsidRDefault="001725EC" w:rsidP="00EB7F1E">
      <w:pPr>
        <w:pStyle w:val="ListParagraph"/>
        <w:widowControl w:val="0"/>
        <w:numPr>
          <w:ilvl w:val="0"/>
          <w:numId w:val="12"/>
        </w:numPr>
        <w:spacing w:line="276" w:lineRule="auto"/>
        <w:ind w:left="851" w:hanging="425"/>
        <w:contextualSpacing w:val="0"/>
        <w:rPr>
          <w:rFonts w:asciiTheme="minorHAnsi" w:hAnsiTheme="minorHAnsi"/>
        </w:rPr>
      </w:pPr>
      <w:r w:rsidRPr="00C00000">
        <w:rPr>
          <w:rFonts w:asciiTheme="minorHAnsi" w:hAnsiTheme="minorHAnsi"/>
        </w:rPr>
        <w:t xml:space="preserve">where </w:t>
      </w:r>
      <w:r w:rsidR="0071524E">
        <w:rPr>
          <w:rFonts w:asciiTheme="minorHAnsi" w:hAnsiTheme="minorHAnsi"/>
        </w:rPr>
        <w:t>an offender</w:t>
      </w:r>
      <w:r w:rsidRPr="00C00000">
        <w:rPr>
          <w:rFonts w:asciiTheme="minorHAnsi" w:hAnsiTheme="minorHAnsi"/>
        </w:rPr>
        <w:t xml:space="preserve"> is sentenced for </w:t>
      </w:r>
      <w:r w:rsidR="00D940FA" w:rsidRPr="00665959">
        <w:rPr>
          <w:rFonts w:asciiTheme="minorHAnsi" w:hAnsiTheme="minorHAnsi"/>
          <w:i/>
        </w:rPr>
        <w:t>State</w:t>
      </w:r>
      <w:r w:rsidR="00D940FA">
        <w:rPr>
          <w:rFonts w:asciiTheme="minorHAnsi" w:hAnsiTheme="minorHAnsi"/>
          <w:i/>
        </w:rPr>
        <w:t>/Territory</w:t>
      </w:r>
      <w:r w:rsidR="00D940FA" w:rsidRPr="00665959">
        <w:rPr>
          <w:rFonts w:asciiTheme="minorHAnsi" w:hAnsiTheme="minorHAnsi"/>
          <w:i/>
        </w:rPr>
        <w:t xml:space="preserve"> </w:t>
      </w:r>
      <w:r w:rsidRPr="00665959">
        <w:rPr>
          <w:rFonts w:asciiTheme="minorHAnsi" w:hAnsiTheme="minorHAnsi"/>
          <w:i/>
        </w:rPr>
        <w:t>and federal offences at the same time</w:t>
      </w:r>
      <w:r w:rsidRPr="00C00000">
        <w:rPr>
          <w:rFonts w:asciiTheme="minorHAnsi" w:hAnsiTheme="minorHAnsi"/>
        </w:rPr>
        <w:t xml:space="preserve"> - s 19(3).</w:t>
      </w:r>
    </w:p>
    <w:p w14:paraId="2E387743" w14:textId="77777777" w:rsidR="001725EC" w:rsidRPr="00C00000" w:rsidRDefault="001725EC" w:rsidP="001725EC">
      <w:pPr>
        <w:widowControl w:val="0"/>
        <w:spacing w:line="276" w:lineRule="auto"/>
        <w:ind w:left="567" w:hanging="567"/>
        <w:jc w:val="both"/>
        <w:rPr>
          <w:rFonts w:asciiTheme="minorHAnsi" w:hAnsiTheme="minorHAnsi"/>
        </w:rPr>
      </w:pPr>
    </w:p>
    <w:p w14:paraId="5495A180" w14:textId="67058F2B" w:rsidR="00E55FAB" w:rsidRDefault="002C501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w:t>
      </w:r>
      <w:r w:rsidRPr="00C00000">
        <w:rPr>
          <w:rFonts w:asciiTheme="minorHAnsi" w:hAnsiTheme="minorHAnsi"/>
        </w:rPr>
        <w:t xml:space="preserve"> requirement </w:t>
      </w:r>
      <w:r>
        <w:rPr>
          <w:rFonts w:asciiTheme="minorHAnsi" w:hAnsiTheme="minorHAnsi"/>
        </w:rPr>
        <w:t xml:space="preserve">in s 19(2) </w:t>
      </w:r>
      <w:r w:rsidR="009D3499">
        <w:rPr>
          <w:rFonts w:asciiTheme="minorHAnsi" w:hAnsiTheme="minorHAnsi"/>
        </w:rPr>
        <w:t>is not enlivened by</w:t>
      </w:r>
      <w:r w:rsidR="00E75D3F">
        <w:rPr>
          <w:rFonts w:asciiTheme="minorHAnsi" w:hAnsiTheme="minorHAnsi"/>
        </w:rPr>
        <w:t xml:space="preserve"> </w:t>
      </w:r>
      <w:r w:rsidR="00FB075F" w:rsidRPr="00665959">
        <w:rPr>
          <w:rFonts w:asciiTheme="minorHAnsi" w:hAnsiTheme="minorHAnsi"/>
          <w:i/>
        </w:rPr>
        <w:t>a</w:t>
      </w:r>
      <w:r w:rsidR="0071524E" w:rsidRPr="00665959">
        <w:rPr>
          <w:rFonts w:asciiTheme="minorHAnsi" w:hAnsiTheme="minorHAnsi"/>
          <w:i/>
        </w:rPr>
        <w:t xml:space="preserve"> single </w:t>
      </w:r>
      <w:r w:rsidR="00FB075F" w:rsidRPr="00665959">
        <w:rPr>
          <w:rFonts w:asciiTheme="minorHAnsi" w:hAnsiTheme="minorHAnsi"/>
          <w:i/>
        </w:rPr>
        <w:t>aggregate sentence</w:t>
      </w:r>
      <w:r w:rsidR="0071524E" w:rsidRPr="00665959">
        <w:rPr>
          <w:rFonts w:asciiTheme="minorHAnsi" w:hAnsiTheme="minorHAnsi"/>
          <w:i/>
        </w:rPr>
        <w:t xml:space="preserve"> of imprisonment</w:t>
      </w:r>
      <w:r w:rsidR="0071524E">
        <w:rPr>
          <w:rFonts w:asciiTheme="minorHAnsi" w:hAnsiTheme="minorHAnsi"/>
        </w:rPr>
        <w:t xml:space="preserve"> for two or more federal offences</w:t>
      </w:r>
      <w:r w:rsidR="00FB075F" w:rsidRPr="00C00000">
        <w:rPr>
          <w:rFonts w:asciiTheme="minorHAnsi" w:hAnsiTheme="minorHAnsi"/>
        </w:rPr>
        <w:t>.</w:t>
      </w:r>
      <w:r w:rsidR="00FB075F" w:rsidRPr="00C00000">
        <w:rPr>
          <w:rStyle w:val="Style"/>
          <w:rFonts w:asciiTheme="minorHAnsi" w:hAnsiTheme="minorHAnsi"/>
        </w:rPr>
        <w:footnoteReference w:id="733"/>
      </w:r>
      <w:r w:rsidR="00E55FAB" w:rsidRPr="00E55FAB">
        <w:rPr>
          <w:rFonts w:asciiTheme="minorHAnsi" w:hAnsiTheme="minorHAnsi"/>
        </w:rPr>
        <w:t xml:space="preserve"> </w:t>
      </w:r>
    </w:p>
    <w:p w14:paraId="2338347C" w14:textId="77777777" w:rsidR="00E55FAB" w:rsidRDefault="00E55FAB" w:rsidP="00E55FAB">
      <w:pPr>
        <w:widowControl w:val="0"/>
        <w:spacing w:line="276" w:lineRule="auto"/>
        <w:jc w:val="both"/>
        <w:rPr>
          <w:rFonts w:asciiTheme="minorHAnsi" w:hAnsiTheme="minorHAnsi"/>
        </w:rPr>
      </w:pPr>
    </w:p>
    <w:p w14:paraId="56920B5E" w14:textId="00E881A2" w:rsidR="00250AB1" w:rsidRDefault="0071524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any of the situations in which s 19 applies, </w:t>
      </w:r>
      <w:r w:rsidR="00B4771A" w:rsidRPr="00C00000">
        <w:rPr>
          <w:rFonts w:asciiTheme="minorHAnsi" w:hAnsiTheme="minorHAnsi"/>
        </w:rPr>
        <w:t xml:space="preserve">the court </w:t>
      </w:r>
      <w:r>
        <w:rPr>
          <w:rFonts w:asciiTheme="minorHAnsi" w:hAnsiTheme="minorHAnsi"/>
        </w:rPr>
        <w:t xml:space="preserve">must </w:t>
      </w:r>
      <w:r w:rsidR="00B4771A" w:rsidRPr="00C00000">
        <w:rPr>
          <w:rFonts w:asciiTheme="minorHAnsi" w:hAnsiTheme="minorHAnsi"/>
          <w:i/>
        </w:rPr>
        <w:t>“by order direct”</w:t>
      </w:r>
      <w:r w:rsidR="00B4771A" w:rsidRPr="00C00000">
        <w:rPr>
          <w:rFonts w:asciiTheme="minorHAnsi" w:hAnsiTheme="minorHAnsi"/>
        </w:rPr>
        <w:t xml:space="preserve"> when each federal sentence </w:t>
      </w:r>
      <w:r w:rsidR="00E75D3F" w:rsidRPr="00C00000">
        <w:rPr>
          <w:rFonts w:asciiTheme="minorHAnsi" w:hAnsiTheme="minorHAnsi"/>
        </w:rPr>
        <w:t xml:space="preserve">imposed </w:t>
      </w:r>
      <w:r w:rsidR="00E55FAB">
        <w:rPr>
          <w:rFonts w:asciiTheme="minorHAnsi" w:hAnsiTheme="minorHAnsi"/>
        </w:rPr>
        <w:t xml:space="preserve">(that is, the head sentence of imprisonment) </w:t>
      </w:r>
      <w:r w:rsidR="00B4771A" w:rsidRPr="00C00000">
        <w:rPr>
          <w:rFonts w:asciiTheme="minorHAnsi" w:hAnsiTheme="minorHAnsi"/>
        </w:rPr>
        <w:t>commences.</w:t>
      </w:r>
      <w:r w:rsidR="00502BE7" w:rsidRPr="00C00000">
        <w:rPr>
          <w:rStyle w:val="Style"/>
          <w:rFonts w:asciiTheme="minorHAnsi" w:hAnsiTheme="minorHAnsi"/>
        </w:rPr>
        <w:footnoteReference w:id="734"/>
      </w:r>
      <w:r w:rsidR="009E2FC1" w:rsidRPr="009E2FC1">
        <w:rPr>
          <w:rFonts w:asciiTheme="minorHAnsi" w:hAnsiTheme="minorHAnsi"/>
        </w:rPr>
        <w:t xml:space="preserve"> </w:t>
      </w:r>
      <w:r w:rsidR="009E2FC1">
        <w:rPr>
          <w:rFonts w:asciiTheme="minorHAnsi" w:hAnsiTheme="minorHAnsi"/>
        </w:rPr>
        <w:t xml:space="preserve"> </w:t>
      </w:r>
      <w:r w:rsidR="00625EFF">
        <w:rPr>
          <w:rFonts w:asciiTheme="minorHAnsi" w:hAnsiTheme="minorHAnsi"/>
        </w:rPr>
        <w:t xml:space="preserve">In </w:t>
      </w:r>
      <w:r w:rsidR="00625EFF" w:rsidRPr="00625EFF">
        <w:rPr>
          <w:rFonts w:asciiTheme="minorHAnsi" w:hAnsiTheme="minorHAnsi"/>
          <w:i/>
        </w:rPr>
        <w:t>Swingler</w:t>
      </w:r>
      <w:r w:rsidR="00625EFF">
        <w:rPr>
          <w:rFonts w:asciiTheme="minorHAnsi" w:hAnsiTheme="minorHAnsi"/>
        </w:rPr>
        <w:t>,</w:t>
      </w:r>
      <w:r w:rsidR="00625EFF" w:rsidRPr="00C00000">
        <w:rPr>
          <w:rStyle w:val="Style"/>
          <w:rFonts w:asciiTheme="minorHAnsi" w:hAnsiTheme="minorHAnsi"/>
        </w:rPr>
        <w:footnoteReference w:id="735"/>
      </w:r>
      <w:r w:rsidR="00625EFF">
        <w:rPr>
          <w:rFonts w:asciiTheme="minorHAnsi" w:hAnsiTheme="minorHAnsi"/>
        </w:rPr>
        <w:t xml:space="preserve"> the Victorian Court of Appeal expressed the view that t</w:t>
      </w:r>
      <w:r w:rsidR="00B141A4" w:rsidRPr="00B141A4">
        <w:rPr>
          <w:rFonts w:asciiTheme="minorHAnsi" w:hAnsiTheme="minorHAnsi"/>
        </w:rPr>
        <w:t xml:space="preserve">his requirement </w:t>
      </w:r>
      <w:r w:rsidR="00B141A4">
        <w:rPr>
          <w:rFonts w:asciiTheme="minorHAnsi" w:hAnsiTheme="minorHAnsi"/>
        </w:rPr>
        <w:t xml:space="preserve">can be complied with </w:t>
      </w:r>
      <w:r w:rsidR="00250AB1">
        <w:rPr>
          <w:rFonts w:asciiTheme="minorHAnsi" w:hAnsiTheme="minorHAnsi"/>
        </w:rPr>
        <w:t>by any of the following techniques:</w:t>
      </w:r>
    </w:p>
    <w:p w14:paraId="22B3C135" w14:textId="3FE74DD3" w:rsidR="00250AB1" w:rsidRDefault="00250AB1" w:rsidP="00EB7F1E">
      <w:pPr>
        <w:pStyle w:val="ListParagraph"/>
        <w:numPr>
          <w:ilvl w:val="1"/>
          <w:numId w:val="36"/>
        </w:numPr>
        <w:spacing w:line="276" w:lineRule="auto"/>
        <w:ind w:left="993" w:right="28" w:hanging="142"/>
        <w:rPr>
          <w:rFonts w:asciiTheme="minorHAnsi" w:hAnsiTheme="minorHAnsi"/>
        </w:rPr>
      </w:pPr>
      <w:r w:rsidRPr="00250AB1">
        <w:rPr>
          <w:rFonts w:asciiTheme="minorHAnsi" w:hAnsiTheme="minorHAnsi"/>
        </w:rPr>
        <w:t xml:space="preserve">fixing a particular date (for example, </w:t>
      </w:r>
      <w:r w:rsidR="00AA693C">
        <w:rPr>
          <w:rFonts w:asciiTheme="minorHAnsi" w:hAnsiTheme="minorHAnsi"/>
        </w:rPr>
        <w:t>‘</w:t>
      </w:r>
      <w:r w:rsidRPr="00250AB1">
        <w:rPr>
          <w:rFonts w:asciiTheme="minorHAnsi" w:hAnsiTheme="minorHAnsi"/>
        </w:rPr>
        <w:t>16 April 2019</w:t>
      </w:r>
      <w:r w:rsidR="00AA693C">
        <w:rPr>
          <w:rFonts w:asciiTheme="minorHAnsi" w:hAnsiTheme="minorHAnsi"/>
        </w:rPr>
        <w:t>’</w:t>
      </w:r>
      <w:r w:rsidRPr="00250AB1">
        <w:rPr>
          <w:rFonts w:asciiTheme="minorHAnsi" w:hAnsiTheme="minorHAnsi"/>
        </w:rPr>
        <w:t>);</w:t>
      </w:r>
    </w:p>
    <w:p w14:paraId="74F2DA57" w14:textId="16E209FF" w:rsidR="00250AB1" w:rsidRDefault="00250AB1" w:rsidP="00EB7F1E">
      <w:pPr>
        <w:pStyle w:val="ListParagraph"/>
        <w:numPr>
          <w:ilvl w:val="1"/>
          <w:numId w:val="36"/>
        </w:numPr>
        <w:spacing w:line="276" w:lineRule="auto"/>
        <w:ind w:left="993" w:right="28" w:hanging="142"/>
        <w:rPr>
          <w:rFonts w:asciiTheme="minorHAnsi" w:hAnsiTheme="minorHAnsi"/>
        </w:rPr>
      </w:pPr>
      <w:r w:rsidRPr="00250AB1">
        <w:rPr>
          <w:rFonts w:asciiTheme="minorHAnsi" w:hAnsiTheme="minorHAnsi"/>
        </w:rPr>
        <w:t xml:space="preserve">describing a period (for example, </w:t>
      </w:r>
      <w:r w:rsidR="00AA693C">
        <w:rPr>
          <w:rFonts w:asciiTheme="minorHAnsi" w:hAnsiTheme="minorHAnsi"/>
        </w:rPr>
        <w:t>‘</w:t>
      </w:r>
      <w:r w:rsidRPr="00250AB1">
        <w:rPr>
          <w:rFonts w:asciiTheme="minorHAnsi" w:hAnsiTheme="minorHAnsi"/>
        </w:rPr>
        <w:t>12 months after the commencement of the sentence on charge 1</w:t>
      </w:r>
      <w:r w:rsidR="00AA693C">
        <w:rPr>
          <w:rFonts w:asciiTheme="minorHAnsi" w:hAnsiTheme="minorHAnsi"/>
        </w:rPr>
        <w:t>’</w:t>
      </w:r>
      <w:r w:rsidRPr="00250AB1">
        <w:rPr>
          <w:rFonts w:asciiTheme="minorHAnsi" w:hAnsiTheme="minorHAnsi"/>
        </w:rPr>
        <w:t xml:space="preserve">, or </w:t>
      </w:r>
      <w:r w:rsidR="00AA693C">
        <w:rPr>
          <w:rFonts w:asciiTheme="minorHAnsi" w:hAnsiTheme="minorHAnsi"/>
        </w:rPr>
        <w:t>‘</w:t>
      </w:r>
      <w:r w:rsidRPr="00250AB1">
        <w:rPr>
          <w:rFonts w:asciiTheme="minorHAnsi" w:hAnsiTheme="minorHAnsi"/>
        </w:rPr>
        <w:t>nine months before the expiry of the sentence on charge 2</w:t>
      </w:r>
      <w:r w:rsidR="00AA693C">
        <w:rPr>
          <w:rFonts w:asciiTheme="minorHAnsi" w:hAnsiTheme="minorHAnsi"/>
        </w:rPr>
        <w:t>’</w:t>
      </w:r>
      <w:r w:rsidRPr="00250AB1">
        <w:rPr>
          <w:rFonts w:asciiTheme="minorHAnsi" w:hAnsiTheme="minorHAnsi"/>
        </w:rPr>
        <w:t>);</w:t>
      </w:r>
      <w:r w:rsidR="005A51D3" w:rsidRPr="00C00000">
        <w:rPr>
          <w:rStyle w:val="Style"/>
          <w:rFonts w:asciiTheme="minorHAnsi" w:hAnsiTheme="minorHAnsi"/>
        </w:rPr>
        <w:footnoteReference w:id="736"/>
      </w:r>
      <w:r w:rsidRPr="00250AB1">
        <w:rPr>
          <w:rFonts w:asciiTheme="minorHAnsi" w:hAnsiTheme="minorHAnsi"/>
        </w:rPr>
        <w:t xml:space="preserve"> or</w:t>
      </w:r>
    </w:p>
    <w:p w14:paraId="5D342E68" w14:textId="1B8C9026" w:rsidR="00250AB1" w:rsidRDefault="00250AB1" w:rsidP="00EB7F1E">
      <w:pPr>
        <w:pStyle w:val="ListParagraph"/>
        <w:numPr>
          <w:ilvl w:val="1"/>
          <w:numId w:val="36"/>
        </w:numPr>
        <w:spacing w:line="276" w:lineRule="auto"/>
        <w:ind w:left="993" w:right="28" w:hanging="142"/>
        <w:rPr>
          <w:rFonts w:asciiTheme="minorHAnsi" w:hAnsiTheme="minorHAnsi"/>
        </w:rPr>
      </w:pPr>
      <w:r w:rsidRPr="00250AB1">
        <w:rPr>
          <w:rFonts w:asciiTheme="minorHAnsi" w:hAnsiTheme="minorHAnsi"/>
        </w:rPr>
        <w:t xml:space="preserve">identifying a triggering event (for example, </w:t>
      </w:r>
      <w:r w:rsidR="00AA693C">
        <w:rPr>
          <w:rFonts w:asciiTheme="minorHAnsi" w:hAnsiTheme="minorHAnsi"/>
        </w:rPr>
        <w:t>‘</w:t>
      </w:r>
      <w:r w:rsidRPr="00250AB1">
        <w:rPr>
          <w:rFonts w:asciiTheme="minorHAnsi" w:hAnsiTheme="minorHAnsi"/>
        </w:rPr>
        <w:t>at the completion of the sentence imposed on charge 1</w:t>
      </w:r>
      <w:r w:rsidR="00AA693C">
        <w:rPr>
          <w:rFonts w:asciiTheme="minorHAnsi" w:hAnsiTheme="minorHAnsi"/>
        </w:rPr>
        <w:t>’</w:t>
      </w:r>
      <w:r w:rsidRPr="00250AB1">
        <w:rPr>
          <w:rFonts w:asciiTheme="minorHAnsi" w:hAnsiTheme="minorHAnsi"/>
        </w:rPr>
        <w:t>)</w:t>
      </w:r>
      <w:r>
        <w:rPr>
          <w:rFonts w:asciiTheme="minorHAnsi" w:hAnsiTheme="minorHAnsi"/>
        </w:rPr>
        <w:t>.</w:t>
      </w:r>
    </w:p>
    <w:p w14:paraId="726E57C9" w14:textId="7A82BAAC" w:rsidR="009E2FC1" w:rsidRDefault="003B60FD" w:rsidP="00E15236">
      <w:pPr>
        <w:widowControl w:val="0"/>
        <w:spacing w:line="276" w:lineRule="auto"/>
        <w:ind w:left="426"/>
        <w:jc w:val="both"/>
        <w:rPr>
          <w:rFonts w:asciiTheme="minorHAnsi" w:hAnsiTheme="minorHAnsi"/>
        </w:rPr>
      </w:pPr>
      <w:r>
        <w:rPr>
          <w:rFonts w:asciiTheme="minorHAnsi" w:hAnsiTheme="minorHAnsi"/>
        </w:rPr>
        <w:t xml:space="preserve">However </w:t>
      </w:r>
      <w:r w:rsidR="009E2FC1">
        <w:rPr>
          <w:rFonts w:asciiTheme="minorHAnsi" w:hAnsiTheme="minorHAnsi"/>
        </w:rPr>
        <w:t xml:space="preserve">merely to order that a federal sentence </w:t>
      </w:r>
      <w:r>
        <w:rPr>
          <w:rFonts w:asciiTheme="minorHAnsi" w:hAnsiTheme="minorHAnsi"/>
        </w:rPr>
        <w:t>“</w:t>
      </w:r>
      <w:r w:rsidR="009E2FC1" w:rsidRPr="003B60FD">
        <w:rPr>
          <w:rFonts w:asciiTheme="minorHAnsi" w:hAnsiTheme="minorHAnsi"/>
          <w:i/>
        </w:rPr>
        <w:t>be served cumulatively</w:t>
      </w:r>
      <w:r w:rsidRPr="003B60FD">
        <w:rPr>
          <w:rFonts w:asciiTheme="minorHAnsi" w:hAnsiTheme="minorHAnsi"/>
          <w:i/>
        </w:rPr>
        <w:t xml:space="preserve"> upon</w:t>
      </w:r>
      <w:r>
        <w:rPr>
          <w:rFonts w:asciiTheme="minorHAnsi" w:hAnsiTheme="minorHAnsi"/>
        </w:rPr>
        <w:t>”</w:t>
      </w:r>
      <w:r w:rsidR="009E2FC1">
        <w:rPr>
          <w:rFonts w:asciiTheme="minorHAnsi" w:hAnsiTheme="minorHAnsi"/>
        </w:rPr>
        <w:t xml:space="preserve"> another sentence </w:t>
      </w:r>
      <w:r w:rsidR="003B13C0">
        <w:rPr>
          <w:rFonts w:asciiTheme="minorHAnsi" w:hAnsiTheme="minorHAnsi"/>
        </w:rPr>
        <w:t xml:space="preserve">may not be sufficient to </w:t>
      </w:r>
      <w:r w:rsidR="009E2FC1">
        <w:rPr>
          <w:rFonts w:asciiTheme="minorHAnsi" w:hAnsiTheme="minorHAnsi"/>
        </w:rPr>
        <w:t xml:space="preserve">comply with the requirements </w:t>
      </w:r>
      <w:r w:rsidR="004D28BA">
        <w:rPr>
          <w:rFonts w:asciiTheme="minorHAnsi" w:hAnsiTheme="minorHAnsi"/>
        </w:rPr>
        <w:t xml:space="preserve">of </w:t>
      </w:r>
      <w:r w:rsidR="009E2FC1">
        <w:rPr>
          <w:rFonts w:asciiTheme="minorHAnsi" w:hAnsiTheme="minorHAnsi"/>
        </w:rPr>
        <w:t>s 19.</w:t>
      </w:r>
      <w:r w:rsidR="009E2FC1" w:rsidRPr="00C00000">
        <w:rPr>
          <w:rStyle w:val="Style"/>
          <w:rFonts w:asciiTheme="minorHAnsi" w:hAnsiTheme="minorHAnsi"/>
        </w:rPr>
        <w:footnoteReference w:id="737"/>
      </w:r>
      <w:r w:rsidR="001E0404">
        <w:rPr>
          <w:rFonts w:asciiTheme="minorHAnsi" w:hAnsiTheme="minorHAnsi"/>
        </w:rPr>
        <w:t xml:space="preserve">  Nor is it sufficient </w:t>
      </w:r>
      <w:r w:rsidR="005E35FC">
        <w:rPr>
          <w:rFonts w:asciiTheme="minorHAnsi" w:hAnsiTheme="minorHAnsi"/>
        </w:rPr>
        <w:t xml:space="preserve">merely to order that a recognizance release order commence on a particular date; the obligation is to direct the date for commencement of </w:t>
      </w:r>
      <w:r w:rsidR="005E35FC" w:rsidRPr="00EB7F1E">
        <w:rPr>
          <w:rFonts w:asciiTheme="minorHAnsi" w:hAnsiTheme="minorHAnsi"/>
          <w:i/>
        </w:rPr>
        <w:t>the sentence of imprisonment</w:t>
      </w:r>
      <w:r w:rsidR="00B02D60">
        <w:rPr>
          <w:rFonts w:asciiTheme="minorHAnsi" w:hAnsiTheme="minorHAnsi"/>
        </w:rPr>
        <w:t xml:space="preserve"> (that is, the head sentence)</w:t>
      </w:r>
      <w:r w:rsidR="005E35FC">
        <w:rPr>
          <w:rFonts w:asciiTheme="minorHAnsi" w:hAnsiTheme="minorHAnsi"/>
        </w:rPr>
        <w:t>.</w:t>
      </w:r>
      <w:r w:rsidR="005E35FC" w:rsidRPr="00C00000">
        <w:rPr>
          <w:rStyle w:val="FootnoteReference"/>
          <w:rFonts w:asciiTheme="minorHAnsi" w:hAnsiTheme="minorHAnsi"/>
        </w:rPr>
        <w:footnoteReference w:id="738"/>
      </w:r>
      <w:r w:rsidR="005D6562">
        <w:rPr>
          <w:rFonts w:asciiTheme="minorHAnsi" w:hAnsiTheme="minorHAnsi"/>
        </w:rPr>
        <w:t xml:space="preserve">  And it is at least doubtful whether a sentence can be validly directed to commence </w:t>
      </w:r>
      <w:r w:rsidR="005D6562" w:rsidRPr="005D6562">
        <w:rPr>
          <w:rFonts w:asciiTheme="minorHAnsi" w:hAnsiTheme="minorHAnsi"/>
        </w:rPr>
        <w:t xml:space="preserve">on </w:t>
      </w:r>
      <w:r w:rsidR="005D6562" w:rsidRPr="005D6562">
        <w:rPr>
          <w:rFonts w:asciiTheme="minorHAnsi" w:hAnsiTheme="minorHAnsi" w:cs="Arial"/>
          <w:szCs w:val="22"/>
        </w:rPr>
        <w:t xml:space="preserve">a date that is uncertain or that is dependent upon a decision of a State administrative body (such as </w:t>
      </w:r>
      <w:r w:rsidR="005D6562">
        <w:rPr>
          <w:rFonts w:asciiTheme="minorHAnsi" w:hAnsiTheme="minorHAnsi" w:cs="Arial"/>
          <w:szCs w:val="22"/>
        </w:rPr>
        <w:t xml:space="preserve">the date on which </w:t>
      </w:r>
      <w:r w:rsidR="005D6562" w:rsidRPr="005D6562">
        <w:rPr>
          <w:rFonts w:asciiTheme="minorHAnsi" w:hAnsiTheme="minorHAnsi" w:cs="Arial"/>
          <w:szCs w:val="22"/>
        </w:rPr>
        <w:t xml:space="preserve">the offender </w:t>
      </w:r>
      <w:r w:rsidR="005D6562">
        <w:rPr>
          <w:rFonts w:asciiTheme="minorHAnsi" w:hAnsiTheme="minorHAnsi" w:cs="Arial"/>
          <w:szCs w:val="22"/>
        </w:rPr>
        <w:t>will be</w:t>
      </w:r>
      <w:r w:rsidR="005D6562" w:rsidRPr="005D6562">
        <w:rPr>
          <w:rFonts w:asciiTheme="minorHAnsi" w:hAnsiTheme="minorHAnsi" w:cs="Arial"/>
          <w:szCs w:val="22"/>
        </w:rPr>
        <w:t xml:space="preserve"> granted parole</w:t>
      </w:r>
      <w:r w:rsidR="00B02D60">
        <w:rPr>
          <w:rFonts w:asciiTheme="minorHAnsi" w:hAnsiTheme="minorHAnsi" w:cs="Arial"/>
          <w:szCs w:val="22"/>
        </w:rPr>
        <w:t xml:space="preserve"> for a State offence</w:t>
      </w:r>
      <w:r w:rsidR="005D6562" w:rsidRPr="005D6562">
        <w:rPr>
          <w:rFonts w:asciiTheme="minorHAnsi" w:hAnsiTheme="minorHAnsi" w:cs="Arial"/>
          <w:szCs w:val="22"/>
        </w:rPr>
        <w:t>)</w:t>
      </w:r>
      <w:r w:rsidR="005D6562">
        <w:rPr>
          <w:rFonts w:asciiTheme="minorHAnsi" w:hAnsiTheme="minorHAnsi" w:cs="Arial"/>
          <w:szCs w:val="22"/>
        </w:rPr>
        <w:t>.</w:t>
      </w:r>
      <w:r w:rsidR="005D6562" w:rsidRPr="00C00000">
        <w:rPr>
          <w:rStyle w:val="FootnoteReference"/>
          <w:rFonts w:asciiTheme="minorHAnsi" w:hAnsiTheme="minorHAnsi"/>
        </w:rPr>
        <w:footnoteReference w:id="739"/>
      </w:r>
    </w:p>
    <w:p w14:paraId="44555652" w14:textId="77777777" w:rsidR="00250AB1" w:rsidRDefault="00250AB1" w:rsidP="00250AB1">
      <w:pPr>
        <w:pStyle w:val="ListParagraph"/>
        <w:rPr>
          <w:rFonts w:asciiTheme="minorHAnsi" w:hAnsiTheme="minorHAnsi"/>
        </w:rPr>
      </w:pPr>
    </w:p>
    <w:p w14:paraId="4E3CC60A" w14:textId="1E3204CD" w:rsidR="003436FA" w:rsidRDefault="0066595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each situation</w:t>
      </w:r>
      <w:r w:rsidR="009E2FC1">
        <w:rPr>
          <w:rFonts w:asciiTheme="minorHAnsi" w:hAnsiTheme="minorHAnsi"/>
        </w:rPr>
        <w:t xml:space="preserve"> to which s 19 applies</w:t>
      </w:r>
      <w:r>
        <w:rPr>
          <w:rFonts w:asciiTheme="minorHAnsi" w:hAnsiTheme="minorHAnsi"/>
        </w:rPr>
        <w:t xml:space="preserve">, the commencement of each federal sentence </w:t>
      </w:r>
      <w:r w:rsidR="00F94511">
        <w:rPr>
          <w:rFonts w:asciiTheme="minorHAnsi" w:hAnsiTheme="minorHAnsi"/>
        </w:rPr>
        <w:t xml:space="preserve">of imprisonment </w:t>
      </w:r>
      <w:r>
        <w:rPr>
          <w:rFonts w:asciiTheme="minorHAnsi" w:hAnsiTheme="minorHAnsi"/>
        </w:rPr>
        <w:t>must</w:t>
      </w:r>
      <w:r w:rsidR="008A28FD">
        <w:rPr>
          <w:rFonts w:asciiTheme="minorHAnsi" w:hAnsiTheme="minorHAnsi"/>
        </w:rPr>
        <w:t xml:space="preserve"> be fixed so that </w:t>
      </w:r>
      <w:r w:rsidR="008A28FD" w:rsidRPr="008A28FD">
        <w:rPr>
          <w:rFonts w:asciiTheme="minorHAnsi" w:hAnsiTheme="minorHAnsi"/>
        </w:rPr>
        <w:t xml:space="preserve">no federal sentence commences </w:t>
      </w:r>
      <w:r w:rsidR="008A28FD">
        <w:rPr>
          <w:rFonts w:asciiTheme="minorHAnsi" w:hAnsiTheme="minorHAnsi"/>
        </w:rPr>
        <w:t>“</w:t>
      </w:r>
      <w:r w:rsidR="008A28FD" w:rsidRPr="008A28FD">
        <w:rPr>
          <w:rFonts w:asciiTheme="minorHAnsi" w:hAnsiTheme="minorHAnsi"/>
          <w:i/>
        </w:rPr>
        <w:t>later than the end of the sentences the commencement of which has already been fixed or the last to end of those sentences</w:t>
      </w:r>
      <w:r w:rsidR="008A28FD">
        <w:rPr>
          <w:rFonts w:asciiTheme="minorHAnsi" w:hAnsiTheme="minorHAnsi"/>
        </w:rPr>
        <w:t>”.  The reference to “</w:t>
      </w:r>
      <w:r w:rsidR="008A28FD" w:rsidRPr="004E34DC">
        <w:rPr>
          <w:rFonts w:asciiTheme="minorHAnsi" w:hAnsiTheme="minorHAnsi"/>
          <w:i/>
        </w:rPr>
        <w:t>a sentence the commencement of which has already been fixed</w:t>
      </w:r>
      <w:r w:rsidR="008A28FD">
        <w:rPr>
          <w:rFonts w:asciiTheme="minorHAnsi" w:hAnsiTheme="minorHAnsi"/>
        </w:rPr>
        <w:t>”</w:t>
      </w:r>
      <w:r w:rsidR="008A28FD" w:rsidRPr="008A28FD">
        <w:rPr>
          <w:rFonts w:asciiTheme="minorHAnsi" w:hAnsiTheme="minorHAnsi"/>
        </w:rPr>
        <w:t xml:space="preserve"> includes a reference to another sentence imposed at the same time</w:t>
      </w:r>
      <w:r w:rsidR="004E34DC">
        <w:rPr>
          <w:rFonts w:asciiTheme="minorHAnsi" w:hAnsiTheme="minorHAnsi"/>
        </w:rPr>
        <w:t>: s 19(4).</w:t>
      </w:r>
    </w:p>
    <w:p w14:paraId="1B641D0D" w14:textId="77777777" w:rsidR="003436FA" w:rsidRDefault="003436FA" w:rsidP="003436FA">
      <w:pPr>
        <w:pStyle w:val="ListParagraph"/>
        <w:rPr>
          <w:rFonts w:asciiTheme="minorHAnsi" w:hAnsiTheme="minorHAnsi"/>
        </w:rPr>
      </w:pPr>
    </w:p>
    <w:p w14:paraId="0CF22542" w14:textId="32B789A7" w:rsidR="0068135B" w:rsidRDefault="004E34DC" w:rsidP="00EB7F1E">
      <w:pPr>
        <w:pStyle w:val="ListParagraph"/>
        <w:numPr>
          <w:ilvl w:val="0"/>
          <w:numId w:val="7"/>
        </w:numPr>
        <w:spacing w:line="276" w:lineRule="auto"/>
        <w:ind w:left="425" w:hanging="425"/>
        <w:contextualSpacing w:val="0"/>
        <w:rPr>
          <w:rFonts w:asciiTheme="minorHAnsi" w:hAnsiTheme="minorHAnsi"/>
        </w:rPr>
      </w:pPr>
      <w:r w:rsidRPr="00E75D3F">
        <w:rPr>
          <w:rFonts w:asciiTheme="minorHAnsi" w:hAnsiTheme="minorHAnsi"/>
        </w:rPr>
        <w:t>The object of th</w:t>
      </w:r>
      <w:r w:rsidR="00F94511" w:rsidRPr="00E75D3F">
        <w:rPr>
          <w:rFonts w:asciiTheme="minorHAnsi" w:hAnsiTheme="minorHAnsi"/>
        </w:rPr>
        <w:t>e</w:t>
      </w:r>
      <w:r w:rsidRPr="00E75D3F">
        <w:rPr>
          <w:rFonts w:asciiTheme="minorHAnsi" w:hAnsiTheme="minorHAnsi"/>
        </w:rPr>
        <w:t xml:space="preserve"> requirement</w:t>
      </w:r>
      <w:r w:rsidR="00F94511" w:rsidRPr="00E75D3F">
        <w:rPr>
          <w:rFonts w:asciiTheme="minorHAnsi" w:hAnsiTheme="minorHAnsi"/>
        </w:rPr>
        <w:t>s</w:t>
      </w:r>
      <w:r w:rsidRPr="00E75D3F">
        <w:rPr>
          <w:rFonts w:asciiTheme="minorHAnsi" w:hAnsiTheme="minorHAnsi"/>
        </w:rPr>
        <w:t xml:space="preserve"> </w:t>
      </w:r>
      <w:r w:rsidR="00F55E5D">
        <w:rPr>
          <w:rFonts w:asciiTheme="minorHAnsi" w:hAnsiTheme="minorHAnsi"/>
        </w:rPr>
        <w:t xml:space="preserve">in s 19 </w:t>
      </w:r>
      <w:r w:rsidRPr="00E75D3F">
        <w:rPr>
          <w:rFonts w:asciiTheme="minorHAnsi" w:hAnsiTheme="minorHAnsi"/>
        </w:rPr>
        <w:t>is to ensure that there is no gap between the end of a sentence which an offender is serving at the time when he or she is convicted for a federal offence and the commencement of the sentence for that federal offence.</w:t>
      </w:r>
      <w:r w:rsidRPr="00C00000">
        <w:rPr>
          <w:rStyle w:val="Style"/>
          <w:rFonts w:asciiTheme="minorHAnsi" w:hAnsiTheme="minorHAnsi"/>
        </w:rPr>
        <w:footnoteReference w:id="740"/>
      </w:r>
      <w:r w:rsidR="00E75D3F" w:rsidRPr="00E75D3F">
        <w:rPr>
          <w:rFonts w:asciiTheme="minorHAnsi" w:hAnsiTheme="minorHAnsi"/>
        </w:rPr>
        <w:t xml:space="preserve">  That is, s 19 </w:t>
      </w:r>
      <w:r w:rsidR="00E75D3F">
        <w:rPr>
          <w:rFonts w:asciiTheme="minorHAnsi" w:hAnsiTheme="minorHAnsi"/>
        </w:rPr>
        <w:t>is designed to prevent</w:t>
      </w:r>
      <w:r w:rsidR="00E75D3F" w:rsidRPr="00E75D3F">
        <w:rPr>
          <w:rFonts w:asciiTheme="minorHAnsi" w:hAnsiTheme="minorHAnsi"/>
        </w:rPr>
        <w:t xml:space="preserve"> a hiatus </w:t>
      </w:r>
      <w:r w:rsidR="00E75D3F">
        <w:rPr>
          <w:rFonts w:asciiTheme="minorHAnsi" w:hAnsiTheme="minorHAnsi"/>
        </w:rPr>
        <w:t xml:space="preserve">which results in the offender being </w:t>
      </w:r>
      <w:r w:rsidR="00E75D3F" w:rsidRPr="00E75D3F">
        <w:rPr>
          <w:rFonts w:asciiTheme="minorHAnsi" w:hAnsiTheme="minorHAnsi"/>
        </w:rPr>
        <w:t>release</w:t>
      </w:r>
      <w:r w:rsidR="00E75D3F">
        <w:rPr>
          <w:rFonts w:asciiTheme="minorHAnsi" w:hAnsiTheme="minorHAnsi"/>
        </w:rPr>
        <w:t>d</w:t>
      </w:r>
      <w:r w:rsidR="00E75D3F" w:rsidRPr="00E75D3F">
        <w:rPr>
          <w:rFonts w:asciiTheme="minorHAnsi" w:hAnsiTheme="minorHAnsi"/>
        </w:rPr>
        <w:t xml:space="preserve"> and </w:t>
      </w:r>
      <w:r w:rsidR="00E75D3F">
        <w:rPr>
          <w:rFonts w:asciiTheme="minorHAnsi" w:hAnsiTheme="minorHAnsi"/>
        </w:rPr>
        <w:t xml:space="preserve">subsequently </w:t>
      </w:r>
      <w:r w:rsidR="00E75D3F" w:rsidRPr="00E75D3F">
        <w:rPr>
          <w:rFonts w:asciiTheme="minorHAnsi" w:hAnsiTheme="minorHAnsi"/>
        </w:rPr>
        <w:t>return</w:t>
      </w:r>
      <w:r w:rsidR="00E75D3F">
        <w:rPr>
          <w:rFonts w:asciiTheme="minorHAnsi" w:hAnsiTheme="minorHAnsi"/>
        </w:rPr>
        <w:t>ed</w:t>
      </w:r>
      <w:r w:rsidR="00E75D3F" w:rsidRPr="00E75D3F">
        <w:rPr>
          <w:rFonts w:asciiTheme="minorHAnsi" w:hAnsiTheme="minorHAnsi"/>
        </w:rPr>
        <w:t xml:space="preserve"> to prison to serve the next sentence.</w:t>
      </w:r>
      <w:r w:rsidR="00402C27" w:rsidRPr="00C00000">
        <w:rPr>
          <w:rStyle w:val="Style"/>
          <w:rFonts w:asciiTheme="minorHAnsi" w:hAnsiTheme="minorHAnsi"/>
        </w:rPr>
        <w:footnoteReference w:id="741"/>
      </w:r>
    </w:p>
    <w:p w14:paraId="31DE0DA9" w14:textId="77777777" w:rsidR="005B24B0" w:rsidRDefault="005B24B0" w:rsidP="005B24B0">
      <w:pPr>
        <w:pStyle w:val="ListParagraph"/>
        <w:rPr>
          <w:rFonts w:asciiTheme="minorHAnsi" w:hAnsiTheme="minorHAnsi"/>
        </w:rPr>
      </w:pPr>
    </w:p>
    <w:p w14:paraId="4628A069" w14:textId="04405385" w:rsidR="005B24B0" w:rsidRDefault="005B24B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requirement</w:t>
      </w:r>
      <w:r w:rsidR="00E53424">
        <w:rPr>
          <w:rFonts w:asciiTheme="minorHAnsi" w:hAnsiTheme="minorHAnsi"/>
        </w:rPr>
        <w:t xml:space="preserve"> in s 19(1)(a) that </w:t>
      </w:r>
      <w:r w:rsidR="00E53424" w:rsidRPr="00E53424">
        <w:rPr>
          <w:rFonts w:asciiTheme="minorHAnsi" w:hAnsiTheme="minorHAnsi"/>
        </w:rPr>
        <w:t>no federal sentence commence “</w:t>
      </w:r>
      <w:r w:rsidR="00E53424" w:rsidRPr="00E53424">
        <w:rPr>
          <w:rFonts w:asciiTheme="minorHAnsi" w:hAnsiTheme="minorHAnsi"/>
          <w:i/>
        </w:rPr>
        <w:t>later than the end of the sentences the commencement of which has already been fixed or the last to end of those sentences</w:t>
      </w:r>
      <w:r w:rsidR="00E53424" w:rsidRPr="00E53424">
        <w:rPr>
          <w:rFonts w:asciiTheme="minorHAnsi" w:hAnsiTheme="minorHAnsi"/>
        </w:rPr>
        <w:t>”</w:t>
      </w:r>
      <w:r w:rsidR="00E53424">
        <w:rPr>
          <w:rFonts w:asciiTheme="minorHAnsi" w:hAnsiTheme="minorHAnsi"/>
        </w:rPr>
        <w:t xml:space="preserve"> does not mean that </w:t>
      </w:r>
      <w:r w:rsidR="00E53424" w:rsidRPr="00F20F3D">
        <w:rPr>
          <w:rFonts w:asciiTheme="minorHAnsi" w:hAnsiTheme="minorHAnsi"/>
          <w:i/>
        </w:rPr>
        <w:t>all federal sentences</w:t>
      </w:r>
      <w:r w:rsidR="00E53424">
        <w:rPr>
          <w:rFonts w:asciiTheme="minorHAnsi" w:hAnsiTheme="minorHAnsi"/>
        </w:rPr>
        <w:t xml:space="preserve"> must commence no later than the end of the pre-existing sentences.  It requires only that there must be no gap between the pre-existing sentence and the first federal sentence to be imposed.  The same obligation</w:t>
      </w:r>
      <w:r w:rsidR="00F20F3D">
        <w:rPr>
          <w:rFonts w:asciiTheme="minorHAnsi" w:hAnsiTheme="minorHAnsi"/>
        </w:rPr>
        <w:t xml:space="preserve"> to avoid a gap will apply to each further federal sentence to be imposed.  Suppose, for example, when an offender is sentenced for two federal offences, the offender is subject to a pre-existing </w:t>
      </w:r>
      <w:r w:rsidR="00360270">
        <w:rPr>
          <w:rFonts w:asciiTheme="minorHAnsi" w:hAnsiTheme="minorHAnsi"/>
        </w:rPr>
        <w:t xml:space="preserve">State </w:t>
      </w:r>
      <w:r w:rsidR="00F20F3D">
        <w:rPr>
          <w:rFonts w:asciiTheme="minorHAnsi" w:hAnsiTheme="minorHAnsi"/>
        </w:rPr>
        <w:t xml:space="preserve">sentence </w:t>
      </w:r>
      <w:r w:rsidR="00C10763">
        <w:rPr>
          <w:rFonts w:asciiTheme="minorHAnsi" w:hAnsiTheme="minorHAnsi"/>
        </w:rPr>
        <w:t xml:space="preserve">to which </w:t>
      </w:r>
      <w:r w:rsidR="00311CCB">
        <w:rPr>
          <w:rFonts w:asciiTheme="minorHAnsi" w:hAnsiTheme="minorHAnsi"/>
        </w:rPr>
        <w:t>no non-parole period</w:t>
      </w:r>
      <w:r w:rsidR="00C10763">
        <w:rPr>
          <w:rFonts w:asciiTheme="minorHAnsi" w:hAnsiTheme="minorHAnsi"/>
        </w:rPr>
        <w:t xml:space="preserve"> applies,</w:t>
      </w:r>
      <w:r w:rsidR="00311CCB">
        <w:rPr>
          <w:rFonts w:asciiTheme="minorHAnsi" w:hAnsiTheme="minorHAnsi"/>
        </w:rPr>
        <w:t xml:space="preserve"> </w:t>
      </w:r>
      <w:r w:rsidR="00F20F3D">
        <w:rPr>
          <w:rFonts w:asciiTheme="minorHAnsi" w:hAnsiTheme="minorHAnsi"/>
        </w:rPr>
        <w:t xml:space="preserve">which will expire in one </w:t>
      </w:r>
      <w:r w:rsidR="00360270">
        <w:rPr>
          <w:rFonts w:asciiTheme="minorHAnsi" w:hAnsiTheme="minorHAnsi"/>
        </w:rPr>
        <w:t>year</w:t>
      </w:r>
      <w:r w:rsidR="00AA693C">
        <w:rPr>
          <w:rFonts w:asciiTheme="minorHAnsi" w:hAnsiTheme="minorHAnsi"/>
        </w:rPr>
        <w:t>’</w:t>
      </w:r>
      <w:r w:rsidR="00360270">
        <w:rPr>
          <w:rFonts w:asciiTheme="minorHAnsi" w:hAnsiTheme="minorHAnsi"/>
        </w:rPr>
        <w:t>s</w:t>
      </w:r>
      <w:r w:rsidR="00F20F3D">
        <w:rPr>
          <w:rFonts w:asciiTheme="minorHAnsi" w:hAnsiTheme="minorHAnsi"/>
        </w:rPr>
        <w:t xml:space="preserve"> time.  In accordance with s 19(1)(a), the </w:t>
      </w:r>
      <w:r w:rsidR="00360270">
        <w:rPr>
          <w:rFonts w:asciiTheme="minorHAnsi" w:hAnsiTheme="minorHAnsi"/>
        </w:rPr>
        <w:t xml:space="preserve">court must direct that the first federal </w:t>
      </w:r>
      <w:r w:rsidR="00F20F3D">
        <w:rPr>
          <w:rFonts w:asciiTheme="minorHAnsi" w:hAnsiTheme="minorHAnsi"/>
        </w:rPr>
        <w:t xml:space="preserve">sentence </w:t>
      </w:r>
      <w:r w:rsidR="00360270">
        <w:rPr>
          <w:rFonts w:asciiTheme="minorHAnsi" w:hAnsiTheme="minorHAnsi"/>
        </w:rPr>
        <w:t xml:space="preserve">commence no later than the date on which the pre-existing State sentence expires. </w:t>
      </w:r>
      <w:r w:rsidR="00F20F3D">
        <w:rPr>
          <w:rFonts w:asciiTheme="minorHAnsi" w:hAnsiTheme="minorHAnsi"/>
        </w:rPr>
        <w:t xml:space="preserve"> </w:t>
      </w:r>
      <w:r w:rsidR="00360270">
        <w:rPr>
          <w:rFonts w:asciiTheme="minorHAnsi" w:hAnsiTheme="minorHAnsi"/>
        </w:rPr>
        <w:t>The second federal sentence must commence no later than the date when the pre-existing State sentence</w:t>
      </w:r>
      <w:r w:rsidR="00691C70">
        <w:rPr>
          <w:rFonts w:asciiTheme="minorHAnsi" w:hAnsiTheme="minorHAnsi"/>
        </w:rPr>
        <w:t xml:space="preserve"> expires, or when the first </w:t>
      </w:r>
      <w:r w:rsidR="00360270">
        <w:rPr>
          <w:rFonts w:asciiTheme="minorHAnsi" w:hAnsiTheme="minorHAnsi"/>
        </w:rPr>
        <w:t xml:space="preserve">federal </w:t>
      </w:r>
      <w:r w:rsidR="00691C70">
        <w:rPr>
          <w:rFonts w:asciiTheme="minorHAnsi" w:hAnsiTheme="minorHAnsi"/>
        </w:rPr>
        <w:t>sentence expires, whichever is the later.</w:t>
      </w:r>
    </w:p>
    <w:p w14:paraId="62DE14AF" w14:textId="77777777" w:rsidR="0068135B" w:rsidRDefault="0068135B" w:rsidP="0068135B">
      <w:pPr>
        <w:pStyle w:val="ListParagraph"/>
        <w:rPr>
          <w:rFonts w:asciiTheme="minorHAnsi" w:hAnsiTheme="minorHAnsi"/>
        </w:rPr>
      </w:pPr>
    </w:p>
    <w:p w14:paraId="1CF77BD8" w14:textId="3B7EECE8" w:rsidR="00E75D3F" w:rsidRDefault="009D3499" w:rsidP="00EB7F1E">
      <w:pPr>
        <w:pStyle w:val="ListParagraph"/>
        <w:numPr>
          <w:ilvl w:val="0"/>
          <w:numId w:val="7"/>
        </w:numPr>
        <w:spacing w:line="276" w:lineRule="auto"/>
        <w:ind w:left="425" w:hanging="425"/>
        <w:contextualSpacing w:val="0"/>
        <w:rPr>
          <w:rFonts w:asciiTheme="minorHAnsi" w:hAnsiTheme="minorHAnsi"/>
        </w:rPr>
      </w:pPr>
      <w:r w:rsidRPr="00F55E5D">
        <w:rPr>
          <w:rFonts w:asciiTheme="minorHAnsi" w:hAnsiTheme="minorHAnsi"/>
        </w:rPr>
        <w:t>If a non-parole period</w:t>
      </w:r>
      <w:r w:rsidRPr="00C00000">
        <w:rPr>
          <w:rStyle w:val="Style"/>
          <w:rFonts w:asciiTheme="minorHAnsi" w:hAnsiTheme="minorHAnsi"/>
        </w:rPr>
        <w:footnoteReference w:id="742"/>
      </w:r>
      <w:r w:rsidRPr="00F55E5D">
        <w:rPr>
          <w:rFonts w:asciiTheme="minorHAnsi" w:hAnsiTheme="minorHAnsi"/>
        </w:rPr>
        <w:t xml:space="preserve"> applies in respect of any State or Territory sentences</w:t>
      </w:r>
      <w:r w:rsidR="00F55E5D" w:rsidRPr="00F55E5D">
        <w:rPr>
          <w:rFonts w:asciiTheme="minorHAnsi" w:hAnsiTheme="minorHAnsi"/>
        </w:rPr>
        <w:t xml:space="preserve"> that the offender is serving or subject to when sentenced for the federal offence(s) (that is, any State or Territory non-parole period</w:t>
      </w:r>
      <w:r w:rsidR="009946CE">
        <w:rPr>
          <w:rFonts w:asciiTheme="minorHAnsi" w:hAnsiTheme="minorHAnsi"/>
        </w:rPr>
        <w:t xml:space="preserve"> which</w:t>
      </w:r>
      <w:r w:rsidR="00F55E5D" w:rsidRPr="00F55E5D">
        <w:rPr>
          <w:rFonts w:asciiTheme="minorHAnsi" w:hAnsiTheme="minorHAnsi"/>
        </w:rPr>
        <w:t xml:space="preserve"> has not expired when the federal sentence is imposed</w:t>
      </w:r>
      <w:r w:rsidR="00F55E5D" w:rsidRPr="00C00000">
        <w:rPr>
          <w:rStyle w:val="Style"/>
          <w:rFonts w:asciiTheme="minorHAnsi" w:hAnsiTheme="minorHAnsi"/>
        </w:rPr>
        <w:footnoteReference w:id="743"/>
      </w:r>
      <w:r w:rsidR="00F55E5D" w:rsidRPr="00F55E5D">
        <w:rPr>
          <w:rFonts w:asciiTheme="minorHAnsi" w:hAnsiTheme="minorHAnsi"/>
        </w:rPr>
        <w:t>),</w:t>
      </w:r>
      <w:r w:rsidRPr="00F55E5D">
        <w:rPr>
          <w:rFonts w:asciiTheme="minorHAnsi" w:hAnsiTheme="minorHAnsi"/>
        </w:rPr>
        <w:t xml:space="preserve"> the first federal sentence to commence after the end of that non-parole period must be fixed so that it commences immediately after the end of the State or Territory non-parole period: </w:t>
      </w:r>
      <w:r w:rsidR="00885EFD" w:rsidRPr="00885EFD">
        <w:rPr>
          <w:rFonts w:asciiTheme="minorHAnsi" w:hAnsiTheme="minorHAnsi"/>
          <w:i/>
        </w:rPr>
        <w:t>Crimes Act 1914</w:t>
      </w:r>
      <w:r w:rsidRPr="00F55E5D">
        <w:rPr>
          <w:rFonts w:asciiTheme="minorHAnsi" w:hAnsiTheme="minorHAnsi"/>
        </w:rPr>
        <w:t xml:space="preserve"> (Cth), s 19(1)(b) and s 19(3)(d).  </w:t>
      </w:r>
      <w:r w:rsidR="007707A8">
        <w:rPr>
          <w:rFonts w:asciiTheme="minorHAnsi" w:hAnsiTheme="minorHAnsi"/>
        </w:rPr>
        <w:t>T</w:t>
      </w:r>
      <w:r w:rsidR="00E06C19">
        <w:rPr>
          <w:rFonts w:asciiTheme="minorHAnsi" w:hAnsiTheme="minorHAnsi"/>
        </w:rPr>
        <w:t xml:space="preserve">he </w:t>
      </w:r>
      <w:r w:rsidR="00E06C19" w:rsidRPr="00E06C19">
        <w:rPr>
          <w:rFonts w:asciiTheme="minorHAnsi" w:hAnsiTheme="minorHAnsi"/>
        </w:rPr>
        <w:t>reference</w:t>
      </w:r>
      <w:r w:rsidR="00E06C19">
        <w:rPr>
          <w:rFonts w:asciiTheme="minorHAnsi" w:hAnsiTheme="minorHAnsi"/>
        </w:rPr>
        <w:t>s</w:t>
      </w:r>
      <w:r w:rsidR="00E06C19" w:rsidRPr="00E06C19">
        <w:rPr>
          <w:rFonts w:asciiTheme="minorHAnsi" w:hAnsiTheme="minorHAnsi"/>
        </w:rPr>
        <w:t xml:space="preserve"> to the Commonwealth sentence commencing “</w:t>
      </w:r>
      <w:r w:rsidR="00E06C19" w:rsidRPr="00E06C19">
        <w:rPr>
          <w:rFonts w:asciiTheme="minorHAnsi" w:hAnsiTheme="minorHAnsi"/>
          <w:i/>
        </w:rPr>
        <w:t>immediately after</w:t>
      </w:r>
      <w:r w:rsidR="00E06C19" w:rsidRPr="00E06C19">
        <w:rPr>
          <w:rFonts w:asciiTheme="minorHAnsi" w:hAnsiTheme="minorHAnsi"/>
        </w:rPr>
        <w:t xml:space="preserve">” the State </w:t>
      </w:r>
      <w:r w:rsidR="00E06C19">
        <w:rPr>
          <w:rFonts w:asciiTheme="minorHAnsi" w:hAnsiTheme="minorHAnsi"/>
        </w:rPr>
        <w:t xml:space="preserve">or Territory </w:t>
      </w:r>
      <w:r w:rsidR="00E06C19" w:rsidRPr="00E06C19">
        <w:rPr>
          <w:rFonts w:asciiTheme="minorHAnsi" w:hAnsiTheme="minorHAnsi"/>
        </w:rPr>
        <w:t>non-parole period is not a prescription that this is what must occur</w:t>
      </w:r>
      <w:r w:rsidR="00E06C19">
        <w:rPr>
          <w:rFonts w:asciiTheme="minorHAnsi" w:hAnsiTheme="minorHAnsi"/>
        </w:rPr>
        <w:t>;</w:t>
      </w:r>
      <w:r w:rsidR="00E06C19" w:rsidRPr="00E06C19">
        <w:rPr>
          <w:rFonts w:asciiTheme="minorHAnsi" w:hAnsiTheme="minorHAnsi"/>
        </w:rPr>
        <w:t xml:space="preserve"> </w:t>
      </w:r>
      <w:r w:rsidR="00E06C19">
        <w:rPr>
          <w:rFonts w:asciiTheme="minorHAnsi" w:hAnsiTheme="minorHAnsi"/>
        </w:rPr>
        <w:t>it</w:t>
      </w:r>
      <w:r w:rsidR="00E06C19" w:rsidRPr="00E06C19">
        <w:rPr>
          <w:rFonts w:asciiTheme="minorHAnsi" w:hAnsiTheme="minorHAnsi"/>
        </w:rPr>
        <w:t xml:space="preserve"> is only a bar to any later commencement date being fixed</w:t>
      </w:r>
      <w:r w:rsidR="00E06C19">
        <w:rPr>
          <w:rFonts w:asciiTheme="minorHAnsi" w:hAnsiTheme="minorHAnsi"/>
        </w:rPr>
        <w:t xml:space="preserve">, so as </w:t>
      </w:r>
      <w:r w:rsidR="00E06C19" w:rsidRPr="00E06C19">
        <w:rPr>
          <w:rFonts w:asciiTheme="minorHAnsi" w:hAnsiTheme="minorHAnsi"/>
        </w:rPr>
        <w:t>to avoid the creation of a “gap” in incarceration</w:t>
      </w:r>
      <w:r w:rsidR="0068135B" w:rsidRPr="00F55E5D">
        <w:rPr>
          <w:rFonts w:asciiTheme="minorHAnsi" w:hAnsiTheme="minorHAnsi"/>
        </w:rPr>
        <w:t>.</w:t>
      </w:r>
      <w:r w:rsidR="0068135B" w:rsidRPr="00C00000">
        <w:rPr>
          <w:rStyle w:val="Style"/>
          <w:rFonts w:asciiTheme="minorHAnsi" w:hAnsiTheme="minorHAnsi"/>
        </w:rPr>
        <w:footnoteReference w:id="744"/>
      </w:r>
      <w:r w:rsidR="00E11305" w:rsidRPr="00F55E5D">
        <w:rPr>
          <w:rFonts w:asciiTheme="minorHAnsi" w:hAnsiTheme="minorHAnsi"/>
        </w:rPr>
        <w:t xml:space="preserve">  </w:t>
      </w:r>
      <w:r w:rsidR="00E152AC">
        <w:rPr>
          <w:rFonts w:asciiTheme="minorHAnsi" w:hAnsiTheme="minorHAnsi"/>
        </w:rPr>
        <w:t xml:space="preserve">In other words, the </w:t>
      </w:r>
      <w:r w:rsidR="00E06C19">
        <w:rPr>
          <w:rFonts w:asciiTheme="minorHAnsi" w:hAnsiTheme="minorHAnsi"/>
        </w:rPr>
        <w:t xml:space="preserve">sentencing court </w:t>
      </w:r>
      <w:r w:rsidR="00E152AC">
        <w:rPr>
          <w:rFonts w:asciiTheme="minorHAnsi" w:hAnsiTheme="minorHAnsi"/>
        </w:rPr>
        <w:t xml:space="preserve">may </w:t>
      </w:r>
      <w:r w:rsidR="00E06C19" w:rsidRPr="00F55E5D">
        <w:rPr>
          <w:rFonts w:asciiTheme="minorHAnsi" w:hAnsiTheme="minorHAnsi"/>
        </w:rPr>
        <w:t xml:space="preserve">direct that </w:t>
      </w:r>
      <w:r w:rsidR="00E152AC">
        <w:rPr>
          <w:rFonts w:asciiTheme="minorHAnsi" w:hAnsiTheme="minorHAnsi"/>
        </w:rPr>
        <w:t xml:space="preserve">the first </w:t>
      </w:r>
      <w:r w:rsidR="00E06C19" w:rsidRPr="00F55E5D">
        <w:rPr>
          <w:rFonts w:asciiTheme="minorHAnsi" w:hAnsiTheme="minorHAnsi"/>
        </w:rPr>
        <w:t>federal sentence commence on a date during the currency of the State or Territory non-parole period</w:t>
      </w:r>
      <w:r w:rsidR="00E152AC">
        <w:rPr>
          <w:rFonts w:asciiTheme="minorHAnsi" w:hAnsiTheme="minorHAnsi"/>
        </w:rPr>
        <w:t xml:space="preserve"> or </w:t>
      </w:r>
      <w:r w:rsidR="00E06C19" w:rsidRPr="00F55E5D">
        <w:rPr>
          <w:rFonts w:asciiTheme="minorHAnsi" w:hAnsiTheme="minorHAnsi"/>
        </w:rPr>
        <w:t>at the expiration of that period</w:t>
      </w:r>
      <w:r w:rsidR="00E152AC">
        <w:rPr>
          <w:rFonts w:asciiTheme="minorHAnsi" w:hAnsiTheme="minorHAnsi"/>
        </w:rPr>
        <w:t>, but not later.</w:t>
      </w:r>
    </w:p>
    <w:p w14:paraId="657EDA01" w14:textId="77777777" w:rsidR="00D06BF0" w:rsidRDefault="00D06BF0" w:rsidP="00D06BF0">
      <w:pPr>
        <w:pStyle w:val="ListParagraph"/>
        <w:rPr>
          <w:rFonts w:asciiTheme="minorHAnsi" w:hAnsiTheme="minorHAnsi"/>
        </w:rPr>
      </w:pPr>
    </w:p>
    <w:p w14:paraId="2E6ED10B" w14:textId="3BA0BB90" w:rsidR="0044482C" w:rsidRDefault="0044482C" w:rsidP="0044482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w:t>
      </w:r>
      <w:r w:rsidR="000432A2">
        <w:rPr>
          <w:rFonts w:asciiTheme="minorHAnsi" w:hAnsiTheme="minorHAnsi"/>
        </w:rPr>
        <w:t>,</w:t>
      </w:r>
      <w:r>
        <w:rPr>
          <w:rFonts w:asciiTheme="minorHAnsi" w:hAnsiTheme="minorHAnsi"/>
        </w:rPr>
        <w:t xml:space="preserve"> </w:t>
      </w:r>
      <w:r w:rsidR="008C48BB">
        <w:rPr>
          <w:rFonts w:asciiTheme="minorHAnsi" w:hAnsiTheme="minorHAnsi"/>
        </w:rPr>
        <w:t>at the time of sentencing</w:t>
      </w:r>
      <w:r w:rsidR="000432A2">
        <w:rPr>
          <w:rFonts w:asciiTheme="minorHAnsi" w:hAnsiTheme="minorHAnsi"/>
        </w:rPr>
        <w:t>,</w:t>
      </w:r>
      <w:r w:rsidR="008C48BB">
        <w:rPr>
          <w:rFonts w:asciiTheme="minorHAnsi" w:hAnsiTheme="minorHAnsi"/>
        </w:rPr>
        <w:t xml:space="preserve"> </w:t>
      </w:r>
      <w:r>
        <w:rPr>
          <w:rFonts w:asciiTheme="minorHAnsi" w:hAnsiTheme="minorHAnsi"/>
        </w:rPr>
        <w:t xml:space="preserve">the federal offender is serving or subject to a State or Territory sentence, but </w:t>
      </w:r>
      <w:r w:rsidR="00CE72EF">
        <w:rPr>
          <w:rFonts w:asciiTheme="minorHAnsi" w:hAnsiTheme="minorHAnsi"/>
        </w:rPr>
        <w:t>any</w:t>
      </w:r>
      <w:r>
        <w:rPr>
          <w:rFonts w:asciiTheme="minorHAnsi" w:hAnsiTheme="minorHAnsi"/>
        </w:rPr>
        <w:t xml:space="preserve"> non-parole period for that sentence has expired, the requirement in s 19(1)(b) of the </w:t>
      </w:r>
      <w:r w:rsidRPr="00EB7F1E">
        <w:rPr>
          <w:rFonts w:asciiTheme="minorHAnsi" w:hAnsiTheme="minorHAnsi"/>
          <w:i/>
          <w:iCs/>
        </w:rPr>
        <w:t>Crimes Act 1914</w:t>
      </w:r>
      <w:r>
        <w:rPr>
          <w:rFonts w:asciiTheme="minorHAnsi" w:hAnsiTheme="minorHAnsi"/>
        </w:rPr>
        <w:t xml:space="preserve"> has no application.  </w:t>
      </w:r>
      <w:r w:rsidR="00E85147">
        <w:rPr>
          <w:rFonts w:asciiTheme="minorHAnsi" w:hAnsiTheme="minorHAnsi"/>
        </w:rPr>
        <w:t>That is, the</w:t>
      </w:r>
      <w:r w:rsidR="00AA27C7">
        <w:rPr>
          <w:rFonts w:asciiTheme="minorHAnsi" w:hAnsiTheme="minorHAnsi"/>
        </w:rPr>
        <w:t xml:space="preserve"> requirement </w:t>
      </w:r>
      <w:r w:rsidR="00E85147">
        <w:rPr>
          <w:rFonts w:asciiTheme="minorHAnsi" w:hAnsiTheme="minorHAnsi"/>
        </w:rPr>
        <w:t xml:space="preserve">that a federal sentence (or the first of the federal sentences) commence no later than immediately after the end of the State or Territory non-parole period arises only if a non-parole period “applies” at the time of sentencing of the federal offender.  </w:t>
      </w:r>
      <w:r w:rsidR="00916A8A">
        <w:rPr>
          <w:rFonts w:asciiTheme="minorHAnsi" w:hAnsiTheme="minorHAnsi"/>
        </w:rPr>
        <w:t>No non-parole period “applies” if the non-parole period date has passed.</w:t>
      </w:r>
      <w:r>
        <w:rPr>
          <w:rFonts w:asciiTheme="minorHAnsi" w:hAnsiTheme="minorHAnsi"/>
        </w:rPr>
        <w:t xml:space="preserve">  </w:t>
      </w:r>
      <w:r w:rsidR="00CE72EF">
        <w:rPr>
          <w:rFonts w:asciiTheme="minorHAnsi" w:hAnsiTheme="minorHAnsi"/>
        </w:rPr>
        <w:t xml:space="preserve">The </w:t>
      </w:r>
      <w:r>
        <w:rPr>
          <w:rFonts w:asciiTheme="minorHAnsi" w:hAnsiTheme="minorHAnsi"/>
        </w:rPr>
        <w:t>scheme does not contemplate that the commencement of the federal sentence which is to be cumulative or concurrent can</w:t>
      </w:r>
      <w:r w:rsidR="00CE72EF">
        <w:rPr>
          <w:rFonts w:asciiTheme="minorHAnsi" w:hAnsiTheme="minorHAnsi"/>
        </w:rPr>
        <w:t xml:space="preserve"> or should</w:t>
      </w:r>
      <w:r>
        <w:rPr>
          <w:rFonts w:asciiTheme="minorHAnsi" w:hAnsiTheme="minorHAnsi"/>
        </w:rPr>
        <w:t xml:space="preserve"> be backdated.</w:t>
      </w:r>
      <w:r w:rsidRPr="00C00000">
        <w:rPr>
          <w:rStyle w:val="Style"/>
          <w:rFonts w:asciiTheme="minorHAnsi" w:hAnsiTheme="minorHAnsi"/>
        </w:rPr>
        <w:footnoteReference w:id="745"/>
      </w:r>
    </w:p>
    <w:p w14:paraId="6C564DAA" w14:textId="77777777" w:rsidR="0044482C" w:rsidRDefault="0044482C" w:rsidP="0044482C">
      <w:pPr>
        <w:pStyle w:val="ListParagraph"/>
        <w:rPr>
          <w:rFonts w:asciiTheme="minorHAnsi" w:hAnsiTheme="minorHAnsi"/>
        </w:rPr>
      </w:pPr>
    </w:p>
    <w:p w14:paraId="4E24668C" w14:textId="0A64D811" w:rsidR="00D06BF0" w:rsidRDefault="00D06BF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requirement that a sentence for a Commonwealth offence commence not later than immediately after a State or Territory non-parole period may have the practical effect </w:t>
      </w:r>
      <w:r w:rsidR="00F222F1">
        <w:rPr>
          <w:rFonts w:asciiTheme="minorHAnsi" w:hAnsiTheme="minorHAnsi"/>
        </w:rPr>
        <w:t xml:space="preserve">of precluding any cumulation of the </w:t>
      </w:r>
      <w:r w:rsidR="009B7E6E">
        <w:rPr>
          <w:rFonts w:asciiTheme="minorHAnsi" w:hAnsiTheme="minorHAnsi"/>
        </w:rPr>
        <w:t xml:space="preserve">federal </w:t>
      </w:r>
      <w:r w:rsidR="00F222F1">
        <w:rPr>
          <w:rFonts w:asciiTheme="minorHAnsi" w:hAnsiTheme="minorHAnsi"/>
        </w:rPr>
        <w:t xml:space="preserve">head </w:t>
      </w:r>
      <w:r>
        <w:rPr>
          <w:rFonts w:asciiTheme="minorHAnsi" w:hAnsiTheme="minorHAnsi"/>
        </w:rPr>
        <w:t>s</w:t>
      </w:r>
      <w:r w:rsidR="00F222F1">
        <w:rPr>
          <w:rFonts w:asciiTheme="minorHAnsi" w:hAnsiTheme="minorHAnsi"/>
        </w:rPr>
        <w:t>e</w:t>
      </w:r>
      <w:r>
        <w:rPr>
          <w:rFonts w:asciiTheme="minorHAnsi" w:hAnsiTheme="minorHAnsi"/>
        </w:rPr>
        <w:t xml:space="preserve">ntence </w:t>
      </w:r>
      <w:r w:rsidR="00F222F1">
        <w:rPr>
          <w:rFonts w:asciiTheme="minorHAnsi" w:hAnsiTheme="minorHAnsi"/>
        </w:rPr>
        <w:t>on the head sentence for the State or Territory offence(s).</w:t>
      </w:r>
      <w:r w:rsidR="00B15705" w:rsidRPr="00C00000">
        <w:rPr>
          <w:rStyle w:val="Style"/>
          <w:rFonts w:asciiTheme="minorHAnsi" w:hAnsiTheme="minorHAnsi"/>
        </w:rPr>
        <w:footnoteReference w:id="746"/>
      </w:r>
      <w:r w:rsidR="00F222F1">
        <w:rPr>
          <w:rFonts w:asciiTheme="minorHAnsi" w:hAnsiTheme="minorHAnsi"/>
        </w:rPr>
        <w:t xml:space="preserve">  For example if an offender is sentenced for a State offence to 3 year</w:t>
      </w:r>
      <w:r w:rsidR="009B7E6E">
        <w:rPr>
          <w:rFonts w:asciiTheme="minorHAnsi" w:hAnsiTheme="minorHAnsi"/>
        </w:rPr>
        <w:t>s</w:t>
      </w:r>
      <w:r w:rsidR="00AA693C">
        <w:rPr>
          <w:rFonts w:asciiTheme="minorHAnsi" w:hAnsiTheme="minorHAnsi"/>
        </w:rPr>
        <w:t>’</w:t>
      </w:r>
      <w:r w:rsidR="00F222F1">
        <w:rPr>
          <w:rFonts w:asciiTheme="minorHAnsi" w:hAnsiTheme="minorHAnsi"/>
        </w:rPr>
        <w:t xml:space="preserve"> imprisonment with a non-parole period of 2 years, and at the same sitting is sentenced to 12 months</w:t>
      </w:r>
      <w:r w:rsidR="00AA693C">
        <w:rPr>
          <w:rFonts w:asciiTheme="minorHAnsi" w:hAnsiTheme="minorHAnsi"/>
        </w:rPr>
        <w:t>’</w:t>
      </w:r>
      <w:r w:rsidR="00F222F1">
        <w:rPr>
          <w:rFonts w:asciiTheme="minorHAnsi" w:hAnsiTheme="minorHAnsi"/>
        </w:rPr>
        <w:t xml:space="preserve"> imprisonment for a federal offence, it is impossible to achieve cumulation of any part of the federal sentence on the head sentence for the State offence, because the federal sentence must be directed to commence no later than immediately after the State non-parole period. </w:t>
      </w:r>
      <w:r w:rsidR="00B15705">
        <w:rPr>
          <w:rFonts w:asciiTheme="minorHAnsi" w:hAnsiTheme="minorHAnsi"/>
        </w:rPr>
        <w:t xml:space="preserve"> That is, </w:t>
      </w:r>
      <w:r w:rsidR="009B7E6E">
        <w:rPr>
          <w:rFonts w:asciiTheme="minorHAnsi" w:hAnsiTheme="minorHAnsi"/>
        </w:rPr>
        <w:t xml:space="preserve">in this example, </w:t>
      </w:r>
      <w:r w:rsidR="00054CDC">
        <w:rPr>
          <w:rFonts w:asciiTheme="minorHAnsi" w:hAnsiTheme="minorHAnsi"/>
        </w:rPr>
        <w:t xml:space="preserve">even if the latest permissible commencement date is chosen, </w:t>
      </w:r>
      <w:r w:rsidR="00B15705">
        <w:rPr>
          <w:rFonts w:asciiTheme="minorHAnsi" w:hAnsiTheme="minorHAnsi"/>
        </w:rPr>
        <w:t xml:space="preserve">the federal sentence will be completed </w:t>
      </w:r>
      <w:r w:rsidR="00054CDC">
        <w:rPr>
          <w:rFonts w:asciiTheme="minorHAnsi" w:hAnsiTheme="minorHAnsi"/>
        </w:rPr>
        <w:t>at the same</w:t>
      </w:r>
      <w:r w:rsidR="00B15705">
        <w:rPr>
          <w:rFonts w:asciiTheme="minorHAnsi" w:hAnsiTheme="minorHAnsi"/>
        </w:rPr>
        <w:t xml:space="preserve"> time </w:t>
      </w:r>
      <w:r w:rsidR="00054CDC">
        <w:rPr>
          <w:rFonts w:asciiTheme="minorHAnsi" w:hAnsiTheme="minorHAnsi"/>
        </w:rPr>
        <w:t>as the</w:t>
      </w:r>
      <w:r w:rsidR="00B15705">
        <w:rPr>
          <w:rFonts w:asciiTheme="minorHAnsi" w:hAnsiTheme="minorHAnsi"/>
        </w:rPr>
        <w:t xml:space="preserve"> completion of the State sentence.</w:t>
      </w:r>
      <w:r w:rsidR="00B9481B">
        <w:rPr>
          <w:rFonts w:asciiTheme="minorHAnsi" w:hAnsiTheme="minorHAnsi"/>
        </w:rPr>
        <w:t xml:space="preserve">  In some jurisdictions, </w:t>
      </w:r>
      <w:r w:rsidR="006F09AC">
        <w:rPr>
          <w:rFonts w:asciiTheme="minorHAnsi" w:hAnsiTheme="minorHAnsi"/>
        </w:rPr>
        <w:t xml:space="preserve">it may be possible to overcome </w:t>
      </w:r>
      <w:r w:rsidR="00B9481B">
        <w:rPr>
          <w:rFonts w:asciiTheme="minorHAnsi" w:hAnsiTheme="minorHAnsi"/>
        </w:rPr>
        <w:t>this limitation by making appropriate orders for the State sentence to be served cumulatively (or partly cumulatively) upon the federal sentence</w:t>
      </w:r>
      <w:r w:rsidR="006F09AC">
        <w:rPr>
          <w:rFonts w:asciiTheme="minorHAnsi" w:hAnsiTheme="minorHAnsi"/>
        </w:rPr>
        <w:t>,</w:t>
      </w:r>
      <w:r w:rsidR="00B9481B" w:rsidRPr="00C00000">
        <w:rPr>
          <w:rStyle w:val="Style"/>
          <w:rFonts w:asciiTheme="minorHAnsi" w:hAnsiTheme="minorHAnsi"/>
        </w:rPr>
        <w:footnoteReference w:id="747"/>
      </w:r>
      <w:r w:rsidR="006F09AC" w:rsidRPr="006F09AC">
        <w:rPr>
          <w:rFonts w:asciiTheme="minorHAnsi" w:hAnsiTheme="minorHAnsi"/>
        </w:rPr>
        <w:t xml:space="preserve"> </w:t>
      </w:r>
      <w:r w:rsidR="006F09AC">
        <w:rPr>
          <w:rFonts w:asciiTheme="minorHAnsi" w:hAnsiTheme="minorHAnsi"/>
        </w:rPr>
        <w:t>but whether there is power to do so would depend upon State law.</w:t>
      </w:r>
      <w:r w:rsidR="006F09AC" w:rsidRPr="00295C71">
        <w:rPr>
          <w:rStyle w:val="Style"/>
          <w:rFonts w:asciiTheme="minorHAnsi" w:hAnsiTheme="minorHAnsi"/>
        </w:rPr>
        <w:footnoteReference w:id="748"/>
      </w:r>
    </w:p>
    <w:p w14:paraId="2B13A210" w14:textId="77777777" w:rsidR="007235C1" w:rsidRDefault="007235C1" w:rsidP="007235C1">
      <w:pPr>
        <w:pStyle w:val="ListParagraph"/>
        <w:rPr>
          <w:rFonts w:asciiTheme="minorHAnsi" w:hAnsiTheme="minorHAnsi"/>
        </w:rPr>
      </w:pPr>
    </w:p>
    <w:p w14:paraId="74A68311" w14:textId="41672FEE" w:rsidR="00E152AC" w:rsidRDefault="00E152A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open to a court sentencing a federal offender to impose a federal sentence which </w:t>
      </w:r>
      <w:r w:rsidR="00BB67EF">
        <w:rPr>
          <w:rFonts w:asciiTheme="minorHAnsi" w:hAnsiTheme="minorHAnsi"/>
        </w:rPr>
        <w:t>operates beyond the State or Territory non-parole period, even though it does not extend beyond the State or Territory head sentence.</w:t>
      </w:r>
      <w:r w:rsidR="00882E0C" w:rsidRPr="00C00000">
        <w:rPr>
          <w:rStyle w:val="Style"/>
          <w:rFonts w:asciiTheme="minorHAnsi" w:hAnsiTheme="minorHAnsi"/>
        </w:rPr>
        <w:footnoteReference w:id="749"/>
      </w:r>
    </w:p>
    <w:p w14:paraId="7B3BFF79" w14:textId="77777777" w:rsidR="00882E0C" w:rsidRDefault="00882E0C" w:rsidP="00882E0C">
      <w:pPr>
        <w:pStyle w:val="ListParagraph"/>
        <w:rPr>
          <w:rFonts w:asciiTheme="minorHAnsi" w:hAnsiTheme="minorHAnsi"/>
        </w:rPr>
      </w:pPr>
    </w:p>
    <w:p w14:paraId="2EA689E4" w14:textId="1058C812" w:rsidR="00882E0C" w:rsidRPr="00F55E5D" w:rsidRDefault="00882E0C"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w:t>
      </w:r>
      <w:r w:rsidR="001F50F3">
        <w:rPr>
          <w:rFonts w:asciiTheme="minorHAnsi" w:hAnsiTheme="minorHAnsi"/>
        </w:rPr>
        <w:t>,</w:t>
      </w:r>
      <w:r>
        <w:rPr>
          <w:rFonts w:asciiTheme="minorHAnsi" w:hAnsiTheme="minorHAnsi"/>
        </w:rPr>
        <w:t xml:space="preserve"> at the time of sentencing</w:t>
      </w:r>
      <w:r w:rsidR="001F50F3">
        <w:rPr>
          <w:rFonts w:asciiTheme="minorHAnsi" w:hAnsiTheme="minorHAnsi"/>
        </w:rPr>
        <w:t>,</w:t>
      </w:r>
      <w:r>
        <w:rPr>
          <w:rFonts w:asciiTheme="minorHAnsi" w:hAnsiTheme="minorHAnsi"/>
        </w:rPr>
        <w:t xml:space="preserve"> the offender is serving or subject to a federal sentence of imprisonment</w:t>
      </w:r>
      <w:r w:rsidR="006C74AE">
        <w:rPr>
          <w:rFonts w:asciiTheme="minorHAnsi" w:hAnsiTheme="minorHAnsi"/>
        </w:rPr>
        <w:t xml:space="preserve">, the sentencing court must </w:t>
      </w:r>
      <w:r w:rsidR="003D6275">
        <w:rPr>
          <w:rFonts w:asciiTheme="minorHAnsi" w:hAnsiTheme="minorHAnsi"/>
        </w:rPr>
        <w:t>comply with</w:t>
      </w:r>
      <w:r w:rsidR="001D7C0F">
        <w:rPr>
          <w:rFonts w:asciiTheme="minorHAnsi" w:hAnsiTheme="minorHAnsi"/>
        </w:rPr>
        <w:t xml:space="preserve"> the applicable requirements of</w:t>
      </w:r>
      <w:r w:rsidR="003D6275">
        <w:rPr>
          <w:rFonts w:asciiTheme="minorHAnsi" w:hAnsiTheme="minorHAnsi"/>
        </w:rPr>
        <w:t xml:space="preserve"> s 19AB</w:t>
      </w:r>
      <w:r w:rsidR="001D7C0F">
        <w:rPr>
          <w:rFonts w:asciiTheme="minorHAnsi" w:hAnsiTheme="minorHAnsi"/>
        </w:rPr>
        <w:t>,</w:t>
      </w:r>
      <w:r w:rsidR="003D6275">
        <w:rPr>
          <w:rFonts w:asciiTheme="minorHAnsi" w:hAnsiTheme="minorHAnsi"/>
        </w:rPr>
        <w:t xml:space="preserve"> s 19AC</w:t>
      </w:r>
      <w:r w:rsidR="003F6539">
        <w:rPr>
          <w:rFonts w:asciiTheme="minorHAnsi" w:hAnsiTheme="minorHAnsi"/>
        </w:rPr>
        <w:t>, s 19AD</w:t>
      </w:r>
      <w:r w:rsidR="00C10763">
        <w:rPr>
          <w:rFonts w:asciiTheme="minorHAnsi" w:hAnsiTheme="minorHAnsi"/>
        </w:rPr>
        <w:t>,</w:t>
      </w:r>
      <w:r w:rsidR="003F6539">
        <w:rPr>
          <w:rFonts w:asciiTheme="minorHAnsi" w:hAnsiTheme="minorHAnsi"/>
        </w:rPr>
        <w:t xml:space="preserve"> s 19AE</w:t>
      </w:r>
      <w:r w:rsidR="003D6275">
        <w:rPr>
          <w:rFonts w:asciiTheme="minorHAnsi" w:hAnsiTheme="minorHAnsi"/>
        </w:rPr>
        <w:t xml:space="preserve"> </w:t>
      </w:r>
      <w:r w:rsidR="00C10763">
        <w:rPr>
          <w:rFonts w:asciiTheme="minorHAnsi" w:hAnsiTheme="minorHAnsi"/>
        </w:rPr>
        <w:t xml:space="preserve">or s 19AR </w:t>
      </w:r>
      <w:r w:rsidR="003D6275">
        <w:rPr>
          <w:rFonts w:asciiTheme="minorHAnsi" w:hAnsiTheme="minorHAnsi"/>
        </w:rPr>
        <w:t xml:space="preserve">of the </w:t>
      </w:r>
      <w:r w:rsidR="00885EFD" w:rsidRPr="00885EFD">
        <w:rPr>
          <w:rFonts w:asciiTheme="minorHAnsi" w:hAnsiTheme="minorHAnsi"/>
          <w:i/>
        </w:rPr>
        <w:t>Crimes Act 1914</w:t>
      </w:r>
      <w:r w:rsidR="003D6275">
        <w:rPr>
          <w:rFonts w:asciiTheme="minorHAnsi" w:hAnsiTheme="minorHAnsi"/>
        </w:rPr>
        <w:t xml:space="preserve"> (Cth)</w:t>
      </w:r>
      <w:r w:rsidR="003F6539">
        <w:rPr>
          <w:rFonts w:asciiTheme="minorHAnsi" w:hAnsiTheme="minorHAnsi"/>
        </w:rPr>
        <w:t xml:space="preserve"> (as the case may be).  Those provisions govern the fixing of a non-parole period or recognizance release order or the decision to decline to do so</w:t>
      </w:r>
      <w:r w:rsidR="003D6275">
        <w:rPr>
          <w:rFonts w:asciiTheme="minorHAnsi" w:hAnsiTheme="minorHAnsi"/>
        </w:rPr>
        <w:t>.</w:t>
      </w:r>
      <w:r w:rsidR="003F6539">
        <w:rPr>
          <w:rFonts w:asciiTheme="minorHAnsi" w:hAnsiTheme="minorHAnsi"/>
        </w:rPr>
        <w:t xml:space="preserve">  For an overview of these requirements, see “</w:t>
      </w:r>
      <w:r w:rsidR="003F6539">
        <w:rPr>
          <w:rFonts w:asciiTheme="minorHAnsi" w:hAnsiTheme="minorHAnsi"/>
        </w:rPr>
        <w:fldChar w:fldCharType="begin"/>
      </w:r>
      <w:r w:rsidR="003F6539">
        <w:rPr>
          <w:rFonts w:asciiTheme="minorHAnsi" w:hAnsiTheme="minorHAnsi"/>
        </w:rPr>
        <w:instrText xml:space="preserve"> REF _Ref507948252 \r \h  \* MERGEFORMAT </w:instrText>
      </w:r>
      <w:r w:rsidR="003F6539">
        <w:rPr>
          <w:rFonts w:asciiTheme="minorHAnsi" w:hAnsiTheme="minorHAnsi"/>
        </w:rPr>
      </w:r>
      <w:r w:rsidR="003F6539">
        <w:rPr>
          <w:rFonts w:asciiTheme="minorHAnsi" w:hAnsiTheme="minorHAnsi"/>
        </w:rPr>
        <w:fldChar w:fldCharType="separate"/>
      </w:r>
      <w:r w:rsidR="00D44BCF">
        <w:rPr>
          <w:rFonts w:asciiTheme="minorHAnsi" w:hAnsiTheme="minorHAnsi"/>
        </w:rPr>
        <w:t>5.10.4</w:t>
      </w:r>
      <w:r w:rsidR="003F6539">
        <w:rPr>
          <w:rFonts w:asciiTheme="minorHAnsi" w:hAnsiTheme="minorHAnsi"/>
        </w:rPr>
        <w:fldChar w:fldCharType="end"/>
      </w:r>
      <w:r w:rsidR="003F6539">
        <w:rPr>
          <w:rFonts w:asciiTheme="minorHAnsi" w:hAnsiTheme="minorHAnsi"/>
        </w:rPr>
        <w:t xml:space="preserve"> </w:t>
      </w:r>
      <w:r w:rsidR="003F6539">
        <w:rPr>
          <w:rFonts w:asciiTheme="minorHAnsi" w:hAnsiTheme="minorHAnsi"/>
        </w:rPr>
        <w:fldChar w:fldCharType="begin"/>
      </w:r>
      <w:r w:rsidR="003F6539">
        <w:rPr>
          <w:rFonts w:asciiTheme="minorHAnsi" w:hAnsiTheme="minorHAnsi"/>
        </w:rPr>
        <w:instrText xml:space="preserve"> REF _Ref507948255 \h  \* MERGEFORMAT </w:instrText>
      </w:r>
      <w:r w:rsidR="003F6539">
        <w:rPr>
          <w:rFonts w:asciiTheme="minorHAnsi" w:hAnsiTheme="minorHAnsi"/>
        </w:rPr>
      </w:r>
      <w:r w:rsidR="003F6539">
        <w:rPr>
          <w:rFonts w:asciiTheme="minorHAnsi" w:hAnsiTheme="minorHAnsi"/>
        </w:rPr>
        <w:fldChar w:fldCharType="separate"/>
      </w:r>
      <w:r w:rsidR="00D44BCF" w:rsidRPr="00D44BCF">
        <w:rPr>
          <w:rFonts w:asciiTheme="minorHAnsi" w:hAnsiTheme="minorHAnsi"/>
        </w:rPr>
        <w:t>Non-parole period (NPP) or recognizance release order (RRO)?</w:t>
      </w:r>
      <w:r w:rsidR="003F6539">
        <w:rPr>
          <w:rFonts w:asciiTheme="minorHAnsi" w:hAnsiTheme="minorHAnsi"/>
        </w:rPr>
        <w:fldChar w:fldCharType="end"/>
      </w:r>
      <w:r w:rsidR="003F6539">
        <w:rPr>
          <w:rFonts w:asciiTheme="minorHAnsi" w:hAnsiTheme="minorHAnsi"/>
        </w:rPr>
        <w:t>”.</w:t>
      </w:r>
    </w:p>
    <w:p w14:paraId="24E75575" w14:textId="77777777" w:rsidR="00E75D3F" w:rsidRDefault="00E75D3F" w:rsidP="00E75D3F">
      <w:pPr>
        <w:pStyle w:val="ListParagraph"/>
        <w:rPr>
          <w:rFonts w:asciiTheme="minorHAnsi" w:hAnsiTheme="minorHAnsi"/>
        </w:rPr>
      </w:pPr>
    </w:p>
    <w:p w14:paraId="5E454520" w14:textId="6DF7646D" w:rsidR="001D6CB8" w:rsidRPr="009541AE" w:rsidRDefault="001D6CB8" w:rsidP="006D50C7">
      <w:pPr>
        <w:pStyle w:val="Heading3"/>
      </w:pPr>
      <w:bookmarkStart w:id="1800" w:name="_Ref505610574"/>
      <w:bookmarkStart w:id="1801" w:name="_Ref505610577"/>
      <w:bookmarkStart w:id="1802" w:name="_Toc33602889"/>
      <w:r w:rsidRPr="009541AE">
        <w:t>Whether sentences should be concurrent or cumulative</w:t>
      </w:r>
      <w:bookmarkEnd w:id="1800"/>
      <w:bookmarkEnd w:id="1801"/>
      <w:bookmarkEnd w:id="1802"/>
    </w:p>
    <w:p w14:paraId="2279BBB6" w14:textId="77777777" w:rsidR="001D6CB8" w:rsidRPr="009541AE" w:rsidRDefault="001D6CB8" w:rsidP="006D50C7">
      <w:pPr>
        <w:pStyle w:val="NormalIndent"/>
        <w:keepNext/>
        <w:spacing w:line="276" w:lineRule="auto"/>
        <w:jc w:val="both"/>
        <w:rPr>
          <w:rFonts w:asciiTheme="minorHAnsi" w:hAnsiTheme="minorHAnsi"/>
        </w:rPr>
      </w:pPr>
    </w:p>
    <w:p w14:paraId="66CF8977" w14:textId="520DFD73" w:rsidR="00A245B1" w:rsidRPr="009541AE" w:rsidRDefault="00A245B1">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Determination of q</w:t>
      </w:r>
      <w:r w:rsidR="000D5A76" w:rsidRPr="009541AE">
        <w:rPr>
          <w:rFonts w:asciiTheme="minorHAnsi" w:hAnsiTheme="minorHAnsi"/>
        </w:rPr>
        <w:t>uestions of concurrency and cumulation of federal sentences</w:t>
      </w:r>
      <w:r w:rsidR="0093505B" w:rsidRPr="009541AE">
        <w:rPr>
          <w:rFonts w:asciiTheme="minorHAnsi" w:hAnsiTheme="minorHAnsi"/>
        </w:rPr>
        <w:t xml:space="preserve"> is governed by </w:t>
      </w:r>
      <w:r w:rsidR="000D5A76" w:rsidRPr="009541AE">
        <w:rPr>
          <w:rFonts w:asciiTheme="minorHAnsi" w:hAnsiTheme="minorHAnsi"/>
        </w:rPr>
        <w:t>common law principles of totality,</w:t>
      </w:r>
      <w:r w:rsidR="000D5A76" w:rsidRPr="009541AE">
        <w:rPr>
          <w:rStyle w:val="Style"/>
          <w:rFonts w:asciiTheme="minorHAnsi" w:hAnsiTheme="minorHAnsi"/>
        </w:rPr>
        <w:footnoteReference w:id="750"/>
      </w:r>
      <w:r w:rsidR="000D5A76" w:rsidRPr="009541AE">
        <w:rPr>
          <w:rFonts w:asciiTheme="minorHAnsi" w:hAnsiTheme="minorHAnsi"/>
        </w:rPr>
        <w:t xml:space="preserve"> to the exclusion of principles in State or Territory statutes.  That is, the </w:t>
      </w:r>
      <w:r w:rsidR="0093505B" w:rsidRPr="009541AE">
        <w:rPr>
          <w:rFonts w:asciiTheme="minorHAnsi" w:hAnsiTheme="minorHAnsi"/>
        </w:rPr>
        <w:t xml:space="preserve">overall </w:t>
      </w:r>
      <w:r w:rsidR="000D5A76" w:rsidRPr="009541AE">
        <w:rPr>
          <w:rFonts w:asciiTheme="minorHAnsi" w:hAnsiTheme="minorHAnsi"/>
        </w:rPr>
        <w:t>sentence must reflect the total criminality of all the offences for which the offender is sentenced.</w:t>
      </w:r>
    </w:p>
    <w:p w14:paraId="7DC0FFBD" w14:textId="77777777" w:rsidR="00A245B1" w:rsidRPr="009541AE" w:rsidRDefault="00A245B1" w:rsidP="00EB7F1E">
      <w:pPr>
        <w:spacing w:line="276" w:lineRule="auto"/>
        <w:rPr>
          <w:rFonts w:asciiTheme="minorHAnsi" w:hAnsiTheme="minorHAnsi"/>
        </w:rPr>
      </w:pPr>
    </w:p>
    <w:p w14:paraId="62DB35F7" w14:textId="057E51C9" w:rsidR="0093681F" w:rsidRPr="009541AE" w:rsidRDefault="00A245B1">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An important question in determining whether sentences should be </w:t>
      </w:r>
      <w:r w:rsidR="003B327A" w:rsidRPr="009541AE">
        <w:rPr>
          <w:rFonts w:asciiTheme="minorHAnsi" w:hAnsiTheme="minorHAnsi"/>
        </w:rPr>
        <w:t xml:space="preserve">at least partly </w:t>
      </w:r>
      <w:r w:rsidRPr="009541AE">
        <w:rPr>
          <w:rFonts w:asciiTheme="minorHAnsi" w:hAnsiTheme="minorHAnsi"/>
        </w:rPr>
        <w:t>cumulative</w:t>
      </w:r>
      <w:r w:rsidR="0048042B" w:rsidRPr="009541AE">
        <w:rPr>
          <w:rFonts w:asciiTheme="minorHAnsi" w:hAnsiTheme="minorHAnsi"/>
        </w:rPr>
        <w:t xml:space="preserve"> is whether the offender</w:t>
      </w:r>
      <w:r w:rsidR="00AA693C" w:rsidRPr="009541AE">
        <w:rPr>
          <w:rFonts w:asciiTheme="minorHAnsi" w:hAnsiTheme="minorHAnsi"/>
        </w:rPr>
        <w:t>’</w:t>
      </w:r>
      <w:r w:rsidR="0048042B" w:rsidRPr="009541AE">
        <w:rPr>
          <w:rFonts w:asciiTheme="minorHAnsi" w:hAnsiTheme="minorHAnsi"/>
        </w:rPr>
        <w:t>s conduct involves “</w:t>
      </w:r>
      <w:r w:rsidR="0048042B" w:rsidRPr="009541AE">
        <w:rPr>
          <w:rFonts w:asciiTheme="minorHAnsi" w:hAnsiTheme="minorHAnsi"/>
          <w:i/>
        </w:rPr>
        <w:t>truly two or more incursions into criminal activity</w:t>
      </w:r>
      <w:r w:rsidR="0048042B" w:rsidRPr="009541AE">
        <w:rPr>
          <w:rFonts w:asciiTheme="minorHAnsi" w:hAnsiTheme="minorHAnsi"/>
        </w:rPr>
        <w:t>” or “</w:t>
      </w:r>
      <w:r w:rsidR="0048042B" w:rsidRPr="009541AE">
        <w:rPr>
          <w:rFonts w:asciiTheme="minorHAnsi" w:hAnsiTheme="minorHAnsi"/>
          <w:i/>
        </w:rPr>
        <w:t>one multi-faceted course of criminal conduct</w:t>
      </w:r>
      <w:r w:rsidR="0048042B" w:rsidRPr="009541AE">
        <w:rPr>
          <w:rFonts w:asciiTheme="minorHAnsi" w:hAnsiTheme="minorHAnsi"/>
        </w:rPr>
        <w:t>”.</w:t>
      </w:r>
      <w:r w:rsidR="0048042B" w:rsidRPr="009541AE">
        <w:rPr>
          <w:rStyle w:val="Style"/>
          <w:rFonts w:asciiTheme="minorHAnsi" w:hAnsiTheme="minorHAnsi"/>
        </w:rPr>
        <w:footnoteReference w:id="751"/>
      </w:r>
      <w:r w:rsidR="0048042B" w:rsidRPr="009541AE">
        <w:rPr>
          <w:rFonts w:asciiTheme="minorHAnsi" w:hAnsiTheme="minorHAnsi"/>
        </w:rPr>
        <w:t xml:space="preserve">  </w:t>
      </w:r>
      <w:r w:rsidR="003B327A" w:rsidRPr="009541AE">
        <w:rPr>
          <w:rFonts w:asciiTheme="minorHAnsi" w:hAnsiTheme="minorHAnsi"/>
        </w:rPr>
        <w:t xml:space="preserve">But questions of cumulation or concurrency are not to be answered solely by characterising the offending as one or the other, as </w:t>
      </w:r>
      <w:r w:rsidR="0093681F" w:rsidRPr="009541AE">
        <w:rPr>
          <w:rFonts w:asciiTheme="minorHAnsi" w:hAnsiTheme="minorHAnsi"/>
        </w:rPr>
        <w:t xml:space="preserve">Howie J (with whom Adams and Price JJ agreed) </w:t>
      </w:r>
      <w:r w:rsidR="003B327A" w:rsidRPr="009541AE">
        <w:rPr>
          <w:rFonts w:asciiTheme="minorHAnsi" w:hAnsiTheme="minorHAnsi"/>
        </w:rPr>
        <w:t xml:space="preserve">succinctly explained </w:t>
      </w:r>
      <w:r w:rsidR="0093681F" w:rsidRPr="009541AE">
        <w:rPr>
          <w:rFonts w:asciiTheme="minorHAnsi" w:hAnsiTheme="minorHAnsi"/>
        </w:rPr>
        <w:t xml:space="preserve">in </w:t>
      </w:r>
      <w:r w:rsidR="000D5A76" w:rsidRPr="009541AE">
        <w:rPr>
          <w:rFonts w:asciiTheme="minorHAnsi" w:hAnsiTheme="minorHAnsi"/>
          <w:i/>
          <w:iCs/>
        </w:rPr>
        <w:t>Cahyadi</w:t>
      </w:r>
      <w:r w:rsidR="003B327A" w:rsidRPr="009541AE">
        <w:rPr>
          <w:rFonts w:asciiTheme="minorHAnsi" w:hAnsiTheme="minorHAnsi"/>
        </w:rPr>
        <w:t>:</w:t>
      </w:r>
      <w:r w:rsidR="000D5A76" w:rsidRPr="009541AE">
        <w:rPr>
          <w:rStyle w:val="Style"/>
          <w:rFonts w:asciiTheme="minorHAnsi" w:hAnsiTheme="minorHAnsi"/>
        </w:rPr>
        <w:footnoteReference w:id="752"/>
      </w:r>
    </w:p>
    <w:p w14:paraId="0E646B8D" w14:textId="0687A4B2" w:rsidR="000D5A76" w:rsidRDefault="003B327A" w:rsidP="00EB7F1E">
      <w:pPr>
        <w:pStyle w:val="BodyText"/>
        <w:spacing w:line="276" w:lineRule="auto"/>
        <w:ind w:left="720" w:right="170" w:hanging="11"/>
        <w:jc w:val="both"/>
        <w:rPr>
          <w:rFonts w:asciiTheme="minorHAnsi" w:hAnsiTheme="minorHAnsi"/>
          <w:i/>
        </w:rPr>
      </w:pPr>
      <w:r w:rsidRPr="009541AE">
        <w:rPr>
          <w:rFonts w:asciiTheme="minorHAnsi" w:hAnsiTheme="minorHAnsi"/>
          <w:i/>
        </w:rPr>
        <w:t>[T]</w:t>
      </w:r>
      <w:r w:rsidR="000D5A76" w:rsidRPr="009541AE">
        <w:rPr>
          <w:rFonts w:asciiTheme="minorHAnsi" w:hAnsiTheme="minorHAnsi"/>
          <w:i/>
        </w:rPr>
        <w:t xml:space="preserve">here is no general rule that determines whether sentences ought to be imposed concurrently or consecutively. </w:t>
      </w:r>
      <w:r w:rsidRPr="009541AE">
        <w:rPr>
          <w:rFonts w:asciiTheme="minorHAnsi" w:hAnsiTheme="minorHAnsi"/>
          <w:i/>
        </w:rPr>
        <w:t xml:space="preserve"> </w:t>
      </w:r>
      <w:r w:rsidR="000D5A76" w:rsidRPr="009541AE">
        <w:rPr>
          <w:rFonts w:asciiTheme="minorHAnsi" w:hAnsiTheme="minorHAnsi"/>
          <w:i/>
        </w:rPr>
        <w:t>The issue is determined by the application of the principle of totality of criminality: can the sentence for one offence comprehend and reflect the criminality for the other offence?</w:t>
      </w:r>
      <w:r w:rsidRPr="009541AE">
        <w:rPr>
          <w:rFonts w:asciiTheme="minorHAnsi" w:hAnsiTheme="minorHAnsi"/>
          <w:i/>
        </w:rPr>
        <w:t xml:space="preserve"> </w:t>
      </w:r>
      <w:r w:rsidR="000D5A76" w:rsidRPr="009541AE">
        <w:rPr>
          <w:rFonts w:asciiTheme="minorHAnsi" w:hAnsiTheme="minorHAnsi"/>
          <w:i/>
        </w:rPr>
        <w:t xml:space="preserve"> If it can, the sentences ought to be concurrent otherwise there is a risk that the combined sentences will exceed that which is warranted to reflect the total criminality of the two offences.</w:t>
      </w:r>
      <w:r w:rsidRPr="009541AE">
        <w:rPr>
          <w:rFonts w:asciiTheme="minorHAnsi" w:hAnsiTheme="minorHAnsi"/>
          <w:i/>
        </w:rPr>
        <w:t xml:space="preserve"> </w:t>
      </w:r>
      <w:r w:rsidR="000D5A76" w:rsidRPr="009541AE">
        <w:rPr>
          <w:rFonts w:asciiTheme="minorHAnsi" w:hAnsiTheme="minorHAnsi"/>
          <w:i/>
        </w:rPr>
        <w:t xml:space="preserve"> If not, the sentences should be at least partly cumulative otherwise there is a risk that the total sentence will fail to reflect the total criminality of the two offences. </w:t>
      </w:r>
      <w:r w:rsidRPr="009541AE">
        <w:rPr>
          <w:rFonts w:asciiTheme="minorHAnsi" w:hAnsiTheme="minorHAnsi"/>
          <w:i/>
        </w:rPr>
        <w:t xml:space="preserve"> </w:t>
      </w:r>
      <w:r w:rsidR="000D5A76" w:rsidRPr="009541AE">
        <w:rPr>
          <w:rFonts w:asciiTheme="minorHAnsi" w:hAnsiTheme="minorHAnsi"/>
          <w:i/>
        </w:rPr>
        <w:t xml:space="preserve">This is so regardless of whether the two offences represent two discrete acts of criminality or can be regarded as part of a single episode of criminality. </w:t>
      </w:r>
      <w:r w:rsidRPr="009541AE">
        <w:rPr>
          <w:rFonts w:asciiTheme="minorHAnsi" w:hAnsiTheme="minorHAnsi"/>
          <w:i/>
        </w:rPr>
        <w:t xml:space="preserve"> </w:t>
      </w:r>
      <w:r w:rsidR="000D5A76" w:rsidRPr="009541AE">
        <w:rPr>
          <w:rFonts w:asciiTheme="minorHAnsi" w:hAnsiTheme="minorHAnsi"/>
          <w:i/>
        </w:rPr>
        <w:t>Of course it is more likely that, where the offences are discrete and independent criminal acts, the sentence for one offence cannot comprehend the criminality of the other.</w:t>
      </w:r>
      <w:r w:rsidRPr="009541AE">
        <w:rPr>
          <w:rFonts w:asciiTheme="minorHAnsi" w:hAnsiTheme="minorHAnsi"/>
          <w:i/>
        </w:rPr>
        <w:t xml:space="preserve"> </w:t>
      </w:r>
      <w:r w:rsidR="000D5A76" w:rsidRPr="009541AE">
        <w:rPr>
          <w:rFonts w:asciiTheme="minorHAnsi" w:hAnsiTheme="minorHAnsi"/>
          <w:i/>
        </w:rPr>
        <w:t xml:space="preserve"> Similarly, where they are part of a single episode of criminality with common factors, it is more likely that the sentence for one of the offences will reflect the criminality of both.</w:t>
      </w:r>
    </w:p>
    <w:p w14:paraId="021A5B8B" w14:textId="77777777" w:rsidR="000D5A76" w:rsidRPr="00EB7F1E" w:rsidRDefault="000D5A76" w:rsidP="00EB7F1E">
      <w:pPr>
        <w:pStyle w:val="ListParagraph"/>
        <w:rPr>
          <w:rFonts w:asciiTheme="minorHAnsi" w:hAnsiTheme="minorHAnsi"/>
          <w:i/>
        </w:rPr>
      </w:pPr>
    </w:p>
    <w:p w14:paraId="5BD18E0C" w14:textId="78E7FC3E" w:rsidR="00C01565" w:rsidRPr="00C01565" w:rsidRDefault="00C01565" w:rsidP="00C01565">
      <w:pPr>
        <w:pStyle w:val="Heading3"/>
      </w:pPr>
      <w:bookmarkStart w:id="1803" w:name="_Toc10640777"/>
      <w:bookmarkStart w:id="1804" w:name="_Toc10718686"/>
      <w:bookmarkStart w:id="1805" w:name="_Toc10889412"/>
      <w:bookmarkStart w:id="1806" w:name="_Toc10890853"/>
      <w:bookmarkStart w:id="1807" w:name="_Toc11078810"/>
      <w:bookmarkStart w:id="1808" w:name="_Toc11087074"/>
      <w:bookmarkStart w:id="1809" w:name="_Toc11087451"/>
      <w:bookmarkStart w:id="1810" w:name="_Toc11240149"/>
      <w:bookmarkStart w:id="1811" w:name="_Toc11405513"/>
      <w:bookmarkStart w:id="1812" w:name="_Toc11407290"/>
      <w:bookmarkStart w:id="1813" w:name="_Toc11485881"/>
      <w:bookmarkStart w:id="1814" w:name="_Toc11583409"/>
      <w:bookmarkStart w:id="1815" w:name="_Toc11692813"/>
      <w:bookmarkStart w:id="1816" w:name="_Toc11773319"/>
      <w:bookmarkStart w:id="1817" w:name="_Toc11827121"/>
      <w:bookmarkStart w:id="1818" w:name="_Toc11833829"/>
      <w:bookmarkStart w:id="1819" w:name="_Toc11848224"/>
      <w:bookmarkStart w:id="1820" w:name="_Toc11851881"/>
      <w:bookmarkStart w:id="1821" w:name="_Toc12608714"/>
      <w:bookmarkStart w:id="1822" w:name="_Toc12706669"/>
      <w:bookmarkStart w:id="1823" w:name="_Toc12860605"/>
      <w:bookmarkStart w:id="1824" w:name="_Toc12862174"/>
      <w:bookmarkStart w:id="1825" w:name="_Toc12864220"/>
      <w:bookmarkStart w:id="1826" w:name="_Toc13551771"/>
      <w:bookmarkStart w:id="1827" w:name="_Toc13737548"/>
      <w:bookmarkStart w:id="1828" w:name="_Toc13737963"/>
      <w:bookmarkStart w:id="1829" w:name="_Toc25308521"/>
      <w:bookmarkStart w:id="1830" w:name="_Toc10640778"/>
      <w:bookmarkStart w:id="1831" w:name="_Toc10718687"/>
      <w:bookmarkStart w:id="1832" w:name="_Toc10889413"/>
      <w:bookmarkStart w:id="1833" w:name="_Toc10890854"/>
      <w:bookmarkStart w:id="1834" w:name="_Toc11078811"/>
      <w:bookmarkStart w:id="1835" w:name="_Toc11087075"/>
      <w:bookmarkStart w:id="1836" w:name="_Toc11087452"/>
      <w:bookmarkStart w:id="1837" w:name="_Toc11240150"/>
      <w:bookmarkStart w:id="1838" w:name="_Toc11405514"/>
      <w:bookmarkStart w:id="1839" w:name="_Toc11407291"/>
      <w:bookmarkStart w:id="1840" w:name="_Toc11485882"/>
      <w:bookmarkStart w:id="1841" w:name="_Toc11583410"/>
      <w:bookmarkStart w:id="1842" w:name="_Toc11692814"/>
      <w:bookmarkStart w:id="1843" w:name="_Toc11773320"/>
      <w:bookmarkStart w:id="1844" w:name="_Toc11827122"/>
      <w:bookmarkStart w:id="1845" w:name="_Toc11833830"/>
      <w:bookmarkStart w:id="1846" w:name="_Toc11848225"/>
      <w:bookmarkStart w:id="1847" w:name="_Toc11851882"/>
      <w:bookmarkStart w:id="1848" w:name="_Toc12608715"/>
      <w:bookmarkStart w:id="1849" w:name="_Toc12706670"/>
      <w:bookmarkStart w:id="1850" w:name="_Toc12860606"/>
      <w:bookmarkStart w:id="1851" w:name="_Toc12862175"/>
      <w:bookmarkStart w:id="1852" w:name="_Toc12864221"/>
      <w:bookmarkStart w:id="1853" w:name="_Toc13551772"/>
      <w:bookmarkStart w:id="1854" w:name="_Toc13737549"/>
      <w:bookmarkStart w:id="1855" w:name="_Toc13737964"/>
      <w:bookmarkStart w:id="1856" w:name="_Toc25308522"/>
      <w:bookmarkStart w:id="1857" w:name="_Toc10640779"/>
      <w:bookmarkStart w:id="1858" w:name="_Toc10718688"/>
      <w:bookmarkStart w:id="1859" w:name="_Toc10889414"/>
      <w:bookmarkStart w:id="1860" w:name="_Toc10890855"/>
      <w:bookmarkStart w:id="1861" w:name="_Toc11078812"/>
      <w:bookmarkStart w:id="1862" w:name="_Toc11087076"/>
      <w:bookmarkStart w:id="1863" w:name="_Toc11087453"/>
      <w:bookmarkStart w:id="1864" w:name="_Toc11240151"/>
      <w:bookmarkStart w:id="1865" w:name="_Toc11405515"/>
      <w:bookmarkStart w:id="1866" w:name="_Toc11407292"/>
      <w:bookmarkStart w:id="1867" w:name="_Toc11485883"/>
      <w:bookmarkStart w:id="1868" w:name="_Toc11583411"/>
      <w:bookmarkStart w:id="1869" w:name="_Toc11692815"/>
      <w:bookmarkStart w:id="1870" w:name="_Toc11773321"/>
      <w:bookmarkStart w:id="1871" w:name="_Toc11827123"/>
      <w:bookmarkStart w:id="1872" w:name="_Toc11833831"/>
      <w:bookmarkStart w:id="1873" w:name="_Toc11848226"/>
      <w:bookmarkStart w:id="1874" w:name="_Toc11851883"/>
      <w:bookmarkStart w:id="1875" w:name="_Toc12608716"/>
      <w:bookmarkStart w:id="1876" w:name="_Toc12706671"/>
      <w:bookmarkStart w:id="1877" w:name="_Toc12860607"/>
      <w:bookmarkStart w:id="1878" w:name="_Toc12862176"/>
      <w:bookmarkStart w:id="1879" w:name="_Toc12864222"/>
      <w:bookmarkStart w:id="1880" w:name="_Toc13551773"/>
      <w:bookmarkStart w:id="1881" w:name="_Toc13737550"/>
      <w:bookmarkStart w:id="1882" w:name="_Toc13737965"/>
      <w:bookmarkStart w:id="1883" w:name="_Toc25308523"/>
      <w:bookmarkStart w:id="1884" w:name="_Toc9604156"/>
      <w:bookmarkStart w:id="1885" w:name="_Toc10640780"/>
      <w:bookmarkStart w:id="1886" w:name="_Toc10718689"/>
      <w:bookmarkStart w:id="1887" w:name="_Toc10889415"/>
      <w:bookmarkStart w:id="1888" w:name="_Toc10890856"/>
      <w:bookmarkStart w:id="1889" w:name="_Toc10999419"/>
      <w:bookmarkStart w:id="1890" w:name="_Toc11069483"/>
      <w:bookmarkStart w:id="1891" w:name="_Toc11072419"/>
      <w:bookmarkStart w:id="1892" w:name="_Toc11078813"/>
      <w:bookmarkStart w:id="1893" w:name="_Toc11087077"/>
      <w:bookmarkStart w:id="1894" w:name="_Toc11087454"/>
      <w:bookmarkStart w:id="1895" w:name="_Toc11240152"/>
      <w:bookmarkStart w:id="1896" w:name="_Toc11405516"/>
      <w:bookmarkStart w:id="1897" w:name="_Toc11407293"/>
      <w:bookmarkStart w:id="1898" w:name="_Toc11485884"/>
      <w:bookmarkStart w:id="1899" w:name="_Toc11583412"/>
      <w:bookmarkStart w:id="1900" w:name="_Toc11692816"/>
      <w:bookmarkStart w:id="1901" w:name="_Toc11773322"/>
      <w:bookmarkStart w:id="1902" w:name="_Toc11827124"/>
      <w:bookmarkStart w:id="1903" w:name="_Toc11833832"/>
      <w:bookmarkStart w:id="1904" w:name="_Toc11848227"/>
      <w:bookmarkStart w:id="1905" w:name="_Toc11851884"/>
      <w:bookmarkStart w:id="1906" w:name="_Toc12608717"/>
      <w:bookmarkStart w:id="1907" w:name="_Toc12706672"/>
      <w:bookmarkStart w:id="1908" w:name="_Toc12860608"/>
      <w:bookmarkStart w:id="1909" w:name="_Toc12862177"/>
      <w:bookmarkStart w:id="1910" w:name="_Toc12864223"/>
      <w:bookmarkStart w:id="1911" w:name="_Toc13551774"/>
      <w:bookmarkStart w:id="1912" w:name="_Toc13726884"/>
      <w:bookmarkStart w:id="1913" w:name="_Toc13727895"/>
      <w:bookmarkStart w:id="1914" w:name="_Toc13737551"/>
      <w:bookmarkStart w:id="1915" w:name="_Toc13737966"/>
      <w:bookmarkStart w:id="1916" w:name="_Toc25308524"/>
      <w:bookmarkStart w:id="1917" w:name="_Toc33602890"/>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r w:rsidRPr="00C01565">
        <w:t>Different means of giving effect to the requirements of totality</w:t>
      </w:r>
      <w:bookmarkEnd w:id="1917"/>
    </w:p>
    <w:p w14:paraId="0D8EACC5" w14:textId="426DB2FF" w:rsidR="00C01565" w:rsidRPr="00EB7F1E" w:rsidRDefault="00C01565" w:rsidP="00EB7F1E">
      <w:pPr>
        <w:pStyle w:val="NormalIndent"/>
        <w:keepNext/>
        <w:spacing w:line="276" w:lineRule="auto"/>
        <w:jc w:val="both"/>
        <w:rPr>
          <w:rFonts w:ascii="Calibri" w:hAnsi="Calibri"/>
        </w:rPr>
      </w:pPr>
    </w:p>
    <w:p w14:paraId="7C4A90AC" w14:textId="084C92DF" w:rsidR="001D6CB8" w:rsidRDefault="001D6CB8"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In cases where there are multiple terms of imprisonment imposed, the </w:t>
      </w:r>
      <w:r w:rsidR="007652E8" w:rsidRPr="00A81EB8">
        <w:rPr>
          <w:rFonts w:asciiTheme="minorHAnsi" w:hAnsiTheme="minorHAnsi"/>
        </w:rPr>
        <w:t>orthodox</w:t>
      </w:r>
      <w:r w:rsidR="007652E8" w:rsidRPr="00C00000">
        <w:rPr>
          <w:rFonts w:asciiTheme="minorHAnsi" w:hAnsiTheme="minorHAnsi"/>
        </w:rPr>
        <w:t xml:space="preserve"> </w:t>
      </w:r>
      <w:r w:rsidRPr="00C00000">
        <w:rPr>
          <w:rFonts w:asciiTheme="minorHAnsi" w:hAnsiTheme="minorHAnsi"/>
        </w:rPr>
        <w:t xml:space="preserve">approach </w:t>
      </w:r>
      <w:r w:rsidR="007652E8" w:rsidRPr="007652E8">
        <w:rPr>
          <w:rFonts w:asciiTheme="minorHAnsi" w:hAnsiTheme="minorHAnsi"/>
        </w:rPr>
        <w:t>to give effect to the requirements of totality</w:t>
      </w:r>
      <w:r w:rsidR="007652E8" w:rsidRPr="00C00000">
        <w:rPr>
          <w:rFonts w:asciiTheme="minorHAnsi" w:hAnsiTheme="minorHAnsi"/>
        </w:rPr>
        <w:t xml:space="preserve"> </w:t>
      </w:r>
      <w:r w:rsidRPr="00C00000">
        <w:rPr>
          <w:rFonts w:asciiTheme="minorHAnsi" w:hAnsiTheme="minorHAnsi"/>
        </w:rPr>
        <w:t xml:space="preserve">is to impose </w:t>
      </w:r>
      <w:r w:rsidR="007652E8" w:rsidRPr="007652E8">
        <w:rPr>
          <w:rFonts w:asciiTheme="minorHAnsi" w:hAnsiTheme="minorHAnsi"/>
        </w:rPr>
        <w:t>individually appropriate sentences</w:t>
      </w:r>
      <w:r w:rsidR="007652E8" w:rsidRPr="00C00000">
        <w:rPr>
          <w:rFonts w:asciiTheme="minorHAnsi" w:hAnsiTheme="minorHAnsi"/>
        </w:rPr>
        <w:t xml:space="preserve"> </w:t>
      </w:r>
      <w:r w:rsidRPr="00C00000">
        <w:rPr>
          <w:rFonts w:asciiTheme="minorHAnsi" w:hAnsiTheme="minorHAnsi"/>
        </w:rPr>
        <w:t xml:space="preserve">for each </w:t>
      </w:r>
      <w:r w:rsidR="007652E8">
        <w:rPr>
          <w:rFonts w:asciiTheme="minorHAnsi" w:hAnsiTheme="minorHAnsi"/>
        </w:rPr>
        <w:t>offence</w:t>
      </w:r>
      <w:r w:rsidRPr="00C00000">
        <w:rPr>
          <w:rFonts w:asciiTheme="minorHAnsi" w:hAnsiTheme="minorHAnsi"/>
        </w:rPr>
        <w:t xml:space="preserve"> and then</w:t>
      </w:r>
      <w:r w:rsidR="00A81EB8">
        <w:rPr>
          <w:rFonts w:asciiTheme="minorHAnsi" w:hAnsiTheme="minorHAnsi"/>
        </w:rPr>
        <w:t xml:space="preserve"> to </w:t>
      </w:r>
      <w:r w:rsidRPr="00C00000">
        <w:rPr>
          <w:rFonts w:asciiTheme="minorHAnsi" w:hAnsiTheme="minorHAnsi"/>
        </w:rPr>
        <w:t xml:space="preserve">work out the total effective sentence, making such limited orders for cumulation as are fair in order to reach an overall sentence which is not in breach of </w:t>
      </w:r>
      <w:r w:rsidR="00A81EB8" w:rsidRPr="00C00000">
        <w:rPr>
          <w:rFonts w:asciiTheme="minorHAnsi" w:hAnsiTheme="minorHAnsi"/>
        </w:rPr>
        <w:t xml:space="preserve">the principle of totality </w:t>
      </w:r>
      <w:r w:rsidRPr="00C00000">
        <w:rPr>
          <w:rFonts w:asciiTheme="minorHAnsi" w:hAnsiTheme="minorHAnsi"/>
        </w:rPr>
        <w:t>or any other relevant sentencing principle.</w:t>
      </w:r>
      <w:r w:rsidR="007652E8" w:rsidRPr="00C00000">
        <w:rPr>
          <w:rStyle w:val="Style"/>
          <w:rFonts w:asciiTheme="minorHAnsi" w:hAnsiTheme="minorHAnsi"/>
        </w:rPr>
        <w:footnoteReference w:id="753"/>
      </w:r>
      <w:r w:rsidR="00A81EB8" w:rsidRPr="00A81EB8">
        <w:rPr>
          <w:rFonts w:asciiTheme="minorHAnsi" w:hAnsiTheme="minorHAnsi"/>
        </w:rPr>
        <w:t xml:space="preserve"> </w:t>
      </w:r>
      <w:r w:rsidR="00A81EB8">
        <w:rPr>
          <w:rFonts w:asciiTheme="minorHAnsi" w:hAnsiTheme="minorHAnsi"/>
        </w:rPr>
        <w:t xml:space="preserve"> </w:t>
      </w:r>
      <w:r w:rsidR="00A81EB8" w:rsidRPr="007652E8">
        <w:rPr>
          <w:rFonts w:asciiTheme="minorHAnsi" w:hAnsiTheme="minorHAnsi"/>
        </w:rPr>
        <w:t xml:space="preserve">The alternative approach </w:t>
      </w:r>
      <w:r w:rsidR="00A81EB8">
        <w:rPr>
          <w:rFonts w:asciiTheme="minorHAnsi" w:hAnsiTheme="minorHAnsi"/>
        </w:rPr>
        <w:t xml:space="preserve">(known as </w:t>
      </w:r>
      <w:r w:rsidR="00AA693C">
        <w:rPr>
          <w:rFonts w:asciiTheme="minorHAnsi" w:hAnsiTheme="minorHAnsi"/>
        </w:rPr>
        <w:t>‘</w:t>
      </w:r>
      <w:r w:rsidR="00A81EB8" w:rsidRPr="007652E8">
        <w:rPr>
          <w:rFonts w:asciiTheme="minorHAnsi" w:hAnsiTheme="minorHAnsi"/>
        </w:rPr>
        <w:t>moderate and cumulate</w:t>
      </w:r>
      <w:r w:rsidR="00AA693C">
        <w:rPr>
          <w:rFonts w:asciiTheme="minorHAnsi" w:hAnsiTheme="minorHAnsi"/>
        </w:rPr>
        <w:t>’</w:t>
      </w:r>
      <w:r w:rsidR="00EF48BA" w:rsidRPr="00C00000">
        <w:rPr>
          <w:rStyle w:val="Style"/>
          <w:rFonts w:asciiTheme="minorHAnsi" w:hAnsiTheme="minorHAnsi"/>
        </w:rPr>
        <w:footnoteReference w:id="754"/>
      </w:r>
      <w:r w:rsidR="00A81EB8">
        <w:rPr>
          <w:rFonts w:asciiTheme="minorHAnsi" w:hAnsiTheme="minorHAnsi"/>
        </w:rPr>
        <w:t>)</w:t>
      </w:r>
      <w:r w:rsidR="00A81EB8" w:rsidRPr="007652E8">
        <w:rPr>
          <w:rFonts w:asciiTheme="minorHAnsi" w:hAnsiTheme="minorHAnsi"/>
        </w:rPr>
        <w:t xml:space="preserve"> is to accommodate th</w:t>
      </w:r>
      <w:r w:rsidR="00A81EB8">
        <w:rPr>
          <w:rFonts w:asciiTheme="minorHAnsi" w:hAnsiTheme="minorHAnsi"/>
        </w:rPr>
        <w:t>e</w:t>
      </w:r>
      <w:r w:rsidR="00A81EB8" w:rsidRPr="007652E8">
        <w:rPr>
          <w:rFonts w:asciiTheme="minorHAnsi" w:hAnsiTheme="minorHAnsi"/>
        </w:rPr>
        <w:t xml:space="preserve"> principle </w:t>
      </w:r>
      <w:r w:rsidR="00A81EB8">
        <w:rPr>
          <w:rFonts w:asciiTheme="minorHAnsi" w:hAnsiTheme="minorHAnsi"/>
        </w:rPr>
        <w:t xml:space="preserve">of totality </w:t>
      </w:r>
      <w:r w:rsidR="00A81EB8" w:rsidRPr="007652E8">
        <w:rPr>
          <w:rFonts w:asciiTheme="minorHAnsi" w:hAnsiTheme="minorHAnsi"/>
        </w:rPr>
        <w:t>by reducing the individual sentences imposed, but ordering a greater measure of cumulation.</w:t>
      </w:r>
      <w:r w:rsidR="00EF48BA" w:rsidRPr="00C00000">
        <w:rPr>
          <w:rStyle w:val="Style"/>
          <w:rFonts w:asciiTheme="minorHAnsi" w:hAnsiTheme="minorHAnsi"/>
        </w:rPr>
        <w:footnoteReference w:id="755"/>
      </w:r>
      <w:r w:rsidR="00A81EB8" w:rsidRPr="007652E8">
        <w:rPr>
          <w:rFonts w:asciiTheme="minorHAnsi" w:hAnsiTheme="minorHAnsi"/>
        </w:rPr>
        <w:t xml:space="preserve"> </w:t>
      </w:r>
      <w:r w:rsidR="00A81EB8">
        <w:rPr>
          <w:rFonts w:asciiTheme="minorHAnsi" w:hAnsiTheme="minorHAnsi"/>
        </w:rPr>
        <w:t xml:space="preserve"> T</w:t>
      </w:r>
      <w:r w:rsidR="00A81EB8" w:rsidRPr="007652E8">
        <w:rPr>
          <w:rFonts w:asciiTheme="minorHAnsi" w:hAnsiTheme="minorHAnsi"/>
        </w:rPr>
        <w:t xml:space="preserve">he </w:t>
      </w:r>
      <w:r w:rsidR="00A81EB8">
        <w:rPr>
          <w:rFonts w:asciiTheme="minorHAnsi" w:hAnsiTheme="minorHAnsi"/>
        </w:rPr>
        <w:t>first (orthodox)</w:t>
      </w:r>
      <w:r w:rsidR="00A81EB8" w:rsidRPr="007652E8">
        <w:rPr>
          <w:rFonts w:asciiTheme="minorHAnsi" w:hAnsiTheme="minorHAnsi"/>
        </w:rPr>
        <w:t xml:space="preserve"> approach should be departed from only when so</w:t>
      </w:r>
      <w:r w:rsidR="00A81EB8">
        <w:rPr>
          <w:rFonts w:asciiTheme="minorHAnsi" w:hAnsiTheme="minorHAnsi"/>
        </w:rPr>
        <w:t>me special feature of the case</w:t>
      </w:r>
      <w:r w:rsidR="00A81EB8" w:rsidRPr="007652E8">
        <w:rPr>
          <w:rFonts w:asciiTheme="minorHAnsi" w:hAnsiTheme="minorHAnsi"/>
        </w:rPr>
        <w:t xml:space="preserve"> requires such a departure.</w:t>
      </w:r>
      <w:r w:rsidR="00A81EB8" w:rsidRPr="00C00000">
        <w:rPr>
          <w:rStyle w:val="Style"/>
          <w:rFonts w:asciiTheme="minorHAnsi" w:hAnsiTheme="minorHAnsi"/>
        </w:rPr>
        <w:footnoteReference w:id="756"/>
      </w:r>
    </w:p>
    <w:p w14:paraId="2769AFE8" w14:textId="77777777" w:rsidR="00DB5FB4" w:rsidRDefault="00DB5FB4" w:rsidP="00DB5FB4">
      <w:pPr>
        <w:pStyle w:val="ListParagraph"/>
        <w:rPr>
          <w:rFonts w:asciiTheme="minorHAnsi" w:hAnsiTheme="minorHAnsi"/>
        </w:rPr>
      </w:pPr>
    </w:p>
    <w:p w14:paraId="06B4462B" w14:textId="5B09B4D4" w:rsidR="00E55FAB" w:rsidRDefault="00E13358" w:rsidP="006D50C7">
      <w:pPr>
        <w:pStyle w:val="Heading3"/>
      </w:pPr>
      <w:bookmarkStart w:id="1918" w:name="_Toc33602891"/>
      <w:r>
        <w:t>Cumulation or concurrency of a State</w:t>
      </w:r>
      <w:r w:rsidR="00F24F37">
        <w:t>/</w:t>
      </w:r>
      <w:r>
        <w:t>Territory sentence imposed after a federal sentence</w:t>
      </w:r>
      <w:bookmarkEnd w:id="1918"/>
    </w:p>
    <w:p w14:paraId="01E85AD8" w14:textId="77777777" w:rsidR="00EF7A81" w:rsidRPr="00C00000" w:rsidRDefault="00EF7A81" w:rsidP="006D50C7">
      <w:pPr>
        <w:keepNext/>
        <w:spacing w:line="276" w:lineRule="auto"/>
        <w:ind w:left="567" w:hanging="567"/>
        <w:jc w:val="both"/>
        <w:rPr>
          <w:rFonts w:asciiTheme="minorHAnsi" w:hAnsiTheme="minorHAnsi"/>
        </w:rPr>
      </w:pPr>
    </w:p>
    <w:p w14:paraId="0C54F6D5" w14:textId="7CAB190D" w:rsidR="001D6CB8" w:rsidRDefault="001D6CB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19 of the </w:t>
      </w:r>
      <w:r w:rsidR="00885EFD" w:rsidRPr="00885EFD">
        <w:rPr>
          <w:rFonts w:asciiTheme="minorHAnsi" w:hAnsiTheme="minorHAnsi"/>
          <w:i/>
        </w:rPr>
        <w:t>Crimes Act 1914</w:t>
      </w:r>
      <w:r>
        <w:rPr>
          <w:rFonts w:asciiTheme="minorHAnsi" w:hAnsiTheme="minorHAnsi"/>
        </w:rPr>
        <w:t xml:space="preserve"> (Cth) provides </w:t>
      </w:r>
      <w:r w:rsidR="0076253C">
        <w:rPr>
          <w:rFonts w:asciiTheme="minorHAnsi" w:hAnsiTheme="minorHAnsi"/>
        </w:rPr>
        <w:t xml:space="preserve">for </w:t>
      </w:r>
      <w:r>
        <w:rPr>
          <w:rFonts w:asciiTheme="minorHAnsi" w:hAnsiTheme="minorHAnsi"/>
        </w:rPr>
        <w:t>(amongst other things) the cumulation of a federal sentence on</w:t>
      </w:r>
      <w:r w:rsidR="008F5439">
        <w:rPr>
          <w:rFonts w:asciiTheme="minorHAnsi" w:hAnsiTheme="minorHAnsi"/>
        </w:rPr>
        <w:t>,</w:t>
      </w:r>
      <w:r>
        <w:rPr>
          <w:rFonts w:asciiTheme="minorHAnsi" w:hAnsiTheme="minorHAnsi"/>
        </w:rPr>
        <w:t xml:space="preserve"> </w:t>
      </w:r>
      <w:r w:rsidR="008F5439">
        <w:rPr>
          <w:rFonts w:asciiTheme="minorHAnsi" w:hAnsiTheme="minorHAnsi"/>
        </w:rPr>
        <w:t xml:space="preserve">or concurrency with, </w:t>
      </w:r>
      <w:r>
        <w:rPr>
          <w:rFonts w:asciiTheme="minorHAnsi" w:hAnsiTheme="minorHAnsi"/>
        </w:rPr>
        <w:t>a State or Territory sentence of imprisonment, whether that State or Territory sentence</w:t>
      </w:r>
      <w:r w:rsidR="002E2431">
        <w:rPr>
          <w:rFonts w:asciiTheme="minorHAnsi" w:hAnsiTheme="minorHAnsi"/>
        </w:rPr>
        <w:t xml:space="preserve"> has been imposed previously and</w:t>
      </w:r>
      <w:r>
        <w:rPr>
          <w:rFonts w:asciiTheme="minorHAnsi" w:hAnsiTheme="minorHAnsi"/>
        </w:rPr>
        <w:t xml:space="preserve"> is being served at the time of sentencing for the federal offence</w:t>
      </w:r>
      <w:r w:rsidR="002E2431">
        <w:rPr>
          <w:rFonts w:asciiTheme="minorHAnsi" w:hAnsiTheme="minorHAnsi"/>
        </w:rPr>
        <w:t>,</w:t>
      </w:r>
      <w:r>
        <w:rPr>
          <w:rFonts w:asciiTheme="minorHAnsi" w:hAnsiTheme="minorHAnsi"/>
        </w:rPr>
        <w:t xml:space="preserve"> or </w:t>
      </w:r>
      <w:r w:rsidR="002E2431">
        <w:rPr>
          <w:rFonts w:asciiTheme="minorHAnsi" w:hAnsiTheme="minorHAnsi"/>
        </w:rPr>
        <w:t>is imposed at the same time.</w:t>
      </w:r>
    </w:p>
    <w:p w14:paraId="129A3142" w14:textId="77777777" w:rsidR="002E2431" w:rsidRDefault="002E2431" w:rsidP="002E2431">
      <w:pPr>
        <w:widowControl w:val="0"/>
        <w:spacing w:line="276" w:lineRule="auto"/>
        <w:jc w:val="both"/>
        <w:rPr>
          <w:rFonts w:asciiTheme="minorHAnsi" w:hAnsiTheme="minorHAnsi"/>
        </w:rPr>
      </w:pPr>
    </w:p>
    <w:p w14:paraId="0EAF904A" w14:textId="4AECEFB9" w:rsidR="003C142A" w:rsidRDefault="00914AE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 19 does not govern the converse situation, w</w:t>
      </w:r>
      <w:r w:rsidR="001725EC" w:rsidRPr="00C00000">
        <w:rPr>
          <w:rFonts w:asciiTheme="minorHAnsi" w:hAnsiTheme="minorHAnsi"/>
        </w:rPr>
        <w:t xml:space="preserve">here an offender </w:t>
      </w:r>
      <w:r>
        <w:rPr>
          <w:rFonts w:asciiTheme="minorHAnsi" w:hAnsiTheme="minorHAnsi"/>
        </w:rPr>
        <w:t xml:space="preserve">who </w:t>
      </w:r>
      <w:r w:rsidRPr="00C00000">
        <w:rPr>
          <w:rFonts w:asciiTheme="minorHAnsi" w:hAnsiTheme="minorHAnsi"/>
        </w:rPr>
        <w:t xml:space="preserve">is undergoing a federal sentence </w:t>
      </w:r>
      <w:r w:rsidR="001725EC" w:rsidRPr="00C00000">
        <w:rPr>
          <w:rFonts w:asciiTheme="minorHAnsi" w:hAnsiTheme="minorHAnsi"/>
        </w:rPr>
        <w:t xml:space="preserve">is sentenced to imprisonment for a </w:t>
      </w:r>
      <w:r>
        <w:rPr>
          <w:rFonts w:asciiTheme="minorHAnsi" w:hAnsiTheme="minorHAnsi"/>
        </w:rPr>
        <w:t>S</w:t>
      </w:r>
      <w:r w:rsidR="001725EC" w:rsidRPr="00C00000">
        <w:rPr>
          <w:rFonts w:asciiTheme="minorHAnsi" w:hAnsiTheme="minorHAnsi"/>
        </w:rPr>
        <w:t xml:space="preserve">tate </w:t>
      </w:r>
      <w:r>
        <w:rPr>
          <w:rFonts w:asciiTheme="minorHAnsi" w:hAnsiTheme="minorHAnsi"/>
        </w:rPr>
        <w:t xml:space="preserve">or Territory </w:t>
      </w:r>
      <w:r w:rsidR="001725EC" w:rsidRPr="00C00000">
        <w:rPr>
          <w:rFonts w:asciiTheme="minorHAnsi" w:hAnsiTheme="minorHAnsi"/>
        </w:rPr>
        <w:t>offence</w:t>
      </w:r>
      <w:r w:rsidR="00457743">
        <w:rPr>
          <w:rFonts w:asciiTheme="minorHAnsi" w:hAnsiTheme="minorHAnsi"/>
        </w:rPr>
        <w:t>.  In that situation, the law of the State or Territory governs the manner in which concurrency or cumulation of the sentence is achieved.</w:t>
      </w:r>
    </w:p>
    <w:p w14:paraId="14E4C860" w14:textId="77777777" w:rsidR="003C142A" w:rsidRDefault="003C142A" w:rsidP="003C142A">
      <w:pPr>
        <w:pStyle w:val="ListParagraph"/>
        <w:rPr>
          <w:rFonts w:asciiTheme="minorHAnsi" w:hAnsiTheme="minorHAnsi"/>
        </w:rPr>
      </w:pPr>
    </w:p>
    <w:p w14:paraId="6DF623C5" w14:textId="6BF9E3DB" w:rsidR="00410773" w:rsidRDefault="003C142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law</w:t>
      </w:r>
      <w:r w:rsidR="00B77320">
        <w:rPr>
          <w:rFonts w:asciiTheme="minorHAnsi" w:hAnsiTheme="minorHAnsi"/>
        </w:rPr>
        <w:t>s</w:t>
      </w:r>
      <w:r>
        <w:rPr>
          <w:rFonts w:asciiTheme="minorHAnsi" w:hAnsiTheme="minorHAnsi"/>
        </w:rPr>
        <w:t xml:space="preserve"> of some jurisdiction</w:t>
      </w:r>
      <w:r w:rsidR="002B075B">
        <w:rPr>
          <w:rFonts w:asciiTheme="minorHAnsi" w:hAnsiTheme="minorHAnsi"/>
        </w:rPr>
        <w:t>s</w:t>
      </w:r>
      <w:r>
        <w:rPr>
          <w:rFonts w:asciiTheme="minorHAnsi" w:hAnsiTheme="minorHAnsi"/>
        </w:rPr>
        <w:t xml:space="preserve"> specifically provide for the </w:t>
      </w:r>
      <w:r w:rsidR="00A025F3">
        <w:rPr>
          <w:rFonts w:asciiTheme="minorHAnsi" w:hAnsiTheme="minorHAnsi"/>
        </w:rPr>
        <w:t xml:space="preserve">cumulation or concurrency of a State sentence for an offender who is serving a federal sentence.  In </w:t>
      </w:r>
      <w:r w:rsidR="00457743">
        <w:rPr>
          <w:rFonts w:asciiTheme="minorHAnsi" w:hAnsiTheme="minorHAnsi"/>
        </w:rPr>
        <w:t xml:space="preserve">Victoria, for example, </w:t>
      </w:r>
      <w:r w:rsidR="00FF32A2">
        <w:rPr>
          <w:rFonts w:asciiTheme="minorHAnsi" w:hAnsiTheme="minorHAnsi"/>
        </w:rPr>
        <w:t xml:space="preserve">specific provision is made in s 16(4) of the </w:t>
      </w:r>
      <w:r w:rsidR="00FF32A2" w:rsidRPr="00FF32A2">
        <w:rPr>
          <w:rFonts w:asciiTheme="minorHAnsi" w:hAnsiTheme="minorHAnsi"/>
          <w:i/>
        </w:rPr>
        <w:t>Sentencing Act 1991</w:t>
      </w:r>
      <w:r w:rsidR="00FF32A2">
        <w:rPr>
          <w:rFonts w:asciiTheme="minorHAnsi" w:hAnsiTheme="minorHAnsi"/>
        </w:rPr>
        <w:t xml:space="preserve"> (Vic), in </w:t>
      </w:r>
      <w:r w:rsidR="00346567">
        <w:rPr>
          <w:rFonts w:asciiTheme="minorHAnsi" w:hAnsiTheme="minorHAnsi"/>
        </w:rPr>
        <w:t xml:space="preserve">broadly </w:t>
      </w:r>
      <w:r w:rsidR="00FF32A2">
        <w:rPr>
          <w:rFonts w:asciiTheme="minorHAnsi" w:hAnsiTheme="minorHAnsi"/>
        </w:rPr>
        <w:t xml:space="preserve">similar terms to those in s 19 of the </w:t>
      </w:r>
      <w:r w:rsidR="00885EFD" w:rsidRPr="00885EFD">
        <w:rPr>
          <w:rFonts w:asciiTheme="minorHAnsi" w:hAnsiTheme="minorHAnsi"/>
          <w:i/>
        </w:rPr>
        <w:t>Crimes Act 1914</w:t>
      </w:r>
      <w:r w:rsidR="00FF32A2">
        <w:rPr>
          <w:rFonts w:asciiTheme="minorHAnsi" w:hAnsiTheme="minorHAnsi"/>
        </w:rPr>
        <w:t xml:space="preserve"> (Cth).  It requires that when a court imposes a sentence of imprisonment for a Victorian offence on </w:t>
      </w:r>
      <w:r w:rsidR="00915FC3">
        <w:rPr>
          <w:rFonts w:asciiTheme="minorHAnsi" w:hAnsiTheme="minorHAnsi"/>
        </w:rPr>
        <w:t>“</w:t>
      </w:r>
      <w:r w:rsidR="00FF32A2" w:rsidRPr="00915FC3">
        <w:rPr>
          <w:rFonts w:asciiTheme="minorHAnsi" w:hAnsiTheme="minorHAnsi"/>
          <w:i/>
        </w:rPr>
        <w:t>a person already undergoing a sentence or sentences of imprisonment</w:t>
      </w:r>
      <w:r w:rsidR="00915FC3">
        <w:rPr>
          <w:rFonts w:asciiTheme="minorHAnsi" w:hAnsiTheme="minorHAnsi"/>
        </w:rPr>
        <w:t>”</w:t>
      </w:r>
      <w:r w:rsidR="00FF32A2">
        <w:rPr>
          <w:rFonts w:asciiTheme="minorHAnsi" w:hAnsiTheme="minorHAnsi"/>
        </w:rPr>
        <w:t xml:space="preserve"> for a Commonwealth offence, the court “</w:t>
      </w:r>
      <w:r w:rsidR="00FF32A2" w:rsidRPr="00FF32A2">
        <w:rPr>
          <w:rFonts w:asciiTheme="minorHAnsi" w:hAnsiTheme="minorHAnsi"/>
          <w:i/>
        </w:rPr>
        <w:t>must direct when the new term commences</w:t>
      </w:r>
      <w:r w:rsidR="00FF32A2" w:rsidRPr="00FF32A2">
        <w:rPr>
          <w:rFonts w:asciiTheme="minorHAnsi" w:hAnsiTheme="minorHAnsi"/>
        </w:rPr>
        <w:t>”</w:t>
      </w:r>
      <w:r w:rsidR="00FF32A2">
        <w:rPr>
          <w:rFonts w:asciiTheme="minorHAnsi" w:hAnsiTheme="minorHAnsi"/>
        </w:rPr>
        <w:t xml:space="preserve"> (instead of providing for a presumption of concurrency or cumulation as would ordinarily be the case). </w:t>
      </w:r>
      <w:r w:rsidR="00FF32A2" w:rsidRPr="00FF32A2">
        <w:rPr>
          <w:rFonts w:asciiTheme="minorHAnsi" w:hAnsiTheme="minorHAnsi"/>
        </w:rPr>
        <w:t xml:space="preserve"> </w:t>
      </w:r>
      <w:r w:rsidR="0049582B">
        <w:rPr>
          <w:rFonts w:asciiTheme="minorHAnsi" w:hAnsiTheme="minorHAnsi"/>
        </w:rPr>
        <w:t>Section</w:t>
      </w:r>
      <w:r w:rsidR="0049582B" w:rsidRPr="0022099D">
        <w:rPr>
          <w:rFonts w:asciiTheme="minorHAnsi" w:hAnsiTheme="minorHAnsi"/>
        </w:rPr>
        <w:t xml:space="preserve"> 16(4) </w:t>
      </w:r>
      <w:r w:rsidR="0049582B">
        <w:rPr>
          <w:rFonts w:asciiTheme="minorHAnsi" w:hAnsiTheme="minorHAnsi"/>
        </w:rPr>
        <w:t xml:space="preserve">does not permit a sentencing court </w:t>
      </w:r>
      <w:r w:rsidR="0049582B" w:rsidRPr="0022099D">
        <w:rPr>
          <w:rFonts w:asciiTheme="minorHAnsi" w:hAnsiTheme="minorHAnsi"/>
        </w:rPr>
        <w:t xml:space="preserve">to work backwards from the total effective sentence which the </w:t>
      </w:r>
      <w:r w:rsidR="0049582B">
        <w:rPr>
          <w:rFonts w:asciiTheme="minorHAnsi" w:hAnsiTheme="minorHAnsi"/>
        </w:rPr>
        <w:t>court</w:t>
      </w:r>
      <w:r w:rsidR="0049582B" w:rsidRPr="0022099D">
        <w:rPr>
          <w:rFonts w:asciiTheme="minorHAnsi" w:hAnsiTheme="minorHAnsi"/>
        </w:rPr>
        <w:t xml:space="preserve"> intend</w:t>
      </w:r>
      <w:r w:rsidR="0049582B">
        <w:rPr>
          <w:rFonts w:asciiTheme="minorHAnsi" w:hAnsiTheme="minorHAnsi"/>
        </w:rPr>
        <w:t>s</w:t>
      </w:r>
      <w:r w:rsidR="0049582B" w:rsidRPr="0022099D">
        <w:rPr>
          <w:rFonts w:asciiTheme="minorHAnsi" w:hAnsiTheme="minorHAnsi"/>
        </w:rPr>
        <w:t xml:space="preserve"> to achieve and fix upon a starting point for the State sentence to fit that aim</w:t>
      </w:r>
      <w:r w:rsidR="0049582B">
        <w:rPr>
          <w:rFonts w:asciiTheme="minorHAnsi" w:hAnsiTheme="minorHAnsi"/>
        </w:rPr>
        <w:t>; the judge must</w:t>
      </w:r>
      <w:r w:rsidR="0049582B" w:rsidRPr="0022099D">
        <w:rPr>
          <w:rFonts w:asciiTheme="minorHAnsi" w:hAnsiTheme="minorHAnsi"/>
        </w:rPr>
        <w:t xml:space="preserve"> </w:t>
      </w:r>
      <w:r w:rsidR="0049582B">
        <w:rPr>
          <w:rFonts w:asciiTheme="minorHAnsi" w:hAnsiTheme="minorHAnsi"/>
        </w:rPr>
        <w:t xml:space="preserve">address </w:t>
      </w:r>
      <w:r w:rsidR="0049582B" w:rsidRPr="0022099D">
        <w:rPr>
          <w:rFonts w:asciiTheme="minorHAnsi" w:hAnsiTheme="minorHAnsi"/>
        </w:rPr>
        <w:t>the commencement date of the State sentence and specify it in terms.</w:t>
      </w:r>
      <w:r w:rsidR="0049582B" w:rsidRPr="00C00000">
        <w:rPr>
          <w:rStyle w:val="Style"/>
          <w:rFonts w:asciiTheme="minorHAnsi" w:hAnsiTheme="minorHAnsi"/>
        </w:rPr>
        <w:footnoteReference w:id="757"/>
      </w:r>
      <w:r w:rsidR="0049582B">
        <w:rPr>
          <w:rFonts w:asciiTheme="minorHAnsi" w:hAnsiTheme="minorHAnsi"/>
        </w:rPr>
        <w:t xml:space="preserve">  </w:t>
      </w:r>
      <w:r w:rsidR="00FF32A2">
        <w:rPr>
          <w:rFonts w:asciiTheme="minorHAnsi" w:hAnsiTheme="minorHAnsi"/>
        </w:rPr>
        <w:t>The sub-section requires that the commencement d</w:t>
      </w:r>
      <w:r w:rsidR="00346567">
        <w:rPr>
          <w:rFonts w:asciiTheme="minorHAnsi" w:hAnsiTheme="minorHAnsi"/>
        </w:rPr>
        <w:t>ate for the State sentence “</w:t>
      </w:r>
      <w:r w:rsidR="00346567" w:rsidRPr="00346567">
        <w:rPr>
          <w:rFonts w:asciiTheme="minorHAnsi" w:hAnsiTheme="minorHAnsi"/>
          <w:i/>
        </w:rPr>
        <w:t xml:space="preserve">be no later than immediately after … the completion of that sentence or those sentences if a non-parole period or pre-release period (as defined in Part 1B of the </w:t>
      </w:r>
      <w:r w:rsidR="00885EFD" w:rsidRPr="00885EFD">
        <w:rPr>
          <w:rFonts w:asciiTheme="minorHAnsi" w:hAnsiTheme="minorHAnsi"/>
          <w:i/>
        </w:rPr>
        <w:t>Crimes Act 1914</w:t>
      </w:r>
      <w:r w:rsidR="00346567" w:rsidRPr="00346567">
        <w:rPr>
          <w:rFonts w:asciiTheme="minorHAnsi" w:hAnsiTheme="minorHAnsi"/>
          <w:i/>
        </w:rPr>
        <w:t xml:space="preserve"> of the Commonwealth) was not fixed in respect of it or them; or … the end of that period if one was fixed</w:t>
      </w:r>
      <w:r w:rsidR="00346567" w:rsidRPr="00346567">
        <w:rPr>
          <w:rFonts w:asciiTheme="minorHAnsi" w:hAnsiTheme="minorHAnsi"/>
        </w:rPr>
        <w:t>”.</w:t>
      </w:r>
      <w:r w:rsidR="00346567">
        <w:rPr>
          <w:rFonts w:asciiTheme="minorHAnsi" w:hAnsiTheme="minorHAnsi"/>
        </w:rPr>
        <w:t xml:space="preserve">  As is the case with s 19 of the Commonwealth Act, the evident purpose of s 16(4) of the </w:t>
      </w:r>
      <w:r w:rsidR="00346567" w:rsidRPr="00957BBE">
        <w:rPr>
          <w:rFonts w:asciiTheme="minorHAnsi" w:hAnsiTheme="minorHAnsi"/>
          <w:i/>
        </w:rPr>
        <w:t>Sentencing Act 1991</w:t>
      </w:r>
      <w:r w:rsidR="00346567">
        <w:rPr>
          <w:rFonts w:asciiTheme="minorHAnsi" w:hAnsiTheme="minorHAnsi"/>
        </w:rPr>
        <w:t xml:space="preserve"> (Vic) is to ensure that there is no gap between the respective periods of incarceration.</w:t>
      </w:r>
      <w:r w:rsidR="00B92F35" w:rsidRPr="00B92F35">
        <w:rPr>
          <w:rFonts w:asciiTheme="minorHAnsi" w:hAnsiTheme="minorHAnsi"/>
        </w:rPr>
        <w:t xml:space="preserve"> </w:t>
      </w:r>
    </w:p>
    <w:p w14:paraId="0EFD2753" w14:textId="61A70F26" w:rsidR="00410773" w:rsidRDefault="00410773" w:rsidP="00410773">
      <w:pPr>
        <w:widowControl w:val="0"/>
        <w:spacing w:line="276" w:lineRule="auto"/>
        <w:jc w:val="both"/>
        <w:rPr>
          <w:rFonts w:asciiTheme="minorHAnsi" w:hAnsiTheme="minorHAnsi"/>
        </w:rPr>
      </w:pPr>
    </w:p>
    <w:p w14:paraId="47441031" w14:textId="6512DB74" w:rsidR="001725EC" w:rsidRDefault="004A7EB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w:t>
      </w:r>
      <w:r w:rsidR="00410773">
        <w:rPr>
          <w:rFonts w:asciiTheme="minorHAnsi" w:hAnsiTheme="minorHAnsi"/>
        </w:rPr>
        <w:t xml:space="preserve"> 16(4) </w:t>
      </w:r>
      <w:r w:rsidR="00650C2C">
        <w:rPr>
          <w:rFonts w:asciiTheme="minorHAnsi" w:hAnsiTheme="minorHAnsi"/>
        </w:rPr>
        <w:t xml:space="preserve">of the </w:t>
      </w:r>
      <w:r w:rsidR="00650C2C" w:rsidRPr="00957BBE">
        <w:rPr>
          <w:rFonts w:asciiTheme="minorHAnsi" w:hAnsiTheme="minorHAnsi"/>
          <w:i/>
        </w:rPr>
        <w:t>Sentencing Act 1991</w:t>
      </w:r>
      <w:r w:rsidR="00650C2C">
        <w:rPr>
          <w:rFonts w:asciiTheme="minorHAnsi" w:hAnsiTheme="minorHAnsi"/>
        </w:rPr>
        <w:t xml:space="preserve"> (Vic) </w:t>
      </w:r>
      <w:r w:rsidR="0075362C">
        <w:rPr>
          <w:rFonts w:asciiTheme="minorHAnsi" w:hAnsiTheme="minorHAnsi"/>
        </w:rPr>
        <w:t>contains</w:t>
      </w:r>
      <w:r w:rsidR="00EB1E06">
        <w:rPr>
          <w:rFonts w:asciiTheme="minorHAnsi" w:hAnsiTheme="minorHAnsi"/>
        </w:rPr>
        <w:t xml:space="preserve"> no counterpart of s</w:t>
      </w:r>
      <w:r w:rsidR="000848AE">
        <w:rPr>
          <w:rFonts w:asciiTheme="minorHAnsi" w:hAnsiTheme="minorHAnsi"/>
        </w:rPr>
        <w:t>s</w:t>
      </w:r>
      <w:r w:rsidR="00EB1E06">
        <w:rPr>
          <w:rFonts w:asciiTheme="minorHAnsi" w:hAnsiTheme="minorHAnsi"/>
        </w:rPr>
        <w:t xml:space="preserve"> </w:t>
      </w:r>
      <w:r w:rsidR="000848AE">
        <w:rPr>
          <w:rFonts w:asciiTheme="minorHAnsi" w:hAnsiTheme="minorHAnsi"/>
        </w:rPr>
        <w:t xml:space="preserve">19(3) and </w:t>
      </w:r>
      <w:r w:rsidR="00EB1E06">
        <w:rPr>
          <w:rFonts w:asciiTheme="minorHAnsi" w:hAnsiTheme="minorHAnsi"/>
        </w:rPr>
        <w:t xml:space="preserve">19(4) of the </w:t>
      </w:r>
      <w:r w:rsidR="00885EFD" w:rsidRPr="00885EFD">
        <w:rPr>
          <w:rFonts w:asciiTheme="minorHAnsi" w:hAnsiTheme="minorHAnsi"/>
          <w:i/>
        </w:rPr>
        <w:t>Crimes Act 1914</w:t>
      </w:r>
      <w:r w:rsidR="00EB1E06">
        <w:rPr>
          <w:rFonts w:asciiTheme="minorHAnsi" w:hAnsiTheme="minorHAnsi"/>
        </w:rPr>
        <w:t xml:space="preserve"> (Cth).  As a result it is at least doubtful whether</w:t>
      </w:r>
      <w:r w:rsidR="00FB1506">
        <w:rPr>
          <w:rFonts w:asciiTheme="minorHAnsi" w:hAnsiTheme="minorHAnsi"/>
        </w:rPr>
        <w:t xml:space="preserve"> s 16(4) of the </w:t>
      </w:r>
      <w:r w:rsidR="00FB1506" w:rsidRPr="00957BBE">
        <w:rPr>
          <w:rFonts w:asciiTheme="minorHAnsi" w:hAnsiTheme="minorHAnsi"/>
          <w:i/>
        </w:rPr>
        <w:t>Sentencing Act 1991</w:t>
      </w:r>
      <w:r w:rsidR="00FB1506">
        <w:rPr>
          <w:rFonts w:asciiTheme="minorHAnsi" w:hAnsiTheme="minorHAnsi"/>
        </w:rPr>
        <w:t xml:space="preserve"> (Vic)</w:t>
      </w:r>
      <w:r w:rsidR="00EB1E06">
        <w:rPr>
          <w:rFonts w:asciiTheme="minorHAnsi" w:hAnsiTheme="minorHAnsi"/>
        </w:rPr>
        <w:t xml:space="preserve"> </w:t>
      </w:r>
      <w:r w:rsidR="008F5D5C">
        <w:rPr>
          <w:rFonts w:asciiTheme="minorHAnsi" w:hAnsiTheme="minorHAnsi"/>
        </w:rPr>
        <w:t xml:space="preserve">applies to </w:t>
      </w:r>
      <w:r w:rsidR="000848AE">
        <w:rPr>
          <w:rFonts w:asciiTheme="minorHAnsi" w:hAnsiTheme="minorHAnsi"/>
        </w:rPr>
        <w:t xml:space="preserve">the </w:t>
      </w:r>
      <w:r w:rsidR="008F5D5C">
        <w:rPr>
          <w:rFonts w:asciiTheme="minorHAnsi" w:hAnsiTheme="minorHAnsi"/>
        </w:rPr>
        <w:t xml:space="preserve">sentencing of an offender for a State offence </w:t>
      </w:r>
      <w:r w:rsidR="0075362C">
        <w:rPr>
          <w:rFonts w:asciiTheme="minorHAnsi" w:hAnsiTheme="minorHAnsi"/>
        </w:rPr>
        <w:t xml:space="preserve">merely because the offender is also sentenced for </w:t>
      </w:r>
      <w:r w:rsidR="002C6188">
        <w:rPr>
          <w:rFonts w:asciiTheme="minorHAnsi" w:hAnsiTheme="minorHAnsi"/>
        </w:rPr>
        <w:t>a</w:t>
      </w:r>
      <w:r w:rsidR="008F5D5C">
        <w:rPr>
          <w:rFonts w:asciiTheme="minorHAnsi" w:hAnsiTheme="minorHAnsi"/>
        </w:rPr>
        <w:t xml:space="preserve"> Commonwealth</w:t>
      </w:r>
      <w:r w:rsidR="0075362C">
        <w:rPr>
          <w:rFonts w:asciiTheme="minorHAnsi" w:hAnsiTheme="minorHAnsi"/>
        </w:rPr>
        <w:t xml:space="preserve"> offence on the same</w:t>
      </w:r>
      <w:r w:rsidR="008F5D5C">
        <w:rPr>
          <w:rFonts w:asciiTheme="minorHAnsi" w:hAnsiTheme="minorHAnsi"/>
        </w:rPr>
        <w:t xml:space="preserve"> indictment</w:t>
      </w:r>
      <w:r w:rsidR="0075362C">
        <w:rPr>
          <w:rFonts w:asciiTheme="minorHAnsi" w:hAnsiTheme="minorHAnsi"/>
        </w:rPr>
        <w:t>; even if the Commonwealth sentence is pronounced first</w:t>
      </w:r>
      <w:r w:rsidR="00B92F35">
        <w:rPr>
          <w:rFonts w:asciiTheme="minorHAnsi" w:hAnsiTheme="minorHAnsi"/>
        </w:rPr>
        <w:t>,</w:t>
      </w:r>
      <w:r w:rsidR="0075362C">
        <w:rPr>
          <w:rFonts w:asciiTheme="minorHAnsi" w:hAnsiTheme="minorHAnsi"/>
        </w:rPr>
        <w:t xml:space="preserve"> </w:t>
      </w:r>
      <w:r w:rsidR="002C6188">
        <w:rPr>
          <w:rFonts w:asciiTheme="minorHAnsi" w:hAnsiTheme="minorHAnsi"/>
        </w:rPr>
        <w:t xml:space="preserve">it may not be possible to regard </w:t>
      </w:r>
      <w:r w:rsidR="0075362C">
        <w:rPr>
          <w:rFonts w:asciiTheme="minorHAnsi" w:hAnsiTheme="minorHAnsi"/>
        </w:rPr>
        <w:t>the</w:t>
      </w:r>
      <w:r w:rsidR="00410773">
        <w:rPr>
          <w:rFonts w:asciiTheme="minorHAnsi" w:hAnsiTheme="minorHAnsi"/>
        </w:rPr>
        <w:t xml:space="preserve"> offender</w:t>
      </w:r>
      <w:r w:rsidR="00B92F35">
        <w:rPr>
          <w:rFonts w:asciiTheme="minorHAnsi" w:hAnsiTheme="minorHAnsi"/>
        </w:rPr>
        <w:t xml:space="preserve"> </w:t>
      </w:r>
      <w:r w:rsidR="002C6188">
        <w:rPr>
          <w:rFonts w:asciiTheme="minorHAnsi" w:hAnsiTheme="minorHAnsi"/>
        </w:rPr>
        <w:t>(</w:t>
      </w:r>
      <w:r w:rsidR="00B92F35">
        <w:rPr>
          <w:rFonts w:asciiTheme="minorHAnsi" w:hAnsiTheme="minorHAnsi"/>
        </w:rPr>
        <w:t>for that reason alone</w:t>
      </w:r>
      <w:r w:rsidR="002C6188">
        <w:rPr>
          <w:rFonts w:asciiTheme="minorHAnsi" w:hAnsiTheme="minorHAnsi"/>
        </w:rPr>
        <w:t>)</w:t>
      </w:r>
      <w:r w:rsidR="00410773">
        <w:rPr>
          <w:rFonts w:asciiTheme="minorHAnsi" w:hAnsiTheme="minorHAnsi"/>
        </w:rPr>
        <w:t xml:space="preserve"> as “</w:t>
      </w:r>
      <w:r w:rsidR="00915FC3" w:rsidRPr="00915FC3">
        <w:rPr>
          <w:rFonts w:asciiTheme="minorHAnsi" w:hAnsiTheme="minorHAnsi"/>
          <w:i/>
        </w:rPr>
        <w:t xml:space="preserve">a person already undergoing a sentence </w:t>
      </w:r>
      <w:r w:rsidR="00915FC3">
        <w:rPr>
          <w:rFonts w:asciiTheme="minorHAnsi" w:hAnsiTheme="minorHAnsi"/>
          <w:i/>
        </w:rPr>
        <w:t>…</w:t>
      </w:r>
      <w:r w:rsidR="00915FC3" w:rsidRPr="00915FC3">
        <w:rPr>
          <w:rFonts w:asciiTheme="minorHAnsi" w:hAnsiTheme="minorHAnsi"/>
          <w:i/>
        </w:rPr>
        <w:t xml:space="preserve"> of imprisonment</w:t>
      </w:r>
      <w:r w:rsidR="00410773">
        <w:rPr>
          <w:rFonts w:asciiTheme="minorHAnsi" w:hAnsiTheme="minorHAnsi"/>
        </w:rPr>
        <w:t xml:space="preserve">” </w:t>
      </w:r>
      <w:r w:rsidR="00915FC3">
        <w:rPr>
          <w:rFonts w:asciiTheme="minorHAnsi" w:hAnsiTheme="minorHAnsi"/>
        </w:rPr>
        <w:t>for a Commonwealth offence</w:t>
      </w:r>
      <w:r w:rsidR="008F5D5C">
        <w:rPr>
          <w:rFonts w:asciiTheme="minorHAnsi" w:hAnsiTheme="minorHAnsi"/>
        </w:rPr>
        <w:t>.</w:t>
      </w:r>
      <w:r w:rsidR="008F5D5C" w:rsidRPr="00295C71">
        <w:rPr>
          <w:rStyle w:val="Style"/>
          <w:rFonts w:asciiTheme="minorHAnsi" w:hAnsiTheme="minorHAnsi"/>
        </w:rPr>
        <w:footnoteReference w:id="758"/>
      </w:r>
    </w:p>
    <w:p w14:paraId="537EB117" w14:textId="77777777" w:rsidR="00690B0A" w:rsidRDefault="00690B0A" w:rsidP="00690B0A">
      <w:pPr>
        <w:pStyle w:val="ListParagraph"/>
        <w:rPr>
          <w:rFonts w:asciiTheme="minorHAnsi" w:hAnsiTheme="minorHAnsi"/>
        </w:rPr>
      </w:pPr>
    </w:p>
    <w:p w14:paraId="23764286" w14:textId="6C76761F" w:rsidR="00A025F3" w:rsidRPr="00C00000" w:rsidRDefault="0096668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jurisdictions which have no counterpart of s 16(4) of the </w:t>
      </w:r>
      <w:r w:rsidRPr="00957BBE">
        <w:rPr>
          <w:rFonts w:asciiTheme="minorHAnsi" w:hAnsiTheme="minorHAnsi"/>
          <w:i/>
        </w:rPr>
        <w:t>Sentencing Act 1991</w:t>
      </w:r>
      <w:r>
        <w:rPr>
          <w:rFonts w:asciiTheme="minorHAnsi" w:hAnsiTheme="minorHAnsi"/>
        </w:rPr>
        <w:t xml:space="preserve"> (Vic)</w:t>
      </w:r>
      <w:r w:rsidR="00C914E6">
        <w:rPr>
          <w:rFonts w:asciiTheme="minorHAnsi" w:hAnsiTheme="minorHAnsi"/>
        </w:rPr>
        <w:t>,</w:t>
      </w:r>
      <w:r>
        <w:rPr>
          <w:rFonts w:asciiTheme="minorHAnsi" w:hAnsiTheme="minorHAnsi"/>
        </w:rPr>
        <w:t xml:space="preserve"> </w:t>
      </w:r>
      <w:r w:rsidR="00A025F3">
        <w:rPr>
          <w:rFonts w:asciiTheme="minorHAnsi" w:hAnsiTheme="minorHAnsi"/>
        </w:rPr>
        <w:t xml:space="preserve">the position </w:t>
      </w:r>
      <w:r w:rsidR="00C914E6">
        <w:rPr>
          <w:rFonts w:asciiTheme="minorHAnsi" w:hAnsiTheme="minorHAnsi"/>
        </w:rPr>
        <w:t>may be</w:t>
      </w:r>
      <w:r w:rsidR="00A025F3">
        <w:rPr>
          <w:rFonts w:asciiTheme="minorHAnsi" w:hAnsiTheme="minorHAnsi"/>
        </w:rPr>
        <w:t xml:space="preserve"> </w:t>
      </w:r>
      <w:r w:rsidR="00650C2C">
        <w:rPr>
          <w:rFonts w:asciiTheme="minorHAnsi" w:hAnsiTheme="minorHAnsi"/>
        </w:rPr>
        <w:t xml:space="preserve">even </w:t>
      </w:r>
      <w:r w:rsidR="00A025F3">
        <w:rPr>
          <w:rFonts w:asciiTheme="minorHAnsi" w:hAnsiTheme="minorHAnsi"/>
        </w:rPr>
        <w:t xml:space="preserve">less clear. </w:t>
      </w:r>
      <w:r w:rsidR="00955C2A">
        <w:rPr>
          <w:rFonts w:asciiTheme="minorHAnsi" w:hAnsiTheme="minorHAnsi"/>
        </w:rPr>
        <w:t xml:space="preserve"> </w:t>
      </w:r>
      <w:r w:rsidR="00296299">
        <w:rPr>
          <w:rFonts w:asciiTheme="minorHAnsi" w:hAnsiTheme="minorHAnsi"/>
        </w:rPr>
        <w:t xml:space="preserve">Unless explicitly provided for, </w:t>
      </w:r>
      <w:r>
        <w:rPr>
          <w:rFonts w:asciiTheme="minorHAnsi" w:hAnsiTheme="minorHAnsi"/>
        </w:rPr>
        <w:t xml:space="preserve">State </w:t>
      </w:r>
      <w:r w:rsidR="00CF2664">
        <w:rPr>
          <w:rFonts w:asciiTheme="minorHAnsi" w:hAnsiTheme="minorHAnsi"/>
        </w:rPr>
        <w:t xml:space="preserve">or Territory </w:t>
      </w:r>
      <w:r>
        <w:rPr>
          <w:rFonts w:asciiTheme="minorHAnsi" w:hAnsiTheme="minorHAnsi"/>
        </w:rPr>
        <w:t xml:space="preserve">provisions which permit or </w:t>
      </w:r>
      <w:r w:rsidR="00296299">
        <w:rPr>
          <w:rFonts w:asciiTheme="minorHAnsi" w:hAnsiTheme="minorHAnsi"/>
        </w:rPr>
        <w:t>require</w:t>
      </w:r>
      <w:r>
        <w:rPr>
          <w:rFonts w:asciiTheme="minorHAnsi" w:hAnsiTheme="minorHAnsi"/>
        </w:rPr>
        <w:t xml:space="preserve"> the cumulation </w:t>
      </w:r>
      <w:r w:rsidR="00296299">
        <w:rPr>
          <w:rFonts w:asciiTheme="minorHAnsi" w:hAnsiTheme="minorHAnsi"/>
        </w:rPr>
        <w:t>of a State</w:t>
      </w:r>
      <w:r w:rsidR="00CF2664">
        <w:rPr>
          <w:rFonts w:asciiTheme="minorHAnsi" w:hAnsiTheme="minorHAnsi"/>
        </w:rPr>
        <w:t>/Territory</w:t>
      </w:r>
      <w:r w:rsidR="00296299">
        <w:rPr>
          <w:rFonts w:asciiTheme="minorHAnsi" w:hAnsiTheme="minorHAnsi"/>
        </w:rPr>
        <w:t xml:space="preserve"> sentence on a pre-existing sentence may not </w:t>
      </w:r>
      <w:r w:rsidR="00E863F8">
        <w:rPr>
          <w:rFonts w:asciiTheme="minorHAnsi" w:hAnsiTheme="minorHAnsi"/>
        </w:rPr>
        <w:t>be expressed in a way which make</w:t>
      </w:r>
      <w:r w:rsidR="008A0FCA">
        <w:rPr>
          <w:rFonts w:asciiTheme="minorHAnsi" w:hAnsiTheme="minorHAnsi"/>
        </w:rPr>
        <w:t>s</w:t>
      </w:r>
      <w:r w:rsidR="00E863F8">
        <w:rPr>
          <w:rFonts w:asciiTheme="minorHAnsi" w:hAnsiTheme="minorHAnsi"/>
        </w:rPr>
        <w:t xml:space="preserve"> them capable of </w:t>
      </w:r>
      <w:r w:rsidR="00296299">
        <w:rPr>
          <w:rFonts w:asciiTheme="minorHAnsi" w:hAnsiTheme="minorHAnsi"/>
        </w:rPr>
        <w:t>apply</w:t>
      </w:r>
      <w:r w:rsidR="00E863F8">
        <w:rPr>
          <w:rFonts w:asciiTheme="minorHAnsi" w:hAnsiTheme="minorHAnsi"/>
        </w:rPr>
        <w:t>ing</w:t>
      </w:r>
      <w:r w:rsidR="00296299">
        <w:rPr>
          <w:rFonts w:asciiTheme="minorHAnsi" w:hAnsiTheme="minorHAnsi"/>
        </w:rPr>
        <w:t xml:space="preserve"> if the pre-existing sentence is for a federal offence</w:t>
      </w:r>
      <w:r w:rsidR="00955C2A">
        <w:rPr>
          <w:rFonts w:asciiTheme="minorHAnsi" w:hAnsiTheme="minorHAnsi"/>
        </w:rPr>
        <w:t>.</w:t>
      </w:r>
      <w:r w:rsidR="00296299" w:rsidRPr="00295C71">
        <w:rPr>
          <w:rStyle w:val="Style"/>
          <w:rFonts w:asciiTheme="minorHAnsi" w:hAnsiTheme="minorHAnsi"/>
        </w:rPr>
        <w:footnoteReference w:id="759"/>
      </w:r>
    </w:p>
    <w:p w14:paraId="08E6D590" w14:textId="77777777" w:rsidR="001725EC" w:rsidRPr="00C00000" w:rsidRDefault="001725EC" w:rsidP="001725EC">
      <w:pPr>
        <w:widowControl w:val="0"/>
        <w:spacing w:line="276" w:lineRule="auto"/>
        <w:ind w:left="567" w:hanging="567"/>
        <w:jc w:val="both"/>
        <w:rPr>
          <w:rFonts w:asciiTheme="minorHAnsi" w:hAnsiTheme="minorHAnsi"/>
        </w:rPr>
      </w:pPr>
    </w:p>
    <w:p w14:paraId="55186706" w14:textId="10C52446" w:rsidR="00915FC3" w:rsidRDefault="00915FC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State or Territory law which provides for the </w:t>
      </w:r>
      <w:r w:rsidR="00650C2C">
        <w:rPr>
          <w:rFonts w:asciiTheme="minorHAnsi" w:hAnsiTheme="minorHAnsi"/>
        </w:rPr>
        <w:t xml:space="preserve">presumptive or </w:t>
      </w:r>
      <w:r>
        <w:rPr>
          <w:rFonts w:asciiTheme="minorHAnsi" w:hAnsiTheme="minorHAnsi"/>
        </w:rPr>
        <w:t xml:space="preserve">mandatory cumulation of </w:t>
      </w:r>
      <w:r w:rsidR="00650C2C">
        <w:rPr>
          <w:rFonts w:asciiTheme="minorHAnsi" w:hAnsiTheme="minorHAnsi"/>
        </w:rPr>
        <w:t xml:space="preserve">sentences </w:t>
      </w:r>
      <w:r w:rsidR="00955C2A">
        <w:rPr>
          <w:rFonts w:asciiTheme="minorHAnsi" w:hAnsiTheme="minorHAnsi"/>
        </w:rPr>
        <w:t>for certain offences</w:t>
      </w:r>
      <w:r w:rsidR="00A02D43">
        <w:rPr>
          <w:rFonts w:asciiTheme="minorHAnsi" w:hAnsiTheme="minorHAnsi"/>
        </w:rPr>
        <w:t xml:space="preserve"> against State or Territory law </w:t>
      </w:r>
      <w:r w:rsidR="00650C2C">
        <w:rPr>
          <w:rFonts w:asciiTheme="minorHAnsi" w:hAnsiTheme="minorHAnsi"/>
        </w:rPr>
        <w:t xml:space="preserve">may also be triggered by a conviction or sentence for a particular Commonwealth offence.  For example, in Victoria s </w:t>
      </w:r>
      <w:r w:rsidR="00650C2C" w:rsidRPr="00992083">
        <w:rPr>
          <w:rFonts w:asciiTheme="minorHAnsi" w:hAnsiTheme="minorHAnsi"/>
        </w:rPr>
        <w:t xml:space="preserve">6C(3) of the </w:t>
      </w:r>
      <w:r w:rsidR="00650C2C" w:rsidRPr="00992083">
        <w:rPr>
          <w:rFonts w:asciiTheme="minorHAnsi" w:hAnsiTheme="minorHAnsi"/>
          <w:i/>
        </w:rPr>
        <w:t>Sentencing Act 1991</w:t>
      </w:r>
      <w:r w:rsidR="00650C2C" w:rsidRPr="00992083">
        <w:rPr>
          <w:rFonts w:asciiTheme="minorHAnsi" w:hAnsiTheme="minorHAnsi"/>
        </w:rPr>
        <w:t xml:space="preserve"> (Vic) </w:t>
      </w:r>
      <w:r w:rsidR="00650C2C">
        <w:rPr>
          <w:rFonts w:asciiTheme="minorHAnsi" w:hAnsiTheme="minorHAnsi"/>
        </w:rPr>
        <w:t xml:space="preserve">provides (amongst other things) that a </w:t>
      </w:r>
      <w:r w:rsidR="00650C2C" w:rsidRPr="00992083">
        <w:rPr>
          <w:rFonts w:asciiTheme="minorHAnsi" w:hAnsiTheme="minorHAnsi"/>
        </w:rPr>
        <w:t xml:space="preserve">conviction for </w:t>
      </w:r>
      <w:r w:rsidR="00650C2C">
        <w:rPr>
          <w:rFonts w:asciiTheme="minorHAnsi" w:hAnsiTheme="minorHAnsi"/>
        </w:rPr>
        <w:t>a</w:t>
      </w:r>
      <w:r w:rsidR="00650C2C" w:rsidRPr="00992083">
        <w:rPr>
          <w:rFonts w:asciiTheme="minorHAnsi" w:hAnsiTheme="minorHAnsi"/>
        </w:rPr>
        <w:t xml:space="preserve"> particular Commonwealth offence </w:t>
      </w:r>
      <w:r w:rsidR="00650C2C">
        <w:rPr>
          <w:rFonts w:asciiTheme="minorHAnsi" w:hAnsiTheme="minorHAnsi"/>
        </w:rPr>
        <w:t xml:space="preserve">which </w:t>
      </w:r>
      <w:r w:rsidR="00650C2C" w:rsidRPr="00992083">
        <w:rPr>
          <w:rFonts w:asciiTheme="minorHAnsi" w:hAnsiTheme="minorHAnsi"/>
        </w:rPr>
        <w:t xml:space="preserve">is </w:t>
      </w:r>
      <w:r w:rsidR="00AA693C">
        <w:rPr>
          <w:rFonts w:asciiTheme="minorHAnsi" w:hAnsiTheme="minorHAnsi"/>
        </w:rPr>
        <w:t>‘</w:t>
      </w:r>
      <w:r w:rsidR="00650C2C" w:rsidRPr="00992083">
        <w:rPr>
          <w:rFonts w:asciiTheme="minorHAnsi" w:hAnsiTheme="minorHAnsi"/>
        </w:rPr>
        <w:t>substantially similar to</w:t>
      </w:r>
      <w:r w:rsidR="00AA693C">
        <w:rPr>
          <w:rFonts w:asciiTheme="minorHAnsi" w:hAnsiTheme="minorHAnsi"/>
        </w:rPr>
        <w:t>’</w:t>
      </w:r>
      <w:r w:rsidR="00650C2C" w:rsidRPr="00992083">
        <w:rPr>
          <w:rFonts w:asciiTheme="minorHAnsi" w:hAnsiTheme="minorHAnsi"/>
        </w:rPr>
        <w:t xml:space="preserve"> the relevant State offence</w:t>
      </w:r>
      <w:r w:rsidR="00650C2C">
        <w:rPr>
          <w:rFonts w:asciiTheme="minorHAnsi" w:hAnsiTheme="minorHAnsi"/>
        </w:rPr>
        <w:t xml:space="preserve"> may </w:t>
      </w:r>
      <w:r w:rsidR="00650C2C" w:rsidRPr="00992083">
        <w:rPr>
          <w:rFonts w:asciiTheme="minorHAnsi" w:hAnsiTheme="minorHAnsi"/>
        </w:rPr>
        <w:t>trigger the operation of s 6E</w:t>
      </w:r>
      <w:r w:rsidR="00650C2C">
        <w:rPr>
          <w:rFonts w:asciiTheme="minorHAnsi" w:hAnsiTheme="minorHAnsi"/>
        </w:rPr>
        <w:t xml:space="preserve"> of the </w:t>
      </w:r>
      <w:r w:rsidR="00650C2C" w:rsidRPr="00013FF7">
        <w:rPr>
          <w:rFonts w:asciiTheme="minorHAnsi" w:hAnsiTheme="minorHAnsi"/>
          <w:i/>
        </w:rPr>
        <w:t>Sentencing Act</w:t>
      </w:r>
      <w:r w:rsidR="00650C2C">
        <w:rPr>
          <w:rFonts w:asciiTheme="minorHAnsi" w:hAnsiTheme="minorHAnsi"/>
        </w:rPr>
        <w:t>, which provides for the presumptive cumulation of sentences imposed on various classes of serious offender.</w:t>
      </w:r>
      <w:r w:rsidR="00650C2C" w:rsidRPr="00295C71">
        <w:rPr>
          <w:rStyle w:val="Style"/>
          <w:rFonts w:asciiTheme="minorHAnsi" w:hAnsiTheme="minorHAnsi"/>
        </w:rPr>
        <w:footnoteReference w:id="760"/>
      </w:r>
    </w:p>
    <w:p w14:paraId="17DE0679" w14:textId="77777777" w:rsidR="00915FC3" w:rsidRDefault="00915FC3" w:rsidP="00915FC3">
      <w:pPr>
        <w:pStyle w:val="ListParagraph"/>
        <w:rPr>
          <w:rFonts w:asciiTheme="minorHAnsi" w:hAnsiTheme="minorHAnsi"/>
        </w:rPr>
      </w:pPr>
    </w:p>
    <w:p w14:paraId="2AE49256" w14:textId="7366B5D4" w:rsidR="003F540C" w:rsidRDefault="00972A3A" w:rsidP="006D50C7">
      <w:pPr>
        <w:pStyle w:val="Heading3"/>
      </w:pPr>
      <w:bookmarkStart w:id="1919" w:name="_Ref11051655"/>
      <w:bookmarkStart w:id="1920" w:name="_Ref11051658"/>
      <w:bookmarkStart w:id="1921" w:name="_Toc33602892"/>
      <w:r>
        <w:t>Fixing cumulation or concurrency in s</w:t>
      </w:r>
      <w:r w:rsidR="003F540C">
        <w:t>entencing for Commonwealth and State/Territory offences in the same indictment</w:t>
      </w:r>
      <w:bookmarkEnd w:id="1919"/>
      <w:bookmarkEnd w:id="1920"/>
      <w:bookmarkEnd w:id="1921"/>
    </w:p>
    <w:p w14:paraId="052E8FAD" w14:textId="77777777" w:rsidR="003F540C" w:rsidRPr="003F540C" w:rsidRDefault="003F540C" w:rsidP="006D50C7">
      <w:pPr>
        <w:pStyle w:val="ListParagraph"/>
        <w:keepNext/>
        <w:spacing w:line="276" w:lineRule="auto"/>
        <w:ind w:left="567"/>
        <w:contextualSpacing w:val="0"/>
        <w:rPr>
          <w:rFonts w:asciiTheme="minorHAnsi" w:hAnsiTheme="minorHAnsi"/>
        </w:rPr>
      </w:pPr>
    </w:p>
    <w:p w14:paraId="43A56AE4" w14:textId="4257CE97" w:rsidR="00E863F8" w:rsidRDefault="00E863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It should be apparent from the foregoing summary that in</w:t>
      </w:r>
      <w:r w:rsidR="003F540C">
        <w:rPr>
          <w:rFonts w:asciiTheme="minorHAnsi" w:hAnsiTheme="minorHAnsi"/>
        </w:rPr>
        <w:t xml:space="preserve"> </w:t>
      </w:r>
      <w:r w:rsidR="00C120AE">
        <w:rPr>
          <w:rFonts w:asciiTheme="minorHAnsi" w:hAnsiTheme="minorHAnsi"/>
        </w:rPr>
        <w:t xml:space="preserve">imposing terms of imprisonment </w:t>
      </w:r>
      <w:r w:rsidR="00743C34">
        <w:rPr>
          <w:rFonts w:asciiTheme="minorHAnsi" w:hAnsiTheme="minorHAnsi"/>
        </w:rPr>
        <w:t>o</w:t>
      </w:r>
      <w:r w:rsidR="003F540C">
        <w:rPr>
          <w:rFonts w:asciiTheme="minorHAnsi" w:hAnsiTheme="minorHAnsi"/>
        </w:rPr>
        <w:t xml:space="preserve">n </w:t>
      </w:r>
      <w:r w:rsidR="00C120AE">
        <w:rPr>
          <w:rFonts w:asciiTheme="minorHAnsi" w:hAnsiTheme="minorHAnsi"/>
        </w:rPr>
        <w:t xml:space="preserve">an offender charged on a </w:t>
      </w:r>
      <w:r w:rsidR="003F540C">
        <w:rPr>
          <w:rFonts w:asciiTheme="minorHAnsi" w:hAnsiTheme="minorHAnsi"/>
        </w:rPr>
        <w:t xml:space="preserve">joint indictment (that is, where the offender is </w:t>
      </w:r>
      <w:r w:rsidR="00483584">
        <w:rPr>
          <w:rFonts w:asciiTheme="minorHAnsi" w:hAnsiTheme="minorHAnsi"/>
        </w:rPr>
        <w:t>to be sentenced for both Commonwealth and State/Territory offences), pitfalls abound</w:t>
      </w:r>
      <w:r w:rsidR="00743C34">
        <w:rPr>
          <w:rFonts w:asciiTheme="minorHAnsi" w:hAnsiTheme="minorHAnsi"/>
        </w:rPr>
        <w:t xml:space="preserve"> </w:t>
      </w:r>
      <w:r w:rsidR="00C120AE">
        <w:rPr>
          <w:rFonts w:asciiTheme="minorHAnsi" w:hAnsiTheme="minorHAnsi"/>
        </w:rPr>
        <w:t xml:space="preserve">(particularly, but not exclusively, </w:t>
      </w:r>
      <w:r w:rsidR="00743C34">
        <w:rPr>
          <w:rFonts w:asciiTheme="minorHAnsi" w:hAnsiTheme="minorHAnsi"/>
        </w:rPr>
        <w:t>with regard to ordering cumulation or concurrency of sentences of imprisonment</w:t>
      </w:r>
      <w:r w:rsidR="00C120AE">
        <w:rPr>
          <w:rFonts w:asciiTheme="minorHAnsi" w:hAnsiTheme="minorHAnsi"/>
        </w:rPr>
        <w:t>)</w:t>
      </w:r>
      <w:r w:rsidR="00483584">
        <w:rPr>
          <w:rFonts w:asciiTheme="minorHAnsi" w:hAnsiTheme="minorHAnsi"/>
        </w:rPr>
        <w:t>.</w:t>
      </w:r>
      <w:r w:rsidR="00F92293">
        <w:rPr>
          <w:rFonts w:asciiTheme="minorHAnsi" w:hAnsiTheme="minorHAnsi"/>
        </w:rPr>
        <w:t xml:space="preserve">  As the Victorian Court of Appeal </w:t>
      </w:r>
      <w:r w:rsidR="004415C2">
        <w:rPr>
          <w:rFonts w:asciiTheme="minorHAnsi" w:hAnsiTheme="minorHAnsi"/>
        </w:rPr>
        <w:t>observed</w:t>
      </w:r>
      <w:r w:rsidR="00F92293" w:rsidRPr="00F92293">
        <w:rPr>
          <w:rFonts w:asciiTheme="minorHAnsi" w:hAnsiTheme="minorHAnsi"/>
        </w:rPr>
        <w:t xml:space="preserve"> </w:t>
      </w:r>
      <w:r w:rsidR="00F92293">
        <w:rPr>
          <w:rFonts w:asciiTheme="minorHAnsi" w:hAnsiTheme="minorHAnsi"/>
        </w:rPr>
        <w:t xml:space="preserve">in </w:t>
      </w:r>
      <w:r w:rsidR="00F92293" w:rsidRPr="00F92293">
        <w:rPr>
          <w:rFonts w:asciiTheme="minorHAnsi" w:hAnsiTheme="minorHAnsi"/>
          <w:i/>
        </w:rPr>
        <w:t>Swingler</w:t>
      </w:r>
      <w:r w:rsidR="00F92293">
        <w:rPr>
          <w:rFonts w:asciiTheme="minorHAnsi" w:hAnsiTheme="minorHAnsi"/>
        </w:rPr>
        <w:t>,</w:t>
      </w:r>
      <w:r w:rsidR="00F92293" w:rsidRPr="00295C71">
        <w:rPr>
          <w:rStyle w:val="Style"/>
          <w:rFonts w:asciiTheme="minorHAnsi" w:hAnsiTheme="minorHAnsi"/>
        </w:rPr>
        <w:footnoteReference w:id="761"/>
      </w:r>
      <w:r w:rsidR="00F92293">
        <w:rPr>
          <w:rFonts w:asciiTheme="minorHAnsi" w:hAnsiTheme="minorHAnsi"/>
        </w:rPr>
        <w:t xml:space="preserve"> “</w:t>
      </w:r>
      <w:r w:rsidR="00F92293" w:rsidRPr="00F92293">
        <w:rPr>
          <w:rFonts w:asciiTheme="minorHAnsi" w:hAnsiTheme="minorHAnsi"/>
          <w:i/>
        </w:rPr>
        <w:t>This entire area is fraught with unnecessary complexity, and is full of hidden traps for the unwary.</w:t>
      </w:r>
      <w:r w:rsidR="00F92293">
        <w:rPr>
          <w:rFonts w:asciiTheme="minorHAnsi" w:hAnsiTheme="minorHAnsi"/>
        </w:rPr>
        <w:t>”</w:t>
      </w:r>
    </w:p>
    <w:p w14:paraId="2959802C" w14:textId="77777777" w:rsidR="00E863F8" w:rsidRDefault="00E863F8" w:rsidP="00E863F8">
      <w:pPr>
        <w:widowControl w:val="0"/>
        <w:spacing w:line="276" w:lineRule="auto"/>
        <w:jc w:val="both"/>
        <w:rPr>
          <w:rFonts w:asciiTheme="minorHAnsi" w:hAnsiTheme="minorHAnsi"/>
        </w:rPr>
      </w:pPr>
    </w:p>
    <w:p w14:paraId="4CF2F6F3" w14:textId="06A2F937" w:rsidR="0022195F" w:rsidRPr="003F540C" w:rsidRDefault="00743C3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743C34">
        <w:rPr>
          <w:rFonts w:asciiTheme="minorHAnsi" w:hAnsiTheme="minorHAnsi"/>
          <w:i/>
        </w:rPr>
        <w:t>Swingler</w:t>
      </w:r>
      <w:r>
        <w:rPr>
          <w:rFonts w:asciiTheme="minorHAnsi" w:hAnsiTheme="minorHAnsi"/>
        </w:rPr>
        <w:t xml:space="preserve">, the </w:t>
      </w:r>
      <w:r w:rsidR="00C120AE">
        <w:rPr>
          <w:rFonts w:asciiTheme="minorHAnsi" w:hAnsiTheme="minorHAnsi"/>
        </w:rPr>
        <w:t xml:space="preserve">Court </w:t>
      </w:r>
      <w:r>
        <w:rPr>
          <w:rFonts w:asciiTheme="minorHAnsi" w:hAnsiTheme="minorHAnsi"/>
        </w:rPr>
        <w:t>identified three possible approaches to be taken by a sentencing court</w:t>
      </w:r>
      <w:r w:rsidR="006E00AA">
        <w:rPr>
          <w:rFonts w:asciiTheme="minorHAnsi" w:hAnsiTheme="minorHAnsi"/>
        </w:rPr>
        <w:t xml:space="preserve"> in such a case</w:t>
      </w:r>
      <w:r w:rsidR="0022195F" w:rsidRPr="003F540C">
        <w:rPr>
          <w:rFonts w:asciiTheme="minorHAnsi" w:hAnsiTheme="minorHAnsi"/>
        </w:rPr>
        <w:t>:</w:t>
      </w:r>
      <w:r w:rsidR="00E863F8" w:rsidRPr="00295C71">
        <w:rPr>
          <w:rStyle w:val="Style"/>
          <w:rFonts w:asciiTheme="minorHAnsi" w:hAnsiTheme="minorHAnsi"/>
        </w:rPr>
        <w:footnoteReference w:id="762"/>
      </w:r>
    </w:p>
    <w:p w14:paraId="1FF8AB09" w14:textId="793E25BD" w:rsidR="0022195F" w:rsidRPr="00EB7F1E" w:rsidRDefault="0022195F" w:rsidP="00EB7F1E">
      <w:pPr>
        <w:pStyle w:val="BodyText"/>
        <w:spacing w:line="276" w:lineRule="auto"/>
        <w:ind w:left="1134" w:right="170" w:hanging="425"/>
        <w:jc w:val="both"/>
        <w:rPr>
          <w:rFonts w:asciiTheme="minorHAnsi" w:hAnsiTheme="minorHAnsi"/>
          <w:i/>
        </w:rPr>
      </w:pPr>
      <w:r w:rsidRPr="00955C2A">
        <w:rPr>
          <w:rFonts w:asciiTheme="minorHAnsi" w:hAnsiTheme="minorHAnsi"/>
          <w:i/>
        </w:rPr>
        <w:t>1.</w:t>
      </w:r>
      <w:r w:rsidR="00743C34" w:rsidRPr="00955C2A">
        <w:rPr>
          <w:rFonts w:asciiTheme="minorHAnsi" w:hAnsiTheme="minorHAnsi"/>
          <w:i/>
        </w:rPr>
        <w:tab/>
      </w:r>
      <w:r w:rsidRPr="00955C2A">
        <w:rPr>
          <w:rFonts w:asciiTheme="minorHAnsi" w:hAnsiTheme="minorHAnsi"/>
          <w:i/>
        </w:rPr>
        <w:t>The judge can simply sentence for each offence on the indictment, in the order in which each offence is listed.</w:t>
      </w:r>
      <w:r w:rsidR="00743C34" w:rsidRPr="00955C2A">
        <w:rPr>
          <w:rFonts w:asciiTheme="minorHAnsi" w:hAnsiTheme="minorHAnsi"/>
          <w:i/>
        </w:rPr>
        <w:t xml:space="preserve"> </w:t>
      </w:r>
      <w:r w:rsidRPr="00955C2A">
        <w:rPr>
          <w:rFonts w:asciiTheme="minorHAnsi" w:hAnsiTheme="minorHAnsi"/>
          <w:i/>
        </w:rPr>
        <w:t xml:space="preserve"> He or she can then differentiate between them by making orders as to cumulation or concurrency with regard to the State offences and orders as to commencement with regard to the Commonwealth offences. </w:t>
      </w:r>
      <w:r w:rsidR="006E00AA" w:rsidRPr="00955C2A">
        <w:rPr>
          <w:rFonts w:asciiTheme="minorHAnsi" w:hAnsiTheme="minorHAnsi"/>
          <w:i/>
        </w:rPr>
        <w:t>…</w:t>
      </w:r>
      <w:r w:rsidR="006E00AA" w:rsidRPr="00EB7F1E">
        <w:rPr>
          <w:rFonts w:asciiTheme="minorHAnsi" w:hAnsiTheme="minorHAnsi"/>
          <w:i/>
        </w:rPr>
        <w:t xml:space="preserve"> </w:t>
      </w:r>
      <w:r w:rsidR="006E00AA" w:rsidRPr="00EB7F1E">
        <w:rPr>
          <w:rFonts w:asciiTheme="minorHAnsi" w:hAnsiTheme="minorHAnsi"/>
          <w:iCs/>
        </w:rPr>
        <w:t>[</w:t>
      </w:r>
      <w:r w:rsidR="00743C34" w:rsidRPr="00EB7F1E">
        <w:rPr>
          <w:rFonts w:asciiTheme="minorHAnsi" w:hAnsiTheme="minorHAnsi"/>
          <w:iCs/>
        </w:rPr>
        <w:t xml:space="preserve">The Court noted that the </w:t>
      </w:r>
      <w:r w:rsidRPr="00EB7F1E">
        <w:rPr>
          <w:rFonts w:asciiTheme="minorHAnsi" w:hAnsiTheme="minorHAnsi"/>
          <w:iCs/>
        </w:rPr>
        <w:t>sentencing judge</w:t>
      </w:r>
      <w:r w:rsidR="00AA693C" w:rsidRPr="00EB7F1E">
        <w:rPr>
          <w:rFonts w:asciiTheme="minorHAnsi" w:hAnsiTheme="minorHAnsi"/>
          <w:iCs/>
        </w:rPr>
        <w:t>’</w:t>
      </w:r>
      <w:r w:rsidR="00743C34" w:rsidRPr="00EB7F1E">
        <w:rPr>
          <w:rFonts w:asciiTheme="minorHAnsi" w:hAnsiTheme="minorHAnsi"/>
          <w:iCs/>
        </w:rPr>
        <w:t xml:space="preserve">s adoption of this </w:t>
      </w:r>
      <w:r w:rsidRPr="00EB7F1E">
        <w:rPr>
          <w:rFonts w:asciiTheme="minorHAnsi" w:hAnsiTheme="minorHAnsi"/>
          <w:iCs/>
        </w:rPr>
        <w:t>approach in th</w:t>
      </w:r>
      <w:r w:rsidR="00F92293" w:rsidRPr="00EB7F1E">
        <w:rPr>
          <w:rFonts w:asciiTheme="minorHAnsi" w:hAnsiTheme="minorHAnsi"/>
          <w:iCs/>
        </w:rPr>
        <w:t>e instant</w:t>
      </w:r>
      <w:r w:rsidRPr="00EB7F1E">
        <w:rPr>
          <w:rFonts w:asciiTheme="minorHAnsi" w:hAnsiTheme="minorHAnsi"/>
          <w:iCs/>
        </w:rPr>
        <w:t xml:space="preserve"> case </w:t>
      </w:r>
      <w:r w:rsidR="00743C34" w:rsidRPr="00EB7F1E">
        <w:rPr>
          <w:rFonts w:asciiTheme="minorHAnsi" w:hAnsiTheme="minorHAnsi"/>
          <w:iCs/>
        </w:rPr>
        <w:t>“</w:t>
      </w:r>
      <w:r w:rsidRPr="00EB7F1E">
        <w:rPr>
          <w:rFonts w:asciiTheme="minorHAnsi" w:hAnsiTheme="minorHAnsi"/>
          <w:iCs/>
        </w:rPr>
        <w:t>was not an unqualified success</w:t>
      </w:r>
      <w:r w:rsidR="00743C34" w:rsidRPr="00EB7F1E">
        <w:rPr>
          <w:rFonts w:asciiTheme="minorHAnsi" w:hAnsiTheme="minorHAnsi"/>
          <w:iCs/>
        </w:rPr>
        <w:t>”</w:t>
      </w:r>
      <w:r w:rsidRPr="00EB7F1E">
        <w:rPr>
          <w:rFonts w:asciiTheme="minorHAnsi" w:hAnsiTheme="minorHAnsi"/>
          <w:iCs/>
        </w:rPr>
        <w:t>.</w:t>
      </w:r>
      <w:r w:rsidR="006E00AA" w:rsidRPr="00EB7F1E">
        <w:rPr>
          <w:rFonts w:asciiTheme="minorHAnsi" w:hAnsiTheme="minorHAnsi"/>
          <w:iCs/>
        </w:rPr>
        <w:t>]</w:t>
      </w:r>
    </w:p>
    <w:p w14:paraId="21C63B2F" w14:textId="6857629B" w:rsidR="0022195F" w:rsidRPr="00955C2A" w:rsidRDefault="0022195F" w:rsidP="00EB7F1E">
      <w:pPr>
        <w:pStyle w:val="BodyText"/>
        <w:spacing w:line="276" w:lineRule="auto"/>
        <w:ind w:left="1134" w:right="170" w:hanging="425"/>
        <w:jc w:val="both"/>
        <w:rPr>
          <w:rFonts w:asciiTheme="minorHAnsi" w:hAnsiTheme="minorHAnsi"/>
          <w:i/>
        </w:rPr>
      </w:pPr>
      <w:r w:rsidRPr="00955C2A">
        <w:rPr>
          <w:rFonts w:asciiTheme="minorHAnsi" w:hAnsiTheme="minorHAnsi"/>
          <w:i/>
        </w:rPr>
        <w:t>2.</w:t>
      </w:r>
      <w:r w:rsidR="00743C34" w:rsidRPr="00955C2A">
        <w:rPr>
          <w:rFonts w:asciiTheme="minorHAnsi" w:hAnsiTheme="minorHAnsi"/>
          <w:i/>
        </w:rPr>
        <w:tab/>
      </w:r>
      <w:r w:rsidRPr="00955C2A">
        <w:rPr>
          <w:rFonts w:asciiTheme="minorHAnsi" w:hAnsiTheme="minorHAnsi"/>
          <w:i/>
        </w:rPr>
        <w:t xml:space="preserve">The judge can group all the State offences together, and first sentence upon them individually. </w:t>
      </w:r>
      <w:r w:rsidR="006E00AA" w:rsidRPr="00955C2A">
        <w:rPr>
          <w:rFonts w:asciiTheme="minorHAnsi" w:hAnsiTheme="minorHAnsi"/>
          <w:i/>
        </w:rPr>
        <w:t xml:space="preserve"> </w:t>
      </w:r>
      <w:r w:rsidRPr="00955C2A">
        <w:rPr>
          <w:rFonts w:asciiTheme="minorHAnsi" w:hAnsiTheme="minorHAnsi"/>
          <w:i/>
        </w:rPr>
        <w:t xml:space="preserve">This has the advantage of enabling the sentences for the Commonwealth offences to be directed to commence at, for example, the expiration of the relevant State non-parole period. </w:t>
      </w:r>
      <w:r w:rsidR="006E00AA" w:rsidRPr="00955C2A">
        <w:rPr>
          <w:rFonts w:asciiTheme="minorHAnsi" w:hAnsiTheme="minorHAnsi"/>
          <w:i/>
        </w:rPr>
        <w:t xml:space="preserve"> </w:t>
      </w:r>
      <w:r w:rsidRPr="00955C2A">
        <w:rPr>
          <w:rFonts w:asciiTheme="minorHAnsi" w:hAnsiTheme="minorHAnsi"/>
          <w:i/>
        </w:rPr>
        <w:t>That avoids any gap in the custodial term, and seemingly simplifies the process, by ensuring that relevant rules as to cumulation and concurrency are applied appropriately, and within the proper sphere of each sentencing regime.</w:t>
      </w:r>
    </w:p>
    <w:p w14:paraId="4CD9356B" w14:textId="40747A5A" w:rsidR="0022195F" w:rsidRPr="00EB7F1E" w:rsidRDefault="0022195F" w:rsidP="00EB7F1E">
      <w:pPr>
        <w:pStyle w:val="BodyText"/>
        <w:spacing w:line="276" w:lineRule="auto"/>
        <w:ind w:left="1134" w:right="170" w:hanging="425"/>
        <w:jc w:val="both"/>
        <w:rPr>
          <w:rFonts w:asciiTheme="minorHAnsi" w:hAnsiTheme="minorHAnsi"/>
          <w:i/>
        </w:rPr>
      </w:pPr>
      <w:r w:rsidRPr="00955C2A">
        <w:rPr>
          <w:rFonts w:asciiTheme="minorHAnsi" w:hAnsiTheme="minorHAnsi"/>
          <w:i/>
        </w:rPr>
        <w:t>3.</w:t>
      </w:r>
      <w:r w:rsidR="00743C34" w:rsidRPr="00955C2A">
        <w:rPr>
          <w:rFonts w:asciiTheme="minorHAnsi" w:hAnsiTheme="minorHAnsi"/>
          <w:i/>
        </w:rPr>
        <w:tab/>
      </w:r>
      <w:r w:rsidRPr="00955C2A">
        <w:rPr>
          <w:rFonts w:asciiTheme="minorHAnsi" w:hAnsiTheme="minorHAnsi"/>
          <w:i/>
        </w:rPr>
        <w:t>The judge can group all the Commonwealth offences together, and deal with them first. This potentially gives rise to the difficulty that State offences ordinarily operate from the date of sentence, as per s 17(1) of the Sentencing Act</w:t>
      </w:r>
      <w:r w:rsidR="00955C2A" w:rsidRPr="00EB7F1E">
        <w:rPr>
          <w:rFonts w:asciiTheme="minorHAnsi" w:hAnsiTheme="minorHAnsi"/>
          <w:i/>
        </w:rPr>
        <w:t xml:space="preserve"> </w:t>
      </w:r>
      <w:r w:rsidR="00955C2A" w:rsidRPr="00EB7F1E">
        <w:rPr>
          <w:rFonts w:asciiTheme="minorHAnsi" w:hAnsiTheme="minorHAnsi"/>
          <w:iCs/>
        </w:rPr>
        <w:t xml:space="preserve">[i.e. </w:t>
      </w:r>
      <w:r w:rsidR="00955C2A" w:rsidRPr="00701D07">
        <w:rPr>
          <w:rFonts w:asciiTheme="minorHAnsi" w:hAnsiTheme="minorHAnsi"/>
          <w:i/>
        </w:rPr>
        <w:t>Sentencing Act 1991</w:t>
      </w:r>
      <w:r w:rsidR="00955C2A" w:rsidRPr="00EB7F1E">
        <w:rPr>
          <w:rFonts w:asciiTheme="minorHAnsi" w:hAnsiTheme="minorHAnsi"/>
          <w:iCs/>
        </w:rPr>
        <w:t xml:space="preserve"> (Vic)]</w:t>
      </w:r>
      <w:r w:rsidRPr="00EB7F1E">
        <w:rPr>
          <w:rFonts w:asciiTheme="minorHAnsi" w:hAnsiTheme="minorHAnsi"/>
          <w:i/>
        </w:rPr>
        <w:t>.</w:t>
      </w:r>
      <w:r w:rsidR="006E00AA" w:rsidRPr="00EB7F1E">
        <w:rPr>
          <w:rFonts w:asciiTheme="minorHAnsi" w:hAnsiTheme="minorHAnsi"/>
          <w:i/>
        </w:rPr>
        <w:t xml:space="preserve"> </w:t>
      </w:r>
      <w:r w:rsidRPr="00EB7F1E">
        <w:rPr>
          <w:rFonts w:asciiTheme="minorHAnsi" w:hAnsiTheme="minorHAnsi"/>
          <w:i/>
        </w:rPr>
        <w:t xml:space="preserve"> </w:t>
      </w:r>
      <w:r w:rsidRPr="00955C2A">
        <w:rPr>
          <w:rFonts w:asciiTheme="minorHAnsi" w:hAnsiTheme="minorHAnsi"/>
          <w:i/>
        </w:rPr>
        <w:t>They cannot, as a general proposition, be made to commence at the expiration of a Commonwealth sentence, subject only to s 16(4).</w:t>
      </w:r>
      <w:r w:rsidR="00955C2A">
        <w:rPr>
          <w:rFonts w:asciiTheme="minorHAnsi" w:hAnsiTheme="minorHAnsi"/>
          <w:i/>
        </w:rPr>
        <w:t xml:space="preserve">” </w:t>
      </w:r>
      <w:r w:rsidRPr="00955C2A">
        <w:rPr>
          <w:rFonts w:asciiTheme="minorHAnsi" w:hAnsiTheme="minorHAnsi"/>
          <w:i/>
        </w:rPr>
        <w:t xml:space="preserve"> </w:t>
      </w:r>
      <w:r w:rsidR="00F92293" w:rsidRPr="00EB7F1E">
        <w:rPr>
          <w:rFonts w:asciiTheme="minorHAnsi" w:hAnsiTheme="minorHAnsi"/>
          <w:iCs/>
        </w:rPr>
        <w:t xml:space="preserve">[The Court then set out the terms of that provision and </w:t>
      </w:r>
      <w:r w:rsidR="00F1710D" w:rsidRPr="00EB7F1E">
        <w:rPr>
          <w:rFonts w:asciiTheme="minorHAnsi" w:hAnsiTheme="minorHAnsi"/>
          <w:iCs/>
        </w:rPr>
        <w:t xml:space="preserve">(at [79]-[81]) </w:t>
      </w:r>
      <w:r w:rsidR="00F92293" w:rsidRPr="00EB7F1E">
        <w:rPr>
          <w:rFonts w:asciiTheme="minorHAnsi" w:hAnsiTheme="minorHAnsi"/>
          <w:iCs/>
        </w:rPr>
        <w:t xml:space="preserve">proceeded to identify difficulties in </w:t>
      </w:r>
      <w:r w:rsidR="00F1710D" w:rsidRPr="00EB7F1E">
        <w:rPr>
          <w:rFonts w:asciiTheme="minorHAnsi" w:hAnsiTheme="minorHAnsi"/>
          <w:iCs/>
        </w:rPr>
        <w:t xml:space="preserve">interpreting s 16(4) in a way that would </w:t>
      </w:r>
      <w:r w:rsidR="00F92293" w:rsidRPr="00EB7F1E">
        <w:rPr>
          <w:rFonts w:asciiTheme="minorHAnsi" w:hAnsiTheme="minorHAnsi"/>
          <w:iCs/>
        </w:rPr>
        <w:t xml:space="preserve">apply </w:t>
      </w:r>
      <w:r w:rsidR="00F1710D" w:rsidRPr="00EB7F1E">
        <w:rPr>
          <w:rFonts w:asciiTheme="minorHAnsi" w:hAnsiTheme="minorHAnsi"/>
          <w:iCs/>
        </w:rPr>
        <w:t>when an offender is sentence for Commonwealth and State offences at the same sitting.]</w:t>
      </w:r>
    </w:p>
    <w:p w14:paraId="0E3B38E3" w14:textId="77777777" w:rsidR="00955C2A" w:rsidRDefault="00955C2A" w:rsidP="00955C2A">
      <w:pPr>
        <w:widowControl w:val="0"/>
        <w:spacing w:line="276" w:lineRule="auto"/>
        <w:jc w:val="both"/>
        <w:rPr>
          <w:rFonts w:asciiTheme="minorHAnsi" w:hAnsiTheme="minorHAnsi"/>
        </w:rPr>
      </w:pPr>
    </w:p>
    <w:p w14:paraId="43E31E51" w14:textId="16E71407" w:rsidR="0022195F" w:rsidRDefault="00F1710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position </w:t>
      </w:r>
      <w:r w:rsidR="00AE4455">
        <w:rPr>
          <w:rFonts w:asciiTheme="minorHAnsi" w:hAnsiTheme="minorHAnsi"/>
        </w:rPr>
        <w:t xml:space="preserve">may be no less fraught </w:t>
      </w:r>
      <w:r>
        <w:rPr>
          <w:rFonts w:asciiTheme="minorHAnsi" w:hAnsiTheme="minorHAnsi"/>
        </w:rPr>
        <w:t>in other jurisdictions</w:t>
      </w:r>
      <w:r w:rsidR="00AE4455">
        <w:rPr>
          <w:rFonts w:asciiTheme="minorHAnsi" w:hAnsiTheme="minorHAnsi"/>
        </w:rPr>
        <w:t>, in the absence of clear power to order that a State or Territory sentence commence at a later date, or be cumulative upon a sentence for a federal offence.</w:t>
      </w:r>
    </w:p>
    <w:p w14:paraId="1561FE81" w14:textId="77777777" w:rsidR="006229DF" w:rsidRDefault="006229DF" w:rsidP="006229DF">
      <w:pPr>
        <w:widowControl w:val="0"/>
        <w:spacing w:line="276" w:lineRule="auto"/>
        <w:jc w:val="both"/>
        <w:rPr>
          <w:rFonts w:asciiTheme="minorHAnsi" w:hAnsiTheme="minorHAnsi"/>
        </w:rPr>
      </w:pPr>
    </w:p>
    <w:p w14:paraId="1A3D493D" w14:textId="48FA4CB9" w:rsidR="00053913" w:rsidRDefault="00AE445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Ordinarily, therefore, unless the sentences for Commonwealth offences are to be </w:t>
      </w:r>
      <w:r w:rsidR="00C51815">
        <w:rPr>
          <w:rFonts w:asciiTheme="minorHAnsi" w:hAnsiTheme="minorHAnsi"/>
        </w:rPr>
        <w:t xml:space="preserve">served </w:t>
      </w:r>
      <w:r>
        <w:rPr>
          <w:rFonts w:asciiTheme="minorHAnsi" w:hAnsiTheme="minorHAnsi"/>
        </w:rPr>
        <w:t>wholly concurrent</w:t>
      </w:r>
      <w:r w:rsidR="00C51815">
        <w:rPr>
          <w:rFonts w:asciiTheme="minorHAnsi" w:hAnsiTheme="minorHAnsi"/>
        </w:rPr>
        <w:t>ly</w:t>
      </w:r>
      <w:r>
        <w:rPr>
          <w:rFonts w:asciiTheme="minorHAnsi" w:hAnsiTheme="minorHAnsi"/>
        </w:rPr>
        <w:t xml:space="preserve"> with sentences for State/Territory offences, </w:t>
      </w:r>
      <w:r w:rsidR="002C1DB9">
        <w:rPr>
          <w:rFonts w:asciiTheme="minorHAnsi" w:hAnsiTheme="minorHAnsi"/>
        </w:rPr>
        <w:t>or there is clear power under State/Territory law to proceed effectively by the third approach,</w:t>
      </w:r>
      <w:r w:rsidR="002C1DB9" w:rsidRPr="00295C71">
        <w:rPr>
          <w:rStyle w:val="Style"/>
          <w:rFonts w:asciiTheme="minorHAnsi" w:hAnsiTheme="minorHAnsi"/>
        </w:rPr>
        <w:footnoteReference w:id="763"/>
      </w:r>
      <w:r w:rsidR="002C1DB9">
        <w:rPr>
          <w:rFonts w:asciiTheme="minorHAnsi" w:hAnsiTheme="minorHAnsi"/>
        </w:rPr>
        <w:t xml:space="preserve"> t</w:t>
      </w:r>
      <w:r>
        <w:rPr>
          <w:rFonts w:asciiTheme="minorHAnsi" w:hAnsiTheme="minorHAnsi"/>
        </w:rPr>
        <w:t xml:space="preserve">he safest course for a sentencing court in these circumstances is </w:t>
      </w:r>
      <w:r w:rsidR="00C60DFE">
        <w:rPr>
          <w:rFonts w:asciiTheme="minorHAnsi" w:hAnsiTheme="minorHAnsi"/>
        </w:rPr>
        <w:t xml:space="preserve">generally </w:t>
      </w:r>
      <w:r>
        <w:rPr>
          <w:rFonts w:asciiTheme="minorHAnsi" w:hAnsiTheme="minorHAnsi"/>
        </w:rPr>
        <w:t xml:space="preserve">to </w:t>
      </w:r>
      <w:r w:rsidR="00E4438C">
        <w:rPr>
          <w:rFonts w:asciiTheme="minorHAnsi" w:hAnsiTheme="minorHAnsi"/>
        </w:rPr>
        <w:t xml:space="preserve">proceed in accordance with the second approach identified in </w:t>
      </w:r>
      <w:r w:rsidR="00E4438C" w:rsidRPr="00E4438C">
        <w:rPr>
          <w:rFonts w:asciiTheme="minorHAnsi" w:hAnsiTheme="minorHAnsi"/>
          <w:i/>
        </w:rPr>
        <w:t>Swingler</w:t>
      </w:r>
      <w:r w:rsidR="00E4438C">
        <w:rPr>
          <w:rFonts w:asciiTheme="minorHAnsi" w:hAnsiTheme="minorHAnsi"/>
        </w:rPr>
        <w:t xml:space="preserve">.  </w:t>
      </w:r>
      <w:r w:rsidR="00C51815">
        <w:rPr>
          <w:rFonts w:asciiTheme="minorHAnsi" w:hAnsiTheme="minorHAnsi"/>
        </w:rPr>
        <w:t>That is, a State</w:t>
      </w:r>
      <w:r w:rsidR="00A5295F">
        <w:rPr>
          <w:rFonts w:asciiTheme="minorHAnsi" w:hAnsiTheme="minorHAnsi"/>
        </w:rPr>
        <w:t>/Territory</w:t>
      </w:r>
      <w:r w:rsidR="00C51815">
        <w:rPr>
          <w:rFonts w:asciiTheme="minorHAnsi" w:hAnsiTheme="minorHAnsi"/>
        </w:rPr>
        <w:t xml:space="preserve"> sentence should be the base sentence,</w:t>
      </w:r>
      <w:r w:rsidR="003A2566" w:rsidRPr="00295C71">
        <w:rPr>
          <w:rStyle w:val="Style"/>
          <w:rFonts w:asciiTheme="minorHAnsi" w:hAnsiTheme="minorHAnsi"/>
        </w:rPr>
        <w:footnoteReference w:id="764"/>
      </w:r>
      <w:r w:rsidR="00C51815">
        <w:rPr>
          <w:rFonts w:asciiTheme="minorHAnsi" w:hAnsiTheme="minorHAnsi"/>
        </w:rPr>
        <w:t xml:space="preserve"> </w:t>
      </w:r>
      <w:r w:rsidR="00A5295F">
        <w:rPr>
          <w:rFonts w:asciiTheme="minorHAnsi" w:hAnsiTheme="minorHAnsi"/>
        </w:rPr>
        <w:t xml:space="preserve">any other State/Territory sentences should be grouped appropriately, and the time of commencement for each </w:t>
      </w:r>
      <w:r w:rsidR="00C51815">
        <w:rPr>
          <w:rFonts w:asciiTheme="minorHAnsi" w:hAnsiTheme="minorHAnsi"/>
        </w:rPr>
        <w:t xml:space="preserve">federal sentence should be </w:t>
      </w:r>
      <w:r w:rsidR="00A5295F">
        <w:rPr>
          <w:rFonts w:asciiTheme="minorHAnsi" w:hAnsiTheme="minorHAnsi"/>
        </w:rPr>
        <w:t>fixed to create appropriate cumulation upon the State/Territory sentences.</w:t>
      </w:r>
      <w:r w:rsidR="00701E57">
        <w:rPr>
          <w:rFonts w:asciiTheme="minorHAnsi" w:hAnsiTheme="minorHAnsi"/>
        </w:rPr>
        <w:t xml:space="preserve">  This is </w:t>
      </w:r>
      <w:r w:rsidR="00701E57" w:rsidRPr="00EB7F1E">
        <w:rPr>
          <w:rFonts w:asciiTheme="minorHAnsi" w:hAnsiTheme="minorHAnsi"/>
        </w:rPr>
        <w:t>an appropriate method of overcoming some of the complexities created by the interaction of the State and Commonwealth sentencing regimes</w:t>
      </w:r>
      <w:r w:rsidR="00701E57">
        <w:rPr>
          <w:rFonts w:asciiTheme="minorHAnsi" w:hAnsiTheme="minorHAnsi"/>
        </w:rPr>
        <w:t>.</w:t>
      </w:r>
      <w:r w:rsidR="0030791F" w:rsidRPr="00295C71">
        <w:rPr>
          <w:rStyle w:val="Style"/>
          <w:rFonts w:asciiTheme="minorHAnsi" w:hAnsiTheme="minorHAnsi"/>
        </w:rPr>
        <w:footnoteReference w:id="765"/>
      </w:r>
    </w:p>
    <w:p w14:paraId="183BFE92" w14:textId="77777777" w:rsidR="00053913" w:rsidRDefault="00053913" w:rsidP="00EB7F1E">
      <w:pPr>
        <w:pStyle w:val="ListParagraph"/>
        <w:rPr>
          <w:rFonts w:asciiTheme="minorHAnsi" w:hAnsiTheme="minorHAnsi"/>
        </w:rPr>
      </w:pPr>
    </w:p>
    <w:p w14:paraId="027B3D18" w14:textId="48A757E3" w:rsidR="0076253C" w:rsidRDefault="00E4438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w:t>
      </w:r>
      <w:r w:rsidR="00A5295F">
        <w:rPr>
          <w:rFonts w:asciiTheme="minorHAnsi" w:hAnsiTheme="minorHAnsi"/>
        </w:rPr>
        <w:t>e</w:t>
      </w:r>
      <w:r>
        <w:rPr>
          <w:rFonts w:asciiTheme="minorHAnsi" w:hAnsiTheme="minorHAnsi"/>
        </w:rPr>
        <w:t xml:space="preserve"> </w:t>
      </w:r>
      <w:r w:rsidR="00A5295F">
        <w:rPr>
          <w:rFonts w:asciiTheme="minorHAnsi" w:hAnsiTheme="minorHAnsi"/>
        </w:rPr>
        <w:t xml:space="preserve">last step </w:t>
      </w:r>
      <w:r w:rsidR="00053913">
        <w:rPr>
          <w:rFonts w:asciiTheme="minorHAnsi" w:hAnsiTheme="minorHAnsi"/>
        </w:rPr>
        <w:t xml:space="preserve">(fixing the time of commencement for each federal sentence) </w:t>
      </w:r>
      <w:r>
        <w:rPr>
          <w:rFonts w:asciiTheme="minorHAnsi" w:hAnsiTheme="minorHAnsi"/>
        </w:rPr>
        <w:t xml:space="preserve">requires a direction </w:t>
      </w:r>
      <w:r w:rsidR="00941A23">
        <w:rPr>
          <w:rFonts w:asciiTheme="minorHAnsi" w:hAnsiTheme="minorHAnsi"/>
        </w:rPr>
        <w:t xml:space="preserve">which complies with s 19 of the </w:t>
      </w:r>
      <w:r w:rsidR="00885EFD" w:rsidRPr="00885EFD">
        <w:rPr>
          <w:rFonts w:asciiTheme="minorHAnsi" w:hAnsiTheme="minorHAnsi"/>
          <w:i/>
        </w:rPr>
        <w:t>Crimes Act 1914</w:t>
      </w:r>
      <w:r w:rsidR="00941A23">
        <w:rPr>
          <w:rFonts w:asciiTheme="minorHAnsi" w:hAnsiTheme="minorHAnsi"/>
        </w:rPr>
        <w:t xml:space="preserve"> (Cth)</w:t>
      </w:r>
      <w:r w:rsidR="00A40646">
        <w:rPr>
          <w:rFonts w:asciiTheme="minorHAnsi" w:hAnsiTheme="minorHAnsi"/>
        </w:rPr>
        <w:t>.</w:t>
      </w:r>
      <w:r w:rsidR="007E14D2" w:rsidRPr="00295C71">
        <w:rPr>
          <w:rStyle w:val="Style"/>
          <w:rFonts w:asciiTheme="minorHAnsi" w:hAnsiTheme="minorHAnsi"/>
        </w:rPr>
        <w:footnoteReference w:id="766"/>
      </w:r>
      <w:r w:rsidR="00A40646">
        <w:rPr>
          <w:rFonts w:asciiTheme="minorHAnsi" w:hAnsiTheme="minorHAnsi"/>
        </w:rPr>
        <w:t xml:space="preserve">  In particular</w:t>
      </w:r>
      <w:r>
        <w:rPr>
          <w:rFonts w:asciiTheme="minorHAnsi" w:hAnsiTheme="minorHAnsi"/>
        </w:rPr>
        <w:t xml:space="preserve">, </w:t>
      </w:r>
      <w:r w:rsidR="00A40646">
        <w:rPr>
          <w:rFonts w:asciiTheme="minorHAnsi" w:hAnsiTheme="minorHAnsi"/>
        </w:rPr>
        <w:t xml:space="preserve">the direction must have the effect </w:t>
      </w:r>
      <w:r>
        <w:rPr>
          <w:rFonts w:asciiTheme="minorHAnsi" w:hAnsiTheme="minorHAnsi"/>
        </w:rPr>
        <w:t>that</w:t>
      </w:r>
      <w:r w:rsidR="0076253C">
        <w:rPr>
          <w:rFonts w:asciiTheme="minorHAnsi" w:hAnsiTheme="minorHAnsi"/>
        </w:rPr>
        <w:t>:</w:t>
      </w:r>
    </w:p>
    <w:p w14:paraId="5AC53FD4" w14:textId="77777777" w:rsidR="0076253C" w:rsidRDefault="00E4438C" w:rsidP="0076253C">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 there is no gap between any State/Territory non-parole period and the first federal sentence, or if no </w:t>
      </w:r>
      <w:r w:rsidR="00A40646">
        <w:rPr>
          <w:rFonts w:asciiTheme="minorHAnsi" w:hAnsiTheme="minorHAnsi"/>
        </w:rPr>
        <w:t xml:space="preserve">such </w:t>
      </w:r>
      <w:r>
        <w:rPr>
          <w:rFonts w:asciiTheme="minorHAnsi" w:hAnsiTheme="minorHAnsi"/>
        </w:rPr>
        <w:t>non-parole period</w:t>
      </w:r>
      <w:r w:rsidR="00A40646">
        <w:rPr>
          <w:rFonts w:asciiTheme="minorHAnsi" w:hAnsiTheme="minorHAnsi"/>
        </w:rPr>
        <w:t xml:space="preserve"> applies</w:t>
      </w:r>
      <w:r>
        <w:rPr>
          <w:rFonts w:asciiTheme="minorHAnsi" w:hAnsiTheme="minorHAnsi"/>
        </w:rPr>
        <w:t>, that there is no gap between the completion of a State</w:t>
      </w:r>
      <w:r w:rsidR="00A5295F">
        <w:rPr>
          <w:rFonts w:asciiTheme="minorHAnsi" w:hAnsiTheme="minorHAnsi"/>
        </w:rPr>
        <w:t>/Territory</w:t>
      </w:r>
      <w:r>
        <w:rPr>
          <w:rFonts w:asciiTheme="minorHAnsi" w:hAnsiTheme="minorHAnsi"/>
        </w:rPr>
        <w:t xml:space="preserve"> sentence and </w:t>
      </w:r>
      <w:r w:rsidR="00050AE8">
        <w:rPr>
          <w:rFonts w:asciiTheme="minorHAnsi" w:hAnsiTheme="minorHAnsi"/>
        </w:rPr>
        <w:t xml:space="preserve">the commencement of </w:t>
      </w:r>
      <w:r w:rsidR="00A5295F">
        <w:rPr>
          <w:rFonts w:asciiTheme="minorHAnsi" w:hAnsiTheme="minorHAnsi"/>
        </w:rPr>
        <w:t>the first</w:t>
      </w:r>
      <w:r w:rsidR="00050AE8">
        <w:rPr>
          <w:rFonts w:asciiTheme="minorHAnsi" w:hAnsiTheme="minorHAnsi"/>
        </w:rPr>
        <w:t xml:space="preserve"> federal sentence</w:t>
      </w:r>
      <w:r w:rsidR="00EB243B">
        <w:rPr>
          <w:rFonts w:asciiTheme="minorHAnsi" w:hAnsiTheme="minorHAnsi"/>
        </w:rPr>
        <w:t>;</w:t>
      </w:r>
      <w:r w:rsidR="00A5295F">
        <w:rPr>
          <w:rFonts w:asciiTheme="minorHAnsi" w:hAnsiTheme="minorHAnsi"/>
        </w:rPr>
        <w:t xml:space="preserve"> and</w:t>
      </w:r>
    </w:p>
    <w:p w14:paraId="4EFA9A4F" w14:textId="56E36D17" w:rsidR="00E4438C" w:rsidRDefault="00A5295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no gap between </w:t>
      </w:r>
      <w:r w:rsidR="00EB243B">
        <w:rPr>
          <w:rFonts w:asciiTheme="minorHAnsi" w:hAnsiTheme="minorHAnsi"/>
        </w:rPr>
        <w:t>periods of incarceration can otherwise occur</w:t>
      </w:r>
      <w:r w:rsidR="00050AE8">
        <w:rPr>
          <w:rFonts w:asciiTheme="minorHAnsi" w:hAnsiTheme="minorHAnsi"/>
        </w:rPr>
        <w:t>.</w:t>
      </w:r>
    </w:p>
    <w:p w14:paraId="5B269BBF" w14:textId="77777777" w:rsidR="00050AE8" w:rsidRDefault="00050AE8" w:rsidP="00050AE8">
      <w:pPr>
        <w:pStyle w:val="ListParagraph"/>
        <w:rPr>
          <w:rFonts w:asciiTheme="minorHAnsi" w:hAnsiTheme="minorHAnsi"/>
        </w:rPr>
      </w:pPr>
    </w:p>
    <w:p w14:paraId="503DBAAD" w14:textId="301E3F16" w:rsidR="00FB2C55" w:rsidRDefault="00FB2C5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Usually, the most severe sentence </w:t>
      </w:r>
      <w:r w:rsidR="00BF410F">
        <w:rPr>
          <w:rFonts w:asciiTheme="minorHAnsi" w:hAnsiTheme="minorHAnsi"/>
        </w:rPr>
        <w:t xml:space="preserve">should be </w:t>
      </w:r>
      <w:r>
        <w:rPr>
          <w:rFonts w:asciiTheme="minorHAnsi" w:hAnsiTheme="minorHAnsi"/>
        </w:rPr>
        <w:t xml:space="preserve">chosen as </w:t>
      </w:r>
      <w:r w:rsidR="00BF410F">
        <w:rPr>
          <w:rFonts w:asciiTheme="minorHAnsi" w:hAnsiTheme="minorHAnsi"/>
        </w:rPr>
        <w:t xml:space="preserve">the </w:t>
      </w:r>
      <w:r>
        <w:rPr>
          <w:rFonts w:asciiTheme="minorHAnsi" w:hAnsiTheme="minorHAnsi"/>
        </w:rPr>
        <w:t>base sentence,</w:t>
      </w:r>
      <w:r w:rsidR="00BF410F" w:rsidRPr="00295C71">
        <w:rPr>
          <w:rStyle w:val="Style"/>
          <w:rFonts w:asciiTheme="minorHAnsi" w:hAnsiTheme="minorHAnsi"/>
        </w:rPr>
        <w:footnoteReference w:id="767"/>
      </w:r>
      <w:r>
        <w:rPr>
          <w:rFonts w:asciiTheme="minorHAnsi" w:hAnsiTheme="minorHAnsi"/>
        </w:rPr>
        <w:t xml:space="preserve"> but this practice is not mandatory.  It would </w:t>
      </w:r>
      <w:r w:rsidR="00CF7C33">
        <w:rPr>
          <w:rFonts w:asciiTheme="minorHAnsi" w:hAnsiTheme="minorHAnsi"/>
        </w:rPr>
        <w:t xml:space="preserve">seem to </w:t>
      </w:r>
      <w:r>
        <w:rPr>
          <w:rFonts w:asciiTheme="minorHAnsi" w:hAnsiTheme="minorHAnsi"/>
        </w:rPr>
        <w:t>be open to a court to proceed by the second approach even though the base sentence chosen (for a State/Territory offence) is less severe than one or more of the federal sentences</w:t>
      </w:r>
      <w:r w:rsidR="00CF7C33">
        <w:rPr>
          <w:rFonts w:asciiTheme="minorHAnsi" w:hAnsiTheme="minorHAnsi"/>
        </w:rPr>
        <w:t xml:space="preserve">, particularly if the reason for doing so is uncertainty about the power under State/Territory law to proceed by the third approach described in </w:t>
      </w:r>
      <w:r w:rsidR="00CF7C33" w:rsidRPr="00CF7C33">
        <w:rPr>
          <w:rFonts w:asciiTheme="minorHAnsi" w:hAnsiTheme="minorHAnsi"/>
          <w:i/>
        </w:rPr>
        <w:t>Swingler</w:t>
      </w:r>
      <w:r>
        <w:rPr>
          <w:rFonts w:asciiTheme="minorHAnsi" w:hAnsiTheme="minorHAnsi"/>
        </w:rPr>
        <w:t>.</w:t>
      </w:r>
      <w:r w:rsidR="00342FA0" w:rsidRPr="00295C71">
        <w:rPr>
          <w:rStyle w:val="Style"/>
          <w:rFonts w:asciiTheme="minorHAnsi" w:hAnsiTheme="minorHAnsi"/>
        </w:rPr>
        <w:footnoteReference w:id="768"/>
      </w:r>
      <w:r w:rsidR="00D47483">
        <w:rPr>
          <w:rFonts w:asciiTheme="minorHAnsi" w:hAnsiTheme="minorHAnsi"/>
        </w:rPr>
        <w:t xml:space="preserve">  </w:t>
      </w:r>
      <w:r w:rsidR="00D47483" w:rsidRPr="00D47483">
        <w:rPr>
          <w:rFonts w:asciiTheme="minorHAnsi" w:hAnsiTheme="minorHAnsi"/>
        </w:rPr>
        <w:t>A court may direct that a sentence for a State</w:t>
      </w:r>
      <w:r w:rsidR="00D47483">
        <w:rPr>
          <w:rFonts w:asciiTheme="minorHAnsi" w:hAnsiTheme="minorHAnsi"/>
        </w:rPr>
        <w:t>/Territory</w:t>
      </w:r>
      <w:r w:rsidR="00D47483" w:rsidRPr="00D47483">
        <w:rPr>
          <w:rFonts w:asciiTheme="minorHAnsi" w:hAnsiTheme="minorHAnsi"/>
        </w:rPr>
        <w:t xml:space="preserve"> offence and one for a federal offence be served in the order which is most practical and appropriate.</w:t>
      </w:r>
      <w:r w:rsidR="006025A1" w:rsidRPr="00C00000">
        <w:rPr>
          <w:rStyle w:val="Style"/>
          <w:rFonts w:asciiTheme="minorHAnsi" w:hAnsiTheme="minorHAnsi"/>
        </w:rPr>
        <w:footnoteReference w:id="769"/>
      </w:r>
    </w:p>
    <w:p w14:paraId="6B2F6054" w14:textId="77777777" w:rsidR="00FB2C55" w:rsidRPr="003F540C" w:rsidRDefault="00FB2C55" w:rsidP="00FB2C55">
      <w:pPr>
        <w:widowControl w:val="0"/>
        <w:spacing w:line="276" w:lineRule="auto"/>
        <w:jc w:val="both"/>
        <w:rPr>
          <w:rFonts w:asciiTheme="minorHAnsi" w:hAnsiTheme="minorHAnsi"/>
        </w:rPr>
      </w:pPr>
    </w:p>
    <w:p w14:paraId="71A6D9E1" w14:textId="6479B637" w:rsidR="00050AE8" w:rsidRDefault="00050AE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An incidental consequence of making a State or Territory sentence rather than a Commonwealth sentence the base sentence is that it might affect the application of </w:t>
      </w:r>
      <w:r w:rsidR="001C2ED0">
        <w:rPr>
          <w:rFonts w:asciiTheme="minorHAnsi" w:hAnsiTheme="minorHAnsi"/>
        </w:rPr>
        <w:t xml:space="preserve">a </w:t>
      </w:r>
      <w:r>
        <w:rPr>
          <w:rFonts w:asciiTheme="minorHAnsi" w:hAnsiTheme="minorHAnsi"/>
        </w:rPr>
        <w:t xml:space="preserve">State or Territory </w:t>
      </w:r>
      <w:r w:rsidR="001C2ED0">
        <w:rPr>
          <w:rFonts w:asciiTheme="minorHAnsi" w:hAnsiTheme="minorHAnsi"/>
        </w:rPr>
        <w:t>law w</w:t>
      </w:r>
      <w:r w:rsidR="00E7078A">
        <w:rPr>
          <w:rFonts w:asciiTheme="minorHAnsi" w:hAnsiTheme="minorHAnsi"/>
        </w:rPr>
        <w:t>hich</w:t>
      </w:r>
      <w:r w:rsidR="001C2ED0">
        <w:rPr>
          <w:rFonts w:asciiTheme="minorHAnsi" w:hAnsiTheme="minorHAnsi"/>
        </w:rPr>
        <w:t xml:space="preserve"> abrogate</w:t>
      </w:r>
      <w:r w:rsidR="00E03837">
        <w:rPr>
          <w:rFonts w:asciiTheme="minorHAnsi" w:hAnsiTheme="minorHAnsi"/>
        </w:rPr>
        <w:t>s, modifies</w:t>
      </w:r>
      <w:r w:rsidR="001C2ED0">
        <w:rPr>
          <w:rFonts w:asciiTheme="minorHAnsi" w:hAnsiTheme="minorHAnsi"/>
        </w:rPr>
        <w:t xml:space="preserve"> or restricts the operation of the totality principle in relation to the relevant State or Territory offence.</w:t>
      </w:r>
      <w:r w:rsidR="002D6118" w:rsidRPr="00295C71">
        <w:rPr>
          <w:rStyle w:val="Style"/>
          <w:rFonts w:asciiTheme="minorHAnsi" w:hAnsiTheme="minorHAnsi"/>
        </w:rPr>
        <w:footnoteReference w:id="770"/>
      </w:r>
      <w:r w:rsidR="002D6118">
        <w:rPr>
          <w:rFonts w:asciiTheme="minorHAnsi" w:hAnsiTheme="minorHAnsi"/>
        </w:rPr>
        <w:t xml:space="preserve">  The order of sentences might therefore affect the degree of cumulation and the total effective sentence.</w:t>
      </w:r>
      <w:r w:rsidR="00236D8A">
        <w:rPr>
          <w:rFonts w:asciiTheme="minorHAnsi" w:hAnsiTheme="minorHAnsi"/>
        </w:rPr>
        <w:t xml:space="preserve">  It remains an open question whether this consideration is rele</w:t>
      </w:r>
      <w:r w:rsidR="00BF1C33">
        <w:rPr>
          <w:rFonts w:asciiTheme="minorHAnsi" w:hAnsiTheme="minorHAnsi"/>
        </w:rPr>
        <w:t>vant in determining the appropriate order of sentences.</w:t>
      </w:r>
      <w:r w:rsidR="00BF1C33" w:rsidRPr="00C00000">
        <w:rPr>
          <w:rStyle w:val="Style"/>
          <w:rFonts w:asciiTheme="minorHAnsi" w:hAnsiTheme="minorHAnsi"/>
        </w:rPr>
        <w:footnoteReference w:id="771"/>
      </w:r>
    </w:p>
    <w:p w14:paraId="5C6ED87A" w14:textId="07BC06E6" w:rsidR="001A6C72" w:rsidRDefault="001A6C72">
      <w:pPr>
        <w:rPr>
          <w:rFonts w:asciiTheme="minorHAnsi" w:hAnsiTheme="minorHAnsi"/>
        </w:rPr>
      </w:pPr>
      <w:r>
        <w:rPr>
          <w:rFonts w:asciiTheme="minorHAnsi" w:hAnsiTheme="minorHAnsi"/>
        </w:rPr>
        <w:br w:type="page"/>
      </w:r>
    </w:p>
    <w:p w14:paraId="53614852" w14:textId="77777777" w:rsidR="00E4438C" w:rsidRDefault="00E4438C" w:rsidP="00E4438C">
      <w:pPr>
        <w:pStyle w:val="ListParagraph"/>
        <w:rPr>
          <w:rFonts w:asciiTheme="minorHAnsi" w:hAnsiTheme="minorHAnsi"/>
        </w:rPr>
      </w:pPr>
    </w:p>
    <w:p w14:paraId="1731C400" w14:textId="16544EF9" w:rsidR="001725EC" w:rsidRPr="00275FB6" w:rsidRDefault="001725EC" w:rsidP="006D50C7">
      <w:pPr>
        <w:pStyle w:val="Heading2"/>
        <w:jc w:val="both"/>
      </w:pPr>
      <w:bookmarkStart w:id="1922" w:name="_Ref8453143"/>
      <w:bookmarkStart w:id="1923" w:name="_Ref8453146"/>
      <w:bookmarkStart w:id="1924" w:name="_Toc33602893"/>
      <w:r w:rsidRPr="00275FB6">
        <w:t>Imprisonment: period to be served</w:t>
      </w:r>
      <w:bookmarkEnd w:id="1922"/>
      <w:bookmarkEnd w:id="1923"/>
      <w:bookmarkEnd w:id="1924"/>
    </w:p>
    <w:p w14:paraId="6B38F6AF" w14:textId="77777777" w:rsidR="001725EC" w:rsidRPr="00C00000" w:rsidRDefault="001725EC" w:rsidP="006D50C7">
      <w:pPr>
        <w:keepNext/>
        <w:tabs>
          <w:tab w:val="left" w:pos="709"/>
          <w:tab w:val="left" w:pos="993"/>
          <w:tab w:val="left" w:pos="1276"/>
        </w:tabs>
        <w:spacing w:line="276" w:lineRule="auto"/>
        <w:ind w:left="567"/>
        <w:jc w:val="both"/>
        <w:rPr>
          <w:rFonts w:asciiTheme="minorHAnsi" w:hAnsiTheme="minorHAnsi"/>
        </w:rPr>
      </w:pPr>
    </w:p>
    <w:p w14:paraId="6DD1B6E5" w14:textId="4D0BC13A" w:rsidR="00DA25D9" w:rsidRPr="00364B92" w:rsidRDefault="00905389" w:rsidP="006D50C7">
      <w:pPr>
        <w:pStyle w:val="Heading3"/>
      </w:pPr>
      <w:bookmarkStart w:id="1925" w:name="_Toc33602894"/>
      <w:r>
        <w:t>Determining the l</w:t>
      </w:r>
      <w:r w:rsidR="00DA25D9" w:rsidRPr="00364B92">
        <w:t xml:space="preserve">ength of </w:t>
      </w:r>
      <w:r w:rsidR="006A2E0A">
        <w:t>the period of incarceration</w:t>
      </w:r>
      <w:bookmarkEnd w:id="1925"/>
    </w:p>
    <w:p w14:paraId="2175784D" w14:textId="77777777" w:rsidR="009E6279" w:rsidRDefault="009E6279" w:rsidP="006D50C7">
      <w:pPr>
        <w:keepNext/>
        <w:spacing w:line="276" w:lineRule="auto"/>
        <w:ind w:left="567"/>
        <w:jc w:val="both"/>
        <w:rPr>
          <w:rFonts w:asciiTheme="minorHAnsi" w:hAnsiTheme="minorHAnsi"/>
        </w:rPr>
      </w:pPr>
    </w:p>
    <w:p w14:paraId="6856FD86" w14:textId="6DDCEC16" w:rsidR="001C5BF8" w:rsidRDefault="001C5B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 court which imposes</w:t>
      </w:r>
      <w:r w:rsidR="00CA607E">
        <w:rPr>
          <w:rFonts w:asciiTheme="minorHAnsi" w:hAnsiTheme="minorHAnsi"/>
        </w:rPr>
        <w:t xml:space="preserve"> a sentence of imprisonment for a federal offence must also determine the period, or minimum period, of that sentence (if any) </w:t>
      </w:r>
      <w:r w:rsidR="006A2E0A">
        <w:rPr>
          <w:rFonts w:asciiTheme="minorHAnsi" w:hAnsiTheme="minorHAnsi"/>
        </w:rPr>
        <w:t xml:space="preserve">for </w:t>
      </w:r>
      <w:r w:rsidR="00CA607E">
        <w:rPr>
          <w:rFonts w:asciiTheme="minorHAnsi" w:hAnsiTheme="minorHAnsi"/>
        </w:rPr>
        <w:t xml:space="preserve">which </w:t>
      </w:r>
      <w:r w:rsidR="006A2E0A">
        <w:rPr>
          <w:rFonts w:asciiTheme="minorHAnsi" w:hAnsiTheme="minorHAnsi"/>
        </w:rPr>
        <w:t>the offender is to be incarcerated</w:t>
      </w:r>
      <w:r w:rsidR="00CA607E">
        <w:rPr>
          <w:rFonts w:asciiTheme="minorHAnsi" w:hAnsiTheme="minorHAnsi"/>
        </w:rPr>
        <w:t>.  The mechanisms for fixing that period (non-parole period, recognizance release order or</w:t>
      </w:r>
      <w:r w:rsidR="00A7574A">
        <w:rPr>
          <w:rFonts w:asciiTheme="minorHAnsi" w:hAnsiTheme="minorHAnsi"/>
        </w:rPr>
        <w:t xml:space="preserve"> what is known as a</w:t>
      </w:r>
      <w:r w:rsidR="00CA607E">
        <w:rPr>
          <w:rFonts w:asciiTheme="minorHAnsi" w:hAnsiTheme="minorHAnsi"/>
        </w:rPr>
        <w:t xml:space="preserve"> straight sentence), and the complex provisions which govern them, are described later in this chapter.</w:t>
      </w:r>
      <w:r w:rsidR="006A2E0A">
        <w:rPr>
          <w:rFonts w:asciiTheme="minorHAnsi" w:hAnsiTheme="minorHAnsi"/>
        </w:rPr>
        <w:t xml:space="preserve">  It is first necessary to </w:t>
      </w:r>
      <w:r w:rsidR="00F47D0C">
        <w:rPr>
          <w:rFonts w:asciiTheme="minorHAnsi" w:hAnsiTheme="minorHAnsi"/>
        </w:rPr>
        <w:t>summar</w:t>
      </w:r>
      <w:r w:rsidR="00B67C2C">
        <w:rPr>
          <w:rFonts w:asciiTheme="minorHAnsi" w:hAnsiTheme="minorHAnsi"/>
        </w:rPr>
        <w:t>ise</w:t>
      </w:r>
      <w:r w:rsidR="006A2E0A">
        <w:rPr>
          <w:rFonts w:asciiTheme="minorHAnsi" w:hAnsiTheme="minorHAnsi"/>
        </w:rPr>
        <w:t xml:space="preserve"> the principles which apply to the fixing of the period to be served.</w:t>
      </w:r>
    </w:p>
    <w:p w14:paraId="200207CF" w14:textId="77777777" w:rsidR="00BE0E73" w:rsidRDefault="00BE0E73" w:rsidP="00BE0E73">
      <w:pPr>
        <w:widowControl w:val="0"/>
        <w:spacing w:line="276" w:lineRule="auto"/>
        <w:jc w:val="both"/>
        <w:rPr>
          <w:rFonts w:asciiTheme="minorHAnsi" w:hAnsiTheme="minorHAnsi"/>
        </w:rPr>
      </w:pPr>
    </w:p>
    <w:p w14:paraId="3E6E9636" w14:textId="4F59F4F0" w:rsidR="00627EEF" w:rsidRDefault="0006435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State or Territory laws </w:t>
      </w:r>
      <w:r w:rsidR="00AC2F66">
        <w:rPr>
          <w:rFonts w:asciiTheme="minorHAnsi" w:hAnsiTheme="minorHAnsi"/>
        </w:rPr>
        <w:t>which prescribe how periods</w:t>
      </w:r>
      <w:r>
        <w:rPr>
          <w:rFonts w:asciiTheme="minorHAnsi" w:hAnsiTheme="minorHAnsi"/>
        </w:rPr>
        <w:t xml:space="preserve">, or minimum periods, of incarceration for offenders sentenced to imprisonment </w:t>
      </w:r>
      <w:r w:rsidR="0065444A">
        <w:rPr>
          <w:rFonts w:asciiTheme="minorHAnsi" w:hAnsiTheme="minorHAnsi"/>
        </w:rPr>
        <w:t xml:space="preserve">are to be fixed </w:t>
      </w:r>
      <w:r>
        <w:rPr>
          <w:rFonts w:asciiTheme="minorHAnsi" w:hAnsiTheme="minorHAnsi"/>
        </w:rPr>
        <w:t xml:space="preserve">do not apply to the sentencing of federal offenders.  Such laws cannot apply of their own force, and the </w:t>
      </w:r>
      <w:r w:rsidR="00627EEF">
        <w:rPr>
          <w:rFonts w:asciiTheme="minorHAnsi" w:hAnsiTheme="minorHAnsi"/>
        </w:rPr>
        <w:t xml:space="preserve">exhaustive </w:t>
      </w:r>
      <w:r>
        <w:rPr>
          <w:rFonts w:asciiTheme="minorHAnsi" w:hAnsiTheme="minorHAnsi"/>
        </w:rPr>
        <w:t xml:space="preserve">regime in Part IB of the </w:t>
      </w:r>
      <w:r w:rsidR="00885EFD" w:rsidRPr="00885EFD">
        <w:rPr>
          <w:rFonts w:asciiTheme="minorHAnsi" w:hAnsiTheme="minorHAnsi"/>
          <w:i/>
        </w:rPr>
        <w:t>Crimes Act 1914</w:t>
      </w:r>
      <w:r>
        <w:rPr>
          <w:rFonts w:asciiTheme="minorHAnsi" w:hAnsiTheme="minorHAnsi"/>
        </w:rPr>
        <w:t xml:space="preserve"> (Cth) leaves no room for such State or Territory laws to be applied as surrogate federal law.</w:t>
      </w:r>
      <w:r w:rsidRPr="00C00000">
        <w:rPr>
          <w:rStyle w:val="Style"/>
          <w:rFonts w:asciiTheme="minorHAnsi" w:hAnsiTheme="minorHAnsi"/>
        </w:rPr>
        <w:footnoteReference w:id="772"/>
      </w:r>
    </w:p>
    <w:p w14:paraId="2BD77C2A" w14:textId="77777777" w:rsidR="003E6C8D" w:rsidRDefault="003E6C8D" w:rsidP="003E6C8D">
      <w:pPr>
        <w:pStyle w:val="ListParagraph"/>
        <w:rPr>
          <w:rFonts w:asciiTheme="minorHAnsi" w:hAnsiTheme="minorHAnsi"/>
        </w:rPr>
      </w:pPr>
    </w:p>
    <w:p w14:paraId="1BBF737D" w14:textId="1BBEE1D7" w:rsidR="0006435B" w:rsidRDefault="0006435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fixing of periods </w:t>
      </w:r>
      <w:r w:rsidR="00627EEF">
        <w:rPr>
          <w:rFonts w:asciiTheme="minorHAnsi" w:hAnsiTheme="minorHAnsi"/>
        </w:rPr>
        <w:t>or minimum periods of imprisonment to be served by a federal offender is</w:t>
      </w:r>
      <w:r>
        <w:rPr>
          <w:rFonts w:asciiTheme="minorHAnsi" w:hAnsiTheme="minorHAnsi"/>
        </w:rPr>
        <w:t xml:space="preserve"> governed by Part IB of the </w:t>
      </w:r>
      <w:r w:rsidR="00885EFD" w:rsidRPr="00885EFD">
        <w:rPr>
          <w:rFonts w:asciiTheme="minorHAnsi" w:hAnsiTheme="minorHAnsi"/>
          <w:i/>
        </w:rPr>
        <w:t>Crimes Act 1914</w:t>
      </w:r>
      <w:r>
        <w:rPr>
          <w:rFonts w:asciiTheme="minorHAnsi" w:hAnsiTheme="minorHAnsi"/>
        </w:rPr>
        <w:t xml:space="preserve"> (Cth), together with common law principles applied by s 80 of the </w:t>
      </w:r>
      <w:r w:rsidRPr="0006435B">
        <w:rPr>
          <w:rFonts w:asciiTheme="minorHAnsi" w:hAnsiTheme="minorHAnsi"/>
          <w:i/>
        </w:rPr>
        <w:t>Judiciary Act 1903</w:t>
      </w:r>
      <w:r>
        <w:rPr>
          <w:rFonts w:asciiTheme="minorHAnsi" w:hAnsiTheme="minorHAnsi"/>
        </w:rPr>
        <w:t xml:space="preserve"> (Cth).</w:t>
      </w:r>
    </w:p>
    <w:p w14:paraId="74280373" w14:textId="77777777" w:rsidR="009E6279" w:rsidRPr="009E6279" w:rsidRDefault="009E6279" w:rsidP="009E6279">
      <w:pPr>
        <w:widowControl w:val="0"/>
        <w:spacing w:line="276" w:lineRule="auto"/>
        <w:jc w:val="both"/>
        <w:rPr>
          <w:rFonts w:asciiTheme="minorHAnsi" w:hAnsiTheme="minorHAnsi"/>
        </w:rPr>
      </w:pPr>
    </w:p>
    <w:p w14:paraId="5796DC21" w14:textId="7C0544D0" w:rsidR="00AC3A5E" w:rsidRDefault="006F400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With the exception of </w:t>
      </w:r>
      <w:r w:rsidR="00DA25D9">
        <w:rPr>
          <w:rFonts w:asciiTheme="minorHAnsi" w:hAnsiTheme="minorHAnsi"/>
        </w:rPr>
        <w:t>specific provisions relating to sentencing for certain national security offences</w:t>
      </w:r>
      <w:r w:rsidR="00DA25D9" w:rsidRPr="00C00000">
        <w:rPr>
          <w:rStyle w:val="Style"/>
          <w:rFonts w:asciiTheme="minorHAnsi" w:hAnsiTheme="minorHAnsi"/>
        </w:rPr>
        <w:footnoteReference w:id="773"/>
      </w:r>
      <w:r w:rsidR="00DA25D9">
        <w:rPr>
          <w:rFonts w:asciiTheme="minorHAnsi" w:hAnsiTheme="minorHAnsi"/>
        </w:rPr>
        <w:t xml:space="preserve"> and for certain people-smuggling offences,</w:t>
      </w:r>
      <w:r w:rsidR="00DA25D9" w:rsidRPr="00C00000">
        <w:rPr>
          <w:rStyle w:val="Style"/>
          <w:rFonts w:asciiTheme="minorHAnsi" w:hAnsiTheme="minorHAnsi"/>
        </w:rPr>
        <w:footnoteReference w:id="774"/>
      </w:r>
      <w:r w:rsidR="00DA25D9">
        <w:rPr>
          <w:rFonts w:asciiTheme="minorHAnsi" w:hAnsiTheme="minorHAnsi"/>
        </w:rPr>
        <w:t xml:space="preserve"> </w:t>
      </w:r>
      <w:r w:rsidR="003C7495">
        <w:rPr>
          <w:rFonts w:asciiTheme="minorHAnsi" w:hAnsiTheme="minorHAnsi"/>
        </w:rPr>
        <w:t xml:space="preserve">Commonwealth law generally </w:t>
      </w:r>
      <w:r w:rsidR="00E544F2">
        <w:rPr>
          <w:rFonts w:asciiTheme="minorHAnsi" w:hAnsiTheme="minorHAnsi"/>
        </w:rPr>
        <w:t>does not contain</w:t>
      </w:r>
      <w:r w:rsidR="00056D33">
        <w:rPr>
          <w:rFonts w:asciiTheme="minorHAnsi" w:hAnsiTheme="minorHAnsi"/>
        </w:rPr>
        <w:t xml:space="preserve"> prescriptive requirements for </w:t>
      </w:r>
      <w:r w:rsidR="00B56675">
        <w:rPr>
          <w:rFonts w:asciiTheme="minorHAnsi" w:hAnsiTheme="minorHAnsi"/>
        </w:rPr>
        <w:t xml:space="preserve">any </w:t>
      </w:r>
      <w:r w:rsidR="003C7495">
        <w:rPr>
          <w:rFonts w:asciiTheme="minorHAnsi" w:hAnsiTheme="minorHAnsi"/>
        </w:rPr>
        <w:t xml:space="preserve">particular </w:t>
      </w:r>
      <w:r w:rsidR="00B56675">
        <w:rPr>
          <w:rFonts w:asciiTheme="minorHAnsi" w:hAnsiTheme="minorHAnsi"/>
        </w:rPr>
        <w:t xml:space="preserve">ratio or </w:t>
      </w:r>
      <w:r w:rsidR="003C7495" w:rsidRPr="00C00000">
        <w:rPr>
          <w:rFonts w:asciiTheme="minorHAnsi" w:hAnsiTheme="minorHAnsi"/>
        </w:rPr>
        <w:t xml:space="preserve">proportion </w:t>
      </w:r>
      <w:r w:rsidR="003C7495">
        <w:rPr>
          <w:rFonts w:asciiTheme="minorHAnsi" w:hAnsiTheme="minorHAnsi"/>
        </w:rPr>
        <w:t xml:space="preserve">between </w:t>
      </w:r>
      <w:r w:rsidR="003C7495" w:rsidRPr="00C00000">
        <w:rPr>
          <w:rFonts w:asciiTheme="minorHAnsi" w:hAnsiTheme="minorHAnsi"/>
        </w:rPr>
        <w:t>the head sentence</w:t>
      </w:r>
      <w:r w:rsidR="003C7495">
        <w:rPr>
          <w:rFonts w:asciiTheme="minorHAnsi" w:hAnsiTheme="minorHAnsi"/>
        </w:rPr>
        <w:t xml:space="preserve"> </w:t>
      </w:r>
      <w:r w:rsidR="00B56675">
        <w:rPr>
          <w:rFonts w:asciiTheme="minorHAnsi" w:hAnsiTheme="minorHAnsi"/>
        </w:rPr>
        <w:t>of imprisonment</w:t>
      </w:r>
      <w:r w:rsidR="00F47BCE">
        <w:rPr>
          <w:rFonts w:asciiTheme="minorHAnsi" w:hAnsiTheme="minorHAnsi"/>
        </w:rPr>
        <w:t xml:space="preserve"> imposed</w:t>
      </w:r>
      <w:r w:rsidR="00B56675">
        <w:rPr>
          <w:rFonts w:asciiTheme="minorHAnsi" w:hAnsiTheme="minorHAnsi"/>
        </w:rPr>
        <w:t xml:space="preserve"> on a federal offender and the period</w:t>
      </w:r>
      <w:r w:rsidR="00576692">
        <w:rPr>
          <w:rFonts w:asciiTheme="minorHAnsi" w:hAnsiTheme="minorHAnsi"/>
        </w:rPr>
        <w:t xml:space="preserve"> or minimum period</w:t>
      </w:r>
      <w:r w:rsidR="00B56675">
        <w:rPr>
          <w:rFonts w:asciiTheme="minorHAnsi" w:hAnsiTheme="minorHAnsi"/>
        </w:rPr>
        <w:t xml:space="preserve"> to be served</w:t>
      </w:r>
      <w:r w:rsidR="00576692">
        <w:rPr>
          <w:rFonts w:asciiTheme="minorHAnsi" w:hAnsiTheme="minorHAnsi"/>
        </w:rPr>
        <w:t>.</w:t>
      </w:r>
      <w:r w:rsidR="00496DB0" w:rsidRPr="00C00000">
        <w:rPr>
          <w:rStyle w:val="Style"/>
          <w:rFonts w:asciiTheme="minorHAnsi" w:hAnsiTheme="minorHAnsi"/>
        </w:rPr>
        <w:footnoteReference w:id="775"/>
      </w:r>
      <w:r w:rsidR="00576692">
        <w:rPr>
          <w:rFonts w:asciiTheme="minorHAnsi" w:hAnsiTheme="minorHAnsi"/>
        </w:rPr>
        <w:t xml:space="preserve"> </w:t>
      </w:r>
      <w:r w:rsidR="006A2E0A">
        <w:rPr>
          <w:rFonts w:asciiTheme="minorHAnsi" w:hAnsiTheme="minorHAnsi"/>
        </w:rPr>
        <w:t xml:space="preserve"> </w:t>
      </w:r>
      <w:r w:rsidR="00576692">
        <w:rPr>
          <w:rFonts w:asciiTheme="minorHAnsi" w:hAnsiTheme="minorHAnsi"/>
        </w:rPr>
        <w:t xml:space="preserve">Nor (apart from the exceptions mentioned) does Commonwealth law otherwise mandate </w:t>
      </w:r>
      <w:r w:rsidR="00B56675">
        <w:rPr>
          <w:rFonts w:asciiTheme="minorHAnsi" w:hAnsiTheme="minorHAnsi"/>
        </w:rPr>
        <w:t xml:space="preserve">any </w:t>
      </w:r>
      <w:r w:rsidR="006A2E0A">
        <w:rPr>
          <w:rFonts w:asciiTheme="minorHAnsi" w:hAnsiTheme="minorHAnsi"/>
        </w:rPr>
        <w:t xml:space="preserve">particular </w:t>
      </w:r>
      <w:r w:rsidR="00B56675">
        <w:rPr>
          <w:rFonts w:asciiTheme="minorHAnsi" w:hAnsiTheme="minorHAnsi"/>
        </w:rPr>
        <w:t>minimum period to be served</w:t>
      </w:r>
      <w:r w:rsidR="00DA25D9" w:rsidRPr="00C00000">
        <w:rPr>
          <w:rFonts w:asciiTheme="minorHAnsi" w:hAnsiTheme="minorHAnsi"/>
        </w:rPr>
        <w:t>.</w:t>
      </w:r>
      <w:r w:rsidR="006A2E0A">
        <w:rPr>
          <w:rFonts w:asciiTheme="minorHAnsi" w:hAnsiTheme="minorHAnsi"/>
        </w:rPr>
        <w:t xml:space="preserve">  In some </w:t>
      </w:r>
      <w:r w:rsidR="00A369F2">
        <w:rPr>
          <w:rFonts w:asciiTheme="minorHAnsi" w:hAnsiTheme="minorHAnsi"/>
        </w:rPr>
        <w:t xml:space="preserve">circumstances, </w:t>
      </w:r>
      <w:r w:rsidR="00627EEF">
        <w:rPr>
          <w:rFonts w:asciiTheme="minorHAnsi" w:hAnsiTheme="minorHAnsi"/>
        </w:rPr>
        <w:t>a</w:t>
      </w:r>
      <w:r w:rsidR="00A369F2">
        <w:rPr>
          <w:rFonts w:asciiTheme="minorHAnsi" w:hAnsiTheme="minorHAnsi"/>
        </w:rPr>
        <w:t xml:space="preserve"> </w:t>
      </w:r>
      <w:r w:rsidR="00627EEF">
        <w:rPr>
          <w:rFonts w:asciiTheme="minorHAnsi" w:hAnsiTheme="minorHAnsi"/>
        </w:rPr>
        <w:t xml:space="preserve">court sentencing a federal offender to imprisonment </w:t>
      </w:r>
      <w:r w:rsidR="00F47BCE">
        <w:rPr>
          <w:rFonts w:asciiTheme="minorHAnsi" w:hAnsiTheme="minorHAnsi"/>
        </w:rPr>
        <w:t xml:space="preserve">has power to </w:t>
      </w:r>
      <w:r w:rsidR="00A369F2">
        <w:rPr>
          <w:rFonts w:asciiTheme="minorHAnsi" w:hAnsiTheme="minorHAnsi"/>
        </w:rPr>
        <w:t xml:space="preserve">order that </w:t>
      </w:r>
      <w:r w:rsidR="00627EEF">
        <w:rPr>
          <w:rFonts w:asciiTheme="minorHAnsi" w:hAnsiTheme="minorHAnsi"/>
        </w:rPr>
        <w:t xml:space="preserve">a federal </w:t>
      </w:r>
      <w:r w:rsidR="00A369F2">
        <w:rPr>
          <w:rFonts w:asciiTheme="minorHAnsi" w:hAnsiTheme="minorHAnsi"/>
        </w:rPr>
        <w:t>offender be released “forthwith”</w:t>
      </w:r>
      <w:r w:rsidR="00325DFC">
        <w:rPr>
          <w:rFonts w:asciiTheme="minorHAnsi" w:hAnsiTheme="minorHAnsi"/>
        </w:rPr>
        <w:t xml:space="preserve"> (</w:t>
      </w:r>
      <w:r w:rsidR="00D1317D">
        <w:rPr>
          <w:rFonts w:asciiTheme="minorHAnsi" w:hAnsiTheme="minorHAnsi"/>
        </w:rPr>
        <w:t xml:space="preserve">with the </w:t>
      </w:r>
      <w:r w:rsidR="00325DFC">
        <w:rPr>
          <w:rFonts w:asciiTheme="minorHAnsi" w:hAnsiTheme="minorHAnsi"/>
        </w:rPr>
        <w:t>effect</w:t>
      </w:r>
      <w:r w:rsidR="00D1317D">
        <w:rPr>
          <w:rFonts w:asciiTheme="minorHAnsi" w:hAnsiTheme="minorHAnsi"/>
        </w:rPr>
        <w:t xml:space="preserve"> that the offender is not required to serve any of </w:t>
      </w:r>
      <w:r w:rsidR="00325DFC">
        <w:rPr>
          <w:rFonts w:asciiTheme="minorHAnsi" w:hAnsiTheme="minorHAnsi"/>
        </w:rPr>
        <w:t>the sentence</w:t>
      </w:r>
      <w:r w:rsidR="00D1317D">
        <w:rPr>
          <w:rFonts w:asciiTheme="minorHAnsi" w:hAnsiTheme="minorHAnsi"/>
        </w:rPr>
        <w:t xml:space="preserve">, subject to entering into and complying with a </w:t>
      </w:r>
      <w:r w:rsidR="00C56E77">
        <w:rPr>
          <w:rFonts w:asciiTheme="minorHAnsi" w:hAnsiTheme="minorHAnsi"/>
        </w:rPr>
        <w:t>recognizance</w:t>
      </w:r>
      <w:r w:rsidR="00325DFC">
        <w:rPr>
          <w:rFonts w:asciiTheme="minorHAnsi" w:hAnsiTheme="minorHAnsi"/>
        </w:rPr>
        <w:t>);</w:t>
      </w:r>
      <w:r w:rsidR="00A369F2">
        <w:rPr>
          <w:rFonts w:asciiTheme="minorHAnsi" w:hAnsiTheme="minorHAnsi"/>
        </w:rPr>
        <w:t xml:space="preserve"> in others, it may require the offender to serve the </w:t>
      </w:r>
      <w:r w:rsidR="0033087F">
        <w:rPr>
          <w:rFonts w:asciiTheme="minorHAnsi" w:hAnsiTheme="minorHAnsi"/>
        </w:rPr>
        <w:t xml:space="preserve">whole of the sentence in prison. </w:t>
      </w:r>
      <w:r w:rsidR="00A369F2">
        <w:rPr>
          <w:rFonts w:asciiTheme="minorHAnsi" w:hAnsiTheme="minorHAnsi"/>
        </w:rPr>
        <w:t xml:space="preserve"> </w:t>
      </w:r>
      <w:r w:rsidR="0033087F">
        <w:rPr>
          <w:rFonts w:asciiTheme="minorHAnsi" w:hAnsiTheme="minorHAnsi"/>
        </w:rPr>
        <w:t>Usually</w:t>
      </w:r>
      <w:r w:rsidR="00A369F2">
        <w:rPr>
          <w:rFonts w:asciiTheme="minorHAnsi" w:hAnsiTheme="minorHAnsi"/>
        </w:rPr>
        <w:t>, however, the court will fix a period, or minimum period</w:t>
      </w:r>
      <w:r w:rsidR="00F47BCE">
        <w:rPr>
          <w:rFonts w:asciiTheme="minorHAnsi" w:hAnsiTheme="minorHAnsi"/>
        </w:rPr>
        <w:t>,</w:t>
      </w:r>
      <w:r w:rsidR="00A369F2">
        <w:rPr>
          <w:rFonts w:asciiTheme="minorHAnsi" w:hAnsiTheme="minorHAnsi"/>
        </w:rPr>
        <w:t xml:space="preserve"> to be served</w:t>
      </w:r>
      <w:r w:rsidR="00056D33">
        <w:rPr>
          <w:rFonts w:asciiTheme="minorHAnsi" w:hAnsiTheme="minorHAnsi"/>
        </w:rPr>
        <w:t xml:space="preserve"> and has a wide </w:t>
      </w:r>
      <w:r w:rsidR="00325DFC">
        <w:rPr>
          <w:rFonts w:asciiTheme="minorHAnsi" w:hAnsiTheme="minorHAnsi"/>
        </w:rPr>
        <w:t xml:space="preserve">(although not unfettered) </w:t>
      </w:r>
      <w:r w:rsidR="00056D33">
        <w:rPr>
          <w:rFonts w:asciiTheme="minorHAnsi" w:hAnsiTheme="minorHAnsi"/>
        </w:rPr>
        <w:t>discretion in setting that period</w:t>
      </w:r>
      <w:r w:rsidR="00A369F2">
        <w:rPr>
          <w:rFonts w:asciiTheme="minorHAnsi" w:hAnsiTheme="minorHAnsi"/>
        </w:rPr>
        <w:t>.</w:t>
      </w:r>
    </w:p>
    <w:p w14:paraId="6FA27EC5" w14:textId="77777777" w:rsidR="009E6279" w:rsidRDefault="009E6279" w:rsidP="009E6279">
      <w:pPr>
        <w:widowControl w:val="0"/>
        <w:spacing w:line="276" w:lineRule="auto"/>
        <w:jc w:val="both"/>
        <w:rPr>
          <w:rFonts w:asciiTheme="minorHAnsi" w:hAnsiTheme="minorHAnsi"/>
        </w:rPr>
      </w:pPr>
    </w:p>
    <w:p w14:paraId="371BB689" w14:textId="7E3557F8" w:rsidR="009D4600" w:rsidRDefault="00056D3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Discretionary judgments about </w:t>
      </w:r>
      <w:r w:rsidR="00A7574A">
        <w:rPr>
          <w:rFonts w:asciiTheme="minorHAnsi" w:hAnsiTheme="minorHAnsi"/>
        </w:rPr>
        <w:t>whether or not to fix</w:t>
      </w:r>
      <w:r w:rsidR="00B56675">
        <w:rPr>
          <w:rFonts w:asciiTheme="minorHAnsi" w:hAnsiTheme="minorHAnsi"/>
        </w:rPr>
        <w:t xml:space="preserve"> a </w:t>
      </w:r>
      <w:r w:rsidR="005E6C11">
        <w:rPr>
          <w:rFonts w:asciiTheme="minorHAnsi" w:hAnsiTheme="minorHAnsi"/>
        </w:rPr>
        <w:t xml:space="preserve">period or minimum </w:t>
      </w:r>
      <w:r w:rsidR="00B56675">
        <w:rPr>
          <w:rFonts w:asciiTheme="minorHAnsi" w:hAnsiTheme="minorHAnsi"/>
        </w:rPr>
        <w:t xml:space="preserve">period </w:t>
      </w:r>
      <w:r w:rsidR="005E6C11">
        <w:rPr>
          <w:rFonts w:asciiTheme="minorHAnsi" w:hAnsiTheme="minorHAnsi"/>
        </w:rPr>
        <w:t xml:space="preserve">of incarceration </w:t>
      </w:r>
      <w:r w:rsidR="00B56675">
        <w:rPr>
          <w:rFonts w:asciiTheme="minorHAnsi" w:hAnsiTheme="minorHAnsi"/>
        </w:rPr>
        <w:t>for a federal offen</w:t>
      </w:r>
      <w:r w:rsidR="00F10186">
        <w:rPr>
          <w:rFonts w:asciiTheme="minorHAnsi" w:hAnsiTheme="minorHAnsi"/>
        </w:rPr>
        <w:t>ce</w:t>
      </w:r>
      <w:r w:rsidR="00A7574A">
        <w:rPr>
          <w:rFonts w:asciiTheme="minorHAnsi" w:hAnsiTheme="minorHAnsi"/>
        </w:rPr>
        <w:t>, or the length of any such period,</w:t>
      </w:r>
      <w:r w:rsidR="00F10186">
        <w:rPr>
          <w:rFonts w:asciiTheme="minorHAnsi" w:hAnsiTheme="minorHAnsi"/>
        </w:rPr>
        <w:t xml:space="preserve"> must be made according to the </w:t>
      </w:r>
      <w:r w:rsidR="005E6C11">
        <w:rPr>
          <w:rFonts w:asciiTheme="minorHAnsi" w:hAnsiTheme="minorHAnsi"/>
        </w:rPr>
        <w:t xml:space="preserve">same </w:t>
      </w:r>
      <w:r w:rsidR="00F10186">
        <w:rPr>
          <w:rFonts w:asciiTheme="minorHAnsi" w:hAnsiTheme="minorHAnsi"/>
        </w:rPr>
        <w:t xml:space="preserve">general principles </w:t>
      </w:r>
      <w:r w:rsidR="005E6C11">
        <w:rPr>
          <w:rFonts w:asciiTheme="minorHAnsi" w:hAnsiTheme="minorHAnsi"/>
        </w:rPr>
        <w:t xml:space="preserve">that </w:t>
      </w:r>
      <w:r w:rsidR="00F10186">
        <w:rPr>
          <w:rFonts w:asciiTheme="minorHAnsi" w:hAnsiTheme="minorHAnsi"/>
        </w:rPr>
        <w:t>govern</w:t>
      </w:r>
      <w:r w:rsidR="005E6C11">
        <w:rPr>
          <w:rFonts w:asciiTheme="minorHAnsi" w:hAnsiTheme="minorHAnsi"/>
        </w:rPr>
        <w:t xml:space="preserve"> other aspects of</w:t>
      </w:r>
      <w:r w:rsidR="00F10186">
        <w:rPr>
          <w:rFonts w:asciiTheme="minorHAnsi" w:hAnsiTheme="minorHAnsi"/>
        </w:rPr>
        <w:t xml:space="preserve"> the sentencing of </w:t>
      </w:r>
      <w:r w:rsidR="005E6C11">
        <w:rPr>
          <w:rFonts w:asciiTheme="minorHAnsi" w:hAnsiTheme="minorHAnsi"/>
        </w:rPr>
        <w:t xml:space="preserve">a </w:t>
      </w:r>
      <w:r w:rsidR="00F10186">
        <w:rPr>
          <w:rFonts w:asciiTheme="minorHAnsi" w:hAnsiTheme="minorHAnsi"/>
        </w:rPr>
        <w:t xml:space="preserve">federal offender.  </w:t>
      </w:r>
      <w:r w:rsidR="009D4600">
        <w:rPr>
          <w:rFonts w:asciiTheme="minorHAnsi" w:hAnsiTheme="minorHAnsi"/>
        </w:rPr>
        <w:t xml:space="preserve">The fundamental obligation of a court in sentencing a federal offender is to </w:t>
      </w:r>
      <w:r w:rsidR="009D4600" w:rsidRPr="00C00000">
        <w:rPr>
          <w:rFonts w:asciiTheme="minorHAnsi" w:hAnsiTheme="minorHAnsi"/>
        </w:rPr>
        <w:t xml:space="preserve">impose a sentence or </w:t>
      </w:r>
      <w:r w:rsidR="009C4ECF">
        <w:rPr>
          <w:rFonts w:asciiTheme="minorHAnsi" w:hAnsiTheme="minorHAnsi"/>
        </w:rPr>
        <w:t xml:space="preserve">make an </w:t>
      </w:r>
      <w:r w:rsidR="009D4600" w:rsidRPr="00C00000">
        <w:rPr>
          <w:rFonts w:asciiTheme="minorHAnsi" w:hAnsiTheme="minorHAnsi"/>
        </w:rPr>
        <w:t>order that is of a severity appropriate in all the circumstances of the offence</w:t>
      </w:r>
      <w:r w:rsidR="009D4600">
        <w:rPr>
          <w:rFonts w:asciiTheme="minorHAnsi" w:hAnsiTheme="minorHAnsi"/>
        </w:rPr>
        <w:t xml:space="preserve"> (</w:t>
      </w:r>
      <w:r w:rsidR="00885EFD" w:rsidRPr="00885EFD">
        <w:rPr>
          <w:rFonts w:asciiTheme="minorHAnsi" w:hAnsiTheme="minorHAnsi"/>
          <w:i/>
        </w:rPr>
        <w:t>Crimes Act 1914</w:t>
      </w:r>
      <w:r w:rsidR="009D4600">
        <w:rPr>
          <w:rFonts w:asciiTheme="minorHAnsi" w:hAnsiTheme="minorHAnsi"/>
        </w:rPr>
        <w:t xml:space="preserve"> (Cth), s 16A(1))</w:t>
      </w:r>
      <w:r w:rsidR="009D4600" w:rsidRPr="00C00000">
        <w:rPr>
          <w:rFonts w:asciiTheme="minorHAnsi" w:hAnsiTheme="minorHAnsi"/>
        </w:rPr>
        <w:t xml:space="preserve">.  </w:t>
      </w:r>
      <w:r w:rsidR="000D3205">
        <w:rPr>
          <w:rFonts w:asciiTheme="minorHAnsi" w:hAnsiTheme="minorHAnsi"/>
        </w:rPr>
        <w:t xml:space="preserve">As the High Court </w:t>
      </w:r>
      <w:r w:rsidR="00F47D0C">
        <w:rPr>
          <w:rFonts w:asciiTheme="minorHAnsi" w:hAnsiTheme="minorHAnsi"/>
        </w:rPr>
        <w:t>emphas</w:t>
      </w:r>
      <w:r w:rsidR="00B86888">
        <w:rPr>
          <w:rFonts w:asciiTheme="minorHAnsi" w:hAnsiTheme="minorHAnsi"/>
        </w:rPr>
        <w:t>ised</w:t>
      </w:r>
      <w:r w:rsidR="000D3205">
        <w:rPr>
          <w:rFonts w:asciiTheme="minorHAnsi" w:hAnsiTheme="minorHAnsi"/>
        </w:rPr>
        <w:t xml:space="preserve"> in </w:t>
      </w:r>
      <w:r w:rsidR="00F47BCE" w:rsidRPr="00355D49">
        <w:rPr>
          <w:rFonts w:asciiTheme="minorHAnsi" w:hAnsiTheme="minorHAnsi"/>
          <w:i/>
        </w:rPr>
        <w:t>Hili</w:t>
      </w:r>
      <w:r w:rsidR="00F47BCE">
        <w:rPr>
          <w:rFonts w:asciiTheme="minorHAnsi" w:hAnsiTheme="minorHAnsi"/>
        </w:rPr>
        <w:t>,</w:t>
      </w:r>
      <w:r w:rsidR="002B1D44" w:rsidRPr="00C00000">
        <w:rPr>
          <w:rStyle w:val="Style"/>
          <w:rFonts w:asciiTheme="minorHAnsi" w:hAnsiTheme="minorHAnsi"/>
        </w:rPr>
        <w:footnoteReference w:id="776"/>
      </w:r>
      <w:r w:rsidR="00F47BCE">
        <w:rPr>
          <w:rFonts w:asciiTheme="minorHAnsi" w:hAnsiTheme="minorHAnsi"/>
        </w:rPr>
        <w:t xml:space="preserve"> </w:t>
      </w:r>
      <w:r w:rsidR="002854AF">
        <w:rPr>
          <w:rFonts w:asciiTheme="minorHAnsi" w:hAnsiTheme="minorHAnsi"/>
        </w:rPr>
        <w:t>s 16A(1) and (2) make it plain that a</w:t>
      </w:r>
      <w:r w:rsidR="009E6279" w:rsidRPr="009E6279">
        <w:rPr>
          <w:rFonts w:asciiTheme="minorHAnsi" w:hAnsiTheme="minorHAnsi"/>
        </w:rPr>
        <w:t>ll of the circumstances, including the matters list</w:t>
      </w:r>
      <w:r w:rsidR="00BD5421">
        <w:rPr>
          <w:rFonts w:asciiTheme="minorHAnsi" w:hAnsiTheme="minorHAnsi"/>
        </w:rPr>
        <w:t>ed</w:t>
      </w:r>
      <w:r w:rsidR="009E6279" w:rsidRPr="009E6279">
        <w:rPr>
          <w:rFonts w:asciiTheme="minorHAnsi" w:hAnsiTheme="minorHAnsi"/>
        </w:rPr>
        <w:t xml:space="preserve"> in s 16A(2), must be taken into account in </w:t>
      </w:r>
      <w:r w:rsidR="002854AF">
        <w:rPr>
          <w:rFonts w:asciiTheme="minorHAnsi" w:hAnsiTheme="minorHAnsi"/>
        </w:rPr>
        <w:t>fixing the period, or minimum period, to be served,</w:t>
      </w:r>
      <w:r w:rsidR="009E6279" w:rsidRPr="009E6279">
        <w:rPr>
          <w:rFonts w:asciiTheme="minorHAnsi" w:hAnsiTheme="minorHAnsi"/>
        </w:rPr>
        <w:t xml:space="preserve"> just as they must be taken into account in imposing a sentence of imprisonment</w:t>
      </w:r>
      <w:r w:rsidR="009E6279">
        <w:rPr>
          <w:rFonts w:asciiTheme="minorHAnsi" w:hAnsiTheme="minorHAnsi"/>
        </w:rPr>
        <w:t xml:space="preserve">.  </w:t>
      </w:r>
      <w:r w:rsidR="003E6C8D">
        <w:rPr>
          <w:rFonts w:asciiTheme="minorHAnsi" w:hAnsiTheme="minorHAnsi"/>
        </w:rPr>
        <w:t>(</w:t>
      </w:r>
      <w:r w:rsidR="001D6560">
        <w:rPr>
          <w:rFonts w:asciiTheme="minorHAnsi" w:hAnsiTheme="minorHAnsi"/>
        </w:rPr>
        <w:t>The same is true in relation to a decision whether to release the offender forthwith, or conversely to impose a straight sentence.</w:t>
      </w:r>
      <w:r w:rsidR="003E6C8D">
        <w:rPr>
          <w:rFonts w:asciiTheme="minorHAnsi" w:hAnsiTheme="minorHAnsi"/>
        </w:rPr>
        <w:t>)  T</w:t>
      </w:r>
      <w:r w:rsidR="003E6C8D" w:rsidRPr="003E6C8D">
        <w:rPr>
          <w:rFonts w:asciiTheme="minorHAnsi" w:hAnsiTheme="minorHAnsi"/>
        </w:rPr>
        <w:t xml:space="preserve">he </w:t>
      </w:r>
      <w:r w:rsidR="008A41B0">
        <w:rPr>
          <w:rFonts w:asciiTheme="minorHAnsi" w:hAnsiTheme="minorHAnsi"/>
        </w:rPr>
        <w:t xml:space="preserve">relevant </w:t>
      </w:r>
      <w:r w:rsidR="003E6C8D" w:rsidRPr="003E6C8D">
        <w:rPr>
          <w:rFonts w:asciiTheme="minorHAnsi" w:hAnsiTheme="minorHAnsi"/>
        </w:rPr>
        <w:t>factors may be differently weighted at each stage of the exercise because there are different purposes behind each function.</w:t>
      </w:r>
      <w:r w:rsidR="003E6C8D" w:rsidRPr="00C00000">
        <w:rPr>
          <w:rStyle w:val="Style"/>
          <w:rFonts w:asciiTheme="minorHAnsi" w:hAnsiTheme="minorHAnsi"/>
        </w:rPr>
        <w:footnoteReference w:id="777"/>
      </w:r>
    </w:p>
    <w:p w14:paraId="10BE0BF2" w14:textId="26D67299" w:rsidR="00BE0E73" w:rsidRPr="002854AF" w:rsidRDefault="00BE0E73" w:rsidP="009C4ECF">
      <w:pPr>
        <w:widowControl w:val="0"/>
        <w:spacing w:line="276" w:lineRule="auto"/>
        <w:jc w:val="both"/>
        <w:rPr>
          <w:rFonts w:asciiTheme="minorHAnsi" w:hAnsiTheme="minorHAnsi"/>
        </w:rPr>
      </w:pPr>
    </w:p>
    <w:p w14:paraId="2D2E3316" w14:textId="23493D21" w:rsidR="00B55711" w:rsidRDefault="00B5571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One consequence of the application of </w:t>
      </w:r>
      <w:r w:rsidR="001D6560">
        <w:rPr>
          <w:rFonts w:asciiTheme="minorHAnsi" w:hAnsiTheme="minorHAnsi"/>
        </w:rPr>
        <w:t>the sentencing</w:t>
      </w:r>
      <w:r>
        <w:rPr>
          <w:rFonts w:asciiTheme="minorHAnsi" w:hAnsiTheme="minorHAnsi"/>
        </w:rPr>
        <w:t xml:space="preserve"> principles </w:t>
      </w:r>
      <w:r w:rsidR="001D6560">
        <w:rPr>
          <w:rFonts w:asciiTheme="minorHAnsi" w:hAnsiTheme="minorHAnsi"/>
        </w:rPr>
        <w:t xml:space="preserve">in s 16A of the </w:t>
      </w:r>
      <w:r w:rsidR="00885EFD" w:rsidRPr="00885EFD">
        <w:rPr>
          <w:rFonts w:asciiTheme="minorHAnsi" w:hAnsiTheme="minorHAnsi"/>
          <w:i/>
        </w:rPr>
        <w:t>Crimes Act 1914</w:t>
      </w:r>
      <w:r w:rsidR="001D6560">
        <w:rPr>
          <w:rFonts w:asciiTheme="minorHAnsi" w:hAnsiTheme="minorHAnsi"/>
        </w:rPr>
        <w:t xml:space="preserve"> (Cth) </w:t>
      </w:r>
      <w:r>
        <w:rPr>
          <w:rFonts w:asciiTheme="minorHAnsi" w:hAnsiTheme="minorHAnsi"/>
        </w:rPr>
        <w:t xml:space="preserve">is that there is no scope for </w:t>
      </w:r>
      <w:r w:rsidR="009C519C">
        <w:rPr>
          <w:rFonts w:asciiTheme="minorHAnsi" w:hAnsiTheme="minorHAnsi"/>
        </w:rPr>
        <w:t>any presumptive approach, or “norm”, in determining the appropriate period or minimum period which the offender should be required to serve.</w:t>
      </w:r>
      <w:r w:rsidR="009C519C" w:rsidRPr="00C00000">
        <w:rPr>
          <w:rStyle w:val="Style"/>
          <w:rFonts w:asciiTheme="minorHAnsi" w:hAnsiTheme="minorHAnsi"/>
        </w:rPr>
        <w:footnoteReference w:id="778"/>
      </w:r>
      <w:r w:rsidR="009C519C">
        <w:rPr>
          <w:rFonts w:asciiTheme="minorHAnsi" w:hAnsiTheme="minorHAnsi"/>
        </w:rPr>
        <w:t xml:space="preserve">  The High Court in </w:t>
      </w:r>
      <w:r w:rsidR="009C519C" w:rsidRPr="009C519C">
        <w:rPr>
          <w:rFonts w:asciiTheme="minorHAnsi" w:hAnsiTheme="minorHAnsi"/>
          <w:i/>
        </w:rPr>
        <w:t>Hili</w:t>
      </w:r>
      <w:r w:rsidR="009C519C">
        <w:rPr>
          <w:rFonts w:asciiTheme="minorHAnsi" w:hAnsiTheme="minorHAnsi"/>
        </w:rPr>
        <w:t xml:space="preserve"> </w:t>
      </w:r>
      <w:r w:rsidR="00452163">
        <w:rPr>
          <w:rFonts w:asciiTheme="minorHAnsi" w:hAnsiTheme="minorHAnsi"/>
        </w:rPr>
        <w:t xml:space="preserve">held that </w:t>
      </w:r>
      <w:r w:rsidR="009C519C">
        <w:rPr>
          <w:rFonts w:asciiTheme="minorHAnsi" w:hAnsiTheme="minorHAnsi"/>
        </w:rPr>
        <w:t>statements by the N</w:t>
      </w:r>
      <w:r w:rsidR="00D9505A">
        <w:rPr>
          <w:rFonts w:asciiTheme="minorHAnsi" w:hAnsiTheme="minorHAnsi"/>
        </w:rPr>
        <w:t>ew South Wales</w:t>
      </w:r>
      <w:r w:rsidR="009C519C">
        <w:rPr>
          <w:rFonts w:asciiTheme="minorHAnsi" w:hAnsiTheme="minorHAnsi"/>
        </w:rPr>
        <w:t xml:space="preserve"> Court of Criminal Appeal</w:t>
      </w:r>
      <w:r w:rsidR="00412CB4" w:rsidRPr="00C00000">
        <w:rPr>
          <w:rStyle w:val="Style"/>
          <w:rFonts w:asciiTheme="minorHAnsi" w:hAnsiTheme="minorHAnsi"/>
        </w:rPr>
        <w:footnoteReference w:id="779"/>
      </w:r>
      <w:r w:rsidR="00D9505A">
        <w:rPr>
          <w:rFonts w:asciiTheme="minorHAnsi" w:hAnsiTheme="minorHAnsi"/>
        </w:rPr>
        <w:t xml:space="preserve"> </w:t>
      </w:r>
      <w:r w:rsidR="009C519C">
        <w:rPr>
          <w:rFonts w:asciiTheme="minorHAnsi" w:hAnsiTheme="minorHAnsi"/>
        </w:rPr>
        <w:t>which purported to dictate</w:t>
      </w:r>
      <w:r w:rsidR="00D9505A">
        <w:rPr>
          <w:rFonts w:asciiTheme="minorHAnsi" w:hAnsiTheme="minorHAnsi"/>
        </w:rPr>
        <w:t>, as a “norm” to be departed from only in special circumstances,</w:t>
      </w:r>
      <w:r w:rsidR="009C519C">
        <w:rPr>
          <w:rFonts w:asciiTheme="minorHAnsi" w:hAnsiTheme="minorHAnsi"/>
        </w:rPr>
        <w:t xml:space="preserve"> that the period or minimum period to be served should represent a particular proportion of the head sentence</w:t>
      </w:r>
      <w:r w:rsidR="00452163">
        <w:rPr>
          <w:rFonts w:asciiTheme="minorHAnsi" w:hAnsiTheme="minorHAnsi"/>
        </w:rPr>
        <w:t>, were erroneous</w:t>
      </w:r>
      <w:r w:rsidR="009C519C">
        <w:rPr>
          <w:rFonts w:asciiTheme="minorHAnsi" w:hAnsiTheme="minorHAnsi"/>
        </w:rPr>
        <w:t>.</w:t>
      </w:r>
      <w:r w:rsidR="00452163" w:rsidRPr="00C00000">
        <w:rPr>
          <w:rStyle w:val="Style"/>
          <w:rFonts w:asciiTheme="minorHAnsi" w:hAnsiTheme="minorHAnsi"/>
        </w:rPr>
        <w:footnoteReference w:id="780"/>
      </w:r>
      <w:r w:rsidR="009C4ECF">
        <w:rPr>
          <w:rFonts w:asciiTheme="minorHAnsi" w:hAnsiTheme="minorHAnsi"/>
        </w:rPr>
        <w:t xml:space="preserve">  The </w:t>
      </w:r>
      <w:r w:rsidR="008A41B0">
        <w:rPr>
          <w:rFonts w:asciiTheme="minorHAnsi" w:hAnsiTheme="minorHAnsi"/>
        </w:rPr>
        <w:t>plurality</w:t>
      </w:r>
      <w:r w:rsidR="009C4ECF">
        <w:rPr>
          <w:rFonts w:asciiTheme="minorHAnsi" w:hAnsiTheme="minorHAnsi"/>
        </w:rPr>
        <w:t xml:space="preserve"> in </w:t>
      </w:r>
      <w:r w:rsidR="009C4ECF" w:rsidRPr="00142AE5">
        <w:rPr>
          <w:rFonts w:asciiTheme="minorHAnsi" w:hAnsiTheme="minorHAnsi"/>
          <w:i/>
        </w:rPr>
        <w:t>Hili</w:t>
      </w:r>
      <w:r w:rsidR="009C4ECF">
        <w:rPr>
          <w:rFonts w:asciiTheme="minorHAnsi" w:hAnsiTheme="minorHAnsi"/>
        </w:rPr>
        <w:t xml:space="preserve"> observed that s </w:t>
      </w:r>
      <w:r w:rsidR="009C4ECF" w:rsidRPr="009C4ECF">
        <w:rPr>
          <w:rFonts w:asciiTheme="minorHAnsi" w:hAnsiTheme="minorHAnsi"/>
        </w:rPr>
        <w:t xml:space="preserve">16A </w:t>
      </w:r>
      <w:r w:rsidR="00142AE5">
        <w:rPr>
          <w:rFonts w:asciiTheme="minorHAnsi" w:hAnsiTheme="minorHAnsi"/>
        </w:rPr>
        <w:t>“</w:t>
      </w:r>
      <w:r w:rsidR="009C4ECF" w:rsidRPr="00397D21">
        <w:rPr>
          <w:rFonts w:asciiTheme="minorHAnsi" w:hAnsiTheme="minorHAnsi"/>
          <w:i/>
        </w:rPr>
        <w:t xml:space="preserve">does not permit the making of generalisations across all forms of federal offence about how </w:t>
      </w:r>
      <w:r w:rsidR="009C4ECF" w:rsidRPr="00397D21">
        <w:rPr>
          <w:rFonts w:asciiTheme="minorHAnsi" w:hAnsiTheme="minorHAnsi"/>
          <w:i/>
          <w:u w:val="single"/>
        </w:rPr>
        <w:t>individual</w:t>
      </w:r>
      <w:r w:rsidR="009C4ECF" w:rsidRPr="00397D21">
        <w:rPr>
          <w:rFonts w:asciiTheme="minorHAnsi" w:hAnsiTheme="minorHAnsi"/>
          <w:i/>
        </w:rPr>
        <w:t xml:space="preserve"> sentences are to be fixed</w:t>
      </w:r>
      <w:r w:rsidR="00142AE5" w:rsidRPr="00397D21">
        <w:rPr>
          <w:rFonts w:asciiTheme="minorHAnsi" w:hAnsiTheme="minorHAnsi"/>
          <w:i/>
        </w:rPr>
        <w:t>.</w:t>
      </w:r>
      <w:r w:rsidR="00397D21">
        <w:rPr>
          <w:rFonts w:asciiTheme="minorHAnsi" w:hAnsiTheme="minorHAnsi"/>
        </w:rPr>
        <w:t>”</w:t>
      </w:r>
      <w:r w:rsidR="00397D21" w:rsidRPr="00C00000">
        <w:rPr>
          <w:rStyle w:val="Style"/>
          <w:rFonts w:asciiTheme="minorHAnsi" w:hAnsiTheme="minorHAnsi"/>
        </w:rPr>
        <w:footnoteReference w:id="781"/>
      </w:r>
    </w:p>
    <w:p w14:paraId="44CEC43B" w14:textId="79533A28" w:rsidR="009C4ECF" w:rsidRDefault="009C4ECF" w:rsidP="009C4ECF">
      <w:pPr>
        <w:autoSpaceDE w:val="0"/>
        <w:autoSpaceDN w:val="0"/>
        <w:adjustRightInd w:val="0"/>
        <w:rPr>
          <w:rFonts w:asciiTheme="minorHAnsi" w:hAnsiTheme="minorHAnsi"/>
        </w:rPr>
      </w:pPr>
    </w:p>
    <w:p w14:paraId="08EB00B4" w14:textId="30DFB27F" w:rsidR="002025F9" w:rsidRDefault="00D33DC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t>
      </w:r>
      <w:r w:rsidR="008A41B0">
        <w:rPr>
          <w:rFonts w:asciiTheme="minorHAnsi" w:hAnsiTheme="minorHAnsi"/>
        </w:rPr>
        <w:t xml:space="preserve">plurality </w:t>
      </w:r>
      <w:r>
        <w:rPr>
          <w:rFonts w:asciiTheme="minorHAnsi" w:hAnsiTheme="minorHAnsi"/>
        </w:rPr>
        <w:t xml:space="preserve">in </w:t>
      </w:r>
      <w:r w:rsidRPr="00D33DC8">
        <w:rPr>
          <w:rFonts w:asciiTheme="minorHAnsi" w:hAnsiTheme="minorHAnsi"/>
          <w:i/>
        </w:rPr>
        <w:t>Hili</w:t>
      </w:r>
      <w:r w:rsidRPr="00C00000">
        <w:rPr>
          <w:rStyle w:val="Style"/>
          <w:rFonts w:asciiTheme="minorHAnsi" w:hAnsiTheme="minorHAnsi"/>
        </w:rPr>
        <w:footnoteReference w:id="782"/>
      </w:r>
      <w:r>
        <w:rPr>
          <w:rFonts w:asciiTheme="minorHAnsi" w:hAnsiTheme="minorHAnsi"/>
        </w:rPr>
        <w:t xml:space="preserve"> also said that</w:t>
      </w:r>
      <w:r w:rsidR="00CE68C6">
        <w:rPr>
          <w:rFonts w:asciiTheme="minorHAnsi" w:hAnsiTheme="minorHAnsi"/>
        </w:rPr>
        <w:t>,</w:t>
      </w:r>
      <w:r>
        <w:rPr>
          <w:rFonts w:asciiTheme="minorHAnsi" w:hAnsiTheme="minorHAnsi"/>
        </w:rPr>
        <w:t xml:space="preserve"> </w:t>
      </w:r>
      <w:r w:rsidR="00CE68C6">
        <w:rPr>
          <w:rFonts w:asciiTheme="minorHAnsi" w:hAnsiTheme="minorHAnsi"/>
        </w:rPr>
        <w:t xml:space="preserve">in fixing a period or minimum period of incarceration, </w:t>
      </w:r>
      <w:r>
        <w:rPr>
          <w:rFonts w:asciiTheme="minorHAnsi" w:hAnsiTheme="minorHAnsi"/>
        </w:rPr>
        <w:t>w</w:t>
      </w:r>
      <w:r w:rsidR="002025F9" w:rsidRPr="00D33DC8">
        <w:rPr>
          <w:rFonts w:asciiTheme="minorHAnsi" w:hAnsiTheme="minorHAnsi"/>
        </w:rPr>
        <w:t xml:space="preserve">hat is the “severity appropriate” </w:t>
      </w:r>
      <w:r>
        <w:rPr>
          <w:rFonts w:asciiTheme="minorHAnsi" w:hAnsiTheme="minorHAnsi"/>
        </w:rPr>
        <w:t xml:space="preserve">(within the meaning of s 16A(1)) </w:t>
      </w:r>
      <w:r w:rsidR="002025F9" w:rsidRPr="00D33DC8">
        <w:rPr>
          <w:rFonts w:asciiTheme="minorHAnsi" w:hAnsiTheme="minorHAnsi"/>
        </w:rPr>
        <w:t xml:space="preserve">is </w:t>
      </w:r>
      <w:r>
        <w:rPr>
          <w:rFonts w:asciiTheme="minorHAnsi" w:hAnsiTheme="minorHAnsi"/>
        </w:rPr>
        <w:t xml:space="preserve">to be </w:t>
      </w:r>
      <w:r w:rsidR="002025F9" w:rsidRPr="00D33DC8">
        <w:rPr>
          <w:rFonts w:asciiTheme="minorHAnsi" w:hAnsiTheme="minorHAnsi"/>
        </w:rPr>
        <w:t xml:space="preserve">determined having regard to the general principles identified in </w:t>
      </w:r>
      <w:r w:rsidR="002025F9" w:rsidRPr="00D33DC8">
        <w:rPr>
          <w:rFonts w:asciiTheme="minorHAnsi" w:hAnsiTheme="minorHAnsi"/>
          <w:i/>
        </w:rPr>
        <w:t>Power</w:t>
      </w:r>
      <w:r w:rsidR="002025F9" w:rsidRPr="00D33DC8">
        <w:rPr>
          <w:rFonts w:asciiTheme="minorHAnsi" w:hAnsiTheme="minorHAnsi"/>
        </w:rPr>
        <w:t>,</w:t>
      </w:r>
      <w:r w:rsidRPr="00C00000">
        <w:rPr>
          <w:rStyle w:val="Style"/>
          <w:rFonts w:asciiTheme="minorHAnsi" w:hAnsiTheme="minorHAnsi"/>
        </w:rPr>
        <w:footnoteReference w:id="783"/>
      </w:r>
      <w:r w:rsidR="002025F9" w:rsidRPr="00D33DC8">
        <w:rPr>
          <w:rFonts w:asciiTheme="minorHAnsi" w:hAnsiTheme="minorHAnsi"/>
        </w:rPr>
        <w:t xml:space="preserve"> </w:t>
      </w:r>
      <w:r w:rsidR="002025F9" w:rsidRPr="00D33DC8">
        <w:rPr>
          <w:rFonts w:asciiTheme="minorHAnsi" w:hAnsiTheme="minorHAnsi"/>
          <w:i/>
        </w:rPr>
        <w:t>Deakin</w:t>
      </w:r>
      <w:r w:rsidRPr="00C00000">
        <w:rPr>
          <w:rStyle w:val="Style"/>
          <w:rFonts w:asciiTheme="minorHAnsi" w:hAnsiTheme="minorHAnsi"/>
        </w:rPr>
        <w:footnoteReference w:id="784"/>
      </w:r>
      <w:r w:rsidRPr="00D33DC8">
        <w:rPr>
          <w:rFonts w:asciiTheme="minorHAnsi" w:hAnsiTheme="minorHAnsi"/>
        </w:rPr>
        <w:t xml:space="preserve"> </w:t>
      </w:r>
      <w:r w:rsidR="002025F9" w:rsidRPr="00D33DC8">
        <w:rPr>
          <w:rFonts w:asciiTheme="minorHAnsi" w:hAnsiTheme="minorHAnsi"/>
        </w:rPr>
        <w:t xml:space="preserve">and </w:t>
      </w:r>
      <w:r w:rsidR="002025F9" w:rsidRPr="00D33DC8">
        <w:rPr>
          <w:rFonts w:asciiTheme="minorHAnsi" w:hAnsiTheme="minorHAnsi"/>
          <w:i/>
        </w:rPr>
        <w:t>Bugmy</w:t>
      </w:r>
      <w:r w:rsidR="002025F9" w:rsidRPr="00D33DC8">
        <w:rPr>
          <w:rFonts w:asciiTheme="minorHAnsi" w:hAnsiTheme="minorHAnsi"/>
        </w:rPr>
        <w:t>.</w:t>
      </w:r>
      <w:r w:rsidRPr="00C00000">
        <w:rPr>
          <w:rStyle w:val="Style"/>
          <w:rFonts w:asciiTheme="minorHAnsi" w:hAnsiTheme="minorHAnsi"/>
        </w:rPr>
        <w:footnoteReference w:id="785"/>
      </w:r>
      <w:r w:rsidR="00563A0E">
        <w:rPr>
          <w:rFonts w:asciiTheme="minorHAnsi" w:hAnsiTheme="minorHAnsi"/>
        </w:rPr>
        <w:t xml:space="preserve">  Those </w:t>
      </w:r>
      <w:r w:rsidR="00CE68C6">
        <w:rPr>
          <w:rFonts w:asciiTheme="minorHAnsi" w:hAnsiTheme="minorHAnsi"/>
        </w:rPr>
        <w:t>cases establish that t</w:t>
      </w:r>
      <w:r w:rsidR="00CE68C6" w:rsidRPr="00B258DC">
        <w:rPr>
          <w:rFonts w:asciiTheme="minorHAnsi" w:hAnsiTheme="minorHAnsi"/>
        </w:rPr>
        <w:t xml:space="preserve">he purpose of fixing a minimum period of incarceration is to provide for mitigation of the punishment of the offender in favour of his or her rehabilitation through conditional freedom, when appropriate, once the prisoner has served the minimum time that a </w:t>
      </w:r>
      <w:r w:rsidR="00CE68C6">
        <w:rPr>
          <w:rFonts w:asciiTheme="minorHAnsi" w:hAnsiTheme="minorHAnsi"/>
        </w:rPr>
        <w:t>sentencing court</w:t>
      </w:r>
      <w:r w:rsidR="00CE68C6" w:rsidRPr="00B258DC">
        <w:rPr>
          <w:rFonts w:asciiTheme="minorHAnsi" w:hAnsiTheme="minorHAnsi"/>
        </w:rPr>
        <w:t xml:space="preserve"> determines justice requires that the offender must serve</w:t>
      </w:r>
      <w:r w:rsidR="008A41B0">
        <w:rPr>
          <w:rFonts w:asciiTheme="minorHAnsi" w:hAnsiTheme="minorHAnsi"/>
        </w:rPr>
        <w:t>,</w:t>
      </w:r>
      <w:r w:rsidR="00CE68C6" w:rsidRPr="00B258DC">
        <w:rPr>
          <w:rFonts w:asciiTheme="minorHAnsi" w:hAnsiTheme="minorHAnsi"/>
        </w:rPr>
        <w:t xml:space="preserve"> having regard to all the circumstances of the offence</w:t>
      </w:r>
      <w:r w:rsidR="00444B08">
        <w:rPr>
          <w:rFonts w:asciiTheme="minorHAnsi" w:hAnsiTheme="minorHAnsi"/>
        </w:rPr>
        <w:t>.</w:t>
      </w:r>
      <w:r w:rsidR="00827F8D" w:rsidRPr="00C00000">
        <w:rPr>
          <w:rStyle w:val="Style"/>
          <w:rFonts w:asciiTheme="minorHAnsi" w:hAnsiTheme="minorHAnsi"/>
        </w:rPr>
        <w:footnoteReference w:id="786"/>
      </w:r>
      <w:r w:rsidR="00444B08" w:rsidRPr="00051102">
        <w:rPr>
          <w:rFonts w:ascii="Calibri" w:hAnsi="Calibri"/>
        </w:rPr>
        <w:t xml:space="preserve"> </w:t>
      </w:r>
      <w:r w:rsidR="008A41B0" w:rsidRPr="00051102">
        <w:rPr>
          <w:rFonts w:ascii="Calibri" w:hAnsi="Calibri"/>
        </w:rPr>
        <w:t xml:space="preserve"> </w:t>
      </w:r>
      <w:r w:rsidR="00444B08" w:rsidRPr="00444B08">
        <w:rPr>
          <w:rFonts w:asciiTheme="minorHAnsi" w:hAnsiTheme="minorHAnsi"/>
        </w:rPr>
        <w:t xml:space="preserve">In determining what </w:t>
      </w:r>
      <w:r w:rsidR="00444B08">
        <w:rPr>
          <w:rFonts w:asciiTheme="minorHAnsi" w:hAnsiTheme="minorHAnsi"/>
        </w:rPr>
        <w:t xml:space="preserve">period </w:t>
      </w:r>
      <w:r w:rsidR="00444B08" w:rsidRPr="00444B08">
        <w:rPr>
          <w:rFonts w:asciiTheme="minorHAnsi" w:hAnsiTheme="minorHAnsi"/>
        </w:rPr>
        <w:t>justice requires, the objective gravity of the offending and the interests of the community, which imprisonment is designed to serve, must be taken into account.</w:t>
      </w:r>
      <w:r w:rsidR="00444B08" w:rsidRPr="00C00000">
        <w:rPr>
          <w:rStyle w:val="Style"/>
          <w:rFonts w:asciiTheme="minorHAnsi" w:hAnsiTheme="minorHAnsi"/>
        </w:rPr>
        <w:footnoteReference w:id="787"/>
      </w:r>
    </w:p>
    <w:p w14:paraId="1A5C04CD" w14:textId="77777777" w:rsidR="00DA25D9" w:rsidRPr="00C00000" w:rsidRDefault="00DA25D9" w:rsidP="00DA25D9">
      <w:pPr>
        <w:pStyle w:val="BlockText"/>
        <w:tabs>
          <w:tab w:val="clear" w:pos="426"/>
          <w:tab w:val="clear" w:pos="993"/>
        </w:tabs>
        <w:spacing w:before="0" w:line="276" w:lineRule="auto"/>
        <w:ind w:left="567" w:right="-1" w:firstLine="0"/>
        <w:jc w:val="both"/>
        <w:rPr>
          <w:rFonts w:asciiTheme="minorHAnsi" w:hAnsiTheme="minorHAnsi"/>
        </w:rPr>
      </w:pPr>
    </w:p>
    <w:p w14:paraId="5730FEBE" w14:textId="380C9B8D" w:rsidR="00DA25D9" w:rsidRPr="00C00000" w:rsidRDefault="0037163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follows </w:t>
      </w:r>
      <w:r w:rsidR="00364787">
        <w:rPr>
          <w:rFonts w:asciiTheme="minorHAnsi" w:hAnsiTheme="minorHAnsi"/>
        </w:rPr>
        <w:t xml:space="preserve">from these principles </w:t>
      </w:r>
      <w:r>
        <w:rPr>
          <w:rFonts w:asciiTheme="minorHAnsi" w:hAnsiTheme="minorHAnsi"/>
        </w:rPr>
        <w:t>that the period, or minimum period, to be served must</w:t>
      </w:r>
      <w:r w:rsidR="00DA25D9" w:rsidRPr="00C00000">
        <w:rPr>
          <w:rFonts w:asciiTheme="minorHAnsi" w:hAnsiTheme="minorHAnsi"/>
        </w:rPr>
        <w:t xml:space="preserve"> be fixed after </w:t>
      </w:r>
      <w:r>
        <w:rPr>
          <w:rFonts w:asciiTheme="minorHAnsi" w:hAnsiTheme="minorHAnsi"/>
        </w:rPr>
        <w:t xml:space="preserve">determination of </w:t>
      </w:r>
      <w:r w:rsidR="00DA25D9" w:rsidRPr="00C00000">
        <w:rPr>
          <w:rFonts w:asciiTheme="minorHAnsi" w:hAnsiTheme="minorHAnsi"/>
        </w:rPr>
        <w:t xml:space="preserve">the </w:t>
      </w:r>
      <w:r>
        <w:rPr>
          <w:rFonts w:asciiTheme="minorHAnsi" w:hAnsiTheme="minorHAnsi"/>
        </w:rPr>
        <w:t xml:space="preserve">head </w:t>
      </w:r>
      <w:r w:rsidR="00DA25D9" w:rsidRPr="00C00000">
        <w:rPr>
          <w:rFonts w:asciiTheme="minorHAnsi" w:hAnsiTheme="minorHAnsi"/>
        </w:rPr>
        <w:t>sentence.</w:t>
      </w:r>
      <w:r w:rsidR="00DA25D9" w:rsidRPr="00C00000">
        <w:rPr>
          <w:rStyle w:val="Style"/>
          <w:rFonts w:asciiTheme="minorHAnsi" w:hAnsiTheme="minorHAnsi"/>
        </w:rPr>
        <w:footnoteReference w:id="788"/>
      </w:r>
    </w:p>
    <w:p w14:paraId="0DA9A9CD" w14:textId="77777777" w:rsidR="00DA25D9" w:rsidRPr="00C00000" w:rsidRDefault="00DA25D9" w:rsidP="00DA25D9">
      <w:pPr>
        <w:pStyle w:val="BlockText"/>
        <w:tabs>
          <w:tab w:val="clear" w:pos="426"/>
          <w:tab w:val="clear" w:pos="993"/>
        </w:tabs>
        <w:spacing w:before="0" w:line="276" w:lineRule="auto"/>
        <w:ind w:left="0" w:right="-1" w:firstLine="0"/>
        <w:jc w:val="both"/>
        <w:rPr>
          <w:rFonts w:asciiTheme="minorHAnsi" w:hAnsiTheme="minorHAnsi"/>
        </w:rPr>
      </w:pPr>
    </w:p>
    <w:p w14:paraId="42384A53" w14:textId="77777777" w:rsidR="003022CC" w:rsidRDefault="003022CC" w:rsidP="00EB7F1E">
      <w:pPr>
        <w:pStyle w:val="ListParagraph"/>
        <w:numPr>
          <w:ilvl w:val="0"/>
          <w:numId w:val="7"/>
        </w:numPr>
        <w:spacing w:line="276" w:lineRule="auto"/>
        <w:ind w:left="425" w:hanging="425"/>
        <w:contextualSpacing w:val="0"/>
        <w:rPr>
          <w:rFonts w:asciiTheme="minorHAnsi" w:hAnsiTheme="minorHAnsi"/>
        </w:rPr>
      </w:pPr>
      <w:r w:rsidRPr="003D0D28">
        <w:rPr>
          <w:rFonts w:asciiTheme="minorHAnsi" w:hAnsiTheme="minorHAnsi"/>
        </w:rPr>
        <w:t>Sentencing courts must endeavour to ensure reasonable consistency in the sentencing of federal offenders, including in the fixing of the period, or minimum period, to be served, but “</w:t>
      </w:r>
      <w:r w:rsidRPr="003D0D28">
        <w:rPr>
          <w:rFonts w:asciiTheme="minorHAnsi" w:hAnsiTheme="minorHAnsi"/>
          <w:i/>
        </w:rPr>
        <w:t>consistency is not demonstrated by, and does not require, numerical equivalence</w:t>
      </w:r>
      <w:r w:rsidRPr="003D0D28">
        <w:rPr>
          <w:rFonts w:asciiTheme="minorHAnsi" w:hAnsiTheme="minorHAnsi"/>
        </w:rPr>
        <w:t>”.</w:t>
      </w:r>
      <w:r w:rsidRPr="00C00000">
        <w:rPr>
          <w:rStyle w:val="Style"/>
          <w:rFonts w:asciiTheme="minorHAnsi" w:hAnsiTheme="minorHAnsi"/>
        </w:rPr>
        <w:footnoteReference w:id="789"/>
      </w:r>
      <w:r w:rsidRPr="003D0D28">
        <w:rPr>
          <w:rFonts w:asciiTheme="minorHAnsi" w:hAnsiTheme="minorHAnsi"/>
        </w:rPr>
        <w:t xml:space="preserve">  What is required is consistency in the application of sentencing principle.</w:t>
      </w:r>
      <w:r w:rsidRPr="00C00000">
        <w:rPr>
          <w:rStyle w:val="Style"/>
          <w:rFonts w:asciiTheme="minorHAnsi" w:hAnsiTheme="minorHAnsi"/>
        </w:rPr>
        <w:footnoteReference w:id="790"/>
      </w:r>
      <w:r w:rsidRPr="003D0D28">
        <w:rPr>
          <w:rFonts w:asciiTheme="minorHAnsi" w:hAnsiTheme="minorHAnsi"/>
        </w:rPr>
        <w:t xml:space="preserve">  In seeking consistency, sentencing judges must have regard to what has been done in other cases,</w:t>
      </w:r>
      <w:r w:rsidRPr="00C00000">
        <w:rPr>
          <w:rStyle w:val="Style"/>
          <w:rFonts w:asciiTheme="minorHAnsi" w:hAnsiTheme="minorHAnsi"/>
        </w:rPr>
        <w:footnoteReference w:id="791"/>
      </w:r>
      <w:r w:rsidRPr="003D0D28">
        <w:rPr>
          <w:rFonts w:asciiTheme="minorHAnsi" w:hAnsiTheme="minorHAnsi"/>
        </w:rPr>
        <w:t xml:space="preserve"> </w:t>
      </w:r>
      <w:r>
        <w:rPr>
          <w:rFonts w:asciiTheme="minorHAnsi" w:hAnsiTheme="minorHAnsi"/>
        </w:rPr>
        <w:t xml:space="preserve">but </w:t>
      </w:r>
      <w:r w:rsidRPr="003D0D28">
        <w:rPr>
          <w:rFonts w:asciiTheme="minorHAnsi" w:hAnsiTheme="minorHAnsi"/>
        </w:rPr>
        <w:t>the range of sentences that have been imposed in the past does not fix the boundaries within which future judges must, or even ought, to sentence.</w:t>
      </w:r>
      <w:r w:rsidRPr="00C00000">
        <w:rPr>
          <w:rStyle w:val="Style"/>
          <w:rFonts w:asciiTheme="minorHAnsi" w:hAnsiTheme="minorHAnsi"/>
        </w:rPr>
        <w:footnoteReference w:id="792"/>
      </w:r>
      <w:r w:rsidRPr="003D0D28">
        <w:rPr>
          <w:rFonts w:asciiTheme="minorHAnsi" w:hAnsiTheme="minorHAnsi"/>
        </w:rPr>
        <w:t xml:space="preserve"> </w:t>
      </w:r>
      <w:r>
        <w:rPr>
          <w:rFonts w:asciiTheme="minorHAnsi" w:hAnsiTheme="minorHAnsi"/>
        </w:rPr>
        <w:t xml:space="preserve"> </w:t>
      </w:r>
      <w:r w:rsidRPr="003D0D28">
        <w:rPr>
          <w:rFonts w:asciiTheme="minorHAnsi" w:hAnsiTheme="minorHAnsi"/>
        </w:rPr>
        <w:t>Past sentences can, and should, provide guidance to sentencing judges, and to appellate courts, and stand as a yardstick against which to examine a proposed sentence</w:t>
      </w:r>
      <w:r>
        <w:rPr>
          <w:rFonts w:asciiTheme="minorHAnsi" w:hAnsiTheme="minorHAnsi"/>
        </w:rPr>
        <w:t>.</w:t>
      </w:r>
      <w:r w:rsidRPr="00C00000">
        <w:rPr>
          <w:rStyle w:val="Style"/>
          <w:rFonts w:asciiTheme="minorHAnsi" w:hAnsiTheme="minorHAnsi"/>
        </w:rPr>
        <w:footnoteReference w:id="793"/>
      </w:r>
    </w:p>
    <w:p w14:paraId="04881EA8" w14:textId="77777777" w:rsidR="003022CC" w:rsidRDefault="003022CC" w:rsidP="003022CC">
      <w:pPr>
        <w:pStyle w:val="ListParagraph"/>
        <w:rPr>
          <w:rFonts w:asciiTheme="minorHAnsi" w:hAnsiTheme="minorHAnsi"/>
        </w:rPr>
      </w:pPr>
    </w:p>
    <w:p w14:paraId="26B939C6" w14:textId="5E937EC8" w:rsidR="00885ACC" w:rsidRDefault="003F722F" w:rsidP="00EB7F1E">
      <w:pPr>
        <w:pStyle w:val="ListParagraph"/>
        <w:numPr>
          <w:ilvl w:val="0"/>
          <w:numId w:val="7"/>
        </w:numPr>
        <w:spacing w:line="276" w:lineRule="auto"/>
        <w:ind w:left="425" w:hanging="425"/>
        <w:contextualSpacing w:val="0"/>
        <w:rPr>
          <w:rFonts w:asciiTheme="minorHAnsi" w:hAnsiTheme="minorHAnsi"/>
        </w:rPr>
      </w:pPr>
      <w:r w:rsidRPr="00CC4C35">
        <w:rPr>
          <w:rFonts w:asciiTheme="minorHAnsi" w:hAnsiTheme="minorHAnsi"/>
        </w:rPr>
        <w:t>In practice, in the sentencing of federal offenders there is considerable variation, both within and between jurisdictions, in the ratio between the length of the head sentence (or total effective sentence in the case of sentencing for multiple offences) and the period fixed as the period, or minimum period, to be served.</w:t>
      </w:r>
      <w:r w:rsidR="00E41326" w:rsidRPr="00CC4C35">
        <w:rPr>
          <w:rFonts w:asciiTheme="minorHAnsi" w:hAnsiTheme="minorHAnsi"/>
        </w:rPr>
        <w:t xml:space="preserve">  Broadly speaking, </w:t>
      </w:r>
      <w:r w:rsidR="007F2FE5" w:rsidRPr="00CC4C35">
        <w:rPr>
          <w:rFonts w:asciiTheme="minorHAnsi" w:hAnsiTheme="minorHAnsi"/>
        </w:rPr>
        <w:t xml:space="preserve">the ratio in most cases is between </w:t>
      </w:r>
      <w:r w:rsidR="003938BC">
        <w:rPr>
          <w:rFonts w:asciiTheme="minorHAnsi" w:hAnsiTheme="minorHAnsi"/>
        </w:rPr>
        <w:t>one-third and three-quarters</w:t>
      </w:r>
      <w:r w:rsidR="007B17E2">
        <w:rPr>
          <w:rFonts w:asciiTheme="minorHAnsi" w:hAnsiTheme="minorHAnsi"/>
        </w:rPr>
        <w:t>.</w:t>
      </w:r>
      <w:r w:rsidR="006C3090">
        <w:rPr>
          <w:rFonts w:asciiTheme="minorHAnsi" w:hAnsiTheme="minorHAnsi"/>
        </w:rPr>
        <w:t xml:space="preserve"> </w:t>
      </w:r>
      <w:r w:rsidR="007B17E2">
        <w:rPr>
          <w:rFonts w:asciiTheme="minorHAnsi" w:hAnsiTheme="minorHAnsi"/>
        </w:rPr>
        <w:t xml:space="preserve"> </w:t>
      </w:r>
      <w:r w:rsidR="00F14189">
        <w:rPr>
          <w:rFonts w:asciiTheme="minorHAnsi" w:hAnsiTheme="minorHAnsi"/>
        </w:rPr>
        <w:t>Ratios at the lower end</w:t>
      </w:r>
      <w:r w:rsidR="007B17E2">
        <w:rPr>
          <w:rFonts w:asciiTheme="minorHAnsi" w:hAnsiTheme="minorHAnsi"/>
        </w:rPr>
        <w:t xml:space="preserve"> are found more commonly where the head sentence i</w:t>
      </w:r>
      <w:r w:rsidR="003938BC">
        <w:rPr>
          <w:rFonts w:asciiTheme="minorHAnsi" w:hAnsiTheme="minorHAnsi"/>
        </w:rPr>
        <w:t>s</w:t>
      </w:r>
      <w:r w:rsidR="007B17E2">
        <w:rPr>
          <w:rFonts w:asciiTheme="minorHAnsi" w:hAnsiTheme="minorHAnsi"/>
        </w:rPr>
        <w:t xml:space="preserve"> shorter</w:t>
      </w:r>
      <w:r w:rsidR="003938BC">
        <w:rPr>
          <w:rFonts w:asciiTheme="minorHAnsi" w:hAnsiTheme="minorHAnsi"/>
        </w:rPr>
        <w:t xml:space="preserve"> and a release period is fixed</w:t>
      </w:r>
      <w:r w:rsidR="007F2FE5" w:rsidRPr="00CC4C35">
        <w:rPr>
          <w:rFonts w:asciiTheme="minorHAnsi" w:hAnsiTheme="minorHAnsi"/>
        </w:rPr>
        <w:t>.</w:t>
      </w:r>
      <w:r w:rsidR="007B17E2" w:rsidRPr="00C00000">
        <w:rPr>
          <w:rStyle w:val="Style"/>
          <w:rFonts w:asciiTheme="minorHAnsi" w:hAnsiTheme="minorHAnsi"/>
        </w:rPr>
        <w:footnoteReference w:id="794"/>
      </w:r>
      <w:r w:rsidR="007F2FE5" w:rsidRPr="00CC4C35">
        <w:rPr>
          <w:rFonts w:asciiTheme="minorHAnsi" w:hAnsiTheme="minorHAnsi"/>
        </w:rPr>
        <w:t xml:space="preserve">  </w:t>
      </w:r>
      <w:r w:rsidR="003938BC">
        <w:rPr>
          <w:rFonts w:asciiTheme="minorHAnsi" w:hAnsiTheme="minorHAnsi"/>
        </w:rPr>
        <w:t>Where the head sentence is greater than 3 years, and a minimum term is imposed, ratios are typically between 50% and 75%.  T</w:t>
      </w:r>
      <w:r w:rsidR="003938BC" w:rsidRPr="00CC4C35">
        <w:rPr>
          <w:rFonts w:asciiTheme="minorHAnsi" w:hAnsiTheme="minorHAnsi"/>
        </w:rPr>
        <w:t xml:space="preserve">he </w:t>
      </w:r>
      <w:r w:rsidR="007F2FE5" w:rsidRPr="00CC4C35">
        <w:rPr>
          <w:rFonts w:asciiTheme="minorHAnsi" w:hAnsiTheme="minorHAnsi"/>
        </w:rPr>
        <w:t>ratio tends to be greater</w:t>
      </w:r>
      <w:r w:rsidR="00C9508B" w:rsidRPr="00CC4C35">
        <w:rPr>
          <w:rFonts w:asciiTheme="minorHAnsi" w:hAnsiTheme="minorHAnsi"/>
        </w:rPr>
        <w:t xml:space="preserve"> </w:t>
      </w:r>
      <w:r w:rsidR="00CC4C35" w:rsidRPr="00CC4C35">
        <w:rPr>
          <w:rFonts w:asciiTheme="minorHAnsi" w:hAnsiTheme="minorHAnsi"/>
        </w:rPr>
        <w:t>(sometimes higher than 80%</w:t>
      </w:r>
      <w:r w:rsidR="00790982" w:rsidRPr="00C00000">
        <w:rPr>
          <w:rStyle w:val="Style"/>
          <w:rFonts w:asciiTheme="minorHAnsi" w:hAnsiTheme="minorHAnsi"/>
        </w:rPr>
        <w:footnoteReference w:id="795"/>
      </w:r>
      <w:r w:rsidR="00CC4C35" w:rsidRPr="00CC4C35">
        <w:rPr>
          <w:rFonts w:asciiTheme="minorHAnsi" w:hAnsiTheme="minorHAnsi"/>
        </w:rPr>
        <w:t xml:space="preserve">) </w:t>
      </w:r>
      <w:r w:rsidR="009841E3">
        <w:rPr>
          <w:rFonts w:asciiTheme="minorHAnsi" w:hAnsiTheme="minorHAnsi"/>
        </w:rPr>
        <w:t xml:space="preserve">for very serious offending, </w:t>
      </w:r>
      <w:r w:rsidR="00C9508B" w:rsidRPr="00CC4C35">
        <w:rPr>
          <w:rFonts w:asciiTheme="minorHAnsi" w:hAnsiTheme="minorHAnsi"/>
        </w:rPr>
        <w:t>whe</w:t>
      </w:r>
      <w:r w:rsidR="00CC4C35" w:rsidRPr="00CC4C35">
        <w:rPr>
          <w:rFonts w:asciiTheme="minorHAnsi" w:hAnsiTheme="minorHAnsi"/>
        </w:rPr>
        <w:t>n the head sentence or total effective sentence is particularly long</w:t>
      </w:r>
      <w:r w:rsidR="00885ACC">
        <w:rPr>
          <w:rFonts w:asciiTheme="minorHAnsi" w:hAnsiTheme="minorHAnsi"/>
        </w:rPr>
        <w:t>.</w:t>
      </w:r>
      <w:r w:rsidR="00767490">
        <w:rPr>
          <w:rFonts w:asciiTheme="minorHAnsi" w:hAnsiTheme="minorHAnsi"/>
        </w:rPr>
        <w:t xml:space="preserve">  </w:t>
      </w:r>
      <w:r w:rsidR="00767490" w:rsidRPr="00767490">
        <w:rPr>
          <w:rFonts w:asciiTheme="minorHAnsi" w:hAnsiTheme="minorHAnsi"/>
        </w:rPr>
        <w:t xml:space="preserve">This summary is </w:t>
      </w:r>
      <w:r w:rsidR="00767490">
        <w:rPr>
          <w:rFonts w:asciiTheme="minorHAnsi" w:hAnsiTheme="minorHAnsi"/>
        </w:rPr>
        <w:t xml:space="preserve">not only very general but </w:t>
      </w:r>
      <w:r w:rsidR="00767490" w:rsidRPr="00767490">
        <w:rPr>
          <w:rFonts w:asciiTheme="minorHAnsi" w:hAnsiTheme="minorHAnsi"/>
        </w:rPr>
        <w:t>no more than descriptive</w:t>
      </w:r>
      <w:r w:rsidR="0025541F">
        <w:rPr>
          <w:rFonts w:asciiTheme="minorHAnsi" w:hAnsiTheme="minorHAnsi"/>
        </w:rPr>
        <w:t xml:space="preserve">. </w:t>
      </w:r>
      <w:r w:rsidR="00767490">
        <w:rPr>
          <w:rFonts w:asciiTheme="minorHAnsi" w:hAnsiTheme="minorHAnsi"/>
        </w:rPr>
        <w:t xml:space="preserve"> </w:t>
      </w:r>
      <w:r w:rsidR="0025541F">
        <w:rPr>
          <w:rFonts w:asciiTheme="minorHAnsi" w:hAnsiTheme="minorHAnsi"/>
        </w:rPr>
        <w:t xml:space="preserve">It </w:t>
      </w:r>
      <w:r w:rsidR="00767490">
        <w:rPr>
          <w:rFonts w:asciiTheme="minorHAnsi" w:hAnsiTheme="minorHAnsi"/>
        </w:rPr>
        <w:t xml:space="preserve">must be </w:t>
      </w:r>
      <w:r w:rsidR="00F47D0C">
        <w:rPr>
          <w:rFonts w:asciiTheme="minorHAnsi" w:hAnsiTheme="minorHAnsi"/>
        </w:rPr>
        <w:t>emphas</w:t>
      </w:r>
      <w:r w:rsidR="00B86888">
        <w:rPr>
          <w:rFonts w:asciiTheme="minorHAnsi" w:hAnsiTheme="minorHAnsi"/>
        </w:rPr>
        <w:t>ised</w:t>
      </w:r>
      <w:r w:rsidR="00767490">
        <w:rPr>
          <w:rFonts w:asciiTheme="minorHAnsi" w:hAnsiTheme="minorHAnsi"/>
        </w:rPr>
        <w:t xml:space="preserve"> that </w:t>
      </w:r>
      <w:r w:rsidR="00767490" w:rsidRPr="00767490">
        <w:rPr>
          <w:rFonts w:asciiTheme="minorHAnsi" w:hAnsiTheme="minorHAnsi"/>
        </w:rPr>
        <w:t>the proportion which the period to be served in prison bears to the whole term is not itself a separate and distinct object of any part of the sentencing exercise</w:t>
      </w:r>
      <w:r w:rsidR="0025541F">
        <w:rPr>
          <w:rFonts w:asciiTheme="minorHAnsi" w:hAnsiTheme="minorHAnsi"/>
        </w:rPr>
        <w:t>, but is</w:t>
      </w:r>
      <w:r w:rsidR="0025541F" w:rsidRPr="00051102">
        <w:rPr>
          <w:rStyle w:val="ssleftalign"/>
          <w:rFonts w:ascii="Calibri" w:hAnsi="Calibri"/>
        </w:rPr>
        <w:t xml:space="preserve"> </w:t>
      </w:r>
      <w:r w:rsidR="0025541F" w:rsidRPr="0025541F">
        <w:rPr>
          <w:rFonts w:asciiTheme="minorHAnsi" w:hAnsiTheme="minorHAnsi"/>
        </w:rPr>
        <w:t>the result of discretionary determination after taking into account all of the circumstances of the offence, rather than by applying or making adjustments to any rule of thumb</w:t>
      </w:r>
      <w:r w:rsidR="00767490" w:rsidRPr="00767490">
        <w:rPr>
          <w:rFonts w:asciiTheme="minorHAnsi" w:hAnsiTheme="minorHAnsi"/>
        </w:rPr>
        <w:t>.</w:t>
      </w:r>
      <w:r w:rsidR="00767490" w:rsidRPr="00C00000">
        <w:rPr>
          <w:rStyle w:val="Style"/>
          <w:rFonts w:asciiTheme="minorHAnsi" w:hAnsiTheme="minorHAnsi"/>
        </w:rPr>
        <w:footnoteReference w:id="796"/>
      </w:r>
    </w:p>
    <w:p w14:paraId="04DC33A3" w14:textId="77777777" w:rsidR="00885ACC" w:rsidRDefault="00885ACC" w:rsidP="00885ACC">
      <w:pPr>
        <w:pStyle w:val="ListParagraph"/>
        <w:rPr>
          <w:rFonts w:asciiTheme="minorHAnsi" w:hAnsiTheme="minorHAnsi"/>
        </w:rPr>
      </w:pPr>
    </w:p>
    <w:p w14:paraId="4BC7F9F3" w14:textId="3D90B66D" w:rsidR="00382C28" w:rsidRDefault="00885AC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w:t>
      </w:r>
      <w:r w:rsidR="009841E3">
        <w:rPr>
          <w:rFonts w:asciiTheme="minorHAnsi" w:hAnsiTheme="minorHAnsi"/>
        </w:rPr>
        <w:t xml:space="preserve"> tendency </w:t>
      </w:r>
      <w:r>
        <w:rPr>
          <w:rFonts w:asciiTheme="minorHAnsi" w:hAnsiTheme="minorHAnsi"/>
        </w:rPr>
        <w:t>of courts to impose higher ratios in relation to very serious offending has</w:t>
      </w:r>
      <w:r w:rsidR="009841E3">
        <w:rPr>
          <w:rFonts w:asciiTheme="minorHAnsi" w:hAnsiTheme="minorHAnsi"/>
        </w:rPr>
        <w:t xml:space="preserve"> been attributed to the need </w:t>
      </w:r>
      <w:r w:rsidR="00CC4C35" w:rsidRPr="00CC4C35">
        <w:rPr>
          <w:rFonts w:asciiTheme="minorHAnsi" w:hAnsiTheme="minorHAnsi"/>
        </w:rPr>
        <w:t xml:space="preserve">to avoid inordinately long parole periods and </w:t>
      </w:r>
      <w:r w:rsidR="00CC4C35">
        <w:rPr>
          <w:rFonts w:asciiTheme="minorHAnsi" w:hAnsiTheme="minorHAnsi"/>
        </w:rPr>
        <w:t xml:space="preserve">to ensure that the period to be served properly </w:t>
      </w:r>
      <w:r w:rsidR="00CC4C35" w:rsidRPr="00CC4C35">
        <w:rPr>
          <w:rFonts w:asciiTheme="minorHAnsi" w:hAnsiTheme="minorHAnsi"/>
        </w:rPr>
        <w:t>reflect</w:t>
      </w:r>
      <w:r w:rsidR="00CC4C35">
        <w:rPr>
          <w:rFonts w:asciiTheme="minorHAnsi" w:hAnsiTheme="minorHAnsi"/>
        </w:rPr>
        <w:t>s</w:t>
      </w:r>
      <w:r w:rsidR="00CC4C35" w:rsidRPr="00CC4C35">
        <w:rPr>
          <w:rFonts w:asciiTheme="minorHAnsi" w:hAnsiTheme="minorHAnsi"/>
        </w:rPr>
        <w:t xml:space="preserve"> the gravity of the offending</w:t>
      </w:r>
      <w:r w:rsidR="009841E3">
        <w:rPr>
          <w:rFonts w:asciiTheme="minorHAnsi" w:hAnsiTheme="minorHAnsi"/>
        </w:rPr>
        <w:t xml:space="preserve"> and gives sufficient weight to the need for relevant purposes of sentencing, such as general deterrence and protection of the community</w:t>
      </w:r>
      <w:r w:rsidR="00CC4C35">
        <w:rPr>
          <w:rFonts w:asciiTheme="minorHAnsi" w:hAnsiTheme="minorHAnsi"/>
        </w:rPr>
        <w:t>.</w:t>
      </w:r>
      <w:r w:rsidR="009841E3" w:rsidRPr="00C00000">
        <w:rPr>
          <w:rStyle w:val="Style"/>
          <w:rFonts w:asciiTheme="minorHAnsi" w:hAnsiTheme="minorHAnsi"/>
        </w:rPr>
        <w:footnoteReference w:id="797"/>
      </w:r>
      <w:r w:rsidR="00AC7675">
        <w:rPr>
          <w:rFonts w:asciiTheme="minorHAnsi" w:hAnsiTheme="minorHAnsi"/>
        </w:rPr>
        <w:t xml:space="preserve">  </w:t>
      </w:r>
      <w:r w:rsidR="003022CC">
        <w:rPr>
          <w:rFonts w:asciiTheme="minorHAnsi" w:hAnsiTheme="minorHAnsi"/>
        </w:rPr>
        <w:t>In such cases, j</w:t>
      </w:r>
      <w:r w:rsidR="00AC7675" w:rsidRPr="006B03C3">
        <w:rPr>
          <w:rFonts w:asciiTheme="minorHAnsi" w:hAnsiTheme="minorHAnsi"/>
        </w:rPr>
        <w:t>ust as the needs of denunciation, deterrence, condign punishment and community protection demand a head sentence of a higher order, so too are they likely to dictate that the non-parole period be a higher percentage of the head sentence.</w:t>
      </w:r>
      <w:r w:rsidR="006B03C3" w:rsidRPr="00C00000">
        <w:rPr>
          <w:rStyle w:val="Style"/>
          <w:rFonts w:asciiTheme="minorHAnsi" w:hAnsiTheme="minorHAnsi"/>
        </w:rPr>
        <w:footnoteReference w:id="798"/>
      </w:r>
    </w:p>
    <w:p w14:paraId="11DADA33" w14:textId="77777777" w:rsidR="00382C28" w:rsidRDefault="00382C28" w:rsidP="00382C28">
      <w:pPr>
        <w:widowControl w:val="0"/>
        <w:spacing w:line="276" w:lineRule="auto"/>
        <w:jc w:val="both"/>
        <w:rPr>
          <w:rFonts w:asciiTheme="minorHAnsi" w:hAnsiTheme="minorHAnsi"/>
        </w:rPr>
      </w:pPr>
    </w:p>
    <w:p w14:paraId="6129F51B" w14:textId="5B739B0B" w:rsidR="00CC4C35" w:rsidRDefault="00880043" w:rsidP="00EB7F1E">
      <w:pPr>
        <w:pStyle w:val="ListParagraph"/>
        <w:numPr>
          <w:ilvl w:val="0"/>
          <w:numId w:val="7"/>
        </w:numPr>
        <w:spacing w:line="276" w:lineRule="auto"/>
        <w:ind w:left="425" w:hanging="425"/>
        <w:contextualSpacing w:val="0"/>
        <w:rPr>
          <w:rFonts w:asciiTheme="minorHAnsi" w:hAnsiTheme="minorHAnsi"/>
        </w:rPr>
      </w:pPr>
      <w:r w:rsidRPr="00880043">
        <w:rPr>
          <w:rFonts w:asciiTheme="minorHAnsi" w:hAnsiTheme="minorHAnsi"/>
        </w:rPr>
        <w:t xml:space="preserve">On the other hand, </w:t>
      </w:r>
      <w:r w:rsidR="004907BE">
        <w:rPr>
          <w:rFonts w:asciiTheme="minorHAnsi" w:hAnsiTheme="minorHAnsi"/>
        </w:rPr>
        <w:t>a</w:t>
      </w:r>
      <w:r w:rsidRPr="00880043">
        <w:rPr>
          <w:rFonts w:asciiTheme="minorHAnsi" w:hAnsiTheme="minorHAnsi"/>
        </w:rPr>
        <w:t xml:space="preserve"> minimum </w:t>
      </w:r>
      <w:r w:rsidR="004907BE">
        <w:rPr>
          <w:rFonts w:asciiTheme="minorHAnsi" w:hAnsiTheme="minorHAnsi"/>
        </w:rPr>
        <w:t>term of imprisonment</w:t>
      </w:r>
      <w:r w:rsidRPr="00880043">
        <w:rPr>
          <w:rFonts w:asciiTheme="minorHAnsi" w:hAnsiTheme="minorHAnsi"/>
        </w:rPr>
        <w:t xml:space="preserve"> cannot be fixed so close to the head sentence that it may fail to give effect to the prisoner</w:t>
      </w:r>
      <w:r w:rsidR="00AA693C">
        <w:rPr>
          <w:rFonts w:asciiTheme="minorHAnsi" w:hAnsiTheme="minorHAnsi"/>
        </w:rPr>
        <w:t>’</w:t>
      </w:r>
      <w:r w:rsidRPr="00880043">
        <w:rPr>
          <w:rFonts w:asciiTheme="minorHAnsi" w:hAnsiTheme="minorHAnsi"/>
        </w:rPr>
        <w:t xml:space="preserve">s prospects for rehabilitation and so mitigate punishment. </w:t>
      </w:r>
      <w:r>
        <w:rPr>
          <w:rFonts w:asciiTheme="minorHAnsi" w:hAnsiTheme="minorHAnsi"/>
        </w:rPr>
        <w:t xml:space="preserve"> </w:t>
      </w:r>
      <w:r w:rsidRPr="00880043">
        <w:rPr>
          <w:rFonts w:asciiTheme="minorHAnsi" w:hAnsiTheme="minorHAnsi"/>
        </w:rPr>
        <w:t>The prospect of early release also serves as an incentive to the prisoner to behave within the prison setting and to pursue rehabilitative programmes.</w:t>
      </w:r>
      <w:r w:rsidRPr="00C00000">
        <w:rPr>
          <w:rStyle w:val="Style"/>
          <w:rFonts w:asciiTheme="minorHAnsi" w:hAnsiTheme="minorHAnsi"/>
        </w:rPr>
        <w:footnoteReference w:id="799"/>
      </w:r>
    </w:p>
    <w:p w14:paraId="206927AB" w14:textId="181FAD12" w:rsidR="00DA25D9" w:rsidRDefault="00DA25D9" w:rsidP="00DA25D9">
      <w:pPr>
        <w:pStyle w:val="BlockText"/>
        <w:tabs>
          <w:tab w:val="clear" w:pos="426"/>
          <w:tab w:val="clear" w:pos="993"/>
        </w:tabs>
        <w:spacing w:before="0" w:line="276" w:lineRule="auto"/>
        <w:ind w:left="0" w:right="-1" w:firstLine="0"/>
        <w:jc w:val="both"/>
        <w:rPr>
          <w:rFonts w:asciiTheme="minorHAnsi" w:hAnsiTheme="minorHAnsi"/>
        </w:rPr>
      </w:pPr>
    </w:p>
    <w:p w14:paraId="45387D2C" w14:textId="13BD5E7A" w:rsidR="00946711" w:rsidRPr="00364B92" w:rsidRDefault="00946711" w:rsidP="006D50C7">
      <w:pPr>
        <w:pStyle w:val="Heading3"/>
      </w:pPr>
      <w:bookmarkStart w:id="1926" w:name="_Toc33602895"/>
      <w:r>
        <w:t>Credit for p</w:t>
      </w:r>
      <w:r w:rsidRPr="00364B92">
        <w:t>re-sentence detention</w:t>
      </w:r>
      <w:r>
        <w:t xml:space="preserve"> in relation to period to be served</w:t>
      </w:r>
      <w:bookmarkEnd w:id="1926"/>
    </w:p>
    <w:p w14:paraId="2326D9B4" w14:textId="77777777" w:rsidR="00946711" w:rsidRPr="00C00000" w:rsidRDefault="00946711" w:rsidP="006D50C7">
      <w:pPr>
        <w:pStyle w:val="NormalIndent"/>
        <w:keepNext/>
        <w:spacing w:line="276" w:lineRule="auto"/>
        <w:jc w:val="both"/>
        <w:rPr>
          <w:rFonts w:asciiTheme="minorHAnsi" w:hAnsiTheme="minorHAnsi"/>
        </w:rPr>
      </w:pPr>
    </w:p>
    <w:p w14:paraId="247A8444" w14:textId="32F395A4" w:rsidR="00946711" w:rsidRDefault="00946711"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fixing the period, or minimum period, of a sentence of imprisonment which must be served</w:t>
      </w:r>
      <w:r w:rsidR="00275FB6">
        <w:rPr>
          <w:rFonts w:asciiTheme="minorHAnsi" w:hAnsiTheme="minorHAnsi"/>
        </w:rPr>
        <w:t xml:space="preserve"> (and/or the head sentence)</w:t>
      </w:r>
      <w:r>
        <w:rPr>
          <w:rFonts w:asciiTheme="minorHAnsi" w:hAnsiTheme="minorHAnsi"/>
        </w:rPr>
        <w:t xml:space="preserve">, credit may be given for pre-sentence detention for the instant offence.  The way in which, and the extent to which, such credit may be given is governed by State or Territory law, which is applied by s 16E of the </w:t>
      </w:r>
      <w:r w:rsidR="00885EFD" w:rsidRPr="00885EFD">
        <w:rPr>
          <w:rFonts w:asciiTheme="minorHAnsi" w:hAnsiTheme="minorHAnsi"/>
          <w:i/>
        </w:rPr>
        <w:t>Crimes Act 1914</w:t>
      </w:r>
      <w:r>
        <w:rPr>
          <w:rFonts w:asciiTheme="minorHAnsi" w:hAnsiTheme="minorHAnsi"/>
        </w:rPr>
        <w:t xml:space="preserve"> (Cth).  See “</w:t>
      </w:r>
      <w:r>
        <w:rPr>
          <w:rFonts w:asciiTheme="minorHAnsi" w:hAnsiTheme="minorHAnsi"/>
        </w:rPr>
        <w:fldChar w:fldCharType="begin"/>
      </w:r>
      <w:r>
        <w:rPr>
          <w:rFonts w:asciiTheme="minorHAnsi" w:hAnsiTheme="minorHAnsi"/>
        </w:rPr>
        <w:instrText xml:space="preserve"> REF _Ref504752166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5.8.9</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_Ref504752166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Credit for pre-sentence custody for the offence</w:t>
      </w:r>
      <w:r>
        <w:rPr>
          <w:rFonts w:asciiTheme="minorHAnsi" w:hAnsiTheme="minorHAnsi"/>
        </w:rPr>
        <w:fldChar w:fldCharType="end"/>
      </w:r>
      <w:r>
        <w:rPr>
          <w:rFonts w:asciiTheme="minorHAnsi" w:hAnsiTheme="minorHAnsi"/>
        </w:rPr>
        <w:t>”.</w:t>
      </w:r>
    </w:p>
    <w:p w14:paraId="0B30EF2F" w14:textId="77777777" w:rsidR="00946711" w:rsidRDefault="00946711" w:rsidP="00946711">
      <w:pPr>
        <w:pStyle w:val="NormalIndent"/>
        <w:spacing w:line="276" w:lineRule="auto"/>
        <w:rPr>
          <w:rFonts w:asciiTheme="minorHAnsi" w:hAnsiTheme="minorHAnsi"/>
        </w:rPr>
      </w:pPr>
    </w:p>
    <w:p w14:paraId="6F54A6AD" w14:textId="5F17FFBA" w:rsidR="00946711" w:rsidRPr="00C00000" w:rsidRDefault="00946711"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some circumstances credit may also be given (in relation to either the head sentence or period to be served or both) for other periods in custody.  See “</w:t>
      </w:r>
      <w:r>
        <w:rPr>
          <w:rFonts w:asciiTheme="minorHAnsi" w:hAnsiTheme="minorHAnsi"/>
        </w:rPr>
        <w:fldChar w:fldCharType="begin"/>
      </w:r>
      <w:r>
        <w:rPr>
          <w:rFonts w:asciiTheme="minorHAnsi" w:hAnsiTheme="minorHAnsi"/>
        </w:rPr>
        <w:instrText xml:space="preserve"> REF _Ref506318476 \r \h </w:instrText>
      </w:r>
      <w:r>
        <w:rPr>
          <w:rFonts w:asciiTheme="minorHAnsi" w:hAnsiTheme="minorHAnsi"/>
        </w:rPr>
      </w:r>
      <w:r>
        <w:rPr>
          <w:rFonts w:asciiTheme="minorHAnsi" w:hAnsiTheme="minorHAnsi"/>
        </w:rPr>
        <w:fldChar w:fldCharType="separate"/>
      </w:r>
      <w:r w:rsidR="00D44BCF">
        <w:rPr>
          <w:rFonts w:asciiTheme="minorHAnsi" w:hAnsiTheme="minorHAnsi"/>
        </w:rPr>
        <w:t>5.8.10</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_Ref506318478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Taking into account other pre-sentence custody</w:t>
      </w:r>
      <w:r>
        <w:rPr>
          <w:rFonts w:asciiTheme="minorHAnsi" w:hAnsiTheme="minorHAnsi"/>
        </w:rPr>
        <w:fldChar w:fldCharType="end"/>
      </w:r>
      <w:r>
        <w:rPr>
          <w:rFonts w:asciiTheme="minorHAnsi" w:hAnsiTheme="minorHAnsi"/>
        </w:rPr>
        <w:t>”.</w:t>
      </w:r>
    </w:p>
    <w:p w14:paraId="1D8B3B6D" w14:textId="77777777" w:rsidR="00946711" w:rsidRPr="00C00000" w:rsidRDefault="00946711" w:rsidP="00946711">
      <w:pPr>
        <w:widowControl w:val="0"/>
        <w:tabs>
          <w:tab w:val="left" w:pos="284"/>
          <w:tab w:val="left" w:pos="993"/>
        </w:tabs>
        <w:spacing w:line="276" w:lineRule="auto"/>
        <w:ind w:left="567" w:hanging="567"/>
        <w:jc w:val="both"/>
        <w:rPr>
          <w:rFonts w:asciiTheme="minorHAnsi" w:hAnsiTheme="minorHAnsi"/>
        </w:rPr>
      </w:pPr>
    </w:p>
    <w:p w14:paraId="76CF5C55" w14:textId="23A1A058" w:rsidR="001C5BF8" w:rsidRDefault="001C5BF8" w:rsidP="006D50C7">
      <w:pPr>
        <w:pStyle w:val="Heading3"/>
        <w:rPr>
          <w:bCs/>
        </w:rPr>
      </w:pPr>
      <w:bookmarkStart w:id="1927" w:name="_Toc33602896"/>
      <w:r>
        <w:rPr>
          <w:bCs/>
        </w:rPr>
        <w:t>The mechanisms for setting the period of imprisonment to be served for a federal offence</w:t>
      </w:r>
      <w:bookmarkEnd w:id="1927"/>
    </w:p>
    <w:p w14:paraId="0C163287" w14:textId="77777777" w:rsidR="001C5BF8" w:rsidRPr="00DA25D9" w:rsidRDefault="001C5BF8" w:rsidP="006D50C7">
      <w:pPr>
        <w:pStyle w:val="NormalIndent"/>
        <w:keepNext/>
        <w:spacing w:line="276" w:lineRule="auto"/>
        <w:jc w:val="both"/>
        <w:rPr>
          <w:rFonts w:asciiTheme="minorHAnsi" w:hAnsiTheme="minorHAnsi"/>
        </w:rPr>
      </w:pPr>
    </w:p>
    <w:p w14:paraId="4A9D0C15" w14:textId="2546ACC5" w:rsidR="001C5BF8" w:rsidRDefault="001C5B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Commonwealth law provides for a self-contained regime relating to the fixing of periods of imprisonment, or minimum periods of imprisonment, to be served for federal offences.  S</w:t>
      </w:r>
      <w:r w:rsidRPr="00C00000">
        <w:rPr>
          <w:rFonts w:asciiTheme="minorHAnsi" w:hAnsiTheme="minorHAnsi"/>
        </w:rPr>
        <w:t xml:space="preserve">tate law </w:t>
      </w:r>
      <w:r w:rsidR="00382C28">
        <w:rPr>
          <w:rFonts w:asciiTheme="minorHAnsi" w:hAnsiTheme="minorHAnsi"/>
        </w:rPr>
        <w:t>governing</w:t>
      </w:r>
      <w:r w:rsidRPr="00C00000">
        <w:rPr>
          <w:rFonts w:asciiTheme="minorHAnsi" w:hAnsiTheme="minorHAnsi"/>
        </w:rPr>
        <w:t xml:space="preserve"> the setting of </w:t>
      </w:r>
      <w:r>
        <w:rPr>
          <w:rFonts w:asciiTheme="minorHAnsi" w:hAnsiTheme="minorHAnsi"/>
        </w:rPr>
        <w:t xml:space="preserve">minimum periods of imprisonment (whether by </w:t>
      </w:r>
      <w:r w:rsidRPr="00C00000">
        <w:rPr>
          <w:rFonts w:asciiTheme="minorHAnsi" w:hAnsiTheme="minorHAnsi"/>
        </w:rPr>
        <w:t xml:space="preserve">non-parole period </w:t>
      </w:r>
      <w:r>
        <w:rPr>
          <w:rFonts w:asciiTheme="minorHAnsi" w:hAnsiTheme="minorHAnsi"/>
        </w:rPr>
        <w:t xml:space="preserve">or otherwise) </w:t>
      </w:r>
      <w:r w:rsidRPr="00C00000">
        <w:rPr>
          <w:rFonts w:asciiTheme="minorHAnsi" w:hAnsiTheme="minorHAnsi"/>
        </w:rPr>
        <w:t>has no application.</w:t>
      </w:r>
      <w:r w:rsidRPr="00C00000">
        <w:rPr>
          <w:rStyle w:val="Style"/>
          <w:rFonts w:asciiTheme="minorHAnsi" w:hAnsiTheme="minorHAnsi"/>
        </w:rPr>
        <w:footnoteReference w:id="800"/>
      </w:r>
      <w:r w:rsidRPr="00C00000">
        <w:rPr>
          <w:rFonts w:asciiTheme="minorHAnsi" w:hAnsiTheme="minorHAnsi"/>
        </w:rPr>
        <w:t xml:space="preserve"> </w:t>
      </w:r>
      <w:r>
        <w:rPr>
          <w:rFonts w:asciiTheme="minorHAnsi" w:hAnsiTheme="minorHAnsi"/>
        </w:rPr>
        <w:t xml:space="preserve"> It is an error for a sentencing judge to apply State law rather than federal law to the fixing of </w:t>
      </w:r>
      <w:r w:rsidR="004907BE">
        <w:rPr>
          <w:rFonts w:asciiTheme="minorHAnsi" w:hAnsiTheme="minorHAnsi"/>
        </w:rPr>
        <w:t xml:space="preserve">a period or </w:t>
      </w:r>
      <w:r>
        <w:rPr>
          <w:rFonts w:asciiTheme="minorHAnsi" w:hAnsiTheme="minorHAnsi"/>
        </w:rPr>
        <w:t>minimum period of incarceration for a federal offender.</w:t>
      </w:r>
      <w:r w:rsidRPr="00C00000">
        <w:rPr>
          <w:rStyle w:val="Style"/>
          <w:rFonts w:asciiTheme="minorHAnsi" w:hAnsiTheme="minorHAnsi"/>
        </w:rPr>
        <w:footnoteReference w:id="801"/>
      </w:r>
    </w:p>
    <w:p w14:paraId="05E54D76" w14:textId="77777777" w:rsidR="001C5BF8" w:rsidRPr="0071737C" w:rsidRDefault="001C5BF8" w:rsidP="00E975D9">
      <w:pPr>
        <w:pStyle w:val="ListParagraph"/>
        <w:rPr>
          <w:rFonts w:asciiTheme="minorHAnsi" w:hAnsiTheme="minorHAnsi"/>
        </w:rPr>
      </w:pPr>
    </w:p>
    <w:p w14:paraId="48D95473" w14:textId="0362150E" w:rsidR="001C5BF8" w:rsidRDefault="001C5B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regime for federal offenders is complex, and is different from that in any State or Territory.  The complexity and uniqueness of the regime are, unfortunately, often productive of error; very careful attention </w:t>
      </w:r>
      <w:r w:rsidR="007E14D2">
        <w:rPr>
          <w:rFonts w:asciiTheme="minorHAnsi" w:hAnsiTheme="minorHAnsi"/>
        </w:rPr>
        <w:t xml:space="preserve">must be paid </w:t>
      </w:r>
      <w:r>
        <w:rPr>
          <w:rFonts w:asciiTheme="minorHAnsi" w:hAnsiTheme="minorHAnsi"/>
        </w:rPr>
        <w:t>to the legislative requirements.</w:t>
      </w:r>
    </w:p>
    <w:p w14:paraId="54899C8A" w14:textId="77777777" w:rsidR="001C5BF8" w:rsidRDefault="001C5BF8" w:rsidP="00E975D9">
      <w:pPr>
        <w:pStyle w:val="ListParagraph"/>
        <w:rPr>
          <w:rFonts w:asciiTheme="minorHAnsi" w:hAnsiTheme="minorHAnsi"/>
        </w:rPr>
      </w:pPr>
    </w:p>
    <w:p w14:paraId="3E472F07" w14:textId="77777777" w:rsidR="001C5BF8" w:rsidRDefault="001C5B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There are three mechanisms by which a court sentencing a federal offender to a term of imprisonment may determine the period, or the minimum period, of imprisonment which must be served by the offender.</w:t>
      </w:r>
    </w:p>
    <w:p w14:paraId="4BE3F1AA" w14:textId="77777777" w:rsidR="001C5BF8" w:rsidRPr="009A45D3" w:rsidRDefault="001C5BF8" w:rsidP="001C5BF8">
      <w:pPr>
        <w:pStyle w:val="ListParagraph"/>
        <w:rPr>
          <w:rFonts w:asciiTheme="minorHAnsi" w:hAnsiTheme="minorHAnsi"/>
        </w:rPr>
      </w:pPr>
    </w:p>
    <w:p w14:paraId="3C8765A2" w14:textId="1C5EB205" w:rsidR="001C5BF8" w:rsidRPr="00E6038C" w:rsidRDefault="001C5BF8" w:rsidP="00EB7F1E">
      <w:pPr>
        <w:pStyle w:val="ListParagraph"/>
        <w:numPr>
          <w:ilvl w:val="0"/>
          <w:numId w:val="7"/>
        </w:numPr>
        <w:spacing w:line="276" w:lineRule="auto"/>
        <w:ind w:left="425" w:hanging="425"/>
        <w:contextualSpacing w:val="0"/>
        <w:rPr>
          <w:rFonts w:asciiTheme="minorHAnsi" w:hAnsiTheme="minorHAnsi"/>
        </w:rPr>
      </w:pPr>
      <w:r w:rsidRPr="00E6038C">
        <w:rPr>
          <w:rFonts w:asciiTheme="minorHAnsi" w:hAnsiTheme="minorHAnsi"/>
        </w:rPr>
        <w:t xml:space="preserve">The first mechanism is a </w:t>
      </w:r>
      <w:r w:rsidRPr="00E6038C">
        <w:rPr>
          <w:rFonts w:asciiTheme="minorHAnsi" w:hAnsiTheme="minorHAnsi"/>
          <w:b/>
        </w:rPr>
        <w:t>recognizance release order (RRO)</w:t>
      </w:r>
      <w:r w:rsidR="00FB7B0A">
        <w:rPr>
          <w:rFonts w:asciiTheme="minorHAnsi" w:hAnsiTheme="minorHAnsi"/>
        </w:rPr>
        <w:t>, that is, an order for the conditional release of the offender</w:t>
      </w:r>
      <w:r w:rsidRPr="00E6038C">
        <w:rPr>
          <w:rFonts w:asciiTheme="minorHAnsi" w:hAnsiTheme="minorHAnsi"/>
        </w:rPr>
        <w:t xml:space="preserve"> </w:t>
      </w:r>
      <w:r w:rsidR="00FB7B0A" w:rsidRPr="00E6038C">
        <w:rPr>
          <w:rFonts w:asciiTheme="minorHAnsi" w:hAnsiTheme="minorHAnsi"/>
        </w:rPr>
        <w:t xml:space="preserve">under s 20(1)(b) of the </w:t>
      </w:r>
      <w:r w:rsidR="00885EFD" w:rsidRPr="00885EFD">
        <w:rPr>
          <w:rFonts w:asciiTheme="minorHAnsi" w:hAnsiTheme="minorHAnsi"/>
          <w:i/>
        </w:rPr>
        <w:t>Crimes Act 1914</w:t>
      </w:r>
      <w:r w:rsidR="00FB7B0A" w:rsidRPr="00E6038C">
        <w:rPr>
          <w:rFonts w:asciiTheme="minorHAnsi" w:hAnsiTheme="minorHAnsi"/>
        </w:rPr>
        <w:t xml:space="preserve"> (Cth)</w:t>
      </w:r>
      <w:r w:rsidR="00FB7B0A">
        <w:rPr>
          <w:rFonts w:asciiTheme="minorHAnsi" w:hAnsiTheme="minorHAnsi"/>
        </w:rPr>
        <w:t>.</w:t>
      </w:r>
      <w:r w:rsidR="00120656" w:rsidRPr="00C00000">
        <w:rPr>
          <w:rStyle w:val="Style"/>
          <w:rFonts w:asciiTheme="minorHAnsi" w:hAnsiTheme="minorHAnsi"/>
        </w:rPr>
        <w:footnoteReference w:id="802"/>
      </w:r>
      <w:r w:rsidRPr="00E6038C">
        <w:rPr>
          <w:rFonts w:asciiTheme="minorHAnsi" w:hAnsiTheme="minorHAnsi"/>
        </w:rPr>
        <w:t xml:space="preserve">  That provision empowers a court which sentences an offender to imprisonment for one or more federal offences to direct, by order, that the person be released, upon giving security by recognizance or otherwise, either </w:t>
      </w:r>
      <w:r w:rsidRPr="00E6038C">
        <w:rPr>
          <w:rFonts w:asciiTheme="minorHAnsi" w:hAnsiTheme="minorHAnsi"/>
          <w:i/>
        </w:rPr>
        <w:t>forthwith</w:t>
      </w:r>
      <w:r w:rsidRPr="00E6038C">
        <w:rPr>
          <w:rFonts w:asciiTheme="minorHAnsi" w:hAnsiTheme="minorHAnsi"/>
        </w:rPr>
        <w:t xml:space="preserve"> or </w:t>
      </w:r>
      <w:r w:rsidRPr="00E6038C">
        <w:rPr>
          <w:rFonts w:asciiTheme="minorHAnsi" w:hAnsiTheme="minorHAnsi"/>
          <w:i/>
        </w:rPr>
        <w:t>after he or she has served a specified period of imprisonment for the offence(s)</w:t>
      </w:r>
      <w:r w:rsidRPr="00E6038C">
        <w:rPr>
          <w:rFonts w:asciiTheme="minorHAnsi" w:hAnsiTheme="minorHAnsi"/>
        </w:rPr>
        <w:t xml:space="preserve">.  The required security is in practice invariably provided by recognizance.  The recognizance is subject to a standard condition that the offender will, upon release, be of good behaviour for such period (up to 5 years) as the court specifies.  Other conditions (such as the payment of reparation or compensation, or participation in a treatment or </w:t>
      </w:r>
      <w:r w:rsidR="00C56E77" w:rsidRPr="00E6038C">
        <w:rPr>
          <w:rFonts w:asciiTheme="minorHAnsi" w:hAnsiTheme="minorHAnsi"/>
        </w:rPr>
        <w:t>rehabilitation</w:t>
      </w:r>
      <w:r w:rsidRPr="00E6038C">
        <w:rPr>
          <w:rFonts w:asciiTheme="minorHAnsi" w:hAnsiTheme="minorHAnsi"/>
        </w:rPr>
        <w:t xml:space="preserve"> program) may also be fixed.  </w:t>
      </w:r>
      <w:r w:rsidR="00FB7B0A" w:rsidRPr="00E6038C">
        <w:rPr>
          <w:rFonts w:asciiTheme="minorHAnsi" w:hAnsiTheme="minorHAnsi"/>
        </w:rPr>
        <w:t>Unless required to be held in custody on some other basis</w:t>
      </w:r>
      <w:r w:rsidR="00FB7B0A">
        <w:rPr>
          <w:rFonts w:asciiTheme="minorHAnsi" w:hAnsiTheme="minorHAnsi"/>
        </w:rPr>
        <w:t>,</w:t>
      </w:r>
      <w:r w:rsidR="00FB7B0A" w:rsidRPr="00E6038C">
        <w:rPr>
          <w:rFonts w:asciiTheme="minorHAnsi" w:hAnsiTheme="minorHAnsi"/>
        </w:rPr>
        <w:t xml:space="preserve"> the </w:t>
      </w:r>
      <w:r w:rsidRPr="00E6038C">
        <w:rPr>
          <w:rFonts w:asciiTheme="minorHAnsi" w:hAnsiTheme="minorHAnsi"/>
        </w:rPr>
        <w:t>offender must be released on the appointed day</w:t>
      </w:r>
      <w:r w:rsidR="00FB7B0A">
        <w:rPr>
          <w:rFonts w:asciiTheme="minorHAnsi" w:hAnsiTheme="minorHAnsi"/>
        </w:rPr>
        <w:t>,</w:t>
      </w:r>
      <w:r w:rsidRPr="00C00000">
        <w:rPr>
          <w:rStyle w:val="Style"/>
          <w:rFonts w:asciiTheme="minorHAnsi" w:hAnsiTheme="minorHAnsi"/>
        </w:rPr>
        <w:footnoteReference w:id="803"/>
      </w:r>
      <w:r w:rsidRPr="00E6038C">
        <w:rPr>
          <w:rFonts w:asciiTheme="minorHAnsi" w:hAnsiTheme="minorHAnsi"/>
        </w:rPr>
        <w:t xml:space="preserve"> </w:t>
      </w:r>
      <w:r w:rsidR="00FB7B0A">
        <w:rPr>
          <w:rFonts w:asciiTheme="minorHAnsi" w:hAnsiTheme="minorHAnsi"/>
        </w:rPr>
        <w:t>provided the security required by the court has been given.</w:t>
      </w:r>
      <w:r w:rsidR="008E3492" w:rsidRPr="00C00000">
        <w:rPr>
          <w:rStyle w:val="Style"/>
          <w:rFonts w:asciiTheme="minorHAnsi" w:hAnsiTheme="minorHAnsi"/>
        </w:rPr>
        <w:footnoteReference w:id="804"/>
      </w:r>
      <w:r w:rsidR="00FB7B0A">
        <w:rPr>
          <w:rFonts w:asciiTheme="minorHAnsi" w:hAnsiTheme="minorHAnsi"/>
        </w:rPr>
        <w:t xml:space="preserve"> </w:t>
      </w:r>
      <w:r w:rsidRPr="00E6038C">
        <w:rPr>
          <w:rFonts w:asciiTheme="minorHAnsi" w:hAnsiTheme="minorHAnsi"/>
        </w:rPr>
        <w:t xml:space="preserve"> </w:t>
      </w:r>
      <w:r w:rsidR="00E312F1" w:rsidRPr="002E5C01">
        <w:rPr>
          <w:rFonts w:asciiTheme="minorHAnsi" w:hAnsiTheme="minorHAnsi"/>
          <w:i/>
        </w:rPr>
        <w:t>Generally speaking</w:t>
      </w:r>
      <w:r w:rsidR="00D72A2F">
        <w:rPr>
          <w:rFonts w:asciiTheme="minorHAnsi" w:hAnsiTheme="minorHAnsi"/>
          <w:i/>
        </w:rPr>
        <w:t>,</w:t>
      </w:r>
      <w:r w:rsidR="00E312F1" w:rsidRPr="002E5C01">
        <w:rPr>
          <w:rStyle w:val="FootnoteReference"/>
          <w:rFonts w:asciiTheme="minorHAnsi" w:hAnsiTheme="minorHAnsi"/>
        </w:rPr>
        <w:footnoteReference w:id="805"/>
      </w:r>
      <w:r w:rsidRPr="00BD5421">
        <w:rPr>
          <w:rFonts w:asciiTheme="minorHAnsi" w:hAnsiTheme="minorHAnsi"/>
          <w:i/>
        </w:rPr>
        <w:t xml:space="preserve"> a RRO is only available if the federal sentence of imprisonment imposed (or if more than one, the total effective sentence for the federal offences, or if there are other federal sentences, the total unserved period) is 3 years or less.</w:t>
      </w:r>
      <w:r w:rsidR="0048660E" w:rsidRPr="00C00000">
        <w:rPr>
          <w:rStyle w:val="Style"/>
          <w:rFonts w:asciiTheme="minorHAnsi" w:hAnsiTheme="minorHAnsi"/>
        </w:rPr>
        <w:footnoteReference w:id="806"/>
      </w:r>
    </w:p>
    <w:p w14:paraId="3152C5B4" w14:textId="77777777" w:rsidR="001C5BF8" w:rsidRPr="009A45D3" w:rsidRDefault="001C5BF8" w:rsidP="001C5BF8">
      <w:pPr>
        <w:pStyle w:val="ListParagraph"/>
        <w:rPr>
          <w:rFonts w:asciiTheme="minorHAnsi" w:hAnsiTheme="minorHAnsi"/>
        </w:rPr>
      </w:pPr>
    </w:p>
    <w:p w14:paraId="4F7759AA" w14:textId="644C9C53" w:rsidR="001C5BF8" w:rsidRDefault="001C5B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second mechanism is a </w:t>
      </w:r>
      <w:r w:rsidRPr="00260486">
        <w:rPr>
          <w:rFonts w:asciiTheme="minorHAnsi" w:hAnsiTheme="minorHAnsi"/>
          <w:b/>
        </w:rPr>
        <w:t>non-parole period</w:t>
      </w:r>
      <w:r>
        <w:rPr>
          <w:rFonts w:asciiTheme="minorHAnsi" w:hAnsiTheme="minorHAnsi"/>
          <w:b/>
        </w:rPr>
        <w:t xml:space="preserve"> (NPP)</w:t>
      </w:r>
      <w:r w:rsidRPr="009A45D3">
        <w:rPr>
          <w:rFonts w:asciiTheme="minorHAnsi" w:hAnsiTheme="minorHAnsi"/>
        </w:rPr>
        <w:t xml:space="preserve">.  A NPP </w:t>
      </w:r>
      <w:r>
        <w:rPr>
          <w:rFonts w:asciiTheme="minorHAnsi" w:hAnsiTheme="minorHAnsi"/>
        </w:rPr>
        <w:t>fixes the minimum period of imprisonment which the offender must serve before being eligible for parole.  Whether the offender is released on parole after that period is determined at the discretion of the Commonwealth Attorney-General.</w:t>
      </w:r>
      <w:r w:rsidR="007A6AF7" w:rsidRPr="00C00000">
        <w:rPr>
          <w:rStyle w:val="Style"/>
          <w:rFonts w:asciiTheme="minorHAnsi" w:hAnsiTheme="minorHAnsi"/>
        </w:rPr>
        <w:footnoteReference w:id="807"/>
      </w:r>
      <w:r>
        <w:rPr>
          <w:rFonts w:asciiTheme="minorHAnsi" w:hAnsiTheme="minorHAnsi"/>
        </w:rPr>
        <w:t xml:space="preserve">  </w:t>
      </w:r>
      <w:r w:rsidRPr="00C00000">
        <w:rPr>
          <w:rFonts w:asciiTheme="minorHAnsi" w:hAnsiTheme="minorHAnsi"/>
        </w:rPr>
        <w:t>Parole entails a greater degree of supervision than a</w:t>
      </w:r>
      <w:r>
        <w:rPr>
          <w:rFonts w:asciiTheme="minorHAnsi" w:hAnsiTheme="minorHAnsi"/>
        </w:rPr>
        <w:t xml:space="preserve"> RRO</w:t>
      </w:r>
      <w:r w:rsidRPr="00C00000">
        <w:rPr>
          <w:rFonts w:asciiTheme="minorHAnsi" w:hAnsiTheme="minorHAnsi"/>
        </w:rPr>
        <w:t>.</w:t>
      </w:r>
      <w:r>
        <w:rPr>
          <w:rFonts w:asciiTheme="minorHAnsi" w:hAnsiTheme="minorHAnsi"/>
        </w:rPr>
        <w:t xml:space="preserve">  Parole may be revoked by the Attorney-General if the offender has breached a condition of the parole order, or if there are reasonable grounds for suspecting that the offender has done so (</w:t>
      </w:r>
      <w:r w:rsidR="00885EFD" w:rsidRPr="00885EFD">
        <w:rPr>
          <w:rFonts w:asciiTheme="minorHAnsi" w:hAnsiTheme="minorHAnsi"/>
          <w:i/>
        </w:rPr>
        <w:t>Crimes Act 1914</w:t>
      </w:r>
      <w:r w:rsidRPr="009064E4">
        <w:rPr>
          <w:rFonts w:asciiTheme="minorHAnsi" w:hAnsiTheme="minorHAnsi"/>
          <w:i/>
        </w:rPr>
        <w:t xml:space="preserve"> (Cth)</w:t>
      </w:r>
      <w:r>
        <w:rPr>
          <w:rFonts w:asciiTheme="minorHAnsi" w:hAnsiTheme="minorHAnsi"/>
        </w:rPr>
        <w:t>, s 19AU).</w:t>
      </w:r>
      <w:r w:rsidR="003E2508">
        <w:rPr>
          <w:rFonts w:asciiTheme="minorHAnsi" w:hAnsiTheme="minorHAnsi"/>
        </w:rPr>
        <w:t xml:space="preserve">  Parole is also automatically revoked if the parolee commits an offence on parole and is sentenced to more than 3 months</w:t>
      </w:r>
      <w:r w:rsidR="00AA693C">
        <w:rPr>
          <w:rFonts w:asciiTheme="minorHAnsi" w:hAnsiTheme="minorHAnsi"/>
        </w:rPr>
        <w:t>’</w:t>
      </w:r>
      <w:r w:rsidR="003E2508">
        <w:rPr>
          <w:rFonts w:asciiTheme="minorHAnsi" w:hAnsiTheme="minorHAnsi"/>
        </w:rPr>
        <w:t xml:space="preserve"> imprisonment for that offence (</w:t>
      </w:r>
      <w:r w:rsidR="003E2508" w:rsidRPr="00885EFD">
        <w:rPr>
          <w:rFonts w:asciiTheme="minorHAnsi" w:hAnsiTheme="minorHAnsi"/>
          <w:i/>
        </w:rPr>
        <w:t>Crimes Act 1914</w:t>
      </w:r>
      <w:r w:rsidR="003E2508" w:rsidRPr="009064E4">
        <w:rPr>
          <w:rFonts w:asciiTheme="minorHAnsi" w:hAnsiTheme="minorHAnsi"/>
          <w:i/>
        </w:rPr>
        <w:t xml:space="preserve"> (Cth)</w:t>
      </w:r>
      <w:r w:rsidR="003E2508">
        <w:rPr>
          <w:rFonts w:asciiTheme="minorHAnsi" w:hAnsiTheme="minorHAnsi"/>
        </w:rPr>
        <w:t>, s 19AQ).</w:t>
      </w:r>
      <w:r w:rsidR="00BD5421" w:rsidRPr="00BD5421">
        <w:rPr>
          <w:rFonts w:asciiTheme="minorHAnsi" w:hAnsiTheme="minorHAnsi"/>
          <w:i/>
        </w:rPr>
        <w:t xml:space="preserve"> </w:t>
      </w:r>
      <w:r w:rsidR="00BD5421">
        <w:rPr>
          <w:rFonts w:asciiTheme="minorHAnsi" w:hAnsiTheme="minorHAnsi"/>
          <w:i/>
        </w:rPr>
        <w:t xml:space="preserve"> </w:t>
      </w:r>
      <w:r w:rsidR="00BD5421" w:rsidRPr="00BD5421">
        <w:rPr>
          <w:rFonts w:asciiTheme="minorHAnsi" w:hAnsiTheme="minorHAnsi"/>
          <w:i/>
        </w:rPr>
        <w:t xml:space="preserve">Generally speaking, a </w:t>
      </w:r>
      <w:r w:rsidR="00BD5421">
        <w:rPr>
          <w:rFonts w:asciiTheme="minorHAnsi" w:hAnsiTheme="minorHAnsi"/>
          <w:i/>
        </w:rPr>
        <w:t>NPP</w:t>
      </w:r>
      <w:r w:rsidR="00BD5421" w:rsidRPr="00BD5421">
        <w:rPr>
          <w:rFonts w:asciiTheme="minorHAnsi" w:hAnsiTheme="minorHAnsi"/>
          <w:i/>
        </w:rPr>
        <w:t xml:space="preserve"> is only available if the federal sentence of imprisonment imposed (or if more than one, the total effective sentence for the federal offences, or if there are other federal sentences, the total unserved period) is </w:t>
      </w:r>
      <w:r w:rsidR="00BD5421">
        <w:rPr>
          <w:rFonts w:asciiTheme="minorHAnsi" w:hAnsiTheme="minorHAnsi"/>
          <w:i/>
        </w:rPr>
        <w:t xml:space="preserve">greater than </w:t>
      </w:r>
      <w:r w:rsidR="00BD5421" w:rsidRPr="00BD5421">
        <w:rPr>
          <w:rFonts w:asciiTheme="minorHAnsi" w:hAnsiTheme="minorHAnsi"/>
          <w:i/>
        </w:rPr>
        <w:t>3 years.</w:t>
      </w:r>
    </w:p>
    <w:p w14:paraId="30B7AF57" w14:textId="77777777" w:rsidR="001C5BF8" w:rsidRPr="00EC2AFD" w:rsidRDefault="001C5BF8" w:rsidP="00FB4D12">
      <w:pPr>
        <w:pStyle w:val="ListParagraph"/>
        <w:rPr>
          <w:rFonts w:asciiTheme="minorHAnsi" w:hAnsiTheme="minorHAnsi"/>
        </w:rPr>
      </w:pPr>
    </w:p>
    <w:p w14:paraId="4BE5DABC" w14:textId="77B816ED" w:rsidR="001A486D" w:rsidRDefault="00EC4B8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circumstances in which a </w:t>
      </w:r>
      <w:r w:rsidR="001A486D">
        <w:rPr>
          <w:rFonts w:asciiTheme="minorHAnsi" w:hAnsiTheme="minorHAnsi"/>
        </w:rPr>
        <w:t xml:space="preserve">RRO </w:t>
      </w:r>
      <w:r>
        <w:rPr>
          <w:rFonts w:asciiTheme="minorHAnsi" w:hAnsiTheme="minorHAnsi"/>
        </w:rPr>
        <w:t xml:space="preserve">is available </w:t>
      </w:r>
      <w:r w:rsidR="001A486D">
        <w:rPr>
          <w:rFonts w:asciiTheme="minorHAnsi" w:hAnsiTheme="minorHAnsi"/>
        </w:rPr>
        <w:t xml:space="preserve">and </w:t>
      </w:r>
      <w:r>
        <w:rPr>
          <w:rFonts w:asciiTheme="minorHAnsi" w:hAnsiTheme="minorHAnsi"/>
        </w:rPr>
        <w:t xml:space="preserve">those in which a </w:t>
      </w:r>
      <w:r w:rsidR="001A486D">
        <w:rPr>
          <w:rFonts w:asciiTheme="minorHAnsi" w:hAnsiTheme="minorHAnsi"/>
        </w:rPr>
        <w:t>NPP</w:t>
      </w:r>
      <w:r>
        <w:rPr>
          <w:rFonts w:asciiTheme="minorHAnsi" w:hAnsiTheme="minorHAnsi"/>
        </w:rPr>
        <w:t xml:space="preserve"> i</w:t>
      </w:r>
      <w:r w:rsidR="001A486D">
        <w:rPr>
          <w:rFonts w:asciiTheme="minorHAnsi" w:hAnsiTheme="minorHAnsi"/>
        </w:rPr>
        <w:t xml:space="preserve">s </w:t>
      </w:r>
      <w:r>
        <w:rPr>
          <w:rFonts w:asciiTheme="minorHAnsi" w:hAnsiTheme="minorHAnsi"/>
        </w:rPr>
        <w:t xml:space="preserve">available </w:t>
      </w:r>
      <w:r w:rsidR="001A486D">
        <w:rPr>
          <w:rFonts w:asciiTheme="minorHAnsi" w:hAnsiTheme="minorHAnsi"/>
        </w:rPr>
        <w:t>are almost entirely mutually exclusive: in only one (uncommon) factual circumstance can a sentencing court choose between them.</w:t>
      </w:r>
      <w:r w:rsidR="001A486D" w:rsidRPr="00C00000">
        <w:rPr>
          <w:rStyle w:val="Style"/>
          <w:rFonts w:asciiTheme="minorHAnsi" w:hAnsiTheme="minorHAnsi"/>
        </w:rPr>
        <w:footnoteReference w:id="808"/>
      </w:r>
    </w:p>
    <w:p w14:paraId="0D07E7C2" w14:textId="77777777" w:rsidR="001A486D" w:rsidRPr="001A486D" w:rsidRDefault="001A486D" w:rsidP="001A486D">
      <w:pPr>
        <w:pStyle w:val="ListParagraph"/>
        <w:rPr>
          <w:rFonts w:asciiTheme="minorHAnsi" w:hAnsiTheme="minorHAnsi"/>
        </w:rPr>
      </w:pPr>
    </w:p>
    <w:p w14:paraId="11CE7B9E" w14:textId="1E6D4C92" w:rsidR="001C5BF8" w:rsidRDefault="001C5B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certain circumstances, Part IB of the </w:t>
      </w:r>
      <w:r w:rsidR="00885EFD" w:rsidRPr="00885EFD">
        <w:rPr>
          <w:rFonts w:asciiTheme="minorHAnsi" w:hAnsiTheme="minorHAnsi"/>
          <w:i/>
        </w:rPr>
        <w:t>Crimes Act 1914</w:t>
      </w:r>
      <w:r>
        <w:rPr>
          <w:rFonts w:asciiTheme="minorHAnsi" w:hAnsiTheme="minorHAnsi"/>
        </w:rPr>
        <w:t xml:space="preserve"> (Cth) also provides for what is commonly known as </w:t>
      </w:r>
      <w:r w:rsidRPr="009A45D3">
        <w:rPr>
          <w:rFonts w:asciiTheme="minorHAnsi" w:hAnsiTheme="minorHAnsi"/>
          <w:b/>
        </w:rPr>
        <w:t>a straight sentence</w:t>
      </w:r>
      <w:r>
        <w:rPr>
          <w:rFonts w:asciiTheme="minorHAnsi" w:hAnsiTheme="minorHAnsi"/>
        </w:rPr>
        <w:t xml:space="preserve"> to be imposed: that is, a sentence of imprisonment with no provision for release during the period of imprisonment.</w:t>
      </w:r>
    </w:p>
    <w:p w14:paraId="39691C2A" w14:textId="77777777" w:rsidR="001C5BF8" w:rsidRPr="009A5FAA" w:rsidRDefault="001C5BF8" w:rsidP="00FB4D12">
      <w:pPr>
        <w:pStyle w:val="ListParagraph"/>
        <w:rPr>
          <w:rFonts w:asciiTheme="minorHAnsi" w:hAnsiTheme="minorHAnsi"/>
        </w:rPr>
      </w:pPr>
    </w:p>
    <w:p w14:paraId="106A40D7" w14:textId="6D16E30E" w:rsidR="001C5BF8" w:rsidRDefault="001C5B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relevant provisions of the </w:t>
      </w:r>
      <w:r w:rsidR="00885EFD" w:rsidRPr="00885EFD">
        <w:rPr>
          <w:rFonts w:asciiTheme="minorHAnsi" w:hAnsiTheme="minorHAnsi"/>
          <w:i/>
        </w:rPr>
        <w:t>Crimes Act 1914</w:t>
      </w:r>
      <w:r>
        <w:rPr>
          <w:rFonts w:asciiTheme="minorHAnsi" w:hAnsiTheme="minorHAnsi"/>
        </w:rPr>
        <w:t xml:space="preserve"> (Cth) are prescriptive about when a RRO or NPP may or must be imposed, and about the exercise of the discretion to impose a straight sentence</w:t>
      </w:r>
      <w:r w:rsidR="00312352">
        <w:rPr>
          <w:rFonts w:asciiTheme="minorHAnsi" w:hAnsiTheme="minorHAnsi"/>
        </w:rPr>
        <w:t xml:space="preserve"> instead of making a RRO or fixing a NPP</w:t>
      </w:r>
      <w:r>
        <w:rPr>
          <w:rFonts w:asciiTheme="minorHAnsi" w:hAnsiTheme="minorHAnsi"/>
        </w:rPr>
        <w:t xml:space="preserve">.  The requirements are </w:t>
      </w:r>
      <w:r w:rsidR="00F47D0C">
        <w:rPr>
          <w:rFonts w:asciiTheme="minorHAnsi" w:hAnsiTheme="minorHAnsi"/>
        </w:rPr>
        <w:t>summar</w:t>
      </w:r>
      <w:r w:rsidR="00B86888">
        <w:rPr>
          <w:rFonts w:asciiTheme="minorHAnsi" w:hAnsiTheme="minorHAnsi"/>
        </w:rPr>
        <w:t>ised</w:t>
      </w:r>
      <w:r>
        <w:rPr>
          <w:rFonts w:asciiTheme="minorHAnsi" w:hAnsiTheme="minorHAnsi"/>
        </w:rPr>
        <w:t xml:space="preserve"> in </w:t>
      </w:r>
      <w:r w:rsidR="00F30B97">
        <w:rPr>
          <w:rFonts w:asciiTheme="minorHAnsi" w:hAnsiTheme="minorHAnsi"/>
        </w:rPr>
        <w:t>the following</w:t>
      </w:r>
      <w:r>
        <w:rPr>
          <w:rFonts w:asciiTheme="minorHAnsi" w:hAnsiTheme="minorHAnsi"/>
        </w:rPr>
        <w:t xml:space="preserve"> sections of this chapter.</w:t>
      </w:r>
    </w:p>
    <w:p w14:paraId="574639D1" w14:textId="77777777" w:rsidR="001C5BF8" w:rsidRPr="000D02FB" w:rsidRDefault="001C5BF8" w:rsidP="001C5BF8">
      <w:pPr>
        <w:pStyle w:val="ListParagraph"/>
        <w:rPr>
          <w:rFonts w:asciiTheme="minorHAnsi" w:hAnsiTheme="minorHAnsi"/>
        </w:rPr>
      </w:pPr>
    </w:p>
    <w:p w14:paraId="08FF74FD" w14:textId="19AF3752" w:rsidR="00BC10F3" w:rsidRPr="00364B92" w:rsidRDefault="00BC10F3" w:rsidP="006D50C7">
      <w:pPr>
        <w:pStyle w:val="Heading3"/>
      </w:pPr>
      <w:bookmarkStart w:id="1928" w:name="_Ref507948252"/>
      <w:bookmarkStart w:id="1929" w:name="_Ref507948255"/>
      <w:bookmarkStart w:id="1930" w:name="_Toc33602897"/>
      <w:r w:rsidRPr="00364B92">
        <w:t xml:space="preserve">Non-parole period </w:t>
      </w:r>
      <w:r w:rsidR="00867A0E">
        <w:t xml:space="preserve">(NPP) </w:t>
      </w:r>
      <w:r w:rsidRPr="00364B92">
        <w:t xml:space="preserve">or </w:t>
      </w:r>
      <w:r w:rsidR="00A53DA1">
        <w:t>recognizance</w:t>
      </w:r>
      <w:r w:rsidRPr="00364B92">
        <w:t xml:space="preserve"> release order</w:t>
      </w:r>
      <w:r w:rsidR="00DB6604">
        <w:t xml:space="preserve"> (RRO)</w:t>
      </w:r>
      <w:r w:rsidRPr="00364B92">
        <w:t>?</w:t>
      </w:r>
      <w:bookmarkEnd w:id="1928"/>
      <w:bookmarkEnd w:id="1929"/>
      <w:bookmarkEnd w:id="1930"/>
    </w:p>
    <w:p w14:paraId="77296C87" w14:textId="77777777" w:rsidR="0021590D" w:rsidRPr="00051102" w:rsidRDefault="0021590D" w:rsidP="006D50C7">
      <w:pPr>
        <w:pStyle w:val="NormalIndent"/>
        <w:keepNext/>
        <w:spacing w:line="276" w:lineRule="auto"/>
        <w:jc w:val="both"/>
        <w:rPr>
          <w:rFonts w:ascii="Calibri" w:hAnsi="Calibri"/>
        </w:rPr>
      </w:pPr>
    </w:p>
    <w:p w14:paraId="6AAD3ACE" w14:textId="79736217" w:rsidR="00FF1217" w:rsidRDefault="00FF121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options available for fixing the period, or the minimum period, of imprisonment to be served by a federal offender who is sentenced to imprisonment are determined by a matrix of </w:t>
      </w:r>
      <w:r w:rsidR="000716B4">
        <w:rPr>
          <w:rFonts w:asciiTheme="minorHAnsi" w:hAnsiTheme="minorHAnsi"/>
        </w:rPr>
        <w:t xml:space="preserve">legislative </w:t>
      </w:r>
      <w:r>
        <w:rPr>
          <w:rFonts w:asciiTheme="minorHAnsi" w:hAnsiTheme="minorHAnsi"/>
        </w:rPr>
        <w:t>provisions.</w:t>
      </w:r>
      <w:r w:rsidR="000716B4">
        <w:rPr>
          <w:rFonts w:asciiTheme="minorHAnsi" w:hAnsiTheme="minorHAnsi"/>
        </w:rPr>
        <w:t xml:space="preserve">  The following is a brief overview of those requirements; they are described in more detail later.</w:t>
      </w:r>
    </w:p>
    <w:p w14:paraId="0C5705B4" w14:textId="3035E5CA" w:rsidR="00FF1217" w:rsidRPr="00FF1217" w:rsidRDefault="00FF1217" w:rsidP="00FB4D12">
      <w:pPr>
        <w:pStyle w:val="ListParagraph"/>
        <w:rPr>
          <w:rFonts w:asciiTheme="minorHAnsi" w:hAnsiTheme="minorHAnsi"/>
        </w:rPr>
      </w:pPr>
    </w:p>
    <w:p w14:paraId="2245302A" w14:textId="77777777" w:rsidR="00B609B8" w:rsidRDefault="00B609B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Specific provisions apply if the offender is to be sentenced for:</w:t>
      </w:r>
    </w:p>
    <w:p w14:paraId="7D2296B7" w14:textId="0938C071" w:rsidR="00B609B8" w:rsidRDefault="00B609B8"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 minimum non-parole period offence (that is, any of the national security-related offences listed in s 19AG(1)), or</w:t>
      </w:r>
    </w:p>
    <w:p w14:paraId="2C39232D" w14:textId="28EC8690" w:rsidR="00B609B8" w:rsidRPr="00542043" w:rsidRDefault="00B609B8"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 people-smuggling offence </w:t>
      </w:r>
      <w:r w:rsidR="00722B00">
        <w:rPr>
          <w:rFonts w:asciiTheme="minorHAnsi" w:hAnsiTheme="minorHAnsi"/>
        </w:rPr>
        <w:t xml:space="preserve">to which s 236B of </w:t>
      </w:r>
      <w:r w:rsidR="00722B00" w:rsidRPr="00C00000">
        <w:rPr>
          <w:rFonts w:asciiTheme="minorHAnsi" w:hAnsiTheme="minorHAnsi"/>
        </w:rPr>
        <w:t xml:space="preserve">the </w:t>
      </w:r>
      <w:r w:rsidR="00722B00" w:rsidRPr="00C00000">
        <w:rPr>
          <w:rFonts w:asciiTheme="minorHAnsi" w:hAnsiTheme="minorHAnsi"/>
          <w:i/>
          <w:iCs/>
        </w:rPr>
        <w:t>Migration Act 1958</w:t>
      </w:r>
      <w:r w:rsidR="00722B00">
        <w:rPr>
          <w:rFonts w:asciiTheme="minorHAnsi" w:hAnsiTheme="minorHAnsi"/>
          <w:i/>
          <w:iCs/>
        </w:rPr>
        <w:t xml:space="preserve"> </w:t>
      </w:r>
      <w:r w:rsidR="00722B00">
        <w:rPr>
          <w:rFonts w:asciiTheme="minorHAnsi" w:hAnsiTheme="minorHAnsi"/>
          <w:iCs/>
        </w:rPr>
        <w:t>(Cth) applies.</w:t>
      </w:r>
    </w:p>
    <w:p w14:paraId="18A401B3" w14:textId="0E2BE5E5" w:rsidR="00722B00" w:rsidRPr="00542043" w:rsidRDefault="00722B00" w:rsidP="00571D41">
      <w:pPr>
        <w:spacing w:line="276" w:lineRule="auto"/>
        <w:ind w:left="426" w:right="-1"/>
        <w:jc w:val="both"/>
        <w:rPr>
          <w:rFonts w:asciiTheme="minorHAnsi" w:hAnsiTheme="minorHAnsi"/>
        </w:rPr>
      </w:pPr>
      <w:r w:rsidRPr="00542043">
        <w:rPr>
          <w:rFonts w:asciiTheme="minorHAnsi" w:hAnsiTheme="minorHAnsi"/>
        </w:rPr>
        <w:t>In these circumstances prescriptive requirements apply, and options which would otherwise be available are excluded.  For details of the prescriptive requirements see “</w:t>
      </w:r>
      <w:r w:rsidR="002641E0">
        <w:rPr>
          <w:rFonts w:asciiTheme="minorHAnsi" w:hAnsiTheme="minorHAnsi"/>
        </w:rPr>
        <w:fldChar w:fldCharType="begin"/>
      </w:r>
      <w:r w:rsidR="002641E0">
        <w:rPr>
          <w:rFonts w:asciiTheme="minorHAnsi" w:hAnsiTheme="minorHAnsi"/>
        </w:rPr>
        <w:instrText xml:space="preserve"> REF _Ref507141153 \r \h  \* MERGEFORMAT </w:instrText>
      </w:r>
      <w:r w:rsidR="002641E0">
        <w:rPr>
          <w:rFonts w:asciiTheme="minorHAnsi" w:hAnsiTheme="minorHAnsi"/>
        </w:rPr>
      </w:r>
      <w:r w:rsidR="002641E0">
        <w:rPr>
          <w:rFonts w:asciiTheme="minorHAnsi" w:hAnsiTheme="minorHAnsi"/>
        </w:rPr>
        <w:fldChar w:fldCharType="separate"/>
      </w:r>
      <w:r w:rsidR="00D44BCF">
        <w:rPr>
          <w:rFonts w:asciiTheme="minorHAnsi" w:hAnsiTheme="minorHAnsi"/>
        </w:rPr>
        <w:t>5.10.9</w:t>
      </w:r>
      <w:r w:rsidR="002641E0">
        <w:rPr>
          <w:rFonts w:asciiTheme="minorHAnsi" w:hAnsiTheme="minorHAnsi"/>
        </w:rPr>
        <w:fldChar w:fldCharType="end"/>
      </w:r>
      <w:r w:rsidR="002641E0">
        <w:rPr>
          <w:rFonts w:asciiTheme="minorHAnsi" w:hAnsiTheme="minorHAnsi"/>
        </w:rPr>
        <w:t xml:space="preserve"> </w:t>
      </w:r>
      <w:r w:rsidR="002641E0">
        <w:rPr>
          <w:rFonts w:asciiTheme="minorHAnsi" w:hAnsiTheme="minorHAnsi"/>
        </w:rPr>
        <w:fldChar w:fldCharType="begin"/>
      </w:r>
      <w:r w:rsidR="002641E0">
        <w:rPr>
          <w:rFonts w:asciiTheme="minorHAnsi" w:hAnsiTheme="minorHAnsi"/>
        </w:rPr>
        <w:instrText xml:space="preserve"> REF _Ref507141153 \h  \* MERGEFORMAT </w:instrText>
      </w:r>
      <w:r w:rsidR="002641E0">
        <w:rPr>
          <w:rFonts w:asciiTheme="minorHAnsi" w:hAnsiTheme="minorHAnsi"/>
        </w:rPr>
      </w:r>
      <w:r w:rsidR="002641E0">
        <w:rPr>
          <w:rFonts w:asciiTheme="minorHAnsi" w:hAnsiTheme="minorHAnsi"/>
        </w:rPr>
        <w:fldChar w:fldCharType="separate"/>
      </w:r>
      <w:r w:rsidR="00D44BCF" w:rsidRPr="00D44BCF">
        <w:rPr>
          <w:rFonts w:asciiTheme="minorHAnsi" w:hAnsiTheme="minorHAnsi"/>
        </w:rPr>
        <w:t>The three-quarters rule in fixing a NPP for certain national security offences</w:t>
      </w:r>
      <w:r w:rsidR="002641E0">
        <w:rPr>
          <w:rFonts w:asciiTheme="minorHAnsi" w:hAnsiTheme="minorHAnsi"/>
        </w:rPr>
        <w:fldChar w:fldCharType="end"/>
      </w:r>
      <w:r w:rsidRPr="00542043">
        <w:rPr>
          <w:rFonts w:asciiTheme="minorHAnsi" w:hAnsiTheme="minorHAnsi"/>
        </w:rPr>
        <w:t>” and “</w:t>
      </w:r>
      <w:r w:rsidRPr="00542043">
        <w:rPr>
          <w:rFonts w:asciiTheme="minorHAnsi" w:hAnsiTheme="minorHAnsi"/>
        </w:rPr>
        <w:fldChar w:fldCharType="begin"/>
      </w:r>
      <w:r w:rsidRPr="00542043">
        <w:rPr>
          <w:rFonts w:asciiTheme="minorHAnsi" w:hAnsiTheme="minorHAnsi"/>
        </w:rPr>
        <w:instrText xml:space="preserve"> REF _Ref492551931 \r \h  \* MERGEFORMAT </w:instrText>
      </w:r>
      <w:r w:rsidRPr="00542043">
        <w:rPr>
          <w:rFonts w:asciiTheme="minorHAnsi" w:hAnsiTheme="minorHAnsi"/>
        </w:rPr>
      </w:r>
      <w:r w:rsidRPr="00542043">
        <w:rPr>
          <w:rFonts w:asciiTheme="minorHAnsi" w:hAnsiTheme="minorHAnsi"/>
        </w:rPr>
        <w:fldChar w:fldCharType="separate"/>
      </w:r>
      <w:r w:rsidR="00D44BCF">
        <w:rPr>
          <w:rFonts w:asciiTheme="minorHAnsi" w:hAnsiTheme="minorHAnsi"/>
        </w:rPr>
        <w:t>8.1.2</w:t>
      </w:r>
      <w:r w:rsidRPr="00542043">
        <w:rPr>
          <w:rFonts w:asciiTheme="minorHAnsi" w:hAnsiTheme="minorHAnsi"/>
        </w:rPr>
        <w:fldChar w:fldCharType="end"/>
      </w:r>
      <w:r w:rsidRPr="00542043">
        <w:rPr>
          <w:rFonts w:asciiTheme="minorHAnsi" w:hAnsiTheme="minorHAnsi"/>
        </w:rPr>
        <w:t xml:space="preserve"> </w:t>
      </w:r>
      <w:r w:rsidRPr="00542043">
        <w:rPr>
          <w:rFonts w:asciiTheme="minorHAnsi" w:hAnsiTheme="minorHAnsi"/>
        </w:rPr>
        <w:fldChar w:fldCharType="begin"/>
      </w:r>
      <w:r w:rsidRPr="00542043">
        <w:rPr>
          <w:rFonts w:asciiTheme="minorHAnsi" w:hAnsiTheme="minorHAnsi"/>
        </w:rPr>
        <w:instrText xml:space="preserve"> REF _Ref492551931 \h  \* MERGEFORMAT </w:instrText>
      </w:r>
      <w:r w:rsidRPr="00542043">
        <w:rPr>
          <w:rFonts w:asciiTheme="minorHAnsi" w:hAnsiTheme="minorHAnsi"/>
        </w:rPr>
      </w:r>
      <w:r w:rsidRPr="00542043">
        <w:rPr>
          <w:rFonts w:asciiTheme="minorHAnsi" w:hAnsiTheme="minorHAnsi"/>
        </w:rPr>
        <w:fldChar w:fldCharType="separate"/>
      </w:r>
      <w:r w:rsidR="00D44BCF" w:rsidRPr="00D44BCF">
        <w:rPr>
          <w:rFonts w:asciiTheme="minorHAnsi" w:hAnsiTheme="minorHAnsi"/>
        </w:rPr>
        <w:t>Mandatory imprisonment for certain people-smuggling offences</w:t>
      </w:r>
      <w:r w:rsidRPr="00542043">
        <w:rPr>
          <w:rFonts w:asciiTheme="minorHAnsi" w:hAnsiTheme="minorHAnsi"/>
        </w:rPr>
        <w:fldChar w:fldCharType="end"/>
      </w:r>
      <w:r w:rsidRPr="00542043">
        <w:rPr>
          <w:rFonts w:asciiTheme="minorHAnsi" w:hAnsiTheme="minorHAnsi"/>
        </w:rPr>
        <w:t>” (respectively).</w:t>
      </w:r>
    </w:p>
    <w:p w14:paraId="6711AB43" w14:textId="77777777" w:rsidR="00B609B8" w:rsidRPr="00B609B8" w:rsidRDefault="00B609B8" w:rsidP="00B609B8">
      <w:pPr>
        <w:pStyle w:val="ListParagraph"/>
        <w:rPr>
          <w:rFonts w:asciiTheme="minorHAnsi" w:hAnsiTheme="minorHAnsi"/>
        </w:rPr>
      </w:pPr>
    </w:p>
    <w:p w14:paraId="5886B35A" w14:textId="2E5E2FB7" w:rsidR="00B01E31" w:rsidRDefault="00B01E3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following summary describes the law which is applicable </w:t>
      </w:r>
      <w:r w:rsidR="00150811">
        <w:rPr>
          <w:rFonts w:asciiTheme="minorHAnsi" w:hAnsiTheme="minorHAnsi"/>
        </w:rPr>
        <w:t xml:space="preserve">generally (that is, </w:t>
      </w:r>
      <w:r>
        <w:rPr>
          <w:rFonts w:asciiTheme="minorHAnsi" w:hAnsiTheme="minorHAnsi"/>
        </w:rPr>
        <w:t>when the offender is not sentenced for one of these offences</w:t>
      </w:r>
      <w:r w:rsidR="00150811">
        <w:rPr>
          <w:rFonts w:asciiTheme="minorHAnsi" w:hAnsiTheme="minorHAnsi"/>
        </w:rPr>
        <w:t>)</w:t>
      </w:r>
      <w:r>
        <w:rPr>
          <w:rFonts w:asciiTheme="minorHAnsi" w:hAnsiTheme="minorHAnsi"/>
        </w:rPr>
        <w:t>.</w:t>
      </w:r>
    </w:p>
    <w:p w14:paraId="6A28F2C3" w14:textId="77777777" w:rsidR="00B01E31" w:rsidRPr="00B01E31" w:rsidRDefault="00B01E31" w:rsidP="00FB4D12">
      <w:pPr>
        <w:pStyle w:val="ListParagraph"/>
        <w:rPr>
          <w:rFonts w:asciiTheme="minorHAnsi" w:hAnsiTheme="minorHAnsi"/>
        </w:rPr>
      </w:pPr>
    </w:p>
    <w:p w14:paraId="0349251F" w14:textId="3630EBB8" w:rsidR="00F30B97" w:rsidRDefault="000971A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t>
      </w:r>
      <w:r w:rsidR="00B609B8">
        <w:rPr>
          <w:rFonts w:asciiTheme="minorHAnsi" w:hAnsiTheme="minorHAnsi"/>
        </w:rPr>
        <w:t xml:space="preserve">general </w:t>
      </w:r>
      <w:r>
        <w:rPr>
          <w:rFonts w:asciiTheme="minorHAnsi" w:hAnsiTheme="minorHAnsi"/>
        </w:rPr>
        <w:t xml:space="preserve">provisions governing </w:t>
      </w:r>
      <w:r w:rsidR="002A42D8">
        <w:rPr>
          <w:rFonts w:asciiTheme="minorHAnsi" w:hAnsiTheme="minorHAnsi"/>
        </w:rPr>
        <w:t>the fixing of periods or minimum periods</w:t>
      </w:r>
      <w:r w:rsidR="001B36A2">
        <w:rPr>
          <w:rFonts w:asciiTheme="minorHAnsi" w:hAnsiTheme="minorHAnsi"/>
        </w:rPr>
        <w:t xml:space="preserve"> of imprisonment to be served by a federal offender</w:t>
      </w:r>
      <w:r w:rsidR="00FE0424">
        <w:rPr>
          <w:rFonts w:asciiTheme="minorHAnsi" w:hAnsiTheme="minorHAnsi"/>
        </w:rPr>
        <w:t xml:space="preserve"> distinguish </w:t>
      </w:r>
      <w:r w:rsidR="00D73A50">
        <w:rPr>
          <w:rFonts w:asciiTheme="minorHAnsi" w:hAnsiTheme="minorHAnsi"/>
        </w:rPr>
        <w:t xml:space="preserve">between </w:t>
      </w:r>
      <w:r w:rsidR="00D73A50" w:rsidRPr="00190DF4">
        <w:rPr>
          <w:rFonts w:asciiTheme="minorHAnsi" w:hAnsiTheme="minorHAnsi"/>
          <w:i/>
        </w:rPr>
        <w:t>sentencing a federal offender not presently undergoing a federal sentence</w:t>
      </w:r>
      <w:r w:rsidR="00D73A50" w:rsidRPr="00C00000">
        <w:rPr>
          <w:rFonts w:asciiTheme="minorHAnsi" w:hAnsiTheme="minorHAnsi"/>
        </w:rPr>
        <w:t xml:space="preserve"> and </w:t>
      </w:r>
      <w:r w:rsidR="00D73A50" w:rsidRPr="00190DF4">
        <w:rPr>
          <w:rFonts w:asciiTheme="minorHAnsi" w:hAnsiTheme="minorHAnsi"/>
          <w:i/>
        </w:rPr>
        <w:t xml:space="preserve">sentencing a federal offender </w:t>
      </w:r>
      <w:r w:rsidR="00D73A50">
        <w:rPr>
          <w:rFonts w:asciiTheme="minorHAnsi" w:hAnsiTheme="minorHAnsi"/>
          <w:i/>
        </w:rPr>
        <w:t xml:space="preserve">who is </w:t>
      </w:r>
      <w:r w:rsidR="00D73A50" w:rsidRPr="00190DF4">
        <w:rPr>
          <w:rFonts w:asciiTheme="minorHAnsi" w:hAnsiTheme="minorHAnsi"/>
          <w:i/>
        </w:rPr>
        <w:t>presently undergoing a federal sentence</w:t>
      </w:r>
      <w:r w:rsidR="003739D1">
        <w:rPr>
          <w:rFonts w:asciiTheme="minorHAnsi" w:hAnsiTheme="minorHAnsi"/>
          <w:i/>
        </w:rPr>
        <w:t xml:space="preserve"> of imprisonment</w:t>
      </w:r>
      <w:r w:rsidR="00D73A50" w:rsidRPr="00C00000">
        <w:rPr>
          <w:rFonts w:asciiTheme="minorHAnsi" w:hAnsiTheme="minorHAnsi"/>
        </w:rPr>
        <w:t>.</w:t>
      </w:r>
      <w:r w:rsidR="00BA403B">
        <w:rPr>
          <w:rFonts w:asciiTheme="minorHAnsi" w:hAnsiTheme="minorHAnsi"/>
        </w:rPr>
        <w:t xml:space="preserve">  Specific provision is also made for sentencing a</w:t>
      </w:r>
      <w:r w:rsidR="00683801">
        <w:rPr>
          <w:rFonts w:asciiTheme="minorHAnsi" w:hAnsiTheme="minorHAnsi"/>
        </w:rPr>
        <w:t>n</w:t>
      </w:r>
      <w:r w:rsidR="00BA403B">
        <w:rPr>
          <w:rFonts w:asciiTheme="minorHAnsi" w:hAnsiTheme="minorHAnsi"/>
        </w:rPr>
        <w:t xml:space="preserve"> offender for </w:t>
      </w:r>
      <w:r w:rsidR="00BA403B" w:rsidRPr="00BA403B">
        <w:rPr>
          <w:rFonts w:asciiTheme="minorHAnsi" w:hAnsiTheme="minorHAnsi"/>
          <w:i/>
        </w:rPr>
        <w:t>an offence committed while the offender was on parole</w:t>
      </w:r>
      <w:r w:rsidR="001C34F5">
        <w:rPr>
          <w:rFonts w:asciiTheme="minorHAnsi" w:hAnsiTheme="minorHAnsi"/>
          <w:i/>
        </w:rPr>
        <w:t xml:space="preserve"> or was released on licence</w:t>
      </w:r>
      <w:r w:rsidR="00BA403B">
        <w:rPr>
          <w:rFonts w:asciiTheme="minorHAnsi" w:hAnsiTheme="minorHAnsi"/>
        </w:rPr>
        <w:t xml:space="preserve"> for a federal offence.</w:t>
      </w:r>
    </w:p>
    <w:p w14:paraId="0B5F2FD2" w14:textId="77777777" w:rsidR="00F30B97" w:rsidRPr="00F30B97" w:rsidRDefault="00F30B97" w:rsidP="00FB4D12">
      <w:pPr>
        <w:pStyle w:val="ListParagraph"/>
        <w:rPr>
          <w:rFonts w:asciiTheme="minorHAnsi" w:hAnsiTheme="minorHAnsi"/>
        </w:rPr>
      </w:pPr>
    </w:p>
    <w:p w14:paraId="2878CE5E" w14:textId="1A238AA2" w:rsidR="000716B4" w:rsidRPr="000716B4" w:rsidRDefault="00FF1217" w:rsidP="00EB7F1E">
      <w:pPr>
        <w:pStyle w:val="ListParagraph"/>
        <w:numPr>
          <w:ilvl w:val="0"/>
          <w:numId w:val="7"/>
        </w:numPr>
        <w:spacing w:line="276" w:lineRule="auto"/>
        <w:ind w:left="425" w:hanging="425"/>
        <w:contextualSpacing w:val="0"/>
        <w:rPr>
          <w:rFonts w:asciiTheme="minorHAnsi" w:hAnsiTheme="minorHAnsi"/>
          <w:u w:val="single"/>
        </w:rPr>
      </w:pPr>
      <w:r w:rsidRPr="00773B83">
        <w:rPr>
          <w:rFonts w:asciiTheme="minorHAnsi" w:hAnsiTheme="minorHAnsi"/>
        </w:rPr>
        <w:t xml:space="preserve">In </w:t>
      </w:r>
      <w:r w:rsidR="001B36A2" w:rsidRPr="00773B83">
        <w:rPr>
          <w:rFonts w:asciiTheme="minorHAnsi" w:hAnsiTheme="minorHAnsi"/>
        </w:rPr>
        <w:t xml:space="preserve">sentencing </w:t>
      </w:r>
      <w:r w:rsidR="001B36A2" w:rsidRPr="00FF1217">
        <w:rPr>
          <w:rFonts w:asciiTheme="minorHAnsi" w:hAnsiTheme="minorHAnsi"/>
          <w:b/>
        </w:rPr>
        <w:t xml:space="preserve">a federal offender </w:t>
      </w:r>
      <w:r>
        <w:rPr>
          <w:rFonts w:asciiTheme="minorHAnsi" w:hAnsiTheme="minorHAnsi"/>
          <w:b/>
        </w:rPr>
        <w:t xml:space="preserve">who is </w:t>
      </w:r>
      <w:r w:rsidR="001B36A2" w:rsidRPr="00FF1217">
        <w:rPr>
          <w:rFonts w:asciiTheme="minorHAnsi" w:hAnsiTheme="minorHAnsi"/>
          <w:b/>
        </w:rPr>
        <w:t xml:space="preserve">not presently </w:t>
      </w:r>
      <w:r w:rsidR="00127325">
        <w:rPr>
          <w:rFonts w:asciiTheme="minorHAnsi" w:hAnsiTheme="minorHAnsi"/>
          <w:b/>
        </w:rPr>
        <w:t xml:space="preserve">serving or subject to </w:t>
      </w:r>
      <w:r w:rsidR="001B36A2" w:rsidRPr="00FF1217">
        <w:rPr>
          <w:rFonts w:asciiTheme="minorHAnsi" w:hAnsiTheme="minorHAnsi"/>
          <w:b/>
        </w:rPr>
        <w:t>a federal sentence</w:t>
      </w:r>
      <w:r w:rsidR="0010086F">
        <w:rPr>
          <w:rFonts w:asciiTheme="minorHAnsi" w:hAnsiTheme="minorHAnsi"/>
        </w:rPr>
        <w:t xml:space="preserve"> (</w:t>
      </w:r>
      <w:r w:rsidR="009B5186">
        <w:rPr>
          <w:rFonts w:asciiTheme="minorHAnsi" w:hAnsiTheme="minorHAnsi"/>
        </w:rPr>
        <w:t>even if the</w:t>
      </w:r>
      <w:r w:rsidR="0010086F">
        <w:rPr>
          <w:rFonts w:asciiTheme="minorHAnsi" w:hAnsiTheme="minorHAnsi"/>
        </w:rPr>
        <w:t xml:space="preserve"> offender is undergoing a State/Territory sentence of imprisonment),</w:t>
      </w:r>
      <w:r w:rsidR="002C5937" w:rsidRPr="00773B83">
        <w:rPr>
          <w:rFonts w:asciiTheme="minorHAnsi" w:hAnsiTheme="minorHAnsi"/>
        </w:rPr>
        <w:t xml:space="preserve"> </w:t>
      </w:r>
      <w:r w:rsidR="00F30B97" w:rsidRPr="00773B83">
        <w:rPr>
          <w:rFonts w:asciiTheme="minorHAnsi" w:hAnsiTheme="minorHAnsi"/>
        </w:rPr>
        <w:t xml:space="preserve">a </w:t>
      </w:r>
      <w:r w:rsidR="002C5937" w:rsidRPr="00773B83">
        <w:rPr>
          <w:rFonts w:asciiTheme="minorHAnsi" w:hAnsiTheme="minorHAnsi"/>
        </w:rPr>
        <w:t xml:space="preserve">NPP </w:t>
      </w:r>
      <w:r w:rsidR="005F5A2E" w:rsidRPr="00773B83">
        <w:rPr>
          <w:rFonts w:asciiTheme="minorHAnsi" w:hAnsiTheme="minorHAnsi"/>
        </w:rPr>
        <w:t xml:space="preserve">will be </w:t>
      </w:r>
      <w:r w:rsidR="00441D45" w:rsidRPr="00773B83">
        <w:rPr>
          <w:rFonts w:asciiTheme="minorHAnsi" w:hAnsiTheme="minorHAnsi"/>
        </w:rPr>
        <w:t xml:space="preserve">required, </w:t>
      </w:r>
      <w:r w:rsidR="005F5A2E" w:rsidRPr="00773B83">
        <w:rPr>
          <w:rFonts w:asciiTheme="minorHAnsi" w:hAnsiTheme="minorHAnsi"/>
        </w:rPr>
        <w:t xml:space="preserve">or a RRO will be permitted or required, </w:t>
      </w:r>
      <w:r w:rsidR="00441D45" w:rsidRPr="00773B83">
        <w:rPr>
          <w:rFonts w:asciiTheme="minorHAnsi" w:hAnsiTheme="minorHAnsi"/>
        </w:rPr>
        <w:t>depending on the length of the sentence to be imposed</w:t>
      </w:r>
      <w:r w:rsidR="000971AB" w:rsidRPr="00773B83">
        <w:rPr>
          <w:rFonts w:asciiTheme="minorHAnsi" w:hAnsiTheme="minorHAnsi"/>
        </w:rPr>
        <w:t xml:space="preserve">, although a straight sentence may </w:t>
      </w:r>
      <w:r w:rsidR="005F5A2E" w:rsidRPr="00773B83">
        <w:rPr>
          <w:rFonts w:asciiTheme="minorHAnsi" w:hAnsiTheme="minorHAnsi"/>
        </w:rPr>
        <w:t xml:space="preserve">instead </w:t>
      </w:r>
      <w:r w:rsidR="000971AB" w:rsidRPr="00773B83">
        <w:rPr>
          <w:rFonts w:asciiTheme="minorHAnsi" w:hAnsiTheme="minorHAnsi"/>
        </w:rPr>
        <w:t>be imposed in specified circumstances</w:t>
      </w:r>
      <w:r w:rsidR="00441D45" w:rsidRPr="00773B83">
        <w:rPr>
          <w:rFonts w:asciiTheme="minorHAnsi" w:hAnsiTheme="minorHAnsi"/>
        </w:rPr>
        <w:t>.</w:t>
      </w:r>
      <w:r w:rsidR="009845D9" w:rsidRPr="00C00000">
        <w:rPr>
          <w:rStyle w:val="Style"/>
          <w:rFonts w:asciiTheme="minorHAnsi" w:hAnsiTheme="minorHAnsi"/>
        </w:rPr>
        <w:footnoteReference w:id="809"/>
      </w:r>
      <w:r w:rsidR="00441D45" w:rsidRPr="00773B83">
        <w:rPr>
          <w:rFonts w:asciiTheme="minorHAnsi" w:hAnsiTheme="minorHAnsi"/>
        </w:rPr>
        <w:t xml:space="preserve"> </w:t>
      </w:r>
      <w:r w:rsidR="00773B83" w:rsidRPr="00773B83">
        <w:rPr>
          <w:rFonts w:asciiTheme="minorHAnsi" w:hAnsiTheme="minorHAnsi"/>
        </w:rPr>
        <w:t xml:space="preserve"> </w:t>
      </w:r>
      <w:r w:rsidR="000716B4">
        <w:rPr>
          <w:rFonts w:asciiTheme="minorHAnsi" w:hAnsiTheme="minorHAnsi"/>
        </w:rPr>
        <w:t>Table 1</w:t>
      </w:r>
      <w:r w:rsidR="00773B83" w:rsidRPr="00773B83">
        <w:rPr>
          <w:rFonts w:asciiTheme="minorHAnsi" w:hAnsiTheme="minorHAnsi"/>
        </w:rPr>
        <w:t xml:space="preserve"> </w:t>
      </w:r>
      <w:r w:rsidR="00F47D0C">
        <w:rPr>
          <w:rFonts w:asciiTheme="minorHAnsi" w:hAnsiTheme="minorHAnsi"/>
        </w:rPr>
        <w:t>summar</w:t>
      </w:r>
      <w:r w:rsidR="00B86888">
        <w:rPr>
          <w:rFonts w:asciiTheme="minorHAnsi" w:hAnsiTheme="minorHAnsi"/>
        </w:rPr>
        <w:t>ises</w:t>
      </w:r>
      <w:r w:rsidR="00773B83" w:rsidRPr="00773B83">
        <w:rPr>
          <w:rFonts w:asciiTheme="minorHAnsi" w:hAnsiTheme="minorHAnsi"/>
        </w:rPr>
        <w:t xml:space="preserve"> the requirements:</w:t>
      </w:r>
      <w:r w:rsidR="000716B4" w:rsidRPr="000716B4">
        <w:rPr>
          <w:rFonts w:asciiTheme="minorHAnsi" w:hAnsiTheme="minorHAnsi"/>
          <w:b/>
          <w:i/>
          <w:sz w:val="20"/>
        </w:rPr>
        <w:t xml:space="preserve"> </w:t>
      </w:r>
    </w:p>
    <w:p w14:paraId="141E3B77" w14:textId="77777777" w:rsidR="000716B4" w:rsidRPr="000716B4" w:rsidRDefault="000716B4" w:rsidP="000716B4">
      <w:pPr>
        <w:pStyle w:val="ListParagraph"/>
        <w:rPr>
          <w:rFonts w:asciiTheme="minorHAnsi" w:hAnsiTheme="minorHAnsi"/>
          <w:b/>
          <w:i/>
          <w:sz w:val="20"/>
        </w:rPr>
      </w:pPr>
    </w:p>
    <w:p w14:paraId="171E45CF" w14:textId="378D2C6C" w:rsidR="00773B83" w:rsidRPr="000716B4" w:rsidRDefault="000716B4" w:rsidP="007F43F0">
      <w:pPr>
        <w:keepNext/>
        <w:spacing w:line="276" w:lineRule="auto"/>
        <w:ind w:left="567" w:right="-1"/>
        <w:rPr>
          <w:rFonts w:asciiTheme="minorHAnsi" w:hAnsiTheme="minorHAnsi"/>
          <w:u w:val="single"/>
        </w:rPr>
      </w:pPr>
      <w:r w:rsidRPr="000716B4">
        <w:rPr>
          <w:rFonts w:asciiTheme="minorHAnsi" w:hAnsiTheme="minorHAnsi"/>
          <w:b/>
          <w:i/>
          <w:sz w:val="20"/>
        </w:rPr>
        <w:t xml:space="preserve">Table 1: Fixing period to be served by federal offender who is not presently </w:t>
      </w:r>
      <w:r w:rsidR="00127325">
        <w:rPr>
          <w:rFonts w:asciiTheme="minorHAnsi" w:hAnsiTheme="minorHAnsi"/>
          <w:b/>
          <w:i/>
          <w:sz w:val="20"/>
        </w:rPr>
        <w:t xml:space="preserve">serving or subject to a </w:t>
      </w:r>
      <w:r w:rsidRPr="000716B4">
        <w:rPr>
          <w:rFonts w:asciiTheme="minorHAnsi" w:hAnsiTheme="minorHAnsi"/>
          <w:b/>
          <w:i/>
          <w:sz w:val="20"/>
        </w:rPr>
        <w:t>federal sentence of imprisonment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4536"/>
        <w:gridCol w:w="1559"/>
      </w:tblGrid>
      <w:tr w:rsidR="00773B83" w:rsidRPr="004F2343" w14:paraId="195C40F6" w14:textId="77777777" w:rsidTr="00EB7F1E">
        <w:trPr>
          <w:cantSplit/>
          <w:trHeight w:val="510"/>
          <w:tblHeader/>
        </w:trPr>
        <w:tc>
          <w:tcPr>
            <w:tcW w:w="3118" w:type="dxa"/>
            <w:shd w:val="clear" w:color="auto" w:fill="D9D9D9" w:themeFill="background1" w:themeFillShade="D9"/>
            <w:vAlign w:val="center"/>
          </w:tcPr>
          <w:p w14:paraId="74DC632F" w14:textId="7D881248" w:rsidR="00773B83" w:rsidRPr="004F2343" w:rsidRDefault="00773B83" w:rsidP="00A064F8">
            <w:pPr>
              <w:keepNext/>
              <w:tabs>
                <w:tab w:val="left" w:pos="1303"/>
                <w:tab w:val="left" w:pos="4395"/>
                <w:tab w:val="left" w:pos="8050"/>
              </w:tabs>
              <w:spacing w:line="276" w:lineRule="auto"/>
              <w:ind w:left="153"/>
              <w:jc w:val="center"/>
              <w:rPr>
                <w:rFonts w:ascii="Calibri" w:hAnsi="Calibri"/>
                <w:b/>
                <w:i/>
                <w:sz w:val="20"/>
              </w:rPr>
            </w:pPr>
            <w:r w:rsidRPr="004F2343">
              <w:rPr>
                <w:rFonts w:ascii="Calibri" w:hAnsi="Calibri"/>
                <w:b/>
                <w:i/>
                <w:sz w:val="20"/>
              </w:rPr>
              <w:t>Sentence</w:t>
            </w:r>
            <w:r w:rsidR="00164703" w:rsidRPr="004F2343">
              <w:rPr>
                <w:rFonts w:ascii="Calibri" w:hAnsi="Calibri"/>
                <w:b/>
                <w:i/>
                <w:sz w:val="20"/>
              </w:rPr>
              <w:t>/</w:t>
            </w:r>
            <w:r w:rsidRPr="004F2343">
              <w:rPr>
                <w:rFonts w:ascii="Calibri" w:hAnsi="Calibri"/>
                <w:b/>
                <w:i/>
                <w:sz w:val="20"/>
              </w:rPr>
              <w:t>aggregate sentences</w:t>
            </w:r>
          </w:p>
        </w:tc>
        <w:tc>
          <w:tcPr>
            <w:tcW w:w="4536" w:type="dxa"/>
            <w:shd w:val="clear" w:color="auto" w:fill="D9D9D9" w:themeFill="background1" w:themeFillShade="D9"/>
            <w:vAlign w:val="center"/>
          </w:tcPr>
          <w:p w14:paraId="3EE5A6BF" w14:textId="77777777" w:rsidR="00773B83" w:rsidRPr="004F2343" w:rsidRDefault="00773B83" w:rsidP="00A064F8">
            <w:pPr>
              <w:keepNext/>
              <w:tabs>
                <w:tab w:val="left" w:pos="426"/>
                <w:tab w:val="left" w:pos="709"/>
                <w:tab w:val="left" w:pos="1303"/>
                <w:tab w:val="left" w:pos="1418"/>
                <w:tab w:val="left" w:pos="4705"/>
                <w:tab w:val="left" w:pos="7797"/>
                <w:tab w:val="left" w:pos="8050"/>
              </w:tabs>
              <w:spacing w:line="276" w:lineRule="auto"/>
              <w:ind w:left="153"/>
              <w:jc w:val="center"/>
              <w:rPr>
                <w:rFonts w:ascii="Calibri" w:hAnsi="Calibri"/>
                <w:b/>
                <w:i/>
                <w:sz w:val="20"/>
              </w:rPr>
            </w:pPr>
            <w:r w:rsidRPr="004F2343">
              <w:rPr>
                <w:rFonts w:ascii="Calibri" w:hAnsi="Calibri"/>
                <w:b/>
                <w:i/>
                <w:sz w:val="20"/>
              </w:rPr>
              <w:t>Required option</w:t>
            </w:r>
          </w:p>
          <w:p w14:paraId="0B3AC20F" w14:textId="77777777" w:rsidR="00773B83" w:rsidRPr="004F2343" w:rsidRDefault="00773B83" w:rsidP="00A064F8">
            <w:pPr>
              <w:keepNext/>
              <w:tabs>
                <w:tab w:val="left" w:pos="426"/>
                <w:tab w:val="left" w:pos="709"/>
                <w:tab w:val="left" w:pos="1303"/>
                <w:tab w:val="left" w:pos="1418"/>
                <w:tab w:val="left" w:pos="4705"/>
                <w:tab w:val="left" w:pos="7797"/>
                <w:tab w:val="left" w:pos="8050"/>
              </w:tabs>
              <w:spacing w:line="276" w:lineRule="auto"/>
              <w:ind w:left="153"/>
              <w:jc w:val="center"/>
              <w:rPr>
                <w:rFonts w:ascii="Calibri" w:hAnsi="Calibri"/>
                <w:b/>
                <w:i/>
                <w:sz w:val="20"/>
              </w:rPr>
            </w:pPr>
          </w:p>
        </w:tc>
        <w:tc>
          <w:tcPr>
            <w:tcW w:w="1559" w:type="dxa"/>
            <w:shd w:val="clear" w:color="auto" w:fill="D9D9D9" w:themeFill="background1" w:themeFillShade="D9"/>
            <w:vAlign w:val="center"/>
          </w:tcPr>
          <w:p w14:paraId="683376AA" w14:textId="2B96634E" w:rsidR="00773B83" w:rsidRPr="004F2343" w:rsidRDefault="00885EFD" w:rsidP="00A064F8">
            <w:pPr>
              <w:keepNext/>
              <w:tabs>
                <w:tab w:val="left" w:pos="1418"/>
                <w:tab w:val="left" w:pos="4705"/>
                <w:tab w:val="left" w:pos="7797"/>
                <w:tab w:val="left" w:pos="8050"/>
              </w:tabs>
              <w:spacing w:line="276" w:lineRule="auto"/>
              <w:jc w:val="center"/>
              <w:rPr>
                <w:rFonts w:ascii="Calibri" w:hAnsi="Calibri"/>
                <w:b/>
                <w:i/>
                <w:sz w:val="20"/>
              </w:rPr>
            </w:pPr>
            <w:r w:rsidRPr="004F2343">
              <w:rPr>
                <w:rFonts w:ascii="Calibri" w:hAnsi="Calibri"/>
                <w:b/>
                <w:i/>
                <w:sz w:val="20"/>
              </w:rPr>
              <w:t>Crimes Act 1914</w:t>
            </w:r>
            <w:r w:rsidR="00773B83" w:rsidRPr="004F2343">
              <w:rPr>
                <w:rFonts w:ascii="Calibri" w:hAnsi="Calibri"/>
                <w:b/>
                <w:i/>
                <w:sz w:val="20"/>
              </w:rPr>
              <w:t xml:space="preserve"> </w:t>
            </w:r>
            <w:r w:rsidR="00773B83" w:rsidRPr="004F2343">
              <w:rPr>
                <w:rFonts w:ascii="Calibri" w:hAnsi="Calibri"/>
                <w:b/>
                <w:sz w:val="20"/>
              </w:rPr>
              <w:t>(Cth)</w:t>
            </w:r>
            <w:r w:rsidR="00BA6150" w:rsidRPr="004F2343">
              <w:rPr>
                <w:rFonts w:ascii="Calibri" w:hAnsi="Calibri"/>
                <w:b/>
                <w:sz w:val="20"/>
              </w:rPr>
              <w:t xml:space="preserve"> section</w:t>
            </w:r>
          </w:p>
        </w:tc>
      </w:tr>
      <w:tr w:rsidR="00164703" w:rsidRPr="004F2343" w14:paraId="0CAC0C4A" w14:textId="77777777" w:rsidTr="00EB7F1E">
        <w:trPr>
          <w:trHeight w:val="1239"/>
        </w:trPr>
        <w:tc>
          <w:tcPr>
            <w:tcW w:w="3118" w:type="dxa"/>
            <w:tcBorders>
              <w:bottom w:val="single" w:sz="4" w:space="0" w:color="auto"/>
            </w:tcBorders>
            <w:vAlign w:val="center"/>
          </w:tcPr>
          <w:p w14:paraId="0334D1BF" w14:textId="77777777" w:rsidR="00164703" w:rsidRPr="004F2343" w:rsidRDefault="00164703" w:rsidP="0010086F">
            <w:pPr>
              <w:tabs>
                <w:tab w:val="left" w:pos="1303"/>
                <w:tab w:val="left" w:pos="4395"/>
                <w:tab w:val="left" w:pos="8050"/>
              </w:tabs>
              <w:spacing w:line="276" w:lineRule="auto"/>
              <w:ind w:left="153"/>
              <w:rPr>
                <w:rFonts w:ascii="Calibri" w:hAnsi="Calibri"/>
                <w:b/>
                <w:sz w:val="20"/>
                <w:u w:val="single"/>
              </w:rPr>
            </w:pPr>
            <w:r w:rsidRPr="004F2343">
              <w:rPr>
                <w:rFonts w:ascii="Calibri" w:hAnsi="Calibri"/>
                <w:b/>
                <w:sz w:val="20"/>
              </w:rPr>
              <w:t>Not exceeding 6 mths</w:t>
            </w:r>
          </w:p>
        </w:tc>
        <w:tc>
          <w:tcPr>
            <w:tcW w:w="4536" w:type="dxa"/>
            <w:tcBorders>
              <w:bottom w:val="single" w:sz="4" w:space="0" w:color="auto"/>
            </w:tcBorders>
            <w:vAlign w:val="center"/>
          </w:tcPr>
          <w:p w14:paraId="7F29D721" w14:textId="77777777" w:rsidR="00665FA8" w:rsidRPr="004F2343" w:rsidRDefault="00665FA8" w:rsidP="00665FA8">
            <w:pPr>
              <w:tabs>
                <w:tab w:val="left" w:pos="426"/>
                <w:tab w:val="left" w:pos="709"/>
                <w:tab w:val="left" w:pos="1303"/>
                <w:tab w:val="left" w:pos="1418"/>
                <w:tab w:val="left" w:pos="4705"/>
                <w:tab w:val="left" w:pos="7797"/>
                <w:tab w:val="left" w:pos="8050"/>
              </w:tabs>
              <w:spacing w:line="276" w:lineRule="auto"/>
              <w:ind w:left="153"/>
              <w:rPr>
                <w:rFonts w:ascii="Calibri" w:hAnsi="Calibri"/>
                <w:sz w:val="20"/>
                <w:u w:val="single"/>
              </w:rPr>
            </w:pPr>
            <w:r w:rsidRPr="004F2343">
              <w:rPr>
                <w:rFonts w:ascii="Calibri" w:hAnsi="Calibri"/>
                <w:sz w:val="20"/>
              </w:rPr>
              <w:t>Single RRO is optional.  NPP not available.</w:t>
            </w:r>
          </w:p>
          <w:p w14:paraId="509FA947" w14:textId="77777777" w:rsidR="005E4F9C" w:rsidRPr="004F2343" w:rsidRDefault="005E4F9C" w:rsidP="005E4F9C">
            <w:pPr>
              <w:tabs>
                <w:tab w:val="left" w:pos="1303"/>
                <w:tab w:val="left" w:pos="4395"/>
                <w:tab w:val="left" w:pos="8050"/>
              </w:tabs>
              <w:spacing w:line="276" w:lineRule="auto"/>
              <w:ind w:left="153"/>
              <w:rPr>
                <w:rFonts w:ascii="Calibri" w:hAnsi="Calibri"/>
                <w:sz w:val="20"/>
              </w:rPr>
            </w:pPr>
            <w:r w:rsidRPr="004F2343">
              <w:rPr>
                <w:rFonts w:ascii="Calibri" w:hAnsi="Calibri"/>
                <w:sz w:val="20"/>
              </w:rPr>
              <w:t>Discretion to order immediate release.</w:t>
            </w:r>
          </w:p>
          <w:p w14:paraId="0CF0F529" w14:textId="1A2F07B1" w:rsidR="00164703" w:rsidRPr="004F2343" w:rsidRDefault="008776EA" w:rsidP="00164703">
            <w:pPr>
              <w:tabs>
                <w:tab w:val="left" w:pos="426"/>
                <w:tab w:val="left" w:pos="709"/>
                <w:tab w:val="left" w:pos="1303"/>
                <w:tab w:val="left" w:pos="1418"/>
                <w:tab w:val="left" w:pos="4705"/>
                <w:tab w:val="left" w:pos="7797"/>
                <w:tab w:val="left" w:pos="8050"/>
              </w:tabs>
              <w:spacing w:line="276" w:lineRule="auto"/>
              <w:ind w:left="153"/>
              <w:rPr>
                <w:rFonts w:ascii="Calibri" w:hAnsi="Calibri"/>
                <w:sz w:val="20"/>
                <w:u w:val="single"/>
              </w:rPr>
            </w:pPr>
            <w:r w:rsidRPr="004F2343">
              <w:rPr>
                <w:rFonts w:ascii="Calibri" w:hAnsi="Calibri"/>
                <w:sz w:val="20"/>
              </w:rPr>
              <w:t>Discretion to decline to make RRO (ie to impose straight sentence).</w:t>
            </w:r>
          </w:p>
        </w:tc>
        <w:tc>
          <w:tcPr>
            <w:tcW w:w="1559" w:type="dxa"/>
            <w:vAlign w:val="center"/>
          </w:tcPr>
          <w:p w14:paraId="38C2AD81" w14:textId="63461C87" w:rsidR="00164703" w:rsidRPr="004F2343" w:rsidRDefault="00164703" w:rsidP="00164703">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19AC(3)</w:t>
            </w:r>
          </w:p>
          <w:p w14:paraId="13C15C29" w14:textId="11578046" w:rsidR="00164703" w:rsidRPr="004F2343" w:rsidRDefault="00164703" w:rsidP="00164703">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20(1)(b)</w:t>
            </w:r>
          </w:p>
          <w:p w14:paraId="187647C5" w14:textId="1F8703E2" w:rsidR="00164703" w:rsidRPr="004F2343" w:rsidRDefault="00164703" w:rsidP="0010086F">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19AC(4)</w:t>
            </w:r>
          </w:p>
        </w:tc>
      </w:tr>
      <w:tr w:rsidR="00773B83" w:rsidRPr="004F2343" w14:paraId="028834DB" w14:textId="77777777" w:rsidTr="00EB7F1E">
        <w:trPr>
          <w:trHeight w:val="850"/>
        </w:trPr>
        <w:tc>
          <w:tcPr>
            <w:tcW w:w="3118" w:type="dxa"/>
            <w:vAlign w:val="center"/>
          </w:tcPr>
          <w:p w14:paraId="3F601D71" w14:textId="77777777" w:rsidR="00773B83" w:rsidRPr="004F2343" w:rsidRDefault="00773B83" w:rsidP="0010086F">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Greater than 6 mths but not greater than 3 yrs</w:t>
            </w:r>
          </w:p>
        </w:tc>
        <w:tc>
          <w:tcPr>
            <w:tcW w:w="4536" w:type="dxa"/>
            <w:vAlign w:val="center"/>
          </w:tcPr>
          <w:p w14:paraId="6556587B" w14:textId="77777777" w:rsidR="00773B83" w:rsidRPr="004F2343" w:rsidRDefault="00773B83" w:rsidP="0010086F">
            <w:pPr>
              <w:tabs>
                <w:tab w:val="left" w:pos="1303"/>
                <w:tab w:val="left" w:pos="4395"/>
                <w:tab w:val="left" w:pos="8050"/>
              </w:tabs>
              <w:spacing w:line="276" w:lineRule="auto"/>
              <w:ind w:left="153"/>
              <w:rPr>
                <w:rFonts w:ascii="Calibri" w:hAnsi="Calibri"/>
                <w:sz w:val="20"/>
              </w:rPr>
            </w:pPr>
            <w:r w:rsidRPr="004F2343">
              <w:rPr>
                <w:rFonts w:ascii="Calibri" w:hAnsi="Calibri"/>
                <w:sz w:val="20"/>
              </w:rPr>
              <w:t>Single RRO required. NPP not available.</w:t>
            </w:r>
          </w:p>
          <w:p w14:paraId="3C8D5E1F" w14:textId="77777777" w:rsidR="00773B83" w:rsidRPr="004F2343" w:rsidRDefault="00773B83" w:rsidP="0010086F">
            <w:pPr>
              <w:tabs>
                <w:tab w:val="left" w:pos="1303"/>
                <w:tab w:val="left" w:pos="4395"/>
                <w:tab w:val="left" w:pos="8050"/>
              </w:tabs>
              <w:spacing w:line="276" w:lineRule="auto"/>
              <w:ind w:left="153"/>
              <w:rPr>
                <w:rFonts w:ascii="Calibri" w:hAnsi="Calibri"/>
                <w:sz w:val="20"/>
              </w:rPr>
            </w:pPr>
            <w:r w:rsidRPr="004F2343">
              <w:rPr>
                <w:rFonts w:ascii="Calibri" w:hAnsi="Calibri"/>
                <w:sz w:val="20"/>
              </w:rPr>
              <w:t>Discretion to order immediate release.</w:t>
            </w:r>
          </w:p>
          <w:p w14:paraId="16609345" w14:textId="2A30049F" w:rsidR="00773B83" w:rsidRPr="004F2343" w:rsidRDefault="008776EA" w:rsidP="0010086F">
            <w:pPr>
              <w:tabs>
                <w:tab w:val="left" w:pos="1303"/>
                <w:tab w:val="left" w:pos="4395"/>
                <w:tab w:val="left" w:pos="8050"/>
              </w:tabs>
              <w:spacing w:line="276" w:lineRule="auto"/>
              <w:ind w:left="153"/>
              <w:rPr>
                <w:rFonts w:ascii="Calibri" w:hAnsi="Calibri"/>
                <w:sz w:val="20"/>
              </w:rPr>
            </w:pPr>
            <w:r w:rsidRPr="004F2343">
              <w:rPr>
                <w:rFonts w:ascii="Calibri" w:hAnsi="Calibri"/>
                <w:sz w:val="20"/>
              </w:rPr>
              <w:t>Discretion to decline to make RRO (ie to impose straight sentence).</w:t>
            </w:r>
          </w:p>
        </w:tc>
        <w:tc>
          <w:tcPr>
            <w:tcW w:w="1559" w:type="dxa"/>
            <w:vAlign w:val="center"/>
          </w:tcPr>
          <w:p w14:paraId="11FE86E6" w14:textId="7E9D4AA6" w:rsidR="00773B83" w:rsidRPr="004F2343" w:rsidRDefault="00773B83" w:rsidP="0010086F">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19AC(1)</w:t>
            </w:r>
          </w:p>
          <w:p w14:paraId="7345C175" w14:textId="1260D5B3" w:rsidR="00164703" w:rsidRPr="004F2343" w:rsidRDefault="00164703" w:rsidP="0010086F">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20(1)(b)</w:t>
            </w:r>
          </w:p>
          <w:p w14:paraId="6C89EE4F" w14:textId="7FCD5ED5" w:rsidR="00773B83" w:rsidRPr="004F2343" w:rsidRDefault="00164703" w:rsidP="0010086F">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19AC(4)</w:t>
            </w:r>
          </w:p>
        </w:tc>
      </w:tr>
      <w:tr w:rsidR="00773B83" w:rsidRPr="004F2343" w14:paraId="61ECFD6F" w14:textId="77777777" w:rsidTr="00EB7F1E">
        <w:trPr>
          <w:trHeight w:val="850"/>
        </w:trPr>
        <w:tc>
          <w:tcPr>
            <w:tcW w:w="3118" w:type="dxa"/>
            <w:vAlign w:val="center"/>
          </w:tcPr>
          <w:p w14:paraId="3E605541" w14:textId="77777777" w:rsidR="00773B83" w:rsidRPr="004F2343" w:rsidRDefault="00773B83" w:rsidP="0010086F">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Greater than 3 yrs</w:t>
            </w:r>
          </w:p>
        </w:tc>
        <w:tc>
          <w:tcPr>
            <w:tcW w:w="4536" w:type="dxa"/>
            <w:vAlign w:val="center"/>
          </w:tcPr>
          <w:p w14:paraId="10B37217" w14:textId="519F137E" w:rsidR="00773B83" w:rsidRPr="004F2343" w:rsidRDefault="00773B83" w:rsidP="0010086F">
            <w:pPr>
              <w:tabs>
                <w:tab w:val="left" w:pos="426"/>
                <w:tab w:val="left" w:pos="709"/>
                <w:tab w:val="left" w:pos="1303"/>
                <w:tab w:val="left" w:pos="1418"/>
                <w:tab w:val="left" w:pos="4705"/>
                <w:tab w:val="left" w:pos="7797"/>
                <w:tab w:val="left" w:pos="8050"/>
              </w:tabs>
              <w:spacing w:line="276" w:lineRule="auto"/>
              <w:ind w:left="153"/>
              <w:rPr>
                <w:rFonts w:ascii="Calibri" w:hAnsi="Calibri"/>
                <w:sz w:val="20"/>
              </w:rPr>
            </w:pPr>
            <w:r w:rsidRPr="004F2343">
              <w:rPr>
                <w:rFonts w:ascii="Calibri" w:hAnsi="Calibri"/>
                <w:sz w:val="20"/>
              </w:rPr>
              <w:t>Single NPP</w:t>
            </w:r>
            <w:r w:rsidR="0010086F" w:rsidRPr="004F2343">
              <w:rPr>
                <w:rFonts w:ascii="Calibri" w:hAnsi="Calibri"/>
                <w:sz w:val="20"/>
              </w:rPr>
              <w:t xml:space="preserve"> required</w:t>
            </w:r>
            <w:r w:rsidRPr="004F2343">
              <w:rPr>
                <w:rFonts w:ascii="Calibri" w:hAnsi="Calibri"/>
                <w:sz w:val="20"/>
              </w:rPr>
              <w:t>.  RRO not available.</w:t>
            </w:r>
          </w:p>
          <w:p w14:paraId="4F2C8DCF" w14:textId="5DC720E0" w:rsidR="00773B83" w:rsidRPr="004F2343" w:rsidRDefault="008776EA" w:rsidP="0010086F">
            <w:pPr>
              <w:tabs>
                <w:tab w:val="left" w:pos="426"/>
                <w:tab w:val="left" w:pos="709"/>
                <w:tab w:val="left" w:pos="1303"/>
                <w:tab w:val="left" w:pos="1418"/>
                <w:tab w:val="left" w:pos="4705"/>
                <w:tab w:val="left" w:pos="7797"/>
                <w:tab w:val="left" w:pos="8050"/>
              </w:tabs>
              <w:spacing w:line="276" w:lineRule="auto"/>
              <w:ind w:left="153"/>
              <w:rPr>
                <w:rFonts w:ascii="Calibri" w:hAnsi="Calibri"/>
                <w:sz w:val="20"/>
              </w:rPr>
            </w:pPr>
            <w:r w:rsidRPr="004F2343">
              <w:rPr>
                <w:rFonts w:ascii="Calibri" w:hAnsi="Calibri"/>
                <w:sz w:val="20"/>
              </w:rPr>
              <w:t>Discretion to decline to fix NPP (ie to impose straight sentence).</w:t>
            </w:r>
          </w:p>
        </w:tc>
        <w:tc>
          <w:tcPr>
            <w:tcW w:w="1559" w:type="dxa"/>
            <w:vAlign w:val="center"/>
          </w:tcPr>
          <w:p w14:paraId="7B49138A" w14:textId="77777777" w:rsidR="00773B83" w:rsidRPr="004F2343" w:rsidRDefault="00773B83" w:rsidP="0010086F">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19AB(1)</w:t>
            </w:r>
          </w:p>
          <w:p w14:paraId="3D7F9111" w14:textId="77777777" w:rsidR="00773B83" w:rsidRPr="004F2343" w:rsidRDefault="00773B83" w:rsidP="0010086F">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19AB(3)</w:t>
            </w:r>
          </w:p>
        </w:tc>
      </w:tr>
    </w:tbl>
    <w:p w14:paraId="5BC3775F" w14:textId="77777777" w:rsidR="00773B83" w:rsidRDefault="00773B83" w:rsidP="00773B83">
      <w:pPr>
        <w:pStyle w:val="ListParagraph"/>
        <w:spacing w:line="276" w:lineRule="auto"/>
        <w:ind w:left="1701"/>
        <w:rPr>
          <w:rFonts w:asciiTheme="minorHAnsi" w:hAnsiTheme="minorHAnsi"/>
          <w:u w:val="single"/>
        </w:rPr>
      </w:pPr>
    </w:p>
    <w:p w14:paraId="1B4C510C" w14:textId="738E98A2" w:rsidR="00773B83" w:rsidRDefault="00773B83"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For more detail on these requirements, see “</w:t>
      </w:r>
      <w:r>
        <w:rPr>
          <w:rFonts w:asciiTheme="minorHAnsi" w:hAnsiTheme="minorHAnsi"/>
        </w:rPr>
        <w:fldChar w:fldCharType="begin"/>
      </w:r>
      <w:r>
        <w:rPr>
          <w:rFonts w:asciiTheme="minorHAnsi" w:hAnsiTheme="minorHAnsi"/>
        </w:rPr>
        <w:instrText xml:space="preserve"> REF _Ref506992656 \r \h </w:instrText>
      </w:r>
      <w:r w:rsidR="00A064F8">
        <w:rPr>
          <w:rFonts w:asciiTheme="minorHAnsi" w:hAnsiTheme="minorHAnsi"/>
        </w:rPr>
        <w:instrText xml:space="preserve"> \* MERGEFORMAT </w:instrText>
      </w:r>
      <w:r>
        <w:rPr>
          <w:rFonts w:asciiTheme="minorHAnsi" w:hAnsiTheme="minorHAnsi"/>
        </w:rPr>
      </w:r>
      <w:r>
        <w:rPr>
          <w:rFonts w:asciiTheme="minorHAnsi" w:hAnsiTheme="minorHAnsi"/>
        </w:rPr>
        <w:fldChar w:fldCharType="separate"/>
      </w:r>
      <w:r w:rsidR="00D44BCF">
        <w:rPr>
          <w:rFonts w:asciiTheme="minorHAnsi" w:hAnsiTheme="minorHAnsi"/>
        </w:rPr>
        <w:t>5.10.5</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_Ref506992663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Where federal offender is not undergoing a federal term of imprisonment: NPP, RRO or straight sentence</w:t>
      </w:r>
      <w:r>
        <w:rPr>
          <w:rFonts w:asciiTheme="minorHAnsi" w:hAnsiTheme="minorHAnsi"/>
        </w:rPr>
        <w:fldChar w:fldCharType="end"/>
      </w:r>
      <w:r>
        <w:rPr>
          <w:rFonts w:asciiTheme="minorHAnsi" w:hAnsiTheme="minorHAnsi"/>
        </w:rPr>
        <w:t>”.</w:t>
      </w:r>
    </w:p>
    <w:p w14:paraId="66FFD999" w14:textId="77777777" w:rsidR="00F30B97" w:rsidRPr="00F30B97" w:rsidRDefault="00F30B97" w:rsidP="00F30B97">
      <w:pPr>
        <w:pStyle w:val="ListParagraph"/>
        <w:rPr>
          <w:rFonts w:asciiTheme="minorHAnsi" w:hAnsiTheme="minorHAnsi"/>
        </w:rPr>
      </w:pPr>
    </w:p>
    <w:p w14:paraId="593CCB60" w14:textId="14C6B69B" w:rsidR="00127325" w:rsidRDefault="0012732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sentencing </w:t>
      </w:r>
      <w:r w:rsidRPr="00150811">
        <w:rPr>
          <w:rFonts w:asciiTheme="minorHAnsi" w:hAnsiTheme="minorHAnsi"/>
        </w:rPr>
        <w:t xml:space="preserve">a federal </w:t>
      </w:r>
      <w:r w:rsidR="005F5A2E" w:rsidRPr="00150811">
        <w:rPr>
          <w:rFonts w:asciiTheme="minorHAnsi" w:hAnsiTheme="minorHAnsi"/>
        </w:rPr>
        <w:t xml:space="preserve">offender </w:t>
      </w:r>
      <w:r w:rsidRPr="00150811">
        <w:rPr>
          <w:rFonts w:asciiTheme="minorHAnsi" w:hAnsiTheme="minorHAnsi"/>
        </w:rPr>
        <w:t xml:space="preserve">who </w:t>
      </w:r>
      <w:r w:rsidR="005F5A2E" w:rsidRPr="00150811">
        <w:rPr>
          <w:rFonts w:asciiTheme="minorHAnsi" w:hAnsiTheme="minorHAnsi"/>
        </w:rPr>
        <w:t xml:space="preserve">is </w:t>
      </w:r>
      <w:r w:rsidR="00150811" w:rsidRPr="00150811">
        <w:rPr>
          <w:rFonts w:asciiTheme="minorHAnsi" w:hAnsiTheme="minorHAnsi"/>
        </w:rPr>
        <w:t>presently serving or subject to a federal sentence</w:t>
      </w:r>
      <w:r w:rsidR="00150811">
        <w:rPr>
          <w:rFonts w:asciiTheme="minorHAnsi" w:hAnsiTheme="minorHAnsi"/>
        </w:rPr>
        <w:t xml:space="preserve"> </w:t>
      </w:r>
      <w:r w:rsidR="0010086F">
        <w:rPr>
          <w:rFonts w:asciiTheme="minorHAnsi" w:hAnsiTheme="minorHAnsi"/>
        </w:rPr>
        <w:t>(whether or not the offender is also serving a State/Territory sentence of imprisonment</w:t>
      </w:r>
      <w:r w:rsidR="005F5A2E">
        <w:rPr>
          <w:rFonts w:asciiTheme="minorHAnsi" w:hAnsiTheme="minorHAnsi"/>
        </w:rPr>
        <w:t>)</w:t>
      </w:r>
      <w:r w:rsidR="00477777">
        <w:rPr>
          <w:rFonts w:asciiTheme="minorHAnsi" w:hAnsiTheme="minorHAnsi"/>
        </w:rPr>
        <w:t xml:space="preserve">, </w:t>
      </w:r>
      <w:r w:rsidR="00441D45">
        <w:rPr>
          <w:rFonts w:asciiTheme="minorHAnsi" w:hAnsiTheme="minorHAnsi"/>
        </w:rPr>
        <w:t xml:space="preserve">the </w:t>
      </w:r>
      <w:r w:rsidR="000971AB">
        <w:rPr>
          <w:rFonts w:asciiTheme="minorHAnsi" w:hAnsiTheme="minorHAnsi"/>
        </w:rPr>
        <w:t xml:space="preserve">applicable </w:t>
      </w:r>
      <w:r w:rsidR="00441D45">
        <w:rPr>
          <w:rFonts w:asciiTheme="minorHAnsi" w:hAnsiTheme="minorHAnsi"/>
        </w:rPr>
        <w:t xml:space="preserve">requirements depend on whether or not </w:t>
      </w:r>
      <w:r w:rsidR="00CB7560">
        <w:rPr>
          <w:rFonts w:asciiTheme="minorHAnsi" w:hAnsiTheme="minorHAnsi"/>
        </w:rPr>
        <w:t xml:space="preserve">the offender is subject to an existing RRO or </w:t>
      </w:r>
      <w:r w:rsidR="000971AB">
        <w:rPr>
          <w:rFonts w:asciiTheme="minorHAnsi" w:hAnsiTheme="minorHAnsi"/>
        </w:rPr>
        <w:t xml:space="preserve">(federal) </w:t>
      </w:r>
      <w:r w:rsidR="00CB7560">
        <w:rPr>
          <w:rFonts w:asciiTheme="minorHAnsi" w:hAnsiTheme="minorHAnsi"/>
        </w:rPr>
        <w:t>NPP</w:t>
      </w:r>
      <w:r w:rsidR="00441D45">
        <w:rPr>
          <w:rFonts w:asciiTheme="minorHAnsi" w:hAnsiTheme="minorHAnsi"/>
        </w:rPr>
        <w:t>.</w:t>
      </w:r>
    </w:p>
    <w:p w14:paraId="18AD406A" w14:textId="77777777" w:rsidR="00127325" w:rsidRPr="00127325" w:rsidRDefault="00127325" w:rsidP="00127325">
      <w:pPr>
        <w:pStyle w:val="ListParagraph"/>
        <w:rPr>
          <w:rFonts w:asciiTheme="minorHAnsi" w:hAnsiTheme="minorHAnsi"/>
        </w:rPr>
      </w:pPr>
    </w:p>
    <w:p w14:paraId="6A772222" w14:textId="53D5E4E9" w:rsidR="00FF1217" w:rsidRDefault="00441D4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w:t>
      </w:r>
      <w:r w:rsidR="00127325" w:rsidRPr="008573D8">
        <w:rPr>
          <w:rFonts w:asciiTheme="minorHAnsi" w:hAnsiTheme="minorHAnsi"/>
          <w:b/>
        </w:rPr>
        <w:t>the offender</w:t>
      </w:r>
      <w:r w:rsidR="00127325">
        <w:rPr>
          <w:rFonts w:asciiTheme="minorHAnsi" w:hAnsiTheme="minorHAnsi"/>
        </w:rPr>
        <w:t xml:space="preserve"> </w:t>
      </w:r>
      <w:r w:rsidR="00150811" w:rsidRPr="00127325">
        <w:rPr>
          <w:rFonts w:asciiTheme="minorHAnsi" w:hAnsiTheme="minorHAnsi"/>
          <w:b/>
        </w:rPr>
        <w:t xml:space="preserve">is </w:t>
      </w:r>
      <w:r w:rsidR="00150811" w:rsidRPr="00FF1217">
        <w:rPr>
          <w:rFonts w:asciiTheme="minorHAnsi" w:hAnsiTheme="minorHAnsi"/>
          <w:b/>
        </w:rPr>
        <w:t xml:space="preserve">presently </w:t>
      </w:r>
      <w:r w:rsidR="00150811">
        <w:rPr>
          <w:rFonts w:asciiTheme="minorHAnsi" w:hAnsiTheme="minorHAnsi"/>
          <w:b/>
        </w:rPr>
        <w:t xml:space="preserve">serving or subject to </w:t>
      </w:r>
      <w:r w:rsidR="00150811" w:rsidRPr="00FF1217">
        <w:rPr>
          <w:rFonts w:asciiTheme="minorHAnsi" w:hAnsiTheme="minorHAnsi"/>
          <w:b/>
        </w:rPr>
        <w:t>a federal sentence</w:t>
      </w:r>
      <w:r w:rsidR="00150811">
        <w:rPr>
          <w:rFonts w:asciiTheme="minorHAnsi" w:hAnsiTheme="minorHAnsi"/>
        </w:rPr>
        <w:t xml:space="preserve"> </w:t>
      </w:r>
      <w:r w:rsidR="00150811" w:rsidRPr="00150811">
        <w:rPr>
          <w:rFonts w:asciiTheme="minorHAnsi" w:hAnsiTheme="minorHAnsi"/>
          <w:b/>
        </w:rPr>
        <w:t xml:space="preserve">but </w:t>
      </w:r>
      <w:r w:rsidR="00127325" w:rsidRPr="00150811">
        <w:rPr>
          <w:rFonts w:asciiTheme="minorHAnsi" w:hAnsiTheme="minorHAnsi"/>
          <w:b/>
        </w:rPr>
        <w:t>is not subject to an existing RRO or federal NPP</w:t>
      </w:r>
      <w:r w:rsidR="00CB7560">
        <w:rPr>
          <w:rFonts w:asciiTheme="minorHAnsi" w:hAnsiTheme="minorHAnsi"/>
        </w:rPr>
        <w:t xml:space="preserve">, a RRO or NPP (or neither in certain circumstances) will be imposed, according to the </w:t>
      </w:r>
      <w:r w:rsidR="00127325">
        <w:rPr>
          <w:rFonts w:asciiTheme="minorHAnsi" w:hAnsiTheme="minorHAnsi"/>
        </w:rPr>
        <w:t xml:space="preserve">aggregate </w:t>
      </w:r>
      <w:r w:rsidR="00CB7560">
        <w:rPr>
          <w:rFonts w:asciiTheme="minorHAnsi" w:hAnsiTheme="minorHAnsi"/>
        </w:rPr>
        <w:t>length of the sentences which will remain to be served</w:t>
      </w:r>
      <w:r w:rsidR="00127325">
        <w:rPr>
          <w:rFonts w:asciiTheme="minorHAnsi" w:hAnsiTheme="minorHAnsi"/>
        </w:rPr>
        <w:t xml:space="preserve"> (including the unserved portion of the existing sentence and the </w:t>
      </w:r>
      <w:r w:rsidR="008776EA">
        <w:rPr>
          <w:rFonts w:asciiTheme="minorHAnsi" w:hAnsiTheme="minorHAnsi"/>
        </w:rPr>
        <w:t>new head sentence(s))</w:t>
      </w:r>
      <w:r w:rsidR="00CB7560">
        <w:rPr>
          <w:rFonts w:asciiTheme="minorHAnsi" w:hAnsiTheme="minorHAnsi"/>
        </w:rPr>
        <w:t xml:space="preserve">.  </w:t>
      </w:r>
      <w:r w:rsidR="00FF1217">
        <w:rPr>
          <w:rFonts w:asciiTheme="minorHAnsi" w:hAnsiTheme="minorHAnsi"/>
        </w:rPr>
        <w:t>T</w:t>
      </w:r>
      <w:r w:rsidR="00150811">
        <w:rPr>
          <w:rFonts w:asciiTheme="minorHAnsi" w:hAnsiTheme="minorHAnsi"/>
        </w:rPr>
        <w:t xml:space="preserve">able 2 </w:t>
      </w:r>
      <w:r w:rsidR="00F47D0C">
        <w:rPr>
          <w:rFonts w:asciiTheme="minorHAnsi" w:hAnsiTheme="minorHAnsi"/>
        </w:rPr>
        <w:t>summar</w:t>
      </w:r>
      <w:r w:rsidR="00B86888">
        <w:rPr>
          <w:rFonts w:asciiTheme="minorHAnsi" w:hAnsiTheme="minorHAnsi"/>
        </w:rPr>
        <w:t>ises</w:t>
      </w:r>
      <w:r w:rsidR="00FF1217">
        <w:rPr>
          <w:rFonts w:asciiTheme="minorHAnsi" w:hAnsiTheme="minorHAnsi"/>
        </w:rPr>
        <w:t xml:space="preserve"> the </w:t>
      </w:r>
      <w:r w:rsidR="00150811">
        <w:rPr>
          <w:rFonts w:asciiTheme="minorHAnsi" w:hAnsiTheme="minorHAnsi"/>
        </w:rPr>
        <w:t xml:space="preserve">applicable </w:t>
      </w:r>
      <w:r w:rsidR="00FF1217">
        <w:rPr>
          <w:rFonts w:asciiTheme="minorHAnsi" w:hAnsiTheme="minorHAnsi"/>
        </w:rPr>
        <w:t>requirements:</w:t>
      </w:r>
    </w:p>
    <w:p w14:paraId="04E31AC3" w14:textId="77777777" w:rsidR="00472D43" w:rsidRPr="00472D43" w:rsidRDefault="00472D43" w:rsidP="00472D43">
      <w:pPr>
        <w:pStyle w:val="ListParagraph"/>
        <w:rPr>
          <w:rFonts w:asciiTheme="minorHAnsi" w:hAnsiTheme="minorHAnsi"/>
        </w:rPr>
      </w:pPr>
    </w:p>
    <w:p w14:paraId="1422F0FF" w14:textId="5B1517FE" w:rsidR="000716B4" w:rsidRPr="00BA6150" w:rsidRDefault="000716B4" w:rsidP="00EB7F1E">
      <w:pPr>
        <w:keepNext/>
        <w:spacing w:line="276" w:lineRule="auto"/>
        <w:ind w:left="567" w:right="-1"/>
        <w:rPr>
          <w:rFonts w:asciiTheme="minorHAnsi" w:hAnsiTheme="minorHAnsi"/>
          <w:u w:val="single"/>
        </w:rPr>
      </w:pPr>
      <w:r w:rsidRPr="00BA6150">
        <w:rPr>
          <w:rFonts w:asciiTheme="minorHAnsi" w:hAnsiTheme="minorHAnsi"/>
          <w:b/>
          <w:i/>
          <w:sz w:val="20"/>
        </w:rPr>
        <w:t xml:space="preserve">Table 2: Fixing period to be served by federal offender who is presently </w:t>
      </w:r>
      <w:r w:rsidR="00150811">
        <w:rPr>
          <w:rFonts w:asciiTheme="minorHAnsi" w:hAnsiTheme="minorHAnsi"/>
          <w:b/>
          <w:i/>
          <w:sz w:val="20"/>
        </w:rPr>
        <w:t xml:space="preserve">serving or subject to a </w:t>
      </w:r>
      <w:r w:rsidR="00150811" w:rsidRPr="000716B4">
        <w:rPr>
          <w:rFonts w:asciiTheme="minorHAnsi" w:hAnsiTheme="minorHAnsi"/>
          <w:b/>
          <w:i/>
          <w:sz w:val="20"/>
        </w:rPr>
        <w:t>federal sentence of imprisonment</w:t>
      </w:r>
      <w:r w:rsidR="00127325">
        <w:rPr>
          <w:rFonts w:asciiTheme="minorHAnsi" w:hAnsiTheme="minorHAnsi"/>
          <w:b/>
          <w:i/>
          <w:sz w:val="20"/>
        </w:rPr>
        <w:t>, but who is not subject to an existing RRO or federal NPP</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4536"/>
        <w:gridCol w:w="1559"/>
      </w:tblGrid>
      <w:tr w:rsidR="000716B4" w:rsidRPr="004F2343" w14:paraId="75778D2B" w14:textId="77777777" w:rsidTr="00EB7F1E">
        <w:trPr>
          <w:cantSplit/>
          <w:trHeight w:val="510"/>
          <w:tblHeader/>
        </w:trPr>
        <w:tc>
          <w:tcPr>
            <w:tcW w:w="3118" w:type="dxa"/>
            <w:shd w:val="clear" w:color="auto" w:fill="D9D9D9" w:themeFill="background1" w:themeFillShade="D9"/>
            <w:vAlign w:val="center"/>
          </w:tcPr>
          <w:p w14:paraId="1B84291A" w14:textId="50EEA9F3" w:rsidR="000716B4" w:rsidRPr="004F2343" w:rsidRDefault="00BA6150" w:rsidP="00472D43">
            <w:pPr>
              <w:keepNext/>
              <w:tabs>
                <w:tab w:val="left" w:pos="1303"/>
                <w:tab w:val="left" w:pos="4395"/>
                <w:tab w:val="left" w:pos="8050"/>
              </w:tabs>
              <w:spacing w:line="276" w:lineRule="auto"/>
              <w:ind w:left="153"/>
              <w:jc w:val="center"/>
              <w:rPr>
                <w:rFonts w:ascii="Calibri" w:hAnsi="Calibri"/>
                <w:b/>
                <w:i/>
                <w:sz w:val="20"/>
              </w:rPr>
            </w:pPr>
            <w:r w:rsidRPr="004F2343">
              <w:rPr>
                <w:rFonts w:ascii="Calibri" w:hAnsi="Calibri"/>
                <w:b/>
                <w:i/>
                <w:sz w:val="20"/>
              </w:rPr>
              <w:t>Aggregate period to serve (including new sentence</w:t>
            </w:r>
            <w:r w:rsidR="008776EA" w:rsidRPr="004F2343">
              <w:rPr>
                <w:rFonts w:ascii="Calibri" w:hAnsi="Calibri"/>
                <w:b/>
                <w:i/>
                <w:sz w:val="20"/>
              </w:rPr>
              <w:t>(s)</w:t>
            </w:r>
            <w:r w:rsidRPr="004F2343">
              <w:rPr>
                <w:rFonts w:ascii="Calibri" w:hAnsi="Calibri"/>
                <w:b/>
                <w:i/>
                <w:sz w:val="20"/>
              </w:rPr>
              <w:t>)</w:t>
            </w:r>
          </w:p>
        </w:tc>
        <w:tc>
          <w:tcPr>
            <w:tcW w:w="4536" w:type="dxa"/>
            <w:shd w:val="clear" w:color="auto" w:fill="D9D9D9" w:themeFill="background1" w:themeFillShade="D9"/>
            <w:vAlign w:val="center"/>
          </w:tcPr>
          <w:p w14:paraId="38298258" w14:textId="77777777" w:rsidR="000716B4" w:rsidRPr="004F2343" w:rsidRDefault="000716B4" w:rsidP="00472D43">
            <w:pPr>
              <w:keepNext/>
              <w:tabs>
                <w:tab w:val="left" w:pos="426"/>
                <w:tab w:val="left" w:pos="709"/>
                <w:tab w:val="left" w:pos="1303"/>
                <w:tab w:val="left" w:pos="1418"/>
                <w:tab w:val="left" w:pos="4705"/>
                <w:tab w:val="left" w:pos="7797"/>
                <w:tab w:val="left" w:pos="8050"/>
              </w:tabs>
              <w:spacing w:line="276" w:lineRule="auto"/>
              <w:ind w:left="153"/>
              <w:jc w:val="center"/>
              <w:rPr>
                <w:rFonts w:ascii="Calibri" w:hAnsi="Calibri"/>
                <w:b/>
                <w:i/>
                <w:sz w:val="20"/>
              </w:rPr>
            </w:pPr>
            <w:r w:rsidRPr="004F2343">
              <w:rPr>
                <w:rFonts w:ascii="Calibri" w:hAnsi="Calibri"/>
                <w:b/>
                <w:i/>
                <w:sz w:val="20"/>
              </w:rPr>
              <w:t>Required option</w:t>
            </w:r>
          </w:p>
          <w:p w14:paraId="2B7A30C7" w14:textId="77777777" w:rsidR="000716B4" w:rsidRPr="004F2343" w:rsidRDefault="000716B4" w:rsidP="00472D43">
            <w:pPr>
              <w:keepNext/>
              <w:tabs>
                <w:tab w:val="left" w:pos="426"/>
                <w:tab w:val="left" w:pos="709"/>
                <w:tab w:val="left" w:pos="1303"/>
                <w:tab w:val="left" w:pos="1418"/>
                <w:tab w:val="left" w:pos="4705"/>
                <w:tab w:val="left" w:pos="7797"/>
                <w:tab w:val="left" w:pos="8050"/>
              </w:tabs>
              <w:spacing w:line="276" w:lineRule="auto"/>
              <w:ind w:left="153"/>
              <w:jc w:val="center"/>
              <w:rPr>
                <w:rFonts w:ascii="Calibri" w:hAnsi="Calibri"/>
                <w:b/>
                <w:i/>
                <w:sz w:val="20"/>
              </w:rPr>
            </w:pPr>
          </w:p>
        </w:tc>
        <w:tc>
          <w:tcPr>
            <w:tcW w:w="1559" w:type="dxa"/>
            <w:shd w:val="clear" w:color="auto" w:fill="D9D9D9" w:themeFill="background1" w:themeFillShade="D9"/>
            <w:vAlign w:val="center"/>
          </w:tcPr>
          <w:p w14:paraId="09AE0EB9" w14:textId="323D48B2" w:rsidR="000716B4" w:rsidRPr="004F2343" w:rsidRDefault="00885EFD" w:rsidP="00472D43">
            <w:pPr>
              <w:keepNext/>
              <w:tabs>
                <w:tab w:val="left" w:pos="1418"/>
                <w:tab w:val="left" w:pos="4705"/>
                <w:tab w:val="left" w:pos="7797"/>
                <w:tab w:val="left" w:pos="8050"/>
              </w:tabs>
              <w:spacing w:line="276" w:lineRule="auto"/>
              <w:jc w:val="center"/>
              <w:rPr>
                <w:rFonts w:ascii="Calibri" w:hAnsi="Calibri"/>
                <w:b/>
                <w:i/>
                <w:sz w:val="20"/>
              </w:rPr>
            </w:pPr>
            <w:r w:rsidRPr="004F2343">
              <w:rPr>
                <w:rFonts w:ascii="Calibri" w:hAnsi="Calibri"/>
                <w:b/>
                <w:i/>
                <w:sz w:val="20"/>
              </w:rPr>
              <w:t>Crimes Act 1914</w:t>
            </w:r>
            <w:r w:rsidR="000716B4" w:rsidRPr="004F2343">
              <w:rPr>
                <w:rFonts w:ascii="Calibri" w:hAnsi="Calibri"/>
                <w:b/>
                <w:i/>
                <w:sz w:val="20"/>
              </w:rPr>
              <w:t xml:space="preserve"> </w:t>
            </w:r>
            <w:r w:rsidR="000716B4" w:rsidRPr="004F2343">
              <w:rPr>
                <w:rFonts w:ascii="Calibri" w:hAnsi="Calibri"/>
                <w:b/>
                <w:sz w:val="20"/>
              </w:rPr>
              <w:t>(Cth)</w:t>
            </w:r>
            <w:r w:rsidR="00BA6150" w:rsidRPr="004F2343">
              <w:rPr>
                <w:rFonts w:ascii="Calibri" w:hAnsi="Calibri"/>
                <w:b/>
                <w:sz w:val="20"/>
              </w:rPr>
              <w:t xml:space="preserve"> section</w:t>
            </w:r>
          </w:p>
        </w:tc>
      </w:tr>
      <w:tr w:rsidR="000716B4" w:rsidRPr="004F2343" w14:paraId="0D45C8A4" w14:textId="77777777" w:rsidTr="00EB7F1E">
        <w:trPr>
          <w:trHeight w:val="1239"/>
        </w:trPr>
        <w:tc>
          <w:tcPr>
            <w:tcW w:w="3118" w:type="dxa"/>
            <w:tcBorders>
              <w:bottom w:val="single" w:sz="4" w:space="0" w:color="auto"/>
            </w:tcBorders>
            <w:vAlign w:val="center"/>
          </w:tcPr>
          <w:p w14:paraId="066FB325" w14:textId="77777777" w:rsidR="000716B4" w:rsidRPr="004F2343" w:rsidRDefault="000716B4" w:rsidP="008776EA">
            <w:pPr>
              <w:tabs>
                <w:tab w:val="left" w:pos="1303"/>
                <w:tab w:val="left" w:pos="4395"/>
                <w:tab w:val="left" w:pos="8050"/>
              </w:tabs>
              <w:spacing w:line="276" w:lineRule="auto"/>
              <w:ind w:left="153"/>
              <w:rPr>
                <w:rFonts w:ascii="Calibri" w:hAnsi="Calibri"/>
                <w:b/>
                <w:sz w:val="20"/>
                <w:u w:val="single"/>
              </w:rPr>
            </w:pPr>
            <w:r w:rsidRPr="004F2343">
              <w:rPr>
                <w:rFonts w:ascii="Calibri" w:hAnsi="Calibri"/>
                <w:b/>
                <w:sz w:val="20"/>
              </w:rPr>
              <w:t>Not exceeding 6 mths</w:t>
            </w:r>
          </w:p>
        </w:tc>
        <w:tc>
          <w:tcPr>
            <w:tcW w:w="4536" w:type="dxa"/>
            <w:tcBorders>
              <w:bottom w:val="single" w:sz="4" w:space="0" w:color="auto"/>
            </w:tcBorders>
            <w:vAlign w:val="center"/>
          </w:tcPr>
          <w:p w14:paraId="0638441F" w14:textId="77777777" w:rsidR="000716B4" w:rsidRPr="004F2343" w:rsidRDefault="000716B4" w:rsidP="008776EA">
            <w:pPr>
              <w:tabs>
                <w:tab w:val="left" w:pos="426"/>
                <w:tab w:val="left" w:pos="709"/>
                <w:tab w:val="left" w:pos="1303"/>
                <w:tab w:val="left" w:pos="1418"/>
                <w:tab w:val="left" w:pos="4705"/>
                <w:tab w:val="left" w:pos="7797"/>
                <w:tab w:val="left" w:pos="8050"/>
              </w:tabs>
              <w:spacing w:line="276" w:lineRule="auto"/>
              <w:ind w:left="153"/>
              <w:rPr>
                <w:rFonts w:ascii="Calibri" w:hAnsi="Calibri"/>
                <w:sz w:val="20"/>
                <w:u w:val="single"/>
              </w:rPr>
            </w:pPr>
            <w:r w:rsidRPr="004F2343">
              <w:rPr>
                <w:rFonts w:ascii="Calibri" w:hAnsi="Calibri"/>
                <w:sz w:val="20"/>
              </w:rPr>
              <w:t>Single RRO is optional.  NPP not available.</w:t>
            </w:r>
          </w:p>
          <w:p w14:paraId="379A1D26" w14:textId="77777777" w:rsidR="000716B4" w:rsidRPr="004F2343" w:rsidRDefault="000716B4" w:rsidP="008776EA">
            <w:pPr>
              <w:tabs>
                <w:tab w:val="left" w:pos="1303"/>
                <w:tab w:val="left" w:pos="4395"/>
                <w:tab w:val="left" w:pos="8050"/>
              </w:tabs>
              <w:spacing w:line="276" w:lineRule="auto"/>
              <w:ind w:left="153"/>
              <w:rPr>
                <w:rFonts w:ascii="Calibri" w:hAnsi="Calibri"/>
                <w:sz w:val="20"/>
              </w:rPr>
            </w:pPr>
            <w:r w:rsidRPr="004F2343">
              <w:rPr>
                <w:rFonts w:ascii="Calibri" w:hAnsi="Calibri"/>
                <w:sz w:val="20"/>
              </w:rPr>
              <w:t>Discretion to order immediate release.</w:t>
            </w:r>
          </w:p>
          <w:p w14:paraId="2E5D0403" w14:textId="68B4F775" w:rsidR="000716B4" w:rsidRPr="004F2343" w:rsidRDefault="000716B4" w:rsidP="008776EA">
            <w:pPr>
              <w:tabs>
                <w:tab w:val="left" w:pos="426"/>
                <w:tab w:val="left" w:pos="709"/>
                <w:tab w:val="left" w:pos="1303"/>
                <w:tab w:val="left" w:pos="1418"/>
                <w:tab w:val="left" w:pos="4705"/>
                <w:tab w:val="left" w:pos="7797"/>
                <w:tab w:val="left" w:pos="8050"/>
              </w:tabs>
              <w:spacing w:line="276" w:lineRule="auto"/>
              <w:ind w:left="153"/>
              <w:rPr>
                <w:rFonts w:ascii="Calibri" w:hAnsi="Calibri"/>
                <w:sz w:val="20"/>
                <w:u w:val="single"/>
              </w:rPr>
            </w:pPr>
            <w:r w:rsidRPr="004F2343">
              <w:rPr>
                <w:rFonts w:ascii="Calibri" w:hAnsi="Calibri"/>
                <w:sz w:val="20"/>
              </w:rPr>
              <w:t xml:space="preserve">Discretion to </w:t>
            </w:r>
            <w:r w:rsidR="008776EA" w:rsidRPr="004F2343">
              <w:rPr>
                <w:rFonts w:ascii="Calibri" w:hAnsi="Calibri"/>
                <w:sz w:val="20"/>
              </w:rPr>
              <w:t xml:space="preserve">decline to make RRO (ie to </w:t>
            </w:r>
            <w:r w:rsidRPr="004F2343">
              <w:rPr>
                <w:rFonts w:ascii="Calibri" w:hAnsi="Calibri"/>
                <w:sz w:val="20"/>
              </w:rPr>
              <w:t>impose straight sentence).</w:t>
            </w:r>
          </w:p>
        </w:tc>
        <w:tc>
          <w:tcPr>
            <w:tcW w:w="1559" w:type="dxa"/>
            <w:vAlign w:val="center"/>
          </w:tcPr>
          <w:p w14:paraId="416FAC53" w14:textId="77777777"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19AC(3)</w:t>
            </w:r>
          </w:p>
          <w:p w14:paraId="7432BFB2" w14:textId="77777777"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20(1)(b)</w:t>
            </w:r>
          </w:p>
          <w:p w14:paraId="59F0FDCF" w14:textId="77777777"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19AC(4)</w:t>
            </w:r>
          </w:p>
        </w:tc>
      </w:tr>
      <w:tr w:rsidR="000716B4" w:rsidRPr="004F2343" w14:paraId="2C173119" w14:textId="77777777" w:rsidTr="00EB7F1E">
        <w:trPr>
          <w:trHeight w:val="850"/>
        </w:trPr>
        <w:tc>
          <w:tcPr>
            <w:tcW w:w="3118" w:type="dxa"/>
            <w:vAlign w:val="center"/>
          </w:tcPr>
          <w:p w14:paraId="492EF845" w14:textId="77777777" w:rsidR="000716B4" w:rsidRPr="004F2343" w:rsidRDefault="000716B4" w:rsidP="008776EA">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Greater than 6 mths but not greater than 3 yrs</w:t>
            </w:r>
          </w:p>
        </w:tc>
        <w:tc>
          <w:tcPr>
            <w:tcW w:w="4536" w:type="dxa"/>
            <w:vAlign w:val="center"/>
          </w:tcPr>
          <w:p w14:paraId="29F74DDA" w14:textId="77777777" w:rsidR="000716B4" w:rsidRPr="004F2343" w:rsidRDefault="000716B4" w:rsidP="008776EA">
            <w:pPr>
              <w:tabs>
                <w:tab w:val="left" w:pos="1303"/>
                <w:tab w:val="left" w:pos="4395"/>
                <w:tab w:val="left" w:pos="8050"/>
              </w:tabs>
              <w:spacing w:line="276" w:lineRule="auto"/>
              <w:ind w:left="153"/>
              <w:rPr>
                <w:rFonts w:ascii="Calibri" w:hAnsi="Calibri"/>
                <w:sz w:val="20"/>
              </w:rPr>
            </w:pPr>
            <w:r w:rsidRPr="004F2343">
              <w:rPr>
                <w:rFonts w:ascii="Calibri" w:hAnsi="Calibri"/>
                <w:sz w:val="20"/>
              </w:rPr>
              <w:t>Single RRO required. NPP not available.</w:t>
            </w:r>
          </w:p>
          <w:p w14:paraId="0F72756C" w14:textId="77777777" w:rsidR="000716B4" w:rsidRPr="004F2343" w:rsidRDefault="000716B4" w:rsidP="008776EA">
            <w:pPr>
              <w:tabs>
                <w:tab w:val="left" w:pos="1303"/>
                <w:tab w:val="left" w:pos="4395"/>
                <w:tab w:val="left" w:pos="8050"/>
              </w:tabs>
              <w:spacing w:line="276" w:lineRule="auto"/>
              <w:ind w:left="153"/>
              <w:rPr>
                <w:rFonts w:ascii="Calibri" w:hAnsi="Calibri"/>
                <w:sz w:val="20"/>
              </w:rPr>
            </w:pPr>
            <w:r w:rsidRPr="004F2343">
              <w:rPr>
                <w:rFonts w:ascii="Calibri" w:hAnsi="Calibri"/>
                <w:sz w:val="20"/>
              </w:rPr>
              <w:t>Discretion to order immediate release.</w:t>
            </w:r>
          </w:p>
          <w:p w14:paraId="350F5FD1" w14:textId="47902CC4" w:rsidR="000716B4" w:rsidRPr="004F2343" w:rsidRDefault="008776EA" w:rsidP="008776EA">
            <w:pPr>
              <w:tabs>
                <w:tab w:val="left" w:pos="1303"/>
                <w:tab w:val="left" w:pos="4395"/>
                <w:tab w:val="left" w:pos="8050"/>
              </w:tabs>
              <w:spacing w:line="276" w:lineRule="auto"/>
              <w:ind w:left="153"/>
              <w:rPr>
                <w:rFonts w:ascii="Calibri" w:hAnsi="Calibri"/>
                <w:sz w:val="20"/>
              </w:rPr>
            </w:pPr>
            <w:r w:rsidRPr="004F2343">
              <w:rPr>
                <w:rFonts w:ascii="Calibri" w:hAnsi="Calibri"/>
                <w:sz w:val="20"/>
              </w:rPr>
              <w:t>Discretion to decline to make RRO (ie to impose straight sentence).</w:t>
            </w:r>
          </w:p>
        </w:tc>
        <w:tc>
          <w:tcPr>
            <w:tcW w:w="1559" w:type="dxa"/>
            <w:vAlign w:val="center"/>
          </w:tcPr>
          <w:p w14:paraId="29DB9584" w14:textId="2393A1F8"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w:t>
            </w:r>
            <w:r w:rsidR="00150811" w:rsidRPr="004F2343">
              <w:rPr>
                <w:rFonts w:ascii="Calibri" w:hAnsi="Calibri"/>
                <w:sz w:val="20"/>
              </w:rPr>
              <w:t>2</w:t>
            </w:r>
            <w:r w:rsidRPr="004F2343">
              <w:rPr>
                <w:rFonts w:ascii="Calibri" w:hAnsi="Calibri"/>
                <w:sz w:val="20"/>
              </w:rPr>
              <w:t>)</w:t>
            </w:r>
          </w:p>
          <w:p w14:paraId="6803B275" w14:textId="77777777"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20(1)(b)</w:t>
            </w:r>
          </w:p>
          <w:p w14:paraId="70E2139C" w14:textId="77777777"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19AC(4)</w:t>
            </w:r>
          </w:p>
        </w:tc>
      </w:tr>
      <w:tr w:rsidR="000716B4" w:rsidRPr="004F2343" w14:paraId="5BA12112" w14:textId="77777777" w:rsidTr="00EB7F1E">
        <w:trPr>
          <w:trHeight w:val="850"/>
        </w:trPr>
        <w:tc>
          <w:tcPr>
            <w:tcW w:w="3118" w:type="dxa"/>
            <w:vAlign w:val="center"/>
          </w:tcPr>
          <w:p w14:paraId="10C35571" w14:textId="77777777" w:rsidR="000716B4" w:rsidRPr="004F2343" w:rsidRDefault="000716B4" w:rsidP="008776EA">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Greater than 3 yrs</w:t>
            </w:r>
          </w:p>
        </w:tc>
        <w:tc>
          <w:tcPr>
            <w:tcW w:w="4536" w:type="dxa"/>
            <w:vAlign w:val="center"/>
          </w:tcPr>
          <w:p w14:paraId="30B17CDC" w14:textId="77777777" w:rsidR="000716B4" w:rsidRPr="004F2343" w:rsidRDefault="000716B4" w:rsidP="008776EA">
            <w:pPr>
              <w:tabs>
                <w:tab w:val="left" w:pos="426"/>
                <w:tab w:val="left" w:pos="709"/>
                <w:tab w:val="left" w:pos="1303"/>
                <w:tab w:val="left" w:pos="1418"/>
                <w:tab w:val="left" w:pos="4705"/>
                <w:tab w:val="left" w:pos="7797"/>
                <w:tab w:val="left" w:pos="8050"/>
              </w:tabs>
              <w:spacing w:line="276" w:lineRule="auto"/>
              <w:ind w:left="153"/>
              <w:rPr>
                <w:rFonts w:ascii="Calibri" w:hAnsi="Calibri"/>
                <w:sz w:val="20"/>
              </w:rPr>
            </w:pPr>
            <w:r w:rsidRPr="004F2343">
              <w:rPr>
                <w:rFonts w:ascii="Calibri" w:hAnsi="Calibri"/>
                <w:sz w:val="20"/>
              </w:rPr>
              <w:t>Single NPP required.  RRO not available.</w:t>
            </w:r>
          </w:p>
          <w:p w14:paraId="240FCF3A" w14:textId="03B7A689" w:rsidR="000716B4" w:rsidRPr="004F2343" w:rsidRDefault="008776EA" w:rsidP="008776EA">
            <w:pPr>
              <w:tabs>
                <w:tab w:val="left" w:pos="426"/>
                <w:tab w:val="left" w:pos="709"/>
                <w:tab w:val="left" w:pos="1303"/>
                <w:tab w:val="left" w:pos="1418"/>
                <w:tab w:val="left" w:pos="4705"/>
                <w:tab w:val="left" w:pos="7797"/>
                <w:tab w:val="left" w:pos="8050"/>
              </w:tabs>
              <w:spacing w:line="276" w:lineRule="auto"/>
              <w:ind w:left="153"/>
              <w:rPr>
                <w:rFonts w:ascii="Calibri" w:hAnsi="Calibri"/>
                <w:sz w:val="20"/>
              </w:rPr>
            </w:pPr>
            <w:r w:rsidRPr="004F2343">
              <w:rPr>
                <w:rFonts w:ascii="Calibri" w:hAnsi="Calibri"/>
                <w:sz w:val="20"/>
              </w:rPr>
              <w:t>Discretion to decline to make RRO (ie to impose straight sentence).</w:t>
            </w:r>
          </w:p>
        </w:tc>
        <w:tc>
          <w:tcPr>
            <w:tcW w:w="1559" w:type="dxa"/>
            <w:vAlign w:val="center"/>
          </w:tcPr>
          <w:p w14:paraId="0D8DAC9B" w14:textId="367300FB"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19AB(</w:t>
            </w:r>
            <w:r w:rsidR="006A7B7E" w:rsidRPr="004F2343">
              <w:rPr>
                <w:rFonts w:ascii="Calibri" w:hAnsi="Calibri"/>
                <w:sz w:val="20"/>
              </w:rPr>
              <w:t>2</w:t>
            </w:r>
            <w:r w:rsidRPr="004F2343">
              <w:rPr>
                <w:rFonts w:ascii="Calibri" w:hAnsi="Calibri"/>
                <w:sz w:val="20"/>
              </w:rPr>
              <w:t>)</w:t>
            </w:r>
          </w:p>
          <w:p w14:paraId="0F236332" w14:textId="77777777" w:rsidR="000716B4" w:rsidRPr="004F2343" w:rsidRDefault="000716B4" w:rsidP="008776EA">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19AB(3)</w:t>
            </w:r>
          </w:p>
        </w:tc>
      </w:tr>
    </w:tbl>
    <w:p w14:paraId="2F581EEA" w14:textId="77777777" w:rsidR="00FF1217" w:rsidRPr="00FF1217" w:rsidRDefault="00FF1217" w:rsidP="00FF1217">
      <w:pPr>
        <w:pStyle w:val="ListParagraph"/>
        <w:rPr>
          <w:rFonts w:asciiTheme="minorHAnsi" w:hAnsiTheme="minorHAnsi"/>
        </w:rPr>
      </w:pPr>
    </w:p>
    <w:p w14:paraId="6EFDC339" w14:textId="12A85B93" w:rsidR="00D73A50" w:rsidRDefault="00CB7560" w:rsidP="00EB7F1E">
      <w:pPr>
        <w:pStyle w:val="ListParagraph"/>
        <w:numPr>
          <w:ilvl w:val="0"/>
          <w:numId w:val="7"/>
        </w:numPr>
        <w:spacing w:line="276" w:lineRule="auto"/>
        <w:ind w:left="425" w:hanging="425"/>
        <w:contextualSpacing w:val="0"/>
        <w:rPr>
          <w:rFonts w:asciiTheme="minorHAnsi" w:hAnsiTheme="minorHAnsi"/>
        </w:rPr>
      </w:pPr>
      <w:bookmarkStart w:id="1931" w:name="_Ref517070221"/>
      <w:r>
        <w:rPr>
          <w:rFonts w:asciiTheme="minorHAnsi" w:hAnsiTheme="minorHAnsi"/>
        </w:rPr>
        <w:t xml:space="preserve">If </w:t>
      </w:r>
      <w:r w:rsidRPr="008573D8">
        <w:rPr>
          <w:rFonts w:asciiTheme="minorHAnsi" w:hAnsiTheme="minorHAnsi"/>
          <w:b/>
        </w:rPr>
        <w:t xml:space="preserve">the offender is </w:t>
      </w:r>
      <w:r w:rsidR="00B74427">
        <w:rPr>
          <w:rFonts w:asciiTheme="minorHAnsi" w:hAnsiTheme="minorHAnsi"/>
          <w:b/>
        </w:rPr>
        <w:t>subject to</w:t>
      </w:r>
      <w:r w:rsidRPr="008573D8">
        <w:rPr>
          <w:rFonts w:asciiTheme="minorHAnsi" w:hAnsiTheme="minorHAnsi"/>
          <w:b/>
        </w:rPr>
        <w:t xml:space="preserve"> an existing RRO or </w:t>
      </w:r>
      <w:r w:rsidR="000971AB" w:rsidRPr="008573D8">
        <w:rPr>
          <w:rFonts w:asciiTheme="minorHAnsi" w:hAnsiTheme="minorHAnsi"/>
          <w:b/>
        </w:rPr>
        <w:t xml:space="preserve">(federal) </w:t>
      </w:r>
      <w:r w:rsidRPr="008573D8">
        <w:rPr>
          <w:rFonts w:asciiTheme="minorHAnsi" w:hAnsiTheme="minorHAnsi"/>
          <w:b/>
        </w:rPr>
        <w:t>NPP</w:t>
      </w:r>
      <w:r>
        <w:rPr>
          <w:rFonts w:asciiTheme="minorHAnsi" w:hAnsiTheme="minorHAnsi"/>
        </w:rPr>
        <w:t xml:space="preserve">, </w:t>
      </w:r>
      <w:r w:rsidR="00477777">
        <w:rPr>
          <w:rFonts w:asciiTheme="minorHAnsi" w:hAnsiTheme="minorHAnsi"/>
        </w:rPr>
        <w:t xml:space="preserve">the court </w:t>
      </w:r>
      <w:r w:rsidR="008222E1">
        <w:rPr>
          <w:rFonts w:asciiTheme="minorHAnsi" w:hAnsiTheme="minorHAnsi"/>
        </w:rPr>
        <w:t xml:space="preserve">is required to make orders to deal with the existing order as well as the new sentence(s).  </w:t>
      </w:r>
      <w:r w:rsidR="00304F07">
        <w:rPr>
          <w:rFonts w:asciiTheme="minorHAnsi" w:hAnsiTheme="minorHAnsi"/>
        </w:rPr>
        <w:t xml:space="preserve">The orders will involve </w:t>
      </w:r>
      <w:r w:rsidR="000971AB">
        <w:rPr>
          <w:rFonts w:asciiTheme="minorHAnsi" w:hAnsiTheme="minorHAnsi"/>
        </w:rPr>
        <w:t>either confirm</w:t>
      </w:r>
      <w:r w:rsidR="00E86533">
        <w:rPr>
          <w:rFonts w:asciiTheme="minorHAnsi" w:hAnsiTheme="minorHAnsi"/>
        </w:rPr>
        <w:t>ing</w:t>
      </w:r>
      <w:r w:rsidR="000971AB">
        <w:rPr>
          <w:rFonts w:asciiTheme="minorHAnsi" w:hAnsiTheme="minorHAnsi"/>
        </w:rPr>
        <w:t xml:space="preserve"> </w:t>
      </w:r>
      <w:r w:rsidR="00477777">
        <w:rPr>
          <w:rFonts w:asciiTheme="minorHAnsi" w:hAnsiTheme="minorHAnsi"/>
        </w:rPr>
        <w:t xml:space="preserve">the existing NPP or RRO </w:t>
      </w:r>
      <w:r w:rsidR="000971AB">
        <w:rPr>
          <w:rFonts w:asciiTheme="minorHAnsi" w:hAnsiTheme="minorHAnsi"/>
        </w:rPr>
        <w:t>or replac</w:t>
      </w:r>
      <w:r w:rsidR="00E86533">
        <w:rPr>
          <w:rFonts w:asciiTheme="minorHAnsi" w:hAnsiTheme="minorHAnsi"/>
        </w:rPr>
        <w:t>ing</w:t>
      </w:r>
      <w:r w:rsidR="000971AB">
        <w:rPr>
          <w:rFonts w:asciiTheme="minorHAnsi" w:hAnsiTheme="minorHAnsi"/>
        </w:rPr>
        <w:t xml:space="preserve"> it </w:t>
      </w:r>
      <w:r w:rsidR="00477777">
        <w:rPr>
          <w:rFonts w:asciiTheme="minorHAnsi" w:hAnsiTheme="minorHAnsi"/>
        </w:rPr>
        <w:t>with a single NPP or RRO applicable to all the federal sentences</w:t>
      </w:r>
      <w:r w:rsidR="00E86533">
        <w:rPr>
          <w:rFonts w:asciiTheme="minorHAnsi" w:hAnsiTheme="minorHAnsi"/>
        </w:rPr>
        <w:t xml:space="preserve"> or with a straight sentence</w:t>
      </w:r>
      <w:r w:rsidR="00477777">
        <w:rPr>
          <w:rFonts w:asciiTheme="minorHAnsi" w:hAnsiTheme="minorHAnsi"/>
        </w:rPr>
        <w:t xml:space="preserve"> (</w:t>
      </w:r>
      <w:r w:rsidR="00885EFD" w:rsidRPr="00885EFD">
        <w:rPr>
          <w:rFonts w:asciiTheme="minorHAnsi" w:hAnsiTheme="minorHAnsi"/>
          <w:i/>
        </w:rPr>
        <w:t>Crimes Act 1914</w:t>
      </w:r>
      <w:r w:rsidR="00477777">
        <w:rPr>
          <w:rFonts w:asciiTheme="minorHAnsi" w:hAnsiTheme="minorHAnsi"/>
        </w:rPr>
        <w:t>, ss 19AD and 19AE).</w:t>
      </w:r>
      <w:r w:rsidR="00B52D47" w:rsidRPr="00B52D47">
        <w:rPr>
          <w:rFonts w:asciiTheme="minorHAnsi" w:hAnsiTheme="minorHAnsi"/>
        </w:rPr>
        <w:t xml:space="preserve"> </w:t>
      </w:r>
      <w:r w:rsidR="00B52D47">
        <w:rPr>
          <w:rFonts w:asciiTheme="minorHAnsi" w:hAnsiTheme="minorHAnsi"/>
        </w:rPr>
        <w:t xml:space="preserve">Table 3 </w:t>
      </w:r>
      <w:r w:rsidR="00F47D0C">
        <w:rPr>
          <w:rFonts w:asciiTheme="minorHAnsi" w:hAnsiTheme="minorHAnsi"/>
        </w:rPr>
        <w:t>summar</w:t>
      </w:r>
      <w:r w:rsidR="00B86888">
        <w:rPr>
          <w:rFonts w:asciiTheme="minorHAnsi" w:hAnsiTheme="minorHAnsi"/>
        </w:rPr>
        <w:t>ises</w:t>
      </w:r>
      <w:r w:rsidR="00B52D47">
        <w:rPr>
          <w:rFonts w:asciiTheme="minorHAnsi" w:hAnsiTheme="minorHAnsi"/>
        </w:rPr>
        <w:t xml:space="preserve"> the applicable requirements:</w:t>
      </w:r>
      <w:bookmarkEnd w:id="1931"/>
    </w:p>
    <w:p w14:paraId="6EA86693" w14:textId="77777777" w:rsidR="00472D43" w:rsidRPr="00472D43" w:rsidRDefault="00472D43" w:rsidP="00472D43">
      <w:pPr>
        <w:spacing w:line="276" w:lineRule="auto"/>
        <w:ind w:right="-1"/>
        <w:rPr>
          <w:rFonts w:asciiTheme="minorHAnsi" w:hAnsiTheme="minorHAnsi"/>
        </w:rPr>
      </w:pPr>
    </w:p>
    <w:p w14:paraId="6B21306D" w14:textId="21FE4EE9" w:rsidR="00195BAD" w:rsidRPr="00B52D47" w:rsidRDefault="00195BAD" w:rsidP="00EB7F1E">
      <w:pPr>
        <w:keepNext/>
        <w:spacing w:line="276" w:lineRule="auto"/>
        <w:ind w:left="567" w:right="-1"/>
        <w:rPr>
          <w:rFonts w:asciiTheme="minorHAnsi" w:hAnsiTheme="minorHAnsi"/>
          <w:b/>
          <w:i/>
          <w:sz w:val="20"/>
        </w:rPr>
      </w:pPr>
      <w:r w:rsidRPr="00B52D47">
        <w:rPr>
          <w:rFonts w:asciiTheme="minorHAnsi" w:hAnsiTheme="minorHAnsi"/>
          <w:b/>
          <w:i/>
          <w:sz w:val="20"/>
        </w:rPr>
        <w:t xml:space="preserve">Table </w:t>
      </w:r>
      <w:r w:rsidR="008222E1" w:rsidRPr="00B52D47">
        <w:rPr>
          <w:rFonts w:asciiTheme="minorHAnsi" w:hAnsiTheme="minorHAnsi"/>
          <w:b/>
          <w:i/>
          <w:sz w:val="20"/>
        </w:rPr>
        <w:t>3</w:t>
      </w:r>
      <w:r w:rsidRPr="00B52D47">
        <w:rPr>
          <w:rFonts w:asciiTheme="minorHAnsi" w:hAnsiTheme="minorHAnsi"/>
          <w:b/>
          <w:i/>
          <w:sz w:val="20"/>
        </w:rPr>
        <w:t xml:space="preserve">: Fixing period to be served by federal offender who is presently serving or subject to a federal sentence of imprisonment </w:t>
      </w:r>
      <w:r w:rsidR="008222E1" w:rsidRPr="00B52D47">
        <w:rPr>
          <w:rFonts w:asciiTheme="minorHAnsi" w:hAnsiTheme="minorHAnsi"/>
          <w:b/>
          <w:i/>
          <w:sz w:val="20"/>
        </w:rPr>
        <w:t>and</w:t>
      </w:r>
      <w:r w:rsidRPr="00B52D47">
        <w:rPr>
          <w:rFonts w:asciiTheme="minorHAnsi" w:hAnsiTheme="minorHAnsi"/>
          <w:b/>
          <w:i/>
          <w:sz w:val="20"/>
        </w:rPr>
        <w:t xml:space="preserve"> is subject to an existing RRO or federal NPP</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4536"/>
        <w:gridCol w:w="1559"/>
      </w:tblGrid>
      <w:tr w:rsidR="00195BAD" w:rsidRPr="004F2343" w14:paraId="562181C7" w14:textId="77777777" w:rsidTr="00EB7F1E">
        <w:trPr>
          <w:cantSplit/>
          <w:trHeight w:val="510"/>
          <w:tblHeader/>
        </w:trPr>
        <w:tc>
          <w:tcPr>
            <w:tcW w:w="3118" w:type="dxa"/>
            <w:shd w:val="clear" w:color="auto" w:fill="D9D9D9" w:themeFill="background1" w:themeFillShade="D9"/>
            <w:vAlign w:val="center"/>
          </w:tcPr>
          <w:p w14:paraId="734BBE01" w14:textId="5BF0792B" w:rsidR="00195BAD" w:rsidRPr="004F2343" w:rsidRDefault="00392899" w:rsidP="00472D43">
            <w:pPr>
              <w:keepNext/>
              <w:tabs>
                <w:tab w:val="left" w:pos="1303"/>
                <w:tab w:val="left" w:pos="4395"/>
                <w:tab w:val="left" w:pos="8050"/>
              </w:tabs>
              <w:spacing w:line="276" w:lineRule="auto"/>
              <w:ind w:left="153"/>
              <w:jc w:val="center"/>
              <w:rPr>
                <w:rFonts w:ascii="Calibri" w:hAnsi="Calibri"/>
                <w:b/>
                <w:i/>
                <w:sz w:val="20"/>
              </w:rPr>
            </w:pPr>
            <w:r w:rsidRPr="004F2343">
              <w:rPr>
                <w:rFonts w:ascii="Calibri" w:hAnsi="Calibri"/>
                <w:b/>
                <w:i/>
                <w:sz w:val="20"/>
              </w:rPr>
              <w:t>Circumstance</w:t>
            </w:r>
          </w:p>
        </w:tc>
        <w:tc>
          <w:tcPr>
            <w:tcW w:w="4536" w:type="dxa"/>
            <w:shd w:val="clear" w:color="auto" w:fill="D9D9D9" w:themeFill="background1" w:themeFillShade="D9"/>
            <w:vAlign w:val="center"/>
          </w:tcPr>
          <w:p w14:paraId="15B60F27" w14:textId="493986D7" w:rsidR="00195BAD" w:rsidRPr="004F2343" w:rsidRDefault="00392899" w:rsidP="00472D43">
            <w:pPr>
              <w:keepNext/>
              <w:tabs>
                <w:tab w:val="left" w:pos="426"/>
                <w:tab w:val="left" w:pos="709"/>
                <w:tab w:val="left" w:pos="1303"/>
                <w:tab w:val="left" w:pos="1418"/>
                <w:tab w:val="left" w:pos="4705"/>
                <w:tab w:val="left" w:pos="7797"/>
                <w:tab w:val="left" w:pos="8050"/>
              </w:tabs>
              <w:spacing w:line="276" w:lineRule="auto"/>
              <w:ind w:left="153"/>
              <w:jc w:val="center"/>
              <w:rPr>
                <w:rFonts w:ascii="Calibri" w:hAnsi="Calibri"/>
                <w:b/>
                <w:i/>
                <w:sz w:val="20"/>
              </w:rPr>
            </w:pPr>
            <w:r w:rsidRPr="004F2343">
              <w:rPr>
                <w:rFonts w:ascii="Calibri" w:hAnsi="Calibri"/>
                <w:b/>
                <w:i/>
                <w:sz w:val="20"/>
              </w:rPr>
              <w:t>Options</w:t>
            </w:r>
          </w:p>
        </w:tc>
        <w:tc>
          <w:tcPr>
            <w:tcW w:w="1559" w:type="dxa"/>
            <w:shd w:val="clear" w:color="auto" w:fill="D9D9D9" w:themeFill="background1" w:themeFillShade="D9"/>
            <w:vAlign w:val="center"/>
          </w:tcPr>
          <w:p w14:paraId="046FF548" w14:textId="2BCC696E" w:rsidR="00195BAD" w:rsidRPr="004F2343" w:rsidRDefault="00885EFD" w:rsidP="00472D43">
            <w:pPr>
              <w:keepNext/>
              <w:tabs>
                <w:tab w:val="left" w:pos="1418"/>
                <w:tab w:val="left" w:pos="4705"/>
                <w:tab w:val="left" w:pos="7797"/>
                <w:tab w:val="left" w:pos="8050"/>
              </w:tabs>
              <w:spacing w:line="276" w:lineRule="auto"/>
              <w:jc w:val="center"/>
              <w:rPr>
                <w:rFonts w:ascii="Calibri" w:hAnsi="Calibri"/>
                <w:b/>
                <w:i/>
                <w:sz w:val="20"/>
              </w:rPr>
            </w:pPr>
            <w:r w:rsidRPr="004F2343">
              <w:rPr>
                <w:rFonts w:ascii="Calibri" w:hAnsi="Calibri"/>
                <w:b/>
                <w:i/>
                <w:sz w:val="20"/>
              </w:rPr>
              <w:t>Crimes Act 1914</w:t>
            </w:r>
            <w:r w:rsidR="00195BAD" w:rsidRPr="004F2343">
              <w:rPr>
                <w:rFonts w:ascii="Calibri" w:hAnsi="Calibri"/>
                <w:b/>
                <w:i/>
                <w:sz w:val="20"/>
              </w:rPr>
              <w:t xml:space="preserve"> </w:t>
            </w:r>
            <w:r w:rsidR="00195BAD" w:rsidRPr="004F2343">
              <w:rPr>
                <w:rFonts w:ascii="Calibri" w:hAnsi="Calibri"/>
                <w:b/>
                <w:sz w:val="20"/>
              </w:rPr>
              <w:t>(Cth) section</w:t>
            </w:r>
          </w:p>
        </w:tc>
      </w:tr>
      <w:tr w:rsidR="00195BAD" w:rsidRPr="004F2343" w14:paraId="0CC57A8F" w14:textId="77777777" w:rsidTr="00EB7F1E">
        <w:trPr>
          <w:trHeight w:val="1239"/>
        </w:trPr>
        <w:tc>
          <w:tcPr>
            <w:tcW w:w="3118" w:type="dxa"/>
            <w:tcBorders>
              <w:bottom w:val="single" w:sz="4" w:space="0" w:color="auto"/>
            </w:tcBorders>
            <w:vAlign w:val="center"/>
          </w:tcPr>
          <w:p w14:paraId="5E7C9917" w14:textId="645E0A5B" w:rsidR="00195BAD" w:rsidRPr="004F2343" w:rsidRDefault="00392899" w:rsidP="00392899">
            <w:pPr>
              <w:tabs>
                <w:tab w:val="left" w:pos="1303"/>
                <w:tab w:val="left" w:pos="4395"/>
                <w:tab w:val="left" w:pos="8050"/>
              </w:tabs>
              <w:spacing w:line="276" w:lineRule="auto"/>
              <w:ind w:left="153"/>
              <w:rPr>
                <w:rFonts w:ascii="Calibri" w:hAnsi="Calibri"/>
                <w:b/>
                <w:sz w:val="20"/>
                <w:u w:val="single"/>
              </w:rPr>
            </w:pPr>
            <w:r w:rsidRPr="004F2343">
              <w:rPr>
                <w:rFonts w:ascii="Calibri" w:hAnsi="Calibri"/>
                <w:b/>
                <w:sz w:val="20"/>
              </w:rPr>
              <w:t xml:space="preserve">Existing </w:t>
            </w:r>
            <w:r w:rsidR="00E86533" w:rsidRPr="004F2343">
              <w:rPr>
                <w:rFonts w:ascii="Calibri" w:hAnsi="Calibri"/>
                <w:b/>
                <w:sz w:val="20"/>
              </w:rPr>
              <w:t>RRO – where aggregate of unserved portion of existing RRO and further sentence(s) is 3 years or less</w:t>
            </w:r>
          </w:p>
        </w:tc>
        <w:tc>
          <w:tcPr>
            <w:tcW w:w="4536" w:type="dxa"/>
            <w:tcBorders>
              <w:bottom w:val="single" w:sz="4" w:space="0" w:color="auto"/>
            </w:tcBorders>
            <w:vAlign w:val="center"/>
          </w:tcPr>
          <w:p w14:paraId="1A143332" w14:textId="3B8F6FFC" w:rsidR="00195BAD" w:rsidRPr="004F2343" w:rsidRDefault="00392899"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Make order confirming existing RRO</w:t>
            </w:r>
          </w:p>
          <w:p w14:paraId="08C7E334" w14:textId="1B1E34B8" w:rsidR="00392899" w:rsidRPr="004F2343" w:rsidRDefault="00392899"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 xml:space="preserve">Make a new RRO </w:t>
            </w:r>
            <w:r w:rsidR="00B52D47" w:rsidRPr="004F2343">
              <w:rPr>
                <w:rFonts w:ascii="Calibri" w:hAnsi="Calibri"/>
                <w:sz w:val="20"/>
              </w:rPr>
              <w:t>in respect of all federal sentences the offender is to serve or complete</w:t>
            </w:r>
          </w:p>
          <w:p w14:paraId="5743349A" w14:textId="33C9A665" w:rsidR="00392899" w:rsidRPr="004F2343" w:rsidRDefault="00CC586B"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Cancel existing RRO and decline to make new RRO</w:t>
            </w:r>
          </w:p>
        </w:tc>
        <w:tc>
          <w:tcPr>
            <w:tcW w:w="1559" w:type="dxa"/>
            <w:vAlign w:val="center"/>
          </w:tcPr>
          <w:p w14:paraId="5AEE8DDF" w14:textId="770330B4" w:rsidR="00195BAD" w:rsidRPr="004F2343" w:rsidRDefault="00CC586B" w:rsidP="00392899">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19AE</w:t>
            </w:r>
          </w:p>
        </w:tc>
      </w:tr>
      <w:tr w:rsidR="00195BAD" w:rsidRPr="004F2343" w14:paraId="6BCE2F33" w14:textId="77777777" w:rsidTr="00EB7F1E">
        <w:trPr>
          <w:trHeight w:val="850"/>
        </w:trPr>
        <w:tc>
          <w:tcPr>
            <w:tcW w:w="3118" w:type="dxa"/>
            <w:vAlign w:val="center"/>
          </w:tcPr>
          <w:p w14:paraId="0EFB6B90" w14:textId="3F6E425E" w:rsidR="00195BAD" w:rsidRPr="004F2343" w:rsidRDefault="00392899" w:rsidP="00392899">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Existing RRO – where aggregate of unserved portion of existing RRO and further sentence(s) is greater than 3 years</w:t>
            </w:r>
          </w:p>
        </w:tc>
        <w:tc>
          <w:tcPr>
            <w:tcW w:w="4536" w:type="dxa"/>
            <w:vAlign w:val="center"/>
          </w:tcPr>
          <w:p w14:paraId="5995DD6E" w14:textId="77777777" w:rsidR="00CC586B" w:rsidRPr="004F2343" w:rsidRDefault="00CC586B"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Make order confirming existing RRO</w:t>
            </w:r>
          </w:p>
          <w:p w14:paraId="655CBB32" w14:textId="6A6C430D" w:rsidR="00CC586B" w:rsidRPr="004F2343" w:rsidRDefault="00CC586B"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Make a new RRO in respect of all federal sentences</w:t>
            </w:r>
            <w:r w:rsidR="00B52D47" w:rsidRPr="004F2343">
              <w:rPr>
                <w:rFonts w:ascii="Calibri" w:hAnsi="Calibri"/>
                <w:sz w:val="20"/>
              </w:rPr>
              <w:t xml:space="preserve"> the offender is to serve or complete</w:t>
            </w:r>
          </w:p>
          <w:p w14:paraId="54FA078B" w14:textId="75DE8122" w:rsidR="00CC586B" w:rsidRPr="004F2343" w:rsidRDefault="00CC586B"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 xml:space="preserve">Fix a single NPP in respect of </w:t>
            </w:r>
            <w:r w:rsidR="00B52D47" w:rsidRPr="004F2343">
              <w:rPr>
                <w:rFonts w:ascii="Calibri" w:hAnsi="Calibri"/>
                <w:sz w:val="20"/>
              </w:rPr>
              <w:t>in respect of all federal sentences the offender is to serve or complete</w:t>
            </w:r>
          </w:p>
          <w:p w14:paraId="77CDBF6F" w14:textId="569CD554" w:rsidR="00195BAD" w:rsidRPr="004F2343" w:rsidRDefault="00CC586B"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Cancel existing RRO and decline to make new RRO</w:t>
            </w:r>
          </w:p>
        </w:tc>
        <w:tc>
          <w:tcPr>
            <w:tcW w:w="1559" w:type="dxa"/>
            <w:vAlign w:val="center"/>
          </w:tcPr>
          <w:p w14:paraId="484DCD6A" w14:textId="114A79FB" w:rsidR="00195BAD" w:rsidRPr="004F2343" w:rsidRDefault="00CC586B" w:rsidP="00392899">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19AE</w:t>
            </w:r>
          </w:p>
        </w:tc>
      </w:tr>
      <w:tr w:rsidR="00195BAD" w:rsidRPr="004F2343" w14:paraId="5172D50D" w14:textId="77777777" w:rsidTr="00EB7F1E">
        <w:trPr>
          <w:trHeight w:val="850"/>
        </w:trPr>
        <w:tc>
          <w:tcPr>
            <w:tcW w:w="3118" w:type="dxa"/>
            <w:vAlign w:val="center"/>
          </w:tcPr>
          <w:p w14:paraId="5FF5B39B" w14:textId="0986CF50" w:rsidR="00195BAD" w:rsidRPr="004F2343" w:rsidRDefault="00392899" w:rsidP="00392899">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Existing NPP</w:t>
            </w:r>
          </w:p>
        </w:tc>
        <w:tc>
          <w:tcPr>
            <w:tcW w:w="4536" w:type="dxa"/>
            <w:vAlign w:val="center"/>
          </w:tcPr>
          <w:p w14:paraId="4D8FA298" w14:textId="6A0ABF46" w:rsidR="00B52D47" w:rsidRPr="004F2343" w:rsidRDefault="00B52D47"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Make order confirming existing NPP</w:t>
            </w:r>
          </w:p>
          <w:p w14:paraId="109CD0BC" w14:textId="24D373CD" w:rsidR="00B52D47" w:rsidRPr="004F2343" w:rsidRDefault="00B52D47"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Fix a single NPP in respect of all federal sentences the offender is to serve or complete</w:t>
            </w:r>
          </w:p>
          <w:p w14:paraId="20CB1DB7" w14:textId="7716AABA" w:rsidR="00195BAD" w:rsidRPr="004F2343" w:rsidRDefault="00B52D47" w:rsidP="0047266C">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Cancel existing NPP and decline to make new NPP</w:t>
            </w:r>
          </w:p>
        </w:tc>
        <w:tc>
          <w:tcPr>
            <w:tcW w:w="1559" w:type="dxa"/>
            <w:vAlign w:val="center"/>
          </w:tcPr>
          <w:p w14:paraId="453305D0" w14:textId="5E4DF9BE" w:rsidR="00195BAD" w:rsidRPr="004F2343" w:rsidRDefault="00195BAD" w:rsidP="00CC586B">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w:t>
            </w:r>
            <w:r w:rsidR="00CC586B" w:rsidRPr="004F2343">
              <w:rPr>
                <w:rFonts w:ascii="Calibri" w:hAnsi="Calibri"/>
                <w:sz w:val="20"/>
              </w:rPr>
              <w:t>D</w:t>
            </w:r>
          </w:p>
        </w:tc>
      </w:tr>
    </w:tbl>
    <w:p w14:paraId="3D64416B" w14:textId="77777777" w:rsidR="00195BAD" w:rsidRPr="00B52D47" w:rsidRDefault="00195BAD" w:rsidP="00B52D47">
      <w:pPr>
        <w:rPr>
          <w:rFonts w:asciiTheme="minorHAnsi" w:hAnsiTheme="minorHAnsi"/>
        </w:rPr>
      </w:pPr>
    </w:p>
    <w:p w14:paraId="44190A57" w14:textId="68CAE6AD" w:rsidR="00B34CF5" w:rsidRDefault="00B34CF5"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For more detail on these requirements, see “</w:t>
      </w:r>
      <w:r>
        <w:rPr>
          <w:rFonts w:asciiTheme="minorHAnsi" w:hAnsiTheme="minorHAnsi"/>
        </w:rPr>
        <w:fldChar w:fldCharType="begin"/>
      </w:r>
      <w:r>
        <w:rPr>
          <w:rFonts w:asciiTheme="minorHAnsi" w:hAnsiTheme="minorHAnsi"/>
        </w:rPr>
        <w:instrText xml:space="preserve"> REF _Ref507009199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5.10.6</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_Ref507009205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Where the offender is already undergoing a federal term of imprisonment</w:t>
      </w:r>
      <w:r>
        <w:rPr>
          <w:rFonts w:asciiTheme="minorHAnsi" w:hAnsiTheme="minorHAnsi"/>
        </w:rPr>
        <w:fldChar w:fldCharType="end"/>
      </w:r>
      <w:r>
        <w:rPr>
          <w:rFonts w:asciiTheme="minorHAnsi" w:hAnsiTheme="minorHAnsi"/>
        </w:rPr>
        <w:t>”.</w:t>
      </w:r>
    </w:p>
    <w:p w14:paraId="6B40D336" w14:textId="77777777" w:rsidR="00B34CF5" w:rsidRPr="00B34CF5" w:rsidRDefault="00B34CF5" w:rsidP="00FB4D12">
      <w:pPr>
        <w:pStyle w:val="ListParagraph"/>
        <w:rPr>
          <w:rFonts w:asciiTheme="minorHAnsi" w:hAnsiTheme="minorHAnsi"/>
        </w:rPr>
      </w:pPr>
    </w:p>
    <w:p w14:paraId="03F547BA" w14:textId="4684C713" w:rsidR="00472D43" w:rsidRPr="001C34F5" w:rsidRDefault="00472D4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Specific provision is also made in s 19AR of the </w:t>
      </w:r>
      <w:r w:rsidRPr="009B5186">
        <w:rPr>
          <w:rFonts w:asciiTheme="minorHAnsi" w:hAnsiTheme="minorHAnsi"/>
          <w:i/>
        </w:rPr>
        <w:t>Crimes Act 1914</w:t>
      </w:r>
      <w:r>
        <w:rPr>
          <w:rFonts w:asciiTheme="minorHAnsi" w:hAnsiTheme="minorHAnsi"/>
        </w:rPr>
        <w:t xml:space="preserve"> (Cth) for </w:t>
      </w:r>
      <w:r w:rsidR="001C34F5">
        <w:rPr>
          <w:rFonts w:asciiTheme="minorHAnsi" w:hAnsiTheme="minorHAnsi"/>
        </w:rPr>
        <w:t xml:space="preserve">the fixing of periods, or minimum periods, to be served by </w:t>
      </w:r>
      <w:r w:rsidR="001C34F5" w:rsidRPr="001C34F5">
        <w:rPr>
          <w:rFonts w:asciiTheme="minorHAnsi" w:hAnsiTheme="minorHAnsi"/>
          <w:b/>
        </w:rPr>
        <w:t>an offender who commits a</w:t>
      </w:r>
      <w:r w:rsidR="009B5186">
        <w:rPr>
          <w:rFonts w:asciiTheme="minorHAnsi" w:hAnsiTheme="minorHAnsi"/>
          <w:b/>
        </w:rPr>
        <w:t>n</w:t>
      </w:r>
      <w:r w:rsidR="001C34F5" w:rsidRPr="001C34F5">
        <w:rPr>
          <w:rFonts w:asciiTheme="minorHAnsi" w:hAnsiTheme="minorHAnsi"/>
          <w:b/>
        </w:rPr>
        <w:t xml:space="preserve"> offence </w:t>
      </w:r>
      <w:r w:rsidR="009B5186">
        <w:rPr>
          <w:rFonts w:asciiTheme="minorHAnsi" w:hAnsiTheme="minorHAnsi"/>
          <w:b/>
        </w:rPr>
        <w:t xml:space="preserve">(including a State or Territory offence) </w:t>
      </w:r>
      <w:r w:rsidR="001C34F5" w:rsidRPr="001C34F5">
        <w:rPr>
          <w:rFonts w:asciiTheme="minorHAnsi" w:hAnsiTheme="minorHAnsi"/>
          <w:b/>
        </w:rPr>
        <w:t>while on federal parole</w:t>
      </w:r>
      <w:r w:rsidR="001C34F5">
        <w:rPr>
          <w:rFonts w:asciiTheme="minorHAnsi" w:hAnsiTheme="minorHAnsi"/>
          <w:b/>
        </w:rPr>
        <w:t xml:space="preserve"> or </w:t>
      </w:r>
      <w:r w:rsidR="009B5186">
        <w:rPr>
          <w:rFonts w:asciiTheme="minorHAnsi" w:hAnsiTheme="minorHAnsi"/>
          <w:b/>
        </w:rPr>
        <w:t xml:space="preserve">while released on </w:t>
      </w:r>
      <w:r w:rsidR="001C34F5">
        <w:rPr>
          <w:rFonts w:asciiTheme="minorHAnsi" w:hAnsiTheme="minorHAnsi"/>
          <w:b/>
        </w:rPr>
        <w:t>licence</w:t>
      </w:r>
      <w:r w:rsidR="009B5186">
        <w:rPr>
          <w:rFonts w:asciiTheme="minorHAnsi" w:hAnsiTheme="minorHAnsi"/>
          <w:b/>
        </w:rPr>
        <w:t xml:space="preserve"> </w:t>
      </w:r>
      <w:r w:rsidR="009B5186" w:rsidRPr="009B5186">
        <w:rPr>
          <w:rFonts w:asciiTheme="minorHAnsi" w:hAnsiTheme="minorHAnsi"/>
        </w:rPr>
        <w:t xml:space="preserve">in relation to </w:t>
      </w:r>
      <w:r w:rsidR="005D12C0">
        <w:rPr>
          <w:rFonts w:asciiTheme="minorHAnsi" w:hAnsiTheme="minorHAnsi"/>
        </w:rPr>
        <w:t xml:space="preserve">a sentence for </w:t>
      </w:r>
      <w:r w:rsidR="009B5186" w:rsidRPr="009B5186">
        <w:rPr>
          <w:rFonts w:asciiTheme="minorHAnsi" w:hAnsiTheme="minorHAnsi"/>
        </w:rPr>
        <w:t>a federal offence</w:t>
      </w:r>
      <w:r w:rsidR="001C34F5" w:rsidRPr="009B5186">
        <w:rPr>
          <w:rFonts w:asciiTheme="minorHAnsi" w:hAnsiTheme="minorHAnsi"/>
        </w:rPr>
        <w:t>.</w:t>
      </w:r>
      <w:r w:rsidR="001C34F5" w:rsidRPr="001C34F5">
        <w:rPr>
          <w:rFonts w:asciiTheme="minorHAnsi" w:hAnsiTheme="minorHAnsi"/>
        </w:rPr>
        <w:t xml:space="preserve">  </w:t>
      </w:r>
      <w:r w:rsidR="005D12C0" w:rsidRPr="005D12C0">
        <w:rPr>
          <w:rFonts w:asciiTheme="minorHAnsi" w:hAnsiTheme="minorHAnsi"/>
        </w:rPr>
        <w:t xml:space="preserve">(The </w:t>
      </w:r>
      <w:r w:rsidR="005D12C0">
        <w:rPr>
          <w:rFonts w:asciiTheme="minorHAnsi" w:hAnsiTheme="minorHAnsi"/>
        </w:rPr>
        <w:t xml:space="preserve">former will be referred to as “the </w:t>
      </w:r>
      <w:r w:rsidR="005D12C0" w:rsidRPr="005D12C0">
        <w:rPr>
          <w:rFonts w:asciiTheme="minorHAnsi" w:hAnsiTheme="minorHAnsi"/>
        </w:rPr>
        <w:t>breaching offence</w:t>
      </w:r>
      <w:r w:rsidR="005D12C0">
        <w:rPr>
          <w:rFonts w:asciiTheme="minorHAnsi" w:hAnsiTheme="minorHAnsi"/>
        </w:rPr>
        <w:t>” and the latter “the outstanding sentence”.</w:t>
      </w:r>
      <w:r w:rsidR="005D12C0" w:rsidRPr="005D12C0">
        <w:rPr>
          <w:rFonts w:asciiTheme="minorHAnsi" w:hAnsiTheme="minorHAnsi"/>
        </w:rPr>
        <w:t>)</w:t>
      </w:r>
      <w:r w:rsidR="005D12C0">
        <w:rPr>
          <w:rFonts w:asciiTheme="minorHAnsi" w:hAnsiTheme="minorHAnsi"/>
        </w:rPr>
        <w:t xml:space="preserve"> </w:t>
      </w:r>
      <w:r w:rsidR="005D12C0" w:rsidRPr="005D12C0">
        <w:rPr>
          <w:rFonts w:asciiTheme="minorHAnsi" w:hAnsiTheme="minorHAnsi"/>
        </w:rPr>
        <w:t xml:space="preserve"> </w:t>
      </w:r>
      <w:r w:rsidR="009B5186">
        <w:rPr>
          <w:rFonts w:asciiTheme="minorHAnsi" w:hAnsiTheme="minorHAnsi"/>
        </w:rPr>
        <w:t xml:space="preserve">The provisions are intended to ensure that orders are made in relation to the </w:t>
      </w:r>
      <w:r w:rsidR="00B77DFC">
        <w:rPr>
          <w:rFonts w:asciiTheme="minorHAnsi" w:hAnsiTheme="minorHAnsi"/>
        </w:rPr>
        <w:t>outstanding</w:t>
      </w:r>
      <w:r w:rsidR="009B5186">
        <w:rPr>
          <w:rFonts w:asciiTheme="minorHAnsi" w:hAnsiTheme="minorHAnsi"/>
        </w:rPr>
        <w:t xml:space="preserve"> sentence</w:t>
      </w:r>
      <w:r w:rsidR="005D12C0">
        <w:rPr>
          <w:rFonts w:asciiTheme="minorHAnsi" w:hAnsiTheme="minorHAnsi"/>
        </w:rPr>
        <w:t xml:space="preserve">, if the breaching offence has the effect of requiring the unserved portion of the </w:t>
      </w:r>
      <w:r w:rsidR="00C56E77">
        <w:rPr>
          <w:rFonts w:asciiTheme="minorHAnsi" w:hAnsiTheme="minorHAnsi"/>
        </w:rPr>
        <w:t>outstanding</w:t>
      </w:r>
      <w:r w:rsidR="005D12C0">
        <w:rPr>
          <w:rFonts w:asciiTheme="minorHAnsi" w:hAnsiTheme="minorHAnsi"/>
        </w:rPr>
        <w:t xml:space="preserve"> sentence to be served</w:t>
      </w:r>
      <w:r w:rsidR="009B5186">
        <w:rPr>
          <w:rFonts w:asciiTheme="minorHAnsi" w:hAnsiTheme="minorHAnsi"/>
        </w:rPr>
        <w:t xml:space="preserve">.  </w:t>
      </w:r>
      <w:r w:rsidR="00B77DFC">
        <w:rPr>
          <w:rFonts w:asciiTheme="minorHAnsi" w:hAnsiTheme="minorHAnsi"/>
        </w:rPr>
        <w:t xml:space="preserve">That will arise </w:t>
      </w:r>
      <w:r w:rsidR="00CC68BE">
        <w:rPr>
          <w:rFonts w:asciiTheme="minorHAnsi" w:hAnsiTheme="minorHAnsi"/>
        </w:rPr>
        <w:t>whenever</w:t>
      </w:r>
      <w:r w:rsidR="00B77DFC">
        <w:rPr>
          <w:rFonts w:asciiTheme="minorHAnsi" w:hAnsiTheme="minorHAnsi"/>
        </w:rPr>
        <w:t xml:space="preserve"> the offender is sentenced to imprisonment</w:t>
      </w:r>
      <w:r w:rsidR="00651187">
        <w:rPr>
          <w:rFonts w:asciiTheme="minorHAnsi" w:hAnsiTheme="minorHAnsi"/>
        </w:rPr>
        <w:t>, or a total period of imprisonment,</w:t>
      </w:r>
      <w:r w:rsidR="00B77DFC">
        <w:rPr>
          <w:rFonts w:asciiTheme="minorHAnsi" w:hAnsiTheme="minorHAnsi"/>
        </w:rPr>
        <w:t xml:space="preserve"> for more than 3 months for the breaching offence</w:t>
      </w:r>
      <w:r w:rsidR="00651187">
        <w:rPr>
          <w:rFonts w:asciiTheme="minorHAnsi" w:hAnsiTheme="minorHAnsi"/>
        </w:rPr>
        <w:t>(s) (</w:t>
      </w:r>
      <w:r w:rsidR="00651187" w:rsidRPr="00651187">
        <w:rPr>
          <w:rFonts w:asciiTheme="minorHAnsi" w:hAnsiTheme="minorHAnsi"/>
          <w:i/>
        </w:rPr>
        <w:t>Crimes Act 1914</w:t>
      </w:r>
      <w:r w:rsidR="00651187">
        <w:rPr>
          <w:rFonts w:asciiTheme="minorHAnsi" w:hAnsiTheme="minorHAnsi"/>
        </w:rPr>
        <w:t>, s 19AQ), even if the sentence is imposed after the completion of the sentence for the original federal offence(s)</w:t>
      </w:r>
      <w:r w:rsidR="00B77DFC">
        <w:rPr>
          <w:rFonts w:asciiTheme="minorHAnsi" w:hAnsiTheme="minorHAnsi"/>
        </w:rPr>
        <w:t xml:space="preserve">.  </w:t>
      </w:r>
      <w:r w:rsidR="00CC68BE">
        <w:rPr>
          <w:rFonts w:asciiTheme="minorHAnsi" w:hAnsiTheme="minorHAnsi"/>
        </w:rPr>
        <w:t xml:space="preserve">The requirements are </w:t>
      </w:r>
      <w:r w:rsidR="00F47D0C">
        <w:rPr>
          <w:rFonts w:asciiTheme="minorHAnsi" w:hAnsiTheme="minorHAnsi"/>
        </w:rPr>
        <w:t>summar</w:t>
      </w:r>
      <w:r w:rsidR="00B86888">
        <w:rPr>
          <w:rFonts w:asciiTheme="minorHAnsi" w:hAnsiTheme="minorHAnsi"/>
        </w:rPr>
        <w:t>ised</w:t>
      </w:r>
      <w:r w:rsidR="00CC68BE">
        <w:rPr>
          <w:rFonts w:asciiTheme="minorHAnsi" w:hAnsiTheme="minorHAnsi"/>
        </w:rPr>
        <w:t xml:space="preserve"> in Table 4:</w:t>
      </w:r>
      <w:r w:rsidR="001C34F5">
        <w:rPr>
          <w:rFonts w:asciiTheme="minorHAnsi" w:hAnsiTheme="minorHAnsi"/>
        </w:rPr>
        <w:t xml:space="preserve"> </w:t>
      </w:r>
    </w:p>
    <w:p w14:paraId="4671EA57" w14:textId="77777777" w:rsidR="00472D43" w:rsidRPr="00472D43" w:rsidRDefault="00472D43" w:rsidP="00472D43">
      <w:pPr>
        <w:pStyle w:val="ListParagraph"/>
        <w:rPr>
          <w:rFonts w:asciiTheme="minorHAnsi" w:hAnsiTheme="minorHAnsi"/>
        </w:rPr>
      </w:pPr>
    </w:p>
    <w:p w14:paraId="42F05746" w14:textId="3472D10C" w:rsidR="00651187" w:rsidRPr="00B52D47" w:rsidRDefault="00651187" w:rsidP="00EB7F1E">
      <w:pPr>
        <w:keepNext/>
        <w:spacing w:line="276" w:lineRule="auto"/>
        <w:ind w:left="567" w:right="-1"/>
        <w:rPr>
          <w:rFonts w:asciiTheme="minorHAnsi" w:hAnsiTheme="minorHAnsi"/>
          <w:b/>
          <w:i/>
          <w:sz w:val="20"/>
        </w:rPr>
      </w:pPr>
      <w:r w:rsidRPr="00B52D47">
        <w:rPr>
          <w:rFonts w:asciiTheme="minorHAnsi" w:hAnsiTheme="minorHAnsi"/>
          <w:b/>
          <w:i/>
          <w:sz w:val="20"/>
        </w:rPr>
        <w:t xml:space="preserve">Table </w:t>
      </w:r>
      <w:r>
        <w:rPr>
          <w:rFonts w:asciiTheme="minorHAnsi" w:hAnsiTheme="minorHAnsi"/>
          <w:b/>
          <w:i/>
          <w:sz w:val="20"/>
        </w:rPr>
        <w:t>4</w:t>
      </w:r>
      <w:r w:rsidRPr="00B52D47">
        <w:rPr>
          <w:rFonts w:asciiTheme="minorHAnsi" w:hAnsiTheme="minorHAnsi"/>
          <w:b/>
          <w:i/>
          <w:sz w:val="20"/>
        </w:rPr>
        <w:t xml:space="preserve">: </w:t>
      </w:r>
      <w:r>
        <w:rPr>
          <w:rFonts w:asciiTheme="minorHAnsi" w:hAnsiTheme="minorHAnsi"/>
          <w:b/>
          <w:i/>
          <w:sz w:val="20"/>
        </w:rPr>
        <w:t xml:space="preserve">Sentences or orders to be made when sentencing an offender for federal, State or Territory </w:t>
      </w:r>
      <w:r w:rsidR="00CC68BE">
        <w:rPr>
          <w:rFonts w:asciiTheme="minorHAnsi" w:hAnsiTheme="minorHAnsi"/>
          <w:b/>
          <w:i/>
          <w:sz w:val="20"/>
        </w:rPr>
        <w:t xml:space="preserve">offence </w:t>
      </w:r>
      <w:r>
        <w:rPr>
          <w:rFonts w:asciiTheme="minorHAnsi" w:hAnsiTheme="minorHAnsi"/>
          <w:b/>
          <w:i/>
          <w:sz w:val="20"/>
        </w:rPr>
        <w:t xml:space="preserve">committed while the offender was on federal parole </w:t>
      </w:r>
      <w:r w:rsidR="00CC68BE">
        <w:rPr>
          <w:rFonts w:asciiTheme="minorHAnsi" w:hAnsiTheme="minorHAnsi"/>
          <w:b/>
          <w:i/>
          <w:sz w:val="20"/>
        </w:rPr>
        <w:t>or while released on federal licence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4536"/>
        <w:gridCol w:w="1559"/>
      </w:tblGrid>
      <w:tr w:rsidR="00651187" w:rsidRPr="004F2343" w14:paraId="49624B85" w14:textId="77777777" w:rsidTr="00EB7F1E">
        <w:trPr>
          <w:cantSplit/>
          <w:trHeight w:val="510"/>
          <w:tblHeader/>
        </w:trPr>
        <w:tc>
          <w:tcPr>
            <w:tcW w:w="3118" w:type="dxa"/>
            <w:shd w:val="clear" w:color="auto" w:fill="D9D9D9" w:themeFill="background1" w:themeFillShade="D9"/>
            <w:vAlign w:val="center"/>
          </w:tcPr>
          <w:p w14:paraId="1950F6EB" w14:textId="3E612F80" w:rsidR="00651187" w:rsidRPr="004F2343" w:rsidRDefault="005B0F23" w:rsidP="00651187">
            <w:pPr>
              <w:keepNext/>
              <w:tabs>
                <w:tab w:val="left" w:pos="1303"/>
                <w:tab w:val="left" w:pos="4395"/>
                <w:tab w:val="left" w:pos="8050"/>
              </w:tabs>
              <w:spacing w:line="276" w:lineRule="auto"/>
              <w:ind w:left="153"/>
              <w:jc w:val="center"/>
              <w:rPr>
                <w:rFonts w:ascii="Calibri" w:hAnsi="Calibri"/>
                <w:b/>
                <w:i/>
                <w:sz w:val="20"/>
              </w:rPr>
            </w:pPr>
            <w:r w:rsidRPr="004F2343">
              <w:rPr>
                <w:rFonts w:ascii="Calibri" w:hAnsi="Calibri"/>
                <w:b/>
                <w:i/>
                <w:sz w:val="20"/>
              </w:rPr>
              <w:t>Breaching offence</w:t>
            </w:r>
          </w:p>
        </w:tc>
        <w:tc>
          <w:tcPr>
            <w:tcW w:w="4536" w:type="dxa"/>
            <w:shd w:val="clear" w:color="auto" w:fill="D9D9D9" w:themeFill="background1" w:themeFillShade="D9"/>
            <w:vAlign w:val="center"/>
          </w:tcPr>
          <w:p w14:paraId="521D4AB8" w14:textId="585162B5" w:rsidR="00651187" w:rsidRPr="004F2343" w:rsidRDefault="006D5309" w:rsidP="00651187">
            <w:pPr>
              <w:keepNext/>
              <w:tabs>
                <w:tab w:val="left" w:pos="426"/>
                <w:tab w:val="left" w:pos="709"/>
                <w:tab w:val="left" w:pos="1303"/>
                <w:tab w:val="left" w:pos="1418"/>
                <w:tab w:val="left" w:pos="4705"/>
                <w:tab w:val="left" w:pos="7797"/>
                <w:tab w:val="left" w:pos="8050"/>
              </w:tabs>
              <w:spacing w:line="276" w:lineRule="auto"/>
              <w:ind w:left="153"/>
              <w:jc w:val="center"/>
              <w:rPr>
                <w:rFonts w:ascii="Calibri" w:hAnsi="Calibri"/>
                <w:b/>
                <w:i/>
                <w:sz w:val="20"/>
              </w:rPr>
            </w:pPr>
            <w:r w:rsidRPr="004F2343">
              <w:rPr>
                <w:rFonts w:ascii="Calibri" w:hAnsi="Calibri"/>
                <w:b/>
                <w:i/>
                <w:sz w:val="20"/>
              </w:rPr>
              <w:t>Requirements</w:t>
            </w:r>
          </w:p>
        </w:tc>
        <w:tc>
          <w:tcPr>
            <w:tcW w:w="1559" w:type="dxa"/>
            <w:shd w:val="clear" w:color="auto" w:fill="D9D9D9" w:themeFill="background1" w:themeFillShade="D9"/>
            <w:vAlign w:val="center"/>
          </w:tcPr>
          <w:p w14:paraId="48C85B45" w14:textId="77777777" w:rsidR="00651187" w:rsidRPr="004F2343" w:rsidRDefault="00651187" w:rsidP="00651187">
            <w:pPr>
              <w:keepNext/>
              <w:tabs>
                <w:tab w:val="left" w:pos="1418"/>
                <w:tab w:val="left" w:pos="4705"/>
                <w:tab w:val="left" w:pos="7797"/>
                <w:tab w:val="left" w:pos="8050"/>
              </w:tabs>
              <w:spacing w:line="276" w:lineRule="auto"/>
              <w:jc w:val="center"/>
              <w:rPr>
                <w:rFonts w:ascii="Calibri" w:hAnsi="Calibri"/>
                <w:b/>
                <w:i/>
                <w:sz w:val="20"/>
              </w:rPr>
            </w:pPr>
            <w:r w:rsidRPr="004F2343">
              <w:rPr>
                <w:rFonts w:ascii="Calibri" w:hAnsi="Calibri"/>
                <w:b/>
                <w:i/>
                <w:sz w:val="20"/>
              </w:rPr>
              <w:t xml:space="preserve">Crimes Act 1914 </w:t>
            </w:r>
            <w:r w:rsidRPr="004F2343">
              <w:rPr>
                <w:rFonts w:ascii="Calibri" w:hAnsi="Calibri"/>
                <w:b/>
                <w:sz w:val="20"/>
              </w:rPr>
              <w:t>(Cth) section</w:t>
            </w:r>
          </w:p>
        </w:tc>
      </w:tr>
      <w:tr w:rsidR="00651187" w:rsidRPr="004F2343" w14:paraId="31B687BC" w14:textId="77777777" w:rsidTr="00EB7F1E">
        <w:trPr>
          <w:trHeight w:val="1239"/>
        </w:trPr>
        <w:tc>
          <w:tcPr>
            <w:tcW w:w="3118" w:type="dxa"/>
            <w:tcBorders>
              <w:bottom w:val="single" w:sz="4" w:space="0" w:color="auto"/>
            </w:tcBorders>
            <w:vAlign w:val="center"/>
          </w:tcPr>
          <w:p w14:paraId="5AF804E8" w14:textId="31AECEF2" w:rsidR="00651187" w:rsidRPr="004F2343" w:rsidRDefault="005B0F23" w:rsidP="00651187">
            <w:pPr>
              <w:tabs>
                <w:tab w:val="left" w:pos="1303"/>
                <w:tab w:val="left" w:pos="4395"/>
                <w:tab w:val="left" w:pos="8050"/>
              </w:tabs>
              <w:spacing w:line="276" w:lineRule="auto"/>
              <w:ind w:left="153"/>
              <w:rPr>
                <w:rFonts w:ascii="Calibri" w:hAnsi="Calibri"/>
                <w:b/>
                <w:sz w:val="20"/>
                <w:u w:val="single"/>
              </w:rPr>
            </w:pPr>
            <w:r w:rsidRPr="004F2343">
              <w:rPr>
                <w:rFonts w:ascii="Calibri" w:hAnsi="Calibri"/>
                <w:b/>
                <w:sz w:val="20"/>
              </w:rPr>
              <w:t>Federal offence</w:t>
            </w:r>
            <w:r w:rsidR="00133FED" w:rsidRPr="004F2343">
              <w:rPr>
                <w:rFonts w:ascii="Calibri" w:hAnsi="Calibri"/>
                <w:b/>
                <w:sz w:val="20"/>
              </w:rPr>
              <w:t>(s)</w:t>
            </w:r>
            <w:r w:rsidR="00044CC0" w:rsidRPr="004F2343">
              <w:rPr>
                <w:rFonts w:ascii="Calibri" w:hAnsi="Calibri"/>
                <w:b/>
                <w:sz w:val="20"/>
              </w:rPr>
              <w:t xml:space="preserve"> – sentence </w:t>
            </w:r>
            <w:r w:rsidR="006B31AA" w:rsidRPr="004F2343">
              <w:rPr>
                <w:rFonts w:ascii="Calibri" w:hAnsi="Calibri"/>
                <w:b/>
                <w:sz w:val="20"/>
              </w:rPr>
              <w:t xml:space="preserve">of life imprisonment, </w:t>
            </w:r>
            <w:r w:rsidR="00044CC0" w:rsidRPr="004F2343">
              <w:rPr>
                <w:rFonts w:ascii="Calibri" w:hAnsi="Calibri"/>
                <w:b/>
                <w:sz w:val="20"/>
              </w:rPr>
              <w:t xml:space="preserve">or </w:t>
            </w:r>
            <w:r w:rsidR="006B31AA" w:rsidRPr="004F2343">
              <w:rPr>
                <w:rFonts w:ascii="Calibri" w:hAnsi="Calibri"/>
                <w:b/>
                <w:sz w:val="20"/>
              </w:rPr>
              <w:t xml:space="preserve">sentence or </w:t>
            </w:r>
            <w:r w:rsidR="00044CC0" w:rsidRPr="004F2343">
              <w:rPr>
                <w:rFonts w:ascii="Calibri" w:hAnsi="Calibri"/>
                <w:b/>
                <w:sz w:val="20"/>
              </w:rPr>
              <w:t>total sentence o</w:t>
            </w:r>
            <w:r w:rsidR="006B31AA" w:rsidRPr="004F2343">
              <w:rPr>
                <w:rFonts w:ascii="Calibri" w:hAnsi="Calibri"/>
                <w:b/>
                <w:sz w:val="20"/>
              </w:rPr>
              <w:t>f</w:t>
            </w:r>
            <w:r w:rsidR="00044CC0" w:rsidRPr="004F2343">
              <w:rPr>
                <w:rFonts w:ascii="Calibri" w:hAnsi="Calibri"/>
                <w:b/>
                <w:sz w:val="20"/>
              </w:rPr>
              <w:t xml:space="preserve"> more than 3 years</w:t>
            </w:r>
          </w:p>
        </w:tc>
        <w:tc>
          <w:tcPr>
            <w:tcW w:w="4536" w:type="dxa"/>
            <w:tcBorders>
              <w:bottom w:val="single" w:sz="4" w:space="0" w:color="auto"/>
            </w:tcBorders>
            <w:vAlign w:val="center"/>
          </w:tcPr>
          <w:p w14:paraId="77E11F14" w14:textId="5008E71F" w:rsidR="00651187" w:rsidRPr="004F2343" w:rsidRDefault="00133FED" w:rsidP="00651187">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 xml:space="preserve">Fix </w:t>
            </w:r>
            <w:r w:rsidR="00044CC0" w:rsidRPr="004F2343">
              <w:rPr>
                <w:rFonts w:ascii="Calibri" w:hAnsi="Calibri"/>
                <w:sz w:val="20"/>
              </w:rPr>
              <w:t xml:space="preserve">a </w:t>
            </w:r>
            <w:r w:rsidRPr="004F2343">
              <w:rPr>
                <w:rFonts w:ascii="Calibri" w:hAnsi="Calibri"/>
                <w:sz w:val="20"/>
              </w:rPr>
              <w:t>single NPP in respect of the sentence for the breaching offence</w:t>
            </w:r>
            <w:r w:rsidR="00AD33E7" w:rsidRPr="004F2343">
              <w:rPr>
                <w:rFonts w:ascii="Calibri" w:hAnsi="Calibri"/>
                <w:sz w:val="20"/>
              </w:rPr>
              <w:t>(s)</w:t>
            </w:r>
            <w:r w:rsidRPr="004F2343">
              <w:rPr>
                <w:rFonts w:ascii="Calibri" w:hAnsi="Calibri"/>
                <w:sz w:val="20"/>
              </w:rPr>
              <w:t xml:space="preserve"> and </w:t>
            </w:r>
            <w:r w:rsidR="00AD33E7" w:rsidRPr="004F2343">
              <w:rPr>
                <w:rFonts w:ascii="Calibri" w:hAnsi="Calibri"/>
                <w:sz w:val="20"/>
              </w:rPr>
              <w:t>the</w:t>
            </w:r>
            <w:r w:rsidRPr="004F2343">
              <w:rPr>
                <w:rFonts w:ascii="Calibri" w:hAnsi="Calibri"/>
                <w:sz w:val="20"/>
              </w:rPr>
              <w:t xml:space="preserve"> outstanding sentence</w:t>
            </w:r>
            <w:r w:rsidR="00AD33E7" w:rsidRPr="004F2343">
              <w:rPr>
                <w:rFonts w:ascii="Calibri" w:hAnsi="Calibri"/>
                <w:sz w:val="20"/>
              </w:rPr>
              <w:t>(s)</w:t>
            </w:r>
          </w:p>
          <w:p w14:paraId="45A33960" w14:textId="15D991E6" w:rsidR="00651187" w:rsidRPr="004F2343" w:rsidRDefault="006D5309" w:rsidP="00631FF3">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May d</w:t>
            </w:r>
            <w:r w:rsidR="00631FF3" w:rsidRPr="004F2343">
              <w:rPr>
                <w:rFonts w:ascii="Calibri" w:hAnsi="Calibri"/>
                <w:sz w:val="20"/>
              </w:rPr>
              <w:t>ecline to fix a NPP</w:t>
            </w:r>
          </w:p>
        </w:tc>
        <w:tc>
          <w:tcPr>
            <w:tcW w:w="1559" w:type="dxa"/>
            <w:vAlign w:val="center"/>
          </w:tcPr>
          <w:p w14:paraId="0E5BE07C" w14:textId="3B3F2420" w:rsidR="00651187" w:rsidRPr="004F2343" w:rsidRDefault="00651187" w:rsidP="00651187">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w:t>
            </w:r>
            <w:r w:rsidR="00CC68BE" w:rsidRPr="004F2343">
              <w:rPr>
                <w:rFonts w:ascii="Calibri" w:hAnsi="Calibri"/>
                <w:sz w:val="20"/>
              </w:rPr>
              <w:t>R</w:t>
            </w:r>
            <w:r w:rsidR="00044CC0" w:rsidRPr="004F2343">
              <w:rPr>
                <w:rFonts w:ascii="Calibri" w:hAnsi="Calibri"/>
                <w:sz w:val="20"/>
              </w:rPr>
              <w:t>(1)</w:t>
            </w:r>
          </w:p>
          <w:p w14:paraId="0059A8C2" w14:textId="13B4CD9C" w:rsidR="00631FF3" w:rsidRPr="004F2343" w:rsidRDefault="00631FF3" w:rsidP="00651187">
            <w:pPr>
              <w:tabs>
                <w:tab w:val="left" w:pos="1418"/>
                <w:tab w:val="left" w:pos="4705"/>
                <w:tab w:val="left" w:pos="7797"/>
                <w:tab w:val="left" w:pos="8050"/>
              </w:tabs>
              <w:spacing w:line="276" w:lineRule="auto"/>
              <w:jc w:val="center"/>
              <w:rPr>
                <w:rFonts w:ascii="Calibri" w:hAnsi="Calibri"/>
                <w:sz w:val="20"/>
              </w:rPr>
            </w:pPr>
          </w:p>
          <w:p w14:paraId="1A408D9A" w14:textId="77777777" w:rsidR="00631FF3" w:rsidRPr="004F2343" w:rsidRDefault="00631FF3" w:rsidP="00651187">
            <w:pPr>
              <w:tabs>
                <w:tab w:val="left" w:pos="1418"/>
                <w:tab w:val="left" w:pos="4705"/>
                <w:tab w:val="left" w:pos="7797"/>
                <w:tab w:val="left" w:pos="8050"/>
              </w:tabs>
              <w:spacing w:line="276" w:lineRule="auto"/>
              <w:jc w:val="center"/>
              <w:rPr>
                <w:rFonts w:ascii="Calibri" w:hAnsi="Calibri"/>
                <w:sz w:val="20"/>
              </w:rPr>
            </w:pPr>
          </w:p>
          <w:p w14:paraId="21DCE128" w14:textId="6E4782D4" w:rsidR="00133FED" w:rsidRPr="004F2343" w:rsidRDefault="00631FF3" w:rsidP="00651187">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19AR(4)</w:t>
            </w:r>
          </w:p>
        </w:tc>
      </w:tr>
      <w:tr w:rsidR="00651187" w:rsidRPr="004F2343" w14:paraId="4F5DCF32" w14:textId="77777777" w:rsidTr="00EB7F1E">
        <w:trPr>
          <w:trHeight w:val="850"/>
        </w:trPr>
        <w:tc>
          <w:tcPr>
            <w:tcW w:w="3118" w:type="dxa"/>
            <w:vAlign w:val="center"/>
          </w:tcPr>
          <w:p w14:paraId="428206B9" w14:textId="1B2467E2" w:rsidR="00651187" w:rsidRPr="004F2343" w:rsidRDefault="00044CC0" w:rsidP="00651187">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Federal offence</w:t>
            </w:r>
            <w:r w:rsidR="00133FED" w:rsidRPr="004F2343">
              <w:rPr>
                <w:rFonts w:ascii="Calibri" w:hAnsi="Calibri"/>
                <w:b/>
                <w:sz w:val="20"/>
              </w:rPr>
              <w:t>(s)</w:t>
            </w:r>
            <w:r w:rsidRPr="004F2343">
              <w:rPr>
                <w:rFonts w:ascii="Calibri" w:hAnsi="Calibri"/>
                <w:b/>
                <w:sz w:val="20"/>
              </w:rPr>
              <w:t xml:space="preserve"> – sentence or total sentence of 3 years or less</w:t>
            </w:r>
          </w:p>
        </w:tc>
        <w:tc>
          <w:tcPr>
            <w:tcW w:w="4536" w:type="dxa"/>
            <w:vAlign w:val="center"/>
          </w:tcPr>
          <w:p w14:paraId="2F013428" w14:textId="0F4E407B" w:rsidR="00631FF3" w:rsidRPr="004F2343" w:rsidRDefault="001B2BE0" w:rsidP="00631FF3">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If one of the outstanding sentences is life imprisonment - f</w:t>
            </w:r>
            <w:r w:rsidR="00631FF3" w:rsidRPr="004F2343">
              <w:rPr>
                <w:rFonts w:ascii="Calibri" w:hAnsi="Calibri"/>
                <w:sz w:val="20"/>
              </w:rPr>
              <w:t>ix a single NPP in respect of the sentence for the breaching offence</w:t>
            </w:r>
            <w:r w:rsidR="00AD33E7" w:rsidRPr="004F2343">
              <w:rPr>
                <w:rFonts w:ascii="Calibri" w:hAnsi="Calibri"/>
                <w:sz w:val="20"/>
              </w:rPr>
              <w:t>(s)</w:t>
            </w:r>
            <w:r w:rsidR="00631FF3" w:rsidRPr="004F2343">
              <w:rPr>
                <w:rFonts w:ascii="Calibri" w:hAnsi="Calibri"/>
                <w:sz w:val="20"/>
              </w:rPr>
              <w:t xml:space="preserve"> and </w:t>
            </w:r>
            <w:r w:rsidR="00AD33E7" w:rsidRPr="004F2343">
              <w:rPr>
                <w:rFonts w:ascii="Calibri" w:hAnsi="Calibri"/>
                <w:sz w:val="20"/>
              </w:rPr>
              <w:t>the</w:t>
            </w:r>
            <w:r w:rsidR="00631FF3" w:rsidRPr="004F2343">
              <w:rPr>
                <w:rFonts w:ascii="Calibri" w:hAnsi="Calibri"/>
                <w:sz w:val="20"/>
              </w:rPr>
              <w:t xml:space="preserve"> outstanding sentence</w:t>
            </w:r>
            <w:r w:rsidR="00AD33E7" w:rsidRPr="004F2343">
              <w:rPr>
                <w:rFonts w:ascii="Calibri" w:hAnsi="Calibri"/>
                <w:sz w:val="20"/>
              </w:rPr>
              <w:t>(</w:t>
            </w:r>
            <w:r w:rsidR="00631FF3" w:rsidRPr="004F2343">
              <w:rPr>
                <w:rFonts w:ascii="Calibri" w:hAnsi="Calibri"/>
                <w:sz w:val="20"/>
              </w:rPr>
              <w:t>s</w:t>
            </w:r>
            <w:r w:rsidR="00AD33E7" w:rsidRPr="004F2343">
              <w:rPr>
                <w:rFonts w:ascii="Calibri" w:hAnsi="Calibri"/>
                <w:sz w:val="20"/>
              </w:rPr>
              <w:t>)</w:t>
            </w:r>
          </w:p>
          <w:p w14:paraId="3446DC3F" w14:textId="77FD8B11" w:rsidR="001B2BE0" w:rsidRPr="004F2343" w:rsidRDefault="001B2BE0" w:rsidP="001B2BE0">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If the aggregate of the unserved portion of the outstanding sentences and the sentence</w:t>
            </w:r>
            <w:r w:rsidR="00AD33E7" w:rsidRPr="004F2343">
              <w:rPr>
                <w:rFonts w:ascii="Calibri" w:hAnsi="Calibri"/>
                <w:sz w:val="20"/>
              </w:rPr>
              <w:t>(</w:t>
            </w:r>
            <w:r w:rsidRPr="004F2343">
              <w:rPr>
                <w:rFonts w:ascii="Calibri" w:hAnsi="Calibri"/>
                <w:sz w:val="20"/>
              </w:rPr>
              <w:t>s</w:t>
            </w:r>
            <w:r w:rsidR="00AD33E7" w:rsidRPr="004F2343">
              <w:rPr>
                <w:rFonts w:ascii="Calibri" w:hAnsi="Calibri"/>
                <w:sz w:val="20"/>
              </w:rPr>
              <w:t>)</w:t>
            </w:r>
            <w:r w:rsidRPr="004F2343">
              <w:rPr>
                <w:rFonts w:ascii="Calibri" w:hAnsi="Calibri"/>
                <w:sz w:val="20"/>
              </w:rPr>
              <w:t xml:space="preserve"> for the breaching offence</w:t>
            </w:r>
            <w:r w:rsidR="00AD33E7" w:rsidRPr="004F2343">
              <w:rPr>
                <w:rFonts w:ascii="Calibri" w:hAnsi="Calibri"/>
                <w:sz w:val="20"/>
              </w:rPr>
              <w:t>(</w:t>
            </w:r>
            <w:r w:rsidRPr="004F2343">
              <w:rPr>
                <w:rFonts w:ascii="Calibri" w:hAnsi="Calibri"/>
                <w:sz w:val="20"/>
              </w:rPr>
              <w:t>s</w:t>
            </w:r>
            <w:r w:rsidR="00AD33E7" w:rsidRPr="004F2343">
              <w:rPr>
                <w:rFonts w:ascii="Calibri" w:hAnsi="Calibri"/>
                <w:sz w:val="20"/>
              </w:rPr>
              <w:t>)</w:t>
            </w:r>
            <w:r w:rsidRPr="004F2343">
              <w:rPr>
                <w:rFonts w:ascii="Calibri" w:hAnsi="Calibri"/>
                <w:sz w:val="20"/>
              </w:rPr>
              <w:t xml:space="preserve"> is more than 3 years - fix a single NPP in respect of the sentence for the breaching offence</w:t>
            </w:r>
            <w:r w:rsidR="00AD33E7" w:rsidRPr="004F2343">
              <w:rPr>
                <w:rFonts w:ascii="Calibri" w:hAnsi="Calibri"/>
                <w:sz w:val="20"/>
              </w:rPr>
              <w:t>(s)</w:t>
            </w:r>
            <w:r w:rsidRPr="004F2343">
              <w:rPr>
                <w:rFonts w:ascii="Calibri" w:hAnsi="Calibri"/>
                <w:sz w:val="20"/>
              </w:rPr>
              <w:t xml:space="preserve"> and </w:t>
            </w:r>
            <w:r w:rsidR="00AD33E7" w:rsidRPr="004F2343">
              <w:rPr>
                <w:rFonts w:ascii="Calibri" w:hAnsi="Calibri"/>
                <w:sz w:val="20"/>
              </w:rPr>
              <w:t>the</w:t>
            </w:r>
            <w:r w:rsidRPr="004F2343">
              <w:rPr>
                <w:rFonts w:ascii="Calibri" w:hAnsi="Calibri"/>
                <w:sz w:val="20"/>
              </w:rPr>
              <w:t xml:space="preserve"> outstanding sentences</w:t>
            </w:r>
          </w:p>
          <w:p w14:paraId="0C30FF7D" w14:textId="3C15420A" w:rsidR="001B2BE0" w:rsidRPr="004F2343" w:rsidRDefault="001B2BE0" w:rsidP="001B2BE0">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If the aggregate of the unserved portion of the outstanding sentence</w:t>
            </w:r>
            <w:r w:rsidR="00AD33E7" w:rsidRPr="004F2343">
              <w:rPr>
                <w:rFonts w:ascii="Calibri" w:hAnsi="Calibri"/>
                <w:sz w:val="20"/>
              </w:rPr>
              <w:t>(</w:t>
            </w:r>
            <w:r w:rsidRPr="004F2343">
              <w:rPr>
                <w:rFonts w:ascii="Calibri" w:hAnsi="Calibri"/>
                <w:sz w:val="20"/>
              </w:rPr>
              <w:t>s</w:t>
            </w:r>
            <w:r w:rsidR="00AD33E7" w:rsidRPr="004F2343">
              <w:rPr>
                <w:rFonts w:ascii="Calibri" w:hAnsi="Calibri"/>
                <w:sz w:val="20"/>
              </w:rPr>
              <w:t>)</w:t>
            </w:r>
            <w:r w:rsidRPr="004F2343">
              <w:rPr>
                <w:rFonts w:ascii="Calibri" w:hAnsi="Calibri"/>
                <w:sz w:val="20"/>
              </w:rPr>
              <w:t xml:space="preserve"> and the sentence</w:t>
            </w:r>
            <w:r w:rsidR="00AD33E7" w:rsidRPr="004F2343">
              <w:rPr>
                <w:rFonts w:ascii="Calibri" w:hAnsi="Calibri"/>
                <w:sz w:val="20"/>
              </w:rPr>
              <w:t>(</w:t>
            </w:r>
            <w:r w:rsidRPr="004F2343">
              <w:rPr>
                <w:rFonts w:ascii="Calibri" w:hAnsi="Calibri"/>
                <w:sz w:val="20"/>
              </w:rPr>
              <w:t>s</w:t>
            </w:r>
            <w:r w:rsidR="00AD33E7" w:rsidRPr="004F2343">
              <w:rPr>
                <w:rFonts w:ascii="Calibri" w:hAnsi="Calibri"/>
                <w:sz w:val="20"/>
              </w:rPr>
              <w:t>)</w:t>
            </w:r>
            <w:r w:rsidRPr="004F2343">
              <w:rPr>
                <w:rFonts w:ascii="Calibri" w:hAnsi="Calibri"/>
                <w:sz w:val="20"/>
              </w:rPr>
              <w:t xml:space="preserve"> for the breaching offence</w:t>
            </w:r>
            <w:r w:rsidR="00AD33E7" w:rsidRPr="004F2343">
              <w:rPr>
                <w:rFonts w:ascii="Calibri" w:hAnsi="Calibri"/>
                <w:sz w:val="20"/>
              </w:rPr>
              <w:t>(</w:t>
            </w:r>
            <w:r w:rsidRPr="004F2343">
              <w:rPr>
                <w:rFonts w:ascii="Calibri" w:hAnsi="Calibri"/>
                <w:sz w:val="20"/>
              </w:rPr>
              <w:t>s</w:t>
            </w:r>
            <w:r w:rsidR="00AD33E7" w:rsidRPr="004F2343">
              <w:rPr>
                <w:rFonts w:ascii="Calibri" w:hAnsi="Calibri"/>
                <w:sz w:val="20"/>
              </w:rPr>
              <w:t>)</w:t>
            </w:r>
            <w:r w:rsidRPr="004F2343">
              <w:rPr>
                <w:rFonts w:ascii="Calibri" w:hAnsi="Calibri"/>
                <w:sz w:val="20"/>
              </w:rPr>
              <w:t xml:space="preserve"> is 3 years or less – may make a RRO </w:t>
            </w:r>
            <w:r w:rsidR="006D5309" w:rsidRPr="004F2343">
              <w:rPr>
                <w:rFonts w:ascii="Calibri" w:hAnsi="Calibri"/>
                <w:sz w:val="20"/>
              </w:rPr>
              <w:t xml:space="preserve">(and must not fix a NPP) </w:t>
            </w:r>
            <w:r w:rsidRPr="004F2343">
              <w:rPr>
                <w:rFonts w:ascii="Calibri" w:hAnsi="Calibri"/>
                <w:sz w:val="20"/>
              </w:rPr>
              <w:t>in respect of the sentence</w:t>
            </w:r>
            <w:r w:rsidR="00AD33E7" w:rsidRPr="004F2343">
              <w:rPr>
                <w:rFonts w:ascii="Calibri" w:hAnsi="Calibri"/>
                <w:sz w:val="20"/>
              </w:rPr>
              <w:t>(s)</w:t>
            </w:r>
            <w:r w:rsidRPr="004F2343">
              <w:rPr>
                <w:rFonts w:ascii="Calibri" w:hAnsi="Calibri"/>
                <w:sz w:val="20"/>
              </w:rPr>
              <w:t xml:space="preserve"> for the breaching offence</w:t>
            </w:r>
            <w:r w:rsidR="00AD33E7" w:rsidRPr="004F2343">
              <w:rPr>
                <w:rFonts w:ascii="Calibri" w:hAnsi="Calibri"/>
                <w:sz w:val="20"/>
              </w:rPr>
              <w:t>(s)</w:t>
            </w:r>
            <w:r w:rsidRPr="004F2343">
              <w:rPr>
                <w:rFonts w:ascii="Calibri" w:hAnsi="Calibri"/>
                <w:sz w:val="20"/>
              </w:rPr>
              <w:t xml:space="preserve"> and </w:t>
            </w:r>
            <w:r w:rsidR="00AD33E7" w:rsidRPr="004F2343">
              <w:rPr>
                <w:rFonts w:ascii="Calibri" w:hAnsi="Calibri"/>
                <w:sz w:val="20"/>
              </w:rPr>
              <w:t>the</w:t>
            </w:r>
            <w:r w:rsidRPr="004F2343">
              <w:rPr>
                <w:rFonts w:ascii="Calibri" w:hAnsi="Calibri"/>
                <w:sz w:val="20"/>
              </w:rPr>
              <w:t xml:space="preserve"> outstanding sentence</w:t>
            </w:r>
            <w:r w:rsidR="00AD33E7" w:rsidRPr="004F2343">
              <w:rPr>
                <w:rFonts w:ascii="Calibri" w:hAnsi="Calibri"/>
                <w:sz w:val="20"/>
              </w:rPr>
              <w:t>(</w:t>
            </w:r>
            <w:r w:rsidRPr="004F2343">
              <w:rPr>
                <w:rFonts w:ascii="Calibri" w:hAnsi="Calibri"/>
                <w:sz w:val="20"/>
              </w:rPr>
              <w:t>s</w:t>
            </w:r>
            <w:r w:rsidR="00AD33E7" w:rsidRPr="004F2343">
              <w:rPr>
                <w:rFonts w:ascii="Calibri" w:hAnsi="Calibri"/>
                <w:sz w:val="20"/>
              </w:rPr>
              <w:t>)</w:t>
            </w:r>
          </w:p>
          <w:p w14:paraId="25F470FC" w14:textId="3EC04F7E" w:rsidR="00651187" w:rsidRPr="004F2343" w:rsidRDefault="006D5309" w:rsidP="00631FF3">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May d</w:t>
            </w:r>
            <w:r w:rsidR="00631FF3" w:rsidRPr="004F2343">
              <w:rPr>
                <w:rFonts w:ascii="Calibri" w:hAnsi="Calibri"/>
                <w:sz w:val="20"/>
              </w:rPr>
              <w:t>ecline to fix a NPP</w:t>
            </w:r>
          </w:p>
        </w:tc>
        <w:tc>
          <w:tcPr>
            <w:tcW w:w="1559" w:type="dxa"/>
            <w:vAlign w:val="center"/>
          </w:tcPr>
          <w:p w14:paraId="30F5E906" w14:textId="77777777" w:rsidR="00651187" w:rsidRPr="004F2343" w:rsidRDefault="00651187" w:rsidP="00651187">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w:t>
            </w:r>
            <w:r w:rsidR="00CC68BE" w:rsidRPr="004F2343">
              <w:rPr>
                <w:rFonts w:ascii="Calibri" w:hAnsi="Calibri"/>
                <w:sz w:val="20"/>
              </w:rPr>
              <w:t>R</w:t>
            </w:r>
            <w:r w:rsidR="00044CC0" w:rsidRPr="004F2343">
              <w:rPr>
                <w:rFonts w:ascii="Calibri" w:hAnsi="Calibri"/>
                <w:sz w:val="20"/>
              </w:rPr>
              <w:t>(2)</w:t>
            </w:r>
          </w:p>
          <w:p w14:paraId="7A6E45F5" w14:textId="77777777" w:rsidR="00631FF3" w:rsidRPr="004F2343" w:rsidRDefault="00631FF3" w:rsidP="00651187">
            <w:pPr>
              <w:tabs>
                <w:tab w:val="left" w:pos="1418"/>
                <w:tab w:val="left" w:pos="4705"/>
                <w:tab w:val="left" w:pos="7797"/>
                <w:tab w:val="left" w:pos="8050"/>
              </w:tabs>
              <w:spacing w:line="276" w:lineRule="auto"/>
              <w:jc w:val="center"/>
              <w:rPr>
                <w:rFonts w:ascii="Calibri" w:hAnsi="Calibri"/>
                <w:sz w:val="20"/>
              </w:rPr>
            </w:pPr>
          </w:p>
          <w:p w14:paraId="14B26F9A" w14:textId="77777777" w:rsidR="00631FF3" w:rsidRPr="004F2343" w:rsidRDefault="00631FF3" w:rsidP="00651187">
            <w:pPr>
              <w:tabs>
                <w:tab w:val="left" w:pos="1418"/>
                <w:tab w:val="left" w:pos="4705"/>
                <w:tab w:val="left" w:pos="7797"/>
                <w:tab w:val="left" w:pos="8050"/>
              </w:tabs>
              <w:spacing w:line="276" w:lineRule="auto"/>
              <w:jc w:val="center"/>
              <w:rPr>
                <w:rFonts w:ascii="Calibri" w:hAnsi="Calibri"/>
                <w:sz w:val="20"/>
              </w:rPr>
            </w:pPr>
          </w:p>
          <w:p w14:paraId="52CC54A5" w14:textId="77777777" w:rsidR="00631FF3" w:rsidRPr="004F2343" w:rsidRDefault="00631FF3" w:rsidP="00651187">
            <w:pPr>
              <w:tabs>
                <w:tab w:val="left" w:pos="1418"/>
                <w:tab w:val="left" w:pos="4705"/>
                <w:tab w:val="left" w:pos="7797"/>
                <w:tab w:val="left" w:pos="8050"/>
              </w:tabs>
              <w:spacing w:line="276" w:lineRule="auto"/>
              <w:jc w:val="center"/>
              <w:rPr>
                <w:rFonts w:ascii="Calibri" w:hAnsi="Calibri"/>
                <w:sz w:val="20"/>
              </w:rPr>
            </w:pPr>
          </w:p>
          <w:p w14:paraId="78EAC709"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447071F5"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7330645B"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723A11F9"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30E5B8B8"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08DEA298"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55B3409E"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414B6EEA" w14:textId="0BDD5AED"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45F5F4F6" w14:textId="1B8696D3"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1554DC6B"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2D840325" w14:textId="368690D2"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636E9816" w14:textId="77777777"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p>
          <w:p w14:paraId="2D9F326A" w14:textId="62855F78" w:rsidR="00AD33E7" w:rsidRPr="004F2343" w:rsidRDefault="00AD33E7" w:rsidP="00651187">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19AR(4)</w:t>
            </w:r>
          </w:p>
        </w:tc>
      </w:tr>
      <w:tr w:rsidR="00651187" w:rsidRPr="004F2343" w14:paraId="2D9E511B" w14:textId="77777777" w:rsidTr="00EB7F1E">
        <w:trPr>
          <w:trHeight w:val="850"/>
        </w:trPr>
        <w:tc>
          <w:tcPr>
            <w:tcW w:w="3118" w:type="dxa"/>
            <w:vAlign w:val="center"/>
          </w:tcPr>
          <w:p w14:paraId="5CE27DF7" w14:textId="6B4F0FC1" w:rsidR="00651187" w:rsidRPr="004F2343" w:rsidRDefault="00044CC0" w:rsidP="00651187">
            <w:pPr>
              <w:tabs>
                <w:tab w:val="left" w:pos="1303"/>
                <w:tab w:val="left" w:pos="4395"/>
                <w:tab w:val="left" w:pos="8050"/>
              </w:tabs>
              <w:spacing w:line="276" w:lineRule="auto"/>
              <w:ind w:left="153"/>
              <w:rPr>
                <w:rFonts w:ascii="Calibri" w:hAnsi="Calibri"/>
                <w:b/>
                <w:sz w:val="20"/>
              </w:rPr>
            </w:pPr>
            <w:r w:rsidRPr="004F2343">
              <w:rPr>
                <w:rFonts w:ascii="Calibri" w:hAnsi="Calibri"/>
                <w:b/>
                <w:sz w:val="20"/>
              </w:rPr>
              <w:t>State or Territory offence</w:t>
            </w:r>
            <w:r w:rsidR="00133FED" w:rsidRPr="004F2343">
              <w:rPr>
                <w:rFonts w:ascii="Calibri" w:hAnsi="Calibri"/>
                <w:b/>
                <w:sz w:val="20"/>
              </w:rPr>
              <w:t>(s)</w:t>
            </w:r>
          </w:p>
        </w:tc>
        <w:tc>
          <w:tcPr>
            <w:tcW w:w="4536" w:type="dxa"/>
            <w:vAlign w:val="center"/>
          </w:tcPr>
          <w:p w14:paraId="5BF14BB6" w14:textId="39543004" w:rsidR="00AD33E7" w:rsidRPr="004F2343" w:rsidRDefault="00AD33E7" w:rsidP="00AD33E7">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If one of the outstanding sentences is life imprisonment - fix a single NPP in respect of the outstanding sentence(s)</w:t>
            </w:r>
          </w:p>
          <w:p w14:paraId="56826236" w14:textId="1B692D1D" w:rsidR="00651187" w:rsidRPr="004F2343" w:rsidRDefault="006D5309" w:rsidP="00651187">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If the aggregate of the unserved portion of the outstanding sentence(s) is more than 3 years - fix a single NPP in respect of the outstanding sentence(s)</w:t>
            </w:r>
          </w:p>
          <w:p w14:paraId="202539F5" w14:textId="0DD19CA6" w:rsidR="006D5309" w:rsidRPr="004F2343" w:rsidRDefault="006D5309" w:rsidP="00651187">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If the aggregate of the unserved portion of the outstanding sentence(s) is 3 years or less – may make a RRO (and must not fix a NPP) in respect of the outstanding sentence(s)</w:t>
            </w:r>
          </w:p>
          <w:p w14:paraId="0327376B" w14:textId="5F8A1A96" w:rsidR="006D5309" w:rsidRPr="004F2343" w:rsidRDefault="006D5309" w:rsidP="00651187">
            <w:pPr>
              <w:pStyle w:val="ListParagraph"/>
              <w:numPr>
                <w:ilvl w:val="0"/>
                <w:numId w:val="38"/>
              </w:numPr>
              <w:tabs>
                <w:tab w:val="left" w:pos="426"/>
                <w:tab w:val="left" w:pos="709"/>
                <w:tab w:val="left" w:pos="1303"/>
                <w:tab w:val="left" w:pos="1418"/>
                <w:tab w:val="left" w:pos="4705"/>
                <w:tab w:val="left" w:pos="7797"/>
                <w:tab w:val="left" w:pos="8050"/>
              </w:tabs>
              <w:spacing w:line="276" w:lineRule="auto"/>
              <w:rPr>
                <w:rFonts w:ascii="Calibri" w:hAnsi="Calibri"/>
                <w:sz w:val="20"/>
              </w:rPr>
            </w:pPr>
            <w:r w:rsidRPr="004F2343">
              <w:rPr>
                <w:rFonts w:ascii="Calibri" w:hAnsi="Calibri"/>
                <w:sz w:val="20"/>
              </w:rPr>
              <w:t>May decline to fix a NPP</w:t>
            </w:r>
          </w:p>
        </w:tc>
        <w:tc>
          <w:tcPr>
            <w:tcW w:w="1559" w:type="dxa"/>
            <w:vAlign w:val="center"/>
          </w:tcPr>
          <w:p w14:paraId="06682E09" w14:textId="77777777" w:rsidR="00651187" w:rsidRPr="004F2343" w:rsidRDefault="00651187" w:rsidP="00651187">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w:t>
            </w:r>
            <w:r w:rsidR="00CC68BE" w:rsidRPr="004F2343">
              <w:rPr>
                <w:rFonts w:ascii="Calibri" w:hAnsi="Calibri"/>
                <w:sz w:val="20"/>
              </w:rPr>
              <w:t>R</w:t>
            </w:r>
            <w:r w:rsidR="00044CC0" w:rsidRPr="004F2343">
              <w:rPr>
                <w:rFonts w:ascii="Calibri" w:hAnsi="Calibri"/>
                <w:sz w:val="20"/>
              </w:rPr>
              <w:t>(3)</w:t>
            </w:r>
          </w:p>
          <w:p w14:paraId="74A40491"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29902DDF"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03B62E74"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48BAA01B"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64CD1496"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71505CDC"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3A77BA14"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5FD70280"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5281FF65"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627A5904" w14:textId="77777777"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p>
          <w:p w14:paraId="1285AF2F" w14:textId="1678794E" w:rsidR="006D5309" w:rsidRPr="004F2343" w:rsidRDefault="006D5309" w:rsidP="00651187">
            <w:pPr>
              <w:tabs>
                <w:tab w:val="left" w:pos="1418"/>
                <w:tab w:val="left" w:pos="4705"/>
                <w:tab w:val="left" w:pos="7797"/>
                <w:tab w:val="left" w:pos="8050"/>
              </w:tabs>
              <w:spacing w:line="276" w:lineRule="auto"/>
              <w:jc w:val="center"/>
              <w:rPr>
                <w:rFonts w:ascii="Calibri" w:hAnsi="Calibri"/>
                <w:sz w:val="20"/>
              </w:rPr>
            </w:pPr>
            <w:r w:rsidRPr="004F2343">
              <w:rPr>
                <w:rFonts w:ascii="Calibri" w:hAnsi="Calibri"/>
                <w:sz w:val="20"/>
              </w:rPr>
              <w:t>19AR(4)</w:t>
            </w:r>
          </w:p>
        </w:tc>
      </w:tr>
    </w:tbl>
    <w:p w14:paraId="2D9A37AD" w14:textId="77777777" w:rsidR="00651187" w:rsidRPr="00B52D47" w:rsidRDefault="00651187" w:rsidP="00651187">
      <w:pPr>
        <w:rPr>
          <w:rFonts w:asciiTheme="minorHAnsi" w:hAnsiTheme="minorHAnsi"/>
        </w:rPr>
      </w:pPr>
    </w:p>
    <w:p w14:paraId="228EFF74" w14:textId="3076C1AB" w:rsidR="003D4BB5" w:rsidRDefault="003D4BB5"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See further “</w:t>
      </w:r>
      <w:r w:rsidR="00B52730">
        <w:rPr>
          <w:rFonts w:asciiTheme="minorHAnsi" w:hAnsiTheme="minorHAnsi"/>
        </w:rPr>
        <w:fldChar w:fldCharType="begin"/>
      </w:r>
      <w:r w:rsidR="00B52730">
        <w:rPr>
          <w:rFonts w:asciiTheme="minorHAnsi" w:hAnsiTheme="minorHAnsi"/>
        </w:rPr>
        <w:instrText xml:space="preserve"> REF _Ref11427025 \r \h  \* MERGEFORMAT </w:instrText>
      </w:r>
      <w:r w:rsidR="00B52730">
        <w:rPr>
          <w:rFonts w:asciiTheme="minorHAnsi" w:hAnsiTheme="minorHAnsi"/>
        </w:rPr>
      </w:r>
      <w:r w:rsidR="00B52730">
        <w:rPr>
          <w:rFonts w:asciiTheme="minorHAnsi" w:hAnsiTheme="minorHAnsi"/>
        </w:rPr>
        <w:fldChar w:fldCharType="separate"/>
      </w:r>
      <w:r w:rsidR="00D44BCF">
        <w:rPr>
          <w:rFonts w:asciiTheme="minorHAnsi" w:hAnsiTheme="minorHAnsi"/>
        </w:rPr>
        <w:t>5.11</w:t>
      </w:r>
      <w:r w:rsidR="00B52730">
        <w:rPr>
          <w:rFonts w:asciiTheme="minorHAnsi" w:hAnsiTheme="minorHAnsi"/>
        </w:rPr>
        <w:fldChar w:fldCharType="end"/>
      </w:r>
      <w:r w:rsidR="00B52730">
        <w:rPr>
          <w:rFonts w:asciiTheme="minorHAnsi" w:hAnsiTheme="minorHAnsi"/>
        </w:rPr>
        <w:t xml:space="preserve"> </w:t>
      </w:r>
      <w:r w:rsidR="00B52730">
        <w:rPr>
          <w:rFonts w:asciiTheme="minorHAnsi" w:hAnsiTheme="minorHAnsi"/>
        </w:rPr>
        <w:fldChar w:fldCharType="begin"/>
      </w:r>
      <w:r w:rsidR="00B52730">
        <w:rPr>
          <w:rFonts w:asciiTheme="minorHAnsi" w:hAnsiTheme="minorHAnsi"/>
        </w:rPr>
        <w:instrText xml:space="preserve"> REF _Ref11427030 \h  \* MERGEFORMAT </w:instrText>
      </w:r>
      <w:r w:rsidR="00B52730">
        <w:rPr>
          <w:rFonts w:asciiTheme="minorHAnsi" w:hAnsiTheme="minorHAnsi"/>
        </w:rPr>
      </w:r>
      <w:r w:rsidR="00B52730">
        <w:rPr>
          <w:rFonts w:asciiTheme="minorHAnsi" w:hAnsiTheme="minorHAnsi"/>
        </w:rPr>
        <w:fldChar w:fldCharType="separate"/>
      </w:r>
      <w:r w:rsidR="00D44BCF" w:rsidRPr="00D44BCF">
        <w:rPr>
          <w:rFonts w:asciiTheme="minorHAnsi" w:hAnsiTheme="minorHAnsi"/>
        </w:rPr>
        <w:t>Imprisonment: federal parole, leave and licence</w:t>
      </w:r>
      <w:r w:rsidR="00B52730">
        <w:rPr>
          <w:rFonts w:asciiTheme="minorHAnsi" w:hAnsiTheme="minorHAnsi"/>
        </w:rPr>
        <w:fldChar w:fldCharType="end"/>
      </w:r>
      <w:r w:rsidR="00E957C0">
        <w:rPr>
          <w:rFonts w:asciiTheme="minorHAnsi" w:hAnsiTheme="minorHAnsi"/>
        </w:rPr>
        <w:t>”</w:t>
      </w:r>
      <w:r>
        <w:rPr>
          <w:rFonts w:asciiTheme="minorHAnsi" w:hAnsiTheme="minorHAnsi"/>
        </w:rPr>
        <w:t>.</w:t>
      </w:r>
    </w:p>
    <w:p w14:paraId="02E0FB2A" w14:textId="77777777" w:rsidR="003D4BB5" w:rsidRPr="003D4BB5" w:rsidRDefault="003D4BB5" w:rsidP="003D4BB5">
      <w:pPr>
        <w:spacing w:line="276" w:lineRule="auto"/>
        <w:ind w:right="-1"/>
        <w:rPr>
          <w:rFonts w:asciiTheme="minorHAnsi" w:hAnsiTheme="minorHAnsi"/>
        </w:rPr>
      </w:pPr>
    </w:p>
    <w:p w14:paraId="30933EF4" w14:textId="78518DA1" w:rsidR="005F7C36" w:rsidRDefault="005F7C3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Other key </w:t>
      </w:r>
      <w:r w:rsidR="00E82853">
        <w:rPr>
          <w:rFonts w:asciiTheme="minorHAnsi" w:hAnsiTheme="minorHAnsi"/>
        </w:rPr>
        <w:t>aspects of the</w:t>
      </w:r>
      <w:r w:rsidR="00F92636">
        <w:rPr>
          <w:rFonts w:asciiTheme="minorHAnsi" w:hAnsiTheme="minorHAnsi"/>
        </w:rPr>
        <w:t xml:space="preserve"> legislative</w:t>
      </w:r>
      <w:r w:rsidR="00E82853">
        <w:rPr>
          <w:rFonts w:asciiTheme="minorHAnsi" w:hAnsiTheme="minorHAnsi"/>
        </w:rPr>
        <w:t xml:space="preserve"> regime</w:t>
      </w:r>
      <w:r>
        <w:rPr>
          <w:rFonts w:asciiTheme="minorHAnsi" w:hAnsiTheme="minorHAnsi"/>
        </w:rPr>
        <w:t xml:space="preserve"> </w:t>
      </w:r>
      <w:r w:rsidR="00F92636">
        <w:rPr>
          <w:rFonts w:asciiTheme="minorHAnsi" w:hAnsiTheme="minorHAnsi"/>
        </w:rPr>
        <w:t xml:space="preserve">governing fixing of periods, or minimum periods, to be served </w:t>
      </w:r>
      <w:r>
        <w:rPr>
          <w:rFonts w:asciiTheme="minorHAnsi" w:hAnsiTheme="minorHAnsi"/>
        </w:rPr>
        <w:t>include the following:</w:t>
      </w:r>
    </w:p>
    <w:p w14:paraId="7ADE4079" w14:textId="77777777" w:rsidR="005F7C36" w:rsidRPr="005F7C36" w:rsidRDefault="005F7C36" w:rsidP="00FB4D12">
      <w:pPr>
        <w:pStyle w:val="ListParagraph"/>
        <w:rPr>
          <w:rFonts w:asciiTheme="minorHAnsi" w:hAnsiTheme="minorHAnsi"/>
        </w:rPr>
      </w:pPr>
    </w:p>
    <w:p w14:paraId="1C2AA726" w14:textId="3FCA3B0F" w:rsidR="00200DF2" w:rsidRDefault="00200DF2"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The requirements relating to the period of a federal sentence of imprisonment which must be served </w:t>
      </w:r>
      <w:r w:rsidRPr="00200DF2">
        <w:rPr>
          <w:rFonts w:asciiTheme="minorHAnsi" w:hAnsiTheme="minorHAnsi"/>
          <w:b/>
        </w:rPr>
        <w:t>apply regardless of whether or not the offender is or will be serving a State/Territory sentence</w:t>
      </w:r>
      <w:r w:rsidR="003913B1">
        <w:rPr>
          <w:rFonts w:asciiTheme="minorHAnsi" w:hAnsiTheme="minorHAnsi"/>
        </w:rPr>
        <w:t>.  (Service of a State/Territory sentence may, however, be a reason for declining to fix a NPP or RRO.)</w:t>
      </w:r>
    </w:p>
    <w:p w14:paraId="4175B4F4" w14:textId="77777777" w:rsidR="00200DF2" w:rsidRPr="00200DF2" w:rsidRDefault="00200DF2" w:rsidP="00200DF2">
      <w:pPr>
        <w:pStyle w:val="ListParagraph"/>
        <w:rPr>
          <w:rFonts w:asciiTheme="minorHAnsi" w:hAnsiTheme="minorHAnsi"/>
        </w:rPr>
      </w:pPr>
    </w:p>
    <w:p w14:paraId="4E3EBCD4" w14:textId="723C9F2E" w:rsidR="00187334" w:rsidRPr="00F52A75" w:rsidRDefault="00187334"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If the offender is sentenced for more than one federal offence at the same sitting, </w:t>
      </w:r>
      <w:r w:rsidRPr="00187334">
        <w:rPr>
          <w:rFonts w:asciiTheme="minorHAnsi" w:hAnsiTheme="minorHAnsi"/>
          <w:b/>
        </w:rPr>
        <w:t>a single NPP must be fixed or a single RRO ordered in respect of all federal sentences</w:t>
      </w:r>
      <w:r>
        <w:rPr>
          <w:rFonts w:asciiTheme="minorHAnsi" w:hAnsiTheme="minorHAnsi"/>
        </w:rPr>
        <w:t xml:space="preserve"> then imposed (except to the extent that the court imposes straight sentences).</w:t>
      </w:r>
    </w:p>
    <w:p w14:paraId="57DEEF20" w14:textId="77777777" w:rsidR="00187334" w:rsidRPr="00FD5175" w:rsidRDefault="00187334" w:rsidP="00187334">
      <w:pPr>
        <w:pStyle w:val="ListParagraph"/>
        <w:rPr>
          <w:rFonts w:asciiTheme="minorHAnsi" w:hAnsiTheme="minorHAnsi"/>
        </w:rPr>
      </w:pPr>
    </w:p>
    <w:p w14:paraId="242EB3C3" w14:textId="0BE6BD21" w:rsidR="00F52A75" w:rsidRDefault="00F52A75" w:rsidP="00EB7F1E">
      <w:pPr>
        <w:pStyle w:val="ListParagraph"/>
        <w:numPr>
          <w:ilvl w:val="1"/>
          <w:numId w:val="36"/>
        </w:numPr>
        <w:spacing w:line="276" w:lineRule="auto"/>
        <w:ind w:left="993" w:right="28" w:hanging="142"/>
        <w:rPr>
          <w:rFonts w:asciiTheme="minorHAnsi" w:hAnsiTheme="minorHAnsi"/>
        </w:rPr>
      </w:pPr>
      <w:r w:rsidRPr="00FD5175">
        <w:rPr>
          <w:rFonts w:asciiTheme="minorHAnsi" w:hAnsiTheme="minorHAnsi"/>
          <w:b/>
        </w:rPr>
        <w:t xml:space="preserve">A </w:t>
      </w:r>
      <w:r w:rsidR="00867A0E">
        <w:rPr>
          <w:rFonts w:asciiTheme="minorHAnsi" w:hAnsiTheme="minorHAnsi"/>
          <w:b/>
        </w:rPr>
        <w:t>NPP</w:t>
      </w:r>
      <w:r w:rsidRPr="00FD5175">
        <w:rPr>
          <w:rFonts w:asciiTheme="minorHAnsi" w:hAnsiTheme="minorHAnsi"/>
          <w:b/>
        </w:rPr>
        <w:t xml:space="preserve"> ca</w:t>
      </w:r>
      <w:r w:rsidR="003913B1">
        <w:rPr>
          <w:rFonts w:asciiTheme="minorHAnsi" w:hAnsiTheme="minorHAnsi"/>
          <w:b/>
        </w:rPr>
        <w:t xml:space="preserve">n never be imposed in conjunction with </w:t>
      </w:r>
      <w:r w:rsidRPr="00FD5175">
        <w:rPr>
          <w:rFonts w:asciiTheme="minorHAnsi" w:hAnsiTheme="minorHAnsi"/>
          <w:b/>
        </w:rPr>
        <w:t>a RRO</w:t>
      </w:r>
      <w:r>
        <w:rPr>
          <w:rFonts w:asciiTheme="minorHAnsi" w:hAnsiTheme="minorHAnsi"/>
        </w:rPr>
        <w:t xml:space="preserve"> for any combination of federal </w:t>
      </w:r>
      <w:r w:rsidR="003913B1">
        <w:rPr>
          <w:rFonts w:asciiTheme="minorHAnsi" w:hAnsiTheme="minorHAnsi"/>
        </w:rPr>
        <w:t>sentences</w:t>
      </w:r>
      <w:r w:rsidR="00FD5175">
        <w:rPr>
          <w:rFonts w:asciiTheme="minorHAnsi" w:hAnsiTheme="minorHAnsi"/>
        </w:rPr>
        <w:t xml:space="preserve"> (including </w:t>
      </w:r>
      <w:r w:rsidR="00C24E31">
        <w:rPr>
          <w:rFonts w:asciiTheme="minorHAnsi" w:hAnsiTheme="minorHAnsi"/>
        </w:rPr>
        <w:t xml:space="preserve">a </w:t>
      </w:r>
      <w:r w:rsidR="00867A0E">
        <w:rPr>
          <w:rFonts w:asciiTheme="minorHAnsi" w:hAnsiTheme="minorHAnsi"/>
        </w:rPr>
        <w:t>NPP</w:t>
      </w:r>
      <w:r w:rsidR="00C24E31">
        <w:rPr>
          <w:rFonts w:asciiTheme="minorHAnsi" w:hAnsiTheme="minorHAnsi"/>
        </w:rPr>
        <w:t xml:space="preserve"> or RRO</w:t>
      </w:r>
      <w:r>
        <w:rPr>
          <w:rFonts w:asciiTheme="minorHAnsi" w:hAnsiTheme="minorHAnsi"/>
        </w:rPr>
        <w:t xml:space="preserve"> imposed on a previous occasion</w:t>
      </w:r>
      <w:r w:rsidR="00C24E31">
        <w:rPr>
          <w:rFonts w:asciiTheme="minorHAnsi" w:hAnsiTheme="minorHAnsi"/>
        </w:rPr>
        <w:t>)</w:t>
      </w:r>
      <w:r>
        <w:rPr>
          <w:rFonts w:asciiTheme="minorHAnsi" w:hAnsiTheme="minorHAnsi"/>
        </w:rPr>
        <w:t>.</w:t>
      </w:r>
    </w:p>
    <w:p w14:paraId="3851570E" w14:textId="77777777" w:rsidR="003913B1" w:rsidRPr="003913B1" w:rsidRDefault="003913B1" w:rsidP="003913B1">
      <w:pPr>
        <w:pStyle w:val="ListParagraph"/>
        <w:rPr>
          <w:rFonts w:asciiTheme="minorHAnsi" w:hAnsiTheme="minorHAnsi"/>
        </w:rPr>
      </w:pPr>
    </w:p>
    <w:p w14:paraId="6079C0BC" w14:textId="06CA94BA" w:rsidR="000345CC" w:rsidRPr="00200DF2" w:rsidRDefault="000345CC" w:rsidP="00EB7F1E">
      <w:pPr>
        <w:pStyle w:val="ListParagraph"/>
        <w:numPr>
          <w:ilvl w:val="1"/>
          <w:numId w:val="36"/>
        </w:numPr>
        <w:spacing w:line="276" w:lineRule="auto"/>
        <w:ind w:left="993" w:right="28" w:hanging="142"/>
        <w:rPr>
          <w:rFonts w:asciiTheme="minorHAnsi" w:hAnsiTheme="minorHAnsi"/>
        </w:rPr>
      </w:pPr>
      <w:r w:rsidRPr="000345CC">
        <w:rPr>
          <w:rFonts w:asciiTheme="minorHAnsi" w:hAnsiTheme="minorHAnsi"/>
          <w:b/>
        </w:rPr>
        <w:t xml:space="preserve">It is not possible to impose a single </w:t>
      </w:r>
      <w:r w:rsidR="00867A0E">
        <w:rPr>
          <w:rFonts w:asciiTheme="minorHAnsi" w:hAnsiTheme="minorHAnsi"/>
          <w:b/>
        </w:rPr>
        <w:t>NPP</w:t>
      </w:r>
      <w:r w:rsidRPr="000345CC">
        <w:rPr>
          <w:rFonts w:asciiTheme="minorHAnsi" w:hAnsiTheme="minorHAnsi"/>
          <w:b/>
        </w:rPr>
        <w:t xml:space="preserve"> in respect of both federal and State/Territory sentences.</w:t>
      </w:r>
    </w:p>
    <w:p w14:paraId="3EA966D8" w14:textId="77777777" w:rsidR="00200DF2" w:rsidRPr="00200DF2" w:rsidRDefault="00200DF2" w:rsidP="00200DF2">
      <w:pPr>
        <w:pStyle w:val="ListParagraph"/>
        <w:rPr>
          <w:rFonts w:asciiTheme="minorHAnsi" w:hAnsiTheme="minorHAnsi"/>
        </w:rPr>
      </w:pPr>
    </w:p>
    <w:p w14:paraId="24B86882" w14:textId="2F2AEB3A" w:rsidR="00200DF2" w:rsidRPr="00200DF2" w:rsidRDefault="00200DF2" w:rsidP="00EB7F1E">
      <w:pPr>
        <w:pStyle w:val="ListParagraph"/>
        <w:numPr>
          <w:ilvl w:val="1"/>
          <w:numId w:val="36"/>
        </w:numPr>
        <w:spacing w:line="276" w:lineRule="auto"/>
        <w:ind w:left="993" w:right="28" w:hanging="142"/>
        <w:rPr>
          <w:rFonts w:asciiTheme="minorHAnsi" w:hAnsiTheme="minorHAnsi"/>
          <w:b/>
        </w:rPr>
      </w:pPr>
      <w:r w:rsidRPr="00200DF2">
        <w:rPr>
          <w:rFonts w:asciiTheme="minorHAnsi" w:hAnsiTheme="minorHAnsi"/>
          <w:b/>
        </w:rPr>
        <w:t>It is not possible to combine a RRO with an order in relation to a State/Territory sentence.</w:t>
      </w:r>
    </w:p>
    <w:p w14:paraId="2EE8C11A" w14:textId="77777777" w:rsidR="00CE4F03" w:rsidRPr="00CE4F03" w:rsidRDefault="00CE4F03" w:rsidP="00CE4F03">
      <w:pPr>
        <w:pStyle w:val="ListParagraph"/>
        <w:rPr>
          <w:rFonts w:asciiTheme="minorHAnsi" w:hAnsiTheme="minorHAnsi"/>
        </w:rPr>
      </w:pPr>
    </w:p>
    <w:p w14:paraId="3C3BD9B6" w14:textId="4957E97C" w:rsidR="00CE4F03" w:rsidRDefault="00CE4F03"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Subject to mandatory minimum requirements for certain national security offences and people smuggling offences, </w:t>
      </w:r>
      <w:r w:rsidRPr="00CE4F03">
        <w:rPr>
          <w:rFonts w:asciiTheme="minorHAnsi" w:hAnsiTheme="minorHAnsi"/>
          <w:b/>
        </w:rPr>
        <w:t>there is no fixed (or “normal”) ratio between the head sentence and the period to be served</w:t>
      </w:r>
      <w:r>
        <w:rPr>
          <w:rFonts w:asciiTheme="minorHAnsi" w:hAnsiTheme="minorHAnsi"/>
        </w:rPr>
        <w:t>.  The minimum period to be served must be determined according to general sentencing principles.</w:t>
      </w:r>
    </w:p>
    <w:p w14:paraId="07B1FA05" w14:textId="77777777" w:rsidR="00CE4F03" w:rsidRPr="00CE4F03" w:rsidRDefault="00CE4F03" w:rsidP="00CE4F03">
      <w:pPr>
        <w:pStyle w:val="ListParagraph"/>
        <w:rPr>
          <w:rFonts w:asciiTheme="minorHAnsi" w:hAnsiTheme="minorHAnsi"/>
        </w:rPr>
      </w:pPr>
    </w:p>
    <w:p w14:paraId="4CA51CA7" w14:textId="3760409D" w:rsidR="00CE4F03" w:rsidRDefault="00CE4F03"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Whenever a RRO is open, </w:t>
      </w:r>
      <w:r w:rsidRPr="00F66791">
        <w:rPr>
          <w:rFonts w:asciiTheme="minorHAnsi" w:hAnsiTheme="minorHAnsi"/>
          <w:b/>
        </w:rPr>
        <w:t>it can provide that the offender be released (on that sentence) “forthwith”</w:t>
      </w:r>
      <w:r w:rsidR="00F66791">
        <w:rPr>
          <w:rFonts w:asciiTheme="minorHAnsi" w:hAnsiTheme="minorHAnsi"/>
        </w:rPr>
        <w:t xml:space="preserve"> upon entering into a recognizance.</w:t>
      </w:r>
      <w:r>
        <w:rPr>
          <w:rFonts w:asciiTheme="minorHAnsi" w:hAnsiTheme="minorHAnsi"/>
        </w:rPr>
        <w:t xml:space="preserve">  That is</w:t>
      </w:r>
      <w:r w:rsidR="00200DF2">
        <w:rPr>
          <w:rFonts w:asciiTheme="minorHAnsi" w:hAnsiTheme="minorHAnsi"/>
        </w:rPr>
        <w:t xml:space="preserve">, </w:t>
      </w:r>
      <w:r w:rsidR="00F66791">
        <w:rPr>
          <w:rFonts w:asciiTheme="minorHAnsi" w:hAnsiTheme="minorHAnsi"/>
        </w:rPr>
        <w:t xml:space="preserve">a RRO can operate in a similar way to a </w:t>
      </w:r>
      <w:r w:rsidR="00200DF2" w:rsidRPr="00F66791">
        <w:rPr>
          <w:rFonts w:asciiTheme="minorHAnsi" w:hAnsiTheme="minorHAnsi"/>
        </w:rPr>
        <w:t>wholly suspended sentence</w:t>
      </w:r>
      <w:r w:rsidR="00200DF2">
        <w:rPr>
          <w:rFonts w:asciiTheme="minorHAnsi" w:hAnsiTheme="minorHAnsi"/>
        </w:rPr>
        <w:t>.</w:t>
      </w:r>
    </w:p>
    <w:p w14:paraId="1F14A3AA" w14:textId="77777777" w:rsidR="00200DF2" w:rsidRPr="00200DF2" w:rsidRDefault="00200DF2" w:rsidP="00200DF2">
      <w:pPr>
        <w:pStyle w:val="ListParagraph"/>
        <w:rPr>
          <w:rFonts w:asciiTheme="minorHAnsi" w:hAnsiTheme="minorHAnsi"/>
        </w:rPr>
      </w:pPr>
    </w:p>
    <w:p w14:paraId="6CEB7186" w14:textId="184C9D4E" w:rsidR="008063FB" w:rsidRPr="008063FB" w:rsidRDefault="008063FB"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 court may only </w:t>
      </w:r>
      <w:r w:rsidRPr="008063FB">
        <w:rPr>
          <w:rFonts w:asciiTheme="minorHAnsi" w:hAnsiTheme="minorHAnsi"/>
          <w:b/>
        </w:rPr>
        <w:t xml:space="preserve">decline to fix a NPP or to make a RRO </w:t>
      </w:r>
      <w:r>
        <w:rPr>
          <w:rFonts w:asciiTheme="minorHAnsi" w:hAnsiTheme="minorHAnsi"/>
          <w:b/>
        </w:rPr>
        <w:t xml:space="preserve">(that is, impose a straight sentence) </w:t>
      </w:r>
      <w:r w:rsidRPr="008063FB">
        <w:rPr>
          <w:rFonts w:asciiTheme="minorHAnsi" w:hAnsiTheme="minorHAnsi"/>
          <w:b/>
        </w:rPr>
        <w:t>when it would otherwise be required to do so if it is satisfied of particular statutory criteria</w:t>
      </w:r>
      <w:r>
        <w:rPr>
          <w:rFonts w:asciiTheme="minorHAnsi" w:hAnsiTheme="minorHAnsi"/>
        </w:rPr>
        <w:t xml:space="preserve">.  </w:t>
      </w:r>
    </w:p>
    <w:p w14:paraId="51E226DC" w14:textId="77777777" w:rsidR="008063FB" w:rsidRPr="008063FB" w:rsidRDefault="008063FB" w:rsidP="008063FB">
      <w:pPr>
        <w:pStyle w:val="ListParagraph"/>
        <w:rPr>
          <w:rFonts w:asciiTheme="minorHAnsi" w:hAnsiTheme="minorHAnsi"/>
          <w:b/>
        </w:rPr>
      </w:pPr>
    </w:p>
    <w:p w14:paraId="3F0C2B77" w14:textId="7C6FED31" w:rsidR="00200DF2" w:rsidRPr="00C17625" w:rsidRDefault="00187334" w:rsidP="00EB7F1E">
      <w:pPr>
        <w:pStyle w:val="ListParagraph"/>
        <w:numPr>
          <w:ilvl w:val="1"/>
          <w:numId w:val="36"/>
        </w:numPr>
        <w:spacing w:line="276" w:lineRule="auto"/>
        <w:ind w:left="993" w:right="28" w:hanging="142"/>
        <w:rPr>
          <w:rFonts w:asciiTheme="minorHAnsi" w:hAnsiTheme="minorHAnsi"/>
        </w:rPr>
      </w:pPr>
      <w:r w:rsidRPr="008063FB">
        <w:rPr>
          <w:rFonts w:asciiTheme="minorHAnsi" w:hAnsiTheme="minorHAnsi"/>
          <w:b/>
        </w:rPr>
        <w:t xml:space="preserve">Whenever the court declines to fix a NPP or to </w:t>
      </w:r>
      <w:r w:rsidR="008063FB" w:rsidRPr="008063FB">
        <w:rPr>
          <w:rFonts w:asciiTheme="minorHAnsi" w:hAnsiTheme="minorHAnsi"/>
          <w:b/>
        </w:rPr>
        <w:t>make a RRO, it must state its reasons</w:t>
      </w:r>
      <w:r w:rsidR="008063FB">
        <w:rPr>
          <w:rFonts w:asciiTheme="minorHAnsi" w:hAnsiTheme="minorHAnsi"/>
        </w:rPr>
        <w:t xml:space="preserve"> for doing so and cause them to be entered in the records of the court.</w:t>
      </w:r>
    </w:p>
    <w:p w14:paraId="1B25E988" w14:textId="77777777" w:rsidR="00D73A50" w:rsidRDefault="00D73A50" w:rsidP="00FB4D12">
      <w:pPr>
        <w:pStyle w:val="ListParagraph"/>
        <w:rPr>
          <w:rFonts w:asciiTheme="minorHAnsi" w:hAnsiTheme="minorHAnsi"/>
        </w:rPr>
      </w:pPr>
    </w:p>
    <w:p w14:paraId="3E200127" w14:textId="0148BC15" w:rsidR="00475901" w:rsidRDefault="00D73A5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w:t>
      </w:r>
      <w:r w:rsidRPr="00D96F7D">
        <w:rPr>
          <w:rFonts w:asciiTheme="minorHAnsi" w:hAnsiTheme="minorHAnsi"/>
        </w:rPr>
        <w:t>succeeding</w:t>
      </w:r>
      <w:r>
        <w:rPr>
          <w:rFonts w:asciiTheme="minorHAnsi" w:hAnsiTheme="minorHAnsi"/>
        </w:rPr>
        <w:t xml:space="preserve"> parts of this chapter describe these requirements in more detail.</w:t>
      </w:r>
    </w:p>
    <w:p w14:paraId="5E6410B9" w14:textId="77777777" w:rsidR="00D73A50" w:rsidRDefault="00D73A50" w:rsidP="00FB4D12">
      <w:pPr>
        <w:pStyle w:val="ListParagraph"/>
        <w:rPr>
          <w:rFonts w:asciiTheme="minorHAnsi" w:hAnsiTheme="minorHAnsi"/>
        </w:rPr>
      </w:pPr>
    </w:p>
    <w:p w14:paraId="31D0D85E" w14:textId="3B53C0FD" w:rsidR="00C17625" w:rsidRPr="00C17625" w:rsidRDefault="00C17625" w:rsidP="006D50C7">
      <w:pPr>
        <w:pStyle w:val="Heading3"/>
      </w:pPr>
      <w:bookmarkStart w:id="1932" w:name="_Ref506992656"/>
      <w:bookmarkStart w:id="1933" w:name="_Ref506992663"/>
      <w:bookmarkStart w:id="1934" w:name="_Ref507247415"/>
      <w:bookmarkStart w:id="1935" w:name="_Ref507247420"/>
      <w:bookmarkStart w:id="1936" w:name="_Toc33602898"/>
      <w:r w:rsidRPr="00C17625">
        <w:t>Where federal offender is not undergoing a federal term of imprisonment</w:t>
      </w:r>
      <w:r w:rsidR="00E82853">
        <w:t>: NPP</w:t>
      </w:r>
      <w:r w:rsidR="0077044E">
        <w:t>,</w:t>
      </w:r>
      <w:r w:rsidR="00A064F8">
        <w:t xml:space="preserve"> RRO or straight sentence</w:t>
      </w:r>
      <w:bookmarkEnd w:id="1932"/>
      <w:bookmarkEnd w:id="1933"/>
      <w:bookmarkEnd w:id="1934"/>
      <w:bookmarkEnd w:id="1935"/>
      <w:bookmarkEnd w:id="1936"/>
    </w:p>
    <w:p w14:paraId="34094AB1" w14:textId="77777777" w:rsidR="00C17625" w:rsidRPr="00C00000" w:rsidRDefault="00C17625" w:rsidP="006D50C7">
      <w:pPr>
        <w:pStyle w:val="ListParagraph"/>
        <w:keepNext/>
        <w:spacing w:line="276" w:lineRule="auto"/>
        <w:ind w:left="567"/>
        <w:contextualSpacing w:val="0"/>
        <w:rPr>
          <w:rFonts w:asciiTheme="minorHAnsi" w:hAnsiTheme="minorHAnsi"/>
        </w:rPr>
      </w:pPr>
    </w:p>
    <w:p w14:paraId="4563EFB4" w14:textId="0C32DEC4" w:rsidR="0077044E" w:rsidRDefault="0077044E"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the offender is to be sentenced for one of the people-smuggling offences to which s 236B of </w:t>
      </w:r>
      <w:r w:rsidRPr="00C00000">
        <w:rPr>
          <w:rFonts w:asciiTheme="minorHAnsi" w:hAnsiTheme="minorHAnsi"/>
        </w:rPr>
        <w:t xml:space="preserve">the </w:t>
      </w:r>
      <w:r w:rsidRPr="00C00000">
        <w:rPr>
          <w:rFonts w:asciiTheme="minorHAnsi" w:hAnsiTheme="minorHAnsi"/>
          <w:i/>
          <w:iCs/>
        </w:rPr>
        <w:t>Migration Act 1958</w:t>
      </w:r>
      <w:r>
        <w:rPr>
          <w:rFonts w:asciiTheme="minorHAnsi" w:hAnsiTheme="minorHAnsi"/>
          <w:i/>
          <w:iCs/>
        </w:rPr>
        <w:t xml:space="preserve"> </w:t>
      </w:r>
      <w:r>
        <w:rPr>
          <w:rFonts w:asciiTheme="minorHAnsi" w:hAnsiTheme="minorHAnsi"/>
          <w:iCs/>
        </w:rPr>
        <w:t>(Cth) applies, mandatory requirements apply to the fixing of both the head sentence and NPP.</w:t>
      </w:r>
      <w:r>
        <w:rPr>
          <w:rFonts w:asciiTheme="minorHAnsi" w:hAnsiTheme="minorHAnsi"/>
        </w:rPr>
        <w:t xml:space="preserve">  See</w:t>
      </w:r>
      <w:r w:rsidRPr="004E17DD">
        <w:rPr>
          <w:rFonts w:asciiTheme="minorHAnsi" w:hAnsiTheme="minorHAnsi"/>
        </w:rPr>
        <w:t xml:space="preserve"> </w:t>
      </w:r>
      <w:r>
        <w:rPr>
          <w:rFonts w:asciiTheme="minorHAnsi" w:hAnsiTheme="minorHAnsi"/>
        </w:rPr>
        <w:t>“</w:t>
      </w:r>
      <w:r>
        <w:rPr>
          <w:rFonts w:asciiTheme="minorHAnsi" w:hAnsiTheme="minorHAnsi"/>
        </w:rPr>
        <w:fldChar w:fldCharType="begin"/>
      </w:r>
      <w:r>
        <w:rPr>
          <w:rFonts w:asciiTheme="minorHAnsi" w:hAnsiTheme="minorHAnsi"/>
        </w:rPr>
        <w:instrText xml:space="preserve"> REF _Ref492551931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8.1.2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_Ref492551931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Mandatory imprisonment for certain people-smuggling offences</w:t>
      </w:r>
      <w:r>
        <w:rPr>
          <w:rFonts w:asciiTheme="minorHAnsi" w:hAnsiTheme="minorHAnsi"/>
        </w:rPr>
        <w:fldChar w:fldCharType="end"/>
      </w:r>
      <w:r>
        <w:rPr>
          <w:rFonts w:asciiTheme="minorHAnsi" w:hAnsiTheme="minorHAnsi"/>
        </w:rPr>
        <w:t>”.</w:t>
      </w:r>
    </w:p>
    <w:p w14:paraId="25EFB538" w14:textId="77777777" w:rsidR="0077044E" w:rsidRPr="00B639C8" w:rsidRDefault="0077044E" w:rsidP="0077044E">
      <w:pPr>
        <w:pStyle w:val="ListParagraph"/>
        <w:rPr>
          <w:rFonts w:asciiTheme="minorHAnsi" w:hAnsiTheme="minorHAnsi"/>
        </w:rPr>
      </w:pPr>
    </w:p>
    <w:p w14:paraId="0AD39519" w14:textId="22CD6546" w:rsidR="00FA0D8A" w:rsidRDefault="00FA0D8A"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the offender is to be sentenced for one of the national security related offences which is a “minimum non-parole period offence”, sentencing is governed by s 19AG of the </w:t>
      </w:r>
      <w:r w:rsidR="00885EFD" w:rsidRPr="00885EFD">
        <w:rPr>
          <w:rFonts w:asciiTheme="minorHAnsi" w:hAnsiTheme="minorHAnsi"/>
          <w:i/>
        </w:rPr>
        <w:t>Crimes Act 1914</w:t>
      </w:r>
      <w:r>
        <w:rPr>
          <w:rFonts w:asciiTheme="minorHAnsi" w:hAnsiTheme="minorHAnsi"/>
        </w:rPr>
        <w:t xml:space="preserve"> (Cth), which overrides other provisions relating to the fixing of periods, or minimum periods of imprisonment.  </w:t>
      </w:r>
      <w:r w:rsidR="00044813">
        <w:rPr>
          <w:rFonts w:asciiTheme="minorHAnsi" w:hAnsiTheme="minorHAnsi"/>
        </w:rPr>
        <w:t xml:space="preserve">See </w:t>
      </w:r>
      <w:r w:rsidR="002641E0">
        <w:rPr>
          <w:rFonts w:asciiTheme="minorHAnsi" w:hAnsiTheme="minorHAnsi"/>
        </w:rPr>
        <w:t>“</w:t>
      </w:r>
      <w:r w:rsidR="002641E0">
        <w:rPr>
          <w:rFonts w:asciiTheme="minorHAnsi" w:hAnsiTheme="minorHAnsi"/>
        </w:rPr>
        <w:fldChar w:fldCharType="begin"/>
      </w:r>
      <w:r w:rsidR="002641E0">
        <w:rPr>
          <w:rFonts w:asciiTheme="minorHAnsi" w:hAnsiTheme="minorHAnsi"/>
        </w:rPr>
        <w:instrText xml:space="preserve"> REF _Ref507141153 \r \h  \* MERGEFORMAT </w:instrText>
      </w:r>
      <w:r w:rsidR="002641E0">
        <w:rPr>
          <w:rFonts w:asciiTheme="minorHAnsi" w:hAnsiTheme="minorHAnsi"/>
        </w:rPr>
      </w:r>
      <w:r w:rsidR="002641E0">
        <w:rPr>
          <w:rFonts w:asciiTheme="minorHAnsi" w:hAnsiTheme="minorHAnsi"/>
        </w:rPr>
        <w:fldChar w:fldCharType="separate"/>
      </w:r>
      <w:r w:rsidR="00D44BCF">
        <w:rPr>
          <w:rFonts w:asciiTheme="minorHAnsi" w:hAnsiTheme="minorHAnsi"/>
        </w:rPr>
        <w:t>5.10.9</w:t>
      </w:r>
      <w:r w:rsidR="002641E0">
        <w:rPr>
          <w:rFonts w:asciiTheme="minorHAnsi" w:hAnsiTheme="minorHAnsi"/>
        </w:rPr>
        <w:fldChar w:fldCharType="end"/>
      </w:r>
      <w:r w:rsidR="002641E0">
        <w:rPr>
          <w:rFonts w:asciiTheme="minorHAnsi" w:hAnsiTheme="minorHAnsi"/>
        </w:rPr>
        <w:t xml:space="preserve"> </w:t>
      </w:r>
      <w:r w:rsidR="002641E0">
        <w:rPr>
          <w:rFonts w:asciiTheme="minorHAnsi" w:hAnsiTheme="minorHAnsi"/>
        </w:rPr>
        <w:fldChar w:fldCharType="begin"/>
      </w:r>
      <w:r w:rsidR="002641E0">
        <w:rPr>
          <w:rFonts w:asciiTheme="minorHAnsi" w:hAnsiTheme="minorHAnsi"/>
        </w:rPr>
        <w:instrText xml:space="preserve"> REF _Ref507141153 \h  \* MERGEFORMAT </w:instrText>
      </w:r>
      <w:r w:rsidR="002641E0">
        <w:rPr>
          <w:rFonts w:asciiTheme="minorHAnsi" w:hAnsiTheme="minorHAnsi"/>
        </w:rPr>
      </w:r>
      <w:r w:rsidR="002641E0">
        <w:rPr>
          <w:rFonts w:asciiTheme="minorHAnsi" w:hAnsiTheme="minorHAnsi"/>
        </w:rPr>
        <w:fldChar w:fldCharType="separate"/>
      </w:r>
      <w:r w:rsidR="00D44BCF" w:rsidRPr="00D44BCF">
        <w:rPr>
          <w:rFonts w:asciiTheme="minorHAnsi" w:hAnsiTheme="minorHAnsi"/>
        </w:rPr>
        <w:t>The three-quarters rule in fixing a NPP for certain national security offences</w:t>
      </w:r>
      <w:r w:rsidR="002641E0">
        <w:rPr>
          <w:rFonts w:asciiTheme="minorHAnsi" w:hAnsiTheme="minorHAnsi"/>
        </w:rPr>
        <w:fldChar w:fldCharType="end"/>
      </w:r>
      <w:r w:rsidR="002641E0">
        <w:rPr>
          <w:rFonts w:asciiTheme="minorHAnsi" w:hAnsiTheme="minorHAnsi"/>
        </w:rPr>
        <w:t>”</w:t>
      </w:r>
      <w:r w:rsidR="00044813">
        <w:rPr>
          <w:rFonts w:asciiTheme="minorHAnsi" w:hAnsiTheme="minorHAnsi"/>
        </w:rPr>
        <w:t>.</w:t>
      </w:r>
    </w:p>
    <w:p w14:paraId="7AA88905" w14:textId="77777777" w:rsidR="00044813" w:rsidRPr="00044813" w:rsidRDefault="00044813" w:rsidP="00044813">
      <w:pPr>
        <w:pStyle w:val="ListParagraph"/>
        <w:rPr>
          <w:rFonts w:asciiTheme="minorHAnsi" w:hAnsiTheme="minorHAnsi"/>
        </w:rPr>
      </w:pPr>
    </w:p>
    <w:p w14:paraId="40284107" w14:textId="118AB7CD" w:rsidR="0077044E" w:rsidRDefault="00B639C8" w:rsidP="00EB7F1E">
      <w:pPr>
        <w:pStyle w:val="ListParagraph"/>
        <w:numPr>
          <w:ilvl w:val="0"/>
          <w:numId w:val="7"/>
        </w:numPr>
        <w:spacing w:line="276" w:lineRule="auto"/>
        <w:ind w:left="425" w:hanging="425"/>
        <w:contextualSpacing w:val="0"/>
        <w:rPr>
          <w:rFonts w:asciiTheme="minorHAnsi" w:hAnsiTheme="minorHAnsi"/>
        </w:rPr>
      </w:pPr>
      <w:r w:rsidRPr="00461FF6">
        <w:rPr>
          <w:rFonts w:asciiTheme="minorHAnsi" w:hAnsiTheme="minorHAnsi"/>
        </w:rPr>
        <w:t>In any other case, the</w:t>
      </w:r>
      <w:r w:rsidR="00461FF6" w:rsidRPr="00461FF6">
        <w:rPr>
          <w:rFonts w:asciiTheme="minorHAnsi" w:hAnsiTheme="minorHAnsi"/>
        </w:rPr>
        <w:t xml:space="preserve"> fixing of a period, or minimum period, to be served </w:t>
      </w:r>
      <w:r w:rsidR="0077044E">
        <w:rPr>
          <w:rFonts w:asciiTheme="minorHAnsi" w:hAnsiTheme="minorHAnsi"/>
        </w:rPr>
        <w:t>for one or more</w:t>
      </w:r>
      <w:r w:rsidR="00461FF6">
        <w:rPr>
          <w:rFonts w:asciiTheme="minorHAnsi" w:hAnsiTheme="minorHAnsi"/>
        </w:rPr>
        <w:t xml:space="preserve"> federal</w:t>
      </w:r>
      <w:r w:rsidR="00461FF6" w:rsidRPr="00461FF6">
        <w:rPr>
          <w:rFonts w:asciiTheme="minorHAnsi" w:hAnsiTheme="minorHAnsi"/>
        </w:rPr>
        <w:t xml:space="preserve"> </w:t>
      </w:r>
      <w:r w:rsidR="0077044E">
        <w:rPr>
          <w:rFonts w:asciiTheme="minorHAnsi" w:hAnsiTheme="minorHAnsi"/>
        </w:rPr>
        <w:t xml:space="preserve">offences by an </w:t>
      </w:r>
      <w:r w:rsidR="00461FF6" w:rsidRPr="00461FF6">
        <w:rPr>
          <w:rFonts w:asciiTheme="minorHAnsi" w:hAnsiTheme="minorHAnsi"/>
        </w:rPr>
        <w:t>offender</w:t>
      </w:r>
      <w:r w:rsidR="00461FF6">
        <w:rPr>
          <w:rFonts w:asciiTheme="minorHAnsi" w:hAnsiTheme="minorHAnsi"/>
        </w:rPr>
        <w:t xml:space="preserve"> who is</w:t>
      </w:r>
      <w:r w:rsidR="00BA6150" w:rsidRPr="00461FF6">
        <w:rPr>
          <w:rFonts w:asciiTheme="minorHAnsi" w:hAnsiTheme="minorHAnsi"/>
          <w:b/>
        </w:rPr>
        <w:t xml:space="preserve"> </w:t>
      </w:r>
      <w:r w:rsidR="00BA6150" w:rsidRPr="0077044E">
        <w:rPr>
          <w:rFonts w:asciiTheme="minorHAnsi" w:hAnsiTheme="minorHAnsi"/>
        </w:rPr>
        <w:t xml:space="preserve">not </w:t>
      </w:r>
      <w:r w:rsidR="00461FF6" w:rsidRPr="0077044E">
        <w:rPr>
          <w:rFonts w:asciiTheme="minorHAnsi" w:hAnsiTheme="minorHAnsi"/>
        </w:rPr>
        <w:t xml:space="preserve">already serving or subject to </w:t>
      </w:r>
      <w:r w:rsidR="00BA6150" w:rsidRPr="0077044E">
        <w:rPr>
          <w:rFonts w:asciiTheme="minorHAnsi" w:hAnsiTheme="minorHAnsi"/>
        </w:rPr>
        <w:t>a federal sentence</w:t>
      </w:r>
      <w:r w:rsidR="00BA6150" w:rsidRPr="00461FF6">
        <w:rPr>
          <w:rFonts w:asciiTheme="minorHAnsi" w:hAnsiTheme="minorHAnsi"/>
        </w:rPr>
        <w:t xml:space="preserve"> </w:t>
      </w:r>
      <w:r w:rsidR="00461FF6">
        <w:rPr>
          <w:rFonts w:asciiTheme="minorHAnsi" w:hAnsiTheme="minorHAnsi"/>
        </w:rPr>
        <w:t>(that is, a sentence of imprisonment</w:t>
      </w:r>
      <w:r w:rsidR="00EA46C3">
        <w:rPr>
          <w:rFonts w:asciiTheme="minorHAnsi" w:hAnsiTheme="minorHAnsi"/>
        </w:rPr>
        <w:t xml:space="preserve"> for a federal offence</w:t>
      </w:r>
      <w:r w:rsidR="00461FF6">
        <w:rPr>
          <w:rFonts w:asciiTheme="minorHAnsi" w:hAnsiTheme="minorHAnsi"/>
        </w:rPr>
        <w:t>: see the definition</w:t>
      </w:r>
      <w:r w:rsidR="00EA46C3">
        <w:rPr>
          <w:rFonts w:asciiTheme="minorHAnsi" w:hAnsiTheme="minorHAnsi"/>
        </w:rPr>
        <w:t>s</w:t>
      </w:r>
      <w:r w:rsidR="00461FF6">
        <w:rPr>
          <w:rFonts w:asciiTheme="minorHAnsi" w:hAnsiTheme="minorHAnsi"/>
        </w:rPr>
        <w:t xml:space="preserve"> </w:t>
      </w:r>
      <w:r w:rsidR="00EA46C3">
        <w:rPr>
          <w:rFonts w:asciiTheme="minorHAnsi" w:hAnsiTheme="minorHAnsi"/>
        </w:rPr>
        <w:t>of “</w:t>
      </w:r>
      <w:r w:rsidR="00EA46C3" w:rsidRPr="009621AE">
        <w:rPr>
          <w:rFonts w:asciiTheme="minorHAnsi" w:hAnsiTheme="minorHAnsi"/>
          <w:i/>
        </w:rPr>
        <w:t>federal sentence</w:t>
      </w:r>
      <w:r w:rsidR="00EA46C3">
        <w:rPr>
          <w:rFonts w:asciiTheme="minorHAnsi" w:hAnsiTheme="minorHAnsi"/>
        </w:rPr>
        <w:t>” and “</w:t>
      </w:r>
      <w:r w:rsidR="00EA46C3" w:rsidRPr="009621AE">
        <w:rPr>
          <w:rFonts w:asciiTheme="minorHAnsi" w:hAnsiTheme="minorHAnsi"/>
          <w:i/>
        </w:rPr>
        <w:t>sentence</w:t>
      </w:r>
      <w:r w:rsidR="00EA46C3">
        <w:rPr>
          <w:rFonts w:asciiTheme="minorHAnsi" w:hAnsiTheme="minorHAnsi"/>
        </w:rPr>
        <w:t xml:space="preserve">” in s 16(1) of the </w:t>
      </w:r>
      <w:r w:rsidR="00885EFD" w:rsidRPr="00885EFD">
        <w:rPr>
          <w:rFonts w:asciiTheme="minorHAnsi" w:hAnsiTheme="minorHAnsi"/>
          <w:i/>
        </w:rPr>
        <w:t>Crimes Act 1914</w:t>
      </w:r>
      <w:r w:rsidR="00EA46C3">
        <w:rPr>
          <w:rFonts w:asciiTheme="minorHAnsi" w:hAnsiTheme="minorHAnsi"/>
        </w:rPr>
        <w:t>) is governed by ss 19AB</w:t>
      </w:r>
      <w:r w:rsidR="009621AE">
        <w:rPr>
          <w:rFonts w:asciiTheme="minorHAnsi" w:hAnsiTheme="minorHAnsi"/>
        </w:rPr>
        <w:t>(1)</w:t>
      </w:r>
      <w:r w:rsidR="00EA46C3">
        <w:rPr>
          <w:rFonts w:asciiTheme="minorHAnsi" w:hAnsiTheme="minorHAnsi"/>
        </w:rPr>
        <w:t xml:space="preserve"> </w:t>
      </w:r>
      <w:r w:rsidR="0077044E">
        <w:rPr>
          <w:rFonts w:asciiTheme="minorHAnsi" w:hAnsiTheme="minorHAnsi"/>
        </w:rPr>
        <w:t>or</w:t>
      </w:r>
      <w:r w:rsidR="00EA46C3">
        <w:rPr>
          <w:rFonts w:asciiTheme="minorHAnsi" w:hAnsiTheme="minorHAnsi"/>
        </w:rPr>
        <w:t xml:space="preserve"> 19AC</w:t>
      </w:r>
      <w:r w:rsidR="009621AE">
        <w:rPr>
          <w:rFonts w:asciiTheme="minorHAnsi" w:hAnsiTheme="minorHAnsi"/>
        </w:rPr>
        <w:t xml:space="preserve">(1) </w:t>
      </w:r>
      <w:r w:rsidR="00EA46C3">
        <w:rPr>
          <w:rFonts w:asciiTheme="minorHAnsi" w:hAnsiTheme="minorHAnsi"/>
        </w:rPr>
        <w:t xml:space="preserve">of the </w:t>
      </w:r>
      <w:r w:rsidR="0077044E">
        <w:rPr>
          <w:rFonts w:asciiTheme="minorHAnsi" w:hAnsiTheme="minorHAnsi"/>
        </w:rPr>
        <w:t>Act (whichever is applicable)</w:t>
      </w:r>
      <w:r w:rsidR="00A94D9E">
        <w:rPr>
          <w:rFonts w:asciiTheme="minorHAnsi" w:hAnsiTheme="minorHAnsi"/>
        </w:rPr>
        <w:t>, subject to the exceptions provided in those sections</w:t>
      </w:r>
      <w:r w:rsidR="0077044E">
        <w:rPr>
          <w:rFonts w:asciiTheme="minorHAnsi" w:hAnsiTheme="minorHAnsi"/>
        </w:rPr>
        <w:t>.</w:t>
      </w:r>
    </w:p>
    <w:p w14:paraId="51F61D52" w14:textId="77777777" w:rsidR="0077044E" w:rsidRPr="0077044E" w:rsidRDefault="0077044E" w:rsidP="0077044E">
      <w:pPr>
        <w:pStyle w:val="ListParagraph"/>
        <w:rPr>
          <w:rFonts w:asciiTheme="minorHAnsi" w:hAnsiTheme="minorHAnsi"/>
        </w:rPr>
      </w:pPr>
    </w:p>
    <w:p w14:paraId="7725A91D" w14:textId="6D670989" w:rsidR="0077044E" w:rsidRDefault="0077044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These provisions apply </w:t>
      </w:r>
      <w:r w:rsidR="00BA6150" w:rsidRPr="00461FF6">
        <w:rPr>
          <w:rFonts w:asciiTheme="minorHAnsi" w:hAnsiTheme="minorHAnsi"/>
        </w:rPr>
        <w:t>even if the offender is undergoing a State or Territory sentence of imprisonment</w:t>
      </w:r>
      <w:r>
        <w:rPr>
          <w:rFonts w:asciiTheme="minorHAnsi" w:hAnsiTheme="minorHAnsi"/>
        </w:rPr>
        <w:t xml:space="preserve">.  </w:t>
      </w:r>
      <w:r w:rsidR="00A87019">
        <w:rPr>
          <w:rFonts w:asciiTheme="minorHAnsi" w:hAnsiTheme="minorHAnsi"/>
        </w:rPr>
        <w:t>(</w:t>
      </w:r>
      <w:r>
        <w:rPr>
          <w:rFonts w:asciiTheme="minorHAnsi" w:hAnsiTheme="minorHAnsi"/>
        </w:rPr>
        <w:t xml:space="preserve">The only significance of </w:t>
      </w:r>
      <w:r w:rsidR="00A87019">
        <w:rPr>
          <w:rFonts w:asciiTheme="minorHAnsi" w:hAnsiTheme="minorHAnsi"/>
        </w:rPr>
        <w:t xml:space="preserve">whether the offender is </w:t>
      </w:r>
      <w:r>
        <w:rPr>
          <w:rFonts w:asciiTheme="minorHAnsi" w:hAnsiTheme="minorHAnsi"/>
        </w:rPr>
        <w:t xml:space="preserve">serving a State or Territory </w:t>
      </w:r>
      <w:r w:rsidR="00A87019">
        <w:rPr>
          <w:rFonts w:asciiTheme="minorHAnsi" w:hAnsiTheme="minorHAnsi"/>
        </w:rPr>
        <w:t xml:space="preserve">sentence </w:t>
      </w:r>
      <w:r>
        <w:rPr>
          <w:rFonts w:asciiTheme="minorHAnsi" w:hAnsiTheme="minorHAnsi"/>
        </w:rPr>
        <w:t xml:space="preserve">is that it </w:t>
      </w:r>
      <w:r w:rsidR="00A87019">
        <w:rPr>
          <w:rFonts w:asciiTheme="minorHAnsi" w:hAnsiTheme="minorHAnsi"/>
        </w:rPr>
        <w:t>may affect the order to be made for the federal offence(s).</w:t>
      </w:r>
      <w:r w:rsidR="00681F4B" w:rsidRPr="00C00000">
        <w:rPr>
          <w:rStyle w:val="Style"/>
          <w:rFonts w:asciiTheme="minorHAnsi" w:hAnsiTheme="minorHAnsi"/>
        </w:rPr>
        <w:footnoteReference w:id="810"/>
      </w:r>
      <w:r w:rsidR="00A87019">
        <w:rPr>
          <w:rFonts w:asciiTheme="minorHAnsi" w:hAnsiTheme="minorHAnsi"/>
        </w:rPr>
        <w:t>)</w:t>
      </w:r>
    </w:p>
    <w:p w14:paraId="5FAEF75E" w14:textId="77777777" w:rsidR="0077044E" w:rsidRPr="0077044E" w:rsidRDefault="0077044E" w:rsidP="0077044E">
      <w:pPr>
        <w:pStyle w:val="ListParagraph"/>
        <w:rPr>
          <w:rFonts w:asciiTheme="minorHAnsi" w:hAnsiTheme="minorHAnsi"/>
        </w:rPr>
      </w:pPr>
    </w:p>
    <w:p w14:paraId="5BEDA153" w14:textId="4A557FB6" w:rsidR="00636F8D" w:rsidRDefault="00A94D9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When an</w:t>
      </w:r>
      <w:r w:rsidR="00A87019">
        <w:rPr>
          <w:rFonts w:asciiTheme="minorHAnsi" w:hAnsiTheme="minorHAnsi"/>
        </w:rPr>
        <w:t xml:space="preserve"> offender</w:t>
      </w:r>
      <w:r w:rsidR="00BA6150" w:rsidRPr="00461FF6">
        <w:rPr>
          <w:rFonts w:asciiTheme="minorHAnsi" w:hAnsiTheme="minorHAnsi"/>
        </w:rPr>
        <w:t xml:space="preserve"> is to be sentenced to a term of imprisonment for one or more federal offences, the </w:t>
      </w:r>
      <w:r w:rsidR="00A87019">
        <w:rPr>
          <w:rFonts w:asciiTheme="minorHAnsi" w:hAnsiTheme="minorHAnsi"/>
        </w:rPr>
        <w:t xml:space="preserve">applicable </w:t>
      </w:r>
      <w:r w:rsidR="00BA6150" w:rsidRPr="00461FF6">
        <w:rPr>
          <w:rFonts w:asciiTheme="minorHAnsi" w:hAnsiTheme="minorHAnsi"/>
        </w:rPr>
        <w:t xml:space="preserve">requirements under the </w:t>
      </w:r>
      <w:r w:rsidR="00885EFD" w:rsidRPr="00885EFD">
        <w:rPr>
          <w:rFonts w:asciiTheme="minorHAnsi" w:hAnsiTheme="minorHAnsi"/>
          <w:i/>
        </w:rPr>
        <w:t>Crimes Act 1914</w:t>
      </w:r>
      <w:r w:rsidR="00BA6150" w:rsidRPr="00461FF6">
        <w:rPr>
          <w:rFonts w:asciiTheme="minorHAnsi" w:hAnsiTheme="minorHAnsi"/>
          <w:i/>
        </w:rPr>
        <w:t xml:space="preserve"> </w:t>
      </w:r>
      <w:r w:rsidR="00BA6150" w:rsidRPr="00461FF6">
        <w:rPr>
          <w:rFonts w:asciiTheme="minorHAnsi" w:hAnsiTheme="minorHAnsi"/>
        </w:rPr>
        <w:t>(Cth) relating to NPPs or RRO periods</w:t>
      </w:r>
      <w:r w:rsidR="00A87019">
        <w:rPr>
          <w:rFonts w:asciiTheme="minorHAnsi" w:hAnsiTheme="minorHAnsi"/>
        </w:rPr>
        <w:t xml:space="preserve"> turn on the length of the head sentence </w:t>
      </w:r>
      <w:r w:rsidR="00A87019" w:rsidRPr="00461FF6">
        <w:rPr>
          <w:rFonts w:asciiTheme="minorHAnsi" w:hAnsiTheme="minorHAnsi"/>
        </w:rPr>
        <w:t>for those federal offences</w:t>
      </w:r>
      <w:r w:rsidR="00A87019">
        <w:rPr>
          <w:rFonts w:asciiTheme="minorHAnsi" w:hAnsiTheme="minorHAnsi"/>
        </w:rPr>
        <w:t>.</w:t>
      </w:r>
      <w:r w:rsidR="00BA6150" w:rsidRPr="00461FF6">
        <w:rPr>
          <w:rFonts w:asciiTheme="minorHAnsi" w:hAnsiTheme="minorHAnsi"/>
        </w:rPr>
        <w:t xml:space="preserve"> </w:t>
      </w:r>
      <w:r w:rsidR="00A87019">
        <w:rPr>
          <w:rFonts w:asciiTheme="minorHAnsi" w:hAnsiTheme="minorHAnsi"/>
        </w:rPr>
        <w:t xml:space="preserve"> </w:t>
      </w:r>
      <w:r w:rsidR="00A87019" w:rsidRPr="00461FF6">
        <w:rPr>
          <w:rFonts w:asciiTheme="minorHAnsi" w:hAnsiTheme="minorHAnsi"/>
        </w:rPr>
        <w:t xml:space="preserve">If </w:t>
      </w:r>
      <w:r w:rsidR="00636F8D">
        <w:rPr>
          <w:rFonts w:asciiTheme="minorHAnsi" w:hAnsiTheme="minorHAnsi"/>
        </w:rPr>
        <w:t xml:space="preserve">there is </w:t>
      </w:r>
      <w:r w:rsidR="00A87019" w:rsidRPr="00461FF6">
        <w:rPr>
          <w:rFonts w:asciiTheme="minorHAnsi" w:hAnsiTheme="minorHAnsi"/>
        </w:rPr>
        <w:t>more than one</w:t>
      </w:r>
      <w:r w:rsidR="00636F8D">
        <w:rPr>
          <w:rFonts w:asciiTheme="minorHAnsi" w:hAnsiTheme="minorHAnsi"/>
        </w:rPr>
        <w:t xml:space="preserve"> federal offence</w:t>
      </w:r>
      <w:r w:rsidR="00A87019" w:rsidRPr="00461FF6">
        <w:rPr>
          <w:rFonts w:asciiTheme="minorHAnsi" w:hAnsiTheme="minorHAnsi"/>
        </w:rPr>
        <w:t xml:space="preserve">, </w:t>
      </w:r>
      <w:r w:rsidR="00636F8D">
        <w:rPr>
          <w:rFonts w:asciiTheme="minorHAnsi" w:hAnsiTheme="minorHAnsi"/>
        </w:rPr>
        <w:t xml:space="preserve">the requirements depend on </w:t>
      </w:r>
      <w:r w:rsidR="00A87019" w:rsidRPr="00461FF6">
        <w:rPr>
          <w:rFonts w:asciiTheme="minorHAnsi" w:hAnsiTheme="minorHAnsi"/>
        </w:rPr>
        <w:t>the aggregate of those sentences</w:t>
      </w:r>
      <w:r w:rsidR="00636F8D">
        <w:rPr>
          <w:rFonts w:asciiTheme="minorHAnsi" w:hAnsiTheme="minorHAnsi"/>
        </w:rPr>
        <w:t xml:space="preserve">.  </w:t>
      </w:r>
      <w:r w:rsidR="00636F8D">
        <w:rPr>
          <w:rFonts w:asciiTheme="minorHAnsi" w:hAnsiTheme="minorHAnsi"/>
          <w:i/>
        </w:rPr>
        <w:t xml:space="preserve">”Aggregate” </w:t>
      </w:r>
      <w:r w:rsidR="00636F8D">
        <w:rPr>
          <w:rFonts w:asciiTheme="minorHAnsi" w:hAnsiTheme="minorHAnsi"/>
        </w:rPr>
        <w:t xml:space="preserve">is defined in s 16(1) of the </w:t>
      </w:r>
      <w:r w:rsidR="00885EFD" w:rsidRPr="00885EFD">
        <w:rPr>
          <w:rFonts w:asciiTheme="minorHAnsi" w:hAnsiTheme="minorHAnsi"/>
          <w:i/>
        </w:rPr>
        <w:t>Crimes Act 1914</w:t>
      </w:r>
      <w:r w:rsidR="00636F8D" w:rsidRPr="00A201C6">
        <w:rPr>
          <w:rFonts w:asciiTheme="minorHAnsi" w:hAnsiTheme="minorHAnsi"/>
        </w:rPr>
        <w:t xml:space="preserve"> (Cth)</w:t>
      </w:r>
      <w:r w:rsidR="00636F8D">
        <w:rPr>
          <w:rFonts w:asciiTheme="minorHAnsi" w:hAnsiTheme="minorHAnsi"/>
        </w:rPr>
        <w:t xml:space="preserve"> to mean, in relation to two or more sentences of imprisonment, the total effective sentence, having regard to whether the sentences are to be served cumulatively, partly cumulatively, or concurrently.</w:t>
      </w:r>
    </w:p>
    <w:p w14:paraId="1FCEAFD2" w14:textId="77777777" w:rsidR="00636F8D" w:rsidRPr="00636F8D" w:rsidRDefault="00636F8D" w:rsidP="00636F8D">
      <w:pPr>
        <w:pStyle w:val="ListParagraph"/>
        <w:rPr>
          <w:rFonts w:asciiTheme="minorHAnsi" w:hAnsiTheme="minorHAnsi"/>
        </w:rPr>
      </w:pPr>
    </w:p>
    <w:p w14:paraId="3A91D838" w14:textId="0FE6B674" w:rsidR="00BA6150" w:rsidRPr="00461FF6" w:rsidRDefault="00636F8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requirements in relation to an offender who is not serving or subject to a federal sentence</w:t>
      </w:r>
      <w:r w:rsidR="00130A8B">
        <w:rPr>
          <w:rFonts w:asciiTheme="minorHAnsi" w:hAnsiTheme="minorHAnsi"/>
        </w:rPr>
        <w:t>,</w:t>
      </w:r>
      <w:r w:rsidR="0079035A">
        <w:rPr>
          <w:rFonts w:asciiTheme="minorHAnsi" w:hAnsiTheme="minorHAnsi"/>
        </w:rPr>
        <w:t xml:space="preserve"> by reference to the head sentence or total effective sentence imposed for the federal offences</w:t>
      </w:r>
      <w:r w:rsidR="00130A8B">
        <w:rPr>
          <w:rFonts w:asciiTheme="minorHAnsi" w:hAnsiTheme="minorHAnsi"/>
        </w:rPr>
        <w:t>,</w:t>
      </w:r>
      <w:r w:rsidR="0079035A">
        <w:rPr>
          <w:rFonts w:asciiTheme="minorHAnsi" w:hAnsiTheme="minorHAnsi"/>
        </w:rPr>
        <w:t xml:space="preserve"> are </w:t>
      </w:r>
      <w:r w:rsidR="00BA6150" w:rsidRPr="00461FF6">
        <w:rPr>
          <w:rFonts w:asciiTheme="minorHAnsi" w:hAnsiTheme="minorHAnsi"/>
        </w:rPr>
        <w:t>as follows:</w:t>
      </w:r>
      <w:r w:rsidR="0079035A" w:rsidRPr="0079035A">
        <w:rPr>
          <w:rFonts w:asciiTheme="minorHAnsi" w:hAnsiTheme="minorHAnsi"/>
        </w:rPr>
        <w:t xml:space="preserve"> </w:t>
      </w:r>
    </w:p>
    <w:p w14:paraId="0820B36A" w14:textId="29B888E3" w:rsidR="00BA6150" w:rsidRPr="00C00000" w:rsidRDefault="00BA6150"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b/>
        </w:rPr>
        <w:t>6 months or less</w:t>
      </w:r>
      <w:r>
        <w:rPr>
          <w:rFonts w:asciiTheme="minorHAnsi" w:hAnsiTheme="minorHAnsi"/>
          <w:b/>
        </w:rPr>
        <w:t>:</w:t>
      </w:r>
      <w:r w:rsidRPr="00C00000">
        <w:rPr>
          <w:rFonts w:asciiTheme="minorHAnsi" w:hAnsiTheme="minorHAnsi"/>
        </w:rPr>
        <w:t xml:space="preserve"> </w:t>
      </w:r>
      <w:r>
        <w:rPr>
          <w:rFonts w:asciiTheme="minorHAnsi" w:hAnsiTheme="minorHAnsi"/>
        </w:rPr>
        <w:t>If</w:t>
      </w:r>
      <w:r w:rsidRPr="00C00000">
        <w:rPr>
          <w:rFonts w:asciiTheme="minorHAnsi" w:hAnsiTheme="minorHAnsi"/>
        </w:rPr>
        <w:t xml:space="preserve"> the </w:t>
      </w:r>
      <w:r>
        <w:rPr>
          <w:rFonts w:asciiTheme="minorHAnsi" w:hAnsiTheme="minorHAnsi"/>
        </w:rPr>
        <w:t xml:space="preserve">federal </w:t>
      </w:r>
      <w:r w:rsidRPr="00C00000">
        <w:rPr>
          <w:rFonts w:asciiTheme="minorHAnsi" w:hAnsiTheme="minorHAnsi"/>
        </w:rPr>
        <w:t>sentence is</w:t>
      </w:r>
      <w:r w:rsidR="0079035A">
        <w:rPr>
          <w:rFonts w:asciiTheme="minorHAnsi" w:hAnsiTheme="minorHAnsi"/>
        </w:rPr>
        <w:t>,</w:t>
      </w:r>
      <w:r w:rsidRPr="00C00000">
        <w:rPr>
          <w:rFonts w:asciiTheme="minorHAnsi" w:hAnsiTheme="minorHAnsi"/>
        </w:rPr>
        <w:t xml:space="preserve"> </w:t>
      </w:r>
      <w:r>
        <w:rPr>
          <w:rFonts w:asciiTheme="minorHAnsi" w:hAnsiTheme="minorHAnsi"/>
        </w:rPr>
        <w:t>or sentences are in the aggregate</w:t>
      </w:r>
      <w:r w:rsidR="0079035A">
        <w:rPr>
          <w:rFonts w:asciiTheme="minorHAnsi" w:hAnsiTheme="minorHAnsi"/>
        </w:rPr>
        <w:t>,</w:t>
      </w:r>
      <w:r>
        <w:rPr>
          <w:rFonts w:asciiTheme="minorHAnsi" w:hAnsiTheme="minorHAnsi"/>
        </w:rPr>
        <w:t xml:space="preserve"> </w:t>
      </w:r>
      <w:r w:rsidR="00130A8B" w:rsidRPr="00C00000">
        <w:rPr>
          <w:rFonts w:asciiTheme="minorHAnsi" w:hAnsiTheme="minorHAnsi"/>
        </w:rPr>
        <w:t xml:space="preserve">for a period of imprisonment of </w:t>
      </w:r>
      <w:r w:rsidRPr="00C00000">
        <w:rPr>
          <w:rFonts w:asciiTheme="minorHAnsi" w:hAnsiTheme="minorHAnsi"/>
        </w:rPr>
        <w:t>6 months or less</w:t>
      </w:r>
      <w:r>
        <w:rPr>
          <w:rFonts w:asciiTheme="minorHAnsi" w:hAnsiTheme="minorHAnsi"/>
        </w:rPr>
        <w:t>,</w:t>
      </w:r>
      <w:r w:rsidRPr="00C00000">
        <w:rPr>
          <w:rFonts w:asciiTheme="minorHAnsi" w:hAnsiTheme="minorHAnsi"/>
        </w:rPr>
        <w:t xml:space="preserve"> </w:t>
      </w:r>
      <w:r w:rsidR="00C76AFA">
        <w:rPr>
          <w:rFonts w:asciiTheme="minorHAnsi" w:hAnsiTheme="minorHAnsi"/>
        </w:rPr>
        <w:t>there is no power to fix a NPP</w:t>
      </w:r>
      <w:r w:rsidR="00C76AFA" w:rsidRPr="00C00000">
        <w:rPr>
          <w:rStyle w:val="Style"/>
          <w:rFonts w:asciiTheme="minorHAnsi" w:hAnsiTheme="minorHAnsi"/>
        </w:rPr>
        <w:footnoteReference w:id="811"/>
      </w:r>
      <w:r w:rsidR="00C76AFA">
        <w:rPr>
          <w:rFonts w:asciiTheme="minorHAnsi" w:hAnsiTheme="minorHAnsi"/>
        </w:rPr>
        <w:t xml:space="preserve"> (except if one of the offences is a “minimum non-parole period offence” in which case a NPP is mandatory</w:t>
      </w:r>
      <w:r w:rsidR="00C76AFA" w:rsidRPr="00C00000">
        <w:rPr>
          <w:rStyle w:val="Style"/>
          <w:rFonts w:asciiTheme="minorHAnsi" w:hAnsiTheme="minorHAnsi"/>
        </w:rPr>
        <w:footnoteReference w:id="812"/>
      </w:r>
      <w:r w:rsidR="00C76AFA">
        <w:rPr>
          <w:rFonts w:asciiTheme="minorHAnsi" w:hAnsiTheme="minorHAnsi"/>
        </w:rPr>
        <w:t xml:space="preserve">). </w:t>
      </w:r>
      <w:r w:rsidR="00C76AFA" w:rsidRPr="00A917D7">
        <w:rPr>
          <w:rFonts w:asciiTheme="minorHAnsi" w:hAnsiTheme="minorHAnsi"/>
          <w:i/>
        </w:rPr>
        <w:t>T</w:t>
      </w:r>
      <w:r w:rsidRPr="00A917D7">
        <w:rPr>
          <w:rFonts w:asciiTheme="minorHAnsi" w:hAnsiTheme="minorHAnsi"/>
          <w:i/>
        </w:rPr>
        <w:t>he court may, but is not required to, make a RRO</w:t>
      </w:r>
      <w:r>
        <w:rPr>
          <w:rFonts w:asciiTheme="minorHAnsi" w:hAnsiTheme="minorHAnsi"/>
        </w:rPr>
        <w:t xml:space="preserve"> (</w:t>
      </w:r>
      <w:r w:rsidR="00885EFD" w:rsidRPr="00885EFD">
        <w:rPr>
          <w:rFonts w:asciiTheme="minorHAnsi" w:hAnsiTheme="minorHAnsi"/>
          <w:i/>
        </w:rPr>
        <w:t>Crimes Act 1914</w:t>
      </w:r>
      <w:r w:rsidR="0079035A">
        <w:rPr>
          <w:rFonts w:asciiTheme="minorHAnsi" w:hAnsiTheme="minorHAnsi"/>
        </w:rPr>
        <w:t xml:space="preserve">, </w:t>
      </w:r>
      <w:r>
        <w:rPr>
          <w:rFonts w:asciiTheme="minorHAnsi" w:hAnsiTheme="minorHAnsi"/>
        </w:rPr>
        <w:t>ss 19AC(3), 20(1)(b)).</w:t>
      </w:r>
      <w:r w:rsidRPr="005D4172">
        <w:rPr>
          <w:rFonts w:asciiTheme="minorHAnsi" w:hAnsiTheme="minorHAnsi"/>
        </w:rPr>
        <w:t xml:space="preserve"> </w:t>
      </w:r>
      <w:r>
        <w:rPr>
          <w:rFonts w:asciiTheme="minorHAnsi" w:hAnsiTheme="minorHAnsi"/>
        </w:rPr>
        <w:t xml:space="preserve"> That is, the court may either make a RRO or impose a straight sentence</w:t>
      </w:r>
      <w:r w:rsidR="0079035A">
        <w:rPr>
          <w:rFonts w:asciiTheme="minorHAnsi" w:hAnsiTheme="minorHAnsi"/>
        </w:rPr>
        <w:t>.</w:t>
      </w:r>
    </w:p>
    <w:p w14:paraId="698F9F87" w14:textId="45A12F04" w:rsidR="00BA6150" w:rsidRPr="00C00000" w:rsidRDefault="00BA615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b/>
        </w:rPr>
        <w:t xml:space="preserve">More than 6 months up to </w:t>
      </w:r>
      <w:r w:rsidRPr="00C00000">
        <w:rPr>
          <w:rFonts w:asciiTheme="minorHAnsi" w:hAnsiTheme="minorHAnsi"/>
          <w:b/>
        </w:rPr>
        <w:t>3 years</w:t>
      </w:r>
      <w:r>
        <w:rPr>
          <w:rFonts w:asciiTheme="minorHAnsi" w:hAnsiTheme="minorHAnsi"/>
          <w:b/>
        </w:rPr>
        <w:t>:</w:t>
      </w:r>
      <w:r w:rsidRPr="00C00000">
        <w:rPr>
          <w:rFonts w:asciiTheme="minorHAnsi" w:hAnsiTheme="minorHAnsi"/>
        </w:rPr>
        <w:t xml:space="preserve"> </w:t>
      </w:r>
      <w:r>
        <w:rPr>
          <w:rFonts w:asciiTheme="minorHAnsi" w:hAnsiTheme="minorHAnsi"/>
        </w:rPr>
        <w:t xml:space="preserve"> If</w:t>
      </w:r>
      <w:r w:rsidRPr="00C00000">
        <w:rPr>
          <w:rFonts w:asciiTheme="minorHAnsi" w:hAnsiTheme="minorHAnsi"/>
        </w:rPr>
        <w:t xml:space="preserve"> the </w:t>
      </w:r>
      <w:r>
        <w:rPr>
          <w:rFonts w:asciiTheme="minorHAnsi" w:hAnsiTheme="minorHAnsi"/>
        </w:rPr>
        <w:t xml:space="preserve">federal </w:t>
      </w:r>
      <w:r w:rsidRPr="00C00000">
        <w:rPr>
          <w:rFonts w:asciiTheme="minorHAnsi" w:hAnsiTheme="minorHAnsi"/>
        </w:rPr>
        <w:t>sentence imposed is</w:t>
      </w:r>
      <w:r w:rsidR="00130A8B">
        <w:rPr>
          <w:rFonts w:asciiTheme="minorHAnsi" w:hAnsiTheme="minorHAnsi"/>
        </w:rPr>
        <w:t>,</w:t>
      </w:r>
      <w:r w:rsidRPr="00C00000">
        <w:rPr>
          <w:rFonts w:asciiTheme="minorHAnsi" w:hAnsiTheme="minorHAnsi"/>
        </w:rPr>
        <w:t xml:space="preserve"> </w:t>
      </w:r>
      <w:r>
        <w:rPr>
          <w:rFonts w:asciiTheme="minorHAnsi" w:hAnsiTheme="minorHAnsi"/>
        </w:rPr>
        <w:t>or sentences are in the aggregate</w:t>
      </w:r>
      <w:r w:rsidR="00130A8B">
        <w:rPr>
          <w:rFonts w:asciiTheme="minorHAnsi" w:hAnsiTheme="minorHAnsi"/>
        </w:rPr>
        <w:t>,</w:t>
      </w:r>
      <w:r>
        <w:rPr>
          <w:rFonts w:asciiTheme="minorHAnsi" w:hAnsiTheme="minorHAnsi"/>
        </w:rPr>
        <w:t xml:space="preserve"> </w:t>
      </w:r>
      <w:r w:rsidRPr="00C00000">
        <w:rPr>
          <w:rFonts w:asciiTheme="minorHAnsi" w:hAnsiTheme="minorHAnsi"/>
        </w:rPr>
        <w:t xml:space="preserve">for a period of imprisonment of </w:t>
      </w:r>
      <w:r w:rsidR="00014781">
        <w:rPr>
          <w:rFonts w:asciiTheme="minorHAnsi" w:hAnsiTheme="minorHAnsi"/>
        </w:rPr>
        <w:t xml:space="preserve">more than 6 months but not more than </w:t>
      </w:r>
      <w:r w:rsidRPr="00C00000">
        <w:rPr>
          <w:rFonts w:asciiTheme="minorHAnsi" w:hAnsiTheme="minorHAnsi"/>
        </w:rPr>
        <w:t>3 years</w:t>
      </w:r>
      <w:r>
        <w:rPr>
          <w:rFonts w:asciiTheme="minorHAnsi" w:hAnsiTheme="minorHAnsi"/>
        </w:rPr>
        <w:t>,</w:t>
      </w:r>
      <w:r w:rsidRPr="00C00000">
        <w:rPr>
          <w:rFonts w:asciiTheme="minorHAnsi" w:hAnsiTheme="minorHAnsi"/>
        </w:rPr>
        <w:t xml:space="preserve"> </w:t>
      </w:r>
      <w:r w:rsidR="00C76AFA">
        <w:rPr>
          <w:rFonts w:asciiTheme="minorHAnsi" w:hAnsiTheme="minorHAnsi"/>
        </w:rPr>
        <w:t>there is no power to fix a NPP</w:t>
      </w:r>
      <w:r w:rsidR="00C76AFA" w:rsidRPr="00C00000">
        <w:rPr>
          <w:rFonts w:asciiTheme="minorHAnsi" w:hAnsiTheme="minorHAnsi"/>
        </w:rPr>
        <w:t xml:space="preserve"> </w:t>
      </w:r>
      <w:r w:rsidR="00C76AFA">
        <w:rPr>
          <w:rFonts w:asciiTheme="minorHAnsi" w:hAnsiTheme="minorHAnsi"/>
        </w:rPr>
        <w:t>(except if one of the offences is a “minimum non-parole period offence” in which case a NPP is mandatory</w:t>
      </w:r>
      <w:r w:rsidR="00C76AFA" w:rsidRPr="00C00000">
        <w:rPr>
          <w:rStyle w:val="Style"/>
          <w:rFonts w:asciiTheme="minorHAnsi" w:hAnsiTheme="minorHAnsi"/>
        </w:rPr>
        <w:footnoteReference w:id="813"/>
      </w:r>
      <w:r w:rsidR="00C76AFA">
        <w:rPr>
          <w:rFonts w:asciiTheme="minorHAnsi" w:hAnsiTheme="minorHAnsi"/>
        </w:rPr>
        <w:t>)</w:t>
      </w:r>
      <w:r w:rsidR="00C76AFA" w:rsidRPr="00C00000">
        <w:rPr>
          <w:rFonts w:asciiTheme="minorHAnsi" w:hAnsiTheme="minorHAnsi"/>
        </w:rPr>
        <w:t>.</w:t>
      </w:r>
      <w:r w:rsidR="00C76AFA">
        <w:rPr>
          <w:rFonts w:asciiTheme="minorHAnsi" w:hAnsiTheme="minorHAnsi"/>
        </w:rPr>
        <w:t xml:space="preserve">  </w:t>
      </w:r>
      <w:r w:rsidR="00C76AFA" w:rsidRPr="00AF38AE">
        <w:rPr>
          <w:rFonts w:asciiTheme="minorHAnsi" w:hAnsiTheme="minorHAnsi"/>
          <w:i/>
        </w:rPr>
        <w:t>T</w:t>
      </w:r>
      <w:r w:rsidRPr="00AF38AE">
        <w:rPr>
          <w:rFonts w:asciiTheme="minorHAnsi" w:hAnsiTheme="minorHAnsi"/>
          <w:i/>
        </w:rPr>
        <w:t>he court is required to make a RRO</w:t>
      </w:r>
      <w:r>
        <w:rPr>
          <w:rFonts w:asciiTheme="minorHAnsi" w:hAnsiTheme="minorHAnsi"/>
        </w:rPr>
        <w:t xml:space="preserve"> (ss 19AC(1), 20(1)(b))</w:t>
      </w:r>
      <w:r w:rsidR="00C76AFA">
        <w:rPr>
          <w:rFonts w:asciiTheme="minorHAnsi" w:hAnsiTheme="minorHAnsi"/>
        </w:rPr>
        <w:t xml:space="preserve">, unless it exercises the </w:t>
      </w:r>
      <w:r>
        <w:rPr>
          <w:rFonts w:asciiTheme="minorHAnsi" w:hAnsiTheme="minorHAnsi"/>
        </w:rPr>
        <w:t>discretion to decline to fix a RRO (that is, to impos</w:t>
      </w:r>
      <w:r w:rsidR="00014781">
        <w:rPr>
          <w:rFonts w:asciiTheme="minorHAnsi" w:hAnsiTheme="minorHAnsi"/>
        </w:rPr>
        <w:t>e a straight sentence) in the ci</w:t>
      </w:r>
      <w:r>
        <w:rPr>
          <w:rFonts w:asciiTheme="minorHAnsi" w:hAnsiTheme="minorHAnsi"/>
        </w:rPr>
        <w:t>rcumstances set out in s 19AC(4).</w:t>
      </w:r>
    </w:p>
    <w:p w14:paraId="45E7FCD2" w14:textId="6219AEE6" w:rsidR="00BA6150" w:rsidRDefault="00BA615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b/>
        </w:rPr>
        <w:t xml:space="preserve">More than </w:t>
      </w:r>
      <w:r w:rsidRPr="00C00000">
        <w:rPr>
          <w:rFonts w:asciiTheme="minorHAnsi" w:hAnsiTheme="minorHAnsi"/>
          <w:b/>
        </w:rPr>
        <w:t>3 years</w:t>
      </w:r>
      <w:r>
        <w:rPr>
          <w:rFonts w:asciiTheme="minorHAnsi" w:hAnsiTheme="minorHAnsi"/>
          <w:b/>
        </w:rPr>
        <w:t xml:space="preserve"> (including a life sentence):</w:t>
      </w:r>
      <w:r w:rsidRPr="00C00000">
        <w:rPr>
          <w:rFonts w:asciiTheme="minorHAnsi" w:hAnsiTheme="minorHAnsi"/>
        </w:rPr>
        <w:t xml:space="preserve"> </w:t>
      </w:r>
      <w:r>
        <w:rPr>
          <w:rFonts w:asciiTheme="minorHAnsi" w:hAnsiTheme="minorHAnsi"/>
        </w:rPr>
        <w:t>If</w:t>
      </w:r>
      <w:r w:rsidRPr="00C00000">
        <w:rPr>
          <w:rFonts w:asciiTheme="minorHAnsi" w:hAnsiTheme="minorHAnsi"/>
        </w:rPr>
        <w:t xml:space="preserve"> the </w:t>
      </w:r>
      <w:r>
        <w:rPr>
          <w:rFonts w:asciiTheme="minorHAnsi" w:hAnsiTheme="minorHAnsi"/>
        </w:rPr>
        <w:t xml:space="preserve">federal </w:t>
      </w:r>
      <w:r w:rsidRPr="00C00000">
        <w:rPr>
          <w:rFonts w:asciiTheme="minorHAnsi" w:hAnsiTheme="minorHAnsi"/>
        </w:rPr>
        <w:t xml:space="preserve">sentence imposed is for </w:t>
      </w:r>
      <w:r w:rsidR="00130A8B">
        <w:rPr>
          <w:rFonts w:asciiTheme="minorHAnsi" w:hAnsiTheme="minorHAnsi"/>
        </w:rPr>
        <w:t>imprisonment</w:t>
      </w:r>
      <w:r>
        <w:rPr>
          <w:rFonts w:asciiTheme="minorHAnsi" w:hAnsiTheme="minorHAnsi"/>
        </w:rPr>
        <w:t xml:space="preserve"> </w:t>
      </w:r>
      <w:r w:rsidR="00130A8B">
        <w:rPr>
          <w:rFonts w:asciiTheme="minorHAnsi" w:hAnsiTheme="minorHAnsi"/>
        </w:rPr>
        <w:t xml:space="preserve">for life </w:t>
      </w:r>
      <w:r>
        <w:rPr>
          <w:rFonts w:asciiTheme="minorHAnsi" w:hAnsiTheme="minorHAnsi"/>
        </w:rPr>
        <w:t xml:space="preserve">or </w:t>
      </w:r>
      <w:r w:rsidR="00130A8B">
        <w:rPr>
          <w:rFonts w:asciiTheme="minorHAnsi" w:hAnsiTheme="minorHAnsi"/>
        </w:rPr>
        <w:t xml:space="preserve">(alone or in the aggregate) </w:t>
      </w:r>
      <w:r>
        <w:rPr>
          <w:rFonts w:asciiTheme="minorHAnsi" w:hAnsiTheme="minorHAnsi"/>
        </w:rPr>
        <w:t xml:space="preserve">for </w:t>
      </w:r>
      <w:r w:rsidRPr="00C00000">
        <w:rPr>
          <w:rFonts w:asciiTheme="minorHAnsi" w:hAnsiTheme="minorHAnsi"/>
        </w:rPr>
        <w:t xml:space="preserve">a period of imprisonment in excess of 3 years, </w:t>
      </w:r>
      <w:r w:rsidRPr="00AF38AE">
        <w:rPr>
          <w:rFonts w:asciiTheme="minorHAnsi" w:hAnsiTheme="minorHAnsi"/>
          <w:i/>
        </w:rPr>
        <w:t>the court must fix a single NPP</w:t>
      </w:r>
      <w:r>
        <w:rPr>
          <w:rFonts w:asciiTheme="minorHAnsi" w:hAnsiTheme="minorHAnsi"/>
        </w:rPr>
        <w:t xml:space="preserve"> (</w:t>
      </w:r>
      <w:r w:rsidR="00885EFD" w:rsidRPr="00885EFD">
        <w:rPr>
          <w:rFonts w:asciiTheme="minorHAnsi" w:hAnsiTheme="minorHAnsi"/>
          <w:i/>
        </w:rPr>
        <w:t>Crimes Act 1914</w:t>
      </w:r>
      <w:r w:rsidRPr="00441D45">
        <w:rPr>
          <w:rFonts w:asciiTheme="minorHAnsi" w:hAnsiTheme="minorHAnsi"/>
        </w:rPr>
        <w:t xml:space="preserve">, </w:t>
      </w:r>
      <w:r w:rsidRPr="00C00000">
        <w:rPr>
          <w:rFonts w:asciiTheme="minorHAnsi" w:hAnsiTheme="minorHAnsi"/>
        </w:rPr>
        <w:t>s 19AB(1)</w:t>
      </w:r>
      <w:r>
        <w:rPr>
          <w:rFonts w:asciiTheme="minorHAnsi" w:hAnsiTheme="minorHAnsi"/>
        </w:rPr>
        <w:t>), subject to the discretion to decline to do so (that is, to impose a straight sentence) in the c</w:t>
      </w:r>
      <w:r w:rsidR="00211CC9">
        <w:rPr>
          <w:rFonts w:asciiTheme="minorHAnsi" w:hAnsiTheme="minorHAnsi"/>
        </w:rPr>
        <w:t>i</w:t>
      </w:r>
      <w:r>
        <w:rPr>
          <w:rFonts w:asciiTheme="minorHAnsi" w:hAnsiTheme="minorHAnsi"/>
        </w:rPr>
        <w:t>rcumstances set out in s 19AB(3).</w:t>
      </w:r>
    </w:p>
    <w:p w14:paraId="6FDAEB03" w14:textId="77777777" w:rsidR="00BA6150" w:rsidRDefault="00BA6150" w:rsidP="00BA6150">
      <w:pPr>
        <w:pStyle w:val="ListParagraph"/>
        <w:rPr>
          <w:rFonts w:asciiTheme="minorHAnsi" w:hAnsiTheme="minorHAnsi"/>
        </w:rPr>
      </w:pPr>
    </w:p>
    <w:p w14:paraId="256EA9DB" w14:textId="38903EA8" w:rsidR="00777125" w:rsidRDefault="00FA7B5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to</w:t>
      </w:r>
      <w:r w:rsidR="00777125">
        <w:rPr>
          <w:rFonts w:asciiTheme="minorHAnsi" w:hAnsiTheme="minorHAnsi"/>
        </w:rPr>
        <w:t xml:space="preserve"> the criteria for, and the exercise of, the discretion to decline to </w:t>
      </w:r>
      <w:r w:rsidR="0094668C">
        <w:rPr>
          <w:rFonts w:asciiTheme="minorHAnsi" w:hAnsiTheme="minorHAnsi"/>
        </w:rPr>
        <w:t>make a RRO or to decline to fix a NPP (that is, to impose a straight sentence), see “</w:t>
      </w:r>
      <w:r w:rsidR="00EF2825">
        <w:rPr>
          <w:rFonts w:asciiTheme="minorHAnsi" w:hAnsiTheme="minorHAnsi"/>
        </w:rPr>
        <w:fldChar w:fldCharType="begin"/>
      </w:r>
      <w:r w:rsidR="00EF2825">
        <w:rPr>
          <w:rFonts w:asciiTheme="minorHAnsi" w:hAnsiTheme="minorHAnsi"/>
        </w:rPr>
        <w:instrText xml:space="preserve"> REF _Ref12865025 \r \h  \* MERGEFORMAT </w:instrText>
      </w:r>
      <w:r w:rsidR="00EF2825">
        <w:rPr>
          <w:rFonts w:asciiTheme="minorHAnsi" w:hAnsiTheme="minorHAnsi"/>
        </w:rPr>
      </w:r>
      <w:r w:rsidR="00EF2825">
        <w:rPr>
          <w:rFonts w:asciiTheme="minorHAnsi" w:hAnsiTheme="minorHAnsi"/>
        </w:rPr>
        <w:fldChar w:fldCharType="separate"/>
      </w:r>
      <w:r w:rsidR="00D44BCF">
        <w:rPr>
          <w:rFonts w:asciiTheme="minorHAnsi" w:hAnsiTheme="minorHAnsi"/>
        </w:rPr>
        <w:t>5.10.8</w:t>
      </w:r>
      <w:r w:rsidR="00EF2825">
        <w:rPr>
          <w:rFonts w:asciiTheme="minorHAnsi" w:hAnsiTheme="minorHAnsi"/>
        </w:rPr>
        <w:fldChar w:fldCharType="end"/>
      </w:r>
      <w:r w:rsidR="00EF2825">
        <w:rPr>
          <w:rFonts w:asciiTheme="minorHAnsi" w:hAnsiTheme="minorHAnsi"/>
        </w:rPr>
        <w:t xml:space="preserve"> </w:t>
      </w:r>
      <w:r w:rsidR="00EF2825">
        <w:rPr>
          <w:rFonts w:asciiTheme="minorHAnsi" w:hAnsiTheme="minorHAnsi"/>
        </w:rPr>
        <w:fldChar w:fldCharType="begin"/>
      </w:r>
      <w:r w:rsidR="00EF2825">
        <w:rPr>
          <w:rFonts w:asciiTheme="minorHAnsi" w:hAnsiTheme="minorHAnsi"/>
        </w:rPr>
        <w:instrText xml:space="preserve"> REF _Ref12865027 \h  \* MERGEFORMAT </w:instrText>
      </w:r>
      <w:r w:rsidR="00EF2825">
        <w:rPr>
          <w:rFonts w:asciiTheme="minorHAnsi" w:hAnsiTheme="minorHAnsi"/>
        </w:rPr>
      </w:r>
      <w:r w:rsidR="00EF2825">
        <w:rPr>
          <w:rFonts w:asciiTheme="minorHAnsi" w:hAnsiTheme="minorHAnsi"/>
        </w:rPr>
        <w:fldChar w:fldCharType="separate"/>
      </w:r>
      <w:r w:rsidR="00D44BCF" w:rsidRPr="00D44BCF">
        <w:rPr>
          <w:rFonts w:asciiTheme="minorHAnsi" w:hAnsiTheme="minorHAnsi"/>
        </w:rPr>
        <w:t>Discretion to decline to fix a NPP or RRO (straight sentence)</w:t>
      </w:r>
      <w:r w:rsidR="00EF2825">
        <w:rPr>
          <w:rFonts w:asciiTheme="minorHAnsi" w:hAnsiTheme="minorHAnsi"/>
        </w:rPr>
        <w:fldChar w:fldCharType="end"/>
      </w:r>
      <w:r w:rsidR="0094668C">
        <w:rPr>
          <w:rFonts w:asciiTheme="minorHAnsi" w:hAnsiTheme="minorHAnsi"/>
        </w:rPr>
        <w:t>”.</w:t>
      </w:r>
    </w:p>
    <w:p w14:paraId="2FB50962" w14:textId="258CCBFD" w:rsidR="0094668C" w:rsidRDefault="0094668C" w:rsidP="0094668C">
      <w:pPr>
        <w:pStyle w:val="ListParagraph"/>
        <w:rPr>
          <w:rFonts w:asciiTheme="minorHAnsi" w:hAnsiTheme="minorHAnsi"/>
        </w:rPr>
      </w:pPr>
    </w:p>
    <w:p w14:paraId="48EE7BDC" w14:textId="77777777" w:rsidR="0094668C" w:rsidRPr="00C00000" w:rsidRDefault="0094668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Where a court imposes a </w:t>
      </w:r>
      <w:r>
        <w:rPr>
          <w:rFonts w:asciiTheme="minorHAnsi" w:hAnsiTheme="minorHAnsi"/>
        </w:rPr>
        <w:t>NPP</w:t>
      </w:r>
      <w:r w:rsidRPr="00C00000">
        <w:rPr>
          <w:rFonts w:asciiTheme="minorHAnsi" w:hAnsiTheme="minorHAnsi"/>
        </w:rPr>
        <w:t>/</w:t>
      </w:r>
      <w:r>
        <w:rPr>
          <w:rFonts w:asciiTheme="minorHAnsi" w:hAnsiTheme="minorHAnsi"/>
        </w:rPr>
        <w:t>RRO</w:t>
      </w:r>
      <w:r w:rsidRPr="00C00000">
        <w:rPr>
          <w:rFonts w:asciiTheme="minorHAnsi" w:hAnsiTheme="minorHAnsi"/>
        </w:rPr>
        <w:t xml:space="preserve"> it must explain or cause to be explained the purpose and consequence of fixing, and non-compliance with, a non-parole order/</w:t>
      </w:r>
      <w:r>
        <w:rPr>
          <w:rFonts w:asciiTheme="minorHAnsi" w:hAnsiTheme="minorHAnsi"/>
        </w:rPr>
        <w:t>RRO</w:t>
      </w:r>
      <w:r w:rsidRPr="00C00000">
        <w:rPr>
          <w:rFonts w:asciiTheme="minorHAnsi" w:hAnsiTheme="minorHAnsi"/>
        </w:rPr>
        <w:t>.</w:t>
      </w:r>
      <w:r w:rsidRPr="00C00000">
        <w:rPr>
          <w:rStyle w:val="FootnoteReference"/>
          <w:rFonts w:asciiTheme="minorHAnsi" w:hAnsiTheme="minorHAnsi"/>
        </w:rPr>
        <w:footnoteReference w:id="814"/>
      </w:r>
    </w:p>
    <w:p w14:paraId="0012827D" w14:textId="77777777" w:rsidR="0094668C" w:rsidRPr="00C00000" w:rsidRDefault="0094668C" w:rsidP="0094668C">
      <w:pPr>
        <w:pStyle w:val="ListParagraph"/>
        <w:rPr>
          <w:rFonts w:asciiTheme="minorHAnsi" w:hAnsiTheme="minorHAnsi"/>
        </w:rPr>
      </w:pPr>
    </w:p>
    <w:p w14:paraId="333D3BAE" w14:textId="3A46D561" w:rsidR="00C17625" w:rsidRPr="00E82853" w:rsidRDefault="00C17625" w:rsidP="006D50C7">
      <w:pPr>
        <w:pStyle w:val="Heading3"/>
      </w:pPr>
      <w:bookmarkStart w:id="1937" w:name="_Ref507009199"/>
      <w:bookmarkStart w:id="1938" w:name="_Ref507009205"/>
      <w:bookmarkStart w:id="1939" w:name="_Ref507247493"/>
      <w:bookmarkStart w:id="1940" w:name="_Ref507247498"/>
      <w:bookmarkStart w:id="1941" w:name="_Toc33602899"/>
      <w:r w:rsidRPr="00E82853">
        <w:t>Where the offender is already undergoing a federal term of imprisonment</w:t>
      </w:r>
      <w:bookmarkEnd w:id="1937"/>
      <w:bookmarkEnd w:id="1938"/>
      <w:r w:rsidR="004255B7">
        <w:t>: NPP, RRO or straight sentence</w:t>
      </w:r>
      <w:bookmarkEnd w:id="1939"/>
      <w:bookmarkEnd w:id="1940"/>
      <w:bookmarkEnd w:id="1941"/>
    </w:p>
    <w:p w14:paraId="4F276232" w14:textId="77777777" w:rsidR="00C17625" w:rsidRPr="00C00000" w:rsidRDefault="00C17625" w:rsidP="006D50C7">
      <w:pPr>
        <w:pStyle w:val="ListParagraph"/>
        <w:keepNext/>
        <w:spacing w:line="276" w:lineRule="auto"/>
        <w:ind w:left="567"/>
        <w:contextualSpacing w:val="0"/>
        <w:rPr>
          <w:rFonts w:asciiTheme="minorHAnsi" w:hAnsiTheme="minorHAnsi"/>
          <w:vanish/>
        </w:rPr>
      </w:pPr>
    </w:p>
    <w:p w14:paraId="5B6F4741" w14:textId="1FFBD78A" w:rsidR="009621AE" w:rsidRDefault="009621AE"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the offender is to be sentenced for one of the people-smuggling offences to which s 236B of </w:t>
      </w:r>
      <w:r w:rsidRPr="00C00000">
        <w:rPr>
          <w:rFonts w:asciiTheme="minorHAnsi" w:hAnsiTheme="minorHAnsi"/>
        </w:rPr>
        <w:t xml:space="preserve">the </w:t>
      </w:r>
      <w:r w:rsidRPr="00C00000">
        <w:rPr>
          <w:rFonts w:asciiTheme="minorHAnsi" w:hAnsiTheme="minorHAnsi"/>
          <w:i/>
          <w:iCs/>
        </w:rPr>
        <w:t>Migration Act 1958</w:t>
      </w:r>
      <w:r>
        <w:rPr>
          <w:rFonts w:asciiTheme="minorHAnsi" w:hAnsiTheme="minorHAnsi"/>
          <w:i/>
          <w:iCs/>
        </w:rPr>
        <w:t xml:space="preserve"> </w:t>
      </w:r>
      <w:r>
        <w:rPr>
          <w:rFonts w:asciiTheme="minorHAnsi" w:hAnsiTheme="minorHAnsi"/>
          <w:iCs/>
        </w:rPr>
        <w:t>(Cth) applies, mandatory requirements apply to the fixing of both the head sentence and NPP.</w:t>
      </w:r>
      <w:r>
        <w:rPr>
          <w:rFonts w:asciiTheme="minorHAnsi" w:hAnsiTheme="minorHAnsi"/>
        </w:rPr>
        <w:t xml:space="preserve">  See</w:t>
      </w:r>
      <w:r w:rsidRPr="004E17DD">
        <w:rPr>
          <w:rFonts w:asciiTheme="minorHAnsi" w:hAnsiTheme="minorHAnsi"/>
        </w:rPr>
        <w:t xml:space="preserve"> </w:t>
      </w:r>
      <w:r>
        <w:rPr>
          <w:rFonts w:asciiTheme="minorHAnsi" w:hAnsiTheme="minorHAnsi"/>
        </w:rPr>
        <w:t>“</w:t>
      </w:r>
      <w:r>
        <w:rPr>
          <w:rFonts w:asciiTheme="minorHAnsi" w:hAnsiTheme="minorHAnsi"/>
        </w:rPr>
        <w:fldChar w:fldCharType="begin"/>
      </w:r>
      <w:r>
        <w:rPr>
          <w:rFonts w:asciiTheme="minorHAnsi" w:hAnsiTheme="minorHAnsi"/>
        </w:rPr>
        <w:instrText xml:space="preserve"> REF _Ref492551931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8.1.2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_Ref492551931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Mandatory imprisonment for certain people-smuggling offences</w:t>
      </w:r>
      <w:r>
        <w:rPr>
          <w:rFonts w:asciiTheme="minorHAnsi" w:hAnsiTheme="minorHAnsi"/>
        </w:rPr>
        <w:fldChar w:fldCharType="end"/>
      </w:r>
      <w:r>
        <w:rPr>
          <w:rFonts w:asciiTheme="minorHAnsi" w:hAnsiTheme="minorHAnsi"/>
        </w:rPr>
        <w:t>”.</w:t>
      </w:r>
    </w:p>
    <w:p w14:paraId="570D79FB" w14:textId="77777777" w:rsidR="009621AE" w:rsidRPr="00B639C8" w:rsidRDefault="009621AE" w:rsidP="009621AE">
      <w:pPr>
        <w:pStyle w:val="ListParagraph"/>
        <w:rPr>
          <w:rFonts w:asciiTheme="minorHAnsi" w:hAnsiTheme="minorHAnsi"/>
        </w:rPr>
      </w:pPr>
    </w:p>
    <w:p w14:paraId="4B3EBA9F" w14:textId="6DC1F836" w:rsidR="00B91FDF" w:rsidRDefault="009621AE"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the offender is to be sentenced for one of the national security related offences which is a “minimum non-parole period offence”, sentencing is governed by s 19AG of the </w:t>
      </w:r>
      <w:r w:rsidR="00885EFD" w:rsidRPr="00885EFD">
        <w:rPr>
          <w:rFonts w:asciiTheme="minorHAnsi" w:hAnsiTheme="minorHAnsi"/>
          <w:i/>
        </w:rPr>
        <w:t>Crimes Act 1914</w:t>
      </w:r>
      <w:r>
        <w:rPr>
          <w:rFonts w:asciiTheme="minorHAnsi" w:hAnsiTheme="minorHAnsi"/>
        </w:rPr>
        <w:t xml:space="preserve"> (Cth), which overrides other provisions relating to the fixing of periods, or minimum periods of imprisonment.  S</w:t>
      </w:r>
      <w:r w:rsidR="008C16F7">
        <w:rPr>
          <w:rFonts w:asciiTheme="minorHAnsi" w:hAnsiTheme="minorHAnsi"/>
        </w:rPr>
        <w:t xml:space="preserve">ee </w:t>
      </w:r>
      <w:r w:rsidR="002641E0">
        <w:rPr>
          <w:rFonts w:asciiTheme="minorHAnsi" w:hAnsiTheme="minorHAnsi"/>
        </w:rPr>
        <w:t>“</w:t>
      </w:r>
      <w:r w:rsidR="002641E0">
        <w:rPr>
          <w:rFonts w:asciiTheme="minorHAnsi" w:hAnsiTheme="minorHAnsi"/>
        </w:rPr>
        <w:fldChar w:fldCharType="begin"/>
      </w:r>
      <w:r w:rsidR="002641E0">
        <w:rPr>
          <w:rFonts w:asciiTheme="minorHAnsi" w:hAnsiTheme="minorHAnsi"/>
        </w:rPr>
        <w:instrText xml:space="preserve"> REF _Ref507141153 \r \h  \* MERGEFORMAT </w:instrText>
      </w:r>
      <w:r w:rsidR="002641E0">
        <w:rPr>
          <w:rFonts w:asciiTheme="minorHAnsi" w:hAnsiTheme="minorHAnsi"/>
        </w:rPr>
      </w:r>
      <w:r w:rsidR="002641E0">
        <w:rPr>
          <w:rFonts w:asciiTheme="minorHAnsi" w:hAnsiTheme="minorHAnsi"/>
        </w:rPr>
        <w:fldChar w:fldCharType="separate"/>
      </w:r>
      <w:r w:rsidR="00D44BCF">
        <w:rPr>
          <w:rFonts w:asciiTheme="minorHAnsi" w:hAnsiTheme="minorHAnsi"/>
        </w:rPr>
        <w:t>5.10.9</w:t>
      </w:r>
      <w:r w:rsidR="002641E0">
        <w:rPr>
          <w:rFonts w:asciiTheme="minorHAnsi" w:hAnsiTheme="minorHAnsi"/>
        </w:rPr>
        <w:fldChar w:fldCharType="end"/>
      </w:r>
      <w:r w:rsidR="002641E0">
        <w:rPr>
          <w:rFonts w:asciiTheme="minorHAnsi" w:hAnsiTheme="minorHAnsi"/>
        </w:rPr>
        <w:t xml:space="preserve"> </w:t>
      </w:r>
      <w:r w:rsidR="002641E0">
        <w:rPr>
          <w:rFonts w:asciiTheme="minorHAnsi" w:hAnsiTheme="minorHAnsi"/>
        </w:rPr>
        <w:fldChar w:fldCharType="begin"/>
      </w:r>
      <w:r w:rsidR="002641E0">
        <w:rPr>
          <w:rFonts w:asciiTheme="minorHAnsi" w:hAnsiTheme="minorHAnsi"/>
        </w:rPr>
        <w:instrText xml:space="preserve"> REF _Ref507141153 \h  \* MERGEFORMAT </w:instrText>
      </w:r>
      <w:r w:rsidR="002641E0">
        <w:rPr>
          <w:rFonts w:asciiTheme="minorHAnsi" w:hAnsiTheme="minorHAnsi"/>
        </w:rPr>
      </w:r>
      <w:r w:rsidR="002641E0">
        <w:rPr>
          <w:rFonts w:asciiTheme="minorHAnsi" w:hAnsiTheme="minorHAnsi"/>
        </w:rPr>
        <w:fldChar w:fldCharType="separate"/>
      </w:r>
      <w:r w:rsidR="00D44BCF" w:rsidRPr="00D44BCF">
        <w:rPr>
          <w:rFonts w:asciiTheme="minorHAnsi" w:hAnsiTheme="minorHAnsi"/>
        </w:rPr>
        <w:t>The three-quarters rule in fixing a NPP for certain national security offences</w:t>
      </w:r>
      <w:r w:rsidR="002641E0">
        <w:rPr>
          <w:rFonts w:asciiTheme="minorHAnsi" w:hAnsiTheme="minorHAnsi"/>
        </w:rPr>
        <w:fldChar w:fldCharType="end"/>
      </w:r>
      <w:r w:rsidR="002641E0">
        <w:rPr>
          <w:rFonts w:asciiTheme="minorHAnsi" w:hAnsiTheme="minorHAnsi"/>
        </w:rPr>
        <w:t>”</w:t>
      </w:r>
      <w:r w:rsidR="008C16F7">
        <w:rPr>
          <w:rFonts w:asciiTheme="minorHAnsi" w:hAnsiTheme="minorHAnsi"/>
        </w:rPr>
        <w:t>.</w:t>
      </w:r>
    </w:p>
    <w:p w14:paraId="0BF05FA0" w14:textId="77777777" w:rsidR="009621AE" w:rsidRPr="00FA0D8A" w:rsidRDefault="009621AE" w:rsidP="009621AE">
      <w:pPr>
        <w:pStyle w:val="ListParagraph"/>
        <w:rPr>
          <w:rFonts w:asciiTheme="minorHAnsi" w:hAnsiTheme="minorHAnsi"/>
        </w:rPr>
      </w:pPr>
    </w:p>
    <w:p w14:paraId="1F912789" w14:textId="2E325CEC" w:rsidR="009621AE" w:rsidRDefault="009621AE" w:rsidP="00EB7F1E">
      <w:pPr>
        <w:pStyle w:val="ListParagraph"/>
        <w:numPr>
          <w:ilvl w:val="0"/>
          <w:numId w:val="7"/>
        </w:numPr>
        <w:spacing w:line="276" w:lineRule="auto"/>
        <w:ind w:left="425" w:hanging="425"/>
        <w:contextualSpacing w:val="0"/>
        <w:rPr>
          <w:rFonts w:asciiTheme="minorHAnsi" w:hAnsiTheme="minorHAnsi"/>
        </w:rPr>
      </w:pPr>
      <w:r w:rsidRPr="00461FF6">
        <w:rPr>
          <w:rFonts w:asciiTheme="minorHAnsi" w:hAnsiTheme="minorHAnsi"/>
        </w:rPr>
        <w:t xml:space="preserve">In any other case, the fixing of a period, or minimum period, to be served </w:t>
      </w:r>
      <w:r>
        <w:rPr>
          <w:rFonts w:asciiTheme="minorHAnsi" w:hAnsiTheme="minorHAnsi"/>
        </w:rPr>
        <w:t>for one or more federal</w:t>
      </w:r>
      <w:r w:rsidRPr="00461FF6">
        <w:rPr>
          <w:rFonts w:asciiTheme="minorHAnsi" w:hAnsiTheme="minorHAnsi"/>
        </w:rPr>
        <w:t xml:space="preserve"> </w:t>
      </w:r>
      <w:r>
        <w:rPr>
          <w:rFonts w:asciiTheme="minorHAnsi" w:hAnsiTheme="minorHAnsi"/>
        </w:rPr>
        <w:t xml:space="preserve">offences by an </w:t>
      </w:r>
      <w:r w:rsidRPr="00461FF6">
        <w:rPr>
          <w:rFonts w:asciiTheme="minorHAnsi" w:hAnsiTheme="minorHAnsi"/>
        </w:rPr>
        <w:t>offender</w:t>
      </w:r>
      <w:r>
        <w:rPr>
          <w:rFonts w:asciiTheme="minorHAnsi" w:hAnsiTheme="minorHAnsi"/>
        </w:rPr>
        <w:t xml:space="preserve"> who is</w:t>
      </w:r>
      <w:r w:rsidRPr="00461FF6">
        <w:rPr>
          <w:rFonts w:asciiTheme="minorHAnsi" w:hAnsiTheme="minorHAnsi"/>
          <w:b/>
        </w:rPr>
        <w:t xml:space="preserve"> </w:t>
      </w:r>
      <w:r w:rsidRPr="0077044E">
        <w:rPr>
          <w:rFonts w:asciiTheme="minorHAnsi" w:hAnsiTheme="minorHAnsi"/>
        </w:rPr>
        <w:t xml:space="preserve">already serving or subject to a </w:t>
      </w:r>
      <w:r>
        <w:rPr>
          <w:rFonts w:asciiTheme="minorHAnsi" w:hAnsiTheme="minorHAnsi"/>
        </w:rPr>
        <w:t>sentence of imprisonment for a federal offence is governed by s 19AB</w:t>
      </w:r>
      <w:r w:rsidR="00A94D9E">
        <w:rPr>
          <w:rFonts w:asciiTheme="minorHAnsi" w:hAnsiTheme="minorHAnsi"/>
        </w:rPr>
        <w:t>(2)</w:t>
      </w:r>
      <w:r w:rsidR="00764963">
        <w:rPr>
          <w:rFonts w:asciiTheme="minorHAnsi" w:hAnsiTheme="minorHAnsi"/>
        </w:rPr>
        <w:t xml:space="preserve">, </w:t>
      </w:r>
      <w:r>
        <w:rPr>
          <w:rFonts w:asciiTheme="minorHAnsi" w:hAnsiTheme="minorHAnsi"/>
        </w:rPr>
        <w:t>19AC</w:t>
      </w:r>
      <w:r w:rsidR="00A94D9E">
        <w:rPr>
          <w:rFonts w:asciiTheme="minorHAnsi" w:hAnsiTheme="minorHAnsi"/>
        </w:rPr>
        <w:t>(2)</w:t>
      </w:r>
      <w:r w:rsidR="00764963">
        <w:rPr>
          <w:rFonts w:asciiTheme="minorHAnsi" w:hAnsiTheme="minorHAnsi"/>
        </w:rPr>
        <w:t>, 19AD or 19AE</w:t>
      </w:r>
      <w:r>
        <w:rPr>
          <w:rFonts w:asciiTheme="minorHAnsi" w:hAnsiTheme="minorHAnsi"/>
        </w:rPr>
        <w:t xml:space="preserve"> of the Act (whichever is applicable).</w:t>
      </w:r>
    </w:p>
    <w:p w14:paraId="1EA68545" w14:textId="77777777" w:rsidR="009621AE" w:rsidRPr="0077044E" w:rsidRDefault="009621AE" w:rsidP="009621AE">
      <w:pPr>
        <w:pStyle w:val="ListParagraph"/>
        <w:rPr>
          <w:rFonts w:asciiTheme="minorHAnsi" w:hAnsiTheme="minorHAnsi"/>
        </w:rPr>
      </w:pPr>
    </w:p>
    <w:p w14:paraId="7A5023ED" w14:textId="1CC5A6BF" w:rsidR="00BD28A3" w:rsidRDefault="00CC52CC" w:rsidP="00EB7F1E">
      <w:pPr>
        <w:pStyle w:val="ListParagraph"/>
        <w:numPr>
          <w:ilvl w:val="0"/>
          <w:numId w:val="7"/>
        </w:numPr>
        <w:spacing w:line="276" w:lineRule="auto"/>
        <w:ind w:left="425" w:hanging="425"/>
        <w:contextualSpacing w:val="0"/>
        <w:rPr>
          <w:rFonts w:asciiTheme="minorHAnsi" w:hAnsiTheme="minorHAnsi"/>
        </w:rPr>
      </w:pPr>
      <w:r w:rsidRPr="00BD28A3">
        <w:rPr>
          <w:rFonts w:asciiTheme="minorHAnsi" w:hAnsiTheme="minorHAnsi"/>
          <w:b/>
        </w:rPr>
        <w:t>Offender in prison and serving or subject to a federal sentence of imprisonment but not subject to an existing RRO or NPP</w:t>
      </w:r>
      <w:r>
        <w:rPr>
          <w:rFonts w:asciiTheme="minorHAnsi" w:hAnsiTheme="minorHAnsi"/>
          <w:b/>
        </w:rPr>
        <w:t>:</w:t>
      </w:r>
      <w:r>
        <w:rPr>
          <w:rFonts w:asciiTheme="minorHAnsi" w:hAnsiTheme="minorHAnsi"/>
        </w:rPr>
        <w:t xml:space="preserve">  Sections 19AB(2) and 19AC(2)</w:t>
      </w:r>
      <w:r w:rsidR="00507717">
        <w:rPr>
          <w:rFonts w:asciiTheme="minorHAnsi" w:hAnsiTheme="minorHAnsi"/>
        </w:rPr>
        <w:t xml:space="preserve"> govern</w:t>
      </w:r>
      <w:r w:rsidR="00764963">
        <w:rPr>
          <w:rFonts w:asciiTheme="minorHAnsi" w:hAnsiTheme="minorHAnsi"/>
        </w:rPr>
        <w:t xml:space="preserve"> a case in which </w:t>
      </w:r>
      <w:r w:rsidR="00F92636" w:rsidRPr="00CC52CC">
        <w:rPr>
          <w:rFonts w:asciiTheme="minorHAnsi" w:hAnsiTheme="minorHAnsi"/>
        </w:rPr>
        <w:t>an offender who is in prison and serving or subject to a federal sentence of imprisonment but is not subject to an existing RRO or NPP</w:t>
      </w:r>
      <w:r w:rsidR="00F92636">
        <w:rPr>
          <w:rFonts w:asciiTheme="minorHAnsi" w:hAnsiTheme="minorHAnsi"/>
        </w:rPr>
        <w:t xml:space="preserve"> is to be sentenced for one or more </w:t>
      </w:r>
      <w:r w:rsidR="00507717">
        <w:rPr>
          <w:rFonts w:asciiTheme="minorHAnsi" w:hAnsiTheme="minorHAnsi"/>
        </w:rPr>
        <w:t xml:space="preserve">further </w:t>
      </w:r>
      <w:r w:rsidR="00F92636">
        <w:rPr>
          <w:rFonts w:asciiTheme="minorHAnsi" w:hAnsiTheme="minorHAnsi"/>
        </w:rPr>
        <w:t>federal offences</w:t>
      </w:r>
      <w:r w:rsidR="00764963">
        <w:rPr>
          <w:rFonts w:asciiTheme="minorHAnsi" w:hAnsiTheme="minorHAnsi"/>
        </w:rPr>
        <w:t>.  In such a case</w:t>
      </w:r>
      <w:r w:rsidR="00F92636">
        <w:rPr>
          <w:rFonts w:asciiTheme="minorHAnsi" w:hAnsiTheme="minorHAnsi"/>
        </w:rPr>
        <w:t xml:space="preserve">, the </w:t>
      </w:r>
      <w:r w:rsidR="00BD28A3">
        <w:rPr>
          <w:rFonts w:asciiTheme="minorHAnsi" w:hAnsiTheme="minorHAnsi"/>
        </w:rPr>
        <w:t xml:space="preserve">applicable </w:t>
      </w:r>
      <w:r w:rsidR="00F92636">
        <w:rPr>
          <w:rFonts w:asciiTheme="minorHAnsi" w:hAnsiTheme="minorHAnsi"/>
        </w:rPr>
        <w:t xml:space="preserve">requirements relating to NPPs or RRO periods depend upon the aggregate length of the </w:t>
      </w:r>
      <w:r w:rsidR="00F92636" w:rsidRPr="00BD28A3">
        <w:rPr>
          <w:rFonts w:asciiTheme="minorHAnsi" w:hAnsiTheme="minorHAnsi"/>
          <w:i/>
        </w:rPr>
        <w:t>unserved portions of federal sentences</w:t>
      </w:r>
      <w:r w:rsidR="00F92636">
        <w:rPr>
          <w:rFonts w:asciiTheme="minorHAnsi" w:hAnsiTheme="minorHAnsi"/>
        </w:rPr>
        <w:t xml:space="preserve"> which will result from the imposition of the </w:t>
      </w:r>
      <w:r w:rsidR="00FF1FD1">
        <w:rPr>
          <w:rFonts w:asciiTheme="minorHAnsi" w:hAnsiTheme="minorHAnsi"/>
        </w:rPr>
        <w:t>further</w:t>
      </w:r>
      <w:r w:rsidR="00F92636">
        <w:rPr>
          <w:rFonts w:asciiTheme="minorHAnsi" w:hAnsiTheme="minorHAnsi"/>
        </w:rPr>
        <w:t xml:space="preserve"> sentence</w:t>
      </w:r>
      <w:r w:rsidR="00FF1FD1">
        <w:rPr>
          <w:rFonts w:asciiTheme="minorHAnsi" w:hAnsiTheme="minorHAnsi"/>
        </w:rPr>
        <w:t>(s)</w:t>
      </w:r>
      <w:r w:rsidR="00F92636">
        <w:rPr>
          <w:rFonts w:asciiTheme="minorHAnsi" w:hAnsiTheme="minorHAnsi"/>
        </w:rPr>
        <w:t xml:space="preserve">.  </w:t>
      </w:r>
    </w:p>
    <w:p w14:paraId="2A0532C4" w14:textId="77777777" w:rsidR="00BD28A3" w:rsidRPr="00BD28A3" w:rsidRDefault="00BD28A3" w:rsidP="00BD28A3">
      <w:pPr>
        <w:pStyle w:val="ListParagraph"/>
        <w:rPr>
          <w:rFonts w:asciiTheme="minorHAnsi" w:hAnsiTheme="minorHAnsi"/>
        </w:rPr>
      </w:pPr>
    </w:p>
    <w:p w14:paraId="785CDEE0" w14:textId="7426ADB4" w:rsidR="00BD28A3" w:rsidRDefault="00BD28A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unserved portions of the existing sentence must be calculated at the time of sentencing for the </w:t>
      </w:r>
      <w:r w:rsidR="0045570F">
        <w:rPr>
          <w:rFonts w:asciiTheme="minorHAnsi" w:hAnsiTheme="minorHAnsi"/>
        </w:rPr>
        <w:t xml:space="preserve">further federal offence(s).  </w:t>
      </w:r>
      <w:r>
        <w:rPr>
          <w:rFonts w:asciiTheme="minorHAnsi" w:hAnsiTheme="minorHAnsi"/>
        </w:rPr>
        <w:t xml:space="preserve">For example, suppose </w:t>
      </w:r>
      <w:r w:rsidR="00FF1FD1">
        <w:rPr>
          <w:rFonts w:asciiTheme="minorHAnsi" w:hAnsiTheme="minorHAnsi"/>
        </w:rPr>
        <w:t>the</w:t>
      </w:r>
      <w:r>
        <w:rPr>
          <w:rFonts w:asciiTheme="minorHAnsi" w:hAnsiTheme="minorHAnsi"/>
        </w:rPr>
        <w:t xml:space="preserve"> offender </w:t>
      </w:r>
      <w:r w:rsidR="00FF1FD1">
        <w:rPr>
          <w:rFonts w:asciiTheme="minorHAnsi" w:hAnsiTheme="minorHAnsi"/>
        </w:rPr>
        <w:t xml:space="preserve">to be sentenced for federal offences </w:t>
      </w:r>
      <w:r>
        <w:rPr>
          <w:rFonts w:asciiTheme="minorHAnsi" w:hAnsiTheme="minorHAnsi"/>
        </w:rPr>
        <w:t xml:space="preserve">is </w:t>
      </w:r>
      <w:r w:rsidR="00FF1FD1">
        <w:rPr>
          <w:rFonts w:asciiTheme="minorHAnsi" w:hAnsiTheme="minorHAnsi"/>
        </w:rPr>
        <w:t xml:space="preserve">already </w:t>
      </w:r>
      <w:r>
        <w:rPr>
          <w:rFonts w:asciiTheme="minorHAnsi" w:hAnsiTheme="minorHAnsi"/>
        </w:rPr>
        <w:t xml:space="preserve">serving a federal sentence of </w:t>
      </w:r>
      <w:r w:rsidR="00774D2F">
        <w:rPr>
          <w:rFonts w:asciiTheme="minorHAnsi" w:hAnsiTheme="minorHAnsi"/>
        </w:rPr>
        <w:t>3</w:t>
      </w:r>
      <w:r>
        <w:rPr>
          <w:rFonts w:asciiTheme="minorHAnsi" w:hAnsiTheme="minorHAnsi"/>
        </w:rPr>
        <w:t xml:space="preserve"> years</w:t>
      </w:r>
      <w:r w:rsidR="006414CA">
        <w:rPr>
          <w:rFonts w:asciiTheme="minorHAnsi" w:hAnsiTheme="minorHAnsi"/>
        </w:rPr>
        <w:t xml:space="preserve"> for previous offences</w:t>
      </w:r>
      <w:r w:rsidR="00FF1FD1">
        <w:rPr>
          <w:rFonts w:asciiTheme="minorHAnsi" w:hAnsiTheme="minorHAnsi"/>
        </w:rPr>
        <w:t>, but</w:t>
      </w:r>
      <w:r w:rsidR="0045570F">
        <w:rPr>
          <w:rFonts w:asciiTheme="minorHAnsi" w:hAnsiTheme="minorHAnsi"/>
        </w:rPr>
        <w:t xml:space="preserve"> is not subject to a NPP or RRO</w:t>
      </w:r>
      <w:r>
        <w:rPr>
          <w:rFonts w:asciiTheme="minorHAnsi" w:hAnsiTheme="minorHAnsi"/>
        </w:rPr>
        <w:t>.</w:t>
      </w:r>
      <w:r w:rsidR="00DF033C" w:rsidRPr="00C00000">
        <w:rPr>
          <w:rStyle w:val="FootnoteReference"/>
          <w:rFonts w:asciiTheme="minorHAnsi" w:hAnsiTheme="minorHAnsi"/>
        </w:rPr>
        <w:footnoteReference w:id="815"/>
      </w:r>
      <w:r>
        <w:rPr>
          <w:rFonts w:asciiTheme="minorHAnsi" w:hAnsiTheme="minorHAnsi"/>
        </w:rPr>
        <w:t xml:space="preserve">  At the time of </w:t>
      </w:r>
      <w:r w:rsidR="0045570F">
        <w:rPr>
          <w:rFonts w:asciiTheme="minorHAnsi" w:hAnsiTheme="minorHAnsi"/>
        </w:rPr>
        <w:t xml:space="preserve">sentencing for further federal offences, the offender has served </w:t>
      </w:r>
      <w:r w:rsidR="0003568E">
        <w:rPr>
          <w:rFonts w:asciiTheme="minorHAnsi" w:hAnsiTheme="minorHAnsi"/>
        </w:rPr>
        <w:t>2</w:t>
      </w:r>
      <w:r w:rsidR="0045570F">
        <w:rPr>
          <w:rFonts w:asciiTheme="minorHAnsi" w:hAnsiTheme="minorHAnsi"/>
        </w:rPr>
        <w:t xml:space="preserve"> years</w:t>
      </w:r>
      <w:r w:rsidR="00AA693C">
        <w:rPr>
          <w:rFonts w:asciiTheme="minorHAnsi" w:hAnsiTheme="minorHAnsi"/>
        </w:rPr>
        <w:t>’</w:t>
      </w:r>
      <w:r w:rsidR="0045570F">
        <w:rPr>
          <w:rFonts w:asciiTheme="minorHAnsi" w:hAnsiTheme="minorHAnsi"/>
        </w:rPr>
        <w:t xml:space="preserve"> imprisonment.  The unserved portion of the existing sentence is one year.  The applicable requirement in relation to fixing a NPP or RRO (or </w:t>
      </w:r>
      <w:r w:rsidR="004255B7">
        <w:rPr>
          <w:rFonts w:asciiTheme="minorHAnsi" w:hAnsiTheme="minorHAnsi"/>
        </w:rPr>
        <w:t xml:space="preserve">imposing a </w:t>
      </w:r>
      <w:r w:rsidR="0045570F">
        <w:rPr>
          <w:rFonts w:asciiTheme="minorHAnsi" w:hAnsiTheme="minorHAnsi"/>
        </w:rPr>
        <w:t xml:space="preserve">straight sentence) for the further offences will depend on the aggregate of the unserved portion of the existing sentence (1 year in this instance) and </w:t>
      </w:r>
      <w:r w:rsidR="00FB0DE2">
        <w:rPr>
          <w:rFonts w:asciiTheme="minorHAnsi" w:hAnsiTheme="minorHAnsi"/>
        </w:rPr>
        <w:t xml:space="preserve">the </w:t>
      </w:r>
      <w:r w:rsidR="0045570F">
        <w:rPr>
          <w:rFonts w:asciiTheme="minorHAnsi" w:hAnsiTheme="minorHAnsi"/>
        </w:rPr>
        <w:t>total effective sentence</w:t>
      </w:r>
      <w:r w:rsidR="00014781">
        <w:rPr>
          <w:rFonts w:asciiTheme="minorHAnsi" w:hAnsiTheme="minorHAnsi"/>
        </w:rPr>
        <w:t xml:space="preserve"> (head sentence)</w:t>
      </w:r>
      <w:r w:rsidR="0045570F">
        <w:rPr>
          <w:rFonts w:asciiTheme="minorHAnsi" w:hAnsiTheme="minorHAnsi"/>
        </w:rPr>
        <w:t xml:space="preserve"> for the further offences.</w:t>
      </w:r>
    </w:p>
    <w:p w14:paraId="1E58D435" w14:textId="77777777" w:rsidR="00BD28A3" w:rsidRPr="00BD28A3" w:rsidRDefault="00BD28A3" w:rsidP="00BD28A3">
      <w:pPr>
        <w:pStyle w:val="ListParagraph"/>
        <w:rPr>
          <w:rFonts w:asciiTheme="minorHAnsi" w:hAnsiTheme="minorHAnsi"/>
        </w:rPr>
      </w:pPr>
    </w:p>
    <w:p w14:paraId="144AD987" w14:textId="0D0AD2E2" w:rsidR="00F92636" w:rsidRDefault="00F9263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summary, the respective requirements relating to the unserved portions of federal sentences </w:t>
      </w:r>
      <w:r w:rsidR="00CC52CC">
        <w:rPr>
          <w:rFonts w:asciiTheme="minorHAnsi" w:hAnsiTheme="minorHAnsi"/>
        </w:rPr>
        <w:t xml:space="preserve">in such a case </w:t>
      </w:r>
      <w:r>
        <w:rPr>
          <w:rFonts w:asciiTheme="minorHAnsi" w:hAnsiTheme="minorHAnsi"/>
        </w:rPr>
        <w:t>are as follows:</w:t>
      </w:r>
    </w:p>
    <w:p w14:paraId="1687CD1D" w14:textId="2493DA32" w:rsidR="00F92636" w:rsidRDefault="00F92636"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b/>
        </w:rPr>
        <w:t>6 months or less</w:t>
      </w:r>
      <w:r>
        <w:rPr>
          <w:rFonts w:asciiTheme="minorHAnsi" w:hAnsiTheme="minorHAnsi"/>
          <w:b/>
        </w:rPr>
        <w:t>:</w:t>
      </w:r>
      <w:r w:rsidRPr="00C00000">
        <w:rPr>
          <w:rFonts w:asciiTheme="minorHAnsi" w:hAnsiTheme="minorHAnsi"/>
        </w:rPr>
        <w:t xml:space="preserve"> </w:t>
      </w:r>
      <w:r>
        <w:rPr>
          <w:rFonts w:asciiTheme="minorHAnsi" w:hAnsiTheme="minorHAnsi"/>
        </w:rPr>
        <w:t>If the unserved portions of the federal sentences (including the additional sentences to be imposed) will, in the aggregate, not exceed 6 months,</w:t>
      </w:r>
      <w:r w:rsidRPr="00C00000">
        <w:rPr>
          <w:rFonts w:asciiTheme="minorHAnsi" w:hAnsiTheme="minorHAnsi"/>
        </w:rPr>
        <w:t xml:space="preserve"> </w:t>
      </w:r>
      <w:r w:rsidR="0003568E">
        <w:rPr>
          <w:rFonts w:asciiTheme="minorHAnsi" w:hAnsiTheme="minorHAnsi"/>
        </w:rPr>
        <w:t>there is no power to fix a NPP</w:t>
      </w:r>
      <w:r w:rsidR="0003568E" w:rsidRPr="00C00000">
        <w:rPr>
          <w:rStyle w:val="Style"/>
          <w:rFonts w:asciiTheme="minorHAnsi" w:hAnsiTheme="minorHAnsi"/>
        </w:rPr>
        <w:footnoteReference w:id="816"/>
      </w:r>
      <w:r w:rsidR="0003568E">
        <w:rPr>
          <w:rFonts w:asciiTheme="minorHAnsi" w:hAnsiTheme="minorHAnsi"/>
        </w:rPr>
        <w:t xml:space="preserve"> (except if one of the offences is a “minimum non-parole period offence” in which case a NPP is mandatory</w:t>
      </w:r>
      <w:r w:rsidR="0003568E" w:rsidRPr="00C00000">
        <w:rPr>
          <w:rStyle w:val="Style"/>
          <w:rFonts w:asciiTheme="minorHAnsi" w:hAnsiTheme="minorHAnsi"/>
        </w:rPr>
        <w:footnoteReference w:id="817"/>
      </w:r>
      <w:r w:rsidR="0003568E">
        <w:rPr>
          <w:rFonts w:asciiTheme="minorHAnsi" w:hAnsiTheme="minorHAnsi"/>
        </w:rPr>
        <w:t xml:space="preserve">). </w:t>
      </w:r>
      <w:r w:rsidR="0003568E" w:rsidRPr="00CC52CC">
        <w:rPr>
          <w:rFonts w:asciiTheme="minorHAnsi" w:hAnsiTheme="minorHAnsi"/>
          <w:i/>
        </w:rPr>
        <w:t>The court may, but is not required to, make a RRO</w:t>
      </w:r>
      <w:r w:rsidR="0003568E">
        <w:rPr>
          <w:rFonts w:asciiTheme="minorHAnsi" w:hAnsiTheme="minorHAnsi"/>
        </w:rPr>
        <w:t xml:space="preserve"> (</w:t>
      </w:r>
      <w:r w:rsidR="00885EFD" w:rsidRPr="00885EFD">
        <w:rPr>
          <w:rFonts w:asciiTheme="minorHAnsi" w:hAnsiTheme="minorHAnsi"/>
          <w:i/>
        </w:rPr>
        <w:t>Crimes Act 1914</w:t>
      </w:r>
      <w:r w:rsidR="0003568E">
        <w:rPr>
          <w:rFonts w:asciiTheme="minorHAnsi" w:hAnsiTheme="minorHAnsi"/>
        </w:rPr>
        <w:t>, ss 19AC(3), 20(1)(b)).</w:t>
      </w:r>
      <w:r w:rsidR="0003568E" w:rsidRPr="005D4172">
        <w:rPr>
          <w:rFonts w:asciiTheme="minorHAnsi" w:hAnsiTheme="minorHAnsi"/>
        </w:rPr>
        <w:t xml:space="preserve"> </w:t>
      </w:r>
      <w:r w:rsidR="0003568E">
        <w:rPr>
          <w:rFonts w:asciiTheme="minorHAnsi" w:hAnsiTheme="minorHAnsi"/>
        </w:rPr>
        <w:t xml:space="preserve"> That is, the court may either make a RRO or impose a straight sentence.</w:t>
      </w:r>
    </w:p>
    <w:p w14:paraId="72D4866F" w14:textId="51FE07F6" w:rsidR="00F92636" w:rsidRDefault="00F9263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b/>
        </w:rPr>
        <w:t xml:space="preserve">More than 6 months up to </w:t>
      </w:r>
      <w:r w:rsidRPr="00C00000">
        <w:rPr>
          <w:rFonts w:asciiTheme="minorHAnsi" w:hAnsiTheme="minorHAnsi"/>
          <w:b/>
        </w:rPr>
        <w:t>3 years</w:t>
      </w:r>
      <w:r>
        <w:rPr>
          <w:rFonts w:asciiTheme="minorHAnsi" w:hAnsiTheme="minorHAnsi"/>
        </w:rPr>
        <w:t>:  If the unserved portions of the federal sentences (including the additional sentences to be imposed) will, in the aggregate, be more than 6 months but not more than 3 years,</w:t>
      </w:r>
      <w:r w:rsidRPr="005E19C4">
        <w:rPr>
          <w:rFonts w:asciiTheme="minorHAnsi" w:hAnsiTheme="minorHAnsi"/>
        </w:rPr>
        <w:t xml:space="preserve"> </w:t>
      </w:r>
      <w:r w:rsidR="00CC52CC">
        <w:rPr>
          <w:rFonts w:asciiTheme="minorHAnsi" w:hAnsiTheme="minorHAnsi"/>
        </w:rPr>
        <w:t>there is no power to fix a NPP</w:t>
      </w:r>
      <w:r w:rsidR="00CC52CC" w:rsidRPr="00C00000">
        <w:rPr>
          <w:rFonts w:asciiTheme="minorHAnsi" w:hAnsiTheme="minorHAnsi"/>
        </w:rPr>
        <w:t xml:space="preserve"> </w:t>
      </w:r>
      <w:r w:rsidR="00CC52CC">
        <w:rPr>
          <w:rFonts w:asciiTheme="minorHAnsi" w:hAnsiTheme="minorHAnsi"/>
        </w:rPr>
        <w:t>(except if one of the offences is a “minimum non-parole period offence” in which case a NPP is mandatory</w:t>
      </w:r>
      <w:r w:rsidR="00CC52CC" w:rsidRPr="00C00000">
        <w:rPr>
          <w:rStyle w:val="Style"/>
          <w:rFonts w:asciiTheme="minorHAnsi" w:hAnsiTheme="minorHAnsi"/>
        </w:rPr>
        <w:footnoteReference w:id="818"/>
      </w:r>
      <w:r w:rsidR="00CC52CC">
        <w:rPr>
          <w:rFonts w:asciiTheme="minorHAnsi" w:hAnsiTheme="minorHAnsi"/>
        </w:rPr>
        <w:t>)</w:t>
      </w:r>
      <w:r w:rsidR="00CC52CC" w:rsidRPr="00C00000">
        <w:rPr>
          <w:rFonts w:asciiTheme="minorHAnsi" w:hAnsiTheme="minorHAnsi"/>
        </w:rPr>
        <w:t>.</w:t>
      </w:r>
      <w:r w:rsidR="00CC52CC">
        <w:rPr>
          <w:rFonts w:asciiTheme="minorHAnsi" w:hAnsiTheme="minorHAnsi"/>
        </w:rPr>
        <w:t xml:space="preserve">  </w:t>
      </w:r>
      <w:r w:rsidR="00CC52CC" w:rsidRPr="00CC52CC">
        <w:rPr>
          <w:rFonts w:asciiTheme="minorHAnsi" w:hAnsiTheme="minorHAnsi"/>
          <w:i/>
        </w:rPr>
        <w:t>The court is required to make a RRO</w:t>
      </w:r>
      <w:r w:rsidR="00CC52CC">
        <w:rPr>
          <w:rFonts w:asciiTheme="minorHAnsi" w:hAnsiTheme="minorHAnsi"/>
        </w:rPr>
        <w:t xml:space="preserve"> (ss 19AC(2), 20(1)(b)), unless it exercises the discretion to decline to fix a RRO (that is, to impos</w:t>
      </w:r>
      <w:r w:rsidR="00014781">
        <w:rPr>
          <w:rFonts w:asciiTheme="minorHAnsi" w:hAnsiTheme="minorHAnsi"/>
        </w:rPr>
        <w:t>e a straight sentence) in the ci</w:t>
      </w:r>
      <w:r w:rsidR="00CC52CC">
        <w:rPr>
          <w:rFonts w:asciiTheme="minorHAnsi" w:hAnsiTheme="minorHAnsi"/>
        </w:rPr>
        <w:t>rcumstances set out in s 19AC(4).</w:t>
      </w:r>
    </w:p>
    <w:p w14:paraId="5E36334E" w14:textId="2F2B52BF" w:rsidR="00F92636" w:rsidRDefault="00F9263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b/>
        </w:rPr>
        <w:t xml:space="preserve">More than </w:t>
      </w:r>
      <w:r w:rsidRPr="00C00000">
        <w:rPr>
          <w:rFonts w:asciiTheme="minorHAnsi" w:hAnsiTheme="minorHAnsi"/>
          <w:b/>
        </w:rPr>
        <w:t>3 years</w:t>
      </w:r>
      <w:r>
        <w:rPr>
          <w:rFonts w:asciiTheme="minorHAnsi" w:hAnsiTheme="minorHAnsi"/>
          <w:b/>
        </w:rPr>
        <w:t xml:space="preserve"> (including a life sentence)</w:t>
      </w:r>
      <w:r>
        <w:rPr>
          <w:rFonts w:asciiTheme="minorHAnsi" w:hAnsiTheme="minorHAnsi"/>
        </w:rPr>
        <w:t xml:space="preserve">: If the offender is or will be subject to a federal life sentence, or if the unserved portions of the federal sentences (including the </w:t>
      </w:r>
      <w:r w:rsidR="00CC52CC">
        <w:rPr>
          <w:rFonts w:asciiTheme="minorHAnsi" w:hAnsiTheme="minorHAnsi"/>
        </w:rPr>
        <w:t>further</w:t>
      </w:r>
      <w:r>
        <w:rPr>
          <w:rFonts w:asciiTheme="minorHAnsi" w:hAnsiTheme="minorHAnsi"/>
        </w:rPr>
        <w:t xml:space="preserve"> sentences to be imposed) will, in the aggregate, be in excess of 3 years,</w:t>
      </w:r>
      <w:r w:rsidRPr="00C00000">
        <w:rPr>
          <w:rFonts w:asciiTheme="minorHAnsi" w:hAnsiTheme="minorHAnsi"/>
        </w:rPr>
        <w:t xml:space="preserve"> </w:t>
      </w:r>
      <w:r w:rsidRPr="00BA4D25">
        <w:rPr>
          <w:rFonts w:asciiTheme="minorHAnsi" w:hAnsiTheme="minorHAnsi"/>
          <w:i/>
        </w:rPr>
        <w:t>the court must fix a single NPP</w:t>
      </w:r>
      <w:r>
        <w:rPr>
          <w:rFonts w:asciiTheme="minorHAnsi" w:hAnsiTheme="minorHAnsi"/>
        </w:rPr>
        <w:t xml:space="preserve"> (</w:t>
      </w:r>
      <w:r w:rsidR="00885EFD" w:rsidRPr="00885EFD">
        <w:rPr>
          <w:rFonts w:asciiTheme="minorHAnsi" w:hAnsiTheme="minorHAnsi"/>
          <w:i/>
        </w:rPr>
        <w:t>Crimes Act 1914</w:t>
      </w:r>
      <w:r w:rsidRPr="00C00000">
        <w:rPr>
          <w:rFonts w:asciiTheme="minorHAnsi" w:hAnsiTheme="minorHAnsi"/>
        </w:rPr>
        <w:t>s 19AB(</w:t>
      </w:r>
      <w:r w:rsidR="00CC52CC">
        <w:rPr>
          <w:rFonts w:asciiTheme="minorHAnsi" w:hAnsiTheme="minorHAnsi"/>
        </w:rPr>
        <w:t>2</w:t>
      </w:r>
      <w:r w:rsidRPr="00C00000">
        <w:rPr>
          <w:rFonts w:asciiTheme="minorHAnsi" w:hAnsiTheme="minorHAnsi"/>
        </w:rPr>
        <w:t>)</w:t>
      </w:r>
      <w:r>
        <w:rPr>
          <w:rFonts w:asciiTheme="minorHAnsi" w:hAnsiTheme="minorHAnsi"/>
        </w:rPr>
        <w:t>), subject to the discretion to decline to do so (that is, to impos</w:t>
      </w:r>
      <w:r w:rsidR="00014781">
        <w:rPr>
          <w:rFonts w:asciiTheme="minorHAnsi" w:hAnsiTheme="minorHAnsi"/>
        </w:rPr>
        <w:t>e a straight sentence) in the ci</w:t>
      </w:r>
      <w:r>
        <w:rPr>
          <w:rFonts w:asciiTheme="minorHAnsi" w:hAnsiTheme="minorHAnsi"/>
        </w:rPr>
        <w:t>rcumstances set out in s 19AB(3).</w:t>
      </w:r>
    </w:p>
    <w:p w14:paraId="605B0F3A" w14:textId="77777777" w:rsidR="00F92636" w:rsidRDefault="00F92636" w:rsidP="00F92636">
      <w:pPr>
        <w:pStyle w:val="ListParagraph"/>
        <w:rPr>
          <w:rFonts w:asciiTheme="minorHAnsi" w:hAnsiTheme="minorHAnsi"/>
        </w:rPr>
      </w:pPr>
    </w:p>
    <w:p w14:paraId="4D7A3A73" w14:textId="0AE2C8C8" w:rsidR="00FE2EDE" w:rsidRDefault="00FE2EDE" w:rsidP="00EB7F1E">
      <w:pPr>
        <w:pStyle w:val="ListParagraph"/>
        <w:numPr>
          <w:ilvl w:val="0"/>
          <w:numId w:val="7"/>
        </w:numPr>
        <w:spacing w:line="276" w:lineRule="auto"/>
        <w:ind w:left="425" w:hanging="425"/>
        <w:contextualSpacing w:val="0"/>
        <w:rPr>
          <w:rFonts w:asciiTheme="minorHAnsi" w:hAnsiTheme="minorHAnsi"/>
        </w:rPr>
      </w:pPr>
      <w:r w:rsidRPr="00BD28A3">
        <w:rPr>
          <w:rFonts w:asciiTheme="minorHAnsi" w:hAnsiTheme="minorHAnsi"/>
          <w:b/>
        </w:rPr>
        <w:t xml:space="preserve">Offender in prison and serving or subject to a federal sentence of imprisonment </w:t>
      </w:r>
      <w:r>
        <w:rPr>
          <w:rFonts w:asciiTheme="minorHAnsi" w:hAnsiTheme="minorHAnsi"/>
          <w:b/>
        </w:rPr>
        <w:t>and</w:t>
      </w:r>
      <w:r w:rsidRPr="00BD28A3">
        <w:rPr>
          <w:rFonts w:asciiTheme="minorHAnsi" w:hAnsiTheme="minorHAnsi"/>
          <w:b/>
        </w:rPr>
        <w:t xml:space="preserve"> subject to an existing NPP</w:t>
      </w:r>
      <w:r>
        <w:rPr>
          <w:rFonts w:asciiTheme="minorHAnsi" w:hAnsiTheme="minorHAnsi"/>
          <w:b/>
        </w:rPr>
        <w:t>:</w:t>
      </w:r>
      <w:r>
        <w:rPr>
          <w:rFonts w:asciiTheme="minorHAnsi" w:hAnsiTheme="minorHAnsi"/>
        </w:rPr>
        <w:t xml:space="preserve">  </w:t>
      </w:r>
      <w:r w:rsidRPr="00507717">
        <w:rPr>
          <w:rFonts w:asciiTheme="minorHAnsi" w:hAnsiTheme="minorHAnsi"/>
        </w:rPr>
        <w:t xml:space="preserve">If an offender who is serving an existing NPP </w:t>
      </w:r>
      <w:r>
        <w:rPr>
          <w:rFonts w:asciiTheme="minorHAnsi" w:hAnsiTheme="minorHAnsi"/>
        </w:rPr>
        <w:t xml:space="preserve">for one or more </w:t>
      </w:r>
      <w:r w:rsidRPr="00507717">
        <w:rPr>
          <w:rFonts w:asciiTheme="minorHAnsi" w:hAnsiTheme="minorHAnsi"/>
        </w:rPr>
        <w:t xml:space="preserve">federal </w:t>
      </w:r>
      <w:r>
        <w:rPr>
          <w:rFonts w:asciiTheme="minorHAnsi" w:hAnsiTheme="minorHAnsi"/>
        </w:rPr>
        <w:t>sentences</w:t>
      </w:r>
      <w:r>
        <w:rPr>
          <w:rFonts w:asciiTheme="minorHAnsi" w:hAnsiTheme="minorHAnsi"/>
          <w:b/>
        </w:rPr>
        <w:t xml:space="preserve"> </w:t>
      </w:r>
      <w:r>
        <w:rPr>
          <w:rFonts w:asciiTheme="minorHAnsi" w:hAnsiTheme="minorHAnsi"/>
        </w:rPr>
        <w:t>is to be sentenced for one or more federal offences, the court must take one of the steps required by s 19AD(2).  The court</w:t>
      </w:r>
      <w:r w:rsidR="00AA693C">
        <w:rPr>
          <w:rFonts w:asciiTheme="minorHAnsi" w:hAnsiTheme="minorHAnsi"/>
        </w:rPr>
        <w:t>’</w:t>
      </w:r>
      <w:r>
        <w:rPr>
          <w:rFonts w:asciiTheme="minorHAnsi" w:hAnsiTheme="minorHAnsi"/>
        </w:rPr>
        <w:t xml:space="preserve">s options </w:t>
      </w:r>
      <w:r w:rsidR="00D86DDE">
        <w:rPr>
          <w:rFonts w:asciiTheme="minorHAnsi" w:hAnsiTheme="minorHAnsi"/>
        </w:rPr>
        <w:t>(under s 19AD(2))</w:t>
      </w:r>
      <w:r w:rsidR="00B867C8">
        <w:rPr>
          <w:rFonts w:asciiTheme="minorHAnsi" w:hAnsiTheme="minorHAnsi"/>
        </w:rPr>
        <w:t>,</w:t>
      </w:r>
      <w:r w:rsidR="00D86DDE">
        <w:rPr>
          <w:rFonts w:asciiTheme="minorHAnsi" w:hAnsiTheme="minorHAnsi"/>
        </w:rPr>
        <w:t xml:space="preserve"> </w:t>
      </w:r>
      <w:r w:rsidR="004255B7">
        <w:rPr>
          <w:rFonts w:asciiTheme="minorHAnsi" w:hAnsiTheme="minorHAnsi"/>
        </w:rPr>
        <w:t xml:space="preserve">after considering the relevant circumstances, including the existing NPP, the nature and circumstances of the offence(s) concerned and the antecedents of the person, </w:t>
      </w:r>
      <w:r>
        <w:rPr>
          <w:rFonts w:asciiTheme="minorHAnsi" w:hAnsiTheme="minorHAnsi"/>
        </w:rPr>
        <w:t>are:</w:t>
      </w:r>
      <w:r w:rsidR="00724E5A" w:rsidRPr="00C00000">
        <w:rPr>
          <w:rStyle w:val="Style"/>
          <w:rFonts w:asciiTheme="minorHAnsi" w:hAnsiTheme="minorHAnsi"/>
        </w:rPr>
        <w:footnoteReference w:id="819"/>
      </w:r>
    </w:p>
    <w:p w14:paraId="65211E9F" w14:textId="77777777" w:rsidR="00FE2EDE" w:rsidRDefault="00FE2EDE"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make an order confirming the existing NPP;</w:t>
      </w:r>
    </w:p>
    <w:p w14:paraId="42A0B997" w14:textId="77777777" w:rsidR="00FE2EDE" w:rsidRDefault="00FE2EDE"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fix a new single NPP in respect of all federal sentences the person is to serve or complete; or</w:t>
      </w:r>
    </w:p>
    <w:p w14:paraId="2AFCAB0D" w14:textId="77777777" w:rsidR="00FE2EDE" w:rsidRDefault="00FE2EDE"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where the court decides that, in the circumstances, a NPP is not appropriate, cancel the existing NPP and decline to fix a new NPP (that is, in effect, impose a straight sentence).</w:t>
      </w:r>
    </w:p>
    <w:p w14:paraId="3A3AD95B" w14:textId="77777777" w:rsidR="00FE2EDE" w:rsidRDefault="00FE2EDE" w:rsidP="00FE2EDE">
      <w:pPr>
        <w:pStyle w:val="ListParagraph"/>
        <w:rPr>
          <w:rFonts w:asciiTheme="minorHAnsi" w:hAnsiTheme="minorHAnsi"/>
        </w:rPr>
      </w:pPr>
    </w:p>
    <w:p w14:paraId="69A494DC" w14:textId="393D53D5" w:rsidR="00BA6073" w:rsidRPr="00BA6073" w:rsidRDefault="00507717" w:rsidP="00EB7F1E">
      <w:pPr>
        <w:pStyle w:val="ListParagraph"/>
        <w:numPr>
          <w:ilvl w:val="0"/>
          <w:numId w:val="7"/>
        </w:numPr>
        <w:spacing w:line="276" w:lineRule="auto"/>
        <w:ind w:left="425" w:hanging="425"/>
        <w:contextualSpacing w:val="0"/>
        <w:rPr>
          <w:rFonts w:asciiTheme="minorHAnsi" w:hAnsiTheme="minorHAnsi"/>
        </w:rPr>
      </w:pPr>
      <w:bookmarkStart w:id="1942" w:name="_Ref8452563"/>
      <w:r w:rsidRPr="00BA6073">
        <w:rPr>
          <w:rFonts w:asciiTheme="minorHAnsi" w:hAnsiTheme="minorHAnsi"/>
          <w:b/>
        </w:rPr>
        <w:t>Offender in prison and serving or subject to a federal sentence of imprisonment and subject to an existing RRO:</w:t>
      </w:r>
      <w:r w:rsidRPr="00BA6073">
        <w:rPr>
          <w:rFonts w:asciiTheme="minorHAnsi" w:hAnsiTheme="minorHAnsi"/>
        </w:rPr>
        <w:t xml:space="preserve">  </w:t>
      </w:r>
      <w:r w:rsidR="00F92636" w:rsidRPr="00BA6073">
        <w:rPr>
          <w:rFonts w:asciiTheme="minorHAnsi" w:hAnsiTheme="minorHAnsi"/>
        </w:rPr>
        <w:t>If an offender who is subject to an existing RRO and has not been released under that RRO</w:t>
      </w:r>
      <w:r w:rsidR="00F92636" w:rsidRPr="00BA6073">
        <w:rPr>
          <w:rFonts w:asciiTheme="minorHAnsi" w:hAnsiTheme="minorHAnsi"/>
          <w:b/>
        </w:rPr>
        <w:t xml:space="preserve"> </w:t>
      </w:r>
      <w:r w:rsidR="00F92636" w:rsidRPr="00BA6073">
        <w:rPr>
          <w:rFonts w:asciiTheme="minorHAnsi" w:hAnsiTheme="minorHAnsi"/>
        </w:rPr>
        <w:t xml:space="preserve">is to be sentenced for one or more </w:t>
      </w:r>
      <w:r w:rsidR="00BA6073">
        <w:rPr>
          <w:rFonts w:asciiTheme="minorHAnsi" w:hAnsiTheme="minorHAnsi"/>
        </w:rPr>
        <w:t xml:space="preserve">further </w:t>
      </w:r>
      <w:r w:rsidR="00F92636" w:rsidRPr="00BA6073">
        <w:rPr>
          <w:rFonts w:asciiTheme="minorHAnsi" w:hAnsiTheme="minorHAnsi"/>
        </w:rPr>
        <w:t>federal offences, the court must take one of the steps required by s 19AE</w:t>
      </w:r>
      <w:r w:rsidR="00BA6073" w:rsidRPr="00BA6073">
        <w:rPr>
          <w:rFonts w:asciiTheme="minorHAnsi" w:hAnsiTheme="minorHAnsi"/>
        </w:rPr>
        <w:t>(2).  The court</w:t>
      </w:r>
      <w:r w:rsidR="00AA693C">
        <w:rPr>
          <w:rFonts w:asciiTheme="minorHAnsi" w:hAnsiTheme="minorHAnsi"/>
        </w:rPr>
        <w:t>’</w:t>
      </w:r>
      <w:r w:rsidR="00BA6073" w:rsidRPr="00BA6073">
        <w:rPr>
          <w:rFonts w:asciiTheme="minorHAnsi" w:hAnsiTheme="minorHAnsi"/>
        </w:rPr>
        <w:t xml:space="preserve">s options </w:t>
      </w:r>
      <w:r w:rsidR="00D86DDE">
        <w:rPr>
          <w:rFonts w:asciiTheme="minorHAnsi" w:hAnsiTheme="minorHAnsi"/>
        </w:rPr>
        <w:t>(under s 19AE(2))</w:t>
      </w:r>
      <w:r w:rsidR="004255B7" w:rsidRPr="00BA6073">
        <w:rPr>
          <w:rFonts w:asciiTheme="minorHAnsi" w:hAnsiTheme="minorHAnsi"/>
        </w:rPr>
        <w:t xml:space="preserve">, after considering the relevant circumstances, including the existing </w:t>
      </w:r>
      <w:r w:rsidR="004255B7">
        <w:rPr>
          <w:rFonts w:asciiTheme="minorHAnsi" w:hAnsiTheme="minorHAnsi"/>
        </w:rPr>
        <w:t>RRO</w:t>
      </w:r>
      <w:r w:rsidR="004255B7" w:rsidRPr="00BA6073">
        <w:rPr>
          <w:rFonts w:asciiTheme="minorHAnsi" w:hAnsiTheme="minorHAnsi"/>
        </w:rPr>
        <w:t>, the nature and circumstances of the offence(s) concerned and the antecedents of the person</w:t>
      </w:r>
      <w:r w:rsidR="004255B7">
        <w:rPr>
          <w:rFonts w:asciiTheme="minorHAnsi" w:hAnsiTheme="minorHAnsi"/>
        </w:rPr>
        <w:t>,</w:t>
      </w:r>
      <w:r w:rsidR="00D86DDE">
        <w:rPr>
          <w:rFonts w:asciiTheme="minorHAnsi" w:hAnsiTheme="minorHAnsi"/>
        </w:rPr>
        <w:t xml:space="preserve"> </w:t>
      </w:r>
      <w:r w:rsidR="00BA6073" w:rsidRPr="00BA6073">
        <w:rPr>
          <w:rFonts w:asciiTheme="minorHAnsi" w:hAnsiTheme="minorHAnsi"/>
        </w:rPr>
        <w:t>are:</w:t>
      </w:r>
      <w:r w:rsidR="00724E5A" w:rsidRPr="00C00000">
        <w:rPr>
          <w:rStyle w:val="Style"/>
          <w:rFonts w:asciiTheme="minorHAnsi" w:hAnsiTheme="minorHAnsi"/>
        </w:rPr>
        <w:footnoteReference w:id="820"/>
      </w:r>
      <w:bookmarkEnd w:id="1942"/>
    </w:p>
    <w:p w14:paraId="69EFA2CC" w14:textId="2F1D5A28" w:rsidR="00BA6073" w:rsidRDefault="00BA6073"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make an order confirming the existing RRO;</w:t>
      </w:r>
    </w:p>
    <w:p w14:paraId="2867B5BB" w14:textId="42235E50" w:rsidR="00BA6073" w:rsidRDefault="00BA6073"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fix a new single RRO in respect of all federal sentences the person is to serve or complete;</w:t>
      </w:r>
    </w:p>
    <w:p w14:paraId="29455503" w14:textId="699DD8C5" w:rsidR="00BA6073" w:rsidRDefault="00FD215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fix a single NPP in respect of all federal sentences that the person is to serve or complete, if, as a result of the further federal sentences, the person is to serve or complete either a federal life sentence, or the aggregate of the unserved portions of federal sentences that the person is to serve or complete exceeds 3 years, and the court decides that it is appropriate to fix a NPP;</w:t>
      </w:r>
      <w:r w:rsidR="00BA6073">
        <w:rPr>
          <w:rFonts w:asciiTheme="minorHAnsi" w:hAnsiTheme="minorHAnsi"/>
        </w:rPr>
        <w:t xml:space="preserve"> or</w:t>
      </w:r>
    </w:p>
    <w:p w14:paraId="63DB12F4" w14:textId="5E8BE405" w:rsidR="00BA6073" w:rsidRDefault="00BA6073"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where the court decides that, in the circumstances, a </w:t>
      </w:r>
      <w:r w:rsidR="00C826AB">
        <w:rPr>
          <w:rFonts w:asciiTheme="minorHAnsi" w:hAnsiTheme="minorHAnsi"/>
        </w:rPr>
        <w:t>RRO</w:t>
      </w:r>
      <w:r>
        <w:rPr>
          <w:rFonts w:asciiTheme="minorHAnsi" w:hAnsiTheme="minorHAnsi"/>
        </w:rPr>
        <w:t xml:space="preserve"> is not appropriate, cancel the existing </w:t>
      </w:r>
      <w:r w:rsidR="00C826AB">
        <w:rPr>
          <w:rFonts w:asciiTheme="minorHAnsi" w:hAnsiTheme="minorHAnsi"/>
        </w:rPr>
        <w:t>RRO</w:t>
      </w:r>
      <w:r>
        <w:rPr>
          <w:rFonts w:asciiTheme="minorHAnsi" w:hAnsiTheme="minorHAnsi"/>
        </w:rPr>
        <w:t xml:space="preserve"> and decline to </w:t>
      </w:r>
      <w:r w:rsidR="00C826AB">
        <w:rPr>
          <w:rFonts w:asciiTheme="minorHAnsi" w:hAnsiTheme="minorHAnsi"/>
        </w:rPr>
        <w:t>make</w:t>
      </w:r>
      <w:r>
        <w:rPr>
          <w:rFonts w:asciiTheme="minorHAnsi" w:hAnsiTheme="minorHAnsi"/>
        </w:rPr>
        <w:t xml:space="preserve"> a new </w:t>
      </w:r>
      <w:r w:rsidR="00C826AB">
        <w:rPr>
          <w:rFonts w:asciiTheme="minorHAnsi" w:hAnsiTheme="minorHAnsi"/>
        </w:rPr>
        <w:t>RRO</w:t>
      </w:r>
      <w:r>
        <w:rPr>
          <w:rFonts w:asciiTheme="minorHAnsi" w:hAnsiTheme="minorHAnsi"/>
        </w:rPr>
        <w:t xml:space="preserve"> (that is, in effect, impose a straight sentence).</w:t>
      </w:r>
    </w:p>
    <w:p w14:paraId="331F2048" w14:textId="77777777" w:rsidR="00C826AB" w:rsidRPr="00C826AB" w:rsidRDefault="00C826AB" w:rsidP="00C826AB">
      <w:pPr>
        <w:pStyle w:val="ListParagraph"/>
        <w:rPr>
          <w:rFonts w:asciiTheme="minorHAnsi" w:hAnsiTheme="minorHAnsi"/>
        </w:rPr>
      </w:pPr>
    </w:p>
    <w:p w14:paraId="0B53B1D3" w14:textId="6F526096" w:rsidR="00D86DDE" w:rsidRDefault="00D86DD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the court fixes a new single NPP under either s 19AD(2)</w:t>
      </w:r>
      <w:r w:rsidR="00666CB0">
        <w:rPr>
          <w:rFonts w:asciiTheme="minorHAnsi" w:hAnsiTheme="minorHAnsi"/>
        </w:rPr>
        <w:t>(e)</w:t>
      </w:r>
      <w:r>
        <w:rPr>
          <w:rFonts w:asciiTheme="minorHAnsi" w:hAnsiTheme="minorHAnsi"/>
        </w:rPr>
        <w:t xml:space="preserve"> or s 19AE</w:t>
      </w:r>
      <w:r w:rsidR="00666CB0">
        <w:rPr>
          <w:rFonts w:asciiTheme="minorHAnsi" w:hAnsiTheme="minorHAnsi"/>
        </w:rPr>
        <w:t>(2)(f)</w:t>
      </w:r>
      <w:r>
        <w:rPr>
          <w:rFonts w:asciiTheme="minorHAnsi" w:hAnsiTheme="minorHAnsi"/>
        </w:rPr>
        <w:t xml:space="preserve">, or makes a new RRO </w:t>
      </w:r>
      <w:r w:rsidR="00666CB0">
        <w:rPr>
          <w:rFonts w:asciiTheme="minorHAnsi" w:hAnsiTheme="minorHAnsi"/>
        </w:rPr>
        <w:t xml:space="preserve">under s 19AE(2)(e), </w:t>
      </w:r>
      <w:r w:rsidR="00666CB0" w:rsidRPr="00AF38AE">
        <w:rPr>
          <w:rFonts w:asciiTheme="minorHAnsi" w:hAnsiTheme="minorHAnsi"/>
          <w:i/>
        </w:rPr>
        <w:t xml:space="preserve">it must </w:t>
      </w:r>
      <w:r w:rsidRPr="00AF38AE">
        <w:rPr>
          <w:rFonts w:asciiTheme="minorHAnsi" w:hAnsiTheme="minorHAnsi"/>
          <w:i/>
        </w:rPr>
        <w:t xml:space="preserve">not </w:t>
      </w:r>
      <w:r w:rsidR="00666CB0" w:rsidRPr="00AF38AE">
        <w:rPr>
          <w:rFonts w:asciiTheme="minorHAnsi" w:hAnsiTheme="minorHAnsi"/>
          <w:i/>
        </w:rPr>
        <w:t xml:space="preserve">be </w:t>
      </w:r>
      <w:r w:rsidRPr="00AF38AE">
        <w:rPr>
          <w:rFonts w:asciiTheme="minorHAnsi" w:hAnsiTheme="minorHAnsi"/>
          <w:i/>
        </w:rPr>
        <w:t>such as to allow the person to be released earlier than would have been the case if the further sentence had not been imposed</w:t>
      </w:r>
      <w:r>
        <w:rPr>
          <w:rFonts w:asciiTheme="minorHAnsi" w:hAnsiTheme="minorHAnsi"/>
        </w:rPr>
        <w:t xml:space="preserve"> </w:t>
      </w:r>
      <w:r w:rsidR="00666CB0">
        <w:rPr>
          <w:rFonts w:asciiTheme="minorHAnsi" w:hAnsiTheme="minorHAnsi"/>
        </w:rPr>
        <w:t xml:space="preserve">(s 19AD(3)(b), </w:t>
      </w:r>
      <w:r>
        <w:rPr>
          <w:rFonts w:asciiTheme="minorHAnsi" w:hAnsiTheme="minorHAnsi"/>
        </w:rPr>
        <w:t>s 19AE(3)(b)</w:t>
      </w:r>
      <w:r w:rsidR="00666CB0">
        <w:rPr>
          <w:rFonts w:asciiTheme="minorHAnsi" w:hAnsiTheme="minorHAnsi"/>
        </w:rPr>
        <w:t xml:space="preserve"> and s 19AE(4)(b</w:t>
      </w:r>
      <w:r>
        <w:rPr>
          <w:rFonts w:asciiTheme="minorHAnsi" w:hAnsiTheme="minorHAnsi"/>
        </w:rPr>
        <w:t>)</w:t>
      </w:r>
      <w:r w:rsidR="00666CB0">
        <w:rPr>
          <w:rFonts w:asciiTheme="minorHAnsi" w:hAnsiTheme="minorHAnsi"/>
        </w:rPr>
        <w:t xml:space="preserve">).  The new </w:t>
      </w:r>
      <w:r w:rsidR="00724E5A">
        <w:rPr>
          <w:rFonts w:asciiTheme="minorHAnsi" w:hAnsiTheme="minorHAnsi"/>
        </w:rPr>
        <w:t xml:space="preserve">NPP or RRO is to be treated as having superseded the existing </w:t>
      </w:r>
      <w:r w:rsidR="00666CB0">
        <w:rPr>
          <w:rFonts w:asciiTheme="minorHAnsi" w:hAnsiTheme="minorHAnsi"/>
        </w:rPr>
        <w:t>order</w:t>
      </w:r>
      <w:r w:rsidR="00724E5A">
        <w:rPr>
          <w:rFonts w:asciiTheme="minorHAnsi" w:hAnsiTheme="minorHAnsi"/>
        </w:rPr>
        <w:t xml:space="preserve"> (s 19AD(3)(a), s 19AE(3)(a) and s 19AE(4)(a)).</w:t>
      </w:r>
    </w:p>
    <w:p w14:paraId="67D2134F" w14:textId="77777777" w:rsidR="00542043" w:rsidRPr="00542043" w:rsidRDefault="00542043" w:rsidP="00542043">
      <w:pPr>
        <w:pStyle w:val="ListParagraph"/>
        <w:rPr>
          <w:rFonts w:asciiTheme="minorHAnsi" w:hAnsiTheme="minorHAnsi"/>
        </w:rPr>
      </w:pPr>
    </w:p>
    <w:p w14:paraId="4DB2096C" w14:textId="2603F3A5" w:rsidR="00C1552B" w:rsidRDefault="00C1552B">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to the criteria for, and the exercise of, the discretion to decline to make a RRO or to decline to fix a NPP (that is, to impose a straight sentence) in any of these circumstances, see</w:t>
      </w:r>
      <w:r w:rsidR="00EF2825">
        <w:rPr>
          <w:rFonts w:asciiTheme="minorHAnsi" w:hAnsiTheme="minorHAnsi"/>
        </w:rPr>
        <w:t xml:space="preserve"> “</w:t>
      </w:r>
      <w:r w:rsidR="00EF2825">
        <w:rPr>
          <w:rFonts w:asciiTheme="minorHAnsi" w:hAnsiTheme="minorHAnsi"/>
        </w:rPr>
        <w:fldChar w:fldCharType="begin"/>
      </w:r>
      <w:r w:rsidR="00EF2825">
        <w:rPr>
          <w:rFonts w:asciiTheme="minorHAnsi" w:hAnsiTheme="minorHAnsi"/>
        </w:rPr>
        <w:instrText xml:space="preserve"> REF _Ref12865025 \r \h  \* MERGEFORMAT </w:instrText>
      </w:r>
      <w:r w:rsidR="00EF2825">
        <w:rPr>
          <w:rFonts w:asciiTheme="minorHAnsi" w:hAnsiTheme="minorHAnsi"/>
        </w:rPr>
      </w:r>
      <w:r w:rsidR="00EF2825">
        <w:rPr>
          <w:rFonts w:asciiTheme="minorHAnsi" w:hAnsiTheme="minorHAnsi"/>
        </w:rPr>
        <w:fldChar w:fldCharType="separate"/>
      </w:r>
      <w:r w:rsidR="00D44BCF">
        <w:rPr>
          <w:rFonts w:asciiTheme="minorHAnsi" w:hAnsiTheme="minorHAnsi"/>
        </w:rPr>
        <w:t>5.10.8</w:t>
      </w:r>
      <w:r w:rsidR="00EF2825">
        <w:rPr>
          <w:rFonts w:asciiTheme="minorHAnsi" w:hAnsiTheme="minorHAnsi"/>
        </w:rPr>
        <w:fldChar w:fldCharType="end"/>
      </w:r>
      <w:r w:rsidR="00EF2825">
        <w:rPr>
          <w:rFonts w:asciiTheme="minorHAnsi" w:hAnsiTheme="minorHAnsi"/>
        </w:rPr>
        <w:t xml:space="preserve"> </w:t>
      </w:r>
      <w:r w:rsidR="00EF2825">
        <w:rPr>
          <w:rFonts w:asciiTheme="minorHAnsi" w:hAnsiTheme="minorHAnsi"/>
        </w:rPr>
        <w:fldChar w:fldCharType="begin"/>
      </w:r>
      <w:r w:rsidR="00EF2825">
        <w:rPr>
          <w:rFonts w:asciiTheme="minorHAnsi" w:hAnsiTheme="minorHAnsi"/>
        </w:rPr>
        <w:instrText xml:space="preserve"> REF _Ref12865027 \h  \* MERGEFORMAT </w:instrText>
      </w:r>
      <w:r w:rsidR="00EF2825">
        <w:rPr>
          <w:rFonts w:asciiTheme="minorHAnsi" w:hAnsiTheme="minorHAnsi"/>
        </w:rPr>
      </w:r>
      <w:r w:rsidR="00EF2825">
        <w:rPr>
          <w:rFonts w:asciiTheme="minorHAnsi" w:hAnsiTheme="minorHAnsi"/>
        </w:rPr>
        <w:fldChar w:fldCharType="separate"/>
      </w:r>
      <w:r w:rsidR="00D44BCF" w:rsidRPr="00D44BCF">
        <w:rPr>
          <w:rFonts w:asciiTheme="minorHAnsi" w:hAnsiTheme="minorHAnsi"/>
        </w:rPr>
        <w:t>Discretion to decline to fix a NPP or RRO (straight sentence)</w:t>
      </w:r>
      <w:r w:rsidR="00EF2825">
        <w:rPr>
          <w:rFonts w:asciiTheme="minorHAnsi" w:hAnsiTheme="minorHAnsi"/>
        </w:rPr>
        <w:fldChar w:fldCharType="end"/>
      </w:r>
      <w:r w:rsidR="00EF2825">
        <w:rPr>
          <w:rFonts w:asciiTheme="minorHAnsi" w:hAnsiTheme="minorHAnsi"/>
        </w:rPr>
        <w:t>”</w:t>
      </w:r>
      <w:r>
        <w:rPr>
          <w:rFonts w:asciiTheme="minorHAnsi" w:hAnsiTheme="minorHAnsi"/>
        </w:rPr>
        <w:t>.</w:t>
      </w:r>
    </w:p>
    <w:p w14:paraId="0C524C36" w14:textId="3B17C35B" w:rsidR="006414CA" w:rsidRDefault="006414CA" w:rsidP="006414CA">
      <w:pPr>
        <w:pStyle w:val="ListParagraph"/>
        <w:rPr>
          <w:rFonts w:asciiTheme="minorHAnsi" w:hAnsiTheme="minorHAnsi"/>
        </w:rPr>
      </w:pPr>
    </w:p>
    <w:p w14:paraId="253BC2DF" w14:textId="2054D5E0" w:rsidR="00EA2C3F" w:rsidRDefault="00EA2C3F">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Where a court imposes a </w:t>
      </w:r>
      <w:r>
        <w:rPr>
          <w:rFonts w:asciiTheme="minorHAnsi" w:hAnsiTheme="minorHAnsi"/>
        </w:rPr>
        <w:t>NPP</w:t>
      </w:r>
      <w:r w:rsidRPr="00C00000">
        <w:rPr>
          <w:rFonts w:asciiTheme="minorHAnsi" w:hAnsiTheme="minorHAnsi"/>
        </w:rPr>
        <w:t>/</w:t>
      </w:r>
      <w:r>
        <w:rPr>
          <w:rFonts w:asciiTheme="minorHAnsi" w:hAnsiTheme="minorHAnsi"/>
        </w:rPr>
        <w:t>RRO</w:t>
      </w:r>
      <w:r w:rsidRPr="00C00000">
        <w:rPr>
          <w:rFonts w:asciiTheme="minorHAnsi" w:hAnsiTheme="minorHAnsi"/>
        </w:rPr>
        <w:t xml:space="preserve"> it must explain or cause to be explained the purpose and consequence of fixing, and non-compliance with, a non-parole order/</w:t>
      </w:r>
      <w:r>
        <w:rPr>
          <w:rFonts w:asciiTheme="minorHAnsi" w:hAnsiTheme="minorHAnsi"/>
        </w:rPr>
        <w:t>RRO</w:t>
      </w:r>
      <w:r w:rsidRPr="00C00000">
        <w:rPr>
          <w:rFonts w:asciiTheme="minorHAnsi" w:hAnsiTheme="minorHAnsi"/>
        </w:rPr>
        <w:t>.</w:t>
      </w:r>
      <w:r w:rsidRPr="00C00000">
        <w:rPr>
          <w:rStyle w:val="FootnoteReference"/>
          <w:rFonts w:asciiTheme="minorHAnsi" w:hAnsiTheme="minorHAnsi"/>
        </w:rPr>
        <w:footnoteReference w:id="821"/>
      </w:r>
    </w:p>
    <w:p w14:paraId="4A3AB447" w14:textId="77777777" w:rsidR="0003696B" w:rsidRPr="00EB7F1E" w:rsidRDefault="0003696B" w:rsidP="00EB7F1E">
      <w:pPr>
        <w:pStyle w:val="ListParagraph"/>
        <w:rPr>
          <w:rFonts w:asciiTheme="minorHAnsi" w:hAnsiTheme="minorHAnsi"/>
        </w:rPr>
      </w:pPr>
    </w:p>
    <w:p w14:paraId="4A907C72" w14:textId="77777777" w:rsidR="0003696B" w:rsidRDefault="0003696B" w:rsidP="0003696B">
      <w:pPr>
        <w:pStyle w:val="Heading3"/>
      </w:pPr>
      <w:bookmarkStart w:id="1943" w:name="_Toc12608730"/>
      <w:bookmarkStart w:id="1944" w:name="_Toc12706685"/>
      <w:bookmarkStart w:id="1945" w:name="_Toc12860621"/>
      <w:bookmarkStart w:id="1946" w:name="_Toc12862190"/>
      <w:bookmarkStart w:id="1947" w:name="_Toc12864236"/>
      <w:bookmarkStart w:id="1948" w:name="_Toc13551787"/>
      <w:bookmarkStart w:id="1949" w:name="_Toc13737564"/>
      <w:bookmarkStart w:id="1950" w:name="_Toc13737979"/>
      <w:bookmarkStart w:id="1951" w:name="_Toc25308537"/>
      <w:bookmarkStart w:id="1952" w:name="_Toc10559642"/>
      <w:bookmarkStart w:id="1953" w:name="_Toc10640793"/>
      <w:bookmarkStart w:id="1954" w:name="_Toc10718702"/>
      <w:bookmarkStart w:id="1955" w:name="_Toc10889428"/>
      <w:bookmarkStart w:id="1956" w:name="_Toc10890869"/>
      <w:bookmarkStart w:id="1957" w:name="_Toc11078826"/>
      <w:bookmarkStart w:id="1958" w:name="_Toc11087090"/>
      <w:bookmarkStart w:id="1959" w:name="_Toc11087467"/>
      <w:bookmarkStart w:id="1960" w:name="_Toc11240165"/>
      <w:bookmarkStart w:id="1961" w:name="_Toc11405529"/>
      <w:bookmarkStart w:id="1962" w:name="_Toc11407306"/>
      <w:bookmarkStart w:id="1963" w:name="_Toc11485897"/>
      <w:bookmarkStart w:id="1964" w:name="_Toc11583425"/>
      <w:bookmarkStart w:id="1965" w:name="_Toc11692829"/>
      <w:bookmarkStart w:id="1966" w:name="_Toc11773335"/>
      <w:bookmarkStart w:id="1967" w:name="_Toc11827137"/>
      <w:bookmarkStart w:id="1968" w:name="_Toc11833845"/>
      <w:bookmarkStart w:id="1969" w:name="_Toc11848240"/>
      <w:bookmarkStart w:id="1970" w:name="_Toc11851897"/>
      <w:bookmarkStart w:id="1971" w:name="_Toc12608731"/>
      <w:bookmarkStart w:id="1972" w:name="_Toc12706686"/>
      <w:bookmarkStart w:id="1973" w:name="_Toc12860622"/>
      <w:bookmarkStart w:id="1974" w:name="_Toc12862191"/>
      <w:bookmarkStart w:id="1975" w:name="_Toc12864237"/>
      <w:bookmarkStart w:id="1976" w:name="_Toc13551788"/>
      <w:bookmarkStart w:id="1977" w:name="_Toc13737565"/>
      <w:bookmarkStart w:id="1978" w:name="_Toc13737980"/>
      <w:bookmarkStart w:id="1979" w:name="_Toc25308538"/>
      <w:bookmarkStart w:id="1980" w:name="_Toc33602900"/>
      <w:bookmarkStart w:id="1981" w:name="_Ref507068598"/>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r>
        <w:t>Correction of error in fixing NPP/RRO</w:t>
      </w:r>
      <w:bookmarkEnd w:id="1980"/>
    </w:p>
    <w:p w14:paraId="24030D76" w14:textId="77777777" w:rsidR="0003696B" w:rsidRPr="00051102" w:rsidRDefault="0003696B" w:rsidP="0003696B">
      <w:pPr>
        <w:pStyle w:val="NormalIndent"/>
        <w:keepNext/>
        <w:spacing w:line="276" w:lineRule="auto"/>
        <w:jc w:val="both"/>
        <w:rPr>
          <w:rFonts w:ascii="Calibri" w:hAnsi="Calibri"/>
        </w:rPr>
      </w:pPr>
    </w:p>
    <w:p w14:paraId="24283EDC" w14:textId="441938BB" w:rsidR="0003696B" w:rsidRDefault="0003696B" w:rsidP="0003696B">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19AH of the </w:t>
      </w:r>
      <w:r w:rsidRPr="00885EFD">
        <w:rPr>
          <w:rFonts w:asciiTheme="minorHAnsi" w:hAnsiTheme="minorHAnsi"/>
          <w:i/>
        </w:rPr>
        <w:t>Crimes Act 1914</w:t>
      </w:r>
      <w:r>
        <w:rPr>
          <w:rFonts w:asciiTheme="minorHAnsi" w:hAnsiTheme="minorHAnsi"/>
        </w:rPr>
        <w:t xml:space="preserve"> (Cth) provides that </w:t>
      </w:r>
      <w:r w:rsidRPr="009C470E">
        <w:rPr>
          <w:rFonts w:asciiTheme="minorHAnsi" w:hAnsiTheme="minorHAnsi"/>
        </w:rPr>
        <w:t xml:space="preserve">where a court fails to fix, or properly to fix, a </w:t>
      </w:r>
      <w:r>
        <w:rPr>
          <w:rFonts w:asciiTheme="minorHAnsi" w:hAnsiTheme="minorHAnsi"/>
        </w:rPr>
        <w:t>NPP</w:t>
      </w:r>
      <w:r w:rsidRPr="009C470E">
        <w:rPr>
          <w:rFonts w:asciiTheme="minorHAnsi" w:hAnsiTheme="minorHAnsi"/>
        </w:rPr>
        <w:t xml:space="preserve">, or to make, or properly to make, a </w:t>
      </w:r>
      <w:r>
        <w:rPr>
          <w:rFonts w:asciiTheme="minorHAnsi" w:hAnsiTheme="minorHAnsi"/>
        </w:rPr>
        <w:t>RRO</w:t>
      </w:r>
      <w:r w:rsidRPr="009C470E">
        <w:rPr>
          <w:rFonts w:asciiTheme="minorHAnsi" w:hAnsiTheme="minorHAnsi"/>
        </w:rPr>
        <w:t>, under th</w:t>
      </w:r>
      <w:r>
        <w:rPr>
          <w:rFonts w:asciiTheme="minorHAnsi" w:hAnsiTheme="minorHAnsi"/>
        </w:rPr>
        <w:t>e</w:t>
      </w:r>
      <w:r w:rsidRPr="009C470E">
        <w:rPr>
          <w:rFonts w:asciiTheme="minorHAnsi" w:hAnsiTheme="minorHAnsi"/>
        </w:rPr>
        <w:t xml:space="preserve"> Act</w:t>
      </w:r>
      <w:r>
        <w:rPr>
          <w:rFonts w:asciiTheme="minorHAnsi" w:hAnsiTheme="minorHAnsi"/>
        </w:rPr>
        <w:t>, “</w:t>
      </w:r>
      <w:r w:rsidRPr="00E4439D">
        <w:rPr>
          <w:rFonts w:asciiTheme="minorHAnsi" w:hAnsiTheme="minorHAnsi"/>
          <w:i/>
        </w:rPr>
        <w:t>that failure does not</w:t>
      </w:r>
      <w:r w:rsidRPr="00C00000">
        <w:rPr>
          <w:rFonts w:asciiTheme="minorHAnsi" w:hAnsiTheme="minorHAnsi"/>
        </w:rPr>
        <w:t xml:space="preserve"> </w:t>
      </w:r>
      <w:r w:rsidRPr="00C00000">
        <w:rPr>
          <w:rFonts w:asciiTheme="minorHAnsi" w:hAnsiTheme="minorHAnsi"/>
          <w:i/>
        </w:rPr>
        <w:t xml:space="preserve">affect the validity of </w:t>
      </w:r>
      <w:r>
        <w:rPr>
          <w:rFonts w:asciiTheme="minorHAnsi" w:hAnsiTheme="minorHAnsi"/>
          <w:i/>
        </w:rPr>
        <w:t>any</w:t>
      </w:r>
      <w:r w:rsidRPr="00C00000">
        <w:rPr>
          <w:rFonts w:asciiTheme="minorHAnsi" w:hAnsiTheme="minorHAnsi"/>
          <w:i/>
        </w:rPr>
        <w:t xml:space="preserve"> sentence</w:t>
      </w:r>
      <w:r w:rsidRPr="009C470E">
        <w:rPr>
          <w:rFonts w:asciiTheme="minorHAnsi" w:hAnsiTheme="minorHAnsi"/>
        </w:rPr>
        <w:t>”</w:t>
      </w:r>
      <w:r>
        <w:rPr>
          <w:rFonts w:asciiTheme="minorHAnsi" w:hAnsiTheme="minorHAnsi"/>
        </w:rPr>
        <w:t>.</w:t>
      </w:r>
      <w:r w:rsidRPr="004F2343">
        <w:rPr>
          <w:rFonts w:ascii="Calibri" w:hAnsi="Calibri"/>
        </w:rPr>
        <w:t xml:space="preserve">  </w:t>
      </w:r>
      <w:r w:rsidRPr="00F15AB7">
        <w:rPr>
          <w:rFonts w:asciiTheme="minorHAnsi" w:hAnsiTheme="minorHAnsi"/>
        </w:rPr>
        <w:t xml:space="preserve">The section also </w:t>
      </w:r>
      <w:r>
        <w:rPr>
          <w:rFonts w:asciiTheme="minorHAnsi" w:hAnsiTheme="minorHAnsi"/>
        </w:rPr>
        <w:t xml:space="preserve">empowers the court to </w:t>
      </w:r>
      <w:r w:rsidRPr="00F15AB7">
        <w:rPr>
          <w:rFonts w:asciiTheme="minorHAnsi" w:hAnsiTheme="minorHAnsi"/>
        </w:rPr>
        <w:t xml:space="preserve">correct the error upon application to </w:t>
      </w:r>
      <w:r>
        <w:rPr>
          <w:rFonts w:asciiTheme="minorHAnsi" w:hAnsiTheme="minorHAnsi"/>
        </w:rPr>
        <w:t>it</w:t>
      </w:r>
      <w:r w:rsidRPr="00F15AB7">
        <w:rPr>
          <w:rFonts w:asciiTheme="minorHAnsi" w:hAnsiTheme="minorHAnsi"/>
        </w:rPr>
        <w:t>.  See “</w:t>
      </w:r>
      <w:r w:rsidRPr="00F15AB7">
        <w:rPr>
          <w:rFonts w:asciiTheme="minorHAnsi" w:hAnsiTheme="minorHAnsi"/>
        </w:rPr>
        <w:fldChar w:fldCharType="begin"/>
      </w:r>
      <w:r w:rsidRPr="00F15AB7">
        <w:rPr>
          <w:rFonts w:asciiTheme="minorHAnsi" w:hAnsiTheme="minorHAnsi"/>
        </w:rPr>
        <w:instrText xml:space="preserve"> REF _Ref10976865 \r \h </w:instrText>
      </w:r>
      <w:r>
        <w:rPr>
          <w:rFonts w:asciiTheme="minorHAnsi" w:hAnsiTheme="minorHAnsi"/>
        </w:rPr>
        <w:instrText xml:space="preserve"> \* MERGEFORMAT </w:instrText>
      </w:r>
      <w:r w:rsidRPr="00F15AB7">
        <w:rPr>
          <w:rFonts w:asciiTheme="minorHAnsi" w:hAnsiTheme="minorHAnsi"/>
        </w:rPr>
      </w:r>
      <w:r w:rsidRPr="00F15AB7">
        <w:rPr>
          <w:rFonts w:asciiTheme="minorHAnsi" w:hAnsiTheme="minorHAnsi"/>
        </w:rPr>
        <w:fldChar w:fldCharType="separate"/>
      </w:r>
      <w:r w:rsidR="00D44BCF">
        <w:rPr>
          <w:rFonts w:asciiTheme="minorHAnsi" w:hAnsiTheme="minorHAnsi"/>
        </w:rPr>
        <w:t>7.12.3</w:t>
      </w:r>
      <w:r w:rsidRPr="00F15AB7">
        <w:rPr>
          <w:rFonts w:asciiTheme="minorHAnsi" w:hAnsiTheme="minorHAnsi"/>
        </w:rPr>
        <w:fldChar w:fldCharType="end"/>
      </w:r>
      <w:r>
        <w:rPr>
          <w:rFonts w:asciiTheme="minorHAnsi" w:hAnsiTheme="minorHAnsi"/>
        </w:rPr>
        <w:t xml:space="preserve"> </w:t>
      </w:r>
      <w:r w:rsidRPr="00F15AB7">
        <w:rPr>
          <w:rFonts w:asciiTheme="minorHAnsi" w:hAnsiTheme="minorHAnsi"/>
        </w:rPr>
        <w:fldChar w:fldCharType="begin"/>
      </w:r>
      <w:r w:rsidRPr="00F15AB7">
        <w:rPr>
          <w:rFonts w:asciiTheme="minorHAnsi" w:hAnsiTheme="minorHAnsi"/>
        </w:rPr>
        <w:instrText xml:space="preserve"> REF _Ref10976865 \h </w:instrText>
      </w:r>
      <w:r>
        <w:rPr>
          <w:rFonts w:asciiTheme="minorHAnsi" w:hAnsiTheme="minorHAnsi"/>
        </w:rPr>
        <w:instrText xml:space="preserve"> \* MERGEFORMAT </w:instrText>
      </w:r>
      <w:r w:rsidRPr="00F15AB7">
        <w:rPr>
          <w:rFonts w:asciiTheme="minorHAnsi" w:hAnsiTheme="minorHAnsi"/>
        </w:rPr>
      </w:r>
      <w:r w:rsidRPr="00F15AB7">
        <w:rPr>
          <w:rFonts w:asciiTheme="minorHAnsi" w:hAnsiTheme="minorHAnsi"/>
        </w:rPr>
        <w:fldChar w:fldCharType="separate"/>
      </w:r>
      <w:r w:rsidR="00D44BCF" w:rsidRPr="00D44BCF">
        <w:rPr>
          <w:rFonts w:asciiTheme="minorHAnsi" w:hAnsiTheme="minorHAnsi"/>
        </w:rPr>
        <w:t>Power to correct error in fixing NPP or making RRO: Crimes Act 1914, s 19AH</w:t>
      </w:r>
      <w:r w:rsidRPr="00F15AB7">
        <w:rPr>
          <w:rFonts w:asciiTheme="minorHAnsi" w:hAnsiTheme="minorHAnsi"/>
        </w:rPr>
        <w:fldChar w:fldCharType="end"/>
      </w:r>
      <w:r w:rsidRPr="00F15AB7">
        <w:rPr>
          <w:rFonts w:asciiTheme="minorHAnsi" w:hAnsiTheme="minorHAnsi"/>
        </w:rPr>
        <w:t>”.</w:t>
      </w:r>
    </w:p>
    <w:p w14:paraId="37005357" w14:textId="77777777" w:rsidR="0003696B" w:rsidRDefault="0003696B" w:rsidP="0003696B">
      <w:pPr>
        <w:pStyle w:val="BlockText"/>
        <w:tabs>
          <w:tab w:val="clear" w:pos="426"/>
          <w:tab w:val="clear" w:pos="993"/>
        </w:tabs>
        <w:spacing w:before="0" w:line="276" w:lineRule="auto"/>
        <w:ind w:right="0"/>
        <w:jc w:val="both"/>
        <w:rPr>
          <w:rFonts w:asciiTheme="minorHAnsi" w:hAnsiTheme="minorHAnsi"/>
        </w:rPr>
      </w:pPr>
    </w:p>
    <w:p w14:paraId="228A0D25" w14:textId="11025C16" w:rsidR="0003696B" w:rsidRDefault="0003696B" w:rsidP="0003696B">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19AHA confers an additional power for a sentencing court to rectify </w:t>
      </w:r>
      <w:r w:rsidRPr="009D7630">
        <w:rPr>
          <w:rFonts w:asciiTheme="minorHAnsi" w:hAnsiTheme="minorHAnsi"/>
        </w:rPr>
        <w:t>an error of a technical nature made by the court or a defect of form or an ambiguity</w:t>
      </w:r>
      <w:r>
        <w:rPr>
          <w:rFonts w:asciiTheme="minorHAnsi" w:hAnsiTheme="minorHAnsi"/>
        </w:rPr>
        <w:t xml:space="preserve"> in an order imposing a sentence of imprisonment, an order fixing a NPP or a RRO.  The section also preserves the validity of the order despite the error, defect or ambiguity.  See “</w:t>
      </w:r>
      <w:r>
        <w:rPr>
          <w:rFonts w:asciiTheme="minorHAnsi" w:hAnsiTheme="minorHAnsi"/>
        </w:rPr>
        <w:fldChar w:fldCharType="begin"/>
      </w:r>
      <w:r>
        <w:rPr>
          <w:rFonts w:asciiTheme="minorHAnsi" w:hAnsiTheme="minorHAnsi"/>
        </w:rPr>
        <w:instrText xml:space="preserve"> REF _Ref10987717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7.12.2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_Ref10987717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Power to correct error in sentence of imprisonment: Crimes Act 1914, s 19AHA</w:t>
      </w:r>
      <w:r>
        <w:rPr>
          <w:rFonts w:asciiTheme="minorHAnsi" w:hAnsiTheme="minorHAnsi"/>
        </w:rPr>
        <w:fldChar w:fldCharType="end"/>
      </w:r>
      <w:r>
        <w:rPr>
          <w:rFonts w:asciiTheme="minorHAnsi" w:hAnsiTheme="minorHAnsi"/>
        </w:rPr>
        <w:t>”.</w:t>
      </w:r>
    </w:p>
    <w:p w14:paraId="2527046F" w14:textId="77777777" w:rsidR="0003696B" w:rsidRDefault="0003696B" w:rsidP="0003696B">
      <w:pPr>
        <w:pStyle w:val="ListParagraph"/>
        <w:rPr>
          <w:rFonts w:asciiTheme="minorHAnsi" w:hAnsiTheme="minorHAnsi"/>
        </w:rPr>
      </w:pPr>
    </w:p>
    <w:p w14:paraId="4C4275C7" w14:textId="278B902F" w:rsidR="006414CA" w:rsidRDefault="006414CA" w:rsidP="006D50C7">
      <w:pPr>
        <w:pStyle w:val="Heading3"/>
      </w:pPr>
      <w:bookmarkStart w:id="1982" w:name="_Ref12865025"/>
      <w:bookmarkStart w:id="1983" w:name="_Ref12865027"/>
      <w:bookmarkStart w:id="1984" w:name="_Toc33602901"/>
      <w:r w:rsidRPr="003570A8">
        <w:t xml:space="preserve">Discretion to decline to fix a </w:t>
      </w:r>
      <w:r>
        <w:t>NPP or RRO (straight sentence)</w:t>
      </w:r>
      <w:bookmarkEnd w:id="1981"/>
      <w:bookmarkEnd w:id="1982"/>
      <w:bookmarkEnd w:id="1983"/>
      <w:bookmarkEnd w:id="1984"/>
    </w:p>
    <w:p w14:paraId="2CAD3C0B" w14:textId="77777777" w:rsidR="006414CA" w:rsidRPr="00C17625" w:rsidRDefault="006414CA" w:rsidP="006D50C7">
      <w:pPr>
        <w:pStyle w:val="ListParagraph"/>
        <w:keepNext/>
        <w:tabs>
          <w:tab w:val="left" w:pos="567"/>
          <w:tab w:val="left" w:pos="709"/>
        </w:tabs>
        <w:spacing w:line="276" w:lineRule="auto"/>
        <w:ind w:left="567"/>
        <w:contextualSpacing w:val="0"/>
        <w:rPr>
          <w:rFonts w:asciiTheme="minorHAnsi" w:hAnsiTheme="minorHAnsi"/>
        </w:rPr>
      </w:pPr>
    </w:p>
    <w:p w14:paraId="0CE5494A" w14:textId="1991209C" w:rsidR="006414CA" w:rsidRDefault="006414C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discretion to decline to make a RRO (that is, in effect, to impose a straight sentence) is conferred by s 19AC(4) of the </w:t>
      </w:r>
      <w:r w:rsidR="00885EFD" w:rsidRPr="00885EFD">
        <w:rPr>
          <w:rFonts w:asciiTheme="minorHAnsi" w:hAnsiTheme="minorHAnsi"/>
          <w:i/>
        </w:rPr>
        <w:t>Crimes Act 1914</w:t>
      </w:r>
      <w:r>
        <w:rPr>
          <w:rFonts w:asciiTheme="minorHAnsi" w:hAnsiTheme="minorHAnsi"/>
        </w:rPr>
        <w:t>.  A similar discretion to decline to make a NPP is conferred by s 19AB(3).  The criteria in each provision are the same.  In either case, the court may decline to make the order (RRO or NPP) if either:</w:t>
      </w:r>
    </w:p>
    <w:p w14:paraId="533966CF" w14:textId="77777777" w:rsidR="006414CA" w:rsidRDefault="006414CA"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the court is satisfied that it is not appropriate</w:t>
      </w:r>
      <w:r w:rsidRPr="00C00000">
        <w:rPr>
          <w:rFonts w:asciiTheme="minorHAnsi" w:hAnsiTheme="minorHAnsi"/>
        </w:rPr>
        <w:t xml:space="preserve"> having regard to the nature and circumstances of the offence or offences concerned and to the antecedents of the person, or</w:t>
      </w:r>
    </w:p>
    <w:p w14:paraId="5C2A059D" w14:textId="77777777" w:rsidR="006414CA" w:rsidRDefault="006414CA"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the person is expected to be serving a State/Territory sentence on the day after the end of the federal sentence. </w:t>
      </w:r>
    </w:p>
    <w:p w14:paraId="53263FE3" w14:textId="77777777" w:rsidR="006414CA" w:rsidRPr="00415754" w:rsidRDefault="006414CA" w:rsidP="00C76B2A">
      <w:pPr>
        <w:pStyle w:val="ListParagraph"/>
        <w:rPr>
          <w:rFonts w:asciiTheme="minorHAnsi" w:hAnsiTheme="minorHAnsi"/>
        </w:rPr>
      </w:pPr>
    </w:p>
    <w:p w14:paraId="7D6DB7DC" w14:textId="5CBEA14E" w:rsidR="006414CA" w:rsidRDefault="006414C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Corresponding discretions apply under s 19AE(2)(g) to decline to make a RRO in relation to an offender who is already subject to an existing RRO when sentenced for a further Commonwealth offence, under s 19AD(2)(f) to decline to make a NPP in relation to an offender who is already subject to an existing</w:t>
      </w:r>
      <w:r w:rsidR="00954A9D">
        <w:rPr>
          <w:rFonts w:asciiTheme="minorHAnsi" w:hAnsiTheme="minorHAnsi"/>
        </w:rPr>
        <w:t xml:space="preserve"> federal</w:t>
      </w:r>
      <w:r>
        <w:rPr>
          <w:rFonts w:asciiTheme="minorHAnsi" w:hAnsiTheme="minorHAnsi"/>
        </w:rPr>
        <w:t xml:space="preserve"> NPP</w:t>
      </w:r>
      <w:r w:rsidR="001A71ED">
        <w:rPr>
          <w:rFonts w:asciiTheme="minorHAnsi" w:hAnsiTheme="minorHAnsi"/>
        </w:rPr>
        <w:t>, and under s 19AR(4) in relation to an offender who is sentenced for an offence committed while on federal parole or while released on federal licence</w:t>
      </w:r>
      <w:r>
        <w:rPr>
          <w:rFonts w:asciiTheme="minorHAnsi" w:hAnsiTheme="minorHAnsi"/>
        </w:rPr>
        <w:t>.  Under each of those provisions, the court must consider the relevant circumstances, including the existing RRO/NPP, the nature and circumstances of the offence or offences concerned and the antecedents of the person, and may decline to make a RRO or fix a NPP (as the case may be) if the court decides that, in the circumstances, a RRO/NPP is not appropriate.</w:t>
      </w:r>
    </w:p>
    <w:p w14:paraId="12475AA9" w14:textId="77777777" w:rsidR="00681F4B" w:rsidRPr="00681F4B" w:rsidRDefault="00681F4B" w:rsidP="00681F4B">
      <w:pPr>
        <w:spacing w:line="276" w:lineRule="auto"/>
        <w:ind w:right="-1"/>
        <w:rPr>
          <w:rFonts w:asciiTheme="minorHAnsi" w:hAnsiTheme="minorHAnsi"/>
        </w:rPr>
      </w:pPr>
    </w:p>
    <w:p w14:paraId="7CCB1D82" w14:textId="3F7388D5" w:rsidR="002F447F" w:rsidRPr="000F1EB2" w:rsidRDefault="006414CA" w:rsidP="00EB7F1E">
      <w:pPr>
        <w:pStyle w:val="ListParagraph"/>
        <w:numPr>
          <w:ilvl w:val="0"/>
          <w:numId w:val="7"/>
        </w:numPr>
        <w:spacing w:line="276" w:lineRule="auto"/>
        <w:ind w:left="425" w:hanging="425"/>
        <w:contextualSpacing w:val="0"/>
        <w:rPr>
          <w:rFonts w:asciiTheme="minorHAnsi" w:hAnsiTheme="minorHAnsi"/>
        </w:rPr>
      </w:pPr>
      <w:r w:rsidRPr="000F1EB2">
        <w:rPr>
          <w:rFonts w:asciiTheme="minorHAnsi" w:hAnsiTheme="minorHAnsi"/>
        </w:rPr>
        <w:t>If a court declines to make a RRO or a NPP under any of these provisions it must state its reasons for so deciding and cause the reasons to be entered into the records of the court.</w:t>
      </w:r>
      <w:r w:rsidRPr="00C00000">
        <w:rPr>
          <w:rStyle w:val="Style"/>
          <w:rFonts w:asciiTheme="minorHAnsi" w:hAnsiTheme="minorHAnsi"/>
        </w:rPr>
        <w:footnoteReference w:id="822"/>
      </w:r>
      <w:r w:rsidRPr="000F1EB2">
        <w:rPr>
          <w:rFonts w:asciiTheme="minorHAnsi" w:hAnsiTheme="minorHAnsi"/>
        </w:rPr>
        <w:t xml:space="preserve">  </w:t>
      </w:r>
      <w:r w:rsidR="000F1EB2" w:rsidRPr="000F1EB2">
        <w:rPr>
          <w:rFonts w:asciiTheme="minorHAnsi" w:hAnsiTheme="minorHAnsi"/>
        </w:rPr>
        <w:t xml:space="preserve">The reasons must </w:t>
      </w:r>
      <w:r w:rsidR="002F447F" w:rsidRPr="000F1EB2">
        <w:rPr>
          <w:rFonts w:asciiTheme="minorHAnsi" w:hAnsiTheme="minorHAnsi"/>
        </w:rPr>
        <w:t xml:space="preserve">reveal the process of reasoning, by reference to the </w:t>
      </w:r>
      <w:r w:rsidR="000F1EB2" w:rsidRPr="000F1EB2">
        <w:rPr>
          <w:rFonts w:asciiTheme="minorHAnsi" w:hAnsiTheme="minorHAnsi"/>
        </w:rPr>
        <w:t xml:space="preserve">statutory </w:t>
      </w:r>
      <w:r w:rsidR="002F447F" w:rsidRPr="000F1EB2">
        <w:rPr>
          <w:rFonts w:asciiTheme="minorHAnsi" w:hAnsiTheme="minorHAnsi"/>
        </w:rPr>
        <w:t xml:space="preserve">criteria and any other applicable principles and the facts of the case, which led </w:t>
      </w:r>
      <w:r w:rsidR="000F1EB2" w:rsidRPr="000F1EB2">
        <w:rPr>
          <w:rFonts w:asciiTheme="minorHAnsi" w:hAnsiTheme="minorHAnsi"/>
        </w:rPr>
        <w:t>the court</w:t>
      </w:r>
      <w:r w:rsidR="002F447F" w:rsidRPr="000F1EB2">
        <w:rPr>
          <w:rFonts w:asciiTheme="minorHAnsi" w:hAnsiTheme="minorHAnsi"/>
        </w:rPr>
        <w:t xml:space="preserve"> to </w:t>
      </w:r>
      <w:r w:rsidR="000F1EB2" w:rsidRPr="000F1EB2">
        <w:rPr>
          <w:rFonts w:asciiTheme="minorHAnsi" w:hAnsiTheme="minorHAnsi"/>
        </w:rPr>
        <w:t>conclude that a RRO or NPP (as the case may be)</w:t>
      </w:r>
      <w:r w:rsidR="002F447F" w:rsidRPr="000F1EB2">
        <w:rPr>
          <w:rFonts w:asciiTheme="minorHAnsi" w:hAnsiTheme="minorHAnsi"/>
        </w:rPr>
        <w:t xml:space="preserve"> was inappropriate.</w:t>
      </w:r>
      <w:r w:rsidR="000F1EB2" w:rsidRPr="00C00000">
        <w:rPr>
          <w:rStyle w:val="Style"/>
          <w:rFonts w:asciiTheme="minorHAnsi" w:hAnsiTheme="minorHAnsi"/>
        </w:rPr>
        <w:footnoteReference w:id="823"/>
      </w:r>
      <w:r w:rsidR="000F1EB2" w:rsidRPr="000F1EB2">
        <w:rPr>
          <w:rFonts w:asciiTheme="minorHAnsi" w:hAnsiTheme="minorHAnsi"/>
        </w:rPr>
        <w:t xml:space="preserve">  The absence of such reasons may demonstrate a </w:t>
      </w:r>
      <w:r w:rsidR="002F447F" w:rsidRPr="000F1EB2">
        <w:rPr>
          <w:rFonts w:asciiTheme="minorHAnsi" w:hAnsiTheme="minorHAnsi"/>
        </w:rPr>
        <w:t>miscarriage of the sentencing discretion.</w:t>
      </w:r>
      <w:r w:rsidR="000F1EB2" w:rsidRPr="00C00000">
        <w:rPr>
          <w:rStyle w:val="Style"/>
          <w:rFonts w:asciiTheme="minorHAnsi" w:hAnsiTheme="minorHAnsi"/>
        </w:rPr>
        <w:footnoteReference w:id="824"/>
      </w:r>
    </w:p>
    <w:p w14:paraId="641178A6" w14:textId="77777777" w:rsidR="006414CA" w:rsidRPr="000833F4" w:rsidRDefault="006414CA" w:rsidP="006414CA">
      <w:pPr>
        <w:spacing w:line="276" w:lineRule="auto"/>
        <w:ind w:right="-1"/>
        <w:rPr>
          <w:rFonts w:asciiTheme="minorHAnsi" w:hAnsiTheme="minorHAnsi"/>
        </w:rPr>
      </w:pPr>
    </w:p>
    <w:p w14:paraId="1A295168" w14:textId="2A920D6D" w:rsidR="00EC29BF" w:rsidRDefault="00C4603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w:t>
      </w:r>
      <w:r w:rsidR="00DF4850">
        <w:rPr>
          <w:rFonts w:asciiTheme="minorHAnsi" w:hAnsiTheme="minorHAnsi"/>
        </w:rPr>
        <w:t xml:space="preserve"> statutory</w:t>
      </w:r>
      <w:r>
        <w:rPr>
          <w:rFonts w:asciiTheme="minorHAnsi" w:hAnsiTheme="minorHAnsi"/>
        </w:rPr>
        <w:t xml:space="preserve"> </w:t>
      </w:r>
      <w:r w:rsidR="00185B22">
        <w:rPr>
          <w:rFonts w:asciiTheme="minorHAnsi" w:hAnsiTheme="minorHAnsi"/>
        </w:rPr>
        <w:t>discretion to decline to fix a NPP or to decline to make a RRO was introduced in 1990.  The Explanatory Memorandum for the relevant bill said that the provision was “</w:t>
      </w:r>
      <w:r w:rsidR="00185B22" w:rsidRPr="00EC29BF">
        <w:rPr>
          <w:rFonts w:asciiTheme="minorHAnsi" w:hAnsiTheme="minorHAnsi"/>
          <w:i/>
        </w:rPr>
        <w:t>intended for those cases where the crime is so serious or where there is a history of repeated offences which would require the offender to serve the full sentence</w:t>
      </w:r>
      <w:r w:rsidR="00185B22">
        <w:rPr>
          <w:rFonts w:asciiTheme="minorHAnsi" w:hAnsiTheme="minorHAnsi"/>
        </w:rPr>
        <w:t>”</w:t>
      </w:r>
      <w:r w:rsidR="00EC29BF">
        <w:rPr>
          <w:rFonts w:asciiTheme="minorHAnsi" w:hAnsiTheme="minorHAnsi"/>
        </w:rPr>
        <w:t>.</w:t>
      </w:r>
      <w:r w:rsidR="00185B22" w:rsidRPr="00C00000">
        <w:rPr>
          <w:rStyle w:val="Style"/>
          <w:rFonts w:asciiTheme="minorHAnsi" w:hAnsiTheme="minorHAnsi"/>
        </w:rPr>
        <w:footnoteReference w:id="825"/>
      </w:r>
      <w:r w:rsidR="00EC29BF" w:rsidRPr="00EC29BF">
        <w:rPr>
          <w:rFonts w:asciiTheme="minorHAnsi" w:hAnsiTheme="minorHAnsi"/>
        </w:rPr>
        <w:t xml:space="preserve"> </w:t>
      </w:r>
    </w:p>
    <w:p w14:paraId="4EBBB6CF" w14:textId="77777777" w:rsidR="00EC29BF" w:rsidRPr="00EC29BF" w:rsidRDefault="00EC29BF" w:rsidP="00EC29BF">
      <w:pPr>
        <w:pStyle w:val="ListParagraph"/>
        <w:rPr>
          <w:rFonts w:asciiTheme="minorHAnsi" w:hAnsiTheme="minorHAnsi"/>
        </w:rPr>
      </w:pPr>
    </w:p>
    <w:p w14:paraId="6F4E216D" w14:textId="5CC31C59" w:rsidR="000C0073" w:rsidRDefault="00EC29B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discretion has been exercised where the </w:t>
      </w:r>
      <w:r w:rsidRPr="00C00000">
        <w:rPr>
          <w:rFonts w:asciiTheme="minorHAnsi" w:hAnsiTheme="minorHAnsi"/>
        </w:rPr>
        <w:t xml:space="preserve">federal offender </w:t>
      </w:r>
      <w:r>
        <w:rPr>
          <w:rFonts w:asciiTheme="minorHAnsi" w:hAnsiTheme="minorHAnsi"/>
        </w:rPr>
        <w:t xml:space="preserve">would be required to </w:t>
      </w:r>
      <w:r w:rsidRPr="00C00000">
        <w:rPr>
          <w:rFonts w:asciiTheme="minorHAnsi" w:hAnsiTheme="minorHAnsi"/>
        </w:rPr>
        <w:t xml:space="preserve">serve a significant State sentence </w:t>
      </w:r>
      <w:r w:rsidR="00C53123">
        <w:rPr>
          <w:rFonts w:asciiTheme="minorHAnsi" w:hAnsiTheme="minorHAnsi"/>
        </w:rPr>
        <w:t>cumulatively on the federal sentence</w:t>
      </w:r>
      <w:r w:rsidRPr="00C00000">
        <w:rPr>
          <w:rStyle w:val="Style"/>
          <w:rFonts w:asciiTheme="minorHAnsi" w:hAnsiTheme="minorHAnsi"/>
        </w:rPr>
        <w:footnoteReference w:id="826"/>
      </w:r>
      <w:r w:rsidRPr="00EC29BF">
        <w:rPr>
          <w:rFonts w:asciiTheme="minorHAnsi" w:hAnsiTheme="minorHAnsi"/>
        </w:rPr>
        <w:t xml:space="preserve"> </w:t>
      </w:r>
      <w:r w:rsidR="00C53123">
        <w:rPr>
          <w:rFonts w:asciiTheme="minorHAnsi" w:hAnsiTheme="minorHAnsi"/>
        </w:rPr>
        <w:t>or where</w:t>
      </w:r>
      <w:r w:rsidRPr="00C00000">
        <w:rPr>
          <w:rFonts w:asciiTheme="minorHAnsi" w:hAnsiTheme="minorHAnsi"/>
        </w:rPr>
        <w:t xml:space="preserve"> the federal sentence is to be served concurrently with a </w:t>
      </w:r>
      <w:r w:rsidR="00681F4B">
        <w:rPr>
          <w:rFonts w:asciiTheme="minorHAnsi" w:hAnsiTheme="minorHAnsi"/>
        </w:rPr>
        <w:t xml:space="preserve">long </w:t>
      </w:r>
      <w:r w:rsidR="00681F4B" w:rsidRPr="00C00000">
        <w:rPr>
          <w:rFonts w:asciiTheme="minorHAnsi" w:hAnsiTheme="minorHAnsi"/>
        </w:rPr>
        <w:t xml:space="preserve">State </w:t>
      </w:r>
      <w:r w:rsidRPr="00C00000">
        <w:rPr>
          <w:rFonts w:asciiTheme="minorHAnsi" w:hAnsiTheme="minorHAnsi"/>
        </w:rPr>
        <w:t>sentence imposed at the same time.</w:t>
      </w:r>
      <w:r w:rsidRPr="00C00000">
        <w:rPr>
          <w:rStyle w:val="Style"/>
          <w:rFonts w:asciiTheme="minorHAnsi" w:hAnsiTheme="minorHAnsi"/>
        </w:rPr>
        <w:footnoteReference w:id="827"/>
      </w:r>
      <w:r w:rsidR="00E07A70">
        <w:rPr>
          <w:rFonts w:asciiTheme="minorHAnsi" w:hAnsiTheme="minorHAnsi"/>
        </w:rPr>
        <w:t xml:space="preserve">  </w:t>
      </w:r>
      <w:r w:rsidR="00505811">
        <w:rPr>
          <w:rFonts w:asciiTheme="minorHAnsi" w:hAnsiTheme="minorHAnsi"/>
        </w:rPr>
        <w:t>In such circumstances a RRO or NPP would be inappropriate because it would be futile.</w:t>
      </w:r>
      <w:r w:rsidR="00505811" w:rsidRPr="00C00000">
        <w:rPr>
          <w:rStyle w:val="Style"/>
          <w:rFonts w:asciiTheme="minorHAnsi" w:hAnsiTheme="minorHAnsi"/>
        </w:rPr>
        <w:footnoteReference w:id="828"/>
      </w:r>
      <w:r w:rsidR="000C0073">
        <w:rPr>
          <w:rFonts w:asciiTheme="minorHAnsi" w:hAnsiTheme="minorHAnsi"/>
        </w:rPr>
        <w:t xml:space="preserve">  </w:t>
      </w:r>
    </w:p>
    <w:p w14:paraId="32EEFD79" w14:textId="77777777" w:rsidR="000C0073" w:rsidRPr="000C0073" w:rsidRDefault="000C0073" w:rsidP="000C0073">
      <w:pPr>
        <w:pStyle w:val="ListParagraph"/>
        <w:rPr>
          <w:rFonts w:asciiTheme="minorHAnsi" w:hAnsiTheme="minorHAnsi"/>
        </w:rPr>
      </w:pPr>
    </w:p>
    <w:p w14:paraId="37A1147E" w14:textId="49FBDF47" w:rsidR="00C4603D" w:rsidRDefault="00E07A7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Circumstances relevant to the exercise of the discretion may include other offences committed by the offender contemporaneously with the federal offences.</w:t>
      </w:r>
      <w:r w:rsidRPr="00C00000">
        <w:rPr>
          <w:rStyle w:val="Style"/>
          <w:rFonts w:asciiTheme="minorHAnsi" w:hAnsiTheme="minorHAnsi"/>
        </w:rPr>
        <w:footnoteReference w:id="829"/>
      </w:r>
      <w:r w:rsidR="00376799" w:rsidRPr="00376799">
        <w:rPr>
          <w:rFonts w:asciiTheme="minorHAnsi" w:hAnsiTheme="minorHAnsi"/>
        </w:rPr>
        <w:t xml:space="preserve"> </w:t>
      </w:r>
      <w:r w:rsidR="00376799">
        <w:rPr>
          <w:rFonts w:asciiTheme="minorHAnsi" w:hAnsiTheme="minorHAnsi"/>
        </w:rPr>
        <w:t xml:space="preserve"> However t</w:t>
      </w:r>
      <w:r w:rsidR="00376799" w:rsidRPr="00C00000">
        <w:rPr>
          <w:rFonts w:asciiTheme="minorHAnsi" w:hAnsiTheme="minorHAnsi"/>
        </w:rPr>
        <w:t xml:space="preserve">he absence of acceptable evidence as to antecedents cannot properly warrant a conclusion that a </w:t>
      </w:r>
      <w:r w:rsidR="00376799">
        <w:rPr>
          <w:rFonts w:asciiTheme="minorHAnsi" w:hAnsiTheme="minorHAnsi"/>
        </w:rPr>
        <w:t>NPP</w:t>
      </w:r>
      <w:r w:rsidR="00376799" w:rsidRPr="00C00000">
        <w:rPr>
          <w:rFonts w:asciiTheme="minorHAnsi" w:hAnsiTheme="minorHAnsi"/>
        </w:rPr>
        <w:t xml:space="preserve"> should not be fixed.  The nature and circumstances of the offence should not dominate the consideration of the question of whether or not to fix a </w:t>
      </w:r>
      <w:r w:rsidR="00376799">
        <w:rPr>
          <w:rFonts w:asciiTheme="minorHAnsi" w:hAnsiTheme="minorHAnsi"/>
        </w:rPr>
        <w:t>NPP</w:t>
      </w:r>
      <w:r w:rsidR="00376799" w:rsidRPr="00C00000">
        <w:rPr>
          <w:rFonts w:asciiTheme="minorHAnsi" w:hAnsiTheme="minorHAnsi"/>
        </w:rPr>
        <w:t>.</w:t>
      </w:r>
      <w:r w:rsidR="00376799" w:rsidRPr="00C00000">
        <w:rPr>
          <w:rStyle w:val="Style"/>
          <w:rFonts w:asciiTheme="minorHAnsi" w:hAnsiTheme="minorHAnsi"/>
        </w:rPr>
        <w:footnoteReference w:id="830"/>
      </w:r>
    </w:p>
    <w:p w14:paraId="64884DD9" w14:textId="6B50E1E9" w:rsidR="00C4603D" w:rsidRDefault="00C4603D" w:rsidP="00C4603D">
      <w:pPr>
        <w:pStyle w:val="ListParagraph"/>
        <w:rPr>
          <w:rFonts w:asciiTheme="minorHAnsi" w:hAnsiTheme="minorHAnsi"/>
        </w:rPr>
      </w:pPr>
    </w:p>
    <w:p w14:paraId="0F675C2D" w14:textId="6754B498" w:rsidR="00C76B2A" w:rsidRPr="00C00000" w:rsidRDefault="00C76B2A"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possibility of deportation does not preclude the fixing of a </w:t>
      </w:r>
      <w:r>
        <w:rPr>
          <w:rFonts w:asciiTheme="minorHAnsi" w:hAnsiTheme="minorHAnsi"/>
        </w:rPr>
        <w:t>NPP</w:t>
      </w:r>
      <w:r w:rsidRPr="00C00000">
        <w:rPr>
          <w:rStyle w:val="Style"/>
          <w:rFonts w:asciiTheme="minorHAnsi" w:hAnsiTheme="minorHAnsi"/>
        </w:rPr>
        <w:footnoteReference w:id="831"/>
      </w:r>
      <w:r w:rsidRPr="00C00000">
        <w:rPr>
          <w:rFonts w:asciiTheme="minorHAnsi" w:hAnsiTheme="minorHAnsi"/>
        </w:rPr>
        <w:t xml:space="preserve"> </w:t>
      </w:r>
      <w:r>
        <w:rPr>
          <w:rFonts w:asciiTheme="minorHAnsi" w:hAnsiTheme="minorHAnsi"/>
        </w:rPr>
        <w:t>or a RRO</w:t>
      </w:r>
      <w:r w:rsidRPr="00C00000">
        <w:rPr>
          <w:rStyle w:val="Style"/>
          <w:rFonts w:asciiTheme="minorHAnsi" w:hAnsiTheme="minorHAnsi"/>
        </w:rPr>
        <w:footnoteReference w:id="832"/>
      </w:r>
      <w:r>
        <w:rPr>
          <w:rFonts w:asciiTheme="minorHAnsi" w:hAnsiTheme="minorHAnsi"/>
        </w:rPr>
        <w:t xml:space="preserve"> (that is, it does not require </w:t>
      </w:r>
      <w:r w:rsidR="009325D9">
        <w:rPr>
          <w:rFonts w:asciiTheme="minorHAnsi" w:hAnsiTheme="minorHAnsi"/>
        </w:rPr>
        <w:t>that a court impose a straight sentence).</w:t>
      </w:r>
      <w:r>
        <w:rPr>
          <w:rFonts w:asciiTheme="minorHAnsi" w:hAnsiTheme="minorHAnsi"/>
        </w:rPr>
        <w:t xml:space="preserve"> </w:t>
      </w:r>
    </w:p>
    <w:p w14:paraId="0B47E6BE" w14:textId="77777777" w:rsidR="00C76B2A" w:rsidRPr="00C00000" w:rsidRDefault="00C76B2A" w:rsidP="00C76B2A">
      <w:pPr>
        <w:pStyle w:val="ListParagraph"/>
        <w:rPr>
          <w:rFonts w:asciiTheme="minorHAnsi" w:hAnsiTheme="minorHAnsi"/>
        </w:rPr>
      </w:pPr>
    </w:p>
    <w:p w14:paraId="634EF0DB" w14:textId="1D754612" w:rsidR="00100D3D" w:rsidRDefault="00A84CA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A84CAF">
        <w:rPr>
          <w:rFonts w:asciiTheme="minorHAnsi" w:hAnsiTheme="minorHAnsi"/>
          <w:i/>
        </w:rPr>
        <w:t>Spreitzer</w:t>
      </w:r>
      <w:r>
        <w:rPr>
          <w:rFonts w:asciiTheme="minorHAnsi" w:hAnsiTheme="minorHAnsi"/>
        </w:rPr>
        <w:t>,</w:t>
      </w:r>
      <w:r w:rsidR="00C76B2A" w:rsidRPr="00C00000">
        <w:rPr>
          <w:rStyle w:val="Style"/>
          <w:rFonts w:asciiTheme="minorHAnsi" w:hAnsiTheme="minorHAnsi"/>
        </w:rPr>
        <w:footnoteReference w:id="833"/>
      </w:r>
      <w:r>
        <w:rPr>
          <w:rFonts w:asciiTheme="minorHAnsi" w:hAnsiTheme="minorHAnsi"/>
        </w:rPr>
        <w:t xml:space="preserve"> the Western Australian Court of Appeal </w:t>
      </w:r>
      <w:r w:rsidR="00505811">
        <w:rPr>
          <w:rFonts w:asciiTheme="minorHAnsi" w:hAnsiTheme="minorHAnsi"/>
        </w:rPr>
        <w:t>observed</w:t>
      </w:r>
      <w:r>
        <w:rPr>
          <w:rFonts w:asciiTheme="minorHAnsi" w:hAnsiTheme="minorHAnsi"/>
        </w:rPr>
        <w:t xml:space="preserve"> that </w:t>
      </w:r>
      <w:r w:rsidR="00AF38AE">
        <w:rPr>
          <w:rFonts w:asciiTheme="minorHAnsi" w:hAnsiTheme="minorHAnsi"/>
        </w:rPr>
        <w:t xml:space="preserve">(despite the contrary indication in the passage from the Explanatory Memorandum quoted above) </w:t>
      </w:r>
      <w:r w:rsidR="00100D3D">
        <w:rPr>
          <w:rFonts w:asciiTheme="minorHAnsi" w:hAnsiTheme="minorHAnsi"/>
        </w:rPr>
        <w:t xml:space="preserve">the discretion could </w:t>
      </w:r>
      <w:r w:rsidR="000C7ED0">
        <w:rPr>
          <w:rFonts w:asciiTheme="minorHAnsi" w:hAnsiTheme="minorHAnsi"/>
        </w:rPr>
        <w:t xml:space="preserve">also </w:t>
      </w:r>
      <w:r w:rsidR="00100D3D">
        <w:rPr>
          <w:rFonts w:asciiTheme="minorHAnsi" w:hAnsiTheme="minorHAnsi"/>
        </w:rPr>
        <w:t>be exercised to effect</w:t>
      </w:r>
      <w:r w:rsidR="006D40A1" w:rsidRPr="006D40A1">
        <w:rPr>
          <w:rFonts w:asciiTheme="minorHAnsi" w:hAnsiTheme="minorHAnsi"/>
        </w:rPr>
        <w:t xml:space="preserve"> rehabilitation</w:t>
      </w:r>
      <w:r w:rsidR="00100D3D">
        <w:rPr>
          <w:rFonts w:asciiTheme="minorHAnsi" w:hAnsiTheme="minorHAnsi"/>
        </w:rPr>
        <w:t xml:space="preserve"> of the offender</w:t>
      </w:r>
      <w:r w:rsidR="00786112">
        <w:rPr>
          <w:rFonts w:asciiTheme="minorHAnsi" w:hAnsiTheme="minorHAnsi"/>
        </w:rPr>
        <w:t xml:space="preserve">.  </w:t>
      </w:r>
      <w:r w:rsidR="00C76B2A">
        <w:rPr>
          <w:rFonts w:asciiTheme="minorHAnsi" w:hAnsiTheme="minorHAnsi"/>
        </w:rPr>
        <w:t xml:space="preserve">In that case it was held that </w:t>
      </w:r>
      <w:r>
        <w:rPr>
          <w:rFonts w:asciiTheme="minorHAnsi" w:hAnsiTheme="minorHAnsi"/>
        </w:rPr>
        <w:t xml:space="preserve">the rehabilitation of an </w:t>
      </w:r>
      <w:r w:rsidR="00786112">
        <w:rPr>
          <w:rFonts w:asciiTheme="minorHAnsi" w:hAnsiTheme="minorHAnsi"/>
        </w:rPr>
        <w:t>offender</w:t>
      </w:r>
      <w:r>
        <w:rPr>
          <w:rFonts w:asciiTheme="minorHAnsi" w:hAnsiTheme="minorHAnsi"/>
        </w:rPr>
        <w:t xml:space="preserve"> who was a foreign national who spoke little English and had no ties with</w:t>
      </w:r>
      <w:r w:rsidR="00CB4D8E">
        <w:rPr>
          <w:rFonts w:asciiTheme="minorHAnsi" w:hAnsiTheme="minorHAnsi"/>
        </w:rPr>
        <w:t>,</w:t>
      </w:r>
      <w:r>
        <w:rPr>
          <w:rFonts w:asciiTheme="minorHAnsi" w:hAnsiTheme="minorHAnsi"/>
        </w:rPr>
        <w:t xml:space="preserve"> or future prospects in</w:t>
      </w:r>
      <w:r w:rsidR="00CB4D8E">
        <w:rPr>
          <w:rFonts w:asciiTheme="minorHAnsi" w:hAnsiTheme="minorHAnsi"/>
        </w:rPr>
        <w:t>,</w:t>
      </w:r>
      <w:r>
        <w:rPr>
          <w:rFonts w:asciiTheme="minorHAnsi" w:hAnsiTheme="minorHAnsi"/>
        </w:rPr>
        <w:t xml:space="preserve"> Australia warranted a short straight sentence rather than a </w:t>
      </w:r>
      <w:r w:rsidR="00AB27A8">
        <w:rPr>
          <w:rFonts w:asciiTheme="minorHAnsi" w:hAnsiTheme="minorHAnsi"/>
        </w:rPr>
        <w:t xml:space="preserve">sentence with a </w:t>
      </w:r>
      <w:r>
        <w:rPr>
          <w:rFonts w:asciiTheme="minorHAnsi" w:hAnsiTheme="minorHAnsi"/>
        </w:rPr>
        <w:t xml:space="preserve">RRO, so as to permit the </w:t>
      </w:r>
      <w:r w:rsidR="00C76B2A">
        <w:rPr>
          <w:rFonts w:asciiTheme="minorHAnsi" w:hAnsiTheme="minorHAnsi"/>
        </w:rPr>
        <w:t>offender to return to his home country.</w:t>
      </w:r>
    </w:p>
    <w:p w14:paraId="01F7A708" w14:textId="77777777" w:rsidR="00100D3D" w:rsidRPr="00100D3D" w:rsidRDefault="00100D3D" w:rsidP="00100D3D">
      <w:pPr>
        <w:pStyle w:val="ListParagraph"/>
        <w:rPr>
          <w:rFonts w:asciiTheme="minorHAnsi" w:hAnsiTheme="minorHAnsi"/>
        </w:rPr>
      </w:pPr>
    </w:p>
    <w:p w14:paraId="10EF32E1" w14:textId="6BCBAF8D" w:rsidR="00C76B2A" w:rsidRDefault="00100D3D" w:rsidP="00EB7F1E">
      <w:pPr>
        <w:pStyle w:val="ListParagraph"/>
        <w:numPr>
          <w:ilvl w:val="0"/>
          <w:numId w:val="7"/>
        </w:numPr>
        <w:spacing w:line="276" w:lineRule="auto"/>
        <w:ind w:left="425" w:hanging="425"/>
        <w:contextualSpacing w:val="0"/>
        <w:rPr>
          <w:rFonts w:asciiTheme="minorHAnsi" w:hAnsiTheme="minorHAnsi"/>
        </w:rPr>
      </w:pPr>
      <w:r w:rsidRPr="00100D3D">
        <w:rPr>
          <w:rFonts w:asciiTheme="minorHAnsi" w:hAnsiTheme="minorHAnsi"/>
          <w:i/>
        </w:rPr>
        <w:t>Spreitzer</w:t>
      </w:r>
      <w:r>
        <w:rPr>
          <w:rFonts w:asciiTheme="minorHAnsi" w:hAnsiTheme="minorHAnsi"/>
        </w:rPr>
        <w:t xml:space="preserve"> was an unusual case and should be applied with care.  </w:t>
      </w:r>
      <w:r w:rsidR="004845EF">
        <w:rPr>
          <w:rFonts w:asciiTheme="minorHAnsi" w:hAnsiTheme="minorHAnsi"/>
        </w:rPr>
        <w:t xml:space="preserve">It is implicit in the scheme of Part IB of the </w:t>
      </w:r>
      <w:r w:rsidR="00885EFD" w:rsidRPr="00885EFD">
        <w:rPr>
          <w:rFonts w:asciiTheme="minorHAnsi" w:hAnsiTheme="minorHAnsi"/>
          <w:i/>
        </w:rPr>
        <w:t>Crimes Act 1914</w:t>
      </w:r>
      <w:r w:rsidR="004845EF">
        <w:rPr>
          <w:rFonts w:asciiTheme="minorHAnsi" w:hAnsiTheme="minorHAnsi"/>
        </w:rPr>
        <w:t xml:space="preserve"> that the determination of the </w:t>
      </w:r>
      <w:r w:rsidR="00AB4169">
        <w:rPr>
          <w:rFonts w:asciiTheme="minorHAnsi" w:hAnsiTheme="minorHAnsi"/>
        </w:rPr>
        <w:t xml:space="preserve">appropriate </w:t>
      </w:r>
      <w:r w:rsidR="004845EF">
        <w:rPr>
          <w:rFonts w:asciiTheme="minorHAnsi" w:hAnsiTheme="minorHAnsi"/>
        </w:rPr>
        <w:t xml:space="preserve">length of the head sentence should be made independently of the determination of the period </w:t>
      </w:r>
      <w:r w:rsidR="00462FF7">
        <w:rPr>
          <w:rFonts w:asciiTheme="minorHAnsi" w:hAnsiTheme="minorHAnsi"/>
        </w:rPr>
        <w:t xml:space="preserve">of imprisonment (if any), </w:t>
      </w:r>
      <w:r w:rsidR="004845EF">
        <w:rPr>
          <w:rFonts w:asciiTheme="minorHAnsi" w:hAnsiTheme="minorHAnsi"/>
        </w:rPr>
        <w:t xml:space="preserve">or </w:t>
      </w:r>
      <w:r w:rsidR="00462FF7">
        <w:rPr>
          <w:rFonts w:asciiTheme="minorHAnsi" w:hAnsiTheme="minorHAnsi"/>
        </w:rPr>
        <w:t xml:space="preserve">the </w:t>
      </w:r>
      <w:r w:rsidR="004845EF">
        <w:rPr>
          <w:rFonts w:asciiTheme="minorHAnsi" w:hAnsiTheme="minorHAnsi"/>
        </w:rPr>
        <w:t xml:space="preserve">minimum period </w:t>
      </w:r>
      <w:r w:rsidR="00462FF7">
        <w:rPr>
          <w:rFonts w:asciiTheme="minorHAnsi" w:hAnsiTheme="minorHAnsi"/>
        </w:rPr>
        <w:t xml:space="preserve">of imprisonment, </w:t>
      </w:r>
      <w:r w:rsidR="004845EF">
        <w:rPr>
          <w:rFonts w:asciiTheme="minorHAnsi" w:hAnsiTheme="minorHAnsi"/>
        </w:rPr>
        <w:t>to be served.  It would seem wrong in principle to reduce a head sentence merely because all of it would be required to be served</w:t>
      </w:r>
      <w:r w:rsidR="00AB4169">
        <w:rPr>
          <w:rFonts w:asciiTheme="minorHAnsi" w:hAnsiTheme="minorHAnsi"/>
        </w:rPr>
        <w:t>, just as it would be wrong in principle to increase a head sentence merely because none of it would be required to be served.</w:t>
      </w:r>
      <w:r w:rsidR="007317CD" w:rsidRPr="00C00000">
        <w:rPr>
          <w:rStyle w:val="Style"/>
          <w:rFonts w:asciiTheme="minorHAnsi" w:hAnsiTheme="minorHAnsi"/>
        </w:rPr>
        <w:footnoteReference w:id="834"/>
      </w:r>
    </w:p>
    <w:p w14:paraId="3313D59A" w14:textId="7A9370E8" w:rsidR="00C76B2A" w:rsidRDefault="00C76B2A" w:rsidP="00C76B2A">
      <w:pPr>
        <w:pStyle w:val="ListParagraph"/>
        <w:rPr>
          <w:rFonts w:asciiTheme="minorHAnsi" w:hAnsiTheme="minorHAnsi"/>
        </w:rPr>
      </w:pPr>
    </w:p>
    <w:p w14:paraId="5323D2BA" w14:textId="370DD42A" w:rsidR="00191DAA" w:rsidRDefault="0079182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noted above, if the sentence</w:t>
      </w:r>
      <w:r w:rsidR="000C7ED0">
        <w:rPr>
          <w:rFonts w:asciiTheme="minorHAnsi" w:hAnsiTheme="minorHAnsi"/>
        </w:rPr>
        <w:t xml:space="preserve"> for a federal offence</w:t>
      </w:r>
      <w:r>
        <w:rPr>
          <w:rFonts w:asciiTheme="minorHAnsi" w:hAnsiTheme="minorHAnsi"/>
        </w:rPr>
        <w:t xml:space="preserve">, or </w:t>
      </w:r>
      <w:r w:rsidR="000C7ED0">
        <w:rPr>
          <w:rFonts w:asciiTheme="minorHAnsi" w:hAnsiTheme="minorHAnsi"/>
        </w:rPr>
        <w:t xml:space="preserve">the </w:t>
      </w:r>
      <w:r>
        <w:rPr>
          <w:rFonts w:asciiTheme="minorHAnsi" w:hAnsiTheme="minorHAnsi"/>
        </w:rPr>
        <w:t>aggregate sentence for federal offences</w:t>
      </w:r>
      <w:r w:rsidR="000C7ED0">
        <w:rPr>
          <w:rFonts w:asciiTheme="minorHAnsi" w:hAnsiTheme="minorHAnsi"/>
        </w:rPr>
        <w:t>,</w:t>
      </w:r>
      <w:r>
        <w:rPr>
          <w:rFonts w:asciiTheme="minorHAnsi" w:hAnsiTheme="minorHAnsi"/>
        </w:rPr>
        <w:t xml:space="preserve"> is 6 months or less, the court </w:t>
      </w:r>
      <w:r w:rsidR="008A3372">
        <w:rPr>
          <w:rFonts w:asciiTheme="minorHAnsi" w:hAnsiTheme="minorHAnsi"/>
        </w:rPr>
        <w:t xml:space="preserve">may, but </w:t>
      </w:r>
      <w:r>
        <w:rPr>
          <w:rFonts w:asciiTheme="minorHAnsi" w:hAnsiTheme="minorHAnsi"/>
        </w:rPr>
        <w:t>is not required to</w:t>
      </w:r>
      <w:r w:rsidR="008A3372">
        <w:rPr>
          <w:rFonts w:asciiTheme="minorHAnsi" w:hAnsiTheme="minorHAnsi"/>
        </w:rPr>
        <w:t>,</w:t>
      </w:r>
      <w:r>
        <w:rPr>
          <w:rFonts w:asciiTheme="minorHAnsi" w:hAnsiTheme="minorHAnsi"/>
        </w:rPr>
        <w:t xml:space="preserve"> impose a RRO</w:t>
      </w:r>
      <w:r w:rsidR="005E4555">
        <w:rPr>
          <w:rFonts w:asciiTheme="minorHAnsi" w:hAnsiTheme="minorHAnsi"/>
        </w:rPr>
        <w:t>;</w:t>
      </w:r>
      <w:r w:rsidR="008A3372" w:rsidRPr="00C00000">
        <w:rPr>
          <w:rStyle w:val="Style"/>
          <w:rFonts w:asciiTheme="minorHAnsi" w:hAnsiTheme="minorHAnsi"/>
        </w:rPr>
        <w:footnoteReference w:id="835"/>
      </w:r>
      <w:r>
        <w:rPr>
          <w:rFonts w:asciiTheme="minorHAnsi" w:hAnsiTheme="minorHAnsi"/>
        </w:rPr>
        <w:t xml:space="preserve"> </w:t>
      </w:r>
      <w:r w:rsidR="005E4555">
        <w:rPr>
          <w:rFonts w:asciiTheme="minorHAnsi" w:hAnsiTheme="minorHAnsi"/>
        </w:rPr>
        <w:t xml:space="preserve">that is, the court may impose a straight sentence. </w:t>
      </w:r>
      <w:r>
        <w:rPr>
          <w:rFonts w:asciiTheme="minorHAnsi" w:hAnsiTheme="minorHAnsi"/>
        </w:rPr>
        <w:t xml:space="preserve"> </w:t>
      </w:r>
      <w:r w:rsidR="007022BE">
        <w:rPr>
          <w:rFonts w:asciiTheme="minorHAnsi" w:hAnsiTheme="minorHAnsi"/>
        </w:rPr>
        <w:t xml:space="preserve">A similar </w:t>
      </w:r>
      <w:r>
        <w:rPr>
          <w:rFonts w:asciiTheme="minorHAnsi" w:hAnsiTheme="minorHAnsi"/>
        </w:rPr>
        <w:t>discretion applies</w:t>
      </w:r>
      <w:r w:rsidR="00191DAA">
        <w:rPr>
          <w:rFonts w:asciiTheme="minorHAnsi" w:hAnsiTheme="minorHAnsi"/>
        </w:rPr>
        <w:t>:</w:t>
      </w:r>
    </w:p>
    <w:p w14:paraId="1EC4DDA5" w14:textId="64BFCBCB" w:rsidR="00191DAA" w:rsidRDefault="00791824" w:rsidP="00191DAA">
      <w:pPr>
        <w:pStyle w:val="ListParagraph"/>
        <w:numPr>
          <w:ilvl w:val="1"/>
          <w:numId w:val="36"/>
        </w:numPr>
        <w:spacing w:line="276" w:lineRule="auto"/>
        <w:ind w:left="993" w:right="28" w:hanging="142"/>
        <w:rPr>
          <w:rFonts w:asciiTheme="minorHAnsi" w:hAnsiTheme="minorHAnsi"/>
        </w:rPr>
      </w:pPr>
      <w:r>
        <w:rPr>
          <w:rFonts w:asciiTheme="minorHAnsi" w:hAnsiTheme="minorHAnsi"/>
        </w:rPr>
        <w:t>when the offender is serving a federal sentence but is not subject to a RRO or NPP and the unserved portion of that sentence, together with the further sentence(s), total 6 months or less</w:t>
      </w:r>
      <w:r w:rsidR="00191DAA">
        <w:rPr>
          <w:rFonts w:asciiTheme="minorHAnsi" w:hAnsiTheme="minorHAnsi"/>
        </w:rPr>
        <w:t>;</w:t>
      </w:r>
      <w:r w:rsidR="008A3372" w:rsidRPr="00C00000">
        <w:rPr>
          <w:rStyle w:val="Style"/>
          <w:rFonts w:asciiTheme="minorHAnsi" w:hAnsiTheme="minorHAnsi"/>
        </w:rPr>
        <w:footnoteReference w:id="836"/>
      </w:r>
      <w:r>
        <w:rPr>
          <w:rFonts w:asciiTheme="minorHAnsi" w:hAnsiTheme="minorHAnsi"/>
        </w:rPr>
        <w:t xml:space="preserve"> </w:t>
      </w:r>
      <w:r w:rsidR="00191DAA">
        <w:rPr>
          <w:rFonts w:asciiTheme="minorHAnsi" w:hAnsiTheme="minorHAnsi"/>
        </w:rPr>
        <w:t>or</w:t>
      </w:r>
    </w:p>
    <w:p w14:paraId="1667ED45" w14:textId="2C60B286" w:rsidR="00191DAA" w:rsidRDefault="00CB4D8E"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in certain circumstances when a court is sentencing an offender for an offence committed while on parole or released on licence for a federal offence.</w:t>
      </w:r>
      <w:r w:rsidR="00A05A6B" w:rsidRPr="00C00000">
        <w:rPr>
          <w:rStyle w:val="Style"/>
          <w:rFonts w:asciiTheme="minorHAnsi" w:hAnsiTheme="minorHAnsi"/>
        </w:rPr>
        <w:footnoteReference w:id="837"/>
      </w:r>
    </w:p>
    <w:p w14:paraId="59B3B950" w14:textId="5C6E816C" w:rsidR="00791824" w:rsidRPr="00191DAA" w:rsidRDefault="00CB4D8E" w:rsidP="00EB7F1E">
      <w:pPr>
        <w:spacing w:line="276" w:lineRule="auto"/>
        <w:ind w:left="426"/>
        <w:jc w:val="both"/>
        <w:rPr>
          <w:rStyle w:val="ssleftalign"/>
          <w:rFonts w:asciiTheme="minorHAnsi" w:hAnsiTheme="minorHAnsi"/>
        </w:rPr>
      </w:pPr>
      <w:r w:rsidRPr="00EB7F1E">
        <w:rPr>
          <w:rFonts w:asciiTheme="minorHAnsi" w:hAnsiTheme="minorHAnsi"/>
        </w:rPr>
        <w:t xml:space="preserve">In any </w:t>
      </w:r>
      <w:r w:rsidR="00791824" w:rsidRPr="00EB7F1E">
        <w:rPr>
          <w:rFonts w:asciiTheme="minorHAnsi" w:hAnsiTheme="minorHAnsi"/>
        </w:rPr>
        <w:t xml:space="preserve">of these circumstances, the discretion whether </w:t>
      </w:r>
      <w:r w:rsidR="008A3372" w:rsidRPr="00EB7F1E">
        <w:rPr>
          <w:rFonts w:asciiTheme="minorHAnsi" w:hAnsiTheme="minorHAnsi"/>
        </w:rPr>
        <w:t xml:space="preserve">or not </w:t>
      </w:r>
      <w:r w:rsidR="00791824" w:rsidRPr="00EB7F1E">
        <w:rPr>
          <w:rFonts w:asciiTheme="minorHAnsi" w:hAnsiTheme="minorHAnsi"/>
        </w:rPr>
        <w:t xml:space="preserve">to impose a RRO is not fettered by statutory criteria.  A straight sentence, rather than </w:t>
      </w:r>
      <w:r w:rsidR="008A3372" w:rsidRPr="00EB7F1E">
        <w:rPr>
          <w:rFonts w:asciiTheme="minorHAnsi" w:hAnsiTheme="minorHAnsi"/>
        </w:rPr>
        <w:t xml:space="preserve">a RRO, may be appropriate in such a case because (bearing in mind that the </w:t>
      </w:r>
      <w:r w:rsidR="00715A77" w:rsidRPr="00EB7F1E">
        <w:rPr>
          <w:rFonts w:asciiTheme="minorHAnsi" w:hAnsiTheme="minorHAnsi"/>
        </w:rPr>
        <w:t xml:space="preserve">duration of the </w:t>
      </w:r>
      <w:r w:rsidR="008A3372" w:rsidRPr="00EB7F1E">
        <w:rPr>
          <w:rFonts w:asciiTheme="minorHAnsi" w:hAnsiTheme="minorHAnsi"/>
        </w:rPr>
        <w:t xml:space="preserve">recognizance period is limited to the period of </w:t>
      </w:r>
      <w:r w:rsidR="00715A77" w:rsidRPr="00EB7F1E">
        <w:rPr>
          <w:rFonts w:asciiTheme="minorHAnsi" w:hAnsiTheme="minorHAnsi"/>
        </w:rPr>
        <w:t xml:space="preserve">sentence), </w:t>
      </w:r>
      <w:r w:rsidR="008A3372" w:rsidRPr="00EB7F1E">
        <w:rPr>
          <w:rFonts w:asciiTheme="minorHAnsi" w:hAnsiTheme="minorHAnsi"/>
        </w:rPr>
        <w:t xml:space="preserve">the </w:t>
      </w:r>
      <w:r w:rsidR="00791824" w:rsidRPr="00EB7F1E">
        <w:rPr>
          <w:rFonts w:asciiTheme="minorHAnsi" w:hAnsiTheme="minorHAnsi"/>
        </w:rPr>
        <w:t>period of a</w:t>
      </w:r>
      <w:r w:rsidR="008A3372" w:rsidRPr="00EB7F1E">
        <w:rPr>
          <w:rFonts w:asciiTheme="minorHAnsi" w:hAnsiTheme="minorHAnsi"/>
        </w:rPr>
        <w:t>ny</w:t>
      </w:r>
      <w:r w:rsidR="00791824" w:rsidRPr="00EB7F1E">
        <w:rPr>
          <w:rFonts w:asciiTheme="minorHAnsi" w:hAnsiTheme="minorHAnsi"/>
        </w:rPr>
        <w:t xml:space="preserve"> RRO would be so short as to serve no useful pur</w:t>
      </w:r>
      <w:r w:rsidR="008A3372" w:rsidRPr="00EB7F1E">
        <w:rPr>
          <w:rFonts w:asciiTheme="minorHAnsi" w:hAnsiTheme="minorHAnsi"/>
        </w:rPr>
        <w:t>pose.</w:t>
      </w:r>
      <w:r w:rsidR="008A3372" w:rsidRPr="00C00000">
        <w:rPr>
          <w:rStyle w:val="Style"/>
          <w:rFonts w:asciiTheme="minorHAnsi" w:hAnsiTheme="minorHAnsi"/>
        </w:rPr>
        <w:footnoteReference w:id="838"/>
      </w:r>
    </w:p>
    <w:p w14:paraId="25473BB5" w14:textId="77777777" w:rsidR="00791824" w:rsidRPr="00C76B2A" w:rsidRDefault="00791824" w:rsidP="00C76B2A">
      <w:pPr>
        <w:pStyle w:val="ListParagraph"/>
        <w:rPr>
          <w:rFonts w:asciiTheme="minorHAnsi" w:hAnsiTheme="minorHAnsi"/>
        </w:rPr>
      </w:pPr>
    </w:p>
    <w:p w14:paraId="406F883D" w14:textId="59487AA1" w:rsidR="00B7482B" w:rsidRPr="00B7482B" w:rsidRDefault="00B7482B" w:rsidP="006D50C7">
      <w:pPr>
        <w:pStyle w:val="Heading3"/>
      </w:pPr>
      <w:bookmarkStart w:id="1985" w:name="_Ref507141153"/>
      <w:bookmarkStart w:id="1986" w:name="_Toc33602902"/>
      <w:r>
        <w:t>The three-quarters rule in fixing a NPP for certain national security offences</w:t>
      </w:r>
      <w:bookmarkEnd w:id="1985"/>
      <w:bookmarkEnd w:id="1986"/>
    </w:p>
    <w:p w14:paraId="038A048A" w14:textId="77777777" w:rsidR="006414CA" w:rsidRDefault="006414CA" w:rsidP="006D50C7">
      <w:pPr>
        <w:pStyle w:val="ListParagraph"/>
        <w:keepNext/>
        <w:spacing w:line="276" w:lineRule="auto"/>
        <w:ind w:left="567"/>
        <w:contextualSpacing w:val="0"/>
        <w:rPr>
          <w:rFonts w:asciiTheme="minorHAnsi" w:hAnsiTheme="minorHAnsi"/>
        </w:rPr>
      </w:pPr>
    </w:p>
    <w:p w14:paraId="075624C8" w14:textId="5E9F2794" w:rsidR="001D3625" w:rsidRDefault="001D362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19AG of the </w:t>
      </w:r>
      <w:r w:rsidR="00885EFD" w:rsidRPr="00885EFD">
        <w:rPr>
          <w:rFonts w:asciiTheme="minorHAnsi" w:hAnsiTheme="minorHAnsi"/>
          <w:i/>
        </w:rPr>
        <w:t>Crimes Act 1914</w:t>
      </w:r>
      <w:r>
        <w:rPr>
          <w:rFonts w:asciiTheme="minorHAnsi" w:hAnsiTheme="minorHAnsi"/>
        </w:rPr>
        <w:t xml:space="preserve"> (Cth) (introduced in 2004) creates what has become known as “the three-quarters rule”.  It applies if a person is convicted and sentenced</w:t>
      </w:r>
      <w:r w:rsidR="00BB2933">
        <w:rPr>
          <w:rFonts w:asciiTheme="minorHAnsi" w:hAnsiTheme="minorHAnsi"/>
        </w:rPr>
        <w:t xml:space="preserve"> (that is, to a term of imprisonment</w:t>
      </w:r>
      <w:r w:rsidRPr="00C00000">
        <w:rPr>
          <w:rStyle w:val="Style"/>
          <w:rFonts w:asciiTheme="minorHAnsi" w:hAnsiTheme="minorHAnsi"/>
        </w:rPr>
        <w:footnoteReference w:id="839"/>
      </w:r>
      <w:r w:rsidR="00BB2933">
        <w:rPr>
          <w:rFonts w:asciiTheme="minorHAnsi" w:hAnsiTheme="minorHAnsi"/>
        </w:rPr>
        <w:t>)</w:t>
      </w:r>
      <w:r>
        <w:rPr>
          <w:rFonts w:asciiTheme="minorHAnsi" w:hAnsiTheme="minorHAnsi"/>
        </w:rPr>
        <w:t xml:space="preserve"> for a “</w:t>
      </w:r>
      <w:r w:rsidRPr="00332ACD">
        <w:rPr>
          <w:rFonts w:asciiTheme="minorHAnsi" w:hAnsiTheme="minorHAnsi"/>
          <w:i/>
        </w:rPr>
        <w:t>minimum non-parole offence</w:t>
      </w:r>
      <w:r>
        <w:rPr>
          <w:rFonts w:asciiTheme="minorHAnsi" w:hAnsiTheme="minorHAnsi"/>
        </w:rPr>
        <w:t xml:space="preserve">”, </w:t>
      </w:r>
      <w:r w:rsidR="00983BE3">
        <w:rPr>
          <w:rFonts w:asciiTheme="minorHAnsi" w:hAnsiTheme="minorHAnsi"/>
        </w:rPr>
        <w:t>which is defined in s 19AG(1) to mean</w:t>
      </w:r>
      <w:r>
        <w:rPr>
          <w:rFonts w:asciiTheme="minorHAnsi" w:hAnsiTheme="minorHAnsi"/>
        </w:rPr>
        <w:t>:</w:t>
      </w:r>
      <w:r w:rsidR="00944D4E" w:rsidRPr="00C00000">
        <w:rPr>
          <w:rStyle w:val="Style"/>
          <w:rFonts w:asciiTheme="minorHAnsi" w:hAnsiTheme="minorHAnsi"/>
        </w:rPr>
        <w:footnoteReference w:id="840"/>
      </w:r>
    </w:p>
    <w:p w14:paraId="7FF89549" w14:textId="77777777" w:rsidR="00944D4E" w:rsidRPr="00791CF9" w:rsidRDefault="00944D4E" w:rsidP="00944D4E">
      <w:pPr>
        <w:pStyle w:val="ListParagraph"/>
        <w:numPr>
          <w:ilvl w:val="1"/>
          <w:numId w:val="7"/>
        </w:numPr>
        <w:spacing w:line="276" w:lineRule="auto"/>
        <w:ind w:right="28"/>
        <w:rPr>
          <w:rFonts w:asciiTheme="minorHAnsi" w:hAnsiTheme="minorHAnsi"/>
        </w:rPr>
      </w:pPr>
      <w:r w:rsidRPr="00791CF9">
        <w:rPr>
          <w:rFonts w:asciiTheme="minorHAnsi" w:hAnsiTheme="minorHAnsi"/>
        </w:rPr>
        <w:t xml:space="preserve">a terrorism offence (as defined in s 3(1) of the Act); </w:t>
      </w:r>
    </w:p>
    <w:p w14:paraId="7E84182A" w14:textId="77777777" w:rsidR="00944D4E" w:rsidRDefault="00944D4E" w:rsidP="00944D4E">
      <w:pPr>
        <w:pStyle w:val="ListParagraph"/>
        <w:numPr>
          <w:ilvl w:val="1"/>
          <w:numId w:val="7"/>
        </w:numPr>
        <w:spacing w:line="276" w:lineRule="auto"/>
        <w:ind w:right="28"/>
        <w:rPr>
          <w:rFonts w:asciiTheme="minorHAnsi" w:hAnsiTheme="minorHAnsi"/>
        </w:rPr>
      </w:pPr>
      <w:r w:rsidRPr="00086EC9">
        <w:rPr>
          <w:rFonts w:asciiTheme="minorHAnsi" w:hAnsiTheme="minorHAnsi"/>
        </w:rPr>
        <w:t xml:space="preserve">an offence against Division 80 of the </w:t>
      </w:r>
      <w:r w:rsidRPr="00086EC9">
        <w:rPr>
          <w:rFonts w:asciiTheme="minorHAnsi" w:hAnsiTheme="minorHAnsi"/>
          <w:i/>
        </w:rPr>
        <w:t>Criminal Code</w:t>
      </w:r>
      <w:r>
        <w:rPr>
          <w:rFonts w:asciiTheme="minorHAnsi" w:hAnsiTheme="minorHAnsi"/>
          <w:i/>
        </w:rPr>
        <w:t xml:space="preserve"> </w:t>
      </w:r>
      <w:r>
        <w:rPr>
          <w:rFonts w:asciiTheme="minorHAnsi" w:hAnsiTheme="minorHAnsi"/>
        </w:rPr>
        <w:t>(Cth) (treason, urging violence, advocating terrorism, etc); or</w:t>
      </w:r>
    </w:p>
    <w:p w14:paraId="2C9FECD5" w14:textId="77777777" w:rsidR="00944D4E" w:rsidRDefault="00944D4E" w:rsidP="00944D4E">
      <w:pPr>
        <w:pStyle w:val="ListParagraph"/>
        <w:numPr>
          <w:ilvl w:val="1"/>
          <w:numId w:val="7"/>
        </w:numPr>
        <w:spacing w:line="276" w:lineRule="auto"/>
        <w:ind w:right="28"/>
        <w:rPr>
          <w:rFonts w:asciiTheme="minorHAnsi" w:hAnsiTheme="minorHAnsi"/>
        </w:rPr>
      </w:pPr>
      <w:r>
        <w:rPr>
          <w:rFonts w:asciiTheme="minorHAnsi" w:hAnsiTheme="minorHAnsi"/>
        </w:rPr>
        <w:t xml:space="preserve">an offence against s 91.1(1) or 91.2(1) of the </w:t>
      </w:r>
      <w:r w:rsidRPr="00791CF9">
        <w:rPr>
          <w:rFonts w:asciiTheme="minorHAnsi" w:hAnsiTheme="minorHAnsi"/>
          <w:i/>
          <w:iCs/>
        </w:rPr>
        <w:t>Criminal Code</w:t>
      </w:r>
      <w:r>
        <w:rPr>
          <w:rFonts w:asciiTheme="minorHAnsi" w:hAnsiTheme="minorHAnsi"/>
        </w:rPr>
        <w:t xml:space="preserve"> (Cth) (intentional espionage offences).</w:t>
      </w:r>
    </w:p>
    <w:p w14:paraId="1835586F" w14:textId="77777777" w:rsidR="001D3625" w:rsidRPr="00086EC9" w:rsidRDefault="001D3625" w:rsidP="001D3625">
      <w:pPr>
        <w:spacing w:line="276" w:lineRule="auto"/>
        <w:ind w:right="28"/>
        <w:rPr>
          <w:rFonts w:asciiTheme="minorHAnsi" w:hAnsiTheme="minorHAnsi"/>
        </w:rPr>
      </w:pPr>
    </w:p>
    <w:p w14:paraId="518E5298" w14:textId="41718E59" w:rsidR="001D3625" w:rsidRDefault="001D3625" w:rsidP="00EB7F1E">
      <w:pPr>
        <w:pStyle w:val="ListParagraph"/>
        <w:numPr>
          <w:ilvl w:val="0"/>
          <w:numId w:val="7"/>
        </w:numPr>
        <w:spacing w:line="276" w:lineRule="auto"/>
        <w:ind w:left="425" w:hanging="425"/>
        <w:contextualSpacing w:val="0"/>
        <w:rPr>
          <w:rFonts w:asciiTheme="minorHAnsi" w:hAnsiTheme="minorHAnsi"/>
        </w:rPr>
      </w:pPr>
      <w:r w:rsidRPr="00AF733C">
        <w:rPr>
          <w:rFonts w:asciiTheme="minorHAnsi" w:hAnsiTheme="minorHAnsi"/>
        </w:rPr>
        <w:t xml:space="preserve">In sentencing such a person, the court must fix a single </w:t>
      </w:r>
      <w:r>
        <w:rPr>
          <w:rFonts w:asciiTheme="minorHAnsi" w:hAnsiTheme="minorHAnsi"/>
        </w:rPr>
        <w:t>NPP</w:t>
      </w:r>
      <w:r w:rsidRPr="00AF733C">
        <w:rPr>
          <w:rFonts w:asciiTheme="minorHAnsi" w:hAnsiTheme="minorHAnsi"/>
        </w:rPr>
        <w:t xml:space="preserve"> of at least </w:t>
      </w:r>
      <w:r>
        <w:rPr>
          <w:rFonts w:asciiTheme="minorHAnsi" w:hAnsiTheme="minorHAnsi"/>
        </w:rPr>
        <w:t xml:space="preserve">three-quarters </w:t>
      </w:r>
      <w:r w:rsidRPr="00AF733C">
        <w:rPr>
          <w:rFonts w:asciiTheme="minorHAnsi" w:hAnsiTheme="minorHAnsi"/>
        </w:rPr>
        <w:t xml:space="preserve">of the sentence for the minimum non-parole offence.  </w:t>
      </w:r>
      <w:r>
        <w:rPr>
          <w:rFonts w:asciiTheme="minorHAnsi" w:hAnsiTheme="minorHAnsi"/>
        </w:rPr>
        <w:t xml:space="preserve">(For this purpose, </w:t>
      </w:r>
      <w:r w:rsidRPr="00086EC9">
        <w:rPr>
          <w:rFonts w:asciiTheme="minorHAnsi" w:hAnsiTheme="minorHAnsi"/>
        </w:rPr>
        <w:t xml:space="preserve">a sentence of </w:t>
      </w:r>
      <w:r>
        <w:rPr>
          <w:rFonts w:asciiTheme="minorHAnsi" w:hAnsiTheme="minorHAnsi"/>
        </w:rPr>
        <w:t xml:space="preserve">life </w:t>
      </w:r>
      <w:r w:rsidRPr="00086EC9">
        <w:rPr>
          <w:rFonts w:asciiTheme="minorHAnsi" w:hAnsiTheme="minorHAnsi"/>
        </w:rPr>
        <w:t>imprisonment is taken to be a sentence of 30 years</w:t>
      </w:r>
      <w:r w:rsidR="00AA693C">
        <w:rPr>
          <w:rFonts w:asciiTheme="minorHAnsi" w:hAnsiTheme="minorHAnsi"/>
        </w:rPr>
        <w:t>’</w:t>
      </w:r>
      <w:r w:rsidRPr="00086EC9">
        <w:rPr>
          <w:rFonts w:asciiTheme="minorHAnsi" w:hAnsiTheme="minorHAnsi"/>
        </w:rPr>
        <w:t xml:space="preserve"> imprisonment</w:t>
      </w:r>
      <w:r>
        <w:rPr>
          <w:rFonts w:asciiTheme="minorHAnsi" w:hAnsiTheme="minorHAnsi"/>
        </w:rPr>
        <w:t xml:space="preserve">.) </w:t>
      </w:r>
      <w:r w:rsidRPr="00AF733C">
        <w:rPr>
          <w:rFonts w:asciiTheme="minorHAnsi" w:hAnsiTheme="minorHAnsi"/>
        </w:rPr>
        <w:t xml:space="preserve"> For example, if the offender is sentenced to 10 years</w:t>
      </w:r>
      <w:r w:rsidR="00AA693C">
        <w:rPr>
          <w:rFonts w:asciiTheme="minorHAnsi" w:hAnsiTheme="minorHAnsi"/>
        </w:rPr>
        <w:t>’</w:t>
      </w:r>
      <w:r w:rsidRPr="00AF733C">
        <w:rPr>
          <w:rFonts w:asciiTheme="minorHAnsi" w:hAnsiTheme="minorHAnsi"/>
        </w:rPr>
        <w:t xml:space="preserve"> imprisonment for the offence, the court must fix a </w:t>
      </w:r>
      <w:r>
        <w:rPr>
          <w:rFonts w:asciiTheme="minorHAnsi" w:hAnsiTheme="minorHAnsi"/>
        </w:rPr>
        <w:t>NPP</w:t>
      </w:r>
      <w:r w:rsidRPr="00AF733C">
        <w:rPr>
          <w:rFonts w:asciiTheme="minorHAnsi" w:hAnsiTheme="minorHAnsi"/>
        </w:rPr>
        <w:t xml:space="preserve"> of at least 7 years and 6 months.</w:t>
      </w:r>
    </w:p>
    <w:p w14:paraId="5C037ADE" w14:textId="77777777" w:rsidR="001D3625" w:rsidRPr="00DB194D" w:rsidRDefault="001D3625" w:rsidP="001D3625">
      <w:pPr>
        <w:spacing w:line="276" w:lineRule="auto"/>
        <w:ind w:right="28"/>
        <w:rPr>
          <w:rFonts w:asciiTheme="minorHAnsi" w:hAnsiTheme="minorHAnsi"/>
        </w:rPr>
      </w:pPr>
    </w:p>
    <w:p w14:paraId="0C8D74D6" w14:textId="0C92BE7A" w:rsidR="001D3625" w:rsidRDefault="001D3625" w:rsidP="00EB7F1E">
      <w:pPr>
        <w:pStyle w:val="ListParagraph"/>
        <w:numPr>
          <w:ilvl w:val="0"/>
          <w:numId w:val="7"/>
        </w:numPr>
        <w:spacing w:line="276" w:lineRule="auto"/>
        <w:ind w:left="425" w:hanging="425"/>
        <w:contextualSpacing w:val="0"/>
        <w:rPr>
          <w:rFonts w:asciiTheme="minorHAnsi" w:hAnsiTheme="minorHAnsi"/>
        </w:rPr>
      </w:pPr>
      <w:r w:rsidRPr="00AF733C">
        <w:rPr>
          <w:rFonts w:asciiTheme="minorHAnsi" w:hAnsiTheme="minorHAnsi"/>
        </w:rPr>
        <w:t xml:space="preserve">If two or more sentences have been imposed on the person for minimum non-parole offences (whether or not at the same sitting), the court must fix a single </w:t>
      </w:r>
      <w:r w:rsidR="0000013E">
        <w:rPr>
          <w:rFonts w:asciiTheme="minorHAnsi" w:hAnsiTheme="minorHAnsi"/>
        </w:rPr>
        <w:t>NPP</w:t>
      </w:r>
      <w:r w:rsidRPr="00AF733C">
        <w:rPr>
          <w:rFonts w:asciiTheme="minorHAnsi" w:hAnsiTheme="minorHAnsi"/>
        </w:rPr>
        <w:t xml:space="preserve"> of at least</w:t>
      </w:r>
      <w:r>
        <w:rPr>
          <w:rFonts w:asciiTheme="minorHAnsi" w:hAnsiTheme="minorHAnsi"/>
        </w:rPr>
        <w:t xml:space="preserve"> three-quarters</w:t>
      </w:r>
      <w:r w:rsidRPr="00AF733C">
        <w:rPr>
          <w:rFonts w:asciiTheme="minorHAnsi" w:hAnsiTheme="minorHAnsi"/>
        </w:rPr>
        <w:t xml:space="preserve"> of the aggregate of those sentences.</w:t>
      </w:r>
      <w:r>
        <w:rPr>
          <w:rFonts w:asciiTheme="minorHAnsi" w:hAnsiTheme="minorHAnsi"/>
        </w:rPr>
        <w:t xml:space="preserve">  For example, if the offender is sentenced to 8 years</w:t>
      </w:r>
      <w:r w:rsidR="00AA693C">
        <w:rPr>
          <w:rFonts w:asciiTheme="minorHAnsi" w:hAnsiTheme="minorHAnsi"/>
        </w:rPr>
        <w:t>’</w:t>
      </w:r>
      <w:r>
        <w:rPr>
          <w:rFonts w:asciiTheme="minorHAnsi" w:hAnsiTheme="minorHAnsi"/>
        </w:rPr>
        <w:t xml:space="preserve"> imprisonment on each of two minimum non-parole period offences, and 2 years of the second sentence is effectively cumulative on the first sentence, the aggregate (total effective sentence) will be taken as 10 years</w:t>
      </w:r>
      <w:r w:rsidR="00AA693C">
        <w:rPr>
          <w:rFonts w:asciiTheme="minorHAnsi" w:hAnsiTheme="minorHAnsi"/>
        </w:rPr>
        <w:t>’</w:t>
      </w:r>
      <w:r>
        <w:rPr>
          <w:rFonts w:asciiTheme="minorHAnsi" w:hAnsiTheme="minorHAnsi"/>
        </w:rPr>
        <w:t xml:space="preserve"> imprisonment, and the</w:t>
      </w:r>
      <w:r w:rsidRPr="00AF733C">
        <w:rPr>
          <w:rFonts w:asciiTheme="minorHAnsi" w:hAnsiTheme="minorHAnsi"/>
        </w:rPr>
        <w:t xml:space="preserve"> court must fix a </w:t>
      </w:r>
      <w:r>
        <w:rPr>
          <w:rFonts w:asciiTheme="minorHAnsi" w:hAnsiTheme="minorHAnsi"/>
        </w:rPr>
        <w:t>NPP</w:t>
      </w:r>
      <w:r w:rsidRPr="00AF733C">
        <w:rPr>
          <w:rFonts w:asciiTheme="minorHAnsi" w:hAnsiTheme="minorHAnsi"/>
        </w:rPr>
        <w:t xml:space="preserve"> of at least 7 years and 6 months</w:t>
      </w:r>
      <w:r>
        <w:rPr>
          <w:rFonts w:asciiTheme="minorHAnsi" w:hAnsiTheme="minorHAnsi"/>
        </w:rPr>
        <w:t>.</w:t>
      </w:r>
    </w:p>
    <w:p w14:paraId="29C7F595" w14:textId="77777777" w:rsidR="001D3625" w:rsidRDefault="001D3625" w:rsidP="001D3625">
      <w:pPr>
        <w:spacing w:line="276" w:lineRule="auto"/>
        <w:ind w:right="28"/>
        <w:rPr>
          <w:rFonts w:asciiTheme="minorHAnsi" w:hAnsiTheme="minorHAnsi"/>
        </w:rPr>
      </w:pPr>
    </w:p>
    <w:p w14:paraId="772525AC" w14:textId="076249D0" w:rsidR="001D3625" w:rsidRDefault="001D362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the offender has been sentenced for a federal offence which is not a minimum non-parole period offence as well as one or more minimum non-parole period offences, the minimum non-parole period applies to that offence also (s 19AG(2) and (3)), but is calculated only by reference to the minimum non-parole period offence or, if more than one, the aggregate of them.  Suppose, for example, an offender is sentenced to 6 years</w:t>
      </w:r>
      <w:r w:rsidR="00AA693C">
        <w:rPr>
          <w:rFonts w:asciiTheme="minorHAnsi" w:hAnsiTheme="minorHAnsi"/>
        </w:rPr>
        <w:t>’</w:t>
      </w:r>
      <w:r>
        <w:rPr>
          <w:rFonts w:asciiTheme="minorHAnsi" w:hAnsiTheme="minorHAnsi"/>
        </w:rPr>
        <w:t xml:space="preserve"> imprisonment for each of two terrorism offences (which are minimum non-parole period offences), with 2 years of the sentence for the second offence to be cumulative on the first, and 2 years</w:t>
      </w:r>
      <w:r w:rsidR="00AA693C">
        <w:rPr>
          <w:rFonts w:asciiTheme="minorHAnsi" w:hAnsiTheme="minorHAnsi"/>
        </w:rPr>
        <w:t>’</w:t>
      </w:r>
      <w:r>
        <w:rPr>
          <w:rFonts w:asciiTheme="minorHAnsi" w:hAnsiTheme="minorHAnsi"/>
        </w:rPr>
        <w:t xml:space="preserve"> imprisonment for an offence of possession of a forged document (</w:t>
      </w:r>
      <w:r w:rsidRPr="002B3A83">
        <w:rPr>
          <w:rFonts w:asciiTheme="minorHAnsi" w:hAnsiTheme="minorHAnsi"/>
          <w:i/>
        </w:rPr>
        <w:t>Criminal Code (Cth)</w:t>
      </w:r>
      <w:r>
        <w:rPr>
          <w:rFonts w:asciiTheme="minorHAnsi" w:hAnsiTheme="minorHAnsi"/>
        </w:rPr>
        <w:t>, s 145.2(1)) (which is not a minimum non-parole period offence), with 12 months of that sentence to be served cumulatively on the second terrorism sentence.  Although the total effective sentence is 9 years, in calculating the application of the three-quarters rule, the sentence for possession of a forged document must be disregarded.  The aggregate sentence for the terrorism offences is 8 years, so the minimum NPP is 6 years.</w:t>
      </w:r>
      <w:r w:rsidRPr="007B2886">
        <w:rPr>
          <w:rFonts w:asciiTheme="minorHAnsi" w:hAnsiTheme="minorHAnsi"/>
        </w:rPr>
        <w:t xml:space="preserve"> </w:t>
      </w:r>
      <w:r>
        <w:rPr>
          <w:rFonts w:asciiTheme="minorHAnsi" w:hAnsiTheme="minorHAnsi"/>
        </w:rPr>
        <w:t xml:space="preserve"> That minimum NPP is a single period applicable to the sentences for all the offences (s 19AG(2)), including the sentence for the offence which is not a minimum non-parole period offence (s 19AG(3)(b)(iii)).</w:t>
      </w:r>
    </w:p>
    <w:p w14:paraId="672341CD" w14:textId="77777777" w:rsidR="001D3625" w:rsidRPr="00DB194D" w:rsidRDefault="001D3625" w:rsidP="001D3625">
      <w:pPr>
        <w:spacing w:line="276" w:lineRule="auto"/>
        <w:ind w:right="28"/>
        <w:rPr>
          <w:rFonts w:asciiTheme="minorHAnsi" w:hAnsiTheme="minorHAnsi"/>
        </w:rPr>
      </w:pPr>
    </w:p>
    <w:p w14:paraId="4EA03B4D" w14:textId="2CFC4814" w:rsidR="001D3625" w:rsidRDefault="001D3625" w:rsidP="00EB7F1E">
      <w:pPr>
        <w:pStyle w:val="ListParagraph"/>
        <w:numPr>
          <w:ilvl w:val="0"/>
          <w:numId w:val="7"/>
        </w:numPr>
        <w:spacing w:line="276" w:lineRule="auto"/>
        <w:ind w:left="425" w:hanging="425"/>
        <w:contextualSpacing w:val="0"/>
        <w:rPr>
          <w:rFonts w:asciiTheme="minorHAnsi" w:hAnsiTheme="minorHAnsi"/>
        </w:rPr>
      </w:pPr>
      <w:r w:rsidRPr="00AF733C">
        <w:rPr>
          <w:rFonts w:asciiTheme="minorHAnsi" w:hAnsiTheme="minorHAnsi"/>
        </w:rPr>
        <w:t xml:space="preserve">The single </w:t>
      </w:r>
      <w:r>
        <w:rPr>
          <w:rFonts w:asciiTheme="minorHAnsi" w:hAnsiTheme="minorHAnsi"/>
        </w:rPr>
        <w:t>NPP</w:t>
      </w:r>
      <w:r w:rsidRPr="00AF733C">
        <w:rPr>
          <w:rFonts w:asciiTheme="minorHAnsi" w:hAnsiTheme="minorHAnsi"/>
        </w:rPr>
        <w:t xml:space="preserve"> </w:t>
      </w:r>
      <w:r>
        <w:rPr>
          <w:rFonts w:asciiTheme="minorHAnsi" w:hAnsiTheme="minorHAnsi"/>
        </w:rPr>
        <w:t xml:space="preserve">must be fixed </w:t>
      </w:r>
      <w:r w:rsidRPr="00AF733C">
        <w:rPr>
          <w:rFonts w:asciiTheme="minorHAnsi" w:hAnsiTheme="minorHAnsi"/>
        </w:rPr>
        <w:t>in respect of all federal sentences the person is to serve or complete</w:t>
      </w:r>
      <w:r>
        <w:rPr>
          <w:rFonts w:asciiTheme="minorHAnsi" w:hAnsiTheme="minorHAnsi"/>
        </w:rPr>
        <w:t xml:space="preserve"> (s 19AG(2)), whether or not they are imposed at the same sitting (s 19AG(3)(b)) and supersedes any existing RRO (s 19AG(4))</w:t>
      </w:r>
      <w:r w:rsidRPr="00AF733C">
        <w:rPr>
          <w:rFonts w:asciiTheme="minorHAnsi" w:hAnsiTheme="minorHAnsi"/>
        </w:rPr>
        <w:t>.</w:t>
      </w:r>
      <w:r w:rsidRPr="0040203D">
        <w:rPr>
          <w:rFonts w:asciiTheme="minorHAnsi" w:hAnsiTheme="minorHAnsi"/>
        </w:rPr>
        <w:t xml:space="preserve"> </w:t>
      </w:r>
      <w:r>
        <w:rPr>
          <w:rFonts w:asciiTheme="minorHAnsi" w:hAnsiTheme="minorHAnsi"/>
        </w:rPr>
        <w:t xml:space="preserve"> Other provisions relating to the fixing of a NPP or RRO are made subject to the requirements of s 19AG (see </w:t>
      </w:r>
      <w:r w:rsidR="00885EFD" w:rsidRPr="00885EFD">
        <w:rPr>
          <w:rFonts w:asciiTheme="minorHAnsi" w:hAnsiTheme="minorHAnsi"/>
          <w:i/>
        </w:rPr>
        <w:t>Crimes Act 1914</w:t>
      </w:r>
      <w:r>
        <w:rPr>
          <w:rFonts w:asciiTheme="minorHAnsi" w:hAnsiTheme="minorHAnsi"/>
        </w:rPr>
        <w:t>, s 19AG(5)).</w:t>
      </w:r>
    </w:p>
    <w:p w14:paraId="740FCD0A" w14:textId="77777777" w:rsidR="001D3625" w:rsidRPr="00964D35" w:rsidRDefault="001D3625" w:rsidP="001D3625">
      <w:pPr>
        <w:pStyle w:val="ListParagraph"/>
        <w:rPr>
          <w:rFonts w:asciiTheme="minorHAnsi" w:hAnsiTheme="minorHAnsi"/>
        </w:rPr>
      </w:pPr>
    </w:p>
    <w:p w14:paraId="1D39F132" w14:textId="10827151" w:rsidR="001D3625" w:rsidRPr="00B84491" w:rsidRDefault="001D3625" w:rsidP="00EB7F1E">
      <w:pPr>
        <w:pStyle w:val="ListParagraph"/>
        <w:numPr>
          <w:ilvl w:val="0"/>
          <w:numId w:val="7"/>
        </w:numPr>
        <w:spacing w:line="276" w:lineRule="auto"/>
        <w:ind w:left="425" w:hanging="425"/>
        <w:contextualSpacing w:val="0"/>
        <w:rPr>
          <w:rFonts w:asciiTheme="minorHAnsi" w:hAnsiTheme="minorHAnsi"/>
        </w:rPr>
      </w:pPr>
      <w:r w:rsidRPr="00B84491">
        <w:rPr>
          <w:rFonts w:asciiTheme="minorHAnsi" w:hAnsiTheme="minorHAnsi"/>
        </w:rPr>
        <w:t xml:space="preserve">One consequence of s 19AG is that the sentencing court must impose a NPP even if it would otherwise have had a discretion to make or confirm a RRO, or to decline to fix a NPP (see the legislative note to s 19AG(5)).  This means, amongst other things, that </w:t>
      </w:r>
      <w:r w:rsidR="005F6CD5">
        <w:rPr>
          <w:rFonts w:asciiTheme="minorHAnsi" w:hAnsiTheme="minorHAnsi"/>
        </w:rPr>
        <w:t xml:space="preserve">s 19AG may result in </w:t>
      </w:r>
      <w:r w:rsidRPr="00B84491">
        <w:rPr>
          <w:rFonts w:asciiTheme="minorHAnsi" w:hAnsiTheme="minorHAnsi"/>
        </w:rPr>
        <w:t>a short NPP be</w:t>
      </w:r>
      <w:r w:rsidR="005F6CD5">
        <w:rPr>
          <w:rFonts w:asciiTheme="minorHAnsi" w:hAnsiTheme="minorHAnsi"/>
        </w:rPr>
        <w:t>ing</w:t>
      </w:r>
      <w:r w:rsidRPr="00B84491">
        <w:rPr>
          <w:rFonts w:asciiTheme="minorHAnsi" w:hAnsiTheme="minorHAnsi"/>
        </w:rPr>
        <w:t xml:space="preserve"> fixed when a RRO would otherwise have been made. </w:t>
      </w:r>
      <w:r>
        <w:rPr>
          <w:rFonts w:asciiTheme="minorHAnsi" w:hAnsiTheme="minorHAnsi"/>
        </w:rPr>
        <w:t xml:space="preserve"> </w:t>
      </w:r>
      <w:r w:rsidRPr="00B84491">
        <w:rPr>
          <w:rFonts w:asciiTheme="minorHAnsi" w:hAnsiTheme="minorHAnsi"/>
        </w:rPr>
        <w:t xml:space="preserve">Another consequence of s 19AG is that the court cannot impose a straight sentence when it could otherwise have done so under s 19AB(3), s 19AC(1) or (2) or s 19AD(2)(f)) of the </w:t>
      </w:r>
      <w:r w:rsidR="00885EFD" w:rsidRPr="00885EFD">
        <w:rPr>
          <w:rFonts w:asciiTheme="minorHAnsi" w:hAnsiTheme="minorHAnsi"/>
          <w:i/>
        </w:rPr>
        <w:t>Crimes Act 1914</w:t>
      </w:r>
      <w:r w:rsidRPr="00B84491">
        <w:rPr>
          <w:rFonts w:asciiTheme="minorHAnsi" w:hAnsiTheme="minorHAnsi"/>
        </w:rPr>
        <w:t xml:space="preserve">. </w:t>
      </w:r>
    </w:p>
    <w:p w14:paraId="52E6C8AE" w14:textId="77777777" w:rsidR="001D3625" w:rsidRPr="00787ACB" w:rsidRDefault="001D3625" w:rsidP="001D3625">
      <w:pPr>
        <w:spacing w:line="276" w:lineRule="auto"/>
        <w:ind w:right="28"/>
        <w:rPr>
          <w:rFonts w:asciiTheme="minorHAnsi" w:hAnsiTheme="minorHAnsi"/>
        </w:rPr>
      </w:pPr>
    </w:p>
    <w:p w14:paraId="44BD100D" w14:textId="77777777" w:rsidR="001D3625" w:rsidRPr="005A65E3" w:rsidRDefault="001D3625" w:rsidP="00EB7F1E">
      <w:pPr>
        <w:pStyle w:val="ListParagraph"/>
        <w:numPr>
          <w:ilvl w:val="0"/>
          <w:numId w:val="7"/>
        </w:numPr>
        <w:spacing w:line="276" w:lineRule="auto"/>
        <w:ind w:left="425" w:hanging="425"/>
        <w:contextualSpacing w:val="0"/>
        <w:rPr>
          <w:rFonts w:asciiTheme="minorHAnsi" w:hAnsiTheme="minorHAnsi"/>
        </w:rPr>
      </w:pPr>
      <w:r w:rsidRPr="006C3445">
        <w:rPr>
          <w:rFonts w:asciiTheme="minorHAnsi" w:hAnsiTheme="minorHAnsi"/>
        </w:rPr>
        <w:t>It is not permissible for a sentencing court to discount the head sentence to compensate for, or offset, the effect of s</w:t>
      </w:r>
      <w:r>
        <w:rPr>
          <w:rFonts w:asciiTheme="minorHAnsi" w:hAnsiTheme="minorHAnsi"/>
        </w:rPr>
        <w:t xml:space="preserve"> </w:t>
      </w:r>
      <w:r w:rsidRPr="006C3445">
        <w:rPr>
          <w:rFonts w:asciiTheme="minorHAnsi" w:hAnsiTheme="minorHAnsi"/>
        </w:rPr>
        <w:t>19AG.  Section 19AG does not detract in any way from the obligation of a sentencing judge to first impose a proportionate sentence before considering the non-parole period</w:t>
      </w:r>
      <w:r w:rsidRPr="000408CC">
        <w:rPr>
          <w:rFonts w:ascii="Times New Roman" w:hAnsi="Times New Roman"/>
          <w:sz w:val="24"/>
          <w:lang w:eastAsia="en-AU"/>
        </w:rPr>
        <w:t>.</w:t>
      </w:r>
      <w:r w:rsidRPr="00C00000">
        <w:rPr>
          <w:rStyle w:val="Style"/>
          <w:rFonts w:asciiTheme="minorHAnsi" w:hAnsiTheme="minorHAnsi"/>
        </w:rPr>
        <w:footnoteReference w:id="841"/>
      </w:r>
    </w:p>
    <w:p w14:paraId="241D89FB" w14:textId="77777777" w:rsidR="001D3625" w:rsidRDefault="001D3625" w:rsidP="001D3625">
      <w:pPr>
        <w:pStyle w:val="ListParagraph"/>
        <w:spacing w:line="276" w:lineRule="auto"/>
        <w:ind w:left="567" w:right="28" w:hanging="567"/>
        <w:rPr>
          <w:rFonts w:asciiTheme="minorHAnsi" w:hAnsiTheme="minorHAnsi"/>
        </w:rPr>
      </w:pPr>
    </w:p>
    <w:p w14:paraId="3039ED91" w14:textId="68EECE94" w:rsidR="004024BD" w:rsidRPr="00364B92" w:rsidRDefault="004024BD" w:rsidP="006D50C7">
      <w:pPr>
        <w:pStyle w:val="Heading3"/>
      </w:pPr>
      <w:bookmarkStart w:id="1987" w:name="_Toc33602903"/>
      <w:r>
        <w:t xml:space="preserve">No power to fix a single </w:t>
      </w:r>
      <w:r w:rsidR="00867A0E">
        <w:t>NPP</w:t>
      </w:r>
      <w:r>
        <w:t xml:space="preserve"> for both federal and State/Territory offences</w:t>
      </w:r>
      <w:bookmarkEnd w:id="1987"/>
    </w:p>
    <w:p w14:paraId="395BA1C0" w14:textId="77777777" w:rsidR="004024BD" w:rsidRPr="00051102" w:rsidRDefault="004024BD" w:rsidP="006D50C7">
      <w:pPr>
        <w:pStyle w:val="NormalIndent"/>
        <w:keepNext/>
        <w:spacing w:line="276" w:lineRule="auto"/>
        <w:jc w:val="both"/>
        <w:rPr>
          <w:rFonts w:ascii="Calibri" w:hAnsi="Calibri"/>
        </w:rPr>
      </w:pPr>
    </w:p>
    <w:p w14:paraId="0B5926EF" w14:textId="77777777" w:rsidR="004024BD" w:rsidRDefault="004024BD" w:rsidP="00EB7F1E">
      <w:pPr>
        <w:pStyle w:val="ListParagraph"/>
        <w:numPr>
          <w:ilvl w:val="0"/>
          <w:numId w:val="7"/>
        </w:numPr>
        <w:spacing w:line="276" w:lineRule="auto"/>
        <w:ind w:left="425" w:hanging="425"/>
        <w:contextualSpacing w:val="0"/>
        <w:rPr>
          <w:rFonts w:asciiTheme="minorHAnsi" w:hAnsiTheme="minorHAnsi"/>
        </w:rPr>
      </w:pPr>
      <w:r w:rsidRPr="00B92F20">
        <w:rPr>
          <w:rFonts w:asciiTheme="minorHAnsi" w:hAnsiTheme="minorHAnsi"/>
        </w:rPr>
        <w:t xml:space="preserve">In sentencing an offender for both federal offences and </w:t>
      </w:r>
      <w:r>
        <w:rPr>
          <w:rFonts w:asciiTheme="minorHAnsi" w:hAnsiTheme="minorHAnsi"/>
        </w:rPr>
        <w:t xml:space="preserve">for </w:t>
      </w:r>
      <w:r w:rsidRPr="00B92F20">
        <w:rPr>
          <w:rFonts w:asciiTheme="minorHAnsi" w:hAnsiTheme="minorHAnsi"/>
        </w:rPr>
        <w:t xml:space="preserve">State/Territory offences, a court may not fix a single </w:t>
      </w:r>
      <w:r w:rsidR="00867A0E">
        <w:rPr>
          <w:rFonts w:asciiTheme="minorHAnsi" w:hAnsiTheme="minorHAnsi"/>
        </w:rPr>
        <w:t>NPP</w:t>
      </w:r>
      <w:r w:rsidRPr="00B92F20">
        <w:rPr>
          <w:rFonts w:asciiTheme="minorHAnsi" w:hAnsiTheme="minorHAnsi"/>
        </w:rPr>
        <w:t xml:space="preserve"> for both types of offences, even if under State/Territory law a single </w:t>
      </w:r>
      <w:r w:rsidR="00867A0E">
        <w:rPr>
          <w:rFonts w:asciiTheme="minorHAnsi" w:hAnsiTheme="minorHAnsi"/>
        </w:rPr>
        <w:t>NPP</w:t>
      </w:r>
      <w:r w:rsidRPr="00B92F20">
        <w:rPr>
          <w:rFonts w:asciiTheme="minorHAnsi" w:hAnsiTheme="minorHAnsi"/>
        </w:rPr>
        <w:t xml:space="preserve"> may be fixed for multiple offences.</w:t>
      </w:r>
      <w:r w:rsidRPr="00C00000">
        <w:rPr>
          <w:rStyle w:val="FootnoteReference"/>
          <w:rFonts w:asciiTheme="minorHAnsi" w:hAnsiTheme="minorHAnsi"/>
        </w:rPr>
        <w:footnoteReference w:id="842"/>
      </w:r>
      <w:r>
        <w:rPr>
          <w:rFonts w:asciiTheme="minorHAnsi" w:hAnsiTheme="minorHAnsi"/>
        </w:rPr>
        <w:t xml:space="preserve"> </w:t>
      </w:r>
      <w:r w:rsidRPr="00B92F20">
        <w:rPr>
          <w:rFonts w:asciiTheme="minorHAnsi" w:hAnsiTheme="minorHAnsi"/>
        </w:rPr>
        <w:t xml:space="preserve"> Separate non-parole orders must be made where a </w:t>
      </w:r>
      <w:r w:rsidR="00867A0E">
        <w:rPr>
          <w:rFonts w:asciiTheme="minorHAnsi" w:hAnsiTheme="minorHAnsi"/>
        </w:rPr>
        <w:t>NPP</w:t>
      </w:r>
      <w:r w:rsidRPr="00B92F20">
        <w:rPr>
          <w:rFonts w:asciiTheme="minorHAnsi" w:hAnsiTheme="minorHAnsi"/>
        </w:rPr>
        <w:t xml:space="preserve"> is to be imposed for bot</w:t>
      </w:r>
      <w:r w:rsidRPr="00E64A15">
        <w:rPr>
          <w:rFonts w:asciiTheme="minorHAnsi" w:hAnsiTheme="minorHAnsi"/>
        </w:rPr>
        <w:t xml:space="preserve">h federal and </w:t>
      </w:r>
      <w:r w:rsidR="00761518" w:rsidRPr="00E64A15">
        <w:rPr>
          <w:rFonts w:asciiTheme="minorHAnsi" w:hAnsiTheme="minorHAnsi"/>
        </w:rPr>
        <w:t>State</w:t>
      </w:r>
      <w:r w:rsidR="00761518">
        <w:rPr>
          <w:rFonts w:asciiTheme="minorHAnsi" w:hAnsiTheme="minorHAnsi"/>
        </w:rPr>
        <w:t>/Territory</w:t>
      </w:r>
      <w:r w:rsidR="00761518" w:rsidRPr="00E64A15">
        <w:rPr>
          <w:rFonts w:asciiTheme="minorHAnsi" w:hAnsiTheme="minorHAnsi"/>
        </w:rPr>
        <w:t xml:space="preserve"> </w:t>
      </w:r>
      <w:r w:rsidRPr="00E64A15">
        <w:rPr>
          <w:rFonts w:asciiTheme="minorHAnsi" w:hAnsiTheme="minorHAnsi"/>
        </w:rPr>
        <w:t>sentences.</w:t>
      </w:r>
      <w:r w:rsidRPr="00C00000">
        <w:rPr>
          <w:rStyle w:val="Style"/>
          <w:rFonts w:asciiTheme="minorHAnsi" w:hAnsiTheme="minorHAnsi"/>
        </w:rPr>
        <w:footnoteReference w:id="843"/>
      </w:r>
    </w:p>
    <w:p w14:paraId="7DCCAE73" w14:textId="37923F1C" w:rsidR="006414CA" w:rsidRDefault="006414CA" w:rsidP="006414CA">
      <w:pPr>
        <w:widowControl w:val="0"/>
        <w:tabs>
          <w:tab w:val="left" w:pos="567"/>
          <w:tab w:val="left" w:pos="1813"/>
          <w:tab w:val="left" w:pos="4762"/>
          <w:tab w:val="left" w:pos="7710"/>
        </w:tabs>
        <w:spacing w:line="276" w:lineRule="auto"/>
        <w:ind w:right="-1"/>
        <w:rPr>
          <w:rFonts w:asciiTheme="minorHAnsi" w:hAnsiTheme="minorHAnsi"/>
        </w:rPr>
      </w:pPr>
    </w:p>
    <w:p w14:paraId="33C40A31" w14:textId="3669FF08" w:rsidR="00206300" w:rsidRPr="009541AE" w:rsidRDefault="00206300" w:rsidP="00206300">
      <w:pPr>
        <w:pStyle w:val="Heading3"/>
      </w:pPr>
      <w:bookmarkStart w:id="1988" w:name="_Ref11071173"/>
      <w:bookmarkStart w:id="1989" w:name="_Ref11071176"/>
      <w:bookmarkStart w:id="1990" w:name="_Toc33602904"/>
      <w:r w:rsidRPr="009541AE">
        <w:t>Obligation on court to explain NPP</w:t>
      </w:r>
      <w:bookmarkEnd w:id="1988"/>
      <w:bookmarkEnd w:id="1989"/>
      <w:bookmarkEnd w:id="1990"/>
    </w:p>
    <w:p w14:paraId="02C7D6F1" w14:textId="77777777" w:rsidR="00206300" w:rsidRPr="009541AE" w:rsidRDefault="00206300" w:rsidP="00206300">
      <w:pPr>
        <w:pStyle w:val="NormalIndent"/>
        <w:keepNext/>
        <w:spacing w:line="276" w:lineRule="auto"/>
        <w:jc w:val="both"/>
        <w:rPr>
          <w:rFonts w:asciiTheme="minorHAnsi" w:hAnsiTheme="minorHAnsi"/>
        </w:rPr>
      </w:pPr>
    </w:p>
    <w:p w14:paraId="478D868F" w14:textId="77777777" w:rsidR="00206300" w:rsidRPr="009541AE" w:rsidRDefault="00206300" w:rsidP="00206300">
      <w:pPr>
        <w:pStyle w:val="ListParagraph"/>
        <w:numPr>
          <w:ilvl w:val="0"/>
          <w:numId w:val="7"/>
        </w:numPr>
        <w:spacing w:line="276" w:lineRule="auto"/>
        <w:ind w:left="425" w:hanging="425"/>
        <w:contextualSpacing w:val="0"/>
        <w:rPr>
          <w:rFonts w:asciiTheme="minorHAnsi" w:hAnsiTheme="minorHAnsi"/>
          <w:b/>
        </w:rPr>
      </w:pPr>
      <w:r w:rsidRPr="009541AE">
        <w:rPr>
          <w:rFonts w:asciiTheme="minorHAnsi" w:hAnsiTheme="minorHAnsi"/>
        </w:rPr>
        <w:t>A court which fixes a NPP must explain or cause to be explained to the offender</w:t>
      </w:r>
      <w:r w:rsidRPr="009541AE">
        <w:rPr>
          <w:rFonts w:ascii="Calibri" w:hAnsi="Calibri"/>
        </w:rPr>
        <w:t xml:space="preserve">, </w:t>
      </w:r>
      <w:r w:rsidRPr="009541AE">
        <w:rPr>
          <w:rFonts w:asciiTheme="minorHAnsi" w:hAnsiTheme="minorHAnsi"/>
        </w:rPr>
        <w:t>in language likely to be readily understood by them, the purpose and consequences of fixing that NPP (</w:t>
      </w:r>
      <w:r w:rsidRPr="009541AE">
        <w:rPr>
          <w:rFonts w:asciiTheme="minorHAnsi" w:hAnsiTheme="minorHAnsi"/>
          <w:i/>
          <w:iCs/>
        </w:rPr>
        <w:t>Crimes Act 1914</w:t>
      </w:r>
      <w:r w:rsidRPr="009541AE">
        <w:rPr>
          <w:rFonts w:asciiTheme="minorHAnsi" w:hAnsiTheme="minorHAnsi"/>
        </w:rPr>
        <w:t>, s 16F(1)), including an explanation:</w:t>
      </w:r>
    </w:p>
    <w:p w14:paraId="1B6FFFD5" w14:textId="77777777"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that service of the sentence will entail a period of imprisonment of not less than the non-parole period and, if a parole order is made, a period of service in the community, called the parole period, to complete service of the sentence; and</w:t>
      </w:r>
    </w:p>
    <w:p w14:paraId="32B65DBB" w14:textId="77777777"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that if a parole order is made, the order will be subject to conditions; and</w:t>
      </w:r>
    </w:p>
    <w:p w14:paraId="19369020" w14:textId="77777777"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that the parole order may be amended or revoked; and</w:t>
      </w:r>
    </w:p>
    <w:p w14:paraId="5D43D026" w14:textId="77777777"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of the consequences that may follow if the person fails, without reasonable excuse, to fulfil those conditions.</w:t>
      </w:r>
    </w:p>
    <w:p w14:paraId="0D95284F" w14:textId="073291A6" w:rsidR="00206300" w:rsidRPr="009541AE" w:rsidRDefault="00206300" w:rsidP="00206300">
      <w:pPr>
        <w:pStyle w:val="ListParagraph"/>
        <w:rPr>
          <w:rFonts w:asciiTheme="minorHAnsi" w:hAnsiTheme="minorHAnsi"/>
        </w:rPr>
      </w:pPr>
    </w:p>
    <w:p w14:paraId="2E3824C2" w14:textId="5F1C530A" w:rsidR="00206300" w:rsidRPr="009541AE" w:rsidRDefault="00206300" w:rsidP="00206300">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Failure of a court to comply with the requirements of s 16F does not invalidate a sentence</w:t>
      </w:r>
      <w:r w:rsidRPr="009541AE">
        <w:rPr>
          <w:rStyle w:val="Style"/>
          <w:rFonts w:asciiTheme="minorHAnsi" w:hAnsiTheme="minorHAnsi"/>
        </w:rPr>
        <w:footnoteReference w:id="844"/>
      </w:r>
      <w:r w:rsidRPr="009541AE">
        <w:rPr>
          <w:rFonts w:asciiTheme="minorHAnsi" w:hAnsiTheme="minorHAnsi"/>
        </w:rPr>
        <w:t xml:space="preserve"> and may be corrected by the court on an application under s 19AH of the </w:t>
      </w:r>
      <w:r w:rsidRPr="009541AE">
        <w:rPr>
          <w:rFonts w:asciiTheme="minorHAnsi" w:hAnsiTheme="minorHAnsi"/>
          <w:i/>
          <w:iCs/>
        </w:rPr>
        <w:t>Crimes Act 1914</w:t>
      </w:r>
      <w:r w:rsidRPr="009541AE">
        <w:rPr>
          <w:rFonts w:asciiTheme="minorHAnsi" w:hAnsiTheme="minorHAnsi"/>
        </w:rPr>
        <w:t>: see</w:t>
      </w:r>
      <w:r w:rsidR="00277E59" w:rsidRPr="009541AE">
        <w:rPr>
          <w:rFonts w:asciiTheme="minorHAnsi" w:hAnsiTheme="minorHAnsi"/>
        </w:rPr>
        <w:t xml:space="preserve"> “</w:t>
      </w:r>
      <w:r w:rsidR="00277E59" w:rsidRPr="009541AE">
        <w:rPr>
          <w:rFonts w:asciiTheme="minorHAnsi" w:hAnsiTheme="minorHAnsi"/>
        </w:rPr>
        <w:fldChar w:fldCharType="begin"/>
      </w:r>
      <w:r w:rsidR="00277E59" w:rsidRPr="009541AE">
        <w:rPr>
          <w:rFonts w:asciiTheme="minorHAnsi" w:hAnsiTheme="minorHAnsi"/>
        </w:rPr>
        <w:instrText xml:space="preserve"> REF _Ref10976865 \r \h  \* MERGEFORMAT </w:instrText>
      </w:r>
      <w:r w:rsidR="00277E59" w:rsidRPr="009541AE">
        <w:rPr>
          <w:rFonts w:asciiTheme="minorHAnsi" w:hAnsiTheme="minorHAnsi"/>
        </w:rPr>
      </w:r>
      <w:r w:rsidR="00277E59" w:rsidRPr="009541AE">
        <w:rPr>
          <w:rFonts w:asciiTheme="minorHAnsi" w:hAnsiTheme="minorHAnsi"/>
        </w:rPr>
        <w:fldChar w:fldCharType="separate"/>
      </w:r>
      <w:r w:rsidR="00D44BCF">
        <w:rPr>
          <w:rFonts w:asciiTheme="minorHAnsi" w:hAnsiTheme="minorHAnsi"/>
        </w:rPr>
        <w:t>7.12.3</w:t>
      </w:r>
      <w:r w:rsidR="00277E59" w:rsidRPr="009541AE">
        <w:rPr>
          <w:rFonts w:asciiTheme="minorHAnsi" w:hAnsiTheme="minorHAnsi"/>
        </w:rPr>
        <w:fldChar w:fldCharType="end"/>
      </w:r>
      <w:r w:rsidR="00277E59" w:rsidRPr="009541AE">
        <w:rPr>
          <w:rFonts w:asciiTheme="minorHAnsi" w:hAnsiTheme="minorHAnsi"/>
        </w:rPr>
        <w:t xml:space="preserve"> </w:t>
      </w:r>
      <w:r w:rsidR="00277E59" w:rsidRPr="009541AE">
        <w:rPr>
          <w:rFonts w:asciiTheme="minorHAnsi" w:hAnsiTheme="minorHAnsi"/>
        </w:rPr>
        <w:fldChar w:fldCharType="begin"/>
      </w:r>
      <w:r w:rsidR="00277E59" w:rsidRPr="009541AE">
        <w:rPr>
          <w:rFonts w:asciiTheme="minorHAnsi" w:hAnsiTheme="minorHAnsi"/>
        </w:rPr>
        <w:instrText xml:space="preserve"> REF _Ref10976865 \h  \* MERGEFORMAT </w:instrText>
      </w:r>
      <w:r w:rsidR="00277E59" w:rsidRPr="009541AE">
        <w:rPr>
          <w:rFonts w:asciiTheme="minorHAnsi" w:hAnsiTheme="minorHAnsi"/>
        </w:rPr>
      </w:r>
      <w:r w:rsidR="00277E59" w:rsidRPr="009541AE">
        <w:rPr>
          <w:rFonts w:asciiTheme="minorHAnsi" w:hAnsiTheme="minorHAnsi"/>
        </w:rPr>
        <w:fldChar w:fldCharType="separate"/>
      </w:r>
      <w:r w:rsidR="00D44BCF" w:rsidRPr="00D44BCF">
        <w:rPr>
          <w:rFonts w:asciiTheme="minorHAnsi" w:hAnsiTheme="minorHAnsi"/>
        </w:rPr>
        <w:t>Power to correct error in fixing NPP or making RRO: Crimes Act 1914, s 19AH</w:t>
      </w:r>
      <w:r w:rsidR="00277E59" w:rsidRPr="009541AE">
        <w:rPr>
          <w:rFonts w:asciiTheme="minorHAnsi" w:hAnsiTheme="minorHAnsi"/>
        </w:rPr>
        <w:fldChar w:fldCharType="end"/>
      </w:r>
      <w:r w:rsidR="00277E59" w:rsidRPr="009541AE">
        <w:rPr>
          <w:rFonts w:asciiTheme="minorHAnsi" w:hAnsiTheme="minorHAnsi"/>
        </w:rPr>
        <w:t>”.</w:t>
      </w:r>
    </w:p>
    <w:p w14:paraId="008BF5D5" w14:textId="77777777" w:rsidR="00206300" w:rsidRPr="006414CA" w:rsidRDefault="00206300" w:rsidP="006414CA">
      <w:pPr>
        <w:widowControl w:val="0"/>
        <w:tabs>
          <w:tab w:val="left" w:pos="567"/>
          <w:tab w:val="left" w:pos="1813"/>
          <w:tab w:val="left" w:pos="4762"/>
          <w:tab w:val="left" w:pos="7710"/>
        </w:tabs>
        <w:spacing w:line="276" w:lineRule="auto"/>
        <w:ind w:right="-1"/>
        <w:rPr>
          <w:rFonts w:asciiTheme="minorHAnsi" w:hAnsiTheme="minorHAnsi"/>
        </w:rPr>
      </w:pPr>
    </w:p>
    <w:p w14:paraId="23F0B426" w14:textId="387F1E2A" w:rsidR="00D230F7" w:rsidRPr="00364B92" w:rsidRDefault="00D230F7" w:rsidP="006D50C7">
      <w:pPr>
        <w:pStyle w:val="Heading3"/>
      </w:pPr>
      <w:bookmarkStart w:id="1991" w:name="_Toc33602905"/>
      <w:r>
        <w:t>Immediate release under RRO</w:t>
      </w:r>
      <w:r w:rsidRPr="00364B92">
        <w:t xml:space="preserve"> –</w:t>
      </w:r>
      <w:r w:rsidR="000969A5">
        <w:t xml:space="preserve"> </w:t>
      </w:r>
      <w:r w:rsidR="00885EFD" w:rsidRPr="00885EFD">
        <w:rPr>
          <w:i/>
        </w:rPr>
        <w:t>Crimes Act 1914</w:t>
      </w:r>
      <w:r w:rsidR="00DA5BD4">
        <w:t>,</w:t>
      </w:r>
      <w:r w:rsidR="00DA5BD4" w:rsidRPr="00DA5BD4">
        <w:t xml:space="preserve"> </w:t>
      </w:r>
      <w:r w:rsidR="00DA5BD4" w:rsidRPr="00364B92">
        <w:t>s 20(1)(b)</w:t>
      </w:r>
      <w:bookmarkEnd w:id="1991"/>
    </w:p>
    <w:p w14:paraId="643BD8B7" w14:textId="77777777" w:rsidR="00D230F7" w:rsidRPr="00C00000" w:rsidRDefault="00D230F7" w:rsidP="006D50C7">
      <w:pPr>
        <w:pStyle w:val="NormalIndent"/>
        <w:keepNext/>
        <w:spacing w:line="276" w:lineRule="auto"/>
        <w:jc w:val="both"/>
        <w:rPr>
          <w:rFonts w:asciiTheme="minorHAnsi" w:hAnsiTheme="minorHAnsi"/>
        </w:rPr>
      </w:pPr>
    </w:p>
    <w:p w14:paraId="66F5C62F" w14:textId="0C922764" w:rsidR="00D230F7" w:rsidRPr="00C00000" w:rsidRDefault="00DE1EE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Subject to any</w:t>
      </w:r>
      <w:r w:rsidR="002634DF">
        <w:rPr>
          <w:rFonts w:asciiTheme="minorHAnsi" w:hAnsiTheme="minorHAnsi"/>
        </w:rPr>
        <w:t xml:space="preserve"> statutory requirements to the contrary, w</w:t>
      </w:r>
      <w:r w:rsidR="009B0D0F">
        <w:rPr>
          <w:rFonts w:asciiTheme="minorHAnsi" w:hAnsiTheme="minorHAnsi"/>
        </w:rPr>
        <w:t xml:space="preserve">henever a sentencing court has power to make a RRO under s 20(1)(b) of the </w:t>
      </w:r>
      <w:r w:rsidR="00885EFD" w:rsidRPr="00885EFD">
        <w:rPr>
          <w:rFonts w:asciiTheme="minorHAnsi" w:hAnsiTheme="minorHAnsi"/>
          <w:i/>
        </w:rPr>
        <w:t>Crimes Act 1914</w:t>
      </w:r>
      <w:r w:rsidR="009B0D0F">
        <w:rPr>
          <w:rFonts w:asciiTheme="minorHAnsi" w:hAnsiTheme="minorHAnsi"/>
        </w:rPr>
        <w:t xml:space="preserve"> (Cth) in relation to a sentence of imprisonment</w:t>
      </w:r>
      <w:r w:rsidR="002711EF">
        <w:rPr>
          <w:rFonts w:asciiTheme="minorHAnsi" w:hAnsiTheme="minorHAnsi"/>
        </w:rPr>
        <w:t xml:space="preserve"> for a federal offence</w:t>
      </w:r>
      <w:r w:rsidR="009B0D0F">
        <w:rPr>
          <w:rFonts w:asciiTheme="minorHAnsi" w:hAnsiTheme="minorHAnsi"/>
        </w:rPr>
        <w:t xml:space="preserve">, the court may </w:t>
      </w:r>
      <w:r w:rsidR="002711EF">
        <w:rPr>
          <w:rFonts w:asciiTheme="minorHAnsi" w:hAnsiTheme="minorHAnsi"/>
        </w:rPr>
        <w:t xml:space="preserve">(in accordance with that paragraph) </w:t>
      </w:r>
      <w:r w:rsidR="0047104F">
        <w:rPr>
          <w:rFonts w:asciiTheme="minorHAnsi" w:hAnsiTheme="minorHAnsi"/>
        </w:rPr>
        <w:t xml:space="preserve">make a RRO which </w:t>
      </w:r>
      <w:r w:rsidR="009B0D0F">
        <w:rPr>
          <w:rFonts w:asciiTheme="minorHAnsi" w:hAnsiTheme="minorHAnsi"/>
        </w:rPr>
        <w:t>direct</w:t>
      </w:r>
      <w:r w:rsidR="0047104F">
        <w:rPr>
          <w:rFonts w:asciiTheme="minorHAnsi" w:hAnsiTheme="minorHAnsi"/>
        </w:rPr>
        <w:t>s</w:t>
      </w:r>
      <w:r w:rsidR="009B0D0F">
        <w:rPr>
          <w:rFonts w:asciiTheme="minorHAnsi" w:hAnsiTheme="minorHAnsi"/>
        </w:rPr>
        <w:t xml:space="preserve"> that the offender </w:t>
      </w:r>
      <w:r w:rsidR="002711EF">
        <w:rPr>
          <w:rFonts w:asciiTheme="minorHAnsi" w:hAnsiTheme="minorHAnsi"/>
        </w:rPr>
        <w:t xml:space="preserve">be released </w:t>
      </w:r>
      <w:r w:rsidR="0047104F">
        <w:rPr>
          <w:rFonts w:asciiTheme="minorHAnsi" w:hAnsiTheme="minorHAnsi"/>
        </w:rPr>
        <w:t xml:space="preserve">either </w:t>
      </w:r>
      <w:r w:rsidR="002711EF">
        <w:rPr>
          <w:rFonts w:asciiTheme="minorHAnsi" w:hAnsiTheme="minorHAnsi"/>
        </w:rPr>
        <w:t xml:space="preserve">“forthwith” or after a specified period.  The </w:t>
      </w:r>
      <w:r w:rsidR="00223441">
        <w:rPr>
          <w:rFonts w:asciiTheme="minorHAnsi" w:hAnsiTheme="minorHAnsi"/>
        </w:rPr>
        <w:t xml:space="preserve">effect of an </w:t>
      </w:r>
      <w:r w:rsidR="002711EF">
        <w:rPr>
          <w:rFonts w:asciiTheme="minorHAnsi" w:hAnsiTheme="minorHAnsi"/>
        </w:rPr>
        <w:t xml:space="preserve">order </w:t>
      </w:r>
      <w:r w:rsidR="0047104F">
        <w:rPr>
          <w:rFonts w:asciiTheme="minorHAnsi" w:hAnsiTheme="minorHAnsi"/>
        </w:rPr>
        <w:t xml:space="preserve">(by RRO) </w:t>
      </w:r>
      <w:r w:rsidR="002711EF">
        <w:rPr>
          <w:rFonts w:asciiTheme="minorHAnsi" w:hAnsiTheme="minorHAnsi"/>
        </w:rPr>
        <w:t xml:space="preserve">that an offender be released “forthwith” is </w:t>
      </w:r>
      <w:r w:rsidR="00223441">
        <w:rPr>
          <w:rFonts w:asciiTheme="minorHAnsi" w:hAnsiTheme="minorHAnsi"/>
        </w:rPr>
        <w:t xml:space="preserve">akin to that of </w:t>
      </w:r>
      <w:r w:rsidR="002711EF">
        <w:rPr>
          <w:rFonts w:asciiTheme="minorHAnsi" w:hAnsiTheme="minorHAnsi"/>
        </w:rPr>
        <w:t>a wholly suspended</w:t>
      </w:r>
      <w:r w:rsidR="00D230F7" w:rsidRPr="00C00000">
        <w:rPr>
          <w:rFonts w:asciiTheme="minorHAnsi" w:hAnsiTheme="minorHAnsi"/>
        </w:rPr>
        <w:t xml:space="preserve"> sentence of imprisonment.</w:t>
      </w:r>
    </w:p>
    <w:p w14:paraId="7DC0F3E1" w14:textId="77777777" w:rsidR="00D230F7" w:rsidRPr="00C00000" w:rsidRDefault="00D230F7" w:rsidP="001E70CD">
      <w:pPr>
        <w:pStyle w:val="ListParagraph"/>
        <w:rPr>
          <w:rFonts w:asciiTheme="minorHAnsi" w:hAnsiTheme="minorHAnsi"/>
        </w:rPr>
      </w:pPr>
    </w:p>
    <w:p w14:paraId="3A898E72" w14:textId="40F33D49" w:rsidR="00102A15" w:rsidRDefault="00102A15" w:rsidP="00EB7F1E">
      <w:pPr>
        <w:pStyle w:val="ListParagraph"/>
        <w:numPr>
          <w:ilvl w:val="0"/>
          <w:numId w:val="7"/>
        </w:numPr>
        <w:spacing w:line="276" w:lineRule="auto"/>
        <w:ind w:left="425" w:hanging="425"/>
        <w:contextualSpacing w:val="0"/>
        <w:rPr>
          <w:rFonts w:asciiTheme="minorHAnsi" w:hAnsiTheme="minorHAnsi"/>
        </w:rPr>
      </w:pPr>
      <w:r w:rsidRPr="00037A1E">
        <w:rPr>
          <w:rFonts w:asciiTheme="minorHAnsi" w:hAnsiTheme="minorHAnsi"/>
        </w:rPr>
        <w:t xml:space="preserve">Any such order must (like any other RRO) </w:t>
      </w:r>
      <w:r w:rsidR="002224C4">
        <w:rPr>
          <w:rFonts w:asciiTheme="minorHAnsi" w:hAnsiTheme="minorHAnsi"/>
        </w:rPr>
        <w:t xml:space="preserve">provide for the offender to </w:t>
      </w:r>
      <w:r w:rsidRPr="00037A1E">
        <w:rPr>
          <w:rFonts w:asciiTheme="minorHAnsi" w:hAnsiTheme="minorHAnsi"/>
        </w:rPr>
        <w:t xml:space="preserve">be </w:t>
      </w:r>
      <w:r>
        <w:rPr>
          <w:rFonts w:asciiTheme="minorHAnsi" w:hAnsiTheme="minorHAnsi"/>
        </w:rPr>
        <w:t>released</w:t>
      </w:r>
      <w:r w:rsidRPr="00037A1E">
        <w:rPr>
          <w:rFonts w:asciiTheme="minorHAnsi" w:hAnsiTheme="minorHAnsi"/>
        </w:rPr>
        <w:t xml:space="preserve"> on the offender </w:t>
      </w:r>
      <w:r>
        <w:rPr>
          <w:rFonts w:asciiTheme="minorHAnsi" w:hAnsiTheme="minorHAnsi"/>
        </w:rPr>
        <w:t>“</w:t>
      </w:r>
      <w:r w:rsidRPr="00037A1E">
        <w:rPr>
          <w:rFonts w:asciiTheme="minorHAnsi" w:hAnsiTheme="minorHAnsi"/>
          <w:i/>
        </w:rPr>
        <w:t>giving security, with or without sureties, by recognizance or otherwise, to the satisfaction of the court</w:t>
      </w:r>
      <w:r w:rsidRPr="00037A1E">
        <w:rPr>
          <w:rFonts w:asciiTheme="minorHAnsi" w:hAnsiTheme="minorHAnsi"/>
        </w:rPr>
        <w:t>” that the offender will comply with specified conditions</w:t>
      </w:r>
      <w:r>
        <w:rPr>
          <w:rFonts w:asciiTheme="minorHAnsi" w:hAnsiTheme="minorHAnsi"/>
        </w:rPr>
        <w:t xml:space="preserve"> (</w:t>
      </w:r>
      <w:r w:rsidR="00885EFD" w:rsidRPr="00885EFD">
        <w:rPr>
          <w:rFonts w:asciiTheme="minorHAnsi" w:hAnsiTheme="minorHAnsi"/>
          <w:i/>
        </w:rPr>
        <w:t>Crimes Act 1914</w:t>
      </w:r>
      <w:r w:rsidRPr="00037A1E">
        <w:rPr>
          <w:rFonts w:asciiTheme="minorHAnsi" w:hAnsiTheme="minorHAnsi"/>
          <w:i/>
        </w:rPr>
        <w:t xml:space="preserve"> (Cth)</w:t>
      </w:r>
      <w:r>
        <w:rPr>
          <w:rFonts w:asciiTheme="minorHAnsi" w:hAnsiTheme="minorHAnsi"/>
        </w:rPr>
        <w:t>, s 20(1)(a))</w:t>
      </w:r>
      <w:r w:rsidRPr="00037A1E">
        <w:rPr>
          <w:rFonts w:asciiTheme="minorHAnsi" w:hAnsiTheme="minorHAnsi"/>
        </w:rPr>
        <w:t>.  The core condition is that the offender “</w:t>
      </w:r>
      <w:r w:rsidRPr="00037A1E">
        <w:rPr>
          <w:rFonts w:asciiTheme="minorHAnsi" w:hAnsiTheme="minorHAnsi"/>
          <w:i/>
        </w:rPr>
        <w:t>will be of good behaviour for such period, not exceeding 5 years, as the court specifies in the order</w:t>
      </w:r>
      <w:r w:rsidRPr="00037A1E">
        <w:rPr>
          <w:rFonts w:asciiTheme="minorHAnsi" w:hAnsiTheme="minorHAnsi"/>
        </w:rPr>
        <w:t>”</w:t>
      </w:r>
      <w:r>
        <w:rPr>
          <w:rFonts w:asciiTheme="minorHAnsi" w:hAnsiTheme="minorHAnsi"/>
        </w:rPr>
        <w:t xml:space="preserve"> (</w:t>
      </w:r>
      <w:r w:rsidR="00885EFD" w:rsidRPr="00885EFD">
        <w:rPr>
          <w:rFonts w:asciiTheme="minorHAnsi" w:hAnsiTheme="minorHAnsi"/>
          <w:i/>
        </w:rPr>
        <w:t>Crimes Act 1914</w:t>
      </w:r>
      <w:r w:rsidRPr="00037A1E">
        <w:rPr>
          <w:rFonts w:asciiTheme="minorHAnsi" w:hAnsiTheme="minorHAnsi"/>
          <w:i/>
        </w:rPr>
        <w:t xml:space="preserve"> (Cth)</w:t>
      </w:r>
      <w:r>
        <w:rPr>
          <w:rFonts w:asciiTheme="minorHAnsi" w:hAnsiTheme="minorHAnsi"/>
        </w:rPr>
        <w:t>, s 20(1)(a)(i))</w:t>
      </w:r>
      <w:r w:rsidRPr="00037A1E">
        <w:rPr>
          <w:rFonts w:asciiTheme="minorHAnsi" w:hAnsiTheme="minorHAnsi"/>
        </w:rPr>
        <w:t>.</w:t>
      </w:r>
      <w:r>
        <w:rPr>
          <w:rFonts w:asciiTheme="minorHAnsi" w:hAnsiTheme="minorHAnsi"/>
        </w:rPr>
        <w:t xml:space="preserve">  Other conditions referred to in s 20(1)(a) may also be imposed.</w:t>
      </w:r>
      <w:r w:rsidRPr="00C00000">
        <w:rPr>
          <w:rStyle w:val="Style"/>
          <w:rFonts w:asciiTheme="minorHAnsi" w:hAnsiTheme="minorHAnsi"/>
        </w:rPr>
        <w:footnoteReference w:id="845"/>
      </w:r>
    </w:p>
    <w:p w14:paraId="15BD50AC" w14:textId="77777777" w:rsidR="00102A15" w:rsidRPr="00102A15" w:rsidRDefault="00102A15" w:rsidP="00102A15">
      <w:pPr>
        <w:pStyle w:val="ListParagraph"/>
        <w:rPr>
          <w:rFonts w:asciiTheme="minorHAnsi" w:hAnsiTheme="minorHAnsi"/>
        </w:rPr>
      </w:pPr>
    </w:p>
    <w:p w14:paraId="6E58F3C6" w14:textId="1A69EAC5" w:rsidR="00D230F7" w:rsidRPr="00C00000" w:rsidRDefault="00EA2C3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w:t>
      </w:r>
      <w:r w:rsidR="00D230F7" w:rsidRPr="00C00000">
        <w:rPr>
          <w:rFonts w:asciiTheme="minorHAnsi" w:hAnsiTheme="minorHAnsi"/>
        </w:rPr>
        <w:t xml:space="preserve"> </w:t>
      </w:r>
      <w:r w:rsidR="00223441">
        <w:rPr>
          <w:rFonts w:asciiTheme="minorHAnsi" w:hAnsiTheme="minorHAnsi"/>
        </w:rPr>
        <w:t xml:space="preserve">the offender is to be released </w:t>
      </w:r>
      <w:r w:rsidR="00223441" w:rsidRPr="00C00000">
        <w:rPr>
          <w:rFonts w:asciiTheme="minorHAnsi" w:hAnsiTheme="minorHAnsi"/>
        </w:rPr>
        <w:t xml:space="preserve">“forthwith” </w:t>
      </w:r>
      <w:r w:rsidR="00223441">
        <w:rPr>
          <w:rFonts w:asciiTheme="minorHAnsi" w:hAnsiTheme="minorHAnsi"/>
        </w:rPr>
        <w:t xml:space="preserve">in relation to </w:t>
      </w:r>
      <w:r w:rsidR="00D230F7" w:rsidRPr="00C00000">
        <w:rPr>
          <w:rFonts w:asciiTheme="minorHAnsi" w:hAnsiTheme="minorHAnsi"/>
        </w:rPr>
        <w:t>a number of federal sentences of imprisonment</w:t>
      </w:r>
      <w:r w:rsidR="00223441">
        <w:rPr>
          <w:rFonts w:asciiTheme="minorHAnsi" w:hAnsiTheme="minorHAnsi"/>
        </w:rPr>
        <w:t>,</w:t>
      </w:r>
      <w:r w:rsidR="00D230F7" w:rsidRPr="00C00000">
        <w:rPr>
          <w:rFonts w:asciiTheme="minorHAnsi" w:hAnsiTheme="minorHAnsi"/>
        </w:rPr>
        <w:t xml:space="preserve"> </w:t>
      </w:r>
      <w:r w:rsidR="00223441">
        <w:rPr>
          <w:rFonts w:asciiTheme="minorHAnsi" w:hAnsiTheme="minorHAnsi"/>
        </w:rPr>
        <w:t>a</w:t>
      </w:r>
      <w:r w:rsidR="00D230F7" w:rsidRPr="00C00000">
        <w:rPr>
          <w:rFonts w:asciiTheme="minorHAnsi" w:hAnsiTheme="minorHAnsi"/>
        </w:rPr>
        <w:t xml:space="preserve"> </w:t>
      </w:r>
      <w:r w:rsidR="00223441">
        <w:rPr>
          <w:rFonts w:asciiTheme="minorHAnsi" w:hAnsiTheme="minorHAnsi"/>
        </w:rPr>
        <w:t xml:space="preserve">single </w:t>
      </w:r>
      <w:r w:rsidR="00D230F7" w:rsidRPr="00C00000">
        <w:rPr>
          <w:rFonts w:asciiTheme="minorHAnsi" w:hAnsiTheme="minorHAnsi"/>
        </w:rPr>
        <w:t xml:space="preserve">order in the prescribed form releasing the offender </w:t>
      </w:r>
      <w:r>
        <w:rPr>
          <w:rFonts w:asciiTheme="minorHAnsi" w:hAnsiTheme="minorHAnsi"/>
        </w:rPr>
        <w:t>should be</w:t>
      </w:r>
      <w:r w:rsidR="00D230F7" w:rsidRPr="00C00000">
        <w:rPr>
          <w:rFonts w:asciiTheme="minorHAnsi" w:hAnsiTheme="minorHAnsi"/>
        </w:rPr>
        <w:t xml:space="preserve"> made. </w:t>
      </w:r>
    </w:p>
    <w:p w14:paraId="658CE8A4" w14:textId="77777777" w:rsidR="00D230F7" w:rsidRPr="00C00000" w:rsidRDefault="00D230F7" w:rsidP="00D230F7">
      <w:pPr>
        <w:pStyle w:val="ListParagraph"/>
        <w:tabs>
          <w:tab w:val="left" w:pos="567"/>
          <w:tab w:val="left" w:pos="709"/>
        </w:tabs>
        <w:spacing w:line="276" w:lineRule="auto"/>
        <w:ind w:left="567" w:right="-1" w:hanging="567"/>
        <w:rPr>
          <w:rFonts w:asciiTheme="minorHAnsi" w:hAnsiTheme="minorHAnsi"/>
        </w:rPr>
      </w:pPr>
    </w:p>
    <w:p w14:paraId="69C5C334" w14:textId="11099EBC" w:rsidR="00D230F7" w:rsidRPr="00C00000" w:rsidRDefault="00D230F7"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process of consideration as to whether to release a federal offender “forthwith” under s 20(1)(b) of the </w:t>
      </w:r>
      <w:r w:rsidR="00885EFD" w:rsidRPr="00885EFD">
        <w:rPr>
          <w:rFonts w:asciiTheme="minorHAnsi" w:hAnsiTheme="minorHAnsi"/>
          <w:i/>
        </w:rPr>
        <w:t>Crimes Act 1914</w:t>
      </w:r>
      <w:r w:rsidRPr="00C00000">
        <w:rPr>
          <w:rFonts w:asciiTheme="minorHAnsi" w:hAnsiTheme="minorHAnsi"/>
        </w:rPr>
        <w:t xml:space="preserve"> (Cth) has been described as involving three steps:</w:t>
      </w:r>
      <w:r w:rsidRPr="00C00000">
        <w:rPr>
          <w:rStyle w:val="Style"/>
          <w:rFonts w:asciiTheme="minorHAnsi" w:hAnsiTheme="minorHAnsi"/>
        </w:rPr>
        <w:footnoteReference w:id="846"/>
      </w:r>
    </w:p>
    <w:p w14:paraId="0D7118C5" w14:textId="38A99A26" w:rsidR="00D230F7" w:rsidRPr="00C00000" w:rsidRDefault="00D230F7"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All the relevant sentencing factors (notably those in s 16A) must be taken into account in deciding whether to </w:t>
      </w:r>
      <w:r w:rsidR="000969A5">
        <w:rPr>
          <w:rFonts w:asciiTheme="minorHAnsi" w:hAnsiTheme="minorHAnsi"/>
        </w:rPr>
        <w:t>impose a sentence of</w:t>
      </w:r>
      <w:r w:rsidRPr="00C00000">
        <w:rPr>
          <w:rFonts w:asciiTheme="minorHAnsi" w:hAnsiTheme="minorHAnsi"/>
        </w:rPr>
        <w:t xml:space="preserve"> imprisonment and, if so, the length;</w:t>
      </w:r>
    </w:p>
    <w:p w14:paraId="353643F3" w14:textId="77777777" w:rsidR="00D230F7" w:rsidRPr="00C00000" w:rsidRDefault="00D230F7"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It may be necessary for the court to consider whether, pursuant to s 19AC(4), the court should decline to make a </w:t>
      </w:r>
      <w:r>
        <w:rPr>
          <w:rFonts w:asciiTheme="minorHAnsi" w:hAnsiTheme="minorHAnsi"/>
        </w:rPr>
        <w:t>RRO</w:t>
      </w:r>
      <w:r w:rsidRPr="00C00000">
        <w:rPr>
          <w:rFonts w:asciiTheme="minorHAnsi" w:hAnsiTheme="minorHAnsi"/>
        </w:rPr>
        <w:t>; and</w:t>
      </w:r>
    </w:p>
    <w:p w14:paraId="1F09CC1E" w14:textId="77777777" w:rsidR="00D230F7" w:rsidRPr="00C00000" w:rsidRDefault="00D230F7"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In deciding whether to release the offender “forthwith” the court must consider the same factors applicable to the imposition and fixing of the term of imprisonment.  However, the weight to be accorded to these factors and the manner in which they are relevant will differ as a result of the different purpose underlying each function.</w:t>
      </w:r>
    </w:p>
    <w:p w14:paraId="55E85E1C" w14:textId="15EF6BC9" w:rsidR="00D230F7" w:rsidRDefault="00D230F7" w:rsidP="00D230F7">
      <w:pPr>
        <w:pStyle w:val="ListParagraph"/>
        <w:tabs>
          <w:tab w:val="left" w:pos="567"/>
          <w:tab w:val="left" w:pos="709"/>
        </w:tabs>
        <w:spacing w:line="276" w:lineRule="auto"/>
        <w:ind w:left="873" w:right="-1"/>
        <w:rPr>
          <w:rFonts w:asciiTheme="minorHAnsi" w:hAnsiTheme="minorHAnsi"/>
        </w:rPr>
      </w:pPr>
    </w:p>
    <w:p w14:paraId="1D06B984" w14:textId="7F669D43" w:rsidR="002224C4" w:rsidRDefault="002224C4" w:rsidP="006D50C7">
      <w:pPr>
        <w:pStyle w:val="Heading3"/>
      </w:pPr>
      <w:bookmarkStart w:id="1992" w:name="_Toc33602906"/>
      <w:r>
        <w:t>Form of RRO</w:t>
      </w:r>
      <w:bookmarkEnd w:id="1992"/>
    </w:p>
    <w:p w14:paraId="12D04897" w14:textId="38EA8AD9" w:rsidR="002224C4" w:rsidRPr="00051102" w:rsidRDefault="002224C4" w:rsidP="006D50C7">
      <w:pPr>
        <w:pStyle w:val="NormalIndent"/>
        <w:keepNext/>
        <w:spacing w:line="276" w:lineRule="auto"/>
        <w:jc w:val="both"/>
        <w:rPr>
          <w:rFonts w:ascii="Calibri" w:hAnsi="Calibri"/>
        </w:rPr>
      </w:pPr>
    </w:p>
    <w:p w14:paraId="392F58C5" w14:textId="03D8CAD2" w:rsidR="00D94384" w:rsidRDefault="001856CE"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There is a prescribed form </w:t>
      </w:r>
      <w:r>
        <w:rPr>
          <w:rFonts w:asciiTheme="minorHAnsi" w:hAnsiTheme="minorHAnsi"/>
        </w:rPr>
        <w:t xml:space="preserve">of RRO </w:t>
      </w:r>
      <w:r w:rsidR="00D94384">
        <w:rPr>
          <w:rFonts w:asciiTheme="minorHAnsi" w:hAnsiTheme="minorHAnsi"/>
        </w:rPr>
        <w:t>in</w:t>
      </w:r>
      <w:r w:rsidRPr="00C00000">
        <w:rPr>
          <w:rFonts w:asciiTheme="minorHAnsi" w:hAnsiTheme="minorHAnsi"/>
        </w:rPr>
        <w:t xml:space="preserve"> the </w:t>
      </w:r>
      <w:r w:rsidRPr="00C00000">
        <w:rPr>
          <w:rFonts w:asciiTheme="minorHAnsi" w:hAnsiTheme="minorHAnsi"/>
          <w:i/>
        </w:rPr>
        <w:t xml:space="preserve">Crimes Regulations </w:t>
      </w:r>
      <w:r w:rsidR="00E65734" w:rsidRPr="00EB7F1E">
        <w:rPr>
          <w:rFonts w:asciiTheme="minorHAnsi" w:hAnsiTheme="minorHAnsi"/>
          <w:i/>
          <w:color w:val="548DD4" w:themeColor="text2" w:themeTint="99"/>
        </w:rPr>
        <w:t>2019</w:t>
      </w:r>
      <w:r w:rsidR="00E65734">
        <w:rPr>
          <w:rFonts w:asciiTheme="minorHAnsi" w:hAnsiTheme="minorHAnsi"/>
          <w:i/>
        </w:rPr>
        <w:t xml:space="preserve"> </w:t>
      </w:r>
      <w:r w:rsidR="00D94384">
        <w:rPr>
          <w:rFonts w:asciiTheme="minorHAnsi" w:hAnsiTheme="minorHAnsi"/>
        </w:rPr>
        <w:t>(Cth)</w:t>
      </w:r>
      <w:r w:rsidRPr="00C00000">
        <w:rPr>
          <w:rFonts w:asciiTheme="minorHAnsi" w:hAnsiTheme="minorHAnsi"/>
        </w:rPr>
        <w:t>.</w:t>
      </w:r>
      <w:r w:rsidR="00D94384" w:rsidRPr="00C00000">
        <w:rPr>
          <w:rStyle w:val="Style"/>
          <w:rFonts w:asciiTheme="minorHAnsi" w:hAnsiTheme="minorHAnsi"/>
        </w:rPr>
        <w:footnoteReference w:id="847"/>
      </w:r>
      <w:r w:rsidRPr="00C00000">
        <w:rPr>
          <w:rFonts w:asciiTheme="minorHAnsi" w:hAnsiTheme="minorHAnsi"/>
        </w:rPr>
        <w:t xml:space="preserve">  </w:t>
      </w:r>
      <w:r w:rsidR="001C64C4">
        <w:rPr>
          <w:rFonts w:asciiTheme="minorHAnsi" w:hAnsiTheme="minorHAnsi"/>
        </w:rPr>
        <w:t>The prescribed form is applicable whether the offender is to be released forthwith or after serving a specified period of imprisonment.</w:t>
      </w:r>
      <w:r w:rsidR="008F2A58" w:rsidRPr="008F2A58">
        <w:rPr>
          <w:rFonts w:asciiTheme="minorHAnsi" w:hAnsiTheme="minorHAnsi"/>
        </w:rPr>
        <w:t xml:space="preserve"> </w:t>
      </w:r>
      <w:r w:rsidR="008F2A58">
        <w:rPr>
          <w:rFonts w:asciiTheme="minorHAnsi" w:hAnsiTheme="minorHAnsi"/>
        </w:rPr>
        <w:t xml:space="preserve"> </w:t>
      </w:r>
      <w:r w:rsidR="008F2A58" w:rsidRPr="00C00000">
        <w:rPr>
          <w:rFonts w:asciiTheme="minorHAnsi" w:hAnsiTheme="minorHAnsi"/>
        </w:rPr>
        <w:t xml:space="preserve">A </w:t>
      </w:r>
      <w:r w:rsidR="000969A5" w:rsidRPr="00C00000">
        <w:rPr>
          <w:rFonts w:asciiTheme="minorHAnsi" w:hAnsiTheme="minorHAnsi"/>
        </w:rPr>
        <w:t>State</w:t>
      </w:r>
      <w:r w:rsidR="000969A5">
        <w:rPr>
          <w:rFonts w:asciiTheme="minorHAnsi" w:hAnsiTheme="minorHAnsi"/>
        </w:rPr>
        <w:t>/Territory</w:t>
      </w:r>
      <w:r w:rsidR="000969A5" w:rsidRPr="00C00000">
        <w:rPr>
          <w:rFonts w:asciiTheme="minorHAnsi" w:hAnsiTheme="minorHAnsi"/>
        </w:rPr>
        <w:t xml:space="preserve"> </w:t>
      </w:r>
      <w:r w:rsidR="008F2A58" w:rsidRPr="00C00000">
        <w:rPr>
          <w:rFonts w:asciiTheme="minorHAnsi" w:hAnsiTheme="minorHAnsi"/>
        </w:rPr>
        <w:t xml:space="preserve">bond form </w:t>
      </w:r>
      <w:r w:rsidR="008F2A58">
        <w:rPr>
          <w:rFonts w:asciiTheme="minorHAnsi" w:hAnsiTheme="minorHAnsi"/>
        </w:rPr>
        <w:t xml:space="preserve">is ineffective and </w:t>
      </w:r>
      <w:r w:rsidR="008F2A58" w:rsidRPr="00C00000">
        <w:rPr>
          <w:rFonts w:asciiTheme="minorHAnsi" w:hAnsiTheme="minorHAnsi"/>
        </w:rPr>
        <w:t>should not be used.</w:t>
      </w:r>
      <w:r w:rsidR="008F2A58" w:rsidRPr="00C00000">
        <w:rPr>
          <w:rStyle w:val="Style"/>
          <w:rFonts w:asciiTheme="minorHAnsi" w:hAnsiTheme="minorHAnsi"/>
        </w:rPr>
        <w:footnoteReference w:id="848"/>
      </w:r>
      <w:r w:rsidR="008F2A58" w:rsidRPr="00C00000">
        <w:rPr>
          <w:rFonts w:asciiTheme="minorHAnsi" w:hAnsiTheme="minorHAnsi"/>
        </w:rPr>
        <w:t xml:space="preserve">  </w:t>
      </w:r>
    </w:p>
    <w:p w14:paraId="1B00E79B" w14:textId="77777777" w:rsidR="00D94384" w:rsidRPr="00D94384" w:rsidRDefault="00D94384" w:rsidP="001E70CD">
      <w:pPr>
        <w:pStyle w:val="ListParagraph"/>
        <w:rPr>
          <w:rFonts w:asciiTheme="minorHAnsi" w:hAnsiTheme="minorHAnsi"/>
        </w:rPr>
      </w:pPr>
    </w:p>
    <w:p w14:paraId="43CC632C" w14:textId="4E9A84C6" w:rsidR="001856CE" w:rsidRPr="00C00000" w:rsidRDefault="001856CE"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A </w:t>
      </w:r>
      <w:r w:rsidR="00D94384">
        <w:rPr>
          <w:rFonts w:asciiTheme="minorHAnsi" w:hAnsiTheme="minorHAnsi"/>
        </w:rPr>
        <w:t>RRO, like any other s</w:t>
      </w:r>
      <w:r w:rsidRPr="00C00000">
        <w:rPr>
          <w:rFonts w:asciiTheme="minorHAnsi" w:hAnsiTheme="minorHAnsi"/>
        </w:rPr>
        <w:t xml:space="preserve"> 20 </w:t>
      </w:r>
      <w:r w:rsidR="00D94384">
        <w:rPr>
          <w:rFonts w:asciiTheme="minorHAnsi" w:hAnsiTheme="minorHAnsi"/>
        </w:rPr>
        <w:t>order, must</w:t>
      </w:r>
      <w:r w:rsidRPr="00C00000">
        <w:rPr>
          <w:rFonts w:asciiTheme="minorHAnsi" w:hAnsiTheme="minorHAnsi"/>
        </w:rPr>
        <w:t xml:space="preserve"> specify the monetary amount of security to be given by the offender.</w:t>
      </w:r>
      <w:r w:rsidRPr="00C00000">
        <w:rPr>
          <w:rStyle w:val="Style"/>
          <w:rFonts w:asciiTheme="minorHAnsi" w:hAnsiTheme="minorHAnsi"/>
        </w:rPr>
        <w:footnoteReference w:id="849"/>
      </w:r>
      <w:r w:rsidRPr="00C00000">
        <w:rPr>
          <w:rFonts w:asciiTheme="minorHAnsi" w:hAnsiTheme="minorHAnsi"/>
        </w:rPr>
        <w:t xml:space="preserve">  The section does not limit the amount.  A bond can also involve a surety but this is </w:t>
      </w:r>
      <w:r w:rsidR="00A04626">
        <w:rPr>
          <w:rFonts w:asciiTheme="minorHAnsi" w:hAnsiTheme="minorHAnsi"/>
        </w:rPr>
        <w:t>rarely, if ever,</w:t>
      </w:r>
      <w:r w:rsidRPr="00C00000">
        <w:rPr>
          <w:rFonts w:asciiTheme="minorHAnsi" w:hAnsiTheme="minorHAnsi"/>
        </w:rPr>
        <w:t xml:space="preserve"> required.</w:t>
      </w:r>
    </w:p>
    <w:p w14:paraId="18DD83BF" w14:textId="77777777" w:rsidR="001856CE" w:rsidRPr="00051102" w:rsidRDefault="001856CE" w:rsidP="002224C4">
      <w:pPr>
        <w:pStyle w:val="NormalIndent"/>
        <w:rPr>
          <w:rFonts w:ascii="Calibri" w:hAnsi="Calibri"/>
        </w:rPr>
      </w:pPr>
    </w:p>
    <w:p w14:paraId="4E6F2F63" w14:textId="1BD1C6EC" w:rsidR="00D230F7" w:rsidRPr="00C00000" w:rsidRDefault="00380AD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the offender is to be released under a RRO after serving a period of imprisonment,</w:t>
      </w:r>
      <w:r w:rsidR="002224C4" w:rsidRPr="00C00000">
        <w:rPr>
          <w:rFonts w:asciiTheme="minorHAnsi" w:hAnsiTheme="minorHAnsi"/>
        </w:rPr>
        <w:t xml:space="preserve"> it seems clear from the</w:t>
      </w:r>
      <w:r>
        <w:rPr>
          <w:rFonts w:asciiTheme="minorHAnsi" w:hAnsiTheme="minorHAnsi"/>
        </w:rPr>
        <w:t xml:space="preserve"> terms</w:t>
      </w:r>
      <w:r w:rsidR="002224C4" w:rsidRPr="00C00000">
        <w:rPr>
          <w:rFonts w:asciiTheme="minorHAnsi" w:hAnsiTheme="minorHAnsi"/>
        </w:rPr>
        <w:t xml:space="preserve"> of s 20(1)(b) that the bond imposed as part of the </w:t>
      </w:r>
      <w:r w:rsidR="002224C4">
        <w:rPr>
          <w:rFonts w:asciiTheme="minorHAnsi" w:hAnsiTheme="minorHAnsi"/>
        </w:rPr>
        <w:t>RRO</w:t>
      </w:r>
      <w:r w:rsidR="002224C4" w:rsidRPr="00C00000">
        <w:rPr>
          <w:rFonts w:asciiTheme="minorHAnsi" w:hAnsiTheme="minorHAnsi"/>
        </w:rPr>
        <w:t xml:space="preserve"> commences on the release of the person and not </w:t>
      </w:r>
      <w:r w:rsidR="004D766E">
        <w:rPr>
          <w:rFonts w:asciiTheme="minorHAnsi" w:hAnsiTheme="minorHAnsi"/>
        </w:rPr>
        <w:t xml:space="preserve">on </w:t>
      </w:r>
      <w:r w:rsidR="002224C4" w:rsidRPr="00C00000">
        <w:rPr>
          <w:rFonts w:asciiTheme="minorHAnsi" w:hAnsiTheme="minorHAnsi"/>
        </w:rPr>
        <w:t xml:space="preserve">the </w:t>
      </w:r>
      <w:r w:rsidR="004D766E">
        <w:rPr>
          <w:rFonts w:asciiTheme="minorHAnsi" w:hAnsiTheme="minorHAnsi"/>
        </w:rPr>
        <w:t>making of the order</w:t>
      </w:r>
      <w:r w:rsidR="002224C4" w:rsidRPr="00C00000">
        <w:rPr>
          <w:rFonts w:asciiTheme="minorHAnsi" w:hAnsiTheme="minorHAnsi"/>
        </w:rPr>
        <w:t>.</w:t>
      </w:r>
      <w:r w:rsidR="00DB17DB">
        <w:rPr>
          <w:rFonts w:asciiTheme="minorHAnsi" w:hAnsiTheme="minorHAnsi"/>
        </w:rPr>
        <w:t xml:space="preserve">  On that construction, an offence committed before the offender is released would not be a breach of the condition to be of good behaviour.</w:t>
      </w:r>
    </w:p>
    <w:p w14:paraId="1A79D34A" w14:textId="77777777" w:rsidR="00D230F7" w:rsidRPr="00C00000" w:rsidRDefault="00D230F7" w:rsidP="001E70CD">
      <w:pPr>
        <w:pStyle w:val="ListParagraph"/>
        <w:rPr>
          <w:rFonts w:asciiTheme="minorHAnsi" w:hAnsiTheme="minorHAnsi"/>
        </w:rPr>
      </w:pPr>
    </w:p>
    <w:p w14:paraId="3221BB10" w14:textId="1713D3A7" w:rsidR="00071DEB" w:rsidRPr="00364B92" w:rsidRDefault="00071DEB" w:rsidP="006D50C7">
      <w:pPr>
        <w:pStyle w:val="Heading3"/>
      </w:pPr>
      <w:bookmarkStart w:id="1993" w:name="_Toc33602907"/>
      <w:r>
        <w:t xml:space="preserve">Single or multiple </w:t>
      </w:r>
      <w:r w:rsidR="00A53DA1">
        <w:t>RRO</w:t>
      </w:r>
      <w:r>
        <w:t>s for federal offences?</w:t>
      </w:r>
      <w:bookmarkEnd w:id="1993"/>
    </w:p>
    <w:p w14:paraId="5312249C" w14:textId="77777777" w:rsidR="00071DEB" w:rsidRPr="00051102" w:rsidRDefault="00071DEB" w:rsidP="006D50C7">
      <w:pPr>
        <w:pStyle w:val="NormalIndent"/>
        <w:keepNext/>
        <w:spacing w:line="276" w:lineRule="auto"/>
        <w:jc w:val="both"/>
        <w:rPr>
          <w:rFonts w:ascii="Calibri" w:hAnsi="Calibri"/>
        </w:rPr>
      </w:pPr>
    </w:p>
    <w:p w14:paraId="71B544A7" w14:textId="77777777" w:rsidR="00E074DE" w:rsidRDefault="00E074D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Each of the provisions relating to the making of a RRO contemplates the making of a single order in respect of multiple federal sentences of imprisonment.  For example:</w:t>
      </w:r>
    </w:p>
    <w:p w14:paraId="7D721F29" w14:textId="677001AB" w:rsidR="00874DF8" w:rsidRDefault="00874DF8"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Section 20(1)(b) of the </w:t>
      </w:r>
      <w:r w:rsidR="00885EFD" w:rsidRPr="00885EFD">
        <w:rPr>
          <w:rFonts w:asciiTheme="minorHAnsi" w:hAnsiTheme="minorHAnsi"/>
          <w:i/>
        </w:rPr>
        <w:t>Crimes Act 1914</w:t>
      </w:r>
      <w:r>
        <w:rPr>
          <w:rFonts w:asciiTheme="minorHAnsi" w:hAnsiTheme="minorHAnsi"/>
        </w:rPr>
        <w:t xml:space="preserve"> (Cth), which empowers a court to impose a RRO, applies </w:t>
      </w:r>
      <w:r w:rsidR="00B868C3">
        <w:rPr>
          <w:rFonts w:asciiTheme="minorHAnsi" w:hAnsiTheme="minorHAnsi"/>
        </w:rPr>
        <w:t>w</w:t>
      </w:r>
      <w:r>
        <w:rPr>
          <w:rFonts w:asciiTheme="minorHAnsi" w:hAnsiTheme="minorHAnsi"/>
        </w:rPr>
        <w:t xml:space="preserve">here a person is convicted </w:t>
      </w:r>
      <w:r w:rsidR="00B868C3">
        <w:rPr>
          <w:rFonts w:asciiTheme="minorHAnsi" w:hAnsiTheme="minorHAnsi"/>
        </w:rPr>
        <w:t xml:space="preserve">before a court </w:t>
      </w:r>
      <w:r>
        <w:rPr>
          <w:rFonts w:asciiTheme="minorHAnsi" w:hAnsiTheme="minorHAnsi"/>
        </w:rPr>
        <w:t>of a federal offence or federal offences</w:t>
      </w:r>
      <w:r w:rsidR="00B868C3">
        <w:rPr>
          <w:rFonts w:asciiTheme="minorHAnsi" w:hAnsiTheme="minorHAnsi"/>
        </w:rPr>
        <w:t>.  The court may “</w:t>
      </w:r>
      <w:r w:rsidR="00B868C3" w:rsidRPr="00B868C3">
        <w:rPr>
          <w:rFonts w:asciiTheme="minorHAnsi" w:hAnsiTheme="minorHAnsi"/>
          <w:i/>
        </w:rPr>
        <w:t xml:space="preserve">sentence the person to imprisonment </w:t>
      </w:r>
      <w:r w:rsidR="00B868C3" w:rsidRPr="00B868C3">
        <w:rPr>
          <w:rFonts w:asciiTheme="minorHAnsi" w:hAnsiTheme="minorHAnsi"/>
          <w:i/>
          <w:u w:val="single"/>
        </w:rPr>
        <w:t>in respect of the offence or each offence</w:t>
      </w:r>
      <w:r w:rsidR="00B868C3" w:rsidRPr="00B868C3">
        <w:rPr>
          <w:rFonts w:asciiTheme="minorHAnsi" w:hAnsiTheme="minorHAnsi"/>
          <w:i/>
        </w:rPr>
        <w:t xml:space="preserve"> but direct, by order, that the person be released, upon giving security of the kind referred to in paragraph (a) either forthwith or after he or she has served a specified period of imprisonment </w:t>
      </w:r>
      <w:r w:rsidR="00B868C3" w:rsidRPr="00B868C3">
        <w:rPr>
          <w:rFonts w:asciiTheme="minorHAnsi" w:hAnsiTheme="minorHAnsi"/>
          <w:i/>
          <w:u w:val="single"/>
        </w:rPr>
        <w:t>in respect of that offence or those offences</w:t>
      </w:r>
      <w:r w:rsidR="00B868C3" w:rsidRPr="00B868C3">
        <w:rPr>
          <w:rFonts w:asciiTheme="minorHAnsi" w:hAnsiTheme="minorHAnsi"/>
          <w:i/>
        </w:rPr>
        <w:t xml:space="preserve"> that is calculated in accordance with subsection 19AF(1)”</w:t>
      </w:r>
      <w:r w:rsidR="00B868C3">
        <w:rPr>
          <w:rFonts w:asciiTheme="minorHAnsi" w:hAnsiTheme="minorHAnsi"/>
          <w:i/>
        </w:rPr>
        <w:t xml:space="preserve"> </w:t>
      </w:r>
      <w:r w:rsidR="00B868C3">
        <w:rPr>
          <w:rFonts w:asciiTheme="minorHAnsi" w:hAnsiTheme="minorHAnsi"/>
        </w:rPr>
        <w:t>[emphasis added]</w:t>
      </w:r>
    </w:p>
    <w:p w14:paraId="64D85C5E" w14:textId="56399CBE" w:rsidR="00874DF8" w:rsidRDefault="00AD06C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If a court sentences an offender for two or more federal offences to imprisonment which in the aggregate is for </w:t>
      </w:r>
      <w:r w:rsidR="00874DF8">
        <w:rPr>
          <w:rFonts w:asciiTheme="minorHAnsi" w:hAnsiTheme="minorHAnsi"/>
        </w:rPr>
        <w:t xml:space="preserve">more than 6 months but not exceeding </w:t>
      </w:r>
      <w:r>
        <w:rPr>
          <w:rFonts w:asciiTheme="minorHAnsi" w:hAnsiTheme="minorHAnsi"/>
        </w:rPr>
        <w:t>3 years, and the offender is not already serving or subject to a federal sentence, s</w:t>
      </w:r>
      <w:r w:rsidR="00071DEB" w:rsidRPr="00071DEB">
        <w:rPr>
          <w:rFonts w:asciiTheme="minorHAnsi" w:hAnsiTheme="minorHAnsi"/>
        </w:rPr>
        <w:t xml:space="preserve"> 19AC </w:t>
      </w:r>
      <w:r>
        <w:rPr>
          <w:rFonts w:asciiTheme="minorHAnsi" w:hAnsiTheme="minorHAnsi"/>
        </w:rPr>
        <w:t xml:space="preserve">of the </w:t>
      </w:r>
      <w:r w:rsidR="00885EFD" w:rsidRPr="00885EFD">
        <w:rPr>
          <w:rFonts w:asciiTheme="minorHAnsi" w:hAnsiTheme="minorHAnsi"/>
          <w:i/>
        </w:rPr>
        <w:t>Crimes Act 1914</w:t>
      </w:r>
      <w:r>
        <w:rPr>
          <w:rFonts w:asciiTheme="minorHAnsi" w:hAnsiTheme="minorHAnsi"/>
        </w:rPr>
        <w:t xml:space="preserve"> (Cth) requires </w:t>
      </w:r>
      <w:r w:rsidR="00071DEB" w:rsidRPr="00071DEB">
        <w:rPr>
          <w:rFonts w:asciiTheme="minorHAnsi" w:hAnsiTheme="minorHAnsi"/>
        </w:rPr>
        <w:t xml:space="preserve">that </w:t>
      </w:r>
      <w:r w:rsidR="00071DEB">
        <w:rPr>
          <w:rFonts w:asciiTheme="minorHAnsi" w:hAnsiTheme="minorHAnsi"/>
        </w:rPr>
        <w:t>“</w:t>
      </w:r>
      <w:r w:rsidR="00071DEB" w:rsidRPr="00AD06CF">
        <w:rPr>
          <w:rFonts w:asciiTheme="minorHAnsi" w:hAnsiTheme="minorHAnsi"/>
          <w:i/>
        </w:rPr>
        <w:t xml:space="preserve">the court must </w:t>
      </w:r>
      <w:r w:rsidR="00071DEB" w:rsidRPr="009F7F8A">
        <w:rPr>
          <w:rFonts w:asciiTheme="minorHAnsi" w:hAnsiTheme="minorHAnsi"/>
          <w:i/>
          <w:u w:val="single"/>
        </w:rPr>
        <w:t xml:space="preserve">make a </w:t>
      </w:r>
      <w:r w:rsidR="00A53DA1">
        <w:rPr>
          <w:rFonts w:asciiTheme="minorHAnsi" w:hAnsiTheme="minorHAnsi"/>
          <w:i/>
          <w:u w:val="single"/>
        </w:rPr>
        <w:t>recognizance</w:t>
      </w:r>
      <w:r w:rsidR="00071DEB" w:rsidRPr="009F7F8A">
        <w:rPr>
          <w:rFonts w:asciiTheme="minorHAnsi" w:hAnsiTheme="minorHAnsi"/>
          <w:i/>
          <w:u w:val="single"/>
        </w:rPr>
        <w:t xml:space="preserve"> release order</w:t>
      </w:r>
      <w:r w:rsidR="00071DEB" w:rsidRPr="00E074DE">
        <w:rPr>
          <w:rFonts w:asciiTheme="minorHAnsi" w:hAnsiTheme="minorHAnsi"/>
          <w:i/>
          <w:u w:val="single"/>
        </w:rPr>
        <w:t xml:space="preserve"> in respect of that sentence or sentences</w:t>
      </w:r>
      <w:r w:rsidR="00071DEB" w:rsidRPr="00AD06CF">
        <w:rPr>
          <w:rFonts w:asciiTheme="minorHAnsi" w:hAnsiTheme="minorHAnsi"/>
          <w:i/>
        </w:rPr>
        <w:t xml:space="preserve"> and must not fix a non parole period</w:t>
      </w:r>
      <w:r w:rsidR="00071DEB" w:rsidRPr="00AD06CF">
        <w:rPr>
          <w:rFonts w:asciiTheme="minorHAnsi" w:hAnsiTheme="minorHAnsi"/>
        </w:rPr>
        <w:t>”</w:t>
      </w:r>
      <w:r w:rsidR="009F7F8A">
        <w:rPr>
          <w:rFonts w:asciiTheme="minorHAnsi" w:hAnsiTheme="minorHAnsi"/>
        </w:rPr>
        <w:t xml:space="preserve"> [emphasis added]</w:t>
      </w:r>
      <w:r>
        <w:rPr>
          <w:rFonts w:asciiTheme="minorHAnsi" w:hAnsiTheme="minorHAnsi"/>
        </w:rPr>
        <w:t xml:space="preserve">.  </w:t>
      </w:r>
    </w:p>
    <w:p w14:paraId="45BF5A55" w14:textId="238160CD" w:rsidR="00874DF8" w:rsidRDefault="00874DF8"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If at the time of sentence for one or more federal offences, an offender is subject to an existing RRO, and the offender is sentenced to a term of imprisonment, one of four courses of action provided for by s 19AE(2) of the Act (depending on the circumstances) is for the court to “</w:t>
      </w:r>
      <w:r w:rsidRPr="00126B7D">
        <w:rPr>
          <w:rFonts w:asciiTheme="minorHAnsi" w:hAnsiTheme="minorHAnsi"/>
          <w:i/>
          <w:u w:val="single"/>
        </w:rPr>
        <w:t>make a new recognizance release order in respect of all federal sentences</w:t>
      </w:r>
      <w:r w:rsidRPr="00D4205B">
        <w:rPr>
          <w:rFonts w:asciiTheme="minorHAnsi" w:hAnsiTheme="minorHAnsi"/>
          <w:i/>
        </w:rPr>
        <w:t xml:space="preserve"> the person is to serve or complete</w:t>
      </w:r>
      <w:r>
        <w:rPr>
          <w:rFonts w:asciiTheme="minorHAnsi" w:hAnsiTheme="minorHAnsi"/>
        </w:rPr>
        <w:t>”</w:t>
      </w:r>
      <w:r w:rsidR="00E756A2" w:rsidRPr="00E756A2">
        <w:rPr>
          <w:rFonts w:asciiTheme="minorHAnsi" w:hAnsiTheme="minorHAnsi"/>
        </w:rPr>
        <w:t xml:space="preserve"> </w:t>
      </w:r>
      <w:r w:rsidR="00E756A2">
        <w:rPr>
          <w:rFonts w:asciiTheme="minorHAnsi" w:hAnsiTheme="minorHAnsi"/>
        </w:rPr>
        <w:t>[emphasis added]</w:t>
      </w:r>
      <w:r>
        <w:rPr>
          <w:rFonts w:asciiTheme="minorHAnsi" w:hAnsiTheme="minorHAnsi"/>
        </w:rPr>
        <w:t>.</w:t>
      </w:r>
    </w:p>
    <w:p w14:paraId="4F6AFE77" w14:textId="77777777" w:rsidR="009F7F8A" w:rsidRPr="009F7F8A" w:rsidRDefault="009F7F8A" w:rsidP="001E70CD">
      <w:pPr>
        <w:pStyle w:val="ListParagraph"/>
        <w:rPr>
          <w:rFonts w:asciiTheme="minorHAnsi" w:hAnsiTheme="minorHAnsi"/>
        </w:rPr>
      </w:pPr>
    </w:p>
    <w:p w14:paraId="2DC3B63A" w14:textId="23CDB849" w:rsidR="00071DEB" w:rsidRPr="00071DEB" w:rsidRDefault="00874DF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That is, whenever a RRO </w:t>
      </w:r>
      <w:r w:rsidR="0047104F">
        <w:rPr>
          <w:rFonts w:asciiTheme="minorHAnsi" w:hAnsiTheme="minorHAnsi"/>
        </w:rPr>
        <w:t>is</w:t>
      </w:r>
      <w:r>
        <w:rPr>
          <w:rFonts w:asciiTheme="minorHAnsi" w:hAnsiTheme="minorHAnsi"/>
        </w:rPr>
        <w:t xml:space="preserve"> made in respect of more than one federal sentence of imprisonment, a single RRO must be made in respect of all of those sentences.  It is an error to make separate RROs in respect of each sentence of imprisonment.</w:t>
      </w:r>
      <w:r w:rsidRPr="00C00000">
        <w:rPr>
          <w:rStyle w:val="FootnoteReference"/>
          <w:rFonts w:asciiTheme="minorHAnsi" w:hAnsiTheme="minorHAnsi"/>
        </w:rPr>
        <w:footnoteReference w:id="850"/>
      </w:r>
    </w:p>
    <w:p w14:paraId="544A0BA5" w14:textId="77777777" w:rsidR="00071DEB" w:rsidRPr="00C00000" w:rsidRDefault="00071DEB" w:rsidP="001E70CD">
      <w:pPr>
        <w:pStyle w:val="ListParagraph"/>
        <w:rPr>
          <w:rFonts w:asciiTheme="minorHAnsi" w:hAnsiTheme="minorHAnsi"/>
        </w:rPr>
      </w:pPr>
    </w:p>
    <w:p w14:paraId="58FA3EB8" w14:textId="41EDD1B1" w:rsidR="00A80BD3" w:rsidRPr="00EA2C3F" w:rsidRDefault="00A80BD3" w:rsidP="006D50C7">
      <w:pPr>
        <w:pStyle w:val="Heading3"/>
      </w:pPr>
      <w:bookmarkStart w:id="1994" w:name="_Toc33602908"/>
      <w:r w:rsidRPr="00EA2C3F">
        <w:t xml:space="preserve">Duration of </w:t>
      </w:r>
      <w:r w:rsidR="004F14AE" w:rsidRPr="00EA2C3F">
        <w:t xml:space="preserve">pre-release period of </w:t>
      </w:r>
      <w:r w:rsidRPr="00EA2C3F">
        <w:t>a RRO</w:t>
      </w:r>
      <w:bookmarkEnd w:id="1994"/>
    </w:p>
    <w:p w14:paraId="13450C76" w14:textId="77777777" w:rsidR="00A80BD3" w:rsidRDefault="00A80BD3" w:rsidP="006D50C7">
      <w:pPr>
        <w:pStyle w:val="ListParagraph"/>
        <w:keepNext/>
        <w:tabs>
          <w:tab w:val="left" w:pos="567"/>
          <w:tab w:val="left" w:pos="1813"/>
          <w:tab w:val="left" w:pos="4762"/>
          <w:tab w:val="left" w:pos="7710"/>
        </w:tabs>
        <w:spacing w:line="276" w:lineRule="auto"/>
        <w:ind w:left="567" w:hanging="567"/>
        <w:contextualSpacing w:val="0"/>
        <w:rPr>
          <w:rFonts w:asciiTheme="minorHAnsi" w:hAnsiTheme="minorHAnsi"/>
        </w:rPr>
      </w:pPr>
    </w:p>
    <w:p w14:paraId="5AFBC8C2" w14:textId="3D5F17F4" w:rsidR="00A80BD3" w:rsidRDefault="004F14A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making a RRO, the court must direct, by order, that the person be released, upon giving security by recognizance or otherwise, either </w:t>
      </w:r>
      <w:r w:rsidRPr="00DC5755">
        <w:rPr>
          <w:rFonts w:asciiTheme="minorHAnsi" w:hAnsiTheme="minorHAnsi"/>
        </w:rPr>
        <w:t>forthwith or after he or she has served a specified period of imprisonment for the offence(s)</w:t>
      </w:r>
      <w:r w:rsidR="00DC5755">
        <w:rPr>
          <w:rFonts w:asciiTheme="minorHAnsi" w:hAnsiTheme="minorHAnsi"/>
        </w:rPr>
        <w:t xml:space="preserve">: </w:t>
      </w:r>
      <w:r w:rsidR="00885EFD" w:rsidRPr="00885EFD">
        <w:rPr>
          <w:rFonts w:asciiTheme="minorHAnsi" w:hAnsiTheme="minorHAnsi"/>
          <w:i/>
        </w:rPr>
        <w:t>Crimes Act 1914</w:t>
      </w:r>
      <w:r w:rsidR="00DC5755">
        <w:rPr>
          <w:rFonts w:asciiTheme="minorHAnsi" w:hAnsiTheme="minorHAnsi"/>
        </w:rPr>
        <w:t xml:space="preserve"> (Cth), s 20(1)(b)</w:t>
      </w:r>
      <w:r w:rsidRPr="00DC5755">
        <w:rPr>
          <w:rFonts w:asciiTheme="minorHAnsi" w:hAnsiTheme="minorHAnsi"/>
        </w:rPr>
        <w:t>.</w:t>
      </w:r>
      <w:r>
        <w:rPr>
          <w:rFonts w:asciiTheme="minorHAnsi" w:hAnsiTheme="minorHAnsi"/>
        </w:rPr>
        <w:t xml:space="preserve">  </w:t>
      </w:r>
      <w:r w:rsidR="00DC5755">
        <w:rPr>
          <w:rFonts w:asciiTheme="minorHAnsi" w:hAnsiTheme="minorHAnsi"/>
        </w:rPr>
        <w:t>The period of imprisonment to be served is referred to in the Act as the pre-release period (see the definition of “</w:t>
      </w:r>
      <w:r w:rsidR="00DC5755" w:rsidRPr="00DC5755">
        <w:rPr>
          <w:rFonts w:asciiTheme="minorHAnsi" w:hAnsiTheme="minorHAnsi"/>
          <w:i/>
        </w:rPr>
        <w:t>pre-release period</w:t>
      </w:r>
      <w:r w:rsidR="00DC5755">
        <w:rPr>
          <w:rFonts w:asciiTheme="minorHAnsi" w:hAnsiTheme="minorHAnsi"/>
        </w:rPr>
        <w:t xml:space="preserve">” in s 16(1)).  The </w:t>
      </w:r>
      <w:r w:rsidR="00966D10">
        <w:rPr>
          <w:rFonts w:asciiTheme="minorHAnsi" w:hAnsiTheme="minorHAnsi"/>
        </w:rPr>
        <w:t xml:space="preserve">maximum </w:t>
      </w:r>
      <w:r w:rsidR="00DC5755">
        <w:rPr>
          <w:rFonts w:asciiTheme="minorHAnsi" w:hAnsiTheme="minorHAnsi"/>
        </w:rPr>
        <w:t xml:space="preserve">duration </w:t>
      </w:r>
      <w:r w:rsidR="00966D10">
        <w:rPr>
          <w:rFonts w:asciiTheme="minorHAnsi" w:hAnsiTheme="minorHAnsi"/>
        </w:rPr>
        <w:t>of the pre-release period, whenever a court is required to make a RRO, is set by s 19AF(1).  That subsection requires that the pre-release period must end not later than the end of the sentence, or the last to be served of the sentences, as re</w:t>
      </w:r>
      <w:r w:rsidR="00761DDA">
        <w:rPr>
          <w:rFonts w:asciiTheme="minorHAnsi" w:hAnsiTheme="minorHAnsi"/>
        </w:rPr>
        <w:t>duced by any remissions or reductions under s 19AA.</w:t>
      </w:r>
    </w:p>
    <w:p w14:paraId="085195AB" w14:textId="77777777" w:rsidR="00A80BD3" w:rsidRPr="00C00000" w:rsidRDefault="00A80BD3" w:rsidP="00A80BD3">
      <w:pPr>
        <w:pStyle w:val="ListParagraph"/>
        <w:tabs>
          <w:tab w:val="left" w:pos="567"/>
          <w:tab w:val="left" w:pos="1813"/>
          <w:tab w:val="left" w:pos="4762"/>
          <w:tab w:val="left" w:pos="7710"/>
        </w:tabs>
        <w:spacing w:line="276" w:lineRule="auto"/>
        <w:ind w:left="567" w:right="-1" w:hanging="567"/>
        <w:rPr>
          <w:rFonts w:asciiTheme="minorHAnsi" w:hAnsiTheme="minorHAnsi"/>
        </w:rPr>
      </w:pPr>
    </w:p>
    <w:p w14:paraId="1DAD8C13" w14:textId="17215C09" w:rsidR="00E4439D" w:rsidRPr="00F76B5E" w:rsidRDefault="00E4439D" w:rsidP="006D50C7">
      <w:pPr>
        <w:pStyle w:val="Heading3"/>
      </w:pPr>
      <w:bookmarkStart w:id="1995" w:name="_Ref507316386"/>
      <w:bookmarkStart w:id="1996" w:name="_Ref507316452"/>
      <w:bookmarkStart w:id="1997" w:name="_Toc33602909"/>
      <w:r w:rsidRPr="00F76B5E">
        <w:t xml:space="preserve">Maximum length of the </w:t>
      </w:r>
      <w:r w:rsidR="00A53DA1" w:rsidRPr="00F76B5E">
        <w:t>recognizance</w:t>
      </w:r>
      <w:r w:rsidRPr="00F76B5E">
        <w:t xml:space="preserve"> under a </w:t>
      </w:r>
      <w:r w:rsidR="00A53DA1" w:rsidRPr="00F76B5E">
        <w:t>RRO</w:t>
      </w:r>
      <w:bookmarkEnd w:id="1995"/>
      <w:bookmarkEnd w:id="1996"/>
      <w:bookmarkEnd w:id="1997"/>
    </w:p>
    <w:p w14:paraId="25E3660F" w14:textId="77777777" w:rsidR="00E4439D" w:rsidRPr="00051102" w:rsidRDefault="00E4439D" w:rsidP="006D50C7">
      <w:pPr>
        <w:pStyle w:val="NormalIndent"/>
        <w:keepNext/>
        <w:spacing w:line="276" w:lineRule="auto"/>
        <w:jc w:val="both"/>
        <w:rPr>
          <w:rFonts w:ascii="Calibri" w:hAnsi="Calibri"/>
        </w:rPr>
      </w:pPr>
    </w:p>
    <w:p w14:paraId="34555DC0" w14:textId="5EDA4CB3" w:rsidR="00C437D8" w:rsidRDefault="0096709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Although </w:t>
      </w:r>
      <w:r w:rsidR="00761DDA">
        <w:rPr>
          <w:rFonts w:asciiTheme="minorHAnsi" w:hAnsiTheme="minorHAnsi"/>
        </w:rPr>
        <w:t xml:space="preserve">s 19AF of the </w:t>
      </w:r>
      <w:r w:rsidR="00885EFD" w:rsidRPr="00885EFD">
        <w:rPr>
          <w:rFonts w:asciiTheme="minorHAnsi" w:hAnsiTheme="minorHAnsi"/>
          <w:i/>
        </w:rPr>
        <w:t>Crimes Act 1914</w:t>
      </w:r>
      <w:r w:rsidR="00761DDA">
        <w:rPr>
          <w:rFonts w:asciiTheme="minorHAnsi" w:hAnsiTheme="minorHAnsi"/>
        </w:rPr>
        <w:t xml:space="preserve"> (Cth)</w:t>
      </w:r>
      <w:r>
        <w:rPr>
          <w:rFonts w:asciiTheme="minorHAnsi" w:hAnsiTheme="minorHAnsi"/>
        </w:rPr>
        <w:t xml:space="preserve"> makes it clear that </w:t>
      </w:r>
      <w:r w:rsidRPr="00C437D8">
        <w:rPr>
          <w:rFonts w:asciiTheme="minorHAnsi" w:hAnsiTheme="minorHAnsi"/>
          <w:i/>
        </w:rPr>
        <w:t>the pre-release period</w:t>
      </w:r>
      <w:r>
        <w:rPr>
          <w:rFonts w:asciiTheme="minorHAnsi" w:hAnsiTheme="minorHAnsi"/>
        </w:rPr>
        <w:t xml:space="preserve"> under a RRO must end not later than the end of the head sentence, or the last of the head sentences, to which it relates (less any remissions)</w:t>
      </w:r>
      <w:r w:rsidR="00761DDA">
        <w:rPr>
          <w:rFonts w:asciiTheme="minorHAnsi" w:hAnsiTheme="minorHAnsi"/>
        </w:rPr>
        <w:t xml:space="preserve">, </w:t>
      </w:r>
      <w:r w:rsidR="00C437D8">
        <w:rPr>
          <w:rFonts w:asciiTheme="minorHAnsi" w:hAnsiTheme="minorHAnsi"/>
        </w:rPr>
        <w:t xml:space="preserve">the legislation does not specify the maximum </w:t>
      </w:r>
      <w:r w:rsidR="001E70CD">
        <w:rPr>
          <w:rFonts w:asciiTheme="minorHAnsi" w:hAnsiTheme="minorHAnsi"/>
        </w:rPr>
        <w:t xml:space="preserve">period which a recognizance (or other security) under a </w:t>
      </w:r>
      <w:r w:rsidR="00C437D8">
        <w:rPr>
          <w:rFonts w:asciiTheme="minorHAnsi" w:hAnsiTheme="minorHAnsi"/>
        </w:rPr>
        <w:t>RRO</w:t>
      </w:r>
      <w:r w:rsidR="001E70CD">
        <w:rPr>
          <w:rFonts w:asciiTheme="minorHAnsi" w:hAnsiTheme="minorHAnsi"/>
        </w:rPr>
        <w:t xml:space="preserve"> may remain in force following the release of the offender.</w:t>
      </w:r>
    </w:p>
    <w:p w14:paraId="138C1810" w14:textId="77777777" w:rsidR="00C437D8" w:rsidRPr="00C437D8" w:rsidRDefault="00C437D8" w:rsidP="001E70CD">
      <w:pPr>
        <w:pStyle w:val="ListParagraph"/>
        <w:rPr>
          <w:rFonts w:asciiTheme="minorHAnsi" w:hAnsiTheme="minorHAnsi"/>
        </w:rPr>
      </w:pPr>
    </w:p>
    <w:p w14:paraId="1FCF06EC" w14:textId="59C90068" w:rsidR="00E4439D" w:rsidRPr="00C00000" w:rsidRDefault="00DE641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00D64AF1" w:rsidRPr="00C00000">
        <w:rPr>
          <w:rFonts w:asciiTheme="minorHAnsi" w:hAnsiTheme="minorHAnsi"/>
          <w:i/>
        </w:rPr>
        <w:t>O</w:t>
      </w:r>
      <w:r w:rsidR="00AA693C">
        <w:rPr>
          <w:rFonts w:asciiTheme="minorHAnsi" w:hAnsiTheme="minorHAnsi"/>
          <w:i/>
        </w:rPr>
        <w:t>’</w:t>
      </w:r>
      <w:r w:rsidR="00D64AF1" w:rsidRPr="00C00000">
        <w:rPr>
          <w:rFonts w:asciiTheme="minorHAnsi" w:hAnsiTheme="minorHAnsi"/>
          <w:i/>
        </w:rPr>
        <w:t>Brien</w:t>
      </w:r>
      <w:r w:rsidR="00D64AF1" w:rsidRPr="00C00000">
        <w:rPr>
          <w:rStyle w:val="Style"/>
          <w:rFonts w:asciiTheme="minorHAnsi" w:hAnsiTheme="minorHAnsi"/>
        </w:rPr>
        <w:footnoteReference w:id="851"/>
      </w:r>
      <w:r w:rsidR="00D64AF1" w:rsidRPr="00C00000">
        <w:rPr>
          <w:rFonts w:asciiTheme="minorHAnsi" w:hAnsiTheme="minorHAnsi"/>
        </w:rPr>
        <w:t xml:space="preserve"> </w:t>
      </w:r>
      <w:r w:rsidR="00956CB5">
        <w:rPr>
          <w:rFonts w:asciiTheme="minorHAnsi" w:hAnsiTheme="minorHAnsi"/>
        </w:rPr>
        <w:t xml:space="preserve">(which was followed in </w:t>
      </w:r>
      <w:r w:rsidR="00956CB5" w:rsidRPr="00C00000">
        <w:rPr>
          <w:rFonts w:asciiTheme="minorHAnsi" w:hAnsiTheme="minorHAnsi"/>
          <w:i/>
        </w:rPr>
        <w:t>Walsh</w:t>
      </w:r>
      <w:r w:rsidR="00956CB5" w:rsidRPr="00C00000">
        <w:rPr>
          <w:rStyle w:val="Style"/>
          <w:rFonts w:asciiTheme="minorHAnsi" w:hAnsiTheme="minorHAnsi"/>
        </w:rPr>
        <w:footnoteReference w:id="852"/>
      </w:r>
      <w:r w:rsidR="00956CB5" w:rsidRPr="00956CB5">
        <w:rPr>
          <w:rFonts w:asciiTheme="minorHAnsi" w:hAnsiTheme="minorHAnsi"/>
        </w:rPr>
        <w:t>)</w:t>
      </w:r>
      <w:r w:rsidR="00956CB5">
        <w:rPr>
          <w:rFonts w:asciiTheme="minorHAnsi" w:hAnsiTheme="minorHAnsi"/>
        </w:rPr>
        <w:t>,</w:t>
      </w:r>
      <w:r w:rsidR="00956CB5" w:rsidRPr="00C00000">
        <w:rPr>
          <w:rFonts w:asciiTheme="minorHAnsi" w:hAnsiTheme="minorHAnsi"/>
        </w:rPr>
        <w:t xml:space="preserve"> </w:t>
      </w:r>
      <w:r w:rsidR="00D64AF1">
        <w:rPr>
          <w:rFonts w:asciiTheme="minorHAnsi" w:hAnsiTheme="minorHAnsi"/>
        </w:rPr>
        <w:t xml:space="preserve">the </w:t>
      </w:r>
      <w:r w:rsidR="00D64AF1" w:rsidRPr="00C00000">
        <w:rPr>
          <w:rFonts w:asciiTheme="minorHAnsi" w:hAnsiTheme="minorHAnsi"/>
        </w:rPr>
        <w:t>Victorian Court of Criminal Appeal</w:t>
      </w:r>
      <w:r w:rsidR="00D64AF1">
        <w:rPr>
          <w:rFonts w:asciiTheme="minorHAnsi" w:hAnsiTheme="minorHAnsi"/>
        </w:rPr>
        <w:t xml:space="preserve"> </w:t>
      </w:r>
      <w:r w:rsidR="001E70CD">
        <w:rPr>
          <w:rFonts w:asciiTheme="minorHAnsi" w:hAnsiTheme="minorHAnsi"/>
        </w:rPr>
        <w:t>proceeded on the basis that a</w:t>
      </w:r>
      <w:r w:rsidR="00AA60C6">
        <w:rPr>
          <w:rFonts w:asciiTheme="minorHAnsi" w:hAnsiTheme="minorHAnsi"/>
        </w:rPr>
        <w:t xml:space="preserve"> recognizance under a</w:t>
      </w:r>
      <w:r w:rsidR="001E70CD">
        <w:rPr>
          <w:rFonts w:asciiTheme="minorHAnsi" w:hAnsiTheme="minorHAnsi"/>
        </w:rPr>
        <w:t xml:space="preserve"> RRO can </w:t>
      </w:r>
      <w:r w:rsidR="001E70CD" w:rsidRPr="00C00000">
        <w:rPr>
          <w:rFonts w:asciiTheme="minorHAnsi" w:hAnsiTheme="minorHAnsi"/>
        </w:rPr>
        <w:t>extend beyond the completion of the sentence</w:t>
      </w:r>
      <w:r w:rsidR="001E70CD">
        <w:rPr>
          <w:rFonts w:asciiTheme="minorHAnsi" w:hAnsiTheme="minorHAnsi"/>
        </w:rPr>
        <w:t xml:space="preserve"> (or, if more than one, the total effective sentence)</w:t>
      </w:r>
      <w:r w:rsidR="001E70CD" w:rsidRPr="00C00000">
        <w:rPr>
          <w:rFonts w:asciiTheme="minorHAnsi" w:hAnsiTheme="minorHAnsi"/>
        </w:rPr>
        <w:t xml:space="preserve">.  </w:t>
      </w:r>
      <w:r w:rsidR="001E70CD">
        <w:rPr>
          <w:rFonts w:asciiTheme="minorHAnsi" w:hAnsiTheme="minorHAnsi"/>
        </w:rPr>
        <w:t xml:space="preserve">However </w:t>
      </w:r>
      <w:r w:rsidR="00D64AF1">
        <w:rPr>
          <w:rFonts w:asciiTheme="minorHAnsi" w:hAnsiTheme="minorHAnsi"/>
        </w:rPr>
        <w:t>in</w:t>
      </w:r>
      <w:r w:rsidR="00D64AF1" w:rsidRPr="00C00000">
        <w:rPr>
          <w:rFonts w:asciiTheme="minorHAnsi" w:hAnsiTheme="minorHAnsi"/>
          <w:i/>
        </w:rPr>
        <w:t xml:space="preserve"> </w:t>
      </w:r>
      <w:r w:rsidRPr="00C00000">
        <w:rPr>
          <w:rFonts w:asciiTheme="minorHAnsi" w:hAnsiTheme="minorHAnsi"/>
          <w:i/>
        </w:rPr>
        <w:t>Selimoski v Picknoll</w:t>
      </w:r>
      <w:r>
        <w:rPr>
          <w:rFonts w:asciiTheme="minorHAnsi" w:hAnsiTheme="minorHAnsi"/>
        </w:rPr>
        <w:t>,</w:t>
      </w:r>
      <w:r w:rsidRPr="00C00000">
        <w:rPr>
          <w:rStyle w:val="Style"/>
          <w:rFonts w:asciiTheme="minorHAnsi" w:hAnsiTheme="minorHAnsi"/>
        </w:rPr>
        <w:footnoteReference w:id="853"/>
      </w:r>
      <w:r w:rsidRPr="00C00000">
        <w:rPr>
          <w:rFonts w:asciiTheme="minorHAnsi" w:hAnsiTheme="minorHAnsi"/>
          <w:bCs/>
          <w:iCs/>
        </w:rPr>
        <w:t xml:space="preserve"> </w:t>
      </w:r>
      <w:r>
        <w:rPr>
          <w:rFonts w:asciiTheme="minorHAnsi" w:hAnsiTheme="minorHAnsi"/>
        </w:rPr>
        <w:t>t</w:t>
      </w:r>
      <w:r w:rsidR="00E4439D" w:rsidRPr="00C00000">
        <w:rPr>
          <w:rFonts w:asciiTheme="minorHAnsi" w:hAnsiTheme="minorHAnsi"/>
        </w:rPr>
        <w:t xml:space="preserve">he Western Australian Court of Criminal Appeal </w:t>
      </w:r>
      <w:r>
        <w:rPr>
          <w:rFonts w:asciiTheme="minorHAnsi" w:hAnsiTheme="minorHAnsi"/>
        </w:rPr>
        <w:t>held that it</w:t>
      </w:r>
      <w:r w:rsidR="00E4439D" w:rsidRPr="00C00000">
        <w:rPr>
          <w:rFonts w:asciiTheme="minorHAnsi" w:hAnsiTheme="minorHAnsi"/>
        </w:rPr>
        <w:t xml:space="preserve"> could not</w:t>
      </w:r>
      <w:r w:rsidR="00120BAF" w:rsidRPr="00C00000">
        <w:rPr>
          <w:rFonts w:asciiTheme="minorHAnsi" w:hAnsiTheme="minorHAnsi"/>
        </w:rPr>
        <w:t>.</w:t>
      </w:r>
    </w:p>
    <w:p w14:paraId="64494B6C" w14:textId="77777777" w:rsidR="00E4439D" w:rsidRPr="001E70CD" w:rsidRDefault="00E4439D" w:rsidP="001E70CD">
      <w:pPr>
        <w:pStyle w:val="ListParagraph"/>
        <w:rPr>
          <w:rFonts w:asciiTheme="minorHAnsi" w:hAnsiTheme="minorHAnsi"/>
        </w:rPr>
      </w:pPr>
    </w:p>
    <w:p w14:paraId="4016B8B5" w14:textId="12D6E863" w:rsidR="00E4439D" w:rsidRDefault="0096709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Under s 20(1) of the Act, a </w:t>
      </w:r>
      <w:r w:rsidR="00AA60C6">
        <w:rPr>
          <w:rFonts w:asciiTheme="minorHAnsi" w:hAnsiTheme="minorHAnsi"/>
        </w:rPr>
        <w:t xml:space="preserve">recognizance (or other security) under a </w:t>
      </w:r>
      <w:r>
        <w:rPr>
          <w:rFonts w:asciiTheme="minorHAnsi" w:hAnsiTheme="minorHAnsi"/>
        </w:rPr>
        <w:t xml:space="preserve">RRO may be subject to a condition that the offender will be of good behaviour for such period, not exceeding 5 years, as the court specifies in the order.  </w:t>
      </w:r>
      <w:r w:rsidR="00B663D3">
        <w:rPr>
          <w:rFonts w:asciiTheme="minorHAnsi" w:hAnsiTheme="minorHAnsi"/>
        </w:rPr>
        <w:t xml:space="preserve">Given that the duration of the head sentence or total effective sentence in relation to which a RRO may be fixed </w:t>
      </w:r>
      <w:r w:rsidR="00EA2C3F">
        <w:rPr>
          <w:rFonts w:asciiTheme="minorHAnsi" w:hAnsiTheme="minorHAnsi"/>
        </w:rPr>
        <w:t>will usually be</w:t>
      </w:r>
      <w:r w:rsidR="00B663D3">
        <w:rPr>
          <w:rFonts w:asciiTheme="minorHAnsi" w:hAnsiTheme="minorHAnsi"/>
        </w:rPr>
        <w:t xml:space="preserve"> no more than 3 years, if that period limited not only the duration of the pre-release period but the duration of the entire RRO, a good be</w:t>
      </w:r>
      <w:r w:rsidR="00956CB5">
        <w:rPr>
          <w:rFonts w:asciiTheme="minorHAnsi" w:hAnsiTheme="minorHAnsi"/>
        </w:rPr>
        <w:t xml:space="preserve">haviour period would be so constrained as to be </w:t>
      </w:r>
      <w:r w:rsidR="00B663D3">
        <w:rPr>
          <w:rFonts w:asciiTheme="minorHAnsi" w:hAnsiTheme="minorHAnsi"/>
        </w:rPr>
        <w:t xml:space="preserve">of little value </w:t>
      </w:r>
      <w:r w:rsidR="00956CB5">
        <w:rPr>
          <w:rFonts w:asciiTheme="minorHAnsi" w:hAnsiTheme="minorHAnsi"/>
        </w:rPr>
        <w:t>in many cases.</w:t>
      </w:r>
    </w:p>
    <w:p w14:paraId="47A37883" w14:textId="77777777" w:rsidR="00EA2C3F" w:rsidRPr="00EA2C3F" w:rsidRDefault="00EA2C3F" w:rsidP="00EA2C3F">
      <w:pPr>
        <w:pStyle w:val="ListParagraph"/>
        <w:rPr>
          <w:rFonts w:asciiTheme="minorHAnsi" w:hAnsiTheme="minorHAnsi"/>
        </w:rPr>
      </w:pPr>
    </w:p>
    <w:p w14:paraId="6ACF8E93" w14:textId="34C36AE6" w:rsidR="00A62945" w:rsidRDefault="00AA60C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Nevertheless, t</w:t>
      </w:r>
      <w:r w:rsidR="00EA2C3F">
        <w:rPr>
          <w:rFonts w:asciiTheme="minorHAnsi" w:hAnsiTheme="minorHAnsi"/>
        </w:rPr>
        <w:t xml:space="preserve">he </w:t>
      </w:r>
      <w:r w:rsidR="000F2FAF">
        <w:rPr>
          <w:rFonts w:asciiTheme="minorHAnsi" w:hAnsiTheme="minorHAnsi"/>
        </w:rPr>
        <w:t xml:space="preserve">Court in </w:t>
      </w:r>
      <w:r w:rsidR="000F2FAF" w:rsidRPr="00C00000">
        <w:rPr>
          <w:rFonts w:asciiTheme="minorHAnsi" w:hAnsiTheme="minorHAnsi"/>
          <w:i/>
        </w:rPr>
        <w:t>Selimoski v Picknoll</w:t>
      </w:r>
      <w:r w:rsidR="000F2FAF">
        <w:rPr>
          <w:rFonts w:asciiTheme="minorHAnsi" w:hAnsiTheme="minorHAnsi"/>
        </w:rPr>
        <w:t xml:space="preserve"> conclude</w:t>
      </w:r>
      <w:r w:rsidR="00BE1ADD">
        <w:rPr>
          <w:rFonts w:asciiTheme="minorHAnsi" w:hAnsiTheme="minorHAnsi"/>
        </w:rPr>
        <w:t>d</w:t>
      </w:r>
      <w:r w:rsidR="000F2FAF">
        <w:rPr>
          <w:rFonts w:asciiTheme="minorHAnsi" w:hAnsiTheme="minorHAnsi"/>
        </w:rPr>
        <w:t xml:space="preserve"> that</w:t>
      </w:r>
      <w:r w:rsidR="000B1411">
        <w:rPr>
          <w:rFonts w:asciiTheme="minorHAnsi" w:hAnsiTheme="minorHAnsi"/>
        </w:rPr>
        <w:t xml:space="preserve">, despite the provision for </w:t>
      </w:r>
      <w:r w:rsidR="00BE1ADD">
        <w:rPr>
          <w:rFonts w:asciiTheme="minorHAnsi" w:hAnsiTheme="minorHAnsi"/>
        </w:rPr>
        <w:t>a good behaviour condition to extend for up to 5 years,</w:t>
      </w:r>
      <w:r w:rsidR="000F2FAF">
        <w:rPr>
          <w:rFonts w:asciiTheme="minorHAnsi" w:hAnsiTheme="minorHAnsi"/>
        </w:rPr>
        <w:t xml:space="preserve"> a recognizance under s 20(1)(b) could not extend beyond the sentence</w:t>
      </w:r>
      <w:r w:rsidR="00BE1ADD">
        <w:rPr>
          <w:rFonts w:asciiTheme="minorHAnsi" w:hAnsiTheme="minorHAnsi"/>
        </w:rPr>
        <w:t xml:space="preserve">.  It based that conclusion </w:t>
      </w:r>
      <w:r w:rsidR="003D2C74">
        <w:rPr>
          <w:rFonts w:asciiTheme="minorHAnsi" w:hAnsiTheme="minorHAnsi"/>
        </w:rPr>
        <w:t>on</w:t>
      </w:r>
      <w:r w:rsidR="00BE1ADD">
        <w:rPr>
          <w:rFonts w:asciiTheme="minorHAnsi" w:hAnsiTheme="minorHAnsi"/>
        </w:rPr>
        <w:t xml:space="preserve"> </w:t>
      </w:r>
      <w:r w:rsidR="000F2FAF">
        <w:rPr>
          <w:rFonts w:asciiTheme="minorHAnsi" w:hAnsiTheme="minorHAnsi"/>
        </w:rPr>
        <w:t>s 20A</w:t>
      </w:r>
      <w:r w:rsidR="003D2C74">
        <w:rPr>
          <w:rFonts w:asciiTheme="minorHAnsi" w:hAnsiTheme="minorHAnsi"/>
        </w:rPr>
        <w:t xml:space="preserve"> of the Act</w:t>
      </w:r>
      <w:r w:rsidR="008822DF">
        <w:rPr>
          <w:rFonts w:asciiTheme="minorHAnsi" w:hAnsiTheme="minorHAnsi"/>
        </w:rPr>
        <w:t>.</w:t>
      </w:r>
      <w:r w:rsidR="003D2C74">
        <w:rPr>
          <w:rFonts w:asciiTheme="minorHAnsi" w:hAnsiTheme="minorHAnsi"/>
        </w:rPr>
        <w:t xml:space="preserve"> </w:t>
      </w:r>
      <w:r w:rsidR="008822DF">
        <w:rPr>
          <w:rFonts w:asciiTheme="minorHAnsi" w:hAnsiTheme="minorHAnsi"/>
        </w:rPr>
        <w:t xml:space="preserve"> O</w:t>
      </w:r>
      <w:r w:rsidR="00BE1ADD">
        <w:rPr>
          <w:rFonts w:asciiTheme="minorHAnsi" w:hAnsiTheme="minorHAnsi"/>
        </w:rPr>
        <w:t>n the Court</w:t>
      </w:r>
      <w:r w:rsidR="00AA693C">
        <w:rPr>
          <w:rFonts w:asciiTheme="minorHAnsi" w:hAnsiTheme="minorHAnsi"/>
        </w:rPr>
        <w:t>’</w:t>
      </w:r>
      <w:r w:rsidR="00BE1ADD">
        <w:rPr>
          <w:rFonts w:asciiTheme="minorHAnsi" w:hAnsiTheme="minorHAnsi"/>
        </w:rPr>
        <w:t xml:space="preserve">s interpretation of that section, </w:t>
      </w:r>
      <w:r w:rsidR="003D2C74">
        <w:rPr>
          <w:rFonts w:asciiTheme="minorHAnsi" w:hAnsiTheme="minorHAnsi"/>
        </w:rPr>
        <w:t xml:space="preserve">proceedings for breach of a RRO could not be </w:t>
      </w:r>
      <w:r w:rsidR="00BE1ADD">
        <w:rPr>
          <w:rFonts w:asciiTheme="minorHAnsi" w:hAnsiTheme="minorHAnsi"/>
        </w:rPr>
        <w:t>commenced</w:t>
      </w:r>
      <w:r w:rsidR="002E364D">
        <w:rPr>
          <w:rFonts w:asciiTheme="minorHAnsi" w:hAnsiTheme="minorHAnsi"/>
        </w:rPr>
        <w:t xml:space="preserve"> after</w:t>
      </w:r>
      <w:r w:rsidR="003D2C74">
        <w:rPr>
          <w:rFonts w:asciiTheme="minorHAnsi" w:hAnsiTheme="minorHAnsi"/>
        </w:rPr>
        <w:t xml:space="preserve"> the completion of the sentence.  </w:t>
      </w:r>
      <w:r w:rsidR="00A62945">
        <w:rPr>
          <w:rFonts w:asciiTheme="minorHAnsi" w:hAnsiTheme="minorHAnsi"/>
        </w:rPr>
        <w:t xml:space="preserve">By contrast, the Court in </w:t>
      </w:r>
      <w:r w:rsidR="00A62945" w:rsidRPr="00A62945">
        <w:rPr>
          <w:rFonts w:asciiTheme="minorHAnsi" w:hAnsiTheme="minorHAnsi"/>
          <w:i/>
        </w:rPr>
        <w:t>O</w:t>
      </w:r>
      <w:r w:rsidR="00AA693C">
        <w:rPr>
          <w:rFonts w:asciiTheme="minorHAnsi" w:hAnsiTheme="minorHAnsi"/>
          <w:i/>
        </w:rPr>
        <w:t>’</w:t>
      </w:r>
      <w:r w:rsidR="00A62945" w:rsidRPr="00A62945">
        <w:rPr>
          <w:rFonts w:asciiTheme="minorHAnsi" w:hAnsiTheme="minorHAnsi"/>
          <w:i/>
        </w:rPr>
        <w:t>Brien</w:t>
      </w:r>
      <w:r w:rsidR="00A62945">
        <w:rPr>
          <w:rFonts w:asciiTheme="minorHAnsi" w:hAnsiTheme="minorHAnsi"/>
        </w:rPr>
        <w:t xml:space="preserve"> did not construe s 20A as imposing such a limitation.</w:t>
      </w:r>
    </w:p>
    <w:p w14:paraId="6F037ACC" w14:textId="77777777" w:rsidR="00A62945" w:rsidRPr="00A62945" w:rsidRDefault="00A62945" w:rsidP="00A62945">
      <w:pPr>
        <w:pStyle w:val="ListParagraph"/>
        <w:rPr>
          <w:rFonts w:asciiTheme="minorHAnsi" w:hAnsiTheme="minorHAnsi"/>
        </w:rPr>
      </w:pPr>
    </w:p>
    <w:p w14:paraId="250EA20D" w14:textId="1C5F3977" w:rsidR="00E225F3" w:rsidRDefault="00A6294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Whatever the correct </w:t>
      </w:r>
      <w:r w:rsidR="003D2C74">
        <w:rPr>
          <w:rFonts w:asciiTheme="minorHAnsi" w:hAnsiTheme="minorHAnsi"/>
        </w:rPr>
        <w:t xml:space="preserve">construction of s 20A </w:t>
      </w:r>
      <w:r>
        <w:rPr>
          <w:rFonts w:asciiTheme="minorHAnsi" w:hAnsiTheme="minorHAnsi"/>
        </w:rPr>
        <w:t xml:space="preserve">as then in force, </w:t>
      </w:r>
      <w:r w:rsidR="009A1376">
        <w:rPr>
          <w:rFonts w:asciiTheme="minorHAnsi" w:hAnsiTheme="minorHAnsi"/>
        </w:rPr>
        <w:t xml:space="preserve">following </w:t>
      </w:r>
      <w:r w:rsidR="00E21F38">
        <w:rPr>
          <w:rFonts w:asciiTheme="minorHAnsi" w:hAnsiTheme="minorHAnsi"/>
        </w:rPr>
        <w:t>later</w:t>
      </w:r>
      <w:r>
        <w:rPr>
          <w:rFonts w:asciiTheme="minorHAnsi" w:hAnsiTheme="minorHAnsi"/>
        </w:rPr>
        <w:t xml:space="preserve"> amend</w:t>
      </w:r>
      <w:r w:rsidR="009A1376">
        <w:rPr>
          <w:rFonts w:asciiTheme="minorHAnsi" w:hAnsiTheme="minorHAnsi"/>
        </w:rPr>
        <w:t>ments</w:t>
      </w:r>
      <w:r>
        <w:rPr>
          <w:rFonts w:asciiTheme="minorHAnsi" w:hAnsiTheme="minorHAnsi"/>
        </w:rPr>
        <w:t xml:space="preserve"> (with effect from 16 January 1995)</w:t>
      </w:r>
      <w:r w:rsidR="003D2C74">
        <w:rPr>
          <w:rFonts w:asciiTheme="minorHAnsi" w:hAnsiTheme="minorHAnsi"/>
        </w:rPr>
        <w:t xml:space="preserve"> </w:t>
      </w:r>
      <w:r w:rsidR="009A1376">
        <w:rPr>
          <w:rFonts w:asciiTheme="minorHAnsi" w:hAnsiTheme="minorHAnsi"/>
        </w:rPr>
        <w:t xml:space="preserve">it is now </w:t>
      </w:r>
      <w:r w:rsidR="003D2C74">
        <w:rPr>
          <w:rFonts w:asciiTheme="minorHAnsi" w:hAnsiTheme="minorHAnsi"/>
        </w:rPr>
        <w:t xml:space="preserve">clear that proceedings for breach of a RRO </w:t>
      </w:r>
      <w:r w:rsidR="009A1376">
        <w:rPr>
          <w:rFonts w:asciiTheme="minorHAnsi" w:hAnsiTheme="minorHAnsi"/>
        </w:rPr>
        <w:t>can</w:t>
      </w:r>
      <w:r w:rsidR="003D2C74">
        <w:rPr>
          <w:rFonts w:asciiTheme="minorHAnsi" w:hAnsiTheme="minorHAnsi"/>
        </w:rPr>
        <w:t xml:space="preserve"> be brought after the completion of the </w:t>
      </w:r>
      <w:r w:rsidR="00AA60C6">
        <w:rPr>
          <w:rFonts w:asciiTheme="minorHAnsi" w:hAnsiTheme="minorHAnsi"/>
        </w:rPr>
        <w:t xml:space="preserve">head </w:t>
      </w:r>
      <w:r w:rsidR="003D2C74">
        <w:rPr>
          <w:rFonts w:asciiTheme="minorHAnsi" w:hAnsiTheme="minorHAnsi"/>
        </w:rPr>
        <w:t>sentence</w:t>
      </w:r>
      <w:r w:rsidR="00AA60C6">
        <w:rPr>
          <w:rFonts w:asciiTheme="minorHAnsi" w:hAnsiTheme="minorHAnsi"/>
        </w:rPr>
        <w:t xml:space="preserve"> or total effective sentence</w:t>
      </w:r>
      <w:r w:rsidR="003D2C74">
        <w:rPr>
          <w:rFonts w:asciiTheme="minorHAnsi" w:hAnsiTheme="minorHAnsi"/>
        </w:rPr>
        <w:t>, and indeed in some cases after the good behaviour period under the RRO.</w:t>
      </w:r>
      <w:r w:rsidR="00914355" w:rsidRPr="00C00000">
        <w:rPr>
          <w:rStyle w:val="FootnoteReference"/>
          <w:rFonts w:asciiTheme="minorHAnsi" w:hAnsiTheme="minorHAnsi"/>
        </w:rPr>
        <w:footnoteReference w:id="854"/>
      </w:r>
      <w:r w:rsidR="00C437D8">
        <w:rPr>
          <w:rFonts w:asciiTheme="minorHAnsi" w:hAnsiTheme="minorHAnsi"/>
        </w:rPr>
        <w:t xml:space="preserve">  In light of those amendments, there is no reason to read the power to impose a RRO as subject to the implied limitation referred to in </w:t>
      </w:r>
      <w:r w:rsidR="00C437D8" w:rsidRPr="00C00000">
        <w:rPr>
          <w:rFonts w:asciiTheme="minorHAnsi" w:hAnsiTheme="minorHAnsi"/>
          <w:i/>
        </w:rPr>
        <w:t>Selimoski v Picknoll</w:t>
      </w:r>
      <w:r w:rsidR="00C437D8">
        <w:rPr>
          <w:rFonts w:asciiTheme="minorHAnsi" w:hAnsiTheme="minorHAnsi"/>
        </w:rPr>
        <w:t>.</w:t>
      </w:r>
    </w:p>
    <w:p w14:paraId="1C2D0425" w14:textId="77777777" w:rsidR="00E225F3" w:rsidRPr="00E225F3" w:rsidRDefault="00E225F3" w:rsidP="00E225F3">
      <w:pPr>
        <w:pStyle w:val="ListParagraph"/>
        <w:rPr>
          <w:rFonts w:asciiTheme="minorHAnsi" w:hAnsiTheme="minorHAnsi"/>
        </w:rPr>
      </w:pPr>
    </w:p>
    <w:p w14:paraId="438C9638" w14:textId="1029D6FE" w:rsidR="00EA2C3F" w:rsidRDefault="00C437D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00AD753D" w:rsidRPr="00AD753D">
        <w:rPr>
          <w:rFonts w:asciiTheme="minorHAnsi" w:hAnsiTheme="minorHAnsi"/>
          <w:i/>
        </w:rPr>
        <w:t>Smith</w:t>
      </w:r>
      <w:r w:rsidR="00AD753D">
        <w:rPr>
          <w:rFonts w:asciiTheme="minorHAnsi" w:hAnsiTheme="minorHAnsi"/>
        </w:rPr>
        <w:t>,</w:t>
      </w:r>
      <w:r w:rsidR="00AD753D" w:rsidRPr="00C00000">
        <w:rPr>
          <w:rStyle w:val="FootnoteReference"/>
          <w:rFonts w:asciiTheme="minorHAnsi" w:hAnsiTheme="minorHAnsi"/>
        </w:rPr>
        <w:footnoteReference w:id="855"/>
      </w:r>
      <w:r w:rsidR="00AD753D">
        <w:rPr>
          <w:rFonts w:asciiTheme="minorHAnsi" w:hAnsiTheme="minorHAnsi"/>
        </w:rPr>
        <w:t xml:space="preserve"> the Queensland Court of Appeal </w:t>
      </w:r>
      <w:r w:rsidR="00FF4822">
        <w:rPr>
          <w:rFonts w:asciiTheme="minorHAnsi" w:hAnsiTheme="minorHAnsi"/>
        </w:rPr>
        <w:t>distinguished</w:t>
      </w:r>
      <w:r>
        <w:rPr>
          <w:rFonts w:asciiTheme="minorHAnsi" w:hAnsiTheme="minorHAnsi"/>
        </w:rPr>
        <w:t xml:space="preserve"> </w:t>
      </w:r>
      <w:r w:rsidR="00FF4822" w:rsidRPr="00C00000">
        <w:rPr>
          <w:rFonts w:asciiTheme="minorHAnsi" w:hAnsiTheme="minorHAnsi"/>
          <w:i/>
        </w:rPr>
        <w:t>Selimoski v Picknoll</w:t>
      </w:r>
      <w:r w:rsidR="00E225F3">
        <w:rPr>
          <w:rFonts w:asciiTheme="minorHAnsi" w:hAnsiTheme="minorHAnsi"/>
        </w:rPr>
        <w:t xml:space="preserve"> on the basis of the amendments,</w:t>
      </w:r>
      <w:r w:rsidR="00FF4822">
        <w:rPr>
          <w:rFonts w:asciiTheme="minorHAnsi" w:hAnsiTheme="minorHAnsi"/>
        </w:rPr>
        <w:t xml:space="preserve"> and </w:t>
      </w:r>
      <w:r w:rsidR="00E225F3">
        <w:rPr>
          <w:rFonts w:asciiTheme="minorHAnsi" w:hAnsiTheme="minorHAnsi"/>
        </w:rPr>
        <w:t xml:space="preserve">held </w:t>
      </w:r>
      <w:r w:rsidR="00FF4822">
        <w:rPr>
          <w:rFonts w:asciiTheme="minorHAnsi" w:hAnsiTheme="minorHAnsi"/>
        </w:rPr>
        <w:t xml:space="preserve">that a </w:t>
      </w:r>
      <w:r w:rsidR="00E225F3">
        <w:rPr>
          <w:rFonts w:asciiTheme="minorHAnsi" w:hAnsiTheme="minorHAnsi"/>
        </w:rPr>
        <w:t xml:space="preserve">recognizance (or other security) under a </w:t>
      </w:r>
      <w:r>
        <w:rPr>
          <w:rFonts w:asciiTheme="minorHAnsi" w:hAnsiTheme="minorHAnsi"/>
        </w:rPr>
        <w:t>RRO may be conditional on the offender being of good behaviour for up to 5 years, and that the RRO may continue in force for the whole of that period.</w:t>
      </w:r>
      <w:r w:rsidR="00AD753D">
        <w:rPr>
          <w:rFonts w:asciiTheme="minorHAnsi" w:hAnsiTheme="minorHAnsi"/>
        </w:rPr>
        <w:t xml:space="preserve">  That approach has been </w:t>
      </w:r>
      <w:r w:rsidR="004F7248">
        <w:rPr>
          <w:rFonts w:asciiTheme="minorHAnsi" w:hAnsiTheme="minorHAnsi"/>
        </w:rPr>
        <w:t>adopted</w:t>
      </w:r>
      <w:r w:rsidR="00AD753D">
        <w:rPr>
          <w:rFonts w:asciiTheme="minorHAnsi" w:hAnsiTheme="minorHAnsi"/>
        </w:rPr>
        <w:t xml:space="preserve"> in a number of </w:t>
      </w:r>
      <w:r w:rsidR="004F7248">
        <w:rPr>
          <w:rFonts w:asciiTheme="minorHAnsi" w:hAnsiTheme="minorHAnsi"/>
        </w:rPr>
        <w:t>other</w:t>
      </w:r>
      <w:r w:rsidR="00AD753D">
        <w:rPr>
          <w:rFonts w:asciiTheme="minorHAnsi" w:hAnsiTheme="minorHAnsi"/>
        </w:rPr>
        <w:t xml:space="preserve"> cases</w:t>
      </w:r>
      <w:r w:rsidR="004F7248">
        <w:rPr>
          <w:rFonts w:asciiTheme="minorHAnsi" w:hAnsiTheme="minorHAnsi"/>
        </w:rPr>
        <w:t xml:space="preserve"> following the amendments</w:t>
      </w:r>
      <w:r w:rsidR="00AD753D">
        <w:rPr>
          <w:rFonts w:asciiTheme="minorHAnsi" w:hAnsiTheme="minorHAnsi"/>
        </w:rPr>
        <w:t>.</w:t>
      </w:r>
      <w:r w:rsidR="00AD753D" w:rsidRPr="00C00000">
        <w:rPr>
          <w:rStyle w:val="FootnoteReference"/>
          <w:rFonts w:asciiTheme="minorHAnsi" w:hAnsiTheme="minorHAnsi"/>
        </w:rPr>
        <w:footnoteReference w:id="856"/>
      </w:r>
      <w:r w:rsidR="004F7248">
        <w:rPr>
          <w:rFonts w:asciiTheme="minorHAnsi" w:hAnsiTheme="minorHAnsi"/>
        </w:rPr>
        <w:t xml:space="preserve">  The </w:t>
      </w:r>
      <w:r w:rsidR="002A2FE2">
        <w:rPr>
          <w:rFonts w:asciiTheme="minorHAnsi" w:hAnsiTheme="minorHAnsi"/>
        </w:rPr>
        <w:t>issue</w:t>
      </w:r>
      <w:r w:rsidR="004F7248">
        <w:rPr>
          <w:rFonts w:asciiTheme="minorHAnsi" w:hAnsiTheme="minorHAnsi"/>
        </w:rPr>
        <w:t xml:space="preserve"> now </w:t>
      </w:r>
      <w:r w:rsidR="002A2FE2">
        <w:rPr>
          <w:rFonts w:asciiTheme="minorHAnsi" w:hAnsiTheme="minorHAnsi"/>
        </w:rPr>
        <w:t xml:space="preserve">appears to be </w:t>
      </w:r>
      <w:r w:rsidR="004F7248">
        <w:rPr>
          <w:rFonts w:asciiTheme="minorHAnsi" w:hAnsiTheme="minorHAnsi"/>
        </w:rPr>
        <w:t xml:space="preserve">settled, in accordance with the decision in </w:t>
      </w:r>
      <w:r w:rsidR="004F7248" w:rsidRPr="004F7248">
        <w:rPr>
          <w:rFonts w:asciiTheme="minorHAnsi" w:hAnsiTheme="minorHAnsi"/>
          <w:i/>
        </w:rPr>
        <w:t>Smith</w:t>
      </w:r>
      <w:r w:rsidR="004F7248">
        <w:rPr>
          <w:rFonts w:asciiTheme="minorHAnsi" w:hAnsiTheme="minorHAnsi"/>
        </w:rPr>
        <w:t>.</w:t>
      </w:r>
    </w:p>
    <w:p w14:paraId="25587C82" w14:textId="77777777" w:rsidR="00A62945" w:rsidRPr="00A62945" w:rsidRDefault="00A62945" w:rsidP="00A62945">
      <w:pPr>
        <w:pStyle w:val="ListParagraph"/>
        <w:rPr>
          <w:rFonts w:asciiTheme="minorHAnsi" w:hAnsiTheme="minorHAnsi"/>
        </w:rPr>
      </w:pPr>
    </w:p>
    <w:p w14:paraId="56AF8442" w14:textId="65984AD6" w:rsidR="00CA3357" w:rsidRPr="000840B5" w:rsidRDefault="00CA3357" w:rsidP="006D50C7">
      <w:pPr>
        <w:pStyle w:val="Heading3"/>
      </w:pPr>
      <w:bookmarkStart w:id="1998" w:name="_Toc33602910"/>
      <w:r w:rsidRPr="000840B5">
        <w:t>Conditions which may be imposed under a RRO</w:t>
      </w:r>
      <w:bookmarkEnd w:id="1998"/>
    </w:p>
    <w:p w14:paraId="2050DF2C" w14:textId="017D9FF9" w:rsidR="00CA3357" w:rsidRDefault="00CA3357" w:rsidP="006D50C7">
      <w:pPr>
        <w:pStyle w:val="ListParagraph"/>
        <w:keepNext/>
        <w:tabs>
          <w:tab w:val="left" w:pos="567"/>
          <w:tab w:val="left" w:pos="1813"/>
          <w:tab w:val="left" w:pos="4762"/>
          <w:tab w:val="left" w:pos="7710"/>
        </w:tabs>
        <w:spacing w:line="276" w:lineRule="auto"/>
        <w:ind w:left="567" w:hanging="567"/>
        <w:contextualSpacing w:val="0"/>
        <w:rPr>
          <w:rFonts w:asciiTheme="minorHAnsi" w:hAnsiTheme="minorHAnsi"/>
        </w:rPr>
      </w:pPr>
    </w:p>
    <w:p w14:paraId="31BCF21D" w14:textId="3453764E" w:rsidR="00F76600" w:rsidRPr="00C00000" w:rsidRDefault="00F76600"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16A(3) of the </w:t>
      </w:r>
      <w:r w:rsidR="00885EFD" w:rsidRPr="00885EFD">
        <w:rPr>
          <w:rFonts w:asciiTheme="minorHAnsi" w:hAnsiTheme="minorHAnsi"/>
          <w:i/>
        </w:rPr>
        <w:t>Crimes Act 1914</w:t>
      </w:r>
      <w:r w:rsidRPr="00C00000">
        <w:rPr>
          <w:rFonts w:asciiTheme="minorHAnsi" w:hAnsiTheme="minorHAnsi"/>
        </w:rPr>
        <w:t xml:space="preserve"> (Cth) requires that, in determining whether an order under s 20(1) is the appropriate sentence, the court must have regard to the nature and severity of the conditions that may be imposed on, or may apply to, the offender under that sentence or order.</w:t>
      </w:r>
    </w:p>
    <w:p w14:paraId="38A1181B" w14:textId="77777777" w:rsidR="00F76600" w:rsidRPr="00C00000" w:rsidRDefault="00F76600" w:rsidP="00F76600">
      <w:pPr>
        <w:pStyle w:val="ListParagraph"/>
        <w:tabs>
          <w:tab w:val="left" w:pos="567"/>
          <w:tab w:val="left" w:pos="709"/>
        </w:tabs>
        <w:spacing w:line="276" w:lineRule="auto"/>
        <w:ind w:left="567" w:right="-1"/>
        <w:rPr>
          <w:rFonts w:asciiTheme="minorHAnsi" w:hAnsiTheme="minorHAnsi"/>
        </w:rPr>
      </w:pPr>
    </w:p>
    <w:p w14:paraId="7EB6A9B6" w14:textId="3D8640AD" w:rsidR="005B780D" w:rsidRDefault="00811BE6"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conditions which may be imposed under a RRO are set out in s 20(1)(a) of the Act.  </w:t>
      </w:r>
      <w:r w:rsidR="005B780D">
        <w:rPr>
          <w:rFonts w:asciiTheme="minorHAnsi" w:hAnsiTheme="minorHAnsi"/>
        </w:rPr>
        <w:t xml:space="preserve">A </w:t>
      </w:r>
      <w:r w:rsidR="00A7773F">
        <w:rPr>
          <w:rFonts w:asciiTheme="minorHAnsi" w:hAnsiTheme="minorHAnsi"/>
        </w:rPr>
        <w:t>core condition is that the offender “</w:t>
      </w:r>
      <w:r w:rsidR="00A7773F" w:rsidRPr="00A7773F">
        <w:rPr>
          <w:rFonts w:asciiTheme="minorHAnsi" w:hAnsiTheme="minorHAnsi"/>
          <w:i/>
        </w:rPr>
        <w:t>will be of good behaviour for such period, not exceeding 5 years, as the court specifies in the order</w:t>
      </w:r>
      <w:r w:rsidR="00A7773F">
        <w:rPr>
          <w:rFonts w:asciiTheme="minorHAnsi" w:hAnsiTheme="minorHAnsi"/>
        </w:rPr>
        <w:t>” (s 20(1)(a)(i)).  As noted above (“</w:t>
      </w:r>
      <w:r w:rsidR="00A7773F">
        <w:rPr>
          <w:rFonts w:asciiTheme="minorHAnsi" w:hAnsiTheme="minorHAnsi"/>
        </w:rPr>
        <w:fldChar w:fldCharType="begin"/>
      </w:r>
      <w:r w:rsidR="00A7773F">
        <w:rPr>
          <w:rFonts w:asciiTheme="minorHAnsi" w:hAnsiTheme="minorHAnsi"/>
        </w:rPr>
        <w:instrText xml:space="preserve"> REF _Ref507316386 \r \h  \* MERGEFORMAT </w:instrText>
      </w:r>
      <w:r w:rsidR="00A7773F">
        <w:rPr>
          <w:rFonts w:asciiTheme="minorHAnsi" w:hAnsiTheme="minorHAnsi"/>
        </w:rPr>
      </w:r>
      <w:r w:rsidR="00A7773F">
        <w:rPr>
          <w:rFonts w:asciiTheme="minorHAnsi" w:hAnsiTheme="minorHAnsi"/>
        </w:rPr>
        <w:fldChar w:fldCharType="separate"/>
      </w:r>
      <w:r w:rsidR="00D44BCF">
        <w:rPr>
          <w:rFonts w:asciiTheme="minorHAnsi" w:hAnsiTheme="minorHAnsi"/>
        </w:rPr>
        <w:t>5.10.16</w:t>
      </w:r>
      <w:r w:rsidR="00A7773F">
        <w:rPr>
          <w:rFonts w:asciiTheme="minorHAnsi" w:hAnsiTheme="minorHAnsi"/>
        </w:rPr>
        <w:fldChar w:fldCharType="end"/>
      </w:r>
      <w:r w:rsidR="00A7773F">
        <w:rPr>
          <w:rFonts w:asciiTheme="minorHAnsi" w:hAnsiTheme="minorHAnsi"/>
        </w:rPr>
        <w:t xml:space="preserve"> </w:t>
      </w:r>
      <w:r w:rsidR="00A7773F">
        <w:rPr>
          <w:rFonts w:asciiTheme="minorHAnsi" w:hAnsiTheme="minorHAnsi"/>
        </w:rPr>
        <w:fldChar w:fldCharType="begin"/>
      </w:r>
      <w:r w:rsidR="00A7773F">
        <w:rPr>
          <w:rFonts w:asciiTheme="minorHAnsi" w:hAnsiTheme="minorHAnsi"/>
        </w:rPr>
        <w:instrText xml:space="preserve"> REF _Ref507316452 \h  \* MERGEFORMAT </w:instrText>
      </w:r>
      <w:r w:rsidR="00A7773F">
        <w:rPr>
          <w:rFonts w:asciiTheme="minorHAnsi" w:hAnsiTheme="minorHAnsi"/>
        </w:rPr>
      </w:r>
      <w:r w:rsidR="00A7773F">
        <w:rPr>
          <w:rFonts w:asciiTheme="minorHAnsi" w:hAnsiTheme="minorHAnsi"/>
        </w:rPr>
        <w:fldChar w:fldCharType="separate"/>
      </w:r>
      <w:r w:rsidR="00D44BCF" w:rsidRPr="00D44BCF">
        <w:rPr>
          <w:rFonts w:asciiTheme="minorHAnsi" w:hAnsiTheme="minorHAnsi"/>
        </w:rPr>
        <w:t>Maximum length of the recognizance under a RRO</w:t>
      </w:r>
      <w:r w:rsidR="00A7773F">
        <w:rPr>
          <w:rFonts w:asciiTheme="minorHAnsi" w:hAnsiTheme="minorHAnsi"/>
        </w:rPr>
        <w:fldChar w:fldCharType="end"/>
      </w:r>
      <w:r w:rsidR="00A7773F">
        <w:rPr>
          <w:rFonts w:asciiTheme="minorHAnsi" w:hAnsiTheme="minorHAnsi"/>
        </w:rPr>
        <w:t>”)</w:t>
      </w:r>
      <w:r w:rsidR="002C03ED">
        <w:rPr>
          <w:rFonts w:asciiTheme="minorHAnsi" w:hAnsiTheme="minorHAnsi"/>
        </w:rPr>
        <w:t xml:space="preserve">, it is now clear that such a good behaviour period may extend beyond the completion of the sentence of imprisonment.  </w:t>
      </w:r>
      <w:r w:rsidR="003B2DEE">
        <w:rPr>
          <w:rFonts w:asciiTheme="minorHAnsi" w:hAnsiTheme="minorHAnsi"/>
        </w:rPr>
        <w:t>I</w:t>
      </w:r>
      <w:r w:rsidR="002C03ED">
        <w:rPr>
          <w:rFonts w:asciiTheme="minorHAnsi" w:hAnsiTheme="minorHAnsi"/>
        </w:rPr>
        <w:t xml:space="preserve">f the recognizance takes effect </w:t>
      </w:r>
      <w:r w:rsidR="00730EA7">
        <w:rPr>
          <w:rFonts w:asciiTheme="minorHAnsi" w:hAnsiTheme="minorHAnsi"/>
        </w:rPr>
        <w:t>from the date of</w:t>
      </w:r>
      <w:r w:rsidR="002C03ED">
        <w:rPr>
          <w:rFonts w:asciiTheme="minorHAnsi" w:hAnsiTheme="minorHAnsi"/>
        </w:rPr>
        <w:t xml:space="preserve"> release of the offender, the good behaviour period may extend for up to 5 years from th</w:t>
      </w:r>
      <w:r w:rsidR="00730EA7">
        <w:rPr>
          <w:rFonts w:asciiTheme="minorHAnsi" w:hAnsiTheme="minorHAnsi"/>
        </w:rPr>
        <w:t>at</w:t>
      </w:r>
      <w:r w:rsidR="002C03ED">
        <w:rPr>
          <w:rFonts w:asciiTheme="minorHAnsi" w:hAnsiTheme="minorHAnsi"/>
        </w:rPr>
        <w:t xml:space="preserve"> date</w:t>
      </w:r>
      <w:r w:rsidR="00730EA7">
        <w:rPr>
          <w:rFonts w:asciiTheme="minorHAnsi" w:hAnsiTheme="minorHAnsi"/>
        </w:rPr>
        <w:t>.</w:t>
      </w:r>
    </w:p>
    <w:p w14:paraId="49BDABCB" w14:textId="073062FC" w:rsidR="005B780D" w:rsidRDefault="005B780D" w:rsidP="005B780D">
      <w:pPr>
        <w:pStyle w:val="ListParagraph"/>
        <w:rPr>
          <w:rFonts w:asciiTheme="minorHAnsi" w:hAnsiTheme="minorHAnsi"/>
        </w:rPr>
      </w:pPr>
    </w:p>
    <w:p w14:paraId="19D35FD5" w14:textId="77777777" w:rsidR="00730EA7" w:rsidRDefault="00730EA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Other conditions which may be imposed are:</w:t>
      </w:r>
    </w:p>
    <w:p w14:paraId="2ABEED34" w14:textId="60CE439B" w:rsidR="00730EA7" w:rsidRDefault="00730EA7" w:rsidP="00901174">
      <w:pPr>
        <w:pStyle w:val="ListParagraph"/>
        <w:numPr>
          <w:ilvl w:val="1"/>
          <w:numId w:val="36"/>
        </w:numPr>
        <w:spacing w:line="276" w:lineRule="auto"/>
        <w:ind w:left="993" w:right="28" w:hanging="142"/>
        <w:rPr>
          <w:rFonts w:asciiTheme="minorHAnsi" w:hAnsiTheme="minorHAnsi"/>
        </w:rPr>
      </w:pPr>
      <w:r w:rsidRPr="00730EA7">
        <w:rPr>
          <w:rFonts w:asciiTheme="minorHAnsi" w:hAnsiTheme="minorHAnsi"/>
        </w:rPr>
        <w:t>the payment of reparation</w:t>
      </w:r>
      <w:r>
        <w:rPr>
          <w:rFonts w:asciiTheme="minorHAnsi" w:hAnsiTheme="minorHAnsi"/>
        </w:rPr>
        <w:t>,</w:t>
      </w:r>
      <w:r w:rsidRPr="00730EA7">
        <w:rPr>
          <w:rFonts w:asciiTheme="minorHAnsi" w:hAnsiTheme="minorHAnsi"/>
        </w:rPr>
        <w:t xml:space="preserve"> restitution, compensation or costs</w:t>
      </w:r>
      <w:r>
        <w:rPr>
          <w:rFonts w:asciiTheme="minorHAnsi" w:hAnsiTheme="minorHAnsi"/>
        </w:rPr>
        <w:t xml:space="preserve"> (s 20(1)(a)(ii) - see “</w:t>
      </w:r>
      <w:r>
        <w:rPr>
          <w:rFonts w:asciiTheme="minorHAnsi" w:hAnsiTheme="minorHAnsi"/>
        </w:rPr>
        <w:fldChar w:fldCharType="begin"/>
      </w:r>
      <w:r>
        <w:rPr>
          <w:rFonts w:asciiTheme="minorHAnsi" w:hAnsiTheme="minorHAnsi"/>
        </w:rPr>
        <w:instrText xml:space="preserve"> REF _Ref507318258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5.5.3</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_Ref507318266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Reparation, restitution, compensation or costs as a condition of a bond</w:t>
      </w:r>
      <w:r>
        <w:rPr>
          <w:rFonts w:asciiTheme="minorHAnsi" w:hAnsiTheme="minorHAnsi"/>
        </w:rPr>
        <w:fldChar w:fldCharType="end"/>
      </w:r>
      <w:r>
        <w:rPr>
          <w:rFonts w:asciiTheme="minorHAnsi" w:hAnsiTheme="minorHAnsi"/>
        </w:rPr>
        <w:t>”);</w:t>
      </w:r>
    </w:p>
    <w:p w14:paraId="6F8B8908" w14:textId="0BE9E34D" w:rsidR="00730EA7" w:rsidRDefault="00730EA7" w:rsidP="00901174">
      <w:pPr>
        <w:pStyle w:val="ListParagraph"/>
        <w:numPr>
          <w:ilvl w:val="1"/>
          <w:numId w:val="36"/>
        </w:numPr>
        <w:spacing w:line="276" w:lineRule="auto"/>
        <w:ind w:left="993" w:right="28" w:hanging="142"/>
        <w:rPr>
          <w:rFonts w:asciiTheme="minorHAnsi" w:hAnsiTheme="minorHAnsi"/>
        </w:rPr>
      </w:pPr>
      <w:r>
        <w:rPr>
          <w:rFonts w:asciiTheme="minorHAnsi" w:hAnsiTheme="minorHAnsi"/>
        </w:rPr>
        <w:t>the p</w:t>
      </w:r>
      <w:r w:rsidR="00D75082">
        <w:rPr>
          <w:rFonts w:asciiTheme="minorHAnsi" w:hAnsiTheme="minorHAnsi"/>
        </w:rPr>
        <w:t>ayment to the Commonwealth of a pecuniary penalty (s 20(1)(a)(iii)), the maximum of which is fixed by s 20(5) (generally the maximum fine applicable to the offence – see “</w:t>
      </w:r>
      <w:r w:rsidR="00D75082">
        <w:rPr>
          <w:rFonts w:asciiTheme="minorHAnsi" w:hAnsiTheme="minorHAnsi"/>
        </w:rPr>
        <w:fldChar w:fldCharType="begin"/>
      </w:r>
      <w:r w:rsidR="00D75082">
        <w:rPr>
          <w:rFonts w:asciiTheme="minorHAnsi" w:hAnsiTheme="minorHAnsi"/>
        </w:rPr>
        <w:instrText xml:space="preserve"> REF _Ref507318454 \r \h  \* MERGEFORMAT </w:instrText>
      </w:r>
      <w:r w:rsidR="00D75082">
        <w:rPr>
          <w:rFonts w:asciiTheme="minorHAnsi" w:hAnsiTheme="minorHAnsi"/>
        </w:rPr>
      </w:r>
      <w:r w:rsidR="00D75082">
        <w:rPr>
          <w:rFonts w:asciiTheme="minorHAnsi" w:hAnsiTheme="minorHAnsi"/>
        </w:rPr>
        <w:fldChar w:fldCharType="separate"/>
      </w:r>
      <w:r w:rsidR="00D44BCF">
        <w:rPr>
          <w:rFonts w:asciiTheme="minorHAnsi" w:hAnsiTheme="minorHAnsi"/>
        </w:rPr>
        <w:t>5.5.4</w:t>
      </w:r>
      <w:r w:rsidR="00D75082">
        <w:rPr>
          <w:rFonts w:asciiTheme="minorHAnsi" w:hAnsiTheme="minorHAnsi"/>
        </w:rPr>
        <w:fldChar w:fldCharType="end"/>
      </w:r>
      <w:r w:rsidR="00D75082">
        <w:rPr>
          <w:rFonts w:asciiTheme="minorHAnsi" w:hAnsiTheme="minorHAnsi"/>
        </w:rPr>
        <w:t xml:space="preserve"> </w:t>
      </w:r>
      <w:r w:rsidR="00D75082">
        <w:rPr>
          <w:rFonts w:asciiTheme="minorHAnsi" w:hAnsiTheme="minorHAnsi"/>
        </w:rPr>
        <w:fldChar w:fldCharType="begin"/>
      </w:r>
      <w:r w:rsidR="00D75082">
        <w:rPr>
          <w:rFonts w:asciiTheme="minorHAnsi" w:hAnsiTheme="minorHAnsi"/>
        </w:rPr>
        <w:instrText xml:space="preserve"> REF _Ref507318457 \h  \* MERGEFORMAT </w:instrText>
      </w:r>
      <w:r w:rsidR="00D75082">
        <w:rPr>
          <w:rFonts w:asciiTheme="minorHAnsi" w:hAnsiTheme="minorHAnsi"/>
        </w:rPr>
      </w:r>
      <w:r w:rsidR="00D75082">
        <w:rPr>
          <w:rFonts w:asciiTheme="minorHAnsi" w:hAnsiTheme="minorHAnsi"/>
        </w:rPr>
        <w:fldChar w:fldCharType="separate"/>
      </w:r>
      <w:r w:rsidR="00D44BCF" w:rsidRPr="00D44BCF">
        <w:rPr>
          <w:rFonts w:asciiTheme="minorHAnsi" w:hAnsiTheme="minorHAnsi"/>
        </w:rPr>
        <w:t>Pecuniary penalty as a condition of a bond</w:t>
      </w:r>
      <w:r w:rsidR="00D75082">
        <w:rPr>
          <w:rFonts w:asciiTheme="minorHAnsi" w:hAnsiTheme="minorHAnsi"/>
        </w:rPr>
        <w:fldChar w:fldCharType="end"/>
      </w:r>
      <w:r w:rsidR="00D75082">
        <w:rPr>
          <w:rFonts w:asciiTheme="minorHAnsi" w:hAnsiTheme="minorHAnsi"/>
        </w:rPr>
        <w:t>”); or</w:t>
      </w:r>
    </w:p>
    <w:p w14:paraId="2A7186BF" w14:textId="713B8FE5" w:rsidR="00D75082" w:rsidRPr="00730EA7" w:rsidRDefault="00D75082"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that the offender will, during a period not exceeding 2 years, comply with such other conditions (if any) as the court thinks fit to specify (s 20(1)(a)(iv)).</w:t>
      </w:r>
    </w:p>
    <w:p w14:paraId="127B57A5" w14:textId="77777777" w:rsidR="00730EA7" w:rsidRDefault="00730EA7" w:rsidP="00D75082">
      <w:pPr>
        <w:pStyle w:val="ListParagraph"/>
        <w:rPr>
          <w:rFonts w:asciiTheme="minorHAnsi" w:hAnsiTheme="minorHAnsi"/>
        </w:rPr>
      </w:pPr>
    </w:p>
    <w:p w14:paraId="0DF42907" w14:textId="26202E00" w:rsidR="00C6201B" w:rsidRDefault="00E4538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Although </w:t>
      </w:r>
      <w:r w:rsidR="00455749">
        <w:rPr>
          <w:rFonts w:asciiTheme="minorHAnsi" w:hAnsiTheme="minorHAnsi"/>
        </w:rPr>
        <w:t xml:space="preserve">the court </w:t>
      </w:r>
      <w:r>
        <w:rPr>
          <w:rFonts w:asciiTheme="minorHAnsi" w:hAnsiTheme="minorHAnsi"/>
        </w:rPr>
        <w:t xml:space="preserve">is empowered to </w:t>
      </w:r>
      <w:r w:rsidR="00455749">
        <w:rPr>
          <w:rFonts w:asciiTheme="minorHAnsi" w:hAnsiTheme="minorHAnsi"/>
        </w:rPr>
        <w:t xml:space="preserve">order payment of </w:t>
      </w:r>
      <w:r w:rsidR="00455749" w:rsidRPr="00730EA7">
        <w:rPr>
          <w:rFonts w:asciiTheme="minorHAnsi" w:hAnsiTheme="minorHAnsi"/>
        </w:rPr>
        <w:t>reparation</w:t>
      </w:r>
      <w:r w:rsidR="00455749">
        <w:rPr>
          <w:rFonts w:asciiTheme="minorHAnsi" w:hAnsiTheme="minorHAnsi"/>
        </w:rPr>
        <w:t>,</w:t>
      </w:r>
      <w:r w:rsidR="00455749" w:rsidRPr="00730EA7">
        <w:rPr>
          <w:rFonts w:asciiTheme="minorHAnsi" w:hAnsiTheme="minorHAnsi"/>
        </w:rPr>
        <w:t xml:space="preserve"> restitution, compensation or costs</w:t>
      </w:r>
      <w:r w:rsidR="00455749">
        <w:rPr>
          <w:rFonts w:asciiTheme="minorHAnsi" w:hAnsiTheme="minorHAnsi"/>
        </w:rPr>
        <w:t xml:space="preserve"> as a condition of a recognizance, the offender is not to be imprisoned for failure to comply with the condition (s 20(2A)).  It will </w:t>
      </w:r>
      <w:r>
        <w:rPr>
          <w:rFonts w:asciiTheme="minorHAnsi" w:hAnsiTheme="minorHAnsi"/>
        </w:rPr>
        <w:t>therefore generally</w:t>
      </w:r>
      <w:r w:rsidR="00455749">
        <w:rPr>
          <w:rFonts w:asciiTheme="minorHAnsi" w:hAnsiTheme="minorHAnsi"/>
        </w:rPr>
        <w:t xml:space="preserve"> be more appropriate to make a separate order for such a payment, pursuant to s 21B of the </w:t>
      </w:r>
      <w:r w:rsidR="00455749" w:rsidRPr="00455749">
        <w:rPr>
          <w:rFonts w:asciiTheme="minorHAnsi" w:hAnsiTheme="minorHAnsi"/>
          <w:i/>
        </w:rPr>
        <w:t>Crimes Act</w:t>
      </w:r>
      <w:r w:rsidR="00455749">
        <w:rPr>
          <w:rFonts w:asciiTheme="minorHAnsi" w:hAnsiTheme="minorHAnsi"/>
        </w:rPr>
        <w:t xml:space="preserve"> or other applicable </w:t>
      </w:r>
      <w:r>
        <w:rPr>
          <w:rFonts w:asciiTheme="minorHAnsi" w:hAnsiTheme="minorHAnsi"/>
        </w:rPr>
        <w:t>power</w:t>
      </w:r>
      <w:r w:rsidR="00455749">
        <w:rPr>
          <w:rFonts w:asciiTheme="minorHAnsi" w:hAnsiTheme="minorHAnsi"/>
        </w:rPr>
        <w:t>, rather than make payment a condition of a recognizance.</w:t>
      </w:r>
      <w:r w:rsidR="00455749" w:rsidRPr="00C00000">
        <w:rPr>
          <w:rStyle w:val="Style"/>
          <w:rFonts w:asciiTheme="minorHAnsi" w:hAnsiTheme="minorHAnsi"/>
        </w:rPr>
        <w:footnoteReference w:id="857"/>
      </w:r>
    </w:p>
    <w:p w14:paraId="3B9179F6" w14:textId="77777777" w:rsidR="00E45386" w:rsidRPr="00E45386" w:rsidRDefault="00E45386" w:rsidP="00E45386">
      <w:pPr>
        <w:tabs>
          <w:tab w:val="left" w:pos="567"/>
          <w:tab w:val="left" w:pos="709"/>
        </w:tabs>
        <w:spacing w:line="276" w:lineRule="auto"/>
        <w:ind w:right="-1"/>
        <w:rPr>
          <w:rFonts w:asciiTheme="minorHAnsi" w:hAnsiTheme="minorHAnsi"/>
        </w:rPr>
      </w:pPr>
    </w:p>
    <w:p w14:paraId="320492C2" w14:textId="33F29F75" w:rsidR="007756DC" w:rsidRDefault="00730EA7"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w:t>
      </w:r>
      <w:r w:rsidR="00811BE6">
        <w:rPr>
          <w:rFonts w:asciiTheme="minorHAnsi" w:hAnsiTheme="minorHAnsi"/>
        </w:rPr>
        <w:t xml:space="preserve">he </w:t>
      </w:r>
      <w:r w:rsidR="00D75082">
        <w:rPr>
          <w:rFonts w:asciiTheme="minorHAnsi" w:hAnsiTheme="minorHAnsi"/>
        </w:rPr>
        <w:t xml:space="preserve">residual power to impose other conditions </w:t>
      </w:r>
      <w:r w:rsidR="00D004F8">
        <w:rPr>
          <w:rFonts w:asciiTheme="minorHAnsi" w:hAnsiTheme="minorHAnsi"/>
        </w:rPr>
        <w:t>applicable for up to 2 years (s 20(1)(a)(iv)) is broad but not unlimited</w:t>
      </w:r>
      <w:r w:rsidR="000840B5">
        <w:rPr>
          <w:rFonts w:asciiTheme="minorHAnsi" w:hAnsiTheme="minorHAnsi"/>
        </w:rPr>
        <w:t xml:space="preserve"> (see “</w:t>
      </w:r>
      <w:r w:rsidR="000840B5">
        <w:rPr>
          <w:rFonts w:asciiTheme="minorHAnsi" w:hAnsiTheme="minorHAnsi"/>
        </w:rPr>
        <w:fldChar w:fldCharType="begin"/>
      </w:r>
      <w:r w:rsidR="000840B5">
        <w:rPr>
          <w:rFonts w:asciiTheme="minorHAnsi" w:hAnsiTheme="minorHAnsi"/>
        </w:rPr>
        <w:instrText xml:space="preserve"> REF _Ref507319673 \r \h  \* MERGEFORMAT </w:instrText>
      </w:r>
      <w:r w:rsidR="000840B5">
        <w:rPr>
          <w:rFonts w:asciiTheme="minorHAnsi" w:hAnsiTheme="minorHAnsi"/>
        </w:rPr>
      </w:r>
      <w:r w:rsidR="000840B5">
        <w:rPr>
          <w:rFonts w:asciiTheme="minorHAnsi" w:hAnsiTheme="minorHAnsi"/>
        </w:rPr>
        <w:fldChar w:fldCharType="separate"/>
      </w:r>
      <w:r w:rsidR="00D44BCF">
        <w:rPr>
          <w:rFonts w:asciiTheme="minorHAnsi" w:hAnsiTheme="minorHAnsi"/>
        </w:rPr>
        <w:t>5.5.9</w:t>
      </w:r>
      <w:r w:rsidR="000840B5">
        <w:rPr>
          <w:rFonts w:asciiTheme="minorHAnsi" w:hAnsiTheme="minorHAnsi"/>
        </w:rPr>
        <w:fldChar w:fldCharType="end"/>
      </w:r>
      <w:r w:rsidR="000840B5">
        <w:rPr>
          <w:rFonts w:asciiTheme="minorHAnsi" w:hAnsiTheme="minorHAnsi"/>
        </w:rPr>
        <w:t xml:space="preserve"> </w:t>
      </w:r>
      <w:r w:rsidR="000840B5">
        <w:rPr>
          <w:rFonts w:asciiTheme="minorHAnsi" w:hAnsiTheme="minorHAnsi"/>
        </w:rPr>
        <w:fldChar w:fldCharType="begin"/>
      </w:r>
      <w:r w:rsidR="000840B5">
        <w:rPr>
          <w:rFonts w:asciiTheme="minorHAnsi" w:hAnsiTheme="minorHAnsi"/>
        </w:rPr>
        <w:instrText xml:space="preserve"> REF _Ref507319676 \h  \* MERGEFORMAT </w:instrText>
      </w:r>
      <w:r w:rsidR="000840B5">
        <w:rPr>
          <w:rFonts w:asciiTheme="minorHAnsi" w:hAnsiTheme="minorHAnsi"/>
        </w:rPr>
      </w:r>
      <w:r w:rsidR="000840B5">
        <w:rPr>
          <w:rFonts w:asciiTheme="minorHAnsi" w:hAnsiTheme="minorHAnsi"/>
        </w:rPr>
        <w:fldChar w:fldCharType="separate"/>
      </w:r>
      <w:r w:rsidR="00D44BCF" w:rsidRPr="00D44BCF">
        <w:rPr>
          <w:rFonts w:asciiTheme="minorHAnsi" w:hAnsiTheme="minorHAnsi"/>
        </w:rPr>
        <w:t>Other impermissible conditions of a s 20 bond</w:t>
      </w:r>
      <w:r w:rsidR="000840B5">
        <w:rPr>
          <w:rFonts w:asciiTheme="minorHAnsi" w:hAnsiTheme="minorHAnsi"/>
        </w:rPr>
        <w:fldChar w:fldCharType="end"/>
      </w:r>
      <w:r w:rsidR="000840B5">
        <w:rPr>
          <w:rFonts w:asciiTheme="minorHAnsi" w:hAnsiTheme="minorHAnsi"/>
        </w:rPr>
        <w:t>”)</w:t>
      </w:r>
      <w:r w:rsidR="00D004F8">
        <w:rPr>
          <w:rFonts w:asciiTheme="minorHAnsi" w:hAnsiTheme="minorHAnsi"/>
        </w:rPr>
        <w:t>.  It probably does not permit an order for the payment of money, since the circumstances in which such payments may be ordered are exhaustively dealt with in sub-paragraphs (ii) and (iii) (see “</w:t>
      </w:r>
      <w:r w:rsidR="00D004F8">
        <w:rPr>
          <w:rFonts w:asciiTheme="minorHAnsi" w:hAnsiTheme="minorHAnsi"/>
        </w:rPr>
        <w:fldChar w:fldCharType="begin"/>
      </w:r>
      <w:r w:rsidR="00D004F8">
        <w:rPr>
          <w:rFonts w:asciiTheme="minorHAnsi" w:hAnsiTheme="minorHAnsi"/>
        </w:rPr>
        <w:instrText xml:space="preserve"> REF _Ref507318910 \r \h </w:instrText>
      </w:r>
      <w:r w:rsidR="00D004F8">
        <w:rPr>
          <w:rFonts w:asciiTheme="minorHAnsi" w:hAnsiTheme="minorHAnsi"/>
        </w:rPr>
      </w:r>
      <w:r w:rsidR="00D004F8">
        <w:rPr>
          <w:rFonts w:asciiTheme="minorHAnsi" w:hAnsiTheme="minorHAnsi"/>
        </w:rPr>
        <w:fldChar w:fldCharType="separate"/>
      </w:r>
      <w:r w:rsidR="00D44BCF">
        <w:rPr>
          <w:rFonts w:asciiTheme="minorHAnsi" w:hAnsiTheme="minorHAnsi"/>
        </w:rPr>
        <w:t>5.5.8</w:t>
      </w:r>
      <w:r w:rsidR="00D004F8">
        <w:rPr>
          <w:rFonts w:asciiTheme="minorHAnsi" w:hAnsiTheme="minorHAnsi"/>
        </w:rPr>
        <w:fldChar w:fldCharType="end"/>
      </w:r>
      <w:r w:rsidR="00D004F8">
        <w:rPr>
          <w:rFonts w:asciiTheme="minorHAnsi" w:hAnsiTheme="minorHAnsi"/>
        </w:rPr>
        <w:t xml:space="preserve"> </w:t>
      </w:r>
      <w:r w:rsidR="00D004F8">
        <w:rPr>
          <w:rFonts w:asciiTheme="minorHAnsi" w:hAnsiTheme="minorHAnsi"/>
        </w:rPr>
        <w:fldChar w:fldCharType="begin"/>
      </w:r>
      <w:r w:rsidR="00D004F8">
        <w:rPr>
          <w:rFonts w:asciiTheme="minorHAnsi" w:hAnsiTheme="minorHAnsi"/>
        </w:rPr>
        <w:instrText xml:space="preserve"> REF _Ref507318895 \h  \* MERGEFORMAT </w:instrText>
      </w:r>
      <w:r w:rsidR="00D004F8">
        <w:rPr>
          <w:rFonts w:asciiTheme="minorHAnsi" w:hAnsiTheme="minorHAnsi"/>
        </w:rPr>
      </w:r>
      <w:r w:rsidR="00D004F8">
        <w:rPr>
          <w:rFonts w:asciiTheme="minorHAnsi" w:hAnsiTheme="minorHAnsi"/>
        </w:rPr>
        <w:fldChar w:fldCharType="separate"/>
      </w:r>
      <w:r w:rsidR="00D44BCF" w:rsidRPr="00D44BCF">
        <w:rPr>
          <w:rFonts w:asciiTheme="minorHAnsi" w:hAnsiTheme="minorHAnsi"/>
        </w:rPr>
        <w:t>Payment of money to charity as condition of a bond</w:t>
      </w:r>
      <w:r w:rsidR="00D004F8">
        <w:rPr>
          <w:rFonts w:asciiTheme="minorHAnsi" w:hAnsiTheme="minorHAnsi"/>
        </w:rPr>
        <w:fldChar w:fldCharType="end"/>
      </w:r>
      <w:r w:rsidR="00D004F8">
        <w:rPr>
          <w:rFonts w:asciiTheme="minorHAnsi" w:hAnsiTheme="minorHAnsi"/>
        </w:rPr>
        <w:t xml:space="preserve">”).  It is doubtful whether </w:t>
      </w:r>
      <w:r w:rsidR="007756DC">
        <w:rPr>
          <w:rFonts w:asciiTheme="minorHAnsi" w:hAnsiTheme="minorHAnsi"/>
        </w:rPr>
        <w:t>unpaid work may be required (see “</w:t>
      </w:r>
      <w:r w:rsidR="007756DC">
        <w:rPr>
          <w:rFonts w:asciiTheme="minorHAnsi" w:hAnsiTheme="minorHAnsi"/>
        </w:rPr>
        <w:fldChar w:fldCharType="begin"/>
      </w:r>
      <w:r w:rsidR="007756DC">
        <w:rPr>
          <w:rFonts w:asciiTheme="minorHAnsi" w:hAnsiTheme="minorHAnsi"/>
        </w:rPr>
        <w:instrText xml:space="preserve"> REF _Ref494121749 \r \h  \* MERGEFORMAT </w:instrText>
      </w:r>
      <w:r w:rsidR="007756DC">
        <w:rPr>
          <w:rFonts w:asciiTheme="minorHAnsi" w:hAnsiTheme="minorHAnsi"/>
        </w:rPr>
      </w:r>
      <w:r w:rsidR="007756DC">
        <w:rPr>
          <w:rFonts w:asciiTheme="minorHAnsi" w:hAnsiTheme="minorHAnsi"/>
        </w:rPr>
        <w:fldChar w:fldCharType="separate"/>
      </w:r>
      <w:r w:rsidR="00D44BCF">
        <w:rPr>
          <w:rFonts w:asciiTheme="minorHAnsi" w:hAnsiTheme="minorHAnsi"/>
        </w:rPr>
        <w:t>5.5.7</w:t>
      </w:r>
      <w:r w:rsidR="007756DC">
        <w:rPr>
          <w:rFonts w:asciiTheme="minorHAnsi" w:hAnsiTheme="minorHAnsi"/>
        </w:rPr>
        <w:fldChar w:fldCharType="end"/>
      </w:r>
      <w:r w:rsidR="007756DC">
        <w:rPr>
          <w:rFonts w:asciiTheme="minorHAnsi" w:hAnsiTheme="minorHAnsi"/>
        </w:rPr>
        <w:t xml:space="preserve"> </w:t>
      </w:r>
      <w:r w:rsidR="007756DC">
        <w:rPr>
          <w:rFonts w:asciiTheme="minorHAnsi" w:hAnsiTheme="minorHAnsi"/>
        </w:rPr>
        <w:fldChar w:fldCharType="begin"/>
      </w:r>
      <w:r w:rsidR="007756DC">
        <w:rPr>
          <w:rFonts w:asciiTheme="minorHAnsi" w:hAnsiTheme="minorHAnsi"/>
        </w:rPr>
        <w:instrText xml:space="preserve"> REF _Ref494121749 \h  \* MERGEFORMAT </w:instrText>
      </w:r>
      <w:r w:rsidR="007756DC">
        <w:rPr>
          <w:rFonts w:asciiTheme="minorHAnsi" w:hAnsiTheme="minorHAnsi"/>
        </w:rPr>
      </w:r>
      <w:r w:rsidR="007756DC">
        <w:rPr>
          <w:rFonts w:asciiTheme="minorHAnsi" w:hAnsiTheme="minorHAnsi"/>
        </w:rPr>
        <w:fldChar w:fldCharType="separate"/>
      </w:r>
      <w:r w:rsidR="00D44BCF" w:rsidRPr="00D44BCF">
        <w:rPr>
          <w:rFonts w:asciiTheme="minorHAnsi" w:hAnsiTheme="minorHAnsi"/>
        </w:rPr>
        <w:t>Condition requiring unpaid work as a condition of a bond</w:t>
      </w:r>
      <w:r w:rsidR="007756DC">
        <w:rPr>
          <w:rFonts w:asciiTheme="minorHAnsi" w:hAnsiTheme="minorHAnsi"/>
        </w:rPr>
        <w:fldChar w:fldCharType="end"/>
      </w:r>
      <w:r w:rsidR="007756DC">
        <w:rPr>
          <w:rFonts w:asciiTheme="minorHAnsi" w:hAnsiTheme="minorHAnsi"/>
        </w:rPr>
        <w:t>”).  A</w:t>
      </w:r>
      <w:r w:rsidR="007756DC" w:rsidRPr="00C00000">
        <w:rPr>
          <w:rFonts w:asciiTheme="minorHAnsi" w:hAnsiTheme="minorHAnsi"/>
        </w:rPr>
        <w:t xml:space="preserve"> condition imposed must not be inconsistent with the release of the person</w:t>
      </w:r>
      <w:r w:rsidR="007756DC">
        <w:rPr>
          <w:rFonts w:asciiTheme="minorHAnsi" w:hAnsiTheme="minorHAnsi"/>
        </w:rPr>
        <w:t>, and must be reasonably capable of compliance</w:t>
      </w:r>
      <w:r w:rsidR="007756DC" w:rsidRPr="00C00000">
        <w:rPr>
          <w:rFonts w:asciiTheme="minorHAnsi" w:hAnsiTheme="minorHAnsi"/>
        </w:rPr>
        <w:t>.</w:t>
      </w:r>
      <w:r w:rsidR="007756DC" w:rsidRPr="00C00000">
        <w:rPr>
          <w:rStyle w:val="Style"/>
          <w:rFonts w:asciiTheme="minorHAnsi" w:hAnsiTheme="minorHAnsi"/>
        </w:rPr>
        <w:footnoteReference w:id="858"/>
      </w:r>
      <w:r w:rsidR="007756DC" w:rsidRPr="00C00000">
        <w:rPr>
          <w:rFonts w:asciiTheme="minorHAnsi" w:hAnsiTheme="minorHAnsi"/>
        </w:rPr>
        <w:t xml:space="preserve">  </w:t>
      </w:r>
      <w:r w:rsidR="007756DC">
        <w:rPr>
          <w:rFonts w:asciiTheme="minorHAnsi" w:hAnsiTheme="minorHAnsi"/>
        </w:rPr>
        <w:t>A condition must also “</w:t>
      </w:r>
      <w:r w:rsidR="007756DC" w:rsidRPr="00B04F0F">
        <w:rPr>
          <w:rFonts w:asciiTheme="minorHAnsi" w:hAnsiTheme="minorHAnsi"/>
          <w:i/>
        </w:rPr>
        <w:t>be expressed in unambiguous and definitive language, so that the person submitting to it is left in no doubt as to what are the precise obligations to be satisfied</w:t>
      </w:r>
      <w:r w:rsidR="007756DC">
        <w:rPr>
          <w:rFonts w:asciiTheme="minorHAnsi" w:hAnsiTheme="minorHAnsi"/>
        </w:rPr>
        <w:t>”.</w:t>
      </w:r>
      <w:r w:rsidR="007756DC" w:rsidRPr="00C00000">
        <w:rPr>
          <w:rStyle w:val="Style"/>
          <w:rFonts w:asciiTheme="minorHAnsi" w:hAnsiTheme="minorHAnsi"/>
        </w:rPr>
        <w:footnoteReference w:id="859"/>
      </w:r>
    </w:p>
    <w:p w14:paraId="71427CF4" w14:textId="77777777" w:rsidR="007756DC" w:rsidRPr="007756DC" w:rsidRDefault="007756DC" w:rsidP="00E45386">
      <w:pPr>
        <w:pStyle w:val="ListParagraph"/>
        <w:tabs>
          <w:tab w:val="left" w:pos="567"/>
          <w:tab w:val="left" w:pos="709"/>
        </w:tabs>
        <w:spacing w:line="276" w:lineRule="auto"/>
        <w:ind w:left="567" w:right="-1"/>
        <w:rPr>
          <w:rFonts w:asciiTheme="minorHAnsi" w:hAnsiTheme="minorHAnsi"/>
        </w:rPr>
      </w:pPr>
    </w:p>
    <w:p w14:paraId="72BB04C6" w14:textId="45477C07" w:rsidR="00D2746D" w:rsidRPr="00C00000" w:rsidRDefault="00D2746D" w:rsidP="00EB7F1E">
      <w:pPr>
        <w:pStyle w:val="ListParagraph"/>
        <w:numPr>
          <w:ilvl w:val="0"/>
          <w:numId w:val="7"/>
        </w:numPr>
        <w:spacing w:line="276" w:lineRule="auto"/>
        <w:ind w:left="425" w:hanging="425"/>
        <w:contextualSpacing w:val="0"/>
        <w:rPr>
          <w:rFonts w:asciiTheme="minorHAnsi" w:hAnsiTheme="minorHAnsi"/>
        </w:rPr>
      </w:pPr>
      <w:r w:rsidRPr="00D2746D">
        <w:rPr>
          <w:rFonts w:asciiTheme="minorHAnsi" w:hAnsiTheme="minorHAnsi"/>
        </w:rPr>
        <w:t>The legislation itself gives, a</w:t>
      </w:r>
      <w:r w:rsidR="00C56E77">
        <w:rPr>
          <w:rFonts w:asciiTheme="minorHAnsi" w:hAnsiTheme="minorHAnsi"/>
        </w:rPr>
        <w:t>s</w:t>
      </w:r>
      <w:r w:rsidRPr="00D2746D">
        <w:rPr>
          <w:rFonts w:asciiTheme="minorHAnsi" w:hAnsiTheme="minorHAnsi"/>
        </w:rPr>
        <w:t xml:space="preserve"> an example of a condition which may be specified under s 20(1)(a)(iv), a condition that “</w:t>
      </w:r>
      <w:r w:rsidRPr="00D2746D">
        <w:rPr>
          <w:rFonts w:asciiTheme="minorHAnsi" w:hAnsiTheme="minorHAnsi"/>
          <w:i/>
        </w:rPr>
        <w:t>the person will undertake a specified counselling, education or treatment program during a specified part of, or throughout, the specified period</w:t>
      </w:r>
      <w:r w:rsidRPr="00D2746D">
        <w:rPr>
          <w:rFonts w:asciiTheme="minorHAnsi" w:hAnsiTheme="minorHAnsi"/>
        </w:rPr>
        <w:t>”.</w:t>
      </w:r>
      <w:r>
        <w:rPr>
          <w:rFonts w:asciiTheme="minorHAnsi" w:hAnsiTheme="minorHAnsi"/>
        </w:rPr>
        <w:t xml:space="preserve">  </w:t>
      </w:r>
      <w:r w:rsidRPr="00C00000">
        <w:rPr>
          <w:rFonts w:asciiTheme="minorHAnsi" w:hAnsiTheme="minorHAnsi"/>
        </w:rPr>
        <w:t xml:space="preserve">By way of example, the following conditions </w:t>
      </w:r>
      <w:r>
        <w:rPr>
          <w:rFonts w:asciiTheme="minorHAnsi" w:hAnsiTheme="minorHAnsi"/>
        </w:rPr>
        <w:t>are used in Victoria (by agreement with State authorities) to require participation in the State sex offenders program</w:t>
      </w:r>
      <w:r w:rsidRPr="00C00000">
        <w:rPr>
          <w:rFonts w:asciiTheme="minorHAnsi" w:hAnsiTheme="minorHAnsi"/>
        </w:rPr>
        <w:t>:</w:t>
      </w:r>
    </w:p>
    <w:p w14:paraId="6D60FE16" w14:textId="77777777" w:rsidR="00D2746D" w:rsidRPr="00EB7F1E" w:rsidRDefault="00D2746D" w:rsidP="00EB7F1E">
      <w:pPr>
        <w:pStyle w:val="BodyText"/>
        <w:spacing w:line="276" w:lineRule="auto"/>
        <w:ind w:left="720" w:right="170" w:hanging="11"/>
        <w:jc w:val="both"/>
        <w:rPr>
          <w:rFonts w:asciiTheme="minorHAnsi" w:hAnsiTheme="minorHAnsi"/>
          <w:i/>
        </w:rPr>
      </w:pPr>
      <w:r w:rsidRPr="00EB7F1E">
        <w:rPr>
          <w:rFonts w:asciiTheme="minorHAnsi" w:hAnsiTheme="minorHAnsi"/>
          <w:i/>
        </w:rPr>
        <w:t>To be under the supervision of the Deputy Commissioner, Community Correctional Services and Sex Offender Management or his or her nominee; and</w:t>
      </w:r>
    </w:p>
    <w:p w14:paraId="563DE4A4" w14:textId="6BC124C1" w:rsidR="00D2746D" w:rsidRPr="00EB7F1E" w:rsidRDefault="00D2746D" w:rsidP="00EB7F1E">
      <w:pPr>
        <w:pStyle w:val="BodyText"/>
        <w:spacing w:line="276" w:lineRule="auto"/>
        <w:ind w:left="720" w:right="170" w:hanging="11"/>
        <w:jc w:val="both"/>
        <w:rPr>
          <w:rFonts w:asciiTheme="minorHAnsi" w:hAnsiTheme="minorHAnsi"/>
          <w:i/>
        </w:rPr>
      </w:pPr>
      <w:r w:rsidRPr="00EB7F1E">
        <w:rPr>
          <w:rFonts w:asciiTheme="minorHAnsi" w:hAnsiTheme="minorHAnsi"/>
          <w:i/>
        </w:rPr>
        <w:t>To attend, undertake and complete the Sex Offender</w:t>
      </w:r>
      <w:r w:rsidR="00AA693C" w:rsidRPr="00EB7F1E">
        <w:rPr>
          <w:rFonts w:asciiTheme="minorHAnsi" w:hAnsiTheme="minorHAnsi"/>
          <w:i/>
        </w:rPr>
        <w:t>’</w:t>
      </w:r>
      <w:r w:rsidRPr="00EB7F1E">
        <w:rPr>
          <w:rFonts w:asciiTheme="minorHAnsi" w:hAnsiTheme="minorHAnsi"/>
          <w:i/>
        </w:rPr>
        <w:t>s Program within a period of 2 years; or</w:t>
      </w:r>
    </w:p>
    <w:p w14:paraId="0CF17377" w14:textId="4A9A9184" w:rsidR="00D2746D" w:rsidRPr="00EB7F1E" w:rsidRDefault="00D2746D" w:rsidP="00EB7F1E">
      <w:pPr>
        <w:pStyle w:val="BodyText"/>
        <w:spacing w:line="276" w:lineRule="auto"/>
        <w:ind w:left="720" w:right="170" w:hanging="11"/>
        <w:jc w:val="both"/>
        <w:rPr>
          <w:rFonts w:asciiTheme="minorHAnsi" w:hAnsiTheme="minorHAnsi"/>
          <w:i/>
        </w:rPr>
      </w:pPr>
      <w:r w:rsidRPr="00EB7F1E">
        <w:rPr>
          <w:rFonts w:asciiTheme="minorHAnsi" w:hAnsiTheme="minorHAnsi"/>
          <w:i/>
        </w:rPr>
        <w:t>To attend for assessment and, if assessed as suitable, treatment for sex offender programs or programs to reduce re-offending as directed by Deputy Commissioner, Community Correctional Services and Sex Offender Management or his or her nominee.</w:t>
      </w:r>
    </w:p>
    <w:p w14:paraId="25E75062" w14:textId="77777777" w:rsidR="00D2746D" w:rsidRPr="00C00000" w:rsidRDefault="00D2746D" w:rsidP="00D2746D">
      <w:pPr>
        <w:pStyle w:val="ListParagraph"/>
        <w:tabs>
          <w:tab w:val="left" w:pos="567"/>
          <w:tab w:val="left" w:pos="709"/>
        </w:tabs>
        <w:spacing w:line="276" w:lineRule="auto"/>
        <w:ind w:left="1134" w:right="-1"/>
        <w:rPr>
          <w:rFonts w:asciiTheme="minorHAnsi" w:hAnsiTheme="minorHAnsi"/>
        </w:rPr>
      </w:pPr>
    </w:p>
    <w:p w14:paraId="180FB2E1" w14:textId="1328CDDC" w:rsidR="00D2746D" w:rsidRDefault="00D2746D" w:rsidP="00EB7F1E">
      <w:pPr>
        <w:pStyle w:val="ListParagraph"/>
        <w:numPr>
          <w:ilvl w:val="0"/>
          <w:numId w:val="7"/>
        </w:numPr>
        <w:spacing w:line="276" w:lineRule="auto"/>
        <w:ind w:left="425" w:hanging="425"/>
        <w:contextualSpacing w:val="0"/>
        <w:rPr>
          <w:rFonts w:asciiTheme="minorHAnsi" w:hAnsiTheme="minorHAnsi"/>
        </w:rPr>
      </w:pPr>
      <w:r w:rsidRPr="00D2746D">
        <w:rPr>
          <w:rFonts w:asciiTheme="minorHAnsi" w:hAnsiTheme="minorHAnsi"/>
        </w:rPr>
        <w:t xml:space="preserve">Section 20 also contemplates </w:t>
      </w:r>
      <w:r w:rsidR="00361054">
        <w:rPr>
          <w:rFonts w:asciiTheme="minorHAnsi" w:hAnsiTheme="minorHAnsi"/>
        </w:rPr>
        <w:t xml:space="preserve">that </w:t>
      </w:r>
      <w:r w:rsidRPr="00D2746D">
        <w:rPr>
          <w:rFonts w:asciiTheme="minorHAnsi" w:hAnsiTheme="minorHAnsi"/>
        </w:rPr>
        <w:t xml:space="preserve">a condition </w:t>
      </w:r>
      <w:r w:rsidR="00361054" w:rsidRPr="00D2746D">
        <w:rPr>
          <w:rFonts w:asciiTheme="minorHAnsi" w:hAnsiTheme="minorHAnsi"/>
        </w:rPr>
        <w:t>under s 20(1)(a)(iv)</w:t>
      </w:r>
      <w:r w:rsidR="00361054">
        <w:rPr>
          <w:rFonts w:asciiTheme="minorHAnsi" w:hAnsiTheme="minorHAnsi"/>
        </w:rPr>
        <w:t xml:space="preserve"> may specify </w:t>
      </w:r>
      <w:r w:rsidRPr="00D2746D">
        <w:rPr>
          <w:rFonts w:asciiTheme="minorHAnsi" w:hAnsiTheme="minorHAnsi"/>
        </w:rPr>
        <w:t>that the person “</w:t>
      </w:r>
      <w:r w:rsidRPr="00D2746D">
        <w:rPr>
          <w:rFonts w:asciiTheme="minorHAnsi" w:hAnsiTheme="minorHAnsi"/>
          <w:i/>
        </w:rPr>
        <w:t>be subject to the supervision of a probation officer appointed in accordance with the order</w:t>
      </w:r>
      <w:r w:rsidRPr="00D2746D">
        <w:rPr>
          <w:rFonts w:asciiTheme="minorHAnsi" w:hAnsiTheme="minorHAnsi"/>
        </w:rPr>
        <w:t>” and “</w:t>
      </w:r>
      <w:r w:rsidRPr="00D2746D">
        <w:rPr>
          <w:rFonts w:asciiTheme="minorHAnsi" w:hAnsiTheme="minorHAnsi"/>
          <w:i/>
        </w:rPr>
        <w:t>obey all reasonable directions of the probation officer</w:t>
      </w:r>
      <w:r w:rsidRPr="00D2746D">
        <w:rPr>
          <w:rFonts w:asciiTheme="minorHAnsi" w:hAnsiTheme="minorHAnsi"/>
        </w:rPr>
        <w:t>”, because such a condition is referred to in s 20(1A).  Under that sub-section, if the court imposes such a condition it “</w:t>
      </w:r>
      <w:r w:rsidRPr="00D2746D">
        <w:rPr>
          <w:rFonts w:asciiTheme="minorHAnsi" w:hAnsiTheme="minorHAnsi"/>
          <w:i/>
        </w:rPr>
        <w:t>must also specify the condition that the person will not travel interstate or overseas without the written permission of the probation officer</w:t>
      </w:r>
      <w:r w:rsidRPr="00D2746D">
        <w:rPr>
          <w:rFonts w:asciiTheme="minorHAnsi" w:hAnsiTheme="minorHAnsi"/>
        </w:rPr>
        <w:t xml:space="preserve">.”  However </w:t>
      </w:r>
      <w:r w:rsidR="000840B5" w:rsidRPr="00D2746D">
        <w:rPr>
          <w:rFonts w:asciiTheme="minorHAnsi" w:hAnsiTheme="minorHAnsi"/>
        </w:rPr>
        <w:t>State or Territory probation officers</w:t>
      </w:r>
      <w:r w:rsidR="000840B5">
        <w:rPr>
          <w:rFonts w:asciiTheme="minorHAnsi" w:hAnsiTheme="minorHAnsi"/>
        </w:rPr>
        <w:t xml:space="preserve"> could only</w:t>
      </w:r>
      <w:r w:rsidR="000840B5" w:rsidRPr="00D2746D">
        <w:rPr>
          <w:rFonts w:asciiTheme="minorHAnsi" w:hAnsiTheme="minorHAnsi"/>
        </w:rPr>
        <w:t xml:space="preserve"> perform functions under such an order </w:t>
      </w:r>
      <w:r w:rsidR="000840B5">
        <w:rPr>
          <w:rFonts w:asciiTheme="minorHAnsi" w:hAnsiTheme="minorHAnsi"/>
        </w:rPr>
        <w:t xml:space="preserve">if appropriate </w:t>
      </w:r>
      <w:r w:rsidRPr="00D2746D">
        <w:rPr>
          <w:rFonts w:asciiTheme="minorHAnsi" w:hAnsiTheme="minorHAnsi"/>
        </w:rPr>
        <w:t xml:space="preserve">arrangements </w:t>
      </w:r>
      <w:r w:rsidR="000840B5">
        <w:rPr>
          <w:rFonts w:asciiTheme="minorHAnsi" w:hAnsiTheme="minorHAnsi"/>
        </w:rPr>
        <w:t xml:space="preserve">were </w:t>
      </w:r>
      <w:r>
        <w:rPr>
          <w:rFonts w:asciiTheme="minorHAnsi" w:hAnsiTheme="minorHAnsi"/>
        </w:rPr>
        <w:t>in place</w:t>
      </w:r>
      <w:r w:rsidRPr="00D2746D">
        <w:rPr>
          <w:rFonts w:asciiTheme="minorHAnsi" w:hAnsiTheme="minorHAnsi"/>
        </w:rPr>
        <w:t>.</w:t>
      </w:r>
    </w:p>
    <w:p w14:paraId="1F6E35A2" w14:textId="77777777" w:rsidR="00361054" w:rsidRPr="00361054" w:rsidRDefault="00361054" w:rsidP="00361054">
      <w:pPr>
        <w:tabs>
          <w:tab w:val="left" w:pos="567"/>
          <w:tab w:val="left" w:pos="709"/>
        </w:tabs>
        <w:spacing w:line="276" w:lineRule="auto"/>
        <w:ind w:right="28"/>
        <w:rPr>
          <w:rFonts w:asciiTheme="minorHAnsi" w:hAnsiTheme="minorHAnsi"/>
        </w:rPr>
      </w:pPr>
    </w:p>
    <w:p w14:paraId="0E66E74C" w14:textId="6EE05580" w:rsidR="00361054" w:rsidRPr="00D2746D" w:rsidRDefault="002F0B6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w:t>
      </w:r>
      <w:r w:rsidR="00361054">
        <w:rPr>
          <w:rFonts w:asciiTheme="minorHAnsi" w:hAnsiTheme="minorHAnsi"/>
        </w:rPr>
        <w:t xml:space="preserve">he good behaviour period fixed </w:t>
      </w:r>
      <w:r>
        <w:rPr>
          <w:rFonts w:asciiTheme="minorHAnsi" w:hAnsiTheme="minorHAnsi"/>
        </w:rPr>
        <w:t xml:space="preserve">under </w:t>
      </w:r>
      <w:r w:rsidRPr="00D2746D">
        <w:rPr>
          <w:rFonts w:asciiTheme="minorHAnsi" w:hAnsiTheme="minorHAnsi"/>
        </w:rPr>
        <w:t>s 20(1)(a)(i)</w:t>
      </w:r>
      <w:r>
        <w:rPr>
          <w:rFonts w:asciiTheme="minorHAnsi" w:hAnsiTheme="minorHAnsi"/>
        </w:rPr>
        <w:t xml:space="preserve"> </w:t>
      </w:r>
      <w:r w:rsidR="00361054">
        <w:rPr>
          <w:rFonts w:asciiTheme="minorHAnsi" w:hAnsiTheme="minorHAnsi"/>
        </w:rPr>
        <w:t xml:space="preserve">should be at </w:t>
      </w:r>
      <w:r>
        <w:rPr>
          <w:rFonts w:asciiTheme="minorHAnsi" w:hAnsiTheme="minorHAnsi"/>
        </w:rPr>
        <w:t xml:space="preserve">least </w:t>
      </w:r>
      <w:r w:rsidR="00361054">
        <w:rPr>
          <w:rFonts w:asciiTheme="minorHAnsi" w:hAnsiTheme="minorHAnsi"/>
        </w:rPr>
        <w:t xml:space="preserve">as long as </w:t>
      </w:r>
      <w:r>
        <w:rPr>
          <w:rFonts w:asciiTheme="minorHAnsi" w:hAnsiTheme="minorHAnsi"/>
        </w:rPr>
        <w:t xml:space="preserve">(and preferably longer than) </w:t>
      </w:r>
      <w:r w:rsidR="00361054">
        <w:rPr>
          <w:rFonts w:asciiTheme="minorHAnsi" w:hAnsiTheme="minorHAnsi"/>
        </w:rPr>
        <w:t xml:space="preserve">the period of the condition under </w:t>
      </w:r>
      <w:r w:rsidR="00361054" w:rsidRPr="00D2746D">
        <w:rPr>
          <w:rFonts w:asciiTheme="minorHAnsi" w:hAnsiTheme="minorHAnsi"/>
        </w:rPr>
        <w:t>s 20(1)(a)(iv)</w:t>
      </w:r>
      <w:r>
        <w:rPr>
          <w:rFonts w:asciiTheme="minorHAnsi" w:hAnsiTheme="minorHAnsi"/>
        </w:rPr>
        <w:t>, because proceedings for breach of a condition (except a breach constituted by the commission of an offence) cannot be brought after the good behaviour period (s 20A(1A)).</w:t>
      </w:r>
    </w:p>
    <w:p w14:paraId="1638FEE0" w14:textId="50E309D2" w:rsidR="00CA3357" w:rsidRDefault="00CA3357" w:rsidP="00E4439D">
      <w:pPr>
        <w:pStyle w:val="ListParagraph"/>
        <w:tabs>
          <w:tab w:val="left" w:pos="567"/>
          <w:tab w:val="left" w:pos="1813"/>
          <w:tab w:val="left" w:pos="4762"/>
          <w:tab w:val="left" w:pos="7710"/>
        </w:tabs>
        <w:spacing w:line="276" w:lineRule="auto"/>
        <w:ind w:left="567" w:right="-1" w:hanging="567"/>
        <w:rPr>
          <w:rFonts w:asciiTheme="minorHAnsi" w:hAnsiTheme="minorHAnsi"/>
        </w:rPr>
      </w:pPr>
    </w:p>
    <w:p w14:paraId="3E9E0241" w14:textId="02B1E2FB" w:rsidR="00206300" w:rsidRPr="009541AE" w:rsidRDefault="00206300" w:rsidP="00206300">
      <w:pPr>
        <w:pStyle w:val="Heading3"/>
      </w:pPr>
      <w:bookmarkStart w:id="1999" w:name="_Ref11071217"/>
      <w:bookmarkStart w:id="2000" w:name="_Ref11071219"/>
      <w:bookmarkStart w:id="2001" w:name="_Toc33602911"/>
      <w:r w:rsidRPr="009541AE">
        <w:t>Obligation on court to explain RRO</w:t>
      </w:r>
      <w:bookmarkEnd w:id="1999"/>
      <w:bookmarkEnd w:id="2000"/>
      <w:bookmarkEnd w:id="2001"/>
    </w:p>
    <w:p w14:paraId="4EC953D9" w14:textId="77777777" w:rsidR="00206300" w:rsidRPr="009541AE" w:rsidRDefault="00206300" w:rsidP="00206300">
      <w:pPr>
        <w:pStyle w:val="NormalIndent"/>
        <w:keepNext/>
        <w:spacing w:line="276" w:lineRule="auto"/>
        <w:jc w:val="both"/>
        <w:rPr>
          <w:rFonts w:asciiTheme="minorHAnsi" w:hAnsiTheme="minorHAnsi"/>
        </w:rPr>
      </w:pPr>
    </w:p>
    <w:p w14:paraId="1CA29CAD" w14:textId="77777777" w:rsidR="00206300" w:rsidRPr="009541AE" w:rsidRDefault="00206300" w:rsidP="00206300">
      <w:pPr>
        <w:pStyle w:val="ListParagraph"/>
        <w:numPr>
          <w:ilvl w:val="0"/>
          <w:numId w:val="7"/>
        </w:numPr>
        <w:spacing w:line="276" w:lineRule="auto"/>
        <w:ind w:left="425" w:hanging="425"/>
        <w:contextualSpacing w:val="0"/>
        <w:rPr>
          <w:rFonts w:asciiTheme="minorHAnsi" w:hAnsiTheme="minorHAnsi"/>
          <w:b/>
        </w:rPr>
      </w:pPr>
      <w:r w:rsidRPr="009541AE">
        <w:rPr>
          <w:rFonts w:asciiTheme="minorHAnsi" w:hAnsiTheme="minorHAnsi"/>
        </w:rPr>
        <w:t>A court which makes a RRO must explain or cause to be explained to the offender</w:t>
      </w:r>
      <w:r w:rsidRPr="009541AE">
        <w:rPr>
          <w:rFonts w:ascii="Calibri" w:hAnsi="Calibri"/>
        </w:rPr>
        <w:t xml:space="preserve">, </w:t>
      </w:r>
      <w:r w:rsidRPr="009541AE">
        <w:rPr>
          <w:rFonts w:asciiTheme="minorHAnsi" w:hAnsiTheme="minorHAnsi"/>
        </w:rPr>
        <w:t>in language likely to be readily understood by them, the purpose and consequences of making that RRO (</w:t>
      </w:r>
      <w:r w:rsidRPr="009541AE">
        <w:rPr>
          <w:rFonts w:asciiTheme="minorHAnsi" w:hAnsiTheme="minorHAnsi"/>
          <w:i/>
          <w:iCs/>
        </w:rPr>
        <w:t>Crimes Act 1914</w:t>
      </w:r>
      <w:r w:rsidRPr="009541AE">
        <w:rPr>
          <w:rFonts w:asciiTheme="minorHAnsi" w:hAnsiTheme="minorHAnsi"/>
        </w:rPr>
        <w:t>, s 16F(2)), including an explanation:</w:t>
      </w:r>
    </w:p>
    <w:p w14:paraId="25616175" w14:textId="77777777"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that service of the sentence will entail a period of imprisonment equal to the pre-release period (if any) specified in the order and a period of service in the community equal to the balance of the sentence; and</w:t>
      </w:r>
    </w:p>
    <w:p w14:paraId="23E4795B" w14:textId="77777777"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of the conditions to which the order is subject; and</w:t>
      </w:r>
    </w:p>
    <w:p w14:paraId="0F106636" w14:textId="77777777"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of the consequences that may follow if the person fails, without reasonable excuse, to fulfil those conditions; and</w:t>
      </w:r>
    </w:p>
    <w:p w14:paraId="032DEA68" w14:textId="6CDAA2D1" w:rsidR="00206300" w:rsidRPr="009541AE" w:rsidRDefault="00206300" w:rsidP="00206300">
      <w:pPr>
        <w:pStyle w:val="ListParagraph"/>
        <w:numPr>
          <w:ilvl w:val="1"/>
          <w:numId w:val="7"/>
        </w:numPr>
        <w:spacing w:line="276" w:lineRule="auto"/>
        <w:ind w:right="28"/>
        <w:rPr>
          <w:rFonts w:asciiTheme="minorHAnsi" w:hAnsiTheme="minorHAnsi"/>
        </w:rPr>
      </w:pPr>
      <w:r w:rsidRPr="009541AE">
        <w:rPr>
          <w:rFonts w:asciiTheme="minorHAnsi" w:hAnsiTheme="minorHAnsi"/>
        </w:rPr>
        <w:t xml:space="preserve">that any recognizance given in accordance with the order may be discharged or varied under </w:t>
      </w:r>
      <w:hyperlink r:id="rId30" w:history="1">
        <w:r w:rsidRPr="009541AE">
          <w:rPr>
            <w:rFonts w:asciiTheme="minorHAnsi" w:hAnsiTheme="minorHAnsi"/>
          </w:rPr>
          <w:t>section 20AA</w:t>
        </w:r>
      </w:hyperlink>
      <w:r w:rsidRPr="009541AE">
        <w:rPr>
          <w:rFonts w:asciiTheme="minorHAnsi" w:hAnsiTheme="minorHAnsi"/>
        </w:rPr>
        <w:t>.</w:t>
      </w:r>
    </w:p>
    <w:p w14:paraId="13864185" w14:textId="77777777" w:rsidR="00206300" w:rsidRPr="009541AE" w:rsidRDefault="00206300" w:rsidP="00206300">
      <w:pPr>
        <w:pStyle w:val="ListParagraph"/>
        <w:rPr>
          <w:rFonts w:asciiTheme="minorHAnsi" w:hAnsiTheme="minorHAnsi"/>
        </w:rPr>
      </w:pPr>
    </w:p>
    <w:p w14:paraId="208C4577" w14:textId="29A3A564" w:rsidR="00206300" w:rsidRPr="009541AE" w:rsidRDefault="00206300" w:rsidP="00206300">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Failure of a court to comply with the requirements of s 16F does not invalidate a sentence</w:t>
      </w:r>
      <w:r w:rsidR="006477BA" w:rsidRPr="009541AE">
        <w:rPr>
          <w:rStyle w:val="Style"/>
          <w:rFonts w:asciiTheme="minorHAnsi" w:hAnsiTheme="minorHAnsi"/>
        </w:rPr>
        <w:footnoteReference w:id="860"/>
      </w:r>
      <w:r w:rsidRPr="009541AE">
        <w:rPr>
          <w:rFonts w:asciiTheme="minorHAnsi" w:hAnsiTheme="minorHAnsi"/>
        </w:rPr>
        <w:t xml:space="preserve"> and may be corrected by the court on an application under s 19AH of the </w:t>
      </w:r>
      <w:r w:rsidRPr="009541AE">
        <w:rPr>
          <w:rFonts w:asciiTheme="minorHAnsi" w:hAnsiTheme="minorHAnsi"/>
          <w:i/>
          <w:iCs/>
        </w:rPr>
        <w:t>Crimes Act 1914</w:t>
      </w:r>
      <w:r w:rsidRPr="009541AE">
        <w:rPr>
          <w:rFonts w:asciiTheme="minorHAnsi" w:hAnsiTheme="minorHAnsi"/>
        </w:rPr>
        <w:t>: see</w:t>
      </w:r>
      <w:r w:rsidR="00277E59" w:rsidRPr="009541AE">
        <w:rPr>
          <w:rFonts w:asciiTheme="minorHAnsi" w:hAnsiTheme="minorHAnsi"/>
        </w:rPr>
        <w:t xml:space="preserve"> “</w:t>
      </w:r>
      <w:r w:rsidR="00277E59" w:rsidRPr="009541AE">
        <w:rPr>
          <w:rFonts w:asciiTheme="minorHAnsi" w:hAnsiTheme="minorHAnsi"/>
        </w:rPr>
        <w:fldChar w:fldCharType="begin"/>
      </w:r>
      <w:r w:rsidR="00277E59" w:rsidRPr="009541AE">
        <w:rPr>
          <w:rFonts w:asciiTheme="minorHAnsi" w:hAnsiTheme="minorHAnsi"/>
        </w:rPr>
        <w:instrText xml:space="preserve"> REF _Ref10976865 \r \h  \* MERGEFORMAT </w:instrText>
      </w:r>
      <w:r w:rsidR="00277E59" w:rsidRPr="009541AE">
        <w:rPr>
          <w:rFonts w:asciiTheme="minorHAnsi" w:hAnsiTheme="minorHAnsi"/>
        </w:rPr>
      </w:r>
      <w:r w:rsidR="00277E59" w:rsidRPr="009541AE">
        <w:rPr>
          <w:rFonts w:asciiTheme="minorHAnsi" w:hAnsiTheme="minorHAnsi"/>
        </w:rPr>
        <w:fldChar w:fldCharType="separate"/>
      </w:r>
      <w:r w:rsidR="00D44BCF">
        <w:rPr>
          <w:rFonts w:asciiTheme="minorHAnsi" w:hAnsiTheme="minorHAnsi"/>
        </w:rPr>
        <w:t>7.12.3</w:t>
      </w:r>
      <w:r w:rsidR="00277E59" w:rsidRPr="009541AE">
        <w:rPr>
          <w:rFonts w:asciiTheme="minorHAnsi" w:hAnsiTheme="minorHAnsi"/>
        </w:rPr>
        <w:fldChar w:fldCharType="end"/>
      </w:r>
      <w:r w:rsidR="00277E59" w:rsidRPr="009541AE">
        <w:rPr>
          <w:rFonts w:asciiTheme="minorHAnsi" w:hAnsiTheme="minorHAnsi"/>
        </w:rPr>
        <w:t xml:space="preserve"> </w:t>
      </w:r>
      <w:r w:rsidR="00277E59" w:rsidRPr="009541AE">
        <w:rPr>
          <w:rFonts w:asciiTheme="minorHAnsi" w:hAnsiTheme="minorHAnsi"/>
        </w:rPr>
        <w:fldChar w:fldCharType="begin"/>
      </w:r>
      <w:r w:rsidR="00277E59" w:rsidRPr="009541AE">
        <w:rPr>
          <w:rFonts w:asciiTheme="minorHAnsi" w:hAnsiTheme="minorHAnsi"/>
        </w:rPr>
        <w:instrText xml:space="preserve"> REF _Ref10976865 \h  \* MERGEFORMAT </w:instrText>
      </w:r>
      <w:r w:rsidR="00277E59" w:rsidRPr="009541AE">
        <w:rPr>
          <w:rFonts w:asciiTheme="minorHAnsi" w:hAnsiTheme="minorHAnsi"/>
        </w:rPr>
      </w:r>
      <w:r w:rsidR="00277E59" w:rsidRPr="009541AE">
        <w:rPr>
          <w:rFonts w:asciiTheme="minorHAnsi" w:hAnsiTheme="minorHAnsi"/>
        </w:rPr>
        <w:fldChar w:fldCharType="separate"/>
      </w:r>
      <w:r w:rsidR="00D44BCF" w:rsidRPr="00D44BCF">
        <w:rPr>
          <w:rFonts w:asciiTheme="minorHAnsi" w:hAnsiTheme="minorHAnsi"/>
        </w:rPr>
        <w:t>Power to correct error in fixing NPP or making RRO: Crimes Act 1914, s 19AH</w:t>
      </w:r>
      <w:r w:rsidR="00277E59" w:rsidRPr="009541AE">
        <w:rPr>
          <w:rFonts w:asciiTheme="minorHAnsi" w:hAnsiTheme="minorHAnsi"/>
        </w:rPr>
        <w:fldChar w:fldCharType="end"/>
      </w:r>
      <w:r w:rsidR="00277E59" w:rsidRPr="009541AE">
        <w:rPr>
          <w:rFonts w:asciiTheme="minorHAnsi" w:hAnsiTheme="minorHAnsi"/>
        </w:rPr>
        <w:t>”</w:t>
      </w:r>
      <w:r w:rsidR="00A10490" w:rsidRPr="009541AE">
        <w:rPr>
          <w:rFonts w:asciiTheme="minorHAnsi" w:hAnsiTheme="minorHAnsi"/>
        </w:rPr>
        <w:t>.</w:t>
      </w:r>
    </w:p>
    <w:p w14:paraId="30FCA118" w14:textId="77777777" w:rsidR="00206300" w:rsidRPr="00C00000" w:rsidRDefault="00206300" w:rsidP="00E4439D">
      <w:pPr>
        <w:pStyle w:val="ListParagraph"/>
        <w:tabs>
          <w:tab w:val="left" w:pos="567"/>
          <w:tab w:val="left" w:pos="1813"/>
          <w:tab w:val="left" w:pos="4762"/>
          <w:tab w:val="left" w:pos="7710"/>
        </w:tabs>
        <w:spacing w:line="276" w:lineRule="auto"/>
        <w:ind w:left="567" w:right="-1" w:hanging="567"/>
        <w:rPr>
          <w:rFonts w:asciiTheme="minorHAnsi" w:hAnsiTheme="minorHAnsi"/>
        </w:rPr>
      </w:pPr>
    </w:p>
    <w:p w14:paraId="079737C9" w14:textId="77777777" w:rsidR="00A4394C" w:rsidRPr="008A34D8" w:rsidRDefault="00A4394C" w:rsidP="00A4394C">
      <w:pPr>
        <w:pStyle w:val="Heading3"/>
      </w:pPr>
      <w:bookmarkStart w:id="2002" w:name="_Toc12608744"/>
      <w:bookmarkStart w:id="2003" w:name="_Toc12706699"/>
      <w:bookmarkStart w:id="2004" w:name="_Toc12860635"/>
      <w:bookmarkStart w:id="2005" w:name="_Toc12862204"/>
      <w:bookmarkStart w:id="2006" w:name="_Toc12864250"/>
      <w:bookmarkStart w:id="2007" w:name="_Toc13551801"/>
      <w:bookmarkStart w:id="2008" w:name="_Toc13737578"/>
      <w:bookmarkStart w:id="2009" w:name="_Toc13737993"/>
      <w:bookmarkStart w:id="2010" w:name="_Toc25308551"/>
      <w:bookmarkStart w:id="2011" w:name="_Toc12608745"/>
      <w:bookmarkStart w:id="2012" w:name="_Toc12706700"/>
      <w:bookmarkStart w:id="2013" w:name="_Toc12860636"/>
      <w:bookmarkStart w:id="2014" w:name="_Toc12862205"/>
      <w:bookmarkStart w:id="2015" w:name="_Toc12864251"/>
      <w:bookmarkStart w:id="2016" w:name="_Toc13551802"/>
      <w:bookmarkStart w:id="2017" w:name="_Toc13737579"/>
      <w:bookmarkStart w:id="2018" w:name="_Toc13737994"/>
      <w:bookmarkStart w:id="2019" w:name="_Toc25308552"/>
      <w:bookmarkStart w:id="2020" w:name="_Toc12608746"/>
      <w:bookmarkStart w:id="2021" w:name="_Toc12706701"/>
      <w:bookmarkStart w:id="2022" w:name="_Toc12860637"/>
      <w:bookmarkStart w:id="2023" w:name="_Toc12862206"/>
      <w:bookmarkStart w:id="2024" w:name="_Toc12864252"/>
      <w:bookmarkStart w:id="2025" w:name="_Toc13551803"/>
      <w:bookmarkStart w:id="2026" w:name="_Toc13737580"/>
      <w:bookmarkStart w:id="2027" w:name="_Toc13737995"/>
      <w:bookmarkStart w:id="2028" w:name="_Toc25308553"/>
      <w:bookmarkStart w:id="2029" w:name="_Toc12608747"/>
      <w:bookmarkStart w:id="2030" w:name="_Toc12706702"/>
      <w:bookmarkStart w:id="2031" w:name="_Toc12860638"/>
      <w:bookmarkStart w:id="2032" w:name="_Toc12862207"/>
      <w:bookmarkStart w:id="2033" w:name="_Toc12864253"/>
      <w:bookmarkStart w:id="2034" w:name="_Toc13551804"/>
      <w:bookmarkStart w:id="2035" w:name="_Toc13737581"/>
      <w:bookmarkStart w:id="2036" w:name="_Toc13737996"/>
      <w:bookmarkStart w:id="2037" w:name="_Toc25308554"/>
      <w:bookmarkStart w:id="2038" w:name="_Toc12608748"/>
      <w:bookmarkStart w:id="2039" w:name="_Toc12706703"/>
      <w:bookmarkStart w:id="2040" w:name="_Toc12860639"/>
      <w:bookmarkStart w:id="2041" w:name="_Toc12862208"/>
      <w:bookmarkStart w:id="2042" w:name="_Toc12864254"/>
      <w:bookmarkStart w:id="2043" w:name="_Toc13551805"/>
      <w:bookmarkStart w:id="2044" w:name="_Toc13737582"/>
      <w:bookmarkStart w:id="2045" w:name="_Toc13737997"/>
      <w:bookmarkStart w:id="2046" w:name="_Toc25308555"/>
      <w:bookmarkStart w:id="2047" w:name="_Toc12608749"/>
      <w:bookmarkStart w:id="2048" w:name="_Toc12706704"/>
      <w:bookmarkStart w:id="2049" w:name="_Toc12860640"/>
      <w:bookmarkStart w:id="2050" w:name="_Toc12862209"/>
      <w:bookmarkStart w:id="2051" w:name="_Toc12864255"/>
      <w:bookmarkStart w:id="2052" w:name="_Toc13551806"/>
      <w:bookmarkStart w:id="2053" w:name="_Toc13737583"/>
      <w:bookmarkStart w:id="2054" w:name="_Toc13737998"/>
      <w:bookmarkStart w:id="2055" w:name="_Toc25308556"/>
      <w:bookmarkStart w:id="2056" w:name="_Ref11071294"/>
      <w:bookmarkStart w:id="2057" w:name="_Ref11071297"/>
      <w:bookmarkStart w:id="2058" w:name="_Toc33602912"/>
      <w:bookmarkStart w:id="2059" w:name="_Ref10892675"/>
      <w:bookmarkStart w:id="2060" w:name="_Ref10892680"/>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r>
        <w:t>Release under a RRO</w:t>
      </w:r>
      <w:bookmarkEnd w:id="2056"/>
      <w:bookmarkEnd w:id="2057"/>
      <w:bookmarkEnd w:id="2058"/>
    </w:p>
    <w:p w14:paraId="4F43D344" w14:textId="77777777" w:rsidR="00A4394C" w:rsidRPr="0041055C" w:rsidRDefault="00A4394C" w:rsidP="00A4394C">
      <w:pPr>
        <w:keepNext/>
        <w:tabs>
          <w:tab w:val="left" w:pos="284"/>
          <w:tab w:val="left" w:pos="993"/>
        </w:tabs>
        <w:spacing w:line="276" w:lineRule="auto"/>
        <w:ind w:left="567" w:hanging="567"/>
        <w:jc w:val="both"/>
        <w:rPr>
          <w:rFonts w:asciiTheme="minorHAnsi" w:hAnsiTheme="minorHAnsi"/>
        </w:rPr>
      </w:pPr>
    </w:p>
    <w:p w14:paraId="780CA8D9" w14:textId="613F88A5" w:rsidR="00A4394C" w:rsidRDefault="00A4394C" w:rsidP="00A4394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an offender is sentenced to a term of imprisonment for a federal offence and a recognizance release order (RRO) under s 20(1)(b) of the </w:t>
      </w:r>
      <w:r w:rsidRPr="0041055C">
        <w:rPr>
          <w:rFonts w:asciiTheme="minorHAnsi" w:hAnsiTheme="minorHAnsi"/>
          <w:i/>
          <w:iCs/>
        </w:rPr>
        <w:t>Crimes Act 1914</w:t>
      </w:r>
      <w:r>
        <w:rPr>
          <w:rFonts w:asciiTheme="minorHAnsi" w:hAnsiTheme="minorHAnsi"/>
        </w:rPr>
        <w:t xml:space="preserve"> (Cth) is made, the offender must be released from custody immediately upon the completion of the pre-release period, unless there is some other lawful basis for the continuing detention of the offender</w:t>
      </w:r>
      <w:r w:rsidR="00612D4E">
        <w:rPr>
          <w:rFonts w:asciiTheme="minorHAnsi" w:hAnsiTheme="minorHAnsi"/>
        </w:rPr>
        <w:t>,</w:t>
      </w:r>
      <w:r w:rsidR="00612D4E" w:rsidRPr="00C00000">
        <w:rPr>
          <w:rStyle w:val="Style"/>
          <w:rFonts w:asciiTheme="minorHAnsi" w:hAnsiTheme="minorHAnsi"/>
        </w:rPr>
        <w:footnoteReference w:id="861"/>
      </w:r>
      <w:r w:rsidR="00612D4E" w:rsidRPr="00E6038C">
        <w:rPr>
          <w:rFonts w:asciiTheme="minorHAnsi" w:hAnsiTheme="minorHAnsi"/>
        </w:rPr>
        <w:t xml:space="preserve"> </w:t>
      </w:r>
      <w:r w:rsidR="00612D4E">
        <w:rPr>
          <w:rFonts w:asciiTheme="minorHAnsi" w:hAnsiTheme="minorHAnsi"/>
        </w:rPr>
        <w:t>provided the security required by the court (usually by recognizance) has been given.</w:t>
      </w:r>
    </w:p>
    <w:p w14:paraId="18B6822C" w14:textId="77777777" w:rsidR="00A4394C" w:rsidRPr="0041055C" w:rsidRDefault="00A4394C" w:rsidP="00A4394C">
      <w:pPr>
        <w:spacing w:line="276" w:lineRule="auto"/>
        <w:rPr>
          <w:rFonts w:asciiTheme="minorHAnsi" w:hAnsiTheme="minorHAnsi"/>
        </w:rPr>
      </w:pPr>
    </w:p>
    <w:p w14:paraId="2CAC96D8" w14:textId="77777777" w:rsidR="00A4394C" w:rsidRDefault="00A4394C" w:rsidP="00A4394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Once released, the offender must comply with a condition under the RRO to be of good behaviour and with any other applicable conditions.  The offender is not, by reason of the sentence or the RRO, subject to control or supervision, except as required by a condition of the RRO.</w:t>
      </w:r>
    </w:p>
    <w:p w14:paraId="7423B388" w14:textId="77777777" w:rsidR="00A4394C" w:rsidRPr="0041055C" w:rsidRDefault="00A4394C" w:rsidP="00A4394C">
      <w:pPr>
        <w:pStyle w:val="ListParagraph"/>
        <w:rPr>
          <w:rFonts w:asciiTheme="minorHAnsi" w:hAnsiTheme="minorHAnsi"/>
        </w:rPr>
      </w:pPr>
    </w:p>
    <w:p w14:paraId="18AB6B29" w14:textId="23DA49D4" w:rsidR="00A4394C" w:rsidRDefault="00A4394C" w:rsidP="00A4394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 court may discharge or vary a RRO: see “</w:t>
      </w:r>
      <w:r w:rsidR="00A77549">
        <w:rPr>
          <w:rFonts w:asciiTheme="minorHAnsi" w:hAnsiTheme="minorHAnsi"/>
        </w:rPr>
        <w:fldChar w:fldCharType="begin"/>
      </w:r>
      <w:r w:rsidR="00A77549">
        <w:rPr>
          <w:rFonts w:asciiTheme="minorHAnsi" w:hAnsiTheme="minorHAnsi"/>
        </w:rPr>
        <w:instrText xml:space="preserve"> REF _Ref11826337 \r \h  \* MERGEFORMAT </w:instrText>
      </w:r>
      <w:r w:rsidR="00A77549">
        <w:rPr>
          <w:rFonts w:asciiTheme="minorHAnsi" w:hAnsiTheme="minorHAnsi"/>
        </w:rPr>
      </w:r>
      <w:r w:rsidR="00A77549">
        <w:rPr>
          <w:rFonts w:asciiTheme="minorHAnsi" w:hAnsiTheme="minorHAnsi"/>
        </w:rPr>
        <w:fldChar w:fldCharType="separate"/>
      </w:r>
      <w:r w:rsidR="00D44BCF">
        <w:rPr>
          <w:rFonts w:asciiTheme="minorHAnsi" w:hAnsiTheme="minorHAnsi"/>
        </w:rPr>
        <w:t>5.10.20</w:t>
      </w:r>
      <w:r w:rsidR="00A77549">
        <w:rPr>
          <w:rFonts w:asciiTheme="minorHAnsi" w:hAnsiTheme="minorHAnsi"/>
        </w:rPr>
        <w:fldChar w:fldCharType="end"/>
      </w:r>
      <w:r w:rsidR="00A77549">
        <w:rPr>
          <w:rFonts w:asciiTheme="minorHAnsi" w:hAnsiTheme="minorHAnsi"/>
        </w:rPr>
        <w:t xml:space="preserve"> </w:t>
      </w:r>
      <w:r w:rsidR="00A77549">
        <w:rPr>
          <w:rFonts w:asciiTheme="minorHAnsi" w:hAnsiTheme="minorHAnsi"/>
        </w:rPr>
        <w:fldChar w:fldCharType="begin"/>
      </w:r>
      <w:r w:rsidR="00A77549">
        <w:rPr>
          <w:rFonts w:asciiTheme="minorHAnsi" w:hAnsiTheme="minorHAnsi"/>
        </w:rPr>
        <w:instrText xml:space="preserve"> REF _Ref11826341 \h  \* MERGEFORMAT </w:instrText>
      </w:r>
      <w:r w:rsidR="00A77549">
        <w:rPr>
          <w:rFonts w:asciiTheme="minorHAnsi" w:hAnsiTheme="minorHAnsi"/>
        </w:rPr>
      </w:r>
      <w:r w:rsidR="00A77549">
        <w:rPr>
          <w:rFonts w:asciiTheme="minorHAnsi" w:hAnsiTheme="minorHAnsi"/>
        </w:rPr>
        <w:fldChar w:fldCharType="separate"/>
      </w:r>
      <w:r w:rsidR="00D44BCF" w:rsidRPr="00D44BCF">
        <w:rPr>
          <w:rFonts w:asciiTheme="minorHAnsi" w:hAnsiTheme="minorHAnsi"/>
        </w:rPr>
        <w:t>Discharge or variation of RRO</w:t>
      </w:r>
      <w:r w:rsidR="00A77549">
        <w:rPr>
          <w:rFonts w:asciiTheme="minorHAnsi" w:hAnsiTheme="minorHAnsi"/>
        </w:rPr>
        <w:fldChar w:fldCharType="end"/>
      </w:r>
      <w:r>
        <w:rPr>
          <w:rFonts w:asciiTheme="minorHAnsi" w:hAnsiTheme="minorHAnsi"/>
        </w:rPr>
        <w:t>”.</w:t>
      </w:r>
    </w:p>
    <w:p w14:paraId="033AB607" w14:textId="77777777" w:rsidR="00A4394C" w:rsidRPr="0041055C" w:rsidRDefault="00A4394C" w:rsidP="00A4394C">
      <w:pPr>
        <w:pStyle w:val="ListParagraph"/>
        <w:rPr>
          <w:rFonts w:asciiTheme="minorHAnsi" w:hAnsiTheme="minorHAnsi"/>
        </w:rPr>
      </w:pPr>
    </w:p>
    <w:p w14:paraId="7E65CB82" w14:textId="52147B2D" w:rsidR="00A4394C" w:rsidRPr="0041055C" w:rsidRDefault="00A4394C" w:rsidP="00A4394C">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to the consequences of a breach of a RRO, see “</w:t>
      </w:r>
      <w:r>
        <w:rPr>
          <w:rFonts w:asciiTheme="minorHAnsi" w:hAnsiTheme="minorHAnsi"/>
        </w:rPr>
        <w:fldChar w:fldCharType="begin"/>
      </w:r>
      <w:r>
        <w:rPr>
          <w:rFonts w:asciiTheme="minorHAnsi" w:hAnsiTheme="minorHAnsi"/>
        </w:rPr>
        <w:instrText xml:space="preserve"> REF _Ref507257837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5.10.21</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_Ref507257837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Breach of RRO</w:t>
      </w:r>
      <w:r>
        <w:rPr>
          <w:rFonts w:asciiTheme="minorHAnsi" w:hAnsiTheme="minorHAnsi"/>
        </w:rPr>
        <w:fldChar w:fldCharType="end"/>
      </w:r>
      <w:r>
        <w:rPr>
          <w:rFonts w:asciiTheme="minorHAnsi" w:hAnsiTheme="minorHAnsi"/>
        </w:rPr>
        <w:t>”.</w:t>
      </w:r>
    </w:p>
    <w:p w14:paraId="223D3770" w14:textId="77777777" w:rsidR="00A4394C" w:rsidRPr="00051102" w:rsidRDefault="00A4394C" w:rsidP="00A4394C">
      <w:pPr>
        <w:pStyle w:val="ListParagraph"/>
        <w:rPr>
          <w:rStyle w:val="ssleftalign"/>
          <w:rFonts w:ascii="Calibri" w:hAnsi="Calibri"/>
        </w:rPr>
      </w:pPr>
    </w:p>
    <w:p w14:paraId="4DA5544E" w14:textId="1AF15C54" w:rsidR="00416BFB" w:rsidRDefault="00416BFB" w:rsidP="006D50C7">
      <w:pPr>
        <w:pStyle w:val="Heading3"/>
      </w:pPr>
      <w:bookmarkStart w:id="2061" w:name="_Ref11826337"/>
      <w:bookmarkStart w:id="2062" w:name="_Ref11826341"/>
      <w:bookmarkStart w:id="2063" w:name="_Toc33602913"/>
      <w:r>
        <w:t>Discharge or variation of RRO</w:t>
      </w:r>
      <w:bookmarkEnd w:id="2059"/>
      <w:bookmarkEnd w:id="2060"/>
      <w:bookmarkEnd w:id="2061"/>
      <w:bookmarkEnd w:id="2062"/>
      <w:bookmarkEnd w:id="2063"/>
    </w:p>
    <w:p w14:paraId="713DA18D" w14:textId="0C629A16" w:rsidR="00416BFB" w:rsidRPr="00051102" w:rsidRDefault="00416BFB" w:rsidP="006D50C7">
      <w:pPr>
        <w:pStyle w:val="NormalIndent"/>
        <w:keepNext/>
        <w:spacing w:line="276" w:lineRule="auto"/>
        <w:jc w:val="both"/>
        <w:rPr>
          <w:rFonts w:ascii="Calibri" w:hAnsi="Calibri"/>
        </w:rPr>
      </w:pPr>
    </w:p>
    <w:p w14:paraId="798D8ABF" w14:textId="0DFCDE8C" w:rsidR="005C49CA" w:rsidRDefault="0016484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20AA provides a mechanism for an application to be made to the court which made a RRO for (amongst other things) discharge of a recognizance pursuant to a RRO or for </w:t>
      </w:r>
      <w:r w:rsidR="00C56E77">
        <w:rPr>
          <w:rFonts w:asciiTheme="minorHAnsi" w:hAnsiTheme="minorHAnsi"/>
        </w:rPr>
        <w:t>variation</w:t>
      </w:r>
      <w:r>
        <w:rPr>
          <w:rFonts w:asciiTheme="minorHAnsi" w:hAnsiTheme="minorHAnsi"/>
        </w:rPr>
        <w:t xml:space="preserve"> of its terms.  An application may be made by</w:t>
      </w:r>
      <w:r w:rsidR="005C49CA">
        <w:rPr>
          <w:rFonts w:asciiTheme="minorHAnsi" w:hAnsiTheme="minorHAnsi"/>
        </w:rPr>
        <w:t>:</w:t>
      </w:r>
      <w:r>
        <w:rPr>
          <w:rFonts w:asciiTheme="minorHAnsi" w:hAnsiTheme="minorHAnsi"/>
        </w:rPr>
        <w:t xml:space="preserve"> </w:t>
      </w:r>
    </w:p>
    <w:p w14:paraId="6F8669CA" w14:textId="34AB236D" w:rsidR="005C49CA" w:rsidRDefault="00164845"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an author</w:t>
      </w:r>
      <w:r w:rsidR="00B86888">
        <w:rPr>
          <w:rFonts w:asciiTheme="minorHAnsi" w:hAnsiTheme="minorHAnsi"/>
        </w:rPr>
        <w:t>ised</w:t>
      </w:r>
      <w:r>
        <w:rPr>
          <w:rFonts w:asciiTheme="minorHAnsi" w:hAnsiTheme="minorHAnsi"/>
        </w:rPr>
        <w:t xml:space="preserve"> person (defined in s 20AA(12) to mean “</w:t>
      </w:r>
      <w:r w:rsidRPr="00164845">
        <w:rPr>
          <w:rFonts w:asciiTheme="minorHAnsi" w:hAnsiTheme="minorHAnsi"/>
          <w:i/>
        </w:rPr>
        <w:t>the Attorney-General, the Director of Public Prosecutions or a person appointed under section 69 of the Judiciary Act 1903 to prosecute indictable offences against the laws of the Commonwealth</w:t>
      </w:r>
      <w:r>
        <w:rPr>
          <w:rFonts w:asciiTheme="minorHAnsi" w:hAnsiTheme="minorHAnsi"/>
        </w:rPr>
        <w:t>”),</w:t>
      </w:r>
    </w:p>
    <w:p w14:paraId="5331612C" w14:textId="77777777" w:rsidR="005C49CA" w:rsidRDefault="00164845"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the person who entered into the recognizance,</w:t>
      </w:r>
    </w:p>
    <w:p w14:paraId="7B137624" w14:textId="77777777" w:rsidR="005C49CA" w:rsidRDefault="00164845"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 surety or</w:t>
      </w:r>
    </w:p>
    <w:p w14:paraId="6BC8DBEA" w14:textId="6CC97855" w:rsidR="005C49CA" w:rsidRDefault="005C49CA"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 probation officer.</w:t>
      </w:r>
    </w:p>
    <w:p w14:paraId="0E105B87" w14:textId="77777777" w:rsidR="005C49CA" w:rsidRDefault="005C49CA" w:rsidP="005C49CA">
      <w:pPr>
        <w:pStyle w:val="BlockText"/>
        <w:tabs>
          <w:tab w:val="clear" w:pos="426"/>
          <w:tab w:val="clear" w:pos="993"/>
        </w:tabs>
        <w:spacing w:before="0" w:line="276" w:lineRule="auto"/>
        <w:ind w:right="0"/>
        <w:jc w:val="both"/>
        <w:rPr>
          <w:rFonts w:asciiTheme="minorHAnsi" w:hAnsiTheme="minorHAnsi"/>
        </w:rPr>
      </w:pPr>
    </w:p>
    <w:p w14:paraId="3F85066D" w14:textId="1049E108" w:rsidR="00416BFB" w:rsidRPr="00C00000" w:rsidRDefault="005C49C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On such an application, t</w:t>
      </w:r>
      <w:r w:rsidR="008069D7">
        <w:rPr>
          <w:rFonts w:asciiTheme="minorHAnsi" w:hAnsiTheme="minorHAnsi"/>
        </w:rPr>
        <w:t>he court may, amongst other things, reduce or extend (up to 5 years from when the recognizance was entered into) the recognizance, alter the conditions, insert conditions or reduce an amount to be paid under it (s 20AA(3)).</w:t>
      </w:r>
      <w:r w:rsidR="00164845">
        <w:rPr>
          <w:rFonts w:asciiTheme="minorHAnsi" w:hAnsiTheme="minorHAnsi"/>
        </w:rPr>
        <w:t xml:space="preserve"> </w:t>
      </w:r>
    </w:p>
    <w:p w14:paraId="51E65796" w14:textId="77777777" w:rsidR="0063432F" w:rsidRPr="00C00000" w:rsidRDefault="0063432F" w:rsidP="0063432F">
      <w:pPr>
        <w:pStyle w:val="ListParagraph"/>
        <w:spacing w:line="276" w:lineRule="auto"/>
        <w:ind w:left="567" w:hanging="567"/>
        <w:contextualSpacing w:val="0"/>
        <w:rPr>
          <w:rFonts w:asciiTheme="minorHAnsi" w:hAnsiTheme="minorHAnsi"/>
          <w:u w:val="single"/>
        </w:rPr>
      </w:pPr>
    </w:p>
    <w:p w14:paraId="298E49A3" w14:textId="1CEA9AAE" w:rsidR="00D230F7" w:rsidRPr="008A644D" w:rsidRDefault="00D230F7">
      <w:pPr>
        <w:pStyle w:val="Heading3"/>
      </w:pPr>
      <w:bookmarkStart w:id="2064" w:name="_Ref507257837"/>
      <w:bookmarkStart w:id="2065" w:name="_Ref507257843"/>
      <w:bookmarkStart w:id="2066" w:name="_Toc33602914"/>
      <w:r w:rsidRPr="008A644D">
        <w:t xml:space="preserve">Breach </w:t>
      </w:r>
      <w:r w:rsidR="00A80BD3" w:rsidRPr="008A644D">
        <w:t>of RRO</w:t>
      </w:r>
      <w:bookmarkEnd w:id="2064"/>
      <w:bookmarkEnd w:id="2065"/>
      <w:bookmarkEnd w:id="2066"/>
    </w:p>
    <w:p w14:paraId="52ABBEA4" w14:textId="77777777" w:rsidR="00D230F7" w:rsidRPr="00C00000" w:rsidRDefault="00D230F7" w:rsidP="006D50C7">
      <w:pPr>
        <w:pStyle w:val="NormalIndent"/>
        <w:keepNext/>
        <w:spacing w:line="276" w:lineRule="auto"/>
        <w:jc w:val="both"/>
        <w:rPr>
          <w:rFonts w:asciiTheme="minorHAnsi" w:hAnsiTheme="minorHAnsi"/>
        </w:rPr>
      </w:pPr>
    </w:p>
    <w:p w14:paraId="47AD6CE3" w14:textId="28D7B3FE" w:rsidR="00AD5C41" w:rsidRDefault="00AD5C4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procedure for dealing with a breach of a RRO is governed by s 20A of the </w:t>
      </w:r>
      <w:r w:rsidR="00885EFD" w:rsidRPr="00885EFD">
        <w:rPr>
          <w:rFonts w:asciiTheme="minorHAnsi" w:hAnsiTheme="minorHAnsi"/>
          <w:i/>
        </w:rPr>
        <w:t>Crimes Act 1914</w:t>
      </w:r>
      <w:r>
        <w:rPr>
          <w:rFonts w:asciiTheme="minorHAnsi" w:hAnsiTheme="minorHAnsi"/>
        </w:rPr>
        <w:t xml:space="preserve"> (Cth).</w:t>
      </w:r>
    </w:p>
    <w:p w14:paraId="7B6F0FAF" w14:textId="77777777" w:rsidR="00AD5C41" w:rsidRPr="00AD5C41" w:rsidRDefault="00AD5C41" w:rsidP="00AD5C41">
      <w:pPr>
        <w:tabs>
          <w:tab w:val="left" w:pos="567"/>
          <w:tab w:val="left" w:pos="709"/>
          <w:tab w:val="left" w:pos="993"/>
          <w:tab w:val="left" w:pos="1276"/>
        </w:tabs>
        <w:spacing w:line="276" w:lineRule="auto"/>
        <w:ind w:right="-1"/>
        <w:rPr>
          <w:rFonts w:asciiTheme="minorHAnsi" w:hAnsiTheme="minorHAnsi"/>
        </w:rPr>
      </w:pPr>
    </w:p>
    <w:p w14:paraId="7B6F80DE" w14:textId="7AFE846A" w:rsidR="00A678F9" w:rsidRDefault="00D230F7"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Breach action is initiated by information</w:t>
      </w:r>
      <w:r w:rsidR="003130FB">
        <w:rPr>
          <w:rFonts w:asciiTheme="minorHAnsi" w:hAnsiTheme="minorHAnsi"/>
        </w:rPr>
        <w:t xml:space="preserve"> laid before a magistrate </w:t>
      </w:r>
      <w:r w:rsidR="00892C11">
        <w:rPr>
          <w:rFonts w:asciiTheme="minorHAnsi" w:hAnsiTheme="minorHAnsi"/>
        </w:rPr>
        <w:t xml:space="preserve">alleging that the person has, without reasonable cause or excuse, failed to comply with a condition of the order </w:t>
      </w:r>
      <w:r w:rsidR="003130FB">
        <w:rPr>
          <w:rFonts w:asciiTheme="minorHAnsi" w:hAnsiTheme="minorHAnsi"/>
        </w:rPr>
        <w:t>(s 20A(1))</w:t>
      </w:r>
      <w:r w:rsidR="00AD5C41">
        <w:rPr>
          <w:rFonts w:asciiTheme="minorHAnsi" w:hAnsiTheme="minorHAnsi"/>
        </w:rPr>
        <w:t>.</w:t>
      </w:r>
      <w:r w:rsidRPr="00C00000">
        <w:rPr>
          <w:rFonts w:asciiTheme="minorHAnsi" w:hAnsiTheme="minorHAnsi"/>
        </w:rPr>
        <w:t xml:space="preserve"> </w:t>
      </w:r>
      <w:r w:rsidR="00AD5C41">
        <w:rPr>
          <w:rFonts w:asciiTheme="minorHAnsi" w:hAnsiTheme="minorHAnsi"/>
        </w:rPr>
        <w:t xml:space="preserve"> </w:t>
      </w:r>
      <w:r w:rsidR="003130FB">
        <w:rPr>
          <w:rFonts w:asciiTheme="minorHAnsi" w:hAnsiTheme="minorHAnsi"/>
        </w:rPr>
        <w:t>The magistrate may issue a summ</w:t>
      </w:r>
      <w:r w:rsidR="00892C11">
        <w:rPr>
          <w:rFonts w:asciiTheme="minorHAnsi" w:hAnsiTheme="minorHAnsi"/>
        </w:rPr>
        <w:t>ons directing the person to appear, on a date, and at a time and place fixed in the summons, before the court by which the order was made (s 20A(1)(a)).</w:t>
      </w:r>
    </w:p>
    <w:p w14:paraId="47663F0E" w14:textId="77777777" w:rsidR="00A678F9" w:rsidRPr="00A678F9" w:rsidRDefault="00A678F9" w:rsidP="00A678F9">
      <w:pPr>
        <w:pStyle w:val="ListParagraph"/>
        <w:rPr>
          <w:rFonts w:asciiTheme="minorHAnsi" w:hAnsiTheme="minorHAnsi"/>
        </w:rPr>
      </w:pPr>
    </w:p>
    <w:p w14:paraId="7D1C0258" w14:textId="15D1F711" w:rsidR="00892C11" w:rsidRDefault="00892C1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the information is laid on oath and the magistrate is satisfied that proceedings by summons might not be effective, the magistrate may issue a </w:t>
      </w:r>
      <w:r w:rsidR="00D230F7" w:rsidRPr="00C00000">
        <w:rPr>
          <w:rFonts w:asciiTheme="minorHAnsi" w:hAnsiTheme="minorHAnsi"/>
        </w:rPr>
        <w:t xml:space="preserve">warrant </w:t>
      </w:r>
      <w:r>
        <w:rPr>
          <w:rFonts w:asciiTheme="minorHAnsi" w:hAnsiTheme="minorHAnsi"/>
        </w:rPr>
        <w:t>for the apprehension of the person (s 20A(1)(b)).</w:t>
      </w:r>
      <w:r w:rsidR="00A678F9">
        <w:rPr>
          <w:rFonts w:asciiTheme="minorHAnsi" w:hAnsiTheme="minorHAnsi"/>
        </w:rPr>
        <w:t xml:space="preserve">  Provision is made for bail or remand of the person following their arrest (s 20A(4)). </w:t>
      </w:r>
    </w:p>
    <w:p w14:paraId="648E3E72" w14:textId="77777777" w:rsidR="00892C11" w:rsidRPr="00892C11" w:rsidRDefault="00892C11" w:rsidP="00892C11">
      <w:pPr>
        <w:pStyle w:val="ListParagraph"/>
        <w:rPr>
          <w:rFonts w:asciiTheme="minorHAnsi" w:hAnsiTheme="minorHAnsi"/>
        </w:rPr>
      </w:pPr>
    </w:p>
    <w:p w14:paraId="270FFA86" w14:textId="7990C28B" w:rsidR="00A678F9" w:rsidRDefault="00A678F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the person fails to attend before the court as required, the court may issue an arrest warrant (s 20A(2)).</w:t>
      </w:r>
    </w:p>
    <w:p w14:paraId="09DDA802" w14:textId="77777777" w:rsidR="00A678F9" w:rsidRPr="00A678F9" w:rsidRDefault="00A678F9" w:rsidP="00A678F9">
      <w:pPr>
        <w:pStyle w:val="ListParagraph"/>
        <w:rPr>
          <w:rFonts w:asciiTheme="minorHAnsi" w:hAnsiTheme="minorHAnsi"/>
        </w:rPr>
      </w:pPr>
    </w:p>
    <w:p w14:paraId="21BD7DE9" w14:textId="1F6E27D0" w:rsidR="00D230F7" w:rsidRPr="00C00000" w:rsidRDefault="00892C1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information must be laid before the end of the period for which the person is required by the order to give security to be of good behaviour, unless the failure</w:t>
      </w:r>
      <w:r w:rsidR="00361054">
        <w:rPr>
          <w:rFonts w:asciiTheme="minorHAnsi" w:hAnsiTheme="minorHAnsi"/>
        </w:rPr>
        <w:t xml:space="preserve"> to comply is constituted by the commission of an offence</w:t>
      </w:r>
      <w:r w:rsidR="002F0B60">
        <w:rPr>
          <w:rFonts w:asciiTheme="minorHAnsi" w:hAnsiTheme="minorHAnsi"/>
        </w:rPr>
        <w:t xml:space="preserve"> (s 20A(1A))</w:t>
      </w:r>
      <w:r w:rsidR="00361054">
        <w:rPr>
          <w:rFonts w:asciiTheme="minorHAnsi" w:hAnsiTheme="minorHAnsi"/>
        </w:rPr>
        <w:t>.</w:t>
      </w:r>
    </w:p>
    <w:p w14:paraId="7D940F6F" w14:textId="77777777" w:rsidR="00D230F7" w:rsidRPr="00C00000" w:rsidRDefault="00D230F7" w:rsidP="00D230F7">
      <w:pPr>
        <w:pStyle w:val="ListParagraph"/>
        <w:tabs>
          <w:tab w:val="left" w:pos="709"/>
          <w:tab w:val="left" w:pos="993"/>
          <w:tab w:val="left" w:pos="1276"/>
        </w:tabs>
        <w:spacing w:line="276" w:lineRule="auto"/>
        <w:ind w:left="567" w:right="-1" w:hanging="567"/>
        <w:rPr>
          <w:rFonts w:asciiTheme="minorHAnsi" w:hAnsiTheme="minorHAnsi"/>
        </w:rPr>
      </w:pPr>
    </w:p>
    <w:p w14:paraId="34211394" w14:textId="2DC553F7" w:rsidR="00D230F7" w:rsidRPr="00C00000" w:rsidRDefault="00A678F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w:t>
      </w:r>
      <w:r w:rsidR="00D230F7" w:rsidRPr="00C00000">
        <w:rPr>
          <w:rFonts w:asciiTheme="minorHAnsi" w:hAnsiTheme="minorHAnsi"/>
        </w:rPr>
        <w:t xml:space="preserve">the court </w:t>
      </w:r>
      <w:r>
        <w:rPr>
          <w:rFonts w:asciiTheme="minorHAnsi" w:hAnsiTheme="minorHAnsi"/>
        </w:rPr>
        <w:t xml:space="preserve">which made the RRO </w:t>
      </w:r>
      <w:r w:rsidR="00D230F7" w:rsidRPr="00C00000">
        <w:rPr>
          <w:rFonts w:asciiTheme="minorHAnsi" w:hAnsiTheme="minorHAnsi"/>
        </w:rPr>
        <w:t xml:space="preserve">is satisfied that the person has without reasonable </w:t>
      </w:r>
      <w:r w:rsidR="006017C6">
        <w:rPr>
          <w:rFonts w:asciiTheme="minorHAnsi" w:hAnsiTheme="minorHAnsi"/>
        </w:rPr>
        <w:t xml:space="preserve">cause or </w:t>
      </w:r>
      <w:r w:rsidR="00D230F7" w:rsidRPr="00C00000">
        <w:rPr>
          <w:rFonts w:asciiTheme="minorHAnsi" w:hAnsiTheme="minorHAnsi"/>
        </w:rPr>
        <w:t>excuse failed to comply with a condition</w:t>
      </w:r>
      <w:r w:rsidR="006017C6">
        <w:rPr>
          <w:rFonts w:asciiTheme="minorHAnsi" w:hAnsiTheme="minorHAnsi"/>
        </w:rPr>
        <w:t xml:space="preserve"> of the order</w:t>
      </w:r>
      <w:r w:rsidR="00AD5C41">
        <w:rPr>
          <w:rFonts w:asciiTheme="minorHAnsi" w:hAnsiTheme="minorHAnsi"/>
        </w:rPr>
        <w:t>,</w:t>
      </w:r>
      <w:r w:rsidR="00D230F7" w:rsidRPr="00C00000">
        <w:rPr>
          <w:rFonts w:asciiTheme="minorHAnsi" w:hAnsiTheme="minorHAnsi"/>
        </w:rPr>
        <w:t xml:space="preserve"> </w:t>
      </w:r>
      <w:r w:rsidR="00D230F7" w:rsidRPr="00CA7FB2">
        <w:rPr>
          <w:rFonts w:asciiTheme="minorHAnsi" w:hAnsiTheme="minorHAnsi"/>
          <w:b/>
        </w:rPr>
        <w:t xml:space="preserve">the options </w:t>
      </w:r>
      <w:r w:rsidR="00AD5C41" w:rsidRPr="00CA7FB2">
        <w:rPr>
          <w:rFonts w:asciiTheme="minorHAnsi" w:hAnsiTheme="minorHAnsi"/>
          <w:b/>
        </w:rPr>
        <w:t>available to the court</w:t>
      </w:r>
      <w:r w:rsidR="00AD5C41">
        <w:rPr>
          <w:rFonts w:asciiTheme="minorHAnsi" w:hAnsiTheme="minorHAnsi"/>
        </w:rPr>
        <w:t xml:space="preserve"> </w:t>
      </w:r>
      <w:r w:rsidR="00D230F7" w:rsidRPr="00C00000">
        <w:rPr>
          <w:rFonts w:asciiTheme="minorHAnsi" w:hAnsiTheme="minorHAnsi"/>
        </w:rPr>
        <w:t>are set out in s 20A(5)(c)</w:t>
      </w:r>
      <w:r w:rsidR="006017C6">
        <w:rPr>
          <w:rFonts w:asciiTheme="minorHAnsi" w:hAnsiTheme="minorHAnsi"/>
        </w:rPr>
        <w:t xml:space="preserve"> (read in conjunction with s</w:t>
      </w:r>
      <w:r w:rsidR="00D230F7" w:rsidRPr="00C00000">
        <w:rPr>
          <w:rFonts w:asciiTheme="minorHAnsi" w:hAnsiTheme="minorHAnsi"/>
        </w:rPr>
        <w:t xml:space="preserve"> 20A(5A) and (5B)</w:t>
      </w:r>
      <w:r w:rsidR="006017C6">
        <w:rPr>
          <w:rFonts w:asciiTheme="minorHAnsi" w:hAnsiTheme="minorHAnsi"/>
        </w:rPr>
        <w:t>)</w:t>
      </w:r>
      <w:r w:rsidR="00D230F7" w:rsidRPr="00C00000">
        <w:rPr>
          <w:rFonts w:asciiTheme="minorHAnsi" w:hAnsiTheme="minorHAnsi"/>
        </w:rPr>
        <w:t>.  They are:</w:t>
      </w:r>
    </w:p>
    <w:p w14:paraId="5AAADE06" w14:textId="3147A880" w:rsidR="006017C6" w:rsidRPr="00C00000" w:rsidRDefault="006017C6"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impose </w:t>
      </w:r>
      <w:r w:rsidRPr="005C49CA">
        <w:rPr>
          <w:rFonts w:asciiTheme="minorHAnsi" w:hAnsiTheme="minorHAnsi"/>
          <w:i/>
        </w:rPr>
        <w:t>a monetary penalty not exceeding $1,</w:t>
      </w:r>
      <w:r w:rsidR="00EE731F" w:rsidRPr="005C49CA">
        <w:rPr>
          <w:rFonts w:asciiTheme="minorHAnsi" w:hAnsiTheme="minorHAnsi"/>
          <w:i/>
        </w:rPr>
        <w:t>0</w:t>
      </w:r>
      <w:r w:rsidRPr="005C49CA">
        <w:rPr>
          <w:rFonts w:asciiTheme="minorHAnsi" w:hAnsiTheme="minorHAnsi"/>
          <w:i/>
        </w:rPr>
        <w:t>00</w:t>
      </w:r>
      <w:r w:rsidR="001B71EC">
        <w:rPr>
          <w:rFonts w:asciiTheme="minorHAnsi" w:hAnsiTheme="minorHAnsi"/>
        </w:rPr>
        <w:t xml:space="preserve"> (s 20A(5)(c)(ia))</w:t>
      </w:r>
      <w:r w:rsidR="00670F1B">
        <w:rPr>
          <w:rFonts w:asciiTheme="minorHAnsi" w:hAnsiTheme="minorHAnsi"/>
        </w:rPr>
        <w:t>;</w:t>
      </w:r>
      <w:r w:rsidR="00670F1B" w:rsidRPr="00C00000">
        <w:rPr>
          <w:rStyle w:val="Style"/>
          <w:rFonts w:asciiTheme="minorHAnsi" w:hAnsiTheme="minorHAnsi"/>
        </w:rPr>
        <w:footnoteReference w:id="862"/>
      </w:r>
      <w:r w:rsidR="001B71EC">
        <w:rPr>
          <w:rFonts w:asciiTheme="minorHAnsi" w:hAnsiTheme="minorHAnsi"/>
        </w:rPr>
        <w:t xml:space="preserve"> or</w:t>
      </w:r>
    </w:p>
    <w:p w14:paraId="58144740" w14:textId="251C04C1" w:rsidR="001B71EC" w:rsidRPr="00C00000" w:rsidRDefault="001B71EC"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amend the order to </w:t>
      </w:r>
      <w:r w:rsidRPr="005C49CA">
        <w:rPr>
          <w:rFonts w:asciiTheme="minorHAnsi" w:hAnsiTheme="minorHAnsi"/>
          <w:i/>
        </w:rPr>
        <w:t>extend the good behaviour period</w:t>
      </w:r>
      <w:r w:rsidRPr="00C00000">
        <w:rPr>
          <w:rFonts w:asciiTheme="minorHAnsi" w:hAnsiTheme="minorHAnsi"/>
        </w:rPr>
        <w:t xml:space="preserve"> </w:t>
      </w:r>
      <w:r>
        <w:rPr>
          <w:rFonts w:asciiTheme="minorHAnsi" w:hAnsiTheme="minorHAnsi"/>
        </w:rPr>
        <w:t>(s 20A(5)(c)(ib)),</w:t>
      </w:r>
      <w:r w:rsidR="008F4B55" w:rsidRPr="00C00000">
        <w:rPr>
          <w:rStyle w:val="Style"/>
          <w:rFonts w:asciiTheme="minorHAnsi" w:hAnsiTheme="minorHAnsi"/>
        </w:rPr>
        <w:footnoteReference w:id="863"/>
      </w:r>
      <w:r w:rsidRPr="00C00000">
        <w:rPr>
          <w:rFonts w:asciiTheme="minorHAnsi" w:hAnsiTheme="minorHAnsi"/>
        </w:rPr>
        <w:t xml:space="preserve"> </w:t>
      </w:r>
      <w:r>
        <w:rPr>
          <w:rFonts w:asciiTheme="minorHAnsi" w:hAnsiTheme="minorHAnsi"/>
        </w:rPr>
        <w:t>but not so as to be more than</w:t>
      </w:r>
      <w:r w:rsidRPr="00C00000">
        <w:rPr>
          <w:rFonts w:asciiTheme="minorHAnsi" w:hAnsiTheme="minorHAnsi"/>
        </w:rPr>
        <w:t xml:space="preserve"> 5 years</w:t>
      </w:r>
      <w:r>
        <w:rPr>
          <w:rFonts w:asciiTheme="minorHAnsi" w:hAnsiTheme="minorHAnsi"/>
        </w:rPr>
        <w:t xml:space="preserve"> (s 20A(5A)</w:t>
      </w:r>
      <w:r w:rsidRPr="00C00000">
        <w:rPr>
          <w:rFonts w:asciiTheme="minorHAnsi" w:hAnsiTheme="minorHAnsi"/>
        </w:rPr>
        <w:t>);</w:t>
      </w:r>
      <w:r w:rsidR="00270999" w:rsidRPr="00C00000">
        <w:rPr>
          <w:rStyle w:val="Style"/>
          <w:rFonts w:asciiTheme="minorHAnsi" w:hAnsiTheme="minorHAnsi"/>
        </w:rPr>
        <w:footnoteReference w:id="864"/>
      </w:r>
      <w:r w:rsidRPr="00C00000">
        <w:rPr>
          <w:rFonts w:asciiTheme="minorHAnsi" w:hAnsiTheme="minorHAnsi"/>
        </w:rPr>
        <w:t xml:space="preserve"> or</w:t>
      </w:r>
    </w:p>
    <w:p w14:paraId="44C50A38" w14:textId="7855C3D3" w:rsidR="006017C6" w:rsidRDefault="001B71EC" w:rsidP="00EB7F1E">
      <w:pPr>
        <w:pStyle w:val="ListParagraph"/>
        <w:numPr>
          <w:ilvl w:val="1"/>
          <w:numId w:val="36"/>
        </w:numPr>
        <w:spacing w:line="276" w:lineRule="auto"/>
        <w:ind w:left="993" w:right="28" w:hanging="142"/>
        <w:rPr>
          <w:rFonts w:asciiTheme="minorHAnsi" w:hAnsiTheme="minorHAnsi"/>
        </w:rPr>
      </w:pPr>
      <w:r w:rsidRPr="005C49CA">
        <w:rPr>
          <w:rFonts w:asciiTheme="minorHAnsi" w:hAnsiTheme="minorHAnsi"/>
          <w:i/>
        </w:rPr>
        <w:t>revoke the order and make an order under s 20AB</w:t>
      </w:r>
      <w:r w:rsidR="00270999">
        <w:rPr>
          <w:rFonts w:asciiTheme="minorHAnsi" w:hAnsiTheme="minorHAnsi"/>
        </w:rPr>
        <w:t xml:space="preserve"> (s 20A(5)(c)(ic)); or</w:t>
      </w:r>
    </w:p>
    <w:p w14:paraId="54861709" w14:textId="51A3DDA9" w:rsidR="00270999" w:rsidRPr="00C00000" w:rsidRDefault="00270999"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revoke the order and </w:t>
      </w:r>
      <w:r>
        <w:rPr>
          <w:rFonts w:asciiTheme="minorHAnsi" w:hAnsiTheme="minorHAnsi"/>
        </w:rPr>
        <w:t>deal with</w:t>
      </w:r>
      <w:r w:rsidRPr="00C00000">
        <w:rPr>
          <w:rFonts w:asciiTheme="minorHAnsi" w:hAnsiTheme="minorHAnsi"/>
        </w:rPr>
        <w:t xml:space="preserve"> the person </w:t>
      </w:r>
      <w:r>
        <w:rPr>
          <w:rFonts w:asciiTheme="minorHAnsi" w:hAnsiTheme="minorHAnsi"/>
        </w:rPr>
        <w:t xml:space="preserve">for the offence or offences in respect of which the order was made by </w:t>
      </w:r>
      <w:r w:rsidRPr="005C49CA">
        <w:rPr>
          <w:rFonts w:asciiTheme="minorHAnsi" w:hAnsiTheme="minorHAnsi"/>
          <w:i/>
        </w:rPr>
        <w:t>ordering that the person be imprison</w:t>
      </w:r>
      <w:r w:rsidR="00670F1B" w:rsidRPr="005C49CA">
        <w:rPr>
          <w:rFonts w:asciiTheme="minorHAnsi" w:hAnsiTheme="minorHAnsi"/>
          <w:i/>
        </w:rPr>
        <w:t>ed</w:t>
      </w:r>
      <w:r w:rsidR="00670F1B">
        <w:rPr>
          <w:rFonts w:asciiTheme="minorHAnsi" w:hAnsiTheme="minorHAnsi"/>
        </w:rPr>
        <w:t xml:space="preserve"> for that part of each sentence of imprisonment fixed under s 20(1)(b) that the person had not served at the time of his or her release</w:t>
      </w:r>
      <w:r w:rsidR="00C05C3D">
        <w:rPr>
          <w:rFonts w:asciiTheme="minorHAnsi" w:hAnsiTheme="minorHAnsi"/>
        </w:rPr>
        <w:t xml:space="preserve"> (s 20A(5)(c)(i))</w:t>
      </w:r>
      <w:r w:rsidR="00670F1B">
        <w:rPr>
          <w:rFonts w:asciiTheme="minorHAnsi" w:hAnsiTheme="minorHAnsi"/>
        </w:rPr>
        <w:t>;</w:t>
      </w:r>
      <w:r w:rsidR="00670F1B" w:rsidRPr="00C00000">
        <w:rPr>
          <w:rStyle w:val="Style"/>
          <w:rFonts w:asciiTheme="minorHAnsi" w:hAnsiTheme="minorHAnsi"/>
        </w:rPr>
        <w:footnoteReference w:id="865"/>
      </w:r>
      <w:r w:rsidR="00670F1B">
        <w:rPr>
          <w:rFonts w:asciiTheme="minorHAnsi" w:hAnsiTheme="minorHAnsi"/>
        </w:rPr>
        <w:t xml:space="preserve"> or</w:t>
      </w:r>
    </w:p>
    <w:p w14:paraId="30483D96" w14:textId="32234CB0" w:rsidR="00D230F7" w:rsidRPr="00C00000" w:rsidRDefault="00D230F7" w:rsidP="00EB7F1E">
      <w:pPr>
        <w:pStyle w:val="ListParagraph"/>
        <w:numPr>
          <w:ilvl w:val="1"/>
          <w:numId w:val="36"/>
        </w:numPr>
        <w:spacing w:line="276" w:lineRule="auto"/>
        <w:ind w:left="993" w:right="28" w:hanging="142"/>
        <w:rPr>
          <w:rFonts w:asciiTheme="minorHAnsi" w:hAnsiTheme="minorHAnsi"/>
        </w:rPr>
      </w:pPr>
      <w:r w:rsidRPr="005C49CA">
        <w:rPr>
          <w:rFonts w:asciiTheme="minorHAnsi" w:hAnsiTheme="minorHAnsi"/>
          <w:i/>
        </w:rPr>
        <w:t>take no action</w:t>
      </w:r>
      <w:r w:rsidR="00C05C3D">
        <w:rPr>
          <w:rFonts w:asciiTheme="minorHAnsi" w:hAnsiTheme="minorHAnsi"/>
        </w:rPr>
        <w:t xml:space="preserve"> (s 20A(5)(c)(ii)).</w:t>
      </w:r>
    </w:p>
    <w:p w14:paraId="7C55CE92" w14:textId="77777777" w:rsidR="00D230F7" w:rsidRPr="00C00000" w:rsidRDefault="00D230F7" w:rsidP="00D230F7">
      <w:pPr>
        <w:pStyle w:val="ListParagraph"/>
        <w:spacing w:line="276" w:lineRule="auto"/>
        <w:ind w:left="567" w:right="-1" w:hanging="567"/>
        <w:rPr>
          <w:rFonts w:asciiTheme="minorHAnsi" w:hAnsiTheme="minorHAnsi"/>
        </w:rPr>
      </w:pPr>
    </w:p>
    <w:p w14:paraId="2F7D6307" w14:textId="089797B2" w:rsidR="00247B0B" w:rsidRDefault="00247B0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court may also order that any recognizance or surety be estreated, or that any other security be enforced (s 20A(7)</w:t>
      </w:r>
      <w:r w:rsidR="00484F0D">
        <w:rPr>
          <w:rFonts w:asciiTheme="minorHAnsi" w:hAnsiTheme="minorHAnsi"/>
        </w:rPr>
        <w:t>)</w:t>
      </w:r>
      <w:r>
        <w:rPr>
          <w:rFonts w:asciiTheme="minorHAnsi" w:hAnsiTheme="minorHAnsi"/>
        </w:rPr>
        <w:t>.</w:t>
      </w:r>
    </w:p>
    <w:p w14:paraId="6186F8C1" w14:textId="77777777" w:rsidR="00247B0B" w:rsidRPr="00247B0B" w:rsidRDefault="00247B0B" w:rsidP="00247B0B">
      <w:pPr>
        <w:spacing w:line="276" w:lineRule="auto"/>
        <w:ind w:right="-1"/>
        <w:rPr>
          <w:rFonts w:asciiTheme="minorHAnsi" w:hAnsiTheme="minorHAnsi"/>
        </w:rPr>
      </w:pPr>
    </w:p>
    <w:p w14:paraId="01829651" w14:textId="180CDDB3" w:rsidR="00A4036C" w:rsidRDefault="00A4036C"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Where a court exercises the power under s 20A(5)(c)</w:t>
      </w:r>
      <w:r>
        <w:rPr>
          <w:rFonts w:asciiTheme="minorHAnsi" w:hAnsiTheme="minorHAnsi"/>
        </w:rPr>
        <w:t>(i)</w:t>
      </w:r>
      <w:r w:rsidRPr="00C00000">
        <w:rPr>
          <w:rFonts w:asciiTheme="minorHAnsi" w:hAnsiTheme="minorHAnsi"/>
        </w:rPr>
        <w:t xml:space="preserve"> the court does not have the power to </w:t>
      </w:r>
      <w:r w:rsidR="002A2FE2">
        <w:rPr>
          <w:rFonts w:asciiTheme="minorHAnsi" w:hAnsiTheme="minorHAnsi"/>
        </w:rPr>
        <w:t>reduce</w:t>
      </w:r>
      <w:r w:rsidRPr="00C00000">
        <w:rPr>
          <w:rFonts w:asciiTheme="minorHAnsi" w:hAnsiTheme="minorHAnsi"/>
        </w:rPr>
        <w:t xml:space="preserve"> the </w:t>
      </w:r>
      <w:r w:rsidR="002A2FE2">
        <w:rPr>
          <w:rFonts w:asciiTheme="minorHAnsi" w:hAnsiTheme="minorHAnsi"/>
        </w:rPr>
        <w:t>period</w:t>
      </w:r>
      <w:r w:rsidRPr="00C00000">
        <w:rPr>
          <w:rFonts w:asciiTheme="minorHAnsi" w:hAnsiTheme="minorHAnsi"/>
        </w:rPr>
        <w:t xml:space="preserve"> of imprisonment which stands to be served.</w:t>
      </w:r>
      <w:r w:rsidRPr="00C00000">
        <w:rPr>
          <w:rStyle w:val="Style"/>
          <w:rFonts w:asciiTheme="minorHAnsi" w:hAnsiTheme="minorHAnsi"/>
        </w:rPr>
        <w:footnoteReference w:id="866"/>
      </w:r>
      <w:r>
        <w:rPr>
          <w:rFonts w:asciiTheme="minorHAnsi" w:hAnsiTheme="minorHAnsi"/>
        </w:rPr>
        <w:t xml:space="preserve">  If the court proceeds under that sub-paragraph, the offender must be ordered to serve the whole of the unserved portion of the sentence.</w:t>
      </w:r>
    </w:p>
    <w:p w14:paraId="23F8590D" w14:textId="77777777" w:rsidR="00A4036C" w:rsidRPr="00A4036C" w:rsidRDefault="00A4036C" w:rsidP="00A4036C">
      <w:pPr>
        <w:pStyle w:val="ListParagraph"/>
        <w:rPr>
          <w:rFonts w:asciiTheme="minorHAnsi" w:hAnsiTheme="minorHAnsi"/>
        </w:rPr>
      </w:pPr>
    </w:p>
    <w:p w14:paraId="787A4AC4" w14:textId="6CBEB58E" w:rsidR="007C6DC5" w:rsidRDefault="00B5731C"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Under </w:t>
      </w:r>
      <w:r w:rsidR="004952AC" w:rsidRPr="00C00000">
        <w:rPr>
          <w:rFonts w:asciiTheme="minorHAnsi" w:hAnsiTheme="minorHAnsi"/>
        </w:rPr>
        <w:t>s 20A(5)(c)</w:t>
      </w:r>
      <w:r w:rsidR="004952AC">
        <w:rPr>
          <w:rFonts w:asciiTheme="minorHAnsi" w:hAnsiTheme="minorHAnsi"/>
        </w:rPr>
        <w:t>(ic)</w:t>
      </w:r>
      <w:r>
        <w:rPr>
          <w:rFonts w:asciiTheme="minorHAnsi" w:hAnsiTheme="minorHAnsi"/>
        </w:rPr>
        <w:t>, the court may</w:t>
      </w:r>
      <w:r w:rsidR="004952AC">
        <w:rPr>
          <w:rFonts w:asciiTheme="minorHAnsi" w:hAnsiTheme="minorHAnsi"/>
        </w:rPr>
        <w:t xml:space="preserve"> “</w:t>
      </w:r>
      <w:r w:rsidR="004952AC" w:rsidRPr="004952AC">
        <w:rPr>
          <w:rFonts w:asciiTheme="minorHAnsi" w:hAnsiTheme="minorHAnsi"/>
          <w:i/>
        </w:rPr>
        <w:t>revoke the order and make an order under section 20AB</w:t>
      </w:r>
      <w:r w:rsidR="004952AC">
        <w:rPr>
          <w:rFonts w:asciiTheme="minorHAnsi" w:hAnsiTheme="minorHAnsi"/>
        </w:rPr>
        <w:t>”</w:t>
      </w:r>
      <w:r>
        <w:rPr>
          <w:rFonts w:asciiTheme="minorHAnsi" w:hAnsiTheme="minorHAnsi"/>
        </w:rPr>
        <w:t>.</w:t>
      </w:r>
      <w:r w:rsidR="004952AC">
        <w:rPr>
          <w:rFonts w:asciiTheme="minorHAnsi" w:hAnsiTheme="minorHAnsi"/>
        </w:rPr>
        <w:t xml:space="preserve"> </w:t>
      </w:r>
      <w:r>
        <w:rPr>
          <w:rFonts w:asciiTheme="minorHAnsi" w:hAnsiTheme="minorHAnsi"/>
        </w:rPr>
        <w:t xml:space="preserve"> </w:t>
      </w:r>
      <w:r w:rsidR="00B259E8">
        <w:rPr>
          <w:rFonts w:asciiTheme="minorHAnsi" w:hAnsiTheme="minorHAnsi"/>
        </w:rPr>
        <w:t>(</w:t>
      </w:r>
      <w:r>
        <w:rPr>
          <w:rFonts w:asciiTheme="minorHAnsi" w:hAnsiTheme="minorHAnsi"/>
        </w:rPr>
        <w:t xml:space="preserve">Section 20AB </w:t>
      </w:r>
      <w:r w:rsidR="007C6DC5">
        <w:rPr>
          <w:rFonts w:asciiTheme="minorHAnsi" w:hAnsiTheme="minorHAnsi"/>
        </w:rPr>
        <w:t>applies certain State and Territory sentencing options to the sentencing of a federal offender</w:t>
      </w:r>
      <w:r w:rsidR="00B259E8">
        <w:rPr>
          <w:rFonts w:asciiTheme="minorHAnsi" w:hAnsiTheme="minorHAnsi"/>
        </w:rPr>
        <w:t>:</w:t>
      </w:r>
      <w:r>
        <w:rPr>
          <w:rFonts w:asciiTheme="minorHAnsi" w:hAnsiTheme="minorHAnsi"/>
        </w:rPr>
        <w:t xml:space="preserve"> see “</w:t>
      </w:r>
      <w:r>
        <w:rPr>
          <w:rFonts w:asciiTheme="minorHAnsi" w:hAnsiTheme="minorHAnsi"/>
        </w:rPr>
        <w:fldChar w:fldCharType="begin"/>
      </w:r>
      <w:r>
        <w:rPr>
          <w:rFonts w:asciiTheme="minorHAnsi" w:hAnsiTheme="minorHAnsi"/>
        </w:rPr>
        <w:instrText xml:space="preserve"> REF _Ref492478336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5.7</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_Ref492478336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 xml:space="preserve">Orders applied by </w:t>
      </w:r>
      <w:r w:rsidR="00D44BCF" w:rsidRPr="00D44BCF">
        <w:rPr>
          <w:rFonts w:asciiTheme="minorHAnsi" w:hAnsiTheme="minorHAnsi"/>
          <w:i/>
        </w:rPr>
        <w:t>Crimes Act 1914,</w:t>
      </w:r>
      <w:r w:rsidR="00D44BCF" w:rsidRPr="00D44BCF">
        <w:rPr>
          <w:rFonts w:asciiTheme="minorHAnsi" w:hAnsiTheme="minorHAnsi"/>
        </w:rPr>
        <w:t xml:space="preserve"> s.20AB</w:t>
      </w:r>
      <w:r>
        <w:rPr>
          <w:rFonts w:asciiTheme="minorHAnsi" w:hAnsiTheme="minorHAnsi"/>
        </w:rPr>
        <w:fldChar w:fldCharType="end"/>
      </w:r>
      <w:r>
        <w:rPr>
          <w:rFonts w:asciiTheme="minorHAnsi" w:hAnsiTheme="minorHAnsi"/>
        </w:rPr>
        <w:t>”</w:t>
      </w:r>
      <w:r w:rsidR="00B259E8">
        <w:rPr>
          <w:rFonts w:asciiTheme="minorHAnsi" w:hAnsiTheme="minorHAnsi"/>
        </w:rPr>
        <w:t>.</w:t>
      </w:r>
      <w:r w:rsidR="007C6DC5">
        <w:rPr>
          <w:rFonts w:asciiTheme="minorHAnsi" w:hAnsiTheme="minorHAnsi"/>
        </w:rPr>
        <w:t xml:space="preserve">) </w:t>
      </w:r>
      <w:r w:rsidR="00B259E8">
        <w:rPr>
          <w:rFonts w:asciiTheme="minorHAnsi" w:hAnsiTheme="minorHAnsi"/>
        </w:rPr>
        <w:t xml:space="preserve"> The power in </w:t>
      </w:r>
      <w:r w:rsidR="00B259E8" w:rsidRPr="00C00000">
        <w:rPr>
          <w:rFonts w:asciiTheme="minorHAnsi" w:hAnsiTheme="minorHAnsi"/>
        </w:rPr>
        <w:t>s 20A(5)(c)</w:t>
      </w:r>
      <w:r w:rsidR="00B259E8">
        <w:rPr>
          <w:rFonts w:asciiTheme="minorHAnsi" w:hAnsiTheme="minorHAnsi"/>
        </w:rPr>
        <w:t xml:space="preserve">(ic) </w:t>
      </w:r>
      <w:r w:rsidR="004952AC">
        <w:rPr>
          <w:rFonts w:asciiTheme="minorHAnsi" w:hAnsiTheme="minorHAnsi"/>
        </w:rPr>
        <w:t>has been subject to different interpretations</w:t>
      </w:r>
      <w:r w:rsidR="00B259E8">
        <w:rPr>
          <w:rFonts w:asciiTheme="minorHAnsi" w:hAnsiTheme="minorHAnsi"/>
        </w:rPr>
        <w:t xml:space="preserve"> by </w:t>
      </w:r>
      <w:r w:rsidR="00A25269">
        <w:rPr>
          <w:rFonts w:asciiTheme="minorHAnsi" w:hAnsiTheme="minorHAnsi"/>
        </w:rPr>
        <w:t xml:space="preserve">inferior </w:t>
      </w:r>
      <w:r w:rsidR="004952AC">
        <w:rPr>
          <w:rFonts w:asciiTheme="minorHAnsi" w:hAnsiTheme="minorHAnsi"/>
        </w:rPr>
        <w:t>courts</w:t>
      </w:r>
      <w:r w:rsidR="00B259E8">
        <w:rPr>
          <w:rFonts w:asciiTheme="minorHAnsi" w:hAnsiTheme="minorHAnsi"/>
        </w:rPr>
        <w:t xml:space="preserve">. </w:t>
      </w:r>
      <w:r w:rsidR="004952AC">
        <w:rPr>
          <w:rFonts w:asciiTheme="minorHAnsi" w:hAnsiTheme="minorHAnsi"/>
        </w:rPr>
        <w:t xml:space="preserve"> </w:t>
      </w:r>
      <w:r w:rsidR="00B259E8">
        <w:rPr>
          <w:rFonts w:asciiTheme="minorHAnsi" w:hAnsiTheme="minorHAnsi"/>
        </w:rPr>
        <w:t xml:space="preserve">Some courts </w:t>
      </w:r>
      <w:r w:rsidR="004952AC">
        <w:rPr>
          <w:rFonts w:asciiTheme="minorHAnsi" w:hAnsiTheme="minorHAnsi"/>
        </w:rPr>
        <w:t xml:space="preserve">have treated it as, in effect, </w:t>
      </w:r>
      <w:r w:rsidR="00CC19E6">
        <w:rPr>
          <w:rFonts w:asciiTheme="minorHAnsi" w:hAnsiTheme="minorHAnsi"/>
        </w:rPr>
        <w:t xml:space="preserve">a power </w:t>
      </w:r>
      <w:r w:rsidR="004952AC">
        <w:rPr>
          <w:rFonts w:asciiTheme="minorHAnsi" w:hAnsiTheme="minorHAnsi"/>
        </w:rPr>
        <w:t>to re-sentence the offender.  The view of the CDPP is that s 20A(5</w:t>
      </w:r>
      <w:r w:rsidR="00191B29">
        <w:rPr>
          <w:rFonts w:asciiTheme="minorHAnsi" w:hAnsiTheme="minorHAnsi"/>
        </w:rPr>
        <w:t>)(c)(ic) does not empower a court to re-sentence the offender</w:t>
      </w:r>
      <w:r w:rsidR="00A4036C">
        <w:rPr>
          <w:rFonts w:asciiTheme="minorHAnsi" w:hAnsiTheme="minorHAnsi"/>
        </w:rPr>
        <w:t xml:space="preserve"> or otherwise to interfere with the sentence of imprisonment</w:t>
      </w:r>
      <w:r w:rsidR="00191B29">
        <w:rPr>
          <w:rFonts w:asciiTheme="minorHAnsi" w:hAnsiTheme="minorHAnsi"/>
        </w:rPr>
        <w:t>.  Paragraph (c) applies “</w:t>
      </w:r>
      <w:r w:rsidR="00191B29" w:rsidRPr="00191B29">
        <w:rPr>
          <w:rFonts w:asciiTheme="minorHAnsi" w:hAnsiTheme="minorHAnsi"/>
          <w:i/>
        </w:rPr>
        <w:t>in the case of a person who has been released by an order made under paragraph 20(1)(b)</w:t>
      </w:r>
      <w:r w:rsidR="00191B29">
        <w:rPr>
          <w:rFonts w:asciiTheme="minorHAnsi" w:hAnsiTheme="minorHAnsi"/>
        </w:rPr>
        <w:t xml:space="preserve">”.  </w:t>
      </w:r>
      <w:r w:rsidR="00976C83">
        <w:rPr>
          <w:rFonts w:asciiTheme="minorHAnsi" w:hAnsiTheme="minorHAnsi"/>
        </w:rPr>
        <w:t xml:space="preserve">That paragraph provides that </w:t>
      </w:r>
      <w:r w:rsidR="00976C83" w:rsidRPr="00976C83">
        <w:rPr>
          <w:rFonts w:asciiTheme="minorHAnsi" w:hAnsiTheme="minorHAnsi"/>
        </w:rPr>
        <w:t>where a person is convicted of a federal offence or federal offences, the court before which he or she is convicted may, if it thinks fit</w:t>
      </w:r>
      <w:r w:rsidR="00162560">
        <w:rPr>
          <w:rFonts w:asciiTheme="minorHAnsi" w:hAnsiTheme="minorHAnsi"/>
        </w:rPr>
        <w:t>,</w:t>
      </w:r>
      <w:r w:rsidR="00976C83" w:rsidRPr="00051102">
        <w:rPr>
          <w:rStyle w:val="sslistitemcontent"/>
          <w:rFonts w:ascii="Calibri" w:hAnsi="Calibri"/>
        </w:rPr>
        <w:t xml:space="preserve"> </w:t>
      </w:r>
      <w:r w:rsidR="00976C83" w:rsidRPr="00976C83">
        <w:rPr>
          <w:rFonts w:asciiTheme="minorHAnsi" w:hAnsiTheme="minorHAnsi"/>
        </w:rPr>
        <w:t>“</w:t>
      </w:r>
      <w:r w:rsidR="00976C83" w:rsidRPr="00B77F5F">
        <w:rPr>
          <w:rFonts w:asciiTheme="minorHAnsi" w:hAnsiTheme="minorHAnsi"/>
          <w:i/>
        </w:rPr>
        <w:t>sentence</w:t>
      </w:r>
      <w:r w:rsidR="00976C83" w:rsidRPr="00976C83">
        <w:rPr>
          <w:rFonts w:asciiTheme="minorHAnsi" w:hAnsiTheme="minorHAnsi"/>
          <w:i/>
        </w:rPr>
        <w:t xml:space="preserve"> the person to imprisonment in respect of the offence or each offence but </w:t>
      </w:r>
      <w:r w:rsidR="00976C83" w:rsidRPr="00B77F5F">
        <w:rPr>
          <w:rFonts w:asciiTheme="minorHAnsi" w:hAnsiTheme="minorHAnsi"/>
          <w:i/>
        </w:rPr>
        <w:t>direct, by order</w:t>
      </w:r>
      <w:r w:rsidR="00976C83" w:rsidRPr="00976C83">
        <w:rPr>
          <w:rFonts w:asciiTheme="minorHAnsi" w:hAnsiTheme="minorHAnsi"/>
          <w:i/>
        </w:rPr>
        <w:t>, that the person be released</w:t>
      </w:r>
      <w:r w:rsidR="003C418D" w:rsidRPr="003C418D">
        <w:rPr>
          <w:rFonts w:asciiTheme="minorHAnsi" w:hAnsiTheme="minorHAnsi"/>
        </w:rPr>
        <w:t>”</w:t>
      </w:r>
      <w:r w:rsidR="00976C83" w:rsidRPr="00976C83">
        <w:rPr>
          <w:rFonts w:asciiTheme="minorHAnsi" w:hAnsiTheme="minorHAnsi"/>
          <w:i/>
        </w:rPr>
        <w:t xml:space="preserve"> </w:t>
      </w:r>
      <w:r w:rsidR="00976C83" w:rsidRPr="003C418D">
        <w:rPr>
          <w:rFonts w:asciiTheme="minorHAnsi" w:hAnsiTheme="minorHAnsi"/>
        </w:rPr>
        <w:t>upon giving security.</w:t>
      </w:r>
      <w:r w:rsidR="00976C83">
        <w:rPr>
          <w:rFonts w:asciiTheme="minorHAnsi" w:hAnsiTheme="minorHAnsi"/>
        </w:rPr>
        <w:t xml:space="preserve">  The paragraph distinguishes between the </w:t>
      </w:r>
      <w:r w:rsidR="00976C83" w:rsidRPr="00B77F5F">
        <w:rPr>
          <w:rFonts w:asciiTheme="minorHAnsi" w:hAnsiTheme="minorHAnsi"/>
          <w:u w:val="single"/>
        </w:rPr>
        <w:t>sentencing</w:t>
      </w:r>
      <w:r w:rsidR="00976C83">
        <w:rPr>
          <w:rFonts w:asciiTheme="minorHAnsi" w:hAnsiTheme="minorHAnsi"/>
        </w:rPr>
        <w:t xml:space="preserve"> of the offender to imprisonment </w:t>
      </w:r>
      <w:r w:rsidR="00B259E8">
        <w:rPr>
          <w:rFonts w:asciiTheme="minorHAnsi" w:hAnsiTheme="minorHAnsi"/>
        </w:rPr>
        <w:t xml:space="preserve">(the head sentence) </w:t>
      </w:r>
      <w:r w:rsidR="00976C83">
        <w:rPr>
          <w:rFonts w:asciiTheme="minorHAnsi" w:hAnsiTheme="minorHAnsi"/>
        </w:rPr>
        <w:t xml:space="preserve">and the </w:t>
      </w:r>
      <w:r w:rsidR="003C418D">
        <w:rPr>
          <w:rFonts w:asciiTheme="minorHAnsi" w:hAnsiTheme="minorHAnsi"/>
        </w:rPr>
        <w:t xml:space="preserve">making of </w:t>
      </w:r>
      <w:r w:rsidR="003C418D" w:rsidRPr="00B77F5F">
        <w:rPr>
          <w:rFonts w:asciiTheme="minorHAnsi" w:hAnsiTheme="minorHAnsi"/>
          <w:u w:val="single"/>
        </w:rPr>
        <w:t xml:space="preserve">an </w:t>
      </w:r>
      <w:r w:rsidR="00976C83" w:rsidRPr="00B77F5F">
        <w:rPr>
          <w:rFonts w:asciiTheme="minorHAnsi" w:hAnsiTheme="minorHAnsi"/>
          <w:u w:val="single"/>
        </w:rPr>
        <w:t>order</w:t>
      </w:r>
      <w:r w:rsidR="00976C83">
        <w:rPr>
          <w:rFonts w:asciiTheme="minorHAnsi" w:hAnsiTheme="minorHAnsi"/>
        </w:rPr>
        <w:t xml:space="preserve"> that </w:t>
      </w:r>
      <w:r w:rsidR="003C418D">
        <w:rPr>
          <w:rFonts w:asciiTheme="minorHAnsi" w:hAnsiTheme="minorHAnsi"/>
        </w:rPr>
        <w:t xml:space="preserve">the </w:t>
      </w:r>
      <w:r w:rsidR="00976C83">
        <w:rPr>
          <w:rFonts w:asciiTheme="minorHAnsi" w:hAnsiTheme="minorHAnsi"/>
        </w:rPr>
        <w:t>offender be released</w:t>
      </w:r>
      <w:r w:rsidR="003C418D">
        <w:rPr>
          <w:rFonts w:asciiTheme="minorHAnsi" w:hAnsiTheme="minorHAnsi"/>
        </w:rPr>
        <w:t xml:space="preserve"> (either forthwith or after a specified period) upon giving security of the required kind</w:t>
      </w:r>
      <w:r w:rsidR="00B259E8">
        <w:rPr>
          <w:rFonts w:asciiTheme="minorHAnsi" w:hAnsiTheme="minorHAnsi"/>
        </w:rPr>
        <w:t xml:space="preserve"> (a RRO)</w:t>
      </w:r>
      <w:r w:rsidR="003C418D">
        <w:rPr>
          <w:rFonts w:asciiTheme="minorHAnsi" w:hAnsiTheme="minorHAnsi"/>
        </w:rPr>
        <w:t xml:space="preserve">.  The power in s 20A arises where the court is </w:t>
      </w:r>
      <w:r w:rsidR="003C418D" w:rsidRPr="003C418D">
        <w:rPr>
          <w:rFonts w:asciiTheme="minorHAnsi" w:hAnsiTheme="minorHAnsi"/>
        </w:rPr>
        <w:t xml:space="preserve">satisfied that the </w:t>
      </w:r>
      <w:r w:rsidR="003C418D">
        <w:rPr>
          <w:rFonts w:asciiTheme="minorHAnsi" w:hAnsiTheme="minorHAnsi"/>
        </w:rPr>
        <w:t>offender “</w:t>
      </w:r>
      <w:r w:rsidR="003C418D" w:rsidRPr="003C418D">
        <w:rPr>
          <w:rFonts w:asciiTheme="minorHAnsi" w:hAnsiTheme="minorHAnsi"/>
          <w:i/>
        </w:rPr>
        <w:t>has, without reasonable cause or excuse, failed to comply with a condition of the order</w:t>
      </w:r>
      <w:r w:rsidR="003C418D">
        <w:rPr>
          <w:rFonts w:asciiTheme="minorHAnsi" w:hAnsiTheme="minorHAnsi"/>
        </w:rPr>
        <w:t>” – that is</w:t>
      </w:r>
      <w:r w:rsidR="00484F0D">
        <w:rPr>
          <w:rFonts w:asciiTheme="minorHAnsi" w:hAnsiTheme="minorHAnsi"/>
        </w:rPr>
        <w:t>,</w:t>
      </w:r>
      <w:r w:rsidR="003C418D">
        <w:rPr>
          <w:rFonts w:asciiTheme="minorHAnsi" w:hAnsiTheme="minorHAnsi"/>
        </w:rPr>
        <w:t xml:space="preserve"> the</w:t>
      </w:r>
      <w:r w:rsidR="00CC19E6">
        <w:rPr>
          <w:rFonts w:asciiTheme="minorHAnsi" w:hAnsiTheme="minorHAnsi"/>
        </w:rPr>
        <w:t xml:space="preserve"> RRO</w:t>
      </w:r>
      <w:r w:rsidR="003C418D">
        <w:rPr>
          <w:rFonts w:asciiTheme="minorHAnsi" w:hAnsiTheme="minorHAnsi"/>
        </w:rPr>
        <w:t xml:space="preserve"> pursuant to which the offender is released.</w:t>
      </w:r>
      <w:r w:rsidR="00B77F5F">
        <w:rPr>
          <w:rFonts w:asciiTheme="minorHAnsi" w:hAnsiTheme="minorHAnsi"/>
        </w:rPr>
        <w:t xml:space="preserve">  Sub-paragraph s 20A(5)(c)(ic) empowers a court in such a case to revoke </w:t>
      </w:r>
      <w:r w:rsidR="00B259E8">
        <w:rPr>
          <w:rFonts w:asciiTheme="minorHAnsi" w:hAnsiTheme="minorHAnsi"/>
        </w:rPr>
        <w:t xml:space="preserve">only </w:t>
      </w:r>
      <w:r w:rsidR="00B77F5F">
        <w:rPr>
          <w:rFonts w:asciiTheme="minorHAnsi" w:hAnsiTheme="minorHAnsi"/>
        </w:rPr>
        <w:t>“</w:t>
      </w:r>
      <w:r w:rsidR="00B77F5F" w:rsidRPr="00B77F5F">
        <w:rPr>
          <w:rFonts w:asciiTheme="minorHAnsi" w:hAnsiTheme="minorHAnsi"/>
          <w:i/>
        </w:rPr>
        <w:t>the order</w:t>
      </w:r>
      <w:r w:rsidR="00B77F5F">
        <w:rPr>
          <w:rFonts w:asciiTheme="minorHAnsi" w:hAnsiTheme="minorHAnsi"/>
        </w:rPr>
        <w:t xml:space="preserve">” </w:t>
      </w:r>
      <w:r w:rsidR="00B259E8">
        <w:rPr>
          <w:rFonts w:asciiTheme="minorHAnsi" w:hAnsiTheme="minorHAnsi"/>
        </w:rPr>
        <w:t>(that is, the RRO</w:t>
      </w:r>
      <w:r w:rsidR="00597EF1" w:rsidRPr="00597EF1">
        <w:rPr>
          <w:rFonts w:asciiTheme="minorHAnsi" w:hAnsiTheme="minorHAnsi"/>
        </w:rPr>
        <w:t xml:space="preserve"> </w:t>
      </w:r>
      <w:r w:rsidR="00597EF1">
        <w:rPr>
          <w:rFonts w:asciiTheme="minorHAnsi" w:hAnsiTheme="minorHAnsi"/>
        </w:rPr>
        <w:t>for the offender</w:t>
      </w:r>
      <w:r w:rsidR="00AA693C">
        <w:rPr>
          <w:rFonts w:asciiTheme="minorHAnsi" w:hAnsiTheme="minorHAnsi"/>
        </w:rPr>
        <w:t>’</w:t>
      </w:r>
      <w:r w:rsidR="00597EF1">
        <w:rPr>
          <w:rFonts w:asciiTheme="minorHAnsi" w:hAnsiTheme="minorHAnsi"/>
        </w:rPr>
        <w:t>s release</w:t>
      </w:r>
      <w:r w:rsidR="00B259E8">
        <w:rPr>
          <w:rFonts w:asciiTheme="minorHAnsi" w:hAnsiTheme="minorHAnsi"/>
        </w:rPr>
        <w:t>)</w:t>
      </w:r>
      <w:r w:rsidR="00B77F5F">
        <w:rPr>
          <w:rFonts w:asciiTheme="minorHAnsi" w:hAnsiTheme="minorHAnsi"/>
        </w:rPr>
        <w:t>.  It does not confer, either expressly or by implication, any power to revoke or vary in any way the sentence of imprisonment imposed on the offender.</w:t>
      </w:r>
      <w:r w:rsidR="006067AE" w:rsidRPr="006067AE">
        <w:rPr>
          <w:rFonts w:asciiTheme="minorHAnsi" w:hAnsiTheme="minorHAnsi"/>
        </w:rPr>
        <w:t xml:space="preserve"> </w:t>
      </w:r>
      <w:r w:rsidR="006067AE">
        <w:rPr>
          <w:rFonts w:asciiTheme="minorHAnsi" w:hAnsiTheme="minorHAnsi"/>
        </w:rPr>
        <w:t xml:space="preserve"> As is the case with the cognate power in s 20A(5)(c)(i), the power in sub-paragraph (ic) to revoke the RRO leaves the sentence of imprisonment in place.  The power to </w:t>
      </w:r>
      <w:r w:rsidR="00A87FC8">
        <w:rPr>
          <w:rFonts w:asciiTheme="minorHAnsi" w:hAnsiTheme="minorHAnsi"/>
        </w:rPr>
        <w:t xml:space="preserve">revoke the RRO and </w:t>
      </w:r>
      <w:r w:rsidR="006067AE">
        <w:rPr>
          <w:rFonts w:asciiTheme="minorHAnsi" w:hAnsiTheme="minorHAnsi"/>
        </w:rPr>
        <w:t>make an order under s 20AB</w:t>
      </w:r>
      <w:r w:rsidR="00A87FC8">
        <w:rPr>
          <w:rFonts w:asciiTheme="minorHAnsi" w:hAnsiTheme="minorHAnsi"/>
        </w:rPr>
        <w:t xml:space="preserve"> </w:t>
      </w:r>
      <w:r w:rsidR="006067AE">
        <w:rPr>
          <w:rFonts w:asciiTheme="minorHAnsi" w:hAnsiTheme="minorHAnsi"/>
        </w:rPr>
        <w:t>provides an alternative consequence to the immediate service of the unserved portion of the sentence.</w:t>
      </w:r>
    </w:p>
    <w:p w14:paraId="41139419" w14:textId="77777777" w:rsidR="007C6DC5" w:rsidRPr="007C6DC5" w:rsidRDefault="007C6DC5" w:rsidP="007C6DC5">
      <w:pPr>
        <w:spacing w:line="276" w:lineRule="auto"/>
        <w:ind w:right="-1"/>
        <w:rPr>
          <w:rFonts w:asciiTheme="minorHAnsi" w:hAnsiTheme="minorHAnsi"/>
        </w:rPr>
      </w:pPr>
    </w:p>
    <w:p w14:paraId="191DDA6B" w14:textId="3ADEAFB3" w:rsidR="00976C83" w:rsidRDefault="000A5DC5"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Under s 20AB, a</w:t>
      </w:r>
      <w:r w:rsidR="00A87FC8">
        <w:rPr>
          <w:rFonts w:asciiTheme="minorHAnsi" w:hAnsiTheme="minorHAnsi"/>
        </w:rPr>
        <w:t xml:space="preserve"> State or Territory order </w:t>
      </w:r>
      <w:r>
        <w:rPr>
          <w:rFonts w:asciiTheme="minorHAnsi" w:hAnsiTheme="minorHAnsi"/>
        </w:rPr>
        <w:t xml:space="preserve">may be made in relation to a federal offender </w:t>
      </w:r>
      <w:r w:rsidR="00FF6B3E">
        <w:rPr>
          <w:rFonts w:asciiTheme="minorHAnsi" w:hAnsiTheme="minorHAnsi"/>
        </w:rPr>
        <w:t xml:space="preserve">in a particular case </w:t>
      </w:r>
      <w:r w:rsidR="00A87FC8">
        <w:rPr>
          <w:rFonts w:asciiTheme="minorHAnsi" w:hAnsiTheme="minorHAnsi"/>
        </w:rPr>
        <w:t xml:space="preserve">only if two conditions are met.  First, the order must be an order of a kind </w:t>
      </w:r>
      <w:r w:rsidR="00FF6B3E">
        <w:rPr>
          <w:rFonts w:asciiTheme="minorHAnsi" w:hAnsiTheme="minorHAnsi"/>
        </w:rPr>
        <w:t xml:space="preserve">described in, or prescribed under, s 20AB(1A).  Second, </w:t>
      </w:r>
      <w:r>
        <w:rPr>
          <w:rFonts w:asciiTheme="minorHAnsi" w:hAnsiTheme="minorHAnsi"/>
        </w:rPr>
        <w:t xml:space="preserve">a court must be </w:t>
      </w:r>
      <w:r w:rsidRPr="000A5DC5">
        <w:rPr>
          <w:rFonts w:asciiTheme="minorHAnsi" w:hAnsiTheme="minorHAnsi"/>
        </w:rPr>
        <w:t>empowered</w:t>
      </w:r>
      <w:r w:rsidR="00597EF1">
        <w:rPr>
          <w:rFonts w:asciiTheme="minorHAnsi" w:hAnsiTheme="minorHAnsi"/>
        </w:rPr>
        <w:t>,</w:t>
      </w:r>
      <w:r w:rsidRPr="000A5DC5">
        <w:rPr>
          <w:rFonts w:asciiTheme="minorHAnsi" w:hAnsiTheme="minorHAnsi"/>
        </w:rPr>
        <w:t xml:space="preserve"> under the law of the State or Territory, </w:t>
      </w:r>
      <w:r>
        <w:rPr>
          <w:rFonts w:asciiTheme="minorHAnsi" w:hAnsiTheme="minorHAnsi"/>
        </w:rPr>
        <w:t>to</w:t>
      </w:r>
      <w:r w:rsidRPr="000A5DC5">
        <w:rPr>
          <w:rFonts w:asciiTheme="minorHAnsi" w:hAnsiTheme="minorHAnsi"/>
        </w:rPr>
        <w:t xml:space="preserve"> make such an order </w:t>
      </w:r>
      <w:r>
        <w:rPr>
          <w:rFonts w:asciiTheme="minorHAnsi" w:hAnsiTheme="minorHAnsi"/>
        </w:rPr>
        <w:t>“</w:t>
      </w:r>
      <w:r w:rsidRPr="000A5DC5">
        <w:rPr>
          <w:rFonts w:asciiTheme="minorHAnsi" w:hAnsiTheme="minorHAnsi"/>
          <w:i/>
        </w:rPr>
        <w:t>in corresponding cases</w:t>
      </w:r>
      <w:r>
        <w:rPr>
          <w:rFonts w:asciiTheme="minorHAnsi" w:hAnsiTheme="minorHAnsi"/>
        </w:rPr>
        <w:t>”.</w:t>
      </w:r>
      <w:r w:rsidR="006067AE">
        <w:rPr>
          <w:rFonts w:asciiTheme="minorHAnsi" w:hAnsiTheme="minorHAnsi"/>
        </w:rPr>
        <w:t xml:space="preserve"> </w:t>
      </w:r>
      <w:r>
        <w:rPr>
          <w:rFonts w:asciiTheme="minorHAnsi" w:hAnsiTheme="minorHAnsi"/>
        </w:rPr>
        <w:t xml:space="preserve"> Th</w:t>
      </w:r>
      <w:r w:rsidR="00496A0F">
        <w:rPr>
          <w:rFonts w:asciiTheme="minorHAnsi" w:hAnsiTheme="minorHAnsi"/>
        </w:rPr>
        <w:t xml:space="preserve">e result </w:t>
      </w:r>
      <w:r>
        <w:rPr>
          <w:rFonts w:asciiTheme="minorHAnsi" w:hAnsiTheme="minorHAnsi"/>
        </w:rPr>
        <w:t>is</w:t>
      </w:r>
      <w:r w:rsidR="00496A0F">
        <w:rPr>
          <w:rFonts w:asciiTheme="minorHAnsi" w:hAnsiTheme="minorHAnsi"/>
        </w:rPr>
        <w:t xml:space="preserve"> that </w:t>
      </w:r>
      <w:r w:rsidR="005F7588">
        <w:rPr>
          <w:rFonts w:asciiTheme="minorHAnsi" w:hAnsiTheme="minorHAnsi"/>
        </w:rPr>
        <w:t>a</w:t>
      </w:r>
      <w:r w:rsidR="00496A0F">
        <w:rPr>
          <w:rFonts w:asciiTheme="minorHAnsi" w:hAnsiTheme="minorHAnsi"/>
        </w:rPr>
        <w:t xml:space="preserve"> State or Territory </w:t>
      </w:r>
      <w:r w:rsidR="005F7588">
        <w:rPr>
          <w:rFonts w:asciiTheme="minorHAnsi" w:hAnsiTheme="minorHAnsi"/>
        </w:rPr>
        <w:t xml:space="preserve">order </w:t>
      </w:r>
      <w:r w:rsidR="00496A0F">
        <w:rPr>
          <w:rFonts w:asciiTheme="minorHAnsi" w:hAnsiTheme="minorHAnsi"/>
        </w:rPr>
        <w:t>can be made under s 20A(5)(c)(ic) only if</w:t>
      </w:r>
      <w:r w:rsidR="00496A0F" w:rsidRPr="00496A0F">
        <w:rPr>
          <w:rFonts w:asciiTheme="minorHAnsi" w:hAnsiTheme="minorHAnsi"/>
        </w:rPr>
        <w:t xml:space="preserve"> </w:t>
      </w:r>
      <w:r w:rsidR="00CD593D">
        <w:rPr>
          <w:rFonts w:asciiTheme="minorHAnsi" w:hAnsiTheme="minorHAnsi"/>
        </w:rPr>
        <w:t>it falls within s 20AB(1A) and if</w:t>
      </w:r>
      <w:r w:rsidR="00496A0F">
        <w:rPr>
          <w:rFonts w:asciiTheme="minorHAnsi" w:hAnsiTheme="minorHAnsi"/>
        </w:rPr>
        <w:t>, under the law of that State or Territory, such an order could made</w:t>
      </w:r>
      <w:r w:rsidR="00CD593D">
        <w:rPr>
          <w:rFonts w:asciiTheme="minorHAnsi" w:hAnsiTheme="minorHAnsi"/>
        </w:rPr>
        <w:t xml:space="preserve"> </w:t>
      </w:r>
      <w:r w:rsidR="00496A0F">
        <w:rPr>
          <w:rFonts w:asciiTheme="minorHAnsi" w:hAnsiTheme="minorHAnsi"/>
        </w:rPr>
        <w:t xml:space="preserve">in </w:t>
      </w:r>
      <w:r w:rsidR="0025045F">
        <w:rPr>
          <w:rFonts w:asciiTheme="minorHAnsi" w:hAnsiTheme="minorHAnsi"/>
        </w:rPr>
        <w:t>case</w:t>
      </w:r>
      <w:r w:rsidR="002A2FE2">
        <w:rPr>
          <w:rFonts w:asciiTheme="minorHAnsi" w:hAnsiTheme="minorHAnsi"/>
        </w:rPr>
        <w:t>s</w:t>
      </w:r>
      <w:r w:rsidR="0025045F">
        <w:rPr>
          <w:rFonts w:asciiTheme="minorHAnsi" w:hAnsiTheme="minorHAnsi"/>
        </w:rPr>
        <w:t xml:space="preserve"> </w:t>
      </w:r>
      <w:r w:rsidR="00195C93">
        <w:rPr>
          <w:rFonts w:asciiTheme="minorHAnsi" w:hAnsiTheme="minorHAnsi"/>
        </w:rPr>
        <w:t xml:space="preserve">corresponding </w:t>
      </w:r>
      <w:r w:rsidR="00496A0F">
        <w:rPr>
          <w:rFonts w:asciiTheme="minorHAnsi" w:hAnsiTheme="minorHAnsi"/>
        </w:rPr>
        <w:t>to the</w:t>
      </w:r>
      <w:r w:rsidR="0025045F">
        <w:rPr>
          <w:rFonts w:asciiTheme="minorHAnsi" w:hAnsiTheme="minorHAnsi"/>
        </w:rPr>
        <w:t xml:space="preserve"> instant case</w:t>
      </w:r>
      <w:r w:rsidR="00496A0F">
        <w:rPr>
          <w:rFonts w:asciiTheme="minorHAnsi" w:hAnsiTheme="minorHAnsi"/>
        </w:rPr>
        <w:t>.</w:t>
      </w:r>
    </w:p>
    <w:p w14:paraId="53F406CA" w14:textId="36CE5621" w:rsidR="001D53E4" w:rsidRDefault="001D53E4">
      <w:pPr>
        <w:rPr>
          <w:rStyle w:val="ssleftalign"/>
          <w:rFonts w:ascii="Calibri" w:hAnsi="Calibri"/>
        </w:rPr>
      </w:pPr>
      <w:r>
        <w:rPr>
          <w:rStyle w:val="ssleftalign"/>
          <w:rFonts w:ascii="Calibri" w:hAnsi="Calibri"/>
        </w:rPr>
        <w:br w:type="page"/>
      </w:r>
    </w:p>
    <w:p w14:paraId="63E78FE1" w14:textId="04604F68" w:rsidR="001D53E4" w:rsidRPr="009541AE" w:rsidRDefault="00F839C6" w:rsidP="00EB7F1E">
      <w:pPr>
        <w:pStyle w:val="Heading2"/>
        <w:jc w:val="both"/>
      </w:pPr>
      <w:bookmarkStart w:id="2067" w:name="_Ref11071324"/>
      <w:bookmarkStart w:id="2068" w:name="_Ref11071327"/>
      <w:bookmarkStart w:id="2069" w:name="_Ref11427025"/>
      <w:bookmarkStart w:id="2070" w:name="_Ref11427030"/>
      <w:bookmarkStart w:id="2071" w:name="_Toc33602915"/>
      <w:r w:rsidRPr="009541AE">
        <w:t xml:space="preserve">Imprisonment: </w:t>
      </w:r>
      <w:r w:rsidR="00A4394C" w:rsidRPr="009541AE">
        <w:t xml:space="preserve">federal </w:t>
      </w:r>
      <w:r w:rsidRPr="009541AE">
        <w:t>parole</w:t>
      </w:r>
      <w:bookmarkEnd w:id="2067"/>
      <w:bookmarkEnd w:id="2068"/>
      <w:r w:rsidR="00A4394C" w:rsidRPr="009541AE">
        <w:t>, leave and licence</w:t>
      </w:r>
      <w:bookmarkEnd w:id="2069"/>
      <w:bookmarkEnd w:id="2070"/>
      <w:bookmarkEnd w:id="2071"/>
    </w:p>
    <w:p w14:paraId="7F95713A" w14:textId="08E2AE46" w:rsidR="001D53E4" w:rsidRPr="009541AE" w:rsidRDefault="001D53E4" w:rsidP="00EB7F1E">
      <w:pPr>
        <w:keepNext/>
        <w:tabs>
          <w:tab w:val="left" w:pos="709"/>
          <w:tab w:val="left" w:pos="993"/>
          <w:tab w:val="left" w:pos="1276"/>
        </w:tabs>
        <w:spacing w:line="276" w:lineRule="auto"/>
        <w:ind w:left="567"/>
        <w:jc w:val="both"/>
        <w:rPr>
          <w:rFonts w:asciiTheme="minorHAnsi" w:hAnsiTheme="minorHAnsi"/>
        </w:rPr>
      </w:pPr>
    </w:p>
    <w:p w14:paraId="0331BBD7" w14:textId="5A64C89D" w:rsidR="00936271" w:rsidRPr="009541AE" w:rsidRDefault="00CE796F" w:rsidP="006D50C7">
      <w:pPr>
        <w:pStyle w:val="Heading3"/>
      </w:pPr>
      <w:bookmarkStart w:id="2072" w:name="_Toc11405546"/>
      <w:bookmarkStart w:id="2073" w:name="_Toc11407323"/>
      <w:bookmarkStart w:id="2074" w:name="_Toc11485914"/>
      <w:bookmarkStart w:id="2075" w:name="_Toc11583442"/>
      <w:bookmarkStart w:id="2076" w:name="_Toc11692846"/>
      <w:bookmarkStart w:id="2077" w:name="_Toc11773352"/>
      <w:bookmarkStart w:id="2078" w:name="_Toc11827154"/>
      <w:bookmarkStart w:id="2079" w:name="_Toc11833862"/>
      <w:bookmarkStart w:id="2080" w:name="_Toc11848257"/>
      <w:bookmarkStart w:id="2081" w:name="_Toc11851914"/>
      <w:bookmarkStart w:id="2082" w:name="_Toc12608754"/>
      <w:bookmarkStart w:id="2083" w:name="_Toc12706709"/>
      <w:bookmarkStart w:id="2084" w:name="_Toc12860645"/>
      <w:bookmarkStart w:id="2085" w:name="_Toc12862214"/>
      <w:bookmarkStart w:id="2086" w:name="_Toc12864260"/>
      <w:bookmarkStart w:id="2087" w:name="_Toc13551811"/>
      <w:bookmarkStart w:id="2088" w:name="_Toc13737588"/>
      <w:bookmarkStart w:id="2089" w:name="_Toc13738003"/>
      <w:bookmarkStart w:id="2090" w:name="_Toc25308561"/>
      <w:bookmarkStart w:id="2091" w:name="_Ref509256924"/>
      <w:bookmarkStart w:id="2092" w:name="_Ref509256927"/>
      <w:bookmarkStart w:id="2093" w:name="_Toc33602916"/>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r w:rsidRPr="009541AE">
        <w:t>P</w:t>
      </w:r>
      <w:r w:rsidR="00CA7FB2" w:rsidRPr="009541AE">
        <w:t>arole</w:t>
      </w:r>
      <w:r w:rsidRPr="009541AE">
        <w:t xml:space="preserve"> decisions</w:t>
      </w:r>
      <w:bookmarkEnd w:id="2091"/>
      <w:bookmarkEnd w:id="2092"/>
      <w:bookmarkEnd w:id="2093"/>
    </w:p>
    <w:p w14:paraId="25FFD45D" w14:textId="3AA25D2D" w:rsidR="00936271" w:rsidRPr="009541AE" w:rsidRDefault="00936271" w:rsidP="00EB7F1E">
      <w:pPr>
        <w:pStyle w:val="NormalIndent"/>
        <w:keepNext/>
        <w:spacing w:line="276" w:lineRule="auto"/>
        <w:rPr>
          <w:rFonts w:asciiTheme="minorHAnsi" w:hAnsiTheme="minorHAnsi"/>
        </w:rPr>
      </w:pPr>
    </w:p>
    <w:p w14:paraId="733E7C3B" w14:textId="162FCA16"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Federal parole is granted at the discretion of the Commonwealth Attorney-General or </w:t>
      </w:r>
      <w:r w:rsidR="00A121B9" w:rsidRPr="009541AE">
        <w:rPr>
          <w:rFonts w:asciiTheme="minorHAnsi" w:hAnsiTheme="minorHAnsi"/>
        </w:rPr>
        <w:t>their</w:t>
      </w:r>
      <w:r w:rsidRPr="009541AE">
        <w:rPr>
          <w:rFonts w:asciiTheme="minorHAnsi" w:hAnsiTheme="minorHAnsi"/>
        </w:rPr>
        <w:t xml:space="preserve"> delegate,</w:t>
      </w:r>
      <w:r w:rsidRPr="009541AE">
        <w:rPr>
          <w:rStyle w:val="Style"/>
          <w:rFonts w:asciiTheme="minorHAnsi" w:hAnsiTheme="minorHAnsi"/>
        </w:rPr>
        <w:footnoteReference w:id="867"/>
      </w:r>
      <w:r w:rsidRPr="009541AE">
        <w:rPr>
          <w:rFonts w:asciiTheme="minorHAnsi" w:hAnsiTheme="minorHAnsi"/>
        </w:rPr>
        <w:t xml:space="preserve"> pursuant to s 19AL of the </w:t>
      </w:r>
      <w:r w:rsidRPr="009541AE">
        <w:rPr>
          <w:rFonts w:asciiTheme="minorHAnsi" w:hAnsiTheme="minorHAnsi"/>
          <w:i/>
        </w:rPr>
        <w:t>Crimes Act 1914</w:t>
      </w:r>
      <w:r w:rsidRPr="009541AE">
        <w:rPr>
          <w:rFonts w:asciiTheme="minorHAnsi" w:hAnsiTheme="minorHAnsi"/>
        </w:rPr>
        <w:t xml:space="preserve"> (Cth).</w:t>
      </w:r>
      <w:r w:rsidRPr="009541AE">
        <w:rPr>
          <w:rStyle w:val="Style"/>
          <w:rFonts w:asciiTheme="minorHAnsi" w:hAnsiTheme="minorHAnsi"/>
        </w:rPr>
        <w:footnoteReference w:id="868"/>
      </w:r>
      <w:r w:rsidRPr="009541AE">
        <w:rPr>
          <w:rFonts w:asciiTheme="minorHAnsi" w:hAnsiTheme="minorHAnsi"/>
        </w:rPr>
        <w:t xml:space="preserve">  </w:t>
      </w:r>
      <w:r w:rsidR="00CE796F" w:rsidRPr="009541AE">
        <w:rPr>
          <w:rFonts w:asciiTheme="minorHAnsi" w:hAnsiTheme="minorHAnsi"/>
        </w:rPr>
        <w:t>Federal parole is administered by the Commonwealth Parole Office in the Commonwealth Attorney-General’s Department (CPO), although practical supervision of federal parolees is performed by duly authorised State or Territory officers.</w:t>
      </w:r>
      <w:r w:rsidR="00CE796F" w:rsidRPr="009541AE">
        <w:rPr>
          <w:rStyle w:val="Style"/>
          <w:rFonts w:asciiTheme="minorHAnsi" w:hAnsiTheme="minorHAnsi"/>
        </w:rPr>
        <w:footnoteReference w:id="869"/>
      </w:r>
    </w:p>
    <w:p w14:paraId="3F30CC69" w14:textId="77777777" w:rsidR="00CC7655" w:rsidRPr="009541AE" w:rsidRDefault="00CC7655" w:rsidP="00EB7F1E">
      <w:pPr>
        <w:pStyle w:val="ListParagraph"/>
        <w:rPr>
          <w:rFonts w:asciiTheme="minorHAnsi" w:hAnsiTheme="minorHAnsi"/>
        </w:rPr>
      </w:pPr>
    </w:p>
    <w:p w14:paraId="4E1E9E0D" w14:textId="52A5C0E5"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Before the end of a non-parole period (NPP) fixed for one or more federal sentences, the Attorney-General must make (or refuse to make) an order directing that the person be released from prison on parole.</w:t>
      </w:r>
      <w:r w:rsidRPr="009541AE">
        <w:rPr>
          <w:rStyle w:val="Style"/>
          <w:rFonts w:asciiTheme="minorHAnsi" w:hAnsiTheme="minorHAnsi"/>
        </w:rPr>
        <w:footnoteReference w:id="870"/>
      </w:r>
      <w:r w:rsidRPr="009541AE">
        <w:rPr>
          <w:rFonts w:asciiTheme="minorHAnsi" w:hAnsiTheme="minorHAnsi"/>
        </w:rPr>
        <w:t xml:space="preserve">  However, if the person would still be in prison under a State or Territory sentence after the expiry of the federal NPP, the Attorney-General </w:t>
      </w:r>
      <w:r w:rsidR="00CE796F" w:rsidRPr="009541AE">
        <w:rPr>
          <w:rFonts w:asciiTheme="minorHAnsi" w:hAnsiTheme="minorHAnsi"/>
        </w:rPr>
        <w:t>is not required</w:t>
      </w:r>
      <w:r w:rsidRPr="009541AE">
        <w:rPr>
          <w:rFonts w:asciiTheme="minorHAnsi" w:hAnsiTheme="minorHAnsi"/>
        </w:rPr>
        <w:t xml:space="preserve"> to make a decision about parole until the time of the person</w:t>
      </w:r>
      <w:r w:rsidR="00AA693C" w:rsidRPr="009541AE">
        <w:rPr>
          <w:rFonts w:asciiTheme="minorHAnsi" w:hAnsiTheme="minorHAnsi"/>
        </w:rPr>
        <w:t>’</w:t>
      </w:r>
      <w:r w:rsidRPr="009541AE">
        <w:rPr>
          <w:rFonts w:asciiTheme="minorHAnsi" w:hAnsiTheme="minorHAnsi"/>
        </w:rPr>
        <w:t>s release (or expected release) from prison under the State or Territory sentence.</w:t>
      </w:r>
      <w:r w:rsidRPr="009541AE">
        <w:rPr>
          <w:rStyle w:val="Style"/>
          <w:rFonts w:asciiTheme="minorHAnsi" w:hAnsiTheme="minorHAnsi"/>
        </w:rPr>
        <w:footnoteReference w:id="871"/>
      </w:r>
      <w:r w:rsidRPr="009541AE">
        <w:rPr>
          <w:rFonts w:asciiTheme="minorHAnsi" w:hAnsiTheme="minorHAnsi"/>
        </w:rPr>
        <w:t xml:space="preserve">  A prisoner cannot be released on federal parole if still serving a State or Territory sentence, although they can still be granted federal parole ahead of time.</w:t>
      </w:r>
      <w:r w:rsidRPr="009541AE">
        <w:rPr>
          <w:rStyle w:val="Style"/>
          <w:rFonts w:asciiTheme="minorHAnsi" w:hAnsiTheme="minorHAnsi"/>
        </w:rPr>
        <w:footnoteReference w:id="872"/>
      </w:r>
      <w:r w:rsidRPr="009541AE">
        <w:rPr>
          <w:rFonts w:asciiTheme="minorHAnsi" w:hAnsiTheme="minorHAnsi"/>
        </w:rPr>
        <w:t xml:space="preserve">  </w:t>
      </w:r>
      <w:r w:rsidR="00A121B9" w:rsidRPr="009541AE">
        <w:rPr>
          <w:rFonts w:asciiTheme="minorHAnsi" w:hAnsiTheme="minorHAnsi"/>
        </w:rPr>
        <w:t xml:space="preserve">A </w:t>
      </w:r>
      <w:r w:rsidRPr="009541AE">
        <w:rPr>
          <w:rFonts w:asciiTheme="minorHAnsi" w:hAnsiTheme="minorHAnsi"/>
        </w:rPr>
        <w:t xml:space="preserve">prisoner </w:t>
      </w:r>
      <w:r w:rsidR="00A121B9" w:rsidRPr="009541AE">
        <w:rPr>
          <w:rFonts w:asciiTheme="minorHAnsi" w:hAnsiTheme="minorHAnsi"/>
        </w:rPr>
        <w:t xml:space="preserve">who </w:t>
      </w:r>
      <w:r w:rsidRPr="009541AE">
        <w:rPr>
          <w:rFonts w:asciiTheme="minorHAnsi" w:hAnsiTheme="minorHAnsi"/>
        </w:rPr>
        <w:t xml:space="preserve">is granted federal parole, but is still serving a State or Territory sentence, must be released on parole (for the federal offence) on the same day </w:t>
      </w:r>
      <w:r w:rsidR="0059708D" w:rsidRPr="009541AE">
        <w:rPr>
          <w:rFonts w:asciiTheme="minorHAnsi" w:hAnsiTheme="minorHAnsi"/>
        </w:rPr>
        <w:t xml:space="preserve">she or he </w:t>
      </w:r>
      <w:r w:rsidRPr="009541AE">
        <w:rPr>
          <w:rFonts w:asciiTheme="minorHAnsi" w:hAnsiTheme="minorHAnsi"/>
        </w:rPr>
        <w:t>is released from prison (including on parole) for the State/Territory offence.</w:t>
      </w:r>
      <w:r w:rsidRPr="009541AE">
        <w:rPr>
          <w:rStyle w:val="Style"/>
          <w:rFonts w:asciiTheme="minorHAnsi" w:hAnsiTheme="minorHAnsi"/>
        </w:rPr>
        <w:footnoteReference w:id="873"/>
      </w:r>
    </w:p>
    <w:p w14:paraId="07A244A0" w14:textId="77777777" w:rsidR="00CC7655" w:rsidRPr="009541AE" w:rsidRDefault="00CC7655" w:rsidP="00EB7F1E">
      <w:pPr>
        <w:pStyle w:val="ListParagraph"/>
        <w:rPr>
          <w:rFonts w:asciiTheme="minorHAnsi" w:hAnsiTheme="minorHAnsi"/>
        </w:rPr>
      </w:pPr>
    </w:p>
    <w:p w14:paraId="772F50D0" w14:textId="48E9E418"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If parole is refused, the Attorney-General must give the prisoner written notice of refusal within 14 days, including a statement of reasons, and advising that parole will be reconsidered within 12 months.</w:t>
      </w:r>
      <w:r w:rsidRPr="009541AE">
        <w:rPr>
          <w:rStyle w:val="Style"/>
          <w:rFonts w:asciiTheme="minorHAnsi" w:hAnsiTheme="minorHAnsi"/>
        </w:rPr>
        <w:footnoteReference w:id="874"/>
      </w:r>
      <w:r w:rsidRPr="009541AE">
        <w:rPr>
          <w:rFonts w:asciiTheme="minorHAnsi" w:hAnsiTheme="minorHAnsi"/>
        </w:rPr>
        <w:t xml:space="preserve">  Merits review is not available, but judicial review is available under the</w:t>
      </w:r>
      <w:r w:rsidRPr="009541AE">
        <w:rPr>
          <w:rFonts w:asciiTheme="minorHAnsi" w:hAnsiTheme="minorHAnsi"/>
          <w:i/>
        </w:rPr>
        <w:t xml:space="preserve"> Administrative Decisions (Judicial Review) Act</w:t>
      </w:r>
      <w:r w:rsidRPr="009541AE">
        <w:rPr>
          <w:rFonts w:asciiTheme="minorHAnsi" w:hAnsiTheme="minorHAnsi"/>
        </w:rPr>
        <w:t xml:space="preserve"> 1977 (Cth).</w:t>
      </w:r>
      <w:r w:rsidRPr="009541AE">
        <w:rPr>
          <w:rStyle w:val="Style"/>
          <w:rFonts w:asciiTheme="minorHAnsi" w:hAnsiTheme="minorHAnsi"/>
        </w:rPr>
        <w:footnoteReference w:id="875"/>
      </w:r>
    </w:p>
    <w:p w14:paraId="6D3C3F95" w14:textId="77777777" w:rsidR="00CC7655" w:rsidRPr="009541AE" w:rsidRDefault="00CC7655" w:rsidP="00EB7F1E">
      <w:pPr>
        <w:pStyle w:val="ListParagraph"/>
        <w:rPr>
          <w:rFonts w:asciiTheme="minorHAnsi" w:hAnsiTheme="minorHAnsi"/>
        </w:rPr>
      </w:pPr>
    </w:p>
    <w:p w14:paraId="3B60396E" w14:textId="2C4A1E6A"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In practice, when a federal offender</w:t>
      </w:r>
      <w:r w:rsidR="00AA693C" w:rsidRPr="009541AE">
        <w:rPr>
          <w:rFonts w:asciiTheme="minorHAnsi" w:hAnsiTheme="minorHAnsi"/>
        </w:rPr>
        <w:t>’</w:t>
      </w:r>
      <w:r w:rsidRPr="009541AE">
        <w:rPr>
          <w:rFonts w:asciiTheme="minorHAnsi" w:hAnsiTheme="minorHAnsi"/>
        </w:rPr>
        <w:t>s parole eligibility date is approaching, the CPO requests a report from the relevant State or Territory parole service and considers the matters in that report in order to provide advice to the Attorney, to assist him or her to exercise the discretion to grant or refuse parole.</w:t>
      </w:r>
    </w:p>
    <w:p w14:paraId="75880600" w14:textId="79D7EB69" w:rsidR="00CC7655" w:rsidRPr="009541AE" w:rsidRDefault="00CC7655">
      <w:pPr>
        <w:pStyle w:val="ListParagraph"/>
        <w:rPr>
          <w:rFonts w:asciiTheme="minorHAnsi" w:hAnsiTheme="minorHAnsi"/>
        </w:rPr>
      </w:pPr>
    </w:p>
    <w:p w14:paraId="6624B687" w14:textId="4E7238C6" w:rsidR="00416137" w:rsidRPr="009541AE" w:rsidRDefault="00416137" w:rsidP="00416137">
      <w:pPr>
        <w:pStyle w:val="ListParagraph"/>
        <w:numPr>
          <w:ilvl w:val="0"/>
          <w:numId w:val="7"/>
        </w:numPr>
        <w:spacing w:line="276" w:lineRule="auto"/>
        <w:ind w:left="425" w:hanging="425"/>
        <w:contextualSpacing w:val="0"/>
        <w:rPr>
          <w:rFonts w:asciiTheme="minorHAnsi" w:hAnsiTheme="minorHAnsi" w:cs="Arial"/>
          <w:szCs w:val="22"/>
        </w:rPr>
      </w:pPr>
      <w:r w:rsidRPr="009541AE">
        <w:rPr>
          <w:rFonts w:asciiTheme="minorHAnsi" w:hAnsiTheme="minorHAnsi" w:cs="Arial"/>
          <w:szCs w:val="22"/>
        </w:rPr>
        <w:t>State or Territory laws which restrict the availability of parole or which specify consequences for breaches of parole do not apply to federal offenders.  However State or Territory law may provide that a conviction or finding of guilt for particular offences (defined to include certain federal offences) can result in the cancellation of parole for a State or Territory offender.</w:t>
      </w:r>
      <w:r w:rsidRPr="009541AE">
        <w:rPr>
          <w:rStyle w:val="Style"/>
          <w:rFonts w:asciiTheme="minorHAnsi" w:hAnsiTheme="minorHAnsi"/>
        </w:rPr>
        <w:footnoteReference w:id="876"/>
      </w:r>
    </w:p>
    <w:p w14:paraId="297B441E" w14:textId="77777777" w:rsidR="00416137" w:rsidRPr="009541AE" w:rsidRDefault="00416137" w:rsidP="00416137">
      <w:pPr>
        <w:pStyle w:val="ListParagraph"/>
        <w:rPr>
          <w:rFonts w:asciiTheme="minorHAnsi" w:hAnsiTheme="minorHAnsi"/>
        </w:rPr>
      </w:pPr>
    </w:p>
    <w:p w14:paraId="7E5B346B" w14:textId="60A833D1" w:rsidR="00CC7655" w:rsidRPr="009541AE" w:rsidRDefault="00A4394C" w:rsidP="00EB7F1E">
      <w:pPr>
        <w:pStyle w:val="Heading3"/>
      </w:pPr>
      <w:bookmarkStart w:id="2094" w:name="_Toc33602917"/>
      <w:r w:rsidRPr="009541AE">
        <w:t>P</w:t>
      </w:r>
      <w:r w:rsidR="00A94A7D" w:rsidRPr="009541AE">
        <w:t xml:space="preserve">urposes </w:t>
      </w:r>
      <w:r w:rsidR="00CC7655" w:rsidRPr="009541AE">
        <w:t>of parole</w:t>
      </w:r>
      <w:bookmarkEnd w:id="2094"/>
    </w:p>
    <w:p w14:paraId="0BF6E7FB" w14:textId="77777777" w:rsidR="00CC7655" w:rsidRPr="009541AE" w:rsidRDefault="00CC7655" w:rsidP="00EB7F1E">
      <w:pPr>
        <w:pStyle w:val="NormalIndent"/>
        <w:keepNext/>
        <w:spacing w:line="276" w:lineRule="auto"/>
        <w:rPr>
          <w:rFonts w:asciiTheme="minorHAnsi" w:hAnsiTheme="minorHAnsi"/>
        </w:rPr>
      </w:pPr>
    </w:p>
    <w:p w14:paraId="1A2E4C72" w14:textId="5F4D3BD0"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The purposes of parole are protection of the community, rehabilitation of the offender, and reintegration of the offender into the community.</w:t>
      </w:r>
      <w:r w:rsidRPr="009541AE">
        <w:rPr>
          <w:rStyle w:val="Style"/>
          <w:rFonts w:asciiTheme="minorHAnsi" w:hAnsiTheme="minorHAnsi"/>
        </w:rPr>
        <w:footnoteReference w:id="877"/>
      </w:r>
      <w:r w:rsidRPr="009541AE">
        <w:rPr>
          <w:rFonts w:asciiTheme="minorHAnsi" w:hAnsiTheme="minorHAnsi"/>
        </w:rPr>
        <w:t xml:space="preserve">  When deciding </w:t>
      </w:r>
      <w:r w:rsidR="00E65DF2" w:rsidRPr="009541AE">
        <w:rPr>
          <w:rFonts w:asciiTheme="minorHAnsi" w:hAnsiTheme="minorHAnsi"/>
        </w:rPr>
        <w:t>whether</w:t>
      </w:r>
      <w:r w:rsidRPr="009541AE">
        <w:rPr>
          <w:rFonts w:asciiTheme="minorHAnsi" w:hAnsiTheme="minorHAnsi"/>
        </w:rPr>
        <w:t xml:space="preserve"> a federal offender should be released on parole,</w:t>
      </w:r>
      <w:r w:rsidRPr="009541AE" w:rsidDel="00FC5151">
        <w:rPr>
          <w:rFonts w:asciiTheme="minorHAnsi" w:hAnsiTheme="minorHAnsi"/>
        </w:rPr>
        <w:t xml:space="preserve"> </w:t>
      </w:r>
      <w:r w:rsidRPr="009541AE">
        <w:rPr>
          <w:rFonts w:asciiTheme="minorHAnsi" w:hAnsiTheme="minorHAnsi"/>
        </w:rPr>
        <w:t>the Attorney-General may consider any of the matters (where known and relevant) in the following non-exhaustive list:</w:t>
      </w:r>
      <w:r w:rsidRPr="009541AE">
        <w:rPr>
          <w:rStyle w:val="Style"/>
          <w:rFonts w:asciiTheme="minorHAnsi" w:hAnsiTheme="minorHAnsi"/>
        </w:rPr>
        <w:footnoteReference w:id="878"/>
      </w:r>
      <w:r w:rsidRPr="009541AE">
        <w:rPr>
          <w:rFonts w:asciiTheme="minorHAnsi" w:hAnsiTheme="minorHAnsi"/>
        </w:rPr>
        <w:t xml:space="preserve">  </w:t>
      </w:r>
    </w:p>
    <w:p w14:paraId="7D377718"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the risk to the community of releasing the person on parole;</w:t>
      </w:r>
    </w:p>
    <w:p w14:paraId="53E0D113" w14:textId="189EE3F2"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the person</w:t>
      </w:r>
      <w:r w:rsidR="00AA693C" w:rsidRPr="009541AE">
        <w:rPr>
          <w:rFonts w:asciiTheme="minorHAnsi" w:hAnsiTheme="minorHAnsi"/>
        </w:rPr>
        <w:t>’</w:t>
      </w:r>
      <w:r w:rsidRPr="009541AE">
        <w:rPr>
          <w:rFonts w:asciiTheme="minorHAnsi" w:hAnsiTheme="minorHAnsi"/>
        </w:rPr>
        <w:t>s conduct while serving his or her sentence;</w:t>
      </w:r>
    </w:p>
    <w:p w14:paraId="72C19B65"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whether the person has satisfactorily completed programs ordered by a court or recommended by the relevant State or Territory corrective services or parole agency;</w:t>
      </w:r>
    </w:p>
    <w:p w14:paraId="08735533" w14:textId="43593C4C"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the likely effect on the victim, or victim</w:t>
      </w:r>
      <w:r w:rsidR="00AA693C" w:rsidRPr="009541AE">
        <w:rPr>
          <w:rFonts w:asciiTheme="minorHAnsi" w:hAnsiTheme="minorHAnsi"/>
        </w:rPr>
        <w:t>’</w:t>
      </w:r>
      <w:r w:rsidRPr="009541AE">
        <w:rPr>
          <w:rFonts w:asciiTheme="minorHAnsi" w:hAnsiTheme="minorHAnsi"/>
        </w:rPr>
        <w:t>s family, of releasing the person on parole;</w:t>
      </w:r>
    </w:p>
    <w:p w14:paraId="4B984165" w14:textId="1264B1CE"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the nature and circumstances of the offence to which the person</w:t>
      </w:r>
      <w:r w:rsidR="00AA693C" w:rsidRPr="009541AE">
        <w:rPr>
          <w:rFonts w:asciiTheme="minorHAnsi" w:hAnsiTheme="minorHAnsi"/>
        </w:rPr>
        <w:t>’</w:t>
      </w:r>
      <w:r w:rsidRPr="009541AE">
        <w:rPr>
          <w:rFonts w:asciiTheme="minorHAnsi" w:hAnsiTheme="minorHAnsi"/>
        </w:rPr>
        <w:t>s sentence relates;</w:t>
      </w:r>
    </w:p>
    <w:p w14:paraId="2B119E8D"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any comments made by the sentencing court;</w:t>
      </w:r>
    </w:p>
    <w:p w14:paraId="5DFC5F69" w14:textId="4AECD3DC"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the person</w:t>
      </w:r>
      <w:r w:rsidR="00AA693C" w:rsidRPr="009541AE">
        <w:rPr>
          <w:rFonts w:asciiTheme="minorHAnsi" w:hAnsiTheme="minorHAnsi"/>
        </w:rPr>
        <w:t>’</w:t>
      </w:r>
      <w:r w:rsidRPr="009541AE">
        <w:rPr>
          <w:rFonts w:asciiTheme="minorHAnsi" w:hAnsiTheme="minorHAnsi"/>
        </w:rPr>
        <w:t>s criminal history;</w:t>
      </w:r>
    </w:p>
    <w:p w14:paraId="35E53755"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any report or information in relation to the granting of parole that has been provided by the relevant State or Territory corrective services or parole agency;</w:t>
      </w:r>
    </w:p>
    <w:p w14:paraId="358878D8"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the behaviour of the person when subject to any previous parole order or licence;</w:t>
      </w:r>
    </w:p>
    <w:p w14:paraId="4F90BC73"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the likelihood that the person will comply with the conditions of the parole order;</w:t>
      </w:r>
    </w:p>
    <w:p w14:paraId="7E9A7AA4"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whether releasing the person on parole is likely to assist the person to adjust to lawful community life;</w:t>
      </w:r>
    </w:p>
    <w:p w14:paraId="075FD0E1"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whether the length of the parole period is sufficient to achieve the purposes of parole;</w:t>
      </w:r>
    </w:p>
    <w:p w14:paraId="01DCFF6A" w14:textId="77777777" w:rsidR="00CC7655" w:rsidRPr="009541AE" w:rsidRDefault="00CC7655" w:rsidP="00EB7F1E">
      <w:pPr>
        <w:pStyle w:val="ListParagraph"/>
        <w:numPr>
          <w:ilvl w:val="0"/>
          <w:numId w:val="82"/>
        </w:numPr>
        <w:spacing w:line="276" w:lineRule="auto"/>
        <w:ind w:left="992" w:hanging="425"/>
        <w:rPr>
          <w:rFonts w:asciiTheme="minorHAnsi" w:hAnsiTheme="minorHAnsi"/>
        </w:rPr>
      </w:pPr>
      <w:r w:rsidRPr="009541AE">
        <w:rPr>
          <w:rFonts w:asciiTheme="minorHAnsi" w:hAnsiTheme="minorHAnsi"/>
        </w:rPr>
        <w:t>any special circumstances, including the likelihood that the person will be subject to removal or deportation upon release.</w:t>
      </w:r>
    </w:p>
    <w:p w14:paraId="163F376A" w14:textId="77777777" w:rsidR="00CC7655" w:rsidRPr="006E33A0" w:rsidRDefault="00CC7655" w:rsidP="00EB7F1E">
      <w:pPr>
        <w:pStyle w:val="ListParagraph"/>
        <w:rPr>
          <w:rFonts w:asciiTheme="minorHAnsi" w:hAnsiTheme="minorHAnsi"/>
          <w:highlight w:val="cyan"/>
        </w:rPr>
      </w:pPr>
    </w:p>
    <w:p w14:paraId="123D8FF1" w14:textId="4F68A4FF" w:rsidR="00CC7655" w:rsidRPr="009541AE" w:rsidRDefault="00904284" w:rsidP="00EB7F1E">
      <w:pPr>
        <w:pStyle w:val="Heading3"/>
      </w:pPr>
      <w:bookmarkStart w:id="2095" w:name="_Toc33602918"/>
      <w:r w:rsidRPr="009541AE">
        <w:t>N</w:t>
      </w:r>
      <w:r w:rsidR="00A94A7D" w:rsidRPr="009541AE">
        <w:t xml:space="preserve">ature </w:t>
      </w:r>
      <w:r w:rsidR="00CC7655" w:rsidRPr="009541AE">
        <w:t>of parole orders</w:t>
      </w:r>
      <w:bookmarkEnd w:id="2095"/>
    </w:p>
    <w:p w14:paraId="5EC7BE08" w14:textId="77777777" w:rsidR="00CC7655" w:rsidRPr="009541AE" w:rsidRDefault="00CC7655" w:rsidP="00EB7F1E">
      <w:pPr>
        <w:pStyle w:val="NormalIndent"/>
        <w:keepNext/>
        <w:spacing w:line="276" w:lineRule="auto"/>
        <w:rPr>
          <w:rFonts w:asciiTheme="minorHAnsi" w:hAnsiTheme="minorHAnsi"/>
        </w:rPr>
      </w:pPr>
    </w:p>
    <w:p w14:paraId="2FD21C90" w14:textId="03EBB1E8"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A parole order must be in writing and </w:t>
      </w:r>
      <w:r w:rsidR="00E65DF2" w:rsidRPr="009541AE">
        <w:rPr>
          <w:rFonts w:asciiTheme="minorHAnsi" w:hAnsiTheme="minorHAnsi"/>
        </w:rPr>
        <w:t xml:space="preserve">must </w:t>
      </w:r>
      <w:r w:rsidRPr="009541AE">
        <w:rPr>
          <w:rFonts w:asciiTheme="minorHAnsi" w:hAnsiTheme="minorHAnsi"/>
        </w:rPr>
        <w:t>specify whether or not the person is to be released subject to supervision.</w:t>
      </w:r>
      <w:r w:rsidRPr="009541AE">
        <w:rPr>
          <w:rStyle w:val="Style"/>
          <w:rFonts w:asciiTheme="minorHAnsi" w:hAnsiTheme="minorHAnsi"/>
        </w:rPr>
        <w:footnoteReference w:id="879"/>
      </w:r>
      <w:r w:rsidRPr="009541AE">
        <w:rPr>
          <w:rFonts w:asciiTheme="minorHAnsi" w:hAnsiTheme="minorHAnsi"/>
        </w:rPr>
        <w:t xml:space="preserve">  If the supervision period is to end before the end of the parole period, the order must specify the day when supervision ends.</w:t>
      </w:r>
      <w:r w:rsidRPr="009541AE">
        <w:rPr>
          <w:rStyle w:val="Style"/>
          <w:rFonts w:asciiTheme="minorHAnsi" w:hAnsiTheme="minorHAnsi"/>
        </w:rPr>
        <w:footnoteReference w:id="880"/>
      </w:r>
      <w:r w:rsidRPr="009541AE">
        <w:rPr>
          <w:rFonts w:ascii="Calibri" w:hAnsi="Calibri"/>
        </w:rPr>
        <w:t xml:space="preserve">  </w:t>
      </w:r>
    </w:p>
    <w:p w14:paraId="2A9E8A1E" w14:textId="77777777" w:rsidR="00CC7655" w:rsidRPr="009541AE" w:rsidRDefault="00CC7655" w:rsidP="00EB7F1E">
      <w:pPr>
        <w:pStyle w:val="ListParagraph"/>
        <w:rPr>
          <w:rFonts w:asciiTheme="minorHAnsi" w:hAnsiTheme="minorHAnsi"/>
        </w:rPr>
      </w:pPr>
    </w:p>
    <w:p w14:paraId="1F257785" w14:textId="12A4CCF3"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The Attorney-General may, if she </w:t>
      </w:r>
      <w:r w:rsidR="009C4492" w:rsidRPr="009541AE">
        <w:rPr>
          <w:rFonts w:asciiTheme="minorHAnsi" w:hAnsiTheme="minorHAnsi"/>
        </w:rPr>
        <w:t xml:space="preserve">or he </w:t>
      </w:r>
      <w:r w:rsidRPr="009541AE">
        <w:rPr>
          <w:rFonts w:asciiTheme="minorHAnsi" w:hAnsiTheme="minorHAnsi"/>
        </w:rPr>
        <w:t>considers it appropriate, specify in a parole order that the offender is to be released up to 30 days before the end of the NPP.</w:t>
      </w:r>
      <w:r w:rsidRPr="009541AE">
        <w:rPr>
          <w:rStyle w:val="Style"/>
          <w:rFonts w:asciiTheme="minorHAnsi" w:hAnsiTheme="minorHAnsi"/>
        </w:rPr>
        <w:footnoteReference w:id="881"/>
      </w:r>
    </w:p>
    <w:p w14:paraId="7B66DBE4" w14:textId="77777777" w:rsidR="00CC7655" w:rsidRPr="009541AE" w:rsidRDefault="00CC7655" w:rsidP="00EB7F1E">
      <w:pPr>
        <w:pStyle w:val="ListParagraph"/>
        <w:rPr>
          <w:rFonts w:asciiTheme="minorHAnsi" w:hAnsiTheme="minorHAnsi"/>
        </w:rPr>
      </w:pPr>
    </w:p>
    <w:p w14:paraId="340EAAF9" w14:textId="74F0F7A1"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The Attorney-General may, by written order, amend the conditions of, or correct technical errors in, a parole order (or licence) after it has been made, at any time before the parole (or licence) period ends.</w:t>
      </w:r>
      <w:r w:rsidRPr="009541AE">
        <w:rPr>
          <w:rStyle w:val="Style"/>
          <w:rFonts w:asciiTheme="minorHAnsi" w:hAnsiTheme="minorHAnsi"/>
        </w:rPr>
        <w:footnoteReference w:id="882"/>
      </w:r>
      <w:r w:rsidRPr="009541AE">
        <w:rPr>
          <w:rFonts w:asciiTheme="minorHAnsi" w:hAnsiTheme="minorHAnsi"/>
        </w:rPr>
        <w:t xml:space="preserve"> </w:t>
      </w:r>
    </w:p>
    <w:p w14:paraId="31C1D0B9" w14:textId="77777777" w:rsidR="00CC7655" w:rsidRPr="009541AE" w:rsidRDefault="00CC7655" w:rsidP="00EB7F1E">
      <w:pPr>
        <w:pStyle w:val="ListParagraph"/>
        <w:rPr>
          <w:rFonts w:asciiTheme="minorHAnsi" w:hAnsiTheme="minorHAnsi"/>
        </w:rPr>
      </w:pPr>
    </w:p>
    <w:p w14:paraId="737120DF" w14:textId="77777777"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A parole order is subject to the conditions that the offender must, during the parole period:</w:t>
      </w:r>
    </w:p>
    <w:p w14:paraId="5606F8C8" w14:textId="77777777" w:rsidR="00CC7655" w:rsidRPr="009541AE" w:rsidRDefault="00CC7655" w:rsidP="00EB7F1E">
      <w:pPr>
        <w:pStyle w:val="ListParagraph"/>
        <w:numPr>
          <w:ilvl w:val="0"/>
          <w:numId w:val="143"/>
        </w:numPr>
        <w:spacing w:line="276" w:lineRule="auto"/>
        <w:ind w:left="992" w:hanging="425"/>
        <w:rPr>
          <w:rFonts w:asciiTheme="minorHAnsi" w:hAnsiTheme="minorHAnsi"/>
        </w:rPr>
      </w:pPr>
      <w:r w:rsidRPr="009541AE">
        <w:rPr>
          <w:rFonts w:asciiTheme="minorHAnsi" w:hAnsiTheme="minorHAnsi"/>
        </w:rPr>
        <w:t>be of good behaviour and not violate any law,</w:t>
      </w:r>
    </w:p>
    <w:p w14:paraId="6482EE8A" w14:textId="77777777" w:rsidR="00CC7655" w:rsidRPr="009541AE" w:rsidRDefault="00CC7655" w:rsidP="00EB7F1E">
      <w:pPr>
        <w:pStyle w:val="ListParagraph"/>
        <w:numPr>
          <w:ilvl w:val="0"/>
          <w:numId w:val="143"/>
        </w:numPr>
        <w:spacing w:line="276" w:lineRule="auto"/>
        <w:ind w:left="992" w:hanging="425"/>
        <w:rPr>
          <w:rFonts w:asciiTheme="minorHAnsi" w:hAnsiTheme="minorHAnsi"/>
        </w:rPr>
      </w:pPr>
      <w:r w:rsidRPr="009541AE">
        <w:rPr>
          <w:rFonts w:asciiTheme="minorHAnsi" w:hAnsiTheme="minorHAnsi"/>
        </w:rPr>
        <w:t>be subject to supervision (if ordered), and</w:t>
      </w:r>
    </w:p>
    <w:p w14:paraId="0E0614D4" w14:textId="77777777" w:rsidR="00CC7655" w:rsidRPr="009541AE" w:rsidRDefault="00CC7655" w:rsidP="00EB7F1E">
      <w:pPr>
        <w:pStyle w:val="ListParagraph"/>
        <w:numPr>
          <w:ilvl w:val="0"/>
          <w:numId w:val="143"/>
        </w:numPr>
        <w:spacing w:line="276" w:lineRule="auto"/>
        <w:ind w:left="992" w:hanging="425"/>
        <w:rPr>
          <w:rFonts w:asciiTheme="minorHAnsi" w:hAnsiTheme="minorHAnsi"/>
        </w:rPr>
      </w:pPr>
      <w:r w:rsidRPr="009541AE">
        <w:rPr>
          <w:rFonts w:asciiTheme="minorHAnsi" w:hAnsiTheme="minorHAnsi"/>
        </w:rPr>
        <w:t>be subject to any other conditions specified in the order.</w:t>
      </w:r>
      <w:r w:rsidRPr="009541AE">
        <w:rPr>
          <w:rStyle w:val="Style"/>
          <w:rFonts w:asciiTheme="minorHAnsi" w:hAnsiTheme="minorHAnsi"/>
        </w:rPr>
        <w:footnoteReference w:id="883"/>
      </w:r>
    </w:p>
    <w:p w14:paraId="1A59C3B0" w14:textId="77777777" w:rsidR="00CC7655" w:rsidRPr="009541AE" w:rsidRDefault="00CC7655" w:rsidP="00EB7F1E">
      <w:pPr>
        <w:pStyle w:val="ListParagraph"/>
        <w:rPr>
          <w:rFonts w:asciiTheme="minorHAnsi" w:hAnsiTheme="minorHAnsi"/>
        </w:rPr>
      </w:pPr>
    </w:p>
    <w:p w14:paraId="00B4F309" w14:textId="038B97C2" w:rsidR="00CC7655" w:rsidRPr="009541AE" w:rsidRDefault="00904284" w:rsidP="00EB7F1E">
      <w:pPr>
        <w:pStyle w:val="Heading3"/>
      </w:pPr>
      <w:bookmarkStart w:id="2096" w:name="_Toc33602919"/>
      <w:r w:rsidRPr="009541AE">
        <w:t>P</w:t>
      </w:r>
      <w:r w:rsidR="00CC7655" w:rsidRPr="009541AE">
        <w:t>arolees are still under sentence</w:t>
      </w:r>
      <w:bookmarkEnd w:id="2096"/>
    </w:p>
    <w:p w14:paraId="38DC474F" w14:textId="77777777" w:rsidR="00CC7655" w:rsidRPr="009541AE" w:rsidRDefault="00CC7655" w:rsidP="00EB7F1E">
      <w:pPr>
        <w:pStyle w:val="NormalIndent"/>
        <w:keepNext/>
        <w:spacing w:line="276" w:lineRule="auto"/>
        <w:rPr>
          <w:rFonts w:asciiTheme="minorHAnsi" w:hAnsiTheme="minorHAnsi"/>
        </w:rPr>
      </w:pPr>
    </w:p>
    <w:p w14:paraId="7C6720A5" w14:textId="0823F635" w:rsidR="00307BC7" w:rsidRPr="009541AE" w:rsidRDefault="009C4492">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A </w:t>
      </w:r>
      <w:r w:rsidR="00CC7655" w:rsidRPr="009541AE">
        <w:rPr>
          <w:rFonts w:asciiTheme="minorHAnsi" w:hAnsiTheme="minorHAnsi"/>
        </w:rPr>
        <w:t xml:space="preserve">federal prisoner </w:t>
      </w:r>
      <w:r w:rsidRPr="009541AE">
        <w:rPr>
          <w:rFonts w:asciiTheme="minorHAnsi" w:hAnsiTheme="minorHAnsi"/>
        </w:rPr>
        <w:t xml:space="preserve">who </w:t>
      </w:r>
      <w:r w:rsidR="00CC7655" w:rsidRPr="009541AE">
        <w:rPr>
          <w:rFonts w:asciiTheme="minorHAnsi" w:hAnsiTheme="minorHAnsi"/>
        </w:rPr>
        <w:t>is released on parole is taken to be still under sentence and not to have served the balance of the sentence owing on release unless the parole order ends without being revoked.</w:t>
      </w:r>
      <w:r w:rsidR="00CC7655" w:rsidRPr="009541AE">
        <w:rPr>
          <w:rStyle w:val="Style"/>
          <w:rFonts w:asciiTheme="minorHAnsi" w:hAnsiTheme="minorHAnsi"/>
        </w:rPr>
        <w:footnoteReference w:id="884"/>
      </w:r>
      <w:r w:rsidR="00CC7655" w:rsidRPr="009541AE">
        <w:rPr>
          <w:rFonts w:asciiTheme="minorHAnsi" w:hAnsiTheme="minorHAnsi"/>
        </w:rPr>
        <w:t xml:space="preserve">  This means that where the parole order is revoked (including by automatic revocation following a sentence imposed after the end of the parole period, for an offence committed during the parole period), the parolee becomes liable to serve </w:t>
      </w:r>
      <w:r w:rsidR="00CC7655" w:rsidRPr="009541AE">
        <w:rPr>
          <w:rFonts w:asciiTheme="minorHAnsi" w:hAnsiTheme="minorHAnsi"/>
          <w:i/>
          <w:iCs/>
        </w:rPr>
        <w:t>the entire balance</w:t>
      </w:r>
      <w:r w:rsidR="00CC7655" w:rsidRPr="009541AE">
        <w:rPr>
          <w:rFonts w:asciiTheme="minorHAnsi" w:hAnsiTheme="minorHAnsi"/>
        </w:rPr>
        <w:t xml:space="preserve"> of the federal parole period that was owing at the time </w:t>
      </w:r>
      <w:r w:rsidRPr="009541AE">
        <w:rPr>
          <w:rFonts w:asciiTheme="minorHAnsi" w:hAnsiTheme="minorHAnsi"/>
        </w:rPr>
        <w:t xml:space="preserve">of </w:t>
      </w:r>
      <w:r w:rsidR="00CC7655" w:rsidRPr="009541AE">
        <w:rPr>
          <w:rFonts w:asciiTheme="minorHAnsi" w:hAnsiTheme="minorHAnsi"/>
        </w:rPr>
        <w:t>release on parole.</w:t>
      </w:r>
    </w:p>
    <w:p w14:paraId="66A91190" w14:textId="77777777" w:rsidR="00307BC7" w:rsidRPr="009541AE" w:rsidRDefault="00307BC7" w:rsidP="00EB7F1E">
      <w:pPr>
        <w:spacing w:line="276" w:lineRule="auto"/>
        <w:rPr>
          <w:rFonts w:asciiTheme="minorHAnsi" w:hAnsiTheme="minorHAnsi"/>
        </w:rPr>
      </w:pPr>
    </w:p>
    <w:p w14:paraId="75A86D86" w14:textId="0D03E743" w:rsidR="00CC7655" w:rsidRPr="009541AE" w:rsidRDefault="00307BC7"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T</w:t>
      </w:r>
      <w:r w:rsidR="00CC7655" w:rsidRPr="009541AE">
        <w:rPr>
          <w:rFonts w:asciiTheme="minorHAnsi" w:hAnsiTheme="minorHAnsi"/>
        </w:rPr>
        <w:t>his rule operates subject to significant qualifications (discussed in more detail below):</w:t>
      </w:r>
    </w:p>
    <w:p w14:paraId="597EB274" w14:textId="3770C3FA" w:rsidR="00CC7655" w:rsidRPr="009541AE" w:rsidRDefault="00CC7655" w:rsidP="00EB7F1E">
      <w:pPr>
        <w:pStyle w:val="ListParagraph"/>
        <w:numPr>
          <w:ilvl w:val="0"/>
          <w:numId w:val="144"/>
        </w:numPr>
        <w:spacing w:line="276" w:lineRule="auto"/>
        <w:ind w:left="992" w:hanging="425"/>
        <w:rPr>
          <w:rFonts w:asciiTheme="minorHAnsi" w:hAnsiTheme="minorHAnsi"/>
        </w:rPr>
      </w:pPr>
      <w:r w:rsidRPr="009541AE">
        <w:rPr>
          <w:rFonts w:asciiTheme="minorHAnsi" w:hAnsiTheme="minorHAnsi"/>
        </w:rPr>
        <w:t>State and Territory legislation which provides for crediting of “street time” (i.e. time spent on parole in the community before parole was revoked) reduces the balance of the federal sentence to be served</w:t>
      </w:r>
      <w:r w:rsidR="00E65DF2" w:rsidRPr="009541AE">
        <w:rPr>
          <w:rFonts w:asciiTheme="minorHAnsi" w:hAnsiTheme="minorHAnsi"/>
        </w:rPr>
        <w:t>.</w:t>
      </w:r>
      <w:r w:rsidRPr="009541AE">
        <w:rPr>
          <w:rStyle w:val="Style"/>
          <w:rFonts w:asciiTheme="minorHAnsi" w:hAnsiTheme="minorHAnsi"/>
        </w:rPr>
        <w:footnoteReference w:id="885"/>
      </w:r>
    </w:p>
    <w:p w14:paraId="6C90E0E2" w14:textId="4667C6D7" w:rsidR="00CC7655" w:rsidRPr="009541AE" w:rsidRDefault="00CC7655" w:rsidP="00EB7F1E">
      <w:pPr>
        <w:pStyle w:val="ListParagraph"/>
        <w:numPr>
          <w:ilvl w:val="0"/>
          <w:numId w:val="144"/>
        </w:numPr>
        <w:spacing w:line="276" w:lineRule="auto"/>
        <w:ind w:left="992" w:hanging="425"/>
        <w:rPr>
          <w:rFonts w:asciiTheme="minorHAnsi" w:hAnsiTheme="minorHAnsi"/>
        </w:rPr>
      </w:pPr>
      <w:r w:rsidRPr="009541AE">
        <w:rPr>
          <w:rFonts w:asciiTheme="minorHAnsi" w:hAnsiTheme="minorHAnsi"/>
        </w:rPr>
        <w:t>Where State and Territory legislation does not credit “street time” (with the result that the offender does not get the benefit of a reduced balance to serve), courts fixing federal non-parole periods following breach of parole must have regard to time spent in the community before revocation of the parole</w:t>
      </w:r>
      <w:r w:rsidR="00E65DF2" w:rsidRPr="009541AE">
        <w:rPr>
          <w:rFonts w:asciiTheme="minorHAnsi" w:hAnsiTheme="minorHAnsi"/>
        </w:rPr>
        <w:t>.</w:t>
      </w:r>
      <w:r w:rsidRPr="009541AE">
        <w:rPr>
          <w:rStyle w:val="Style"/>
          <w:rFonts w:asciiTheme="minorHAnsi" w:hAnsiTheme="minorHAnsi"/>
        </w:rPr>
        <w:footnoteReference w:id="886"/>
      </w:r>
    </w:p>
    <w:p w14:paraId="0D1028A7" w14:textId="4A0F4009" w:rsidR="00CC7655" w:rsidRPr="009541AE" w:rsidRDefault="00CC7655" w:rsidP="00EB7F1E">
      <w:pPr>
        <w:pStyle w:val="ListParagraph"/>
        <w:numPr>
          <w:ilvl w:val="0"/>
          <w:numId w:val="144"/>
        </w:numPr>
        <w:spacing w:line="276" w:lineRule="auto"/>
        <w:ind w:left="992" w:hanging="425"/>
        <w:rPr>
          <w:rFonts w:asciiTheme="minorHAnsi" w:hAnsiTheme="minorHAnsi"/>
        </w:rPr>
      </w:pPr>
      <w:r w:rsidRPr="009541AE">
        <w:rPr>
          <w:rFonts w:asciiTheme="minorHAnsi" w:hAnsiTheme="minorHAnsi"/>
        </w:rPr>
        <w:t>The totality principle</w:t>
      </w:r>
      <w:r w:rsidR="00E65DF2" w:rsidRPr="009541AE">
        <w:rPr>
          <w:rFonts w:asciiTheme="minorHAnsi" w:hAnsiTheme="minorHAnsi"/>
        </w:rPr>
        <w:t xml:space="preserve"> applies when a court make orders following revocation of parole</w:t>
      </w:r>
      <w:r w:rsidRPr="009541AE">
        <w:rPr>
          <w:rFonts w:asciiTheme="minorHAnsi" w:hAnsiTheme="minorHAnsi"/>
        </w:rPr>
        <w:t>.</w:t>
      </w:r>
    </w:p>
    <w:p w14:paraId="3FF44D88" w14:textId="77777777" w:rsidR="00CC7655" w:rsidRPr="006E33A0" w:rsidRDefault="00CC7655" w:rsidP="00EB7F1E">
      <w:pPr>
        <w:pStyle w:val="ListParagraph"/>
        <w:rPr>
          <w:rFonts w:asciiTheme="minorHAnsi" w:hAnsiTheme="minorHAnsi"/>
          <w:highlight w:val="cyan"/>
        </w:rPr>
      </w:pPr>
    </w:p>
    <w:p w14:paraId="1A4F4375" w14:textId="2EF649DC" w:rsidR="00CC7655" w:rsidRPr="009541AE" w:rsidRDefault="00904284" w:rsidP="00EB7F1E">
      <w:pPr>
        <w:pStyle w:val="Heading3"/>
        <w:rPr>
          <w:bCs/>
        </w:rPr>
      </w:pPr>
      <w:bookmarkStart w:id="2097" w:name="_Toc33602920"/>
      <w:r w:rsidRPr="009541AE">
        <w:rPr>
          <w:bCs/>
        </w:rPr>
        <w:t>D</w:t>
      </w:r>
      <w:r w:rsidR="00A94A7D" w:rsidRPr="009541AE">
        <w:rPr>
          <w:bCs/>
        </w:rPr>
        <w:t xml:space="preserve">uration </w:t>
      </w:r>
      <w:r w:rsidR="00CC7655" w:rsidRPr="009541AE">
        <w:rPr>
          <w:bCs/>
        </w:rPr>
        <w:t>of parole period</w:t>
      </w:r>
      <w:bookmarkEnd w:id="2097"/>
    </w:p>
    <w:p w14:paraId="6DDBAC4E" w14:textId="77777777" w:rsidR="00CC7655" w:rsidRPr="009541AE" w:rsidRDefault="00CC7655" w:rsidP="00EB7F1E">
      <w:pPr>
        <w:pStyle w:val="NormalIndent"/>
        <w:keepNext/>
        <w:spacing w:line="276" w:lineRule="auto"/>
        <w:rPr>
          <w:rFonts w:asciiTheme="minorHAnsi" w:hAnsiTheme="minorHAnsi"/>
        </w:rPr>
      </w:pPr>
    </w:p>
    <w:p w14:paraId="1F6E0D25" w14:textId="77777777"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For an offender sentenced to life imprisonment, the parole period ends 5 years after release from prison, or any later day specified in the parole order.</w:t>
      </w:r>
      <w:r w:rsidRPr="009541AE">
        <w:rPr>
          <w:rStyle w:val="Style"/>
          <w:rFonts w:asciiTheme="minorHAnsi" w:hAnsiTheme="minorHAnsi"/>
        </w:rPr>
        <w:footnoteReference w:id="887"/>
      </w:r>
    </w:p>
    <w:p w14:paraId="5BFB11FE" w14:textId="77777777" w:rsidR="00CC7655" w:rsidRPr="009541AE" w:rsidRDefault="00CC7655" w:rsidP="00EB7F1E">
      <w:pPr>
        <w:pStyle w:val="ListParagraph"/>
        <w:rPr>
          <w:rFonts w:asciiTheme="minorHAnsi" w:hAnsiTheme="minorHAnsi"/>
        </w:rPr>
      </w:pPr>
    </w:p>
    <w:p w14:paraId="49EE170A" w14:textId="2FB15787"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For non-life sentences, the parole period ends at the end of the last day of any federal sentence being served or to be served (after deducting any applicable remission or reduction).</w:t>
      </w:r>
      <w:r w:rsidRPr="009541AE">
        <w:rPr>
          <w:rStyle w:val="Style"/>
          <w:rFonts w:asciiTheme="minorHAnsi" w:hAnsiTheme="minorHAnsi"/>
        </w:rPr>
        <w:footnoteReference w:id="888"/>
      </w:r>
      <w:r w:rsidRPr="009541AE">
        <w:rPr>
          <w:rFonts w:asciiTheme="minorHAnsi" w:hAnsiTheme="minorHAnsi"/>
        </w:rPr>
        <w:t xml:space="preserve"> </w:t>
      </w:r>
    </w:p>
    <w:p w14:paraId="4DF6A556" w14:textId="77777777" w:rsidR="00CC7655" w:rsidRPr="009541AE" w:rsidRDefault="00CC7655" w:rsidP="00EB7F1E">
      <w:pPr>
        <w:pStyle w:val="ListParagraph"/>
        <w:rPr>
          <w:rFonts w:asciiTheme="minorHAnsi" w:hAnsiTheme="minorHAnsi"/>
        </w:rPr>
      </w:pPr>
    </w:p>
    <w:p w14:paraId="0A31B1C2" w14:textId="41F7360C" w:rsidR="00CC7655" w:rsidRPr="009541AE" w:rsidRDefault="00904284" w:rsidP="00EB7F1E">
      <w:pPr>
        <w:pStyle w:val="Heading3"/>
        <w:rPr>
          <w:bCs/>
        </w:rPr>
      </w:pPr>
      <w:bookmarkStart w:id="2098" w:name="_Toc33602921"/>
      <w:r w:rsidRPr="009541AE">
        <w:rPr>
          <w:bCs/>
        </w:rPr>
        <w:t>R</w:t>
      </w:r>
      <w:r w:rsidR="00CA0588" w:rsidRPr="009541AE">
        <w:rPr>
          <w:bCs/>
        </w:rPr>
        <w:t xml:space="preserve">evocation </w:t>
      </w:r>
      <w:r w:rsidR="00CC7655" w:rsidRPr="009541AE">
        <w:rPr>
          <w:bCs/>
        </w:rPr>
        <w:t>of parole</w:t>
      </w:r>
      <w:bookmarkEnd w:id="2098"/>
    </w:p>
    <w:p w14:paraId="2F7D06F7" w14:textId="77777777" w:rsidR="00CC7655" w:rsidRPr="009541AE" w:rsidRDefault="00CC7655" w:rsidP="00EB7F1E">
      <w:pPr>
        <w:pStyle w:val="NormalIndent"/>
        <w:keepNext/>
        <w:spacing w:line="276" w:lineRule="auto"/>
        <w:rPr>
          <w:rFonts w:asciiTheme="minorHAnsi" w:hAnsiTheme="minorHAnsi"/>
        </w:rPr>
      </w:pPr>
    </w:p>
    <w:p w14:paraId="6A810101" w14:textId="1B8187B7"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A federal parole order may be revoked in </w:t>
      </w:r>
      <w:r w:rsidR="005834FB" w:rsidRPr="009541AE">
        <w:rPr>
          <w:rFonts w:asciiTheme="minorHAnsi" w:hAnsiTheme="minorHAnsi"/>
        </w:rPr>
        <w:t>either</w:t>
      </w:r>
      <w:r w:rsidRPr="009541AE">
        <w:rPr>
          <w:rFonts w:asciiTheme="minorHAnsi" w:hAnsiTheme="minorHAnsi"/>
        </w:rPr>
        <w:t xml:space="preserve"> of two ways:</w:t>
      </w:r>
    </w:p>
    <w:p w14:paraId="721063F1" w14:textId="7E6C5F1F" w:rsidR="00CC7655" w:rsidRPr="009541AE" w:rsidRDefault="00CC7655" w:rsidP="00EB7F1E">
      <w:pPr>
        <w:pStyle w:val="ListParagraph"/>
        <w:numPr>
          <w:ilvl w:val="0"/>
          <w:numId w:val="145"/>
        </w:numPr>
        <w:spacing w:line="276" w:lineRule="auto"/>
        <w:ind w:left="992" w:hanging="425"/>
        <w:rPr>
          <w:rFonts w:asciiTheme="minorHAnsi" w:hAnsiTheme="minorHAnsi"/>
        </w:rPr>
      </w:pPr>
      <w:r w:rsidRPr="009541AE">
        <w:rPr>
          <w:rFonts w:asciiTheme="minorHAnsi" w:hAnsiTheme="minorHAnsi"/>
        </w:rPr>
        <w:t>automatically when a further sentence of more than 3 months</w:t>
      </w:r>
      <w:r w:rsidR="005834FB" w:rsidRPr="009541AE">
        <w:rPr>
          <w:rFonts w:asciiTheme="minorHAnsi" w:hAnsiTheme="minorHAnsi"/>
        </w:rPr>
        <w:t>’</w:t>
      </w:r>
      <w:r w:rsidRPr="009541AE">
        <w:rPr>
          <w:rFonts w:asciiTheme="minorHAnsi" w:hAnsiTheme="minorHAnsi"/>
        </w:rPr>
        <w:t xml:space="preserve"> imprisonment </w:t>
      </w:r>
      <w:r w:rsidR="00A025C4" w:rsidRPr="009541AE">
        <w:rPr>
          <w:rFonts w:asciiTheme="minorHAnsi" w:hAnsiTheme="minorHAnsi"/>
        </w:rPr>
        <w:t xml:space="preserve">(other than a wholly suspended sentence) </w:t>
      </w:r>
      <w:r w:rsidRPr="009541AE">
        <w:rPr>
          <w:rFonts w:asciiTheme="minorHAnsi" w:hAnsiTheme="minorHAnsi"/>
        </w:rPr>
        <w:t>is imposed following the commission of an offence by the parolee during the parole period: s 19AQ (</w:t>
      </w:r>
      <w:r w:rsidR="00F43ECE" w:rsidRPr="009541AE">
        <w:rPr>
          <w:rFonts w:asciiTheme="minorHAnsi" w:hAnsiTheme="minorHAnsi"/>
        </w:rPr>
        <w:t>a</w:t>
      </w:r>
      <w:r w:rsidRPr="009541AE">
        <w:rPr>
          <w:rFonts w:asciiTheme="minorHAnsi" w:hAnsiTheme="minorHAnsi"/>
        </w:rPr>
        <w:t>utomatic revocation); or</w:t>
      </w:r>
    </w:p>
    <w:p w14:paraId="79D719EC" w14:textId="489FC482" w:rsidR="00CC7655" w:rsidRPr="009541AE" w:rsidRDefault="00CC7655" w:rsidP="00EB7F1E">
      <w:pPr>
        <w:pStyle w:val="ListParagraph"/>
        <w:numPr>
          <w:ilvl w:val="0"/>
          <w:numId w:val="145"/>
        </w:numPr>
        <w:spacing w:line="276" w:lineRule="auto"/>
        <w:ind w:left="992" w:hanging="425"/>
        <w:rPr>
          <w:rFonts w:asciiTheme="minorHAnsi" w:hAnsiTheme="minorHAnsi"/>
        </w:rPr>
      </w:pPr>
      <w:r w:rsidRPr="009541AE">
        <w:rPr>
          <w:rFonts w:asciiTheme="minorHAnsi" w:hAnsiTheme="minorHAnsi"/>
        </w:rPr>
        <w:t>at the discretion of the Attorney-General, where the parolee fails to comply with a condition of the parole order: s 19AU (</w:t>
      </w:r>
      <w:r w:rsidR="00F43ECE" w:rsidRPr="009541AE">
        <w:rPr>
          <w:rFonts w:asciiTheme="minorHAnsi" w:hAnsiTheme="minorHAnsi"/>
        </w:rPr>
        <w:t>d</w:t>
      </w:r>
      <w:r w:rsidRPr="009541AE">
        <w:rPr>
          <w:rFonts w:asciiTheme="minorHAnsi" w:hAnsiTheme="minorHAnsi"/>
        </w:rPr>
        <w:t>iscretionary revocation)</w:t>
      </w:r>
      <w:r w:rsidR="00F43ECE" w:rsidRPr="009541AE">
        <w:rPr>
          <w:rFonts w:asciiTheme="minorHAnsi" w:hAnsiTheme="minorHAnsi"/>
        </w:rPr>
        <w:t>.</w:t>
      </w:r>
    </w:p>
    <w:p w14:paraId="4C0A58DC" w14:textId="77777777" w:rsidR="00CC7655" w:rsidRPr="009541AE" w:rsidRDefault="00CC7655" w:rsidP="00EB7F1E">
      <w:pPr>
        <w:pStyle w:val="ListParagraph"/>
        <w:rPr>
          <w:rFonts w:asciiTheme="minorHAnsi" w:hAnsiTheme="minorHAnsi"/>
        </w:rPr>
      </w:pPr>
    </w:p>
    <w:p w14:paraId="43FFDFF1" w14:textId="6DE74DCA"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In either case, </w:t>
      </w:r>
      <w:r w:rsidR="005834FB" w:rsidRPr="009541AE">
        <w:rPr>
          <w:rFonts w:asciiTheme="minorHAnsi" w:hAnsiTheme="minorHAnsi"/>
        </w:rPr>
        <w:t>if</w:t>
      </w:r>
      <w:r w:rsidRPr="009541AE">
        <w:rPr>
          <w:rFonts w:asciiTheme="minorHAnsi" w:hAnsiTheme="minorHAnsi"/>
        </w:rPr>
        <w:t xml:space="preserve"> a parole order has been revoked in relation to a particular offence, an offender can still be granted another parole order or licence in relation to that same offence.</w:t>
      </w:r>
      <w:r w:rsidRPr="009541AE">
        <w:rPr>
          <w:rStyle w:val="Style"/>
          <w:rFonts w:asciiTheme="minorHAnsi" w:hAnsiTheme="minorHAnsi"/>
        </w:rPr>
        <w:footnoteReference w:id="889"/>
      </w:r>
    </w:p>
    <w:p w14:paraId="4A3EE93B" w14:textId="579E1695" w:rsidR="00CC7655" w:rsidRPr="009541AE" w:rsidRDefault="00CC7655">
      <w:pPr>
        <w:pStyle w:val="ListParagraph"/>
        <w:rPr>
          <w:rFonts w:asciiTheme="minorHAnsi" w:hAnsiTheme="minorHAnsi"/>
        </w:rPr>
      </w:pPr>
    </w:p>
    <w:p w14:paraId="6A865D9D" w14:textId="74ED4622" w:rsidR="00CC7655" w:rsidRPr="009541AE" w:rsidRDefault="00904284" w:rsidP="00EB7F1E">
      <w:pPr>
        <w:pStyle w:val="Heading3"/>
        <w:rPr>
          <w:bCs/>
        </w:rPr>
      </w:pPr>
      <w:bookmarkStart w:id="2099" w:name="_Toc33602922"/>
      <w:r w:rsidRPr="009541AE">
        <w:rPr>
          <w:bCs/>
        </w:rPr>
        <w:t>A</w:t>
      </w:r>
      <w:r w:rsidR="00CA0588" w:rsidRPr="009541AE">
        <w:rPr>
          <w:bCs/>
        </w:rPr>
        <w:t xml:space="preserve">utomatic </w:t>
      </w:r>
      <w:r w:rsidR="00CC7655" w:rsidRPr="009541AE">
        <w:rPr>
          <w:bCs/>
        </w:rPr>
        <w:t>revocation</w:t>
      </w:r>
      <w:r w:rsidRPr="009541AE">
        <w:rPr>
          <w:bCs/>
        </w:rPr>
        <w:t xml:space="preserve"> of parole</w:t>
      </w:r>
      <w:bookmarkEnd w:id="2099"/>
    </w:p>
    <w:p w14:paraId="3FC2406E" w14:textId="22A2E25D" w:rsidR="00CC7655" w:rsidRPr="009541AE" w:rsidRDefault="00CC7655">
      <w:pPr>
        <w:pStyle w:val="NormalIndent"/>
        <w:keepNext/>
        <w:spacing w:line="276" w:lineRule="auto"/>
        <w:rPr>
          <w:rFonts w:asciiTheme="minorHAnsi" w:hAnsiTheme="minorHAnsi"/>
        </w:rPr>
      </w:pPr>
    </w:p>
    <w:p w14:paraId="6EF02CF5" w14:textId="093944BA" w:rsidR="008C1EEE" w:rsidRPr="009541AE" w:rsidRDefault="008C1EEE" w:rsidP="008C1EEE">
      <w:pPr>
        <w:keepNext/>
        <w:spacing w:line="276" w:lineRule="auto"/>
        <w:rPr>
          <w:rFonts w:asciiTheme="minorHAnsi" w:hAnsiTheme="minorHAnsi"/>
          <w:i/>
        </w:rPr>
      </w:pPr>
      <w:r w:rsidRPr="009541AE">
        <w:rPr>
          <w:rFonts w:asciiTheme="minorHAnsi" w:hAnsiTheme="minorHAnsi"/>
          <w:i/>
        </w:rPr>
        <w:t>Revocation upon sentencing for an offence committed on parole</w:t>
      </w:r>
    </w:p>
    <w:p w14:paraId="29230AB7" w14:textId="404A0FF5" w:rsidR="00590B06" w:rsidRPr="009541AE" w:rsidRDefault="00CC7655" w:rsidP="00023D6B">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Parole is revoked automatically (i.e. the Attorney-General does not need to make a revocation order) when a federal offender </w:t>
      </w:r>
      <w:r w:rsidR="00590B06" w:rsidRPr="009541AE">
        <w:rPr>
          <w:rFonts w:asciiTheme="minorHAnsi" w:hAnsiTheme="minorHAnsi"/>
        </w:rPr>
        <w:t xml:space="preserve">who has been </w:t>
      </w:r>
      <w:r w:rsidRPr="009541AE">
        <w:rPr>
          <w:rFonts w:asciiTheme="minorHAnsi" w:hAnsiTheme="minorHAnsi"/>
        </w:rPr>
        <w:t xml:space="preserve">released on parole is sentenced </w:t>
      </w:r>
      <w:r w:rsidR="004A4E6B" w:rsidRPr="009541AE">
        <w:rPr>
          <w:rFonts w:asciiTheme="minorHAnsi" w:hAnsiTheme="minorHAnsi"/>
        </w:rPr>
        <w:t>to life imprisonment or to a sentence of, or sentences aggregating, more than 3 months</w:t>
      </w:r>
      <w:r w:rsidR="00450287" w:rsidRPr="009541AE">
        <w:rPr>
          <w:rFonts w:asciiTheme="minorHAnsi" w:hAnsiTheme="minorHAnsi"/>
        </w:rPr>
        <w:t xml:space="preserve"> </w:t>
      </w:r>
      <w:r w:rsidR="004A4E6B" w:rsidRPr="009541AE">
        <w:rPr>
          <w:rFonts w:asciiTheme="minorHAnsi" w:hAnsiTheme="minorHAnsi"/>
        </w:rPr>
        <w:t>in respect of a federal, State or Territory offence committed during the parole period</w:t>
      </w:r>
      <w:r w:rsidRPr="009541AE">
        <w:rPr>
          <w:rFonts w:asciiTheme="minorHAnsi" w:hAnsiTheme="minorHAnsi"/>
        </w:rPr>
        <w:t>.</w:t>
      </w:r>
      <w:r w:rsidRPr="009541AE">
        <w:rPr>
          <w:rStyle w:val="Style"/>
          <w:rFonts w:asciiTheme="minorHAnsi" w:hAnsiTheme="minorHAnsi"/>
        </w:rPr>
        <w:footnoteReference w:id="890"/>
      </w:r>
      <w:r w:rsidRPr="009541AE">
        <w:rPr>
          <w:rFonts w:asciiTheme="minorHAnsi" w:hAnsiTheme="minorHAnsi"/>
        </w:rPr>
        <w:t xml:space="preserve">  </w:t>
      </w:r>
      <w:r w:rsidR="00590B06" w:rsidRPr="009541AE">
        <w:rPr>
          <w:rFonts w:asciiTheme="minorHAnsi" w:hAnsiTheme="minorHAnsi"/>
        </w:rPr>
        <w:t xml:space="preserve">The only exception </w:t>
      </w:r>
      <w:r w:rsidR="004A4E6B" w:rsidRPr="009541AE">
        <w:rPr>
          <w:rFonts w:asciiTheme="minorHAnsi" w:hAnsiTheme="minorHAnsi"/>
        </w:rPr>
        <w:t>is if the sentence of imprisonment</w:t>
      </w:r>
      <w:r w:rsidR="00120245" w:rsidRPr="009541AE">
        <w:rPr>
          <w:rFonts w:asciiTheme="minorHAnsi" w:hAnsiTheme="minorHAnsi"/>
        </w:rPr>
        <w:t>, or each sentence of imprisonment,</w:t>
      </w:r>
      <w:r w:rsidR="004A4E6B" w:rsidRPr="009541AE">
        <w:rPr>
          <w:rFonts w:asciiTheme="minorHAnsi" w:hAnsiTheme="minorHAnsi"/>
        </w:rPr>
        <w:t xml:space="preserve"> is suspended </w:t>
      </w:r>
      <w:r w:rsidR="005D63A6" w:rsidRPr="009541AE">
        <w:rPr>
          <w:rFonts w:asciiTheme="minorHAnsi" w:hAnsiTheme="minorHAnsi"/>
        </w:rPr>
        <w:t>(that is, wholly suspended).</w:t>
      </w:r>
      <w:r w:rsidR="005D63A6" w:rsidRPr="009541AE">
        <w:rPr>
          <w:rStyle w:val="Style"/>
          <w:rFonts w:asciiTheme="minorHAnsi" w:hAnsiTheme="minorHAnsi"/>
        </w:rPr>
        <w:footnoteReference w:id="891"/>
      </w:r>
    </w:p>
    <w:p w14:paraId="339ECF71" w14:textId="77777777" w:rsidR="00590B06" w:rsidRPr="009541AE" w:rsidRDefault="00590B06" w:rsidP="00EB7F1E">
      <w:pPr>
        <w:spacing w:line="276" w:lineRule="auto"/>
        <w:rPr>
          <w:rFonts w:asciiTheme="minorHAnsi" w:hAnsiTheme="minorHAnsi"/>
        </w:rPr>
      </w:pPr>
    </w:p>
    <w:p w14:paraId="5F4327A8" w14:textId="77777777" w:rsidR="00077D45" w:rsidRPr="009541AE" w:rsidRDefault="00CC7655" w:rsidP="00023D6B">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If at the date of sentence for the new offence, the federal parole period has already ended, the parole order is taken to have been revoked from the time immediately before the end of the parole period.</w:t>
      </w:r>
      <w:r w:rsidRPr="009541AE">
        <w:rPr>
          <w:rStyle w:val="Style"/>
          <w:rFonts w:asciiTheme="minorHAnsi" w:hAnsiTheme="minorHAnsi"/>
        </w:rPr>
        <w:footnoteReference w:id="892"/>
      </w:r>
    </w:p>
    <w:p w14:paraId="6A050D44" w14:textId="77777777" w:rsidR="00077D45" w:rsidRPr="009541AE" w:rsidRDefault="00077D45" w:rsidP="00EB7F1E">
      <w:pPr>
        <w:pStyle w:val="ListParagraph"/>
        <w:rPr>
          <w:rFonts w:asciiTheme="minorHAnsi" w:hAnsiTheme="minorHAnsi"/>
        </w:rPr>
      </w:pPr>
    </w:p>
    <w:p w14:paraId="673DAE0D" w14:textId="6C5AF2EC" w:rsidR="00F34E56" w:rsidRPr="009541AE" w:rsidRDefault="00077D45" w:rsidP="00023D6B">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Upon the automatic revocation of parole, t</w:t>
      </w:r>
      <w:r w:rsidR="00CC7655" w:rsidRPr="009541AE">
        <w:rPr>
          <w:rFonts w:asciiTheme="minorHAnsi" w:hAnsiTheme="minorHAnsi"/>
        </w:rPr>
        <w:t>he parolee is regarded as still under sentence and becomes liable to serve</w:t>
      </w:r>
      <w:r w:rsidRPr="009541AE">
        <w:rPr>
          <w:rFonts w:asciiTheme="minorHAnsi" w:hAnsiTheme="minorHAnsi"/>
        </w:rPr>
        <w:t xml:space="preserve"> that part of the sentence or each sentence for a federal offence that had not </w:t>
      </w:r>
      <w:r w:rsidR="00D75B87" w:rsidRPr="009541AE">
        <w:rPr>
          <w:rFonts w:asciiTheme="minorHAnsi" w:hAnsiTheme="minorHAnsi"/>
        </w:rPr>
        <w:t xml:space="preserve">been </w:t>
      </w:r>
      <w:r w:rsidRPr="009541AE">
        <w:rPr>
          <w:rFonts w:asciiTheme="minorHAnsi" w:hAnsiTheme="minorHAnsi"/>
        </w:rPr>
        <w:t>served at the time of his or her release under th</w:t>
      </w:r>
      <w:r w:rsidR="006A66C5" w:rsidRPr="009541AE">
        <w:rPr>
          <w:rFonts w:asciiTheme="minorHAnsi" w:hAnsiTheme="minorHAnsi"/>
        </w:rPr>
        <w:t>e parole</w:t>
      </w:r>
      <w:r w:rsidRPr="009541AE">
        <w:rPr>
          <w:rFonts w:asciiTheme="minorHAnsi" w:hAnsiTheme="minorHAnsi"/>
        </w:rPr>
        <w:t xml:space="preserve"> order,</w:t>
      </w:r>
      <w:r w:rsidR="00CC7655" w:rsidRPr="009541AE">
        <w:rPr>
          <w:rStyle w:val="Style"/>
          <w:rFonts w:asciiTheme="minorHAnsi" w:hAnsiTheme="minorHAnsi"/>
        </w:rPr>
        <w:footnoteReference w:id="893"/>
      </w:r>
      <w:r w:rsidR="00CC7655" w:rsidRPr="009541AE">
        <w:rPr>
          <w:rFonts w:asciiTheme="minorHAnsi" w:hAnsiTheme="minorHAnsi"/>
        </w:rPr>
        <w:t xml:space="preserve"> </w:t>
      </w:r>
      <w:r w:rsidR="00B70538" w:rsidRPr="009541AE">
        <w:rPr>
          <w:rFonts w:asciiTheme="minorHAnsi" w:hAnsiTheme="minorHAnsi"/>
        </w:rPr>
        <w:t>subject to any credit to be allowed for “</w:t>
      </w:r>
      <w:r w:rsidR="008D2973" w:rsidRPr="009541AE">
        <w:rPr>
          <w:rFonts w:asciiTheme="minorHAnsi" w:hAnsiTheme="minorHAnsi"/>
        </w:rPr>
        <w:t>street time</w:t>
      </w:r>
      <w:r w:rsidR="00B70538" w:rsidRPr="009541AE">
        <w:rPr>
          <w:rFonts w:asciiTheme="minorHAnsi" w:hAnsiTheme="minorHAnsi"/>
        </w:rPr>
        <w:t>”</w:t>
      </w:r>
      <w:r w:rsidRPr="009541AE">
        <w:rPr>
          <w:rFonts w:asciiTheme="minorHAnsi" w:hAnsiTheme="minorHAnsi"/>
        </w:rPr>
        <w:t xml:space="preserve"> and subject (except in the case of a life sentence</w:t>
      </w:r>
      <w:r w:rsidR="00B70538" w:rsidRPr="009541AE">
        <w:rPr>
          <w:rFonts w:asciiTheme="minorHAnsi" w:hAnsiTheme="minorHAnsi"/>
        </w:rPr>
        <w:t>)</w:t>
      </w:r>
      <w:r w:rsidRPr="009541AE">
        <w:rPr>
          <w:rFonts w:asciiTheme="minorHAnsi" w:hAnsiTheme="minorHAnsi"/>
        </w:rPr>
        <w:t xml:space="preserve"> to any further remission or reduction of that sentence</w:t>
      </w:r>
      <w:r w:rsidR="00B70538" w:rsidRPr="009541AE">
        <w:rPr>
          <w:rFonts w:asciiTheme="minorHAnsi" w:hAnsiTheme="minorHAnsi"/>
        </w:rPr>
        <w:t xml:space="preserve">. </w:t>
      </w:r>
      <w:r w:rsidR="00CC7655" w:rsidRPr="009541AE">
        <w:rPr>
          <w:rFonts w:asciiTheme="minorHAnsi" w:hAnsiTheme="minorHAnsi"/>
        </w:rPr>
        <w:t xml:space="preserve"> </w:t>
      </w:r>
      <w:r w:rsidR="00F34E56" w:rsidRPr="009541AE">
        <w:rPr>
          <w:rFonts w:asciiTheme="minorHAnsi" w:hAnsiTheme="minorHAnsi"/>
        </w:rPr>
        <w:t>Credit</w:t>
      </w:r>
      <w:r w:rsidR="001F3B61" w:rsidRPr="009541AE">
        <w:rPr>
          <w:rFonts w:asciiTheme="minorHAnsi" w:hAnsiTheme="minorHAnsi"/>
        </w:rPr>
        <w:t xml:space="preserve"> to be allowed</w:t>
      </w:r>
      <w:r w:rsidR="00F34E56" w:rsidRPr="009541AE">
        <w:rPr>
          <w:rFonts w:asciiTheme="minorHAnsi" w:hAnsiTheme="minorHAnsi"/>
        </w:rPr>
        <w:t xml:space="preserve"> for “</w:t>
      </w:r>
      <w:r w:rsidR="008D2973" w:rsidRPr="009541AE">
        <w:rPr>
          <w:rFonts w:asciiTheme="minorHAnsi" w:hAnsiTheme="minorHAnsi"/>
        </w:rPr>
        <w:t>street time</w:t>
      </w:r>
      <w:r w:rsidR="00F34E56" w:rsidRPr="009541AE">
        <w:rPr>
          <w:rFonts w:asciiTheme="minorHAnsi" w:hAnsiTheme="minorHAnsi"/>
        </w:rPr>
        <w:t xml:space="preserve">” </w:t>
      </w:r>
      <w:r w:rsidR="00454FA2" w:rsidRPr="009541AE">
        <w:rPr>
          <w:rFonts w:asciiTheme="minorHAnsi" w:hAnsiTheme="minorHAnsi"/>
        </w:rPr>
        <w:t xml:space="preserve">(that is, a period spent on parole before parole was revoked) </w:t>
      </w:r>
      <w:r w:rsidR="00F34E56" w:rsidRPr="009541AE">
        <w:rPr>
          <w:rFonts w:asciiTheme="minorHAnsi" w:hAnsiTheme="minorHAnsi"/>
        </w:rPr>
        <w:t>is governed</w:t>
      </w:r>
      <w:r w:rsidR="001F3B61" w:rsidRPr="009541AE">
        <w:rPr>
          <w:rFonts w:asciiTheme="minorHAnsi" w:hAnsiTheme="minorHAnsi"/>
        </w:rPr>
        <w:t xml:space="preserve"> by</w:t>
      </w:r>
      <w:r w:rsidR="00F34E56" w:rsidRPr="009541AE">
        <w:rPr>
          <w:rFonts w:asciiTheme="minorHAnsi" w:hAnsiTheme="minorHAnsi" w:cstheme="minorHAnsi"/>
        </w:rPr>
        <w:t xml:space="preserve"> s 19AQ(5) and s 19AA(2)-(3)</w:t>
      </w:r>
      <w:r w:rsidR="001F3B61" w:rsidRPr="009541AE">
        <w:rPr>
          <w:rFonts w:asciiTheme="minorHAnsi" w:hAnsiTheme="minorHAnsi"/>
        </w:rPr>
        <w:t xml:space="preserve"> of the </w:t>
      </w:r>
      <w:r w:rsidR="001F3B61" w:rsidRPr="009541AE">
        <w:rPr>
          <w:rFonts w:asciiTheme="minorHAnsi" w:hAnsiTheme="minorHAnsi" w:cstheme="minorHAnsi"/>
          <w:i/>
        </w:rPr>
        <w:t xml:space="preserve">Crimes Act 1914 </w:t>
      </w:r>
      <w:r w:rsidR="001F3B61" w:rsidRPr="009541AE">
        <w:rPr>
          <w:rFonts w:asciiTheme="minorHAnsi" w:hAnsiTheme="minorHAnsi" w:cstheme="minorHAnsi"/>
        </w:rPr>
        <w:t xml:space="preserve">(Cth): </w:t>
      </w:r>
      <w:r w:rsidR="001F3B61" w:rsidRPr="009541AE">
        <w:rPr>
          <w:rFonts w:asciiTheme="minorHAnsi" w:hAnsiTheme="minorHAnsi"/>
        </w:rPr>
        <w:t>see “</w:t>
      </w:r>
      <w:r w:rsidR="001F3B61" w:rsidRPr="009541AE">
        <w:rPr>
          <w:rFonts w:asciiTheme="minorHAnsi" w:hAnsiTheme="minorHAnsi"/>
        </w:rPr>
        <w:fldChar w:fldCharType="begin"/>
      </w:r>
      <w:r w:rsidR="001F3B61" w:rsidRPr="009541AE">
        <w:rPr>
          <w:rFonts w:asciiTheme="minorHAnsi" w:hAnsiTheme="minorHAnsi"/>
        </w:rPr>
        <w:instrText xml:space="preserve"> REF _Ref12716075 \r \h  \* MERGEFORMAT </w:instrText>
      </w:r>
      <w:r w:rsidR="001F3B61" w:rsidRPr="009541AE">
        <w:rPr>
          <w:rFonts w:asciiTheme="minorHAnsi" w:hAnsiTheme="minorHAnsi"/>
        </w:rPr>
      </w:r>
      <w:r w:rsidR="001F3B61" w:rsidRPr="009541AE">
        <w:rPr>
          <w:rFonts w:asciiTheme="minorHAnsi" w:hAnsiTheme="minorHAnsi"/>
        </w:rPr>
        <w:fldChar w:fldCharType="separate"/>
      </w:r>
      <w:r w:rsidR="00D44BCF">
        <w:rPr>
          <w:rFonts w:asciiTheme="minorHAnsi" w:hAnsiTheme="minorHAnsi"/>
        </w:rPr>
        <w:t>5.11.9</w:t>
      </w:r>
      <w:r w:rsidR="001F3B61" w:rsidRPr="009541AE">
        <w:rPr>
          <w:rFonts w:asciiTheme="minorHAnsi" w:hAnsiTheme="minorHAnsi"/>
        </w:rPr>
        <w:fldChar w:fldCharType="end"/>
      </w:r>
      <w:r w:rsidR="001F3B61" w:rsidRPr="009541AE">
        <w:rPr>
          <w:rFonts w:asciiTheme="minorHAnsi" w:hAnsiTheme="minorHAnsi"/>
        </w:rPr>
        <w:t xml:space="preserve"> </w:t>
      </w:r>
      <w:r w:rsidR="001F3B61" w:rsidRPr="009541AE">
        <w:rPr>
          <w:rFonts w:asciiTheme="minorHAnsi" w:hAnsiTheme="minorHAnsi"/>
        </w:rPr>
        <w:fldChar w:fldCharType="begin"/>
      </w:r>
      <w:r w:rsidR="001F3B61" w:rsidRPr="009541AE">
        <w:rPr>
          <w:rFonts w:asciiTheme="minorHAnsi" w:hAnsiTheme="minorHAnsi"/>
        </w:rPr>
        <w:instrText xml:space="preserve"> REF _Ref12716075 \h  \* MERGEFORMAT </w:instrText>
      </w:r>
      <w:r w:rsidR="001F3B61" w:rsidRPr="009541AE">
        <w:rPr>
          <w:rFonts w:asciiTheme="minorHAnsi" w:hAnsiTheme="minorHAnsi"/>
        </w:rPr>
      </w:r>
      <w:r w:rsidR="001F3B61" w:rsidRPr="009541AE">
        <w:rPr>
          <w:rFonts w:asciiTheme="minorHAnsi" w:hAnsiTheme="minorHAnsi"/>
        </w:rPr>
        <w:fldChar w:fldCharType="separate"/>
      </w:r>
      <w:r w:rsidR="00D44BCF" w:rsidRPr="00D44BCF">
        <w:rPr>
          <w:rFonts w:asciiTheme="minorHAnsi" w:hAnsiTheme="minorHAnsi"/>
        </w:rPr>
        <w:t>Credit for “street time”</w:t>
      </w:r>
      <w:r w:rsidR="001F3B61" w:rsidRPr="009541AE">
        <w:rPr>
          <w:rFonts w:asciiTheme="minorHAnsi" w:hAnsiTheme="minorHAnsi"/>
        </w:rPr>
        <w:fldChar w:fldCharType="end"/>
      </w:r>
      <w:r w:rsidR="001F3B61" w:rsidRPr="009541AE">
        <w:rPr>
          <w:rFonts w:asciiTheme="minorHAnsi" w:hAnsiTheme="minorHAnsi"/>
        </w:rPr>
        <w:t>”.</w:t>
      </w:r>
    </w:p>
    <w:p w14:paraId="4BDF8126" w14:textId="77777777" w:rsidR="00F34E56" w:rsidRPr="009541AE" w:rsidRDefault="00F34E56" w:rsidP="00EB7F1E">
      <w:pPr>
        <w:pStyle w:val="ListParagraph"/>
        <w:rPr>
          <w:rFonts w:asciiTheme="minorHAnsi" w:hAnsiTheme="minorHAnsi"/>
        </w:rPr>
      </w:pPr>
    </w:p>
    <w:p w14:paraId="1A2E811F" w14:textId="795FB207" w:rsidR="00CC7655" w:rsidRPr="009541AE" w:rsidRDefault="00CC7655" w:rsidP="00023D6B">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The service of that balance of the federal sentence commences on the date the offender is sentenced for the new offence.</w:t>
      </w:r>
      <w:r w:rsidRPr="009541AE">
        <w:rPr>
          <w:rStyle w:val="Style"/>
          <w:rFonts w:asciiTheme="minorHAnsi" w:hAnsiTheme="minorHAnsi"/>
        </w:rPr>
        <w:footnoteReference w:id="894"/>
      </w:r>
    </w:p>
    <w:p w14:paraId="6BD817F1" w14:textId="5E770452" w:rsidR="001423CB" w:rsidRPr="009541AE" w:rsidRDefault="001423CB">
      <w:pPr>
        <w:pStyle w:val="ListParagraph"/>
        <w:rPr>
          <w:rFonts w:asciiTheme="minorHAnsi" w:hAnsiTheme="minorHAnsi"/>
        </w:rPr>
      </w:pPr>
    </w:p>
    <w:p w14:paraId="4248DCC1" w14:textId="24C709D5" w:rsidR="008C1EEE" w:rsidRPr="009541AE" w:rsidRDefault="008C1EEE" w:rsidP="008C1EEE">
      <w:pPr>
        <w:keepNext/>
        <w:spacing w:line="276" w:lineRule="auto"/>
        <w:rPr>
          <w:rFonts w:asciiTheme="minorHAnsi" w:hAnsiTheme="minorHAnsi"/>
          <w:i/>
        </w:rPr>
      </w:pPr>
      <w:r w:rsidRPr="009541AE">
        <w:rPr>
          <w:rFonts w:asciiTheme="minorHAnsi" w:hAnsiTheme="minorHAnsi"/>
          <w:i/>
        </w:rPr>
        <w:t xml:space="preserve">Fixing a new NPP or </w:t>
      </w:r>
      <w:r w:rsidR="002F242E" w:rsidRPr="009541AE">
        <w:rPr>
          <w:rFonts w:asciiTheme="minorHAnsi" w:hAnsiTheme="minorHAnsi"/>
          <w:i/>
        </w:rPr>
        <w:t xml:space="preserve">making a new </w:t>
      </w:r>
      <w:r w:rsidRPr="009541AE">
        <w:rPr>
          <w:rFonts w:asciiTheme="minorHAnsi" w:hAnsiTheme="minorHAnsi"/>
          <w:i/>
        </w:rPr>
        <w:t>RRO following automatic revocation of parole</w:t>
      </w:r>
    </w:p>
    <w:p w14:paraId="2A095A02" w14:textId="0E1E805B" w:rsidR="00CC7655" w:rsidRPr="009541AE" w:rsidRDefault="00CC7655" w:rsidP="00023D6B">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Where parole is automatically revoked by a sentence for further offences committed during the parole period (</w:t>
      </w:r>
      <w:r w:rsidR="00AA693C" w:rsidRPr="009541AE">
        <w:rPr>
          <w:rFonts w:asciiTheme="minorHAnsi" w:hAnsiTheme="minorHAnsi"/>
        </w:rPr>
        <w:t>‘</w:t>
      </w:r>
      <w:r w:rsidRPr="009541AE">
        <w:rPr>
          <w:rFonts w:asciiTheme="minorHAnsi" w:hAnsiTheme="minorHAnsi"/>
        </w:rPr>
        <w:t>the new sentence</w:t>
      </w:r>
      <w:r w:rsidR="00AA693C" w:rsidRPr="009541AE">
        <w:rPr>
          <w:rFonts w:asciiTheme="minorHAnsi" w:hAnsiTheme="minorHAnsi"/>
        </w:rPr>
        <w:t>’</w:t>
      </w:r>
      <w:r w:rsidRPr="009541AE">
        <w:rPr>
          <w:rFonts w:asciiTheme="minorHAnsi" w:hAnsiTheme="minorHAnsi"/>
        </w:rPr>
        <w:t xml:space="preserve">), s 19AR of the </w:t>
      </w:r>
      <w:r w:rsidRPr="009541AE">
        <w:rPr>
          <w:rFonts w:asciiTheme="minorHAnsi" w:hAnsiTheme="minorHAnsi"/>
          <w:i/>
        </w:rPr>
        <w:t xml:space="preserve">Crimes Act 1914 </w:t>
      </w:r>
      <w:r w:rsidRPr="009541AE">
        <w:rPr>
          <w:rFonts w:asciiTheme="minorHAnsi" w:hAnsiTheme="minorHAnsi"/>
        </w:rPr>
        <w:t>(Cth)</w:t>
      </w:r>
      <w:r w:rsidRPr="009541AE">
        <w:rPr>
          <w:rFonts w:asciiTheme="minorHAnsi" w:hAnsiTheme="minorHAnsi"/>
          <w:i/>
        </w:rPr>
        <w:t xml:space="preserve"> </w:t>
      </w:r>
      <w:r w:rsidRPr="009541AE">
        <w:rPr>
          <w:rFonts w:asciiTheme="minorHAnsi" w:hAnsiTheme="minorHAnsi"/>
        </w:rPr>
        <w:t xml:space="preserve">makes provision for the fixing of </w:t>
      </w:r>
      <w:r w:rsidR="004023AC" w:rsidRPr="009541AE">
        <w:rPr>
          <w:rFonts w:asciiTheme="minorHAnsi" w:hAnsiTheme="minorHAnsi"/>
        </w:rPr>
        <w:t xml:space="preserve">a </w:t>
      </w:r>
      <w:r w:rsidRPr="009541AE">
        <w:rPr>
          <w:rFonts w:asciiTheme="minorHAnsi" w:hAnsiTheme="minorHAnsi"/>
        </w:rPr>
        <w:t xml:space="preserve">new non-parole period </w:t>
      </w:r>
      <w:r w:rsidR="004023AC" w:rsidRPr="009541AE">
        <w:rPr>
          <w:rFonts w:asciiTheme="minorHAnsi" w:hAnsiTheme="minorHAnsi"/>
        </w:rPr>
        <w:t xml:space="preserve">(NPP) </w:t>
      </w:r>
      <w:r w:rsidRPr="009541AE">
        <w:rPr>
          <w:rFonts w:asciiTheme="minorHAnsi" w:hAnsiTheme="minorHAnsi"/>
        </w:rPr>
        <w:t xml:space="preserve">or </w:t>
      </w:r>
      <w:r w:rsidR="004023AC" w:rsidRPr="009541AE">
        <w:rPr>
          <w:rFonts w:asciiTheme="minorHAnsi" w:hAnsiTheme="minorHAnsi"/>
        </w:rPr>
        <w:t>recognizance release order (</w:t>
      </w:r>
      <w:r w:rsidRPr="009541AE">
        <w:rPr>
          <w:rFonts w:asciiTheme="minorHAnsi" w:hAnsiTheme="minorHAnsi"/>
        </w:rPr>
        <w:t>RRO</w:t>
      </w:r>
      <w:r w:rsidR="004023AC" w:rsidRPr="009541AE">
        <w:rPr>
          <w:rFonts w:asciiTheme="minorHAnsi" w:hAnsiTheme="minorHAnsi"/>
        </w:rPr>
        <w:t>)</w:t>
      </w:r>
      <w:r w:rsidRPr="009541AE">
        <w:rPr>
          <w:rFonts w:asciiTheme="minorHAnsi" w:hAnsiTheme="minorHAnsi"/>
        </w:rPr>
        <w:t>, in relation to the unserved part of the original federal sentence (</w:t>
      </w:r>
      <w:r w:rsidR="00AA693C" w:rsidRPr="009541AE">
        <w:rPr>
          <w:rFonts w:asciiTheme="minorHAnsi" w:hAnsiTheme="minorHAnsi"/>
        </w:rPr>
        <w:t>‘</w:t>
      </w:r>
      <w:r w:rsidRPr="009541AE">
        <w:rPr>
          <w:rFonts w:asciiTheme="minorHAnsi" w:hAnsiTheme="minorHAnsi"/>
        </w:rPr>
        <w:t>the outstanding sentence</w:t>
      </w:r>
      <w:r w:rsidR="00AA693C" w:rsidRPr="009541AE">
        <w:rPr>
          <w:rFonts w:asciiTheme="minorHAnsi" w:hAnsiTheme="minorHAnsi"/>
        </w:rPr>
        <w:t>’</w:t>
      </w:r>
      <w:r w:rsidRPr="009541AE">
        <w:rPr>
          <w:rFonts w:asciiTheme="minorHAnsi" w:hAnsiTheme="minorHAnsi"/>
        </w:rPr>
        <w:t>) and also in relation to the new sentence, as follows:</w:t>
      </w:r>
      <w:r w:rsidRPr="009541AE">
        <w:rPr>
          <w:rStyle w:val="Style"/>
          <w:rFonts w:asciiTheme="minorHAnsi" w:hAnsiTheme="minorHAnsi"/>
        </w:rPr>
        <w:footnoteReference w:id="895"/>
      </w:r>
    </w:p>
    <w:p w14:paraId="11380ECA" w14:textId="2530596C" w:rsidR="00CC7655" w:rsidRPr="009541AE" w:rsidRDefault="00CC7655"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rPr>
        <w:t xml:space="preserve">Where </w:t>
      </w:r>
      <w:r w:rsidRPr="009541AE">
        <w:rPr>
          <w:rFonts w:asciiTheme="minorHAnsi" w:hAnsiTheme="minorHAnsi"/>
          <w:b/>
          <w:bCs/>
        </w:rPr>
        <w:t xml:space="preserve">the new sentence is </w:t>
      </w:r>
      <w:r w:rsidRPr="009541AE">
        <w:rPr>
          <w:rFonts w:asciiTheme="minorHAnsi" w:hAnsiTheme="minorHAnsi"/>
          <w:b/>
          <w:bCs/>
          <w:u w:val="single"/>
        </w:rPr>
        <w:t>more</w:t>
      </w:r>
      <w:r w:rsidRPr="009541AE">
        <w:rPr>
          <w:rFonts w:asciiTheme="minorHAnsi" w:hAnsiTheme="minorHAnsi"/>
          <w:b/>
          <w:bCs/>
        </w:rPr>
        <w:t xml:space="preserve"> than 3 years for a federal offence/s</w:t>
      </w:r>
      <w:r w:rsidRPr="009541AE">
        <w:rPr>
          <w:rFonts w:asciiTheme="minorHAnsi" w:hAnsiTheme="minorHAnsi"/>
        </w:rPr>
        <w:t xml:space="preserve">, the court </w:t>
      </w:r>
      <w:r w:rsidRPr="009541AE">
        <w:rPr>
          <w:rFonts w:asciiTheme="minorHAnsi" w:hAnsiTheme="minorHAnsi"/>
          <w:u w:val="single"/>
        </w:rPr>
        <w:t>must</w:t>
      </w:r>
      <w:r w:rsidRPr="009541AE">
        <w:rPr>
          <w:rStyle w:val="Style"/>
          <w:rFonts w:asciiTheme="minorHAnsi" w:hAnsiTheme="minorHAnsi"/>
        </w:rPr>
        <w:footnoteReference w:id="896"/>
      </w:r>
      <w:r w:rsidRPr="009541AE">
        <w:rPr>
          <w:rFonts w:asciiTheme="minorHAnsi" w:hAnsiTheme="minorHAnsi"/>
        </w:rPr>
        <w:t xml:space="preserve"> fix a single new </w:t>
      </w:r>
      <w:r w:rsidR="004023AC" w:rsidRPr="009541AE">
        <w:rPr>
          <w:rFonts w:asciiTheme="minorHAnsi" w:hAnsiTheme="minorHAnsi"/>
        </w:rPr>
        <w:t>NPP</w:t>
      </w:r>
      <w:r w:rsidRPr="009541AE">
        <w:rPr>
          <w:rFonts w:asciiTheme="minorHAnsi" w:hAnsiTheme="minorHAnsi"/>
        </w:rPr>
        <w:t xml:space="preserve"> in respect of the new sentence and the outstanding sentence, having regard to the total period of imprisonment that the person is liable to serve.</w:t>
      </w:r>
      <w:r w:rsidRPr="009541AE">
        <w:rPr>
          <w:rStyle w:val="Style"/>
          <w:rFonts w:asciiTheme="minorHAnsi" w:hAnsiTheme="minorHAnsi"/>
        </w:rPr>
        <w:footnoteReference w:id="897"/>
      </w:r>
    </w:p>
    <w:p w14:paraId="336605EF" w14:textId="296226A5" w:rsidR="00CC7655" w:rsidRPr="009541AE" w:rsidRDefault="00CC7655"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rPr>
        <w:t xml:space="preserve">Where </w:t>
      </w:r>
      <w:r w:rsidRPr="009541AE">
        <w:rPr>
          <w:rFonts w:asciiTheme="minorHAnsi" w:hAnsiTheme="minorHAnsi"/>
          <w:b/>
          <w:bCs/>
        </w:rPr>
        <w:t>the new sentence is 3 years or less for a federal offence/s</w:t>
      </w:r>
      <w:r w:rsidRPr="009541AE">
        <w:rPr>
          <w:rFonts w:asciiTheme="minorHAnsi" w:hAnsiTheme="minorHAnsi"/>
        </w:rPr>
        <w:t xml:space="preserve">, and either (i) the outstanding sentence is </w:t>
      </w:r>
      <w:r w:rsidRPr="009541AE">
        <w:rPr>
          <w:rFonts w:asciiTheme="minorHAnsi" w:hAnsiTheme="minorHAnsi"/>
          <w:b/>
          <w:bCs/>
        </w:rPr>
        <w:t>life imprisonment</w:t>
      </w:r>
      <w:r w:rsidRPr="009541AE">
        <w:rPr>
          <w:rFonts w:asciiTheme="minorHAnsi" w:hAnsiTheme="minorHAnsi"/>
        </w:rPr>
        <w:t xml:space="preserve">, or (ii) </w:t>
      </w:r>
      <w:r w:rsidRPr="009541AE">
        <w:rPr>
          <w:rFonts w:asciiTheme="minorHAnsi" w:hAnsiTheme="minorHAnsi"/>
          <w:b/>
          <w:bCs/>
        </w:rPr>
        <w:t xml:space="preserve">the outstanding sentence and the new sentence aggregate </w:t>
      </w:r>
      <w:r w:rsidRPr="009541AE">
        <w:rPr>
          <w:rFonts w:asciiTheme="minorHAnsi" w:hAnsiTheme="minorHAnsi"/>
          <w:b/>
          <w:bCs/>
          <w:u w:val="single"/>
        </w:rPr>
        <w:t>more</w:t>
      </w:r>
      <w:r w:rsidRPr="009541AE">
        <w:rPr>
          <w:rFonts w:asciiTheme="minorHAnsi" w:hAnsiTheme="minorHAnsi"/>
          <w:b/>
          <w:bCs/>
        </w:rPr>
        <w:t xml:space="preserve"> than 3 years</w:t>
      </w:r>
      <w:r w:rsidRPr="009541AE">
        <w:rPr>
          <w:rFonts w:asciiTheme="minorHAnsi" w:hAnsiTheme="minorHAnsi"/>
        </w:rPr>
        <w:t xml:space="preserve">, the court </w:t>
      </w:r>
      <w:r w:rsidRPr="009541AE">
        <w:rPr>
          <w:rFonts w:asciiTheme="minorHAnsi" w:hAnsiTheme="minorHAnsi"/>
          <w:u w:val="single"/>
        </w:rPr>
        <w:t>must</w:t>
      </w:r>
      <w:r w:rsidRPr="009541AE">
        <w:rPr>
          <w:rStyle w:val="Style"/>
          <w:rFonts w:asciiTheme="minorHAnsi" w:hAnsiTheme="minorHAnsi"/>
        </w:rPr>
        <w:footnoteReference w:id="898"/>
      </w:r>
      <w:r w:rsidRPr="009541AE">
        <w:rPr>
          <w:rFonts w:asciiTheme="minorHAnsi" w:hAnsiTheme="minorHAnsi"/>
        </w:rPr>
        <w:t xml:space="preserve"> fix a single new </w:t>
      </w:r>
      <w:r w:rsidR="004023AC" w:rsidRPr="009541AE">
        <w:rPr>
          <w:rFonts w:asciiTheme="minorHAnsi" w:hAnsiTheme="minorHAnsi"/>
        </w:rPr>
        <w:t>NPP</w:t>
      </w:r>
      <w:r w:rsidRPr="009541AE">
        <w:rPr>
          <w:rFonts w:asciiTheme="minorHAnsi" w:hAnsiTheme="minorHAnsi"/>
        </w:rPr>
        <w:t xml:space="preserve"> in respect of the new sentence and the outstanding sentence, having regard to the total period of imprisonment that the person is liable to serve.</w:t>
      </w:r>
      <w:r w:rsidRPr="009541AE">
        <w:rPr>
          <w:rStyle w:val="Style"/>
          <w:rFonts w:asciiTheme="minorHAnsi" w:hAnsiTheme="minorHAnsi"/>
        </w:rPr>
        <w:footnoteReference w:id="899"/>
      </w:r>
    </w:p>
    <w:p w14:paraId="188E0BF7" w14:textId="45C88008" w:rsidR="00CC7655" w:rsidRPr="009541AE" w:rsidRDefault="00CC7655"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rPr>
        <w:t xml:space="preserve">Where </w:t>
      </w:r>
      <w:r w:rsidRPr="009541AE">
        <w:rPr>
          <w:rFonts w:asciiTheme="minorHAnsi" w:hAnsiTheme="minorHAnsi"/>
          <w:b/>
          <w:bCs/>
        </w:rPr>
        <w:t>the new sentence is 3 years or less for a federal offence</w:t>
      </w:r>
      <w:r w:rsidRPr="009541AE">
        <w:rPr>
          <w:rFonts w:asciiTheme="minorHAnsi" w:hAnsiTheme="minorHAnsi"/>
        </w:rPr>
        <w:t xml:space="preserve">, and </w:t>
      </w:r>
      <w:r w:rsidRPr="009541AE">
        <w:rPr>
          <w:rFonts w:asciiTheme="minorHAnsi" w:hAnsiTheme="minorHAnsi"/>
          <w:b/>
          <w:bCs/>
        </w:rPr>
        <w:t>the outstanding sentence and the new sentence aggregate 3 years or less</w:t>
      </w:r>
      <w:r w:rsidRPr="009541AE">
        <w:rPr>
          <w:rFonts w:asciiTheme="minorHAnsi" w:hAnsiTheme="minorHAnsi"/>
        </w:rPr>
        <w:t xml:space="preserve">, the court must </w:t>
      </w:r>
      <w:r w:rsidRPr="009541AE">
        <w:rPr>
          <w:rFonts w:asciiTheme="minorHAnsi" w:hAnsiTheme="minorHAnsi"/>
          <w:u w:val="single"/>
        </w:rPr>
        <w:t>not</w:t>
      </w:r>
      <w:r w:rsidRPr="009541AE">
        <w:rPr>
          <w:rFonts w:asciiTheme="minorHAnsi" w:hAnsiTheme="minorHAnsi"/>
        </w:rPr>
        <w:t xml:space="preserve"> fix a </w:t>
      </w:r>
      <w:r w:rsidR="000155C6" w:rsidRPr="009541AE">
        <w:rPr>
          <w:rFonts w:asciiTheme="minorHAnsi" w:hAnsiTheme="minorHAnsi"/>
        </w:rPr>
        <w:t>NPP</w:t>
      </w:r>
      <w:r w:rsidRPr="009541AE">
        <w:rPr>
          <w:rFonts w:asciiTheme="minorHAnsi" w:hAnsiTheme="minorHAnsi"/>
        </w:rPr>
        <w:t xml:space="preserve"> but </w:t>
      </w:r>
      <w:r w:rsidRPr="009541AE">
        <w:rPr>
          <w:rFonts w:asciiTheme="minorHAnsi" w:hAnsiTheme="minorHAnsi"/>
          <w:u w:val="single"/>
        </w:rPr>
        <w:t>may</w:t>
      </w:r>
      <w:r w:rsidRPr="009541AE">
        <w:rPr>
          <w:rFonts w:asciiTheme="minorHAnsi" w:hAnsiTheme="minorHAnsi"/>
        </w:rPr>
        <w:t xml:space="preserve"> </w:t>
      </w:r>
      <w:r w:rsidR="000155C6" w:rsidRPr="009541AE">
        <w:rPr>
          <w:rFonts w:asciiTheme="minorHAnsi" w:hAnsiTheme="minorHAnsi"/>
        </w:rPr>
        <w:t>make</w:t>
      </w:r>
      <w:r w:rsidRPr="009541AE">
        <w:rPr>
          <w:rFonts w:asciiTheme="minorHAnsi" w:hAnsiTheme="minorHAnsi"/>
        </w:rPr>
        <w:t xml:space="preserve"> </w:t>
      </w:r>
      <w:r w:rsidR="0003696B" w:rsidRPr="009541AE">
        <w:rPr>
          <w:rFonts w:asciiTheme="minorHAnsi" w:hAnsiTheme="minorHAnsi"/>
        </w:rPr>
        <w:t>a RRO</w:t>
      </w:r>
      <w:r w:rsidRPr="009541AE">
        <w:rPr>
          <w:rFonts w:asciiTheme="minorHAnsi" w:hAnsiTheme="minorHAnsi"/>
        </w:rPr>
        <w:t xml:space="preserve"> in respect of the new sentence and the outstanding sentence, having regard to the total period of imprisonment that the person is liable to serve.</w:t>
      </w:r>
      <w:r w:rsidRPr="009541AE">
        <w:rPr>
          <w:rStyle w:val="Style"/>
          <w:rFonts w:asciiTheme="minorHAnsi" w:hAnsiTheme="minorHAnsi"/>
        </w:rPr>
        <w:footnoteReference w:id="900"/>
      </w:r>
    </w:p>
    <w:p w14:paraId="249F806D" w14:textId="1F5574DF" w:rsidR="00CC7655" w:rsidRPr="009541AE" w:rsidRDefault="00CC7655"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rPr>
        <w:t xml:space="preserve">Where </w:t>
      </w:r>
      <w:r w:rsidRPr="009541AE">
        <w:rPr>
          <w:rFonts w:asciiTheme="minorHAnsi" w:hAnsiTheme="minorHAnsi"/>
          <w:b/>
          <w:bCs/>
        </w:rPr>
        <w:t xml:space="preserve">the new sentence is more than 3 months for a State/Territory offence/s, and the outstanding federal sentence is </w:t>
      </w:r>
      <w:r w:rsidRPr="009541AE">
        <w:rPr>
          <w:rFonts w:asciiTheme="minorHAnsi" w:hAnsiTheme="minorHAnsi"/>
          <w:b/>
          <w:bCs/>
          <w:u w:val="single"/>
        </w:rPr>
        <w:t>more</w:t>
      </w:r>
      <w:r w:rsidRPr="009541AE">
        <w:rPr>
          <w:rFonts w:asciiTheme="minorHAnsi" w:hAnsiTheme="minorHAnsi"/>
          <w:b/>
          <w:bCs/>
        </w:rPr>
        <w:t xml:space="preserve"> than 3 years</w:t>
      </w:r>
      <w:r w:rsidRPr="009541AE">
        <w:rPr>
          <w:rFonts w:asciiTheme="minorHAnsi" w:hAnsiTheme="minorHAnsi"/>
        </w:rPr>
        <w:t xml:space="preserve">, the court </w:t>
      </w:r>
      <w:r w:rsidRPr="009541AE">
        <w:rPr>
          <w:rFonts w:asciiTheme="minorHAnsi" w:hAnsiTheme="minorHAnsi"/>
          <w:u w:val="single"/>
        </w:rPr>
        <w:t>must</w:t>
      </w:r>
      <w:r w:rsidRPr="009541AE">
        <w:rPr>
          <w:rStyle w:val="Style"/>
          <w:rFonts w:asciiTheme="minorHAnsi" w:hAnsiTheme="minorHAnsi"/>
        </w:rPr>
        <w:footnoteReference w:id="901"/>
      </w:r>
      <w:r w:rsidRPr="009541AE">
        <w:rPr>
          <w:rFonts w:asciiTheme="minorHAnsi" w:hAnsiTheme="minorHAnsi"/>
        </w:rPr>
        <w:t xml:space="preserve"> fix a single new </w:t>
      </w:r>
      <w:r w:rsidR="000155C6" w:rsidRPr="009541AE">
        <w:rPr>
          <w:rFonts w:asciiTheme="minorHAnsi" w:hAnsiTheme="minorHAnsi"/>
        </w:rPr>
        <w:t>NPP</w:t>
      </w:r>
      <w:r w:rsidRPr="009541AE">
        <w:rPr>
          <w:rFonts w:asciiTheme="minorHAnsi" w:hAnsiTheme="minorHAnsi"/>
        </w:rPr>
        <w:t xml:space="preserve"> in respect of the outstanding federal sentence.</w:t>
      </w:r>
      <w:r w:rsidRPr="009541AE">
        <w:rPr>
          <w:rStyle w:val="Style"/>
          <w:rFonts w:asciiTheme="minorHAnsi" w:hAnsiTheme="minorHAnsi"/>
        </w:rPr>
        <w:footnoteReference w:id="902"/>
      </w:r>
    </w:p>
    <w:p w14:paraId="48EC55B5" w14:textId="0CDC7AC6" w:rsidR="00CC7655" w:rsidRPr="009541AE" w:rsidRDefault="00CC7655" w:rsidP="00EB7F1E">
      <w:pPr>
        <w:pStyle w:val="ListParagraph"/>
        <w:numPr>
          <w:ilvl w:val="1"/>
          <w:numId w:val="36"/>
        </w:numPr>
        <w:spacing w:line="276" w:lineRule="auto"/>
        <w:ind w:left="993" w:right="28" w:hanging="142"/>
        <w:rPr>
          <w:rFonts w:asciiTheme="minorHAnsi" w:hAnsiTheme="minorHAnsi"/>
        </w:rPr>
      </w:pPr>
      <w:r w:rsidRPr="009541AE">
        <w:rPr>
          <w:rFonts w:asciiTheme="minorHAnsi" w:hAnsiTheme="minorHAnsi"/>
        </w:rPr>
        <w:t xml:space="preserve">Where </w:t>
      </w:r>
      <w:r w:rsidRPr="009541AE">
        <w:rPr>
          <w:rFonts w:asciiTheme="minorHAnsi" w:hAnsiTheme="minorHAnsi"/>
          <w:b/>
          <w:bCs/>
        </w:rPr>
        <w:t>the new sentence is more than 3 months for a State/Territory offence, and the outstanding federal sentence is 3 years or less</w:t>
      </w:r>
      <w:r w:rsidRPr="009541AE">
        <w:rPr>
          <w:rFonts w:asciiTheme="minorHAnsi" w:hAnsiTheme="minorHAnsi"/>
        </w:rPr>
        <w:t xml:space="preserve">, the court must </w:t>
      </w:r>
      <w:r w:rsidRPr="009541AE">
        <w:rPr>
          <w:rFonts w:asciiTheme="minorHAnsi" w:hAnsiTheme="minorHAnsi"/>
          <w:u w:val="single"/>
        </w:rPr>
        <w:t>not</w:t>
      </w:r>
      <w:r w:rsidRPr="009541AE">
        <w:rPr>
          <w:rFonts w:asciiTheme="minorHAnsi" w:hAnsiTheme="minorHAnsi"/>
        </w:rPr>
        <w:t xml:space="preserve"> fix a </w:t>
      </w:r>
      <w:r w:rsidR="000155C6" w:rsidRPr="009541AE">
        <w:rPr>
          <w:rFonts w:asciiTheme="minorHAnsi" w:hAnsiTheme="minorHAnsi"/>
        </w:rPr>
        <w:t>NPP</w:t>
      </w:r>
      <w:r w:rsidRPr="009541AE">
        <w:rPr>
          <w:rFonts w:asciiTheme="minorHAnsi" w:hAnsiTheme="minorHAnsi"/>
        </w:rPr>
        <w:t xml:space="preserve">, but </w:t>
      </w:r>
      <w:r w:rsidRPr="009541AE">
        <w:rPr>
          <w:rFonts w:asciiTheme="minorHAnsi" w:hAnsiTheme="minorHAnsi"/>
          <w:u w:val="single"/>
        </w:rPr>
        <w:t>may</w:t>
      </w:r>
      <w:r w:rsidRPr="009541AE">
        <w:rPr>
          <w:rFonts w:asciiTheme="minorHAnsi" w:hAnsiTheme="minorHAnsi"/>
        </w:rPr>
        <w:t xml:space="preserve"> </w:t>
      </w:r>
      <w:r w:rsidR="000155C6" w:rsidRPr="009541AE">
        <w:rPr>
          <w:rFonts w:asciiTheme="minorHAnsi" w:hAnsiTheme="minorHAnsi"/>
        </w:rPr>
        <w:t>make</w:t>
      </w:r>
      <w:r w:rsidRPr="009541AE">
        <w:rPr>
          <w:rFonts w:asciiTheme="minorHAnsi" w:hAnsiTheme="minorHAnsi"/>
        </w:rPr>
        <w:t xml:space="preserve"> </w:t>
      </w:r>
      <w:r w:rsidR="0003696B" w:rsidRPr="009541AE">
        <w:rPr>
          <w:rFonts w:asciiTheme="minorHAnsi" w:hAnsiTheme="minorHAnsi"/>
        </w:rPr>
        <w:t>a RRO</w:t>
      </w:r>
      <w:r w:rsidRPr="009541AE">
        <w:rPr>
          <w:rFonts w:asciiTheme="minorHAnsi" w:hAnsiTheme="minorHAnsi"/>
        </w:rPr>
        <w:t xml:space="preserve"> in respect of the outstanding federal sentence.</w:t>
      </w:r>
      <w:r w:rsidRPr="009541AE">
        <w:rPr>
          <w:rStyle w:val="Style"/>
          <w:rFonts w:asciiTheme="minorHAnsi" w:hAnsiTheme="minorHAnsi"/>
        </w:rPr>
        <w:footnoteReference w:id="903"/>
      </w:r>
    </w:p>
    <w:p w14:paraId="05CFEA85" w14:textId="36E4E2AF" w:rsidR="004023AC" w:rsidRPr="009541AE" w:rsidRDefault="004023AC">
      <w:pPr>
        <w:pStyle w:val="ListParagraph"/>
        <w:rPr>
          <w:rFonts w:asciiTheme="minorHAnsi" w:hAnsiTheme="minorHAnsi"/>
        </w:rPr>
      </w:pPr>
    </w:p>
    <w:p w14:paraId="12EC06F6" w14:textId="6B0DFF1A" w:rsidR="00454FA2" w:rsidRPr="009541AE" w:rsidRDefault="00454FA2" w:rsidP="00454FA2">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A court sentencing for an offence which constitutes a breach of parole should take into account the fact that </w:t>
      </w:r>
      <w:r w:rsidR="00E537A6" w:rsidRPr="009541AE">
        <w:rPr>
          <w:rFonts w:asciiTheme="minorHAnsi" w:hAnsiTheme="minorHAnsi"/>
        </w:rPr>
        <w:t xml:space="preserve">(subject to remissions and to any credit for “street time”) </w:t>
      </w:r>
      <w:r w:rsidRPr="009541AE">
        <w:rPr>
          <w:rFonts w:asciiTheme="minorHAnsi" w:hAnsiTheme="minorHAnsi"/>
        </w:rPr>
        <w:t>the whole of the original federal sentence is liable to be served, regardless of whether a NPP or a RRO has also been fixed.  The court should also have regard to the totality principle.</w:t>
      </w:r>
      <w:r w:rsidRPr="009541AE">
        <w:rPr>
          <w:rStyle w:val="Style"/>
          <w:rFonts w:asciiTheme="minorHAnsi" w:hAnsiTheme="minorHAnsi"/>
        </w:rPr>
        <w:footnoteReference w:id="904"/>
      </w:r>
    </w:p>
    <w:p w14:paraId="03D3BFF9" w14:textId="60079863" w:rsidR="00454FA2" w:rsidRPr="009541AE" w:rsidRDefault="00454FA2" w:rsidP="00454FA2">
      <w:pPr>
        <w:pStyle w:val="ListParagraph"/>
        <w:rPr>
          <w:rFonts w:asciiTheme="minorHAnsi" w:hAnsiTheme="minorHAnsi"/>
        </w:rPr>
      </w:pPr>
    </w:p>
    <w:p w14:paraId="1E6DFA47" w14:textId="508ECE37" w:rsidR="00E77C65" w:rsidRPr="009541AE" w:rsidRDefault="005047C7"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In New South Wales, Queensland, Western Australia and South Australia, the period which the </w:t>
      </w:r>
      <w:r w:rsidR="002E5585" w:rsidRPr="009541AE">
        <w:rPr>
          <w:rFonts w:asciiTheme="minorHAnsi" w:hAnsiTheme="minorHAnsi"/>
        </w:rPr>
        <w:t>offender remains liable to serve</w:t>
      </w:r>
      <w:r w:rsidRPr="009541AE">
        <w:rPr>
          <w:rFonts w:asciiTheme="minorHAnsi" w:hAnsiTheme="minorHAnsi"/>
        </w:rPr>
        <w:t xml:space="preserve"> will be automatically reduced, in accordance with State law as applied by s 19AA(2) of the </w:t>
      </w:r>
      <w:r w:rsidRPr="009541AE">
        <w:rPr>
          <w:rFonts w:asciiTheme="minorHAnsi" w:hAnsiTheme="minorHAnsi"/>
          <w:i/>
          <w:iCs/>
        </w:rPr>
        <w:t>Crimes Act 1914</w:t>
      </w:r>
      <w:r w:rsidRPr="009541AE">
        <w:rPr>
          <w:rFonts w:asciiTheme="minorHAnsi" w:hAnsiTheme="minorHAnsi"/>
        </w:rPr>
        <w:t xml:space="preserve"> (Cth), to allow for “</w:t>
      </w:r>
      <w:r w:rsidR="008D2973" w:rsidRPr="009541AE">
        <w:rPr>
          <w:rFonts w:asciiTheme="minorHAnsi" w:hAnsiTheme="minorHAnsi"/>
        </w:rPr>
        <w:t>street time</w:t>
      </w:r>
      <w:r w:rsidRPr="009541AE">
        <w:rPr>
          <w:rFonts w:asciiTheme="minorHAnsi" w:hAnsiTheme="minorHAnsi"/>
        </w:rPr>
        <w:t>” prior to the revocation of parole.</w:t>
      </w:r>
      <w:r w:rsidR="00A74CEF" w:rsidRPr="009541AE">
        <w:rPr>
          <w:rStyle w:val="Style"/>
          <w:rFonts w:asciiTheme="minorHAnsi" w:hAnsiTheme="minorHAnsi"/>
        </w:rPr>
        <w:footnoteReference w:id="905"/>
      </w:r>
      <w:r w:rsidRPr="009541AE">
        <w:rPr>
          <w:rFonts w:asciiTheme="minorHAnsi" w:hAnsiTheme="minorHAnsi"/>
        </w:rPr>
        <w:t xml:space="preserve">  However in Victoria, Tasmania, the Australian Capital Territory and the Northern Territory</w:t>
      </w:r>
      <w:r w:rsidR="00746FA7" w:rsidRPr="009541AE">
        <w:rPr>
          <w:rFonts w:asciiTheme="minorHAnsi" w:hAnsiTheme="minorHAnsi"/>
        </w:rPr>
        <w:t>, no such automatic reduction applies</w:t>
      </w:r>
      <w:r w:rsidR="002A18D4" w:rsidRPr="009541AE">
        <w:rPr>
          <w:rFonts w:asciiTheme="minorHAnsi" w:hAnsiTheme="minorHAnsi"/>
        </w:rPr>
        <w:t xml:space="preserve"> to the period which the offender remains liable to serve</w:t>
      </w:r>
      <w:r w:rsidR="00746FA7" w:rsidRPr="009541AE">
        <w:rPr>
          <w:rFonts w:asciiTheme="minorHAnsi" w:hAnsiTheme="minorHAnsi"/>
        </w:rPr>
        <w:t xml:space="preserve">.  Instead, in those jurisdictions, in fixing a new NPP under s 19AR, a court must have regard to the period of time spent by the person on parole before that parole order was revoked or was taken to have been revoked: </w:t>
      </w:r>
      <w:r w:rsidR="00746FA7" w:rsidRPr="009541AE">
        <w:rPr>
          <w:rFonts w:asciiTheme="minorHAnsi" w:hAnsiTheme="minorHAnsi"/>
          <w:i/>
          <w:iCs/>
        </w:rPr>
        <w:t>Crimes Act 1914</w:t>
      </w:r>
      <w:r w:rsidR="00746FA7" w:rsidRPr="009541AE">
        <w:rPr>
          <w:rFonts w:asciiTheme="minorHAnsi" w:hAnsiTheme="minorHAnsi"/>
        </w:rPr>
        <w:t xml:space="preserve"> (Cth), s 19AA(3).  See “</w:t>
      </w:r>
      <w:r w:rsidR="00746FA7" w:rsidRPr="009541AE">
        <w:rPr>
          <w:rFonts w:asciiTheme="minorHAnsi" w:hAnsiTheme="minorHAnsi"/>
        </w:rPr>
        <w:fldChar w:fldCharType="begin"/>
      </w:r>
      <w:r w:rsidR="00746FA7" w:rsidRPr="009541AE">
        <w:rPr>
          <w:rFonts w:asciiTheme="minorHAnsi" w:hAnsiTheme="minorHAnsi"/>
        </w:rPr>
        <w:instrText xml:space="preserve"> REF _Ref12716075 \r \h  \* MERGEFORMAT </w:instrText>
      </w:r>
      <w:r w:rsidR="00746FA7" w:rsidRPr="009541AE">
        <w:rPr>
          <w:rFonts w:asciiTheme="minorHAnsi" w:hAnsiTheme="minorHAnsi"/>
        </w:rPr>
      </w:r>
      <w:r w:rsidR="00746FA7" w:rsidRPr="009541AE">
        <w:rPr>
          <w:rFonts w:asciiTheme="minorHAnsi" w:hAnsiTheme="minorHAnsi"/>
        </w:rPr>
        <w:fldChar w:fldCharType="separate"/>
      </w:r>
      <w:r w:rsidR="00D44BCF">
        <w:rPr>
          <w:rFonts w:asciiTheme="minorHAnsi" w:hAnsiTheme="minorHAnsi"/>
        </w:rPr>
        <w:t>5.11.9</w:t>
      </w:r>
      <w:r w:rsidR="00746FA7" w:rsidRPr="009541AE">
        <w:rPr>
          <w:rFonts w:asciiTheme="minorHAnsi" w:hAnsiTheme="minorHAnsi"/>
        </w:rPr>
        <w:fldChar w:fldCharType="end"/>
      </w:r>
      <w:r w:rsidR="00746FA7" w:rsidRPr="009541AE">
        <w:rPr>
          <w:rFonts w:asciiTheme="minorHAnsi" w:hAnsiTheme="minorHAnsi"/>
        </w:rPr>
        <w:t xml:space="preserve"> </w:t>
      </w:r>
      <w:r w:rsidR="00746FA7" w:rsidRPr="009541AE">
        <w:rPr>
          <w:rFonts w:asciiTheme="minorHAnsi" w:hAnsiTheme="minorHAnsi"/>
        </w:rPr>
        <w:fldChar w:fldCharType="begin"/>
      </w:r>
      <w:r w:rsidR="00746FA7" w:rsidRPr="009541AE">
        <w:rPr>
          <w:rFonts w:asciiTheme="minorHAnsi" w:hAnsiTheme="minorHAnsi"/>
        </w:rPr>
        <w:instrText xml:space="preserve"> REF _Ref12716075 \h  \* MERGEFORMAT </w:instrText>
      </w:r>
      <w:r w:rsidR="00746FA7" w:rsidRPr="009541AE">
        <w:rPr>
          <w:rFonts w:asciiTheme="minorHAnsi" w:hAnsiTheme="minorHAnsi"/>
        </w:rPr>
      </w:r>
      <w:r w:rsidR="00746FA7" w:rsidRPr="009541AE">
        <w:rPr>
          <w:rFonts w:asciiTheme="minorHAnsi" w:hAnsiTheme="minorHAnsi"/>
        </w:rPr>
        <w:fldChar w:fldCharType="separate"/>
      </w:r>
      <w:r w:rsidR="00D44BCF" w:rsidRPr="00D44BCF">
        <w:rPr>
          <w:rFonts w:asciiTheme="minorHAnsi" w:hAnsiTheme="minorHAnsi"/>
        </w:rPr>
        <w:t>Credit for “street time”</w:t>
      </w:r>
      <w:r w:rsidR="00746FA7" w:rsidRPr="009541AE">
        <w:rPr>
          <w:rFonts w:asciiTheme="minorHAnsi" w:hAnsiTheme="minorHAnsi"/>
        </w:rPr>
        <w:fldChar w:fldCharType="end"/>
      </w:r>
      <w:r w:rsidR="00746FA7" w:rsidRPr="009541AE">
        <w:rPr>
          <w:rFonts w:asciiTheme="minorHAnsi" w:hAnsiTheme="minorHAnsi"/>
        </w:rPr>
        <w:t>”.</w:t>
      </w:r>
    </w:p>
    <w:p w14:paraId="4CB5EF95" w14:textId="77777777" w:rsidR="00E77C65" w:rsidRPr="009541AE" w:rsidRDefault="00E77C65" w:rsidP="00454FA2">
      <w:pPr>
        <w:pStyle w:val="ListParagraph"/>
        <w:rPr>
          <w:rFonts w:asciiTheme="minorHAnsi" w:hAnsiTheme="minorHAnsi"/>
        </w:rPr>
      </w:pPr>
    </w:p>
    <w:p w14:paraId="17692D79" w14:textId="77777777"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If the court fixes a new federal NPP it cannot fix a single NPP in respect of both federal and State/Territory sentences of imprisonment.  If a NPP is to apply to the State/Territory offence, it must be fixed separately.</w:t>
      </w:r>
      <w:r w:rsidRPr="009541AE">
        <w:rPr>
          <w:rStyle w:val="Style"/>
          <w:rFonts w:asciiTheme="minorHAnsi" w:hAnsiTheme="minorHAnsi"/>
        </w:rPr>
        <w:footnoteReference w:id="906"/>
      </w:r>
    </w:p>
    <w:p w14:paraId="39022E82" w14:textId="77777777" w:rsidR="00CC7655" w:rsidRPr="009541AE" w:rsidRDefault="00CC7655" w:rsidP="00EB7F1E">
      <w:pPr>
        <w:pStyle w:val="ListParagraph"/>
        <w:rPr>
          <w:rFonts w:asciiTheme="minorHAnsi" w:hAnsiTheme="minorHAnsi"/>
        </w:rPr>
      </w:pPr>
    </w:p>
    <w:p w14:paraId="71A387D3" w14:textId="557DFA1E" w:rsidR="007D0004" w:rsidRPr="009541AE" w:rsidRDefault="007D0004" w:rsidP="00EB7F1E">
      <w:pPr>
        <w:keepNext/>
        <w:spacing w:line="276" w:lineRule="auto"/>
        <w:rPr>
          <w:rFonts w:asciiTheme="minorHAnsi" w:hAnsiTheme="minorHAnsi"/>
          <w:i/>
        </w:rPr>
      </w:pPr>
      <w:r w:rsidRPr="009541AE">
        <w:rPr>
          <w:rFonts w:asciiTheme="minorHAnsi" w:hAnsiTheme="minorHAnsi"/>
          <w:i/>
        </w:rPr>
        <w:t>Warrant of detention</w:t>
      </w:r>
    </w:p>
    <w:p w14:paraId="23BF09DE" w14:textId="77777777" w:rsidR="00CC7655" w:rsidRPr="009541AE" w:rsidRDefault="00CC7655" w:rsidP="00EB7F1E">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Section 19AS of the </w:t>
      </w:r>
      <w:r w:rsidRPr="009541AE">
        <w:rPr>
          <w:rFonts w:asciiTheme="minorHAnsi" w:hAnsiTheme="minorHAnsi"/>
          <w:i/>
        </w:rPr>
        <w:t xml:space="preserve">Crimes Act 1914 </w:t>
      </w:r>
      <w:r w:rsidRPr="009541AE">
        <w:rPr>
          <w:rFonts w:asciiTheme="minorHAnsi" w:hAnsiTheme="minorHAnsi"/>
        </w:rPr>
        <w:t>(Cth) requires the court to issue a warrant of detention</w:t>
      </w:r>
      <w:r w:rsidRPr="009541AE">
        <w:rPr>
          <w:rStyle w:val="Style"/>
          <w:rFonts w:asciiTheme="minorHAnsi" w:hAnsiTheme="minorHAnsi"/>
        </w:rPr>
        <w:footnoteReference w:id="907"/>
      </w:r>
      <w:r w:rsidRPr="009541AE">
        <w:rPr>
          <w:rFonts w:asciiTheme="minorHAnsi" w:hAnsiTheme="minorHAnsi"/>
        </w:rPr>
        <w:t xml:space="preserve"> where, because of the imposition of a new sentence for the breaching offence, the parole order is taken to have been revoked.  The warrant authorises the person to be detained in prison to undergo imprisonment in that State/Territory for the unserved part of the outstanding sentence.  The CDPP can apply for a warrant if the court fails to issue one.</w:t>
      </w:r>
    </w:p>
    <w:p w14:paraId="72EA5EEA" w14:textId="159EE522" w:rsidR="00CC7655" w:rsidRPr="009541AE" w:rsidRDefault="00CC7655">
      <w:pPr>
        <w:pStyle w:val="ListParagraph"/>
        <w:rPr>
          <w:rFonts w:asciiTheme="minorHAnsi" w:hAnsiTheme="minorHAnsi"/>
        </w:rPr>
      </w:pPr>
    </w:p>
    <w:p w14:paraId="1EED4618" w14:textId="3AA56DEB" w:rsidR="007D0004" w:rsidRPr="009541AE" w:rsidRDefault="007D0004" w:rsidP="007D0004">
      <w:pPr>
        <w:keepNext/>
        <w:spacing w:line="276" w:lineRule="auto"/>
        <w:rPr>
          <w:rFonts w:asciiTheme="minorHAnsi" w:hAnsiTheme="minorHAnsi"/>
          <w:i/>
        </w:rPr>
      </w:pPr>
      <w:r w:rsidRPr="009541AE">
        <w:rPr>
          <w:rFonts w:asciiTheme="minorHAnsi" w:hAnsiTheme="minorHAnsi"/>
          <w:i/>
        </w:rPr>
        <w:t>Correcting an omission or error in fixing NPP or making RRO</w:t>
      </w:r>
    </w:p>
    <w:p w14:paraId="25DBF005" w14:textId="2AF5AC6A" w:rsidR="00454FA2" w:rsidRPr="009541AE" w:rsidRDefault="00454FA2" w:rsidP="00454FA2">
      <w:pPr>
        <w:pStyle w:val="ListParagraph"/>
        <w:numPr>
          <w:ilvl w:val="0"/>
          <w:numId w:val="7"/>
        </w:numPr>
        <w:spacing w:line="276" w:lineRule="auto"/>
        <w:ind w:left="425" w:hanging="425"/>
        <w:contextualSpacing w:val="0"/>
        <w:rPr>
          <w:rFonts w:asciiTheme="minorHAnsi" w:hAnsiTheme="minorHAnsi"/>
        </w:rPr>
      </w:pPr>
      <w:r w:rsidRPr="009541AE">
        <w:rPr>
          <w:rFonts w:asciiTheme="minorHAnsi" w:hAnsiTheme="minorHAnsi"/>
        </w:rPr>
        <w:t xml:space="preserve">If the court sentencing the offender for the new offence fails to fix a NPP or make a RRO in accordance with the requirements of s 19AR, it may be possible to correct the error or omission under s 19AH or s 19AHA of the </w:t>
      </w:r>
      <w:r w:rsidRPr="009541AE">
        <w:rPr>
          <w:rFonts w:asciiTheme="minorHAnsi" w:hAnsiTheme="minorHAnsi"/>
          <w:i/>
          <w:iCs/>
        </w:rPr>
        <w:t>Crimes Act</w:t>
      </w:r>
      <w:r w:rsidRPr="009541AE">
        <w:rPr>
          <w:rFonts w:asciiTheme="minorHAnsi" w:hAnsiTheme="minorHAnsi"/>
        </w:rPr>
        <w:t>: see “</w:t>
      </w:r>
      <w:r w:rsidRPr="009541AE">
        <w:rPr>
          <w:rFonts w:asciiTheme="minorHAnsi" w:hAnsiTheme="minorHAnsi"/>
        </w:rPr>
        <w:fldChar w:fldCharType="begin"/>
      </w:r>
      <w:r w:rsidRPr="009541AE">
        <w:rPr>
          <w:rFonts w:asciiTheme="minorHAnsi" w:hAnsiTheme="minorHAnsi"/>
        </w:rPr>
        <w:instrText xml:space="preserve"> REF _Ref11071588 \r \h  \* MERGEFORMAT </w:instrText>
      </w:r>
      <w:r w:rsidRPr="009541AE">
        <w:rPr>
          <w:rFonts w:asciiTheme="minorHAnsi" w:hAnsiTheme="minorHAnsi"/>
        </w:rPr>
      </w:r>
      <w:r w:rsidRPr="009541AE">
        <w:rPr>
          <w:rFonts w:asciiTheme="minorHAnsi" w:hAnsiTheme="minorHAnsi"/>
        </w:rPr>
        <w:fldChar w:fldCharType="separate"/>
      </w:r>
      <w:r w:rsidR="00D44BCF">
        <w:rPr>
          <w:rFonts w:asciiTheme="minorHAnsi" w:hAnsiTheme="minorHAnsi"/>
        </w:rPr>
        <w:t>7.12</w:t>
      </w:r>
      <w:r w:rsidRPr="009541AE">
        <w:rPr>
          <w:rFonts w:asciiTheme="minorHAnsi" w:hAnsiTheme="minorHAnsi"/>
        </w:rPr>
        <w:fldChar w:fldCharType="end"/>
      </w:r>
      <w:r w:rsidRPr="009541AE">
        <w:rPr>
          <w:rFonts w:asciiTheme="minorHAnsi" w:hAnsiTheme="minorHAnsi"/>
        </w:rPr>
        <w:t xml:space="preserve"> </w:t>
      </w:r>
      <w:r w:rsidRPr="009541AE">
        <w:rPr>
          <w:rFonts w:asciiTheme="minorHAnsi" w:hAnsiTheme="minorHAnsi" w:cstheme="minorHAnsi"/>
        </w:rPr>
        <w:fldChar w:fldCharType="begin"/>
      </w:r>
      <w:r w:rsidRPr="0068098B">
        <w:rPr>
          <w:rFonts w:asciiTheme="minorHAnsi" w:hAnsiTheme="minorHAnsi" w:cstheme="minorHAnsi"/>
        </w:rPr>
        <w:instrText xml:space="preserve"> REF _Ref11071588 \h  \* MERGEFORMAT </w:instrText>
      </w:r>
      <w:r w:rsidRPr="009541AE">
        <w:rPr>
          <w:rFonts w:asciiTheme="minorHAnsi" w:hAnsiTheme="minorHAnsi" w:cstheme="minorHAnsi"/>
        </w:rPr>
      </w:r>
      <w:r w:rsidRPr="009541AE">
        <w:rPr>
          <w:rFonts w:asciiTheme="minorHAnsi" w:hAnsiTheme="minorHAnsi" w:cstheme="minorHAnsi"/>
        </w:rPr>
        <w:fldChar w:fldCharType="separate"/>
      </w:r>
      <w:r w:rsidR="00D44BCF" w:rsidRPr="00D44BCF">
        <w:rPr>
          <w:rFonts w:asciiTheme="minorHAnsi" w:hAnsiTheme="minorHAnsi" w:cstheme="minorHAnsi"/>
        </w:rPr>
        <w:t>Power of sentencing court to correct error in sentence</w:t>
      </w:r>
      <w:r w:rsidRPr="009541AE">
        <w:rPr>
          <w:rFonts w:asciiTheme="minorHAnsi" w:hAnsiTheme="minorHAnsi"/>
        </w:rPr>
        <w:fldChar w:fldCharType="end"/>
      </w:r>
      <w:r w:rsidRPr="009541AE">
        <w:rPr>
          <w:rFonts w:asciiTheme="minorHAnsi" w:hAnsiTheme="minorHAnsi"/>
        </w:rPr>
        <w:t>”.</w:t>
      </w:r>
    </w:p>
    <w:p w14:paraId="0193C743" w14:textId="77777777" w:rsidR="00454FA2" w:rsidRPr="009541AE" w:rsidRDefault="00454FA2" w:rsidP="00454FA2">
      <w:pPr>
        <w:pStyle w:val="ListParagraph"/>
        <w:rPr>
          <w:rFonts w:asciiTheme="minorHAnsi" w:hAnsiTheme="minorHAnsi"/>
        </w:rPr>
      </w:pPr>
    </w:p>
    <w:p w14:paraId="24482BF9" w14:textId="32D231EF" w:rsidR="00CC7655" w:rsidRPr="0068098B" w:rsidRDefault="00904284" w:rsidP="00EB7F1E">
      <w:pPr>
        <w:pStyle w:val="Heading3"/>
        <w:rPr>
          <w:bCs/>
        </w:rPr>
      </w:pPr>
      <w:bookmarkStart w:id="2100" w:name="_Toc33602923"/>
      <w:r w:rsidRPr="0068098B">
        <w:rPr>
          <w:bCs/>
        </w:rPr>
        <w:t>D</w:t>
      </w:r>
      <w:r w:rsidR="00CA0588" w:rsidRPr="0068098B">
        <w:rPr>
          <w:bCs/>
        </w:rPr>
        <w:t xml:space="preserve">iscretionary </w:t>
      </w:r>
      <w:r w:rsidR="00CC7655" w:rsidRPr="0068098B">
        <w:rPr>
          <w:bCs/>
        </w:rPr>
        <w:t>revocation</w:t>
      </w:r>
      <w:r w:rsidR="00CA0588" w:rsidRPr="0068098B">
        <w:rPr>
          <w:bCs/>
        </w:rPr>
        <w:t xml:space="preserve"> </w:t>
      </w:r>
      <w:r w:rsidRPr="0068098B">
        <w:rPr>
          <w:bCs/>
        </w:rPr>
        <w:t xml:space="preserve">of parole </w:t>
      </w:r>
      <w:r w:rsidR="00CA0588" w:rsidRPr="0068098B">
        <w:rPr>
          <w:bCs/>
        </w:rPr>
        <w:t>by the Attorney-General</w:t>
      </w:r>
      <w:bookmarkEnd w:id="2100"/>
      <w:r w:rsidR="00CC7655" w:rsidRPr="0068098B">
        <w:rPr>
          <w:bCs/>
        </w:rPr>
        <w:t xml:space="preserve"> </w:t>
      </w:r>
    </w:p>
    <w:p w14:paraId="7FCBB7C2" w14:textId="7122BC60" w:rsidR="00CC7655" w:rsidRPr="0068098B" w:rsidRDefault="00CC7655">
      <w:pPr>
        <w:pStyle w:val="NormalIndent"/>
        <w:keepNext/>
        <w:spacing w:line="276" w:lineRule="auto"/>
        <w:rPr>
          <w:rFonts w:asciiTheme="minorHAnsi" w:hAnsiTheme="minorHAnsi"/>
        </w:rPr>
      </w:pPr>
    </w:p>
    <w:p w14:paraId="1D3B7485" w14:textId="7A1CD78A" w:rsidR="00E62348" w:rsidRPr="0068098B" w:rsidRDefault="00E62348" w:rsidP="00E62348">
      <w:pPr>
        <w:keepNext/>
        <w:spacing w:line="276" w:lineRule="auto"/>
        <w:rPr>
          <w:rFonts w:asciiTheme="minorHAnsi" w:hAnsiTheme="minorHAnsi"/>
          <w:i/>
        </w:rPr>
      </w:pPr>
      <w:r w:rsidRPr="0068098B">
        <w:rPr>
          <w:rFonts w:asciiTheme="minorHAnsi" w:hAnsiTheme="minorHAnsi"/>
          <w:i/>
        </w:rPr>
        <w:t>When the Attorney-General may revoke a parole order</w:t>
      </w:r>
    </w:p>
    <w:p w14:paraId="4555988B" w14:textId="6B4C1155" w:rsidR="00CC7655" w:rsidRPr="0068098B" w:rsidRDefault="00CC7655"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The Attorney-General may (at any time before the end of the parole period) revoke </w:t>
      </w:r>
      <w:r w:rsidR="00170A04" w:rsidRPr="0068098B">
        <w:rPr>
          <w:rFonts w:asciiTheme="minorHAnsi" w:hAnsiTheme="minorHAnsi"/>
        </w:rPr>
        <w:t xml:space="preserve">a </w:t>
      </w:r>
      <w:r w:rsidRPr="0068098B">
        <w:rPr>
          <w:rFonts w:asciiTheme="minorHAnsi" w:hAnsiTheme="minorHAnsi"/>
        </w:rPr>
        <w:t xml:space="preserve">parole </w:t>
      </w:r>
      <w:r w:rsidR="00170A04" w:rsidRPr="0068098B">
        <w:rPr>
          <w:rFonts w:asciiTheme="minorHAnsi" w:hAnsiTheme="minorHAnsi"/>
        </w:rPr>
        <w:t xml:space="preserve">order </w:t>
      </w:r>
      <w:r w:rsidRPr="0068098B">
        <w:rPr>
          <w:rFonts w:asciiTheme="minorHAnsi" w:hAnsiTheme="minorHAnsi"/>
        </w:rPr>
        <w:t>where the offender has failed to comply with a parole condition, or there are reasonable grounds to suspect the offender has failed to comply.</w:t>
      </w:r>
      <w:r w:rsidR="00C550B8" w:rsidRPr="0068098B">
        <w:rPr>
          <w:rStyle w:val="Style"/>
          <w:rFonts w:asciiTheme="minorHAnsi" w:hAnsiTheme="minorHAnsi"/>
        </w:rPr>
        <w:footnoteReference w:id="908"/>
      </w:r>
      <w:r w:rsidRPr="0068098B">
        <w:rPr>
          <w:rFonts w:asciiTheme="minorHAnsi" w:hAnsiTheme="minorHAnsi"/>
        </w:rPr>
        <w:t xml:space="preserve">  The revocation must be in writing and </w:t>
      </w:r>
      <w:r w:rsidR="00F05499" w:rsidRPr="0068098B">
        <w:rPr>
          <w:rFonts w:asciiTheme="minorHAnsi" w:hAnsiTheme="minorHAnsi"/>
        </w:rPr>
        <w:t xml:space="preserve">must </w:t>
      </w:r>
      <w:r w:rsidRPr="0068098B">
        <w:rPr>
          <w:rFonts w:asciiTheme="minorHAnsi" w:hAnsiTheme="minorHAnsi"/>
        </w:rPr>
        <w:t>specify the condition breached, or suspected to have been breached.</w:t>
      </w:r>
    </w:p>
    <w:p w14:paraId="7FC9EB21" w14:textId="77777777" w:rsidR="00CC7655" w:rsidRPr="0068098B" w:rsidRDefault="00CC7655" w:rsidP="00EB7F1E">
      <w:pPr>
        <w:pStyle w:val="ListParagraph"/>
        <w:rPr>
          <w:rFonts w:asciiTheme="minorHAnsi" w:hAnsiTheme="minorHAnsi"/>
        </w:rPr>
      </w:pPr>
    </w:p>
    <w:p w14:paraId="004E3AA4" w14:textId="77777777" w:rsidR="00CC7655" w:rsidRPr="0068098B" w:rsidRDefault="00CC7655" w:rsidP="00EB7F1E">
      <w:pPr>
        <w:keepNext/>
        <w:spacing w:line="276" w:lineRule="auto"/>
        <w:rPr>
          <w:rFonts w:asciiTheme="minorHAnsi" w:hAnsiTheme="minorHAnsi"/>
          <w:i/>
        </w:rPr>
      </w:pPr>
      <w:r w:rsidRPr="0068098B">
        <w:rPr>
          <w:rFonts w:asciiTheme="minorHAnsi" w:hAnsiTheme="minorHAnsi"/>
          <w:i/>
        </w:rPr>
        <w:t>Arrest and appearance before magistrate</w:t>
      </w:r>
    </w:p>
    <w:p w14:paraId="36B73861" w14:textId="77723B2A" w:rsidR="00E62348" w:rsidRPr="0068098B" w:rsidRDefault="00CC7655">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If the Attorney-General revokes parole, a constable may arrest the parolee without warrant (or the Attorney-General or </w:t>
      </w:r>
      <w:r w:rsidR="00D02C4F" w:rsidRPr="0068098B">
        <w:rPr>
          <w:rFonts w:asciiTheme="minorHAnsi" w:hAnsiTheme="minorHAnsi"/>
        </w:rPr>
        <w:t>C</w:t>
      </w:r>
      <w:r w:rsidRPr="0068098B">
        <w:rPr>
          <w:rFonts w:asciiTheme="minorHAnsi" w:hAnsiTheme="minorHAnsi"/>
        </w:rPr>
        <w:t>DPP may apply for an arrest warrant) and the parolee must be brought before a “prescribed authority” for a hearing as soon as practicable.</w:t>
      </w:r>
      <w:r w:rsidRPr="0068098B">
        <w:rPr>
          <w:rStyle w:val="Style"/>
          <w:rFonts w:asciiTheme="minorHAnsi" w:hAnsiTheme="minorHAnsi"/>
        </w:rPr>
        <w:footnoteReference w:id="909"/>
      </w:r>
      <w:r w:rsidRPr="0068098B">
        <w:rPr>
          <w:rFonts w:asciiTheme="minorHAnsi" w:hAnsiTheme="minorHAnsi"/>
        </w:rPr>
        <w:t xml:space="preserve">  </w:t>
      </w:r>
      <w:r w:rsidR="00E62348" w:rsidRPr="0068098B">
        <w:rPr>
          <w:rFonts w:asciiTheme="minorHAnsi" w:hAnsiTheme="minorHAnsi"/>
        </w:rPr>
        <w:t>“Pr</w:t>
      </w:r>
      <w:r w:rsidR="00463B53" w:rsidRPr="0068098B">
        <w:rPr>
          <w:rFonts w:asciiTheme="minorHAnsi" w:hAnsiTheme="minorHAnsi"/>
        </w:rPr>
        <w:t>escribed authority” means a magistrate of a State or Territory.</w:t>
      </w:r>
      <w:r w:rsidR="00463B53" w:rsidRPr="0068098B">
        <w:rPr>
          <w:rStyle w:val="Style"/>
          <w:rFonts w:asciiTheme="minorHAnsi" w:hAnsiTheme="minorHAnsi"/>
        </w:rPr>
        <w:footnoteReference w:id="910"/>
      </w:r>
    </w:p>
    <w:p w14:paraId="31D1DF4A" w14:textId="77777777" w:rsidR="00E62348" w:rsidRPr="0068098B" w:rsidRDefault="00E62348" w:rsidP="00EB7F1E">
      <w:pPr>
        <w:spacing w:line="276" w:lineRule="auto"/>
        <w:rPr>
          <w:rFonts w:asciiTheme="minorHAnsi" w:hAnsiTheme="minorHAnsi"/>
        </w:rPr>
      </w:pPr>
    </w:p>
    <w:p w14:paraId="450DB800" w14:textId="1B5C15A6" w:rsidR="00CC7655" w:rsidRPr="0068098B" w:rsidRDefault="00CC7655"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If the magistrate cannot complete the hearing immediately, they may issue a warrant to remand the parolee pending completion of the hearing.</w:t>
      </w:r>
      <w:r w:rsidRPr="0068098B">
        <w:rPr>
          <w:rStyle w:val="Style"/>
          <w:rFonts w:asciiTheme="minorHAnsi" w:hAnsiTheme="minorHAnsi"/>
        </w:rPr>
        <w:footnoteReference w:id="911"/>
      </w:r>
    </w:p>
    <w:p w14:paraId="3A58AEB1" w14:textId="77777777" w:rsidR="00CC7655" w:rsidRPr="0068098B" w:rsidRDefault="00CC7655" w:rsidP="00EB7F1E">
      <w:pPr>
        <w:pStyle w:val="ListParagraph"/>
        <w:rPr>
          <w:rFonts w:asciiTheme="minorHAnsi" w:hAnsiTheme="minorHAnsi"/>
        </w:rPr>
      </w:pPr>
    </w:p>
    <w:p w14:paraId="6288845B" w14:textId="7BB5AF83" w:rsidR="00CC7655" w:rsidRPr="0068098B" w:rsidRDefault="00CC7655"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Section 19AW details the relevant procedure at the hearing.  If the magistrate is satisfied that the person before them is the person named in the revocation order, that the person was duly notified by the Attorney-General of the proposal to make the revocation order and that the revocation order is still in force, the magistrate must issue a warrant of detention in the prescribed form.</w:t>
      </w:r>
      <w:r w:rsidRPr="0068098B">
        <w:rPr>
          <w:rStyle w:val="Style"/>
          <w:rFonts w:asciiTheme="minorHAnsi" w:hAnsiTheme="minorHAnsi"/>
        </w:rPr>
        <w:footnoteReference w:id="912"/>
      </w:r>
      <w:r w:rsidRPr="0068098B">
        <w:rPr>
          <w:rFonts w:asciiTheme="minorHAnsi" w:hAnsiTheme="minorHAnsi"/>
        </w:rPr>
        <w:t xml:space="preserve"> </w:t>
      </w:r>
      <w:r w:rsidR="009B12D6" w:rsidRPr="0068098B">
        <w:rPr>
          <w:rFonts w:asciiTheme="minorHAnsi" w:hAnsiTheme="minorHAnsi"/>
        </w:rPr>
        <w:t xml:space="preserve"> </w:t>
      </w:r>
      <w:r w:rsidRPr="0068098B">
        <w:rPr>
          <w:rFonts w:asciiTheme="minorHAnsi" w:hAnsiTheme="minorHAnsi"/>
        </w:rPr>
        <w:t>A warrant of detention authorises a constable to take the parolee to a specified prison in the State</w:t>
      </w:r>
      <w:r w:rsidR="00D02C4F" w:rsidRPr="0068098B">
        <w:rPr>
          <w:rFonts w:asciiTheme="minorHAnsi" w:hAnsiTheme="minorHAnsi"/>
        </w:rPr>
        <w:t xml:space="preserve"> or </w:t>
      </w:r>
      <w:r w:rsidRPr="0068098B">
        <w:rPr>
          <w:rFonts w:asciiTheme="minorHAnsi" w:hAnsiTheme="minorHAnsi"/>
        </w:rPr>
        <w:t>Territory where they were arrested to undergo imprisonment for the unserved part of the sentence the person was serving or had yet to serve at the time of their release (</w:t>
      </w:r>
      <w:r w:rsidR="00AA693C" w:rsidRPr="0068098B">
        <w:rPr>
          <w:rFonts w:asciiTheme="minorHAnsi" w:hAnsiTheme="minorHAnsi"/>
        </w:rPr>
        <w:t>‘</w:t>
      </w:r>
      <w:r w:rsidRPr="0068098B">
        <w:rPr>
          <w:rFonts w:asciiTheme="minorHAnsi" w:hAnsiTheme="minorHAnsi"/>
        </w:rPr>
        <w:t>the outstanding sentence</w:t>
      </w:r>
      <w:r w:rsidR="00AA693C" w:rsidRPr="0068098B">
        <w:rPr>
          <w:rFonts w:asciiTheme="minorHAnsi" w:hAnsiTheme="minorHAnsi"/>
        </w:rPr>
        <w:t>’</w:t>
      </w:r>
      <w:r w:rsidRPr="0068098B">
        <w:rPr>
          <w:rFonts w:asciiTheme="minorHAnsi" w:hAnsiTheme="minorHAnsi"/>
        </w:rPr>
        <w:t>).</w:t>
      </w:r>
      <w:r w:rsidRPr="0068098B">
        <w:rPr>
          <w:rStyle w:val="Style"/>
          <w:rFonts w:asciiTheme="minorHAnsi" w:hAnsiTheme="minorHAnsi"/>
        </w:rPr>
        <w:footnoteReference w:id="913"/>
      </w:r>
    </w:p>
    <w:p w14:paraId="2A4A8AAD" w14:textId="73DAC21B" w:rsidR="00CC7655" w:rsidRPr="0068098B" w:rsidRDefault="00CC7655" w:rsidP="00CC7655">
      <w:pPr>
        <w:pStyle w:val="ListParagraph"/>
        <w:rPr>
          <w:rFonts w:asciiTheme="minorHAnsi" w:hAnsiTheme="minorHAnsi"/>
        </w:rPr>
      </w:pPr>
    </w:p>
    <w:p w14:paraId="72CB2205" w14:textId="4D788227" w:rsidR="00463B53" w:rsidRPr="0068098B" w:rsidRDefault="00463B53" w:rsidP="00463B53">
      <w:pPr>
        <w:keepNext/>
        <w:spacing w:line="276" w:lineRule="auto"/>
        <w:rPr>
          <w:rFonts w:asciiTheme="minorHAnsi" w:hAnsiTheme="minorHAnsi"/>
          <w:i/>
        </w:rPr>
      </w:pPr>
      <w:r w:rsidRPr="0068098B">
        <w:rPr>
          <w:rFonts w:asciiTheme="minorHAnsi" w:hAnsiTheme="minorHAnsi"/>
          <w:i/>
        </w:rPr>
        <w:t>Calculation by the magistrate of the unserved part of each outstanding sentence</w:t>
      </w:r>
    </w:p>
    <w:p w14:paraId="698A2D41" w14:textId="136BF132" w:rsidR="00606960" w:rsidRPr="0068098B" w:rsidRDefault="009B12D6">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The magistrate must specify in the warrant the particulars of the unserved part of each outstanding sentence (s 19AW(4)).  This will require a calculation of the period which the parolee is liable to serve.</w:t>
      </w:r>
    </w:p>
    <w:p w14:paraId="2F10BC18" w14:textId="77777777" w:rsidR="00606960" w:rsidRPr="0068098B" w:rsidRDefault="00606960" w:rsidP="00EB7F1E">
      <w:pPr>
        <w:spacing w:line="276" w:lineRule="auto"/>
        <w:rPr>
          <w:rFonts w:asciiTheme="minorHAnsi" w:hAnsiTheme="minorHAnsi"/>
        </w:rPr>
      </w:pPr>
    </w:p>
    <w:p w14:paraId="01E898DF" w14:textId="1A858FCE" w:rsidR="002E5585" w:rsidRPr="0068098B" w:rsidRDefault="009B12D6">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The calculation will be affected by </w:t>
      </w:r>
      <w:r w:rsidR="009A514D" w:rsidRPr="0068098B">
        <w:rPr>
          <w:rFonts w:asciiTheme="minorHAnsi" w:hAnsiTheme="minorHAnsi"/>
        </w:rPr>
        <w:t xml:space="preserve">any remissions and by </w:t>
      </w:r>
      <w:r w:rsidRPr="0068098B">
        <w:rPr>
          <w:rFonts w:asciiTheme="minorHAnsi" w:hAnsiTheme="minorHAnsi"/>
        </w:rPr>
        <w:t>whether the parolee is entitled to any cr</w:t>
      </w:r>
      <w:r w:rsidR="00526C01" w:rsidRPr="0068098B">
        <w:rPr>
          <w:rFonts w:asciiTheme="minorHAnsi" w:hAnsiTheme="minorHAnsi"/>
        </w:rPr>
        <w:t>edit for “</w:t>
      </w:r>
      <w:r w:rsidR="008D2973" w:rsidRPr="0068098B">
        <w:rPr>
          <w:rFonts w:asciiTheme="minorHAnsi" w:hAnsiTheme="minorHAnsi"/>
        </w:rPr>
        <w:t>street time</w:t>
      </w:r>
      <w:r w:rsidR="00526C01" w:rsidRPr="0068098B">
        <w:rPr>
          <w:rFonts w:asciiTheme="minorHAnsi" w:hAnsiTheme="minorHAnsi"/>
        </w:rPr>
        <w:t>” (that is, a period spent on parole before parole was revoked)</w:t>
      </w:r>
      <w:r w:rsidR="00526C01" w:rsidRPr="0068098B">
        <w:rPr>
          <w:rFonts w:asciiTheme="minorHAnsi" w:hAnsiTheme="minorHAnsi" w:cstheme="minorHAnsi"/>
        </w:rPr>
        <w:t xml:space="preserve">: </w:t>
      </w:r>
      <w:r w:rsidR="00526C01" w:rsidRPr="0068098B">
        <w:rPr>
          <w:rFonts w:asciiTheme="minorHAnsi" w:hAnsiTheme="minorHAnsi"/>
        </w:rPr>
        <w:t>see “</w:t>
      </w:r>
      <w:r w:rsidR="00526C01" w:rsidRPr="0068098B">
        <w:rPr>
          <w:rFonts w:asciiTheme="minorHAnsi" w:hAnsiTheme="minorHAnsi"/>
        </w:rPr>
        <w:fldChar w:fldCharType="begin"/>
      </w:r>
      <w:r w:rsidR="00526C01" w:rsidRPr="0068098B">
        <w:rPr>
          <w:rFonts w:asciiTheme="minorHAnsi" w:hAnsiTheme="minorHAnsi"/>
        </w:rPr>
        <w:instrText xml:space="preserve"> REF _Ref12716075 \r \h  \* MERGEFORMAT </w:instrText>
      </w:r>
      <w:r w:rsidR="00526C01" w:rsidRPr="0068098B">
        <w:rPr>
          <w:rFonts w:asciiTheme="minorHAnsi" w:hAnsiTheme="minorHAnsi"/>
        </w:rPr>
      </w:r>
      <w:r w:rsidR="00526C01" w:rsidRPr="0068098B">
        <w:rPr>
          <w:rFonts w:asciiTheme="minorHAnsi" w:hAnsiTheme="minorHAnsi"/>
        </w:rPr>
        <w:fldChar w:fldCharType="separate"/>
      </w:r>
      <w:r w:rsidR="00D44BCF">
        <w:rPr>
          <w:rFonts w:asciiTheme="minorHAnsi" w:hAnsiTheme="minorHAnsi"/>
        </w:rPr>
        <w:t>5.11.9</w:t>
      </w:r>
      <w:r w:rsidR="00526C01" w:rsidRPr="0068098B">
        <w:rPr>
          <w:rFonts w:asciiTheme="minorHAnsi" w:hAnsiTheme="minorHAnsi"/>
        </w:rPr>
        <w:fldChar w:fldCharType="end"/>
      </w:r>
      <w:r w:rsidR="00526C01" w:rsidRPr="0068098B">
        <w:rPr>
          <w:rFonts w:asciiTheme="minorHAnsi" w:hAnsiTheme="minorHAnsi"/>
        </w:rPr>
        <w:t xml:space="preserve"> </w:t>
      </w:r>
      <w:r w:rsidR="00526C01" w:rsidRPr="0068098B">
        <w:rPr>
          <w:rFonts w:asciiTheme="minorHAnsi" w:hAnsiTheme="minorHAnsi"/>
        </w:rPr>
        <w:fldChar w:fldCharType="begin"/>
      </w:r>
      <w:r w:rsidR="00526C01" w:rsidRPr="0068098B">
        <w:rPr>
          <w:rFonts w:asciiTheme="minorHAnsi" w:hAnsiTheme="minorHAnsi"/>
        </w:rPr>
        <w:instrText xml:space="preserve"> REF _Ref12716075 \h  \* MERGEFORMAT </w:instrText>
      </w:r>
      <w:r w:rsidR="00526C01" w:rsidRPr="0068098B">
        <w:rPr>
          <w:rFonts w:asciiTheme="minorHAnsi" w:hAnsiTheme="minorHAnsi"/>
        </w:rPr>
      </w:r>
      <w:r w:rsidR="00526C01" w:rsidRPr="0068098B">
        <w:rPr>
          <w:rFonts w:asciiTheme="minorHAnsi" w:hAnsiTheme="minorHAnsi"/>
        </w:rPr>
        <w:fldChar w:fldCharType="separate"/>
      </w:r>
      <w:r w:rsidR="00D44BCF" w:rsidRPr="00D44BCF">
        <w:rPr>
          <w:rFonts w:asciiTheme="minorHAnsi" w:hAnsiTheme="minorHAnsi"/>
        </w:rPr>
        <w:t>Credit for “street time”</w:t>
      </w:r>
      <w:r w:rsidR="00526C01" w:rsidRPr="0068098B">
        <w:rPr>
          <w:rFonts w:asciiTheme="minorHAnsi" w:hAnsiTheme="minorHAnsi"/>
        </w:rPr>
        <w:fldChar w:fldCharType="end"/>
      </w:r>
      <w:r w:rsidR="00526C01" w:rsidRPr="0068098B">
        <w:rPr>
          <w:rFonts w:asciiTheme="minorHAnsi" w:hAnsiTheme="minorHAnsi"/>
        </w:rPr>
        <w:t>”.</w:t>
      </w:r>
      <w:r w:rsidR="006808D6" w:rsidRPr="0068098B">
        <w:rPr>
          <w:rFonts w:asciiTheme="minorHAnsi" w:hAnsiTheme="minorHAnsi"/>
        </w:rPr>
        <w:t xml:space="preserve">  </w:t>
      </w:r>
      <w:r w:rsidR="002E5585" w:rsidRPr="0068098B">
        <w:rPr>
          <w:rFonts w:asciiTheme="minorHAnsi" w:hAnsiTheme="minorHAnsi"/>
        </w:rPr>
        <w:t xml:space="preserve">In New South Wales, Queensland, Western Australia and South Australia, the period which the offender remains liable to serve will be automatically reduced, in accordance with State law as applied by s 19AA(2) of the </w:t>
      </w:r>
      <w:r w:rsidR="002E5585" w:rsidRPr="0068098B">
        <w:rPr>
          <w:rFonts w:asciiTheme="minorHAnsi" w:hAnsiTheme="minorHAnsi"/>
          <w:i/>
          <w:iCs/>
        </w:rPr>
        <w:t>Crimes Act 1914</w:t>
      </w:r>
      <w:r w:rsidR="002E5585" w:rsidRPr="0068098B">
        <w:rPr>
          <w:rFonts w:asciiTheme="minorHAnsi" w:hAnsiTheme="minorHAnsi"/>
        </w:rPr>
        <w:t xml:space="preserve"> (Cth), to allow for “</w:t>
      </w:r>
      <w:r w:rsidR="008D2973" w:rsidRPr="0068098B">
        <w:rPr>
          <w:rFonts w:asciiTheme="minorHAnsi" w:hAnsiTheme="minorHAnsi"/>
        </w:rPr>
        <w:t>street time</w:t>
      </w:r>
      <w:r w:rsidR="002E5585" w:rsidRPr="0068098B">
        <w:rPr>
          <w:rFonts w:asciiTheme="minorHAnsi" w:hAnsiTheme="minorHAnsi"/>
        </w:rPr>
        <w:t>” prior to the revocation of parole.  However in Victoria, Tasmania, the Australian Capital Territory and the Northern Territory, no such automatic reduction applies</w:t>
      </w:r>
      <w:r w:rsidR="00FE7BEF" w:rsidRPr="0068098B">
        <w:rPr>
          <w:rFonts w:asciiTheme="minorHAnsi" w:hAnsiTheme="minorHAnsi"/>
        </w:rPr>
        <w:t xml:space="preserve"> in the calculation of the unserved part of each outstanding sentence</w:t>
      </w:r>
      <w:r w:rsidR="002E5585" w:rsidRPr="0068098B">
        <w:rPr>
          <w:rFonts w:asciiTheme="minorHAnsi" w:hAnsiTheme="minorHAnsi"/>
        </w:rPr>
        <w:t>.</w:t>
      </w:r>
      <w:r w:rsidR="00FE7BEF" w:rsidRPr="0068098B">
        <w:rPr>
          <w:rStyle w:val="Style"/>
          <w:rFonts w:asciiTheme="minorHAnsi" w:hAnsiTheme="minorHAnsi"/>
        </w:rPr>
        <w:footnoteReference w:id="914"/>
      </w:r>
    </w:p>
    <w:p w14:paraId="45B27B74" w14:textId="77777777" w:rsidR="002E5585" w:rsidRPr="0068098B" w:rsidRDefault="002E5585" w:rsidP="00EB7F1E">
      <w:pPr>
        <w:pStyle w:val="ListParagraph"/>
        <w:rPr>
          <w:rFonts w:asciiTheme="minorHAnsi" w:hAnsiTheme="minorHAnsi"/>
        </w:rPr>
      </w:pPr>
    </w:p>
    <w:p w14:paraId="64B6ACA8" w14:textId="3B6AAD95" w:rsidR="009B12D6" w:rsidRPr="0068098B" w:rsidRDefault="006808D6">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The calculation will also be affected by any period of remand pending the completion of the hearing under s 19AW, as th</w:t>
      </w:r>
      <w:r w:rsidR="00E84B33" w:rsidRPr="0068098B">
        <w:rPr>
          <w:rFonts w:asciiTheme="minorHAnsi" w:hAnsiTheme="minorHAnsi"/>
        </w:rPr>
        <w:t>e unserved part of any outstanding sentence or sentences that the person was serving or had yet to serve at the time of his or her release is to be reduced by any such period of remand (s 19AW(6)).</w:t>
      </w:r>
    </w:p>
    <w:p w14:paraId="38B5E766" w14:textId="77777777" w:rsidR="007D1B5D" w:rsidRPr="0068098B" w:rsidRDefault="007D1B5D" w:rsidP="00EB7F1E">
      <w:pPr>
        <w:pStyle w:val="ListParagraph"/>
        <w:rPr>
          <w:rFonts w:asciiTheme="minorHAnsi" w:hAnsiTheme="minorHAnsi"/>
        </w:rPr>
      </w:pPr>
    </w:p>
    <w:p w14:paraId="2A1AA957" w14:textId="7670EEB1" w:rsidR="00463B53" w:rsidRPr="0068098B" w:rsidRDefault="00463B53" w:rsidP="00EB7F1E">
      <w:pPr>
        <w:keepNext/>
        <w:spacing w:line="276" w:lineRule="auto"/>
        <w:rPr>
          <w:rFonts w:asciiTheme="minorHAnsi" w:hAnsiTheme="minorHAnsi"/>
          <w:i/>
        </w:rPr>
      </w:pPr>
      <w:r w:rsidRPr="0068098B">
        <w:rPr>
          <w:rFonts w:asciiTheme="minorHAnsi" w:hAnsiTheme="minorHAnsi"/>
          <w:i/>
        </w:rPr>
        <w:t>Fixing a new NPP by the magistrate</w:t>
      </w:r>
    </w:p>
    <w:p w14:paraId="007D72F9" w14:textId="1D66CBBC" w:rsidR="00B611E3" w:rsidRPr="0068098B" w:rsidRDefault="00B611E3">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Once the</w:t>
      </w:r>
      <w:r w:rsidR="009A514D" w:rsidRPr="0068098B">
        <w:rPr>
          <w:rFonts w:asciiTheme="minorHAnsi" w:hAnsiTheme="minorHAnsi"/>
        </w:rPr>
        <w:t xml:space="preserve"> unserved part of each</w:t>
      </w:r>
      <w:r w:rsidRPr="0068098B">
        <w:rPr>
          <w:rFonts w:asciiTheme="minorHAnsi" w:hAnsiTheme="minorHAnsi"/>
        </w:rPr>
        <w:t xml:space="preserve"> outstanding sentence is calculated (</w:t>
      </w:r>
      <w:r w:rsidR="009A514D" w:rsidRPr="0068098B">
        <w:rPr>
          <w:rFonts w:asciiTheme="minorHAnsi" w:hAnsiTheme="minorHAnsi"/>
        </w:rPr>
        <w:t>taking into account</w:t>
      </w:r>
      <w:r w:rsidRPr="0068098B">
        <w:rPr>
          <w:rFonts w:asciiTheme="minorHAnsi" w:hAnsiTheme="minorHAnsi"/>
        </w:rPr>
        <w:t xml:space="preserve"> any </w:t>
      </w:r>
      <w:r w:rsidR="008734DA" w:rsidRPr="0068098B">
        <w:rPr>
          <w:rFonts w:asciiTheme="minorHAnsi" w:hAnsiTheme="minorHAnsi"/>
        </w:rPr>
        <w:t xml:space="preserve">remissions or </w:t>
      </w:r>
      <w:r w:rsidRPr="0068098B">
        <w:rPr>
          <w:rFonts w:asciiTheme="minorHAnsi" w:hAnsiTheme="minorHAnsi"/>
        </w:rPr>
        <w:t xml:space="preserve">reductions), the magistrate must fix a </w:t>
      </w:r>
      <w:r w:rsidR="00AA661F" w:rsidRPr="0068098B">
        <w:rPr>
          <w:rFonts w:asciiTheme="minorHAnsi" w:hAnsiTheme="minorHAnsi"/>
        </w:rPr>
        <w:t>NPP</w:t>
      </w:r>
      <w:r w:rsidRPr="0068098B">
        <w:rPr>
          <w:rFonts w:asciiTheme="minorHAnsi" w:hAnsiTheme="minorHAnsi"/>
        </w:rPr>
        <w:t xml:space="preserve"> in respect of the outstanding sentence</w:t>
      </w:r>
      <w:r w:rsidR="00526C01" w:rsidRPr="0068098B">
        <w:rPr>
          <w:rFonts w:asciiTheme="minorHAnsi" w:hAnsiTheme="minorHAnsi"/>
        </w:rPr>
        <w:t xml:space="preserve">, unless </w:t>
      </w:r>
      <w:r w:rsidR="00AA661F" w:rsidRPr="0068098B">
        <w:rPr>
          <w:rFonts w:asciiTheme="minorHAnsi" w:hAnsiTheme="minorHAnsi"/>
        </w:rPr>
        <w:t xml:space="preserve">either </w:t>
      </w:r>
      <w:r w:rsidR="00526C01" w:rsidRPr="0068098B">
        <w:rPr>
          <w:rFonts w:asciiTheme="minorHAnsi" w:hAnsiTheme="minorHAnsi"/>
        </w:rPr>
        <w:t>the</w:t>
      </w:r>
      <w:r w:rsidRPr="0068098B">
        <w:rPr>
          <w:rFonts w:asciiTheme="minorHAnsi" w:hAnsiTheme="minorHAnsi"/>
        </w:rPr>
        <w:t xml:space="preserve"> magistrate consider</w:t>
      </w:r>
      <w:r w:rsidR="00526C01" w:rsidRPr="0068098B">
        <w:rPr>
          <w:rFonts w:asciiTheme="minorHAnsi" w:hAnsiTheme="minorHAnsi"/>
        </w:rPr>
        <w:t>s</w:t>
      </w:r>
      <w:r w:rsidRPr="0068098B">
        <w:rPr>
          <w:rFonts w:asciiTheme="minorHAnsi" w:hAnsiTheme="minorHAnsi"/>
        </w:rPr>
        <w:t xml:space="preserve"> it “</w:t>
      </w:r>
      <w:r w:rsidRPr="0068098B">
        <w:rPr>
          <w:rFonts w:asciiTheme="minorHAnsi" w:hAnsiTheme="minorHAnsi"/>
          <w:i/>
          <w:iCs/>
        </w:rPr>
        <w:t>inappropriate to do so because of the nature of the breach of the conditions of the order … that led to its revocation</w:t>
      </w:r>
      <w:r w:rsidRPr="0068098B">
        <w:rPr>
          <w:rFonts w:asciiTheme="minorHAnsi" w:hAnsiTheme="minorHAnsi"/>
        </w:rPr>
        <w:t>” or the unserved part of the outstanding sentence aggregates 3 months or less</w:t>
      </w:r>
      <w:r w:rsidR="00526C01" w:rsidRPr="0068098B">
        <w:rPr>
          <w:rFonts w:asciiTheme="minorHAnsi" w:hAnsiTheme="minorHAnsi"/>
        </w:rPr>
        <w:t xml:space="preserve"> (s 19AW(3))</w:t>
      </w:r>
      <w:r w:rsidRPr="0068098B">
        <w:rPr>
          <w:rFonts w:asciiTheme="minorHAnsi" w:hAnsiTheme="minorHAnsi"/>
        </w:rPr>
        <w:t>.</w:t>
      </w:r>
      <w:r w:rsidR="00526C01" w:rsidRPr="0068098B">
        <w:rPr>
          <w:rStyle w:val="Style"/>
          <w:rFonts w:asciiTheme="minorHAnsi" w:hAnsiTheme="minorHAnsi"/>
        </w:rPr>
        <w:footnoteReference w:id="915"/>
      </w:r>
    </w:p>
    <w:p w14:paraId="25D46B9E" w14:textId="77777777" w:rsidR="00B611E3" w:rsidRPr="0068098B" w:rsidRDefault="00B611E3" w:rsidP="00EB7F1E">
      <w:pPr>
        <w:pStyle w:val="ListParagraph"/>
        <w:rPr>
          <w:rFonts w:asciiTheme="minorHAnsi" w:hAnsiTheme="minorHAnsi"/>
        </w:rPr>
      </w:pPr>
    </w:p>
    <w:p w14:paraId="35C0B3E2" w14:textId="01067F9C" w:rsidR="007D1B5D" w:rsidRPr="0068098B" w:rsidRDefault="007D1B5D">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In those jurisdictions in which no automatic reduction in the period to be served for “</w:t>
      </w:r>
      <w:r w:rsidR="008D2973" w:rsidRPr="0068098B">
        <w:rPr>
          <w:rFonts w:asciiTheme="minorHAnsi" w:hAnsiTheme="minorHAnsi"/>
        </w:rPr>
        <w:t>street time</w:t>
      </w:r>
      <w:r w:rsidRPr="0068098B">
        <w:rPr>
          <w:rFonts w:asciiTheme="minorHAnsi" w:hAnsiTheme="minorHAnsi"/>
        </w:rPr>
        <w:t xml:space="preserve">” is provided (Victoria, Tasmania, the ACT and the NT), in fixing a new NPP under s 19AW, a magistrate must have regard to the period of time spent by the person on parole before that parole order was revoked or was taken to have been revoked: </w:t>
      </w:r>
      <w:r w:rsidRPr="0068098B">
        <w:rPr>
          <w:rFonts w:asciiTheme="minorHAnsi" w:hAnsiTheme="minorHAnsi"/>
          <w:i/>
          <w:iCs/>
        </w:rPr>
        <w:t>Crimes Act 1914</w:t>
      </w:r>
      <w:r w:rsidRPr="0068098B">
        <w:rPr>
          <w:rFonts w:asciiTheme="minorHAnsi" w:hAnsiTheme="minorHAnsi"/>
        </w:rPr>
        <w:t xml:space="preserve"> (Cth), s 19AA(3).  See “</w:t>
      </w:r>
      <w:r w:rsidRPr="0068098B">
        <w:rPr>
          <w:rFonts w:asciiTheme="minorHAnsi" w:hAnsiTheme="minorHAnsi"/>
        </w:rPr>
        <w:fldChar w:fldCharType="begin"/>
      </w:r>
      <w:r w:rsidRPr="0068098B">
        <w:rPr>
          <w:rFonts w:asciiTheme="minorHAnsi" w:hAnsiTheme="minorHAnsi"/>
        </w:rPr>
        <w:instrText xml:space="preserve"> REF _Ref12716075 \r \h  \* MERGEFORMAT </w:instrText>
      </w:r>
      <w:r w:rsidRPr="0068098B">
        <w:rPr>
          <w:rFonts w:asciiTheme="minorHAnsi" w:hAnsiTheme="minorHAnsi"/>
        </w:rPr>
      </w:r>
      <w:r w:rsidRPr="0068098B">
        <w:rPr>
          <w:rFonts w:asciiTheme="minorHAnsi" w:hAnsiTheme="minorHAnsi"/>
        </w:rPr>
        <w:fldChar w:fldCharType="separate"/>
      </w:r>
      <w:r w:rsidR="00D44BCF">
        <w:rPr>
          <w:rFonts w:asciiTheme="minorHAnsi" w:hAnsiTheme="minorHAnsi"/>
        </w:rPr>
        <w:t>5.11.9</w:t>
      </w:r>
      <w:r w:rsidRPr="0068098B">
        <w:rPr>
          <w:rFonts w:asciiTheme="minorHAnsi" w:hAnsiTheme="minorHAnsi"/>
        </w:rPr>
        <w:fldChar w:fldCharType="end"/>
      </w:r>
      <w:r w:rsidRPr="0068098B">
        <w:rPr>
          <w:rFonts w:asciiTheme="minorHAnsi" w:hAnsiTheme="minorHAnsi"/>
        </w:rPr>
        <w:t xml:space="preserve"> </w:t>
      </w:r>
      <w:r w:rsidRPr="0068098B">
        <w:rPr>
          <w:rFonts w:asciiTheme="minorHAnsi" w:hAnsiTheme="minorHAnsi"/>
        </w:rPr>
        <w:fldChar w:fldCharType="begin"/>
      </w:r>
      <w:r w:rsidRPr="0068098B">
        <w:rPr>
          <w:rFonts w:asciiTheme="minorHAnsi" w:hAnsiTheme="minorHAnsi"/>
        </w:rPr>
        <w:instrText xml:space="preserve"> REF _Ref12716075 \h  \* MERGEFORMAT </w:instrText>
      </w:r>
      <w:r w:rsidRPr="0068098B">
        <w:rPr>
          <w:rFonts w:asciiTheme="minorHAnsi" w:hAnsiTheme="minorHAnsi"/>
        </w:rPr>
      </w:r>
      <w:r w:rsidRPr="0068098B">
        <w:rPr>
          <w:rFonts w:asciiTheme="minorHAnsi" w:hAnsiTheme="minorHAnsi"/>
        </w:rPr>
        <w:fldChar w:fldCharType="separate"/>
      </w:r>
      <w:r w:rsidR="00D44BCF" w:rsidRPr="00D44BCF">
        <w:rPr>
          <w:rFonts w:asciiTheme="minorHAnsi" w:hAnsiTheme="minorHAnsi"/>
        </w:rPr>
        <w:t>Credit for “street time”</w:t>
      </w:r>
      <w:r w:rsidRPr="0068098B">
        <w:rPr>
          <w:rFonts w:asciiTheme="minorHAnsi" w:hAnsiTheme="minorHAnsi"/>
        </w:rPr>
        <w:fldChar w:fldCharType="end"/>
      </w:r>
      <w:r w:rsidRPr="0068098B">
        <w:rPr>
          <w:rFonts w:asciiTheme="minorHAnsi" w:hAnsiTheme="minorHAnsi"/>
        </w:rPr>
        <w:t>”.</w:t>
      </w:r>
    </w:p>
    <w:p w14:paraId="3CC1AA1C" w14:textId="77777777" w:rsidR="007D1B5D" w:rsidRPr="0068098B" w:rsidRDefault="007D1B5D" w:rsidP="007D1B5D">
      <w:pPr>
        <w:pStyle w:val="ListParagraph"/>
        <w:rPr>
          <w:rFonts w:asciiTheme="minorHAnsi" w:hAnsiTheme="minorHAnsi"/>
        </w:rPr>
      </w:pPr>
    </w:p>
    <w:p w14:paraId="479B1EC6" w14:textId="1743A746" w:rsidR="006808D6" w:rsidRPr="0068098B" w:rsidRDefault="00E41BD4" w:rsidP="00B611E3">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In fixing a new NPP, t</w:t>
      </w:r>
      <w:r w:rsidR="002D3537" w:rsidRPr="0068098B">
        <w:rPr>
          <w:rFonts w:asciiTheme="minorHAnsi" w:hAnsiTheme="minorHAnsi"/>
        </w:rPr>
        <w:t>he magistrate may also have regard to any delay between the revocation of parole and the issuing of the warrant.</w:t>
      </w:r>
      <w:r w:rsidR="002D3537" w:rsidRPr="0068098B">
        <w:rPr>
          <w:rStyle w:val="Style"/>
          <w:rFonts w:asciiTheme="minorHAnsi" w:hAnsiTheme="minorHAnsi"/>
        </w:rPr>
        <w:footnoteReference w:id="916"/>
      </w:r>
    </w:p>
    <w:p w14:paraId="684BCAE5" w14:textId="77777777" w:rsidR="00B611E3" w:rsidRPr="0068098B" w:rsidRDefault="00B611E3" w:rsidP="00B611E3">
      <w:pPr>
        <w:pStyle w:val="ListParagraph"/>
        <w:rPr>
          <w:rFonts w:asciiTheme="minorHAnsi" w:hAnsiTheme="minorHAnsi"/>
        </w:rPr>
      </w:pPr>
    </w:p>
    <w:p w14:paraId="70F2C7D1" w14:textId="5250409E" w:rsidR="00CC7655" w:rsidRPr="0068098B" w:rsidRDefault="003C78BE"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If </w:t>
      </w:r>
      <w:r w:rsidR="00CC7655" w:rsidRPr="0068098B">
        <w:rPr>
          <w:rFonts w:asciiTheme="minorHAnsi" w:hAnsiTheme="minorHAnsi"/>
        </w:rPr>
        <w:t xml:space="preserve">the magistrate </w:t>
      </w:r>
      <w:r w:rsidRPr="0068098B">
        <w:rPr>
          <w:rFonts w:asciiTheme="minorHAnsi" w:hAnsiTheme="minorHAnsi"/>
        </w:rPr>
        <w:t xml:space="preserve">fixes a new NPP, it </w:t>
      </w:r>
      <w:r w:rsidR="00CC7655" w:rsidRPr="0068098B">
        <w:rPr>
          <w:rFonts w:asciiTheme="minorHAnsi" w:hAnsiTheme="minorHAnsi"/>
        </w:rPr>
        <w:t xml:space="preserve">must </w:t>
      </w:r>
      <w:r w:rsidRPr="0068098B">
        <w:rPr>
          <w:rFonts w:asciiTheme="minorHAnsi" w:hAnsiTheme="minorHAnsi"/>
        </w:rPr>
        <w:t xml:space="preserve">also be </w:t>
      </w:r>
      <w:r w:rsidR="00CC7655" w:rsidRPr="0068098B">
        <w:rPr>
          <w:rFonts w:asciiTheme="minorHAnsi" w:hAnsiTheme="minorHAnsi"/>
        </w:rPr>
        <w:t>specif</w:t>
      </w:r>
      <w:r w:rsidRPr="0068098B">
        <w:rPr>
          <w:rFonts w:asciiTheme="minorHAnsi" w:hAnsiTheme="minorHAnsi"/>
        </w:rPr>
        <w:t>ied</w:t>
      </w:r>
      <w:r w:rsidR="00CC7655" w:rsidRPr="0068098B">
        <w:rPr>
          <w:rFonts w:asciiTheme="minorHAnsi" w:hAnsiTheme="minorHAnsi"/>
        </w:rPr>
        <w:t xml:space="preserve"> </w:t>
      </w:r>
      <w:r w:rsidRPr="0068098B">
        <w:rPr>
          <w:rFonts w:asciiTheme="minorHAnsi" w:hAnsiTheme="minorHAnsi"/>
        </w:rPr>
        <w:t>in the warrant of detention (s 19AW(4)).</w:t>
      </w:r>
    </w:p>
    <w:p w14:paraId="2CE89F87" w14:textId="77777777" w:rsidR="00CC7655" w:rsidRPr="0068098B" w:rsidRDefault="00CC7655" w:rsidP="00CC7655">
      <w:pPr>
        <w:pStyle w:val="ListParagraph"/>
        <w:rPr>
          <w:rFonts w:asciiTheme="minorHAnsi" w:hAnsiTheme="minorHAnsi"/>
        </w:rPr>
      </w:pPr>
    </w:p>
    <w:p w14:paraId="577D85C6" w14:textId="77777777" w:rsidR="00CC7655" w:rsidRPr="0068098B" w:rsidRDefault="00CC7655" w:rsidP="00EB7F1E">
      <w:pPr>
        <w:keepNext/>
        <w:spacing w:line="276" w:lineRule="auto"/>
        <w:rPr>
          <w:rFonts w:asciiTheme="minorHAnsi" w:hAnsiTheme="minorHAnsi"/>
          <w:i/>
        </w:rPr>
      </w:pPr>
      <w:r w:rsidRPr="0068098B">
        <w:rPr>
          <w:rFonts w:asciiTheme="minorHAnsi" w:hAnsiTheme="minorHAnsi"/>
          <w:i/>
        </w:rPr>
        <w:t>Procedure where Attorney-General revokes parole without notification</w:t>
      </w:r>
    </w:p>
    <w:p w14:paraId="61809095" w14:textId="68499FF4" w:rsidR="00CC7655" w:rsidRPr="0068098B" w:rsidRDefault="00CC7655"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Where the person on parole was not notified of the revocation, s 19AX details the relevant procedure.  </w:t>
      </w:r>
      <w:r w:rsidR="000B4588" w:rsidRPr="0068098B">
        <w:rPr>
          <w:rFonts w:asciiTheme="minorHAnsi" w:hAnsiTheme="minorHAnsi"/>
        </w:rPr>
        <w:t xml:space="preserve">If </w:t>
      </w:r>
      <w:r w:rsidRPr="0068098B">
        <w:rPr>
          <w:rFonts w:asciiTheme="minorHAnsi" w:hAnsiTheme="minorHAnsi"/>
        </w:rPr>
        <w:t>the parolee is brought before the magistrate, and the magistrate is not satisfied that the parolee was notified by the Attorney-General of the proposal to make the revocation order, the magistrate must:</w:t>
      </w:r>
    </w:p>
    <w:p w14:paraId="7E7C31CF" w14:textId="77777777" w:rsidR="00CC7655" w:rsidRPr="0068098B" w:rsidRDefault="00CC7655" w:rsidP="00EB7F1E">
      <w:pPr>
        <w:pStyle w:val="ListParagraph"/>
        <w:numPr>
          <w:ilvl w:val="0"/>
          <w:numId w:val="154"/>
        </w:numPr>
        <w:spacing w:line="276" w:lineRule="auto"/>
        <w:ind w:left="992" w:hanging="425"/>
        <w:rPr>
          <w:rFonts w:asciiTheme="minorHAnsi" w:hAnsiTheme="minorHAnsi"/>
        </w:rPr>
      </w:pPr>
      <w:r w:rsidRPr="0068098B">
        <w:rPr>
          <w:rFonts w:asciiTheme="minorHAnsi" w:hAnsiTheme="minorHAnsi"/>
        </w:rPr>
        <w:t>immediately notify the Attorney-General that the parolee has been brought before the magistrate; and</w:t>
      </w:r>
    </w:p>
    <w:p w14:paraId="586149DB" w14:textId="77777777" w:rsidR="002B5AE9" w:rsidRPr="0068098B" w:rsidRDefault="00CC7655" w:rsidP="002B5AE9">
      <w:pPr>
        <w:pStyle w:val="ListParagraph"/>
        <w:numPr>
          <w:ilvl w:val="0"/>
          <w:numId w:val="154"/>
        </w:numPr>
        <w:spacing w:line="276" w:lineRule="auto"/>
        <w:ind w:left="992" w:hanging="425"/>
        <w:rPr>
          <w:rFonts w:asciiTheme="minorHAnsi" w:hAnsiTheme="minorHAnsi"/>
        </w:rPr>
      </w:pPr>
      <w:r w:rsidRPr="0068098B">
        <w:rPr>
          <w:rFonts w:asciiTheme="minorHAnsi" w:hAnsiTheme="minorHAnsi"/>
        </w:rPr>
        <w:t>order that the parolee be detained in custody</w:t>
      </w:r>
      <w:r w:rsidR="002B5AE9" w:rsidRPr="0068098B">
        <w:rPr>
          <w:rFonts w:asciiTheme="minorHAnsi" w:hAnsiTheme="minorHAnsi"/>
        </w:rPr>
        <w:t>.</w:t>
      </w:r>
    </w:p>
    <w:p w14:paraId="7D8FDE03" w14:textId="515F77AD" w:rsidR="00CC7655" w:rsidRPr="0068098B" w:rsidRDefault="002B5AE9" w:rsidP="00EB7F1E">
      <w:pPr>
        <w:spacing w:line="276" w:lineRule="auto"/>
        <w:ind w:left="426"/>
        <w:rPr>
          <w:rFonts w:asciiTheme="minorHAnsi" w:hAnsiTheme="minorHAnsi"/>
        </w:rPr>
      </w:pPr>
      <w:r w:rsidRPr="0068098B">
        <w:rPr>
          <w:rFonts w:asciiTheme="minorHAnsi" w:hAnsiTheme="minorHAnsi"/>
        </w:rPr>
        <w:t xml:space="preserve">The period of detention in custody is </w:t>
      </w:r>
      <w:r w:rsidR="00CC7655" w:rsidRPr="0068098B">
        <w:rPr>
          <w:rFonts w:asciiTheme="minorHAnsi" w:hAnsiTheme="minorHAnsi"/>
        </w:rPr>
        <w:t>until:</w:t>
      </w:r>
    </w:p>
    <w:p w14:paraId="13451732" w14:textId="7AD801AB" w:rsidR="00CC7655" w:rsidRPr="0068098B" w:rsidRDefault="00CC7655" w:rsidP="00EB7F1E">
      <w:pPr>
        <w:pStyle w:val="ListParagraph"/>
        <w:numPr>
          <w:ilvl w:val="1"/>
          <w:numId w:val="36"/>
        </w:numPr>
        <w:spacing w:line="276" w:lineRule="auto"/>
        <w:ind w:left="993" w:right="28" w:hanging="142"/>
        <w:rPr>
          <w:rFonts w:asciiTheme="minorHAnsi" w:hAnsiTheme="minorHAnsi"/>
        </w:rPr>
      </w:pPr>
      <w:r w:rsidRPr="0068098B">
        <w:rPr>
          <w:rFonts w:asciiTheme="minorHAnsi" w:hAnsiTheme="minorHAnsi"/>
        </w:rPr>
        <w:t>the Attorney-General orders that the revocation order be rescinded (in which case the parolee is to be released again on parole), or</w:t>
      </w:r>
    </w:p>
    <w:p w14:paraId="5C97A79D" w14:textId="67A0A24F" w:rsidR="00CC7655" w:rsidRPr="0068098B" w:rsidRDefault="00CC7655" w:rsidP="002B5AE9">
      <w:pPr>
        <w:pStyle w:val="ListParagraph"/>
        <w:numPr>
          <w:ilvl w:val="1"/>
          <w:numId w:val="36"/>
        </w:numPr>
        <w:spacing w:line="276" w:lineRule="auto"/>
        <w:ind w:left="993" w:right="28" w:hanging="142"/>
        <w:rPr>
          <w:rFonts w:asciiTheme="minorHAnsi" w:hAnsiTheme="minorHAnsi"/>
        </w:rPr>
      </w:pPr>
      <w:r w:rsidRPr="0068098B">
        <w:rPr>
          <w:rFonts w:asciiTheme="minorHAnsi" w:hAnsiTheme="minorHAnsi"/>
        </w:rPr>
        <w:t>the completion of a hearing of the type detailed in s 19AW (in circumstances where the Attorney-General had decided, after hearing any relevant submissions from the parolee, not to rescind the revocation order).</w:t>
      </w:r>
    </w:p>
    <w:p w14:paraId="38FB1C51" w14:textId="77777777" w:rsidR="00F45E68" w:rsidRPr="006E33A0" w:rsidRDefault="00F45E68" w:rsidP="00EB7F1E">
      <w:pPr>
        <w:pStyle w:val="ListParagraph"/>
        <w:rPr>
          <w:rFonts w:asciiTheme="minorHAnsi" w:hAnsiTheme="minorHAnsi"/>
          <w:highlight w:val="cyan"/>
        </w:rPr>
      </w:pPr>
    </w:p>
    <w:p w14:paraId="410612B1" w14:textId="77777777" w:rsidR="00CC7655" w:rsidRPr="0068098B" w:rsidRDefault="00CC7655" w:rsidP="00EB7F1E">
      <w:pPr>
        <w:keepNext/>
        <w:spacing w:line="276" w:lineRule="auto"/>
        <w:rPr>
          <w:rFonts w:asciiTheme="minorHAnsi" w:hAnsiTheme="minorHAnsi"/>
          <w:i/>
        </w:rPr>
      </w:pPr>
      <w:r w:rsidRPr="0068098B">
        <w:rPr>
          <w:rFonts w:asciiTheme="minorHAnsi" w:hAnsiTheme="minorHAnsi"/>
          <w:i/>
        </w:rPr>
        <w:t>Appeal rights</w:t>
      </w:r>
    </w:p>
    <w:p w14:paraId="2107F648" w14:textId="46441485" w:rsidR="00CC7655" w:rsidRPr="0068098B" w:rsidRDefault="00CC7655" w:rsidP="00EB7F1E">
      <w:pPr>
        <w:pStyle w:val="ListParagraph"/>
        <w:numPr>
          <w:ilvl w:val="0"/>
          <w:numId w:val="7"/>
        </w:numPr>
        <w:spacing w:line="276" w:lineRule="auto"/>
        <w:ind w:left="425" w:hanging="425"/>
        <w:contextualSpacing w:val="0"/>
        <w:rPr>
          <w:rFonts w:asciiTheme="minorHAnsi" w:hAnsiTheme="minorHAnsi" w:cs="Arial"/>
          <w:szCs w:val="22"/>
        </w:rPr>
      </w:pPr>
      <w:r w:rsidRPr="0068098B">
        <w:rPr>
          <w:rFonts w:asciiTheme="minorHAnsi" w:hAnsiTheme="minorHAnsi"/>
        </w:rPr>
        <w:t xml:space="preserve">Where a magistrate issues a warrant under s 19AW, the </w:t>
      </w:r>
      <w:r w:rsidR="00F05499" w:rsidRPr="0068098B">
        <w:rPr>
          <w:rFonts w:asciiTheme="minorHAnsi" w:hAnsiTheme="minorHAnsi"/>
        </w:rPr>
        <w:t>parolee</w:t>
      </w:r>
      <w:r w:rsidRPr="0068098B">
        <w:rPr>
          <w:rFonts w:asciiTheme="minorHAnsi" w:hAnsiTheme="minorHAnsi"/>
        </w:rPr>
        <w:t xml:space="preserve"> may appeal to the Supreme Court of the State/Territory in which the person was arrested against the issue of the warrant, the calculation of the unserved part of the outstanding sentence, or the fixing of (or refusal to fix) a </w:t>
      </w:r>
      <w:r w:rsidR="00F05499" w:rsidRPr="0068098B">
        <w:rPr>
          <w:rFonts w:asciiTheme="minorHAnsi" w:hAnsiTheme="minorHAnsi"/>
        </w:rPr>
        <w:t>NPP</w:t>
      </w:r>
      <w:r w:rsidR="0089552F" w:rsidRPr="0068098B">
        <w:rPr>
          <w:rFonts w:asciiTheme="minorHAnsi" w:hAnsiTheme="minorHAnsi"/>
        </w:rPr>
        <w:t xml:space="preserve"> (</w:t>
      </w:r>
      <w:r w:rsidR="0089552F" w:rsidRPr="0068098B">
        <w:rPr>
          <w:rFonts w:asciiTheme="minorHAnsi" w:hAnsiTheme="minorHAnsi"/>
          <w:i/>
          <w:iCs/>
        </w:rPr>
        <w:t>Crimes Act 1914</w:t>
      </w:r>
      <w:r w:rsidR="0089552F" w:rsidRPr="0068098B">
        <w:rPr>
          <w:rFonts w:asciiTheme="minorHAnsi" w:hAnsiTheme="minorHAnsi"/>
        </w:rPr>
        <w:t xml:space="preserve"> (Cth), s 19AY)</w:t>
      </w:r>
      <w:r w:rsidRPr="0068098B">
        <w:rPr>
          <w:rFonts w:asciiTheme="minorHAnsi" w:hAnsiTheme="minorHAnsi"/>
        </w:rPr>
        <w:t>.</w:t>
      </w:r>
      <w:r w:rsidR="0089552F" w:rsidRPr="0068098B">
        <w:rPr>
          <w:rFonts w:asciiTheme="minorHAnsi" w:hAnsiTheme="minorHAnsi"/>
        </w:rPr>
        <w:t xml:space="preserve">  The appeal is by way of rehearing but the court may have regard to any evidence given before the prescribed authority (s 19AY(3)).</w:t>
      </w:r>
      <w:r w:rsidR="0089552F" w:rsidRPr="0068098B">
        <w:rPr>
          <w:rStyle w:val="Style"/>
          <w:rFonts w:asciiTheme="minorHAnsi" w:hAnsiTheme="minorHAnsi"/>
        </w:rPr>
        <w:footnoteReference w:id="917"/>
      </w:r>
    </w:p>
    <w:p w14:paraId="497FE3CD" w14:textId="77777777" w:rsidR="00CC7655" w:rsidRPr="0068098B" w:rsidRDefault="00CC7655" w:rsidP="00EB7F1E">
      <w:pPr>
        <w:pStyle w:val="ListParagraph"/>
        <w:rPr>
          <w:rFonts w:asciiTheme="minorHAnsi" w:hAnsiTheme="minorHAnsi"/>
        </w:rPr>
      </w:pPr>
    </w:p>
    <w:p w14:paraId="08AF08AF" w14:textId="1BA35702" w:rsidR="001F3B61" w:rsidRPr="0068098B" w:rsidRDefault="001F3B61" w:rsidP="00EB7F1E">
      <w:pPr>
        <w:pStyle w:val="Heading3"/>
      </w:pPr>
      <w:bookmarkStart w:id="2101" w:name="_Ref12716075"/>
      <w:bookmarkStart w:id="2102" w:name="_Toc33602924"/>
      <w:r w:rsidRPr="0068098B">
        <w:t>Credit for “street time”</w:t>
      </w:r>
      <w:bookmarkEnd w:id="2101"/>
      <w:bookmarkEnd w:id="2102"/>
    </w:p>
    <w:p w14:paraId="3554F103" w14:textId="4FEEF8AD" w:rsidR="001F3B61" w:rsidRPr="0068098B" w:rsidRDefault="001F3B61">
      <w:pPr>
        <w:pStyle w:val="NormalIndent"/>
        <w:keepNext/>
        <w:rPr>
          <w:rFonts w:ascii="Calibri" w:hAnsi="Calibri"/>
        </w:rPr>
      </w:pPr>
    </w:p>
    <w:p w14:paraId="5259C2EC" w14:textId="381FCB36" w:rsidR="00E62348" w:rsidRPr="0068098B" w:rsidRDefault="00E62348" w:rsidP="00E62348">
      <w:pPr>
        <w:keepNext/>
        <w:spacing w:line="276" w:lineRule="auto"/>
        <w:rPr>
          <w:rFonts w:asciiTheme="minorHAnsi" w:hAnsiTheme="minorHAnsi"/>
          <w:i/>
        </w:rPr>
      </w:pPr>
      <w:r w:rsidRPr="0068098B">
        <w:rPr>
          <w:rFonts w:asciiTheme="minorHAnsi" w:hAnsiTheme="minorHAnsi"/>
          <w:i/>
        </w:rPr>
        <w:t xml:space="preserve">The regime for crediting </w:t>
      </w:r>
      <w:r w:rsidR="008D2973" w:rsidRPr="0068098B">
        <w:rPr>
          <w:rFonts w:asciiTheme="minorHAnsi" w:hAnsiTheme="minorHAnsi"/>
          <w:i/>
        </w:rPr>
        <w:t>“street time”</w:t>
      </w:r>
    </w:p>
    <w:p w14:paraId="0E4266BB" w14:textId="61FEF865" w:rsidR="00192C2C" w:rsidRPr="0068098B" w:rsidRDefault="003C78BE" w:rsidP="001F3B61">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A parolee whose parole is revoked (whether automatically or by the Attorney-General) </w:t>
      </w:r>
      <w:r w:rsidR="00192C2C" w:rsidRPr="0068098B">
        <w:rPr>
          <w:rFonts w:asciiTheme="minorHAnsi" w:hAnsiTheme="minorHAnsi"/>
        </w:rPr>
        <w:t xml:space="preserve">is generally liable to serve the balance of the sentence that was outstanding at the time of his or her release on parole.  However ss 19AA and 19AQ(5) of the </w:t>
      </w:r>
      <w:r w:rsidR="00192C2C" w:rsidRPr="0068098B">
        <w:rPr>
          <w:rFonts w:asciiTheme="minorHAnsi" w:hAnsiTheme="minorHAnsi"/>
          <w:i/>
        </w:rPr>
        <w:t xml:space="preserve">Crimes Act 1914 </w:t>
      </w:r>
      <w:r w:rsidR="00192C2C" w:rsidRPr="0068098B">
        <w:rPr>
          <w:rFonts w:asciiTheme="minorHAnsi" w:hAnsiTheme="minorHAnsi"/>
        </w:rPr>
        <w:t>(Cth) provide for credit to be given for a period between the parolee’s release on parole and the revocation of parole</w:t>
      </w:r>
      <w:r w:rsidR="00851698" w:rsidRPr="0068098B">
        <w:rPr>
          <w:rFonts w:asciiTheme="minorHAnsi" w:hAnsiTheme="minorHAnsi"/>
        </w:rPr>
        <w:t xml:space="preserve"> (which is often referred to a</w:t>
      </w:r>
      <w:r w:rsidR="00014EB2" w:rsidRPr="0068098B">
        <w:rPr>
          <w:rFonts w:asciiTheme="minorHAnsi" w:hAnsiTheme="minorHAnsi"/>
        </w:rPr>
        <w:t>s</w:t>
      </w:r>
      <w:r w:rsidR="00851698" w:rsidRPr="0068098B">
        <w:rPr>
          <w:rFonts w:asciiTheme="minorHAnsi" w:hAnsiTheme="minorHAnsi"/>
        </w:rPr>
        <w:t xml:space="preserve"> </w:t>
      </w:r>
      <w:r w:rsidR="008D2973" w:rsidRPr="0068098B">
        <w:rPr>
          <w:rFonts w:asciiTheme="minorHAnsi" w:hAnsiTheme="minorHAnsi"/>
        </w:rPr>
        <w:t xml:space="preserve">“street time” or </w:t>
      </w:r>
      <w:r w:rsidR="00851698" w:rsidRPr="0068098B">
        <w:rPr>
          <w:rFonts w:asciiTheme="minorHAnsi" w:hAnsiTheme="minorHAnsi"/>
        </w:rPr>
        <w:t>“clean street time”)</w:t>
      </w:r>
      <w:r w:rsidR="00192C2C" w:rsidRPr="0068098B">
        <w:rPr>
          <w:rFonts w:asciiTheme="minorHAnsi" w:hAnsiTheme="minorHAnsi"/>
        </w:rPr>
        <w:t xml:space="preserve">.  </w:t>
      </w:r>
      <w:r w:rsidR="00851698" w:rsidRPr="0068098B">
        <w:rPr>
          <w:rFonts w:asciiTheme="minorHAnsi" w:hAnsiTheme="minorHAnsi"/>
        </w:rPr>
        <w:t>Depending on the law of the relevant State or Territory</w:t>
      </w:r>
      <w:r w:rsidR="00192C2C" w:rsidRPr="0068098B">
        <w:rPr>
          <w:rFonts w:asciiTheme="minorHAnsi" w:hAnsiTheme="minorHAnsi"/>
        </w:rPr>
        <w:t>,</w:t>
      </w:r>
      <w:r w:rsidR="00014EB2" w:rsidRPr="0068098B">
        <w:rPr>
          <w:rStyle w:val="Style"/>
          <w:rFonts w:asciiTheme="minorHAnsi" w:hAnsiTheme="minorHAnsi"/>
        </w:rPr>
        <w:footnoteReference w:id="918"/>
      </w:r>
      <w:r w:rsidR="00192C2C" w:rsidRPr="0068098B">
        <w:rPr>
          <w:rFonts w:asciiTheme="minorHAnsi" w:hAnsiTheme="minorHAnsi"/>
        </w:rPr>
        <w:t xml:space="preserve"> that period </w:t>
      </w:r>
      <w:r w:rsidR="00851698" w:rsidRPr="0068098B">
        <w:rPr>
          <w:rFonts w:asciiTheme="minorHAnsi" w:hAnsiTheme="minorHAnsi"/>
        </w:rPr>
        <w:t>of “</w:t>
      </w:r>
      <w:r w:rsidR="008D2973" w:rsidRPr="0068098B">
        <w:rPr>
          <w:rFonts w:asciiTheme="minorHAnsi" w:hAnsiTheme="minorHAnsi"/>
        </w:rPr>
        <w:t>street time</w:t>
      </w:r>
      <w:r w:rsidR="00851698" w:rsidRPr="0068098B">
        <w:rPr>
          <w:rFonts w:asciiTheme="minorHAnsi" w:hAnsiTheme="minorHAnsi"/>
        </w:rPr>
        <w:t xml:space="preserve">” </w:t>
      </w:r>
      <w:r w:rsidR="00192C2C" w:rsidRPr="0068098B">
        <w:rPr>
          <w:rFonts w:asciiTheme="minorHAnsi" w:hAnsiTheme="minorHAnsi"/>
        </w:rPr>
        <w:t xml:space="preserve">may be credited in reducing the outstanding </w:t>
      </w:r>
      <w:r w:rsidR="00851698" w:rsidRPr="0068098B">
        <w:rPr>
          <w:rFonts w:asciiTheme="minorHAnsi" w:hAnsiTheme="minorHAnsi"/>
        </w:rPr>
        <w:t>period of the sentence to be served.</w:t>
      </w:r>
      <w:r w:rsidR="00A74CEF" w:rsidRPr="0068098B">
        <w:rPr>
          <w:rStyle w:val="Style"/>
          <w:rFonts w:asciiTheme="minorHAnsi" w:hAnsiTheme="minorHAnsi"/>
        </w:rPr>
        <w:footnoteReference w:id="919"/>
      </w:r>
      <w:r w:rsidR="00851698" w:rsidRPr="0068098B">
        <w:rPr>
          <w:rFonts w:asciiTheme="minorHAnsi" w:hAnsiTheme="minorHAnsi"/>
        </w:rPr>
        <w:t xml:space="preserve">  If it is not so credited, the period may be taken into account in the fixing of a new non-parole period (NPP) following the revocation of parole</w:t>
      </w:r>
      <w:r w:rsidR="00014EB2" w:rsidRPr="0068098B">
        <w:rPr>
          <w:rFonts w:asciiTheme="minorHAnsi" w:hAnsiTheme="minorHAnsi"/>
        </w:rPr>
        <w:t xml:space="preserve"> (under s 19AR or s 19AW, as the case may be)</w:t>
      </w:r>
      <w:r w:rsidR="00851698" w:rsidRPr="0068098B">
        <w:rPr>
          <w:rFonts w:asciiTheme="minorHAnsi" w:hAnsiTheme="minorHAnsi"/>
        </w:rPr>
        <w:t>.</w:t>
      </w:r>
    </w:p>
    <w:p w14:paraId="6452ED4E" w14:textId="77777777" w:rsidR="00192C2C" w:rsidRPr="0068098B" w:rsidRDefault="00192C2C" w:rsidP="00EB7F1E">
      <w:pPr>
        <w:spacing w:line="276" w:lineRule="auto"/>
        <w:rPr>
          <w:rFonts w:asciiTheme="minorHAnsi" w:hAnsiTheme="minorHAnsi"/>
        </w:rPr>
      </w:pPr>
    </w:p>
    <w:p w14:paraId="5031B8F0" w14:textId="77777777" w:rsidR="001F3B61" w:rsidRPr="0068098B" w:rsidRDefault="001F3B61" w:rsidP="001F3B61">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Section 19Q(5) provides:</w:t>
      </w:r>
    </w:p>
    <w:p w14:paraId="1E90C188" w14:textId="77777777" w:rsidR="001F3B61" w:rsidRPr="007F481E" w:rsidRDefault="001F3B61" w:rsidP="001F3B61">
      <w:pPr>
        <w:pStyle w:val="ListParagraph"/>
        <w:rPr>
          <w:rFonts w:asciiTheme="minorHAnsi" w:hAnsiTheme="minorHAnsi"/>
        </w:rPr>
      </w:pPr>
      <w:r w:rsidRPr="0068098B">
        <w:rPr>
          <w:rFonts w:asciiTheme="minorHAnsi" w:hAnsiTheme="minorHAnsi"/>
          <w:i/>
          <w:iCs/>
        </w:rPr>
        <w:t xml:space="preserve">Where the parole order or licence relating to a person is revoked under subsection (1) or (3) </w:t>
      </w:r>
      <w:r w:rsidRPr="0068098B">
        <w:rPr>
          <w:rFonts w:asciiTheme="minorHAnsi" w:hAnsiTheme="minorHAnsi"/>
        </w:rPr>
        <w:t>[i.e. the automatic revocation provisions],</w:t>
      </w:r>
      <w:r w:rsidRPr="0068098B">
        <w:rPr>
          <w:rFonts w:asciiTheme="minorHAnsi" w:hAnsiTheme="minorHAnsi"/>
          <w:i/>
          <w:iCs/>
        </w:rPr>
        <w:t xml:space="preserve"> the person becomes liable to serve that part of the sentence or each sentence for a federal offence that the person had not served at the time of his or her release under that order or licence, </w:t>
      </w:r>
      <w:r w:rsidRPr="0068098B">
        <w:rPr>
          <w:rFonts w:asciiTheme="minorHAnsi" w:hAnsiTheme="minorHAnsi"/>
          <w:i/>
          <w:iCs/>
          <w:u w:val="single"/>
        </w:rPr>
        <w:t xml:space="preserve">subject to the operation of subsection 19AA(2) and subject (except in the </w:t>
      </w:r>
      <w:r w:rsidRPr="007F481E">
        <w:rPr>
          <w:rFonts w:asciiTheme="minorHAnsi" w:hAnsiTheme="minorHAnsi"/>
          <w:i/>
          <w:iCs/>
          <w:u w:val="single"/>
        </w:rPr>
        <w:t>case of a life sentence) to any further remission or reduction of that sentence.</w:t>
      </w:r>
      <w:r w:rsidRPr="007F481E">
        <w:rPr>
          <w:rFonts w:asciiTheme="minorHAnsi" w:hAnsiTheme="minorHAnsi"/>
          <w:i/>
          <w:iCs/>
        </w:rPr>
        <w:t xml:space="preserve"> </w:t>
      </w:r>
      <w:r w:rsidRPr="007F481E">
        <w:rPr>
          <w:rFonts w:asciiTheme="minorHAnsi" w:hAnsiTheme="minorHAnsi"/>
        </w:rPr>
        <w:t>[emphasis added]</w:t>
      </w:r>
    </w:p>
    <w:p w14:paraId="325D38ED" w14:textId="77777777" w:rsidR="001F3B61" w:rsidRPr="007F481E" w:rsidRDefault="001F3B61" w:rsidP="001F3B61">
      <w:pPr>
        <w:pStyle w:val="ListParagraph"/>
        <w:rPr>
          <w:rFonts w:asciiTheme="minorHAnsi" w:hAnsiTheme="minorHAnsi"/>
        </w:rPr>
      </w:pPr>
    </w:p>
    <w:p w14:paraId="3D5DB09E" w14:textId="77777777" w:rsidR="001F3B61" w:rsidRPr="007F481E" w:rsidRDefault="001F3B61" w:rsidP="001F3B61">
      <w:pPr>
        <w:pStyle w:val="ListParagraph"/>
        <w:numPr>
          <w:ilvl w:val="0"/>
          <w:numId w:val="7"/>
        </w:numPr>
        <w:spacing w:line="276" w:lineRule="auto"/>
        <w:ind w:left="425" w:hanging="425"/>
        <w:contextualSpacing w:val="0"/>
        <w:rPr>
          <w:rFonts w:asciiTheme="minorHAnsi" w:hAnsiTheme="minorHAnsi"/>
        </w:rPr>
      </w:pPr>
      <w:r w:rsidRPr="007F481E">
        <w:rPr>
          <w:rFonts w:asciiTheme="minorHAnsi" w:hAnsiTheme="minorHAnsi"/>
        </w:rPr>
        <w:t>Section 19AA relevantly provides:</w:t>
      </w:r>
    </w:p>
    <w:p w14:paraId="4E4D730A" w14:textId="77777777" w:rsidR="001F3B61" w:rsidRPr="007F481E" w:rsidRDefault="001F3B61" w:rsidP="001F3B61">
      <w:pPr>
        <w:pStyle w:val="BodyText"/>
        <w:spacing w:line="276" w:lineRule="auto"/>
        <w:ind w:left="1134" w:right="170" w:hanging="567"/>
        <w:jc w:val="both"/>
        <w:rPr>
          <w:rFonts w:asciiTheme="minorHAnsi" w:hAnsiTheme="minorHAnsi"/>
          <w:i/>
        </w:rPr>
      </w:pPr>
      <w:r w:rsidRPr="007F481E">
        <w:rPr>
          <w:rFonts w:asciiTheme="minorHAnsi" w:hAnsiTheme="minorHAnsi"/>
          <w:i/>
        </w:rPr>
        <w:t>(1)</w:t>
      </w:r>
      <w:r w:rsidRPr="007F481E">
        <w:rPr>
          <w:rFonts w:asciiTheme="minorHAnsi" w:hAnsiTheme="minorHAnsi"/>
          <w:i/>
        </w:rPr>
        <w:tab/>
        <w:t>A law of a State or Territory that provides for the remission or reduction of State or Territory sentences applies in the same way to the remission or reduction of a federal sentence in a prison of that State or Territory.</w:t>
      </w:r>
    </w:p>
    <w:p w14:paraId="0C433814" w14:textId="77777777" w:rsidR="001F3B61" w:rsidRPr="007F481E" w:rsidRDefault="001F3B61" w:rsidP="001F3B61">
      <w:pPr>
        <w:autoSpaceDE w:val="0"/>
        <w:autoSpaceDN w:val="0"/>
        <w:adjustRightInd w:val="0"/>
        <w:spacing w:line="276" w:lineRule="auto"/>
        <w:ind w:left="1276" w:hanging="425"/>
        <w:jc w:val="both"/>
        <w:rPr>
          <w:rFonts w:asciiTheme="minorHAnsi" w:hAnsiTheme="minorHAnsi"/>
          <w:i/>
          <w:color w:val="000000"/>
          <w:szCs w:val="22"/>
          <w:lang w:eastAsia="en-AU"/>
        </w:rPr>
      </w:pPr>
      <w:r w:rsidRPr="007F481E">
        <w:rPr>
          <w:rFonts w:asciiTheme="minorHAnsi" w:hAnsiTheme="minorHAnsi"/>
          <w:i/>
          <w:color w:val="000000"/>
          <w:szCs w:val="22"/>
          <w:lang w:eastAsia="en-AU"/>
        </w:rPr>
        <w:t>…</w:t>
      </w:r>
    </w:p>
    <w:p w14:paraId="09CB0AE5" w14:textId="77777777" w:rsidR="001F3B61" w:rsidRPr="007F481E" w:rsidRDefault="001F3B61" w:rsidP="001F3B61">
      <w:pPr>
        <w:pStyle w:val="BodyText"/>
        <w:spacing w:line="276" w:lineRule="auto"/>
        <w:ind w:left="1134" w:right="170" w:hanging="567"/>
        <w:jc w:val="both"/>
        <w:rPr>
          <w:rFonts w:asciiTheme="minorHAnsi" w:hAnsiTheme="minorHAnsi"/>
          <w:i/>
        </w:rPr>
      </w:pPr>
      <w:r w:rsidRPr="007F481E">
        <w:rPr>
          <w:rFonts w:asciiTheme="minorHAnsi" w:hAnsiTheme="minorHAnsi"/>
          <w:i/>
          <w:color w:val="000000"/>
          <w:szCs w:val="22"/>
          <w:lang w:eastAsia="en-AU"/>
        </w:rPr>
        <w:t>(2)</w:t>
      </w:r>
      <w:r w:rsidRPr="007F481E">
        <w:rPr>
          <w:rFonts w:asciiTheme="minorHAnsi" w:hAnsiTheme="minorHAnsi"/>
          <w:i/>
          <w:color w:val="000000"/>
          <w:szCs w:val="22"/>
          <w:lang w:eastAsia="en-AU"/>
        </w:rPr>
        <w:tab/>
        <w:t xml:space="preserve">Where a law of a State or Territory provides that a person is to be taken to be serving a State or Territory sentence during the period from the time of release under a parole order or licence (however called) until the parole order or licence is, or is taken to be, revoked, the law: </w:t>
      </w:r>
    </w:p>
    <w:p w14:paraId="4D6DAC70" w14:textId="77777777" w:rsidR="001F3B61" w:rsidRPr="007F481E" w:rsidRDefault="001F3B61" w:rsidP="001F3B61">
      <w:pPr>
        <w:autoSpaceDE w:val="0"/>
        <w:autoSpaceDN w:val="0"/>
        <w:adjustRightInd w:val="0"/>
        <w:spacing w:line="276" w:lineRule="auto"/>
        <w:ind w:left="1418" w:hanging="284"/>
        <w:jc w:val="both"/>
        <w:rPr>
          <w:rFonts w:asciiTheme="minorHAnsi" w:hAnsiTheme="minorHAnsi"/>
          <w:i/>
          <w:szCs w:val="22"/>
          <w:lang w:eastAsia="en-AU"/>
        </w:rPr>
      </w:pPr>
      <w:r w:rsidRPr="007F481E">
        <w:rPr>
          <w:rFonts w:asciiTheme="minorHAnsi" w:hAnsiTheme="minorHAnsi"/>
          <w:i/>
          <w:color w:val="000000"/>
          <w:szCs w:val="22"/>
          <w:lang w:eastAsia="en-AU"/>
        </w:rPr>
        <w:t>(a)</w:t>
      </w:r>
      <w:r w:rsidRPr="007F481E">
        <w:rPr>
          <w:rFonts w:asciiTheme="minorHAnsi" w:hAnsiTheme="minorHAnsi"/>
          <w:i/>
          <w:color w:val="000000"/>
          <w:szCs w:val="22"/>
          <w:lang w:eastAsia="en-AU"/>
        </w:rPr>
        <w:tab/>
        <w:t xml:space="preserve">is, for the purposes of subsection (1), to be taken to be providing for the remission or reduction of sentences; and </w:t>
      </w:r>
    </w:p>
    <w:p w14:paraId="037D15D7" w14:textId="77777777" w:rsidR="001F3B61" w:rsidRPr="007F481E" w:rsidRDefault="001F3B61" w:rsidP="001F3B61">
      <w:pPr>
        <w:autoSpaceDE w:val="0"/>
        <w:autoSpaceDN w:val="0"/>
        <w:adjustRightInd w:val="0"/>
        <w:spacing w:line="276" w:lineRule="auto"/>
        <w:ind w:left="1418" w:hanging="284"/>
        <w:jc w:val="both"/>
        <w:rPr>
          <w:rFonts w:asciiTheme="minorHAnsi" w:hAnsiTheme="minorHAnsi"/>
          <w:i/>
          <w:szCs w:val="22"/>
          <w:lang w:eastAsia="en-AU"/>
        </w:rPr>
      </w:pPr>
      <w:r w:rsidRPr="007F481E">
        <w:rPr>
          <w:rFonts w:asciiTheme="minorHAnsi" w:hAnsiTheme="minorHAnsi"/>
          <w:i/>
          <w:color w:val="000000"/>
          <w:szCs w:val="22"/>
          <w:lang w:eastAsia="en-AU"/>
        </w:rPr>
        <w:t>(b)</w:t>
      </w:r>
      <w:r w:rsidRPr="007F481E">
        <w:rPr>
          <w:rFonts w:asciiTheme="minorHAnsi" w:hAnsiTheme="minorHAnsi"/>
          <w:i/>
          <w:color w:val="000000"/>
          <w:szCs w:val="22"/>
          <w:lang w:eastAsia="en-AU"/>
        </w:rPr>
        <w:tab/>
        <w:t xml:space="preserve">applies to any calculation of the part of a federal sentence remaining to be served at the time of a federal offender’s release under a federal parole order or licence as if the sentence were a State or Territory sentence. </w:t>
      </w:r>
    </w:p>
    <w:p w14:paraId="70BB81B7" w14:textId="77777777" w:rsidR="001F3B61" w:rsidRPr="007F481E" w:rsidRDefault="001F3B61" w:rsidP="001F3B61">
      <w:pPr>
        <w:pStyle w:val="BodyText"/>
        <w:spacing w:line="276" w:lineRule="auto"/>
        <w:ind w:left="1134" w:right="170" w:hanging="567"/>
        <w:jc w:val="both"/>
        <w:rPr>
          <w:rFonts w:asciiTheme="minorHAnsi" w:hAnsiTheme="minorHAnsi"/>
          <w:i/>
        </w:rPr>
      </w:pPr>
      <w:r w:rsidRPr="007F481E">
        <w:rPr>
          <w:rFonts w:asciiTheme="minorHAnsi" w:hAnsiTheme="minorHAnsi"/>
          <w:i/>
          <w:color w:val="000000"/>
          <w:szCs w:val="22"/>
          <w:lang w:eastAsia="en-AU"/>
        </w:rPr>
        <w:t>(3)</w:t>
      </w:r>
      <w:r w:rsidRPr="007F481E">
        <w:rPr>
          <w:rFonts w:asciiTheme="minorHAnsi" w:hAnsiTheme="minorHAnsi"/>
          <w:i/>
          <w:color w:val="000000"/>
          <w:szCs w:val="22"/>
          <w:lang w:eastAsia="en-AU"/>
        </w:rPr>
        <w:tab/>
        <w:t xml:space="preserve">Where a federal offender who is released on parole or licence and whose parole order or licence has subsequently been revoked does not get the benefit of subsection (2) in calculating the part of any federal sentence of imprisonment remaining to be served at the time of release: </w:t>
      </w:r>
    </w:p>
    <w:p w14:paraId="646C348D" w14:textId="77777777" w:rsidR="001F3B61" w:rsidRPr="007F481E" w:rsidRDefault="001F3B61" w:rsidP="001F3B61">
      <w:pPr>
        <w:autoSpaceDE w:val="0"/>
        <w:autoSpaceDN w:val="0"/>
        <w:adjustRightInd w:val="0"/>
        <w:spacing w:line="276" w:lineRule="auto"/>
        <w:ind w:left="1418" w:hanging="284"/>
        <w:jc w:val="both"/>
        <w:rPr>
          <w:rFonts w:asciiTheme="minorHAnsi" w:hAnsiTheme="minorHAnsi"/>
          <w:i/>
          <w:szCs w:val="22"/>
          <w:lang w:eastAsia="en-AU"/>
        </w:rPr>
      </w:pPr>
      <w:r w:rsidRPr="007F481E">
        <w:rPr>
          <w:rFonts w:asciiTheme="minorHAnsi" w:hAnsiTheme="minorHAnsi"/>
          <w:i/>
          <w:color w:val="000000"/>
          <w:szCs w:val="22"/>
          <w:lang w:eastAsia="en-AU"/>
        </w:rPr>
        <w:t>(a)</w:t>
      </w:r>
      <w:r w:rsidRPr="007F481E">
        <w:rPr>
          <w:rFonts w:asciiTheme="minorHAnsi" w:hAnsiTheme="minorHAnsi"/>
          <w:i/>
          <w:color w:val="000000"/>
          <w:szCs w:val="22"/>
          <w:lang w:eastAsia="en-AU"/>
        </w:rPr>
        <w:tab/>
        <w:t xml:space="preserve">a court fixing a new non-parole period in respect of such a person under section 19AR; or </w:t>
      </w:r>
    </w:p>
    <w:p w14:paraId="2628F4CB" w14:textId="77777777" w:rsidR="001F3B61" w:rsidRPr="007F481E" w:rsidRDefault="001F3B61" w:rsidP="001F3B61">
      <w:pPr>
        <w:autoSpaceDE w:val="0"/>
        <w:autoSpaceDN w:val="0"/>
        <w:adjustRightInd w:val="0"/>
        <w:spacing w:line="276" w:lineRule="auto"/>
        <w:ind w:left="1418" w:hanging="284"/>
        <w:jc w:val="both"/>
        <w:rPr>
          <w:rFonts w:asciiTheme="minorHAnsi" w:hAnsiTheme="minorHAnsi"/>
          <w:i/>
          <w:szCs w:val="22"/>
          <w:lang w:eastAsia="en-AU"/>
        </w:rPr>
      </w:pPr>
      <w:r w:rsidRPr="007F481E">
        <w:rPr>
          <w:rFonts w:asciiTheme="minorHAnsi" w:hAnsiTheme="minorHAnsi"/>
          <w:i/>
          <w:color w:val="000000"/>
          <w:szCs w:val="22"/>
          <w:lang w:eastAsia="en-AU"/>
        </w:rPr>
        <w:t>(b)</w:t>
      </w:r>
      <w:r w:rsidRPr="007F481E">
        <w:rPr>
          <w:rFonts w:asciiTheme="minorHAnsi" w:hAnsiTheme="minorHAnsi"/>
          <w:i/>
          <w:color w:val="000000"/>
          <w:szCs w:val="22"/>
          <w:lang w:eastAsia="en-AU"/>
        </w:rPr>
        <w:tab/>
        <w:t xml:space="preserve">a prescribed authority fixing a non-parole period in respect of such a person under section 19AW; </w:t>
      </w:r>
    </w:p>
    <w:p w14:paraId="0C43D4FC" w14:textId="77777777" w:rsidR="001F3B61" w:rsidRPr="0068098B" w:rsidRDefault="001F3B61" w:rsidP="001F3B61">
      <w:pPr>
        <w:autoSpaceDE w:val="0"/>
        <w:autoSpaceDN w:val="0"/>
        <w:adjustRightInd w:val="0"/>
        <w:spacing w:line="276" w:lineRule="auto"/>
        <w:ind w:left="1134"/>
        <w:jc w:val="both"/>
        <w:rPr>
          <w:rFonts w:asciiTheme="minorHAnsi" w:hAnsiTheme="minorHAnsi"/>
          <w:i/>
          <w:color w:val="000000"/>
          <w:szCs w:val="22"/>
          <w:lang w:eastAsia="en-AU"/>
        </w:rPr>
      </w:pPr>
      <w:r w:rsidRPr="007F481E">
        <w:rPr>
          <w:rFonts w:asciiTheme="minorHAnsi" w:hAnsiTheme="minorHAnsi"/>
          <w:i/>
          <w:color w:val="000000"/>
          <w:szCs w:val="22"/>
          <w:lang w:eastAsia="en-AU"/>
        </w:rPr>
        <w:t>must have regard to the period of time spent by the person on parole or licence before that parole order or licence is revoked or is to be taken to have been revoked.</w:t>
      </w:r>
    </w:p>
    <w:p w14:paraId="214E74BB" w14:textId="49DC87B2" w:rsidR="001F3B61" w:rsidRPr="0068098B" w:rsidRDefault="001F3B61" w:rsidP="00EB7F1E">
      <w:pPr>
        <w:spacing w:line="276" w:lineRule="auto"/>
        <w:rPr>
          <w:rFonts w:asciiTheme="minorHAnsi" w:hAnsiTheme="minorHAnsi"/>
        </w:rPr>
      </w:pPr>
    </w:p>
    <w:p w14:paraId="2C4E8C56" w14:textId="67522700" w:rsidR="0031431C" w:rsidRPr="0068098B" w:rsidRDefault="00A527F0"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Under these provisions, any entitlement to credit for </w:t>
      </w:r>
      <w:r w:rsidR="008D2973" w:rsidRPr="0068098B">
        <w:rPr>
          <w:rFonts w:asciiTheme="minorHAnsi" w:hAnsiTheme="minorHAnsi"/>
        </w:rPr>
        <w:t>“street time”</w:t>
      </w:r>
      <w:r w:rsidRPr="0068098B">
        <w:rPr>
          <w:rFonts w:asciiTheme="minorHAnsi" w:hAnsiTheme="minorHAnsi"/>
        </w:rPr>
        <w:t xml:space="preserve"> depends upon whether the law of the relevant State or Territory</w:t>
      </w:r>
      <w:r w:rsidR="00294D4A" w:rsidRPr="0068098B">
        <w:rPr>
          <w:rFonts w:asciiTheme="minorHAnsi" w:hAnsiTheme="minorHAnsi"/>
        </w:rPr>
        <w:t xml:space="preserve"> “</w:t>
      </w:r>
      <w:r w:rsidR="00294D4A" w:rsidRPr="0068098B">
        <w:rPr>
          <w:rFonts w:asciiTheme="minorHAnsi" w:hAnsiTheme="minorHAnsi"/>
          <w:i/>
          <w:color w:val="000000"/>
          <w:szCs w:val="22"/>
          <w:lang w:eastAsia="en-AU"/>
        </w:rPr>
        <w:t>provides that a person is to be taken to be serving a State or Territory sentence during the period from the time of release under a parole order or licence (however called) until the parole order or licence is, or is taken to be, revoked</w:t>
      </w:r>
      <w:r w:rsidR="00294D4A" w:rsidRPr="0068098B">
        <w:rPr>
          <w:rFonts w:asciiTheme="minorHAnsi" w:hAnsiTheme="minorHAnsi"/>
        </w:rPr>
        <w:t>” (s 19AA(2)) and for that reason is to be taken to (or otherwise does) relevantly provide “</w:t>
      </w:r>
      <w:r w:rsidR="00294D4A" w:rsidRPr="0068098B">
        <w:rPr>
          <w:rFonts w:asciiTheme="minorHAnsi" w:hAnsiTheme="minorHAnsi"/>
          <w:i/>
        </w:rPr>
        <w:t>for the remission or reduction of State or Territory sentences</w:t>
      </w:r>
      <w:r w:rsidR="00294D4A" w:rsidRPr="0068098B">
        <w:rPr>
          <w:rFonts w:asciiTheme="minorHAnsi" w:hAnsiTheme="minorHAnsi"/>
          <w:iCs/>
        </w:rPr>
        <w:t>” (s 19AA(1)).</w:t>
      </w:r>
    </w:p>
    <w:p w14:paraId="07C703E1" w14:textId="6AEED71F" w:rsidR="0031431C" w:rsidRPr="0068098B" w:rsidRDefault="0031431C">
      <w:pPr>
        <w:spacing w:line="276" w:lineRule="auto"/>
        <w:rPr>
          <w:rFonts w:asciiTheme="minorHAnsi" w:hAnsiTheme="minorHAnsi"/>
        </w:rPr>
      </w:pPr>
    </w:p>
    <w:p w14:paraId="60243186" w14:textId="741C5DFD" w:rsidR="00E62348" w:rsidRPr="0068098B" w:rsidRDefault="00E62348" w:rsidP="00E62348">
      <w:pPr>
        <w:keepNext/>
        <w:spacing w:line="276" w:lineRule="auto"/>
        <w:rPr>
          <w:rFonts w:asciiTheme="minorHAnsi" w:hAnsiTheme="minorHAnsi"/>
          <w:i/>
        </w:rPr>
      </w:pPr>
      <w:r w:rsidRPr="0068098B">
        <w:rPr>
          <w:rFonts w:asciiTheme="minorHAnsi" w:hAnsiTheme="minorHAnsi"/>
          <w:i/>
        </w:rPr>
        <w:t xml:space="preserve">Which jurisdictions have laws which provide for reduction for </w:t>
      </w:r>
      <w:r w:rsidR="008D2973" w:rsidRPr="0068098B">
        <w:rPr>
          <w:rFonts w:asciiTheme="minorHAnsi" w:hAnsiTheme="minorHAnsi"/>
          <w:i/>
        </w:rPr>
        <w:t>“street time”</w:t>
      </w:r>
      <w:r w:rsidRPr="0068098B">
        <w:rPr>
          <w:rFonts w:asciiTheme="minorHAnsi" w:hAnsiTheme="minorHAnsi"/>
          <w:i/>
        </w:rPr>
        <w:t>?</w:t>
      </w:r>
    </w:p>
    <w:p w14:paraId="59E0F1B7" w14:textId="77777777" w:rsidR="001F3B61" w:rsidRPr="0068098B" w:rsidRDefault="001F3B61" w:rsidP="001F3B61">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The regimes under State or Territory law are as follows:</w:t>
      </w:r>
    </w:p>
    <w:p w14:paraId="25A5D3C5" w14:textId="77777777" w:rsidR="001F3B61" w:rsidRPr="0068098B" w:rsidRDefault="001F3B61" w:rsidP="001F3B61">
      <w:pPr>
        <w:pStyle w:val="ListParagraph"/>
        <w:numPr>
          <w:ilvl w:val="0"/>
          <w:numId w:val="146"/>
        </w:numPr>
        <w:spacing w:line="276" w:lineRule="auto"/>
        <w:ind w:left="992" w:hanging="425"/>
        <w:rPr>
          <w:rFonts w:asciiTheme="minorHAnsi" w:hAnsiTheme="minorHAnsi"/>
        </w:rPr>
      </w:pPr>
      <w:r w:rsidRPr="0068098B">
        <w:rPr>
          <w:rFonts w:asciiTheme="minorHAnsi" w:hAnsiTheme="minorHAnsi"/>
        </w:rPr>
        <w:t>New South Wales, Queensland, Western Australia and South Australia each has legislation</w:t>
      </w:r>
      <w:r w:rsidRPr="0068098B">
        <w:rPr>
          <w:rStyle w:val="Style"/>
          <w:rFonts w:asciiTheme="minorHAnsi" w:hAnsiTheme="minorHAnsi"/>
        </w:rPr>
        <w:footnoteReference w:id="920"/>
      </w:r>
      <w:r w:rsidRPr="0068098B">
        <w:rPr>
          <w:rFonts w:asciiTheme="minorHAnsi" w:hAnsiTheme="minorHAnsi"/>
        </w:rPr>
        <w:t xml:space="preserve"> of a type which falls within s 19AA(2).  That is, those provisions directly provide that a person is taken to be serving a sentence between the time of release on parole and the time of revocation of the parole.</w:t>
      </w:r>
    </w:p>
    <w:p w14:paraId="65BA01AF" w14:textId="6DBFEFDB" w:rsidR="001F3B61" w:rsidRPr="0068098B" w:rsidRDefault="001F3B61" w:rsidP="001F3B61">
      <w:pPr>
        <w:pStyle w:val="ListParagraph"/>
        <w:numPr>
          <w:ilvl w:val="0"/>
          <w:numId w:val="146"/>
        </w:numPr>
        <w:spacing w:line="276" w:lineRule="auto"/>
        <w:ind w:left="992" w:hanging="425"/>
        <w:rPr>
          <w:rFonts w:asciiTheme="minorHAnsi" w:hAnsiTheme="minorHAnsi"/>
        </w:rPr>
      </w:pPr>
      <w:r w:rsidRPr="0068098B">
        <w:rPr>
          <w:rFonts w:asciiTheme="minorHAnsi" w:hAnsiTheme="minorHAnsi"/>
        </w:rPr>
        <w:t xml:space="preserve">The legislation in the Northern Territory and the ACT do not </w:t>
      </w:r>
      <w:r w:rsidR="00FA24A6" w:rsidRPr="0068098B">
        <w:rPr>
          <w:rFonts w:asciiTheme="minorHAnsi" w:hAnsiTheme="minorHAnsi"/>
        </w:rPr>
        <w:t>so provide.</w:t>
      </w:r>
      <w:r w:rsidR="00FA24A6" w:rsidRPr="0068098B">
        <w:rPr>
          <w:rStyle w:val="Style"/>
          <w:rFonts w:asciiTheme="minorHAnsi" w:hAnsiTheme="minorHAnsi"/>
        </w:rPr>
        <w:footnoteReference w:id="921"/>
      </w:r>
      <w:r w:rsidR="00FA24A6" w:rsidRPr="0068098B">
        <w:rPr>
          <w:rFonts w:asciiTheme="minorHAnsi" w:hAnsiTheme="minorHAnsi"/>
        </w:rPr>
        <w:t xml:space="preserve">  Th</w:t>
      </w:r>
      <w:r w:rsidR="00AE1201" w:rsidRPr="0068098B">
        <w:rPr>
          <w:rFonts w:asciiTheme="minorHAnsi" w:hAnsiTheme="minorHAnsi"/>
        </w:rPr>
        <w:t>ose laws</w:t>
      </w:r>
      <w:r w:rsidR="00FA24A6" w:rsidRPr="0068098B">
        <w:rPr>
          <w:rFonts w:asciiTheme="minorHAnsi" w:hAnsiTheme="minorHAnsi"/>
        </w:rPr>
        <w:t xml:space="preserve"> do not </w:t>
      </w:r>
      <w:r w:rsidRPr="0068098B">
        <w:rPr>
          <w:rFonts w:asciiTheme="minorHAnsi" w:hAnsiTheme="minorHAnsi"/>
        </w:rPr>
        <w:t xml:space="preserve">give any credit for </w:t>
      </w:r>
      <w:r w:rsidR="008D2973" w:rsidRPr="0068098B">
        <w:rPr>
          <w:rFonts w:asciiTheme="minorHAnsi" w:hAnsiTheme="minorHAnsi"/>
        </w:rPr>
        <w:t>“street time”</w:t>
      </w:r>
      <w:r w:rsidRPr="0068098B">
        <w:rPr>
          <w:rFonts w:asciiTheme="minorHAnsi" w:hAnsiTheme="minorHAnsi"/>
        </w:rPr>
        <w:t>.</w:t>
      </w:r>
    </w:p>
    <w:p w14:paraId="2BDF7D9A" w14:textId="015BB160" w:rsidR="001F3B61" w:rsidRPr="0068098B" w:rsidRDefault="001F3B61" w:rsidP="001F3B61">
      <w:pPr>
        <w:pStyle w:val="ListParagraph"/>
        <w:numPr>
          <w:ilvl w:val="0"/>
          <w:numId w:val="146"/>
        </w:numPr>
        <w:spacing w:line="276" w:lineRule="auto"/>
        <w:ind w:left="992" w:hanging="425"/>
        <w:rPr>
          <w:rFonts w:asciiTheme="minorHAnsi" w:hAnsiTheme="minorHAnsi"/>
        </w:rPr>
      </w:pPr>
      <w:r w:rsidRPr="0068098B">
        <w:rPr>
          <w:rFonts w:asciiTheme="minorHAnsi" w:hAnsiTheme="minorHAnsi"/>
        </w:rPr>
        <w:t xml:space="preserve">The position in Victoria and Tasmania is less clear, but the laws </w:t>
      </w:r>
      <w:r w:rsidR="00AE1201" w:rsidRPr="0068098B">
        <w:rPr>
          <w:rFonts w:asciiTheme="minorHAnsi" w:hAnsiTheme="minorHAnsi"/>
        </w:rPr>
        <w:t xml:space="preserve">in those States </w:t>
      </w:r>
      <w:r w:rsidRPr="0068098B">
        <w:rPr>
          <w:rFonts w:asciiTheme="minorHAnsi" w:hAnsiTheme="minorHAnsi"/>
        </w:rPr>
        <w:t xml:space="preserve">do not appear to be of a kind </w:t>
      </w:r>
      <w:r w:rsidR="000F557E" w:rsidRPr="0068098B">
        <w:rPr>
          <w:rFonts w:asciiTheme="minorHAnsi" w:hAnsiTheme="minorHAnsi"/>
        </w:rPr>
        <w:t>described in</w:t>
      </w:r>
      <w:r w:rsidRPr="0068098B">
        <w:rPr>
          <w:rFonts w:asciiTheme="minorHAnsi" w:hAnsiTheme="minorHAnsi"/>
        </w:rPr>
        <w:t xml:space="preserve"> s 19AA(1) or (2).  The </w:t>
      </w:r>
      <w:r w:rsidR="006118B3" w:rsidRPr="0068098B">
        <w:rPr>
          <w:rFonts w:asciiTheme="minorHAnsi" w:hAnsiTheme="minorHAnsi"/>
        </w:rPr>
        <w:t xml:space="preserve">relevant State </w:t>
      </w:r>
      <w:r w:rsidRPr="0068098B">
        <w:rPr>
          <w:rFonts w:asciiTheme="minorHAnsi" w:hAnsiTheme="minorHAnsi"/>
        </w:rPr>
        <w:t>laws</w:t>
      </w:r>
      <w:r w:rsidR="006118B3" w:rsidRPr="0068098B">
        <w:rPr>
          <w:rStyle w:val="Style"/>
          <w:rFonts w:asciiTheme="minorHAnsi" w:hAnsiTheme="minorHAnsi"/>
        </w:rPr>
        <w:footnoteReference w:id="922"/>
      </w:r>
      <w:r w:rsidRPr="0068098B">
        <w:rPr>
          <w:rFonts w:asciiTheme="minorHAnsi" w:hAnsiTheme="minorHAnsi"/>
        </w:rPr>
        <w:t xml:space="preserve"> provide no entitlement to credit for </w:t>
      </w:r>
      <w:r w:rsidR="008D2973" w:rsidRPr="0068098B">
        <w:rPr>
          <w:rFonts w:asciiTheme="minorHAnsi" w:hAnsiTheme="minorHAnsi"/>
        </w:rPr>
        <w:t>“street time”</w:t>
      </w:r>
      <w:r w:rsidRPr="0068098B">
        <w:rPr>
          <w:rFonts w:asciiTheme="minorHAnsi" w:hAnsiTheme="minorHAnsi"/>
        </w:rPr>
        <w:t>.  Instead, any credit to be given for time on parole to be treated as time served is a matter within the discretion of the State parole board.  That is, the State laws do not themselves</w:t>
      </w:r>
      <w:r w:rsidRPr="0068098B">
        <w:rPr>
          <w:rFonts w:asciiTheme="minorHAnsi" w:hAnsiTheme="minorHAnsi"/>
          <w:iCs/>
        </w:rPr>
        <w:t xml:space="preserve"> </w:t>
      </w:r>
      <w:r w:rsidRPr="0068098B">
        <w:rPr>
          <w:rFonts w:asciiTheme="minorHAnsi" w:hAnsiTheme="minorHAnsi"/>
          <w:iCs/>
          <w:color w:val="000000"/>
          <w:szCs w:val="22"/>
          <w:lang w:eastAsia="en-AU"/>
        </w:rPr>
        <w:t>provide</w:t>
      </w:r>
      <w:r w:rsidRPr="0068098B">
        <w:rPr>
          <w:rFonts w:asciiTheme="minorHAnsi" w:hAnsiTheme="minorHAnsi"/>
          <w:i/>
          <w:color w:val="000000"/>
          <w:szCs w:val="22"/>
          <w:lang w:eastAsia="en-AU"/>
        </w:rPr>
        <w:t xml:space="preserve"> </w:t>
      </w:r>
      <w:r w:rsidRPr="0068098B">
        <w:rPr>
          <w:rFonts w:asciiTheme="minorHAnsi" w:hAnsiTheme="minorHAnsi"/>
          <w:iCs/>
          <w:color w:val="000000"/>
          <w:szCs w:val="22"/>
          <w:lang w:eastAsia="en-AU"/>
        </w:rPr>
        <w:t>“</w:t>
      </w:r>
      <w:r w:rsidRPr="0068098B">
        <w:rPr>
          <w:rFonts w:asciiTheme="minorHAnsi" w:hAnsiTheme="minorHAnsi"/>
          <w:i/>
          <w:color w:val="000000"/>
          <w:szCs w:val="22"/>
          <w:lang w:eastAsia="en-AU"/>
        </w:rPr>
        <w:t>that a person is to be taken to be serving a State … sentence during the period from the time of release under a parole order or licence (however called) until the parole order or licence</w:t>
      </w:r>
      <w:r w:rsidRPr="0068098B">
        <w:rPr>
          <w:rFonts w:asciiTheme="minorHAnsi" w:hAnsiTheme="minorHAnsi"/>
        </w:rPr>
        <w:t xml:space="preserve"> </w:t>
      </w:r>
      <w:r w:rsidRPr="0068098B">
        <w:rPr>
          <w:rFonts w:asciiTheme="minorHAnsi" w:hAnsiTheme="minorHAnsi"/>
          <w:i/>
          <w:color w:val="000000"/>
          <w:szCs w:val="22"/>
          <w:lang w:eastAsia="en-AU"/>
        </w:rPr>
        <w:t>is, or is taken to be, revoked</w:t>
      </w:r>
      <w:r w:rsidRPr="0068098B">
        <w:rPr>
          <w:rFonts w:asciiTheme="minorHAnsi" w:hAnsiTheme="minorHAnsi"/>
          <w:i/>
          <w:iCs/>
        </w:rPr>
        <w:t>”</w:t>
      </w:r>
      <w:r w:rsidRPr="0068098B">
        <w:rPr>
          <w:rFonts w:asciiTheme="minorHAnsi" w:hAnsiTheme="minorHAnsi"/>
        </w:rPr>
        <w:t xml:space="preserve"> (s 19AA(2)); they do no more than allow a parole authority to make a direction to that effect.  Nor can the State laws be said </w:t>
      </w:r>
      <w:r w:rsidR="002E367C" w:rsidRPr="0068098B">
        <w:rPr>
          <w:rFonts w:asciiTheme="minorHAnsi" w:hAnsiTheme="minorHAnsi"/>
        </w:rPr>
        <w:t xml:space="preserve">otherwise </w:t>
      </w:r>
      <w:r w:rsidRPr="0068098B">
        <w:rPr>
          <w:rFonts w:asciiTheme="minorHAnsi" w:hAnsiTheme="minorHAnsi"/>
        </w:rPr>
        <w:t>to ‘provide for’ the remission or reduction of State sentence</w:t>
      </w:r>
      <w:r w:rsidRPr="0068098B">
        <w:rPr>
          <w:rFonts w:asciiTheme="minorHAnsi" w:hAnsiTheme="minorHAnsi"/>
          <w:i/>
        </w:rPr>
        <w:t>s</w:t>
      </w:r>
      <w:r w:rsidRPr="0068098B">
        <w:rPr>
          <w:rFonts w:asciiTheme="minorHAnsi" w:hAnsiTheme="minorHAnsi"/>
        </w:rPr>
        <w:t xml:space="preserve"> within s 19AA(1).  The scheme of ss 19AA(1) and (2) and 19Q(5) of the </w:t>
      </w:r>
      <w:r w:rsidRPr="0068098B">
        <w:rPr>
          <w:rFonts w:asciiTheme="minorHAnsi" w:hAnsiTheme="minorHAnsi"/>
          <w:i/>
          <w:iCs/>
        </w:rPr>
        <w:t>Crimes Act 1914</w:t>
      </w:r>
      <w:r w:rsidRPr="0068098B">
        <w:rPr>
          <w:rFonts w:asciiTheme="minorHAnsi" w:hAnsiTheme="minorHAnsi"/>
        </w:rPr>
        <w:t xml:space="preserve"> is, relevantly, to apply State or Territory </w:t>
      </w:r>
      <w:r w:rsidRPr="0068098B">
        <w:rPr>
          <w:rFonts w:asciiTheme="minorHAnsi" w:hAnsiTheme="minorHAnsi"/>
          <w:i/>
          <w:iCs/>
        </w:rPr>
        <w:t>laws</w:t>
      </w:r>
      <w:r w:rsidRPr="0068098B">
        <w:rPr>
          <w:rFonts w:asciiTheme="minorHAnsi" w:hAnsiTheme="minorHAnsi"/>
        </w:rPr>
        <w:t xml:space="preserve"> which make specific provision for crediting </w:t>
      </w:r>
      <w:r w:rsidR="008D2973" w:rsidRPr="0068098B">
        <w:rPr>
          <w:rFonts w:asciiTheme="minorHAnsi" w:hAnsiTheme="minorHAnsi"/>
        </w:rPr>
        <w:t>“street time”</w:t>
      </w:r>
      <w:r w:rsidRPr="0068098B">
        <w:rPr>
          <w:rFonts w:asciiTheme="minorHAnsi" w:hAnsiTheme="minorHAnsi"/>
        </w:rPr>
        <w:t xml:space="preserve">, not </w:t>
      </w:r>
      <w:r w:rsidRPr="0068098B">
        <w:rPr>
          <w:rFonts w:asciiTheme="minorHAnsi" w:hAnsiTheme="minorHAnsi"/>
          <w:i/>
          <w:iCs/>
        </w:rPr>
        <w:t>executive decisions</w:t>
      </w:r>
      <w:r w:rsidRPr="0068098B">
        <w:rPr>
          <w:rFonts w:asciiTheme="minorHAnsi" w:hAnsiTheme="minorHAnsi"/>
        </w:rPr>
        <w:t xml:space="preserve"> under State laws.  It is necessary that the period of time which remains to be served upon the automatic revocation of parole be capable of calculation with certainty from the moment of revocation.  </w:t>
      </w:r>
      <w:r w:rsidR="000F557E" w:rsidRPr="0068098B">
        <w:rPr>
          <w:rFonts w:asciiTheme="minorHAnsi" w:hAnsiTheme="minorHAnsi"/>
        </w:rPr>
        <w:t xml:space="preserve">The </w:t>
      </w:r>
      <w:r w:rsidRPr="0068098B">
        <w:rPr>
          <w:rFonts w:asciiTheme="minorHAnsi" w:hAnsiTheme="minorHAnsi"/>
        </w:rPr>
        <w:t>court which sentences the offender for the breaching offence must know the period which remains to be served, in order to comply with the applicable requirements of s 19AR and s 19AA(3) and in order to apply the principle of totality.</w:t>
      </w:r>
      <w:r w:rsidR="000F557E" w:rsidRPr="0068098B">
        <w:rPr>
          <w:rFonts w:asciiTheme="minorHAnsi" w:hAnsiTheme="minorHAnsi"/>
        </w:rPr>
        <w:t xml:space="preserve">  In a case of revocation by the Attorney-General, the period remaining to be served must be capable of calculation by the magistrate under s 19AW, both for specification in the warrant of detention and in order to fix a new NPP.  Therefore the scheme cannot be read as applying State laws which provide for determination of these matters by a State administrative body.</w:t>
      </w:r>
    </w:p>
    <w:p w14:paraId="37E24D6B" w14:textId="77777777" w:rsidR="001F3B61" w:rsidRPr="0068098B" w:rsidRDefault="001F3B61" w:rsidP="001F3B61">
      <w:pPr>
        <w:pStyle w:val="ListParagraph"/>
        <w:rPr>
          <w:rFonts w:asciiTheme="minorHAnsi" w:hAnsiTheme="minorHAnsi"/>
        </w:rPr>
      </w:pPr>
    </w:p>
    <w:p w14:paraId="7FC0DEDB" w14:textId="574326A0" w:rsidR="001F3B61" w:rsidRPr="0068098B" w:rsidRDefault="001F3B61" w:rsidP="001F3B61">
      <w:pPr>
        <w:keepNext/>
        <w:spacing w:line="276" w:lineRule="auto"/>
        <w:rPr>
          <w:rFonts w:asciiTheme="minorHAnsi" w:hAnsiTheme="minorHAnsi"/>
          <w:i/>
        </w:rPr>
      </w:pPr>
      <w:r w:rsidRPr="0068098B">
        <w:rPr>
          <w:rFonts w:asciiTheme="minorHAnsi" w:hAnsiTheme="minorHAnsi"/>
          <w:i/>
        </w:rPr>
        <w:t xml:space="preserve">Calculating the </w:t>
      </w:r>
      <w:r w:rsidR="008D2973" w:rsidRPr="0068098B">
        <w:rPr>
          <w:rFonts w:asciiTheme="minorHAnsi" w:hAnsiTheme="minorHAnsi"/>
          <w:i/>
        </w:rPr>
        <w:t>“street time”</w:t>
      </w:r>
      <w:r w:rsidR="00E62348" w:rsidRPr="0068098B">
        <w:rPr>
          <w:rFonts w:asciiTheme="minorHAnsi" w:hAnsiTheme="minorHAnsi"/>
          <w:i/>
        </w:rPr>
        <w:t xml:space="preserve"> where an automatic reduction applies</w:t>
      </w:r>
    </w:p>
    <w:p w14:paraId="759CBDC1" w14:textId="35B686A4" w:rsidR="00407DBE" w:rsidRPr="0068098B" w:rsidRDefault="001F3B61" w:rsidP="001F3B61">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Where State law provides for </w:t>
      </w:r>
      <w:r w:rsidR="008D2973" w:rsidRPr="0068098B">
        <w:rPr>
          <w:rFonts w:asciiTheme="minorHAnsi" w:hAnsiTheme="minorHAnsi"/>
        </w:rPr>
        <w:t>“street time”</w:t>
      </w:r>
      <w:r w:rsidRPr="0068098B">
        <w:rPr>
          <w:rFonts w:asciiTheme="minorHAnsi" w:hAnsiTheme="minorHAnsi"/>
        </w:rPr>
        <w:t xml:space="preserve"> to be credited, a further issue may arise as to the basis of calculation in cases of automatic revocation.  In its 2006 report on federal sentencing,</w:t>
      </w:r>
      <w:r w:rsidRPr="0068098B">
        <w:rPr>
          <w:rStyle w:val="Style"/>
          <w:rFonts w:asciiTheme="minorHAnsi" w:hAnsiTheme="minorHAnsi"/>
        </w:rPr>
        <w:footnoteReference w:id="923"/>
      </w:r>
      <w:r w:rsidRPr="0068098B">
        <w:rPr>
          <w:rFonts w:asciiTheme="minorHAnsi" w:hAnsiTheme="minorHAnsi"/>
        </w:rPr>
        <w:t xml:space="preserve"> the </w:t>
      </w:r>
      <w:r w:rsidRPr="0068098B">
        <w:rPr>
          <w:rFonts w:asciiTheme="minorHAnsi" w:hAnsiTheme="minorHAnsi" w:cstheme="minorHAnsi"/>
        </w:rPr>
        <w:t>Australian Law Reform Commission</w:t>
      </w:r>
      <w:r w:rsidRPr="0068098B">
        <w:rPr>
          <w:rFonts w:asciiTheme="minorHAnsi" w:hAnsiTheme="minorHAnsi"/>
        </w:rPr>
        <w:t xml:space="preserve"> noted that </w:t>
      </w:r>
      <w:r w:rsidR="008D2973" w:rsidRPr="0068098B">
        <w:rPr>
          <w:rFonts w:asciiTheme="minorHAnsi" w:hAnsiTheme="minorHAnsi"/>
        </w:rPr>
        <w:t>“street time”</w:t>
      </w:r>
      <w:r w:rsidRPr="0068098B">
        <w:rPr>
          <w:rFonts w:asciiTheme="minorHAnsi" w:hAnsiTheme="minorHAnsi"/>
        </w:rPr>
        <w:t xml:space="preserve"> for federal offenders is calculated from the date of release on parole to the date of revocation.  </w:t>
      </w:r>
      <w:r w:rsidR="00A00E81" w:rsidRPr="0068098B">
        <w:rPr>
          <w:rFonts w:asciiTheme="minorHAnsi" w:hAnsiTheme="minorHAnsi"/>
        </w:rPr>
        <w:t xml:space="preserve">Automatic revocation of a </w:t>
      </w:r>
      <w:r w:rsidRPr="0068098B">
        <w:rPr>
          <w:rFonts w:asciiTheme="minorHAnsi" w:hAnsiTheme="minorHAnsi"/>
        </w:rPr>
        <w:t xml:space="preserve">federal parole order </w:t>
      </w:r>
      <w:r w:rsidR="00A00E81" w:rsidRPr="0068098B">
        <w:rPr>
          <w:rFonts w:asciiTheme="minorHAnsi" w:hAnsiTheme="minorHAnsi"/>
        </w:rPr>
        <w:t>occurs, not at the time of committing the offence while on parole, but only</w:t>
      </w:r>
      <w:r w:rsidRPr="0068098B">
        <w:rPr>
          <w:rFonts w:asciiTheme="minorHAnsi" w:hAnsiTheme="minorHAnsi"/>
        </w:rPr>
        <w:t xml:space="preserve"> when the offender is actually sentenced for th</w:t>
      </w:r>
      <w:r w:rsidR="00A00E81" w:rsidRPr="0068098B">
        <w:rPr>
          <w:rFonts w:asciiTheme="minorHAnsi" w:hAnsiTheme="minorHAnsi"/>
        </w:rPr>
        <w:t>at</w:t>
      </w:r>
      <w:r w:rsidRPr="0068098B">
        <w:rPr>
          <w:rFonts w:asciiTheme="minorHAnsi" w:hAnsiTheme="minorHAnsi"/>
        </w:rPr>
        <w:t xml:space="preserve"> offence.  If sentencing </w:t>
      </w:r>
      <w:r w:rsidR="0022762B" w:rsidRPr="0068098B">
        <w:rPr>
          <w:rFonts w:asciiTheme="minorHAnsi" w:hAnsiTheme="minorHAnsi"/>
        </w:rPr>
        <w:t xml:space="preserve">for a breaching offence </w:t>
      </w:r>
      <w:r w:rsidRPr="0068098B">
        <w:rPr>
          <w:rFonts w:asciiTheme="minorHAnsi" w:hAnsiTheme="minorHAnsi"/>
        </w:rPr>
        <w:t>occurs after expiry of the parole period, revocation is deemed to have occurred at the end of the parole period.  The practical effect is that</w:t>
      </w:r>
      <w:r w:rsidR="00A00E81" w:rsidRPr="0068098B">
        <w:rPr>
          <w:rFonts w:asciiTheme="minorHAnsi" w:hAnsiTheme="minorHAnsi"/>
        </w:rPr>
        <w:t>, in those jursidctions whose laws provide for autom</w:t>
      </w:r>
      <w:r w:rsidR="00407DBE" w:rsidRPr="0068098B">
        <w:rPr>
          <w:rFonts w:asciiTheme="minorHAnsi" w:hAnsiTheme="minorHAnsi"/>
        </w:rPr>
        <w:t xml:space="preserve">atic credit for </w:t>
      </w:r>
      <w:r w:rsidR="008D2973" w:rsidRPr="0068098B">
        <w:rPr>
          <w:rFonts w:asciiTheme="minorHAnsi" w:hAnsiTheme="minorHAnsi"/>
        </w:rPr>
        <w:t>“street time”</w:t>
      </w:r>
      <w:r w:rsidR="00407DBE" w:rsidRPr="0068098B">
        <w:rPr>
          <w:rFonts w:asciiTheme="minorHAnsi" w:hAnsiTheme="minorHAnsi"/>
        </w:rPr>
        <w:t xml:space="preserve"> (New South Wales, Queensland, Western Australia and South Australia)</w:t>
      </w:r>
      <w:r w:rsidR="0022762B" w:rsidRPr="0068098B">
        <w:rPr>
          <w:rFonts w:asciiTheme="minorHAnsi" w:hAnsiTheme="minorHAnsi"/>
        </w:rPr>
        <w:t>, if the offender is sentenced for a breaching offence (that is, an offence committed during the parole period) after the expiry of the parole period,</w:t>
      </w:r>
      <w:r w:rsidRPr="0068098B">
        <w:rPr>
          <w:rFonts w:asciiTheme="minorHAnsi" w:hAnsiTheme="minorHAnsi"/>
        </w:rPr>
        <w:t xml:space="preserve"> the whole (expired) parole period will be </w:t>
      </w:r>
      <w:r w:rsidR="0022762B" w:rsidRPr="0068098B">
        <w:rPr>
          <w:rFonts w:asciiTheme="minorHAnsi" w:hAnsiTheme="minorHAnsi"/>
        </w:rPr>
        <w:t xml:space="preserve">automatically </w:t>
      </w:r>
      <w:r w:rsidRPr="0068098B">
        <w:rPr>
          <w:rFonts w:asciiTheme="minorHAnsi" w:hAnsiTheme="minorHAnsi"/>
        </w:rPr>
        <w:t xml:space="preserve">credited as </w:t>
      </w:r>
      <w:r w:rsidR="008D2973" w:rsidRPr="0068098B">
        <w:rPr>
          <w:rFonts w:asciiTheme="minorHAnsi" w:hAnsiTheme="minorHAnsi"/>
        </w:rPr>
        <w:t>“street time”</w:t>
      </w:r>
      <w:r w:rsidRPr="0068098B">
        <w:rPr>
          <w:rFonts w:asciiTheme="minorHAnsi" w:hAnsiTheme="minorHAnsi"/>
        </w:rPr>
        <w:t>.</w:t>
      </w:r>
    </w:p>
    <w:p w14:paraId="117CD4E1" w14:textId="77777777" w:rsidR="00407DBE" w:rsidRPr="0068098B" w:rsidRDefault="00407DBE" w:rsidP="00EB7F1E">
      <w:pPr>
        <w:spacing w:line="276" w:lineRule="auto"/>
        <w:rPr>
          <w:rFonts w:asciiTheme="minorHAnsi" w:hAnsiTheme="minorHAnsi"/>
        </w:rPr>
      </w:pPr>
    </w:p>
    <w:p w14:paraId="2532615C" w14:textId="7CE48B54" w:rsidR="001F3B61" w:rsidRPr="0068098B" w:rsidRDefault="00407DBE" w:rsidP="001F3B61">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This position may be contrasted with the position which applies to State offenders.</w:t>
      </w:r>
      <w:r w:rsidR="001F3B61" w:rsidRPr="0068098B">
        <w:rPr>
          <w:rFonts w:asciiTheme="minorHAnsi" w:hAnsiTheme="minorHAnsi"/>
        </w:rPr>
        <w:t xml:space="preserve">  </w:t>
      </w:r>
      <w:r w:rsidRPr="0068098B">
        <w:rPr>
          <w:rFonts w:asciiTheme="minorHAnsi" w:hAnsiTheme="minorHAnsi"/>
        </w:rPr>
        <w:t>For example</w:t>
      </w:r>
      <w:r w:rsidR="001F3B61" w:rsidRPr="0068098B">
        <w:rPr>
          <w:rFonts w:asciiTheme="minorHAnsi" w:hAnsiTheme="minorHAnsi"/>
        </w:rPr>
        <w:t xml:space="preserve">, </w:t>
      </w:r>
      <w:r w:rsidRPr="0068098B">
        <w:rPr>
          <w:rFonts w:asciiTheme="minorHAnsi" w:hAnsiTheme="minorHAnsi"/>
        </w:rPr>
        <w:t xml:space="preserve">in </w:t>
      </w:r>
      <w:r w:rsidR="001F3B61" w:rsidRPr="0068098B">
        <w:rPr>
          <w:rFonts w:asciiTheme="minorHAnsi" w:hAnsiTheme="minorHAnsi"/>
        </w:rPr>
        <w:t>New South Wales</w:t>
      </w:r>
      <w:r w:rsidRPr="0068098B">
        <w:rPr>
          <w:rFonts w:asciiTheme="minorHAnsi" w:hAnsiTheme="minorHAnsi"/>
        </w:rPr>
        <w:t>,</w:t>
      </w:r>
      <w:r w:rsidR="001F3B61" w:rsidRPr="0068098B">
        <w:rPr>
          <w:rFonts w:asciiTheme="minorHAnsi" w:hAnsiTheme="minorHAnsi"/>
        </w:rPr>
        <w:t xml:space="preserve"> </w:t>
      </w:r>
      <w:r w:rsidRPr="0068098B">
        <w:rPr>
          <w:rFonts w:asciiTheme="minorHAnsi" w:hAnsiTheme="minorHAnsi"/>
        </w:rPr>
        <w:t xml:space="preserve">a </w:t>
      </w:r>
      <w:r w:rsidR="008B4046" w:rsidRPr="0068098B">
        <w:rPr>
          <w:rFonts w:asciiTheme="minorHAnsi" w:hAnsiTheme="minorHAnsi"/>
        </w:rPr>
        <w:t xml:space="preserve">State </w:t>
      </w:r>
      <w:r w:rsidRPr="0068098B">
        <w:rPr>
          <w:rFonts w:asciiTheme="minorHAnsi" w:hAnsiTheme="minorHAnsi"/>
        </w:rPr>
        <w:t xml:space="preserve">offender’s parole is deemed to have been revoked at the time of the first breach of parole conditions.  Therefore the offender will be credited with </w:t>
      </w:r>
      <w:r w:rsidR="008D2973" w:rsidRPr="0068098B">
        <w:rPr>
          <w:rFonts w:asciiTheme="minorHAnsi" w:hAnsiTheme="minorHAnsi"/>
        </w:rPr>
        <w:t>“street time”</w:t>
      </w:r>
      <w:r w:rsidR="001F3B61" w:rsidRPr="0068098B">
        <w:rPr>
          <w:rFonts w:asciiTheme="minorHAnsi" w:hAnsiTheme="minorHAnsi"/>
        </w:rPr>
        <w:t xml:space="preserve"> </w:t>
      </w:r>
      <w:r w:rsidRPr="0068098B">
        <w:rPr>
          <w:rFonts w:asciiTheme="minorHAnsi" w:hAnsiTheme="minorHAnsi"/>
        </w:rPr>
        <w:t xml:space="preserve">only </w:t>
      </w:r>
      <w:r w:rsidR="001F3B61" w:rsidRPr="0068098B">
        <w:rPr>
          <w:rFonts w:asciiTheme="minorHAnsi" w:hAnsiTheme="minorHAnsi"/>
        </w:rPr>
        <w:t xml:space="preserve">from the date of release on parole to the date of the first offence committed on parole.  </w:t>
      </w:r>
      <w:r w:rsidR="008B4046" w:rsidRPr="0068098B">
        <w:rPr>
          <w:rFonts w:asciiTheme="minorHAnsi" w:hAnsiTheme="minorHAnsi"/>
        </w:rPr>
        <w:t xml:space="preserve">If the State offender commits an offence on the first day of release on parole, the offender may be entitled to no credit for any time on parole.  </w:t>
      </w:r>
      <w:r w:rsidR="00FE76BD" w:rsidRPr="0068098B">
        <w:rPr>
          <w:rFonts w:asciiTheme="minorHAnsi" w:hAnsiTheme="minorHAnsi"/>
        </w:rPr>
        <w:t>By contrast, if</w:t>
      </w:r>
      <w:r w:rsidR="008B4046" w:rsidRPr="0068098B">
        <w:rPr>
          <w:rFonts w:asciiTheme="minorHAnsi" w:hAnsiTheme="minorHAnsi"/>
        </w:rPr>
        <w:t xml:space="preserve"> a federal offender in New South Wales commits an offence on the first day of release on parole, any automatic revocation of parole will not occur until the offender is sentenced for that offence</w:t>
      </w:r>
      <w:r w:rsidR="00FE76BD" w:rsidRPr="0068098B">
        <w:rPr>
          <w:rFonts w:asciiTheme="minorHAnsi" w:hAnsiTheme="minorHAnsi"/>
        </w:rPr>
        <w:t>;</w:t>
      </w:r>
      <w:r w:rsidR="00B4594C" w:rsidRPr="0068098B">
        <w:rPr>
          <w:rFonts w:asciiTheme="minorHAnsi" w:hAnsiTheme="minorHAnsi"/>
        </w:rPr>
        <w:t xml:space="preserve"> the whole of the intervening period will be credited to the</w:t>
      </w:r>
      <w:r w:rsidR="008B4046" w:rsidRPr="0068098B">
        <w:rPr>
          <w:rFonts w:asciiTheme="minorHAnsi" w:hAnsiTheme="minorHAnsi"/>
        </w:rPr>
        <w:t xml:space="preserve"> </w:t>
      </w:r>
      <w:r w:rsidR="00B4594C" w:rsidRPr="0068098B">
        <w:rPr>
          <w:rFonts w:asciiTheme="minorHAnsi" w:hAnsiTheme="minorHAnsi"/>
        </w:rPr>
        <w:t>offender as “</w:t>
      </w:r>
      <w:r w:rsidR="008D2973" w:rsidRPr="0068098B">
        <w:rPr>
          <w:rFonts w:asciiTheme="minorHAnsi" w:hAnsiTheme="minorHAnsi"/>
        </w:rPr>
        <w:t>street time</w:t>
      </w:r>
      <w:r w:rsidR="00B4594C" w:rsidRPr="0068098B">
        <w:rPr>
          <w:rFonts w:asciiTheme="minorHAnsi" w:hAnsiTheme="minorHAnsi"/>
        </w:rPr>
        <w:t>”.  In a case in which the sentencing does not occur until after the expiry of the parole period, the practical effect may be that the whole of the period on parole will be automatically credited to the offender and that no period will remain to be served.</w:t>
      </w:r>
      <w:r w:rsidR="001F3B61" w:rsidRPr="0068098B">
        <w:rPr>
          <w:rStyle w:val="Style"/>
          <w:rFonts w:asciiTheme="minorHAnsi" w:hAnsiTheme="minorHAnsi"/>
        </w:rPr>
        <w:footnoteReference w:id="924"/>
      </w:r>
    </w:p>
    <w:p w14:paraId="18CDCC2F" w14:textId="77777777" w:rsidR="001F3B61" w:rsidRPr="0068098B" w:rsidRDefault="001F3B61" w:rsidP="001F3B61">
      <w:pPr>
        <w:pStyle w:val="ListParagraph"/>
        <w:rPr>
          <w:rFonts w:asciiTheme="minorHAnsi" w:hAnsiTheme="minorHAnsi"/>
        </w:rPr>
      </w:pPr>
    </w:p>
    <w:p w14:paraId="2A1EDEAC" w14:textId="4F416312" w:rsidR="001F3B61" w:rsidRPr="0068098B" w:rsidRDefault="001F3B61" w:rsidP="001F3B61">
      <w:pPr>
        <w:keepNext/>
        <w:spacing w:line="276" w:lineRule="auto"/>
        <w:rPr>
          <w:rFonts w:asciiTheme="minorHAnsi" w:hAnsiTheme="minorHAnsi"/>
          <w:i/>
        </w:rPr>
      </w:pPr>
      <w:r w:rsidRPr="0068098B">
        <w:rPr>
          <w:rFonts w:asciiTheme="minorHAnsi" w:hAnsiTheme="minorHAnsi"/>
          <w:i/>
        </w:rPr>
        <w:t xml:space="preserve">Position when State/Territory provisions do not provide for </w:t>
      </w:r>
      <w:r w:rsidR="00E62348" w:rsidRPr="0068098B">
        <w:rPr>
          <w:rFonts w:asciiTheme="minorHAnsi" w:hAnsiTheme="minorHAnsi"/>
          <w:i/>
        </w:rPr>
        <w:t xml:space="preserve">reduction for </w:t>
      </w:r>
      <w:r w:rsidR="008D2973" w:rsidRPr="0068098B">
        <w:rPr>
          <w:rFonts w:asciiTheme="minorHAnsi" w:hAnsiTheme="minorHAnsi"/>
          <w:i/>
        </w:rPr>
        <w:t>“street time”</w:t>
      </w:r>
      <w:r w:rsidRPr="0068098B">
        <w:rPr>
          <w:rFonts w:asciiTheme="minorHAnsi" w:hAnsiTheme="minorHAnsi"/>
          <w:i/>
        </w:rPr>
        <w:t xml:space="preserve"> </w:t>
      </w:r>
    </w:p>
    <w:p w14:paraId="7D513DC7" w14:textId="5BDB7C05" w:rsidR="001F3B61" w:rsidRPr="0068098B" w:rsidRDefault="001F3B61" w:rsidP="001F3B61">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Where the relevant State/Territory law does </w:t>
      </w:r>
      <w:r w:rsidRPr="0068098B">
        <w:rPr>
          <w:rFonts w:asciiTheme="minorHAnsi" w:hAnsiTheme="minorHAnsi"/>
          <w:u w:val="single"/>
        </w:rPr>
        <w:t>not</w:t>
      </w:r>
      <w:r w:rsidRPr="0068098B">
        <w:rPr>
          <w:rFonts w:asciiTheme="minorHAnsi" w:hAnsiTheme="minorHAnsi"/>
        </w:rPr>
        <w:t xml:space="preserve"> give the offender the benefit of a reduction for </w:t>
      </w:r>
      <w:r w:rsidR="008D2973" w:rsidRPr="0068098B">
        <w:rPr>
          <w:rFonts w:asciiTheme="minorHAnsi" w:hAnsiTheme="minorHAnsi"/>
        </w:rPr>
        <w:t>“street time”</w:t>
      </w:r>
      <w:r w:rsidRPr="0068098B">
        <w:rPr>
          <w:rFonts w:asciiTheme="minorHAnsi" w:hAnsiTheme="minorHAnsi"/>
        </w:rPr>
        <w:t xml:space="preserve"> (</w:t>
      </w:r>
      <w:r w:rsidR="00B074BA" w:rsidRPr="0068098B">
        <w:rPr>
          <w:rFonts w:asciiTheme="minorHAnsi" w:hAnsiTheme="minorHAnsi"/>
        </w:rPr>
        <w:t>that is,</w:t>
      </w:r>
      <w:r w:rsidRPr="0068098B">
        <w:rPr>
          <w:rFonts w:asciiTheme="minorHAnsi" w:hAnsiTheme="minorHAnsi"/>
        </w:rPr>
        <w:t xml:space="preserve"> </w:t>
      </w:r>
      <w:r w:rsidR="00B074BA" w:rsidRPr="0068098B">
        <w:rPr>
          <w:rFonts w:asciiTheme="minorHAnsi" w:hAnsiTheme="minorHAnsi"/>
        </w:rPr>
        <w:t>in Victoria, Tasmania,</w:t>
      </w:r>
      <w:r w:rsidRPr="0068098B">
        <w:rPr>
          <w:rFonts w:asciiTheme="minorHAnsi" w:hAnsiTheme="minorHAnsi"/>
        </w:rPr>
        <w:t xml:space="preserve"> the ACT</w:t>
      </w:r>
      <w:r w:rsidR="00B074BA" w:rsidRPr="0068098B">
        <w:rPr>
          <w:rFonts w:asciiTheme="minorHAnsi" w:hAnsiTheme="minorHAnsi"/>
        </w:rPr>
        <w:t xml:space="preserve"> and the</w:t>
      </w:r>
      <w:r w:rsidRPr="0068098B">
        <w:rPr>
          <w:rFonts w:asciiTheme="minorHAnsi" w:hAnsiTheme="minorHAnsi"/>
        </w:rPr>
        <w:t xml:space="preserve"> NT), </w:t>
      </w:r>
      <w:r w:rsidR="007B61E4" w:rsidRPr="0068098B">
        <w:rPr>
          <w:rFonts w:asciiTheme="minorHAnsi" w:hAnsiTheme="minorHAnsi"/>
        </w:rPr>
        <w:t xml:space="preserve">a </w:t>
      </w:r>
      <w:r w:rsidRPr="0068098B">
        <w:rPr>
          <w:rFonts w:asciiTheme="minorHAnsi" w:hAnsiTheme="minorHAnsi"/>
        </w:rPr>
        <w:t xml:space="preserve">sentencing court fixing a </w:t>
      </w:r>
      <w:r w:rsidR="009F0D86" w:rsidRPr="0068098B">
        <w:rPr>
          <w:rFonts w:asciiTheme="minorHAnsi" w:hAnsiTheme="minorHAnsi"/>
        </w:rPr>
        <w:t>NPP</w:t>
      </w:r>
      <w:r w:rsidRPr="0068098B">
        <w:rPr>
          <w:rFonts w:asciiTheme="minorHAnsi" w:hAnsiTheme="minorHAnsi"/>
        </w:rPr>
        <w:t xml:space="preserve"> under s 19AR</w:t>
      </w:r>
      <w:r w:rsidR="007B61E4" w:rsidRPr="0068098B">
        <w:rPr>
          <w:rFonts w:asciiTheme="minorHAnsi" w:hAnsiTheme="minorHAnsi"/>
        </w:rPr>
        <w:t xml:space="preserve"> or a magistrate fixing a NPP under s 19AW “</w:t>
      </w:r>
      <w:r w:rsidR="007B61E4" w:rsidRPr="0068098B">
        <w:rPr>
          <w:rFonts w:asciiTheme="minorHAnsi" w:hAnsiTheme="minorHAnsi"/>
          <w:i/>
          <w:color w:val="000000"/>
          <w:szCs w:val="22"/>
          <w:lang w:eastAsia="en-AU"/>
        </w:rPr>
        <w:t>must have regard to the period of time spent by the person on parole or licence before that parole order or licence is revoked or is to be taken to have been revoked</w:t>
      </w:r>
      <w:r w:rsidR="007B61E4" w:rsidRPr="0068098B">
        <w:rPr>
          <w:rFonts w:asciiTheme="minorHAnsi" w:hAnsiTheme="minorHAnsi"/>
          <w:iCs/>
          <w:color w:val="000000"/>
          <w:szCs w:val="22"/>
          <w:lang w:eastAsia="en-AU"/>
        </w:rPr>
        <w:t>”</w:t>
      </w:r>
      <w:r w:rsidR="007B61E4" w:rsidRPr="0068098B">
        <w:rPr>
          <w:rFonts w:asciiTheme="minorHAnsi" w:hAnsiTheme="minorHAnsi"/>
        </w:rPr>
        <w:t xml:space="preserve"> (s 19AA(3)).</w:t>
      </w:r>
    </w:p>
    <w:p w14:paraId="30BBFE92" w14:textId="77777777" w:rsidR="001F3B61" w:rsidRPr="0068098B" w:rsidRDefault="001F3B61" w:rsidP="001F3B61">
      <w:pPr>
        <w:pStyle w:val="ListParagraph"/>
        <w:rPr>
          <w:rFonts w:asciiTheme="minorHAnsi" w:hAnsiTheme="minorHAnsi"/>
        </w:rPr>
      </w:pPr>
    </w:p>
    <w:p w14:paraId="3721E382" w14:textId="3C93FFF6" w:rsidR="001F3B61" w:rsidRPr="0068098B" w:rsidRDefault="001D7773" w:rsidP="001F3B61">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The requirement is only that the court or magistrate “have regard to” the period on parole.  </w:t>
      </w:r>
      <w:r w:rsidR="001F3B61" w:rsidRPr="0068098B">
        <w:rPr>
          <w:rFonts w:asciiTheme="minorHAnsi" w:hAnsiTheme="minorHAnsi"/>
        </w:rPr>
        <w:t>The</w:t>
      </w:r>
      <w:r w:rsidRPr="0068098B">
        <w:rPr>
          <w:rFonts w:asciiTheme="minorHAnsi" w:hAnsiTheme="minorHAnsi"/>
        </w:rPr>
        <w:t xml:space="preserve"> parolee has</w:t>
      </w:r>
      <w:r w:rsidR="001F3B61" w:rsidRPr="0068098B">
        <w:rPr>
          <w:rFonts w:asciiTheme="minorHAnsi" w:hAnsiTheme="minorHAnsi"/>
        </w:rPr>
        <w:t xml:space="preserve"> no </w:t>
      </w:r>
      <w:r w:rsidRPr="0068098B">
        <w:rPr>
          <w:rFonts w:asciiTheme="minorHAnsi" w:hAnsiTheme="minorHAnsi"/>
        </w:rPr>
        <w:t>entitlement</w:t>
      </w:r>
      <w:r w:rsidR="001F3B61" w:rsidRPr="0068098B">
        <w:rPr>
          <w:rFonts w:asciiTheme="minorHAnsi" w:hAnsiTheme="minorHAnsi"/>
        </w:rPr>
        <w:t xml:space="preserve"> </w:t>
      </w:r>
      <w:r w:rsidRPr="0068098B">
        <w:rPr>
          <w:rFonts w:asciiTheme="minorHAnsi" w:hAnsiTheme="minorHAnsi"/>
        </w:rPr>
        <w:t xml:space="preserve">to </w:t>
      </w:r>
      <w:r w:rsidR="001F3B61" w:rsidRPr="0068098B">
        <w:rPr>
          <w:rFonts w:asciiTheme="minorHAnsi" w:hAnsiTheme="minorHAnsi"/>
        </w:rPr>
        <w:t xml:space="preserve">any specific numerical deduction.  </w:t>
      </w:r>
      <w:r w:rsidRPr="0068098B">
        <w:rPr>
          <w:rFonts w:asciiTheme="minorHAnsi" w:hAnsiTheme="minorHAnsi"/>
        </w:rPr>
        <w:t>Circumstances which may be relevant in determining the extent of any allowance to be made for the period spent on parole may include t</w:t>
      </w:r>
      <w:r w:rsidR="00B074BA" w:rsidRPr="0068098B">
        <w:rPr>
          <w:rFonts w:asciiTheme="minorHAnsi" w:hAnsiTheme="minorHAnsi"/>
        </w:rPr>
        <w:t xml:space="preserve">he duration and seriousness of any offending or other conduct in breach of parole conditions.  </w:t>
      </w:r>
      <w:r w:rsidR="00E77C65" w:rsidRPr="0068098B">
        <w:rPr>
          <w:rFonts w:asciiTheme="minorHAnsi" w:hAnsiTheme="minorHAnsi"/>
        </w:rPr>
        <w:t xml:space="preserve">For example, the allowance to be made may be reduced to the extent that the </w:t>
      </w:r>
      <w:r w:rsidR="00B074BA" w:rsidRPr="0068098B">
        <w:rPr>
          <w:rFonts w:asciiTheme="minorHAnsi" w:hAnsiTheme="minorHAnsi"/>
        </w:rPr>
        <w:t>offender has</w:t>
      </w:r>
      <w:r w:rsidR="00E77C65" w:rsidRPr="0068098B">
        <w:rPr>
          <w:rFonts w:asciiTheme="minorHAnsi" w:hAnsiTheme="minorHAnsi"/>
        </w:rPr>
        <w:t xml:space="preserve"> used the </w:t>
      </w:r>
      <w:r w:rsidR="00B074BA" w:rsidRPr="0068098B">
        <w:rPr>
          <w:rFonts w:asciiTheme="minorHAnsi" w:hAnsiTheme="minorHAnsi"/>
        </w:rPr>
        <w:t>period on parole</w:t>
      </w:r>
      <w:r w:rsidR="00E77C65" w:rsidRPr="0068098B">
        <w:rPr>
          <w:rFonts w:asciiTheme="minorHAnsi" w:hAnsiTheme="minorHAnsi"/>
        </w:rPr>
        <w:t xml:space="preserve"> to </w:t>
      </w:r>
      <w:r w:rsidR="00B074BA" w:rsidRPr="0068098B">
        <w:rPr>
          <w:rFonts w:asciiTheme="minorHAnsi" w:hAnsiTheme="minorHAnsi"/>
        </w:rPr>
        <w:t xml:space="preserve">engage in serious offending or </w:t>
      </w:r>
      <w:r w:rsidRPr="0068098B">
        <w:rPr>
          <w:rFonts w:asciiTheme="minorHAnsi" w:hAnsiTheme="minorHAnsi"/>
        </w:rPr>
        <w:t>other serious breaches of parole</w:t>
      </w:r>
      <w:r w:rsidR="001F3B61" w:rsidRPr="0068098B">
        <w:rPr>
          <w:rFonts w:asciiTheme="minorHAnsi" w:hAnsiTheme="minorHAnsi"/>
        </w:rPr>
        <w:t>.</w:t>
      </w:r>
    </w:p>
    <w:p w14:paraId="2A21BC1C" w14:textId="77777777" w:rsidR="001F3B61" w:rsidRPr="0068098B" w:rsidRDefault="001F3B61" w:rsidP="001F3B61">
      <w:pPr>
        <w:pStyle w:val="ListParagraph"/>
        <w:rPr>
          <w:rFonts w:asciiTheme="minorHAnsi" w:hAnsiTheme="minorHAnsi"/>
        </w:rPr>
      </w:pPr>
    </w:p>
    <w:p w14:paraId="05768513" w14:textId="59D8C79E" w:rsidR="00A97654" w:rsidRPr="0068098B" w:rsidRDefault="00023BC1" w:rsidP="008B3E81">
      <w:pPr>
        <w:pStyle w:val="Heading3"/>
      </w:pPr>
      <w:bookmarkStart w:id="2103" w:name="_Toc11240190"/>
      <w:bookmarkStart w:id="2104" w:name="_Toc11405555"/>
      <w:bookmarkStart w:id="2105" w:name="_Toc11407332"/>
      <w:bookmarkStart w:id="2106" w:name="_Toc11485923"/>
      <w:bookmarkStart w:id="2107" w:name="_Toc11583451"/>
      <w:bookmarkStart w:id="2108" w:name="_Toc11692855"/>
      <w:bookmarkStart w:id="2109" w:name="_Toc11773361"/>
      <w:bookmarkStart w:id="2110" w:name="_Toc11827163"/>
      <w:bookmarkStart w:id="2111" w:name="_Toc11833871"/>
      <w:bookmarkStart w:id="2112" w:name="_Toc11848266"/>
      <w:bookmarkStart w:id="2113" w:name="_Toc11851923"/>
      <w:bookmarkStart w:id="2114" w:name="_Toc12608763"/>
      <w:bookmarkStart w:id="2115" w:name="_Toc12706718"/>
      <w:bookmarkStart w:id="2116" w:name="_Toc12860655"/>
      <w:bookmarkStart w:id="2117" w:name="_Toc12862224"/>
      <w:bookmarkStart w:id="2118" w:name="_Toc12864270"/>
      <w:bookmarkStart w:id="2119" w:name="_Toc13551821"/>
      <w:bookmarkStart w:id="2120" w:name="_Toc13737598"/>
      <w:bookmarkStart w:id="2121" w:name="_Toc13738013"/>
      <w:bookmarkStart w:id="2122" w:name="_Toc25308571"/>
      <w:bookmarkStart w:id="2123" w:name="_Toc11240191"/>
      <w:bookmarkStart w:id="2124" w:name="_Toc11405556"/>
      <w:bookmarkStart w:id="2125" w:name="_Toc11407333"/>
      <w:bookmarkStart w:id="2126" w:name="_Toc11485924"/>
      <w:bookmarkStart w:id="2127" w:name="_Toc11583452"/>
      <w:bookmarkStart w:id="2128" w:name="_Toc11692856"/>
      <w:bookmarkStart w:id="2129" w:name="_Toc11773362"/>
      <w:bookmarkStart w:id="2130" w:name="_Toc11827164"/>
      <w:bookmarkStart w:id="2131" w:name="_Toc11833872"/>
      <w:bookmarkStart w:id="2132" w:name="_Toc11848267"/>
      <w:bookmarkStart w:id="2133" w:name="_Toc11851924"/>
      <w:bookmarkStart w:id="2134" w:name="_Toc12608764"/>
      <w:bookmarkStart w:id="2135" w:name="_Toc12706719"/>
      <w:bookmarkStart w:id="2136" w:name="_Toc12860656"/>
      <w:bookmarkStart w:id="2137" w:name="_Toc12862225"/>
      <w:bookmarkStart w:id="2138" w:name="_Toc12864271"/>
      <w:bookmarkStart w:id="2139" w:name="_Toc13551822"/>
      <w:bookmarkStart w:id="2140" w:name="_Toc13737599"/>
      <w:bookmarkStart w:id="2141" w:name="_Toc13738014"/>
      <w:bookmarkStart w:id="2142" w:name="_Toc25308572"/>
      <w:bookmarkStart w:id="2143" w:name="_Toc11240192"/>
      <w:bookmarkStart w:id="2144" w:name="_Toc11405557"/>
      <w:bookmarkStart w:id="2145" w:name="_Toc11407334"/>
      <w:bookmarkStart w:id="2146" w:name="_Toc11485925"/>
      <w:bookmarkStart w:id="2147" w:name="_Toc11583453"/>
      <w:bookmarkStart w:id="2148" w:name="_Toc11692857"/>
      <w:bookmarkStart w:id="2149" w:name="_Toc11773363"/>
      <w:bookmarkStart w:id="2150" w:name="_Toc11827165"/>
      <w:bookmarkStart w:id="2151" w:name="_Toc11833873"/>
      <w:bookmarkStart w:id="2152" w:name="_Toc11848268"/>
      <w:bookmarkStart w:id="2153" w:name="_Toc11851925"/>
      <w:bookmarkStart w:id="2154" w:name="_Toc12608765"/>
      <w:bookmarkStart w:id="2155" w:name="_Toc12706720"/>
      <w:bookmarkStart w:id="2156" w:name="_Toc12860657"/>
      <w:bookmarkStart w:id="2157" w:name="_Toc12862226"/>
      <w:bookmarkStart w:id="2158" w:name="_Toc12864272"/>
      <w:bookmarkStart w:id="2159" w:name="_Toc13551823"/>
      <w:bookmarkStart w:id="2160" w:name="_Toc13737600"/>
      <w:bookmarkStart w:id="2161" w:name="_Toc13738015"/>
      <w:bookmarkStart w:id="2162" w:name="_Toc25308573"/>
      <w:bookmarkStart w:id="2163" w:name="_Toc11240193"/>
      <w:bookmarkStart w:id="2164" w:name="_Toc11405558"/>
      <w:bookmarkStart w:id="2165" w:name="_Toc11407335"/>
      <w:bookmarkStart w:id="2166" w:name="_Toc11485926"/>
      <w:bookmarkStart w:id="2167" w:name="_Toc11583454"/>
      <w:bookmarkStart w:id="2168" w:name="_Toc11692858"/>
      <w:bookmarkStart w:id="2169" w:name="_Toc11773364"/>
      <w:bookmarkStart w:id="2170" w:name="_Toc11827166"/>
      <w:bookmarkStart w:id="2171" w:name="_Toc11833874"/>
      <w:bookmarkStart w:id="2172" w:name="_Toc11848269"/>
      <w:bookmarkStart w:id="2173" w:name="_Toc11851926"/>
      <w:bookmarkStart w:id="2174" w:name="_Toc12608766"/>
      <w:bookmarkStart w:id="2175" w:name="_Toc12706721"/>
      <w:bookmarkStart w:id="2176" w:name="_Toc12860658"/>
      <w:bookmarkStart w:id="2177" w:name="_Toc12862227"/>
      <w:bookmarkStart w:id="2178" w:name="_Toc12864273"/>
      <w:bookmarkStart w:id="2179" w:name="_Toc13551824"/>
      <w:bookmarkStart w:id="2180" w:name="_Toc13737601"/>
      <w:bookmarkStart w:id="2181" w:name="_Toc13738016"/>
      <w:bookmarkStart w:id="2182" w:name="_Toc25308574"/>
      <w:bookmarkStart w:id="2183" w:name="_Toc11240194"/>
      <w:bookmarkStart w:id="2184" w:name="_Toc11405559"/>
      <w:bookmarkStart w:id="2185" w:name="_Toc11407336"/>
      <w:bookmarkStart w:id="2186" w:name="_Toc11485927"/>
      <w:bookmarkStart w:id="2187" w:name="_Toc11583455"/>
      <w:bookmarkStart w:id="2188" w:name="_Toc11692859"/>
      <w:bookmarkStart w:id="2189" w:name="_Toc11773365"/>
      <w:bookmarkStart w:id="2190" w:name="_Toc11827167"/>
      <w:bookmarkStart w:id="2191" w:name="_Toc11833875"/>
      <w:bookmarkStart w:id="2192" w:name="_Toc11848270"/>
      <w:bookmarkStart w:id="2193" w:name="_Toc11851927"/>
      <w:bookmarkStart w:id="2194" w:name="_Toc12608767"/>
      <w:bookmarkStart w:id="2195" w:name="_Toc12706722"/>
      <w:bookmarkStart w:id="2196" w:name="_Toc12860659"/>
      <w:bookmarkStart w:id="2197" w:name="_Toc12862228"/>
      <w:bookmarkStart w:id="2198" w:name="_Toc12864274"/>
      <w:bookmarkStart w:id="2199" w:name="_Toc13551825"/>
      <w:bookmarkStart w:id="2200" w:name="_Toc13737602"/>
      <w:bookmarkStart w:id="2201" w:name="_Toc13738017"/>
      <w:bookmarkStart w:id="2202" w:name="_Toc25308575"/>
      <w:bookmarkStart w:id="2203" w:name="_Toc11240195"/>
      <w:bookmarkStart w:id="2204" w:name="_Toc11405560"/>
      <w:bookmarkStart w:id="2205" w:name="_Toc11407337"/>
      <w:bookmarkStart w:id="2206" w:name="_Toc11485928"/>
      <w:bookmarkStart w:id="2207" w:name="_Toc11583456"/>
      <w:bookmarkStart w:id="2208" w:name="_Toc11692860"/>
      <w:bookmarkStart w:id="2209" w:name="_Toc11773366"/>
      <w:bookmarkStart w:id="2210" w:name="_Toc11827168"/>
      <w:bookmarkStart w:id="2211" w:name="_Toc11833876"/>
      <w:bookmarkStart w:id="2212" w:name="_Toc11848271"/>
      <w:bookmarkStart w:id="2213" w:name="_Toc11851928"/>
      <w:bookmarkStart w:id="2214" w:name="_Toc12608768"/>
      <w:bookmarkStart w:id="2215" w:name="_Toc12706723"/>
      <w:bookmarkStart w:id="2216" w:name="_Toc12860660"/>
      <w:bookmarkStart w:id="2217" w:name="_Toc12862229"/>
      <w:bookmarkStart w:id="2218" w:name="_Toc12864275"/>
      <w:bookmarkStart w:id="2219" w:name="_Toc13551826"/>
      <w:bookmarkStart w:id="2220" w:name="_Toc13737603"/>
      <w:bookmarkStart w:id="2221" w:name="_Toc13738018"/>
      <w:bookmarkStart w:id="2222" w:name="_Toc25308576"/>
      <w:bookmarkStart w:id="2223" w:name="_Toc11240196"/>
      <w:bookmarkStart w:id="2224" w:name="_Toc11405561"/>
      <w:bookmarkStart w:id="2225" w:name="_Toc11407338"/>
      <w:bookmarkStart w:id="2226" w:name="_Toc11485929"/>
      <w:bookmarkStart w:id="2227" w:name="_Toc11583457"/>
      <w:bookmarkStart w:id="2228" w:name="_Toc11692861"/>
      <w:bookmarkStart w:id="2229" w:name="_Toc11773367"/>
      <w:bookmarkStart w:id="2230" w:name="_Toc11827169"/>
      <w:bookmarkStart w:id="2231" w:name="_Toc11833877"/>
      <w:bookmarkStart w:id="2232" w:name="_Toc11848272"/>
      <w:bookmarkStart w:id="2233" w:name="_Toc11851929"/>
      <w:bookmarkStart w:id="2234" w:name="_Toc12608769"/>
      <w:bookmarkStart w:id="2235" w:name="_Toc12706724"/>
      <w:bookmarkStart w:id="2236" w:name="_Toc12860661"/>
      <w:bookmarkStart w:id="2237" w:name="_Toc12862230"/>
      <w:bookmarkStart w:id="2238" w:name="_Toc12864276"/>
      <w:bookmarkStart w:id="2239" w:name="_Toc13551827"/>
      <w:bookmarkStart w:id="2240" w:name="_Toc13737604"/>
      <w:bookmarkStart w:id="2241" w:name="_Toc13738019"/>
      <w:bookmarkStart w:id="2242" w:name="_Toc25308577"/>
      <w:bookmarkStart w:id="2243" w:name="_Toc11240197"/>
      <w:bookmarkStart w:id="2244" w:name="_Toc11405562"/>
      <w:bookmarkStart w:id="2245" w:name="_Toc11407339"/>
      <w:bookmarkStart w:id="2246" w:name="_Toc11485930"/>
      <w:bookmarkStart w:id="2247" w:name="_Toc11583458"/>
      <w:bookmarkStart w:id="2248" w:name="_Toc11692862"/>
      <w:bookmarkStart w:id="2249" w:name="_Toc11773368"/>
      <w:bookmarkStart w:id="2250" w:name="_Toc11827170"/>
      <w:bookmarkStart w:id="2251" w:name="_Toc11833878"/>
      <w:bookmarkStart w:id="2252" w:name="_Toc11848273"/>
      <w:bookmarkStart w:id="2253" w:name="_Toc11851930"/>
      <w:bookmarkStart w:id="2254" w:name="_Toc12608770"/>
      <w:bookmarkStart w:id="2255" w:name="_Toc12706725"/>
      <w:bookmarkStart w:id="2256" w:name="_Toc12860662"/>
      <w:bookmarkStart w:id="2257" w:name="_Toc12862231"/>
      <w:bookmarkStart w:id="2258" w:name="_Toc12864277"/>
      <w:bookmarkStart w:id="2259" w:name="_Toc13551828"/>
      <w:bookmarkStart w:id="2260" w:name="_Toc13737605"/>
      <w:bookmarkStart w:id="2261" w:name="_Toc13738020"/>
      <w:bookmarkStart w:id="2262" w:name="_Toc25308578"/>
      <w:bookmarkStart w:id="2263" w:name="_Toc11240198"/>
      <w:bookmarkStart w:id="2264" w:name="_Toc11405563"/>
      <w:bookmarkStart w:id="2265" w:name="_Toc11407340"/>
      <w:bookmarkStart w:id="2266" w:name="_Toc11485931"/>
      <w:bookmarkStart w:id="2267" w:name="_Toc11583459"/>
      <w:bookmarkStart w:id="2268" w:name="_Toc11692863"/>
      <w:bookmarkStart w:id="2269" w:name="_Toc11773369"/>
      <w:bookmarkStart w:id="2270" w:name="_Toc11827171"/>
      <w:bookmarkStart w:id="2271" w:name="_Toc11833879"/>
      <w:bookmarkStart w:id="2272" w:name="_Toc11848274"/>
      <w:bookmarkStart w:id="2273" w:name="_Toc11851931"/>
      <w:bookmarkStart w:id="2274" w:name="_Toc12608771"/>
      <w:bookmarkStart w:id="2275" w:name="_Toc12706726"/>
      <w:bookmarkStart w:id="2276" w:name="_Toc12860663"/>
      <w:bookmarkStart w:id="2277" w:name="_Toc12862232"/>
      <w:bookmarkStart w:id="2278" w:name="_Toc12864278"/>
      <w:bookmarkStart w:id="2279" w:name="_Toc13551829"/>
      <w:bookmarkStart w:id="2280" w:name="_Toc13737606"/>
      <w:bookmarkStart w:id="2281" w:name="_Toc13738021"/>
      <w:bookmarkStart w:id="2282" w:name="_Toc25308579"/>
      <w:bookmarkStart w:id="2283" w:name="_Toc11240199"/>
      <w:bookmarkStart w:id="2284" w:name="_Toc11405564"/>
      <w:bookmarkStart w:id="2285" w:name="_Toc11407341"/>
      <w:bookmarkStart w:id="2286" w:name="_Toc11485932"/>
      <w:bookmarkStart w:id="2287" w:name="_Toc11583460"/>
      <w:bookmarkStart w:id="2288" w:name="_Toc11692864"/>
      <w:bookmarkStart w:id="2289" w:name="_Toc11773370"/>
      <w:bookmarkStart w:id="2290" w:name="_Toc11827172"/>
      <w:bookmarkStart w:id="2291" w:name="_Toc11833880"/>
      <w:bookmarkStart w:id="2292" w:name="_Toc11848275"/>
      <w:bookmarkStart w:id="2293" w:name="_Toc11851932"/>
      <w:bookmarkStart w:id="2294" w:name="_Toc12608772"/>
      <w:bookmarkStart w:id="2295" w:name="_Toc12706727"/>
      <w:bookmarkStart w:id="2296" w:name="_Toc12860664"/>
      <w:bookmarkStart w:id="2297" w:name="_Toc12862233"/>
      <w:bookmarkStart w:id="2298" w:name="_Toc12864279"/>
      <w:bookmarkStart w:id="2299" w:name="_Toc13551830"/>
      <w:bookmarkStart w:id="2300" w:name="_Toc13737607"/>
      <w:bookmarkStart w:id="2301" w:name="_Toc13738022"/>
      <w:bookmarkStart w:id="2302" w:name="_Toc25308580"/>
      <w:bookmarkStart w:id="2303" w:name="_Toc11240200"/>
      <w:bookmarkStart w:id="2304" w:name="_Toc11405565"/>
      <w:bookmarkStart w:id="2305" w:name="_Toc11407342"/>
      <w:bookmarkStart w:id="2306" w:name="_Toc11485933"/>
      <w:bookmarkStart w:id="2307" w:name="_Toc11583461"/>
      <w:bookmarkStart w:id="2308" w:name="_Toc11692865"/>
      <w:bookmarkStart w:id="2309" w:name="_Toc11773371"/>
      <w:bookmarkStart w:id="2310" w:name="_Toc11827173"/>
      <w:bookmarkStart w:id="2311" w:name="_Toc11833881"/>
      <w:bookmarkStart w:id="2312" w:name="_Toc11848276"/>
      <w:bookmarkStart w:id="2313" w:name="_Toc11851933"/>
      <w:bookmarkStart w:id="2314" w:name="_Toc12608773"/>
      <w:bookmarkStart w:id="2315" w:name="_Toc12706728"/>
      <w:bookmarkStart w:id="2316" w:name="_Toc12860665"/>
      <w:bookmarkStart w:id="2317" w:name="_Toc12862234"/>
      <w:bookmarkStart w:id="2318" w:name="_Toc12864280"/>
      <w:bookmarkStart w:id="2319" w:name="_Toc13551831"/>
      <w:bookmarkStart w:id="2320" w:name="_Toc13737608"/>
      <w:bookmarkStart w:id="2321" w:name="_Toc13738023"/>
      <w:bookmarkStart w:id="2322" w:name="_Toc25308581"/>
      <w:bookmarkStart w:id="2323" w:name="_Toc11240201"/>
      <w:bookmarkStart w:id="2324" w:name="_Toc11405566"/>
      <w:bookmarkStart w:id="2325" w:name="_Toc11407343"/>
      <w:bookmarkStart w:id="2326" w:name="_Toc11485934"/>
      <w:bookmarkStart w:id="2327" w:name="_Toc11583462"/>
      <w:bookmarkStart w:id="2328" w:name="_Toc11692866"/>
      <w:bookmarkStart w:id="2329" w:name="_Toc11773372"/>
      <w:bookmarkStart w:id="2330" w:name="_Toc11827174"/>
      <w:bookmarkStart w:id="2331" w:name="_Toc11833882"/>
      <w:bookmarkStart w:id="2332" w:name="_Toc11848277"/>
      <w:bookmarkStart w:id="2333" w:name="_Toc11851934"/>
      <w:bookmarkStart w:id="2334" w:name="_Toc12608774"/>
      <w:bookmarkStart w:id="2335" w:name="_Toc12706729"/>
      <w:bookmarkStart w:id="2336" w:name="_Toc12860666"/>
      <w:bookmarkStart w:id="2337" w:name="_Toc12862235"/>
      <w:bookmarkStart w:id="2338" w:name="_Toc12864281"/>
      <w:bookmarkStart w:id="2339" w:name="_Toc13551832"/>
      <w:bookmarkStart w:id="2340" w:name="_Toc13737609"/>
      <w:bookmarkStart w:id="2341" w:name="_Toc13738024"/>
      <w:bookmarkStart w:id="2342" w:name="_Toc25308582"/>
      <w:bookmarkStart w:id="2343" w:name="_Toc11240202"/>
      <w:bookmarkStart w:id="2344" w:name="_Toc11405567"/>
      <w:bookmarkStart w:id="2345" w:name="_Toc11407344"/>
      <w:bookmarkStart w:id="2346" w:name="_Toc11485935"/>
      <w:bookmarkStart w:id="2347" w:name="_Toc11583463"/>
      <w:bookmarkStart w:id="2348" w:name="_Toc11692867"/>
      <w:bookmarkStart w:id="2349" w:name="_Toc11773373"/>
      <w:bookmarkStart w:id="2350" w:name="_Toc11827175"/>
      <w:bookmarkStart w:id="2351" w:name="_Toc11833883"/>
      <w:bookmarkStart w:id="2352" w:name="_Toc11848278"/>
      <w:bookmarkStart w:id="2353" w:name="_Toc11851935"/>
      <w:bookmarkStart w:id="2354" w:name="_Toc12608775"/>
      <w:bookmarkStart w:id="2355" w:name="_Toc12706730"/>
      <w:bookmarkStart w:id="2356" w:name="_Toc12860667"/>
      <w:bookmarkStart w:id="2357" w:name="_Toc12862236"/>
      <w:bookmarkStart w:id="2358" w:name="_Toc12864282"/>
      <w:bookmarkStart w:id="2359" w:name="_Toc13551833"/>
      <w:bookmarkStart w:id="2360" w:name="_Toc13737610"/>
      <w:bookmarkStart w:id="2361" w:name="_Toc13738025"/>
      <w:bookmarkStart w:id="2362" w:name="_Toc25308583"/>
      <w:bookmarkStart w:id="2363" w:name="_Toc11240203"/>
      <w:bookmarkStart w:id="2364" w:name="_Toc11405568"/>
      <w:bookmarkStart w:id="2365" w:name="_Toc11407345"/>
      <w:bookmarkStart w:id="2366" w:name="_Toc11485936"/>
      <w:bookmarkStart w:id="2367" w:name="_Toc11583464"/>
      <w:bookmarkStart w:id="2368" w:name="_Toc11692868"/>
      <w:bookmarkStart w:id="2369" w:name="_Toc11773374"/>
      <w:bookmarkStart w:id="2370" w:name="_Toc11827176"/>
      <w:bookmarkStart w:id="2371" w:name="_Toc11833884"/>
      <w:bookmarkStart w:id="2372" w:name="_Toc11848279"/>
      <w:bookmarkStart w:id="2373" w:name="_Toc11851936"/>
      <w:bookmarkStart w:id="2374" w:name="_Toc12608776"/>
      <w:bookmarkStart w:id="2375" w:name="_Toc12706731"/>
      <w:bookmarkStart w:id="2376" w:name="_Toc12860668"/>
      <w:bookmarkStart w:id="2377" w:name="_Toc12862237"/>
      <w:bookmarkStart w:id="2378" w:name="_Toc12864283"/>
      <w:bookmarkStart w:id="2379" w:name="_Toc13551834"/>
      <w:bookmarkStart w:id="2380" w:name="_Toc13737611"/>
      <w:bookmarkStart w:id="2381" w:name="_Toc13738026"/>
      <w:bookmarkStart w:id="2382" w:name="_Toc25308584"/>
      <w:bookmarkStart w:id="2383" w:name="_Toc11240204"/>
      <w:bookmarkStart w:id="2384" w:name="_Toc11405569"/>
      <w:bookmarkStart w:id="2385" w:name="_Toc11407346"/>
      <w:bookmarkStart w:id="2386" w:name="_Toc11485937"/>
      <w:bookmarkStart w:id="2387" w:name="_Toc11583465"/>
      <w:bookmarkStart w:id="2388" w:name="_Toc11692869"/>
      <w:bookmarkStart w:id="2389" w:name="_Toc11773375"/>
      <w:bookmarkStart w:id="2390" w:name="_Toc11827177"/>
      <w:bookmarkStart w:id="2391" w:name="_Toc11833885"/>
      <w:bookmarkStart w:id="2392" w:name="_Toc11848280"/>
      <w:bookmarkStart w:id="2393" w:name="_Toc11851937"/>
      <w:bookmarkStart w:id="2394" w:name="_Toc12608777"/>
      <w:bookmarkStart w:id="2395" w:name="_Toc12706732"/>
      <w:bookmarkStart w:id="2396" w:name="_Toc12860669"/>
      <w:bookmarkStart w:id="2397" w:name="_Toc12862238"/>
      <w:bookmarkStart w:id="2398" w:name="_Toc12864284"/>
      <w:bookmarkStart w:id="2399" w:name="_Toc13551835"/>
      <w:bookmarkStart w:id="2400" w:name="_Toc13737612"/>
      <w:bookmarkStart w:id="2401" w:name="_Toc13738027"/>
      <w:bookmarkStart w:id="2402" w:name="_Toc25308585"/>
      <w:bookmarkStart w:id="2403" w:name="_Toc11240205"/>
      <w:bookmarkStart w:id="2404" w:name="_Toc11405570"/>
      <w:bookmarkStart w:id="2405" w:name="_Toc11407347"/>
      <w:bookmarkStart w:id="2406" w:name="_Toc11485938"/>
      <w:bookmarkStart w:id="2407" w:name="_Toc11583466"/>
      <w:bookmarkStart w:id="2408" w:name="_Toc11692870"/>
      <w:bookmarkStart w:id="2409" w:name="_Toc11773376"/>
      <w:bookmarkStart w:id="2410" w:name="_Toc11827178"/>
      <w:bookmarkStart w:id="2411" w:name="_Toc11833886"/>
      <w:bookmarkStart w:id="2412" w:name="_Toc11848281"/>
      <w:bookmarkStart w:id="2413" w:name="_Toc11851938"/>
      <w:bookmarkStart w:id="2414" w:name="_Toc12608778"/>
      <w:bookmarkStart w:id="2415" w:name="_Toc12706733"/>
      <w:bookmarkStart w:id="2416" w:name="_Toc12860670"/>
      <w:bookmarkStart w:id="2417" w:name="_Toc12862239"/>
      <w:bookmarkStart w:id="2418" w:name="_Toc12864285"/>
      <w:bookmarkStart w:id="2419" w:name="_Toc13551836"/>
      <w:bookmarkStart w:id="2420" w:name="_Toc13737613"/>
      <w:bookmarkStart w:id="2421" w:name="_Toc13738028"/>
      <w:bookmarkStart w:id="2422" w:name="_Toc25308586"/>
      <w:bookmarkStart w:id="2423" w:name="_Toc11240206"/>
      <w:bookmarkStart w:id="2424" w:name="_Toc11405571"/>
      <w:bookmarkStart w:id="2425" w:name="_Toc11407348"/>
      <w:bookmarkStart w:id="2426" w:name="_Toc11485939"/>
      <w:bookmarkStart w:id="2427" w:name="_Toc11583467"/>
      <w:bookmarkStart w:id="2428" w:name="_Toc11692871"/>
      <w:bookmarkStart w:id="2429" w:name="_Toc11773377"/>
      <w:bookmarkStart w:id="2430" w:name="_Toc11827179"/>
      <w:bookmarkStart w:id="2431" w:name="_Toc11833887"/>
      <w:bookmarkStart w:id="2432" w:name="_Toc11848282"/>
      <w:bookmarkStart w:id="2433" w:name="_Toc11851939"/>
      <w:bookmarkStart w:id="2434" w:name="_Toc12608779"/>
      <w:bookmarkStart w:id="2435" w:name="_Toc12706734"/>
      <w:bookmarkStart w:id="2436" w:name="_Toc12860671"/>
      <w:bookmarkStart w:id="2437" w:name="_Toc12862240"/>
      <w:bookmarkStart w:id="2438" w:name="_Toc12864286"/>
      <w:bookmarkStart w:id="2439" w:name="_Toc13551837"/>
      <w:bookmarkStart w:id="2440" w:name="_Toc13737614"/>
      <w:bookmarkStart w:id="2441" w:name="_Toc13738029"/>
      <w:bookmarkStart w:id="2442" w:name="_Toc25308587"/>
      <w:bookmarkStart w:id="2443" w:name="_Toc11240207"/>
      <w:bookmarkStart w:id="2444" w:name="_Toc11405572"/>
      <w:bookmarkStart w:id="2445" w:name="_Toc11407349"/>
      <w:bookmarkStart w:id="2446" w:name="_Toc11485940"/>
      <w:bookmarkStart w:id="2447" w:name="_Toc11583468"/>
      <w:bookmarkStart w:id="2448" w:name="_Toc11692872"/>
      <w:bookmarkStart w:id="2449" w:name="_Toc11773378"/>
      <w:bookmarkStart w:id="2450" w:name="_Toc11827180"/>
      <w:bookmarkStart w:id="2451" w:name="_Toc11833888"/>
      <w:bookmarkStart w:id="2452" w:name="_Toc11848283"/>
      <w:bookmarkStart w:id="2453" w:name="_Toc11851940"/>
      <w:bookmarkStart w:id="2454" w:name="_Toc12608780"/>
      <w:bookmarkStart w:id="2455" w:name="_Toc12706735"/>
      <w:bookmarkStart w:id="2456" w:name="_Toc12860672"/>
      <w:bookmarkStart w:id="2457" w:name="_Toc12862241"/>
      <w:bookmarkStart w:id="2458" w:name="_Toc12864287"/>
      <w:bookmarkStart w:id="2459" w:name="_Toc13551838"/>
      <w:bookmarkStart w:id="2460" w:name="_Toc13737615"/>
      <w:bookmarkStart w:id="2461" w:name="_Toc13738030"/>
      <w:bookmarkStart w:id="2462" w:name="_Toc25308588"/>
      <w:bookmarkStart w:id="2463" w:name="_Toc11240208"/>
      <w:bookmarkStart w:id="2464" w:name="_Toc11405573"/>
      <w:bookmarkStart w:id="2465" w:name="_Toc11407350"/>
      <w:bookmarkStart w:id="2466" w:name="_Toc11485941"/>
      <w:bookmarkStart w:id="2467" w:name="_Toc11583469"/>
      <w:bookmarkStart w:id="2468" w:name="_Toc11692873"/>
      <w:bookmarkStart w:id="2469" w:name="_Toc11773379"/>
      <w:bookmarkStart w:id="2470" w:name="_Toc11827181"/>
      <w:bookmarkStart w:id="2471" w:name="_Toc11833889"/>
      <w:bookmarkStart w:id="2472" w:name="_Toc11848284"/>
      <w:bookmarkStart w:id="2473" w:name="_Toc11851941"/>
      <w:bookmarkStart w:id="2474" w:name="_Toc12608781"/>
      <w:bookmarkStart w:id="2475" w:name="_Toc12706736"/>
      <w:bookmarkStart w:id="2476" w:name="_Toc12860673"/>
      <w:bookmarkStart w:id="2477" w:name="_Toc12862242"/>
      <w:bookmarkStart w:id="2478" w:name="_Toc12864288"/>
      <w:bookmarkStart w:id="2479" w:name="_Toc13551839"/>
      <w:bookmarkStart w:id="2480" w:name="_Toc13737616"/>
      <w:bookmarkStart w:id="2481" w:name="_Toc13738031"/>
      <w:bookmarkStart w:id="2482" w:name="_Toc25308589"/>
      <w:bookmarkStart w:id="2483" w:name="_Toc11240209"/>
      <w:bookmarkStart w:id="2484" w:name="_Toc11405574"/>
      <w:bookmarkStart w:id="2485" w:name="_Toc11407351"/>
      <w:bookmarkStart w:id="2486" w:name="_Toc11485942"/>
      <w:bookmarkStart w:id="2487" w:name="_Toc11583470"/>
      <w:bookmarkStart w:id="2488" w:name="_Toc11692874"/>
      <w:bookmarkStart w:id="2489" w:name="_Toc11773380"/>
      <w:bookmarkStart w:id="2490" w:name="_Toc11827182"/>
      <w:bookmarkStart w:id="2491" w:name="_Toc11833890"/>
      <w:bookmarkStart w:id="2492" w:name="_Toc11848285"/>
      <w:bookmarkStart w:id="2493" w:name="_Toc11851942"/>
      <w:bookmarkStart w:id="2494" w:name="_Toc12608782"/>
      <w:bookmarkStart w:id="2495" w:name="_Toc12706737"/>
      <w:bookmarkStart w:id="2496" w:name="_Toc12860674"/>
      <w:bookmarkStart w:id="2497" w:name="_Toc12862243"/>
      <w:bookmarkStart w:id="2498" w:name="_Toc12864289"/>
      <w:bookmarkStart w:id="2499" w:name="_Toc13551840"/>
      <w:bookmarkStart w:id="2500" w:name="_Toc13737617"/>
      <w:bookmarkStart w:id="2501" w:name="_Toc13738032"/>
      <w:bookmarkStart w:id="2502" w:name="_Toc25308590"/>
      <w:bookmarkStart w:id="2503" w:name="_Toc11240210"/>
      <w:bookmarkStart w:id="2504" w:name="_Toc11405575"/>
      <w:bookmarkStart w:id="2505" w:name="_Toc11407352"/>
      <w:bookmarkStart w:id="2506" w:name="_Toc11485943"/>
      <w:bookmarkStart w:id="2507" w:name="_Toc11583471"/>
      <w:bookmarkStart w:id="2508" w:name="_Toc11692875"/>
      <w:bookmarkStart w:id="2509" w:name="_Toc11773381"/>
      <w:bookmarkStart w:id="2510" w:name="_Toc11827183"/>
      <w:bookmarkStart w:id="2511" w:name="_Toc11833891"/>
      <w:bookmarkStart w:id="2512" w:name="_Toc11848286"/>
      <w:bookmarkStart w:id="2513" w:name="_Toc11851943"/>
      <w:bookmarkStart w:id="2514" w:name="_Toc12608783"/>
      <w:bookmarkStart w:id="2515" w:name="_Toc12706738"/>
      <w:bookmarkStart w:id="2516" w:name="_Toc12860675"/>
      <w:bookmarkStart w:id="2517" w:name="_Toc12862244"/>
      <w:bookmarkStart w:id="2518" w:name="_Toc12864290"/>
      <w:bookmarkStart w:id="2519" w:name="_Toc13551841"/>
      <w:bookmarkStart w:id="2520" w:name="_Toc13737618"/>
      <w:bookmarkStart w:id="2521" w:name="_Toc13738033"/>
      <w:bookmarkStart w:id="2522" w:name="_Toc25308591"/>
      <w:bookmarkStart w:id="2523" w:name="_Toc11240211"/>
      <w:bookmarkStart w:id="2524" w:name="_Toc11405576"/>
      <w:bookmarkStart w:id="2525" w:name="_Toc11407353"/>
      <w:bookmarkStart w:id="2526" w:name="_Toc11485944"/>
      <w:bookmarkStart w:id="2527" w:name="_Toc11583472"/>
      <w:bookmarkStart w:id="2528" w:name="_Toc11692876"/>
      <w:bookmarkStart w:id="2529" w:name="_Toc11773382"/>
      <w:bookmarkStart w:id="2530" w:name="_Toc11827184"/>
      <w:bookmarkStart w:id="2531" w:name="_Toc11833892"/>
      <w:bookmarkStart w:id="2532" w:name="_Toc11848287"/>
      <w:bookmarkStart w:id="2533" w:name="_Toc11851944"/>
      <w:bookmarkStart w:id="2534" w:name="_Toc12608784"/>
      <w:bookmarkStart w:id="2535" w:name="_Toc12706739"/>
      <w:bookmarkStart w:id="2536" w:name="_Toc12860676"/>
      <w:bookmarkStart w:id="2537" w:name="_Toc12862245"/>
      <w:bookmarkStart w:id="2538" w:name="_Toc12864291"/>
      <w:bookmarkStart w:id="2539" w:name="_Toc13551842"/>
      <w:bookmarkStart w:id="2540" w:name="_Toc13737619"/>
      <w:bookmarkStart w:id="2541" w:name="_Toc13738034"/>
      <w:bookmarkStart w:id="2542" w:name="_Toc25308592"/>
      <w:bookmarkStart w:id="2543" w:name="_Toc11240212"/>
      <w:bookmarkStart w:id="2544" w:name="_Toc11405577"/>
      <w:bookmarkStart w:id="2545" w:name="_Toc11407354"/>
      <w:bookmarkStart w:id="2546" w:name="_Toc11485945"/>
      <w:bookmarkStart w:id="2547" w:name="_Toc11583473"/>
      <w:bookmarkStart w:id="2548" w:name="_Toc11692877"/>
      <w:bookmarkStart w:id="2549" w:name="_Toc11773383"/>
      <w:bookmarkStart w:id="2550" w:name="_Toc11827185"/>
      <w:bookmarkStart w:id="2551" w:name="_Toc11833893"/>
      <w:bookmarkStart w:id="2552" w:name="_Toc11848288"/>
      <w:bookmarkStart w:id="2553" w:name="_Toc11851945"/>
      <w:bookmarkStart w:id="2554" w:name="_Toc12608785"/>
      <w:bookmarkStart w:id="2555" w:name="_Toc12706740"/>
      <w:bookmarkStart w:id="2556" w:name="_Toc12860677"/>
      <w:bookmarkStart w:id="2557" w:name="_Toc12862246"/>
      <w:bookmarkStart w:id="2558" w:name="_Toc12864292"/>
      <w:bookmarkStart w:id="2559" w:name="_Toc13551843"/>
      <w:bookmarkStart w:id="2560" w:name="_Toc13737620"/>
      <w:bookmarkStart w:id="2561" w:name="_Toc13738035"/>
      <w:bookmarkStart w:id="2562" w:name="_Toc25308593"/>
      <w:bookmarkStart w:id="2563" w:name="_Toc11240213"/>
      <w:bookmarkStart w:id="2564" w:name="_Toc11405578"/>
      <w:bookmarkStart w:id="2565" w:name="_Toc11407355"/>
      <w:bookmarkStart w:id="2566" w:name="_Toc11485946"/>
      <w:bookmarkStart w:id="2567" w:name="_Toc11583474"/>
      <w:bookmarkStart w:id="2568" w:name="_Toc11692878"/>
      <w:bookmarkStart w:id="2569" w:name="_Toc11773384"/>
      <w:bookmarkStart w:id="2570" w:name="_Toc11827186"/>
      <w:bookmarkStart w:id="2571" w:name="_Toc11833894"/>
      <w:bookmarkStart w:id="2572" w:name="_Toc11848289"/>
      <w:bookmarkStart w:id="2573" w:name="_Toc11851946"/>
      <w:bookmarkStart w:id="2574" w:name="_Toc12608786"/>
      <w:bookmarkStart w:id="2575" w:name="_Toc12706741"/>
      <w:bookmarkStart w:id="2576" w:name="_Toc12860678"/>
      <w:bookmarkStart w:id="2577" w:name="_Toc12862247"/>
      <w:bookmarkStart w:id="2578" w:name="_Toc12864293"/>
      <w:bookmarkStart w:id="2579" w:name="_Toc13551844"/>
      <w:bookmarkStart w:id="2580" w:name="_Toc13737621"/>
      <w:bookmarkStart w:id="2581" w:name="_Toc13738036"/>
      <w:bookmarkStart w:id="2582" w:name="_Toc25308594"/>
      <w:bookmarkStart w:id="2583" w:name="_Toc11240214"/>
      <w:bookmarkStart w:id="2584" w:name="_Toc11405579"/>
      <w:bookmarkStart w:id="2585" w:name="_Toc11407356"/>
      <w:bookmarkStart w:id="2586" w:name="_Toc11485947"/>
      <w:bookmarkStart w:id="2587" w:name="_Toc11583475"/>
      <w:bookmarkStart w:id="2588" w:name="_Toc11692879"/>
      <w:bookmarkStart w:id="2589" w:name="_Toc11773385"/>
      <w:bookmarkStart w:id="2590" w:name="_Toc11827187"/>
      <w:bookmarkStart w:id="2591" w:name="_Toc11833895"/>
      <w:bookmarkStart w:id="2592" w:name="_Toc11848290"/>
      <w:bookmarkStart w:id="2593" w:name="_Toc11851947"/>
      <w:bookmarkStart w:id="2594" w:name="_Toc12608787"/>
      <w:bookmarkStart w:id="2595" w:name="_Toc12706742"/>
      <w:bookmarkStart w:id="2596" w:name="_Toc12860679"/>
      <w:bookmarkStart w:id="2597" w:name="_Toc12862248"/>
      <w:bookmarkStart w:id="2598" w:name="_Toc12864294"/>
      <w:bookmarkStart w:id="2599" w:name="_Toc13551845"/>
      <w:bookmarkStart w:id="2600" w:name="_Toc13737622"/>
      <w:bookmarkStart w:id="2601" w:name="_Toc13738037"/>
      <w:bookmarkStart w:id="2602" w:name="_Toc25308595"/>
      <w:bookmarkStart w:id="2603" w:name="_Toc11240215"/>
      <w:bookmarkStart w:id="2604" w:name="_Toc11405580"/>
      <w:bookmarkStart w:id="2605" w:name="_Toc11407357"/>
      <w:bookmarkStart w:id="2606" w:name="_Toc11485948"/>
      <w:bookmarkStart w:id="2607" w:name="_Toc11583476"/>
      <w:bookmarkStart w:id="2608" w:name="_Toc11692880"/>
      <w:bookmarkStart w:id="2609" w:name="_Toc11773386"/>
      <w:bookmarkStart w:id="2610" w:name="_Toc11827188"/>
      <w:bookmarkStart w:id="2611" w:name="_Toc11833896"/>
      <w:bookmarkStart w:id="2612" w:name="_Toc11848291"/>
      <w:bookmarkStart w:id="2613" w:name="_Toc11851948"/>
      <w:bookmarkStart w:id="2614" w:name="_Toc12608788"/>
      <w:bookmarkStart w:id="2615" w:name="_Toc12706743"/>
      <w:bookmarkStart w:id="2616" w:name="_Toc12860680"/>
      <w:bookmarkStart w:id="2617" w:name="_Toc12862249"/>
      <w:bookmarkStart w:id="2618" w:name="_Toc12864295"/>
      <w:bookmarkStart w:id="2619" w:name="_Toc13551846"/>
      <w:bookmarkStart w:id="2620" w:name="_Toc13737623"/>
      <w:bookmarkStart w:id="2621" w:name="_Toc13738038"/>
      <w:bookmarkStart w:id="2622" w:name="_Toc25308596"/>
      <w:bookmarkStart w:id="2623" w:name="_Toc33602925"/>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r w:rsidRPr="0068098B">
        <w:t>P</w:t>
      </w:r>
      <w:r w:rsidR="00A97654" w:rsidRPr="0068098B">
        <w:t>re-release and leave of absence</w:t>
      </w:r>
      <w:bookmarkEnd w:id="2623"/>
    </w:p>
    <w:p w14:paraId="7B94F094" w14:textId="77777777" w:rsidR="008B3E81" w:rsidRPr="0068098B" w:rsidRDefault="008B3E81" w:rsidP="008B3E81">
      <w:pPr>
        <w:pStyle w:val="NormalIndent"/>
        <w:keepNext/>
        <w:rPr>
          <w:rFonts w:ascii="Calibri" w:hAnsi="Calibri"/>
        </w:rPr>
      </w:pPr>
    </w:p>
    <w:p w14:paraId="1929B098" w14:textId="03DE2CC2" w:rsidR="00A97654" w:rsidRPr="0068098B" w:rsidRDefault="0032090C"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In </w:t>
      </w:r>
      <w:r w:rsidRPr="0068098B">
        <w:rPr>
          <w:rFonts w:asciiTheme="minorHAnsi" w:hAnsiTheme="minorHAnsi" w:cs="Arial"/>
          <w:szCs w:val="22"/>
        </w:rPr>
        <w:t>general</w:t>
      </w:r>
      <w:r w:rsidRPr="0068098B">
        <w:rPr>
          <w:rFonts w:asciiTheme="minorHAnsi" w:hAnsiTheme="minorHAnsi"/>
        </w:rPr>
        <w:t xml:space="preserve"> </w:t>
      </w:r>
      <w:r w:rsidR="001612DC" w:rsidRPr="0068098B">
        <w:rPr>
          <w:rFonts w:asciiTheme="minorHAnsi" w:hAnsiTheme="minorHAnsi"/>
        </w:rPr>
        <w:t>State/Territory</w:t>
      </w:r>
      <w:r w:rsidRPr="0068098B">
        <w:rPr>
          <w:rFonts w:asciiTheme="minorHAnsi" w:hAnsiTheme="minorHAnsi"/>
        </w:rPr>
        <w:t xml:space="preserve"> laws relating to leave of absence and pre-release apply to federal prisoners.</w:t>
      </w:r>
      <w:r w:rsidRPr="0068098B">
        <w:rPr>
          <w:rStyle w:val="Style"/>
          <w:rFonts w:asciiTheme="minorHAnsi" w:hAnsiTheme="minorHAnsi"/>
        </w:rPr>
        <w:footnoteReference w:id="925"/>
      </w:r>
      <w:r w:rsidRPr="0068098B">
        <w:rPr>
          <w:rFonts w:asciiTheme="minorHAnsi" w:hAnsiTheme="minorHAnsi"/>
        </w:rPr>
        <w:t xml:space="preserve">  </w:t>
      </w:r>
    </w:p>
    <w:p w14:paraId="169DC023" w14:textId="77777777" w:rsidR="008645D4" w:rsidRPr="0068098B" w:rsidRDefault="008645D4" w:rsidP="007C11C2">
      <w:pPr>
        <w:widowControl w:val="0"/>
        <w:tabs>
          <w:tab w:val="left" w:pos="284"/>
          <w:tab w:val="left" w:pos="993"/>
        </w:tabs>
        <w:spacing w:line="276" w:lineRule="auto"/>
        <w:ind w:left="567" w:hanging="567"/>
        <w:jc w:val="both"/>
        <w:rPr>
          <w:rFonts w:asciiTheme="minorHAnsi" w:hAnsiTheme="minorHAnsi"/>
        </w:rPr>
      </w:pPr>
    </w:p>
    <w:p w14:paraId="3CE0BB7B" w14:textId="4D55E5C4" w:rsidR="008645D4" w:rsidRPr="0068098B" w:rsidRDefault="008645D4"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The </w:t>
      </w:r>
      <w:r w:rsidR="001216D1" w:rsidRPr="0068098B">
        <w:rPr>
          <w:rFonts w:asciiTheme="minorHAnsi" w:hAnsiTheme="minorHAnsi" w:cs="Arial"/>
          <w:szCs w:val="22"/>
        </w:rPr>
        <w:t>Commonwealth</w:t>
      </w:r>
      <w:r w:rsidR="001216D1" w:rsidRPr="0068098B">
        <w:rPr>
          <w:rFonts w:asciiTheme="minorHAnsi" w:hAnsiTheme="minorHAnsi"/>
        </w:rPr>
        <w:t xml:space="preserve"> </w:t>
      </w:r>
      <w:r w:rsidRPr="0068098B">
        <w:rPr>
          <w:rFonts w:asciiTheme="minorHAnsi" w:hAnsiTheme="minorHAnsi"/>
        </w:rPr>
        <w:t>Attorney-General has a discretion to release an offender up to 3</w:t>
      </w:r>
      <w:r w:rsidR="001216D1" w:rsidRPr="0068098B">
        <w:rPr>
          <w:rFonts w:asciiTheme="minorHAnsi" w:hAnsiTheme="minorHAnsi"/>
        </w:rPr>
        <w:t>0</w:t>
      </w:r>
      <w:r w:rsidR="00C002CE" w:rsidRPr="0068098B">
        <w:rPr>
          <w:rFonts w:asciiTheme="minorHAnsi" w:hAnsiTheme="minorHAnsi"/>
        </w:rPr>
        <w:t xml:space="preserve"> </w:t>
      </w:r>
      <w:r w:rsidRPr="0068098B">
        <w:rPr>
          <w:rFonts w:asciiTheme="minorHAnsi" w:hAnsiTheme="minorHAnsi"/>
        </w:rPr>
        <w:t xml:space="preserve">days before the end of the </w:t>
      </w:r>
      <w:r w:rsidR="00867A0E" w:rsidRPr="0068098B">
        <w:rPr>
          <w:rFonts w:asciiTheme="minorHAnsi" w:hAnsiTheme="minorHAnsi"/>
        </w:rPr>
        <w:t>NPP</w:t>
      </w:r>
      <w:r w:rsidRPr="0068098B">
        <w:rPr>
          <w:rFonts w:asciiTheme="minorHAnsi" w:hAnsiTheme="minorHAnsi"/>
        </w:rPr>
        <w:t>.</w:t>
      </w:r>
      <w:r w:rsidRPr="0068098B">
        <w:rPr>
          <w:rStyle w:val="Style"/>
          <w:rFonts w:asciiTheme="minorHAnsi" w:hAnsiTheme="minorHAnsi"/>
        </w:rPr>
        <w:footnoteReference w:id="926"/>
      </w:r>
    </w:p>
    <w:p w14:paraId="14854370" w14:textId="77777777" w:rsidR="00455F4C" w:rsidRPr="0068098B" w:rsidRDefault="00455F4C" w:rsidP="007C11C2">
      <w:pPr>
        <w:widowControl w:val="0"/>
        <w:spacing w:line="276" w:lineRule="auto"/>
        <w:rPr>
          <w:rFonts w:asciiTheme="minorHAnsi" w:hAnsiTheme="minorHAnsi"/>
        </w:rPr>
      </w:pPr>
    </w:p>
    <w:p w14:paraId="5778ECCA" w14:textId="5861B2A7" w:rsidR="00A97654" w:rsidRPr="0068098B" w:rsidRDefault="00A97654" w:rsidP="008B3E81">
      <w:pPr>
        <w:pStyle w:val="Heading3"/>
      </w:pPr>
      <w:bookmarkStart w:id="2624" w:name="_Toc33602926"/>
      <w:r w:rsidRPr="0068098B">
        <w:t>Release on licence</w:t>
      </w:r>
      <w:bookmarkEnd w:id="2624"/>
    </w:p>
    <w:p w14:paraId="5520D7B3" w14:textId="77777777" w:rsidR="001638DE" w:rsidRPr="0068098B" w:rsidRDefault="001638DE" w:rsidP="008B3E81">
      <w:pPr>
        <w:pStyle w:val="NormalIndent"/>
        <w:keepNext/>
        <w:spacing w:line="276" w:lineRule="auto"/>
        <w:rPr>
          <w:rFonts w:asciiTheme="minorHAnsi" w:hAnsiTheme="minorHAnsi"/>
        </w:rPr>
      </w:pPr>
    </w:p>
    <w:p w14:paraId="336C4D0D" w14:textId="5BD89BA2" w:rsidR="000B4588" w:rsidRPr="0068098B" w:rsidRDefault="0032090C">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A federal prisoner can be released on licence.  This is a form of discretionary conditional release exercised by the Commonwealth Attorney-General or </w:t>
      </w:r>
      <w:r w:rsidR="009C4492" w:rsidRPr="0068098B">
        <w:rPr>
          <w:rFonts w:asciiTheme="minorHAnsi" w:hAnsiTheme="minorHAnsi"/>
        </w:rPr>
        <w:t>their</w:t>
      </w:r>
      <w:r w:rsidRPr="0068098B">
        <w:rPr>
          <w:rFonts w:asciiTheme="minorHAnsi" w:hAnsiTheme="minorHAnsi"/>
        </w:rPr>
        <w:t xml:space="preserve"> delegate in exceptional circumstances.</w:t>
      </w:r>
      <w:r w:rsidRPr="0068098B">
        <w:rPr>
          <w:rStyle w:val="Style"/>
          <w:rFonts w:asciiTheme="minorHAnsi" w:hAnsiTheme="minorHAnsi"/>
        </w:rPr>
        <w:footnoteReference w:id="927"/>
      </w:r>
      <w:r w:rsidRPr="0068098B">
        <w:rPr>
          <w:rFonts w:asciiTheme="minorHAnsi" w:hAnsiTheme="minorHAnsi"/>
        </w:rPr>
        <w:t xml:space="preserve">  </w:t>
      </w:r>
    </w:p>
    <w:p w14:paraId="1401E3E6" w14:textId="77777777" w:rsidR="000B4588" w:rsidRPr="0068098B" w:rsidRDefault="000B4588" w:rsidP="00EB7F1E">
      <w:pPr>
        <w:spacing w:line="276" w:lineRule="auto"/>
        <w:rPr>
          <w:rFonts w:asciiTheme="minorHAnsi" w:hAnsiTheme="minorHAnsi"/>
        </w:rPr>
      </w:pPr>
    </w:p>
    <w:p w14:paraId="6BF70153" w14:textId="1FD78B1E" w:rsidR="000B4588" w:rsidRPr="0068098B" w:rsidRDefault="001778EF">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S</w:t>
      </w:r>
      <w:r w:rsidR="00455F4C" w:rsidRPr="0068098B">
        <w:rPr>
          <w:rFonts w:asciiTheme="minorHAnsi" w:hAnsiTheme="minorHAnsi"/>
        </w:rPr>
        <w:t>ection</w:t>
      </w:r>
      <w:r w:rsidRPr="0068098B">
        <w:rPr>
          <w:rFonts w:asciiTheme="minorHAnsi" w:hAnsiTheme="minorHAnsi"/>
        </w:rPr>
        <w:t xml:space="preserve"> 19AP(4A) </w:t>
      </w:r>
      <w:r w:rsidR="00251770" w:rsidRPr="0068098B">
        <w:rPr>
          <w:rFonts w:asciiTheme="minorHAnsi" w:hAnsiTheme="minorHAnsi"/>
        </w:rPr>
        <w:t xml:space="preserve">of </w:t>
      </w:r>
      <w:r w:rsidRPr="0068098B">
        <w:rPr>
          <w:rFonts w:asciiTheme="minorHAnsi" w:hAnsiTheme="minorHAnsi"/>
        </w:rPr>
        <w:t xml:space="preserve">the </w:t>
      </w:r>
      <w:r w:rsidR="00885EFD" w:rsidRPr="0068098B">
        <w:rPr>
          <w:rFonts w:asciiTheme="minorHAnsi" w:hAnsiTheme="minorHAnsi"/>
          <w:i/>
        </w:rPr>
        <w:t>Crimes Act 1914</w:t>
      </w:r>
      <w:r w:rsidRPr="0068098B">
        <w:rPr>
          <w:rFonts w:asciiTheme="minorHAnsi" w:hAnsiTheme="minorHAnsi"/>
        </w:rPr>
        <w:t xml:space="preserve"> (Cth) provides examples of grounds on which the Attorney-General may consider granting early release on licence.  G</w:t>
      </w:r>
      <w:r w:rsidR="0032090C" w:rsidRPr="0068098B">
        <w:rPr>
          <w:rFonts w:asciiTheme="minorHAnsi" w:hAnsiTheme="minorHAnsi"/>
        </w:rPr>
        <w:t xml:space="preserve">rounds for release on licence </w:t>
      </w:r>
      <w:r w:rsidRPr="0068098B">
        <w:rPr>
          <w:rFonts w:asciiTheme="minorHAnsi" w:hAnsiTheme="minorHAnsi"/>
        </w:rPr>
        <w:t>include</w:t>
      </w:r>
      <w:r w:rsidR="000B4588" w:rsidRPr="0068098B">
        <w:rPr>
          <w:rFonts w:asciiTheme="minorHAnsi" w:hAnsiTheme="minorHAnsi"/>
        </w:rPr>
        <w:t>:</w:t>
      </w:r>
    </w:p>
    <w:p w14:paraId="6A8A695C" w14:textId="2B00BBA4" w:rsidR="000B4588" w:rsidRPr="0068098B" w:rsidRDefault="001778EF" w:rsidP="000B4588">
      <w:pPr>
        <w:pStyle w:val="ListParagraph"/>
        <w:numPr>
          <w:ilvl w:val="1"/>
          <w:numId w:val="36"/>
        </w:numPr>
        <w:spacing w:line="276" w:lineRule="auto"/>
        <w:ind w:left="993" w:right="28" w:hanging="142"/>
        <w:rPr>
          <w:rFonts w:asciiTheme="minorHAnsi" w:hAnsiTheme="minorHAnsi"/>
        </w:rPr>
      </w:pPr>
      <w:r w:rsidRPr="0068098B">
        <w:rPr>
          <w:rFonts w:asciiTheme="minorHAnsi" w:hAnsiTheme="minorHAnsi"/>
        </w:rPr>
        <w:t xml:space="preserve"> </w:t>
      </w:r>
      <w:r w:rsidR="0032090C" w:rsidRPr="0068098B">
        <w:rPr>
          <w:rFonts w:asciiTheme="minorHAnsi" w:hAnsiTheme="minorHAnsi"/>
        </w:rPr>
        <w:t>where the prisoner is ill and requires treatment which is not available in the prison system</w:t>
      </w:r>
      <w:r w:rsidR="000B4588" w:rsidRPr="0068098B">
        <w:rPr>
          <w:rFonts w:asciiTheme="minorHAnsi" w:hAnsiTheme="minorHAnsi"/>
        </w:rPr>
        <w:t>;</w:t>
      </w:r>
      <w:r w:rsidR="0032090C" w:rsidRPr="0068098B">
        <w:rPr>
          <w:rFonts w:asciiTheme="minorHAnsi" w:hAnsiTheme="minorHAnsi"/>
        </w:rPr>
        <w:t xml:space="preserve"> </w:t>
      </w:r>
    </w:p>
    <w:p w14:paraId="61B2079D" w14:textId="73E5DF86" w:rsidR="000B4588" w:rsidRPr="0068098B" w:rsidRDefault="0032090C" w:rsidP="000B4588">
      <w:pPr>
        <w:pStyle w:val="ListParagraph"/>
        <w:numPr>
          <w:ilvl w:val="1"/>
          <w:numId w:val="36"/>
        </w:numPr>
        <w:spacing w:line="276" w:lineRule="auto"/>
        <w:ind w:left="993" w:right="28" w:hanging="142"/>
        <w:rPr>
          <w:rFonts w:asciiTheme="minorHAnsi" w:hAnsiTheme="minorHAnsi"/>
        </w:rPr>
      </w:pPr>
      <w:r w:rsidRPr="0068098B">
        <w:rPr>
          <w:rFonts w:asciiTheme="minorHAnsi" w:hAnsiTheme="minorHAnsi"/>
        </w:rPr>
        <w:t xml:space="preserve"> where the prisoner has assisted law enforcement authorities but this was not taken into account in sentencing</w:t>
      </w:r>
      <w:r w:rsidR="000B4588" w:rsidRPr="0068098B">
        <w:rPr>
          <w:rFonts w:asciiTheme="minorHAnsi" w:hAnsiTheme="minorHAnsi"/>
        </w:rPr>
        <w:t>;</w:t>
      </w:r>
      <w:r w:rsidR="001778EF" w:rsidRPr="0068098B">
        <w:rPr>
          <w:rFonts w:asciiTheme="minorHAnsi" w:hAnsiTheme="minorHAnsi"/>
        </w:rPr>
        <w:t xml:space="preserve"> or</w:t>
      </w:r>
    </w:p>
    <w:p w14:paraId="7C651449" w14:textId="77777777" w:rsidR="000B4588" w:rsidRPr="0068098B" w:rsidRDefault="001778EF" w:rsidP="000B4588">
      <w:pPr>
        <w:pStyle w:val="ListParagraph"/>
        <w:numPr>
          <w:ilvl w:val="1"/>
          <w:numId w:val="36"/>
        </w:numPr>
        <w:spacing w:line="276" w:lineRule="auto"/>
        <w:ind w:left="993" w:right="28" w:hanging="142"/>
        <w:rPr>
          <w:rFonts w:asciiTheme="minorHAnsi" w:hAnsiTheme="minorHAnsi"/>
        </w:rPr>
      </w:pPr>
      <w:r w:rsidRPr="0068098B">
        <w:rPr>
          <w:rFonts w:asciiTheme="minorHAnsi" w:hAnsiTheme="minorHAnsi"/>
        </w:rPr>
        <w:t xml:space="preserve"> where the prisoner co</w:t>
      </w:r>
      <w:r w:rsidR="000D3927" w:rsidRPr="0068098B">
        <w:rPr>
          <w:rFonts w:asciiTheme="minorHAnsi" w:hAnsiTheme="minorHAnsi"/>
        </w:rPr>
        <w:t>-</w:t>
      </w:r>
      <w:r w:rsidRPr="0068098B">
        <w:rPr>
          <w:rFonts w:asciiTheme="minorHAnsi" w:hAnsiTheme="minorHAnsi"/>
        </w:rPr>
        <w:t>operated with law enforcement agencies after sentencing</w:t>
      </w:r>
      <w:r w:rsidR="0032090C" w:rsidRPr="0068098B">
        <w:rPr>
          <w:rFonts w:asciiTheme="minorHAnsi" w:hAnsiTheme="minorHAnsi"/>
        </w:rPr>
        <w:t>.</w:t>
      </w:r>
    </w:p>
    <w:p w14:paraId="55ADD0FD" w14:textId="77777777" w:rsidR="000B4588" w:rsidRPr="0068098B" w:rsidRDefault="000B4588" w:rsidP="00EB7F1E">
      <w:pPr>
        <w:spacing w:line="276" w:lineRule="auto"/>
        <w:rPr>
          <w:rFonts w:asciiTheme="minorHAnsi" w:hAnsiTheme="minorHAnsi"/>
        </w:rPr>
      </w:pPr>
    </w:p>
    <w:p w14:paraId="67FFD174" w14:textId="562B4FD4" w:rsidR="007151EE" w:rsidRPr="0068098B" w:rsidRDefault="0032090C"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A licence sets out the conditions that must be complied with</w:t>
      </w:r>
      <w:r w:rsidR="000B4588" w:rsidRPr="0068098B">
        <w:rPr>
          <w:rFonts w:asciiTheme="minorHAnsi" w:hAnsiTheme="minorHAnsi"/>
        </w:rPr>
        <w:t>,</w:t>
      </w:r>
      <w:r w:rsidRPr="0068098B">
        <w:rPr>
          <w:rFonts w:asciiTheme="minorHAnsi" w:hAnsiTheme="minorHAnsi"/>
        </w:rPr>
        <w:t xml:space="preserve"> including a condition requiring the person to be of good behaviour.</w:t>
      </w:r>
    </w:p>
    <w:p w14:paraId="5C1350C4" w14:textId="77777777" w:rsidR="007151EE" w:rsidRPr="0068098B" w:rsidRDefault="007151EE" w:rsidP="007C11C2">
      <w:pPr>
        <w:widowControl w:val="0"/>
        <w:tabs>
          <w:tab w:val="left" w:pos="284"/>
          <w:tab w:val="left" w:pos="993"/>
        </w:tabs>
        <w:spacing w:line="276" w:lineRule="auto"/>
        <w:ind w:left="567" w:hanging="567"/>
        <w:jc w:val="both"/>
        <w:rPr>
          <w:rFonts w:asciiTheme="minorHAnsi" w:hAnsiTheme="minorHAnsi"/>
        </w:rPr>
      </w:pPr>
    </w:p>
    <w:p w14:paraId="6C0E522E" w14:textId="2DBA9E41" w:rsidR="00A63409" w:rsidRPr="0068098B" w:rsidRDefault="0032090C">
      <w:pPr>
        <w:pStyle w:val="ListParagraph"/>
        <w:numPr>
          <w:ilvl w:val="0"/>
          <w:numId w:val="7"/>
        </w:numPr>
        <w:spacing w:line="276" w:lineRule="auto"/>
        <w:ind w:left="425" w:hanging="425"/>
        <w:contextualSpacing w:val="0"/>
        <w:rPr>
          <w:rFonts w:asciiTheme="minorHAnsi" w:hAnsiTheme="minorHAnsi"/>
        </w:rPr>
      </w:pPr>
      <w:bookmarkStart w:id="2625" w:name="_Hlk506987405"/>
      <w:r w:rsidRPr="0068098B">
        <w:rPr>
          <w:rFonts w:asciiTheme="minorHAnsi" w:hAnsiTheme="minorHAnsi"/>
        </w:rPr>
        <w:t xml:space="preserve">When released on licence an offender is taken to be </w:t>
      </w:r>
      <w:r w:rsidR="0022762B" w:rsidRPr="0068098B">
        <w:rPr>
          <w:rFonts w:asciiTheme="minorHAnsi" w:hAnsiTheme="minorHAnsi"/>
        </w:rPr>
        <w:t xml:space="preserve">still </w:t>
      </w:r>
      <w:r w:rsidRPr="0068098B">
        <w:rPr>
          <w:rFonts w:asciiTheme="minorHAnsi" w:hAnsiTheme="minorHAnsi"/>
        </w:rPr>
        <w:t>under sentence and not to have served any time that remained at the b</w:t>
      </w:r>
      <w:r w:rsidR="00191EC6" w:rsidRPr="0068098B">
        <w:rPr>
          <w:rFonts w:asciiTheme="minorHAnsi" w:hAnsiTheme="minorHAnsi"/>
        </w:rPr>
        <w:t>eginning of the licence period,</w:t>
      </w:r>
      <w:r w:rsidRPr="0068098B">
        <w:rPr>
          <w:rFonts w:asciiTheme="minorHAnsi" w:hAnsiTheme="minorHAnsi"/>
        </w:rPr>
        <w:t xml:space="preserve"> unless the licence period ends without being revoked.</w:t>
      </w:r>
      <w:r w:rsidRPr="0068098B">
        <w:rPr>
          <w:rStyle w:val="Style"/>
          <w:rFonts w:asciiTheme="minorHAnsi" w:hAnsiTheme="minorHAnsi"/>
        </w:rPr>
        <w:footnoteReference w:id="928"/>
      </w:r>
    </w:p>
    <w:p w14:paraId="45315A2B" w14:textId="77777777" w:rsidR="0031431C" w:rsidRPr="006E33A0" w:rsidRDefault="0031431C" w:rsidP="00EB7F1E">
      <w:pPr>
        <w:pStyle w:val="ListParagraph"/>
        <w:rPr>
          <w:rFonts w:asciiTheme="minorHAnsi" w:hAnsiTheme="minorHAnsi"/>
          <w:highlight w:val="cyan"/>
        </w:rPr>
      </w:pPr>
    </w:p>
    <w:p w14:paraId="25023C6A" w14:textId="779E956B" w:rsidR="0031431C" w:rsidRPr="0068098B" w:rsidRDefault="0031431C" w:rsidP="00EB7F1E">
      <w:pPr>
        <w:pStyle w:val="ListParagraph"/>
        <w:numPr>
          <w:ilvl w:val="0"/>
          <w:numId w:val="7"/>
        </w:numPr>
        <w:spacing w:line="276" w:lineRule="auto"/>
        <w:ind w:left="425" w:hanging="425"/>
        <w:contextualSpacing w:val="0"/>
        <w:rPr>
          <w:rFonts w:asciiTheme="minorHAnsi" w:hAnsiTheme="minorHAnsi"/>
        </w:rPr>
      </w:pPr>
      <w:r w:rsidRPr="0068098B">
        <w:rPr>
          <w:rFonts w:asciiTheme="minorHAnsi" w:hAnsiTheme="minorHAnsi"/>
        </w:rPr>
        <w:t xml:space="preserve">Like a parole order, a licence is subject to automatic revocation under s 19AQ or revocation by the Attorney-General under s 19AU of the </w:t>
      </w:r>
      <w:r w:rsidRPr="0068098B">
        <w:rPr>
          <w:rFonts w:asciiTheme="minorHAnsi" w:hAnsiTheme="minorHAnsi"/>
          <w:i/>
        </w:rPr>
        <w:t>Crimes Act 1914</w:t>
      </w:r>
      <w:r w:rsidRPr="0068098B">
        <w:rPr>
          <w:rFonts w:asciiTheme="minorHAnsi" w:hAnsiTheme="minorHAnsi"/>
        </w:rPr>
        <w:t xml:space="preserve"> (Cth).  </w:t>
      </w:r>
      <w:r w:rsidR="00A527F0" w:rsidRPr="0068098B">
        <w:rPr>
          <w:rFonts w:asciiTheme="minorHAnsi" w:hAnsiTheme="minorHAnsi"/>
        </w:rPr>
        <w:t>See the discussion of the automatic or discretionary revocation of parole above for the relevant procedures and consequences.</w:t>
      </w:r>
    </w:p>
    <w:bookmarkEnd w:id="2625"/>
    <w:p w14:paraId="7CBC7C2B" w14:textId="77777777" w:rsidR="00393595" w:rsidRPr="0068098B" w:rsidRDefault="00393595" w:rsidP="00EB7F1E">
      <w:pPr>
        <w:pStyle w:val="ListParagraph"/>
        <w:numPr>
          <w:ilvl w:val="0"/>
          <w:numId w:val="7"/>
        </w:numPr>
        <w:rPr>
          <w:rFonts w:asciiTheme="minorHAnsi" w:hAnsiTheme="minorHAnsi"/>
          <w:b/>
          <w:i/>
          <w:sz w:val="24"/>
          <w:szCs w:val="24"/>
        </w:rPr>
      </w:pPr>
      <w:r w:rsidRPr="0068098B">
        <w:rPr>
          <w:rFonts w:asciiTheme="minorHAnsi" w:hAnsiTheme="minorHAnsi"/>
          <w:b/>
          <w:i/>
          <w:sz w:val="24"/>
          <w:szCs w:val="24"/>
        </w:rPr>
        <w:br w:type="page"/>
      </w:r>
    </w:p>
    <w:p w14:paraId="6EEAE0A4" w14:textId="003BD78E" w:rsidR="00860719" w:rsidRPr="0030195D" w:rsidRDefault="00860719" w:rsidP="008B3E81">
      <w:pPr>
        <w:pStyle w:val="Heading2"/>
      </w:pPr>
      <w:bookmarkStart w:id="2626" w:name="_Ref12599074"/>
      <w:bookmarkStart w:id="2627" w:name="_Ref12599077"/>
      <w:bookmarkStart w:id="2628" w:name="_Toc33602927"/>
      <w:r w:rsidRPr="0030195D">
        <w:t xml:space="preserve">Options not </w:t>
      </w:r>
      <w:r w:rsidR="003556DE" w:rsidRPr="0030195D">
        <w:t xml:space="preserve">generally </w:t>
      </w:r>
      <w:r w:rsidRPr="0030195D">
        <w:t xml:space="preserve">available in sentencing </w:t>
      </w:r>
      <w:r w:rsidR="003556DE" w:rsidRPr="0030195D">
        <w:t>a federal o</w:t>
      </w:r>
      <w:r w:rsidRPr="0030195D">
        <w:t>ffender</w:t>
      </w:r>
      <w:bookmarkEnd w:id="2626"/>
      <w:bookmarkEnd w:id="2627"/>
      <w:bookmarkEnd w:id="2628"/>
    </w:p>
    <w:p w14:paraId="43B8D489" w14:textId="77777777" w:rsidR="00860719" w:rsidRPr="0030195D" w:rsidRDefault="00860719" w:rsidP="008B3E81">
      <w:pPr>
        <w:keepNext/>
        <w:spacing w:line="276" w:lineRule="auto"/>
        <w:ind w:left="567"/>
        <w:jc w:val="both"/>
        <w:rPr>
          <w:rFonts w:asciiTheme="minorHAnsi" w:hAnsiTheme="minorHAnsi"/>
        </w:rPr>
      </w:pPr>
    </w:p>
    <w:p w14:paraId="24BE6769" w14:textId="1759A10A" w:rsidR="00860719" w:rsidRPr="0030195D" w:rsidRDefault="00E94A14" w:rsidP="00EB7F1E">
      <w:pPr>
        <w:pStyle w:val="ListParagraph"/>
        <w:numPr>
          <w:ilvl w:val="0"/>
          <w:numId w:val="7"/>
        </w:numPr>
        <w:spacing w:line="276" w:lineRule="auto"/>
        <w:ind w:left="425" w:hanging="425"/>
        <w:contextualSpacing w:val="0"/>
        <w:rPr>
          <w:rFonts w:asciiTheme="minorHAnsi" w:hAnsiTheme="minorHAnsi"/>
        </w:rPr>
      </w:pPr>
      <w:r w:rsidRPr="0030195D">
        <w:rPr>
          <w:rFonts w:asciiTheme="minorHAnsi" w:hAnsiTheme="minorHAnsi"/>
        </w:rPr>
        <w:t xml:space="preserve">A number of options which are </w:t>
      </w:r>
      <w:r w:rsidR="00251770" w:rsidRPr="0030195D">
        <w:rPr>
          <w:rFonts w:asciiTheme="minorHAnsi" w:hAnsiTheme="minorHAnsi"/>
        </w:rPr>
        <w:t xml:space="preserve">commonly </w:t>
      </w:r>
      <w:r w:rsidRPr="0030195D">
        <w:rPr>
          <w:rFonts w:asciiTheme="minorHAnsi" w:hAnsiTheme="minorHAnsi"/>
        </w:rPr>
        <w:t xml:space="preserve">available for sentencing State or Territory offenders are not generally available </w:t>
      </w:r>
      <w:r w:rsidR="00860719" w:rsidRPr="0030195D">
        <w:rPr>
          <w:rFonts w:asciiTheme="minorHAnsi" w:hAnsiTheme="minorHAnsi"/>
        </w:rPr>
        <w:t>in sentencing</w:t>
      </w:r>
      <w:r w:rsidR="003556DE" w:rsidRPr="0030195D">
        <w:rPr>
          <w:rFonts w:asciiTheme="minorHAnsi" w:hAnsiTheme="minorHAnsi"/>
        </w:rPr>
        <w:t xml:space="preserve"> a</w:t>
      </w:r>
      <w:r w:rsidR="00860719" w:rsidRPr="0030195D">
        <w:rPr>
          <w:rFonts w:asciiTheme="minorHAnsi" w:hAnsiTheme="minorHAnsi"/>
        </w:rPr>
        <w:t xml:space="preserve"> federal offender</w:t>
      </w:r>
      <w:r w:rsidRPr="0030195D">
        <w:rPr>
          <w:rFonts w:asciiTheme="minorHAnsi" w:hAnsiTheme="minorHAnsi"/>
        </w:rPr>
        <w:t>.  Examples are</w:t>
      </w:r>
      <w:r w:rsidR="00860719" w:rsidRPr="0030195D">
        <w:rPr>
          <w:rFonts w:asciiTheme="minorHAnsi" w:hAnsiTheme="minorHAnsi"/>
        </w:rPr>
        <w:t>:</w:t>
      </w:r>
    </w:p>
    <w:p w14:paraId="4DC26C92" w14:textId="6936A096" w:rsidR="00E94A14" w:rsidRPr="0030195D" w:rsidRDefault="00F628FA" w:rsidP="00EB7F1E">
      <w:pPr>
        <w:pStyle w:val="ListParagraph"/>
        <w:numPr>
          <w:ilvl w:val="1"/>
          <w:numId w:val="36"/>
        </w:numPr>
        <w:spacing w:line="276" w:lineRule="auto"/>
        <w:ind w:left="993" w:right="28" w:hanging="142"/>
        <w:rPr>
          <w:rFonts w:asciiTheme="minorHAnsi" w:hAnsiTheme="minorHAnsi"/>
        </w:rPr>
      </w:pPr>
      <w:r w:rsidRPr="0030195D">
        <w:rPr>
          <w:rFonts w:asciiTheme="minorHAnsi" w:hAnsiTheme="minorHAnsi"/>
        </w:rPr>
        <w:t xml:space="preserve">convicting </w:t>
      </w:r>
      <w:r w:rsidR="00E94A14" w:rsidRPr="0030195D">
        <w:rPr>
          <w:rFonts w:asciiTheme="minorHAnsi" w:hAnsiTheme="minorHAnsi"/>
        </w:rPr>
        <w:t xml:space="preserve">and discharging; </w:t>
      </w:r>
    </w:p>
    <w:p w14:paraId="3EFAE448" w14:textId="05922C80" w:rsidR="00815BCA" w:rsidRPr="0030195D" w:rsidRDefault="00F628FA" w:rsidP="00EB7F1E">
      <w:pPr>
        <w:pStyle w:val="ListParagraph"/>
        <w:numPr>
          <w:ilvl w:val="1"/>
          <w:numId w:val="36"/>
        </w:numPr>
        <w:spacing w:line="276" w:lineRule="auto"/>
        <w:ind w:left="993" w:right="28" w:hanging="142"/>
        <w:rPr>
          <w:rFonts w:asciiTheme="minorHAnsi" w:hAnsiTheme="minorHAnsi"/>
        </w:rPr>
      </w:pPr>
      <w:r w:rsidRPr="0030195D">
        <w:rPr>
          <w:rFonts w:asciiTheme="minorHAnsi" w:hAnsiTheme="minorHAnsi"/>
        </w:rPr>
        <w:t xml:space="preserve">fine </w:t>
      </w:r>
      <w:r w:rsidR="00815BCA" w:rsidRPr="0030195D">
        <w:rPr>
          <w:rFonts w:asciiTheme="minorHAnsi" w:hAnsiTheme="minorHAnsi"/>
        </w:rPr>
        <w:t xml:space="preserve">without conviction; </w:t>
      </w:r>
    </w:p>
    <w:p w14:paraId="36CBFCB9" w14:textId="0C0261E5" w:rsidR="00E94A14" w:rsidRPr="0030195D" w:rsidRDefault="00F628FA" w:rsidP="00EB7F1E">
      <w:pPr>
        <w:pStyle w:val="ListParagraph"/>
        <w:numPr>
          <w:ilvl w:val="1"/>
          <w:numId w:val="36"/>
        </w:numPr>
        <w:spacing w:line="276" w:lineRule="auto"/>
        <w:ind w:left="993" w:right="28" w:hanging="142"/>
        <w:rPr>
          <w:rFonts w:asciiTheme="minorHAnsi" w:hAnsiTheme="minorHAnsi"/>
        </w:rPr>
      </w:pPr>
      <w:r w:rsidRPr="0030195D">
        <w:rPr>
          <w:rFonts w:asciiTheme="minorHAnsi" w:hAnsiTheme="minorHAnsi"/>
        </w:rPr>
        <w:t xml:space="preserve">community correction order </w:t>
      </w:r>
      <w:r w:rsidR="00251770" w:rsidRPr="0030195D">
        <w:rPr>
          <w:rFonts w:asciiTheme="minorHAnsi" w:hAnsiTheme="minorHAnsi"/>
        </w:rPr>
        <w:t xml:space="preserve">and the like </w:t>
      </w:r>
      <w:r w:rsidR="00E94A14" w:rsidRPr="0030195D">
        <w:rPr>
          <w:rFonts w:asciiTheme="minorHAnsi" w:hAnsiTheme="minorHAnsi"/>
        </w:rPr>
        <w:t>without conviction;</w:t>
      </w:r>
      <w:r w:rsidR="00304BBE" w:rsidRPr="0030195D">
        <w:rPr>
          <w:rFonts w:asciiTheme="minorHAnsi" w:hAnsiTheme="minorHAnsi"/>
        </w:rPr>
        <w:t xml:space="preserve"> and</w:t>
      </w:r>
    </w:p>
    <w:p w14:paraId="19519EEE" w14:textId="29AFF74E" w:rsidR="001D421D" w:rsidRPr="0030195D" w:rsidRDefault="00F628FA" w:rsidP="00EB7F1E">
      <w:pPr>
        <w:pStyle w:val="ListParagraph"/>
        <w:numPr>
          <w:ilvl w:val="1"/>
          <w:numId w:val="36"/>
        </w:numPr>
        <w:spacing w:line="276" w:lineRule="auto"/>
        <w:ind w:left="993" w:right="28" w:hanging="142"/>
        <w:rPr>
          <w:rFonts w:asciiTheme="minorHAnsi" w:hAnsiTheme="minorHAnsi"/>
        </w:rPr>
      </w:pPr>
      <w:r w:rsidRPr="0030195D">
        <w:rPr>
          <w:rFonts w:asciiTheme="minorHAnsi" w:hAnsiTheme="minorHAnsi"/>
        </w:rPr>
        <w:t xml:space="preserve">combinations </w:t>
      </w:r>
      <w:r w:rsidR="001D421D" w:rsidRPr="0030195D">
        <w:rPr>
          <w:rFonts w:asciiTheme="minorHAnsi" w:hAnsiTheme="minorHAnsi"/>
        </w:rPr>
        <w:t>of sentences.</w:t>
      </w:r>
    </w:p>
    <w:p w14:paraId="49BC45CF" w14:textId="77777777" w:rsidR="00E94A14" w:rsidRPr="0030195D" w:rsidRDefault="00E94A14" w:rsidP="00E94A14">
      <w:pPr>
        <w:widowControl w:val="0"/>
        <w:spacing w:line="276" w:lineRule="auto"/>
        <w:ind w:left="153" w:right="170"/>
        <w:jc w:val="both"/>
        <w:rPr>
          <w:rFonts w:asciiTheme="minorHAnsi" w:hAnsiTheme="minorHAnsi"/>
        </w:rPr>
      </w:pPr>
    </w:p>
    <w:p w14:paraId="7A7E78A6" w14:textId="03E1F7AF" w:rsidR="00E94A14" w:rsidRPr="0030195D" w:rsidRDefault="00E94A14" w:rsidP="00901174">
      <w:pPr>
        <w:pStyle w:val="ListParagraph"/>
        <w:numPr>
          <w:ilvl w:val="0"/>
          <w:numId w:val="7"/>
        </w:numPr>
        <w:spacing w:line="276" w:lineRule="auto"/>
        <w:ind w:left="425" w:hanging="425"/>
        <w:contextualSpacing w:val="0"/>
        <w:rPr>
          <w:rFonts w:asciiTheme="minorHAnsi" w:hAnsiTheme="minorHAnsi"/>
        </w:rPr>
      </w:pPr>
      <w:r w:rsidRPr="0030195D">
        <w:rPr>
          <w:rFonts w:asciiTheme="minorHAnsi" w:hAnsiTheme="minorHAnsi"/>
        </w:rPr>
        <w:t xml:space="preserve">These options may, however, be </w:t>
      </w:r>
      <w:r w:rsidR="003556DE" w:rsidRPr="0030195D">
        <w:rPr>
          <w:rFonts w:asciiTheme="minorHAnsi" w:hAnsiTheme="minorHAnsi"/>
        </w:rPr>
        <w:t xml:space="preserve">picked up and applied to the sentencing of a child or young person for a federal offence pursuant to s 20C of the </w:t>
      </w:r>
      <w:r w:rsidR="00885EFD" w:rsidRPr="0030195D">
        <w:rPr>
          <w:rFonts w:asciiTheme="minorHAnsi" w:hAnsiTheme="minorHAnsi"/>
          <w:i/>
        </w:rPr>
        <w:t>Crimes Act 1914</w:t>
      </w:r>
      <w:r w:rsidR="003556DE" w:rsidRPr="0030195D">
        <w:rPr>
          <w:rFonts w:asciiTheme="minorHAnsi" w:hAnsiTheme="minorHAnsi"/>
        </w:rPr>
        <w:t xml:space="preserve"> (Cth), provided they are not inconsistent with other provisions of the </w:t>
      </w:r>
      <w:r w:rsidR="003556DE" w:rsidRPr="0030195D">
        <w:rPr>
          <w:rFonts w:asciiTheme="minorHAnsi" w:hAnsiTheme="minorHAnsi"/>
          <w:i/>
        </w:rPr>
        <w:t>Crimes Act</w:t>
      </w:r>
      <w:r w:rsidR="003556DE" w:rsidRPr="0030195D">
        <w:rPr>
          <w:rFonts w:asciiTheme="minorHAnsi" w:hAnsiTheme="minorHAnsi"/>
        </w:rPr>
        <w:t xml:space="preserve"> or other Commonwealth laws.</w:t>
      </w:r>
      <w:r w:rsidR="00191EC6" w:rsidRPr="0030195D">
        <w:rPr>
          <w:rFonts w:asciiTheme="minorHAnsi" w:hAnsiTheme="minorHAnsi"/>
        </w:rPr>
        <w:t xml:space="preserve">  See “</w:t>
      </w:r>
      <w:r w:rsidR="00191EC6" w:rsidRPr="0030195D">
        <w:rPr>
          <w:rFonts w:asciiTheme="minorHAnsi" w:hAnsiTheme="minorHAnsi"/>
        </w:rPr>
        <w:fldChar w:fldCharType="begin"/>
      </w:r>
      <w:r w:rsidR="00191EC6" w:rsidRPr="0030195D">
        <w:rPr>
          <w:rFonts w:asciiTheme="minorHAnsi" w:hAnsiTheme="minorHAnsi"/>
        </w:rPr>
        <w:instrText xml:space="preserve"> REF _Ref507954659 \r \h  \* MERGEFORMAT </w:instrText>
      </w:r>
      <w:r w:rsidR="00191EC6" w:rsidRPr="0030195D">
        <w:rPr>
          <w:rFonts w:asciiTheme="minorHAnsi" w:hAnsiTheme="minorHAnsi"/>
        </w:rPr>
      </w:r>
      <w:r w:rsidR="00191EC6" w:rsidRPr="0030195D">
        <w:rPr>
          <w:rFonts w:asciiTheme="minorHAnsi" w:hAnsiTheme="minorHAnsi"/>
        </w:rPr>
        <w:fldChar w:fldCharType="separate"/>
      </w:r>
      <w:r w:rsidR="00D44BCF">
        <w:rPr>
          <w:rFonts w:asciiTheme="minorHAnsi" w:hAnsiTheme="minorHAnsi"/>
        </w:rPr>
        <w:t>8.2</w:t>
      </w:r>
      <w:r w:rsidR="00191EC6" w:rsidRPr="0030195D">
        <w:rPr>
          <w:rFonts w:asciiTheme="minorHAnsi" w:hAnsiTheme="minorHAnsi"/>
        </w:rPr>
        <w:fldChar w:fldCharType="end"/>
      </w:r>
      <w:r w:rsidR="00191EC6" w:rsidRPr="0030195D">
        <w:rPr>
          <w:rFonts w:asciiTheme="minorHAnsi" w:hAnsiTheme="minorHAnsi"/>
        </w:rPr>
        <w:t xml:space="preserve"> </w:t>
      </w:r>
      <w:r w:rsidR="00191EC6" w:rsidRPr="0030195D">
        <w:rPr>
          <w:rFonts w:asciiTheme="minorHAnsi" w:hAnsiTheme="minorHAnsi"/>
        </w:rPr>
        <w:fldChar w:fldCharType="begin"/>
      </w:r>
      <w:r w:rsidR="00191EC6" w:rsidRPr="0030195D">
        <w:rPr>
          <w:rFonts w:asciiTheme="minorHAnsi" w:hAnsiTheme="minorHAnsi"/>
        </w:rPr>
        <w:instrText xml:space="preserve"> REF _Ref507954661 \h  \* MERGEFORMAT </w:instrText>
      </w:r>
      <w:r w:rsidR="00191EC6" w:rsidRPr="0030195D">
        <w:rPr>
          <w:rFonts w:asciiTheme="minorHAnsi" w:hAnsiTheme="minorHAnsi"/>
        </w:rPr>
      </w:r>
      <w:r w:rsidR="00191EC6" w:rsidRPr="0030195D">
        <w:rPr>
          <w:rFonts w:asciiTheme="minorHAnsi" w:hAnsiTheme="minorHAnsi"/>
        </w:rPr>
        <w:fldChar w:fldCharType="separate"/>
      </w:r>
      <w:r w:rsidR="00D44BCF" w:rsidRPr="00D44BCF">
        <w:rPr>
          <w:rFonts w:asciiTheme="minorHAnsi" w:hAnsiTheme="minorHAnsi"/>
        </w:rPr>
        <w:t>Children and young persons</w:t>
      </w:r>
      <w:r w:rsidR="00191EC6" w:rsidRPr="0030195D">
        <w:rPr>
          <w:rFonts w:asciiTheme="minorHAnsi" w:hAnsiTheme="minorHAnsi"/>
        </w:rPr>
        <w:fldChar w:fldCharType="end"/>
      </w:r>
      <w:r w:rsidR="00191EC6" w:rsidRPr="0030195D">
        <w:rPr>
          <w:rFonts w:asciiTheme="minorHAnsi" w:hAnsiTheme="minorHAnsi"/>
        </w:rPr>
        <w:t>”.</w:t>
      </w:r>
    </w:p>
    <w:p w14:paraId="316F4037" w14:textId="77777777" w:rsidR="003556DE" w:rsidRPr="006E33A0" w:rsidRDefault="003556DE" w:rsidP="003556DE">
      <w:pPr>
        <w:pStyle w:val="Body"/>
        <w:widowControl w:val="0"/>
        <w:shd w:val="clear" w:color="auto" w:fill="FFFFFF" w:themeFill="background1"/>
        <w:tabs>
          <w:tab w:val="clear" w:pos="284"/>
        </w:tabs>
        <w:spacing w:line="276" w:lineRule="auto"/>
        <w:ind w:right="170"/>
        <w:jc w:val="both"/>
        <w:rPr>
          <w:rFonts w:asciiTheme="minorHAnsi" w:hAnsiTheme="minorHAnsi"/>
          <w:highlight w:val="cyan"/>
          <w:lang w:val="en-AU"/>
        </w:rPr>
      </w:pPr>
    </w:p>
    <w:p w14:paraId="72679D19" w14:textId="77777777" w:rsidR="00860719" w:rsidRPr="0030195D" w:rsidRDefault="00860719" w:rsidP="008B3E81">
      <w:pPr>
        <w:pStyle w:val="Heading3"/>
        <w:rPr>
          <w:bCs/>
        </w:rPr>
      </w:pPr>
      <w:bookmarkStart w:id="2629" w:name="_Toc33602928"/>
      <w:r w:rsidRPr="0030195D">
        <w:rPr>
          <w:bCs/>
        </w:rPr>
        <w:t>Convicting and discharging</w:t>
      </w:r>
      <w:bookmarkEnd w:id="2629"/>
      <w:r w:rsidRPr="0030195D">
        <w:rPr>
          <w:bCs/>
        </w:rPr>
        <w:t xml:space="preserve"> </w:t>
      </w:r>
    </w:p>
    <w:p w14:paraId="0C02AA77" w14:textId="77777777" w:rsidR="00860719" w:rsidRPr="0030195D" w:rsidRDefault="00860719" w:rsidP="008B3E81">
      <w:pPr>
        <w:pStyle w:val="NormalIndent"/>
        <w:keepNext/>
        <w:spacing w:line="276" w:lineRule="auto"/>
        <w:rPr>
          <w:rFonts w:asciiTheme="minorHAnsi" w:hAnsiTheme="minorHAnsi"/>
        </w:rPr>
      </w:pPr>
    </w:p>
    <w:p w14:paraId="3BE2F294" w14:textId="02852805" w:rsidR="00860719" w:rsidRPr="0030195D" w:rsidRDefault="00E94A14" w:rsidP="00EB7F1E">
      <w:pPr>
        <w:pStyle w:val="ListParagraph"/>
        <w:numPr>
          <w:ilvl w:val="0"/>
          <w:numId w:val="7"/>
        </w:numPr>
        <w:spacing w:line="276" w:lineRule="auto"/>
        <w:ind w:left="425" w:hanging="425"/>
        <w:contextualSpacing w:val="0"/>
        <w:rPr>
          <w:rFonts w:asciiTheme="minorHAnsi" w:hAnsiTheme="minorHAnsi"/>
        </w:rPr>
      </w:pPr>
      <w:r w:rsidRPr="0030195D">
        <w:rPr>
          <w:rFonts w:asciiTheme="minorHAnsi" w:hAnsiTheme="minorHAnsi"/>
        </w:rPr>
        <w:t xml:space="preserve">Upon conviction of a federal offender something more than the conviction itself must occur (such as a s 20(1)(a) bond or a fine).  Options under State or Territory law for convicting and discharging an offender, without more, are </w:t>
      </w:r>
      <w:r w:rsidR="00860719" w:rsidRPr="0030195D">
        <w:rPr>
          <w:rFonts w:asciiTheme="minorHAnsi" w:hAnsiTheme="minorHAnsi"/>
        </w:rPr>
        <w:t>not available in respect of a federal offender</w:t>
      </w:r>
      <w:r w:rsidR="001D64AA" w:rsidRPr="0030195D">
        <w:rPr>
          <w:rFonts w:asciiTheme="minorHAnsi" w:hAnsiTheme="minorHAnsi"/>
        </w:rPr>
        <w:t>.</w:t>
      </w:r>
      <w:r w:rsidR="00860719" w:rsidRPr="0030195D">
        <w:rPr>
          <w:rStyle w:val="Style"/>
          <w:rFonts w:asciiTheme="minorHAnsi" w:hAnsiTheme="minorHAnsi"/>
        </w:rPr>
        <w:footnoteReference w:id="929"/>
      </w:r>
    </w:p>
    <w:p w14:paraId="0C80E638" w14:textId="77777777" w:rsidR="00860719" w:rsidRPr="006E33A0" w:rsidRDefault="00860719" w:rsidP="00B32CD1">
      <w:pPr>
        <w:widowControl w:val="0"/>
        <w:tabs>
          <w:tab w:val="left" w:pos="426"/>
          <w:tab w:val="left" w:pos="993"/>
        </w:tabs>
        <w:spacing w:line="276" w:lineRule="auto"/>
        <w:ind w:left="579" w:right="170" w:hanging="426"/>
        <w:jc w:val="both"/>
        <w:rPr>
          <w:rFonts w:asciiTheme="minorHAnsi" w:hAnsiTheme="minorHAnsi"/>
          <w:highlight w:val="cyan"/>
        </w:rPr>
      </w:pPr>
    </w:p>
    <w:p w14:paraId="07AB3211" w14:textId="2F122D3E" w:rsidR="00815BCA" w:rsidRPr="0030195D" w:rsidRDefault="00815BCA" w:rsidP="008B3E81">
      <w:pPr>
        <w:pStyle w:val="Heading3"/>
        <w:rPr>
          <w:bCs/>
        </w:rPr>
      </w:pPr>
      <w:bookmarkStart w:id="2630" w:name="_Toc33602929"/>
      <w:r w:rsidRPr="0030195D">
        <w:rPr>
          <w:bCs/>
        </w:rPr>
        <w:t>Without conviction</w:t>
      </w:r>
      <w:r w:rsidR="00B13211" w:rsidRPr="0030195D">
        <w:rPr>
          <w:bCs/>
        </w:rPr>
        <w:t>,</w:t>
      </w:r>
      <w:r w:rsidRPr="0030195D">
        <w:rPr>
          <w:bCs/>
        </w:rPr>
        <w:t xml:space="preserve"> imposing a fine</w:t>
      </w:r>
      <w:bookmarkEnd w:id="2630"/>
    </w:p>
    <w:p w14:paraId="4DAC6D8C" w14:textId="77777777" w:rsidR="00815BCA" w:rsidRPr="0030195D" w:rsidRDefault="00815BCA" w:rsidP="008B3E81">
      <w:pPr>
        <w:pStyle w:val="NormalIndent"/>
        <w:keepNext/>
        <w:spacing w:line="276" w:lineRule="auto"/>
        <w:rPr>
          <w:rFonts w:asciiTheme="minorHAnsi" w:hAnsiTheme="minorHAnsi"/>
        </w:rPr>
      </w:pPr>
    </w:p>
    <w:p w14:paraId="6AF3769D" w14:textId="0582BCEC" w:rsidR="00815BCA" w:rsidRPr="0030195D" w:rsidRDefault="00815BCA" w:rsidP="00EB7F1E">
      <w:pPr>
        <w:pStyle w:val="ListParagraph"/>
        <w:numPr>
          <w:ilvl w:val="0"/>
          <w:numId w:val="7"/>
        </w:numPr>
        <w:spacing w:line="276" w:lineRule="auto"/>
        <w:ind w:left="425" w:hanging="425"/>
        <w:contextualSpacing w:val="0"/>
        <w:rPr>
          <w:rFonts w:asciiTheme="minorHAnsi" w:hAnsiTheme="minorHAnsi"/>
        </w:rPr>
      </w:pPr>
      <w:r w:rsidRPr="0030195D">
        <w:rPr>
          <w:rFonts w:asciiTheme="minorHAnsi" w:hAnsiTheme="minorHAnsi"/>
        </w:rPr>
        <w:t>This option is not available in respect of a federal offender.</w:t>
      </w:r>
      <w:r w:rsidRPr="0030195D">
        <w:rPr>
          <w:rStyle w:val="Style"/>
          <w:rFonts w:asciiTheme="minorHAnsi" w:hAnsiTheme="minorHAnsi"/>
        </w:rPr>
        <w:footnoteReference w:id="930"/>
      </w:r>
      <w:r w:rsidRPr="0030195D">
        <w:rPr>
          <w:rFonts w:asciiTheme="minorHAnsi" w:hAnsiTheme="minorHAnsi"/>
        </w:rPr>
        <w:t xml:space="preserve">  </w:t>
      </w:r>
      <w:r w:rsidR="0000360C" w:rsidRPr="0030195D">
        <w:rPr>
          <w:rFonts w:asciiTheme="minorHAnsi" w:hAnsiTheme="minorHAnsi"/>
        </w:rPr>
        <w:t>Powers to impose a fine for a federal offence apply only on conviction.</w:t>
      </w:r>
      <w:r w:rsidR="001D421D" w:rsidRPr="0030195D">
        <w:rPr>
          <w:rStyle w:val="Style"/>
          <w:rFonts w:asciiTheme="minorHAnsi" w:hAnsiTheme="minorHAnsi"/>
        </w:rPr>
        <w:footnoteReference w:id="931"/>
      </w:r>
      <w:r w:rsidR="0000360C" w:rsidRPr="0030195D">
        <w:rPr>
          <w:rFonts w:asciiTheme="minorHAnsi" w:hAnsiTheme="minorHAnsi"/>
        </w:rPr>
        <w:t xml:space="preserve">  </w:t>
      </w:r>
      <w:r w:rsidRPr="0030195D">
        <w:rPr>
          <w:rFonts w:asciiTheme="minorHAnsi" w:hAnsiTheme="minorHAnsi"/>
        </w:rPr>
        <w:t xml:space="preserve">Section 19B of the </w:t>
      </w:r>
      <w:r w:rsidR="00885EFD" w:rsidRPr="0030195D">
        <w:rPr>
          <w:rFonts w:asciiTheme="minorHAnsi" w:hAnsiTheme="minorHAnsi"/>
          <w:i/>
        </w:rPr>
        <w:t>Crimes Act 1914</w:t>
      </w:r>
      <w:r w:rsidRPr="0030195D">
        <w:rPr>
          <w:rFonts w:asciiTheme="minorHAnsi" w:hAnsiTheme="minorHAnsi"/>
          <w:i/>
        </w:rPr>
        <w:t xml:space="preserve"> </w:t>
      </w:r>
      <w:r w:rsidRPr="0030195D">
        <w:rPr>
          <w:rFonts w:asciiTheme="minorHAnsi" w:hAnsiTheme="minorHAnsi"/>
        </w:rPr>
        <w:t>(Cth)</w:t>
      </w:r>
      <w:r w:rsidR="001D421D" w:rsidRPr="0030195D">
        <w:rPr>
          <w:rFonts w:asciiTheme="minorHAnsi" w:hAnsiTheme="minorHAnsi"/>
        </w:rPr>
        <w:t>, which provides for non-conviction dispositions,</w:t>
      </w:r>
      <w:r w:rsidRPr="0030195D">
        <w:rPr>
          <w:rFonts w:asciiTheme="minorHAnsi" w:hAnsiTheme="minorHAnsi"/>
        </w:rPr>
        <w:t xml:space="preserve"> only permits the imposition of certain types of payments as a condition of a non-conviction bond – namely, reparation, restitution, compensation or costs</w:t>
      </w:r>
      <w:r w:rsidR="001D421D" w:rsidRPr="0030195D">
        <w:rPr>
          <w:rFonts w:asciiTheme="minorHAnsi" w:hAnsiTheme="minorHAnsi"/>
        </w:rPr>
        <w:t xml:space="preserve"> – and not fines</w:t>
      </w:r>
      <w:r w:rsidRPr="0030195D">
        <w:rPr>
          <w:rFonts w:asciiTheme="minorHAnsi" w:hAnsiTheme="minorHAnsi"/>
        </w:rPr>
        <w:t xml:space="preserve">.  </w:t>
      </w:r>
    </w:p>
    <w:p w14:paraId="191A4E50" w14:textId="77777777" w:rsidR="00815BCA" w:rsidRPr="0030195D" w:rsidRDefault="00815BCA" w:rsidP="00815BCA">
      <w:pPr>
        <w:widowControl w:val="0"/>
        <w:spacing w:line="276" w:lineRule="auto"/>
        <w:ind w:left="153" w:right="170"/>
        <w:jc w:val="both"/>
        <w:rPr>
          <w:rFonts w:asciiTheme="minorHAnsi" w:hAnsiTheme="minorHAnsi"/>
        </w:rPr>
      </w:pPr>
    </w:p>
    <w:p w14:paraId="480CACA3" w14:textId="5F0C9733" w:rsidR="00860719" w:rsidRPr="0030195D" w:rsidRDefault="00860719" w:rsidP="008B3E81">
      <w:pPr>
        <w:pStyle w:val="Heading3"/>
        <w:rPr>
          <w:bCs/>
        </w:rPr>
      </w:pPr>
      <w:bookmarkStart w:id="2631" w:name="_Toc33602930"/>
      <w:r w:rsidRPr="0030195D">
        <w:rPr>
          <w:bCs/>
        </w:rPr>
        <w:t>Without conviction</w:t>
      </w:r>
      <w:r w:rsidR="003556DE" w:rsidRPr="0030195D">
        <w:rPr>
          <w:bCs/>
        </w:rPr>
        <w:t>,</w:t>
      </w:r>
      <w:r w:rsidRPr="0030195D">
        <w:rPr>
          <w:bCs/>
        </w:rPr>
        <w:t xml:space="preserve"> ordering a </w:t>
      </w:r>
      <w:r w:rsidR="003556DE" w:rsidRPr="0030195D">
        <w:rPr>
          <w:bCs/>
        </w:rPr>
        <w:t>community correction order or like order</w:t>
      </w:r>
      <w:bookmarkEnd w:id="2631"/>
    </w:p>
    <w:p w14:paraId="2947CF32" w14:textId="77777777" w:rsidR="00860719" w:rsidRPr="0030195D" w:rsidRDefault="00860719" w:rsidP="008B3E81">
      <w:pPr>
        <w:pStyle w:val="NormalIndent"/>
        <w:keepNext/>
        <w:spacing w:line="276" w:lineRule="auto"/>
        <w:rPr>
          <w:rFonts w:asciiTheme="minorHAnsi" w:hAnsiTheme="minorHAnsi"/>
        </w:rPr>
      </w:pPr>
    </w:p>
    <w:p w14:paraId="42E46CCF" w14:textId="39A55C3F" w:rsidR="00860719" w:rsidRPr="0030195D" w:rsidRDefault="003556DE" w:rsidP="00EB7F1E">
      <w:pPr>
        <w:pStyle w:val="ListParagraph"/>
        <w:numPr>
          <w:ilvl w:val="0"/>
          <w:numId w:val="7"/>
        </w:numPr>
        <w:spacing w:line="276" w:lineRule="auto"/>
        <w:ind w:left="425" w:hanging="425"/>
        <w:contextualSpacing w:val="0"/>
        <w:rPr>
          <w:rFonts w:asciiTheme="minorHAnsi" w:hAnsiTheme="minorHAnsi"/>
        </w:rPr>
      </w:pPr>
      <w:r w:rsidRPr="0030195D">
        <w:rPr>
          <w:rFonts w:asciiTheme="minorHAnsi" w:hAnsiTheme="minorHAnsi"/>
        </w:rPr>
        <w:t xml:space="preserve">The State and Territory sentencing options </w:t>
      </w:r>
      <w:r w:rsidR="00983206" w:rsidRPr="0030195D">
        <w:rPr>
          <w:rFonts w:asciiTheme="minorHAnsi" w:hAnsiTheme="minorHAnsi"/>
        </w:rPr>
        <w:t>referred to in</w:t>
      </w:r>
      <w:r w:rsidRPr="0030195D">
        <w:rPr>
          <w:rFonts w:asciiTheme="minorHAnsi" w:hAnsiTheme="minorHAnsi"/>
        </w:rPr>
        <w:t xml:space="preserve"> s 20AB of the </w:t>
      </w:r>
      <w:r w:rsidR="00885EFD" w:rsidRPr="0030195D">
        <w:rPr>
          <w:rFonts w:asciiTheme="minorHAnsi" w:hAnsiTheme="minorHAnsi"/>
          <w:i/>
        </w:rPr>
        <w:t>Crimes Act 1914</w:t>
      </w:r>
      <w:r w:rsidRPr="0030195D">
        <w:rPr>
          <w:rFonts w:asciiTheme="minorHAnsi" w:hAnsiTheme="minorHAnsi"/>
        </w:rPr>
        <w:t xml:space="preserve"> (Cth) are only </w:t>
      </w:r>
      <w:r w:rsidR="00983206" w:rsidRPr="0030195D">
        <w:rPr>
          <w:rFonts w:asciiTheme="minorHAnsi" w:hAnsiTheme="minorHAnsi"/>
        </w:rPr>
        <w:t xml:space="preserve">available in sentencing a federal offender </w:t>
      </w:r>
      <w:r w:rsidRPr="0030195D">
        <w:rPr>
          <w:rFonts w:asciiTheme="minorHAnsi" w:hAnsiTheme="minorHAnsi"/>
        </w:rPr>
        <w:t>on conviction.</w:t>
      </w:r>
      <w:r w:rsidRPr="0030195D">
        <w:rPr>
          <w:rStyle w:val="Style"/>
          <w:rFonts w:asciiTheme="minorHAnsi" w:hAnsiTheme="minorHAnsi"/>
        </w:rPr>
        <w:footnoteReference w:id="932"/>
      </w:r>
      <w:r w:rsidR="00983206" w:rsidRPr="0030195D">
        <w:rPr>
          <w:rFonts w:asciiTheme="minorHAnsi" w:hAnsiTheme="minorHAnsi"/>
        </w:rPr>
        <w:t xml:space="preserve">  </w:t>
      </w:r>
    </w:p>
    <w:p w14:paraId="502F0B27" w14:textId="77777777" w:rsidR="00860719" w:rsidRPr="006E33A0" w:rsidRDefault="00860719" w:rsidP="00B32CD1">
      <w:pPr>
        <w:widowControl w:val="0"/>
        <w:tabs>
          <w:tab w:val="left" w:pos="426"/>
        </w:tabs>
        <w:spacing w:line="276" w:lineRule="auto"/>
        <w:ind w:left="579" w:right="170" w:hanging="426"/>
        <w:jc w:val="both"/>
        <w:rPr>
          <w:rFonts w:asciiTheme="minorHAnsi" w:hAnsiTheme="minorHAnsi"/>
          <w:highlight w:val="cyan"/>
        </w:rPr>
      </w:pPr>
    </w:p>
    <w:p w14:paraId="1788BCAE" w14:textId="2EA9C55D" w:rsidR="001D421D" w:rsidRPr="0030195D" w:rsidRDefault="001D421D" w:rsidP="008B3E81">
      <w:pPr>
        <w:pStyle w:val="Heading3"/>
        <w:rPr>
          <w:bCs/>
        </w:rPr>
      </w:pPr>
      <w:bookmarkStart w:id="2632" w:name="_Toc33602931"/>
      <w:r w:rsidRPr="0030195D">
        <w:rPr>
          <w:bCs/>
        </w:rPr>
        <w:t>Combinations of sentences</w:t>
      </w:r>
      <w:bookmarkEnd w:id="2632"/>
      <w:r w:rsidRPr="0030195D">
        <w:rPr>
          <w:bCs/>
        </w:rPr>
        <w:t xml:space="preserve"> </w:t>
      </w:r>
    </w:p>
    <w:p w14:paraId="73BB0F9D" w14:textId="4836CD3E" w:rsidR="001D421D" w:rsidRPr="0030195D" w:rsidRDefault="001D421D" w:rsidP="008B3E81">
      <w:pPr>
        <w:keepNext/>
        <w:spacing w:line="276" w:lineRule="auto"/>
        <w:ind w:left="567"/>
        <w:rPr>
          <w:rFonts w:asciiTheme="minorHAnsi" w:hAnsiTheme="minorHAnsi"/>
        </w:rPr>
      </w:pPr>
    </w:p>
    <w:p w14:paraId="64263FD0" w14:textId="45AE9F22" w:rsidR="001D421D" w:rsidRPr="0030195D" w:rsidRDefault="001D421D" w:rsidP="00EB7F1E">
      <w:pPr>
        <w:pStyle w:val="ListParagraph"/>
        <w:numPr>
          <w:ilvl w:val="0"/>
          <w:numId w:val="7"/>
        </w:numPr>
        <w:spacing w:line="276" w:lineRule="auto"/>
        <w:ind w:left="425" w:hanging="425"/>
        <w:contextualSpacing w:val="0"/>
        <w:rPr>
          <w:rFonts w:asciiTheme="minorHAnsi" w:hAnsiTheme="minorHAnsi"/>
        </w:rPr>
      </w:pPr>
      <w:r w:rsidRPr="0030195D">
        <w:rPr>
          <w:rFonts w:asciiTheme="minorHAnsi" w:hAnsiTheme="minorHAnsi"/>
        </w:rPr>
        <w:t>A number of federal laws permit a court to impose both a fine and a sentence of imprisonment on a federal offender for a single offence.</w:t>
      </w:r>
      <w:r w:rsidRPr="0030195D">
        <w:rPr>
          <w:rStyle w:val="Style"/>
          <w:rFonts w:asciiTheme="minorHAnsi" w:hAnsiTheme="minorHAnsi"/>
        </w:rPr>
        <w:footnoteReference w:id="933"/>
      </w:r>
      <w:r w:rsidRPr="0030195D">
        <w:rPr>
          <w:rFonts w:asciiTheme="minorHAnsi" w:hAnsiTheme="minorHAnsi"/>
        </w:rPr>
        <w:t xml:space="preserve">  </w:t>
      </w:r>
      <w:r w:rsidR="00281B89" w:rsidRPr="0030195D">
        <w:rPr>
          <w:rFonts w:asciiTheme="minorHAnsi" w:hAnsiTheme="minorHAnsi"/>
        </w:rPr>
        <w:t xml:space="preserve">A fine can also be combined with a State or Territory </w:t>
      </w:r>
      <w:r w:rsidR="00042F5E" w:rsidRPr="0030195D">
        <w:rPr>
          <w:rFonts w:asciiTheme="minorHAnsi" w:hAnsiTheme="minorHAnsi"/>
        </w:rPr>
        <w:t>sentencing</w:t>
      </w:r>
      <w:r w:rsidR="00281B89" w:rsidRPr="0030195D">
        <w:rPr>
          <w:rFonts w:asciiTheme="minorHAnsi" w:hAnsiTheme="minorHAnsi"/>
        </w:rPr>
        <w:t xml:space="preserve"> option which is picked up</w:t>
      </w:r>
      <w:r w:rsidR="00042F5E" w:rsidRPr="0030195D">
        <w:rPr>
          <w:rFonts w:asciiTheme="minorHAnsi" w:hAnsiTheme="minorHAnsi"/>
        </w:rPr>
        <w:t xml:space="preserve"> and applied by s 20AB of the </w:t>
      </w:r>
      <w:r w:rsidR="00885EFD" w:rsidRPr="0030195D">
        <w:rPr>
          <w:rFonts w:asciiTheme="minorHAnsi" w:hAnsiTheme="minorHAnsi"/>
          <w:i/>
        </w:rPr>
        <w:t>Crimes Act 1914</w:t>
      </w:r>
      <w:r w:rsidR="00042F5E" w:rsidRPr="0030195D">
        <w:rPr>
          <w:rFonts w:asciiTheme="minorHAnsi" w:hAnsiTheme="minorHAnsi"/>
        </w:rPr>
        <w:t xml:space="preserve"> (Cth).</w:t>
      </w:r>
      <w:r w:rsidR="00042F5E" w:rsidRPr="0030195D">
        <w:rPr>
          <w:rStyle w:val="Style"/>
          <w:rFonts w:asciiTheme="minorHAnsi" w:hAnsiTheme="minorHAnsi"/>
        </w:rPr>
        <w:footnoteReference w:id="934"/>
      </w:r>
      <w:r w:rsidR="00042F5E" w:rsidRPr="0030195D">
        <w:rPr>
          <w:rFonts w:asciiTheme="minorHAnsi" w:hAnsiTheme="minorHAnsi"/>
        </w:rPr>
        <w:t xml:space="preserve"> </w:t>
      </w:r>
      <w:r w:rsidR="00281B89" w:rsidRPr="0030195D">
        <w:rPr>
          <w:rFonts w:asciiTheme="minorHAnsi" w:hAnsiTheme="minorHAnsi"/>
        </w:rPr>
        <w:t xml:space="preserve"> However</w:t>
      </w:r>
      <w:r w:rsidRPr="0030195D">
        <w:rPr>
          <w:rFonts w:asciiTheme="minorHAnsi" w:hAnsiTheme="minorHAnsi"/>
        </w:rPr>
        <w:t xml:space="preserve">, </w:t>
      </w:r>
      <w:r w:rsidR="00281B89" w:rsidRPr="0030195D">
        <w:rPr>
          <w:rFonts w:asciiTheme="minorHAnsi" w:hAnsiTheme="minorHAnsi"/>
        </w:rPr>
        <w:t xml:space="preserve">apart from such specific provisions, </w:t>
      </w:r>
      <w:r w:rsidRPr="0030195D">
        <w:rPr>
          <w:rFonts w:asciiTheme="minorHAnsi" w:hAnsiTheme="minorHAnsi"/>
        </w:rPr>
        <w:t xml:space="preserve">there is </w:t>
      </w:r>
      <w:r w:rsidR="004911B1" w:rsidRPr="0030195D">
        <w:rPr>
          <w:rFonts w:asciiTheme="minorHAnsi" w:hAnsiTheme="minorHAnsi"/>
        </w:rPr>
        <w:t xml:space="preserve">(in the view of the </w:t>
      </w:r>
      <w:r w:rsidR="00E31245" w:rsidRPr="0030195D">
        <w:rPr>
          <w:rFonts w:asciiTheme="minorHAnsi" w:hAnsiTheme="minorHAnsi"/>
        </w:rPr>
        <w:t>C</w:t>
      </w:r>
      <w:r w:rsidR="004911B1" w:rsidRPr="0030195D">
        <w:rPr>
          <w:rFonts w:asciiTheme="minorHAnsi" w:hAnsiTheme="minorHAnsi"/>
        </w:rPr>
        <w:t xml:space="preserve">DPP) </w:t>
      </w:r>
      <w:r w:rsidRPr="0030195D">
        <w:rPr>
          <w:rFonts w:asciiTheme="minorHAnsi" w:hAnsiTheme="minorHAnsi"/>
        </w:rPr>
        <w:t xml:space="preserve">no power to combine </w:t>
      </w:r>
      <w:r w:rsidR="00444557" w:rsidRPr="0030195D">
        <w:rPr>
          <w:rFonts w:asciiTheme="minorHAnsi" w:hAnsiTheme="minorHAnsi"/>
        </w:rPr>
        <w:t>different sentencing options, as there is in some circumstances under State or Territory laws.</w:t>
      </w:r>
      <w:r w:rsidR="004911B1" w:rsidRPr="0030195D">
        <w:rPr>
          <w:rStyle w:val="Style"/>
          <w:rFonts w:asciiTheme="minorHAnsi" w:hAnsiTheme="minorHAnsi"/>
        </w:rPr>
        <w:footnoteReference w:id="935"/>
      </w:r>
    </w:p>
    <w:p w14:paraId="0A06E894" w14:textId="77777777" w:rsidR="00860719" w:rsidRPr="00C00000" w:rsidRDefault="00860719" w:rsidP="00860719">
      <w:pPr>
        <w:widowControl w:val="0"/>
        <w:spacing w:line="276" w:lineRule="auto"/>
        <w:ind w:left="153"/>
        <w:rPr>
          <w:rFonts w:asciiTheme="minorHAnsi" w:hAnsiTheme="minorHAnsi"/>
        </w:rPr>
      </w:pPr>
      <w:r w:rsidRPr="00C00000">
        <w:rPr>
          <w:rFonts w:asciiTheme="minorHAnsi" w:hAnsiTheme="minorHAnsi"/>
        </w:rPr>
        <w:br w:type="page"/>
      </w:r>
    </w:p>
    <w:p w14:paraId="461523D9" w14:textId="68DE19A5" w:rsidR="00377635" w:rsidRDefault="00377635" w:rsidP="007C11C2">
      <w:pPr>
        <w:pStyle w:val="Heading1"/>
        <w:spacing w:line="276" w:lineRule="auto"/>
        <w:rPr>
          <w:rFonts w:asciiTheme="minorHAnsi" w:hAnsiTheme="minorHAnsi"/>
          <w:sz w:val="30"/>
          <w:szCs w:val="30"/>
        </w:rPr>
      </w:pPr>
      <w:bookmarkStart w:id="2633" w:name="_Ref494533841"/>
      <w:bookmarkStart w:id="2634" w:name="_Toc33602932"/>
      <w:r>
        <w:rPr>
          <w:rFonts w:asciiTheme="minorHAnsi" w:hAnsiTheme="minorHAnsi"/>
          <w:sz w:val="30"/>
          <w:szCs w:val="30"/>
        </w:rPr>
        <w:t xml:space="preserve">Other </w:t>
      </w:r>
      <w:r w:rsidR="009D00F4">
        <w:rPr>
          <w:rFonts w:asciiTheme="minorHAnsi" w:hAnsiTheme="minorHAnsi"/>
          <w:sz w:val="30"/>
          <w:szCs w:val="30"/>
        </w:rPr>
        <w:t>orders on sentencing</w:t>
      </w:r>
      <w:bookmarkEnd w:id="2633"/>
      <w:bookmarkEnd w:id="2634"/>
    </w:p>
    <w:p w14:paraId="7358EC6C" w14:textId="07F8F233" w:rsidR="006057FF" w:rsidRDefault="006057FF" w:rsidP="006057FF">
      <w:pPr>
        <w:widowControl w:val="0"/>
        <w:spacing w:line="276" w:lineRule="auto"/>
        <w:ind w:left="567" w:hanging="567"/>
        <w:rPr>
          <w:rFonts w:asciiTheme="minorHAnsi" w:hAnsiTheme="minorHAnsi"/>
        </w:rPr>
      </w:pPr>
    </w:p>
    <w:p w14:paraId="22949DFA" w14:textId="2508EEA2" w:rsidR="00F02541" w:rsidRPr="00C00000" w:rsidRDefault="00F02541" w:rsidP="008B3E81">
      <w:pPr>
        <w:pStyle w:val="Heading2"/>
        <w:rPr>
          <w:rStyle w:val="Strong"/>
          <w:b/>
        </w:rPr>
      </w:pPr>
      <w:bookmarkStart w:id="2635" w:name="_Ref494544049"/>
      <w:bookmarkStart w:id="2636" w:name="_Ref494544054"/>
      <w:bookmarkStart w:id="2637" w:name="_Toc33602933"/>
      <w:r w:rsidRPr="00C00000">
        <w:rPr>
          <w:rStyle w:val="Strong"/>
          <w:b/>
        </w:rPr>
        <w:t>Reparation –</w:t>
      </w:r>
      <w:r w:rsidR="001219C3">
        <w:rPr>
          <w:rStyle w:val="Strong"/>
          <w:b/>
        </w:rPr>
        <w:t xml:space="preserve"> </w:t>
      </w:r>
      <w:r w:rsidR="00885EFD" w:rsidRPr="00885EFD">
        <w:rPr>
          <w:rStyle w:val="Strong"/>
          <w:b/>
          <w:i/>
        </w:rPr>
        <w:t xml:space="preserve">Crimes Act </w:t>
      </w:r>
      <w:r w:rsidR="003A2700">
        <w:rPr>
          <w:rStyle w:val="Strong"/>
          <w:b/>
          <w:i/>
        </w:rPr>
        <w:t>1914</w:t>
      </w:r>
      <w:r w:rsidR="003A2700">
        <w:rPr>
          <w:rStyle w:val="Strong"/>
          <w:b/>
        </w:rPr>
        <w:t>, s 21B</w:t>
      </w:r>
      <w:bookmarkEnd w:id="2635"/>
      <w:bookmarkEnd w:id="2636"/>
      <w:bookmarkEnd w:id="2637"/>
    </w:p>
    <w:p w14:paraId="747045F9" w14:textId="77777777" w:rsidR="00F02541" w:rsidRPr="00C00000" w:rsidRDefault="00F02541" w:rsidP="008B3E81">
      <w:pPr>
        <w:keepNext/>
        <w:spacing w:line="276" w:lineRule="auto"/>
        <w:ind w:left="567" w:hanging="567"/>
        <w:rPr>
          <w:rFonts w:asciiTheme="minorHAnsi" w:hAnsiTheme="minorHAnsi"/>
        </w:rPr>
      </w:pPr>
    </w:p>
    <w:p w14:paraId="3572EB36" w14:textId="6E62AC9D" w:rsidR="006057FF" w:rsidRPr="00C00000" w:rsidRDefault="00586DA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w:t>
      </w:r>
      <w:r w:rsidRPr="00C00000">
        <w:rPr>
          <w:rFonts w:asciiTheme="minorHAnsi" w:hAnsiTheme="minorHAnsi"/>
        </w:rPr>
        <w:t>a person is convicted of a federal offence or placed on a bond under s 19B</w:t>
      </w:r>
      <w:r>
        <w:rPr>
          <w:rFonts w:asciiTheme="minorHAnsi" w:hAnsiTheme="minorHAnsi"/>
        </w:rPr>
        <w:t>, s</w:t>
      </w:r>
      <w:r w:rsidR="006057FF" w:rsidRPr="00C00000">
        <w:rPr>
          <w:rFonts w:asciiTheme="minorHAnsi" w:hAnsiTheme="minorHAnsi"/>
        </w:rPr>
        <w:t xml:space="preserve"> 21B of the </w:t>
      </w:r>
      <w:r w:rsidR="00885EFD" w:rsidRPr="00885EFD">
        <w:rPr>
          <w:rFonts w:asciiTheme="minorHAnsi" w:hAnsiTheme="minorHAnsi"/>
          <w:i/>
        </w:rPr>
        <w:t>Crimes Act 1914</w:t>
      </w:r>
      <w:r w:rsidR="006057FF" w:rsidRPr="00C00000">
        <w:rPr>
          <w:rFonts w:asciiTheme="minorHAnsi" w:hAnsiTheme="minorHAnsi"/>
          <w:i/>
        </w:rPr>
        <w:t xml:space="preserve"> </w:t>
      </w:r>
      <w:r w:rsidR="006057FF" w:rsidRPr="00C00000">
        <w:rPr>
          <w:rFonts w:asciiTheme="minorHAnsi" w:hAnsiTheme="minorHAnsi"/>
        </w:rPr>
        <w:t>(Cth) enables the court to make a reparation order in respect of any loss suffered or expenses incurred “</w:t>
      </w:r>
      <w:r w:rsidR="006057FF" w:rsidRPr="00586DAF">
        <w:rPr>
          <w:rFonts w:asciiTheme="minorHAnsi" w:hAnsiTheme="minorHAnsi"/>
          <w:i/>
        </w:rPr>
        <w:t>by reason of the offence</w:t>
      </w:r>
      <w:r w:rsidR="006057FF" w:rsidRPr="00C00000">
        <w:rPr>
          <w:rFonts w:asciiTheme="minorHAnsi" w:hAnsiTheme="minorHAnsi"/>
        </w:rPr>
        <w:t xml:space="preserve">”.  A similar provision </w:t>
      </w:r>
      <w:r w:rsidR="00A0232E">
        <w:rPr>
          <w:rFonts w:asciiTheme="minorHAnsi" w:hAnsiTheme="minorHAnsi"/>
        </w:rPr>
        <w:t xml:space="preserve">deals </w:t>
      </w:r>
      <w:r w:rsidR="006057FF" w:rsidRPr="00C00000">
        <w:rPr>
          <w:rFonts w:asciiTheme="minorHAnsi" w:hAnsiTheme="minorHAnsi"/>
        </w:rPr>
        <w:t xml:space="preserve">specifically with offences under s 217 of the </w:t>
      </w:r>
      <w:r w:rsidR="006057FF" w:rsidRPr="00C00000">
        <w:rPr>
          <w:rFonts w:asciiTheme="minorHAnsi" w:hAnsiTheme="minorHAnsi"/>
          <w:i/>
        </w:rPr>
        <w:t>Social Security (Administration) Act 1999</w:t>
      </w:r>
      <w:r w:rsidR="006057FF" w:rsidRPr="00C00000">
        <w:rPr>
          <w:rFonts w:asciiTheme="minorHAnsi" w:hAnsiTheme="minorHAnsi"/>
        </w:rPr>
        <w:t xml:space="preserve"> (Cth)</w:t>
      </w:r>
      <w:r w:rsidR="00A0232E">
        <w:rPr>
          <w:rFonts w:asciiTheme="minorHAnsi" w:hAnsiTheme="minorHAnsi"/>
        </w:rPr>
        <w:t>: see</w:t>
      </w:r>
      <w:r w:rsidR="006057FF" w:rsidRPr="00C00000">
        <w:rPr>
          <w:rFonts w:asciiTheme="minorHAnsi" w:hAnsiTheme="minorHAnsi"/>
        </w:rPr>
        <w:t xml:space="preserve"> s 218 of that Act.</w:t>
      </w:r>
      <w:r w:rsidR="000F0F30" w:rsidRPr="000F0F30">
        <w:rPr>
          <w:rFonts w:asciiTheme="minorHAnsi" w:hAnsiTheme="minorHAnsi"/>
        </w:rPr>
        <w:t xml:space="preserve"> </w:t>
      </w:r>
      <w:r w:rsidR="000F0F30">
        <w:rPr>
          <w:rFonts w:asciiTheme="minorHAnsi" w:hAnsiTheme="minorHAnsi"/>
        </w:rPr>
        <w:t xml:space="preserve"> A court may </w:t>
      </w:r>
      <w:r>
        <w:rPr>
          <w:rFonts w:asciiTheme="minorHAnsi" w:hAnsiTheme="minorHAnsi"/>
        </w:rPr>
        <w:t xml:space="preserve">also </w:t>
      </w:r>
      <w:r w:rsidR="000F0F30">
        <w:rPr>
          <w:rFonts w:asciiTheme="minorHAnsi" w:hAnsiTheme="minorHAnsi"/>
        </w:rPr>
        <w:t xml:space="preserve">make a reparation order in relation to an offence which is taken into account under s 16BA of the </w:t>
      </w:r>
      <w:r w:rsidR="00885EFD" w:rsidRPr="00885EFD">
        <w:rPr>
          <w:rFonts w:asciiTheme="minorHAnsi" w:hAnsiTheme="minorHAnsi"/>
          <w:i/>
        </w:rPr>
        <w:t>Crimes Act 1914</w:t>
      </w:r>
      <w:r w:rsidR="000F0F30">
        <w:rPr>
          <w:rFonts w:asciiTheme="minorHAnsi" w:hAnsiTheme="minorHAnsi"/>
        </w:rPr>
        <w:t>: s 16BA(5).</w:t>
      </w:r>
    </w:p>
    <w:p w14:paraId="14B659C0" w14:textId="77777777" w:rsidR="006057FF" w:rsidRPr="00C00000" w:rsidRDefault="006057FF" w:rsidP="006057FF">
      <w:pPr>
        <w:pStyle w:val="ListParagraph"/>
        <w:widowControl w:val="0"/>
        <w:spacing w:line="276" w:lineRule="auto"/>
        <w:ind w:left="567" w:hanging="567"/>
        <w:rPr>
          <w:rFonts w:asciiTheme="minorHAnsi" w:hAnsiTheme="minorHAnsi"/>
        </w:rPr>
      </w:pPr>
    </w:p>
    <w:p w14:paraId="66D9775C" w14:textId="7B2B5FE9" w:rsidR="00E87B8B" w:rsidRPr="0028725A" w:rsidRDefault="00E87B8B" w:rsidP="00EB7F1E">
      <w:pPr>
        <w:pStyle w:val="ListParagraph"/>
        <w:numPr>
          <w:ilvl w:val="0"/>
          <w:numId w:val="7"/>
        </w:numPr>
        <w:spacing w:line="276" w:lineRule="auto"/>
        <w:ind w:left="425" w:hanging="425"/>
        <w:contextualSpacing w:val="0"/>
        <w:rPr>
          <w:rFonts w:asciiTheme="minorHAnsi" w:hAnsiTheme="minorHAnsi"/>
        </w:rPr>
      </w:pPr>
      <w:r w:rsidRPr="0028725A">
        <w:rPr>
          <w:rFonts w:asciiTheme="minorHAnsi" w:hAnsiTheme="minorHAnsi" w:cs="Arial"/>
        </w:rPr>
        <w:t xml:space="preserve">A reparation </w:t>
      </w:r>
      <w:r w:rsidRPr="00E90120">
        <w:rPr>
          <w:rFonts w:asciiTheme="minorHAnsi" w:hAnsiTheme="minorHAnsi"/>
        </w:rPr>
        <w:t>order</w:t>
      </w:r>
      <w:r w:rsidRPr="0028725A">
        <w:rPr>
          <w:rFonts w:asciiTheme="minorHAnsi" w:hAnsiTheme="minorHAnsi" w:cs="Arial"/>
        </w:rPr>
        <w:t xml:space="preserve"> may be made in favour of the Commonwealth or a public authority under the Commonwealth, by way of money payment or otherwise (s 21B(1)(c)).</w:t>
      </w:r>
      <w:r w:rsidR="0028725A">
        <w:rPr>
          <w:rFonts w:asciiTheme="minorHAnsi" w:hAnsiTheme="minorHAnsi" w:cs="Arial"/>
        </w:rPr>
        <w:t xml:space="preserve">  </w:t>
      </w:r>
      <w:r w:rsidR="00647CA2" w:rsidRPr="0028725A">
        <w:rPr>
          <w:rFonts w:asciiTheme="minorHAnsi" w:hAnsiTheme="minorHAnsi" w:cs="Arial"/>
        </w:rPr>
        <w:t xml:space="preserve">A </w:t>
      </w:r>
      <w:r w:rsidRPr="0028725A">
        <w:rPr>
          <w:rFonts w:asciiTheme="minorHAnsi" w:hAnsiTheme="minorHAnsi" w:cs="Arial"/>
        </w:rPr>
        <w:t xml:space="preserve">court </w:t>
      </w:r>
      <w:r w:rsidR="00647CA2">
        <w:rPr>
          <w:rFonts w:asciiTheme="minorHAnsi" w:hAnsiTheme="minorHAnsi" w:cs="Arial"/>
        </w:rPr>
        <w:t xml:space="preserve">may </w:t>
      </w:r>
      <w:r w:rsidRPr="0028725A">
        <w:rPr>
          <w:rFonts w:asciiTheme="minorHAnsi" w:hAnsiTheme="minorHAnsi" w:cs="Arial"/>
        </w:rPr>
        <w:t>also order reparation “</w:t>
      </w:r>
      <w:r w:rsidRPr="0028725A">
        <w:rPr>
          <w:rFonts w:asciiTheme="minorHAnsi" w:hAnsiTheme="minorHAnsi" w:cs="Arial"/>
          <w:i/>
        </w:rPr>
        <w:t>to any person, by way of money payment or otherwise, in respect of any loss suffered, or any expense incurred, by the person by reason of the offence</w:t>
      </w:r>
      <w:r w:rsidRPr="0028725A">
        <w:rPr>
          <w:rFonts w:asciiTheme="minorHAnsi" w:hAnsiTheme="minorHAnsi" w:cs="Arial"/>
        </w:rPr>
        <w:t>” (s 21B(1)(d)).</w:t>
      </w:r>
      <w:r w:rsidRPr="00C00000">
        <w:rPr>
          <w:rStyle w:val="Style"/>
          <w:rFonts w:asciiTheme="minorHAnsi" w:hAnsiTheme="minorHAnsi"/>
        </w:rPr>
        <w:footnoteReference w:id="936"/>
      </w:r>
      <w:r w:rsidRPr="0028725A">
        <w:rPr>
          <w:rFonts w:asciiTheme="minorHAnsi" w:hAnsiTheme="minorHAnsi" w:cs="Arial"/>
        </w:rPr>
        <w:t xml:space="preserve">  </w:t>
      </w:r>
      <w:r w:rsidR="00647CA2">
        <w:rPr>
          <w:rFonts w:asciiTheme="minorHAnsi" w:hAnsiTheme="minorHAnsi" w:cs="Arial"/>
        </w:rPr>
        <w:t xml:space="preserve">That is, a court has the same </w:t>
      </w:r>
      <w:r w:rsidR="0028725A" w:rsidRPr="0028725A">
        <w:rPr>
          <w:rFonts w:asciiTheme="minorHAnsi" w:hAnsiTheme="minorHAnsi" w:cs="Arial"/>
        </w:rPr>
        <w:t xml:space="preserve">power to order reparation to </w:t>
      </w:r>
      <w:r w:rsidRPr="0028725A">
        <w:rPr>
          <w:rFonts w:asciiTheme="minorHAnsi" w:hAnsiTheme="minorHAnsi" w:cs="Arial"/>
        </w:rPr>
        <w:t xml:space="preserve">an individual victim of a federal offence </w:t>
      </w:r>
      <w:r w:rsidR="0028725A" w:rsidRPr="0028725A">
        <w:rPr>
          <w:rFonts w:asciiTheme="minorHAnsi" w:hAnsiTheme="minorHAnsi" w:cs="Arial"/>
        </w:rPr>
        <w:t xml:space="preserve">as it does to order reparation to </w:t>
      </w:r>
      <w:r w:rsidRPr="0028725A">
        <w:rPr>
          <w:rFonts w:asciiTheme="minorHAnsi" w:hAnsiTheme="minorHAnsi" w:cs="Arial"/>
        </w:rPr>
        <w:t xml:space="preserve">the Commonwealth or a public </w:t>
      </w:r>
      <w:r w:rsidR="00647CA2">
        <w:rPr>
          <w:rFonts w:asciiTheme="minorHAnsi" w:hAnsiTheme="minorHAnsi" w:cs="Arial"/>
        </w:rPr>
        <w:t>authority of the Commonwealth.-</w:t>
      </w:r>
    </w:p>
    <w:p w14:paraId="21195DF5" w14:textId="77777777" w:rsidR="0028725A" w:rsidRPr="0028725A" w:rsidRDefault="0028725A" w:rsidP="0028725A">
      <w:pPr>
        <w:pStyle w:val="ListParagraph"/>
        <w:rPr>
          <w:rFonts w:asciiTheme="minorHAnsi" w:hAnsiTheme="minorHAnsi"/>
        </w:rPr>
      </w:pPr>
    </w:p>
    <w:p w14:paraId="329DDA24" w14:textId="6CC7FA4C" w:rsidR="006057FF" w:rsidRDefault="006057F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Before a reparation order can be made there must be “</w:t>
      </w:r>
      <w:r w:rsidRPr="005E4092">
        <w:rPr>
          <w:rFonts w:asciiTheme="minorHAnsi" w:hAnsiTheme="minorHAnsi"/>
          <w:i/>
        </w:rPr>
        <w:t>a close or significant connection</w:t>
      </w:r>
      <w:r w:rsidRPr="00C00000">
        <w:rPr>
          <w:rFonts w:asciiTheme="minorHAnsi" w:hAnsiTheme="minorHAnsi"/>
        </w:rPr>
        <w:t>” between the loss and the offence which caused it.  This will not be made out where a “</w:t>
      </w:r>
      <w:r w:rsidRPr="005E4092">
        <w:rPr>
          <w:rFonts w:asciiTheme="minorHAnsi" w:hAnsiTheme="minorHAnsi"/>
          <w:i/>
        </w:rPr>
        <w:t>secondary loss occurs by way of a ripple effect</w:t>
      </w:r>
      <w:r w:rsidRPr="00C00000">
        <w:rPr>
          <w:rFonts w:asciiTheme="minorHAnsi" w:hAnsiTheme="minorHAnsi"/>
        </w:rPr>
        <w:t>”.</w:t>
      </w:r>
      <w:r w:rsidRPr="00C00000">
        <w:rPr>
          <w:rStyle w:val="Style"/>
          <w:rFonts w:asciiTheme="minorHAnsi" w:hAnsiTheme="minorHAnsi"/>
        </w:rPr>
        <w:footnoteReference w:id="937"/>
      </w:r>
    </w:p>
    <w:p w14:paraId="20EB255E" w14:textId="77777777" w:rsidR="007E4C23" w:rsidRPr="007E4C23" w:rsidRDefault="007E4C23" w:rsidP="007E4C23">
      <w:pPr>
        <w:pStyle w:val="ListParagraph"/>
        <w:rPr>
          <w:rFonts w:asciiTheme="minorHAnsi" w:hAnsiTheme="minorHAnsi"/>
        </w:rPr>
      </w:pPr>
    </w:p>
    <w:p w14:paraId="4EDA1F2F" w14:textId="11E1F742" w:rsidR="007E4C23" w:rsidRPr="00C00000" w:rsidRDefault="007E4C2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the case of joint offenders, each offender may be regarded as severally responsible for the whole of any resulting loss or damage</w:t>
      </w:r>
      <w:r w:rsidR="009C52B3">
        <w:rPr>
          <w:rFonts w:asciiTheme="minorHAnsi" w:hAnsiTheme="minorHAnsi"/>
        </w:rPr>
        <w:t>, and a reparation order for the whole of the loss or damage may be made against one of the offenders</w:t>
      </w:r>
      <w:r>
        <w:rPr>
          <w:rFonts w:asciiTheme="minorHAnsi" w:hAnsiTheme="minorHAnsi"/>
        </w:rPr>
        <w:t>.</w:t>
      </w:r>
      <w:r w:rsidRPr="00C00000">
        <w:rPr>
          <w:rStyle w:val="Style"/>
          <w:rFonts w:asciiTheme="minorHAnsi" w:hAnsiTheme="minorHAnsi"/>
        </w:rPr>
        <w:footnoteReference w:id="938"/>
      </w:r>
    </w:p>
    <w:p w14:paraId="6CC6642D" w14:textId="77777777" w:rsidR="006057FF" w:rsidRPr="00C00000" w:rsidRDefault="006057FF" w:rsidP="006057FF">
      <w:pPr>
        <w:pStyle w:val="ListParagraph"/>
        <w:widowControl w:val="0"/>
        <w:spacing w:line="276" w:lineRule="auto"/>
        <w:ind w:left="567" w:hanging="567"/>
        <w:rPr>
          <w:rFonts w:asciiTheme="minorHAnsi" w:hAnsiTheme="minorHAnsi"/>
        </w:rPr>
      </w:pPr>
    </w:p>
    <w:p w14:paraId="7C1710F1" w14:textId="37E63A6E" w:rsidR="0036172F" w:rsidRDefault="006057F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Reparation is not part of the punishment but a means of making an order for compensation.</w:t>
      </w:r>
      <w:r w:rsidRPr="00C00000">
        <w:rPr>
          <w:rStyle w:val="Style"/>
          <w:rFonts w:asciiTheme="minorHAnsi" w:hAnsiTheme="minorHAnsi"/>
        </w:rPr>
        <w:footnoteReference w:id="939"/>
      </w:r>
      <w:r w:rsidRPr="00C00000">
        <w:rPr>
          <w:rFonts w:asciiTheme="minorHAnsi" w:hAnsiTheme="minorHAnsi"/>
        </w:rPr>
        <w:t xml:space="preserve">  A court has a discretion</w:t>
      </w:r>
      <w:r w:rsidR="00E74A94">
        <w:rPr>
          <w:rFonts w:asciiTheme="minorHAnsi" w:hAnsiTheme="minorHAnsi"/>
        </w:rPr>
        <w:t xml:space="preserve"> whether</w:t>
      </w:r>
      <w:r w:rsidR="00647CA2">
        <w:rPr>
          <w:rFonts w:asciiTheme="minorHAnsi" w:hAnsiTheme="minorHAnsi"/>
        </w:rPr>
        <w:t xml:space="preserve"> to </w:t>
      </w:r>
      <w:r w:rsidRPr="00C00000">
        <w:rPr>
          <w:rFonts w:asciiTheme="minorHAnsi" w:hAnsiTheme="minorHAnsi"/>
        </w:rPr>
        <w:t>make a reparation order and as to the amount of the order.</w:t>
      </w:r>
    </w:p>
    <w:p w14:paraId="1CD97C15" w14:textId="77777777" w:rsidR="0036172F" w:rsidRPr="0036172F" w:rsidRDefault="0036172F" w:rsidP="0036172F">
      <w:pPr>
        <w:pStyle w:val="ListParagraph"/>
        <w:rPr>
          <w:rFonts w:asciiTheme="minorHAnsi" w:hAnsiTheme="minorHAnsi"/>
        </w:rPr>
      </w:pPr>
    </w:p>
    <w:p w14:paraId="4F91FF2B" w14:textId="6DDCDB19" w:rsidR="0036172F" w:rsidRDefault="006057F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In </w:t>
      </w:r>
      <w:r w:rsidR="00E74A94" w:rsidRPr="00E74A94">
        <w:rPr>
          <w:rFonts w:asciiTheme="minorHAnsi" w:hAnsiTheme="minorHAnsi"/>
          <w:i/>
        </w:rPr>
        <w:t>Vlahov</w:t>
      </w:r>
      <w:r w:rsidR="0036172F">
        <w:rPr>
          <w:rFonts w:asciiTheme="minorHAnsi" w:hAnsiTheme="minorHAnsi"/>
        </w:rPr>
        <w:t>,</w:t>
      </w:r>
      <w:r w:rsidR="00E74A94" w:rsidRPr="00C00000">
        <w:rPr>
          <w:rStyle w:val="Style"/>
          <w:rFonts w:asciiTheme="minorHAnsi" w:hAnsiTheme="minorHAnsi"/>
        </w:rPr>
        <w:footnoteReference w:id="940"/>
      </w:r>
      <w:r w:rsidR="00E74A94">
        <w:rPr>
          <w:rFonts w:asciiTheme="minorHAnsi" w:hAnsiTheme="minorHAnsi"/>
        </w:rPr>
        <w:t xml:space="preserve"> </w:t>
      </w:r>
      <w:r w:rsidR="0036172F">
        <w:rPr>
          <w:rFonts w:asciiTheme="minorHAnsi" w:hAnsiTheme="minorHAnsi"/>
        </w:rPr>
        <w:t xml:space="preserve">the Full Court of the Supreme Court of Western Australia held that, in deciding whether to make an order under s 21B and the amount of any such order, </w:t>
      </w:r>
      <w:r w:rsidRPr="00C00000">
        <w:rPr>
          <w:rFonts w:asciiTheme="minorHAnsi" w:hAnsiTheme="minorHAnsi"/>
        </w:rPr>
        <w:t xml:space="preserve">the court may have regard to the personal circumstances and means of the offender.  </w:t>
      </w:r>
      <w:r w:rsidR="0036172F">
        <w:rPr>
          <w:rFonts w:asciiTheme="minorHAnsi" w:hAnsiTheme="minorHAnsi"/>
        </w:rPr>
        <w:t xml:space="preserve">However in </w:t>
      </w:r>
      <w:r w:rsidR="0036172F" w:rsidRPr="0036172F">
        <w:rPr>
          <w:rFonts w:asciiTheme="minorHAnsi" w:hAnsiTheme="minorHAnsi"/>
          <w:i/>
        </w:rPr>
        <w:t>Hookham</w:t>
      </w:r>
      <w:r w:rsidR="0036172F">
        <w:rPr>
          <w:rFonts w:asciiTheme="minorHAnsi" w:hAnsiTheme="minorHAnsi"/>
        </w:rPr>
        <w:t>,</w:t>
      </w:r>
      <w:r w:rsidR="0036172F" w:rsidRPr="00C00000">
        <w:rPr>
          <w:rStyle w:val="Style"/>
          <w:rFonts w:asciiTheme="minorHAnsi" w:hAnsiTheme="minorHAnsi"/>
        </w:rPr>
        <w:footnoteReference w:id="941"/>
      </w:r>
      <w:r w:rsidR="0036172F">
        <w:rPr>
          <w:rFonts w:asciiTheme="minorHAnsi" w:hAnsiTheme="minorHAnsi"/>
        </w:rPr>
        <w:t xml:space="preserve"> t</w:t>
      </w:r>
      <w:r w:rsidRPr="00C00000">
        <w:rPr>
          <w:rFonts w:asciiTheme="minorHAnsi" w:hAnsiTheme="minorHAnsi"/>
        </w:rPr>
        <w:t xml:space="preserve">he High Court left open </w:t>
      </w:r>
      <w:r w:rsidR="0036172F">
        <w:rPr>
          <w:rFonts w:asciiTheme="minorHAnsi" w:hAnsiTheme="minorHAnsi"/>
        </w:rPr>
        <w:t xml:space="preserve">that </w:t>
      </w:r>
      <w:r w:rsidRPr="00C00000">
        <w:rPr>
          <w:rFonts w:asciiTheme="minorHAnsi" w:hAnsiTheme="minorHAnsi"/>
        </w:rPr>
        <w:t xml:space="preserve">question.  </w:t>
      </w:r>
    </w:p>
    <w:p w14:paraId="1C8CCFD7" w14:textId="77777777" w:rsidR="0036172F" w:rsidRPr="0036172F" w:rsidRDefault="0036172F" w:rsidP="0036172F">
      <w:pPr>
        <w:pStyle w:val="ListParagraph"/>
        <w:rPr>
          <w:rFonts w:asciiTheme="minorHAnsi" w:hAnsiTheme="minorHAnsi"/>
        </w:rPr>
      </w:pPr>
    </w:p>
    <w:p w14:paraId="11FE0F08" w14:textId="58C9C4DC" w:rsidR="006057FF" w:rsidRPr="00C00000" w:rsidRDefault="006057F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 person cannot be imprisoned for failing to pay a reparation order.</w:t>
      </w:r>
      <w:r w:rsidRPr="00C00000">
        <w:rPr>
          <w:rStyle w:val="Style"/>
          <w:rFonts w:asciiTheme="minorHAnsi" w:hAnsiTheme="minorHAnsi"/>
        </w:rPr>
        <w:footnoteReference w:id="942"/>
      </w:r>
    </w:p>
    <w:p w14:paraId="5A9362F9" w14:textId="77777777" w:rsidR="006057FF" w:rsidRPr="00C00000" w:rsidRDefault="006057FF" w:rsidP="006057FF">
      <w:pPr>
        <w:pStyle w:val="ListParagraph"/>
        <w:widowControl w:val="0"/>
        <w:spacing w:line="276" w:lineRule="auto"/>
        <w:ind w:left="567" w:hanging="567"/>
        <w:rPr>
          <w:rFonts w:asciiTheme="minorHAnsi" w:hAnsiTheme="minorHAnsi"/>
        </w:rPr>
      </w:pPr>
    </w:p>
    <w:p w14:paraId="654D9B6F" w14:textId="06151577" w:rsidR="007E4C23" w:rsidRDefault="00ED38B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making of reparation may be relevant to sentencing.  </w:t>
      </w:r>
      <w:r w:rsidR="00F97DDE" w:rsidRPr="00C00000">
        <w:rPr>
          <w:rFonts w:asciiTheme="minorHAnsi" w:hAnsiTheme="minorHAnsi"/>
        </w:rPr>
        <w:t xml:space="preserve">In </w:t>
      </w:r>
      <w:r>
        <w:rPr>
          <w:rFonts w:asciiTheme="minorHAnsi" w:hAnsiTheme="minorHAnsi"/>
        </w:rPr>
        <w:t xml:space="preserve">particular, in </w:t>
      </w:r>
      <w:r w:rsidR="006057FF" w:rsidRPr="00C00000">
        <w:rPr>
          <w:rFonts w:asciiTheme="minorHAnsi" w:hAnsiTheme="minorHAnsi"/>
        </w:rPr>
        <w:t>sentencing a federal offender the court is required to take into account</w:t>
      </w:r>
      <w:r w:rsidR="007E4C23">
        <w:rPr>
          <w:rFonts w:asciiTheme="minorHAnsi" w:hAnsiTheme="minorHAnsi"/>
        </w:rPr>
        <w:t>:</w:t>
      </w:r>
    </w:p>
    <w:p w14:paraId="3FE7B5BC" w14:textId="008F65F5" w:rsidR="007E4C23" w:rsidRPr="007E4C23" w:rsidRDefault="007E4C23">
      <w:pPr>
        <w:pStyle w:val="ListParagraph"/>
        <w:numPr>
          <w:ilvl w:val="1"/>
          <w:numId w:val="36"/>
        </w:numPr>
        <w:spacing w:line="276" w:lineRule="auto"/>
        <w:ind w:left="993" w:right="28" w:hanging="142"/>
        <w:rPr>
          <w:rFonts w:asciiTheme="minorHAnsi" w:hAnsiTheme="minorHAnsi"/>
        </w:rPr>
      </w:pPr>
      <w:r w:rsidRPr="007E4C23">
        <w:rPr>
          <w:rFonts w:asciiTheme="minorHAnsi" w:hAnsiTheme="minorHAnsi"/>
        </w:rPr>
        <w:t>any injury, loss or damage resulting from the offence</w:t>
      </w:r>
      <w:r>
        <w:rPr>
          <w:rFonts w:asciiTheme="minorHAnsi" w:hAnsiTheme="minorHAnsi"/>
        </w:rPr>
        <w:t xml:space="preserve"> (see “</w:t>
      </w:r>
      <w:r w:rsidR="00A77549">
        <w:rPr>
          <w:rFonts w:asciiTheme="minorHAnsi" w:hAnsiTheme="minorHAnsi"/>
        </w:rPr>
        <w:fldChar w:fldCharType="begin"/>
      </w:r>
      <w:r w:rsidR="00A77549">
        <w:rPr>
          <w:rFonts w:asciiTheme="minorHAnsi" w:hAnsiTheme="minorHAnsi"/>
        </w:rPr>
        <w:instrText xml:space="preserve"> REF _Ref11826283 \r \h  \* MERGEFORMAT </w:instrText>
      </w:r>
      <w:r w:rsidR="00A77549">
        <w:rPr>
          <w:rFonts w:asciiTheme="minorHAnsi" w:hAnsiTheme="minorHAnsi"/>
        </w:rPr>
      </w:r>
      <w:r w:rsidR="00A77549">
        <w:rPr>
          <w:rFonts w:asciiTheme="minorHAnsi" w:hAnsiTheme="minorHAnsi"/>
        </w:rPr>
        <w:fldChar w:fldCharType="separate"/>
      </w:r>
      <w:r w:rsidR="00D44BCF">
        <w:rPr>
          <w:rFonts w:asciiTheme="minorHAnsi" w:hAnsiTheme="minorHAnsi"/>
        </w:rPr>
        <w:t>4.4.5</w:t>
      </w:r>
      <w:r w:rsidR="00A77549">
        <w:rPr>
          <w:rFonts w:asciiTheme="minorHAnsi" w:hAnsiTheme="minorHAnsi"/>
        </w:rPr>
        <w:fldChar w:fldCharType="end"/>
      </w:r>
      <w:r w:rsidR="00A77549">
        <w:rPr>
          <w:rFonts w:asciiTheme="minorHAnsi" w:hAnsiTheme="minorHAnsi"/>
        </w:rPr>
        <w:t xml:space="preserve"> </w:t>
      </w:r>
      <w:r w:rsidR="00A77549">
        <w:rPr>
          <w:rFonts w:asciiTheme="minorHAnsi" w:hAnsiTheme="minorHAnsi"/>
        </w:rPr>
        <w:fldChar w:fldCharType="begin"/>
      </w:r>
      <w:r w:rsidR="00A77549">
        <w:rPr>
          <w:rFonts w:asciiTheme="minorHAnsi" w:hAnsiTheme="minorHAnsi"/>
        </w:rPr>
        <w:instrText xml:space="preserve"> REF _Ref11826285 \h  \* MERGEFORMAT </w:instrText>
      </w:r>
      <w:r w:rsidR="00A77549">
        <w:rPr>
          <w:rFonts w:asciiTheme="minorHAnsi" w:hAnsiTheme="minorHAnsi"/>
        </w:rPr>
      </w:r>
      <w:r w:rsidR="00A77549">
        <w:rPr>
          <w:rFonts w:asciiTheme="minorHAnsi" w:hAnsiTheme="minorHAnsi"/>
        </w:rPr>
        <w:fldChar w:fldCharType="separate"/>
      </w:r>
      <w:r w:rsidR="00D44BCF" w:rsidRPr="00D44BCF">
        <w:rPr>
          <w:rFonts w:asciiTheme="minorHAnsi" w:hAnsiTheme="minorHAnsi"/>
        </w:rPr>
        <w:t>Injury, loss or damage resulting from the offence – s 16A(2)(e)</w:t>
      </w:r>
      <w:r w:rsidR="00A77549">
        <w:rPr>
          <w:rFonts w:asciiTheme="minorHAnsi" w:hAnsiTheme="minorHAnsi"/>
        </w:rPr>
        <w:fldChar w:fldCharType="end"/>
      </w:r>
      <w:r>
        <w:rPr>
          <w:rFonts w:asciiTheme="minorHAnsi" w:hAnsiTheme="minorHAnsi"/>
        </w:rPr>
        <w:t>”</w:t>
      </w:r>
      <w:r w:rsidR="00F40C57">
        <w:rPr>
          <w:rFonts w:asciiTheme="minorHAnsi" w:hAnsiTheme="minorHAnsi"/>
        </w:rPr>
        <w:t>)</w:t>
      </w:r>
      <w:r w:rsidRPr="007E4C23">
        <w:rPr>
          <w:rFonts w:asciiTheme="minorHAnsi" w:hAnsiTheme="minorHAnsi"/>
        </w:rPr>
        <w:t>;</w:t>
      </w:r>
      <w:r>
        <w:rPr>
          <w:rFonts w:asciiTheme="minorHAnsi" w:hAnsiTheme="minorHAnsi"/>
        </w:rPr>
        <w:t xml:space="preserve"> and</w:t>
      </w:r>
    </w:p>
    <w:p w14:paraId="6348C5B8" w14:textId="4533C6EA" w:rsidR="006057FF" w:rsidRPr="00C00000" w:rsidRDefault="006057FF" w:rsidP="00901174">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the degree to which a person has shown contrition for the offence by, amongst other things, taking action to make reparation for any injury, loss or damage resulting from the offence</w:t>
      </w:r>
      <w:r w:rsidR="007E4C23">
        <w:rPr>
          <w:rFonts w:asciiTheme="minorHAnsi" w:hAnsiTheme="minorHAnsi"/>
        </w:rPr>
        <w:t xml:space="preserve"> (see </w:t>
      </w:r>
      <w:r w:rsidR="003044A7">
        <w:rPr>
          <w:rFonts w:asciiTheme="minorHAnsi" w:hAnsiTheme="minorHAnsi"/>
        </w:rPr>
        <w:t>“</w:t>
      </w:r>
      <w:r w:rsidR="003044A7">
        <w:rPr>
          <w:rFonts w:asciiTheme="minorHAnsi" w:hAnsiTheme="minorHAnsi"/>
        </w:rPr>
        <w:fldChar w:fldCharType="begin"/>
      </w:r>
      <w:r w:rsidR="003044A7">
        <w:rPr>
          <w:rFonts w:asciiTheme="minorHAnsi" w:hAnsiTheme="minorHAnsi"/>
        </w:rPr>
        <w:instrText xml:space="preserve"> REF _Ref492806119 \r \h </w:instrText>
      </w:r>
      <w:r w:rsidR="00600E2F">
        <w:rPr>
          <w:rFonts w:asciiTheme="minorHAnsi" w:hAnsiTheme="minorHAnsi"/>
        </w:rPr>
        <w:instrText xml:space="preserve"> \* MERGEFORMAT </w:instrText>
      </w:r>
      <w:r w:rsidR="003044A7">
        <w:rPr>
          <w:rFonts w:asciiTheme="minorHAnsi" w:hAnsiTheme="minorHAnsi"/>
        </w:rPr>
      </w:r>
      <w:r w:rsidR="003044A7">
        <w:rPr>
          <w:rFonts w:asciiTheme="minorHAnsi" w:hAnsiTheme="minorHAnsi"/>
        </w:rPr>
        <w:fldChar w:fldCharType="separate"/>
      </w:r>
      <w:r w:rsidR="00D44BCF">
        <w:rPr>
          <w:rFonts w:asciiTheme="minorHAnsi" w:hAnsiTheme="minorHAnsi"/>
        </w:rPr>
        <w:t>4.4.7</w:t>
      </w:r>
      <w:r w:rsidR="003044A7">
        <w:rPr>
          <w:rFonts w:asciiTheme="minorHAnsi" w:hAnsiTheme="minorHAnsi"/>
        </w:rPr>
        <w:fldChar w:fldCharType="end"/>
      </w:r>
      <w:r w:rsidR="003044A7">
        <w:rPr>
          <w:rFonts w:asciiTheme="minorHAnsi" w:hAnsiTheme="minorHAnsi"/>
        </w:rPr>
        <w:t xml:space="preserve"> </w:t>
      </w:r>
      <w:r w:rsidR="003044A7">
        <w:rPr>
          <w:rFonts w:asciiTheme="minorHAnsi" w:hAnsiTheme="minorHAnsi"/>
        </w:rPr>
        <w:fldChar w:fldCharType="begin"/>
      </w:r>
      <w:r w:rsidR="003044A7">
        <w:rPr>
          <w:rFonts w:asciiTheme="minorHAnsi" w:hAnsiTheme="minorHAnsi"/>
        </w:rPr>
        <w:instrText xml:space="preserve"> REF _Ref492806151 \h </w:instrText>
      </w:r>
      <w:r w:rsidR="00600E2F">
        <w:rPr>
          <w:rFonts w:asciiTheme="minorHAnsi" w:hAnsiTheme="minorHAnsi"/>
        </w:rPr>
        <w:instrText xml:space="preserve"> \* MERGEFORMAT </w:instrText>
      </w:r>
      <w:r w:rsidR="003044A7">
        <w:rPr>
          <w:rFonts w:asciiTheme="minorHAnsi" w:hAnsiTheme="minorHAnsi"/>
        </w:rPr>
      </w:r>
      <w:r w:rsidR="003044A7">
        <w:rPr>
          <w:rFonts w:asciiTheme="minorHAnsi" w:hAnsiTheme="minorHAnsi"/>
        </w:rPr>
        <w:fldChar w:fldCharType="separate"/>
      </w:r>
      <w:r w:rsidR="00D44BCF" w:rsidRPr="00D44BCF">
        <w:rPr>
          <w:rFonts w:asciiTheme="minorHAnsi" w:hAnsiTheme="minorHAnsi"/>
        </w:rPr>
        <w:t>Degree to which contrition is shown – s 16A(2)(f)</w:t>
      </w:r>
      <w:r w:rsidR="003044A7">
        <w:rPr>
          <w:rFonts w:asciiTheme="minorHAnsi" w:hAnsiTheme="minorHAnsi"/>
        </w:rPr>
        <w:fldChar w:fldCharType="end"/>
      </w:r>
      <w:r w:rsidR="003044A7">
        <w:rPr>
          <w:rFonts w:asciiTheme="minorHAnsi" w:hAnsiTheme="minorHAnsi"/>
        </w:rPr>
        <w:t>”</w:t>
      </w:r>
      <w:r w:rsidR="007E4C23">
        <w:rPr>
          <w:rFonts w:asciiTheme="minorHAnsi" w:hAnsiTheme="minorHAnsi"/>
        </w:rPr>
        <w:t>)</w:t>
      </w:r>
      <w:r w:rsidR="003044A7">
        <w:rPr>
          <w:rFonts w:asciiTheme="minorHAnsi" w:hAnsiTheme="minorHAnsi"/>
        </w:rPr>
        <w:t>.</w:t>
      </w:r>
      <w:r w:rsidR="00F97DDE">
        <w:rPr>
          <w:rFonts w:asciiTheme="minorHAnsi" w:hAnsiTheme="minorHAnsi"/>
        </w:rPr>
        <w:t xml:space="preserve">  </w:t>
      </w:r>
    </w:p>
    <w:p w14:paraId="432720C1" w14:textId="77777777" w:rsidR="006057FF" w:rsidRPr="00C00000" w:rsidRDefault="006057FF" w:rsidP="006057FF">
      <w:pPr>
        <w:pStyle w:val="ListParagraph"/>
        <w:widowControl w:val="0"/>
        <w:spacing w:line="276" w:lineRule="auto"/>
        <w:ind w:left="567" w:hanging="567"/>
        <w:rPr>
          <w:rFonts w:asciiTheme="minorHAnsi" w:hAnsiTheme="minorHAnsi"/>
        </w:rPr>
      </w:pPr>
    </w:p>
    <w:p w14:paraId="4F207696" w14:textId="2373AED1" w:rsidR="00EA1764" w:rsidRPr="00C00000" w:rsidRDefault="00EA1764" w:rsidP="008B3E81">
      <w:pPr>
        <w:pStyle w:val="Heading2"/>
        <w:rPr>
          <w:rStyle w:val="Strong"/>
          <w:b/>
        </w:rPr>
      </w:pPr>
      <w:bookmarkStart w:id="2638" w:name="_Toc33602934"/>
      <w:r>
        <w:rPr>
          <w:rStyle w:val="Strong"/>
          <w:b/>
        </w:rPr>
        <w:t>Forfeiture of property</w:t>
      </w:r>
      <w:bookmarkEnd w:id="2638"/>
    </w:p>
    <w:p w14:paraId="2B72369B" w14:textId="77777777" w:rsidR="00EA1764" w:rsidRPr="00C00000" w:rsidRDefault="00EA1764" w:rsidP="008B3E81">
      <w:pPr>
        <w:keepNext/>
        <w:spacing w:line="276" w:lineRule="auto"/>
        <w:ind w:left="567" w:hanging="567"/>
        <w:rPr>
          <w:rFonts w:asciiTheme="minorHAnsi" w:hAnsiTheme="minorHAnsi"/>
        </w:rPr>
      </w:pPr>
    </w:p>
    <w:p w14:paraId="71ED4FEC" w14:textId="73FDB5D8" w:rsidR="00126678" w:rsidRDefault="0012667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Some </w:t>
      </w:r>
      <w:r w:rsidRPr="00685C33">
        <w:rPr>
          <w:rFonts w:asciiTheme="minorHAnsi" w:hAnsiTheme="minorHAnsi"/>
        </w:rPr>
        <w:t>Commonwealth</w:t>
      </w:r>
      <w:r>
        <w:rPr>
          <w:rFonts w:asciiTheme="minorHAnsi" w:hAnsiTheme="minorHAnsi"/>
        </w:rPr>
        <w:t xml:space="preserve"> statutes empower a court, upon convicting a person of a particular offence, to order forfeiture of property</w:t>
      </w:r>
      <w:r w:rsidR="00511993">
        <w:rPr>
          <w:rFonts w:asciiTheme="minorHAnsi" w:hAnsiTheme="minorHAnsi"/>
        </w:rPr>
        <w:t xml:space="preserve">.  </w:t>
      </w:r>
      <w:r>
        <w:rPr>
          <w:rFonts w:asciiTheme="minorHAnsi" w:hAnsiTheme="minorHAnsi"/>
        </w:rPr>
        <w:t>An example is s.</w:t>
      </w:r>
      <w:r w:rsidR="00276F6C">
        <w:rPr>
          <w:rFonts w:asciiTheme="minorHAnsi" w:hAnsiTheme="minorHAnsi"/>
        </w:rPr>
        <w:t>106</w:t>
      </w:r>
      <w:r>
        <w:rPr>
          <w:rFonts w:asciiTheme="minorHAnsi" w:hAnsiTheme="minorHAnsi"/>
        </w:rPr>
        <w:t xml:space="preserve"> of the </w:t>
      </w:r>
      <w:r w:rsidRPr="00685C33">
        <w:rPr>
          <w:rFonts w:asciiTheme="minorHAnsi" w:hAnsiTheme="minorHAnsi"/>
          <w:i/>
        </w:rPr>
        <w:t>Fisheries Management Act 1991</w:t>
      </w:r>
      <w:r>
        <w:rPr>
          <w:rFonts w:asciiTheme="minorHAnsi" w:hAnsiTheme="minorHAnsi"/>
        </w:rPr>
        <w:t xml:space="preserve"> (Cth), which permits a court which convicts a person of a specifie</w:t>
      </w:r>
      <w:r w:rsidR="00C8373E">
        <w:rPr>
          <w:rFonts w:asciiTheme="minorHAnsi" w:hAnsiTheme="minorHAnsi"/>
        </w:rPr>
        <w:t>d offence against the Act to order the forfeiture of a fishing boat or fishing equipment used in the commission of the offence</w:t>
      </w:r>
      <w:r w:rsidR="00E37D3E">
        <w:rPr>
          <w:rFonts w:asciiTheme="minorHAnsi" w:hAnsiTheme="minorHAnsi"/>
        </w:rPr>
        <w:t>,</w:t>
      </w:r>
      <w:r w:rsidR="00C8373E">
        <w:rPr>
          <w:rFonts w:asciiTheme="minorHAnsi" w:hAnsiTheme="minorHAnsi"/>
        </w:rPr>
        <w:t xml:space="preserve"> and fish on board the boat</w:t>
      </w:r>
      <w:r w:rsidR="00E37D3E">
        <w:rPr>
          <w:rFonts w:asciiTheme="minorHAnsi" w:hAnsiTheme="minorHAnsi"/>
        </w:rPr>
        <w:t>,</w:t>
      </w:r>
      <w:r w:rsidR="00C8373E">
        <w:rPr>
          <w:rFonts w:asciiTheme="minorHAnsi" w:hAnsiTheme="minorHAnsi"/>
        </w:rPr>
        <w:t xml:space="preserve"> or the proceeds of sale of such fish.</w:t>
      </w:r>
    </w:p>
    <w:p w14:paraId="013E644C" w14:textId="77777777" w:rsidR="00C8373E" w:rsidRPr="00C8373E" w:rsidRDefault="00C8373E" w:rsidP="00C8373E">
      <w:pPr>
        <w:widowControl w:val="0"/>
        <w:spacing w:line="276" w:lineRule="auto"/>
        <w:rPr>
          <w:rFonts w:asciiTheme="minorHAnsi" w:hAnsiTheme="minorHAnsi"/>
        </w:rPr>
      </w:pPr>
    </w:p>
    <w:p w14:paraId="60225F74" w14:textId="15E50AD2" w:rsidR="0036575B" w:rsidRDefault="00C8373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addition, there </w:t>
      </w:r>
      <w:r w:rsidR="00C0758C">
        <w:rPr>
          <w:rFonts w:asciiTheme="minorHAnsi" w:hAnsiTheme="minorHAnsi"/>
        </w:rPr>
        <w:t>are</w:t>
      </w:r>
      <w:r>
        <w:rPr>
          <w:rFonts w:asciiTheme="minorHAnsi" w:hAnsiTheme="minorHAnsi"/>
        </w:rPr>
        <w:t xml:space="preserve"> broad power</w:t>
      </w:r>
      <w:r w:rsidR="00C0758C">
        <w:rPr>
          <w:rFonts w:asciiTheme="minorHAnsi" w:hAnsiTheme="minorHAnsi"/>
        </w:rPr>
        <w:t>s</w:t>
      </w:r>
      <w:r>
        <w:rPr>
          <w:rFonts w:asciiTheme="minorHAnsi" w:hAnsiTheme="minorHAnsi"/>
        </w:rPr>
        <w:t xml:space="preserve"> for a court to order </w:t>
      </w:r>
      <w:r w:rsidR="003D5587">
        <w:rPr>
          <w:rFonts w:asciiTheme="minorHAnsi" w:hAnsiTheme="minorHAnsi"/>
        </w:rPr>
        <w:t>forfeiture</w:t>
      </w:r>
      <w:r w:rsidR="00C0758C">
        <w:rPr>
          <w:rFonts w:asciiTheme="minorHAnsi" w:hAnsiTheme="minorHAnsi"/>
        </w:rPr>
        <w:t xml:space="preserve"> following conviction, pursuant to </w:t>
      </w:r>
      <w:r w:rsidR="0036575B">
        <w:rPr>
          <w:rFonts w:asciiTheme="minorHAnsi" w:hAnsiTheme="minorHAnsi"/>
        </w:rPr>
        <w:t xml:space="preserve">Part 2-2 of </w:t>
      </w:r>
      <w:r w:rsidR="00C0758C">
        <w:rPr>
          <w:rFonts w:asciiTheme="minorHAnsi" w:hAnsiTheme="minorHAnsi"/>
        </w:rPr>
        <w:t xml:space="preserve">the </w:t>
      </w:r>
      <w:r w:rsidR="00C0758C" w:rsidRPr="00C0758C">
        <w:rPr>
          <w:rFonts w:asciiTheme="minorHAnsi" w:hAnsiTheme="minorHAnsi"/>
          <w:i/>
        </w:rPr>
        <w:t>Proceeds of Crime Act 2002</w:t>
      </w:r>
      <w:r w:rsidR="00C0758C">
        <w:rPr>
          <w:rFonts w:asciiTheme="minorHAnsi" w:hAnsiTheme="minorHAnsi"/>
        </w:rPr>
        <w:t xml:space="preserve"> (Cth).</w:t>
      </w:r>
      <w:r w:rsidR="00E37D3E" w:rsidRPr="00C00000">
        <w:rPr>
          <w:rStyle w:val="Style"/>
          <w:rFonts w:asciiTheme="minorHAnsi" w:hAnsiTheme="minorHAnsi"/>
        </w:rPr>
        <w:footnoteReference w:id="943"/>
      </w:r>
      <w:r w:rsidR="00C0758C">
        <w:rPr>
          <w:rFonts w:asciiTheme="minorHAnsi" w:hAnsiTheme="minorHAnsi"/>
        </w:rPr>
        <w:t xml:space="preserve">  As a matter of practice, however, applications for such forfeiture are usually dealt with separately from a sentencing hearing.  </w:t>
      </w:r>
    </w:p>
    <w:p w14:paraId="10BDA9C0" w14:textId="77777777" w:rsidR="0036575B" w:rsidRPr="0036575B" w:rsidRDefault="0036575B" w:rsidP="0036575B">
      <w:pPr>
        <w:pStyle w:val="ListParagraph"/>
        <w:rPr>
          <w:rFonts w:asciiTheme="minorHAnsi" w:hAnsiTheme="minorHAnsi"/>
        </w:rPr>
      </w:pPr>
    </w:p>
    <w:p w14:paraId="1AC77AD2" w14:textId="77E09452" w:rsidR="001E337B" w:rsidRPr="00C00000" w:rsidRDefault="00685C33" w:rsidP="008B3E81">
      <w:pPr>
        <w:pStyle w:val="Heading2"/>
        <w:rPr>
          <w:rStyle w:val="Strong"/>
          <w:b/>
        </w:rPr>
      </w:pPr>
      <w:bookmarkStart w:id="2639" w:name="_Toc33602935"/>
      <w:r>
        <w:rPr>
          <w:rStyle w:val="Strong"/>
          <w:b/>
        </w:rPr>
        <w:t>Orders for banning, l</w:t>
      </w:r>
      <w:r w:rsidR="001E337B">
        <w:rPr>
          <w:rStyle w:val="Strong"/>
          <w:b/>
        </w:rPr>
        <w:t>icence ca</w:t>
      </w:r>
      <w:r w:rsidR="00EA1764">
        <w:rPr>
          <w:rStyle w:val="Strong"/>
          <w:b/>
        </w:rPr>
        <w:t>ncellation and disqualification</w:t>
      </w:r>
      <w:bookmarkEnd w:id="2639"/>
    </w:p>
    <w:p w14:paraId="71BF8D1F" w14:textId="77777777" w:rsidR="001E337B" w:rsidRPr="00C00000" w:rsidRDefault="001E337B" w:rsidP="008B3E81">
      <w:pPr>
        <w:keepNext/>
        <w:spacing w:line="276" w:lineRule="auto"/>
        <w:ind w:left="567" w:hanging="567"/>
        <w:rPr>
          <w:rFonts w:asciiTheme="minorHAnsi" w:hAnsiTheme="minorHAnsi"/>
        </w:rPr>
      </w:pPr>
    </w:p>
    <w:p w14:paraId="5C95DF5D" w14:textId="45ACC712" w:rsidR="00685C33" w:rsidRDefault="00685C3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Some </w:t>
      </w:r>
      <w:r w:rsidRPr="00685C33">
        <w:rPr>
          <w:rFonts w:asciiTheme="minorHAnsi" w:hAnsiTheme="minorHAnsi"/>
        </w:rPr>
        <w:t>Commonwealth</w:t>
      </w:r>
      <w:r>
        <w:rPr>
          <w:rFonts w:asciiTheme="minorHAnsi" w:hAnsiTheme="minorHAnsi"/>
        </w:rPr>
        <w:t xml:space="preserve"> statutes empower a court, upon convicting a person of a particular offence</w:t>
      </w:r>
      <w:r w:rsidR="001065D5">
        <w:rPr>
          <w:rFonts w:asciiTheme="minorHAnsi" w:hAnsiTheme="minorHAnsi"/>
        </w:rPr>
        <w:t>,</w:t>
      </w:r>
      <w:r>
        <w:rPr>
          <w:rFonts w:asciiTheme="minorHAnsi" w:hAnsiTheme="minorHAnsi"/>
        </w:rPr>
        <w:t xml:space="preserve"> to make ancillary orders</w:t>
      </w:r>
      <w:r w:rsidR="001C371D">
        <w:rPr>
          <w:rFonts w:asciiTheme="minorHAnsi" w:hAnsiTheme="minorHAnsi"/>
        </w:rPr>
        <w:t xml:space="preserve"> for banning </w:t>
      </w:r>
      <w:r w:rsidR="00524942">
        <w:rPr>
          <w:rFonts w:asciiTheme="minorHAnsi" w:hAnsiTheme="minorHAnsi"/>
        </w:rPr>
        <w:t xml:space="preserve">or disqualifying </w:t>
      </w:r>
      <w:r w:rsidR="001C371D">
        <w:rPr>
          <w:rFonts w:asciiTheme="minorHAnsi" w:hAnsiTheme="minorHAnsi"/>
        </w:rPr>
        <w:t>a person</w:t>
      </w:r>
      <w:r w:rsidR="00524942">
        <w:rPr>
          <w:rFonts w:asciiTheme="minorHAnsi" w:hAnsiTheme="minorHAnsi"/>
        </w:rPr>
        <w:t xml:space="preserve"> from particular conduct</w:t>
      </w:r>
      <w:r w:rsidR="001C371D">
        <w:rPr>
          <w:rFonts w:asciiTheme="minorHAnsi" w:hAnsiTheme="minorHAnsi"/>
        </w:rPr>
        <w:t xml:space="preserve">, or </w:t>
      </w:r>
      <w:r w:rsidR="00524942">
        <w:rPr>
          <w:rFonts w:asciiTheme="minorHAnsi" w:hAnsiTheme="minorHAnsi"/>
        </w:rPr>
        <w:t xml:space="preserve">for </w:t>
      </w:r>
      <w:r w:rsidR="001C371D">
        <w:rPr>
          <w:rFonts w:asciiTheme="minorHAnsi" w:hAnsiTheme="minorHAnsi"/>
        </w:rPr>
        <w:t>cancelling a licence or permit</w:t>
      </w:r>
      <w:r>
        <w:rPr>
          <w:rFonts w:asciiTheme="minorHAnsi" w:hAnsiTheme="minorHAnsi"/>
        </w:rPr>
        <w:t xml:space="preserve">.  An example is s.98 of the </w:t>
      </w:r>
      <w:r w:rsidRPr="00685C33">
        <w:rPr>
          <w:rFonts w:asciiTheme="minorHAnsi" w:hAnsiTheme="minorHAnsi"/>
          <w:i/>
        </w:rPr>
        <w:t>Fisheries Management Act 1991</w:t>
      </w:r>
      <w:r>
        <w:rPr>
          <w:rFonts w:asciiTheme="minorHAnsi" w:hAnsiTheme="minorHAnsi"/>
        </w:rPr>
        <w:t xml:space="preserve"> (Cth), which permits a court which convicts a person of a specified offence against the Act:</w:t>
      </w:r>
    </w:p>
    <w:p w14:paraId="7CA6CB6C" w14:textId="77777777" w:rsidR="001E337B" w:rsidRDefault="00685C33"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 to </w:t>
      </w:r>
      <w:r w:rsidR="00D64DCA">
        <w:rPr>
          <w:rFonts w:asciiTheme="minorHAnsi" w:hAnsiTheme="minorHAnsi"/>
        </w:rPr>
        <w:t xml:space="preserve">ban </w:t>
      </w:r>
      <w:r>
        <w:rPr>
          <w:rFonts w:asciiTheme="minorHAnsi" w:hAnsiTheme="minorHAnsi"/>
        </w:rPr>
        <w:t xml:space="preserve">the offender </w:t>
      </w:r>
      <w:r w:rsidR="00D64DCA">
        <w:rPr>
          <w:rFonts w:asciiTheme="minorHAnsi" w:hAnsiTheme="minorHAnsi"/>
        </w:rPr>
        <w:t xml:space="preserve">from being </w:t>
      </w:r>
      <w:r w:rsidRPr="00685C33">
        <w:rPr>
          <w:rFonts w:asciiTheme="minorHAnsi" w:hAnsiTheme="minorHAnsi"/>
        </w:rPr>
        <w:t xml:space="preserve">on a boat in the Australian Fishing Zone </w:t>
      </w:r>
      <w:r w:rsidR="00D64DCA">
        <w:rPr>
          <w:rFonts w:asciiTheme="minorHAnsi" w:hAnsiTheme="minorHAnsi"/>
        </w:rPr>
        <w:t xml:space="preserve">(AFZ) </w:t>
      </w:r>
      <w:r w:rsidRPr="00685C33">
        <w:rPr>
          <w:rFonts w:asciiTheme="minorHAnsi" w:hAnsiTheme="minorHAnsi"/>
        </w:rPr>
        <w:t xml:space="preserve">with the intention of engaging in commercial fishing, </w:t>
      </w:r>
    </w:p>
    <w:p w14:paraId="25D6E9DE" w14:textId="77777777" w:rsidR="00D64DCA" w:rsidRDefault="00D64DCA"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to ban the offender from </w:t>
      </w:r>
      <w:r w:rsidRPr="00D64DCA">
        <w:rPr>
          <w:rFonts w:asciiTheme="minorHAnsi" w:hAnsiTheme="minorHAnsi"/>
        </w:rPr>
        <w:t>being on any Australian-flagged boat outside the AFZ for the purposes of commercial fishing</w:t>
      </w:r>
      <w:r>
        <w:rPr>
          <w:rFonts w:asciiTheme="minorHAnsi" w:hAnsiTheme="minorHAnsi"/>
        </w:rPr>
        <w:t>, or</w:t>
      </w:r>
    </w:p>
    <w:p w14:paraId="40D6B866" w14:textId="77777777" w:rsidR="00D64DCA" w:rsidRPr="00C00000" w:rsidRDefault="00D64DCA"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to cancel or suspend a fishing concession.</w:t>
      </w:r>
    </w:p>
    <w:p w14:paraId="086CF73A" w14:textId="77777777" w:rsidR="00D64DCA" w:rsidRPr="00D64DCA" w:rsidRDefault="00D64DCA" w:rsidP="00904E65">
      <w:pPr>
        <w:widowControl w:val="0"/>
        <w:spacing w:line="276" w:lineRule="auto"/>
        <w:ind w:left="426"/>
        <w:rPr>
          <w:rFonts w:asciiTheme="minorHAnsi" w:hAnsiTheme="minorHAnsi"/>
        </w:rPr>
      </w:pPr>
      <w:r w:rsidRPr="00D64DCA">
        <w:rPr>
          <w:rFonts w:asciiTheme="minorHAnsi" w:hAnsiTheme="minorHAnsi"/>
        </w:rPr>
        <w:t>Authority is divided on whether such an order may be backdated.</w:t>
      </w:r>
      <w:r w:rsidRPr="00C00000">
        <w:rPr>
          <w:rStyle w:val="Style"/>
          <w:rFonts w:asciiTheme="minorHAnsi" w:hAnsiTheme="minorHAnsi"/>
        </w:rPr>
        <w:footnoteReference w:id="944"/>
      </w:r>
    </w:p>
    <w:p w14:paraId="57551B33" w14:textId="77777777" w:rsidR="00D64DCA" w:rsidRDefault="00D64DCA" w:rsidP="00D64DCA">
      <w:pPr>
        <w:widowControl w:val="0"/>
        <w:spacing w:line="276" w:lineRule="auto"/>
        <w:rPr>
          <w:rFonts w:asciiTheme="minorHAnsi" w:hAnsiTheme="minorHAnsi"/>
        </w:rPr>
      </w:pPr>
    </w:p>
    <w:p w14:paraId="77015707" w14:textId="720739EE" w:rsidR="00D64DCA" w:rsidRDefault="005145B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Many State and Territory laws permit a court, following a conviction or finding of guilt, to make orders relating to the suspension or cancellation of a licence or permit, or disqualification of a person from an office, or from seeking or obtaining some licence, permit or authority.  The most commonly </w:t>
      </w:r>
      <w:r w:rsidR="00524942">
        <w:rPr>
          <w:rFonts w:asciiTheme="minorHAnsi" w:hAnsiTheme="minorHAnsi"/>
        </w:rPr>
        <w:t xml:space="preserve">used </w:t>
      </w:r>
      <w:r>
        <w:rPr>
          <w:rFonts w:asciiTheme="minorHAnsi" w:hAnsiTheme="minorHAnsi"/>
        </w:rPr>
        <w:t>examples are provisions relating to licences and permits to drive a motor vehicle.  Such powers are usually triggered by a conviction for, or finding of guilt of, a specified offence against the law of the particular jurisdiction</w:t>
      </w:r>
      <w:r w:rsidR="00C06729">
        <w:rPr>
          <w:rFonts w:asciiTheme="minorHAnsi" w:hAnsiTheme="minorHAnsi"/>
        </w:rPr>
        <w:t>;</w:t>
      </w:r>
      <w:r>
        <w:rPr>
          <w:rFonts w:asciiTheme="minorHAnsi" w:hAnsiTheme="minorHAnsi"/>
        </w:rPr>
        <w:t xml:space="preserve"> but in some instances</w:t>
      </w:r>
      <w:r w:rsidR="00C06729">
        <w:rPr>
          <w:rFonts w:asciiTheme="minorHAnsi" w:hAnsiTheme="minorHAnsi"/>
        </w:rPr>
        <w:t>,</w:t>
      </w:r>
      <w:r>
        <w:rPr>
          <w:rFonts w:asciiTheme="minorHAnsi" w:hAnsiTheme="minorHAnsi"/>
        </w:rPr>
        <w:t xml:space="preserve"> </w:t>
      </w:r>
      <w:r w:rsidR="00C06729">
        <w:rPr>
          <w:rFonts w:asciiTheme="minorHAnsi" w:hAnsiTheme="minorHAnsi"/>
        </w:rPr>
        <w:t xml:space="preserve">the power </w:t>
      </w:r>
      <w:r>
        <w:rPr>
          <w:rFonts w:asciiTheme="minorHAnsi" w:hAnsiTheme="minorHAnsi"/>
        </w:rPr>
        <w:t xml:space="preserve">may </w:t>
      </w:r>
      <w:r w:rsidR="00C06729">
        <w:rPr>
          <w:rFonts w:asciiTheme="minorHAnsi" w:hAnsiTheme="minorHAnsi"/>
        </w:rPr>
        <w:t xml:space="preserve">arise where the offence is of a kind described more generically, or which involves conduct of a particular type.  For example, s.55 of the </w:t>
      </w:r>
      <w:r w:rsidR="00C06729" w:rsidRPr="00BA7296">
        <w:rPr>
          <w:rFonts w:asciiTheme="minorHAnsi" w:hAnsiTheme="minorHAnsi"/>
          <w:i/>
        </w:rPr>
        <w:t xml:space="preserve">Sentencing Act </w:t>
      </w:r>
      <w:r w:rsidR="00BA7296" w:rsidRPr="00BA7296">
        <w:rPr>
          <w:rFonts w:asciiTheme="minorHAnsi" w:hAnsiTheme="minorHAnsi"/>
          <w:i/>
        </w:rPr>
        <w:t>1997</w:t>
      </w:r>
      <w:r w:rsidR="00BA7296">
        <w:rPr>
          <w:rFonts w:asciiTheme="minorHAnsi" w:hAnsiTheme="minorHAnsi"/>
        </w:rPr>
        <w:t xml:space="preserve"> (</w:t>
      </w:r>
      <w:r w:rsidR="00414B12">
        <w:rPr>
          <w:rFonts w:asciiTheme="minorHAnsi" w:hAnsiTheme="minorHAnsi"/>
        </w:rPr>
        <w:t>Tas</w:t>
      </w:r>
      <w:r w:rsidR="00BA7296">
        <w:rPr>
          <w:rFonts w:asciiTheme="minorHAnsi" w:hAnsiTheme="minorHAnsi"/>
        </w:rPr>
        <w:t>) empowers a court that convicts an offender of a “motor vehicle offence” to order that the offender be disqualified from drivin</w:t>
      </w:r>
      <w:r w:rsidR="00524942">
        <w:rPr>
          <w:rFonts w:asciiTheme="minorHAnsi" w:hAnsiTheme="minorHAnsi"/>
        </w:rPr>
        <w:t>g;</w:t>
      </w:r>
      <w:r w:rsidR="00BA7296">
        <w:rPr>
          <w:rFonts w:asciiTheme="minorHAnsi" w:hAnsiTheme="minorHAnsi"/>
        </w:rPr>
        <w:t xml:space="preserve"> “</w:t>
      </w:r>
      <w:r w:rsidR="00524942">
        <w:rPr>
          <w:rFonts w:asciiTheme="minorHAnsi" w:hAnsiTheme="minorHAnsi"/>
        </w:rPr>
        <w:t xml:space="preserve">motor </w:t>
      </w:r>
      <w:r w:rsidR="00BA7296">
        <w:rPr>
          <w:rFonts w:asciiTheme="minorHAnsi" w:hAnsiTheme="minorHAnsi"/>
        </w:rPr>
        <w:t>vehicle offence” is defined to include (amongst other things) “</w:t>
      </w:r>
      <w:r w:rsidR="00BA7296" w:rsidRPr="00BA7296">
        <w:rPr>
          <w:rFonts w:asciiTheme="minorHAnsi" w:hAnsiTheme="minorHAnsi"/>
          <w:i/>
        </w:rPr>
        <w:t>an indictable offence ... in the commission of which a vehicle was used or the commission of which was facilitated by a motor vehicle</w:t>
      </w:r>
      <w:r w:rsidR="00BA7296">
        <w:rPr>
          <w:rFonts w:asciiTheme="minorHAnsi" w:hAnsiTheme="minorHAnsi"/>
        </w:rPr>
        <w:t xml:space="preserve">”.  It is </w:t>
      </w:r>
      <w:r w:rsidR="005D2110">
        <w:rPr>
          <w:rFonts w:asciiTheme="minorHAnsi" w:hAnsiTheme="minorHAnsi"/>
        </w:rPr>
        <w:t>unclear</w:t>
      </w:r>
      <w:r w:rsidR="00BA7296">
        <w:rPr>
          <w:rFonts w:asciiTheme="minorHAnsi" w:hAnsiTheme="minorHAnsi"/>
        </w:rPr>
        <w:t xml:space="preserve"> </w:t>
      </w:r>
      <w:r w:rsidR="005D2110">
        <w:rPr>
          <w:rFonts w:asciiTheme="minorHAnsi" w:hAnsiTheme="minorHAnsi"/>
        </w:rPr>
        <w:t>whether</w:t>
      </w:r>
      <w:r w:rsidR="00BA7296">
        <w:rPr>
          <w:rFonts w:asciiTheme="minorHAnsi" w:hAnsiTheme="minorHAnsi"/>
        </w:rPr>
        <w:t xml:space="preserve"> such a power would be picked up and applied by the provisions of the </w:t>
      </w:r>
      <w:r w:rsidR="00BA7296" w:rsidRPr="00BA7296">
        <w:rPr>
          <w:rFonts w:asciiTheme="minorHAnsi" w:hAnsiTheme="minorHAnsi"/>
          <w:i/>
        </w:rPr>
        <w:t>Judiciary Act 1903</w:t>
      </w:r>
      <w:r w:rsidR="00BA7296">
        <w:rPr>
          <w:rFonts w:asciiTheme="minorHAnsi" w:hAnsiTheme="minorHAnsi"/>
        </w:rPr>
        <w:t xml:space="preserve"> (Cth) to the sentencing of a federal offender in the relevant jurisdiction.</w:t>
      </w:r>
    </w:p>
    <w:p w14:paraId="0974B024" w14:textId="77777777" w:rsidR="00D64DCA" w:rsidRPr="00D64DCA" w:rsidRDefault="00D64DCA" w:rsidP="00D64DCA">
      <w:pPr>
        <w:widowControl w:val="0"/>
        <w:spacing w:line="276" w:lineRule="auto"/>
        <w:rPr>
          <w:rFonts w:asciiTheme="minorHAnsi" w:hAnsiTheme="minorHAnsi"/>
        </w:rPr>
      </w:pPr>
    </w:p>
    <w:p w14:paraId="5C960DA6" w14:textId="77777777" w:rsidR="006057FF" w:rsidRPr="00C00000" w:rsidRDefault="006057FF" w:rsidP="006057FF">
      <w:pPr>
        <w:widowControl w:val="0"/>
        <w:spacing w:line="276" w:lineRule="auto"/>
        <w:ind w:left="153"/>
        <w:rPr>
          <w:rFonts w:asciiTheme="minorHAnsi" w:hAnsiTheme="minorHAnsi"/>
        </w:rPr>
      </w:pPr>
      <w:r w:rsidRPr="00C00000">
        <w:rPr>
          <w:rFonts w:asciiTheme="minorHAnsi" w:hAnsiTheme="minorHAnsi"/>
        </w:rPr>
        <w:br w:type="page"/>
      </w:r>
    </w:p>
    <w:p w14:paraId="3E983AEE" w14:textId="45491C21" w:rsidR="006057FF" w:rsidRPr="00C00000" w:rsidRDefault="006057FF" w:rsidP="006057FF">
      <w:pPr>
        <w:pStyle w:val="Heading1"/>
        <w:spacing w:line="276" w:lineRule="auto"/>
        <w:rPr>
          <w:rFonts w:asciiTheme="minorHAnsi" w:hAnsiTheme="minorHAnsi"/>
          <w:sz w:val="30"/>
          <w:szCs w:val="30"/>
        </w:rPr>
      </w:pPr>
      <w:bookmarkStart w:id="2640" w:name="_Toc33602936"/>
      <w:r>
        <w:rPr>
          <w:rFonts w:asciiTheme="minorHAnsi" w:hAnsiTheme="minorHAnsi"/>
          <w:sz w:val="30"/>
          <w:szCs w:val="30"/>
        </w:rPr>
        <w:t>Some procedural issues</w:t>
      </w:r>
      <w:bookmarkEnd w:id="2640"/>
    </w:p>
    <w:p w14:paraId="7119A429" w14:textId="77777777" w:rsidR="006057FF" w:rsidRPr="00C00000" w:rsidRDefault="006057FF" w:rsidP="006057FF">
      <w:pPr>
        <w:pStyle w:val="ListParagraph"/>
        <w:spacing w:line="276" w:lineRule="auto"/>
        <w:ind w:left="567" w:right="170"/>
        <w:contextualSpacing w:val="0"/>
        <w:rPr>
          <w:rFonts w:asciiTheme="minorHAnsi" w:eastAsiaTheme="minorEastAsia" w:hAnsiTheme="minorHAnsi" w:cstheme="minorBidi"/>
          <w:noProof/>
          <w:szCs w:val="22"/>
        </w:rPr>
      </w:pPr>
    </w:p>
    <w:p w14:paraId="22B975C8" w14:textId="77777777" w:rsidR="003D45C1" w:rsidRPr="00051102" w:rsidRDefault="003D45C1" w:rsidP="008B3E81">
      <w:pPr>
        <w:pStyle w:val="Heading2"/>
        <w:rPr>
          <w:rStyle w:val="Strong"/>
          <w:rFonts w:ascii="Calibri" w:hAnsi="Calibri"/>
          <w:b/>
        </w:rPr>
      </w:pPr>
      <w:bookmarkStart w:id="2641" w:name="_Ref492740962"/>
      <w:bookmarkStart w:id="2642" w:name="_Ref492740965"/>
      <w:bookmarkStart w:id="2643" w:name="_Toc33602937"/>
      <w:bookmarkStart w:id="2644" w:name="_Hlk507064798"/>
      <w:r>
        <w:rPr>
          <w:rStyle w:val="Strong"/>
          <w:b/>
        </w:rPr>
        <w:t xml:space="preserve">Role of the </w:t>
      </w:r>
      <w:r w:rsidRPr="00B4181D">
        <w:rPr>
          <w:rStyle w:val="Strong"/>
          <w:b/>
          <w:bCs w:val="0"/>
        </w:rPr>
        <w:t>prosecution</w:t>
      </w:r>
      <w:r>
        <w:rPr>
          <w:rStyle w:val="Strong"/>
          <w:b/>
        </w:rPr>
        <w:t xml:space="preserve"> in a sentence hearing</w:t>
      </w:r>
      <w:bookmarkEnd w:id="2641"/>
      <w:bookmarkEnd w:id="2642"/>
      <w:bookmarkEnd w:id="2643"/>
    </w:p>
    <w:p w14:paraId="3FE83CA4" w14:textId="77777777" w:rsidR="003D45C1" w:rsidRPr="00051102" w:rsidRDefault="003D45C1" w:rsidP="008B3E81">
      <w:pPr>
        <w:keepNext/>
        <w:spacing w:line="276" w:lineRule="auto"/>
        <w:ind w:left="567"/>
        <w:rPr>
          <w:rFonts w:ascii="Calibri" w:hAnsi="Calibri"/>
        </w:rPr>
      </w:pPr>
    </w:p>
    <w:p w14:paraId="4B6B4841" w14:textId="77777777" w:rsidR="003D45C1" w:rsidRPr="00284086" w:rsidRDefault="003D45C1" w:rsidP="008B3E81">
      <w:pPr>
        <w:pStyle w:val="Heading3"/>
      </w:pPr>
      <w:bookmarkStart w:id="2645" w:name="_Ref509226948"/>
      <w:bookmarkStart w:id="2646" w:name="_Ref509226951"/>
      <w:bookmarkStart w:id="2647" w:name="_Toc33602938"/>
      <w:r w:rsidRPr="00284086">
        <w:t>Prosecution not permitted or obliged to submit range of sentences</w:t>
      </w:r>
      <w:bookmarkEnd w:id="2645"/>
      <w:bookmarkEnd w:id="2646"/>
      <w:bookmarkEnd w:id="2647"/>
      <w:r w:rsidRPr="00284086">
        <w:t xml:space="preserve"> </w:t>
      </w:r>
    </w:p>
    <w:p w14:paraId="6DBFB5EF" w14:textId="77777777" w:rsidR="003D45C1" w:rsidRPr="00C00000" w:rsidRDefault="003D45C1" w:rsidP="008B3E81">
      <w:pPr>
        <w:keepNext/>
        <w:spacing w:line="276" w:lineRule="auto"/>
        <w:ind w:left="567" w:hanging="567"/>
        <w:jc w:val="both"/>
        <w:rPr>
          <w:rFonts w:asciiTheme="minorHAnsi" w:hAnsiTheme="minorHAnsi"/>
        </w:rPr>
      </w:pPr>
    </w:p>
    <w:p w14:paraId="6EB3873C" w14:textId="677DC80F" w:rsidR="003D45C1" w:rsidRDefault="003D45C1" w:rsidP="00EB7F1E">
      <w:pPr>
        <w:pStyle w:val="ListParagraph"/>
        <w:numPr>
          <w:ilvl w:val="0"/>
          <w:numId w:val="7"/>
        </w:numPr>
        <w:spacing w:line="276" w:lineRule="auto"/>
        <w:ind w:left="425" w:hanging="425"/>
        <w:contextualSpacing w:val="0"/>
        <w:rPr>
          <w:rFonts w:asciiTheme="minorHAnsi" w:hAnsiTheme="minorHAnsi" w:cs="Arial"/>
          <w:szCs w:val="22"/>
        </w:rPr>
      </w:pPr>
      <w:r w:rsidRPr="00B4181D">
        <w:rPr>
          <w:rFonts w:asciiTheme="minorHAnsi" w:hAnsiTheme="minorHAnsi" w:cs="Arial"/>
          <w:szCs w:val="22"/>
        </w:rPr>
        <w:t xml:space="preserve">In </w:t>
      </w:r>
      <w:r w:rsidRPr="00B4181D">
        <w:rPr>
          <w:rFonts w:asciiTheme="minorHAnsi" w:hAnsiTheme="minorHAnsi" w:cs="Arial"/>
          <w:i/>
          <w:szCs w:val="22"/>
        </w:rPr>
        <w:t>Barbaro</w:t>
      </w:r>
      <w:r w:rsidRPr="00B4181D">
        <w:rPr>
          <w:rFonts w:asciiTheme="minorHAnsi" w:hAnsiTheme="minorHAnsi" w:cs="Arial"/>
          <w:szCs w:val="22"/>
        </w:rPr>
        <w:t>,</w:t>
      </w:r>
      <w:r w:rsidRPr="00C00000">
        <w:rPr>
          <w:rStyle w:val="FootnoteReference"/>
          <w:rFonts w:asciiTheme="minorHAnsi" w:hAnsiTheme="minorHAnsi"/>
        </w:rPr>
        <w:footnoteReference w:id="945"/>
      </w:r>
      <w:r w:rsidRPr="00B4181D">
        <w:rPr>
          <w:rFonts w:asciiTheme="minorHAnsi" w:hAnsiTheme="minorHAnsi" w:cs="Arial"/>
          <w:szCs w:val="22"/>
        </w:rPr>
        <w:t xml:space="preserve"> the High Court overruled the decision of the Victorian Court of Appeal in </w:t>
      </w:r>
      <w:r w:rsidRPr="00B4181D">
        <w:rPr>
          <w:rFonts w:asciiTheme="minorHAnsi" w:hAnsiTheme="minorHAnsi" w:cs="Arial"/>
          <w:i/>
          <w:szCs w:val="22"/>
        </w:rPr>
        <w:t>R v MacNeil-Brown</w:t>
      </w:r>
      <w:r w:rsidRPr="00BA2B0B">
        <w:rPr>
          <w:rFonts w:asciiTheme="minorHAnsi" w:hAnsiTheme="minorHAnsi" w:cs="Arial"/>
          <w:szCs w:val="22"/>
        </w:rPr>
        <w:t>,</w:t>
      </w:r>
      <w:r w:rsidRPr="00C00000">
        <w:rPr>
          <w:rStyle w:val="FootnoteReference"/>
          <w:rFonts w:asciiTheme="minorHAnsi" w:hAnsiTheme="minorHAnsi"/>
        </w:rPr>
        <w:footnoteReference w:id="946"/>
      </w:r>
      <w:r w:rsidRPr="00B4181D">
        <w:rPr>
          <w:rFonts w:asciiTheme="minorHAnsi" w:hAnsiTheme="minorHAnsi" w:cs="Arial"/>
          <w:szCs w:val="22"/>
        </w:rPr>
        <w:t xml:space="preserve"> </w:t>
      </w:r>
      <w:r>
        <w:rPr>
          <w:rFonts w:asciiTheme="minorHAnsi" w:hAnsiTheme="minorHAnsi" w:cs="Arial"/>
          <w:szCs w:val="22"/>
        </w:rPr>
        <w:t>which had required that, upon request by a</w:t>
      </w:r>
      <w:r w:rsidRPr="00B4181D">
        <w:rPr>
          <w:rFonts w:asciiTheme="minorHAnsi" w:hAnsiTheme="minorHAnsi" w:cs="Arial"/>
          <w:szCs w:val="22"/>
        </w:rPr>
        <w:t xml:space="preserve"> </w:t>
      </w:r>
      <w:r w:rsidRPr="00E90120">
        <w:rPr>
          <w:rFonts w:asciiTheme="minorHAnsi" w:hAnsiTheme="minorHAnsi"/>
        </w:rPr>
        <w:t>sentencing</w:t>
      </w:r>
      <w:r w:rsidRPr="00B4181D">
        <w:rPr>
          <w:rFonts w:asciiTheme="minorHAnsi" w:hAnsiTheme="minorHAnsi" w:cs="Arial"/>
          <w:szCs w:val="22"/>
        </w:rPr>
        <w:t xml:space="preserve"> court</w:t>
      </w:r>
      <w:r>
        <w:rPr>
          <w:rFonts w:asciiTheme="minorHAnsi" w:hAnsiTheme="minorHAnsi" w:cs="Arial"/>
          <w:szCs w:val="22"/>
        </w:rPr>
        <w:t xml:space="preserve">, the prosecution was obliged to </w:t>
      </w:r>
      <w:r w:rsidRPr="00B4181D">
        <w:rPr>
          <w:rFonts w:asciiTheme="minorHAnsi" w:hAnsiTheme="minorHAnsi" w:cs="Arial"/>
          <w:szCs w:val="22"/>
        </w:rPr>
        <w:t>provid</w:t>
      </w:r>
      <w:r>
        <w:rPr>
          <w:rFonts w:asciiTheme="minorHAnsi" w:hAnsiTheme="minorHAnsi" w:cs="Arial"/>
          <w:szCs w:val="22"/>
        </w:rPr>
        <w:t>e</w:t>
      </w:r>
      <w:r w:rsidRPr="00B4181D">
        <w:rPr>
          <w:rFonts w:asciiTheme="minorHAnsi" w:hAnsiTheme="minorHAnsi" w:cs="Arial"/>
          <w:szCs w:val="22"/>
        </w:rPr>
        <w:t xml:space="preserve"> a submission about the bounds of the available range of sentences</w:t>
      </w:r>
      <w:r w:rsidR="00302618">
        <w:rPr>
          <w:rFonts w:asciiTheme="minorHAnsi" w:hAnsiTheme="minorHAnsi" w:cs="Arial"/>
          <w:szCs w:val="22"/>
        </w:rPr>
        <w:t xml:space="preserve"> (e</w:t>
      </w:r>
      <w:r w:rsidR="00567729">
        <w:rPr>
          <w:rFonts w:asciiTheme="minorHAnsi" w:hAnsiTheme="minorHAnsi" w:cs="Arial"/>
          <w:szCs w:val="22"/>
        </w:rPr>
        <w:t>.</w:t>
      </w:r>
      <w:r w:rsidR="00302618">
        <w:rPr>
          <w:rFonts w:asciiTheme="minorHAnsi" w:hAnsiTheme="minorHAnsi" w:cs="Arial"/>
          <w:szCs w:val="22"/>
        </w:rPr>
        <w:t>g</w:t>
      </w:r>
      <w:r w:rsidR="00567729">
        <w:rPr>
          <w:rFonts w:asciiTheme="minorHAnsi" w:hAnsiTheme="minorHAnsi" w:cs="Arial"/>
          <w:szCs w:val="22"/>
        </w:rPr>
        <w:t>.</w:t>
      </w:r>
      <w:r w:rsidR="00302618">
        <w:rPr>
          <w:rFonts w:asciiTheme="minorHAnsi" w:hAnsiTheme="minorHAnsi" w:cs="Arial"/>
          <w:szCs w:val="22"/>
        </w:rPr>
        <w:t xml:space="preserve"> by submitting that a head sentence of between x and y years with a non parole period of between a and b years is appropriate)</w:t>
      </w:r>
      <w:r w:rsidRPr="00B4181D">
        <w:rPr>
          <w:rFonts w:asciiTheme="minorHAnsi" w:hAnsiTheme="minorHAnsi" w:cs="Arial"/>
          <w:szCs w:val="22"/>
        </w:rPr>
        <w:t xml:space="preserve">.  The plurality in </w:t>
      </w:r>
      <w:r w:rsidRPr="00B4181D">
        <w:rPr>
          <w:rFonts w:asciiTheme="minorHAnsi" w:hAnsiTheme="minorHAnsi" w:cs="Arial"/>
          <w:i/>
          <w:szCs w:val="22"/>
        </w:rPr>
        <w:t>Barbaro</w:t>
      </w:r>
      <w:r w:rsidRPr="00B4181D">
        <w:rPr>
          <w:rFonts w:asciiTheme="minorHAnsi" w:hAnsiTheme="minorHAnsi" w:cs="Arial"/>
          <w:szCs w:val="22"/>
        </w:rPr>
        <w:t xml:space="preserve"> deprecated the practice </w:t>
      </w:r>
      <w:r>
        <w:rPr>
          <w:rFonts w:asciiTheme="minorHAnsi" w:hAnsiTheme="minorHAnsi" w:cs="Arial"/>
          <w:szCs w:val="22"/>
        </w:rPr>
        <w:t xml:space="preserve">required by the decision in </w:t>
      </w:r>
      <w:r w:rsidRPr="00B4181D">
        <w:rPr>
          <w:rFonts w:asciiTheme="minorHAnsi" w:hAnsiTheme="minorHAnsi" w:cs="Arial"/>
          <w:i/>
          <w:szCs w:val="22"/>
        </w:rPr>
        <w:t>MacNeil-Brown</w:t>
      </w:r>
      <w:r>
        <w:rPr>
          <w:rFonts w:asciiTheme="minorHAnsi" w:hAnsiTheme="minorHAnsi" w:cs="Arial"/>
          <w:i/>
          <w:szCs w:val="22"/>
        </w:rPr>
        <w:t>.</w:t>
      </w:r>
      <w:r w:rsidRPr="00B4181D">
        <w:rPr>
          <w:rFonts w:asciiTheme="minorHAnsi" w:hAnsiTheme="minorHAnsi" w:cs="Arial"/>
          <w:szCs w:val="22"/>
        </w:rPr>
        <w:t xml:space="preserve"> </w:t>
      </w:r>
      <w:r>
        <w:rPr>
          <w:rFonts w:asciiTheme="minorHAnsi" w:hAnsiTheme="minorHAnsi" w:cs="Arial"/>
          <w:szCs w:val="22"/>
        </w:rPr>
        <w:t xml:space="preserve"> The plurality </w:t>
      </w:r>
      <w:r w:rsidRPr="00B4181D">
        <w:rPr>
          <w:rFonts w:asciiTheme="minorHAnsi" w:hAnsiTheme="minorHAnsi" w:cs="Arial"/>
          <w:szCs w:val="22"/>
        </w:rPr>
        <w:t>held that the prosecution is not required, and should not be permitted, to make such a statement of bounds to a sentencing judge, as it was not a submission of law but merely a statement of opinion.</w:t>
      </w:r>
      <w:r w:rsidR="001F6F3D">
        <w:rPr>
          <w:rFonts w:asciiTheme="minorHAnsi" w:hAnsiTheme="minorHAnsi" w:cs="Arial"/>
          <w:szCs w:val="22"/>
        </w:rPr>
        <w:t xml:space="preserve">  The plurality </w:t>
      </w:r>
      <w:r w:rsidR="00C00C4A">
        <w:rPr>
          <w:rFonts w:asciiTheme="minorHAnsi" w:hAnsiTheme="minorHAnsi" w:cs="Arial"/>
          <w:szCs w:val="22"/>
        </w:rPr>
        <w:t xml:space="preserve">said that </w:t>
      </w:r>
      <w:r w:rsidR="009F4A64">
        <w:rPr>
          <w:rFonts w:asciiTheme="minorHAnsi" w:hAnsiTheme="minorHAnsi" w:cs="Arial"/>
          <w:szCs w:val="22"/>
        </w:rPr>
        <w:t xml:space="preserve">it </w:t>
      </w:r>
      <w:r w:rsidR="00C00C4A">
        <w:rPr>
          <w:rFonts w:asciiTheme="minorHAnsi" w:hAnsiTheme="minorHAnsi" w:cs="Arial"/>
          <w:szCs w:val="22"/>
        </w:rPr>
        <w:t>was “</w:t>
      </w:r>
      <w:r w:rsidR="00C00C4A" w:rsidRPr="00C00C4A">
        <w:rPr>
          <w:rFonts w:asciiTheme="minorHAnsi" w:hAnsiTheme="minorHAnsi" w:cs="Arial"/>
          <w:i/>
          <w:szCs w:val="22"/>
        </w:rPr>
        <w:t xml:space="preserve">neither the role nor the duty of the prosecution to proffer some statement of the specific result which </w:t>
      </w:r>
      <w:r w:rsidR="00C00C4A">
        <w:rPr>
          <w:rFonts w:asciiTheme="minorHAnsi" w:hAnsiTheme="minorHAnsi" w:cs="Arial"/>
          <w:i/>
          <w:szCs w:val="22"/>
        </w:rPr>
        <w:t>…</w:t>
      </w:r>
      <w:r w:rsidR="00C00C4A" w:rsidRPr="00C00C4A">
        <w:rPr>
          <w:rFonts w:asciiTheme="minorHAnsi" w:hAnsiTheme="minorHAnsi" w:cs="Arial"/>
          <w:i/>
          <w:szCs w:val="22"/>
        </w:rPr>
        <w:t xml:space="preserve"> should be reached or a statement of the bounds within which that result should fall.</w:t>
      </w:r>
      <w:r w:rsidR="00C00C4A">
        <w:rPr>
          <w:rFonts w:asciiTheme="minorHAnsi" w:hAnsiTheme="minorHAnsi" w:cs="Arial"/>
          <w:szCs w:val="22"/>
        </w:rPr>
        <w:t>”</w:t>
      </w:r>
      <w:r w:rsidR="00C00C4A" w:rsidRPr="00C00000">
        <w:rPr>
          <w:rStyle w:val="FootnoteReference"/>
          <w:rFonts w:asciiTheme="minorHAnsi" w:hAnsiTheme="minorHAnsi"/>
        </w:rPr>
        <w:footnoteReference w:id="947"/>
      </w:r>
    </w:p>
    <w:p w14:paraId="7857FAE9" w14:textId="77777777" w:rsidR="003D45C1" w:rsidRDefault="003D45C1" w:rsidP="003D45C1">
      <w:pPr>
        <w:pStyle w:val="Default"/>
        <w:spacing w:line="276" w:lineRule="auto"/>
        <w:ind w:right="170"/>
        <w:jc w:val="both"/>
        <w:rPr>
          <w:rFonts w:asciiTheme="minorHAnsi" w:hAnsiTheme="minorHAnsi" w:cs="Arial"/>
          <w:sz w:val="22"/>
          <w:szCs w:val="22"/>
        </w:rPr>
      </w:pPr>
    </w:p>
    <w:p w14:paraId="6241AF0F" w14:textId="77777777" w:rsidR="003D45C1" w:rsidRDefault="003D45C1"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Subsequent </w:t>
      </w:r>
      <w:r w:rsidRPr="00E90120">
        <w:rPr>
          <w:rFonts w:asciiTheme="minorHAnsi" w:hAnsiTheme="minorHAnsi"/>
        </w:rPr>
        <w:t>decisions</w:t>
      </w:r>
      <w:r>
        <w:rPr>
          <w:rFonts w:asciiTheme="minorHAnsi" w:hAnsiTheme="minorHAnsi" w:cs="Arial"/>
          <w:szCs w:val="22"/>
        </w:rPr>
        <w:t xml:space="preserve"> have strictly confined the application of the decision in </w:t>
      </w:r>
      <w:r w:rsidRPr="005F346C">
        <w:rPr>
          <w:rFonts w:asciiTheme="minorHAnsi" w:hAnsiTheme="minorHAnsi" w:cs="Arial"/>
          <w:i/>
          <w:szCs w:val="22"/>
        </w:rPr>
        <w:t>Barbaro</w:t>
      </w:r>
      <w:r>
        <w:rPr>
          <w:rFonts w:asciiTheme="minorHAnsi" w:hAnsiTheme="minorHAnsi" w:cs="Arial"/>
          <w:szCs w:val="22"/>
        </w:rPr>
        <w:t>.</w:t>
      </w:r>
    </w:p>
    <w:p w14:paraId="0CE5BA61" w14:textId="77777777" w:rsidR="003D45C1" w:rsidRDefault="003D45C1" w:rsidP="003D45C1">
      <w:pPr>
        <w:pStyle w:val="Default"/>
        <w:spacing w:line="276" w:lineRule="auto"/>
        <w:ind w:left="567" w:right="170" w:hanging="567"/>
        <w:jc w:val="both"/>
        <w:rPr>
          <w:rFonts w:asciiTheme="minorHAnsi" w:hAnsiTheme="minorHAnsi" w:cs="Arial"/>
          <w:sz w:val="22"/>
          <w:szCs w:val="22"/>
        </w:rPr>
      </w:pPr>
    </w:p>
    <w:p w14:paraId="2764D4DE" w14:textId="409ADEA6" w:rsidR="00267F49" w:rsidRDefault="00267F49"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The High Court has held that its</w:t>
      </w:r>
      <w:r w:rsidRPr="00C00000">
        <w:rPr>
          <w:rFonts w:asciiTheme="minorHAnsi" w:hAnsiTheme="minorHAnsi" w:cs="Arial"/>
          <w:szCs w:val="22"/>
        </w:rPr>
        <w:t xml:space="preserve"> decision in </w:t>
      </w:r>
      <w:r w:rsidRPr="00C00000">
        <w:rPr>
          <w:rFonts w:asciiTheme="minorHAnsi" w:hAnsiTheme="minorHAnsi" w:cs="Arial"/>
          <w:i/>
          <w:szCs w:val="22"/>
        </w:rPr>
        <w:t>Barbaro</w:t>
      </w:r>
      <w:r w:rsidRPr="00C00000">
        <w:rPr>
          <w:rFonts w:asciiTheme="minorHAnsi" w:hAnsiTheme="minorHAnsi" w:cs="Arial"/>
          <w:szCs w:val="22"/>
        </w:rPr>
        <w:t xml:space="preserve"> </w:t>
      </w:r>
      <w:r>
        <w:rPr>
          <w:rFonts w:asciiTheme="minorHAnsi" w:hAnsiTheme="minorHAnsi" w:cs="Arial"/>
          <w:szCs w:val="22"/>
        </w:rPr>
        <w:t>does</w:t>
      </w:r>
      <w:r w:rsidRPr="00C00000">
        <w:rPr>
          <w:rFonts w:asciiTheme="minorHAnsi" w:hAnsiTheme="minorHAnsi" w:cs="Arial"/>
          <w:szCs w:val="22"/>
        </w:rPr>
        <w:t xml:space="preserve"> not preclude a court from receiving a submission (agreed or otherwise) as to penalty in a civil penalty proceeding.</w:t>
      </w:r>
      <w:r w:rsidRPr="00C00000">
        <w:rPr>
          <w:rStyle w:val="FootnoteReference"/>
          <w:rFonts w:asciiTheme="minorHAnsi" w:hAnsiTheme="minorHAnsi"/>
        </w:rPr>
        <w:footnoteReference w:id="948"/>
      </w:r>
      <w:r>
        <w:rPr>
          <w:rFonts w:asciiTheme="minorHAnsi" w:hAnsiTheme="minorHAnsi" w:cs="Arial"/>
          <w:szCs w:val="22"/>
        </w:rPr>
        <w:t xml:space="preserve">  The Court has also affirmed (by reference to its earlier decision in </w:t>
      </w:r>
      <w:r w:rsidRPr="00BE75F1">
        <w:rPr>
          <w:rFonts w:asciiTheme="minorHAnsi" w:hAnsiTheme="minorHAnsi" w:cs="Arial"/>
          <w:i/>
          <w:szCs w:val="22"/>
        </w:rPr>
        <w:t>Everett</w:t>
      </w:r>
      <w:r w:rsidRPr="00C00000">
        <w:rPr>
          <w:rStyle w:val="FootnoteReference"/>
          <w:rFonts w:asciiTheme="minorHAnsi" w:hAnsiTheme="minorHAnsi"/>
        </w:rPr>
        <w:footnoteReference w:id="949"/>
      </w:r>
      <w:r>
        <w:rPr>
          <w:rFonts w:asciiTheme="minorHAnsi" w:hAnsiTheme="minorHAnsi" w:cs="Arial"/>
          <w:szCs w:val="22"/>
        </w:rPr>
        <w:t>) that a prosecutor has a duty to assist a sentencing court to avoid appealable error.</w:t>
      </w:r>
      <w:r w:rsidRPr="00C00000">
        <w:rPr>
          <w:rStyle w:val="FootnoteReference"/>
          <w:rFonts w:asciiTheme="minorHAnsi" w:hAnsiTheme="minorHAnsi"/>
        </w:rPr>
        <w:footnoteReference w:id="950"/>
      </w:r>
    </w:p>
    <w:p w14:paraId="66BDAB0F" w14:textId="77777777" w:rsidR="00267F49" w:rsidRDefault="00267F49" w:rsidP="00EB7F1E">
      <w:pPr>
        <w:pStyle w:val="ListParagraph"/>
        <w:rPr>
          <w:rFonts w:asciiTheme="minorHAnsi" w:hAnsiTheme="minorHAnsi" w:cs="Arial"/>
          <w:szCs w:val="22"/>
        </w:rPr>
      </w:pPr>
    </w:p>
    <w:p w14:paraId="79F4781E" w14:textId="2DFA0611" w:rsidR="00B93B11" w:rsidRDefault="00B93B11" w:rsidP="00EB7F1E">
      <w:pPr>
        <w:pStyle w:val="ListParagraph"/>
        <w:numPr>
          <w:ilvl w:val="0"/>
          <w:numId w:val="7"/>
        </w:numPr>
        <w:spacing w:line="276" w:lineRule="auto"/>
        <w:ind w:left="425" w:hanging="425"/>
        <w:contextualSpacing w:val="0"/>
        <w:rPr>
          <w:rFonts w:asciiTheme="minorHAnsi" w:hAnsiTheme="minorHAnsi" w:cs="Arial"/>
          <w:szCs w:val="22"/>
        </w:rPr>
      </w:pPr>
      <w:r w:rsidRPr="00555C9E">
        <w:rPr>
          <w:rFonts w:asciiTheme="minorHAnsi" w:hAnsiTheme="minorHAnsi" w:cs="Arial"/>
          <w:szCs w:val="22"/>
        </w:rPr>
        <w:t>In</w:t>
      </w:r>
      <w:r w:rsidR="00555C9E" w:rsidRPr="00555C9E">
        <w:rPr>
          <w:rFonts w:asciiTheme="minorHAnsi" w:hAnsiTheme="minorHAnsi" w:cs="Arial"/>
          <w:szCs w:val="22"/>
        </w:rPr>
        <w:t xml:space="preserve"> </w:t>
      </w:r>
      <w:r w:rsidR="00F46031" w:rsidRPr="00F46031">
        <w:rPr>
          <w:rFonts w:asciiTheme="minorHAnsi" w:hAnsiTheme="minorHAnsi" w:cs="Arial"/>
          <w:i/>
          <w:szCs w:val="22"/>
        </w:rPr>
        <w:t>Castle</w:t>
      </w:r>
      <w:r w:rsidR="00F46031">
        <w:rPr>
          <w:rFonts w:asciiTheme="minorHAnsi" w:hAnsiTheme="minorHAnsi" w:cs="Arial"/>
          <w:szCs w:val="22"/>
        </w:rPr>
        <w:t>,</w:t>
      </w:r>
      <w:r w:rsidR="00555C9E" w:rsidRPr="00C00000">
        <w:rPr>
          <w:rStyle w:val="FootnoteReference"/>
          <w:rFonts w:asciiTheme="minorHAnsi" w:hAnsiTheme="minorHAnsi"/>
        </w:rPr>
        <w:footnoteReference w:id="951"/>
      </w:r>
      <w:r w:rsidR="00F46031">
        <w:rPr>
          <w:rFonts w:asciiTheme="minorHAnsi" w:hAnsiTheme="minorHAnsi" w:cs="Arial"/>
          <w:szCs w:val="22"/>
        </w:rPr>
        <w:t xml:space="preserve"> the </w:t>
      </w:r>
      <w:r w:rsidR="00F46031" w:rsidRPr="00E90120">
        <w:rPr>
          <w:rFonts w:asciiTheme="minorHAnsi" w:hAnsiTheme="minorHAnsi"/>
        </w:rPr>
        <w:t>Queensland</w:t>
      </w:r>
      <w:r w:rsidR="00F46031">
        <w:rPr>
          <w:rFonts w:asciiTheme="minorHAnsi" w:hAnsiTheme="minorHAnsi" w:cs="Arial"/>
          <w:szCs w:val="22"/>
        </w:rPr>
        <w:t xml:space="preserve"> Court of Appeal held that a submission </w:t>
      </w:r>
      <w:r w:rsidR="00966DA6">
        <w:rPr>
          <w:rFonts w:asciiTheme="minorHAnsi" w:hAnsiTheme="minorHAnsi" w:cs="Arial"/>
          <w:szCs w:val="22"/>
        </w:rPr>
        <w:t xml:space="preserve">by the prosecutor </w:t>
      </w:r>
      <w:r w:rsidR="00F46031">
        <w:rPr>
          <w:rFonts w:asciiTheme="minorHAnsi" w:hAnsiTheme="minorHAnsi" w:cs="Arial"/>
          <w:szCs w:val="22"/>
        </w:rPr>
        <w:t xml:space="preserve">that the sentencing court should make a serious violent offence declaration, or should declare </w:t>
      </w:r>
      <w:r w:rsidR="00555C9E">
        <w:rPr>
          <w:rFonts w:asciiTheme="minorHAnsi" w:hAnsiTheme="minorHAnsi" w:cs="Arial"/>
          <w:szCs w:val="22"/>
        </w:rPr>
        <w:t xml:space="preserve">a later date for parole eligibility, would not have been inconsistent with the decision in </w:t>
      </w:r>
      <w:r w:rsidR="00F46031" w:rsidRPr="00F46031">
        <w:rPr>
          <w:rFonts w:asciiTheme="minorHAnsi" w:hAnsiTheme="minorHAnsi" w:cs="Arial"/>
          <w:i/>
          <w:szCs w:val="22"/>
        </w:rPr>
        <w:t>Barbaro</w:t>
      </w:r>
      <w:r w:rsidR="00555C9E">
        <w:rPr>
          <w:rFonts w:asciiTheme="minorHAnsi" w:hAnsiTheme="minorHAnsi" w:cs="Arial"/>
          <w:szCs w:val="22"/>
        </w:rPr>
        <w:t>.</w:t>
      </w:r>
      <w:r w:rsidR="00F46031">
        <w:rPr>
          <w:rFonts w:asciiTheme="minorHAnsi" w:hAnsiTheme="minorHAnsi" w:cs="Arial"/>
          <w:szCs w:val="22"/>
        </w:rPr>
        <w:t xml:space="preserve"> </w:t>
      </w:r>
    </w:p>
    <w:p w14:paraId="3600C88C" w14:textId="77777777" w:rsidR="00B93B11" w:rsidRDefault="00B93B11" w:rsidP="00B93B11">
      <w:pPr>
        <w:pStyle w:val="ListParagraph"/>
        <w:rPr>
          <w:rFonts w:asciiTheme="minorHAnsi" w:hAnsiTheme="minorHAnsi" w:cs="Arial"/>
          <w:szCs w:val="22"/>
        </w:rPr>
      </w:pPr>
    </w:p>
    <w:p w14:paraId="642BCC3D" w14:textId="1A464597" w:rsidR="003D45C1" w:rsidRDefault="003D45C1" w:rsidP="00EB7F1E">
      <w:pPr>
        <w:pStyle w:val="ListParagraph"/>
        <w:numPr>
          <w:ilvl w:val="0"/>
          <w:numId w:val="7"/>
        </w:numPr>
        <w:spacing w:line="276" w:lineRule="auto"/>
        <w:ind w:left="425" w:hanging="425"/>
        <w:contextualSpacing w:val="0"/>
        <w:rPr>
          <w:rFonts w:asciiTheme="minorHAnsi" w:hAnsiTheme="minorHAnsi" w:cs="Arial"/>
          <w:szCs w:val="22"/>
        </w:rPr>
      </w:pPr>
      <w:r w:rsidRPr="00C00000">
        <w:rPr>
          <w:rFonts w:asciiTheme="minorHAnsi" w:hAnsiTheme="minorHAnsi" w:cs="Arial"/>
          <w:szCs w:val="22"/>
        </w:rPr>
        <w:t xml:space="preserve">In </w:t>
      </w:r>
      <w:r w:rsidRPr="00C00000">
        <w:rPr>
          <w:rFonts w:asciiTheme="minorHAnsi" w:hAnsiTheme="minorHAnsi" w:cs="Arial"/>
          <w:bCs/>
          <w:i/>
          <w:iCs/>
          <w:szCs w:val="22"/>
        </w:rPr>
        <w:t>Holder</w:t>
      </w:r>
      <w:r w:rsidRPr="00C00000">
        <w:rPr>
          <w:rFonts w:asciiTheme="minorHAnsi" w:hAnsiTheme="minorHAnsi" w:cs="Arial"/>
          <w:bCs/>
          <w:iCs/>
          <w:szCs w:val="22"/>
        </w:rPr>
        <w:t>,</w:t>
      </w:r>
      <w:r w:rsidRPr="00C00000">
        <w:rPr>
          <w:rStyle w:val="FootnoteReference"/>
          <w:rFonts w:asciiTheme="minorHAnsi" w:hAnsiTheme="minorHAnsi"/>
        </w:rPr>
        <w:footnoteReference w:id="952"/>
      </w:r>
      <w:r w:rsidRPr="00C00000">
        <w:rPr>
          <w:rFonts w:asciiTheme="minorHAnsi" w:hAnsiTheme="minorHAnsi" w:cs="Arial"/>
          <w:bCs/>
          <w:i/>
          <w:iCs/>
          <w:szCs w:val="22"/>
        </w:rPr>
        <w:t xml:space="preserve"> </w:t>
      </w:r>
      <w:r w:rsidRPr="00C00000">
        <w:rPr>
          <w:rFonts w:asciiTheme="minorHAnsi" w:hAnsiTheme="minorHAnsi" w:cs="Arial"/>
          <w:szCs w:val="22"/>
        </w:rPr>
        <w:t xml:space="preserve">the Victorian </w:t>
      </w:r>
      <w:r w:rsidRPr="00E90120">
        <w:rPr>
          <w:rFonts w:asciiTheme="minorHAnsi" w:hAnsiTheme="minorHAnsi"/>
        </w:rPr>
        <w:t>Court</w:t>
      </w:r>
      <w:r w:rsidRPr="00C00000">
        <w:rPr>
          <w:rFonts w:asciiTheme="minorHAnsi" w:hAnsiTheme="minorHAnsi" w:cs="Arial"/>
          <w:szCs w:val="22"/>
        </w:rPr>
        <w:t xml:space="preserve"> of Appeal held that the prohibition on a prosecutor making submissions on a sentence range did not relieve the prosecutor from </w:t>
      </w:r>
      <w:r w:rsidR="009C4492">
        <w:rPr>
          <w:rFonts w:asciiTheme="minorHAnsi" w:hAnsiTheme="minorHAnsi" w:cs="Arial"/>
          <w:szCs w:val="22"/>
        </w:rPr>
        <w:t>their</w:t>
      </w:r>
      <w:r w:rsidRPr="00C00000">
        <w:rPr>
          <w:rFonts w:asciiTheme="minorHAnsi" w:hAnsiTheme="minorHAnsi" w:cs="Arial"/>
          <w:szCs w:val="22"/>
        </w:rPr>
        <w:t xml:space="preserve"> obligation to assist the court</w:t>
      </w:r>
      <w:r>
        <w:rPr>
          <w:rFonts w:asciiTheme="minorHAnsi" w:hAnsiTheme="minorHAnsi" w:cs="Arial"/>
          <w:szCs w:val="22"/>
        </w:rPr>
        <w:t>, and that t</w:t>
      </w:r>
      <w:r w:rsidRPr="00C00000">
        <w:rPr>
          <w:rFonts w:asciiTheme="minorHAnsi" w:hAnsiTheme="minorHAnsi" w:cs="Arial"/>
          <w:szCs w:val="22"/>
        </w:rPr>
        <w:t xml:space="preserve">he failure of the prosecutor to offer appropriate assistance to a sentencing judge may be determinative of the result of a Crown sentence appeal.  </w:t>
      </w:r>
      <w:r w:rsidR="004779A2">
        <w:rPr>
          <w:rFonts w:asciiTheme="minorHAnsi" w:hAnsiTheme="minorHAnsi" w:cs="Arial"/>
          <w:szCs w:val="22"/>
        </w:rPr>
        <w:t>The prosecutor was not precluded from submitting to a sentencing court that sentences imposed on co-offenders were so low as to reduce or negate the operation of the principle of parity</w:t>
      </w:r>
      <w:r w:rsidR="004779A2" w:rsidRPr="004779A2">
        <w:rPr>
          <w:rFonts w:asciiTheme="minorHAnsi" w:hAnsiTheme="minorHAnsi" w:cs="Arial"/>
          <w:szCs w:val="22"/>
        </w:rPr>
        <w:t xml:space="preserve">, and </w:t>
      </w:r>
      <w:r w:rsidR="006C5026" w:rsidRPr="004779A2">
        <w:rPr>
          <w:rFonts w:asciiTheme="minorHAnsi" w:hAnsiTheme="minorHAnsi" w:cs="Arial"/>
          <w:szCs w:val="22"/>
        </w:rPr>
        <w:t xml:space="preserve">in that case </w:t>
      </w:r>
      <w:r w:rsidR="004779A2" w:rsidRPr="004779A2">
        <w:rPr>
          <w:rFonts w:asciiTheme="minorHAnsi" w:hAnsiTheme="minorHAnsi" w:cs="Arial"/>
          <w:szCs w:val="22"/>
        </w:rPr>
        <w:t xml:space="preserve">the failure </w:t>
      </w:r>
      <w:r w:rsidR="005D2110">
        <w:rPr>
          <w:rFonts w:asciiTheme="minorHAnsi" w:hAnsiTheme="minorHAnsi" w:cs="Arial"/>
          <w:szCs w:val="22"/>
        </w:rPr>
        <w:t xml:space="preserve">of </w:t>
      </w:r>
      <w:r w:rsidR="004779A2" w:rsidRPr="004779A2">
        <w:rPr>
          <w:rFonts w:asciiTheme="minorHAnsi" w:hAnsiTheme="minorHAnsi" w:cs="Arial"/>
          <w:szCs w:val="22"/>
        </w:rPr>
        <w:t>the prosecutor to do so precluded the Crown from so submitting on appeal.</w:t>
      </w:r>
      <w:r w:rsidR="004779A2" w:rsidRPr="00C00000">
        <w:rPr>
          <w:rStyle w:val="FootnoteReference"/>
          <w:rFonts w:asciiTheme="minorHAnsi" w:hAnsiTheme="minorHAnsi"/>
        </w:rPr>
        <w:footnoteReference w:id="953"/>
      </w:r>
    </w:p>
    <w:p w14:paraId="7F47386B" w14:textId="77777777" w:rsidR="003D45C1" w:rsidRDefault="003D45C1" w:rsidP="003D45C1">
      <w:pPr>
        <w:pStyle w:val="Default"/>
        <w:spacing w:line="276" w:lineRule="auto"/>
        <w:ind w:right="170"/>
        <w:jc w:val="both"/>
        <w:rPr>
          <w:rFonts w:asciiTheme="minorHAnsi" w:hAnsiTheme="minorHAnsi" w:cs="Arial"/>
          <w:sz w:val="22"/>
          <w:szCs w:val="22"/>
        </w:rPr>
      </w:pPr>
    </w:p>
    <w:p w14:paraId="6A4C4F2A" w14:textId="14E87B83" w:rsidR="003D45C1" w:rsidRDefault="003D45C1"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In </w:t>
      </w:r>
      <w:r w:rsidRPr="005F346C">
        <w:rPr>
          <w:rFonts w:asciiTheme="minorHAnsi" w:hAnsiTheme="minorHAnsi" w:cs="Arial"/>
          <w:i/>
          <w:szCs w:val="22"/>
        </w:rPr>
        <w:t>Matthews</w:t>
      </w:r>
      <w:r>
        <w:rPr>
          <w:rFonts w:asciiTheme="minorHAnsi" w:hAnsiTheme="minorHAnsi" w:cs="Arial"/>
          <w:szCs w:val="22"/>
        </w:rPr>
        <w:t>,</w:t>
      </w:r>
      <w:r w:rsidRPr="00C00000">
        <w:rPr>
          <w:rStyle w:val="FootnoteReference"/>
          <w:rFonts w:asciiTheme="minorHAnsi" w:hAnsiTheme="minorHAnsi"/>
        </w:rPr>
        <w:footnoteReference w:id="954"/>
      </w:r>
      <w:r>
        <w:rPr>
          <w:rFonts w:asciiTheme="minorHAnsi" w:hAnsiTheme="minorHAnsi" w:cs="Arial"/>
          <w:szCs w:val="22"/>
        </w:rPr>
        <w:t xml:space="preserve"> t</w:t>
      </w:r>
      <w:r w:rsidRPr="00C00000">
        <w:rPr>
          <w:rFonts w:asciiTheme="minorHAnsi" w:hAnsiTheme="minorHAnsi" w:cs="Arial"/>
          <w:szCs w:val="22"/>
        </w:rPr>
        <w:t xml:space="preserve">he </w:t>
      </w:r>
      <w:r w:rsidRPr="00E90120">
        <w:rPr>
          <w:rFonts w:asciiTheme="minorHAnsi" w:hAnsiTheme="minorHAnsi"/>
        </w:rPr>
        <w:t>Victorian</w:t>
      </w:r>
      <w:r w:rsidRPr="00C00000">
        <w:rPr>
          <w:rFonts w:asciiTheme="minorHAnsi" w:hAnsiTheme="minorHAnsi" w:cs="Arial"/>
          <w:szCs w:val="22"/>
        </w:rPr>
        <w:t xml:space="preserve"> Court of Appeal</w:t>
      </w:r>
      <w:r>
        <w:rPr>
          <w:rFonts w:asciiTheme="minorHAnsi" w:hAnsiTheme="minorHAnsi" w:cs="Arial"/>
          <w:szCs w:val="22"/>
        </w:rPr>
        <w:t xml:space="preserve"> reaffirmed that </w:t>
      </w:r>
      <w:r w:rsidRPr="005F346C">
        <w:rPr>
          <w:rFonts w:asciiTheme="minorHAnsi" w:hAnsiTheme="minorHAnsi" w:cs="Arial"/>
          <w:i/>
          <w:szCs w:val="22"/>
        </w:rPr>
        <w:t>Barbaro</w:t>
      </w:r>
      <w:r>
        <w:rPr>
          <w:rFonts w:asciiTheme="minorHAnsi" w:hAnsiTheme="minorHAnsi" w:cs="Arial"/>
          <w:szCs w:val="22"/>
        </w:rPr>
        <w:t xml:space="preserve"> did not change the pre-existing practice regarding the duties of the Crown, other than by </w:t>
      </w:r>
      <w:r w:rsidRPr="005F346C">
        <w:rPr>
          <w:rFonts w:asciiTheme="minorHAnsi" w:hAnsiTheme="minorHAnsi" w:cs="Arial"/>
          <w:szCs w:val="22"/>
        </w:rPr>
        <w:t>proscribing the submission of a quantified sentencing range</w:t>
      </w:r>
      <w:r>
        <w:rPr>
          <w:rFonts w:asciiTheme="minorHAnsi" w:hAnsiTheme="minorHAnsi" w:cs="Arial"/>
          <w:szCs w:val="22"/>
        </w:rPr>
        <w:t>.</w:t>
      </w:r>
      <w:r w:rsidR="005A5910">
        <w:rPr>
          <w:rFonts w:asciiTheme="minorHAnsi" w:hAnsiTheme="minorHAnsi" w:cs="Arial"/>
          <w:szCs w:val="22"/>
        </w:rPr>
        <w:t xml:space="preserve">  In particular, the Court held that </w:t>
      </w:r>
      <w:r w:rsidR="005A5910" w:rsidRPr="005A5910">
        <w:rPr>
          <w:rFonts w:asciiTheme="minorHAnsi" w:hAnsiTheme="minorHAnsi" w:cs="Arial"/>
          <w:szCs w:val="22"/>
        </w:rPr>
        <w:t xml:space="preserve">nothing said in </w:t>
      </w:r>
      <w:r w:rsidR="005A5910" w:rsidRPr="00EB7F1E">
        <w:rPr>
          <w:rFonts w:asciiTheme="minorHAnsi" w:hAnsiTheme="minorHAnsi" w:cs="Arial"/>
          <w:i/>
          <w:szCs w:val="22"/>
        </w:rPr>
        <w:t>Barbaro</w:t>
      </w:r>
      <w:r w:rsidR="005A5910" w:rsidRPr="005A5910">
        <w:rPr>
          <w:rFonts w:asciiTheme="minorHAnsi" w:hAnsiTheme="minorHAnsi" w:cs="Arial"/>
          <w:szCs w:val="22"/>
        </w:rPr>
        <w:t xml:space="preserve"> detracts from the Crown</w:t>
      </w:r>
      <w:r w:rsidR="00AA693C">
        <w:rPr>
          <w:rFonts w:asciiTheme="minorHAnsi" w:hAnsiTheme="minorHAnsi" w:cs="Arial"/>
          <w:szCs w:val="22"/>
        </w:rPr>
        <w:t>’</w:t>
      </w:r>
      <w:r w:rsidR="005A5910" w:rsidRPr="005A5910">
        <w:rPr>
          <w:rFonts w:asciiTheme="minorHAnsi" w:hAnsiTheme="minorHAnsi" w:cs="Arial"/>
          <w:szCs w:val="22"/>
        </w:rPr>
        <w:t>s obligation to make clear what type of sentencing disposition, whether imprisonment or otherwise, it contends is necessary or appropriate.</w:t>
      </w:r>
      <w:r w:rsidR="005A5910" w:rsidRPr="00C00000">
        <w:rPr>
          <w:rStyle w:val="FootnoteReference"/>
          <w:rFonts w:asciiTheme="minorHAnsi" w:hAnsiTheme="minorHAnsi"/>
        </w:rPr>
        <w:footnoteReference w:id="955"/>
      </w:r>
    </w:p>
    <w:p w14:paraId="0C85E67D" w14:textId="77777777" w:rsidR="003D45C1" w:rsidRDefault="003D45C1" w:rsidP="003D45C1">
      <w:pPr>
        <w:pStyle w:val="Default"/>
        <w:spacing w:line="276" w:lineRule="auto"/>
        <w:ind w:right="170"/>
        <w:jc w:val="both"/>
        <w:rPr>
          <w:rFonts w:asciiTheme="minorHAnsi" w:hAnsiTheme="minorHAnsi" w:cs="Arial"/>
          <w:sz w:val="22"/>
          <w:szCs w:val="22"/>
        </w:rPr>
      </w:pPr>
    </w:p>
    <w:p w14:paraId="07E7EFED" w14:textId="35D71945" w:rsidR="003D45C1" w:rsidRDefault="003D45C1"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A majority of the </w:t>
      </w:r>
      <w:r w:rsidRPr="00E90120">
        <w:rPr>
          <w:rFonts w:asciiTheme="minorHAnsi" w:hAnsiTheme="minorHAnsi"/>
        </w:rPr>
        <w:t>Court</w:t>
      </w:r>
      <w:r>
        <w:rPr>
          <w:rFonts w:asciiTheme="minorHAnsi" w:hAnsiTheme="minorHAnsi" w:cs="Arial"/>
          <w:szCs w:val="22"/>
        </w:rPr>
        <w:t xml:space="preserve"> in </w:t>
      </w:r>
      <w:r w:rsidRPr="005F346C">
        <w:rPr>
          <w:rFonts w:asciiTheme="minorHAnsi" w:hAnsiTheme="minorHAnsi" w:cs="Arial"/>
          <w:i/>
          <w:szCs w:val="22"/>
        </w:rPr>
        <w:t>Matthews</w:t>
      </w:r>
      <w:r>
        <w:rPr>
          <w:rFonts w:asciiTheme="minorHAnsi" w:hAnsiTheme="minorHAnsi" w:cs="Arial"/>
          <w:szCs w:val="22"/>
        </w:rPr>
        <w:t xml:space="preserve"> also held</w:t>
      </w:r>
      <w:r w:rsidRPr="00C00000">
        <w:rPr>
          <w:rFonts w:asciiTheme="minorHAnsi" w:hAnsiTheme="minorHAnsi" w:cs="Arial"/>
          <w:szCs w:val="22"/>
        </w:rPr>
        <w:t xml:space="preserve"> that </w:t>
      </w:r>
      <w:r>
        <w:rPr>
          <w:rFonts w:asciiTheme="minorHAnsi" w:hAnsiTheme="minorHAnsi" w:cs="Arial"/>
          <w:szCs w:val="22"/>
        </w:rPr>
        <w:t xml:space="preserve">the prohibition on counsel contending for a sentence within a particular range did not apply to </w:t>
      </w:r>
      <w:r w:rsidRPr="00C00000">
        <w:rPr>
          <w:rFonts w:asciiTheme="minorHAnsi" w:hAnsiTheme="minorHAnsi" w:cs="Arial"/>
          <w:szCs w:val="22"/>
        </w:rPr>
        <w:t xml:space="preserve">defence </w:t>
      </w:r>
      <w:r>
        <w:rPr>
          <w:rFonts w:asciiTheme="minorHAnsi" w:hAnsiTheme="minorHAnsi" w:cs="Arial"/>
          <w:szCs w:val="22"/>
        </w:rPr>
        <w:t>counsel.</w:t>
      </w:r>
      <w:r w:rsidRPr="00C00000">
        <w:rPr>
          <w:rStyle w:val="FootnoteReference"/>
          <w:rFonts w:asciiTheme="minorHAnsi" w:hAnsiTheme="minorHAnsi"/>
        </w:rPr>
        <w:footnoteReference w:id="956"/>
      </w:r>
      <w:r>
        <w:rPr>
          <w:rFonts w:asciiTheme="minorHAnsi" w:hAnsiTheme="minorHAnsi" w:cs="Arial"/>
          <w:szCs w:val="22"/>
        </w:rPr>
        <w:t xml:space="preserve">  The majority held that if defence counsel does make such a </w:t>
      </w:r>
      <w:r w:rsidRPr="00C00000">
        <w:rPr>
          <w:rFonts w:asciiTheme="minorHAnsi" w:hAnsiTheme="minorHAnsi" w:cs="Arial"/>
          <w:szCs w:val="22"/>
        </w:rPr>
        <w:t xml:space="preserve">submission, it is permissible for the Crown to respond </w:t>
      </w:r>
      <w:r>
        <w:rPr>
          <w:rFonts w:asciiTheme="minorHAnsi" w:hAnsiTheme="minorHAnsi" w:cs="Arial"/>
          <w:szCs w:val="22"/>
        </w:rPr>
        <w:t>by</w:t>
      </w:r>
      <w:r w:rsidRPr="00C00000">
        <w:rPr>
          <w:rFonts w:asciiTheme="minorHAnsi" w:hAnsiTheme="minorHAnsi" w:cs="Arial"/>
          <w:szCs w:val="22"/>
        </w:rPr>
        <w:t xml:space="preserve"> tell</w:t>
      </w:r>
      <w:r>
        <w:rPr>
          <w:rFonts w:asciiTheme="minorHAnsi" w:hAnsiTheme="minorHAnsi" w:cs="Arial"/>
          <w:szCs w:val="22"/>
        </w:rPr>
        <w:t>ing</w:t>
      </w:r>
      <w:r w:rsidRPr="00C00000">
        <w:rPr>
          <w:rFonts w:asciiTheme="minorHAnsi" w:hAnsiTheme="minorHAnsi" w:cs="Arial"/>
          <w:szCs w:val="22"/>
        </w:rPr>
        <w:t xml:space="preserve"> the judge whether in the Crown</w:t>
      </w:r>
      <w:r w:rsidR="00AA693C">
        <w:rPr>
          <w:rFonts w:asciiTheme="minorHAnsi" w:hAnsiTheme="minorHAnsi" w:cs="Arial"/>
          <w:szCs w:val="22"/>
        </w:rPr>
        <w:t>’</w:t>
      </w:r>
      <w:r w:rsidRPr="00C00000">
        <w:rPr>
          <w:rFonts w:asciiTheme="minorHAnsi" w:hAnsiTheme="minorHAnsi" w:cs="Arial"/>
          <w:szCs w:val="22"/>
        </w:rPr>
        <w:t>s submission it would be open to sentence with that range</w:t>
      </w:r>
      <w:r>
        <w:rPr>
          <w:rFonts w:asciiTheme="minorHAnsi" w:hAnsiTheme="minorHAnsi" w:cs="Arial"/>
          <w:szCs w:val="22"/>
        </w:rPr>
        <w:t>; if the Crown contends that it would not, it may</w:t>
      </w:r>
      <w:r w:rsidRPr="00C00000">
        <w:rPr>
          <w:rFonts w:asciiTheme="minorHAnsi" w:hAnsiTheme="minorHAnsi" w:cs="Arial"/>
          <w:szCs w:val="22"/>
        </w:rPr>
        <w:t xml:space="preserve"> rely on comparative cases, current sentencing practice and other relevant considerations in support of that contention.</w:t>
      </w:r>
      <w:r>
        <w:rPr>
          <w:rFonts w:asciiTheme="minorHAnsi" w:hAnsiTheme="minorHAnsi" w:cs="Arial"/>
          <w:szCs w:val="22"/>
        </w:rPr>
        <w:t xml:space="preserve">  However the Crown may not respond to a defence range by putting an alternative range. </w:t>
      </w:r>
    </w:p>
    <w:p w14:paraId="67EC1882" w14:textId="77777777" w:rsidR="003D45C1" w:rsidRDefault="003D45C1" w:rsidP="003D45C1">
      <w:pPr>
        <w:pStyle w:val="Default"/>
        <w:spacing w:line="276" w:lineRule="auto"/>
        <w:ind w:right="170"/>
        <w:jc w:val="both"/>
        <w:rPr>
          <w:rFonts w:asciiTheme="minorHAnsi" w:hAnsiTheme="minorHAnsi" w:cs="Arial"/>
          <w:sz w:val="22"/>
          <w:szCs w:val="22"/>
        </w:rPr>
      </w:pPr>
    </w:p>
    <w:p w14:paraId="1D156C13" w14:textId="589226F6" w:rsidR="009B4C48" w:rsidRDefault="003D45C1" w:rsidP="00EB7F1E">
      <w:pPr>
        <w:pStyle w:val="ListParagraph"/>
        <w:numPr>
          <w:ilvl w:val="0"/>
          <w:numId w:val="7"/>
        </w:numPr>
        <w:spacing w:line="276" w:lineRule="auto"/>
        <w:ind w:left="425" w:hanging="425"/>
        <w:contextualSpacing w:val="0"/>
        <w:rPr>
          <w:rFonts w:asciiTheme="minorHAnsi" w:hAnsiTheme="minorHAnsi" w:cs="Arial"/>
          <w:szCs w:val="22"/>
        </w:rPr>
      </w:pPr>
      <w:r w:rsidRPr="0098376E">
        <w:rPr>
          <w:rFonts w:asciiTheme="minorHAnsi" w:hAnsiTheme="minorHAnsi" w:cs="Arial"/>
          <w:szCs w:val="22"/>
        </w:rPr>
        <w:t xml:space="preserve">In </w:t>
      </w:r>
      <w:r w:rsidRPr="0098376E">
        <w:rPr>
          <w:rFonts w:asciiTheme="minorHAnsi" w:hAnsiTheme="minorHAnsi" w:cs="Arial"/>
          <w:i/>
          <w:szCs w:val="22"/>
        </w:rPr>
        <w:t>Haynes</w:t>
      </w:r>
      <w:r w:rsidRPr="0098376E">
        <w:rPr>
          <w:rFonts w:asciiTheme="minorHAnsi" w:hAnsiTheme="minorHAnsi" w:cs="Arial"/>
          <w:szCs w:val="22"/>
        </w:rPr>
        <w:t>,</w:t>
      </w:r>
      <w:r w:rsidRPr="00C00000">
        <w:rPr>
          <w:rStyle w:val="FootnoteReference"/>
          <w:rFonts w:asciiTheme="minorHAnsi" w:hAnsiTheme="minorHAnsi"/>
        </w:rPr>
        <w:footnoteReference w:id="957"/>
      </w:r>
      <w:r w:rsidRPr="0098376E">
        <w:rPr>
          <w:rFonts w:asciiTheme="minorHAnsi" w:hAnsiTheme="minorHAnsi" w:cs="Arial"/>
          <w:szCs w:val="22"/>
        </w:rPr>
        <w:t xml:space="preserve"> the Victorian </w:t>
      </w:r>
      <w:r w:rsidRPr="00E90120">
        <w:rPr>
          <w:rFonts w:asciiTheme="minorHAnsi" w:hAnsiTheme="minorHAnsi"/>
        </w:rPr>
        <w:t>Court</w:t>
      </w:r>
      <w:r w:rsidRPr="0098376E">
        <w:rPr>
          <w:rFonts w:asciiTheme="minorHAnsi" w:hAnsiTheme="minorHAnsi" w:cs="Arial"/>
          <w:szCs w:val="22"/>
        </w:rPr>
        <w:t xml:space="preserve"> of Appeal </w:t>
      </w:r>
      <w:r w:rsidR="00016C7D">
        <w:rPr>
          <w:rFonts w:asciiTheme="minorHAnsi" w:hAnsiTheme="minorHAnsi" w:cs="Arial"/>
          <w:szCs w:val="22"/>
        </w:rPr>
        <w:t>said</w:t>
      </w:r>
      <w:r w:rsidR="00CD13BC" w:rsidRPr="0098376E">
        <w:rPr>
          <w:rFonts w:asciiTheme="minorHAnsi" w:hAnsiTheme="minorHAnsi" w:cs="Arial"/>
          <w:szCs w:val="22"/>
        </w:rPr>
        <w:t xml:space="preserve"> that</w:t>
      </w:r>
      <w:r w:rsidR="00016C7D">
        <w:rPr>
          <w:rFonts w:asciiTheme="minorHAnsi" w:hAnsiTheme="minorHAnsi" w:cs="Arial"/>
          <w:szCs w:val="22"/>
        </w:rPr>
        <w:t xml:space="preserve"> </w:t>
      </w:r>
      <w:r w:rsidR="00016C7D" w:rsidRPr="00EB7F1E">
        <w:rPr>
          <w:rFonts w:asciiTheme="minorHAnsi" w:hAnsiTheme="minorHAnsi" w:cs="Arial"/>
          <w:i/>
          <w:szCs w:val="22"/>
        </w:rPr>
        <w:t>Barbaro</w:t>
      </w:r>
      <w:r w:rsidR="00016C7D">
        <w:rPr>
          <w:rFonts w:asciiTheme="minorHAnsi" w:hAnsiTheme="minorHAnsi" w:cs="Arial"/>
          <w:szCs w:val="22"/>
        </w:rPr>
        <w:t xml:space="preserve"> made clear that</w:t>
      </w:r>
      <w:r w:rsidR="00FC7BD3">
        <w:rPr>
          <w:rFonts w:asciiTheme="minorHAnsi" w:hAnsiTheme="minorHAnsi" w:cs="Arial"/>
          <w:szCs w:val="22"/>
        </w:rPr>
        <w:t>,</w:t>
      </w:r>
      <w:r w:rsidR="00CD13BC" w:rsidRPr="0098376E">
        <w:rPr>
          <w:rFonts w:asciiTheme="minorHAnsi" w:hAnsiTheme="minorHAnsi" w:cs="Arial"/>
          <w:szCs w:val="22"/>
        </w:rPr>
        <w:t xml:space="preserve"> </w:t>
      </w:r>
      <w:r w:rsidR="00FC7BD3">
        <w:rPr>
          <w:rFonts w:asciiTheme="minorHAnsi" w:hAnsiTheme="minorHAnsi" w:cs="Arial"/>
          <w:szCs w:val="22"/>
        </w:rPr>
        <w:t>a</w:t>
      </w:r>
      <w:r w:rsidR="00FC7BD3" w:rsidRPr="0049165A">
        <w:rPr>
          <w:rFonts w:asciiTheme="minorHAnsi" w:hAnsiTheme="minorHAnsi" w:cs="Arial"/>
          <w:szCs w:val="22"/>
        </w:rPr>
        <w:t>lthough the prosecution should not express</w:t>
      </w:r>
      <w:r w:rsidR="00FC7BD3">
        <w:rPr>
          <w:rFonts w:asciiTheme="minorHAnsi" w:hAnsiTheme="minorHAnsi" w:cs="Arial"/>
          <w:szCs w:val="22"/>
        </w:rPr>
        <w:t xml:space="preserve"> </w:t>
      </w:r>
      <w:r w:rsidR="00FC7BD3" w:rsidRPr="0049165A">
        <w:rPr>
          <w:rFonts w:asciiTheme="minorHAnsi" w:hAnsiTheme="minorHAnsi" w:cs="Arial"/>
          <w:szCs w:val="22"/>
        </w:rPr>
        <w:t xml:space="preserve">an </w:t>
      </w:r>
      <w:r w:rsidR="00AA693C">
        <w:rPr>
          <w:rFonts w:asciiTheme="minorHAnsi" w:hAnsiTheme="minorHAnsi" w:cs="Arial"/>
          <w:szCs w:val="22"/>
        </w:rPr>
        <w:t>‘</w:t>
      </w:r>
      <w:r w:rsidR="00FC7BD3" w:rsidRPr="0049165A">
        <w:rPr>
          <w:rFonts w:asciiTheme="minorHAnsi" w:hAnsiTheme="minorHAnsi" w:cs="Arial"/>
          <w:szCs w:val="22"/>
        </w:rPr>
        <w:t>opinion</w:t>
      </w:r>
      <w:r w:rsidR="00AA693C">
        <w:rPr>
          <w:rFonts w:asciiTheme="minorHAnsi" w:hAnsiTheme="minorHAnsi" w:cs="Arial"/>
          <w:szCs w:val="22"/>
        </w:rPr>
        <w:t>’</w:t>
      </w:r>
      <w:r w:rsidR="00FC7BD3" w:rsidRPr="0049165A">
        <w:rPr>
          <w:rFonts w:asciiTheme="minorHAnsi" w:hAnsiTheme="minorHAnsi" w:cs="Arial"/>
          <w:szCs w:val="22"/>
        </w:rPr>
        <w:t xml:space="preserve"> as to the numerical terms of the appropriate sentencing range, it has a duty to assist the sentencing court to avoid appealable error</w:t>
      </w:r>
      <w:r w:rsidR="00FC7BD3">
        <w:rPr>
          <w:rFonts w:asciiTheme="minorHAnsi" w:hAnsiTheme="minorHAnsi" w:cs="Arial"/>
          <w:szCs w:val="22"/>
        </w:rPr>
        <w:t xml:space="preserve">. </w:t>
      </w:r>
      <w:r w:rsidR="00FC7BD3" w:rsidRPr="0098376E">
        <w:rPr>
          <w:rFonts w:asciiTheme="minorHAnsi" w:hAnsiTheme="minorHAnsi" w:cs="Arial"/>
          <w:szCs w:val="22"/>
        </w:rPr>
        <w:t xml:space="preserve"> </w:t>
      </w:r>
      <w:r w:rsidR="00FC7BD3" w:rsidRPr="0049165A">
        <w:rPr>
          <w:rFonts w:asciiTheme="minorHAnsi" w:hAnsiTheme="minorHAnsi" w:cs="Arial"/>
          <w:szCs w:val="22"/>
        </w:rPr>
        <w:t>That duty includes identifying the kind of sentence disposition that is appropriate or inappropriate</w:t>
      </w:r>
      <w:r w:rsidR="00016C7D">
        <w:rPr>
          <w:rFonts w:asciiTheme="minorHAnsi" w:hAnsiTheme="minorHAnsi" w:cs="Arial"/>
          <w:szCs w:val="22"/>
        </w:rPr>
        <w:t>, such as a suspended sentence of imprisonment</w:t>
      </w:r>
      <w:r w:rsidR="00FC7BD3" w:rsidRPr="0049165A">
        <w:rPr>
          <w:rFonts w:asciiTheme="minorHAnsi" w:hAnsiTheme="minorHAnsi" w:cs="Arial"/>
          <w:szCs w:val="22"/>
        </w:rPr>
        <w:t>.</w:t>
      </w:r>
      <w:r w:rsidR="00FC7BD3" w:rsidRPr="00C00000">
        <w:rPr>
          <w:rStyle w:val="FootnoteReference"/>
          <w:rFonts w:asciiTheme="minorHAnsi" w:hAnsiTheme="minorHAnsi"/>
        </w:rPr>
        <w:footnoteReference w:id="958"/>
      </w:r>
      <w:r w:rsidR="00FC7BD3" w:rsidRPr="0049165A">
        <w:rPr>
          <w:rFonts w:asciiTheme="minorHAnsi" w:hAnsiTheme="minorHAnsi" w:cs="Arial"/>
          <w:szCs w:val="22"/>
        </w:rPr>
        <w:t xml:space="preserve"> </w:t>
      </w:r>
      <w:r w:rsidR="00FC7BD3">
        <w:rPr>
          <w:rFonts w:asciiTheme="minorHAnsi" w:hAnsiTheme="minorHAnsi" w:cs="Arial"/>
          <w:szCs w:val="22"/>
        </w:rPr>
        <w:t xml:space="preserve"> </w:t>
      </w:r>
      <w:r w:rsidR="00E81E6D">
        <w:rPr>
          <w:rFonts w:asciiTheme="minorHAnsi" w:hAnsiTheme="minorHAnsi" w:cs="Arial"/>
          <w:szCs w:val="22"/>
        </w:rPr>
        <w:t>Since</w:t>
      </w:r>
      <w:r w:rsidR="00675B5E">
        <w:rPr>
          <w:rFonts w:asciiTheme="minorHAnsi" w:hAnsiTheme="minorHAnsi" w:cs="Arial"/>
          <w:szCs w:val="22"/>
        </w:rPr>
        <w:t xml:space="preserve"> in the instant case</w:t>
      </w:r>
      <w:r w:rsidR="00E81E6D">
        <w:rPr>
          <w:rFonts w:asciiTheme="minorHAnsi" w:hAnsiTheme="minorHAnsi" w:cs="Arial"/>
          <w:szCs w:val="22"/>
        </w:rPr>
        <w:t xml:space="preserve"> t</w:t>
      </w:r>
      <w:r w:rsidR="00FC7BD3" w:rsidRPr="0049165A">
        <w:rPr>
          <w:rFonts w:asciiTheme="minorHAnsi" w:hAnsiTheme="minorHAnsi" w:cs="Arial"/>
          <w:szCs w:val="22"/>
        </w:rPr>
        <w:t xml:space="preserve">he prosecutor on the plea hearing failed to submit that </w:t>
      </w:r>
      <w:r w:rsidR="00FC7BD3" w:rsidRPr="00613205">
        <w:rPr>
          <w:rFonts w:asciiTheme="minorHAnsi" w:hAnsiTheme="minorHAnsi" w:cs="Arial"/>
          <w:szCs w:val="22"/>
        </w:rPr>
        <w:t>a recognizance release order</w:t>
      </w:r>
      <w:r w:rsidR="004501E8">
        <w:rPr>
          <w:rFonts w:asciiTheme="minorHAnsi" w:hAnsiTheme="minorHAnsi" w:cs="Arial"/>
          <w:szCs w:val="22"/>
        </w:rPr>
        <w:t xml:space="preserve"> (RRO)</w:t>
      </w:r>
      <w:r w:rsidR="00FC7BD3" w:rsidRPr="00613205">
        <w:rPr>
          <w:rFonts w:asciiTheme="minorHAnsi" w:hAnsiTheme="minorHAnsi" w:cs="Arial"/>
          <w:szCs w:val="22"/>
        </w:rPr>
        <w:t xml:space="preserve"> under s.20(1)(b) of the </w:t>
      </w:r>
      <w:r w:rsidR="00FC7BD3" w:rsidRPr="00613205">
        <w:rPr>
          <w:rFonts w:asciiTheme="minorHAnsi" w:hAnsiTheme="minorHAnsi" w:cs="Arial"/>
          <w:i/>
          <w:szCs w:val="22"/>
        </w:rPr>
        <w:t>Crimes Act 1914</w:t>
      </w:r>
      <w:r w:rsidR="00FC7BD3" w:rsidRPr="00613205">
        <w:rPr>
          <w:rFonts w:asciiTheme="minorHAnsi" w:hAnsiTheme="minorHAnsi" w:cs="Arial"/>
          <w:szCs w:val="22"/>
        </w:rPr>
        <w:t xml:space="preserve"> (Cth) </w:t>
      </w:r>
      <w:r w:rsidR="00FC7BD3" w:rsidRPr="0049165A">
        <w:rPr>
          <w:rFonts w:asciiTheme="minorHAnsi" w:hAnsiTheme="minorHAnsi" w:cs="Arial"/>
          <w:szCs w:val="22"/>
        </w:rPr>
        <w:t>was not a disposition reasonably open to the sentencing judge</w:t>
      </w:r>
      <w:r w:rsidR="00E81E6D">
        <w:rPr>
          <w:rFonts w:asciiTheme="minorHAnsi" w:hAnsiTheme="minorHAnsi" w:cs="Arial"/>
          <w:szCs w:val="22"/>
        </w:rPr>
        <w:t>, t</w:t>
      </w:r>
      <w:r w:rsidR="00FC7BD3" w:rsidRPr="0098376E">
        <w:rPr>
          <w:rFonts w:asciiTheme="minorHAnsi" w:hAnsiTheme="minorHAnsi" w:cs="Arial"/>
          <w:szCs w:val="22"/>
        </w:rPr>
        <w:t xml:space="preserve">he </w:t>
      </w:r>
      <w:r w:rsidR="00CD13BC" w:rsidRPr="0098376E">
        <w:rPr>
          <w:rFonts w:asciiTheme="minorHAnsi" w:hAnsiTheme="minorHAnsi" w:cs="Arial"/>
          <w:szCs w:val="22"/>
        </w:rPr>
        <w:t>Director was not permitted to contend o</w:t>
      </w:r>
      <w:r w:rsidR="00CD13BC" w:rsidRPr="00FC7BD3">
        <w:rPr>
          <w:rFonts w:asciiTheme="minorHAnsi" w:hAnsiTheme="minorHAnsi" w:cs="Arial"/>
          <w:szCs w:val="22"/>
        </w:rPr>
        <w:t>n appeal that</w:t>
      </w:r>
      <w:r w:rsidR="009B4C48">
        <w:rPr>
          <w:rFonts w:asciiTheme="minorHAnsi" w:hAnsiTheme="minorHAnsi" w:cs="Arial"/>
          <w:szCs w:val="22"/>
        </w:rPr>
        <w:t xml:space="preserve"> the period to be served was manifestly inadequate.</w:t>
      </w:r>
      <w:r w:rsidR="009B4C48" w:rsidRPr="00C00000">
        <w:rPr>
          <w:rStyle w:val="FootnoteReference"/>
          <w:rFonts w:asciiTheme="minorHAnsi" w:hAnsiTheme="minorHAnsi"/>
        </w:rPr>
        <w:footnoteReference w:id="959"/>
      </w:r>
    </w:p>
    <w:p w14:paraId="67B40B8B" w14:textId="77777777" w:rsidR="009B4C48" w:rsidRDefault="009B4C48" w:rsidP="00EB7F1E">
      <w:pPr>
        <w:pStyle w:val="ListParagraph"/>
        <w:rPr>
          <w:rFonts w:asciiTheme="minorHAnsi" w:hAnsiTheme="minorHAnsi" w:cs="Arial"/>
          <w:szCs w:val="22"/>
        </w:rPr>
      </w:pPr>
    </w:p>
    <w:p w14:paraId="1C2AD479" w14:textId="7123D617" w:rsidR="004E7A47" w:rsidRPr="00223E31" w:rsidRDefault="009B4C48" w:rsidP="00EB7F1E">
      <w:pPr>
        <w:pStyle w:val="ListParagraph"/>
        <w:numPr>
          <w:ilvl w:val="0"/>
          <w:numId w:val="7"/>
        </w:numPr>
        <w:spacing w:line="276" w:lineRule="auto"/>
        <w:ind w:left="425" w:hanging="425"/>
        <w:contextualSpacing w:val="0"/>
        <w:rPr>
          <w:rFonts w:asciiTheme="minorHAnsi" w:hAnsiTheme="minorHAnsi" w:cs="Arial"/>
          <w:szCs w:val="22"/>
        </w:rPr>
      </w:pPr>
      <w:r w:rsidRPr="00AF12AE">
        <w:rPr>
          <w:rFonts w:asciiTheme="minorHAnsi" w:hAnsiTheme="minorHAnsi" w:cs="Arial"/>
          <w:szCs w:val="22"/>
        </w:rPr>
        <w:t xml:space="preserve">The </w:t>
      </w:r>
      <w:r w:rsidR="009C3DC7" w:rsidRPr="00223E31">
        <w:rPr>
          <w:rFonts w:asciiTheme="minorHAnsi" w:hAnsiTheme="minorHAnsi" w:cs="Arial"/>
          <w:szCs w:val="22"/>
        </w:rPr>
        <w:t>effect</w:t>
      </w:r>
      <w:r w:rsidRPr="00223E31">
        <w:rPr>
          <w:rFonts w:asciiTheme="minorHAnsi" w:hAnsiTheme="minorHAnsi" w:cs="Arial"/>
          <w:szCs w:val="22"/>
        </w:rPr>
        <w:t xml:space="preserve"> of the </w:t>
      </w:r>
      <w:r w:rsidRPr="00E90120">
        <w:rPr>
          <w:rFonts w:asciiTheme="minorHAnsi" w:hAnsiTheme="minorHAnsi"/>
        </w:rPr>
        <w:t>decision</w:t>
      </w:r>
      <w:r w:rsidRPr="00223E31">
        <w:rPr>
          <w:rFonts w:asciiTheme="minorHAnsi" w:hAnsiTheme="minorHAnsi" w:cs="Arial"/>
          <w:szCs w:val="22"/>
        </w:rPr>
        <w:t xml:space="preserve"> in </w:t>
      </w:r>
      <w:r w:rsidRPr="00EB7F1E">
        <w:rPr>
          <w:rFonts w:asciiTheme="minorHAnsi" w:hAnsiTheme="minorHAnsi" w:cs="Arial"/>
          <w:i/>
          <w:szCs w:val="22"/>
        </w:rPr>
        <w:t>Haynes</w:t>
      </w:r>
      <w:r w:rsidRPr="00AF12AE">
        <w:rPr>
          <w:rFonts w:asciiTheme="minorHAnsi" w:hAnsiTheme="minorHAnsi" w:cs="Arial"/>
          <w:szCs w:val="22"/>
        </w:rPr>
        <w:t xml:space="preserve"> is </w:t>
      </w:r>
      <w:r w:rsidRPr="00223E31">
        <w:rPr>
          <w:rFonts w:asciiTheme="minorHAnsi" w:hAnsiTheme="minorHAnsi" w:cs="Arial"/>
          <w:szCs w:val="22"/>
        </w:rPr>
        <w:t xml:space="preserve">that </w:t>
      </w:r>
      <w:r w:rsidR="009C3DC7" w:rsidRPr="00223E31">
        <w:rPr>
          <w:rFonts w:asciiTheme="minorHAnsi" w:hAnsiTheme="minorHAnsi" w:cs="Arial"/>
          <w:szCs w:val="22"/>
        </w:rPr>
        <w:t>if the prosecution considers that the making of a</w:t>
      </w:r>
      <w:r w:rsidR="009C3DC7" w:rsidRPr="00374591">
        <w:rPr>
          <w:rFonts w:asciiTheme="minorHAnsi" w:hAnsiTheme="minorHAnsi" w:cs="Arial"/>
          <w:szCs w:val="22"/>
        </w:rPr>
        <w:t xml:space="preserve"> </w:t>
      </w:r>
      <w:r w:rsidR="009C3DC7" w:rsidRPr="00C34979">
        <w:rPr>
          <w:rFonts w:asciiTheme="minorHAnsi" w:hAnsiTheme="minorHAnsi" w:cs="Arial"/>
          <w:szCs w:val="22"/>
        </w:rPr>
        <w:t>RR</w:t>
      </w:r>
      <w:r w:rsidR="009C3DC7" w:rsidRPr="00474AB6">
        <w:rPr>
          <w:rFonts w:asciiTheme="minorHAnsi" w:hAnsiTheme="minorHAnsi" w:cs="Arial"/>
          <w:szCs w:val="22"/>
        </w:rPr>
        <w:t>O</w:t>
      </w:r>
      <w:r w:rsidR="009C3DC7" w:rsidRPr="00C01565">
        <w:rPr>
          <w:rFonts w:asciiTheme="minorHAnsi" w:hAnsiTheme="minorHAnsi" w:cs="Arial"/>
          <w:szCs w:val="22"/>
        </w:rPr>
        <w:t xml:space="preserve"> wo</w:t>
      </w:r>
      <w:r w:rsidR="009C3DC7" w:rsidRPr="00A53EDC">
        <w:rPr>
          <w:rFonts w:asciiTheme="minorHAnsi" w:hAnsiTheme="minorHAnsi" w:cs="Arial"/>
          <w:szCs w:val="22"/>
        </w:rPr>
        <w:t>ul</w:t>
      </w:r>
      <w:r w:rsidR="009C3DC7" w:rsidRPr="004E67EF">
        <w:rPr>
          <w:rFonts w:asciiTheme="minorHAnsi" w:hAnsiTheme="minorHAnsi" w:cs="Arial"/>
          <w:szCs w:val="22"/>
        </w:rPr>
        <w:t>d</w:t>
      </w:r>
      <w:r w:rsidR="009C3DC7" w:rsidRPr="00AF12AE">
        <w:rPr>
          <w:rFonts w:asciiTheme="minorHAnsi" w:hAnsiTheme="minorHAnsi" w:cs="Arial"/>
          <w:szCs w:val="22"/>
        </w:rPr>
        <w:t xml:space="preserve"> be inappropriate</w:t>
      </w:r>
      <w:r w:rsidR="00F81C9D" w:rsidRPr="00AF12AE">
        <w:rPr>
          <w:rFonts w:asciiTheme="minorHAnsi" w:hAnsiTheme="minorHAnsi" w:cs="Arial"/>
          <w:szCs w:val="22"/>
        </w:rPr>
        <w:t xml:space="preserve"> or unavailable</w:t>
      </w:r>
      <w:r w:rsidR="009C3DC7" w:rsidRPr="00AF12AE">
        <w:rPr>
          <w:rFonts w:asciiTheme="minorHAnsi" w:hAnsiTheme="minorHAnsi" w:cs="Arial"/>
          <w:szCs w:val="22"/>
        </w:rPr>
        <w:t xml:space="preserve">, it has a duty to make such a submission to the sentencing court. </w:t>
      </w:r>
      <w:r w:rsidR="00CD13BC" w:rsidRPr="00AF12AE">
        <w:rPr>
          <w:rFonts w:asciiTheme="minorHAnsi" w:hAnsiTheme="minorHAnsi" w:cs="Arial"/>
          <w:szCs w:val="22"/>
        </w:rPr>
        <w:t xml:space="preserve"> </w:t>
      </w:r>
      <w:r w:rsidR="009C3DC7" w:rsidRPr="00AF12AE">
        <w:rPr>
          <w:rFonts w:asciiTheme="minorHAnsi" w:hAnsiTheme="minorHAnsi" w:cs="Arial"/>
          <w:szCs w:val="22"/>
        </w:rPr>
        <w:t xml:space="preserve">A RRO is generally unavailable if the head sentence or total </w:t>
      </w:r>
      <w:r w:rsidR="00CD13BC" w:rsidRPr="00AF12AE">
        <w:rPr>
          <w:rFonts w:asciiTheme="minorHAnsi" w:hAnsiTheme="minorHAnsi" w:cs="Arial"/>
          <w:szCs w:val="22"/>
        </w:rPr>
        <w:t xml:space="preserve">effective sentence </w:t>
      </w:r>
      <w:r w:rsidR="00136019">
        <w:rPr>
          <w:rFonts w:asciiTheme="minorHAnsi" w:hAnsiTheme="minorHAnsi" w:cs="Arial"/>
          <w:szCs w:val="22"/>
        </w:rPr>
        <w:t xml:space="preserve">(TES) </w:t>
      </w:r>
      <w:r w:rsidR="009C3DC7" w:rsidRPr="00AF12AE">
        <w:rPr>
          <w:rFonts w:asciiTheme="minorHAnsi" w:hAnsiTheme="minorHAnsi" w:cs="Arial"/>
          <w:szCs w:val="22"/>
        </w:rPr>
        <w:t xml:space="preserve">for a federal offence or offences is </w:t>
      </w:r>
      <w:r w:rsidR="00F81C9D" w:rsidRPr="00AF12AE">
        <w:rPr>
          <w:rFonts w:asciiTheme="minorHAnsi" w:hAnsiTheme="minorHAnsi" w:cs="Arial"/>
          <w:szCs w:val="22"/>
        </w:rPr>
        <w:t xml:space="preserve">more than </w:t>
      </w:r>
      <w:r w:rsidR="00CD13BC" w:rsidRPr="00AF12AE">
        <w:rPr>
          <w:rFonts w:asciiTheme="minorHAnsi" w:hAnsiTheme="minorHAnsi" w:cs="Arial"/>
          <w:szCs w:val="22"/>
        </w:rPr>
        <w:t>3 years</w:t>
      </w:r>
      <w:r w:rsidR="00AA693C">
        <w:rPr>
          <w:rFonts w:asciiTheme="minorHAnsi" w:hAnsiTheme="minorHAnsi" w:cs="Arial"/>
          <w:szCs w:val="22"/>
        </w:rPr>
        <w:t>’</w:t>
      </w:r>
      <w:r w:rsidR="00CD13BC" w:rsidRPr="00AF12AE">
        <w:rPr>
          <w:rFonts w:asciiTheme="minorHAnsi" w:hAnsiTheme="minorHAnsi" w:cs="Arial"/>
          <w:szCs w:val="22"/>
        </w:rPr>
        <w:t xml:space="preserve"> imprisonment</w:t>
      </w:r>
      <w:r w:rsidR="00F81C9D" w:rsidRPr="00AF12AE">
        <w:rPr>
          <w:rFonts w:asciiTheme="minorHAnsi" w:hAnsiTheme="minorHAnsi" w:cs="Arial"/>
          <w:szCs w:val="22"/>
        </w:rPr>
        <w:t>.</w:t>
      </w:r>
      <w:r w:rsidR="00F81C9D" w:rsidRPr="00C00000">
        <w:rPr>
          <w:rStyle w:val="FootnoteReference"/>
          <w:rFonts w:asciiTheme="minorHAnsi" w:hAnsiTheme="minorHAnsi"/>
        </w:rPr>
        <w:footnoteReference w:id="960"/>
      </w:r>
      <w:r w:rsidR="00F81C9D" w:rsidRPr="00AF12AE">
        <w:rPr>
          <w:rFonts w:asciiTheme="minorHAnsi" w:hAnsiTheme="minorHAnsi" w:cs="Arial"/>
          <w:szCs w:val="22"/>
        </w:rPr>
        <w:t xml:space="preserve"> </w:t>
      </w:r>
      <w:r w:rsidR="00CD13BC" w:rsidRPr="00AF12AE">
        <w:rPr>
          <w:rFonts w:asciiTheme="minorHAnsi" w:hAnsiTheme="minorHAnsi" w:cs="Arial"/>
          <w:szCs w:val="22"/>
        </w:rPr>
        <w:t xml:space="preserve"> </w:t>
      </w:r>
      <w:r w:rsidR="00AF12AE" w:rsidRPr="00AF12AE">
        <w:rPr>
          <w:rFonts w:asciiTheme="minorHAnsi" w:hAnsiTheme="minorHAnsi" w:cs="Arial"/>
          <w:szCs w:val="22"/>
        </w:rPr>
        <w:t>T</w:t>
      </w:r>
      <w:r w:rsidR="00AF12AE" w:rsidRPr="00223E31">
        <w:rPr>
          <w:rFonts w:asciiTheme="minorHAnsi" w:hAnsiTheme="minorHAnsi" w:cs="Arial"/>
          <w:szCs w:val="22"/>
        </w:rPr>
        <w:t xml:space="preserve">he logic of the decision in </w:t>
      </w:r>
      <w:r w:rsidR="00AF12AE" w:rsidRPr="00EB7F1E">
        <w:rPr>
          <w:rFonts w:asciiTheme="minorHAnsi" w:hAnsiTheme="minorHAnsi" w:cs="Arial"/>
          <w:i/>
          <w:szCs w:val="22"/>
        </w:rPr>
        <w:t>Haynes</w:t>
      </w:r>
      <w:r w:rsidR="00AF12AE" w:rsidRPr="00AF12AE">
        <w:rPr>
          <w:rFonts w:asciiTheme="minorHAnsi" w:hAnsiTheme="minorHAnsi" w:cs="Arial"/>
          <w:szCs w:val="22"/>
        </w:rPr>
        <w:t xml:space="preserve"> is</w:t>
      </w:r>
      <w:r w:rsidR="00AF12AE" w:rsidRPr="00223E31">
        <w:rPr>
          <w:rFonts w:asciiTheme="minorHAnsi" w:hAnsiTheme="minorHAnsi" w:cs="Arial"/>
          <w:szCs w:val="22"/>
        </w:rPr>
        <w:t xml:space="preserve"> that if the prosecution considers that </w:t>
      </w:r>
      <w:r w:rsidR="0079593B" w:rsidRPr="0079593B">
        <w:rPr>
          <w:rFonts w:asciiTheme="minorHAnsi" w:hAnsiTheme="minorHAnsi" w:cs="Arial"/>
          <w:szCs w:val="22"/>
        </w:rPr>
        <w:t>a RR</w:t>
      </w:r>
      <w:r w:rsidR="0079593B" w:rsidRPr="00294E04">
        <w:rPr>
          <w:rFonts w:asciiTheme="minorHAnsi" w:hAnsiTheme="minorHAnsi" w:cs="Arial"/>
          <w:szCs w:val="22"/>
        </w:rPr>
        <w:t>O is not available</w:t>
      </w:r>
      <w:r w:rsidR="0079593B" w:rsidRPr="00223E31">
        <w:rPr>
          <w:rFonts w:asciiTheme="minorHAnsi" w:hAnsiTheme="minorHAnsi" w:cs="Arial"/>
          <w:szCs w:val="22"/>
        </w:rPr>
        <w:t xml:space="preserve"> </w:t>
      </w:r>
      <w:r w:rsidR="0079593B">
        <w:rPr>
          <w:rFonts w:asciiTheme="minorHAnsi" w:hAnsiTheme="minorHAnsi" w:cs="Arial"/>
          <w:szCs w:val="22"/>
        </w:rPr>
        <w:t xml:space="preserve">because </w:t>
      </w:r>
      <w:r w:rsidR="00AF12AE" w:rsidRPr="00223E31">
        <w:rPr>
          <w:rFonts w:asciiTheme="minorHAnsi" w:hAnsiTheme="minorHAnsi" w:cs="Arial"/>
          <w:szCs w:val="22"/>
        </w:rPr>
        <w:t xml:space="preserve">a head sentence or </w:t>
      </w:r>
      <w:r w:rsidR="00136019">
        <w:rPr>
          <w:rFonts w:asciiTheme="minorHAnsi" w:hAnsiTheme="minorHAnsi" w:cs="Arial"/>
          <w:szCs w:val="22"/>
        </w:rPr>
        <w:t>TES</w:t>
      </w:r>
      <w:r w:rsidR="00AF12AE" w:rsidRPr="00223E31">
        <w:rPr>
          <w:rFonts w:asciiTheme="minorHAnsi" w:hAnsiTheme="minorHAnsi" w:cs="Arial"/>
          <w:szCs w:val="22"/>
        </w:rPr>
        <w:t xml:space="preserve"> </w:t>
      </w:r>
      <w:r w:rsidR="00AF12AE" w:rsidRPr="0079593B">
        <w:rPr>
          <w:rFonts w:asciiTheme="minorHAnsi" w:hAnsiTheme="minorHAnsi" w:cs="Arial"/>
          <w:szCs w:val="22"/>
        </w:rPr>
        <w:t xml:space="preserve">of </w:t>
      </w:r>
      <w:r w:rsidR="00E81E6D" w:rsidRPr="0079593B">
        <w:rPr>
          <w:rFonts w:asciiTheme="minorHAnsi" w:hAnsiTheme="minorHAnsi" w:cs="Arial"/>
          <w:szCs w:val="22"/>
        </w:rPr>
        <w:t xml:space="preserve">more than 3 years </w:t>
      </w:r>
      <w:r w:rsidR="00AF12AE" w:rsidRPr="0079593B">
        <w:rPr>
          <w:rFonts w:asciiTheme="minorHAnsi" w:hAnsiTheme="minorHAnsi" w:cs="Arial"/>
          <w:szCs w:val="22"/>
        </w:rPr>
        <w:t>is</w:t>
      </w:r>
      <w:r w:rsidR="00E81E6D" w:rsidRPr="0079593B">
        <w:rPr>
          <w:rFonts w:asciiTheme="minorHAnsi" w:hAnsiTheme="minorHAnsi" w:cs="Arial"/>
          <w:szCs w:val="22"/>
        </w:rPr>
        <w:t xml:space="preserve"> required</w:t>
      </w:r>
      <w:r w:rsidR="00AF12AE" w:rsidRPr="0079593B">
        <w:rPr>
          <w:rFonts w:asciiTheme="minorHAnsi" w:hAnsiTheme="minorHAnsi" w:cs="Arial"/>
          <w:szCs w:val="22"/>
        </w:rPr>
        <w:t xml:space="preserve"> for the federal offence(s)</w:t>
      </w:r>
      <w:r w:rsidR="00E81E6D" w:rsidRPr="0079593B">
        <w:rPr>
          <w:rFonts w:asciiTheme="minorHAnsi" w:hAnsiTheme="minorHAnsi" w:cs="Arial"/>
          <w:szCs w:val="22"/>
        </w:rPr>
        <w:t xml:space="preserve">, </w:t>
      </w:r>
      <w:r w:rsidR="0079593B">
        <w:rPr>
          <w:rFonts w:asciiTheme="minorHAnsi" w:hAnsiTheme="minorHAnsi" w:cs="Arial"/>
          <w:szCs w:val="22"/>
        </w:rPr>
        <w:t xml:space="preserve">the prosecutor has a duty to </w:t>
      </w:r>
      <w:r w:rsidR="00AF12AE" w:rsidRPr="0079593B">
        <w:rPr>
          <w:rFonts w:asciiTheme="minorHAnsi" w:hAnsiTheme="minorHAnsi" w:cs="Arial"/>
          <w:szCs w:val="22"/>
        </w:rPr>
        <w:t xml:space="preserve">make that submission to the sentencing court.  </w:t>
      </w:r>
      <w:r w:rsidR="00223E31">
        <w:rPr>
          <w:rFonts w:asciiTheme="minorHAnsi" w:hAnsiTheme="minorHAnsi" w:cs="Arial"/>
          <w:szCs w:val="22"/>
        </w:rPr>
        <w:t xml:space="preserve">It is implicit in </w:t>
      </w:r>
      <w:r w:rsidR="00223E31" w:rsidRPr="00EB7F1E">
        <w:rPr>
          <w:rFonts w:asciiTheme="minorHAnsi" w:hAnsiTheme="minorHAnsi" w:cs="Arial"/>
          <w:i/>
          <w:szCs w:val="22"/>
        </w:rPr>
        <w:t>Haynes</w:t>
      </w:r>
      <w:r w:rsidR="00223E31">
        <w:rPr>
          <w:rFonts w:asciiTheme="minorHAnsi" w:hAnsiTheme="minorHAnsi" w:cs="Arial"/>
          <w:szCs w:val="22"/>
        </w:rPr>
        <w:t xml:space="preserve"> that the Court considered that </w:t>
      </w:r>
      <w:r w:rsidR="00223E31" w:rsidRPr="00EB7F1E">
        <w:rPr>
          <w:rFonts w:asciiTheme="minorHAnsi" w:hAnsiTheme="minorHAnsi" w:cs="Arial"/>
          <w:i/>
          <w:szCs w:val="22"/>
        </w:rPr>
        <w:t>Barbaro</w:t>
      </w:r>
      <w:r w:rsidR="00223E31">
        <w:rPr>
          <w:rFonts w:asciiTheme="minorHAnsi" w:hAnsiTheme="minorHAnsi" w:cs="Arial"/>
          <w:szCs w:val="22"/>
        </w:rPr>
        <w:t xml:space="preserve"> does not preclude</w:t>
      </w:r>
      <w:r w:rsidR="00D65342">
        <w:rPr>
          <w:rFonts w:asciiTheme="minorHAnsi" w:hAnsiTheme="minorHAnsi" w:cs="Arial"/>
          <w:szCs w:val="22"/>
        </w:rPr>
        <w:t xml:space="preserve"> – and indeed requires</w:t>
      </w:r>
      <w:r w:rsidR="00223E31">
        <w:rPr>
          <w:rFonts w:asciiTheme="minorHAnsi" w:hAnsiTheme="minorHAnsi" w:cs="Arial"/>
          <w:szCs w:val="22"/>
        </w:rPr>
        <w:t xml:space="preserve"> </w:t>
      </w:r>
      <w:r w:rsidR="0079593B">
        <w:rPr>
          <w:rFonts w:asciiTheme="minorHAnsi" w:hAnsiTheme="minorHAnsi" w:cs="Arial"/>
          <w:szCs w:val="22"/>
        </w:rPr>
        <w:t xml:space="preserve">– </w:t>
      </w:r>
      <w:r w:rsidR="00223E31">
        <w:rPr>
          <w:rFonts w:asciiTheme="minorHAnsi" w:hAnsiTheme="minorHAnsi" w:cs="Arial"/>
          <w:szCs w:val="22"/>
        </w:rPr>
        <w:t>such a submission</w:t>
      </w:r>
      <w:r w:rsidR="00D65342">
        <w:rPr>
          <w:rFonts w:asciiTheme="minorHAnsi" w:hAnsiTheme="minorHAnsi" w:cs="Arial"/>
          <w:szCs w:val="22"/>
        </w:rPr>
        <w:t>.</w:t>
      </w:r>
      <w:r w:rsidR="00D65342" w:rsidRPr="00C00000">
        <w:rPr>
          <w:rStyle w:val="FootnoteReference"/>
          <w:rFonts w:asciiTheme="minorHAnsi" w:hAnsiTheme="minorHAnsi"/>
        </w:rPr>
        <w:footnoteReference w:id="961"/>
      </w:r>
    </w:p>
    <w:p w14:paraId="13CD50F5" w14:textId="77777777" w:rsidR="003D45C1" w:rsidRPr="00C00000" w:rsidRDefault="003D45C1" w:rsidP="003D45C1">
      <w:pPr>
        <w:pStyle w:val="Default"/>
        <w:spacing w:line="276" w:lineRule="auto"/>
        <w:ind w:left="567" w:right="170" w:hanging="567"/>
        <w:jc w:val="both"/>
        <w:rPr>
          <w:rFonts w:asciiTheme="minorHAnsi" w:hAnsiTheme="minorHAnsi" w:cs="Arial"/>
          <w:sz w:val="22"/>
          <w:szCs w:val="22"/>
        </w:rPr>
      </w:pPr>
    </w:p>
    <w:p w14:paraId="07DC4FB2" w14:textId="22739C51" w:rsidR="003D45C1" w:rsidRPr="00B20C82" w:rsidRDefault="003D45C1"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 xml:space="preserve">In some </w:t>
      </w:r>
      <w:r w:rsidRPr="00E90120">
        <w:rPr>
          <w:rFonts w:asciiTheme="minorHAnsi" w:hAnsiTheme="minorHAnsi"/>
        </w:rPr>
        <w:t>jurisdictions</w:t>
      </w:r>
      <w:r>
        <w:rPr>
          <w:rFonts w:asciiTheme="minorHAnsi" w:hAnsiTheme="minorHAnsi" w:cs="Arial"/>
          <w:szCs w:val="22"/>
        </w:rPr>
        <w:t xml:space="preserve">, legislation has also affected the application of the decision in </w:t>
      </w:r>
      <w:r w:rsidRPr="00B20C82">
        <w:rPr>
          <w:rFonts w:asciiTheme="minorHAnsi" w:hAnsiTheme="minorHAnsi" w:cs="Arial"/>
          <w:i/>
          <w:szCs w:val="22"/>
        </w:rPr>
        <w:t>Barbaro</w:t>
      </w:r>
      <w:r>
        <w:rPr>
          <w:rFonts w:asciiTheme="minorHAnsi" w:hAnsiTheme="minorHAnsi" w:cs="Arial"/>
          <w:szCs w:val="22"/>
        </w:rPr>
        <w:t xml:space="preserve">.  In Queensland, the effect of </w:t>
      </w:r>
      <w:r w:rsidRPr="00FC7EDF">
        <w:rPr>
          <w:rFonts w:asciiTheme="minorHAnsi" w:hAnsiTheme="minorHAnsi" w:cs="Arial"/>
          <w:i/>
          <w:szCs w:val="22"/>
        </w:rPr>
        <w:t>Barbaro</w:t>
      </w:r>
      <w:r>
        <w:rPr>
          <w:rFonts w:asciiTheme="minorHAnsi" w:hAnsiTheme="minorHAnsi" w:cs="Arial"/>
          <w:szCs w:val="22"/>
        </w:rPr>
        <w:t xml:space="preserve"> has been reversed by statute</w:t>
      </w:r>
      <w:r w:rsidR="0021608D">
        <w:rPr>
          <w:rFonts w:asciiTheme="minorHAnsi" w:hAnsiTheme="minorHAnsi" w:cs="Arial"/>
          <w:szCs w:val="22"/>
        </w:rPr>
        <w:t xml:space="preserve"> for State offence</w:t>
      </w:r>
      <w:r w:rsidR="00D9581F">
        <w:rPr>
          <w:rFonts w:asciiTheme="minorHAnsi" w:hAnsiTheme="minorHAnsi" w:cs="Arial"/>
          <w:szCs w:val="22"/>
        </w:rPr>
        <w:t>s</w:t>
      </w:r>
      <w:r>
        <w:rPr>
          <w:rFonts w:asciiTheme="minorHAnsi" w:hAnsiTheme="minorHAnsi" w:cs="Arial"/>
          <w:szCs w:val="22"/>
        </w:rPr>
        <w:t xml:space="preserve">.  A sentencing court is now specifically empowered to receive </w:t>
      </w:r>
      <w:r w:rsidRPr="00B20C82">
        <w:rPr>
          <w:rFonts w:asciiTheme="minorHAnsi" w:hAnsiTheme="minorHAnsi" w:cs="Arial"/>
          <w:szCs w:val="22"/>
        </w:rPr>
        <w:t xml:space="preserve">a </w:t>
      </w:r>
      <w:r>
        <w:rPr>
          <w:rFonts w:asciiTheme="minorHAnsi" w:hAnsiTheme="minorHAnsi" w:cs="Arial"/>
          <w:szCs w:val="22"/>
        </w:rPr>
        <w:t xml:space="preserve">sentencing submission made by a </w:t>
      </w:r>
      <w:r w:rsidRPr="00B20C82">
        <w:rPr>
          <w:rFonts w:asciiTheme="minorHAnsi" w:hAnsiTheme="minorHAnsi" w:cs="Arial"/>
          <w:szCs w:val="22"/>
        </w:rPr>
        <w:t>party</w:t>
      </w:r>
      <w:r w:rsidRPr="00A30060">
        <w:rPr>
          <w:rFonts w:asciiTheme="minorHAnsi" w:hAnsiTheme="minorHAnsi" w:cs="Arial"/>
          <w:szCs w:val="22"/>
        </w:rPr>
        <w:t xml:space="preserve"> </w:t>
      </w:r>
      <w:r w:rsidRPr="00B20C82">
        <w:rPr>
          <w:rFonts w:asciiTheme="minorHAnsi" w:hAnsiTheme="minorHAnsi" w:cs="Arial"/>
          <w:szCs w:val="22"/>
        </w:rPr>
        <w:t>stating the sentence, or range of sentences, the party considers appro</w:t>
      </w:r>
      <w:r>
        <w:rPr>
          <w:rFonts w:asciiTheme="minorHAnsi" w:hAnsiTheme="minorHAnsi" w:cs="Arial"/>
          <w:szCs w:val="22"/>
        </w:rPr>
        <w:t>priate for the court to impose.</w:t>
      </w:r>
      <w:r w:rsidRPr="00C00000">
        <w:rPr>
          <w:rStyle w:val="FootnoteReference"/>
          <w:rFonts w:asciiTheme="minorHAnsi" w:hAnsiTheme="minorHAnsi"/>
        </w:rPr>
        <w:footnoteReference w:id="962"/>
      </w:r>
    </w:p>
    <w:p w14:paraId="29EA1D55" w14:textId="77777777" w:rsidR="003D45C1" w:rsidRPr="00C00000" w:rsidRDefault="003D45C1" w:rsidP="003D45C1">
      <w:pPr>
        <w:pStyle w:val="Default"/>
        <w:spacing w:line="276" w:lineRule="auto"/>
        <w:ind w:left="567" w:right="170" w:hanging="567"/>
        <w:jc w:val="both"/>
        <w:rPr>
          <w:rFonts w:asciiTheme="minorHAnsi" w:hAnsiTheme="minorHAnsi" w:cs="Arial"/>
          <w:sz w:val="22"/>
          <w:szCs w:val="22"/>
        </w:rPr>
      </w:pPr>
    </w:p>
    <w:p w14:paraId="15740C2A" w14:textId="6BE015DE" w:rsidR="003D45C1" w:rsidRPr="00C53F25" w:rsidRDefault="003D45C1" w:rsidP="008B3E81">
      <w:pPr>
        <w:pStyle w:val="Heading3"/>
      </w:pPr>
      <w:bookmarkStart w:id="2649" w:name="_Toc33602939"/>
      <w:r w:rsidRPr="00C53F25">
        <w:t>Duties of the prosecution on a plea hearing</w:t>
      </w:r>
      <w:bookmarkEnd w:id="2649"/>
      <w:r w:rsidRPr="00C53F25">
        <w:t xml:space="preserve"> </w:t>
      </w:r>
    </w:p>
    <w:p w14:paraId="20036946" w14:textId="77777777" w:rsidR="003D45C1" w:rsidRPr="00C00000" w:rsidRDefault="003D45C1" w:rsidP="008B3E81">
      <w:pPr>
        <w:keepNext/>
        <w:spacing w:line="276" w:lineRule="auto"/>
        <w:ind w:left="567" w:hanging="567"/>
        <w:jc w:val="both"/>
        <w:rPr>
          <w:rFonts w:asciiTheme="minorHAnsi" w:hAnsiTheme="minorHAnsi"/>
        </w:rPr>
      </w:pPr>
    </w:p>
    <w:p w14:paraId="411830C1" w14:textId="559BAA86" w:rsidR="00322E06" w:rsidRDefault="00322E0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duties of the prosecution in relation to the sentencing of a federal offender are a manifestation of its wider duties.  Those general duties are succinctly </w:t>
      </w:r>
      <w:r w:rsidR="00F47D0C">
        <w:rPr>
          <w:rFonts w:asciiTheme="minorHAnsi" w:hAnsiTheme="minorHAnsi"/>
        </w:rPr>
        <w:t>summar</w:t>
      </w:r>
      <w:r w:rsidR="00B86888">
        <w:rPr>
          <w:rFonts w:asciiTheme="minorHAnsi" w:hAnsiTheme="minorHAnsi"/>
        </w:rPr>
        <w:t>ised</w:t>
      </w:r>
      <w:r>
        <w:rPr>
          <w:rFonts w:asciiTheme="minorHAnsi" w:hAnsiTheme="minorHAnsi"/>
        </w:rPr>
        <w:t xml:space="preserve"> in the </w:t>
      </w:r>
      <w:r w:rsidRPr="00394397">
        <w:rPr>
          <w:rFonts w:asciiTheme="minorHAnsi" w:hAnsiTheme="minorHAnsi"/>
          <w:i/>
        </w:rPr>
        <w:t xml:space="preserve">Prosecution Policy of the Commonwealth </w:t>
      </w:r>
      <w:r>
        <w:rPr>
          <w:rFonts w:asciiTheme="minorHAnsi" w:hAnsiTheme="minorHAnsi"/>
        </w:rPr>
        <w:t>as follows:</w:t>
      </w:r>
      <w:r w:rsidRPr="00C00000">
        <w:rPr>
          <w:rStyle w:val="Style"/>
          <w:rFonts w:asciiTheme="minorHAnsi" w:hAnsiTheme="minorHAnsi"/>
        </w:rPr>
        <w:footnoteReference w:id="963"/>
      </w:r>
    </w:p>
    <w:p w14:paraId="5813361A" w14:textId="77777777" w:rsidR="00322E06" w:rsidRDefault="00322E06" w:rsidP="00EB7F1E">
      <w:pPr>
        <w:pStyle w:val="BodyText"/>
        <w:spacing w:line="276" w:lineRule="auto"/>
        <w:ind w:left="720" w:right="170" w:hanging="11"/>
        <w:jc w:val="both"/>
        <w:rPr>
          <w:rFonts w:asciiTheme="minorHAnsi" w:hAnsiTheme="minorHAnsi"/>
          <w:i/>
        </w:rPr>
      </w:pPr>
      <w:r w:rsidRPr="00394397">
        <w:rPr>
          <w:rFonts w:asciiTheme="minorHAnsi" w:hAnsiTheme="minorHAnsi"/>
          <w:i/>
        </w:rPr>
        <w:t xml:space="preserve">[T]hroughout a prosecution the prosecutor must conduct himself or herself in a manner which will maintain, promote and defend the interests of justice. </w:t>
      </w:r>
      <w:r>
        <w:rPr>
          <w:rFonts w:asciiTheme="minorHAnsi" w:hAnsiTheme="minorHAnsi"/>
          <w:i/>
        </w:rPr>
        <w:t xml:space="preserve"> </w:t>
      </w:r>
      <w:r w:rsidRPr="00394397">
        <w:rPr>
          <w:rFonts w:asciiTheme="minorHAnsi" w:hAnsiTheme="minorHAnsi"/>
          <w:i/>
        </w:rPr>
        <w:t>In the final analysis the prosecutor is not a servant of government or individuals - he or she is a servant of justice.</w:t>
      </w:r>
    </w:p>
    <w:p w14:paraId="740F630D" w14:textId="77777777" w:rsidR="00322E06" w:rsidRPr="00394397" w:rsidRDefault="00322E06" w:rsidP="00EB7F1E">
      <w:pPr>
        <w:pStyle w:val="BodyText"/>
        <w:spacing w:line="276" w:lineRule="auto"/>
        <w:ind w:left="720" w:right="170" w:hanging="11"/>
        <w:jc w:val="both"/>
        <w:rPr>
          <w:rFonts w:asciiTheme="minorHAnsi" w:hAnsiTheme="minorHAnsi"/>
          <w:i/>
        </w:rPr>
      </w:pPr>
    </w:p>
    <w:p w14:paraId="0D57E13D" w14:textId="77777777" w:rsidR="00322E06" w:rsidRPr="00394397" w:rsidRDefault="00322E06" w:rsidP="00EB7F1E">
      <w:pPr>
        <w:pStyle w:val="BodyText"/>
        <w:spacing w:line="276" w:lineRule="auto"/>
        <w:ind w:left="720" w:right="170" w:hanging="11"/>
        <w:jc w:val="both"/>
        <w:rPr>
          <w:rFonts w:asciiTheme="minorHAnsi" w:hAnsiTheme="minorHAnsi"/>
          <w:i/>
        </w:rPr>
      </w:pPr>
      <w:r w:rsidRPr="00394397">
        <w:rPr>
          <w:rFonts w:asciiTheme="minorHAnsi" w:hAnsiTheme="minorHAnsi"/>
          <w:i/>
        </w:rPr>
        <w:t xml:space="preserve">It is also important not to lose sight of the fact that prosecutors discharge their responsibilities in an adversarial context and seek to have the prosecution case sustained. </w:t>
      </w:r>
      <w:r>
        <w:rPr>
          <w:rFonts w:asciiTheme="minorHAnsi" w:hAnsiTheme="minorHAnsi"/>
          <w:i/>
        </w:rPr>
        <w:t xml:space="preserve"> </w:t>
      </w:r>
      <w:r w:rsidRPr="00394397">
        <w:rPr>
          <w:rFonts w:asciiTheme="minorHAnsi" w:hAnsiTheme="minorHAnsi"/>
          <w:i/>
        </w:rPr>
        <w:t>Accordingly, while that case must at all times be presented to the Court fairly and justly, the community is entitled to expect that it will also be presented fearlessly, vigorously and skilfully.</w:t>
      </w:r>
    </w:p>
    <w:p w14:paraId="7F6889D8" w14:textId="77777777" w:rsidR="00322E06" w:rsidRDefault="00322E06" w:rsidP="00322E06">
      <w:pPr>
        <w:pStyle w:val="Default"/>
        <w:spacing w:line="276" w:lineRule="auto"/>
        <w:ind w:right="170"/>
        <w:jc w:val="both"/>
        <w:rPr>
          <w:rFonts w:asciiTheme="minorHAnsi" w:hAnsiTheme="minorHAnsi" w:cs="Times New Roman"/>
          <w:color w:val="auto"/>
          <w:sz w:val="22"/>
          <w:szCs w:val="20"/>
        </w:rPr>
      </w:pPr>
    </w:p>
    <w:p w14:paraId="42C621AB" w14:textId="4FE9ABA6" w:rsidR="00690E0B" w:rsidRDefault="00690E0B" w:rsidP="00EB7F1E">
      <w:pPr>
        <w:pStyle w:val="ListParagraph"/>
        <w:numPr>
          <w:ilvl w:val="0"/>
          <w:numId w:val="7"/>
        </w:numPr>
        <w:spacing w:line="276" w:lineRule="auto"/>
        <w:ind w:left="425" w:hanging="425"/>
        <w:contextualSpacing w:val="0"/>
        <w:rPr>
          <w:rFonts w:asciiTheme="minorHAnsi" w:hAnsiTheme="minorHAnsi"/>
        </w:rPr>
      </w:pPr>
      <w:r w:rsidRPr="00690E0B">
        <w:rPr>
          <w:rFonts w:asciiTheme="minorHAnsi" w:hAnsiTheme="minorHAnsi"/>
        </w:rPr>
        <w:t>The performance of the prosecution</w:t>
      </w:r>
      <w:r w:rsidR="00AA693C">
        <w:rPr>
          <w:rFonts w:asciiTheme="minorHAnsi" w:hAnsiTheme="minorHAnsi"/>
        </w:rPr>
        <w:t>’</w:t>
      </w:r>
      <w:r w:rsidRPr="00690E0B">
        <w:rPr>
          <w:rFonts w:asciiTheme="minorHAnsi" w:hAnsiTheme="minorHAnsi"/>
        </w:rPr>
        <w:t>s duty to the court ensures that the defendant knows the nature and extent of the case against him or her, and thus has a fair opportunity of meeting it</w:t>
      </w:r>
      <w:r>
        <w:rPr>
          <w:rFonts w:asciiTheme="minorHAnsi" w:hAnsiTheme="minorHAnsi"/>
        </w:rPr>
        <w:t>.</w:t>
      </w:r>
      <w:r w:rsidRPr="00C00000">
        <w:rPr>
          <w:rStyle w:val="Style"/>
          <w:rFonts w:asciiTheme="minorHAnsi" w:hAnsiTheme="minorHAnsi"/>
        </w:rPr>
        <w:footnoteReference w:id="964"/>
      </w:r>
    </w:p>
    <w:p w14:paraId="3E23943F" w14:textId="77777777" w:rsidR="00690E0B" w:rsidRDefault="00690E0B" w:rsidP="00690E0B">
      <w:pPr>
        <w:pStyle w:val="Default"/>
        <w:spacing w:line="276" w:lineRule="auto"/>
        <w:ind w:right="170"/>
        <w:jc w:val="both"/>
        <w:rPr>
          <w:rFonts w:asciiTheme="minorHAnsi" w:hAnsiTheme="minorHAnsi" w:cs="Times New Roman"/>
          <w:color w:val="auto"/>
          <w:sz w:val="22"/>
          <w:szCs w:val="20"/>
        </w:rPr>
      </w:pPr>
    </w:p>
    <w:p w14:paraId="687D1582" w14:textId="3E390F21" w:rsidR="00322E06" w:rsidRDefault="00322E0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relation to a plea hearing, aspects of these duties may be conveniently grouped under </w:t>
      </w:r>
      <w:r w:rsidR="00690E0B">
        <w:rPr>
          <w:rFonts w:asciiTheme="minorHAnsi" w:hAnsiTheme="minorHAnsi"/>
        </w:rPr>
        <w:t>these headings: disclosure;</w:t>
      </w:r>
      <w:r>
        <w:rPr>
          <w:rFonts w:asciiTheme="minorHAnsi" w:hAnsiTheme="minorHAnsi"/>
        </w:rPr>
        <w:t xml:space="preserve"> fact-finding</w:t>
      </w:r>
      <w:r w:rsidR="00690E0B">
        <w:rPr>
          <w:rFonts w:asciiTheme="minorHAnsi" w:hAnsiTheme="minorHAnsi"/>
        </w:rPr>
        <w:t>;</w:t>
      </w:r>
      <w:r>
        <w:rPr>
          <w:rFonts w:asciiTheme="minorHAnsi" w:hAnsiTheme="minorHAnsi"/>
        </w:rPr>
        <w:t xml:space="preserve"> submissions</w:t>
      </w:r>
      <w:r w:rsidR="00690E0B">
        <w:rPr>
          <w:rFonts w:asciiTheme="minorHAnsi" w:hAnsiTheme="minorHAnsi"/>
        </w:rPr>
        <w:t xml:space="preserve"> generally; comparable cases; and </w:t>
      </w:r>
      <w:r w:rsidR="001A7581" w:rsidRPr="001A7581">
        <w:rPr>
          <w:rFonts w:asciiTheme="minorHAnsi" w:hAnsiTheme="minorHAnsi"/>
        </w:rPr>
        <w:t>submissions relating to sentencing dispositions</w:t>
      </w:r>
      <w:r>
        <w:rPr>
          <w:rFonts w:asciiTheme="minorHAnsi" w:hAnsiTheme="minorHAnsi"/>
        </w:rPr>
        <w:t>.</w:t>
      </w:r>
    </w:p>
    <w:p w14:paraId="21AF07C0" w14:textId="77777777" w:rsidR="00322E06" w:rsidRDefault="00322E06" w:rsidP="00322E06">
      <w:pPr>
        <w:pStyle w:val="Default"/>
        <w:spacing w:line="276" w:lineRule="auto"/>
        <w:ind w:right="170"/>
        <w:jc w:val="both"/>
        <w:rPr>
          <w:rFonts w:asciiTheme="minorHAnsi" w:hAnsiTheme="minorHAnsi" w:cs="Times New Roman"/>
          <w:color w:val="auto"/>
          <w:sz w:val="22"/>
          <w:szCs w:val="20"/>
        </w:rPr>
      </w:pPr>
    </w:p>
    <w:p w14:paraId="52C91D53" w14:textId="5AE43904" w:rsidR="00322E06" w:rsidRDefault="00322E06" w:rsidP="00EB7F1E">
      <w:pPr>
        <w:pStyle w:val="ListParagraph"/>
        <w:numPr>
          <w:ilvl w:val="0"/>
          <w:numId w:val="7"/>
        </w:numPr>
        <w:spacing w:line="276" w:lineRule="auto"/>
        <w:ind w:left="425" w:hanging="425"/>
        <w:contextualSpacing w:val="0"/>
        <w:rPr>
          <w:rFonts w:asciiTheme="minorHAnsi" w:hAnsiTheme="minorHAnsi"/>
        </w:rPr>
      </w:pPr>
      <w:r w:rsidRPr="004F0D2D">
        <w:rPr>
          <w:rFonts w:asciiTheme="minorHAnsi" w:hAnsiTheme="minorHAnsi"/>
          <w:b/>
        </w:rPr>
        <w:t>Disclosure:</w:t>
      </w:r>
      <w:r>
        <w:rPr>
          <w:rFonts w:asciiTheme="minorHAnsi" w:hAnsiTheme="minorHAnsi"/>
        </w:rPr>
        <w:t xml:space="preserve">  The prosecution has continuing obligations of disclosure.  In particular, subject to </w:t>
      </w:r>
      <w:r w:rsidR="00F47D0C">
        <w:rPr>
          <w:rFonts w:asciiTheme="minorHAnsi" w:hAnsiTheme="minorHAnsi"/>
        </w:rPr>
        <w:t>recogn</w:t>
      </w:r>
      <w:r w:rsidR="00B86888">
        <w:rPr>
          <w:rFonts w:asciiTheme="minorHAnsi" w:hAnsiTheme="minorHAnsi"/>
        </w:rPr>
        <w:t>ised</w:t>
      </w:r>
      <w:r>
        <w:rPr>
          <w:rFonts w:asciiTheme="minorHAnsi" w:hAnsiTheme="minorHAnsi"/>
        </w:rPr>
        <w:t xml:space="preserve"> exceptions, the prosecution must disclose to an offender (usually </w:t>
      </w:r>
      <w:r w:rsidR="009F79BB">
        <w:rPr>
          <w:rFonts w:asciiTheme="minorHAnsi" w:hAnsiTheme="minorHAnsi"/>
        </w:rPr>
        <w:t>by disclosure to</w:t>
      </w:r>
      <w:r>
        <w:rPr>
          <w:rFonts w:asciiTheme="minorHAnsi" w:hAnsiTheme="minorHAnsi"/>
        </w:rPr>
        <w:t xml:space="preserve"> the offender</w:t>
      </w:r>
      <w:r w:rsidR="00AA693C">
        <w:rPr>
          <w:rFonts w:asciiTheme="minorHAnsi" w:hAnsiTheme="minorHAnsi"/>
        </w:rPr>
        <w:t>’</w:t>
      </w:r>
      <w:r>
        <w:rPr>
          <w:rFonts w:asciiTheme="minorHAnsi" w:hAnsiTheme="minorHAnsi"/>
        </w:rPr>
        <w:t xml:space="preserve">s legal representatives) matters that may be reasonably regarded as relevant to sentencing.  These may include, for example, full details relating to the known antecedents of the offender, details of charges and dispositions in relation to co-offenders or other persons </w:t>
      </w:r>
      <w:r w:rsidR="00C3352B">
        <w:rPr>
          <w:rFonts w:asciiTheme="minorHAnsi" w:hAnsiTheme="minorHAnsi"/>
        </w:rPr>
        <w:t xml:space="preserve">where </w:t>
      </w:r>
      <w:r w:rsidR="002057D3">
        <w:rPr>
          <w:rFonts w:asciiTheme="minorHAnsi" w:hAnsiTheme="minorHAnsi"/>
        </w:rPr>
        <w:t xml:space="preserve">the </w:t>
      </w:r>
      <w:r w:rsidR="00C3352B">
        <w:rPr>
          <w:rFonts w:asciiTheme="minorHAnsi" w:hAnsiTheme="minorHAnsi"/>
        </w:rPr>
        <w:t>dispositions may raise issues</w:t>
      </w:r>
      <w:r>
        <w:rPr>
          <w:rFonts w:asciiTheme="minorHAnsi" w:hAnsiTheme="minorHAnsi"/>
        </w:rPr>
        <w:t xml:space="preserve"> of parity, and </w:t>
      </w:r>
      <w:r w:rsidRPr="00CD33C8">
        <w:rPr>
          <w:rFonts w:asciiTheme="minorHAnsi" w:hAnsiTheme="minorHAnsi"/>
        </w:rPr>
        <w:t>any information or material that may affect an assessme</w:t>
      </w:r>
      <w:r>
        <w:rPr>
          <w:rFonts w:asciiTheme="minorHAnsi" w:hAnsiTheme="minorHAnsi"/>
        </w:rPr>
        <w:t>nt of the moral culpability of the offender.</w:t>
      </w:r>
    </w:p>
    <w:p w14:paraId="0876EB6C" w14:textId="77777777" w:rsidR="00322E06" w:rsidRDefault="00322E06" w:rsidP="00322E06">
      <w:pPr>
        <w:pStyle w:val="ListParagraph"/>
        <w:rPr>
          <w:rFonts w:asciiTheme="minorHAnsi" w:hAnsiTheme="minorHAnsi"/>
        </w:rPr>
      </w:pPr>
    </w:p>
    <w:p w14:paraId="553241C9" w14:textId="006C3F4D" w:rsidR="00322E06" w:rsidRDefault="00322E0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Disclosure obligations are dealt with in detail in the CDPP</w:t>
      </w:r>
      <w:r w:rsidR="00AA693C">
        <w:rPr>
          <w:rFonts w:asciiTheme="minorHAnsi" w:hAnsiTheme="minorHAnsi"/>
        </w:rPr>
        <w:t>’</w:t>
      </w:r>
      <w:r>
        <w:rPr>
          <w:rFonts w:asciiTheme="minorHAnsi" w:hAnsiTheme="minorHAnsi"/>
        </w:rPr>
        <w:t>s “</w:t>
      </w:r>
      <w:r w:rsidRPr="00CD33C8">
        <w:rPr>
          <w:rFonts w:asciiTheme="minorHAnsi" w:hAnsiTheme="minorHAnsi"/>
          <w:i/>
        </w:rPr>
        <w:t>Statement on Disclosure</w:t>
      </w:r>
      <w:r>
        <w:rPr>
          <w:rFonts w:asciiTheme="minorHAnsi" w:hAnsiTheme="minorHAnsi"/>
        </w:rPr>
        <w:t>” (March 2017).</w:t>
      </w:r>
    </w:p>
    <w:p w14:paraId="041294AA" w14:textId="77777777" w:rsidR="00322E06" w:rsidRDefault="00322E06" w:rsidP="00322E06">
      <w:pPr>
        <w:pStyle w:val="ListParagraph"/>
        <w:rPr>
          <w:rFonts w:asciiTheme="minorHAnsi" w:hAnsiTheme="minorHAnsi"/>
        </w:rPr>
      </w:pPr>
    </w:p>
    <w:p w14:paraId="57DDECA9" w14:textId="49E58B32" w:rsidR="00322E06" w:rsidRPr="00BC2F8B" w:rsidRDefault="00322E06" w:rsidP="00EB7F1E">
      <w:pPr>
        <w:pStyle w:val="ListParagraph"/>
        <w:numPr>
          <w:ilvl w:val="0"/>
          <w:numId w:val="7"/>
        </w:numPr>
        <w:spacing w:line="276" w:lineRule="auto"/>
        <w:ind w:left="425" w:hanging="425"/>
        <w:contextualSpacing w:val="0"/>
        <w:rPr>
          <w:rFonts w:asciiTheme="minorHAnsi" w:hAnsiTheme="minorHAnsi"/>
        </w:rPr>
      </w:pPr>
      <w:r w:rsidRPr="009247CD">
        <w:rPr>
          <w:rFonts w:asciiTheme="minorHAnsi" w:hAnsiTheme="minorHAnsi"/>
          <w:b/>
        </w:rPr>
        <w:t xml:space="preserve">Fact-finding:  </w:t>
      </w:r>
      <w:r w:rsidRPr="00D65FAF">
        <w:rPr>
          <w:rFonts w:asciiTheme="minorHAnsi" w:hAnsiTheme="minorHAnsi"/>
        </w:rPr>
        <w:t>Fact-finding is a crucial aspect of sentencing</w:t>
      </w:r>
      <w:r>
        <w:rPr>
          <w:rFonts w:asciiTheme="minorHAnsi" w:hAnsiTheme="minorHAnsi"/>
        </w:rPr>
        <w:t>, which may greatly affect the sentence to be imposed</w:t>
      </w:r>
      <w:r w:rsidRPr="00D65FAF">
        <w:rPr>
          <w:rFonts w:asciiTheme="minorHAnsi" w:hAnsiTheme="minorHAnsi"/>
        </w:rPr>
        <w:t>.</w:t>
      </w:r>
      <w:r w:rsidRPr="00C00000">
        <w:rPr>
          <w:rStyle w:val="Style"/>
          <w:rFonts w:asciiTheme="minorHAnsi" w:hAnsiTheme="minorHAnsi"/>
        </w:rPr>
        <w:footnoteReference w:id="965"/>
      </w:r>
      <w:r w:rsidRPr="00635639">
        <w:rPr>
          <w:rFonts w:asciiTheme="minorHAnsi" w:hAnsiTheme="minorHAnsi"/>
        </w:rPr>
        <w:t xml:space="preserve"> </w:t>
      </w:r>
      <w:r>
        <w:rPr>
          <w:rFonts w:asciiTheme="minorHAnsi" w:hAnsiTheme="minorHAnsi"/>
        </w:rPr>
        <w:t xml:space="preserve"> In summary, t</w:t>
      </w:r>
      <w:r w:rsidRPr="009247CD">
        <w:rPr>
          <w:rFonts w:asciiTheme="minorHAnsi" w:hAnsiTheme="minorHAnsi"/>
        </w:rPr>
        <w:t>he duties of the prosecution in relation to fact-finding include making an adequate presentation of the facts, identifying any aggravating features and admitting any mitigating features, fair testing of the o</w:t>
      </w:r>
      <w:r>
        <w:rPr>
          <w:rFonts w:asciiTheme="minorHAnsi" w:hAnsiTheme="minorHAnsi"/>
        </w:rPr>
        <w:t>ffender</w:t>
      </w:r>
      <w:r w:rsidR="00AA693C">
        <w:rPr>
          <w:rFonts w:asciiTheme="minorHAnsi" w:hAnsiTheme="minorHAnsi"/>
        </w:rPr>
        <w:t>’</w:t>
      </w:r>
      <w:r w:rsidRPr="009247CD">
        <w:rPr>
          <w:rFonts w:asciiTheme="minorHAnsi" w:hAnsiTheme="minorHAnsi"/>
        </w:rPr>
        <w:t>s case, correcting any error of fact which emerges in the course of the plea and drawing attention to the offender</w:t>
      </w:r>
      <w:r w:rsidR="00AA693C">
        <w:rPr>
          <w:rFonts w:asciiTheme="minorHAnsi" w:hAnsiTheme="minorHAnsi"/>
        </w:rPr>
        <w:t>’</w:t>
      </w:r>
      <w:r w:rsidRPr="009247CD">
        <w:rPr>
          <w:rFonts w:asciiTheme="minorHAnsi" w:hAnsiTheme="minorHAnsi"/>
        </w:rPr>
        <w:t>s antecedents</w:t>
      </w:r>
      <w:r>
        <w:rPr>
          <w:rFonts w:asciiTheme="minorHAnsi" w:hAnsiTheme="minorHAnsi"/>
        </w:rPr>
        <w:t>,</w:t>
      </w:r>
      <w:r w:rsidRPr="009247CD">
        <w:rPr>
          <w:rFonts w:asciiTheme="minorHAnsi" w:hAnsiTheme="minorHAnsi"/>
        </w:rPr>
        <w:t xml:space="preserve"> including any sentence of imprisonment currently being served</w:t>
      </w:r>
      <w:r w:rsidRPr="003B61FF">
        <w:rPr>
          <w:rFonts w:ascii="Calibri" w:hAnsi="Calibri"/>
        </w:rPr>
        <w:t>.</w:t>
      </w:r>
      <w:r w:rsidRPr="00C00000">
        <w:rPr>
          <w:rStyle w:val="Style"/>
          <w:rFonts w:asciiTheme="minorHAnsi" w:hAnsiTheme="minorHAnsi"/>
        </w:rPr>
        <w:footnoteReference w:id="966"/>
      </w:r>
    </w:p>
    <w:p w14:paraId="77CD045B" w14:textId="77777777" w:rsidR="00322E06" w:rsidRDefault="00322E06" w:rsidP="00322E06">
      <w:pPr>
        <w:pStyle w:val="ListParagraph"/>
        <w:rPr>
          <w:rFonts w:asciiTheme="minorHAnsi" w:hAnsiTheme="minorHAnsi"/>
        </w:rPr>
      </w:pPr>
    </w:p>
    <w:p w14:paraId="0F2D05A8" w14:textId="77777777" w:rsidR="00322E06" w:rsidRDefault="00322E0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What constitutes “an adequate presentation of the facts” depends on what is fair, reasonable and practical in the circumstances of the particular case.</w:t>
      </w:r>
      <w:r w:rsidRPr="00C00000">
        <w:rPr>
          <w:rStyle w:val="Style"/>
          <w:rFonts w:asciiTheme="minorHAnsi" w:hAnsiTheme="minorHAnsi"/>
        </w:rPr>
        <w:footnoteReference w:id="967"/>
      </w:r>
      <w:r>
        <w:rPr>
          <w:rFonts w:asciiTheme="minorHAnsi" w:hAnsiTheme="minorHAnsi"/>
        </w:rPr>
        <w:t xml:space="preserve">  The duty is not limited to the facts of the offence; the court must be given a balanced view of the facts relevant to sentencing generally.</w:t>
      </w:r>
      <w:r w:rsidRPr="00C00000">
        <w:rPr>
          <w:rStyle w:val="Style"/>
          <w:rFonts w:asciiTheme="minorHAnsi" w:hAnsiTheme="minorHAnsi"/>
        </w:rPr>
        <w:footnoteReference w:id="968"/>
      </w:r>
    </w:p>
    <w:p w14:paraId="4D3EB567" w14:textId="77777777" w:rsidR="00322E06" w:rsidRDefault="00322E06" w:rsidP="00322E06">
      <w:pPr>
        <w:pStyle w:val="ListParagraph"/>
        <w:rPr>
          <w:rFonts w:asciiTheme="minorHAnsi" w:hAnsiTheme="minorHAnsi"/>
        </w:rPr>
      </w:pPr>
    </w:p>
    <w:p w14:paraId="067F70BD" w14:textId="0619D6C8" w:rsidR="00914F88" w:rsidRDefault="00322E0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plea hearings, the rules of evidence usually do not apply and courts commonly receive and act on evidence that would not be admissible if they did.  This approach is consistent with s 16A of the </w:t>
      </w:r>
      <w:r w:rsidRPr="001F2014">
        <w:rPr>
          <w:rFonts w:asciiTheme="minorHAnsi" w:hAnsiTheme="minorHAnsi"/>
          <w:i/>
        </w:rPr>
        <w:t>Crimes Act 1914</w:t>
      </w:r>
      <w:r>
        <w:rPr>
          <w:rFonts w:asciiTheme="minorHAnsi" w:hAnsiTheme="minorHAnsi"/>
        </w:rPr>
        <w:t xml:space="preserve"> (Cth).</w:t>
      </w:r>
      <w:r w:rsidRPr="00C00000">
        <w:rPr>
          <w:rStyle w:val="Style"/>
          <w:rFonts w:asciiTheme="minorHAnsi" w:hAnsiTheme="minorHAnsi"/>
        </w:rPr>
        <w:footnoteReference w:id="969"/>
      </w:r>
      <w:r>
        <w:rPr>
          <w:rFonts w:asciiTheme="minorHAnsi" w:hAnsiTheme="minorHAnsi"/>
        </w:rPr>
        <w:t xml:space="preserve">  But that does not mean that a sentencing court must accept or act upon all assertions from the bar table or all material put forward on a plea hearing.</w:t>
      </w:r>
      <w:r w:rsidRPr="00C00000">
        <w:rPr>
          <w:rStyle w:val="Style"/>
          <w:rFonts w:asciiTheme="minorHAnsi" w:hAnsiTheme="minorHAnsi"/>
        </w:rPr>
        <w:footnoteReference w:id="970"/>
      </w:r>
      <w:r>
        <w:rPr>
          <w:rFonts w:asciiTheme="minorHAnsi" w:hAnsiTheme="minorHAnsi"/>
        </w:rPr>
        <w:t xml:space="preserve">  If an assertion or evidence of a fact is challenged by an opposing party, </w:t>
      </w:r>
      <w:r w:rsidR="008D21BF">
        <w:rPr>
          <w:rFonts w:asciiTheme="minorHAnsi" w:hAnsiTheme="minorHAnsi"/>
        </w:rPr>
        <w:t xml:space="preserve">the position at common law is that </w:t>
      </w:r>
      <w:r>
        <w:rPr>
          <w:rFonts w:asciiTheme="minorHAnsi" w:hAnsiTheme="minorHAnsi"/>
        </w:rPr>
        <w:t>it can only be established by admissible evidence.</w:t>
      </w:r>
      <w:r w:rsidRPr="00C00000">
        <w:rPr>
          <w:rStyle w:val="Style"/>
          <w:rFonts w:asciiTheme="minorHAnsi" w:hAnsiTheme="minorHAnsi"/>
        </w:rPr>
        <w:footnoteReference w:id="971"/>
      </w:r>
      <w:r>
        <w:rPr>
          <w:rFonts w:asciiTheme="minorHAnsi" w:hAnsiTheme="minorHAnsi"/>
        </w:rPr>
        <w:t xml:space="preserve">  Therefore if an assertion or evidence is put forward by the offender which the prosecution wishes to contest or put in issue, the prosecutor has a responsibility to object to it.  A common example is hearsay evidence relating to the offender</w:t>
      </w:r>
      <w:r w:rsidR="00AA693C">
        <w:rPr>
          <w:rFonts w:asciiTheme="minorHAnsi" w:hAnsiTheme="minorHAnsi"/>
        </w:rPr>
        <w:t>’</w:t>
      </w:r>
      <w:r>
        <w:rPr>
          <w:rFonts w:asciiTheme="minorHAnsi" w:hAnsiTheme="minorHAnsi"/>
        </w:rPr>
        <w:t>s state of mind on a matter of significance</w:t>
      </w:r>
      <w:r w:rsidRPr="00C00000">
        <w:rPr>
          <w:rStyle w:val="Style"/>
          <w:rFonts w:asciiTheme="minorHAnsi" w:hAnsiTheme="minorHAnsi"/>
        </w:rPr>
        <w:footnoteReference w:id="972"/>
      </w:r>
      <w:r>
        <w:rPr>
          <w:rFonts w:asciiTheme="minorHAnsi" w:hAnsiTheme="minorHAnsi"/>
        </w:rPr>
        <w:t xml:space="preserve"> that the prosecution does not concede, when the offender has not given, and will not give, evidence.  If the offender seeks to put forward such material, in relation to a matter that is disputed or not conceded by the prosecution, the prosecutor should object to its reception.  </w:t>
      </w:r>
      <w:r w:rsidR="006D222F">
        <w:rPr>
          <w:rFonts w:asciiTheme="minorHAnsi" w:hAnsiTheme="minorHAnsi"/>
        </w:rPr>
        <w:t>Similarly if a self-serving statement by an offender (whether in the form of a letter to the court, a statement or an affidavit) on a matter in issue is sought to be tendered on a plea hearing, the prosecutor should object to its reception, in the absence of viva voce evidence by the offender; or if it is received should seek to cross-examine the offender (at least if the evidence is in the form of an affidavit).</w:t>
      </w:r>
      <w:r w:rsidR="006D222F" w:rsidRPr="00C00000">
        <w:rPr>
          <w:rStyle w:val="Style"/>
          <w:rFonts w:asciiTheme="minorHAnsi" w:hAnsiTheme="minorHAnsi"/>
        </w:rPr>
        <w:footnoteReference w:id="973"/>
      </w:r>
      <w:r w:rsidR="006D222F">
        <w:rPr>
          <w:rFonts w:asciiTheme="minorHAnsi" w:hAnsiTheme="minorHAnsi"/>
        </w:rPr>
        <w:t xml:space="preserve">  In either circumstance (that is, whether hearsay or self-serving material is tendered), i</w:t>
      </w:r>
      <w:r w:rsidR="00B658A0">
        <w:rPr>
          <w:rFonts w:asciiTheme="minorHAnsi" w:hAnsiTheme="minorHAnsi"/>
        </w:rPr>
        <w:t>f</w:t>
      </w:r>
      <w:r w:rsidR="006D222F">
        <w:rPr>
          <w:rFonts w:asciiTheme="minorHAnsi" w:hAnsiTheme="minorHAnsi"/>
        </w:rPr>
        <w:t xml:space="preserve"> the material</w:t>
      </w:r>
      <w:r w:rsidR="002E5C71">
        <w:rPr>
          <w:rFonts w:asciiTheme="minorHAnsi" w:hAnsiTheme="minorHAnsi"/>
        </w:rPr>
        <w:t xml:space="preserve"> </w:t>
      </w:r>
      <w:r>
        <w:rPr>
          <w:rFonts w:asciiTheme="minorHAnsi" w:hAnsiTheme="minorHAnsi"/>
        </w:rPr>
        <w:t>is received</w:t>
      </w:r>
      <w:r w:rsidR="006D222F">
        <w:rPr>
          <w:rFonts w:asciiTheme="minorHAnsi" w:hAnsiTheme="minorHAnsi"/>
        </w:rPr>
        <w:t xml:space="preserve"> in evidence</w:t>
      </w:r>
      <w:r>
        <w:rPr>
          <w:rFonts w:asciiTheme="minorHAnsi" w:hAnsiTheme="minorHAnsi"/>
        </w:rPr>
        <w:t xml:space="preserve">, </w:t>
      </w:r>
      <w:r w:rsidR="006D222F">
        <w:rPr>
          <w:rFonts w:asciiTheme="minorHAnsi" w:hAnsiTheme="minorHAnsi"/>
        </w:rPr>
        <w:t xml:space="preserve">and the offender is not called to give evidence, </w:t>
      </w:r>
      <w:r>
        <w:rPr>
          <w:rFonts w:asciiTheme="minorHAnsi" w:hAnsiTheme="minorHAnsi"/>
        </w:rPr>
        <w:t>the prosecutor should make clear that the matter is not conceded, and should contend (if appropriate) that no weight should be given to the material</w:t>
      </w:r>
      <w:r w:rsidR="005C1782">
        <w:rPr>
          <w:rFonts w:asciiTheme="minorHAnsi" w:hAnsiTheme="minorHAnsi"/>
        </w:rPr>
        <w:t xml:space="preserve"> in the absence of evidence by the offender from the witness box</w:t>
      </w:r>
      <w:r w:rsidR="002E5C71">
        <w:rPr>
          <w:rFonts w:asciiTheme="minorHAnsi" w:hAnsiTheme="minorHAnsi"/>
        </w:rPr>
        <w:t>.</w:t>
      </w:r>
      <w:r w:rsidR="002E5C71" w:rsidRPr="00C00000">
        <w:rPr>
          <w:rStyle w:val="Style"/>
          <w:rFonts w:asciiTheme="minorHAnsi" w:hAnsiTheme="minorHAnsi"/>
        </w:rPr>
        <w:footnoteReference w:id="974"/>
      </w:r>
    </w:p>
    <w:p w14:paraId="29574595" w14:textId="77777777" w:rsidR="00CB662A" w:rsidRDefault="00CB662A" w:rsidP="00EB7F1E">
      <w:pPr>
        <w:pStyle w:val="Default"/>
        <w:spacing w:line="276" w:lineRule="auto"/>
        <w:ind w:right="170"/>
        <w:jc w:val="both"/>
        <w:rPr>
          <w:rFonts w:asciiTheme="minorHAnsi" w:hAnsiTheme="minorHAnsi" w:cs="Times New Roman"/>
          <w:color w:val="auto"/>
          <w:sz w:val="22"/>
          <w:szCs w:val="20"/>
        </w:rPr>
      </w:pPr>
    </w:p>
    <w:p w14:paraId="3EF17381" w14:textId="77777777" w:rsidR="00CD24F7" w:rsidRPr="005C2C09" w:rsidRDefault="00CD24F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prosecution should make any submissions necessary to assist the court in fact-finding.</w:t>
      </w:r>
      <w:r w:rsidRPr="00C00000">
        <w:rPr>
          <w:rStyle w:val="Style"/>
          <w:rFonts w:asciiTheme="minorHAnsi" w:hAnsiTheme="minorHAnsi"/>
        </w:rPr>
        <w:footnoteReference w:id="975"/>
      </w:r>
      <w:r>
        <w:rPr>
          <w:rFonts w:asciiTheme="minorHAnsi" w:hAnsiTheme="minorHAnsi"/>
        </w:rPr>
        <w:t xml:space="preserve">  This may include identifying which facts are agreed or undisputed and which asserted facts are contested or not conceded.  In relation to the latter, the prosecution should assist the court by identifying the evidence relevant to those facts, and by making clear and cogent submissions about what factual findings should or should not be made, and about</w:t>
      </w:r>
      <w:r w:rsidRPr="00195B4D">
        <w:rPr>
          <w:rFonts w:asciiTheme="minorHAnsi" w:hAnsiTheme="minorHAnsi"/>
        </w:rPr>
        <w:t xml:space="preserve"> </w:t>
      </w:r>
      <w:r>
        <w:rPr>
          <w:rFonts w:asciiTheme="minorHAnsi" w:hAnsiTheme="minorHAnsi"/>
        </w:rPr>
        <w:t>whether (and if so how) the asserted facts are or are not relevant or significant.</w:t>
      </w:r>
    </w:p>
    <w:p w14:paraId="4FE8E3CB" w14:textId="77777777" w:rsidR="00CD24F7" w:rsidRDefault="00CD24F7" w:rsidP="00CD24F7">
      <w:pPr>
        <w:pStyle w:val="ListParagraph"/>
        <w:rPr>
          <w:rFonts w:asciiTheme="minorHAnsi" w:hAnsiTheme="minorHAnsi"/>
        </w:rPr>
      </w:pPr>
    </w:p>
    <w:p w14:paraId="64BA8DC2" w14:textId="56D14F83" w:rsidR="00322E06" w:rsidRDefault="00322E06" w:rsidP="00EB7F1E">
      <w:pPr>
        <w:pStyle w:val="ListParagraph"/>
        <w:numPr>
          <w:ilvl w:val="0"/>
          <w:numId w:val="7"/>
        </w:numPr>
        <w:spacing w:line="276" w:lineRule="auto"/>
        <w:ind w:left="425" w:hanging="425"/>
        <w:contextualSpacing w:val="0"/>
        <w:rPr>
          <w:rFonts w:asciiTheme="minorHAnsi" w:hAnsiTheme="minorHAnsi"/>
        </w:rPr>
      </w:pPr>
      <w:r w:rsidRPr="005C2C09">
        <w:rPr>
          <w:rFonts w:asciiTheme="minorHAnsi" w:hAnsiTheme="minorHAnsi"/>
          <w:b/>
        </w:rPr>
        <w:t>Submissions</w:t>
      </w:r>
      <w:r w:rsidR="008514D3">
        <w:rPr>
          <w:rFonts w:asciiTheme="minorHAnsi" w:hAnsiTheme="minorHAnsi"/>
          <w:b/>
        </w:rPr>
        <w:t xml:space="preserve"> generally</w:t>
      </w:r>
      <w:r w:rsidRPr="005C2C09">
        <w:rPr>
          <w:rFonts w:asciiTheme="minorHAnsi" w:hAnsiTheme="minorHAnsi"/>
          <w:b/>
        </w:rPr>
        <w:t>:</w:t>
      </w:r>
      <w:r w:rsidRPr="005C2C09">
        <w:rPr>
          <w:rFonts w:asciiTheme="minorHAnsi" w:hAnsiTheme="minorHAnsi"/>
        </w:rPr>
        <w:t xml:space="preserve">  The Crown has a duty to assist the sentencing judge to avoid appealable error.</w:t>
      </w:r>
      <w:r w:rsidRPr="00C00000">
        <w:rPr>
          <w:rStyle w:val="Style"/>
          <w:rFonts w:asciiTheme="minorHAnsi" w:hAnsiTheme="minorHAnsi"/>
        </w:rPr>
        <w:footnoteReference w:id="976"/>
      </w:r>
      <w:r w:rsidRPr="005C2C09">
        <w:rPr>
          <w:rFonts w:asciiTheme="minorHAnsi" w:hAnsiTheme="minorHAnsi"/>
        </w:rPr>
        <w:t xml:space="preserve"> </w:t>
      </w:r>
      <w:r>
        <w:rPr>
          <w:rFonts w:asciiTheme="minorHAnsi" w:hAnsiTheme="minorHAnsi"/>
        </w:rPr>
        <w:t xml:space="preserve"> Errors which may cause the sentencing discretion to miscarry include </w:t>
      </w:r>
      <w:r w:rsidRPr="00211E25">
        <w:rPr>
          <w:rFonts w:asciiTheme="minorHAnsi" w:hAnsiTheme="minorHAnsi"/>
        </w:rPr>
        <w:t>act</w:t>
      </w:r>
      <w:r>
        <w:rPr>
          <w:rFonts w:asciiTheme="minorHAnsi" w:hAnsiTheme="minorHAnsi"/>
        </w:rPr>
        <w:t>ing</w:t>
      </w:r>
      <w:r w:rsidRPr="00211E25">
        <w:rPr>
          <w:rFonts w:asciiTheme="minorHAnsi" w:hAnsiTheme="minorHAnsi"/>
        </w:rPr>
        <w:t xml:space="preserve"> upon a wrong principle, mistak</w:t>
      </w:r>
      <w:r>
        <w:rPr>
          <w:rFonts w:asciiTheme="minorHAnsi" w:hAnsiTheme="minorHAnsi"/>
        </w:rPr>
        <w:t>ing</w:t>
      </w:r>
      <w:r w:rsidRPr="00211E25">
        <w:rPr>
          <w:rFonts w:asciiTheme="minorHAnsi" w:hAnsiTheme="minorHAnsi"/>
        </w:rPr>
        <w:t xml:space="preserve"> the facts, </w:t>
      </w:r>
      <w:r>
        <w:rPr>
          <w:rFonts w:asciiTheme="minorHAnsi" w:hAnsiTheme="minorHAnsi"/>
        </w:rPr>
        <w:t xml:space="preserve">failing to </w:t>
      </w:r>
      <w:r w:rsidRPr="00211E25">
        <w:rPr>
          <w:rFonts w:asciiTheme="minorHAnsi" w:hAnsiTheme="minorHAnsi"/>
        </w:rPr>
        <w:t xml:space="preserve">take into account some material consideration or </w:t>
      </w:r>
      <w:r>
        <w:rPr>
          <w:rFonts w:asciiTheme="minorHAnsi" w:hAnsiTheme="minorHAnsi"/>
        </w:rPr>
        <w:t xml:space="preserve">being guided or affected by </w:t>
      </w:r>
      <w:r w:rsidRPr="00211E25">
        <w:rPr>
          <w:rFonts w:asciiTheme="minorHAnsi" w:hAnsiTheme="minorHAnsi"/>
        </w:rPr>
        <w:t>extraneous or irrelevant matters</w:t>
      </w:r>
      <w:r>
        <w:rPr>
          <w:rFonts w:asciiTheme="minorHAnsi" w:hAnsiTheme="minorHAnsi"/>
        </w:rPr>
        <w:t>.</w:t>
      </w:r>
      <w:r w:rsidRPr="00C00000">
        <w:rPr>
          <w:rStyle w:val="Style"/>
          <w:rFonts w:asciiTheme="minorHAnsi" w:hAnsiTheme="minorHAnsi"/>
        </w:rPr>
        <w:footnoteReference w:id="977"/>
      </w:r>
      <w:r>
        <w:rPr>
          <w:rFonts w:asciiTheme="minorHAnsi" w:hAnsiTheme="minorHAnsi"/>
        </w:rPr>
        <w:t xml:space="preserve">  The breadth of the range of errors which may cause the sentencing discretion to miscarry provides guidance as to the nature of the assistance which the prosecution must give the court.</w:t>
      </w:r>
    </w:p>
    <w:p w14:paraId="63DD26E3" w14:textId="77777777" w:rsidR="00322E06" w:rsidRDefault="00322E06" w:rsidP="00322E06">
      <w:pPr>
        <w:pStyle w:val="ListParagraph"/>
        <w:rPr>
          <w:rFonts w:asciiTheme="minorHAnsi" w:hAnsiTheme="minorHAnsi"/>
        </w:rPr>
      </w:pPr>
    </w:p>
    <w:p w14:paraId="3629C362" w14:textId="227E3554" w:rsidR="00322E06" w:rsidRDefault="00322E0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prosecutor must </w:t>
      </w:r>
      <w:r w:rsidRPr="005C2C09">
        <w:rPr>
          <w:rFonts w:asciiTheme="minorHAnsi" w:hAnsiTheme="minorHAnsi"/>
        </w:rPr>
        <w:t>mak</w:t>
      </w:r>
      <w:r>
        <w:rPr>
          <w:rFonts w:asciiTheme="minorHAnsi" w:hAnsiTheme="minorHAnsi"/>
        </w:rPr>
        <w:t>e</w:t>
      </w:r>
      <w:r w:rsidRPr="005C2C09">
        <w:rPr>
          <w:rFonts w:asciiTheme="minorHAnsi" w:hAnsiTheme="minorHAnsi"/>
        </w:rPr>
        <w:t xml:space="preserve"> appropriate submissions on relevant questions of law, including statutorily prescribed maximum penalties</w:t>
      </w:r>
      <w:r w:rsidRPr="00C00000">
        <w:rPr>
          <w:rStyle w:val="Style"/>
          <w:rFonts w:asciiTheme="minorHAnsi" w:hAnsiTheme="minorHAnsi"/>
        </w:rPr>
        <w:footnoteReference w:id="978"/>
      </w:r>
      <w:r w:rsidRPr="005C2C09">
        <w:rPr>
          <w:rFonts w:asciiTheme="minorHAnsi" w:hAnsiTheme="minorHAnsi"/>
        </w:rPr>
        <w:t xml:space="preserve"> </w:t>
      </w:r>
      <w:r>
        <w:rPr>
          <w:rFonts w:asciiTheme="minorHAnsi" w:hAnsiTheme="minorHAnsi"/>
        </w:rPr>
        <w:t>or minimum penalties,</w:t>
      </w:r>
      <w:r w:rsidRPr="00C00000">
        <w:rPr>
          <w:rStyle w:val="Style"/>
          <w:rFonts w:asciiTheme="minorHAnsi" w:hAnsiTheme="minorHAnsi"/>
        </w:rPr>
        <w:footnoteReference w:id="979"/>
      </w:r>
      <w:r>
        <w:rPr>
          <w:rFonts w:asciiTheme="minorHAnsi" w:hAnsiTheme="minorHAnsi"/>
        </w:rPr>
        <w:t xml:space="preserve"> </w:t>
      </w:r>
      <w:r w:rsidRPr="005C2C09">
        <w:rPr>
          <w:rFonts w:asciiTheme="minorHAnsi" w:hAnsiTheme="minorHAnsi"/>
        </w:rPr>
        <w:t xml:space="preserve">and </w:t>
      </w:r>
      <w:r w:rsidR="004A0C2D" w:rsidRPr="004A0C2D">
        <w:rPr>
          <w:rFonts w:asciiTheme="minorHAnsi" w:hAnsiTheme="minorHAnsi"/>
        </w:rPr>
        <w:t>by an appropriate reference to any</w:t>
      </w:r>
      <w:r w:rsidR="0044423D">
        <w:rPr>
          <w:rFonts w:asciiTheme="minorHAnsi" w:hAnsiTheme="minorHAnsi"/>
        </w:rPr>
        <w:t xml:space="preserve"> legislation</w:t>
      </w:r>
      <w:bookmarkStart w:id="2650" w:name="_Hlk509241786"/>
      <w:r w:rsidR="0044423D" w:rsidRPr="00C00000">
        <w:rPr>
          <w:rStyle w:val="Style"/>
          <w:rFonts w:asciiTheme="minorHAnsi" w:hAnsiTheme="minorHAnsi"/>
        </w:rPr>
        <w:footnoteReference w:id="980"/>
      </w:r>
      <w:bookmarkEnd w:id="2650"/>
      <w:r w:rsidR="0044423D">
        <w:rPr>
          <w:rFonts w:asciiTheme="minorHAnsi" w:hAnsiTheme="minorHAnsi"/>
        </w:rPr>
        <w:t xml:space="preserve"> or </w:t>
      </w:r>
      <w:r w:rsidR="004A0C2D" w:rsidRPr="004A0C2D">
        <w:rPr>
          <w:rFonts w:asciiTheme="minorHAnsi" w:hAnsiTheme="minorHAnsi"/>
        </w:rPr>
        <w:t>special principles of sentencing which might reasonably be thought to be relevant to the case in hand</w:t>
      </w:r>
      <w:r w:rsidRPr="00C00000">
        <w:rPr>
          <w:rStyle w:val="Style"/>
          <w:rFonts w:asciiTheme="minorHAnsi" w:hAnsiTheme="minorHAnsi"/>
        </w:rPr>
        <w:footnoteReference w:id="981"/>
      </w:r>
      <w:r w:rsidRPr="005C2C09">
        <w:rPr>
          <w:rFonts w:asciiTheme="minorHAnsi" w:hAnsiTheme="minorHAnsi"/>
        </w:rPr>
        <w:t xml:space="preserve"> </w:t>
      </w:r>
      <w:r>
        <w:rPr>
          <w:rFonts w:asciiTheme="minorHAnsi" w:hAnsiTheme="minorHAnsi"/>
        </w:rPr>
        <w:t xml:space="preserve">(except </w:t>
      </w:r>
      <w:r w:rsidRPr="005C2C09">
        <w:rPr>
          <w:rFonts w:asciiTheme="minorHAnsi" w:hAnsiTheme="minorHAnsi"/>
        </w:rPr>
        <w:t xml:space="preserve">to the extent that the </w:t>
      </w:r>
      <w:r w:rsidR="0044423D">
        <w:rPr>
          <w:rFonts w:asciiTheme="minorHAnsi" w:hAnsiTheme="minorHAnsi"/>
        </w:rPr>
        <w:t xml:space="preserve">legislation or </w:t>
      </w:r>
      <w:r w:rsidRPr="005C2C09">
        <w:rPr>
          <w:rFonts w:asciiTheme="minorHAnsi" w:hAnsiTheme="minorHAnsi"/>
        </w:rPr>
        <w:t>principles are trite</w:t>
      </w:r>
      <w:r w:rsidRPr="00C00000">
        <w:rPr>
          <w:rStyle w:val="Style"/>
          <w:rFonts w:asciiTheme="minorHAnsi" w:hAnsiTheme="minorHAnsi"/>
        </w:rPr>
        <w:footnoteReference w:id="982"/>
      </w:r>
      <w:r w:rsidR="0044423D">
        <w:rPr>
          <w:rFonts w:asciiTheme="minorHAnsi" w:hAnsiTheme="minorHAnsi"/>
        </w:rPr>
        <w:t xml:space="preserve"> or well-known to the sentencing judge</w:t>
      </w:r>
      <w:r w:rsidR="0044423D" w:rsidRPr="00C00000">
        <w:rPr>
          <w:rStyle w:val="Style"/>
          <w:rFonts w:asciiTheme="minorHAnsi" w:hAnsiTheme="minorHAnsi"/>
        </w:rPr>
        <w:footnoteReference w:id="983"/>
      </w:r>
      <w:r>
        <w:rPr>
          <w:rFonts w:asciiTheme="minorHAnsi" w:hAnsiTheme="minorHAnsi"/>
        </w:rPr>
        <w:t>).</w:t>
      </w:r>
    </w:p>
    <w:p w14:paraId="7B39562C" w14:textId="77777777" w:rsidR="00322E06" w:rsidRDefault="00322E06" w:rsidP="00322E06">
      <w:pPr>
        <w:pStyle w:val="ListParagraph"/>
        <w:rPr>
          <w:rFonts w:asciiTheme="minorHAnsi" w:hAnsiTheme="minorHAnsi"/>
        </w:rPr>
      </w:pPr>
    </w:p>
    <w:p w14:paraId="16ADBBA4" w14:textId="57C5DBFC" w:rsidR="00322E06" w:rsidRPr="00C851EB" w:rsidRDefault="008514D3" w:rsidP="00EB7F1E">
      <w:pPr>
        <w:pStyle w:val="ListParagraph"/>
        <w:numPr>
          <w:ilvl w:val="0"/>
          <w:numId w:val="7"/>
        </w:numPr>
        <w:spacing w:line="276" w:lineRule="auto"/>
        <w:ind w:left="425" w:hanging="425"/>
        <w:contextualSpacing w:val="0"/>
        <w:rPr>
          <w:rFonts w:asciiTheme="minorHAnsi" w:hAnsiTheme="minorHAnsi"/>
        </w:rPr>
      </w:pPr>
      <w:r w:rsidRPr="008514D3">
        <w:rPr>
          <w:rFonts w:asciiTheme="minorHAnsi" w:hAnsiTheme="minorHAnsi"/>
          <w:b/>
        </w:rPr>
        <w:t>Comparable cases:</w:t>
      </w:r>
      <w:r>
        <w:rPr>
          <w:rFonts w:asciiTheme="minorHAnsi" w:hAnsiTheme="minorHAnsi"/>
        </w:rPr>
        <w:t xml:space="preserve">  </w:t>
      </w:r>
      <w:r w:rsidR="0053374A">
        <w:rPr>
          <w:rFonts w:asciiTheme="minorHAnsi" w:hAnsiTheme="minorHAnsi"/>
        </w:rPr>
        <w:t xml:space="preserve">The prosecution must assist the court </w:t>
      </w:r>
      <w:r w:rsidR="005B0D79">
        <w:rPr>
          <w:rFonts w:asciiTheme="minorHAnsi" w:hAnsiTheme="minorHAnsi"/>
        </w:rPr>
        <w:t>to</w:t>
      </w:r>
      <w:r w:rsidR="0053374A">
        <w:rPr>
          <w:rFonts w:asciiTheme="minorHAnsi" w:hAnsiTheme="minorHAnsi"/>
        </w:rPr>
        <w:t xml:space="preserve"> fulfil its duty to give proper consideration to previous sentencing decisions.</w:t>
      </w:r>
      <w:r w:rsidR="0053374A" w:rsidRPr="00C00000">
        <w:rPr>
          <w:rStyle w:val="Style"/>
          <w:rFonts w:asciiTheme="minorHAnsi" w:hAnsiTheme="minorHAnsi"/>
        </w:rPr>
        <w:footnoteReference w:id="984"/>
      </w:r>
      <w:r w:rsidR="0053374A">
        <w:rPr>
          <w:rFonts w:asciiTheme="minorHAnsi" w:hAnsiTheme="minorHAnsi"/>
        </w:rPr>
        <w:t xml:space="preserve">  </w:t>
      </w:r>
      <w:r w:rsidR="00C355FC">
        <w:rPr>
          <w:rFonts w:asciiTheme="minorHAnsi" w:hAnsiTheme="minorHAnsi"/>
        </w:rPr>
        <w:t xml:space="preserve">A </w:t>
      </w:r>
      <w:r w:rsidR="008D21BF">
        <w:rPr>
          <w:rFonts w:asciiTheme="minorHAnsi" w:hAnsiTheme="minorHAnsi"/>
        </w:rPr>
        <w:t xml:space="preserve">court </w:t>
      </w:r>
      <w:r w:rsidR="00C355FC">
        <w:rPr>
          <w:rFonts w:asciiTheme="minorHAnsi" w:hAnsiTheme="minorHAnsi"/>
        </w:rPr>
        <w:t xml:space="preserve">sentencing </w:t>
      </w:r>
      <w:r w:rsidR="008D21BF">
        <w:rPr>
          <w:rFonts w:asciiTheme="minorHAnsi" w:hAnsiTheme="minorHAnsi"/>
        </w:rPr>
        <w:t xml:space="preserve">a federal offender </w:t>
      </w:r>
      <w:r w:rsidR="00C355FC">
        <w:rPr>
          <w:rFonts w:asciiTheme="minorHAnsi" w:hAnsiTheme="minorHAnsi"/>
        </w:rPr>
        <w:t xml:space="preserve">has a </w:t>
      </w:r>
      <w:r w:rsidR="003939E7">
        <w:rPr>
          <w:rFonts w:asciiTheme="minorHAnsi" w:hAnsiTheme="minorHAnsi"/>
        </w:rPr>
        <w:t>duty “</w:t>
      </w:r>
      <w:r w:rsidR="003939E7" w:rsidRPr="003939E7">
        <w:rPr>
          <w:rFonts w:asciiTheme="minorHAnsi" w:hAnsiTheme="minorHAnsi"/>
          <w:i/>
        </w:rPr>
        <w:t>to have regard to what has been done in comparable cases throughout the Commonwealth</w:t>
      </w:r>
      <w:r w:rsidR="003939E7">
        <w:rPr>
          <w:rFonts w:asciiTheme="minorHAnsi" w:hAnsiTheme="minorHAnsi"/>
        </w:rPr>
        <w:t>”.</w:t>
      </w:r>
      <w:r w:rsidR="003939E7" w:rsidRPr="00C00000">
        <w:rPr>
          <w:rStyle w:val="Style"/>
          <w:rFonts w:asciiTheme="minorHAnsi" w:hAnsiTheme="minorHAnsi"/>
        </w:rPr>
        <w:footnoteReference w:id="985"/>
      </w:r>
      <w:r w:rsidR="003939E7">
        <w:rPr>
          <w:rFonts w:asciiTheme="minorHAnsi" w:hAnsiTheme="minorHAnsi"/>
        </w:rPr>
        <w:t xml:space="preserve">  </w:t>
      </w:r>
      <w:r w:rsidR="00D9581F" w:rsidRPr="002E5C01">
        <w:rPr>
          <w:rFonts w:asciiTheme="minorHAnsi" w:hAnsiTheme="minorHAnsi"/>
          <w:szCs w:val="22"/>
        </w:rPr>
        <w:t xml:space="preserve">Consistency in sentencing for federal offenders is achieved through the work of the </w:t>
      </w:r>
      <w:r w:rsidR="00D9581F" w:rsidRPr="002E5C01">
        <w:rPr>
          <w:rFonts w:asciiTheme="minorHAnsi" w:hAnsiTheme="minorHAnsi"/>
          <w:szCs w:val="22"/>
          <w:u w:val="single"/>
        </w:rPr>
        <w:t>intermediate appellate courts</w:t>
      </w:r>
      <w:r w:rsidR="00D9581F" w:rsidRPr="002E5C01">
        <w:rPr>
          <w:rFonts w:asciiTheme="minorHAnsi" w:hAnsiTheme="minorHAnsi"/>
          <w:szCs w:val="22"/>
        </w:rPr>
        <w:t xml:space="preserve"> (ie not first instance decisions)</w:t>
      </w:r>
      <w:r w:rsidR="00DB327D" w:rsidRPr="002E5C01">
        <w:rPr>
          <w:rFonts w:asciiTheme="minorHAnsi" w:hAnsiTheme="minorHAnsi"/>
          <w:szCs w:val="22"/>
        </w:rPr>
        <w:t>.</w:t>
      </w:r>
      <w:r w:rsidR="00DB327D" w:rsidRPr="00D9743D">
        <w:rPr>
          <w:rStyle w:val="Style"/>
          <w:rFonts w:asciiTheme="minorHAnsi" w:hAnsiTheme="minorHAnsi"/>
          <w:szCs w:val="16"/>
        </w:rPr>
        <w:footnoteReference w:id="986"/>
      </w:r>
      <w:r w:rsidR="00DB327D" w:rsidRPr="004F2343">
        <w:rPr>
          <w:rFonts w:ascii="Calibri" w:hAnsi="Calibri"/>
          <w:sz w:val="16"/>
          <w:szCs w:val="16"/>
        </w:rPr>
        <w:t xml:space="preserve"> </w:t>
      </w:r>
      <w:r w:rsidR="00DB327D" w:rsidRPr="004F2343">
        <w:rPr>
          <w:rFonts w:ascii="Calibri" w:hAnsi="Calibri"/>
          <w:szCs w:val="22"/>
        </w:rPr>
        <w:t xml:space="preserve"> </w:t>
      </w:r>
      <w:r w:rsidR="003B264C" w:rsidRPr="00EB7F1E">
        <w:rPr>
          <w:rFonts w:asciiTheme="minorHAnsi" w:hAnsiTheme="minorHAnsi" w:cstheme="minorHAnsi"/>
          <w:szCs w:val="22"/>
        </w:rPr>
        <w:t xml:space="preserve">Reference to comparable cases </w:t>
      </w:r>
      <w:r w:rsidR="00950A5A" w:rsidRPr="00EB7F1E">
        <w:rPr>
          <w:rFonts w:asciiTheme="minorHAnsi" w:hAnsiTheme="minorHAnsi" w:cstheme="minorHAnsi"/>
          <w:szCs w:val="22"/>
        </w:rPr>
        <w:t xml:space="preserve">has two purposes.  First, it </w:t>
      </w:r>
      <w:r w:rsidR="003B264C" w:rsidRPr="00EB7F1E">
        <w:rPr>
          <w:rFonts w:asciiTheme="minorHAnsi" w:hAnsiTheme="minorHAnsi" w:cstheme="minorHAnsi"/>
          <w:szCs w:val="22"/>
        </w:rPr>
        <w:t>“</w:t>
      </w:r>
      <w:r w:rsidR="003B264C" w:rsidRPr="00EB7F1E">
        <w:rPr>
          <w:rFonts w:asciiTheme="minorHAnsi" w:hAnsiTheme="minorHAnsi" w:cstheme="minorHAnsi"/>
          <w:i/>
          <w:szCs w:val="22"/>
        </w:rPr>
        <w:t>can and should provide guidance as to the identification and application of relevant sentencing principles</w:t>
      </w:r>
      <w:r w:rsidR="003B264C" w:rsidRPr="00EB7F1E">
        <w:rPr>
          <w:rFonts w:asciiTheme="minorHAnsi" w:hAnsiTheme="minorHAnsi" w:cstheme="minorHAnsi"/>
          <w:szCs w:val="22"/>
        </w:rPr>
        <w:t>”</w:t>
      </w:r>
      <w:r w:rsidR="00950A5A" w:rsidRPr="00EB7F1E">
        <w:rPr>
          <w:rFonts w:asciiTheme="minorHAnsi" w:hAnsiTheme="minorHAnsi" w:cstheme="minorHAnsi"/>
          <w:szCs w:val="22"/>
        </w:rPr>
        <w:t>.</w:t>
      </w:r>
      <w:r w:rsidR="00950A5A" w:rsidRPr="00F03B8B">
        <w:rPr>
          <w:rStyle w:val="Style"/>
          <w:rFonts w:asciiTheme="minorHAnsi" w:hAnsiTheme="minorHAnsi" w:cstheme="minorHAnsi"/>
        </w:rPr>
        <w:footnoteReference w:id="987"/>
      </w:r>
      <w:r w:rsidR="003B264C" w:rsidRPr="00AD1003">
        <w:rPr>
          <w:rFonts w:asciiTheme="minorHAnsi" w:hAnsiTheme="minorHAnsi" w:cstheme="minorHAnsi"/>
          <w:szCs w:val="22"/>
        </w:rPr>
        <w:t xml:space="preserve"> </w:t>
      </w:r>
      <w:r w:rsidR="00950A5A" w:rsidRPr="00EB7F1E">
        <w:rPr>
          <w:rFonts w:asciiTheme="minorHAnsi" w:hAnsiTheme="minorHAnsi" w:cstheme="minorHAnsi"/>
          <w:szCs w:val="22"/>
        </w:rPr>
        <w:t xml:space="preserve"> Second, it</w:t>
      </w:r>
      <w:r w:rsidR="003B264C" w:rsidRPr="00EB7F1E">
        <w:rPr>
          <w:rFonts w:asciiTheme="minorHAnsi" w:hAnsiTheme="minorHAnsi" w:cstheme="minorHAnsi"/>
          <w:szCs w:val="22"/>
        </w:rPr>
        <w:t xml:space="preserve"> “</w:t>
      </w:r>
      <w:r w:rsidR="003B264C" w:rsidRPr="00EB7F1E">
        <w:rPr>
          <w:rFonts w:asciiTheme="minorHAnsi" w:hAnsiTheme="minorHAnsi" w:cstheme="minorHAnsi"/>
          <w:i/>
          <w:szCs w:val="22"/>
        </w:rPr>
        <w:t>may yield discernible sentencing patterns and possibly a range of sentences against which to examine a proposed … sentence</w:t>
      </w:r>
      <w:r w:rsidR="003B264C" w:rsidRPr="00EB7F1E">
        <w:rPr>
          <w:rFonts w:asciiTheme="minorHAnsi" w:hAnsiTheme="minorHAnsi" w:cstheme="minorHAnsi"/>
          <w:szCs w:val="22"/>
        </w:rPr>
        <w:t>”</w:t>
      </w:r>
      <w:r w:rsidR="00553ABA" w:rsidRPr="00EB7F1E">
        <w:rPr>
          <w:rFonts w:asciiTheme="minorHAnsi" w:hAnsiTheme="minorHAnsi" w:cstheme="minorHAnsi"/>
          <w:szCs w:val="22"/>
        </w:rPr>
        <w:t>;</w:t>
      </w:r>
      <w:r w:rsidR="003B264C" w:rsidRPr="00F03B8B">
        <w:rPr>
          <w:rStyle w:val="Style"/>
          <w:rFonts w:asciiTheme="minorHAnsi" w:hAnsiTheme="minorHAnsi" w:cstheme="minorHAnsi"/>
        </w:rPr>
        <w:footnoteReference w:id="988"/>
      </w:r>
      <w:r w:rsidR="003B264C" w:rsidRPr="00EB7F1E">
        <w:rPr>
          <w:rFonts w:asciiTheme="minorHAnsi" w:hAnsiTheme="minorHAnsi" w:cstheme="minorHAnsi"/>
          <w:szCs w:val="22"/>
        </w:rPr>
        <w:t xml:space="preserve"> </w:t>
      </w:r>
      <w:r w:rsidR="00553ABA" w:rsidRPr="00EB7F1E">
        <w:rPr>
          <w:rFonts w:asciiTheme="minorHAnsi" w:hAnsiTheme="minorHAnsi" w:cstheme="minorHAnsi"/>
          <w:szCs w:val="22"/>
        </w:rPr>
        <w:t>that is, examination of comparable cases may</w:t>
      </w:r>
      <w:r w:rsidR="003B264C" w:rsidRPr="00EB7F1E">
        <w:rPr>
          <w:rFonts w:asciiTheme="minorHAnsi" w:hAnsiTheme="minorHAnsi" w:cstheme="minorHAnsi"/>
          <w:szCs w:val="22"/>
        </w:rPr>
        <w:t xml:space="preserve"> </w:t>
      </w:r>
      <w:r w:rsidR="00553ABA" w:rsidRPr="00EB7F1E">
        <w:rPr>
          <w:rFonts w:asciiTheme="minorHAnsi" w:hAnsiTheme="minorHAnsi" w:cstheme="minorHAnsi"/>
          <w:szCs w:val="22"/>
        </w:rPr>
        <w:t>provide</w:t>
      </w:r>
      <w:r w:rsidR="00AE6C3B" w:rsidRPr="00EB7F1E">
        <w:rPr>
          <w:rFonts w:asciiTheme="minorHAnsi" w:hAnsiTheme="minorHAnsi" w:cstheme="minorHAnsi"/>
          <w:szCs w:val="22"/>
        </w:rPr>
        <w:t xml:space="preserve"> a </w:t>
      </w:r>
      <w:r w:rsidR="00BB364E" w:rsidRPr="00EB7F1E">
        <w:rPr>
          <w:rFonts w:asciiTheme="minorHAnsi" w:hAnsiTheme="minorHAnsi" w:cstheme="minorHAnsi"/>
          <w:szCs w:val="22"/>
        </w:rPr>
        <w:t>“</w:t>
      </w:r>
      <w:r w:rsidR="00AE6C3B" w:rsidRPr="00EB7F1E">
        <w:rPr>
          <w:rFonts w:asciiTheme="minorHAnsi" w:hAnsiTheme="minorHAnsi" w:cstheme="minorHAnsi"/>
          <w:i/>
          <w:szCs w:val="22"/>
        </w:rPr>
        <w:t>yardstick</w:t>
      </w:r>
      <w:r w:rsidR="00BB364E" w:rsidRPr="00EB7F1E">
        <w:rPr>
          <w:rFonts w:asciiTheme="minorHAnsi" w:hAnsiTheme="minorHAnsi" w:cstheme="minorHAnsi"/>
          <w:szCs w:val="22"/>
        </w:rPr>
        <w:t>”</w:t>
      </w:r>
      <w:r w:rsidR="00AE6C3B" w:rsidRPr="00EB7F1E">
        <w:rPr>
          <w:rFonts w:asciiTheme="minorHAnsi" w:hAnsiTheme="minorHAnsi" w:cstheme="minorHAnsi"/>
          <w:szCs w:val="22"/>
        </w:rPr>
        <w:t>.</w:t>
      </w:r>
      <w:r w:rsidR="00BB364E" w:rsidRPr="00F03B8B">
        <w:rPr>
          <w:rStyle w:val="Style"/>
          <w:rFonts w:asciiTheme="minorHAnsi" w:hAnsiTheme="minorHAnsi" w:cstheme="minorHAnsi"/>
        </w:rPr>
        <w:footnoteReference w:id="989"/>
      </w:r>
      <w:r w:rsidR="00AE6C3B" w:rsidRPr="00EB7F1E">
        <w:rPr>
          <w:rFonts w:asciiTheme="minorHAnsi" w:hAnsiTheme="minorHAnsi" w:cstheme="minorHAnsi"/>
          <w:szCs w:val="22"/>
        </w:rPr>
        <w:t xml:space="preserve">  </w:t>
      </w:r>
      <w:r w:rsidR="003B264C" w:rsidRPr="00EB7F1E">
        <w:rPr>
          <w:rFonts w:asciiTheme="minorHAnsi" w:hAnsiTheme="minorHAnsi" w:cstheme="minorHAnsi"/>
          <w:szCs w:val="22"/>
        </w:rPr>
        <w:t xml:space="preserve">However sentences </w:t>
      </w:r>
      <w:r w:rsidR="001B0DB3" w:rsidRPr="00F03B8B">
        <w:rPr>
          <w:rFonts w:asciiTheme="minorHAnsi" w:hAnsiTheme="minorHAnsi" w:cstheme="minorHAnsi"/>
        </w:rPr>
        <w:t xml:space="preserve">are not </w:t>
      </w:r>
      <w:r w:rsidR="003B264C" w:rsidRPr="00AD1003">
        <w:rPr>
          <w:rFonts w:asciiTheme="minorHAnsi" w:hAnsiTheme="minorHAnsi" w:cstheme="minorHAnsi"/>
        </w:rPr>
        <w:t xml:space="preserve">binding </w:t>
      </w:r>
      <w:r w:rsidR="001B0DB3" w:rsidRPr="00EB7F1E">
        <w:rPr>
          <w:rFonts w:asciiTheme="minorHAnsi" w:hAnsiTheme="minorHAnsi" w:cstheme="minorHAnsi"/>
        </w:rPr>
        <w:t xml:space="preserve">precedents, </w:t>
      </w:r>
      <w:r w:rsidR="004D61D1" w:rsidRPr="00EB7F1E">
        <w:rPr>
          <w:rFonts w:asciiTheme="minorHAnsi" w:hAnsiTheme="minorHAnsi" w:cstheme="minorHAnsi"/>
        </w:rPr>
        <w:t xml:space="preserve">and </w:t>
      </w:r>
      <w:r w:rsidR="001B0DB3" w:rsidRPr="00EB7F1E">
        <w:rPr>
          <w:rFonts w:asciiTheme="minorHAnsi" w:hAnsiTheme="minorHAnsi" w:cstheme="minorHAnsi"/>
        </w:rPr>
        <w:t>do not necessarily disclose th</w:t>
      </w:r>
      <w:r w:rsidR="001B0DB3" w:rsidRPr="001B0DB3">
        <w:rPr>
          <w:rFonts w:asciiTheme="minorHAnsi" w:hAnsiTheme="minorHAnsi"/>
        </w:rPr>
        <w:t>e correct range or otherwise determine the upper and lower limits of sentencing discretion.</w:t>
      </w:r>
      <w:r w:rsidR="001B0DB3" w:rsidRPr="00C00000">
        <w:rPr>
          <w:rStyle w:val="Style"/>
          <w:rFonts w:asciiTheme="minorHAnsi" w:hAnsiTheme="minorHAnsi"/>
        </w:rPr>
        <w:footnoteReference w:id="990"/>
      </w:r>
      <w:r w:rsidR="001B0DB3" w:rsidRPr="003B61FF">
        <w:rPr>
          <w:rFonts w:ascii="Calibri" w:hAnsi="Calibri"/>
          <w:szCs w:val="22"/>
        </w:rPr>
        <w:t xml:space="preserve">  </w:t>
      </w:r>
      <w:r w:rsidR="0053374A">
        <w:rPr>
          <w:rFonts w:asciiTheme="minorHAnsi" w:hAnsiTheme="minorHAnsi"/>
          <w:szCs w:val="22"/>
        </w:rPr>
        <w:t>These principles must underlie prosecution references to comparable cases.</w:t>
      </w:r>
    </w:p>
    <w:p w14:paraId="05374CE8" w14:textId="77777777" w:rsidR="00C851EB" w:rsidRDefault="00C851EB" w:rsidP="00C851EB">
      <w:pPr>
        <w:pStyle w:val="ListParagraph"/>
        <w:rPr>
          <w:rFonts w:asciiTheme="minorHAnsi" w:hAnsiTheme="minorHAnsi"/>
        </w:rPr>
      </w:pPr>
    </w:p>
    <w:p w14:paraId="2B4DAA21" w14:textId="5C954603" w:rsidR="00362AE9" w:rsidRDefault="00D13DE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prosecution must ensure that the sentencing court is </w:t>
      </w:r>
      <w:r w:rsidR="00FF1D34">
        <w:rPr>
          <w:rFonts w:asciiTheme="minorHAnsi" w:hAnsiTheme="minorHAnsi"/>
        </w:rPr>
        <w:t>“</w:t>
      </w:r>
      <w:r w:rsidR="00FF1D34" w:rsidRPr="00FF1D34">
        <w:rPr>
          <w:rFonts w:asciiTheme="minorHAnsi" w:hAnsiTheme="minorHAnsi"/>
          <w:i/>
        </w:rPr>
        <w:t>properly informed</w:t>
      </w:r>
      <w:r w:rsidR="00FF1D34">
        <w:rPr>
          <w:rFonts w:asciiTheme="minorHAnsi" w:hAnsiTheme="minorHAnsi"/>
        </w:rPr>
        <w:t xml:space="preserve">” about comparable sentences.  </w:t>
      </w:r>
      <w:r w:rsidR="00554FD6">
        <w:rPr>
          <w:rFonts w:asciiTheme="minorHAnsi" w:hAnsiTheme="minorHAnsi"/>
        </w:rPr>
        <w:t xml:space="preserve">The authorities provide guidance on how that duty is, and is not, to be fulfilled.  </w:t>
      </w:r>
      <w:r w:rsidR="00804A97">
        <w:rPr>
          <w:rFonts w:asciiTheme="minorHAnsi" w:hAnsiTheme="minorHAnsi"/>
        </w:rPr>
        <w:t xml:space="preserve">In </w:t>
      </w:r>
      <w:r w:rsidR="00804A97" w:rsidRPr="00804A97">
        <w:rPr>
          <w:rFonts w:asciiTheme="minorHAnsi" w:hAnsiTheme="minorHAnsi"/>
          <w:i/>
        </w:rPr>
        <w:t>Pham</w:t>
      </w:r>
      <w:r w:rsidR="00804A97">
        <w:rPr>
          <w:rFonts w:asciiTheme="minorHAnsi" w:hAnsiTheme="minorHAnsi"/>
        </w:rPr>
        <w:t>, the plurality emphas</w:t>
      </w:r>
      <w:r w:rsidR="00B86888">
        <w:rPr>
          <w:rFonts w:asciiTheme="minorHAnsi" w:hAnsiTheme="minorHAnsi"/>
        </w:rPr>
        <w:t>ised</w:t>
      </w:r>
      <w:r w:rsidR="00804A97">
        <w:rPr>
          <w:rFonts w:asciiTheme="minorHAnsi" w:hAnsiTheme="minorHAnsi"/>
        </w:rPr>
        <w:t xml:space="preserve"> that “</w:t>
      </w:r>
      <w:r w:rsidR="00804A97" w:rsidRPr="00804A97">
        <w:rPr>
          <w:rFonts w:asciiTheme="minorHAnsi" w:hAnsiTheme="minorHAnsi"/>
          <w:i/>
        </w:rPr>
        <w:t>presentation in the form of numerical tables, bar charts and graphs of sentences passed on federal offenders in other cases is unhelpful and should be avoided.</w:t>
      </w:r>
      <w:r w:rsidR="00804A97">
        <w:rPr>
          <w:rFonts w:asciiTheme="minorHAnsi" w:hAnsiTheme="minorHAnsi"/>
        </w:rPr>
        <w:t>”</w:t>
      </w:r>
      <w:r w:rsidR="006B4F05" w:rsidRPr="00C00000">
        <w:rPr>
          <w:rStyle w:val="Style"/>
          <w:rFonts w:asciiTheme="minorHAnsi" w:hAnsiTheme="minorHAnsi"/>
        </w:rPr>
        <w:footnoteReference w:id="991"/>
      </w:r>
      <w:r w:rsidR="00804A97">
        <w:rPr>
          <w:rFonts w:asciiTheme="minorHAnsi" w:hAnsiTheme="minorHAnsi"/>
        </w:rPr>
        <w:t xml:space="preserve">  </w:t>
      </w:r>
      <w:r w:rsidR="00554FD6">
        <w:rPr>
          <w:rFonts w:asciiTheme="minorHAnsi" w:hAnsiTheme="minorHAnsi"/>
        </w:rPr>
        <w:t>T</w:t>
      </w:r>
      <w:r w:rsidR="004F6D18">
        <w:rPr>
          <w:rFonts w:asciiTheme="minorHAnsi" w:hAnsiTheme="minorHAnsi"/>
        </w:rPr>
        <w:t xml:space="preserve">his precept </w:t>
      </w:r>
      <w:r w:rsidR="00735A1B">
        <w:rPr>
          <w:rFonts w:asciiTheme="minorHAnsi" w:hAnsiTheme="minorHAnsi"/>
        </w:rPr>
        <w:t>is directed to the use of “</w:t>
      </w:r>
      <w:r w:rsidR="00735A1B" w:rsidRPr="002677C7">
        <w:rPr>
          <w:rFonts w:asciiTheme="minorHAnsi" w:hAnsiTheme="minorHAnsi"/>
          <w:i/>
        </w:rPr>
        <w:t>bare statistics</w:t>
      </w:r>
      <w:r w:rsidR="00735A1B">
        <w:rPr>
          <w:rFonts w:asciiTheme="minorHAnsi" w:hAnsiTheme="minorHAnsi"/>
        </w:rPr>
        <w:t>” about sentences passed</w:t>
      </w:r>
      <w:r w:rsidR="002677C7">
        <w:rPr>
          <w:rFonts w:asciiTheme="minorHAnsi" w:hAnsiTheme="minorHAnsi"/>
        </w:rPr>
        <w:t xml:space="preserve">, which </w:t>
      </w:r>
      <w:r w:rsidR="002677C7" w:rsidRPr="002677C7">
        <w:rPr>
          <w:rFonts w:asciiTheme="minorHAnsi" w:hAnsiTheme="minorHAnsi"/>
        </w:rPr>
        <w:t xml:space="preserve">tell the </w:t>
      </w:r>
      <w:r w:rsidR="002677C7">
        <w:rPr>
          <w:rFonts w:asciiTheme="minorHAnsi" w:hAnsiTheme="minorHAnsi"/>
        </w:rPr>
        <w:t xml:space="preserve">sentencing </w:t>
      </w:r>
      <w:r w:rsidR="002677C7" w:rsidRPr="002677C7">
        <w:rPr>
          <w:rFonts w:asciiTheme="minorHAnsi" w:hAnsiTheme="minorHAnsi"/>
        </w:rPr>
        <w:t xml:space="preserve">judge </w:t>
      </w:r>
      <w:r w:rsidR="002677C7">
        <w:rPr>
          <w:rFonts w:asciiTheme="minorHAnsi" w:hAnsiTheme="minorHAnsi"/>
        </w:rPr>
        <w:t>“</w:t>
      </w:r>
      <w:r w:rsidR="002677C7" w:rsidRPr="002677C7">
        <w:rPr>
          <w:rFonts w:asciiTheme="minorHAnsi" w:hAnsiTheme="minorHAnsi"/>
          <w:i/>
        </w:rPr>
        <w:t xml:space="preserve">very little that is useful if the sentencing judge is not also told </w:t>
      </w:r>
      <w:r w:rsidR="002677C7" w:rsidRPr="00E1622E">
        <w:rPr>
          <w:rFonts w:asciiTheme="minorHAnsi" w:hAnsiTheme="minorHAnsi"/>
          <w:i/>
          <w:u w:val="single"/>
        </w:rPr>
        <w:t>why</w:t>
      </w:r>
      <w:r w:rsidR="002677C7" w:rsidRPr="002677C7">
        <w:rPr>
          <w:rFonts w:asciiTheme="minorHAnsi" w:hAnsiTheme="minorHAnsi"/>
          <w:i/>
        </w:rPr>
        <w:t xml:space="preserve"> those sentences were fixed as they were</w:t>
      </w:r>
      <w:r w:rsidR="002677C7">
        <w:rPr>
          <w:rFonts w:asciiTheme="minorHAnsi" w:hAnsiTheme="minorHAnsi"/>
        </w:rPr>
        <w:t>”</w:t>
      </w:r>
      <w:r w:rsidR="00735A1B">
        <w:rPr>
          <w:rFonts w:asciiTheme="minorHAnsi" w:hAnsiTheme="minorHAnsi"/>
        </w:rPr>
        <w:t>.</w:t>
      </w:r>
      <w:r w:rsidR="00735A1B" w:rsidRPr="00C00000">
        <w:rPr>
          <w:rStyle w:val="Style"/>
          <w:rFonts w:asciiTheme="minorHAnsi" w:hAnsiTheme="minorHAnsi"/>
        </w:rPr>
        <w:footnoteReference w:id="992"/>
      </w:r>
      <w:r w:rsidR="00362AE9" w:rsidRPr="00362AE9">
        <w:rPr>
          <w:rFonts w:asciiTheme="minorHAnsi" w:hAnsiTheme="minorHAnsi"/>
        </w:rPr>
        <w:t xml:space="preserve"> </w:t>
      </w:r>
      <w:r w:rsidR="00362AE9">
        <w:rPr>
          <w:rFonts w:asciiTheme="minorHAnsi" w:hAnsiTheme="minorHAnsi"/>
        </w:rPr>
        <w:t xml:space="preserve"> </w:t>
      </w:r>
      <w:r w:rsidR="00642527">
        <w:rPr>
          <w:rFonts w:asciiTheme="minorHAnsi" w:hAnsiTheme="minorHAnsi"/>
        </w:rPr>
        <w:t xml:space="preserve">A </w:t>
      </w:r>
      <w:r w:rsidR="002C5736">
        <w:rPr>
          <w:rFonts w:asciiTheme="minorHAnsi" w:hAnsiTheme="minorHAnsi"/>
        </w:rPr>
        <w:t>table</w:t>
      </w:r>
      <w:r w:rsidR="00642527">
        <w:rPr>
          <w:rFonts w:asciiTheme="minorHAnsi" w:hAnsiTheme="minorHAnsi"/>
        </w:rPr>
        <w:t xml:space="preserve"> of sentences imposed in other cases “</w:t>
      </w:r>
      <w:r w:rsidR="00642527" w:rsidRPr="002C5736">
        <w:rPr>
          <w:rFonts w:asciiTheme="minorHAnsi" w:hAnsiTheme="minorHAnsi"/>
          <w:i/>
        </w:rPr>
        <w:t>is useful if, but only if, it is</w:t>
      </w:r>
      <w:r w:rsidR="00642527" w:rsidRPr="003B61FF">
        <w:rPr>
          <w:rStyle w:val="ssleftalign"/>
          <w:rFonts w:ascii="Calibri" w:hAnsi="Calibri"/>
          <w:i/>
        </w:rPr>
        <w:t xml:space="preserve"> </w:t>
      </w:r>
      <w:r w:rsidR="00642527" w:rsidRPr="00804A97">
        <w:rPr>
          <w:rFonts w:asciiTheme="minorHAnsi" w:hAnsiTheme="minorHAnsi"/>
          <w:i/>
        </w:rPr>
        <w:t>accompanied by an articulation of what are seen as the unifying principles which those disparate sentences may reveal</w:t>
      </w:r>
      <w:r w:rsidR="00642527">
        <w:rPr>
          <w:rFonts w:asciiTheme="minorHAnsi" w:hAnsiTheme="minorHAnsi"/>
        </w:rPr>
        <w:t>”.</w:t>
      </w:r>
      <w:r w:rsidR="00642527" w:rsidRPr="00C00000">
        <w:rPr>
          <w:rStyle w:val="Style"/>
          <w:rFonts w:asciiTheme="minorHAnsi" w:hAnsiTheme="minorHAnsi"/>
        </w:rPr>
        <w:footnoteReference w:id="993"/>
      </w:r>
    </w:p>
    <w:p w14:paraId="1149DD31" w14:textId="77777777" w:rsidR="00362AE9" w:rsidRDefault="00362AE9" w:rsidP="00362AE9">
      <w:pPr>
        <w:pStyle w:val="ListParagraph"/>
        <w:rPr>
          <w:rFonts w:asciiTheme="minorHAnsi" w:hAnsiTheme="minorHAnsi"/>
        </w:rPr>
      </w:pPr>
    </w:p>
    <w:p w14:paraId="6C723294" w14:textId="43D9B2A4" w:rsidR="00F3137F" w:rsidRPr="00F3137F" w:rsidRDefault="0030450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w:t>
      </w:r>
      <w:r w:rsidR="00362AE9">
        <w:rPr>
          <w:rFonts w:asciiTheme="minorHAnsi" w:hAnsiTheme="minorHAnsi"/>
        </w:rPr>
        <w:t xml:space="preserve">table or schedule </w:t>
      </w:r>
      <w:r>
        <w:rPr>
          <w:rFonts w:asciiTheme="minorHAnsi" w:hAnsiTheme="minorHAnsi"/>
        </w:rPr>
        <w:t xml:space="preserve">of previous sentencing decisions </w:t>
      </w:r>
      <w:r w:rsidR="00362AE9">
        <w:rPr>
          <w:rFonts w:asciiTheme="minorHAnsi" w:hAnsiTheme="minorHAnsi"/>
        </w:rPr>
        <w:t>c</w:t>
      </w:r>
      <w:r w:rsidR="00362AE9" w:rsidRPr="00EA0939">
        <w:rPr>
          <w:rFonts w:asciiTheme="minorHAnsi" w:hAnsiTheme="minorHAnsi"/>
        </w:rPr>
        <w:t>an be of great assistan</w:t>
      </w:r>
      <w:r w:rsidR="00362AE9">
        <w:rPr>
          <w:rFonts w:asciiTheme="minorHAnsi" w:hAnsiTheme="minorHAnsi"/>
        </w:rPr>
        <w:t xml:space="preserve">ce to judges, but </w:t>
      </w:r>
      <w:r>
        <w:rPr>
          <w:rFonts w:asciiTheme="minorHAnsi" w:hAnsiTheme="minorHAnsi"/>
        </w:rPr>
        <w:t>only if it</w:t>
      </w:r>
      <w:r w:rsidR="00362AE9" w:rsidRPr="0038111A">
        <w:rPr>
          <w:rFonts w:asciiTheme="minorHAnsi" w:hAnsiTheme="minorHAnsi"/>
        </w:rPr>
        <w:t xml:space="preserve"> offer</w:t>
      </w:r>
      <w:r>
        <w:rPr>
          <w:rFonts w:asciiTheme="minorHAnsi" w:hAnsiTheme="minorHAnsi"/>
        </w:rPr>
        <w:t>s</w:t>
      </w:r>
      <w:r w:rsidR="00362AE9" w:rsidRPr="0038111A">
        <w:rPr>
          <w:rFonts w:asciiTheme="minorHAnsi" w:hAnsiTheme="minorHAnsi"/>
        </w:rPr>
        <w:t xml:space="preserve"> considerably more than numerical information</w:t>
      </w:r>
      <w:r w:rsidR="00362AE9">
        <w:rPr>
          <w:rFonts w:asciiTheme="minorHAnsi" w:hAnsiTheme="minorHAnsi"/>
        </w:rPr>
        <w:t>.</w:t>
      </w:r>
      <w:r w:rsidR="00362AE9" w:rsidRPr="00C00000">
        <w:rPr>
          <w:rStyle w:val="Style"/>
          <w:rFonts w:asciiTheme="minorHAnsi" w:hAnsiTheme="minorHAnsi"/>
        </w:rPr>
        <w:footnoteReference w:id="994"/>
      </w:r>
      <w:r w:rsidR="00362AE9" w:rsidRPr="0038111A">
        <w:rPr>
          <w:rFonts w:asciiTheme="minorHAnsi" w:hAnsiTheme="minorHAnsi"/>
        </w:rPr>
        <w:t xml:space="preserve"> </w:t>
      </w:r>
      <w:r w:rsidR="00362AE9">
        <w:rPr>
          <w:rFonts w:asciiTheme="minorHAnsi" w:hAnsiTheme="minorHAnsi"/>
        </w:rPr>
        <w:t xml:space="preserve"> </w:t>
      </w:r>
      <w:r>
        <w:rPr>
          <w:rFonts w:asciiTheme="minorHAnsi" w:hAnsiTheme="minorHAnsi"/>
        </w:rPr>
        <w:t>It must be</w:t>
      </w:r>
      <w:r w:rsidR="000F011F">
        <w:rPr>
          <w:rFonts w:asciiTheme="minorHAnsi" w:hAnsiTheme="minorHAnsi"/>
        </w:rPr>
        <w:t xml:space="preserve"> accurate</w:t>
      </w:r>
      <w:r w:rsidRPr="00C00000">
        <w:rPr>
          <w:rStyle w:val="Style"/>
          <w:rFonts w:asciiTheme="minorHAnsi" w:hAnsiTheme="minorHAnsi"/>
        </w:rPr>
        <w:footnoteReference w:id="995"/>
      </w:r>
      <w:r w:rsidR="000F011F">
        <w:rPr>
          <w:rFonts w:asciiTheme="minorHAnsi" w:hAnsiTheme="minorHAnsi"/>
        </w:rPr>
        <w:t xml:space="preserve"> </w:t>
      </w:r>
      <w:r>
        <w:rPr>
          <w:rFonts w:asciiTheme="minorHAnsi" w:hAnsiTheme="minorHAnsi"/>
        </w:rPr>
        <w:t xml:space="preserve">and it must contain </w:t>
      </w:r>
      <w:r w:rsidRPr="00554FD6">
        <w:rPr>
          <w:rFonts w:asciiTheme="minorHAnsi" w:hAnsiTheme="minorHAnsi"/>
        </w:rPr>
        <w:t>sufficient information about the features of each case to enable</w:t>
      </w:r>
      <w:r>
        <w:rPr>
          <w:rFonts w:asciiTheme="minorHAnsi" w:hAnsiTheme="minorHAnsi"/>
        </w:rPr>
        <w:t xml:space="preserve"> useful comparisons to be drawn.</w:t>
      </w:r>
      <w:r w:rsidRPr="00C00000">
        <w:rPr>
          <w:rStyle w:val="Style"/>
          <w:rFonts w:asciiTheme="minorHAnsi" w:hAnsiTheme="minorHAnsi"/>
        </w:rPr>
        <w:footnoteReference w:id="996"/>
      </w:r>
      <w:r>
        <w:rPr>
          <w:rFonts w:asciiTheme="minorHAnsi" w:hAnsiTheme="minorHAnsi"/>
        </w:rPr>
        <w:t xml:space="preserve"> </w:t>
      </w:r>
      <w:r w:rsidR="00C45DCA">
        <w:rPr>
          <w:rFonts w:asciiTheme="minorHAnsi" w:hAnsiTheme="minorHAnsi"/>
        </w:rPr>
        <w:t xml:space="preserve"> </w:t>
      </w:r>
      <w:r w:rsidR="008640DC">
        <w:rPr>
          <w:rFonts w:asciiTheme="minorHAnsi" w:hAnsiTheme="minorHAnsi"/>
        </w:rPr>
        <w:t>It</w:t>
      </w:r>
      <w:r w:rsidR="001A7581">
        <w:rPr>
          <w:rFonts w:asciiTheme="minorHAnsi" w:hAnsiTheme="minorHAnsi"/>
        </w:rPr>
        <w:t>s function is</w:t>
      </w:r>
      <w:r w:rsidR="008640DC">
        <w:rPr>
          <w:rFonts w:asciiTheme="minorHAnsi" w:hAnsiTheme="minorHAnsi"/>
        </w:rPr>
        <w:t xml:space="preserve"> </w:t>
      </w:r>
      <w:r w:rsidR="008640DC" w:rsidRPr="00C45DCA">
        <w:rPr>
          <w:rFonts w:asciiTheme="minorHAnsi" w:hAnsiTheme="minorHAnsi"/>
        </w:rPr>
        <w:t>to provide a sound basis from which the judge may determine whether there is a relevant sentencing pattern to be discerned from the history of sentences available.</w:t>
      </w:r>
      <w:r w:rsidR="008640DC" w:rsidRPr="00C00000">
        <w:rPr>
          <w:rStyle w:val="Style"/>
          <w:rFonts w:asciiTheme="minorHAnsi" w:hAnsiTheme="minorHAnsi"/>
        </w:rPr>
        <w:footnoteReference w:id="997"/>
      </w:r>
      <w:r w:rsidR="00C56B2D">
        <w:rPr>
          <w:rFonts w:asciiTheme="minorHAnsi" w:hAnsiTheme="minorHAnsi"/>
        </w:rPr>
        <w:t xml:space="preserve">  In sentencing for quantity-based drug offences, reference to </w:t>
      </w:r>
      <w:r w:rsidR="00664F12">
        <w:rPr>
          <w:rFonts w:asciiTheme="minorHAnsi" w:hAnsiTheme="minorHAnsi"/>
        </w:rPr>
        <w:t xml:space="preserve">the relevant </w:t>
      </w:r>
      <w:r w:rsidR="00C56B2D">
        <w:rPr>
          <w:rFonts w:asciiTheme="minorHAnsi" w:hAnsiTheme="minorHAnsi"/>
        </w:rPr>
        <w:t xml:space="preserve">quantities </w:t>
      </w:r>
      <w:r w:rsidR="00664F12">
        <w:rPr>
          <w:rFonts w:asciiTheme="minorHAnsi" w:hAnsiTheme="minorHAnsi"/>
        </w:rPr>
        <w:t xml:space="preserve">in other cases </w:t>
      </w:r>
      <w:r w:rsidR="00C56B2D">
        <w:rPr>
          <w:rFonts w:asciiTheme="minorHAnsi" w:hAnsiTheme="minorHAnsi"/>
        </w:rPr>
        <w:t xml:space="preserve">by use of a common denominator </w:t>
      </w:r>
      <w:r w:rsidR="00664F12">
        <w:rPr>
          <w:rFonts w:asciiTheme="minorHAnsi" w:hAnsiTheme="minorHAnsi"/>
        </w:rPr>
        <w:t xml:space="preserve">(such as the proportion of a commercial quantity) </w:t>
      </w:r>
      <w:r w:rsidR="00C56B2D">
        <w:rPr>
          <w:rFonts w:asciiTheme="minorHAnsi" w:hAnsiTheme="minorHAnsi"/>
        </w:rPr>
        <w:t>is essential for meaningful comparisons.</w:t>
      </w:r>
      <w:r w:rsidR="00C56B2D" w:rsidRPr="00C00000">
        <w:rPr>
          <w:rStyle w:val="Style"/>
          <w:rFonts w:asciiTheme="minorHAnsi" w:hAnsiTheme="minorHAnsi"/>
        </w:rPr>
        <w:footnoteReference w:id="998"/>
      </w:r>
    </w:p>
    <w:p w14:paraId="6DB5721C" w14:textId="77777777" w:rsidR="00F3137F" w:rsidRDefault="00F3137F" w:rsidP="00F3137F">
      <w:pPr>
        <w:pStyle w:val="ListParagraph"/>
        <w:rPr>
          <w:rFonts w:asciiTheme="minorHAnsi" w:hAnsiTheme="minorHAnsi"/>
        </w:rPr>
      </w:pPr>
    </w:p>
    <w:p w14:paraId="56215842" w14:textId="07A7F437" w:rsidR="000D19A6" w:rsidRDefault="008640D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F</w:t>
      </w:r>
      <w:r w:rsidRPr="008640DC">
        <w:rPr>
          <w:rFonts w:asciiTheme="minorHAnsi" w:hAnsiTheme="minorHAnsi"/>
        </w:rPr>
        <w:t>or a table of decisions</w:t>
      </w:r>
      <w:r w:rsidR="00F3137F">
        <w:rPr>
          <w:rFonts w:asciiTheme="minorHAnsi" w:hAnsiTheme="minorHAnsi"/>
        </w:rPr>
        <w:t xml:space="preserve"> provided by the prosecution</w:t>
      </w:r>
      <w:r w:rsidRPr="008640DC">
        <w:rPr>
          <w:rFonts w:asciiTheme="minorHAnsi" w:hAnsiTheme="minorHAnsi"/>
        </w:rPr>
        <w:t xml:space="preserve"> to be of assistance, </w:t>
      </w:r>
      <w:r w:rsidR="00F3137F">
        <w:rPr>
          <w:rFonts w:asciiTheme="minorHAnsi" w:hAnsiTheme="minorHAnsi"/>
        </w:rPr>
        <w:t xml:space="preserve">the </w:t>
      </w:r>
      <w:r w:rsidR="00D23988">
        <w:rPr>
          <w:rFonts w:asciiTheme="minorHAnsi" w:hAnsiTheme="minorHAnsi"/>
        </w:rPr>
        <w:t xml:space="preserve">prosecution </w:t>
      </w:r>
      <w:r w:rsidRPr="008640DC">
        <w:rPr>
          <w:rFonts w:asciiTheme="minorHAnsi" w:hAnsiTheme="minorHAnsi"/>
        </w:rPr>
        <w:t xml:space="preserve">must, in addition to </w:t>
      </w:r>
      <w:r w:rsidR="0021678F">
        <w:rPr>
          <w:rFonts w:asciiTheme="minorHAnsi" w:hAnsiTheme="minorHAnsi"/>
        </w:rPr>
        <w:t xml:space="preserve">providing </w:t>
      </w:r>
      <w:r w:rsidRPr="008640DC">
        <w:rPr>
          <w:rFonts w:asciiTheme="minorHAnsi" w:hAnsiTheme="minorHAnsi"/>
        </w:rPr>
        <w:t>necessary information about the cases, make clear how each case is relied upon</w:t>
      </w:r>
      <w:r w:rsidR="008C68BE">
        <w:rPr>
          <w:rFonts w:asciiTheme="minorHAnsi" w:hAnsiTheme="minorHAnsi"/>
        </w:rPr>
        <w:t>:</w:t>
      </w:r>
      <w:r w:rsidRPr="00C00000">
        <w:rPr>
          <w:rStyle w:val="Style"/>
          <w:rFonts w:asciiTheme="minorHAnsi" w:hAnsiTheme="minorHAnsi"/>
        </w:rPr>
        <w:footnoteReference w:id="999"/>
      </w:r>
      <w:r w:rsidRPr="003B61FF">
        <w:rPr>
          <w:rStyle w:val="ssleftalign"/>
          <w:rFonts w:ascii="Calibri" w:hAnsi="Calibri"/>
        </w:rPr>
        <w:t xml:space="preserve"> </w:t>
      </w:r>
      <w:r w:rsidR="008C68BE">
        <w:rPr>
          <w:rFonts w:asciiTheme="minorHAnsi" w:hAnsiTheme="minorHAnsi"/>
        </w:rPr>
        <w:t>that is, whether it is comparable,</w:t>
      </w:r>
      <w:r w:rsidR="00E53589" w:rsidRPr="00C00000">
        <w:rPr>
          <w:rStyle w:val="Style"/>
          <w:rFonts w:asciiTheme="minorHAnsi" w:hAnsiTheme="minorHAnsi"/>
        </w:rPr>
        <w:footnoteReference w:id="1000"/>
      </w:r>
      <w:r w:rsidR="008C68BE">
        <w:rPr>
          <w:rFonts w:asciiTheme="minorHAnsi" w:hAnsiTheme="minorHAnsi"/>
        </w:rPr>
        <w:t xml:space="preserve"> or whether its relevance is that it is so different that the sentence imposed there would not lie within a sound exercise of the discretion in the present case.</w:t>
      </w:r>
      <w:r w:rsidR="008C68BE" w:rsidRPr="00C00000">
        <w:rPr>
          <w:rStyle w:val="Style"/>
          <w:rFonts w:asciiTheme="minorHAnsi" w:hAnsiTheme="minorHAnsi"/>
        </w:rPr>
        <w:footnoteReference w:id="1001"/>
      </w:r>
    </w:p>
    <w:p w14:paraId="5CEE48CC" w14:textId="3B849406" w:rsidR="000D19A6" w:rsidRDefault="000D19A6">
      <w:pPr>
        <w:pStyle w:val="ListParagraph"/>
        <w:rPr>
          <w:rFonts w:asciiTheme="minorHAnsi" w:hAnsiTheme="minorHAnsi"/>
        </w:rPr>
      </w:pPr>
    </w:p>
    <w:p w14:paraId="585C793C" w14:textId="4B9C82BD" w:rsidR="005104D0" w:rsidRDefault="00363A0D" w:rsidP="00BC723B">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mere fact that the </w:t>
      </w:r>
      <w:r w:rsidRPr="00363A0D">
        <w:rPr>
          <w:rFonts w:asciiTheme="minorHAnsi" w:hAnsiTheme="minorHAnsi"/>
        </w:rPr>
        <w:t xml:space="preserve">number of relevant comparable cases </w:t>
      </w:r>
      <w:r>
        <w:rPr>
          <w:rFonts w:asciiTheme="minorHAnsi" w:hAnsiTheme="minorHAnsi"/>
        </w:rPr>
        <w:t xml:space="preserve">is limited does </w:t>
      </w:r>
      <w:r w:rsidRPr="00363A0D">
        <w:rPr>
          <w:rFonts w:asciiTheme="minorHAnsi" w:hAnsiTheme="minorHAnsi"/>
        </w:rPr>
        <w:t>not lessen the need for the prosecution to make clear its position as to where the sentencing range fell</w:t>
      </w:r>
      <w:r>
        <w:rPr>
          <w:rFonts w:asciiTheme="minorHAnsi" w:hAnsiTheme="minorHAnsi"/>
        </w:rPr>
        <w:t>;</w:t>
      </w:r>
      <w:r w:rsidRPr="00363A0D">
        <w:rPr>
          <w:rFonts w:asciiTheme="minorHAnsi" w:hAnsiTheme="minorHAnsi"/>
        </w:rPr>
        <w:t xml:space="preserve"> that could be done by reference to broadly </w:t>
      </w:r>
      <w:r w:rsidR="00AA693C">
        <w:rPr>
          <w:rFonts w:asciiTheme="minorHAnsi" w:hAnsiTheme="minorHAnsi"/>
        </w:rPr>
        <w:t>‘</w:t>
      </w:r>
      <w:r w:rsidRPr="00363A0D">
        <w:rPr>
          <w:rFonts w:asciiTheme="minorHAnsi" w:hAnsiTheme="minorHAnsi"/>
        </w:rPr>
        <w:t>like</w:t>
      </w:r>
      <w:r w:rsidR="00AA693C">
        <w:rPr>
          <w:rFonts w:asciiTheme="minorHAnsi" w:hAnsiTheme="minorHAnsi"/>
        </w:rPr>
        <w:t>’</w:t>
      </w:r>
      <w:r w:rsidRPr="00363A0D">
        <w:rPr>
          <w:rFonts w:asciiTheme="minorHAnsi" w:hAnsiTheme="minorHAnsi"/>
        </w:rPr>
        <w:t xml:space="preserve"> or </w:t>
      </w:r>
      <w:r w:rsidR="00AA693C">
        <w:rPr>
          <w:rFonts w:asciiTheme="minorHAnsi" w:hAnsiTheme="minorHAnsi"/>
        </w:rPr>
        <w:t>‘</w:t>
      </w:r>
      <w:r w:rsidRPr="00363A0D">
        <w:rPr>
          <w:rFonts w:asciiTheme="minorHAnsi" w:hAnsiTheme="minorHAnsi"/>
        </w:rPr>
        <w:t>unlike</w:t>
      </w:r>
      <w:r w:rsidR="00AA693C">
        <w:rPr>
          <w:rFonts w:asciiTheme="minorHAnsi" w:hAnsiTheme="minorHAnsi"/>
        </w:rPr>
        <w:t>’</w:t>
      </w:r>
      <w:r w:rsidRPr="00363A0D">
        <w:rPr>
          <w:rFonts w:asciiTheme="minorHAnsi" w:hAnsiTheme="minorHAnsi"/>
        </w:rPr>
        <w:t xml:space="preserve"> cases.</w:t>
      </w:r>
      <w:r w:rsidRPr="00C00000">
        <w:rPr>
          <w:rStyle w:val="Style"/>
          <w:rFonts w:asciiTheme="minorHAnsi" w:hAnsiTheme="minorHAnsi"/>
        </w:rPr>
        <w:footnoteReference w:id="1002"/>
      </w:r>
      <w:r w:rsidR="00101447" w:rsidRPr="00101447">
        <w:rPr>
          <w:rFonts w:asciiTheme="minorHAnsi" w:hAnsiTheme="minorHAnsi"/>
        </w:rPr>
        <w:t xml:space="preserve"> </w:t>
      </w:r>
      <w:r w:rsidR="00101447">
        <w:rPr>
          <w:rFonts w:asciiTheme="minorHAnsi" w:hAnsiTheme="minorHAnsi"/>
        </w:rPr>
        <w:t xml:space="preserve"> If there are no directly comparable cases, courts adopt “</w:t>
      </w:r>
      <w:r w:rsidR="00101447" w:rsidRPr="00152778">
        <w:rPr>
          <w:rFonts w:asciiTheme="minorHAnsi" w:hAnsiTheme="minorHAnsi"/>
          <w:i/>
        </w:rPr>
        <w:t>the conventional common law method of reasoning by analogy and extrapolation from the available sentencing information … and applying established sentencing principles</w:t>
      </w:r>
      <w:r w:rsidR="00101447">
        <w:rPr>
          <w:rFonts w:asciiTheme="minorHAnsi" w:hAnsiTheme="minorHAnsi"/>
        </w:rPr>
        <w:t>”.</w:t>
      </w:r>
      <w:r w:rsidR="00101447" w:rsidRPr="00C00000">
        <w:rPr>
          <w:rStyle w:val="Style"/>
          <w:rFonts w:asciiTheme="minorHAnsi" w:hAnsiTheme="minorHAnsi"/>
        </w:rPr>
        <w:footnoteReference w:id="1003"/>
      </w:r>
      <w:r w:rsidR="000D19A6" w:rsidRPr="000D19A6">
        <w:rPr>
          <w:rStyle w:val="Heading1Char"/>
        </w:rPr>
        <w:t xml:space="preserve"> </w:t>
      </w:r>
      <w:r w:rsidR="000D19A6">
        <w:rPr>
          <w:rStyle w:val="Heading1Char"/>
        </w:rPr>
        <w:t xml:space="preserve"> </w:t>
      </w:r>
      <w:r w:rsidR="000D19A6" w:rsidRPr="00EB7F1E">
        <w:rPr>
          <w:rFonts w:asciiTheme="minorHAnsi" w:hAnsiTheme="minorHAnsi"/>
        </w:rPr>
        <w:t xml:space="preserve">If there is no established pattern of sentences for the </w:t>
      </w:r>
      <w:r w:rsidR="000D19A6">
        <w:rPr>
          <w:rFonts w:asciiTheme="minorHAnsi" w:hAnsiTheme="minorHAnsi"/>
        </w:rPr>
        <w:t xml:space="preserve">instant </w:t>
      </w:r>
      <w:r w:rsidR="000D19A6" w:rsidRPr="00EB7F1E">
        <w:rPr>
          <w:rFonts w:asciiTheme="minorHAnsi" w:hAnsiTheme="minorHAnsi"/>
        </w:rPr>
        <w:t xml:space="preserve">offence, </w:t>
      </w:r>
      <w:r w:rsidR="000D19A6">
        <w:rPr>
          <w:rFonts w:asciiTheme="minorHAnsi" w:hAnsiTheme="minorHAnsi"/>
        </w:rPr>
        <w:t xml:space="preserve">guidance may be obtained from sentencing for another offence which carries </w:t>
      </w:r>
      <w:r w:rsidR="000D19A6" w:rsidRPr="00EB7F1E">
        <w:rPr>
          <w:rFonts w:asciiTheme="minorHAnsi" w:hAnsiTheme="minorHAnsi"/>
        </w:rPr>
        <w:t>the same maximum penalty and involve</w:t>
      </w:r>
      <w:r w:rsidR="000D19A6">
        <w:rPr>
          <w:rFonts w:asciiTheme="minorHAnsi" w:hAnsiTheme="minorHAnsi"/>
        </w:rPr>
        <w:t>s</w:t>
      </w:r>
      <w:r w:rsidR="000D19A6" w:rsidRPr="00EB7F1E">
        <w:rPr>
          <w:rFonts w:asciiTheme="minorHAnsi" w:hAnsiTheme="minorHAnsi"/>
        </w:rPr>
        <w:t xml:space="preserve"> similar conduct.</w:t>
      </w:r>
      <w:r w:rsidR="000D19A6" w:rsidRPr="00C00000">
        <w:rPr>
          <w:rStyle w:val="Style"/>
          <w:rFonts w:asciiTheme="minorHAnsi" w:hAnsiTheme="minorHAnsi"/>
        </w:rPr>
        <w:footnoteReference w:id="1004"/>
      </w:r>
    </w:p>
    <w:p w14:paraId="643C88BC" w14:textId="77777777" w:rsidR="00BC723B" w:rsidRPr="00EB7F1E" w:rsidRDefault="00BC723B" w:rsidP="00EB7F1E">
      <w:pPr>
        <w:pStyle w:val="ListParagraph"/>
        <w:rPr>
          <w:rFonts w:asciiTheme="minorHAnsi" w:hAnsiTheme="minorHAnsi"/>
        </w:rPr>
      </w:pPr>
    </w:p>
    <w:p w14:paraId="39E44AE9" w14:textId="5147886E" w:rsidR="00BC723B" w:rsidRDefault="00BC723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Tables summarising decisions of </w:t>
      </w:r>
      <w:r w:rsidRPr="00554FD6">
        <w:rPr>
          <w:rFonts w:asciiTheme="minorHAnsi" w:hAnsiTheme="minorHAnsi"/>
        </w:rPr>
        <w:t>intermediate appellate court</w:t>
      </w:r>
      <w:r>
        <w:rPr>
          <w:rFonts w:asciiTheme="minorHAnsi" w:hAnsiTheme="minorHAnsi"/>
        </w:rPr>
        <w:t>s</w:t>
      </w:r>
      <w:r w:rsidRPr="00554FD6">
        <w:rPr>
          <w:rFonts w:asciiTheme="minorHAnsi" w:hAnsiTheme="minorHAnsi"/>
        </w:rPr>
        <w:t xml:space="preserve"> on sentencing for </w:t>
      </w:r>
      <w:r>
        <w:rPr>
          <w:rFonts w:asciiTheme="minorHAnsi" w:hAnsiTheme="minorHAnsi"/>
        </w:rPr>
        <w:t xml:space="preserve">the subject offence (or related offences) may be particularly helpful, if they </w:t>
      </w:r>
      <w:r w:rsidRPr="00C56B2D">
        <w:rPr>
          <w:rFonts w:asciiTheme="minorHAnsi" w:hAnsiTheme="minorHAnsi"/>
        </w:rPr>
        <w:t>provide sufficient information about the features of each case to enable useful comparisons to be drawn.</w:t>
      </w:r>
      <w:r w:rsidRPr="00C00000">
        <w:rPr>
          <w:rStyle w:val="Style"/>
          <w:rFonts w:asciiTheme="minorHAnsi" w:hAnsiTheme="minorHAnsi"/>
        </w:rPr>
        <w:footnoteReference w:id="1005"/>
      </w:r>
      <w:r w:rsidRPr="00C56B2D">
        <w:rPr>
          <w:rFonts w:asciiTheme="minorHAnsi" w:hAnsiTheme="minorHAnsi"/>
        </w:rPr>
        <w:t xml:space="preserve"> </w:t>
      </w:r>
      <w:r>
        <w:rPr>
          <w:rFonts w:asciiTheme="minorHAnsi" w:hAnsiTheme="minorHAnsi"/>
        </w:rPr>
        <w:t xml:space="preserve"> If there are decisions of intermediate appellate courts which summar</w:t>
      </w:r>
      <w:r w:rsidR="00B67C2C">
        <w:rPr>
          <w:rFonts w:asciiTheme="minorHAnsi" w:hAnsiTheme="minorHAnsi"/>
        </w:rPr>
        <w:t>ise</w:t>
      </w:r>
      <w:r>
        <w:rPr>
          <w:rFonts w:asciiTheme="minorHAnsi" w:hAnsiTheme="minorHAnsi"/>
        </w:rPr>
        <w:t xml:space="preserve"> sentences imposed in other cases for the relevant offence (or related offences), those decisions should be referred to.</w:t>
      </w:r>
      <w:r w:rsidRPr="00C00000">
        <w:rPr>
          <w:rStyle w:val="Style"/>
          <w:rFonts w:asciiTheme="minorHAnsi" w:hAnsiTheme="minorHAnsi"/>
        </w:rPr>
        <w:footnoteReference w:id="1006"/>
      </w:r>
    </w:p>
    <w:p w14:paraId="42EA5D59" w14:textId="72F4D085" w:rsidR="005104D0" w:rsidRDefault="005104D0" w:rsidP="005104D0">
      <w:pPr>
        <w:pStyle w:val="ListParagraph"/>
        <w:rPr>
          <w:rFonts w:asciiTheme="minorHAnsi" w:hAnsiTheme="minorHAnsi"/>
        </w:rPr>
      </w:pPr>
    </w:p>
    <w:p w14:paraId="405489C6" w14:textId="34C9027B" w:rsidR="003D4A85" w:rsidRDefault="008514D3" w:rsidP="00901174">
      <w:pPr>
        <w:pStyle w:val="ListParagraph"/>
        <w:numPr>
          <w:ilvl w:val="0"/>
          <w:numId w:val="7"/>
        </w:numPr>
        <w:spacing w:line="276" w:lineRule="auto"/>
        <w:ind w:left="425" w:hanging="425"/>
        <w:contextualSpacing w:val="0"/>
        <w:rPr>
          <w:rFonts w:asciiTheme="minorHAnsi" w:hAnsiTheme="minorHAnsi"/>
        </w:rPr>
      </w:pPr>
      <w:r w:rsidRPr="008514D3">
        <w:rPr>
          <w:rFonts w:asciiTheme="minorHAnsi" w:hAnsiTheme="minorHAnsi"/>
          <w:b/>
        </w:rPr>
        <w:t>Submissions relating to sentencing disposition</w:t>
      </w:r>
      <w:r w:rsidR="001A7581">
        <w:rPr>
          <w:rFonts w:asciiTheme="minorHAnsi" w:hAnsiTheme="minorHAnsi"/>
          <w:b/>
        </w:rPr>
        <w:t>s</w:t>
      </w:r>
      <w:r w:rsidRPr="008514D3">
        <w:rPr>
          <w:rFonts w:asciiTheme="minorHAnsi" w:hAnsiTheme="minorHAnsi"/>
          <w:b/>
        </w:rPr>
        <w:t>:</w:t>
      </w:r>
      <w:r>
        <w:rPr>
          <w:rFonts w:asciiTheme="minorHAnsi" w:hAnsiTheme="minorHAnsi"/>
        </w:rPr>
        <w:t xml:space="preserve">  </w:t>
      </w:r>
      <w:r w:rsidR="009073AE">
        <w:rPr>
          <w:rFonts w:asciiTheme="minorHAnsi" w:hAnsiTheme="minorHAnsi"/>
        </w:rPr>
        <w:t xml:space="preserve">Since the decision of the High Court </w:t>
      </w:r>
      <w:r w:rsidR="003D4A85">
        <w:rPr>
          <w:rFonts w:asciiTheme="minorHAnsi" w:hAnsiTheme="minorHAnsi"/>
        </w:rPr>
        <w:t xml:space="preserve">in </w:t>
      </w:r>
      <w:r w:rsidR="003D4A85" w:rsidRPr="003D4A85">
        <w:rPr>
          <w:rFonts w:asciiTheme="minorHAnsi" w:hAnsiTheme="minorHAnsi"/>
          <w:i/>
        </w:rPr>
        <w:t>Barbaro</w:t>
      </w:r>
      <w:r w:rsidR="003D4A85">
        <w:rPr>
          <w:rFonts w:asciiTheme="minorHAnsi" w:hAnsiTheme="minorHAnsi"/>
        </w:rPr>
        <w:t>,</w:t>
      </w:r>
      <w:r w:rsidR="0077550B" w:rsidRPr="00C00000">
        <w:rPr>
          <w:rStyle w:val="FootnoteReference"/>
          <w:rFonts w:asciiTheme="minorHAnsi" w:hAnsiTheme="minorHAnsi"/>
        </w:rPr>
        <w:footnoteReference w:id="1007"/>
      </w:r>
      <w:r w:rsidR="003D4A85">
        <w:rPr>
          <w:rFonts w:asciiTheme="minorHAnsi" w:hAnsiTheme="minorHAnsi"/>
        </w:rPr>
        <w:t xml:space="preserve"> the prosecution is precluded from </w:t>
      </w:r>
      <w:r w:rsidR="003D4A85" w:rsidRPr="003D4A85">
        <w:rPr>
          <w:rFonts w:asciiTheme="minorHAnsi" w:hAnsiTheme="minorHAnsi"/>
        </w:rPr>
        <w:t xml:space="preserve">stating </w:t>
      </w:r>
      <w:r w:rsidR="003D4A85">
        <w:rPr>
          <w:rFonts w:asciiTheme="minorHAnsi" w:hAnsiTheme="minorHAnsi"/>
        </w:rPr>
        <w:t xml:space="preserve">to a sentencing court </w:t>
      </w:r>
      <w:r w:rsidR="003D4A85" w:rsidRPr="003D4A85">
        <w:rPr>
          <w:rFonts w:asciiTheme="minorHAnsi" w:hAnsiTheme="minorHAnsi"/>
        </w:rPr>
        <w:t>the bounds of an “</w:t>
      </w:r>
      <w:r w:rsidR="003D4A85" w:rsidRPr="0077550B">
        <w:rPr>
          <w:rFonts w:asciiTheme="minorHAnsi" w:hAnsiTheme="minorHAnsi"/>
          <w:i/>
        </w:rPr>
        <w:t>available range</w:t>
      </w:r>
      <w:r w:rsidR="003D4A85" w:rsidRPr="003D4A85">
        <w:rPr>
          <w:rFonts w:asciiTheme="minorHAnsi" w:hAnsiTheme="minorHAnsi"/>
        </w:rPr>
        <w:t>” of sentences</w:t>
      </w:r>
      <w:r w:rsidR="003D4A85">
        <w:rPr>
          <w:rFonts w:asciiTheme="minorHAnsi" w:hAnsiTheme="minorHAnsi"/>
        </w:rPr>
        <w:t xml:space="preserve">, or </w:t>
      </w:r>
      <w:r w:rsidR="0077550B">
        <w:rPr>
          <w:rFonts w:asciiTheme="minorHAnsi" w:hAnsiTheme="minorHAnsi"/>
        </w:rPr>
        <w:t xml:space="preserve">from </w:t>
      </w:r>
      <w:r w:rsidR="00C56E77">
        <w:rPr>
          <w:rFonts w:asciiTheme="minorHAnsi" w:hAnsiTheme="minorHAnsi"/>
        </w:rPr>
        <w:t>proffering</w:t>
      </w:r>
      <w:r w:rsidR="003D4A85" w:rsidRPr="00C00C4A">
        <w:rPr>
          <w:rFonts w:asciiTheme="minorHAnsi" w:hAnsiTheme="minorHAnsi" w:cs="Arial"/>
          <w:i/>
          <w:szCs w:val="22"/>
        </w:rPr>
        <w:t xml:space="preserve"> </w:t>
      </w:r>
      <w:r w:rsidR="003D4A85" w:rsidRPr="003D4A85">
        <w:rPr>
          <w:rFonts w:asciiTheme="minorHAnsi" w:hAnsiTheme="minorHAnsi" w:cs="Arial"/>
          <w:szCs w:val="22"/>
        </w:rPr>
        <w:t>“</w:t>
      </w:r>
      <w:r w:rsidR="003D4A85" w:rsidRPr="00C00C4A">
        <w:rPr>
          <w:rFonts w:asciiTheme="minorHAnsi" w:hAnsiTheme="minorHAnsi" w:cs="Arial"/>
          <w:i/>
          <w:szCs w:val="22"/>
        </w:rPr>
        <w:t>some statement of the specific result</w:t>
      </w:r>
      <w:r w:rsidR="003D4A85" w:rsidRPr="003D4A85">
        <w:rPr>
          <w:rFonts w:asciiTheme="minorHAnsi" w:hAnsiTheme="minorHAnsi" w:cs="Arial"/>
          <w:szCs w:val="22"/>
        </w:rPr>
        <w:t>”</w:t>
      </w:r>
      <w:r w:rsidR="003D4A85">
        <w:rPr>
          <w:rFonts w:asciiTheme="minorHAnsi" w:hAnsiTheme="minorHAnsi" w:cs="Arial"/>
          <w:szCs w:val="22"/>
        </w:rPr>
        <w:t xml:space="preserve"> of the exercise of sentencing discretion.  However subsequent decisions have clarified that </w:t>
      </w:r>
      <w:r w:rsidR="003D4A85" w:rsidRPr="003D4A85">
        <w:rPr>
          <w:rFonts w:asciiTheme="minorHAnsi" w:hAnsiTheme="minorHAnsi" w:cs="Arial"/>
          <w:i/>
          <w:szCs w:val="22"/>
        </w:rPr>
        <w:t>Barbaro</w:t>
      </w:r>
      <w:r w:rsidR="003D4A85">
        <w:rPr>
          <w:rFonts w:asciiTheme="minorHAnsi" w:hAnsiTheme="minorHAnsi" w:cs="Arial"/>
          <w:szCs w:val="22"/>
        </w:rPr>
        <w:t xml:space="preserve"> does not </w:t>
      </w:r>
      <w:r w:rsidR="0077550B">
        <w:rPr>
          <w:rFonts w:asciiTheme="minorHAnsi" w:hAnsiTheme="minorHAnsi" w:cs="Arial"/>
          <w:szCs w:val="22"/>
        </w:rPr>
        <w:t>limit the scope of the Crown</w:t>
      </w:r>
      <w:r w:rsidR="00AA693C">
        <w:rPr>
          <w:rFonts w:asciiTheme="minorHAnsi" w:hAnsiTheme="minorHAnsi" w:cs="Arial"/>
          <w:szCs w:val="22"/>
        </w:rPr>
        <w:t>’</w:t>
      </w:r>
      <w:r w:rsidR="0077550B">
        <w:rPr>
          <w:rFonts w:asciiTheme="minorHAnsi" w:hAnsiTheme="minorHAnsi" w:cs="Arial"/>
          <w:szCs w:val="22"/>
        </w:rPr>
        <w:t>s pre-existing duties in relation to submissions concerning the exercise of the sentencing discretion.  See “</w:t>
      </w:r>
      <w:r w:rsidR="0077550B">
        <w:rPr>
          <w:rFonts w:asciiTheme="minorHAnsi" w:hAnsiTheme="minorHAnsi" w:cs="Arial"/>
          <w:szCs w:val="22"/>
        </w:rPr>
        <w:fldChar w:fldCharType="begin"/>
      </w:r>
      <w:r w:rsidR="0077550B">
        <w:rPr>
          <w:rFonts w:asciiTheme="minorHAnsi" w:hAnsiTheme="minorHAnsi" w:cs="Arial"/>
          <w:szCs w:val="22"/>
        </w:rPr>
        <w:instrText xml:space="preserve"> REF _Ref509226948 \r \h  \* MERGEFORMAT </w:instrText>
      </w:r>
      <w:r w:rsidR="0077550B">
        <w:rPr>
          <w:rFonts w:asciiTheme="minorHAnsi" w:hAnsiTheme="minorHAnsi" w:cs="Arial"/>
          <w:szCs w:val="22"/>
        </w:rPr>
      </w:r>
      <w:r w:rsidR="0077550B">
        <w:rPr>
          <w:rFonts w:asciiTheme="minorHAnsi" w:hAnsiTheme="minorHAnsi" w:cs="Arial"/>
          <w:szCs w:val="22"/>
        </w:rPr>
        <w:fldChar w:fldCharType="separate"/>
      </w:r>
      <w:r w:rsidR="00D44BCF">
        <w:rPr>
          <w:rFonts w:asciiTheme="minorHAnsi" w:hAnsiTheme="minorHAnsi" w:cs="Arial"/>
          <w:szCs w:val="22"/>
        </w:rPr>
        <w:t>7.1.1</w:t>
      </w:r>
      <w:r w:rsidR="0077550B">
        <w:rPr>
          <w:rFonts w:asciiTheme="minorHAnsi" w:hAnsiTheme="minorHAnsi" w:cs="Arial"/>
          <w:szCs w:val="22"/>
        </w:rPr>
        <w:fldChar w:fldCharType="end"/>
      </w:r>
      <w:r w:rsidR="0077550B">
        <w:rPr>
          <w:rFonts w:asciiTheme="minorHAnsi" w:hAnsiTheme="minorHAnsi" w:cs="Arial"/>
          <w:szCs w:val="22"/>
        </w:rPr>
        <w:t xml:space="preserve"> </w:t>
      </w:r>
      <w:r w:rsidR="0077550B">
        <w:rPr>
          <w:rFonts w:asciiTheme="minorHAnsi" w:hAnsiTheme="minorHAnsi" w:cs="Arial"/>
          <w:szCs w:val="22"/>
        </w:rPr>
        <w:fldChar w:fldCharType="begin"/>
      </w:r>
      <w:r w:rsidR="0077550B">
        <w:rPr>
          <w:rFonts w:asciiTheme="minorHAnsi" w:hAnsiTheme="minorHAnsi" w:cs="Arial"/>
          <w:szCs w:val="22"/>
        </w:rPr>
        <w:instrText xml:space="preserve"> REF _Ref509226951 \h  \* MERGEFORMAT </w:instrText>
      </w:r>
      <w:r w:rsidR="0077550B">
        <w:rPr>
          <w:rFonts w:asciiTheme="minorHAnsi" w:hAnsiTheme="minorHAnsi" w:cs="Arial"/>
          <w:szCs w:val="22"/>
        </w:rPr>
      </w:r>
      <w:r w:rsidR="0077550B">
        <w:rPr>
          <w:rFonts w:asciiTheme="minorHAnsi" w:hAnsiTheme="minorHAnsi" w:cs="Arial"/>
          <w:szCs w:val="22"/>
        </w:rPr>
        <w:fldChar w:fldCharType="separate"/>
      </w:r>
      <w:r w:rsidR="00D44BCF" w:rsidRPr="00D44BCF">
        <w:rPr>
          <w:rFonts w:asciiTheme="minorHAnsi" w:hAnsiTheme="minorHAnsi" w:cs="Arial"/>
          <w:szCs w:val="22"/>
        </w:rPr>
        <w:t>Prosecution not permitted or obliged to submit range of sentences</w:t>
      </w:r>
      <w:r w:rsidR="0077550B">
        <w:rPr>
          <w:rFonts w:asciiTheme="minorHAnsi" w:hAnsiTheme="minorHAnsi" w:cs="Arial"/>
          <w:szCs w:val="22"/>
        </w:rPr>
        <w:fldChar w:fldCharType="end"/>
      </w:r>
      <w:r w:rsidR="0077550B">
        <w:rPr>
          <w:rFonts w:asciiTheme="minorHAnsi" w:hAnsiTheme="minorHAnsi" w:cs="Arial"/>
          <w:szCs w:val="22"/>
        </w:rPr>
        <w:t>”.</w:t>
      </w:r>
    </w:p>
    <w:p w14:paraId="39F882D8" w14:textId="77777777" w:rsidR="003D4A85" w:rsidRDefault="003D4A85" w:rsidP="003D4A85">
      <w:pPr>
        <w:pStyle w:val="ListParagraph"/>
        <w:rPr>
          <w:rFonts w:asciiTheme="minorHAnsi" w:hAnsiTheme="minorHAnsi"/>
        </w:rPr>
      </w:pPr>
    </w:p>
    <w:p w14:paraId="5EF30F58" w14:textId="37F293FB" w:rsidR="00561F84" w:rsidRDefault="00561F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w:t>
      </w:r>
      <w:r w:rsidR="008D5581">
        <w:rPr>
          <w:rFonts w:asciiTheme="minorHAnsi" w:hAnsiTheme="minorHAnsi"/>
        </w:rPr>
        <w:t>e</w:t>
      </w:r>
      <w:r>
        <w:rPr>
          <w:rFonts w:asciiTheme="minorHAnsi" w:hAnsiTheme="minorHAnsi"/>
        </w:rPr>
        <w:t xml:space="preserve"> obligations </w:t>
      </w:r>
      <w:r w:rsidR="008D5581">
        <w:rPr>
          <w:rFonts w:asciiTheme="minorHAnsi" w:hAnsiTheme="minorHAnsi"/>
        </w:rPr>
        <w:t xml:space="preserve">of the prosecution </w:t>
      </w:r>
      <w:r>
        <w:rPr>
          <w:rFonts w:asciiTheme="minorHAnsi" w:hAnsiTheme="minorHAnsi"/>
        </w:rPr>
        <w:t>include the following:</w:t>
      </w:r>
    </w:p>
    <w:p w14:paraId="31B3CCC6" w14:textId="4B36AA52" w:rsidR="00561F84" w:rsidRDefault="00322E06" w:rsidP="00EB7F1E">
      <w:pPr>
        <w:pStyle w:val="ListParagraph"/>
        <w:numPr>
          <w:ilvl w:val="0"/>
          <w:numId w:val="83"/>
        </w:numPr>
        <w:spacing w:line="276" w:lineRule="auto"/>
        <w:ind w:left="993" w:hanging="426"/>
        <w:rPr>
          <w:rFonts w:asciiTheme="minorHAnsi" w:hAnsiTheme="minorHAnsi"/>
        </w:rPr>
      </w:pPr>
      <w:r>
        <w:rPr>
          <w:rFonts w:asciiTheme="minorHAnsi" w:hAnsiTheme="minorHAnsi"/>
        </w:rPr>
        <w:t xml:space="preserve">The prosecution must </w:t>
      </w:r>
      <w:r w:rsidRPr="00601F1A">
        <w:rPr>
          <w:rFonts w:asciiTheme="minorHAnsi" w:hAnsiTheme="minorHAnsi"/>
        </w:rPr>
        <w:t>make clear what type of sentencing disposition, whether imprisonment or otherwise, it contends is necessary or appropriate.</w:t>
      </w:r>
      <w:r w:rsidR="0077550B" w:rsidRPr="00C00000">
        <w:rPr>
          <w:rStyle w:val="FootnoteReference"/>
          <w:rFonts w:asciiTheme="minorHAnsi" w:hAnsiTheme="minorHAnsi"/>
        </w:rPr>
        <w:footnoteReference w:id="1008"/>
      </w:r>
    </w:p>
    <w:p w14:paraId="18EAAE1F" w14:textId="48C41CF7" w:rsidR="00322E06" w:rsidRDefault="00322E06" w:rsidP="00EB7F1E">
      <w:pPr>
        <w:pStyle w:val="ListParagraph"/>
        <w:numPr>
          <w:ilvl w:val="0"/>
          <w:numId w:val="83"/>
        </w:numPr>
        <w:spacing w:line="276" w:lineRule="auto"/>
        <w:ind w:left="993" w:hanging="426"/>
        <w:rPr>
          <w:rFonts w:asciiTheme="minorHAnsi" w:hAnsiTheme="minorHAnsi"/>
        </w:rPr>
      </w:pPr>
      <w:r w:rsidRPr="00601F1A">
        <w:rPr>
          <w:rFonts w:asciiTheme="minorHAnsi" w:hAnsiTheme="minorHAnsi"/>
        </w:rPr>
        <w:t xml:space="preserve">If it is submitted for an offender that he or she should receive a non-custodial disposition or a suspended term of imprisonment, </w:t>
      </w:r>
      <w:r w:rsidR="003E0521">
        <w:rPr>
          <w:rFonts w:asciiTheme="minorHAnsi" w:hAnsiTheme="minorHAnsi"/>
        </w:rPr>
        <w:t xml:space="preserve">or if the </w:t>
      </w:r>
      <w:r w:rsidR="00793B11">
        <w:rPr>
          <w:rFonts w:asciiTheme="minorHAnsi" w:hAnsiTheme="minorHAnsi"/>
        </w:rPr>
        <w:t xml:space="preserve">sentencing </w:t>
      </w:r>
      <w:r w:rsidR="003E0521">
        <w:rPr>
          <w:rFonts w:asciiTheme="minorHAnsi" w:hAnsiTheme="minorHAnsi"/>
        </w:rPr>
        <w:t xml:space="preserve">judge indicates that he or she is considering such a course, </w:t>
      </w:r>
      <w:r w:rsidRPr="00601F1A">
        <w:rPr>
          <w:rFonts w:asciiTheme="minorHAnsi" w:hAnsiTheme="minorHAnsi"/>
        </w:rPr>
        <w:t xml:space="preserve">the </w:t>
      </w:r>
      <w:r w:rsidR="00EF6A17">
        <w:rPr>
          <w:rFonts w:asciiTheme="minorHAnsi" w:hAnsiTheme="minorHAnsi"/>
        </w:rPr>
        <w:t>prosecution</w:t>
      </w:r>
      <w:r w:rsidRPr="00601F1A">
        <w:rPr>
          <w:rFonts w:asciiTheme="minorHAnsi" w:hAnsiTheme="minorHAnsi"/>
        </w:rPr>
        <w:t xml:space="preserve"> should make clear whether it contends, and if so why, a disposition of the kind proposed would not be a proper exercise of sentencing discretion.</w:t>
      </w:r>
      <w:r w:rsidRPr="00C00000">
        <w:rPr>
          <w:rStyle w:val="Style"/>
          <w:rFonts w:asciiTheme="minorHAnsi" w:hAnsiTheme="minorHAnsi"/>
        </w:rPr>
        <w:footnoteReference w:id="1009"/>
      </w:r>
      <w:r w:rsidR="00E861F5">
        <w:rPr>
          <w:rFonts w:asciiTheme="minorHAnsi" w:hAnsiTheme="minorHAnsi"/>
        </w:rPr>
        <w:t xml:space="preserve">  </w:t>
      </w:r>
      <w:r w:rsidR="00567729">
        <w:rPr>
          <w:rFonts w:asciiTheme="minorHAnsi" w:hAnsiTheme="minorHAnsi"/>
        </w:rPr>
        <w:t xml:space="preserve">For example, </w:t>
      </w:r>
      <w:r w:rsidR="00E861F5">
        <w:rPr>
          <w:rFonts w:asciiTheme="minorHAnsi" w:hAnsiTheme="minorHAnsi"/>
        </w:rPr>
        <w:t xml:space="preserve">opposition to a wholly-suspended sentence </w:t>
      </w:r>
      <w:r w:rsidR="00567729">
        <w:rPr>
          <w:rFonts w:asciiTheme="minorHAnsi" w:hAnsiTheme="minorHAnsi"/>
        </w:rPr>
        <w:t xml:space="preserve">may be expressed by </w:t>
      </w:r>
      <w:r w:rsidR="00E861F5">
        <w:rPr>
          <w:rFonts w:asciiTheme="minorHAnsi" w:hAnsiTheme="minorHAnsi"/>
        </w:rPr>
        <w:t>submit</w:t>
      </w:r>
      <w:r w:rsidR="00567729">
        <w:rPr>
          <w:rFonts w:asciiTheme="minorHAnsi" w:hAnsiTheme="minorHAnsi"/>
        </w:rPr>
        <w:t>ting</w:t>
      </w:r>
      <w:r w:rsidR="00E861F5">
        <w:rPr>
          <w:rFonts w:asciiTheme="minorHAnsi" w:hAnsiTheme="minorHAnsi"/>
        </w:rPr>
        <w:t xml:space="preserve"> </w:t>
      </w:r>
      <w:r w:rsidR="00E861F5" w:rsidRPr="00E861F5">
        <w:rPr>
          <w:rFonts w:asciiTheme="minorHAnsi" w:hAnsiTheme="minorHAnsi"/>
        </w:rPr>
        <w:t>that</w:t>
      </w:r>
      <w:r w:rsidR="002E00DC">
        <w:rPr>
          <w:rFonts w:asciiTheme="minorHAnsi" w:hAnsiTheme="minorHAnsi"/>
        </w:rPr>
        <w:t>, for specified reasons,</w:t>
      </w:r>
      <w:r w:rsidR="00E861F5" w:rsidRPr="00E861F5">
        <w:rPr>
          <w:rFonts w:asciiTheme="minorHAnsi" w:hAnsiTheme="minorHAnsi"/>
        </w:rPr>
        <w:t xml:space="preserve"> an immediate custodial sentence is the only </w:t>
      </w:r>
      <w:r w:rsidR="005D2110">
        <w:rPr>
          <w:rFonts w:asciiTheme="minorHAnsi" w:hAnsiTheme="minorHAnsi"/>
        </w:rPr>
        <w:t>appropriate</w:t>
      </w:r>
      <w:r w:rsidR="005D2110" w:rsidRPr="00E861F5">
        <w:rPr>
          <w:rFonts w:asciiTheme="minorHAnsi" w:hAnsiTheme="minorHAnsi"/>
        </w:rPr>
        <w:t xml:space="preserve"> </w:t>
      </w:r>
      <w:r w:rsidR="00E861F5" w:rsidRPr="00E861F5">
        <w:rPr>
          <w:rFonts w:asciiTheme="minorHAnsi" w:hAnsiTheme="minorHAnsi"/>
        </w:rPr>
        <w:t>option</w:t>
      </w:r>
      <w:r w:rsidR="00E861F5">
        <w:rPr>
          <w:rFonts w:asciiTheme="minorHAnsi" w:hAnsiTheme="minorHAnsi"/>
        </w:rPr>
        <w:t>.</w:t>
      </w:r>
      <w:r w:rsidR="00E861F5" w:rsidRPr="00C00000">
        <w:rPr>
          <w:rStyle w:val="Style"/>
          <w:rFonts w:asciiTheme="minorHAnsi" w:hAnsiTheme="minorHAnsi"/>
        </w:rPr>
        <w:footnoteReference w:id="1010"/>
      </w:r>
    </w:p>
    <w:p w14:paraId="3A550CA9" w14:textId="07801FCF" w:rsidR="00561F84" w:rsidRDefault="00561F84" w:rsidP="00EB7F1E">
      <w:pPr>
        <w:pStyle w:val="ListParagraph"/>
        <w:numPr>
          <w:ilvl w:val="0"/>
          <w:numId w:val="83"/>
        </w:numPr>
        <w:spacing w:line="276" w:lineRule="auto"/>
        <w:ind w:left="993" w:hanging="426"/>
        <w:rPr>
          <w:rFonts w:asciiTheme="minorHAnsi" w:hAnsiTheme="minorHAnsi"/>
        </w:rPr>
      </w:pPr>
      <w:r w:rsidRPr="00B85772">
        <w:rPr>
          <w:rFonts w:asciiTheme="minorHAnsi" w:hAnsiTheme="minorHAnsi"/>
        </w:rPr>
        <w:t xml:space="preserve">If </w:t>
      </w:r>
      <w:r>
        <w:rPr>
          <w:rFonts w:asciiTheme="minorHAnsi" w:hAnsiTheme="minorHAnsi"/>
        </w:rPr>
        <w:t xml:space="preserve">the prosecution contends that a sentence of imprisonment is the only appropriate option, the prosecution </w:t>
      </w:r>
      <w:r w:rsidR="002120AC">
        <w:rPr>
          <w:rFonts w:asciiTheme="minorHAnsi" w:hAnsiTheme="minorHAnsi"/>
        </w:rPr>
        <w:t>should</w:t>
      </w:r>
      <w:r>
        <w:rPr>
          <w:rFonts w:asciiTheme="minorHAnsi" w:hAnsiTheme="minorHAnsi"/>
        </w:rPr>
        <w:t xml:space="preserve"> also make clear </w:t>
      </w:r>
      <w:r w:rsidR="00085080">
        <w:rPr>
          <w:rFonts w:asciiTheme="minorHAnsi" w:hAnsiTheme="minorHAnsi"/>
        </w:rPr>
        <w:t xml:space="preserve">(if applicable) that </w:t>
      </w:r>
      <w:r>
        <w:rPr>
          <w:rFonts w:asciiTheme="minorHAnsi" w:hAnsiTheme="minorHAnsi"/>
        </w:rPr>
        <w:t>the appropriate head sentence or aggregate sentence should be such that a recognizance release order is not available, or that a recognizance release order is presumptively required</w:t>
      </w:r>
      <w:r w:rsidR="00085080">
        <w:rPr>
          <w:rFonts w:asciiTheme="minorHAnsi" w:hAnsiTheme="minorHAnsi"/>
        </w:rPr>
        <w:t xml:space="preserve"> (as the case may be)</w:t>
      </w:r>
      <w:r>
        <w:rPr>
          <w:rFonts w:asciiTheme="minorHAnsi" w:hAnsiTheme="minorHAnsi"/>
        </w:rPr>
        <w:t>.</w:t>
      </w:r>
      <w:r w:rsidR="00423814" w:rsidRPr="00C00000">
        <w:rPr>
          <w:rStyle w:val="FootnoteReference"/>
          <w:rFonts w:asciiTheme="minorHAnsi" w:hAnsiTheme="minorHAnsi"/>
        </w:rPr>
        <w:footnoteReference w:id="1011"/>
      </w:r>
    </w:p>
    <w:p w14:paraId="273D65CB" w14:textId="0C6872CC" w:rsidR="00E861F5" w:rsidRDefault="00E861F5" w:rsidP="00EB7F1E">
      <w:pPr>
        <w:pStyle w:val="ListParagraph"/>
        <w:numPr>
          <w:ilvl w:val="0"/>
          <w:numId w:val="83"/>
        </w:numPr>
        <w:spacing w:line="276" w:lineRule="auto"/>
        <w:ind w:left="993" w:hanging="426"/>
        <w:rPr>
          <w:rFonts w:asciiTheme="minorHAnsi" w:hAnsiTheme="minorHAnsi"/>
        </w:rPr>
      </w:pPr>
      <w:r w:rsidRPr="00601F1A">
        <w:rPr>
          <w:rFonts w:asciiTheme="minorHAnsi" w:hAnsiTheme="minorHAnsi"/>
        </w:rPr>
        <w:t>If it is submitted for an offender</w:t>
      </w:r>
      <w:r>
        <w:rPr>
          <w:rFonts w:asciiTheme="minorHAnsi" w:hAnsiTheme="minorHAnsi"/>
        </w:rPr>
        <w:t xml:space="preserve"> that an aggregate penalty should be imposed for two or more offences</w:t>
      </w:r>
      <w:r w:rsidRPr="00601F1A">
        <w:rPr>
          <w:rFonts w:asciiTheme="minorHAnsi" w:hAnsiTheme="minorHAnsi"/>
        </w:rPr>
        <w:t xml:space="preserve">, </w:t>
      </w:r>
      <w:r>
        <w:rPr>
          <w:rFonts w:asciiTheme="minorHAnsi" w:hAnsiTheme="minorHAnsi"/>
        </w:rPr>
        <w:t xml:space="preserve">or if the sentencing judge indicates that he or she is considering such a course, </w:t>
      </w:r>
      <w:r w:rsidRPr="00601F1A">
        <w:rPr>
          <w:rFonts w:asciiTheme="minorHAnsi" w:hAnsiTheme="minorHAnsi"/>
        </w:rPr>
        <w:t xml:space="preserve">the </w:t>
      </w:r>
      <w:r>
        <w:rPr>
          <w:rFonts w:asciiTheme="minorHAnsi" w:hAnsiTheme="minorHAnsi"/>
        </w:rPr>
        <w:t xml:space="preserve">prosecution </w:t>
      </w:r>
      <w:r w:rsidRPr="00601F1A">
        <w:rPr>
          <w:rFonts w:asciiTheme="minorHAnsi" w:hAnsiTheme="minorHAnsi"/>
        </w:rPr>
        <w:t xml:space="preserve">should make clear whether it contends, and if so why, </w:t>
      </w:r>
      <w:r>
        <w:rPr>
          <w:rFonts w:asciiTheme="minorHAnsi" w:hAnsiTheme="minorHAnsi"/>
        </w:rPr>
        <w:t>such a</w:t>
      </w:r>
      <w:r w:rsidR="000E127C">
        <w:rPr>
          <w:rFonts w:asciiTheme="minorHAnsi" w:hAnsiTheme="minorHAnsi"/>
        </w:rPr>
        <w:t>n aggregate</w:t>
      </w:r>
      <w:r>
        <w:rPr>
          <w:rFonts w:asciiTheme="minorHAnsi" w:hAnsiTheme="minorHAnsi"/>
        </w:rPr>
        <w:t xml:space="preserve"> penalty</w:t>
      </w:r>
      <w:r w:rsidRPr="00601F1A">
        <w:rPr>
          <w:rFonts w:asciiTheme="minorHAnsi" w:hAnsiTheme="minorHAnsi"/>
        </w:rPr>
        <w:t xml:space="preserve"> would not be a proper exercise of sentencing discretion.</w:t>
      </w:r>
      <w:r w:rsidRPr="00C00000">
        <w:rPr>
          <w:rStyle w:val="Style"/>
          <w:rFonts w:asciiTheme="minorHAnsi" w:hAnsiTheme="minorHAnsi"/>
        </w:rPr>
        <w:footnoteReference w:id="1012"/>
      </w:r>
    </w:p>
    <w:p w14:paraId="2F24DF56" w14:textId="2BEA11DA" w:rsidR="004B652A" w:rsidRPr="00970093" w:rsidRDefault="001D361B" w:rsidP="00EB7F1E">
      <w:pPr>
        <w:pStyle w:val="ListParagraph"/>
        <w:numPr>
          <w:ilvl w:val="0"/>
          <w:numId w:val="83"/>
        </w:numPr>
        <w:spacing w:line="276" w:lineRule="auto"/>
        <w:ind w:left="993" w:hanging="426"/>
        <w:rPr>
          <w:rFonts w:asciiTheme="minorHAnsi" w:hAnsiTheme="minorHAnsi"/>
        </w:rPr>
      </w:pPr>
      <w:r>
        <w:rPr>
          <w:rFonts w:asciiTheme="minorHAnsi" w:hAnsiTheme="minorHAnsi" w:cs="Arial"/>
          <w:szCs w:val="22"/>
        </w:rPr>
        <w:t xml:space="preserve">If defence </w:t>
      </w:r>
      <w:r w:rsidRPr="00E90120">
        <w:rPr>
          <w:rFonts w:asciiTheme="minorHAnsi" w:hAnsiTheme="minorHAnsi"/>
        </w:rPr>
        <w:t>counsel</w:t>
      </w:r>
      <w:r>
        <w:rPr>
          <w:rFonts w:asciiTheme="minorHAnsi" w:hAnsiTheme="minorHAnsi" w:cs="Arial"/>
          <w:szCs w:val="22"/>
        </w:rPr>
        <w:t xml:space="preserve"> contends for a particular sentence, or for a sentence within a particular range,</w:t>
      </w:r>
      <w:r w:rsidRPr="00C00000">
        <w:rPr>
          <w:rFonts w:asciiTheme="minorHAnsi" w:hAnsiTheme="minorHAnsi" w:cs="Arial"/>
          <w:szCs w:val="22"/>
        </w:rPr>
        <w:t xml:space="preserve"> it is permissible for the</w:t>
      </w:r>
      <w:r>
        <w:rPr>
          <w:rFonts w:asciiTheme="minorHAnsi" w:hAnsiTheme="minorHAnsi" w:cs="Arial"/>
          <w:szCs w:val="22"/>
        </w:rPr>
        <w:t xml:space="preserve"> prosecution</w:t>
      </w:r>
      <w:r w:rsidRPr="00C00000">
        <w:rPr>
          <w:rFonts w:asciiTheme="minorHAnsi" w:hAnsiTheme="minorHAnsi" w:cs="Arial"/>
          <w:szCs w:val="22"/>
        </w:rPr>
        <w:t xml:space="preserve"> to respond </w:t>
      </w:r>
      <w:r>
        <w:rPr>
          <w:rFonts w:asciiTheme="minorHAnsi" w:hAnsiTheme="minorHAnsi" w:cs="Arial"/>
          <w:szCs w:val="22"/>
        </w:rPr>
        <w:t>by</w:t>
      </w:r>
      <w:r w:rsidRPr="00C00000">
        <w:rPr>
          <w:rFonts w:asciiTheme="minorHAnsi" w:hAnsiTheme="minorHAnsi" w:cs="Arial"/>
          <w:szCs w:val="22"/>
        </w:rPr>
        <w:t xml:space="preserve"> tell</w:t>
      </w:r>
      <w:r>
        <w:rPr>
          <w:rFonts w:asciiTheme="minorHAnsi" w:hAnsiTheme="minorHAnsi" w:cs="Arial"/>
          <w:szCs w:val="22"/>
        </w:rPr>
        <w:t>ing</w:t>
      </w:r>
      <w:r w:rsidRPr="00C00000">
        <w:rPr>
          <w:rFonts w:asciiTheme="minorHAnsi" w:hAnsiTheme="minorHAnsi" w:cs="Arial"/>
          <w:szCs w:val="22"/>
        </w:rPr>
        <w:t xml:space="preserve"> the judge whether in </w:t>
      </w:r>
      <w:r>
        <w:rPr>
          <w:rFonts w:asciiTheme="minorHAnsi" w:hAnsiTheme="minorHAnsi" w:cs="Arial"/>
          <w:szCs w:val="22"/>
        </w:rPr>
        <w:t>its</w:t>
      </w:r>
      <w:r w:rsidRPr="00C00000">
        <w:rPr>
          <w:rFonts w:asciiTheme="minorHAnsi" w:hAnsiTheme="minorHAnsi" w:cs="Arial"/>
          <w:szCs w:val="22"/>
        </w:rPr>
        <w:t xml:space="preserve"> submission it would be open to sentence with</w:t>
      </w:r>
      <w:r w:rsidR="000E127C">
        <w:rPr>
          <w:rFonts w:asciiTheme="minorHAnsi" w:hAnsiTheme="minorHAnsi" w:cs="Arial"/>
          <w:szCs w:val="22"/>
        </w:rPr>
        <w:t>in</w:t>
      </w:r>
      <w:r w:rsidRPr="00C00000">
        <w:rPr>
          <w:rFonts w:asciiTheme="minorHAnsi" w:hAnsiTheme="minorHAnsi" w:cs="Arial"/>
          <w:szCs w:val="22"/>
        </w:rPr>
        <w:t xml:space="preserve"> that range</w:t>
      </w:r>
      <w:r>
        <w:rPr>
          <w:rFonts w:asciiTheme="minorHAnsi" w:hAnsiTheme="minorHAnsi" w:cs="Arial"/>
          <w:szCs w:val="22"/>
        </w:rPr>
        <w:t>; if the prosecution contends that it would not, it may</w:t>
      </w:r>
      <w:r w:rsidRPr="00C00000">
        <w:rPr>
          <w:rFonts w:asciiTheme="minorHAnsi" w:hAnsiTheme="minorHAnsi" w:cs="Arial"/>
          <w:szCs w:val="22"/>
        </w:rPr>
        <w:t xml:space="preserve"> rely on comparative cases, current sentencing practice and other relevant considerations in support of that contention.</w:t>
      </w:r>
      <w:r>
        <w:rPr>
          <w:rFonts w:asciiTheme="minorHAnsi" w:hAnsiTheme="minorHAnsi" w:cs="Arial"/>
          <w:szCs w:val="22"/>
        </w:rPr>
        <w:t xml:space="preserve">  However the prosecution may not respond to a defence range by putting an alternative range.</w:t>
      </w:r>
      <w:r w:rsidRPr="00C00000">
        <w:rPr>
          <w:rStyle w:val="FootnoteReference"/>
          <w:rFonts w:asciiTheme="minorHAnsi" w:hAnsiTheme="minorHAnsi"/>
        </w:rPr>
        <w:footnoteReference w:id="1013"/>
      </w:r>
    </w:p>
    <w:p w14:paraId="7E268957" w14:textId="5EDD0F3A" w:rsidR="00322E06" w:rsidRDefault="00322E06" w:rsidP="00322E06">
      <w:pPr>
        <w:pStyle w:val="ListParagraph"/>
        <w:rPr>
          <w:rFonts w:asciiTheme="minorHAnsi" w:hAnsiTheme="minorHAnsi"/>
        </w:rPr>
      </w:pPr>
    </w:p>
    <w:bookmarkEnd w:id="2644"/>
    <w:p w14:paraId="2F8D6C37" w14:textId="77777777" w:rsidR="006613E1" w:rsidRDefault="006613E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prosecution </w:t>
      </w:r>
      <w:r w:rsidRPr="00601F1A">
        <w:rPr>
          <w:rFonts w:asciiTheme="minorHAnsi" w:hAnsiTheme="minorHAnsi"/>
        </w:rPr>
        <w:t>is required to make its submissions as to sentence fairly a</w:t>
      </w:r>
      <w:r>
        <w:rPr>
          <w:rFonts w:asciiTheme="minorHAnsi" w:hAnsiTheme="minorHAnsi"/>
        </w:rPr>
        <w:t>nd in an even-handed manner; the Crown does not, as an adversary, press for a heavy sentence.</w:t>
      </w:r>
      <w:r w:rsidRPr="00C00000">
        <w:rPr>
          <w:rStyle w:val="Style"/>
          <w:rFonts w:asciiTheme="minorHAnsi" w:hAnsiTheme="minorHAnsi"/>
        </w:rPr>
        <w:footnoteReference w:id="1014"/>
      </w:r>
    </w:p>
    <w:p w14:paraId="5F7D4774" w14:textId="77777777" w:rsidR="006613E1" w:rsidRDefault="006613E1" w:rsidP="006613E1">
      <w:pPr>
        <w:pStyle w:val="ListParagraph"/>
        <w:rPr>
          <w:rFonts w:asciiTheme="minorHAnsi" w:hAnsiTheme="minorHAnsi"/>
        </w:rPr>
      </w:pPr>
    </w:p>
    <w:p w14:paraId="7FBBA1B7" w14:textId="7A19626F" w:rsidR="006057FF" w:rsidRPr="00C00000" w:rsidRDefault="006057FF" w:rsidP="008B3E81">
      <w:pPr>
        <w:pStyle w:val="Heading2"/>
        <w:rPr>
          <w:rStyle w:val="Strong"/>
          <w:b/>
        </w:rPr>
      </w:pPr>
      <w:bookmarkStart w:id="2651" w:name="_Toc33602940"/>
      <w:r w:rsidRPr="00C00000">
        <w:rPr>
          <w:rStyle w:val="Strong"/>
          <w:b/>
        </w:rPr>
        <w:t>Deferring a sentence</w:t>
      </w:r>
      <w:bookmarkEnd w:id="2651"/>
    </w:p>
    <w:p w14:paraId="5C37EE2D" w14:textId="77777777" w:rsidR="006057FF" w:rsidRPr="00C00000" w:rsidRDefault="006057FF" w:rsidP="008B3E81">
      <w:pPr>
        <w:pStyle w:val="NormalIndent"/>
        <w:keepNext/>
        <w:spacing w:line="276" w:lineRule="auto"/>
        <w:rPr>
          <w:rFonts w:asciiTheme="minorHAnsi" w:hAnsiTheme="minorHAnsi"/>
        </w:rPr>
      </w:pPr>
    </w:p>
    <w:p w14:paraId="68B9288F" w14:textId="2CFCFD72" w:rsidR="006057FF" w:rsidRDefault="00C52958">
      <w:pPr>
        <w:pStyle w:val="ListParagraph"/>
        <w:numPr>
          <w:ilvl w:val="0"/>
          <w:numId w:val="7"/>
        </w:numPr>
        <w:spacing w:line="276" w:lineRule="auto"/>
        <w:ind w:left="425" w:hanging="425"/>
        <w:contextualSpacing w:val="0"/>
        <w:rPr>
          <w:rFonts w:asciiTheme="minorHAnsi" w:hAnsiTheme="minorHAnsi" w:cs="Arial"/>
          <w:szCs w:val="22"/>
        </w:rPr>
      </w:pPr>
      <w:r w:rsidRPr="00470311">
        <w:rPr>
          <w:rFonts w:asciiTheme="minorHAnsi" w:hAnsiTheme="minorHAnsi" w:cs="Arial"/>
          <w:szCs w:val="22"/>
        </w:rPr>
        <w:t xml:space="preserve">Some </w:t>
      </w:r>
      <w:r w:rsidR="000746DA" w:rsidRPr="00470311">
        <w:rPr>
          <w:rFonts w:asciiTheme="minorHAnsi" w:hAnsiTheme="minorHAnsi" w:cs="Arial"/>
          <w:szCs w:val="22"/>
        </w:rPr>
        <w:t xml:space="preserve">State or </w:t>
      </w:r>
      <w:r w:rsidR="000746DA" w:rsidRPr="00E90120">
        <w:rPr>
          <w:rFonts w:asciiTheme="minorHAnsi" w:hAnsiTheme="minorHAnsi"/>
        </w:rPr>
        <w:t>Territory</w:t>
      </w:r>
      <w:r w:rsidR="000746DA" w:rsidRPr="00470311">
        <w:rPr>
          <w:rFonts w:asciiTheme="minorHAnsi" w:hAnsiTheme="minorHAnsi" w:cs="Arial"/>
          <w:szCs w:val="22"/>
        </w:rPr>
        <w:t xml:space="preserve"> law</w:t>
      </w:r>
      <w:r w:rsidRPr="00470311">
        <w:rPr>
          <w:rFonts w:asciiTheme="minorHAnsi" w:hAnsiTheme="minorHAnsi" w:cs="Arial"/>
          <w:szCs w:val="22"/>
        </w:rPr>
        <w:t>s</w:t>
      </w:r>
      <w:r w:rsidR="000746DA" w:rsidRPr="00470311">
        <w:rPr>
          <w:rFonts w:asciiTheme="minorHAnsi" w:hAnsiTheme="minorHAnsi" w:cs="Arial"/>
          <w:szCs w:val="22"/>
        </w:rPr>
        <w:t xml:space="preserve"> </w:t>
      </w:r>
      <w:r w:rsidRPr="00470311">
        <w:rPr>
          <w:rFonts w:asciiTheme="minorHAnsi" w:hAnsiTheme="minorHAnsi" w:cs="Arial"/>
          <w:szCs w:val="22"/>
        </w:rPr>
        <w:t xml:space="preserve">permit </w:t>
      </w:r>
      <w:r w:rsidR="000746DA" w:rsidRPr="00470311">
        <w:rPr>
          <w:rFonts w:asciiTheme="minorHAnsi" w:hAnsiTheme="minorHAnsi" w:cs="Arial"/>
          <w:szCs w:val="22"/>
        </w:rPr>
        <w:t xml:space="preserve">a sentencing court to </w:t>
      </w:r>
      <w:r w:rsidR="006057FF" w:rsidRPr="00470311">
        <w:rPr>
          <w:rFonts w:asciiTheme="minorHAnsi" w:hAnsiTheme="minorHAnsi" w:cs="Arial"/>
          <w:szCs w:val="22"/>
        </w:rPr>
        <w:t xml:space="preserve">defer sentencing an offender for </w:t>
      </w:r>
      <w:r w:rsidRPr="00470311">
        <w:rPr>
          <w:rFonts w:asciiTheme="minorHAnsi" w:hAnsiTheme="minorHAnsi" w:cs="Arial"/>
          <w:szCs w:val="22"/>
        </w:rPr>
        <w:t>a period of time.</w:t>
      </w:r>
      <w:r w:rsidR="005D2110" w:rsidRPr="00C00000">
        <w:rPr>
          <w:rStyle w:val="Style"/>
          <w:rFonts w:asciiTheme="minorHAnsi" w:hAnsiTheme="minorHAnsi"/>
        </w:rPr>
        <w:footnoteReference w:id="1015"/>
      </w:r>
      <w:r w:rsidR="006057FF" w:rsidRPr="00470311">
        <w:rPr>
          <w:rFonts w:asciiTheme="minorHAnsi" w:hAnsiTheme="minorHAnsi" w:cs="Arial"/>
          <w:szCs w:val="22"/>
        </w:rPr>
        <w:t xml:space="preserve"> </w:t>
      </w:r>
      <w:r w:rsidRPr="00470311">
        <w:rPr>
          <w:rFonts w:asciiTheme="minorHAnsi" w:hAnsiTheme="minorHAnsi" w:cs="Arial"/>
          <w:szCs w:val="22"/>
        </w:rPr>
        <w:t xml:space="preserve"> Since there is no express or implicit Commonwealth provision to the contrary, and since such powers can be </w:t>
      </w:r>
      <w:r w:rsidR="00F47D0C">
        <w:rPr>
          <w:rFonts w:asciiTheme="minorHAnsi" w:hAnsiTheme="minorHAnsi" w:cs="Arial"/>
          <w:szCs w:val="22"/>
        </w:rPr>
        <w:t>character</w:t>
      </w:r>
      <w:r w:rsidR="00B86888">
        <w:rPr>
          <w:rFonts w:asciiTheme="minorHAnsi" w:hAnsiTheme="minorHAnsi" w:cs="Arial"/>
          <w:szCs w:val="22"/>
        </w:rPr>
        <w:t>ised</w:t>
      </w:r>
      <w:r w:rsidRPr="00470311">
        <w:rPr>
          <w:rFonts w:asciiTheme="minorHAnsi" w:hAnsiTheme="minorHAnsi" w:cs="Arial"/>
          <w:szCs w:val="22"/>
        </w:rPr>
        <w:t xml:space="preserve"> as matters of procedure, </w:t>
      </w:r>
      <w:r w:rsidR="00470311" w:rsidRPr="00470311">
        <w:rPr>
          <w:rFonts w:asciiTheme="minorHAnsi" w:hAnsiTheme="minorHAnsi" w:cs="Arial"/>
          <w:szCs w:val="22"/>
        </w:rPr>
        <w:t xml:space="preserve">such State or Territory laws are probably </w:t>
      </w:r>
      <w:r w:rsidR="006057FF" w:rsidRPr="00470311">
        <w:rPr>
          <w:rFonts w:asciiTheme="minorHAnsi" w:hAnsiTheme="minorHAnsi" w:cs="Arial"/>
          <w:szCs w:val="22"/>
        </w:rPr>
        <w:t xml:space="preserve">picked up and made applicable to </w:t>
      </w:r>
      <w:r w:rsidR="00470311" w:rsidRPr="00470311">
        <w:rPr>
          <w:rFonts w:asciiTheme="minorHAnsi" w:hAnsiTheme="minorHAnsi" w:cs="Arial"/>
          <w:szCs w:val="22"/>
        </w:rPr>
        <w:t xml:space="preserve">the sentencing of </w:t>
      </w:r>
      <w:r w:rsidR="006057FF" w:rsidRPr="00470311">
        <w:rPr>
          <w:rFonts w:asciiTheme="minorHAnsi" w:hAnsiTheme="minorHAnsi" w:cs="Arial"/>
          <w:szCs w:val="22"/>
        </w:rPr>
        <w:t xml:space="preserve">federal offenders by s 68 </w:t>
      </w:r>
      <w:r w:rsidR="006877E8">
        <w:rPr>
          <w:rFonts w:asciiTheme="minorHAnsi" w:hAnsiTheme="minorHAnsi" w:cs="Arial"/>
          <w:szCs w:val="22"/>
        </w:rPr>
        <w:t xml:space="preserve">or s 79 </w:t>
      </w:r>
      <w:r w:rsidR="006057FF" w:rsidRPr="00470311">
        <w:rPr>
          <w:rFonts w:asciiTheme="minorHAnsi" w:hAnsiTheme="minorHAnsi" w:cs="Arial"/>
          <w:szCs w:val="22"/>
        </w:rPr>
        <w:t xml:space="preserve">of the </w:t>
      </w:r>
      <w:r w:rsidR="006057FF" w:rsidRPr="00470311">
        <w:rPr>
          <w:rFonts w:asciiTheme="minorHAnsi" w:hAnsiTheme="minorHAnsi" w:cs="Arial"/>
          <w:i/>
          <w:iCs/>
          <w:szCs w:val="22"/>
        </w:rPr>
        <w:t xml:space="preserve">Judiciary Act 1903 </w:t>
      </w:r>
      <w:r w:rsidR="006057FF" w:rsidRPr="00470311">
        <w:rPr>
          <w:rFonts w:asciiTheme="minorHAnsi" w:hAnsiTheme="minorHAnsi" w:cs="Arial"/>
          <w:szCs w:val="22"/>
        </w:rPr>
        <w:t>(Cth)</w:t>
      </w:r>
      <w:r w:rsidR="00470311" w:rsidRPr="00470311">
        <w:rPr>
          <w:rFonts w:asciiTheme="minorHAnsi" w:hAnsiTheme="minorHAnsi" w:cs="Arial"/>
          <w:szCs w:val="22"/>
        </w:rPr>
        <w:t xml:space="preserve"> or (if the offender is “a child or young person”) by </w:t>
      </w:r>
      <w:r w:rsidR="006057FF" w:rsidRPr="00470311">
        <w:rPr>
          <w:rFonts w:asciiTheme="minorHAnsi" w:hAnsiTheme="minorHAnsi" w:cs="Arial"/>
          <w:szCs w:val="22"/>
        </w:rPr>
        <w:t xml:space="preserve">s 20C of the </w:t>
      </w:r>
      <w:r w:rsidR="00885EFD" w:rsidRPr="00885EFD">
        <w:rPr>
          <w:rFonts w:asciiTheme="minorHAnsi" w:hAnsiTheme="minorHAnsi" w:cs="Arial"/>
          <w:i/>
          <w:iCs/>
          <w:szCs w:val="22"/>
        </w:rPr>
        <w:t>Crimes Act 1914</w:t>
      </w:r>
      <w:r w:rsidR="006057FF" w:rsidRPr="00470311">
        <w:rPr>
          <w:rFonts w:asciiTheme="minorHAnsi" w:hAnsiTheme="minorHAnsi" w:cs="Arial"/>
          <w:i/>
          <w:iCs/>
          <w:szCs w:val="22"/>
        </w:rPr>
        <w:t xml:space="preserve"> </w:t>
      </w:r>
      <w:r w:rsidR="006057FF" w:rsidRPr="00470311">
        <w:rPr>
          <w:rFonts w:asciiTheme="minorHAnsi" w:hAnsiTheme="minorHAnsi" w:cs="Arial"/>
          <w:szCs w:val="22"/>
        </w:rPr>
        <w:t xml:space="preserve">(Cth). </w:t>
      </w:r>
    </w:p>
    <w:p w14:paraId="273732FA" w14:textId="77777777" w:rsidR="00414B12" w:rsidRPr="00EB7F1E" w:rsidRDefault="00414B12" w:rsidP="00EB7F1E">
      <w:pPr>
        <w:spacing w:line="276" w:lineRule="auto"/>
        <w:rPr>
          <w:rFonts w:asciiTheme="minorHAnsi" w:hAnsiTheme="minorHAnsi" w:cs="Arial"/>
          <w:szCs w:val="22"/>
        </w:rPr>
      </w:pPr>
    </w:p>
    <w:p w14:paraId="3544A054" w14:textId="6CDE91C6" w:rsidR="00414B12" w:rsidRPr="00470311" w:rsidRDefault="00E02FC3" w:rsidP="00EB7F1E">
      <w:pPr>
        <w:pStyle w:val="ListParagraph"/>
        <w:numPr>
          <w:ilvl w:val="0"/>
          <w:numId w:val="7"/>
        </w:numPr>
        <w:spacing w:line="276" w:lineRule="auto"/>
        <w:ind w:left="425" w:hanging="425"/>
        <w:contextualSpacing w:val="0"/>
        <w:rPr>
          <w:rFonts w:asciiTheme="minorHAnsi" w:hAnsiTheme="minorHAnsi" w:cs="Arial"/>
          <w:szCs w:val="22"/>
        </w:rPr>
      </w:pPr>
      <w:r>
        <w:rPr>
          <w:rFonts w:asciiTheme="minorHAnsi" w:hAnsiTheme="minorHAnsi" w:cs="Arial"/>
          <w:szCs w:val="22"/>
        </w:rPr>
        <w:t>In addition, subject to any statutory requirement, a court has power to defer sentencing for any proper purpose affecting the sentencing task.</w:t>
      </w:r>
      <w:r w:rsidRPr="00C00000">
        <w:rPr>
          <w:rStyle w:val="Style"/>
          <w:rFonts w:asciiTheme="minorHAnsi" w:hAnsiTheme="minorHAnsi"/>
        </w:rPr>
        <w:footnoteReference w:id="1016"/>
      </w:r>
    </w:p>
    <w:p w14:paraId="2255EB97" w14:textId="77777777" w:rsidR="006057FF" w:rsidRPr="00C00000" w:rsidRDefault="006057FF" w:rsidP="006057FF">
      <w:pPr>
        <w:pStyle w:val="ListParagraph"/>
        <w:spacing w:line="276" w:lineRule="auto"/>
        <w:ind w:left="567" w:right="170"/>
        <w:contextualSpacing w:val="0"/>
        <w:rPr>
          <w:rFonts w:asciiTheme="minorHAnsi" w:hAnsiTheme="minorHAnsi" w:cs="Arial"/>
          <w:szCs w:val="22"/>
        </w:rPr>
      </w:pPr>
    </w:p>
    <w:p w14:paraId="553BBA13" w14:textId="49DAE190" w:rsidR="006057FF" w:rsidRPr="00C00000" w:rsidRDefault="006057FF" w:rsidP="008B3E81">
      <w:pPr>
        <w:pStyle w:val="Heading2"/>
        <w:rPr>
          <w:rStyle w:val="Strong"/>
          <w:b/>
        </w:rPr>
      </w:pPr>
      <w:bookmarkStart w:id="2652" w:name="_Toc33602941"/>
      <w:r w:rsidRPr="00C00000">
        <w:rPr>
          <w:rStyle w:val="Strong"/>
          <w:b/>
        </w:rPr>
        <w:t>Diversion</w:t>
      </w:r>
      <w:bookmarkEnd w:id="2652"/>
    </w:p>
    <w:p w14:paraId="6F5E49E9" w14:textId="77777777" w:rsidR="006057FF" w:rsidRPr="00C00000" w:rsidRDefault="006057FF" w:rsidP="008B3E81">
      <w:pPr>
        <w:pStyle w:val="NormalIndent"/>
        <w:keepNext/>
        <w:spacing w:line="276" w:lineRule="auto"/>
        <w:rPr>
          <w:rFonts w:asciiTheme="minorHAnsi" w:hAnsiTheme="minorHAnsi"/>
        </w:rPr>
      </w:pPr>
    </w:p>
    <w:p w14:paraId="26DDF673" w14:textId="5424FCE3" w:rsidR="00A675C2" w:rsidRDefault="0047031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Statutory diversion programs under State or Territory law (for example, </w:t>
      </w:r>
      <w:r w:rsidRPr="00C00000">
        <w:rPr>
          <w:rFonts w:asciiTheme="minorHAnsi" w:hAnsiTheme="minorHAnsi"/>
        </w:rPr>
        <w:t xml:space="preserve">s 59 of the </w:t>
      </w:r>
      <w:r w:rsidRPr="00C00000">
        <w:rPr>
          <w:rFonts w:asciiTheme="minorHAnsi" w:hAnsiTheme="minorHAnsi"/>
          <w:i/>
        </w:rPr>
        <w:t xml:space="preserve">Criminal Procedure Act 2009 </w:t>
      </w:r>
      <w:r w:rsidRPr="00C00000">
        <w:rPr>
          <w:rFonts w:asciiTheme="minorHAnsi" w:hAnsiTheme="minorHAnsi"/>
        </w:rPr>
        <w:t>(Vic)</w:t>
      </w:r>
      <w:r>
        <w:rPr>
          <w:rFonts w:asciiTheme="minorHAnsi" w:hAnsiTheme="minorHAnsi"/>
        </w:rPr>
        <w:t>)</w:t>
      </w:r>
      <w:r w:rsidRPr="00C00000">
        <w:rPr>
          <w:rFonts w:asciiTheme="minorHAnsi" w:hAnsiTheme="minorHAnsi"/>
        </w:rPr>
        <w:t xml:space="preserve"> </w:t>
      </w:r>
      <w:r w:rsidR="00A675C2">
        <w:rPr>
          <w:rFonts w:asciiTheme="minorHAnsi" w:hAnsiTheme="minorHAnsi"/>
        </w:rPr>
        <w:t xml:space="preserve">which do not involve </w:t>
      </w:r>
      <w:r w:rsidR="00306B1D">
        <w:rPr>
          <w:rFonts w:asciiTheme="minorHAnsi" w:hAnsiTheme="minorHAnsi"/>
        </w:rPr>
        <w:t xml:space="preserve">the imposition of a sentence </w:t>
      </w:r>
      <w:r>
        <w:rPr>
          <w:rFonts w:asciiTheme="minorHAnsi" w:hAnsiTheme="minorHAnsi"/>
        </w:rPr>
        <w:t xml:space="preserve">are also probably picked up </w:t>
      </w:r>
      <w:r w:rsidR="006A25CE">
        <w:rPr>
          <w:rFonts w:asciiTheme="minorHAnsi" w:hAnsiTheme="minorHAnsi"/>
        </w:rPr>
        <w:t xml:space="preserve">and applied to the sentencing of </w:t>
      </w:r>
      <w:r w:rsidR="006057FF" w:rsidRPr="00C00000">
        <w:rPr>
          <w:rFonts w:asciiTheme="minorHAnsi" w:hAnsiTheme="minorHAnsi"/>
        </w:rPr>
        <w:t xml:space="preserve">federal offenders by ss 68 and 79 of the </w:t>
      </w:r>
      <w:r w:rsidR="006057FF" w:rsidRPr="00C00000">
        <w:rPr>
          <w:rFonts w:asciiTheme="minorHAnsi" w:hAnsiTheme="minorHAnsi"/>
          <w:i/>
          <w:iCs/>
        </w:rPr>
        <w:t xml:space="preserve">Judiciary Act 1903 </w:t>
      </w:r>
      <w:r w:rsidR="006057FF" w:rsidRPr="00C00000">
        <w:rPr>
          <w:rFonts w:asciiTheme="minorHAnsi" w:hAnsiTheme="minorHAnsi"/>
          <w:iCs/>
        </w:rPr>
        <w:t>(Cth)</w:t>
      </w:r>
      <w:r w:rsidR="006877E8">
        <w:rPr>
          <w:rFonts w:asciiTheme="minorHAnsi" w:hAnsiTheme="minorHAnsi"/>
          <w:iCs/>
        </w:rPr>
        <w:t xml:space="preserve"> </w:t>
      </w:r>
      <w:r w:rsidR="006877E8" w:rsidRPr="00470311">
        <w:rPr>
          <w:rFonts w:asciiTheme="minorHAnsi" w:hAnsiTheme="minorHAnsi" w:cs="Arial"/>
          <w:szCs w:val="22"/>
        </w:rPr>
        <w:t xml:space="preserve">or </w:t>
      </w:r>
      <w:r w:rsidR="006877E8">
        <w:rPr>
          <w:rFonts w:asciiTheme="minorHAnsi" w:hAnsiTheme="minorHAnsi" w:cs="Arial"/>
          <w:szCs w:val="22"/>
        </w:rPr>
        <w:t>(</w:t>
      </w:r>
      <w:r w:rsidR="006877E8" w:rsidRPr="00470311">
        <w:rPr>
          <w:rFonts w:asciiTheme="minorHAnsi" w:hAnsiTheme="minorHAnsi" w:cs="Arial"/>
          <w:szCs w:val="22"/>
        </w:rPr>
        <w:t xml:space="preserve">if the offender is “a child or young person”) by s 20C of the </w:t>
      </w:r>
      <w:r w:rsidR="006877E8" w:rsidRPr="00885EFD">
        <w:rPr>
          <w:rFonts w:asciiTheme="minorHAnsi" w:hAnsiTheme="minorHAnsi" w:cs="Arial"/>
          <w:i/>
          <w:iCs/>
          <w:szCs w:val="22"/>
        </w:rPr>
        <w:t>Crimes Act 1914</w:t>
      </w:r>
      <w:r w:rsidR="006877E8" w:rsidRPr="00470311">
        <w:rPr>
          <w:rFonts w:asciiTheme="minorHAnsi" w:hAnsiTheme="minorHAnsi" w:cs="Arial"/>
          <w:i/>
          <w:iCs/>
          <w:szCs w:val="22"/>
        </w:rPr>
        <w:t xml:space="preserve"> </w:t>
      </w:r>
      <w:r w:rsidR="006877E8" w:rsidRPr="00470311">
        <w:rPr>
          <w:rFonts w:asciiTheme="minorHAnsi" w:hAnsiTheme="minorHAnsi" w:cs="Arial"/>
          <w:szCs w:val="22"/>
        </w:rPr>
        <w:t>(Cth)</w:t>
      </w:r>
      <w:r w:rsidR="006057FF" w:rsidRPr="00C00000">
        <w:rPr>
          <w:rFonts w:asciiTheme="minorHAnsi" w:hAnsiTheme="minorHAnsi"/>
        </w:rPr>
        <w:t xml:space="preserve">.  </w:t>
      </w:r>
      <w:r w:rsidR="00A675C2" w:rsidRPr="00C00000">
        <w:rPr>
          <w:rFonts w:asciiTheme="minorHAnsi" w:hAnsiTheme="minorHAnsi"/>
        </w:rPr>
        <w:t xml:space="preserve">There </w:t>
      </w:r>
      <w:r w:rsidR="00A675C2">
        <w:rPr>
          <w:rFonts w:asciiTheme="minorHAnsi" w:hAnsiTheme="minorHAnsi"/>
        </w:rPr>
        <w:t>does not appear to be any</w:t>
      </w:r>
      <w:r w:rsidR="006057FF" w:rsidRPr="00C00000">
        <w:rPr>
          <w:rFonts w:asciiTheme="minorHAnsi" w:hAnsiTheme="minorHAnsi"/>
        </w:rPr>
        <w:t xml:space="preserve"> express or implied contrary </w:t>
      </w:r>
      <w:r w:rsidR="006877E8">
        <w:rPr>
          <w:rFonts w:asciiTheme="minorHAnsi" w:hAnsiTheme="minorHAnsi"/>
        </w:rPr>
        <w:t>provision</w:t>
      </w:r>
      <w:r w:rsidR="006057FF" w:rsidRPr="00C00000">
        <w:rPr>
          <w:rFonts w:asciiTheme="minorHAnsi" w:hAnsiTheme="minorHAnsi"/>
        </w:rPr>
        <w:t xml:space="preserve"> in Commonwealth law, thus leaving room for state </w:t>
      </w:r>
      <w:r w:rsidR="006877E8">
        <w:rPr>
          <w:rFonts w:asciiTheme="minorHAnsi" w:hAnsiTheme="minorHAnsi"/>
        </w:rPr>
        <w:t xml:space="preserve">procedural </w:t>
      </w:r>
      <w:r w:rsidR="006057FF" w:rsidRPr="00C00000">
        <w:rPr>
          <w:rFonts w:asciiTheme="minorHAnsi" w:hAnsiTheme="minorHAnsi"/>
        </w:rPr>
        <w:t>law to be picked up and applied.</w:t>
      </w:r>
    </w:p>
    <w:p w14:paraId="344C0CB1" w14:textId="77777777" w:rsidR="00A675C2" w:rsidRPr="00A675C2" w:rsidRDefault="00A675C2" w:rsidP="00A675C2">
      <w:pPr>
        <w:widowControl w:val="0"/>
        <w:spacing w:line="276" w:lineRule="auto"/>
        <w:ind w:right="170"/>
        <w:rPr>
          <w:rFonts w:asciiTheme="minorHAnsi" w:hAnsiTheme="minorHAnsi"/>
        </w:rPr>
      </w:pPr>
    </w:p>
    <w:p w14:paraId="0F4655C6" w14:textId="52264FA5" w:rsidR="006057FF" w:rsidRPr="00A675C2" w:rsidRDefault="006057F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A successfully completed diversion does not form part of a person</w:t>
      </w:r>
      <w:r w:rsidR="00AA693C">
        <w:rPr>
          <w:rFonts w:asciiTheme="minorHAnsi" w:hAnsiTheme="minorHAnsi"/>
        </w:rPr>
        <w:t>’</w:t>
      </w:r>
      <w:r w:rsidRPr="00C00000">
        <w:rPr>
          <w:rFonts w:asciiTheme="minorHAnsi" w:hAnsiTheme="minorHAnsi"/>
        </w:rPr>
        <w:t>s criminal history or antecedents.</w:t>
      </w:r>
    </w:p>
    <w:p w14:paraId="760D22CF" w14:textId="77777777" w:rsidR="00A675C2" w:rsidRPr="00A675C2" w:rsidRDefault="00A675C2" w:rsidP="00A675C2">
      <w:pPr>
        <w:pStyle w:val="ListParagraph"/>
        <w:rPr>
          <w:rFonts w:asciiTheme="minorHAnsi" w:hAnsiTheme="minorHAnsi"/>
        </w:rPr>
      </w:pPr>
    </w:p>
    <w:p w14:paraId="1F5E158E" w14:textId="105714B3" w:rsidR="00A675C2" w:rsidRPr="00C00000" w:rsidRDefault="00B1321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 d</w:t>
      </w:r>
      <w:r w:rsidR="00306B1D">
        <w:rPr>
          <w:rFonts w:asciiTheme="minorHAnsi" w:hAnsiTheme="minorHAnsi"/>
        </w:rPr>
        <w:t xml:space="preserve">iversion regime under State or Territory law </w:t>
      </w:r>
      <w:r>
        <w:rPr>
          <w:rFonts w:asciiTheme="minorHAnsi" w:hAnsiTheme="minorHAnsi"/>
        </w:rPr>
        <w:t>is</w:t>
      </w:r>
      <w:r w:rsidR="00306B1D">
        <w:rPr>
          <w:rFonts w:asciiTheme="minorHAnsi" w:hAnsiTheme="minorHAnsi"/>
        </w:rPr>
        <w:t xml:space="preserve"> incapable of </w:t>
      </w:r>
      <w:r w:rsidR="00BC10F3">
        <w:rPr>
          <w:rFonts w:asciiTheme="minorHAnsi" w:hAnsiTheme="minorHAnsi"/>
        </w:rPr>
        <w:t xml:space="preserve">being </w:t>
      </w:r>
      <w:r w:rsidR="00306B1D">
        <w:rPr>
          <w:rFonts w:asciiTheme="minorHAnsi" w:hAnsiTheme="minorHAnsi"/>
        </w:rPr>
        <w:t>appl</w:t>
      </w:r>
      <w:r w:rsidR="00BC10F3">
        <w:rPr>
          <w:rFonts w:asciiTheme="minorHAnsi" w:hAnsiTheme="minorHAnsi"/>
        </w:rPr>
        <w:t>ied</w:t>
      </w:r>
      <w:r w:rsidR="00306B1D">
        <w:rPr>
          <w:rFonts w:asciiTheme="minorHAnsi" w:hAnsiTheme="minorHAnsi"/>
        </w:rPr>
        <w:t xml:space="preserve"> to federal offenders if </w:t>
      </w:r>
      <w:r>
        <w:rPr>
          <w:rFonts w:asciiTheme="minorHAnsi" w:hAnsiTheme="minorHAnsi"/>
        </w:rPr>
        <w:t xml:space="preserve">it </w:t>
      </w:r>
      <w:r w:rsidR="00306B1D">
        <w:rPr>
          <w:rFonts w:asciiTheme="minorHAnsi" w:hAnsiTheme="minorHAnsi"/>
        </w:rPr>
        <w:t>involve</w:t>
      </w:r>
      <w:r>
        <w:rPr>
          <w:rFonts w:asciiTheme="minorHAnsi" w:hAnsiTheme="minorHAnsi"/>
        </w:rPr>
        <w:t>s</w:t>
      </w:r>
      <w:r w:rsidR="00306B1D">
        <w:rPr>
          <w:rFonts w:asciiTheme="minorHAnsi" w:hAnsiTheme="minorHAnsi"/>
        </w:rPr>
        <w:t xml:space="preserve"> the exercise of judicial power by a person or body other tha</w:t>
      </w:r>
      <w:r w:rsidR="009E1FEB">
        <w:rPr>
          <w:rFonts w:asciiTheme="minorHAnsi" w:hAnsiTheme="minorHAnsi"/>
        </w:rPr>
        <w:t>n</w:t>
      </w:r>
      <w:r w:rsidR="00306B1D">
        <w:rPr>
          <w:rFonts w:asciiTheme="minorHAnsi" w:hAnsiTheme="minorHAnsi"/>
        </w:rPr>
        <w:t xml:space="preserve"> a court under Chapter III of the Constitution.</w:t>
      </w:r>
      <w:r w:rsidR="00CC460A" w:rsidRPr="00C00000">
        <w:rPr>
          <w:rStyle w:val="Style"/>
          <w:rFonts w:asciiTheme="minorHAnsi" w:hAnsiTheme="minorHAnsi"/>
        </w:rPr>
        <w:footnoteReference w:id="1017"/>
      </w:r>
    </w:p>
    <w:p w14:paraId="18555696" w14:textId="4A84DD4A" w:rsidR="006057FF" w:rsidRDefault="006057FF" w:rsidP="006057FF">
      <w:pPr>
        <w:pStyle w:val="ListParagraph"/>
        <w:widowControl w:val="0"/>
        <w:spacing w:line="276" w:lineRule="auto"/>
        <w:ind w:left="873" w:right="170"/>
        <w:contextualSpacing w:val="0"/>
        <w:rPr>
          <w:rFonts w:asciiTheme="minorHAnsi" w:hAnsiTheme="minorHAnsi"/>
        </w:rPr>
      </w:pPr>
    </w:p>
    <w:p w14:paraId="662A414A" w14:textId="0A8366F8" w:rsidR="00D905BD" w:rsidRPr="00DB63C8" w:rsidRDefault="009F69A8" w:rsidP="00EB7F1E">
      <w:pPr>
        <w:pStyle w:val="Heading2"/>
        <w:rPr>
          <w:rStyle w:val="Strong"/>
          <w:b/>
        </w:rPr>
      </w:pPr>
      <w:bookmarkStart w:id="2653" w:name="_Ref11071400"/>
      <w:bookmarkStart w:id="2654" w:name="_Ref11071403"/>
      <w:bookmarkStart w:id="2655" w:name="_Toc33602942"/>
      <w:r w:rsidRPr="00DB63C8">
        <w:rPr>
          <w:rStyle w:val="Strong"/>
          <w:b/>
        </w:rPr>
        <w:t>Court-supervised r</w:t>
      </w:r>
      <w:r w:rsidR="00D905BD" w:rsidRPr="00DB63C8">
        <w:rPr>
          <w:rStyle w:val="Strong"/>
          <w:b/>
        </w:rPr>
        <w:t>estorative justice</w:t>
      </w:r>
      <w:r w:rsidRPr="00DB63C8">
        <w:rPr>
          <w:rStyle w:val="Strong"/>
          <w:b/>
        </w:rPr>
        <w:t xml:space="preserve"> schemes</w:t>
      </w:r>
      <w:bookmarkEnd w:id="2653"/>
      <w:bookmarkEnd w:id="2654"/>
      <w:bookmarkEnd w:id="2655"/>
    </w:p>
    <w:p w14:paraId="2AF33E14" w14:textId="2899B758" w:rsidR="00D905BD" w:rsidRPr="00DB63C8" w:rsidRDefault="00D905BD" w:rsidP="00EB7F1E">
      <w:pPr>
        <w:pStyle w:val="NormalIndent"/>
        <w:keepNext/>
        <w:spacing w:line="276" w:lineRule="auto"/>
        <w:rPr>
          <w:rFonts w:asciiTheme="minorHAnsi" w:hAnsiTheme="minorHAnsi"/>
        </w:rPr>
      </w:pPr>
    </w:p>
    <w:p w14:paraId="1AA051CF" w14:textId="21E12AF3" w:rsidR="00606C92" w:rsidRPr="00DB63C8" w:rsidRDefault="009F69A8" w:rsidP="00BC723B">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A number of States and Territories have schemes by which offenders may participate in meetings with victims of the offence or their families</w:t>
      </w:r>
      <w:r w:rsidR="00606C92" w:rsidRPr="00DB63C8">
        <w:rPr>
          <w:rFonts w:asciiTheme="minorHAnsi" w:hAnsiTheme="minorHAnsi"/>
        </w:rPr>
        <w:t xml:space="preserve"> in a supervised setting</w:t>
      </w:r>
      <w:r w:rsidRPr="00DB63C8">
        <w:rPr>
          <w:rFonts w:asciiTheme="minorHAnsi" w:hAnsiTheme="minorHAnsi"/>
        </w:rPr>
        <w:t xml:space="preserve">.  Such schemes are </w:t>
      </w:r>
      <w:r w:rsidR="00140D3D" w:rsidRPr="00DB63C8">
        <w:rPr>
          <w:rFonts w:asciiTheme="minorHAnsi" w:hAnsiTheme="minorHAnsi"/>
        </w:rPr>
        <w:t xml:space="preserve">generally </w:t>
      </w:r>
      <w:r w:rsidRPr="00DB63C8">
        <w:rPr>
          <w:rFonts w:asciiTheme="minorHAnsi" w:hAnsiTheme="minorHAnsi"/>
        </w:rPr>
        <w:t>known as restorative justice schemes.</w:t>
      </w:r>
    </w:p>
    <w:p w14:paraId="0C6FC19C" w14:textId="77777777" w:rsidR="00606C92" w:rsidRPr="00DB63C8" w:rsidRDefault="00606C92" w:rsidP="00EB7F1E">
      <w:pPr>
        <w:spacing w:line="276" w:lineRule="auto"/>
        <w:rPr>
          <w:rFonts w:asciiTheme="minorHAnsi" w:hAnsiTheme="minorHAnsi"/>
        </w:rPr>
      </w:pPr>
    </w:p>
    <w:p w14:paraId="339B2275" w14:textId="77777777" w:rsidR="00606C92" w:rsidRPr="00DB63C8" w:rsidRDefault="00606C92" w:rsidP="00BC723B">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The schemes vary in relation to:</w:t>
      </w:r>
    </w:p>
    <w:p w14:paraId="2C1B851C" w14:textId="20D3076B" w:rsidR="00D905BD" w:rsidRPr="00DB63C8" w:rsidRDefault="00606C92" w:rsidP="00606C92">
      <w:pPr>
        <w:pStyle w:val="ListParagraph"/>
        <w:numPr>
          <w:ilvl w:val="1"/>
          <w:numId w:val="36"/>
        </w:numPr>
        <w:spacing w:line="276" w:lineRule="auto"/>
        <w:ind w:left="993" w:right="28" w:hanging="142"/>
        <w:rPr>
          <w:rFonts w:asciiTheme="minorHAnsi" w:hAnsiTheme="minorHAnsi"/>
        </w:rPr>
      </w:pPr>
      <w:r w:rsidRPr="00DB63C8">
        <w:rPr>
          <w:rFonts w:asciiTheme="minorHAnsi" w:hAnsiTheme="minorHAnsi"/>
        </w:rPr>
        <w:t xml:space="preserve">The classes of offenders who are eligible for the scheme.  </w:t>
      </w:r>
      <w:r w:rsidR="00244B61" w:rsidRPr="00DB63C8">
        <w:rPr>
          <w:rFonts w:asciiTheme="minorHAnsi" w:hAnsiTheme="minorHAnsi"/>
        </w:rPr>
        <w:t>Some schemes are available only to young offenders, or to indigenous offenders.  Some schemes are unavailable for particular types of offences.</w:t>
      </w:r>
    </w:p>
    <w:p w14:paraId="1B1D01E1" w14:textId="77777777" w:rsidR="00244B61" w:rsidRPr="00DB63C8" w:rsidRDefault="00244B61" w:rsidP="00606C92">
      <w:pPr>
        <w:pStyle w:val="ListParagraph"/>
        <w:numPr>
          <w:ilvl w:val="1"/>
          <w:numId w:val="36"/>
        </w:numPr>
        <w:spacing w:line="276" w:lineRule="auto"/>
        <w:ind w:left="993" w:right="28" w:hanging="142"/>
        <w:rPr>
          <w:rFonts w:asciiTheme="minorHAnsi" w:hAnsiTheme="minorHAnsi"/>
        </w:rPr>
      </w:pPr>
      <w:r w:rsidRPr="00DB63C8">
        <w:rPr>
          <w:rFonts w:asciiTheme="minorHAnsi" w:hAnsiTheme="minorHAnsi"/>
        </w:rPr>
        <w:t>The procedures for entry into the scheme.</w:t>
      </w:r>
    </w:p>
    <w:p w14:paraId="44CB6AF2" w14:textId="77777777" w:rsidR="00244B61" w:rsidRPr="00DB63C8" w:rsidRDefault="00244B61" w:rsidP="00606C92">
      <w:pPr>
        <w:pStyle w:val="ListParagraph"/>
        <w:numPr>
          <w:ilvl w:val="1"/>
          <w:numId w:val="36"/>
        </w:numPr>
        <w:spacing w:line="276" w:lineRule="auto"/>
        <w:ind w:left="993" w:right="28" w:hanging="142"/>
        <w:rPr>
          <w:rFonts w:asciiTheme="minorHAnsi" w:hAnsiTheme="minorHAnsi"/>
        </w:rPr>
      </w:pPr>
      <w:r w:rsidRPr="00DB63C8">
        <w:rPr>
          <w:rFonts w:asciiTheme="minorHAnsi" w:hAnsiTheme="minorHAnsi"/>
        </w:rPr>
        <w:t>Whether admission to the offending is a pre-condition for entry into the scheme.</w:t>
      </w:r>
    </w:p>
    <w:p w14:paraId="104C08DF" w14:textId="66B2E977" w:rsidR="00244B61" w:rsidRPr="00DB63C8" w:rsidRDefault="00244B61" w:rsidP="00606C92">
      <w:pPr>
        <w:pStyle w:val="ListParagraph"/>
        <w:numPr>
          <w:ilvl w:val="1"/>
          <w:numId w:val="36"/>
        </w:numPr>
        <w:spacing w:line="276" w:lineRule="auto"/>
        <w:ind w:left="993" w:right="28" w:hanging="142"/>
        <w:rPr>
          <w:rFonts w:asciiTheme="minorHAnsi" w:hAnsiTheme="minorHAnsi"/>
        </w:rPr>
      </w:pPr>
      <w:r w:rsidRPr="00DB63C8">
        <w:rPr>
          <w:rFonts w:asciiTheme="minorHAnsi" w:hAnsiTheme="minorHAnsi"/>
        </w:rPr>
        <w:t>Whether participation in the scheme affects criminal charges against the offender.</w:t>
      </w:r>
    </w:p>
    <w:p w14:paraId="5AD04A91" w14:textId="0C0A75D4" w:rsidR="00244B61" w:rsidRPr="00DB63C8" w:rsidRDefault="00244B61" w:rsidP="00EB7F1E">
      <w:pPr>
        <w:pStyle w:val="ListParagraph"/>
        <w:numPr>
          <w:ilvl w:val="1"/>
          <w:numId w:val="36"/>
        </w:numPr>
        <w:spacing w:line="276" w:lineRule="auto"/>
        <w:ind w:left="993" w:right="28" w:hanging="142"/>
        <w:rPr>
          <w:rFonts w:asciiTheme="minorHAnsi" w:hAnsiTheme="minorHAnsi"/>
        </w:rPr>
      </w:pPr>
      <w:r w:rsidRPr="00DB63C8">
        <w:rPr>
          <w:rFonts w:asciiTheme="minorHAnsi" w:hAnsiTheme="minorHAnsi"/>
        </w:rPr>
        <w:t xml:space="preserve">Whether participation or non-participation in the scheme affects any sentence imposed for the offence, and if so in what way. </w:t>
      </w:r>
    </w:p>
    <w:p w14:paraId="4EB37D54" w14:textId="5AC07B74" w:rsidR="00D905BD" w:rsidRPr="00DB63C8" w:rsidRDefault="00D905BD" w:rsidP="00901174">
      <w:pPr>
        <w:spacing w:line="276" w:lineRule="auto"/>
        <w:ind w:right="28"/>
        <w:rPr>
          <w:rFonts w:asciiTheme="minorHAnsi" w:hAnsiTheme="minorHAnsi"/>
        </w:rPr>
      </w:pPr>
    </w:p>
    <w:p w14:paraId="254CF4A6" w14:textId="751AA204" w:rsidR="00244B61" w:rsidRPr="00DB63C8" w:rsidRDefault="00D86BF3">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Given the variety of State and Territory schemes it is not possible to general</w:t>
      </w:r>
      <w:r w:rsidR="00B67C2C" w:rsidRPr="00DB63C8">
        <w:rPr>
          <w:rFonts w:asciiTheme="minorHAnsi" w:hAnsiTheme="minorHAnsi"/>
        </w:rPr>
        <w:t>ise</w:t>
      </w:r>
      <w:r w:rsidRPr="00DB63C8">
        <w:rPr>
          <w:rFonts w:asciiTheme="minorHAnsi" w:hAnsiTheme="minorHAnsi"/>
        </w:rPr>
        <w:t xml:space="preserve"> about whether they apply</w:t>
      </w:r>
      <w:r w:rsidR="00244B61" w:rsidRPr="00DB63C8">
        <w:rPr>
          <w:rFonts w:asciiTheme="minorHAnsi" w:hAnsiTheme="minorHAnsi"/>
        </w:rPr>
        <w:t xml:space="preserve"> in relation to federal offen</w:t>
      </w:r>
      <w:r w:rsidR="0007415A" w:rsidRPr="00DB63C8">
        <w:rPr>
          <w:rFonts w:asciiTheme="minorHAnsi" w:hAnsiTheme="minorHAnsi"/>
        </w:rPr>
        <w:t>ces</w:t>
      </w:r>
      <w:r w:rsidRPr="00DB63C8">
        <w:rPr>
          <w:rFonts w:asciiTheme="minorHAnsi" w:hAnsiTheme="minorHAnsi"/>
        </w:rPr>
        <w:t xml:space="preserve">. </w:t>
      </w:r>
      <w:r w:rsidR="006421AA" w:rsidRPr="00DB63C8">
        <w:rPr>
          <w:rFonts w:asciiTheme="minorHAnsi" w:hAnsiTheme="minorHAnsi"/>
        </w:rPr>
        <w:t xml:space="preserve"> </w:t>
      </w:r>
      <w:r w:rsidRPr="00DB63C8">
        <w:rPr>
          <w:rFonts w:asciiTheme="minorHAnsi" w:hAnsiTheme="minorHAnsi"/>
        </w:rPr>
        <w:t xml:space="preserve">Consideration must be given to whether the particular scheme is applied </w:t>
      </w:r>
      <w:r w:rsidR="006421AA" w:rsidRPr="00DB63C8">
        <w:rPr>
          <w:rFonts w:asciiTheme="minorHAnsi" w:hAnsiTheme="minorHAnsi"/>
        </w:rPr>
        <w:t xml:space="preserve">by </w:t>
      </w:r>
      <w:r w:rsidR="00A502A9" w:rsidRPr="00DB63C8">
        <w:rPr>
          <w:rFonts w:asciiTheme="minorHAnsi" w:hAnsiTheme="minorHAnsi"/>
        </w:rPr>
        <w:t xml:space="preserve">a law of the Commonwealth (such as s 68 or s 79 of </w:t>
      </w:r>
      <w:r w:rsidR="00A502A9" w:rsidRPr="00DB63C8">
        <w:rPr>
          <w:rFonts w:asciiTheme="minorHAnsi" w:hAnsiTheme="minorHAnsi"/>
          <w:i/>
          <w:iCs/>
        </w:rPr>
        <w:t>the Judiciary Act 1903</w:t>
      </w:r>
      <w:r w:rsidR="00A502A9" w:rsidRPr="00DB63C8">
        <w:rPr>
          <w:rFonts w:asciiTheme="minorHAnsi" w:hAnsiTheme="minorHAnsi"/>
        </w:rPr>
        <w:t xml:space="preserve"> (Cth)</w:t>
      </w:r>
      <w:r w:rsidR="00732B58" w:rsidRPr="00DB63C8">
        <w:rPr>
          <w:rStyle w:val="Style"/>
          <w:rFonts w:asciiTheme="minorHAnsi" w:hAnsiTheme="minorHAnsi"/>
        </w:rPr>
        <w:footnoteReference w:id="1018"/>
      </w:r>
      <w:r w:rsidR="00A502A9" w:rsidRPr="00DB63C8">
        <w:rPr>
          <w:rFonts w:asciiTheme="minorHAnsi" w:hAnsiTheme="minorHAnsi"/>
        </w:rPr>
        <w:t xml:space="preserve"> or s 20C of the </w:t>
      </w:r>
      <w:r w:rsidR="00A502A9" w:rsidRPr="00DB63C8">
        <w:rPr>
          <w:rFonts w:asciiTheme="minorHAnsi" w:hAnsiTheme="minorHAnsi"/>
          <w:i/>
          <w:iCs/>
        </w:rPr>
        <w:t>Crimes Act 1914</w:t>
      </w:r>
      <w:r w:rsidR="00A502A9" w:rsidRPr="00DB63C8">
        <w:rPr>
          <w:rFonts w:asciiTheme="minorHAnsi" w:hAnsiTheme="minorHAnsi"/>
        </w:rPr>
        <w:t xml:space="preserve"> (Cth))</w:t>
      </w:r>
      <w:r w:rsidR="006421AA" w:rsidRPr="00DB63C8">
        <w:rPr>
          <w:rFonts w:asciiTheme="minorHAnsi" w:hAnsiTheme="minorHAnsi"/>
        </w:rPr>
        <w:t xml:space="preserve"> or </w:t>
      </w:r>
      <w:r w:rsidRPr="00DB63C8">
        <w:rPr>
          <w:rFonts w:asciiTheme="minorHAnsi" w:hAnsiTheme="minorHAnsi"/>
        </w:rPr>
        <w:t xml:space="preserve">(if not) </w:t>
      </w:r>
      <w:r w:rsidR="006421AA" w:rsidRPr="00DB63C8">
        <w:rPr>
          <w:rFonts w:asciiTheme="minorHAnsi" w:hAnsiTheme="minorHAnsi"/>
        </w:rPr>
        <w:t>whether the law of the State or Territory</w:t>
      </w:r>
      <w:r w:rsidRPr="00DB63C8">
        <w:rPr>
          <w:rFonts w:asciiTheme="minorHAnsi" w:hAnsiTheme="minorHAnsi"/>
        </w:rPr>
        <w:t xml:space="preserve"> applies in its own terms to a federal offen</w:t>
      </w:r>
      <w:r w:rsidR="0007415A" w:rsidRPr="00DB63C8">
        <w:rPr>
          <w:rFonts w:asciiTheme="minorHAnsi" w:hAnsiTheme="minorHAnsi"/>
        </w:rPr>
        <w:t>ce</w:t>
      </w:r>
      <w:r w:rsidRPr="00DB63C8">
        <w:rPr>
          <w:rFonts w:asciiTheme="minorHAnsi" w:hAnsiTheme="minorHAnsi"/>
        </w:rPr>
        <w:t>.</w:t>
      </w:r>
      <w:r w:rsidR="00660BA9" w:rsidRPr="00DB63C8">
        <w:rPr>
          <w:rFonts w:asciiTheme="minorHAnsi" w:hAnsiTheme="minorHAnsi"/>
        </w:rPr>
        <w:t xml:space="preserve"> </w:t>
      </w:r>
      <w:r w:rsidRPr="00DB63C8">
        <w:rPr>
          <w:rFonts w:asciiTheme="minorHAnsi" w:hAnsiTheme="minorHAnsi"/>
        </w:rPr>
        <w:t xml:space="preserve"> </w:t>
      </w:r>
      <w:r w:rsidR="00660BA9" w:rsidRPr="00DB63C8">
        <w:rPr>
          <w:rFonts w:asciiTheme="minorHAnsi" w:hAnsiTheme="minorHAnsi"/>
        </w:rPr>
        <w:t xml:space="preserve">In the latter case, a question may arise whether any such law is </w:t>
      </w:r>
      <w:r w:rsidR="002B2FDF" w:rsidRPr="00DB63C8">
        <w:rPr>
          <w:rFonts w:asciiTheme="minorHAnsi" w:hAnsiTheme="minorHAnsi"/>
        </w:rPr>
        <w:t xml:space="preserve">to that extent invalid (pursuant to s 109 of the Constitution) due to inconsistency with Part 1B of the </w:t>
      </w:r>
      <w:r w:rsidR="002B2FDF" w:rsidRPr="00DB63C8">
        <w:rPr>
          <w:rFonts w:asciiTheme="minorHAnsi" w:hAnsiTheme="minorHAnsi"/>
          <w:i/>
          <w:iCs/>
        </w:rPr>
        <w:t>Crimes Act 1914</w:t>
      </w:r>
      <w:r w:rsidR="002B2FDF" w:rsidRPr="00DB63C8">
        <w:rPr>
          <w:rFonts w:asciiTheme="minorHAnsi" w:hAnsiTheme="minorHAnsi"/>
        </w:rPr>
        <w:t xml:space="preserve"> or another law of the Commonwealth, or whether the law is </w:t>
      </w:r>
      <w:r w:rsidR="00660BA9" w:rsidRPr="00DB63C8">
        <w:rPr>
          <w:rFonts w:asciiTheme="minorHAnsi" w:hAnsiTheme="minorHAnsi"/>
        </w:rPr>
        <w:t>within the power of the State or Territory legislature.</w:t>
      </w:r>
      <w:r w:rsidR="00722E89" w:rsidRPr="00DB63C8">
        <w:rPr>
          <w:rStyle w:val="Style"/>
          <w:rFonts w:asciiTheme="minorHAnsi" w:hAnsiTheme="minorHAnsi"/>
        </w:rPr>
        <w:footnoteReference w:id="1019"/>
      </w:r>
    </w:p>
    <w:p w14:paraId="62D110CE" w14:textId="77777777" w:rsidR="00E90120" w:rsidRPr="00DB63C8" w:rsidRDefault="00E90120" w:rsidP="00EB7F1E">
      <w:pPr>
        <w:spacing w:line="276" w:lineRule="auto"/>
        <w:ind w:right="28"/>
        <w:rPr>
          <w:rFonts w:asciiTheme="minorHAnsi" w:hAnsiTheme="minorHAnsi"/>
        </w:rPr>
      </w:pPr>
    </w:p>
    <w:p w14:paraId="360F12BA" w14:textId="1BDBD22C" w:rsidR="00E90120" w:rsidRPr="00DB63C8" w:rsidRDefault="00732B58" w:rsidP="00EB7F1E">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The </w:t>
      </w:r>
      <w:r w:rsidR="00D06EAA" w:rsidRPr="00DB63C8">
        <w:rPr>
          <w:rFonts w:asciiTheme="minorHAnsi" w:hAnsiTheme="minorHAnsi"/>
        </w:rPr>
        <w:t>CDPP has considered whether t</w:t>
      </w:r>
      <w:r w:rsidR="00E90120" w:rsidRPr="00DB63C8">
        <w:rPr>
          <w:rFonts w:asciiTheme="minorHAnsi" w:hAnsiTheme="minorHAnsi"/>
        </w:rPr>
        <w:t xml:space="preserve">he restorative justice scheme of the ACT </w:t>
      </w:r>
      <w:r w:rsidR="00D06EAA" w:rsidRPr="00DB63C8">
        <w:rPr>
          <w:rFonts w:asciiTheme="minorHAnsi" w:hAnsiTheme="minorHAnsi"/>
        </w:rPr>
        <w:t>(</w:t>
      </w:r>
      <w:r w:rsidR="00D06EAA" w:rsidRPr="00DB63C8">
        <w:rPr>
          <w:rFonts w:asciiTheme="minorHAnsi" w:hAnsiTheme="minorHAnsi"/>
          <w:i/>
          <w:iCs/>
        </w:rPr>
        <w:t>Crimes (Restorative Justice) Act 2004</w:t>
      </w:r>
      <w:r w:rsidR="00D06EAA" w:rsidRPr="00DB63C8">
        <w:rPr>
          <w:rFonts w:asciiTheme="minorHAnsi" w:hAnsiTheme="minorHAnsi"/>
        </w:rPr>
        <w:t xml:space="preserve"> (ACT)) applies </w:t>
      </w:r>
      <w:r w:rsidR="006D2FBB" w:rsidRPr="00DB63C8">
        <w:rPr>
          <w:rFonts w:asciiTheme="minorHAnsi" w:hAnsiTheme="minorHAnsi"/>
        </w:rPr>
        <w:t xml:space="preserve">in relation </w:t>
      </w:r>
      <w:r w:rsidR="00D06EAA" w:rsidRPr="00DB63C8">
        <w:rPr>
          <w:rFonts w:asciiTheme="minorHAnsi" w:hAnsiTheme="minorHAnsi"/>
        </w:rPr>
        <w:t>to federal offen</w:t>
      </w:r>
      <w:r w:rsidR="006D2FBB" w:rsidRPr="00DB63C8">
        <w:rPr>
          <w:rFonts w:asciiTheme="minorHAnsi" w:hAnsiTheme="minorHAnsi"/>
        </w:rPr>
        <w:t>ces</w:t>
      </w:r>
      <w:r w:rsidR="00D06EAA" w:rsidRPr="00DB63C8">
        <w:rPr>
          <w:rFonts w:asciiTheme="minorHAnsi" w:hAnsiTheme="minorHAnsi"/>
        </w:rPr>
        <w:t xml:space="preserve">.  The </w:t>
      </w:r>
      <w:r w:rsidR="006D2FBB" w:rsidRPr="00DB63C8">
        <w:rPr>
          <w:rFonts w:asciiTheme="minorHAnsi" w:hAnsiTheme="minorHAnsi"/>
        </w:rPr>
        <w:t xml:space="preserve">view </w:t>
      </w:r>
      <w:r w:rsidR="00F95823" w:rsidRPr="00DB63C8">
        <w:rPr>
          <w:rFonts w:asciiTheme="minorHAnsi" w:hAnsiTheme="minorHAnsi"/>
        </w:rPr>
        <w:t>of the CDPP</w:t>
      </w:r>
      <w:r w:rsidR="006D2FBB" w:rsidRPr="00DB63C8">
        <w:rPr>
          <w:rFonts w:asciiTheme="minorHAnsi" w:hAnsiTheme="minorHAnsi"/>
        </w:rPr>
        <w:t xml:space="preserve"> is that the </w:t>
      </w:r>
      <w:r w:rsidR="00D06EAA" w:rsidRPr="00DB63C8">
        <w:rPr>
          <w:rFonts w:asciiTheme="minorHAnsi" w:hAnsiTheme="minorHAnsi"/>
        </w:rPr>
        <w:t xml:space="preserve">legislation </w:t>
      </w:r>
      <w:r w:rsidR="00E90120" w:rsidRPr="00DB63C8">
        <w:rPr>
          <w:rFonts w:asciiTheme="minorHAnsi" w:hAnsiTheme="minorHAnsi"/>
        </w:rPr>
        <w:t xml:space="preserve">does not apply in its own terms </w:t>
      </w:r>
      <w:r w:rsidR="00D06EAA" w:rsidRPr="00DB63C8">
        <w:rPr>
          <w:rFonts w:asciiTheme="minorHAnsi" w:hAnsiTheme="minorHAnsi"/>
        </w:rPr>
        <w:t xml:space="preserve">and that it is not picked up and applied </w:t>
      </w:r>
      <w:r w:rsidR="0007415A" w:rsidRPr="00DB63C8">
        <w:rPr>
          <w:rFonts w:asciiTheme="minorHAnsi" w:hAnsiTheme="minorHAnsi"/>
        </w:rPr>
        <w:t xml:space="preserve">as surrogate federal law </w:t>
      </w:r>
      <w:r w:rsidR="00D06EAA" w:rsidRPr="00DB63C8">
        <w:rPr>
          <w:rFonts w:asciiTheme="minorHAnsi" w:hAnsiTheme="minorHAnsi"/>
        </w:rPr>
        <w:t>by a law of the Commonwealth.</w:t>
      </w:r>
    </w:p>
    <w:p w14:paraId="12CE8050" w14:textId="77777777" w:rsidR="00244B61" w:rsidRPr="00C00000" w:rsidRDefault="00244B61" w:rsidP="00EB7F1E">
      <w:pPr>
        <w:spacing w:line="276" w:lineRule="auto"/>
        <w:ind w:right="28"/>
        <w:rPr>
          <w:rFonts w:asciiTheme="minorHAnsi" w:hAnsiTheme="minorHAnsi"/>
        </w:rPr>
      </w:pPr>
    </w:p>
    <w:p w14:paraId="7142BB75" w14:textId="4EEA6183" w:rsidR="00850E29" w:rsidRPr="00C00000" w:rsidRDefault="00850E29" w:rsidP="008B3E81">
      <w:pPr>
        <w:pStyle w:val="Heading2"/>
        <w:rPr>
          <w:rStyle w:val="Strong"/>
          <w:b/>
        </w:rPr>
      </w:pPr>
      <w:bookmarkStart w:id="2656" w:name="_Ref493250434"/>
      <w:bookmarkStart w:id="2657" w:name="_Ref493250440"/>
      <w:bookmarkStart w:id="2658" w:name="_Ref493250975"/>
      <w:bookmarkStart w:id="2659" w:name="_Ref493250984"/>
      <w:bookmarkStart w:id="2660" w:name="_Toc33602943"/>
      <w:r w:rsidRPr="00C00000">
        <w:rPr>
          <w:rStyle w:val="Strong"/>
          <w:b/>
        </w:rPr>
        <w:t>Taking other federal offences into account</w:t>
      </w:r>
      <w:bookmarkEnd w:id="2656"/>
      <w:bookmarkEnd w:id="2657"/>
      <w:bookmarkEnd w:id="2658"/>
      <w:bookmarkEnd w:id="2659"/>
      <w:bookmarkEnd w:id="2660"/>
    </w:p>
    <w:p w14:paraId="281E67D3" w14:textId="77777777" w:rsidR="00850E29" w:rsidRPr="00C00000" w:rsidRDefault="00850E29" w:rsidP="008B3E81">
      <w:pPr>
        <w:pStyle w:val="ListParagraph"/>
        <w:keepNext/>
        <w:spacing w:line="276" w:lineRule="auto"/>
        <w:ind w:left="567"/>
        <w:contextualSpacing w:val="0"/>
        <w:rPr>
          <w:rFonts w:asciiTheme="minorHAnsi" w:hAnsiTheme="minorHAnsi"/>
        </w:rPr>
      </w:pPr>
    </w:p>
    <w:p w14:paraId="3181C7EB" w14:textId="11A2297E" w:rsidR="00850E29" w:rsidRDefault="00850E2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Section 16BA </w:t>
      </w:r>
      <w:r w:rsidR="008D00DA" w:rsidRPr="00C00000">
        <w:rPr>
          <w:rFonts w:asciiTheme="minorHAnsi" w:hAnsiTheme="minorHAnsi"/>
        </w:rPr>
        <w:t xml:space="preserve">of the </w:t>
      </w:r>
      <w:r w:rsidR="00885EFD" w:rsidRPr="00885EFD">
        <w:rPr>
          <w:rFonts w:asciiTheme="minorHAnsi" w:hAnsiTheme="minorHAnsi"/>
          <w:i/>
        </w:rPr>
        <w:t>Crimes Act 1914</w:t>
      </w:r>
      <w:r w:rsidR="008D00DA" w:rsidRPr="00C00000">
        <w:rPr>
          <w:rFonts w:asciiTheme="minorHAnsi" w:hAnsiTheme="minorHAnsi"/>
          <w:i/>
        </w:rPr>
        <w:t xml:space="preserve"> </w:t>
      </w:r>
      <w:r w:rsidR="008D00DA" w:rsidRPr="00C00000">
        <w:rPr>
          <w:rFonts w:asciiTheme="minorHAnsi" w:hAnsiTheme="minorHAnsi"/>
        </w:rPr>
        <w:t xml:space="preserve">(Cth) </w:t>
      </w:r>
      <w:r w:rsidRPr="00C00000">
        <w:rPr>
          <w:rFonts w:asciiTheme="minorHAnsi" w:hAnsiTheme="minorHAnsi"/>
        </w:rPr>
        <w:t xml:space="preserve">enables other federal offences </w:t>
      </w:r>
      <w:r w:rsidR="0036141C">
        <w:rPr>
          <w:rFonts w:asciiTheme="minorHAnsi" w:hAnsiTheme="minorHAnsi"/>
        </w:rPr>
        <w:t xml:space="preserve">(but not </w:t>
      </w:r>
      <w:r w:rsidR="006F3ECC">
        <w:rPr>
          <w:rFonts w:asciiTheme="minorHAnsi" w:hAnsiTheme="minorHAnsi"/>
        </w:rPr>
        <w:t xml:space="preserve">State/Territory </w:t>
      </w:r>
      <w:r w:rsidR="0036141C">
        <w:rPr>
          <w:rFonts w:asciiTheme="minorHAnsi" w:hAnsiTheme="minorHAnsi"/>
        </w:rPr>
        <w:t>offences)</w:t>
      </w:r>
      <w:r w:rsidRPr="00C00000">
        <w:rPr>
          <w:rFonts w:asciiTheme="minorHAnsi" w:hAnsiTheme="minorHAnsi"/>
        </w:rPr>
        <w:t xml:space="preserve"> to be taken into account in sentencing a federal offender</w:t>
      </w:r>
      <w:r w:rsidR="008D00DA">
        <w:rPr>
          <w:rFonts w:asciiTheme="minorHAnsi" w:hAnsiTheme="minorHAnsi"/>
        </w:rPr>
        <w:t xml:space="preserve">. </w:t>
      </w:r>
      <w:r w:rsidRPr="00C00000">
        <w:rPr>
          <w:rFonts w:asciiTheme="minorHAnsi" w:hAnsiTheme="minorHAnsi"/>
        </w:rPr>
        <w:t xml:space="preserve"> </w:t>
      </w:r>
      <w:r w:rsidR="008D00DA">
        <w:rPr>
          <w:rFonts w:asciiTheme="minorHAnsi" w:hAnsiTheme="minorHAnsi"/>
        </w:rPr>
        <w:t xml:space="preserve">The provision applies only </w:t>
      </w:r>
      <w:r w:rsidRPr="00C00000">
        <w:rPr>
          <w:rFonts w:asciiTheme="minorHAnsi" w:hAnsiTheme="minorHAnsi"/>
        </w:rPr>
        <w:t xml:space="preserve">where the person is convicted of </w:t>
      </w:r>
      <w:r w:rsidR="00161DF3">
        <w:rPr>
          <w:rFonts w:asciiTheme="minorHAnsi" w:hAnsiTheme="minorHAnsi"/>
        </w:rPr>
        <w:t>the primary</w:t>
      </w:r>
      <w:r w:rsidRPr="00C00000">
        <w:rPr>
          <w:rFonts w:asciiTheme="minorHAnsi" w:hAnsiTheme="minorHAnsi"/>
        </w:rPr>
        <w:t xml:space="preserve"> offence</w:t>
      </w:r>
      <w:r w:rsidR="0045105F">
        <w:rPr>
          <w:rFonts w:asciiTheme="minorHAnsi" w:hAnsiTheme="minorHAnsi"/>
        </w:rPr>
        <w:t xml:space="preserve"> (and not if a non-conviction order is made, such as a s 19B bond</w:t>
      </w:r>
      <w:r w:rsidR="00D81386" w:rsidRPr="00C00000">
        <w:rPr>
          <w:rStyle w:val="Style"/>
          <w:rFonts w:asciiTheme="minorHAnsi" w:hAnsiTheme="minorHAnsi"/>
        </w:rPr>
        <w:footnoteReference w:id="1020"/>
      </w:r>
      <w:r w:rsidR="0045105F">
        <w:rPr>
          <w:rFonts w:asciiTheme="minorHAnsi" w:hAnsiTheme="minorHAnsi"/>
        </w:rPr>
        <w:t>)</w:t>
      </w:r>
      <w:r w:rsidRPr="00C00000">
        <w:rPr>
          <w:rFonts w:asciiTheme="minorHAnsi" w:hAnsiTheme="minorHAnsi"/>
        </w:rPr>
        <w:t>.</w:t>
      </w:r>
    </w:p>
    <w:p w14:paraId="3D53173A" w14:textId="77777777" w:rsidR="0036141C" w:rsidRPr="0036141C" w:rsidRDefault="0036141C" w:rsidP="0036141C">
      <w:pPr>
        <w:spacing w:line="276" w:lineRule="auto"/>
        <w:ind w:right="28"/>
        <w:rPr>
          <w:rFonts w:asciiTheme="minorHAnsi" w:hAnsiTheme="minorHAnsi"/>
        </w:rPr>
      </w:pPr>
    </w:p>
    <w:p w14:paraId="70282803" w14:textId="269B4AB5" w:rsidR="008F5F30" w:rsidRDefault="0036141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procedural steps necessary for exercising this power are set out in s 16BA.  </w:t>
      </w:r>
      <w:r w:rsidR="00AA40E9">
        <w:rPr>
          <w:rFonts w:asciiTheme="minorHAnsi" w:hAnsiTheme="minorHAnsi"/>
        </w:rPr>
        <w:t>The statutory requirements are mandatory.</w:t>
      </w:r>
      <w:r w:rsidR="00AA40E9" w:rsidRPr="00C00000">
        <w:rPr>
          <w:rStyle w:val="Style"/>
          <w:rFonts w:asciiTheme="minorHAnsi" w:hAnsiTheme="minorHAnsi"/>
        </w:rPr>
        <w:footnoteReference w:id="1021"/>
      </w:r>
      <w:r w:rsidR="00AA40E9">
        <w:rPr>
          <w:rFonts w:asciiTheme="minorHAnsi" w:hAnsiTheme="minorHAnsi"/>
        </w:rPr>
        <w:t xml:space="preserve">  </w:t>
      </w:r>
      <w:r>
        <w:rPr>
          <w:rFonts w:asciiTheme="minorHAnsi" w:hAnsiTheme="minorHAnsi"/>
        </w:rPr>
        <w:t xml:space="preserve">The procedure begins with the CDPP preparing, filing and </w:t>
      </w:r>
      <w:r w:rsidR="00B76AD6">
        <w:rPr>
          <w:rFonts w:asciiTheme="minorHAnsi" w:hAnsiTheme="minorHAnsi"/>
        </w:rPr>
        <w:t>serving a document in the prescribed form which lists the offence</w:t>
      </w:r>
      <w:r w:rsidR="0045105F">
        <w:rPr>
          <w:rFonts w:asciiTheme="minorHAnsi" w:hAnsiTheme="minorHAnsi"/>
        </w:rPr>
        <w:t>(</w:t>
      </w:r>
      <w:r w:rsidR="00B76AD6">
        <w:rPr>
          <w:rFonts w:asciiTheme="minorHAnsi" w:hAnsiTheme="minorHAnsi"/>
        </w:rPr>
        <w:t>s</w:t>
      </w:r>
      <w:r w:rsidR="0045105F">
        <w:rPr>
          <w:rFonts w:asciiTheme="minorHAnsi" w:hAnsiTheme="minorHAnsi"/>
        </w:rPr>
        <w:t>)</w:t>
      </w:r>
      <w:r w:rsidR="00B76AD6">
        <w:rPr>
          <w:rFonts w:asciiTheme="minorHAnsi" w:hAnsiTheme="minorHAnsi"/>
        </w:rPr>
        <w:t xml:space="preserve"> which it seeks to have </w:t>
      </w:r>
      <w:r>
        <w:rPr>
          <w:rFonts w:asciiTheme="minorHAnsi" w:hAnsiTheme="minorHAnsi"/>
        </w:rPr>
        <w:t>tak</w:t>
      </w:r>
      <w:r w:rsidR="00B76AD6">
        <w:rPr>
          <w:rFonts w:asciiTheme="minorHAnsi" w:hAnsiTheme="minorHAnsi"/>
        </w:rPr>
        <w:t>en into account</w:t>
      </w:r>
      <w:r w:rsidR="00E677A3">
        <w:rPr>
          <w:rFonts w:asciiTheme="minorHAnsi" w:hAnsiTheme="minorHAnsi"/>
        </w:rPr>
        <w:t xml:space="preserve"> (s 16BA(1))</w:t>
      </w:r>
      <w:r w:rsidR="00B76AD6">
        <w:rPr>
          <w:rFonts w:asciiTheme="minorHAnsi" w:hAnsiTheme="minorHAnsi"/>
        </w:rPr>
        <w:t>.</w:t>
      </w:r>
      <w:r w:rsidR="0076768D" w:rsidRPr="00C00000">
        <w:rPr>
          <w:rStyle w:val="Style"/>
          <w:rFonts w:asciiTheme="minorHAnsi" w:hAnsiTheme="minorHAnsi"/>
        </w:rPr>
        <w:footnoteReference w:id="1022"/>
      </w:r>
      <w:r>
        <w:rPr>
          <w:rFonts w:asciiTheme="minorHAnsi" w:hAnsiTheme="minorHAnsi"/>
        </w:rPr>
        <w:t xml:space="preserve"> </w:t>
      </w:r>
      <w:r w:rsidR="00E677A3">
        <w:rPr>
          <w:rFonts w:asciiTheme="minorHAnsi" w:hAnsiTheme="minorHAnsi"/>
        </w:rPr>
        <w:t xml:space="preserve"> </w:t>
      </w:r>
      <w:r w:rsidR="0076768D">
        <w:rPr>
          <w:rFonts w:asciiTheme="minorHAnsi" w:hAnsiTheme="minorHAnsi"/>
        </w:rPr>
        <w:t xml:space="preserve">There is no requirement that the offender has been charged with the offence which is sought to be taken into account.  </w:t>
      </w:r>
      <w:r w:rsidR="00E677A3">
        <w:rPr>
          <w:rFonts w:asciiTheme="minorHAnsi" w:hAnsiTheme="minorHAnsi"/>
        </w:rPr>
        <w:t>An offence may not be taken into account unless the offender admits guilt to the offence (s 16BA(2)).  The maximum penalty for the offence on which the offender is sentenced is not affected by taking into account another offence (s 16BA</w:t>
      </w:r>
      <w:r w:rsidR="00244A4F">
        <w:rPr>
          <w:rFonts w:asciiTheme="minorHAnsi" w:hAnsiTheme="minorHAnsi"/>
        </w:rPr>
        <w:t>(4)).</w:t>
      </w:r>
      <w:r w:rsidR="002E15D6" w:rsidRPr="00C00000">
        <w:rPr>
          <w:rStyle w:val="Style"/>
          <w:rFonts w:asciiTheme="minorHAnsi" w:hAnsiTheme="minorHAnsi"/>
        </w:rPr>
        <w:footnoteReference w:id="1023"/>
      </w:r>
    </w:p>
    <w:p w14:paraId="1705202A" w14:textId="77777777" w:rsidR="008F5F30" w:rsidRPr="008F5F30" w:rsidRDefault="008F5F30" w:rsidP="008F5F30">
      <w:pPr>
        <w:pStyle w:val="ListParagraph"/>
        <w:rPr>
          <w:rFonts w:asciiTheme="minorHAnsi" w:hAnsiTheme="minorHAnsi"/>
        </w:rPr>
      </w:pPr>
    </w:p>
    <w:p w14:paraId="222725CD" w14:textId="4CD49FF7" w:rsidR="009E1FEB" w:rsidRDefault="00244A4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an offence is taken into account under s 16BA, </w:t>
      </w:r>
      <w:r w:rsidR="00655A0C">
        <w:rPr>
          <w:rFonts w:asciiTheme="minorHAnsi" w:hAnsiTheme="minorHAnsi"/>
        </w:rPr>
        <w:t xml:space="preserve">the </w:t>
      </w:r>
      <w:r w:rsidR="008F5F30">
        <w:rPr>
          <w:rFonts w:asciiTheme="minorHAnsi" w:hAnsiTheme="minorHAnsi"/>
        </w:rPr>
        <w:t xml:space="preserve">consequences </w:t>
      </w:r>
      <w:r w:rsidR="00655A0C">
        <w:rPr>
          <w:rFonts w:asciiTheme="minorHAnsi" w:hAnsiTheme="minorHAnsi"/>
        </w:rPr>
        <w:t>are that</w:t>
      </w:r>
      <w:r w:rsidR="008F5F30">
        <w:rPr>
          <w:rFonts w:asciiTheme="minorHAnsi" w:hAnsiTheme="minorHAnsi"/>
        </w:rPr>
        <w:t xml:space="preserve">: </w:t>
      </w:r>
    </w:p>
    <w:p w14:paraId="299C9B58" w14:textId="77777777" w:rsidR="009E1FEB" w:rsidRDefault="00244A4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no proceeding may be taken or continued in respect of that offence, unless the conviction for the offence in respect of which the offence is taken into account is quashed or set aside (s 16BA(8))</w:t>
      </w:r>
      <w:r w:rsidR="008F5F30">
        <w:rPr>
          <w:rFonts w:asciiTheme="minorHAnsi" w:hAnsiTheme="minorHAnsi"/>
        </w:rPr>
        <w:t>;</w:t>
      </w:r>
    </w:p>
    <w:p w14:paraId="3C714CC4" w14:textId="1409A764" w:rsidR="009E1FEB" w:rsidRDefault="00834C1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the offender</w:t>
      </w:r>
      <w:r w:rsidR="00AA693C">
        <w:rPr>
          <w:rFonts w:asciiTheme="minorHAnsi" w:hAnsiTheme="minorHAnsi"/>
        </w:rPr>
        <w:t>’</w:t>
      </w:r>
      <w:r>
        <w:rPr>
          <w:rFonts w:asciiTheme="minorHAnsi" w:hAnsiTheme="minorHAnsi"/>
        </w:rPr>
        <w:t>s admission of guilt is not admissible in proceedings for that offence or another offence listed in the form (s 16BA(9)); and</w:t>
      </w:r>
    </w:p>
    <w:p w14:paraId="698E791F" w14:textId="65D320B3" w:rsidR="0036141C" w:rsidRPr="00C00000" w:rsidRDefault="008F5F3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the offence taken into account is not to be </w:t>
      </w:r>
      <w:r w:rsidRPr="008F5F30">
        <w:rPr>
          <w:rFonts w:asciiTheme="minorHAnsi" w:hAnsiTheme="minorHAnsi"/>
        </w:rPr>
        <w:t>regarded for any purpose as an offence of which a person has been convicted (</w:t>
      </w:r>
      <w:r>
        <w:rPr>
          <w:rFonts w:asciiTheme="minorHAnsi" w:hAnsiTheme="minorHAnsi"/>
        </w:rPr>
        <w:t>s 16BA(10))</w:t>
      </w:r>
      <w:r w:rsidRPr="008F5F30">
        <w:rPr>
          <w:rFonts w:asciiTheme="minorHAnsi" w:hAnsiTheme="minorHAnsi"/>
        </w:rPr>
        <w:t>.</w:t>
      </w:r>
    </w:p>
    <w:p w14:paraId="5ADF5A09" w14:textId="77777777" w:rsidR="00850E29" w:rsidRPr="00C00000" w:rsidRDefault="00850E29" w:rsidP="00850E29">
      <w:pPr>
        <w:pStyle w:val="ListParagraph"/>
        <w:spacing w:line="276" w:lineRule="auto"/>
        <w:ind w:left="567" w:right="28" w:hanging="567"/>
        <w:rPr>
          <w:rFonts w:asciiTheme="minorHAnsi" w:hAnsiTheme="minorHAnsi"/>
        </w:rPr>
      </w:pPr>
    </w:p>
    <w:p w14:paraId="0CF265E9" w14:textId="702EC840" w:rsidR="00CD0591" w:rsidRDefault="00CD059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It is an error for a sentencing court to record a conviction for an offence which is taken into account.</w:t>
      </w:r>
      <w:r w:rsidRPr="00C00000">
        <w:rPr>
          <w:rStyle w:val="Style"/>
          <w:rFonts w:asciiTheme="minorHAnsi" w:hAnsiTheme="minorHAnsi"/>
        </w:rPr>
        <w:footnoteReference w:id="1024"/>
      </w:r>
    </w:p>
    <w:p w14:paraId="2100C697" w14:textId="77777777" w:rsidR="00CD0591" w:rsidRPr="00EB7F1E" w:rsidRDefault="00CD0591" w:rsidP="00EB7F1E">
      <w:pPr>
        <w:spacing w:line="276" w:lineRule="auto"/>
        <w:ind w:right="28"/>
        <w:rPr>
          <w:rFonts w:asciiTheme="minorHAnsi" w:hAnsiTheme="minorHAnsi"/>
        </w:rPr>
      </w:pPr>
    </w:p>
    <w:p w14:paraId="458DF90A" w14:textId="6DC69CA7" w:rsidR="00850E29" w:rsidRDefault="00D33EA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EB7F1E">
        <w:rPr>
          <w:rFonts w:asciiTheme="minorHAnsi" w:hAnsiTheme="minorHAnsi"/>
          <w:i/>
        </w:rPr>
        <w:t>Assafiri</w:t>
      </w:r>
      <w:r>
        <w:rPr>
          <w:rFonts w:asciiTheme="minorHAnsi" w:hAnsiTheme="minorHAnsi"/>
        </w:rPr>
        <w:t>,</w:t>
      </w:r>
      <w:r w:rsidRPr="00C00000">
        <w:rPr>
          <w:rStyle w:val="Style"/>
          <w:rFonts w:asciiTheme="minorHAnsi" w:hAnsiTheme="minorHAnsi"/>
        </w:rPr>
        <w:footnoteReference w:id="1025"/>
      </w:r>
      <w:r>
        <w:rPr>
          <w:rFonts w:asciiTheme="minorHAnsi" w:hAnsiTheme="minorHAnsi"/>
        </w:rPr>
        <w:t xml:space="preserve"> the </w:t>
      </w:r>
      <w:r w:rsidR="00161DF3">
        <w:rPr>
          <w:rFonts w:asciiTheme="minorHAnsi" w:hAnsiTheme="minorHAnsi"/>
        </w:rPr>
        <w:t xml:space="preserve">court </w:t>
      </w:r>
      <w:r>
        <w:rPr>
          <w:rFonts w:asciiTheme="minorHAnsi" w:hAnsiTheme="minorHAnsi"/>
        </w:rPr>
        <w:t>observed that</w:t>
      </w:r>
      <w:r w:rsidR="00B2124B">
        <w:rPr>
          <w:rFonts w:asciiTheme="minorHAnsi" w:hAnsiTheme="minorHAnsi"/>
        </w:rPr>
        <w:t>,</w:t>
      </w:r>
      <w:r>
        <w:rPr>
          <w:rFonts w:asciiTheme="minorHAnsi" w:hAnsiTheme="minorHAnsi"/>
        </w:rPr>
        <w:t xml:space="preserve"> a</w:t>
      </w:r>
      <w:r w:rsidR="0036141C" w:rsidRPr="0036141C">
        <w:rPr>
          <w:rFonts w:asciiTheme="minorHAnsi" w:hAnsiTheme="minorHAnsi"/>
        </w:rPr>
        <w:t>lthough the terms of s</w:t>
      </w:r>
      <w:r w:rsidR="00655A0C">
        <w:rPr>
          <w:rFonts w:asciiTheme="minorHAnsi" w:hAnsiTheme="minorHAnsi"/>
        </w:rPr>
        <w:t xml:space="preserve"> </w:t>
      </w:r>
      <w:r w:rsidR="0036141C" w:rsidRPr="0036141C">
        <w:rPr>
          <w:rFonts w:asciiTheme="minorHAnsi" w:hAnsiTheme="minorHAnsi"/>
        </w:rPr>
        <w:t xml:space="preserve">16BA might suggest that </w:t>
      </w:r>
      <w:r w:rsidR="00B76AD6">
        <w:rPr>
          <w:rFonts w:asciiTheme="minorHAnsi" w:hAnsiTheme="minorHAnsi"/>
        </w:rPr>
        <w:t>a federal offence</w:t>
      </w:r>
      <w:r w:rsidR="0036141C" w:rsidRPr="0036141C">
        <w:rPr>
          <w:rFonts w:asciiTheme="minorHAnsi" w:hAnsiTheme="minorHAnsi"/>
        </w:rPr>
        <w:t xml:space="preserve"> can be taken into account when sentencing for more than one </w:t>
      </w:r>
      <w:r w:rsidR="00515683">
        <w:rPr>
          <w:rFonts w:asciiTheme="minorHAnsi" w:hAnsiTheme="minorHAnsi"/>
        </w:rPr>
        <w:t>f</w:t>
      </w:r>
      <w:r w:rsidR="0036141C" w:rsidRPr="0036141C">
        <w:rPr>
          <w:rFonts w:asciiTheme="minorHAnsi" w:hAnsiTheme="minorHAnsi"/>
        </w:rPr>
        <w:t>ederal offence, it cannot have been the intention of the legislature that more than one sentence could be increased by taking into account the same offences</w:t>
      </w:r>
      <w:r w:rsidR="0036141C">
        <w:rPr>
          <w:rFonts w:asciiTheme="minorHAnsi" w:hAnsiTheme="minorHAnsi"/>
        </w:rPr>
        <w:t xml:space="preserve">, as </w:t>
      </w:r>
      <w:r w:rsidR="0036141C" w:rsidRPr="0036141C">
        <w:rPr>
          <w:rFonts w:asciiTheme="minorHAnsi" w:hAnsiTheme="minorHAnsi"/>
        </w:rPr>
        <w:t xml:space="preserve">that would result in double counting the matters being taken into account. </w:t>
      </w:r>
      <w:r w:rsidR="006E4FC6">
        <w:rPr>
          <w:rFonts w:asciiTheme="minorHAnsi" w:hAnsiTheme="minorHAnsi"/>
        </w:rPr>
        <w:t xml:space="preserve"> </w:t>
      </w:r>
      <w:r w:rsidR="0036141C">
        <w:rPr>
          <w:rFonts w:asciiTheme="minorHAnsi" w:hAnsiTheme="minorHAnsi"/>
        </w:rPr>
        <w:t>Therefore</w:t>
      </w:r>
      <w:r w:rsidR="0036141C" w:rsidRPr="0036141C">
        <w:rPr>
          <w:rFonts w:asciiTheme="minorHAnsi" w:hAnsiTheme="minorHAnsi"/>
        </w:rPr>
        <w:t>, despite the terms of the section, the form pursuant to s</w:t>
      </w:r>
      <w:r w:rsidR="00655A0C">
        <w:rPr>
          <w:rFonts w:asciiTheme="minorHAnsi" w:hAnsiTheme="minorHAnsi"/>
        </w:rPr>
        <w:t xml:space="preserve"> </w:t>
      </w:r>
      <w:r w:rsidR="0036141C" w:rsidRPr="0036141C">
        <w:rPr>
          <w:rFonts w:asciiTheme="minorHAnsi" w:hAnsiTheme="minorHAnsi"/>
        </w:rPr>
        <w:t xml:space="preserve">16BA should refer to only one offence, being that to which the matters </w:t>
      </w:r>
      <w:r w:rsidR="00B76AD6">
        <w:rPr>
          <w:rFonts w:asciiTheme="minorHAnsi" w:hAnsiTheme="minorHAnsi"/>
        </w:rPr>
        <w:t>taken into account should apply</w:t>
      </w:r>
      <w:r w:rsidR="00850E29" w:rsidRPr="00C00000">
        <w:rPr>
          <w:rFonts w:asciiTheme="minorHAnsi" w:hAnsiTheme="minorHAnsi"/>
        </w:rPr>
        <w:t>.</w:t>
      </w:r>
      <w:r w:rsidR="00850E29" w:rsidRPr="00C00000">
        <w:rPr>
          <w:rStyle w:val="Style"/>
          <w:rFonts w:asciiTheme="minorHAnsi" w:hAnsiTheme="minorHAnsi"/>
        </w:rPr>
        <w:footnoteReference w:id="1026"/>
      </w:r>
      <w:r w:rsidR="0045105F">
        <w:rPr>
          <w:rFonts w:asciiTheme="minorHAnsi" w:hAnsiTheme="minorHAnsi"/>
        </w:rPr>
        <w:t xml:space="preserve">  </w:t>
      </w:r>
      <w:r w:rsidR="00161DF3">
        <w:rPr>
          <w:rFonts w:asciiTheme="minorHAnsi" w:hAnsiTheme="minorHAnsi"/>
        </w:rPr>
        <w:t>T</w:t>
      </w:r>
      <w:r w:rsidR="0045105F">
        <w:rPr>
          <w:rFonts w:asciiTheme="minorHAnsi" w:hAnsiTheme="minorHAnsi"/>
        </w:rPr>
        <w:t>his construction does not prevent more than one federal offence being taken into account in sentencing for one federal offence.</w:t>
      </w:r>
    </w:p>
    <w:p w14:paraId="6DF9BC3F" w14:textId="55021C67" w:rsidR="00AA40E9" w:rsidRDefault="00AA40E9" w:rsidP="00AA40E9">
      <w:pPr>
        <w:pStyle w:val="ListParagraph"/>
        <w:rPr>
          <w:rFonts w:asciiTheme="minorHAnsi" w:hAnsiTheme="minorHAnsi"/>
        </w:rPr>
      </w:pPr>
    </w:p>
    <w:p w14:paraId="4D089194" w14:textId="74D0D6AA" w:rsidR="00B9238E" w:rsidRDefault="0014732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relation </w:t>
      </w:r>
      <w:r w:rsidR="009343BD">
        <w:rPr>
          <w:rFonts w:asciiTheme="minorHAnsi" w:hAnsiTheme="minorHAnsi"/>
        </w:rPr>
        <w:t xml:space="preserve">to </w:t>
      </w:r>
      <w:r>
        <w:rPr>
          <w:rFonts w:asciiTheme="minorHAnsi" w:hAnsiTheme="minorHAnsi"/>
        </w:rPr>
        <w:t xml:space="preserve">a cognate provision in New South Wales, it has been held that </w:t>
      </w:r>
      <w:r w:rsidR="00836E90">
        <w:rPr>
          <w:rFonts w:asciiTheme="minorHAnsi" w:hAnsiTheme="minorHAnsi"/>
        </w:rPr>
        <w:t xml:space="preserve">an </w:t>
      </w:r>
      <w:r w:rsidR="006E4FC6">
        <w:rPr>
          <w:rFonts w:asciiTheme="minorHAnsi" w:hAnsiTheme="minorHAnsi"/>
        </w:rPr>
        <w:t xml:space="preserve">offence </w:t>
      </w:r>
      <w:r w:rsidR="00836E90">
        <w:rPr>
          <w:rFonts w:asciiTheme="minorHAnsi" w:hAnsiTheme="minorHAnsi"/>
        </w:rPr>
        <w:t xml:space="preserve">which is taken </w:t>
      </w:r>
      <w:r w:rsidR="006E4FC6">
        <w:rPr>
          <w:rFonts w:asciiTheme="minorHAnsi" w:hAnsiTheme="minorHAnsi"/>
        </w:rPr>
        <w:t xml:space="preserve">into account </w:t>
      </w:r>
      <w:r w:rsidR="00836E90">
        <w:rPr>
          <w:rFonts w:asciiTheme="minorHAnsi" w:hAnsiTheme="minorHAnsi"/>
        </w:rPr>
        <w:t xml:space="preserve">in sentencing for an offence </w:t>
      </w:r>
      <w:r w:rsidR="006E4FC6">
        <w:rPr>
          <w:rFonts w:asciiTheme="minorHAnsi" w:hAnsiTheme="minorHAnsi"/>
        </w:rPr>
        <w:t>cannot be used as a basis for wholly or partly cumulating the sentence upon another sentence, as that would involve double counting of the offence being taken into account</w:t>
      </w:r>
      <w:r>
        <w:rPr>
          <w:rFonts w:asciiTheme="minorHAnsi" w:hAnsiTheme="minorHAnsi"/>
        </w:rPr>
        <w:t>.</w:t>
      </w:r>
      <w:r w:rsidRPr="00C00000">
        <w:rPr>
          <w:rStyle w:val="Style"/>
          <w:rFonts w:asciiTheme="minorHAnsi" w:hAnsiTheme="minorHAnsi"/>
        </w:rPr>
        <w:footnoteReference w:id="1027"/>
      </w:r>
      <w:r w:rsidR="00D077F0">
        <w:rPr>
          <w:rFonts w:asciiTheme="minorHAnsi" w:hAnsiTheme="minorHAnsi"/>
        </w:rPr>
        <w:t xml:space="preserve">  It remains to be determined whether a similar limitation applies in taking an offence into account under s 16BA.</w:t>
      </w:r>
      <w:r w:rsidR="00D077F0" w:rsidRPr="00C00000">
        <w:rPr>
          <w:rStyle w:val="Style"/>
          <w:rFonts w:asciiTheme="minorHAnsi" w:hAnsiTheme="minorHAnsi"/>
        </w:rPr>
        <w:footnoteReference w:id="1028"/>
      </w:r>
    </w:p>
    <w:p w14:paraId="32ED8AC4" w14:textId="77777777" w:rsidR="00B9238E" w:rsidRPr="00AA40E9" w:rsidRDefault="00B9238E" w:rsidP="00AA40E9">
      <w:pPr>
        <w:pStyle w:val="ListParagraph"/>
        <w:rPr>
          <w:rFonts w:asciiTheme="minorHAnsi" w:hAnsiTheme="minorHAnsi"/>
        </w:rPr>
      </w:pPr>
    </w:p>
    <w:p w14:paraId="59794858" w14:textId="0BB7AC45" w:rsidR="005C04CC" w:rsidRDefault="00AA40E9" w:rsidP="00EB7F1E">
      <w:pPr>
        <w:pStyle w:val="ListParagraph"/>
        <w:numPr>
          <w:ilvl w:val="0"/>
          <w:numId w:val="7"/>
        </w:numPr>
        <w:spacing w:line="276" w:lineRule="auto"/>
        <w:ind w:left="425" w:hanging="425"/>
        <w:contextualSpacing w:val="0"/>
        <w:rPr>
          <w:rFonts w:asciiTheme="minorHAnsi" w:hAnsiTheme="minorHAnsi"/>
        </w:rPr>
      </w:pPr>
      <w:r w:rsidRPr="005C04CC">
        <w:rPr>
          <w:rFonts w:asciiTheme="minorHAnsi" w:hAnsiTheme="minorHAnsi"/>
        </w:rPr>
        <w:t>There is nothing in s 16BA to preclude summary offences being taken into account by a court sentencing an offender on indictment.</w:t>
      </w:r>
      <w:r w:rsidR="00CF2C6F" w:rsidRPr="005C04CC">
        <w:rPr>
          <w:rFonts w:asciiTheme="minorHAnsi" w:hAnsiTheme="minorHAnsi"/>
        </w:rPr>
        <w:t xml:space="preserve">  However </w:t>
      </w:r>
      <w:r w:rsidR="006F3ECC">
        <w:rPr>
          <w:rFonts w:asciiTheme="minorHAnsi" w:hAnsiTheme="minorHAnsi"/>
        </w:rPr>
        <w:t xml:space="preserve">the converse is prohibited: </w:t>
      </w:r>
      <w:r w:rsidR="00CF2C6F" w:rsidRPr="005C04CC">
        <w:rPr>
          <w:rFonts w:asciiTheme="minorHAnsi" w:hAnsiTheme="minorHAnsi"/>
        </w:rPr>
        <w:t xml:space="preserve">a </w:t>
      </w:r>
      <w:r w:rsidR="005C04CC" w:rsidRPr="005C04CC">
        <w:rPr>
          <w:rFonts w:asciiTheme="minorHAnsi" w:hAnsiTheme="minorHAnsi"/>
        </w:rPr>
        <w:t xml:space="preserve">sentencing </w:t>
      </w:r>
      <w:r w:rsidR="00CF2C6F" w:rsidRPr="005C04CC">
        <w:rPr>
          <w:rFonts w:asciiTheme="minorHAnsi" w:hAnsiTheme="minorHAnsi"/>
        </w:rPr>
        <w:t xml:space="preserve">court may </w:t>
      </w:r>
      <w:r w:rsidR="005C04CC" w:rsidRPr="005C04CC">
        <w:rPr>
          <w:rFonts w:asciiTheme="minorHAnsi" w:hAnsiTheme="minorHAnsi"/>
        </w:rPr>
        <w:t>not take into account under this section any indictable offence that it would not have jurisdiction to try (even if the prosecution so requested and the defendant so consented) (s 16BA(3)).  Therefore a magistrate may not take into account an indictable offence under the s 16BA procedure, even if the offence would be triable summarily.</w:t>
      </w:r>
      <w:r w:rsidR="005C04CC">
        <w:rPr>
          <w:rFonts w:asciiTheme="minorHAnsi" w:hAnsiTheme="minorHAnsi"/>
        </w:rPr>
        <w:t xml:space="preserve">  </w:t>
      </w:r>
      <w:r w:rsidR="00C95945">
        <w:rPr>
          <w:rFonts w:asciiTheme="minorHAnsi" w:hAnsiTheme="minorHAnsi"/>
        </w:rPr>
        <w:t>But this provision</w:t>
      </w:r>
      <w:r w:rsidR="008F5F30">
        <w:rPr>
          <w:rFonts w:asciiTheme="minorHAnsi" w:hAnsiTheme="minorHAnsi"/>
        </w:rPr>
        <w:t xml:space="preserve"> does not </w:t>
      </w:r>
      <w:r w:rsidR="008F5F30" w:rsidRPr="008F5F30">
        <w:rPr>
          <w:rFonts w:asciiTheme="minorHAnsi" w:hAnsiTheme="minorHAnsi"/>
        </w:rPr>
        <w:t>prevent a court from taking into account an indictable offence where the court has jurisdiction to sentence a person charged with that offence</w:t>
      </w:r>
      <w:r w:rsidR="008F5F30">
        <w:rPr>
          <w:rFonts w:asciiTheme="minorHAnsi" w:hAnsiTheme="minorHAnsi"/>
        </w:rPr>
        <w:t xml:space="preserve"> (s 16BA(3A)).</w:t>
      </w:r>
      <w:r w:rsidR="00746926">
        <w:rPr>
          <w:rFonts w:asciiTheme="minorHAnsi" w:hAnsiTheme="minorHAnsi"/>
        </w:rPr>
        <w:t xml:space="preserve">  </w:t>
      </w:r>
      <w:r w:rsidR="00EA1696">
        <w:rPr>
          <w:rFonts w:asciiTheme="minorHAnsi" w:hAnsiTheme="minorHAnsi"/>
        </w:rPr>
        <w:t>This exception allows</w:t>
      </w:r>
      <w:r w:rsidR="00746926">
        <w:rPr>
          <w:rFonts w:asciiTheme="minorHAnsi" w:hAnsiTheme="minorHAnsi"/>
        </w:rPr>
        <w:t xml:space="preserve">, for example, </w:t>
      </w:r>
      <w:r w:rsidR="00EA1696">
        <w:rPr>
          <w:rFonts w:asciiTheme="minorHAnsi" w:hAnsiTheme="minorHAnsi"/>
        </w:rPr>
        <w:t>a superior court in one State to take into account an indictable federal offence committed in another State, even though the court would not have jurisdiction (by reason of s 80 of the Constitution) to try the offence.</w:t>
      </w:r>
    </w:p>
    <w:p w14:paraId="37E1516D" w14:textId="77777777" w:rsidR="005C04CC" w:rsidRPr="005C04CC" w:rsidRDefault="005C04CC" w:rsidP="005C04CC">
      <w:pPr>
        <w:pStyle w:val="ListParagraph"/>
        <w:rPr>
          <w:rFonts w:asciiTheme="minorHAnsi" w:hAnsiTheme="minorHAnsi"/>
        </w:rPr>
      </w:pPr>
    </w:p>
    <w:p w14:paraId="1CBBA789" w14:textId="12CC5500" w:rsidR="002D3158" w:rsidRPr="005C04CC" w:rsidRDefault="00601308" w:rsidP="00EB7F1E">
      <w:pPr>
        <w:pStyle w:val="ListParagraph"/>
        <w:numPr>
          <w:ilvl w:val="0"/>
          <w:numId w:val="7"/>
        </w:numPr>
        <w:spacing w:line="276" w:lineRule="auto"/>
        <w:ind w:left="425" w:hanging="425"/>
        <w:contextualSpacing w:val="0"/>
        <w:rPr>
          <w:rFonts w:asciiTheme="minorHAnsi" w:hAnsiTheme="minorHAnsi"/>
        </w:rPr>
      </w:pPr>
      <w:r w:rsidRPr="005C04CC">
        <w:rPr>
          <w:rFonts w:asciiTheme="minorHAnsi" w:hAnsiTheme="minorHAnsi"/>
        </w:rPr>
        <w:t>Apart from th</w:t>
      </w:r>
      <w:r w:rsidR="008F5F30">
        <w:rPr>
          <w:rFonts w:asciiTheme="minorHAnsi" w:hAnsiTheme="minorHAnsi"/>
        </w:rPr>
        <w:t>e</w:t>
      </w:r>
      <w:r w:rsidRPr="005C04CC">
        <w:rPr>
          <w:rFonts w:asciiTheme="minorHAnsi" w:hAnsiTheme="minorHAnsi"/>
        </w:rPr>
        <w:t xml:space="preserve"> limitation</w:t>
      </w:r>
      <w:r w:rsidR="008F5F30">
        <w:rPr>
          <w:rFonts w:asciiTheme="minorHAnsi" w:hAnsiTheme="minorHAnsi"/>
        </w:rPr>
        <w:t xml:space="preserve"> imposed by s 16BA(3)</w:t>
      </w:r>
      <w:r>
        <w:rPr>
          <w:rFonts w:asciiTheme="minorHAnsi" w:hAnsiTheme="minorHAnsi"/>
        </w:rPr>
        <w:t>, o</w:t>
      </w:r>
      <w:r w:rsidRPr="005C04CC">
        <w:rPr>
          <w:rFonts w:asciiTheme="minorHAnsi" w:hAnsiTheme="minorHAnsi"/>
        </w:rPr>
        <w:t xml:space="preserve">n its face s 16BA allows any federal offence to be taken into account in sentencing an offender for any </w:t>
      </w:r>
      <w:r>
        <w:rPr>
          <w:rFonts w:asciiTheme="minorHAnsi" w:hAnsiTheme="minorHAnsi"/>
        </w:rPr>
        <w:t xml:space="preserve">other </w:t>
      </w:r>
      <w:r w:rsidRPr="005C04CC">
        <w:rPr>
          <w:rFonts w:asciiTheme="minorHAnsi" w:hAnsiTheme="minorHAnsi"/>
        </w:rPr>
        <w:t>federal offence.</w:t>
      </w:r>
      <w:r w:rsidRPr="00C00000">
        <w:rPr>
          <w:rStyle w:val="Style"/>
          <w:rFonts w:asciiTheme="minorHAnsi" w:hAnsiTheme="minorHAnsi"/>
        </w:rPr>
        <w:footnoteReference w:id="1029"/>
      </w:r>
      <w:r w:rsidRPr="005C04CC">
        <w:rPr>
          <w:rFonts w:asciiTheme="minorHAnsi" w:hAnsiTheme="minorHAnsi"/>
        </w:rPr>
        <w:t xml:space="preserve">  Pursuant to s 16BA(2), a sentencing court has a discretion whether to </w:t>
      </w:r>
      <w:r>
        <w:rPr>
          <w:rFonts w:asciiTheme="minorHAnsi" w:hAnsiTheme="minorHAnsi"/>
        </w:rPr>
        <w:t xml:space="preserve">take an offence into account.  </w:t>
      </w:r>
      <w:r w:rsidR="009673DC" w:rsidRPr="005C04CC">
        <w:rPr>
          <w:rFonts w:asciiTheme="minorHAnsi" w:hAnsiTheme="minorHAnsi"/>
        </w:rPr>
        <w:t xml:space="preserve">At common law, it has </w:t>
      </w:r>
      <w:r w:rsidR="008E2986" w:rsidRPr="005C04CC">
        <w:rPr>
          <w:rFonts w:asciiTheme="minorHAnsi" w:hAnsiTheme="minorHAnsi"/>
        </w:rPr>
        <w:t xml:space="preserve">generally </w:t>
      </w:r>
      <w:r w:rsidR="009673DC" w:rsidRPr="005C04CC">
        <w:rPr>
          <w:rFonts w:asciiTheme="minorHAnsi" w:hAnsiTheme="minorHAnsi"/>
        </w:rPr>
        <w:t>been regarded as inappropriate to take into account offences which differ greatly in gravity or type from the offence for which the offender is to be sentenced.</w:t>
      </w:r>
      <w:r w:rsidR="009673DC" w:rsidRPr="00C00000">
        <w:rPr>
          <w:rStyle w:val="Style"/>
          <w:rFonts w:asciiTheme="minorHAnsi" w:hAnsiTheme="minorHAnsi"/>
        </w:rPr>
        <w:footnoteReference w:id="1030"/>
      </w:r>
      <w:r w:rsidR="00CF2C6F" w:rsidRPr="005C04CC">
        <w:rPr>
          <w:rFonts w:asciiTheme="minorHAnsi" w:hAnsiTheme="minorHAnsi"/>
        </w:rPr>
        <w:t xml:space="preserve">  </w:t>
      </w:r>
      <w:r>
        <w:rPr>
          <w:rFonts w:asciiTheme="minorHAnsi" w:hAnsiTheme="minorHAnsi"/>
        </w:rPr>
        <w:t xml:space="preserve">But it may be proper to take into account offending of a different type if it is related to the offending for which the offender is to be sentenced: for example, </w:t>
      </w:r>
      <w:r w:rsidR="001B667F">
        <w:rPr>
          <w:rFonts w:asciiTheme="minorHAnsi" w:hAnsiTheme="minorHAnsi"/>
        </w:rPr>
        <w:t xml:space="preserve">in relation to sentencing for a drug offence, a </w:t>
      </w:r>
      <w:r>
        <w:rPr>
          <w:rFonts w:asciiTheme="minorHAnsi" w:hAnsiTheme="minorHAnsi"/>
        </w:rPr>
        <w:t>money laundering</w:t>
      </w:r>
      <w:r w:rsidR="001B667F">
        <w:rPr>
          <w:rFonts w:asciiTheme="minorHAnsi" w:hAnsiTheme="minorHAnsi"/>
        </w:rPr>
        <w:t xml:space="preserve"> offence committed as part of the same criminal enterprise</w:t>
      </w:r>
      <w:r w:rsidR="00114625">
        <w:rPr>
          <w:rFonts w:asciiTheme="minorHAnsi" w:hAnsiTheme="minorHAnsi"/>
        </w:rPr>
        <w:t>.</w:t>
      </w:r>
      <w:r w:rsidRPr="00C00000">
        <w:rPr>
          <w:rStyle w:val="Style"/>
          <w:rFonts w:asciiTheme="minorHAnsi" w:hAnsiTheme="minorHAnsi"/>
        </w:rPr>
        <w:footnoteReference w:id="1031"/>
      </w:r>
    </w:p>
    <w:p w14:paraId="3A295FE5" w14:textId="77777777" w:rsidR="00CF2C6F" w:rsidRPr="00CF2C6F" w:rsidRDefault="00CF2C6F" w:rsidP="00CF2C6F">
      <w:pPr>
        <w:pStyle w:val="ListParagraph"/>
        <w:rPr>
          <w:rFonts w:asciiTheme="minorHAnsi" w:hAnsiTheme="minorHAnsi"/>
        </w:rPr>
      </w:pPr>
    </w:p>
    <w:p w14:paraId="6C37EB72" w14:textId="0B8EBFB7" w:rsidR="00CF2C6F" w:rsidRDefault="005C04CC"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to the effect on sentencing of taking an offence into account, see “</w:t>
      </w:r>
      <w:r>
        <w:rPr>
          <w:rFonts w:asciiTheme="minorHAnsi" w:hAnsiTheme="minorHAnsi"/>
        </w:rPr>
        <w:fldChar w:fldCharType="begin"/>
      </w:r>
      <w:r>
        <w:rPr>
          <w:rFonts w:asciiTheme="minorHAnsi" w:hAnsiTheme="minorHAnsi"/>
        </w:rPr>
        <w:instrText xml:space="preserve"> REF _Ref491271918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4.4.2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_Ref491271918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Other offences taken into account – s 16A(2)(b)</w:t>
      </w:r>
      <w:r>
        <w:rPr>
          <w:rFonts w:asciiTheme="minorHAnsi" w:hAnsiTheme="minorHAnsi"/>
        </w:rPr>
        <w:fldChar w:fldCharType="end"/>
      </w:r>
      <w:r>
        <w:rPr>
          <w:rFonts w:asciiTheme="minorHAnsi" w:hAnsiTheme="minorHAnsi"/>
        </w:rPr>
        <w:t>”.</w:t>
      </w:r>
    </w:p>
    <w:p w14:paraId="4EF21FBC" w14:textId="77777777" w:rsidR="00B76AD6" w:rsidRPr="00B76AD6" w:rsidRDefault="00B76AD6" w:rsidP="00B76AD6">
      <w:pPr>
        <w:pStyle w:val="ListParagraph"/>
        <w:rPr>
          <w:rFonts w:asciiTheme="minorHAnsi" w:hAnsiTheme="minorHAnsi"/>
        </w:rPr>
      </w:pPr>
    </w:p>
    <w:p w14:paraId="0112CA1C" w14:textId="24591630" w:rsidR="00B7095D" w:rsidRDefault="00B76AD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unclear whether s 16BA </w:t>
      </w:r>
      <w:r w:rsidR="0061118E">
        <w:rPr>
          <w:rFonts w:asciiTheme="minorHAnsi" w:hAnsiTheme="minorHAnsi"/>
        </w:rPr>
        <w:t>implicitly</w:t>
      </w:r>
      <w:r>
        <w:rPr>
          <w:rFonts w:asciiTheme="minorHAnsi" w:hAnsiTheme="minorHAnsi"/>
        </w:rPr>
        <w:t xml:space="preserve"> preclude</w:t>
      </w:r>
      <w:r w:rsidR="0061118E">
        <w:rPr>
          <w:rFonts w:asciiTheme="minorHAnsi" w:hAnsiTheme="minorHAnsi"/>
        </w:rPr>
        <w:t>s</w:t>
      </w:r>
      <w:r>
        <w:rPr>
          <w:rFonts w:asciiTheme="minorHAnsi" w:hAnsiTheme="minorHAnsi"/>
        </w:rPr>
        <w:t xml:space="preserve"> </w:t>
      </w:r>
      <w:r w:rsidR="00967915">
        <w:rPr>
          <w:rFonts w:asciiTheme="minorHAnsi" w:hAnsiTheme="minorHAnsi"/>
        </w:rPr>
        <w:t xml:space="preserve">a </w:t>
      </w:r>
      <w:r>
        <w:rPr>
          <w:rFonts w:asciiTheme="minorHAnsi" w:hAnsiTheme="minorHAnsi"/>
        </w:rPr>
        <w:t>State or Territory law which allow</w:t>
      </w:r>
      <w:r w:rsidR="00967915">
        <w:rPr>
          <w:rFonts w:asciiTheme="minorHAnsi" w:hAnsiTheme="minorHAnsi"/>
        </w:rPr>
        <w:t>s</w:t>
      </w:r>
      <w:r>
        <w:rPr>
          <w:rFonts w:asciiTheme="minorHAnsi" w:hAnsiTheme="minorHAnsi"/>
        </w:rPr>
        <w:t xml:space="preserve"> a</w:t>
      </w:r>
      <w:r w:rsidR="00BB7241">
        <w:rPr>
          <w:rFonts w:asciiTheme="minorHAnsi" w:hAnsiTheme="minorHAnsi"/>
        </w:rPr>
        <w:t>n</w:t>
      </w:r>
      <w:r>
        <w:rPr>
          <w:rFonts w:asciiTheme="minorHAnsi" w:hAnsiTheme="minorHAnsi"/>
        </w:rPr>
        <w:t xml:space="preserve"> offence to be taken into account in sentencing from applying </w:t>
      </w:r>
      <w:r w:rsidR="0061118E">
        <w:rPr>
          <w:rFonts w:asciiTheme="minorHAnsi" w:hAnsiTheme="minorHAnsi"/>
        </w:rPr>
        <w:t xml:space="preserve">(by virtue of s 68 or s 79 of the </w:t>
      </w:r>
      <w:r w:rsidR="0061118E" w:rsidRPr="0061118E">
        <w:rPr>
          <w:rFonts w:asciiTheme="minorHAnsi" w:hAnsiTheme="minorHAnsi"/>
          <w:i/>
        </w:rPr>
        <w:t>Judiciary Act 1903</w:t>
      </w:r>
      <w:r w:rsidR="0061118E">
        <w:rPr>
          <w:rFonts w:asciiTheme="minorHAnsi" w:hAnsiTheme="minorHAnsi"/>
        </w:rPr>
        <w:t xml:space="preserve"> (Cth)) </w:t>
      </w:r>
      <w:r w:rsidR="00BB7241">
        <w:rPr>
          <w:rFonts w:asciiTheme="minorHAnsi" w:hAnsiTheme="minorHAnsi"/>
        </w:rPr>
        <w:t>to the s</w:t>
      </w:r>
      <w:r w:rsidR="00967915">
        <w:rPr>
          <w:rFonts w:asciiTheme="minorHAnsi" w:hAnsiTheme="minorHAnsi"/>
        </w:rPr>
        <w:t>entencing of a federal offender.</w:t>
      </w:r>
      <w:r w:rsidR="00BB7241">
        <w:rPr>
          <w:rFonts w:asciiTheme="minorHAnsi" w:hAnsiTheme="minorHAnsi"/>
        </w:rPr>
        <w:t xml:space="preserve"> </w:t>
      </w:r>
      <w:r w:rsidR="00967915">
        <w:rPr>
          <w:rFonts w:asciiTheme="minorHAnsi" w:hAnsiTheme="minorHAnsi"/>
        </w:rPr>
        <w:t xml:space="preserve"> That is, it is uncertain whether there is any means by which a State or Territory offence may be taken into account in sentencing a federal offender.</w:t>
      </w:r>
      <w:r w:rsidR="00A914A0" w:rsidRPr="00C00000">
        <w:rPr>
          <w:rStyle w:val="Style"/>
          <w:rFonts w:asciiTheme="minorHAnsi" w:hAnsiTheme="minorHAnsi"/>
        </w:rPr>
        <w:footnoteReference w:id="1032"/>
      </w:r>
    </w:p>
    <w:p w14:paraId="36AF2098" w14:textId="77777777" w:rsidR="00B7095D" w:rsidRPr="00B7095D" w:rsidRDefault="00B7095D" w:rsidP="00B7095D">
      <w:pPr>
        <w:pStyle w:val="ListParagraph"/>
        <w:rPr>
          <w:rFonts w:asciiTheme="minorHAnsi" w:hAnsiTheme="minorHAnsi"/>
        </w:rPr>
      </w:pPr>
    </w:p>
    <w:p w14:paraId="5E873FEE" w14:textId="0057B9C0" w:rsidR="00B76AD6" w:rsidRPr="00C00000" w:rsidRDefault="00B7095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also unclear whether s 16BA would have the effect of covering the field or otherwise excluding the operation of a State or Territory law which </w:t>
      </w:r>
      <w:r w:rsidR="00BB7241">
        <w:rPr>
          <w:rFonts w:asciiTheme="minorHAnsi" w:hAnsiTheme="minorHAnsi"/>
        </w:rPr>
        <w:t>permitt</w:t>
      </w:r>
      <w:r>
        <w:rPr>
          <w:rFonts w:asciiTheme="minorHAnsi" w:hAnsiTheme="minorHAnsi"/>
        </w:rPr>
        <w:t>ed</w:t>
      </w:r>
      <w:r w:rsidR="00BB7241">
        <w:rPr>
          <w:rFonts w:asciiTheme="minorHAnsi" w:hAnsiTheme="minorHAnsi"/>
        </w:rPr>
        <w:t xml:space="preserve"> a federal offence to be taken into account in sentencing for a State or Territory offence</w:t>
      </w:r>
      <w:r w:rsidR="00464592">
        <w:rPr>
          <w:rFonts w:asciiTheme="minorHAnsi" w:hAnsiTheme="minorHAnsi"/>
        </w:rPr>
        <w:t>.</w:t>
      </w:r>
      <w:r w:rsidR="00464592" w:rsidRPr="00C00000">
        <w:rPr>
          <w:rStyle w:val="Style"/>
          <w:rFonts w:asciiTheme="minorHAnsi" w:hAnsiTheme="minorHAnsi"/>
        </w:rPr>
        <w:footnoteReference w:id="1033"/>
      </w:r>
    </w:p>
    <w:p w14:paraId="457122C6" w14:textId="77777777" w:rsidR="00850E29" w:rsidRPr="00C00000" w:rsidRDefault="00850E29" w:rsidP="00850E29">
      <w:pPr>
        <w:pStyle w:val="ListParagraph"/>
        <w:spacing w:line="276" w:lineRule="auto"/>
        <w:ind w:left="567" w:right="170"/>
        <w:contextualSpacing w:val="0"/>
        <w:rPr>
          <w:rFonts w:asciiTheme="minorHAnsi" w:eastAsiaTheme="minorEastAsia" w:hAnsiTheme="minorHAnsi" w:cstheme="minorBidi"/>
          <w:noProof/>
          <w:szCs w:val="22"/>
        </w:rPr>
      </w:pPr>
    </w:p>
    <w:p w14:paraId="7CA455FD" w14:textId="7E7A7BB2" w:rsidR="00850E29" w:rsidRPr="00C00000" w:rsidRDefault="00850E29" w:rsidP="008B3E81">
      <w:pPr>
        <w:pStyle w:val="Heading2"/>
        <w:rPr>
          <w:rStyle w:val="Strong"/>
          <w:b/>
        </w:rPr>
      </w:pPr>
      <w:bookmarkStart w:id="2661" w:name="_Toc33602944"/>
      <w:r w:rsidRPr="00C00000">
        <w:rPr>
          <w:rStyle w:val="Strong"/>
          <w:b/>
        </w:rPr>
        <w:t>Dealing with summary offences in a superior court</w:t>
      </w:r>
      <w:bookmarkEnd w:id="2661"/>
    </w:p>
    <w:p w14:paraId="4783B9A7" w14:textId="6EA1515F" w:rsidR="00850E29" w:rsidRPr="00C00000" w:rsidRDefault="00850E29" w:rsidP="008B3E81">
      <w:pPr>
        <w:pStyle w:val="ListParagraph"/>
        <w:keepNext/>
        <w:spacing w:line="276" w:lineRule="auto"/>
        <w:ind w:left="567" w:hanging="567"/>
        <w:contextualSpacing w:val="0"/>
        <w:rPr>
          <w:rStyle w:val="Strong"/>
          <w:rFonts w:asciiTheme="minorHAnsi" w:hAnsiTheme="minorHAnsi"/>
          <w:b w:val="0"/>
        </w:rPr>
      </w:pPr>
    </w:p>
    <w:p w14:paraId="107F93F5" w14:textId="50D9DF62" w:rsidR="00C52D0B" w:rsidRDefault="009533E2"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There is no general provision in Commonwealth law which deals with the power of a superior court to </w:t>
      </w:r>
      <w:r w:rsidR="006F6B19">
        <w:rPr>
          <w:rFonts w:asciiTheme="minorHAnsi" w:hAnsiTheme="minorHAnsi"/>
        </w:rPr>
        <w:t>impose a sentence for</w:t>
      </w:r>
      <w:r>
        <w:rPr>
          <w:rFonts w:asciiTheme="minorHAnsi" w:hAnsiTheme="minorHAnsi"/>
        </w:rPr>
        <w:t xml:space="preserve"> a summary offence.  </w:t>
      </w:r>
      <w:r w:rsidR="00C52D0B">
        <w:rPr>
          <w:rFonts w:asciiTheme="minorHAnsi" w:hAnsiTheme="minorHAnsi"/>
        </w:rPr>
        <w:t xml:space="preserve">Whether a State or Territory law which permits a superior court to sentence an offender for a summary offence in certain circumstances therefore depends upon the provisions of </w:t>
      </w:r>
      <w:r>
        <w:rPr>
          <w:rFonts w:asciiTheme="minorHAnsi" w:hAnsiTheme="minorHAnsi"/>
        </w:rPr>
        <w:t xml:space="preserve">the </w:t>
      </w:r>
      <w:r w:rsidRPr="009533E2">
        <w:rPr>
          <w:rFonts w:asciiTheme="minorHAnsi" w:hAnsiTheme="minorHAnsi"/>
          <w:i/>
        </w:rPr>
        <w:t>Judiciary Act 1903</w:t>
      </w:r>
      <w:r>
        <w:rPr>
          <w:rFonts w:asciiTheme="minorHAnsi" w:hAnsiTheme="minorHAnsi"/>
        </w:rPr>
        <w:t xml:space="preserve"> (Cth)</w:t>
      </w:r>
      <w:r w:rsidR="00C52D0B">
        <w:rPr>
          <w:rFonts w:asciiTheme="minorHAnsi" w:hAnsiTheme="minorHAnsi"/>
        </w:rPr>
        <w:t>.</w:t>
      </w:r>
    </w:p>
    <w:p w14:paraId="786E4890" w14:textId="77777777" w:rsidR="00931216" w:rsidRPr="00931216" w:rsidRDefault="00931216" w:rsidP="00931216">
      <w:pPr>
        <w:widowControl w:val="0"/>
        <w:spacing w:line="276" w:lineRule="auto"/>
        <w:ind w:right="28"/>
        <w:rPr>
          <w:rFonts w:asciiTheme="minorHAnsi" w:hAnsiTheme="minorHAnsi"/>
        </w:rPr>
      </w:pPr>
    </w:p>
    <w:p w14:paraId="76BD1D2D" w14:textId="515B9FEC" w:rsidR="009533E2" w:rsidRDefault="001B340F"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Prior to 13 October 1999, s 68(3) of the </w:t>
      </w:r>
      <w:r w:rsidRPr="00C00000">
        <w:rPr>
          <w:rFonts w:asciiTheme="minorHAnsi" w:hAnsiTheme="minorHAnsi"/>
          <w:i/>
        </w:rPr>
        <w:t xml:space="preserve">Judiciary Act 1903 </w:t>
      </w:r>
      <w:r w:rsidRPr="00C00000">
        <w:rPr>
          <w:rFonts w:asciiTheme="minorHAnsi" w:hAnsiTheme="minorHAnsi"/>
        </w:rPr>
        <w:t xml:space="preserve">(Cth) </w:t>
      </w:r>
      <w:r>
        <w:rPr>
          <w:rFonts w:asciiTheme="minorHAnsi" w:hAnsiTheme="minorHAnsi"/>
        </w:rPr>
        <w:t xml:space="preserve">conferred </w:t>
      </w:r>
      <w:r w:rsidRPr="00C00000">
        <w:rPr>
          <w:rFonts w:asciiTheme="minorHAnsi" w:hAnsiTheme="minorHAnsi"/>
        </w:rPr>
        <w:t>the power to exercise summary jurisdiction in respect of federal offenders</w:t>
      </w:r>
      <w:r w:rsidR="006F6B19">
        <w:rPr>
          <w:rFonts w:asciiTheme="minorHAnsi" w:hAnsiTheme="minorHAnsi"/>
        </w:rPr>
        <w:t xml:space="preserve"> only</w:t>
      </w:r>
      <w:r w:rsidRPr="00C00000">
        <w:rPr>
          <w:rFonts w:asciiTheme="minorHAnsi" w:hAnsiTheme="minorHAnsi"/>
        </w:rPr>
        <w:t xml:space="preserve"> </w:t>
      </w:r>
      <w:r>
        <w:rPr>
          <w:rFonts w:asciiTheme="minorHAnsi" w:hAnsiTheme="minorHAnsi"/>
        </w:rPr>
        <w:t>on</w:t>
      </w:r>
      <w:r w:rsidRPr="00C00000">
        <w:rPr>
          <w:rFonts w:asciiTheme="minorHAnsi" w:hAnsiTheme="minorHAnsi"/>
        </w:rPr>
        <w:t xml:space="preserve"> </w:t>
      </w:r>
      <w:r w:rsidR="009E1FEB" w:rsidRPr="00C00000">
        <w:rPr>
          <w:rFonts w:asciiTheme="minorHAnsi" w:hAnsiTheme="minorHAnsi"/>
        </w:rPr>
        <w:t>magistrates</w:t>
      </w:r>
      <w:r w:rsidRPr="00C00000">
        <w:rPr>
          <w:rFonts w:asciiTheme="minorHAnsi" w:hAnsiTheme="minorHAnsi"/>
        </w:rPr>
        <w:t xml:space="preserve">.  This had the effect of precluding </w:t>
      </w:r>
      <w:r>
        <w:rPr>
          <w:rFonts w:asciiTheme="minorHAnsi" w:hAnsiTheme="minorHAnsi"/>
        </w:rPr>
        <w:t>superior court judges</w:t>
      </w:r>
      <w:r w:rsidRPr="00C00000">
        <w:rPr>
          <w:rFonts w:asciiTheme="minorHAnsi" w:hAnsiTheme="minorHAnsi"/>
        </w:rPr>
        <w:t xml:space="preserve"> from exercising jurisdiction over a Commonwealth summary offence.  </w:t>
      </w:r>
      <w:r w:rsidR="008A7ED2">
        <w:rPr>
          <w:rFonts w:asciiTheme="minorHAnsi" w:hAnsiTheme="minorHAnsi"/>
        </w:rPr>
        <w:t>However, f</w:t>
      </w:r>
      <w:r>
        <w:rPr>
          <w:rFonts w:asciiTheme="minorHAnsi" w:hAnsiTheme="minorHAnsi"/>
        </w:rPr>
        <w:t>ollowing an amendment to s 68(3),</w:t>
      </w:r>
      <w:r w:rsidR="008A7ED2" w:rsidRPr="00C00000">
        <w:rPr>
          <w:rStyle w:val="Style"/>
          <w:rFonts w:asciiTheme="minorHAnsi" w:hAnsiTheme="minorHAnsi"/>
        </w:rPr>
        <w:footnoteReference w:id="1034"/>
      </w:r>
      <w:r>
        <w:rPr>
          <w:rFonts w:asciiTheme="minorHAnsi" w:hAnsiTheme="minorHAnsi"/>
        </w:rPr>
        <w:t xml:space="preserve"> </w:t>
      </w:r>
      <w:r w:rsidRPr="00C00000">
        <w:rPr>
          <w:rFonts w:asciiTheme="minorHAnsi" w:hAnsiTheme="minorHAnsi"/>
        </w:rPr>
        <w:t xml:space="preserve">a judge before whom a person appears on an indictable Commonwealth offence can also hear and determine a Commonwealth summary offence </w:t>
      </w:r>
      <w:r>
        <w:rPr>
          <w:rFonts w:asciiTheme="minorHAnsi" w:hAnsiTheme="minorHAnsi"/>
        </w:rPr>
        <w:t>(</w:t>
      </w:r>
      <w:r w:rsidRPr="00C00000">
        <w:rPr>
          <w:rFonts w:asciiTheme="minorHAnsi" w:hAnsiTheme="minorHAnsi"/>
        </w:rPr>
        <w:t xml:space="preserve">apart from </w:t>
      </w:r>
      <w:r w:rsidRPr="00C00000">
        <w:rPr>
          <w:rFonts w:asciiTheme="minorHAnsi" w:hAnsiTheme="minorHAnsi"/>
          <w:i/>
        </w:rPr>
        <w:t>Corporations Act</w:t>
      </w:r>
      <w:r w:rsidRPr="00C00000">
        <w:rPr>
          <w:rFonts w:asciiTheme="minorHAnsi" w:hAnsiTheme="minorHAnsi"/>
        </w:rPr>
        <w:t xml:space="preserve"> offences</w:t>
      </w:r>
      <w:r>
        <w:rPr>
          <w:rFonts w:asciiTheme="minorHAnsi" w:hAnsiTheme="minorHAnsi"/>
        </w:rPr>
        <w:t>)</w:t>
      </w:r>
      <w:r w:rsidRPr="00C00000">
        <w:rPr>
          <w:rFonts w:asciiTheme="minorHAnsi" w:hAnsiTheme="minorHAnsi"/>
        </w:rPr>
        <w:t xml:space="preserve">. </w:t>
      </w:r>
    </w:p>
    <w:p w14:paraId="7DB58A36" w14:textId="77777777" w:rsidR="009533E2" w:rsidRPr="009533E2" w:rsidRDefault="009533E2" w:rsidP="009533E2">
      <w:pPr>
        <w:widowControl w:val="0"/>
        <w:spacing w:line="276" w:lineRule="auto"/>
        <w:ind w:right="28"/>
        <w:rPr>
          <w:rFonts w:asciiTheme="minorHAnsi" w:hAnsiTheme="minorHAnsi"/>
        </w:rPr>
      </w:pPr>
    </w:p>
    <w:p w14:paraId="49DFA50D" w14:textId="45176A83" w:rsidR="001B340F" w:rsidRPr="001B340F" w:rsidRDefault="001B340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State and Territory laws provide for circumstances in which a superior court can determine a summary offence.</w:t>
      </w:r>
      <w:r w:rsidR="00947BF6" w:rsidRPr="00C00000">
        <w:rPr>
          <w:rStyle w:val="Style"/>
          <w:rFonts w:asciiTheme="minorHAnsi" w:hAnsiTheme="minorHAnsi"/>
        </w:rPr>
        <w:footnoteReference w:id="1035"/>
      </w:r>
      <w:r>
        <w:rPr>
          <w:rFonts w:asciiTheme="minorHAnsi" w:hAnsiTheme="minorHAnsi"/>
        </w:rPr>
        <w:t xml:space="preserve">  </w:t>
      </w:r>
      <w:r w:rsidRPr="001B340F">
        <w:rPr>
          <w:rFonts w:asciiTheme="minorHAnsi" w:eastAsia="Calibri" w:hAnsiTheme="minorHAnsi" w:cs="Arial"/>
          <w:szCs w:val="22"/>
        </w:rPr>
        <w:t>In</w:t>
      </w:r>
      <w:r>
        <w:rPr>
          <w:rFonts w:asciiTheme="minorHAnsi" w:eastAsia="Calibri" w:hAnsiTheme="minorHAnsi" w:cs="Arial"/>
          <w:szCs w:val="22"/>
        </w:rPr>
        <w:t xml:space="preserve"> </w:t>
      </w:r>
      <w:r w:rsidRPr="001B340F">
        <w:rPr>
          <w:rFonts w:asciiTheme="minorHAnsi" w:eastAsia="Calibri" w:hAnsiTheme="minorHAnsi" w:cs="Arial"/>
          <w:i/>
          <w:szCs w:val="22"/>
        </w:rPr>
        <w:t>Adams</w:t>
      </w:r>
      <w:r>
        <w:rPr>
          <w:rFonts w:asciiTheme="minorHAnsi" w:eastAsia="Calibri" w:hAnsiTheme="minorHAnsi" w:cs="Arial"/>
          <w:szCs w:val="22"/>
        </w:rPr>
        <w:t>,</w:t>
      </w:r>
      <w:r w:rsidRPr="00C00000">
        <w:rPr>
          <w:rStyle w:val="Style"/>
          <w:rFonts w:asciiTheme="minorHAnsi" w:hAnsiTheme="minorHAnsi"/>
        </w:rPr>
        <w:footnoteReference w:id="1036"/>
      </w:r>
      <w:r w:rsidRPr="001B340F">
        <w:rPr>
          <w:rFonts w:asciiTheme="minorHAnsi" w:eastAsia="Calibri" w:hAnsiTheme="minorHAnsi" w:cs="Arial"/>
          <w:szCs w:val="22"/>
        </w:rPr>
        <w:t xml:space="preserve">, the majority </w:t>
      </w:r>
      <w:r w:rsidR="003B1095">
        <w:rPr>
          <w:rFonts w:asciiTheme="minorHAnsi" w:eastAsia="Calibri" w:hAnsiTheme="minorHAnsi" w:cs="Arial"/>
          <w:szCs w:val="22"/>
        </w:rPr>
        <w:t>(Buss and Newnes JJA</w:t>
      </w:r>
      <w:r w:rsidR="008A7ED2">
        <w:rPr>
          <w:rFonts w:asciiTheme="minorHAnsi" w:eastAsia="Calibri" w:hAnsiTheme="minorHAnsi" w:cs="Arial"/>
          <w:szCs w:val="22"/>
        </w:rPr>
        <w:t xml:space="preserve">; </w:t>
      </w:r>
      <w:r w:rsidR="00947BF6">
        <w:rPr>
          <w:rFonts w:asciiTheme="minorHAnsi" w:eastAsia="Calibri" w:hAnsiTheme="minorHAnsi" w:cs="Arial"/>
          <w:szCs w:val="22"/>
        </w:rPr>
        <w:t>Mazza JA contra on this point</w:t>
      </w:r>
      <w:r w:rsidR="003B1095">
        <w:rPr>
          <w:rFonts w:asciiTheme="minorHAnsi" w:eastAsia="Calibri" w:hAnsiTheme="minorHAnsi" w:cs="Arial"/>
          <w:szCs w:val="22"/>
        </w:rPr>
        <w:t xml:space="preserve">) </w:t>
      </w:r>
      <w:r w:rsidRPr="001B340F">
        <w:rPr>
          <w:rFonts w:asciiTheme="minorHAnsi" w:eastAsia="Calibri" w:hAnsiTheme="minorHAnsi" w:cs="Arial"/>
          <w:szCs w:val="22"/>
        </w:rPr>
        <w:t xml:space="preserve">held that </w:t>
      </w:r>
      <w:r w:rsidR="00D652BF">
        <w:rPr>
          <w:rFonts w:asciiTheme="minorHAnsi" w:eastAsia="Calibri" w:hAnsiTheme="minorHAnsi" w:cs="Arial"/>
          <w:szCs w:val="22"/>
        </w:rPr>
        <w:t xml:space="preserve">a State law which permitted a pending charge to be </w:t>
      </w:r>
      <w:r w:rsidR="003B1095">
        <w:rPr>
          <w:rFonts w:asciiTheme="minorHAnsi" w:eastAsia="Calibri" w:hAnsiTheme="minorHAnsi" w:cs="Arial"/>
          <w:szCs w:val="22"/>
        </w:rPr>
        <w:t xml:space="preserve">dealt with summarily </w:t>
      </w:r>
      <w:r w:rsidR="009E1FEB">
        <w:rPr>
          <w:rFonts w:asciiTheme="minorHAnsi" w:eastAsia="Calibri" w:hAnsiTheme="minorHAnsi" w:cs="Arial"/>
          <w:szCs w:val="22"/>
        </w:rPr>
        <w:t>was</w:t>
      </w:r>
      <w:r w:rsidRPr="001B340F">
        <w:rPr>
          <w:rFonts w:asciiTheme="minorHAnsi" w:eastAsia="Calibri" w:hAnsiTheme="minorHAnsi" w:cs="Arial"/>
          <w:szCs w:val="22"/>
        </w:rPr>
        <w:t xml:space="preserve"> procedural in nature, </w:t>
      </w:r>
      <w:r w:rsidR="00D2583E">
        <w:rPr>
          <w:rFonts w:asciiTheme="minorHAnsi" w:eastAsia="Calibri" w:hAnsiTheme="minorHAnsi" w:cs="Arial"/>
          <w:szCs w:val="22"/>
        </w:rPr>
        <w:t xml:space="preserve">and </w:t>
      </w:r>
      <w:r w:rsidRPr="001B340F">
        <w:rPr>
          <w:rFonts w:asciiTheme="minorHAnsi" w:eastAsia="Calibri" w:hAnsiTheme="minorHAnsi" w:cs="Arial"/>
          <w:szCs w:val="22"/>
        </w:rPr>
        <w:t>d</w:t>
      </w:r>
      <w:r w:rsidR="00D2583E">
        <w:rPr>
          <w:rFonts w:asciiTheme="minorHAnsi" w:eastAsia="Calibri" w:hAnsiTheme="minorHAnsi" w:cs="Arial"/>
          <w:szCs w:val="22"/>
        </w:rPr>
        <w:t>id</w:t>
      </w:r>
      <w:r w:rsidRPr="001B340F">
        <w:rPr>
          <w:rFonts w:asciiTheme="minorHAnsi" w:eastAsia="Calibri" w:hAnsiTheme="minorHAnsi" w:cs="Arial"/>
          <w:szCs w:val="22"/>
        </w:rPr>
        <w:t xml:space="preserve"> not conflict with s 16BA of the </w:t>
      </w:r>
      <w:r w:rsidR="00885EFD" w:rsidRPr="00885EFD">
        <w:rPr>
          <w:rFonts w:asciiTheme="minorHAnsi" w:eastAsia="Calibri" w:hAnsiTheme="minorHAnsi" w:cs="Arial"/>
          <w:i/>
          <w:szCs w:val="22"/>
        </w:rPr>
        <w:t>Crimes Act 1914</w:t>
      </w:r>
      <w:r w:rsidRPr="001B340F">
        <w:rPr>
          <w:rFonts w:asciiTheme="minorHAnsi" w:eastAsia="Calibri" w:hAnsiTheme="minorHAnsi" w:cs="Arial"/>
          <w:szCs w:val="22"/>
        </w:rPr>
        <w:t xml:space="preserve"> (Cth)</w:t>
      </w:r>
      <w:r w:rsidR="00D2583E">
        <w:rPr>
          <w:rFonts w:asciiTheme="minorHAnsi" w:eastAsia="Calibri" w:hAnsiTheme="minorHAnsi" w:cs="Arial"/>
          <w:szCs w:val="22"/>
        </w:rPr>
        <w:t>.  The Court held that the State law</w:t>
      </w:r>
      <w:r w:rsidR="009E1FEB">
        <w:rPr>
          <w:rFonts w:asciiTheme="minorHAnsi" w:eastAsia="Calibri" w:hAnsiTheme="minorHAnsi" w:cs="Arial"/>
          <w:szCs w:val="22"/>
        </w:rPr>
        <w:t xml:space="preserve"> was</w:t>
      </w:r>
      <w:r w:rsidR="00D2583E">
        <w:rPr>
          <w:rFonts w:asciiTheme="minorHAnsi" w:eastAsia="Calibri" w:hAnsiTheme="minorHAnsi" w:cs="Arial"/>
          <w:szCs w:val="22"/>
        </w:rPr>
        <w:t xml:space="preserve"> applied by </w:t>
      </w:r>
      <w:r w:rsidRPr="001B340F">
        <w:rPr>
          <w:rFonts w:asciiTheme="minorHAnsi" w:eastAsia="Calibri" w:hAnsiTheme="minorHAnsi" w:cs="Arial"/>
          <w:szCs w:val="22"/>
        </w:rPr>
        <w:t xml:space="preserve">s 68 and s 79 of the </w:t>
      </w:r>
      <w:r w:rsidRPr="001B340F">
        <w:rPr>
          <w:rFonts w:asciiTheme="minorHAnsi" w:eastAsia="Calibri" w:hAnsiTheme="minorHAnsi" w:cs="Arial"/>
          <w:i/>
          <w:szCs w:val="22"/>
        </w:rPr>
        <w:t>Judiciary Act 1903</w:t>
      </w:r>
      <w:r w:rsidRPr="001B340F">
        <w:rPr>
          <w:rFonts w:asciiTheme="minorHAnsi" w:eastAsia="Calibri" w:hAnsiTheme="minorHAnsi" w:cs="Arial"/>
          <w:szCs w:val="22"/>
        </w:rPr>
        <w:t xml:space="preserve"> (Cth) </w:t>
      </w:r>
      <w:r w:rsidR="00D2583E">
        <w:rPr>
          <w:rFonts w:asciiTheme="minorHAnsi" w:eastAsia="Calibri" w:hAnsiTheme="minorHAnsi" w:cs="Arial"/>
          <w:szCs w:val="22"/>
        </w:rPr>
        <w:t>as surrogate federal law in relation to the sentencing of a federal offender</w:t>
      </w:r>
      <w:r w:rsidRPr="001B340F">
        <w:rPr>
          <w:rFonts w:asciiTheme="minorHAnsi" w:eastAsia="Calibri" w:hAnsiTheme="minorHAnsi" w:cs="Arial"/>
          <w:szCs w:val="22"/>
        </w:rPr>
        <w:t>.</w:t>
      </w:r>
    </w:p>
    <w:p w14:paraId="23CBB22D" w14:textId="77777777" w:rsidR="001B340F" w:rsidRPr="00C00000" w:rsidRDefault="001B340F" w:rsidP="001B340F">
      <w:pPr>
        <w:pStyle w:val="ListParagraph"/>
        <w:spacing w:line="276" w:lineRule="auto"/>
        <w:ind w:left="567" w:right="28" w:hanging="567"/>
        <w:rPr>
          <w:rFonts w:asciiTheme="minorHAnsi" w:hAnsiTheme="minorHAnsi"/>
        </w:rPr>
      </w:pPr>
    </w:p>
    <w:p w14:paraId="404A57A8" w14:textId="38E2F92B" w:rsidR="00850E29" w:rsidRDefault="00850E29"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It should also be noted that where the summary offence is against the </w:t>
      </w:r>
      <w:r w:rsidRPr="00C00000">
        <w:rPr>
          <w:rFonts w:asciiTheme="minorHAnsi" w:hAnsiTheme="minorHAnsi"/>
          <w:i/>
          <w:iCs/>
        </w:rPr>
        <w:t xml:space="preserve">Corporations Act 2001 </w:t>
      </w:r>
      <w:r w:rsidRPr="00C00000">
        <w:rPr>
          <w:rFonts w:asciiTheme="minorHAnsi" w:hAnsiTheme="minorHAnsi"/>
          <w:iCs/>
        </w:rPr>
        <w:t>(Cth),</w:t>
      </w:r>
      <w:r w:rsidRPr="00C00000">
        <w:rPr>
          <w:rFonts w:asciiTheme="minorHAnsi" w:hAnsiTheme="minorHAnsi"/>
        </w:rPr>
        <w:t xml:space="preserve"> only a </w:t>
      </w:r>
      <w:r w:rsidR="009E1FEB" w:rsidRPr="00C00000">
        <w:rPr>
          <w:rFonts w:asciiTheme="minorHAnsi" w:hAnsiTheme="minorHAnsi"/>
        </w:rPr>
        <w:t>magistrate</w:t>
      </w:r>
      <w:r w:rsidRPr="00C00000">
        <w:rPr>
          <w:rFonts w:asciiTheme="minorHAnsi" w:hAnsiTheme="minorHAnsi"/>
        </w:rPr>
        <w:t>, rather than a judge, can exercise summary jurisdiction.</w:t>
      </w:r>
      <w:r w:rsidRPr="00C00000">
        <w:rPr>
          <w:rStyle w:val="Style"/>
          <w:rFonts w:asciiTheme="minorHAnsi" w:hAnsiTheme="minorHAnsi"/>
        </w:rPr>
        <w:footnoteReference w:id="1037"/>
      </w:r>
      <w:r w:rsidRPr="00C00000">
        <w:rPr>
          <w:rFonts w:asciiTheme="minorHAnsi" w:hAnsiTheme="minorHAnsi"/>
        </w:rPr>
        <w:t xml:space="preserve">  So summary offences against the </w:t>
      </w:r>
      <w:r w:rsidRPr="00C00000">
        <w:rPr>
          <w:rFonts w:asciiTheme="minorHAnsi" w:hAnsiTheme="minorHAnsi"/>
          <w:i/>
        </w:rPr>
        <w:t>Corporations Act 2001</w:t>
      </w:r>
      <w:r w:rsidRPr="00C00000">
        <w:rPr>
          <w:rFonts w:asciiTheme="minorHAnsi" w:hAnsiTheme="minorHAnsi"/>
        </w:rPr>
        <w:t xml:space="preserve"> (Cth) cannot be transferred to </w:t>
      </w:r>
      <w:r w:rsidR="00D2583E">
        <w:rPr>
          <w:rFonts w:asciiTheme="minorHAnsi" w:hAnsiTheme="minorHAnsi"/>
        </w:rPr>
        <w:t>a superior court</w:t>
      </w:r>
      <w:r w:rsidRPr="00C00000">
        <w:rPr>
          <w:rFonts w:asciiTheme="minorHAnsi" w:hAnsiTheme="minorHAnsi"/>
        </w:rPr>
        <w:t>.</w:t>
      </w:r>
    </w:p>
    <w:p w14:paraId="53A8D4D5" w14:textId="77777777" w:rsidR="00652DFC" w:rsidRPr="00652DFC" w:rsidRDefault="00652DFC" w:rsidP="00652DFC">
      <w:pPr>
        <w:pStyle w:val="ListParagraph"/>
        <w:rPr>
          <w:rFonts w:asciiTheme="minorHAnsi" w:hAnsiTheme="minorHAnsi"/>
        </w:rPr>
      </w:pPr>
    </w:p>
    <w:p w14:paraId="07A88C4D" w14:textId="34496D0C" w:rsidR="00652DFC" w:rsidRPr="00C00000" w:rsidRDefault="00652DF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Victorian Court of Appeal has doubted whether an uplifted summary charge can be dealt with as part of an aggregate sentence imposed on indictment.</w:t>
      </w:r>
      <w:r w:rsidRPr="00C00000">
        <w:rPr>
          <w:rStyle w:val="Style"/>
          <w:rFonts w:asciiTheme="minorHAnsi" w:hAnsiTheme="minorHAnsi"/>
        </w:rPr>
        <w:footnoteReference w:id="1038"/>
      </w:r>
    </w:p>
    <w:p w14:paraId="7F11A35E" w14:textId="77777777" w:rsidR="00850E29" w:rsidRPr="00C00000" w:rsidRDefault="00850E29" w:rsidP="00850E29">
      <w:pPr>
        <w:spacing w:line="276" w:lineRule="auto"/>
        <w:ind w:left="153"/>
        <w:rPr>
          <w:rFonts w:asciiTheme="minorHAnsi" w:hAnsiTheme="minorHAnsi"/>
        </w:rPr>
      </w:pPr>
    </w:p>
    <w:p w14:paraId="2BE7CD85" w14:textId="01DFFF26" w:rsidR="00644318" w:rsidRPr="00EB7F1E" w:rsidRDefault="00644318">
      <w:pPr>
        <w:pStyle w:val="Heading2"/>
        <w:rPr>
          <w:rStyle w:val="Strong"/>
          <w:b/>
          <w:bCs w:val="0"/>
        </w:rPr>
      </w:pPr>
      <w:bookmarkStart w:id="2662" w:name="_Ref485914114"/>
      <w:bookmarkStart w:id="2663" w:name="_Ref485914120"/>
      <w:bookmarkStart w:id="2664" w:name="_Ref494884223"/>
      <w:bookmarkStart w:id="2665" w:name="_Toc33602945"/>
      <w:bookmarkStart w:id="2666" w:name="_Ref494293535"/>
      <w:bookmarkStart w:id="2667" w:name="_Ref494293539"/>
      <w:r w:rsidRPr="00EB7F1E">
        <w:rPr>
          <w:rStyle w:val="Strong"/>
          <w:b/>
          <w:bCs w:val="0"/>
        </w:rPr>
        <w:t xml:space="preserve">Specifying a reduction for undertaking to co-operate </w:t>
      </w:r>
      <w:r w:rsidR="00FC43CE" w:rsidRPr="00EB7F1E">
        <w:rPr>
          <w:rStyle w:val="Strong"/>
          <w:b/>
          <w:bCs w:val="0"/>
        </w:rPr>
        <w:t xml:space="preserve">in future - </w:t>
      </w:r>
      <w:r w:rsidR="00885EFD" w:rsidRPr="00EB7F1E">
        <w:rPr>
          <w:rStyle w:val="Strong"/>
          <w:b/>
          <w:bCs w:val="0"/>
        </w:rPr>
        <w:t>Crimes Act 1914</w:t>
      </w:r>
      <w:r w:rsidR="00FC43CE" w:rsidRPr="00EB7F1E">
        <w:rPr>
          <w:rStyle w:val="Strong"/>
          <w:b/>
          <w:bCs w:val="0"/>
        </w:rPr>
        <w:t xml:space="preserve"> </w:t>
      </w:r>
      <w:r w:rsidRPr="00EB7F1E">
        <w:rPr>
          <w:rStyle w:val="Strong"/>
          <w:b/>
          <w:bCs w:val="0"/>
        </w:rPr>
        <w:t>s</w:t>
      </w:r>
      <w:bookmarkEnd w:id="2662"/>
      <w:bookmarkEnd w:id="2663"/>
      <w:r w:rsidR="00FC43CE" w:rsidRPr="00EB7F1E">
        <w:rPr>
          <w:rStyle w:val="Strong"/>
          <w:b/>
          <w:bCs w:val="0"/>
        </w:rPr>
        <w:t xml:space="preserve"> 16AC</w:t>
      </w:r>
      <w:bookmarkEnd w:id="2664"/>
      <w:bookmarkEnd w:id="2665"/>
    </w:p>
    <w:p w14:paraId="76C44007" w14:textId="77777777" w:rsidR="00644318" w:rsidRPr="00C00000" w:rsidRDefault="00644318" w:rsidP="008B3E81">
      <w:pPr>
        <w:pStyle w:val="ListParagraph"/>
        <w:keepNext/>
        <w:widowControl w:val="0"/>
        <w:shd w:val="clear" w:color="auto" w:fill="FFFFFF" w:themeFill="background1"/>
        <w:spacing w:line="276" w:lineRule="auto"/>
        <w:ind w:left="567" w:right="170"/>
        <w:rPr>
          <w:rFonts w:asciiTheme="minorHAnsi" w:hAnsiTheme="minorHAnsi"/>
          <w:szCs w:val="22"/>
        </w:rPr>
      </w:pPr>
    </w:p>
    <w:p w14:paraId="6981FE2D" w14:textId="44D5449B" w:rsidR="00FC43CE" w:rsidRPr="00C213CF" w:rsidRDefault="00FC43CE" w:rsidP="008B3E81">
      <w:pPr>
        <w:pStyle w:val="Heading3"/>
      </w:pPr>
      <w:bookmarkStart w:id="2668" w:name="_Toc33602946"/>
      <w:r w:rsidRPr="00C213CF">
        <w:t xml:space="preserve">The requirements of </w:t>
      </w:r>
      <w:r w:rsidR="00885EFD" w:rsidRPr="00885EFD">
        <w:rPr>
          <w:i/>
        </w:rPr>
        <w:t>Crimes Act 1914</w:t>
      </w:r>
      <w:r w:rsidRPr="00C213CF">
        <w:t>, s 16AC</w:t>
      </w:r>
      <w:bookmarkEnd w:id="2668"/>
    </w:p>
    <w:p w14:paraId="03F37662" w14:textId="77777777" w:rsidR="00FC43CE" w:rsidRPr="008B3E81" w:rsidRDefault="00FC43CE" w:rsidP="008B3E81">
      <w:pPr>
        <w:pStyle w:val="ListParagraph"/>
        <w:keepNext/>
        <w:widowControl w:val="0"/>
        <w:shd w:val="clear" w:color="auto" w:fill="FFFFFF" w:themeFill="background1"/>
        <w:spacing w:line="276" w:lineRule="auto"/>
        <w:ind w:left="567" w:right="170"/>
        <w:rPr>
          <w:rFonts w:asciiTheme="minorHAnsi" w:hAnsiTheme="minorHAnsi"/>
          <w:szCs w:val="22"/>
        </w:rPr>
      </w:pPr>
    </w:p>
    <w:p w14:paraId="61D94F24" w14:textId="03A7B798" w:rsidR="00644318" w:rsidRDefault="0034590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w:t>
      </w:r>
      <w:r w:rsidR="00644318" w:rsidRPr="00C00000">
        <w:rPr>
          <w:rFonts w:asciiTheme="minorHAnsi" w:hAnsiTheme="minorHAnsi"/>
        </w:rPr>
        <w:t xml:space="preserve"> a federal offender has undertaken to co-operate with law enforcement agencies in future proceedings </w:t>
      </w:r>
      <w:r>
        <w:rPr>
          <w:rFonts w:asciiTheme="minorHAnsi" w:hAnsiTheme="minorHAnsi"/>
        </w:rPr>
        <w:t>(</w:t>
      </w:r>
      <w:r w:rsidR="00644318" w:rsidRPr="00C00000">
        <w:rPr>
          <w:rFonts w:asciiTheme="minorHAnsi" w:hAnsiTheme="minorHAnsi"/>
        </w:rPr>
        <w:t>including confiscation proceedings</w:t>
      </w:r>
      <w:r>
        <w:rPr>
          <w:rFonts w:asciiTheme="minorHAnsi" w:hAnsiTheme="minorHAnsi"/>
        </w:rPr>
        <w:t>)</w:t>
      </w:r>
      <w:r w:rsidR="00644318" w:rsidRPr="00C00000">
        <w:rPr>
          <w:rFonts w:asciiTheme="minorHAnsi" w:hAnsiTheme="minorHAnsi"/>
        </w:rPr>
        <w:t xml:space="preserve"> relating to any offence (defined as a federal, state or territory offence), and the </w:t>
      </w:r>
      <w:r w:rsidR="00FA27CF">
        <w:rPr>
          <w:rFonts w:asciiTheme="minorHAnsi" w:hAnsiTheme="minorHAnsi"/>
        </w:rPr>
        <w:t xml:space="preserve">severity of the </w:t>
      </w:r>
      <w:r w:rsidR="00644318" w:rsidRPr="00C00000">
        <w:rPr>
          <w:rFonts w:asciiTheme="minorHAnsi" w:hAnsiTheme="minorHAnsi"/>
        </w:rPr>
        <w:t>sentence</w:t>
      </w:r>
      <w:r w:rsidR="00FA27CF">
        <w:rPr>
          <w:rFonts w:asciiTheme="minorHAnsi" w:hAnsiTheme="minorHAnsi"/>
        </w:rPr>
        <w:t xml:space="preserve"> </w:t>
      </w:r>
      <w:r w:rsidR="00644318" w:rsidRPr="00C00000">
        <w:rPr>
          <w:rFonts w:asciiTheme="minorHAnsi" w:hAnsiTheme="minorHAnsi"/>
        </w:rPr>
        <w:t xml:space="preserve">is reduced as a result of that undertaking, the court </w:t>
      </w:r>
      <w:r>
        <w:rPr>
          <w:rFonts w:asciiTheme="minorHAnsi" w:hAnsiTheme="minorHAnsi"/>
        </w:rPr>
        <w:t xml:space="preserve">sentencing the offender </w:t>
      </w:r>
      <w:r w:rsidR="00644318" w:rsidRPr="00C00000">
        <w:rPr>
          <w:rFonts w:asciiTheme="minorHAnsi" w:hAnsiTheme="minorHAnsi"/>
        </w:rPr>
        <w:t>is required by s 16AC</w:t>
      </w:r>
      <w:r w:rsidR="00CC63A6">
        <w:rPr>
          <w:rFonts w:asciiTheme="minorHAnsi" w:hAnsiTheme="minorHAnsi"/>
        </w:rPr>
        <w:t>(2)</w:t>
      </w:r>
      <w:r w:rsidR="00644318" w:rsidRPr="00C00000">
        <w:rPr>
          <w:rFonts w:asciiTheme="minorHAnsi" w:hAnsiTheme="minorHAnsi"/>
        </w:rPr>
        <w:t xml:space="preserve"> </w:t>
      </w:r>
      <w:r w:rsidR="00644318">
        <w:rPr>
          <w:rFonts w:asciiTheme="minorHAnsi" w:hAnsiTheme="minorHAnsi"/>
        </w:rPr>
        <w:t xml:space="preserve">of the </w:t>
      </w:r>
      <w:r w:rsidR="00885EFD" w:rsidRPr="00885EFD">
        <w:rPr>
          <w:rFonts w:asciiTheme="minorHAnsi" w:hAnsiTheme="minorHAnsi"/>
          <w:i/>
        </w:rPr>
        <w:t>Crimes Act 1914</w:t>
      </w:r>
      <w:r w:rsidR="00644318">
        <w:rPr>
          <w:rFonts w:asciiTheme="minorHAnsi" w:hAnsiTheme="minorHAnsi"/>
        </w:rPr>
        <w:t xml:space="preserve"> (Cth):</w:t>
      </w:r>
      <w:r w:rsidR="00783124" w:rsidRPr="00783124">
        <w:rPr>
          <w:rStyle w:val="Style"/>
          <w:rFonts w:asciiTheme="minorHAnsi" w:hAnsiTheme="minorHAnsi"/>
        </w:rPr>
        <w:t xml:space="preserve"> </w:t>
      </w:r>
    </w:p>
    <w:p w14:paraId="68BE08FE" w14:textId="543AF16C" w:rsidR="00644318" w:rsidRDefault="0064431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to </w:t>
      </w:r>
      <w:r w:rsidR="00FA27CF">
        <w:rPr>
          <w:rFonts w:asciiTheme="minorHAnsi" w:hAnsiTheme="minorHAnsi"/>
        </w:rPr>
        <w:t>state</w:t>
      </w:r>
      <w:r w:rsidRPr="00C00000">
        <w:rPr>
          <w:rFonts w:asciiTheme="minorHAnsi" w:hAnsiTheme="minorHAnsi"/>
        </w:rPr>
        <w:t xml:space="preserve"> that the sentence is being reduced for that reason and</w:t>
      </w:r>
    </w:p>
    <w:p w14:paraId="5D6BEE36" w14:textId="744CA6B4" w:rsidR="00644318" w:rsidRDefault="0064431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to </w:t>
      </w:r>
      <w:r w:rsidR="00FA27CF">
        <w:rPr>
          <w:rFonts w:asciiTheme="minorHAnsi" w:hAnsiTheme="minorHAnsi"/>
        </w:rPr>
        <w:t>specify</w:t>
      </w:r>
      <w:r w:rsidRPr="00C00000">
        <w:rPr>
          <w:rFonts w:asciiTheme="minorHAnsi" w:hAnsiTheme="minorHAnsi"/>
        </w:rPr>
        <w:t xml:space="preserve"> what the sentence would have been but for that reduction.</w:t>
      </w:r>
      <w:r w:rsidRPr="00C00000">
        <w:rPr>
          <w:rStyle w:val="Style"/>
          <w:rFonts w:asciiTheme="minorHAnsi" w:hAnsiTheme="minorHAnsi"/>
        </w:rPr>
        <w:footnoteReference w:id="1039"/>
      </w:r>
      <w:r w:rsidRPr="00C00000">
        <w:rPr>
          <w:rFonts w:asciiTheme="minorHAnsi" w:hAnsiTheme="minorHAnsi"/>
        </w:rPr>
        <w:t xml:space="preserve">  </w:t>
      </w:r>
    </w:p>
    <w:p w14:paraId="109E63B7" w14:textId="6F021D3B" w:rsidR="00644318" w:rsidRDefault="00644318" w:rsidP="00644318">
      <w:pPr>
        <w:widowControl w:val="0"/>
        <w:shd w:val="clear" w:color="auto" w:fill="FFFFFF" w:themeFill="background1"/>
        <w:spacing w:line="276" w:lineRule="auto"/>
        <w:ind w:right="170"/>
        <w:rPr>
          <w:rFonts w:asciiTheme="minorHAnsi" w:hAnsiTheme="minorHAnsi"/>
        </w:rPr>
      </w:pPr>
    </w:p>
    <w:p w14:paraId="798AC956" w14:textId="2D40E35B" w:rsidR="00A26BF5" w:rsidRDefault="00A26BF5" w:rsidP="0034590D">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requirements of s 16AC</w:t>
      </w:r>
      <w:r w:rsidR="00CC63A6">
        <w:rPr>
          <w:rFonts w:asciiTheme="minorHAnsi" w:hAnsiTheme="minorHAnsi"/>
        </w:rPr>
        <w:t>(2)</w:t>
      </w:r>
      <w:r>
        <w:rPr>
          <w:rFonts w:asciiTheme="minorHAnsi" w:hAnsiTheme="minorHAnsi"/>
        </w:rPr>
        <w:t xml:space="preserve"> apply regardless of whether the reduction is reflected in the severity of the sentence or order or a reduction in the non-parole period</w:t>
      </w:r>
      <w:r w:rsidR="00CC63A6">
        <w:rPr>
          <w:rFonts w:asciiTheme="minorHAnsi" w:hAnsiTheme="minorHAnsi"/>
        </w:rPr>
        <w:t xml:space="preserve"> (s 16AC(1))</w:t>
      </w:r>
      <w:r>
        <w:rPr>
          <w:rFonts w:asciiTheme="minorHAnsi" w:hAnsiTheme="minorHAnsi"/>
        </w:rPr>
        <w:t xml:space="preserve">.  That is, the section applies whether the sentence type is reduced (e.g. from imprisonment to an order applied under s 20AB of the </w:t>
      </w:r>
      <w:r w:rsidRPr="00EB7F1E">
        <w:rPr>
          <w:rFonts w:asciiTheme="minorHAnsi" w:hAnsiTheme="minorHAnsi"/>
          <w:i/>
          <w:iCs/>
        </w:rPr>
        <w:t>Crimes Act</w:t>
      </w:r>
      <w:r>
        <w:rPr>
          <w:rFonts w:asciiTheme="minorHAnsi" w:hAnsiTheme="minorHAnsi"/>
        </w:rPr>
        <w:t>)</w:t>
      </w:r>
      <w:r w:rsidR="00FA27CF">
        <w:rPr>
          <w:rFonts w:asciiTheme="minorHAnsi" w:hAnsiTheme="minorHAnsi"/>
        </w:rPr>
        <w:t>, the length of a sentence of imprisonment is reduced</w:t>
      </w:r>
      <w:r w:rsidR="00E204FC">
        <w:rPr>
          <w:rFonts w:asciiTheme="minorHAnsi" w:hAnsiTheme="minorHAnsi"/>
        </w:rPr>
        <w:t>,</w:t>
      </w:r>
      <w:r w:rsidR="00FA27CF">
        <w:rPr>
          <w:rFonts w:asciiTheme="minorHAnsi" w:hAnsiTheme="minorHAnsi"/>
        </w:rPr>
        <w:t xml:space="preserve"> or the length of the period, or minimum period, of imprisonment to be served is reduced.</w:t>
      </w:r>
      <w:r w:rsidR="00D34ADF">
        <w:rPr>
          <w:rFonts w:asciiTheme="minorHAnsi" w:hAnsiTheme="minorHAnsi"/>
        </w:rPr>
        <w:t xml:space="preserve">  The “but for” sentence must specify all the reductions given.</w:t>
      </w:r>
    </w:p>
    <w:p w14:paraId="78190832" w14:textId="77777777" w:rsidR="00A26BF5" w:rsidRPr="00EB7F1E" w:rsidRDefault="00A26BF5" w:rsidP="00EB7F1E">
      <w:pPr>
        <w:spacing w:line="276" w:lineRule="auto"/>
        <w:rPr>
          <w:rFonts w:asciiTheme="minorHAnsi" w:hAnsiTheme="minorHAnsi"/>
        </w:rPr>
      </w:pPr>
    </w:p>
    <w:p w14:paraId="4DAA928A" w14:textId="07675E17" w:rsidR="0034590D" w:rsidRDefault="0034590D" w:rsidP="0034590D">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the offender fails to cooperate in accordance with the undertaking, the CDPP may appeal against the inadequacy of the reduced sentence</w:t>
      </w:r>
      <w:r w:rsidR="00D34ADF">
        <w:rPr>
          <w:rFonts w:asciiTheme="minorHAnsi" w:hAnsiTheme="minorHAnsi"/>
        </w:rPr>
        <w:t xml:space="preserve"> (s 16AC(3))</w:t>
      </w:r>
      <w:r>
        <w:rPr>
          <w:rFonts w:asciiTheme="minorHAnsi" w:hAnsiTheme="minorHAnsi"/>
        </w:rPr>
        <w:t>.  The appeal court may increase the sentence up to the “but for” sentence stated by the sentencing court</w:t>
      </w:r>
      <w:r w:rsidR="00D34ADF">
        <w:rPr>
          <w:rFonts w:asciiTheme="minorHAnsi" w:hAnsiTheme="minorHAnsi"/>
        </w:rPr>
        <w:t xml:space="preserve"> (s 16AC (4))</w:t>
      </w:r>
      <w:r>
        <w:rPr>
          <w:rFonts w:asciiTheme="minorHAnsi" w:hAnsiTheme="minorHAnsi"/>
        </w:rPr>
        <w:t>.</w:t>
      </w:r>
      <w:r w:rsidRPr="00C00000">
        <w:rPr>
          <w:rStyle w:val="Style"/>
          <w:rFonts w:asciiTheme="minorHAnsi" w:hAnsiTheme="minorHAnsi"/>
        </w:rPr>
        <w:footnoteReference w:id="1040"/>
      </w:r>
    </w:p>
    <w:p w14:paraId="3439F22E" w14:textId="77777777" w:rsidR="008D1F0E" w:rsidRPr="00EB7F1E" w:rsidRDefault="008D1F0E" w:rsidP="00EB7F1E">
      <w:pPr>
        <w:pStyle w:val="ListParagraph"/>
        <w:rPr>
          <w:rFonts w:asciiTheme="minorHAnsi" w:hAnsiTheme="minorHAnsi"/>
        </w:rPr>
      </w:pPr>
    </w:p>
    <w:p w14:paraId="23913EF2" w14:textId="1B217DDB" w:rsidR="008D1F0E" w:rsidRDefault="008D1F0E" w:rsidP="0034590D">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Section 16AC is predicated on the granting of a designated benefit in consideration of a promise which is sufficiently certain in its terms that a breach of it can be the subject of an appeal.  While the promise or undertaking does not have to be expressed in a particular fashion, it must be given in clear terms and be given in contemplation of the possible institution of some proceeding.</w:t>
      </w:r>
      <w:r w:rsidRPr="00C00000">
        <w:rPr>
          <w:rStyle w:val="Style"/>
          <w:rFonts w:asciiTheme="minorHAnsi" w:hAnsiTheme="minorHAnsi"/>
        </w:rPr>
        <w:footnoteReference w:id="1041"/>
      </w:r>
      <w:r>
        <w:rPr>
          <w:rFonts w:asciiTheme="minorHAnsi" w:hAnsiTheme="minorHAnsi"/>
        </w:rPr>
        <w:t xml:space="preserve"> The CDPP practice in most jurisdictions is to require the offender to sign a written undertaking and then call the offender at the plea hearing to give the undertaking under oath.</w:t>
      </w:r>
    </w:p>
    <w:p w14:paraId="23C49E69" w14:textId="77777777" w:rsidR="0034590D" w:rsidRPr="004D0A4C" w:rsidRDefault="0034590D" w:rsidP="0034590D">
      <w:pPr>
        <w:pStyle w:val="ListParagraph"/>
        <w:rPr>
          <w:rFonts w:asciiTheme="minorHAnsi" w:hAnsiTheme="minorHAnsi"/>
        </w:rPr>
      </w:pPr>
    </w:p>
    <w:p w14:paraId="61ABAF37" w14:textId="77777777" w:rsidR="00374591" w:rsidRPr="00C213CF" w:rsidRDefault="00374591" w:rsidP="00374591">
      <w:pPr>
        <w:pStyle w:val="Heading3"/>
      </w:pPr>
      <w:bookmarkStart w:id="2669" w:name="_Toc33602947"/>
      <w:r w:rsidRPr="00C213CF">
        <w:t>Distinction between past and future cooperation</w:t>
      </w:r>
      <w:bookmarkEnd w:id="2669"/>
    </w:p>
    <w:p w14:paraId="126DBF34" w14:textId="77777777" w:rsidR="00374591" w:rsidRPr="00C213CF" w:rsidRDefault="00374591" w:rsidP="00374591">
      <w:pPr>
        <w:pStyle w:val="ListParagraph"/>
        <w:keepNext/>
        <w:widowControl w:val="0"/>
        <w:shd w:val="clear" w:color="auto" w:fill="FFFFFF" w:themeFill="background1"/>
        <w:spacing w:line="276" w:lineRule="auto"/>
        <w:ind w:left="567" w:right="170" w:hanging="567"/>
        <w:rPr>
          <w:rFonts w:asciiTheme="minorHAnsi" w:hAnsiTheme="minorHAnsi"/>
          <w:u w:val="single"/>
        </w:rPr>
      </w:pPr>
    </w:p>
    <w:p w14:paraId="174CE8C9" w14:textId="77777777" w:rsidR="00374591" w:rsidRDefault="0037459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w:t>
      </w:r>
      <w:r w:rsidRPr="00C00000">
        <w:rPr>
          <w:rFonts w:asciiTheme="minorHAnsi" w:hAnsiTheme="minorHAnsi"/>
        </w:rPr>
        <w:t xml:space="preserve">he position under s 16AC is to be contrasted with, and kept </w:t>
      </w:r>
      <w:r>
        <w:rPr>
          <w:rFonts w:asciiTheme="minorHAnsi" w:hAnsiTheme="minorHAnsi"/>
        </w:rPr>
        <w:t>separate</w:t>
      </w:r>
      <w:r w:rsidRPr="00C00000">
        <w:rPr>
          <w:rFonts w:asciiTheme="minorHAnsi" w:hAnsiTheme="minorHAnsi"/>
        </w:rPr>
        <w:t xml:space="preserve"> from, </w:t>
      </w:r>
      <w:r>
        <w:rPr>
          <w:rFonts w:asciiTheme="minorHAnsi" w:hAnsiTheme="minorHAnsi"/>
        </w:rPr>
        <w:t xml:space="preserve">taking into account </w:t>
      </w:r>
      <w:r w:rsidRPr="002B4652">
        <w:rPr>
          <w:rFonts w:asciiTheme="minorHAnsi" w:hAnsiTheme="minorHAnsi"/>
        </w:rPr>
        <w:t>past cooperation</w:t>
      </w:r>
      <w:r>
        <w:rPr>
          <w:rFonts w:asciiTheme="minorHAnsi" w:hAnsiTheme="minorHAnsi"/>
        </w:rPr>
        <w:t xml:space="preserve"> in accordance with </w:t>
      </w:r>
      <w:r w:rsidRPr="00C00000">
        <w:rPr>
          <w:rFonts w:asciiTheme="minorHAnsi" w:hAnsiTheme="minorHAnsi"/>
        </w:rPr>
        <w:t xml:space="preserve">s 16A(2)(h) </w:t>
      </w:r>
      <w:r>
        <w:rPr>
          <w:rFonts w:asciiTheme="minorHAnsi" w:hAnsiTheme="minorHAnsi"/>
        </w:rPr>
        <w:t xml:space="preserve">of the </w:t>
      </w:r>
      <w:r w:rsidRPr="00885EFD">
        <w:rPr>
          <w:rFonts w:asciiTheme="minorHAnsi" w:hAnsiTheme="minorHAnsi"/>
          <w:i/>
        </w:rPr>
        <w:t>Crimes Act 1914</w:t>
      </w:r>
      <w:r w:rsidRPr="00C00000">
        <w:rPr>
          <w:rFonts w:asciiTheme="minorHAnsi" w:hAnsiTheme="minorHAnsi"/>
        </w:rPr>
        <w:t>.</w:t>
      </w:r>
    </w:p>
    <w:p w14:paraId="7C8B3803" w14:textId="77777777" w:rsidR="00374591" w:rsidRPr="00872457" w:rsidRDefault="00374591" w:rsidP="00374591">
      <w:pPr>
        <w:widowControl w:val="0"/>
        <w:shd w:val="clear" w:color="auto" w:fill="FFFFFF" w:themeFill="background1"/>
        <w:spacing w:line="276" w:lineRule="auto"/>
        <w:ind w:right="170"/>
        <w:rPr>
          <w:rFonts w:asciiTheme="minorHAnsi" w:hAnsiTheme="minorHAnsi"/>
        </w:rPr>
      </w:pPr>
    </w:p>
    <w:p w14:paraId="03F0D8DC" w14:textId="5073776A" w:rsidR="00374591" w:rsidRDefault="00374591" w:rsidP="00EB7F1E">
      <w:pPr>
        <w:pStyle w:val="ListParagraph"/>
        <w:numPr>
          <w:ilvl w:val="0"/>
          <w:numId w:val="7"/>
        </w:numPr>
        <w:spacing w:line="276" w:lineRule="auto"/>
        <w:ind w:left="425" w:hanging="425"/>
        <w:contextualSpacing w:val="0"/>
        <w:rPr>
          <w:rFonts w:asciiTheme="minorHAnsi" w:hAnsiTheme="minorHAnsi"/>
        </w:rPr>
      </w:pPr>
      <w:r w:rsidRPr="00872457">
        <w:rPr>
          <w:rFonts w:asciiTheme="minorHAnsi" w:hAnsiTheme="minorHAnsi"/>
          <w:b/>
        </w:rPr>
        <w:t>Any cooperation with authorities prior to sentence</w:t>
      </w:r>
      <w:r w:rsidRPr="00C00000">
        <w:rPr>
          <w:rFonts w:asciiTheme="minorHAnsi" w:hAnsiTheme="minorHAnsi"/>
        </w:rPr>
        <w:t xml:space="preserve"> is required to be taken into account </w:t>
      </w:r>
      <w:r w:rsidR="0047303C">
        <w:rPr>
          <w:rFonts w:asciiTheme="minorHAnsi" w:hAnsiTheme="minorHAnsi"/>
        </w:rPr>
        <w:t xml:space="preserve">in sentencing </w:t>
      </w:r>
      <w:r w:rsidRPr="00C00000">
        <w:rPr>
          <w:rFonts w:asciiTheme="minorHAnsi" w:hAnsiTheme="minorHAnsi"/>
        </w:rPr>
        <w:t>under s 16A(2)(h).</w:t>
      </w:r>
      <w:r w:rsidR="0047303C">
        <w:rPr>
          <w:rStyle w:val="FootnoteReference"/>
          <w:rFonts w:asciiTheme="minorHAnsi" w:hAnsiTheme="minorHAnsi"/>
        </w:rPr>
        <w:footnoteReference w:id="1042"/>
      </w:r>
      <w:r w:rsidRPr="00C00000">
        <w:rPr>
          <w:rFonts w:asciiTheme="minorHAnsi" w:hAnsiTheme="minorHAnsi"/>
        </w:rPr>
        <w:t xml:space="preserve">  </w:t>
      </w:r>
      <w:r w:rsidR="0047303C">
        <w:rPr>
          <w:rFonts w:asciiTheme="minorHAnsi" w:hAnsiTheme="minorHAnsi"/>
        </w:rPr>
        <w:t xml:space="preserve">Nothing in the </w:t>
      </w:r>
      <w:r w:rsidR="0047303C" w:rsidRPr="00EB7F1E">
        <w:rPr>
          <w:rFonts w:asciiTheme="minorHAnsi" w:hAnsiTheme="minorHAnsi"/>
          <w:i/>
          <w:iCs/>
        </w:rPr>
        <w:t>Crimes Act</w:t>
      </w:r>
      <w:r w:rsidR="0047303C">
        <w:rPr>
          <w:rFonts w:asciiTheme="minorHAnsi" w:hAnsiTheme="minorHAnsi"/>
        </w:rPr>
        <w:t xml:space="preserve"> </w:t>
      </w:r>
      <w:r>
        <w:rPr>
          <w:rFonts w:asciiTheme="minorHAnsi" w:hAnsiTheme="minorHAnsi"/>
        </w:rPr>
        <w:t>require</w:t>
      </w:r>
      <w:r w:rsidR="0047303C">
        <w:rPr>
          <w:rFonts w:asciiTheme="minorHAnsi" w:hAnsiTheme="minorHAnsi"/>
        </w:rPr>
        <w:t>s</w:t>
      </w:r>
      <w:r>
        <w:rPr>
          <w:rFonts w:asciiTheme="minorHAnsi" w:hAnsiTheme="minorHAnsi"/>
        </w:rPr>
        <w:t xml:space="preserve"> a court to </w:t>
      </w:r>
      <w:r w:rsidRPr="00C00000">
        <w:rPr>
          <w:rFonts w:asciiTheme="minorHAnsi" w:hAnsiTheme="minorHAnsi"/>
        </w:rPr>
        <w:t>quantif</w:t>
      </w:r>
      <w:r>
        <w:rPr>
          <w:rFonts w:asciiTheme="minorHAnsi" w:hAnsiTheme="minorHAnsi"/>
        </w:rPr>
        <w:t xml:space="preserve">y the effect of taking such cooperation into account, and it is generally taken into account as simply </w:t>
      </w:r>
      <w:r w:rsidRPr="00C00000">
        <w:rPr>
          <w:rFonts w:asciiTheme="minorHAnsi" w:hAnsiTheme="minorHAnsi"/>
        </w:rPr>
        <w:t xml:space="preserve">one of the matters to be considered as part of the instinctive synthesis </w:t>
      </w:r>
      <w:r>
        <w:rPr>
          <w:rFonts w:asciiTheme="minorHAnsi" w:hAnsiTheme="minorHAnsi"/>
        </w:rPr>
        <w:t xml:space="preserve">of relevant considerations </w:t>
      </w:r>
      <w:r w:rsidRPr="00C00000">
        <w:rPr>
          <w:rFonts w:asciiTheme="minorHAnsi" w:hAnsiTheme="minorHAnsi"/>
        </w:rPr>
        <w:t>in arriving at the appropriate sentence</w:t>
      </w:r>
      <w:r>
        <w:rPr>
          <w:rFonts w:asciiTheme="minorHAnsi" w:hAnsiTheme="minorHAnsi"/>
        </w:rPr>
        <w:t>.</w:t>
      </w:r>
      <w:r>
        <w:rPr>
          <w:rStyle w:val="FootnoteReference"/>
          <w:rFonts w:asciiTheme="minorHAnsi" w:hAnsiTheme="minorHAnsi"/>
        </w:rPr>
        <w:footnoteReference w:id="1043"/>
      </w:r>
    </w:p>
    <w:p w14:paraId="49BC1682" w14:textId="77777777" w:rsidR="00374591" w:rsidRPr="002B4652" w:rsidRDefault="00374591" w:rsidP="00374591">
      <w:pPr>
        <w:widowControl w:val="0"/>
        <w:shd w:val="clear" w:color="auto" w:fill="FFFFFF" w:themeFill="background1"/>
        <w:spacing w:line="276" w:lineRule="auto"/>
        <w:ind w:right="170"/>
        <w:rPr>
          <w:rFonts w:asciiTheme="minorHAnsi" w:hAnsiTheme="minorHAnsi"/>
        </w:rPr>
      </w:pPr>
    </w:p>
    <w:p w14:paraId="4FB867F8" w14:textId="77777777" w:rsidR="00374591" w:rsidRPr="00C00000" w:rsidRDefault="0037459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By contrast, if a person</w:t>
      </w:r>
      <w:r w:rsidRPr="00C00000">
        <w:rPr>
          <w:rFonts w:asciiTheme="minorHAnsi" w:hAnsiTheme="minorHAnsi"/>
        </w:rPr>
        <w:t xml:space="preserve"> sentence</w:t>
      </w:r>
      <w:r>
        <w:rPr>
          <w:rFonts w:asciiTheme="minorHAnsi" w:hAnsiTheme="minorHAnsi"/>
        </w:rPr>
        <w:t>d for a federal offence</w:t>
      </w:r>
      <w:r w:rsidRPr="00C00000">
        <w:rPr>
          <w:rFonts w:asciiTheme="minorHAnsi" w:hAnsiTheme="minorHAnsi"/>
        </w:rPr>
        <w:t xml:space="preserve"> </w:t>
      </w:r>
      <w:r>
        <w:rPr>
          <w:rFonts w:asciiTheme="minorHAnsi" w:hAnsiTheme="minorHAnsi"/>
        </w:rPr>
        <w:t xml:space="preserve">has </w:t>
      </w:r>
      <w:r w:rsidRPr="00892CE8">
        <w:rPr>
          <w:rFonts w:asciiTheme="minorHAnsi" w:hAnsiTheme="minorHAnsi"/>
          <w:b/>
        </w:rPr>
        <w:t>undertaken to co-operate with law enforcement authorities in future proceedings</w:t>
      </w:r>
      <w:r w:rsidRPr="00C00000">
        <w:rPr>
          <w:rFonts w:asciiTheme="minorHAnsi" w:hAnsiTheme="minorHAnsi"/>
        </w:rPr>
        <w:t xml:space="preserve">, the extent of the reduction in sentence consequent upon such future </w:t>
      </w:r>
      <w:r>
        <w:rPr>
          <w:rFonts w:asciiTheme="minorHAnsi" w:hAnsiTheme="minorHAnsi"/>
        </w:rPr>
        <w:t>cooperation</w:t>
      </w:r>
      <w:r w:rsidRPr="00C00000">
        <w:rPr>
          <w:rFonts w:asciiTheme="minorHAnsi" w:hAnsiTheme="minorHAnsi"/>
        </w:rPr>
        <w:t xml:space="preserve"> must be specifically stated and exclusively linked to that undertaking</w:t>
      </w:r>
      <w:r>
        <w:rPr>
          <w:rFonts w:asciiTheme="minorHAnsi" w:hAnsiTheme="minorHAnsi"/>
        </w:rPr>
        <w:t>, in accordance with s 16AC.</w:t>
      </w:r>
    </w:p>
    <w:p w14:paraId="707980C3" w14:textId="77777777" w:rsidR="00374591" w:rsidRPr="00C00000" w:rsidRDefault="00374591" w:rsidP="00374591">
      <w:pPr>
        <w:pStyle w:val="ListParagraph"/>
        <w:widowControl w:val="0"/>
        <w:shd w:val="clear" w:color="auto" w:fill="FFFFFF" w:themeFill="background1"/>
        <w:spacing w:line="276" w:lineRule="auto"/>
        <w:ind w:left="567" w:right="170" w:hanging="567"/>
        <w:rPr>
          <w:rFonts w:asciiTheme="minorHAnsi" w:hAnsiTheme="minorHAnsi"/>
        </w:rPr>
      </w:pPr>
    </w:p>
    <w:p w14:paraId="46AA5397" w14:textId="27A8C188" w:rsidR="00374591" w:rsidRPr="00C00000" w:rsidRDefault="00620845" w:rsidP="00EB7F1E">
      <w:pPr>
        <w:pStyle w:val="ListParagraph"/>
        <w:numPr>
          <w:ilvl w:val="0"/>
          <w:numId w:val="7"/>
        </w:numPr>
        <w:spacing w:line="276" w:lineRule="auto"/>
        <w:ind w:left="425" w:hanging="425"/>
        <w:contextualSpacing w:val="0"/>
        <w:rPr>
          <w:rFonts w:asciiTheme="minorHAnsi" w:hAnsiTheme="minorHAnsi"/>
        </w:rPr>
      </w:pPr>
      <w:r w:rsidRPr="003B61FF">
        <w:rPr>
          <w:rFonts w:ascii="Calibri" w:hAnsi="Calibri"/>
        </w:rPr>
        <w:t xml:space="preserve">If </w:t>
      </w:r>
      <w:r w:rsidR="00374591" w:rsidRPr="003B61FF">
        <w:rPr>
          <w:rFonts w:ascii="Calibri" w:hAnsi="Calibri"/>
        </w:rPr>
        <w:t>both p</w:t>
      </w:r>
      <w:r w:rsidR="00374591" w:rsidRPr="00C00000">
        <w:rPr>
          <w:rFonts w:asciiTheme="minorHAnsi" w:hAnsiTheme="minorHAnsi"/>
        </w:rPr>
        <w:t xml:space="preserve">ast and future </w:t>
      </w:r>
      <w:r w:rsidR="00374591">
        <w:rPr>
          <w:rFonts w:asciiTheme="minorHAnsi" w:hAnsiTheme="minorHAnsi"/>
        </w:rPr>
        <w:t>cooperation</w:t>
      </w:r>
      <w:r w:rsidR="00374591" w:rsidRPr="00C00000">
        <w:rPr>
          <w:rFonts w:asciiTheme="minorHAnsi" w:hAnsiTheme="minorHAnsi"/>
        </w:rPr>
        <w:t xml:space="preserve"> give rise to a two-fold basis for mitigation of penalty, the sentencing judge should not combine them to produce a global reduction for “</w:t>
      </w:r>
      <w:r w:rsidR="00374591">
        <w:rPr>
          <w:rFonts w:asciiTheme="minorHAnsi" w:hAnsiTheme="minorHAnsi"/>
        </w:rPr>
        <w:t>cooperation</w:t>
      </w:r>
      <w:r w:rsidR="00374591" w:rsidRPr="00C00000">
        <w:rPr>
          <w:rFonts w:asciiTheme="minorHAnsi" w:hAnsiTheme="minorHAnsi"/>
        </w:rPr>
        <w:t xml:space="preserve"> with authorities”.</w:t>
      </w:r>
      <w:r w:rsidR="00374591" w:rsidRPr="00C00000">
        <w:rPr>
          <w:rStyle w:val="Style"/>
          <w:rFonts w:asciiTheme="minorHAnsi" w:hAnsiTheme="minorHAnsi"/>
        </w:rPr>
        <w:footnoteReference w:id="1044"/>
      </w:r>
      <w:r w:rsidR="00374591" w:rsidRPr="00C00000">
        <w:rPr>
          <w:rFonts w:asciiTheme="minorHAnsi" w:hAnsiTheme="minorHAnsi"/>
        </w:rPr>
        <w:t xml:space="preserve">  Instead, any reduction in the penalty consequent upon </w:t>
      </w:r>
      <w:r w:rsidR="00374591" w:rsidRPr="00EB7F1E">
        <w:rPr>
          <w:rFonts w:asciiTheme="minorHAnsi" w:hAnsiTheme="minorHAnsi"/>
          <w:i/>
          <w:iCs/>
        </w:rPr>
        <w:t>past cooperation</w:t>
      </w:r>
      <w:r w:rsidR="00374591" w:rsidRPr="00C00000">
        <w:rPr>
          <w:rFonts w:asciiTheme="minorHAnsi" w:hAnsiTheme="minorHAnsi"/>
        </w:rPr>
        <w:t xml:space="preserve"> must be </w:t>
      </w:r>
      <w:r w:rsidR="00161DF3">
        <w:rPr>
          <w:rFonts w:asciiTheme="minorHAnsi" w:hAnsiTheme="minorHAnsi"/>
        </w:rPr>
        <w:t xml:space="preserve">taken into account </w:t>
      </w:r>
      <w:r>
        <w:rPr>
          <w:rFonts w:asciiTheme="minorHAnsi" w:hAnsiTheme="minorHAnsi"/>
        </w:rPr>
        <w:t xml:space="preserve">generally </w:t>
      </w:r>
      <w:r w:rsidR="00161DF3">
        <w:rPr>
          <w:rFonts w:asciiTheme="minorHAnsi" w:hAnsiTheme="minorHAnsi"/>
        </w:rPr>
        <w:t xml:space="preserve">in fixing </w:t>
      </w:r>
      <w:r>
        <w:rPr>
          <w:rFonts w:asciiTheme="minorHAnsi" w:hAnsiTheme="minorHAnsi"/>
        </w:rPr>
        <w:t>the</w:t>
      </w:r>
      <w:r w:rsidR="00374591" w:rsidRPr="00C00000">
        <w:rPr>
          <w:rFonts w:asciiTheme="minorHAnsi" w:hAnsiTheme="minorHAnsi"/>
        </w:rPr>
        <w:t xml:space="preserve"> sentence</w:t>
      </w:r>
      <w:r w:rsidR="00161DF3">
        <w:rPr>
          <w:rFonts w:asciiTheme="minorHAnsi" w:hAnsiTheme="minorHAnsi"/>
        </w:rPr>
        <w:t xml:space="preserve"> or making an</w:t>
      </w:r>
      <w:r>
        <w:rPr>
          <w:rFonts w:asciiTheme="minorHAnsi" w:hAnsiTheme="minorHAnsi"/>
        </w:rPr>
        <w:t>y</w:t>
      </w:r>
      <w:r w:rsidR="00374591">
        <w:rPr>
          <w:rFonts w:asciiTheme="minorHAnsi" w:hAnsiTheme="minorHAnsi"/>
        </w:rPr>
        <w:t xml:space="preserve"> order</w:t>
      </w:r>
      <w:r w:rsidR="00374591" w:rsidRPr="00C00000">
        <w:rPr>
          <w:rFonts w:asciiTheme="minorHAnsi" w:hAnsiTheme="minorHAnsi"/>
        </w:rPr>
        <w:t xml:space="preserve">.  Any </w:t>
      </w:r>
      <w:r w:rsidR="00374591" w:rsidRPr="00C00000">
        <w:rPr>
          <w:rFonts w:asciiTheme="minorHAnsi" w:hAnsiTheme="minorHAnsi"/>
          <w:i/>
        </w:rPr>
        <w:t>additional</w:t>
      </w:r>
      <w:r w:rsidR="00374591" w:rsidRPr="00C00000">
        <w:rPr>
          <w:rFonts w:asciiTheme="minorHAnsi" w:hAnsiTheme="minorHAnsi"/>
        </w:rPr>
        <w:t xml:space="preserve"> reduction referrable to an undertaking for </w:t>
      </w:r>
      <w:r w:rsidR="00374591" w:rsidRPr="00EB7F1E">
        <w:rPr>
          <w:rFonts w:asciiTheme="minorHAnsi" w:hAnsiTheme="minorHAnsi"/>
          <w:i/>
          <w:iCs/>
        </w:rPr>
        <w:t>future assistance</w:t>
      </w:r>
      <w:r w:rsidR="00374591" w:rsidRPr="00C00000">
        <w:rPr>
          <w:rFonts w:asciiTheme="minorHAnsi" w:hAnsiTheme="minorHAnsi"/>
        </w:rPr>
        <w:t xml:space="preserve"> must be specifically quantified in accordance with s 16AC.</w:t>
      </w:r>
      <w:r w:rsidR="00374591" w:rsidRPr="00C00000">
        <w:rPr>
          <w:rStyle w:val="Style"/>
          <w:rFonts w:asciiTheme="minorHAnsi" w:hAnsiTheme="minorHAnsi"/>
        </w:rPr>
        <w:footnoteReference w:id="1045"/>
      </w:r>
      <w:r w:rsidR="00374591" w:rsidRPr="00C00000">
        <w:rPr>
          <w:rFonts w:asciiTheme="minorHAnsi" w:hAnsiTheme="minorHAnsi"/>
        </w:rPr>
        <w:t xml:space="preserve"> </w:t>
      </w:r>
    </w:p>
    <w:p w14:paraId="4E88B174" w14:textId="77777777" w:rsidR="00374591" w:rsidRPr="00C00000" w:rsidRDefault="00374591" w:rsidP="00374591">
      <w:pPr>
        <w:pStyle w:val="ListParagraph"/>
        <w:widowControl w:val="0"/>
        <w:shd w:val="clear" w:color="auto" w:fill="FFFFFF" w:themeFill="background1"/>
        <w:spacing w:line="276" w:lineRule="auto"/>
        <w:ind w:left="567" w:right="170" w:hanging="567"/>
        <w:rPr>
          <w:rFonts w:asciiTheme="minorHAnsi" w:hAnsiTheme="minorHAnsi"/>
        </w:rPr>
      </w:pPr>
    </w:p>
    <w:p w14:paraId="1B29F43D" w14:textId="1BF9C899" w:rsidR="00086933" w:rsidRPr="00C213CF" w:rsidRDefault="00086933" w:rsidP="008B3E81">
      <w:pPr>
        <w:pStyle w:val="Heading3"/>
      </w:pPr>
      <w:bookmarkStart w:id="2670" w:name="_Toc33602948"/>
      <w:r w:rsidRPr="00C213CF">
        <w:t>Determining the reduction to be given under s 16AC</w:t>
      </w:r>
      <w:bookmarkEnd w:id="2670"/>
    </w:p>
    <w:p w14:paraId="3CB6180D" w14:textId="77777777" w:rsidR="00086933" w:rsidRPr="008B3E81" w:rsidRDefault="00086933" w:rsidP="008B3E81">
      <w:pPr>
        <w:pStyle w:val="ListParagraph"/>
        <w:keepNext/>
        <w:rPr>
          <w:rFonts w:asciiTheme="minorHAnsi" w:hAnsiTheme="minorHAnsi"/>
          <w:szCs w:val="22"/>
          <w:u w:val="single"/>
        </w:rPr>
      </w:pPr>
    </w:p>
    <w:p w14:paraId="6C9B72A7" w14:textId="6D0D26D0" w:rsidR="00443310" w:rsidRDefault="001E1C2C">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Promised future </w:t>
      </w:r>
      <w:r w:rsidR="005314AC">
        <w:rPr>
          <w:rFonts w:asciiTheme="minorHAnsi" w:hAnsiTheme="minorHAnsi"/>
        </w:rPr>
        <w:t>cooperation</w:t>
      </w:r>
      <w:r w:rsidRPr="00C00000">
        <w:rPr>
          <w:rFonts w:asciiTheme="minorHAnsi" w:hAnsiTheme="minorHAnsi"/>
        </w:rPr>
        <w:t xml:space="preserve"> ought not be wholly disregarded simply because the authorities are not able to immediately use the testimony.  The discount is not just a price fixed by the value of the information or testimony that can be given, as the existence of a discount serves to encourage those charged with criminal offences to give as much information as they can to implicate other offenders.  It should not be considered that the aim is best served by always requiring tangible results before a discount is given.  The fact that it is unlikely that the authorities will call upon the offender</w:t>
      </w:r>
      <w:r w:rsidR="00AA693C">
        <w:rPr>
          <w:rFonts w:asciiTheme="minorHAnsi" w:hAnsiTheme="minorHAnsi"/>
        </w:rPr>
        <w:t>’</w:t>
      </w:r>
      <w:r w:rsidRPr="00C00000">
        <w:rPr>
          <w:rFonts w:asciiTheme="minorHAnsi" w:hAnsiTheme="minorHAnsi"/>
        </w:rPr>
        <w:t xml:space="preserve">s promise of </w:t>
      </w:r>
      <w:r w:rsidR="005314AC">
        <w:rPr>
          <w:rFonts w:asciiTheme="minorHAnsi" w:hAnsiTheme="minorHAnsi"/>
        </w:rPr>
        <w:t>cooperation</w:t>
      </w:r>
      <w:r w:rsidRPr="00C00000">
        <w:rPr>
          <w:rFonts w:asciiTheme="minorHAnsi" w:hAnsiTheme="minorHAnsi"/>
        </w:rPr>
        <w:t xml:space="preserve"> does not preclude a discount, although it might reduce it.</w:t>
      </w:r>
      <w:r w:rsidRPr="00C00000">
        <w:rPr>
          <w:rStyle w:val="Style"/>
          <w:rFonts w:asciiTheme="minorHAnsi" w:hAnsiTheme="minorHAnsi"/>
        </w:rPr>
        <w:footnoteReference w:id="1046"/>
      </w:r>
      <w:r w:rsidRPr="00C00000">
        <w:rPr>
          <w:rFonts w:asciiTheme="minorHAnsi" w:hAnsiTheme="minorHAnsi"/>
        </w:rPr>
        <w:t xml:space="preserve"> </w:t>
      </w:r>
    </w:p>
    <w:p w14:paraId="11980261" w14:textId="77777777" w:rsidR="00443310" w:rsidRPr="00860419" w:rsidRDefault="00443310" w:rsidP="00EB7F1E">
      <w:pPr>
        <w:widowControl w:val="0"/>
        <w:shd w:val="clear" w:color="auto" w:fill="FFFFFF" w:themeFill="background1"/>
        <w:spacing w:line="276" w:lineRule="auto"/>
        <w:ind w:right="170"/>
        <w:rPr>
          <w:rFonts w:asciiTheme="minorHAnsi" w:hAnsiTheme="minorHAnsi"/>
        </w:rPr>
      </w:pPr>
    </w:p>
    <w:p w14:paraId="06039817" w14:textId="4D1DC7BD" w:rsidR="001E1C2C" w:rsidRPr="00C00000" w:rsidRDefault="0044331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An undertaking </w:t>
      </w:r>
      <w:r w:rsidR="004F1E5F">
        <w:rPr>
          <w:rFonts w:asciiTheme="minorHAnsi" w:hAnsiTheme="minorHAnsi"/>
        </w:rPr>
        <w:t>for f</w:t>
      </w:r>
      <w:r w:rsidRPr="00BC2771">
        <w:rPr>
          <w:rFonts w:asciiTheme="minorHAnsi" w:hAnsiTheme="minorHAnsi"/>
        </w:rPr>
        <w:t xml:space="preserve">uture cooperation </w:t>
      </w:r>
      <w:r>
        <w:rPr>
          <w:rFonts w:asciiTheme="minorHAnsi" w:hAnsiTheme="minorHAnsi"/>
        </w:rPr>
        <w:t>may</w:t>
      </w:r>
      <w:r w:rsidRPr="00BC2771">
        <w:rPr>
          <w:rFonts w:asciiTheme="minorHAnsi" w:hAnsiTheme="minorHAnsi"/>
        </w:rPr>
        <w:t xml:space="preserve"> be taken into account </w:t>
      </w:r>
      <w:r>
        <w:rPr>
          <w:rFonts w:asciiTheme="minorHAnsi" w:hAnsiTheme="minorHAnsi"/>
        </w:rPr>
        <w:t xml:space="preserve">even if </w:t>
      </w:r>
      <w:r w:rsidRPr="00BC2771">
        <w:rPr>
          <w:rFonts w:asciiTheme="minorHAnsi" w:hAnsiTheme="minorHAnsi"/>
        </w:rPr>
        <w:t>there is no link at all between the</w:t>
      </w:r>
      <w:r>
        <w:rPr>
          <w:rFonts w:asciiTheme="minorHAnsi" w:hAnsiTheme="minorHAnsi"/>
        </w:rPr>
        <w:t xml:space="preserve"> instant</w:t>
      </w:r>
      <w:r w:rsidRPr="00BC2771">
        <w:rPr>
          <w:rFonts w:asciiTheme="minorHAnsi" w:hAnsiTheme="minorHAnsi"/>
        </w:rPr>
        <w:t xml:space="preserve"> offence and the offence</w:t>
      </w:r>
      <w:r>
        <w:rPr>
          <w:rFonts w:asciiTheme="minorHAnsi" w:hAnsiTheme="minorHAnsi"/>
        </w:rPr>
        <w:t>s</w:t>
      </w:r>
      <w:r w:rsidRPr="00BC2771">
        <w:rPr>
          <w:rFonts w:asciiTheme="minorHAnsi" w:hAnsiTheme="minorHAnsi"/>
        </w:rPr>
        <w:t xml:space="preserve"> </w:t>
      </w:r>
      <w:r>
        <w:rPr>
          <w:rFonts w:asciiTheme="minorHAnsi" w:hAnsiTheme="minorHAnsi"/>
        </w:rPr>
        <w:t>in respect of which cooperation has been promised</w:t>
      </w:r>
      <w:r w:rsidRPr="00BC2771">
        <w:rPr>
          <w:rFonts w:asciiTheme="minorHAnsi" w:hAnsiTheme="minorHAnsi"/>
        </w:rPr>
        <w:t>.</w:t>
      </w:r>
    </w:p>
    <w:p w14:paraId="52EE5058" w14:textId="77777777" w:rsidR="001E1C2C" w:rsidRPr="00C00000" w:rsidRDefault="001E1C2C" w:rsidP="001E1C2C">
      <w:pPr>
        <w:pStyle w:val="ListParagraph"/>
        <w:widowControl w:val="0"/>
        <w:shd w:val="clear" w:color="auto" w:fill="FFFFFF" w:themeFill="background1"/>
        <w:spacing w:line="276" w:lineRule="auto"/>
        <w:ind w:left="567" w:right="170" w:hanging="567"/>
        <w:rPr>
          <w:rFonts w:asciiTheme="minorHAnsi" w:hAnsiTheme="minorHAnsi"/>
        </w:rPr>
      </w:pPr>
    </w:p>
    <w:p w14:paraId="5D97561A" w14:textId="46CDBDCB" w:rsidR="00644318" w:rsidRPr="00C213CF" w:rsidRDefault="003A3015">
      <w:pPr>
        <w:pStyle w:val="Heading3"/>
      </w:pPr>
      <w:bookmarkStart w:id="2671" w:name="_Toc11773412"/>
      <w:bookmarkStart w:id="2672" w:name="_Toc11827214"/>
      <w:bookmarkStart w:id="2673" w:name="_Toc11833922"/>
      <w:bookmarkStart w:id="2674" w:name="_Toc11848317"/>
      <w:bookmarkStart w:id="2675" w:name="_Toc11851974"/>
      <w:bookmarkStart w:id="2676" w:name="_Toc12608814"/>
      <w:bookmarkStart w:id="2677" w:name="_Toc12706769"/>
      <w:bookmarkStart w:id="2678" w:name="_Toc12860706"/>
      <w:bookmarkStart w:id="2679" w:name="_Toc12862275"/>
      <w:bookmarkStart w:id="2680" w:name="_Toc12864321"/>
      <w:bookmarkStart w:id="2681" w:name="_Toc13738063"/>
      <w:bookmarkStart w:id="2682" w:name="_Toc25308621"/>
      <w:bookmarkStart w:id="2683" w:name="_Toc11773413"/>
      <w:bookmarkStart w:id="2684" w:name="_Toc11827215"/>
      <w:bookmarkStart w:id="2685" w:name="_Toc11833923"/>
      <w:bookmarkStart w:id="2686" w:name="_Toc11848318"/>
      <w:bookmarkStart w:id="2687" w:name="_Toc11851975"/>
      <w:bookmarkStart w:id="2688" w:name="_Toc12608815"/>
      <w:bookmarkStart w:id="2689" w:name="_Toc12706770"/>
      <w:bookmarkStart w:id="2690" w:name="_Toc12860707"/>
      <w:bookmarkStart w:id="2691" w:name="_Toc12862276"/>
      <w:bookmarkStart w:id="2692" w:name="_Toc12864322"/>
      <w:bookmarkStart w:id="2693" w:name="_Toc13551872"/>
      <w:bookmarkStart w:id="2694" w:name="_Toc13737649"/>
      <w:bookmarkStart w:id="2695" w:name="_Toc13738064"/>
      <w:bookmarkStart w:id="2696" w:name="_Toc25308622"/>
      <w:bookmarkStart w:id="2697" w:name="CLF.CRIMES.CRIMA14.S16AC.3.A"/>
      <w:bookmarkStart w:id="2698" w:name="_Toc13551873"/>
      <w:bookmarkStart w:id="2699" w:name="_Toc13737650"/>
      <w:bookmarkStart w:id="2700" w:name="_Toc13738065"/>
      <w:bookmarkStart w:id="2701" w:name="_Toc25308623"/>
      <w:bookmarkStart w:id="2702" w:name="_Toc13551874"/>
      <w:bookmarkStart w:id="2703" w:name="_Toc13737651"/>
      <w:bookmarkStart w:id="2704" w:name="_Toc13738066"/>
      <w:bookmarkStart w:id="2705" w:name="_Toc25308624"/>
      <w:bookmarkStart w:id="2706" w:name="_Toc13551875"/>
      <w:bookmarkStart w:id="2707" w:name="_Toc13737652"/>
      <w:bookmarkStart w:id="2708" w:name="_Toc13738067"/>
      <w:bookmarkStart w:id="2709" w:name="_Toc25308625"/>
      <w:bookmarkStart w:id="2710" w:name="_Toc13551876"/>
      <w:bookmarkStart w:id="2711" w:name="_Toc13737653"/>
      <w:bookmarkStart w:id="2712" w:name="_Toc13738068"/>
      <w:bookmarkStart w:id="2713" w:name="_Toc25308626"/>
      <w:bookmarkStart w:id="2714" w:name="_Toc9488056"/>
      <w:bookmarkStart w:id="2715" w:name="_Toc9935555"/>
      <w:bookmarkStart w:id="2716" w:name="_Toc10198426"/>
      <w:bookmarkStart w:id="2717" w:name="_Toc10384647"/>
      <w:bookmarkStart w:id="2718" w:name="_Toc10458765"/>
      <w:bookmarkStart w:id="2719" w:name="_Toc10559684"/>
      <w:bookmarkStart w:id="2720" w:name="_Toc10640835"/>
      <w:bookmarkStart w:id="2721" w:name="_Toc10718744"/>
      <w:bookmarkStart w:id="2722" w:name="_Toc10889470"/>
      <w:bookmarkStart w:id="2723" w:name="_Toc10890911"/>
      <w:bookmarkStart w:id="2724" w:name="_Toc11078870"/>
      <w:bookmarkStart w:id="2725" w:name="_Toc11087134"/>
      <w:bookmarkStart w:id="2726" w:name="_Toc11087511"/>
      <w:bookmarkStart w:id="2727" w:name="_Toc11240242"/>
      <w:bookmarkStart w:id="2728" w:name="_Toc11405607"/>
      <w:bookmarkStart w:id="2729" w:name="_Toc11407384"/>
      <w:bookmarkStart w:id="2730" w:name="_Toc11485975"/>
      <w:bookmarkStart w:id="2731" w:name="_Toc11583503"/>
      <w:bookmarkStart w:id="2732" w:name="_Toc11692907"/>
      <w:bookmarkStart w:id="2733" w:name="_Toc11773415"/>
      <w:bookmarkStart w:id="2734" w:name="_Toc11827217"/>
      <w:bookmarkStart w:id="2735" w:name="_Toc11833925"/>
      <w:bookmarkStart w:id="2736" w:name="_Toc11848320"/>
      <w:bookmarkStart w:id="2737" w:name="_Toc11851977"/>
      <w:bookmarkStart w:id="2738" w:name="_Toc12608817"/>
      <w:bookmarkStart w:id="2739" w:name="_Toc12706772"/>
      <w:bookmarkStart w:id="2740" w:name="_Toc12860709"/>
      <w:bookmarkStart w:id="2741" w:name="_Toc12862278"/>
      <w:bookmarkStart w:id="2742" w:name="_Toc12864324"/>
      <w:bookmarkStart w:id="2743" w:name="_Toc13551877"/>
      <w:bookmarkStart w:id="2744" w:name="_Toc13737654"/>
      <w:bookmarkStart w:id="2745" w:name="_Toc13738069"/>
      <w:bookmarkStart w:id="2746" w:name="_Toc25308627"/>
      <w:bookmarkStart w:id="2747" w:name="_Toc9488057"/>
      <w:bookmarkStart w:id="2748" w:name="_Toc9935556"/>
      <w:bookmarkStart w:id="2749" w:name="_Toc10198427"/>
      <w:bookmarkStart w:id="2750" w:name="_Toc10384648"/>
      <w:bookmarkStart w:id="2751" w:name="_Toc10458766"/>
      <w:bookmarkStart w:id="2752" w:name="_Toc10559685"/>
      <w:bookmarkStart w:id="2753" w:name="_Toc10640836"/>
      <w:bookmarkStart w:id="2754" w:name="_Toc10718745"/>
      <w:bookmarkStart w:id="2755" w:name="_Toc10889471"/>
      <w:bookmarkStart w:id="2756" w:name="_Toc10890912"/>
      <w:bookmarkStart w:id="2757" w:name="_Toc11078871"/>
      <w:bookmarkStart w:id="2758" w:name="_Toc11087135"/>
      <w:bookmarkStart w:id="2759" w:name="_Toc11087512"/>
      <w:bookmarkStart w:id="2760" w:name="_Toc11240243"/>
      <w:bookmarkStart w:id="2761" w:name="_Toc11405608"/>
      <w:bookmarkStart w:id="2762" w:name="_Toc11407385"/>
      <w:bookmarkStart w:id="2763" w:name="_Toc11485976"/>
      <w:bookmarkStart w:id="2764" w:name="_Toc11583504"/>
      <w:bookmarkStart w:id="2765" w:name="_Toc11692908"/>
      <w:bookmarkStart w:id="2766" w:name="_Toc11773416"/>
      <w:bookmarkStart w:id="2767" w:name="_Toc11827218"/>
      <w:bookmarkStart w:id="2768" w:name="_Toc11833926"/>
      <w:bookmarkStart w:id="2769" w:name="_Toc11848321"/>
      <w:bookmarkStart w:id="2770" w:name="_Toc11851978"/>
      <w:bookmarkStart w:id="2771" w:name="_Toc12608818"/>
      <w:bookmarkStart w:id="2772" w:name="_Toc12706773"/>
      <w:bookmarkStart w:id="2773" w:name="_Toc12860710"/>
      <w:bookmarkStart w:id="2774" w:name="_Toc12862279"/>
      <w:bookmarkStart w:id="2775" w:name="_Toc12864325"/>
      <w:bookmarkStart w:id="2776" w:name="_Toc13551878"/>
      <w:bookmarkStart w:id="2777" w:name="_Toc13737655"/>
      <w:bookmarkStart w:id="2778" w:name="_Toc13738070"/>
      <w:bookmarkStart w:id="2779" w:name="_Toc25308628"/>
      <w:bookmarkStart w:id="2780" w:name="_Toc9488058"/>
      <w:bookmarkStart w:id="2781" w:name="_Toc9935557"/>
      <w:bookmarkStart w:id="2782" w:name="_Toc10198428"/>
      <w:bookmarkStart w:id="2783" w:name="_Toc10384649"/>
      <w:bookmarkStart w:id="2784" w:name="_Toc10458767"/>
      <w:bookmarkStart w:id="2785" w:name="_Toc10559686"/>
      <w:bookmarkStart w:id="2786" w:name="_Toc10640837"/>
      <w:bookmarkStart w:id="2787" w:name="_Toc10718746"/>
      <w:bookmarkStart w:id="2788" w:name="_Toc10889472"/>
      <w:bookmarkStart w:id="2789" w:name="_Toc10890913"/>
      <w:bookmarkStart w:id="2790" w:name="_Toc11078872"/>
      <w:bookmarkStart w:id="2791" w:name="_Toc11087136"/>
      <w:bookmarkStart w:id="2792" w:name="_Toc11087513"/>
      <w:bookmarkStart w:id="2793" w:name="_Toc11240244"/>
      <w:bookmarkStart w:id="2794" w:name="_Toc11405609"/>
      <w:bookmarkStart w:id="2795" w:name="_Toc11407386"/>
      <w:bookmarkStart w:id="2796" w:name="_Toc11485977"/>
      <w:bookmarkStart w:id="2797" w:name="_Toc11583505"/>
      <w:bookmarkStart w:id="2798" w:name="_Toc11692909"/>
      <w:bookmarkStart w:id="2799" w:name="_Toc11773417"/>
      <w:bookmarkStart w:id="2800" w:name="_Toc11827219"/>
      <w:bookmarkStart w:id="2801" w:name="_Toc11833927"/>
      <w:bookmarkStart w:id="2802" w:name="_Toc11848322"/>
      <w:bookmarkStart w:id="2803" w:name="_Toc11851979"/>
      <w:bookmarkStart w:id="2804" w:name="_Toc12608819"/>
      <w:bookmarkStart w:id="2805" w:name="_Toc12706774"/>
      <w:bookmarkStart w:id="2806" w:name="_Toc12860711"/>
      <w:bookmarkStart w:id="2807" w:name="_Toc12862280"/>
      <w:bookmarkStart w:id="2808" w:name="_Toc12864326"/>
      <w:bookmarkStart w:id="2809" w:name="_Toc13551879"/>
      <w:bookmarkStart w:id="2810" w:name="_Toc13737656"/>
      <w:bookmarkStart w:id="2811" w:name="_Toc13738071"/>
      <w:bookmarkStart w:id="2812" w:name="_Toc25308629"/>
      <w:bookmarkStart w:id="2813" w:name="_Toc9488059"/>
      <w:bookmarkStart w:id="2814" w:name="_Toc9935558"/>
      <w:bookmarkStart w:id="2815" w:name="_Toc10198429"/>
      <w:bookmarkStart w:id="2816" w:name="_Toc10384650"/>
      <w:bookmarkStart w:id="2817" w:name="_Toc10458768"/>
      <w:bookmarkStart w:id="2818" w:name="_Toc10559687"/>
      <w:bookmarkStart w:id="2819" w:name="_Toc10640838"/>
      <w:bookmarkStart w:id="2820" w:name="_Toc10718747"/>
      <w:bookmarkStart w:id="2821" w:name="_Toc10889473"/>
      <w:bookmarkStart w:id="2822" w:name="_Toc10890914"/>
      <w:bookmarkStart w:id="2823" w:name="_Toc11078873"/>
      <w:bookmarkStart w:id="2824" w:name="_Toc11087137"/>
      <w:bookmarkStart w:id="2825" w:name="_Toc11087514"/>
      <w:bookmarkStart w:id="2826" w:name="_Toc11240245"/>
      <w:bookmarkStart w:id="2827" w:name="_Toc11405610"/>
      <w:bookmarkStart w:id="2828" w:name="_Toc11407387"/>
      <w:bookmarkStart w:id="2829" w:name="_Toc11485978"/>
      <w:bookmarkStart w:id="2830" w:name="_Toc11583506"/>
      <w:bookmarkStart w:id="2831" w:name="_Toc11692910"/>
      <w:bookmarkStart w:id="2832" w:name="_Toc11773418"/>
      <w:bookmarkStart w:id="2833" w:name="_Toc11827220"/>
      <w:bookmarkStart w:id="2834" w:name="_Toc11833928"/>
      <w:bookmarkStart w:id="2835" w:name="_Toc11848323"/>
      <w:bookmarkStart w:id="2836" w:name="_Toc11851980"/>
      <w:bookmarkStart w:id="2837" w:name="_Toc12608820"/>
      <w:bookmarkStart w:id="2838" w:name="_Toc12706775"/>
      <w:bookmarkStart w:id="2839" w:name="_Toc12860712"/>
      <w:bookmarkStart w:id="2840" w:name="_Toc12862281"/>
      <w:bookmarkStart w:id="2841" w:name="_Toc12864327"/>
      <w:bookmarkStart w:id="2842" w:name="_Toc13551880"/>
      <w:bookmarkStart w:id="2843" w:name="_Toc13737657"/>
      <w:bookmarkStart w:id="2844" w:name="_Toc13738072"/>
      <w:bookmarkStart w:id="2845" w:name="_Toc25308630"/>
      <w:bookmarkStart w:id="2846" w:name="_Toc9488060"/>
      <w:bookmarkStart w:id="2847" w:name="_Toc9935559"/>
      <w:bookmarkStart w:id="2848" w:name="_Toc10198430"/>
      <w:bookmarkStart w:id="2849" w:name="_Toc10384651"/>
      <w:bookmarkStart w:id="2850" w:name="_Toc10458769"/>
      <w:bookmarkStart w:id="2851" w:name="_Toc10559688"/>
      <w:bookmarkStart w:id="2852" w:name="_Toc10640839"/>
      <w:bookmarkStart w:id="2853" w:name="_Toc10718748"/>
      <w:bookmarkStart w:id="2854" w:name="_Toc10889474"/>
      <w:bookmarkStart w:id="2855" w:name="_Toc10890915"/>
      <w:bookmarkStart w:id="2856" w:name="_Toc11078874"/>
      <w:bookmarkStart w:id="2857" w:name="_Toc11087138"/>
      <w:bookmarkStart w:id="2858" w:name="_Toc11087515"/>
      <w:bookmarkStart w:id="2859" w:name="_Toc11240246"/>
      <w:bookmarkStart w:id="2860" w:name="_Toc11405611"/>
      <w:bookmarkStart w:id="2861" w:name="_Toc11407388"/>
      <w:bookmarkStart w:id="2862" w:name="_Toc11485979"/>
      <w:bookmarkStart w:id="2863" w:name="_Toc11583507"/>
      <w:bookmarkStart w:id="2864" w:name="_Toc11692911"/>
      <w:bookmarkStart w:id="2865" w:name="_Toc11773419"/>
      <w:bookmarkStart w:id="2866" w:name="_Toc11827221"/>
      <w:bookmarkStart w:id="2867" w:name="_Toc11833929"/>
      <w:bookmarkStart w:id="2868" w:name="_Toc11848324"/>
      <w:bookmarkStart w:id="2869" w:name="_Toc11851981"/>
      <w:bookmarkStart w:id="2870" w:name="_Toc12608821"/>
      <w:bookmarkStart w:id="2871" w:name="_Toc12706776"/>
      <w:bookmarkStart w:id="2872" w:name="_Toc12860713"/>
      <w:bookmarkStart w:id="2873" w:name="_Toc12862282"/>
      <w:bookmarkStart w:id="2874" w:name="_Toc12864328"/>
      <w:bookmarkStart w:id="2875" w:name="_Toc13551881"/>
      <w:bookmarkStart w:id="2876" w:name="_Toc13737658"/>
      <w:bookmarkStart w:id="2877" w:name="_Toc13738073"/>
      <w:bookmarkStart w:id="2878" w:name="_Toc25308631"/>
      <w:bookmarkStart w:id="2879" w:name="_Toc9488061"/>
      <w:bookmarkStart w:id="2880" w:name="_Toc9935560"/>
      <w:bookmarkStart w:id="2881" w:name="_Toc10198431"/>
      <w:bookmarkStart w:id="2882" w:name="_Toc10384652"/>
      <w:bookmarkStart w:id="2883" w:name="_Toc10458770"/>
      <w:bookmarkStart w:id="2884" w:name="_Toc10559689"/>
      <w:bookmarkStart w:id="2885" w:name="_Toc10640840"/>
      <w:bookmarkStart w:id="2886" w:name="_Toc10718749"/>
      <w:bookmarkStart w:id="2887" w:name="_Toc10889475"/>
      <w:bookmarkStart w:id="2888" w:name="_Toc10890916"/>
      <w:bookmarkStart w:id="2889" w:name="_Toc11078875"/>
      <w:bookmarkStart w:id="2890" w:name="_Toc11087139"/>
      <w:bookmarkStart w:id="2891" w:name="_Toc11087516"/>
      <w:bookmarkStart w:id="2892" w:name="_Toc11240247"/>
      <w:bookmarkStart w:id="2893" w:name="_Toc11405612"/>
      <w:bookmarkStart w:id="2894" w:name="_Toc11407389"/>
      <w:bookmarkStart w:id="2895" w:name="_Toc11485980"/>
      <w:bookmarkStart w:id="2896" w:name="_Toc11583508"/>
      <w:bookmarkStart w:id="2897" w:name="_Toc11692912"/>
      <w:bookmarkStart w:id="2898" w:name="_Toc11773420"/>
      <w:bookmarkStart w:id="2899" w:name="_Toc11827222"/>
      <w:bookmarkStart w:id="2900" w:name="_Toc11833930"/>
      <w:bookmarkStart w:id="2901" w:name="_Toc11848325"/>
      <w:bookmarkStart w:id="2902" w:name="_Toc11851982"/>
      <w:bookmarkStart w:id="2903" w:name="_Toc12608822"/>
      <w:bookmarkStart w:id="2904" w:name="_Toc12706777"/>
      <w:bookmarkStart w:id="2905" w:name="_Toc12860714"/>
      <w:bookmarkStart w:id="2906" w:name="_Toc12862283"/>
      <w:bookmarkStart w:id="2907" w:name="_Toc12864329"/>
      <w:bookmarkStart w:id="2908" w:name="_Toc13551882"/>
      <w:bookmarkStart w:id="2909" w:name="_Toc13737659"/>
      <w:bookmarkStart w:id="2910" w:name="_Toc13738074"/>
      <w:bookmarkStart w:id="2911" w:name="_Toc25308632"/>
      <w:bookmarkStart w:id="2912" w:name="_Toc9488062"/>
      <w:bookmarkStart w:id="2913" w:name="_Toc9935561"/>
      <w:bookmarkStart w:id="2914" w:name="_Toc10198432"/>
      <w:bookmarkStart w:id="2915" w:name="_Toc10384653"/>
      <w:bookmarkStart w:id="2916" w:name="_Toc10458771"/>
      <w:bookmarkStart w:id="2917" w:name="_Toc10559690"/>
      <w:bookmarkStart w:id="2918" w:name="_Toc10640841"/>
      <w:bookmarkStart w:id="2919" w:name="_Toc10718750"/>
      <w:bookmarkStart w:id="2920" w:name="_Toc10889476"/>
      <w:bookmarkStart w:id="2921" w:name="_Toc10890917"/>
      <w:bookmarkStart w:id="2922" w:name="_Toc11078876"/>
      <w:bookmarkStart w:id="2923" w:name="_Toc11087140"/>
      <w:bookmarkStart w:id="2924" w:name="_Toc11087517"/>
      <w:bookmarkStart w:id="2925" w:name="_Toc11240248"/>
      <w:bookmarkStart w:id="2926" w:name="_Toc11405613"/>
      <w:bookmarkStart w:id="2927" w:name="_Toc11407390"/>
      <w:bookmarkStart w:id="2928" w:name="_Toc11485981"/>
      <w:bookmarkStart w:id="2929" w:name="_Toc11583509"/>
      <w:bookmarkStart w:id="2930" w:name="_Toc11692913"/>
      <w:bookmarkStart w:id="2931" w:name="_Toc11773421"/>
      <w:bookmarkStart w:id="2932" w:name="_Toc11827223"/>
      <w:bookmarkStart w:id="2933" w:name="_Toc11833931"/>
      <w:bookmarkStart w:id="2934" w:name="_Toc11848326"/>
      <w:bookmarkStart w:id="2935" w:name="_Toc11851983"/>
      <w:bookmarkStart w:id="2936" w:name="_Toc12608823"/>
      <w:bookmarkStart w:id="2937" w:name="_Toc12706778"/>
      <w:bookmarkStart w:id="2938" w:name="_Toc12860715"/>
      <w:bookmarkStart w:id="2939" w:name="_Toc12862284"/>
      <w:bookmarkStart w:id="2940" w:name="_Toc12864330"/>
      <w:bookmarkStart w:id="2941" w:name="_Toc13551883"/>
      <w:bookmarkStart w:id="2942" w:name="_Toc13737660"/>
      <w:bookmarkStart w:id="2943" w:name="_Toc13738075"/>
      <w:bookmarkStart w:id="2944" w:name="_Toc25308633"/>
      <w:bookmarkStart w:id="2945" w:name="_Toc9488063"/>
      <w:bookmarkStart w:id="2946" w:name="_Toc9935562"/>
      <w:bookmarkStart w:id="2947" w:name="_Toc10198433"/>
      <w:bookmarkStart w:id="2948" w:name="_Toc10384654"/>
      <w:bookmarkStart w:id="2949" w:name="_Toc10458772"/>
      <w:bookmarkStart w:id="2950" w:name="_Toc10559691"/>
      <w:bookmarkStart w:id="2951" w:name="_Toc10640842"/>
      <w:bookmarkStart w:id="2952" w:name="_Toc10718751"/>
      <w:bookmarkStart w:id="2953" w:name="_Toc10889477"/>
      <w:bookmarkStart w:id="2954" w:name="_Toc10890918"/>
      <w:bookmarkStart w:id="2955" w:name="_Toc11078877"/>
      <w:bookmarkStart w:id="2956" w:name="_Toc11087141"/>
      <w:bookmarkStart w:id="2957" w:name="_Toc11087518"/>
      <w:bookmarkStart w:id="2958" w:name="_Toc11240249"/>
      <w:bookmarkStart w:id="2959" w:name="_Toc11405614"/>
      <w:bookmarkStart w:id="2960" w:name="_Toc11407391"/>
      <w:bookmarkStart w:id="2961" w:name="_Toc11485982"/>
      <w:bookmarkStart w:id="2962" w:name="_Toc11583510"/>
      <w:bookmarkStart w:id="2963" w:name="_Toc11692914"/>
      <w:bookmarkStart w:id="2964" w:name="_Toc11773422"/>
      <w:bookmarkStart w:id="2965" w:name="_Toc11827224"/>
      <w:bookmarkStart w:id="2966" w:name="_Toc11833932"/>
      <w:bookmarkStart w:id="2967" w:name="_Toc11848327"/>
      <w:bookmarkStart w:id="2968" w:name="_Toc11851984"/>
      <w:bookmarkStart w:id="2969" w:name="_Toc12608824"/>
      <w:bookmarkStart w:id="2970" w:name="_Toc12706779"/>
      <w:bookmarkStart w:id="2971" w:name="_Toc12860716"/>
      <w:bookmarkStart w:id="2972" w:name="_Toc12862285"/>
      <w:bookmarkStart w:id="2973" w:name="_Toc12864331"/>
      <w:bookmarkStart w:id="2974" w:name="_Toc13551884"/>
      <w:bookmarkStart w:id="2975" w:name="_Toc13737661"/>
      <w:bookmarkStart w:id="2976" w:name="_Toc13738076"/>
      <w:bookmarkStart w:id="2977" w:name="_Toc25308634"/>
      <w:bookmarkStart w:id="2978" w:name="_Toc33602949"/>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r>
        <w:t xml:space="preserve">Sentencing for both </w:t>
      </w:r>
      <w:r w:rsidR="00644318" w:rsidRPr="00C213CF">
        <w:t xml:space="preserve">federal and </w:t>
      </w:r>
      <w:r w:rsidR="00356A8F" w:rsidRPr="00C213CF">
        <w:t>State</w:t>
      </w:r>
      <w:r w:rsidR="00356A8F">
        <w:t>/Territory</w:t>
      </w:r>
      <w:r w:rsidR="00356A8F" w:rsidRPr="00C213CF">
        <w:t xml:space="preserve"> </w:t>
      </w:r>
      <w:r w:rsidR="00644318" w:rsidRPr="00C213CF">
        <w:t>offences</w:t>
      </w:r>
      <w:bookmarkEnd w:id="2978"/>
      <w:r w:rsidR="00644318" w:rsidRPr="00C213CF">
        <w:t xml:space="preserve"> </w:t>
      </w:r>
    </w:p>
    <w:p w14:paraId="11CF1B8F" w14:textId="77777777" w:rsidR="00644318" w:rsidRPr="00C00000" w:rsidRDefault="00644318" w:rsidP="008B3E81">
      <w:pPr>
        <w:pStyle w:val="NormalIndent"/>
        <w:keepNext/>
        <w:widowControl w:val="0"/>
        <w:spacing w:line="276" w:lineRule="auto"/>
        <w:ind w:hanging="567"/>
        <w:rPr>
          <w:rFonts w:asciiTheme="minorHAnsi" w:hAnsiTheme="minorHAnsi"/>
        </w:rPr>
      </w:pPr>
    </w:p>
    <w:p w14:paraId="3BBD3D7A" w14:textId="7C29B803" w:rsidR="00C616C2" w:rsidRPr="00C00000" w:rsidRDefault="00CC63A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w:t>
      </w:r>
      <w:r w:rsidR="00C616C2" w:rsidRPr="00BC2771">
        <w:rPr>
          <w:rFonts w:asciiTheme="minorHAnsi" w:hAnsiTheme="minorHAnsi"/>
        </w:rPr>
        <w:t xml:space="preserve"> a federal offender undertakes to give evidence in criminal proceedings for a State/Territory offence as well as for a Commonwealth offence, the offender</w:t>
      </w:r>
      <w:r w:rsidR="00AA693C">
        <w:rPr>
          <w:rFonts w:asciiTheme="minorHAnsi" w:hAnsiTheme="minorHAnsi"/>
        </w:rPr>
        <w:t>’</w:t>
      </w:r>
      <w:r w:rsidR="00C616C2" w:rsidRPr="00BC2771">
        <w:rPr>
          <w:rFonts w:asciiTheme="minorHAnsi" w:hAnsiTheme="minorHAnsi"/>
        </w:rPr>
        <w:t xml:space="preserve">s promise of cooperation in respect of the related State/Territory offence </w:t>
      </w:r>
      <w:r w:rsidR="00443310">
        <w:rPr>
          <w:rFonts w:asciiTheme="minorHAnsi" w:hAnsiTheme="minorHAnsi"/>
        </w:rPr>
        <w:t xml:space="preserve">may be taken into account </w:t>
      </w:r>
      <w:r w:rsidR="00C616C2" w:rsidRPr="00BC2771">
        <w:rPr>
          <w:rFonts w:asciiTheme="minorHAnsi" w:hAnsiTheme="minorHAnsi"/>
        </w:rPr>
        <w:t>in determining the appropriate sentence for the Commonwealth offence.</w:t>
      </w:r>
      <w:r w:rsidR="00C616C2" w:rsidRPr="00C00000">
        <w:rPr>
          <w:rStyle w:val="Style"/>
          <w:rFonts w:asciiTheme="minorHAnsi" w:hAnsiTheme="minorHAnsi"/>
        </w:rPr>
        <w:footnoteReference w:id="1047"/>
      </w:r>
    </w:p>
    <w:p w14:paraId="0FEE6C05" w14:textId="77777777" w:rsidR="00644318" w:rsidRPr="00C00000" w:rsidRDefault="00644318" w:rsidP="00644318">
      <w:pPr>
        <w:pStyle w:val="ListParagraph"/>
        <w:widowControl w:val="0"/>
        <w:shd w:val="clear" w:color="auto" w:fill="FFFFFF" w:themeFill="background1"/>
        <w:spacing w:line="276" w:lineRule="auto"/>
        <w:ind w:left="567" w:right="170" w:hanging="567"/>
        <w:rPr>
          <w:rFonts w:asciiTheme="minorHAnsi" w:hAnsiTheme="minorHAnsi"/>
        </w:rPr>
      </w:pPr>
    </w:p>
    <w:p w14:paraId="10CD94E1" w14:textId="6C4C2ADB" w:rsidR="009D076C" w:rsidRPr="00C213CF" w:rsidRDefault="009D076C" w:rsidP="008B3E81">
      <w:pPr>
        <w:pStyle w:val="Heading3"/>
      </w:pPr>
      <w:bookmarkStart w:id="2979" w:name="_Toc10458782"/>
      <w:bookmarkStart w:id="2980" w:name="_Toc10559701"/>
      <w:bookmarkStart w:id="2981" w:name="_Toc10640852"/>
      <w:bookmarkStart w:id="2982" w:name="_Toc10718761"/>
      <w:bookmarkStart w:id="2983" w:name="_Toc10889487"/>
      <w:bookmarkStart w:id="2984" w:name="_Toc10890928"/>
      <w:bookmarkStart w:id="2985" w:name="_Toc11078887"/>
      <w:bookmarkStart w:id="2986" w:name="_Toc11087151"/>
      <w:bookmarkStart w:id="2987" w:name="_Toc11087528"/>
      <w:bookmarkStart w:id="2988" w:name="_Toc11240259"/>
      <w:bookmarkStart w:id="2989" w:name="_Toc11405624"/>
      <w:bookmarkStart w:id="2990" w:name="_Toc11407401"/>
      <w:bookmarkStart w:id="2991" w:name="_Toc11485992"/>
      <w:bookmarkStart w:id="2992" w:name="_Toc11583520"/>
      <w:bookmarkStart w:id="2993" w:name="_Toc11692924"/>
      <w:bookmarkStart w:id="2994" w:name="_Toc11773432"/>
      <w:bookmarkStart w:id="2995" w:name="_Toc11827234"/>
      <w:bookmarkStart w:id="2996" w:name="_Toc11833942"/>
      <w:bookmarkStart w:id="2997" w:name="_Toc11848337"/>
      <w:bookmarkStart w:id="2998" w:name="_Toc11851994"/>
      <w:bookmarkStart w:id="2999" w:name="_Toc12608834"/>
      <w:bookmarkStart w:id="3000" w:name="_Toc12706789"/>
      <w:bookmarkStart w:id="3001" w:name="_Toc12860726"/>
      <w:bookmarkStart w:id="3002" w:name="_Toc12862295"/>
      <w:bookmarkStart w:id="3003" w:name="_Toc12864341"/>
      <w:bookmarkStart w:id="3004" w:name="_Toc13551894"/>
      <w:bookmarkStart w:id="3005" w:name="_Toc13737671"/>
      <w:bookmarkStart w:id="3006" w:name="_Toc13738086"/>
      <w:bookmarkStart w:id="3007" w:name="_Toc25308644"/>
      <w:bookmarkStart w:id="3008" w:name="_Ref505698192"/>
      <w:bookmarkStart w:id="3009" w:name="_Ref505698197"/>
      <w:bookmarkStart w:id="3010" w:name="_Toc33602950"/>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r w:rsidRPr="00C213CF">
        <w:t>Specifying a s 16AC discount and a discount for a guilty plea</w:t>
      </w:r>
      <w:bookmarkEnd w:id="3008"/>
      <w:bookmarkEnd w:id="3009"/>
      <w:bookmarkEnd w:id="3010"/>
    </w:p>
    <w:p w14:paraId="39D53270" w14:textId="77777777" w:rsidR="009D076C" w:rsidRPr="00C00000" w:rsidRDefault="009D076C" w:rsidP="008B3E81">
      <w:pPr>
        <w:pStyle w:val="ListParagraph"/>
        <w:keepNext/>
        <w:widowControl w:val="0"/>
        <w:shd w:val="clear" w:color="auto" w:fill="FFFFFF" w:themeFill="background1"/>
        <w:spacing w:line="276" w:lineRule="auto"/>
        <w:ind w:left="567" w:right="170" w:hanging="567"/>
        <w:rPr>
          <w:rFonts w:asciiTheme="minorHAnsi" w:hAnsiTheme="minorHAnsi"/>
          <w:u w:val="single"/>
        </w:rPr>
      </w:pPr>
    </w:p>
    <w:p w14:paraId="1E54FB2B" w14:textId="4A24C27C" w:rsidR="008B3DB6" w:rsidRDefault="009D076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some jurisdictions a sentencing court is required by law to specify the extent of the reduction of sentence for a guilty plea (usually by specifying what the sentence would have been but for the plea).</w:t>
      </w:r>
      <w:r w:rsidR="008B3DB6" w:rsidRPr="00C00000">
        <w:rPr>
          <w:rStyle w:val="Style"/>
          <w:rFonts w:asciiTheme="minorHAnsi" w:hAnsiTheme="minorHAnsi"/>
        </w:rPr>
        <w:footnoteReference w:id="1048"/>
      </w:r>
      <w:r>
        <w:rPr>
          <w:rFonts w:asciiTheme="minorHAnsi" w:hAnsiTheme="minorHAnsi"/>
        </w:rPr>
        <w:t xml:space="preserve">  If such a requirement is applied as surrogate federal law to the sentencing of a federal offender, the task for a sentencing court will be more complex </w:t>
      </w:r>
      <w:r w:rsidR="008B3DB6">
        <w:rPr>
          <w:rFonts w:asciiTheme="minorHAnsi" w:hAnsiTheme="minorHAnsi"/>
        </w:rPr>
        <w:t>if</w:t>
      </w:r>
      <w:r>
        <w:rPr>
          <w:rFonts w:asciiTheme="minorHAnsi" w:hAnsiTheme="minorHAnsi"/>
        </w:rPr>
        <w:t xml:space="preserve"> the court is also required by s 16AC</w:t>
      </w:r>
      <w:r w:rsidR="008B3DB6">
        <w:rPr>
          <w:rFonts w:asciiTheme="minorHAnsi" w:hAnsiTheme="minorHAnsi"/>
        </w:rPr>
        <w:t xml:space="preserve"> of the </w:t>
      </w:r>
      <w:r w:rsidR="00885EFD" w:rsidRPr="00885EFD">
        <w:rPr>
          <w:rFonts w:asciiTheme="minorHAnsi" w:hAnsiTheme="minorHAnsi"/>
          <w:i/>
        </w:rPr>
        <w:t>Crimes Act 1914</w:t>
      </w:r>
      <w:r w:rsidR="008B3DB6">
        <w:rPr>
          <w:rFonts w:asciiTheme="minorHAnsi" w:hAnsiTheme="minorHAnsi"/>
        </w:rPr>
        <w:t xml:space="preserve"> (Cth) to specify the sentence reduction that follows from the offender</w:t>
      </w:r>
      <w:r w:rsidR="00AA693C">
        <w:rPr>
          <w:rFonts w:asciiTheme="minorHAnsi" w:hAnsiTheme="minorHAnsi"/>
        </w:rPr>
        <w:t>’</w:t>
      </w:r>
      <w:r w:rsidR="008B3DB6">
        <w:rPr>
          <w:rFonts w:asciiTheme="minorHAnsi" w:hAnsiTheme="minorHAnsi"/>
        </w:rPr>
        <w:t>s undertaking to co-operate.  For a discussion of the appropriate procedure to be followed in such a case, see</w:t>
      </w:r>
      <w:r>
        <w:rPr>
          <w:rFonts w:asciiTheme="minorHAnsi" w:hAnsiTheme="minorHAnsi"/>
        </w:rPr>
        <w:t xml:space="preserve"> </w:t>
      </w:r>
      <w:r w:rsidR="008B3DB6">
        <w:rPr>
          <w:rFonts w:asciiTheme="minorHAnsi" w:hAnsiTheme="minorHAnsi"/>
        </w:rPr>
        <w:t>“</w:t>
      </w:r>
      <w:r w:rsidR="008B3DB6">
        <w:rPr>
          <w:rFonts w:asciiTheme="minorHAnsi" w:hAnsiTheme="minorHAnsi"/>
        </w:rPr>
        <w:fldChar w:fldCharType="begin"/>
      </w:r>
      <w:r w:rsidR="008B3DB6">
        <w:rPr>
          <w:rFonts w:asciiTheme="minorHAnsi" w:hAnsiTheme="minorHAnsi"/>
        </w:rPr>
        <w:instrText xml:space="preserve"> REF _Ref494293566 \r \h  \* MERGEFORMAT </w:instrText>
      </w:r>
      <w:r w:rsidR="008B3DB6">
        <w:rPr>
          <w:rFonts w:asciiTheme="minorHAnsi" w:hAnsiTheme="minorHAnsi"/>
        </w:rPr>
      </w:r>
      <w:r w:rsidR="008B3DB6">
        <w:rPr>
          <w:rFonts w:asciiTheme="minorHAnsi" w:hAnsiTheme="minorHAnsi"/>
        </w:rPr>
        <w:fldChar w:fldCharType="separate"/>
      </w:r>
      <w:r w:rsidR="00D44BCF">
        <w:rPr>
          <w:rFonts w:asciiTheme="minorHAnsi" w:hAnsiTheme="minorHAnsi"/>
        </w:rPr>
        <w:t>7.9</w:t>
      </w:r>
      <w:r w:rsidR="008B3DB6">
        <w:rPr>
          <w:rFonts w:asciiTheme="minorHAnsi" w:hAnsiTheme="minorHAnsi"/>
        </w:rPr>
        <w:fldChar w:fldCharType="end"/>
      </w:r>
      <w:r w:rsidR="008B3DB6">
        <w:rPr>
          <w:rFonts w:asciiTheme="minorHAnsi" w:hAnsiTheme="minorHAnsi"/>
        </w:rPr>
        <w:t xml:space="preserve"> </w:t>
      </w:r>
      <w:r w:rsidR="008B3DB6">
        <w:rPr>
          <w:rFonts w:asciiTheme="minorHAnsi" w:hAnsiTheme="minorHAnsi"/>
        </w:rPr>
        <w:fldChar w:fldCharType="begin"/>
      </w:r>
      <w:r w:rsidR="008B3DB6">
        <w:rPr>
          <w:rFonts w:asciiTheme="minorHAnsi" w:hAnsiTheme="minorHAnsi"/>
        </w:rPr>
        <w:instrText xml:space="preserve"> REF _Ref494293566 \h  \* MERGEFORMAT </w:instrText>
      </w:r>
      <w:r w:rsidR="008B3DB6">
        <w:rPr>
          <w:rFonts w:asciiTheme="minorHAnsi" w:hAnsiTheme="minorHAnsi"/>
        </w:rPr>
      </w:r>
      <w:r w:rsidR="008B3DB6">
        <w:rPr>
          <w:rFonts w:asciiTheme="minorHAnsi" w:hAnsiTheme="minorHAnsi"/>
        </w:rPr>
        <w:fldChar w:fldCharType="separate"/>
      </w:r>
      <w:r w:rsidR="00D44BCF" w:rsidRPr="00D44BCF">
        <w:rPr>
          <w:rFonts w:asciiTheme="minorHAnsi" w:hAnsiTheme="minorHAnsi"/>
        </w:rPr>
        <w:t>Interaction between sentencing discount for guilty plea and discount for undertaking to co-operate</w:t>
      </w:r>
      <w:r w:rsidR="008B3DB6">
        <w:rPr>
          <w:rFonts w:asciiTheme="minorHAnsi" w:hAnsiTheme="minorHAnsi"/>
        </w:rPr>
        <w:fldChar w:fldCharType="end"/>
      </w:r>
      <w:r w:rsidR="008B3DB6">
        <w:rPr>
          <w:rFonts w:asciiTheme="minorHAnsi" w:hAnsiTheme="minorHAnsi"/>
        </w:rPr>
        <w:t>”.</w:t>
      </w:r>
    </w:p>
    <w:p w14:paraId="17F923AA" w14:textId="77777777" w:rsidR="00304BBE" w:rsidRPr="00304BBE" w:rsidRDefault="00304BBE" w:rsidP="00304BBE">
      <w:pPr>
        <w:widowControl w:val="0"/>
        <w:shd w:val="clear" w:color="auto" w:fill="FFFFFF" w:themeFill="background1"/>
        <w:spacing w:line="276" w:lineRule="auto"/>
        <w:ind w:right="170"/>
        <w:rPr>
          <w:rFonts w:asciiTheme="minorHAnsi" w:hAnsiTheme="minorHAnsi"/>
        </w:rPr>
      </w:pPr>
    </w:p>
    <w:p w14:paraId="6A329674" w14:textId="408BFFED" w:rsidR="00304BBE" w:rsidRDefault="00304BBE" w:rsidP="008B3E81">
      <w:pPr>
        <w:pStyle w:val="Heading3"/>
      </w:pPr>
      <w:bookmarkStart w:id="3011" w:name="_Toc33602951"/>
      <w:bookmarkStart w:id="3012" w:name="_Ref494813240"/>
      <w:bookmarkStart w:id="3013" w:name="_Ref494811031"/>
      <w:r>
        <w:t>Failure to comply with s 16AC in sentencing</w:t>
      </w:r>
      <w:bookmarkEnd w:id="3011"/>
    </w:p>
    <w:p w14:paraId="55E60030" w14:textId="77777777" w:rsidR="00304BBE" w:rsidRPr="00051102" w:rsidRDefault="00304BBE" w:rsidP="008B3E81">
      <w:pPr>
        <w:pStyle w:val="NormalIndent"/>
        <w:keepNext/>
        <w:rPr>
          <w:rFonts w:ascii="Calibri" w:hAnsi="Calibri"/>
        </w:rPr>
      </w:pPr>
    </w:p>
    <w:p w14:paraId="6E203AAE" w14:textId="78951FC7" w:rsidR="00304BBE" w:rsidRDefault="00304BBE"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The </w:t>
      </w:r>
      <w:r>
        <w:rPr>
          <w:rFonts w:asciiTheme="minorHAnsi" w:hAnsiTheme="minorHAnsi"/>
        </w:rPr>
        <w:t xml:space="preserve">authorities are not consistent as to whether </w:t>
      </w:r>
      <w:r w:rsidRPr="00C00000">
        <w:rPr>
          <w:rFonts w:asciiTheme="minorHAnsi" w:hAnsiTheme="minorHAnsi"/>
        </w:rPr>
        <w:t xml:space="preserve">failure to comply with s 16AC </w:t>
      </w:r>
      <w:r>
        <w:rPr>
          <w:rFonts w:asciiTheme="minorHAnsi" w:hAnsiTheme="minorHAnsi"/>
        </w:rPr>
        <w:t xml:space="preserve">vitiates the exercise of the sentencing discretion.  In </w:t>
      </w:r>
      <w:r w:rsidRPr="00AB0BE2">
        <w:rPr>
          <w:rFonts w:asciiTheme="minorHAnsi" w:hAnsiTheme="minorHAnsi"/>
          <w:i/>
        </w:rPr>
        <w:t>Tae</w:t>
      </w:r>
      <w:r>
        <w:rPr>
          <w:rFonts w:asciiTheme="minorHAnsi" w:hAnsiTheme="minorHAnsi"/>
        </w:rPr>
        <w:t>,</w:t>
      </w:r>
      <w:r w:rsidRPr="00C00000">
        <w:rPr>
          <w:rStyle w:val="Style"/>
          <w:rFonts w:asciiTheme="minorHAnsi" w:hAnsiTheme="minorHAnsi"/>
        </w:rPr>
        <w:footnoteReference w:id="1049"/>
      </w:r>
      <w:r>
        <w:rPr>
          <w:rFonts w:asciiTheme="minorHAnsi" w:hAnsiTheme="minorHAnsi"/>
        </w:rPr>
        <w:t xml:space="preserve"> the </w:t>
      </w:r>
      <w:r w:rsidR="00351E7A">
        <w:rPr>
          <w:rFonts w:asciiTheme="minorHAnsi" w:hAnsiTheme="minorHAnsi"/>
        </w:rPr>
        <w:t>New South Wales Court of Criminal Appeal</w:t>
      </w:r>
      <w:r>
        <w:rPr>
          <w:rFonts w:asciiTheme="minorHAnsi" w:hAnsiTheme="minorHAnsi"/>
        </w:rPr>
        <w:t xml:space="preserve"> held that such an error </w:t>
      </w:r>
      <w:r w:rsidRPr="00C00000">
        <w:rPr>
          <w:rFonts w:asciiTheme="minorHAnsi" w:hAnsiTheme="minorHAnsi"/>
        </w:rPr>
        <w:t>does not, by itself, invalidate the sentence imposed.</w:t>
      </w:r>
      <w:r>
        <w:rPr>
          <w:rFonts w:asciiTheme="minorHAnsi" w:hAnsiTheme="minorHAnsi"/>
        </w:rPr>
        <w:t xml:space="preserve">  However in </w:t>
      </w:r>
      <w:r w:rsidRPr="007802B8">
        <w:rPr>
          <w:rFonts w:asciiTheme="minorHAnsi" w:hAnsiTheme="minorHAnsi"/>
          <w:i/>
        </w:rPr>
        <w:t>Dagher</w:t>
      </w:r>
      <w:r>
        <w:rPr>
          <w:rFonts w:asciiTheme="minorHAnsi" w:hAnsiTheme="minorHAnsi"/>
        </w:rPr>
        <w:t>,</w:t>
      </w:r>
      <w:r w:rsidRPr="00C00000">
        <w:rPr>
          <w:rStyle w:val="Style"/>
          <w:rFonts w:asciiTheme="minorHAnsi" w:hAnsiTheme="minorHAnsi"/>
        </w:rPr>
        <w:footnoteReference w:id="1050"/>
      </w:r>
      <w:r>
        <w:rPr>
          <w:rFonts w:asciiTheme="minorHAnsi" w:hAnsiTheme="minorHAnsi"/>
        </w:rPr>
        <w:t xml:space="preserve"> in which no reference was made to </w:t>
      </w:r>
      <w:r w:rsidRPr="00AB0BE2">
        <w:rPr>
          <w:rFonts w:asciiTheme="minorHAnsi" w:hAnsiTheme="minorHAnsi"/>
          <w:i/>
        </w:rPr>
        <w:t>Tae</w:t>
      </w:r>
      <w:r>
        <w:rPr>
          <w:rFonts w:asciiTheme="minorHAnsi" w:hAnsiTheme="minorHAnsi"/>
        </w:rPr>
        <w:t xml:space="preserve">, the Court held that the failure of the sentencing judge to comply with s 16AC </w:t>
      </w:r>
      <w:r w:rsidRPr="007802B8">
        <w:rPr>
          <w:rFonts w:asciiTheme="minorHAnsi" w:hAnsiTheme="minorHAnsi"/>
        </w:rPr>
        <w:t>“</w:t>
      </w:r>
      <w:r w:rsidRPr="007802B8">
        <w:rPr>
          <w:rFonts w:asciiTheme="minorHAnsi" w:hAnsiTheme="minorHAnsi"/>
          <w:i/>
        </w:rPr>
        <w:t>had the effect that the sentence had not been imposed according to law</w:t>
      </w:r>
      <w:r w:rsidRPr="007802B8">
        <w:rPr>
          <w:rFonts w:asciiTheme="minorHAnsi" w:hAnsiTheme="minorHAnsi"/>
        </w:rPr>
        <w:t xml:space="preserve">”, </w:t>
      </w:r>
      <w:r>
        <w:rPr>
          <w:rFonts w:asciiTheme="minorHAnsi" w:hAnsiTheme="minorHAnsi"/>
        </w:rPr>
        <w:t>was “</w:t>
      </w:r>
      <w:r w:rsidRPr="007802B8">
        <w:rPr>
          <w:rFonts w:asciiTheme="minorHAnsi" w:hAnsiTheme="minorHAnsi"/>
          <w:i/>
        </w:rPr>
        <w:t>an error of law which requires correction</w:t>
      </w:r>
      <w:r>
        <w:rPr>
          <w:rFonts w:asciiTheme="minorHAnsi" w:hAnsiTheme="minorHAnsi"/>
        </w:rPr>
        <w:t>”, and that for that reason alone it was necessary to re-sentence the applicant</w:t>
      </w:r>
      <w:r w:rsidRPr="007802B8">
        <w:rPr>
          <w:rFonts w:asciiTheme="minorHAnsi" w:hAnsiTheme="minorHAnsi"/>
        </w:rPr>
        <w:t>.</w:t>
      </w:r>
    </w:p>
    <w:p w14:paraId="3D6D03CE" w14:textId="77777777" w:rsidR="00304BBE" w:rsidRPr="003C7382" w:rsidRDefault="00304BBE" w:rsidP="00AB0BE2">
      <w:pPr>
        <w:widowControl w:val="0"/>
        <w:shd w:val="clear" w:color="auto" w:fill="FFFFFF" w:themeFill="background1"/>
        <w:spacing w:line="276" w:lineRule="auto"/>
        <w:ind w:right="170"/>
        <w:rPr>
          <w:rFonts w:asciiTheme="minorHAnsi" w:hAnsiTheme="minorHAnsi"/>
        </w:rPr>
      </w:pPr>
    </w:p>
    <w:p w14:paraId="61A1BC2D" w14:textId="2364D74C" w:rsidR="004D0A4C" w:rsidRPr="004D0A4C" w:rsidRDefault="004D0A4C" w:rsidP="008B3E81">
      <w:pPr>
        <w:pStyle w:val="Heading3"/>
      </w:pPr>
      <w:bookmarkStart w:id="3014" w:name="_Ref507525926"/>
      <w:bookmarkStart w:id="3015" w:name="_Toc33602952"/>
      <w:bookmarkEnd w:id="3012"/>
      <w:r w:rsidRPr="004D0A4C">
        <w:t>Consequences of breach of an undertaking to co-operate</w:t>
      </w:r>
      <w:bookmarkEnd w:id="3014"/>
      <w:bookmarkEnd w:id="3015"/>
    </w:p>
    <w:p w14:paraId="72AACB9B" w14:textId="77777777" w:rsidR="004D0A4C" w:rsidRPr="00051102" w:rsidRDefault="004D0A4C" w:rsidP="008B3E81">
      <w:pPr>
        <w:pStyle w:val="NormalIndent"/>
        <w:keepNext/>
        <w:rPr>
          <w:rFonts w:ascii="Calibri" w:hAnsi="Calibri"/>
        </w:rPr>
      </w:pPr>
    </w:p>
    <w:p w14:paraId="33D32A0F" w14:textId="58858423" w:rsidR="00E845DE" w:rsidRDefault="00086933"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Section 16AC</w:t>
      </w:r>
      <w:r w:rsidR="00A0659A">
        <w:rPr>
          <w:rFonts w:asciiTheme="minorHAnsi" w:hAnsiTheme="minorHAnsi"/>
        </w:rPr>
        <w:t>(3)</w:t>
      </w:r>
      <w:r w:rsidRPr="00C00000">
        <w:rPr>
          <w:rFonts w:asciiTheme="minorHAnsi" w:hAnsiTheme="minorHAnsi"/>
        </w:rPr>
        <w:t xml:space="preserve"> permits the </w:t>
      </w:r>
      <w:r w:rsidR="00F62312">
        <w:rPr>
          <w:rFonts w:asciiTheme="minorHAnsi" w:hAnsiTheme="minorHAnsi"/>
        </w:rPr>
        <w:t>CDPP</w:t>
      </w:r>
      <w:r w:rsidRPr="00C00000">
        <w:rPr>
          <w:rFonts w:asciiTheme="minorHAnsi" w:hAnsiTheme="minorHAnsi"/>
        </w:rPr>
        <w:t xml:space="preserve"> to appeal against the </w:t>
      </w:r>
      <w:r w:rsidR="00A0659A">
        <w:rPr>
          <w:rFonts w:asciiTheme="minorHAnsi" w:hAnsiTheme="minorHAnsi"/>
        </w:rPr>
        <w:t xml:space="preserve">inadequacy of the </w:t>
      </w:r>
      <w:r w:rsidRPr="00C00000">
        <w:rPr>
          <w:rFonts w:asciiTheme="minorHAnsi" w:hAnsiTheme="minorHAnsi"/>
        </w:rPr>
        <w:t xml:space="preserve">reduced sentence </w:t>
      </w:r>
      <w:r w:rsidR="00A0659A">
        <w:rPr>
          <w:rFonts w:asciiTheme="minorHAnsi" w:hAnsiTheme="minorHAnsi"/>
        </w:rPr>
        <w:t xml:space="preserve">if the offender, </w:t>
      </w:r>
      <w:r w:rsidR="00A0659A" w:rsidRPr="00EB7F1E">
        <w:rPr>
          <w:rFonts w:asciiTheme="minorHAnsi" w:hAnsiTheme="minorHAnsi"/>
        </w:rPr>
        <w:t>without reasonable excuse, does not cooperate in accordance with the undertaking and the Director is of the opinion that appealing is in the interests of the administration of justice.</w:t>
      </w:r>
      <w:r w:rsidRPr="00C00000">
        <w:rPr>
          <w:rFonts w:asciiTheme="minorHAnsi" w:hAnsiTheme="minorHAnsi"/>
        </w:rPr>
        <w:t xml:space="preserve"> </w:t>
      </w:r>
    </w:p>
    <w:p w14:paraId="29085ABB" w14:textId="77777777" w:rsidR="00A0659A" w:rsidRPr="00E845DE" w:rsidRDefault="00A0659A" w:rsidP="00E845DE">
      <w:pPr>
        <w:widowControl w:val="0"/>
        <w:shd w:val="clear" w:color="auto" w:fill="FFFFFF" w:themeFill="background1"/>
        <w:spacing w:line="276" w:lineRule="auto"/>
        <w:ind w:right="170"/>
        <w:rPr>
          <w:rFonts w:asciiTheme="minorHAnsi" w:hAnsiTheme="minorHAnsi"/>
        </w:rPr>
      </w:pPr>
    </w:p>
    <w:p w14:paraId="1D78F62E" w14:textId="401277CB" w:rsidR="00086933" w:rsidRPr="00C00000" w:rsidRDefault="006D0CF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the absence of an admission by the offender, th</w:t>
      </w:r>
      <w:r w:rsidR="00086933" w:rsidRPr="00C00000">
        <w:rPr>
          <w:rFonts w:asciiTheme="minorHAnsi" w:hAnsiTheme="minorHAnsi"/>
        </w:rPr>
        <w:t xml:space="preserve">e </w:t>
      </w:r>
      <w:r>
        <w:rPr>
          <w:rFonts w:asciiTheme="minorHAnsi" w:hAnsiTheme="minorHAnsi"/>
        </w:rPr>
        <w:t xml:space="preserve">CDPP must </w:t>
      </w:r>
      <w:r w:rsidR="00086933" w:rsidRPr="00C00000">
        <w:rPr>
          <w:rFonts w:asciiTheme="minorHAnsi" w:hAnsiTheme="minorHAnsi"/>
        </w:rPr>
        <w:t>prov</w:t>
      </w:r>
      <w:r>
        <w:rPr>
          <w:rFonts w:asciiTheme="minorHAnsi" w:hAnsiTheme="minorHAnsi"/>
        </w:rPr>
        <w:t>e</w:t>
      </w:r>
      <w:r w:rsidR="00086933" w:rsidRPr="00C00000">
        <w:rPr>
          <w:rFonts w:asciiTheme="minorHAnsi" w:hAnsiTheme="minorHAnsi"/>
        </w:rPr>
        <w:t xml:space="preserve"> beyond reasonable doubt that </w:t>
      </w:r>
      <w:r>
        <w:rPr>
          <w:rFonts w:asciiTheme="minorHAnsi" w:hAnsiTheme="minorHAnsi"/>
        </w:rPr>
        <w:t>the offender failed to fulfil the undertaking</w:t>
      </w:r>
      <w:r w:rsidRPr="00C00000">
        <w:rPr>
          <w:rStyle w:val="Style"/>
          <w:rFonts w:asciiTheme="minorHAnsi" w:hAnsiTheme="minorHAnsi"/>
        </w:rPr>
        <w:footnoteReference w:id="1051"/>
      </w:r>
      <w:r>
        <w:rPr>
          <w:rFonts w:asciiTheme="minorHAnsi" w:hAnsiTheme="minorHAnsi"/>
        </w:rPr>
        <w:t xml:space="preserve"> and that </w:t>
      </w:r>
      <w:r w:rsidR="00086933" w:rsidRPr="00C00000">
        <w:rPr>
          <w:rFonts w:asciiTheme="minorHAnsi" w:hAnsiTheme="minorHAnsi"/>
        </w:rPr>
        <w:t>the failure was without reasonable excuse.</w:t>
      </w:r>
      <w:r w:rsidR="00086933" w:rsidRPr="00C00000">
        <w:rPr>
          <w:rStyle w:val="Style"/>
          <w:rFonts w:asciiTheme="minorHAnsi" w:hAnsiTheme="minorHAnsi"/>
        </w:rPr>
        <w:footnoteReference w:id="1052"/>
      </w:r>
    </w:p>
    <w:p w14:paraId="44890A91" w14:textId="77777777" w:rsidR="00086933" w:rsidRPr="00C00000" w:rsidRDefault="00086933" w:rsidP="00086933">
      <w:pPr>
        <w:pStyle w:val="ListParagraph"/>
        <w:widowControl w:val="0"/>
        <w:shd w:val="clear" w:color="auto" w:fill="FFFFFF" w:themeFill="background1"/>
        <w:spacing w:line="276" w:lineRule="auto"/>
        <w:ind w:left="567" w:right="170" w:hanging="567"/>
        <w:rPr>
          <w:rFonts w:asciiTheme="minorHAnsi" w:hAnsiTheme="minorHAnsi"/>
        </w:rPr>
      </w:pPr>
    </w:p>
    <w:p w14:paraId="58673DEE" w14:textId="20232447" w:rsidR="00086933" w:rsidRPr="00C00000" w:rsidRDefault="0079756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Fear or apprehension</w:t>
      </w:r>
      <w:r w:rsidR="00086933" w:rsidRPr="00C00000">
        <w:rPr>
          <w:rFonts w:asciiTheme="minorHAnsi" w:hAnsiTheme="minorHAnsi"/>
        </w:rPr>
        <w:t xml:space="preserve"> about the consequences </w:t>
      </w:r>
      <w:r w:rsidR="00086933">
        <w:rPr>
          <w:rFonts w:asciiTheme="minorHAnsi" w:hAnsiTheme="minorHAnsi"/>
        </w:rPr>
        <w:t xml:space="preserve">(for the offender or perhaps for </w:t>
      </w:r>
      <w:r w:rsidR="00086933" w:rsidRPr="00C00000">
        <w:rPr>
          <w:rFonts w:asciiTheme="minorHAnsi" w:hAnsiTheme="minorHAnsi"/>
        </w:rPr>
        <w:t>others</w:t>
      </w:r>
      <w:r w:rsidR="00086933">
        <w:rPr>
          <w:rFonts w:asciiTheme="minorHAnsi" w:hAnsiTheme="minorHAnsi"/>
        </w:rPr>
        <w:t>)</w:t>
      </w:r>
      <w:r w:rsidR="00086933" w:rsidRPr="00C00000">
        <w:rPr>
          <w:rFonts w:asciiTheme="minorHAnsi" w:hAnsiTheme="minorHAnsi"/>
        </w:rPr>
        <w:t xml:space="preserve"> of giving evidence</w:t>
      </w:r>
      <w:r w:rsidR="00086933">
        <w:rPr>
          <w:rFonts w:asciiTheme="minorHAnsi" w:hAnsiTheme="minorHAnsi"/>
        </w:rPr>
        <w:t xml:space="preserve"> </w:t>
      </w:r>
      <w:r w:rsidR="00086933" w:rsidRPr="00C00000">
        <w:rPr>
          <w:rFonts w:asciiTheme="minorHAnsi" w:hAnsiTheme="minorHAnsi"/>
        </w:rPr>
        <w:t>cannot by itself be treated as a reasonable excuse.</w:t>
      </w:r>
      <w:r w:rsidR="00086933" w:rsidRPr="00C00000">
        <w:rPr>
          <w:rStyle w:val="Style"/>
          <w:rFonts w:asciiTheme="minorHAnsi" w:hAnsiTheme="minorHAnsi"/>
        </w:rPr>
        <w:footnoteReference w:id="1053"/>
      </w:r>
    </w:p>
    <w:p w14:paraId="0BBFCAD3" w14:textId="77777777" w:rsidR="00086933" w:rsidRPr="00C00000" w:rsidRDefault="00086933" w:rsidP="00086933">
      <w:pPr>
        <w:pStyle w:val="ListParagraph"/>
        <w:widowControl w:val="0"/>
        <w:shd w:val="clear" w:color="auto" w:fill="FFFFFF" w:themeFill="background1"/>
        <w:spacing w:line="276" w:lineRule="auto"/>
        <w:ind w:left="567" w:right="170" w:hanging="567"/>
        <w:rPr>
          <w:rFonts w:asciiTheme="minorHAnsi" w:hAnsiTheme="minorHAnsi"/>
        </w:rPr>
      </w:pPr>
    </w:p>
    <w:p w14:paraId="57D4C1B0" w14:textId="77777777" w:rsidR="00086933" w:rsidRDefault="0008693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the appeal </w:t>
      </w:r>
      <w:r w:rsidRPr="00C00000">
        <w:rPr>
          <w:rFonts w:asciiTheme="minorHAnsi" w:hAnsiTheme="minorHAnsi"/>
        </w:rPr>
        <w:t xml:space="preserve">court finds that </w:t>
      </w:r>
      <w:r>
        <w:rPr>
          <w:rFonts w:asciiTheme="minorHAnsi" w:hAnsiTheme="minorHAnsi"/>
        </w:rPr>
        <w:t>the offender has</w:t>
      </w:r>
      <w:r w:rsidRPr="00C00000">
        <w:rPr>
          <w:rFonts w:asciiTheme="minorHAnsi" w:hAnsiTheme="minorHAnsi"/>
        </w:rPr>
        <w:t xml:space="preserve">, without reasonable excuse, </w:t>
      </w:r>
      <w:r w:rsidRPr="00D208D8">
        <w:rPr>
          <w:rFonts w:asciiTheme="minorHAnsi" w:hAnsiTheme="minorHAnsi"/>
          <w:i/>
        </w:rPr>
        <w:t>entirely failed to cooperate in accordance with the undertaking</w:t>
      </w:r>
      <w:r>
        <w:rPr>
          <w:rFonts w:asciiTheme="minorHAnsi" w:hAnsiTheme="minorHAnsi"/>
        </w:rPr>
        <w:t xml:space="preserve">, the court </w:t>
      </w:r>
      <w:r w:rsidRPr="00D208D8">
        <w:rPr>
          <w:rFonts w:asciiTheme="minorHAnsi" w:hAnsiTheme="minorHAnsi"/>
        </w:rPr>
        <w:t>must substitute for the reduced sentence, reduced order or reduced non-parole period the sentence, order or non-parole period that would have been imposed, made or fixed but for that reduction</w:t>
      </w:r>
      <w:r>
        <w:rPr>
          <w:rFonts w:asciiTheme="minorHAnsi" w:hAnsiTheme="minorHAnsi"/>
        </w:rPr>
        <w:t xml:space="preserve"> (that is, the “but for” sentence) (s 16AC(4)(a)).</w:t>
      </w:r>
      <w:r w:rsidRPr="00965D18">
        <w:rPr>
          <w:rFonts w:asciiTheme="minorHAnsi" w:hAnsiTheme="minorHAnsi"/>
        </w:rPr>
        <w:t xml:space="preserve"> </w:t>
      </w:r>
      <w:r w:rsidRPr="00C00000">
        <w:rPr>
          <w:rFonts w:asciiTheme="minorHAnsi" w:hAnsiTheme="minorHAnsi"/>
        </w:rPr>
        <w:t>Section 16AC does not empower a court re-sentencing an offender, following a successful CDPP appeal, to consider the appropriateness of the original sentence.</w:t>
      </w:r>
      <w:r w:rsidRPr="00C00000">
        <w:rPr>
          <w:rStyle w:val="Style"/>
          <w:rFonts w:asciiTheme="minorHAnsi" w:hAnsiTheme="minorHAnsi"/>
        </w:rPr>
        <w:footnoteReference w:id="1054"/>
      </w:r>
    </w:p>
    <w:p w14:paraId="18177041" w14:textId="77777777" w:rsidR="00086933" w:rsidRPr="00D208D8" w:rsidRDefault="00086933" w:rsidP="00086933">
      <w:pPr>
        <w:pStyle w:val="ListParagraph"/>
        <w:rPr>
          <w:rFonts w:asciiTheme="minorHAnsi" w:hAnsiTheme="minorHAnsi"/>
        </w:rPr>
      </w:pPr>
    </w:p>
    <w:p w14:paraId="0113C761" w14:textId="77777777" w:rsidR="007B590C" w:rsidRDefault="00086933">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If the appeal </w:t>
      </w:r>
      <w:r w:rsidRPr="00C00000">
        <w:rPr>
          <w:rFonts w:asciiTheme="minorHAnsi" w:hAnsiTheme="minorHAnsi"/>
        </w:rPr>
        <w:t xml:space="preserve">court finds that </w:t>
      </w:r>
      <w:r>
        <w:rPr>
          <w:rFonts w:asciiTheme="minorHAnsi" w:hAnsiTheme="minorHAnsi"/>
        </w:rPr>
        <w:t>the offender has</w:t>
      </w:r>
      <w:r w:rsidRPr="00C00000">
        <w:rPr>
          <w:rFonts w:asciiTheme="minorHAnsi" w:hAnsiTheme="minorHAnsi"/>
        </w:rPr>
        <w:t xml:space="preserve">, without reasonable excuse, </w:t>
      </w:r>
      <w:r w:rsidRPr="00D208D8">
        <w:rPr>
          <w:rFonts w:asciiTheme="minorHAnsi" w:hAnsiTheme="minorHAnsi"/>
          <w:i/>
        </w:rPr>
        <w:t xml:space="preserve">failed </w:t>
      </w:r>
      <w:r>
        <w:rPr>
          <w:rFonts w:asciiTheme="minorHAnsi" w:hAnsiTheme="minorHAnsi"/>
          <w:i/>
        </w:rPr>
        <w:t xml:space="preserve">in part </w:t>
      </w:r>
      <w:r w:rsidRPr="00D208D8">
        <w:rPr>
          <w:rFonts w:asciiTheme="minorHAnsi" w:hAnsiTheme="minorHAnsi"/>
          <w:i/>
        </w:rPr>
        <w:t>to cooperate in accordance with the undertaking</w:t>
      </w:r>
      <w:r>
        <w:rPr>
          <w:rFonts w:asciiTheme="minorHAnsi" w:hAnsiTheme="minorHAnsi"/>
        </w:rPr>
        <w:t xml:space="preserve">, </w:t>
      </w:r>
      <w:r w:rsidRPr="00C00000">
        <w:rPr>
          <w:rFonts w:asciiTheme="minorHAnsi" w:hAnsiTheme="minorHAnsi"/>
        </w:rPr>
        <w:t xml:space="preserve">the court </w:t>
      </w:r>
      <w:r>
        <w:rPr>
          <w:rFonts w:asciiTheme="minorHAnsi" w:hAnsiTheme="minorHAnsi"/>
        </w:rPr>
        <w:t xml:space="preserve">may substitute any sentence, order or non-parole period (as the case may be) not exceeding in severity the “but for” sentence (s 16AC(4)(b)).  In other words, the court </w:t>
      </w:r>
      <w:r w:rsidRPr="00C00000">
        <w:rPr>
          <w:rFonts w:asciiTheme="minorHAnsi" w:hAnsiTheme="minorHAnsi"/>
        </w:rPr>
        <w:t xml:space="preserve">has a discretion as to the sentence to be </w:t>
      </w:r>
      <w:r>
        <w:rPr>
          <w:rFonts w:asciiTheme="minorHAnsi" w:hAnsiTheme="minorHAnsi"/>
        </w:rPr>
        <w:t xml:space="preserve">substituted, up to </w:t>
      </w:r>
      <w:r w:rsidRPr="00C00000">
        <w:rPr>
          <w:rFonts w:asciiTheme="minorHAnsi" w:hAnsiTheme="minorHAnsi"/>
        </w:rPr>
        <w:t>the sentence which the sentencing judge would have imposed but for the undertaking.</w:t>
      </w:r>
      <w:r w:rsidRPr="00C00000">
        <w:rPr>
          <w:rStyle w:val="Style"/>
          <w:rFonts w:asciiTheme="minorHAnsi" w:hAnsiTheme="minorHAnsi"/>
        </w:rPr>
        <w:footnoteReference w:id="1055"/>
      </w:r>
    </w:p>
    <w:p w14:paraId="777326A1" w14:textId="77777777" w:rsidR="007B590C" w:rsidRPr="00EB7F1E" w:rsidRDefault="007B590C" w:rsidP="00EB7F1E">
      <w:pPr>
        <w:pStyle w:val="ListParagraph"/>
        <w:rPr>
          <w:rFonts w:asciiTheme="minorHAnsi" w:hAnsiTheme="minorHAnsi"/>
        </w:rPr>
      </w:pPr>
    </w:p>
    <w:p w14:paraId="563A35FE" w14:textId="1C36F4BF" w:rsidR="00086933" w:rsidRDefault="007B590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by the time of the determination of the appeal, the offender has</w:t>
      </w:r>
      <w:r w:rsidR="00086933" w:rsidRPr="00C00000">
        <w:rPr>
          <w:rFonts w:asciiTheme="minorHAnsi" w:hAnsiTheme="minorHAnsi"/>
        </w:rPr>
        <w:t xml:space="preserve"> been released from custody</w:t>
      </w:r>
      <w:r w:rsidR="00086933">
        <w:rPr>
          <w:rFonts w:asciiTheme="minorHAnsi" w:hAnsiTheme="minorHAnsi"/>
        </w:rPr>
        <w:t>,</w:t>
      </w:r>
      <w:r w:rsidR="00086933" w:rsidRPr="00C00000">
        <w:rPr>
          <w:rFonts w:asciiTheme="minorHAnsi" w:hAnsiTheme="minorHAnsi"/>
        </w:rPr>
        <w:t xml:space="preserve"> the discretionary sentencing consideration that ordinarily applies to work against the re-imprisonment of the offender does not apply.</w:t>
      </w:r>
      <w:r w:rsidR="00086933" w:rsidRPr="00C00000">
        <w:rPr>
          <w:rStyle w:val="Style"/>
          <w:rFonts w:asciiTheme="minorHAnsi" w:hAnsiTheme="minorHAnsi"/>
        </w:rPr>
        <w:footnoteReference w:id="1056"/>
      </w:r>
      <w:r w:rsidR="00086933" w:rsidRPr="00C00000">
        <w:rPr>
          <w:rFonts w:asciiTheme="minorHAnsi" w:hAnsiTheme="minorHAnsi"/>
        </w:rPr>
        <w:t xml:space="preserve">  </w:t>
      </w:r>
    </w:p>
    <w:p w14:paraId="12363CF3" w14:textId="77777777" w:rsidR="00086933" w:rsidRPr="00D208D8" w:rsidRDefault="00086933" w:rsidP="00086933">
      <w:pPr>
        <w:pStyle w:val="ListParagraph"/>
        <w:rPr>
          <w:rFonts w:asciiTheme="minorHAnsi" w:hAnsiTheme="minorHAnsi"/>
        </w:rPr>
      </w:pPr>
    </w:p>
    <w:p w14:paraId="1CE7812D" w14:textId="65F9B048" w:rsidR="006057FF" w:rsidRPr="00EB7F1E" w:rsidRDefault="006057FF">
      <w:pPr>
        <w:pStyle w:val="Heading2"/>
        <w:rPr>
          <w:rStyle w:val="Strong"/>
          <w:b/>
          <w:bCs w:val="0"/>
        </w:rPr>
      </w:pPr>
      <w:bookmarkStart w:id="3016" w:name="_Ref495337739"/>
      <w:bookmarkStart w:id="3017" w:name="_Ref495337747"/>
      <w:bookmarkStart w:id="3018" w:name="_Toc33602953"/>
      <w:r w:rsidRPr="00EB7F1E">
        <w:rPr>
          <w:rStyle w:val="Strong"/>
          <w:b/>
          <w:bCs w:val="0"/>
        </w:rPr>
        <w:t>Specifying a discount for a guilty plea</w:t>
      </w:r>
      <w:bookmarkEnd w:id="2666"/>
      <w:bookmarkEnd w:id="2667"/>
      <w:bookmarkEnd w:id="3013"/>
      <w:bookmarkEnd w:id="3016"/>
      <w:bookmarkEnd w:id="3017"/>
      <w:bookmarkEnd w:id="3018"/>
    </w:p>
    <w:p w14:paraId="7853562A" w14:textId="3CE6FFED" w:rsidR="006057FF" w:rsidRPr="00C00000" w:rsidRDefault="006057FF" w:rsidP="008B3E81">
      <w:pPr>
        <w:pStyle w:val="NormalIndent"/>
        <w:keepNext/>
        <w:widowControl w:val="0"/>
        <w:spacing w:line="276" w:lineRule="auto"/>
        <w:ind w:left="720" w:right="170"/>
        <w:rPr>
          <w:rFonts w:asciiTheme="minorHAnsi" w:hAnsiTheme="minorHAnsi"/>
        </w:rPr>
      </w:pPr>
    </w:p>
    <w:p w14:paraId="1F201FEC" w14:textId="2C62B23B" w:rsidR="00E12E43" w:rsidRDefault="00E12E4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Although s 16A(2) requires that the fact of a plea of guilty be taken into account in sentencing, nothing in s 16A requires a sentencing court to quantify any reduction given in sentence for a plea of guilty.</w:t>
      </w:r>
      <w:r w:rsidRPr="00C00000">
        <w:rPr>
          <w:rStyle w:val="Style"/>
          <w:rFonts w:asciiTheme="minorHAnsi" w:hAnsiTheme="minorHAnsi"/>
        </w:rPr>
        <w:footnoteReference w:id="1057"/>
      </w:r>
      <w:r>
        <w:rPr>
          <w:rFonts w:asciiTheme="minorHAnsi" w:hAnsiTheme="minorHAnsi"/>
        </w:rPr>
        <w:t xml:space="preserve">  </w:t>
      </w:r>
    </w:p>
    <w:p w14:paraId="2B2FABC1" w14:textId="5A5DF63A" w:rsidR="00E12E43" w:rsidRDefault="00E12E43" w:rsidP="00E12E43">
      <w:pPr>
        <w:widowControl w:val="0"/>
        <w:spacing w:line="276" w:lineRule="auto"/>
        <w:ind w:right="170"/>
        <w:rPr>
          <w:rFonts w:asciiTheme="minorHAnsi" w:hAnsiTheme="minorHAnsi"/>
        </w:rPr>
      </w:pPr>
    </w:p>
    <w:p w14:paraId="61BBEC48" w14:textId="7F018DC4" w:rsidR="00337D1F" w:rsidRPr="00EB7F1E" w:rsidRDefault="00337D1F" w:rsidP="00EB7F1E">
      <w:pPr>
        <w:pStyle w:val="Heading3"/>
      </w:pPr>
      <w:bookmarkStart w:id="3019" w:name="_Ref11220400"/>
      <w:bookmarkStart w:id="3020" w:name="_Ref11220402"/>
      <w:bookmarkStart w:id="3021" w:name="_Toc33602954"/>
      <w:r w:rsidRPr="00EB7F1E">
        <w:t>Specifying the sentence reduction for a guilty plea, pursuant to State or Territory laws</w:t>
      </w:r>
      <w:bookmarkEnd w:id="3019"/>
      <w:bookmarkEnd w:id="3020"/>
      <w:bookmarkEnd w:id="3021"/>
    </w:p>
    <w:p w14:paraId="4D20B13A" w14:textId="77777777" w:rsidR="00337D1F" w:rsidRPr="00E12E43" w:rsidRDefault="00337D1F" w:rsidP="00EB7F1E">
      <w:pPr>
        <w:keepNext/>
        <w:spacing w:line="276" w:lineRule="auto"/>
        <w:ind w:right="170"/>
        <w:rPr>
          <w:rFonts w:asciiTheme="minorHAnsi" w:hAnsiTheme="minorHAnsi"/>
        </w:rPr>
      </w:pPr>
    </w:p>
    <w:p w14:paraId="448A4A18" w14:textId="4A368F74" w:rsidR="00AC36A9" w:rsidRDefault="000765C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laws of some jurisdictions require a court sentencing an offender to specify the extent to which a sentence has been reduced as a result of a plea of guilty.</w:t>
      </w:r>
      <w:r w:rsidR="00EB5D94">
        <w:rPr>
          <w:rFonts w:asciiTheme="minorHAnsi" w:hAnsiTheme="minorHAnsi"/>
        </w:rPr>
        <w:t xml:space="preserve">  </w:t>
      </w:r>
      <w:r w:rsidR="00775F97">
        <w:rPr>
          <w:rFonts w:asciiTheme="minorHAnsi" w:hAnsiTheme="minorHAnsi"/>
        </w:rPr>
        <w:t xml:space="preserve">These </w:t>
      </w:r>
      <w:r w:rsidR="00EB5D94">
        <w:rPr>
          <w:rFonts w:asciiTheme="minorHAnsi" w:hAnsiTheme="minorHAnsi"/>
        </w:rPr>
        <w:t>provisions operate as statutory exceptions to the general preference for an “instinctive synthesis” of relevant considerations, rather tha</w:t>
      </w:r>
      <w:r w:rsidR="00B17AAF">
        <w:rPr>
          <w:rFonts w:asciiTheme="minorHAnsi" w:hAnsiTheme="minorHAnsi"/>
        </w:rPr>
        <w:t>n</w:t>
      </w:r>
      <w:r w:rsidR="00EB5D94">
        <w:rPr>
          <w:rFonts w:asciiTheme="minorHAnsi" w:hAnsiTheme="minorHAnsi"/>
        </w:rPr>
        <w:t xml:space="preserve"> a two-tier or staged approach</w:t>
      </w:r>
      <w:r w:rsidR="00EE48A8">
        <w:rPr>
          <w:rFonts w:asciiTheme="minorHAnsi" w:hAnsiTheme="minorHAnsi"/>
        </w:rPr>
        <w:t xml:space="preserve"> to </w:t>
      </w:r>
      <w:r w:rsidR="00EB5D94">
        <w:rPr>
          <w:rFonts w:asciiTheme="minorHAnsi" w:hAnsiTheme="minorHAnsi"/>
        </w:rPr>
        <w:t xml:space="preserve">sentencing </w:t>
      </w:r>
      <w:r w:rsidR="00EE48A8">
        <w:rPr>
          <w:rFonts w:asciiTheme="minorHAnsi" w:hAnsiTheme="minorHAnsi"/>
        </w:rPr>
        <w:t>under which the weight given to individual factors is quantified</w:t>
      </w:r>
      <w:r w:rsidR="00775F97">
        <w:rPr>
          <w:rFonts w:asciiTheme="minorHAnsi" w:hAnsiTheme="minorHAnsi"/>
        </w:rPr>
        <w:t>.</w:t>
      </w:r>
      <w:r w:rsidR="00775F97" w:rsidRPr="00C00000">
        <w:rPr>
          <w:rStyle w:val="Style"/>
          <w:rFonts w:asciiTheme="minorHAnsi" w:hAnsiTheme="minorHAnsi"/>
        </w:rPr>
        <w:footnoteReference w:id="1058"/>
      </w:r>
    </w:p>
    <w:p w14:paraId="2A19E05A" w14:textId="77777777" w:rsidR="000765C7" w:rsidRPr="000765C7" w:rsidRDefault="000765C7" w:rsidP="000765C7">
      <w:pPr>
        <w:widowControl w:val="0"/>
        <w:spacing w:line="276" w:lineRule="auto"/>
        <w:ind w:right="170"/>
        <w:rPr>
          <w:rFonts w:asciiTheme="minorHAnsi" w:hAnsiTheme="minorHAnsi"/>
        </w:rPr>
      </w:pPr>
    </w:p>
    <w:p w14:paraId="342570DF" w14:textId="3FBD2B3D" w:rsidR="00EB6B5B" w:rsidRDefault="00D15965" w:rsidP="00901174">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application of these laws to the sentencing of federal offenders is discussed </w:t>
      </w:r>
      <w:r w:rsidR="00942CB9">
        <w:rPr>
          <w:rFonts w:asciiTheme="minorHAnsi" w:hAnsiTheme="minorHAnsi"/>
        </w:rPr>
        <w:t>above</w:t>
      </w:r>
      <w:r>
        <w:rPr>
          <w:rFonts w:asciiTheme="minorHAnsi" w:hAnsiTheme="minorHAnsi"/>
        </w:rPr>
        <w:t>: see “</w:t>
      </w:r>
      <w:r>
        <w:rPr>
          <w:rFonts w:asciiTheme="minorHAnsi" w:hAnsiTheme="minorHAnsi"/>
        </w:rPr>
        <w:fldChar w:fldCharType="begin"/>
      </w:r>
      <w:r>
        <w:rPr>
          <w:rFonts w:asciiTheme="minorHAnsi" w:hAnsiTheme="minorHAnsi"/>
        </w:rPr>
        <w:instrText xml:space="preserve"> REF _Ref504387378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3.3</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_Ref504387382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Where a two-stage approach is required by statute</w:t>
      </w:r>
      <w:r>
        <w:rPr>
          <w:rFonts w:asciiTheme="minorHAnsi" w:hAnsiTheme="minorHAnsi"/>
        </w:rPr>
        <w:fldChar w:fldCharType="end"/>
      </w:r>
      <w:r>
        <w:rPr>
          <w:rFonts w:asciiTheme="minorHAnsi" w:hAnsiTheme="minorHAnsi"/>
        </w:rPr>
        <w:t>”.</w:t>
      </w:r>
      <w:r w:rsidRPr="00A90FAE">
        <w:rPr>
          <w:rFonts w:asciiTheme="minorHAnsi" w:hAnsiTheme="minorHAnsi"/>
          <w:i/>
        </w:rPr>
        <w:t xml:space="preserve"> </w:t>
      </w:r>
      <w:r>
        <w:rPr>
          <w:rFonts w:asciiTheme="minorHAnsi" w:hAnsiTheme="minorHAnsi"/>
          <w:i/>
        </w:rPr>
        <w:t xml:space="preserve"> </w:t>
      </w:r>
      <w:r w:rsidR="00127DB0">
        <w:rPr>
          <w:rFonts w:asciiTheme="minorHAnsi" w:hAnsiTheme="minorHAnsi"/>
        </w:rPr>
        <w:t xml:space="preserve">The Western Australian Court of Appeal has held that the laws in that State relating to the discounting of sentences for guilty pleas (including the specification of the extent of any reduction given under those requirements) are, because of their prescriptive nature, inconsistent with the </w:t>
      </w:r>
      <w:r w:rsidR="00885EFD" w:rsidRPr="00885EFD">
        <w:rPr>
          <w:rFonts w:asciiTheme="minorHAnsi" w:hAnsiTheme="minorHAnsi"/>
          <w:i/>
        </w:rPr>
        <w:t>Crimes Act 1914</w:t>
      </w:r>
      <w:r w:rsidR="00127DB0">
        <w:rPr>
          <w:rFonts w:asciiTheme="minorHAnsi" w:hAnsiTheme="minorHAnsi"/>
        </w:rPr>
        <w:t xml:space="preserve"> (Cth) and therefore inapplicable to the sentencing of Commonwealth offenders.  The position regarding </w:t>
      </w:r>
      <w:r w:rsidR="004C0573">
        <w:rPr>
          <w:rFonts w:asciiTheme="minorHAnsi" w:hAnsiTheme="minorHAnsi"/>
        </w:rPr>
        <w:t xml:space="preserve">a </w:t>
      </w:r>
      <w:r w:rsidR="00127DB0">
        <w:rPr>
          <w:rFonts w:asciiTheme="minorHAnsi" w:hAnsiTheme="minorHAnsi"/>
        </w:rPr>
        <w:t>somewhat similar law in the ACT is uncertain.  However in Victoria, where more general and less prescriptive provision</w:t>
      </w:r>
      <w:r w:rsidR="00B43614">
        <w:rPr>
          <w:rFonts w:asciiTheme="minorHAnsi" w:hAnsiTheme="minorHAnsi"/>
        </w:rPr>
        <w:t>s relating to sentence reductions for guilty pleas</w:t>
      </w:r>
      <w:r w:rsidR="00127DB0">
        <w:rPr>
          <w:rFonts w:asciiTheme="minorHAnsi" w:hAnsiTheme="minorHAnsi"/>
        </w:rPr>
        <w:t xml:space="preserve"> appl</w:t>
      </w:r>
      <w:r w:rsidR="00B43614">
        <w:rPr>
          <w:rFonts w:asciiTheme="minorHAnsi" w:hAnsiTheme="minorHAnsi"/>
        </w:rPr>
        <w:t>y</w:t>
      </w:r>
      <w:r w:rsidR="00127DB0">
        <w:rPr>
          <w:rFonts w:asciiTheme="minorHAnsi" w:hAnsiTheme="minorHAnsi"/>
        </w:rPr>
        <w:t xml:space="preserve">, the Court of Appeal has proceeded on the assumption that </w:t>
      </w:r>
      <w:r w:rsidR="00B43614">
        <w:rPr>
          <w:rFonts w:asciiTheme="minorHAnsi" w:hAnsiTheme="minorHAnsi"/>
        </w:rPr>
        <w:t>the requirement under State</w:t>
      </w:r>
      <w:r w:rsidR="00127DB0">
        <w:rPr>
          <w:rFonts w:asciiTheme="minorHAnsi" w:hAnsiTheme="minorHAnsi"/>
        </w:rPr>
        <w:t xml:space="preserve"> </w:t>
      </w:r>
      <w:r w:rsidR="00B43614">
        <w:rPr>
          <w:rFonts w:asciiTheme="minorHAnsi" w:hAnsiTheme="minorHAnsi"/>
        </w:rPr>
        <w:t xml:space="preserve">law to specify the sentence that would have been imposed but for the guilty plea </w:t>
      </w:r>
      <w:r w:rsidR="00127DB0">
        <w:rPr>
          <w:rFonts w:asciiTheme="minorHAnsi" w:hAnsiTheme="minorHAnsi"/>
        </w:rPr>
        <w:t>does apply to the sentencing of a federal offender.</w:t>
      </w:r>
      <w:r w:rsidR="00127DB0" w:rsidRPr="00C00000">
        <w:rPr>
          <w:rStyle w:val="Style"/>
          <w:rFonts w:asciiTheme="minorHAnsi" w:hAnsiTheme="minorHAnsi"/>
        </w:rPr>
        <w:footnoteReference w:id="1059"/>
      </w:r>
    </w:p>
    <w:p w14:paraId="5728383D" w14:textId="77777777" w:rsidR="00EB6B5B" w:rsidRPr="00EB6B5B" w:rsidRDefault="00EB6B5B" w:rsidP="00EB6B5B">
      <w:pPr>
        <w:pStyle w:val="ListParagraph"/>
        <w:rPr>
          <w:rFonts w:asciiTheme="minorHAnsi" w:hAnsiTheme="minorHAnsi"/>
        </w:rPr>
      </w:pPr>
    </w:p>
    <w:p w14:paraId="17AF4FD9" w14:textId="44BCE891" w:rsidR="00E516EB" w:rsidRDefault="00F636F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requirements under the relevant laws </w:t>
      </w:r>
      <w:r w:rsidR="00127DB0">
        <w:rPr>
          <w:rFonts w:asciiTheme="minorHAnsi" w:hAnsiTheme="minorHAnsi"/>
        </w:rPr>
        <w:t>differ in their application</w:t>
      </w:r>
      <w:r w:rsidR="00B43614">
        <w:rPr>
          <w:rFonts w:asciiTheme="minorHAnsi" w:hAnsiTheme="minorHAnsi"/>
        </w:rPr>
        <w:t xml:space="preserve"> and the precise requirements</w:t>
      </w:r>
      <w:r>
        <w:rPr>
          <w:rFonts w:asciiTheme="minorHAnsi" w:hAnsiTheme="minorHAnsi"/>
        </w:rPr>
        <w:t>.  The ACT provision</w:t>
      </w:r>
      <w:r w:rsidR="00F66EDB">
        <w:rPr>
          <w:rFonts w:asciiTheme="minorHAnsi" w:hAnsiTheme="minorHAnsi"/>
        </w:rPr>
        <w:t>s</w:t>
      </w:r>
      <w:r>
        <w:rPr>
          <w:rFonts w:asciiTheme="minorHAnsi" w:hAnsiTheme="minorHAnsi"/>
        </w:rPr>
        <w:t xml:space="preserve"> </w:t>
      </w:r>
      <w:r w:rsidR="00F66EDB">
        <w:rPr>
          <w:rFonts w:asciiTheme="minorHAnsi" w:hAnsiTheme="minorHAnsi"/>
        </w:rPr>
        <w:t>(</w:t>
      </w:r>
      <w:r w:rsidR="00F66EDB" w:rsidRPr="00E45C13">
        <w:rPr>
          <w:rFonts w:asciiTheme="minorHAnsi" w:hAnsiTheme="minorHAnsi"/>
          <w:i/>
        </w:rPr>
        <w:t>Crimes (Sentencing) Act 2005</w:t>
      </w:r>
      <w:r w:rsidR="00F66EDB">
        <w:rPr>
          <w:rFonts w:asciiTheme="minorHAnsi" w:hAnsiTheme="minorHAnsi"/>
        </w:rPr>
        <w:t xml:space="preserve"> (ACT), ss 35 and 37) </w:t>
      </w:r>
      <w:r>
        <w:rPr>
          <w:rFonts w:asciiTheme="minorHAnsi" w:hAnsiTheme="minorHAnsi"/>
        </w:rPr>
        <w:t>appl</w:t>
      </w:r>
      <w:r w:rsidR="00F66EDB">
        <w:rPr>
          <w:rFonts w:asciiTheme="minorHAnsi" w:hAnsiTheme="minorHAnsi"/>
        </w:rPr>
        <w:t>y</w:t>
      </w:r>
      <w:r>
        <w:rPr>
          <w:rFonts w:asciiTheme="minorHAnsi" w:hAnsiTheme="minorHAnsi"/>
        </w:rPr>
        <w:t xml:space="preserve"> only if, “</w:t>
      </w:r>
      <w:r w:rsidRPr="00F636F0">
        <w:rPr>
          <w:rFonts w:asciiTheme="minorHAnsi" w:hAnsiTheme="minorHAnsi"/>
          <w:i/>
        </w:rPr>
        <w:t>based on the information currently available to the court, the court considers that there is a real likelihood that it will sentence the offender to imprisonment</w:t>
      </w:r>
      <w:r w:rsidRPr="00F636F0">
        <w:rPr>
          <w:rFonts w:asciiTheme="minorHAnsi" w:hAnsiTheme="minorHAnsi"/>
        </w:rPr>
        <w:t>”.</w:t>
      </w:r>
      <w:r w:rsidRPr="00C00000">
        <w:rPr>
          <w:rStyle w:val="Style"/>
          <w:rFonts w:asciiTheme="minorHAnsi" w:hAnsiTheme="minorHAnsi"/>
        </w:rPr>
        <w:footnoteReference w:id="1060"/>
      </w:r>
      <w:r w:rsidRPr="00F636F0">
        <w:rPr>
          <w:rFonts w:asciiTheme="minorHAnsi" w:hAnsiTheme="minorHAnsi"/>
        </w:rPr>
        <w:t xml:space="preserve">  </w:t>
      </w:r>
      <w:r w:rsidR="00E516EB">
        <w:rPr>
          <w:rFonts w:asciiTheme="minorHAnsi" w:hAnsiTheme="minorHAnsi"/>
        </w:rPr>
        <w:t xml:space="preserve">If the court imposes a lesser penalty under s 35, it must state </w:t>
      </w:r>
      <w:r w:rsidR="00E516EB" w:rsidRPr="00E45C13">
        <w:rPr>
          <w:rFonts w:asciiTheme="minorHAnsi" w:hAnsiTheme="minorHAnsi"/>
        </w:rPr>
        <w:t>the penalty (including any shorter nonparole period) it would otherwise have imposed</w:t>
      </w:r>
      <w:r w:rsidR="00E516EB">
        <w:rPr>
          <w:rFonts w:asciiTheme="minorHAnsi" w:hAnsiTheme="minorHAnsi"/>
        </w:rPr>
        <w:t>.</w:t>
      </w:r>
      <w:r w:rsidR="00E516EB" w:rsidRPr="00C00000">
        <w:rPr>
          <w:rStyle w:val="Style"/>
          <w:rFonts w:asciiTheme="minorHAnsi" w:hAnsiTheme="minorHAnsi"/>
        </w:rPr>
        <w:footnoteReference w:id="1061"/>
      </w:r>
    </w:p>
    <w:p w14:paraId="1A0D17F7" w14:textId="77777777" w:rsidR="00E516EB" w:rsidRPr="00E516EB" w:rsidRDefault="00E516EB" w:rsidP="00E516EB">
      <w:pPr>
        <w:pStyle w:val="ListParagraph"/>
        <w:rPr>
          <w:rFonts w:asciiTheme="minorHAnsi" w:hAnsiTheme="minorHAnsi"/>
        </w:rPr>
      </w:pPr>
    </w:p>
    <w:p w14:paraId="51DC9001" w14:textId="6EC1B8F6" w:rsidR="00F636F0" w:rsidRDefault="00FA1E3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Under the </w:t>
      </w:r>
      <w:r w:rsidR="00F636F0" w:rsidRPr="00F636F0">
        <w:rPr>
          <w:rFonts w:asciiTheme="minorHAnsi" w:hAnsiTheme="minorHAnsi"/>
        </w:rPr>
        <w:t>Victorian provision</w:t>
      </w:r>
      <w:r w:rsidR="00B43614">
        <w:rPr>
          <w:rFonts w:asciiTheme="minorHAnsi" w:hAnsiTheme="minorHAnsi"/>
        </w:rPr>
        <w:t xml:space="preserve"> (</w:t>
      </w:r>
      <w:r w:rsidR="00B43614" w:rsidRPr="009657B3">
        <w:rPr>
          <w:rFonts w:asciiTheme="minorHAnsi" w:hAnsiTheme="minorHAnsi"/>
          <w:i/>
        </w:rPr>
        <w:t>Sentencing Act 1991</w:t>
      </w:r>
      <w:r w:rsidR="00B43614">
        <w:rPr>
          <w:rFonts w:asciiTheme="minorHAnsi" w:hAnsiTheme="minorHAnsi"/>
        </w:rPr>
        <w:t xml:space="preserve"> (Vic),</w:t>
      </w:r>
      <w:r w:rsidR="00B43614" w:rsidRPr="00B43614">
        <w:rPr>
          <w:rFonts w:asciiTheme="minorHAnsi" w:hAnsiTheme="minorHAnsi"/>
        </w:rPr>
        <w:t xml:space="preserve"> </w:t>
      </w:r>
      <w:r w:rsidR="00B43614" w:rsidRPr="00C00000">
        <w:rPr>
          <w:rFonts w:asciiTheme="minorHAnsi" w:hAnsiTheme="minorHAnsi"/>
        </w:rPr>
        <w:t>s 6AAA</w:t>
      </w:r>
      <w:r w:rsidR="00B43614">
        <w:rPr>
          <w:rFonts w:asciiTheme="minorHAnsi" w:hAnsiTheme="minorHAnsi"/>
        </w:rPr>
        <w:t>)</w:t>
      </w:r>
      <w:r>
        <w:rPr>
          <w:rFonts w:asciiTheme="minorHAnsi" w:hAnsiTheme="minorHAnsi"/>
        </w:rPr>
        <w:t>,</w:t>
      </w:r>
      <w:r w:rsidR="00F636F0" w:rsidRPr="00F636F0">
        <w:rPr>
          <w:rFonts w:asciiTheme="minorHAnsi" w:hAnsiTheme="minorHAnsi"/>
        </w:rPr>
        <w:t xml:space="preserve"> if </w:t>
      </w:r>
      <w:r w:rsidR="00B54029" w:rsidRPr="00B54029">
        <w:rPr>
          <w:rFonts w:asciiTheme="minorHAnsi" w:hAnsiTheme="minorHAnsi"/>
        </w:rPr>
        <w:t xml:space="preserve">a court imposes a less severe sentence than it would otherwise have imposed because the </w:t>
      </w:r>
      <w:hyperlink r:id="rId31" w:anchor="offender" w:history="1">
        <w:r w:rsidR="00B54029" w:rsidRPr="00B54029">
          <w:rPr>
            <w:rFonts w:asciiTheme="minorHAnsi" w:hAnsiTheme="minorHAnsi"/>
          </w:rPr>
          <w:t>offender</w:t>
        </w:r>
      </w:hyperlink>
      <w:r w:rsidR="00B54029" w:rsidRPr="00B54029">
        <w:rPr>
          <w:rFonts w:asciiTheme="minorHAnsi" w:hAnsiTheme="minorHAnsi"/>
        </w:rPr>
        <w:t xml:space="preserve"> pleaded guilty to the offence</w:t>
      </w:r>
      <w:r w:rsidR="00B54029">
        <w:rPr>
          <w:rFonts w:asciiTheme="minorHAnsi" w:hAnsiTheme="minorHAnsi"/>
        </w:rPr>
        <w:t xml:space="preserve">, and the sentence is </w:t>
      </w:r>
      <w:r w:rsidR="00B43614">
        <w:rPr>
          <w:rFonts w:asciiTheme="minorHAnsi" w:hAnsiTheme="minorHAnsi"/>
        </w:rPr>
        <w:t xml:space="preserve">either </w:t>
      </w:r>
      <w:r w:rsidR="00B54029">
        <w:rPr>
          <w:rFonts w:asciiTheme="minorHAnsi" w:hAnsiTheme="minorHAnsi"/>
        </w:rPr>
        <w:t xml:space="preserve">a sentence of imprisonment or other custodial order, </w:t>
      </w:r>
      <w:r w:rsidR="00B43614">
        <w:rPr>
          <w:rFonts w:asciiTheme="minorHAnsi" w:hAnsiTheme="minorHAnsi"/>
        </w:rPr>
        <w:t xml:space="preserve">or </w:t>
      </w:r>
      <w:r w:rsidR="00B54029">
        <w:rPr>
          <w:rFonts w:asciiTheme="minorHAnsi" w:hAnsiTheme="minorHAnsi"/>
        </w:rPr>
        <w:t xml:space="preserve">a community correction order for two years or more, </w:t>
      </w:r>
      <w:r w:rsidR="00B43614">
        <w:rPr>
          <w:rFonts w:asciiTheme="minorHAnsi" w:hAnsiTheme="minorHAnsi"/>
        </w:rPr>
        <w:t xml:space="preserve">or </w:t>
      </w:r>
      <w:r w:rsidR="00B54029">
        <w:rPr>
          <w:rFonts w:asciiTheme="minorHAnsi" w:hAnsiTheme="minorHAnsi"/>
        </w:rPr>
        <w:t>a fine exceeding 10 penalty units, or an aggregate fine exceeding 20 penalty units</w:t>
      </w:r>
      <w:r>
        <w:rPr>
          <w:rFonts w:asciiTheme="minorHAnsi" w:hAnsiTheme="minorHAnsi"/>
        </w:rPr>
        <w:t xml:space="preserve">, </w:t>
      </w:r>
      <w:r w:rsidRPr="00FA1E34">
        <w:rPr>
          <w:rFonts w:asciiTheme="minorHAnsi" w:hAnsiTheme="minorHAnsi"/>
        </w:rPr>
        <w:t>the court must state the sentence and the non</w:t>
      </w:r>
      <w:r w:rsidRPr="00FA1E34">
        <w:rPr>
          <w:rFonts w:asciiTheme="minorHAnsi" w:hAnsiTheme="minorHAnsi"/>
        </w:rPr>
        <w:noBreakHyphen/>
        <w:t>parole period, if any, that it would have imposed but for the plea of guilty.</w:t>
      </w:r>
      <w:r w:rsidRPr="00C00000">
        <w:rPr>
          <w:rStyle w:val="Style"/>
          <w:rFonts w:asciiTheme="minorHAnsi" w:hAnsiTheme="minorHAnsi"/>
        </w:rPr>
        <w:footnoteReference w:id="1062"/>
      </w:r>
      <w:r>
        <w:rPr>
          <w:rFonts w:asciiTheme="minorHAnsi" w:hAnsiTheme="minorHAnsi"/>
        </w:rPr>
        <w:t xml:space="preserve">  If the offender is sentenced for more than one offence</w:t>
      </w:r>
      <w:r w:rsidR="0095717B">
        <w:rPr>
          <w:rFonts w:asciiTheme="minorHAnsi" w:hAnsiTheme="minorHAnsi"/>
        </w:rPr>
        <w:t>, the court must state the total effective sentence and non-parole period (if any) it would have imposed, and need not state the sentence in respect of each offence.</w:t>
      </w:r>
      <w:r w:rsidR="0095717B" w:rsidRPr="00C00000">
        <w:rPr>
          <w:rStyle w:val="Style"/>
          <w:rFonts w:asciiTheme="minorHAnsi" w:hAnsiTheme="minorHAnsi"/>
        </w:rPr>
        <w:footnoteReference w:id="1063"/>
      </w:r>
    </w:p>
    <w:p w14:paraId="5DFC923D" w14:textId="77777777" w:rsidR="009E2523" w:rsidRPr="009E2523" w:rsidRDefault="009E2523" w:rsidP="009E2523">
      <w:pPr>
        <w:pStyle w:val="ListParagraph"/>
        <w:rPr>
          <w:rFonts w:asciiTheme="minorHAnsi" w:hAnsiTheme="minorHAnsi"/>
        </w:rPr>
      </w:pPr>
    </w:p>
    <w:p w14:paraId="1B84D366" w14:textId="5DE9FC05" w:rsidR="009E2523" w:rsidRDefault="009E252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Failure to comply with a requirement to specify the sentence that would have been imposed but for the guilty plea does not invalidate the sentence.</w:t>
      </w:r>
      <w:r w:rsidRPr="00C00000">
        <w:rPr>
          <w:rStyle w:val="Style"/>
          <w:rFonts w:asciiTheme="minorHAnsi" w:hAnsiTheme="minorHAnsi"/>
        </w:rPr>
        <w:footnoteReference w:id="1064"/>
      </w:r>
    </w:p>
    <w:p w14:paraId="66FF1F1E" w14:textId="77777777" w:rsidR="00407CA7" w:rsidRPr="00407CA7" w:rsidRDefault="00407CA7" w:rsidP="00407CA7">
      <w:pPr>
        <w:pStyle w:val="ListParagraph"/>
        <w:rPr>
          <w:rFonts w:asciiTheme="minorHAnsi" w:hAnsiTheme="minorHAnsi"/>
        </w:rPr>
      </w:pPr>
    </w:p>
    <w:p w14:paraId="44029F89" w14:textId="38DE5299" w:rsidR="00960813" w:rsidRDefault="0096081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wrong </w:t>
      </w:r>
      <w:r w:rsidRPr="00624722">
        <w:rPr>
          <w:rFonts w:asciiTheme="minorHAnsi" w:hAnsiTheme="minorHAnsi"/>
        </w:rPr>
        <w:t xml:space="preserve">in principle to </w:t>
      </w:r>
      <w:r>
        <w:rPr>
          <w:rFonts w:asciiTheme="minorHAnsi" w:hAnsiTheme="minorHAnsi"/>
        </w:rPr>
        <w:t>use</w:t>
      </w:r>
      <w:r w:rsidRPr="00624722">
        <w:rPr>
          <w:rFonts w:asciiTheme="minorHAnsi" w:hAnsiTheme="minorHAnsi"/>
        </w:rPr>
        <w:t xml:space="preserve"> a statement </w:t>
      </w:r>
      <w:r w:rsidR="00A964CB">
        <w:rPr>
          <w:rFonts w:asciiTheme="minorHAnsi" w:hAnsiTheme="minorHAnsi"/>
        </w:rPr>
        <w:t xml:space="preserve">of the “but for” sentence </w:t>
      </w:r>
      <w:r w:rsidRPr="00624722">
        <w:rPr>
          <w:rFonts w:asciiTheme="minorHAnsi" w:hAnsiTheme="minorHAnsi"/>
        </w:rPr>
        <w:t>in relation to a co-offender as some kind of benchmark</w:t>
      </w:r>
      <w:r>
        <w:rPr>
          <w:rFonts w:asciiTheme="minorHAnsi" w:hAnsiTheme="minorHAnsi"/>
        </w:rPr>
        <w:t xml:space="preserve"> in sentencing a </w:t>
      </w:r>
      <w:r w:rsidRPr="00624722">
        <w:rPr>
          <w:rFonts w:asciiTheme="minorHAnsi" w:hAnsiTheme="minorHAnsi"/>
        </w:rPr>
        <w:t>co-offender</w:t>
      </w:r>
      <w:r>
        <w:rPr>
          <w:rFonts w:asciiTheme="minorHAnsi" w:hAnsiTheme="minorHAnsi"/>
        </w:rPr>
        <w:t xml:space="preserve"> who has </w:t>
      </w:r>
      <w:r w:rsidR="00A964CB">
        <w:rPr>
          <w:rFonts w:asciiTheme="minorHAnsi" w:hAnsiTheme="minorHAnsi"/>
        </w:rPr>
        <w:t xml:space="preserve">been convicted after pleading </w:t>
      </w:r>
      <w:r>
        <w:rPr>
          <w:rFonts w:asciiTheme="minorHAnsi" w:hAnsiTheme="minorHAnsi"/>
        </w:rPr>
        <w:t>not guilty.</w:t>
      </w:r>
      <w:r w:rsidRPr="00C00000">
        <w:rPr>
          <w:rStyle w:val="Style"/>
          <w:rFonts w:asciiTheme="minorHAnsi" w:hAnsiTheme="minorHAnsi"/>
        </w:rPr>
        <w:footnoteReference w:id="1065"/>
      </w:r>
    </w:p>
    <w:p w14:paraId="33AF1A32" w14:textId="77777777" w:rsidR="00960813" w:rsidRPr="00E418EE" w:rsidRDefault="00960813" w:rsidP="00960813">
      <w:pPr>
        <w:pStyle w:val="ListParagraph"/>
        <w:rPr>
          <w:rFonts w:asciiTheme="minorHAnsi" w:hAnsiTheme="minorHAnsi"/>
        </w:rPr>
      </w:pPr>
    </w:p>
    <w:p w14:paraId="3CCC1311" w14:textId="0B27587A" w:rsidR="00624722" w:rsidRDefault="00E774E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w:t>
      </w:r>
      <w:r w:rsidR="009657B3">
        <w:rPr>
          <w:rFonts w:asciiTheme="minorHAnsi" w:hAnsiTheme="minorHAnsi"/>
        </w:rPr>
        <w:t xml:space="preserve">statement </w:t>
      </w:r>
      <w:r w:rsidR="006057FF" w:rsidRPr="00C00000">
        <w:rPr>
          <w:rFonts w:asciiTheme="minorHAnsi" w:hAnsiTheme="minorHAnsi"/>
        </w:rPr>
        <w:t xml:space="preserve">under s 6AAA </w:t>
      </w:r>
      <w:r w:rsidR="009657B3">
        <w:rPr>
          <w:rFonts w:asciiTheme="minorHAnsi" w:hAnsiTheme="minorHAnsi"/>
        </w:rPr>
        <w:t xml:space="preserve">of the </w:t>
      </w:r>
      <w:r w:rsidR="009657B3" w:rsidRPr="009657B3">
        <w:rPr>
          <w:rFonts w:asciiTheme="minorHAnsi" w:hAnsiTheme="minorHAnsi"/>
          <w:i/>
        </w:rPr>
        <w:t>Sentencing Act 1991</w:t>
      </w:r>
      <w:r w:rsidR="009657B3">
        <w:rPr>
          <w:rFonts w:asciiTheme="minorHAnsi" w:hAnsiTheme="minorHAnsi"/>
        </w:rPr>
        <w:t xml:space="preserve"> (Vic) is </w:t>
      </w:r>
      <w:r w:rsidR="00F0388B">
        <w:rPr>
          <w:rFonts w:asciiTheme="minorHAnsi" w:hAnsiTheme="minorHAnsi"/>
        </w:rPr>
        <w:t>a “notional sentence” only</w:t>
      </w:r>
      <w:r w:rsidR="00CF2347">
        <w:rPr>
          <w:rFonts w:asciiTheme="minorHAnsi" w:hAnsiTheme="minorHAnsi"/>
        </w:rPr>
        <w:t>; it is not itself appellable</w:t>
      </w:r>
      <w:r w:rsidR="009657B3" w:rsidRPr="009657B3">
        <w:rPr>
          <w:rFonts w:asciiTheme="minorHAnsi" w:hAnsiTheme="minorHAnsi"/>
        </w:rPr>
        <w:t>.</w:t>
      </w:r>
      <w:r w:rsidR="007923B4" w:rsidRPr="00C00000">
        <w:rPr>
          <w:rStyle w:val="Style"/>
          <w:rFonts w:asciiTheme="minorHAnsi" w:hAnsiTheme="minorHAnsi"/>
        </w:rPr>
        <w:footnoteReference w:id="1066"/>
      </w:r>
      <w:r w:rsidR="009657B3" w:rsidRPr="009657B3">
        <w:rPr>
          <w:rFonts w:asciiTheme="minorHAnsi" w:hAnsiTheme="minorHAnsi"/>
        </w:rPr>
        <w:t xml:space="preserve"> </w:t>
      </w:r>
      <w:r w:rsidR="000D2DBF">
        <w:rPr>
          <w:rFonts w:asciiTheme="minorHAnsi" w:hAnsiTheme="minorHAnsi"/>
        </w:rPr>
        <w:t xml:space="preserve"> </w:t>
      </w:r>
      <w:r w:rsidR="00CF2347">
        <w:rPr>
          <w:rFonts w:asciiTheme="minorHAnsi" w:hAnsiTheme="minorHAnsi"/>
        </w:rPr>
        <w:t>T</w:t>
      </w:r>
      <w:r w:rsidR="00E418EE">
        <w:rPr>
          <w:rFonts w:asciiTheme="minorHAnsi" w:hAnsiTheme="minorHAnsi"/>
        </w:rPr>
        <w:t>he</w:t>
      </w:r>
      <w:r w:rsidR="000D2DBF" w:rsidRPr="00F0388B">
        <w:rPr>
          <w:rFonts w:asciiTheme="minorHAnsi" w:hAnsiTheme="minorHAnsi"/>
        </w:rPr>
        <w:t xml:space="preserve"> difference between the notional sentence and the actual sentence </w:t>
      </w:r>
      <w:r w:rsidR="00CF2347">
        <w:rPr>
          <w:rFonts w:asciiTheme="minorHAnsi" w:hAnsiTheme="minorHAnsi"/>
        </w:rPr>
        <w:t xml:space="preserve">is not </w:t>
      </w:r>
      <w:r w:rsidR="000D2DBF" w:rsidRPr="00F0388B">
        <w:rPr>
          <w:rFonts w:asciiTheme="minorHAnsi" w:hAnsiTheme="minorHAnsi"/>
        </w:rPr>
        <w:t>examinable for specific error</w:t>
      </w:r>
      <w:r w:rsidR="00CF2347">
        <w:rPr>
          <w:rFonts w:asciiTheme="minorHAnsi" w:hAnsiTheme="minorHAnsi"/>
        </w:rPr>
        <w:t>,</w:t>
      </w:r>
      <w:r w:rsidR="000D2DBF" w:rsidRPr="00C00000">
        <w:rPr>
          <w:rStyle w:val="Style"/>
          <w:rFonts w:asciiTheme="minorHAnsi" w:hAnsiTheme="minorHAnsi"/>
        </w:rPr>
        <w:footnoteReference w:id="1067"/>
      </w:r>
      <w:r w:rsidR="000D2DBF">
        <w:rPr>
          <w:rFonts w:asciiTheme="minorHAnsi" w:hAnsiTheme="minorHAnsi"/>
        </w:rPr>
        <w:t xml:space="preserve"> </w:t>
      </w:r>
      <w:r w:rsidR="00F66EDB">
        <w:rPr>
          <w:rFonts w:asciiTheme="minorHAnsi" w:hAnsiTheme="minorHAnsi"/>
        </w:rPr>
        <w:t xml:space="preserve">except possibly </w:t>
      </w:r>
      <w:r w:rsidR="00407CA7">
        <w:rPr>
          <w:rFonts w:asciiTheme="minorHAnsi" w:hAnsiTheme="minorHAnsi"/>
        </w:rPr>
        <w:t xml:space="preserve">in the rare case </w:t>
      </w:r>
      <w:r w:rsidR="00F66EDB">
        <w:rPr>
          <w:rFonts w:asciiTheme="minorHAnsi" w:hAnsiTheme="minorHAnsi"/>
        </w:rPr>
        <w:t>where it reveals an error in principle</w:t>
      </w:r>
      <w:r w:rsidR="00CF2347">
        <w:rPr>
          <w:rFonts w:asciiTheme="minorHAnsi" w:hAnsiTheme="minorHAnsi"/>
        </w:rPr>
        <w:t>.</w:t>
      </w:r>
      <w:r w:rsidR="00407CA7" w:rsidRPr="00C00000">
        <w:rPr>
          <w:rStyle w:val="Style"/>
          <w:rFonts w:asciiTheme="minorHAnsi" w:hAnsiTheme="minorHAnsi"/>
        </w:rPr>
        <w:footnoteReference w:id="1068"/>
      </w:r>
      <w:r w:rsidR="00407CA7">
        <w:rPr>
          <w:rFonts w:asciiTheme="minorHAnsi" w:hAnsiTheme="minorHAnsi"/>
        </w:rPr>
        <w:t xml:space="preserve">  </w:t>
      </w:r>
      <w:r w:rsidR="00CF2347">
        <w:rPr>
          <w:rFonts w:asciiTheme="minorHAnsi" w:hAnsiTheme="minorHAnsi"/>
        </w:rPr>
        <w:t>The notional sentence may be relied upon in support of a contention that a sentence is manifestly inadequate or manifestly excessive</w:t>
      </w:r>
      <w:r w:rsidR="006908FF">
        <w:rPr>
          <w:rFonts w:asciiTheme="minorHAnsi" w:hAnsiTheme="minorHAnsi"/>
        </w:rPr>
        <w:t>;</w:t>
      </w:r>
      <w:r w:rsidR="00FA7DD2">
        <w:rPr>
          <w:rFonts w:asciiTheme="minorHAnsi" w:hAnsiTheme="minorHAnsi"/>
        </w:rPr>
        <w:t xml:space="preserve"> but </w:t>
      </w:r>
      <w:r w:rsidR="006908FF">
        <w:rPr>
          <w:rFonts w:asciiTheme="minorHAnsi" w:hAnsiTheme="minorHAnsi"/>
        </w:rPr>
        <w:t xml:space="preserve">it </w:t>
      </w:r>
      <w:r w:rsidR="00FA7DD2">
        <w:rPr>
          <w:rFonts w:asciiTheme="minorHAnsi" w:hAnsiTheme="minorHAnsi"/>
        </w:rPr>
        <w:t>can never be conclusive of the issue</w:t>
      </w:r>
      <w:r w:rsidR="006908FF">
        <w:rPr>
          <w:rFonts w:asciiTheme="minorHAnsi" w:hAnsiTheme="minorHAnsi"/>
        </w:rPr>
        <w:t xml:space="preserve">, since </w:t>
      </w:r>
      <w:r w:rsidR="00CF2347">
        <w:rPr>
          <w:rFonts w:asciiTheme="minorHAnsi" w:hAnsiTheme="minorHAnsi"/>
        </w:rPr>
        <w:t>a</w:t>
      </w:r>
      <w:r w:rsidR="00CF2347" w:rsidRPr="009657B3">
        <w:rPr>
          <w:rFonts w:asciiTheme="minorHAnsi" w:hAnsiTheme="minorHAnsi"/>
        </w:rPr>
        <w:t xml:space="preserve"> complaint of manifest excess </w:t>
      </w:r>
      <w:r w:rsidR="00CF2347">
        <w:rPr>
          <w:rFonts w:asciiTheme="minorHAnsi" w:hAnsiTheme="minorHAnsi"/>
        </w:rPr>
        <w:t xml:space="preserve">or manifest inadequacy </w:t>
      </w:r>
      <w:r w:rsidR="00CF2347" w:rsidRPr="009657B3">
        <w:rPr>
          <w:rFonts w:asciiTheme="minorHAnsi" w:hAnsiTheme="minorHAnsi"/>
        </w:rPr>
        <w:t xml:space="preserve">falls to be considered </w:t>
      </w:r>
      <w:r w:rsidR="00CF2347">
        <w:rPr>
          <w:rFonts w:asciiTheme="minorHAnsi" w:hAnsiTheme="minorHAnsi"/>
        </w:rPr>
        <w:t xml:space="preserve">only </w:t>
      </w:r>
      <w:r w:rsidR="00CF2347" w:rsidRPr="009657B3">
        <w:rPr>
          <w:rFonts w:asciiTheme="minorHAnsi" w:hAnsiTheme="minorHAnsi"/>
        </w:rPr>
        <w:t>in relation to the sentence actually imposed</w:t>
      </w:r>
      <w:r w:rsidR="00FA7DD2">
        <w:rPr>
          <w:rFonts w:asciiTheme="minorHAnsi" w:hAnsiTheme="minorHAnsi"/>
        </w:rPr>
        <w:t>.</w:t>
      </w:r>
      <w:r w:rsidR="00EE5A32" w:rsidRPr="00C00000">
        <w:rPr>
          <w:rStyle w:val="Style"/>
          <w:rFonts w:asciiTheme="minorHAnsi" w:hAnsiTheme="minorHAnsi"/>
        </w:rPr>
        <w:footnoteReference w:id="1069"/>
      </w:r>
    </w:p>
    <w:p w14:paraId="5210D1E3" w14:textId="77777777" w:rsidR="00624722" w:rsidRPr="00624722" w:rsidRDefault="00624722" w:rsidP="00624722">
      <w:pPr>
        <w:pStyle w:val="ListParagraph"/>
        <w:rPr>
          <w:rFonts w:asciiTheme="minorHAnsi" w:hAnsiTheme="minorHAnsi"/>
        </w:rPr>
      </w:pPr>
    </w:p>
    <w:p w14:paraId="65375453" w14:textId="10E8C938" w:rsidR="006057FF" w:rsidRPr="006A409E" w:rsidRDefault="007923B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Additional complexities arise where the sentencing court is required to specify not only the sentence reduction for a plea of guilty but also the reduction for giving an undertaking to co-operate, under s 16AC of the </w:t>
      </w:r>
      <w:r w:rsidR="00885EFD" w:rsidRPr="00885EFD">
        <w:rPr>
          <w:rFonts w:asciiTheme="minorHAnsi" w:hAnsiTheme="minorHAnsi"/>
          <w:i/>
        </w:rPr>
        <w:t>Crimes Act 1914</w:t>
      </w:r>
      <w:r>
        <w:rPr>
          <w:rFonts w:asciiTheme="minorHAnsi" w:hAnsiTheme="minorHAnsi"/>
        </w:rPr>
        <w:t xml:space="preserve"> (Cth).</w:t>
      </w:r>
      <w:r w:rsidR="00A46636">
        <w:rPr>
          <w:rFonts w:asciiTheme="minorHAnsi" w:hAnsiTheme="minorHAnsi"/>
        </w:rPr>
        <w:t xml:space="preserve">  The interaction of these requirements is discussed below: see </w:t>
      </w:r>
      <w:r w:rsidR="00A46636" w:rsidRPr="002A4404">
        <w:rPr>
          <w:rFonts w:asciiTheme="minorHAnsi" w:hAnsiTheme="minorHAnsi"/>
        </w:rPr>
        <w:t>“</w:t>
      </w:r>
      <w:r w:rsidR="00A46636" w:rsidRPr="002A4404">
        <w:rPr>
          <w:rFonts w:asciiTheme="minorHAnsi" w:hAnsiTheme="minorHAnsi"/>
        </w:rPr>
        <w:fldChar w:fldCharType="begin"/>
      </w:r>
      <w:r w:rsidR="00A46636" w:rsidRPr="002A4404">
        <w:rPr>
          <w:rFonts w:asciiTheme="minorHAnsi" w:hAnsiTheme="minorHAnsi"/>
        </w:rPr>
        <w:instrText xml:space="preserve"> REF _Ref494293566 \r \h  \* MERGEFORMAT </w:instrText>
      </w:r>
      <w:r w:rsidR="00A46636" w:rsidRPr="002A4404">
        <w:rPr>
          <w:rFonts w:asciiTheme="minorHAnsi" w:hAnsiTheme="minorHAnsi"/>
        </w:rPr>
      </w:r>
      <w:r w:rsidR="00A46636" w:rsidRPr="002A4404">
        <w:rPr>
          <w:rFonts w:asciiTheme="minorHAnsi" w:hAnsiTheme="minorHAnsi"/>
        </w:rPr>
        <w:fldChar w:fldCharType="separate"/>
      </w:r>
      <w:r w:rsidR="00D44BCF">
        <w:rPr>
          <w:rFonts w:asciiTheme="minorHAnsi" w:hAnsiTheme="minorHAnsi"/>
        </w:rPr>
        <w:t>7.9</w:t>
      </w:r>
      <w:r w:rsidR="00A46636" w:rsidRPr="002A4404">
        <w:rPr>
          <w:rFonts w:asciiTheme="minorHAnsi" w:hAnsiTheme="minorHAnsi"/>
        </w:rPr>
        <w:fldChar w:fldCharType="end"/>
      </w:r>
      <w:r w:rsidR="00A46636" w:rsidRPr="002A4404">
        <w:rPr>
          <w:rFonts w:asciiTheme="minorHAnsi" w:hAnsiTheme="minorHAnsi"/>
        </w:rPr>
        <w:t xml:space="preserve"> </w:t>
      </w:r>
      <w:r w:rsidR="00A46636" w:rsidRPr="002A4404">
        <w:rPr>
          <w:rFonts w:asciiTheme="minorHAnsi" w:hAnsiTheme="minorHAnsi"/>
        </w:rPr>
        <w:fldChar w:fldCharType="begin"/>
      </w:r>
      <w:r w:rsidR="00A46636" w:rsidRPr="002A4404">
        <w:rPr>
          <w:rFonts w:asciiTheme="minorHAnsi" w:hAnsiTheme="minorHAnsi"/>
        </w:rPr>
        <w:instrText xml:space="preserve"> REF _Ref494293574 \h  \* MERGEFORMAT </w:instrText>
      </w:r>
      <w:r w:rsidR="00A46636" w:rsidRPr="002A4404">
        <w:rPr>
          <w:rFonts w:asciiTheme="minorHAnsi" w:hAnsiTheme="minorHAnsi"/>
        </w:rPr>
      </w:r>
      <w:r w:rsidR="00A46636" w:rsidRPr="002A4404">
        <w:rPr>
          <w:rFonts w:asciiTheme="minorHAnsi" w:hAnsiTheme="minorHAnsi"/>
        </w:rPr>
        <w:fldChar w:fldCharType="separate"/>
      </w:r>
      <w:r w:rsidR="00D44BCF" w:rsidRPr="00D44BCF">
        <w:rPr>
          <w:rFonts w:asciiTheme="minorHAnsi" w:hAnsiTheme="minorHAnsi"/>
        </w:rPr>
        <w:t>Interaction between sentencing discount for guilty plea and discount for undertaking to co-operate</w:t>
      </w:r>
      <w:r w:rsidR="00A46636" w:rsidRPr="002A4404">
        <w:rPr>
          <w:rFonts w:asciiTheme="minorHAnsi" w:hAnsiTheme="minorHAnsi"/>
        </w:rPr>
        <w:fldChar w:fldCharType="end"/>
      </w:r>
      <w:r w:rsidR="00A46636" w:rsidRPr="002A4404">
        <w:rPr>
          <w:rFonts w:asciiTheme="minorHAnsi" w:hAnsiTheme="minorHAnsi"/>
        </w:rPr>
        <w:t>”</w:t>
      </w:r>
      <w:r w:rsidR="00A46636">
        <w:rPr>
          <w:rFonts w:asciiTheme="minorHAnsi" w:hAnsiTheme="minorHAnsi"/>
        </w:rPr>
        <w:t>.</w:t>
      </w:r>
    </w:p>
    <w:p w14:paraId="2423B6C9" w14:textId="77777777" w:rsidR="006A409E" w:rsidRDefault="006A409E" w:rsidP="006A409E">
      <w:pPr>
        <w:pStyle w:val="ListParagraph"/>
        <w:rPr>
          <w:rFonts w:asciiTheme="minorHAnsi" w:hAnsiTheme="minorHAnsi"/>
        </w:rPr>
      </w:pPr>
    </w:p>
    <w:p w14:paraId="6EFFB17E" w14:textId="1668AA3D" w:rsidR="00337D1F" w:rsidRPr="00337D1F" w:rsidRDefault="00337D1F">
      <w:pPr>
        <w:pStyle w:val="Heading3"/>
      </w:pPr>
      <w:bookmarkStart w:id="3022" w:name="_Toc33602955"/>
      <w:r w:rsidRPr="00EB7F1E">
        <w:t>Discretion to specify reduction for guilty plea</w:t>
      </w:r>
      <w:bookmarkEnd w:id="3022"/>
    </w:p>
    <w:p w14:paraId="646901F8" w14:textId="77777777" w:rsidR="00337D1F" w:rsidRPr="00E12E43" w:rsidRDefault="00337D1F" w:rsidP="00337D1F">
      <w:pPr>
        <w:keepNext/>
        <w:spacing w:line="276" w:lineRule="auto"/>
        <w:ind w:right="170"/>
        <w:rPr>
          <w:rFonts w:asciiTheme="minorHAnsi" w:hAnsiTheme="minorHAnsi"/>
        </w:rPr>
      </w:pPr>
    </w:p>
    <w:p w14:paraId="4D13A793" w14:textId="48C02F56" w:rsidR="00BF586D" w:rsidRDefault="00987D7B" w:rsidP="00EB7F1E">
      <w:pPr>
        <w:pStyle w:val="ListParagraph"/>
        <w:numPr>
          <w:ilvl w:val="0"/>
          <w:numId w:val="7"/>
        </w:numPr>
        <w:spacing w:line="276" w:lineRule="auto"/>
        <w:ind w:left="425" w:hanging="425"/>
        <w:contextualSpacing w:val="0"/>
        <w:rPr>
          <w:rFonts w:asciiTheme="minorHAnsi" w:hAnsiTheme="minorHAnsi"/>
        </w:rPr>
      </w:pPr>
      <w:r w:rsidRPr="00E12E43">
        <w:rPr>
          <w:rFonts w:asciiTheme="minorHAnsi" w:hAnsiTheme="minorHAnsi"/>
        </w:rPr>
        <w:t>Since sentencing should usually be undertaken by an instinctive synthesis of all relevant factors</w:t>
      </w:r>
      <w:r w:rsidR="00E12E43" w:rsidRPr="00E12E43">
        <w:rPr>
          <w:rFonts w:asciiTheme="minorHAnsi" w:hAnsiTheme="minorHAnsi"/>
        </w:rPr>
        <w:t xml:space="preserve">, it has been said that isolating the reduction in sentence which is attributable to a particular factor </w:t>
      </w:r>
      <w:r w:rsidR="00A01502">
        <w:rPr>
          <w:rFonts w:asciiTheme="minorHAnsi" w:hAnsiTheme="minorHAnsi"/>
        </w:rPr>
        <w:t xml:space="preserve">(including a guilty plea) </w:t>
      </w:r>
      <w:r w:rsidRPr="00E12E43">
        <w:rPr>
          <w:rFonts w:asciiTheme="minorHAnsi" w:hAnsiTheme="minorHAnsi"/>
        </w:rPr>
        <w:t xml:space="preserve">should only be undertaken when a statute </w:t>
      </w:r>
      <w:r w:rsidR="00E12E43" w:rsidRPr="00E12E43">
        <w:rPr>
          <w:rFonts w:asciiTheme="minorHAnsi" w:hAnsiTheme="minorHAnsi"/>
        </w:rPr>
        <w:t xml:space="preserve">so </w:t>
      </w:r>
      <w:r w:rsidRPr="00E12E43">
        <w:rPr>
          <w:rFonts w:asciiTheme="minorHAnsi" w:hAnsiTheme="minorHAnsi"/>
        </w:rPr>
        <w:t>requires</w:t>
      </w:r>
      <w:r w:rsidR="00E12E43" w:rsidRPr="00E12E43">
        <w:rPr>
          <w:rFonts w:asciiTheme="minorHAnsi" w:hAnsiTheme="minorHAnsi"/>
        </w:rPr>
        <w:t>.</w:t>
      </w:r>
      <w:r w:rsidRPr="00C00000">
        <w:rPr>
          <w:rStyle w:val="Style"/>
          <w:rFonts w:asciiTheme="minorHAnsi" w:hAnsiTheme="minorHAnsi"/>
        </w:rPr>
        <w:footnoteReference w:id="1070"/>
      </w:r>
    </w:p>
    <w:p w14:paraId="702E9EB2" w14:textId="77777777" w:rsidR="00BF586D" w:rsidRDefault="00BF586D" w:rsidP="00BF586D">
      <w:pPr>
        <w:pStyle w:val="ListParagraph"/>
        <w:rPr>
          <w:rFonts w:asciiTheme="minorHAnsi" w:hAnsiTheme="minorHAnsi"/>
        </w:rPr>
      </w:pPr>
    </w:p>
    <w:p w14:paraId="0736739F" w14:textId="5AA1C9AF" w:rsidR="00F4240D" w:rsidRPr="00F4240D" w:rsidRDefault="006D036C" w:rsidP="00EB7F1E">
      <w:pPr>
        <w:pStyle w:val="ListParagraph"/>
        <w:numPr>
          <w:ilvl w:val="0"/>
          <w:numId w:val="7"/>
        </w:numPr>
        <w:spacing w:line="276" w:lineRule="auto"/>
        <w:ind w:left="425" w:hanging="425"/>
        <w:contextualSpacing w:val="0"/>
        <w:rPr>
          <w:rFonts w:asciiTheme="minorHAnsi" w:hAnsiTheme="minorHAnsi"/>
        </w:rPr>
      </w:pPr>
      <w:r w:rsidRPr="00F4240D">
        <w:rPr>
          <w:rFonts w:asciiTheme="minorHAnsi" w:hAnsiTheme="minorHAnsi"/>
        </w:rPr>
        <w:t xml:space="preserve">Nevertheless </w:t>
      </w:r>
      <w:r w:rsidR="00BF586D" w:rsidRPr="00F4240D">
        <w:rPr>
          <w:rFonts w:asciiTheme="minorHAnsi" w:hAnsiTheme="minorHAnsi"/>
        </w:rPr>
        <w:t>it is common practice in some jurisdictions for courts to do so, even i</w:t>
      </w:r>
      <w:r w:rsidR="00BF586D" w:rsidRPr="009F2E03">
        <w:rPr>
          <w:rFonts w:asciiTheme="minorHAnsi" w:hAnsiTheme="minorHAnsi"/>
        </w:rPr>
        <w:t>n the absence of any statutory requirement, particularly where the reduction is attributable to utilitarian considerations such as the encouragement of early pleas and the public interest in saving the community the expense o</w:t>
      </w:r>
      <w:r w:rsidR="00BF586D" w:rsidRPr="0058355B">
        <w:rPr>
          <w:rFonts w:asciiTheme="minorHAnsi" w:hAnsiTheme="minorHAnsi"/>
        </w:rPr>
        <w:t>f a contested hearing</w:t>
      </w:r>
      <w:r w:rsidR="00BF586D" w:rsidRPr="00F4240D">
        <w:rPr>
          <w:rFonts w:asciiTheme="minorHAnsi" w:hAnsiTheme="minorHAnsi"/>
        </w:rPr>
        <w:t>,</w:t>
      </w:r>
      <w:r w:rsidR="00BF586D" w:rsidRPr="00051102">
        <w:rPr>
          <w:rFonts w:ascii="Calibri" w:hAnsi="Calibri"/>
          <w:position w:val="6"/>
          <w:sz w:val="16"/>
        </w:rPr>
        <w:footnoteReference w:id="1071"/>
      </w:r>
      <w:r w:rsidR="00BF586D" w:rsidRPr="00F4240D">
        <w:rPr>
          <w:rFonts w:asciiTheme="minorHAnsi" w:hAnsiTheme="minorHAnsi"/>
        </w:rPr>
        <w:t xml:space="preserve"> rather than subjective factors such as contrition or willingness to facilitate the course of justice. </w:t>
      </w:r>
    </w:p>
    <w:p w14:paraId="546B61BE" w14:textId="77777777" w:rsidR="00BF586D" w:rsidRDefault="00BF586D" w:rsidP="00BF586D">
      <w:pPr>
        <w:pStyle w:val="ListParagraph"/>
        <w:rPr>
          <w:rFonts w:asciiTheme="minorHAnsi" w:hAnsiTheme="minorHAnsi"/>
        </w:rPr>
      </w:pPr>
    </w:p>
    <w:p w14:paraId="06E66D51" w14:textId="58C87271" w:rsidR="00987D7B" w:rsidRPr="00E12E43" w:rsidRDefault="00DE7C5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w:t>
      </w:r>
      <w:r w:rsidRPr="00E12E43">
        <w:rPr>
          <w:rFonts w:asciiTheme="minorHAnsi" w:hAnsiTheme="minorHAnsi"/>
        </w:rPr>
        <w:t xml:space="preserve">n </w:t>
      </w:r>
      <w:r w:rsidR="00987D7B" w:rsidRPr="00E12E43">
        <w:rPr>
          <w:rFonts w:asciiTheme="minorHAnsi" w:hAnsiTheme="minorHAnsi"/>
          <w:i/>
        </w:rPr>
        <w:t>Xiao</w:t>
      </w:r>
      <w:r w:rsidR="00987D7B" w:rsidRPr="00E12E43">
        <w:rPr>
          <w:rFonts w:asciiTheme="minorHAnsi" w:hAnsiTheme="minorHAnsi"/>
        </w:rPr>
        <w:t>,</w:t>
      </w:r>
      <w:r w:rsidR="00987D7B" w:rsidRPr="00051102">
        <w:rPr>
          <w:rFonts w:ascii="Calibri" w:hAnsi="Calibri"/>
          <w:position w:val="6"/>
          <w:sz w:val="16"/>
        </w:rPr>
        <w:footnoteReference w:id="1072"/>
      </w:r>
      <w:r w:rsidR="00987D7B" w:rsidRPr="00E12E43">
        <w:rPr>
          <w:rFonts w:asciiTheme="minorHAnsi" w:hAnsiTheme="minorHAnsi"/>
        </w:rPr>
        <w:t xml:space="preserve"> the N</w:t>
      </w:r>
      <w:r w:rsidR="00EC0276">
        <w:rPr>
          <w:rFonts w:asciiTheme="minorHAnsi" w:hAnsiTheme="minorHAnsi"/>
        </w:rPr>
        <w:t xml:space="preserve">ew South Wales </w:t>
      </w:r>
      <w:r w:rsidR="00987D7B" w:rsidRPr="00E12E43">
        <w:rPr>
          <w:rFonts w:asciiTheme="minorHAnsi" w:hAnsiTheme="minorHAnsi"/>
        </w:rPr>
        <w:t>C</w:t>
      </w:r>
      <w:r w:rsidR="00EC0276">
        <w:rPr>
          <w:rFonts w:asciiTheme="minorHAnsi" w:hAnsiTheme="minorHAnsi"/>
        </w:rPr>
        <w:t>ourt of Criminal Appeal</w:t>
      </w:r>
      <w:r w:rsidR="00987D7B" w:rsidRPr="00E12E43">
        <w:rPr>
          <w:rFonts w:asciiTheme="minorHAnsi" w:hAnsiTheme="minorHAnsi"/>
        </w:rPr>
        <w:t xml:space="preserve"> expressed the view that it is desirable, in the interests of transparency, that any discount given for a guilty plea in the sentencing of a federal offender be specified</w:t>
      </w:r>
      <w:r w:rsidR="00AF07E8">
        <w:rPr>
          <w:rFonts w:asciiTheme="minorHAnsi" w:hAnsiTheme="minorHAnsi"/>
        </w:rPr>
        <w:t xml:space="preserve">. </w:t>
      </w:r>
      <w:r w:rsidR="005701A7">
        <w:rPr>
          <w:rFonts w:asciiTheme="minorHAnsi" w:hAnsiTheme="minorHAnsi"/>
        </w:rPr>
        <w:t xml:space="preserve"> </w:t>
      </w:r>
      <w:r w:rsidR="00AF07E8">
        <w:rPr>
          <w:rFonts w:asciiTheme="minorHAnsi" w:hAnsiTheme="minorHAnsi"/>
        </w:rPr>
        <w:t xml:space="preserve">The Court </w:t>
      </w:r>
      <w:r w:rsidR="00987D7B" w:rsidRPr="00E12E43">
        <w:rPr>
          <w:rFonts w:asciiTheme="minorHAnsi" w:hAnsiTheme="minorHAnsi"/>
        </w:rPr>
        <w:t xml:space="preserve">added that there was no obligation on the sentencing judge to do so, and </w:t>
      </w:r>
      <w:r w:rsidR="004D0A4C">
        <w:rPr>
          <w:rFonts w:asciiTheme="minorHAnsi" w:hAnsiTheme="minorHAnsi"/>
        </w:rPr>
        <w:t xml:space="preserve">that </w:t>
      </w:r>
      <w:r w:rsidR="00987D7B" w:rsidRPr="00E12E43">
        <w:rPr>
          <w:rFonts w:asciiTheme="minorHAnsi" w:hAnsiTheme="minorHAnsi"/>
        </w:rPr>
        <w:t>a failure to do so would not of itself amount to error.</w:t>
      </w:r>
      <w:r w:rsidR="00F4240D" w:rsidRPr="00051102">
        <w:rPr>
          <w:rFonts w:ascii="Calibri" w:hAnsi="Calibri"/>
          <w:position w:val="6"/>
          <w:sz w:val="16"/>
        </w:rPr>
        <w:footnoteReference w:id="1073"/>
      </w:r>
      <w:r w:rsidR="009C3D77">
        <w:rPr>
          <w:rFonts w:asciiTheme="minorHAnsi" w:hAnsiTheme="minorHAnsi"/>
        </w:rPr>
        <w:t xml:space="preserve">  However </w:t>
      </w:r>
      <w:r w:rsidR="005F3D0F">
        <w:rPr>
          <w:rFonts w:asciiTheme="minorHAnsi" w:hAnsiTheme="minorHAnsi"/>
        </w:rPr>
        <w:t xml:space="preserve">if a sentencing judge does so, the extent of the discount should be specified with precision; </w:t>
      </w:r>
      <w:r w:rsidR="009C3D77">
        <w:rPr>
          <w:rFonts w:asciiTheme="minorHAnsi" w:hAnsiTheme="minorHAnsi"/>
        </w:rPr>
        <w:t xml:space="preserve">for a sentencing judge to indicate the degree of discount by reference to a </w:t>
      </w:r>
      <w:r w:rsidR="005F3D0F">
        <w:rPr>
          <w:rFonts w:asciiTheme="minorHAnsi" w:hAnsiTheme="minorHAnsi"/>
        </w:rPr>
        <w:t xml:space="preserve">percentage </w:t>
      </w:r>
      <w:r w:rsidR="009C3D77">
        <w:rPr>
          <w:rFonts w:asciiTheme="minorHAnsi" w:hAnsiTheme="minorHAnsi"/>
        </w:rPr>
        <w:t>range</w:t>
      </w:r>
      <w:r w:rsidR="00F723BA">
        <w:rPr>
          <w:rFonts w:asciiTheme="minorHAnsi" w:hAnsiTheme="minorHAnsi"/>
        </w:rPr>
        <w:t xml:space="preserve"> may constitute appellable error</w:t>
      </w:r>
      <w:r w:rsidR="005F3D0F">
        <w:rPr>
          <w:rFonts w:asciiTheme="minorHAnsi" w:hAnsiTheme="minorHAnsi"/>
        </w:rPr>
        <w:t>.</w:t>
      </w:r>
      <w:r w:rsidR="005F3D0F" w:rsidRPr="00051102">
        <w:rPr>
          <w:rFonts w:ascii="Calibri" w:hAnsi="Calibri"/>
          <w:position w:val="6"/>
          <w:sz w:val="16"/>
        </w:rPr>
        <w:footnoteReference w:id="1074"/>
      </w:r>
    </w:p>
    <w:p w14:paraId="73D176D6" w14:textId="77777777" w:rsidR="00BF586D" w:rsidRPr="00265171" w:rsidRDefault="00BF586D" w:rsidP="00BF586D">
      <w:pPr>
        <w:pStyle w:val="ListParagraph"/>
        <w:rPr>
          <w:rFonts w:asciiTheme="minorHAnsi" w:hAnsiTheme="minorHAnsi"/>
        </w:rPr>
      </w:pPr>
    </w:p>
    <w:p w14:paraId="51C90D16" w14:textId="64949FB9" w:rsidR="00E80ECA" w:rsidRPr="00EB7F1E" w:rsidRDefault="00E80ECA">
      <w:pPr>
        <w:pStyle w:val="Heading2"/>
        <w:rPr>
          <w:rStyle w:val="Strong"/>
          <w:b/>
          <w:bCs w:val="0"/>
        </w:rPr>
      </w:pPr>
      <w:bookmarkStart w:id="3023" w:name="_Toc484358708"/>
      <w:bookmarkStart w:id="3024" w:name="_Toc484359103"/>
      <w:bookmarkStart w:id="3025" w:name="_Toc484364019"/>
      <w:bookmarkStart w:id="3026" w:name="_Toc484364433"/>
      <w:bookmarkStart w:id="3027" w:name="_Toc484365740"/>
      <w:bookmarkStart w:id="3028" w:name="_Toc484432640"/>
      <w:bookmarkStart w:id="3029" w:name="_Toc484358709"/>
      <w:bookmarkStart w:id="3030" w:name="_Toc484359104"/>
      <w:bookmarkStart w:id="3031" w:name="_Toc484364020"/>
      <w:bookmarkStart w:id="3032" w:name="_Toc484364434"/>
      <w:bookmarkStart w:id="3033" w:name="_Toc484365741"/>
      <w:bookmarkStart w:id="3034" w:name="_Toc484432641"/>
      <w:bookmarkStart w:id="3035" w:name="_Toc484358710"/>
      <w:bookmarkStart w:id="3036" w:name="_Toc484359105"/>
      <w:bookmarkStart w:id="3037" w:name="_Toc484364021"/>
      <w:bookmarkStart w:id="3038" w:name="_Toc484364435"/>
      <w:bookmarkStart w:id="3039" w:name="_Toc484365742"/>
      <w:bookmarkStart w:id="3040" w:name="_Toc484432642"/>
      <w:bookmarkStart w:id="3041" w:name="_Ref494293566"/>
      <w:bookmarkStart w:id="3042" w:name="_Ref494293574"/>
      <w:bookmarkStart w:id="3043" w:name="_Toc33602956"/>
      <w:bookmarkStart w:id="3044" w:name="_Ref485563640"/>
      <w:bookmarkStart w:id="3045" w:name="_Ref485563643"/>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r w:rsidRPr="00EB7F1E">
        <w:rPr>
          <w:rStyle w:val="Strong"/>
          <w:b/>
          <w:bCs w:val="0"/>
        </w:rPr>
        <w:t>Interaction between sentencing discount for guilty plea and discount for undertaking to co-operate</w:t>
      </w:r>
      <w:bookmarkEnd w:id="3041"/>
      <w:bookmarkEnd w:id="3042"/>
      <w:bookmarkEnd w:id="3043"/>
      <w:r w:rsidRPr="00EB7F1E">
        <w:rPr>
          <w:rStyle w:val="Strong"/>
          <w:b/>
          <w:bCs w:val="0"/>
        </w:rPr>
        <w:t xml:space="preserve"> </w:t>
      </w:r>
    </w:p>
    <w:p w14:paraId="2907E4FA" w14:textId="77777777" w:rsidR="00E80ECA" w:rsidRPr="00C00000" w:rsidRDefault="00E80ECA" w:rsidP="008B3E81">
      <w:pPr>
        <w:pStyle w:val="ListParagraph"/>
        <w:keepNext/>
        <w:widowControl w:val="0"/>
        <w:shd w:val="clear" w:color="auto" w:fill="FFFFFF" w:themeFill="background1"/>
        <w:spacing w:line="276" w:lineRule="auto"/>
        <w:ind w:left="567" w:right="170"/>
        <w:rPr>
          <w:rFonts w:asciiTheme="minorHAnsi" w:hAnsiTheme="minorHAnsi"/>
          <w:szCs w:val="22"/>
        </w:rPr>
      </w:pPr>
    </w:p>
    <w:p w14:paraId="64224327" w14:textId="79A973B1" w:rsidR="00224D1E" w:rsidRDefault="00224D1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some jurisdictions, State/Territory legislation requires a court sentencing an offender who has pleaded guilty to specify the sentence which would have been imposed but for the guilty plea.</w:t>
      </w:r>
      <w:r w:rsidR="005E79EC" w:rsidRPr="00C00000">
        <w:rPr>
          <w:rStyle w:val="Style"/>
          <w:rFonts w:asciiTheme="minorHAnsi" w:hAnsiTheme="minorHAnsi"/>
        </w:rPr>
        <w:footnoteReference w:id="1075"/>
      </w:r>
    </w:p>
    <w:p w14:paraId="34ABB7DF" w14:textId="77777777" w:rsidR="00224D1E" w:rsidRPr="00224D1E" w:rsidRDefault="00224D1E" w:rsidP="00224D1E">
      <w:pPr>
        <w:widowControl w:val="0"/>
        <w:spacing w:line="276" w:lineRule="auto"/>
        <w:jc w:val="both"/>
        <w:rPr>
          <w:rFonts w:asciiTheme="minorHAnsi" w:hAnsiTheme="minorHAnsi"/>
        </w:rPr>
      </w:pPr>
    </w:p>
    <w:p w14:paraId="0659D84E" w14:textId="7BC5FD24" w:rsidR="00F8694D" w:rsidRPr="00FB5D9E" w:rsidRDefault="00E80ECA" w:rsidP="00EB7F1E">
      <w:pPr>
        <w:pStyle w:val="ListParagraph"/>
        <w:numPr>
          <w:ilvl w:val="0"/>
          <w:numId w:val="7"/>
        </w:numPr>
        <w:spacing w:line="276" w:lineRule="auto"/>
        <w:ind w:left="425" w:hanging="425"/>
        <w:contextualSpacing w:val="0"/>
        <w:rPr>
          <w:rFonts w:asciiTheme="minorHAnsi" w:hAnsiTheme="minorHAnsi"/>
        </w:rPr>
      </w:pPr>
      <w:r w:rsidRPr="009248D6">
        <w:rPr>
          <w:rFonts w:asciiTheme="minorHAnsi" w:hAnsiTheme="minorHAnsi" w:cs="Arial"/>
          <w:szCs w:val="22"/>
        </w:rPr>
        <w:t xml:space="preserve">In </w:t>
      </w:r>
      <w:r w:rsidRPr="009248D6">
        <w:rPr>
          <w:rFonts w:asciiTheme="minorHAnsi" w:hAnsiTheme="minorHAnsi" w:cs="Arial"/>
          <w:i/>
          <w:szCs w:val="22"/>
        </w:rPr>
        <w:t>DPP (Cth) v Couper</w:t>
      </w:r>
      <w:r w:rsidRPr="00C00000">
        <w:rPr>
          <w:rStyle w:val="FootnoteReference"/>
          <w:rFonts w:asciiTheme="minorHAnsi" w:hAnsiTheme="minorHAnsi"/>
        </w:rPr>
        <w:footnoteReference w:id="1076"/>
      </w:r>
      <w:r w:rsidRPr="009248D6">
        <w:rPr>
          <w:rFonts w:asciiTheme="minorHAnsi" w:hAnsiTheme="minorHAnsi" w:cs="Arial"/>
          <w:i/>
          <w:szCs w:val="22"/>
        </w:rPr>
        <w:t xml:space="preserve"> </w:t>
      </w:r>
      <w:r w:rsidRPr="009248D6">
        <w:rPr>
          <w:rFonts w:asciiTheme="minorHAnsi" w:hAnsiTheme="minorHAnsi" w:cs="Arial"/>
          <w:szCs w:val="22"/>
        </w:rPr>
        <w:t xml:space="preserve">the Victorian Court of Appeal considered the interaction of the separate requirements to specify a sentencing reduction for a plea of guilty (pursuant to s 6AAA of the </w:t>
      </w:r>
      <w:r w:rsidRPr="00962F25">
        <w:rPr>
          <w:rFonts w:asciiTheme="minorHAnsi" w:hAnsiTheme="minorHAnsi" w:cs="Arial"/>
          <w:i/>
          <w:szCs w:val="22"/>
        </w:rPr>
        <w:t xml:space="preserve">Sentencing Act 1991 </w:t>
      </w:r>
      <w:r w:rsidRPr="009248D6">
        <w:rPr>
          <w:rFonts w:asciiTheme="minorHAnsi" w:hAnsiTheme="minorHAnsi" w:cs="Arial"/>
          <w:szCs w:val="22"/>
        </w:rPr>
        <w:t xml:space="preserve">(Vic), applied as surrogate federal law pursuant to the </w:t>
      </w:r>
      <w:r w:rsidRPr="00962F25">
        <w:rPr>
          <w:rFonts w:asciiTheme="minorHAnsi" w:hAnsiTheme="minorHAnsi" w:cs="Arial"/>
          <w:i/>
          <w:szCs w:val="22"/>
        </w:rPr>
        <w:t>Judiciary Act 1903</w:t>
      </w:r>
      <w:r w:rsidRPr="009248D6">
        <w:rPr>
          <w:rFonts w:asciiTheme="minorHAnsi" w:hAnsiTheme="minorHAnsi" w:cs="Arial"/>
          <w:szCs w:val="22"/>
        </w:rPr>
        <w:t xml:space="preserve"> (Cth)), and a sentence reduction for an undertaking to co-operate (</w:t>
      </w:r>
      <w:r w:rsidR="00057970">
        <w:rPr>
          <w:rFonts w:asciiTheme="minorHAnsi" w:hAnsiTheme="minorHAnsi" w:cs="Arial"/>
          <w:szCs w:val="22"/>
        </w:rPr>
        <w:t xml:space="preserve">formerly s 21E and </w:t>
      </w:r>
      <w:r w:rsidR="00BA5E98" w:rsidRPr="009248D6">
        <w:rPr>
          <w:rFonts w:asciiTheme="minorHAnsi" w:hAnsiTheme="minorHAnsi" w:cs="Arial"/>
          <w:szCs w:val="22"/>
        </w:rPr>
        <w:t xml:space="preserve">now </w:t>
      </w:r>
      <w:r w:rsidRPr="009248D6">
        <w:rPr>
          <w:rFonts w:asciiTheme="minorHAnsi" w:hAnsiTheme="minorHAnsi" w:cs="Arial"/>
          <w:szCs w:val="22"/>
        </w:rPr>
        <w:t xml:space="preserve">s 16AC of the </w:t>
      </w:r>
      <w:r w:rsidR="00885EFD" w:rsidRPr="00885EFD">
        <w:rPr>
          <w:rFonts w:asciiTheme="minorHAnsi" w:hAnsiTheme="minorHAnsi" w:cs="Arial"/>
          <w:i/>
          <w:szCs w:val="22"/>
        </w:rPr>
        <w:t>Crimes Act 1914</w:t>
      </w:r>
      <w:r w:rsidRPr="009248D6">
        <w:rPr>
          <w:rFonts w:asciiTheme="minorHAnsi" w:hAnsiTheme="minorHAnsi" w:cs="Arial"/>
          <w:i/>
          <w:szCs w:val="22"/>
        </w:rPr>
        <w:t xml:space="preserve"> </w:t>
      </w:r>
      <w:r w:rsidRPr="009248D6">
        <w:rPr>
          <w:rFonts w:asciiTheme="minorHAnsi" w:hAnsiTheme="minorHAnsi" w:cs="Arial"/>
          <w:szCs w:val="22"/>
        </w:rPr>
        <w:t xml:space="preserve">(Cth)).  Tate JA </w:t>
      </w:r>
      <w:r w:rsidR="003B5404">
        <w:rPr>
          <w:rFonts w:asciiTheme="minorHAnsi" w:hAnsiTheme="minorHAnsi" w:cs="Arial"/>
          <w:szCs w:val="22"/>
        </w:rPr>
        <w:t>(</w:t>
      </w:r>
      <w:r w:rsidRPr="009248D6">
        <w:rPr>
          <w:rFonts w:asciiTheme="minorHAnsi" w:hAnsiTheme="minorHAnsi" w:cs="Arial"/>
          <w:szCs w:val="22"/>
        </w:rPr>
        <w:t>with whom Harper JA and Williams AJA agreed</w:t>
      </w:r>
      <w:r w:rsidR="003B5404">
        <w:rPr>
          <w:rFonts w:asciiTheme="minorHAnsi" w:hAnsiTheme="minorHAnsi" w:cs="Arial"/>
          <w:szCs w:val="22"/>
        </w:rPr>
        <w:t>)</w:t>
      </w:r>
      <w:r w:rsidRPr="009248D6">
        <w:rPr>
          <w:rFonts w:asciiTheme="minorHAnsi" w:hAnsiTheme="minorHAnsi" w:cs="Arial"/>
          <w:szCs w:val="22"/>
        </w:rPr>
        <w:t xml:space="preserve"> </w:t>
      </w:r>
      <w:r w:rsidR="00BB7901" w:rsidRPr="009248D6">
        <w:rPr>
          <w:rFonts w:asciiTheme="minorHAnsi" w:hAnsiTheme="minorHAnsi" w:cs="Arial"/>
          <w:szCs w:val="22"/>
        </w:rPr>
        <w:t>held that</w:t>
      </w:r>
      <w:r w:rsidR="009C3D3B" w:rsidRPr="009248D6">
        <w:rPr>
          <w:rFonts w:asciiTheme="minorHAnsi" w:hAnsiTheme="minorHAnsi" w:cs="Arial"/>
          <w:szCs w:val="22"/>
        </w:rPr>
        <w:t xml:space="preserve"> </w:t>
      </w:r>
      <w:r w:rsidR="00561CC3" w:rsidRPr="009248D6">
        <w:rPr>
          <w:rFonts w:asciiTheme="minorHAnsi" w:hAnsiTheme="minorHAnsi" w:cs="Arial"/>
          <w:szCs w:val="22"/>
        </w:rPr>
        <w:t>the</w:t>
      </w:r>
      <w:r w:rsidR="00BB7901" w:rsidRPr="009248D6">
        <w:rPr>
          <w:rFonts w:asciiTheme="minorHAnsi" w:hAnsiTheme="minorHAnsi" w:cs="Arial"/>
          <w:szCs w:val="22"/>
        </w:rPr>
        <w:t xml:space="preserve"> sentencing judge </w:t>
      </w:r>
      <w:r w:rsidR="00561CC3" w:rsidRPr="009248D6">
        <w:rPr>
          <w:rFonts w:asciiTheme="minorHAnsi" w:hAnsiTheme="minorHAnsi" w:cs="Arial"/>
          <w:szCs w:val="22"/>
        </w:rPr>
        <w:t>in that case had erred in</w:t>
      </w:r>
      <w:r w:rsidR="00CF354F" w:rsidRPr="009248D6">
        <w:rPr>
          <w:rFonts w:asciiTheme="minorHAnsi" w:hAnsiTheme="minorHAnsi" w:cs="Arial"/>
          <w:szCs w:val="22"/>
        </w:rPr>
        <w:t xml:space="preserve"> failing to</w:t>
      </w:r>
      <w:r w:rsidR="00561CC3" w:rsidRPr="009248D6">
        <w:rPr>
          <w:rFonts w:asciiTheme="minorHAnsi" w:hAnsiTheme="minorHAnsi" w:cs="Arial"/>
          <w:szCs w:val="22"/>
        </w:rPr>
        <w:t xml:space="preserve"> </w:t>
      </w:r>
      <w:r w:rsidR="00F43E84" w:rsidRPr="009248D6">
        <w:rPr>
          <w:rFonts w:asciiTheme="minorHAnsi" w:hAnsiTheme="minorHAnsi" w:cs="Arial"/>
          <w:szCs w:val="22"/>
        </w:rPr>
        <w:t>indicate how the discount for the undertaking related to the discount for the guilty plea</w:t>
      </w:r>
      <w:r w:rsidR="00CF354F" w:rsidRPr="009248D6">
        <w:rPr>
          <w:rFonts w:asciiTheme="minorHAnsi" w:hAnsiTheme="minorHAnsi" w:cs="Arial"/>
          <w:szCs w:val="22"/>
        </w:rPr>
        <w:t xml:space="preserve">, and in failing to </w:t>
      </w:r>
      <w:r w:rsidR="00F43E84" w:rsidRPr="009248D6">
        <w:rPr>
          <w:rFonts w:asciiTheme="minorHAnsi" w:hAnsiTheme="minorHAnsi" w:cs="Arial"/>
          <w:szCs w:val="22"/>
        </w:rPr>
        <w:t xml:space="preserve">specify what period, if any, of the </w:t>
      </w:r>
      <w:r w:rsidR="00CF354F" w:rsidRPr="009248D6">
        <w:rPr>
          <w:rFonts w:asciiTheme="minorHAnsi" w:hAnsiTheme="minorHAnsi" w:cs="Arial"/>
          <w:szCs w:val="22"/>
        </w:rPr>
        <w:t xml:space="preserve">head sentence </w:t>
      </w:r>
      <w:r w:rsidR="00F43E84" w:rsidRPr="009248D6">
        <w:rPr>
          <w:rFonts w:asciiTheme="minorHAnsi" w:hAnsiTheme="minorHAnsi" w:cs="Arial"/>
          <w:szCs w:val="22"/>
        </w:rPr>
        <w:t>would have been suspended and for what period</w:t>
      </w:r>
      <w:r w:rsidR="00CF354F" w:rsidRPr="009248D6">
        <w:rPr>
          <w:rFonts w:asciiTheme="minorHAnsi" w:hAnsiTheme="minorHAnsi" w:cs="Arial"/>
          <w:szCs w:val="22"/>
        </w:rPr>
        <w:t>, but for the undertaking.</w:t>
      </w:r>
    </w:p>
    <w:p w14:paraId="4EBA4C50" w14:textId="77777777" w:rsidR="00FB5D9E" w:rsidRPr="00F8694D" w:rsidRDefault="00FB5D9E" w:rsidP="00FB5D9E">
      <w:pPr>
        <w:widowControl w:val="0"/>
        <w:spacing w:line="276" w:lineRule="auto"/>
        <w:jc w:val="both"/>
        <w:rPr>
          <w:rFonts w:asciiTheme="minorHAnsi" w:hAnsiTheme="minorHAnsi"/>
        </w:rPr>
      </w:pPr>
    </w:p>
    <w:p w14:paraId="2D24A2B5" w14:textId="4E4CE6F5" w:rsidR="00E16E2D" w:rsidRPr="00FB5D9E" w:rsidRDefault="00561CC3" w:rsidP="00EB7F1E">
      <w:pPr>
        <w:pStyle w:val="ListParagraph"/>
        <w:numPr>
          <w:ilvl w:val="0"/>
          <w:numId w:val="7"/>
        </w:numPr>
        <w:spacing w:line="276" w:lineRule="auto"/>
        <w:ind w:left="425" w:hanging="425"/>
        <w:contextualSpacing w:val="0"/>
        <w:rPr>
          <w:rFonts w:asciiTheme="minorHAnsi" w:hAnsiTheme="minorHAnsi"/>
        </w:rPr>
      </w:pPr>
      <w:r w:rsidRPr="009248D6">
        <w:rPr>
          <w:rFonts w:asciiTheme="minorHAnsi" w:hAnsiTheme="minorHAnsi" w:cs="Arial"/>
          <w:szCs w:val="22"/>
        </w:rPr>
        <w:t xml:space="preserve">Tate JA </w:t>
      </w:r>
      <w:r w:rsidR="0039101F" w:rsidRPr="009248D6">
        <w:rPr>
          <w:rFonts w:asciiTheme="minorHAnsi" w:hAnsiTheme="minorHAnsi" w:cs="Arial"/>
          <w:szCs w:val="22"/>
        </w:rPr>
        <w:t xml:space="preserve">observed (at [138]) that </w:t>
      </w:r>
      <w:r w:rsidR="00E43DD1" w:rsidRPr="009248D6">
        <w:rPr>
          <w:rFonts w:asciiTheme="minorHAnsi" w:hAnsiTheme="minorHAnsi" w:cs="Arial"/>
          <w:szCs w:val="22"/>
        </w:rPr>
        <w:t xml:space="preserve">although </w:t>
      </w:r>
      <w:r w:rsidR="00BB7901" w:rsidRPr="00E90120">
        <w:rPr>
          <w:rFonts w:asciiTheme="minorHAnsi" w:hAnsiTheme="minorHAnsi"/>
        </w:rPr>
        <w:t>each</w:t>
      </w:r>
      <w:r w:rsidR="00BB7901" w:rsidRPr="009248D6">
        <w:rPr>
          <w:rFonts w:asciiTheme="minorHAnsi" w:hAnsiTheme="minorHAnsi" w:cs="Arial"/>
          <w:szCs w:val="22"/>
        </w:rPr>
        <w:t xml:space="preserve"> </w:t>
      </w:r>
      <w:r w:rsidR="00E43DD1" w:rsidRPr="009248D6">
        <w:rPr>
          <w:rFonts w:asciiTheme="minorHAnsi" w:hAnsiTheme="minorHAnsi" w:cs="Arial"/>
          <w:szCs w:val="22"/>
        </w:rPr>
        <w:t xml:space="preserve">statutory </w:t>
      </w:r>
      <w:r w:rsidR="00BB7901" w:rsidRPr="009248D6">
        <w:rPr>
          <w:rFonts w:asciiTheme="minorHAnsi" w:hAnsiTheme="minorHAnsi" w:cs="Arial"/>
          <w:szCs w:val="22"/>
        </w:rPr>
        <w:t xml:space="preserve">provision </w:t>
      </w:r>
      <w:r w:rsidR="0039101F" w:rsidRPr="009248D6">
        <w:rPr>
          <w:rFonts w:asciiTheme="minorHAnsi" w:hAnsiTheme="minorHAnsi" w:cs="Arial"/>
          <w:szCs w:val="22"/>
        </w:rPr>
        <w:t xml:space="preserve">required only </w:t>
      </w:r>
      <w:r w:rsidR="009C3D3B" w:rsidRPr="009248D6">
        <w:rPr>
          <w:rFonts w:asciiTheme="minorHAnsi" w:hAnsiTheme="minorHAnsi" w:cs="Arial"/>
          <w:szCs w:val="22"/>
        </w:rPr>
        <w:t>separate</w:t>
      </w:r>
      <w:r w:rsidR="0039101F" w:rsidRPr="009248D6">
        <w:rPr>
          <w:rFonts w:asciiTheme="minorHAnsi" w:hAnsiTheme="minorHAnsi" w:cs="Arial"/>
          <w:szCs w:val="22"/>
        </w:rPr>
        <w:t xml:space="preserve"> specification of</w:t>
      </w:r>
      <w:r w:rsidR="009C3D3B" w:rsidRPr="009248D6">
        <w:rPr>
          <w:rFonts w:asciiTheme="minorHAnsi" w:hAnsiTheme="minorHAnsi" w:cs="Arial"/>
          <w:szCs w:val="22"/>
        </w:rPr>
        <w:t xml:space="preserve"> the sentence that would have been imposed but for the </w:t>
      </w:r>
      <w:r w:rsidR="0039101F" w:rsidRPr="009248D6">
        <w:rPr>
          <w:rFonts w:asciiTheme="minorHAnsi" w:hAnsiTheme="minorHAnsi" w:cs="Arial"/>
          <w:szCs w:val="22"/>
        </w:rPr>
        <w:t xml:space="preserve">relevant factor, merely to do so would fail to indicate to an offender the full extent of the reduction given by reason of both factors and could be potentially misleading.  </w:t>
      </w:r>
      <w:r w:rsidR="00E43DD1" w:rsidRPr="009248D6">
        <w:rPr>
          <w:rFonts w:asciiTheme="minorHAnsi" w:hAnsiTheme="minorHAnsi" w:cs="Arial"/>
          <w:szCs w:val="22"/>
        </w:rPr>
        <w:t>What is significant to an offender and provides guidance for future cases is the actual reduction from which the offender has benefited as a result of having given an undertaking to co-operate, and, separately, the actual reduction from which the offender has benefited as a result of having given a plea of guilty.  For this purpose, her Honour considered (at [141]), a sentencing judge should identify the number of months (or days, weeks, or years) from which an offender has benefited both by co-operating and by pleading guilty.</w:t>
      </w:r>
      <w:r w:rsidR="00E16E2D" w:rsidRPr="009248D6">
        <w:rPr>
          <w:rFonts w:asciiTheme="minorHAnsi" w:hAnsiTheme="minorHAnsi" w:cs="Arial"/>
          <w:szCs w:val="22"/>
        </w:rPr>
        <w:t xml:space="preserve"> </w:t>
      </w:r>
      <w:r w:rsidR="009248D6" w:rsidRPr="009248D6">
        <w:rPr>
          <w:rFonts w:asciiTheme="minorHAnsi" w:hAnsiTheme="minorHAnsi" w:cs="Arial"/>
          <w:szCs w:val="22"/>
        </w:rPr>
        <w:t xml:space="preserve"> </w:t>
      </w:r>
      <w:r w:rsidR="00F8694D">
        <w:rPr>
          <w:rFonts w:asciiTheme="minorHAnsi" w:hAnsiTheme="minorHAnsi" w:cs="Arial"/>
          <w:szCs w:val="22"/>
        </w:rPr>
        <w:t>That is, a</w:t>
      </w:r>
      <w:r w:rsidR="00F8694D" w:rsidRPr="009248D6">
        <w:rPr>
          <w:rFonts w:asciiTheme="minorHAnsi" w:hAnsiTheme="minorHAnsi" w:cs="Arial"/>
          <w:szCs w:val="22"/>
        </w:rPr>
        <w:t xml:space="preserve"> sentencing judge should not only specify what sentence would have been imposed but for the undertaking to co-operate and the plea of guilty, but also identify what specific reduction has been given with respect to each of those matters.</w:t>
      </w:r>
    </w:p>
    <w:p w14:paraId="77451E2A" w14:textId="77777777" w:rsidR="00FB5D9E" w:rsidRPr="009248D6" w:rsidRDefault="00FB5D9E" w:rsidP="00FB5D9E">
      <w:pPr>
        <w:widowControl w:val="0"/>
        <w:spacing w:line="276" w:lineRule="auto"/>
        <w:jc w:val="both"/>
        <w:rPr>
          <w:rFonts w:asciiTheme="minorHAnsi" w:hAnsiTheme="minorHAnsi"/>
        </w:rPr>
      </w:pPr>
    </w:p>
    <w:p w14:paraId="0A8DB96C" w14:textId="707DC059" w:rsidR="00E80ECA" w:rsidRPr="00FB5D9E" w:rsidRDefault="00F8694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cs="Arial"/>
          <w:szCs w:val="22"/>
        </w:rPr>
        <w:t xml:space="preserve">Tate JA observed (at [144]) that the </w:t>
      </w:r>
      <w:r w:rsidRPr="00E90120">
        <w:rPr>
          <w:rFonts w:asciiTheme="minorHAnsi" w:hAnsiTheme="minorHAnsi"/>
        </w:rPr>
        <w:t>statutory</w:t>
      </w:r>
      <w:r>
        <w:rPr>
          <w:rFonts w:asciiTheme="minorHAnsi" w:hAnsiTheme="minorHAnsi" w:cs="Arial"/>
          <w:szCs w:val="22"/>
        </w:rPr>
        <w:t xml:space="preserve"> requirements could be complied with either by specifying the reduction for the undertaking first, or by specifying the reduction for the guilty plea first; </w:t>
      </w:r>
      <w:r w:rsidR="00E80ECA" w:rsidRPr="00C00000">
        <w:rPr>
          <w:rFonts w:asciiTheme="minorHAnsi" w:hAnsiTheme="minorHAnsi" w:cs="Arial"/>
          <w:szCs w:val="22"/>
        </w:rPr>
        <w:t>whatever sequence is adopted, it is important that the actual sentence imposed reflects the fact that the offender has had the benefit of both forms of reduction.</w:t>
      </w:r>
    </w:p>
    <w:p w14:paraId="23490A79" w14:textId="77777777" w:rsidR="00FB5D9E" w:rsidRPr="00FB5D9E" w:rsidRDefault="00FB5D9E" w:rsidP="00FB5D9E">
      <w:pPr>
        <w:widowControl w:val="0"/>
        <w:spacing w:line="276" w:lineRule="auto"/>
        <w:jc w:val="both"/>
        <w:rPr>
          <w:rFonts w:asciiTheme="minorHAnsi" w:hAnsiTheme="minorHAnsi"/>
        </w:rPr>
      </w:pPr>
    </w:p>
    <w:p w14:paraId="56EE2636" w14:textId="712881EB" w:rsidR="00FB5D9E" w:rsidRPr="00C00000" w:rsidRDefault="00FB5D9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cs="Arial"/>
          <w:szCs w:val="22"/>
        </w:rPr>
        <w:t xml:space="preserve">In re-sentencing the respondent in </w:t>
      </w:r>
      <w:r w:rsidRPr="00FB5D9E">
        <w:rPr>
          <w:rFonts w:asciiTheme="minorHAnsi" w:hAnsiTheme="minorHAnsi" w:cs="Arial"/>
          <w:i/>
          <w:szCs w:val="22"/>
        </w:rPr>
        <w:t>Couper</w:t>
      </w:r>
      <w:r>
        <w:rPr>
          <w:rFonts w:asciiTheme="minorHAnsi" w:hAnsiTheme="minorHAnsi" w:cs="Arial"/>
          <w:szCs w:val="22"/>
        </w:rPr>
        <w:t>, Tate JA specified</w:t>
      </w:r>
      <w:r w:rsidR="00BA02E4">
        <w:rPr>
          <w:rFonts w:asciiTheme="minorHAnsi" w:hAnsiTheme="minorHAnsi" w:cs="Arial"/>
          <w:szCs w:val="22"/>
        </w:rPr>
        <w:t xml:space="preserve"> (at [153]-[154])</w:t>
      </w:r>
      <w:r>
        <w:rPr>
          <w:rFonts w:asciiTheme="minorHAnsi" w:hAnsiTheme="minorHAnsi" w:cs="Arial"/>
          <w:szCs w:val="22"/>
        </w:rPr>
        <w:t xml:space="preserve">, in addition to the actual sentence, the sentence that would have been imposed but for both the plea of guilty and the undertaking, the sentence that would have been imposed but </w:t>
      </w:r>
      <w:r w:rsidR="00EE35BD">
        <w:rPr>
          <w:rFonts w:asciiTheme="minorHAnsi" w:hAnsiTheme="minorHAnsi" w:cs="Arial"/>
          <w:szCs w:val="22"/>
        </w:rPr>
        <w:t xml:space="preserve">for </w:t>
      </w:r>
      <w:r>
        <w:rPr>
          <w:rFonts w:asciiTheme="minorHAnsi" w:hAnsiTheme="minorHAnsi" w:cs="Arial"/>
          <w:szCs w:val="22"/>
        </w:rPr>
        <w:t>the plea of guilty alone, and the sentence that would have been imposed but for the undertaking alone.</w:t>
      </w:r>
    </w:p>
    <w:p w14:paraId="7A0F2040" w14:textId="77777777" w:rsidR="00E80ECA" w:rsidRPr="00C00000" w:rsidRDefault="00E80ECA" w:rsidP="00E80ECA">
      <w:pPr>
        <w:widowControl w:val="0"/>
        <w:spacing w:line="276" w:lineRule="auto"/>
        <w:ind w:left="873"/>
        <w:jc w:val="both"/>
        <w:rPr>
          <w:rFonts w:asciiTheme="minorHAnsi" w:hAnsiTheme="minorHAnsi"/>
        </w:rPr>
      </w:pPr>
    </w:p>
    <w:p w14:paraId="660EC75B" w14:textId="055CC943" w:rsidR="00FA3F97" w:rsidRPr="00EB7F1E" w:rsidRDefault="005A713B">
      <w:pPr>
        <w:pStyle w:val="Heading2"/>
        <w:rPr>
          <w:rStyle w:val="Strong"/>
          <w:b/>
          <w:bCs w:val="0"/>
        </w:rPr>
      </w:pPr>
      <w:bookmarkStart w:id="3046" w:name="_Ref492823967"/>
      <w:bookmarkStart w:id="3047" w:name="_Ref492823974"/>
      <w:bookmarkStart w:id="3048" w:name="_Toc33602957"/>
      <w:r w:rsidRPr="00EB7F1E">
        <w:rPr>
          <w:rStyle w:val="Strong"/>
          <w:b/>
          <w:bCs w:val="0"/>
        </w:rPr>
        <w:t>Aggregate p</w:t>
      </w:r>
      <w:r w:rsidR="00FA3F97" w:rsidRPr="00EB7F1E">
        <w:rPr>
          <w:rStyle w:val="Strong"/>
          <w:b/>
          <w:bCs w:val="0"/>
        </w:rPr>
        <w:t>enalty</w:t>
      </w:r>
      <w:bookmarkEnd w:id="3044"/>
      <w:bookmarkEnd w:id="3045"/>
      <w:bookmarkEnd w:id="3046"/>
      <w:bookmarkEnd w:id="3047"/>
      <w:bookmarkEnd w:id="3048"/>
    </w:p>
    <w:p w14:paraId="6002D2E9" w14:textId="1B7E15E7" w:rsidR="00FA3F97" w:rsidRDefault="00FA3F97" w:rsidP="008B3E81">
      <w:pPr>
        <w:pStyle w:val="ListParagraph"/>
        <w:keepNext/>
        <w:spacing w:line="276" w:lineRule="auto"/>
        <w:ind w:left="873" w:right="28"/>
        <w:rPr>
          <w:rFonts w:asciiTheme="minorHAnsi" w:hAnsiTheme="minorHAnsi"/>
        </w:rPr>
      </w:pPr>
    </w:p>
    <w:p w14:paraId="4F1B0487" w14:textId="10F470B1" w:rsidR="00FB6C01" w:rsidRDefault="002F04A3" w:rsidP="008B3E81">
      <w:pPr>
        <w:pStyle w:val="Heading3"/>
      </w:pPr>
      <w:bookmarkStart w:id="3049" w:name="_Toc33602958"/>
      <w:r>
        <w:t>Overview</w:t>
      </w:r>
      <w:bookmarkEnd w:id="3049"/>
    </w:p>
    <w:p w14:paraId="50267EDC" w14:textId="77777777" w:rsidR="0098313F" w:rsidRDefault="0098313F" w:rsidP="008B3E81">
      <w:pPr>
        <w:keepNext/>
        <w:widowControl w:val="0"/>
        <w:spacing w:line="276" w:lineRule="auto"/>
        <w:jc w:val="both"/>
        <w:rPr>
          <w:rFonts w:asciiTheme="minorHAnsi" w:hAnsiTheme="minorHAnsi"/>
        </w:rPr>
      </w:pPr>
    </w:p>
    <w:p w14:paraId="3B8C9381" w14:textId="21978975" w:rsidR="0023592D" w:rsidRDefault="0058435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common law does not permit aggregate sentences.</w:t>
      </w:r>
      <w:r w:rsidRPr="00C00000">
        <w:rPr>
          <w:rStyle w:val="Style"/>
          <w:rFonts w:asciiTheme="minorHAnsi" w:hAnsiTheme="minorHAnsi"/>
        </w:rPr>
        <w:footnoteReference w:id="1077"/>
      </w:r>
      <w:r w:rsidR="00E276FD">
        <w:rPr>
          <w:rFonts w:asciiTheme="minorHAnsi" w:hAnsiTheme="minorHAnsi"/>
        </w:rPr>
        <w:t xml:space="preserve"> </w:t>
      </w:r>
      <w:r>
        <w:rPr>
          <w:rFonts w:asciiTheme="minorHAnsi" w:hAnsiTheme="minorHAnsi"/>
        </w:rPr>
        <w:t xml:space="preserve"> If </w:t>
      </w:r>
      <w:r w:rsidR="00E276FD">
        <w:rPr>
          <w:rFonts w:asciiTheme="minorHAnsi" w:hAnsiTheme="minorHAnsi"/>
        </w:rPr>
        <w:t xml:space="preserve">an offender is found guilty of more than one offence, a sentencing court must impose a separate sentence for each offence, </w:t>
      </w:r>
      <w:r w:rsidR="00C81994">
        <w:rPr>
          <w:rFonts w:asciiTheme="minorHAnsi" w:hAnsiTheme="minorHAnsi"/>
        </w:rPr>
        <w:t xml:space="preserve">except </w:t>
      </w:r>
      <w:r w:rsidR="00144D6D">
        <w:rPr>
          <w:rFonts w:asciiTheme="minorHAnsi" w:hAnsiTheme="minorHAnsi"/>
        </w:rPr>
        <w:t>to the extent that aggregation of sentences is</w:t>
      </w:r>
      <w:r w:rsidR="00C81994">
        <w:rPr>
          <w:rFonts w:asciiTheme="minorHAnsi" w:hAnsiTheme="minorHAnsi"/>
        </w:rPr>
        <w:t xml:space="preserve"> </w:t>
      </w:r>
      <w:r w:rsidR="00F47D0C">
        <w:rPr>
          <w:rFonts w:asciiTheme="minorHAnsi" w:hAnsiTheme="minorHAnsi"/>
        </w:rPr>
        <w:t>author</w:t>
      </w:r>
      <w:r w:rsidR="00B86888">
        <w:rPr>
          <w:rFonts w:asciiTheme="minorHAnsi" w:hAnsiTheme="minorHAnsi"/>
        </w:rPr>
        <w:t>ised</w:t>
      </w:r>
      <w:r w:rsidR="00E276FD">
        <w:rPr>
          <w:rFonts w:asciiTheme="minorHAnsi" w:hAnsiTheme="minorHAnsi"/>
        </w:rPr>
        <w:t xml:space="preserve"> </w:t>
      </w:r>
      <w:r>
        <w:rPr>
          <w:rFonts w:asciiTheme="minorHAnsi" w:hAnsiTheme="minorHAnsi"/>
        </w:rPr>
        <w:t xml:space="preserve">or required </w:t>
      </w:r>
      <w:r w:rsidR="00E276FD">
        <w:rPr>
          <w:rFonts w:asciiTheme="minorHAnsi" w:hAnsiTheme="minorHAnsi"/>
        </w:rPr>
        <w:t>by statute.</w:t>
      </w:r>
    </w:p>
    <w:p w14:paraId="7131AA21" w14:textId="77777777" w:rsidR="00E276FD" w:rsidRPr="00E276FD" w:rsidRDefault="00E276FD" w:rsidP="00E276FD">
      <w:pPr>
        <w:spacing w:line="276" w:lineRule="auto"/>
        <w:ind w:right="28"/>
        <w:rPr>
          <w:rFonts w:asciiTheme="minorHAnsi" w:hAnsiTheme="minorHAnsi"/>
        </w:rPr>
      </w:pPr>
    </w:p>
    <w:p w14:paraId="387DF35C" w14:textId="28735713" w:rsidR="00765044" w:rsidRDefault="00FA3F97"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 xml:space="preserve">A </w:t>
      </w:r>
      <w:r w:rsidR="00F97AD5" w:rsidRPr="00C00000">
        <w:rPr>
          <w:rFonts w:asciiTheme="minorHAnsi" w:hAnsiTheme="minorHAnsi"/>
        </w:rPr>
        <w:t xml:space="preserve">court </w:t>
      </w:r>
      <w:r w:rsidRPr="00C00000">
        <w:rPr>
          <w:rFonts w:asciiTheme="minorHAnsi" w:hAnsiTheme="minorHAnsi"/>
        </w:rPr>
        <w:t>has the power</w:t>
      </w:r>
      <w:r w:rsidR="00F44A7E">
        <w:rPr>
          <w:rFonts w:asciiTheme="minorHAnsi" w:hAnsiTheme="minorHAnsi"/>
        </w:rPr>
        <w:t>, pursuant to statute,</w:t>
      </w:r>
      <w:r w:rsidRPr="00C00000">
        <w:rPr>
          <w:rFonts w:asciiTheme="minorHAnsi" w:hAnsiTheme="minorHAnsi"/>
        </w:rPr>
        <w:t xml:space="preserve"> to impose an aggregate penalty in respect of </w:t>
      </w:r>
      <w:r w:rsidR="00144D6D">
        <w:rPr>
          <w:rFonts w:asciiTheme="minorHAnsi" w:hAnsiTheme="minorHAnsi"/>
        </w:rPr>
        <w:t xml:space="preserve">two or more </w:t>
      </w:r>
      <w:r w:rsidRPr="00C00000">
        <w:rPr>
          <w:rFonts w:asciiTheme="minorHAnsi" w:hAnsiTheme="minorHAnsi"/>
        </w:rPr>
        <w:t>federal offences in some circumstances.</w:t>
      </w:r>
      <w:r w:rsidR="005A0145">
        <w:rPr>
          <w:rFonts w:asciiTheme="minorHAnsi" w:hAnsiTheme="minorHAnsi"/>
        </w:rPr>
        <w:t xml:space="preserve">  In </w:t>
      </w:r>
      <w:r w:rsidR="000C722D">
        <w:rPr>
          <w:rFonts w:asciiTheme="minorHAnsi" w:hAnsiTheme="minorHAnsi"/>
        </w:rPr>
        <w:t>summary, the circumstances are as follows</w:t>
      </w:r>
      <w:r w:rsidR="005A0145">
        <w:rPr>
          <w:rFonts w:asciiTheme="minorHAnsi" w:hAnsiTheme="minorHAnsi"/>
        </w:rPr>
        <w:t>:</w:t>
      </w:r>
    </w:p>
    <w:p w14:paraId="442059CD" w14:textId="23C3AF59" w:rsidR="00E32550" w:rsidRDefault="00E32550" w:rsidP="00EB7F1E">
      <w:pPr>
        <w:pStyle w:val="ListParagraph"/>
        <w:numPr>
          <w:ilvl w:val="1"/>
          <w:numId w:val="36"/>
        </w:numPr>
        <w:spacing w:line="276" w:lineRule="auto"/>
        <w:ind w:left="993" w:right="28" w:hanging="142"/>
        <w:rPr>
          <w:rFonts w:asciiTheme="minorHAnsi" w:hAnsiTheme="minorHAnsi"/>
        </w:rPr>
      </w:pPr>
      <w:r w:rsidRPr="00B044D9">
        <w:rPr>
          <w:rFonts w:asciiTheme="minorHAnsi" w:hAnsiTheme="minorHAnsi"/>
          <w:b/>
        </w:rPr>
        <w:t>A single bond without conviction under s 19B</w:t>
      </w:r>
      <w:r>
        <w:rPr>
          <w:rFonts w:asciiTheme="minorHAnsi" w:hAnsiTheme="minorHAnsi"/>
        </w:rPr>
        <w:t xml:space="preserve"> of the </w:t>
      </w:r>
      <w:r w:rsidR="00885EFD" w:rsidRPr="00885EFD">
        <w:rPr>
          <w:rFonts w:asciiTheme="minorHAnsi" w:hAnsiTheme="minorHAnsi"/>
          <w:i/>
        </w:rPr>
        <w:t>Crimes Act 1914</w:t>
      </w:r>
      <w:r>
        <w:rPr>
          <w:rFonts w:asciiTheme="minorHAnsi" w:hAnsiTheme="minorHAnsi"/>
        </w:rPr>
        <w:t xml:space="preserve"> (Cth) may be ordered in relation to any number of Commonwealth offences.</w:t>
      </w:r>
    </w:p>
    <w:p w14:paraId="1116279D" w14:textId="726099BE" w:rsidR="00E32550" w:rsidRDefault="00E32550" w:rsidP="00EB7F1E">
      <w:pPr>
        <w:pStyle w:val="ListParagraph"/>
        <w:numPr>
          <w:ilvl w:val="1"/>
          <w:numId w:val="36"/>
        </w:numPr>
        <w:spacing w:line="276" w:lineRule="auto"/>
        <w:ind w:left="993" w:right="28" w:hanging="142"/>
        <w:rPr>
          <w:rFonts w:asciiTheme="minorHAnsi" w:hAnsiTheme="minorHAnsi"/>
        </w:rPr>
      </w:pPr>
      <w:r w:rsidRPr="00B044D9">
        <w:rPr>
          <w:rFonts w:asciiTheme="minorHAnsi" w:hAnsiTheme="minorHAnsi"/>
          <w:b/>
        </w:rPr>
        <w:t>A single bond with conviction under s 20(1)(a)</w:t>
      </w:r>
      <w:r>
        <w:rPr>
          <w:rFonts w:asciiTheme="minorHAnsi" w:hAnsiTheme="minorHAnsi"/>
        </w:rPr>
        <w:t xml:space="preserve"> of the </w:t>
      </w:r>
      <w:r w:rsidR="00885EFD" w:rsidRPr="00885EFD">
        <w:rPr>
          <w:rFonts w:asciiTheme="minorHAnsi" w:hAnsiTheme="minorHAnsi"/>
          <w:i/>
        </w:rPr>
        <w:t>Crimes Act 1914</w:t>
      </w:r>
      <w:r>
        <w:rPr>
          <w:rFonts w:asciiTheme="minorHAnsi" w:hAnsiTheme="minorHAnsi"/>
        </w:rPr>
        <w:t xml:space="preserve"> may be ordered in relation to any number of Commonwealth offences.</w:t>
      </w:r>
    </w:p>
    <w:p w14:paraId="29DC0000" w14:textId="65ECA432" w:rsidR="00E32550" w:rsidRDefault="000C722D" w:rsidP="00EB7F1E">
      <w:pPr>
        <w:pStyle w:val="ListParagraph"/>
        <w:numPr>
          <w:ilvl w:val="1"/>
          <w:numId w:val="36"/>
        </w:numPr>
        <w:spacing w:line="276" w:lineRule="auto"/>
        <w:ind w:left="993" w:right="28" w:hanging="142"/>
        <w:rPr>
          <w:rFonts w:asciiTheme="minorHAnsi" w:hAnsiTheme="minorHAnsi"/>
        </w:rPr>
      </w:pPr>
      <w:r w:rsidRPr="00B044D9">
        <w:rPr>
          <w:rFonts w:asciiTheme="minorHAnsi" w:hAnsiTheme="minorHAnsi"/>
          <w:b/>
        </w:rPr>
        <w:t>An order under State/Territory law which is applied by s 20AB</w:t>
      </w:r>
      <w:r>
        <w:rPr>
          <w:rFonts w:asciiTheme="minorHAnsi" w:hAnsiTheme="minorHAnsi"/>
        </w:rPr>
        <w:t xml:space="preserve"> of the </w:t>
      </w:r>
      <w:r w:rsidR="00885EFD" w:rsidRPr="00885EFD">
        <w:rPr>
          <w:rFonts w:asciiTheme="minorHAnsi" w:hAnsiTheme="minorHAnsi"/>
          <w:i/>
        </w:rPr>
        <w:t>Crimes Act 1914</w:t>
      </w:r>
      <w:r>
        <w:rPr>
          <w:rFonts w:asciiTheme="minorHAnsi" w:hAnsiTheme="minorHAnsi"/>
        </w:rPr>
        <w:t xml:space="preserve"> may be imposed in relation to more than one </w:t>
      </w:r>
      <w:r w:rsidR="0098313F">
        <w:rPr>
          <w:rFonts w:asciiTheme="minorHAnsi" w:hAnsiTheme="minorHAnsi"/>
        </w:rPr>
        <w:t xml:space="preserve">Commonwealth </w:t>
      </w:r>
      <w:r>
        <w:rPr>
          <w:rFonts w:asciiTheme="minorHAnsi" w:hAnsiTheme="minorHAnsi"/>
        </w:rPr>
        <w:t>offence if the law of that State/Territory so permits.</w:t>
      </w:r>
    </w:p>
    <w:p w14:paraId="5B602BA9" w14:textId="3AABFAF4" w:rsidR="000C722D" w:rsidRDefault="00A623F4" w:rsidP="00EB7F1E">
      <w:pPr>
        <w:pStyle w:val="ListParagraph"/>
        <w:numPr>
          <w:ilvl w:val="1"/>
          <w:numId w:val="36"/>
        </w:numPr>
        <w:spacing w:line="276" w:lineRule="auto"/>
        <w:ind w:left="993" w:right="28" w:hanging="142"/>
        <w:rPr>
          <w:rFonts w:asciiTheme="minorHAnsi" w:hAnsiTheme="minorHAnsi"/>
        </w:rPr>
      </w:pPr>
      <w:r w:rsidRPr="00967F46">
        <w:rPr>
          <w:rFonts w:asciiTheme="minorHAnsi" w:hAnsiTheme="minorHAnsi"/>
          <w:b/>
        </w:rPr>
        <w:t>Particular Commonwealth</w:t>
      </w:r>
      <w:r w:rsidR="00310CE0" w:rsidRPr="00967F46">
        <w:rPr>
          <w:rFonts w:asciiTheme="minorHAnsi" w:hAnsiTheme="minorHAnsi"/>
          <w:b/>
        </w:rPr>
        <w:t xml:space="preserve"> Acts permit the imposition of a single aggregate penalty</w:t>
      </w:r>
      <w:r w:rsidR="00937077" w:rsidRPr="00F44A7E">
        <w:rPr>
          <w:rFonts w:asciiTheme="minorHAnsi" w:hAnsiTheme="minorHAnsi"/>
          <w:b/>
        </w:rPr>
        <w:t xml:space="preserve"> for two or more offences against the particular Act</w:t>
      </w:r>
      <w:r w:rsidR="00937077">
        <w:rPr>
          <w:rFonts w:asciiTheme="minorHAnsi" w:hAnsiTheme="minorHAnsi"/>
        </w:rPr>
        <w:t xml:space="preserve">. </w:t>
      </w:r>
      <w:r w:rsidR="00310CE0">
        <w:rPr>
          <w:rFonts w:asciiTheme="minorHAnsi" w:hAnsiTheme="minorHAnsi"/>
        </w:rPr>
        <w:t xml:space="preserve"> </w:t>
      </w:r>
      <w:r w:rsidR="00937077">
        <w:rPr>
          <w:rFonts w:asciiTheme="minorHAnsi" w:hAnsiTheme="minorHAnsi"/>
        </w:rPr>
        <w:t xml:space="preserve">The most significant example is s 219 of the </w:t>
      </w:r>
      <w:r w:rsidR="000C722D" w:rsidRPr="00C00000">
        <w:rPr>
          <w:rFonts w:asciiTheme="minorHAnsi" w:hAnsiTheme="minorHAnsi"/>
          <w:i/>
        </w:rPr>
        <w:t xml:space="preserve">Social Security (Administration) Act 1999 </w:t>
      </w:r>
      <w:r w:rsidR="000C722D" w:rsidRPr="00C00000">
        <w:rPr>
          <w:rFonts w:asciiTheme="minorHAnsi" w:hAnsiTheme="minorHAnsi"/>
        </w:rPr>
        <w:t>(Cth)</w:t>
      </w:r>
      <w:r w:rsidR="000C722D">
        <w:rPr>
          <w:rFonts w:asciiTheme="minorHAnsi" w:hAnsiTheme="minorHAnsi"/>
        </w:rPr>
        <w:t xml:space="preserve">, </w:t>
      </w:r>
      <w:r w:rsidR="00937077">
        <w:rPr>
          <w:rFonts w:asciiTheme="minorHAnsi" w:hAnsiTheme="minorHAnsi"/>
        </w:rPr>
        <w:t>which permits a single penalty to be imposed for more than one offence against s 217 of that Act.</w:t>
      </w:r>
    </w:p>
    <w:p w14:paraId="72BAF279" w14:textId="11F98AA7" w:rsidR="002F0724" w:rsidRDefault="002F0724" w:rsidP="00EB7F1E">
      <w:pPr>
        <w:pStyle w:val="ListParagraph"/>
        <w:numPr>
          <w:ilvl w:val="1"/>
          <w:numId w:val="36"/>
        </w:numPr>
        <w:spacing w:line="276" w:lineRule="auto"/>
        <w:ind w:left="993" w:right="28" w:hanging="142"/>
        <w:rPr>
          <w:rFonts w:asciiTheme="minorHAnsi" w:hAnsiTheme="minorHAnsi"/>
        </w:rPr>
      </w:pPr>
      <w:r w:rsidRPr="00C31BA2">
        <w:rPr>
          <w:rFonts w:asciiTheme="minorHAnsi" w:hAnsiTheme="minorHAnsi"/>
          <w:b/>
        </w:rPr>
        <w:t xml:space="preserve">If </w:t>
      </w:r>
      <w:r w:rsidRPr="00967F46">
        <w:rPr>
          <w:rFonts w:asciiTheme="minorHAnsi" w:hAnsiTheme="minorHAnsi"/>
          <w:b/>
        </w:rPr>
        <w:t xml:space="preserve">charges for </w:t>
      </w:r>
      <w:r w:rsidR="0036237F" w:rsidRPr="00967F46">
        <w:rPr>
          <w:rFonts w:asciiTheme="minorHAnsi" w:hAnsiTheme="minorHAnsi"/>
          <w:b/>
        </w:rPr>
        <w:t xml:space="preserve">more than one offence against the </w:t>
      </w:r>
      <w:r w:rsidR="009A3370" w:rsidRPr="00967F46">
        <w:rPr>
          <w:rFonts w:asciiTheme="minorHAnsi" w:hAnsiTheme="minorHAnsi"/>
          <w:b/>
        </w:rPr>
        <w:t xml:space="preserve">same </w:t>
      </w:r>
      <w:r w:rsidR="0036237F" w:rsidRPr="00967F46">
        <w:rPr>
          <w:rFonts w:asciiTheme="minorHAnsi" w:hAnsiTheme="minorHAnsi"/>
          <w:b/>
        </w:rPr>
        <w:t xml:space="preserve">provision of a law of the </w:t>
      </w:r>
      <w:r w:rsidRPr="00967F46">
        <w:rPr>
          <w:rFonts w:asciiTheme="minorHAnsi" w:hAnsiTheme="minorHAnsi"/>
          <w:b/>
        </w:rPr>
        <w:t xml:space="preserve">Commonwealth offence are joined in a </w:t>
      </w:r>
      <w:r w:rsidR="0036237F" w:rsidRPr="00967F46">
        <w:rPr>
          <w:rFonts w:asciiTheme="minorHAnsi" w:hAnsiTheme="minorHAnsi"/>
          <w:b/>
        </w:rPr>
        <w:t>single “information, complaint or summons</w:t>
      </w:r>
      <w:r w:rsidR="0036237F" w:rsidRPr="00C31BA2">
        <w:rPr>
          <w:rFonts w:asciiTheme="minorHAnsi" w:hAnsiTheme="minorHAnsi"/>
          <w:b/>
        </w:rPr>
        <w:t xml:space="preserve">” (but not indictment) under s 4K(3) of the </w:t>
      </w:r>
      <w:r w:rsidR="00885EFD" w:rsidRPr="00885EFD">
        <w:rPr>
          <w:rFonts w:asciiTheme="minorHAnsi" w:hAnsiTheme="minorHAnsi"/>
          <w:b/>
          <w:i/>
        </w:rPr>
        <w:t>Crimes Act 1914</w:t>
      </w:r>
      <w:r w:rsidR="0036237F" w:rsidRPr="00C31BA2">
        <w:rPr>
          <w:rFonts w:asciiTheme="minorHAnsi" w:hAnsiTheme="minorHAnsi"/>
          <w:b/>
          <w:i/>
        </w:rPr>
        <w:t xml:space="preserve"> </w:t>
      </w:r>
      <w:r w:rsidR="0036237F" w:rsidRPr="00C31BA2">
        <w:rPr>
          <w:rFonts w:asciiTheme="minorHAnsi" w:hAnsiTheme="minorHAnsi"/>
          <w:b/>
        </w:rPr>
        <w:t>(Cth)</w:t>
      </w:r>
      <w:r w:rsidR="0036237F">
        <w:rPr>
          <w:rFonts w:asciiTheme="minorHAnsi" w:hAnsiTheme="minorHAnsi"/>
        </w:rPr>
        <w:t xml:space="preserve">, a court may, upon conviction, impose one penalty in respect of those offences, pursuant to s 4K(4) of the </w:t>
      </w:r>
      <w:r w:rsidR="0036237F" w:rsidRPr="0036237F">
        <w:rPr>
          <w:rFonts w:asciiTheme="minorHAnsi" w:hAnsiTheme="minorHAnsi"/>
          <w:i/>
        </w:rPr>
        <w:t>Crimes Act</w:t>
      </w:r>
      <w:r w:rsidR="0036237F">
        <w:rPr>
          <w:rFonts w:asciiTheme="minorHAnsi" w:hAnsiTheme="minorHAnsi"/>
        </w:rPr>
        <w:t>.</w:t>
      </w:r>
    </w:p>
    <w:p w14:paraId="623BA901" w14:textId="62B8E081" w:rsidR="007B300D" w:rsidRDefault="007B300D" w:rsidP="00EB7F1E">
      <w:pPr>
        <w:pStyle w:val="ListParagraph"/>
        <w:numPr>
          <w:ilvl w:val="1"/>
          <w:numId w:val="36"/>
        </w:numPr>
        <w:spacing w:line="276" w:lineRule="auto"/>
        <w:ind w:left="993" w:right="28" w:hanging="142"/>
        <w:rPr>
          <w:rFonts w:asciiTheme="minorHAnsi" w:hAnsiTheme="minorHAnsi"/>
        </w:rPr>
      </w:pPr>
      <w:r w:rsidRPr="00967F46">
        <w:rPr>
          <w:rFonts w:asciiTheme="minorHAnsi" w:hAnsiTheme="minorHAnsi"/>
          <w:b/>
        </w:rPr>
        <w:t xml:space="preserve">If the law of the particular State or Territory permits a court sentencing an offender summarily to impose a single </w:t>
      </w:r>
      <w:r w:rsidRPr="00F97AD5">
        <w:rPr>
          <w:rFonts w:asciiTheme="minorHAnsi" w:hAnsiTheme="minorHAnsi"/>
          <w:b/>
        </w:rPr>
        <w:t>penalty for more than one offence</w:t>
      </w:r>
      <w:r>
        <w:rPr>
          <w:rFonts w:asciiTheme="minorHAnsi" w:hAnsiTheme="minorHAnsi"/>
        </w:rPr>
        <w:t xml:space="preserve">, the law </w:t>
      </w:r>
      <w:r w:rsidR="00C31BA2">
        <w:rPr>
          <w:rFonts w:asciiTheme="minorHAnsi" w:hAnsiTheme="minorHAnsi"/>
        </w:rPr>
        <w:t xml:space="preserve">can </w:t>
      </w:r>
      <w:r>
        <w:rPr>
          <w:rFonts w:asciiTheme="minorHAnsi" w:hAnsiTheme="minorHAnsi"/>
        </w:rPr>
        <w:t xml:space="preserve">(so far as it is applicable) be picked up and applied to the sentencing of a federal offender by ss 68 and 79 of the </w:t>
      </w:r>
      <w:r w:rsidRPr="000B5F84">
        <w:rPr>
          <w:rFonts w:asciiTheme="minorHAnsi" w:hAnsiTheme="minorHAnsi"/>
          <w:i/>
        </w:rPr>
        <w:t>Judiciary Act 1903</w:t>
      </w:r>
      <w:r>
        <w:rPr>
          <w:rFonts w:asciiTheme="minorHAnsi" w:hAnsiTheme="minorHAnsi"/>
        </w:rPr>
        <w:t xml:space="preserve"> (Cth).  </w:t>
      </w:r>
      <w:r w:rsidR="00F5277D">
        <w:rPr>
          <w:rFonts w:asciiTheme="minorHAnsi" w:hAnsiTheme="minorHAnsi"/>
        </w:rPr>
        <w:t xml:space="preserve">The </w:t>
      </w:r>
      <w:r>
        <w:rPr>
          <w:rFonts w:asciiTheme="minorHAnsi" w:hAnsiTheme="minorHAnsi"/>
        </w:rPr>
        <w:t xml:space="preserve">specific power in s 4K(4) of the </w:t>
      </w:r>
      <w:r w:rsidR="00885EFD" w:rsidRPr="00885EFD">
        <w:rPr>
          <w:rFonts w:asciiTheme="minorHAnsi" w:hAnsiTheme="minorHAnsi"/>
          <w:i/>
        </w:rPr>
        <w:t>Crimes Act 1914</w:t>
      </w:r>
      <w:r>
        <w:rPr>
          <w:rFonts w:asciiTheme="minorHAnsi" w:hAnsiTheme="minorHAnsi"/>
        </w:rPr>
        <w:t xml:space="preserve"> (Cth) </w:t>
      </w:r>
      <w:r w:rsidR="008A6C19">
        <w:rPr>
          <w:rFonts w:asciiTheme="minorHAnsi" w:hAnsiTheme="minorHAnsi"/>
        </w:rPr>
        <w:t xml:space="preserve">probably </w:t>
      </w:r>
      <w:r>
        <w:rPr>
          <w:rFonts w:asciiTheme="minorHAnsi" w:hAnsiTheme="minorHAnsi"/>
        </w:rPr>
        <w:t>does not preclude the application of such a law</w:t>
      </w:r>
      <w:r w:rsidR="00F5277D">
        <w:rPr>
          <w:rFonts w:asciiTheme="minorHAnsi" w:hAnsiTheme="minorHAnsi"/>
        </w:rPr>
        <w:t xml:space="preserve">.  (The reason for hesitation about this conclusion is that </w:t>
      </w:r>
      <w:r w:rsidR="00D1725F">
        <w:rPr>
          <w:rFonts w:asciiTheme="minorHAnsi" w:hAnsiTheme="minorHAnsi"/>
        </w:rPr>
        <w:t xml:space="preserve">the </w:t>
      </w:r>
      <w:r w:rsidR="00F5277D">
        <w:rPr>
          <w:rFonts w:asciiTheme="minorHAnsi" w:hAnsiTheme="minorHAnsi"/>
        </w:rPr>
        <w:t xml:space="preserve">only supporting authority for </w:t>
      </w:r>
      <w:r w:rsidR="00D1725F">
        <w:rPr>
          <w:rFonts w:asciiTheme="minorHAnsi" w:hAnsiTheme="minorHAnsi"/>
        </w:rPr>
        <w:t>it</w:t>
      </w:r>
      <w:r w:rsidR="00F5277D">
        <w:rPr>
          <w:rFonts w:asciiTheme="minorHAnsi" w:hAnsiTheme="minorHAnsi"/>
        </w:rPr>
        <w:t xml:space="preserve"> appears to be </w:t>
      </w:r>
      <w:r w:rsidR="00F5277D" w:rsidRPr="00D1725F">
        <w:rPr>
          <w:rFonts w:asciiTheme="minorHAnsi" w:hAnsiTheme="minorHAnsi"/>
          <w:i/>
        </w:rPr>
        <w:t>obiter dicta</w:t>
      </w:r>
      <w:r w:rsidR="00F5277D">
        <w:rPr>
          <w:rFonts w:asciiTheme="minorHAnsi" w:hAnsiTheme="minorHAnsi"/>
        </w:rPr>
        <w:t>.)</w:t>
      </w:r>
    </w:p>
    <w:p w14:paraId="27CD823F" w14:textId="5EAFCFFD" w:rsidR="00C31BA2" w:rsidRDefault="00C31BA2" w:rsidP="00EB7F1E">
      <w:pPr>
        <w:pStyle w:val="ListParagraph"/>
        <w:numPr>
          <w:ilvl w:val="1"/>
          <w:numId w:val="36"/>
        </w:numPr>
        <w:spacing w:line="276" w:lineRule="auto"/>
        <w:ind w:left="993" w:right="28" w:hanging="142"/>
        <w:rPr>
          <w:rFonts w:asciiTheme="minorHAnsi" w:hAnsiTheme="minorHAnsi"/>
        </w:rPr>
      </w:pPr>
      <w:r w:rsidRPr="00967F46">
        <w:rPr>
          <w:rFonts w:asciiTheme="minorHAnsi" w:hAnsiTheme="minorHAnsi"/>
          <w:b/>
        </w:rPr>
        <w:t>If the law of the particular State or Territory permits a court sentencing an offender on indictment to impose a single penalty</w:t>
      </w:r>
      <w:r>
        <w:rPr>
          <w:rFonts w:asciiTheme="minorHAnsi" w:hAnsiTheme="minorHAnsi"/>
        </w:rPr>
        <w:t xml:space="preserve"> </w:t>
      </w:r>
      <w:r w:rsidRPr="0098313F">
        <w:rPr>
          <w:rFonts w:asciiTheme="minorHAnsi" w:hAnsiTheme="minorHAnsi"/>
          <w:b/>
        </w:rPr>
        <w:t>for more than one offence</w:t>
      </w:r>
      <w:r>
        <w:rPr>
          <w:rFonts w:asciiTheme="minorHAnsi" w:hAnsiTheme="minorHAnsi"/>
        </w:rPr>
        <w:t xml:space="preserve">, the law will (so far as it is applicable) be picked up and applied to the sentencing of a federal offender by ss 68 and 79 of the </w:t>
      </w:r>
      <w:r w:rsidRPr="000B5F84">
        <w:rPr>
          <w:rFonts w:asciiTheme="minorHAnsi" w:hAnsiTheme="minorHAnsi"/>
          <w:i/>
        </w:rPr>
        <w:t>Judiciary Act 1903</w:t>
      </w:r>
      <w:r>
        <w:rPr>
          <w:rFonts w:asciiTheme="minorHAnsi" w:hAnsiTheme="minorHAnsi"/>
        </w:rPr>
        <w:t xml:space="preserve"> (Cth).  The specific power in s 4K(4) of the </w:t>
      </w:r>
      <w:r w:rsidR="00885EFD" w:rsidRPr="00885EFD">
        <w:rPr>
          <w:rFonts w:asciiTheme="minorHAnsi" w:hAnsiTheme="minorHAnsi"/>
          <w:i/>
        </w:rPr>
        <w:t>Crimes Act 1914</w:t>
      </w:r>
      <w:r>
        <w:rPr>
          <w:rFonts w:asciiTheme="minorHAnsi" w:hAnsiTheme="minorHAnsi"/>
        </w:rPr>
        <w:t xml:space="preserve"> (Cth) (which does not apply to a proceeding by indictment) does not preclude the application of such a law.</w:t>
      </w:r>
      <w:r w:rsidR="00F5277D" w:rsidRPr="00C00000">
        <w:rPr>
          <w:rStyle w:val="Style"/>
          <w:rFonts w:asciiTheme="minorHAnsi" w:hAnsiTheme="minorHAnsi"/>
        </w:rPr>
        <w:footnoteReference w:id="1078"/>
      </w:r>
    </w:p>
    <w:p w14:paraId="6F22B6B6" w14:textId="0EF195C0" w:rsidR="00FA3F97" w:rsidRDefault="00FA3F97" w:rsidP="00FA3F97">
      <w:pPr>
        <w:pStyle w:val="ListParagraph"/>
        <w:spacing w:line="276" w:lineRule="auto"/>
        <w:ind w:left="567" w:right="28" w:hanging="567"/>
        <w:rPr>
          <w:rFonts w:asciiTheme="minorHAnsi" w:hAnsiTheme="minorHAnsi"/>
        </w:rPr>
      </w:pPr>
    </w:p>
    <w:p w14:paraId="1AC8617D" w14:textId="3B97BDDA" w:rsidR="00144D6D" w:rsidRDefault="00144D6D" w:rsidP="00EB7F1E">
      <w:pPr>
        <w:pStyle w:val="ListParagraph"/>
        <w:numPr>
          <w:ilvl w:val="0"/>
          <w:numId w:val="7"/>
        </w:numPr>
        <w:spacing w:line="276" w:lineRule="auto"/>
        <w:ind w:left="425" w:hanging="425"/>
        <w:contextualSpacing w:val="0"/>
        <w:rPr>
          <w:rFonts w:asciiTheme="minorHAnsi" w:hAnsiTheme="minorHAnsi"/>
        </w:rPr>
      </w:pPr>
      <w:r w:rsidRPr="0098313F">
        <w:rPr>
          <w:rFonts w:asciiTheme="minorHAnsi" w:hAnsiTheme="minorHAnsi"/>
          <w:b/>
        </w:rPr>
        <w:t>Neither in summary proceedings nor in proceedings on indictment can a single penalty be imposed for a Commonwealth offence and a State or Territory offence.</w:t>
      </w:r>
      <w:r w:rsidR="002F04A3" w:rsidRPr="00C00000">
        <w:rPr>
          <w:rStyle w:val="Style"/>
          <w:rFonts w:asciiTheme="minorHAnsi" w:hAnsiTheme="minorHAnsi"/>
        </w:rPr>
        <w:footnoteReference w:id="1079"/>
      </w:r>
    </w:p>
    <w:p w14:paraId="60EEEAD4" w14:textId="77777777" w:rsidR="00144D6D" w:rsidRPr="00144D6D" w:rsidRDefault="00144D6D" w:rsidP="00144D6D">
      <w:pPr>
        <w:spacing w:line="276" w:lineRule="auto"/>
        <w:ind w:right="28"/>
        <w:rPr>
          <w:rFonts w:asciiTheme="minorHAnsi" w:hAnsiTheme="minorHAnsi"/>
        </w:rPr>
      </w:pPr>
    </w:p>
    <w:p w14:paraId="650A9F65" w14:textId="4D8119C8" w:rsidR="00DA3519" w:rsidRDefault="00DA351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following parts of this </w:t>
      </w:r>
      <w:r w:rsidR="009E4569">
        <w:rPr>
          <w:rFonts w:asciiTheme="minorHAnsi" w:hAnsiTheme="minorHAnsi"/>
        </w:rPr>
        <w:t>guide</w:t>
      </w:r>
      <w:r>
        <w:rPr>
          <w:rFonts w:asciiTheme="minorHAnsi" w:hAnsiTheme="minorHAnsi"/>
        </w:rPr>
        <w:t xml:space="preserve"> describe in more detail</w:t>
      </w:r>
      <w:r w:rsidR="002F04A3">
        <w:rPr>
          <w:rFonts w:asciiTheme="minorHAnsi" w:hAnsiTheme="minorHAnsi"/>
        </w:rPr>
        <w:t xml:space="preserve"> the various circumstances in which aggregate penalties are permitted</w:t>
      </w:r>
      <w:r>
        <w:rPr>
          <w:rFonts w:asciiTheme="minorHAnsi" w:hAnsiTheme="minorHAnsi"/>
        </w:rPr>
        <w:t>.</w:t>
      </w:r>
      <w:r w:rsidR="0021608D">
        <w:rPr>
          <w:rFonts w:asciiTheme="minorHAnsi" w:hAnsiTheme="minorHAnsi"/>
        </w:rPr>
        <w:t xml:space="preserve"> </w:t>
      </w:r>
    </w:p>
    <w:p w14:paraId="18A07B0D" w14:textId="77777777" w:rsidR="00DA3519" w:rsidRPr="00C00000" w:rsidRDefault="00DA3519" w:rsidP="00FA3F97">
      <w:pPr>
        <w:pStyle w:val="ListParagraph"/>
        <w:spacing w:line="276" w:lineRule="auto"/>
        <w:ind w:left="567" w:right="28" w:hanging="567"/>
        <w:rPr>
          <w:rFonts w:asciiTheme="minorHAnsi" w:hAnsiTheme="minorHAnsi"/>
        </w:rPr>
      </w:pPr>
    </w:p>
    <w:p w14:paraId="0C8FD0E1" w14:textId="73DBC543" w:rsidR="00425710" w:rsidRPr="00364B92" w:rsidRDefault="00CA5E57" w:rsidP="008B3E81">
      <w:pPr>
        <w:pStyle w:val="Heading3"/>
      </w:pPr>
      <w:bookmarkStart w:id="3050" w:name="_Toc33602959"/>
      <w:r>
        <w:t>Single s 19B or s 20(1)(a) bond</w:t>
      </w:r>
      <w:r w:rsidR="00425710">
        <w:t xml:space="preserve"> for </w:t>
      </w:r>
      <w:r>
        <w:t xml:space="preserve">multiple </w:t>
      </w:r>
      <w:r w:rsidR="00425710">
        <w:t>offences</w:t>
      </w:r>
      <w:bookmarkEnd w:id="3050"/>
    </w:p>
    <w:p w14:paraId="044CFD3E" w14:textId="77777777" w:rsidR="00425710" w:rsidRPr="00C00000" w:rsidRDefault="00425710" w:rsidP="008B3E81">
      <w:pPr>
        <w:pStyle w:val="NormalIndent"/>
        <w:keepNext/>
        <w:spacing w:line="276" w:lineRule="auto"/>
        <w:rPr>
          <w:rFonts w:asciiTheme="minorHAnsi" w:hAnsiTheme="minorHAnsi"/>
        </w:rPr>
      </w:pPr>
    </w:p>
    <w:p w14:paraId="56FD6833" w14:textId="034BF2AB" w:rsidR="00862A10" w:rsidRDefault="00862A1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its own terms, each of s 19B and s 20(1)(a) of the </w:t>
      </w:r>
      <w:r w:rsidR="00885EFD" w:rsidRPr="00885EFD">
        <w:rPr>
          <w:rFonts w:asciiTheme="minorHAnsi" w:hAnsiTheme="minorHAnsi"/>
          <w:i/>
        </w:rPr>
        <w:t>Crimes Act 1914</w:t>
      </w:r>
      <w:r>
        <w:rPr>
          <w:rFonts w:asciiTheme="minorHAnsi" w:hAnsiTheme="minorHAnsi"/>
        </w:rPr>
        <w:t xml:space="preserve"> permits a single order to be made under that provision in relation to more than </w:t>
      </w:r>
      <w:r w:rsidR="001C58BB">
        <w:rPr>
          <w:rFonts w:asciiTheme="minorHAnsi" w:hAnsiTheme="minorHAnsi"/>
        </w:rPr>
        <w:t xml:space="preserve">one </w:t>
      </w:r>
      <w:r>
        <w:rPr>
          <w:rFonts w:asciiTheme="minorHAnsi" w:hAnsiTheme="minorHAnsi"/>
        </w:rPr>
        <w:t>offence.</w:t>
      </w:r>
    </w:p>
    <w:p w14:paraId="0B3C24E7" w14:textId="5B303966" w:rsidR="00862A10" w:rsidRPr="00862A10" w:rsidRDefault="00862A10" w:rsidP="00862A10">
      <w:pPr>
        <w:spacing w:line="276" w:lineRule="auto"/>
        <w:ind w:right="28"/>
        <w:rPr>
          <w:rFonts w:asciiTheme="minorHAnsi" w:hAnsiTheme="minorHAnsi"/>
        </w:rPr>
      </w:pPr>
    </w:p>
    <w:p w14:paraId="3B46C946" w14:textId="1D93C14C" w:rsidR="00862A10" w:rsidRDefault="00862A1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There is no explicit requirement (as there is in other provisions permitting aggregate penalties, such as s 4K(4) of the </w:t>
      </w:r>
      <w:r w:rsidR="00885EFD" w:rsidRPr="00885EFD">
        <w:rPr>
          <w:rFonts w:asciiTheme="minorHAnsi" w:hAnsiTheme="minorHAnsi"/>
          <w:i/>
        </w:rPr>
        <w:t>Crimes Act 1914</w:t>
      </w:r>
      <w:r>
        <w:rPr>
          <w:rFonts w:asciiTheme="minorHAnsi" w:hAnsiTheme="minorHAnsi"/>
        </w:rPr>
        <w:t>) that the charges be for the same offence, or for offences against the same provision of the Commonwealth law, or for offences of the same or similar nature, or that they be contained in the same charge-sheet or information.  The</w:t>
      </w:r>
      <w:r w:rsidR="002813E4">
        <w:rPr>
          <w:rFonts w:asciiTheme="minorHAnsi" w:hAnsiTheme="minorHAnsi"/>
        </w:rPr>
        <w:t xml:space="preserve">re does not </w:t>
      </w:r>
      <w:r>
        <w:rPr>
          <w:rFonts w:asciiTheme="minorHAnsi" w:hAnsiTheme="minorHAnsi"/>
        </w:rPr>
        <w:t xml:space="preserve">appear to be </w:t>
      </w:r>
      <w:r w:rsidR="002813E4">
        <w:rPr>
          <w:rFonts w:asciiTheme="minorHAnsi" w:hAnsiTheme="minorHAnsi"/>
        </w:rPr>
        <w:t xml:space="preserve">any reason to read the </w:t>
      </w:r>
      <w:r>
        <w:rPr>
          <w:rFonts w:asciiTheme="minorHAnsi" w:hAnsiTheme="minorHAnsi"/>
        </w:rPr>
        <w:t xml:space="preserve">power to make a single order under </w:t>
      </w:r>
      <w:r w:rsidR="002813E4">
        <w:rPr>
          <w:rFonts w:asciiTheme="minorHAnsi" w:hAnsiTheme="minorHAnsi"/>
        </w:rPr>
        <w:t xml:space="preserve">s 19B or </w:t>
      </w:r>
      <w:r>
        <w:rPr>
          <w:rFonts w:asciiTheme="minorHAnsi" w:hAnsiTheme="minorHAnsi"/>
        </w:rPr>
        <w:t>s 20</w:t>
      </w:r>
      <w:r w:rsidR="002813E4">
        <w:rPr>
          <w:rFonts w:asciiTheme="minorHAnsi" w:hAnsiTheme="minorHAnsi"/>
        </w:rPr>
        <w:t>(1)(a)</w:t>
      </w:r>
      <w:r>
        <w:rPr>
          <w:rFonts w:asciiTheme="minorHAnsi" w:hAnsiTheme="minorHAnsi"/>
        </w:rPr>
        <w:t xml:space="preserve"> </w:t>
      </w:r>
      <w:r w:rsidR="002813E4">
        <w:rPr>
          <w:rFonts w:asciiTheme="minorHAnsi" w:hAnsiTheme="minorHAnsi"/>
        </w:rPr>
        <w:t xml:space="preserve">as being </w:t>
      </w:r>
      <w:r>
        <w:rPr>
          <w:rFonts w:asciiTheme="minorHAnsi" w:hAnsiTheme="minorHAnsi"/>
        </w:rPr>
        <w:t>subject to</w:t>
      </w:r>
      <w:r w:rsidR="00AA079C">
        <w:rPr>
          <w:rFonts w:asciiTheme="minorHAnsi" w:hAnsiTheme="minorHAnsi"/>
        </w:rPr>
        <w:t xml:space="preserve"> the more limited power in s 4K, or subject to</w:t>
      </w:r>
      <w:r>
        <w:rPr>
          <w:rFonts w:asciiTheme="minorHAnsi" w:hAnsiTheme="minorHAnsi"/>
        </w:rPr>
        <w:t xml:space="preserve"> any </w:t>
      </w:r>
      <w:r w:rsidR="0098313F">
        <w:rPr>
          <w:rFonts w:asciiTheme="minorHAnsi" w:hAnsiTheme="minorHAnsi"/>
        </w:rPr>
        <w:t xml:space="preserve">other </w:t>
      </w:r>
      <w:r>
        <w:rPr>
          <w:rFonts w:asciiTheme="minorHAnsi" w:hAnsiTheme="minorHAnsi"/>
        </w:rPr>
        <w:t>implied limitations.</w:t>
      </w:r>
    </w:p>
    <w:p w14:paraId="25A45899" w14:textId="77777777" w:rsidR="00862A10" w:rsidRPr="002B6A70" w:rsidRDefault="00862A10" w:rsidP="00862A10">
      <w:pPr>
        <w:pStyle w:val="ListParagraph"/>
        <w:rPr>
          <w:rFonts w:asciiTheme="minorHAnsi" w:hAnsiTheme="minorHAnsi"/>
        </w:rPr>
      </w:pPr>
    </w:p>
    <w:p w14:paraId="76C1CD0B" w14:textId="063D27EE" w:rsidR="008A4EFA" w:rsidRPr="00364B92" w:rsidRDefault="008A4EFA" w:rsidP="008B3E81">
      <w:pPr>
        <w:pStyle w:val="Heading3"/>
      </w:pPr>
      <w:bookmarkStart w:id="3051" w:name="_Ref494892240"/>
      <w:bookmarkStart w:id="3052" w:name="_Ref494892243"/>
      <w:bookmarkStart w:id="3053" w:name="_Toc33602960"/>
      <w:r>
        <w:t xml:space="preserve">Single </w:t>
      </w:r>
      <w:r w:rsidR="008475E0">
        <w:t>sentence or order under State/Territory option applied by Crimes Act s 20AB</w:t>
      </w:r>
      <w:bookmarkEnd w:id="3051"/>
      <w:bookmarkEnd w:id="3052"/>
      <w:bookmarkEnd w:id="3053"/>
    </w:p>
    <w:p w14:paraId="03E40A5F" w14:textId="77777777" w:rsidR="008A4EFA" w:rsidRPr="00C00000" w:rsidRDefault="008A4EFA" w:rsidP="008B3E81">
      <w:pPr>
        <w:pStyle w:val="NormalIndent"/>
        <w:keepNext/>
        <w:spacing w:line="276" w:lineRule="auto"/>
        <w:rPr>
          <w:rFonts w:asciiTheme="minorHAnsi" w:hAnsiTheme="minorHAnsi"/>
        </w:rPr>
      </w:pPr>
    </w:p>
    <w:p w14:paraId="5E6E9D3A" w14:textId="25278AC2" w:rsidR="008A4EFA" w:rsidRDefault="008475E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20AB of the </w:t>
      </w:r>
      <w:r w:rsidR="00885EFD" w:rsidRPr="00885EFD">
        <w:rPr>
          <w:rFonts w:asciiTheme="minorHAnsi" w:hAnsiTheme="minorHAnsi"/>
          <w:i/>
        </w:rPr>
        <w:t>Crimes Act 1914</w:t>
      </w:r>
      <w:r>
        <w:rPr>
          <w:rFonts w:asciiTheme="minorHAnsi" w:hAnsiTheme="minorHAnsi"/>
          <w:i/>
        </w:rPr>
        <w:t xml:space="preserve"> </w:t>
      </w:r>
      <w:r>
        <w:rPr>
          <w:rFonts w:asciiTheme="minorHAnsi" w:hAnsiTheme="minorHAnsi"/>
        </w:rPr>
        <w:t xml:space="preserve">(Cth), which picks up certain State or Territory sentencing options and applies them to the sentencing of a federal offender, does not specify whether or not a single such </w:t>
      </w:r>
      <w:r w:rsidR="000A6697">
        <w:rPr>
          <w:rFonts w:asciiTheme="minorHAnsi" w:hAnsiTheme="minorHAnsi"/>
        </w:rPr>
        <w:t xml:space="preserve">sentence or </w:t>
      </w:r>
      <w:r>
        <w:rPr>
          <w:rFonts w:asciiTheme="minorHAnsi" w:hAnsiTheme="minorHAnsi"/>
        </w:rPr>
        <w:t xml:space="preserve">order may be made in </w:t>
      </w:r>
      <w:r w:rsidR="008A4EFA">
        <w:rPr>
          <w:rFonts w:asciiTheme="minorHAnsi" w:hAnsiTheme="minorHAnsi"/>
        </w:rPr>
        <w:t xml:space="preserve">relation to more than </w:t>
      </w:r>
      <w:r w:rsidR="001C58BB">
        <w:rPr>
          <w:rFonts w:asciiTheme="minorHAnsi" w:hAnsiTheme="minorHAnsi"/>
        </w:rPr>
        <w:t xml:space="preserve">one </w:t>
      </w:r>
      <w:r w:rsidR="008A4EFA">
        <w:rPr>
          <w:rFonts w:asciiTheme="minorHAnsi" w:hAnsiTheme="minorHAnsi"/>
        </w:rPr>
        <w:t>offence.</w:t>
      </w:r>
      <w:r w:rsidR="00EB75DC">
        <w:rPr>
          <w:rFonts w:asciiTheme="minorHAnsi" w:hAnsiTheme="minorHAnsi"/>
        </w:rPr>
        <w:t xml:space="preserve">  However some State laws specifically </w:t>
      </w:r>
      <w:r w:rsidR="00F47D0C">
        <w:rPr>
          <w:rFonts w:asciiTheme="minorHAnsi" w:hAnsiTheme="minorHAnsi"/>
        </w:rPr>
        <w:t>author</w:t>
      </w:r>
      <w:r w:rsidR="00B67C2C">
        <w:rPr>
          <w:rFonts w:asciiTheme="minorHAnsi" w:hAnsiTheme="minorHAnsi"/>
        </w:rPr>
        <w:t>ise</w:t>
      </w:r>
      <w:r w:rsidR="00EB75DC">
        <w:rPr>
          <w:rFonts w:asciiTheme="minorHAnsi" w:hAnsiTheme="minorHAnsi"/>
        </w:rPr>
        <w:t xml:space="preserve"> the imposition of a single order of a kind applied by s 20AB in relation to two or more offences.</w:t>
      </w:r>
      <w:r w:rsidR="00887FDF" w:rsidRPr="00C00000">
        <w:rPr>
          <w:rStyle w:val="Style"/>
          <w:rFonts w:asciiTheme="minorHAnsi" w:hAnsiTheme="minorHAnsi"/>
        </w:rPr>
        <w:footnoteReference w:id="1080"/>
      </w:r>
    </w:p>
    <w:p w14:paraId="03426CDF" w14:textId="77777777" w:rsidR="008475E0" w:rsidRPr="008475E0" w:rsidRDefault="008475E0" w:rsidP="008475E0">
      <w:pPr>
        <w:spacing w:line="276" w:lineRule="auto"/>
        <w:ind w:right="28"/>
        <w:rPr>
          <w:rFonts w:asciiTheme="minorHAnsi" w:hAnsiTheme="minorHAnsi"/>
        </w:rPr>
      </w:pPr>
    </w:p>
    <w:p w14:paraId="30B4B290" w14:textId="47F8E9C4" w:rsidR="008475E0" w:rsidRDefault="008475E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view of the CDPP is that nothing in any law of the Commonwealth precludes the making of a single </w:t>
      </w:r>
      <w:r w:rsidR="005354F0">
        <w:rPr>
          <w:rFonts w:asciiTheme="minorHAnsi" w:hAnsiTheme="minorHAnsi"/>
        </w:rPr>
        <w:t xml:space="preserve">sentence or </w:t>
      </w:r>
      <w:r w:rsidR="000A6697">
        <w:rPr>
          <w:rFonts w:asciiTheme="minorHAnsi" w:hAnsiTheme="minorHAnsi"/>
        </w:rPr>
        <w:t xml:space="preserve">order </w:t>
      </w:r>
      <w:r w:rsidR="005354F0">
        <w:rPr>
          <w:rFonts w:asciiTheme="minorHAnsi" w:hAnsiTheme="minorHAnsi"/>
        </w:rPr>
        <w:t xml:space="preserve">under s 20AB </w:t>
      </w:r>
      <w:r w:rsidR="000A6697">
        <w:rPr>
          <w:rFonts w:asciiTheme="minorHAnsi" w:hAnsiTheme="minorHAnsi"/>
        </w:rPr>
        <w:t>for more than one federal offence, if the law of the State or Territory permits the making of a single</w:t>
      </w:r>
      <w:r w:rsidR="00835BDE">
        <w:rPr>
          <w:rFonts w:asciiTheme="minorHAnsi" w:hAnsiTheme="minorHAnsi"/>
        </w:rPr>
        <w:t xml:space="preserve"> such </w:t>
      </w:r>
      <w:r w:rsidR="005354F0">
        <w:rPr>
          <w:rFonts w:asciiTheme="minorHAnsi" w:hAnsiTheme="minorHAnsi"/>
        </w:rPr>
        <w:t xml:space="preserve">sentence or </w:t>
      </w:r>
      <w:r w:rsidR="000A6697">
        <w:rPr>
          <w:rFonts w:asciiTheme="minorHAnsi" w:hAnsiTheme="minorHAnsi"/>
        </w:rPr>
        <w:t>order in relation to multiple offences.</w:t>
      </w:r>
      <w:r w:rsidR="002E7924" w:rsidRPr="00C00000">
        <w:rPr>
          <w:rStyle w:val="Style"/>
          <w:rFonts w:asciiTheme="minorHAnsi" w:hAnsiTheme="minorHAnsi"/>
        </w:rPr>
        <w:footnoteReference w:id="1081"/>
      </w:r>
      <w:r w:rsidR="00A76D3C">
        <w:rPr>
          <w:rFonts w:asciiTheme="minorHAnsi" w:hAnsiTheme="minorHAnsi"/>
        </w:rPr>
        <w:t xml:space="preserve">  </w:t>
      </w:r>
      <w:r w:rsidR="00AA079C">
        <w:rPr>
          <w:rFonts w:asciiTheme="minorHAnsi" w:hAnsiTheme="minorHAnsi"/>
        </w:rPr>
        <w:t>Such State or Territory law is picked up and applied to the sentencing of a federal offender either by s 20AB</w:t>
      </w:r>
      <w:r w:rsidR="00D33D82">
        <w:rPr>
          <w:rFonts w:asciiTheme="minorHAnsi" w:hAnsiTheme="minorHAnsi"/>
        </w:rPr>
        <w:t>(1) and (3)</w:t>
      </w:r>
      <w:r w:rsidR="00AA079C">
        <w:rPr>
          <w:rFonts w:asciiTheme="minorHAnsi" w:hAnsiTheme="minorHAnsi"/>
        </w:rPr>
        <w:t xml:space="preserve"> of the </w:t>
      </w:r>
      <w:r w:rsidR="00885EFD" w:rsidRPr="00885EFD">
        <w:rPr>
          <w:rFonts w:asciiTheme="minorHAnsi" w:hAnsiTheme="minorHAnsi"/>
          <w:i/>
        </w:rPr>
        <w:t>Crimes Act 1914</w:t>
      </w:r>
      <w:r w:rsidR="00AA079C">
        <w:rPr>
          <w:rFonts w:asciiTheme="minorHAnsi" w:hAnsiTheme="minorHAnsi"/>
        </w:rPr>
        <w:t xml:space="preserve">, or by s 68 </w:t>
      </w:r>
      <w:r w:rsidR="00BA59F7">
        <w:rPr>
          <w:rFonts w:asciiTheme="minorHAnsi" w:hAnsiTheme="minorHAnsi"/>
        </w:rPr>
        <w:t>or</w:t>
      </w:r>
      <w:r w:rsidR="00AA079C">
        <w:rPr>
          <w:rFonts w:asciiTheme="minorHAnsi" w:hAnsiTheme="minorHAnsi"/>
        </w:rPr>
        <w:t xml:space="preserve"> </w:t>
      </w:r>
      <w:r w:rsidR="00BA59F7">
        <w:rPr>
          <w:rFonts w:asciiTheme="minorHAnsi" w:hAnsiTheme="minorHAnsi"/>
        </w:rPr>
        <w:t xml:space="preserve">s </w:t>
      </w:r>
      <w:r w:rsidR="00AA079C">
        <w:rPr>
          <w:rFonts w:asciiTheme="minorHAnsi" w:hAnsiTheme="minorHAnsi"/>
        </w:rPr>
        <w:t xml:space="preserve">79 of </w:t>
      </w:r>
      <w:r w:rsidR="00AA079C" w:rsidRPr="00AA079C">
        <w:rPr>
          <w:rFonts w:asciiTheme="minorHAnsi" w:hAnsiTheme="minorHAnsi"/>
          <w:i/>
        </w:rPr>
        <w:t>the Judiciary Act 1903</w:t>
      </w:r>
      <w:r w:rsidR="00AA079C">
        <w:rPr>
          <w:rFonts w:asciiTheme="minorHAnsi" w:hAnsiTheme="minorHAnsi"/>
        </w:rPr>
        <w:t>, or both.</w:t>
      </w:r>
      <w:r w:rsidR="006B3128" w:rsidRPr="00C00000">
        <w:rPr>
          <w:rStyle w:val="FootnoteReference"/>
          <w:rFonts w:asciiTheme="minorHAnsi" w:hAnsiTheme="minorHAnsi"/>
        </w:rPr>
        <w:footnoteReference w:id="1082"/>
      </w:r>
      <w:r w:rsidR="00AA079C">
        <w:rPr>
          <w:rFonts w:asciiTheme="minorHAnsi" w:hAnsiTheme="minorHAnsi"/>
        </w:rPr>
        <w:t xml:space="preserve">  </w:t>
      </w:r>
      <w:r w:rsidR="00A76D3C">
        <w:rPr>
          <w:rFonts w:asciiTheme="minorHAnsi" w:hAnsiTheme="minorHAnsi"/>
        </w:rPr>
        <w:t>Courts have proceeded on this basis.</w:t>
      </w:r>
      <w:r w:rsidR="00A76D3C" w:rsidRPr="00C00000">
        <w:rPr>
          <w:rStyle w:val="FootnoteReference"/>
          <w:rFonts w:asciiTheme="minorHAnsi" w:hAnsiTheme="minorHAnsi"/>
        </w:rPr>
        <w:footnoteReference w:id="1083"/>
      </w:r>
    </w:p>
    <w:p w14:paraId="00F348E0" w14:textId="77777777" w:rsidR="0012198E" w:rsidRPr="0012198E" w:rsidRDefault="0012198E" w:rsidP="0012198E">
      <w:pPr>
        <w:pStyle w:val="ListParagraph"/>
        <w:rPr>
          <w:rFonts w:asciiTheme="minorHAnsi" w:hAnsiTheme="minorHAnsi"/>
        </w:rPr>
      </w:pPr>
    </w:p>
    <w:p w14:paraId="73104D36" w14:textId="5CB38DA1" w:rsidR="0012198E" w:rsidRDefault="00BA59F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In addition, w</w:t>
      </w:r>
      <w:r w:rsidR="0012198E">
        <w:rPr>
          <w:rFonts w:asciiTheme="minorHAnsi" w:hAnsiTheme="minorHAnsi"/>
        </w:rPr>
        <w:t xml:space="preserve">hether or not State or Territory law </w:t>
      </w:r>
      <w:r w:rsidR="000904CD">
        <w:rPr>
          <w:rFonts w:asciiTheme="minorHAnsi" w:hAnsiTheme="minorHAnsi"/>
        </w:rPr>
        <w:t>permits the making of a</w:t>
      </w:r>
      <w:r w:rsidR="0012198E">
        <w:rPr>
          <w:rFonts w:asciiTheme="minorHAnsi" w:hAnsiTheme="minorHAnsi"/>
        </w:rPr>
        <w:t xml:space="preserve"> single </w:t>
      </w:r>
      <w:r w:rsidR="005354F0">
        <w:rPr>
          <w:rFonts w:asciiTheme="minorHAnsi" w:hAnsiTheme="minorHAnsi"/>
        </w:rPr>
        <w:t xml:space="preserve">sentence or </w:t>
      </w:r>
      <w:r w:rsidR="0012198E">
        <w:rPr>
          <w:rFonts w:asciiTheme="minorHAnsi" w:hAnsiTheme="minorHAnsi"/>
        </w:rPr>
        <w:t>order</w:t>
      </w:r>
      <w:r w:rsidR="000904CD">
        <w:rPr>
          <w:rFonts w:asciiTheme="minorHAnsi" w:hAnsiTheme="minorHAnsi"/>
        </w:rPr>
        <w:t xml:space="preserve"> for more than one offence</w:t>
      </w:r>
      <w:r w:rsidR="000904CD" w:rsidRPr="000904CD">
        <w:rPr>
          <w:rFonts w:asciiTheme="minorHAnsi" w:hAnsiTheme="minorHAnsi"/>
        </w:rPr>
        <w:t xml:space="preserve"> </w:t>
      </w:r>
      <w:r w:rsidR="000904CD">
        <w:rPr>
          <w:rFonts w:asciiTheme="minorHAnsi" w:hAnsiTheme="minorHAnsi"/>
        </w:rPr>
        <w:t xml:space="preserve">under </w:t>
      </w:r>
      <w:r w:rsidR="002E40B6">
        <w:rPr>
          <w:rFonts w:asciiTheme="minorHAnsi" w:hAnsiTheme="minorHAnsi"/>
        </w:rPr>
        <w:t>an</w:t>
      </w:r>
      <w:r w:rsidR="000904CD">
        <w:rPr>
          <w:rFonts w:asciiTheme="minorHAnsi" w:hAnsiTheme="minorHAnsi"/>
        </w:rPr>
        <w:t xml:space="preserve"> option applied by s 20AB, a single </w:t>
      </w:r>
      <w:r w:rsidR="005354F0">
        <w:rPr>
          <w:rFonts w:asciiTheme="minorHAnsi" w:hAnsiTheme="minorHAnsi"/>
        </w:rPr>
        <w:t xml:space="preserve">sentence or </w:t>
      </w:r>
      <w:r w:rsidR="000904CD">
        <w:rPr>
          <w:rFonts w:asciiTheme="minorHAnsi" w:hAnsiTheme="minorHAnsi"/>
        </w:rPr>
        <w:t xml:space="preserve">order may be imposed if </w:t>
      </w:r>
      <w:r w:rsidR="0012198E">
        <w:rPr>
          <w:rFonts w:asciiTheme="minorHAnsi" w:hAnsiTheme="minorHAnsi"/>
        </w:rPr>
        <w:t>any specific Commonweal</w:t>
      </w:r>
      <w:r w:rsidR="000904CD">
        <w:rPr>
          <w:rFonts w:asciiTheme="minorHAnsi" w:hAnsiTheme="minorHAnsi"/>
        </w:rPr>
        <w:t>th law (such as</w:t>
      </w:r>
      <w:r w:rsidR="0012198E">
        <w:rPr>
          <w:rFonts w:asciiTheme="minorHAnsi" w:hAnsiTheme="minorHAnsi"/>
        </w:rPr>
        <w:t xml:space="preserve"> s 4K(4) of the </w:t>
      </w:r>
      <w:r w:rsidR="00885EFD" w:rsidRPr="00885EFD">
        <w:rPr>
          <w:rFonts w:asciiTheme="minorHAnsi" w:hAnsiTheme="minorHAnsi"/>
          <w:i/>
        </w:rPr>
        <w:t>Crimes Act 1914</w:t>
      </w:r>
      <w:r w:rsidR="000904CD">
        <w:rPr>
          <w:rFonts w:asciiTheme="minorHAnsi" w:hAnsiTheme="minorHAnsi"/>
        </w:rPr>
        <w:t xml:space="preserve"> or s 219 of the </w:t>
      </w:r>
      <w:r w:rsidR="000904CD" w:rsidRPr="00C00000">
        <w:rPr>
          <w:rFonts w:asciiTheme="minorHAnsi" w:hAnsiTheme="minorHAnsi"/>
          <w:i/>
        </w:rPr>
        <w:t>Social Security (Administration) Act 1999</w:t>
      </w:r>
      <w:r w:rsidR="000904CD">
        <w:rPr>
          <w:rFonts w:asciiTheme="minorHAnsi" w:hAnsiTheme="minorHAnsi"/>
        </w:rPr>
        <w:t>) so permits</w:t>
      </w:r>
      <w:r w:rsidR="000904CD">
        <w:rPr>
          <w:rFonts w:asciiTheme="minorHAnsi" w:hAnsiTheme="minorHAnsi"/>
          <w:i/>
        </w:rPr>
        <w:t>.</w:t>
      </w:r>
    </w:p>
    <w:p w14:paraId="5492952F" w14:textId="77777777" w:rsidR="008A4EFA" w:rsidRPr="00862A10" w:rsidRDefault="008A4EFA" w:rsidP="008A4EFA">
      <w:pPr>
        <w:spacing w:line="276" w:lineRule="auto"/>
        <w:ind w:right="28"/>
        <w:rPr>
          <w:rFonts w:asciiTheme="minorHAnsi" w:hAnsiTheme="minorHAnsi"/>
        </w:rPr>
      </w:pPr>
    </w:p>
    <w:p w14:paraId="76B8345E" w14:textId="54905831" w:rsidR="002F0724" w:rsidRPr="00364B92" w:rsidRDefault="002F04A3" w:rsidP="008B3E81">
      <w:pPr>
        <w:pStyle w:val="Heading3"/>
      </w:pPr>
      <w:bookmarkStart w:id="3054" w:name="_Ref494884929"/>
      <w:bookmarkStart w:id="3055" w:name="_Ref494884948"/>
      <w:bookmarkStart w:id="3056" w:name="_Toc33602961"/>
      <w:r>
        <w:t>A</w:t>
      </w:r>
      <w:r w:rsidR="004D01CC">
        <w:t xml:space="preserve">ggregate penalties permitted </w:t>
      </w:r>
      <w:r>
        <w:t>for</w:t>
      </w:r>
      <w:r w:rsidR="004D01CC">
        <w:t xml:space="preserve"> particular Commonwealth offences</w:t>
      </w:r>
      <w:bookmarkEnd w:id="3054"/>
      <w:bookmarkEnd w:id="3055"/>
      <w:bookmarkEnd w:id="3056"/>
    </w:p>
    <w:p w14:paraId="13BDDF9B" w14:textId="77777777" w:rsidR="002F0724" w:rsidRPr="00C00000" w:rsidRDefault="002F0724" w:rsidP="008B3E81">
      <w:pPr>
        <w:pStyle w:val="NormalIndent"/>
        <w:keepNext/>
        <w:spacing w:line="276" w:lineRule="auto"/>
        <w:rPr>
          <w:rFonts w:asciiTheme="minorHAnsi" w:hAnsiTheme="minorHAnsi"/>
        </w:rPr>
      </w:pPr>
    </w:p>
    <w:p w14:paraId="1CC8B15A" w14:textId="32064ED0" w:rsidR="004D01CC" w:rsidRDefault="004D01C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number of Commonwealth Acts </w:t>
      </w:r>
      <w:r w:rsidR="00485B91">
        <w:rPr>
          <w:rFonts w:asciiTheme="minorHAnsi" w:hAnsiTheme="minorHAnsi"/>
        </w:rPr>
        <w:t xml:space="preserve">contain a provision which </w:t>
      </w:r>
      <w:r>
        <w:rPr>
          <w:rFonts w:asciiTheme="minorHAnsi" w:hAnsiTheme="minorHAnsi"/>
        </w:rPr>
        <w:t>permit</w:t>
      </w:r>
      <w:r w:rsidR="00485B91">
        <w:rPr>
          <w:rFonts w:asciiTheme="minorHAnsi" w:hAnsiTheme="minorHAnsi"/>
        </w:rPr>
        <w:t>s</w:t>
      </w:r>
      <w:r>
        <w:rPr>
          <w:rFonts w:asciiTheme="minorHAnsi" w:hAnsiTheme="minorHAnsi"/>
        </w:rPr>
        <w:t xml:space="preserve"> the imposition of an aggregat</w:t>
      </w:r>
      <w:r w:rsidR="00485B91">
        <w:rPr>
          <w:rFonts w:asciiTheme="minorHAnsi" w:hAnsiTheme="minorHAnsi"/>
        </w:rPr>
        <w:t>e penalty upon conviction for two or more offences against that Act.</w:t>
      </w:r>
      <w:r w:rsidR="002E7924" w:rsidRPr="00C00000">
        <w:rPr>
          <w:rStyle w:val="Style"/>
          <w:rFonts w:asciiTheme="minorHAnsi" w:hAnsiTheme="minorHAnsi"/>
        </w:rPr>
        <w:footnoteReference w:id="1084"/>
      </w:r>
      <w:r w:rsidR="001F44BD">
        <w:rPr>
          <w:rFonts w:asciiTheme="minorHAnsi" w:hAnsiTheme="minorHAnsi"/>
        </w:rPr>
        <w:t xml:space="preserve">  The most commonly-used of these provisions is s 219 of the </w:t>
      </w:r>
      <w:r w:rsidR="001F44BD" w:rsidRPr="00C00000">
        <w:rPr>
          <w:rFonts w:asciiTheme="minorHAnsi" w:hAnsiTheme="minorHAnsi"/>
          <w:i/>
        </w:rPr>
        <w:t>Social Security (Administration) Act 1999</w:t>
      </w:r>
      <w:r w:rsidR="001F44BD" w:rsidRPr="00C00000">
        <w:rPr>
          <w:rFonts w:asciiTheme="minorHAnsi" w:hAnsiTheme="minorHAnsi"/>
        </w:rPr>
        <w:t xml:space="preserve"> (Cth)</w:t>
      </w:r>
      <w:r w:rsidR="0052244E">
        <w:rPr>
          <w:rFonts w:asciiTheme="minorHAnsi" w:hAnsiTheme="minorHAnsi"/>
        </w:rPr>
        <w:t>.</w:t>
      </w:r>
      <w:r w:rsidR="0052244E" w:rsidRPr="00C00000">
        <w:rPr>
          <w:rStyle w:val="Style"/>
          <w:rFonts w:asciiTheme="minorHAnsi" w:hAnsiTheme="minorHAnsi"/>
        </w:rPr>
        <w:footnoteReference w:id="1085"/>
      </w:r>
      <w:r w:rsidR="0052244E">
        <w:rPr>
          <w:rFonts w:asciiTheme="minorHAnsi" w:hAnsiTheme="minorHAnsi"/>
        </w:rPr>
        <w:t xml:space="preserve">  </w:t>
      </w:r>
      <w:r w:rsidR="00667547">
        <w:rPr>
          <w:rFonts w:asciiTheme="minorHAnsi" w:hAnsiTheme="minorHAnsi"/>
        </w:rPr>
        <w:t>Typically of s</w:t>
      </w:r>
      <w:r w:rsidR="0052244E">
        <w:rPr>
          <w:rFonts w:asciiTheme="minorHAnsi" w:hAnsiTheme="minorHAnsi"/>
        </w:rPr>
        <w:t>uch provisions</w:t>
      </w:r>
      <w:r w:rsidR="006640E7">
        <w:rPr>
          <w:rFonts w:asciiTheme="minorHAnsi" w:hAnsiTheme="minorHAnsi"/>
        </w:rPr>
        <w:t>, s 219(2)</w:t>
      </w:r>
      <w:r w:rsidR="0052244E">
        <w:rPr>
          <w:rFonts w:asciiTheme="minorHAnsi" w:hAnsiTheme="minorHAnsi"/>
        </w:rPr>
        <w:t xml:space="preserve"> provide</w:t>
      </w:r>
      <w:r w:rsidR="006640E7">
        <w:rPr>
          <w:rFonts w:asciiTheme="minorHAnsi" w:hAnsiTheme="minorHAnsi"/>
        </w:rPr>
        <w:t>s</w:t>
      </w:r>
      <w:r w:rsidR="0052244E">
        <w:rPr>
          <w:rFonts w:asciiTheme="minorHAnsi" w:hAnsiTheme="minorHAnsi"/>
        </w:rPr>
        <w:t xml:space="preserve"> that a single </w:t>
      </w:r>
      <w:r w:rsidR="0052244E" w:rsidRPr="00C00000">
        <w:rPr>
          <w:rFonts w:asciiTheme="minorHAnsi" w:hAnsiTheme="minorHAnsi"/>
        </w:rPr>
        <w:t xml:space="preserve">penalty </w:t>
      </w:r>
      <w:r w:rsidR="006640E7">
        <w:rPr>
          <w:rFonts w:asciiTheme="minorHAnsi" w:hAnsiTheme="minorHAnsi"/>
        </w:rPr>
        <w:t xml:space="preserve">imposed under that section </w:t>
      </w:r>
      <w:r w:rsidR="006640E7" w:rsidRPr="006640E7">
        <w:rPr>
          <w:rFonts w:asciiTheme="minorHAnsi" w:hAnsiTheme="minorHAnsi"/>
        </w:rPr>
        <w:t>must not exceed the sum of the maximum penalties that could be imposed if a separate penalty were imposed for each offence</w:t>
      </w:r>
      <w:r w:rsidR="0052244E">
        <w:rPr>
          <w:rFonts w:asciiTheme="minorHAnsi" w:hAnsiTheme="minorHAnsi"/>
        </w:rPr>
        <w:t>.</w:t>
      </w:r>
      <w:r w:rsidR="00ED27EC">
        <w:rPr>
          <w:rFonts w:asciiTheme="minorHAnsi" w:hAnsiTheme="minorHAnsi"/>
        </w:rPr>
        <w:t xml:space="preserve"> </w:t>
      </w:r>
    </w:p>
    <w:p w14:paraId="1C8FEBEF" w14:textId="77777777" w:rsidR="00ED27EC" w:rsidRPr="00ED27EC" w:rsidRDefault="00ED27EC" w:rsidP="00ED27EC">
      <w:pPr>
        <w:spacing w:line="276" w:lineRule="auto"/>
        <w:ind w:right="28"/>
        <w:rPr>
          <w:rFonts w:asciiTheme="minorHAnsi" w:hAnsiTheme="minorHAnsi"/>
        </w:rPr>
      </w:pPr>
    </w:p>
    <w:p w14:paraId="306ADE8A" w14:textId="7BDE5EB5" w:rsidR="00ED27EC" w:rsidRDefault="00ED27E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Although s 220 of the </w:t>
      </w:r>
      <w:r w:rsidRPr="00C00000">
        <w:rPr>
          <w:rFonts w:asciiTheme="minorHAnsi" w:hAnsiTheme="minorHAnsi"/>
          <w:i/>
        </w:rPr>
        <w:t>Social Security (Administration) Act 1999</w:t>
      </w:r>
      <w:r w:rsidRPr="00C00000">
        <w:rPr>
          <w:rFonts w:asciiTheme="minorHAnsi" w:hAnsiTheme="minorHAnsi"/>
        </w:rPr>
        <w:t xml:space="preserve"> (Cth)</w:t>
      </w:r>
      <w:r>
        <w:rPr>
          <w:rFonts w:asciiTheme="minorHAnsi" w:hAnsiTheme="minorHAnsi"/>
        </w:rPr>
        <w:t xml:space="preserve"> enables the joinder of charges for offences against s 217 of the Act “</w:t>
      </w:r>
      <w:r w:rsidR="006640E7" w:rsidRPr="006640E7">
        <w:rPr>
          <w:rFonts w:asciiTheme="minorHAnsi" w:hAnsiTheme="minorHAnsi"/>
          <w:i/>
        </w:rPr>
        <w:t xml:space="preserve">in </w:t>
      </w:r>
      <w:r w:rsidRPr="006640E7">
        <w:rPr>
          <w:rFonts w:asciiTheme="minorHAnsi" w:hAnsiTheme="minorHAnsi"/>
          <w:i/>
        </w:rPr>
        <w:t>one complaint, information or declaration</w:t>
      </w:r>
      <w:r w:rsidRPr="00ED27EC">
        <w:rPr>
          <w:rFonts w:asciiTheme="minorHAnsi" w:hAnsiTheme="minorHAnsi"/>
        </w:rPr>
        <w:t>”</w:t>
      </w:r>
      <w:r>
        <w:rPr>
          <w:rFonts w:asciiTheme="minorHAnsi" w:hAnsiTheme="minorHAnsi"/>
        </w:rPr>
        <w:t xml:space="preserve"> in certain circumstances, the power in s 219 of the Act to impose a single penalty is not conditioned on such joinder.</w:t>
      </w:r>
      <w:r w:rsidR="00A25C2C">
        <w:rPr>
          <w:rFonts w:asciiTheme="minorHAnsi" w:hAnsiTheme="minorHAnsi"/>
        </w:rPr>
        <w:t xml:space="preserve">  The power to impose an aggregate penalty arises </w:t>
      </w:r>
      <w:r w:rsidR="00510CFA">
        <w:rPr>
          <w:rFonts w:asciiTheme="minorHAnsi" w:hAnsiTheme="minorHAnsi"/>
        </w:rPr>
        <w:t xml:space="preserve">whenever a person is convicted of more than one offence against s 217 of the Act, regardless of whether or not the charges are joined in a single complaint or information.  Also, since the offence in s 217 consists of </w:t>
      </w:r>
      <w:r w:rsidR="00510CFA" w:rsidRPr="00510CFA">
        <w:rPr>
          <w:rFonts w:asciiTheme="minorHAnsi" w:hAnsiTheme="minorHAnsi"/>
        </w:rPr>
        <w:t>contraven</w:t>
      </w:r>
      <w:r w:rsidR="00510CFA">
        <w:rPr>
          <w:rFonts w:asciiTheme="minorHAnsi" w:hAnsiTheme="minorHAnsi"/>
        </w:rPr>
        <w:t>tion of</w:t>
      </w:r>
      <w:r w:rsidR="00510CFA" w:rsidRPr="00510CFA">
        <w:rPr>
          <w:rFonts w:asciiTheme="minorHAnsi" w:hAnsiTheme="minorHAnsi"/>
        </w:rPr>
        <w:t xml:space="preserve"> a provision of Division</w:t>
      </w:r>
      <w:r w:rsidR="00510CFA">
        <w:rPr>
          <w:rFonts w:asciiTheme="minorHAnsi" w:hAnsiTheme="minorHAnsi"/>
        </w:rPr>
        <w:t xml:space="preserve"> </w:t>
      </w:r>
      <w:r w:rsidR="00510CFA" w:rsidRPr="00510CFA">
        <w:rPr>
          <w:rFonts w:asciiTheme="minorHAnsi" w:hAnsiTheme="minorHAnsi"/>
        </w:rPr>
        <w:t>2</w:t>
      </w:r>
      <w:r w:rsidR="00510CFA">
        <w:rPr>
          <w:rFonts w:asciiTheme="minorHAnsi" w:hAnsiTheme="minorHAnsi"/>
        </w:rPr>
        <w:t xml:space="preserve"> of Part 6 of the Act (that is, any of ss 212-216), </w:t>
      </w:r>
      <w:r w:rsidR="009B0229">
        <w:rPr>
          <w:rFonts w:asciiTheme="minorHAnsi" w:hAnsiTheme="minorHAnsi"/>
        </w:rPr>
        <w:t>the aggregate penalty may be imposed for offences of quite a different nature.</w:t>
      </w:r>
    </w:p>
    <w:p w14:paraId="095914AC" w14:textId="77777777" w:rsidR="004D01CC" w:rsidRPr="004D01CC" w:rsidRDefault="004D01CC" w:rsidP="004D01CC">
      <w:pPr>
        <w:spacing w:line="276" w:lineRule="auto"/>
        <w:ind w:right="28"/>
        <w:rPr>
          <w:rFonts w:asciiTheme="minorHAnsi" w:hAnsiTheme="minorHAnsi"/>
        </w:rPr>
      </w:pPr>
    </w:p>
    <w:p w14:paraId="7637EEAF" w14:textId="725B40D9" w:rsidR="002F0724" w:rsidRPr="00C00000" w:rsidRDefault="00FA32BA"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following are examples of the operation of </w:t>
      </w:r>
      <w:r w:rsidR="009B0229">
        <w:rPr>
          <w:rFonts w:asciiTheme="minorHAnsi" w:hAnsiTheme="minorHAnsi"/>
        </w:rPr>
        <w:t>s 219</w:t>
      </w:r>
      <w:r>
        <w:rPr>
          <w:rFonts w:asciiTheme="minorHAnsi" w:hAnsiTheme="minorHAnsi"/>
        </w:rPr>
        <w:t>:</w:t>
      </w:r>
    </w:p>
    <w:p w14:paraId="5ACCA450" w14:textId="77777777" w:rsidR="002F0724" w:rsidRPr="00C00000" w:rsidRDefault="002F0724" w:rsidP="002F0724">
      <w:pPr>
        <w:spacing w:line="276" w:lineRule="auto"/>
        <w:ind w:left="513" w:right="28"/>
        <w:rPr>
          <w:rFonts w:asciiTheme="minorHAnsi" w:hAnsiTheme="minorHAnsi"/>
        </w:rPr>
      </w:pPr>
    </w:p>
    <w:tbl>
      <w:tblPr>
        <w:tblW w:w="0" w:type="auto"/>
        <w:tblInd w:w="534" w:type="dxa"/>
        <w:tblLook w:val="04A0" w:firstRow="1" w:lastRow="0" w:firstColumn="1" w:lastColumn="0" w:noHBand="0" w:noVBand="1"/>
      </w:tblPr>
      <w:tblGrid>
        <w:gridCol w:w="9105"/>
      </w:tblGrid>
      <w:tr w:rsidR="002F0724" w:rsidRPr="003B61FF" w14:paraId="310689DB" w14:textId="77777777" w:rsidTr="00EB7F1E">
        <w:tc>
          <w:tcPr>
            <w:tcW w:w="9213" w:type="dxa"/>
            <w:tcBorders>
              <w:bottom w:val="single" w:sz="4" w:space="0" w:color="auto"/>
            </w:tcBorders>
            <w:shd w:val="clear" w:color="auto" w:fill="D9D9D9" w:themeFill="background1" w:themeFillShade="D9"/>
          </w:tcPr>
          <w:p w14:paraId="77C86AE6" w14:textId="3DE4F307" w:rsidR="002F0724" w:rsidRPr="003B61FF" w:rsidRDefault="000D7E99" w:rsidP="00804894">
            <w:pPr>
              <w:pStyle w:val="ListParagraph"/>
              <w:keepNext/>
              <w:spacing w:line="276" w:lineRule="auto"/>
              <w:ind w:left="0" w:right="28"/>
              <w:rPr>
                <w:rFonts w:ascii="Calibri" w:hAnsi="Calibri"/>
                <w:b/>
                <w:i/>
                <w:szCs w:val="22"/>
              </w:rPr>
            </w:pPr>
            <w:r w:rsidRPr="003B61FF">
              <w:rPr>
                <w:rFonts w:ascii="Calibri" w:hAnsi="Calibri"/>
                <w:b/>
                <w:i/>
              </w:rPr>
              <w:t>Example 1</w:t>
            </w:r>
            <w:r w:rsidR="002F0724" w:rsidRPr="003B61FF">
              <w:rPr>
                <w:rFonts w:ascii="Calibri" w:hAnsi="Calibri"/>
                <w:b/>
                <w:i/>
              </w:rPr>
              <w:t>:</w:t>
            </w:r>
            <w:r w:rsidR="002F0724" w:rsidRPr="003B61FF">
              <w:rPr>
                <w:rFonts w:ascii="Calibri" w:hAnsi="Calibri"/>
                <w:i/>
              </w:rPr>
              <w:t xml:space="preserve">  </w:t>
            </w:r>
            <w:r w:rsidR="002F0724" w:rsidRPr="003B61FF">
              <w:rPr>
                <w:rFonts w:ascii="Calibri" w:hAnsi="Calibri"/>
                <w:b/>
                <w:i/>
                <w:szCs w:val="22"/>
              </w:rPr>
              <w:t>Two offences contrary to s 217 Social Security (Administration) Act 1999</w:t>
            </w:r>
          </w:p>
          <w:p w14:paraId="1E760766" w14:textId="6F4D4CF3" w:rsidR="002F0724" w:rsidRPr="003B61FF" w:rsidRDefault="002F0724" w:rsidP="0036237F">
            <w:pPr>
              <w:pStyle w:val="ListParagraph"/>
              <w:spacing w:line="276" w:lineRule="auto"/>
              <w:ind w:left="0" w:right="28"/>
              <w:rPr>
                <w:rFonts w:ascii="Calibri" w:hAnsi="Calibri"/>
                <w:sz w:val="21"/>
                <w:szCs w:val="21"/>
              </w:rPr>
            </w:pPr>
            <w:r w:rsidRPr="003B61FF">
              <w:rPr>
                <w:rFonts w:ascii="Calibri" w:hAnsi="Calibri"/>
                <w:sz w:val="21"/>
                <w:szCs w:val="21"/>
              </w:rPr>
              <w:t xml:space="preserve">An </w:t>
            </w:r>
            <w:r w:rsidR="002F7876" w:rsidRPr="003B61FF">
              <w:rPr>
                <w:rFonts w:ascii="Calibri" w:hAnsi="Calibri"/>
                <w:sz w:val="21"/>
                <w:szCs w:val="21"/>
              </w:rPr>
              <w:t>offender</w:t>
            </w:r>
            <w:r w:rsidRPr="003B61FF">
              <w:rPr>
                <w:rFonts w:ascii="Calibri" w:hAnsi="Calibri"/>
                <w:sz w:val="21"/>
                <w:szCs w:val="21"/>
              </w:rPr>
              <w:t xml:space="preserve"> is to be sentenced in the Magistrates</w:t>
            </w:r>
            <w:r w:rsidR="00AA693C" w:rsidRPr="003B61FF">
              <w:rPr>
                <w:rFonts w:ascii="Calibri" w:hAnsi="Calibri"/>
                <w:sz w:val="21"/>
                <w:szCs w:val="21"/>
              </w:rPr>
              <w:t>’</w:t>
            </w:r>
            <w:r w:rsidRPr="003B61FF">
              <w:rPr>
                <w:rFonts w:ascii="Calibri" w:hAnsi="Calibri"/>
                <w:sz w:val="21"/>
                <w:szCs w:val="21"/>
              </w:rPr>
              <w:t xml:space="preserve"> Court on two social security offences contrary to s 217 of the </w:t>
            </w:r>
            <w:r w:rsidRPr="003B61FF">
              <w:rPr>
                <w:rFonts w:ascii="Calibri" w:hAnsi="Calibri"/>
                <w:i/>
                <w:sz w:val="21"/>
                <w:szCs w:val="21"/>
              </w:rPr>
              <w:t>Social Security (Administration) Act 1999</w:t>
            </w:r>
            <w:r w:rsidRPr="003B61FF">
              <w:rPr>
                <w:rFonts w:ascii="Calibri" w:hAnsi="Calibri"/>
                <w:sz w:val="21"/>
                <w:szCs w:val="21"/>
              </w:rPr>
              <w:t xml:space="preserve">.  The maximum penalty for each offence is 12 months and/or </w:t>
            </w:r>
            <w:r w:rsidR="00804894" w:rsidRPr="003B61FF">
              <w:rPr>
                <w:rFonts w:ascii="Calibri" w:hAnsi="Calibri"/>
                <w:sz w:val="21"/>
                <w:szCs w:val="21"/>
              </w:rPr>
              <w:t>60 penalty units</w:t>
            </w:r>
            <w:r w:rsidRPr="003B61FF">
              <w:rPr>
                <w:rFonts w:ascii="Calibri" w:hAnsi="Calibri"/>
                <w:sz w:val="21"/>
                <w:szCs w:val="21"/>
              </w:rPr>
              <w:t xml:space="preserve"> [s 4B(2) </w:t>
            </w:r>
            <w:r w:rsidR="00885EFD" w:rsidRPr="003B61FF">
              <w:rPr>
                <w:rFonts w:ascii="Calibri" w:hAnsi="Calibri"/>
                <w:i/>
                <w:sz w:val="21"/>
                <w:szCs w:val="21"/>
              </w:rPr>
              <w:t>Crimes Act 1914</w:t>
            </w:r>
            <w:r w:rsidRPr="003B61FF">
              <w:rPr>
                <w:rFonts w:ascii="Calibri" w:hAnsi="Calibri"/>
                <w:sz w:val="21"/>
                <w:szCs w:val="21"/>
              </w:rPr>
              <w:t xml:space="preserve">].  Accordingly, the maximum aggregate penalty which would apply for the two offences is 24 months imprisonment and/or a fine of </w:t>
            </w:r>
            <w:r w:rsidR="00804894" w:rsidRPr="003B61FF">
              <w:rPr>
                <w:rFonts w:ascii="Calibri" w:hAnsi="Calibri"/>
                <w:sz w:val="21"/>
                <w:szCs w:val="21"/>
              </w:rPr>
              <w:t>120 penalty units.</w:t>
            </w:r>
          </w:p>
        </w:tc>
      </w:tr>
      <w:tr w:rsidR="002F0724" w:rsidRPr="003B61FF" w14:paraId="6085D78A" w14:textId="77777777" w:rsidTr="00EB7F1E">
        <w:tc>
          <w:tcPr>
            <w:tcW w:w="9213" w:type="dxa"/>
            <w:tcBorders>
              <w:left w:val="nil"/>
              <w:right w:val="nil"/>
            </w:tcBorders>
          </w:tcPr>
          <w:p w14:paraId="62E35A11" w14:textId="77777777" w:rsidR="002F0724" w:rsidRPr="003B61FF" w:rsidRDefault="002F0724" w:rsidP="0036237F">
            <w:pPr>
              <w:pStyle w:val="ListParagraph"/>
              <w:spacing w:line="276" w:lineRule="auto"/>
              <w:ind w:left="0" w:right="28"/>
              <w:rPr>
                <w:rFonts w:ascii="Calibri" w:hAnsi="Calibri"/>
                <w:i/>
              </w:rPr>
            </w:pPr>
          </w:p>
          <w:p w14:paraId="47033144" w14:textId="77777777" w:rsidR="002F0724" w:rsidRPr="003B61FF" w:rsidRDefault="002F0724" w:rsidP="0036237F">
            <w:pPr>
              <w:pStyle w:val="ListParagraph"/>
              <w:spacing w:line="276" w:lineRule="auto"/>
              <w:ind w:left="0" w:right="28"/>
              <w:rPr>
                <w:rFonts w:ascii="Calibri" w:hAnsi="Calibri"/>
                <w:i/>
              </w:rPr>
            </w:pPr>
          </w:p>
        </w:tc>
      </w:tr>
      <w:tr w:rsidR="002F0724" w:rsidRPr="003B61FF" w14:paraId="0632342F" w14:textId="77777777" w:rsidTr="00EB7F1E">
        <w:tc>
          <w:tcPr>
            <w:tcW w:w="9213" w:type="dxa"/>
            <w:tcBorders>
              <w:bottom w:val="single" w:sz="4" w:space="0" w:color="auto"/>
            </w:tcBorders>
            <w:shd w:val="clear" w:color="auto" w:fill="D9D9D9" w:themeFill="background1" w:themeFillShade="D9"/>
          </w:tcPr>
          <w:p w14:paraId="09AAC12C" w14:textId="038E02F6" w:rsidR="002F0724" w:rsidRPr="003B61FF" w:rsidRDefault="000D7E99" w:rsidP="00804894">
            <w:pPr>
              <w:pStyle w:val="ListParagraph"/>
              <w:keepNext/>
              <w:spacing w:line="276" w:lineRule="auto"/>
              <w:ind w:left="0" w:right="28"/>
              <w:rPr>
                <w:rFonts w:ascii="Calibri" w:hAnsi="Calibri"/>
                <w:b/>
                <w:i/>
              </w:rPr>
            </w:pPr>
            <w:r w:rsidRPr="003B61FF">
              <w:rPr>
                <w:rFonts w:ascii="Calibri" w:hAnsi="Calibri"/>
                <w:b/>
                <w:i/>
              </w:rPr>
              <w:t>Example 2</w:t>
            </w:r>
            <w:r w:rsidR="002F0724" w:rsidRPr="003B61FF">
              <w:rPr>
                <w:rFonts w:ascii="Calibri" w:hAnsi="Calibri"/>
                <w:b/>
                <w:i/>
              </w:rPr>
              <w:t>:</w:t>
            </w:r>
            <w:r w:rsidR="002F0724" w:rsidRPr="003B61FF">
              <w:rPr>
                <w:rFonts w:ascii="Calibri" w:hAnsi="Calibri"/>
                <w:i/>
              </w:rPr>
              <w:t xml:space="preserve">  </w:t>
            </w:r>
            <w:r w:rsidR="00ED27EC" w:rsidRPr="003B61FF">
              <w:rPr>
                <w:rFonts w:ascii="Calibri" w:hAnsi="Calibri"/>
                <w:b/>
                <w:i/>
              </w:rPr>
              <w:t>Community Correction Order</w:t>
            </w:r>
            <w:r w:rsidR="002F0724" w:rsidRPr="003B61FF">
              <w:rPr>
                <w:rFonts w:ascii="Calibri" w:hAnsi="Calibri"/>
                <w:b/>
                <w:i/>
              </w:rPr>
              <w:t xml:space="preserve"> </w:t>
            </w:r>
            <w:r w:rsidR="00ED27EC" w:rsidRPr="003B61FF">
              <w:rPr>
                <w:rFonts w:ascii="Calibri" w:hAnsi="Calibri"/>
                <w:b/>
                <w:i/>
              </w:rPr>
              <w:t xml:space="preserve">(CCO) </w:t>
            </w:r>
            <w:r w:rsidR="002F0724" w:rsidRPr="003B61FF">
              <w:rPr>
                <w:rFonts w:ascii="Calibri" w:hAnsi="Calibri"/>
                <w:b/>
                <w:i/>
              </w:rPr>
              <w:t>for two offences</w:t>
            </w:r>
          </w:p>
          <w:p w14:paraId="74C00950" w14:textId="6C9F1E4B" w:rsidR="002F0724" w:rsidRPr="003B61FF" w:rsidRDefault="002F0724" w:rsidP="0036237F">
            <w:pPr>
              <w:pStyle w:val="ListParagraph"/>
              <w:spacing w:line="276" w:lineRule="auto"/>
              <w:ind w:left="0" w:right="28"/>
              <w:rPr>
                <w:rFonts w:ascii="Calibri" w:hAnsi="Calibri"/>
              </w:rPr>
            </w:pPr>
            <w:r w:rsidRPr="003B61FF">
              <w:rPr>
                <w:rFonts w:ascii="Calibri" w:hAnsi="Calibri"/>
                <w:sz w:val="21"/>
                <w:szCs w:val="21"/>
              </w:rPr>
              <w:t xml:space="preserve">In the above example should a magistrate </w:t>
            </w:r>
            <w:r w:rsidR="00ED27EC" w:rsidRPr="003B61FF">
              <w:rPr>
                <w:rFonts w:ascii="Calibri" w:hAnsi="Calibri"/>
                <w:sz w:val="21"/>
                <w:szCs w:val="21"/>
              </w:rPr>
              <w:t xml:space="preserve">in Victoria </w:t>
            </w:r>
            <w:r w:rsidRPr="003B61FF">
              <w:rPr>
                <w:rFonts w:ascii="Calibri" w:hAnsi="Calibri"/>
                <w:sz w:val="21"/>
                <w:szCs w:val="21"/>
              </w:rPr>
              <w:t>wish to impose a CCO s 219 could be used to impose one CCO with a maximum number of 500 hours of unpaid community work over 2 years.  For one offence a CCO with a maximum number of 250 hours over 6 months could be imposed.</w:t>
            </w:r>
          </w:p>
        </w:tc>
      </w:tr>
    </w:tbl>
    <w:p w14:paraId="173FE4B1" w14:textId="77777777" w:rsidR="002F0724" w:rsidRPr="00C00000" w:rsidRDefault="002F0724" w:rsidP="002F0724">
      <w:pPr>
        <w:spacing w:line="276" w:lineRule="auto"/>
        <w:ind w:left="513" w:right="28"/>
        <w:rPr>
          <w:rFonts w:asciiTheme="minorHAnsi" w:hAnsiTheme="minorHAnsi"/>
        </w:rPr>
      </w:pPr>
    </w:p>
    <w:p w14:paraId="21C8582F" w14:textId="0580BEBE" w:rsidR="00FA3F97" w:rsidRPr="00364B92" w:rsidRDefault="00FA3F97" w:rsidP="008B3E81">
      <w:pPr>
        <w:pStyle w:val="Heading3"/>
      </w:pPr>
      <w:bookmarkStart w:id="3057" w:name="_Ref494884739"/>
      <w:bookmarkStart w:id="3058" w:name="_Ref494884745"/>
      <w:bookmarkStart w:id="3059" w:name="_Toc33602962"/>
      <w:r w:rsidRPr="00364B92">
        <w:t>Aggregate penalty for offences</w:t>
      </w:r>
      <w:r w:rsidR="00B33C3C">
        <w:t xml:space="preserve"> dealt with summarily</w:t>
      </w:r>
      <w:r w:rsidRPr="00364B92">
        <w:t xml:space="preserve"> –</w:t>
      </w:r>
      <w:r w:rsidR="001219C3">
        <w:t xml:space="preserve"> </w:t>
      </w:r>
      <w:r w:rsidR="00294DE7" w:rsidRPr="00294DE7">
        <w:rPr>
          <w:i/>
        </w:rPr>
        <w:t>Crimes Act 1914</w:t>
      </w:r>
      <w:r w:rsidR="00294DE7">
        <w:t>, s 4K</w:t>
      </w:r>
      <w:bookmarkEnd w:id="3057"/>
      <w:bookmarkEnd w:id="3058"/>
      <w:bookmarkEnd w:id="3059"/>
    </w:p>
    <w:p w14:paraId="1DEBC47D" w14:textId="77777777" w:rsidR="00FA3F97" w:rsidRPr="00C00000" w:rsidRDefault="00FA3F97" w:rsidP="008B3E81">
      <w:pPr>
        <w:pStyle w:val="NormalIndent"/>
        <w:keepNext/>
        <w:spacing w:line="276" w:lineRule="auto"/>
        <w:rPr>
          <w:rFonts w:asciiTheme="minorHAnsi" w:hAnsiTheme="minorHAnsi"/>
        </w:rPr>
      </w:pPr>
    </w:p>
    <w:p w14:paraId="7D4EF37D" w14:textId="0D865530" w:rsidR="00311E7B" w:rsidRDefault="00311E7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4K of the </w:t>
      </w:r>
      <w:r w:rsidR="00885EFD" w:rsidRPr="00885EFD">
        <w:rPr>
          <w:rFonts w:asciiTheme="minorHAnsi" w:hAnsiTheme="minorHAnsi"/>
          <w:i/>
        </w:rPr>
        <w:t>Crimes Act 1914</w:t>
      </w:r>
      <w:r>
        <w:rPr>
          <w:rFonts w:asciiTheme="minorHAnsi" w:hAnsiTheme="minorHAnsi"/>
        </w:rPr>
        <w:t xml:space="preserve"> makes more general provision for the joinder of </w:t>
      </w:r>
      <w:r w:rsidR="0026519F">
        <w:rPr>
          <w:rFonts w:asciiTheme="minorHAnsi" w:hAnsiTheme="minorHAnsi"/>
        </w:rPr>
        <w:t xml:space="preserve">charges for similar offences </w:t>
      </w:r>
      <w:r>
        <w:rPr>
          <w:rFonts w:asciiTheme="minorHAnsi" w:hAnsiTheme="minorHAnsi"/>
        </w:rPr>
        <w:t xml:space="preserve">and the imposition of an aggregate penalty in relation to charges </w:t>
      </w:r>
      <w:r w:rsidR="0026519F">
        <w:rPr>
          <w:rFonts w:asciiTheme="minorHAnsi" w:hAnsiTheme="minorHAnsi"/>
        </w:rPr>
        <w:t>for such offences</w:t>
      </w:r>
      <w:r>
        <w:rPr>
          <w:rFonts w:asciiTheme="minorHAnsi" w:hAnsiTheme="minorHAnsi"/>
        </w:rPr>
        <w:t>.  Sub-sections (3) and (4) of s 4K provide:</w:t>
      </w:r>
    </w:p>
    <w:p w14:paraId="6F45B6CF" w14:textId="4706CCDA" w:rsidR="00311E7B" w:rsidRPr="00311E7B" w:rsidRDefault="00311E7B" w:rsidP="00B57A7E">
      <w:pPr>
        <w:spacing w:line="276" w:lineRule="auto"/>
        <w:ind w:left="1440" w:right="28" w:hanging="720"/>
        <w:jc w:val="both"/>
        <w:rPr>
          <w:rFonts w:asciiTheme="minorHAnsi" w:hAnsiTheme="minorHAnsi"/>
          <w:i/>
        </w:rPr>
      </w:pPr>
      <w:r w:rsidRPr="00311E7B">
        <w:rPr>
          <w:rFonts w:asciiTheme="minorHAnsi" w:hAnsiTheme="minorHAnsi"/>
          <w:i/>
        </w:rPr>
        <w:t>(3)</w:t>
      </w:r>
      <w:r w:rsidRPr="00311E7B">
        <w:rPr>
          <w:rFonts w:asciiTheme="minorHAnsi" w:hAnsiTheme="minorHAnsi"/>
          <w:i/>
        </w:rPr>
        <w:tab/>
        <w:t>Charges against the same person for any number of offences against the same provision of a law of the Commonwealth may be joined in the same information, complaint or summons if those charges are founded on the same facts, or form, or are part of, a series of offences of the same or a similar character.</w:t>
      </w:r>
    </w:p>
    <w:p w14:paraId="60831E88" w14:textId="791CDBCD" w:rsidR="00311E7B" w:rsidRPr="00311E7B" w:rsidRDefault="00311E7B" w:rsidP="00B57A7E">
      <w:pPr>
        <w:spacing w:line="276" w:lineRule="auto"/>
        <w:ind w:left="1440" w:right="28" w:hanging="720"/>
        <w:jc w:val="both"/>
        <w:rPr>
          <w:rFonts w:asciiTheme="minorHAnsi" w:hAnsiTheme="minorHAnsi"/>
          <w:i/>
        </w:rPr>
      </w:pPr>
      <w:bookmarkStart w:id="3060" w:name="CLF.CRIMES.CRIMA14.S4K.4"/>
      <w:bookmarkEnd w:id="3060"/>
      <w:r w:rsidRPr="00311E7B">
        <w:rPr>
          <w:rFonts w:asciiTheme="minorHAnsi" w:hAnsiTheme="minorHAnsi"/>
          <w:i/>
        </w:rPr>
        <w:t>(4)</w:t>
      </w:r>
      <w:r w:rsidRPr="00311E7B">
        <w:rPr>
          <w:rFonts w:asciiTheme="minorHAnsi" w:hAnsiTheme="minorHAnsi"/>
          <w:i/>
        </w:rPr>
        <w:tab/>
        <w:t>If a person is convicted of 2 or more offences referred to in subsection (3), the court may impose one penalty in respect of both or all of those offences, but that penalty shall not exceed the sum of the maximum penalties that could be imposed if a separate penalty were imposed in respect of each offence.</w:t>
      </w:r>
    </w:p>
    <w:p w14:paraId="0FEC0190" w14:textId="77777777" w:rsidR="00311E7B" w:rsidRPr="00311E7B" w:rsidRDefault="00311E7B" w:rsidP="00311E7B">
      <w:pPr>
        <w:spacing w:line="276" w:lineRule="auto"/>
        <w:ind w:right="28"/>
        <w:rPr>
          <w:rFonts w:asciiTheme="minorHAnsi" w:hAnsiTheme="minorHAnsi"/>
        </w:rPr>
      </w:pPr>
    </w:p>
    <w:p w14:paraId="0CADDA6E" w14:textId="77777777" w:rsidR="0026519F" w:rsidRDefault="0026519F"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following points should be noted about these provisions:</w:t>
      </w:r>
    </w:p>
    <w:p w14:paraId="01A85BC5" w14:textId="78F80195" w:rsidR="0026519F" w:rsidRDefault="0026519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An aggregate </w:t>
      </w:r>
      <w:r w:rsidR="005930DF">
        <w:rPr>
          <w:rFonts w:asciiTheme="minorHAnsi" w:hAnsiTheme="minorHAnsi"/>
        </w:rPr>
        <w:t>penalty</w:t>
      </w:r>
      <w:r>
        <w:rPr>
          <w:rFonts w:asciiTheme="minorHAnsi" w:hAnsiTheme="minorHAnsi"/>
        </w:rPr>
        <w:t xml:space="preserve"> is only </w:t>
      </w:r>
      <w:r w:rsidR="00F47D0C">
        <w:rPr>
          <w:rFonts w:asciiTheme="minorHAnsi" w:hAnsiTheme="minorHAnsi"/>
        </w:rPr>
        <w:t>author</w:t>
      </w:r>
      <w:r w:rsidR="00B86888">
        <w:rPr>
          <w:rFonts w:asciiTheme="minorHAnsi" w:hAnsiTheme="minorHAnsi"/>
        </w:rPr>
        <w:t>ised</w:t>
      </w:r>
      <w:r>
        <w:rPr>
          <w:rFonts w:asciiTheme="minorHAnsi" w:hAnsiTheme="minorHAnsi"/>
        </w:rPr>
        <w:t xml:space="preserve"> by s 4K(4) if a person is convicted of two or more offences referred to in s 4K(3).</w:t>
      </w:r>
      <w:r w:rsidR="00FA1FFF">
        <w:rPr>
          <w:rFonts w:asciiTheme="minorHAnsi" w:hAnsiTheme="minorHAnsi"/>
        </w:rPr>
        <w:t xml:space="preserve">  The two sub-sections must be read together.</w:t>
      </w:r>
      <w:r w:rsidR="00FA1FFF" w:rsidRPr="00C00000">
        <w:rPr>
          <w:rStyle w:val="Style"/>
          <w:rFonts w:asciiTheme="minorHAnsi" w:hAnsiTheme="minorHAnsi"/>
        </w:rPr>
        <w:footnoteReference w:id="1086"/>
      </w:r>
    </w:p>
    <w:p w14:paraId="5C225EAA" w14:textId="31CF6A12" w:rsidR="005930DF" w:rsidRDefault="005930D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The offences must be against “</w:t>
      </w:r>
      <w:r w:rsidRPr="00311E7B">
        <w:rPr>
          <w:rFonts w:asciiTheme="minorHAnsi" w:hAnsiTheme="minorHAnsi"/>
          <w:i/>
        </w:rPr>
        <w:t>the same provision of a law of the Commonwealth</w:t>
      </w:r>
      <w:r>
        <w:rPr>
          <w:rFonts w:asciiTheme="minorHAnsi" w:hAnsiTheme="minorHAnsi"/>
        </w:rPr>
        <w:t>”.  If the charges are for different offences, s 4K(4) has no application.</w:t>
      </w:r>
      <w:r w:rsidR="00EF1CC1" w:rsidRPr="00C00000">
        <w:rPr>
          <w:rStyle w:val="Style"/>
          <w:rFonts w:asciiTheme="minorHAnsi" w:hAnsiTheme="minorHAnsi"/>
        </w:rPr>
        <w:footnoteReference w:id="1087"/>
      </w:r>
      <w:r w:rsidR="00EF1CC1" w:rsidRPr="00EF1CC1">
        <w:rPr>
          <w:rFonts w:asciiTheme="minorHAnsi" w:hAnsiTheme="minorHAnsi"/>
        </w:rPr>
        <w:t xml:space="preserve"> </w:t>
      </w:r>
      <w:r w:rsidR="00EF1CC1">
        <w:rPr>
          <w:rFonts w:asciiTheme="minorHAnsi" w:hAnsiTheme="minorHAnsi"/>
        </w:rPr>
        <w:t xml:space="preserve"> </w:t>
      </w:r>
      <w:r w:rsidR="00EF1CC1" w:rsidRPr="00C00000">
        <w:rPr>
          <w:rFonts w:asciiTheme="minorHAnsi" w:hAnsiTheme="minorHAnsi"/>
        </w:rPr>
        <w:t>So</w:t>
      </w:r>
      <w:r w:rsidR="00EF1CC1">
        <w:rPr>
          <w:rFonts w:asciiTheme="minorHAnsi" w:hAnsiTheme="minorHAnsi"/>
        </w:rPr>
        <w:t>, for example,</w:t>
      </w:r>
      <w:r w:rsidR="00EF1CC1" w:rsidRPr="00C00000">
        <w:rPr>
          <w:rFonts w:asciiTheme="minorHAnsi" w:hAnsiTheme="minorHAnsi"/>
        </w:rPr>
        <w:t xml:space="preserve"> s 4K(4)</w:t>
      </w:r>
      <w:r w:rsidR="00EF1CC1">
        <w:rPr>
          <w:rFonts w:asciiTheme="minorHAnsi" w:hAnsiTheme="minorHAnsi"/>
        </w:rPr>
        <w:t xml:space="preserve"> does not apply if the offender is sentenced for an offence against s 217 of</w:t>
      </w:r>
      <w:r w:rsidR="00EF1CC1" w:rsidRPr="00C00000">
        <w:rPr>
          <w:rFonts w:asciiTheme="minorHAnsi" w:hAnsiTheme="minorHAnsi"/>
        </w:rPr>
        <w:t xml:space="preserve"> the </w:t>
      </w:r>
      <w:r w:rsidR="00EF1CC1" w:rsidRPr="00C00000">
        <w:rPr>
          <w:rFonts w:asciiTheme="minorHAnsi" w:hAnsiTheme="minorHAnsi"/>
          <w:i/>
        </w:rPr>
        <w:t>Social Security (Administration) Act 1999</w:t>
      </w:r>
      <w:r w:rsidR="00EF1CC1" w:rsidRPr="00C00000">
        <w:rPr>
          <w:rFonts w:asciiTheme="minorHAnsi" w:hAnsiTheme="minorHAnsi"/>
        </w:rPr>
        <w:t xml:space="preserve"> and </w:t>
      </w:r>
      <w:r w:rsidR="00EF1CC1">
        <w:rPr>
          <w:rFonts w:asciiTheme="minorHAnsi" w:hAnsiTheme="minorHAnsi"/>
        </w:rPr>
        <w:t xml:space="preserve">an offence against </w:t>
      </w:r>
      <w:r w:rsidR="00EF1CC1" w:rsidRPr="00C00000">
        <w:rPr>
          <w:rFonts w:asciiTheme="minorHAnsi" w:hAnsiTheme="minorHAnsi"/>
        </w:rPr>
        <w:t xml:space="preserve">the </w:t>
      </w:r>
      <w:r w:rsidR="00EF1CC1" w:rsidRPr="00C00000">
        <w:rPr>
          <w:rFonts w:asciiTheme="minorHAnsi" w:hAnsiTheme="minorHAnsi"/>
          <w:i/>
        </w:rPr>
        <w:t>Criminal Code</w:t>
      </w:r>
      <w:r w:rsidR="00EF1CC1" w:rsidRPr="00C00000">
        <w:rPr>
          <w:rFonts w:asciiTheme="minorHAnsi" w:hAnsiTheme="minorHAnsi"/>
        </w:rPr>
        <w:t xml:space="preserve"> (Cth).</w:t>
      </w:r>
    </w:p>
    <w:p w14:paraId="40C74547" w14:textId="5D61BA9F" w:rsidR="005930DF" w:rsidRDefault="008F2921"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Sub-section 4K(3) only permits c</w:t>
      </w:r>
      <w:r w:rsidR="005930DF">
        <w:rPr>
          <w:rFonts w:asciiTheme="minorHAnsi" w:hAnsiTheme="minorHAnsi"/>
        </w:rPr>
        <w:t xml:space="preserve">harges for offences </w:t>
      </w:r>
      <w:r>
        <w:rPr>
          <w:rFonts w:asciiTheme="minorHAnsi" w:hAnsiTheme="minorHAnsi"/>
        </w:rPr>
        <w:t>to be joined if they are</w:t>
      </w:r>
      <w:r w:rsidR="005930DF">
        <w:rPr>
          <w:rFonts w:asciiTheme="minorHAnsi" w:hAnsiTheme="minorHAnsi"/>
        </w:rPr>
        <w:t xml:space="preserve"> “</w:t>
      </w:r>
      <w:r w:rsidR="005930DF" w:rsidRPr="00311E7B">
        <w:rPr>
          <w:rFonts w:asciiTheme="minorHAnsi" w:hAnsiTheme="minorHAnsi"/>
          <w:i/>
        </w:rPr>
        <w:t>founded on the same facts, or form, or are part of, a series of offences of the same or a similar character</w:t>
      </w:r>
      <w:r w:rsidR="005930DF">
        <w:rPr>
          <w:rFonts w:asciiTheme="minorHAnsi" w:hAnsiTheme="minorHAnsi"/>
        </w:rPr>
        <w:t xml:space="preserve">”.  So not only must the charges be for offences against the same provision, but they must </w:t>
      </w:r>
      <w:r>
        <w:rPr>
          <w:rFonts w:asciiTheme="minorHAnsi" w:hAnsiTheme="minorHAnsi"/>
        </w:rPr>
        <w:t xml:space="preserve">also </w:t>
      </w:r>
      <w:r w:rsidR="005930DF">
        <w:rPr>
          <w:rFonts w:asciiTheme="minorHAnsi" w:hAnsiTheme="minorHAnsi"/>
        </w:rPr>
        <w:t>have a factual connection of the kind described.</w:t>
      </w:r>
    </w:p>
    <w:p w14:paraId="5C864495" w14:textId="77777777" w:rsidR="001E7A54" w:rsidRDefault="00131D5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The joinder power in s 4K(3) only relates to the joinder of charges in “</w:t>
      </w:r>
      <w:r w:rsidRPr="00311E7B">
        <w:rPr>
          <w:rFonts w:asciiTheme="minorHAnsi" w:hAnsiTheme="minorHAnsi"/>
          <w:i/>
        </w:rPr>
        <w:t>the same information, complaint or summons</w:t>
      </w:r>
      <w:r>
        <w:rPr>
          <w:rFonts w:asciiTheme="minorHAnsi" w:hAnsiTheme="minorHAnsi"/>
        </w:rPr>
        <w:t>”.  It does not empower the joinder of charges in an indictment</w:t>
      </w:r>
      <w:r w:rsidR="004E2659">
        <w:rPr>
          <w:rFonts w:asciiTheme="minorHAnsi" w:hAnsiTheme="minorHAnsi"/>
        </w:rPr>
        <w:t>,</w:t>
      </w:r>
      <w:r w:rsidRPr="00C00000">
        <w:rPr>
          <w:rStyle w:val="Style"/>
          <w:rFonts w:asciiTheme="minorHAnsi" w:hAnsiTheme="minorHAnsi"/>
        </w:rPr>
        <w:footnoteReference w:id="1088"/>
      </w:r>
      <w:r w:rsidR="004E2659">
        <w:rPr>
          <w:rFonts w:asciiTheme="minorHAnsi" w:hAnsiTheme="minorHAnsi"/>
        </w:rPr>
        <w:t xml:space="preserve"> even in jurisdictions such as South Australia and the ACT in which an “</w:t>
      </w:r>
      <w:r w:rsidR="004E2659" w:rsidRPr="004E2659">
        <w:rPr>
          <w:rFonts w:asciiTheme="minorHAnsi" w:hAnsiTheme="minorHAnsi"/>
          <w:i/>
        </w:rPr>
        <w:t>information</w:t>
      </w:r>
      <w:r w:rsidR="004E2659">
        <w:rPr>
          <w:rFonts w:asciiTheme="minorHAnsi" w:hAnsiTheme="minorHAnsi"/>
        </w:rPr>
        <w:t>” was traditionally one of the means of commencing proceedings on indictment.</w:t>
      </w:r>
      <w:r w:rsidR="004E2659" w:rsidRPr="00C00000">
        <w:rPr>
          <w:rStyle w:val="Style"/>
          <w:rFonts w:asciiTheme="minorHAnsi" w:hAnsiTheme="minorHAnsi"/>
        </w:rPr>
        <w:footnoteReference w:id="1089"/>
      </w:r>
      <w:r w:rsidR="004E2659">
        <w:rPr>
          <w:rFonts w:asciiTheme="minorHAnsi" w:hAnsiTheme="minorHAnsi"/>
        </w:rPr>
        <w:t xml:space="preserve">  That is, s 4K(3) applies only to </w:t>
      </w:r>
      <w:r w:rsidR="00073D10">
        <w:rPr>
          <w:rFonts w:asciiTheme="minorHAnsi" w:hAnsiTheme="minorHAnsi"/>
        </w:rPr>
        <w:t xml:space="preserve">proceedings in summary jurisdiction </w:t>
      </w:r>
      <w:r w:rsidR="00B17337">
        <w:rPr>
          <w:rFonts w:asciiTheme="minorHAnsi" w:hAnsiTheme="minorHAnsi"/>
        </w:rPr>
        <w:t>(</w:t>
      </w:r>
      <w:r w:rsidR="00073D10">
        <w:rPr>
          <w:rFonts w:asciiTheme="minorHAnsi" w:hAnsiTheme="minorHAnsi"/>
        </w:rPr>
        <w:t>whether for summary or indictable offences</w:t>
      </w:r>
      <w:r w:rsidR="00B17337">
        <w:rPr>
          <w:rFonts w:asciiTheme="minorHAnsi" w:hAnsiTheme="minorHAnsi"/>
        </w:rPr>
        <w:t>)</w:t>
      </w:r>
      <w:r w:rsidR="00073D10">
        <w:rPr>
          <w:rFonts w:asciiTheme="minorHAnsi" w:hAnsiTheme="minorHAnsi"/>
        </w:rPr>
        <w:t xml:space="preserve">. </w:t>
      </w:r>
    </w:p>
    <w:p w14:paraId="0C7A3277" w14:textId="357EB0A4" w:rsidR="005930DF" w:rsidRDefault="00073D10"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The </w:t>
      </w:r>
      <w:r w:rsidR="001E7A54">
        <w:rPr>
          <w:rFonts w:asciiTheme="minorHAnsi" w:hAnsiTheme="minorHAnsi"/>
        </w:rPr>
        <w:t>power in s 4K(4) to impose an aggregate penalty has been construed as being limited in the same wa</w:t>
      </w:r>
      <w:r w:rsidR="006E32F0">
        <w:rPr>
          <w:rFonts w:asciiTheme="minorHAnsi" w:hAnsiTheme="minorHAnsi"/>
        </w:rPr>
        <w:t>y</w:t>
      </w:r>
      <w:r w:rsidR="001E7A54">
        <w:rPr>
          <w:rFonts w:asciiTheme="minorHAnsi" w:hAnsiTheme="minorHAnsi"/>
        </w:rPr>
        <w:t xml:space="preserve"> as s 4K(3) to sentencing in summary proceedings.</w:t>
      </w:r>
      <w:r w:rsidR="001E7A54" w:rsidRPr="00C00000">
        <w:rPr>
          <w:rStyle w:val="Style"/>
          <w:rFonts w:asciiTheme="minorHAnsi" w:hAnsiTheme="minorHAnsi"/>
        </w:rPr>
        <w:footnoteReference w:id="1090"/>
      </w:r>
      <w:r w:rsidR="001E7A54">
        <w:rPr>
          <w:rFonts w:asciiTheme="minorHAnsi" w:hAnsiTheme="minorHAnsi"/>
        </w:rPr>
        <w:t xml:space="preserve">  It does not apply to proceedings on indictment</w:t>
      </w:r>
      <w:r w:rsidR="006E32F0">
        <w:rPr>
          <w:rFonts w:asciiTheme="minorHAnsi" w:hAnsiTheme="minorHAnsi"/>
        </w:rPr>
        <w:t>,</w:t>
      </w:r>
      <w:r w:rsidR="006E32F0" w:rsidRPr="00C00000">
        <w:rPr>
          <w:rStyle w:val="Style"/>
          <w:rFonts w:asciiTheme="minorHAnsi" w:hAnsiTheme="minorHAnsi"/>
        </w:rPr>
        <w:footnoteReference w:id="1091"/>
      </w:r>
      <w:r w:rsidR="001E7A54">
        <w:rPr>
          <w:rFonts w:asciiTheme="minorHAnsi" w:hAnsiTheme="minorHAnsi"/>
        </w:rPr>
        <w:t xml:space="preserve"> even if an “information” is a permissible means by which proceedings on indictment may be commenced in the particular jurisdiction.</w:t>
      </w:r>
      <w:r w:rsidR="001E7A54" w:rsidRPr="00C00000">
        <w:rPr>
          <w:rStyle w:val="Style"/>
          <w:rFonts w:asciiTheme="minorHAnsi" w:hAnsiTheme="minorHAnsi"/>
        </w:rPr>
        <w:footnoteReference w:id="1092"/>
      </w:r>
    </w:p>
    <w:p w14:paraId="78DDB8D6" w14:textId="27EC5D4C" w:rsidR="00FA3F97" w:rsidRDefault="00FA1FFF"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If a single aggregate </w:t>
      </w:r>
      <w:r w:rsidR="00FA3F97" w:rsidRPr="00C00000">
        <w:rPr>
          <w:rFonts w:asciiTheme="minorHAnsi" w:hAnsiTheme="minorHAnsi"/>
        </w:rPr>
        <w:t>penalty is imposed</w:t>
      </w:r>
      <w:r>
        <w:rPr>
          <w:rFonts w:asciiTheme="minorHAnsi" w:hAnsiTheme="minorHAnsi"/>
        </w:rPr>
        <w:t xml:space="preserve"> under s 4K(4)</w:t>
      </w:r>
      <w:r w:rsidR="00FA3F97" w:rsidRPr="00C00000">
        <w:rPr>
          <w:rFonts w:asciiTheme="minorHAnsi" w:hAnsiTheme="minorHAnsi"/>
        </w:rPr>
        <w:t xml:space="preserve">, the penalty </w:t>
      </w:r>
      <w:r>
        <w:rPr>
          <w:rFonts w:asciiTheme="minorHAnsi" w:hAnsiTheme="minorHAnsi"/>
        </w:rPr>
        <w:t>may</w:t>
      </w:r>
      <w:r w:rsidR="00FA3F97" w:rsidRPr="00C00000">
        <w:rPr>
          <w:rFonts w:asciiTheme="minorHAnsi" w:hAnsiTheme="minorHAnsi"/>
        </w:rPr>
        <w:t xml:space="preserve"> not exceed the sum of the maximum penalties that could be imposed if each offence </w:t>
      </w:r>
      <w:r w:rsidR="00454004">
        <w:rPr>
          <w:rFonts w:asciiTheme="minorHAnsi" w:hAnsiTheme="minorHAnsi"/>
        </w:rPr>
        <w:t>were to be</w:t>
      </w:r>
      <w:r w:rsidR="00FA3F97" w:rsidRPr="00C00000">
        <w:rPr>
          <w:rFonts w:asciiTheme="minorHAnsi" w:hAnsiTheme="minorHAnsi"/>
        </w:rPr>
        <w:t xml:space="preserve"> </w:t>
      </w:r>
      <w:r w:rsidR="00F47D0C">
        <w:rPr>
          <w:rFonts w:asciiTheme="minorHAnsi" w:hAnsiTheme="minorHAnsi"/>
        </w:rPr>
        <w:t>penal</w:t>
      </w:r>
      <w:r w:rsidR="00B86888">
        <w:rPr>
          <w:rFonts w:asciiTheme="minorHAnsi" w:hAnsiTheme="minorHAnsi"/>
        </w:rPr>
        <w:t>ised</w:t>
      </w:r>
      <w:r w:rsidR="00FA3F97" w:rsidRPr="00C00000">
        <w:rPr>
          <w:rFonts w:asciiTheme="minorHAnsi" w:hAnsiTheme="minorHAnsi"/>
        </w:rPr>
        <w:t xml:space="preserve"> separately.</w:t>
      </w:r>
    </w:p>
    <w:p w14:paraId="10F53F94" w14:textId="77777777" w:rsidR="002F04A3" w:rsidRPr="002F04A3" w:rsidRDefault="002F04A3" w:rsidP="002F04A3">
      <w:pPr>
        <w:spacing w:line="276" w:lineRule="auto"/>
        <w:ind w:right="28"/>
        <w:rPr>
          <w:rFonts w:asciiTheme="minorHAnsi" w:hAnsiTheme="minorHAnsi"/>
        </w:rPr>
      </w:pPr>
    </w:p>
    <w:p w14:paraId="7A088349" w14:textId="13052862" w:rsidR="00160CE0" w:rsidRPr="00C00000" w:rsidRDefault="00160CE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following examples illustrate the operation of s 4K.</w:t>
      </w:r>
    </w:p>
    <w:p w14:paraId="6D08EA3E" w14:textId="77777777" w:rsidR="00FA3F97" w:rsidRPr="00C00000" w:rsidRDefault="00FA3F97" w:rsidP="00FA3F97">
      <w:pPr>
        <w:pStyle w:val="ListParagraph"/>
        <w:spacing w:line="276" w:lineRule="auto"/>
        <w:ind w:left="873" w:right="28"/>
        <w:rPr>
          <w:rFonts w:asciiTheme="minorHAnsi" w:hAnsiTheme="minorHAnsi"/>
        </w:rPr>
      </w:pPr>
    </w:p>
    <w:tbl>
      <w:tblPr>
        <w:tblW w:w="0" w:type="auto"/>
        <w:tblInd w:w="675" w:type="dxa"/>
        <w:tblLook w:val="04A0" w:firstRow="1" w:lastRow="0" w:firstColumn="1" w:lastColumn="0" w:noHBand="0" w:noVBand="1"/>
      </w:tblPr>
      <w:tblGrid>
        <w:gridCol w:w="8964"/>
      </w:tblGrid>
      <w:tr w:rsidR="00FA3F97" w:rsidRPr="003B61FF" w14:paraId="2E11C2D7" w14:textId="77777777" w:rsidTr="00FA3F97">
        <w:tc>
          <w:tcPr>
            <w:tcW w:w="9072" w:type="dxa"/>
            <w:tcBorders>
              <w:bottom w:val="single" w:sz="4" w:space="0" w:color="auto"/>
            </w:tcBorders>
            <w:shd w:val="clear" w:color="auto" w:fill="D9D9D9" w:themeFill="background1" w:themeFillShade="D9"/>
          </w:tcPr>
          <w:p w14:paraId="0A0F3A26" w14:textId="5DC8642F" w:rsidR="00FA3F97" w:rsidRPr="003B61FF" w:rsidRDefault="000D7E99" w:rsidP="00804894">
            <w:pPr>
              <w:pStyle w:val="ListParagraph"/>
              <w:keepNext/>
              <w:spacing w:line="276" w:lineRule="auto"/>
              <w:ind w:left="0" w:right="28"/>
              <w:rPr>
                <w:rFonts w:ascii="Calibri" w:hAnsi="Calibri"/>
                <w:b/>
                <w:i/>
              </w:rPr>
            </w:pPr>
            <w:r w:rsidRPr="003B61FF">
              <w:rPr>
                <w:rFonts w:ascii="Calibri" w:hAnsi="Calibri"/>
                <w:b/>
                <w:i/>
              </w:rPr>
              <w:t>Example 3</w:t>
            </w:r>
            <w:r w:rsidR="00FA3F97" w:rsidRPr="003B61FF">
              <w:rPr>
                <w:rFonts w:ascii="Calibri" w:hAnsi="Calibri"/>
                <w:b/>
                <w:i/>
              </w:rPr>
              <w:t>:  Two summary offences</w:t>
            </w:r>
          </w:p>
          <w:p w14:paraId="140F67E7" w14:textId="31C3EA0D" w:rsidR="00FA3F97" w:rsidRPr="003B61FF" w:rsidRDefault="00FA3F97" w:rsidP="00FA3F97">
            <w:pPr>
              <w:pStyle w:val="ListParagraph"/>
              <w:spacing w:line="276" w:lineRule="auto"/>
              <w:ind w:left="0" w:right="28"/>
              <w:rPr>
                <w:rFonts w:ascii="Calibri" w:hAnsi="Calibri"/>
                <w:sz w:val="21"/>
                <w:szCs w:val="21"/>
              </w:rPr>
            </w:pPr>
            <w:r w:rsidRPr="003B61FF">
              <w:rPr>
                <w:rFonts w:ascii="Calibri" w:hAnsi="Calibri"/>
                <w:sz w:val="21"/>
                <w:szCs w:val="21"/>
              </w:rPr>
              <w:t xml:space="preserve">An </w:t>
            </w:r>
            <w:r w:rsidR="002F7876" w:rsidRPr="003B61FF">
              <w:rPr>
                <w:rFonts w:ascii="Calibri" w:hAnsi="Calibri"/>
                <w:sz w:val="21"/>
                <w:szCs w:val="21"/>
              </w:rPr>
              <w:t>offender</w:t>
            </w:r>
            <w:r w:rsidRPr="003B61FF">
              <w:rPr>
                <w:rFonts w:ascii="Calibri" w:hAnsi="Calibri"/>
                <w:sz w:val="21"/>
                <w:szCs w:val="21"/>
              </w:rPr>
              <w:t xml:space="preserve"> is to be sentenced in the Magistrates</w:t>
            </w:r>
            <w:r w:rsidR="00AA693C" w:rsidRPr="003B61FF">
              <w:rPr>
                <w:rFonts w:ascii="Calibri" w:hAnsi="Calibri"/>
                <w:sz w:val="21"/>
                <w:szCs w:val="21"/>
              </w:rPr>
              <w:t>’</w:t>
            </w:r>
            <w:r w:rsidRPr="003B61FF">
              <w:rPr>
                <w:rFonts w:ascii="Calibri" w:hAnsi="Calibri"/>
                <w:sz w:val="21"/>
                <w:szCs w:val="21"/>
              </w:rPr>
              <w:t xml:space="preserve"> Court on two summary charges of obtaining financial advantage by deception contrary to s 135.2 of the </w:t>
            </w:r>
            <w:r w:rsidRPr="003B61FF">
              <w:rPr>
                <w:rFonts w:ascii="Calibri" w:hAnsi="Calibri"/>
                <w:i/>
                <w:sz w:val="21"/>
                <w:szCs w:val="21"/>
              </w:rPr>
              <w:t>Criminal Code</w:t>
            </w:r>
            <w:r w:rsidRPr="003B61FF">
              <w:rPr>
                <w:rFonts w:ascii="Calibri" w:hAnsi="Calibri"/>
                <w:b/>
                <w:i/>
                <w:sz w:val="21"/>
                <w:szCs w:val="21"/>
              </w:rPr>
              <w:t xml:space="preserve">.  </w:t>
            </w:r>
            <w:r w:rsidRPr="003B61FF">
              <w:rPr>
                <w:rFonts w:ascii="Calibri" w:hAnsi="Calibri"/>
                <w:sz w:val="21"/>
                <w:szCs w:val="21"/>
              </w:rPr>
              <w:t xml:space="preserve">These summary offences carry a maximum penalty of 12 months and/or </w:t>
            </w:r>
            <w:r w:rsidR="00804894" w:rsidRPr="003B61FF">
              <w:rPr>
                <w:rFonts w:ascii="Calibri" w:hAnsi="Calibri"/>
                <w:sz w:val="21"/>
                <w:szCs w:val="21"/>
              </w:rPr>
              <w:t>60 penalty units</w:t>
            </w:r>
            <w:r w:rsidRPr="003B61FF">
              <w:rPr>
                <w:rFonts w:ascii="Calibri" w:hAnsi="Calibri"/>
                <w:sz w:val="21"/>
                <w:szCs w:val="21"/>
              </w:rPr>
              <w:t xml:space="preserve">. Accordingly, the maximum aggregate penalty which could be imposed by a Magistrate for the two offences is 24 months imprisonment and/or a fine of </w:t>
            </w:r>
            <w:r w:rsidR="00804894" w:rsidRPr="003B61FF">
              <w:rPr>
                <w:rFonts w:ascii="Calibri" w:hAnsi="Calibri"/>
                <w:sz w:val="21"/>
                <w:szCs w:val="21"/>
              </w:rPr>
              <w:t>120 penalty units</w:t>
            </w:r>
            <w:r w:rsidRPr="003B61FF">
              <w:rPr>
                <w:rFonts w:ascii="Calibri" w:hAnsi="Calibri"/>
                <w:sz w:val="21"/>
                <w:szCs w:val="21"/>
              </w:rPr>
              <w:t>.</w:t>
            </w:r>
          </w:p>
        </w:tc>
      </w:tr>
      <w:tr w:rsidR="00FA3F97" w:rsidRPr="003B61FF" w14:paraId="3696C316" w14:textId="77777777" w:rsidTr="00FA3F97">
        <w:tc>
          <w:tcPr>
            <w:tcW w:w="9072" w:type="dxa"/>
            <w:tcBorders>
              <w:left w:val="nil"/>
              <w:right w:val="nil"/>
            </w:tcBorders>
          </w:tcPr>
          <w:p w14:paraId="7A6C753D" w14:textId="77777777" w:rsidR="00FA3F97" w:rsidRPr="003B61FF" w:rsidRDefault="00FA3F97" w:rsidP="00FA3F97">
            <w:pPr>
              <w:pStyle w:val="ListParagraph"/>
              <w:spacing w:line="276" w:lineRule="auto"/>
              <w:ind w:left="0" w:right="28"/>
              <w:rPr>
                <w:rFonts w:ascii="Calibri" w:hAnsi="Calibri"/>
                <w:i/>
              </w:rPr>
            </w:pPr>
          </w:p>
          <w:p w14:paraId="2DDA9BC6" w14:textId="77777777" w:rsidR="00FA3F97" w:rsidRPr="003B61FF" w:rsidRDefault="00FA3F97" w:rsidP="00FA3F97">
            <w:pPr>
              <w:pStyle w:val="ListParagraph"/>
              <w:spacing w:line="276" w:lineRule="auto"/>
              <w:ind w:left="0" w:right="28"/>
              <w:rPr>
                <w:rFonts w:ascii="Calibri" w:hAnsi="Calibri"/>
                <w:i/>
              </w:rPr>
            </w:pPr>
          </w:p>
        </w:tc>
      </w:tr>
      <w:tr w:rsidR="00FA3F97" w:rsidRPr="003B61FF" w14:paraId="37ECBB73" w14:textId="77777777" w:rsidTr="00FA3F97">
        <w:tc>
          <w:tcPr>
            <w:tcW w:w="9072" w:type="dxa"/>
            <w:tcBorders>
              <w:bottom w:val="single" w:sz="4" w:space="0" w:color="auto"/>
            </w:tcBorders>
            <w:shd w:val="clear" w:color="auto" w:fill="D9D9D9" w:themeFill="background1" w:themeFillShade="D9"/>
          </w:tcPr>
          <w:p w14:paraId="50C6F9C2" w14:textId="090C4B90" w:rsidR="00FA3F97" w:rsidRPr="003B61FF" w:rsidRDefault="000D7E99" w:rsidP="00804894">
            <w:pPr>
              <w:pStyle w:val="ListParagraph"/>
              <w:keepNext/>
              <w:spacing w:line="276" w:lineRule="auto"/>
              <w:ind w:left="0" w:right="28"/>
              <w:rPr>
                <w:rFonts w:ascii="Calibri" w:hAnsi="Calibri"/>
                <w:b/>
                <w:i/>
              </w:rPr>
            </w:pPr>
            <w:r w:rsidRPr="003B61FF">
              <w:rPr>
                <w:rFonts w:ascii="Calibri" w:hAnsi="Calibri"/>
                <w:b/>
                <w:i/>
              </w:rPr>
              <w:t>Example 4</w:t>
            </w:r>
            <w:r w:rsidR="00FA3F97" w:rsidRPr="003B61FF">
              <w:rPr>
                <w:rFonts w:ascii="Calibri" w:hAnsi="Calibri"/>
                <w:b/>
                <w:i/>
              </w:rPr>
              <w:t xml:space="preserve">:  </w:t>
            </w:r>
            <w:r w:rsidR="00804894" w:rsidRPr="003B61FF">
              <w:rPr>
                <w:rFonts w:ascii="Calibri" w:hAnsi="Calibri"/>
                <w:b/>
                <w:i/>
              </w:rPr>
              <w:t>State/Territory order applied by s 20AB</w:t>
            </w:r>
            <w:r w:rsidR="00FA3F97" w:rsidRPr="003B61FF">
              <w:rPr>
                <w:rFonts w:ascii="Calibri" w:hAnsi="Calibri"/>
                <w:b/>
                <w:i/>
              </w:rPr>
              <w:t xml:space="preserve"> for two summary offences</w:t>
            </w:r>
          </w:p>
          <w:p w14:paraId="4D5E5B98" w14:textId="1B41F645" w:rsidR="00FA3F97" w:rsidRPr="003B61FF" w:rsidRDefault="00FA3F97" w:rsidP="00FA3F97">
            <w:pPr>
              <w:pStyle w:val="ListParagraph"/>
              <w:spacing w:line="276" w:lineRule="auto"/>
              <w:ind w:left="0" w:right="28"/>
              <w:rPr>
                <w:rFonts w:ascii="Calibri" w:hAnsi="Calibri"/>
                <w:sz w:val="21"/>
                <w:szCs w:val="21"/>
              </w:rPr>
            </w:pPr>
            <w:r w:rsidRPr="003B61FF">
              <w:rPr>
                <w:rFonts w:ascii="Calibri" w:hAnsi="Calibri"/>
                <w:sz w:val="21"/>
                <w:szCs w:val="21"/>
              </w:rPr>
              <w:t>In the above example, should a Magistrate wish to impose a Community Correction Order</w:t>
            </w:r>
            <w:r w:rsidR="00F97AD5" w:rsidRPr="003B61FF">
              <w:rPr>
                <w:rFonts w:ascii="Calibri" w:hAnsi="Calibri"/>
                <w:sz w:val="21"/>
                <w:szCs w:val="21"/>
              </w:rPr>
              <w:t xml:space="preserve">, or another State or Territory order applied by s 20AB of the </w:t>
            </w:r>
            <w:r w:rsidR="00885EFD" w:rsidRPr="003B61FF">
              <w:rPr>
                <w:rFonts w:ascii="Calibri" w:hAnsi="Calibri"/>
                <w:i/>
                <w:sz w:val="21"/>
                <w:szCs w:val="21"/>
              </w:rPr>
              <w:t>Crimes Act 1914</w:t>
            </w:r>
            <w:r w:rsidR="00F97AD5" w:rsidRPr="003B61FF">
              <w:rPr>
                <w:rFonts w:ascii="Calibri" w:hAnsi="Calibri"/>
                <w:sz w:val="21"/>
                <w:szCs w:val="21"/>
              </w:rPr>
              <w:t xml:space="preserve"> (Cth),</w:t>
            </w:r>
            <w:r w:rsidRPr="003B61FF">
              <w:rPr>
                <w:rFonts w:ascii="Calibri" w:hAnsi="Calibri"/>
                <w:sz w:val="21"/>
                <w:szCs w:val="21"/>
              </w:rPr>
              <w:t xml:space="preserve"> in relation to both offences, </w:t>
            </w:r>
            <w:r w:rsidR="00F97AD5" w:rsidRPr="003B61FF">
              <w:rPr>
                <w:rFonts w:ascii="Calibri" w:hAnsi="Calibri"/>
                <w:sz w:val="21"/>
                <w:szCs w:val="21"/>
              </w:rPr>
              <w:t>a single order could be made, pursuant to s 4K (whether or not State/Territory law would permit it to be done for a State/Territory offence).</w:t>
            </w:r>
          </w:p>
        </w:tc>
      </w:tr>
      <w:tr w:rsidR="00FA3F97" w:rsidRPr="003B61FF" w14:paraId="1D0502B7" w14:textId="77777777" w:rsidTr="00FA3F97">
        <w:tc>
          <w:tcPr>
            <w:tcW w:w="9072" w:type="dxa"/>
            <w:tcBorders>
              <w:left w:val="nil"/>
              <w:right w:val="nil"/>
            </w:tcBorders>
          </w:tcPr>
          <w:p w14:paraId="0FDFED77" w14:textId="77777777" w:rsidR="00FA3F97" w:rsidRPr="003B61FF" w:rsidRDefault="00FA3F97" w:rsidP="00FA3F97">
            <w:pPr>
              <w:pStyle w:val="ListParagraph"/>
              <w:spacing w:line="276" w:lineRule="auto"/>
              <w:ind w:left="0" w:right="28"/>
              <w:rPr>
                <w:rFonts w:ascii="Calibri" w:hAnsi="Calibri"/>
                <w:i/>
              </w:rPr>
            </w:pPr>
          </w:p>
          <w:p w14:paraId="1CA5BB09" w14:textId="77777777" w:rsidR="00FA3F97" w:rsidRPr="003B61FF" w:rsidRDefault="00FA3F97" w:rsidP="00FA3F97">
            <w:pPr>
              <w:pStyle w:val="ListParagraph"/>
              <w:spacing w:line="276" w:lineRule="auto"/>
              <w:ind w:left="0" w:right="28"/>
              <w:rPr>
                <w:rFonts w:ascii="Calibri" w:hAnsi="Calibri"/>
                <w:i/>
              </w:rPr>
            </w:pPr>
          </w:p>
        </w:tc>
      </w:tr>
      <w:tr w:rsidR="00FA3F97" w:rsidRPr="003B61FF" w14:paraId="7A7DEBF2" w14:textId="77777777" w:rsidTr="00FA3F97">
        <w:tc>
          <w:tcPr>
            <w:tcW w:w="9072" w:type="dxa"/>
            <w:shd w:val="clear" w:color="auto" w:fill="D9D9D9" w:themeFill="background1" w:themeFillShade="D9"/>
          </w:tcPr>
          <w:p w14:paraId="6445F408" w14:textId="141CEFF0" w:rsidR="00FA3F97" w:rsidRPr="003B61FF" w:rsidRDefault="000D7E99" w:rsidP="00804894">
            <w:pPr>
              <w:pStyle w:val="ListParagraph"/>
              <w:keepNext/>
              <w:spacing w:line="276" w:lineRule="auto"/>
              <w:ind w:left="0" w:right="28"/>
              <w:rPr>
                <w:rFonts w:ascii="Calibri" w:hAnsi="Calibri"/>
                <w:b/>
                <w:i/>
              </w:rPr>
            </w:pPr>
            <w:r w:rsidRPr="003B61FF">
              <w:rPr>
                <w:rFonts w:ascii="Calibri" w:hAnsi="Calibri"/>
                <w:b/>
                <w:i/>
              </w:rPr>
              <w:t>Example 5</w:t>
            </w:r>
            <w:r w:rsidR="00FA3F97" w:rsidRPr="003B61FF">
              <w:rPr>
                <w:rFonts w:ascii="Calibri" w:hAnsi="Calibri"/>
                <w:b/>
                <w:i/>
              </w:rPr>
              <w:t>:  Two indictable charges proceeding summarily</w:t>
            </w:r>
          </w:p>
          <w:p w14:paraId="7119812F" w14:textId="43F6CC77" w:rsidR="00FA3F97" w:rsidRPr="003B61FF" w:rsidRDefault="00FA3F97" w:rsidP="00FA3F97">
            <w:pPr>
              <w:pStyle w:val="ListParagraph"/>
              <w:spacing w:line="276" w:lineRule="auto"/>
              <w:ind w:left="0" w:right="28"/>
              <w:rPr>
                <w:rFonts w:ascii="Calibri" w:hAnsi="Calibri"/>
                <w:sz w:val="21"/>
                <w:szCs w:val="21"/>
              </w:rPr>
            </w:pPr>
            <w:r w:rsidRPr="003B61FF">
              <w:rPr>
                <w:rFonts w:ascii="Calibri" w:hAnsi="Calibri"/>
                <w:sz w:val="21"/>
                <w:szCs w:val="21"/>
              </w:rPr>
              <w:t xml:space="preserve">An </w:t>
            </w:r>
            <w:r w:rsidR="002F7876" w:rsidRPr="003B61FF">
              <w:rPr>
                <w:rFonts w:ascii="Calibri" w:hAnsi="Calibri"/>
                <w:sz w:val="21"/>
                <w:szCs w:val="21"/>
              </w:rPr>
              <w:t>offender</w:t>
            </w:r>
            <w:r w:rsidRPr="003B61FF">
              <w:rPr>
                <w:rFonts w:ascii="Calibri" w:hAnsi="Calibri"/>
                <w:sz w:val="21"/>
                <w:szCs w:val="21"/>
              </w:rPr>
              <w:t xml:space="preserve"> is to be sentenced in the Magistrates</w:t>
            </w:r>
            <w:r w:rsidR="00AA693C" w:rsidRPr="003B61FF">
              <w:rPr>
                <w:rFonts w:ascii="Calibri" w:hAnsi="Calibri"/>
                <w:sz w:val="21"/>
                <w:szCs w:val="21"/>
              </w:rPr>
              <w:t>’</w:t>
            </w:r>
            <w:r w:rsidRPr="003B61FF">
              <w:rPr>
                <w:rFonts w:ascii="Calibri" w:hAnsi="Calibri"/>
                <w:sz w:val="21"/>
                <w:szCs w:val="21"/>
              </w:rPr>
              <w:t xml:space="preserve"> Court on two indictable charges of obtaining property by deception contrary to s 134.1 of the </w:t>
            </w:r>
            <w:r w:rsidRPr="003B61FF">
              <w:rPr>
                <w:rFonts w:ascii="Calibri" w:hAnsi="Calibri"/>
                <w:i/>
                <w:sz w:val="21"/>
                <w:szCs w:val="21"/>
              </w:rPr>
              <w:t xml:space="preserve">Criminal Code Act 1995 </w:t>
            </w:r>
            <w:r w:rsidRPr="003B61FF">
              <w:rPr>
                <w:rFonts w:ascii="Calibri" w:hAnsi="Calibri"/>
                <w:sz w:val="21"/>
                <w:szCs w:val="21"/>
              </w:rPr>
              <w:t>(Cth).</w:t>
            </w:r>
            <w:r w:rsidRPr="003B61FF">
              <w:rPr>
                <w:rFonts w:ascii="Calibri" w:hAnsi="Calibri"/>
                <w:b/>
                <w:sz w:val="21"/>
                <w:szCs w:val="21"/>
              </w:rPr>
              <w:t xml:space="preserve">  </w:t>
            </w:r>
            <w:r w:rsidRPr="003B61FF">
              <w:rPr>
                <w:rFonts w:ascii="Calibri" w:hAnsi="Calibri"/>
                <w:sz w:val="21"/>
                <w:szCs w:val="21"/>
              </w:rPr>
              <w:t xml:space="preserve">When dealt with summarily, the maximum penalty for each offence is 2 years imprisonment or a fine not exceeding 120 penalty units or both – s 4J(3)(b) </w:t>
            </w:r>
            <w:r w:rsidR="00885EFD" w:rsidRPr="003B61FF">
              <w:rPr>
                <w:rFonts w:ascii="Calibri" w:hAnsi="Calibri"/>
                <w:i/>
                <w:sz w:val="21"/>
                <w:szCs w:val="21"/>
              </w:rPr>
              <w:t>Crimes Act 1914</w:t>
            </w:r>
            <w:r w:rsidRPr="003B61FF">
              <w:rPr>
                <w:rFonts w:ascii="Calibri" w:hAnsi="Calibri"/>
                <w:b/>
                <w:sz w:val="21"/>
                <w:szCs w:val="21"/>
              </w:rPr>
              <w:t xml:space="preserve"> </w:t>
            </w:r>
            <w:r w:rsidRPr="003B61FF">
              <w:rPr>
                <w:rFonts w:ascii="Calibri" w:hAnsi="Calibri"/>
                <w:sz w:val="21"/>
                <w:szCs w:val="21"/>
              </w:rPr>
              <w:t>(Cth).</w:t>
            </w:r>
          </w:p>
        </w:tc>
      </w:tr>
    </w:tbl>
    <w:p w14:paraId="4BD19721" w14:textId="77777777" w:rsidR="00FA3F97" w:rsidRPr="00C00000" w:rsidRDefault="00FA3F97" w:rsidP="00FA3F97">
      <w:pPr>
        <w:pStyle w:val="ListParagraph"/>
        <w:spacing w:line="276" w:lineRule="auto"/>
        <w:ind w:left="873" w:right="28"/>
        <w:rPr>
          <w:rFonts w:asciiTheme="minorHAnsi" w:hAnsiTheme="minorHAnsi"/>
        </w:rPr>
      </w:pPr>
    </w:p>
    <w:p w14:paraId="030D0BF3" w14:textId="10FBCC04" w:rsidR="001801B6" w:rsidRDefault="001801B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Although the question has not been authoritatively settled, </w:t>
      </w:r>
      <w:r w:rsidR="00490CA8">
        <w:rPr>
          <w:rFonts w:asciiTheme="minorHAnsi" w:hAnsiTheme="minorHAnsi"/>
        </w:rPr>
        <w:t xml:space="preserve">if a law of a State or Territory which allows for the imposition of an aggregate penalty in summary proceedings in other circumstances, </w:t>
      </w:r>
      <w:r>
        <w:rPr>
          <w:rFonts w:asciiTheme="minorHAnsi" w:hAnsiTheme="minorHAnsi"/>
        </w:rPr>
        <w:t xml:space="preserve">the better view appears to be that </w:t>
      </w:r>
      <w:r w:rsidRPr="00C00000">
        <w:rPr>
          <w:rFonts w:asciiTheme="minorHAnsi" w:hAnsiTheme="minorHAnsi"/>
        </w:rPr>
        <w:t xml:space="preserve">s 4K(4) </w:t>
      </w:r>
      <w:r>
        <w:rPr>
          <w:rFonts w:asciiTheme="minorHAnsi" w:hAnsiTheme="minorHAnsi"/>
        </w:rPr>
        <w:t>does not preclude</w:t>
      </w:r>
      <w:r w:rsidR="00490CA8">
        <w:rPr>
          <w:rFonts w:asciiTheme="minorHAnsi" w:hAnsiTheme="minorHAnsi"/>
        </w:rPr>
        <w:t xml:space="preserve"> the State/Territory law </w:t>
      </w:r>
      <w:r>
        <w:rPr>
          <w:rFonts w:asciiTheme="minorHAnsi" w:hAnsiTheme="minorHAnsi"/>
        </w:rPr>
        <w:t xml:space="preserve">from being picked up and applied to the sentencing of a federal offender by s 69 or s 79 of the </w:t>
      </w:r>
      <w:r w:rsidRPr="000D2358">
        <w:rPr>
          <w:rFonts w:asciiTheme="minorHAnsi" w:hAnsiTheme="minorHAnsi"/>
          <w:i/>
        </w:rPr>
        <w:t>Judiciary Act 1903</w:t>
      </w:r>
      <w:r>
        <w:rPr>
          <w:rFonts w:asciiTheme="minorHAnsi" w:hAnsiTheme="minorHAnsi"/>
        </w:rPr>
        <w:t xml:space="preserve"> </w:t>
      </w:r>
      <w:r w:rsidRPr="00C00000">
        <w:rPr>
          <w:rFonts w:asciiTheme="minorHAnsi" w:hAnsiTheme="minorHAnsi"/>
        </w:rPr>
        <w:t>(Cth)</w:t>
      </w:r>
      <w:r>
        <w:rPr>
          <w:rFonts w:asciiTheme="minorHAnsi" w:hAnsiTheme="minorHAnsi"/>
        </w:rPr>
        <w:t>: see “</w:t>
      </w:r>
      <w:r>
        <w:rPr>
          <w:rFonts w:asciiTheme="minorHAnsi" w:hAnsiTheme="minorHAnsi"/>
        </w:rPr>
        <w:fldChar w:fldCharType="begin"/>
      </w:r>
      <w:r>
        <w:rPr>
          <w:rFonts w:asciiTheme="minorHAnsi" w:hAnsiTheme="minorHAnsi"/>
        </w:rPr>
        <w:instrText xml:space="preserve"> REF _Ref494218216 \r \h </w:instrText>
      </w:r>
      <w:r>
        <w:rPr>
          <w:rFonts w:asciiTheme="minorHAnsi" w:hAnsiTheme="minorHAnsi"/>
        </w:rPr>
      </w:r>
      <w:r>
        <w:rPr>
          <w:rFonts w:asciiTheme="minorHAnsi" w:hAnsiTheme="minorHAnsi"/>
        </w:rPr>
        <w:fldChar w:fldCharType="separate"/>
      </w:r>
      <w:r w:rsidR="00D44BCF">
        <w:rPr>
          <w:rFonts w:asciiTheme="minorHAnsi" w:hAnsiTheme="minorHAnsi"/>
        </w:rPr>
        <w:t>7.10.6</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_Ref494218216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State/Territory provisions permitting aggregate sentences in matters determined summarily</w:t>
      </w:r>
      <w:r>
        <w:rPr>
          <w:rFonts w:asciiTheme="minorHAnsi" w:hAnsiTheme="minorHAnsi"/>
        </w:rPr>
        <w:fldChar w:fldCharType="end"/>
      </w:r>
      <w:r>
        <w:rPr>
          <w:rFonts w:asciiTheme="minorHAnsi" w:hAnsiTheme="minorHAnsi"/>
        </w:rPr>
        <w:t>”.</w:t>
      </w:r>
    </w:p>
    <w:p w14:paraId="26902CF1" w14:textId="77777777" w:rsidR="001801B6" w:rsidRPr="00AC5201" w:rsidRDefault="001801B6" w:rsidP="001801B6">
      <w:pPr>
        <w:spacing w:line="276" w:lineRule="auto"/>
        <w:ind w:right="28"/>
        <w:rPr>
          <w:rFonts w:asciiTheme="minorHAnsi" w:hAnsiTheme="minorHAnsi"/>
        </w:rPr>
      </w:pPr>
    </w:p>
    <w:p w14:paraId="0418CDDB" w14:textId="0A7532B9" w:rsidR="001801B6" w:rsidRDefault="001801B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With regard to proceedings on indictment, it has been authoritatively determined by the High Court in </w:t>
      </w:r>
      <w:r w:rsidRPr="00AC5201">
        <w:rPr>
          <w:rFonts w:asciiTheme="minorHAnsi" w:hAnsiTheme="minorHAnsi"/>
          <w:i/>
        </w:rPr>
        <w:t>Putland</w:t>
      </w:r>
      <w:r w:rsidRPr="00C00000">
        <w:rPr>
          <w:rStyle w:val="Style"/>
          <w:rFonts w:asciiTheme="minorHAnsi" w:hAnsiTheme="minorHAnsi"/>
        </w:rPr>
        <w:footnoteReference w:id="1093"/>
      </w:r>
      <w:r>
        <w:rPr>
          <w:rFonts w:asciiTheme="minorHAnsi" w:hAnsiTheme="minorHAnsi"/>
          <w:i/>
        </w:rPr>
        <w:t xml:space="preserve"> </w:t>
      </w:r>
      <w:r w:rsidRPr="00380884">
        <w:rPr>
          <w:rFonts w:asciiTheme="minorHAnsi" w:hAnsiTheme="minorHAnsi"/>
        </w:rPr>
        <w:t>that</w:t>
      </w:r>
      <w:r>
        <w:rPr>
          <w:rFonts w:asciiTheme="minorHAnsi" w:hAnsiTheme="minorHAnsi"/>
        </w:rPr>
        <w:t xml:space="preserve"> s 4K(4) does not preclude the application to the sentencing of a federal offender of a State or Territory law which permits the imposition of an aggregate penalty for two or more offences: see “</w:t>
      </w:r>
      <w:r>
        <w:rPr>
          <w:rFonts w:asciiTheme="minorHAnsi" w:hAnsiTheme="minorHAnsi"/>
        </w:rPr>
        <w:fldChar w:fldCharType="begin"/>
      </w:r>
      <w:r>
        <w:rPr>
          <w:rFonts w:asciiTheme="minorHAnsi" w:hAnsiTheme="minorHAnsi"/>
        </w:rPr>
        <w:instrText xml:space="preserve"> REF _Ref494281344 \r \h </w:instrText>
      </w:r>
      <w:r>
        <w:rPr>
          <w:rFonts w:asciiTheme="minorHAnsi" w:hAnsiTheme="minorHAnsi"/>
        </w:rPr>
      </w:r>
      <w:r>
        <w:rPr>
          <w:rFonts w:asciiTheme="minorHAnsi" w:hAnsiTheme="minorHAnsi"/>
        </w:rPr>
        <w:fldChar w:fldCharType="separate"/>
      </w:r>
      <w:r w:rsidR="00D44BCF">
        <w:rPr>
          <w:rFonts w:asciiTheme="minorHAnsi" w:hAnsiTheme="minorHAnsi"/>
        </w:rPr>
        <w:t>7.10.7</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_Ref494281348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Aggregate penalty for charges on indictment</w:t>
      </w:r>
      <w:r>
        <w:rPr>
          <w:rFonts w:asciiTheme="minorHAnsi" w:hAnsiTheme="minorHAnsi"/>
        </w:rPr>
        <w:fldChar w:fldCharType="end"/>
      </w:r>
      <w:r>
        <w:rPr>
          <w:rFonts w:asciiTheme="minorHAnsi" w:hAnsiTheme="minorHAnsi"/>
        </w:rPr>
        <w:t>”.</w:t>
      </w:r>
    </w:p>
    <w:p w14:paraId="469E0CCC" w14:textId="77777777" w:rsidR="001801B6" w:rsidRPr="00D66C83" w:rsidRDefault="001801B6" w:rsidP="001801B6">
      <w:pPr>
        <w:spacing w:line="276" w:lineRule="auto"/>
        <w:ind w:right="28"/>
        <w:rPr>
          <w:rFonts w:asciiTheme="minorHAnsi" w:hAnsiTheme="minorHAnsi"/>
        </w:rPr>
      </w:pPr>
    </w:p>
    <w:p w14:paraId="4E2C516C" w14:textId="4505711B" w:rsidR="00160CE0" w:rsidRDefault="001801B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However n</w:t>
      </w:r>
      <w:r w:rsidR="00160CE0">
        <w:rPr>
          <w:rFonts w:asciiTheme="minorHAnsi" w:hAnsiTheme="minorHAnsi"/>
        </w:rPr>
        <w:t xml:space="preserve">othing in s 4K, or any other law of the Commonwealth, permits </w:t>
      </w:r>
      <w:r w:rsidR="00160CE0" w:rsidRPr="00C00000">
        <w:rPr>
          <w:rFonts w:asciiTheme="minorHAnsi" w:hAnsiTheme="minorHAnsi"/>
        </w:rPr>
        <w:t>a single aggregate</w:t>
      </w:r>
      <w:r w:rsidR="00160CE0">
        <w:rPr>
          <w:rFonts w:asciiTheme="minorHAnsi" w:hAnsiTheme="minorHAnsi"/>
        </w:rPr>
        <w:t xml:space="preserve"> penalty</w:t>
      </w:r>
      <w:r w:rsidR="00160CE0" w:rsidRPr="00C00000">
        <w:rPr>
          <w:rFonts w:asciiTheme="minorHAnsi" w:hAnsiTheme="minorHAnsi"/>
        </w:rPr>
        <w:t xml:space="preserve"> </w:t>
      </w:r>
      <w:r w:rsidR="00160CE0">
        <w:rPr>
          <w:rFonts w:asciiTheme="minorHAnsi" w:hAnsiTheme="minorHAnsi"/>
        </w:rPr>
        <w:t xml:space="preserve">to be imposed </w:t>
      </w:r>
      <w:r w:rsidR="00160CE0" w:rsidRPr="00C00000">
        <w:rPr>
          <w:rFonts w:asciiTheme="minorHAnsi" w:hAnsiTheme="minorHAnsi"/>
        </w:rPr>
        <w:t xml:space="preserve">for </w:t>
      </w:r>
      <w:r w:rsidR="00160CE0">
        <w:rPr>
          <w:rFonts w:asciiTheme="minorHAnsi" w:hAnsiTheme="minorHAnsi"/>
        </w:rPr>
        <w:t xml:space="preserve">a </w:t>
      </w:r>
      <w:r w:rsidR="00160CE0" w:rsidRPr="00C00000">
        <w:rPr>
          <w:rFonts w:asciiTheme="minorHAnsi" w:hAnsiTheme="minorHAnsi"/>
        </w:rPr>
        <w:t xml:space="preserve">federal </w:t>
      </w:r>
      <w:r w:rsidR="00160CE0">
        <w:rPr>
          <w:rFonts w:asciiTheme="minorHAnsi" w:hAnsiTheme="minorHAnsi"/>
        </w:rPr>
        <w:t xml:space="preserve">offence </w:t>
      </w:r>
      <w:r w:rsidR="00160CE0" w:rsidRPr="00C00000">
        <w:rPr>
          <w:rFonts w:asciiTheme="minorHAnsi" w:hAnsiTheme="minorHAnsi"/>
        </w:rPr>
        <w:t xml:space="preserve">and </w:t>
      </w:r>
      <w:r w:rsidR="00160CE0">
        <w:rPr>
          <w:rFonts w:asciiTheme="minorHAnsi" w:hAnsiTheme="minorHAnsi"/>
        </w:rPr>
        <w:t>a S</w:t>
      </w:r>
      <w:r w:rsidR="00160CE0" w:rsidRPr="00C00000">
        <w:rPr>
          <w:rFonts w:asciiTheme="minorHAnsi" w:hAnsiTheme="minorHAnsi"/>
        </w:rPr>
        <w:t>tate</w:t>
      </w:r>
      <w:r w:rsidR="00160CE0">
        <w:rPr>
          <w:rFonts w:asciiTheme="minorHAnsi" w:hAnsiTheme="minorHAnsi"/>
        </w:rPr>
        <w:t xml:space="preserve"> or Territory</w:t>
      </w:r>
      <w:r w:rsidR="00160CE0" w:rsidRPr="00C00000">
        <w:rPr>
          <w:rFonts w:asciiTheme="minorHAnsi" w:hAnsiTheme="minorHAnsi"/>
        </w:rPr>
        <w:t xml:space="preserve"> offence.</w:t>
      </w:r>
      <w:r w:rsidR="00AB12CC" w:rsidRPr="00C00000">
        <w:rPr>
          <w:rStyle w:val="Style"/>
          <w:rFonts w:asciiTheme="minorHAnsi" w:hAnsiTheme="minorHAnsi"/>
        </w:rPr>
        <w:footnoteReference w:id="1094"/>
      </w:r>
    </w:p>
    <w:p w14:paraId="153C88CF" w14:textId="77777777" w:rsidR="00160CE0" w:rsidRPr="00160CE0" w:rsidRDefault="00160CE0" w:rsidP="00160CE0">
      <w:pPr>
        <w:pStyle w:val="ListParagraph"/>
        <w:rPr>
          <w:rFonts w:asciiTheme="minorHAnsi" w:hAnsiTheme="minorHAnsi"/>
        </w:rPr>
      </w:pPr>
    </w:p>
    <w:p w14:paraId="4D0DB779" w14:textId="6684170C" w:rsidR="00FA3F97" w:rsidRPr="00364B92" w:rsidRDefault="00113B40" w:rsidP="008B3E81">
      <w:pPr>
        <w:pStyle w:val="Heading3"/>
      </w:pPr>
      <w:bookmarkStart w:id="3061" w:name="_Ref494218216"/>
      <w:bookmarkStart w:id="3062" w:name="_Toc33602963"/>
      <w:r>
        <w:t>State/T</w:t>
      </w:r>
      <w:r w:rsidR="00FA3F97" w:rsidRPr="00364B92">
        <w:t>erritory provisions</w:t>
      </w:r>
      <w:r>
        <w:t xml:space="preserve"> permitt</w:t>
      </w:r>
      <w:r w:rsidR="001219C3">
        <w:t>ing</w:t>
      </w:r>
      <w:r>
        <w:t xml:space="preserve"> aggregate sentences in matters determined summarily</w:t>
      </w:r>
      <w:bookmarkEnd w:id="3061"/>
      <w:bookmarkEnd w:id="3062"/>
    </w:p>
    <w:p w14:paraId="22446C88" w14:textId="77777777" w:rsidR="00FA3F97" w:rsidRPr="00051102" w:rsidRDefault="00FA3F97" w:rsidP="008B3E81">
      <w:pPr>
        <w:keepNext/>
        <w:rPr>
          <w:rFonts w:ascii="Calibri" w:hAnsi="Calibri"/>
        </w:rPr>
      </w:pPr>
    </w:p>
    <w:p w14:paraId="359E30AF" w14:textId="018208D5" w:rsidR="00113B40" w:rsidRPr="00113B40" w:rsidRDefault="00113B40" w:rsidP="00EB7F1E">
      <w:pPr>
        <w:pStyle w:val="ListParagraph"/>
        <w:numPr>
          <w:ilvl w:val="0"/>
          <w:numId w:val="7"/>
        </w:numPr>
        <w:spacing w:line="276" w:lineRule="auto"/>
        <w:ind w:left="425" w:hanging="425"/>
        <w:contextualSpacing w:val="0"/>
        <w:rPr>
          <w:rFonts w:asciiTheme="minorHAnsi" w:hAnsiTheme="minorHAnsi"/>
          <w:i/>
          <w:iCs/>
        </w:rPr>
      </w:pPr>
      <w:r>
        <w:rPr>
          <w:rFonts w:asciiTheme="minorHAnsi" w:hAnsiTheme="minorHAnsi"/>
          <w:iCs/>
        </w:rPr>
        <w:t xml:space="preserve">In all States and </w:t>
      </w:r>
      <w:r w:rsidRPr="00E90120">
        <w:rPr>
          <w:rFonts w:asciiTheme="minorHAnsi" w:hAnsiTheme="minorHAnsi"/>
        </w:rPr>
        <w:t>Territories</w:t>
      </w:r>
      <w:r>
        <w:rPr>
          <w:rFonts w:asciiTheme="minorHAnsi" w:hAnsiTheme="minorHAnsi"/>
          <w:iCs/>
        </w:rPr>
        <w:t xml:space="preserve"> provision is made for the joinder of charges</w:t>
      </w:r>
      <w:r w:rsidR="00A74B98">
        <w:rPr>
          <w:rFonts w:asciiTheme="minorHAnsi" w:hAnsiTheme="minorHAnsi"/>
          <w:iCs/>
        </w:rPr>
        <w:t xml:space="preserve"> in summary proceedings or proceedings determined summarily.  Such provisions are generally wider than s 4K(3) of the </w:t>
      </w:r>
      <w:r w:rsidR="00885EFD" w:rsidRPr="00885EFD">
        <w:rPr>
          <w:rFonts w:asciiTheme="minorHAnsi" w:hAnsiTheme="minorHAnsi"/>
          <w:i/>
          <w:iCs/>
        </w:rPr>
        <w:t>Crimes Act 1914</w:t>
      </w:r>
      <w:r w:rsidR="00A74B98">
        <w:rPr>
          <w:rFonts w:asciiTheme="minorHAnsi" w:hAnsiTheme="minorHAnsi"/>
          <w:iCs/>
        </w:rPr>
        <w:t>, in that joinder is not restricted to charges for the same offence.  A number of State and Territory laws permit the making of a single order, or the imposition of a single sentence, where charges are so joined</w:t>
      </w:r>
      <w:r w:rsidR="00984650">
        <w:rPr>
          <w:rFonts w:asciiTheme="minorHAnsi" w:hAnsiTheme="minorHAnsi"/>
          <w:iCs/>
        </w:rPr>
        <w:t xml:space="preserve">, or </w:t>
      </w:r>
      <w:r w:rsidR="00A74B98">
        <w:rPr>
          <w:rFonts w:asciiTheme="minorHAnsi" w:hAnsiTheme="minorHAnsi"/>
          <w:iCs/>
        </w:rPr>
        <w:t>in other circumstances.</w:t>
      </w:r>
      <w:r w:rsidR="00984650" w:rsidRPr="00C00000">
        <w:rPr>
          <w:rStyle w:val="Style"/>
          <w:rFonts w:asciiTheme="minorHAnsi" w:hAnsiTheme="minorHAnsi"/>
        </w:rPr>
        <w:footnoteReference w:id="1095"/>
      </w:r>
    </w:p>
    <w:p w14:paraId="432C061C" w14:textId="77777777" w:rsidR="00113B40" w:rsidRPr="00113B40" w:rsidRDefault="00113B40" w:rsidP="00113B40">
      <w:pPr>
        <w:spacing w:line="276" w:lineRule="auto"/>
        <w:ind w:right="28"/>
        <w:rPr>
          <w:rFonts w:asciiTheme="minorHAnsi" w:hAnsiTheme="minorHAnsi"/>
          <w:i/>
          <w:iCs/>
        </w:rPr>
      </w:pPr>
    </w:p>
    <w:p w14:paraId="7E6FF686" w14:textId="2BF0A309" w:rsidR="003A2A13" w:rsidRPr="003A2A13" w:rsidRDefault="00A74B98" w:rsidP="00EB7F1E">
      <w:pPr>
        <w:pStyle w:val="ListParagraph"/>
        <w:numPr>
          <w:ilvl w:val="0"/>
          <w:numId w:val="7"/>
        </w:numPr>
        <w:spacing w:line="276" w:lineRule="auto"/>
        <w:ind w:left="425" w:hanging="425"/>
        <w:contextualSpacing w:val="0"/>
        <w:rPr>
          <w:rFonts w:asciiTheme="minorHAnsi" w:hAnsiTheme="minorHAnsi"/>
          <w:i/>
          <w:iCs/>
        </w:rPr>
      </w:pPr>
      <w:r>
        <w:rPr>
          <w:rFonts w:asciiTheme="minorHAnsi" w:hAnsiTheme="minorHAnsi"/>
        </w:rPr>
        <w:t xml:space="preserve">Such </w:t>
      </w:r>
      <w:r w:rsidR="00113B40">
        <w:rPr>
          <w:rFonts w:asciiTheme="minorHAnsi" w:hAnsiTheme="minorHAnsi"/>
        </w:rPr>
        <w:t xml:space="preserve">State or Territory </w:t>
      </w:r>
      <w:r w:rsidR="003A2A13">
        <w:rPr>
          <w:rFonts w:asciiTheme="minorHAnsi" w:hAnsiTheme="minorHAnsi"/>
        </w:rPr>
        <w:t xml:space="preserve">procedural </w:t>
      </w:r>
      <w:r w:rsidR="00113B40">
        <w:rPr>
          <w:rFonts w:asciiTheme="minorHAnsi" w:hAnsiTheme="minorHAnsi"/>
        </w:rPr>
        <w:t xml:space="preserve">laws </w:t>
      </w:r>
      <w:r w:rsidR="003A2A13">
        <w:rPr>
          <w:rFonts w:asciiTheme="minorHAnsi" w:hAnsiTheme="minorHAnsi"/>
        </w:rPr>
        <w:t xml:space="preserve">are of a kind which are capable of being picked up and applied to the sentencing of federal offenders by s 68 or s 79 of the </w:t>
      </w:r>
      <w:r w:rsidR="003A2A13" w:rsidRPr="003A2A13">
        <w:rPr>
          <w:rFonts w:asciiTheme="minorHAnsi" w:hAnsiTheme="minorHAnsi"/>
          <w:i/>
        </w:rPr>
        <w:t>Judiciary Act</w:t>
      </w:r>
      <w:r w:rsidR="003A2A13">
        <w:rPr>
          <w:rFonts w:asciiTheme="minorHAnsi" w:hAnsiTheme="minorHAnsi"/>
        </w:rPr>
        <w:t xml:space="preserve"> 1903 (Cth).</w:t>
      </w:r>
      <w:r w:rsidR="00620038" w:rsidRPr="00C00000">
        <w:rPr>
          <w:rStyle w:val="Style"/>
          <w:rFonts w:asciiTheme="minorHAnsi" w:hAnsiTheme="minorHAnsi"/>
        </w:rPr>
        <w:footnoteReference w:id="1096"/>
      </w:r>
      <w:r w:rsidR="003A2A13">
        <w:rPr>
          <w:rFonts w:asciiTheme="minorHAnsi" w:hAnsiTheme="minorHAnsi"/>
        </w:rPr>
        <w:t xml:space="preserve">  The only impediment to them doing so would be if s</w:t>
      </w:r>
      <w:r w:rsidR="00E01A49">
        <w:rPr>
          <w:rFonts w:asciiTheme="minorHAnsi" w:hAnsiTheme="minorHAnsi"/>
        </w:rPr>
        <w:t xml:space="preserve"> </w:t>
      </w:r>
      <w:r w:rsidR="003A2A13">
        <w:rPr>
          <w:rFonts w:asciiTheme="minorHAnsi" w:hAnsiTheme="minorHAnsi"/>
        </w:rPr>
        <w:t>4K</w:t>
      </w:r>
      <w:r w:rsidR="00FA3F97" w:rsidRPr="00C00000">
        <w:rPr>
          <w:rFonts w:asciiTheme="minorHAnsi" w:hAnsiTheme="minorHAnsi"/>
        </w:rPr>
        <w:t xml:space="preserve"> of the </w:t>
      </w:r>
      <w:r w:rsidR="00885EFD" w:rsidRPr="00885EFD">
        <w:rPr>
          <w:rFonts w:asciiTheme="minorHAnsi" w:hAnsiTheme="minorHAnsi"/>
          <w:i/>
        </w:rPr>
        <w:t>Crimes Act 1914</w:t>
      </w:r>
      <w:r w:rsidR="00FA3F97" w:rsidRPr="00C00000">
        <w:rPr>
          <w:rFonts w:asciiTheme="minorHAnsi" w:hAnsiTheme="minorHAnsi"/>
        </w:rPr>
        <w:t xml:space="preserve"> (Cth) </w:t>
      </w:r>
      <w:r w:rsidR="003A2A13">
        <w:rPr>
          <w:rFonts w:asciiTheme="minorHAnsi" w:hAnsiTheme="minorHAnsi"/>
        </w:rPr>
        <w:t>were regarded as rendering the State or Territory laws inapplicable.</w:t>
      </w:r>
    </w:p>
    <w:p w14:paraId="3EB0EA63" w14:textId="77777777" w:rsidR="003A2A13" w:rsidRPr="003A2A13" w:rsidRDefault="003A2A13" w:rsidP="003A2A13">
      <w:pPr>
        <w:pStyle w:val="ListParagraph"/>
        <w:rPr>
          <w:rFonts w:asciiTheme="minorHAnsi" w:hAnsiTheme="minorHAnsi"/>
        </w:rPr>
      </w:pPr>
    </w:p>
    <w:p w14:paraId="6C76C799" w14:textId="4A24487B" w:rsidR="00781879" w:rsidRPr="00B73CA1" w:rsidRDefault="001801B6" w:rsidP="00EB7F1E">
      <w:pPr>
        <w:pStyle w:val="ListParagraph"/>
        <w:numPr>
          <w:ilvl w:val="0"/>
          <w:numId w:val="7"/>
        </w:numPr>
        <w:spacing w:line="276" w:lineRule="auto"/>
        <w:ind w:left="425" w:hanging="425"/>
        <w:contextualSpacing w:val="0"/>
        <w:rPr>
          <w:rFonts w:asciiTheme="minorHAnsi" w:hAnsiTheme="minorHAnsi"/>
          <w:i/>
          <w:iCs/>
        </w:rPr>
      </w:pPr>
      <w:r>
        <w:rPr>
          <w:rFonts w:asciiTheme="minorHAnsi" w:hAnsiTheme="minorHAnsi"/>
        </w:rPr>
        <w:t xml:space="preserve">Although the point has not been authoritatively decided, it has been accepted, </w:t>
      </w:r>
      <w:r w:rsidRPr="001801B6">
        <w:rPr>
          <w:rFonts w:asciiTheme="minorHAnsi" w:hAnsiTheme="minorHAnsi"/>
          <w:i/>
        </w:rPr>
        <w:t>obiter dicta</w:t>
      </w:r>
      <w:r>
        <w:rPr>
          <w:rFonts w:asciiTheme="minorHAnsi" w:hAnsiTheme="minorHAnsi"/>
        </w:rPr>
        <w:t xml:space="preserve">, that </w:t>
      </w:r>
      <w:r w:rsidR="004C2A9C">
        <w:rPr>
          <w:rFonts w:asciiTheme="minorHAnsi" w:hAnsiTheme="minorHAnsi"/>
        </w:rPr>
        <w:t>s 4K does not preclude the application of such State or Territory laws</w:t>
      </w:r>
      <w:r w:rsidR="00B73CA1">
        <w:rPr>
          <w:rFonts w:asciiTheme="minorHAnsi" w:hAnsiTheme="minorHAnsi"/>
        </w:rPr>
        <w:t xml:space="preserve"> to sentencing in summary proceedings</w:t>
      </w:r>
      <w:r w:rsidR="00FA3F97" w:rsidRPr="00C00000">
        <w:rPr>
          <w:rFonts w:asciiTheme="minorHAnsi" w:hAnsiTheme="minorHAnsi"/>
        </w:rPr>
        <w:t>.</w:t>
      </w:r>
      <w:bookmarkStart w:id="3063" w:name="_Ref494268953"/>
      <w:r w:rsidR="00113B40" w:rsidRPr="00C00000">
        <w:rPr>
          <w:rStyle w:val="Style"/>
          <w:rFonts w:asciiTheme="minorHAnsi" w:hAnsiTheme="minorHAnsi"/>
        </w:rPr>
        <w:footnoteReference w:id="1097"/>
      </w:r>
      <w:bookmarkEnd w:id="3063"/>
      <w:r w:rsidR="00FA3F97" w:rsidRPr="00C00000">
        <w:rPr>
          <w:rFonts w:asciiTheme="minorHAnsi" w:hAnsiTheme="minorHAnsi"/>
        </w:rPr>
        <w:t xml:space="preserve"> </w:t>
      </w:r>
      <w:r w:rsidR="00781879">
        <w:rPr>
          <w:rFonts w:asciiTheme="minorHAnsi" w:hAnsiTheme="minorHAnsi"/>
        </w:rPr>
        <w:t xml:space="preserve"> </w:t>
      </w:r>
      <w:r w:rsidR="00B73CA1">
        <w:rPr>
          <w:rFonts w:asciiTheme="minorHAnsi" w:hAnsiTheme="minorHAnsi"/>
        </w:rPr>
        <w:t xml:space="preserve">The better view appears to be that such State or Territory laws permitting aggregate penalties do apply to the sentencing of a federal offender in summary proceedings </w:t>
      </w:r>
      <w:r w:rsidR="004D0F3F">
        <w:rPr>
          <w:rFonts w:asciiTheme="minorHAnsi" w:hAnsiTheme="minorHAnsi"/>
        </w:rPr>
        <w:t xml:space="preserve">in circumstances in which </w:t>
      </w:r>
      <w:r w:rsidR="00781879" w:rsidRPr="00C00000">
        <w:rPr>
          <w:rFonts w:asciiTheme="minorHAnsi" w:hAnsiTheme="minorHAnsi"/>
        </w:rPr>
        <w:t xml:space="preserve">s 4K(4) of the </w:t>
      </w:r>
      <w:r w:rsidR="00885EFD" w:rsidRPr="00885EFD">
        <w:rPr>
          <w:rFonts w:asciiTheme="minorHAnsi" w:hAnsiTheme="minorHAnsi"/>
          <w:i/>
        </w:rPr>
        <w:t>Crimes Act 1914</w:t>
      </w:r>
      <w:r w:rsidR="00781879" w:rsidRPr="00C00000">
        <w:rPr>
          <w:rFonts w:asciiTheme="minorHAnsi" w:hAnsiTheme="minorHAnsi"/>
        </w:rPr>
        <w:t xml:space="preserve"> (Cth) </w:t>
      </w:r>
      <w:r w:rsidR="00B73CA1">
        <w:rPr>
          <w:rFonts w:asciiTheme="minorHAnsi" w:hAnsiTheme="minorHAnsi"/>
        </w:rPr>
        <w:t>is inapplicable</w:t>
      </w:r>
      <w:r w:rsidR="004D0F3F">
        <w:rPr>
          <w:rFonts w:asciiTheme="minorHAnsi" w:hAnsiTheme="minorHAnsi"/>
        </w:rPr>
        <w:t xml:space="preserve"> (e.g. if the offender is charged with different offences)</w:t>
      </w:r>
      <w:r w:rsidR="00781879" w:rsidRPr="00C00000">
        <w:rPr>
          <w:rFonts w:asciiTheme="minorHAnsi" w:hAnsiTheme="minorHAnsi"/>
        </w:rPr>
        <w:t>.</w:t>
      </w:r>
    </w:p>
    <w:p w14:paraId="174DC5C0" w14:textId="77777777" w:rsidR="00B73CA1" w:rsidRPr="00B73CA1" w:rsidRDefault="00B73CA1" w:rsidP="00B73CA1">
      <w:pPr>
        <w:pStyle w:val="ListParagraph"/>
        <w:rPr>
          <w:rFonts w:asciiTheme="minorHAnsi" w:hAnsiTheme="minorHAnsi"/>
          <w:i/>
          <w:iCs/>
        </w:rPr>
      </w:pPr>
    </w:p>
    <w:p w14:paraId="3810A317" w14:textId="23D8E6F1" w:rsidR="00B73CA1" w:rsidRDefault="00B73CA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However </w:t>
      </w:r>
      <w:r w:rsidR="00BF4193">
        <w:rPr>
          <w:rFonts w:asciiTheme="minorHAnsi" w:hAnsiTheme="minorHAnsi"/>
        </w:rPr>
        <w:t xml:space="preserve">it is not permissible to impose </w:t>
      </w:r>
      <w:r w:rsidRPr="00C00000">
        <w:rPr>
          <w:rFonts w:asciiTheme="minorHAnsi" w:hAnsiTheme="minorHAnsi"/>
        </w:rPr>
        <w:t>a single aggregate</w:t>
      </w:r>
      <w:r>
        <w:rPr>
          <w:rFonts w:asciiTheme="minorHAnsi" w:hAnsiTheme="minorHAnsi"/>
        </w:rPr>
        <w:t xml:space="preserve"> penalty</w:t>
      </w:r>
      <w:r w:rsidRPr="00C00000">
        <w:rPr>
          <w:rFonts w:asciiTheme="minorHAnsi" w:hAnsiTheme="minorHAnsi"/>
        </w:rPr>
        <w:t xml:space="preserve"> for </w:t>
      </w:r>
      <w:r>
        <w:rPr>
          <w:rFonts w:asciiTheme="minorHAnsi" w:hAnsiTheme="minorHAnsi"/>
        </w:rPr>
        <w:t xml:space="preserve">a </w:t>
      </w:r>
      <w:r w:rsidRPr="00C00000">
        <w:rPr>
          <w:rFonts w:asciiTheme="minorHAnsi" w:hAnsiTheme="minorHAnsi"/>
        </w:rPr>
        <w:t xml:space="preserve">federal </w:t>
      </w:r>
      <w:r>
        <w:rPr>
          <w:rFonts w:asciiTheme="minorHAnsi" w:hAnsiTheme="minorHAnsi"/>
        </w:rPr>
        <w:t xml:space="preserve">offence </w:t>
      </w:r>
      <w:r w:rsidRPr="00C00000">
        <w:rPr>
          <w:rFonts w:asciiTheme="minorHAnsi" w:hAnsiTheme="minorHAnsi"/>
        </w:rPr>
        <w:t xml:space="preserve">and </w:t>
      </w:r>
      <w:r>
        <w:rPr>
          <w:rFonts w:asciiTheme="minorHAnsi" w:hAnsiTheme="minorHAnsi"/>
        </w:rPr>
        <w:t>a S</w:t>
      </w:r>
      <w:r w:rsidRPr="00C00000">
        <w:rPr>
          <w:rFonts w:asciiTheme="minorHAnsi" w:hAnsiTheme="minorHAnsi"/>
        </w:rPr>
        <w:t>tate</w:t>
      </w:r>
      <w:r>
        <w:rPr>
          <w:rFonts w:asciiTheme="minorHAnsi" w:hAnsiTheme="minorHAnsi"/>
        </w:rPr>
        <w:t xml:space="preserve"> or Territory</w:t>
      </w:r>
      <w:r w:rsidRPr="00C00000">
        <w:rPr>
          <w:rFonts w:asciiTheme="minorHAnsi" w:hAnsiTheme="minorHAnsi"/>
        </w:rPr>
        <w:t xml:space="preserve"> offence.</w:t>
      </w:r>
      <w:r w:rsidR="00AB12CC" w:rsidRPr="00C00000">
        <w:rPr>
          <w:rStyle w:val="Style"/>
          <w:rFonts w:asciiTheme="minorHAnsi" w:hAnsiTheme="minorHAnsi"/>
        </w:rPr>
        <w:footnoteReference w:id="1098"/>
      </w:r>
    </w:p>
    <w:p w14:paraId="714D6F43" w14:textId="77777777" w:rsidR="00B73CA1" w:rsidRPr="00160CE0" w:rsidRDefault="00B73CA1" w:rsidP="00B73CA1">
      <w:pPr>
        <w:pStyle w:val="ListParagraph"/>
        <w:rPr>
          <w:rFonts w:asciiTheme="minorHAnsi" w:hAnsiTheme="minorHAnsi"/>
        </w:rPr>
      </w:pPr>
    </w:p>
    <w:p w14:paraId="34A001CE" w14:textId="1BE4FD7B" w:rsidR="00FA3F97" w:rsidRDefault="00FA3F97" w:rsidP="008B3E81">
      <w:pPr>
        <w:pStyle w:val="Heading3"/>
      </w:pPr>
      <w:bookmarkStart w:id="3064" w:name="_Ref494281344"/>
      <w:bookmarkStart w:id="3065" w:name="_Ref494281348"/>
      <w:bookmarkStart w:id="3066" w:name="_Toc33602964"/>
      <w:r w:rsidRPr="00364B92">
        <w:t xml:space="preserve">Aggregate penalty </w:t>
      </w:r>
      <w:r w:rsidR="00A01A2A">
        <w:t>for charges on i</w:t>
      </w:r>
      <w:r w:rsidRPr="00364B92">
        <w:t>ndictment</w:t>
      </w:r>
      <w:bookmarkEnd w:id="3064"/>
      <w:bookmarkEnd w:id="3065"/>
      <w:bookmarkEnd w:id="3066"/>
    </w:p>
    <w:p w14:paraId="02353D6F" w14:textId="77777777" w:rsidR="00BF4193" w:rsidRPr="00BF4193" w:rsidRDefault="00BF4193" w:rsidP="008B3E81">
      <w:pPr>
        <w:pStyle w:val="ListParagraph"/>
        <w:keepNext/>
        <w:spacing w:line="276" w:lineRule="auto"/>
        <w:ind w:left="567" w:right="28" w:hanging="567"/>
        <w:rPr>
          <w:rFonts w:asciiTheme="minorHAnsi" w:hAnsiTheme="minorHAnsi"/>
          <w:u w:val="single"/>
        </w:rPr>
      </w:pPr>
    </w:p>
    <w:p w14:paraId="739D208C" w14:textId="503A68B7" w:rsidR="004D0F3F" w:rsidRDefault="00AD66D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well-established </w:t>
      </w:r>
      <w:r w:rsidR="00BF4193">
        <w:rPr>
          <w:rFonts w:asciiTheme="minorHAnsi" w:hAnsiTheme="minorHAnsi"/>
        </w:rPr>
        <w:t>that s</w:t>
      </w:r>
      <w:r w:rsidR="00FA3F97" w:rsidRPr="00C00000">
        <w:rPr>
          <w:rFonts w:asciiTheme="minorHAnsi" w:hAnsiTheme="minorHAnsi"/>
        </w:rPr>
        <w:t xml:space="preserve"> 4K of the </w:t>
      </w:r>
      <w:r w:rsidR="00885EFD" w:rsidRPr="00885EFD">
        <w:rPr>
          <w:rFonts w:asciiTheme="minorHAnsi" w:hAnsiTheme="minorHAnsi"/>
          <w:i/>
        </w:rPr>
        <w:t>Crimes Act 1914</w:t>
      </w:r>
      <w:r w:rsidR="00FA3F97" w:rsidRPr="00C00000">
        <w:rPr>
          <w:rFonts w:asciiTheme="minorHAnsi" w:hAnsiTheme="minorHAnsi"/>
          <w:i/>
        </w:rPr>
        <w:t xml:space="preserve"> </w:t>
      </w:r>
      <w:r w:rsidR="00FA3F97" w:rsidRPr="00C00000">
        <w:rPr>
          <w:rFonts w:asciiTheme="minorHAnsi" w:hAnsiTheme="minorHAnsi"/>
        </w:rPr>
        <w:t xml:space="preserve">(Cth) </w:t>
      </w:r>
      <w:r w:rsidR="00BF4193">
        <w:rPr>
          <w:rFonts w:asciiTheme="minorHAnsi" w:hAnsiTheme="minorHAnsi"/>
        </w:rPr>
        <w:t>(which permits the imposition of an aggregate penalty in certain circumstances) has no application to proceedings on indictment.</w:t>
      </w:r>
      <w:r w:rsidRPr="00C00000">
        <w:rPr>
          <w:rStyle w:val="Style"/>
          <w:rFonts w:asciiTheme="minorHAnsi" w:hAnsiTheme="minorHAnsi"/>
        </w:rPr>
        <w:footnoteReference w:id="1099"/>
      </w:r>
      <w:r w:rsidR="00BF4193">
        <w:rPr>
          <w:rFonts w:asciiTheme="minorHAnsi" w:hAnsiTheme="minorHAnsi"/>
        </w:rPr>
        <w:t xml:space="preserve">  </w:t>
      </w:r>
    </w:p>
    <w:p w14:paraId="0796E227" w14:textId="77777777" w:rsidR="004D0F3F" w:rsidRPr="004D0F3F" w:rsidRDefault="004D0F3F" w:rsidP="004D0F3F">
      <w:pPr>
        <w:spacing w:line="276" w:lineRule="auto"/>
        <w:ind w:right="28"/>
        <w:rPr>
          <w:rFonts w:asciiTheme="minorHAnsi" w:hAnsiTheme="minorHAnsi"/>
        </w:rPr>
      </w:pPr>
    </w:p>
    <w:p w14:paraId="29E9F1AF" w14:textId="7212B060" w:rsidR="00FA3F97" w:rsidRPr="00C00000" w:rsidRDefault="00AD66D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In </w:t>
      </w:r>
      <w:r w:rsidRPr="00BF4193">
        <w:rPr>
          <w:rFonts w:asciiTheme="minorHAnsi" w:hAnsiTheme="minorHAnsi"/>
          <w:i/>
        </w:rPr>
        <w:t>Putland</w:t>
      </w:r>
      <w:r>
        <w:rPr>
          <w:rFonts w:asciiTheme="minorHAnsi" w:hAnsiTheme="minorHAnsi"/>
        </w:rPr>
        <w:t>,</w:t>
      </w:r>
      <w:r w:rsidRPr="00C00000">
        <w:rPr>
          <w:rStyle w:val="Style"/>
          <w:rFonts w:asciiTheme="minorHAnsi" w:hAnsiTheme="minorHAnsi"/>
        </w:rPr>
        <w:footnoteReference w:id="1100"/>
      </w:r>
      <w:r>
        <w:rPr>
          <w:rFonts w:asciiTheme="minorHAnsi" w:hAnsiTheme="minorHAnsi"/>
        </w:rPr>
        <w:t xml:space="preserve"> the High Court held </w:t>
      </w:r>
      <w:r w:rsidR="00337837">
        <w:rPr>
          <w:rFonts w:asciiTheme="minorHAnsi" w:hAnsiTheme="minorHAnsi"/>
        </w:rPr>
        <w:t xml:space="preserve">that nothing in s 4K, or </w:t>
      </w:r>
      <w:r w:rsidR="000F5A3D">
        <w:rPr>
          <w:rFonts w:asciiTheme="minorHAnsi" w:hAnsiTheme="minorHAnsi"/>
        </w:rPr>
        <w:t xml:space="preserve">in Part </w:t>
      </w:r>
      <w:r w:rsidR="00E45830">
        <w:rPr>
          <w:rFonts w:asciiTheme="minorHAnsi" w:hAnsiTheme="minorHAnsi"/>
        </w:rPr>
        <w:t>IB</w:t>
      </w:r>
      <w:r w:rsidR="00337837">
        <w:rPr>
          <w:rFonts w:asciiTheme="minorHAnsi" w:hAnsiTheme="minorHAnsi"/>
        </w:rPr>
        <w:t xml:space="preserve"> </w:t>
      </w:r>
      <w:r w:rsidR="005504CD">
        <w:rPr>
          <w:rFonts w:asciiTheme="minorHAnsi" w:hAnsiTheme="minorHAnsi"/>
        </w:rPr>
        <w:t xml:space="preserve">of the </w:t>
      </w:r>
      <w:r w:rsidR="005504CD" w:rsidRPr="000F5A3D">
        <w:rPr>
          <w:rFonts w:asciiTheme="minorHAnsi" w:hAnsiTheme="minorHAnsi"/>
          <w:i/>
        </w:rPr>
        <w:t>Crimes Act</w:t>
      </w:r>
      <w:r w:rsidR="00BF4193">
        <w:rPr>
          <w:rFonts w:asciiTheme="minorHAnsi" w:hAnsiTheme="minorHAnsi"/>
        </w:rPr>
        <w:t>, preclude</w:t>
      </w:r>
      <w:r w:rsidR="007039F7">
        <w:rPr>
          <w:rFonts w:asciiTheme="minorHAnsi" w:hAnsiTheme="minorHAnsi"/>
        </w:rPr>
        <w:t>d</w:t>
      </w:r>
      <w:r w:rsidR="00BF4193">
        <w:rPr>
          <w:rFonts w:asciiTheme="minorHAnsi" w:hAnsiTheme="minorHAnsi"/>
        </w:rPr>
        <w:t xml:space="preserve"> a Territory law which </w:t>
      </w:r>
      <w:r w:rsidR="00FA3F97" w:rsidRPr="00C00000">
        <w:rPr>
          <w:rFonts w:asciiTheme="minorHAnsi" w:hAnsiTheme="minorHAnsi"/>
        </w:rPr>
        <w:t>permit</w:t>
      </w:r>
      <w:r w:rsidR="007039F7">
        <w:rPr>
          <w:rFonts w:asciiTheme="minorHAnsi" w:hAnsiTheme="minorHAnsi"/>
        </w:rPr>
        <w:t>ted</w:t>
      </w:r>
      <w:r w:rsidR="00FA3F97" w:rsidRPr="00C00000">
        <w:rPr>
          <w:rFonts w:asciiTheme="minorHAnsi" w:hAnsiTheme="minorHAnsi"/>
        </w:rPr>
        <w:t xml:space="preserve"> a court</w:t>
      </w:r>
      <w:r w:rsidR="00165BD3">
        <w:rPr>
          <w:rFonts w:asciiTheme="minorHAnsi" w:hAnsiTheme="minorHAnsi"/>
        </w:rPr>
        <w:t>,</w:t>
      </w:r>
      <w:r w:rsidR="00FA3F97" w:rsidRPr="00C00000">
        <w:rPr>
          <w:rFonts w:asciiTheme="minorHAnsi" w:hAnsiTheme="minorHAnsi"/>
        </w:rPr>
        <w:t xml:space="preserve"> in </w:t>
      </w:r>
      <w:r w:rsidR="007039F7">
        <w:rPr>
          <w:rFonts w:asciiTheme="minorHAnsi" w:hAnsiTheme="minorHAnsi"/>
        </w:rPr>
        <w:t>sentencing an offender on indictment</w:t>
      </w:r>
      <w:r w:rsidR="00165BD3">
        <w:rPr>
          <w:rFonts w:asciiTheme="minorHAnsi" w:hAnsiTheme="minorHAnsi"/>
        </w:rPr>
        <w:t>,</w:t>
      </w:r>
      <w:r w:rsidR="007039F7">
        <w:rPr>
          <w:rFonts w:asciiTheme="minorHAnsi" w:hAnsiTheme="minorHAnsi"/>
        </w:rPr>
        <w:t xml:space="preserve"> </w:t>
      </w:r>
      <w:r w:rsidR="00165BD3" w:rsidRPr="00C00000">
        <w:rPr>
          <w:rFonts w:asciiTheme="minorHAnsi" w:hAnsiTheme="minorHAnsi"/>
        </w:rPr>
        <w:t xml:space="preserve">to impose one penalty </w:t>
      </w:r>
      <w:r w:rsidR="004D0F3F">
        <w:rPr>
          <w:rFonts w:asciiTheme="minorHAnsi" w:hAnsiTheme="minorHAnsi"/>
        </w:rPr>
        <w:t xml:space="preserve">for two or more offences </w:t>
      </w:r>
      <w:r w:rsidR="007039F7">
        <w:rPr>
          <w:rFonts w:asciiTheme="minorHAnsi" w:hAnsiTheme="minorHAnsi"/>
        </w:rPr>
        <w:t xml:space="preserve">from being picked up and applied (pursuant to the provisions of the </w:t>
      </w:r>
      <w:r w:rsidR="007039F7" w:rsidRPr="007039F7">
        <w:rPr>
          <w:rFonts w:asciiTheme="minorHAnsi" w:hAnsiTheme="minorHAnsi"/>
          <w:i/>
        </w:rPr>
        <w:t>Judiciary Act 1903</w:t>
      </w:r>
      <w:r w:rsidR="007039F7">
        <w:rPr>
          <w:rFonts w:asciiTheme="minorHAnsi" w:hAnsiTheme="minorHAnsi"/>
        </w:rPr>
        <w:t xml:space="preserve"> (Cth)) to the sentencing of a federal offender.</w:t>
      </w:r>
    </w:p>
    <w:p w14:paraId="0EE98D16" w14:textId="77777777" w:rsidR="00FA3F97" w:rsidRPr="00C00000" w:rsidRDefault="00FA3F97" w:rsidP="00FA3F97">
      <w:pPr>
        <w:pStyle w:val="ListParagraph"/>
        <w:spacing w:line="276" w:lineRule="auto"/>
        <w:ind w:left="567" w:right="28" w:hanging="567"/>
        <w:rPr>
          <w:rFonts w:asciiTheme="minorHAnsi" w:hAnsiTheme="minorHAnsi"/>
          <w:u w:val="single"/>
        </w:rPr>
      </w:pPr>
    </w:p>
    <w:p w14:paraId="30D6358C" w14:textId="48D9592B" w:rsidR="00FA3F97" w:rsidRPr="00C00000" w:rsidRDefault="0004049E"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Therefore, if State or Territory law</w:t>
      </w:r>
      <w:r w:rsidR="00FA3F97" w:rsidRPr="00C00000">
        <w:rPr>
          <w:rFonts w:asciiTheme="minorHAnsi" w:hAnsiTheme="minorHAnsi"/>
        </w:rPr>
        <w:t xml:space="preserve"> permits an aggregate sentence to be imposed on indictment (as currently is the situation in </w:t>
      </w:r>
      <w:r w:rsidR="005F3900">
        <w:rPr>
          <w:rFonts w:asciiTheme="minorHAnsi" w:hAnsiTheme="minorHAnsi"/>
        </w:rPr>
        <w:t>N</w:t>
      </w:r>
      <w:r w:rsidR="00454004">
        <w:rPr>
          <w:rFonts w:asciiTheme="minorHAnsi" w:hAnsiTheme="minorHAnsi"/>
        </w:rPr>
        <w:t xml:space="preserve">ew </w:t>
      </w:r>
      <w:r w:rsidR="005F3900">
        <w:rPr>
          <w:rFonts w:asciiTheme="minorHAnsi" w:hAnsiTheme="minorHAnsi"/>
        </w:rPr>
        <w:t>S</w:t>
      </w:r>
      <w:r w:rsidR="00454004">
        <w:rPr>
          <w:rFonts w:asciiTheme="minorHAnsi" w:hAnsiTheme="minorHAnsi"/>
        </w:rPr>
        <w:t xml:space="preserve">outh </w:t>
      </w:r>
      <w:r w:rsidR="005F3900">
        <w:rPr>
          <w:rFonts w:asciiTheme="minorHAnsi" w:hAnsiTheme="minorHAnsi"/>
        </w:rPr>
        <w:t>W</w:t>
      </w:r>
      <w:r w:rsidR="00454004">
        <w:rPr>
          <w:rFonts w:asciiTheme="minorHAnsi" w:hAnsiTheme="minorHAnsi"/>
        </w:rPr>
        <w:t>ales</w:t>
      </w:r>
      <w:r w:rsidR="005F3900">
        <w:rPr>
          <w:rFonts w:asciiTheme="minorHAnsi" w:hAnsiTheme="minorHAnsi"/>
        </w:rPr>
        <w:t>,</w:t>
      </w:r>
      <w:r w:rsidR="005F3900">
        <w:rPr>
          <w:rStyle w:val="FootnoteReference"/>
          <w:rFonts w:asciiTheme="minorHAnsi" w:hAnsiTheme="minorHAnsi"/>
        </w:rPr>
        <w:footnoteReference w:id="1101"/>
      </w:r>
      <w:r w:rsidR="005F3900">
        <w:rPr>
          <w:rFonts w:asciiTheme="minorHAnsi" w:hAnsiTheme="minorHAnsi"/>
        </w:rPr>
        <w:t xml:space="preserve"> </w:t>
      </w:r>
      <w:r w:rsidR="00FA3F97" w:rsidRPr="00C00000">
        <w:rPr>
          <w:rFonts w:asciiTheme="minorHAnsi" w:hAnsiTheme="minorHAnsi"/>
        </w:rPr>
        <w:t>Victoria,</w:t>
      </w:r>
      <w:r w:rsidRPr="00C00000">
        <w:rPr>
          <w:rStyle w:val="Style"/>
          <w:rFonts w:asciiTheme="minorHAnsi" w:hAnsiTheme="minorHAnsi"/>
        </w:rPr>
        <w:footnoteReference w:id="1102"/>
      </w:r>
      <w:r w:rsidR="00FA3F97" w:rsidRPr="00C00000">
        <w:rPr>
          <w:rFonts w:asciiTheme="minorHAnsi" w:hAnsiTheme="minorHAnsi"/>
        </w:rPr>
        <w:t xml:space="preserve"> </w:t>
      </w:r>
      <w:r w:rsidRPr="00C00000">
        <w:rPr>
          <w:rFonts w:asciiTheme="minorHAnsi" w:hAnsiTheme="minorHAnsi"/>
        </w:rPr>
        <w:t>South Australia</w:t>
      </w:r>
      <w:r>
        <w:rPr>
          <w:rFonts w:asciiTheme="minorHAnsi" w:hAnsiTheme="minorHAnsi"/>
        </w:rPr>
        <w:t>,</w:t>
      </w:r>
      <w:r w:rsidR="00F33B65" w:rsidRPr="00C00000">
        <w:rPr>
          <w:rStyle w:val="Style"/>
          <w:rFonts w:asciiTheme="minorHAnsi" w:hAnsiTheme="minorHAnsi"/>
        </w:rPr>
        <w:footnoteReference w:id="1103"/>
      </w:r>
      <w:r w:rsidRPr="00C00000">
        <w:rPr>
          <w:rFonts w:asciiTheme="minorHAnsi" w:hAnsiTheme="minorHAnsi"/>
        </w:rPr>
        <w:t xml:space="preserve"> Tasmania</w:t>
      </w:r>
      <w:r w:rsidRPr="00C00000">
        <w:rPr>
          <w:rStyle w:val="Style"/>
          <w:rFonts w:asciiTheme="minorHAnsi" w:hAnsiTheme="minorHAnsi"/>
        </w:rPr>
        <w:footnoteReference w:id="1104"/>
      </w:r>
      <w:r w:rsidRPr="00C00000">
        <w:rPr>
          <w:rFonts w:asciiTheme="minorHAnsi" w:hAnsiTheme="minorHAnsi"/>
        </w:rPr>
        <w:t xml:space="preserve"> and </w:t>
      </w:r>
      <w:r w:rsidR="00FA3F97" w:rsidRPr="00C00000">
        <w:rPr>
          <w:rFonts w:asciiTheme="minorHAnsi" w:hAnsiTheme="minorHAnsi"/>
        </w:rPr>
        <w:t>the Northern Territory</w:t>
      </w:r>
      <w:r w:rsidRPr="00C00000">
        <w:rPr>
          <w:rStyle w:val="Style"/>
          <w:rFonts w:asciiTheme="minorHAnsi" w:hAnsiTheme="minorHAnsi"/>
        </w:rPr>
        <w:footnoteReference w:id="1105"/>
      </w:r>
      <w:r w:rsidR="00FA3F97" w:rsidRPr="00C00000">
        <w:rPr>
          <w:rFonts w:asciiTheme="minorHAnsi" w:hAnsiTheme="minorHAnsi"/>
        </w:rPr>
        <w:t xml:space="preserve">) </w:t>
      </w:r>
      <w:r>
        <w:rPr>
          <w:rFonts w:asciiTheme="minorHAnsi" w:hAnsiTheme="minorHAnsi"/>
        </w:rPr>
        <w:t>the law</w:t>
      </w:r>
      <w:r w:rsidR="00FA3F97" w:rsidRPr="00C00000">
        <w:rPr>
          <w:rFonts w:asciiTheme="minorHAnsi" w:hAnsiTheme="minorHAnsi"/>
        </w:rPr>
        <w:t xml:space="preserve"> is picked up by s 68(1) of the </w:t>
      </w:r>
      <w:r w:rsidR="004140DF">
        <w:rPr>
          <w:rFonts w:asciiTheme="minorHAnsi" w:hAnsiTheme="minorHAnsi"/>
          <w:i/>
        </w:rPr>
        <w:t>Judiciary Act 1903</w:t>
      </w:r>
      <w:r w:rsidR="00FA3F97" w:rsidRPr="00C00000">
        <w:rPr>
          <w:rFonts w:asciiTheme="minorHAnsi" w:hAnsiTheme="minorHAnsi"/>
          <w:i/>
        </w:rPr>
        <w:t xml:space="preserve"> </w:t>
      </w:r>
      <w:r w:rsidR="00FA3F97" w:rsidRPr="00C00000">
        <w:rPr>
          <w:rFonts w:asciiTheme="minorHAnsi" w:hAnsiTheme="minorHAnsi"/>
        </w:rPr>
        <w:t>(and s 1338B(2) of the</w:t>
      </w:r>
      <w:r w:rsidR="00FA3F97" w:rsidRPr="00C00000">
        <w:rPr>
          <w:rFonts w:asciiTheme="minorHAnsi" w:hAnsiTheme="minorHAnsi"/>
          <w:i/>
        </w:rPr>
        <w:t xml:space="preserve"> Corporations Act </w:t>
      </w:r>
      <w:r w:rsidR="00FA3F97" w:rsidRPr="00C00000">
        <w:rPr>
          <w:rFonts w:asciiTheme="minorHAnsi" w:hAnsiTheme="minorHAnsi"/>
        </w:rPr>
        <w:t>in relation to charges under that Act),</w:t>
      </w:r>
      <w:r w:rsidR="00FA3F97" w:rsidRPr="00C00000">
        <w:rPr>
          <w:rFonts w:asciiTheme="minorHAnsi" w:hAnsiTheme="minorHAnsi"/>
          <w:i/>
        </w:rPr>
        <w:t xml:space="preserve"> </w:t>
      </w:r>
      <w:r w:rsidR="00FA3F97" w:rsidRPr="00C00000">
        <w:rPr>
          <w:rFonts w:asciiTheme="minorHAnsi" w:hAnsiTheme="minorHAnsi"/>
        </w:rPr>
        <w:t xml:space="preserve">and is made applicable to </w:t>
      </w:r>
      <w:r w:rsidR="00F33B65">
        <w:rPr>
          <w:rFonts w:asciiTheme="minorHAnsi" w:hAnsiTheme="minorHAnsi"/>
        </w:rPr>
        <w:t xml:space="preserve">the sentencing of </w:t>
      </w:r>
      <w:r w:rsidR="00FA3F97" w:rsidRPr="00C00000">
        <w:rPr>
          <w:rFonts w:asciiTheme="minorHAnsi" w:hAnsiTheme="minorHAnsi"/>
        </w:rPr>
        <w:t xml:space="preserve">federal offenders.  </w:t>
      </w:r>
    </w:p>
    <w:p w14:paraId="24D10A50" w14:textId="77777777" w:rsidR="00FA3F97" w:rsidRPr="00C00000" w:rsidRDefault="00FA3F97" w:rsidP="00FA3F97">
      <w:pPr>
        <w:pStyle w:val="ListParagraph"/>
        <w:spacing w:line="276" w:lineRule="auto"/>
        <w:ind w:left="567" w:right="28" w:hanging="567"/>
        <w:rPr>
          <w:rFonts w:asciiTheme="minorHAnsi" w:hAnsiTheme="minorHAnsi"/>
        </w:rPr>
      </w:pPr>
    </w:p>
    <w:p w14:paraId="21815DEE" w14:textId="11FC5B78" w:rsidR="004B2568" w:rsidRDefault="004B2568"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It is not permissible to impose </w:t>
      </w:r>
      <w:r w:rsidRPr="00C00000">
        <w:rPr>
          <w:rFonts w:asciiTheme="minorHAnsi" w:hAnsiTheme="minorHAnsi"/>
        </w:rPr>
        <w:t>a single aggregate</w:t>
      </w:r>
      <w:r>
        <w:rPr>
          <w:rFonts w:asciiTheme="minorHAnsi" w:hAnsiTheme="minorHAnsi"/>
        </w:rPr>
        <w:t xml:space="preserve"> penalty</w:t>
      </w:r>
      <w:r w:rsidRPr="00C00000">
        <w:rPr>
          <w:rFonts w:asciiTheme="minorHAnsi" w:hAnsiTheme="minorHAnsi"/>
        </w:rPr>
        <w:t xml:space="preserve"> for </w:t>
      </w:r>
      <w:r>
        <w:rPr>
          <w:rFonts w:asciiTheme="minorHAnsi" w:hAnsiTheme="minorHAnsi"/>
        </w:rPr>
        <w:t xml:space="preserve">a </w:t>
      </w:r>
      <w:r w:rsidRPr="00C00000">
        <w:rPr>
          <w:rFonts w:asciiTheme="minorHAnsi" w:hAnsiTheme="minorHAnsi"/>
        </w:rPr>
        <w:t xml:space="preserve">federal </w:t>
      </w:r>
      <w:r>
        <w:rPr>
          <w:rFonts w:asciiTheme="minorHAnsi" w:hAnsiTheme="minorHAnsi"/>
        </w:rPr>
        <w:t xml:space="preserve">offence </w:t>
      </w:r>
      <w:r w:rsidRPr="00C00000">
        <w:rPr>
          <w:rFonts w:asciiTheme="minorHAnsi" w:hAnsiTheme="minorHAnsi"/>
        </w:rPr>
        <w:t xml:space="preserve">and </w:t>
      </w:r>
      <w:r>
        <w:rPr>
          <w:rFonts w:asciiTheme="minorHAnsi" w:hAnsiTheme="minorHAnsi"/>
        </w:rPr>
        <w:t>a S</w:t>
      </w:r>
      <w:r w:rsidRPr="00C00000">
        <w:rPr>
          <w:rFonts w:asciiTheme="minorHAnsi" w:hAnsiTheme="minorHAnsi"/>
        </w:rPr>
        <w:t>tate</w:t>
      </w:r>
      <w:r>
        <w:rPr>
          <w:rFonts w:asciiTheme="minorHAnsi" w:hAnsiTheme="minorHAnsi"/>
        </w:rPr>
        <w:t xml:space="preserve"> or Territory</w:t>
      </w:r>
      <w:r w:rsidRPr="00C00000">
        <w:rPr>
          <w:rFonts w:asciiTheme="minorHAnsi" w:hAnsiTheme="minorHAnsi"/>
        </w:rPr>
        <w:t xml:space="preserve"> offence.</w:t>
      </w:r>
      <w:r w:rsidR="00AB12CC" w:rsidRPr="00C00000">
        <w:rPr>
          <w:rStyle w:val="Style"/>
          <w:rFonts w:asciiTheme="minorHAnsi" w:hAnsiTheme="minorHAnsi"/>
        </w:rPr>
        <w:footnoteReference w:id="1106"/>
      </w:r>
    </w:p>
    <w:p w14:paraId="4B552F0B" w14:textId="77777777" w:rsidR="00322E68" w:rsidRPr="00322E68" w:rsidRDefault="00322E68" w:rsidP="00322E68">
      <w:pPr>
        <w:pStyle w:val="ListParagraph"/>
        <w:rPr>
          <w:rFonts w:asciiTheme="minorHAnsi" w:hAnsiTheme="minorHAnsi"/>
        </w:rPr>
      </w:pPr>
    </w:p>
    <w:p w14:paraId="7AFD467A" w14:textId="63DF4E51" w:rsidR="004B2568" w:rsidRPr="00AB12CC" w:rsidRDefault="00AB12CC" w:rsidP="008B3E81">
      <w:pPr>
        <w:pStyle w:val="Heading3"/>
      </w:pPr>
      <w:bookmarkStart w:id="3067" w:name="_Ref11485259"/>
      <w:bookmarkStart w:id="3068" w:name="_Ref11485262"/>
      <w:bookmarkStart w:id="3069" w:name="_Toc33602965"/>
      <w:r>
        <w:t>When an aggregate penalty is or is not appropriate</w:t>
      </w:r>
      <w:bookmarkEnd w:id="3067"/>
      <w:bookmarkEnd w:id="3068"/>
      <w:bookmarkEnd w:id="3069"/>
    </w:p>
    <w:p w14:paraId="006A869E" w14:textId="77777777" w:rsidR="00765044" w:rsidRPr="00C00000" w:rsidRDefault="00765044" w:rsidP="008B3E81">
      <w:pPr>
        <w:pStyle w:val="ListParagraph"/>
        <w:keepNext/>
        <w:spacing w:line="276" w:lineRule="auto"/>
        <w:ind w:left="567" w:right="28" w:hanging="567"/>
        <w:rPr>
          <w:rFonts w:asciiTheme="minorHAnsi" w:hAnsiTheme="minorHAnsi"/>
        </w:rPr>
      </w:pPr>
    </w:p>
    <w:p w14:paraId="5FE0F73B" w14:textId="1E324BA0" w:rsidR="00654180" w:rsidRDefault="00654180"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Even if a court has a discretion to impose an aggregate penalty, </w:t>
      </w:r>
      <w:r w:rsidR="00652DFC">
        <w:rPr>
          <w:rFonts w:asciiTheme="minorHAnsi" w:hAnsiTheme="minorHAnsi"/>
        </w:rPr>
        <w:t>the discretion must be exercised consistently with general sentencing principles.</w:t>
      </w:r>
      <w:r w:rsidR="008F2F94" w:rsidRPr="00C00000">
        <w:rPr>
          <w:rStyle w:val="Style"/>
          <w:rFonts w:asciiTheme="minorHAnsi" w:hAnsiTheme="minorHAnsi"/>
        </w:rPr>
        <w:footnoteReference w:id="1107"/>
      </w:r>
    </w:p>
    <w:p w14:paraId="505F4A98" w14:textId="77777777" w:rsidR="00652DFC" w:rsidRPr="00652DFC" w:rsidRDefault="00652DFC" w:rsidP="00652DFC">
      <w:pPr>
        <w:spacing w:line="276" w:lineRule="auto"/>
        <w:ind w:right="28"/>
        <w:rPr>
          <w:rFonts w:asciiTheme="minorHAnsi" w:hAnsiTheme="minorHAnsi"/>
        </w:rPr>
      </w:pPr>
    </w:p>
    <w:p w14:paraId="50C1DE09" w14:textId="12778E97" w:rsidR="00FA3F97" w:rsidRDefault="00AB12C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imposition of an aggregate penalty for two or more offences is an exception to the general principle that a separate sentence should be imposed for each offence.  </w:t>
      </w:r>
      <w:r w:rsidR="005948AD">
        <w:rPr>
          <w:rFonts w:asciiTheme="minorHAnsi" w:hAnsiTheme="minorHAnsi"/>
        </w:rPr>
        <w:t xml:space="preserve">In his dissenting judgment in </w:t>
      </w:r>
      <w:r w:rsidR="005948AD" w:rsidRPr="005948AD">
        <w:rPr>
          <w:rFonts w:asciiTheme="minorHAnsi" w:hAnsiTheme="minorHAnsi"/>
          <w:i/>
        </w:rPr>
        <w:t>Putland</w:t>
      </w:r>
      <w:r w:rsidR="005948AD">
        <w:rPr>
          <w:rFonts w:asciiTheme="minorHAnsi" w:hAnsiTheme="minorHAnsi"/>
        </w:rPr>
        <w:t>,</w:t>
      </w:r>
      <w:r w:rsidR="005948AD" w:rsidRPr="00C00000">
        <w:rPr>
          <w:rStyle w:val="Style"/>
          <w:rFonts w:asciiTheme="minorHAnsi" w:hAnsiTheme="minorHAnsi"/>
        </w:rPr>
        <w:footnoteReference w:id="1108"/>
      </w:r>
      <w:r w:rsidR="005948AD">
        <w:rPr>
          <w:rFonts w:asciiTheme="minorHAnsi" w:hAnsiTheme="minorHAnsi"/>
        </w:rPr>
        <w:t xml:space="preserve"> Kirby J</w:t>
      </w:r>
      <w:r w:rsidR="00DE73BE">
        <w:rPr>
          <w:rFonts w:asciiTheme="minorHAnsi" w:hAnsiTheme="minorHAnsi"/>
        </w:rPr>
        <w:t xml:space="preserve">, </w:t>
      </w:r>
      <w:r w:rsidR="008621D2">
        <w:rPr>
          <w:rFonts w:asciiTheme="minorHAnsi" w:hAnsiTheme="minorHAnsi"/>
        </w:rPr>
        <w:t xml:space="preserve">voicing </w:t>
      </w:r>
      <w:r w:rsidR="00DE73BE">
        <w:rPr>
          <w:rFonts w:asciiTheme="minorHAnsi" w:hAnsiTheme="minorHAnsi"/>
        </w:rPr>
        <w:t xml:space="preserve">concerns which have been </w:t>
      </w:r>
      <w:r w:rsidR="008621D2">
        <w:rPr>
          <w:rFonts w:asciiTheme="minorHAnsi" w:hAnsiTheme="minorHAnsi"/>
        </w:rPr>
        <w:t>expressed</w:t>
      </w:r>
      <w:r w:rsidR="00DE73BE">
        <w:rPr>
          <w:rFonts w:asciiTheme="minorHAnsi" w:hAnsiTheme="minorHAnsi"/>
        </w:rPr>
        <w:t xml:space="preserve"> in other cases,</w:t>
      </w:r>
      <w:r w:rsidR="00DE73BE" w:rsidRPr="00C00000">
        <w:rPr>
          <w:rStyle w:val="Style"/>
          <w:rFonts w:asciiTheme="minorHAnsi" w:hAnsiTheme="minorHAnsi"/>
        </w:rPr>
        <w:footnoteReference w:id="1109"/>
      </w:r>
      <w:r w:rsidR="00DE73BE">
        <w:rPr>
          <w:rFonts w:asciiTheme="minorHAnsi" w:hAnsiTheme="minorHAnsi"/>
        </w:rPr>
        <w:t xml:space="preserve"> </w:t>
      </w:r>
      <w:r w:rsidR="005948AD">
        <w:rPr>
          <w:rFonts w:asciiTheme="minorHAnsi" w:hAnsiTheme="minorHAnsi"/>
        </w:rPr>
        <w:t xml:space="preserve">gave the following reasons for maintaining the </w:t>
      </w:r>
      <w:r w:rsidR="00A94BE9">
        <w:rPr>
          <w:rFonts w:asciiTheme="minorHAnsi" w:hAnsiTheme="minorHAnsi"/>
        </w:rPr>
        <w:t xml:space="preserve">conventional </w:t>
      </w:r>
      <w:r w:rsidR="005948AD">
        <w:rPr>
          <w:rFonts w:asciiTheme="minorHAnsi" w:hAnsiTheme="minorHAnsi"/>
        </w:rPr>
        <w:t xml:space="preserve">approach, in sentencing </w:t>
      </w:r>
      <w:r w:rsidR="00B7482B">
        <w:rPr>
          <w:rFonts w:asciiTheme="minorHAnsi" w:hAnsiTheme="minorHAnsi"/>
        </w:rPr>
        <w:t xml:space="preserve">a </w:t>
      </w:r>
      <w:r w:rsidR="005948AD">
        <w:rPr>
          <w:rFonts w:asciiTheme="minorHAnsi" w:hAnsiTheme="minorHAnsi"/>
        </w:rPr>
        <w:t>federal offender on indictment:</w:t>
      </w:r>
      <w:r>
        <w:rPr>
          <w:rFonts w:asciiTheme="minorHAnsi" w:hAnsiTheme="minorHAnsi"/>
        </w:rPr>
        <w:t xml:space="preserve"> </w:t>
      </w:r>
    </w:p>
    <w:p w14:paraId="61BBE798" w14:textId="77777777" w:rsidR="00CB4AA6" w:rsidRDefault="0065335D" w:rsidP="00EB7F1E">
      <w:pPr>
        <w:pStyle w:val="ListParagraph"/>
        <w:numPr>
          <w:ilvl w:val="1"/>
          <w:numId w:val="36"/>
        </w:numPr>
        <w:spacing w:line="276" w:lineRule="auto"/>
        <w:ind w:left="993" w:right="28" w:hanging="142"/>
        <w:rPr>
          <w:rFonts w:asciiTheme="minorHAnsi" w:hAnsiTheme="minorHAnsi"/>
        </w:rPr>
      </w:pPr>
      <w:r w:rsidRPr="00CB4AA6">
        <w:rPr>
          <w:rFonts w:asciiTheme="minorHAnsi" w:hAnsiTheme="minorHAnsi"/>
        </w:rPr>
        <w:t>Only if specific sentences are identified for federal indictable offences will the transparency of the sentencing process be fully upheld.</w:t>
      </w:r>
    </w:p>
    <w:p w14:paraId="42463F0E" w14:textId="77777777" w:rsidR="00284B19" w:rsidRDefault="00284B19"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Aggregate sentencing may mask error in sentencing.</w:t>
      </w:r>
    </w:p>
    <w:p w14:paraId="3B4B6F8B" w14:textId="0DFD7B21" w:rsidR="00CB4AA6" w:rsidRDefault="00CB4AA6" w:rsidP="00EB7F1E">
      <w:pPr>
        <w:pStyle w:val="ListParagraph"/>
        <w:numPr>
          <w:ilvl w:val="1"/>
          <w:numId w:val="36"/>
        </w:numPr>
        <w:spacing w:line="276" w:lineRule="auto"/>
        <w:ind w:left="993" w:right="28" w:hanging="142"/>
        <w:rPr>
          <w:rFonts w:asciiTheme="minorHAnsi" w:hAnsiTheme="minorHAnsi"/>
        </w:rPr>
      </w:pPr>
      <w:r w:rsidRPr="00CB4AA6">
        <w:rPr>
          <w:rFonts w:asciiTheme="minorHAnsi" w:hAnsiTheme="minorHAnsi"/>
        </w:rPr>
        <w:t xml:space="preserve">A </w:t>
      </w:r>
      <w:r w:rsidR="0065335D" w:rsidRPr="00CB4AA6">
        <w:rPr>
          <w:rFonts w:asciiTheme="minorHAnsi" w:hAnsiTheme="minorHAnsi"/>
        </w:rPr>
        <w:t xml:space="preserve">single undifferentiated aggregate sentence carries a risk of injustice </w:t>
      </w:r>
      <w:r>
        <w:rPr>
          <w:rFonts w:asciiTheme="minorHAnsi" w:hAnsiTheme="minorHAnsi"/>
        </w:rPr>
        <w:t xml:space="preserve">by making the </w:t>
      </w:r>
      <w:r w:rsidR="0065335D" w:rsidRPr="00CB4AA6">
        <w:rPr>
          <w:rFonts w:asciiTheme="minorHAnsi" w:hAnsiTheme="minorHAnsi"/>
        </w:rPr>
        <w:t>task of challenging the unidentified components of the aggregate sentence much more difficult</w:t>
      </w:r>
      <w:bookmarkStart w:id="3070" w:name="150-r"/>
      <w:r>
        <w:rPr>
          <w:rFonts w:asciiTheme="minorHAnsi" w:hAnsiTheme="minorHAnsi"/>
        </w:rPr>
        <w:t>.</w:t>
      </w:r>
    </w:p>
    <w:bookmarkEnd w:id="3070"/>
    <w:p w14:paraId="2DEEA6CE" w14:textId="77777777" w:rsidR="00CB4AA6" w:rsidRDefault="00CB4AA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An aggregate sentence</w:t>
      </w:r>
      <w:r w:rsidR="0065335D" w:rsidRPr="00CB4AA6">
        <w:rPr>
          <w:rFonts w:asciiTheme="minorHAnsi" w:hAnsiTheme="minorHAnsi"/>
        </w:rPr>
        <w:t xml:space="preserve"> risks depriving the offender of the provision of adequate reasons for the components of the sentence.</w:t>
      </w:r>
    </w:p>
    <w:p w14:paraId="43EF2D51" w14:textId="48CDE715" w:rsidR="00CB4AA6" w:rsidRDefault="00CB4AA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An aggregate sentence</w:t>
      </w:r>
      <w:r w:rsidRPr="00CB4AA6">
        <w:rPr>
          <w:rFonts w:asciiTheme="minorHAnsi" w:hAnsiTheme="minorHAnsi"/>
        </w:rPr>
        <w:t xml:space="preserve"> risks</w:t>
      </w:r>
      <w:r w:rsidR="0065335D" w:rsidRPr="00CB4AA6">
        <w:rPr>
          <w:rFonts w:asciiTheme="minorHAnsi" w:hAnsiTheme="minorHAnsi"/>
        </w:rPr>
        <w:t xml:space="preserve"> undermin</w:t>
      </w:r>
      <w:r w:rsidR="00DB6041">
        <w:rPr>
          <w:rFonts w:asciiTheme="minorHAnsi" w:hAnsiTheme="minorHAnsi"/>
        </w:rPr>
        <w:t>ing</w:t>
      </w:r>
      <w:r w:rsidR="0065335D" w:rsidRPr="00CB4AA6">
        <w:rPr>
          <w:rFonts w:asciiTheme="minorHAnsi" w:hAnsiTheme="minorHAnsi"/>
        </w:rPr>
        <w:t xml:space="preserve"> the objective of identifying differential sentences for specific federal crimes so that their content might be known and compared throughout the Commonwealth</w:t>
      </w:r>
      <w:r>
        <w:rPr>
          <w:rFonts w:asciiTheme="minorHAnsi" w:hAnsiTheme="minorHAnsi"/>
        </w:rPr>
        <w:t>.</w:t>
      </w:r>
    </w:p>
    <w:p w14:paraId="2ED680B9" w14:textId="7D1FE87B" w:rsidR="00CB4AA6" w:rsidRDefault="00CB4AA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An aggregate sentence</w:t>
      </w:r>
      <w:r w:rsidR="0065335D" w:rsidRPr="00CB4AA6">
        <w:rPr>
          <w:rFonts w:asciiTheme="minorHAnsi" w:hAnsiTheme="minorHAnsi"/>
        </w:rPr>
        <w:t xml:space="preserve"> diminishes the effectiveness of the deterrent value of </w:t>
      </w:r>
      <w:r w:rsidR="00F47D0C">
        <w:rPr>
          <w:rFonts w:asciiTheme="minorHAnsi" w:hAnsiTheme="minorHAnsi"/>
        </w:rPr>
        <w:t>particular</w:t>
      </w:r>
      <w:r w:rsidR="00B86888">
        <w:rPr>
          <w:rFonts w:asciiTheme="minorHAnsi" w:hAnsiTheme="minorHAnsi"/>
        </w:rPr>
        <w:t>ised</w:t>
      </w:r>
      <w:r w:rsidR="0065335D" w:rsidRPr="00CB4AA6">
        <w:rPr>
          <w:rFonts w:asciiTheme="minorHAnsi" w:hAnsiTheme="minorHAnsi"/>
        </w:rPr>
        <w:t xml:space="preserve"> sentences.</w:t>
      </w:r>
    </w:p>
    <w:p w14:paraId="3A16D5A5" w14:textId="66BE3A62" w:rsidR="0067119F" w:rsidRDefault="00CB4AA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An aggregate sentence</w:t>
      </w:r>
      <w:r w:rsidR="0065335D" w:rsidRPr="00CB4AA6">
        <w:rPr>
          <w:rFonts w:asciiTheme="minorHAnsi" w:hAnsiTheme="minorHAnsi"/>
        </w:rPr>
        <w:t xml:space="preserve"> reduces the utility and availability of effective appellate review addressed to consistency throughout Australia in the sentencing of federal offenders for particular offences</w:t>
      </w:r>
      <w:r w:rsidR="00DB6041">
        <w:rPr>
          <w:rFonts w:asciiTheme="minorHAnsi" w:hAnsiTheme="minorHAnsi"/>
        </w:rPr>
        <w:t>.</w:t>
      </w:r>
    </w:p>
    <w:p w14:paraId="05F12828" w14:textId="77777777" w:rsidR="00284B19" w:rsidRPr="00284B19" w:rsidRDefault="00284B19" w:rsidP="00284B19">
      <w:pPr>
        <w:widowControl w:val="0"/>
        <w:spacing w:line="276" w:lineRule="auto"/>
        <w:ind w:right="170"/>
        <w:rPr>
          <w:rFonts w:asciiTheme="minorHAnsi" w:hAnsiTheme="minorHAnsi"/>
        </w:rPr>
      </w:pPr>
    </w:p>
    <w:p w14:paraId="07EE422D" w14:textId="4175E449" w:rsidR="00652DFC" w:rsidRDefault="00652DFC" w:rsidP="00EB7F1E">
      <w:pPr>
        <w:pStyle w:val="ListParagraph"/>
        <w:numPr>
          <w:ilvl w:val="0"/>
          <w:numId w:val="7"/>
        </w:numPr>
        <w:spacing w:line="276" w:lineRule="auto"/>
        <w:ind w:left="425" w:hanging="425"/>
        <w:contextualSpacing w:val="0"/>
        <w:rPr>
          <w:rFonts w:asciiTheme="minorHAnsi" w:hAnsiTheme="minorHAnsi"/>
        </w:rPr>
      </w:pPr>
      <w:r w:rsidRPr="00CD35D5">
        <w:rPr>
          <w:rFonts w:asciiTheme="minorHAnsi" w:hAnsiTheme="minorHAnsi"/>
        </w:rPr>
        <w:t xml:space="preserve">An aggregate sentence </w:t>
      </w:r>
      <w:r>
        <w:rPr>
          <w:rFonts w:asciiTheme="minorHAnsi" w:hAnsiTheme="minorHAnsi"/>
        </w:rPr>
        <w:t xml:space="preserve">should </w:t>
      </w:r>
      <w:r w:rsidRPr="00CD35D5">
        <w:rPr>
          <w:rFonts w:asciiTheme="minorHAnsi" w:hAnsiTheme="minorHAnsi"/>
        </w:rPr>
        <w:t xml:space="preserve">not be </w:t>
      </w:r>
      <w:r>
        <w:rPr>
          <w:rFonts w:asciiTheme="minorHAnsi" w:hAnsiTheme="minorHAnsi"/>
        </w:rPr>
        <w:t>imposed</w:t>
      </w:r>
      <w:r w:rsidRPr="00CD35D5">
        <w:rPr>
          <w:rFonts w:asciiTheme="minorHAnsi" w:hAnsiTheme="minorHAnsi"/>
        </w:rPr>
        <w:t xml:space="preserve"> where an indictment contains only a small number of counts, or where the counts vary significantly in their seriousness or the manner in which the offences were committed.</w:t>
      </w:r>
      <w:r w:rsidRPr="00C00000">
        <w:rPr>
          <w:rStyle w:val="Style"/>
          <w:rFonts w:asciiTheme="minorHAnsi" w:hAnsiTheme="minorHAnsi"/>
        </w:rPr>
        <w:footnoteReference w:id="1110"/>
      </w:r>
    </w:p>
    <w:p w14:paraId="5A6D65D4" w14:textId="77777777" w:rsidR="00652DFC" w:rsidRPr="000D7E99" w:rsidRDefault="00652DFC" w:rsidP="00652DFC">
      <w:pPr>
        <w:pStyle w:val="ListParagraph"/>
        <w:rPr>
          <w:rFonts w:asciiTheme="minorHAnsi" w:hAnsiTheme="minorHAnsi"/>
        </w:rPr>
      </w:pPr>
    </w:p>
    <w:p w14:paraId="5986DC0C" w14:textId="7AC61DA3" w:rsidR="00284B19" w:rsidRDefault="0000137B"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particular </w:t>
      </w:r>
      <w:r w:rsidR="00C512DE">
        <w:rPr>
          <w:rFonts w:asciiTheme="minorHAnsi" w:hAnsiTheme="minorHAnsi"/>
        </w:rPr>
        <w:t>issue may</w:t>
      </w:r>
      <w:r>
        <w:rPr>
          <w:rFonts w:asciiTheme="minorHAnsi" w:hAnsiTheme="minorHAnsi"/>
        </w:rPr>
        <w:t xml:space="preserve"> arise in relation to rolled up </w:t>
      </w:r>
      <w:r w:rsidR="004A19A4">
        <w:rPr>
          <w:rFonts w:asciiTheme="minorHAnsi" w:hAnsiTheme="minorHAnsi"/>
        </w:rPr>
        <w:t xml:space="preserve">and representative </w:t>
      </w:r>
      <w:r>
        <w:rPr>
          <w:rFonts w:asciiTheme="minorHAnsi" w:hAnsiTheme="minorHAnsi"/>
        </w:rPr>
        <w:t xml:space="preserve">charges.  In </w:t>
      </w:r>
      <w:r w:rsidRPr="0000137B">
        <w:rPr>
          <w:rFonts w:asciiTheme="minorHAnsi" w:hAnsiTheme="minorHAnsi"/>
          <w:i/>
        </w:rPr>
        <w:t>Felton</w:t>
      </w:r>
      <w:r>
        <w:rPr>
          <w:rFonts w:asciiTheme="minorHAnsi" w:hAnsiTheme="minorHAnsi"/>
        </w:rPr>
        <w:t>,</w:t>
      </w:r>
      <w:r w:rsidRPr="00C00000">
        <w:rPr>
          <w:rStyle w:val="Style"/>
          <w:rFonts w:asciiTheme="minorHAnsi" w:hAnsiTheme="minorHAnsi"/>
        </w:rPr>
        <w:footnoteReference w:id="1111"/>
      </w:r>
      <w:r>
        <w:rPr>
          <w:rFonts w:asciiTheme="minorHAnsi" w:hAnsiTheme="minorHAnsi"/>
        </w:rPr>
        <w:t xml:space="preserve"> Kellam JA observed that “</w:t>
      </w:r>
      <w:r w:rsidRPr="0000137B">
        <w:rPr>
          <w:rFonts w:asciiTheme="minorHAnsi" w:hAnsiTheme="minorHAnsi"/>
          <w:i/>
        </w:rPr>
        <w:t>to aggregate a series of “rolled up counts” into an aggregate sentence, is to impose an aggregation upon something that has already been aggregated by being the subject of a rolled up count.</w:t>
      </w:r>
      <w:r>
        <w:rPr>
          <w:rFonts w:asciiTheme="minorHAnsi" w:hAnsiTheme="minorHAnsi"/>
        </w:rPr>
        <w:t>”</w:t>
      </w:r>
      <w:r w:rsidR="004A19A4">
        <w:rPr>
          <w:rFonts w:asciiTheme="minorHAnsi" w:hAnsiTheme="minorHAnsi"/>
        </w:rPr>
        <w:t xml:space="preserve">  </w:t>
      </w:r>
      <w:r w:rsidR="00305A6B">
        <w:rPr>
          <w:rFonts w:asciiTheme="minorHAnsi" w:hAnsiTheme="minorHAnsi"/>
        </w:rPr>
        <w:t xml:space="preserve">Since </w:t>
      </w:r>
      <w:r w:rsidR="008F2F94" w:rsidRPr="00652DFC">
        <w:rPr>
          <w:rFonts w:asciiTheme="minorHAnsi" w:hAnsiTheme="minorHAnsi"/>
          <w:i/>
        </w:rPr>
        <w:t>Felton</w:t>
      </w:r>
      <w:r w:rsidR="008F2F94">
        <w:rPr>
          <w:rFonts w:asciiTheme="minorHAnsi" w:hAnsiTheme="minorHAnsi"/>
        </w:rPr>
        <w:t>,</w:t>
      </w:r>
      <w:r w:rsidR="004A19A4">
        <w:rPr>
          <w:rFonts w:asciiTheme="minorHAnsi" w:hAnsiTheme="minorHAnsi"/>
        </w:rPr>
        <w:t xml:space="preserve"> legislation in Victoria has been amended specifically </w:t>
      </w:r>
      <w:r w:rsidR="00063C6D">
        <w:rPr>
          <w:rFonts w:asciiTheme="minorHAnsi" w:hAnsiTheme="minorHAnsi"/>
        </w:rPr>
        <w:t xml:space="preserve">to </w:t>
      </w:r>
      <w:r w:rsidR="004A19A4">
        <w:rPr>
          <w:rFonts w:asciiTheme="minorHAnsi" w:hAnsiTheme="minorHAnsi"/>
        </w:rPr>
        <w:t>permit an aggregate sentence to include a sentence for a rolled-up or representative charge</w:t>
      </w:r>
      <w:r w:rsidR="00305A6B">
        <w:rPr>
          <w:rFonts w:asciiTheme="minorHAnsi" w:hAnsiTheme="minorHAnsi"/>
        </w:rPr>
        <w:t>;</w:t>
      </w:r>
      <w:r w:rsidR="00652DFC" w:rsidRPr="00C00000">
        <w:rPr>
          <w:rStyle w:val="Style"/>
          <w:rFonts w:asciiTheme="minorHAnsi" w:hAnsiTheme="minorHAnsi"/>
        </w:rPr>
        <w:footnoteReference w:id="1112"/>
      </w:r>
      <w:r w:rsidR="004A19A4">
        <w:rPr>
          <w:rFonts w:asciiTheme="minorHAnsi" w:hAnsiTheme="minorHAnsi"/>
        </w:rPr>
        <w:t xml:space="preserve"> </w:t>
      </w:r>
      <w:r w:rsidR="00305A6B">
        <w:rPr>
          <w:rFonts w:asciiTheme="minorHAnsi" w:hAnsiTheme="minorHAnsi"/>
        </w:rPr>
        <w:t xml:space="preserve">nevertheless, </w:t>
      </w:r>
      <w:r w:rsidR="00C512DE">
        <w:rPr>
          <w:rFonts w:asciiTheme="minorHAnsi" w:hAnsiTheme="minorHAnsi"/>
        </w:rPr>
        <w:t>the</w:t>
      </w:r>
      <w:r w:rsidR="00EE49EC">
        <w:rPr>
          <w:rFonts w:asciiTheme="minorHAnsi" w:hAnsiTheme="minorHAnsi"/>
        </w:rPr>
        <w:t xml:space="preserve"> added layer of opacity </w:t>
      </w:r>
      <w:r w:rsidR="00C512DE">
        <w:rPr>
          <w:rFonts w:asciiTheme="minorHAnsi" w:hAnsiTheme="minorHAnsi"/>
        </w:rPr>
        <w:t xml:space="preserve">may be </w:t>
      </w:r>
      <w:r w:rsidR="00EE49EC">
        <w:rPr>
          <w:rFonts w:asciiTheme="minorHAnsi" w:hAnsiTheme="minorHAnsi"/>
        </w:rPr>
        <w:t xml:space="preserve">a </w:t>
      </w:r>
      <w:r w:rsidR="00C512DE">
        <w:rPr>
          <w:rFonts w:asciiTheme="minorHAnsi" w:hAnsiTheme="minorHAnsi"/>
        </w:rPr>
        <w:t xml:space="preserve">reason for reticence in </w:t>
      </w:r>
      <w:r w:rsidR="00EE49EC">
        <w:rPr>
          <w:rFonts w:asciiTheme="minorHAnsi" w:hAnsiTheme="minorHAnsi"/>
        </w:rPr>
        <w:t>imposing an aggregate penalty.</w:t>
      </w:r>
    </w:p>
    <w:p w14:paraId="1969DCE5" w14:textId="77777777" w:rsidR="00CD35D5" w:rsidRPr="00CD35D5" w:rsidRDefault="00CD35D5" w:rsidP="00CD35D5">
      <w:pPr>
        <w:pStyle w:val="ListParagraph"/>
        <w:rPr>
          <w:rFonts w:asciiTheme="minorHAnsi" w:hAnsiTheme="minorHAnsi"/>
        </w:rPr>
      </w:pPr>
    </w:p>
    <w:p w14:paraId="73DEB16D" w14:textId="72FDBF8D" w:rsidR="000D7E99" w:rsidRDefault="000D7E99"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The Victorian Court of Appeal has doubted whether an uplifted summary charge can be dealt with as part of an aggregate sentence imposed on indictment.</w:t>
      </w:r>
      <w:r w:rsidRPr="00C00000">
        <w:rPr>
          <w:rStyle w:val="Style"/>
          <w:rFonts w:asciiTheme="minorHAnsi" w:hAnsiTheme="minorHAnsi"/>
        </w:rPr>
        <w:footnoteReference w:id="1113"/>
      </w:r>
    </w:p>
    <w:p w14:paraId="447164D4" w14:textId="77777777" w:rsidR="00046CC0" w:rsidRPr="00046CC0" w:rsidRDefault="00046CC0" w:rsidP="00046CC0">
      <w:pPr>
        <w:widowControl w:val="0"/>
        <w:spacing w:line="276" w:lineRule="auto"/>
        <w:ind w:right="170"/>
        <w:rPr>
          <w:rFonts w:asciiTheme="minorHAnsi" w:hAnsiTheme="minorHAnsi"/>
        </w:rPr>
      </w:pPr>
    </w:p>
    <w:p w14:paraId="7C7FECC5" w14:textId="77777777" w:rsidR="000922ED" w:rsidRDefault="009E170E" w:rsidP="00EB7F1E">
      <w:pPr>
        <w:pStyle w:val="ListParagraph"/>
        <w:numPr>
          <w:ilvl w:val="0"/>
          <w:numId w:val="7"/>
        </w:numPr>
        <w:spacing w:line="276" w:lineRule="auto"/>
        <w:ind w:left="425" w:hanging="425"/>
        <w:contextualSpacing w:val="0"/>
        <w:rPr>
          <w:rFonts w:asciiTheme="minorHAnsi" w:hAnsiTheme="minorHAnsi"/>
        </w:rPr>
      </w:pPr>
      <w:r w:rsidRPr="009E170E">
        <w:rPr>
          <w:rFonts w:asciiTheme="minorHAnsi" w:hAnsiTheme="minorHAnsi"/>
        </w:rPr>
        <w:t>Aggregate sentences were originally introduced in order to simplify the task of sentencing for multiple offences, especially where orders for concurrency, partial concurrency, and cumulation could become complex and productive of error</w:t>
      </w:r>
      <w:r w:rsidRPr="00051102">
        <w:rPr>
          <w:rFonts w:ascii="Calibri" w:hAnsi="Calibri"/>
        </w:rPr>
        <w:t>.</w:t>
      </w:r>
      <w:r w:rsidRPr="00C00000">
        <w:rPr>
          <w:rStyle w:val="Style"/>
          <w:rFonts w:asciiTheme="minorHAnsi" w:hAnsiTheme="minorHAnsi"/>
        </w:rPr>
        <w:footnoteReference w:id="1114"/>
      </w:r>
      <w:r w:rsidRPr="00051102">
        <w:rPr>
          <w:rFonts w:ascii="Calibri" w:hAnsi="Calibri"/>
        </w:rPr>
        <w:t xml:space="preserve"> </w:t>
      </w:r>
      <w:r w:rsidR="000469B6">
        <w:rPr>
          <w:rFonts w:asciiTheme="minorHAnsi" w:hAnsiTheme="minorHAnsi"/>
        </w:rPr>
        <w:t xml:space="preserve"> </w:t>
      </w:r>
      <w:r>
        <w:rPr>
          <w:rFonts w:asciiTheme="minorHAnsi" w:hAnsiTheme="minorHAnsi"/>
        </w:rPr>
        <w:t xml:space="preserve">Aggregate </w:t>
      </w:r>
      <w:r w:rsidR="000469B6">
        <w:rPr>
          <w:rFonts w:asciiTheme="minorHAnsi" w:hAnsiTheme="minorHAnsi"/>
        </w:rPr>
        <w:t>sentencing has been considered appropriate on indictment</w:t>
      </w:r>
      <w:r w:rsidR="000922ED">
        <w:rPr>
          <w:rFonts w:asciiTheme="minorHAnsi" w:hAnsiTheme="minorHAnsi"/>
        </w:rPr>
        <w:t>:</w:t>
      </w:r>
    </w:p>
    <w:p w14:paraId="26F9DBD7" w14:textId="77777777" w:rsidR="000922ED" w:rsidRPr="000922ED" w:rsidRDefault="000469B6"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w</w:t>
      </w:r>
      <w:r w:rsidR="00046CC0" w:rsidRPr="00046CC0">
        <w:rPr>
          <w:rFonts w:asciiTheme="minorHAnsi" w:hAnsiTheme="minorHAnsi"/>
        </w:rPr>
        <w:t xml:space="preserve">here there is such a large number of </w:t>
      </w:r>
      <w:r>
        <w:rPr>
          <w:rFonts w:asciiTheme="minorHAnsi" w:hAnsiTheme="minorHAnsi"/>
        </w:rPr>
        <w:t>charges</w:t>
      </w:r>
      <w:r w:rsidR="00046CC0" w:rsidRPr="00046CC0">
        <w:rPr>
          <w:rFonts w:asciiTheme="minorHAnsi" w:hAnsiTheme="minorHAnsi"/>
        </w:rPr>
        <w:t xml:space="preserve"> that the application of the normal principles governing cumulation and concurrency would produce an inappro</w:t>
      </w:r>
      <w:r>
        <w:rPr>
          <w:rFonts w:asciiTheme="minorHAnsi" w:hAnsiTheme="minorHAnsi"/>
        </w:rPr>
        <w:t>priate total effective sentence;</w:t>
      </w:r>
      <w:r w:rsidR="00046CC0" w:rsidRPr="00046CC0">
        <w:rPr>
          <w:rFonts w:asciiTheme="minorHAnsi" w:hAnsiTheme="minorHAnsi"/>
        </w:rPr>
        <w:t xml:space="preserve"> an aggregate sentence may </w:t>
      </w:r>
      <w:r>
        <w:rPr>
          <w:rFonts w:asciiTheme="minorHAnsi" w:hAnsiTheme="minorHAnsi"/>
        </w:rPr>
        <w:t xml:space="preserve">then </w:t>
      </w:r>
      <w:r w:rsidR="00046CC0" w:rsidRPr="00046CC0">
        <w:rPr>
          <w:rFonts w:asciiTheme="minorHAnsi" w:hAnsiTheme="minorHAnsi"/>
        </w:rPr>
        <w:t>be more readily understood</w:t>
      </w:r>
      <w:r w:rsidR="000922ED">
        <w:rPr>
          <w:rFonts w:asciiTheme="minorHAnsi" w:hAnsiTheme="minorHAnsi"/>
        </w:rPr>
        <w:t>;</w:t>
      </w:r>
      <w:r w:rsidRPr="00C00000">
        <w:rPr>
          <w:rStyle w:val="Style"/>
          <w:rFonts w:asciiTheme="minorHAnsi" w:hAnsiTheme="minorHAnsi"/>
        </w:rPr>
        <w:footnoteReference w:id="1115"/>
      </w:r>
      <w:r w:rsidR="009E170E" w:rsidRPr="00051102">
        <w:rPr>
          <w:rFonts w:ascii="Calibri" w:hAnsi="Calibri"/>
        </w:rPr>
        <w:t xml:space="preserve"> </w:t>
      </w:r>
      <w:r w:rsidR="000922ED" w:rsidRPr="000922ED">
        <w:rPr>
          <w:rFonts w:asciiTheme="minorHAnsi" w:hAnsiTheme="minorHAnsi"/>
        </w:rPr>
        <w:t>or</w:t>
      </w:r>
    </w:p>
    <w:p w14:paraId="7F93B36D" w14:textId="1A1EBFFE" w:rsidR="00046CC0" w:rsidRDefault="000922ED" w:rsidP="00EB7F1E">
      <w:pPr>
        <w:pStyle w:val="ListParagraph"/>
        <w:numPr>
          <w:ilvl w:val="1"/>
          <w:numId w:val="36"/>
        </w:numPr>
        <w:spacing w:line="276" w:lineRule="auto"/>
        <w:ind w:left="993" w:right="28" w:hanging="142"/>
        <w:rPr>
          <w:rFonts w:asciiTheme="minorHAnsi" w:hAnsiTheme="minorHAnsi"/>
        </w:rPr>
      </w:pPr>
      <w:r w:rsidRPr="000922ED">
        <w:rPr>
          <w:rFonts w:asciiTheme="minorHAnsi" w:hAnsiTheme="minorHAnsi"/>
        </w:rPr>
        <w:t>where the number, similarity and proximity in time of the offences is such that it would be an artificial exercise to impose individual sentences and then, by means of modest orders for cumulation, to arrive at a total effective sentence proportionate to the total criminality.</w:t>
      </w:r>
      <w:r w:rsidRPr="00C00000">
        <w:rPr>
          <w:rStyle w:val="Style"/>
          <w:rFonts w:asciiTheme="minorHAnsi" w:hAnsiTheme="minorHAnsi"/>
        </w:rPr>
        <w:footnoteReference w:id="1116"/>
      </w:r>
    </w:p>
    <w:p w14:paraId="35509CDF" w14:textId="77777777" w:rsidR="000469B6" w:rsidRPr="000469B6" w:rsidRDefault="000469B6" w:rsidP="000469B6">
      <w:pPr>
        <w:pStyle w:val="ListParagraph"/>
        <w:rPr>
          <w:rFonts w:asciiTheme="minorHAnsi" w:hAnsiTheme="minorHAnsi"/>
        </w:rPr>
      </w:pPr>
    </w:p>
    <w:p w14:paraId="67607165" w14:textId="4C26C02D" w:rsidR="000469B6" w:rsidRDefault="000469B6"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imposition of aggregate sentences in summary proceedings is far more common than it is on indictment.  </w:t>
      </w:r>
      <w:r w:rsidR="008621D2">
        <w:rPr>
          <w:rFonts w:asciiTheme="minorHAnsi" w:hAnsiTheme="minorHAnsi"/>
        </w:rPr>
        <w:t>In particular, aggregate fines</w:t>
      </w:r>
      <w:r w:rsidR="008621D2" w:rsidRPr="00051102">
        <w:rPr>
          <w:rFonts w:ascii="Calibri" w:hAnsi="Calibri"/>
        </w:rPr>
        <w:t xml:space="preserve"> </w:t>
      </w:r>
      <w:r w:rsidR="008621D2" w:rsidRPr="008621D2">
        <w:rPr>
          <w:rFonts w:asciiTheme="minorHAnsi" w:hAnsiTheme="minorHAnsi"/>
        </w:rPr>
        <w:t>may be very convenie</w:t>
      </w:r>
      <w:r w:rsidR="008621D2">
        <w:rPr>
          <w:rFonts w:asciiTheme="minorHAnsi" w:hAnsiTheme="minorHAnsi"/>
        </w:rPr>
        <w:t>nt in a busy Magistrates</w:t>
      </w:r>
      <w:r w:rsidR="00AA693C">
        <w:rPr>
          <w:rFonts w:asciiTheme="minorHAnsi" w:hAnsiTheme="minorHAnsi"/>
        </w:rPr>
        <w:t>’</w:t>
      </w:r>
      <w:r w:rsidR="008621D2">
        <w:rPr>
          <w:rFonts w:asciiTheme="minorHAnsi" w:hAnsiTheme="minorHAnsi"/>
        </w:rPr>
        <w:t xml:space="preserve"> Court.</w:t>
      </w:r>
      <w:r w:rsidR="008621D2" w:rsidRPr="00C00000">
        <w:rPr>
          <w:rStyle w:val="Style"/>
          <w:rFonts w:asciiTheme="minorHAnsi" w:hAnsiTheme="minorHAnsi"/>
        </w:rPr>
        <w:footnoteReference w:id="1117"/>
      </w:r>
      <w:r w:rsidR="008621D2">
        <w:rPr>
          <w:rFonts w:asciiTheme="minorHAnsi" w:hAnsiTheme="minorHAnsi"/>
        </w:rPr>
        <w:t xml:space="preserve">  </w:t>
      </w:r>
      <w:r>
        <w:rPr>
          <w:rFonts w:asciiTheme="minorHAnsi" w:hAnsiTheme="minorHAnsi"/>
        </w:rPr>
        <w:t xml:space="preserve">In </w:t>
      </w:r>
      <w:r w:rsidR="008621D2">
        <w:rPr>
          <w:rFonts w:asciiTheme="minorHAnsi" w:hAnsiTheme="minorHAnsi"/>
        </w:rPr>
        <w:t>summary hearings</w:t>
      </w:r>
      <w:r>
        <w:rPr>
          <w:rFonts w:asciiTheme="minorHAnsi" w:hAnsiTheme="minorHAnsi"/>
        </w:rPr>
        <w:t xml:space="preserve">, </w:t>
      </w:r>
      <w:r w:rsidR="0000137B">
        <w:rPr>
          <w:rFonts w:asciiTheme="minorHAnsi" w:hAnsiTheme="minorHAnsi"/>
        </w:rPr>
        <w:t xml:space="preserve">reasons for sentence are usually </w:t>
      </w:r>
      <w:r w:rsidR="00920716">
        <w:rPr>
          <w:rFonts w:asciiTheme="minorHAnsi" w:hAnsiTheme="minorHAnsi"/>
        </w:rPr>
        <w:t xml:space="preserve">given orally and in summary form, and </w:t>
      </w:r>
      <w:r>
        <w:rPr>
          <w:rFonts w:asciiTheme="minorHAnsi" w:hAnsiTheme="minorHAnsi"/>
        </w:rPr>
        <w:t>an aggregate sentence does not create such difficulties for appeals, because appeals generally proceed by way of rehearing.</w:t>
      </w:r>
      <w:r w:rsidRPr="00C00000">
        <w:rPr>
          <w:rStyle w:val="Style"/>
          <w:rFonts w:asciiTheme="minorHAnsi" w:hAnsiTheme="minorHAnsi"/>
        </w:rPr>
        <w:footnoteReference w:id="1118"/>
      </w:r>
      <w:r w:rsidR="008621D2">
        <w:rPr>
          <w:rFonts w:asciiTheme="minorHAnsi" w:hAnsiTheme="minorHAnsi"/>
        </w:rPr>
        <w:t xml:space="preserve">  </w:t>
      </w:r>
    </w:p>
    <w:p w14:paraId="6B0337DA" w14:textId="77777777" w:rsidR="00B76B3F" w:rsidRPr="00B76B3F" w:rsidRDefault="00B76B3F" w:rsidP="00B76B3F">
      <w:pPr>
        <w:pStyle w:val="ListParagraph"/>
        <w:rPr>
          <w:rFonts w:asciiTheme="minorHAnsi" w:hAnsiTheme="minorHAnsi"/>
        </w:rPr>
      </w:pPr>
    </w:p>
    <w:p w14:paraId="2DBE7CA8" w14:textId="38710EDA" w:rsidR="0065335D" w:rsidRDefault="007147C3"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One circumstance in which a single aggregate penalty may be appropriate is where</w:t>
      </w:r>
      <w:r w:rsidR="0067119F">
        <w:rPr>
          <w:rFonts w:asciiTheme="minorHAnsi" w:hAnsiTheme="minorHAnsi"/>
        </w:rPr>
        <w:t>, in relation to offences dealt with summarily,</w:t>
      </w:r>
      <w:r>
        <w:rPr>
          <w:rFonts w:asciiTheme="minorHAnsi" w:hAnsiTheme="minorHAnsi"/>
        </w:rPr>
        <w:t xml:space="preserve"> the division of the overall offending into more than one offence is merely fortuitous.</w:t>
      </w:r>
      <w:r w:rsidR="00382B67" w:rsidRPr="00C00000">
        <w:rPr>
          <w:rStyle w:val="Style"/>
          <w:rFonts w:asciiTheme="minorHAnsi" w:hAnsiTheme="minorHAnsi"/>
        </w:rPr>
        <w:footnoteReference w:id="1119"/>
      </w:r>
    </w:p>
    <w:p w14:paraId="03EB3083" w14:textId="3C15665F" w:rsidR="0065335D" w:rsidRDefault="0065335D" w:rsidP="00FA3F97">
      <w:pPr>
        <w:pStyle w:val="ListParagraph"/>
        <w:spacing w:line="276" w:lineRule="auto"/>
        <w:ind w:left="873" w:right="28"/>
        <w:rPr>
          <w:rFonts w:asciiTheme="minorHAnsi" w:hAnsiTheme="minorHAnsi"/>
        </w:rPr>
      </w:pPr>
    </w:p>
    <w:p w14:paraId="4E7C7D88" w14:textId="656E73D6" w:rsidR="00652DFC" w:rsidRDefault="00652DFC"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If a court is considering imposing an aggregate penalty, it is the duty of a prosecutor to oppose such a penalty</w:t>
      </w:r>
      <w:r w:rsidR="0027616C">
        <w:rPr>
          <w:rFonts w:asciiTheme="minorHAnsi" w:hAnsiTheme="minorHAnsi"/>
        </w:rPr>
        <w:t>, by reference to authority,</w:t>
      </w:r>
      <w:r>
        <w:rPr>
          <w:rFonts w:asciiTheme="minorHAnsi" w:hAnsiTheme="minorHAnsi"/>
        </w:rPr>
        <w:t xml:space="preserve"> if it would be inappropriate or beyond the power of the court in the circumstances (for example where statutory preconditions for the exercise of the power were not satisfied).</w:t>
      </w:r>
      <w:r w:rsidRPr="00C00000">
        <w:rPr>
          <w:rStyle w:val="Style"/>
          <w:rFonts w:asciiTheme="minorHAnsi" w:hAnsiTheme="minorHAnsi"/>
        </w:rPr>
        <w:footnoteReference w:id="1120"/>
      </w:r>
    </w:p>
    <w:p w14:paraId="3449377E" w14:textId="77777777" w:rsidR="00652DFC" w:rsidRPr="00C00000" w:rsidRDefault="00652DFC" w:rsidP="00FA3F97">
      <w:pPr>
        <w:pStyle w:val="ListParagraph"/>
        <w:spacing w:line="276" w:lineRule="auto"/>
        <w:ind w:left="873" w:right="28"/>
        <w:rPr>
          <w:rFonts w:asciiTheme="minorHAnsi" w:hAnsiTheme="minorHAnsi"/>
        </w:rPr>
      </w:pPr>
    </w:p>
    <w:p w14:paraId="67B81656" w14:textId="6266BFE9" w:rsidR="00CA4BA1" w:rsidRPr="00EB7F1E" w:rsidRDefault="00CA4BA1">
      <w:pPr>
        <w:pStyle w:val="Heading2"/>
        <w:rPr>
          <w:rStyle w:val="Strong"/>
          <w:b/>
          <w:bCs w:val="0"/>
        </w:rPr>
      </w:pPr>
      <w:bookmarkStart w:id="3071" w:name="_Ref517020945"/>
      <w:bookmarkStart w:id="3072" w:name="_Ref517020948"/>
      <w:bookmarkStart w:id="3073" w:name="_Toc33602966"/>
      <w:r w:rsidRPr="00EB7F1E">
        <w:rPr>
          <w:rStyle w:val="Strong"/>
          <w:b/>
          <w:bCs w:val="0"/>
        </w:rPr>
        <w:t>Requirement to warn a terrorism offender about the possibility of a continuing detention order</w:t>
      </w:r>
      <w:bookmarkEnd w:id="3071"/>
      <w:bookmarkEnd w:id="3072"/>
      <w:bookmarkEnd w:id="3073"/>
    </w:p>
    <w:p w14:paraId="1C3DD310" w14:textId="77777777" w:rsidR="00CA4BA1" w:rsidRPr="00696FD1" w:rsidRDefault="00CA4BA1" w:rsidP="008B3E81">
      <w:pPr>
        <w:keepNext/>
        <w:widowControl w:val="0"/>
        <w:spacing w:line="276" w:lineRule="auto"/>
        <w:ind w:right="170"/>
        <w:rPr>
          <w:rFonts w:asciiTheme="minorHAnsi" w:hAnsiTheme="minorHAnsi"/>
        </w:rPr>
      </w:pPr>
    </w:p>
    <w:p w14:paraId="0AD6BCEC" w14:textId="77777777" w:rsidR="00CA4BA1" w:rsidRDefault="00CA4BA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Division 105A of the </w:t>
      </w:r>
      <w:r w:rsidRPr="00010985">
        <w:rPr>
          <w:rFonts w:asciiTheme="minorHAnsi" w:hAnsiTheme="minorHAnsi"/>
          <w:i/>
        </w:rPr>
        <w:t>Criminal Code</w:t>
      </w:r>
      <w:r>
        <w:rPr>
          <w:rFonts w:asciiTheme="minorHAnsi" w:hAnsiTheme="minorHAnsi"/>
        </w:rPr>
        <w:t xml:space="preserve"> (Cth) provides for a court, on the application of the Attorney-General, to make a continuing detention order (CDO) in relation to a terrorist offender.  A CDO </w:t>
      </w:r>
      <w:r w:rsidRPr="00E425AE">
        <w:rPr>
          <w:rFonts w:asciiTheme="minorHAnsi" w:hAnsiTheme="minorHAnsi"/>
        </w:rPr>
        <w:t>requir</w:t>
      </w:r>
      <w:r>
        <w:rPr>
          <w:rFonts w:asciiTheme="minorHAnsi" w:hAnsiTheme="minorHAnsi"/>
        </w:rPr>
        <w:t>es the</w:t>
      </w:r>
      <w:r w:rsidRPr="00E425AE">
        <w:rPr>
          <w:rFonts w:asciiTheme="minorHAnsi" w:hAnsiTheme="minorHAnsi"/>
        </w:rPr>
        <w:t xml:space="preserve"> </w:t>
      </w:r>
      <w:r>
        <w:rPr>
          <w:rFonts w:asciiTheme="minorHAnsi" w:hAnsiTheme="minorHAnsi"/>
        </w:rPr>
        <w:t>offender</w:t>
      </w:r>
      <w:r w:rsidRPr="00E425AE">
        <w:rPr>
          <w:rFonts w:asciiTheme="minorHAnsi" w:hAnsiTheme="minorHAnsi"/>
        </w:rPr>
        <w:t xml:space="preserve"> to be detained in a prison after the end of </w:t>
      </w:r>
      <w:r>
        <w:rPr>
          <w:rFonts w:asciiTheme="minorHAnsi" w:hAnsiTheme="minorHAnsi"/>
        </w:rPr>
        <w:t>his or her</w:t>
      </w:r>
      <w:r w:rsidRPr="00E425AE">
        <w:rPr>
          <w:rFonts w:asciiTheme="minorHAnsi" w:hAnsiTheme="minorHAnsi"/>
        </w:rPr>
        <w:t xml:space="preserve"> sentence</w:t>
      </w:r>
      <w:r>
        <w:rPr>
          <w:rFonts w:asciiTheme="minorHAnsi" w:hAnsiTheme="minorHAnsi"/>
        </w:rPr>
        <w:t>.  “</w:t>
      </w:r>
      <w:r w:rsidRPr="00E425AE">
        <w:rPr>
          <w:rFonts w:asciiTheme="minorHAnsi" w:hAnsiTheme="minorHAnsi"/>
          <w:i/>
        </w:rPr>
        <w:t>Terrorist offender</w:t>
      </w:r>
      <w:r>
        <w:rPr>
          <w:rFonts w:asciiTheme="minorHAnsi" w:hAnsiTheme="minorHAnsi"/>
        </w:rPr>
        <w:t xml:space="preserve">” means a person who has been convicted of certain terrorism or foreign incursion and recruitment offences described in s 105A.3(1) of the </w:t>
      </w:r>
      <w:r w:rsidRPr="004C39BC">
        <w:rPr>
          <w:rFonts w:asciiTheme="minorHAnsi" w:hAnsiTheme="minorHAnsi"/>
          <w:i/>
        </w:rPr>
        <w:t>Criminal Code</w:t>
      </w:r>
      <w:r>
        <w:rPr>
          <w:rFonts w:asciiTheme="minorHAnsi" w:hAnsiTheme="minorHAnsi"/>
        </w:rPr>
        <w:t>.</w:t>
      </w:r>
    </w:p>
    <w:p w14:paraId="6B1A4E5F" w14:textId="77777777" w:rsidR="00CA4BA1" w:rsidRPr="00E425AE" w:rsidRDefault="00CA4BA1" w:rsidP="00CA4BA1">
      <w:pPr>
        <w:widowControl w:val="0"/>
        <w:spacing w:line="276" w:lineRule="auto"/>
        <w:ind w:right="170"/>
        <w:rPr>
          <w:rFonts w:asciiTheme="minorHAnsi" w:hAnsiTheme="minorHAnsi"/>
        </w:rPr>
      </w:pPr>
    </w:p>
    <w:p w14:paraId="6B3D8BE5" w14:textId="580DA622" w:rsidR="00CA4BA1" w:rsidRDefault="00CA4BA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Section 105A.23(1) of the Criminal Code requires that a </w:t>
      </w:r>
      <w:r w:rsidRPr="00E425AE">
        <w:rPr>
          <w:rFonts w:asciiTheme="minorHAnsi" w:hAnsiTheme="minorHAnsi"/>
        </w:rPr>
        <w:t xml:space="preserve">court that is sentencing a </w:t>
      </w:r>
      <w:r>
        <w:rPr>
          <w:rFonts w:asciiTheme="minorHAnsi" w:hAnsiTheme="minorHAnsi"/>
        </w:rPr>
        <w:t>terrorist offender</w:t>
      </w:r>
      <w:r w:rsidRPr="00E425AE">
        <w:rPr>
          <w:rFonts w:asciiTheme="minorHAnsi" w:hAnsiTheme="minorHAnsi"/>
        </w:rPr>
        <w:t xml:space="preserve"> must warn the person that an application may be made under Division </w:t>
      </w:r>
      <w:r>
        <w:rPr>
          <w:rFonts w:asciiTheme="minorHAnsi" w:hAnsiTheme="minorHAnsi"/>
        </w:rPr>
        <w:t xml:space="preserve">105A </w:t>
      </w:r>
      <w:r w:rsidRPr="00E425AE">
        <w:rPr>
          <w:rFonts w:asciiTheme="minorHAnsi" w:hAnsiTheme="minorHAnsi"/>
        </w:rPr>
        <w:t xml:space="preserve">for a </w:t>
      </w:r>
      <w:r>
        <w:rPr>
          <w:rFonts w:asciiTheme="minorHAnsi" w:hAnsiTheme="minorHAnsi"/>
        </w:rPr>
        <w:t>CDO</w:t>
      </w:r>
      <w:r w:rsidRPr="00E425AE">
        <w:rPr>
          <w:rFonts w:asciiTheme="minorHAnsi" w:hAnsiTheme="minorHAnsi"/>
        </w:rPr>
        <w:t xml:space="preserve"> requiring the person to be detained in a prison after the end of the person</w:t>
      </w:r>
      <w:r w:rsidR="00AA693C">
        <w:rPr>
          <w:rFonts w:asciiTheme="minorHAnsi" w:hAnsiTheme="minorHAnsi"/>
        </w:rPr>
        <w:t>’</w:t>
      </w:r>
      <w:r w:rsidRPr="00E425AE">
        <w:rPr>
          <w:rFonts w:asciiTheme="minorHAnsi" w:hAnsiTheme="minorHAnsi"/>
        </w:rPr>
        <w:t>s sentence for the offence</w:t>
      </w:r>
      <w:r>
        <w:rPr>
          <w:rFonts w:asciiTheme="minorHAnsi" w:hAnsiTheme="minorHAnsi"/>
        </w:rPr>
        <w:t>.  The requirement to give such a warning applies to the sentencing of any terrorist offender from 7 June 2017, regardless of when the offence was committed.</w:t>
      </w:r>
      <w:r w:rsidRPr="00C00000">
        <w:rPr>
          <w:rStyle w:val="Style"/>
          <w:rFonts w:asciiTheme="minorHAnsi" w:hAnsiTheme="minorHAnsi"/>
        </w:rPr>
        <w:footnoteReference w:id="1121"/>
      </w:r>
    </w:p>
    <w:p w14:paraId="332CB3EC" w14:textId="77777777" w:rsidR="00CA4BA1" w:rsidRPr="00696FD1" w:rsidRDefault="00CA4BA1" w:rsidP="00CA4BA1">
      <w:pPr>
        <w:pStyle w:val="ListParagraph"/>
        <w:rPr>
          <w:rFonts w:asciiTheme="minorHAnsi" w:hAnsiTheme="minorHAnsi"/>
        </w:rPr>
      </w:pPr>
    </w:p>
    <w:p w14:paraId="54FF3595" w14:textId="77777777" w:rsidR="00CA4BA1" w:rsidRDefault="00CA4BA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Failure to give a warning under s 105A.23(1) does not affect the validity of a sentence or prevent an application from being made for a CDO: s 105A.23(2).</w:t>
      </w:r>
    </w:p>
    <w:p w14:paraId="5DB76E98" w14:textId="77777777" w:rsidR="00CA4BA1" w:rsidRPr="00B823CB" w:rsidRDefault="00CA4BA1" w:rsidP="00CA4BA1">
      <w:pPr>
        <w:pStyle w:val="ListParagraph"/>
        <w:rPr>
          <w:rFonts w:asciiTheme="minorHAnsi" w:hAnsiTheme="minorHAnsi"/>
        </w:rPr>
      </w:pPr>
    </w:p>
    <w:p w14:paraId="611A9269" w14:textId="090F3273" w:rsidR="00CA4BA1" w:rsidRDefault="00CA4BA1"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As to whether the prospect of a CDO being made is relevant in sentencing, see “</w:t>
      </w:r>
      <w:r>
        <w:rPr>
          <w:rFonts w:asciiTheme="minorHAnsi" w:hAnsiTheme="minorHAnsi"/>
        </w:rPr>
        <w:fldChar w:fldCharType="begin"/>
      </w:r>
      <w:r>
        <w:rPr>
          <w:rFonts w:asciiTheme="minorHAnsi" w:hAnsiTheme="minorHAnsi"/>
        </w:rPr>
        <w:instrText xml:space="preserve"> REF _Ref493066725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4.5.14</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_Ref493066734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Control orders and continuing detention orders</w:t>
      </w:r>
      <w:r>
        <w:rPr>
          <w:rFonts w:asciiTheme="minorHAnsi" w:hAnsiTheme="minorHAnsi"/>
        </w:rPr>
        <w:fldChar w:fldCharType="end"/>
      </w:r>
      <w:r>
        <w:rPr>
          <w:rFonts w:asciiTheme="minorHAnsi" w:hAnsiTheme="minorHAnsi"/>
        </w:rPr>
        <w:t>”.</w:t>
      </w:r>
    </w:p>
    <w:p w14:paraId="536FB423" w14:textId="4FC13E12" w:rsidR="00CA4BA1" w:rsidRDefault="00CA4BA1" w:rsidP="00CA4BA1">
      <w:pPr>
        <w:spacing w:line="276" w:lineRule="auto"/>
        <w:ind w:right="28"/>
        <w:rPr>
          <w:rFonts w:asciiTheme="minorHAnsi" w:hAnsiTheme="minorHAnsi"/>
        </w:rPr>
      </w:pPr>
    </w:p>
    <w:p w14:paraId="4377153A" w14:textId="7EE1F819" w:rsidR="004237E0" w:rsidRPr="00DB63C8" w:rsidRDefault="004237E0" w:rsidP="00EB7F1E">
      <w:pPr>
        <w:pStyle w:val="Heading2"/>
        <w:rPr>
          <w:rStyle w:val="Strong"/>
          <w:b/>
          <w:bCs w:val="0"/>
        </w:rPr>
      </w:pPr>
      <w:bookmarkStart w:id="3074" w:name="_Ref11071588"/>
      <w:bookmarkStart w:id="3075" w:name="_Ref11071592"/>
      <w:bookmarkStart w:id="3076" w:name="_Toc33602967"/>
      <w:r w:rsidRPr="00DB63C8">
        <w:rPr>
          <w:rStyle w:val="Strong"/>
          <w:b/>
          <w:bCs w:val="0"/>
        </w:rPr>
        <w:t>Power of sentencing court to correct error in sentence</w:t>
      </w:r>
      <w:bookmarkEnd w:id="3074"/>
      <w:bookmarkEnd w:id="3075"/>
      <w:bookmarkEnd w:id="3076"/>
    </w:p>
    <w:p w14:paraId="5D772F79" w14:textId="21BBA699" w:rsidR="004237E0" w:rsidRPr="00DB63C8" w:rsidRDefault="004237E0" w:rsidP="004237E0">
      <w:pPr>
        <w:keepNext/>
        <w:widowControl w:val="0"/>
        <w:spacing w:line="276" w:lineRule="auto"/>
        <w:ind w:right="170"/>
        <w:rPr>
          <w:rFonts w:asciiTheme="minorHAnsi" w:hAnsiTheme="minorHAnsi"/>
        </w:rPr>
      </w:pPr>
    </w:p>
    <w:p w14:paraId="3ECE4496" w14:textId="18CC0477" w:rsidR="00403036" w:rsidRPr="00DB63C8" w:rsidRDefault="00AF78C2" w:rsidP="00EB7F1E">
      <w:pPr>
        <w:pStyle w:val="Heading3"/>
      </w:pPr>
      <w:bookmarkStart w:id="3077" w:name="_Toc33602968"/>
      <w:r w:rsidRPr="00DB63C8">
        <w:t>Functus officio principle</w:t>
      </w:r>
      <w:bookmarkEnd w:id="3077"/>
    </w:p>
    <w:p w14:paraId="4C553A0B" w14:textId="01FB9070" w:rsidR="00403036" w:rsidRPr="00DB63C8" w:rsidRDefault="00403036" w:rsidP="00EB7F1E">
      <w:pPr>
        <w:keepNext/>
        <w:widowControl w:val="0"/>
        <w:spacing w:line="276" w:lineRule="auto"/>
        <w:ind w:right="170"/>
        <w:rPr>
          <w:rFonts w:asciiTheme="minorHAnsi" w:hAnsiTheme="minorHAnsi"/>
        </w:rPr>
      </w:pPr>
    </w:p>
    <w:p w14:paraId="1520E1A6" w14:textId="072352CC" w:rsidR="00CC5F46" w:rsidRPr="00DB63C8" w:rsidRDefault="00B24FCE" w:rsidP="00403036">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Once </w:t>
      </w:r>
      <w:r w:rsidR="00403036" w:rsidRPr="00DB63C8">
        <w:rPr>
          <w:rFonts w:asciiTheme="minorHAnsi" w:hAnsiTheme="minorHAnsi"/>
        </w:rPr>
        <w:t>a</w:t>
      </w:r>
      <w:r w:rsidR="0087037A" w:rsidRPr="00DB63C8">
        <w:rPr>
          <w:rFonts w:asciiTheme="minorHAnsi" w:hAnsiTheme="minorHAnsi"/>
        </w:rPr>
        <w:t xml:space="preserve"> judgment or </w:t>
      </w:r>
      <w:r w:rsidR="004E6832" w:rsidRPr="00DB63C8">
        <w:rPr>
          <w:rFonts w:asciiTheme="minorHAnsi" w:hAnsiTheme="minorHAnsi"/>
        </w:rPr>
        <w:t xml:space="preserve">final </w:t>
      </w:r>
      <w:r w:rsidR="0087037A" w:rsidRPr="00DB63C8">
        <w:rPr>
          <w:rFonts w:asciiTheme="minorHAnsi" w:hAnsiTheme="minorHAnsi"/>
        </w:rPr>
        <w:t xml:space="preserve">order of a court has passed into record, </w:t>
      </w:r>
      <w:r w:rsidR="000E1578" w:rsidRPr="00DB63C8">
        <w:rPr>
          <w:rFonts w:asciiTheme="minorHAnsi" w:hAnsiTheme="minorHAnsi"/>
        </w:rPr>
        <w:t xml:space="preserve">subject to contrary statutory provision, </w:t>
      </w:r>
      <w:r w:rsidR="0087037A" w:rsidRPr="00DB63C8">
        <w:rPr>
          <w:rFonts w:asciiTheme="minorHAnsi" w:hAnsiTheme="minorHAnsi"/>
        </w:rPr>
        <w:t xml:space="preserve">the court is </w:t>
      </w:r>
      <w:r w:rsidR="0087037A" w:rsidRPr="00DB63C8">
        <w:rPr>
          <w:rFonts w:asciiTheme="minorHAnsi" w:hAnsiTheme="minorHAnsi"/>
          <w:i/>
          <w:iCs/>
        </w:rPr>
        <w:t>functus officio</w:t>
      </w:r>
      <w:r w:rsidR="0087037A" w:rsidRPr="00DB63C8">
        <w:rPr>
          <w:rFonts w:asciiTheme="minorHAnsi" w:hAnsiTheme="minorHAnsi"/>
        </w:rPr>
        <w:t xml:space="preserve"> – that is, its powers in relation to the matter have expired.</w:t>
      </w:r>
      <w:r w:rsidR="004E6832" w:rsidRPr="00DB63C8">
        <w:rPr>
          <w:rFonts w:asciiTheme="minorHAnsi" w:hAnsiTheme="minorHAnsi"/>
        </w:rPr>
        <w:t xml:space="preserve">  The </w:t>
      </w:r>
      <w:r w:rsidR="00247C58" w:rsidRPr="00DB63C8">
        <w:rPr>
          <w:rFonts w:asciiTheme="minorHAnsi" w:hAnsiTheme="minorHAnsi"/>
        </w:rPr>
        <w:t>principle</w:t>
      </w:r>
      <w:r w:rsidR="004E6832" w:rsidRPr="00DB63C8">
        <w:rPr>
          <w:rFonts w:asciiTheme="minorHAnsi" w:hAnsiTheme="minorHAnsi"/>
        </w:rPr>
        <w:t xml:space="preserve"> applies to criminal proceedings as well as to civil proceedings</w:t>
      </w:r>
      <w:r w:rsidR="00A53853" w:rsidRPr="00DB63C8">
        <w:rPr>
          <w:rFonts w:asciiTheme="minorHAnsi" w:hAnsiTheme="minorHAnsi"/>
        </w:rPr>
        <w:t xml:space="preserve"> and to both superior courts and inferior courts</w:t>
      </w:r>
      <w:r w:rsidR="004E6832" w:rsidRPr="00DB63C8">
        <w:rPr>
          <w:rFonts w:asciiTheme="minorHAnsi" w:hAnsiTheme="minorHAnsi"/>
        </w:rPr>
        <w:t>.</w:t>
      </w:r>
      <w:r w:rsidR="004E6832" w:rsidRPr="00DB63C8">
        <w:rPr>
          <w:rStyle w:val="Style"/>
          <w:rFonts w:asciiTheme="minorHAnsi" w:hAnsiTheme="minorHAnsi"/>
        </w:rPr>
        <w:footnoteReference w:id="1122"/>
      </w:r>
      <w:r w:rsidR="008933E0" w:rsidRPr="00DB63C8">
        <w:rPr>
          <w:rFonts w:asciiTheme="minorHAnsi" w:hAnsiTheme="minorHAnsi"/>
        </w:rPr>
        <w:t xml:space="preserve">  The only qualification at common law was the “slip rule” by which the record of a sentence or order could be corrected, pursuant to the court</w:t>
      </w:r>
      <w:r w:rsidR="00AA693C" w:rsidRPr="00DB63C8">
        <w:rPr>
          <w:rFonts w:asciiTheme="minorHAnsi" w:hAnsiTheme="minorHAnsi"/>
        </w:rPr>
        <w:t>’</w:t>
      </w:r>
      <w:r w:rsidR="008933E0" w:rsidRPr="00DB63C8">
        <w:rPr>
          <w:rFonts w:asciiTheme="minorHAnsi" w:hAnsiTheme="minorHAnsi"/>
        </w:rPr>
        <w:t>s implied or inherent jurisdiction, to reflect what the court intended to do.</w:t>
      </w:r>
      <w:r w:rsidR="008933E0" w:rsidRPr="00DB63C8">
        <w:rPr>
          <w:rStyle w:val="Style"/>
          <w:rFonts w:asciiTheme="minorHAnsi" w:hAnsiTheme="minorHAnsi"/>
        </w:rPr>
        <w:footnoteReference w:id="1123"/>
      </w:r>
    </w:p>
    <w:p w14:paraId="41CC4433" w14:textId="77777777" w:rsidR="00CC5F46" w:rsidRPr="00DB63C8" w:rsidRDefault="00CC5F46" w:rsidP="00EB7F1E">
      <w:pPr>
        <w:spacing w:line="276" w:lineRule="auto"/>
        <w:rPr>
          <w:rFonts w:asciiTheme="minorHAnsi" w:hAnsiTheme="minorHAnsi"/>
        </w:rPr>
      </w:pPr>
    </w:p>
    <w:p w14:paraId="2AE0CF50" w14:textId="6DDA41B5" w:rsidR="00403036" w:rsidRPr="00DB63C8" w:rsidRDefault="00E066A9" w:rsidP="00EB7F1E">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In </w:t>
      </w:r>
      <w:r w:rsidRPr="00DB63C8">
        <w:rPr>
          <w:rFonts w:asciiTheme="minorHAnsi" w:hAnsiTheme="minorHAnsi"/>
          <w:i/>
          <w:iCs/>
        </w:rPr>
        <w:t>Edwards</w:t>
      </w:r>
      <w:r w:rsidRPr="00DB63C8">
        <w:rPr>
          <w:rFonts w:asciiTheme="minorHAnsi" w:hAnsiTheme="minorHAnsi"/>
        </w:rPr>
        <w:t>,</w:t>
      </w:r>
      <w:r w:rsidRPr="00DB63C8">
        <w:rPr>
          <w:rStyle w:val="Style"/>
          <w:rFonts w:asciiTheme="minorHAnsi" w:hAnsiTheme="minorHAnsi"/>
        </w:rPr>
        <w:footnoteReference w:id="1124"/>
      </w:r>
      <w:r w:rsidRPr="00DB63C8">
        <w:rPr>
          <w:rFonts w:asciiTheme="minorHAnsi" w:hAnsiTheme="minorHAnsi"/>
        </w:rPr>
        <w:t xml:space="preserve"> </w:t>
      </w:r>
      <w:r w:rsidR="00797566" w:rsidRPr="00DB63C8">
        <w:rPr>
          <w:rFonts w:asciiTheme="minorHAnsi" w:hAnsiTheme="minorHAnsi"/>
        </w:rPr>
        <w:t>t</w:t>
      </w:r>
      <w:r w:rsidR="007B2494" w:rsidRPr="00DB63C8">
        <w:rPr>
          <w:rFonts w:asciiTheme="minorHAnsi" w:hAnsiTheme="minorHAnsi"/>
        </w:rPr>
        <w:t>he sentencing judge had mistakenly imposed a suspended sentence without power to do so and, upon discovering the error</w:t>
      </w:r>
      <w:r w:rsidR="00247C58" w:rsidRPr="00DB63C8">
        <w:rPr>
          <w:rFonts w:asciiTheme="minorHAnsi" w:hAnsiTheme="minorHAnsi"/>
        </w:rPr>
        <w:t xml:space="preserve"> (after the sentence had passed into record)</w:t>
      </w:r>
      <w:r w:rsidR="007B2494" w:rsidRPr="00DB63C8">
        <w:rPr>
          <w:rFonts w:asciiTheme="minorHAnsi" w:hAnsiTheme="minorHAnsi"/>
        </w:rPr>
        <w:t xml:space="preserve">, had purported to substitute a different sentence.  The Court of Appeal </w:t>
      </w:r>
      <w:r w:rsidR="003D5CF3" w:rsidRPr="00DB63C8">
        <w:rPr>
          <w:rFonts w:asciiTheme="minorHAnsi" w:hAnsiTheme="minorHAnsi"/>
        </w:rPr>
        <w:t xml:space="preserve">(Weinberg JA and Williams AJA; Warren CJ dissenting) </w:t>
      </w:r>
      <w:r w:rsidR="007B2494" w:rsidRPr="00DB63C8">
        <w:rPr>
          <w:rFonts w:asciiTheme="minorHAnsi" w:hAnsiTheme="minorHAnsi"/>
        </w:rPr>
        <w:t>held that the sentencing court had no power to correct the original sentence</w:t>
      </w:r>
      <w:r w:rsidR="008933E0" w:rsidRPr="00DB63C8">
        <w:rPr>
          <w:rFonts w:asciiTheme="minorHAnsi" w:hAnsiTheme="minorHAnsi"/>
        </w:rPr>
        <w:t>,</w:t>
      </w:r>
      <w:r w:rsidR="007B2494" w:rsidRPr="00DB63C8">
        <w:rPr>
          <w:rFonts w:asciiTheme="minorHAnsi" w:hAnsiTheme="minorHAnsi"/>
        </w:rPr>
        <w:t xml:space="preserve"> as </w:t>
      </w:r>
      <w:r w:rsidR="003D5CF3" w:rsidRPr="00DB63C8">
        <w:rPr>
          <w:rFonts w:asciiTheme="minorHAnsi" w:hAnsiTheme="minorHAnsi"/>
        </w:rPr>
        <w:t>the sentencing judge</w:t>
      </w:r>
      <w:r w:rsidR="007B2494" w:rsidRPr="00DB63C8">
        <w:rPr>
          <w:rFonts w:asciiTheme="minorHAnsi" w:hAnsiTheme="minorHAnsi"/>
        </w:rPr>
        <w:t xml:space="preserve"> was then </w:t>
      </w:r>
      <w:r w:rsidR="007B2494" w:rsidRPr="00DB63C8">
        <w:rPr>
          <w:rFonts w:asciiTheme="minorHAnsi" w:hAnsiTheme="minorHAnsi"/>
          <w:i/>
          <w:iCs/>
        </w:rPr>
        <w:t>functus officio</w:t>
      </w:r>
      <w:r w:rsidR="007B2494" w:rsidRPr="00DB63C8">
        <w:rPr>
          <w:rFonts w:asciiTheme="minorHAnsi" w:hAnsiTheme="minorHAnsi"/>
        </w:rPr>
        <w:t xml:space="preserve">.  </w:t>
      </w:r>
      <w:r w:rsidR="003D5CF3" w:rsidRPr="00DB63C8">
        <w:rPr>
          <w:rFonts w:asciiTheme="minorHAnsi" w:hAnsiTheme="minorHAnsi"/>
        </w:rPr>
        <w:t xml:space="preserve">The </w:t>
      </w:r>
      <w:r w:rsidRPr="00DB63C8">
        <w:rPr>
          <w:rFonts w:asciiTheme="minorHAnsi" w:hAnsiTheme="minorHAnsi"/>
        </w:rPr>
        <w:t xml:space="preserve">Court held that the fact that </w:t>
      </w:r>
      <w:r w:rsidR="003D5CF3" w:rsidRPr="00DB63C8">
        <w:rPr>
          <w:rFonts w:asciiTheme="minorHAnsi" w:hAnsiTheme="minorHAnsi"/>
        </w:rPr>
        <w:t>a</w:t>
      </w:r>
      <w:r w:rsidRPr="00DB63C8">
        <w:rPr>
          <w:rFonts w:asciiTheme="minorHAnsi" w:hAnsiTheme="minorHAnsi"/>
        </w:rPr>
        <w:t xml:space="preserve"> sentencing court had acted without power </w:t>
      </w:r>
      <w:r w:rsidR="003D5CF3" w:rsidRPr="00DB63C8">
        <w:rPr>
          <w:rFonts w:asciiTheme="minorHAnsi" w:hAnsiTheme="minorHAnsi"/>
        </w:rPr>
        <w:t xml:space="preserve">in imposing a sentence </w:t>
      </w:r>
      <w:r w:rsidRPr="00DB63C8">
        <w:rPr>
          <w:rFonts w:asciiTheme="minorHAnsi" w:hAnsiTheme="minorHAnsi"/>
        </w:rPr>
        <w:t xml:space="preserve">did not operate as an exception to the principle of </w:t>
      </w:r>
      <w:r w:rsidRPr="00DB63C8">
        <w:rPr>
          <w:rFonts w:asciiTheme="minorHAnsi" w:hAnsiTheme="minorHAnsi"/>
          <w:i/>
          <w:iCs/>
        </w:rPr>
        <w:t>functus officio</w:t>
      </w:r>
      <w:r w:rsidRPr="00DB63C8">
        <w:rPr>
          <w:rFonts w:asciiTheme="minorHAnsi" w:hAnsiTheme="minorHAnsi"/>
        </w:rPr>
        <w:t xml:space="preserve">.  </w:t>
      </w:r>
      <w:r w:rsidR="008933E0" w:rsidRPr="00DB63C8">
        <w:rPr>
          <w:rFonts w:asciiTheme="minorHAnsi" w:hAnsiTheme="minorHAnsi"/>
        </w:rPr>
        <w:t>The error could only be corrected on appeal.</w:t>
      </w:r>
    </w:p>
    <w:p w14:paraId="5EAF7DA8" w14:textId="0B670E77" w:rsidR="00403036" w:rsidRPr="00DB63C8" w:rsidRDefault="00403036">
      <w:pPr>
        <w:spacing w:line="276" w:lineRule="auto"/>
        <w:rPr>
          <w:rFonts w:asciiTheme="minorHAnsi" w:hAnsiTheme="minorHAnsi"/>
        </w:rPr>
      </w:pPr>
    </w:p>
    <w:p w14:paraId="7ADD5960" w14:textId="7392C298" w:rsidR="009A21C0" w:rsidRPr="00DB63C8" w:rsidRDefault="009A21C0" w:rsidP="009A21C0">
      <w:pPr>
        <w:pStyle w:val="ListParagraph"/>
        <w:numPr>
          <w:ilvl w:val="0"/>
          <w:numId w:val="7"/>
        </w:numPr>
        <w:spacing w:line="276" w:lineRule="auto"/>
        <w:ind w:left="425" w:hanging="425"/>
        <w:contextualSpacing w:val="0"/>
        <w:rPr>
          <w:rFonts w:asciiTheme="minorHAnsi" w:hAnsiTheme="minorHAnsi"/>
        </w:rPr>
      </w:pPr>
      <w:bookmarkStart w:id="3078" w:name="_Ref10907259"/>
      <w:r w:rsidRPr="00DB63C8">
        <w:rPr>
          <w:rFonts w:asciiTheme="minorHAnsi" w:hAnsiTheme="minorHAnsi"/>
        </w:rPr>
        <w:t xml:space="preserve">The functus officio principle is subject to statutory exceptions.  The </w:t>
      </w:r>
      <w:r w:rsidRPr="00DB63C8">
        <w:rPr>
          <w:rFonts w:asciiTheme="minorHAnsi" w:hAnsiTheme="minorHAnsi"/>
          <w:i/>
          <w:iCs/>
        </w:rPr>
        <w:t>Crimes Act 1914</w:t>
      </w:r>
      <w:r w:rsidRPr="00DB63C8">
        <w:rPr>
          <w:rFonts w:asciiTheme="minorHAnsi" w:hAnsiTheme="minorHAnsi"/>
        </w:rPr>
        <w:t xml:space="preserve"> (Cth) creates two powers to correct error</w:t>
      </w:r>
      <w:r w:rsidR="00726F3E" w:rsidRPr="00DB63C8">
        <w:rPr>
          <w:rFonts w:asciiTheme="minorHAnsi" w:hAnsiTheme="minorHAnsi"/>
        </w:rPr>
        <w:t>s</w:t>
      </w:r>
      <w:r w:rsidRPr="00DB63C8">
        <w:rPr>
          <w:rFonts w:asciiTheme="minorHAnsi" w:hAnsiTheme="minorHAnsi"/>
        </w:rPr>
        <w:t xml:space="preserve"> in relation to a sentence of imprisonment imposed on a federal offender</w:t>
      </w:r>
      <w:r w:rsidR="0036169A" w:rsidRPr="00DB63C8">
        <w:rPr>
          <w:rFonts w:asciiTheme="minorHAnsi" w:hAnsiTheme="minorHAnsi"/>
        </w:rPr>
        <w:t>:</w:t>
      </w:r>
    </w:p>
    <w:p w14:paraId="69ACC059" w14:textId="333F6390" w:rsidR="0036169A" w:rsidRPr="00DB63C8" w:rsidRDefault="0036169A" w:rsidP="0036169A">
      <w:pPr>
        <w:pStyle w:val="ListParagraph"/>
        <w:numPr>
          <w:ilvl w:val="1"/>
          <w:numId w:val="36"/>
        </w:numPr>
        <w:spacing w:line="276" w:lineRule="auto"/>
        <w:ind w:left="993" w:right="28" w:hanging="142"/>
        <w:rPr>
          <w:rFonts w:asciiTheme="minorHAnsi" w:hAnsiTheme="minorHAnsi"/>
        </w:rPr>
      </w:pPr>
      <w:r w:rsidRPr="00DB63C8">
        <w:rPr>
          <w:rFonts w:asciiTheme="minorHAnsi" w:hAnsiTheme="minorHAnsi"/>
        </w:rPr>
        <w:t>s 19AHA: see “</w:t>
      </w:r>
      <w:r w:rsidR="001A0A7B" w:rsidRPr="00DB63C8">
        <w:rPr>
          <w:rFonts w:asciiTheme="minorHAnsi" w:hAnsiTheme="minorHAnsi"/>
        </w:rPr>
        <w:fldChar w:fldCharType="begin"/>
      </w:r>
      <w:r w:rsidR="001A0A7B" w:rsidRPr="00DB63C8">
        <w:rPr>
          <w:rFonts w:asciiTheme="minorHAnsi" w:hAnsiTheme="minorHAnsi"/>
        </w:rPr>
        <w:instrText xml:space="preserve"> REF _Ref10987717 \r \h </w:instrText>
      </w:r>
      <w:r w:rsidR="005A69FA" w:rsidRPr="00DB63C8">
        <w:rPr>
          <w:rFonts w:asciiTheme="minorHAnsi" w:hAnsiTheme="minorHAnsi"/>
        </w:rPr>
        <w:instrText xml:space="preserve"> \* MERGEFORMAT </w:instrText>
      </w:r>
      <w:r w:rsidR="001A0A7B" w:rsidRPr="00DB63C8">
        <w:rPr>
          <w:rFonts w:asciiTheme="minorHAnsi" w:hAnsiTheme="minorHAnsi"/>
        </w:rPr>
      </w:r>
      <w:r w:rsidR="001A0A7B" w:rsidRPr="00DB63C8">
        <w:rPr>
          <w:rFonts w:asciiTheme="minorHAnsi" w:hAnsiTheme="minorHAnsi"/>
        </w:rPr>
        <w:fldChar w:fldCharType="separate"/>
      </w:r>
      <w:r w:rsidR="00D44BCF">
        <w:rPr>
          <w:rFonts w:asciiTheme="minorHAnsi" w:hAnsiTheme="minorHAnsi"/>
        </w:rPr>
        <w:t>7.12.2</w:t>
      </w:r>
      <w:r w:rsidR="001A0A7B" w:rsidRPr="00DB63C8">
        <w:rPr>
          <w:rFonts w:asciiTheme="minorHAnsi" w:hAnsiTheme="minorHAnsi"/>
        </w:rPr>
        <w:fldChar w:fldCharType="end"/>
      </w:r>
      <w:r w:rsidR="001A0A7B" w:rsidRPr="00DB63C8">
        <w:rPr>
          <w:rFonts w:asciiTheme="minorHAnsi" w:hAnsiTheme="minorHAnsi"/>
        </w:rPr>
        <w:t xml:space="preserve"> </w:t>
      </w:r>
      <w:r w:rsidR="001A0A7B" w:rsidRPr="00DB63C8">
        <w:rPr>
          <w:rFonts w:asciiTheme="minorHAnsi" w:hAnsiTheme="minorHAnsi"/>
        </w:rPr>
        <w:fldChar w:fldCharType="begin"/>
      </w:r>
      <w:r w:rsidR="001A0A7B" w:rsidRPr="00DB63C8">
        <w:rPr>
          <w:rFonts w:asciiTheme="minorHAnsi" w:hAnsiTheme="minorHAnsi"/>
        </w:rPr>
        <w:instrText xml:space="preserve"> REF _Ref10987717 \h </w:instrText>
      </w:r>
      <w:r w:rsidR="005A69FA" w:rsidRPr="00DB63C8">
        <w:rPr>
          <w:rFonts w:asciiTheme="minorHAnsi" w:hAnsiTheme="minorHAnsi"/>
        </w:rPr>
        <w:instrText xml:space="preserve"> \* MERGEFORMAT </w:instrText>
      </w:r>
      <w:r w:rsidR="001A0A7B" w:rsidRPr="00DB63C8">
        <w:rPr>
          <w:rFonts w:asciiTheme="minorHAnsi" w:hAnsiTheme="minorHAnsi"/>
        </w:rPr>
      </w:r>
      <w:r w:rsidR="001A0A7B" w:rsidRPr="00DB63C8">
        <w:rPr>
          <w:rFonts w:asciiTheme="minorHAnsi" w:hAnsiTheme="minorHAnsi"/>
        </w:rPr>
        <w:fldChar w:fldCharType="separate"/>
      </w:r>
      <w:r w:rsidR="00D44BCF" w:rsidRPr="00D44BCF">
        <w:rPr>
          <w:rFonts w:asciiTheme="minorHAnsi" w:hAnsiTheme="minorHAnsi"/>
        </w:rPr>
        <w:t>Power to correct error in sentence of imprisonment: Crimes Act 1914, s 19AHA</w:t>
      </w:r>
      <w:r w:rsidR="001A0A7B" w:rsidRPr="00DB63C8">
        <w:rPr>
          <w:rFonts w:asciiTheme="minorHAnsi" w:hAnsiTheme="minorHAnsi"/>
        </w:rPr>
        <w:fldChar w:fldCharType="end"/>
      </w:r>
      <w:r w:rsidRPr="00DB63C8">
        <w:rPr>
          <w:rFonts w:asciiTheme="minorHAnsi" w:hAnsiTheme="minorHAnsi"/>
        </w:rPr>
        <w:t>”</w:t>
      </w:r>
    </w:p>
    <w:p w14:paraId="4EFCDEF5" w14:textId="5DA98B85" w:rsidR="0036169A" w:rsidRPr="00DB63C8" w:rsidRDefault="0036169A" w:rsidP="00EB7F1E">
      <w:pPr>
        <w:pStyle w:val="ListParagraph"/>
        <w:numPr>
          <w:ilvl w:val="1"/>
          <w:numId w:val="36"/>
        </w:numPr>
        <w:spacing w:line="276" w:lineRule="auto"/>
        <w:ind w:left="993" w:right="28" w:hanging="142"/>
        <w:rPr>
          <w:rFonts w:asciiTheme="minorHAnsi" w:hAnsiTheme="minorHAnsi"/>
        </w:rPr>
      </w:pPr>
      <w:r w:rsidRPr="00DB63C8">
        <w:rPr>
          <w:rFonts w:asciiTheme="minorHAnsi" w:hAnsiTheme="minorHAnsi"/>
        </w:rPr>
        <w:t>s 19AH: see “</w:t>
      </w:r>
      <w:r w:rsidR="001A0A7B" w:rsidRPr="00DB63C8">
        <w:rPr>
          <w:rFonts w:asciiTheme="minorHAnsi" w:hAnsiTheme="minorHAnsi"/>
        </w:rPr>
        <w:fldChar w:fldCharType="begin"/>
      </w:r>
      <w:r w:rsidR="001A0A7B" w:rsidRPr="00DB63C8">
        <w:rPr>
          <w:rFonts w:asciiTheme="minorHAnsi" w:hAnsiTheme="minorHAnsi"/>
        </w:rPr>
        <w:instrText xml:space="preserve"> REF _Ref10976865 \r \h </w:instrText>
      </w:r>
      <w:r w:rsidR="005A69FA" w:rsidRPr="00DB63C8">
        <w:rPr>
          <w:rFonts w:asciiTheme="minorHAnsi" w:hAnsiTheme="minorHAnsi"/>
        </w:rPr>
        <w:instrText xml:space="preserve"> \* MERGEFORMAT </w:instrText>
      </w:r>
      <w:r w:rsidR="001A0A7B" w:rsidRPr="00DB63C8">
        <w:rPr>
          <w:rFonts w:asciiTheme="minorHAnsi" w:hAnsiTheme="minorHAnsi"/>
        </w:rPr>
      </w:r>
      <w:r w:rsidR="001A0A7B" w:rsidRPr="00DB63C8">
        <w:rPr>
          <w:rFonts w:asciiTheme="minorHAnsi" w:hAnsiTheme="minorHAnsi"/>
        </w:rPr>
        <w:fldChar w:fldCharType="separate"/>
      </w:r>
      <w:r w:rsidR="00D44BCF">
        <w:rPr>
          <w:rFonts w:asciiTheme="minorHAnsi" w:hAnsiTheme="minorHAnsi"/>
        </w:rPr>
        <w:t>7.12.3</w:t>
      </w:r>
      <w:r w:rsidR="001A0A7B" w:rsidRPr="00DB63C8">
        <w:rPr>
          <w:rFonts w:asciiTheme="minorHAnsi" w:hAnsiTheme="minorHAnsi"/>
        </w:rPr>
        <w:fldChar w:fldCharType="end"/>
      </w:r>
      <w:r w:rsidR="001A0A7B" w:rsidRPr="00DB63C8">
        <w:rPr>
          <w:rFonts w:asciiTheme="minorHAnsi" w:hAnsiTheme="minorHAnsi"/>
        </w:rPr>
        <w:t xml:space="preserve"> </w:t>
      </w:r>
      <w:r w:rsidR="001A0A7B" w:rsidRPr="00DB63C8">
        <w:rPr>
          <w:rFonts w:asciiTheme="minorHAnsi" w:hAnsiTheme="minorHAnsi"/>
        </w:rPr>
        <w:fldChar w:fldCharType="begin"/>
      </w:r>
      <w:r w:rsidR="001A0A7B" w:rsidRPr="00DB63C8">
        <w:rPr>
          <w:rFonts w:asciiTheme="minorHAnsi" w:hAnsiTheme="minorHAnsi"/>
        </w:rPr>
        <w:instrText xml:space="preserve"> REF _Ref10976865 \h </w:instrText>
      </w:r>
      <w:r w:rsidR="005A69FA" w:rsidRPr="00DB63C8">
        <w:rPr>
          <w:rFonts w:asciiTheme="minorHAnsi" w:hAnsiTheme="minorHAnsi"/>
        </w:rPr>
        <w:instrText xml:space="preserve"> \* MERGEFORMAT </w:instrText>
      </w:r>
      <w:r w:rsidR="001A0A7B" w:rsidRPr="00DB63C8">
        <w:rPr>
          <w:rFonts w:asciiTheme="minorHAnsi" w:hAnsiTheme="minorHAnsi"/>
        </w:rPr>
      </w:r>
      <w:r w:rsidR="001A0A7B" w:rsidRPr="00DB63C8">
        <w:rPr>
          <w:rFonts w:asciiTheme="minorHAnsi" w:hAnsiTheme="minorHAnsi"/>
        </w:rPr>
        <w:fldChar w:fldCharType="separate"/>
      </w:r>
      <w:r w:rsidR="00D44BCF" w:rsidRPr="00D44BCF">
        <w:rPr>
          <w:rFonts w:asciiTheme="minorHAnsi" w:hAnsiTheme="minorHAnsi"/>
        </w:rPr>
        <w:t>Power to correct error in fixing NPP or making RRO: Crimes Act 1914, s 19AH</w:t>
      </w:r>
      <w:r w:rsidR="001A0A7B" w:rsidRPr="00DB63C8">
        <w:rPr>
          <w:rFonts w:asciiTheme="minorHAnsi" w:hAnsiTheme="minorHAnsi"/>
        </w:rPr>
        <w:fldChar w:fldCharType="end"/>
      </w:r>
      <w:r w:rsidRPr="00DB63C8">
        <w:rPr>
          <w:rFonts w:asciiTheme="minorHAnsi" w:hAnsiTheme="minorHAnsi"/>
        </w:rPr>
        <w:t>”</w:t>
      </w:r>
    </w:p>
    <w:p w14:paraId="709B8209" w14:textId="77777777" w:rsidR="00974896" w:rsidRPr="006E33A0" w:rsidRDefault="00974896" w:rsidP="00EB7F1E">
      <w:pPr>
        <w:spacing w:line="276" w:lineRule="auto"/>
        <w:rPr>
          <w:rFonts w:asciiTheme="minorHAnsi" w:hAnsiTheme="minorHAnsi"/>
          <w:highlight w:val="cyan"/>
        </w:rPr>
      </w:pPr>
    </w:p>
    <w:p w14:paraId="64A9D8D8" w14:textId="473080B8" w:rsidR="00974896" w:rsidRPr="00DB63C8" w:rsidRDefault="00974896" w:rsidP="00EB7F1E">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Wider powers to recall and correct errors in sentences under State and Territory laws may also be picked up and applied as surrogate federal law: see “</w:t>
      </w:r>
      <w:r w:rsidRPr="00DB63C8">
        <w:rPr>
          <w:rFonts w:asciiTheme="minorHAnsi" w:hAnsiTheme="minorHAnsi"/>
        </w:rPr>
        <w:fldChar w:fldCharType="begin"/>
      </w:r>
      <w:r w:rsidRPr="00DB63C8">
        <w:rPr>
          <w:rFonts w:asciiTheme="minorHAnsi" w:hAnsiTheme="minorHAnsi"/>
        </w:rPr>
        <w:instrText xml:space="preserve"> REF _Ref11045539 \r \h  \* MERGEFORMAT </w:instrText>
      </w:r>
      <w:r w:rsidRPr="00DB63C8">
        <w:rPr>
          <w:rFonts w:asciiTheme="minorHAnsi" w:hAnsiTheme="minorHAnsi"/>
        </w:rPr>
      </w:r>
      <w:r w:rsidRPr="00DB63C8">
        <w:rPr>
          <w:rFonts w:asciiTheme="minorHAnsi" w:hAnsiTheme="minorHAnsi"/>
        </w:rPr>
        <w:fldChar w:fldCharType="separate"/>
      </w:r>
      <w:r w:rsidR="00D44BCF">
        <w:rPr>
          <w:rFonts w:asciiTheme="minorHAnsi" w:hAnsiTheme="minorHAnsi"/>
        </w:rPr>
        <w:t>7.12.4</w:t>
      </w:r>
      <w:r w:rsidRPr="00DB63C8">
        <w:rPr>
          <w:rFonts w:asciiTheme="minorHAnsi" w:hAnsiTheme="minorHAnsi"/>
        </w:rPr>
        <w:fldChar w:fldCharType="end"/>
      </w:r>
      <w:r w:rsidRPr="00DB63C8">
        <w:rPr>
          <w:rFonts w:asciiTheme="minorHAnsi" w:hAnsiTheme="minorHAnsi"/>
        </w:rPr>
        <w:t xml:space="preserve"> </w:t>
      </w:r>
      <w:r w:rsidRPr="00DB63C8">
        <w:rPr>
          <w:rFonts w:asciiTheme="minorHAnsi" w:hAnsiTheme="minorHAnsi"/>
        </w:rPr>
        <w:fldChar w:fldCharType="begin"/>
      </w:r>
      <w:r w:rsidRPr="00DB63C8">
        <w:rPr>
          <w:rFonts w:asciiTheme="minorHAnsi" w:hAnsiTheme="minorHAnsi"/>
        </w:rPr>
        <w:instrText xml:space="preserve"> REF _Ref11045542 \h  \* MERGEFORMAT </w:instrText>
      </w:r>
      <w:r w:rsidRPr="00DB63C8">
        <w:rPr>
          <w:rFonts w:asciiTheme="minorHAnsi" w:hAnsiTheme="minorHAnsi"/>
        </w:rPr>
      </w:r>
      <w:r w:rsidRPr="00DB63C8">
        <w:rPr>
          <w:rFonts w:asciiTheme="minorHAnsi" w:hAnsiTheme="minorHAnsi"/>
        </w:rPr>
        <w:fldChar w:fldCharType="separate"/>
      </w:r>
      <w:r w:rsidR="00D44BCF" w:rsidRPr="00D44BCF">
        <w:rPr>
          <w:rFonts w:asciiTheme="minorHAnsi" w:hAnsiTheme="minorHAnsi"/>
        </w:rPr>
        <w:t>Statutory powers to correct or recall a sentence under State or Territory law</w:t>
      </w:r>
      <w:r w:rsidRPr="00DB63C8">
        <w:rPr>
          <w:rFonts w:asciiTheme="minorHAnsi" w:hAnsiTheme="minorHAnsi"/>
        </w:rPr>
        <w:fldChar w:fldCharType="end"/>
      </w:r>
      <w:r w:rsidRPr="00DB63C8">
        <w:rPr>
          <w:rFonts w:asciiTheme="minorHAnsi" w:hAnsiTheme="minorHAnsi"/>
        </w:rPr>
        <w:t>”.</w:t>
      </w:r>
    </w:p>
    <w:p w14:paraId="18BAB4A2" w14:textId="04DBFCD9" w:rsidR="009A21C0" w:rsidRPr="00DB63C8" w:rsidRDefault="009A21C0" w:rsidP="009A21C0">
      <w:pPr>
        <w:spacing w:line="276" w:lineRule="auto"/>
        <w:rPr>
          <w:rFonts w:asciiTheme="minorHAnsi" w:hAnsiTheme="minorHAnsi"/>
        </w:rPr>
      </w:pPr>
    </w:p>
    <w:p w14:paraId="4AE5BC6F" w14:textId="37D95DDB" w:rsidR="0036169A" w:rsidRPr="00DB63C8" w:rsidRDefault="0036169A" w:rsidP="0036169A">
      <w:pPr>
        <w:pStyle w:val="Heading3"/>
      </w:pPr>
      <w:bookmarkStart w:id="3079" w:name="_Ref10987717"/>
      <w:bookmarkStart w:id="3080" w:name="_Toc33602969"/>
      <w:r w:rsidRPr="00DB63C8">
        <w:t>Power to correct error in sentence of imprisonment: Crimes Act 1914, s 19AHA</w:t>
      </w:r>
      <w:bookmarkEnd w:id="3079"/>
      <w:bookmarkEnd w:id="3080"/>
    </w:p>
    <w:p w14:paraId="6A7AC6F6" w14:textId="77777777" w:rsidR="0036169A" w:rsidRPr="00DB63C8" w:rsidRDefault="0036169A" w:rsidP="0036169A">
      <w:pPr>
        <w:keepNext/>
        <w:widowControl w:val="0"/>
        <w:spacing w:line="276" w:lineRule="auto"/>
        <w:ind w:right="170"/>
        <w:rPr>
          <w:rFonts w:asciiTheme="minorHAnsi" w:hAnsiTheme="minorHAnsi"/>
        </w:rPr>
      </w:pPr>
    </w:p>
    <w:bookmarkEnd w:id="3078"/>
    <w:p w14:paraId="1767132D" w14:textId="1E65CFAA" w:rsidR="00FC76D4" w:rsidRPr="00DB63C8" w:rsidRDefault="00483EF2" w:rsidP="00AF78C2">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Section 19AHA </w:t>
      </w:r>
      <w:r w:rsidR="00EE071D" w:rsidRPr="00DB63C8">
        <w:rPr>
          <w:rFonts w:asciiTheme="minorHAnsi" w:hAnsiTheme="minorHAnsi"/>
        </w:rPr>
        <w:t xml:space="preserve">of the Act </w:t>
      </w:r>
      <w:r w:rsidRPr="00DB63C8">
        <w:rPr>
          <w:rFonts w:asciiTheme="minorHAnsi" w:hAnsiTheme="minorHAnsi"/>
        </w:rPr>
        <w:t>(which was inserted with effect from 27 November 2015)</w:t>
      </w:r>
      <w:r w:rsidR="00EE071D" w:rsidRPr="00DB63C8">
        <w:rPr>
          <w:rFonts w:asciiTheme="minorHAnsi" w:hAnsiTheme="minorHAnsi"/>
        </w:rPr>
        <w:t xml:space="preserve"> applies if “a sentencing order” made by a court under Part 1B of the Act in relation to a person </w:t>
      </w:r>
      <w:r w:rsidR="00683D04" w:rsidRPr="00DB63C8">
        <w:rPr>
          <w:rFonts w:asciiTheme="minorHAnsi" w:hAnsiTheme="minorHAnsi"/>
        </w:rPr>
        <w:t>“</w:t>
      </w:r>
      <w:r w:rsidR="00EE071D" w:rsidRPr="00DB63C8">
        <w:rPr>
          <w:rFonts w:asciiTheme="minorHAnsi" w:hAnsiTheme="minorHAnsi"/>
          <w:i/>
          <w:iCs/>
        </w:rPr>
        <w:t xml:space="preserve">reflects an error of a technical nature made by the court </w:t>
      </w:r>
      <w:r w:rsidR="00683D04" w:rsidRPr="00DB63C8">
        <w:rPr>
          <w:rFonts w:asciiTheme="minorHAnsi" w:hAnsiTheme="minorHAnsi"/>
          <w:i/>
          <w:iCs/>
        </w:rPr>
        <w:t xml:space="preserve">… </w:t>
      </w:r>
      <w:r w:rsidR="00EE071D" w:rsidRPr="00DB63C8">
        <w:rPr>
          <w:rFonts w:asciiTheme="minorHAnsi" w:hAnsiTheme="minorHAnsi"/>
          <w:i/>
          <w:iCs/>
        </w:rPr>
        <w:t xml:space="preserve">or </w:t>
      </w:r>
      <w:r w:rsidR="00683D04" w:rsidRPr="00DB63C8">
        <w:rPr>
          <w:rFonts w:asciiTheme="minorHAnsi" w:hAnsiTheme="minorHAnsi"/>
          <w:i/>
          <w:iCs/>
        </w:rPr>
        <w:t xml:space="preserve">… </w:t>
      </w:r>
      <w:r w:rsidR="00EE071D" w:rsidRPr="00DB63C8">
        <w:rPr>
          <w:rFonts w:asciiTheme="minorHAnsi" w:hAnsiTheme="minorHAnsi"/>
          <w:i/>
          <w:iCs/>
        </w:rPr>
        <w:t xml:space="preserve">has a defect of form </w:t>
      </w:r>
      <w:r w:rsidR="00683D04" w:rsidRPr="00DB63C8">
        <w:rPr>
          <w:rFonts w:asciiTheme="minorHAnsi" w:hAnsiTheme="minorHAnsi"/>
          <w:i/>
          <w:iCs/>
        </w:rPr>
        <w:t xml:space="preserve">… </w:t>
      </w:r>
      <w:r w:rsidR="00EE071D" w:rsidRPr="00DB63C8">
        <w:rPr>
          <w:rFonts w:asciiTheme="minorHAnsi" w:hAnsiTheme="minorHAnsi"/>
          <w:i/>
          <w:iCs/>
        </w:rPr>
        <w:t xml:space="preserve">or </w:t>
      </w:r>
      <w:r w:rsidR="00683D04" w:rsidRPr="00DB63C8">
        <w:rPr>
          <w:rFonts w:asciiTheme="minorHAnsi" w:hAnsiTheme="minorHAnsi"/>
          <w:i/>
          <w:iCs/>
        </w:rPr>
        <w:t xml:space="preserve">… </w:t>
      </w:r>
      <w:r w:rsidR="00EE071D" w:rsidRPr="00DB63C8">
        <w:rPr>
          <w:rFonts w:asciiTheme="minorHAnsi" w:hAnsiTheme="minorHAnsi"/>
          <w:i/>
          <w:iCs/>
        </w:rPr>
        <w:t>contains an ambiguity</w:t>
      </w:r>
      <w:r w:rsidR="00683D04" w:rsidRPr="00DB63C8">
        <w:rPr>
          <w:rFonts w:asciiTheme="minorHAnsi" w:hAnsiTheme="minorHAnsi"/>
        </w:rPr>
        <w:t>”</w:t>
      </w:r>
      <w:r w:rsidR="00EE071D" w:rsidRPr="00DB63C8">
        <w:rPr>
          <w:rFonts w:asciiTheme="minorHAnsi" w:hAnsiTheme="minorHAnsi"/>
        </w:rPr>
        <w:t xml:space="preserve"> (s 19AHA(1)).   </w:t>
      </w:r>
      <w:r w:rsidR="00797566" w:rsidRPr="00DB63C8">
        <w:rPr>
          <w:rFonts w:asciiTheme="minorHAnsi" w:hAnsiTheme="minorHAnsi"/>
        </w:rPr>
        <w:t>“</w:t>
      </w:r>
      <w:r w:rsidR="00EE071D" w:rsidRPr="00DB63C8">
        <w:rPr>
          <w:rFonts w:asciiTheme="minorHAnsi" w:hAnsiTheme="minorHAnsi"/>
        </w:rPr>
        <w:t>Sentencing order</w:t>
      </w:r>
      <w:r w:rsidR="00797566" w:rsidRPr="00DB63C8">
        <w:rPr>
          <w:rFonts w:asciiTheme="minorHAnsi" w:hAnsiTheme="minorHAnsi"/>
        </w:rPr>
        <w:t>”</w:t>
      </w:r>
      <w:r w:rsidR="00EE071D" w:rsidRPr="00DB63C8">
        <w:rPr>
          <w:rFonts w:asciiTheme="minorHAnsi" w:hAnsiTheme="minorHAnsi"/>
        </w:rPr>
        <w:t xml:space="preserve"> is defined to mean an order imposing, or purporting to impose, a sentence (that is, a sentence of imprisonment: see the definition of “sentence” in s 16(1))</w:t>
      </w:r>
      <w:r w:rsidR="00D01525" w:rsidRPr="00DB63C8">
        <w:rPr>
          <w:rFonts w:asciiTheme="minorHAnsi" w:hAnsiTheme="minorHAnsi"/>
        </w:rPr>
        <w:t>, an order fixing a NPP or a RRO (s 19AHA (3)).</w:t>
      </w:r>
    </w:p>
    <w:p w14:paraId="15EA76C6" w14:textId="77777777" w:rsidR="00EE071D" w:rsidRPr="00DB63C8" w:rsidRDefault="00EE071D" w:rsidP="00EB7F1E">
      <w:pPr>
        <w:pStyle w:val="ListParagraph"/>
        <w:rPr>
          <w:rFonts w:asciiTheme="minorHAnsi" w:hAnsiTheme="minorHAnsi"/>
        </w:rPr>
      </w:pPr>
    </w:p>
    <w:p w14:paraId="39C50257" w14:textId="695521F5" w:rsidR="00EE071D" w:rsidRPr="00DB63C8" w:rsidRDefault="009F71BC">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Such an error does not not affect the validity of any sentence imposed on the person (s 19AHA(2)).</w:t>
      </w:r>
    </w:p>
    <w:p w14:paraId="55037AF8" w14:textId="77777777" w:rsidR="005D444B" w:rsidRPr="00DB63C8" w:rsidRDefault="005D444B" w:rsidP="00EB7F1E">
      <w:pPr>
        <w:pStyle w:val="ListParagraph"/>
        <w:rPr>
          <w:rFonts w:asciiTheme="minorHAnsi" w:hAnsiTheme="minorHAnsi"/>
        </w:rPr>
      </w:pPr>
    </w:p>
    <w:p w14:paraId="15D441A5" w14:textId="577F4D13" w:rsidR="005D444B" w:rsidRPr="00DB63C8" w:rsidRDefault="005D444B">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The section empowers the court, on its own initiative, at any time, by order, to amend the sentencing order to rectify the error, defect or ambiguity (s 19AHA(3)).</w:t>
      </w:r>
    </w:p>
    <w:p w14:paraId="6E53F191" w14:textId="77777777" w:rsidR="009F71BC" w:rsidRPr="00DB63C8" w:rsidRDefault="009F71BC" w:rsidP="00EB7F1E">
      <w:pPr>
        <w:pStyle w:val="ListParagraph"/>
        <w:rPr>
          <w:rFonts w:asciiTheme="minorHAnsi" w:hAnsiTheme="minorHAnsi"/>
        </w:rPr>
      </w:pPr>
    </w:p>
    <w:p w14:paraId="59AE2013" w14:textId="17127228" w:rsidR="005D444B" w:rsidRPr="00DB63C8" w:rsidRDefault="009F71BC">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Section 19AHA also provides for an application by the Attorney-General, the </w:t>
      </w:r>
      <w:r w:rsidR="00797566" w:rsidRPr="00DB63C8">
        <w:rPr>
          <w:rFonts w:asciiTheme="minorHAnsi" w:hAnsiTheme="minorHAnsi"/>
        </w:rPr>
        <w:t>CDPP</w:t>
      </w:r>
      <w:r w:rsidRPr="00DB63C8">
        <w:rPr>
          <w:rFonts w:asciiTheme="minorHAnsi" w:hAnsiTheme="minorHAnsi"/>
        </w:rPr>
        <w:t xml:space="preserve"> or the </w:t>
      </w:r>
      <w:r w:rsidR="00797566" w:rsidRPr="00DB63C8">
        <w:rPr>
          <w:rFonts w:asciiTheme="minorHAnsi" w:hAnsiTheme="minorHAnsi"/>
        </w:rPr>
        <w:t>offender</w:t>
      </w:r>
      <w:r w:rsidRPr="00DB63C8">
        <w:rPr>
          <w:rFonts w:asciiTheme="minorHAnsi" w:hAnsiTheme="minorHAnsi"/>
        </w:rPr>
        <w:t xml:space="preserve"> to the court to correct the error (s 19AHA(4)).  Such an application may be made at any time.  On such an application, the court must, by order, </w:t>
      </w:r>
      <w:r w:rsidR="005D444B" w:rsidRPr="00DB63C8">
        <w:rPr>
          <w:rFonts w:asciiTheme="minorHAnsi" w:hAnsiTheme="minorHAnsi"/>
        </w:rPr>
        <w:t>amend the sentencing order to</w:t>
      </w:r>
      <w:r w:rsidR="00CA55B3" w:rsidRPr="00DB63C8">
        <w:rPr>
          <w:rFonts w:asciiTheme="minorHAnsi" w:hAnsiTheme="minorHAnsi"/>
        </w:rPr>
        <w:t xml:space="preserve"> </w:t>
      </w:r>
      <w:r w:rsidR="005D444B" w:rsidRPr="00DB63C8">
        <w:rPr>
          <w:rFonts w:asciiTheme="minorHAnsi" w:hAnsiTheme="minorHAnsi"/>
        </w:rPr>
        <w:t>rectify the error, defect or ambiguity</w:t>
      </w:r>
      <w:r w:rsidRPr="00DB63C8">
        <w:rPr>
          <w:rFonts w:asciiTheme="minorHAnsi" w:hAnsiTheme="minorHAnsi"/>
        </w:rPr>
        <w:t xml:space="preserve"> (s 19AH</w:t>
      </w:r>
      <w:r w:rsidR="005D444B" w:rsidRPr="00DB63C8">
        <w:rPr>
          <w:rFonts w:asciiTheme="minorHAnsi" w:hAnsiTheme="minorHAnsi"/>
        </w:rPr>
        <w:t>A</w:t>
      </w:r>
      <w:r w:rsidRPr="00DB63C8">
        <w:rPr>
          <w:rFonts w:asciiTheme="minorHAnsi" w:hAnsiTheme="minorHAnsi"/>
        </w:rPr>
        <w:t>(</w:t>
      </w:r>
      <w:r w:rsidR="005D444B" w:rsidRPr="00DB63C8">
        <w:rPr>
          <w:rFonts w:asciiTheme="minorHAnsi" w:hAnsiTheme="minorHAnsi"/>
        </w:rPr>
        <w:t>4</w:t>
      </w:r>
      <w:r w:rsidRPr="00DB63C8">
        <w:rPr>
          <w:rFonts w:asciiTheme="minorHAnsi" w:hAnsiTheme="minorHAnsi"/>
        </w:rPr>
        <w:t>)).</w:t>
      </w:r>
      <w:r w:rsidR="005D444B" w:rsidRPr="00DB63C8">
        <w:rPr>
          <w:rFonts w:asciiTheme="minorHAnsi" w:hAnsiTheme="minorHAnsi"/>
        </w:rPr>
        <w:t xml:space="preserve"> </w:t>
      </w:r>
    </w:p>
    <w:p w14:paraId="01E4A963" w14:textId="77777777" w:rsidR="005D444B" w:rsidRPr="00DB63C8" w:rsidRDefault="005D444B" w:rsidP="00EB7F1E">
      <w:pPr>
        <w:pStyle w:val="ListParagraph"/>
        <w:rPr>
          <w:rFonts w:asciiTheme="minorHAnsi" w:hAnsiTheme="minorHAnsi"/>
        </w:rPr>
      </w:pPr>
    </w:p>
    <w:p w14:paraId="034C174D" w14:textId="506A032D" w:rsidR="009F71BC" w:rsidRPr="00DB63C8" w:rsidRDefault="005D444B">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The court which hears the application may be differently constituted (s 19AHA(5)).  </w:t>
      </w:r>
    </w:p>
    <w:p w14:paraId="758E181C" w14:textId="77777777" w:rsidR="005D444B" w:rsidRPr="00DB63C8" w:rsidRDefault="005D444B" w:rsidP="00EB7F1E">
      <w:pPr>
        <w:pStyle w:val="ListParagraph"/>
        <w:rPr>
          <w:rFonts w:asciiTheme="minorHAnsi" w:hAnsiTheme="minorHAnsi"/>
        </w:rPr>
      </w:pPr>
    </w:p>
    <w:p w14:paraId="0E08C72B" w14:textId="03B6A104" w:rsidR="005D444B" w:rsidRPr="00DB63C8" w:rsidRDefault="005D444B" w:rsidP="00EB7F1E">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An amendment made under s 19AHA is taken to have had effect from the date of effect of the sentencing order unless the court orders otherwise (s 19AHA(7)).</w:t>
      </w:r>
      <w:r w:rsidR="00CF12B7" w:rsidRPr="00DB63C8">
        <w:rPr>
          <w:rFonts w:asciiTheme="minorHAnsi" w:hAnsiTheme="minorHAnsi"/>
        </w:rPr>
        <w:t xml:space="preserve">  An amendment does not affect any right of appeal against a sentence (s 19AHA(6).</w:t>
      </w:r>
    </w:p>
    <w:p w14:paraId="75CDFC12" w14:textId="242D7203" w:rsidR="009F71BC" w:rsidRPr="00DB63C8" w:rsidRDefault="009F71BC" w:rsidP="00CA4BA1">
      <w:pPr>
        <w:spacing w:line="276" w:lineRule="auto"/>
        <w:ind w:right="28"/>
        <w:rPr>
          <w:rFonts w:asciiTheme="minorHAnsi" w:hAnsiTheme="minorHAnsi"/>
        </w:rPr>
      </w:pPr>
    </w:p>
    <w:p w14:paraId="52979F9F" w14:textId="1782E307" w:rsidR="00987AD7" w:rsidRPr="00DB63C8" w:rsidRDefault="0094172C">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A provision such as </w:t>
      </w:r>
      <w:r w:rsidR="00DA6662" w:rsidRPr="00DB63C8">
        <w:rPr>
          <w:rFonts w:asciiTheme="minorHAnsi" w:hAnsiTheme="minorHAnsi"/>
        </w:rPr>
        <w:t xml:space="preserve">s 19AHA </w:t>
      </w:r>
      <w:r w:rsidRPr="00DB63C8">
        <w:rPr>
          <w:rFonts w:asciiTheme="minorHAnsi" w:hAnsiTheme="minorHAnsi"/>
        </w:rPr>
        <w:t xml:space="preserve">should not be unduly circumscribed by restrictive interpretation, but does not permit the re-opening of the sentencing discretion or the making of changes arising from </w:t>
      </w:r>
      <w:r w:rsidR="008933E0" w:rsidRPr="00DB63C8">
        <w:rPr>
          <w:rFonts w:asciiTheme="minorHAnsi" w:hAnsiTheme="minorHAnsi"/>
        </w:rPr>
        <w:t>further consideration of the appropriateness of the sentence</w:t>
      </w:r>
      <w:r w:rsidR="00F8025C" w:rsidRPr="00DB63C8">
        <w:rPr>
          <w:rFonts w:asciiTheme="minorHAnsi" w:hAnsiTheme="minorHAnsi"/>
        </w:rPr>
        <w:t>.</w:t>
      </w:r>
      <w:r w:rsidR="00F8025C" w:rsidRPr="00DB63C8">
        <w:rPr>
          <w:rStyle w:val="Style"/>
          <w:rFonts w:asciiTheme="minorHAnsi" w:hAnsiTheme="minorHAnsi"/>
        </w:rPr>
        <w:footnoteReference w:id="1125"/>
      </w:r>
      <w:r w:rsidR="00987AD7" w:rsidRPr="00DB63C8">
        <w:rPr>
          <w:rFonts w:asciiTheme="minorHAnsi" w:hAnsiTheme="minorHAnsi"/>
        </w:rPr>
        <w:t xml:space="preserve">  It </w:t>
      </w:r>
      <w:r w:rsidR="003B01FF" w:rsidRPr="00DB63C8">
        <w:rPr>
          <w:rFonts w:asciiTheme="minorHAnsi" w:hAnsiTheme="minorHAnsi"/>
        </w:rPr>
        <w:t xml:space="preserve">does </w:t>
      </w:r>
      <w:r w:rsidR="00987AD7" w:rsidRPr="00DB63C8">
        <w:rPr>
          <w:rFonts w:asciiTheme="minorHAnsi" w:hAnsiTheme="minorHAnsi"/>
        </w:rPr>
        <w:t xml:space="preserve">not, for example, permit the substitution of </w:t>
      </w:r>
      <w:r w:rsidR="003B01FF" w:rsidRPr="00DB63C8">
        <w:rPr>
          <w:rFonts w:asciiTheme="minorHAnsi" w:hAnsiTheme="minorHAnsi"/>
        </w:rPr>
        <w:t>one sentence type for another because the original sentence was not author</w:t>
      </w:r>
      <w:r w:rsidR="00B86888" w:rsidRPr="00DB63C8">
        <w:rPr>
          <w:rFonts w:asciiTheme="minorHAnsi" w:hAnsiTheme="minorHAnsi"/>
        </w:rPr>
        <w:t>ised</w:t>
      </w:r>
      <w:r w:rsidR="003B01FF" w:rsidRPr="00DB63C8">
        <w:rPr>
          <w:rFonts w:asciiTheme="minorHAnsi" w:hAnsiTheme="minorHAnsi"/>
        </w:rPr>
        <w:t xml:space="preserve"> by law</w:t>
      </w:r>
      <w:r w:rsidR="005F4F3D" w:rsidRPr="00DB63C8">
        <w:rPr>
          <w:rFonts w:asciiTheme="minorHAnsi" w:hAnsiTheme="minorHAnsi"/>
        </w:rPr>
        <w:t xml:space="preserve"> for the particular offence</w:t>
      </w:r>
      <w:r w:rsidR="003B01FF" w:rsidRPr="00DB63C8">
        <w:rPr>
          <w:rFonts w:asciiTheme="minorHAnsi" w:hAnsiTheme="minorHAnsi"/>
        </w:rPr>
        <w:t>.</w:t>
      </w:r>
      <w:r w:rsidR="003B01FF" w:rsidRPr="00DB63C8">
        <w:rPr>
          <w:rStyle w:val="Style"/>
          <w:rFonts w:asciiTheme="minorHAnsi" w:hAnsiTheme="minorHAnsi"/>
        </w:rPr>
        <w:footnoteReference w:id="1126"/>
      </w:r>
    </w:p>
    <w:p w14:paraId="12F6FBCB" w14:textId="77777777" w:rsidR="00987AD7" w:rsidRPr="00DB63C8" w:rsidRDefault="00987AD7" w:rsidP="00EB7F1E">
      <w:pPr>
        <w:pStyle w:val="ListParagraph"/>
        <w:rPr>
          <w:rFonts w:asciiTheme="minorHAnsi" w:hAnsiTheme="minorHAnsi"/>
        </w:rPr>
      </w:pPr>
    </w:p>
    <w:p w14:paraId="7E7B9AC1" w14:textId="788C5A32" w:rsidR="00DA6662" w:rsidRPr="00DB63C8" w:rsidRDefault="00EA6688">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The legislation was plainly intended to allow the correction of an arithmetical error.</w:t>
      </w:r>
      <w:r w:rsidRPr="00DB63C8">
        <w:rPr>
          <w:rStyle w:val="Style"/>
          <w:rFonts w:asciiTheme="minorHAnsi" w:hAnsiTheme="minorHAnsi"/>
        </w:rPr>
        <w:footnoteReference w:id="1127"/>
      </w:r>
      <w:r w:rsidRPr="00DB63C8">
        <w:rPr>
          <w:rFonts w:asciiTheme="minorHAnsi" w:hAnsiTheme="minorHAnsi"/>
        </w:rPr>
        <w:t xml:space="preserve">  </w:t>
      </w:r>
      <w:r w:rsidR="00974896" w:rsidRPr="00DB63C8">
        <w:rPr>
          <w:rFonts w:asciiTheme="minorHAnsi" w:hAnsiTheme="minorHAnsi"/>
        </w:rPr>
        <w:t>For example, a</w:t>
      </w:r>
      <w:r w:rsidRPr="00DB63C8">
        <w:rPr>
          <w:rFonts w:asciiTheme="minorHAnsi" w:hAnsiTheme="minorHAnsi"/>
        </w:rPr>
        <w:t xml:space="preserve"> </w:t>
      </w:r>
      <w:r w:rsidR="00683D04" w:rsidRPr="00DB63C8">
        <w:rPr>
          <w:rFonts w:asciiTheme="minorHAnsi" w:hAnsiTheme="minorHAnsi"/>
        </w:rPr>
        <w:t xml:space="preserve">sentencing order which is based upon a miscalculation of a period of pre-sentence custody </w:t>
      </w:r>
      <w:r w:rsidRPr="00DB63C8">
        <w:rPr>
          <w:rFonts w:asciiTheme="minorHAnsi" w:hAnsiTheme="minorHAnsi"/>
        </w:rPr>
        <w:t>might</w:t>
      </w:r>
      <w:r w:rsidR="00432F64" w:rsidRPr="00DB63C8">
        <w:rPr>
          <w:rFonts w:asciiTheme="minorHAnsi" w:hAnsiTheme="minorHAnsi"/>
        </w:rPr>
        <w:t xml:space="preserve"> </w:t>
      </w:r>
      <w:r w:rsidR="00683D04" w:rsidRPr="00DB63C8">
        <w:rPr>
          <w:rFonts w:asciiTheme="minorHAnsi" w:hAnsiTheme="minorHAnsi"/>
        </w:rPr>
        <w:t>be said to reflect</w:t>
      </w:r>
      <w:r w:rsidR="00683D04" w:rsidRPr="00DB63C8">
        <w:rPr>
          <w:rFonts w:asciiTheme="minorHAnsi" w:hAnsiTheme="minorHAnsi"/>
          <w:i/>
          <w:iCs/>
        </w:rPr>
        <w:t xml:space="preserve"> “an error of a technical nature made by the court</w:t>
      </w:r>
      <w:r w:rsidR="00683D04" w:rsidRPr="00DB63C8">
        <w:rPr>
          <w:rFonts w:asciiTheme="minorHAnsi" w:hAnsiTheme="minorHAnsi"/>
        </w:rPr>
        <w:t xml:space="preserve">” </w:t>
      </w:r>
      <w:r w:rsidR="00CE2431" w:rsidRPr="00DB63C8">
        <w:rPr>
          <w:rFonts w:asciiTheme="minorHAnsi" w:hAnsiTheme="minorHAnsi"/>
        </w:rPr>
        <w:t>within s 19AHA(1)</w:t>
      </w:r>
      <w:r w:rsidRPr="00DB63C8">
        <w:rPr>
          <w:rFonts w:asciiTheme="minorHAnsi" w:hAnsiTheme="minorHAnsi"/>
        </w:rPr>
        <w:t>.</w:t>
      </w:r>
      <w:r w:rsidR="00CE2431" w:rsidRPr="00DB63C8">
        <w:rPr>
          <w:rStyle w:val="Style"/>
          <w:rFonts w:asciiTheme="minorHAnsi" w:hAnsiTheme="minorHAnsi"/>
        </w:rPr>
        <w:footnoteReference w:id="1128"/>
      </w:r>
    </w:p>
    <w:p w14:paraId="03FFB0B2" w14:textId="1DC892E9" w:rsidR="00281F0C" w:rsidRPr="00DB63C8" w:rsidRDefault="00281F0C" w:rsidP="00281F0C">
      <w:pPr>
        <w:pStyle w:val="ListParagraph"/>
        <w:rPr>
          <w:rFonts w:asciiTheme="minorHAnsi" w:hAnsiTheme="minorHAnsi"/>
        </w:rPr>
      </w:pPr>
    </w:p>
    <w:p w14:paraId="32EAF301" w14:textId="019C07CE" w:rsidR="00A114D4" w:rsidRPr="00DB63C8" w:rsidRDefault="00A114D4" w:rsidP="00A114D4">
      <w:pPr>
        <w:pStyle w:val="Heading3"/>
      </w:pPr>
      <w:bookmarkStart w:id="3081" w:name="_Ref10976865"/>
      <w:bookmarkStart w:id="3082" w:name="_Toc33602970"/>
      <w:r w:rsidRPr="00DB63C8">
        <w:t>Power to correct error in fixing NPP or making RRO: Crimes Act 1914, s 19AH</w:t>
      </w:r>
      <w:bookmarkEnd w:id="3081"/>
      <w:bookmarkEnd w:id="3082"/>
    </w:p>
    <w:p w14:paraId="763FB21B" w14:textId="77777777" w:rsidR="00A114D4" w:rsidRPr="00DB63C8" w:rsidRDefault="00A114D4" w:rsidP="00EB7F1E">
      <w:pPr>
        <w:keepNext/>
        <w:widowControl w:val="0"/>
        <w:spacing w:line="276" w:lineRule="auto"/>
        <w:ind w:right="170"/>
        <w:rPr>
          <w:rFonts w:asciiTheme="minorHAnsi" w:hAnsiTheme="minorHAnsi"/>
        </w:rPr>
      </w:pPr>
    </w:p>
    <w:p w14:paraId="0E4A2AAF" w14:textId="78AA4EDD" w:rsidR="00A114D4" w:rsidRPr="00DB63C8" w:rsidRDefault="00A114D4" w:rsidP="00A114D4">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Section 19AH(1)(a) of the </w:t>
      </w:r>
      <w:r w:rsidRPr="00DB63C8">
        <w:rPr>
          <w:rFonts w:asciiTheme="minorHAnsi" w:hAnsiTheme="minorHAnsi"/>
          <w:i/>
        </w:rPr>
        <w:t>Crimes Act 1914</w:t>
      </w:r>
      <w:r w:rsidRPr="00DB63C8">
        <w:rPr>
          <w:rFonts w:asciiTheme="minorHAnsi" w:hAnsiTheme="minorHAnsi"/>
        </w:rPr>
        <w:t xml:space="preserve"> (Cth) </w:t>
      </w:r>
      <w:r w:rsidR="00C1381A" w:rsidRPr="00DB63C8">
        <w:rPr>
          <w:rFonts w:asciiTheme="minorHAnsi" w:hAnsiTheme="minorHAnsi"/>
        </w:rPr>
        <w:t xml:space="preserve">(which was inserted with effect from 17 January 1990) </w:t>
      </w:r>
      <w:r w:rsidRPr="00DB63C8">
        <w:rPr>
          <w:rFonts w:asciiTheme="minorHAnsi" w:hAnsiTheme="minorHAnsi"/>
        </w:rPr>
        <w:t>provides that where a court fails to fix, or properly to fix, a NPP, or to make, or properly to make, a RRO, under the Act, that failure does not affect the validity of any sentence.</w:t>
      </w:r>
      <w:r w:rsidRPr="00DB63C8">
        <w:rPr>
          <w:rFonts w:ascii="Calibri" w:hAnsi="Calibri"/>
        </w:rPr>
        <w:t xml:space="preserve"> </w:t>
      </w:r>
    </w:p>
    <w:p w14:paraId="4E5422E9" w14:textId="77777777" w:rsidR="00A114D4" w:rsidRPr="00DB63C8" w:rsidRDefault="00A114D4" w:rsidP="00A114D4">
      <w:pPr>
        <w:pStyle w:val="BlockText"/>
        <w:tabs>
          <w:tab w:val="clear" w:pos="426"/>
          <w:tab w:val="clear" w:pos="993"/>
        </w:tabs>
        <w:spacing w:before="0" w:line="276" w:lineRule="auto"/>
        <w:ind w:right="0"/>
        <w:jc w:val="both"/>
        <w:rPr>
          <w:rFonts w:asciiTheme="minorHAnsi" w:hAnsiTheme="minorHAnsi"/>
        </w:rPr>
      </w:pPr>
    </w:p>
    <w:p w14:paraId="0CCC2C59" w14:textId="77777777" w:rsidR="00A114D4" w:rsidRPr="00DB63C8" w:rsidRDefault="00A114D4" w:rsidP="00A114D4">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The section also provides for an application by the Attorney-General or the CDPP to the court to have the order corrected (</w:t>
      </w:r>
      <w:r w:rsidRPr="00DB63C8">
        <w:rPr>
          <w:rFonts w:asciiTheme="minorHAnsi" w:hAnsiTheme="minorHAnsi"/>
          <w:i/>
        </w:rPr>
        <w:t>Crimes Act 1914</w:t>
      </w:r>
      <w:r w:rsidRPr="00DB63C8">
        <w:rPr>
          <w:rFonts w:asciiTheme="minorHAnsi" w:hAnsiTheme="minorHAnsi"/>
        </w:rPr>
        <w:t xml:space="preserve"> (Cth), s 19AH(1)(b)).  Such an application may be made at any time.  The court which hears the application may be differently constituted (s 19AH(3)).  On such an application, the court must, by order, set aside any NPP or RRO that was not properly fixed or made and fix a NPP or make a RRO under the Act (s 19AH(1)(b)).</w:t>
      </w:r>
    </w:p>
    <w:p w14:paraId="0FCE14CC" w14:textId="77777777" w:rsidR="00A114D4" w:rsidRPr="00DB63C8" w:rsidRDefault="00A114D4" w:rsidP="00A114D4">
      <w:pPr>
        <w:pStyle w:val="ListParagraph"/>
        <w:rPr>
          <w:rFonts w:asciiTheme="minorHAnsi" w:hAnsiTheme="minorHAnsi"/>
        </w:rPr>
      </w:pPr>
    </w:p>
    <w:p w14:paraId="70008E01" w14:textId="77777777" w:rsidR="00A114D4" w:rsidRPr="00DB63C8" w:rsidRDefault="00A114D4" w:rsidP="00A114D4">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The effect of s 19AH is to preserve from total invalidity a sentence affected by the failure to fix, or properly fix, a NPP or to make, or properly make, a RRO, so that when that failure is corrected the whole sentence is and remains valid.</w:t>
      </w:r>
      <w:r w:rsidRPr="00DB63C8">
        <w:rPr>
          <w:rStyle w:val="Style"/>
          <w:rFonts w:asciiTheme="minorHAnsi" w:hAnsiTheme="minorHAnsi"/>
        </w:rPr>
        <w:footnoteReference w:id="1129"/>
      </w:r>
    </w:p>
    <w:p w14:paraId="6054A988" w14:textId="77777777" w:rsidR="00A114D4" w:rsidRPr="00DB63C8" w:rsidRDefault="00A114D4" w:rsidP="00A114D4">
      <w:pPr>
        <w:pStyle w:val="ListParagraph"/>
        <w:rPr>
          <w:rFonts w:asciiTheme="minorHAnsi" w:hAnsiTheme="minorHAnsi"/>
        </w:rPr>
      </w:pPr>
    </w:p>
    <w:p w14:paraId="2AF8B946" w14:textId="7B58C969" w:rsidR="00A114D4" w:rsidRPr="00DB63C8" w:rsidRDefault="00A114D4" w:rsidP="00A114D4">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The power in s 19AH can be used to correct a failure to explain the conditions of a RRO (as required by s 16F(2) of the Act)</w:t>
      </w:r>
      <w:r w:rsidR="00432F64" w:rsidRPr="00DB63C8">
        <w:rPr>
          <w:rFonts w:asciiTheme="minorHAnsi" w:hAnsiTheme="minorHAnsi"/>
        </w:rPr>
        <w:t>,</w:t>
      </w:r>
      <w:r w:rsidRPr="00DB63C8">
        <w:rPr>
          <w:rStyle w:val="Style"/>
          <w:rFonts w:asciiTheme="minorHAnsi" w:hAnsiTheme="minorHAnsi"/>
        </w:rPr>
        <w:footnoteReference w:id="1130"/>
      </w:r>
      <w:r w:rsidRPr="00DB63C8">
        <w:rPr>
          <w:rFonts w:asciiTheme="minorHAnsi" w:hAnsiTheme="minorHAnsi"/>
        </w:rPr>
        <w:t xml:space="preserve"> </w:t>
      </w:r>
      <w:r w:rsidR="00432F64" w:rsidRPr="00DB63C8">
        <w:rPr>
          <w:rFonts w:asciiTheme="minorHAnsi" w:hAnsiTheme="minorHAnsi"/>
        </w:rPr>
        <w:t>the use of the wrong form for a RRO</w:t>
      </w:r>
      <w:r w:rsidR="00621B8B" w:rsidRPr="00DB63C8">
        <w:rPr>
          <w:rFonts w:asciiTheme="minorHAnsi" w:hAnsiTheme="minorHAnsi"/>
        </w:rPr>
        <w:t>,</w:t>
      </w:r>
      <w:r w:rsidR="00621B8B" w:rsidRPr="00DB63C8">
        <w:rPr>
          <w:rStyle w:val="Style"/>
          <w:rFonts w:asciiTheme="minorHAnsi" w:hAnsiTheme="minorHAnsi"/>
        </w:rPr>
        <w:footnoteReference w:id="1131"/>
      </w:r>
      <w:r w:rsidR="00621B8B" w:rsidRPr="00DB63C8">
        <w:rPr>
          <w:rFonts w:asciiTheme="minorHAnsi" w:hAnsiTheme="minorHAnsi"/>
        </w:rPr>
        <w:t xml:space="preserve"> </w:t>
      </w:r>
      <w:r w:rsidRPr="00DB63C8">
        <w:rPr>
          <w:rFonts w:asciiTheme="minorHAnsi" w:hAnsiTheme="minorHAnsi"/>
        </w:rPr>
        <w:t>or the imposition of a NPP when a RRO was required</w:t>
      </w:r>
      <w:r w:rsidRPr="00DB63C8">
        <w:rPr>
          <w:rStyle w:val="Style"/>
          <w:rFonts w:asciiTheme="minorHAnsi" w:hAnsiTheme="minorHAnsi"/>
        </w:rPr>
        <w:footnoteReference w:id="1132"/>
      </w:r>
      <w:r w:rsidRPr="00DB63C8">
        <w:rPr>
          <w:rFonts w:asciiTheme="minorHAnsi" w:hAnsiTheme="minorHAnsi"/>
        </w:rPr>
        <w:t xml:space="preserve"> or vice versa.</w:t>
      </w:r>
      <w:r w:rsidRPr="00DB63C8">
        <w:rPr>
          <w:rStyle w:val="Style"/>
          <w:rFonts w:asciiTheme="minorHAnsi" w:hAnsiTheme="minorHAnsi"/>
        </w:rPr>
        <w:footnoteReference w:id="1133"/>
      </w:r>
    </w:p>
    <w:p w14:paraId="43A88DEA" w14:textId="77777777" w:rsidR="00A114D4" w:rsidRPr="00DB63C8" w:rsidRDefault="00A114D4" w:rsidP="00CA4BA1">
      <w:pPr>
        <w:spacing w:line="276" w:lineRule="auto"/>
        <w:ind w:right="28"/>
        <w:rPr>
          <w:rFonts w:asciiTheme="minorHAnsi" w:hAnsiTheme="minorHAnsi"/>
        </w:rPr>
      </w:pPr>
    </w:p>
    <w:p w14:paraId="31C63177" w14:textId="79FE9F92" w:rsidR="00FC76D4" w:rsidRPr="00DB63C8" w:rsidRDefault="00D748F5" w:rsidP="00D748F5">
      <w:pPr>
        <w:pStyle w:val="Heading3"/>
      </w:pPr>
      <w:bookmarkStart w:id="3083" w:name="_Ref11045539"/>
      <w:bookmarkStart w:id="3084" w:name="_Ref11045542"/>
      <w:bookmarkStart w:id="3085" w:name="_Toc33602971"/>
      <w:r w:rsidRPr="00DB63C8">
        <w:t>Statutory powers to correct or recall a sentence under State or Territory law</w:t>
      </w:r>
      <w:bookmarkEnd w:id="3083"/>
      <w:bookmarkEnd w:id="3084"/>
      <w:bookmarkEnd w:id="3085"/>
    </w:p>
    <w:p w14:paraId="4A7A7047" w14:textId="77777777" w:rsidR="00D748F5" w:rsidRPr="00DB63C8" w:rsidRDefault="00D748F5" w:rsidP="00EB7F1E">
      <w:pPr>
        <w:keepNext/>
        <w:widowControl w:val="0"/>
        <w:spacing w:line="276" w:lineRule="auto"/>
        <w:ind w:right="170"/>
        <w:rPr>
          <w:rFonts w:asciiTheme="minorHAnsi" w:hAnsiTheme="minorHAnsi"/>
        </w:rPr>
      </w:pPr>
    </w:p>
    <w:p w14:paraId="0168AC4C" w14:textId="7ACD9DF1" w:rsidR="005F07AB" w:rsidRPr="00DB63C8" w:rsidRDefault="005F07AB" w:rsidP="002D74B9">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The laws of </w:t>
      </w:r>
      <w:r w:rsidR="00CA55B3" w:rsidRPr="00DB63C8">
        <w:rPr>
          <w:rFonts w:asciiTheme="minorHAnsi" w:hAnsiTheme="minorHAnsi"/>
        </w:rPr>
        <w:t>most</w:t>
      </w:r>
      <w:r w:rsidRPr="00DB63C8">
        <w:rPr>
          <w:rFonts w:asciiTheme="minorHAnsi" w:hAnsiTheme="minorHAnsi"/>
        </w:rPr>
        <w:t xml:space="preserve"> states and territories confer wider powers on courts to recall a sentence or to correct error, even though the sentence has passed into record.</w:t>
      </w:r>
      <w:r w:rsidR="008463F5" w:rsidRPr="00DB63C8">
        <w:rPr>
          <w:rStyle w:val="Style"/>
          <w:rFonts w:asciiTheme="minorHAnsi" w:hAnsiTheme="minorHAnsi"/>
        </w:rPr>
        <w:footnoteReference w:id="1134"/>
      </w:r>
    </w:p>
    <w:p w14:paraId="1F0C73B7" w14:textId="77777777" w:rsidR="005F07AB" w:rsidRPr="006E33A0" w:rsidRDefault="005F07AB" w:rsidP="00EB7F1E">
      <w:pPr>
        <w:spacing w:line="276" w:lineRule="auto"/>
        <w:rPr>
          <w:rFonts w:asciiTheme="minorHAnsi" w:hAnsiTheme="minorHAnsi"/>
          <w:highlight w:val="cyan"/>
        </w:rPr>
      </w:pPr>
    </w:p>
    <w:p w14:paraId="2592BF0A" w14:textId="5CC78FA5" w:rsidR="00D748F5" w:rsidRPr="00DB63C8" w:rsidRDefault="002D74B9" w:rsidP="002D74B9">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Powers under State or Territory laws which permit a sentencing court to correct errors in relation to sentences may be picked up and applied to the sentencing of a federal offender by s 68 or s 79 of the </w:t>
      </w:r>
      <w:r w:rsidRPr="00DB63C8">
        <w:rPr>
          <w:rFonts w:asciiTheme="minorHAnsi" w:hAnsiTheme="minorHAnsi"/>
          <w:i/>
          <w:iCs/>
        </w:rPr>
        <w:t>Judiciary Act 1903</w:t>
      </w:r>
      <w:r w:rsidRPr="00DB63C8">
        <w:rPr>
          <w:rFonts w:asciiTheme="minorHAnsi" w:hAnsiTheme="minorHAnsi"/>
        </w:rPr>
        <w:t xml:space="preserve"> or by s 20AB(3) of the </w:t>
      </w:r>
      <w:r w:rsidRPr="00DB63C8">
        <w:rPr>
          <w:rFonts w:asciiTheme="minorHAnsi" w:hAnsiTheme="minorHAnsi"/>
          <w:i/>
          <w:iCs/>
        </w:rPr>
        <w:t>Crimes Act 1914</w:t>
      </w:r>
      <w:r w:rsidRPr="00DB63C8">
        <w:rPr>
          <w:rFonts w:asciiTheme="minorHAnsi" w:hAnsiTheme="minorHAnsi"/>
        </w:rPr>
        <w:t xml:space="preserve">.  The existence of specific powers in ss 19AH and 19AHA of the </w:t>
      </w:r>
      <w:r w:rsidRPr="00DB63C8">
        <w:rPr>
          <w:rFonts w:asciiTheme="minorHAnsi" w:hAnsiTheme="minorHAnsi"/>
          <w:i/>
          <w:iCs/>
        </w:rPr>
        <w:t>Crimes Act 1914</w:t>
      </w:r>
      <w:r w:rsidRPr="00DB63C8">
        <w:rPr>
          <w:rFonts w:asciiTheme="minorHAnsi" w:hAnsiTheme="minorHAnsi"/>
        </w:rPr>
        <w:t xml:space="preserve"> in relation to sentences of imprisonment will not necessarily preclude other powers under State or Territory law from being applied as surrogate federal law</w:t>
      </w:r>
      <w:r w:rsidR="005F07AB" w:rsidRPr="00DB63C8">
        <w:rPr>
          <w:rFonts w:asciiTheme="minorHAnsi" w:hAnsiTheme="minorHAnsi"/>
        </w:rPr>
        <w:t>.</w:t>
      </w:r>
      <w:r w:rsidR="00D748F5" w:rsidRPr="00DB63C8">
        <w:rPr>
          <w:rStyle w:val="Style"/>
          <w:rFonts w:asciiTheme="minorHAnsi" w:hAnsiTheme="minorHAnsi"/>
        </w:rPr>
        <w:footnoteReference w:id="1135"/>
      </w:r>
    </w:p>
    <w:p w14:paraId="6532DCC6" w14:textId="77777777" w:rsidR="00D748F5" w:rsidRPr="00DB63C8" w:rsidRDefault="00D748F5" w:rsidP="00EB7F1E">
      <w:pPr>
        <w:spacing w:line="276" w:lineRule="auto"/>
        <w:ind w:right="28"/>
        <w:rPr>
          <w:rFonts w:asciiTheme="minorHAnsi" w:hAnsiTheme="minorHAnsi"/>
        </w:rPr>
      </w:pPr>
    </w:p>
    <w:p w14:paraId="7E9FAF01" w14:textId="34466588" w:rsidR="002D74B9" w:rsidRPr="00DB63C8" w:rsidRDefault="002D74B9" w:rsidP="002D74B9">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But</w:t>
      </w:r>
      <w:r w:rsidR="00D748F5" w:rsidRPr="00DB63C8">
        <w:rPr>
          <w:rFonts w:asciiTheme="minorHAnsi" w:hAnsiTheme="minorHAnsi"/>
        </w:rPr>
        <w:t xml:space="preserve"> in relation to a sentence of imprisonment,</w:t>
      </w:r>
      <w:r w:rsidRPr="00DB63C8">
        <w:rPr>
          <w:rFonts w:asciiTheme="minorHAnsi" w:hAnsiTheme="minorHAnsi"/>
        </w:rPr>
        <w:t xml:space="preserve"> the power in s 19AH or s 19AHA, if applicable, should be invoked before resorting to any power under State or Territory law to recall or correct a sentence.</w:t>
      </w:r>
      <w:r w:rsidRPr="00DB63C8">
        <w:rPr>
          <w:rStyle w:val="Style"/>
          <w:rFonts w:asciiTheme="minorHAnsi" w:hAnsiTheme="minorHAnsi"/>
        </w:rPr>
        <w:footnoteReference w:id="1136"/>
      </w:r>
    </w:p>
    <w:p w14:paraId="27F33633" w14:textId="77777777" w:rsidR="00FC76D4" w:rsidRPr="00DB63C8" w:rsidRDefault="00FC76D4" w:rsidP="00CA4BA1">
      <w:pPr>
        <w:spacing w:line="276" w:lineRule="auto"/>
        <w:ind w:right="28"/>
        <w:rPr>
          <w:rFonts w:asciiTheme="minorHAnsi" w:hAnsiTheme="minorHAnsi"/>
        </w:rPr>
      </w:pPr>
    </w:p>
    <w:p w14:paraId="2BC68861" w14:textId="371666F2" w:rsidR="00E02CD1" w:rsidRPr="00DB63C8" w:rsidRDefault="00E02CD1" w:rsidP="00EB7F1E">
      <w:pPr>
        <w:pStyle w:val="Heading2"/>
        <w:rPr>
          <w:rStyle w:val="Strong"/>
          <w:b/>
          <w:bCs w:val="0"/>
        </w:rPr>
      </w:pPr>
      <w:bookmarkStart w:id="3086" w:name="_Ref11071770"/>
      <w:bookmarkStart w:id="3087" w:name="_Ref11071772"/>
      <w:bookmarkStart w:id="3088" w:name="_Toc33602972"/>
      <w:r w:rsidRPr="00DB63C8">
        <w:rPr>
          <w:rStyle w:val="Strong"/>
          <w:b/>
          <w:bCs w:val="0"/>
        </w:rPr>
        <w:t>Post-sentence monitoring and detention of offenders under State la</w:t>
      </w:r>
      <w:r w:rsidR="00D5770E" w:rsidRPr="00DB63C8">
        <w:rPr>
          <w:rStyle w:val="Strong"/>
          <w:b/>
          <w:bCs w:val="0"/>
        </w:rPr>
        <w:t>ws</w:t>
      </w:r>
      <w:bookmarkEnd w:id="3086"/>
      <w:bookmarkEnd w:id="3087"/>
      <w:bookmarkEnd w:id="3088"/>
      <w:r w:rsidRPr="00DB63C8">
        <w:rPr>
          <w:rStyle w:val="Strong"/>
          <w:b/>
          <w:bCs w:val="0"/>
        </w:rPr>
        <w:t xml:space="preserve"> </w:t>
      </w:r>
    </w:p>
    <w:p w14:paraId="5BECC911" w14:textId="1A2DF3CA" w:rsidR="00E02CD1" w:rsidRPr="00DB63C8" w:rsidRDefault="00E02CD1" w:rsidP="00EB7F1E">
      <w:pPr>
        <w:keepNext/>
        <w:widowControl w:val="0"/>
        <w:spacing w:line="276" w:lineRule="auto"/>
        <w:ind w:right="170"/>
        <w:rPr>
          <w:rFonts w:asciiTheme="minorHAnsi" w:hAnsiTheme="minorHAnsi"/>
        </w:rPr>
      </w:pPr>
    </w:p>
    <w:p w14:paraId="6FEE5476" w14:textId="677EFDA5" w:rsidR="00E02CD1" w:rsidRPr="00DB63C8" w:rsidRDefault="00E02CD1" w:rsidP="00E02CD1">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Laws in some jurisdictions </w:t>
      </w:r>
      <w:r w:rsidR="00AB5D27" w:rsidRPr="00DB63C8">
        <w:rPr>
          <w:rFonts w:asciiTheme="minorHAnsi" w:hAnsiTheme="minorHAnsi"/>
        </w:rPr>
        <w:t>establish a regime</w:t>
      </w:r>
      <w:r w:rsidRPr="00DB63C8">
        <w:rPr>
          <w:rFonts w:asciiTheme="minorHAnsi" w:hAnsiTheme="minorHAnsi"/>
        </w:rPr>
        <w:t xml:space="preserve"> for the monitoring or detention of certain classes of offenders upon the completion of a sentence of imprisonment.  </w:t>
      </w:r>
      <w:r w:rsidR="00AB5D27" w:rsidRPr="00DB63C8">
        <w:rPr>
          <w:rFonts w:asciiTheme="minorHAnsi" w:hAnsiTheme="minorHAnsi"/>
        </w:rPr>
        <w:t xml:space="preserve">For example, the </w:t>
      </w:r>
      <w:r w:rsidR="00AB5D27" w:rsidRPr="00DB63C8">
        <w:rPr>
          <w:rFonts w:asciiTheme="minorHAnsi" w:hAnsiTheme="minorHAnsi"/>
          <w:i/>
          <w:iCs/>
        </w:rPr>
        <w:t>Crimes (High Risk Offenders) Act 2006</w:t>
      </w:r>
      <w:r w:rsidR="00AB5D27" w:rsidRPr="00DB63C8">
        <w:rPr>
          <w:rFonts w:asciiTheme="minorHAnsi" w:hAnsiTheme="minorHAnsi"/>
        </w:rPr>
        <w:t xml:space="preserve"> (NSW) and the </w:t>
      </w:r>
      <w:r w:rsidR="00AB5D27" w:rsidRPr="00DB63C8">
        <w:rPr>
          <w:rFonts w:asciiTheme="minorHAnsi" w:hAnsiTheme="minorHAnsi"/>
          <w:i/>
          <w:iCs/>
        </w:rPr>
        <w:t>Serious Offenders Act 2018</w:t>
      </w:r>
      <w:r w:rsidR="00AB5D27" w:rsidRPr="00DB63C8">
        <w:rPr>
          <w:rFonts w:asciiTheme="minorHAnsi" w:hAnsiTheme="minorHAnsi"/>
        </w:rPr>
        <w:t xml:space="preserve"> (Vic) each provide</w:t>
      </w:r>
      <w:r w:rsidR="00D5770E" w:rsidRPr="00DB63C8">
        <w:rPr>
          <w:rFonts w:asciiTheme="minorHAnsi" w:hAnsiTheme="minorHAnsi"/>
        </w:rPr>
        <w:t>s</w:t>
      </w:r>
      <w:r w:rsidR="00AB5D27" w:rsidRPr="00DB63C8">
        <w:rPr>
          <w:rFonts w:asciiTheme="minorHAnsi" w:hAnsiTheme="minorHAnsi"/>
        </w:rPr>
        <w:t xml:space="preserve"> for court-ordered post-sentence detention or supervision </w:t>
      </w:r>
      <w:r w:rsidR="00043C3F" w:rsidRPr="00DB63C8">
        <w:rPr>
          <w:rFonts w:asciiTheme="minorHAnsi" w:hAnsiTheme="minorHAnsi"/>
        </w:rPr>
        <w:t xml:space="preserve">of </w:t>
      </w:r>
      <w:r w:rsidR="00AB5D27" w:rsidRPr="00DB63C8">
        <w:rPr>
          <w:rFonts w:asciiTheme="minorHAnsi" w:hAnsiTheme="minorHAnsi"/>
        </w:rPr>
        <w:t xml:space="preserve">offenders </w:t>
      </w:r>
      <w:r w:rsidR="00043C3F" w:rsidRPr="00DB63C8">
        <w:rPr>
          <w:rFonts w:asciiTheme="minorHAnsi" w:hAnsiTheme="minorHAnsi"/>
        </w:rPr>
        <w:t xml:space="preserve">who have served a term of imprisonment for a serious sexual offence or offence of violence.  Each of those Acts lists Commonwealth offences amongst the offences which </w:t>
      </w:r>
      <w:r w:rsidR="00110EC4" w:rsidRPr="00DB63C8">
        <w:rPr>
          <w:rFonts w:asciiTheme="minorHAnsi" w:hAnsiTheme="minorHAnsi"/>
        </w:rPr>
        <w:t>render an offender subject to</w:t>
      </w:r>
      <w:r w:rsidR="00043C3F" w:rsidRPr="00DB63C8">
        <w:rPr>
          <w:rFonts w:asciiTheme="minorHAnsi" w:hAnsiTheme="minorHAnsi"/>
        </w:rPr>
        <w:t xml:space="preserve"> the making of an order.</w:t>
      </w:r>
      <w:r w:rsidR="000075F0" w:rsidRPr="00DB63C8">
        <w:rPr>
          <w:rFonts w:asciiTheme="minorHAnsi" w:hAnsiTheme="minorHAnsi"/>
        </w:rPr>
        <w:t xml:space="preserve">  The N</w:t>
      </w:r>
      <w:r w:rsidR="00601F6F" w:rsidRPr="00DB63C8">
        <w:rPr>
          <w:rFonts w:asciiTheme="minorHAnsi" w:hAnsiTheme="minorHAnsi"/>
        </w:rPr>
        <w:t>ew South Wales</w:t>
      </w:r>
      <w:r w:rsidR="000075F0" w:rsidRPr="00DB63C8">
        <w:rPr>
          <w:rFonts w:asciiTheme="minorHAnsi" w:hAnsiTheme="minorHAnsi"/>
        </w:rPr>
        <w:t xml:space="preserve"> Act provides for orders to be made upon an application by the State of NSW.  The Victorian Act provides for an application to be made by the Director of Public Prosecutions (Victoria) or (in some circumstances) by the Secretary to the Department of Justice and Regulation (Victoria).</w:t>
      </w:r>
    </w:p>
    <w:p w14:paraId="730748FB" w14:textId="3DC54B33" w:rsidR="00043C3F" w:rsidRPr="00DB63C8" w:rsidRDefault="00043C3F" w:rsidP="00043C3F">
      <w:pPr>
        <w:spacing w:line="276" w:lineRule="auto"/>
        <w:rPr>
          <w:rFonts w:asciiTheme="minorHAnsi" w:hAnsiTheme="minorHAnsi"/>
        </w:rPr>
      </w:pPr>
    </w:p>
    <w:p w14:paraId="48ED5BFE" w14:textId="55954065" w:rsidR="00835547" w:rsidRPr="00DB63C8" w:rsidRDefault="00043C3F" w:rsidP="00043C3F">
      <w:pPr>
        <w:pStyle w:val="ListParagraph"/>
        <w:numPr>
          <w:ilvl w:val="0"/>
          <w:numId w:val="7"/>
        </w:numPr>
        <w:spacing w:line="276" w:lineRule="auto"/>
        <w:ind w:left="425" w:hanging="425"/>
        <w:contextualSpacing w:val="0"/>
        <w:rPr>
          <w:rFonts w:asciiTheme="minorHAnsi" w:hAnsiTheme="minorHAnsi"/>
        </w:rPr>
      </w:pPr>
      <w:r w:rsidRPr="00DB63C8">
        <w:rPr>
          <w:rFonts w:asciiTheme="minorHAnsi" w:hAnsiTheme="minorHAnsi"/>
        </w:rPr>
        <w:t xml:space="preserve">The view of the CDPP is that these regimes are not picked up and applied as federal law by s 68 or s 79 of the </w:t>
      </w:r>
      <w:r w:rsidRPr="00DB63C8">
        <w:rPr>
          <w:rFonts w:asciiTheme="minorHAnsi" w:hAnsiTheme="minorHAnsi"/>
          <w:i/>
          <w:iCs/>
        </w:rPr>
        <w:t>Judiciary Act 1903</w:t>
      </w:r>
      <w:r w:rsidRPr="00DB63C8">
        <w:rPr>
          <w:rFonts w:asciiTheme="minorHAnsi" w:hAnsiTheme="minorHAnsi"/>
        </w:rPr>
        <w:t xml:space="preserve"> (Cth) or by s 20AB of the </w:t>
      </w:r>
      <w:r w:rsidRPr="00DB63C8">
        <w:rPr>
          <w:rFonts w:asciiTheme="minorHAnsi" w:hAnsiTheme="minorHAnsi"/>
          <w:i/>
          <w:iCs/>
        </w:rPr>
        <w:t>Crimes Act 1914</w:t>
      </w:r>
      <w:r w:rsidRPr="00DB63C8">
        <w:rPr>
          <w:rFonts w:asciiTheme="minorHAnsi" w:hAnsiTheme="minorHAnsi"/>
        </w:rPr>
        <w:t xml:space="preserve"> (Cth).  </w:t>
      </w:r>
      <w:r w:rsidR="00835547" w:rsidRPr="00DB63C8">
        <w:rPr>
          <w:rFonts w:asciiTheme="minorHAnsi" w:hAnsiTheme="minorHAnsi"/>
        </w:rPr>
        <w:t xml:space="preserve">Nor, in the view of the CDPP, does any federal law operate to confer power on the CDPP or any other Commonwealth authority to make an application for an order under the State Acts.  </w:t>
      </w:r>
      <w:r w:rsidRPr="00DB63C8">
        <w:rPr>
          <w:rFonts w:asciiTheme="minorHAnsi" w:hAnsiTheme="minorHAnsi"/>
        </w:rPr>
        <w:t>The</w:t>
      </w:r>
      <w:r w:rsidR="00835547" w:rsidRPr="00DB63C8">
        <w:rPr>
          <w:rFonts w:asciiTheme="minorHAnsi" w:hAnsiTheme="minorHAnsi"/>
        </w:rPr>
        <w:t xml:space="preserve"> State Acts</w:t>
      </w:r>
      <w:r w:rsidRPr="00DB63C8">
        <w:rPr>
          <w:rFonts w:asciiTheme="minorHAnsi" w:hAnsiTheme="minorHAnsi"/>
        </w:rPr>
        <w:t xml:space="preserve"> appl</w:t>
      </w:r>
      <w:r w:rsidR="000075F0" w:rsidRPr="00DB63C8">
        <w:rPr>
          <w:rFonts w:asciiTheme="minorHAnsi" w:hAnsiTheme="minorHAnsi"/>
        </w:rPr>
        <w:t>y</w:t>
      </w:r>
      <w:r w:rsidRPr="00DB63C8">
        <w:rPr>
          <w:rFonts w:asciiTheme="minorHAnsi" w:hAnsiTheme="minorHAnsi"/>
        </w:rPr>
        <w:t xml:space="preserve"> to C</w:t>
      </w:r>
      <w:r w:rsidR="000075F0" w:rsidRPr="00DB63C8">
        <w:rPr>
          <w:rFonts w:asciiTheme="minorHAnsi" w:hAnsiTheme="minorHAnsi"/>
        </w:rPr>
        <w:t>ommonwealth offenders according to the</w:t>
      </w:r>
      <w:r w:rsidR="00835547" w:rsidRPr="00DB63C8">
        <w:rPr>
          <w:rFonts w:asciiTheme="minorHAnsi" w:hAnsiTheme="minorHAnsi"/>
        </w:rPr>
        <w:t>ir own</w:t>
      </w:r>
      <w:r w:rsidR="000075F0" w:rsidRPr="00DB63C8">
        <w:rPr>
          <w:rFonts w:asciiTheme="minorHAnsi" w:hAnsiTheme="minorHAnsi"/>
        </w:rPr>
        <w:t xml:space="preserve"> terms.</w:t>
      </w:r>
      <w:r w:rsidR="00BE4F45" w:rsidRPr="00DB63C8">
        <w:rPr>
          <w:rStyle w:val="Style"/>
          <w:rFonts w:asciiTheme="minorHAnsi" w:hAnsiTheme="minorHAnsi"/>
        </w:rPr>
        <w:footnoteReference w:id="1137"/>
      </w:r>
    </w:p>
    <w:p w14:paraId="1A384497" w14:textId="77777777" w:rsidR="001A0C37" w:rsidRPr="00EB7F1E" w:rsidRDefault="001A0C37" w:rsidP="00EB7F1E">
      <w:pPr>
        <w:spacing w:line="276" w:lineRule="auto"/>
        <w:rPr>
          <w:rFonts w:asciiTheme="minorHAnsi" w:hAnsiTheme="minorHAnsi"/>
        </w:rPr>
      </w:pPr>
    </w:p>
    <w:p w14:paraId="4C7EB407" w14:textId="5C43FF72" w:rsidR="00FE13D0" w:rsidRPr="00C00000" w:rsidRDefault="00FE13D0" w:rsidP="008B3E81">
      <w:pPr>
        <w:pStyle w:val="Heading2"/>
        <w:rPr>
          <w:rStyle w:val="Strong"/>
          <w:b/>
        </w:rPr>
      </w:pPr>
      <w:bookmarkStart w:id="3089" w:name="_Toc10889506"/>
      <w:bookmarkStart w:id="3090" w:name="_Toc10890947"/>
      <w:bookmarkStart w:id="3091" w:name="_Toc11078911"/>
      <w:bookmarkStart w:id="3092" w:name="_Toc11087175"/>
      <w:bookmarkStart w:id="3093" w:name="_Toc11087552"/>
      <w:bookmarkStart w:id="3094" w:name="_Toc11240283"/>
      <w:bookmarkStart w:id="3095" w:name="_Toc11405648"/>
      <w:bookmarkStart w:id="3096" w:name="_Toc11407425"/>
      <w:bookmarkStart w:id="3097" w:name="_Toc11486016"/>
      <w:bookmarkStart w:id="3098" w:name="_Toc11583544"/>
      <w:bookmarkStart w:id="3099" w:name="_Toc11692948"/>
      <w:bookmarkStart w:id="3100" w:name="_Toc11773456"/>
      <w:bookmarkStart w:id="3101" w:name="_Toc11827258"/>
      <w:bookmarkStart w:id="3102" w:name="_Toc11833966"/>
      <w:bookmarkStart w:id="3103" w:name="_Toc11848361"/>
      <w:bookmarkStart w:id="3104" w:name="_Toc11852018"/>
      <w:bookmarkStart w:id="3105" w:name="_Toc12608858"/>
      <w:bookmarkStart w:id="3106" w:name="_Toc12706813"/>
      <w:bookmarkStart w:id="3107" w:name="_Toc12860750"/>
      <w:bookmarkStart w:id="3108" w:name="_Toc12862319"/>
      <w:bookmarkStart w:id="3109" w:name="_Toc12864365"/>
      <w:bookmarkStart w:id="3110" w:name="_Toc13551918"/>
      <w:bookmarkStart w:id="3111" w:name="_Toc13737695"/>
      <w:bookmarkStart w:id="3112" w:name="_Toc13738110"/>
      <w:bookmarkStart w:id="3113" w:name="_Toc25308668"/>
      <w:bookmarkStart w:id="3114" w:name="_Toc33602973"/>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r w:rsidRPr="00C00000">
        <w:rPr>
          <w:rStyle w:val="Strong"/>
          <w:b/>
        </w:rPr>
        <w:t>Cost</w:t>
      </w:r>
      <w:r w:rsidR="00DC6984">
        <w:rPr>
          <w:rStyle w:val="Strong"/>
          <w:b/>
        </w:rPr>
        <w:t>s</w:t>
      </w:r>
      <w:r w:rsidRPr="00C00000">
        <w:rPr>
          <w:rStyle w:val="Strong"/>
          <w:b/>
        </w:rPr>
        <w:t xml:space="preserve"> </w:t>
      </w:r>
      <w:r w:rsidR="00DC6984" w:rsidRPr="00C00000">
        <w:rPr>
          <w:rStyle w:val="Strong"/>
          <w:b/>
        </w:rPr>
        <w:t>certificates</w:t>
      </w:r>
      <w:bookmarkEnd w:id="3114"/>
    </w:p>
    <w:p w14:paraId="33CD4703" w14:textId="0CB6E05B" w:rsidR="00FE13D0" w:rsidRPr="00C00000" w:rsidRDefault="00FE13D0" w:rsidP="008B3E81">
      <w:pPr>
        <w:pStyle w:val="NormalIndent"/>
        <w:keepNext/>
        <w:widowControl w:val="0"/>
        <w:spacing w:line="276" w:lineRule="auto"/>
        <w:ind w:left="720" w:right="170"/>
        <w:rPr>
          <w:rFonts w:asciiTheme="minorHAnsi" w:hAnsiTheme="minorHAnsi"/>
        </w:rPr>
      </w:pPr>
    </w:p>
    <w:p w14:paraId="652A0917" w14:textId="51000AC7" w:rsidR="00FE13D0" w:rsidRPr="00C00000" w:rsidRDefault="00C66407"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A State </w:t>
      </w:r>
      <w:r w:rsidR="00FE13D0" w:rsidRPr="00C00000">
        <w:rPr>
          <w:rFonts w:asciiTheme="minorHAnsi" w:hAnsiTheme="minorHAnsi"/>
        </w:rPr>
        <w:t>regime for costs certificates does not apply to federal prosecutions.</w:t>
      </w:r>
      <w:r w:rsidR="00FE13D0" w:rsidRPr="00C00000">
        <w:rPr>
          <w:rStyle w:val="Style"/>
          <w:rFonts w:asciiTheme="minorHAnsi" w:hAnsiTheme="minorHAnsi"/>
        </w:rPr>
        <w:footnoteReference w:id="1138"/>
      </w:r>
      <w:r w:rsidR="006235F8" w:rsidRPr="00C00000">
        <w:rPr>
          <w:rFonts w:asciiTheme="minorHAnsi" w:hAnsiTheme="minorHAnsi"/>
          <w:b/>
          <w:i/>
          <w:sz w:val="24"/>
          <w:szCs w:val="24"/>
        </w:rPr>
        <w:br w:type="page"/>
      </w:r>
    </w:p>
    <w:p w14:paraId="06D59B1B" w14:textId="7796C09F" w:rsidR="001F2D7A" w:rsidRPr="00C00000" w:rsidRDefault="001F2D7A">
      <w:pPr>
        <w:pStyle w:val="Heading1"/>
        <w:spacing w:line="276" w:lineRule="auto"/>
        <w:rPr>
          <w:rFonts w:asciiTheme="minorHAnsi" w:hAnsiTheme="minorHAnsi"/>
          <w:sz w:val="30"/>
          <w:szCs w:val="30"/>
        </w:rPr>
      </w:pPr>
      <w:bookmarkStart w:id="3115" w:name="_Toc12706815"/>
      <w:bookmarkStart w:id="3116" w:name="_Toc12860752"/>
      <w:bookmarkStart w:id="3117" w:name="_Toc12862321"/>
      <w:bookmarkStart w:id="3118" w:name="_Toc12864367"/>
      <w:bookmarkStart w:id="3119" w:name="_Toc13551920"/>
      <w:bookmarkStart w:id="3120" w:name="_Toc13726974"/>
      <w:bookmarkStart w:id="3121" w:name="_Toc13727985"/>
      <w:bookmarkStart w:id="3122" w:name="_Toc13737697"/>
      <w:bookmarkStart w:id="3123" w:name="_Toc13738112"/>
      <w:bookmarkStart w:id="3124" w:name="_Toc25308670"/>
      <w:bookmarkStart w:id="3125" w:name="_Ref484289631"/>
      <w:bookmarkStart w:id="3126" w:name="_Ref484289635"/>
      <w:bookmarkStart w:id="3127" w:name="_Toc33602974"/>
      <w:bookmarkEnd w:id="3115"/>
      <w:bookmarkEnd w:id="3116"/>
      <w:bookmarkEnd w:id="3117"/>
      <w:bookmarkEnd w:id="3118"/>
      <w:bookmarkEnd w:id="3119"/>
      <w:bookmarkEnd w:id="3120"/>
      <w:bookmarkEnd w:id="3121"/>
      <w:bookmarkEnd w:id="3122"/>
      <w:bookmarkEnd w:id="3123"/>
      <w:bookmarkEnd w:id="3124"/>
      <w:r w:rsidRPr="00C00000">
        <w:rPr>
          <w:rFonts w:asciiTheme="minorHAnsi" w:hAnsiTheme="minorHAnsi"/>
          <w:sz w:val="30"/>
          <w:szCs w:val="30"/>
        </w:rPr>
        <w:t xml:space="preserve">Specific </w:t>
      </w:r>
      <w:r w:rsidR="006A406D">
        <w:rPr>
          <w:rFonts w:asciiTheme="minorHAnsi" w:hAnsiTheme="minorHAnsi"/>
          <w:sz w:val="30"/>
          <w:szCs w:val="30"/>
        </w:rPr>
        <w:t>s</w:t>
      </w:r>
      <w:r w:rsidRPr="00C00000">
        <w:rPr>
          <w:rFonts w:asciiTheme="minorHAnsi" w:hAnsiTheme="minorHAnsi"/>
          <w:sz w:val="30"/>
          <w:szCs w:val="30"/>
        </w:rPr>
        <w:t xml:space="preserve">entencing </w:t>
      </w:r>
      <w:r w:rsidR="006A406D">
        <w:rPr>
          <w:rFonts w:asciiTheme="minorHAnsi" w:hAnsiTheme="minorHAnsi"/>
          <w:sz w:val="30"/>
          <w:szCs w:val="30"/>
        </w:rPr>
        <w:t>s</w:t>
      </w:r>
      <w:r w:rsidRPr="00C00000">
        <w:rPr>
          <w:rFonts w:asciiTheme="minorHAnsi" w:hAnsiTheme="minorHAnsi"/>
          <w:sz w:val="30"/>
          <w:szCs w:val="30"/>
        </w:rPr>
        <w:t>ituations</w:t>
      </w:r>
      <w:bookmarkEnd w:id="3125"/>
      <w:bookmarkEnd w:id="3126"/>
      <w:bookmarkEnd w:id="3127"/>
    </w:p>
    <w:p w14:paraId="4BAC06F1" w14:textId="77777777" w:rsidR="001638DE" w:rsidRPr="00C00000" w:rsidRDefault="001638DE" w:rsidP="00B07342">
      <w:pPr>
        <w:pStyle w:val="ListParagraph"/>
        <w:spacing w:line="276" w:lineRule="auto"/>
        <w:ind w:left="567" w:right="170"/>
        <w:contextualSpacing w:val="0"/>
        <w:rPr>
          <w:rFonts w:asciiTheme="minorHAnsi" w:eastAsiaTheme="minorEastAsia" w:hAnsiTheme="minorHAnsi" w:cstheme="minorBidi"/>
          <w:noProof/>
          <w:szCs w:val="22"/>
        </w:rPr>
      </w:pPr>
    </w:p>
    <w:p w14:paraId="262D6D7A" w14:textId="6EEBB8F1" w:rsidR="00C76345" w:rsidRDefault="00C76345" w:rsidP="00407B97">
      <w:pPr>
        <w:pStyle w:val="Heading2"/>
        <w:rPr>
          <w:rStyle w:val="Strong"/>
          <w:b/>
        </w:rPr>
      </w:pPr>
      <w:bookmarkStart w:id="3128" w:name="_Ref492478753"/>
      <w:bookmarkStart w:id="3129" w:name="_Ref492478761"/>
      <w:bookmarkStart w:id="3130" w:name="_Toc33602975"/>
      <w:r>
        <w:rPr>
          <w:rStyle w:val="Strong"/>
          <w:b/>
        </w:rPr>
        <w:t>Offences to which a prescriptive sentencing regime applies</w:t>
      </w:r>
      <w:bookmarkEnd w:id="3128"/>
      <w:bookmarkEnd w:id="3129"/>
      <w:bookmarkEnd w:id="3130"/>
    </w:p>
    <w:p w14:paraId="65D2DAEE" w14:textId="77777777" w:rsidR="008F434D" w:rsidRPr="00C00000" w:rsidRDefault="008F434D" w:rsidP="00407B97">
      <w:pPr>
        <w:pStyle w:val="NormalIndent"/>
        <w:keepNext/>
        <w:spacing w:line="276" w:lineRule="auto"/>
        <w:rPr>
          <w:rFonts w:asciiTheme="minorHAnsi" w:hAnsiTheme="minorHAnsi"/>
        </w:rPr>
      </w:pPr>
    </w:p>
    <w:p w14:paraId="6525C223" w14:textId="74557041" w:rsidR="008F434D" w:rsidRPr="00C00000" w:rsidRDefault="008F434D" w:rsidP="00EB7F1E">
      <w:pPr>
        <w:pStyle w:val="ListParagraph"/>
        <w:numPr>
          <w:ilvl w:val="0"/>
          <w:numId w:val="7"/>
        </w:numPr>
        <w:spacing w:line="276" w:lineRule="auto"/>
        <w:ind w:left="425" w:hanging="425"/>
        <w:contextualSpacing w:val="0"/>
        <w:rPr>
          <w:rFonts w:asciiTheme="minorHAnsi" w:hAnsiTheme="minorHAnsi"/>
        </w:rPr>
      </w:pPr>
      <w:r w:rsidRPr="00C00000">
        <w:rPr>
          <w:rFonts w:asciiTheme="minorHAnsi" w:hAnsiTheme="minorHAnsi"/>
        </w:rPr>
        <w:t>In general</w:t>
      </w:r>
      <w:r w:rsidR="00B65C58">
        <w:rPr>
          <w:rFonts w:asciiTheme="minorHAnsi" w:hAnsiTheme="minorHAnsi"/>
        </w:rPr>
        <w:t>,</w:t>
      </w:r>
      <w:r w:rsidRPr="00C00000">
        <w:rPr>
          <w:rFonts w:asciiTheme="minorHAnsi" w:hAnsiTheme="minorHAnsi"/>
        </w:rPr>
        <w:t xml:space="preserve"> federal legislation does not p</w:t>
      </w:r>
      <w:r>
        <w:rPr>
          <w:rFonts w:asciiTheme="minorHAnsi" w:hAnsiTheme="minorHAnsi"/>
        </w:rPr>
        <w:t>rovide for mandatory penalties</w:t>
      </w:r>
      <w:r w:rsidR="00B65C58">
        <w:rPr>
          <w:rFonts w:asciiTheme="minorHAnsi" w:hAnsiTheme="minorHAnsi"/>
        </w:rPr>
        <w:t xml:space="preserve"> or minimum penalties, or mandatory cumulation of sentences, or a mandatory ratio between a head sentence of imprisonment and a period to be served</w:t>
      </w:r>
      <w:r>
        <w:rPr>
          <w:rFonts w:asciiTheme="minorHAnsi" w:hAnsiTheme="minorHAnsi"/>
        </w:rPr>
        <w:t xml:space="preserve">.  </w:t>
      </w:r>
      <w:r w:rsidR="0008477A">
        <w:rPr>
          <w:rFonts w:asciiTheme="minorHAnsi" w:hAnsiTheme="minorHAnsi"/>
        </w:rPr>
        <w:t>The following are exceptions.</w:t>
      </w:r>
    </w:p>
    <w:p w14:paraId="7495A535" w14:textId="77777777" w:rsidR="008F434D" w:rsidRPr="00C00000" w:rsidRDefault="008F434D" w:rsidP="008F434D">
      <w:pPr>
        <w:pStyle w:val="ListParagraph"/>
        <w:spacing w:line="276" w:lineRule="auto"/>
        <w:ind w:left="567" w:right="28" w:hanging="567"/>
        <w:rPr>
          <w:rFonts w:asciiTheme="minorHAnsi" w:hAnsiTheme="minorHAnsi"/>
        </w:rPr>
      </w:pPr>
    </w:p>
    <w:p w14:paraId="22AF8B08" w14:textId="2CFE73BA" w:rsidR="00C76345" w:rsidRPr="00353E1E" w:rsidRDefault="00C76345" w:rsidP="00407B97">
      <w:pPr>
        <w:pStyle w:val="Heading3"/>
      </w:pPr>
      <w:bookmarkStart w:id="3131" w:name="_Ref504036025"/>
      <w:bookmarkStart w:id="3132" w:name="_Ref504036029"/>
      <w:bookmarkStart w:id="3133" w:name="_Toc33602976"/>
      <w:r w:rsidRPr="00353E1E">
        <w:t>Terrorism and other national security-related offences</w:t>
      </w:r>
      <w:bookmarkEnd w:id="3131"/>
      <w:bookmarkEnd w:id="3132"/>
      <w:r w:rsidR="0037387F">
        <w:t>: the three-quarters rule</w:t>
      </w:r>
      <w:bookmarkEnd w:id="3133"/>
    </w:p>
    <w:p w14:paraId="43758766" w14:textId="77777777" w:rsidR="00C76345" w:rsidRPr="00C00000" w:rsidRDefault="00C76345" w:rsidP="00407B97">
      <w:pPr>
        <w:pStyle w:val="NormalIndent"/>
        <w:keepNext/>
        <w:spacing w:line="276" w:lineRule="auto"/>
        <w:rPr>
          <w:rFonts w:asciiTheme="minorHAnsi" w:hAnsiTheme="minorHAnsi"/>
        </w:rPr>
      </w:pPr>
    </w:p>
    <w:p w14:paraId="798500A4" w14:textId="77D1AAC4" w:rsidR="00253684" w:rsidRDefault="002536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 19AG of</w:t>
      </w:r>
      <w:r w:rsidRPr="00C00000">
        <w:rPr>
          <w:rFonts w:asciiTheme="minorHAnsi" w:hAnsiTheme="minorHAnsi"/>
        </w:rPr>
        <w:t xml:space="preserve"> the </w:t>
      </w:r>
      <w:r w:rsidR="00885EFD" w:rsidRPr="00885EFD">
        <w:rPr>
          <w:rFonts w:asciiTheme="minorHAnsi" w:hAnsiTheme="minorHAnsi"/>
          <w:i/>
        </w:rPr>
        <w:t>Crimes Act 1914</w:t>
      </w:r>
      <w:r w:rsidRPr="00C00000">
        <w:rPr>
          <w:rFonts w:asciiTheme="minorHAnsi" w:hAnsiTheme="minorHAnsi"/>
        </w:rPr>
        <w:t xml:space="preserve"> (Cth) </w:t>
      </w:r>
      <w:r w:rsidR="00944D4E">
        <w:rPr>
          <w:rFonts w:asciiTheme="minorHAnsi" w:hAnsiTheme="minorHAnsi"/>
        </w:rPr>
        <w:t xml:space="preserve">(introduced in 2004) </w:t>
      </w:r>
      <w:r w:rsidR="00F32C71">
        <w:rPr>
          <w:rFonts w:asciiTheme="minorHAnsi" w:hAnsiTheme="minorHAnsi"/>
        </w:rPr>
        <w:t>creates what is known as “</w:t>
      </w:r>
      <w:r w:rsidR="00F32C71" w:rsidRPr="00F32C71">
        <w:rPr>
          <w:rFonts w:asciiTheme="minorHAnsi" w:hAnsiTheme="minorHAnsi"/>
          <w:i/>
        </w:rPr>
        <w:t>the three-quarters rule</w:t>
      </w:r>
      <w:r w:rsidR="00F32C71">
        <w:rPr>
          <w:rFonts w:asciiTheme="minorHAnsi" w:hAnsiTheme="minorHAnsi"/>
        </w:rPr>
        <w:t xml:space="preserve">”.  It </w:t>
      </w:r>
      <w:r>
        <w:rPr>
          <w:rFonts w:asciiTheme="minorHAnsi" w:hAnsiTheme="minorHAnsi"/>
        </w:rPr>
        <w:t>requires a</w:t>
      </w:r>
      <w:r w:rsidRPr="00C00000">
        <w:rPr>
          <w:rFonts w:asciiTheme="minorHAnsi" w:hAnsiTheme="minorHAnsi"/>
        </w:rPr>
        <w:t xml:space="preserve"> court </w:t>
      </w:r>
      <w:r>
        <w:rPr>
          <w:rFonts w:asciiTheme="minorHAnsi" w:hAnsiTheme="minorHAnsi"/>
        </w:rPr>
        <w:t xml:space="preserve">which sentences an offender </w:t>
      </w:r>
      <w:r w:rsidRPr="00C00000">
        <w:rPr>
          <w:rFonts w:asciiTheme="minorHAnsi" w:hAnsiTheme="minorHAnsi"/>
        </w:rPr>
        <w:t xml:space="preserve">to imprisonment </w:t>
      </w:r>
      <w:r>
        <w:rPr>
          <w:rFonts w:asciiTheme="minorHAnsi" w:hAnsiTheme="minorHAnsi"/>
        </w:rPr>
        <w:t>for a “</w:t>
      </w:r>
      <w:r w:rsidRPr="00332ACD">
        <w:rPr>
          <w:rFonts w:asciiTheme="minorHAnsi" w:hAnsiTheme="minorHAnsi"/>
          <w:i/>
        </w:rPr>
        <w:t>minimum non-parole offence</w:t>
      </w:r>
      <w:r>
        <w:rPr>
          <w:rFonts w:asciiTheme="minorHAnsi" w:hAnsiTheme="minorHAnsi"/>
        </w:rPr>
        <w:t>” to fix a single non-parole period which is at least three-quarters of the head sentence (or the aggregate sentence for those offences, if more than one).  “</w:t>
      </w:r>
      <w:r w:rsidRPr="00253684">
        <w:rPr>
          <w:rFonts w:asciiTheme="minorHAnsi" w:hAnsiTheme="minorHAnsi"/>
          <w:i/>
        </w:rPr>
        <w:t>Minimum non-parole period offence</w:t>
      </w:r>
      <w:r>
        <w:rPr>
          <w:rFonts w:asciiTheme="minorHAnsi" w:hAnsiTheme="minorHAnsi"/>
        </w:rPr>
        <w:t>” is defined in s 19AG(1) to mean:</w:t>
      </w:r>
      <w:r w:rsidR="00C303B8" w:rsidRPr="00C00000">
        <w:rPr>
          <w:rStyle w:val="Style"/>
          <w:rFonts w:asciiTheme="minorHAnsi" w:hAnsiTheme="minorHAnsi"/>
        </w:rPr>
        <w:footnoteReference w:id="1139"/>
      </w:r>
    </w:p>
    <w:p w14:paraId="678DD76B" w14:textId="77777777" w:rsidR="00C303B8" w:rsidRPr="00C303B8" w:rsidRDefault="00253684">
      <w:pPr>
        <w:pStyle w:val="ListParagraph"/>
        <w:numPr>
          <w:ilvl w:val="1"/>
          <w:numId w:val="36"/>
        </w:numPr>
        <w:spacing w:line="276" w:lineRule="auto"/>
        <w:ind w:left="993" w:right="28" w:hanging="142"/>
        <w:rPr>
          <w:rFonts w:asciiTheme="minorHAnsi" w:hAnsiTheme="minorHAnsi"/>
        </w:rPr>
      </w:pPr>
      <w:r w:rsidRPr="00C303B8">
        <w:rPr>
          <w:rFonts w:asciiTheme="minorHAnsi" w:hAnsiTheme="minorHAnsi"/>
        </w:rPr>
        <w:t xml:space="preserve">a terrorism offence (as defined in s 3(1) of the Act); </w:t>
      </w:r>
    </w:p>
    <w:p w14:paraId="275222EC" w14:textId="2C927498" w:rsidR="00253684" w:rsidRDefault="00C303B8" w:rsidP="00EB7F1E">
      <w:pPr>
        <w:pStyle w:val="ListParagraph"/>
        <w:numPr>
          <w:ilvl w:val="1"/>
          <w:numId w:val="36"/>
        </w:numPr>
        <w:spacing w:line="276" w:lineRule="auto"/>
        <w:ind w:left="993" w:right="28" w:hanging="142"/>
        <w:rPr>
          <w:rFonts w:asciiTheme="minorHAnsi" w:hAnsiTheme="minorHAnsi"/>
        </w:rPr>
      </w:pPr>
      <w:r w:rsidRPr="00086EC9">
        <w:rPr>
          <w:rFonts w:asciiTheme="minorHAnsi" w:hAnsiTheme="minorHAnsi"/>
        </w:rPr>
        <w:t xml:space="preserve">an offence against Division 80 of the </w:t>
      </w:r>
      <w:r w:rsidRPr="00086EC9">
        <w:rPr>
          <w:rFonts w:asciiTheme="minorHAnsi" w:hAnsiTheme="minorHAnsi"/>
          <w:i/>
        </w:rPr>
        <w:t>Criminal Code</w:t>
      </w:r>
      <w:r>
        <w:rPr>
          <w:rFonts w:asciiTheme="minorHAnsi" w:hAnsiTheme="minorHAnsi"/>
          <w:i/>
        </w:rPr>
        <w:t xml:space="preserve"> </w:t>
      </w:r>
      <w:r>
        <w:rPr>
          <w:rFonts w:asciiTheme="minorHAnsi" w:hAnsiTheme="minorHAnsi"/>
        </w:rPr>
        <w:t xml:space="preserve">(Cth) (treason, urging violence, advocating terrorism, etc); </w:t>
      </w:r>
      <w:r w:rsidR="00253684">
        <w:rPr>
          <w:rFonts w:asciiTheme="minorHAnsi" w:hAnsiTheme="minorHAnsi"/>
        </w:rPr>
        <w:t>or</w:t>
      </w:r>
    </w:p>
    <w:p w14:paraId="1512709C" w14:textId="3E6329CF" w:rsidR="00253684" w:rsidRDefault="00C303B8"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 xml:space="preserve">an offence against s 91.1(1) or 91.2(1) of the </w:t>
      </w:r>
      <w:r w:rsidRPr="00EB7F1E">
        <w:rPr>
          <w:rFonts w:asciiTheme="minorHAnsi" w:hAnsiTheme="minorHAnsi"/>
          <w:i/>
          <w:iCs/>
        </w:rPr>
        <w:t>Criminal Code</w:t>
      </w:r>
      <w:r>
        <w:rPr>
          <w:rFonts w:asciiTheme="minorHAnsi" w:hAnsiTheme="minorHAnsi"/>
        </w:rPr>
        <w:t xml:space="preserve"> (Cth)</w:t>
      </w:r>
      <w:r w:rsidR="007E5417">
        <w:rPr>
          <w:rFonts w:asciiTheme="minorHAnsi" w:hAnsiTheme="minorHAnsi"/>
        </w:rPr>
        <w:t xml:space="preserve"> (intentional espionage offences)</w:t>
      </w:r>
      <w:r>
        <w:rPr>
          <w:rFonts w:asciiTheme="minorHAnsi" w:hAnsiTheme="minorHAnsi"/>
        </w:rPr>
        <w:t>.</w:t>
      </w:r>
    </w:p>
    <w:p w14:paraId="7F76BEF9" w14:textId="77777777" w:rsidR="00253684" w:rsidRDefault="00253684" w:rsidP="00253684">
      <w:pPr>
        <w:widowControl w:val="0"/>
        <w:spacing w:line="276" w:lineRule="auto"/>
        <w:jc w:val="both"/>
        <w:rPr>
          <w:rFonts w:asciiTheme="minorHAnsi" w:hAnsiTheme="minorHAnsi"/>
        </w:rPr>
      </w:pPr>
    </w:p>
    <w:p w14:paraId="09896067" w14:textId="7D47C010" w:rsidR="00253684" w:rsidRDefault="00253684"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Section 19AG applies only if the offender is sentenced to imprisonment</w:t>
      </w:r>
      <w:r w:rsidR="001A3494">
        <w:rPr>
          <w:rFonts w:asciiTheme="minorHAnsi" w:hAnsiTheme="minorHAnsi"/>
        </w:rPr>
        <w:t xml:space="preserve">. </w:t>
      </w:r>
      <w:r>
        <w:rPr>
          <w:rFonts w:asciiTheme="minorHAnsi" w:hAnsiTheme="minorHAnsi"/>
        </w:rPr>
        <w:t xml:space="preserve"> It does not affect the availability of other sentencing options.  Nor does it affect the obligation of the </w:t>
      </w:r>
      <w:r w:rsidR="00B14C26">
        <w:rPr>
          <w:rFonts w:asciiTheme="minorHAnsi" w:hAnsiTheme="minorHAnsi"/>
        </w:rPr>
        <w:t>c</w:t>
      </w:r>
      <w:r>
        <w:rPr>
          <w:rFonts w:asciiTheme="minorHAnsi" w:hAnsiTheme="minorHAnsi"/>
        </w:rPr>
        <w:t xml:space="preserve">ourt in fixing the head sentence </w:t>
      </w:r>
      <w:r w:rsidR="00F32C71">
        <w:rPr>
          <w:rFonts w:asciiTheme="minorHAnsi" w:hAnsiTheme="minorHAnsi"/>
        </w:rPr>
        <w:t>to impose a sentence “</w:t>
      </w:r>
      <w:r w:rsidR="00F32C71" w:rsidRPr="00F32C71">
        <w:rPr>
          <w:rFonts w:asciiTheme="minorHAnsi" w:hAnsiTheme="minorHAnsi"/>
          <w:i/>
        </w:rPr>
        <w:t>that is of a severity appropriate in all the circumstances of the offence</w:t>
      </w:r>
      <w:r w:rsidR="00F32C71">
        <w:rPr>
          <w:rFonts w:asciiTheme="minorHAnsi" w:hAnsiTheme="minorHAnsi"/>
        </w:rPr>
        <w:t>” (</w:t>
      </w:r>
      <w:r w:rsidR="00885EFD" w:rsidRPr="00885EFD">
        <w:rPr>
          <w:rFonts w:asciiTheme="minorHAnsi" w:hAnsiTheme="minorHAnsi"/>
          <w:i/>
        </w:rPr>
        <w:t>Crimes Act 1914</w:t>
      </w:r>
      <w:r w:rsidR="00F32C71">
        <w:rPr>
          <w:rFonts w:asciiTheme="minorHAnsi" w:hAnsiTheme="minorHAnsi"/>
        </w:rPr>
        <w:t xml:space="preserve">, s 16A(1)).  </w:t>
      </w:r>
      <w:r w:rsidR="00F32C71" w:rsidRPr="006C3445">
        <w:rPr>
          <w:rFonts w:asciiTheme="minorHAnsi" w:hAnsiTheme="minorHAnsi"/>
        </w:rPr>
        <w:t>It is not permissible for a sentencing court to discount the head sentence to compensate for, or offset, the effect of s</w:t>
      </w:r>
      <w:r w:rsidR="00F32C71">
        <w:rPr>
          <w:rFonts w:asciiTheme="minorHAnsi" w:hAnsiTheme="minorHAnsi"/>
        </w:rPr>
        <w:t xml:space="preserve"> </w:t>
      </w:r>
      <w:r w:rsidR="00F32C71" w:rsidRPr="006C3445">
        <w:rPr>
          <w:rFonts w:asciiTheme="minorHAnsi" w:hAnsiTheme="minorHAnsi"/>
        </w:rPr>
        <w:t>19AG</w:t>
      </w:r>
      <w:r w:rsidR="00F32C71" w:rsidRPr="000408CC">
        <w:rPr>
          <w:rFonts w:ascii="Times New Roman" w:hAnsi="Times New Roman"/>
          <w:sz w:val="24"/>
          <w:lang w:eastAsia="en-AU"/>
        </w:rPr>
        <w:t>.</w:t>
      </w:r>
      <w:r w:rsidR="00F32C71" w:rsidRPr="00C00000">
        <w:rPr>
          <w:rStyle w:val="Style"/>
          <w:rFonts w:asciiTheme="minorHAnsi" w:hAnsiTheme="minorHAnsi"/>
        </w:rPr>
        <w:footnoteReference w:id="1140"/>
      </w:r>
    </w:p>
    <w:p w14:paraId="76441253" w14:textId="77777777" w:rsidR="00253684" w:rsidRPr="006C3445" w:rsidRDefault="00253684" w:rsidP="00253684">
      <w:pPr>
        <w:spacing w:line="276" w:lineRule="auto"/>
        <w:ind w:right="28"/>
        <w:rPr>
          <w:rFonts w:asciiTheme="minorHAnsi" w:hAnsiTheme="minorHAnsi"/>
        </w:rPr>
      </w:pPr>
    </w:p>
    <w:p w14:paraId="5CF23E07" w14:textId="7D210051" w:rsidR="00AD7113" w:rsidRDefault="00F32C71" w:rsidP="007C1A17">
      <w:pPr>
        <w:pStyle w:val="ListParagraph"/>
        <w:numPr>
          <w:ilvl w:val="0"/>
          <w:numId w:val="7"/>
        </w:numPr>
        <w:spacing w:line="276" w:lineRule="auto"/>
        <w:ind w:left="425" w:hanging="425"/>
        <w:rPr>
          <w:rFonts w:asciiTheme="minorHAnsi" w:hAnsiTheme="minorHAnsi"/>
        </w:rPr>
      </w:pPr>
      <w:r>
        <w:rPr>
          <w:rFonts w:asciiTheme="minorHAnsi" w:hAnsiTheme="minorHAnsi"/>
        </w:rPr>
        <w:t xml:space="preserve">As to the operation of the three-quarters rule, see </w:t>
      </w:r>
      <w:r w:rsidR="002641E0">
        <w:rPr>
          <w:rFonts w:asciiTheme="minorHAnsi" w:hAnsiTheme="minorHAnsi"/>
        </w:rPr>
        <w:t>“</w:t>
      </w:r>
      <w:r w:rsidR="002641E0">
        <w:rPr>
          <w:rFonts w:asciiTheme="minorHAnsi" w:hAnsiTheme="minorHAnsi"/>
        </w:rPr>
        <w:fldChar w:fldCharType="begin"/>
      </w:r>
      <w:r w:rsidR="002641E0">
        <w:rPr>
          <w:rFonts w:asciiTheme="minorHAnsi" w:hAnsiTheme="minorHAnsi"/>
        </w:rPr>
        <w:instrText xml:space="preserve"> REF _Ref507141153 \r \h  \* MERGEFORMAT </w:instrText>
      </w:r>
      <w:r w:rsidR="002641E0">
        <w:rPr>
          <w:rFonts w:asciiTheme="minorHAnsi" w:hAnsiTheme="minorHAnsi"/>
        </w:rPr>
      </w:r>
      <w:r w:rsidR="002641E0">
        <w:rPr>
          <w:rFonts w:asciiTheme="minorHAnsi" w:hAnsiTheme="minorHAnsi"/>
        </w:rPr>
        <w:fldChar w:fldCharType="separate"/>
      </w:r>
      <w:r w:rsidR="00D44BCF">
        <w:rPr>
          <w:rFonts w:asciiTheme="minorHAnsi" w:hAnsiTheme="minorHAnsi"/>
        </w:rPr>
        <w:t>5.10.9</w:t>
      </w:r>
      <w:r w:rsidR="002641E0">
        <w:rPr>
          <w:rFonts w:asciiTheme="minorHAnsi" w:hAnsiTheme="minorHAnsi"/>
        </w:rPr>
        <w:fldChar w:fldCharType="end"/>
      </w:r>
      <w:r w:rsidR="002641E0">
        <w:rPr>
          <w:rFonts w:asciiTheme="minorHAnsi" w:hAnsiTheme="minorHAnsi"/>
        </w:rPr>
        <w:t xml:space="preserve"> </w:t>
      </w:r>
      <w:r w:rsidR="002641E0">
        <w:rPr>
          <w:rFonts w:asciiTheme="minorHAnsi" w:hAnsiTheme="minorHAnsi"/>
        </w:rPr>
        <w:fldChar w:fldCharType="begin"/>
      </w:r>
      <w:r w:rsidR="002641E0">
        <w:rPr>
          <w:rFonts w:asciiTheme="minorHAnsi" w:hAnsiTheme="minorHAnsi"/>
        </w:rPr>
        <w:instrText xml:space="preserve"> REF _Ref507141153 \h  \* MERGEFORMAT </w:instrText>
      </w:r>
      <w:r w:rsidR="002641E0">
        <w:rPr>
          <w:rFonts w:asciiTheme="minorHAnsi" w:hAnsiTheme="minorHAnsi"/>
        </w:rPr>
      </w:r>
      <w:r w:rsidR="002641E0">
        <w:rPr>
          <w:rFonts w:asciiTheme="minorHAnsi" w:hAnsiTheme="minorHAnsi"/>
        </w:rPr>
        <w:fldChar w:fldCharType="separate"/>
      </w:r>
      <w:r w:rsidR="00D44BCF" w:rsidRPr="00D44BCF">
        <w:rPr>
          <w:rFonts w:asciiTheme="minorHAnsi" w:hAnsiTheme="minorHAnsi"/>
        </w:rPr>
        <w:t>The three-quarters rule in fixing a NPP for certain national security offences</w:t>
      </w:r>
      <w:r w:rsidR="002641E0">
        <w:rPr>
          <w:rFonts w:asciiTheme="minorHAnsi" w:hAnsiTheme="minorHAnsi"/>
        </w:rPr>
        <w:fldChar w:fldCharType="end"/>
      </w:r>
      <w:r w:rsidR="002641E0">
        <w:rPr>
          <w:rFonts w:asciiTheme="minorHAnsi" w:hAnsiTheme="minorHAnsi"/>
        </w:rPr>
        <w:t>”</w:t>
      </w:r>
      <w:r w:rsidR="001A3494">
        <w:rPr>
          <w:rFonts w:asciiTheme="minorHAnsi" w:hAnsiTheme="minorHAnsi"/>
        </w:rPr>
        <w:t>.</w:t>
      </w:r>
      <w:r w:rsidR="00B14C26">
        <w:rPr>
          <w:rFonts w:asciiTheme="minorHAnsi" w:hAnsiTheme="minorHAnsi"/>
        </w:rPr>
        <w:t xml:space="preserve"> </w:t>
      </w:r>
      <w:r w:rsidR="00AD7113">
        <w:rPr>
          <w:rFonts w:asciiTheme="minorHAnsi" w:hAnsiTheme="minorHAnsi"/>
        </w:rPr>
        <w:t xml:space="preserve"> </w:t>
      </w:r>
      <w:r w:rsidR="00AD7113" w:rsidRPr="00BC3290">
        <w:rPr>
          <w:rFonts w:asciiTheme="minorHAnsi" w:hAnsiTheme="minorHAnsi"/>
        </w:rPr>
        <w:t xml:space="preserve">As regards the need for a court to warn an offender about the ability of the Attorney-General to make an application for the detention of an offender beyond the expiration of </w:t>
      </w:r>
      <w:r w:rsidR="009C4492">
        <w:rPr>
          <w:rFonts w:asciiTheme="minorHAnsi" w:hAnsiTheme="minorHAnsi"/>
        </w:rPr>
        <w:t>the</w:t>
      </w:r>
      <w:r w:rsidR="00AD7113" w:rsidRPr="00BC3290">
        <w:rPr>
          <w:rFonts w:asciiTheme="minorHAnsi" w:hAnsiTheme="minorHAnsi"/>
        </w:rPr>
        <w:t xml:space="preserve"> NPP, see</w:t>
      </w:r>
      <w:r w:rsidR="009C4492">
        <w:rPr>
          <w:rFonts w:asciiTheme="minorHAnsi" w:hAnsiTheme="minorHAnsi"/>
        </w:rPr>
        <w:t xml:space="preserve"> “</w:t>
      </w:r>
      <w:r w:rsidR="009C4492">
        <w:rPr>
          <w:rFonts w:asciiTheme="minorHAnsi" w:hAnsiTheme="minorHAnsi"/>
        </w:rPr>
        <w:fldChar w:fldCharType="begin"/>
      </w:r>
      <w:r w:rsidR="009C4492">
        <w:rPr>
          <w:rFonts w:asciiTheme="minorHAnsi" w:hAnsiTheme="minorHAnsi"/>
        </w:rPr>
        <w:instrText xml:space="preserve"> REF _Ref517020945 \r \h  \* MERGEFORMAT </w:instrText>
      </w:r>
      <w:r w:rsidR="009C4492">
        <w:rPr>
          <w:rFonts w:asciiTheme="minorHAnsi" w:hAnsiTheme="minorHAnsi"/>
        </w:rPr>
      </w:r>
      <w:r w:rsidR="009C4492">
        <w:rPr>
          <w:rFonts w:asciiTheme="minorHAnsi" w:hAnsiTheme="minorHAnsi"/>
        </w:rPr>
        <w:fldChar w:fldCharType="separate"/>
      </w:r>
      <w:r w:rsidR="00D44BCF">
        <w:rPr>
          <w:rFonts w:asciiTheme="minorHAnsi" w:hAnsiTheme="minorHAnsi"/>
        </w:rPr>
        <w:t>7.11</w:t>
      </w:r>
      <w:r w:rsidR="009C4492">
        <w:rPr>
          <w:rFonts w:asciiTheme="minorHAnsi" w:hAnsiTheme="minorHAnsi"/>
        </w:rPr>
        <w:fldChar w:fldCharType="end"/>
      </w:r>
      <w:r w:rsidR="009C4492">
        <w:rPr>
          <w:rFonts w:asciiTheme="minorHAnsi" w:hAnsiTheme="minorHAnsi"/>
        </w:rPr>
        <w:t xml:space="preserve"> </w:t>
      </w:r>
      <w:r w:rsidR="009C4492">
        <w:rPr>
          <w:rFonts w:asciiTheme="minorHAnsi" w:hAnsiTheme="minorHAnsi"/>
        </w:rPr>
        <w:fldChar w:fldCharType="begin"/>
      </w:r>
      <w:r w:rsidR="009C4492">
        <w:rPr>
          <w:rFonts w:asciiTheme="minorHAnsi" w:hAnsiTheme="minorHAnsi"/>
        </w:rPr>
        <w:instrText xml:space="preserve"> REF _Ref517020945 \h  \* MERGEFORMAT </w:instrText>
      </w:r>
      <w:r w:rsidR="009C4492">
        <w:rPr>
          <w:rFonts w:asciiTheme="minorHAnsi" w:hAnsiTheme="minorHAnsi"/>
        </w:rPr>
      </w:r>
      <w:r w:rsidR="009C4492">
        <w:rPr>
          <w:rFonts w:asciiTheme="minorHAnsi" w:hAnsiTheme="minorHAnsi"/>
        </w:rPr>
        <w:fldChar w:fldCharType="separate"/>
      </w:r>
      <w:r w:rsidR="00D44BCF" w:rsidRPr="00D44BCF">
        <w:rPr>
          <w:rFonts w:asciiTheme="minorHAnsi" w:hAnsiTheme="minorHAnsi"/>
        </w:rPr>
        <w:t>Requirement to warn a terrorism offender about the possibility of a continuing detention order</w:t>
      </w:r>
      <w:r w:rsidR="009C4492">
        <w:rPr>
          <w:rFonts w:asciiTheme="minorHAnsi" w:hAnsiTheme="minorHAnsi"/>
        </w:rPr>
        <w:fldChar w:fldCharType="end"/>
      </w:r>
      <w:r w:rsidR="009C4492">
        <w:rPr>
          <w:rFonts w:asciiTheme="minorHAnsi" w:hAnsiTheme="minorHAnsi"/>
        </w:rPr>
        <w:t>”</w:t>
      </w:r>
      <w:r w:rsidR="00AD7113">
        <w:rPr>
          <w:rFonts w:asciiTheme="minorHAnsi" w:hAnsiTheme="minorHAnsi"/>
        </w:rPr>
        <w:t xml:space="preserve">. </w:t>
      </w:r>
    </w:p>
    <w:p w14:paraId="4D78C50E" w14:textId="44E132F1" w:rsidR="00C303B8" w:rsidRPr="00EB7F1E" w:rsidRDefault="00C303B8" w:rsidP="00EB7F1E">
      <w:pPr>
        <w:spacing w:line="276" w:lineRule="auto"/>
        <w:ind w:right="28"/>
        <w:rPr>
          <w:rFonts w:asciiTheme="minorHAnsi" w:hAnsiTheme="minorHAnsi"/>
        </w:rPr>
      </w:pPr>
    </w:p>
    <w:p w14:paraId="00A276D2" w14:textId="03F60070" w:rsidR="00C76345" w:rsidRPr="00704CE9" w:rsidRDefault="00135F56" w:rsidP="00407B97">
      <w:pPr>
        <w:pStyle w:val="Heading3"/>
      </w:pPr>
      <w:bookmarkStart w:id="3134" w:name="_Toc12706819"/>
      <w:bookmarkStart w:id="3135" w:name="_Toc12860756"/>
      <w:bookmarkStart w:id="3136" w:name="_Toc12862325"/>
      <w:bookmarkStart w:id="3137" w:name="_Toc12864371"/>
      <w:bookmarkStart w:id="3138" w:name="_Toc13551924"/>
      <w:bookmarkStart w:id="3139" w:name="_Toc13737701"/>
      <w:bookmarkStart w:id="3140" w:name="_Toc13738116"/>
      <w:bookmarkStart w:id="3141" w:name="_Toc25308674"/>
      <w:bookmarkStart w:id="3142" w:name="_Ref492551931"/>
      <w:bookmarkStart w:id="3143" w:name="_Ref492551934"/>
      <w:bookmarkStart w:id="3144" w:name="_Ref492552379"/>
      <w:bookmarkStart w:id="3145" w:name="_Ref492552382"/>
      <w:bookmarkStart w:id="3146" w:name="_Toc33602977"/>
      <w:bookmarkEnd w:id="3134"/>
      <w:bookmarkEnd w:id="3135"/>
      <w:bookmarkEnd w:id="3136"/>
      <w:bookmarkEnd w:id="3137"/>
      <w:bookmarkEnd w:id="3138"/>
      <w:bookmarkEnd w:id="3139"/>
      <w:bookmarkEnd w:id="3140"/>
      <w:bookmarkEnd w:id="3141"/>
      <w:r w:rsidRPr="00704CE9">
        <w:t>Mandatory imprisonment for certain people</w:t>
      </w:r>
      <w:r w:rsidR="00C70950" w:rsidRPr="00704CE9">
        <w:t>-smuggling offences</w:t>
      </w:r>
      <w:bookmarkEnd w:id="3142"/>
      <w:bookmarkEnd w:id="3143"/>
      <w:bookmarkEnd w:id="3144"/>
      <w:bookmarkEnd w:id="3145"/>
      <w:bookmarkEnd w:id="3146"/>
    </w:p>
    <w:p w14:paraId="58AF72A4" w14:textId="77777777" w:rsidR="00C76345" w:rsidRPr="00051102" w:rsidRDefault="00C76345" w:rsidP="00407B97">
      <w:pPr>
        <w:keepNext/>
        <w:spacing w:line="276" w:lineRule="auto"/>
        <w:rPr>
          <w:rFonts w:ascii="Calibri" w:hAnsi="Calibri"/>
        </w:rPr>
      </w:pPr>
    </w:p>
    <w:p w14:paraId="529D836A" w14:textId="26CC2907" w:rsidR="0038651D" w:rsidRPr="0038651D" w:rsidRDefault="0038651D" w:rsidP="00EB7F1E">
      <w:pPr>
        <w:pStyle w:val="ListParagraph"/>
        <w:numPr>
          <w:ilvl w:val="0"/>
          <w:numId w:val="7"/>
        </w:numPr>
        <w:spacing w:line="276" w:lineRule="auto"/>
        <w:ind w:left="425" w:hanging="425"/>
        <w:rPr>
          <w:rFonts w:asciiTheme="minorHAnsi" w:hAnsiTheme="minorHAnsi"/>
        </w:rPr>
      </w:pPr>
      <w:r>
        <w:rPr>
          <w:rFonts w:asciiTheme="minorHAnsi" w:hAnsiTheme="minorHAnsi"/>
        </w:rPr>
        <w:t xml:space="preserve">Section 236B of </w:t>
      </w:r>
      <w:r w:rsidRPr="00C00000">
        <w:rPr>
          <w:rFonts w:asciiTheme="minorHAnsi" w:hAnsiTheme="minorHAnsi"/>
        </w:rPr>
        <w:t xml:space="preserve">the </w:t>
      </w:r>
      <w:r w:rsidRPr="00C00000">
        <w:rPr>
          <w:rFonts w:asciiTheme="minorHAnsi" w:hAnsiTheme="minorHAnsi"/>
          <w:i/>
          <w:iCs/>
        </w:rPr>
        <w:t>Migration Act 1958</w:t>
      </w:r>
      <w:r>
        <w:rPr>
          <w:rFonts w:asciiTheme="minorHAnsi" w:hAnsiTheme="minorHAnsi"/>
          <w:i/>
          <w:iCs/>
        </w:rPr>
        <w:t xml:space="preserve"> </w:t>
      </w:r>
      <w:r>
        <w:rPr>
          <w:rFonts w:asciiTheme="minorHAnsi" w:hAnsiTheme="minorHAnsi"/>
          <w:iCs/>
        </w:rPr>
        <w:t>(Cth) provides for a mandatory term of imprisonment, a mandatory minimum duration of that term, and a mandatory minimum non-parole period for certain specified people-smuggling offences</w:t>
      </w:r>
      <w:r w:rsidR="00187E54" w:rsidRPr="00C00000">
        <w:rPr>
          <w:rFonts w:asciiTheme="minorHAnsi" w:hAnsiTheme="minorHAnsi"/>
        </w:rPr>
        <w:t>.</w:t>
      </w:r>
      <w:r w:rsidR="00E6770E">
        <w:rPr>
          <w:rFonts w:asciiTheme="minorHAnsi" w:hAnsiTheme="minorHAnsi"/>
        </w:rPr>
        <w:t xml:space="preserve">  The only exception to the mandatory requirements is if </w:t>
      </w:r>
      <w:r w:rsidR="00E6770E" w:rsidRPr="00C00000">
        <w:rPr>
          <w:rFonts w:asciiTheme="minorHAnsi" w:hAnsiTheme="minorHAnsi"/>
        </w:rPr>
        <w:t xml:space="preserve">it is established on the balance of probabilities that the </w:t>
      </w:r>
      <w:r w:rsidR="00E6770E">
        <w:rPr>
          <w:rFonts w:asciiTheme="minorHAnsi" w:hAnsiTheme="minorHAnsi"/>
        </w:rPr>
        <w:t>offender</w:t>
      </w:r>
      <w:r w:rsidR="00E6770E" w:rsidRPr="00C00000">
        <w:rPr>
          <w:rFonts w:asciiTheme="minorHAnsi" w:hAnsiTheme="minorHAnsi"/>
        </w:rPr>
        <w:t xml:space="preserve"> was aged under 18 years when the offence was committed</w:t>
      </w:r>
      <w:r w:rsidR="00E6770E">
        <w:rPr>
          <w:rFonts w:asciiTheme="minorHAnsi" w:hAnsiTheme="minorHAnsi"/>
          <w:iCs/>
        </w:rPr>
        <w:t xml:space="preserve"> (s</w:t>
      </w:r>
      <w:r w:rsidR="00E6770E" w:rsidRPr="00C00000">
        <w:rPr>
          <w:rFonts w:asciiTheme="minorHAnsi" w:hAnsiTheme="minorHAnsi"/>
        </w:rPr>
        <w:t>236B(2)</w:t>
      </w:r>
      <w:r w:rsidR="00E6770E">
        <w:rPr>
          <w:rFonts w:asciiTheme="minorHAnsi" w:hAnsiTheme="minorHAnsi"/>
        </w:rPr>
        <w:t>).</w:t>
      </w:r>
    </w:p>
    <w:p w14:paraId="7EA67D12" w14:textId="77777777" w:rsidR="0038651D" w:rsidRPr="0038651D" w:rsidRDefault="0038651D" w:rsidP="0038651D">
      <w:pPr>
        <w:widowControl w:val="0"/>
        <w:spacing w:line="276" w:lineRule="auto"/>
        <w:jc w:val="both"/>
        <w:rPr>
          <w:rFonts w:asciiTheme="minorHAnsi" w:hAnsiTheme="minorHAnsi"/>
        </w:rPr>
      </w:pPr>
    </w:p>
    <w:p w14:paraId="5DD2569E" w14:textId="77777777" w:rsidR="00F57A49" w:rsidRDefault="0038651D" w:rsidP="00EB7F1E">
      <w:pPr>
        <w:pStyle w:val="ListParagraph"/>
        <w:numPr>
          <w:ilvl w:val="0"/>
          <w:numId w:val="7"/>
        </w:numPr>
        <w:spacing w:line="276" w:lineRule="auto"/>
        <w:ind w:left="425" w:hanging="425"/>
        <w:rPr>
          <w:rFonts w:asciiTheme="minorHAnsi" w:hAnsiTheme="minorHAnsi"/>
        </w:rPr>
      </w:pPr>
      <w:r>
        <w:rPr>
          <w:rFonts w:asciiTheme="minorHAnsi" w:hAnsiTheme="minorHAnsi"/>
        </w:rPr>
        <w:t xml:space="preserve">The mandatory requirements apply </w:t>
      </w:r>
      <w:r w:rsidR="00F57A49">
        <w:rPr>
          <w:rFonts w:asciiTheme="minorHAnsi" w:hAnsiTheme="minorHAnsi"/>
        </w:rPr>
        <w:t xml:space="preserve">if a person is convicted of an offence against any of the following provisions of the </w:t>
      </w:r>
      <w:r w:rsidR="00F57A49" w:rsidRPr="00F57A49">
        <w:rPr>
          <w:rFonts w:asciiTheme="minorHAnsi" w:hAnsiTheme="minorHAnsi"/>
          <w:i/>
        </w:rPr>
        <w:t>Migration Act 1958</w:t>
      </w:r>
      <w:r w:rsidR="00F57A49">
        <w:rPr>
          <w:rFonts w:asciiTheme="minorHAnsi" w:hAnsiTheme="minorHAnsi"/>
        </w:rPr>
        <w:t xml:space="preserve"> (Cth):</w:t>
      </w:r>
    </w:p>
    <w:p w14:paraId="3206D80D" w14:textId="702E856A" w:rsidR="004F77EB" w:rsidRDefault="00F57A49"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s 233B</w:t>
      </w:r>
      <w:r w:rsidRPr="00F57A49">
        <w:rPr>
          <w:rFonts w:asciiTheme="minorHAnsi" w:hAnsiTheme="minorHAnsi"/>
        </w:rPr>
        <w:t xml:space="preserve"> </w:t>
      </w:r>
      <w:r>
        <w:rPr>
          <w:rFonts w:asciiTheme="minorHAnsi" w:hAnsiTheme="minorHAnsi"/>
        </w:rPr>
        <w:t xml:space="preserve">(aggravated people smuggling, </w:t>
      </w:r>
      <w:r w:rsidR="004F77EB">
        <w:rPr>
          <w:rFonts w:asciiTheme="minorHAnsi" w:hAnsiTheme="minorHAnsi"/>
        </w:rPr>
        <w:t>involving cruel, inhuman or degrading treatment, or conduct giving rise to a danger of death or serious harm to the person</w:t>
      </w:r>
      <w:r w:rsidR="00DC5C3C">
        <w:rPr>
          <w:rFonts w:asciiTheme="minorHAnsi" w:hAnsiTheme="minorHAnsi"/>
        </w:rPr>
        <w:t>)</w:t>
      </w:r>
      <w:r w:rsidR="004F77EB">
        <w:rPr>
          <w:rFonts w:asciiTheme="minorHAnsi" w:hAnsiTheme="minorHAnsi"/>
        </w:rPr>
        <w:t>;</w:t>
      </w:r>
      <w:r w:rsidR="00CE25F3" w:rsidRPr="00C00000">
        <w:rPr>
          <w:rStyle w:val="Style"/>
          <w:rFonts w:asciiTheme="minorHAnsi" w:hAnsiTheme="minorHAnsi"/>
        </w:rPr>
        <w:footnoteReference w:id="1141"/>
      </w:r>
    </w:p>
    <w:p w14:paraId="170CA82E" w14:textId="44A5B056" w:rsidR="004F77EB" w:rsidRDefault="00F57A49"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s 233C</w:t>
      </w:r>
      <w:r w:rsidR="004F77EB">
        <w:rPr>
          <w:rFonts w:asciiTheme="minorHAnsi" w:hAnsiTheme="minorHAnsi"/>
        </w:rPr>
        <w:t xml:space="preserve"> (aggravated people smuggling, involving a group of at least 5 unlawful non-citizens); or</w:t>
      </w:r>
    </w:p>
    <w:p w14:paraId="65EBD22A" w14:textId="28AD5CA7" w:rsidR="0038651D" w:rsidRDefault="007217F8" w:rsidP="00EB7F1E">
      <w:pPr>
        <w:pStyle w:val="ListParagraph"/>
        <w:numPr>
          <w:ilvl w:val="1"/>
          <w:numId w:val="36"/>
        </w:numPr>
        <w:spacing w:line="276" w:lineRule="auto"/>
        <w:ind w:left="993" w:right="28" w:hanging="142"/>
        <w:rPr>
          <w:rFonts w:asciiTheme="minorHAnsi" w:hAnsiTheme="minorHAnsi"/>
        </w:rPr>
      </w:pPr>
      <w:r>
        <w:rPr>
          <w:rFonts w:asciiTheme="minorHAnsi" w:hAnsiTheme="minorHAnsi"/>
        </w:rPr>
        <w:t>s</w:t>
      </w:r>
      <w:r w:rsidR="00F57A49">
        <w:rPr>
          <w:rFonts w:asciiTheme="minorHAnsi" w:hAnsiTheme="minorHAnsi"/>
        </w:rPr>
        <w:t xml:space="preserve"> 234A </w:t>
      </w:r>
      <w:r w:rsidR="004F77EB">
        <w:rPr>
          <w:rFonts w:asciiTheme="minorHAnsi" w:hAnsiTheme="minorHAnsi"/>
        </w:rPr>
        <w:t>(</w:t>
      </w:r>
      <w:r w:rsidR="00192470">
        <w:rPr>
          <w:rFonts w:asciiTheme="minorHAnsi" w:hAnsiTheme="minorHAnsi"/>
        </w:rPr>
        <w:t xml:space="preserve">offence relating to forged or </w:t>
      </w:r>
      <w:r w:rsidR="004F77EB">
        <w:rPr>
          <w:rFonts w:asciiTheme="minorHAnsi" w:hAnsiTheme="minorHAnsi"/>
        </w:rPr>
        <w:t>false documents</w:t>
      </w:r>
      <w:r w:rsidR="00192470">
        <w:rPr>
          <w:rFonts w:asciiTheme="minorHAnsi" w:hAnsiTheme="minorHAnsi"/>
        </w:rPr>
        <w:t>, or false or misleading statements or documents, relating to a group of 5 or more non-citizens or a member of such a group).</w:t>
      </w:r>
    </w:p>
    <w:p w14:paraId="41B55020" w14:textId="568EBBBF" w:rsidR="0038651D" w:rsidRDefault="00187E54" w:rsidP="00F05CC3">
      <w:pPr>
        <w:pStyle w:val="ListParagraph"/>
        <w:ind w:left="426"/>
        <w:rPr>
          <w:rFonts w:asciiTheme="minorHAnsi" w:hAnsiTheme="minorHAnsi"/>
        </w:rPr>
      </w:pPr>
      <w:r>
        <w:rPr>
          <w:rFonts w:asciiTheme="minorHAnsi" w:hAnsiTheme="minorHAnsi"/>
        </w:rPr>
        <w:t>Each offence is punishable by 20 years</w:t>
      </w:r>
      <w:r w:rsidR="00AA693C">
        <w:rPr>
          <w:rFonts w:asciiTheme="minorHAnsi" w:hAnsiTheme="minorHAnsi"/>
        </w:rPr>
        <w:t>’</w:t>
      </w:r>
      <w:r>
        <w:rPr>
          <w:rFonts w:asciiTheme="minorHAnsi" w:hAnsiTheme="minorHAnsi"/>
        </w:rPr>
        <w:t xml:space="preserve"> imprisonment or a fine of 2,000 penalty units or both.</w:t>
      </w:r>
    </w:p>
    <w:p w14:paraId="16F005B0" w14:textId="77777777" w:rsidR="00F70AE7" w:rsidRPr="00C00000" w:rsidRDefault="00F70AE7" w:rsidP="00F70AE7">
      <w:pPr>
        <w:widowControl w:val="0"/>
        <w:tabs>
          <w:tab w:val="left" w:pos="284"/>
          <w:tab w:val="left" w:pos="993"/>
        </w:tabs>
        <w:spacing w:line="276" w:lineRule="auto"/>
        <w:ind w:left="567" w:hanging="567"/>
        <w:jc w:val="both"/>
        <w:rPr>
          <w:rFonts w:asciiTheme="minorHAnsi" w:hAnsiTheme="minorHAnsi"/>
        </w:rPr>
      </w:pPr>
    </w:p>
    <w:p w14:paraId="1116DFD9" w14:textId="785CFC7C" w:rsidR="00F70AE7" w:rsidRPr="00C00000" w:rsidRDefault="0093326E" w:rsidP="00EB7F1E">
      <w:pPr>
        <w:pStyle w:val="ListParagraph"/>
        <w:numPr>
          <w:ilvl w:val="0"/>
          <w:numId w:val="7"/>
        </w:numPr>
        <w:spacing w:line="276" w:lineRule="auto"/>
        <w:ind w:left="425" w:hanging="425"/>
        <w:rPr>
          <w:rFonts w:asciiTheme="minorHAnsi" w:hAnsiTheme="minorHAnsi"/>
        </w:rPr>
      </w:pPr>
      <w:r>
        <w:rPr>
          <w:rFonts w:asciiTheme="minorHAnsi" w:hAnsiTheme="minorHAnsi"/>
        </w:rPr>
        <w:t>If</w:t>
      </w:r>
      <w:r w:rsidR="00F70AE7" w:rsidRPr="00C00000">
        <w:rPr>
          <w:rFonts w:asciiTheme="minorHAnsi" w:hAnsiTheme="minorHAnsi"/>
        </w:rPr>
        <w:t xml:space="preserve"> a person is convicted of an offence against s 233B, or a repeat offence </w:t>
      </w:r>
      <w:r w:rsidR="00B328F2">
        <w:rPr>
          <w:rFonts w:asciiTheme="minorHAnsi" w:hAnsiTheme="minorHAnsi"/>
        </w:rPr>
        <w:t>for a relevant people smuggling offence</w:t>
      </w:r>
      <w:r w:rsidR="00B65C58">
        <w:rPr>
          <w:rFonts w:asciiTheme="minorHAnsi" w:hAnsiTheme="minorHAnsi"/>
        </w:rPr>
        <w:t>,</w:t>
      </w:r>
      <w:r w:rsidR="00B328F2" w:rsidRPr="00C00000">
        <w:rPr>
          <w:rStyle w:val="Style"/>
          <w:rFonts w:asciiTheme="minorHAnsi" w:hAnsiTheme="minorHAnsi"/>
        </w:rPr>
        <w:footnoteReference w:id="1142"/>
      </w:r>
      <w:r w:rsidR="00F70AE7" w:rsidRPr="00C00000">
        <w:rPr>
          <w:rFonts w:asciiTheme="minorHAnsi" w:hAnsiTheme="minorHAnsi"/>
        </w:rPr>
        <w:t xml:space="preserve"> the court is required to impose a sentence of at least 8 years</w:t>
      </w:r>
      <w:r w:rsidR="000746E9">
        <w:rPr>
          <w:rFonts w:asciiTheme="minorHAnsi" w:hAnsiTheme="minorHAnsi"/>
        </w:rPr>
        <w:t xml:space="preserve"> (s 236B(3)(a) and (b))</w:t>
      </w:r>
      <w:r w:rsidR="00F70AE7" w:rsidRPr="00C00000">
        <w:rPr>
          <w:rFonts w:asciiTheme="minorHAnsi" w:hAnsiTheme="minorHAnsi"/>
        </w:rPr>
        <w:t>, with a non-parole period of at least 5 years</w:t>
      </w:r>
      <w:r w:rsidR="000746E9">
        <w:rPr>
          <w:rFonts w:asciiTheme="minorHAnsi" w:hAnsiTheme="minorHAnsi"/>
        </w:rPr>
        <w:t xml:space="preserve"> (s 236B(4)(a))</w:t>
      </w:r>
      <w:r w:rsidR="00F70AE7" w:rsidRPr="00C00000">
        <w:rPr>
          <w:rFonts w:asciiTheme="minorHAnsi" w:hAnsiTheme="minorHAnsi"/>
        </w:rPr>
        <w:t xml:space="preserve">. </w:t>
      </w:r>
      <w:r w:rsidR="000746E9">
        <w:rPr>
          <w:rFonts w:asciiTheme="minorHAnsi" w:hAnsiTheme="minorHAnsi"/>
        </w:rPr>
        <w:t xml:space="preserve"> </w:t>
      </w:r>
      <w:r w:rsidR="00F70AE7" w:rsidRPr="00C00000">
        <w:rPr>
          <w:rFonts w:asciiTheme="minorHAnsi" w:hAnsiTheme="minorHAnsi"/>
        </w:rPr>
        <w:t>If a person is convicted of a</w:t>
      </w:r>
      <w:r w:rsidR="000746E9">
        <w:rPr>
          <w:rFonts w:asciiTheme="minorHAnsi" w:hAnsiTheme="minorHAnsi"/>
        </w:rPr>
        <w:t>n</w:t>
      </w:r>
      <w:r w:rsidR="00F70AE7" w:rsidRPr="00C00000">
        <w:rPr>
          <w:rFonts w:asciiTheme="minorHAnsi" w:hAnsiTheme="minorHAnsi"/>
        </w:rPr>
        <w:t xml:space="preserve"> offence against s 233C or s 234A </w:t>
      </w:r>
      <w:r w:rsidR="000746E9">
        <w:rPr>
          <w:rFonts w:asciiTheme="minorHAnsi" w:hAnsiTheme="minorHAnsi"/>
        </w:rPr>
        <w:t xml:space="preserve">(other than a repeat offence) </w:t>
      </w:r>
      <w:r w:rsidR="00F70AE7" w:rsidRPr="00C00000">
        <w:rPr>
          <w:rFonts w:asciiTheme="minorHAnsi" w:hAnsiTheme="minorHAnsi"/>
        </w:rPr>
        <w:t xml:space="preserve">the </w:t>
      </w:r>
      <w:r w:rsidR="007A7C1F">
        <w:rPr>
          <w:rFonts w:asciiTheme="minorHAnsi" w:hAnsiTheme="minorHAnsi"/>
        </w:rPr>
        <w:t>c</w:t>
      </w:r>
      <w:r w:rsidR="00F70AE7" w:rsidRPr="00C00000">
        <w:rPr>
          <w:rFonts w:asciiTheme="minorHAnsi" w:hAnsiTheme="minorHAnsi"/>
        </w:rPr>
        <w:t xml:space="preserve">ourt must impose a sentence of at least 5 years </w:t>
      </w:r>
      <w:r w:rsidR="000746E9">
        <w:rPr>
          <w:rFonts w:asciiTheme="minorHAnsi" w:hAnsiTheme="minorHAnsi"/>
        </w:rPr>
        <w:t xml:space="preserve">(s 236B(3)(c)) </w:t>
      </w:r>
      <w:r w:rsidR="00F70AE7" w:rsidRPr="00C00000">
        <w:rPr>
          <w:rFonts w:asciiTheme="minorHAnsi" w:hAnsiTheme="minorHAnsi"/>
        </w:rPr>
        <w:t>with a non-parole period of at least 3</w:t>
      </w:r>
      <w:r w:rsidR="000746E9">
        <w:rPr>
          <w:rFonts w:asciiTheme="minorHAnsi" w:hAnsiTheme="minorHAnsi"/>
        </w:rPr>
        <w:t xml:space="preserve"> </w:t>
      </w:r>
      <w:r w:rsidR="00F70AE7" w:rsidRPr="00C00000">
        <w:rPr>
          <w:rFonts w:asciiTheme="minorHAnsi" w:hAnsiTheme="minorHAnsi"/>
        </w:rPr>
        <w:t>years</w:t>
      </w:r>
      <w:r w:rsidR="000746E9">
        <w:rPr>
          <w:rFonts w:asciiTheme="minorHAnsi" w:hAnsiTheme="minorHAnsi"/>
        </w:rPr>
        <w:t xml:space="preserve"> (s 233B(4)(b)).</w:t>
      </w:r>
    </w:p>
    <w:p w14:paraId="35963012" w14:textId="77777777" w:rsidR="00F70AE7" w:rsidRPr="00C00000" w:rsidRDefault="00F70AE7" w:rsidP="00F70AE7">
      <w:pPr>
        <w:widowControl w:val="0"/>
        <w:spacing w:line="276" w:lineRule="auto"/>
        <w:ind w:left="567" w:hanging="567"/>
        <w:jc w:val="both"/>
        <w:rPr>
          <w:rFonts w:asciiTheme="minorHAnsi" w:hAnsiTheme="minorHAnsi"/>
        </w:rPr>
      </w:pPr>
    </w:p>
    <w:p w14:paraId="5DBEEAC5" w14:textId="224F1005" w:rsidR="00F70AE7" w:rsidRPr="00C00000" w:rsidRDefault="00F70AE7" w:rsidP="00EB7F1E">
      <w:pPr>
        <w:pStyle w:val="ListParagraph"/>
        <w:numPr>
          <w:ilvl w:val="0"/>
          <w:numId w:val="7"/>
        </w:numPr>
        <w:spacing w:line="276" w:lineRule="auto"/>
        <w:ind w:left="425" w:hanging="425"/>
        <w:rPr>
          <w:rFonts w:asciiTheme="minorHAnsi" w:hAnsiTheme="minorHAnsi"/>
        </w:rPr>
      </w:pPr>
      <w:r w:rsidRPr="00C00000">
        <w:rPr>
          <w:rFonts w:asciiTheme="minorHAnsi" w:hAnsiTheme="minorHAnsi"/>
        </w:rPr>
        <w:t>These provisions are inconsistent with</w:t>
      </w:r>
      <w:r w:rsidR="00660404">
        <w:rPr>
          <w:rFonts w:asciiTheme="minorHAnsi" w:hAnsiTheme="minorHAnsi"/>
        </w:rPr>
        <w:t>,</w:t>
      </w:r>
      <w:r w:rsidRPr="00C00000">
        <w:rPr>
          <w:rFonts w:asciiTheme="minorHAnsi" w:hAnsiTheme="minorHAnsi"/>
        </w:rPr>
        <w:t xml:space="preserve"> </w:t>
      </w:r>
      <w:r w:rsidR="00660404" w:rsidRPr="00C00000">
        <w:rPr>
          <w:rFonts w:asciiTheme="minorHAnsi" w:hAnsiTheme="minorHAnsi"/>
        </w:rPr>
        <w:t>and prevail over</w:t>
      </w:r>
      <w:r w:rsidR="00660404">
        <w:rPr>
          <w:rFonts w:asciiTheme="minorHAnsi" w:hAnsiTheme="minorHAnsi"/>
        </w:rPr>
        <w:t>,</w:t>
      </w:r>
      <w:r w:rsidR="00660404" w:rsidRPr="00C00000">
        <w:rPr>
          <w:rFonts w:asciiTheme="minorHAnsi" w:hAnsiTheme="minorHAnsi"/>
        </w:rPr>
        <w:t xml:space="preserve"> </w:t>
      </w:r>
      <w:r w:rsidRPr="00C00000">
        <w:rPr>
          <w:rFonts w:asciiTheme="minorHAnsi" w:hAnsiTheme="minorHAnsi"/>
        </w:rPr>
        <w:t xml:space="preserve">s 17A of the </w:t>
      </w:r>
      <w:r w:rsidR="00885EFD" w:rsidRPr="00885EFD">
        <w:rPr>
          <w:rFonts w:asciiTheme="minorHAnsi" w:hAnsiTheme="minorHAnsi"/>
          <w:i/>
        </w:rPr>
        <w:t>Crimes Act 1914</w:t>
      </w:r>
      <w:r w:rsidRPr="00C00000">
        <w:rPr>
          <w:rFonts w:asciiTheme="minorHAnsi" w:hAnsiTheme="minorHAnsi"/>
        </w:rPr>
        <w:t xml:space="preserve">.  </w:t>
      </w:r>
      <w:r w:rsidR="0093326E">
        <w:rPr>
          <w:rFonts w:asciiTheme="minorHAnsi" w:hAnsiTheme="minorHAnsi"/>
        </w:rPr>
        <w:t>T</w:t>
      </w:r>
      <w:r w:rsidRPr="00C00000">
        <w:rPr>
          <w:rFonts w:asciiTheme="minorHAnsi" w:hAnsiTheme="minorHAnsi"/>
        </w:rPr>
        <w:t>he statutory minimum and maximum penalties are the floor and ceiling respectively within which the sentencer has a discretion and to which general sentencing principles are to be applied.</w:t>
      </w:r>
      <w:r w:rsidRPr="00C00000">
        <w:rPr>
          <w:rStyle w:val="Style"/>
          <w:rFonts w:asciiTheme="minorHAnsi" w:hAnsiTheme="minorHAnsi"/>
        </w:rPr>
        <w:footnoteReference w:id="1143"/>
      </w:r>
      <w:r w:rsidR="008F0338">
        <w:rPr>
          <w:rFonts w:asciiTheme="minorHAnsi" w:hAnsiTheme="minorHAnsi"/>
        </w:rPr>
        <w:t xml:space="preserve">  </w:t>
      </w:r>
      <w:r w:rsidR="00500D88" w:rsidRPr="003426ED">
        <w:rPr>
          <w:rFonts w:asciiTheme="minorHAnsi" w:hAnsiTheme="minorHAnsi"/>
        </w:rPr>
        <w:t xml:space="preserve">The statutory maximum and minimum </w:t>
      </w:r>
      <w:r w:rsidR="004E17DD">
        <w:rPr>
          <w:rFonts w:asciiTheme="minorHAnsi" w:hAnsiTheme="minorHAnsi"/>
        </w:rPr>
        <w:t xml:space="preserve">penalties </w:t>
      </w:r>
      <w:r w:rsidR="00500D88" w:rsidRPr="003426ED">
        <w:rPr>
          <w:rFonts w:asciiTheme="minorHAnsi" w:hAnsiTheme="minorHAnsi"/>
        </w:rPr>
        <w:t>dictate the seriousness of the offence for the purpose of s 16A(1)</w:t>
      </w:r>
      <w:r w:rsidR="003426ED">
        <w:rPr>
          <w:rFonts w:asciiTheme="minorHAnsi" w:hAnsiTheme="minorHAnsi"/>
        </w:rPr>
        <w:t xml:space="preserve"> of the </w:t>
      </w:r>
      <w:r w:rsidR="00885EFD" w:rsidRPr="00885EFD">
        <w:rPr>
          <w:rFonts w:asciiTheme="minorHAnsi" w:hAnsiTheme="minorHAnsi"/>
          <w:i/>
        </w:rPr>
        <w:t>Crimes Act 1914</w:t>
      </w:r>
      <w:r w:rsidR="00500D88" w:rsidRPr="003426ED">
        <w:rPr>
          <w:rFonts w:asciiTheme="minorHAnsi" w:hAnsiTheme="minorHAnsi"/>
        </w:rPr>
        <w:t>.</w:t>
      </w:r>
      <w:r w:rsidR="003426ED" w:rsidRPr="00C00000">
        <w:rPr>
          <w:rStyle w:val="Style"/>
          <w:rFonts w:asciiTheme="minorHAnsi" w:hAnsiTheme="minorHAnsi"/>
        </w:rPr>
        <w:footnoteReference w:id="1144"/>
      </w:r>
      <w:r w:rsidR="00500D88" w:rsidRPr="00051102">
        <w:rPr>
          <w:rStyle w:val="ssleftalign"/>
          <w:rFonts w:ascii="Calibri" w:hAnsi="Calibri"/>
        </w:rPr>
        <w:t xml:space="preserve"> </w:t>
      </w:r>
      <w:r w:rsidR="00FE102A">
        <w:rPr>
          <w:rStyle w:val="ssleftalign"/>
          <w:rFonts w:ascii="Calibri" w:hAnsi="Calibri"/>
        </w:rPr>
        <w:t xml:space="preserve"> </w:t>
      </w:r>
      <w:r w:rsidR="008F0338" w:rsidRPr="001C132E">
        <w:rPr>
          <w:rFonts w:asciiTheme="minorHAnsi" w:hAnsiTheme="minorHAnsi"/>
        </w:rPr>
        <w:t xml:space="preserve">Where there is a mandatory </w:t>
      </w:r>
      <w:r w:rsidR="00FE102A" w:rsidRPr="001C132E">
        <w:rPr>
          <w:rFonts w:asciiTheme="minorHAnsi" w:hAnsiTheme="minorHAnsi"/>
        </w:rPr>
        <w:t xml:space="preserve">minimum </w:t>
      </w:r>
      <w:r w:rsidR="008F0338" w:rsidRPr="001C132E">
        <w:rPr>
          <w:rFonts w:asciiTheme="minorHAnsi" w:hAnsiTheme="minorHAnsi"/>
        </w:rPr>
        <w:t>sentence of imprisonment the question for the sentencing judge is where, having regard to all relevant sentencing factors, the offending falls in the range between the least serious category of offending for which the minimum is appropriate and the worst category of offending for which the maximum is appropriate.</w:t>
      </w:r>
      <w:r w:rsidR="001C132E" w:rsidRPr="00C00000">
        <w:rPr>
          <w:rStyle w:val="Style"/>
          <w:rFonts w:asciiTheme="minorHAnsi" w:hAnsiTheme="minorHAnsi"/>
        </w:rPr>
        <w:footnoteReference w:id="1145"/>
      </w:r>
      <w:r w:rsidR="008F0338" w:rsidRPr="00051102">
        <w:rPr>
          <w:rFonts w:ascii="Calibri" w:hAnsi="Calibri"/>
          <w:lang w:eastAsia="en-AU"/>
        </w:rPr>
        <w:t xml:space="preserve">  </w:t>
      </w:r>
    </w:p>
    <w:p w14:paraId="0041654E" w14:textId="77777777" w:rsidR="00F70AE7" w:rsidRPr="00C00000" w:rsidRDefault="00F70AE7" w:rsidP="00F70AE7">
      <w:pPr>
        <w:widowControl w:val="0"/>
        <w:spacing w:line="276" w:lineRule="auto"/>
        <w:ind w:left="567" w:hanging="567"/>
        <w:jc w:val="both"/>
        <w:rPr>
          <w:rFonts w:asciiTheme="minorHAnsi" w:hAnsiTheme="minorHAnsi"/>
        </w:rPr>
      </w:pPr>
    </w:p>
    <w:p w14:paraId="67D81DBA" w14:textId="1DC86F29" w:rsidR="00F70AE7" w:rsidRDefault="00B65C58" w:rsidP="00EB7F1E">
      <w:pPr>
        <w:pStyle w:val="ListParagraph"/>
        <w:numPr>
          <w:ilvl w:val="0"/>
          <w:numId w:val="7"/>
        </w:numPr>
        <w:spacing w:line="276" w:lineRule="auto"/>
        <w:ind w:left="425" w:hanging="425"/>
        <w:rPr>
          <w:rFonts w:asciiTheme="minorHAnsi" w:hAnsiTheme="minorHAnsi"/>
        </w:rPr>
      </w:pPr>
      <w:r w:rsidRPr="00C00000">
        <w:rPr>
          <w:rFonts w:asciiTheme="minorHAnsi" w:hAnsiTheme="minorHAnsi"/>
        </w:rPr>
        <w:t xml:space="preserve">In </w:t>
      </w:r>
      <w:r w:rsidR="00F70AE7" w:rsidRPr="00C00000">
        <w:rPr>
          <w:rFonts w:asciiTheme="minorHAnsi" w:hAnsiTheme="minorHAnsi"/>
          <w:i/>
        </w:rPr>
        <w:t>Magaming</w:t>
      </w:r>
      <w:r>
        <w:rPr>
          <w:rFonts w:asciiTheme="minorHAnsi" w:hAnsiTheme="minorHAnsi"/>
          <w:i/>
        </w:rPr>
        <w:t>,</w:t>
      </w:r>
      <w:r w:rsidR="00F70AE7" w:rsidRPr="00C00000">
        <w:rPr>
          <w:rStyle w:val="FootnoteReference"/>
          <w:rFonts w:asciiTheme="minorHAnsi" w:hAnsiTheme="minorHAnsi"/>
        </w:rPr>
        <w:footnoteReference w:id="1146"/>
      </w:r>
      <w:r w:rsidR="00F70AE7" w:rsidRPr="00C00000">
        <w:rPr>
          <w:rFonts w:asciiTheme="minorHAnsi" w:hAnsiTheme="minorHAnsi"/>
        </w:rPr>
        <w:t xml:space="preserve"> </w:t>
      </w:r>
      <w:r>
        <w:rPr>
          <w:rFonts w:asciiTheme="minorHAnsi" w:hAnsiTheme="minorHAnsi"/>
        </w:rPr>
        <w:t>t</w:t>
      </w:r>
      <w:r w:rsidRPr="00C00000">
        <w:rPr>
          <w:rFonts w:asciiTheme="minorHAnsi" w:hAnsiTheme="minorHAnsi"/>
        </w:rPr>
        <w:t xml:space="preserve">he High Court </w:t>
      </w:r>
      <w:r w:rsidR="00F70AE7" w:rsidRPr="00C00000">
        <w:rPr>
          <w:rFonts w:asciiTheme="minorHAnsi" w:hAnsiTheme="minorHAnsi"/>
        </w:rPr>
        <w:t>held that legislative prescription of a mandatory minimum term of imprisonment is not inconsistent with Chapter III of the Constitution.</w:t>
      </w:r>
    </w:p>
    <w:p w14:paraId="4CC9BBB5" w14:textId="77777777" w:rsidR="00C70950" w:rsidRPr="00C00000" w:rsidRDefault="00C70950" w:rsidP="00C70950">
      <w:pPr>
        <w:pStyle w:val="ListParagraph"/>
        <w:spacing w:line="276" w:lineRule="auto"/>
        <w:ind w:left="567" w:right="28" w:hanging="567"/>
        <w:rPr>
          <w:rFonts w:asciiTheme="minorHAnsi" w:hAnsiTheme="minorHAnsi"/>
        </w:rPr>
      </w:pPr>
    </w:p>
    <w:p w14:paraId="219324DE" w14:textId="1CA95AB4" w:rsidR="001F2D7A" w:rsidRPr="00675799" w:rsidRDefault="00407B97" w:rsidP="00407B97">
      <w:pPr>
        <w:pStyle w:val="Heading2"/>
        <w:rPr>
          <w:rStyle w:val="Strong"/>
          <w:b/>
        </w:rPr>
      </w:pPr>
      <w:bookmarkStart w:id="3147" w:name="_Ref492478391"/>
      <w:bookmarkStart w:id="3148" w:name="_Ref492478404"/>
      <w:bookmarkStart w:id="3149" w:name="_Ref507954659"/>
      <w:bookmarkStart w:id="3150" w:name="_Ref507954661"/>
      <w:bookmarkStart w:id="3151" w:name="_Toc33602978"/>
      <w:r>
        <w:rPr>
          <w:rStyle w:val="Strong"/>
          <w:b/>
        </w:rPr>
        <w:t>C</w:t>
      </w:r>
      <w:r w:rsidR="001F2D7A" w:rsidRPr="00675799">
        <w:rPr>
          <w:rStyle w:val="Strong"/>
          <w:b/>
        </w:rPr>
        <w:t xml:space="preserve">hildren and </w:t>
      </w:r>
      <w:r w:rsidRPr="00675799">
        <w:rPr>
          <w:rStyle w:val="Strong"/>
          <w:b/>
        </w:rPr>
        <w:t>young persons</w:t>
      </w:r>
      <w:bookmarkEnd w:id="3147"/>
      <w:bookmarkEnd w:id="3148"/>
      <w:bookmarkEnd w:id="3149"/>
      <w:bookmarkEnd w:id="3150"/>
      <w:bookmarkEnd w:id="3151"/>
    </w:p>
    <w:p w14:paraId="24AF6BE4" w14:textId="77777777" w:rsidR="00B038F2" w:rsidRPr="00051102" w:rsidRDefault="00B038F2" w:rsidP="00407B97">
      <w:pPr>
        <w:keepNext/>
        <w:rPr>
          <w:rFonts w:ascii="Calibri" w:hAnsi="Calibri"/>
          <w:highlight w:val="yellow"/>
        </w:rPr>
      </w:pPr>
    </w:p>
    <w:p w14:paraId="41D6DAAA" w14:textId="2D01A525" w:rsidR="007F524C" w:rsidRDefault="0053432F" w:rsidP="00EB7F1E">
      <w:pPr>
        <w:pStyle w:val="ListParagraph"/>
        <w:numPr>
          <w:ilvl w:val="0"/>
          <w:numId w:val="7"/>
        </w:numPr>
        <w:spacing w:line="276" w:lineRule="auto"/>
        <w:ind w:left="425" w:hanging="425"/>
        <w:rPr>
          <w:rFonts w:asciiTheme="minorHAnsi" w:hAnsiTheme="minorHAnsi"/>
        </w:rPr>
      </w:pPr>
      <w:bookmarkStart w:id="3152" w:name="_Ref469664946"/>
      <w:r w:rsidRPr="00C00000">
        <w:rPr>
          <w:rFonts w:asciiTheme="minorHAnsi" w:hAnsiTheme="minorHAnsi"/>
        </w:rPr>
        <w:t xml:space="preserve">Section 20C </w:t>
      </w:r>
      <w:r w:rsidR="00CF51B0">
        <w:rPr>
          <w:rFonts w:asciiTheme="minorHAnsi" w:hAnsiTheme="minorHAnsi"/>
        </w:rPr>
        <w:t xml:space="preserve">of the </w:t>
      </w:r>
      <w:r w:rsidR="00885EFD" w:rsidRPr="00885EFD">
        <w:rPr>
          <w:rFonts w:asciiTheme="minorHAnsi" w:hAnsiTheme="minorHAnsi"/>
          <w:i/>
        </w:rPr>
        <w:t>Crimes Act 1914</w:t>
      </w:r>
      <w:r w:rsidR="00CF51B0">
        <w:rPr>
          <w:rFonts w:asciiTheme="minorHAnsi" w:hAnsiTheme="minorHAnsi"/>
        </w:rPr>
        <w:t xml:space="preserve"> (Cth) </w:t>
      </w:r>
      <w:r w:rsidR="007F524C">
        <w:rPr>
          <w:rFonts w:asciiTheme="minorHAnsi" w:hAnsiTheme="minorHAnsi"/>
        </w:rPr>
        <w:t xml:space="preserve">makes general provision </w:t>
      </w:r>
      <w:r w:rsidR="00323D7E">
        <w:rPr>
          <w:rFonts w:asciiTheme="minorHAnsi" w:hAnsiTheme="minorHAnsi"/>
        </w:rPr>
        <w:t xml:space="preserve">for </w:t>
      </w:r>
      <w:r w:rsidR="007F524C">
        <w:rPr>
          <w:rFonts w:asciiTheme="minorHAnsi" w:hAnsiTheme="minorHAnsi"/>
        </w:rPr>
        <w:t xml:space="preserve">dealing with young offenders against Commonwealth law.  It </w:t>
      </w:r>
      <w:r w:rsidR="00CF51B0">
        <w:rPr>
          <w:rFonts w:asciiTheme="minorHAnsi" w:hAnsiTheme="minorHAnsi"/>
        </w:rPr>
        <w:t>provides</w:t>
      </w:r>
      <w:r w:rsidR="007F524C">
        <w:rPr>
          <w:rFonts w:asciiTheme="minorHAnsi" w:hAnsiTheme="minorHAnsi"/>
        </w:rPr>
        <w:t>:</w:t>
      </w:r>
    </w:p>
    <w:p w14:paraId="04160CBB" w14:textId="33293D1B" w:rsidR="00CF51B0" w:rsidRPr="00EB7F1E" w:rsidRDefault="007F524C" w:rsidP="00EB7F1E">
      <w:pPr>
        <w:pStyle w:val="BodyText"/>
        <w:spacing w:line="276" w:lineRule="auto"/>
        <w:ind w:left="720" w:right="170" w:hanging="11"/>
        <w:jc w:val="both"/>
        <w:rPr>
          <w:rFonts w:asciiTheme="minorHAnsi" w:hAnsiTheme="minorHAnsi"/>
          <w:i/>
        </w:rPr>
      </w:pPr>
      <w:r w:rsidRPr="007F524C">
        <w:rPr>
          <w:rFonts w:asciiTheme="minorHAnsi" w:hAnsiTheme="minorHAnsi"/>
          <w:i/>
        </w:rPr>
        <w:t>A child or young person who, in a State or Territory, is charged with or convicted of an offence against a law of the Commonwealth may be tried, punished or otherwise dealt with as if the offence were an offence against a law of the State or Territory.</w:t>
      </w:r>
    </w:p>
    <w:p w14:paraId="187F0968" w14:textId="77777777" w:rsidR="007F524C" w:rsidRPr="007F524C" w:rsidRDefault="007F524C" w:rsidP="007F524C">
      <w:pPr>
        <w:spacing w:line="276" w:lineRule="auto"/>
        <w:ind w:right="28"/>
        <w:rPr>
          <w:rFonts w:asciiTheme="minorHAnsi" w:hAnsiTheme="minorHAnsi"/>
        </w:rPr>
      </w:pPr>
    </w:p>
    <w:p w14:paraId="7C34B0C0" w14:textId="7CB5E518" w:rsidR="003714BD" w:rsidRDefault="003714BD" w:rsidP="00EB7F1E">
      <w:pPr>
        <w:pStyle w:val="ListParagraph"/>
        <w:numPr>
          <w:ilvl w:val="0"/>
          <w:numId w:val="7"/>
        </w:numPr>
        <w:spacing w:line="276" w:lineRule="auto"/>
        <w:ind w:left="425" w:hanging="425"/>
        <w:contextualSpacing w:val="0"/>
        <w:rPr>
          <w:rFonts w:asciiTheme="minorHAnsi" w:hAnsiTheme="minorHAnsi"/>
        </w:rPr>
      </w:pPr>
      <w:r>
        <w:rPr>
          <w:rFonts w:asciiTheme="minorHAnsi" w:hAnsiTheme="minorHAnsi"/>
        </w:rPr>
        <w:t xml:space="preserve">The provision was inserted by the </w:t>
      </w:r>
      <w:r w:rsidRPr="007F524C">
        <w:rPr>
          <w:rFonts w:asciiTheme="minorHAnsi" w:hAnsiTheme="minorHAnsi"/>
          <w:i/>
        </w:rPr>
        <w:t>Crimes Act 1960</w:t>
      </w:r>
      <w:r>
        <w:rPr>
          <w:rFonts w:asciiTheme="minorHAnsi" w:hAnsiTheme="minorHAnsi"/>
        </w:rPr>
        <w:t xml:space="preserve"> (Cth).  </w:t>
      </w:r>
      <w:r w:rsidR="00772EDC">
        <w:rPr>
          <w:rFonts w:asciiTheme="minorHAnsi" w:hAnsiTheme="minorHAnsi"/>
        </w:rPr>
        <w:t xml:space="preserve">The purpose of s 20C </w:t>
      </w:r>
      <w:r w:rsidR="0077300B">
        <w:rPr>
          <w:rFonts w:asciiTheme="minorHAnsi" w:hAnsiTheme="minorHAnsi"/>
        </w:rPr>
        <w:t>was</w:t>
      </w:r>
      <w:r w:rsidR="009E5B3D">
        <w:rPr>
          <w:rFonts w:asciiTheme="minorHAnsi" w:hAnsiTheme="minorHAnsi"/>
        </w:rPr>
        <w:t xml:space="preserve"> </w:t>
      </w:r>
      <w:r w:rsidR="00161B8F">
        <w:rPr>
          <w:rFonts w:asciiTheme="minorHAnsi" w:hAnsiTheme="minorHAnsi"/>
        </w:rPr>
        <w:t>“</w:t>
      </w:r>
      <w:r w:rsidR="00161B8F" w:rsidRPr="00161B8F">
        <w:rPr>
          <w:rFonts w:asciiTheme="minorHAnsi" w:hAnsiTheme="minorHAnsi"/>
          <w:i/>
        </w:rPr>
        <w:t>to enable a Court hearing a charge against a child or young person for an offence against Commonwealth law to deal with that defendant in the same way as it would deal with a young person if the offence were an offence against a law of the State or Territory in which the Court is sitting.</w:t>
      </w:r>
      <w:r w:rsidR="00161B8F">
        <w:rPr>
          <w:rFonts w:asciiTheme="minorHAnsi" w:hAnsiTheme="minorHAnsi"/>
        </w:rPr>
        <w:t>”</w:t>
      </w:r>
      <w:r w:rsidR="00161B8F" w:rsidRPr="00C00000">
        <w:rPr>
          <w:rStyle w:val="FootnoteReference"/>
          <w:rFonts w:asciiTheme="minorHAnsi" w:hAnsiTheme="minorHAnsi"/>
        </w:rPr>
        <w:footnoteReference w:id="1147"/>
      </w:r>
      <w:r w:rsidR="00D30965">
        <w:rPr>
          <w:rFonts w:asciiTheme="minorHAnsi" w:hAnsiTheme="minorHAnsi"/>
        </w:rPr>
        <w:t xml:space="preserve">  Courts have also </w:t>
      </w:r>
      <w:r w:rsidR="00F47D0C">
        <w:rPr>
          <w:rFonts w:asciiTheme="minorHAnsi" w:hAnsiTheme="minorHAnsi"/>
        </w:rPr>
        <w:t>character</w:t>
      </w:r>
      <w:r w:rsidR="00B86888">
        <w:rPr>
          <w:rFonts w:asciiTheme="minorHAnsi" w:hAnsiTheme="minorHAnsi"/>
        </w:rPr>
        <w:t>ised</w:t>
      </w:r>
      <w:r w:rsidR="00D30965">
        <w:rPr>
          <w:rFonts w:asciiTheme="minorHAnsi" w:hAnsiTheme="minorHAnsi"/>
        </w:rPr>
        <w:t xml:space="preserve"> the provision as enabling.</w:t>
      </w:r>
      <w:r w:rsidR="00D30965" w:rsidRPr="00C00000">
        <w:rPr>
          <w:rStyle w:val="FootnoteReference"/>
          <w:rFonts w:asciiTheme="minorHAnsi" w:hAnsiTheme="minorHAnsi"/>
        </w:rPr>
        <w:footnoteReference w:id="1148"/>
      </w:r>
    </w:p>
    <w:p w14:paraId="5BB5099D" w14:textId="77777777" w:rsidR="003714BD" w:rsidRPr="003714BD" w:rsidRDefault="003714BD" w:rsidP="00094206">
      <w:pPr>
        <w:pStyle w:val="ListParagraph"/>
        <w:rPr>
          <w:rFonts w:asciiTheme="minorHAnsi" w:hAnsiTheme="minorHAnsi"/>
        </w:rPr>
      </w:pPr>
    </w:p>
    <w:p w14:paraId="47A17B0F" w14:textId="75618EC3" w:rsidR="00750002" w:rsidRDefault="00750002" w:rsidP="00EB7F1E">
      <w:pPr>
        <w:pStyle w:val="ListParagraph"/>
        <w:numPr>
          <w:ilvl w:val="0"/>
          <w:numId w:val="7"/>
        </w:numPr>
        <w:spacing w:line="276" w:lineRule="auto"/>
        <w:ind w:left="425" w:hanging="425"/>
        <w:rPr>
          <w:rFonts w:asciiTheme="minorHAnsi" w:hAnsiTheme="minorHAnsi"/>
        </w:rPr>
      </w:pPr>
      <w:r>
        <w:rPr>
          <w:rFonts w:asciiTheme="minorHAnsi" w:hAnsiTheme="minorHAnsi"/>
        </w:rPr>
        <w:t xml:space="preserve">The most significant effect of s </w:t>
      </w:r>
      <w:r w:rsidR="002706FC">
        <w:rPr>
          <w:rFonts w:asciiTheme="minorHAnsi" w:hAnsiTheme="minorHAnsi"/>
        </w:rPr>
        <w:t>20C</w:t>
      </w:r>
      <w:r>
        <w:rPr>
          <w:rFonts w:asciiTheme="minorHAnsi" w:hAnsiTheme="minorHAnsi"/>
        </w:rPr>
        <w:t xml:space="preserve"> is that State or Territory sentencing or disposition options which would not otherwise be available are made applicable to the sentencing of a child or young person for a Commonwealth offence.</w:t>
      </w:r>
      <w:r w:rsidRPr="00C00000">
        <w:rPr>
          <w:rStyle w:val="FootnoteReference"/>
          <w:rFonts w:asciiTheme="minorHAnsi" w:hAnsiTheme="minorHAnsi"/>
        </w:rPr>
        <w:footnoteReference w:id="1149"/>
      </w:r>
      <w:r w:rsidR="00D423AD">
        <w:rPr>
          <w:rFonts w:asciiTheme="minorHAnsi" w:hAnsiTheme="minorHAnsi"/>
        </w:rPr>
        <w:t xml:space="preserve">  These options may include, for example, </w:t>
      </w:r>
      <w:r w:rsidR="00CA0EE4">
        <w:rPr>
          <w:rFonts w:asciiTheme="minorHAnsi" w:hAnsiTheme="minorHAnsi"/>
        </w:rPr>
        <w:t>orders relating to probation or supervision, or detention in a juvenile facility, whether provided for under State or Territory legislation relating specifically to children,</w:t>
      </w:r>
      <w:r w:rsidR="00CA0EE4" w:rsidRPr="00C00000">
        <w:rPr>
          <w:rStyle w:val="FootnoteReference"/>
          <w:rFonts w:asciiTheme="minorHAnsi" w:hAnsiTheme="minorHAnsi"/>
        </w:rPr>
        <w:footnoteReference w:id="1150"/>
      </w:r>
      <w:r w:rsidR="00CA0EE4">
        <w:rPr>
          <w:rFonts w:asciiTheme="minorHAnsi" w:hAnsiTheme="minorHAnsi"/>
        </w:rPr>
        <w:t xml:space="preserve"> or provided for in relation to young offenders more generally under State or Territory sentencing legislation.</w:t>
      </w:r>
      <w:r w:rsidR="00DD1E7B" w:rsidRPr="00C00000">
        <w:rPr>
          <w:rStyle w:val="FootnoteReference"/>
          <w:rFonts w:asciiTheme="minorHAnsi" w:hAnsiTheme="minorHAnsi"/>
        </w:rPr>
        <w:footnoteReference w:id="1151"/>
      </w:r>
    </w:p>
    <w:p w14:paraId="2FBB4F98" w14:textId="77777777" w:rsidR="002B6A73" w:rsidRPr="002B6A73" w:rsidRDefault="002B6A73" w:rsidP="002B6A73">
      <w:pPr>
        <w:pStyle w:val="ListParagraph"/>
        <w:rPr>
          <w:rFonts w:asciiTheme="minorHAnsi" w:hAnsiTheme="minorHAnsi"/>
        </w:rPr>
      </w:pPr>
    </w:p>
    <w:p w14:paraId="01CA84D0" w14:textId="54138379" w:rsidR="001E54C3" w:rsidRDefault="00C64B0A" w:rsidP="00EB7F1E">
      <w:pPr>
        <w:pStyle w:val="ListParagraph"/>
        <w:numPr>
          <w:ilvl w:val="0"/>
          <w:numId w:val="7"/>
        </w:numPr>
        <w:spacing w:line="276" w:lineRule="auto"/>
        <w:ind w:left="425" w:hanging="425"/>
        <w:rPr>
          <w:rFonts w:asciiTheme="minorHAnsi" w:hAnsiTheme="minorHAnsi"/>
        </w:rPr>
      </w:pPr>
      <w:r>
        <w:rPr>
          <w:rFonts w:asciiTheme="minorHAnsi" w:hAnsiTheme="minorHAnsi"/>
        </w:rPr>
        <w:t>There is no applicable definition of “</w:t>
      </w:r>
      <w:r w:rsidRPr="005201CA">
        <w:rPr>
          <w:rFonts w:asciiTheme="minorHAnsi" w:hAnsiTheme="minorHAnsi"/>
          <w:i/>
        </w:rPr>
        <w:t>child</w:t>
      </w:r>
      <w:r>
        <w:rPr>
          <w:rFonts w:asciiTheme="minorHAnsi" w:hAnsiTheme="minorHAnsi"/>
        </w:rPr>
        <w:t>” or “</w:t>
      </w:r>
      <w:r w:rsidRPr="005201CA">
        <w:rPr>
          <w:rFonts w:asciiTheme="minorHAnsi" w:hAnsiTheme="minorHAnsi"/>
          <w:i/>
        </w:rPr>
        <w:t>young person</w:t>
      </w:r>
      <w:r>
        <w:rPr>
          <w:rFonts w:asciiTheme="minorHAnsi" w:hAnsiTheme="minorHAnsi"/>
        </w:rPr>
        <w:t>”</w:t>
      </w:r>
      <w:r w:rsidR="005201CA">
        <w:rPr>
          <w:rFonts w:asciiTheme="minorHAnsi" w:hAnsiTheme="minorHAnsi"/>
        </w:rPr>
        <w:t xml:space="preserve"> for the purposes of s </w:t>
      </w:r>
      <w:r w:rsidR="002706FC">
        <w:rPr>
          <w:rFonts w:asciiTheme="minorHAnsi" w:hAnsiTheme="minorHAnsi"/>
        </w:rPr>
        <w:t>20C</w:t>
      </w:r>
      <w:r>
        <w:rPr>
          <w:rFonts w:asciiTheme="minorHAnsi" w:hAnsiTheme="minorHAnsi"/>
        </w:rPr>
        <w:t>.</w:t>
      </w:r>
      <w:r w:rsidR="00437790" w:rsidRPr="00C00000">
        <w:rPr>
          <w:rStyle w:val="FootnoteReference"/>
          <w:rFonts w:asciiTheme="minorHAnsi" w:hAnsiTheme="minorHAnsi"/>
        </w:rPr>
        <w:footnoteReference w:id="1152"/>
      </w:r>
      <w:r>
        <w:rPr>
          <w:rFonts w:asciiTheme="minorHAnsi" w:hAnsiTheme="minorHAnsi"/>
        </w:rPr>
        <w:t xml:space="preserve">  The provision is intended to be ambulatory</w:t>
      </w:r>
      <w:r w:rsidR="00451965">
        <w:rPr>
          <w:rFonts w:asciiTheme="minorHAnsi" w:hAnsiTheme="minorHAnsi"/>
        </w:rPr>
        <w:t xml:space="preserve"> in applying</w:t>
      </w:r>
      <w:r>
        <w:rPr>
          <w:rFonts w:asciiTheme="minorHAnsi" w:hAnsiTheme="minorHAnsi"/>
        </w:rPr>
        <w:t xml:space="preserve"> State</w:t>
      </w:r>
      <w:r w:rsidR="00451965">
        <w:rPr>
          <w:rFonts w:asciiTheme="minorHAnsi" w:hAnsiTheme="minorHAnsi"/>
        </w:rPr>
        <w:t xml:space="preserve"> or Territory laws.  Those laws differ in their application to offenders of a particular age.</w:t>
      </w:r>
      <w:r w:rsidR="00091BF2">
        <w:rPr>
          <w:rFonts w:asciiTheme="minorHAnsi" w:hAnsiTheme="minorHAnsi"/>
        </w:rPr>
        <w:t xml:space="preserve"> The breadth of the terms used in s </w:t>
      </w:r>
      <w:r w:rsidR="002706FC">
        <w:rPr>
          <w:rFonts w:asciiTheme="minorHAnsi" w:hAnsiTheme="minorHAnsi"/>
        </w:rPr>
        <w:t>20C</w:t>
      </w:r>
      <w:r w:rsidR="00091BF2">
        <w:rPr>
          <w:rFonts w:asciiTheme="minorHAnsi" w:hAnsiTheme="minorHAnsi"/>
        </w:rPr>
        <w:t xml:space="preserve"> </w:t>
      </w:r>
      <w:r w:rsidR="00B958DB">
        <w:rPr>
          <w:rFonts w:asciiTheme="minorHAnsi" w:hAnsiTheme="minorHAnsi"/>
        </w:rPr>
        <w:t xml:space="preserve">is more apt to </w:t>
      </w:r>
      <w:r w:rsidR="00091BF2">
        <w:rPr>
          <w:rFonts w:asciiTheme="minorHAnsi" w:hAnsiTheme="minorHAnsi"/>
        </w:rPr>
        <w:t xml:space="preserve">allow for the </w:t>
      </w:r>
      <w:r w:rsidR="00B958DB">
        <w:rPr>
          <w:rFonts w:asciiTheme="minorHAnsi" w:hAnsiTheme="minorHAnsi"/>
        </w:rPr>
        <w:t>application of State or Territory laws in their own terms.</w:t>
      </w:r>
    </w:p>
    <w:p w14:paraId="04B25B18" w14:textId="77777777" w:rsidR="001E54C3" w:rsidRPr="001E54C3" w:rsidRDefault="001E54C3" w:rsidP="001E54C3">
      <w:pPr>
        <w:pStyle w:val="ListParagraph"/>
        <w:rPr>
          <w:rFonts w:asciiTheme="minorHAnsi" w:hAnsiTheme="minorHAnsi"/>
        </w:rPr>
      </w:pPr>
    </w:p>
    <w:p w14:paraId="6C0E55A2" w14:textId="5842C5C9" w:rsidR="00ED36D6" w:rsidRDefault="001E54C3" w:rsidP="00EB7F1E">
      <w:pPr>
        <w:pStyle w:val="ListParagraph"/>
        <w:numPr>
          <w:ilvl w:val="0"/>
          <w:numId w:val="7"/>
        </w:numPr>
        <w:spacing w:line="276" w:lineRule="auto"/>
        <w:ind w:left="425" w:hanging="425"/>
        <w:rPr>
          <w:rFonts w:asciiTheme="minorHAnsi" w:hAnsiTheme="minorHAnsi"/>
        </w:rPr>
      </w:pPr>
      <w:r>
        <w:rPr>
          <w:rFonts w:asciiTheme="minorHAnsi" w:hAnsiTheme="minorHAnsi"/>
        </w:rPr>
        <w:t xml:space="preserve">Section </w:t>
      </w:r>
      <w:r w:rsidR="002706FC">
        <w:rPr>
          <w:rFonts w:asciiTheme="minorHAnsi" w:hAnsiTheme="minorHAnsi"/>
        </w:rPr>
        <w:t>20C</w:t>
      </w:r>
      <w:r>
        <w:rPr>
          <w:rFonts w:asciiTheme="minorHAnsi" w:hAnsiTheme="minorHAnsi"/>
        </w:rPr>
        <w:t xml:space="preserve"> applies State or Territory law to </w:t>
      </w:r>
      <w:r w:rsidRPr="001E54C3">
        <w:rPr>
          <w:rFonts w:asciiTheme="minorHAnsi" w:hAnsiTheme="minorHAnsi"/>
        </w:rPr>
        <w:t>a child or young person who is</w:t>
      </w:r>
      <w:r w:rsidRPr="007F524C">
        <w:rPr>
          <w:rFonts w:asciiTheme="minorHAnsi" w:hAnsiTheme="minorHAnsi"/>
          <w:i/>
        </w:rPr>
        <w:t xml:space="preserve"> </w:t>
      </w:r>
      <w:r>
        <w:rPr>
          <w:rFonts w:asciiTheme="minorHAnsi" w:hAnsiTheme="minorHAnsi"/>
          <w:i/>
        </w:rPr>
        <w:t>“</w:t>
      </w:r>
      <w:r w:rsidRPr="007F524C">
        <w:rPr>
          <w:rFonts w:asciiTheme="minorHAnsi" w:hAnsiTheme="minorHAnsi"/>
          <w:i/>
        </w:rPr>
        <w:t>charged with or convicted of an offence</w:t>
      </w:r>
      <w:r>
        <w:rPr>
          <w:rFonts w:asciiTheme="minorHAnsi" w:hAnsiTheme="minorHAnsi"/>
          <w:i/>
        </w:rPr>
        <w:t>”</w:t>
      </w:r>
      <w:r>
        <w:rPr>
          <w:rFonts w:asciiTheme="minorHAnsi" w:hAnsiTheme="minorHAnsi"/>
        </w:rPr>
        <w:t>.  Th</w:t>
      </w:r>
      <w:r w:rsidR="00C56897">
        <w:rPr>
          <w:rFonts w:asciiTheme="minorHAnsi" w:hAnsiTheme="minorHAnsi"/>
        </w:rPr>
        <w:t xml:space="preserve">at is, the application of State or Territory </w:t>
      </w:r>
      <w:r w:rsidR="00AA4731">
        <w:rPr>
          <w:rFonts w:asciiTheme="minorHAnsi" w:hAnsiTheme="minorHAnsi"/>
        </w:rPr>
        <w:t xml:space="preserve">law </w:t>
      </w:r>
      <w:r w:rsidR="00C56897">
        <w:rPr>
          <w:rFonts w:asciiTheme="minorHAnsi" w:hAnsiTheme="minorHAnsi"/>
        </w:rPr>
        <w:t>depends upon</w:t>
      </w:r>
      <w:r>
        <w:rPr>
          <w:rFonts w:asciiTheme="minorHAnsi" w:hAnsiTheme="minorHAnsi"/>
        </w:rPr>
        <w:t xml:space="preserve"> the person be</w:t>
      </w:r>
      <w:r w:rsidR="00C56897">
        <w:rPr>
          <w:rFonts w:asciiTheme="minorHAnsi" w:hAnsiTheme="minorHAnsi"/>
        </w:rPr>
        <w:t>ing</w:t>
      </w:r>
      <w:r>
        <w:rPr>
          <w:rFonts w:asciiTheme="minorHAnsi" w:hAnsiTheme="minorHAnsi"/>
        </w:rPr>
        <w:t xml:space="preserve"> a “</w:t>
      </w:r>
      <w:r w:rsidRPr="00C53F45">
        <w:rPr>
          <w:rFonts w:asciiTheme="minorHAnsi" w:hAnsiTheme="minorHAnsi"/>
          <w:i/>
        </w:rPr>
        <w:t>child or young person</w:t>
      </w:r>
      <w:r>
        <w:rPr>
          <w:rFonts w:asciiTheme="minorHAnsi" w:hAnsiTheme="minorHAnsi"/>
        </w:rPr>
        <w:t xml:space="preserve">” when charged or convicted.  </w:t>
      </w:r>
      <w:r w:rsidR="00C53F45">
        <w:rPr>
          <w:rFonts w:asciiTheme="minorHAnsi" w:hAnsiTheme="minorHAnsi"/>
        </w:rPr>
        <w:t xml:space="preserve">This is consistent with the approach under State or Territory law in most jurisdictions.  However in </w:t>
      </w:r>
      <w:r w:rsidR="00AC3ED9">
        <w:rPr>
          <w:rFonts w:asciiTheme="minorHAnsi" w:hAnsiTheme="minorHAnsi"/>
        </w:rPr>
        <w:t>some jurisdictions</w:t>
      </w:r>
      <w:r w:rsidR="00C53F45">
        <w:rPr>
          <w:rFonts w:asciiTheme="minorHAnsi" w:hAnsiTheme="minorHAnsi"/>
        </w:rPr>
        <w:t xml:space="preserve"> the relevant age is the age of the person </w:t>
      </w:r>
      <w:r w:rsidR="00C53F45" w:rsidRPr="00C53F45">
        <w:rPr>
          <w:rFonts w:asciiTheme="minorHAnsi" w:hAnsiTheme="minorHAnsi"/>
          <w:i/>
        </w:rPr>
        <w:t>at the time of the offending</w:t>
      </w:r>
      <w:r w:rsidR="00F5418A">
        <w:rPr>
          <w:rFonts w:asciiTheme="minorHAnsi" w:hAnsiTheme="minorHAnsi"/>
        </w:rPr>
        <w:t xml:space="preserve"> and </w:t>
      </w:r>
      <w:r w:rsidR="00C53F45">
        <w:rPr>
          <w:rFonts w:asciiTheme="minorHAnsi" w:hAnsiTheme="minorHAnsi"/>
        </w:rPr>
        <w:t xml:space="preserve">an offender who is dealt with many years later for a serious offence committed while </w:t>
      </w:r>
      <w:r w:rsidR="00F24268">
        <w:rPr>
          <w:rFonts w:asciiTheme="minorHAnsi" w:hAnsiTheme="minorHAnsi"/>
        </w:rPr>
        <w:t>under 18</w:t>
      </w:r>
      <w:r w:rsidR="00C53F45">
        <w:rPr>
          <w:rFonts w:asciiTheme="minorHAnsi" w:hAnsiTheme="minorHAnsi"/>
        </w:rPr>
        <w:t xml:space="preserve"> </w:t>
      </w:r>
      <w:r w:rsidR="00734709">
        <w:rPr>
          <w:rFonts w:asciiTheme="minorHAnsi" w:hAnsiTheme="minorHAnsi"/>
        </w:rPr>
        <w:t xml:space="preserve">years old </w:t>
      </w:r>
      <w:r w:rsidR="00013815">
        <w:rPr>
          <w:rFonts w:asciiTheme="minorHAnsi" w:hAnsiTheme="minorHAnsi"/>
        </w:rPr>
        <w:t xml:space="preserve">still falls </w:t>
      </w:r>
      <w:r w:rsidR="00C53F45">
        <w:rPr>
          <w:rFonts w:asciiTheme="minorHAnsi" w:hAnsiTheme="minorHAnsi"/>
        </w:rPr>
        <w:t xml:space="preserve">to be sentenced as a </w:t>
      </w:r>
      <w:r w:rsidR="00C45D25">
        <w:rPr>
          <w:rFonts w:asciiTheme="minorHAnsi" w:hAnsiTheme="minorHAnsi"/>
        </w:rPr>
        <w:t>“</w:t>
      </w:r>
      <w:r w:rsidR="00C53F45">
        <w:rPr>
          <w:rFonts w:asciiTheme="minorHAnsi" w:hAnsiTheme="minorHAnsi"/>
        </w:rPr>
        <w:t>child</w:t>
      </w:r>
      <w:r w:rsidR="00C45D25">
        <w:rPr>
          <w:rFonts w:asciiTheme="minorHAnsi" w:hAnsiTheme="minorHAnsi"/>
        </w:rPr>
        <w:t>”</w:t>
      </w:r>
      <w:r w:rsidR="00C53F45">
        <w:rPr>
          <w:rFonts w:asciiTheme="minorHAnsi" w:hAnsiTheme="minorHAnsi"/>
        </w:rPr>
        <w:t>.</w:t>
      </w:r>
      <w:r w:rsidR="0050531D" w:rsidRPr="00C00000">
        <w:rPr>
          <w:rStyle w:val="FootnoteReference"/>
          <w:rFonts w:asciiTheme="minorHAnsi" w:hAnsiTheme="minorHAnsi"/>
        </w:rPr>
        <w:footnoteReference w:id="1153"/>
      </w:r>
      <w:r w:rsidR="00C53F45">
        <w:rPr>
          <w:rFonts w:asciiTheme="minorHAnsi" w:hAnsiTheme="minorHAnsi"/>
        </w:rPr>
        <w:t xml:space="preserve">  It </w:t>
      </w:r>
      <w:r w:rsidR="004578CC">
        <w:rPr>
          <w:rFonts w:asciiTheme="minorHAnsi" w:hAnsiTheme="minorHAnsi"/>
        </w:rPr>
        <w:t xml:space="preserve">is doubtful </w:t>
      </w:r>
      <w:r w:rsidR="00C53F45">
        <w:rPr>
          <w:rFonts w:asciiTheme="minorHAnsi" w:hAnsiTheme="minorHAnsi"/>
        </w:rPr>
        <w:t xml:space="preserve">whether s 20C would operate to apply </w:t>
      </w:r>
      <w:r w:rsidR="00C56897">
        <w:rPr>
          <w:rFonts w:asciiTheme="minorHAnsi" w:hAnsiTheme="minorHAnsi"/>
        </w:rPr>
        <w:t xml:space="preserve">State or Territory laws </w:t>
      </w:r>
      <w:r w:rsidR="00C53F45">
        <w:rPr>
          <w:rFonts w:asciiTheme="minorHAnsi" w:hAnsiTheme="minorHAnsi"/>
        </w:rPr>
        <w:t>if</w:t>
      </w:r>
      <w:r w:rsidR="00013815">
        <w:rPr>
          <w:rFonts w:asciiTheme="minorHAnsi" w:hAnsiTheme="minorHAnsi"/>
        </w:rPr>
        <w:t>, when charged or convicted,</w:t>
      </w:r>
      <w:r w:rsidR="00C53F45">
        <w:rPr>
          <w:rFonts w:asciiTheme="minorHAnsi" w:hAnsiTheme="minorHAnsi"/>
        </w:rPr>
        <w:t xml:space="preserve"> the offender </w:t>
      </w:r>
      <w:r w:rsidR="00583A84">
        <w:rPr>
          <w:rFonts w:asciiTheme="minorHAnsi" w:hAnsiTheme="minorHAnsi"/>
        </w:rPr>
        <w:t>is no longer</w:t>
      </w:r>
      <w:r w:rsidR="00C53F45">
        <w:rPr>
          <w:rFonts w:asciiTheme="minorHAnsi" w:hAnsiTheme="minorHAnsi"/>
        </w:rPr>
        <w:t xml:space="preserve"> a “</w:t>
      </w:r>
      <w:r w:rsidR="00C53F45" w:rsidRPr="00C53F45">
        <w:rPr>
          <w:rFonts w:asciiTheme="minorHAnsi" w:hAnsiTheme="minorHAnsi"/>
          <w:i/>
        </w:rPr>
        <w:t>child or young person</w:t>
      </w:r>
      <w:r w:rsidR="00C53F45">
        <w:rPr>
          <w:rFonts w:asciiTheme="minorHAnsi" w:hAnsiTheme="minorHAnsi"/>
        </w:rPr>
        <w:t xml:space="preserve">” within the meaning of s </w:t>
      </w:r>
      <w:r w:rsidR="002706FC">
        <w:rPr>
          <w:rFonts w:asciiTheme="minorHAnsi" w:hAnsiTheme="minorHAnsi"/>
        </w:rPr>
        <w:t>20C</w:t>
      </w:r>
      <w:r w:rsidR="00C53F45">
        <w:rPr>
          <w:rFonts w:asciiTheme="minorHAnsi" w:hAnsiTheme="minorHAnsi"/>
        </w:rPr>
        <w:t>.</w:t>
      </w:r>
    </w:p>
    <w:p w14:paraId="043AB85B" w14:textId="77777777" w:rsidR="00CB7ED5" w:rsidRPr="00ED36D6" w:rsidRDefault="00CB7ED5" w:rsidP="00ED36D6">
      <w:pPr>
        <w:pStyle w:val="ListParagraph"/>
        <w:rPr>
          <w:rFonts w:asciiTheme="minorHAnsi" w:hAnsiTheme="minorHAnsi"/>
        </w:rPr>
      </w:pPr>
    </w:p>
    <w:p w14:paraId="38857E2B" w14:textId="7109A577" w:rsidR="0045518E" w:rsidRDefault="00BB6C6B" w:rsidP="00EB7F1E">
      <w:pPr>
        <w:pStyle w:val="ListParagraph"/>
        <w:numPr>
          <w:ilvl w:val="0"/>
          <w:numId w:val="7"/>
        </w:numPr>
        <w:spacing w:line="276" w:lineRule="auto"/>
        <w:ind w:left="425" w:hanging="425"/>
        <w:rPr>
          <w:rFonts w:asciiTheme="minorHAnsi" w:hAnsiTheme="minorHAnsi"/>
        </w:rPr>
      </w:pPr>
      <w:r>
        <w:rPr>
          <w:rFonts w:asciiTheme="minorHAnsi" w:hAnsiTheme="minorHAnsi"/>
        </w:rPr>
        <w:t xml:space="preserve">Nothing in s 20C </w:t>
      </w:r>
      <w:r w:rsidR="002B6A73">
        <w:rPr>
          <w:rFonts w:asciiTheme="minorHAnsi" w:hAnsiTheme="minorHAnsi"/>
        </w:rPr>
        <w:t xml:space="preserve">purports to </w:t>
      </w:r>
      <w:r>
        <w:rPr>
          <w:rFonts w:asciiTheme="minorHAnsi" w:hAnsiTheme="minorHAnsi"/>
        </w:rPr>
        <w:t>exclude</w:t>
      </w:r>
      <w:r w:rsidR="002B6A73">
        <w:rPr>
          <w:rFonts w:asciiTheme="minorHAnsi" w:hAnsiTheme="minorHAnsi"/>
        </w:rPr>
        <w:t xml:space="preserve"> or override</w:t>
      </w:r>
      <w:r>
        <w:rPr>
          <w:rFonts w:asciiTheme="minorHAnsi" w:hAnsiTheme="minorHAnsi"/>
        </w:rPr>
        <w:t xml:space="preserve"> the application of other provisions of Part IB of the </w:t>
      </w:r>
      <w:r w:rsidR="00885EFD" w:rsidRPr="00885EFD">
        <w:rPr>
          <w:rFonts w:asciiTheme="minorHAnsi" w:hAnsiTheme="minorHAnsi"/>
          <w:i/>
        </w:rPr>
        <w:t>Crimes Act 1914</w:t>
      </w:r>
      <w:r w:rsidR="00C56897">
        <w:rPr>
          <w:rFonts w:asciiTheme="minorHAnsi" w:hAnsiTheme="minorHAnsi"/>
        </w:rPr>
        <w:t xml:space="preserve"> which apply to </w:t>
      </w:r>
      <w:r w:rsidR="0045518E">
        <w:rPr>
          <w:rFonts w:asciiTheme="minorHAnsi" w:hAnsiTheme="minorHAnsi"/>
        </w:rPr>
        <w:t>the sentencing of federal offenders generally</w:t>
      </w:r>
      <w:r w:rsidR="00192D50">
        <w:rPr>
          <w:rFonts w:asciiTheme="minorHAnsi" w:hAnsiTheme="minorHAnsi"/>
        </w:rPr>
        <w:t>;</w:t>
      </w:r>
      <w:r w:rsidR="00320549">
        <w:rPr>
          <w:rFonts w:asciiTheme="minorHAnsi" w:hAnsiTheme="minorHAnsi"/>
        </w:rPr>
        <w:t xml:space="preserve"> nor </w:t>
      </w:r>
      <w:r w:rsidR="00C56897">
        <w:rPr>
          <w:rFonts w:asciiTheme="minorHAnsi" w:hAnsiTheme="minorHAnsi"/>
        </w:rPr>
        <w:t xml:space="preserve">are those other provisions expressed to be subject to s 20C.  </w:t>
      </w:r>
      <w:r w:rsidR="009E45A0" w:rsidRPr="00B32E51">
        <w:rPr>
          <w:rFonts w:asciiTheme="minorHAnsi" w:hAnsiTheme="minorHAnsi" w:cstheme="minorHAnsi"/>
        </w:rPr>
        <w:t>The provisions must therefore be read together, so far as possible</w:t>
      </w:r>
      <w:r w:rsidR="009E45A0">
        <w:rPr>
          <w:rFonts w:asciiTheme="minorHAnsi" w:hAnsiTheme="minorHAnsi" w:cstheme="minorHAnsi"/>
        </w:rPr>
        <w:t>.</w:t>
      </w:r>
      <w:r w:rsidR="009E45A0" w:rsidRPr="00C00000">
        <w:rPr>
          <w:rStyle w:val="FootnoteReference"/>
          <w:rFonts w:asciiTheme="minorHAnsi" w:hAnsiTheme="minorHAnsi"/>
        </w:rPr>
        <w:footnoteReference w:id="1154"/>
      </w:r>
      <w:r w:rsidR="009E45A0" w:rsidRPr="00B32E51">
        <w:rPr>
          <w:rFonts w:asciiTheme="minorHAnsi" w:hAnsiTheme="minorHAnsi" w:cstheme="minorHAnsi"/>
        </w:rPr>
        <w:t xml:space="preserve"> </w:t>
      </w:r>
      <w:r w:rsidR="009E45A0">
        <w:rPr>
          <w:rFonts w:asciiTheme="minorHAnsi" w:hAnsiTheme="minorHAnsi" w:cstheme="minorHAnsi"/>
        </w:rPr>
        <w:t xml:space="preserve"> </w:t>
      </w:r>
      <w:r w:rsidR="00C56897">
        <w:rPr>
          <w:rFonts w:asciiTheme="minorHAnsi" w:hAnsiTheme="minorHAnsi"/>
        </w:rPr>
        <w:t>So, for example, sent</w:t>
      </w:r>
      <w:r w:rsidR="002745F1">
        <w:rPr>
          <w:rFonts w:asciiTheme="minorHAnsi" w:hAnsiTheme="minorHAnsi"/>
        </w:rPr>
        <w:t>encing options under s 19B (discharges and bonds without conviction)</w:t>
      </w:r>
      <w:r w:rsidR="00EF4A8C" w:rsidRPr="00C00000">
        <w:rPr>
          <w:rStyle w:val="FootnoteReference"/>
          <w:rFonts w:asciiTheme="minorHAnsi" w:hAnsiTheme="minorHAnsi"/>
        </w:rPr>
        <w:footnoteReference w:id="1155"/>
      </w:r>
      <w:r w:rsidR="00987B15">
        <w:rPr>
          <w:rFonts w:asciiTheme="minorHAnsi" w:hAnsiTheme="minorHAnsi"/>
        </w:rPr>
        <w:t xml:space="preserve"> and</w:t>
      </w:r>
      <w:r w:rsidR="00320549">
        <w:rPr>
          <w:rFonts w:asciiTheme="minorHAnsi" w:hAnsiTheme="minorHAnsi"/>
        </w:rPr>
        <w:t xml:space="preserve"> </w:t>
      </w:r>
      <w:r w:rsidR="002745F1">
        <w:rPr>
          <w:rFonts w:asciiTheme="minorHAnsi" w:hAnsiTheme="minorHAnsi"/>
        </w:rPr>
        <w:t xml:space="preserve">s 20(1)(a) (bond with conviction) </w:t>
      </w:r>
      <w:r w:rsidR="00320549">
        <w:rPr>
          <w:rFonts w:asciiTheme="minorHAnsi" w:hAnsiTheme="minorHAnsi"/>
        </w:rPr>
        <w:t xml:space="preserve">are equally available in sentencing a child or young </w:t>
      </w:r>
      <w:r w:rsidR="001A351F">
        <w:rPr>
          <w:rFonts w:asciiTheme="minorHAnsi" w:hAnsiTheme="minorHAnsi"/>
        </w:rPr>
        <w:t>person</w:t>
      </w:r>
      <w:r w:rsidR="00B77AAD">
        <w:rPr>
          <w:rFonts w:asciiTheme="minorHAnsi" w:hAnsiTheme="minorHAnsi"/>
        </w:rPr>
        <w:t xml:space="preserve"> as they are in sentencing any other federal offender</w:t>
      </w:r>
      <w:r w:rsidR="00320549">
        <w:rPr>
          <w:rFonts w:asciiTheme="minorHAnsi" w:hAnsiTheme="minorHAnsi"/>
        </w:rPr>
        <w:t xml:space="preserve">.  </w:t>
      </w:r>
      <w:r w:rsidR="00987B15">
        <w:rPr>
          <w:rFonts w:asciiTheme="minorHAnsi" w:hAnsiTheme="minorHAnsi"/>
        </w:rPr>
        <w:t>If a Commonwealth statute prescribes that an offence is punishable by imprisonment or by a fine, those penalties also apply.</w:t>
      </w:r>
      <w:r w:rsidR="006104F4" w:rsidRPr="00C00000">
        <w:rPr>
          <w:rStyle w:val="FootnoteReference"/>
          <w:rFonts w:asciiTheme="minorHAnsi" w:hAnsiTheme="minorHAnsi"/>
        </w:rPr>
        <w:footnoteReference w:id="1156"/>
      </w:r>
      <w:r w:rsidR="00987B15">
        <w:rPr>
          <w:rFonts w:asciiTheme="minorHAnsi" w:hAnsiTheme="minorHAnsi"/>
        </w:rPr>
        <w:t xml:space="preserve">  </w:t>
      </w:r>
      <w:r w:rsidR="00DF0543">
        <w:rPr>
          <w:rFonts w:asciiTheme="minorHAnsi" w:hAnsiTheme="minorHAnsi"/>
        </w:rPr>
        <w:t xml:space="preserve">Provisions of the </w:t>
      </w:r>
      <w:r w:rsidR="00DF0543" w:rsidRPr="00E21D0D">
        <w:rPr>
          <w:rFonts w:asciiTheme="minorHAnsi" w:hAnsiTheme="minorHAnsi"/>
          <w:i/>
        </w:rPr>
        <w:t>Crimes Act</w:t>
      </w:r>
      <w:r w:rsidR="00DF0543">
        <w:rPr>
          <w:rFonts w:asciiTheme="minorHAnsi" w:hAnsiTheme="minorHAnsi"/>
        </w:rPr>
        <w:t xml:space="preserve"> which govern </w:t>
      </w:r>
      <w:r w:rsidR="00320549">
        <w:rPr>
          <w:rFonts w:asciiTheme="minorHAnsi" w:hAnsiTheme="minorHAnsi"/>
        </w:rPr>
        <w:t xml:space="preserve">sentencing factors </w:t>
      </w:r>
      <w:r w:rsidR="00DF0543">
        <w:rPr>
          <w:rFonts w:asciiTheme="minorHAnsi" w:hAnsiTheme="minorHAnsi"/>
        </w:rPr>
        <w:t xml:space="preserve">(e.g. </w:t>
      </w:r>
      <w:r w:rsidR="00320549">
        <w:rPr>
          <w:rFonts w:asciiTheme="minorHAnsi" w:hAnsiTheme="minorHAnsi"/>
        </w:rPr>
        <w:t>s 16A</w:t>
      </w:r>
      <w:r w:rsidR="00DF0543">
        <w:rPr>
          <w:rFonts w:asciiTheme="minorHAnsi" w:hAnsiTheme="minorHAnsi"/>
        </w:rPr>
        <w:t>)</w:t>
      </w:r>
      <w:r w:rsidR="00320549">
        <w:rPr>
          <w:rFonts w:asciiTheme="minorHAnsi" w:hAnsiTheme="minorHAnsi"/>
        </w:rPr>
        <w:t>, the procedures relating to</w:t>
      </w:r>
      <w:r w:rsidR="00987B15">
        <w:rPr>
          <w:rFonts w:asciiTheme="minorHAnsi" w:hAnsiTheme="minorHAnsi"/>
        </w:rPr>
        <w:t xml:space="preserve"> taking other offences into account</w:t>
      </w:r>
      <w:r w:rsidR="00E21D0D">
        <w:rPr>
          <w:rFonts w:asciiTheme="minorHAnsi" w:hAnsiTheme="minorHAnsi"/>
        </w:rPr>
        <w:t xml:space="preserve"> (s 16BA)</w:t>
      </w:r>
      <w:r w:rsidR="00987B15">
        <w:rPr>
          <w:rFonts w:asciiTheme="minorHAnsi" w:hAnsiTheme="minorHAnsi"/>
        </w:rPr>
        <w:t>,</w:t>
      </w:r>
      <w:r w:rsidR="00320549">
        <w:rPr>
          <w:rFonts w:asciiTheme="minorHAnsi" w:hAnsiTheme="minorHAnsi"/>
        </w:rPr>
        <w:t xml:space="preserve"> </w:t>
      </w:r>
      <w:r w:rsidR="00987B15">
        <w:rPr>
          <w:rFonts w:asciiTheme="minorHAnsi" w:hAnsiTheme="minorHAnsi"/>
        </w:rPr>
        <w:t>provisions relating to undertakings to co-operate</w:t>
      </w:r>
      <w:r w:rsidR="00EF4A8C">
        <w:rPr>
          <w:rFonts w:asciiTheme="minorHAnsi" w:hAnsiTheme="minorHAnsi"/>
        </w:rPr>
        <w:t xml:space="preserve"> </w:t>
      </w:r>
      <w:r w:rsidR="00DF0543">
        <w:rPr>
          <w:rFonts w:asciiTheme="minorHAnsi" w:hAnsiTheme="minorHAnsi"/>
        </w:rPr>
        <w:t>(s 16AC)</w:t>
      </w:r>
      <w:r w:rsidR="00B77AAD">
        <w:rPr>
          <w:rFonts w:asciiTheme="minorHAnsi" w:hAnsiTheme="minorHAnsi"/>
        </w:rPr>
        <w:t>,</w:t>
      </w:r>
      <w:r w:rsidR="00DF0543">
        <w:rPr>
          <w:rFonts w:asciiTheme="minorHAnsi" w:hAnsiTheme="minorHAnsi"/>
        </w:rPr>
        <w:t xml:space="preserve"> </w:t>
      </w:r>
      <w:r w:rsidR="00EF4A8C">
        <w:rPr>
          <w:rFonts w:asciiTheme="minorHAnsi" w:hAnsiTheme="minorHAnsi"/>
        </w:rPr>
        <w:t xml:space="preserve">and many other matters which apply </w:t>
      </w:r>
      <w:r w:rsidR="00743821">
        <w:rPr>
          <w:rFonts w:asciiTheme="minorHAnsi" w:hAnsiTheme="minorHAnsi"/>
        </w:rPr>
        <w:t xml:space="preserve">generally </w:t>
      </w:r>
      <w:r w:rsidR="00EF4A8C">
        <w:rPr>
          <w:rFonts w:asciiTheme="minorHAnsi" w:hAnsiTheme="minorHAnsi"/>
        </w:rPr>
        <w:t>to the sentencing of federal offenders also apply in the sentencing of children or young persons</w:t>
      </w:r>
      <w:r w:rsidR="00E21D0D">
        <w:rPr>
          <w:rFonts w:asciiTheme="minorHAnsi" w:hAnsiTheme="minorHAnsi"/>
        </w:rPr>
        <w:t xml:space="preserve"> for Commonwealth offences</w:t>
      </w:r>
      <w:r w:rsidR="00743821">
        <w:rPr>
          <w:rFonts w:asciiTheme="minorHAnsi" w:hAnsiTheme="minorHAnsi"/>
        </w:rPr>
        <w:t xml:space="preserve">, whether </w:t>
      </w:r>
      <w:r w:rsidR="00B77AAD">
        <w:rPr>
          <w:rFonts w:asciiTheme="minorHAnsi" w:hAnsiTheme="minorHAnsi"/>
        </w:rPr>
        <w:t xml:space="preserve">under State or Territory law </w:t>
      </w:r>
      <w:r w:rsidR="00743821">
        <w:rPr>
          <w:rFonts w:asciiTheme="minorHAnsi" w:hAnsiTheme="minorHAnsi"/>
        </w:rPr>
        <w:t>they are sentenced as a child or as an adult</w:t>
      </w:r>
      <w:r w:rsidR="00E21D0D">
        <w:rPr>
          <w:rFonts w:asciiTheme="minorHAnsi" w:hAnsiTheme="minorHAnsi"/>
        </w:rPr>
        <w:t>.</w:t>
      </w:r>
      <w:r w:rsidR="005C3A92" w:rsidRPr="00C00000">
        <w:rPr>
          <w:rStyle w:val="FootnoteReference"/>
          <w:rFonts w:asciiTheme="minorHAnsi" w:hAnsiTheme="minorHAnsi"/>
        </w:rPr>
        <w:footnoteReference w:id="1157"/>
      </w:r>
      <w:r w:rsidR="00E21D0D">
        <w:rPr>
          <w:rFonts w:asciiTheme="minorHAnsi" w:hAnsiTheme="minorHAnsi"/>
        </w:rPr>
        <w:t xml:space="preserve">  There is no room for the application of State or Territory laws under s </w:t>
      </w:r>
      <w:r w:rsidR="002706FC">
        <w:rPr>
          <w:rFonts w:asciiTheme="minorHAnsi" w:hAnsiTheme="minorHAnsi"/>
        </w:rPr>
        <w:t>20C</w:t>
      </w:r>
      <w:r w:rsidR="00E21D0D">
        <w:rPr>
          <w:rFonts w:asciiTheme="minorHAnsi" w:hAnsiTheme="minorHAnsi"/>
        </w:rPr>
        <w:t xml:space="preserve"> to the extent that they are inconsistent with </w:t>
      </w:r>
      <w:r w:rsidR="00B77AAD">
        <w:rPr>
          <w:rFonts w:asciiTheme="minorHAnsi" w:hAnsiTheme="minorHAnsi"/>
        </w:rPr>
        <w:t>Commonwealth laws which apply generally to the sentencing of federal offenders</w:t>
      </w:r>
      <w:r w:rsidR="00E21D0D">
        <w:rPr>
          <w:rFonts w:asciiTheme="minorHAnsi" w:hAnsiTheme="minorHAnsi"/>
        </w:rPr>
        <w:t>.</w:t>
      </w:r>
      <w:r w:rsidR="00A8485E" w:rsidRPr="00C00000">
        <w:rPr>
          <w:rStyle w:val="FootnoteReference"/>
          <w:rFonts w:asciiTheme="minorHAnsi" w:hAnsiTheme="minorHAnsi"/>
        </w:rPr>
        <w:footnoteReference w:id="1158"/>
      </w:r>
    </w:p>
    <w:p w14:paraId="6C7C543A" w14:textId="77777777" w:rsidR="00986F28" w:rsidRPr="00986F28" w:rsidRDefault="00986F28" w:rsidP="00986F28">
      <w:pPr>
        <w:pStyle w:val="ListParagraph"/>
        <w:rPr>
          <w:rFonts w:asciiTheme="minorHAnsi" w:hAnsiTheme="minorHAnsi"/>
        </w:rPr>
      </w:pPr>
    </w:p>
    <w:p w14:paraId="759D93E7" w14:textId="76BF2C21" w:rsidR="00986F28" w:rsidRDefault="001A351F" w:rsidP="00EB7F1E">
      <w:pPr>
        <w:pStyle w:val="ListParagraph"/>
        <w:numPr>
          <w:ilvl w:val="0"/>
          <w:numId w:val="7"/>
        </w:numPr>
        <w:spacing w:line="276" w:lineRule="auto"/>
        <w:ind w:left="425" w:hanging="425"/>
        <w:rPr>
          <w:rFonts w:asciiTheme="minorHAnsi" w:hAnsiTheme="minorHAnsi"/>
        </w:rPr>
      </w:pPr>
      <w:r>
        <w:rPr>
          <w:rFonts w:asciiTheme="minorHAnsi" w:hAnsiTheme="minorHAnsi"/>
        </w:rPr>
        <w:t xml:space="preserve">The range of sentencing options available in sentencing a young offender may be significantly affected by whether </w:t>
      </w:r>
      <w:r w:rsidR="00B77AAD">
        <w:rPr>
          <w:rFonts w:asciiTheme="minorHAnsi" w:hAnsiTheme="minorHAnsi"/>
        </w:rPr>
        <w:t xml:space="preserve">or not </w:t>
      </w:r>
      <w:r>
        <w:rPr>
          <w:rFonts w:asciiTheme="minorHAnsi" w:hAnsiTheme="minorHAnsi"/>
        </w:rPr>
        <w:t xml:space="preserve">the proceedings are heard and determined in a </w:t>
      </w:r>
      <w:r w:rsidR="00042F61">
        <w:rPr>
          <w:rFonts w:asciiTheme="minorHAnsi" w:hAnsiTheme="minorHAnsi"/>
        </w:rPr>
        <w:t xml:space="preserve">State or Territory </w:t>
      </w:r>
      <w:r w:rsidR="00F94406">
        <w:rPr>
          <w:rFonts w:asciiTheme="minorHAnsi" w:hAnsiTheme="minorHAnsi"/>
        </w:rPr>
        <w:t xml:space="preserve">court with specialist jurisdiction in relation to children and young offenders. </w:t>
      </w:r>
      <w:r w:rsidR="005406F9">
        <w:rPr>
          <w:rFonts w:asciiTheme="minorHAnsi" w:hAnsiTheme="minorHAnsi"/>
        </w:rPr>
        <w:t xml:space="preserve"> </w:t>
      </w:r>
      <w:r w:rsidR="00042F61">
        <w:rPr>
          <w:rFonts w:asciiTheme="minorHAnsi" w:hAnsiTheme="minorHAnsi"/>
        </w:rPr>
        <w:t>Such courts typically have no power</w:t>
      </w:r>
      <w:r w:rsidR="00B77AAD">
        <w:rPr>
          <w:rFonts w:asciiTheme="minorHAnsi" w:hAnsiTheme="minorHAnsi"/>
        </w:rPr>
        <w:t>,</w:t>
      </w:r>
      <w:r w:rsidR="00042F61">
        <w:rPr>
          <w:rFonts w:asciiTheme="minorHAnsi" w:hAnsiTheme="minorHAnsi"/>
        </w:rPr>
        <w:t xml:space="preserve"> or very limited power</w:t>
      </w:r>
      <w:r w:rsidR="00B77AAD">
        <w:rPr>
          <w:rFonts w:asciiTheme="minorHAnsi" w:hAnsiTheme="minorHAnsi"/>
        </w:rPr>
        <w:t>,</w:t>
      </w:r>
      <w:r w:rsidR="00042F61">
        <w:rPr>
          <w:rFonts w:asciiTheme="minorHAnsi" w:hAnsiTheme="minorHAnsi"/>
        </w:rPr>
        <w:t xml:space="preserve"> to sentence an offender to imprisonment, and may only sentence an offender to a form of detention</w:t>
      </w:r>
      <w:r w:rsidR="00B77AAD">
        <w:rPr>
          <w:rFonts w:asciiTheme="minorHAnsi" w:hAnsiTheme="minorHAnsi"/>
        </w:rPr>
        <w:t xml:space="preserve"> for a limited period and</w:t>
      </w:r>
      <w:r w:rsidR="00042F61">
        <w:rPr>
          <w:rFonts w:asciiTheme="minorHAnsi" w:hAnsiTheme="minorHAnsi"/>
        </w:rPr>
        <w:t xml:space="preserve"> in limited circumstances.  Limitations of this kind may</w:t>
      </w:r>
      <w:r w:rsidR="00CD2BA8">
        <w:rPr>
          <w:rFonts w:asciiTheme="minorHAnsi" w:hAnsiTheme="minorHAnsi"/>
        </w:rPr>
        <w:t>,</w:t>
      </w:r>
      <w:r w:rsidR="00042F61">
        <w:rPr>
          <w:rFonts w:asciiTheme="minorHAnsi" w:hAnsiTheme="minorHAnsi"/>
        </w:rPr>
        <w:t xml:space="preserve"> in serious cases</w:t>
      </w:r>
      <w:r w:rsidR="00CD2BA8">
        <w:rPr>
          <w:rFonts w:asciiTheme="minorHAnsi" w:hAnsiTheme="minorHAnsi"/>
        </w:rPr>
        <w:t>,</w:t>
      </w:r>
      <w:r w:rsidR="00042F61">
        <w:rPr>
          <w:rFonts w:asciiTheme="minorHAnsi" w:hAnsiTheme="minorHAnsi"/>
        </w:rPr>
        <w:t xml:space="preserve"> warrant the offender being dealt with as an adult.</w:t>
      </w:r>
      <w:r w:rsidR="00E01735">
        <w:rPr>
          <w:rFonts w:asciiTheme="minorHAnsi" w:hAnsiTheme="minorHAnsi"/>
        </w:rPr>
        <w:t xml:space="preserve">  </w:t>
      </w:r>
      <w:r w:rsidR="00365047">
        <w:rPr>
          <w:rFonts w:asciiTheme="minorHAnsi" w:hAnsiTheme="minorHAnsi"/>
        </w:rPr>
        <w:t>State or Territory laws relating to young offenders typically provide for serious charges to be dealt with on indictment in specified circumstances.</w:t>
      </w:r>
      <w:r w:rsidR="00CD2BA8" w:rsidRPr="00C00000">
        <w:rPr>
          <w:rStyle w:val="FootnoteReference"/>
          <w:rFonts w:asciiTheme="minorHAnsi" w:hAnsiTheme="minorHAnsi"/>
        </w:rPr>
        <w:footnoteReference w:id="1159"/>
      </w:r>
      <w:r w:rsidR="00365047">
        <w:rPr>
          <w:rFonts w:asciiTheme="minorHAnsi" w:hAnsiTheme="minorHAnsi"/>
        </w:rPr>
        <w:t xml:space="preserve">  In addition</w:t>
      </w:r>
      <w:r w:rsidR="00C66407">
        <w:rPr>
          <w:rFonts w:asciiTheme="minorHAnsi" w:hAnsiTheme="minorHAnsi"/>
        </w:rPr>
        <w:t>,</w:t>
      </w:r>
      <w:r w:rsidR="00365047">
        <w:rPr>
          <w:rFonts w:asciiTheme="minorHAnsi" w:hAnsiTheme="minorHAnsi"/>
        </w:rPr>
        <w:t xml:space="preserve"> </w:t>
      </w:r>
      <w:r w:rsidR="002F0939">
        <w:rPr>
          <w:rFonts w:asciiTheme="minorHAnsi" w:hAnsiTheme="minorHAnsi"/>
        </w:rPr>
        <w:t>Commonwealth law provides powers of direct indictment that override any contrary limitations imposed by State or Territory laws.</w:t>
      </w:r>
      <w:r w:rsidR="002F0939" w:rsidRPr="00C00000">
        <w:rPr>
          <w:rStyle w:val="Style"/>
          <w:rFonts w:asciiTheme="minorHAnsi" w:hAnsiTheme="minorHAnsi"/>
        </w:rPr>
        <w:footnoteReference w:id="1160"/>
      </w:r>
    </w:p>
    <w:p w14:paraId="7D13362B" w14:textId="35C06F60" w:rsidR="001D618B" w:rsidRPr="001D618B" w:rsidRDefault="001D618B" w:rsidP="001D618B">
      <w:pPr>
        <w:pStyle w:val="ListParagraph"/>
        <w:rPr>
          <w:rFonts w:asciiTheme="minorHAnsi" w:hAnsiTheme="minorHAnsi"/>
        </w:rPr>
      </w:pPr>
    </w:p>
    <w:p w14:paraId="4F91259A" w14:textId="62AB9AB4" w:rsidR="001D618B" w:rsidRDefault="001D618B" w:rsidP="007C1A17">
      <w:pPr>
        <w:pStyle w:val="ListParagraph"/>
        <w:numPr>
          <w:ilvl w:val="0"/>
          <w:numId w:val="7"/>
        </w:numPr>
        <w:spacing w:line="276" w:lineRule="auto"/>
        <w:ind w:left="425" w:hanging="425"/>
        <w:rPr>
          <w:rFonts w:asciiTheme="minorHAnsi" w:hAnsiTheme="minorHAnsi"/>
        </w:rPr>
      </w:pPr>
      <w:r>
        <w:rPr>
          <w:rFonts w:asciiTheme="minorHAnsi" w:hAnsiTheme="minorHAnsi"/>
        </w:rPr>
        <w:t>As to the significance of youth and immaturity in sentencing a federal offender, see “</w:t>
      </w:r>
      <w:r>
        <w:rPr>
          <w:rFonts w:asciiTheme="minorHAnsi" w:hAnsiTheme="minorHAnsi"/>
        </w:rPr>
        <w:fldChar w:fldCharType="begin"/>
      </w:r>
      <w:r>
        <w:rPr>
          <w:rFonts w:asciiTheme="minorHAnsi" w:hAnsiTheme="minorHAnsi"/>
        </w:rPr>
        <w:instrText xml:space="preserve"> REF _Ref507608389 \r \h  \* MERGEFORMAT </w:instrText>
      </w:r>
      <w:r>
        <w:rPr>
          <w:rFonts w:asciiTheme="minorHAnsi" w:hAnsiTheme="minorHAnsi"/>
        </w:rPr>
      </w:r>
      <w:r>
        <w:rPr>
          <w:rFonts w:asciiTheme="minorHAnsi" w:hAnsiTheme="minorHAnsi"/>
        </w:rPr>
        <w:fldChar w:fldCharType="separate"/>
      </w:r>
      <w:r w:rsidR="00D44BCF">
        <w:rPr>
          <w:rFonts w:asciiTheme="minorHAnsi" w:hAnsiTheme="minorHAnsi"/>
        </w:rPr>
        <w:t>4.4.12</w:t>
      </w:r>
      <w:r>
        <w:rPr>
          <w:rFonts w:asciiTheme="minorHAnsi" w:hAnsiTheme="minorHAnsi"/>
        </w:rPr>
        <w:fldChar w:fldCharType="end"/>
      </w:r>
      <w:r>
        <w:rPr>
          <w:rFonts w:asciiTheme="minorHAnsi" w:hAnsiTheme="minorHAnsi"/>
        </w:rPr>
        <w:t xml:space="preserve"> </w:t>
      </w:r>
      <w:r>
        <w:rPr>
          <w:rFonts w:asciiTheme="minorHAnsi" w:hAnsiTheme="minorHAnsi"/>
        </w:rPr>
        <w:fldChar w:fldCharType="begin"/>
      </w:r>
      <w:r>
        <w:rPr>
          <w:rFonts w:asciiTheme="minorHAnsi" w:hAnsiTheme="minorHAnsi"/>
        </w:rPr>
        <w:instrText xml:space="preserve"> REF _Ref507608392 \h  \* MERGEFORMAT </w:instrText>
      </w:r>
      <w:r>
        <w:rPr>
          <w:rFonts w:asciiTheme="minorHAnsi" w:hAnsiTheme="minorHAnsi"/>
        </w:rPr>
      </w:r>
      <w:r>
        <w:rPr>
          <w:rFonts w:asciiTheme="minorHAnsi" w:hAnsiTheme="minorHAnsi"/>
        </w:rPr>
        <w:fldChar w:fldCharType="separate"/>
      </w:r>
      <w:r w:rsidR="00D44BCF" w:rsidRPr="00D44BCF">
        <w:rPr>
          <w:rFonts w:asciiTheme="minorHAnsi" w:hAnsiTheme="minorHAnsi"/>
        </w:rPr>
        <w:t>Character, antecedents, age, means, physical/mental condition – s 16A(2)(m)</w:t>
      </w:r>
      <w:r>
        <w:rPr>
          <w:rFonts w:asciiTheme="minorHAnsi" w:hAnsiTheme="minorHAnsi"/>
        </w:rPr>
        <w:fldChar w:fldCharType="end"/>
      </w:r>
      <w:r>
        <w:rPr>
          <w:rFonts w:asciiTheme="minorHAnsi" w:hAnsiTheme="minorHAnsi"/>
        </w:rPr>
        <w:t xml:space="preserve">”. </w:t>
      </w:r>
    </w:p>
    <w:p w14:paraId="4D9DEB93" w14:textId="77777777" w:rsidR="0045518E" w:rsidRPr="0045518E" w:rsidRDefault="0045518E" w:rsidP="0045518E">
      <w:pPr>
        <w:pStyle w:val="ListParagraph"/>
        <w:rPr>
          <w:rFonts w:asciiTheme="minorHAnsi" w:hAnsiTheme="minorHAnsi"/>
        </w:rPr>
      </w:pPr>
    </w:p>
    <w:p w14:paraId="60A86D95" w14:textId="41DDF1E2" w:rsidR="00D70A1F" w:rsidRPr="00C00000" w:rsidRDefault="00D70A1F" w:rsidP="00407B97">
      <w:pPr>
        <w:pStyle w:val="Heading2"/>
        <w:rPr>
          <w:rStyle w:val="Strong"/>
          <w:b/>
        </w:rPr>
      </w:pPr>
      <w:bookmarkStart w:id="3153" w:name="_Toc33602979"/>
      <w:bookmarkEnd w:id="3152"/>
      <w:r w:rsidRPr="00C00000">
        <w:rPr>
          <w:rStyle w:val="Strong"/>
          <w:b/>
        </w:rPr>
        <w:t xml:space="preserve">Applied State </w:t>
      </w:r>
      <w:r w:rsidR="00D438A2" w:rsidRPr="00C00000">
        <w:rPr>
          <w:rStyle w:val="Strong"/>
          <w:b/>
        </w:rPr>
        <w:t>offences committed on Commonwealth places</w:t>
      </w:r>
      <w:bookmarkEnd w:id="3153"/>
    </w:p>
    <w:p w14:paraId="3880CFCF" w14:textId="77777777" w:rsidR="00D70A1F" w:rsidRPr="00C00000" w:rsidRDefault="00D70A1F" w:rsidP="00407B97">
      <w:pPr>
        <w:pStyle w:val="ListParagraph"/>
        <w:keepNext/>
        <w:spacing w:line="276" w:lineRule="auto"/>
        <w:ind w:left="873"/>
        <w:contextualSpacing w:val="0"/>
        <w:jc w:val="left"/>
        <w:rPr>
          <w:rFonts w:asciiTheme="minorHAnsi" w:hAnsiTheme="minorHAnsi"/>
        </w:rPr>
      </w:pPr>
    </w:p>
    <w:p w14:paraId="40B11A81" w14:textId="0EFD6D81" w:rsidR="0053432F" w:rsidRPr="00C00000" w:rsidRDefault="00D438A2" w:rsidP="00EB7F1E">
      <w:pPr>
        <w:pStyle w:val="ListParagraph"/>
        <w:numPr>
          <w:ilvl w:val="0"/>
          <w:numId w:val="7"/>
        </w:numPr>
        <w:spacing w:line="276" w:lineRule="auto"/>
        <w:ind w:left="425" w:hanging="425"/>
        <w:rPr>
          <w:rFonts w:asciiTheme="minorHAnsi" w:hAnsiTheme="minorHAnsi"/>
        </w:rPr>
      </w:pPr>
      <w:r w:rsidRPr="00C00000">
        <w:rPr>
          <w:rFonts w:asciiTheme="minorHAnsi" w:hAnsiTheme="minorHAnsi"/>
        </w:rPr>
        <w:t xml:space="preserve">The </w:t>
      </w:r>
      <w:r w:rsidR="0053432F" w:rsidRPr="00C00000">
        <w:rPr>
          <w:rFonts w:asciiTheme="minorHAnsi" w:hAnsiTheme="minorHAnsi"/>
          <w:i/>
        </w:rPr>
        <w:t>Commonwealth Places (Application of Laws) Act 1970</w:t>
      </w:r>
      <w:r w:rsidR="001216D1" w:rsidRPr="00C00000">
        <w:rPr>
          <w:rFonts w:asciiTheme="minorHAnsi" w:hAnsiTheme="minorHAnsi"/>
        </w:rPr>
        <w:t xml:space="preserve"> (Cth)</w:t>
      </w:r>
      <w:r w:rsidR="00844A96">
        <w:rPr>
          <w:rFonts w:asciiTheme="minorHAnsi" w:hAnsiTheme="minorHAnsi"/>
        </w:rPr>
        <w:t xml:space="preserve"> (the CP Act) provides for the application of State </w:t>
      </w:r>
      <w:r w:rsidR="00962E8D">
        <w:rPr>
          <w:rFonts w:asciiTheme="minorHAnsi" w:hAnsiTheme="minorHAnsi"/>
        </w:rPr>
        <w:t>laws</w:t>
      </w:r>
      <w:r w:rsidR="00844A96">
        <w:rPr>
          <w:rFonts w:asciiTheme="minorHAnsi" w:hAnsiTheme="minorHAnsi"/>
        </w:rPr>
        <w:t xml:space="preserve"> in</w:t>
      </w:r>
      <w:r w:rsidR="0053432F" w:rsidRPr="00C00000">
        <w:rPr>
          <w:rFonts w:asciiTheme="minorHAnsi" w:hAnsiTheme="minorHAnsi"/>
        </w:rPr>
        <w:t xml:space="preserve"> </w:t>
      </w:r>
      <w:r w:rsidR="00844A96" w:rsidRPr="00C00000">
        <w:rPr>
          <w:rFonts w:asciiTheme="minorHAnsi" w:hAnsiTheme="minorHAnsi"/>
        </w:rPr>
        <w:t xml:space="preserve">Commonwealth place (such as </w:t>
      </w:r>
      <w:r w:rsidR="00844A96">
        <w:rPr>
          <w:rFonts w:asciiTheme="minorHAnsi" w:hAnsiTheme="minorHAnsi"/>
        </w:rPr>
        <w:t>a number of Australia</w:t>
      </w:r>
      <w:r w:rsidR="00AA693C">
        <w:rPr>
          <w:rFonts w:asciiTheme="minorHAnsi" w:hAnsiTheme="minorHAnsi"/>
        </w:rPr>
        <w:t>’</w:t>
      </w:r>
      <w:r w:rsidR="00844A96">
        <w:rPr>
          <w:rFonts w:asciiTheme="minorHAnsi" w:hAnsiTheme="minorHAnsi"/>
        </w:rPr>
        <w:t>s major airports</w:t>
      </w:r>
      <w:r w:rsidR="00844A96" w:rsidRPr="00C00000">
        <w:rPr>
          <w:rFonts w:asciiTheme="minorHAnsi" w:hAnsiTheme="minorHAnsi"/>
        </w:rPr>
        <w:t>)</w:t>
      </w:r>
      <w:r w:rsidR="00844A96">
        <w:rPr>
          <w:rFonts w:asciiTheme="minorHAnsi" w:hAnsiTheme="minorHAnsi"/>
        </w:rPr>
        <w:t>.  In sentencing for an offence</w:t>
      </w:r>
      <w:r w:rsidR="00962E8D">
        <w:rPr>
          <w:rFonts w:asciiTheme="minorHAnsi" w:hAnsiTheme="minorHAnsi"/>
        </w:rPr>
        <w:t xml:space="preserve"> under such an applied State law</w:t>
      </w:r>
      <w:r w:rsidR="00844A96">
        <w:rPr>
          <w:rFonts w:asciiTheme="minorHAnsi" w:hAnsiTheme="minorHAnsi"/>
        </w:rPr>
        <w:t xml:space="preserve">, a State court is exercising federal jurisdiction, </w:t>
      </w:r>
      <w:r w:rsidR="0053432F" w:rsidRPr="00C00000">
        <w:rPr>
          <w:rFonts w:asciiTheme="minorHAnsi" w:hAnsiTheme="minorHAnsi"/>
        </w:rPr>
        <w:t xml:space="preserve">but </w:t>
      </w:r>
      <w:r w:rsidR="00962E8D">
        <w:rPr>
          <w:rFonts w:asciiTheme="minorHAnsi" w:hAnsiTheme="minorHAnsi"/>
        </w:rPr>
        <w:t xml:space="preserve">pursuant to s </w:t>
      </w:r>
      <w:r w:rsidR="0053432F" w:rsidRPr="00C00000">
        <w:rPr>
          <w:rFonts w:asciiTheme="minorHAnsi" w:hAnsiTheme="minorHAnsi"/>
        </w:rPr>
        <w:t>5(3) of th</w:t>
      </w:r>
      <w:r w:rsidR="00962E8D">
        <w:rPr>
          <w:rFonts w:asciiTheme="minorHAnsi" w:hAnsiTheme="minorHAnsi"/>
        </w:rPr>
        <w:t>e CP</w:t>
      </w:r>
      <w:r w:rsidR="0053432F" w:rsidRPr="00C00000">
        <w:rPr>
          <w:rFonts w:asciiTheme="minorHAnsi" w:hAnsiTheme="minorHAnsi"/>
        </w:rPr>
        <w:t xml:space="preserve"> Act</w:t>
      </w:r>
      <w:r w:rsidR="00962E8D">
        <w:rPr>
          <w:rFonts w:asciiTheme="minorHAnsi" w:hAnsiTheme="minorHAnsi"/>
        </w:rPr>
        <w:t>,</w:t>
      </w:r>
      <w:r w:rsidR="0053432F" w:rsidRPr="00C00000">
        <w:rPr>
          <w:rFonts w:asciiTheme="minorHAnsi" w:hAnsiTheme="minorHAnsi"/>
        </w:rPr>
        <w:t xml:space="preserve"> sentencing options in the </w:t>
      </w:r>
      <w:r w:rsidR="00885EFD" w:rsidRPr="00885EFD">
        <w:rPr>
          <w:rFonts w:asciiTheme="minorHAnsi" w:hAnsiTheme="minorHAnsi"/>
          <w:i/>
        </w:rPr>
        <w:t>Crimes Act 1914</w:t>
      </w:r>
      <w:r w:rsidR="0053432F" w:rsidRPr="00C00000">
        <w:rPr>
          <w:rFonts w:asciiTheme="minorHAnsi" w:hAnsiTheme="minorHAnsi"/>
          <w:i/>
        </w:rPr>
        <w:t xml:space="preserve"> </w:t>
      </w:r>
      <w:r w:rsidR="0053432F" w:rsidRPr="00C00000">
        <w:rPr>
          <w:rFonts w:asciiTheme="minorHAnsi" w:hAnsiTheme="minorHAnsi"/>
        </w:rPr>
        <w:t xml:space="preserve">(Cth) </w:t>
      </w:r>
      <w:r w:rsidR="00962E8D">
        <w:rPr>
          <w:rFonts w:asciiTheme="minorHAnsi" w:hAnsiTheme="minorHAnsi"/>
        </w:rPr>
        <w:t xml:space="preserve">are </w:t>
      </w:r>
      <w:r w:rsidR="0053432F" w:rsidRPr="00C00000">
        <w:rPr>
          <w:rFonts w:asciiTheme="minorHAnsi" w:hAnsiTheme="minorHAnsi"/>
        </w:rPr>
        <w:t xml:space="preserve">inapplicable.  </w:t>
      </w:r>
      <w:r w:rsidR="00A82D09">
        <w:rPr>
          <w:rFonts w:asciiTheme="minorHAnsi" w:hAnsiTheme="minorHAnsi"/>
        </w:rPr>
        <w:t xml:space="preserve">State </w:t>
      </w:r>
      <w:r w:rsidR="0053432F" w:rsidRPr="00C00000">
        <w:rPr>
          <w:rFonts w:asciiTheme="minorHAnsi" w:hAnsiTheme="minorHAnsi"/>
        </w:rPr>
        <w:t>sentencing options</w:t>
      </w:r>
      <w:r w:rsidR="0070491A">
        <w:rPr>
          <w:rFonts w:asciiTheme="minorHAnsi" w:hAnsiTheme="minorHAnsi"/>
        </w:rPr>
        <w:t xml:space="preserve"> and </w:t>
      </w:r>
      <w:r w:rsidR="00A82D09">
        <w:rPr>
          <w:rFonts w:asciiTheme="minorHAnsi" w:hAnsiTheme="minorHAnsi"/>
        </w:rPr>
        <w:t xml:space="preserve">State </w:t>
      </w:r>
      <w:r w:rsidR="0070491A">
        <w:rPr>
          <w:rFonts w:asciiTheme="minorHAnsi" w:hAnsiTheme="minorHAnsi"/>
        </w:rPr>
        <w:t>sentencing procedures</w:t>
      </w:r>
      <w:r w:rsidR="00740D3B" w:rsidRPr="00C00000">
        <w:rPr>
          <w:rFonts w:asciiTheme="minorHAnsi" w:hAnsiTheme="minorHAnsi"/>
        </w:rPr>
        <w:t xml:space="preserve"> </w:t>
      </w:r>
      <w:r w:rsidR="0053432F" w:rsidRPr="00C00000">
        <w:rPr>
          <w:rFonts w:asciiTheme="minorHAnsi" w:hAnsiTheme="minorHAnsi"/>
        </w:rPr>
        <w:t>apply.</w:t>
      </w:r>
      <w:r w:rsidR="0070491A" w:rsidRPr="00C00000">
        <w:rPr>
          <w:rStyle w:val="Style"/>
          <w:rFonts w:asciiTheme="minorHAnsi" w:hAnsiTheme="minorHAnsi"/>
        </w:rPr>
        <w:footnoteReference w:id="1161"/>
      </w:r>
    </w:p>
    <w:p w14:paraId="6552ACB0" w14:textId="77777777" w:rsidR="0086069F" w:rsidRPr="00C00000" w:rsidRDefault="0086069F" w:rsidP="007C11C2">
      <w:pPr>
        <w:pStyle w:val="ListParagraph"/>
        <w:spacing w:line="276" w:lineRule="auto"/>
        <w:ind w:left="873" w:right="28"/>
        <w:rPr>
          <w:rFonts w:asciiTheme="minorHAnsi" w:hAnsiTheme="minorHAnsi"/>
        </w:rPr>
      </w:pPr>
    </w:p>
    <w:p w14:paraId="3AA7CCB5" w14:textId="77777777" w:rsidR="00017737" w:rsidRPr="00763B59" w:rsidRDefault="00017737" w:rsidP="00407B97">
      <w:pPr>
        <w:pStyle w:val="Heading2"/>
        <w:rPr>
          <w:rStyle w:val="Strong"/>
          <w:b/>
        </w:rPr>
      </w:pPr>
      <w:bookmarkStart w:id="3154" w:name="_Toc484364450"/>
      <w:bookmarkStart w:id="3155" w:name="_Toc484365757"/>
      <w:bookmarkStart w:id="3156" w:name="_Toc484432657"/>
      <w:bookmarkStart w:id="3157" w:name="_Ref492478935"/>
      <w:bookmarkStart w:id="3158" w:name="_Ref492478942"/>
      <w:bookmarkStart w:id="3159" w:name="_Toc33602980"/>
      <w:bookmarkEnd w:id="3154"/>
      <w:bookmarkEnd w:id="3155"/>
      <w:bookmarkEnd w:id="3156"/>
      <w:r w:rsidRPr="00763B59">
        <w:rPr>
          <w:rStyle w:val="Strong"/>
          <w:b/>
        </w:rPr>
        <w:t>Fitness to be Tried</w:t>
      </w:r>
      <w:bookmarkEnd w:id="3157"/>
      <w:bookmarkEnd w:id="3158"/>
      <w:bookmarkEnd w:id="3159"/>
    </w:p>
    <w:p w14:paraId="52651F8F" w14:textId="77777777" w:rsidR="00017737" w:rsidRPr="00763B59" w:rsidRDefault="00017737" w:rsidP="00407B97">
      <w:pPr>
        <w:pStyle w:val="ListParagraph"/>
        <w:keepNext/>
        <w:spacing w:line="276" w:lineRule="auto"/>
        <w:ind w:left="567" w:hanging="567"/>
        <w:contextualSpacing w:val="0"/>
        <w:jc w:val="left"/>
        <w:rPr>
          <w:rFonts w:asciiTheme="minorHAnsi" w:hAnsiTheme="minorHAnsi"/>
        </w:rPr>
      </w:pPr>
    </w:p>
    <w:p w14:paraId="3924F3AA" w14:textId="2B5EA40A" w:rsidR="00E36E70" w:rsidRPr="00763B59" w:rsidRDefault="00FA5C3B" w:rsidP="00407B97">
      <w:pPr>
        <w:pStyle w:val="Heading3"/>
      </w:pPr>
      <w:bookmarkStart w:id="3160" w:name="_Ref11738226"/>
      <w:bookmarkStart w:id="3161" w:name="_Ref11738228"/>
      <w:bookmarkStart w:id="3162" w:name="_Toc33602981"/>
      <w:r w:rsidRPr="00763B59">
        <w:t xml:space="preserve">Unfitness in commital proceedings and on </w:t>
      </w:r>
      <w:r w:rsidR="007B4225" w:rsidRPr="00763B59">
        <w:t>indictment</w:t>
      </w:r>
      <w:bookmarkEnd w:id="3160"/>
      <w:bookmarkEnd w:id="3161"/>
      <w:bookmarkEnd w:id="3162"/>
    </w:p>
    <w:p w14:paraId="59A49187" w14:textId="77777777" w:rsidR="00E36E70" w:rsidRPr="00763B59" w:rsidRDefault="00E36E70" w:rsidP="00407B97">
      <w:pPr>
        <w:pStyle w:val="NormalIndent"/>
        <w:keepNext/>
        <w:spacing w:line="276" w:lineRule="auto"/>
        <w:rPr>
          <w:rFonts w:asciiTheme="minorHAnsi" w:hAnsiTheme="minorHAnsi"/>
        </w:rPr>
      </w:pPr>
    </w:p>
    <w:p w14:paraId="1FFEB316" w14:textId="1CBFFFE0" w:rsidR="000B2877" w:rsidRPr="00763B59" w:rsidRDefault="000B2877" w:rsidP="000B2877">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Division 6 of Part IB of the </w:t>
      </w:r>
      <w:r w:rsidRPr="00763B59">
        <w:rPr>
          <w:rFonts w:asciiTheme="minorHAnsi" w:hAnsiTheme="minorHAnsi"/>
          <w:i/>
          <w:iCs/>
        </w:rPr>
        <w:t>Crimes Act 1914</w:t>
      </w:r>
      <w:r w:rsidRPr="00763B59">
        <w:rPr>
          <w:rFonts w:asciiTheme="minorHAnsi" w:hAnsiTheme="minorHAnsi"/>
        </w:rPr>
        <w:t xml:space="preserve"> (Cth) </w:t>
      </w:r>
      <w:r w:rsidRPr="00763B59">
        <w:rPr>
          <w:rFonts w:asciiTheme="minorHAnsi" w:hAnsiTheme="minorHAnsi"/>
          <w:iCs/>
        </w:rPr>
        <w:t>sets out the consequences of a preliminary finding that a person is unfit to be tried or unfit to plead.</w:t>
      </w:r>
      <w:r w:rsidR="001753B8" w:rsidRPr="00763B59">
        <w:rPr>
          <w:rStyle w:val="Style"/>
          <w:rFonts w:asciiTheme="minorHAnsi" w:hAnsiTheme="minorHAnsi"/>
        </w:rPr>
        <w:footnoteReference w:id="1162"/>
      </w:r>
      <w:r w:rsidRPr="00763B59">
        <w:rPr>
          <w:rFonts w:asciiTheme="minorHAnsi" w:hAnsiTheme="minorHAnsi"/>
          <w:iCs/>
        </w:rPr>
        <w:t xml:space="preserve"> </w:t>
      </w:r>
      <w:r w:rsidR="001753B8" w:rsidRPr="00763B59">
        <w:rPr>
          <w:rFonts w:asciiTheme="minorHAnsi" w:hAnsiTheme="minorHAnsi"/>
          <w:iCs/>
        </w:rPr>
        <w:t xml:space="preserve"> </w:t>
      </w:r>
      <w:r w:rsidR="00FE7B41" w:rsidRPr="00763B59">
        <w:rPr>
          <w:rFonts w:asciiTheme="minorHAnsi" w:hAnsiTheme="minorHAnsi"/>
          <w:iCs/>
        </w:rPr>
        <w:t>(“Fit to be tried”</w:t>
      </w:r>
      <w:r w:rsidR="00EB793A" w:rsidRPr="00763B59">
        <w:rPr>
          <w:rFonts w:asciiTheme="minorHAnsi" w:hAnsiTheme="minorHAnsi"/>
          <w:iCs/>
        </w:rPr>
        <w:t>, the term used in Division 6,</w:t>
      </w:r>
      <w:r w:rsidR="00FE7B41" w:rsidRPr="00763B59">
        <w:rPr>
          <w:rFonts w:asciiTheme="minorHAnsi" w:hAnsiTheme="minorHAnsi"/>
          <w:iCs/>
        </w:rPr>
        <w:t xml:space="preserve"> is defined in s 16 of the Act to include fit to plead.)  </w:t>
      </w:r>
      <w:r w:rsidRPr="00763B59">
        <w:rPr>
          <w:rFonts w:asciiTheme="minorHAnsi" w:hAnsiTheme="minorHAnsi"/>
          <w:iCs/>
        </w:rPr>
        <w:t xml:space="preserve">However, </w:t>
      </w:r>
      <w:r w:rsidR="001753B8" w:rsidRPr="00763B59">
        <w:rPr>
          <w:rFonts w:asciiTheme="minorHAnsi" w:hAnsiTheme="minorHAnsi"/>
          <w:iCs/>
        </w:rPr>
        <w:t>Division 6</w:t>
      </w:r>
      <w:r w:rsidRPr="00763B59">
        <w:rPr>
          <w:rFonts w:asciiTheme="minorHAnsi" w:hAnsiTheme="minorHAnsi"/>
          <w:iCs/>
        </w:rPr>
        <w:t xml:space="preserve"> does</w:t>
      </w:r>
      <w:r w:rsidRPr="00763B59">
        <w:rPr>
          <w:rFonts w:asciiTheme="minorHAnsi" w:hAnsiTheme="minorHAnsi"/>
        </w:rPr>
        <w:t xml:space="preserve"> not prescribe a procedure for empanelling a jury to determine the preliminary question of fitness.</w:t>
      </w:r>
    </w:p>
    <w:p w14:paraId="65AB1EF8" w14:textId="77777777" w:rsidR="00FE7B41" w:rsidRPr="00763B59" w:rsidRDefault="00FE7B41" w:rsidP="00EB7F1E">
      <w:pPr>
        <w:spacing w:line="276" w:lineRule="auto"/>
        <w:rPr>
          <w:rFonts w:asciiTheme="minorHAnsi" w:hAnsiTheme="minorHAnsi"/>
        </w:rPr>
      </w:pPr>
    </w:p>
    <w:p w14:paraId="27AE14DA" w14:textId="391E7DA0" w:rsidR="001753B8" w:rsidRPr="00763B59" w:rsidRDefault="00017737"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In </w:t>
      </w:r>
      <w:r w:rsidRPr="00763B59">
        <w:rPr>
          <w:rFonts w:asciiTheme="minorHAnsi" w:hAnsiTheme="minorHAnsi"/>
          <w:i/>
        </w:rPr>
        <w:t>Kesavarajah,</w:t>
      </w:r>
      <w:r w:rsidRPr="00763B59">
        <w:rPr>
          <w:rStyle w:val="Style"/>
          <w:rFonts w:asciiTheme="minorHAnsi" w:hAnsiTheme="minorHAnsi"/>
        </w:rPr>
        <w:footnoteReference w:id="1163"/>
      </w:r>
      <w:r w:rsidRPr="00763B59">
        <w:rPr>
          <w:rFonts w:asciiTheme="minorHAnsi" w:hAnsiTheme="minorHAnsi"/>
          <w:bCs/>
          <w:iCs/>
        </w:rPr>
        <w:t xml:space="preserve"> </w:t>
      </w:r>
      <w:r w:rsidR="00737CEC" w:rsidRPr="00763B59">
        <w:rPr>
          <w:rFonts w:asciiTheme="minorHAnsi" w:hAnsiTheme="minorHAnsi"/>
          <w:bCs/>
          <w:iCs/>
        </w:rPr>
        <w:t xml:space="preserve">Mason CJ, </w:t>
      </w:r>
      <w:r w:rsidR="00530CF7" w:rsidRPr="00763B59">
        <w:rPr>
          <w:rFonts w:asciiTheme="minorHAnsi" w:hAnsiTheme="minorHAnsi"/>
          <w:bCs/>
          <w:iCs/>
        </w:rPr>
        <w:t>Toohey and Gaudron JJ</w:t>
      </w:r>
      <w:r w:rsidR="0085739A" w:rsidRPr="00763B59">
        <w:rPr>
          <w:rFonts w:asciiTheme="minorHAnsi" w:hAnsiTheme="minorHAnsi"/>
        </w:rPr>
        <w:t xml:space="preserve"> </w:t>
      </w:r>
      <w:r w:rsidR="00ED17BD" w:rsidRPr="00763B59">
        <w:rPr>
          <w:rFonts w:asciiTheme="minorHAnsi" w:hAnsiTheme="minorHAnsi"/>
        </w:rPr>
        <w:t>ob</w:t>
      </w:r>
      <w:r w:rsidR="0085739A" w:rsidRPr="00763B59">
        <w:rPr>
          <w:rFonts w:asciiTheme="minorHAnsi" w:hAnsiTheme="minorHAnsi"/>
        </w:rPr>
        <w:t>s</w:t>
      </w:r>
      <w:r w:rsidR="00ED17BD" w:rsidRPr="00763B59">
        <w:rPr>
          <w:rFonts w:asciiTheme="minorHAnsi" w:hAnsiTheme="minorHAnsi"/>
        </w:rPr>
        <w:t>erved</w:t>
      </w:r>
      <w:r w:rsidRPr="00763B59">
        <w:rPr>
          <w:rFonts w:asciiTheme="minorHAnsi" w:hAnsiTheme="minorHAnsi"/>
        </w:rPr>
        <w:t xml:space="preserve"> that</w:t>
      </w:r>
      <w:r w:rsidR="00530CF7" w:rsidRPr="00763B59">
        <w:rPr>
          <w:rFonts w:asciiTheme="minorHAnsi" w:hAnsiTheme="minorHAnsi"/>
        </w:rPr>
        <w:t>,</w:t>
      </w:r>
      <w:r w:rsidRPr="00763B59">
        <w:rPr>
          <w:rFonts w:asciiTheme="minorHAnsi" w:hAnsiTheme="minorHAnsi"/>
        </w:rPr>
        <w:t xml:space="preserve"> </w:t>
      </w:r>
      <w:r w:rsidR="00530CF7" w:rsidRPr="00763B59">
        <w:rPr>
          <w:rFonts w:asciiTheme="minorHAnsi" w:hAnsiTheme="minorHAnsi"/>
        </w:rPr>
        <w:t xml:space="preserve">where a question whether the accused was fit to be tried arose during the course of a trial on indictment for a federal offence, </w:t>
      </w:r>
      <w:r w:rsidR="003A490C" w:rsidRPr="00763B59">
        <w:rPr>
          <w:rFonts w:asciiTheme="minorHAnsi" w:hAnsiTheme="minorHAnsi"/>
        </w:rPr>
        <w:t xml:space="preserve">State </w:t>
      </w:r>
      <w:r w:rsidRPr="00763B59">
        <w:rPr>
          <w:rFonts w:asciiTheme="minorHAnsi" w:hAnsiTheme="minorHAnsi"/>
        </w:rPr>
        <w:t xml:space="preserve">law regulated the mode of determining </w:t>
      </w:r>
      <w:r w:rsidR="00ED17BD" w:rsidRPr="00763B59">
        <w:rPr>
          <w:rFonts w:asciiTheme="minorHAnsi" w:hAnsiTheme="minorHAnsi"/>
        </w:rPr>
        <w:t>th</w:t>
      </w:r>
      <w:r w:rsidR="00530CF7" w:rsidRPr="00763B59">
        <w:rPr>
          <w:rFonts w:asciiTheme="minorHAnsi" w:hAnsiTheme="minorHAnsi"/>
        </w:rPr>
        <w:t>e initial</w:t>
      </w:r>
      <w:r w:rsidR="00ED17BD" w:rsidRPr="00763B59">
        <w:rPr>
          <w:rFonts w:asciiTheme="minorHAnsi" w:hAnsiTheme="minorHAnsi"/>
        </w:rPr>
        <w:t xml:space="preserve"> question </w:t>
      </w:r>
      <w:r w:rsidR="00530CF7" w:rsidRPr="00763B59">
        <w:rPr>
          <w:rFonts w:asciiTheme="minorHAnsi" w:hAnsiTheme="minorHAnsi"/>
        </w:rPr>
        <w:t xml:space="preserve">and </w:t>
      </w:r>
      <w:r w:rsidR="00ED17BD" w:rsidRPr="00763B59">
        <w:rPr>
          <w:rFonts w:asciiTheme="minorHAnsi" w:hAnsiTheme="minorHAnsi"/>
        </w:rPr>
        <w:t xml:space="preserve">s 20B of </w:t>
      </w:r>
      <w:r w:rsidRPr="00763B59">
        <w:rPr>
          <w:rFonts w:asciiTheme="minorHAnsi" w:hAnsiTheme="minorHAnsi"/>
        </w:rPr>
        <w:t xml:space="preserve">the </w:t>
      </w:r>
      <w:r w:rsidR="00885EFD" w:rsidRPr="00763B59">
        <w:rPr>
          <w:rFonts w:asciiTheme="minorHAnsi" w:hAnsiTheme="minorHAnsi"/>
          <w:i/>
        </w:rPr>
        <w:t>Crimes Act</w:t>
      </w:r>
      <w:r w:rsidRPr="00763B59">
        <w:rPr>
          <w:rFonts w:asciiTheme="minorHAnsi" w:hAnsiTheme="minorHAnsi"/>
        </w:rPr>
        <w:t xml:space="preserve"> regulated the consequences that flowed from </w:t>
      </w:r>
      <w:r w:rsidR="00530CF7" w:rsidRPr="00763B59">
        <w:rPr>
          <w:rFonts w:asciiTheme="minorHAnsi" w:hAnsiTheme="minorHAnsi"/>
        </w:rPr>
        <w:t>a</w:t>
      </w:r>
      <w:r w:rsidRPr="00763B59">
        <w:rPr>
          <w:rFonts w:asciiTheme="minorHAnsi" w:hAnsiTheme="minorHAnsi"/>
        </w:rPr>
        <w:t xml:space="preserve"> finding </w:t>
      </w:r>
      <w:r w:rsidR="00ED17BD" w:rsidRPr="00763B59">
        <w:rPr>
          <w:rFonts w:asciiTheme="minorHAnsi" w:hAnsiTheme="minorHAnsi"/>
        </w:rPr>
        <w:t xml:space="preserve">of fitness or unfitness. </w:t>
      </w:r>
    </w:p>
    <w:p w14:paraId="2B149647" w14:textId="77777777" w:rsidR="000B2877" w:rsidRPr="00763B59" w:rsidRDefault="000B2877" w:rsidP="00EB7F1E">
      <w:pPr>
        <w:pStyle w:val="ListParagraph"/>
        <w:spacing w:line="276" w:lineRule="auto"/>
        <w:ind w:left="425"/>
        <w:rPr>
          <w:rFonts w:asciiTheme="minorHAnsi" w:hAnsiTheme="minorHAnsi"/>
        </w:rPr>
      </w:pPr>
    </w:p>
    <w:p w14:paraId="7749B285" w14:textId="601155A1" w:rsidR="006A5317" w:rsidRPr="00763B59" w:rsidRDefault="001753B8"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When the question whether a person is </w:t>
      </w:r>
      <w:r w:rsidR="00906917" w:rsidRPr="00763B59">
        <w:rPr>
          <w:rFonts w:asciiTheme="minorHAnsi" w:hAnsiTheme="minorHAnsi"/>
        </w:rPr>
        <w:t xml:space="preserve">fit to </w:t>
      </w:r>
      <w:r w:rsidRPr="00763B59">
        <w:rPr>
          <w:rFonts w:asciiTheme="minorHAnsi" w:hAnsiTheme="minorHAnsi"/>
        </w:rPr>
        <w:t xml:space="preserve">be tried for a </w:t>
      </w:r>
      <w:r w:rsidR="00906917" w:rsidRPr="00763B59">
        <w:rPr>
          <w:rFonts w:asciiTheme="minorHAnsi" w:hAnsiTheme="minorHAnsi"/>
        </w:rPr>
        <w:t xml:space="preserve">Commonwealth </w:t>
      </w:r>
      <w:r w:rsidRPr="00763B59">
        <w:rPr>
          <w:rFonts w:asciiTheme="minorHAnsi" w:hAnsiTheme="minorHAnsi"/>
        </w:rPr>
        <w:t>offence is first raised during a committal or trial</w:t>
      </w:r>
      <w:r w:rsidR="00906917" w:rsidRPr="00763B59">
        <w:rPr>
          <w:rFonts w:asciiTheme="minorHAnsi" w:hAnsiTheme="minorHAnsi"/>
        </w:rPr>
        <w:t>,</w:t>
      </w:r>
      <w:r w:rsidRPr="00763B59">
        <w:rPr>
          <w:rFonts w:asciiTheme="minorHAnsi" w:hAnsiTheme="minorHAnsi"/>
        </w:rPr>
        <w:t xml:space="preserve"> s 79 of the </w:t>
      </w:r>
      <w:r w:rsidRPr="00763B59">
        <w:rPr>
          <w:rFonts w:asciiTheme="minorHAnsi" w:hAnsiTheme="minorHAnsi"/>
          <w:i/>
        </w:rPr>
        <w:t xml:space="preserve">Judiciary Act 1903 </w:t>
      </w:r>
      <w:r w:rsidRPr="00763B59">
        <w:rPr>
          <w:rFonts w:asciiTheme="minorHAnsi" w:hAnsiTheme="minorHAnsi"/>
        </w:rPr>
        <w:t>(Cth) has the effect of picking up any applicable State or Territory</w:t>
      </w:r>
      <w:r w:rsidRPr="00763B59" w:rsidDel="00FC076B">
        <w:rPr>
          <w:rFonts w:asciiTheme="minorHAnsi" w:hAnsiTheme="minorHAnsi"/>
        </w:rPr>
        <w:t xml:space="preserve"> </w:t>
      </w:r>
      <w:r w:rsidRPr="00763B59">
        <w:rPr>
          <w:rFonts w:asciiTheme="minorHAnsi" w:hAnsiTheme="minorHAnsi"/>
        </w:rPr>
        <w:t xml:space="preserve">procedure to determine that fact. </w:t>
      </w:r>
      <w:r w:rsidR="00906917" w:rsidRPr="00763B59">
        <w:rPr>
          <w:rFonts w:asciiTheme="minorHAnsi" w:hAnsiTheme="minorHAnsi"/>
        </w:rPr>
        <w:t xml:space="preserve"> </w:t>
      </w:r>
      <w:r w:rsidRPr="00763B59">
        <w:rPr>
          <w:rFonts w:asciiTheme="minorHAnsi" w:hAnsiTheme="minorHAnsi"/>
        </w:rPr>
        <w:t xml:space="preserve">This appears to include the State/Territory test to be applied in determining whether an accused is fit to </w:t>
      </w:r>
      <w:r w:rsidR="00445613" w:rsidRPr="00763B59">
        <w:rPr>
          <w:rFonts w:asciiTheme="minorHAnsi" w:hAnsiTheme="minorHAnsi"/>
        </w:rPr>
        <w:t xml:space="preserve">plead or to </w:t>
      </w:r>
      <w:r w:rsidRPr="00763B59">
        <w:rPr>
          <w:rFonts w:asciiTheme="minorHAnsi" w:hAnsiTheme="minorHAnsi"/>
        </w:rPr>
        <w:t>be tried.</w:t>
      </w:r>
      <w:r w:rsidRPr="00763B59">
        <w:rPr>
          <w:rStyle w:val="Style"/>
          <w:rFonts w:asciiTheme="minorHAnsi" w:hAnsiTheme="minorHAnsi"/>
        </w:rPr>
        <w:footnoteReference w:id="1164"/>
      </w:r>
    </w:p>
    <w:p w14:paraId="377AA28E" w14:textId="6667DFB9" w:rsidR="006A5317" w:rsidRPr="00763B59" w:rsidRDefault="006A5317" w:rsidP="00EB7F1E">
      <w:pPr>
        <w:pStyle w:val="ListParagraph"/>
        <w:spacing w:line="276" w:lineRule="auto"/>
        <w:ind w:left="425"/>
        <w:rPr>
          <w:rFonts w:asciiTheme="minorHAnsi" w:hAnsiTheme="minorHAnsi"/>
        </w:rPr>
      </w:pPr>
    </w:p>
    <w:p w14:paraId="16CF7151" w14:textId="060CC52F" w:rsidR="006A5317" w:rsidRPr="00763B59" w:rsidRDefault="00E36E70" w:rsidP="006A5317">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However, </w:t>
      </w:r>
      <w:r w:rsidR="00017737" w:rsidRPr="00763B59">
        <w:rPr>
          <w:rFonts w:asciiTheme="minorHAnsi" w:hAnsiTheme="minorHAnsi"/>
        </w:rPr>
        <w:t xml:space="preserve">s 79 of the </w:t>
      </w:r>
      <w:r w:rsidR="00017737" w:rsidRPr="00763B59">
        <w:rPr>
          <w:rFonts w:asciiTheme="minorHAnsi" w:hAnsiTheme="minorHAnsi"/>
          <w:i/>
        </w:rPr>
        <w:t xml:space="preserve">Judiciary Act 1903 </w:t>
      </w:r>
      <w:r w:rsidR="00017737" w:rsidRPr="00763B59">
        <w:rPr>
          <w:rFonts w:asciiTheme="minorHAnsi" w:hAnsiTheme="minorHAnsi"/>
        </w:rPr>
        <w:t xml:space="preserve">(Cth) </w:t>
      </w:r>
      <w:r w:rsidR="003F336B" w:rsidRPr="00763B59">
        <w:rPr>
          <w:rFonts w:asciiTheme="minorHAnsi" w:hAnsiTheme="minorHAnsi"/>
        </w:rPr>
        <w:t xml:space="preserve">only </w:t>
      </w:r>
      <w:r w:rsidR="00017737" w:rsidRPr="00763B59">
        <w:rPr>
          <w:rFonts w:asciiTheme="minorHAnsi" w:hAnsiTheme="minorHAnsi"/>
        </w:rPr>
        <w:t xml:space="preserve">picks up the </w:t>
      </w:r>
      <w:r w:rsidR="00FC076B" w:rsidRPr="00763B59">
        <w:rPr>
          <w:rFonts w:asciiTheme="minorHAnsi" w:hAnsiTheme="minorHAnsi"/>
        </w:rPr>
        <w:t>the State or Territory</w:t>
      </w:r>
      <w:r w:rsidR="00FC076B" w:rsidRPr="00763B59" w:rsidDel="00FC076B">
        <w:rPr>
          <w:rFonts w:asciiTheme="minorHAnsi" w:hAnsiTheme="minorHAnsi"/>
        </w:rPr>
        <w:t xml:space="preserve"> </w:t>
      </w:r>
      <w:r w:rsidR="00FC076B" w:rsidRPr="00763B59">
        <w:rPr>
          <w:rFonts w:asciiTheme="minorHAnsi" w:hAnsiTheme="minorHAnsi"/>
        </w:rPr>
        <w:t xml:space="preserve">procedural </w:t>
      </w:r>
      <w:r w:rsidR="00017737" w:rsidRPr="00763B59">
        <w:rPr>
          <w:rFonts w:asciiTheme="minorHAnsi" w:hAnsiTheme="minorHAnsi"/>
        </w:rPr>
        <w:t xml:space="preserve">law </w:t>
      </w:r>
      <w:r w:rsidR="003F336B" w:rsidRPr="00763B59">
        <w:rPr>
          <w:rFonts w:asciiTheme="minorHAnsi" w:hAnsiTheme="minorHAnsi"/>
        </w:rPr>
        <w:t xml:space="preserve">to the extent that it is </w:t>
      </w:r>
      <w:r w:rsidR="00017737" w:rsidRPr="00763B59">
        <w:rPr>
          <w:rFonts w:asciiTheme="minorHAnsi" w:hAnsiTheme="minorHAnsi"/>
        </w:rPr>
        <w:t>not inconsistent with the Constitution or other Commonwealth legislation</w:t>
      </w:r>
      <w:r w:rsidR="00B735ED" w:rsidRPr="00763B59">
        <w:rPr>
          <w:rFonts w:asciiTheme="minorHAnsi" w:hAnsiTheme="minorHAnsi"/>
        </w:rPr>
        <w:t xml:space="preserve">, including Division 6 of Part IB of the </w:t>
      </w:r>
      <w:r w:rsidR="00B735ED" w:rsidRPr="00763B59">
        <w:rPr>
          <w:rFonts w:asciiTheme="minorHAnsi" w:hAnsiTheme="minorHAnsi"/>
          <w:i/>
          <w:iCs/>
        </w:rPr>
        <w:t>Crimes Act</w:t>
      </w:r>
      <w:r w:rsidR="00B735ED" w:rsidRPr="00763B59">
        <w:rPr>
          <w:rFonts w:asciiTheme="minorHAnsi" w:hAnsiTheme="minorHAnsi"/>
        </w:rPr>
        <w:t>.</w:t>
      </w:r>
      <w:r w:rsidR="006A5317" w:rsidRPr="00763B59">
        <w:rPr>
          <w:rStyle w:val="Style"/>
          <w:rFonts w:asciiTheme="minorHAnsi" w:hAnsiTheme="minorHAnsi"/>
        </w:rPr>
        <w:footnoteReference w:id="1165"/>
      </w:r>
    </w:p>
    <w:p w14:paraId="7109B1A5" w14:textId="32F558FE" w:rsidR="00017737" w:rsidRPr="006E33A0" w:rsidRDefault="00017737" w:rsidP="00EB7F1E">
      <w:pPr>
        <w:pStyle w:val="ListParagraph"/>
        <w:spacing w:line="276" w:lineRule="auto"/>
        <w:ind w:left="425"/>
        <w:rPr>
          <w:rFonts w:asciiTheme="minorHAnsi" w:hAnsiTheme="minorHAnsi"/>
          <w:highlight w:val="cyan"/>
        </w:rPr>
      </w:pPr>
    </w:p>
    <w:p w14:paraId="00C1F376" w14:textId="1B9D4E08" w:rsidR="000A724F" w:rsidRPr="00763B59" w:rsidRDefault="00A519E0" w:rsidP="000A724F">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Various </w:t>
      </w:r>
      <w:r w:rsidR="000A724F" w:rsidRPr="00763B59">
        <w:rPr>
          <w:rFonts w:asciiTheme="minorHAnsi" w:hAnsiTheme="minorHAnsi"/>
        </w:rPr>
        <w:t>State and Territory laws</w:t>
      </w:r>
      <w:r w:rsidR="000A724F" w:rsidRPr="00763B59">
        <w:rPr>
          <w:rStyle w:val="Style"/>
          <w:rFonts w:asciiTheme="minorHAnsi" w:hAnsiTheme="minorHAnsi"/>
        </w:rPr>
        <w:footnoteReference w:id="1166"/>
      </w:r>
      <w:r w:rsidR="000A724F" w:rsidRPr="00763B59">
        <w:rPr>
          <w:rFonts w:asciiTheme="minorHAnsi" w:hAnsiTheme="minorHAnsi"/>
        </w:rPr>
        <w:t xml:space="preserve"> provide for the determination of a person</w:t>
      </w:r>
      <w:r w:rsidR="00AA693C" w:rsidRPr="00763B59">
        <w:rPr>
          <w:rFonts w:asciiTheme="minorHAnsi" w:hAnsiTheme="minorHAnsi"/>
        </w:rPr>
        <w:t>’</w:t>
      </w:r>
      <w:r w:rsidR="000A724F" w:rsidRPr="00763B59">
        <w:rPr>
          <w:rFonts w:asciiTheme="minorHAnsi" w:hAnsiTheme="minorHAnsi"/>
        </w:rPr>
        <w:t xml:space="preserve">s fitness to </w:t>
      </w:r>
      <w:r w:rsidR="00EB793A" w:rsidRPr="00763B59">
        <w:rPr>
          <w:rFonts w:asciiTheme="minorHAnsi" w:hAnsiTheme="minorHAnsi"/>
        </w:rPr>
        <w:t>be tried</w:t>
      </w:r>
      <w:r w:rsidR="000A724F" w:rsidRPr="00763B59">
        <w:rPr>
          <w:rFonts w:asciiTheme="minorHAnsi" w:hAnsiTheme="minorHAnsi"/>
        </w:rPr>
        <w:t xml:space="preserve"> in a proceeding on indictment.  In most jurisdictions, the question is determined by a jury empanelled specifically for that purpose.</w:t>
      </w:r>
      <w:r w:rsidR="000A724F" w:rsidRPr="00763B59">
        <w:rPr>
          <w:rStyle w:val="Style"/>
          <w:rFonts w:asciiTheme="minorHAnsi" w:hAnsiTheme="minorHAnsi"/>
        </w:rPr>
        <w:footnoteReference w:id="1167"/>
      </w:r>
      <w:r w:rsidR="000A724F" w:rsidRPr="00763B59">
        <w:rPr>
          <w:rFonts w:asciiTheme="minorHAnsi" w:hAnsiTheme="minorHAnsi"/>
        </w:rPr>
        <w:t xml:space="preserve">  </w:t>
      </w:r>
    </w:p>
    <w:p w14:paraId="68327522" w14:textId="77777777" w:rsidR="00B81180" w:rsidRPr="00763B59" w:rsidRDefault="00B81180" w:rsidP="00EB7F1E">
      <w:pPr>
        <w:pStyle w:val="ListParagraph"/>
        <w:spacing w:line="276" w:lineRule="auto"/>
        <w:ind w:left="425"/>
        <w:rPr>
          <w:rFonts w:asciiTheme="minorHAnsi" w:hAnsiTheme="minorHAnsi"/>
        </w:rPr>
      </w:pPr>
    </w:p>
    <w:p w14:paraId="3D20B419" w14:textId="352012D6" w:rsidR="00445613" w:rsidRPr="00763B59" w:rsidRDefault="009642EF">
      <w:pPr>
        <w:pStyle w:val="ListParagraph"/>
        <w:numPr>
          <w:ilvl w:val="0"/>
          <w:numId w:val="7"/>
        </w:numPr>
        <w:spacing w:line="276" w:lineRule="auto"/>
        <w:ind w:left="425" w:hanging="425"/>
        <w:rPr>
          <w:rFonts w:ascii="Calibri" w:hAnsi="Calibri"/>
        </w:rPr>
      </w:pPr>
      <w:r w:rsidRPr="00763B59">
        <w:rPr>
          <w:rFonts w:asciiTheme="minorHAnsi" w:hAnsiTheme="minorHAnsi"/>
        </w:rPr>
        <w:t xml:space="preserve">The provisions of Division 6 of Part IB of the </w:t>
      </w:r>
      <w:r w:rsidRPr="00763B59">
        <w:rPr>
          <w:rFonts w:asciiTheme="minorHAnsi" w:hAnsiTheme="minorHAnsi"/>
          <w:i/>
        </w:rPr>
        <w:t>Crimes Act</w:t>
      </w:r>
      <w:r w:rsidRPr="00763B59">
        <w:rPr>
          <w:rFonts w:asciiTheme="minorHAnsi" w:hAnsiTheme="minorHAnsi"/>
        </w:rPr>
        <w:t xml:space="preserve">, insofar as they relate to </w:t>
      </w:r>
      <w:r w:rsidRPr="00763B59">
        <w:rPr>
          <w:rFonts w:asciiTheme="minorHAnsi" w:hAnsiTheme="minorHAnsi"/>
          <w:i/>
          <w:iCs/>
        </w:rPr>
        <w:t>dispositions</w:t>
      </w:r>
      <w:r w:rsidRPr="00763B59">
        <w:rPr>
          <w:rFonts w:asciiTheme="minorHAnsi" w:hAnsiTheme="minorHAnsi"/>
        </w:rPr>
        <w:t xml:space="preserve"> </w:t>
      </w:r>
      <w:r w:rsidRPr="00763B59">
        <w:rPr>
          <w:rFonts w:asciiTheme="minorHAnsi" w:hAnsiTheme="minorHAnsi"/>
          <w:i/>
          <w:iCs/>
        </w:rPr>
        <w:t>following</w:t>
      </w:r>
      <w:r w:rsidRPr="00763B59">
        <w:rPr>
          <w:rFonts w:asciiTheme="minorHAnsi" w:hAnsiTheme="minorHAnsi"/>
        </w:rPr>
        <w:t xml:space="preserve"> </w:t>
      </w:r>
      <w:r w:rsidRPr="00763B59">
        <w:rPr>
          <w:rFonts w:asciiTheme="minorHAnsi" w:hAnsiTheme="minorHAnsi"/>
          <w:i/>
          <w:iCs/>
        </w:rPr>
        <w:t>a finding of unfitness to be tried</w:t>
      </w:r>
      <w:r w:rsidRPr="00763B59">
        <w:rPr>
          <w:rFonts w:asciiTheme="minorHAnsi" w:hAnsiTheme="minorHAnsi"/>
        </w:rPr>
        <w:t xml:space="preserve">, </w:t>
      </w:r>
      <w:r w:rsidR="00B81180" w:rsidRPr="00763B59">
        <w:rPr>
          <w:rFonts w:asciiTheme="minorHAnsi" w:hAnsiTheme="minorHAnsi"/>
        </w:rPr>
        <w:t>including the d</w:t>
      </w:r>
      <w:r w:rsidR="00A93992" w:rsidRPr="00763B59">
        <w:rPr>
          <w:rFonts w:asciiTheme="minorHAnsi" w:hAnsiTheme="minorHAnsi"/>
        </w:rPr>
        <w:t>etermination</w:t>
      </w:r>
      <w:r w:rsidR="00B81180" w:rsidRPr="00763B59">
        <w:rPr>
          <w:rFonts w:asciiTheme="minorHAnsi" w:hAnsiTheme="minorHAnsi"/>
        </w:rPr>
        <w:t xml:space="preserve"> of whether a prima face case exists</w:t>
      </w:r>
      <w:r w:rsidR="0085739A" w:rsidRPr="00763B59">
        <w:rPr>
          <w:rFonts w:asciiTheme="minorHAnsi" w:hAnsiTheme="minorHAnsi"/>
        </w:rPr>
        <w:t xml:space="preserve"> and whether th</w:t>
      </w:r>
      <w:r w:rsidR="00445613" w:rsidRPr="00763B59">
        <w:rPr>
          <w:rFonts w:asciiTheme="minorHAnsi" w:hAnsiTheme="minorHAnsi"/>
        </w:rPr>
        <w:t>e</w:t>
      </w:r>
      <w:r w:rsidR="0085739A" w:rsidRPr="00763B59">
        <w:rPr>
          <w:rFonts w:asciiTheme="minorHAnsi" w:hAnsiTheme="minorHAnsi"/>
        </w:rPr>
        <w:t xml:space="preserve"> defendant may become fit to be tried in the future</w:t>
      </w:r>
      <w:r w:rsidR="00D5510B" w:rsidRPr="00763B59">
        <w:rPr>
          <w:rFonts w:asciiTheme="minorHAnsi" w:hAnsiTheme="minorHAnsi"/>
        </w:rPr>
        <w:t xml:space="preserve">, </w:t>
      </w:r>
      <w:r w:rsidRPr="00763B59">
        <w:rPr>
          <w:rFonts w:asciiTheme="minorHAnsi" w:hAnsiTheme="minorHAnsi"/>
        </w:rPr>
        <w:t>appear to provide a comprehensive regime, which precludes the application of State/Territory laws relating to the same subject matter.</w:t>
      </w:r>
      <w:r w:rsidR="00B81180" w:rsidRPr="00763B59">
        <w:rPr>
          <w:rFonts w:asciiTheme="minorHAnsi" w:hAnsiTheme="minorHAnsi"/>
        </w:rPr>
        <w:t xml:space="preserve"> </w:t>
      </w:r>
      <w:r w:rsidR="00A82553" w:rsidRPr="00763B59">
        <w:rPr>
          <w:rFonts w:asciiTheme="minorHAnsi" w:hAnsiTheme="minorHAnsi"/>
        </w:rPr>
        <w:t xml:space="preserve"> </w:t>
      </w:r>
      <w:r w:rsidR="00A82553" w:rsidRPr="00763B59">
        <w:rPr>
          <w:rFonts w:asciiTheme="minorHAnsi" w:hAnsiTheme="minorHAnsi" w:cstheme="minorHAnsi"/>
          <w:szCs w:val="22"/>
        </w:rPr>
        <w:t xml:space="preserve">In </w:t>
      </w:r>
      <w:r w:rsidR="00445613" w:rsidRPr="00763B59">
        <w:rPr>
          <w:rFonts w:asciiTheme="minorHAnsi" w:hAnsiTheme="minorHAnsi" w:cstheme="minorHAnsi"/>
          <w:i/>
          <w:iCs/>
          <w:szCs w:val="22"/>
        </w:rPr>
        <w:t>Sharrouf (No 2)</w:t>
      </w:r>
      <w:r w:rsidR="00445613" w:rsidRPr="00763B59">
        <w:rPr>
          <w:rFonts w:asciiTheme="minorHAnsi" w:hAnsiTheme="minorHAnsi" w:cstheme="minorHAnsi"/>
          <w:szCs w:val="22"/>
        </w:rPr>
        <w:t>,</w:t>
      </w:r>
      <w:r w:rsidR="00445613" w:rsidRPr="00763B59">
        <w:rPr>
          <w:rStyle w:val="Style"/>
          <w:rFonts w:asciiTheme="minorHAnsi" w:hAnsiTheme="minorHAnsi"/>
        </w:rPr>
        <w:footnoteReference w:id="1168"/>
      </w:r>
      <w:r w:rsidR="00445613" w:rsidRPr="00763B59">
        <w:rPr>
          <w:rFonts w:asciiTheme="minorHAnsi" w:hAnsiTheme="minorHAnsi" w:cstheme="minorHAnsi"/>
          <w:szCs w:val="22"/>
        </w:rPr>
        <w:t xml:space="preserve"> </w:t>
      </w:r>
      <w:r w:rsidR="00F26E66" w:rsidRPr="00763B59">
        <w:rPr>
          <w:rStyle w:val="ssleftalign"/>
          <w:rFonts w:asciiTheme="minorHAnsi" w:hAnsiTheme="minorHAnsi" w:cstheme="minorHAnsi"/>
          <w:szCs w:val="22"/>
        </w:rPr>
        <w:t xml:space="preserve">Whealy J </w:t>
      </w:r>
      <w:r w:rsidR="00A82553" w:rsidRPr="00763B59">
        <w:rPr>
          <w:rStyle w:val="ssleftalign"/>
          <w:rFonts w:asciiTheme="minorHAnsi" w:hAnsiTheme="minorHAnsi" w:cstheme="minorHAnsi"/>
          <w:szCs w:val="22"/>
        </w:rPr>
        <w:t>summarised the process as follows:</w:t>
      </w:r>
    </w:p>
    <w:p w14:paraId="59A52F26" w14:textId="01EB92B6" w:rsidR="00445613" w:rsidRPr="00763B59" w:rsidRDefault="00FE7B41" w:rsidP="00EB7F1E">
      <w:pPr>
        <w:pStyle w:val="BodyText"/>
        <w:spacing w:line="276" w:lineRule="auto"/>
        <w:ind w:left="1134" w:right="170" w:hanging="425"/>
        <w:jc w:val="both"/>
        <w:rPr>
          <w:rFonts w:asciiTheme="minorHAnsi" w:hAnsiTheme="minorHAnsi"/>
          <w:i/>
        </w:rPr>
      </w:pPr>
      <w:r w:rsidRPr="00763B59">
        <w:rPr>
          <w:rFonts w:asciiTheme="minorHAnsi" w:hAnsiTheme="minorHAnsi"/>
          <w:i/>
        </w:rPr>
        <w:t>5.</w:t>
      </w:r>
      <w:r w:rsidRPr="00763B59">
        <w:rPr>
          <w:rFonts w:asciiTheme="minorHAnsi" w:hAnsiTheme="minorHAnsi"/>
          <w:i/>
        </w:rPr>
        <w:tab/>
      </w:r>
      <w:r w:rsidR="00445613" w:rsidRPr="00763B59">
        <w:rPr>
          <w:rFonts w:ascii="Calibri" w:hAnsi="Calibri"/>
          <w:i/>
        </w:rPr>
        <w:t xml:space="preserve">The </w:t>
      </w:r>
      <w:r w:rsidR="00F26E66" w:rsidRPr="00763B59">
        <w:rPr>
          <w:rFonts w:asciiTheme="minorHAnsi" w:hAnsiTheme="minorHAnsi"/>
          <w:i/>
        </w:rPr>
        <w:t>question of the accused</w:t>
      </w:r>
      <w:r w:rsidR="00AA693C" w:rsidRPr="00763B59">
        <w:rPr>
          <w:rFonts w:asciiTheme="minorHAnsi" w:hAnsiTheme="minorHAnsi"/>
          <w:i/>
        </w:rPr>
        <w:t>’</w:t>
      </w:r>
      <w:r w:rsidR="00F26E66" w:rsidRPr="00763B59">
        <w:rPr>
          <w:rFonts w:asciiTheme="minorHAnsi" w:hAnsiTheme="minorHAnsi"/>
          <w:i/>
        </w:rPr>
        <w:t>s fitness having been raised, the parties agree that there is a three-stage process to be followed. First, there is an initial determination as to fitness or unfitness.</w:t>
      </w:r>
      <w:r w:rsidRPr="00763B59">
        <w:rPr>
          <w:rFonts w:asciiTheme="minorHAnsi" w:hAnsiTheme="minorHAnsi"/>
          <w:i/>
        </w:rPr>
        <w:t xml:space="preserve"> </w:t>
      </w:r>
      <w:r w:rsidR="00F26E66" w:rsidRPr="00763B59">
        <w:rPr>
          <w:rFonts w:asciiTheme="minorHAnsi" w:hAnsiTheme="minorHAnsi"/>
          <w:i/>
        </w:rPr>
        <w:t xml:space="preserve"> As there is no Commonwealth legislation governing the procedure to be followed on this issue, the provisions of the Mental Health (Criminal Procedure) Act 1990 (NSW) apply to this first stage. </w:t>
      </w:r>
      <w:r w:rsidRPr="00763B59">
        <w:rPr>
          <w:rFonts w:asciiTheme="minorHAnsi" w:hAnsiTheme="minorHAnsi"/>
          <w:i/>
        </w:rPr>
        <w:t xml:space="preserve"> </w:t>
      </w:r>
      <w:r w:rsidR="00F26E66" w:rsidRPr="00763B59">
        <w:rPr>
          <w:rFonts w:asciiTheme="minorHAnsi" w:hAnsiTheme="minorHAnsi"/>
          <w:i/>
        </w:rPr>
        <w:t>I have earlier decided that this issue may be determined on a Judge-alone basis</w:t>
      </w:r>
      <w:r w:rsidR="00445613" w:rsidRPr="00763B59">
        <w:rPr>
          <w:rFonts w:asciiTheme="minorHAnsi" w:hAnsiTheme="minorHAnsi"/>
          <w:i/>
        </w:rPr>
        <w:t>.</w:t>
      </w:r>
      <w:r w:rsidR="00A82553" w:rsidRPr="00763B59">
        <w:rPr>
          <w:rFonts w:asciiTheme="minorHAnsi" w:hAnsiTheme="minorHAnsi"/>
          <w:i/>
        </w:rPr>
        <w:t xml:space="preserve"> …</w:t>
      </w:r>
    </w:p>
    <w:p w14:paraId="55B5D9E6" w14:textId="3F11F916" w:rsidR="00A82553" w:rsidRPr="00763B59" w:rsidRDefault="00A82553" w:rsidP="00EB7F1E">
      <w:pPr>
        <w:pStyle w:val="BodyText"/>
        <w:spacing w:line="276" w:lineRule="auto"/>
        <w:ind w:left="1134" w:right="170" w:hanging="425"/>
        <w:jc w:val="both"/>
        <w:rPr>
          <w:rFonts w:asciiTheme="minorHAnsi" w:hAnsiTheme="minorHAnsi"/>
          <w:i/>
        </w:rPr>
      </w:pPr>
      <w:r w:rsidRPr="00763B59">
        <w:rPr>
          <w:rFonts w:asciiTheme="minorHAnsi" w:hAnsiTheme="minorHAnsi"/>
          <w:i/>
        </w:rPr>
        <w:t>6.</w:t>
      </w:r>
      <w:r w:rsidRPr="00763B59">
        <w:rPr>
          <w:rFonts w:asciiTheme="minorHAnsi" w:hAnsiTheme="minorHAnsi"/>
          <w:i/>
        </w:rPr>
        <w:tab/>
        <w:t>Secondly, in the event of a finding of unfitness, there is Commonwealth legislation dealing with the second stage process to be followed.  This is to be found in s 20B(3) of the Crimes Act 1914 CTH ("the Act") and Division 6 of the Act generally.  Essentially, the second stage requires the Court to determine whether a prima facie case has been established.</w:t>
      </w:r>
    </w:p>
    <w:p w14:paraId="7671154C" w14:textId="77777777" w:rsidR="00A82553" w:rsidRPr="00763B59" w:rsidRDefault="00A82553" w:rsidP="00EB7F1E">
      <w:pPr>
        <w:pStyle w:val="BodyText"/>
        <w:spacing w:line="276" w:lineRule="auto"/>
        <w:ind w:left="1134" w:right="170" w:hanging="425"/>
        <w:jc w:val="both"/>
        <w:rPr>
          <w:rFonts w:asciiTheme="minorHAnsi" w:hAnsiTheme="minorHAnsi"/>
          <w:i/>
        </w:rPr>
      </w:pPr>
      <w:r w:rsidRPr="00763B59">
        <w:rPr>
          <w:rFonts w:asciiTheme="minorHAnsi" w:hAnsiTheme="minorHAnsi"/>
          <w:i/>
        </w:rPr>
        <w:t>7</w:t>
      </w:r>
      <w:r w:rsidRPr="00763B59">
        <w:rPr>
          <w:rFonts w:asciiTheme="minorHAnsi" w:hAnsiTheme="minorHAnsi"/>
          <w:i/>
        </w:rPr>
        <w:tab/>
        <w:t>The third stage process arises if a prima facie case has been established and the Court does not otherwise determine that the charge should be dismissed.  In that situation, the Act imposes on the Court the need to make a determination as to whether the accused is likely to be fit within a 12-month period (s 20BB of the Act).  In that event, the Court must also decide what must be done with the accused in terms of his remaining in custody, his hospitalisation, or release on bail.  That question itself involves issues relating to the future treatment of the accused.</w:t>
      </w:r>
    </w:p>
    <w:p w14:paraId="210C1E0E" w14:textId="77777777" w:rsidR="00445613" w:rsidRPr="00763B59" w:rsidRDefault="00445613" w:rsidP="00EB7F1E">
      <w:pPr>
        <w:pStyle w:val="ListParagraph"/>
        <w:rPr>
          <w:rFonts w:asciiTheme="minorHAnsi" w:hAnsiTheme="minorHAnsi" w:cstheme="minorHAnsi"/>
          <w:szCs w:val="22"/>
        </w:rPr>
      </w:pPr>
    </w:p>
    <w:p w14:paraId="74CB1DC3" w14:textId="3F6045E6" w:rsidR="00F26E66" w:rsidRPr="00763B59" w:rsidRDefault="00FE7B41"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cstheme="minorHAnsi"/>
          <w:szCs w:val="22"/>
        </w:rPr>
        <w:t>That is, State law applied to the first stage</w:t>
      </w:r>
      <w:r w:rsidR="00EB793A" w:rsidRPr="00763B59">
        <w:rPr>
          <w:rFonts w:asciiTheme="minorHAnsi" w:hAnsiTheme="minorHAnsi" w:cstheme="minorHAnsi"/>
          <w:szCs w:val="22"/>
        </w:rPr>
        <w:t xml:space="preserve"> (initial determination of fitness or unfitness)</w:t>
      </w:r>
      <w:r w:rsidRPr="00763B59">
        <w:rPr>
          <w:rFonts w:asciiTheme="minorHAnsi" w:hAnsiTheme="minorHAnsi" w:cstheme="minorHAnsi"/>
          <w:szCs w:val="22"/>
        </w:rPr>
        <w:t xml:space="preserve">, but the second and third stages </w:t>
      </w:r>
      <w:r w:rsidR="00A3234D" w:rsidRPr="00763B59">
        <w:rPr>
          <w:rFonts w:asciiTheme="minorHAnsi" w:hAnsiTheme="minorHAnsi" w:cstheme="minorHAnsi"/>
          <w:szCs w:val="22"/>
        </w:rPr>
        <w:t xml:space="preserve">are dealt with </w:t>
      </w:r>
      <w:r w:rsidR="009E6EE4" w:rsidRPr="00763B59">
        <w:rPr>
          <w:rFonts w:asciiTheme="minorHAnsi" w:hAnsiTheme="minorHAnsi" w:cstheme="minorHAnsi"/>
          <w:szCs w:val="22"/>
        </w:rPr>
        <w:t xml:space="preserve">solely </w:t>
      </w:r>
      <w:r w:rsidR="00A3234D" w:rsidRPr="00763B59">
        <w:rPr>
          <w:rFonts w:asciiTheme="minorHAnsi" w:hAnsiTheme="minorHAnsi" w:cstheme="minorHAnsi"/>
          <w:szCs w:val="22"/>
        </w:rPr>
        <w:t xml:space="preserve">under the Commonwealth provisions. </w:t>
      </w:r>
    </w:p>
    <w:p w14:paraId="52E5D530" w14:textId="77777777" w:rsidR="00B81180" w:rsidRPr="006E33A0" w:rsidRDefault="00B81180" w:rsidP="00EB7F1E">
      <w:pPr>
        <w:pStyle w:val="ListParagraph"/>
        <w:spacing w:line="276" w:lineRule="auto"/>
        <w:ind w:left="425"/>
        <w:rPr>
          <w:rFonts w:asciiTheme="minorHAnsi" w:hAnsiTheme="minorHAnsi"/>
          <w:highlight w:val="cyan"/>
        </w:rPr>
      </w:pPr>
    </w:p>
    <w:p w14:paraId="4CC66542" w14:textId="0AB77E0D" w:rsidR="00B81180" w:rsidRPr="00763B59" w:rsidRDefault="00813DFA" w:rsidP="009642EF">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Appendix 5 </w:t>
      </w:r>
      <w:r w:rsidR="00EB793A" w:rsidRPr="00763B59">
        <w:rPr>
          <w:rFonts w:asciiTheme="minorHAnsi" w:hAnsiTheme="minorHAnsi"/>
        </w:rPr>
        <w:t xml:space="preserve">to this guide </w:t>
      </w:r>
      <w:r w:rsidRPr="00763B59">
        <w:rPr>
          <w:rFonts w:asciiTheme="minorHAnsi" w:hAnsiTheme="minorHAnsi"/>
        </w:rPr>
        <w:t xml:space="preserve">sets out </w:t>
      </w:r>
      <w:r w:rsidR="00B81180" w:rsidRPr="00763B59">
        <w:rPr>
          <w:rFonts w:asciiTheme="minorHAnsi" w:hAnsiTheme="minorHAnsi"/>
        </w:rPr>
        <w:t>the pathways that apply if a question arises as to the fitness to stand trial of a person charged with a federal indictable offence, whet</w:t>
      </w:r>
      <w:r w:rsidR="009E6EE4" w:rsidRPr="00763B59">
        <w:rPr>
          <w:rFonts w:asciiTheme="minorHAnsi" w:hAnsiTheme="minorHAnsi"/>
        </w:rPr>
        <w:t>h</w:t>
      </w:r>
      <w:r w:rsidR="00B81180" w:rsidRPr="00763B59">
        <w:rPr>
          <w:rFonts w:asciiTheme="minorHAnsi" w:hAnsiTheme="minorHAnsi"/>
        </w:rPr>
        <w:t>er the matter arises during committal proceedings or in a tr</w:t>
      </w:r>
      <w:r w:rsidR="00580DA2" w:rsidRPr="00763B59">
        <w:rPr>
          <w:rFonts w:asciiTheme="minorHAnsi" w:hAnsiTheme="minorHAnsi"/>
        </w:rPr>
        <w:t>ial</w:t>
      </w:r>
      <w:r w:rsidR="00B81180" w:rsidRPr="00763B59">
        <w:rPr>
          <w:rFonts w:asciiTheme="minorHAnsi" w:hAnsiTheme="minorHAnsi"/>
        </w:rPr>
        <w:t xml:space="preserve"> on indictment.</w:t>
      </w:r>
    </w:p>
    <w:p w14:paraId="1EE38552" w14:textId="77777777" w:rsidR="000B2877" w:rsidRPr="00763B59" w:rsidRDefault="000B2877" w:rsidP="00EB7F1E">
      <w:pPr>
        <w:pStyle w:val="ListParagraph"/>
        <w:spacing w:line="276" w:lineRule="auto"/>
        <w:ind w:left="425"/>
        <w:rPr>
          <w:rFonts w:asciiTheme="minorHAnsi" w:hAnsiTheme="minorHAnsi"/>
        </w:rPr>
      </w:pPr>
    </w:p>
    <w:p w14:paraId="5CEAFE78" w14:textId="3F7ED100" w:rsidR="00994786" w:rsidRPr="00763B59" w:rsidRDefault="00994786" w:rsidP="00994786">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The common law test applies to deciding whether a question as to a person</w:t>
      </w:r>
      <w:r w:rsidR="00AA693C" w:rsidRPr="00763B59">
        <w:rPr>
          <w:rFonts w:asciiTheme="minorHAnsi" w:hAnsiTheme="minorHAnsi"/>
        </w:rPr>
        <w:t>’</w:t>
      </w:r>
      <w:r w:rsidRPr="00763B59">
        <w:rPr>
          <w:rFonts w:asciiTheme="minorHAnsi" w:hAnsiTheme="minorHAnsi"/>
        </w:rPr>
        <w:t>s fitness has arisen initially (s 20B(1) and (2)), and also whenever a court is making a determination of fitness under ss 20BA-20BC after it has found that a prima facie case exists.</w:t>
      </w:r>
      <w:r w:rsidRPr="00763B59">
        <w:rPr>
          <w:rStyle w:val="Style"/>
          <w:rFonts w:asciiTheme="minorHAnsi" w:hAnsiTheme="minorHAnsi"/>
        </w:rPr>
        <w:footnoteReference w:id="1169"/>
      </w:r>
    </w:p>
    <w:p w14:paraId="3E3127A6" w14:textId="77777777" w:rsidR="00994786" w:rsidRPr="00763B59" w:rsidRDefault="00994786" w:rsidP="00994786">
      <w:pPr>
        <w:pStyle w:val="ListParagraph"/>
        <w:spacing w:line="276" w:lineRule="auto"/>
        <w:ind w:left="425"/>
        <w:rPr>
          <w:rFonts w:asciiTheme="minorHAnsi" w:hAnsiTheme="minorHAnsi"/>
        </w:rPr>
      </w:pPr>
    </w:p>
    <w:p w14:paraId="07055B21" w14:textId="5B7B5928" w:rsidR="00017737" w:rsidRPr="00763B59" w:rsidRDefault="00017737"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The </w:t>
      </w:r>
      <w:r w:rsidR="00885EFD" w:rsidRPr="00763B59">
        <w:rPr>
          <w:rFonts w:asciiTheme="minorHAnsi" w:hAnsiTheme="minorHAnsi"/>
          <w:i/>
          <w:iCs/>
        </w:rPr>
        <w:t>Crimes Act 1914</w:t>
      </w:r>
      <w:r w:rsidRPr="00763B59">
        <w:rPr>
          <w:rFonts w:asciiTheme="minorHAnsi" w:hAnsiTheme="minorHAnsi"/>
          <w:i/>
          <w:iCs/>
        </w:rPr>
        <w:t xml:space="preserve"> </w:t>
      </w:r>
      <w:r w:rsidRPr="00763B59">
        <w:rPr>
          <w:rFonts w:asciiTheme="minorHAnsi" w:hAnsiTheme="minorHAnsi"/>
          <w:iCs/>
        </w:rPr>
        <w:t>(Cth)</w:t>
      </w:r>
      <w:r w:rsidRPr="00763B59">
        <w:rPr>
          <w:rFonts w:asciiTheme="minorHAnsi" w:hAnsiTheme="minorHAnsi"/>
        </w:rPr>
        <w:t xml:space="preserve"> </w:t>
      </w:r>
      <w:r w:rsidR="0028680E" w:rsidRPr="00763B59">
        <w:rPr>
          <w:rFonts w:asciiTheme="minorHAnsi" w:hAnsiTheme="minorHAnsi"/>
        </w:rPr>
        <w:t>does</w:t>
      </w:r>
      <w:r w:rsidRPr="00763B59">
        <w:rPr>
          <w:rFonts w:asciiTheme="minorHAnsi" w:hAnsiTheme="minorHAnsi"/>
        </w:rPr>
        <w:t xml:space="preserve"> not abrogate the inherent jurisdiction of </w:t>
      </w:r>
      <w:r w:rsidR="0028680E" w:rsidRPr="00763B59">
        <w:rPr>
          <w:rFonts w:asciiTheme="minorHAnsi" w:hAnsiTheme="minorHAnsi"/>
        </w:rPr>
        <w:t xml:space="preserve">a State or Territory </w:t>
      </w:r>
      <w:r w:rsidRPr="00763B59">
        <w:rPr>
          <w:rFonts w:asciiTheme="minorHAnsi" w:hAnsiTheme="minorHAnsi"/>
        </w:rPr>
        <w:t xml:space="preserve">court to grant a permanent stay </w:t>
      </w:r>
      <w:r w:rsidR="00EC28B0" w:rsidRPr="00763B59">
        <w:rPr>
          <w:rFonts w:asciiTheme="minorHAnsi" w:hAnsiTheme="minorHAnsi"/>
        </w:rPr>
        <w:t xml:space="preserve">of proceedings </w:t>
      </w:r>
      <w:r w:rsidRPr="00763B59">
        <w:rPr>
          <w:rFonts w:asciiTheme="minorHAnsi" w:hAnsiTheme="minorHAnsi"/>
        </w:rPr>
        <w:t xml:space="preserve">for an offence against </w:t>
      </w:r>
      <w:r w:rsidR="00EC28B0" w:rsidRPr="00763B59">
        <w:rPr>
          <w:rFonts w:asciiTheme="minorHAnsi" w:hAnsiTheme="minorHAnsi"/>
        </w:rPr>
        <w:t xml:space="preserve">a law of </w:t>
      </w:r>
      <w:r w:rsidRPr="00763B59">
        <w:rPr>
          <w:rFonts w:asciiTheme="minorHAnsi" w:hAnsiTheme="minorHAnsi"/>
        </w:rPr>
        <w:t>the Commonwealth.</w:t>
      </w:r>
      <w:r w:rsidR="0028680E" w:rsidRPr="00763B59">
        <w:rPr>
          <w:rStyle w:val="Style"/>
          <w:rFonts w:asciiTheme="minorHAnsi" w:hAnsiTheme="minorHAnsi"/>
        </w:rPr>
        <w:footnoteReference w:id="1170"/>
      </w:r>
      <w:r w:rsidRPr="00763B59">
        <w:rPr>
          <w:rFonts w:asciiTheme="minorHAnsi" w:hAnsiTheme="minorHAnsi"/>
        </w:rPr>
        <w:t xml:space="preserve">  </w:t>
      </w:r>
      <w:r w:rsidR="00EC28B0" w:rsidRPr="00763B59">
        <w:rPr>
          <w:rFonts w:asciiTheme="minorHAnsi" w:hAnsiTheme="minorHAnsi"/>
        </w:rPr>
        <w:t>T</w:t>
      </w:r>
      <w:r w:rsidRPr="00763B59">
        <w:rPr>
          <w:rFonts w:asciiTheme="minorHAnsi" w:hAnsiTheme="minorHAnsi"/>
        </w:rPr>
        <w:t xml:space="preserve">he existence of the regime in Division 6 of Part </w:t>
      </w:r>
      <w:r w:rsidR="00E45830" w:rsidRPr="00763B59">
        <w:rPr>
          <w:rFonts w:asciiTheme="minorHAnsi" w:hAnsiTheme="minorHAnsi"/>
        </w:rPr>
        <w:t>IB</w:t>
      </w:r>
      <w:r w:rsidRPr="00763B59">
        <w:rPr>
          <w:rFonts w:asciiTheme="minorHAnsi" w:hAnsiTheme="minorHAnsi"/>
        </w:rPr>
        <w:t xml:space="preserve"> is relevant to the question whether a stay should be granted.</w:t>
      </w:r>
      <w:r w:rsidRPr="00763B59">
        <w:rPr>
          <w:rStyle w:val="Style"/>
          <w:rFonts w:asciiTheme="minorHAnsi" w:hAnsiTheme="minorHAnsi"/>
        </w:rPr>
        <w:footnoteReference w:id="1171"/>
      </w:r>
    </w:p>
    <w:p w14:paraId="7385ABFF" w14:textId="0483CA78" w:rsidR="00017737" w:rsidRPr="00763B59" w:rsidRDefault="00017737" w:rsidP="00EB7F1E">
      <w:pPr>
        <w:pStyle w:val="ListParagraph"/>
        <w:spacing w:line="276" w:lineRule="auto"/>
        <w:ind w:left="425"/>
        <w:rPr>
          <w:rFonts w:asciiTheme="minorHAnsi" w:hAnsiTheme="minorHAnsi"/>
        </w:rPr>
      </w:pPr>
    </w:p>
    <w:p w14:paraId="0793A2D8" w14:textId="5B787128" w:rsidR="00017737" w:rsidRPr="00763B59" w:rsidRDefault="00647813" w:rsidP="00407B97">
      <w:pPr>
        <w:pStyle w:val="Heading3"/>
      </w:pPr>
      <w:bookmarkStart w:id="3164" w:name="_Toc11773466"/>
      <w:bookmarkStart w:id="3165" w:name="_Toc11827268"/>
      <w:bookmarkStart w:id="3166" w:name="_Toc11833976"/>
      <w:bookmarkStart w:id="3167" w:name="_Toc11848371"/>
      <w:bookmarkStart w:id="3168" w:name="_Toc11852028"/>
      <w:bookmarkStart w:id="3169" w:name="_Toc12608868"/>
      <w:bookmarkStart w:id="3170" w:name="_Toc12706825"/>
      <w:bookmarkStart w:id="3171" w:name="_Toc12860762"/>
      <w:bookmarkStart w:id="3172" w:name="_Toc12862331"/>
      <w:bookmarkStart w:id="3173" w:name="_Toc12864377"/>
      <w:bookmarkStart w:id="3174" w:name="_Toc13551930"/>
      <w:bookmarkStart w:id="3175" w:name="_Toc13737707"/>
      <w:bookmarkStart w:id="3176" w:name="_Toc13738122"/>
      <w:bookmarkStart w:id="3177" w:name="_Toc25308680"/>
      <w:bookmarkStart w:id="3178" w:name="_Toc11240293"/>
      <w:bookmarkStart w:id="3179" w:name="_Toc11405658"/>
      <w:bookmarkStart w:id="3180" w:name="_Toc11407435"/>
      <w:bookmarkStart w:id="3181" w:name="_Toc11486026"/>
      <w:bookmarkStart w:id="3182" w:name="_Toc11773467"/>
      <w:bookmarkStart w:id="3183" w:name="_Toc11827269"/>
      <w:bookmarkStart w:id="3184" w:name="_Toc11833977"/>
      <w:bookmarkStart w:id="3185" w:name="_Toc11848372"/>
      <w:bookmarkStart w:id="3186" w:name="_Toc11852029"/>
      <w:bookmarkStart w:id="3187" w:name="_Toc12608869"/>
      <w:bookmarkStart w:id="3188" w:name="_Toc12706826"/>
      <w:bookmarkStart w:id="3189" w:name="_Toc12860763"/>
      <w:bookmarkStart w:id="3190" w:name="_Toc12862332"/>
      <w:bookmarkStart w:id="3191" w:name="_Toc12864378"/>
      <w:bookmarkStart w:id="3192" w:name="_Toc13551931"/>
      <w:bookmarkStart w:id="3193" w:name="_Toc13737708"/>
      <w:bookmarkStart w:id="3194" w:name="_Toc13738123"/>
      <w:bookmarkStart w:id="3195" w:name="_Toc25308681"/>
      <w:bookmarkStart w:id="3196" w:name="_Toc11240294"/>
      <w:bookmarkStart w:id="3197" w:name="_Toc11405659"/>
      <w:bookmarkStart w:id="3198" w:name="_Toc11407436"/>
      <w:bookmarkStart w:id="3199" w:name="_Toc11486027"/>
      <w:bookmarkStart w:id="3200" w:name="_Toc11773468"/>
      <w:bookmarkStart w:id="3201" w:name="_Toc11827270"/>
      <w:bookmarkStart w:id="3202" w:name="_Toc11833978"/>
      <w:bookmarkStart w:id="3203" w:name="_Toc11848373"/>
      <w:bookmarkStart w:id="3204" w:name="_Toc11852030"/>
      <w:bookmarkStart w:id="3205" w:name="_Toc12608870"/>
      <w:bookmarkStart w:id="3206" w:name="_Toc12706827"/>
      <w:bookmarkStart w:id="3207" w:name="_Toc12860764"/>
      <w:bookmarkStart w:id="3208" w:name="_Toc12862333"/>
      <w:bookmarkStart w:id="3209" w:name="_Toc12864379"/>
      <w:bookmarkStart w:id="3210" w:name="_Toc13551932"/>
      <w:bookmarkStart w:id="3211" w:name="_Toc13737709"/>
      <w:bookmarkStart w:id="3212" w:name="_Toc13738124"/>
      <w:bookmarkStart w:id="3213" w:name="_Toc25308682"/>
      <w:bookmarkStart w:id="3214" w:name="_Toc11773469"/>
      <w:bookmarkStart w:id="3215" w:name="_Toc11827271"/>
      <w:bookmarkStart w:id="3216" w:name="_Toc11833979"/>
      <w:bookmarkStart w:id="3217" w:name="_Toc11848374"/>
      <w:bookmarkStart w:id="3218" w:name="_Toc11852031"/>
      <w:bookmarkStart w:id="3219" w:name="_Toc12608871"/>
      <w:bookmarkStart w:id="3220" w:name="_Toc12706828"/>
      <w:bookmarkStart w:id="3221" w:name="_Toc12860765"/>
      <w:bookmarkStart w:id="3222" w:name="_Toc12862334"/>
      <w:bookmarkStart w:id="3223" w:name="_Toc12864380"/>
      <w:bookmarkStart w:id="3224" w:name="_Toc13551933"/>
      <w:bookmarkStart w:id="3225" w:name="_Toc13737710"/>
      <w:bookmarkStart w:id="3226" w:name="_Toc13738125"/>
      <w:bookmarkStart w:id="3227" w:name="_Toc25308683"/>
      <w:bookmarkStart w:id="3228" w:name="_Toc11773470"/>
      <w:bookmarkStart w:id="3229" w:name="_Toc11827272"/>
      <w:bookmarkStart w:id="3230" w:name="_Toc11833980"/>
      <w:bookmarkStart w:id="3231" w:name="_Toc11848375"/>
      <w:bookmarkStart w:id="3232" w:name="_Toc11852032"/>
      <w:bookmarkStart w:id="3233" w:name="_Toc12608872"/>
      <w:bookmarkStart w:id="3234" w:name="_Toc12706829"/>
      <w:bookmarkStart w:id="3235" w:name="_Toc12860766"/>
      <w:bookmarkStart w:id="3236" w:name="_Toc12862335"/>
      <w:bookmarkStart w:id="3237" w:name="_Toc12864381"/>
      <w:bookmarkStart w:id="3238" w:name="_Toc13551934"/>
      <w:bookmarkStart w:id="3239" w:name="_Toc13737711"/>
      <w:bookmarkStart w:id="3240" w:name="_Toc13738126"/>
      <w:bookmarkStart w:id="3241" w:name="_Toc25308684"/>
      <w:bookmarkStart w:id="3242" w:name="_Toc11773471"/>
      <w:bookmarkStart w:id="3243" w:name="_Toc11827273"/>
      <w:bookmarkStart w:id="3244" w:name="_Toc11833981"/>
      <w:bookmarkStart w:id="3245" w:name="_Toc11848376"/>
      <w:bookmarkStart w:id="3246" w:name="_Toc11852033"/>
      <w:bookmarkStart w:id="3247" w:name="_Toc12608873"/>
      <w:bookmarkStart w:id="3248" w:name="_Toc12706830"/>
      <w:bookmarkStart w:id="3249" w:name="_Toc12860767"/>
      <w:bookmarkStart w:id="3250" w:name="_Toc12862336"/>
      <w:bookmarkStart w:id="3251" w:name="_Toc12864382"/>
      <w:bookmarkStart w:id="3252" w:name="_Toc13551935"/>
      <w:bookmarkStart w:id="3253" w:name="_Toc13737712"/>
      <w:bookmarkStart w:id="3254" w:name="_Toc13738127"/>
      <w:bookmarkStart w:id="3255" w:name="_Toc25308685"/>
      <w:bookmarkStart w:id="3256" w:name="_Toc11773472"/>
      <w:bookmarkStart w:id="3257" w:name="_Toc11827274"/>
      <w:bookmarkStart w:id="3258" w:name="_Toc11833982"/>
      <w:bookmarkStart w:id="3259" w:name="_Toc11848377"/>
      <w:bookmarkStart w:id="3260" w:name="_Toc11852034"/>
      <w:bookmarkStart w:id="3261" w:name="_Toc12608874"/>
      <w:bookmarkStart w:id="3262" w:name="_Toc12706831"/>
      <w:bookmarkStart w:id="3263" w:name="_Toc12860768"/>
      <w:bookmarkStart w:id="3264" w:name="_Toc12862337"/>
      <w:bookmarkStart w:id="3265" w:name="_Toc12864383"/>
      <w:bookmarkStart w:id="3266" w:name="_Toc13551936"/>
      <w:bookmarkStart w:id="3267" w:name="_Toc13737713"/>
      <w:bookmarkStart w:id="3268" w:name="_Toc13738128"/>
      <w:bookmarkStart w:id="3269" w:name="_Toc25308686"/>
      <w:bookmarkStart w:id="3270" w:name="_Toc11773473"/>
      <w:bookmarkStart w:id="3271" w:name="_Toc11827275"/>
      <w:bookmarkStart w:id="3272" w:name="_Toc11833983"/>
      <w:bookmarkStart w:id="3273" w:name="_Toc11848378"/>
      <w:bookmarkStart w:id="3274" w:name="_Toc11852035"/>
      <w:bookmarkStart w:id="3275" w:name="_Toc12608875"/>
      <w:bookmarkStart w:id="3276" w:name="_Toc12706832"/>
      <w:bookmarkStart w:id="3277" w:name="_Toc12860769"/>
      <w:bookmarkStart w:id="3278" w:name="_Toc12862338"/>
      <w:bookmarkStart w:id="3279" w:name="_Toc12864384"/>
      <w:bookmarkStart w:id="3280" w:name="_Toc13551937"/>
      <w:bookmarkStart w:id="3281" w:name="_Toc13737714"/>
      <w:bookmarkStart w:id="3282" w:name="_Toc13738129"/>
      <w:bookmarkStart w:id="3283" w:name="_Toc25308687"/>
      <w:bookmarkStart w:id="3284" w:name="_Toc11773474"/>
      <w:bookmarkStart w:id="3285" w:name="_Toc11827276"/>
      <w:bookmarkStart w:id="3286" w:name="_Toc11833984"/>
      <w:bookmarkStart w:id="3287" w:name="_Toc11848379"/>
      <w:bookmarkStart w:id="3288" w:name="_Toc11852036"/>
      <w:bookmarkStart w:id="3289" w:name="_Toc12608876"/>
      <w:bookmarkStart w:id="3290" w:name="_Toc12706833"/>
      <w:bookmarkStart w:id="3291" w:name="_Toc12860770"/>
      <w:bookmarkStart w:id="3292" w:name="_Toc12862339"/>
      <w:bookmarkStart w:id="3293" w:name="_Toc12864385"/>
      <w:bookmarkStart w:id="3294" w:name="_Toc13551938"/>
      <w:bookmarkStart w:id="3295" w:name="_Toc13737715"/>
      <w:bookmarkStart w:id="3296" w:name="_Toc13738130"/>
      <w:bookmarkStart w:id="3297" w:name="_Toc25308688"/>
      <w:bookmarkStart w:id="3298" w:name="_Toc11773475"/>
      <w:bookmarkStart w:id="3299" w:name="_Toc11827277"/>
      <w:bookmarkStart w:id="3300" w:name="_Toc11833985"/>
      <w:bookmarkStart w:id="3301" w:name="_Toc11848380"/>
      <w:bookmarkStart w:id="3302" w:name="_Toc11852037"/>
      <w:bookmarkStart w:id="3303" w:name="_Toc12608877"/>
      <w:bookmarkStart w:id="3304" w:name="_Toc12706834"/>
      <w:bookmarkStart w:id="3305" w:name="_Toc12860771"/>
      <w:bookmarkStart w:id="3306" w:name="_Toc12862340"/>
      <w:bookmarkStart w:id="3307" w:name="_Toc12864386"/>
      <w:bookmarkStart w:id="3308" w:name="_Toc13551939"/>
      <w:bookmarkStart w:id="3309" w:name="_Toc13737716"/>
      <w:bookmarkStart w:id="3310" w:name="_Toc13738131"/>
      <w:bookmarkStart w:id="3311" w:name="_Toc25308689"/>
      <w:bookmarkStart w:id="3312" w:name="_Toc11773476"/>
      <w:bookmarkStart w:id="3313" w:name="_Toc11827278"/>
      <w:bookmarkStart w:id="3314" w:name="_Toc11833986"/>
      <w:bookmarkStart w:id="3315" w:name="_Toc11848381"/>
      <w:bookmarkStart w:id="3316" w:name="_Toc11852038"/>
      <w:bookmarkStart w:id="3317" w:name="_Toc12608878"/>
      <w:bookmarkStart w:id="3318" w:name="_Toc12706835"/>
      <w:bookmarkStart w:id="3319" w:name="_Toc12860772"/>
      <w:bookmarkStart w:id="3320" w:name="_Toc12862341"/>
      <w:bookmarkStart w:id="3321" w:name="_Toc12864387"/>
      <w:bookmarkStart w:id="3322" w:name="_Toc13551940"/>
      <w:bookmarkStart w:id="3323" w:name="_Toc13737717"/>
      <w:bookmarkStart w:id="3324" w:name="_Toc13738132"/>
      <w:bookmarkStart w:id="3325" w:name="_Toc25308690"/>
      <w:bookmarkStart w:id="3326" w:name="_Toc11773477"/>
      <w:bookmarkStart w:id="3327" w:name="_Toc11827279"/>
      <w:bookmarkStart w:id="3328" w:name="_Toc11833987"/>
      <w:bookmarkStart w:id="3329" w:name="_Toc11848382"/>
      <w:bookmarkStart w:id="3330" w:name="_Toc11852039"/>
      <w:bookmarkStart w:id="3331" w:name="_Toc12608879"/>
      <w:bookmarkStart w:id="3332" w:name="_Toc12706836"/>
      <w:bookmarkStart w:id="3333" w:name="_Toc12860773"/>
      <w:bookmarkStart w:id="3334" w:name="_Toc12862342"/>
      <w:bookmarkStart w:id="3335" w:name="_Toc12864388"/>
      <w:bookmarkStart w:id="3336" w:name="_Toc13551941"/>
      <w:bookmarkStart w:id="3337" w:name="_Toc13737718"/>
      <w:bookmarkStart w:id="3338" w:name="_Toc13738133"/>
      <w:bookmarkStart w:id="3339" w:name="_Toc25308691"/>
      <w:bookmarkStart w:id="3340" w:name="_Toc11773478"/>
      <w:bookmarkStart w:id="3341" w:name="_Toc11827280"/>
      <w:bookmarkStart w:id="3342" w:name="_Toc11833988"/>
      <w:bookmarkStart w:id="3343" w:name="_Toc11848383"/>
      <w:bookmarkStart w:id="3344" w:name="_Toc11852040"/>
      <w:bookmarkStart w:id="3345" w:name="_Toc12608880"/>
      <w:bookmarkStart w:id="3346" w:name="_Toc12706837"/>
      <w:bookmarkStart w:id="3347" w:name="_Toc12860774"/>
      <w:bookmarkStart w:id="3348" w:name="_Toc12862343"/>
      <w:bookmarkStart w:id="3349" w:name="_Toc12864389"/>
      <w:bookmarkStart w:id="3350" w:name="_Toc13551942"/>
      <w:bookmarkStart w:id="3351" w:name="_Toc13737719"/>
      <w:bookmarkStart w:id="3352" w:name="_Toc13738134"/>
      <w:bookmarkStart w:id="3353" w:name="_Toc25308692"/>
      <w:bookmarkStart w:id="3354" w:name="_Toc11773479"/>
      <w:bookmarkStart w:id="3355" w:name="_Toc11827281"/>
      <w:bookmarkStart w:id="3356" w:name="_Toc11833989"/>
      <w:bookmarkStart w:id="3357" w:name="_Toc11848384"/>
      <w:bookmarkStart w:id="3358" w:name="_Toc11852041"/>
      <w:bookmarkStart w:id="3359" w:name="_Toc12608881"/>
      <w:bookmarkStart w:id="3360" w:name="_Toc12706838"/>
      <w:bookmarkStart w:id="3361" w:name="_Toc12860775"/>
      <w:bookmarkStart w:id="3362" w:name="_Toc12862344"/>
      <w:bookmarkStart w:id="3363" w:name="_Toc12864390"/>
      <w:bookmarkStart w:id="3364" w:name="_Toc13551943"/>
      <w:bookmarkStart w:id="3365" w:name="_Toc13737720"/>
      <w:bookmarkStart w:id="3366" w:name="_Toc13738135"/>
      <w:bookmarkStart w:id="3367" w:name="_Toc25308693"/>
      <w:bookmarkStart w:id="3368" w:name="_Toc11773480"/>
      <w:bookmarkStart w:id="3369" w:name="_Toc11827282"/>
      <w:bookmarkStart w:id="3370" w:name="_Toc11833990"/>
      <w:bookmarkStart w:id="3371" w:name="_Toc11848385"/>
      <w:bookmarkStart w:id="3372" w:name="_Toc11852042"/>
      <w:bookmarkStart w:id="3373" w:name="_Toc12608882"/>
      <w:bookmarkStart w:id="3374" w:name="_Toc12706839"/>
      <w:bookmarkStart w:id="3375" w:name="_Toc12860776"/>
      <w:bookmarkStart w:id="3376" w:name="_Toc12862345"/>
      <w:bookmarkStart w:id="3377" w:name="_Toc12864391"/>
      <w:bookmarkStart w:id="3378" w:name="_Toc13551944"/>
      <w:bookmarkStart w:id="3379" w:name="_Toc13737721"/>
      <w:bookmarkStart w:id="3380" w:name="_Toc13738136"/>
      <w:bookmarkStart w:id="3381" w:name="_Toc25308694"/>
      <w:bookmarkStart w:id="3382" w:name="_Toc11773481"/>
      <w:bookmarkStart w:id="3383" w:name="_Toc11827283"/>
      <w:bookmarkStart w:id="3384" w:name="_Toc11833991"/>
      <w:bookmarkStart w:id="3385" w:name="_Toc11848386"/>
      <w:bookmarkStart w:id="3386" w:name="_Toc11852043"/>
      <w:bookmarkStart w:id="3387" w:name="_Toc12608883"/>
      <w:bookmarkStart w:id="3388" w:name="_Toc12706840"/>
      <w:bookmarkStart w:id="3389" w:name="_Toc12860777"/>
      <w:bookmarkStart w:id="3390" w:name="_Toc12862346"/>
      <w:bookmarkStart w:id="3391" w:name="_Toc12864392"/>
      <w:bookmarkStart w:id="3392" w:name="_Toc13551945"/>
      <w:bookmarkStart w:id="3393" w:name="_Toc13737722"/>
      <w:bookmarkStart w:id="3394" w:name="_Toc13738137"/>
      <w:bookmarkStart w:id="3395" w:name="_Toc25308695"/>
      <w:bookmarkStart w:id="3396" w:name="_Toc11773482"/>
      <w:bookmarkStart w:id="3397" w:name="_Toc11827284"/>
      <w:bookmarkStart w:id="3398" w:name="_Toc11833992"/>
      <w:bookmarkStart w:id="3399" w:name="_Toc11848387"/>
      <w:bookmarkStart w:id="3400" w:name="_Toc11852044"/>
      <w:bookmarkStart w:id="3401" w:name="_Toc12608884"/>
      <w:bookmarkStart w:id="3402" w:name="_Toc12706841"/>
      <w:bookmarkStart w:id="3403" w:name="_Toc12860778"/>
      <w:bookmarkStart w:id="3404" w:name="_Toc12862347"/>
      <w:bookmarkStart w:id="3405" w:name="_Toc12864393"/>
      <w:bookmarkStart w:id="3406" w:name="_Toc13551946"/>
      <w:bookmarkStart w:id="3407" w:name="_Toc13737723"/>
      <w:bookmarkStart w:id="3408" w:name="_Toc13738138"/>
      <w:bookmarkStart w:id="3409" w:name="_Toc25308696"/>
      <w:bookmarkStart w:id="3410" w:name="_Toc11773483"/>
      <w:bookmarkStart w:id="3411" w:name="_Toc11827285"/>
      <w:bookmarkStart w:id="3412" w:name="_Toc11833993"/>
      <w:bookmarkStart w:id="3413" w:name="_Toc11848388"/>
      <w:bookmarkStart w:id="3414" w:name="_Toc11852045"/>
      <w:bookmarkStart w:id="3415" w:name="_Toc12608885"/>
      <w:bookmarkStart w:id="3416" w:name="_Toc12706842"/>
      <w:bookmarkStart w:id="3417" w:name="_Toc12860779"/>
      <w:bookmarkStart w:id="3418" w:name="_Toc12862348"/>
      <w:bookmarkStart w:id="3419" w:name="_Toc12864394"/>
      <w:bookmarkStart w:id="3420" w:name="_Toc13551947"/>
      <w:bookmarkStart w:id="3421" w:name="_Toc13737724"/>
      <w:bookmarkStart w:id="3422" w:name="_Toc13738139"/>
      <w:bookmarkStart w:id="3423" w:name="_Toc25308697"/>
      <w:bookmarkStart w:id="3424" w:name="_Toc11773484"/>
      <w:bookmarkStart w:id="3425" w:name="_Toc11827286"/>
      <w:bookmarkStart w:id="3426" w:name="_Toc11833994"/>
      <w:bookmarkStart w:id="3427" w:name="_Toc11848389"/>
      <w:bookmarkStart w:id="3428" w:name="_Toc11852046"/>
      <w:bookmarkStart w:id="3429" w:name="_Toc12608886"/>
      <w:bookmarkStart w:id="3430" w:name="_Toc12706843"/>
      <w:bookmarkStart w:id="3431" w:name="_Toc12860780"/>
      <w:bookmarkStart w:id="3432" w:name="_Toc12862349"/>
      <w:bookmarkStart w:id="3433" w:name="_Toc12864395"/>
      <w:bookmarkStart w:id="3434" w:name="_Toc13551948"/>
      <w:bookmarkStart w:id="3435" w:name="_Toc13737725"/>
      <w:bookmarkStart w:id="3436" w:name="_Toc13738140"/>
      <w:bookmarkStart w:id="3437" w:name="_Toc25308698"/>
      <w:bookmarkStart w:id="3438" w:name="_Toc11773485"/>
      <w:bookmarkStart w:id="3439" w:name="_Toc11827287"/>
      <w:bookmarkStart w:id="3440" w:name="_Toc11833995"/>
      <w:bookmarkStart w:id="3441" w:name="_Toc11848390"/>
      <w:bookmarkStart w:id="3442" w:name="_Toc11852047"/>
      <w:bookmarkStart w:id="3443" w:name="_Toc12608887"/>
      <w:bookmarkStart w:id="3444" w:name="_Toc12706844"/>
      <w:bookmarkStart w:id="3445" w:name="_Toc12860781"/>
      <w:bookmarkStart w:id="3446" w:name="_Toc12862350"/>
      <w:bookmarkStart w:id="3447" w:name="_Toc12864396"/>
      <w:bookmarkStart w:id="3448" w:name="_Toc13551949"/>
      <w:bookmarkStart w:id="3449" w:name="_Toc13737726"/>
      <w:bookmarkStart w:id="3450" w:name="_Toc13738141"/>
      <w:bookmarkStart w:id="3451" w:name="_Toc25308699"/>
      <w:bookmarkStart w:id="3452" w:name="_Toc11773486"/>
      <w:bookmarkStart w:id="3453" w:name="_Toc11827288"/>
      <w:bookmarkStart w:id="3454" w:name="_Toc11833996"/>
      <w:bookmarkStart w:id="3455" w:name="_Toc11848391"/>
      <w:bookmarkStart w:id="3456" w:name="_Toc11852048"/>
      <w:bookmarkStart w:id="3457" w:name="_Toc12608888"/>
      <w:bookmarkStart w:id="3458" w:name="_Toc12706845"/>
      <w:bookmarkStart w:id="3459" w:name="_Toc12860782"/>
      <w:bookmarkStart w:id="3460" w:name="_Toc12862351"/>
      <w:bookmarkStart w:id="3461" w:name="_Toc12864397"/>
      <w:bookmarkStart w:id="3462" w:name="_Toc13551950"/>
      <w:bookmarkStart w:id="3463" w:name="_Toc13737727"/>
      <w:bookmarkStart w:id="3464" w:name="_Toc13738142"/>
      <w:bookmarkStart w:id="3465" w:name="_Toc25308700"/>
      <w:bookmarkStart w:id="3466" w:name="_Toc11773487"/>
      <w:bookmarkStart w:id="3467" w:name="_Toc11827289"/>
      <w:bookmarkStart w:id="3468" w:name="_Toc11833997"/>
      <w:bookmarkStart w:id="3469" w:name="_Toc11848392"/>
      <w:bookmarkStart w:id="3470" w:name="_Toc11852049"/>
      <w:bookmarkStart w:id="3471" w:name="_Toc12608889"/>
      <w:bookmarkStart w:id="3472" w:name="_Toc12706846"/>
      <w:bookmarkStart w:id="3473" w:name="_Toc12860783"/>
      <w:bookmarkStart w:id="3474" w:name="_Toc12862352"/>
      <w:bookmarkStart w:id="3475" w:name="_Toc12864398"/>
      <w:bookmarkStart w:id="3476" w:name="_Toc13551951"/>
      <w:bookmarkStart w:id="3477" w:name="_Toc13737728"/>
      <w:bookmarkStart w:id="3478" w:name="_Toc13738143"/>
      <w:bookmarkStart w:id="3479" w:name="_Toc25308701"/>
      <w:bookmarkStart w:id="3480" w:name="_Toc11773488"/>
      <w:bookmarkStart w:id="3481" w:name="_Toc11827290"/>
      <w:bookmarkStart w:id="3482" w:name="_Toc11833998"/>
      <w:bookmarkStart w:id="3483" w:name="_Toc11848393"/>
      <w:bookmarkStart w:id="3484" w:name="_Toc11852050"/>
      <w:bookmarkStart w:id="3485" w:name="_Toc12608890"/>
      <w:bookmarkStart w:id="3486" w:name="_Toc12706847"/>
      <w:bookmarkStart w:id="3487" w:name="_Toc12860784"/>
      <w:bookmarkStart w:id="3488" w:name="_Toc12862353"/>
      <w:bookmarkStart w:id="3489" w:name="_Toc12864399"/>
      <w:bookmarkStart w:id="3490" w:name="_Toc13551952"/>
      <w:bookmarkStart w:id="3491" w:name="_Toc13737729"/>
      <w:bookmarkStart w:id="3492" w:name="_Toc13738144"/>
      <w:bookmarkStart w:id="3493" w:name="_Toc25308702"/>
      <w:bookmarkStart w:id="3494" w:name="_Toc11773489"/>
      <w:bookmarkStart w:id="3495" w:name="_Toc11827291"/>
      <w:bookmarkStart w:id="3496" w:name="_Toc11833999"/>
      <w:bookmarkStart w:id="3497" w:name="_Toc11848394"/>
      <w:bookmarkStart w:id="3498" w:name="_Toc11852051"/>
      <w:bookmarkStart w:id="3499" w:name="_Toc12608891"/>
      <w:bookmarkStart w:id="3500" w:name="_Toc12706848"/>
      <w:bookmarkStart w:id="3501" w:name="_Toc12860785"/>
      <w:bookmarkStart w:id="3502" w:name="_Toc12862354"/>
      <w:bookmarkStart w:id="3503" w:name="_Toc12864400"/>
      <w:bookmarkStart w:id="3504" w:name="_Toc13551953"/>
      <w:bookmarkStart w:id="3505" w:name="_Toc13737730"/>
      <w:bookmarkStart w:id="3506" w:name="_Toc13738145"/>
      <w:bookmarkStart w:id="3507" w:name="_Toc25308703"/>
      <w:bookmarkStart w:id="3508" w:name="_Toc11773490"/>
      <w:bookmarkStart w:id="3509" w:name="_Toc11827292"/>
      <w:bookmarkStart w:id="3510" w:name="_Toc11834000"/>
      <w:bookmarkStart w:id="3511" w:name="_Toc11848395"/>
      <w:bookmarkStart w:id="3512" w:name="_Toc11852052"/>
      <w:bookmarkStart w:id="3513" w:name="_Toc12608892"/>
      <w:bookmarkStart w:id="3514" w:name="_Toc12706849"/>
      <w:bookmarkStart w:id="3515" w:name="_Toc12860786"/>
      <w:bookmarkStart w:id="3516" w:name="_Toc12862355"/>
      <w:bookmarkStart w:id="3517" w:name="_Toc12864401"/>
      <w:bookmarkStart w:id="3518" w:name="_Toc13551954"/>
      <w:bookmarkStart w:id="3519" w:name="_Toc13737731"/>
      <w:bookmarkStart w:id="3520" w:name="_Toc13738146"/>
      <w:bookmarkStart w:id="3521" w:name="_Toc25308704"/>
      <w:bookmarkStart w:id="3522" w:name="_Toc11773491"/>
      <w:bookmarkStart w:id="3523" w:name="_Toc11827293"/>
      <w:bookmarkStart w:id="3524" w:name="_Toc11834001"/>
      <w:bookmarkStart w:id="3525" w:name="_Toc11848396"/>
      <w:bookmarkStart w:id="3526" w:name="_Toc11852053"/>
      <w:bookmarkStart w:id="3527" w:name="_Toc12608893"/>
      <w:bookmarkStart w:id="3528" w:name="_Toc12706850"/>
      <w:bookmarkStart w:id="3529" w:name="_Toc12860787"/>
      <w:bookmarkStart w:id="3530" w:name="_Toc12862356"/>
      <w:bookmarkStart w:id="3531" w:name="_Toc12864402"/>
      <w:bookmarkStart w:id="3532" w:name="_Toc13551955"/>
      <w:bookmarkStart w:id="3533" w:name="_Toc13737732"/>
      <w:bookmarkStart w:id="3534" w:name="_Toc13738147"/>
      <w:bookmarkStart w:id="3535" w:name="_Toc25308705"/>
      <w:bookmarkStart w:id="3536" w:name="_Toc11773492"/>
      <w:bookmarkStart w:id="3537" w:name="_Toc11827294"/>
      <w:bookmarkStart w:id="3538" w:name="_Toc11834002"/>
      <w:bookmarkStart w:id="3539" w:name="_Toc11848397"/>
      <w:bookmarkStart w:id="3540" w:name="_Toc11852054"/>
      <w:bookmarkStart w:id="3541" w:name="_Toc12608894"/>
      <w:bookmarkStart w:id="3542" w:name="_Toc12706851"/>
      <w:bookmarkStart w:id="3543" w:name="_Toc12860788"/>
      <w:bookmarkStart w:id="3544" w:name="_Toc12862357"/>
      <w:bookmarkStart w:id="3545" w:name="_Toc12864403"/>
      <w:bookmarkStart w:id="3546" w:name="_Toc13551956"/>
      <w:bookmarkStart w:id="3547" w:name="_Toc13737733"/>
      <w:bookmarkStart w:id="3548" w:name="_Toc13738148"/>
      <w:bookmarkStart w:id="3549" w:name="_Toc25308706"/>
      <w:bookmarkStart w:id="3550" w:name="_Ref11071985"/>
      <w:bookmarkStart w:id="3551" w:name="_Ref11071990"/>
      <w:bookmarkStart w:id="3552" w:name="_Toc33602982"/>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r w:rsidRPr="00763B59">
        <w:t>Unfitness in s</w:t>
      </w:r>
      <w:r w:rsidR="00017737" w:rsidRPr="00763B59">
        <w:t xml:space="preserve">ummary </w:t>
      </w:r>
      <w:r w:rsidR="00E36E70" w:rsidRPr="00763B59">
        <w:t>proceedings</w:t>
      </w:r>
      <w:bookmarkEnd w:id="3550"/>
      <w:bookmarkEnd w:id="3551"/>
      <w:bookmarkEnd w:id="3552"/>
    </w:p>
    <w:p w14:paraId="45DADC22" w14:textId="77777777" w:rsidR="00017737" w:rsidRPr="00763B59" w:rsidRDefault="00017737" w:rsidP="00407B97">
      <w:pPr>
        <w:pStyle w:val="NormalIndent"/>
        <w:keepNext/>
        <w:spacing w:line="276" w:lineRule="auto"/>
        <w:rPr>
          <w:rFonts w:asciiTheme="minorHAnsi" w:hAnsiTheme="minorHAnsi"/>
        </w:rPr>
      </w:pPr>
    </w:p>
    <w:p w14:paraId="6B755CAF" w14:textId="72F15664" w:rsidR="00FA5C3B" w:rsidRPr="00763B59" w:rsidRDefault="004A39B2">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Commonwealth law makes no provision, in relation to a proceeding for a summary offence or the summary determination of an indictable offence, for determining that the defendant is unfit to plead or </w:t>
      </w:r>
      <w:r w:rsidR="004A220B" w:rsidRPr="00763B59">
        <w:rPr>
          <w:rFonts w:asciiTheme="minorHAnsi" w:hAnsiTheme="minorHAnsi"/>
        </w:rPr>
        <w:t xml:space="preserve">to </w:t>
      </w:r>
      <w:r w:rsidRPr="00763B59">
        <w:rPr>
          <w:rFonts w:asciiTheme="minorHAnsi" w:hAnsiTheme="minorHAnsi"/>
        </w:rPr>
        <w:t>stand trial.</w:t>
      </w:r>
      <w:r w:rsidRPr="00763B59">
        <w:rPr>
          <w:rStyle w:val="Style"/>
          <w:rFonts w:asciiTheme="minorHAnsi" w:hAnsiTheme="minorHAnsi"/>
        </w:rPr>
        <w:t xml:space="preserve"> </w:t>
      </w:r>
      <w:r w:rsidRPr="00763B59">
        <w:rPr>
          <w:rStyle w:val="Style"/>
          <w:rFonts w:asciiTheme="minorHAnsi" w:hAnsiTheme="minorHAnsi"/>
        </w:rPr>
        <w:footnoteReference w:id="1172"/>
      </w:r>
      <w:r w:rsidRPr="00763B59">
        <w:rPr>
          <w:rFonts w:asciiTheme="minorHAnsi" w:hAnsiTheme="minorHAnsi"/>
        </w:rPr>
        <w:t xml:space="preserve">  Nor does the common law.</w:t>
      </w:r>
      <w:r w:rsidRPr="00763B59">
        <w:rPr>
          <w:rStyle w:val="Style"/>
          <w:rFonts w:asciiTheme="minorHAnsi" w:hAnsiTheme="minorHAnsi"/>
        </w:rPr>
        <w:footnoteReference w:id="1173"/>
      </w:r>
    </w:p>
    <w:p w14:paraId="395779E9" w14:textId="77777777" w:rsidR="00C23F85" w:rsidRPr="00763B59" w:rsidRDefault="00C23F85" w:rsidP="00EB7F1E">
      <w:pPr>
        <w:spacing w:line="276" w:lineRule="auto"/>
        <w:rPr>
          <w:rFonts w:asciiTheme="minorHAnsi" w:hAnsiTheme="minorHAnsi"/>
        </w:rPr>
      </w:pPr>
    </w:p>
    <w:p w14:paraId="76833C0E" w14:textId="053D2794" w:rsidR="0055433A" w:rsidRPr="00763B59" w:rsidRDefault="00DD31EC" w:rsidP="00FD3210">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 </w:t>
      </w:r>
      <w:r w:rsidR="0038538D" w:rsidRPr="00763B59">
        <w:rPr>
          <w:rFonts w:asciiTheme="minorHAnsi" w:hAnsiTheme="minorHAnsi"/>
        </w:rPr>
        <w:t>However s</w:t>
      </w:r>
      <w:r w:rsidR="00392C31" w:rsidRPr="00763B59">
        <w:rPr>
          <w:rFonts w:asciiTheme="minorHAnsi" w:hAnsiTheme="minorHAnsi"/>
        </w:rPr>
        <w:t xml:space="preserve"> </w:t>
      </w:r>
      <w:r w:rsidR="00D35983" w:rsidRPr="00763B59">
        <w:rPr>
          <w:rFonts w:asciiTheme="minorHAnsi" w:hAnsiTheme="minorHAnsi"/>
        </w:rPr>
        <w:t xml:space="preserve">20BQ of the </w:t>
      </w:r>
      <w:r w:rsidR="00D35983" w:rsidRPr="00763B59">
        <w:rPr>
          <w:rFonts w:asciiTheme="minorHAnsi" w:hAnsiTheme="minorHAnsi"/>
          <w:i/>
          <w:iCs/>
        </w:rPr>
        <w:t xml:space="preserve">Crimes Act </w:t>
      </w:r>
      <w:r w:rsidRPr="00763B59">
        <w:rPr>
          <w:rFonts w:asciiTheme="minorHAnsi" w:hAnsiTheme="minorHAnsi"/>
          <w:i/>
          <w:iCs/>
        </w:rPr>
        <w:t>1914</w:t>
      </w:r>
      <w:r w:rsidRPr="00763B59">
        <w:rPr>
          <w:rFonts w:asciiTheme="minorHAnsi" w:hAnsiTheme="minorHAnsi"/>
        </w:rPr>
        <w:t xml:space="preserve"> </w:t>
      </w:r>
      <w:r w:rsidR="00D35983" w:rsidRPr="00763B59">
        <w:rPr>
          <w:rFonts w:asciiTheme="minorHAnsi" w:hAnsiTheme="minorHAnsi"/>
        </w:rPr>
        <w:t xml:space="preserve">(Cth) provides </w:t>
      </w:r>
      <w:r w:rsidR="0055433A" w:rsidRPr="00763B59">
        <w:rPr>
          <w:rFonts w:asciiTheme="minorHAnsi" w:hAnsiTheme="minorHAnsi"/>
        </w:rPr>
        <w:t>a court of summary jurisdiction</w:t>
      </w:r>
      <w:r w:rsidR="0038538D" w:rsidRPr="00763B59">
        <w:rPr>
          <w:rFonts w:asciiTheme="minorHAnsi" w:hAnsiTheme="minorHAnsi"/>
        </w:rPr>
        <w:t xml:space="preserve"> with power to deal with a defendant who is mentally-ill or intellectually-disabled</w:t>
      </w:r>
      <w:r w:rsidR="0055433A" w:rsidRPr="00763B59">
        <w:rPr>
          <w:rFonts w:asciiTheme="minorHAnsi" w:hAnsiTheme="minorHAnsi"/>
        </w:rPr>
        <w:t>.  Section 20BQ provides:</w:t>
      </w:r>
    </w:p>
    <w:p w14:paraId="334D5A7E" w14:textId="77777777" w:rsidR="002D39F0" w:rsidRPr="00763B59" w:rsidRDefault="002D39F0" w:rsidP="00EB7F1E">
      <w:pPr>
        <w:pStyle w:val="BodyText"/>
        <w:keepNext/>
        <w:spacing w:line="276" w:lineRule="auto"/>
        <w:ind w:left="567" w:right="170"/>
        <w:jc w:val="both"/>
        <w:rPr>
          <w:rFonts w:asciiTheme="minorHAnsi" w:hAnsiTheme="minorHAnsi"/>
          <w:bCs/>
          <w:i/>
        </w:rPr>
      </w:pPr>
      <w:bookmarkStart w:id="3553" w:name="_Toc535502771"/>
      <w:r w:rsidRPr="00763B59">
        <w:rPr>
          <w:rFonts w:asciiTheme="minorHAnsi" w:hAnsiTheme="minorHAnsi"/>
          <w:bCs/>
          <w:i/>
        </w:rPr>
        <w:t>20BQ</w:t>
      </w:r>
      <w:r w:rsidRPr="00763B59">
        <w:rPr>
          <w:rFonts w:asciiTheme="minorHAnsi" w:hAnsiTheme="minorHAnsi"/>
          <w:b/>
          <w:bCs/>
          <w:i/>
        </w:rPr>
        <w:t xml:space="preserve">  Person suffering from mental illness or intellectual disability</w:t>
      </w:r>
      <w:bookmarkEnd w:id="3553"/>
    </w:p>
    <w:p w14:paraId="399575A1" w14:textId="0CA71B78" w:rsidR="002D39F0" w:rsidRPr="00763B59" w:rsidRDefault="002D39F0" w:rsidP="00EB7F1E">
      <w:pPr>
        <w:pStyle w:val="BodyText"/>
        <w:spacing w:line="276" w:lineRule="auto"/>
        <w:ind w:left="1134" w:right="170" w:hanging="567"/>
        <w:jc w:val="both"/>
        <w:rPr>
          <w:rFonts w:asciiTheme="minorHAnsi" w:hAnsiTheme="minorHAnsi"/>
          <w:i/>
        </w:rPr>
      </w:pPr>
      <w:r w:rsidRPr="00763B59">
        <w:rPr>
          <w:rFonts w:asciiTheme="minorHAnsi" w:hAnsiTheme="minorHAnsi"/>
          <w:i/>
        </w:rPr>
        <w:t>(1)</w:t>
      </w:r>
      <w:r w:rsidRPr="00763B59">
        <w:rPr>
          <w:rFonts w:asciiTheme="minorHAnsi" w:hAnsiTheme="minorHAnsi"/>
          <w:i/>
        </w:rPr>
        <w:tab/>
        <w:t>Where, in proceedings in a State or Territory before a court of summary jurisdiction in respect of a federal offence, it appears to the court:</w:t>
      </w:r>
    </w:p>
    <w:p w14:paraId="35CE83DF" w14:textId="6EFA786A" w:rsidR="002D39F0" w:rsidRPr="00763B59" w:rsidRDefault="002D39F0" w:rsidP="00EB7F1E">
      <w:pPr>
        <w:autoSpaceDE w:val="0"/>
        <w:autoSpaceDN w:val="0"/>
        <w:adjustRightInd w:val="0"/>
        <w:spacing w:line="276" w:lineRule="auto"/>
        <w:ind w:left="1418" w:hanging="284"/>
        <w:jc w:val="both"/>
        <w:rPr>
          <w:rFonts w:asciiTheme="minorHAnsi" w:hAnsiTheme="minorHAnsi"/>
          <w:i/>
          <w:color w:val="000000"/>
          <w:szCs w:val="22"/>
          <w:lang w:eastAsia="en-AU"/>
        </w:rPr>
      </w:pPr>
      <w:r w:rsidRPr="00763B59">
        <w:rPr>
          <w:rFonts w:asciiTheme="minorHAnsi" w:hAnsiTheme="minorHAnsi"/>
          <w:i/>
          <w:color w:val="000000"/>
          <w:szCs w:val="22"/>
          <w:lang w:eastAsia="en-AU"/>
        </w:rPr>
        <w:t>(a)</w:t>
      </w:r>
      <w:r w:rsidRPr="00763B59">
        <w:rPr>
          <w:rFonts w:asciiTheme="minorHAnsi" w:hAnsiTheme="minorHAnsi"/>
          <w:i/>
          <w:color w:val="000000"/>
          <w:szCs w:val="22"/>
          <w:lang w:eastAsia="en-AU"/>
        </w:rPr>
        <w:tab/>
        <w:t>that the person charged is suffering from a mental illness within the meaning of the civil law of the State or Territory or is suffering from an intellectual disability; and</w:t>
      </w:r>
    </w:p>
    <w:p w14:paraId="4EA5C872" w14:textId="32A47410" w:rsidR="002D39F0" w:rsidRPr="00763B59" w:rsidRDefault="002D39F0" w:rsidP="00EB7F1E">
      <w:pPr>
        <w:autoSpaceDE w:val="0"/>
        <w:autoSpaceDN w:val="0"/>
        <w:adjustRightInd w:val="0"/>
        <w:spacing w:line="276" w:lineRule="auto"/>
        <w:ind w:left="1418" w:hanging="284"/>
        <w:jc w:val="both"/>
        <w:rPr>
          <w:rFonts w:asciiTheme="minorHAnsi" w:hAnsiTheme="minorHAnsi"/>
          <w:i/>
          <w:color w:val="000000"/>
          <w:szCs w:val="22"/>
          <w:lang w:eastAsia="en-AU"/>
        </w:rPr>
      </w:pPr>
      <w:r w:rsidRPr="00763B59">
        <w:rPr>
          <w:rFonts w:asciiTheme="minorHAnsi" w:hAnsiTheme="minorHAnsi"/>
          <w:i/>
          <w:color w:val="000000"/>
          <w:szCs w:val="22"/>
          <w:lang w:eastAsia="en-AU"/>
        </w:rPr>
        <w:t>(b)</w:t>
      </w:r>
      <w:r w:rsidRPr="00763B59">
        <w:rPr>
          <w:rFonts w:asciiTheme="minorHAnsi" w:hAnsiTheme="minorHAnsi"/>
          <w:i/>
          <w:color w:val="000000"/>
          <w:szCs w:val="22"/>
          <w:lang w:eastAsia="en-AU"/>
        </w:rPr>
        <w:tab/>
        <w:t>that, on an outline of the facts alleged in the proceedings, or such other evidence as the court considers relevant, it would be more appropriate to deal with the person under this Division than otherwise in accordance with law;</w:t>
      </w:r>
    </w:p>
    <w:p w14:paraId="49078D5D" w14:textId="77777777" w:rsidR="002D39F0" w:rsidRPr="00763B59" w:rsidRDefault="002D39F0" w:rsidP="00EB7F1E">
      <w:pPr>
        <w:autoSpaceDE w:val="0"/>
        <w:autoSpaceDN w:val="0"/>
        <w:adjustRightInd w:val="0"/>
        <w:spacing w:line="276" w:lineRule="auto"/>
        <w:ind w:left="1134"/>
        <w:jc w:val="both"/>
        <w:rPr>
          <w:rFonts w:asciiTheme="minorHAnsi" w:hAnsiTheme="minorHAnsi"/>
          <w:i/>
          <w:color w:val="000000"/>
          <w:szCs w:val="22"/>
        </w:rPr>
      </w:pPr>
      <w:r w:rsidRPr="00763B59">
        <w:rPr>
          <w:rFonts w:asciiTheme="minorHAnsi" w:hAnsiTheme="minorHAnsi"/>
          <w:i/>
          <w:color w:val="000000"/>
          <w:szCs w:val="22"/>
          <w:lang w:eastAsia="en-AU"/>
        </w:rPr>
        <w:t>the court may, by order:</w:t>
      </w:r>
    </w:p>
    <w:p w14:paraId="41C6FB5B" w14:textId="7763FAE3" w:rsidR="002D39F0" w:rsidRPr="00763B59" w:rsidRDefault="002D39F0" w:rsidP="00EB7F1E">
      <w:pPr>
        <w:autoSpaceDE w:val="0"/>
        <w:autoSpaceDN w:val="0"/>
        <w:adjustRightInd w:val="0"/>
        <w:spacing w:line="276" w:lineRule="auto"/>
        <w:ind w:left="1418" w:hanging="284"/>
        <w:jc w:val="both"/>
        <w:rPr>
          <w:rFonts w:asciiTheme="minorHAnsi" w:hAnsiTheme="minorHAnsi"/>
          <w:i/>
          <w:color w:val="000000"/>
          <w:szCs w:val="22"/>
          <w:lang w:eastAsia="en-AU"/>
        </w:rPr>
      </w:pPr>
      <w:r w:rsidRPr="00763B59">
        <w:rPr>
          <w:rFonts w:asciiTheme="minorHAnsi" w:hAnsiTheme="minorHAnsi"/>
          <w:i/>
          <w:color w:val="000000"/>
          <w:szCs w:val="22"/>
          <w:lang w:eastAsia="en-AU"/>
        </w:rPr>
        <w:t>(c)</w:t>
      </w:r>
      <w:r w:rsidRPr="00763B59">
        <w:rPr>
          <w:rFonts w:asciiTheme="minorHAnsi" w:hAnsiTheme="minorHAnsi"/>
          <w:i/>
          <w:color w:val="000000"/>
          <w:szCs w:val="22"/>
          <w:lang w:eastAsia="en-AU"/>
        </w:rPr>
        <w:tab/>
        <w:t>dismiss the charge and discharge the person:</w:t>
      </w:r>
    </w:p>
    <w:p w14:paraId="09A5B258" w14:textId="47D7B871" w:rsidR="002D39F0" w:rsidRPr="00763B59" w:rsidRDefault="002D39F0" w:rsidP="00EB7F1E">
      <w:pPr>
        <w:autoSpaceDE w:val="0"/>
        <w:autoSpaceDN w:val="0"/>
        <w:adjustRightInd w:val="0"/>
        <w:spacing w:line="276" w:lineRule="auto"/>
        <w:ind w:left="1843" w:hanging="425"/>
        <w:jc w:val="both"/>
        <w:rPr>
          <w:rFonts w:asciiTheme="minorHAnsi" w:hAnsiTheme="minorHAnsi"/>
          <w:i/>
          <w:color w:val="000000"/>
          <w:szCs w:val="22"/>
        </w:rPr>
      </w:pPr>
      <w:r w:rsidRPr="00763B59">
        <w:rPr>
          <w:rFonts w:asciiTheme="minorHAnsi" w:hAnsiTheme="minorHAnsi"/>
          <w:i/>
          <w:color w:val="000000"/>
          <w:szCs w:val="22"/>
          <w:lang w:eastAsia="en-AU"/>
        </w:rPr>
        <w:t>(i)</w:t>
      </w:r>
      <w:r w:rsidRPr="00763B59">
        <w:rPr>
          <w:rFonts w:asciiTheme="minorHAnsi" w:hAnsiTheme="minorHAnsi"/>
          <w:i/>
          <w:color w:val="000000"/>
          <w:szCs w:val="22"/>
          <w:lang w:eastAsia="en-AU"/>
        </w:rPr>
        <w:tab/>
        <w:t>into the care of a responsible person, unconditionally, or subject to conditions, for a specified period that does not exceed 3 years; or</w:t>
      </w:r>
    </w:p>
    <w:p w14:paraId="34B79D1B" w14:textId="416E51F5" w:rsidR="002D39F0" w:rsidRPr="00763B59" w:rsidRDefault="002D39F0" w:rsidP="00EB7F1E">
      <w:pPr>
        <w:autoSpaceDE w:val="0"/>
        <w:autoSpaceDN w:val="0"/>
        <w:adjustRightInd w:val="0"/>
        <w:spacing w:line="276" w:lineRule="auto"/>
        <w:ind w:left="1843" w:hanging="425"/>
        <w:jc w:val="both"/>
        <w:rPr>
          <w:rFonts w:asciiTheme="minorHAnsi" w:hAnsiTheme="minorHAnsi"/>
          <w:i/>
          <w:color w:val="000000"/>
          <w:szCs w:val="22"/>
        </w:rPr>
      </w:pPr>
      <w:r w:rsidRPr="00763B59">
        <w:rPr>
          <w:rFonts w:asciiTheme="minorHAnsi" w:hAnsiTheme="minorHAnsi"/>
          <w:i/>
          <w:color w:val="000000"/>
          <w:szCs w:val="22"/>
          <w:lang w:eastAsia="en-AU"/>
        </w:rPr>
        <w:t>(ii)</w:t>
      </w:r>
      <w:r w:rsidRPr="00763B59">
        <w:rPr>
          <w:rFonts w:asciiTheme="minorHAnsi" w:hAnsiTheme="minorHAnsi"/>
          <w:i/>
          <w:color w:val="000000"/>
          <w:szCs w:val="22"/>
          <w:lang w:eastAsia="en-AU"/>
        </w:rPr>
        <w:tab/>
        <w:t>on condition that the person attend on another person, or at a place, specified by the court for an assessment of the first</w:t>
      </w:r>
      <w:r w:rsidRPr="00763B59">
        <w:rPr>
          <w:rFonts w:asciiTheme="minorHAnsi" w:hAnsiTheme="minorHAnsi"/>
          <w:i/>
          <w:color w:val="000000"/>
          <w:szCs w:val="22"/>
          <w:lang w:eastAsia="en-AU"/>
        </w:rPr>
        <w:noBreakHyphen/>
        <w:t>mentioned person</w:t>
      </w:r>
      <w:r w:rsidR="00AA693C" w:rsidRPr="00763B59">
        <w:rPr>
          <w:rFonts w:asciiTheme="minorHAnsi" w:hAnsiTheme="minorHAnsi"/>
          <w:i/>
          <w:color w:val="000000"/>
          <w:szCs w:val="22"/>
          <w:lang w:eastAsia="en-AU"/>
        </w:rPr>
        <w:t>’</w:t>
      </w:r>
      <w:r w:rsidRPr="00763B59">
        <w:rPr>
          <w:rFonts w:asciiTheme="minorHAnsi" w:hAnsiTheme="minorHAnsi"/>
          <w:i/>
          <w:color w:val="000000"/>
          <w:szCs w:val="22"/>
          <w:lang w:eastAsia="en-AU"/>
        </w:rPr>
        <w:t>s mental condition, or for treatment, or both, but so that the total period for which the person is required to attend on that other person or at that place does not exceed 3 years; or</w:t>
      </w:r>
    </w:p>
    <w:p w14:paraId="0312E510" w14:textId="381AAF65" w:rsidR="002D39F0" w:rsidRPr="00763B59" w:rsidRDefault="002D39F0" w:rsidP="00EB7F1E">
      <w:pPr>
        <w:autoSpaceDE w:val="0"/>
        <w:autoSpaceDN w:val="0"/>
        <w:adjustRightInd w:val="0"/>
        <w:spacing w:line="276" w:lineRule="auto"/>
        <w:ind w:left="1843" w:hanging="425"/>
        <w:jc w:val="both"/>
        <w:rPr>
          <w:rFonts w:asciiTheme="minorHAnsi" w:hAnsiTheme="minorHAnsi"/>
          <w:i/>
          <w:color w:val="000000"/>
          <w:szCs w:val="22"/>
        </w:rPr>
      </w:pPr>
      <w:r w:rsidRPr="00763B59">
        <w:rPr>
          <w:rFonts w:asciiTheme="minorHAnsi" w:hAnsiTheme="minorHAnsi"/>
          <w:i/>
          <w:color w:val="000000"/>
          <w:szCs w:val="22"/>
          <w:lang w:eastAsia="en-AU"/>
        </w:rPr>
        <w:t>(iii)</w:t>
      </w:r>
      <w:r w:rsidRPr="00763B59">
        <w:rPr>
          <w:rFonts w:asciiTheme="minorHAnsi" w:hAnsiTheme="minorHAnsi"/>
          <w:i/>
          <w:color w:val="000000"/>
          <w:szCs w:val="22"/>
          <w:lang w:eastAsia="en-AU"/>
        </w:rPr>
        <w:tab/>
        <w:t>unconditionally; or</w:t>
      </w:r>
    </w:p>
    <w:p w14:paraId="06EA3889" w14:textId="3B2CBA0C" w:rsidR="002D39F0" w:rsidRPr="00763B59" w:rsidRDefault="002D39F0" w:rsidP="00EB7F1E">
      <w:pPr>
        <w:autoSpaceDE w:val="0"/>
        <w:autoSpaceDN w:val="0"/>
        <w:adjustRightInd w:val="0"/>
        <w:spacing w:line="276" w:lineRule="auto"/>
        <w:ind w:left="1418" w:hanging="284"/>
        <w:jc w:val="both"/>
        <w:rPr>
          <w:rFonts w:asciiTheme="minorHAnsi" w:hAnsiTheme="minorHAnsi"/>
          <w:i/>
          <w:color w:val="000000"/>
          <w:szCs w:val="22"/>
          <w:lang w:eastAsia="en-AU"/>
        </w:rPr>
      </w:pPr>
      <w:r w:rsidRPr="00763B59">
        <w:rPr>
          <w:rFonts w:asciiTheme="minorHAnsi" w:hAnsiTheme="minorHAnsi"/>
          <w:i/>
          <w:color w:val="000000"/>
          <w:szCs w:val="22"/>
          <w:lang w:eastAsia="en-AU"/>
        </w:rPr>
        <w:t>(d)</w:t>
      </w:r>
      <w:r w:rsidRPr="00763B59">
        <w:rPr>
          <w:rFonts w:asciiTheme="minorHAnsi" w:hAnsiTheme="minorHAnsi"/>
          <w:i/>
          <w:color w:val="000000"/>
          <w:szCs w:val="22"/>
          <w:lang w:eastAsia="en-AU"/>
        </w:rPr>
        <w:tab/>
        <w:t>do one or more of the following:</w:t>
      </w:r>
    </w:p>
    <w:p w14:paraId="62878935" w14:textId="6E3DC46A" w:rsidR="002D39F0" w:rsidRPr="00763B59" w:rsidRDefault="002D39F0" w:rsidP="00EB7F1E">
      <w:pPr>
        <w:autoSpaceDE w:val="0"/>
        <w:autoSpaceDN w:val="0"/>
        <w:adjustRightInd w:val="0"/>
        <w:spacing w:line="276" w:lineRule="auto"/>
        <w:ind w:left="1843" w:hanging="425"/>
        <w:jc w:val="both"/>
        <w:rPr>
          <w:rFonts w:asciiTheme="minorHAnsi" w:hAnsiTheme="minorHAnsi"/>
          <w:i/>
          <w:color w:val="000000"/>
          <w:szCs w:val="22"/>
        </w:rPr>
      </w:pPr>
      <w:r w:rsidRPr="00763B59">
        <w:rPr>
          <w:rFonts w:asciiTheme="minorHAnsi" w:hAnsiTheme="minorHAnsi"/>
          <w:i/>
          <w:color w:val="000000"/>
          <w:szCs w:val="22"/>
          <w:lang w:eastAsia="en-AU"/>
        </w:rPr>
        <w:t>(i)</w:t>
      </w:r>
      <w:r w:rsidRPr="00763B59">
        <w:rPr>
          <w:rFonts w:asciiTheme="minorHAnsi" w:hAnsiTheme="minorHAnsi"/>
          <w:i/>
          <w:color w:val="000000"/>
          <w:szCs w:val="22"/>
          <w:lang w:eastAsia="en-AU"/>
        </w:rPr>
        <w:tab/>
        <w:t>adjourn the proceedings;</w:t>
      </w:r>
    </w:p>
    <w:p w14:paraId="04A791E3" w14:textId="73529B04" w:rsidR="002D39F0" w:rsidRPr="00763B59" w:rsidRDefault="002D39F0" w:rsidP="00EB7F1E">
      <w:pPr>
        <w:autoSpaceDE w:val="0"/>
        <w:autoSpaceDN w:val="0"/>
        <w:adjustRightInd w:val="0"/>
        <w:spacing w:line="276" w:lineRule="auto"/>
        <w:ind w:left="1843" w:hanging="425"/>
        <w:jc w:val="both"/>
        <w:rPr>
          <w:rFonts w:asciiTheme="minorHAnsi" w:hAnsiTheme="minorHAnsi"/>
          <w:i/>
          <w:color w:val="000000"/>
          <w:szCs w:val="22"/>
        </w:rPr>
      </w:pPr>
      <w:r w:rsidRPr="00763B59">
        <w:rPr>
          <w:rFonts w:asciiTheme="minorHAnsi" w:hAnsiTheme="minorHAnsi"/>
          <w:i/>
          <w:color w:val="000000"/>
          <w:szCs w:val="22"/>
          <w:lang w:eastAsia="en-AU"/>
        </w:rPr>
        <w:t>(ii)</w:t>
      </w:r>
      <w:r w:rsidRPr="00763B59">
        <w:rPr>
          <w:rFonts w:asciiTheme="minorHAnsi" w:hAnsiTheme="minorHAnsi"/>
          <w:i/>
          <w:color w:val="000000"/>
          <w:szCs w:val="22"/>
          <w:lang w:eastAsia="en-AU"/>
        </w:rPr>
        <w:tab/>
        <w:t>remand the person on bail;</w:t>
      </w:r>
    </w:p>
    <w:p w14:paraId="2B945B47" w14:textId="4B78F8CB" w:rsidR="002D39F0" w:rsidRPr="00763B59" w:rsidRDefault="002D39F0" w:rsidP="00EB7F1E">
      <w:pPr>
        <w:autoSpaceDE w:val="0"/>
        <w:autoSpaceDN w:val="0"/>
        <w:adjustRightInd w:val="0"/>
        <w:spacing w:line="276" w:lineRule="auto"/>
        <w:ind w:left="1843" w:hanging="425"/>
        <w:jc w:val="both"/>
        <w:rPr>
          <w:rFonts w:asciiTheme="minorHAnsi" w:hAnsiTheme="minorHAnsi"/>
          <w:i/>
          <w:color w:val="000000"/>
          <w:szCs w:val="22"/>
        </w:rPr>
      </w:pPr>
      <w:r w:rsidRPr="00763B59">
        <w:rPr>
          <w:rFonts w:asciiTheme="minorHAnsi" w:hAnsiTheme="minorHAnsi"/>
          <w:i/>
          <w:color w:val="000000"/>
          <w:szCs w:val="22"/>
          <w:lang w:eastAsia="en-AU"/>
        </w:rPr>
        <w:t>(iii)</w:t>
      </w:r>
      <w:r w:rsidRPr="00763B59">
        <w:rPr>
          <w:rFonts w:asciiTheme="minorHAnsi" w:hAnsiTheme="minorHAnsi"/>
          <w:i/>
          <w:color w:val="000000"/>
          <w:szCs w:val="22"/>
          <w:lang w:eastAsia="en-AU"/>
        </w:rPr>
        <w:tab/>
        <w:t>make any other order that the court considers appropriate.</w:t>
      </w:r>
    </w:p>
    <w:p w14:paraId="757E73E7" w14:textId="527E72B1" w:rsidR="002D39F0" w:rsidRPr="00763B59" w:rsidRDefault="002D39F0" w:rsidP="00EB7F1E">
      <w:pPr>
        <w:pStyle w:val="BodyText"/>
        <w:spacing w:line="276" w:lineRule="auto"/>
        <w:ind w:left="1134" w:right="170" w:hanging="567"/>
        <w:jc w:val="both"/>
        <w:rPr>
          <w:rFonts w:asciiTheme="minorHAnsi" w:hAnsiTheme="minorHAnsi"/>
          <w:i/>
        </w:rPr>
      </w:pPr>
      <w:r w:rsidRPr="00763B59">
        <w:rPr>
          <w:rFonts w:asciiTheme="minorHAnsi" w:hAnsiTheme="minorHAnsi"/>
          <w:i/>
        </w:rPr>
        <w:t>(2)</w:t>
      </w:r>
      <w:r w:rsidRPr="00763B59">
        <w:rPr>
          <w:rFonts w:asciiTheme="minorHAnsi" w:hAnsiTheme="minorHAnsi"/>
          <w:i/>
        </w:rPr>
        <w:tab/>
        <w:t>Where a court makes an order under paragraph (1)(c) in respect of a person and a federal offence with which the person has been charged, the order acts as a stay against any proceedings, or any further proceedings, against the person in respect of the offence.</w:t>
      </w:r>
    </w:p>
    <w:p w14:paraId="0F315F34" w14:textId="2B6A5685" w:rsidR="002D39F0" w:rsidRPr="00763B59" w:rsidRDefault="002D39F0" w:rsidP="00EB7F1E">
      <w:pPr>
        <w:pStyle w:val="BodyText"/>
        <w:spacing w:line="276" w:lineRule="auto"/>
        <w:ind w:left="1134" w:right="170" w:hanging="567"/>
        <w:jc w:val="both"/>
        <w:rPr>
          <w:rFonts w:asciiTheme="minorHAnsi" w:hAnsiTheme="minorHAnsi"/>
          <w:i/>
        </w:rPr>
      </w:pPr>
      <w:r w:rsidRPr="00763B59">
        <w:rPr>
          <w:rFonts w:asciiTheme="minorHAnsi" w:hAnsiTheme="minorHAnsi"/>
          <w:i/>
        </w:rPr>
        <w:t>(3)</w:t>
      </w:r>
      <w:r w:rsidRPr="00763B59">
        <w:rPr>
          <w:rFonts w:asciiTheme="minorHAnsi" w:hAnsiTheme="minorHAnsi"/>
          <w:i/>
        </w:rPr>
        <w:tab/>
        <w:t>Where a court makes an order under subsection (1) in respect of a person and a federal offence with which the person has been charged, the court must not make an order under section 19B, 20, 20AB or 21B in respect of the person in respect of the offence.</w:t>
      </w:r>
    </w:p>
    <w:p w14:paraId="2655DEF9" w14:textId="1CAF34C1" w:rsidR="002D39F0" w:rsidRPr="00763B59" w:rsidRDefault="002D39F0" w:rsidP="0055433A">
      <w:pPr>
        <w:spacing w:line="276" w:lineRule="auto"/>
        <w:rPr>
          <w:rFonts w:asciiTheme="minorHAnsi" w:hAnsiTheme="minorHAnsi"/>
        </w:rPr>
      </w:pPr>
    </w:p>
    <w:p w14:paraId="41406D83" w14:textId="3D3C8695" w:rsidR="00E01413" w:rsidRPr="00763B59" w:rsidRDefault="00E01413" w:rsidP="00FD3210">
      <w:pPr>
        <w:pStyle w:val="ListParagraph"/>
        <w:numPr>
          <w:ilvl w:val="0"/>
          <w:numId w:val="7"/>
        </w:numPr>
        <w:spacing w:line="276" w:lineRule="auto"/>
        <w:ind w:left="425" w:hanging="425"/>
        <w:rPr>
          <w:rFonts w:asciiTheme="minorHAnsi" w:hAnsiTheme="minorHAnsi"/>
        </w:rPr>
      </w:pPr>
      <w:r w:rsidRPr="00763B59">
        <w:rPr>
          <w:rFonts w:asciiTheme="minorHAnsi" w:hAnsiTheme="minorHAnsi" w:cstheme="minorHAnsi"/>
        </w:rPr>
        <w:t xml:space="preserve">On its face, s 20BQ is capable of being applied at any stage of a </w:t>
      </w:r>
      <w:r w:rsidR="00452EB7" w:rsidRPr="00763B59">
        <w:rPr>
          <w:rFonts w:asciiTheme="minorHAnsi" w:hAnsiTheme="minorHAnsi" w:cstheme="minorHAnsi"/>
        </w:rPr>
        <w:t xml:space="preserve">summary </w:t>
      </w:r>
      <w:r w:rsidRPr="00763B59">
        <w:rPr>
          <w:rFonts w:asciiTheme="minorHAnsi" w:hAnsiTheme="minorHAnsi" w:cstheme="minorHAnsi"/>
        </w:rPr>
        <w:t xml:space="preserve">proceeding </w:t>
      </w:r>
      <w:r w:rsidR="00452EB7" w:rsidRPr="00763B59">
        <w:rPr>
          <w:rFonts w:asciiTheme="minorHAnsi" w:hAnsiTheme="minorHAnsi" w:cstheme="minorHAnsi"/>
        </w:rPr>
        <w:t xml:space="preserve">(including a proceeding involving the summary determination of an indictable offence) </w:t>
      </w:r>
      <w:r w:rsidRPr="00763B59">
        <w:rPr>
          <w:rFonts w:asciiTheme="minorHAnsi" w:hAnsiTheme="minorHAnsi" w:cstheme="minorHAnsi"/>
        </w:rPr>
        <w:t xml:space="preserve">and is capable of being used in relation to a defendant who is unfit to plead or unfit to be tried, by reason of mental illness or intellectual disability.  However </w:t>
      </w:r>
      <w:r w:rsidR="009440F6" w:rsidRPr="00763B59">
        <w:rPr>
          <w:rFonts w:asciiTheme="minorHAnsi" w:hAnsiTheme="minorHAnsi" w:cstheme="minorHAnsi"/>
        </w:rPr>
        <w:t>in two decisions of the Supreme Court of South Australia</w:t>
      </w:r>
      <w:r w:rsidRPr="00763B59">
        <w:rPr>
          <w:rFonts w:asciiTheme="minorHAnsi" w:hAnsiTheme="minorHAnsi" w:cstheme="minorHAnsi"/>
        </w:rPr>
        <w:t>,</w:t>
      </w:r>
      <w:r w:rsidR="00CA5EAF" w:rsidRPr="00763B59">
        <w:rPr>
          <w:rStyle w:val="Style"/>
          <w:rFonts w:asciiTheme="minorHAnsi" w:hAnsiTheme="minorHAnsi"/>
        </w:rPr>
        <w:footnoteReference w:id="1174"/>
      </w:r>
      <w:r w:rsidR="009440F6" w:rsidRPr="00763B59">
        <w:rPr>
          <w:rFonts w:asciiTheme="minorHAnsi" w:hAnsiTheme="minorHAnsi" w:cstheme="minorHAnsi"/>
        </w:rPr>
        <w:t xml:space="preserve"> </w:t>
      </w:r>
      <w:r w:rsidRPr="00763B59">
        <w:rPr>
          <w:rFonts w:asciiTheme="minorHAnsi" w:hAnsiTheme="minorHAnsi" w:cstheme="minorHAnsi"/>
        </w:rPr>
        <w:t>Gray J has read down</w:t>
      </w:r>
      <w:r w:rsidR="00CA5EAF" w:rsidRPr="00763B59">
        <w:rPr>
          <w:rFonts w:asciiTheme="minorHAnsi" w:hAnsiTheme="minorHAnsi" w:cstheme="minorHAnsi"/>
        </w:rPr>
        <w:t xml:space="preserve"> s 20BQ</w:t>
      </w:r>
      <w:r w:rsidRPr="00763B59">
        <w:rPr>
          <w:rFonts w:asciiTheme="minorHAnsi" w:hAnsiTheme="minorHAnsi" w:cstheme="minorHAnsi"/>
        </w:rPr>
        <w:t>; his Honour held that it</w:t>
      </w:r>
      <w:r w:rsidR="00CA5EAF" w:rsidRPr="00763B59">
        <w:rPr>
          <w:rFonts w:asciiTheme="minorHAnsi" w:hAnsiTheme="minorHAnsi" w:cstheme="minorHAnsi"/>
        </w:rPr>
        <w:t xml:space="preserve"> applies only when no plea has been entered and that it has no application where a defendant is fit to plead.  </w:t>
      </w:r>
      <w:r w:rsidR="00F03B8B" w:rsidRPr="00763B59">
        <w:rPr>
          <w:rFonts w:asciiTheme="minorHAnsi" w:hAnsiTheme="minorHAnsi" w:cstheme="minorHAnsi"/>
        </w:rPr>
        <w:t>Th</w:t>
      </w:r>
      <w:r w:rsidR="00611965" w:rsidRPr="00763B59">
        <w:rPr>
          <w:rFonts w:asciiTheme="minorHAnsi" w:hAnsiTheme="minorHAnsi" w:cstheme="minorHAnsi"/>
        </w:rPr>
        <w:t xml:space="preserve">e correctness of these decisions </w:t>
      </w:r>
      <w:r w:rsidR="00F03B8B" w:rsidRPr="00763B59">
        <w:rPr>
          <w:rFonts w:asciiTheme="minorHAnsi" w:hAnsiTheme="minorHAnsi" w:cstheme="minorHAnsi"/>
        </w:rPr>
        <w:t xml:space="preserve">is open to doubt.  </w:t>
      </w:r>
      <w:r w:rsidR="00493E75" w:rsidRPr="00763B59">
        <w:rPr>
          <w:rFonts w:asciiTheme="minorHAnsi" w:hAnsiTheme="minorHAnsi" w:cstheme="minorHAnsi"/>
        </w:rPr>
        <w:t xml:space="preserve">A strong line of authority in relation to a cognate provision in New South Wales, upon which s 20BQ appears to </w:t>
      </w:r>
      <w:r w:rsidR="00611965" w:rsidRPr="00763B59">
        <w:rPr>
          <w:rFonts w:asciiTheme="minorHAnsi" w:hAnsiTheme="minorHAnsi" w:cstheme="minorHAnsi"/>
        </w:rPr>
        <w:t xml:space="preserve">have </w:t>
      </w:r>
      <w:r w:rsidR="00493E75" w:rsidRPr="00763B59">
        <w:rPr>
          <w:rFonts w:asciiTheme="minorHAnsi" w:hAnsiTheme="minorHAnsi" w:cstheme="minorHAnsi"/>
        </w:rPr>
        <w:t>be</w:t>
      </w:r>
      <w:r w:rsidR="00611965" w:rsidRPr="00763B59">
        <w:rPr>
          <w:rFonts w:asciiTheme="minorHAnsi" w:hAnsiTheme="minorHAnsi" w:cstheme="minorHAnsi"/>
        </w:rPr>
        <w:t>en</w:t>
      </w:r>
      <w:r w:rsidR="00493E75" w:rsidRPr="00763B59">
        <w:rPr>
          <w:rFonts w:asciiTheme="minorHAnsi" w:hAnsiTheme="minorHAnsi" w:cstheme="minorHAnsi"/>
        </w:rPr>
        <w:t xml:space="preserve"> based, holds that the provision may be used at any stage of a summary proceeding and may be used in an appropriate case in relation to a person suffering from mental illness or intellectual disability, including a person who is unfit to plead or unfit to be tried.</w:t>
      </w:r>
      <w:r w:rsidR="00452EB7" w:rsidRPr="00763B59">
        <w:rPr>
          <w:rStyle w:val="Style"/>
          <w:rFonts w:asciiTheme="minorHAnsi" w:hAnsiTheme="minorHAnsi"/>
        </w:rPr>
        <w:footnoteReference w:id="1175"/>
      </w:r>
      <w:r w:rsidR="00452EB7" w:rsidRPr="00763B59">
        <w:rPr>
          <w:rFonts w:asciiTheme="minorHAnsi" w:hAnsiTheme="minorHAnsi" w:cstheme="minorHAnsi"/>
        </w:rPr>
        <w:t xml:space="preserve">  </w:t>
      </w:r>
      <w:r w:rsidR="00F03B8B" w:rsidRPr="00763B59">
        <w:rPr>
          <w:rFonts w:asciiTheme="minorHAnsi" w:hAnsiTheme="minorHAnsi" w:cstheme="minorHAnsi"/>
        </w:rPr>
        <w:t>It seems to be at least arguable that s</w:t>
      </w:r>
      <w:r w:rsidR="00452EB7" w:rsidRPr="00763B59">
        <w:rPr>
          <w:rFonts w:asciiTheme="minorHAnsi" w:hAnsiTheme="minorHAnsi" w:cstheme="minorHAnsi"/>
        </w:rPr>
        <w:t xml:space="preserve"> 20BQ </w:t>
      </w:r>
      <w:r w:rsidR="00611965" w:rsidRPr="00763B59">
        <w:rPr>
          <w:rFonts w:asciiTheme="minorHAnsi" w:hAnsiTheme="minorHAnsi" w:cstheme="minorHAnsi"/>
        </w:rPr>
        <w:t xml:space="preserve">is open to a </w:t>
      </w:r>
      <w:r w:rsidR="00452EB7" w:rsidRPr="00763B59">
        <w:rPr>
          <w:rFonts w:asciiTheme="minorHAnsi" w:hAnsiTheme="minorHAnsi" w:cstheme="minorHAnsi"/>
        </w:rPr>
        <w:t>similar constru</w:t>
      </w:r>
      <w:r w:rsidR="00611965" w:rsidRPr="00763B59">
        <w:rPr>
          <w:rFonts w:asciiTheme="minorHAnsi" w:hAnsiTheme="minorHAnsi" w:cstheme="minorHAnsi"/>
        </w:rPr>
        <w:t>ction</w:t>
      </w:r>
      <w:r w:rsidR="00452EB7" w:rsidRPr="00763B59">
        <w:rPr>
          <w:rFonts w:asciiTheme="minorHAnsi" w:hAnsiTheme="minorHAnsi" w:cstheme="minorHAnsi"/>
        </w:rPr>
        <w:t>.</w:t>
      </w:r>
    </w:p>
    <w:p w14:paraId="7DCC47E8" w14:textId="77777777" w:rsidR="00D47557" w:rsidRPr="00763B59" w:rsidRDefault="00D47557" w:rsidP="00EB7F1E">
      <w:pPr>
        <w:spacing w:line="276" w:lineRule="auto"/>
        <w:rPr>
          <w:rFonts w:asciiTheme="minorHAnsi" w:hAnsiTheme="minorHAnsi"/>
        </w:rPr>
      </w:pPr>
    </w:p>
    <w:p w14:paraId="218F045F" w14:textId="77777777" w:rsidR="0038538D" w:rsidRPr="00763B59" w:rsidRDefault="002409C6" w:rsidP="00D3574B">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On any view, t</w:t>
      </w:r>
      <w:r w:rsidR="00617424" w:rsidRPr="00763B59">
        <w:rPr>
          <w:rFonts w:asciiTheme="minorHAnsi" w:hAnsiTheme="minorHAnsi"/>
        </w:rPr>
        <w:t>he power in s</w:t>
      </w:r>
      <w:r w:rsidRPr="00763B59">
        <w:rPr>
          <w:rFonts w:asciiTheme="minorHAnsi" w:hAnsiTheme="minorHAnsi"/>
        </w:rPr>
        <w:t xml:space="preserve"> </w:t>
      </w:r>
      <w:r w:rsidR="00617424" w:rsidRPr="00763B59">
        <w:rPr>
          <w:rFonts w:asciiTheme="minorHAnsi" w:hAnsiTheme="minorHAnsi"/>
        </w:rPr>
        <w:t xml:space="preserve">20BQ </w:t>
      </w:r>
      <w:r w:rsidRPr="00763B59">
        <w:rPr>
          <w:rFonts w:asciiTheme="minorHAnsi" w:hAnsiTheme="minorHAnsi"/>
        </w:rPr>
        <w:t xml:space="preserve">provides an expeditious procedure for dealing with a case in which a person appears to be unfit to plead by reason of </w:t>
      </w:r>
      <w:r w:rsidR="009E0146" w:rsidRPr="00763B59">
        <w:rPr>
          <w:rFonts w:asciiTheme="minorHAnsi" w:hAnsiTheme="minorHAnsi"/>
        </w:rPr>
        <w:t>mental illness or intellectual disability.</w:t>
      </w:r>
    </w:p>
    <w:p w14:paraId="48479D28" w14:textId="77777777" w:rsidR="0038538D" w:rsidRPr="00763B59" w:rsidRDefault="0038538D" w:rsidP="00EB7F1E">
      <w:pPr>
        <w:pStyle w:val="ListParagraph"/>
        <w:rPr>
          <w:rFonts w:asciiTheme="minorHAnsi" w:hAnsiTheme="minorHAnsi"/>
        </w:rPr>
      </w:pPr>
    </w:p>
    <w:p w14:paraId="112B6B88" w14:textId="625255AA" w:rsidR="000E3363" w:rsidRPr="00763B59" w:rsidRDefault="0038538D">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The section </w:t>
      </w:r>
      <w:r w:rsidR="000E3363" w:rsidRPr="00763B59">
        <w:rPr>
          <w:rFonts w:asciiTheme="minorHAnsi" w:hAnsiTheme="minorHAnsi"/>
        </w:rPr>
        <w:t>does not require any causal link between the mental illness or intellectual disability and the offending.</w:t>
      </w:r>
      <w:r w:rsidR="00F03B8B" w:rsidRPr="00763B59">
        <w:rPr>
          <w:rFonts w:asciiTheme="minorHAnsi" w:hAnsiTheme="minorHAnsi"/>
        </w:rPr>
        <w:t xml:space="preserve">  The focus is on the condition of the defendant at the time of the proceedings.</w:t>
      </w:r>
    </w:p>
    <w:p w14:paraId="49C8F156" w14:textId="77777777" w:rsidR="000E3363" w:rsidRPr="00763B59" w:rsidRDefault="000E3363" w:rsidP="000E3363">
      <w:pPr>
        <w:spacing w:line="276" w:lineRule="auto"/>
        <w:rPr>
          <w:rFonts w:asciiTheme="minorHAnsi" w:hAnsiTheme="minorHAnsi"/>
        </w:rPr>
      </w:pPr>
    </w:p>
    <w:p w14:paraId="70C5E81E" w14:textId="2F102E3D" w:rsidR="000E3363" w:rsidRPr="00763B59" w:rsidRDefault="000E3363" w:rsidP="000E3363">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Section 20BQ </w:t>
      </w:r>
      <w:r w:rsidR="00872D35" w:rsidRPr="00763B59">
        <w:rPr>
          <w:rFonts w:asciiTheme="minorHAnsi" w:hAnsiTheme="minorHAnsi"/>
        </w:rPr>
        <w:t xml:space="preserve">has been </w:t>
      </w:r>
      <w:r w:rsidRPr="00763B59">
        <w:rPr>
          <w:rFonts w:asciiTheme="minorHAnsi" w:hAnsiTheme="minorHAnsi"/>
        </w:rPr>
        <w:t xml:space="preserve">described as requiring a two-stage process </w:t>
      </w:r>
      <w:r w:rsidR="00872D35" w:rsidRPr="00763B59">
        <w:rPr>
          <w:rFonts w:asciiTheme="minorHAnsi" w:hAnsiTheme="minorHAnsi"/>
        </w:rPr>
        <w:t>(</w:t>
      </w:r>
      <w:r w:rsidRPr="00763B59">
        <w:rPr>
          <w:rFonts w:asciiTheme="minorHAnsi" w:hAnsiTheme="minorHAnsi"/>
        </w:rPr>
        <w:t>similar to the process under s 19B</w:t>
      </w:r>
      <w:r w:rsidR="00872D35" w:rsidRPr="00763B59">
        <w:rPr>
          <w:rFonts w:asciiTheme="minorHAnsi" w:hAnsiTheme="minorHAnsi"/>
        </w:rPr>
        <w:t>):</w:t>
      </w:r>
      <w:r w:rsidRPr="00763B59">
        <w:rPr>
          <w:rFonts w:asciiTheme="minorHAnsi" w:hAnsiTheme="minorHAnsi"/>
        </w:rPr>
        <w:t xml:space="preserve"> </w:t>
      </w:r>
      <w:r w:rsidR="00611965" w:rsidRPr="00763B59">
        <w:rPr>
          <w:rFonts w:asciiTheme="minorHAnsi" w:hAnsiTheme="minorHAnsi"/>
        </w:rPr>
        <w:t xml:space="preserve">first </w:t>
      </w:r>
      <w:r w:rsidRPr="00763B59">
        <w:rPr>
          <w:rFonts w:asciiTheme="minorHAnsi" w:hAnsiTheme="minorHAnsi"/>
        </w:rPr>
        <w:t xml:space="preserve">considering whether the person is suffering from a mental illness </w:t>
      </w:r>
      <w:r w:rsidR="00611965" w:rsidRPr="00763B59">
        <w:rPr>
          <w:rFonts w:asciiTheme="minorHAnsi" w:hAnsiTheme="minorHAnsi"/>
        </w:rPr>
        <w:t>or intellectual disability</w:t>
      </w:r>
      <w:r w:rsidR="00872D35" w:rsidRPr="00763B59">
        <w:rPr>
          <w:rFonts w:asciiTheme="minorHAnsi" w:hAnsiTheme="minorHAnsi"/>
        </w:rPr>
        <w:t>;</w:t>
      </w:r>
      <w:r w:rsidR="00611965" w:rsidRPr="00763B59">
        <w:rPr>
          <w:rFonts w:asciiTheme="minorHAnsi" w:hAnsiTheme="minorHAnsi"/>
        </w:rPr>
        <w:t xml:space="preserve"> </w:t>
      </w:r>
      <w:r w:rsidRPr="00763B59">
        <w:rPr>
          <w:rFonts w:asciiTheme="minorHAnsi" w:hAnsiTheme="minorHAnsi"/>
        </w:rPr>
        <w:t xml:space="preserve">and secondly </w:t>
      </w:r>
      <w:r w:rsidR="00611965" w:rsidRPr="00763B59">
        <w:rPr>
          <w:rFonts w:asciiTheme="minorHAnsi" w:hAnsiTheme="minorHAnsi"/>
        </w:rPr>
        <w:t xml:space="preserve">considering </w:t>
      </w:r>
      <w:r w:rsidRPr="00763B59">
        <w:rPr>
          <w:rFonts w:asciiTheme="minorHAnsi" w:hAnsiTheme="minorHAnsi"/>
        </w:rPr>
        <w:t>whether it would be more appropriate to deal with the person under the section.</w:t>
      </w:r>
      <w:r w:rsidRPr="00763B59">
        <w:rPr>
          <w:rStyle w:val="Style"/>
          <w:rFonts w:asciiTheme="minorHAnsi" w:hAnsiTheme="minorHAnsi"/>
        </w:rPr>
        <w:footnoteReference w:id="1176"/>
      </w:r>
    </w:p>
    <w:p w14:paraId="1DC07BDF" w14:textId="77777777" w:rsidR="009E0146" w:rsidRPr="00763B59" w:rsidRDefault="009E0146" w:rsidP="00EB7F1E">
      <w:pPr>
        <w:pStyle w:val="ListParagraph"/>
        <w:rPr>
          <w:rFonts w:asciiTheme="minorHAnsi" w:hAnsiTheme="minorHAnsi"/>
        </w:rPr>
      </w:pPr>
    </w:p>
    <w:p w14:paraId="4C1B9A12" w14:textId="0C2BA9D3" w:rsidR="009E0146" w:rsidRPr="00763B59" w:rsidRDefault="009E0146" w:rsidP="009E0146">
      <w:pPr>
        <w:pStyle w:val="ListParagraph"/>
        <w:numPr>
          <w:ilvl w:val="0"/>
          <w:numId w:val="7"/>
        </w:numPr>
        <w:spacing w:line="276" w:lineRule="auto"/>
        <w:ind w:left="425" w:hanging="425"/>
        <w:rPr>
          <w:rFonts w:asciiTheme="minorHAnsi" w:hAnsiTheme="minorHAnsi"/>
        </w:rPr>
      </w:pPr>
      <w:r w:rsidRPr="00763B59">
        <w:rPr>
          <w:rFonts w:asciiTheme="minorHAnsi" w:hAnsiTheme="minorHAnsi" w:cstheme="minorHAnsi"/>
        </w:rPr>
        <w:t>Laws in some States and Territories provide for a determination of unfitness in summary proceedings.</w:t>
      </w:r>
      <w:r w:rsidRPr="00763B59">
        <w:rPr>
          <w:rStyle w:val="Style"/>
          <w:rFonts w:asciiTheme="minorHAnsi" w:hAnsiTheme="minorHAnsi"/>
        </w:rPr>
        <w:footnoteReference w:id="1177"/>
      </w:r>
      <w:r w:rsidRPr="00763B59">
        <w:rPr>
          <w:rFonts w:asciiTheme="minorHAnsi" w:hAnsiTheme="minorHAnsi" w:cstheme="minorHAnsi"/>
        </w:rPr>
        <w:t xml:space="preserve">  However, in view of the enactment of s 20BQ, it is </w:t>
      </w:r>
      <w:r w:rsidR="001E4D4C" w:rsidRPr="00763B59">
        <w:rPr>
          <w:rFonts w:asciiTheme="minorHAnsi" w:hAnsiTheme="minorHAnsi" w:cstheme="minorHAnsi"/>
        </w:rPr>
        <w:t>uncertain</w:t>
      </w:r>
      <w:r w:rsidRPr="00763B59">
        <w:rPr>
          <w:rFonts w:asciiTheme="minorHAnsi" w:hAnsiTheme="minorHAnsi" w:cstheme="minorHAnsi"/>
        </w:rPr>
        <w:t xml:space="preserve"> whether such laws </w:t>
      </w:r>
      <w:r w:rsidR="001E4D4C" w:rsidRPr="00763B59">
        <w:rPr>
          <w:rFonts w:asciiTheme="minorHAnsi" w:hAnsiTheme="minorHAnsi" w:cstheme="minorHAnsi"/>
        </w:rPr>
        <w:t>are</w:t>
      </w:r>
      <w:r w:rsidRPr="00763B59">
        <w:rPr>
          <w:rFonts w:asciiTheme="minorHAnsi" w:hAnsiTheme="minorHAnsi" w:cstheme="minorHAnsi"/>
        </w:rPr>
        <w:t xml:space="preserve"> applied as surrogate federal law to proceedings for Commonwealth offences by s 68 or s 79 of the </w:t>
      </w:r>
      <w:r w:rsidRPr="00763B59">
        <w:rPr>
          <w:rFonts w:asciiTheme="minorHAnsi" w:hAnsiTheme="minorHAnsi" w:cstheme="minorHAnsi"/>
          <w:i/>
          <w:iCs/>
        </w:rPr>
        <w:t>Judiciary Act 1903</w:t>
      </w:r>
      <w:r w:rsidRPr="00763B59">
        <w:rPr>
          <w:rFonts w:asciiTheme="minorHAnsi" w:hAnsiTheme="minorHAnsi" w:cstheme="minorHAnsi"/>
        </w:rPr>
        <w:t xml:space="preserve"> (Cth).</w:t>
      </w:r>
      <w:r w:rsidRPr="00763B59">
        <w:rPr>
          <w:rStyle w:val="Style"/>
          <w:rFonts w:asciiTheme="minorHAnsi" w:hAnsiTheme="minorHAnsi"/>
        </w:rPr>
        <w:footnoteReference w:id="1178"/>
      </w:r>
    </w:p>
    <w:p w14:paraId="59F2777C" w14:textId="77777777" w:rsidR="009E0146" w:rsidRPr="00763B59" w:rsidRDefault="009E0146" w:rsidP="009E0146">
      <w:pPr>
        <w:pStyle w:val="ListParagraph"/>
        <w:rPr>
          <w:rFonts w:asciiTheme="minorHAnsi" w:hAnsiTheme="minorHAnsi"/>
        </w:rPr>
      </w:pPr>
    </w:p>
    <w:p w14:paraId="3EE5CAF1" w14:textId="1102D3AC" w:rsidR="00A93992" w:rsidRPr="00763B59" w:rsidRDefault="00F969CA"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As to post</w:t>
      </w:r>
      <w:r w:rsidR="00C738F8" w:rsidRPr="00763B59">
        <w:rPr>
          <w:rFonts w:asciiTheme="minorHAnsi" w:hAnsiTheme="minorHAnsi"/>
        </w:rPr>
        <w:t>-</w:t>
      </w:r>
      <w:r w:rsidRPr="00763B59">
        <w:rPr>
          <w:rFonts w:asciiTheme="minorHAnsi" w:hAnsiTheme="minorHAnsi"/>
        </w:rPr>
        <w:t>conviction orders s</w:t>
      </w:r>
      <w:r w:rsidR="00A93992" w:rsidRPr="00763B59">
        <w:rPr>
          <w:rFonts w:asciiTheme="minorHAnsi" w:hAnsiTheme="minorHAnsi"/>
        </w:rPr>
        <w:t>ee “</w:t>
      </w:r>
      <w:r w:rsidR="00A93992" w:rsidRPr="00763B59">
        <w:rPr>
          <w:rFonts w:asciiTheme="minorHAnsi" w:hAnsiTheme="minorHAnsi"/>
        </w:rPr>
        <w:fldChar w:fldCharType="begin"/>
      </w:r>
      <w:r w:rsidR="00A93992" w:rsidRPr="00763B59">
        <w:rPr>
          <w:rFonts w:asciiTheme="minorHAnsi" w:hAnsiTheme="minorHAnsi"/>
        </w:rPr>
        <w:instrText xml:space="preserve"> REF _Ref485743945 \r \h  \* MERGEFORMAT </w:instrText>
      </w:r>
      <w:r w:rsidR="00A93992" w:rsidRPr="00763B59">
        <w:rPr>
          <w:rFonts w:asciiTheme="minorHAnsi" w:hAnsiTheme="minorHAnsi"/>
        </w:rPr>
      </w:r>
      <w:r w:rsidR="00A93992" w:rsidRPr="00763B59">
        <w:rPr>
          <w:rFonts w:asciiTheme="minorHAnsi" w:hAnsiTheme="minorHAnsi"/>
        </w:rPr>
        <w:fldChar w:fldCharType="separate"/>
      </w:r>
      <w:r w:rsidR="00D44BCF">
        <w:rPr>
          <w:rFonts w:asciiTheme="minorHAnsi" w:hAnsiTheme="minorHAnsi"/>
        </w:rPr>
        <w:t>8.6</w:t>
      </w:r>
      <w:r w:rsidR="00A93992" w:rsidRPr="00763B59">
        <w:rPr>
          <w:rFonts w:asciiTheme="minorHAnsi" w:hAnsiTheme="minorHAnsi"/>
        </w:rPr>
        <w:fldChar w:fldCharType="end"/>
      </w:r>
      <w:r w:rsidR="00A93992" w:rsidRPr="00763B59">
        <w:rPr>
          <w:rFonts w:asciiTheme="minorHAnsi" w:hAnsiTheme="minorHAnsi"/>
        </w:rPr>
        <w:t xml:space="preserve"> </w:t>
      </w:r>
      <w:r w:rsidR="00A93992" w:rsidRPr="00763B59">
        <w:rPr>
          <w:rFonts w:asciiTheme="minorHAnsi" w:hAnsiTheme="minorHAnsi"/>
        </w:rPr>
        <w:fldChar w:fldCharType="begin"/>
      </w:r>
      <w:r w:rsidR="00A93992" w:rsidRPr="00763B59">
        <w:rPr>
          <w:rFonts w:asciiTheme="minorHAnsi" w:hAnsiTheme="minorHAnsi"/>
        </w:rPr>
        <w:instrText xml:space="preserve"> REF _Ref485743945 \h  \* MERGEFORMAT </w:instrText>
      </w:r>
      <w:r w:rsidR="00A93992" w:rsidRPr="00763B59">
        <w:rPr>
          <w:rFonts w:asciiTheme="minorHAnsi" w:hAnsiTheme="minorHAnsi"/>
        </w:rPr>
      </w:r>
      <w:r w:rsidR="00A93992" w:rsidRPr="00763B59">
        <w:rPr>
          <w:rFonts w:asciiTheme="minorHAnsi" w:hAnsiTheme="minorHAnsi"/>
        </w:rPr>
        <w:fldChar w:fldCharType="separate"/>
      </w:r>
      <w:r w:rsidR="00D44BCF" w:rsidRPr="00D44BCF">
        <w:rPr>
          <w:rFonts w:asciiTheme="minorHAnsi" w:hAnsiTheme="minorHAnsi"/>
        </w:rPr>
        <w:t>Disposition of persons suffering from</w:t>
      </w:r>
      <w:r w:rsidR="00D44BCF" w:rsidRPr="00D44BCF">
        <w:rPr>
          <w:rStyle w:val="Strong"/>
          <w:rFonts w:ascii="Calibri" w:hAnsi="Calibri"/>
          <w:b w:val="0"/>
        </w:rPr>
        <w:t xml:space="preserve"> mental illness/intellectual disability </w:t>
      </w:r>
      <w:r w:rsidR="00A93992" w:rsidRPr="00763B59">
        <w:rPr>
          <w:rFonts w:asciiTheme="minorHAnsi" w:hAnsiTheme="minorHAnsi"/>
        </w:rPr>
        <w:fldChar w:fldCharType="end"/>
      </w:r>
      <w:r w:rsidR="00A93992" w:rsidRPr="00763B59">
        <w:rPr>
          <w:rFonts w:asciiTheme="minorHAnsi" w:hAnsiTheme="minorHAnsi"/>
        </w:rPr>
        <w:t>” below.</w:t>
      </w:r>
    </w:p>
    <w:p w14:paraId="2E6E30F4" w14:textId="77777777" w:rsidR="00017737" w:rsidRPr="00763B59" w:rsidRDefault="00017737" w:rsidP="00EB7F1E">
      <w:pPr>
        <w:pStyle w:val="ListParagraph"/>
        <w:spacing w:line="276" w:lineRule="auto"/>
        <w:ind w:left="425"/>
        <w:rPr>
          <w:rFonts w:asciiTheme="minorHAnsi" w:hAnsiTheme="minorHAnsi"/>
        </w:rPr>
      </w:pPr>
    </w:p>
    <w:p w14:paraId="6C478904" w14:textId="5603DB5E" w:rsidR="004A18A8" w:rsidRPr="00763B59" w:rsidRDefault="004A18A8" w:rsidP="00407B97">
      <w:pPr>
        <w:pStyle w:val="Heading2"/>
        <w:rPr>
          <w:rStyle w:val="Strong"/>
          <w:b/>
        </w:rPr>
      </w:pPr>
      <w:bookmarkStart w:id="3554" w:name="_Ref492479120"/>
      <w:bookmarkStart w:id="3555" w:name="_Ref492479127"/>
      <w:bookmarkStart w:id="3556" w:name="_Toc33602983"/>
      <w:bookmarkStart w:id="3557" w:name="_Ref485725877"/>
      <w:bookmarkStart w:id="3558" w:name="_Ref485725881"/>
      <w:r w:rsidRPr="00763B59">
        <w:rPr>
          <w:rStyle w:val="Strong"/>
          <w:b/>
        </w:rPr>
        <w:t>Dispositions following acquittal because of mental illness</w:t>
      </w:r>
      <w:bookmarkEnd w:id="3554"/>
      <w:bookmarkEnd w:id="3555"/>
      <w:bookmarkEnd w:id="3556"/>
    </w:p>
    <w:p w14:paraId="315176B9" w14:textId="77777777" w:rsidR="00CA2DF3" w:rsidRPr="00763B59" w:rsidRDefault="00CA2DF3" w:rsidP="00EB7F1E">
      <w:pPr>
        <w:pStyle w:val="NormalIndent"/>
        <w:keepNext/>
        <w:widowControl w:val="0"/>
        <w:spacing w:line="276" w:lineRule="auto"/>
        <w:ind w:left="720"/>
        <w:rPr>
          <w:rFonts w:asciiTheme="minorHAnsi" w:hAnsiTheme="minorHAnsi"/>
        </w:rPr>
      </w:pPr>
    </w:p>
    <w:p w14:paraId="4FCF8264" w14:textId="1B8ABAD7" w:rsidR="004A18A8" w:rsidRPr="00763B59" w:rsidRDefault="00CA2DF3">
      <w:pPr>
        <w:pStyle w:val="Heading3"/>
      </w:pPr>
      <w:bookmarkStart w:id="3559" w:name="_Toc33602984"/>
      <w:r w:rsidRPr="00763B59">
        <w:t>Power to make an order</w:t>
      </w:r>
      <w:bookmarkEnd w:id="3559"/>
    </w:p>
    <w:p w14:paraId="342E9436" w14:textId="77777777" w:rsidR="00CA2DF3" w:rsidRPr="00763B59" w:rsidRDefault="00CA2DF3" w:rsidP="00EB7F1E">
      <w:pPr>
        <w:pStyle w:val="NormalIndent"/>
        <w:keepNext/>
        <w:widowControl w:val="0"/>
        <w:spacing w:line="276" w:lineRule="auto"/>
        <w:ind w:left="720"/>
        <w:rPr>
          <w:rFonts w:asciiTheme="minorHAnsi" w:hAnsiTheme="minorHAnsi"/>
        </w:rPr>
      </w:pPr>
    </w:p>
    <w:p w14:paraId="6CF052AD" w14:textId="22DE4D47" w:rsidR="00AA2E02" w:rsidRPr="00763B59" w:rsidRDefault="00AA2E02"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Section 7.3 of the </w:t>
      </w:r>
      <w:r w:rsidRPr="00763B59">
        <w:rPr>
          <w:rFonts w:asciiTheme="minorHAnsi" w:hAnsiTheme="minorHAnsi"/>
          <w:i/>
          <w:iCs/>
        </w:rPr>
        <w:t>Criminal Code</w:t>
      </w:r>
      <w:r w:rsidRPr="00763B59">
        <w:rPr>
          <w:rFonts w:asciiTheme="minorHAnsi" w:hAnsiTheme="minorHAnsi"/>
        </w:rPr>
        <w:t xml:space="preserve"> (Cth) creates the defence of mental impairment that applies to all Commonwealth offences, whether a matter is prosecuted summarily or on indictment.  Mental impairment is defined to include senility, intellectual disability, mental illness,</w:t>
      </w:r>
      <w:r w:rsidR="00642077" w:rsidRPr="00763B59">
        <w:rPr>
          <w:rStyle w:val="Style"/>
          <w:rFonts w:asciiTheme="minorHAnsi" w:hAnsiTheme="minorHAnsi"/>
        </w:rPr>
        <w:footnoteReference w:id="1179"/>
      </w:r>
      <w:r w:rsidRPr="00763B59">
        <w:rPr>
          <w:rFonts w:asciiTheme="minorHAnsi" w:hAnsiTheme="minorHAnsi"/>
        </w:rPr>
        <w:t xml:space="preserve"> brain damage and severe personality disorder</w:t>
      </w:r>
      <w:r w:rsidR="00FD2F48" w:rsidRPr="00763B59">
        <w:rPr>
          <w:rFonts w:asciiTheme="minorHAnsi" w:hAnsiTheme="minorHAnsi"/>
        </w:rPr>
        <w:t xml:space="preserve"> (</w:t>
      </w:r>
      <w:r w:rsidR="00FD2F48" w:rsidRPr="00763B59">
        <w:rPr>
          <w:rFonts w:asciiTheme="minorHAnsi" w:hAnsiTheme="minorHAnsi"/>
          <w:i/>
          <w:iCs/>
        </w:rPr>
        <w:t>Criminal Code</w:t>
      </w:r>
      <w:r w:rsidR="00FD2F48" w:rsidRPr="00763B59">
        <w:rPr>
          <w:rFonts w:asciiTheme="minorHAnsi" w:hAnsiTheme="minorHAnsi"/>
        </w:rPr>
        <w:t>, s 7.3(8))</w:t>
      </w:r>
      <w:r w:rsidRPr="00763B59">
        <w:rPr>
          <w:rFonts w:asciiTheme="minorHAnsi" w:hAnsiTheme="minorHAnsi"/>
        </w:rPr>
        <w:t>.</w:t>
      </w:r>
      <w:r w:rsidR="004D2983" w:rsidRPr="00763B59">
        <w:rPr>
          <w:rFonts w:asciiTheme="minorHAnsi" w:hAnsiTheme="minorHAnsi"/>
        </w:rPr>
        <w:t xml:space="preserve"> </w:t>
      </w:r>
    </w:p>
    <w:p w14:paraId="49B431FD" w14:textId="77777777" w:rsidR="00FD2F48" w:rsidRPr="00763B59" w:rsidRDefault="00FD2F48" w:rsidP="00EB7F1E">
      <w:pPr>
        <w:spacing w:line="276" w:lineRule="auto"/>
        <w:rPr>
          <w:rFonts w:asciiTheme="minorHAnsi" w:hAnsiTheme="minorHAnsi"/>
        </w:rPr>
      </w:pPr>
    </w:p>
    <w:p w14:paraId="44E45F59" w14:textId="7CF95782" w:rsidR="00AA2E02" w:rsidRPr="00763B59" w:rsidRDefault="007E6020"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The provision requires that the person was suffering from a mental impairment at the time of carrying out the conduct constituting the offence, and this had the effect that:</w:t>
      </w:r>
    </w:p>
    <w:p w14:paraId="6B2B590D" w14:textId="461B8538" w:rsidR="007E6020" w:rsidRPr="00763B59" w:rsidRDefault="007E6020" w:rsidP="00EB7F1E">
      <w:pPr>
        <w:pStyle w:val="ListParagraph"/>
        <w:numPr>
          <w:ilvl w:val="1"/>
          <w:numId w:val="36"/>
        </w:numPr>
        <w:spacing w:line="276" w:lineRule="auto"/>
        <w:ind w:left="993" w:right="28" w:hanging="142"/>
        <w:rPr>
          <w:rFonts w:asciiTheme="minorHAnsi" w:hAnsiTheme="minorHAnsi"/>
        </w:rPr>
      </w:pPr>
      <w:r w:rsidRPr="00763B59">
        <w:rPr>
          <w:rFonts w:asciiTheme="minorHAnsi" w:hAnsiTheme="minorHAnsi"/>
        </w:rPr>
        <w:t>the person did not know the nature and quality of the conduct;</w:t>
      </w:r>
    </w:p>
    <w:p w14:paraId="787ED51F" w14:textId="1891518D" w:rsidR="007E6020" w:rsidRPr="00763B59" w:rsidRDefault="007E6020" w:rsidP="00EB7F1E">
      <w:pPr>
        <w:pStyle w:val="ListParagraph"/>
        <w:numPr>
          <w:ilvl w:val="1"/>
          <w:numId w:val="36"/>
        </w:numPr>
        <w:spacing w:line="276" w:lineRule="auto"/>
        <w:ind w:left="993" w:right="28" w:hanging="142"/>
        <w:rPr>
          <w:rFonts w:asciiTheme="minorHAnsi" w:hAnsiTheme="minorHAnsi"/>
        </w:rPr>
      </w:pPr>
      <w:r w:rsidRPr="00763B59">
        <w:rPr>
          <w:rFonts w:asciiTheme="minorHAnsi" w:hAnsiTheme="minorHAnsi"/>
        </w:rPr>
        <w:t>the person did not know that the conduct was wrong; or</w:t>
      </w:r>
    </w:p>
    <w:p w14:paraId="76F10574" w14:textId="3C7612C5" w:rsidR="007E6020" w:rsidRPr="00763B59" w:rsidRDefault="007E6020" w:rsidP="00EB7F1E">
      <w:pPr>
        <w:pStyle w:val="ListParagraph"/>
        <w:numPr>
          <w:ilvl w:val="1"/>
          <w:numId w:val="36"/>
        </w:numPr>
        <w:spacing w:line="276" w:lineRule="auto"/>
        <w:ind w:left="993" w:right="28" w:hanging="142"/>
        <w:rPr>
          <w:rFonts w:asciiTheme="minorHAnsi" w:hAnsiTheme="minorHAnsi"/>
        </w:rPr>
      </w:pPr>
      <w:r w:rsidRPr="00763B59">
        <w:rPr>
          <w:rFonts w:asciiTheme="minorHAnsi" w:hAnsiTheme="minorHAnsi"/>
        </w:rPr>
        <w:t>the person was unable to control the condu</w:t>
      </w:r>
      <w:r w:rsidR="004A0D79" w:rsidRPr="00763B59">
        <w:rPr>
          <w:rFonts w:asciiTheme="minorHAnsi" w:hAnsiTheme="minorHAnsi"/>
        </w:rPr>
        <w:t>c</w:t>
      </w:r>
      <w:r w:rsidRPr="00763B59">
        <w:rPr>
          <w:rFonts w:asciiTheme="minorHAnsi" w:hAnsiTheme="minorHAnsi"/>
        </w:rPr>
        <w:t>t.</w:t>
      </w:r>
    </w:p>
    <w:p w14:paraId="1A27DD67" w14:textId="77777777" w:rsidR="004A0D79" w:rsidRPr="00763B59" w:rsidRDefault="004A0D79" w:rsidP="00EB7F1E">
      <w:pPr>
        <w:spacing w:line="276" w:lineRule="auto"/>
        <w:rPr>
          <w:rFonts w:asciiTheme="minorHAnsi" w:hAnsiTheme="minorHAnsi"/>
        </w:rPr>
      </w:pPr>
    </w:p>
    <w:p w14:paraId="0C45D5EB" w14:textId="5B5865DA" w:rsidR="00FF68C8" w:rsidRPr="00763B59" w:rsidRDefault="00A40038" w:rsidP="00FD3210">
      <w:pPr>
        <w:pStyle w:val="ListParagraph"/>
        <w:numPr>
          <w:ilvl w:val="0"/>
          <w:numId w:val="7"/>
        </w:numPr>
        <w:spacing w:line="276" w:lineRule="auto"/>
        <w:ind w:left="425" w:hanging="425"/>
        <w:rPr>
          <w:rStyle w:val="ssleftalign"/>
          <w:rFonts w:asciiTheme="minorHAnsi" w:hAnsiTheme="minorHAnsi"/>
        </w:rPr>
      </w:pPr>
      <w:r w:rsidRPr="00763B59">
        <w:rPr>
          <w:rFonts w:asciiTheme="minorHAnsi" w:hAnsiTheme="minorHAnsi" w:cstheme="minorHAnsi"/>
        </w:rPr>
        <w:t>In its report explai</w:t>
      </w:r>
      <w:r w:rsidR="00D44F1C" w:rsidRPr="00763B59">
        <w:rPr>
          <w:rFonts w:asciiTheme="minorHAnsi" w:hAnsiTheme="minorHAnsi" w:cstheme="minorHAnsi"/>
        </w:rPr>
        <w:t>n</w:t>
      </w:r>
      <w:r w:rsidRPr="00763B59">
        <w:rPr>
          <w:rFonts w:asciiTheme="minorHAnsi" w:hAnsiTheme="minorHAnsi" w:cstheme="minorHAnsi"/>
        </w:rPr>
        <w:t xml:space="preserve">ing the rationale for </w:t>
      </w:r>
      <w:r w:rsidR="00642077" w:rsidRPr="00763B59">
        <w:rPr>
          <w:rFonts w:asciiTheme="minorHAnsi" w:hAnsiTheme="minorHAnsi" w:cstheme="minorHAnsi"/>
        </w:rPr>
        <w:t xml:space="preserve">relevant provisions of </w:t>
      </w:r>
      <w:r w:rsidRPr="00763B59">
        <w:rPr>
          <w:rFonts w:asciiTheme="minorHAnsi" w:hAnsiTheme="minorHAnsi" w:cstheme="minorHAnsi"/>
        </w:rPr>
        <w:t xml:space="preserve">the </w:t>
      </w:r>
      <w:r w:rsidRPr="00763B59">
        <w:rPr>
          <w:rFonts w:asciiTheme="minorHAnsi" w:hAnsiTheme="minorHAnsi" w:cstheme="minorHAnsi"/>
          <w:i/>
          <w:iCs/>
        </w:rPr>
        <w:t>Criminal Code</w:t>
      </w:r>
      <w:r w:rsidRPr="00763B59">
        <w:rPr>
          <w:rFonts w:asciiTheme="minorHAnsi" w:hAnsiTheme="minorHAnsi" w:cstheme="minorHAnsi"/>
        </w:rPr>
        <w:t xml:space="preserve">, the Criminal </w:t>
      </w:r>
      <w:r w:rsidR="00213064" w:rsidRPr="00763B59">
        <w:rPr>
          <w:rFonts w:asciiTheme="minorHAnsi" w:hAnsiTheme="minorHAnsi" w:cstheme="minorHAnsi"/>
        </w:rPr>
        <w:t>L</w:t>
      </w:r>
      <w:r w:rsidRPr="00763B59">
        <w:rPr>
          <w:rFonts w:asciiTheme="minorHAnsi" w:hAnsiTheme="minorHAnsi" w:cstheme="minorHAnsi"/>
        </w:rPr>
        <w:t>aw Officer</w:t>
      </w:r>
      <w:r w:rsidR="00AA693C" w:rsidRPr="00763B59">
        <w:rPr>
          <w:rFonts w:asciiTheme="minorHAnsi" w:hAnsiTheme="minorHAnsi" w:cstheme="minorHAnsi"/>
        </w:rPr>
        <w:t>’</w:t>
      </w:r>
      <w:r w:rsidRPr="00763B59">
        <w:rPr>
          <w:rFonts w:asciiTheme="minorHAnsi" w:hAnsiTheme="minorHAnsi" w:cstheme="minorHAnsi"/>
        </w:rPr>
        <w:t>s Commitee noted that Section 7.3 is based on the common law defence of insanity, under the McNaghten rules.  Under those rules, it</w:t>
      </w:r>
      <w:r w:rsidR="00FF68C8" w:rsidRPr="00763B59">
        <w:rPr>
          <w:rFonts w:asciiTheme="minorHAnsi" w:hAnsiTheme="minorHAnsi" w:cstheme="minorHAnsi"/>
        </w:rPr>
        <w:t xml:space="preserve"> </w:t>
      </w:r>
      <w:r w:rsidRPr="00763B59">
        <w:rPr>
          <w:rFonts w:asciiTheme="minorHAnsi" w:hAnsiTheme="minorHAnsi" w:cstheme="minorHAnsi"/>
        </w:rPr>
        <w:t>must be established that the defendant ha</w:t>
      </w:r>
      <w:r w:rsidR="00FF68C8" w:rsidRPr="00763B59">
        <w:rPr>
          <w:rFonts w:asciiTheme="minorHAnsi" w:hAnsiTheme="minorHAnsi" w:cstheme="minorHAnsi"/>
        </w:rPr>
        <w:t>d</w:t>
      </w:r>
      <w:r w:rsidRPr="00763B59">
        <w:rPr>
          <w:rFonts w:asciiTheme="minorHAnsi" w:hAnsiTheme="minorHAnsi" w:cstheme="minorHAnsi"/>
        </w:rPr>
        <w:t xml:space="preserve"> a “disease of the mind”. </w:t>
      </w:r>
      <w:r w:rsidR="00642077" w:rsidRPr="00763B59">
        <w:rPr>
          <w:rFonts w:asciiTheme="minorHAnsi" w:hAnsiTheme="minorHAnsi" w:cstheme="minorHAnsi"/>
        </w:rPr>
        <w:t xml:space="preserve"> </w:t>
      </w:r>
      <w:r w:rsidRPr="00763B59">
        <w:rPr>
          <w:rFonts w:asciiTheme="minorHAnsi" w:hAnsiTheme="minorHAnsi" w:cstheme="minorHAnsi"/>
        </w:rPr>
        <w:t xml:space="preserve">This was a general term </w:t>
      </w:r>
      <w:r w:rsidR="00FF68C8" w:rsidRPr="00763B59">
        <w:rPr>
          <w:rFonts w:asciiTheme="minorHAnsi" w:hAnsiTheme="minorHAnsi" w:cstheme="minorHAnsi"/>
        </w:rPr>
        <w:t xml:space="preserve">– it captured situations where a </w:t>
      </w:r>
      <w:r w:rsidRPr="00763B59">
        <w:rPr>
          <w:rFonts w:asciiTheme="minorHAnsi" w:hAnsiTheme="minorHAnsi" w:cstheme="minorHAnsi"/>
        </w:rPr>
        <w:t>defendant labours un</w:t>
      </w:r>
      <w:r w:rsidR="00FF68C8" w:rsidRPr="00763B59">
        <w:rPr>
          <w:rFonts w:asciiTheme="minorHAnsi" w:hAnsiTheme="minorHAnsi" w:cstheme="minorHAnsi"/>
        </w:rPr>
        <w:t>d</w:t>
      </w:r>
      <w:r w:rsidRPr="00763B59">
        <w:rPr>
          <w:rFonts w:asciiTheme="minorHAnsi" w:hAnsiTheme="minorHAnsi" w:cstheme="minorHAnsi"/>
        </w:rPr>
        <w:t>er “</w:t>
      </w:r>
      <w:r w:rsidRPr="00763B59">
        <w:rPr>
          <w:rStyle w:val="ssleftalign"/>
          <w:rFonts w:asciiTheme="minorHAnsi" w:hAnsiTheme="minorHAnsi" w:cstheme="minorHAnsi"/>
          <w:i/>
          <w:iCs/>
        </w:rPr>
        <w:t>such a defect of reason, from disease of the mind, as not to know the nature and quality of the act he was doing; or, if he did know it, that he did not know he was doing what was wrong</w:t>
      </w:r>
      <w:r w:rsidR="00642077" w:rsidRPr="00763B59">
        <w:rPr>
          <w:rStyle w:val="ssleftalign"/>
          <w:rFonts w:asciiTheme="minorHAnsi" w:hAnsiTheme="minorHAnsi" w:cstheme="minorHAnsi"/>
        </w:rPr>
        <w:t>”.</w:t>
      </w:r>
      <w:r w:rsidR="00642077" w:rsidRPr="00763B59">
        <w:rPr>
          <w:rStyle w:val="Style"/>
          <w:rFonts w:asciiTheme="minorHAnsi" w:hAnsiTheme="minorHAnsi"/>
        </w:rPr>
        <w:footnoteReference w:id="1180"/>
      </w:r>
      <w:r w:rsidR="00642077" w:rsidRPr="00763B59">
        <w:rPr>
          <w:rStyle w:val="ssleftalign"/>
          <w:rFonts w:asciiTheme="minorHAnsi" w:hAnsiTheme="minorHAnsi" w:cstheme="minorHAnsi"/>
        </w:rPr>
        <w:t xml:space="preserve">  </w:t>
      </w:r>
      <w:r w:rsidR="00213064" w:rsidRPr="00763B59">
        <w:rPr>
          <w:rStyle w:val="ssleftalign"/>
          <w:rFonts w:asciiTheme="minorHAnsi" w:hAnsiTheme="minorHAnsi" w:cstheme="minorHAnsi"/>
        </w:rPr>
        <w:t xml:space="preserve">The determination </w:t>
      </w:r>
      <w:r w:rsidR="00AE0CDC" w:rsidRPr="00763B59">
        <w:rPr>
          <w:rStyle w:val="ssleftalign"/>
          <w:rFonts w:asciiTheme="minorHAnsi" w:hAnsiTheme="minorHAnsi" w:cstheme="minorHAnsi"/>
        </w:rPr>
        <w:t>of</w:t>
      </w:r>
      <w:r w:rsidR="00213064" w:rsidRPr="00763B59">
        <w:rPr>
          <w:rStyle w:val="ssleftalign"/>
          <w:rFonts w:asciiTheme="minorHAnsi" w:hAnsiTheme="minorHAnsi" w:cstheme="minorHAnsi"/>
        </w:rPr>
        <w:t xml:space="preserve"> this question has </w:t>
      </w:r>
      <w:r w:rsidR="008465E9" w:rsidRPr="00763B59">
        <w:rPr>
          <w:rStyle w:val="ssleftalign"/>
          <w:rFonts w:asciiTheme="minorHAnsi" w:hAnsiTheme="minorHAnsi" w:cstheme="minorHAnsi"/>
        </w:rPr>
        <w:t>been left to juries.</w:t>
      </w:r>
    </w:p>
    <w:p w14:paraId="0ECABB24" w14:textId="77777777" w:rsidR="004A0D79" w:rsidRPr="00763B59" w:rsidRDefault="004A0D79" w:rsidP="00EB7F1E">
      <w:pPr>
        <w:spacing w:line="276" w:lineRule="auto"/>
        <w:rPr>
          <w:rStyle w:val="ssleftalign"/>
          <w:rFonts w:asciiTheme="minorHAnsi" w:hAnsiTheme="minorHAnsi"/>
        </w:rPr>
      </w:pPr>
    </w:p>
    <w:p w14:paraId="59437568" w14:textId="124AAE65" w:rsidR="004A0D79" w:rsidRPr="00763B59" w:rsidRDefault="004A0D79" w:rsidP="00FD3210">
      <w:pPr>
        <w:pStyle w:val="ListParagraph"/>
        <w:numPr>
          <w:ilvl w:val="0"/>
          <w:numId w:val="7"/>
        </w:numPr>
        <w:spacing w:line="276" w:lineRule="auto"/>
        <w:ind w:left="425" w:hanging="425"/>
        <w:rPr>
          <w:rStyle w:val="ssleftalign"/>
          <w:rFonts w:asciiTheme="minorHAnsi" w:hAnsiTheme="minorHAnsi"/>
        </w:rPr>
      </w:pPr>
      <w:r w:rsidRPr="00763B59">
        <w:rPr>
          <w:rStyle w:val="ssleftalign"/>
          <w:rFonts w:asciiTheme="minorHAnsi" w:hAnsiTheme="minorHAnsi" w:cstheme="minorHAnsi"/>
        </w:rPr>
        <w:t xml:space="preserve">The common law did not require an examination into the precise categorisation of the clinical reason for the disease of the mind. </w:t>
      </w:r>
      <w:r w:rsidR="00643547" w:rsidRPr="00763B59">
        <w:rPr>
          <w:rStyle w:val="ssleftalign"/>
          <w:rFonts w:asciiTheme="minorHAnsi" w:hAnsiTheme="minorHAnsi" w:cstheme="minorHAnsi"/>
        </w:rPr>
        <w:t xml:space="preserve"> </w:t>
      </w:r>
      <w:r w:rsidRPr="00763B59">
        <w:rPr>
          <w:rStyle w:val="ssleftalign"/>
          <w:rFonts w:asciiTheme="minorHAnsi" w:hAnsiTheme="minorHAnsi" w:cstheme="minorHAnsi"/>
        </w:rPr>
        <w:t xml:space="preserve">Times have changed in terms of how human behaviour and mental dysfunction are described. </w:t>
      </w:r>
      <w:r w:rsidR="00643547" w:rsidRPr="00763B59">
        <w:rPr>
          <w:rStyle w:val="ssleftalign"/>
          <w:rFonts w:asciiTheme="minorHAnsi" w:hAnsiTheme="minorHAnsi" w:cstheme="minorHAnsi"/>
        </w:rPr>
        <w:t xml:space="preserve"> </w:t>
      </w:r>
      <w:r w:rsidRPr="00763B59">
        <w:rPr>
          <w:rStyle w:val="ssleftalign"/>
          <w:rFonts w:asciiTheme="minorHAnsi" w:hAnsiTheme="minorHAnsi" w:cstheme="minorHAnsi"/>
        </w:rPr>
        <w:t xml:space="preserve">Medical science now distinguishes between mental illness, intellectual disability and personality disorder, amongst other states, in terms of their </w:t>
      </w:r>
      <w:r w:rsidR="00532FC6" w:rsidRPr="00763B59">
        <w:rPr>
          <w:rStyle w:val="ssleftalign"/>
          <w:rFonts w:asciiTheme="minorHAnsi" w:hAnsiTheme="minorHAnsi" w:cstheme="minorHAnsi"/>
        </w:rPr>
        <w:t>nature</w:t>
      </w:r>
      <w:r w:rsidRPr="00763B59">
        <w:rPr>
          <w:rStyle w:val="ssleftalign"/>
          <w:rFonts w:asciiTheme="minorHAnsi" w:hAnsiTheme="minorHAnsi" w:cstheme="minorHAnsi"/>
        </w:rPr>
        <w:t>, whether they are treatable, and whether considered an illness.</w:t>
      </w:r>
      <w:r w:rsidR="00643547" w:rsidRPr="00763B59">
        <w:rPr>
          <w:rStyle w:val="ssleftalign"/>
          <w:rFonts w:asciiTheme="minorHAnsi" w:hAnsiTheme="minorHAnsi" w:cstheme="minorHAnsi"/>
        </w:rPr>
        <w:t xml:space="preserve"> </w:t>
      </w:r>
      <w:r w:rsidRPr="00763B59">
        <w:rPr>
          <w:rStyle w:val="ssleftalign"/>
          <w:rFonts w:asciiTheme="minorHAnsi" w:hAnsiTheme="minorHAnsi" w:cstheme="minorHAnsi"/>
        </w:rPr>
        <w:t xml:space="preserve"> The McNaghten rules and subsequent common law cases were not concerned with these questions of classification, but with establishing a test for criminal responsibility based on (lack of) capacity to reason.</w:t>
      </w:r>
      <w:r w:rsidR="00643547" w:rsidRPr="00763B59">
        <w:rPr>
          <w:rStyle w:val="Style"/>
          <w:rFonts w:asciiTheme="minorHAnsi" w:hAnsiTheme="minorHAnsi"/>
        </w:rPr>
        <w:footnoteReference w:id="1181"/>
      </w:r>
      <w:r w:rsidRPr="00763B59">
        <w:rPr>
          <w:rStyle w:val="ssleftalign"/>
          <w:rFonts w:asciiTheme="minorHAnsi" w:hAnsiTheme="minorHAnsi" w:cstheme="minorHAnsi"/>
        </w:rPr>
        <w:t xml:space="preserve"> </w:t>
      </w:r>
      <w:r w:rsidR="00643547" w:rsidRPr="00763B59">
        <w:rPr>
          <w:rStyle w:val="ssleftalign"/>
          <w:rFonts w:asciiTheme="minorHAnsi" w:hAnsiTheme="minorHAnsi" w:cstheme="minorHAnsi"/>
        </w:rPr>
        <w:t xml:space="preserve"> </w:t>
      </w:r>
      <w:r w:rsidRPr="00763B59">
        <w:rPr>
          <w:rStyle w:val="ssleftalign"/>
          <w:rFonts w:asciiTheme="minorHAnsi" w:hAnsiTheme="minorHAnsi" w:cstheme="minorHAnsi"/>
        </w:rPr>
        <w:t>The Committee noted in its report that it was appropriate to have an inclusive definition in the Code based on modern terminology of what may amount to disease of the mind, now described as “mental impairment”.</w:t>
      </w:r>
    </w:p>
    <w:p w14:paraId="2D8AB28F" w14:textId="77777777" w:rsidR="004A0D79" w:rsidRPr="00763B59" w:rsidRDefault="004A0D79" w:rsidP="00EB7F1E">
      <w:pPr>
        <w:spacing w:line="276" w:lineRule="auto"/>
        <w:rPr>
          <w:rFonts w:ascii="Calibri" w:hAnsi="Calibri"/>
        </w:rPr>
      </w:pPr>
    </w:p>
    <w:p w14:paraId="2143E057" w14:textId="47E07A61" w:rsidR="00C20F3E" w:rsidRPr="00763B59" w:rsidRDefault="008465E9" w:rsidP="00C20F3E">
      <w:pPr>
        <w:pStyle w:val="ListParagraph"/>
        <w:numPr>
          <w:ilvl w:val="0"/>
          <w:numId w:val="7"/>
        </w:numPr>
        <w:spacing w:line="276" w:lineRule="auto"/>
        <w:ind w:left="425" w:hanging="425"/>
        <w:rPr>
          <w:rFonts w:asciiTheme="minorHAnsi" w:hAnsiTheme="minorHAnsi"/>
        </w:rPr>
      </w:pPr>
      <w:r w:rsidRPr="00763B59">
        <w:rPr>
          <w:rFonts w:asciiTheme="minorHAnsi" w:hAnsiTheme="minorHAnsi" w:cstheme="minorHAnsi"/>
        </w:rPr>
        <w:t>If a special verdict of “not guilty because of mental impairment” is returned, the court</w:t>
      </w:r>
      <w:r w:rsidR="00AA693C" w:rsidRPr="00763B59">
        <w:rPr>
          <w:rFonts w:asciiTheme="minorHAnsi" w:hAnsiTheme="minorHAnsi" w:cstheme="minorHAnsi"/>
        </w:rPr>
        <w:t>’</w:t>
      </w:r>
      <w:r w:rsidRPr="00763B59">
        <w:rPr>
          <w:rFonts w:asciiTheme="minorHAnsi" w:hAnsiTheme="minorHAnsi" w:cstheme="minorHAnsi"/>
        </w:rPr>
        <w:t>s power</w:t>
      </w:r>
      <w:r w:rsidR="004E2AE6" w:rsidRPr="00763B59">
        <w:rPr>
          <w:rFonts w:asciiTheme="minorHAnsi" w:hAnsiTheme="minorHAnsi" w:cstheme="minorHAnsi"/>
        </w:rPr>
        <w:t>s</w:t>
      </w:r>
      <w:r w:rsidRPr="00763B59">
        <w:rPr>
          <w:rFonts w:asciiTheme="minorHAnsi" w:hAnsiTheme="minorHAnsi" w:cstheme="minorHAnsi"/>
        </w:rPr>
        <w:t xml:space="preserve"> to </w:t>
      </w:r>
      <w:r w:rsidR="00A14F27" w:rsidRPr="00763B59">
        <w:rPr>
          <w:rFonts w:asciiTheme="minorHAnsi" w:hAnsiTheme="minorHAnsi" w:cstheme="minorHAnsi"/>
        </w:rPr>
        <w:t xml:space="preserve">deal with the defendant are found in </w:t>
      </w:r>
      <w:r w:rsidRPr="00763B59">
        <w:rPr>
          <w:rFonts w:asciiTheme="minorHAnsi" w:hAnsiTheme="minorHAnsi" w:cstheme="minorHAnsi"/>
        </w:rPr>
        <w:t xml:space="preserve">Division 7 of Part IB of the </w:t>
      </w:r>
      <w:r w:rsidRPr="00763B59">
        <w:rPr>
          <w:rFonts w:asciiTheme="minorHAnsi" w:hAnsiTheme="minorHAnsi" w:cstheme="minorHAnsi"/>
          <w:i/>
        </w:rPr>
        <w:t>Crimes Act 1914</w:t>
      </w:r>
      <w:r w:rsidRPr="00763B59">
        <w:rPr>
          <w:rFonts w:asciiTheme="minorHAnsi" w:hAnsiTheme="minorHAnsi" w:cstheme="minorHAnsi"/>
        </w:rPr>
        <w:t xml:space="preserve"> (Cth). </w:t>
      </w:r>
      <w:r w:rsidR="00C20F3E" w:rsidRPr="00763B59">
        <w:rPr>
          <w:rFonts w:asciiTheme="minorHAnsi" w:hAnsiTheme="minorHAnsi" w:cstheme="minorHAnsi"/>
        </w:rPr>
        <w:t xml:space="preserve"> </w:t>
      </w:r>
      <w:r w:rsidRPr="00763B59">
        <w:rPr>
          <w:rFonts w:asciiTheme="minorHAnsi" w:hAnsiTheme="minorHAnsi" w:cstheme="minorHAnsi"/>
        </w:rPr>
        <w:t xml:space="preserve">That </w:t>
      </w:r>
      <w:r w:rsidR="00053A7A" w:rsidRPr="00763B59">
        <w:rPr>
          <w:rFonts w:asciiTheme="minorHAnsi" w:hAnsiTheme="minorHAnsi" w:cstheme="minorHAnsi"/>
        </w:rPr>
        <w:t xml:space="preserve">Division </w:t>
      </w:r>
      <w:r w:rsidRPr="00763B59">
        <w:rPr>
          <w:rFonts w:asciiTheme="minorHAnsi" w:hAnsiTheme="minorHAnsi" w:cstheme="minorHAnsi"/>
        </w:rPr>
        <w:t xml:space="preserve">provides for orders in proceedings on indictment for a Commonwealth offence, following the acquittal of a person </w:t>
      </w:r>
      <w:r w:rsidRPr="00763B59">
        <w:rPr>
          <w:rFonts w:asciiTheme="minorHAnsi" w:hAnsiTheme="minorHAnsi" w:cstheme="minorHAnsi"/>
          <w:i/>
          <w:iCs/>
        </w:rPr>
        <w:t>because of mental illness at the time of the offence</w:t>
      </w:r>
      <w:r w:rsidRPr="00763B59">
        <w:rPr>
          <w:rFonts w:asciiTheme="minorHAnsi" w:hAnsiTheme="minorHAnsi" w:cstheme="minorHAnsi"/>
        </w:rPr>
        <w:t xml:space="preserve"> (s 20BJ(1)</w:t>
      </w:r>
      <w:r w:rsidR="00044399" w:rsidRPr="00763B59">
        <w:rPr>
          <w:rFonts w:asciiTheme="minorHAnsi" w:hAnsiTheme="minorHAnsi" w:cstheme="minorHAnsi"/>
        </w:rPr>
        <w:t xml:space="preserve"> and (4)</w:t>
      </w:r>
      <w:r w:rsidRPr="00763B59">
        <w:rPr>
          <w:rFonts w:asciiTheme="minorHAnsi" w:hAnsiTheme="minorHAnsi" w:cstheme="minorHAnsi"/>
        </w:rPr>
        <w:t>).</w:t>
      </w:r>
    </w:p>
    <w:p w14:paraId="28591F8D" w14:textId="77777777" w:rsidR="00C20F3E" w:rsidRPr="00763B59" w:rsidRDefault="00C20F3E" w:rsidP="00EB7F1E">
      <w:pPr>
        <w:pStyle w:val="ListParagraph"/>
        <w:rPr>
          <w:rFonts w:asciiTheme="minorHAnsi" w:hAnsiTheme="minorHAnsi" w:cstheme="minorHAnsi"/>
        </w:rPr>
      </w:pPr>
    </w:p>
    <w:p w14:paraId="3F08C2CF" w14:textId="050B86E3" w:rsidR="00053A7A" w:rsidRPr="00763B59" w:rsidRDefault="00C20F3E" w:rsidP="00C20F3E">
      <w:pPr>
        <w:pStyle w:val="ListParagraph"/>
        <w:numPr>
          <w:ilvl w:val="0"/>
          <w:numId w:val="7"/>
        </w:numPr>
        <w:spacing w:line="276" w:lineRule="auto"/>
        <w:ind w:left="425" w:hanging="425"/>
        <w:rPr>
          <w:rFonts w:asciiTheme="minorHAnsi" w:hAnsiTheme="minorHAnsi"/>
        </w:rPr>
      </w:pPr>
      <w:r w:rsidRPr="00763B59">
        <w:rPr>
          <w:rFonts w:asciiTheme="minorHAnsi" w:hAnsiTheme="minorHAnsi" w:cstheme="minorHAnsi"/>
        </w:rPr>
        <w:t xml:space="preserve">Section 20BJ was enacted before the </w:t>
      </w:r>
      <w:r w:rsidRPr="00763B59">
        <w:rPr>
          <w:rFonts w:asciiTheme="minorHAnsi" w:hAnsiTheme="minorHAnsi" w:cstheme="minorHAnsi"/>
          <w:i/>
          <w:iCs/>
        </w:rPr>
        <w:t>Criminal Code</w:t>
      </w:r>
      <w:r w:rsidRPr="00763B59">
        <w:rPr>
          <w:rFonts w:asciiTheme="minorHAnsi" w:hAnsiTheme="minorHAnsi" w:cstheme="minorHAnsi"/>
        </w:rPr>
        <w:t>, when</w:t>
      </w:r>
      <w:r w:rsidRPr="00763B59">
        <w:rPr>
          <w:rFonts w:asciiTheme="minorHAnsi" w:hAnsiTheme="minorHAnsi"/>
        </w:rPr>
        <w:t xml:space="preserve"> the common law McNaghten rules applied to federal offences.  At that time the reference to “mental illness” was understood to encompass all situations where the McNaghten defence was made out.  </w:t>
      </w:r>
      <w:r w:rsidR="00053A7A" w:rsidRPr="00763B59">
        <w:rPr>
          <w:rFonts w:asciiTheme="minorHAnsi" w:hAnsiTheme="minorHAnsi"/>
        </w:rPr>
        <w:t>If the defence of “unsoundness of mind” was made out, the court was empowered by s 20BJ to order that the defendant be detained. That was its purpose.</w:t>
      </w:r>
    </w:p>
    <w:p w14:paraId="60DE489D" w14:textId="2494DA4E" w:rsidR="00053A7A" w:rsidRPr="00763B59" w:rsidRDefault="00053A7A" w:rsidP="00EB7F1E">
      <w:pPr>
        <w:pStyle w:val="ListParagraph"/>
        <w:rPr>
          <w:rFonts w:asciiTheme="minorHAnsi" w:hAnsiTheme="minorHAnsi"/>
        </w:rPr>
      </w:pPr>
    </w:p>
    <w:p w14:paraId="64FBAC54" w14:textId="625A58AD" w:rsidR="00561E30" w:rsidRPr="00763B59" w:rsidRDefault="00C20F3E" w:rsidP="00C20F3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The </w:t>
      </w:r>
      <w:r w:rsidR="00561E30" w:rsidRPr="00763B59">
        <w:rPr>
          <w:rFonts w:asciiTheme="minorHAnsi" w:hAnsiTheme="minorHAnsi"/>
        </w:rPr>
        <w:t xml:space="preserve">ancestor </w:t>
      </w:r>
      <w:r w:rsidRPr="00763B59">
        <w:rPr>
          <w:rFonts w:asciiTheme="minorHAnsi" w:hAnsiTheme="minorHAnsi"/>
        </w:rPr>
        <w:t xml:space="preserve">of this provision </w:t>
      </w:r>
      <w:r w:rsidR="00561E30" w:rsidRPr="00763B59">
        <w:rPr>
          <w:rFonts w:asciiTheme="minorHAnsi" w:hAnsiTheme="minorHAnsi"/>
        </w:rPr>
        <w:t xml:space="preserve">(then s 20B of the </w:t>
      </w:r>
      <w:r w:rsidR="00561E30" w:rsidRPr="00763B59">
        <w:rPr>
          <w:rFonts w:asciiTheme="minorHAnsi" w:hAnsiTheme="minorHAnsi"/>
          <w:i/>
          <w:iCs/>
        </w:rPr>
        <w:t>Crimes Act</w:t>
      </w:r>
      <w:r w:rsidR="00561E30" w:rsidRPr="00763B59">
        <w:rPr>
          <w:rFonts w:asciiTheme="minorHAnsi" w:hAnsiTheme="minorHAnsi"/>
        </w:rPr>
        <w:t>) applied where</w:t>
      </w:r>
      <w:r w:rsidRPr="00763B59">
        <w:rPr>
          <w:rFonts w:asciiTheme="minorHAnsi" w:hAnsiTheme="minorHAnsi"/>
        </w:rPr>
        <w:t xml:space="preserve"> “</w:t>
      </w:r>
      <w:r w:rsidRPr="00763B59">
        <w:rPr>
          <w:rFonts w:asciiTheme="minorHAnsi" w:hAnsiTheme="minorHAnsi"/>
          <w:i/>
          <w:iCs/>
        </w:rPr>
        <w:t>the person is acquitted by reason of unsoundness of mind at the time of the commission of the offence</w:t>
      </w:r>
      <w:r w:rsidR="00FB48E4" w:rsidRPr="00763B59">
        <w:rPr>
          <w:rFonts w:asciiTheme="minorHAnsi" w:hAnsiTheme="minorHAnsi"/>
        </w:rPr>
        <w:t>”</w:t>
      </w:r>
      <w:r w:rsidR="00561E30" w:rsidRPr="00763B59">
        <w:rPr>
          <w:rFonts w:asciiTheme="minorHAnsi" w:hAnsiTheme="minorHAnsi"/>
        </w:rPr>
        <w:t>.</w:t>
      </w:r>
    </w:p>
    <w:p w14:paraId="31A402B0" w14:textId="77777777" w:rsidR="00561E30" w:rsidRPr="00763B59" w:rsidRDefault="00561E30" w:rsidP="00EB7F1E">
      <w:pPr>
        <w:pStyle w:val="ListParagraph"/>
        <w:rPr>
          <w:rFonts w:asciiTheme="minorHAnsi" w:hAnsiTheme="minorHAnsi"/>
        </w:rPr>
      </w:pPr>
    </w:p>
    <w:p w14:paraId="06C68E84" w14:textId="61D6F755" w:rsidR="00A14F27" w:rsidRPr="00763B59" w:rsidRDefault="004232C3" w:rsidP="00FD3210">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Whether the phrase used by Parl</w:t>
      </w:r>
      <w:r w:rsidR="00053A7A" w:rsidRPr="00763B59">
        <w:rPr>
          <w:rFonts w:asciiTheme="minorHAnsi" w:hAnsiTheme="minorHAnsi"/>
        </w:rPr>
        <w:t>ia</w:t>
      </w:r>
      <w:r w:rsidRPr="00763B59">
        <w:rPr>
          <w:rFonts w:asciiTheme="minorHAnsi" w:hAnsiTheme="minorHAnsi"/>
        </w:rPr>
        <w:t xml:space="preserve">ments at given points in time has been “unsoundness of mind”, </w:t>
      </w:r>
      <w:r w:rsidR="00047461" w:rsidRPr="00763B59">
        <w:rPr>
          <w:rFonts w:asciiTheme="minorHAnsi" w:hAnsiTheme="minorHAnsi"/>
        </w:rPr>
        <w:t xml:space="preserve">or </w:t>
      </w:r>
      <w:r w:rsidRPr="00763B59">
        <w:rPr>
          <w:rFonts w:asciiTheme="minorHAnsi" w:hAnsiTheme="minorHAnsi"/>
        </w:rPr>
        <w:t>“mental illness”</w:t>
      </w:r>
      <w:r w:rsidR="00047461" w:rsidRPr="00763B59">
        <w:rPr>
          <w:rFonts w:asciiTheme="minorHAnsi" w:hAnsiTheme="minorHAnsi"/>
        </w:rPr>
        <w:t xml:space="preserve">, the </w:t>
      </w:r>
      <w:r w:rsidR="00053A7A" w:rsidRPr="00763B59">
        <w:rPr>
          <w:rFonts w:asciiTheme="minorHAnsi" w:hAnsiTheme="minorHAnsi"/>
        </w:rPr>
        <w:t xml:space="preserve">relevant </w:t>
      </w:r>
      <w:r w:rsidR="00047461" w:rsidRPr="00763B59">
        <w:rPr>
          <w:rFonts w:asciiTheme="minorHAnsi" w:hAnsiTheme="minorHAnsi"/>
        </w:rPr>
        <w:t>prov</w:t>
      </w:r>
      <w:r w:rsidR="00053A7A" w:rsidRPr="00763B59">
        <w:rPr>
          <w:rFonts w:asciiTheme="minorHAnsi" w:hAnsiTheme="minorHAnsi"/>
        </w:rPr>
        <w:t>ision</w:t>
      </w:r>
      <w:r w:rsidR="00047461" w:rsidRPr="00763B59">
        <w:rPr>
          <w:rFonts w:asciiTheme="minorHAnsi" w:hAnsiTheme="minorHAnsi"/>
        </w:rPr>
        <w:t xml:space="preserve"> has been intended to apply following a finding of not guilty under the McNaghten test. </w:t>
      </w:r>
      <w:r w:rsidR="00053A7A" w:rsidRPr="00763B59">
        <w:rPr>
          <w:rFonts w:asciiTheme="minorHAnsi" w:hAnsiTheme="minorHAnsi"/>
        </w:rPr>
        <w:t xml:space="preserve"> </w:t>
      </w:r>
      <w:r w:rsidR="00047461" w:rsidRPr="00763B59">
        <w:rPr>
          <w:rFonts w:asciiTheme="minorHAnsi" w:hAnsiTheme="minorHAnsi"/>
        </w:rPr>
        <w:t xml:space="preserve">That, is, both phrases were another way </w:t>
      </w:r>
      <w:r w:rsidR="00DC15D6" w:rsidRPr="00763B59">
        <w:rPr>
          <w:rFonts w:asciiTheme="minorHAnsi" w:hAnsiTheme="minorHAnsi"/>
        </w:rPr>
        <w:t>of</w:t>
      </w:r>
      <w:r w:rsidR="00047461" w:rsidRPr="00763B59">
        <w:rPr>
          <w:rFonts w:asciiTheme="minorHAnsi" w:hAnsiTheme="minorHAnsi"/>
        </w:rPr>
        <w:t xml:space="preserve"> referring to the r</w:t>
      </w:r>
      <w:r w:rsidR="00DC15D6" w:rsidRPr="00763B59">
        <w:rPr>
          <w:rFonts w:asciiTheme="minorHAnsi" w:hAnsiTheme="minorHAnsi"/>
        </w:rPr>
        <w:t>e</w:t>
      </w:r>
      <w:r w:rsidR="00047461" w:rsidRPr="00763B59">
        <w:rPr>
          <w:rFonts w:asciiTheme="minorHAnsi" w:hAnsiTheme="minorHAnsi"/>
        </w:rPr>
        <w:t>levant “disease of the mind” at common law.</w:t>
      </w:r>
    </w:p>
    <w:p w14:paraId="4B6C8107" w14:textId="77777777" w:rsidR="004A0D79" w:rsidRPr="00763B59" w:rsidRDefault="004A0D79" w:rsidP="00EB7F1E">
      <w:pPr>
        <w:spacing w:line="276" w:lineRule="auto"/>
        <w:rPr>
          <w:rFonts w:asciiTheme="minorHAnsi" w:hAnsiTheme="minorHAnsi"/>
        </w:rPr>
      </w:pPr>
    </w:p>
    <w:p w14:paraId="5B0412C4" w14:textId="5A193FC2" w:rsidR="0086784B" w:rsidRPr="00763B59" w:rsidRDefault="00826820" w:rsidP="00FD3210">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It </w:t>
      </w:r>
      <w:r w:rsidR="000E66FB" w:rsidRPr="00763B59">
        <w:rPr>
          <w:rFonts w:asciiTheme="minorHAnsi" w:hAnsiTheme="minorHAnsi"/>
        </w:rPr>
        <w:t xml:space="preserve">is likely that </w:t>
      </w:r>
      <w:r w:rsidR="00053A7A" w:rsidRPr="00763B59">
        <w:rPr>
          <w:rFonts w:asciiTheme="minorHAnsi" w:hAnsiTheme="minorHAnsi"/>
        </w:rPr>
        <w:t>s 20BJ</w:t>
      </w:r>
      <w:r w:rsidR="00882BF4" w:rsidRPr="00763B59">
        <w:rPr>
          <w:rFonts w:asciiTheme="minorHAnsi" w:hAnsiTheme="minorHAnsi"/>
        </w:rPr>
        <w:t xml:space="preserve"> </w:t>
      </w:r>
      <w:r w:rsidR="000E66FB" w:rsidRPr="00763B59">
        <w:rPr>
          <w:rFonts w:asciiTheme="minorHAnsi" w:hAnsiTheme="minorHAnsi"/>
        </w:rPr>
        <w:t xml:space="preserve">would </w:t>
      </w:r>
      <w:r w:rsidR="00187AF6" w:rsidRPr="00763B59">
        <w:rPr>
          <w:rFonts w:asciiTheme="minorHAnsi" w:hAnsiTheme="minorHAnsi"/>
        </w:rPr>
        <w:t xml:space="preserve">be read widely to cover all cases </w:t>
      </w:r>
      <w:r w:rsidR="000E66FB" w:rsidRPr="00763B59">
        <w:rPr>
          <w:rFonts w:asciiTheme="minorHAnsi" w:hAnsiTheme="minorHAnsi"/>
        </w:rPr>
        <w:t>where a fi</w:t>
      </w:r>
      <w:r w:rsidR="00187AF6" w:rsidRPr="00763B59">
        <w:rPr>
          <w:rFonts w:asciiTheme="minorHAnsi" w:hAnsiTheme="minorHAnsi"/>
        </w:rPr>
        <w:t xml:space="preserve">nding is </w:t>
      </w:r>
      <w:r w:rsidR="000E66FB" w:rsidRPr="00763B59">
        <w:rPr>
          <w:rFonts w:asciiTheme="minorHAnsi" w:hAnsiTheme="minorHAnsi"/>
        </w:rPr>
        <w:t>made</w:t>
      </w:r>
      <w:r w:rsidR="00187AF6" w:rsidRPr="00763B59">
        <w:rPr>
          <w:rFonts w:asciiTheme="minorHAnsi" w:hAnsiTheme="minorHAnsi"/>
        </w:rPr>
        <w:t xml:space="preserve"> </w:t>
      </w:r>
      <w:r w:rsidR="000E66FB" w:rsidRPr="00763B59">
        <w:rPr>
          <w:rFonts w:asciiTheme="minorHAnsi" w:hAnsiTheme="minorHAnsi"/>
        </w:rPr>
        <w:t>that a person is not guilty by reason of mental impairment</w:t>
      </w:r>
      <w:r w:rsidR="00925912" w:rsidRPr="00763B59">
        <w:rPr>
          <w:rFonts w:asciiTheme="minorHAnsi" w:hAnsiTheme="minorHAnsi"/>
        </w:rPr>
        <w:t xml:space="preserve">, under s 7.3 of the </w:t>
      </w:r>
      <w:r w:rsidR="00925912" w:rsidRPr="00763B59">
        <w:rPr>
          <w:rFonts w:asciiTheme="minorHAnsi" w:hAnsiTheme="minorHAnsi"/>
          <w:i/>
          <w:iCs/>
        </w:rPr>
        <w:t>Criminal Code</w:t>
      </w:r>
      <w:r w:rsidR="000E66FB" w:rsidRPr="00763B59">
        <w:rPr>
          <w:rFonts w:asciiTheme="minorHAnsi" w:hAnsiTheme="minorHAnsi"/>
        </w:rPr>
        <w:t xml:space="preserve">. </w:t>
      </w:r>
      <w:r w:rsidR="00053A7A" w:rsidRPr="00763B59">
        <w:rPr>
          <w:rFonts w:asciiTheme="minorHAnsi" w:hAnsiTheme="minorHAnsi"/>
        </w:rPr>
        <w:t xml:space="preserve"> That is, </w:t>
      </w:r>
      <w:r w:rsidR="00925912" w:rsidRPr="00763B59">
        <w:rPr>
          <w:rFonts w:asciiTheme="minorHAnsi" w:hAnsiTheme="minorHAnsi" w:cstheme="minorHAnsi"/>
        </w:rPr>
        <w:t>the references in s 20BJ to “</w:t>
      </w:r>
      <w:r w:rsidR="00925912" w:rsidRPr="00763B59">
        <w:rPr>
          <w:rFonts w:asciiTheme="minorHAnsi" w:hAnsiTheme="minorHAnsi" w:cstheme="minorHAnsi"/>
          <w:i/>
          <w:iCs/>
        </w:rPr>
        <w:t>acquittal … because of mental illness at the time of the offence</w:t>
      </w:r>
      <w:r w:rsidR="00925912" w:rsidRPr="00763B59">
        <w:rPr>
          <w:rFonts w:asciiTheme="minorHAnsi" w:hAnsiTheme="minorHAnsi" w:cstheme="minorHAnsi"/>
        </w:rPr>
        <w:t>”</w:t>
      </w:r>
      <w:r w:rsidR="00925912" w:rsidRPr="00763B59">
        <w:rPr>
          <w:rFonts w:asciiTheme="minorHAnsi" w:hAnsiTheme="minorHAnsi"/>
        </w:rPr>
        <w:t xml:space="preserve"> </w:t>
      </w:r>
      <w:r w:rsidR="004E2AE6" w:rsidRPr="00763B59">
        <w:rPr>
          <w:rFonts w:asciiTheme="minorHAnsi" w:hAnsiTheme="minorHAnsi"/>
        </w:rPr>
        <w:t xml:space="preserve">must be taken as references </w:t>
      </w:r>
      <w:r w:rsidR="00925912" w:rsidRPr="00763B59">
        <w:rPr>
          <w:rFonts w:asciiTheme="minorHAnsi" w:hAnsiTheme="minorHAnsi"/>
        </w:rPr>
        <w:t>to all forms of “mental impairment” within s 7.3(8)</w:t>
      </w:r>
      <w:r w:rsidRPr="00763B59">
        <w:rPr>
          <w:rFonts w:asciiTheme="minorHAnsi" w:hAnsiTheme="minorHAnsi"/>
        </w:rPr>
        <w:t xml:space="preserve"> of the Code</w:t>
      </w:r>
      <w:r w:rsidR="00925912" w:rsidRPr="00763B59">
        <w:rPr>
          <w:rFonts w:asciiTheme="minorHAnsi" w:hAnsiTheme="minorHAnsi"/>
        </w:rPr>
        <w:t xml:space="preserve">, not merely </w:t>
      </w:r>
      <w:r w:rsidRPr="00763B59">
        <w:rPr>
          <w:rFonts w:asciiTheme="minorHAnsi" w:hAnsiTheme="minorHAnsi"/>
        </w:rPr>
        <w:t xml:space="preserve">“mental illness” as defined in s 7.3(9).  </w:t>
      </w:r>
      <w:r w:rsidR="009379D6" w:rsidRPr="00763B59">
        <w:rPr>
          <w:rFonts w:asciiTheme="minorHAnsi" w:hAnsiTheme="minorHAnsi"/>
        </w:rPr>
        <w:t>Such an interpretation is consistent with the purpose of the provision</w:t>
      </w:r>
      <w:r w:rsidR="00AE0CDC" w:rsidRPr="00763B59">
        <w:rPr>
          <w:rFonts w:asciiTheme="minorHAnsi" w:hAnsiTheme="minorHAnsi"/>
        </w:rPr>
        <w:t xml:space="preserve"> and its history</w:t>
      </w:r>
      <w:r w:rsidRPr="00763B59">
        <w:rPr>
          <w:rFonts w:asciiTheme="minorHAnsi" w:hAnsiTheme="minorHAnsi"/>
        </w:rPr>
        <w:t xml:space="preserve"> as relating to all forms of “unsoundness of mind”</w:t>
      </w:r>
      <w:r w:rsidR="00AE0CDC" w:rsidRPr="00763B59">
        <w:rPr>
          <w:rFonts w:asciiTheme="minorHAnsi" w:hAnsiTheme="minorHAnsi"/>
        </w:rPr>
        <w:t>.</w:t>
      </w:r>
      <w:r w:rsidR="009379D6" w:rsidRPr="00763B59">
        <w:rPr>
          <w:rFonts w:asciiTheme="minorHAnsi" w:hAnsiTheme="minorHAnsi"/>
        </w:rPr>
        <w:t xml:space="preserve"> </w:t>
      </w:r>
      <w:r w:rsidRPr="00763B59">
        <w:rPr>
          <w:rFonts w:asciiTheme="minorHAnsi" w:hAnsiTheme="minorHAnsi"/>
        </w:rPr>
        <w:t xml:space="preserve"> </w:t>
      </w:r>
      <w:r w:rsidR="00AE0CDC" w:rsidRPr="00763B59">
        <w:rPr>
          <w:rFonts w:asciiTheme="minorHAnsi" w:hAnsiTheme="minorHAnsi"/>
        </w:rPr>
        <w:t>M</w:t>
      </w:r>
      <w:r w:rsidR="009379D6" w:rsidRPr="00763B59">
        <w:rPr>
          <w:rFonts w:asciiTheme="minorHAnsi" w:hAnsiTheme="minorHAnsi"/>
        </w:rPr>
        <w:t>ental illness can be given a wide me</w:t>
      </w:r>
      <w:r w:rsidR="00AE0CDC" w:rsidRPr="00763B59">
        <w:rPr>
          <w:rFonts w:asciiTheme="minorHAnsi" w:hAnsiTheme="minorHAnsi"/>
        </w:rPr>
        <w:t>aning</w:t>
      </w:r>
      <w:r w:rsidR="009379D6" w:rsidRPr="00763B59">
        <w:rPr>
          <w:rFonts w:asciiTheme="minorHAnsi" w:hAnsiTheme="minorHAnsi"/>
        </w:rPr>
        <w:t xml:space="preserve"> as it is not defined narrowly in the provision.</w:t>
      </w:r>
      <w:r w:rsidRPr="00763B59">
        <w:rPr>
          <w:rStyle w:val="Style"/>
          <w:rFonts w:asciiTheme="minorHAnsi" w:hAnsiTheme="minorHAnsi"/>
        </w:rPr>
        <w:footnoteReference w:id="1182"/>
      </w:r>
    </w:p>
    <w:p w14:paraId="0BCE815D" w14:textId="77777777" w:rsidR="004A0D79" w:rsidRPr="00763B59" w:rsidRDefault="004A0D79" w:rsidP="00EB7F1E">
      <w:pPr>
        <w:spacing w:line="276" w:lineRule="auto"/>
        <w:rPr>
          <w:rFonts w:asciiTheme="minorHAnsi" w:hAnsiTheme="minorHAnsi"/>
        </w:rPr>
      </w:pPr>
    </w:p>
    <w:p w14:paraId="333CBFED" w14:textId="26AC8FFB" w:rsidR="00044399" w:rsidRPr="00763B59" w:rsidRDefault="00044399"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Further, s 20BJ(5) provides that if the court orders the release</w:t>
      </w:r>
      <w:r w:rsidR="00826820" w:rsidRPr="00763B59">
        <w:rPr>
          <w:rFonts w:asciiTheme="minorHAnsi" w:hAnsiTheme="minorHAnsi"/>
        </w:rPr>
        <w:t>,</w:t>
      </w:r>
      <w:r w:rsidRPr="00763B59">
        <w:rPr>
          <w:rFonts w:asciiTheme="minorHAnsi" w:hAnsiTheme="minorHAnsi"/>
        </w:rPr>
        <w:t xml:space="preserve"> </w:t>
      </w:r>
      <w:r w:rsidR="00826820" w:rsidRPr="00763B59">
        <w:rPr>
          <w:rFonts w:asciiTheme="minorHAnsi" w:hAnsiTheme="minorHAnsi"/>
        </w:rPr>
        <w:t xml:space="preserve">rather than detention, </w:t>
      </w:r>
      <w:r w:rsidRPr="00763B59">
        <w:rPr>
          <w:rFonts w:asciiTheme="minorHAnsi" w:hAnsiTheme="minorHAnsi"/>
        </w:rPr>
        <w:t>of the person a</w:t>
      </w:r>
      <w:r w:rsidR="00826820" w:rsidRPr="00763B59">
        <w:rPr>
          <w:rFonts w:asciiTheme="minorHAnsi" w:hAnsiTheme="minorHAnsi"/>
        </w:rPr>
        <w:t>c</w:t>
      </w:r>
      <w:r w:rsidRPr="00763B59">
        <w:rPr>
          <w:rFonts w:asciiTheme="minorHAnsi" w:hAnsiTheme="minorHAnsi"/>
        </w:rPr>
        <w:t>quitted, conditions of release may require an “</w:t>
      </w:r>
      <w:r w:rsidRPr="00763B59">
        <w:rPr>
          <w:rFonts w:asciiTheme="minorHAnsi" w:hAnsiTheme="minorHAnsi"/>
          <w:i/>
          <w:iCs/>
        </w:rPr>
        <w:t>assessment of the person</w:t>
      </w:r>
      <w:r w:rsidR="00AA693C" w:rsidRPr="00763B59">
        <w:rPr>
          <w:rFonts w:asciiTheme="minorHAnsi" w:hAnsiTheme="minorHAnsi"/>
          <w:i/>
          <w:iCs/>
        </w:rPr>
        <w:t>’</w:t>
      </w:r>
      <w:r w:rsidRPr="00763B59">
        <w:rPr>
          <w:rFonts w:asciiTheme="minorHAnsi" w:hAnsiTheme="minorHAnsi"/>
          <w:i/>
          <w:iCs/>
        </w:rPr>
        <w:t>s mental illness, mental condition or intellectual disability</w:t>
      </w:r>
      <w:r w:rsidRPr="00763B59">
        <w:rPr>
          <w:rFonts w:asciiTheme="minorHAnsi" w:hAnsiTheme="minorHAnsi"/>
        </w:rPr>
        <w:t xml:space="preserve">” for the purposes of treatment.  If “mental illness” in s 20BJ(1) </w:t>
      </w:r>
      <w:r w:rsidR="00EC6A3C" w:rsidRPr="00763B59">
        <w:rPr>
          <w:rFonts w:asciiTheme="minorHAnsi" w:hAnsiTheme="minorHAnsi"/>
        </w:rPr>
        <w:t>were to be</w:t>
      </w:r>
      <w:r w:rsidRPr="00763B59">
        <w:rPr>
          <w:rFonts w:asciiTheme="minorHAnsi" w:hAnsiTheme="minorHAnsi"/>
        </w:rPr>
        <w:t xml:space="preserve"> read narrowly to exclude “mental condition” and “intellectual disability”, this power to order assessments for the latter two situations could still have residual me</w:t>
      </w:r>
      <w:r w:rsidR="00184BA2" w:rsidRPr="00763B59">
        <w:rPr>
          <w:rFonts w:asciiTheme="minorHAnsi" w:hAnsiTheme="minorHAnsi"/>
        </w:rPr>
        <w:t>aning (</w:t>
      </w:r>
      <w:r w:rsidRPr="00763B59">
        <w:rPr>
          <w:rFonts w:asciiTheme="minorHAnsi" w:hAnsiTheme="minorHAnsi"/>
        </w:rPr>
        <w:t xml:space="preserve">as a person could be </w:t>
      </w:r>
      <w:r w:rsidR="00184BA2" w:rsidRPr="00763B59">
        <w:rPr>
          <w:rFonts w:asciiTheme="minorHAnsi" w:hAnsiTheme="minorHAnsi"/>
        </w:rPr>
        <w:t>“</w:t>
      </w:r>
      <w:r w:rsidRPr="00763B59">
        <w:rPr>
          <w:rFonts w:asciiTheme="minorHAnsi" w:hAnsiTheme="minorHAnsi"/>
        </w:rPr>
        <w:t>mentally ill</w:t>
      </w:r>
      <w:r w:rsidR="00184BA2" w:rsidRPr="00763B59">
        <w:rPr>
          <w:rFonts w:asciiTheme="minorHAnsi" w:hAnsiTheme="minorHAnsi"/>
        </w:rPr>
        <w:t>”</w:t>
      </w:r>
      <w:r w:rsidRPr="00763B59">
        <w:rPr>
          <w:rFonts w:asciiTheme="minorHAnsi" w:hAnsiTheme="minorHAnsi"/>
        </w:rPr>
        <w:t xml:space="preserve"> and </w:t>
      </w:r>
      <w:r w:rsidR="00184BA2" w:rsidRPr="00763B59">
        <w:rPr>
          <w:rFonts w:asciiTheme="minorHAnsi" w:hAnsiTheme="minorHAnsi"/>
        </w:rPr>
        <w:t xml:space="preserve">also </w:t>
      </w:r>
      <w:r w:rsidRPr="00763B59">
        <w:rPr>
          <w:rFonts w:asciiTheme="minorHAnsi" w:hAnsiTheme="minorHAnsi"/>
        </w:rPr>
        <w:t>have an intellectual disability).</w:t>
      </w:r>
      <w:r w:rsidR="00AA693C" w:rsidRPr="00763B59">
        <w:rPr>
          <w:rFonts w:asciiTheme="minorHAnsi" w:hAnsiTheme="minorHAnsi"/>
        </w:rPr>
        <w:t xml:space="preserve"> </w:t>
      </w:r>
      <w:r w:rsidRPr="00763B59">
        <w:rPr>
          <w:rFonts w:asciiTheme="minorHAnsi" w:hAnsiTheme="minorHAnsi"/>
        </w:rPr>
        <w:t xml:space="preserve"> However, it is more likely that</w:t>
      </w:r>
      <w:r w:rsidR="00184BA2" w:rsidRPr="00763B59">
        <w:rPr>
          <w:rFonts w:asciiTheme="minorHAnsi" w:hAnsiTheme="minorHAnsi"/>
        </w:rPr>
        <w:t xml:space="preserve"> </w:t>
      </w:r>
      <w:r w:rsidR="00CE6978" w:rsidRPr="00763B59">
        <w:rPr>
          <w:rFonts w:asciiTheme="minorHAnsi" w:hAnsiTheme="minorHAnsi"/>
        </w:rPr>
        <w:t xml:space="preserve">the </w:t>
      </w:r>
      <w:r w:rsidR="00CA2DF3" w:rsidRPr="00763B59">
        <w:rPr>
          <w:rFonts w:asciiTheme="minorHAnsi" w:hAnsiTheme="minorHAnsi"/>
        </w:rPr>
        <w:t xml:space="preserve">provision </w:t>
      </w:r>
      <w:r w:rsidR="00184BA2" w:rsidRPr="00763B59">
        <w:rPr>
          <w:rFonts w:asciiTheme="minorHAnsi" w:hAnsiTheme="minorHAnsi"/>
        </w:rPr>
        <w:t>illustrates</w:t>
      </w:r>
      <w:r w:rsidR="00CA2DF3" w:rsidRPr="00763B59">
        <w:rPr>
          <w:rFonts w:asciiTheme="minorHAnsi" w:hAnsiTheme="minorHAnsi"/>
        </w:rPr>
        <w:t xml:space="preserve"> an</w:t>
      </w:r>
      <w:r w:rsidR="00184BA2" w:rsidRPr="00763B59">
        <w:rPr>
          <w:rFonts w:asciiTheme="minorHAnsi" w:hAnsiTheme="minorHAnsi"/>
        </w:rPr>
        <w:t xml:space="preserve"> intention </w:t>
      </w:r>
      <w:r w:rsidR="00CA2DF3" w:rsidRPr="00763B59">
        <w:rPr>
          <w:rFonts w:asciiTheme="minorHAnsi" w:hAnsiTheme="minorHAnsi"/>
        </w:rPr>
        <w:t xml:space="preserve">that </w:t>
      </w:r>
      <w:r w:rsidR="00184BA2" w:rsidRPr="00763B59">
        <w:rPr>
          <w:rFonts w:asciiTheme="minorHAnsi" w:hAnsiTheme="minorHAnsi"/>
        </w:rPr>
        <w:t>the primary power to make orders upon acquittal in s 20BJ(1) applies to persons found not guilty by reason of mental illness in its broadest sense, encompassing not only mental illness as defined in civil law but also other forms of mental conditions and intellectual disability, consistent with the common law.</w:t>
      </w:r>
    </w:p>
    <w:p w14:paraId="15E4F71B" w14:textId="77777777" w:rsidR="00CA2DF3" w:rsidRPr="00763B59" w:rsidRDefault="00CA2DF3" w:rsidP="00EB7F1E">
      <w:pPr>
        <w:pStyle w:val="ListParagraph"/>
        <w:spacing w:line="276" w:lineRule="auto"/>
        <w:ind w:left="360" w:right="28"/>
        <w:rPr>
          <w:rFonts w:asciiTheme="minorHAnsi" w:hAnsiTheme="minorHAnsi"/>
        </w:rPr>
      </w:pPr>
    </w:p>
    <w:p w14:paraId="2D83A3BD" w14:textId="090D67ED" w:rsidR="00833256" w:rsidRPr="00763B59" w:rsidRDefault="00CA2DF3">
      <w:pPr>
        <w:pStyle w:val="Heading3"/>
      </w:pPr>
      <w:bookmarkStart w:id="3560" w:name="_Toc33602985"/>
      <w:r w:rsidRPr="00763B59">
        <w:t>Detention or release</w:t>
      </w:r>
      <w:bookmarkEnd w:id="3560"/>
    </w:p>
    <w:p w14:paraId="1BD69EB8" w14:textId="77777777" w:rsidR="00CA2DF3" w:rsidRPr="00763B59" w:rsidRDefault="00CA2DF3" w:rsidP="00EB7F1E">
      <w:pPr>
        <w:pStyle w:val="NormalIndent"/>
        <w:keepNext/>
        <w:widowControl w:val="0"/>
        <w:spacing w:line="276" w:lineRule="auto"/>
        <w:ind w:left="720"/>
        <w:rPr>
          <w:rFonts w:asciiTheme="minorHAnsi" w:hAnsiTheme="minorHAnsi"/>
        </w:rPr>
      </w:pPr>
    </w:p>
    <w:p w14:paraId="400E2227" w14:textId="77777777" w:rsidR="007E6020" w:rsidRPr="00763B59" w:rsidRDefault="00833256"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Generally </w:t>
      </w:r>
      <w:r w:rsidR="00391409" w:rsidRPr="00763B59">
        <w:rPr>
          <w:rFonts w:asciiTheme="minorHAnsi" w:hAnsiTheme="minorHAnsi"/>
        </w:rPr>
        <w:t>the court must order that the person be detained in safe custody in prison or in a hospital for a period specified in the order, not exceeding the maximum period of imprisonment that could have been imposed if the person had been c</w:t>
      </w:r>
      <w:r w:rsidRPr="00763B59">
        <w:rPr>
          <w:rFonts w:asciiTheme="minorHAnsi" w:hAnsiTheme="minorHAnsi"/>
        </w:rPr>
        <w:t xml:space="preserve">onvicted of the offence charged: </w:t>
      </w:r>
      <w:r w:rsidR="00885EFD" w:rsidRPr="00763B59">
        <w:rPr>
          <w:rFonts w:asciiTheme="minorHAnsi" w:hAnsiTheme="minorHAnsi"/>
          <w:i/>
        </w:rPr>
        <w:t>Crimes Act 1914</w:t>
      </w:r>
      <w:r w:rsidRPr="00763B59">
        <w:rPr>
          <w:rFonts w:asciiTheme="minorHAnsi" w:hAnsiTheme="minorHAnsi"/>
        </w:rPr>
        <w:t xml:space="preserve"> (Cth), s 20BJ(1).  </w:t>
      </w:r>
    </w:p>
    <w:p w14:paraId="6742CF86" w14:textId="77777777" w:rsidR="007E6020" w:rsidRPr="00763B59" w:rsidRDefault="007E6020" w:rsidP="00EB7F1E">
      <w:pPr>
        <w:pStyle w:val="ListParagraph"/>
        <w:rPr>
          <w:rFonts w:asciiTheme="minorHAnsi" w:hAnsiTheme="minorHAnsi"/>
        </w:rPr>
      </w:pPr>
    </w:p>
    <w:p w14:paraId="6B99C8DF" w14:textId="71AE29D4" w:rsidR="004A18A8" w:rsidRPr="00763B59" w:rsidRDefault="00383726"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However the court may</w:t>
      </w:r>
      <w:r w:rsidR="005C3BBE" w:rsidRPr="00763B59">
        <w:rPr>
          <w:rFonts w:asciiTheme="minorHAnsi" w:hAnsiTheme="minorHAnsi"/>
        </w:rPr>
        <w:t>,</w:t>
      </w:r>
      <w:r w:rsidRPr="00763B59">
        <w:rPr>
          <w:rFonts w:asciiTheme="minorHAnsi" w:hAnsiTheme="minorHAnsi"/>
        </w:rPr>
        <w:t xml:space="preserve"> if in the court</w:t>
      </w:r>
      <w:r w:rsidR="00AA693C" w:rsidRPr="00763B59">
        <w:rPr>
          <w:rFonts w:asciiTheme="minorHAnsi" w:hAnsiTheme="minorHAnsi"/>
        </w:rPr>
        <w:t>’</w:t>
      </w:r>
      <w:r w:rsidRPr="00763B59">
        <w:rPr>
          <w:rFonts w:asciiTheme="minorHAnsi" w:hAnsiTheme="minorHAnsi"/>
        </w:rPr>
        <w:t>s opinion it is more appropriate to do so, order the person</w:t>
      </w:r>
      <w:r w:rsidR="00AA693C" w:rsidRPr="00763B59">
        <w:rPr>
          <w:rFonts w:asciiTheme="minorHAnsi" w:hAnsiTheme="minorHAnsi"/>
        </w:rPr>
        <w:t>’</w:t>
      </w:r>
      <w:r w:rsidRPr="00763B59">
        <w:rPr>
          <w:rFonts w:asciiTheme="minorHAnsi" w:hAnsiTheme="minorHAnsi"/>
        </w:rPr>
        <w:t>s release from custody either absolutely or subject to conditions</w:t>
      </w:r>
      <w:r w:rsidR="00F058AC" w:rsidRPr="00763B59">
        <w:rPr>
          <w:rFonts w:asciiTheme="minorHAnsi" w:hAnsiTheme="minorHAnsi"/>
        </w:rPr>
        <w:t xml:space="preserve">: s 20BJ(4). </w:t>
      </w:r>
      <w:r w:rsidRPr="00763B59">
        <w:rPr>
          <w:rFonts w:asciiTheme="minorHAnsi" w:hAnsiTheme="minorHAnsi"/>
        </w:rPr>
        <w:t xml:space="preserve"> </w:t>
      </w:r>
      <w:r w:rsidR="00F058AC" w:rsidRPr="00763B59">
        <w:rPr>
          <w:rFonts w:asciiTheme="minorHAnsi" w:hAnsiTheme="minorHAnsi"/>
        </w:rPr>
        <w:t xml:space="preserve">Any such conditions </w:t>
      </w:r>
      <w:r w:rsidRPr="00763B59">
        <w:rPr>
          <w:rFonts w:asciiTheme="minorHAnsi" w:hAnsiTheme="minorHAnsi"/>
        </w:rPr>
        <w:t>apply for such period as the court specifies in the order, not exceeding 3 years.  The conditions may include remaining in the care of a responsible person or attending for treatment: s 20BJ(5).</w:t>
      </w:r>
    </w:p>
    <w:p w14:paraId="18BB5CCD" w14:textId="77777777" w:rsidR="005C3BBE" w:rsidRPr="00763B59" w:rsidRDefault="005C3BBE" w:rsidP="005C3BBE">
      <w:pPr>
        <w:pStyle w:val="ListParagraph"/>
        <w:rPr>
          <w:rFonts w:asciiTheme="minorHAnsi" w:hAnsiTheme="minorHAnsi"/>
        </w:rPr>
      </w:pPr>
    </w:p>
    <w:p w14:paraId="003E8CB8" w14:textId="4187A247" w:rsidR="005C3BBE" w:rsidRPr="00763B59" w:rsidRDefault="005C3BBE"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If the court makes an order under s 20BJ(1), the length of the detention period should represent an estimate of the sentence which would have been imposed if the person had been found guilty of the offence charged, and no account should be taken of that person</w:t>
      </w:r>
      <w:r w:rsidR="00AA693C" w:rsidRPr="00763B59">
        <w:rPr>
          <w:rFonts w:asciiTheme="minorHAnsi" w:hAnsiTheme="minorHAnsi"/>
        </w:rPr>
        <w:t>’</w:t>
      </w:r>
      <w:r w:rsidRPr="00763B59">
        <w:rPr>
          <w:rFonts w:asciiTheme="minorHAnsi" w:hAnsiTheme="minorHAnsi"/>
        </w:rPr>
        <w:t>s mental illness or any state of mind aggravated by that mental illness.</w:t>
      </w:r>
      <w:r w:rsidRPr="00763B59">
        <w:rPr>
          <w:rStyle w:val="Style"/>
          <w:rFonts w:asciiTheme="minorHAnsi" w:hAnsiTheme="minorHAnsi"/>
        </w:rPr>
        <w:footnoteReference w:id="1183"/>
      </w:r>
      <w:r w:rsidR="005129D5" w:rsidRPr="00763B59">
        <w:rPr>
          <w:rFonts w:asciiTheme="minorHAnsi" w:hAnsiTheme="minorHAnsi"/>
        </w:rPr>
        <w:t xml:space="preserve">  </w:t>
      </w:r>
      <w:r w:rsidR="006B011D" w:rsidRPr="00763B59">
        <w:rPr>
          <w:rFonts w:asciiTheme="minorHAnsi" w:hAnsiTheme="minorHAnsi"/>
        </w:rPr>
        <w:t>The court must have regard to ordinary sentencing principles in making that estimate.</w:t>
      </w:r>
      <w:r w:rsidR="006B011D" w:rsidRPr="00763B59">
        <w:rPr>
          <w:rStyle w:val="Style"/>
          <w:rFonts w:asciiTheme="minorHAnsi" w:hAnsiTheme="minorHAnsi"/>
        </w:rPr>
        <w:footnoteReference w:id="1184"/>
      </w:r>
      <w:r w:rsidR="006B011D" w:rsidRPr="00763B59">
        <w:rPr>
          <w:rFonts w:asciiTheme="minorHAnsi" w:hAnsiTheme="minorHAnsi"/>
        </w:rPr>
        <w:t xml:space="preserve">  </w:t>
      </w:r>
      <w:r w:rsidR="005129D5" w:rsidRPr="00763B59">
        <w:rPr>
          <w:rFonts w:asciiTheme="minorHAnsi" w:hAnsiTheme="minorHAnsi"/>
        </w:rPr>
        <w:t>If the person has been found not guilty by reason of mental illness in relation to more than one Commonwealth offence, the judge should fix the period of the detention order so that it takes account of each federal offence of which the accused person has been acquitted on the ground of mental illness as if a total custodial sentence were being imposed after conviction.</w:t>
      </w:r>
      <w:r w:rsidR="005129D5" w:rsidRPr="00763B59">
        <w:rPr>
          <w:rStyle w:val="Style"/>
          <w:rFonts w:asciiTheme="minorHAnsi" w:hAnsiTheme="minorHAnsi"/>
        </w:rPr>
        <w:footnoteReference w:id="1185"/>
      </w:r>
    </w:p>
    <w:p w14:paraId="0E345F64" w14:textId="77777777" w:rsidR="00D56B83" w:rsidRPr="00763B59" w:rsidRDefault="00D56B83" w:rsidP="00EB7F1E">
      <w:pPr>
        <w:spacing w:line="276" w:lineRule="auto"/>
        <w:rPr>
          <w:rFonts w:asciiTheme="minorHAnsi" w:hAnsiTheme="minorHAnsi"/>
        </w:rPr>
      </w:pPr>
    </w:p>
    <w:p w14:paraId="027F9412" w14:textId="1D45F182" w:rsidR="00D56B83" w:rsidRPr="00763B59" w:rsidRDefault="00502F40"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If an order is made under s 20BJ(1), </w:t>
      </w:r>
      <w:r w:rsidR="00CF6789" w:rsidRPr="00763B59">
        <w:rPr>
          <w:rFonts w:asciiTheme="minorHAnsi" w:hAnsiTheme="minorHAnsi"/>
        </w:rPr>
        <w:t>the Attorney-General must conduct periodic reviews, and may order the person</w:t>
      </w:r>
      <w:r w:rsidR="00AA693C" w:rsidRPr="00763B59">
        <w:rPr>
          <w:rFonts w:asciiTheme="minorHAnsi" w:hAnsiTheme="minorHAnsi"/>
        </w:rPr>
        <w:t>’</w:t>
      </w:r>
      <w:r w:rsidR="00CF6789" w:rsidRPr="00763B59">
        <w:rPr>
          <w:rFonts w:asciiTheme="minorHAnsi" w:hAnsiTheme="minorHAnsi"/>
        </w:rPr>
        <w:t xml:space="preserve">s release: see </w:t>
      </w:r>
      <w:r w:rsidR="00885EFD" w:rsidRPr="00763B59">
        <w:rPr>
          <w:rFonts w:asciiTheme="minorHAnsi" w:hAnsiTheme="minorHAnsi"/>
          <w:i/>
        </w:rPr>
        <w:t>Crimes Act</w:t>
      </w:r>
      <w:r w:rsidR="00CF6789" w:rsidRPr="00763B59">
        <w:rPr>
          <w:rFonts w:asciiTheme="minorHAnsi" w:hAnsiTheme="minorHAnsi"/>
        </w:rPr>
        <w:t>, ss 20BK-20BP.</w:t>
      </w:r>
      <w:r w:rsidRPr="00763B59">
        <w:rPr>
          <w:rFonts w:asciiTheme="minorHAnsi" w:hAnsiTheme="minorHAnsi"/>
        </w:rPr>
        <w:t xml:space="preserve"> </w:t>
      </w:r>
    </w:p>
    <w:p w14:paraId="05BBF279" w14:textId="77777777" w:rsidR="004A18A8" w:rsidRPr="00B97CA2" w:rsidRDefault="004A18A8" w:rsidP="004A18A8">
      <w:pPr>
        <w:pStyle w:val="ListParagraph"/>
        <w:spacing w:line="276" w:lineRule="auto"/>
        <w:ind w:left="567" w:right="28" w:hanging="567"/>
        <w:rPr>
          <w:rFonts w:asciiTheme="minorHAnsi" w:hAnsiTheme="minorHAnsi"/>
          <w:highlight w:val="cyan"/>
        </w:rPr>
      </w:pPr>
    </w:p>
    <w:p w14:paraId="4F0DCA91" w14:textId="2A3D144C" w:rsidR="005F2BAC" w:rsidRPr="00763B59" w:rsidRDefault="00987107" w:rsidP="00407B97">
      <w:pPr>
        <w:pStyle w:val="Heading2"/>
        <w:rPr>
          <w:rStyle w:val="Strong"/>
          <w:b/>
        </w:rPr>
      </w:pPr>
      <w:bookmarkStart w:id="3561" w:name="_Ref11773523"/>
      <w:bookmarkStart w:id="3562" w:name="_Ref11773524"/>
      <w:bookmarkStart w:id="3563" w:name="_Toc33602986"/>
      <w:bookmarkStart w:id="3564" w:name="_Ref485743945"/>
      <w:r w:rsidRPr="00763B59">
        <w:rPr>
          <w:rStyle w:val="Strong"/>
          <w:b/>
        </w:rPr>
        <w:t>Disposition of persons suffering from m</w:t>
      </w:r>
      <w:r w:rsidR="005F2BAC" w:rsidRPr="00763B59">
        <w:rPr>
          <w:rStyle w:val="Strong"/>
          <w:b/>
        </w:rPr>
        <w:t>ental illness</w:t>
      </w:r>
      <w:r w:rsidR="004A18A8" w:rsidRPr="00763B59">
        <w:rPr>
          <w:rStyle w:val="Strong"/>
          <w:b/>
        </w:rPr>
        <w:t>/intellectual disability</w:t>
      </w:r>
      <w:bookmarkEnd w:id="3561"/>
      <w:bookmarkEnd w:id="3562"/>
      <w:bookmarkEnd w:id="3563"/>
      <w:r w:rsidR="005F2BAC" w:rsidRPr="00763B59">
        <w:rPr>
          <w:rStyle w:val="Strong"/>
          <w:b/>
        </w:rPr>
        <w:t xml:space="preserve"> </w:t>
      </w:r>
      <w:bookmarkEnd w:id="3557"/>
      <w:bookmarkEnd w:id="3558"/>
      <w:bookmarkEnd w:id="3564"/>
    </w:p>
    <w:p w14:paraId="5F20F2C4" w14:textId="7E91292C" w:rsidR="005F2BAC" w:rsidRPr="00763B59" w:rsidRDefault="005F2BAC" w:rsidP="00407B97">
      <w:pPr>
        <w:pStyle w:val="NormalIndent"/>
        <w:keepNext/>
        <w:widowControl w:val="0"/>
        <w:spacing w:line="276" w:lineRule="auto"/>
        <w:ind w:left="720"/>
        <w:rPr>
          <w:rFonts w:asciiTheme="minorHAnsi" w:hAnsiTheme="minorHAnsi"/>
        </w:rPr>
      </w:pPr>
    </w:p>
    <w:p w14:paraId="21E58415" w14:textId="7A688F48" w:rsidR="004E2A95" w:rsidRPr="00763B59" w:rsidRDefault="004E2A95" w:rsidP="004E2A95">
      <w:pPr>
        <w:pStyle w:val="Heading3"/>
      </w:pPr>
      <w:bookmarkStart w:id="3565" w:name="_Toc33602987"/>
      <w:r w:rsidRPr="00763B59">
        <w:t>Non-conviction disposition in summary proceeding</w:t>
      </w:r>
      <w:r w:rsidR="00CD5BF6" w:rsidRPr="00763B59">
        <w:t>s</w:t>
      </w:r>
      <w:bookmarkEnd w:id="3565"/>
    </w:p>
    <w:p w14:paraId="0E9DDE97" w14:textId="77777777" w:rsidR="004E2A95" w:rsidRPr="00763B59" w:rsidRDefault="004E2A95">
      <w:pPr>
        <w:pStyle w:val="NormalIndent"/>
        <w:keepNext/>
        <w:widowControl w:val="0"/>
        <w:spacing w:line="276" w:lineRule="auto"/>
        <w:ind w:left="720"/>
        <w:rPr>
          <w:rFonts w:asciiTheme="minorHAnsi" w:hAnsiTheme="minorHAnsi"/>
        </w:rPr>
      </w:pPr>
    </w:p>
    <w:p w14:paraId="2FF9E98E" w14:textId="509EEF7E" w:rsidR="004E2A95" w:rsidRPr="00763B59" w:rsidRDefault="007C2EA3">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Section 20BQ</w:t>
      </w:r>
      <w:r w:rsidR="004E2A95" w:rsidRPr="00763B59">
        <w:rPr>
          <w:rFonts w:asciiTheme="minorHAnsi" w:hAnsiTheme="minorHAnsi"/>
        </w:rPr>
        <w:t xml:space="preserve"> of the </w:t>
      </w:r>
      <w:r w:rsidR="004E2A95" w:rsidRPr="00763B59">
        <w:rPr>
          <w:rFonts w:asciiTheme="minorHAnsi" w:hAnsiTheme="minorHAnsi"/>
          <w:i/>
          <w:iCs/>
        </w:rPr>
        <w:t>Crimes Act 1914</w:t>
      </w:r>
      <w:r w:rsidR="004E2A95" w:rsidRPr="00763B59">
        <w:rPr>
          <w:rFonts w:asciiTheme="minorHAnsi" w:hAnsiTheme="minorHAnsi"/>
        </w:rPr>
        <w:t xml:space="preserve"> (Cth) </w:t>
      </w:r>
      <w:r w:rsidRPr="00763B59">
        <w:rPr>
          <w:rFonts w:asciiTheme="minorHAnsi" w:hAnsiTheme="minorHAnsi"/>
        </w:rPr>
        <w:t>creates</w:t>
      </w:r>
      <w:r w:rsidR="004E2A95" w:rsidRPr="00763B59">
        <w:rPr>
          <w:rFonts w:asciiTheme="minorHAnsi" w:hAnsiTheme="minorHAnsi"/>
        </w:rPr>
        <w:t xml:space="preserve"> a </w:t>
      </w:r>
      <w:r w:rsidR="00F03B8B" w:rsidRPr="00763B59">
        <w:rPr>
          <w:rFonts w:asciiTheme="minorHAnsi" w:hAnsiTheme="minorHAnsi"/>
        </w:rPr>
        <w:t>non-conviction disposition</w:t>
      </w:r>
      <w:r w:rsidR="004E2A95" w:rsidRPr="00763B59">
        <w:rPr>
          <w:rFonts w:asciiTheme="minorHAnsi" w:hAnsiTheme="minorHAnsi"/>
        </w:rPr>
        <w:t xml:space="preserve"> option for dealing with a defendant </w:t>
      </w:r>
      <w:r w:rsidR="00F058AC" w:rsidRPr="00763B59">
        <w:rPr>
          <w:rFonts w:asciiTheme="minorHAnsi" w:hAnsiTheme="minorHAnsi"/>
        </w:rPr>
        <w:t xml:space="preserve">who is suffering from mental illness or intellectual disability </w:t>
      </w:r>
      <w:r w:rsidR="004E2A95" w:rsidRPr="00763B59">
        <w:rPr>
          <w:rFonts w:asciiTheme="minorHAnsi" w:hAnsiTheme="minorHAnsi"/>
        </w:rPr>
        <w:t>in summary proceedings (including the summary determination of proceedings on indictment)</w:t>
      </w:r>
      <w:r w:rsidR="00CD5BF6" w:rsidRPr="00763B59">
        <w:rPr>
          <w:rFonts w:asciiTheme="minorHAnsi" w:hAnsiTheme="minorHAnsi"/>
        </w:rPr>
        <w:t>.</w:t>
      </w:r>
    </w:p>
    <w:p w14:paraId="59BE8E58" w14:textId="77777777" w:rsidR="007C2EA3" w:rsidRPr="00763B59" w:rsidRDefault="007C2EA3" w:rsidP="00EB7F1E">
      <w:pPr>
        <w:spacing w:line="276" w:lineRule="auto"/>
        <w:rPr>
          <w:rFonts w:asciiTheme="minorHAnsi" w:hAnsiTheme="minorHAnsi"/>
        </w:rPr>
      </w:pPr>
    </w:p>
    <w:p w14:paraId="77764127" w14:textId="5716FA16" w:rsidR="007C2EA3" w:rsidRPr="00763B59" w:rsidRDefault="007C2EA3">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As to the scope and operation of s 20BQ, see “</w:t>
      </w:r>
      <w:r w:rsidRPr="00763B59">
        <w:rPr>
          <w:rFonts w:asciiTheme="minorHAnsi" w:hAnsiTheme="minorHAnsi"/>
        </w:rPr>
        <w:fldChar w:fldCharType="begin"/>
      </w:r>
      <w:r w:rsidRPr="00763B59">
        <w:rPr>
          <w:rFonts w:asciiTheme="minorHAnsi" w:hAnsiTheme="minorHAnsi"/>
        </w:rPr>
        <w:instrText xml:space="preserve"> REF _Ref11071985 \r \h </w:instrText>
      </w:r>
      <w:r w:rsidR="00802FAE" w:rsidRPr="00763B59">
        <w:rPr>
          <w:rFonts w:asciiTheme="minorHAnsi" w:hAnsiTheme="minorHAnsi"/>
        </w:rPr>
        <w:instrText xml:space="preserve"> \* MERGEFORMAT </w:instrText>
      </w:r>
      <w:r w:rsidRPr="00763B59">
        <w:rPr>
          <w:rFonts w:asciiTheme="minorHAnsi" w:hAnsiTheme="minorHAnsi"/>
        </w:rPr>
      </w:r>
      <w:r w:rsidRPr="00763B59">
        <w:rPr>
          <w:rFonts w:asciiTheme="minorHAnsi" w:hAnsiTheme="minorHAnsi"/>
        </w:rPr>
        <w:fldChar w:fldCharType="separate"/>
      </w:r>
      <w:r w:rsidR="00D44BCF">
        <w:rPr>
          <w:rFonts w:asciiTheme="minorHAnsi" w:hAnsiTheme="minorHAnsi"/>
        </w:rPr>
        <w:t>8.4.2</w:t>
      </w:r>
      <w:r w:rsidRPr="00763B59">
        <w:rPr>
          <w:rFonts w:asciiTheme="minorHAnsi" w:hAnsiTheme="minorHAnsi"/>
        </w:rPr>
        <w:fldChar w:fldCharType="end"/>
      </w:r>
      <w:r w:rsidRPr="00763B59">
        <w:rPr>
          <w:rFonts w:asciiTheme="minorHAnsi" w:hAnsiTheme="minorHAnsi"/>
        </w:rPr>
        <w:t xml:space="preserve"> </w:t>
      </w:r>
      <w:r w:rsidRPr="00763B59">
        <w:rPr>
          <w:rFonts w:asciiTheme="minorHAnsi" w:hAnsiTheme="minorHAnsi"/>
        </w:rPr>
        <w:fldChar w:fldCharType="begin"/>
      </w:r>
      <w:r w:rsidRPr="00763B59">
        <w:rPr>
          <w:rFonts w:asciiTheme="minorHAnsi" w:hAnsiTheme="minorHAnsi"/>
        </w:rPr>
        <w:instrText xml:space="preserve"> REF _Ref11071985 \h </w:instrText>
      </w:r>
      <w:r w:rsidR="00802FAE" w:rsidRPr="00763B59">
        <w:rPr>
          <w:rFonts w:asciiTheme="minorHAnsi" w:hAnsiTheme="minorHAnsi"/>
        </w:rPr>
        <w:instrText xml:space="preserve"> \* MERGEFORMAT </w:instrText>
      </w:r>
      <w:r w:rsidRPr="00763B59">
        <w:rPr>
          <w:rFonts w:asciiTheme="minorHAnsi" w:hAnsiTheme="minorHAnsi"/>
        </w:rPr>
      </w:r>
      <w:r w:rsidRPr="00763B59">
        <w:rPr>
          <w:rFonts w:asciiTheme="minorHAnsi" w:hAnsiTheme="minorHAnsi"/>
        </w:rPr>
        <w:fldChar w:fldCharType="separate"/>
      </w:r>
      <w:r w:rsidR="00D44BCF" w:rsidRPr="00D44BCF">
        <w:rPr>
          <w:rFonts w:asciiTheme="minorHAnsi" w:hAnsiTheme="minorHAnsi"/>
        </w:rPr>
        <w:t>Unfitness in summary proceedings</w:t>
      </w:r>
      <w:r w:rsidRPr="00763B59">
        <w:rPr>
          <w:rFonts w:asciiTheme="minorHAnsi" w:hAnsiTheme="minorHAnsi"/>
        </w:rPr>
        <w:fldChar w:fldCharType="end"/>
      </w:r>
      <w:r w:rsidRPr="00763B59">
        <w:rPr>
          <w:rFonts w:asciiTheme="minorHAnsi" w:hAnsiTheme="minorHAnsi"/>
        </w:rPr>
        <w:t xml:space="preserve">”. </w:t>
      </w:r>
      <w:r w:rsidR="00802FAE" w:rsidRPr="00763B59">
        <w:rPr>
          <w:rFonts w:asciiTheme="minorHAnsi" w:hAnsiTheme="minorHAnsi"/>
        </w:rPr>
        <w:t xml:space="preserve"> It has been held that the provision is available only </w:t>
      </w:r>
      <w:r w:rsidR="00802FAE" w:rsidRPr="00763B59">
        <w:rPr>
          <w:rFonts w:asciiTheme="minorHAnsi" w:hAnsiTheme="minorHAnsi" w:cstheme="minorHAnsi"/>
        </w:rPr>
        <w:t>when no plea has been entered and that it has no application where a defendant is fit to plead</w:t>
      </w:r>
      <w:r w:rsidR="00F03B8B" w:rsidRPr="00763B59">
        <w:rPr>
          <w:rFonts w:asciiTheme="minorHAnsi" w:hAnsiTheme="minorHAnsi" w:cstheme="minorHAnsi"/>
        </w:rPr>
        <w:t>.</w:t>
      </w:r>
      <w:r w:rsidR="00802FAE" w:rsidRPr="00763B59">
        <w:rPr>
          <w:rStyle w:val="Style"/>
          <w:rFonts w:asciiTheme="minorHAnsi" w:hAnsiTheme="minorHAnsi"/>
        </w:rPr>
        <w:footnoteReference w:id="1186"/>
      </w:r>
      <w:r w:rsidR="00802FAE" w:rsidRPr="00763B59">
        <w:rPr>
          <w:rFonts w:asciiTheme="minorHAnsi" w:hAnsiTheme="minorHAnsi" w:cstheme="minorHAnsi"/>
        </w:rPr>
        <w:t xml:space="preserve"> </w:t>
      </w:r>
      <w:r w:rsidR="00F03B8B" w:rsidRPr="00763B59">
        <w:rPr>
          <w:rFonts w:asciiTheme="minorHAnsi" w:hAnsiTheme="minorHAnsi" w:cstheme="minorHAnsi"/>
        </w:rPr>
        <w:t xml:space="preserve"> However it is arguable </w:t>
      </w:r>
      <w:r w:rsidR="00802FAE" w:rsidRPr="00763B59">
        <w:rPr>
          <w:rFonts w:asciiTheme="minorHAnsi" w:hAnsiTheme="minorHAnsi" w:cstheme="minorHAnsi"/>
        </w:rPr>
        <w:t>that</w:t>
      </w:r>
      <w:r w:rsidR="00373004" w:rsidRPr="00763B59">
        <w:rPr>
          <w:rFonts w:asciiTheme="minorHAnsi" w:hAnsiTheme="minorHAnsi" w:cstheme="minorHAnsi"/>
        </w:rPr>
        <w:t>, contrary to these decisions,</w:t>
      </w:r>
      <w:r w:rsidR="00802FAE" w:rsidRPr="00763B59">
        <w:rPr>
          <w:rFonts w:asciiTheme="minorHAnsi" w:hAnsiTheme="minorHAnsi" w:cstheme="minorHAnsi"/>
        </w:rPr>
        <w:t xml:space="preserve"> </w:t>
      </w:r>
      <w:r w:rsidR="00373004" w:rsidRPr="00763B59">
        <w:rPr>
          <w:rFonts w:asciiTheme="minorHAnsi" w:hAnsiTheme="minorHAnsi" w:cstheme="minorHAnsi"/>
        </w:rPr>
        <w:t xml:space="preserve">a disposition option under s 20BQ </w:t>
      </w:r>
      <w:r w:rsidR="00802FAE" w:rsidRPr="00763B59">
        <w:rPr>
          <w:rFonts w:asciiTheme="minorHAnsi" w:hAnsiTheme="minorHAnsi" w:cstheme="minorHAnsi"/>
        </w:rPr>
        <w:t>is available</w:t>
      </w:r>
      <w:r w:rsidR="000E3363" w:rsidRPr="00763B59">
        <w:rPr>
          <w:rFonts w:asciiTheme="minorHAnsi" w:hAnsiTheme="minorHAnsi" w:cstheme="minorHAnsi"/>
        </w:rPr>
        <w:t xml:space="preserve">, according to the terms of </w:t>
      </w:r>
      <w:r w:rsidR="00373004" w:rsidRPr="00763B59">
        <w:rPr>
          <w:rFonts w:asciiTheme="minorHAnsi" w:hAnsiTheme="minorHAnsi" w:cstheme="minorHAnsi"/>
        </w:rPr>
        <w:t xml:space="preserve">the section </w:t>
      </w:r>
      <w:r w:rsidR="000E3363" w:rsidRPr="00763B59">
        <w:rPr>
          <w:rFonts w:asciiTheme="minorHAnsi" w:hAnsiTheme="minorHAnsi" w:cstheme="minorHAnsi"/>
        </w:rPr>
        <w:t>itself,</w:t>
      </w:r>
      <w:r w:rsidR="00802FAE" w:rsidRPr="00763B59">
        <w:rPr>
          <w:rFonts w:asciiTheme="minorHAnsi" w:hAnsiTheme="minorHAnsi" w:cstheme="minorHAnsi"/>
        </w:rPr>
        <w:t xml:space="preserve"> whenever a defendant in summary proceedings is suffering from a mental illness or intellectual disability.</w:t>
      </w:r>
    </w:p>
    <w:p w14:paraId="4A325DE0" w14:textId="77777777" w:rsidR="007C2EA3" w:rsidRPr="00763B59" w:rsidRDefault="007C2EA3" w:rsidP="00EB7F1E">
      <w:pPr>
        <w:spacing w:line="276" w:lineRule="auto"/>
        <w:rPr>
          <w:rFonts w:asciiTheme="minorHAnsi" w:hAnsiTheme="minorHAnsi"/>
        </w:rPr>
      </w:pPr>
    </w:p>
    <w:p w14:paraId="5039AA85" w14:textId="2DE84D62" w:rsidR="00CD5BF6" w:rsidRPr="00763B59" w:rsidRDefault="007C2EA3" w:rsidP="00EB7F1E">
      <w:pPr>
        <w:pStyle w:val="Heading3"/>
      </w:pPr>
      <w:bookmarkStart w:id="3566" w:name="_Toc33602988"/>
      <w:r w:rsidRPr="00763B59">
        <w:t>Post-conviction dispositions</w:t>
      </w:r>
      <w:bookmarkEnd w:id="3566"/>
    </w:p>
    <w:p w14:paraId="7451268E" w14:textId="77777777" w:rsidR="00CD5BF6" w:rsidRPr="00763B59" w:rsidRDefault="00CD5BF6" w:rsidP="00EB7F1E">
      <w:pPr>
        <w:pStyle w:val="NormalIndent"/>
        <w:keepNext/>
        <w:widowControl w:val="0"/>
        <w:spacing w:line="276" w:lineRule="auto"/>
        <w:ind w:left="720"/>
        <w:rPr>
          <w:rFonts w:asciiTheme="minorHAnsi" w:hAnsiTheme="minorHAnsi"/>
        </w:rPr>
      </w:pPr>
    </w:p>
    <w:p w14:paraId="1158E31A" w14:textId="0D6F738B" w:rsidR="00B96D3E" w:rsidRPr="00763B59" w:rsidRDefault="00594C55" w:rsidP="00EB7F1E">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Division 9 of Part 1B of t</w:t>
      </w:r>
      <w:r w:rsidR="0053432F" w:rsidRPr="00763B59">
        <w:rPr>
          <w:rFonts w:asciiTheme="minorHAnsi" w:hAnsiTheme="minorHAnsi"/>
        </w:rPr>
        <w:t xml:space="preserve">he </w:t>
      </w:r>
      <w:r w:rsidR="00885EFD" w:rsidRPr="00763B59">
        <w:rPr>
          <w:rFonts w:asciiTheme="minorHAnsi" w:hAnsiTheme="minorHAnsi"/>
          <w:i/>
        </w:rPr>
        <w:t>Crimes Act 1914</w:t>
      </w:r>
      <w:r w:rsidR="0053432F" w:rsidRPr="00763B59">
        <w:rPr>
          <w:rFonts w:asciiTheme="minorHAnsi" w:hAnsiTheme="minorHAnsi"/>
          <w:i/>
        </w:rPr>
        <w:t xml:space="preserve"> </w:t>
      </w:r>
      <w:r w:rsidR="0053432F" w:rsidRPr="00763B59">
        <w:rPr>
          <w:rFonts w:asciiTheme="minorHAnsi" w:hAnsiTheme="minorHAnsi"/>
        </w:rPr>
        <w:t xml:space="preserve">(Cth) </w:t>
      </w:r>
      <w:r w:rsidR="001D322A" w:rsidRPr="00763B59">
        <w:rPr>
          <w:rFonts w:asciiTheme="minorHAnsi" w:hAnsiTheme="minorHAnsi"/>
        </w:rPr>
        <w:t xml:space="preserve">provides for </w:t>
      </w:r>
      <w:r w:rsidR="007C2EA3" w:rsidRPr="00763B59">
        <w:rPr>
          <w:rFonts w:asciiTheme="minorHAnsi" w:hAnsiTheme="minorHAnsi"/>
        </w:rPr>
        <w:t xml:space="preserve">post-conviction </w:t>
      </w:r>
      <w:r w:rsidR="0053432F" w:rsidRPr="00763B59">
        <w:rPr>
          <w:rFonts w:asciiTheme="minorHAnsi" w:hAnsiTheme="minorHAnsi"/>
        </w:rPr>
        <w:t xml:space="preserve">dispositions for </w:t>
      </w:r>
      <w:r w:rsidR="007C2EA3" w:rsidRPr="00763B59">
        <w:rPr>
          <w:rFonts w:asciiTheme="minorHAnsi" w:hAnsiTheme="minorHAnsi"/>
        </w:rPr>
        <w:t xml:space="preserve">federal offenders </w:t>
      </w:r>
      <w:r w:rsidR="0053432F" w:rsidRPr="00763B59">
        <w:rPr>
          <w:rFonts w:asciiTheme="minorHAnsi" w:hAnsiTheme="minorHAnsi"/>
        </w:rPr>
        <w:t xml:space="preserve">suffering from mental illness (within the meaning of the civil law of the </w:t>
      </w:r>
      <w:r w:rsidR="000B733F" w:rsidRPr="00763B59">
        <w:rPr>
          <w:rFonts w:asciiTheme="minorHAnsi" w:hAnsiTheme="minorHAnsi"/>
        </w:rPr>
        <w:t xml:space="preserve">State </w:t>
      </w:r>
      <w:r w:rsidR="0053432F" w:rsidRPr="00763B59">
        <w:rPr>
          <w:rFonts w:asciiTheme="minorHAnsi" w:hAnsiTheme="minorHAnsi"/>
        </w:rPr>
        <w:t xml:space="preserve">or </w:t>
      </w:r>
      <w:r w:rsidR="000B733F" w:rsidRPr="00763B59">
        <w:rPr>
          <w:rFonts w:asciiTheme="minorHAnsi" w:hAnsiTheme="minorHAnsi"/>
        </w:rPr>
        <w:t>Territory</w:t>
      </w:r>
      <w:r w:rsidR="0053432F" w:rsidRPr="00763B59">
        <w:rPr>
          <w:rFonts w:asciiTheme="minorHAnsi" w:hAnsiTheme="minorHAnsi"/>
        </w:rPr>
        <w:t>) or intellectual disability.</w:t>
      </w:r>
      <w:r w:rsidR="006C3276" w:rsidRPr="00763B59">
        <w:rPr>
          <w:rStyle w:val="Style"/>
          <w:rFonts w:asciiTheme="minorHAnsi" w:hAnsiTheme="minorHAnsi"/>
        </w:rPr>
        <w:footnoteReference w:id="1187"/>
      </w:r>
    </w:p>
    <w:p w14:paraId="5F4E7436" w14:textId="77777777" w:rsidR="00FC0131" w:rsidRPr="00763B59" w:rsidRDefault="00FC0131" w:rsidP="007C11C2">
      <w:pPr>
        <w:pStyle w:val="ListParagraph"/>
        <w:spacing w:line="276" w:lineRule="auto"/>
        <w:ind w:left="567" w:right="28" w:hanging="567"/>
        <w:rPr>
          <w:rFonts w:asciiTheme="minorHAnsi" w:hAnsiTheme="minorHAnsi"/>
        </w:rPr>
      </w:pPr>
    </w:p>
    <w:p w14:paraId="7D0FAE1F" w14:textId="7FF27BF6" w:rsidR="00C141A9" w:rsidRPr="00763B59" w:rsidRDefault="00C141A9">
      <w:pPr>
        <w:pStyle w:val="ListParagraph"/>
        <w:numPr>
          <w:ilvl w:val="0"/>
          <w:numId w:val="7"/>
        </w:numPr>
        <w:spacing w:line="276" w:lineRule="auto"/>
        <w:ind w:left="425" w:hanging="425"/>
        <w:rPr>
          <w:rFonts w:asciiTheme="minorHAnsi" w:hAnsiTheme="minorHAnsi"/>
        </w:rPr>
      </w:pPr>
      <w:r w:rsidRPr="00763B59">
        <w:rPr>
          <w:rFonts w:asciiTheme="minorHAnsi" w:hAnsiTheme="minorHAnsi"/>
        </w:rPr>
        <w:t xml:space="preserve">Commonwealth </w:t>
      </w:r>
      <w:r w:rsidR="000E3363" w:rsidRPr="00763B59">
        <w:rPr>
          <w:rFonts w:asciiTheme="minorHAnsi" w:hAnsiTheme="minorHAnsi"/>
        </w:rPr>
        <w:t xml:space="preserve">post-conviction </w:t>
      </w:r>
      <w:r w:rsidRPr="00763B59">
        <w:rPr>
          <w:rFonts w:asciiTheme="minorHAnsi" w:hAnsiTheme="minorHAnsi"/>
        </w:rPr>
        <w:t>disposition options relating to those suffering from mental illness or intellectual disability are:</w:t>
      </w:r>
    </w:p>
    <w:p w14:paraId="4407E44B" w14:textId="77777777" w:rsidR="00A47AA0" w:rsidRPr="00763B59" w:rsidRDefault="00A47AA0" w:rsidP="00EB7F1E">
      <w:pPr>
        <w:spacing w:line="276" w:lineRule="auto"/>
        <w:rPr>
          <w:rFonts w:asciiTheme="minorHAnsi" w:hAnsiTheme="minorHAnsi"/>
        </w:rPr>
      </w:pP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18"/>
        <w:gridCol w:w="4961"/>
      </w:tblGrid>
      <w:tr w:rsidR="00C141A9" w:rsidRPr="00763B59" w14:paraId="3D5DBB97" w14:textId="77777777" w:rsidTr="00EB7F1E">
        <w:trPr>
          <w:cantSplit/>
          <w:trHeight w:val="495"/>
          <w:tblHeader/>
        </w:trPr>
        <w:tc>
          <w:tcPr>
            <w:tcW w:w="1134" w:type="dxa"/>
            <w:shd w:val="clear" w:color="auto" w:fill="D9D9D9" w:themeFill="background1" w:themeFillShade="D9"/>
            <w:vAlign w:val="center"/>
          </w:tcPr>
          <w:p w14:paraId="2386901A" w14:textId="77777777" w:rsidR="00C141A9" w:rsidRPr="00763B59" w:rsidRDefault="00C141A9" w:rsidP="00407B97">
            <w:pPr>
              <w:pStyle w:val="Body"/>
              <w:keepNext/>
              <w:spacing w:line="276" w:lineRule="auto"/>
              <w:ind w:left="34" w:right="-34"/>
              <w:jc w:val="center"/>
              <w:rPr>
                <w:rFonts w:ascii="Calibri" w:hAnsi="Calibri"/>
                <w:b/>
                <w:i/>
                <w:lang w:val="en-AU"/>
              </w:rPr>
            </w:pPr>
            <w:r w:rsidRPr="00763B59">
              <w:rPr>
                <w:rFonts w:ascii="Calibri" w:hAnsi="Calibri"/>
                <w:b/>
                <w:i/>
                <w:lang w:val="en-AU"/>
              </w:rPr>
              <w:t>Section</w:t>
            </w:r>
          </w:p>
        </w:tc>
        <w:tc>
          <w:tcPr>
            <w:tcW w:w="3118" w:type="dxa"/>
            <w:shd w:val="clear" w:color="auto" w:fill="D9D9D9" w:themeFill="background1" w:themeFillShade="D9"/>
            <w:vAlign w:val="center"/>
          </w:tcPr>
          <w:p w14:paraId="7C530A43" w14:textId="77777777" w:rsidR="00C141A9" w:rsidRPr="00763B59" w:rsidRDefault="00C141A9" w:rsidP="00407B97">
            <w:pPr>
              <w:pStyle w:val="Body"/>
              <w:keepNext/>
              <w:spacing w:line="276" w:lineRule="auto"/>
              <w:ind w:left="153" w:right="28"/>
              <w:jc w:val="center"/>
              <w:rPr>
                <w:rFonts w:ascii="Calibri" w:hAnsi="Calibri"/>
                <w:b/>
                <w:i/>
                <w:lang w:val="en-AU"/>
              </w:rPr>
            </w:pPr>
            <w:r w:rsidRPr="00763B59">
              <w:rPr>
                <w:rFonts w:ascii="Calibri" w:hAnsi="Calibri"/>
                <w:b/>
                <w:i/>
                <w:lang w:val="en-AU"/>
              </w:rPr>
              <w:t>Outcome</w:t>
            </w:r>
          </w:p>
        </w:tc>
        <w:tc>
          <w:tcPr>
            <w:tcW w:w="4961" w:type="dxa"/>
            <w:shd w:val="clear" w:color="auto" w:fill="D9D9D9" w:themeFill="background1" w:themeFillShade="D9"/>
            <w:vAlign w:val="center"/>
          </w:tcPr>
          <w:p w14:paraId="18BD9DDC" w14:textId="77777777" w:rsidR="00313907" w:rsidRPr="00763B59" w:rsidRDefault="00C141A9" w:rsidP="00407B97">
            <w:pPr>
              <w:pStyle w:val="Body"/>
              <w:keepNext/>
              <w:tabs>
                <w:tab w:val="clear" w:pos="284"/>
              </w:tabs>
              <w:spacing w:line="276" w:lineRule="auto"/>
              <w:ind w:left="20" w:right="28"/>
              <w:jc w:val="center"/>
              <w:rPr>
                <w:rFonts w:ascii="Calibri" w:hAnsi="Calibri"/>
                <w:b/>
                <w:i/>
                <w:lang w:val="en-AU"/>
              </w:rPr>
            </w:pPr>
            <w:r w:rsidRPr="00763B59">
              <w:rPr>
                <w:rFonts w:ascii="Calibri" w:hAnsi="Calibri"/>
                <w:b/>
                <w:i/>
                <w:lang w:val="en-AU"/>
              </w:rPr>
              <w:t>Summary/Indictable Disposition</w:t>
            </w:r>
          </w:p>
        </w:tc>
      </w:tr>
      <w:tr w:rsidR="00C141A9" w:rsidRPr="00763B59" w14:paraId="5B86A6E8" w14:textId="77777777" w:rsidTr="00EB7F1E">
        <w:trPr>
          <w:trHeight w:val="992"/>
        </w:trPr>
        <w:tc>
          <w:tcPr>
            <w:tcW w:w="1134" w:type="dxa"/>
            <w:vAlign w:val="center"/>
          </w:tcPr>
          <w:p w14:paraId="6A72B648" w14:textId="77777777" w:rsidR="00C141A9" w:rsidRPr="00763B59" w:rsidRDefault="00C141A9" w:rsidP="007C11C2">
            <w:pPr>
              <w:pStyle w:val="Body"/>
              <w:spacing w:line="276" w:lineRule="auto"/>
              <w:ind w:left="34" w:right="-34"/>
              <w:jc w:val="center"/>
              <w:rPr>
                <w:rFonts w:ascii="Calibri" w:hAnsi="Calibri"/>
                <w:b/>
                <w:lang w:val="en-AU"/>
              </w:rPr>
            </w:pPr>
            <w:r w:rsidRPr="00763B59">
              <w:rPr>
                <w:rFonts w:ascii="Calibri" w:hAnsi="Calibri"/>
                <w:b/>
                <w:lang w:val="en-AU"/>
              </w:rPr>
              <w:t>20BS</w:t>
            </w:r>
          </w:p>
        </w:tc>
        <w:tc>
          <w:tcPr>
            <w:tcW w:w="3118" w:type="dxa"/>
            <w:vAlign w:val="center"/>
          </w:tcPr>
          <w:p w14:paraId="4DC7C571" w14:textId="77777777" w:rsidR="00C141A9" w:rsidRPr="00763B59" w:rsidRDefault="00C141A9" w:rsidP="007C11C2">
            <w:pPr>
              <w:pStyle w:val="Body"/>
              <w:tabs>
                <w:tab w:val="clear" w:pos="284"/>
              </w:tabs>
              <w:spacing w:line="276" w:lineRule="auto"/>
              <w:ind w:left="153" w:right="28"/>
              <w:rPr>
                <w:rFonts w:ascii="Calibri" w:hAnsi="Calibri"/>
                <w:b/>
                <w:lang w:val="en-AU"/>
              </w:rPr>
            </w:pPr>
            <w:r w:rsidRPr="00763B59">
              <w:rPr>
                <w:rFonts w:ascii="Calibri" w:hAnsi="Calibri"/>
                <w:b/>
                <w:lang w:val="en-AU"/>
              </w:rPr>
              <w:t>Hospital Order</w:t>
            </w:r>
          </w:p>
        </w:tc>
        <w:tc>
          <w:tcPr>
            <w:tcW w:w="4961" w:type="dxa"/>
            <w:vAlign w:val="center"/>
          </w:tcPr>
          <w:p w14:paraId="03EE5F5D" w14:textId="77777777" w:rsidR="00313907" w:rsidRPr="00763B59" w:rsidRDefault="00C141A9" w:rsidP="007C11C2">
            <w:pPr>
              <w:pStyle w:val="Body"/>
              <w:tabs>
                <w:tab w:val="clear" w:pos="284"/>
              </w:tabs>
              <w:spacing w:line="276" w:lineRule="auto"/>
              <w:ind w:left="20" w:right="28"/>
              <w:rPr>
                <w:rFonts w:ascii="Calibri" w:hAnsi="Calibri"/>
                <w:lang w:val="en-AU"/>
              </w:rPr>
            </w:pPr>
            <w:r w:rsidRPr="00763B59">
              <w:rPr>
                <w:rFonts w:ascii="Calibri" w:hAnsi="Calibri"/>
                <w:lang w:val="en-AU"/>
              </w:rPr>
              <w:t xml:space="preserve">On </w:t>
            </w:r>
            <w:r w:rsidRPr="00763B59">
              <w:rPr>
                <w:rFonts w:ascii="Calibri" w:hAnsi="Calibri"/>
                <w:u w:val="single"/>
                <w:lang w:val="en-AU"/>
              </w:rPr>
              <w:t>indictment only</w:t>
            </w:r>
            <w:r w:rsidRPr="00763B59">
              <w:rPr>
                <w:rFonts w:ascii="Calibri" w:hAnsi="Calibri"/>
                <w:b/>
                <w:bCs/>
                <w:lang w:val="en-AU"/>
              </w:rPr>
              <w:t xml:space="preserve"> </w:t>
            </w:r>
            <w:r w:rsidRPr="00763B59">
              <w:rPr>
                <w:rFonts w:ascii="Calibri" w:hAnsi="Calibri"/>
                <w:lang w:val="en-AU"/>
              </w:rPr>
              <w:t>– where defendant convicted and person suffering from mental illness which contributed to offence.</w:t>
            </w:r>
          </w:p>
          <w:p w14:paraId="6ACD280F" w14:textId="77777777" w:rsidR="006801F8" w:rsidRPr="00763B59" w:rsidRDefault="006801F8" w:rsidP="007C11C2">
            <w:pPr>
              <w:pStyle w:val="Body"/>
              <w:tabs>
                <w:tab w:val="clear" w:pos="284"/>
              </w:tabs>
              <w:spacing w:line="276" w:lineRule="auto"/>
              <w:ind w:left="20" w:right="28"/>
              <w:rPr>
                <w:rFonts w:ascii="Calibri" w:hAnsi="Calibri"/>
                <w:lang w:val="en-AU"/>
              </w:rPr>
            </w:pPr>
          </w:p>
        </w:tc>
      </w:tr>
      <w:tr w:rsidR="00C141A9" w:rsidRPr="00763B59" w14:paraId="24F4E73C" w14:textId="77777777" w:rsidTr="00EB7F1E">
        <w:trPr>
          <w:trHeight w:val="978"/>
        </w:trPr>
        <w:tc>
          <w:tcPr>
            <w:tcW w:w="1134" w:type="dxa"/>
            <w:vAlign w:val="center"/>
          </w:tcPr>
          <w:p w14:paraId="57BDFC01" w14:textId="77777777" w:rsidR="00C141A9" w:rsidRPr="00763B59" w:rsidRDefault="00C141A9" w:rsidP="007C11C2">
            <w:pPr>
              <w:pStyle w:val="Body"/>
              <w:spacing w:line="276" w:lineRule="auto"/>
              <w:ind w:left="34" w:right="-34"/>
              <w:jc w:val="center"/>
              <w:rPr>
                <w:rFonts w:ascii="Calibri" w:hAnsi="Calibri"/>
                <w:b/>
                <w:lang w:val="en-AU"/>
              </w:rPr>
            </w:pPr>
            <w:r w:rsidRPr="00763B59">
              <w:rPr>
                <w:rFonts w:ascii="Calibri" w:hAnsi="Calibri"/>
                <w:b/>
                <w:lang w:val="en-AU"/>
              </w:rPr>
              <w:t>20BV</w:t>
            </w:r>
          </w:p>
        </w:tc>
        <w:tc>
          <w:tcPr>
            <w:tcW w:w="3118" w:type="dxa"/>
            <w:vAlign w:val="center"/>
          </w:tcPr>
          <w:p w14:paraId="2E799785" w14:textId="77777777" w:rsidR="00C141A9" w:rsidRPr="00763B59" w:rsidRDefault="00C141A9" w:rsidP="007C11C2">
            <w:pPr>
              <w:pStyle w:val="Body"/>
              <w:tabs>
                <w:tab w:val="clear" w:pos="284"/>
              </w:tabs>
              <w:spacing w:line="276" w:lineRule="auto"/>
              <w:ind w:left="153" w:right="28"/>
              <w:rPr>
                <w:rFonts w:ascii="Calibri" w:hAnsi="Calibri"/>
                <w:b/>
                <w:lang w:val="en-AU"/>
              </w:rPr>
            </w:pPr>
            <w:r w:rsidRPr="00763B59">
              <w:rPr>
                <w:rFonts w:ascii="Calibri" w:hAnsi="Calibri"/>
                <w:b/>
                <w:lang w:val="en-AU"/>
              </w:rPr>
              <w:t>Psychiatric Probation Order</w:t>
            </w:r>
          </w:p>
        </w:tc>
        <w:tc>
          <w:tcPr>
            <w:tcW w:w="4961" w:type="dxa"/>
            <w:vAlign w:val="center"/>
          </w:tcPr>
          <w:p w14:paraId="09B6850A" w14:textId="77777777" w:rsidR="00313907" w:rsidRPr="00763B59" w:rsidRDefault="00C141A9" w:rsidP="007C11C2">
            <w:pPr>
              <w:pStyle w:val="Body"/>
              <w:tabs>
                <w:tab w:val="clear" w:pos="284"/>
              </w:tabs>
              <w:spacing w:line="276" w:lineRule="auto"/>
              <w:ind w:left="20" w:right="28"/>
              <w:rPr>
                <w:rFonts w:ascii="Calibri" w:hAnsi="Calibri"/>
                <w:lang w:val="en-AU"/>
              </w:rPr>
            </w:pPr>
            <w:r w:rsidRPr="00763B59">
              <w:rPr>
                <w:rFonts w:ascii="Calibri" w:hAnsi="Calibri"/>
                <w:u w:val="single"/>
                <w:lang w:val="en-AU"/>
              </w:rPr>
              <w:t>Summary/Indictable</w:t>
            </w:r>
            <w:r w:rsidRPr="00763B59">
              <w:rPr>
                <w:rFonts w:ascii="Calibri" w:hAnsi="Calibri"/>
                <w:lang w:val="en-AU"/>
              </w:rPr>
              <w:t xml:space="preserve"> – where defendant convicted and suffering from mental illness which contributed to offence.</w:t>
            </w:r>
          </w:p>
          <w:p w14:paraId="3A1A7B31" w14:textId="77777777" w:rsidR="006801F8" w:rsidRPr="00763B59" w:rsidRDefault="006801F8" w:rsidP="007C11C2">
            <w:pPr>
              <w:pStyle w:val="Body"/>
              <w:tabs>
                <w:tab w:val="clear" w:pos="284"/>
              </w:tabs>
              <w:spacing w:line="276" w:lineRule="auto"/>
              <w:ind w:left="20" w:right="28"/>
              <w:rPr>
                <w:rFonts w:ascii="Calibri" w:hAnsi="Calibri"/>
                <w:lang w:val="en-AU"/>
              </w:rPr>
            </w:pPr>
          </w:p>
        </w:tc>
      </w:tr>
      <w:tr w:rsidR="00594C55" w:rsidRPr="009A5082" w14:paraId="3D3A1783" w14:textId="77777777" w:rsidTr="00594C55">
        <w:trPr>
          <w:trHeight w:val="978"/>
        </w:trPr>
        <w:tc>
          <w:tcPr>
            <w:tcW w:w="1134" w:type="dxa"/>
            <w:tcBorders>
              <w:top w:val="single" w:sz="4" w:space="0" w:color="auto"/>
              <w:left w:val="single" w:sz="4" w:space="0" w:color="auto"/>
              <w:bottom w:val="single" w:sz="4" w:space="0" w:color="auto"/>
              <w:right w:val="single" w:sz="4" w:space="0" w:color="auto"/>
            </w:tcBorders>
            <w:vAlign w:val="center"/>
          </w:tcPr>
          <w:p w14:paraId="1218B3EA" w14:textId="1C999D18" w:rsidR="00594C55" w:rsidRPr="00763B59" w:rsidRDefault="00594C55" w:rsidP="00594C55">
            <w:pPr>
              <w:pStyle w:val="Body"/>
              <w:spacing w:line="276" w:lineRule="auto"/>
              <w:ind w:left="34" w:right="-34"/>
              <w:jc w:val="center"/>
              <w:rPr>
                <w:rFonts w:ascii="Calibri" w:hAnsi="Calibri"/>
                <w:b/>
                <w:lang w:val="en-AU"/>
              </w:rPr>
            </w:pPr>
            <w:r w:rsidRPr="00763B59">
              <w:rPr>
                <w:rFonts w:ascii="Calibri" w:hAnsi="Calibri"/>
                <w:b/>
                <w:lang w:val="en-AU"/>
              </w:rPr>
              <w:t>20BY</w:t>
            </w:r>
          </w:p>
        </w:tc>
        <w:tc>
          <w:tcPr>
            <w:tcW w:w="3118" w:type="dxa"/>
            <w:tcBorders>
              <w:top w:val="single" w:sz="4" w:space="0" w:color="auto"/>
              <w:left w:val="single" w:sz="4" w:space="0" w:color="auto"/>
              <w:bottom w:val="single" w:sz="4" w:space="0" w:color="auto"/>
              <w:right w:val="single" w:sz="4" w:space="0" w:color="auto"/>
            </w:tcBorders>
            <w:vAlign w:val="center"/>
          </w:tcPr>
          <w:p w14:paraId="58BADE24" w14:textId="53861FCC" w:rsidR="00594C55" w:rsidRPr="00763B59" w:rsidRDefault="00594C55" w:rsidP="00594C55">
            <w:pPr>
              <w:pStyle w:val="Body"/>
              <w:tabs>
                <w:tab w:val="clear" w:pos="284"/>
              </w:tabs>
              <w:spacing w:line="276" w:lineRule="auto"/>
              <w:ind w:left="153" w:right="28"/>
              <w:rPr>
                <w:rFonts w:ascii="Calibri" w:hAnsi="Calibri"/>
                <w:b/>
                <w:lang w:val="en-AU"/>
              </w:rPr>
            </w:pPr>
            <w:r w:rsidRPr="00763B59">
              <w:rPr>
                <w:rFonts w:ascii="Calibri" w:hAnsi="Calibri"/>
                <w:b/>
                <w:lang w:val="en-AU"/>
              </w:rPr>
              <w:t>Program Probation Order</w:t>
            </w:r>
          </w:p>
        </w:tc>
        <w:tc>
          <w:tcPr>
            <w:tcW w:w="4961" w:type="dxa"/>
            <w:tcBorders>
              <w:top w:val="single" w:sz="4" w:space="0" w:color="auto"/>
              <w:left w:val="single" w:sz="4" w:space="0" w:color="auto"/>
              <w:bottom w:val="single" w:sz="4" w:space="0" w:color="auto"/>
              <w:right w:val="single" w:sz="4" w:space="0" w:color="auto"/>
            </w:tcBorders>
            <w:vAlign w:val="center"/>
          </w:tcPr>
          <w:p w14:paraId="13E8E585" w14:textId="2D77C093" w:rsidR="00594C55" w:rsidRPr="00763B59" w:rsidRDefault="00594C55" w:rsidP="00594C55">
            <w:pPr>
              <w:pStyle w:val="Body"/>
              <w:tabs>
                <w:tab w:val="clear" w:pos="284"/>
              </w:tabs>
              <w:spacing w:line="276" w:lineRule="auto"/>
              <w:ind w:left="20" w:right="28"/>
              <w:rPr>
                <w:rFonts w:ascii="Calibri" w:hAnsi="Calibri"/>
                <w:u w:val="single"/>
                <w:lang w:val="en-AU"/>
              </w:rPr>
            </w:pPr>
            <w:r w:rsidRPr="00763B59">
              <w:rPr>
                <w:rFonts w:ascii="Calibri" w:hAnsi="Calibri"/>
                <w:u w:val="single"/>
                <w:lang w:val="en-AU"/>
              </w:rPr>
              <w:t>Summary/Indictable</w:t>
            </w:r>
            <w:r w:rsidRPr="00763B59">
              <w:rPr>
                <w:rFonts w:ascii="Calibri" w:hAnsi="Calibri"/>
                <w:lang w:val="en-AU"/>
              </w:rPr>
              <w:t xml:space="preserve"> – where defendant convicted and suffering from intellectual disability which contributed to offence.</w:t>
            </w:r>
          </w:p>
          <w:p w14:paraId="68B9DC02" w14:textId="77777777" w:rsidR="00594C55" w:rsidRPr="00763B59" w:rsidRDefault="00594C55" w:rsidP="00594C55">
            <w:pPr>
              <w:pStyle w:val="Body"/>
              <w:tabs>
                <w:tab w:val="clear" w:pos="284"/>
              </w:tabs>
              <w:spacing w:line="276" w:lineRule="auto"/>
              <w:ind w:left="20" w:right="28"/>
              <w:rPr>
                <w:rFonts w:ascii="Calibri" w:hAnsi="Calibri"/>
                <w:u w:val="single"/>
                <w:lang w:val="en-AU"/>
              </w:rPr>
            </w:pPr>
          </w:p>
        </w:tc>
      </w:tr>
    </w:tbl>
    <w:p w14:paraId="6257B9DE" w14:textId="77777777" w:rsidR="00C141A9" w:rsidRPr="00C00000" w:rsidRDefault="00C141A9" w:rsidP="007C11C2">
      <w:pPr>
        <w:pStyle w:val="ListParagraph"/>
        <w:spacing w:line="276" w:lineRule="auto"/>
        <w:ind w:left="873" w:right="28"/>
        <w:rPr>
          <w:rFonts w:asciiTheme="minorHAnsi" w:hAnsiTheme="minorHAnsi"/>
        </w:rPr>
      </w:pPr>
    </w:p>
    <w:p w14:paraId="65767D05" w14:textId="77777777" w:rsidR="004C7D4A" w:rsidRPr="004C7D4A" w:rsidRDefault="004C7D4A" w:rsidP="004C7D4A">
      <w:pPr>
        <w:pStyle w:val="ListParagraph"/>
        <w:rPr>
          <w:rFonts w:asciiTheme="minorHAnsi" w:hAnsiTheme="minorHAnsi"/>
        </w:rPr>
      </w:pPr>
    </w:p>
    <w:p w14:paraId="2FE6AC57" w14:textId="1A26334C" w:rsidR="00477757" w:rsidRDefault="00477757" w:rsidP="00D738EA">
      <w:pPr>
        <w:rPr>
          <w:rFonts w:asciiTheme="minorHAnsi" w:hAnsiTheme="minorHAnsi"/>
          <w:b/>
          <w:i/>
          <w:sz w:val="24"/>
          <w:szCs w:val="24"/>
        </w:rPr>
        <w:sectPr w:rsidR="00477757" w:rsidSect="00DB1155">
          <w:headerReference w:type="default" r:id="rId32"/>
          <w:type w:val="continuous"/>
          <w:pgSz w:w="11907" w:h="16840" w:code="9"/>
          <w:pgMar w:top="1134" w:right="1134" w:bottom="1134" w:left="1134" w:header="709" w:footer="380" w:gutter="0"/>
          <w:cols w:space="720"/>
          <w:docGrid w:linePitch="299"/>
        </w:sectPr>
      </w:pPr>
    </w:p>
    <w:p w14:paraId="7A624C20" w14:textId="7B942DF4" w:rsidR="001414A4" w:rsidRPr="00C00000" w:rsidRDefault="009541D1" w:rsidP="009541D1">
      <w:pPr>
        <w:pStyle w:val="Heading1"/>
        <w:numPr>
          <w:ilvl w:val="0"/>
          <w:numId w:val="0"/>
        </w:numPr>
        <w:spacing w:line="276" w:lineRule="auto"/>
        <w:rPr>
          <w:rFonts w:asciiTheme="minorHAnsi" w:hAnsiTheme="minorHAnsi"/>
        </w:rPr>
      </w:pPr>
      <w:bookmarkStart w:id="3567" w:name="_Toc33602989"/>
      <w:r>
        <w:rPr>
          <w:rFonts w:asciiTheme="minorHAnsi" w:hAnsiTheme="minorHAnsi"/>
        </w:rPr>
        <w:t xml:space="preserve">Appendix 1: </w:t>
      </w:r>
      <w:r w:rsidR="00625A9A" w:rsidRPr="00C00000">
        <w:rPr>
          <w:rFonts w:asciiTheme="minorHAnsi" w:hAnsiTheme="minorHAnsi"/>
        </w:rPr>
        <w:t>Federal Sentencing Checklist</w:t>
      </w:r>
      <w:bookmarkEnd w:id="3567"/>
    </w:p>
    <w:p w14:paraId="280F6EA6" w14:textId="77777777" w:rsidR="001414A4" w:rsidRPr="00C00000" w:rsidRDefault="001414A4" w:rsidP="007C11C2">
      <w:pPr>
        <w:spacing w:line="276" w:lineRule="auto"/>
        <w:rPr>
          <w:rFonts w:asciiTheme="minorHAnsi" w:hAnsiTheme="minorHAnsi"/>
        </w:rPr>
      </w:pPr>
    </w:p>
    <w:tbl>
      <w:tblPr>
        <w:tblW w:w="0" w:type="auto"/>
        <w:tblInd w:w="250" w:type="dxa"/>
        <w:tblLayout w:type="fixed"/>
        <w:tblLook w:val="04A0" w:firstRow="1" w:lastRow="0" w:firstColumn="1" w:lastColumn="0" w:noHBand="0" w:noVBand="1"/>
      </w:tblPr>
      <w:tblGrid>
        <w:gridCol w:w="1276"/>
        <w:gridCol w:w="8221"/>
      </w:tblGrid>
      <w:tr w:rsidR="001414A4" w:rsidRPr="003B61FF" w14:paraId="2DF94D94" w14:textId="77777777" w:rsidTr="0095301F">
        <w:trPr>
          <w:cantSplit/>
          <w:tblHeader/>
        </w:trPr>
        <w:tc>
          <w:tcPr>
            <w:tcW w:w="1276" w:type="dxa"/>
            <w:shd w:val="clear" w:color="auto" w:fill="FABF8F" w:themeFill="accent6" w:themeFillTint="99"/>
            <w:vAlign w:val="center"/>
          </w:tcPr>
          <w:p w14:paraId="73149611" w14:textId="77777777" w:rsidR="001414A4" w:rsidRPr="003B61FF" w:rsidRDefault="001414A4" w:rsidP="00407B97">
            <w:pPr>
              <w:keepNext/>
              <w:tabs>
                <w:tab w:val="left" w:pos="1134"/>
              </w:tabs>
              <w:spacing w:line="276" w:lineRule="auto"/>
              <w:jc w:val="center"/>
              <w:rPr>
                <w:rFonts w:ascii="Calibri" w:hAnsi="Calibri"/>
                <w:b/>
                <w:sz w:val="24"/>
                <w:szCs w:val="24"/>
              </w:rPr>
            </w:pPr>
            <w:r w:rsidRPr="003B61FF">
              <w:rPr>
                <w:rFonts w:ascii="Calibri" w:hAnsi="Calibri"/>
                <w:b/>
                <w:i/>
                <w:sz w:val="24"/>
                <w:szCs w:val="24"/>
              </w:rPr>
              <w:t>Crimes Act</w:t>
            </w:r>
            <w:r w:rsidRPr="003B61FF">
              <w:rPr>
                <w:rFonts w:ascii="Calibri" w:hAnsi="Calibri"/>
                <w:b/>
                <w:sz w:val="24"/>
                <w:szCs w:val="24"/>
              </w:rPr>
              <w:t xml:space="preserve"> section</w:t>
            </w:r>
          </w:p>
        </w:tc>
        <w:tc>
          <w:tcPr>
            <w:tcW w:w="8221" w:type="dxa"/>
            <w:shd w:val="clear" w:color="auto" w:fill="FABF8F" w:themeFill="accent6" w:themeFillTint="99"/>
            <w:vAlign w:val="center"/>
          </w:tcPr>
          <w:p w14:paraId="34013920" w14:textId="05E0FB3B" w:rsidR="001414A4" w:rsidRPr="003B61FF" w:rsidRDefault="001414A4" w:rsidP="00407B97">
            <w:pPr>
              <w:keepNext/>
              <w:tabs>
                <w:tab w:val="left" w:pos="1134"/>
              </w:tabs>
              <w:spacing w:line="276" w:lineRule="auto"/>
              <w:jc w:val="center"/>
              <w:rPr>
                <w:rFonts w:ascii="Calibri" w:hAnsi="Calibri"/>
                <w:b/>
                <w:sz w:val="26"/>
                <w:szCs w:val="26"/>
              </w:rPr>
            </w:pPr>
            <w:r w:rsidRPr="003B61FF">
              <w:rPr>
                <w:rFonts w:ascii="Calibri" w:hAnsi="Calibri"/>
                <w:b/>
                <w:i/>
                <w:sz w:val="26"/>
                <w:szCs w:val="26"/>
              </w:rPr>
              <w:t>Effect of provision</w:t>
            </w:r>
          </w:p>
        </w:tc>
      </w:tr>
      <w:tr w:rsidR="001414A4" w:rsidRPr="003B61FF" w14:paraId="3D71FC3E" w14:textId="77777777" w:rsidTr="00CD5338">
        <w:trPr>
          <w:cantSplit/>
        </w:trPr>
        <w:tc>
          <w:tcPr>
            <w:tcW w:w="1276" w:type="dxa"/>
            <w:shd w:val="clear" w:color="auto" w:fill="F2F2F2" w:themeFill="background1" w:themeFillShade="F2"/>
          </w:tcPr>
          <w:p w14:paraId="5021EF25"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4AA</w:t>
            </w:r>
          </w:p>
        </w:tc>
        <w:tc>
          <w:tcPr>
            <w:tcW w:w="8221" w:type="dxa"/>
            <w:shd w:val="clear" w:color="auto" w:fill="F2F2F2" w:themeFill="background1" w:themeFillShade="F2"/>
          </w:tcPr>
          <w:p w14:paraId="2487D54F" w14:textId="2BB6CC13" w:rsidR="003070BC" w:rsidRPr="003B61FF" w:rsidRDefault="003070BC"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Value of penalty unit.</w:t>
            </w:r>
          </w:p>
          <w:p w14:paraId="40E04A1D" w14:textId="73A88F21" w:rsidR="001414A4" w:rsidRPr="003B61FF" w:rsidRDefault="0045625A"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One</w:t>
            </w:r>
            <w:r w:rsidRPr="003B61FF">
              <w:rPr>
                <w:rFonts w:ascii="Calibri" w:hAnsi="Calibri"/>
                <w:b/>
                <w:sz w:val="21"/>
                <w:szCs w:val="21"/>
              </w:rPr>
              <w:t xml:space="preserve"> </w:t>
            </w:r>
            <w:r w:rsidR="001414A4" w:rsidRPr="003B61FF">
              <w:rPr>
                <w:rFonts w:ascii="Calibri" w:hAnsi="Calibri"/>
                <w:b/>
                <w:sz w:val="21"/>
                <w:szCs w:val="21"/>
              </w:rPr>
              <w:t>Penalty unit</w:t>
            </w:r>
            <w:r w:rsidRPr="003B61FF">
              <w:rPr>
                <w:rFonts w:ascii="Calibri" w:hAnsi="Calibri"/>
                <w:b/>
                <w:sz w:val="21"/>
                <w:szCs w:val="21"/>
              </w:rPr>
              <w:t xml:space="preserve"> </w:t>
            </w:r>
            <w:r w:rsidRPr="003B61FF">
              <w:rPr>
                <w:rFonts w:ascii="Calibri" w:hAnsi="Calibri"/>
                <w:sz w:val="21"/>
                <w:szCs w:val="21"/>
              </w:rPr>
              <w:t>is valued at:</w:t>
            </w:r>
            <w:r w:rsidRPr="003B61FF">
              <w:rPr>
                <w:rStyle w:val="FootnoteReference"/>
                <w:rFonts w:ascii="Calibri" w:hAnsi="Calibri"/>
              </w:rPr>
              <w:footnoteReference w:id="1188"/>
            </w:r>
          </w:p>
          <w:p w14:paraId="57206C2E" w14:textId="0F0D833E" w:rsidR="003070BC" w:rsidRPr="003B61FF" w:rsidRDefault="003070BC" w:rsidP="00841569">
            <w:pPr>
              <w:pStyle w:val="ListParagraph"/>
              <w:numPr>
                <w:ilvl w:val="0"/>
                <w:numId w:val="5"/>
              </w:numPr>
              <w:tabs>
                <w:tab w:val="left" w:pos="1134"/>
              </w:tabs>
              <w:spacing w:line="276" w:lineRule="auto"/>
              <w:ind w:right="-1"/>
              <w:rPr>
                <w:rFonts w:ascii="Calibri" w:hAnsi="Calibri"/>
                <w:sz w:val="21"/>
                <w:szCs w:val="21"/>
              </w:rPr>
            </w:pPr>
            <w:r w:rsidRPr="003B61FF">
              <w:rPr>
                <w:rFonts w:ascii="Calibri" w:hAnsi="Calibri"/>
                <w:b/>
                <w:sz w:val="21"/>
                <w:szCs w:val="21"/>
              </w:rPr>
              <w:t>$210</w:t>
            </w:r>
            <w:r w:rsidRPr="003B61FF">
              <w:rPr>
                <w:rFonts w:ascii="Calibri" w:hAnsi="Calibri"/>
                <w:sz w:val="21"/>
                <w:szCs w:val="21"/>
              </w:rPr>
              <w:t xml:space="preserve"> for offences committed on or after 1 July 2017;</w:t>
            </w:r>
          </w:p>
          <w:p w14:paraId="3A9C5762" w14:textId="57A1913B" w:rsidR="001414A4" w:rsidRPr="003B61FF" w:rsidRDefault="001414A4" w:rsidP="00841569">
            <w:pPr>
              <w:pStyle w:val="ListParagraph"/>
              <w:numPr>
                <w:ilvl w:val="0"/>
                <w:numId w:val="5"/>
              </w:numPr>
              <w:tabs>
                <w:tab w:val="left" w:pos="1134"/>
              </w:tabs>
              <w:spacing w:line="276" w:lineRule="auto"/>
              <w:ind w:right="-1"/>
              <w:rPr>
                <w:rFonts w:ascii="Calibri" w:hAnsi="Calibri"/>
                <w:sz w:val="21"/>
                <w:szCs w:val="21"/>
              </w:rPr>
            </w:pPr>
            <w:r w:rsidRPr="003B61FF">
              <w:rPr>
                <w:rFonts w:ascii="Calibri" w:hAnsi="Calibri"/>
                <w:b/>
                <w:sz w:val="21"/>
                <w:szCs w:val="21"/>
              </w:rPr>
              <w:t>$180</w:t>
            </w:r>
            <w:r w:rsidRPr="003B61FF">
              <w:rPr>
                <w:rFonts w:ascii="Calibri" w:hAnsi="Calibri"/>
                <w:sz w:val="21"/>
                <w:szCs w:val="21"/>
              </w:rPr>
              <w:t xml:space="preserve"> for offences committed </w:t>
            </w:r>
            <w:r w:rsidR="00EC6A3C" w:rsidRPr="003B61FF">
              <w:rPr>
                <w:rFonts w:ascii="Calibri" w:hAnsi="Calibri"/>
                <w:sz w:val="21"/>
                <w:szCs w:val="21"/>
              </w:rPr>
              <w:t xml:space="preserve">between </w:t>
            </w:r>
            <w:r w:rsidRPr="003B61FF">
              <w:rPr>
                <w:rFonts w:ascii="Calibri" w:hAnsi="Calibri"/>
                <w:sz w:val="21"/>
                <w:szCs w:val="21"/>
              </w:rPr>
              <w:t>31 July 2015</w:t>
            </w:r>
            <w:r w:rsidR="00EC6A3C" w:rsidRPr="003B61FF">
              <w:rPr>
                <w:rFonts w:ascii="Calibri" w:hAnsi="Calibri"/>
                <w:sz w:val="21"/>
                <w:szCs w:val="21"/>
              </w:rPr>
              <w:t xml:space="preserve"> and 30 June 2017;</w:t>
            </w:r>
            <w:r w:rsidRPr="003B61FF">
              <w:rPr>
                <w:rStyle w:val="FootnoteReference"/>
                <w:rFonts w:ascii="Calibri" w:hAnsi="Calibri"/>
              </w:rPr>
              <w:footnoteReference w:id="1189"/>
            </w:r>
          </w:p>
          <w:p w14:paraId="1AD12558" w14:textId="77777777" w:rsidR="001414A4" w:rsidRPr="003B61FF" w:rsidRDefault="001414A4" w:rsidP="00841569">
            <w:pPr>
              <w:pStyle w:val="ListParagraph"/>
              <w:numPr>
                <w:ilvl w:val="0"/>
                <w:numId w:val="5"/>
              </w:numPr>
              <w:tabs>
                <w:tab w:val="left" w:pos="1134"/>
              </w:tabs>
              <w:spacing w:line="276" w:lineRule="auto"/>
              <w:ind w:right="-1"/>
              <w:rPr>
                <w:rFonts w:ascii="Calibri" w:hAnsi="Calibri"/>
                <w:sz w:val="21"/>
                <w:szCs w:val="21"/>
              </w:rPr>
            </w:pPr>
            <w:r w:rsidRPr="003B61FF">
              <w:rPr>
                <w:rFonts w:ascii="Calibri" w:hAnsi="Calibri"/>
                <w:b/>
                <w:sz w:val="21"/>
                <w:szCs w:val="21"/>
              </w:rPr>
              <w:t>$170</w:t>
            </w:r>
            <w:r w:rsidRPr="003B61FF">
              <w:rPr>
                <w:rFonts w:ascii="Calibri" w:hAnsi="Calibri"/>
                <w:sz w:val="21"/>
                <w:szCs w:val="21"/>
              </w:rPr>
              <w:t xml:space="preserve"> for offences committed between 28 December 2012</w:t>
            </w:r>
            <w:r w:rsidRPr="003B61FF">
              <w:rPr>
                <w:rStyle w:val="FootnoteReference"/>
                <w:rFonts w:ascii="Calibri" w:hAnsi="Calibri"/>
              </w:rPr>
              <w:footnoteReference w:id="1190"/>
            </w:r>
            <w:r w:rsidRPr="003B61FF">
              <w:rPr>
                <w:rFonts w:ascii="Calibri" w:hAnsi="Calibri"/>
                <w:sz w:val="21"/>
                <w:szCs w:val="21"/>
              </w:rPr>
              <w:t xml:space="preserve"> and 30 July 2015; and </w:t>
            </w:r>
          </w:p>
          <w:p w14:paraId="6492532B" w14:textId="77777777" w:rsidR="001414A4" w:rsidRPr="003B61FF" w:rsidRDefault="001414A4" w:rsidP="00841569">
            <w:pPr>
              <w:pStyle w:val="ListParagraph"/>
              <w:numPr>
                <w:ilvl w:val="0"/>
                <w:numId w:val="5"/>
              </w:numPr>
              <w:tabs>
                <w:tab w:val="left" w:pos="1134"/>
              </w:tabs>
              <w:spacing w:line="276" w:lineRule="auto"/>
              <w:ind w:right="-1"/>
              <w:rPr>
                <w:rFonts w:ascii="Calibri" w:hAnsi="Calibri"/>
                <w:sz w:val="21"/>
                <w:szCs w:val="21"/>
              </w:rPr>
            </w:pPr>
            <w:r w:rsidRPr="003B61FF">
              <w:rPr>
                <w:rFonts w:ascii="Calibri" w:hAnsi="Calibri"/>
                <w:b/>
                <w:sz w:val="21"/>
                <w:szCs w:val="21"/>
              </w:rPr>
              <w:t>$110</w:t>
            </w:r>
            <w:r w:rsidRPr="003B61FF">
              <w:rPr>
                <w:rFonts w:ascii="Calibri" w:hAnsi="Calibri"/>
                <w:sz w:val="21"/>
                <w:szCs w:val="21"/>
              </w:rPr>
              <w:t xml:space="preserve"> for offences commi</w:t>
            </w:r>
            <w:r w:rsidR="00213BC3" w:rsidRPr="003B61FF">
              <w:rPr>
                <w:rFonts w:ascii="Calibri" w:hAnsi="Calibri"/>
                <w:sz w:val="21"/>
                <w:szCs w:val="21"/>
              </w:rPr>
              <w:t>tted between 7 April 1997 and 27</w:t>
            </w:r>
            <w:r w:rsidRPr="003B61FF">
              <w:rPr>
                <w:rFonts w:ascii="Calibri" w:hAnsi="Calibri"/>
                <w:sz w:val="21"/>
                <w:szCs w:val="21"/>
              </w:rPr>
              <w:t xml:space="preserve"> December 2012.</w:t>
            </w:r>
          </w:p>
          <w:p w14:paraId="5C8D8D48"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6D9324C0" w14:textId="77777777" w:rsidTr="00CD5338">
        <w:trPr>
          <w:cantSplit/>
        </w:trPr>
        <w:tc>
          <w:tcPr>
            <w:tcW w:w="1276" w:type="dxa"/>
            <w:shd w:val="clear" w:color="auto" w:fill="F2F2F2" w:themeFill="background1" w:themeFillShade="F2"/>
          </w:tcPr>
          <w:p w14:paraId="58E69E61"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4B(2)</w:t>
            </w:r>
          </w:p>
        </w:tc>
        <w:tc>
          <w:tcPr>
            <w:tcW w:w="8221" w:type="dxa"/>
            <w:shd w:val="clear" w:color="auto" w:fill="F2F2F2" w:themeFill="background1" w:themeFillShade="F2"/>
          </w:tcPr>
          <w:p w14:paraId="2256D07F" w14:textId="6C4D7250"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Where an offence is punishable </w:t>
            </w:r>
            <w:r w:rsidR="00EC6A3C" w:rsidRPr="003B61FF">
              <w:rPr>
                <w:rFonts w:ascii="Calibri" w:hAnsi="Calibri"/>
                <w:sz w:val="21"/>
                <w:szCs w:val="21"/>
              </w:rPr>
              <w:t xml:space="preserve">only </w:t>
            </w:r>
            <w:r w:rsidRPr="003B61FF">
              <w:rPr>
                <w:rFonts w:ascii="Calibri" w:hAnsi="Calibri"/>
                <w:sz w:val="21"/>
                <w:szCs w:val="21"/>
              </w:rPr>
              <w:t>by imprisonment</w:t>
            </w:r>
            <w:r w:rsidR="00EC6A3C" w:rsidRPr="003B61FF">
              <w:rPr>
                <w:rFonts w:ascii="Calibri" w:hAnsi="Calibri"/>
                <w:sz w:val="21"/>
                <w:szCs w:val="21"/>
              </w:rPr>
              <w:t>,</w:t>
            </w:r>
            <w:r w:rsidRPr="003B61FF">
              <w:rPr>
                <w:rFonts w:ascii="Calibri" w:hAnsi="Calibri"/>
                <w:sz w:val="21"/>
                <w:szCs w:val="21"/>
              </w:rPr>
              <w:t xml:space="preserve"> a </w:t>
            </w:r>
            <w:r w:rsidRPr="003B61FF">
              <w:rPr>
                <w:rFonts w:ascii="Calibri" w:hAnsi="Calibri"/>
                <w:b/>
                <w:sz w:val="21"/>
                <w:szCs w:val="21"/>
              </w:rPr>
              <w:t>pecuniary penalty</w:t>
            </w:r>
            <w:r w:rsidRPr="003B61FF">
              <w:rPr>
                <w:rFonts w:ascii="Calibri" w:hAnsi="Calibri"/>
                <w:sz w:val="21"/>
                <w:szCs w:val="21"/>
              </w:rPr>
              <w:t xml:space="preserve"> can be imposed instead </w:t>
            </w:r>
            <w:r w:rsidR="00972836" w:rsidRPr="003B61FF">
              <w:rPr>
                <w:rFonts w:ascii="Calibri" w:hAnsi="Calibri"/>
                <w:sz w:val="21"/>
                <w:szCs w:val="21"/>
              </w:rPr>
              <w:t xml:space="preserve">of </w:t>
            </w:r>
            <w:r w:rsidRPr="003B61FF">
              <w:rPr>
                <w:rFonts w:ascii="Calibri" w:hAnsi="Calibri"/>
                <w:sz w:val="21"/>
                <w:szCs w:val="21"/>
              </w:rPr>
              <w:t>or in addition to imprisonment.  The section sets out the formula to be used in determining the maximum pecuniary penalty available.</w:t>
            </w:r>
          </w:p>
          <w:p w14:paraId="77896922"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785DA461" w14:textId="77777777" w:rsidTr="00CD5338">
        <w:trPr>
          <w:cantSplit/>
        </w:trPr>
        <w:tc>
          <w:tcPr>
            <w:tcW w:w="1276" w:type="dxa"/>
            <w:shd w:val="clear" w:color="auto" w:fill="F2F2F2" w:themeFill="background1" w:themeFillShade="F2"/>
          </w:tcPr>
          <w:p w14:paraId="40F5CD11"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4J</w:t>
            </w:r>
          </w:p>
        </w:tc>
        <w:tc>
          <w:tcPr>
            <w:tcW w:w="8221" w:type="dxa"/>
            <w:shd w:val="clear" w:color="auto" w:fill="F2F2F2" w:themeFill="background1" w:themeFillShade="F2"/>
          </w:tcPr>
          <w:p w14:paraId="30C8CDA2" w14:textId="77777777"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This section enables certain </w:t>
            </w:r>
            <w:r w:rsidRPr="003B61FF">
              <w:rPr>
                <w:rFonts w:ascii="Calibri" w:hAnsi="Calibri"/>
                <w:b/>
                <w:sz w:val="21"/>
                <w:szCs w:val="21"/>
              </w:rPr>
              <w:t>indictable offences to be dealt with summarily</w:t>
            </w:r>
            <w:r w:rsidRPr="003B61FF">
              <w:rPr>
                <w:rFonts w:ascii="Calibri" w:hAnsi="Calibri"/>
                <w:sz w:val="21"/>
                <w:szCs w:val="21"/>
              </w:rPr>
              <w:t xml:space="preserve"> and establishes the maximum sentences when an offence is dealt with summarily.</w:t>
            </w:r>
          </w:p>
          <w:p w14:paraId="22858C21"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26E9EBCE" w14:textId="77777777" w:rsidTr="00CD5338">
        <w:trPr>
          <w:cantSplit/>
        </w:trPr>
        <w:tc>
          <w:tcPr>
            <w:tcW w:w="1276" w:type="dxa"/>
            <w:shd w:val="clear" w:color="auto" w:fill="F2F2F2" w:themeFill="background1" w:themeFillShade="F2"/>
          </w:tcPr>
          <w:p w14:paraId="3B7807A3"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4JA</w:t>
            </w:r>
          </w:p>
        </w:tc>
        <w:tc>
          <w:tcPr>
            <w:tcW w:w="8221" w:type="dxa"/>
            <w:shd w:val="clear" w:color="auto" w:fill="F2F2F2" w:themeFill="background1" w:themeFillShade="F2"/>
          </w:tcPr>
          <w:p w14:paraId="06C9CF5C" w14:textId="6FF01984"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This section enables certain indictable offences that are punishable by a </w:t>
            </w:r>
            <w:r w:rsidRPr="003B61FF">
              <w:rPr>
                <w:rFonts w:ascii="Calibri" w:hAnsi="Calibri"/>
                <w:b/>
                <w:sz w:val="21"/>
                <w:szCs w:val="21"/>
              </w:rPr>
              <w:t>pecuniary penalty only</w:t>
            </w:r>
            <w:r w:rsidR="003070BC" w:rsidRPr="003B61FF">
              <w:rPr>
                <w:rFonts w:ascii="Calibri" w:hAnsi="Calibri"/>
                <w:sz w:val="21"/>
                <w:szCs w:val="21"/>
              </w:rPr>
              <w:t xml:space="preserve"> to be dealt with summarily, and specifies the applicable maximum fines.</w:t>
            </w:r>
          </w:p>
          <w:p w14:paraId="0724B96B"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60D51161" w14:textId="77777777" w:rsidTr="0045625A">
        <w:tc>
          <w:tcPr>
            <w:tcW w:w="1276" w:type="dxa"/>
            <w:shd w:val="clear" w:color="auto" w:fill="F2F2F2" w:themeFill="background1" w:themeFillShade="F2"/>
          </w:tcPr>
          <w:p w14:paraId="7707FE92"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4K</w:t>
            </w:r>
          </w:p>
        </w:tc>
        <w:tc>
          <w:tcPr>
            <w:tcW w:w="8221" w:type="dxa"/>
            <w:shd w:val="clear" w:color="auto" w:fill="F2F2F2" w:themeFill="background1" w:themeFillShade="F2"/>
          </w:tcPr>
          <w:p w14:paraId="08BE24D9" w14:textId="405C1203" w:rsidR="001414A4" w:rsidRPr="003B61FF" w:rsidRDefault="001414A4" w:rsidP="007C11C2">
            <w:pPr>
              <w:tabs>
                <w:tab w:val="left" w:pos="1134"/>
              </w:tabs>
              <w:spacing w:line="276" w:lineRule="auto"/>
              <w:ind w:right="-1"/>
              <w:jc w:val="both"/>
              <w:rPr>
                <w:rFonts w:ascii="Calibri" w:hAnsi="Calibri"/>
                <w:b/>
                <w:sz w:val="21"/>
                <w:szCs w:val="21"/>
              </w:rPr>
            </w:pPr>
            <w:r w:rsidRPr="003B61FF">
              <w:rPr>
                <w:rFonts w:ascii="Calibri" w:hAnsi="Calibri"/>
                <w:b/>
                <w:sz w:val="21"/>
                <w:szCs w:val="21"/>
              </w:rPr>
              <w:t>Aggregate penalties</w:t>
            </w:r>
            <w:r w:rsidR="00E219E2" w:rsidRPr="003B61FF">
              <w:rPr>
                <w:rFonts w:ascii="Calibri" w:hAnsi="Calibri"/>
                <w:b/>
                <w:sz w:val="21"/>
                <w:szCs w:val="21"/>
              </w:rPr>
              <w:t xml:space="preserve"> for summary matters</w:t>
            </w:r>
          </w:p>
          <w:p w14:paraId="01984B6A" w14:textId="77777777" w:rsidR="00EE64EC" w:rsidRPr="003B61FF" w:rsidRDefault="00EE64EC" w:rsidP="007C11C2">
            <w:pPr>
              <w:tabs>
                <w:tab w:val="left" w:pos="1134"/>
              </w:tabs>
              <w:spacing w:line="276" w:lineRule="auto"/>
              <w:ind w:right="-1"/>
              <w:jc w:val="both"/>
              <w:rPr>
                <w:rFonts w:ascii="Calibri" w:hAnsi="Calibri"/>
                <w:b/>
                <w:sz w:val="21"/>
                <w:szCs w:val="21"/>
              </w:rPr>
            </w:pPr>
          </w:p>
          <w:p w14:paraId="4A91C5EC" w14:textId="77777777"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Permits</w:t>
            </w:r>
            <w:r w:rsidRPr="003B61FF">
              <w:rPr>
                <w:rFonts w:ascii="Calibri" w:hAnsi="Calibri"/>
                <w:color w:val="FF6600"/>
                <w:sz w:val="21"/>
                <w:szCs w:val="21"/>
              </w:rPr>
              <w:t xml:space="preserve"> </w:t>
            </w:r>
            <w:r w:rsidRPr="003B61FF">
              <w:rPr>
                <w:rFonts w:ascii="Calibri" w:hAnsi="Calibri"/>
                <w:sz w:val="21"/>
                <w:szCs w:val="21"/>
              </w:rPr>
              <w:t>a court to impose one penalty in respect of charges against the same provision of a law of the Commonwealth “</w:t>
            </w:r>
            <w:r w:rsidRPr="003B61FF">
              <w:rPr>
                <w:rFonts w:ascii="Calibri" w:hAnsi="Calibri"/>
                <w:i/>
                <w:iCs/>
                <w:sz w:val="21"/>
                <w:szCs w:val="21"/>
              </w:rPr>
              <w:t>founded on the same facts, or form, or are part of, a series of offences of the same or similar character</w:t>
            </w:r>
            <w:r w:rsidRPr="003B61FF">
              <w:rPr>
                <w:rFonts w:ascii="Calibri" w:hAnsi="Calibri"/>
                <w:sz w:val="21"/>
                <w:szCs w:val="21"/>
              </w:rPr>
              <w:t xml:space="preserve">”.  </w:t>
            </w:r>
          </w:p>
          <w:p w14:paraId="5562D337" w14:textId="77777777" w:rsidR="001414A4" w:rsidRPr="003B61FF" w:rsidRDefault="001414A4" w:rsidP="007C11C2">
            <w:pPr>
              <w:tabs>
                <w:tab w:val="left" w:pos="1134"/>
              </w:tabs>
              <w:spacing w:line="276" w:lineRule="auto"/>
              <w:ind w:right="-1"/>
              <w:jc w:val="both"/>
              <w:rPr>
                <w:rFonts w:ascii="Calibri" w:hAnsi="Calibri"/>
                <w:sz w:val="21"/>
                <w:szCs w:val="21"/>
              </w:rPr>
            </w:pPr>
          </w:p>
          <w:p w14:paraId="1F60C48A" w14:textId="76C721EF" w:rsidR="00992F7E" w:rsidRPr="003B61FF" w:rsidRDefault="00500063"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Other powers also apply; s</w:t>
            </w:r>
            <w:r w:rsidR="0045625A" w:rsidRPr="003B61FF">
              <w:rPr>
                <w:rFonts w:ascii="Calibri" w:hAnsi="Calibri"/>
                <w:sz w:val="21"/>
                <w:szCs w:val="21"/>
              </w:rPr>
              <w:t>ee</w:t>
            </w:r>
            <w:r w:rsidR="00AD4B88" w:rsidRPr="003B61FF">
              <w:rPr>
                <w:rFonts w:ascii="Calibri" w:hAnsi="Calibri"/>
                <w:sz w:val="21"/>
                <w:szCs w:val="21"/>
              </w:rPr>
              <w:t xml:space="preserve"> “</w:t>
            </w:r>
            <w:r w:rsidR="00AD4B88" w:rsidRPr="003B61FF">
              <w:rPr>
                <w:rFonts w:ascii="Calibri" w:hAnsi="Calibri"/>
                <w:sz w:val="21"/>
                <w:szCs w:val="21"/>
              </w:rPr>
              <w:fldChar w:fldCharType="begin"/>
            </w:r>
            <w:r w:rsidR="00AD4B88" w:rsidRPr="003B61FF">
              <w:rPr>
                <w:rFonts w:ascii="Calibri" w:hAnsi="Calibri"/>
                <w:sz w:val="21"/>
                <w:szCs w:val="21"/>
              </w:rPr>
              <w:instrText xml:space="preserve"> REF _Ref492823967 \r \h </w:instrText>
            </w:r>
            <w:r w:rsidR="00AD4B88" w:rsidRPr="003B61FF">
              <w:rPr>
                <w:rFonts w:ascii="Calibri" w:hAnsi="Calibri"/>
                <w:sz w:val="21"/>
                <w:szCs w:val="21"/>
              </w:rPr>
            </w:r>
            <w:r w:rsidR="00AD4B88" w:rsidRPr="003B61FF">
              <w:rPr>
                <w:rFonts w:ascii="Calibri" w:hAnsi="Calibri"/>
                <w:sz w:val="21"/>
                <w:szCs w:val="21"/>
              </w:rPr>
              <w:fldChar w:fldCharType="separate"/>
            </w:r>
            <w:r w:rsidR="00D44BCF">
              <w:rPr>
                <w:rFonts w:ascii="Calibri" w:hAnsi="Calibri"/>
                <w:sz w:val="21"/>
                <w:szCs w:val="21"/>
              </w:rPr>
              <w:t>7.10</w:t>
            </w:r>
            <w:r w:rsidR="00AD4B88" w:rsidRPr="003B61FF">
              <w:rPr>
                <w:rFonts w:ascii="Calibri" w:hAnsi="Calibri"/>
                <w:sz w:val="21"/>
                <w:szCs w:val="21"/>
              </w:rPr>
              <w:fldChar w:fldCharType="end"/>
            </w:r>
            <w:r w:rsidR="00AD4B88" w:rsidRPr="003B61FF">
              <w:rPr>
                <w:rFonts w:ascii="Calibri" w:hAnsi="Calibri"/>
                <w:sz w:val="21"/>
                <w:szCs w:val="21"/>
              </w:rPr>
              <w:t xml:space="preserve"> </w:t>
            </w:r>
            <w:r w:rsidR="00AD4B88" w:rsidRPr="003B61FF">
              <w:rPr>
                <w:rFonts w:ascii="Calibri" w:hAnsi="Calibri"/>
                <w:sz w:val="21"/>
                <w:szCs w:val="21"/>
              </w:rPr>
              <w:fldChar w:fldCharType="begin"/>
            </w:r>
            <w:r w:rsidR="00AD4B88" w:rsidRPr="003B61FF">
              <w:rPr>
                <w:rFonts w:ascii="Calibri" w:hAnsi="Calibri"/>
                <w:sz w:val="21"/>
                <w:szCs w:val="21"/>
              </w:rPr>
              <w:instrText xml:space="preserve"> REF _Ref492823967 \h  \* MERGEFORMAT </w:instrText>
            </w:r>
            <w:r w:rsidR="00AD4B88" w:rsidRPr="003B61FF">
              <w:rPr>
                <w:rFonts w:ascii="Calibri" w:hAnsi="Calibri"/>
                <w:sz w:val="21"/>
                <w:szCs w:val="21"/>
              </w:rPr>
            </w:r>
            <w:r w:rsidR="00AD4B88" w:rsidRPr="003B61FF">
              <w:rPr>
                <w:rFonts w:ascii="Calibri" w:hAnsi="Calibri"/>
                <w:sz w:val="21"/>
                <w:szCs w:val="21"/>
              </w:rPr>
              <w:fldChar w:fldCharType="separate"/>
            </w:r>
            <w:r w:rsidR="00D44BCF" w:rsidRPr="00D44BCF">
              <w:rPr>
                <w:rFonts w:ascii="Calibri" w:hAnsi="Calibri"/>
                <w:sz w:val="21"/>
                <w:szCs w:val="21"/>
              </w:rPr>
              <w:t>Aggregate penalty</w:t>
            </w:r>
            <w:r w:rsidR="00AD4B88" w:rsidRPr="003B61FF">
              <w:rPr>
                <w:rFonts w:ascii="Calibri" w:hAnsi="Calibri"/>
                <w:sz w:val="21"/>
                <w:szCs w:val="21"/>
              </w:rPr>
              <w:fldChar w:fldCharType="end"/>
            </w:r>
            <w:r w:rsidR="00AD4B88" w:rsidRPr="003B61FF">
              <w:rPr>
                <w:rFonts w:ascii="Calibri" w:hAnsi="Calibri"/>
                <w:sz w:val="21"/>
                <w:szCs w:val="21"/>
              </w:rPr>
              <w:t>”</w:t>
            </w:r>
            <w:r w:rsidR="007058AC" w:rsidRPr="003B61FF">
              <w:rPr>
                <w:rFonts w:ascii="Calibri" w:hAnsi="Calibri"/>
                <w:color w:val="000000" w:themeColor="text1"/>
                <w:sz w:val="21"/>
                <w:szCs w:val="21"/>
              </w:rPr>
              <w:t>.</w:t>
            </w:r>
          </w:p>
          <w:p w14:paraId="5E609934" w14:textId="77777777" w:rsidR="0045625A" w:rsidRPr="003B61FF" w:rsidRDefault="0045625A" w:rsidP="007C11C2">
            <w:pPr>
              <w:tabs>
                <w:tab w:val="left" w:pos="1134"/>
              </w:tabs>
              <w:spacing w:line="276" w:lineRule="auto"/>
              <w:ind w:right="-1"/>
              <w:jc w:val="both"/>
              <w:rPr>
                <w:rFonts w:ascii="Calibri" w:hAnsi="Calibri"/>
                <w:sz w:val="21"/>
                <w:szCs w:val="21"/>
              </w:rPr>
            </w:pPr>
          </w:p>
          <w:p w14:paraId="3AE24D23" w14:textId="0E870EF4" w:rsidR="001414A4" w:rsidRPr="003B61FF" w:rsidRDefault="00500063"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A single </w:t>
            </w:r>
            <w:r w:rsidR="001414A4" w:rsidRPr="003B61FF">
              <w:rPr>
                <w:rFonts w:ascii="Calibri" w:hAnsi="Calibri"/>
                <w:sz w:val="21"/>
                <w:szCs w:val="21"/>
              </w:rPr>
              <w:t xml:space="preserve">penalty cannot be imposed for </w:t>
            </w:r>
            <w:r w:rsidR="000B733F" w:rsidRPr="003B61FF">
              <w:rPr>
                <w:rFonts w:ascii="Calibri" w:hAnsi="Calibri"/>
                <w:sz w:val="21"/>
                <w:szCs w:val="21"/>
              </w:rPr>
              <w:t>State</w:t>
            </w:r>
            <w:r w:rsidRPr="003B61FF">
              <w:rPr>
                <w:rFonts w:ascii="Calibri" w:hAnsi="Calibri"/>
                <w:sz w:val="21"/>
                <w:szCs w:val="21"/>
              </w:rPr>
              <w:t>/Territory</w:t>
            </w:r>
            <w:r w:rsidR="001414A4" w:rsidRPr="003B61FF">
              <w:rPr>
                <w:rFonts w:ascii="Calibri" w:hAnsi="Calibri"/>
                <w:sz w:val="21"/>
                <w:szCs w:val="21"/>
              </w:rPr>
              <w:t xml:space="preserve"> and federal offences.</w:t>
            </w:r>
          </w:p>
          <w:p w14:paraId="16B60B1D"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42F80383" w14:textId="77777777" w:rsidTr="00CD5338">
        <w:trPr>
          <w:cantSplit/>
        </w:trPr>
        <w:tc>
          <w:tcPr>
            <w:tcW w:w="1276" w:type="dxa"/>
            <w:shd w:val="clear" w:color="auto" w:fill="F2F2F2" w:themeFill="background1" w:themeFillShade="F2"/>
          </w:tcPr>
          <w:p w14:paraId="690898C4"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16A(1)</w:t>
            </w:r>
          </w:p>
        </w:tc>
        <w:tc>
          <w:tcPr>
            <w:tcW w:w="8221" w:type="dxa"/>
            <w:shd w:val="clear" w:color="auto" w:fill="F2F2F2" w:themeFill="background1" w:themeFillShade="F2"/>
          </w:tcPr>
          <w:p w14:paraId="09D991F0" w14:textId="644042BA"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The primary obligation on a sentencing court is to impose a sentence or order that is </w:t>
            </w:r>
            <w:r w:rsidRPr="003B61FF">
              <w:rPr>
                <w:rFonts w:ascii="Calibri" w:hAnsi="Calibri"/>
                <w:b/>
                <w:sz w:val="21"/>
                <w:szCs w:val="21"/>
              </w:rPr>
              <w:t>of a severity appropriate in all the circumstances</w:t>
            </w:r>
            <w:r w:rsidRPr="003B61FF">
              <w:rPr>
                <w:rFonts w:ascii="Calibri" w:hAnsi="Calibri"/>
                <w:sz w:val="21"/>
                <w:szCs w:val="21"/>
              </w:rPr>
              <w:t xml:space="preserve"> of the offence – </w:t>
            </w:r>
            <w:r w:rsidRPr="003B61FF">
              <w:rPr>
                <w:rFonts w:ascii="Calibri" w:hAnsi="Calibri"/>
                <w:i/>
                <w:sz w:val="21"/>
                <w:szCs w:val="21"/>
              </w:rPr>
              <w:t>R v Hili</w:t>
            </w:r>
            <w:r w:rsidRPr="003B61FF">
              <w:rPr>
                <w:rFonts w:ascii="Calibri" w:hAnsi="Calibri"/>
                <w:sz w:val="21"/>
                <w:szCs w:val="21"/>
              </w:rPr>
              <w:t xml:space="preserve"> (2010) 242 CLR 520</w:t>
            </w:r>
            <w:r w:rsidR="00BA2B0B" w:rsidRPr="003B61FF">
              <w:rPr>
                <w:rFonts w:ascii="Calibri" w:hAnsi="Calibri"/>
                <w:sz w:val="21"/>
                <w:szCs w:val="21"/>
              </w:rPr>
              <w:fldChar w:fldCharType="begin"/>
            </w:r>
            <w:r w:rsidR="00D57EE7" w:rsidRPr="003B61FF">
              <w:rPr>
                <w:rFonts w:ascii="Calibri" w:hAnsi="Calibri"/>
                <w:sz w:val="21"/>
                <w:szCs w:val="21"/>
              </w:rPr>
              <w:instrText xml:space="preserve"> TA \s "R v Hili (2010) 242 CLR 520" </w:instrText>
            </w:r>
            <w:r w:rsidR="00BA2B0B" w:rsidRPr="003B61FF">
              <w:rPr>
                <w:rFonts w:ascii="Calibri" w:hAnsi="Calibri"/>
                <w:sz w:val="21"/>
                <w:szCs w:val="21"/>
              </w:rPr>
              <w:fldChar w:fldCharType="end"/>
            </w:r>
            <w:r w:rsidRPr="003B61FF">
              <w:rPr>
                <w:rFonts w:ascii="Calibri" w:hAnsi="Calibri"/>
                <w:sz w:val="21"/>
                <w:szCs w:val="21"/>
              </w:rPr>
              <w:t xml:space="preserve">.  </w:t>
            </w:r>
            <w:r w:rsidR="00500063" w:rsidRPr="003B61FF">
              <w:rPr>
                <w:rFonts w:ascii="Calibri" w:hAnsi="Calibri"/>
                <w:sz w:val="21"/>
                <w:szCs w:val="21"/>
              </w:rPr>
              <w:t xml:space="preserve">There </w:t>
            </w:r>
            <w:r w:rsidRPr="003B61FF">
              <w:rPr>
                <w:rFonts w:ascii="Calibri" w:hAnsi="Calibri"/>
                <w:sz w:val="21"/>
                <w:szCs w:val="21"/>
              </w:rPr>
              <w:t>is no judicially determined norm or starting point in terms of how much of the sentence of imprisonment should be served in prison before release.</w:t>
            </w:r>
          </w:p>
          <w:p w14:paraId="7AC06BE4"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004D3598" w14:textId="77777777" w:rsidTr="00CD5338">
        <w:trPr>
          <w:cantSplit/>
        </w:trPr>
        <w:tc>
          <w:tcPr>
            <w:tcW w:w="1276" w:type="dxa"/>
            <w:shd w:val="clear" w:color="auto" w:fill="F2F2F2" w:themeFill="background1" w:themeFillShade="F2"/>
          </w:tcPr>
          <w:p w14:paraId="3FAB91D4"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16A(2)</w:t>
            </w:r>
          </w:p>
        </w:tc>
        <w:tc>
          <w:tcPr>
            <w:tcW w:w="8221" w:type="dxa"/>
            <w:shd w:val="clear" w:color="auto" w:fill="F2F2F2" w:themeFill="background1" w:themeFillShade="F2"/>
          </w:tcPr>
          <w:p w14:paraId="340658AB" w14:textId="77777777"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This is a </w:t>
            </w:r>
            <w:r w:rsidRPr="003B61FF">
              <w:rPr>
                <w:rFonts w:ascii="Calibri" w:hAnsi="Calibri"/>
                <w:b/>
                <w:sz w:val="21"/>
                <w:szCs w:val="21"/>
              </w:rPr>
              <w:t>non-exhaustive list of matters</w:t>
            </w:r>
            <w:r w:rsidRPr="003B61FF">
              <w:rPr>
                <w:rFonts w:ascii="Calibri" w:hAnsi="Calibri"/>
                <w:sz w:val="21"/>
                <w:szCs w:val="21"/>
              </w:rPr>
              <w:t xml:space="preserve"> </w:t>
            </w:r>
            <w:r w:rsidRPr="003B61FF">
              <w:rPr>
                <w:rFonts w:ascii="Calibri" w:hAnsi="Calibri"/>
                <w:b/>
                <w:sz w:val="21"/>
                <w:szCs w:val="21"/>
              </w:rPr>
              <w:t>to which the court is to have regard</w:t>
            </w:r>
            <w:r w:rsidRPr="003B61FF">
              <w:rPr>
                <w:rFonts w:ascii="Calibri" w:hAnsi="Calibri"/>
                <w:sz w:val="21"/>
                <w:szCs w:val="21"/>
              </w:rPr>
              <w:t xml:space="preserve"> where </w:t>
            </w:r>
            <w:r w:rsidRPr="003B61FF">
              <w:rPr>
                <w:rFonts w:ascii="Calibri" w:hAnsi="Calibri"/>
                <w:i/>
                <w:sz w:val="21"/>
                <w:szCs w:val="21"/>
              </w:rPr>
              <w:t>relevant and known</w:t>
            </w:r>
            <w:r w:rsidRPr="003B61FF">
              <w:rPr>
                <w:rFonts w:ascii="Calibri" w:hAnsi="Calibri"/>
                <w:sz w:val="21"/>
                <w:szCs w:val="21"/>
              </w:rPr>
              <w:t xml:space="preserve"> when passing sentence.  The list is </w:t>
            </w:r>
            <w:r w:rsidR="003A4243" w:rsidRPr="003B61FF">
              <w:rPr>
                <w:rFonts w:ascii="Calibri" w:hAnsi="Calibri"/>
                <w:sz w:val="21"/>
                <w:szCs w:val="21"/>
              </w:rPr>
              <w:t xml:space="preserve">supplemented by </w:t>
            </w:r>
            <w:r w:rsidRPr="003B61FF">
              <w:rPr>
                <w:rFonts w:ascii="Calibri" w:hAnsi="Calibri"/>
                <w:sz w:val="21"/>
                <w:szCs w:val="21"/>
              </w:rPr>
              <w:t xml:space="preserve">relevant common law </w:t>
            </w:r>
            <w:r w:rsidR="003A4243" w:rsidRPr="003B61FF">
              <w:rPr>
                <w:rFonts w:ascii="Calibri" w:hAnsi="Calibri"/>
                <w:sz w:val="21"/>
                <w:szCs w:val="21"/>
              </w:rPr>
              <w:t>principles.</w:t>
            </w:r>
          </w:p>
          <w:p w14:paraId="430A618D" w14:textId="77777777" w:rsidR="001414A4" w:rsidRPr="003B61FF" w:rsidRDefault="001414A4">
            <w:pPr>
              <w:tabs>
                <w:tab w:val="left" w:pos="1134"/>
              </w:tabs>
              <w:spacing w:line="276" w:lineRule="auto"/>
              <w:ind w:right="-1"/>
              <w:jc w:val="both"/>
              <w:rPr>
                <w:rFonts w:ascii="Calibri" w:hAnsi="Calibri"/>
                <w:sz w:val="21"/>
                <w:szCs w:val="21"/>
              </w:rPr>
            </w:pPr>
          </w:p>
        </w:tc>
      </w:tr>
      <w:tr w:rsidR="00CC0C74" w:rsidRPr="003B61FF" w14:paraId="374FD7F3" w14:textId="77777777" w:rsidTr="00306B7E">
        <w:trPr>
          <w:cantSplit/>
        </w:trPr>
        <w:tc>
          <w:tcPr>
            <w:tcW w:w="1276" w:type="dxa"/>
            <w:shd w:val="clear" w:color="auto" w:fill="F2F2F2" w:themeFill="background1" w:themeFillShade="F2"/>
          </w:tcPr>
          <w:p w14:paraId="44B83AD5" w14:textId="5B5290CE" w:rsidR="00CC0C74" w:rsidRPr="003B61FF" w:rsidRDefault="00CC0C74" w:rsidP="00306B7E">
            <w:pPr>
              <w:tabs>
                <w:tab w:val="left" w:pos="1134"/>
              </w:tabs>
              <w:spacing w:line="276" w:lineRule="auto"/>
              <w:ind w:right="-1"/>
              <w:jc w:val="both"/>
              <w:rPr>
                <w:rFonts w:ascii="Calibri" w:hAnsi="Calibri"/>
                <w:sz w:val="30"/>
                <w:szCs w:val="30"/>
              </w:rPr>
            </w:pPr>
            <w:r w:rsidRPr="003B61FF">
              <w:rPr>
                <w:rFonts w:ascii="Calibri" w:hAnsi="Calibri"/>
                <w:sz w:val="30"/>
                <w:szCs w:val="30"/>
              </w:rPr>
              <w:t>16A(2A)</w:t>
            </w:r>
          </w:p>
        </w:tc>
        <w:tc>
          <w:tcPr>
            <w:tcW w:w="8221" w:type="dxa"/>
            <w:shd w:val="clear" w:color="auto" w:fill="F2F2F2" w:themeFill="background1" w:themeFillShade="F2"/>
          </w:tcPr>
          <w:p w14:paraId="71F7BAA5" w14:textId="3611AD23" w:rsidR="00CC0C74" w:rsidRPr="003B61FF" w:rsidRDefault="00CC0C74" w:rsidP="00306B7E">
            <w:pPr>
              <w:tabs>
                <w:tab w:val="left" w:pos="1134"/>
              </w:tabs>
              <w:spacing w:line="276" w:lineRule="auto"/>
              <w:ind w:right="-1"/>
              <w:jc w:val="both"/>
              <w:rPr>
                <w:rFonts w:ascii="Calibri" w:hAnsi="Calibri"/>
                <w:sz w:val="21"/>
                <w:szCs w:val="21"/>
              </w:rPr>
            </w:pPr>
            <w:r w:rsidRPr="003B61FF">
              <w:rPr>
                <w:rFonts w:ascii="Calibri" w:hAnsi="Calibri"/>
                <w:sz w:val="21"/>
                <w:szCs w:val="21"/>
              </w:rPr>
              <w:t>Tthe court is precluded from taking customary law or cultural practice into account to either mitigate or aggravate the seriousness of the criminal behaviour.</w:t>
            </w:r>
          </w:p>
          <w:p w14:paraId="47C04CD1" w14:textId="77777777" w:rsidR="00CC0C74" w:rsidRPr="003B61FF" w:rsidRDefault="00CC0C74" w:rsidP="00306B7E">
            <w:pPr>
              <w:tabs>
                <w:tab w:val="left" w:pos="1134"/>
              </w:tabs>
              <w:spacing w:line="276" w:lineRule="auto"/>
              <w:ind w:right="-1"/>
              <w:jc w:val="both"/>
              <w:rPr>
                <w:rFonts w:ascii="Calibri" w:hAnsi="Calibri"/>
                <w:sz w:val="21"/>
                <w:szCs w:val="21"/>
              </w:rPr>
            </w:pPr>
          </w:p>
        </w:tc>
      </w:tr>
      <w:tr w:rsidR="001414A4" w:rsidRPr="003B61FF" w14:paraId="2259A7C2" w14:textId="77777777" w:rsidTr="00CD5338">
        <w:trPr>
          <w:cantSplit/>
        </w:trPr>
        <w:tc>
          <w:tcPr>
            <w:tcW w:w="1276" w:type="dxa"/>
            <w:shd w:val="clear" w:color="auto" w:fill="F2F2F2" w:themeFill="background1" w:themeFillShade="F2"/>
          </w:tcPr>
          <w:p w14:paraId="2D0DB3C1"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16A(3)</w:t>
            </w:r>
          </w:p>
        </w:tc>
        <w:tc>
          <w:tcPr>
            <w:tcW w:w="8221" w:type="dxa"/>
            <w:shd w:val="clear" w:color="auto" w:fill="F2F2F2" w:themeFill="background1" w:themeFillShade="F2"/>
          </w:tcPr>
          <w:p w14:paraId="01B5BB0D" w14:textId="77777777"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In determining whether a </w:t>
            </w:r>
            <w:r w:rsidRPr="003B61FF">
              <w:rPr>
                <w:rFonts w:ascii="Calibri" w:hAnsi="Calibri"/>
                <w:b/>
                <w:sz w:val="21"/>
                <w:szCs w:val="21"/>
              </w:rPr>
              <w:t>non-custodial sentence</w:t>
            </w:r>
            <w:r w:rsidRPr="003B61FF">
              <w:rPr>
                <w:rFonts w:ascii="Calibri" w:hAnsi="Calibri"/>
                <w:sz w:val="21"/>
                <w:szCs w:val="21"/>
              </w:rPr>
              <w:t xml:space="preserve"> or order is appropriate regard must be had to the </w:t>
            </w:r>
            <w:r w:rsidRPr="003B61FF">
              <w:rPr>
                <w:rFonts w:ascii="Calibri" w:hAnsi="Calibri"/>
                <w:b/>
                <w:sz w:val="21"/>
                <w:szCs w:val="21"/>
              </w:rPr>
              <w:t>nature or severity of the conditions</w:t>
            </w:r>
            <w:r w:rsidRPr="003B61FF">
              <w:rPr>
                <w:rFonts w:ascii="Calibri" w:hAnsi="Calibri"/>
                <w:sz w:val="21"/>
                <w:szCs w:val="21"/>
              </w:rPr>
              <w:t xml:space="preserve"> that may be imposed or may apply to the offender under the order.</w:t>
            </w:r>
          </w:p>
          <w:p w14:paraId="33D58B9C"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436831" w:rsidRPr="003B61FF" w14:paraId="3B03CB33" w14:textId="77777777" w:rsidTr="00CD5338">
        <w:trPr>
          <w:cantSplit/>
        </w:trPr>
        <w:tc>
          <w:tcPr>
            <w:tcW w:w="1276" w:type="dxa"/>
            <w:shd w:val="clear" w:color="auto" w:fill="F2F2F2" w:themeFill="background1" w:themeFillShade="F2"/>
          </w:tcPr>
          <w:p w14:paraId="64857DEA" w14:textId="77777777" w:rsidR="00436831" w:rsidRPr="003B61FF" w:rsidRDefault="00436831"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16AB</w:t>
            </w:r>
          </w:p>
        </w:tc>
        <w:tc>
          <w:tcPr>
            <w:tcW w:w="8221" w:type="dxa"/>
            <w:shd w:val="clear" w:color="auto" w:fill="F2F2F2" w:themeFill="background1" w:themeFillShade="F2"/>
          </w:tcPr>
          <w:p w14:paraId="703C5BF0" w14:textId="77777777" w:rsidR="00436831" w:rsidRPr="003B61FF" w:rsidRDefault="00436831"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Sets out matters relevant to reliance on victim impact statements such as:</w:t>
            </w:r>
          </w:p>
          <w:p w14:paraId="569FEF89" w14:textId="77777777" w:rsidR="00436831" w:rsidRPr="003B61FF" w:rsidRDefault="00436831" w:rsidP="0047266C">
            <w:pPr>
              <w:pStyle w:val="ListParagraph"/>
              <w:numPr>
                <w:ilvl w:val="0"/>
                <w:numId w:val="14"/>
              </w:numPr>
              <w:tabs>
                <w:tab w:val="left" w:pos="1134"/>
              </w:tabs>
              <w:spacing w:line="276" w:lineRule="auto"/>
              <w:ind w:right="-1"/>
              <w:rPr>
                <w:rFonts w:ascii="Calibri" w:hAnsi="Calibri"/>
                <w:sz w:val="21"/>
                <w:szCs w:val="21"/>
              </w:rPr>
            </w:pPr>
            <w:r w:rsidRPr="003B61FF">
              <w:rPr>
                <w:rFonts w:ascii="Calibri" w:hAnsi="Calibri"/>
                <w:sz w:val="21"/>
                <w:szCs w:val="21"/>
              </w:rPr>
              <w:t>no implication is to be drawn from an absence of a victim impact statement</w:t>
            </w:r>
            <w:r w:rsidR="00297CEB" w:rsidRPr="003B61FF">
              <w:rPr>
                <w:rFonts w:ascii="Calibri" w:hAnsi="Calibri"/>
                <w:sz w:val="21"/>
                <w:szCs w:val="21"/>
              </w:rPr>
              <w:t>;</w:t>
            </w:r>
          </w:p>
          <w:p w14:paraId="50B54398" w14:textId="77777777" w:rsidR="00436831" w:rsidRPr="003B61FF" w:rsidRDefault="00436831" w:rsidP="0047266C">
            <w:pPr>
              <w:pStyle w:val="ListParagraph"/>
              <w:numPr>
                <w:ilvl w:val="0"/>
                <w:numId w:val="14"/>
              </w:numPr>
              <w:tabs>
                <w:tab w:val="left" w:pos="1134"/>
              </w:tabs>
              <w:spacing w:line="276" w:lineRule="auto"/>
              <w:ind w:right="-1"/>
              <w:rPr>
                <w:rFonts w:ascii="Calibri" w:hAnsi="Calibri"/>
                <w:sz w:val="21"/>
                <w:szCs w:val="21"/>
              </w:rPr>
            </w:pPr>
            <w:r w:rsidRPr="003B61FF">
              <w:rPr>
                <w:rFonts w:ascii="Calibri" w:hAnsi="Calibri"/>
                <w:sz w:val="21"/>
                <w:szCs w:val="21"/>
              </w:rPr>
              <w:t>the statement can be read by the victim or by someone on behalf of the victim</w:t>
            </w:r>
            <w:r w:rsidR="00297CEB" w:rsidRPr="003B61FF">
              <w:rPr>
                <w:rFonts w:ascii="Calibri" w:hAnsi="Calibri"/>
                <w:sz w:val="21"/>
                <w:szCs w:val="21"/>
              </w:rPr>
              <w:t>; and</w:t>
            </w:r>
          </w:p>
          <w:p w14:paraId="54EEFC7A" w14:textId="77777777" w:rsidR="00436831" w:rsidRPr="003B61FF" w:rsidRDefault="00436831" w:rsidP="0047266C">
            <w:pPr>
              <w:pStyle w:val="ListParagraph"/>
              <w:numPr>
                <w:ilvl w:val="0"/>
                <w:numId w:val="14"/>
              </w:numPr>
              <w:tabs>
                <w:tab w:val="left" w:pos="1134"/>
              </w:tabs>
              <w:spacing w:line="276" w:lineRule="auto"/>
              <w:ind w:right="-1"/>
              <w:rPr>
                <w:rFonts w:ascii="Calibri" w:hAnsi="Calibri"/>
                <w:sz w:val="21"/>
                <w:szCs w:val="21"/>
              </w:rPr>
            </w:pPr>
            <w:r w:rsidRPr="003B61FF">
              <w:rPr>
                <w:rFonts w:ascii="Calibri" w:hAnsi="Calibri"/>
                <w:sz w:val="21"/>
                <w:szCs w:val="21"/>
              </w:rPr>
              <w:t>the offender may only cross examine the maker of the victim impact statement with leave of the court</w:t>
            </w:r>
            <w:r w:rsidR="00E2014B" w:rsidRPr="003B61FF">
              <w:rPr>
                <w:rFonts w:ascii="Calibri" w:hAnsi="Calibri"/>
                <w:sz w:val="21"/>
                <w:szCs w:val="21"/>
              </w:rPr>
              <w:t>.</w:t>
            </w:r>
          </w:p>
          <w:p w14:paraId="6F58C17D" w14:textId="77777777" w:rsidR="00E2014B" w:rsidRPr="003B61FF" w:rsidRDefault="00E2014B" w:rsidP="007C11C2">
            <w:pPr>
              <w:pStyle w:val="ListParagraph"/>
              <w:tabs>
                <w:tab w:val="left" w:pos="1134"/>
              </w:tabs>
              <w:spacing w:line="276" w:lineRule="auto"/>
              <w:ind w:right="-1"/>
              <w:rPr>
                <w:rFonts w:ascii="Calibri" w:hAnsi="Calibri"/>
                <w:sz w:val="21"/>
                <w:szCs w:val="21"/>
              </w:rPr>
            </w:pPr>
          </w:p>
        </w:tc>
      </w:tr>
      <w:tr w:rsidR="00CC0C74" w:rsidRPr="003B61FF" w14:paraId="1044A179" w14:textId="77777777" w:rsidTr="00306B7E">
        <w:trPr>
          <w:cantSplit/>
        </w:trPr>
        <w:tc>
          <w:tcPr>
            <w:tcW w:w="1276" w:type="dxa"/>
            <w:shd w:val="clear" w:color="auto" w:fill="F2F2F2" w:themeFill="background1" w:themeFillShade="F2"/>
          </w:tcPr>
          <w:p w14:paraId="401F8A1F" w14:textId="77777777" w:rsidR="00CC0C74" w:rsidRPr="003B61FF" w:rsidRDefault="00CC0C74" w:rsidP="00306B7E">
            <w:pPr>
              <w:tabs>
                <w:tab w:val="left" w:pos="1134"/>
              </w:tabs>
              <w:spacing w:line="276" w:lineRule="auto"/>
              <w:ind w:right="-1"/>
              <w:jc w:val="both"/>
              <w:rPr>
                <w:rFonts w:ascii="Calibri" w:hAnsi="Calibri"/>
                <w:sz w:val="30"/>
                <w:szCs w:val="30"/>
              </w:rPr>
            </w:pPr>
            <w:r w:rsidRPr="003B61FF">
              <w:rPr>
                <w:rFonts w:ascii="Calibri" w:hAnsi="Calibri"/>
                <w:sz w:val="30"/>
                <w:szCs w:val="30"/>
              </w:rPr>
              <w:t>16AC</w:t>
            </w:r>
          </w:p>
          <w:p w14:paraId="15029FFB" w14:textId="77777777" w:rsidR="00CC0C74" w:rsidRPr="003B61FF" w:rsidRDefault="00CC0C74" w:rsidP="00306B7E">
            <w:pPr>
              <w:tabs>
                <w:tab w:val="left" w:pos="1134"/>
              </w:tabs>
              <w:spacing w:line="276" w:lineRule="auto"/>
              <w:ind w:right="-1"/>
              <w:jc w:val="both"/>
              <w:rPr>
                <w:rFonts w:ascii="Calibri" w:hAnsi="Calibri"/>
                <w:sz w:val="30"/>
                <w:szCs w:val="30"/>
              </w:rPr>
            </w:pPr>
            <w:r w:rsidRPr="003B61FF">
              <w:rPr>
                <w:rFonts w:ascii="Calibri" w:hAnsi="Calibri"/>
                <w:sz w:val="24"/>
                <w:szCs w:val="24"/>
              </w:rPr>
              <w:t>(formerly 21E)</w:t>
            </w:r>
          </w:p>
        </w:tc>
        <w:tc>
          <w:tcPr>
            <w:tcW w:w="8221" w:type="dxa"/>
            <w:shd w:val="clear" w:color="auto" w:fill="F2F2F2" w:themeFill="background1" w:themeFillShade="F2"/>
          </w:tcPr>
          <w:p w14:paraId="041B07EF" w14:textId="604A1766" w:rsidR="00CC0C74" w:rsidRPr="003B61FF" w:rsidRDefault="00CC0C74" w:rsidP="00306B7E">
            <w:pPr>
              <w:spacing w:line="276" w:lineRule="auto"/>
              <w:ind w:left="34" w:right="-1"/>
              <w:jc w:val="both"/>
              <w:rPr>
                <w:rFonts w:ascii="Calibri" w:hAnsi="Calibri"/>
                <w:sz w:val="21"/>
                <w:szCs w:val="21"/>
              </w:rPr>
            </w:pPr>
            <w:r w:rsidRPr="003B61FF">
              <w:rPr>
                <w:rFonts w:ascii="Calibri" w:hAnsi="Calibri"/>
                <w:sz w:val="21"/>
                <w:szCs w:val="21"/>
              </w:rPr>
              <w:t xml:space="preserve">Court is to quantify reduction of sentence if an undertaking by an offender as to future co-operation in proceedings is given.  Court is required to say that the reduction is made for this reason.  </w:t>
            </w:r>
          </w:p>
          <w:p w14:paraId="1C0BFE12" w14:textId="77777777" w:rsidR="00CC0C74" w:rsidRPr="003B61FF" w:rsidRDefault="00CC0C74" w:rsidP="00306B7E">
            <w:pPr>
              <w:spacing w:line="276" w:lineRule="auto"/>
              <w:ind w:left="34" w:right="-1"/>
              <w:jc w:val="both"/>
              <w:rPr>
                <w:rFonts w:ascii="Calibri" w:hAnsi="Calibri"/>
                <w:sz w:val="21"/>
                <w:szCs w:val="21"/>
              </w:rPr>
            </w:pPr>
          </w:p>
          <w:p w14:paraId="131EAC64" w14:textId="77777777" w:rsidR="00CC0C74" w:rsidRPr="003B61FF" w:rsidRDefault="00CC0C74" w:rsidP="00306B7E">
            <w:pPr>
              <w:spacing w:line="276" w:lineRule="auto"/>
              <w:ind w:left="34" w:right="-1"/>
              <w:jc w:val="both"/>
              <w:rPr>
                <w:rFonts w:ascii="Calibri" w:hAnsi="Calibri"/>
                <w:sz w:val="21"/>
                <w:szCs w:val="21"/>
              </w:rPr>
            </w:pPr>
            <w:r w:rsidRPr="003B61FF">
              <w:rPr>
                <w:rFonts w:ascii="Calibri" w:hAnsi="Calibri"/>
                <w:sz w:val="21"/>
                <w:szCs w:val="21"/>
              </w:rPr>
              <w:t>For s 16AC to operate there must be a clear undertaking and it must be given in contemplation of the possible institution of some proceeding.  A s 16AC reduction is not to include any mitigation of penalty consequent upon application of s 16A(2)(h) which relates to general cooperation with authorities.  Those are distinct and separate.</w:t>
            </w:r>
          </w:p>
          <w:p w14:paraId="1AC8467B" w14:textId="77777777" w:rsidR="00CC0C74" w:rsidRPr="003B61FF" w:rsidRDefault="00CC0C74" w:rsidP="00306B7E">
            <w:pPr>
              <w:spacing w:line="276" w:lineRule="auto"/>
              <w:ind w:left="34" w:right="-1"/>
              <w:jc w:val="both"/>
              <w:rPr>
                <w:rFonts w:ascii="Calibri" w:hAnsi="Calibri"/>
                <w:sz w:val="21"/>
                <w:szCs w:val="21"/>
              </w:rPr>
            </w:pPr>
          </w:p>
        </w:tc>
      </w:tr>
      <w:tr w:rsidR="001414A4" w:rsidRPr="003B61FF" w14:paraId="5248BAD3" w14:textId="77777777" w:rsidTr="00CD5338">
        <w:trPr>
          <w:cantSplit/>
        </w:trPr>
        <w:tc>
          <w:tcPr>
            <w:tcW w:w="1276" w:type="dxa"/>
            <w:shd w:val="clear" w:color="auto" w:fill="F2F2F2" w:themeFill="background1" w:themeFillShade="F2"/>
          </w:tcPr>
          <w:p w14:paraId="1B9747DC"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16B</w:t>
            </w:r>
          </w:p>
        </w:tc>
        <w:tc>
          <w:tcPr>
            <w:tcW w:w="8221" w:type="dxa"/>
            <w:shd w:val="clear" w:color="auto" w:fill="F2F2F2" w:themeFill="background1" w:themeFillShade="F2"/>
          </w:tcPr>
          <w:p w14:paraId="15AC7EB8" w14:textId="3FA8CBAB"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In sentencing, a court must have regard to </w:t>
            </w:r>
            <w:r w:rsidRPr="003B61FF">
              <w:rPr>
                <w:rFonts w:ascii="Calibri" w:hAnsi="Calibri"/>
                <w:b/>
                <w:sz w:val="21"/>
                <w:szCs w:val="21"/>
              </w:rPr>
              <w:t>any sentence</w:t>
            </w:r>
            <w:r w:rsidRPr="003B61FF">
              <w:rPr>
                <w:rFonts w:ascii="Calibri" w:hAnsi="Calibri"/>
                <w:sz w:val="21"/>
                <w:szCs w:val="21"/>
              </w:rPr>
              <w:t xml:space="preserve"> (state, federal or territory) </w:t>
            </w:r>
            <w:r w:rsidRPr="003B61FF">
              <w:rPr>
                <w:rFonts w:ascii="Calibri" w:hAnsi="Calibri"/>
                <w:b/>
                <w:sz w:val="21"/>
                <w:szCs w:val="21"/>
              </w:rPr>
              <w:t>that the offender has not served or any sentence liable to be served</w:t>
            </w:r>
            <w:r w:rsidRPr="003B61FF">
              <w:rPr>
                <w:rFonts w:ascii="Calibri" w:hAnsi="Calibri"/>
                <w:sz w:val="21"/>
                <w:szCs w:val="21"/>
              </w:rPr>
              <w:t xml:space="preserve"> through revocation of parole or licence (the totality principle). </w:t>
            </w:r>
          </w:p>
          <w:p w14:paraId="15860A60"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12DAC95B" w14:textId="77777777" w:rsidTr="00CD5338">
        <w:trPr>
          <w:cantSplit/>
        </w:trPr>
        <w:tc>
          <w:tcPr>
            <w:tcW w:w="1276" w:type="dxa"/>
            <w:shd w:val="clear" w:color="auto" w:fill="F2F2F2" w:themeFill="background1" w:themeFillShade="F2"/>
          </w:tcPr>
          <w:p w14:paraId="4B340219"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16BA</w:t>
            </w:r>
          </w:p>
        </w:tc>
        <w:tc>
          <w:tcPr>
            <w:tcW w:w="8221" w:type="dxa"/>
            <w:shd w:val="clear" w:color="auto" w:fill="F2F2F2" w:themeFill="background1" w:themeFillShade="F2"/>
          </w:tcPr>
          <w:p w14:paraId="254163EF" w14:textId="77777777"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The Court can take other federal/external </w:t>
            </w:r>
            <w:r w:rsidR="00436831" w:rsidRPr="003B61FF">
              <w:rPr>
                <w:rFonts w:ascii="Calibri" w:hAnsi="Calibri"/>
                <w:sz w:val="21"/>
                <w:szCs w:val="21"/>
              </w:rPr>
              <w:t xml:space="preserve">territory offences into account.  Sets out a range of rules and qualifications where this is to occur. </w:t>
            </w:r>
          </w:p>
          <w:p w14:paraId="58A37C0C"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2A9C0419" w14:textId="77777777" w:rsidTr="00CD5338">
        <w:trPr>
          <w:cantSplit/>
        </w:trPr>
        <w:tc>
          <w:tcPr>
            <w:tcW w:w="1276" w:type="dxa"/>
            <w:shd w:val="clear" w:color="auto" w:fill="F2F2F2" w:themeFill="background1" w:themeFillShade="F2"/>
          </w:tcPr>
          <w:p w14:paraId="6E6B583C"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16C</w:t>
            </w:r>
          </w:p>
        </w:tc>
        <w:tc>
          <w:tcPr>
            <w:tcW w:w="8221" w:type="dxa"/>
            <w:shd w:val="clear" w:color="auto" w:fill="F2F2F2" w:themeFill="background1" w:themeFillShade="F2"/>
          </w:tcPr>
          <w:p w14:paraId="2724EE22" w14:textId="77777777"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When imposing a </w:t>
            </w:r>
            <w:r w:rsidRPr="003B61FF">
              <w:rPr>
                <w:rFonts w:ascii="Calibri" w:hAnsi="Calibri"/>
                <w:b/>
                <w:sz w:val="21"/>
                <w:szCs w:val="21"/>
              </w:rPr>
              <w:t>fine</w:t>
            </w:r>
            <w:r w:rsidRPr="003B61FF">
              <w:rPr>
                <w:rFonts w:ascii="Calibri" w:hAnsi="Calibri"/>
                <w:sz w:val="21"/>
                <w:szCs w:val="21"/>
              </w:rPr>
              <w:t>, the court must have regard to the ability of the offender to pay.  The court is not prevented from imposing a fine because the financial circumstances of the offender cannot be ascertained by the court.</w:t>
            </w:r>
          </w:p>
          <w:p w14:paraId="4ED05D66" w14:textId="77777777" w:rsidR="001414A4" w:rsidRPr="003B61FF" w:rsidRDefault="001414A4" w:rsidP="007C11C2">
            <w:pPr>
              <w:tabs>
                <w:tab w:val="left" w:pos="1134"/>
              </w:tabs>
              <w:spacing w:line="276" w:lineRule="auto"/>
              <w:ind w:right="-1"/>
              <w:jc w:val="both"/>
              <w:rPr>
                <w:rFonts w:ascii="Calibri" w:hAnsi="Calibri"/>
                <w:sz w:val="21"/>
                <w:szCs w:val="21"/>
              </w:rPr>
            </w:pPr>
          </w:p>
        </w:tc>
      </w:tr>
      <w:tr w:rsidR="001414A4" w:rsidRPr="003B61FF" w14:paraId="076E6776" w14:textId="77777777" w:rsidTr="00CD5338">
        <w:trPr>
          <w:cantSplit/>
        </w:trPr>
        <w:tc>
          <w:tcPr>
            <w:tcW w:w="1276" w:type="dxa"/>
            <w:shd w:val="clear" w:color="auto" w:fill="F2F2F2" w:themeFill="background1" w:themeFillShade="F2"/>
          </w:tcPr>
          <w:p w14:paraId="3E55F817"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19B</w:t>
            </w:r>
          </w:p>
        </w:tc>
        <w:tc>
          <w:tcPr>
            <w:tcW w:w="8221" w:type="dxa"/>
            <w:shd w:val="clear" w:color="auto" w:fill="F2F2F2" w:themeFill="background1" w:themeFillShade="F2"/>
          </w:tcPr>
          <w:p w14:paraId="031B6F5D" w14:textId="77777777" w:rsidR="001414A4" w:rsidRPr="003B61FF" w:rsidRDefault="001414A4" w:rsidP="007C11C2">
            <w:pPr>
              <w:tabs>
                <w:tab w:val="left" w:pos="1134"/>
              </w:tabs>
              <w:spacing w:line="276" w:lineRule="auto"/>
              <w:ind w:left="1134" w:right="-1" w:hanging="1134"/>
              <w:jc w:val="both"/>
              <w:rPr>
                <w:rFonts w:ascii="Calibri" w:hAnsi="Calibri"/>
                <w:b/>
                <w:sz w:val="21"/>
                <w:szCs w:val="21"/>
              </w:rPr>
            </w:pPr>
            <w:r w:rsidRPr="003B61FF">
              <w:rPr>
                <w:rFonts w:ascii="Calibri" w:hAnsi="Calibri"/>
                <w:b/>
                <w:sz w:val="21"/>
                <w:szCs w:val="21"/>
              </w:rPr>
              <w:t>Bond without conviction</w:t>
            </w:r>
          </w:p>
          <w:p w14:paraId="4E8BF091" w14:textId="77777777" w:rsidR="00124903" w:rsidRPr="003B61FF" w:rsidRDefault="00124903" w:rsidP="007C11C2">
            <w:pPr>
              <w:tabs>
                <w:tab w:val="left" w:pos="1134"/>
              </w:tabs>
              <w:spacing w:line="276" w:lineRule="auto"/>
              <w:ind w:left="1134" w:right="-1" w:hanging="1134"/>
              <w:jc w:val="both"/>
              <w:rPr>
                <w:rFonts w:ascii="Calibri" w:hAnsi="Calibri"/>
                <w:b/>
                <w:sz w:val="21"/>
                <w:szCs w:val="21"/>
              </w:rPr>
            </w:pPr>
          </w:p>
          <w:p w14:paraId="6998C3D7" w14:textId="77777777" w:rsidR="001414A4" w:rsidRPr="003B61FF" w:rsidRDefault="001414A4" w:rsidP="007C11C2">
            <w:pPr>
              <w:tabs>
                <w:tab w:val="left" w:pos="1134"/>
              </w:tabs>
              <w:spacing w:line="276" w:lineRule="auto"/>
              <w:ind w:right="-1"/>
              <w:jc w:val="both"/>
              <w:rPr>
                <w:rFonts w:ascii="Calibri" w:hAnsi="Calibri"/>
                <w:sz w:val="21"/>
                <w:szCs w:val="21"/>
              </w:rPr>
            </w:pPr>
            <w:r w:rsidRPr="003B61FF">
              <w:rPr>
                <w:rFonts w:ascii="Calibri" w:hAnsi="Calibri"/>
                <w:sz w:val="21"/>
                <w:szCs w:val="21"/>
              </w:rPr>
              <w:t xml:space="preserve">If the conditions in </w:t>
            </w:r>
            <w:r w:rsidR="00290180" w:rsidRPr="003B61FF">
              <w:rPr>
                <w:rFonts w:ascii="Calibri" w:hAnsi="Calibri"/>
                <w:sz w:val="21"/>
                <w:szCs w:val="21"/>
              </w:rPr>
              <w:t xml:space="preserve">s </w:t>
            </w:r>
            <w:r w:rsidRPr="003B61FF">
              <w:rPr>
                <w:rFonts w:ascii="Calibri" w:hAnsi="Calibri"/>
                <w:sz w:val="21"/>
                <w:szCs w:val="21"/>
              </w:rPr>
              <w:t>19B(1)(b) have been met, the court:</w:t>
            </w:r>
          </w:p>
          <w:p w14:paraId="249E05CB" w14:textId="34F457ED" w:rsidR="001414A4" w:rsidRPr="003B61FF" w:rsidRDefault="00500063" w:rsidP="00841569">
            <w:pPr>
              <w:pStyle w:val="ListParagraph"/>
              <w:numPr>
                <w:ilvl w:val="0"/>
                <w:numId w:val="6"/>
              </w:numPr>
              <w:tabs>
                <w:tab w:val="left" w:pos="1134"/>
              </w:tabs>
              <w:spacing w:line="276" w:lineRule="auto"/>
              <w:ind w:right="-1"/>
              <w:rPr>
                <w:rFonts w:ascii="Calibri" w:hAnsi="Calibri"/>
                <w:sz w:val="21"/>
                <w:szCs w:val="21"/>
              </w:rPr>
            </w:pPr>
            <w:r w:rsidRPr="003B61FF">
              <w:rPr>
                <w:rFonts w:ascii="Calibri" w:hAnsi="Calibri"/>
                <w:sz w:val="21"/>
                <w:szCs w:val="21"/>
              </w:rPr>
              <w:t xml:space="preserve">may </w:t>
            </w:r>
            <w:r w:rsidR="001414A4" w:rsidRPr="003B61FF">
              <w:rPr>
                <w:rFonts w:ascii="Calibri" w:hAnsi="Calibri"/>
                <w:sz w:val="21"/>
                <w:szCs w:val="21"/>
              </w:rPr>
              <w:t>dism</w:t>
            </w:r>
            <w:r w:rsidR="003A4243" w:rsidRPr="003B61FF">
              <w:rPr>
                <w:rFonts w:ascii="Calibri" w:hAnsi="Calibri"/>
                <w:sz w:val="21"/>
                <w:szCs w:val="21"/>
              </w:rPr>
              <w:t>iss the charge/s –</w:t>
            </w:r>
            <w:r w:rsidR="00213BC3" w:rsidRPr="003B61FF">
              <w:rPr>
                <w:rFonts w:ascii="Calibri" w:hAnsi="Calibri"/>
                <w:sz w:val="21"/>
                <w:szCs w:val="21"/>
              </w:rPr>
              <w:t xml:space="preserve"> </w:t>
            </w:r>
            <w:r w:rsidR="00290180" w:rsidRPr="003B61FF">
              <w:rPr>
                <w:rFonts w:ascii="Calibri" w:hAnsi="Calibri"/>
                <w:sz w:val="21"/>
                <w:szCs w:val="21"/>
              </w:rPr>
              <w:t xml:space="preserve">s </w:t>
            </w:r>
            <w:r w:rsidR="003A4243" w:rsidRPr="003B61FF">
              <w:rPr>
                <w:rFonts w:ascii="Calibri" w:hAnsi="Calibri"/>
                <w:sz w:val="21"/>
                <w:szCs w:val="21"/>
              </w:rPr>
              <w:t xml:space="preserve"> 19B(1)(c); or</w:t>
            </w:r>
          </w:p>
          <w:p w14:paraId="093E5CCA" w14:textId="0098D0EC" w:rsidR="001414A4" w:rsidRPr="003B61FF" w:rsidRDefault="00500063" w:rsidP="00841569">
            <w:pPr>
              <w:pStyle w:val="ListParagraph"/>
              <w:numPr>
                <w:ilvl w:val="0"/>
                <w:numId w:val="6"/>
              </w:numPr>
              <w:tabs>
                <w:tab w:val="left" w:pos="1134"/>
              </w:tabs>
              <w:spacing w:line="276" w:lineRule="auto"/>
              <w:ind w:right="-1"/>
              <w:rPr>
                <w:rFonts w:ascii="Calibri" w:hAnsi="Calibri"/>
                <w:i/>
                <w:sz w:val="21"/>
                <w:szCs w:val="21"/>
              </w:rPr>
            </w:pPr>
            <w:r w:rsidRPr="003B61FF">
              <w:rPr>
                <w:rFonts w:ascii="Calibri" w:hAnsi="Calibri"/>
                <w:sz w:val="21"/>
                <w:szCs w:val="21"/>
              </w:rPr>
              <w:t xml:space="preserve">may </w:t>
            </w:r>
            <w:r w:rsidR="001414A4" w:rsidRPr="003B61FF">
              <w:rPr>
                <w:rFonts w:ascii="Calibri" w:hAnsi="Calibri"/>
                <w:sz w:val="21"/>
                <w:szCs w:val="21"/>
              </w:rPr>
              <w:t xml:space="preserve">discharge the person without conviction for a period not exceeding 3 years – </w:t>
            </w:r>
            <w:r w:rsidR="00290180" w:rsidRPr="003B61FF">
              <w:rPr>
                <w:rFonts w:ascii="Calibri" w:hAnsi="Calibri"/>
                <w:sz w:val="21"/>
                <w:szCs w:val="21"/>
              </w:rPr>
              <w:t xml:space="preserve">s </w:t>
            </w:r>
            <w:r w:rsidR="001414A4" w:rsidRPr="003B61FF">
              <w:rPr>
                <w:rFonts w:ascii="Calibri" w:hAnsi="Calibri"/>
                <w:sz w:val="21"/>
                <w:szCs w:val="21"/>
              </w:rPr>
              <w:t>19B(1)(d)</w:t>
            </w:r>
          </w:p>
          <w:p w14:paraId="4D1CBF55" w14:textId="77777777" w:rsidR="001414A4" w:rsidRPr="003B61FF" w:rsidRDefault="001414A4" w:rsidP="00841569">
            <w:pPr>
              <w:pStyle w:val="ListParagraph"/>
              <w:numPr>
                <w:ilvl w:val="0"/>
                <w:numId w:val="6"/>
              </w:numPr>
              <w:tabs>
                <w:tab w:val="left" w:pos="1134"/>
              </w:tabs>
              <w:spacing w:line="276" w:lineRule="auto"/>
              <w:ind w:right="-1"/>
              <w:rPr>
                <w:rFonts w:ascii="Calibri" w:hAnsi="Calibri"/>
                <w:sz w:val="21"/>
                <w:szCs w:val="21"/>
              </w:rPr>
            </w:pPr>
            <w:r w:rsidRPr="003B61FF">
              <w:rPr>
                <w:rFonts w:ascii="Calibri" w:hAnsi="Calibri"/>
                <w:sz w:val="21"/>
                <w:szCs w:val="21"/>
              </w:rPr>
              <w:t xml:space="preserve">may order compliance with conditions for a period not exceeding 2 years </w:t>
            </w:r>
            <w:r w:rsidR="00290180" w:rsidRPr="003B61FF">
              <w:rPr>
                <w:rFonts w:ascii="Calibri" w:hAnsi="Calibri"/>
                <w:sz w:val="21"/>
                <w:szCs w:val="21"/>
              </w:rPr>
              <w:t>–</w:t>
            </w:r>
            <w:r w:rsidRPr="003B61FF">
              <w:rPr>
                <w:rFonts w:ascii="Calibri" w:hAnsi="Calibri"/>
                <w:sz w:val="21"/>
                <w:szCs w:val="21"/>
              </w:rPr>
              <w:t xml:space="preserve"> </w:t>
            </w:r>
            <w:r w:rsidR="00290180" w:rsidRPr="003B61FF">
              <w:rPr>
                <w:rFonts w:ascii="Calibri" w:hAnsi="Calibri"/>
                <w:sz w:val="21"/>
                <w:szCs w:val="21"/>
              </w:rPr>
              <w:t xml:space="preserve">s </w:t>
            </w:r>
            <w:r w:rsidRPr="003B61FF">
              <w:rPr>
                <w:rFonts w:ascii="Calibri" w:hAnsi="Calibri"/>
                <w:sz w:val="21"/>
                <w:szCs w:val="21"/>
              </w:rPr>
              <w:t>19B(1)(d)(iii)</w:t>
            </w:r>
          </w:p>
          <w:p w14:paraId="04726359" w14:textId="19823A9E" w:rsidR="001414A4" w:rsidRPr="003B61FF" w:rsidRDefault="00500063" w:rsidP="00841569">
            <w:pPr>
              <w:pStyle w:val="ListParagraph"/>
              <w:numPr>
                <w:ilvl w:val="0"/>
                <w:numId w:val="6"/>
              </w:numPr>
              <w:tabs>
                <w:tab w:val="left" w:pos="1134"/>
              </w:tabs>
              <w:spacing w:line="276" w:lineRule="auto"/>
              <w:ind w:right="-1"/>
              <w:rPr>
                <w:rFonts w:ascii="Calibri" w:hAnsi="Calibri"/>
                <w:sz w:val="21"/>
                <w:szCs w:val="21"/>
              </w:rPr>
            </w:pPr>
            <w:r w:rsidRPr="003B61FF">
              <w:rPr>
                <w:rFonts w:ascii="Calibri" w:hAnsi="Calibri"/>
                <w:sz w:val="21"/>
                <w:szCs w:val="21"/>
              </w:rPr>
              <w:t>must</w:t>
            </w:r>
            <w:r w:rsidR="001414A4" w:rsidRPr="003B61FF">
              <w:rPr>
                <w:rFonts w:ascii="Calibri" w:hAnsi="Calibri"/>
                <w:sz w:val="21"/>
                <w:szCs w:val="21"/>
              </w:rPr>
              <w:t xml:space="preserve"> explain or cause to be explained the purpose of the order, the consequences which may follow if it is not complied with and that the </w:t>
            </w:r>
            <w:r w:rsidR="00A53DA1" w:rsidRPr="003B61FF">
              <w:rPr>
                <w:rFonts w:ascii="Calibri" w:hAnsi="Calibri"/>
                <w:sz w:val="21"/>
                <w:szCs w:val="21"/>
              </w:rPr>
              <w:t>recognizance</w:t>
            </w:r>
            <w:r w:rsidR="001414A4" w:rsidRPr="003B61FF">
              <w:rPr>
                <w:rFonts w:ascii="Calibri" w:hAnsi="Calibri"/>
                <w:sz w:val="21"/>
                <w:szCs w:val="21"/>
              </w:rPr>
              <w:t xml:space="preserve"> may be varied – </w:t>
            </w:r>
            <w:r w:rsidR="00290180" w:rsidRPr="003B61FF">
              <w:rPr>
                <w:rFonts w:ascii="Calibri" w:hAnsi="Calibri"/>
                <w:sz w:val="21"/>
                <w:szCs w:val="21"/>
              </w:rPr>
              <w:t xml:space="preserve">s </w:t>
            </w:r>
            <w:r w:rsidR="001414A4" w:rsidRPr="003B61FF">
              <w:rPr>
                <w:rFonts w:ascii="Calibri" w:hAnsi="Calibri"/>
                <w:sz w:val="21"/>
                <w:szCs w:val="21"/>
              </w:rPr>
              <w:t>19B(2)</w:t>
            </w:r>
          </w:p>
          <w:p w14:paraId="1FBE0CC9" w14:textId="4007DF7B" w:rsidR="001414A4" w:rsidRPr="003B61FF" w:rsidRDefault="00500063" w:rsidP="00841569">
            <w:pPr>
              <w:pStyle w:val="ListParagraph"/>
              <w:numPr>
                <w:ilvl w:val="0"/>
                <w:numId w:val="6"/>
              </w:numPr>
              <w:tabs>
                <w:tab w:val="left" w:pos="1134"/>
              </w:tabs>
              <w:spacing w:line="276" w:lineRule="auto"/>
              <w:ind w:right="-1"/>
              <w:rPr>
                <w:rFonts w:ascii="Calibri" w:hAnsi="Calibri"/>
                <w:sz w:val="21"/>
                <w:szCs w:val="21"/>
              </w:rPr>
            </w:pPr>
            <w:r w:rsidRPr="003B61FF">
              <w:rPr>
                <w:rFonts w:ascii="Calibri" w:hAnsi="Calibri"/>
                <w:sz w:val="21"/>
                <w:szCs w:val="21"/>
              </w:rPr>
              <w:t>must</w:t>
            </w:r>
            <w:r w:rsidR="001414A4" w:rsidRPr="003B61FF">
              <w:rPr>
                <w:rFonts w:ascii="Calibri" w:hAnsi="Calibri"/>
                <w:sz w:val="21"/>
                <w:szCs w:val="21"/>
              </w:rPr>
              <w:t xml:space="preserve"> provide a copy of the bond to the offender – </w:t>
            </w:r>
            <w:r w:rsidR="00290180" w:rsidRPr="003B61FF">
              <w:rPr>
                <w:rFonts w:ascii="Calibri" w:hAnsi="Calibri"/>
                <w:sz w:val="21"/>
                <w:szCs w:val="21"/>
              </w:rPr>
              <w:t xml:space="preserve">s </w:t>
            </w:r>
            <w:r w:rsidR="001414A4" w:rsidRPr="003B61FF">
              <w:rPr>
                <w:rFonts w:ascii="Calibri" w:hAnsi="Calibri"/>
                <w:sz w:val="21"/>
                <w:szCs w:val="21"/>
              </w:rPr>
              <w:t>19B(4)</w:t>
            </w:r>
          </w:p>
          <w:p w14:paraId="58FD45DF" w14:textId="77777777" w:rsidR="001414A4" w:rsidRPr="003B61FF" w:rsidRDefault="001414A4" w:rsidP="007C11C2">
            <w:pPr>
              <w:tabs>
                <w:tab w:val="left" w:pos="1134"/>
              </w:tabs>
              <w:spacing w:line="276" w:lineRule="auto"/>
              <w:ind w:left="2160" w:right="-1"/>
              <w:jc w:val="both"/>
              <w:rPr>
                <w:rFonts w:ascii="Calibri" w:hAnsi="Calibri"/>
                <w:sz w:val="21"/>
                <w:szCs w:val="21"/>
              </w:rPr>
            </w:pPr>
          </w:p>
        </w:tc>
      </w:tr>
      <w:tr w:rsidR="001414A4" w:rsidRPr="003B61FF" w14:paraId="6FF523B1" w14:textId="77777777" w:rsidTr="00CD5338">
        <w:trPr>
          <w:cantSplit/>
        </w:trPr>
        <w:tc>
          <w:tcPr>
            <w:tcW w:w="1276" w:type="dxa"/>
            <w:shd w:val="clear" w:color="auto" w:fill="F2F2F2" w:themeFill="background1" w:themeFillShade="F2"/>
          </w:tcPr>
          <w:p w14:paraId="3183DF7A"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20(1)(a)</w:t>
            </w:r>
          </w:p>
        </w:tc>
        <w:tc>
          <w:tcPr>
            <w:tcW w:w="8221" w:type="dxa"/>
            <w:shd w:val="clear" w:color="auto" w:fill="F2F2F2" w:themeFill="background1" w:themeFillShade="F2"/>
          </w:tcPr>
          <w:p w14:paraId="2B211B58" w14:textId="77777777" w:rsidR="001414A4" w:rsidRPr="003B61FF" w:rsidRDefault="001414A4" w:rsidP="007C11C2">
            <w:pPr>
              <w:tabs>
                <w:tab w:val="left" w:pos="1134"/>
              </w:tabs>
              <w:spacing w:line="276" w:lineRule="auto"/>
              <w:ind w:left="1134" w:right="-1" w:hanging="1134"/>
              <w:jc w:val="both"/>
              <w:rPr>
                <w:rFonts w:ascii="Calibri" w:hAnsi="Calibri"/>
                <w:b/>
                <w:sz w:val="21"/>
                <w:szCs w:val="21"/>
              </w:rPr>
            </w:pPr>
            <w:r w:rsidRPr="003B61FF">
              <w:rPr>
                <w:rFonts w:ascii="Calibri" w:hAnsi="Calibri"/>
                <w:b/>
                <w:sz w:val="21"/>
                <w:szCs w:val="21"/>
              </w:rPr>
              <w:t xml:space="preserve">Bond </w:t>
            </w:r>
            <w:r w:rsidRPr="003B61FF">
              <w:rPr>
                <w:rFonts w:ascii="Calibri" w:hAnsi="Calibri"/>
                <w:b/>
                <w:sz w:val="21"/>
                <w:szCs w:val="21"/>
                <w:u w:val="single"/>
              </w:rPr>
              <w:t>with</w:t>
            </w:r>
            <w:r w:rsidRPr="003B61FF">
              <w:rPr>
                <w:rFonts w:ascii="Calibri" w:hAnsi="Calibri"/>
                <w:b/>
                <w:sz w:val="21"/>
                <w:szCs w:val="21"/>
              </w:rPr>
              <w:t xml:space="preserve"> conviction</w:t>
            </w:r>
          </w:p>
          <w:p w14:paraId="3022D882" w14:textId="77777777" w:rsidR="001414A4" w:rsidRPr="003B61FF" w:rsidRDefault="001414A4" w:rsidP="007C11C2">
            <w:pPr>
              <w:tabs>
                <w:tab w:val="left" w:pos="1134"/>
              </w:tabs>
              <w:spacing w:line="276" w:lineRule="auto"/>
              <w:ind w:left="1134" w:right="-1" w:hanging="1134"/>
              <w:jc w:val="both"/>
              <w:rPr>
                <w:rFonts w:ascii="Calibri" w:hAnsi="Calibri"/>
                <w:b/>
                <w:sz w:val="21"/>
                <w:szCs w:val="21"/>
              </w:rPr>
            </w:pPr>
          </w:p>
          <w:p w14:paraId="43D8CF63" w14:textId="77777777" w:rsidR="001414A4" w:rsidRPr="003B61FF" w:rsidRDefault="001414A4" w:rsidP="00841569">
            <w:pPr>
              <w:pStyle w:val="ListParagraph"/>
              <w:numPr>
                <w:ilvl w:val="0"/>
                <w:numId w:val="9"/>
              </w:numPr>
              <w:tabs>
                <w:tab w:val="left" w:pos="1134"/>
              </w:tabs>
              <w:spacing w:line="276" w:lineRule="auto"/>
              <w:ind w:right="-1"/>
              <w:rPr>
                <w:rFonts w:ascii="Calibri" w:hAnsi="Calibri"/>
                <w:sz w:val="21"/>
                <w:szCs w:val="21"/>
              </w:rPr>
            </w:pPr>
            <w:r w:rsidRPr="003B61FF">
              <w:rPr>
                <w:rFonts w:ascii="Calibri" w:hAnsi="Calibri"/>
                <w:sz w:val="21"/>
                <w:szCs w:val="21"/>
              </w:rPr>
              <w:t xml:space="preserve">period of order may not exceed 5 years – </w:t>
            </w:r>
            <w:r w:rsidR="00290180" w:rsidRPr="003B61FF">
              <w:rPr>
                <w:rFonts w:ascii="Calibri" w:hAnsi="Calibri"/>
                <w:sz w:val="21"/>
                <w:szCs w:val="21"/>
              </w:rPr>
              <w:t xml:space="preserve">s </w:t>
            </w:r>
            <w:r w:rsidRPr="003B61FF">
              <w:rPr>
                <w:rFonts w:ascii="Calibri" w:hAnsi="Calibri"/>
                <w:sz w:val="21"/>
                <w:szCs w:val="21"/>
              </w:rPr>
              <w:t>20(1)(a)(i)</w:t>
            </w:r>
          </w:p>
          <w:p w14:paraId="59A8EED5" w14:textId="77777777" w:rsidR="001414A4" w:rsidRPr="003B61FF" w:rsidRDefault="001414A4" w:rsidP="00841569">
            <w:pPr>
              <w:pStyle w:val="ListParagraph"/>
              <w:numPr>
                <w:ilvl w:val="0"/>
                <w:numId w:val="9"/>
              </w:numPr>
              <w:tabs>
                <w:tab w:val="left" w:pos="1134"/>
              </w:tabs>
              <w:spacing w:line="276" w:lineRule="auto"/>
              <w:ind w:right="-1"/>
              <w:rPr>
                <w:rFonts w:ascii="Calibri" w:hAnsi="Calibri"/>
                <w:sz w:val="21"/>
                <w:szCs w:val="21"/>
              </w:rPr>
            </w:pPr>
            <w:r w:rsidRPr="003B61FF">
              <w:rPr>
                <w:rFonts w:ascii="Calibri" w:hAnsi="Calibri"/>
                <w:sz w:val="21"/>
                <w:szCs w:val="21"/>
              </w:rPr>
              <w:t>may also order compliance with conditions for a period not exceeding 2 years</w:t>
            </w:r>
          </w:p>
          <w:p w14:paraId="40DF3B38" w14:textId="77777777" w:rsidR="001414A4" w:rsidRPr="003B61FF" w:rsidRDefault="001414A4" w:rsidP="00297CEB">
            <w:pPr>
              <w:spacing w:line="276" w:lineRule="auto"/>
              <w:ind w:left="34" w:right="-1"/>
              <w:jc w:val="both"/>
              <w:rPr>
                <w:rFonts w:ascii="Calibri" w:hAnsi="Calibri"/>
                <w:sz w:val="21"/>
                <w:szCs w:val="21"/>
              </w:rPr>
            </w:pPr>
          </w:p>
          <w:p w14:paraId="4EEFA504" w14:textId="77777777" w:rsidR="001414A4" w:rsidRPr="003B61FF" w:rsidRDefault="00290180" w:rsidP="00297CEB">
            <w:pPr>
              <w:spacing w:line="276" w:lineRule="auto"/>
              <w:ind w:left="34" w:right="-1"/>
              <w:jc w:val="both"/>
              <w:rPr>
                <w:rFonts w:ascii="Calibri" w:hAnsi="Calibri"/>
                <w:sz w:val="21"/>
                <w:szCs w:val="21"/>
              </w:rPr>
            </w:pPr>
            <w:r w:rsidRPr="003B61FF">
              <w:rPr>
                <w:rFonts w:ascii="Calibri" w:hAnsi="Calibri"/>
                <w:sz w:val="21"/>
                <w:szCs w:val="21"/>
              </w:rPr>
              <w:t>Note that a</w:t>
            </w:r>
            <w:r w:rsidR="001414A4" w:rsidRPr="003B61FF">
              <w:rPr>
                <w:rFonts w:ascii="Calibri" w:hAnsi="Calibri"/>
                <w:sz w:val="21"/>
                <w:szCs w:val="21"/>
              </w:rPr>
              <w:t xml:space="preserve"> fully suspended or partially suspended federal sentence or sentences requires an ancillary order being made under s 20(1)(b).</w:t>
            </w:r>
          </w:p>
          <w:p w14:paraId="5A9A63D7" w14:textId="77777777" w:rsidR="001414A4" w:rsidRPr="003B61FF" w:rsidRDefault="001414A4" w:rsidP="007C11C2">
            <w:pPr>
              <w:tabs>
                <w:tab w:val="left" w:pos="1134"/>
              </w:tabs>
              <w:spacing w:line="276" w:lineRule="auto"/>
              <w:ind w:left="1134" w:right="-1" w:hanging="1134"/>
              <w:jc w:val="both"/>
              <w:rPr>
                <w:rFonts w:ascii="Calibri" w:hAnsi="Calibri"/>
                <w:b/>
                <w:sz w:val="21"/>
                <w:szCs w:val="21"/>
              </w:rPr>
            </w:pPr>
          </w:p>
        </w:tc>
      </w:tr>
      <w:tr w:rsidR="001414A4" w:rsidRPr="003B61FF" w14:paraId="570EFFC9" w14:textId="77777777" w:rsidTr="00CD5338">
        <w:trPr>
          <w:cantSplit/>
        </w:trPr>
        <w:tc>
          <w:tcPr>
            <w:tcW w:w="1276" w:type="dxa"/>
            <w:shd w:val="clear" w:color="auto" w:fill="F2F2F2" w:themeFill="background1" w:themeFillShade="F2"/>
          </w:tcPr>
          <w:p w14:paraId="2A672F6B"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20(1)(b)</w:t>
            </w:r>
          </w:p>
        </w:tc>
        <w:tc>
          <w:tcPr>
            <w:tcW w:w="8221" w:type="dxa"/>
            <w:shd w:val="clear" w:color="auto" w:fill="F2F2F2" w:themeFill="background1" w:themeFillShade="F2"/>
          </w:tcPr>
          <w:p w14:paraId="5392E7EC" w14:textId="6930AB22" w:rsidR="00124903" w:rsidRPr="003B61FF" w:rsidRDefault="00DB17DB" w:rsidP="007C11C2">
            <w:pPr>
              <w:tabs>
                <w:tab w:val="left" w:pos="1134"/>
              </w:tabs>
              <w:spacing w:line="276" w:lineRule="auto"/>
              <w:ind w:left="1134" w:right="-1" w:hanging="1134"/>
              <w:jc w:val="both"/>
              <w:rPr>
                <w:rFonts w:ascii="Calibri" w:hAnsi="Calibri"/>
                <w:b/>
                <w:sz w:val="21"/>
                <w:szCs w:val="21"/>
              </w:rPr>
            </w:pPr>
            <w:r w:rsidRPr="003B61FF">
              <w:rPr>
                <w:rFonts w:ascii="Calibri" w:hAnsi="Calibri"/>
                <w:b/>
                <w:sz w:val="21"/>
                <w:szCs w:val="21"/>
              </w:rPr>
              <w:t xml:space="preserve">Recognizance release order </w:t>
            </w:r>
            <w:r w:rsidR="00500063" w:rsidRPr="003B61FF">
              <w:rPr>
                <w:rFonts w:ascii="Calibri" w:hAnsi="Calibri"/>
                <w:b/>
                <w:sz w:val="21"/>
                <w:szCs w:val="21"/>
              </w:rPr>
              <w:t>(RRO)</w:t>
            </w:r>
            <w:r w:rsidRPr="003B61FF">
              <w:rPr>
                <w:rFonts w:ascii="Calibri" w:hAnsi="Calibri"/>
                <w:sz w:val="21"/>
                <w:szCs w:val="21"/>
              </w:rPr>
              <w:t>– court may order that offender be released forthwith or after specified period of imprisonment on recognizance</w:t>
            </w:r>
          </w:p>
          <w:p w14:paraId="11CCBAE5" w14:textId="77777777" w:rsidR="001414A4" w:rsidRPr="003B61FF" w:rsidRDefault="001414A4" w:rsidP="007C11C2">
            <w:pPr>
              <w:tabs>
                <w:tab w:val="left" w:pos="1134"/>
              </w:tabs>
              <w:spacing w:line="276" w:lineRule="auto"/>
              <w:ind w:left="1134" w:right="-1" w:hanging="1134"/>
              <w:jc w:val="both"/>
              <w:rPr>
                <w:rFonts w:ascii="Calibri" w:hAnsi="Calibri"/>
                <w:sz w:val="21"/>
                <w:szCs w:val="21"/>
              </w:rPr>
            </w:pPr>
          </w:p>
          <w:p w14:paraId="762A92D8" w14:textId="3AF59925" w:rsidR="003A4243" w:rsidRPr="003B61FF" w:rsidRDefault="003A4243" w:rsidP="0042762A">
            <w:pPr>
              <w:spacing w:line="276" w:lineRule="auto"/>
              <w:ind w:left="34" w:right="-1"/>
              <w:jc w:val="both"/>
              <w:rPr>
                <w:rFonts w:ascii="Calibri" w:hAnsi="Calibri"/>
                <w:sz w:val="21"/>
                <w:szCs w:val="21"/>
              </w:rPr>
            </w:pPr>
            <w:r w:rsidRPr="003B61FF">
              <w:rPr>
                <w:rFonts w:ascii="Calibri" w:hAnsi="Calibri"/>
                <w:sz w:val="21"/>
                <w:szCs w:val="21"/>
              </w:rPr>
              <w:t xml:space="preserve">Not open in respect of sentences of imprisonment imposed for </w:t>
            </w:r>
            <w:r w:rsidR="004F7117" w:rsidRPr="003B61FF">
              <w:rPr>
                <w:rFonts w:ascii="Calibri" w:hAnsi="Calibri"/>
                <w:sz w:val="21"/>
                <w:szCs w:val="21"/>
              </w:rPr>
              <w:t xml:space="preserve">terrorism and certain other national security </w:t>
            </w:r>
            <w:r w:rsidRPr="003B61FF">
              <w:rPr>
                <w:rFonts w:ascii="Calibri" w:hAnsi="Calibri"/>
                <w:sz w:val="21"/>
                <w:szCs w:val="21"/>
              </w:rPr>
              <w:t xml:space="preserve">offences – </w:t>
            </w:r>
            <w:r w:rsidR="00290180" w:rsidRPr="003B61FF">
              <w:rPr>
                <w:rFonts w:ascii="Calibri" w:hAnsi="Calibri"/>
                <w:sz w:val="21"/>
                <w:szCs w:val="21"/>
              </w:rPr>
              <w:t xml:space="preserve">s </w:t>
            </w:r>
            <w:r w:rsidRPr="003B61FF">
              <w:rPr>
                <w:rFonts w:ascii="Calibri" w:hAnsi="Calibri"/>
                <w:sz w:val="21"/>
                <w:szCs w:val="21"/>
              </w:rPr>
              <w:t xml:space="preserve">19AG </w:t>
            </w:r>
            <w:r w:rsidR="00885EFD" w:rsidRPr="003B61FF">
              <w:rPr>
                <w:rFonts w:ascii="Calibri" w:hAnsi="Calibri"/>
                <w:i/>
                <w:sz w:val="21"/>
                <w:szCs w:val="21"/>
              </w:rPr>
              <w:t>Crimes Act 1914</w:t>
            </w:r>
            <w:r w:rsidRPr="003B61FF">
              <w:rPr>
                <w:rFonts w:ascii="Calibri" w:hAnsi="Calibri"/>
                <w:sz w:val="21"/>
                <w:szCs w:val="21"/>
              </w:rPr>
              <w:t xml:space="preserve"> (Cth)</w:t>
            </w:r>
          </w:p>
          <w:p w14:paraId="5A505663" w14:textId="77777777" w:rsidR="003A4243" w:rsidRPr="003B61FF" w:rsidRDefault="003A4243" w:rsidP="007C11C2">
            <w:pPr>
              <w:tabs>
                <w:tab w:val="left" w:pos="1134"/>
              </w:tabs>
              <w:spacing w:line="276" w:lineRule="auto"/>
              <w:ind w:left="1134" w:right="-1" w:hanging="1134"/>
              <w:jc w:val="both"/>
              <w:rPr>
                <w:rFonts w:ascii="Calibri" w:hAnsi="Calibri"/>
                <w:sz w:val="21"/>
                <w:szCs w:val="21"/>
              </w:rPr>
            </w:pPr>
          </w:p>
        </w:tc>
      </w:tr>
      <w:tr w:rsidR="001414A4" w:rsidRPr="003B61FF" w14:paraId="2AFA8827" w14:textId="77777777" w:rsidTr="00CD5338">
        <w:trPr>
          <w:cantSplit/>
        </w:trPr>
        <w:tc>
          <w:tcPr>
            <w:tcW w:w="1276" w:type="dxa"/>
            <w:shd w:val="clear" w:color="auto" w:fill="F2F2F2" w:themeFill="background1" w:themeFillShade="F2"/>
          </w:tcPr>
          <w:p w14:paraId="7577AA77" w14:textId="77777777" w:rsidR="001414A4" w:rsidRPr="003B61FF" w:rsidRDefault="001414A4" w:rsidP="007C11C2">
            <w:pPr>
              <w:tabs>
                <w:tab w:val="left" w:pos="1134"/>
              </w:tabs>
              <w:spacing w:line="276" w:lineRule="auto"/>
              <w:ind w:right="-1"/>
              <w:jc w:val="both"/>
              <w:rPr>
                <w:rFonts w:ascii="Calibri" w:hAnsi="Calibri"/>
                <w:sz w:val="30"/>
                <w:szCs w:val="30"/>
              </w:rPr>
            </w:pPr>
            <w:r w:rsidRPr="003B61FF">
              <w:rPr>
                <w:rFonts w:ascii="Calibri" w:hAnsi="Calibri"/>
                <w:sz w:val="30"/>
                <w:szCs w:val="30"/>
              </w:rPr>
              <w:t>20A</w:t>
            </w:r>
          </w:p>
        </w:tc>
        <w:tc>
          <w:tcPr>
            <w:tcW w:w="8221" w:type="dxa"/>
            <w:shd w:val="clear" w:color="auto" w:fill="F2F2F2" w:themeFill="background1" w:themeFillShade="F2"/>
          </w:tcPr>
          <w:p w14:paraId="5CBF1E4E" w14:textId="55302532" w:rsidR="001414A4" w:rsidRPr="003B61FF" w:rsidRDefault="001414A4" w:rsidP="00DB17DB">
            <w:pPr>
              <w:tabs>
                <w:tab w:val="left" w:pos="1134"/>
              </w:tabs>
              <w:spacing w:line="276" w:lineRule="auto"/>
              <w:ind w:left="1134" w:right="-1" w:hanging="1134"/>
              <w:jc w:val="both"/>
              <w:rPr>
                <w:rFonts w:ascii="Calibri" w:hAnsi="Calibri"/>
                <w:b/>
                <w:sz w:val="21"/>
                <w:szCs w:val="21"/>
              </w:rPr>
            </w:pPr>
            <w:r w:rsidRPr="003B61FF">
              <w:rPr>
                <w:rFonts w:ascii="Calibri" w:hAnsi="Calibri"/>
                <w:sz w:val="21"/>
                <w:szCs w:val="21"/>
              </w:rPr>
              <w:t xml:space="preserve">Deals with </w:t>
            </w:r>
            <w:r w:rsidRPr="003B61FF">
              <w:rPr>
                <w:rFonts w:ascii="Calibri" w:hAnsi="Calibri"/>
                <w:b/>
                <w:sz w:val="21"/>
                <w:szCs w:val="21"/>
              </w:rPr>
              <w:t>breaches</w:t>
            </w:r>
            <w:r w:rsidRPr="003B61FF">
              <w:rPr>
                <w:rFonts w:ascii="Calibri" w:hAnsi="Calibri"/>
                <w:sz w:val="21"/>
                <w:szCs w:val="21"/>
              </w:rPr>
              <w:t xml:space="preserve"> of bonds </w:t>
            </w:r>
            <w:r w:rsidR="007D7712" w:rsidRPr="003B61FF">
              <w:rPr>
                <w:rFonts w:ascii="Calibri" w:hAnsi="Calibri"/>
                <w:sz w:val="21"/>
                <w:szCs w:val="21"/>
              </w:rPr>
              <w:t xml:space="preserve">(imposed pursuant to </w:t>
            </w:r>
            <w:r w:rsidR="00213BC3" w:rsidRPr="003B61FF">
              <w:rPr>
                <w:rFonts w:ascii="Calibri" w:hAnsi="Calibri"/>
                <w:sz w:val="21"/>
                <w:szCs w:val="21"/>
              </w:rPr>
              <w:t xml:space="preserve">ss </w:t>
            </w:r>
            <w:r w:rsidR="007D7712" w:rsidRPr="003B61FF">
              <w:rPr>
                <w:rFonts w:ascii="Calibri" w:hAnsi="Calibri"/>
                <w:sz w:val="21"/>
                <w:szCs w:val="21"/>
              </w:rPr>
              <w:t>19B and 20(1)(a)</w:t>
            </w:r>
            <w:r w:rsidR="00DB17DB" w:rsidRPr="003B61FF">
              <w:rPr>
                <w:rFonts w:ascii="Calibri" w:hAnsi="Calibri"/>
                <w:sz w:val="21"/>
                <w:szCs w:val="21"/>
              </w:rPr>
              <w:t xml:space="preserve"> or (b</w:t>
            </w:r>
            <w:r w:rsidR="007D7712" w:rsidRPr="003B61FF">
              <w:rPr>
                <w:rFonts w:ascii="Calibri" w:hAnsi="Calibri"/>
                <w:sz w:val="21"/>
                <w:szCs w:val="21"/>
              </w:rPr>
              <w:t>)</w:t>
            </w:r>
            <w:r w:rsidR="00DB17DB" w:rsidRPr="003B61FF">
              <w:rPr>
                <w:rFonts w:ascii="Calibri" w:hAnsi="Calibri"/>
                <w:sz w:val="21"/>
                <w:szCs w:val="21"/>
              </w:rPr>
              <w:t>)</w:t>
            </w:r>
            <w:r w:rsidR="00DB17DB" w:rsidRPr="003B61FF">
              <w:rPr>
                <w:rFonts w:ascii="Calibri" w:hAnsi="Calibri"/>
                <w:b/>
                <w:sz w:val="21"/>
                <w:szCs w:val="21"/>
              </w:rPr>
              <w:t xml:space="preserve"> </w:t>
            </w:r>
          </w:p>
        </w:tc>
      </w:tr>
      <w:tr w:rsidR="00533F9E" w:rsidRPr="004F2343" w14:paraId="17193484" w14:textId="77777777" w:rsidTr="00CD5338">
        <w:trPr>
          <w:cantSplit/>
        </w:trPr>
        <w:tc>
          <w:tcPr>
            <w:tcW w:w="1276" w:type="dxa"/>
            <w:shd w:val="clear" w:color="auto" w:fill="F2F2F2" w:themeFill="background1" w:themeFillShade="F2"/>
          </w:tcPr>
          <w:p w14:paraId="684616A2" w14:textId="77777777" w:rsidR="00533F9E" w:rsidRPr="004F2343" w:rsidRDefault="00533F9E"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20AA</w:t>
            </w:r>
          </w:p>
        </w:tc>
        <w:tc>
          <w:tcPr>
            <w:tcW w:w="8221" w:type="dxa"/>
            <w:shd w:val="clear" w:color="auto" w:fill="F2F2F2" w:themeFill="background1" w:themeFillShade="F2"/>
          </w:tcPr>
          <w:p w14:paraId="63DF3637" w14:textId="77777777" w:rsidR="00533F9E" w:rsidRPr="004F2343" w:rsidRDefault="00533F9E" w:rsidP="007C11C2">
            <w:pPr>
              <w:spacing w:line="276" w:lineRule="auto"/>
              <w:ind w:right="-1"/>
              <w:jc w:val="both"/>
              <w:rPr>
                <w:rFonts w:ascii="Calibri" w:hAnsi="Calibri"/>
                <w:sz w:val="21"/>
                <w:szCs w:val="21"/>
              </w:rPr>
            </w:pPr>
            <w:r w:rsidRPr="004F2343">
              <w:rPr>
                <w:rFonts w:ascii="Calibri" w:hAnsi="Calibri"/>
                <w:sz w:val="21"/>
                <w:szCs w:val="21"/>
              </w:rPr>
              <w:t>Empowers a court to dischar</w:t>
            </w:r>
            <w:r w:rsidR="00213BC3" w:rsidRPr="004F2343">
              <w:rPr>
                <w:rFonts w:ascii="Calibri" w:hAnsi="Calibri"/>
                <w:sz w:val="21"/>
                <w:szCs w:val="21"/>
              </w:rPr>
              <w:t>ge or vary conditions of a bond</w:t>
            </w:r>
            <w:r w:rsidRPr="004F2343">
              <w:rPr>
                <w:rFonts w:ascii="Calibri" w:hAnsi="Calibri"/>
                <w:sz w:val="21"/>
                <w:szCs w:val="21"/>
              </w:rPr>
              <w:t xml:space="preserve"> imp</w:t>
            </w:r>
            <w:r w:rsidR="00213BC3" w:rsidRPr="004F2343">
              <w:rPr>
                <w:rFonts w:ascii="Calibri" w:hAnsi="Calibri"/>
                <w:sz w:val="21"/>
                <w:szCs w:val="21"/>
              </w:rPr>
              <w:t xml:space="preserve">osed under ss </w:t>
            </w:r>
            <w:r w:rsidRPr="004F2343">
              <w:rPr>
                <w:rFonts w:ascii="Calibri" w:hAnsi="Calibri"/>
                <w:sz w:val="21"/>
                <w:szCs w:val="21"/>
              </w:rPr>
              <w:t xml:space="preserve">19B or 20(1).  </w:t>
            </w:r>
          </w:p>
          <w:p w14:paraId="052FD55E" w14:textId="77777777" w:rsidR="00F24F04" w:rsidRPr="004F2343" w:rsidRDefault="00F24F04" w:rsidP="007C11C2">
            <w:pPr>
              <w:spacing w:line="276" w:lineRule="auto"/>
              <w:ind w:right="-1"/>
              <w:jc w:val="both"/>
              <w:rPr>
                <w:rFonts w:ascii="Calibri" w:hAnsi="Calibri"/>
                <w:sz w:val="21"/>
                <w:szCs w:val="21"/>
              </w:rPr>
            </w:pPr>
          </w:p>
        </w:tc>
      </w:tr>
      <w:tr w:rsidR="001414A4" w:rsidRPr="004F2343" w14:paraId="2AF58808" w14:textId="77777777" w:rsidTr="00CD5338">
        <w:trPr>
          <w:cantSplit/>
        </w:trPr>
        <w:tc>
          <w:tcPr>
            <w:tcW w:w="1276" w:type="dxa"/>
            <w:shd w:val="clear" w:color="auto" w:fill="F2F2F2" w:themeFill="background1" w:themeFillShade="F2"/>
          </w:tcPr>
          <w:p w14:paraId="3D007CBA" w14:textId="77777777" w:rsidR="001414A4" w:rsidRPr="004F2343" w:rsidRDefault="001414A4"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20AB</w:t>
            </w:r>
          </w:p>
        </w:tc>
        <w:tc>
          <w:tcPr>
            <w:tcW w:w="8221" w:type="dxa"/>
            <w:shd w:val="clear" w:color="auto" w:fill="F2F2F2" w:themeFill="background1" w:themeFillShade="F2"/>
          </w:tcPr>
          <w:p w14:paraId="56BDBE11" w14:textId="5B0E22D8" w:rsidR="001414A4" w:rsidRPr="004F2343" w:rsidRDefault="001414A4" w:rsidP="007C11C2">
            <w:pPr>
              <w:spacing w:line="276" w:lineRule="auto"/>
              <w:ind w:right="-1"/>
              <w:jc w:val="both"/>
              <w:rPr>
                <w:rFonts w:ascii="Calibri" w:hAnsi="Calibri"/>
                <w:sz w:val="21"/>
                <w:szCs w:val="21"/>
              </w:rPr>
            </w:pPr>
            <w:r w:rsidRPr="004F2343">
              <w:rPr>
                <w:rFonts w:ascii="Calibri" w:hAnsi="Calibri"/>
                <w:sz w:val="21"/>
                <w:szCs w:val="21"/>
              </w:rPr>
              <w:t xml:space="preserve">Enables the Commonwealth to </w:t>
            </w:r>
            <w:r w:rsidR="00213BC3" w:rsidRPr="004F2343">
              <w:rPr>
                <w:rFonts w:ascii="Calibri" w:hAnsi="Calibri"/>
                <w:b/>
                <w:sz w:val="21"/>
                <w:szCs w:val="21"/>
              </w:rPr>
              <w:t xml:space="preserve">pick up and apply </w:t>
            </w:r>
            <w:r w:rsidR="00306B7E" w:rsidRPr="004F2343">
              <w:rPr>
                <w:rFonts w:ascii="Calibri" w:hAnsi="Calibri"/>
                <w:b/>
                <w:sz w:val="21"/>
                <w:szCs w:val="21"/>
              </w:rPr>
              <w:t>particular</w:t>
            </w:r>
            <w:r w:rsidR="00213BC3" w:rsidRPr="004F2343">
              <w:rPr>
                <w:rFonts w:ascii="Calibri" w:hAnsi="Calibri"/>
                <w:b/>
                <w:sz w:val="21"/>
                <w:szCs w:val="21"/>
              </w:rPr>
              <w:t xml:space="preserve"> </w:t>
            </w:r>
            <w:r w:rsidR="000B733F" w:rsidRPr="004F2343">
              <w:rPr>
                <w:rFonts w:ascii="Calibri" w:hAnsi="Calibri"/>
                <w:b/>
                <w:sz w:val="21"/>
                <w:szCs w:val="21"/>
              </w:rPr>
              <w:t>State</w:t>
            </w:r>
            <w:r w:rsidR="00306B7E" w:rsidRPr="004F2343">
              <w:rPr>
                <w:rFonts w:ascii="Calibri" w:hAnsi="Calibri"/>
                <w:b/>
                <w:sz w:val="21"/>
                <w:szCs w:val="21"/>
              </w:rPr>
              <w:t xml:space="preserve"> or Territory</w:t>
            </w:r>
            <w:r w:rsidRPr="004F2343">
              <w:rPr>
                <w:rFonts w:ascii="Calibri" w:hAnsi="Calibri"/>
                <w:b/>
                <w:sz w:val="21"/>
                <w:szCs w:val="21"/>
              </w:rPr>
              <w:t xml:space="preserve"> sentenci</w:t>
            </w:r>
            <w:r w:rsidR="007D7712" w:rsidRPr="004F2343">
              <w:rPr>
                <w:rFonts w:ascii="Calibri" w:hAnsi="Calibri"/>
                <w:b/>
                <w:sz w:val="21"/>
                <w:szCs w:val="21"/>
              </w:rPr>
              <w:t>ng options</w:t>
            </w:r>
            <w:r w:rsidR="00213BC3" w:rsidRPr="004F2343">
              <w:rPr>
                <w:rFonts w:ascii="Calibri" w:hAnsi="Calibri"/>
                <w:sz w:val="21"/>
                <w:szCs w:val="21"/>
              </w:rPr>
              <w:t xml:space="preserve">.  S 20AB only allows </w:t>
            </w:r>
            <w:r w:rsidR="000B733F" w:rsidRPr="004F2343">
              <w:rPr>
                <w:rFonts w:ascii="Calibri" w:hAnsi="Calibri"/>
                <w:sz w:val="21"/>
                <w:szCs w:val="21"/>
              </w:rPr>
              <w:t>State</w:t>
            </w:r>
            <w:r w:rsidRPr="004F2343">
              <w:rPr>
                <w:rFonts w:ascii="Calibri" w:hAnsi="Calibri"/>
                <w:sz w:val="21"/>
                <w:szCs w:val="21"/>
              </w:rPr>
              <w:t xml:space="preserve"> sentencing options on conviction to be prescr</w:t>
            </w:r>
            <w:r w:rsidR="00213BC3" w:rsidRPr="004F2343">
              <w:rPr>
                <w:rFonts w:ascii="Calibri" w:hAnsi="Calibri"/>
                <w:sz w:val="21"/>
                <w:szCs w:val="21"/>
              </w:rPr>
              <w:t xml:space="preserve">ibed.  </w:t>
            </w:r>
            <w:r w:rsidR="000F5719" w:rsidRPr="004F2343">
              <w:rPr>
                <w:rFonts w:ascii="Calibri" w:hAnsi="Calibri"/>
                <w:sz w:val="21"/>
                <w:szCs w:val="21"/>
              </w:rPr>
              <w:t xml:space="preserve">For the list of </w:t>
            </w:r>
            <w:r w:rsidR="00306B7E" w:rsidRPr="004F2343">
              <w:rPr>
                <w:rFonts w:ascii="Calibri" w:hAnsi="Calibri"/>
                <w:sz w:val="21"/>
                <w:szCs w:val="21"/>
              </w:rPr>
              <w:t xml:space="preserve">the </w:t>
            </w:r>
            <w:r w:rsidR="000F5719" w:rsidRPr="004F2343">
              <w:rPr>
                <w:rFonts w:ascii="Calibri" w:hAnsi="Calibri"/>
                <w:sz w:val="21"/>
                <w:szCs w:val="21"/>
              </w:rPr>
              <w:t>options</w:t>
            </w:r>
            <w:r w:rsidR="00306B7E" w:rsidRPr="004F2343">
              <w:rPr>
                <w:rFonts w:ascii="Calibri" w:hAnsi="Calibri"/>
                <w:sz w:val="21"/>
                <w:szCs w:val="21"/>
              </w:rPr>
              <w:t xml:space="preserve"> which are picked up</w:t>
            </w:r>
            <w:r w:rsidR="000F5719" w:rsidRPr="004F2343">
              <w:rPr>
                <w:rFonts w:ascii="Calibri" w:hAnsi="Calibri"/>
                <w:sz w:val="21"/>
                <w:szCs w:val="21"/>
              </w:rPr>
              <w:t>, see “</w:t>
            </w:r>
            <w:r w:rsidR="000F5719" w:rsidRPr="004F2343">
              <w:rPr>
                <w:rFonts w:ascii="Calibri" w:hAnsi="Calibri"/>
                <w:sz w:val="21"/>
                <w:szCs w:val="21"/>
              </w:rPr>
              <w:fldChar w:fldCharType="begin"/>
            </w:r>
            <w:r w:rsidR="000F5719" w:rsidRPr="004F2343">
              <w:rPr>
                <w:rFonts w:ascii="Calibri" w:hAnsi="Calibri"/>
                <w:sz w:val="21"/>
                <w:szCs w:val="21"/>
              </w:rPr>
              <w:instrText xml:space="preserve"> REF _Ref494538844 \r \h  \* MERGEFORMAT </w:instrText>
            </w:r>
            <w:r w:rsidR="000F5719" w:rsidRPr="004F2343">
              <w:rPr>
                <w:rFonts w:ascii="Calibri" w:hAnsi="Calibri"/>
                <w:sz w:val="21"/>
                <w:szCs w:val="21"/>
              </w:rPr>
            </w:r>
            <w:r w:rsidR="000F5719" w:rsidRPr="004F2343">
              <w:rPr>
                <w:rFonts w:ascii="Calibri" w:hAnsi="Calibri"/>
                <w:sz w:val="21"/>
                <w:szCs w:val="21"/>
              </w:rPr>
              <w:fldChar w:fldCharType="separate"/>
            </w:r>
            <w:r w:rsidR="00D44BCF">
              <w:rPr>
                <w:rFonts w:ascii="Calibri" w:hAnsi="Calibri"/>
                <w:sz w:val="21"/>
                <w:szCs w:val="21"/>
              </w:rPr>
              <w:t>5.7.3</w:t>
            </w:r>
            <w:r w:rsidR="000F5719" w:rsidRPr="004F2343">
              <w:rPr>
                <w:rFonts w:ascii="Calibri" w:hAnsi="Calibri"/>
                <w:sz w:val="21"/>
                <w:szCs w:val="21"/>
              </w:rPr>
              <w:fldChar w:fldCharType="end"/>
            </w:r>
            <w:r w:rsidR="000F5719" w:rsidRPr="004F2343">
              <w:rPr>
                <w:rFonts w:ascii="Calibri" w:hAnsi="Calibri"/>
                <w:sz w:val="21"/>
                <w:szCs w:val="21"/>
              </w:rPr>
              <w:t xml:space="preserve"> </w:t>
            </w:r>
            <w:r w:rsidR="000F5719" w:rsidRPr="004F2343">
              <w:rPr>
                <w:rFonts w:ascii="Calibri" w:hAnsi="Calibri"/>
                <w:sz w:val="21"/>
                <w:szCs w:val="21"/>
              </w:rPr>
              <w:fldChar w:fldCharType="begin"/>
            </w:r>
            <w:r w:rsidR="000F5719" w:rsidRPr="004F2343">
              <w:rPr>
                <w:rFonts w:ascii="Calibri" w:hAnsi="Calibri"/>
                <w:sz w:val="21"/>
                <w:szCs w:val="21"/>
              </w:rPr>
              <w:instrText xml:space="preserve"> REF _Ref494538844 \h  \* MERGEFORMAT </w:instrText>
            </w:r>
            <w:r w:rsidR="000F5719" w:rsidRPr="004F2343">
              <w:rPr>
                <w:rFonts w:ascii="Calibri" w:hAnsi="Calibri"/>
                <w:sz w:val="21"/>
                <w:szCs w:val="21"/>
              </w:rPr>
            </w:r>
            <w:r w:rsidR="000F5719" w:rsidRPr="004F2343">
              <w:rPr>
                <w:rFonts w:ascii="Calibri" w:hAnsi="Calibri"/>
                <w:sz w:val="21"/>
                <w:szCs w:val="21"/>
              </w:rPr>
              <w:fldChar w:fldCharType="separate"/>
            </w:r>
            <w:r w:rsidR="00D44BCF" w:rsidRPr="00D44BCF">
              <w:rPr>
                <w:rFonts w:ascii="Calibri" w:hAnsi="Calibri"/>
                <w:sz w:val="21"/>
                <w:szCs w:val="21"/>
              </w:rPr>
              <w:t>Types of State or Territory sentences or orders which are applied by s 20AB</w:t>
            </w:r>
            <w:r w:rsidR="000F5719" w:rsidRPr="004F2343">
              <w:rPr>
                <w:rFonts w:ascii="Calibri" w:hAnsi="Calibri"/>
                <w:sz w:val="21"/>
                <w:szCs w:val="21"/>
              </w:rPr>
              <w:fldChar w:fldCharType="end"/>
            </w:r>
            <w:r w:rsidR="000F5719" w:rsidRPr="004F2343">
              <w:rPr>
                <w:rFonts w:ascii="Calibri" w:hAnsi="Calibri"/>
                <w:sz w:val="21"/>
                <w:szCs w:val="21"/>
              </w:rPr>
              <w:t>”.</w:t>
            </w:r>
          </w:p>
          <w:p w14:paraId="48316B7D" w14:textId="77777777" w:rsidR="001414A4" w:rsidRPr="004F2343" w:rsidRDefault="001414A4" w:rsidP="007C11C2">
            <w:pPr>
              <w:tabs>
                <w:tab w:val="left" w:pos="1134"/>
              </w:tabs>
              <w:spacing w:line="276" w:lineRule="auto"/>
              <w:ind w:left="1134" w:right="-1" w:hanging="1134"/>
              <w:jc w:val="both"/>
              <w:rPr>
                <w:rFonts w:ascii="Calibri" w:hAnsi="Calibri"/>
                <w:sz w:val="21"/>
                <w:szCs w:val="21"/>
              </w:rPr>
            </w:pPr>
          </w:p>
        </w:tc>
      </w:tr>
      <w:tr w:rsidR="001414A4" w:rsidRPr="004F2343" w14:paraId="38DE3172" w14:textId="77777777" w:rsidTr="00CD5338">
        <w:trPr>
          <w:cantSplit/>
        </w:trPr>
        <w:tc>
          <w:tcPr>
            <w:tcW w:w="1276" w:type="dxa"/>
            <w:shd w:val="clear" w:color="auto" w:fill="F2F2F2" w:themeFill="background1" w:themeFillShade="F2"/>
          </w:tcPr>
          <w:p w14:paraId="28706AC8" w14:textId="77777777" w:rsidR="001414A4" w:rsidRPr="004F2343" w:rsidRDefault="001414A4"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20AC</w:t>
            </w:r>
          </w:p>
        </w:tc>
        <w:tc>
          <w:tcPr>
            <w:tcW w:w="8221" w:type="dxa"/>
            <w:shd w:val="clear" w:color="auto" w:fill="F2F2F2" w:themeFill="background1" w:themeFillShade="F2"/>
          </w:tcPr>
          <w:p w14:paraId="273D3662" w14:textId="3DDE9C3E" w:rsidR="001414A4" w:rsidRPr="004F2343" w:rsidRDefault="001414A4" w:rsidP="00EB7F1E">
            <w:pPr>
              <w:tabs>
                <w:tab w:val="left" w:pos="1134"/>
              </w:tabs>
              <w:spacing w:line="276" w:lineRule="auto"/>
              <w:ind w:right="-1"/>
              <w:jc w:val="both"/>
              <w:rPr>
                <w:rFonts w:ascii="Calibri" w:hAnsi="Calibri"/>
                <w:sz w:val="21"/>
                <w:szCs w:val="21"/>
              </w:rPr>
            </w:pPr>
            <w:r w:rsidRPr="004F2343">
              <w:rPr>
                <w:rFonts w:ascii="Calibri" w:hAnsi="Calibri"/>
                <w:sz w:val="21"/>
                <w:szCs w:val="21"/>
              </w:rPr>
              <w:t>Dea</w:t>
            </w:r>
            <w:r w:rsidR="00F24F04" w:rsidRPr="004F2343">
              <w:rPr>
                <w:rFonts w:ascii="Calibri" w:hAnsi="Calibri"/>
                <w:sz w:val="21"/>
                <w:szCs w:val="21"/>
              </w:rPr>
              <w:t xml:space="preserve">ls with a </w:t>
            </w:r>
            <w:r w:rsidR="00F24F04" w:rsidRPr="004F2343">
              <w:rPr>
                <w:rFonts w:ascii="Calibri" w:hAnsi="Calibri"/>
                <w:b/>
                <w:sz w:val="21"/>
                <w:szCs w:val="21"/>
              </w:rPr>
              <w:t>breach</w:t>
            </w:r>
            <w:r w:rsidR="00213BC3" w:rsidRPr="004F2343">
              <w:rPr>
                <w:rFonts w:ascii="Calibri" w:hAnsi="Calibri"/>
                <w:sz w:val="21"/>
                <w:szCs w:val="21"/>
              </w:rPr>
              <w:t xml:space="preserve"> of </w:t>
            </w:r>
            <w:r w:rsidR="000B733F" w:rsidRPr="004F2343">
              <w:rPr>
                <w:rFonts w:ascii="Calibri" w:hAnsi="Calibri"/>
                <w:sz w:val="21"/>
                <w:szCs w:val="21"/>
              </w:rPr>
              <w:t>State</w:t>
            </w:r>
            <w:r w:rsidRPr="004F2343">
              <w:rPr>
                <w:rFonts w:ascii="Calibri" w:hAnsi="Calibri"/>
                <w:sz w:val="21"/>
                <w:szCs w:val="21"/>
              </w:rPr>
              <w:t xml:space="preserve"> </w:t>
            </w:r>
            <w:r w:rsidR="00306B7E" w:rsidRPr="004F2343">
              <w:rPr>
                <w:rFonts w:ascii="Calibri" w:hAnsi="Calibri"/>
                <w:sz w:val="21"/>
                <w:szCs w:val="21"/>
              </w:rPr>
              <w:t xml:space="preserve">or Territory </w:t>
            </w:r>
            <w:r w:rsidRPr="004F2343">
              <w:rPr>
                <w:rFonts w:ascii="Calibri" w:hAnsi="Calibri"/>
                <w:sz w:val="21"/>
                <w:szCs w:val="21"/>
              </w:rPr>
              <w:t xml:space="preserve">sentencing options </w:t>
            </w:r>
            <w:r w:rsidR="00F24F04" w:rsidRPr="004F2343">
              <w:rPr>
                <w:rFonts w:ascii="Calibri" w:hAnsi="Calibri"/>
                <w:sz w:val="21"/>
                <w:szCs w:val="21"/>
              </w:rPr>
              <w:t>that have</w:t>
            </w:r>
            <w:r w:rsidR="00533F9E" w:rsidRPr="004F2343">
              <w:rPr>
                <w:rFonts w:ascii="Calibri" w:hAnsi="Calibri"/>
                <w:sz w:val="21"/>
                <w:szCs w:val="21"/>
              </w:rPr>
              <w:t xml:space="preserve"> been </w:t>
            </w:r>
            <w:r w:rsidRPr="004F2343">
              <w:rPr>
                <w:rFonts w:ascii="Calibri" w:hAnsi="Calibri"/>
                <w:sz w:val="21"/>
                <w:szCs w:val="21"/>
              </w:rPr>
              <w:t>picked up under s 20AB.</w:t>
            </w:r>
            <w:r w:rsidR="00F24F04" w:rsidRPr="004F2343">
              <w:rPr>
                <w:rFonts w:ascii="Calibri" w:hAnsi="Calibri"/>
                <w:sz w:val="21"/>
                <w:szCs w:val="21"/>
              </w:rPr>
              <w:t xml:space="preserve">  </w:t>
            </w:r>
          </w:p>
          <w:p w14:paraId="550195D7" w14:textId="77777777" w:rsidR="001414A4" w:rsidRPr="004F2343" w:rsidRDefault="001414A4" w:rsidP="00500063">
            <w:pPr>
              <w:tabs>
                <w:tab w:val="left" w:pos="1134"/>
              </w:tabs>
              <w:spacing w:line="276" w:lineRule="auto"/>
              <w:ind w:left="1134" w:right="-1" w:hanging="1134"/>
              <w:jc w:val="both"/>
              <w:rPr>
                <w:rFonts w:ascii="Calibri" w:hAnsi="Calibri"/>
                <w:sz w:val="21"/>
                <w:szCs w:val="21"/>
              </w:rPr>
            </w:pPr>
          </w:p>
        </w:tc>
      </w:tr>
      <w:tr w:rsidR="001414A4" w:rsidRPr="004F2343" w14:paraId="76EA70E3" w14:textId="77777777" w:rsidTr="00CD5338">
        <w:trPr>
          <w:cantSplit/>
        </w:trPr>
        <w:tc>
          <w:tcPr>
            <w:tcW w:w="1276" w:type="dxa"/>
            <w:shd w:val="clear" w:color="auto" w:fill="F2F2F2" w:themeFill="background1" w:themeFillShade="F2"/>
          </w:tcPr>
          <w:p w14:paraId="3F1BC22C" w14:textId="77777777" w:rsidR="001414A4" w:rsidRPr="004F2343" w:rsidRDefault="001414A4"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20C</w:t>
            </w:r>
          </w:p>
        </w:tc>
        <w:tc>
          <w:tcPr>
            <w:tcW w:w="8221" w:type="dxa"/>
            <w:shd w:val="clear" w:color="auto" w:fill="F2F2F2" w:themeFill="background1" w:themeFillShade="F2"/>
          </w:tcPr>
          <w:p w14:paraId="26F4F112" w14:textId="34647AA0" w:rsidR="001414A4" w:rsidRPr="004F2343" w:rsidRDefault="001414A4" w:rsidP="007C11C2">
            <w:pPr>
              <w:spacing w:line="276" w:lineRule="auto"/>
              <w:ind w:left="33" w:right="-1" w:hanging="33"/>
              <w:jc w:val="both"/>
              <w:rPr>
                <w:rFonts w:ascii="Calibri" w:hAnsi="Calibri"/>
                <w:sz w:val="21"/>
                <w:szCs w:val="21"/>
              </w:rPr>
            </w:pPr>
            <w:r w:rsidRPr="004F2343">
              <w:rPr>
                <w:rFonts w:ascii="Calibri" w:hAnsi="Calibri"/>
                <w:sz w:val="21"/>
                <w:szCs w:val="21"/>
              </w:rPr>
              <w:t>Thi</w:t>
            </w:r>
            <w:r w:rsidR="00213BC3" w:rsidRPr="004F2343">
              <w:rPr>
                <w:rFonts w:ascii="Calibri" w:hAnsi="Calibri"/>
                <w:sz w:val="21"/>
                <w:szCs w:val="21"/>
              </w:rPr>
              <w:t xml:space="preserve">s section incorporates all the </w:t>
            </w:r>
            <w:r w:rsidR="000B733F" w:rsidRPr="004F2343">
              <w:rPr>
                <w:rFonts w:ascii="Calibri" w:hAnsi="Calibri"/>
                <w:sz w:val="21"/>
                <w:szCs w:val="21"/>
              </w:rPr>
              <w:t>State</w:t>
            </w:r>
            <w:r w:rsidRPr="004F2343">
              <w:rPr>
                <w:rFonts w:ascii="Calibri" w:hAnsi="Calibri"/>
                <w:sz w:val="21"/>
                <w:szCs w:val="21"/>
              </w:rPr>
              <w:t xml:space="preserve"> sentencing options for children or young persons.  In respect of a </w:t>
            </w:r>
            <w:r w:rsidRPr="004F2343">
              <w:rPr>
                <w:rFonts w:ascii="Calibri" w:hAnsi="Calibri"/>
                <w:i/>
                <w:sz w:val="21"/>
                <w:szCs w:val="21"/>
              </w:rPr>
              <w:t>“child or young person”</w:t>
            </w:r>
            <w:r w:rsidRPr="004F2343">
              <w:rPr>
                <w:rFonts w:ascii="Calibri" w:hAnsi="Calibri"/>
                <w:sz w:val="21"/>
                <w:szCs w:val="21"/>
              </w:rPr>
              <w:t xml:space="preserve"> which is not defined, the full range of </w:t>
            </w:r>
            <w:r w:rsidR="003A4243" w:rsidRPr="004F2343">
              <w:rPr>
                <w:rFonts w:ascii="Calibri" w:hAnsi="Calibri"/>
                <w:sz w:val="21"/>
                <w:szCs w:val="21"/>
              </w:rPr>
              <w:t xml:space="preserve">federal </w:t>
            </w:r>
            <w:r w:rsidRPr="004F2343">
              <w:rPr>
                <w:rFonts w:ascii="Calibri" w:hAnsi="Calibri"/>
                <w:sz w:val="21"/>
                <w:szCs w:val="21"/>
              </w:rPr>
              <w:t xml:space="preserve">options </w:t>
            </w:r>
            <w:r w:rsidR="003A4243" w:rsidRPr="004F2343">
              <w:rPr>
                <w:rFonts w:ascii="Calibri" w:hAnsi="Calibri"/>
                <w:sz w:val="21"/>
                <w:szCs w:val="21"/>
              </w:rPr>
              <w:t xml:space="preserve">and any additional </w:t>
            </w:r>
            <w:r w:rsidR="000B733F" w:rsidRPr="004F2343">
              <w:rPr>
                <w:rFonts w:ascii="Calibri" w:hAnsi="Calibri"/>
                <w:sz w:val="21"/>
                <w:szCs w:val="21"/>
              </w:rPr>
              <w:t>State</w:t>
            </w:r>
            <w:r w:rsidR="006909C9" w:rsidRPr="004F2343">
              <w:rPr>
                <w:rFonts w:ascii="Calibri" w:hAnsi="Calibri"/>
                <w:sz w:val="21"/>
                <w:szCs w:val="21"/>
              </w:rPr>
              <w:t>/Territory</w:t>
            </w:r>
            <w:r w:rsidR="003A4243" w:rsidRPr="004F2343">
              <w:rPr>
                <w:rFonts w:ascii="Calibri" w:hAnsi="Calibri"/>
                <w:sz w:val="21"/>
                <w:szCs w:val="21"/>
              </w:rPr>
              <w:t xml:space="preserve"> sentencing options </w:t>
            </w:r>
            <w:r w:rsidRPr="004F2343">
              <w:rPr>
                <w:rFonts w:ascii="Calibri" w:hAnsi="Calibri"/>
                <w:sz w:val="21"/>
                <w:szCs w:val="21"/>
              </w:rPr>
              <w:t>are available</w:t>
            </w:r>
            <w:r w:rsidR="006909C9" w:rsidRPr="004F2343">
              <w:rPr>
                <w:rFonts w:ascii="Calibri" w:hAnsi="Calibri"/>
                <w:sz w:val="21"/>
                <w:szCs w:val="21"/>
              </w:rPr>
              <w:t xml:space="preserve"> (if not inconsistent with Commonwealth law)</w:t>
            </w:r>
            <w:r w:rsidRPr="004F2343">
              <w:rPr>
                <w:rFonts w:ascii="Calibri" w:hAnsi="Calibri"/>
                <w:sz w:val="21"/>
                <w:szCs w:val="21"/>
              </w:rPr>
              <w:t>.</w:t>
            </w:r>
          </w:p>
          <w:p w14:paraId="1DD10646" w14:textId="77777777" w:rsidR="001414A4" w:rsidRPr="004F2343" w:rsidRDefault="001414A4" w:rsidP="007C11C2">
            <w:pPr>
              <w:spacing w:line="276" w:lineRule="auto"/>
              <w:ind w:left="33" w:right="-1" w:hanging="33"/>
              <w:jc w:val="both"/>
              <w:rPr>
                <w:rFonts w:ascii="Calibri" w:hAnsi="Calibri"/>
                <w:sz w:val="21"/>
                <w:szCs w:val="21"/>
              </w:rPr>
            </w:pPr>
          </w:p>
        </w:tc>
      </w:tr>
      <w:tr w:rsidR="001414A4" w:rsidRPr="004F2343" w14:paraId="75059EF0" w14:textId="77777777" w:rsidTr="00CD5338">
        <w:trPr>
          <w:cantSplit/>
        </w:trPr>
        <w:tc>
          <w:tcPr>
            <w:tcW w:w="9497" w:type="dxa"/>
            <w:gridSpan w:val="2"/>
            <w:shd w:val="clear" w:color="auto" w:fill="F2F2F2" w:themeFill="background1" w:themeFillShade="F2"/>
          </w:tcPr>
          <w:p w14:paraId="1AF99CEB" w14:textId="77777777" w:rsidR="001414A4" w:rsidRPr="004F2343" w:rsidRDefault="001414A4" w:rsidP="00EB7F1E">
            <w:pPr>
              <w:keepNext/>
              <w:tabs>
                <w:tab w:val="left" w:pos="1134"/>
              </w:tabs>
              <w:spacing w:line="276" w:lineRule="auto"/>
              <w:ind w:left="1134" w:hanging="1134"/>
              <w:jc w:val="both"/>
              <w:rPr>
                <w:rFonts w:ascii="Calibri" w:hAnsi="Calibri"/>
                <w:b/>
                <w:sz w:val="26"/>
                <w:szCs w:val="26"/>
              </w:rPr>
            </w:pPr>
            <w:r w:rsidRPr="004F2343">
              <w:rPr>
                <w:rFonts w:ascii="Calibri" w:hAnsi="Calibri"/>
                <w:b/>
                <w:sz w:val="26"/>
                <w:szCs w:val="26"/>
              </w:rPr>
              <w:t>Imprisonment</w:t>
            </w:r>
          </w:p>
        </w:tc>
      </w:tr>
      <w:tr w:rsidR="001414A4" w:rsidRPr="004F2343" w14:paraId="6ED13C17" w14:textId="77777777" w:rsidTr="00CD5338">
        <w:trPr>
          <w:cantSplit/>
        </w:trPr>
        <w:tc>
          <w:tcPr>
            <w:tcW w:w="1276" w:type="dxa"/>
            <w:shd w:val="clear" w:color="auto" w:fill="F2F2F2" w:themeFill="background1" w:themeFillShade="F2"/>
          </w:tcPr>
          <w:p w14:paraId="73AF4689" w14:textId="77777777" w:rsidR="001414A4" w:rsidRPr="004F2343" w:rsidRDefault="001414A4"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17B(1)</w:t>
            </w:r>
          </w:p>
        </w:tc>
        <w:tc>
          <w:tcPr>
            <w:tcW w:w="8221" w:type="dxa"/>
            <w:shd w:val="clear" w:color="auto" w:fill="F2F2F2" w:themeFill="background1" w:themeFillShade="F2"/>
          </w:tcPr>
          <w:p w14:paraId="2631DE99" w14:textId="77777777" w:rsidR="001414A4" w:rsidRPr="004F2343" w:rsidRDefault="001414A4" w:rsidP="007C11C2">
            <w:pPr>
              <w:spacing w:line="276" w:lineRule="auto"/>
              <w:ind w:left="33" w:right="-1" w:hanging="33"/>
              <w:jc w:val="both"/>
              <w:rPr>
                <w:rFonts w:ascii="Calibri" w:hAnsi="Calibri"/>
                <w:b/>
                <w:sz w:val="21"/>
                <w:szCs w:val="21"/>
              </w:rPr>
            </w:pPr>
            <w:r w:rsidRPr="004F2343">
              <w:rPr>
                <w:rFonts w:ascii="Calibri" w:hAnsi="Calibri"/>
                <w:b/>
                <w:sz w:val="21"/>
                <w:szCs w:val="21"/>
              </w:rPr>
              <w:t>Imprisonment not permitted for certain offences</w:t>
            </w:r>
          </w:p>
          <w:p w14:paraId="62354B8D" w14:textId="289DBE06" w:rsidR="001414A4" w:rsidRPr="004F2343" w:rsidRDefault="001414A4" w:rsidP="007C11C2">
            <w:pPr>
              <w:spacing w:line="276" w:lineRule="auto"/>
              <w:ind w:left="33" w:right="-1" w:hanging="33"/>
              <w:jc w:val="both"/>
              <w:rPr>
                <w:rFonts w:ascii="Calibri" w:hAnsi="Calibri"/>
                <w:sz w:val="21"/>
                <w:szCs w:val="21"/>
              </w:rPr>
            </w:pPr>
            <w:r w:rsidRPr="004F2343">
              <w:rPr>
                <w:rFonts w:ascii="Calibri" w:hAnsi="Calibri"/>
                <w:sz w:val="21"/>
                <w:szCs w:val="21"/>
              </w:rPr>
              <w:t xml:space="preserve">Imprisonment precluded if convicted of one or more </w:t>
            </w:r>
            <w:r w:rsidR="00306B7E" w:rsidRPr="004F2343">
              <w:rPr>
                <w:rFonts w:ascii="Calibri" w:hAnsi="Calibri"/>
                <w:sz w:val="21"/>
                <w:szCs w:val="21"/>
              </w:rPr>
              <w:t xml:space="preserve">specified </w:t>
            </w:r>
            <w:r w:rsidRPr="004F2343">
              <w:rPr>
                <w:rFonts w:ascii="Calibri" w:hAnsi="Calibri"/>
                <w:sz w:val="21"/>
                <w:szCs w:val="21"/>
              </w:rPr>
              <w:t>property offences where the total value of the property/money does not exceed $2,000 and the defendant has not previously been sentenced to imprisonment, unless exceptional circumstances exist.</w:t>
            </w:r>
          </w:p>
          <w:p w14:paraId="31A0545D" w14:textId="77777777" w:rsidR="001414A4" w:rsidRPr="004F2343" w:rsidRDefault="001414A4" w:rsidP="007C11C2">
            <w:pPr>
              <w:spacing w:line="276" w:lineRule="auto"/>
              <w:ind w:left="33" w:right="-1" w:hanging="33"/>
              <w:jc w:val="both"/>
              <w:rPr>
                <w:rFonts w:ascii="Calibri" w:hAnsi="Calibri"/>
                <w:sz w:val="21"/>
                <w:szCs w:val="21"/>
              </w:rPr>
            </w:pPr>
          </w:p>
        </w:tc>
      </w:tr>
      <w:tr w:rsidR="00396A3A" w:rsidRPr="004F2343" w14:paraId="446E11D9" w14:textId="77777777" w:rsidTr="00CD5338">
        <w:trPr>
          <w:cantSplit/>
        </w:trPr>
        <w:tc>
          <w:tcPr>
            <w:tcW w:w="1276" w:type="dxa"/>
            <w:shd w:val="clear" w:color="auto" w:fill="F2F2F2" w:themeFill="background1" w:themeFillShade="F2"/>
          </w:tcPr>
          <w:p w14:paraId="6BFB230F"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 xml:space="preserve">17A </w:t>
            </w:r>
          </w:p>
        </w:tc>
        <w:tc>
          <w:tcPr>
            <w:tcW w:w="8221" w:type="dxa"/>
            <w:shd w:val="clear" w:color="auto" w:fill="F2F2F2" w:themeFill="background1" w:themeFillShade="F2"/>
          </w:tcPr>
          <w:p w14:paraId="1C7CD516" w14:textId="77777777" w:rsidR="00396A3A" w:rsidRPr="004F2343" w:rsidRDefault="00396A3A" w:rsidP="007C11C2">
            <w:pPr>
              <w:spacing w:line="276" w:lineRule="auto"/>
              <w:jc w:val="both"/>
              <w:rPr>
                <w:rFonts w:ascii="Calibri" w:hAnsi="Calibri"/>
                <w:sz w:val="21"/>
                <w:szCs w:val="21"/>
              </w:rPr>
            </w:pPr>
            <w:r w:rsidRPr="004F2343">
              <w:rPr>
                <w:rFonts w:ascii="Calibri" w:hAnsi="Calibri"/>
                <w:sz w:val="21"/>
                <w:szCs w:val="21"/>
              </w:rPr>
              <w:t xml:space="preserve">Where a court is satisfied that </w:t>
            </w:r>
            <w:r w:rsidRPr="004F2343">
              <w:rPr>
                <w:rFonts w:ascii="Calibri" w:hAnsi="Calibri"/>
                <w:b/>
                <w:sz w:val="21"/>
                <w:szCs w:val="21"/>
              </w:rPr>
              <w:t>no other penalty is appropriate</w:t>
            </w:r>
            <w:r w:rsidRPr="004F2343">
              <w:rPr>
                <w:rFonts w:ascii="Calibri" w:hAnsi="Calibri"/>
                <w:sz w:val="21"/>
                <w:szCs w:val="21"/>
              </w:rPr>
              <w:t xml:space="preserve"> in the circumstances of the case.  The court must state this and reasons must be entered in court records though failure to do so will not invalidate any sentence.</w:t>
            </w:r>
          </w:p>
          <w:p w14:paraId="7C077059" w14:textId="77777777" w:rsidR="00396A3A" w:rsidRPr="004F2343" w:rsidRDefault="00396A3A" w:rsidP="007C11C2">
            <w:pPr>
              <w:tabs>
                <w:tab w:val="left" w:pos="1134"/>
              </w:tabs>
              <w:spacing w:line="276" w:lineRule="auto"/>
              <w:ind w:left="1134" w:right="-1" w:hanging="1134"/>
              <w:jc w:val="both"/>
              <w:rPr>
                <w:rFonts w:ascii="Calibri" w:hAnsi="Calibri"/>
                <w:sz w:val="21"/>
                <w:szCs w:val="21"/>
              </w:rPr>
            </w:pPr>
          </w:p>
        </w:tc>
      </w:tr>
      <w:tr w:rsidR="00396A3A" w:rsidRPr="004F2343" w14:paraId="4F4AF89B" w14:textId="77777777" w:rsidTr="00CD5338">
        <w:trPr>
          <w:cantSplit/>
        </w:trPr>
        <w:tc>
          <w:tcPr>
            <w:tcW w:w="1276" w:type="dxa"/>
            <w:shd w:val="clear" w:color="auto" w:fill="F2F2F2" w:themeFill="background1" w:themeFillShade="F2"/>
          </w:tcPr>
          <w:p w14:paraId="4DAF9410"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16E</w:t>
            </w:r>
          </w:p>
        </w:tc>
        <w:tc>
          <w:tcPr>
            <w:tcW w:w="8221" w:type="dxa"/>
            <w:shd w:val="clear" w:color="auto" w:fill="F2F2F2" w:themeFill="background1" w:themeFillShade="F2"/>
          </w:tcPr>
          <w:p w14:paraId="63D008AB" w14:textId="77777777" w:rsidR="00396A3A" w:rsidRPr="004F2343" w:rsidRDefault="00396A3A" w:rsidP="007C11C2">
            <w:pPr>
              <w:tabs>
                <w:tab w:val="left" w:pos="1134"/>
              </w:tabs>
              <w:spacing w:line="276" w:lineRule="auto"/>
              <w:ind w:left="1134" w:right="-1" w:hanging="1134"/>
              <w:jc w:val="both"/>
              <w:rPr>
                <w:rFonts w:ascii="Calibri" w:hAnsi="Calibri"/>
                <w:b/>
                <w:sz w:val="21"/>
                <w:szCs w:val="21"/>
              </w:rPr>
            </w:pPr>
            <w:r w:rsidRPr="004F2343">
              <w:rPr>
                <w:rFonts w:ascii="Calibri" w:hAnsi="Calibri"/>
                <w:b/>
                <w:sz w:val="21"/>
                <w:szCs w:val="21"/>
              </w:rPr>
              <w:t>Commencement of sentences and pre-sentence detention</w:t>
            </w:r>
          </w:p>
          <w:p w14:paraId="3EE986AD" w14:textId="19D44D92" w:rsidR="003404E2" w:rsidRPr="004F2343" w:rsidRDefault="00396A3A" w:rsidP="007C11C2">
            <w:pPr>
              <w:spacing w:line="276" w:lineRule="auto"/>
              <w:ind w:right="-1"/>
              <w:jc w:val="both"/>
              <w:rPr>
                <w:rFonts w:ascii="Calibri" w:hAnsi="Calibri"/>
                <w:sz w:val="21"/>
                <w:szCs w:val="21"/>
              </w:rPr>
            </w:pPr>
            <w:r w:rsidRPr="004F2343">
              <w:rPr>
                <w:rFonts w:ascii="Calibri" w:hAnsi="Calibri"/>
                <w:sz w:val="21"/>
                <w:szCs w:val="21"/>
              </w:rPr>
              <w:t xml:space="preserve">This section adopts the law on the commencement of sentences and non-parole periods for federal offenders.  However, the </w:t>
            </w:r>
            <w:r w:rsidR="00885EFD" w:rsidRPr="004F2343">
              <w:rPr>
                <w:rFonts w:ascii="Calibri" w:hAnsi="Calibri"/>
                <w:i/>
                <w:sz w:val="21"/>
                <w:szCs w:val="21"/>
              </w:rPr>
              <w:t>Crimes Act 1914</w:t>
            </w:r>
            <w:r w:rsidRPr="004F2343">
              <w:rPr>
                <w:rFonts w:ascii="Calibri" w:hAnsi="Calibri"/>
                <w:sz w:val="21"/>
                <w:szCs w:val="21"/>
              </w:rPr>
              <w:t xml:space="preserve"> (Cth) has its own </w:t>
            </w:r>
            <w:r w:rsidR="003404E2" w:rsidRPr="004F2343">
              <w:rPr>
                <w:rFonts w:ascii="Calibri" w:hAnsi="Calibri"/>
                <w:sz w:val="21"/>
                <w:szCs w:val="21"/>
              </w:rPr>
              <w:t xml:space="preserve">regime for determining when a non-parole period or </w:t>
            </w:r>
            <w:r w:rsidR="00A53DA1" w:rsidRPr="004F2343">
              <w:rPr>
                <w:rFonts w:ascii="Calibri" w:hAnsi="Calibri"/>
                <w:sz w:val="21"/>
                <w:szCs w:val="21"/>
              </w:rPr>
              <w:t>recognizance</w:t>
            </w:r>
            <w:r w:rsidR="003404E2" w:rsidRPr="004F2343">
              <w:rPr>
                <w:rFonts w:ascii="Calibri" w:hAnsi="Calibri"/>
                <w:sz w:val="21"/>
                <w:szCs w:val="21"/>
              </w:rPr>
              <w:t xml:space="preserve"> release order ought to be made</w:t>
            </w:r>
            <w:r w:rsidR="00290180" w:rsidRPr="004F2343">
              <w:rPr>
                <w:rFonts w:ascii="Calibri" w:hAnsi="Calibri"/>
                <w:sz w:val="21"/>
                <w:szCs w:val="21"/>
              </w:rPr>
              <w:t xml:space="preserve"> </w:t>
            </w:r>
            <w:r w:rsidR="003404E2" w:rsidRPr="004F2343">
              <w:rPr>
                <w:rFonts w:ascii="Calibri" w:hAnsi="Calibri"/>
                <w:sz w:val="21"/>
                <w:szCs w:val="21"/>
              </w:rPr>
              <w:t xml:space="preserve">- see ss 19AB to 19AJ.  </w:t>
            </w:r>
            <w:r w:rsidR="00290180" w:rsidRPr="004F2343">
              <w:rPr>
                <w:rFonts w:ascii="Calibri" w:hAnsi="Calibri"/>
                <w:sz w:val="21"/>
                <w:szCs w:val="21"/>
              </w:rPr>
              <w:t>State</w:t>
            </w:r>
            <w:r w:rsidR="003404E2" w:rsidRPr="004F2343">
              <w:rPr>
                <w:rFonts w:ascii="Calibri" w:hAnsi="Calibri"/>
                <w:sz w:val="21"/>
                <w:szCs w:val="21"/>
              </w:rPr>
              <w:t xml:space="preserve"> legislation has no application as to when a non-parole period of </w:t>
            </w:r>
            <w:r w:rsidR="00A53DA1" w:rsidRPr="004F2343">
              <w:rPr>
                <w:rFonts w:ascii="Calibri" w:hAnsi="Calibri"/>
                <w:sz w:val="21"/>
                <w:szCs w:val="21"/>
              </w:rPr>
              <w:t>recognizance</w:t>
            </w:r>
            <w:r w:rsidR="003404E2" w:rsidRPr="004F2343">
              <w:rPr>
                <w:rFonts w:ascii="Calibri" w:hAnsi="Calibri"/>
                <w:sz w:val="21"/>
                <w:szCs w:val="21"/>
              </w:rPr>
              <w:t xml:space="preserve"> release order ought to be made.  </w:t>
            </w:r>
          </w:p>
          <w:p w14:paraId="1FE06CAC" w14:textId="77777777" w:rsidR="003404E2" w:rsidRPr="004F2343" w:rsidRDefault="003404E2" w:rsidP="00CC3D42">
            <w:pPr>
              <w:spacing w:line="276" w:lineRule="auto"/>
              <w:ind w:right="-1"/>
              <w:rPr>
                <w:rFonts w:ascii="Calibri" w:hAnsi="Calibri"/>
                <w:sz w:val="21"/>
                <w:szCs w:val="21"/>
              </w:rPr>
            </w:pPr>
          </w:p>
          <w:p w14:paraId="5CE37D7D" w14:textId="44A73230" w:rsidR="00BD2465" w:rsidRPr="004F2343" w:rsidRDefault="003404E2" w:rsidP="00BD2465">
            <w:pPr>
              <w:spacing w:line="276" w:lineRule="auto"/>
              <w:ind w:right="-1"/>
              <w:rPr>
                <w:rFonts w:ascii="Calibri" w:hAnsi="Calibri"/>
                <w:sz w:val="21"/>
                <w:szCs w:val="21"/>
              </w:rPr>
            </w:pPr>
            <w:r w:rsidRPr="004F2343">
              <w:rPr>
                <w:rFonts w:ascii="Calibri" w:hAnsi="Calibri"/>
                <w:sz w:val="21"/>
                <w:szCs w:val="21"/>
              </w:rPr>
              <w:t>Pre-sentence detention for the offence must be taken into account.  Section</w:t>
            </w:r>
            <w:r w:rsidR="00213BC3" w:rsidRPr="004F2343">
              <w:rPr>
                <w:rFonts w:ascii="Calibri" w:hAnsi="Calibri"/>
                <w:sz w:val="21"/>
                <w:szCs w:val="21"/>
              </w:rPr>
              <w:t>s</w:t>
            </w:r>
            <w:r w:rsidRPr="004F2343">
              <w:rPr>
                <w:rFonts w:ascii="Calibri" w:hAnsi="Calibri"/>
                <w:sz w:val="21"/>
                <w:szCs w:val="21"/>
              </w:rPr>
              <w:t xml:space="preserve"> 16E(2) &amp; (3) adopt </w:t>
            </w:r>
            <w:r w:rsidR="000F5719" w:rsidRPr="004F2343">
              <w:rPr>
                <w:rFonts w:ascii="Calibri" w:hAnsi="Calibri"/>
                <w:sz w:val="21"/>
                <w:szCs w:val="21"/>
              </w:rPr>
              <w:t>State/Territory laws for giving credit for pre-sentence detention (whether by backdating the sentence or by reducing the sentence imposed). Laws in Victoria and Queensland by which a sentencing court may declare pre-sentence custody as time served (</w:t>
            </w:r>
            <w:r w:rsidRPr="004F2343">
              <w:rPr>
                <w:rFonts w:ascii="Calibri" w:hAnsi="Calibri"/>
                <w:i/>
                <w:sz w:val="21"/>
                <w:szCs w:val="21"/>
              </w:rPr>
              <w:t>Sentencing Act 1991</w:t>
            </w:r>
            <w:r w:rsidRPr="004F2343">
              <w:rPr>
                <w:rFonts w:ascii="Calibri" w:hAnsi="Calibri"/>
                <w:sz w:val="21"/>
                <w:szCs w:val="21"/>
              </w:rPr>
              <w:t xml:space="preserve"> (Vic)</w:t>
            </w:r>
            <w:r w:rsidR="00A81120" w:rsidRPr="004F2343">
              <w:rPr>
                <w:rFonts w:ascii="Calibri" w:hAnsi="Calibri"/>
                <w:sz w:val="21"/>
                <w:szCs w:val="21"/>
              </w:rPr>
              <w:t xml:space="preserve">, s 18; </w:t>
            </w:r>
            <w:r w:rsidR="00A81120" w:rsidRPr="004F2343">
              <w:rPr>
                <w:rFonts w:ascii="Calibri" w:hAnsi="Calibri"/>
                <w:i/>
                <w:sz w:val="21"/>
                <w:szCs w:val="21"/>
              </w:rPr>
              <w:t>Penalties and Sentences Act 1992</w:t>
            </w:r>
            <w:r w:rsidR="00A81120" w:rsidRPr="004F2343">
              <w:rPr>
                <w:rFonts w:ascii="Calibri" w:hAnsi="Calibri"/>
                <w:sz w:val="21"/>
                <w:szCs w:val="21"/>
              </w:rPr>
              <w:t xml:space="preserve"> (Qld), s 161(1))</w:t>
            </w:r>
            <w:r w:rsidRPr="004F2343">
              <w:rPr>
                <w:rFonts w:ascii="Calibri" w:hAnsi="Calibri"/>
                <w:sz w:val="21"/>
                <w:szCs w:val="21"/>
              </w:rPr>
              <w:t xml:space="preserve"> </w:t>
            </w:r>
            <w:r w:rsidR="00A81120" w:rsidRPr="004F2343">
              <w:rPr>
                <w:rFonts w:ascii="Calibri" w:hAnsi="Calibri"/>
                <w:sz w:val="21"/>
                <w:szCs w:val="21"/>
              </w:rPr>
              <w:t>are also treated as applying to federal offenders.</w:t>
            </w:r>
          </w:p>
          <w:p w14:paraId="1E521DB9" w14:textId="3903E698" w:rsidR="00A75217" w:rsidRPr="004F2343" w:rsidRDefault="00A75217" w:rsidP="007C11C2">
            <w:pPr>
              <w:spacing w:line="276" w:lineRule="auto"/>
              <w:ind w:right="-1"/>
              <w:jc w:val="both"/>
              <w:rPr>
                <w:rFonts w:ascii="Calibri" w:hAnsi="Calibri"/>
                <w:sz w:val="21"/>
                <w:szCs w:val="21"/>
              </w:rPr>
            </w:pPr>
          </w:p>
        </w:tc>
      </w:tr>
      <w:tr w:rsidR="00396A3A" w:rsidRPr="004F2343" w14:paraId="7D411B08" w14:textId="77777777" w:rsidTr="00CD5338">
        <w:trPr>
          <w:cantSplit/>
        </w:trPr>
        <w:tc>
          <w:tcPr>
            <w:tcW w:w="1276" w:type="dxa"/>
            <w:shd w:val="clear" w:color="auto" w:fill="F2F2F2" w:themeFill="background1" w:themeFillShade="F2"/>
          </w:tcPr>
          <w:p w14:paraId="0A302735"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16F</w:t>
            </w:r>
          </w:p>
        </w:tc>
        <w:tc>
          <w:tcPr>
            <w:tcW w:w="8221" w:type="dxa"/>
            <w:shd w:val="clear" w:color="auto" w:fill="F2F2F2" w:themeFill="background1" w:themeFillShade="F2"/>
          </w:tcPr>
          <w:p w14:paraId="745CC802" w14:textId="0BC3AE69" w:rsidR="00396A3A" w:rsidRPr="004F2343" w:rsidRDefault="00396A3A" w:rsidP="00290180">
            <w:pPr>
              <w:spacing w:line="276" w:lineRule="auto"/>
              <w:ind w:left="34" w:right="-1"/>
              <w:jc w:val="both"/>
              <w:rPr>
                <w:rFonts w:ascii="Calibri" w:hAnsi="Calibri"/>
                <w:sz w:val="21"/>
                <w:szCs w:val="21"/>
              </w:rPr>
            </w:pPr>
            <w:r w:rsidRPr="004F2343">
              <w:rPr>
                <w:rFonts w:ascii="Calibri" w:hAnsi="Calibri"/>
                <w:sz w:val="21"/>
                <w:szCs w:val="21"/>
              </w:rPr>
              <w:t>If the court imposes a f</w:t>
            </w:r>
            <w:r w:rsidR="00213BC3" w:rsidRPr="004F2343">
              <w:rPr>
                <w:rFonts w:ascii="Calibri" w:hAnsi="Calibri"/>
                <w:sz w:val="21"/>
                <w:szCs w:val="21"/>
              </w:rPr>
              <w:t>ederal sentence and fixes a non-</w:t>
            </w:r>
            <w:r w:rsidRPr="004F2343">
              <w:rPr>
                <w:rFonts w:ascii="Calibri" w:hAnsi="Calibri"/>
                <w:sz w:val="21"/>
                <w:szCs w:val="21"/>
              </w:rPr>
              <w:t xml:space="preserve">parole period or a </w:t>
            </w:r>
            <w:r w:rsidR="00A53DA1" w:rsidRPr="004F2343">
              <w:rPr>
                <w:rFonts w:ascii="Calibri" w:hAnsi="Calibri"/>
                <w:sz w:val="21"/>
                <w:szCs w:val="21"/>
              </w:rPr>
              <w:t>recognizance</w:t>
            </w:r>
            <w:r w:rsidRPr="004F2343">
              <w:rPr>
                <w:rFonts w:ascii="Calibri" w:hAnsi="Calibri"/>
                <w:sz w:val="21"/>
                <w:szCs w:val="21"/>
              </w:rPr>
              <w:t xml:space="preserve"> release order it must explain, or </w:t>
            </w:r>
            <w:r w:rsidRPr="004F2343">
              <w:rPr>
                <w:rFonts w:ascii="Calibri" w:hAnsi="Calibri"/>
                <w:b/>
                <w:sz w:val="21"/>
                <w:szCs w:val="21"/>
              </w:rPr>
              <w:t>cause to be explained</w:t>
            </w:r>
            <w:r w:rsidRPr="004F2343">
              <w:rPr>
                <w:rFonts w:ascii="Calibri" w:hAnsi="Calibri"/>
                <w:sz w:val="21"/>
                <w:szCs w:val="21"/>
              </w:rPr>
              <w:t xml:space="preserve">, the purpose and consequence of fixing and non-compliance with such a period or order.  </w:t>
            </w:r>
            <w:r w:rsidR="006123DA" w:rsidRPr="004F2343">
              <w:rPr>
                <w:rFonts w:ascii="Calibri" w:hAnsi="Calibri"/>
                <w:sz w:val="21"/>
                <w:szCs w:val="21"/>
              </w:rPr>
              <w:t>(</w:t>
            </w:r>
            <w:r w:rsidR="006123DA" w:rsidRPr="004F2343">
              <w:rPr>
                <w:rFonts w:ascii="Calibri" w:hAnsi="Calibri" w:cstheme="minorHAnsi"/>
              </w:rPr>
              <w:t xml:space="preserve">Failure to comply with the requirements of this section does not invalidate a sentence: </w:t>
            </w:r>
            <w:r w:rsidR="006123DA" w:rsidRPr="004F2343">
              <w:rPr>
                <w:rFonts w:ascii="Calibri" w:hAnsi="Calibri" w:cstheme="minorHAnsi"/>
                <w:i/>
              </w:rPr>
              <w:t>R v Hutton</w:t>
            </w:r>
            <w:r w:rsidR="006123DA" w:rsidRPr="004F2343">
              <w:rPr>
                <w:rFonts w:ascii="Calibri" w:hAnsi="Calibri" w:cstheme="minorHAnsi"/>
              </w:rPr>
              <w:t xml:space="preserve"> [2004] NSWCCA 60</w:t>
            </w:r>
            <w:r w:rsidR="00FC68FA" w:rsidRPr="004F2343">
              <w:rPr>
                <w:rFonts w:ascii="Calibri" w:hAnsi="Calibri" w:cstheme="minorHAnsi"/>
              </w:rPr>
              <w:fldChar w:fldCharType="begin"/>
            </w:r>
            <w:r w:rsidR="00FC68FA" w:rsidRPr="004F2343">
              <w:rPr>
                <w:rFonts w:ascii="Calibri" w:hAnsi="Calibri"/>
              </w:rPr>
              <w:instrText xml:space="preserve"> TA \s "R v Hutton [2004] NSWCCA 60" </w:instrText>
            </w:r>
            <w:r w:rsidR="00FC68FA" w:rsidRPr="004F2343">
              <w:rPr>
                <w:rFonts w:ascii="Calibri" w:hAnsi="Calibri" w:cstheme="minorHAnsi"/>
              </w:rPr>
              <w:fldChar w:fldCharType="end"/>
            </w:r>
            <w:r w:rsidR="006123DA" w:rsidRPr="004F2343">
              <w:rPr>
                <w:rFonts w:ascii="Calibri" w:hAnsi="Calibri" w:cstheme="minorHAnsi"/>
              </w:rPr>
              <w:t>, [17]-[28].</w:t>
            </w:r>
            <w:r w:rsidR="006123DA" w:rsidRPr="004F2343">
              <w:rPr>
                <w:rFonts w:ascii="Calibri" w:hAnsi="Calibri"/>
                <w:sz w:val="21"/>
                <w:szCs w:val="21"/>
              </w:rPr>
              <w:t>)</w:t>
            </w:r>
          </w:p>
          <w:p w14:paraId="2671F7EE" w14:textId="77777777" w:rsidR="00396A3A" w:rsidRPr="004F2343" w:rsidRDefault="00396A3A" w:rsidP="007C11C2">
            <w:pPr>
              <w:tabs>
                <w:tab w:val="left" w:pos="1134"/>
              </w:tabs>
              <w:spacing w:line="276" w:lineRule="auto"/>
              <w:ind w:left="1134" w:right="-1" w:hanging="1134"/>
              <w:jc w:val="both"/>
              <w:rPr>
                <w:rFonts w:ascii="Calibri" w:hAnsi="Calibri"/>
                <w:sz w:val="21"/>
                <w:szCs w:val="21"/>
              </w:rPr>
            </w:pPr>
          </w:p>
        </w:tc>
      </w:tr>
      <w:tr w:rsidR="00396A3A" w:rsidRPr="004F2343" w14:paraId="2BC960F0" w14:textId="77777777" w:rsidTr="00CD5338">
        <w:trPr>
          <w:cantSplit/>
        </w:trPr>
        <w:tc>
          <w:tcPr>
            <w:tcW w:w="1276" w:type="dxa"/>
            <w:shd w:val="clear" w:color="auto" w:fill="F2F2F2" w:themeFill="background1" w:themeFillShade="F2"/>
          </w:tcPr>
          <w:p w14:paraId="45B6FD3D"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16G</w:t>
            </w:r>
          </w:p>
        </w:tc>
        <w:tc>
          <w:tcPr>
            <w:tcW w:w="8221" w:type="dxa"/>
            <w:shd w:val="clear" w:color="auto" w:fill="F2F2F2" w:themeFill="background1" w:themeFillShade="F2"/>
          </w:tcPr>
          <w:p w14:paraId="181DE667" w14:textId="77777777" w:rsidR="00396A3A" w:rsidRPr="004F2343" w:rsidRDefault="00396A3A" w:rsidP="007C11C2">
            <w:pPr>
              <w:tabs>
                <w:tab w:val="left" w:pos="1134"/>
              </w:tabs>
              <w:spacing w:line="276" w:lineRule="auto"/>
              <w:ind w:left="1134" w:right="-1" w:hanging="1134"/>
              <w:jc w:val="both"/>
              <w:rPr>
                <w:rFonts w:ascii="Calibri" w:hAnsi="Calibri"/>
                <w:b/>
                <w:color w:val="FF0000"/>
                <w:sz w:val="21"/>
                <w:szCs w:val="21"/>
              </w:rPr>
            </w:pPr>
            <w:r w:rsidRPr="004F2343">
              <w:rPr>
                <w:rFonts w:ascii="Calibri" w:hAnsi="Calibri"/>
                <w:b/>
                <w:color w:val="FF0000"/>
                <w:sz w:val="21"/>
                <w:szCs w:val="21"/>
              </w:rPr>
              <w:t>Repealed from 16 January 2003</w:t>
            </w:r>
          </w:p>
          <w:p w14:paraId="4E1CBDB5" w14:textId="77777777" w:rsidR="0086396A" w:rsidRPr="004F2343" w:rsidRDefault="00396A3A" w:rsidP="007C11C2">
            <w:pPr>
              <w:spacing w:line="276" w:lineRule="auto"/>
              <w:ind w:left="1134" w:right="-1" w:hanging="1134"/>
              <w:jc w:val="both"/>
              <w:rPr>
                <w:rFonts w:ascii="Calibri" w:hAnsi="Calibri"/>
                <w:sz w:val="21"/>
                <w:szCs w:val="21"/>
              </w:rPr>
            </w:pPr>
            <w:r w:rsidRPr="004F2343">
              <w:rPr>
                <w:rFonts w:ascii="Calibri" w:hAnsi="Calibri"/>
                <w:sz w:val="21"/>
                <w:szCs w:val="21"/>
              </w:rPr>
              <w:t xml:space="preserve">Until repealed in 2003, this section required that the absence of remissions be </w:t>
            </w:r>
            <w:r w:rsidR="0086396A" w:rsidRPr="004F2343">
              <w:rPr>
                <w:rFonts w:ascii="Calibri" w:hAnsi="Calibri"/>
                <w:sz w:val="21"/>
                <w:szCs w:val="21"/>
              </w:rPr>
              <w:t xml:space="preserve">taken into </w:t>
            </w:r>
          </w:p>
          <w:p w14:paraId="3FA69CC0" w14:textId="77777777" w:rsidR="0086396A" w:rsidRPr="004F2343" w:rsidRDefault="0086396A" w:rsidP="007C11C2">
            <w:pPr>
              <w:spacing w:line="276" w:lineRule="auto"/>
              <w:ind w:left="1134" w:right="-1" w:hanging="1134"/>
              <w:jc w:val="both"/>
              <w:rPr>
                <w:rFonts w:ascii="Calibri" w:hAnsi="Calibri"/>
                <w:sz w:val="21"/>
                <w:szCs w:val="21"/>
              </w:rPr>
            </w:pPr>
            <w:r w:rsidRPr="004F2343">
              <w:rPr>
                <w:rFonts w:ascii="Calibri" w:hAnsi="Calibri"/>
                <w:sz w:val="21"/>
                <w:szCs w:val="21"/>
              </w:rPr>
              <w:t xml:space="preserve">account in determining the length of the head sentence and for the sentences to be </w:t>
            </w:r>
          </w:p>
          <w:p w14:paraId="75D83CFA" w14:textId="77777777" w:rsidR="00396A3A" w:rsidRPr="004F2343" w:rsidRDefault="0086396A" w:rsidP="007C11C2">
            <w:pPr>
              <w:spacing w:line="276" w:lineRule="auto"/>
              <w:ind w:left="1134" w:right="-1" w:hanging="1134"/>
              <w:jc w:val="both"/>
              <w:rPr>
                <w:rFonts w:ascii="Calibri" w:hAnsi="Calibri"/>
                <w:sz w:val="21"/>
                <w:szCs w:val="21"/>
              </w:rPr>
            </w:pPr>
            <w:r w:rsidRPr="004F2343">
              <w:rPr>
                <w:rFonts w:ascii="Calibri" w:hAnsi="Calibri"/>
                <w:sz w:val="21"/>
                <w:szCs w:val="21"/>
              </w:rPr>
              <w:t xml:space="preserve">adjusted accordingly.  </w:t>
            </w:r>
          </w:p>
          <w:p w14:paraId="03A82AC0" w14:textId="77777777" w:rsidR="00396A3A" w:rsidRPr="004F2343" w:rsidRDefault="00396A3A" w:rsidP="007C11C2">
            <w:pPr>
              <w:tabs>
                <w:tab w:val="left" w:pos="1134"/>
              </w:tabs>
              <w:spacing w:line="276" w:lineRule="auto"/>
              <w:ind w:left="1134" w:right="-1" w:hanging="1134"/>
              <w:jc w:val="both"/>
              <w:rPr>
                <w:rFonts w:ascii="Calibri" w:hAnsi="Calibri"/>
                <w:sz w:val="21"/>
                <w:szCs w:val="21"/>
              </w:rPr>
            </w:pPr>
          </w:p>
          <w:p w14:paraId="657CB8D3" w14:textId="77777777" w:rsidR="0086396A" w:rsidRPr="004F2343" w:rsidRDefault="00396A3A" w:rsidP="007C11C2">
            <w:pPr>
              <w:pStyle w:val="BodyText"/>
              <w:tabs>
                <w:tab w:val="left" w:pos="1134"/>
              </w:tabs>
              <w:spacing w:line="276" w:lineRule="auto"/>
              <w:ind w:left="1134" w:right="-1" w:hanging="1134"/>
              <w:jc w:val="both"/>
              <w:rPr>
                <w:rFonts w:ascii="Calibri" w:hAnsi="Calibri"/>
                <w:sz w:val="21"/>
                <w:szCs w:val="21"/>
              </w:rPr>
            </w:pPr>
            <w:r w:rsidRPr="004F2343">
              <w:rPr>
                <w:rFonts w:ascii="Calibri" w:hAnsi="Calibri"/>
                <w:sz w:val="21"/>
                <w:szCs w:val="21"/>
              </w:rPr>
              <w:t xml:space="preserve">Notwithstanding the repeal of s 16G in respect of sentences imposed from </w:t>
            </w:r>
            <w:r w:rsidR="0086396A" w:rsidRPr="004F2343">
              <w:rPr>
                <w:rFonts w:ascii="Calibri" w:hAnsi="Calibri"/>
                <w:sz w:val="21"/>
                <w:szCs w:val="21"/>
              </w:rPr>
              <w:t xml:space="preserve">16 January 2003, </w:t>
            </w:r>
          </w:p>
          <w:p w14:paraId="7CCB75E1" w14:textId="77777777" w:rsidR="0086396A" w:rsidRPr="004F2343" w:rsidRDefault="0086396A" w:rsidP="007C11C2">
            <w:pPr>
              <w:pStyle w:val="BodyText"/>
              <w:tabs>
                <w:tab w:val="left" w:pos="1134"/>
              </w:tabs>
              <w:spacing w:line="276" w:lineRule="auto"/>
              <w:ind w:left="1134" w:right="-1" w:hanging="1134"/>
              <w:jc w:val="both"/>
              <w:rPr>
                <w:rFonts w:ascii="Calibri" w:hAnsi="Calibri"/>
                <w:sz w:val="21"/>
                <w:szCs w:val="21"/>
              </w:rPr>
            </w:pPr>
            <w:r w:rsidRPr="004F2343">
              <w:rPr>
                <w:rFonts w:ascii="Calibri" w:hAnsi="Calibri"/>
                <w:sz w:val="21"/>
                <w:szCs w:val="21"/>
              </w:rPr>
              <w:t xml:space="preserve">there are some situations where the court needed to have regard to the previous effect of </w:t>
            </w:r>
          </w:p>
          <w:p w14:paraId="247622EA" w14:textId="77777777" w:rsidR="00396A3A" w:rsidRPr="004F2343" w:rsidRDefault="0086396A" w:rsidP="007C11C2">
            <w:pPr>
              <w:pStyle w:val="BodyText"/>
              <w:tabs>
                <w:tab w:val="left" w:pos="1134"/>
              </w:tabs>
              <w:spacing w:line="276" w:lineRule="auto"/>
              <w:ind w:left="1134" w:right="-1" w:hanging="1134"/>
              <w:jc w:val="both"/>
              <w:rPr>
                <w:rFonts w:ascii="Calibri" w:hAnsi="Calibri"/>
                <w:sz w:val="21"/>
                <w:szCs w:val="21"/>
              </w:rPr>
            </w:pPr>
            <w:r w:rsidRPr="004F2343">
              <w:rPr>
                <w:rFonts w:ascii="Calibri" w:hAnsi="Calibri"/>
                <w:sz w:val="21"/>
                <w:szCs w:val="21"/>
              </w:rPr>
              <w:t>that provision:</w:t>
            </w:r>
          </w:p>
          <w:p w14:paraId="63262D51" w14:textId="77777777" w:rsidR="00396A3A" w:rsidRPr="004F2343" w:rsidRDefault="00396A3A" w:rsidP="007C11C2">
            <w:pPr>
              <w:pStyle w:val="BodyText"/>
              <w:numPr>
                <w:ilvl w:val="0"/>
                <w:numId w:val="1"/>
              </w:numPr>
              <w:tabs>
                <w:tab w:val="clear" w:pos="2421"/>
              </w:tabs>
              <w:spacing w:before="120" w:line="276" w:lineRule="auto"/>
              <w:ind w:left="750" w:right="851" w:hanging="425"/>
              <w:jc w:val="both"/>
              <w:rPr>
                <w:rFonts w:ascii="Calibri" w:hAnsi="Calibri"/>
                <w:sz w:val="21"/>
                <w:szCs w:val="21"/>
              </w:rPr>
            </w:pPr>
            <w:r w:rsidRPr="004F2343">
              <w:rPr>
                <w:rFonts w:ascii="Calibri" w:hAnsi="Calibri"/>
                <w:sz w:val="21"/>
                <w:szCs w:val="21"/>
              </w:rPr>
              <w:t>in re-sentencing on an appeal after 16 January 2003 where the sentence appealed from was imposed before that date; and</w:t>
            </w:r>
          </w:p>
          <w:p w14:paraId="4AA5731D" w14:textId="77777777" w:rsidR="00396A3A" w:rsidRPr="004F2343" w:rsidRDefault="00396A3A" w:rsidP="007C11C2">
            <w:pPr>
              <w:pStyle w:val="BodyText"/>
              <w:numPr>
                <w:ilvl w:val="0"/>
                <w:numId w:val="1"/>
              </w:numPr>
              <w:tabs>
                <w:tab w:val="clear" w:pos="2421"/>
              </w:tabs>
              <w:spacing w:before="120" w:line="276" w:lineRule="auto"/>
              <w:ind w:left="750" w:right="851" w:hanging="425"/>
              <w:jc w:val="both"/>
              <w:rPr>
                <w:rFonts w:ascii="Calibri" w:hAnsi="Calibri"/>
                <w:sz w:val="21"/>
                <w:szCs w:val="21"/>
              </w:rPr>
            </w:pPr>
            <w:r w:rsidRPr="004F2343">
              <w:rPr>
                <w:rFonts w:ascii="Calibri" w:hAnsi="Calibri"/>
                <w:sz w:val="21"/>
                <w:szCs w:val="21"/>
              </w:rPr>
              <w:t>in considering parity where a co-accused was sentenced before 16 January 2003 and another co-accused is to be sentenced on or after 16 January 2003.</w:t>
            </w:r>
          </w:p>
          <w:p w14:paraId="5968FD47" w14:textId="77777777" w:rsidR="00396A3A" w:rsidRPr="004F2343" w:rsidRDefault="00396A3A" w:rsidP="006909C9">
            <w:pPr>
              <w:pStyle w:val="BodyText"/>
              <w:tabs>
                <w:tab w:val="left" w:pos="1134"/>
              </w:tabs>
              <w:spacing w:line="276" w:lineRule="auto"/>
              <w:ind w:left="1134" w:right="-1" w:hanging="1134"/>
              <w:jc w:val="both"/>
              <w:rPr>
                <w:rFonts w:ascii="Calibri" w:hAnsi="Calibri"/>
                <w:sz w:val="21"/>
                <w:szCs w:val="21"/>
              </w:rPr>
            </w:pPr>
          </w:p>
        </w:tc>
      </w:tr>
      <w:tr w:rsidR="00396A3A" w:rsidRPr="004F2343" w14:paraId="74B5F131" w14:textId="77777777" w:rsidTr="00CD5338">
        <w:trPr>
          <w:cantSplit/>
        </w:trPr>
        <w:tc>
          <w:tcPr>
            <w:tcW w:w="1276" w:type="dxa"/>
            <w:shd w:val="clear" w:color="auto" w:fill="F2F2F2" w:themeFill="background1" w:themeFillShade="F2"/>
          </w:tcPr>
          <w:p w14:paraId="6798B05A"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19(2)</w:t>
            </w:r>
          </w:p>
        </w:tc>
        <w:tc>
          <w:tcPr>
            <w:tcW w:w="8221" w:type="dxa"/>
            <w:shd w:val="clear" w:color="auto" w:fill="F2F2F2" w:themeFill="background1" w:themeFillShade="F2"/>
          </w:tcPr>
          <w:p w14:paraId="67B24C60" w14:textId="23F8E593" w:rsidR="00396A3A" w:rsidRPr="004F2343" w:rsidRDefault="00396A3A" w:rsidP="007C11C2">
            <w:pPr>
              <w:spacing w:line="276" w:lineRule="auto"/>
              <w:ind w:left="41" w:right="-1" w:hanging="41"/>
              <w:jc w:val="both"/>
              <w:rPr>
                <w:rFonts w:ascii="Calibri" w:hAnsi="Calibri"/>
                <w:sz w:val="21"/>
                <w:szCs w:val="21"/>
              </w:rPr>
            </w:pPr>
            <w:r w:rsidRPr="004F2343">
              <w:rPr>
                <w:rFonts w:ascii="Calibri" w:hAnsi="Calibri"/>
                <w:sz w:val="21"/>
                <w:szCs w:val="21"/>
              </w:rPr>
              <w:t xml:space="preserve">Where multiple federal sentences are imposed the court must “by order direct” when each federal sentence imposed commences - simply stating only that sentences are to be concurrent, cumulative or cumulative to a nominated degree will not satisfy this section.  </w:t>
            </w:r>
          </w:p>
          <w:p w14:paraId="3E28FD5B" w14:textId="77777777" w:rsidR="00396A3A" w:rsidRPr="004F2343" w:rsidRDefault="00396A3A" w:rsidP="007C11C2">
            <w:pPr>
              <w:tabs>
                <w:tab w:val="left" w:pos="1134"/>
              </w:tabs>
              <w:spacing w:line="276" w:lineRule="auto"/>
              <w:ind w:left="1134" w:right="-1" w:hanging="1134"/>
              <w:jc w:val="both"/>
              <w:rPr>
                <w:rFonts w:ascii="Calibri" w:hAnsi="Calibri"/>
                <w:sz w:val="21"/>
                <w:szCs w:val="21"/>
              </w:rPr>
            </w:pPr>
          </w:p>
          <w:p w14:paraId="458C56E9" w14:textId="77777777" w:rsidR="00396A3A" w:rsidRPr="004F2343" w:rsidRDefault="00396A3A" w:rsidP="007C11C2">
            <w:pPr>
              <w:spacing w:line="276" w:lineRule="auto"/>
              <w:ind w:right="-1"/>
              <w:jc w:val="both"/>
              <w:rPr>
                <w:rFonts w:ascii="Calibri" w:hAnsi="Calibri"/>
                <w:sz w:val="21"/>
                <w:szCs w:val="21"/>
              </w:rPr>
            </w:pPr>
            <w:r w:rsidRPr="004F2343">
              <w:rPr>
                <w:rFonts w:ascii="Calibri" w:hAnsi="Calibri"/>
                <w:sz w:val="21"/>
                <w:szCs w:val="21"/>
              </w:rPr>
              <w:t>Section 19(2) relates to the head sentence(s) not the non-parole period</w:t>
            </w:r>
            <w:r w:rsidRPr="004F2343">
              <w:rPr>
                <w:rFonts w:ascii="Calibri" w:hAnsi="Calibri"/>
                <w:i/>
                <w:sz w:val="21"/>
                <w:szCs w:val="21"/>
              </w:rPr>
              <w:t xml:space="preserve"> –</w:t>
            </w:r>
            <w:r w:rsidRPr="004F2343">
              <w:rPr>
                <w:rFonts w:ascii="Calibri" w:hAnsi="Calibri"/>
                <w:sz w:val="21"/>
                <w:szCs w:val="21"/>
              </w:rPr>
              <w:t xml:space="preserve"> see </w:t>
            </w:r>
            <w:r w:rsidRPr="004F2343">
              <w:rPr>
                <w:rFonts w:ascii="Calibri" w:hAnsi="Calibri"/>
                <w:i/>
                <w:sz w:val="21"/>
                <w:szCs w:val="21"/>
              </w:rPr>
              <w:t>R v DS</w:t>
            </w:r>
            <w:r w:rsidRPr="004F2343">
              <w:rPr>
                <w:rFonts w:ascii="Calibri" w:hAnsi="Calibri"/>
                <w:sz w:val="21"/>
                <w:szCs w:val="21"/>
              </w:rPr>
              <w:t xml:space="preserve"> (2005) 153 A Crim R 194</w:t>
            </w:r>
            <w:r w:rsidR="00BA2B0B" w:rsidRPr="004F2343">
              <w:rPr>
                <w:rFonts w:ascii="Calibri" w:hAnsi="Calibri"/>
                <w:sz w:val="21"/>
                <w:szCs w:val="21"/>
              </w:rPr>
              <w:fldChar w:fldCharType="begin"/>
            </w:r>
            <w:r w:rsidR="009D09CF" w:rsidRPr="004F2343">
              <w:rPr>
                <w:rFonts w:ascii="Calibri" w:hAnsi="Calibri"/>
              </w:rPr>
              <w:instrText xml:space="preserve"> TA \s "R v DS (2005) 153 A Crim R 194" </w:instrText>
            </w:r>
            <w:r w:rsidR="00BA2B0B" w:rsidRPr="004F2343">
              <w:rPr>
                <w:rFonts w:ascii="Calibri" w:hAnsi="Calibri"/>
                <w:sz w:val="21"/>
                <w:szCs w:val="21"/>
              </w:rPr>
              <w:fldChar w:fldCharType="end"/>
            </w:r>
            <w:r w:rsidRPr="004F2343">
              <w:rPr>
                <w:rFonts w:ascii="Calibri" w:hAnsi="Calibri"/>
                <w:sz w:val="21"/>
                <w:szCs w:val="21"/>
              </w:rPr>
              <w:t>.  The non-parole period will commence on the commencement of the first head sentence.</w:t>
            </w:r>
          </w:p>
          <w:p w14:paraId="3C431629" w14:textId="77777777" w:rsidR="00396A3A" w:rsidRPr="004F2343" w:rsidRDefault="00396A3A" w:rsidP="006909C9">
            <w:pPr>
              <w:tabs>
                <w:tab w:val="left" w:pos="1134"/>
              </w:tabs>
              <w:spacing w:line="276" w:lineRule="auto"/>
              <w:ind w:right="-1"/>
              <w:jc w:val="both"/>
              <w:rPr>
                <w:rFonts w:ascii="Calibri" w:hAnsi="Calibri"/>
                <w:sz w:val="21"/>
                <w:szCs w:val="21"/>
              </w:rPr>
            </w:pPr>
          </w:p>
        </w:tc>
      </w:tr>
      <w:tr w:rsidR="00396A3A" w:rsidRPr="004F2343" w14:paraId="3A55D05C" w14:textId="77777777" w:rsidTr="00CD5338">
        <w:trPr>
          <w:cantSplit/>
        </w:trPr>
        <w:tc>
          <w:tcPr>
            <w:tcW w:w="1276" w:type="dxa"/>
            <w:shd w:val="clear" w:color="auto" w:fill="F2F2F2" w:themeFill="background1" w:themeFillShade="F2"/>
          </w:tcPr>
          <w:p w14:paraId="02F2DDE4"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19(3)</w:t>
            </w:r>
          </w:p>
        </w:tc>
        <w:tc>
          <w:tcPr>
            <w:tcW w:w="8221" w:type="dxa"/>
            <w:shd w:val="clear" w:color="auto" w:fill="F2F2F2" w:themeFill="background1" w:themeFillShade="F2"/>
          </w:tcPr>
          <w:p w14:paraId="430CFD83" w14:textId="335CEE5A" w:rsidR="000F7678"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 xml:space="preserve">Where a </w:t>
            </w:r>
            <w:r w:rsidR="000B733F" w:rsidRPr="004F2343">
              <w:rPr>
                <w:rFonts w:ascii="Calibri" w:hAnsi="Calibri"/>
                <w:sz w:val="21"/>
                <w:szCs w:val="21"/>
              </w:rPr>
              <w:t>State</w:t>
            </w:r>
            <w:r w:rsidRPr="004F2343">
              <w:rPr>
                <w:rFonts w:ascii="Calibri" w:hAnsi="Calibri"/>
                <w:sz w:val="21"/>
                <w:szCs w:val="21"/>
              </w:rPr>
              <w:t xml:space="preserve"> sentence is imposed </w:t>
            </w:r>
            <w:r w:rsidR="00213BC3" w:rsidRPr="004F2343">
              <w:rPr>
                <w:rFonts w:ascii="Calibri" w:hAnsi="Calibri"/>
                <w:sz w:val="21"/>
                <w:szCs w:val="21"/>
              </w:rPr>
              <w:t xml:space="preserve">as well as a federal </w:t>
            </w:r>
            <w:r w:rsidRPr="004F2343">
              <w:rPr>
                <w:rFonts w:ascii="Calibri" w:hAnsi="Calibri"/>
                <w:sz w:val="21"/>
                <w:szCs w:val="21"/>
              </w:rPr>
              <w:t>sentence</w:t>
            </w:r>
            <w:r w:rsidR="00213BC3" w:rsidRPr="004F2343">
              <w:rPr>
                <w:rFonts w:ascii="Calibri" w:hAnsi="Calibri"/>
                <w:sz w:val="21"/>
                <w:szCs w:val="21"/>
              </w:rPr>
              <w:t>(</w:t>
            </w:r>
            <w:r w:rsidRPr="004F2343">
              <w:rPr>
                <w:rFonts w:ascii="Calibri" w:hAnsi="Calibri"/>
                <w:sz w:val="21"/>
                <w:szCs w:val="21"/>
              </w:rPr>
              <w:t>s</w:t>
            </w:r>
            <w:r w:rsidR="00213BC3" w:rsidRPr="004F2343">
              <w:rPr>
                <w:rFonts w:ascii="Calibri" w:hAnsi="Calibri"/>
                <w:sz w:val="21"/>
                <w:szCs w:val="21"/>
              </w:rPr>
              <w:t>)</w:t>
            </w:r>
            <w:r w:rsidRPr="004F2343">
              <w:rPr>
                <w:rFonts w:ascii="Calibri" w:hAnsi="Calibri"/>
                <w:sz w:val="21"/>
                <w:szCs w:val="21"/>
              </w:rPr>
              <w:t xml:space="preserve"> the court must “by order direct” when each federal sentence commences so there are no gaps in the sentence.</w:t>
            </w:r>
          </w:p>
          <w:p w14:paraId="3A371552" w14:textId="072C38B6" w:rsidR="00396A3A" w:rsidRPr="004F2343" w:rsidRDefault="000F7678" w:rsidP="00B90C24">
            <w:pPr>
              <w:spacing w:line="276" w:lineRule="auto"/>
              <w:ind w:left="34" w:right="-1"/>
              <w:jc w:val="both"/>
              <w:rPr>
                <w:rFonts w:ascii="Calibri" w:hAnsi="Calibri"/>
                <w:i/>
                <w:sz w:val="21"/>
                <w:szCs w:val="21"/>
              </w:rPr>
            </w:pPr>
            <w:r w:rsidRPr="004F2343">
              <w:rPr>
                <w:rFonts w:ascii="Calibri" w:hAnsi="Calibri"/>
                <w:sz w:val="21"/>
                <w:szCs w:val="21"/>
              </w:rPr>
              <w:t>Commencement of a State</w:t>
            </w:r>
            <w:r w:rsidR="006909C9" w:rsidRPr="004F2343">
              <w:rPr>
                <w:rFonts w:ascii="Calibri" w:hAnsi="Calibri"/>
                <w:sz w:val="21"/>
                <w:szCs w:val="21"/>
              </w:rPr>
              <w:t>/Territory</w:t>
            </w:r>
            <w:r w:rsidRPr="004F2343">
              <w:rPr>
                <w:rFonts w:ascii="Calibri" w:hAnsi="Calibri"/>
                <w:sz w:val="21"/>
                <w:szCs w:val="21"/>
              </w:rPr>
              <w:t xml:space="preserve"> senten</w:t>
            </w:r>
            <w:r w:rsidR="006909C9" w:rsidRPr="004F2343">
              <w:rPr>
                <w:rFonts w:ascii="Calibri" w:hAnsi="Calibri"/>
                <w:sz w:val="21"/>
                <w:szCs w:val="21"/>
              </w:rPr>
              <w:t>ce</w:t>
            </w:r>
            <w:r w:rsidRPr="004F2343">
              <w:rPr>
                <w:rFonts w:ascii="Calibri" w:hAnsi="Calibri"/>
                <w:sz w:val="21"/>
                <w:szCs w:val="21"/>
              </w:rPr>
              <w:t xml:space="preserve"> is governed by State law (e.g. </w:t>
            </w:r>
            <w:r w:rsidR="00396A3A" w:rsidRPr="004F2343">
              <w:rPr>
                <w:rFonts w:ascii="Calibri" w:hAnsi="Calibri"/>
                <w:i/>
                <w:sz w:val="21"/>
                <w:szCs w:val="21"/>
              </w:rPr>
              <w:t>Sentencing Act 1991</w:t>
            </w:r>
            <w:r w:rsidR="00396A3A" w:rsidRPr="004F2343">
              <w:rPr>
                <w:rFonts w:ascii="Calibri" w:hAnsi="Calibri"/>
                <w:sz w:val="21"/>
                <w:szCs w:val="21"/>
              </w:rPr>
              <w:t xml:space="preserve"> (Vic)</w:t>
            </w:r>
            <w:r w:rsidRPr="004F2343">
              <w:rPr>
                <w:rFonts w:ascii="Calibri" w:hAnsi="Calibri"/>
                <w:sz w:val="21"/>
                <w:szCs w:val="21"/>
              </w:rPr>
              <w:t xml:space="preserve">, s 16(4)).  See </w:t>
            </w:r>
            <w:r w:rsidR="006909C9" w:rsidRPr="004F2343">
              <w:rPr>
                <w:rFonts w:ascii="Calibri" w:hAnsi="Calibri"/>
                <w:i/>
                <w:sz w:val="21"/>
                <w:szCs w:val="21"/>
              </w:rPr>
              <w:t>DPP v Swingler</w:t>
            </w:r>
            <w:r w:rsidR="006909C9" w:rsidRPr="004F2343">
              <w:rPr>
                <w:rFonts w:ascii="Calibri" w:hAnsi="Calibri"/>
                <w:sz w:val="21"/>
                <w:szCs w:val="21"/>
              </w:rPr>
              <w:t xml:space="preserve"> [2017] VSCA 305</w:t>
            </w:r>
            <w:r w:rsidR="00E01739" w:rsidRPr="004F2343">
              <w:rPr>
                <w:rFonts w:ascii="Calibri" w:hAnsi="Calibri"/>
                <w:sz w:val="21"/>
                <w:szCs w:val="21"/>
              </w:rPr>
              <w:fldChar w:fldCharType="begin"/>
            </w:r>
            <w:r w:rsidR="00E01739" w:rsidRPr="004F2343">
              <w:rPr>
                <w:rFonts w:ascii="Calibri" w:hAnsi="Calibri"/>
              </w:rPr>
              <w:instrText xml:space="preserve"> TA \s "DPP v Swingler [2017] VSCA 305" </w:instrText>
            </w:r>
            <w:r w:rsidR="00E01739" w:rsidRPr="004F2343">
              <w:rPr>
                <w:rFonts w:ascii="Calibri" w:hAnsi="Calibri"/>
                <w:sz w:val="21"/>
                <w:szCs w:val="21"/>
              </w:rPr>
              <w:fldChar w:fldCharType="end"/>
            </w:r>
            <w:r w:rsidR="00663ECC" w:rsidRPr="004F2343">
              <w:rPr>
                <w:rFonts w:ascii="Calibri" w:hAnsi="Calibri"/>
                <w:sz w:val="21"/>
                <w:szCs w:val="21"/>
              </w:rPr>
              <w:t>.</w:t>
            </w:r>
          </w:p>
          <w:p w14:paraId="6E39CC0C" w14:textId="77777777" w:rsidR="00396A3A" w:rsidRPr="004F2343" w:rsidRDefault="00396A3A" w:rsidP="007C11C2">
            <w:pPr>
              <w:spacing w:line="276" w:lineRule="auto"/>
              <w:ind w:left="34" w:right="-1" w:hanging="34"/>
              <w:jc w:val="both"/>
              <w:rPr>
                <w:rFonts w:ascii="Calibri" w:hAnsi="Calibri"/>
                <w:sz w:val="21"/>
                <w:szCs w:val="21"/>
              </w:rPr>
            </w:pPr>
          </w:p>
        </w:tc>
      </w:tr>
      <w:tr w:rsidR="00396A3A" w:rsidRPr="004F2343" w14:paraId="539D7ACE" w14:textId="77777777" w:rsidTr="00CD5338">
        <w:trPr>
          <w:cantSplit/>
        </w:trPr>
        <w:tc>
          <w:tcPr>
            <w:tcW w:w="1276" w:type="dxa"/>
            <w:shd w:val="clear" w:color="auto" w:fill="F2F2F2" w:themeFill="background1" w:themeFillShade="F2"/>
          </w:tcPr>
          <w:p w14:paraId="092737C3"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19AB</w:t>
            </w:r>
          </w:p>
        </w:tc>
        <w:tc>
          <w:tcPr>
            <w:tcW w:w="8221" w:type="dxa"/>
            <w:shd w:val="clear" w:color="auto" w:fill="F2F2F2" w:themeFill="background1" w:themeFillShade="F2"/>
          </w:tcPr>
          <w:p w14:paraId="4092DB41" w14:textId="77777777" w:rsidR="00396A3A" w:rsidRPr="004F2343" w:rsidRDefault="00396A3A" w:rsidP="007C11C2">
            <w:pPr>
              <w:spacing w:line="276" w:lineRule="auto"/>
              <w:ind w:left="1134" w:right="-1" w:hanging="1134"/>
              <w:jc w:val="both"/>
              <w:rPr>
                <w:rFonts w:ascii="Calibri" w:hAnsi="Calibri"/>
                <w:b/>
                <w:sz w:val="21"/>
                <w:szCs w:val="21"/>
              </w:rPr>
            </w:pPr>
            <w:r w:rsidRPr="004F2343">
              <w:rPr>
                <w:rFonts w:ascii="Calibri" w:hAnsi="Calibri"/>
                <w:sz w:val="21"/>
                <w:szCs w:val="21"/>
              </w:rPr>
              <w:t xml:space="preserve">Provides for situations in which a court must impose a </w:t>
            </w:r>
            <w:r w:rsidRPr="004F2343">
              <w:rPr>
                <w:rFonts w:ascii="Calibri" w:hAnsi="Calibri"/>
                <w:b/>
                <w:sz w:val="21"/>
                <w:szCs w:val="21"/>
              </w:rPr>
              <w:t>non-parole period</w:t>
            </w:r>
            <w:r w:rsidRPr="004F2343">
              <w:rPr>
                <w:rFonts w:ascii="Calibri" w:hAnsi="Calibri"/>
                <w:sz w:val="21"/>
                <w:szCs w:val="21"/>
              </w:rPr>
              <w:t xml:space="preserve"> </w:t>
            </w:r>
          </w:p>
          <w:p w14:paraId="5CF214EB" w14:textId="77777777" w:rsidR="00396A3A" w:rsidRPr="004F2343" w:rsidRDefault="00396A3A" w:rsidP="007C11C2">
            <w:pPr>
              <w:spacing w:line="276" w:lineRule="auto"/>
              <w:ind w:left="1134" w:right="-1" w:hanging="1134"/>
              <w:jc w:val="both"/>
              <w:rPr>
                <w:rFonts w:ascii="Calibri" w:hAnsi="Calibri"/>
                <w:sz w:val="21"/>
                <w:szCs w:val="21"/>
              </w:rPr>
            </w:pPr>
          </w:p>
          <w:p w14:paraId="4E196013" w14:textId="77777777" w:rsidR="00396A3A" w:rsidRPr="004F2343" w:rsidRDefault="00290180" w:rsidP="00B90C24">
            <w:pPr>
              <w:spacing w:line="276" w:lineRule="auto"/>
              <w:ind w:left="884" w:right="-1" w:hanging="884"/>
              <w:jc w:val="both"/>
              <w:rPr>
                <w:rFonts w:ascii="Calibri" w:hAnsi="Calibri"/>
                <w:sz w:val="21"/>
                <w:szCs w:val="21"/>
              </w:rPr>
            </w:pPr>
            <w:r w:rsidRPr="004F2343">
              <w:rPr>
                <w:rFonts w:ascii="Calibri" w:hAnsi="Calibri"/>
                <w:sz w:val="21"/>
                <w:szCs w:val="21"/>
              </w:rPr>
              <w:t xml:space="preserve">s </w:t>
            </w:r>
            <w:r w:rsidR="00396A3A" w:rsidRPr="004F2343">
              <w:rPr>
                <w:rFonts w:ascii="Calibri" w:hAnsi="Calibri"/>
                <w:sz w:val="21"/>
                <w:szCs w:val="21"/>
              </w:rPr>
              <w:t xml:space="preserve">19AB(1) – where the period of imprisonment exceeds </w:t>
            </w:r>
            <w:r w:rsidR="00396A3A" w:rsidRPr="004F2343">
              <w:rPr>
                <w:rFonts w:ascii="Calibri" w:hAnsi="Calibri"/>
                <w:b/>
                <w:sz w:val="21"/>
                <w:szCs w:val="21"/>
              </w:rPr>
              <w:t>3 years</w:t>
            </w:r>
            <w:r w:rsidR="00396A3A" w:rsidRPr="004F2343">
              <w:rPr>
                <w:rFonts w:ascii="Calibri" w:hAnsi="Calibri"/>
                <w:sz w:val="21"/>
                <w:szCs w:val="21"/>
              </w:rPr>
              <w:t xml:space="preserve"> (i.e. 3 years and 1 day) and the offender is not undergoing a federal term of imprisonment, a single non-parole period must be imposed.</w:t>
            </w:r>
          </w:p>
          <w:p w14:paraId="72CD4C6A" w14:textId="77777777" w:rsidR="00396A3A" w:rsidRPr="004F2343" w:rsidRDefault="00290180" w:rsidP="007C11C2">
            <w:pPr>
              <w:spacing w:line="276" w:lineRule="auto"/>
              <w:ind w:left="1134" w:right="-1" w:hanging="1134"/>
              <w:jc w:val="both"/>
              <w:rPr>
                <w:rFonts w:ascii="Calibri" w:hAnsi="Calibri"/>
                <w:sz w:val="21"/>
                <w:szCs w:val="21"/>
              </w:rPr>
            </w:pPr>
            <w:r w:rsidRPr="004F2343">
              <w:rPr>
                <w:rFonts w:ascii="Calibri" w:hAnsi="Calibri"/>
                <w:sz w:val="21"/>
                <w:szCs w:val="21"/>
              </w:rPr>
              <w:t xml:space="preserve">s </w:t>
            </w:r>
            <w:r w:rsidR="00396A3A" w:rsidRPr="004F2343">
              <w:rPr>
                <w:rFonts w:ascii="Calibri" w:hAnsi="Calibri"/>
                <w:sz w:val="21"/>
                <w:szCs w:val="21"/>
              </w:rPr>
              <w:t>19AB(3</w:t>
            </w:r>
            <w:r w:rsidR="00213BC3" w:rsidRPr="004F2343">
              <w:rPr>
                <w:rFonts w:ascii="Calibri" w:hAnsi="Calibri"/>
                <w:sz w:val="21"/>
                <w:szCs w:val="21"/>
              </w:rPr>
              <w:t>) – court may decline to impose</w:t>
            </w:r>
            <w:r w:rsidR="00396A3A" w:rsidRPr="004F2343">
              <w:rPr>
                <w:rFonts w:ascii="Calibri" w:hAnsi="Calibri"/>
                <w:sz w:val="21"/>
                <w:szCs w:val="21"/>
              </w:rPr>
              <w:t xml:space="preserve"> a non-parole period on certain grounds </w:t>
            </w:r>
          </w:p>
          <w:p w14:paraId="2725965D" w14:textId="77777777" w:rsidR="00396A3A" w:rsidRPr="004F2343" w:rsidRDefault="00290180" w:rsidP="007C11C2">
            <w:pPr>
              <w:spacing w:line="276" w:lineRule="auto"/>
              <w:ind w:left="1134" w:right="-1" w:hanging="1134"/>
              <w:jc w:val="both"/>
              <w:rPr>
                <w:rFonts w:ascii="Calibri" w:hAnsi="Calibri"/>
                <w:sz w:val="21"/>
                <w:szCs w:val="21"/>
              </w:rPr>
            </w:pPr>
            <w:r w:rsidRPr="004F2343">
              <w:rPr>
                <w:rFonts w:ascii="Calibri" w:hAnsi="Calibri"/>
                <w:sz w:val="21"/>
                <w:szCs w:val="21"/>
              </w:rPr>
              <w:t xml:space="preserve">s </w:t>
            </w:r>
            <w:r w:rsidR="00396A3A" w:rsidRPr="004F2343">
              <w:rPr>
                <w:rFonts w:ascii="Calibri" w:hAnsi="Calibri"/>
                <w:sz w:val="21"/>
                <w:szCs w:val="21"/>
              </w:rPr>
              <w:t>19AB(4) – court must give reas</w:t>
            </w:r>
            <w:r w:rsidR="00213BC3" w:rsidRPr="004F2343">
              <w:rPr>
                <w:rFonts w:ascii="Calibri" w:hAnsi="Calibri"/>
                <w:sz w:val="21"/>
                <w:szCs w:val="21"/>
              </w:rPr>
              <w:t>ons for failing to impose a non-</w:t>
            </w:r>
            <w:r w:rsidR="00396A3A" w:rsidRPr="004F2343">
              <w:rPr>
                <w:rFonts w:ascii="Calibri" w:hAnsi="Calibri"/>
                <w:sz w:val="21"/>
                <w:szCs w:val="21"/>
              </w:rPr>
              <w:t>parole period.</w:t>
            </w:r>
          </w:p>
          <w:p w14:paraId="6806454D" w14:textId="77777777" w:rsidR="00396A3A" w:rsidRPr="004F2343" w:rsidRDefault="00396A3A" w:rsidP="007C11C2">
            <w:pPr>
              <w:spacing w:line="276" w:lineRule="auto"/>
              <w:ind w:left="1134" w:right="-1" w:hanging="1134"/>
              <w:jc w:val="both"/>
              <w:rPr>
                <w:rFonts w:ascii="Calibri" w:hAnsi="Calibri"/>
                <w:sz w:val="21"/>
                <w:szCs w:val="21"/>
              </w:rPr>
            </w:pPr>
          </w:p>
        </w:tc>
      </w:tr>
      <w:tr w:rsidR="00396A3A" w:rsidRPr="004F2343" w14:paraId="5223AA07" w14:textId="77777777" w:rsidTr="00CD5338">
        <w:trPr>
          <w:cantSplit/>
        </w:trPr>
        <w:tc>
          <w:tcPr>
            <w:tcW w:w="1276" w:type="dxa"/>
            <w:shd w:val="clear" w:color="auto" w:fill="F2F2F2" w:themeFill="background1" w:themeFillShade="F2"/>
          </w:tcPr>
          <w:p w14:paraId="5B7D16E3"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19AD</w:t>
            </w:r>
          </w:p>
        </w:tc>
        <w:tc>
          <w:tcPr>
            <w:tcW w:w="8221" w:type="dxa"/>
            <w:shd w:val="clear" w:color="auto" w:fill="F2F2F2" w:themeFill="background1" w:themeFillShade="F2"/>
          </w:tcPr>
          <w:p w14:paraId="68E3EB70" w14:textId="468FA234" w:rsidR="00396A3A"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This section is relevant where the offender is a</w:t>
            </w:r>
            <w:r w:rsidR="00213BC3" w:rsidRPr="004F2343">
              <w:rPr>
                <w:rFonts w:ascii="Calibri" w:hAnsi="Calibri"/>
                <w:sz w:val="21"/>
                <w:szCs w:val="21"/>
              </w:rPr>
              <w:t>lready subject to a federal non-</w:t>
            </w:r>
            <w:r w:rsidRPr="004F2343">
              <w:rPr>
                <w:rFonts w:ascii="Calibri" w:hAnsi="Calibri"/>
                <w:sz w:val="21"/>
                <w:szCs w:val="21"/>
              </w:rPr>
              <w:t xml:space="preserve">parole period when sentenced but is qualified by s 19AG in relation to </w:t>
            </w:r>
            <w:r w:rsidR="00770860" w:rsidRPr="004F2343">
              <w:rPr>
                <w:rFonts w:ascii="Calibri" w:hAnsi="Calibri"/>
                <w:sz w:val="21"/>
                <w:szCs w:val="21"/>
              </w:rPr>
              <w:t>sentencing for terrorism offences and certain other national security offences</w:t>
            </w:r>
            <w:r w:rsidRPr="004F2343">
              <w:rPr>
                <w:rFonts w:ascii="Calibri" w:hAnsi="Calibri"/>
                <w:sz w:val="21"/>
                <w:szCs w:val="21"/>
              </w:rPr>
              <w:t>.</w:t>
            </w:r>
          </w:p>
          <w:p w14:paraId="0ACC13E3" w14:textId="77777777" w:rsidR="00396A3A" w:rsidRPr="004F2343" w:rsidRDefault="00396A3A" w:rsidP="007C11C2">
            <w:pPr>
              <w:spacing w:line="276" w:lineRule="auto"/>
              <w:ind w:left="1134" w:right="-1" w:hanging="1134"/>
              <w:jc w:val="both"/>
              <w:rPr>
                <w:rFonts w:ascii="Calibri" w:hAnsi="Calibri"/>
                <w:sz w:val="21"/>
                <w:szCs w:val="21"/>
              </w:rPr>
            </w:pPr>
          </w:p>
        </w:tc>
      </w:tr>
      <w:tr w:rsidR="00396A3A" w:rsidRPr="004F2343" w14:paraId="754BF67F" w14:textId="77777777" w:rsidTr="00CD5338">
        <w:trPr>
          <w:cantSplit/>
        </w:trPr>
        <w:tc>
          <w:tcPr>
            <w:tcW w:w="1276" w:type="dxa"/>
            <w:shd w:val="clear" w:color="auto" w:fill="F2F2F2" w:themeFill="background1" w:themeFillShade="F2"/>
          </w:tcPr>
          <w:p w14:paraId="3D3EC215"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 xml:space="preserve">19AC </w:t>
            </w:r>
          </w:p>
        </w:tc>
        <w:tc>
          <w:tcPr>
            <w:tcW w:w="8221" w:type="dxa"/>
            <w:shd w:val="clear" w:color="auto" w:fill="F2F2F2" w:themeFill="background1" w:themeFillShade="F2"/>
          </w:tcPr>
          <w:p w14:paraId="2BA87CEB" w14:textId="75D9A983" w:rsidR="00396A3A" w:rsidRPr="004F2343" w:rsidRDefault="00396A3A" w:rsidP="007C11C2">
            <w:pPr>
              <w:spacing w:line="276" w:lineRule="auto"/>
              <w:ind w:left="1134" w:right="-1" w:hanging="1134"/>
              <w:jc w:val="both"/>
              <w:rPr>
                <w:rFonts w:ascii="Calibri" w:hAnsi="Calibri"/>
                <w:b/>
                <w:sz w:val="21"/>
                <w:szCs w:val="21"/>
              </w:rPr>
            </w:pPr>
            <w:r w:rsidRPr="004F2343">
              <w:rPr>
                <w:rFonts w:ascii="Calibri" w:hAnsi="Calibri"/>
                <w:sz w:val="21"/>
                <w:szCs w:val="21"/>
              </w:rPr>
              <w:t xml:space="preserve">Provides for situations in which a court must fix a </w:t>
            </w:r>
            <w:r w:rsidR="00A53DA1" w:rsidRPr="004F2343">
              <w:rPr>
                <w:rFonts w:ascii="Calibri" w:hAnsi="Calibri"/>
                <w:b/>
                <w:sz w:val="21"/>
                <w:szCs w:val="21"/>
              </w:rPr>
              <w:t>recognizance</w:t>
            </w:r>
            <w:r w:rsidRPr="004F2343">
              <w:rPr>
                <w:rFonts w:ascii="Calibri" w:hAnsi="Calibri"/>
                <w:b/>
                <w:sz w:val="21"/>
                <w:szCs w:val="21"/>
              </w:rPr>
              <w:t xml:space="preserve"> release order (RRO)</w:t>
            </w:r>
          </w:p>
          <w:p w14:paraId="79CCFC50" w14:textId="77777777" w:rsidR="00396A3A" w:rsidRPr="004F2343" w:rsidRDefault="00396A3A" w:rsidP="007C11C2">
            <w:pPr>
              <w:spacing w:line="276" w:lineRule="auto"/>
              <w:ind w:left="1134" w:right="-1" w:hanging="1134"/>
              <w:jc w:val="both"/>
              <w:rPr>
                <w:rFonts w:ascii="Calibri" w:hAnsi="Calibri"/>
                <w:b/>
                <w:sz w:val="21"/>
                <w:szCs w:val="21"/>
              </w:rPr>
            </w:pPr>
          </w:p>
          <w:p w14:paraId="47F88B10" w14:textId="5FBF1D31" w:rsidR="00396A3A" w:rsidRPr="004F2343" w:rsidRDefault="00290180" w:rsidP="007C11C2">
            <w:pPr>
              <w:spacing w:line="276" w:lineRule="auto"/>
              <w:ind w:left="1134" w:right="-1" w:hanging="1134"/>
              <w:jc w:val="both"/>
              <w:rPr>
                <w:rFonts w:ascii="Calibri" w:hAnsi="Calibri"/>
                <w:sz w:val="21"/>
                <w:szCs w:val="21"/>
              </w:rPr>
            </w:pPr>
            <w:r w:rsidRPr="004F2343">
              <w:rPr>
                <w:rFonts w:ascii="Calibri" w:hAnsi="Calibri"/>
                <w:sz w:val="21"/>
                <w:szCs w:val="21"/>
              </w:rPr>
              <w:t xml:space="preserve">s </w:t>
            </w:r>
            <w:r w:rsidR="00396A3A" w:rsidRPr="004F2343">
              <w:rPr>
                <w:rFonts w:ascii="Calibri" w:hAnsi="Calibri"/>
                <w:sz w:val="21"/>
                <w:szCs w:val="21"/>
              </w:rPr>
              <w:t xml:space="preserve">19AC(1) – where the period of imprisonment does </w:t>
            </w:r>
            <w:r w:rsidR="00396A3A" w:rsidRPr="004F2343">
              <w:rPr>
                <w:rFonts w:ascii="Calibri" w:hAnsi="Calibri"/>
                <w:b/>
                <w:sz w:val="21"/>
                <w:szCs w:val="21"/>
              </w:rPr>
              <w:t>not exceed 3 years</w:t>
            </w:r>
            <w:r w:rsidR="00396A3A" w:rsidRPr="004F2343">
              <w:rPr>
                <w:rFonts w:ascii="Calibri" w:hAnsi="Calibri"/>
                <w:sz w:val="21"/>
                <w:szCs w:val="21"/>
              </w:rPr>
              <w:t xml:space="preserve"> must make </w:t>
            </w:r>
            <w:r w:rsidR="00260486" w:rsidRPr="004F2343">
              <w:rPr>
                <w:rFonts w:ascii="Calibri" w:hAnsi="Calibri"/>
                <w:sz w:val="21"/>
                <w:szCs w:val="21"/>
              </w:rPr>
              <w:t>a RRO</w:t>
            </w:r>
            <w:r w:rsidR="00396A3A" w:rsidRPr="004F2343">
              <w:rPr>
                <w:rFonts w:ascii="Calibri" w:hAnsi="Calibri"/>
                <w:sz w:val="21"/>
                <w:szCs w:val="21"/>
              </w:rPr>
              <w:t>;</w:t>
            </w:r>
          </w:p>
          <w:p w14:paraId="24FBC459" w14:textId="77777777" w:rsidR="00396A3A" w:rsidRPr="004F2343" w:rsidRDefault="00396A3A" w:rsidP="007C11C2">
            <w:pPr>
              <w:spacing w:line="276" w:lineRule="auto"/>
              <w:ind w:left="1134" w:right="-1" w:hanging="1134"/>
              <w:jc w:val="both"/>
              <w:rPr>
                <w:rFonts w:ascii="Calibri" w:hAnsi="Calibri"/>
                <w:sz w:val="21"/>
                <w:szCs w:val="21"/>
              </w:rPr>
            </w:pPr>
          </w:p>
          <w:p w14:paraId="69A85482" w14:textId="5982B3E3" w:rsidR="00396A3A" w:rsidRPr="004F2343" w:rsidRDefault="00290180" w:rsidP="007C11C2">
            <w:pPr>
              <w:spacing w:line="276" w:lineRule="auto"/>
              <w:ind w:left="1134" w:right="-1" w:hanging="1134"/>
              <w:jc w:val="both"/>
              <w:rPr>
                <w:rFonts w:ascii="Calibri" w:hAnsi="Calibri"/>
                <w:sz w:val="21"/>
                <w:szCs w:val="21"/>
              </w:rPr>
            </w:pPr>
            <w:r w:rsidRPr="004F2343">
              <w:rPr>
                <w:rFonts w:ascii="Calibri" w:hAnsi="Calibri"/>
                <w:sz w:val="21"/>
                <w:szCs w:val="21"/>
              </w:rPr>
              <w:t xml:space="preserve">s </w:t>
            </w:r>
            <w:r w:rsidR="00396A3A" w:rsidRPr="004F2343">
              <w:rPr>
                <w:rFonts w:ascii="Calibri" w:hAnsi="Calibri"/>
                <w:sz w:val="21"/>
                <w:szCs w:val="21"/>
              </w:rPr>
              <w:t xml:space="preserve">19AC(3) – where period of imprisonment is </w:t>
            </w:r>
            <w:r w:rsidR="00396A3A" w:rsidRPr="004F2343">
              <w:rPr>
                <w:rFonts w:ascii="Calibri" w:hAnsi="Calibri"/>
                <w:b/>
                <w:sz w:val="21"/>
                <w:szCs w:val="21"/>
              </w:rPr>
              <w:t>under 6 months</w:t>
            </w:r>
            <w:r w:rsidR="00396A3A" w:rsidRPr="004F2343">
              <w:rPr>
                <w:rFonts w:ascii="Calibri" w:hAnsi="Calibri"/>
                <w:sz w:val="21"/>
                <w:szCs w:val="21"/>
              </w:rPr>
              <w:t xml:space="preserve"> not require</w:t>
            </w:r>
            <w:r w:rsidR="00C331F8" w:rsidRPr="004F2343">
              <w:rPr>
                <w:rFonts w:ascii="Calibri" w:hAnsi="Calibri"/>
                <w:sz w:val="21"/>
                <w:szCs w:val="21"/>
              </w:rPr>
              <w:t>d</w:t>
            </w:r>
            <w:r w:rsidR="00396A3A" w:rsidRPr="004F2343">
              <w:rPr>
                <w:rFonts w:ascii="Calibri" w:hAnsi="Calibri"/>
                <w:sz w:val="21"/>
                <w:szCs w:val="21"/>
              </w:rPr>
              <w:t xml:space="preserve"> to make </w:t>
            </w:r>
            <w:r w:rsidR="00260486" w:rsidRPr="004F2343">
              <w:rPr>
                <w:rFonts w:ascii="Calibri" w:hAnsi="Calibri"/>
                <w:sz w:val="21"/>
                <w:szCs w:val="21"/>
              </w:rPr>
              <w:t>a RRO</w:t>
            </w:r>
            <w:r w:rsidR="00396A3A" w:rsidRPr="004F2343">
              <w:rPr>
                <w:rFonts w:ascii="Calibri" w:hAnsi="Calibri"/>
                <w:sz w:val="21"/>
                <w:szCs w:val="21"/>
              </w:rPr>
              <w:t>;</w:t>
            </w:r>
          </w:p>
          <w:p w14:paraId="79BEF8AF" w14:textId="77777777" w:rsidR="00396A3A" w:rsidRPr="004F2343" w:rsidRDefault="00396A3A" w:rsidP="007C11C2">
            <w:pPr>
              <w:spacing w:line="276" w:lineRule="auto"/>
              <w:ind w:left="1134" w:right="-1" w:hanging="1134"/>
              <w:jc w:val="both"/>
              <w:rPr>
                <w:rFonts w:ascii="Calibri" w:hAnsi="Calibri"/>
                <w:sz w:val="21"/>
                <w:szCs w:val="21"/>
              </w:rPr>
            </w:pPr>
          </w:p>
          <w:p w14:paraId="2E573C46" w14:textId="77777777" w:rsidR="00396A3A" w:rsidRPr="004F2343" w:rsidRDefault="00290180" w:rsidP="007C11C2">
            <w:pPr>
              <w:spacing w:line="276" w:lineRule="auto"/>
              <w:ind w:left="34" w:right="-1" w:hanging="34"/>
              <w:jc w:val="both"/>
              <w:rPr>
                <w:rFonts w:ascii="Calibri" w:hAnsi="Calibri"/>
                <w:sz w:val="21"/>
                <w:szCs w:val="21"/>
              </w:rPr>
            </w:pPr>
            <w:r w:rsidRPr="004F2343">
              <w:rPr>
                <w:rFonts w:ascii="Calibri" w:hAnsi="Calibri"/>
                <w:sz w:val="21"/>
                <w:szCs w:val="21"/>
              </w:rPr>
              <w:t xml:space="preserve">s </w:t>
            </w:r>
            <w:r w:rsidR="00396A3A" w:rsidRPr="004F2343">
              <w:rPr>
                <w:rFonts w:ascii="Calibri" w:hAnsi="Calibri"/>
                <w:sz w:val="21"/>
                <w:szCs w:val="21"/>
              </w:rPr>
              <w:t xml:space="preserve">19AC(4) - Court may decline to impose a RRO where it is otherwise required to do so having regard to the nature and circumstances of the offence(s) and to the antecedents – see </w:t>
            </w:r>
            <w:r w:rsidR="00396A3A" w:rsidRPr="004F2343">
              <w:rPr>
                <w:rFonts w:ascii="Calibri" w:hAnsi="Calibri"/>
                <w:i/>
                <w:sz w:val="21"/>
                <w:szCs w:val="21"/>
              </w:rPr>
              <w:t>Hancock v R</w:t>
            </w:r>
            <w:r w:rsidR="00396A3A" w:rsidRPr="004F2343">
              <w:rPr>
                <w:rFonts w:ascii="Calibri" w:hAnsi="Calibri"/>
                <w:sz w:val="21"/>
                <w:szCs w:val="21"/>
              </w:rPr>
              <w:t xml:space="preserve"> [2012] NSWCCA 200</w:t>
            </w:r>
            <w:r w:rsidR="00C331F8" w:rsidRPr="004F2343">
              <w:rPr>
                <w:rFonts w:ascii="Calibri" w:hAnsi="Calibri"/>
                <w:sz w:val="21"/>
                <w:szCs w:val="21"/>
              </w:rPr>
              <w:t>,</w:t>
            </w:r>
            <w:r w:rsidR="00BA2B0B" w:rsidRPr="004F2343">
              <w:rPr>
                <w:rFonts w:ascii="Calibri" w:hAnsi="Calibri"/>
                <w:sz w:val="21"/>
                <w:szCs w:val="21"/>
              </w:rPr>
              <w:fldChar w:fldCharType="begin"/>
            </w:r>
            <w:r w:rsidR="009674F9" w:rsidRPr="004F2343">
              <w:rPr>
                <w:rFonts w:ascii="Calibri" w:hAnsi="Calibri"/>
              </w:rPr>
              <w:instrText xml:space="preserve"> TA \s "Hancock v R [2012] NSWCCA 200" </w:instrText>
            </w:r>
            <w:r w:rsidR="00BA2B0B" w:rsidRPr="004F2343">
              <w:rPr>
                <w:rFonts w:ascii="Calibri" w:hAnsi="Calibri"/>
                <w:sz w:val="21"/>
                <w:szCs w:val="21"/>
              </w:rPr>
              <w:fldChar w:fldCharType="end"/>
            </w:r>
            <w:r w:rsidR="00396A3A" w:rsidRPr="004F2343">
              <w:rPr>
                <w:rFonts w:ascii="Calibri" w:hAnsi="Calibri"/>
                <w:sz w:val="21"/>
                <w:szCs w:val="21"/>
              </w:rPr>
              <w:t xml:space="preserve"> [45]-[51]. Where the court considers that this is not appropriate reasons are to be stated and recorded in the court records.</w:t>
            </w:r>
          </w:p>
          <w:p w14:paraId="63B01614" w14:textId="77777777" w:rsidR="00396A3A" w:rsidRPr="004F2343" w:rsidRDefault="00396A3A" w:rsidP="007C11C2">
            <w:pPr>
              <w:spacing w:line="276" w:lineRule="auto"/>
              <w:ind w:left="1134" w:right="-1" w:hanging="1134"/>
              <w:jc w:val="both"/>
              <w:rPr>
                <w:rFonts w:ascii="Calibri" w:hAnsi="Calibri"/>
                <w:sz w:val="21"/>
                <w:szCs w:val="21"/>
              </w:rPr>
            </w:pPr>
          </w:p>
        </w:tc>
      </w:tr>
      <w:tr w:rsidR="00396A3A" w:rsidRPr="004F2343" w14:paraId="27349230" w14:textId="77777777" w:rsidTr="00CD5338">
        <w:trPr>
          <w:cantSplit/>
        </w:trPr>
        <w:tc>
          <w:tcPr>
            <w:tcW w:w="1276" w:type="dxa"/>
            <w:shd w:val="clear" w:color="auto" w:fill="F2F2F2" w:themeFill="background1" w:themeFillShade="F2"/>
          </w:tcPr>
          <w:p w14:paraId="7E3C624A"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19AE</w:t>
            </w:r>
          </w:p>
        </w:tc>
        <w:tc>
          <w:tcPr>
            <w:tcW w:w="8221" w:type="dxa"/>
            <w:shd w:val="clear" w:color="auto" w:fill="F2F2F2" w:themeFill="background1" w:themeFillShade="F2"/>
          </w:tcPr>
          <w:p w14:paraId="6D93B055" w14:textId="0F4E7D4F" w:rsidR="00396A3A" w:rsidRPr="004F2343" w:rsidRDefault="00396A3A" w:rsidP="007C11C2">
            <w:pPr>
              <w:spacing w:line="276" w:lineRule="auto"/>
              <w:ind w:right="-1"/>
              <w:jc w:val="both"/>
              <w:rPr>
                <w:rFonts w:ascii="Calibri" w:hAnsi="Calibri"/>
                <w:sz w:val="21"/>
                <w:szCs w:val="21"/>
              </w:rPr>
            </w:pPr>
            <w:r w:rsidRPr="004F2343">
              <w:rPr>
                <w:rFonts w:ascii="Calibri" w:hAnsi="Calibri"/>
                <w:sz w:val="21"/>
                <w:szCs w:val="21"/>
              </w:rPr>
              <w:t xml:space="preserve">This section is relevant where the offender is already subject to a federal </w:t>
            </w:r>
            <w:r w:rsidR="00A53DA1" w:rsidRPr="004F2343">
              <w:rPr>
                <w:rFonts w:ascii="Calibri" w:hAnsi="Calibri"/>
                <w:sz w:val="21"/>
                <w:szCs w:val="21"/>
              </w:rPr>
              <w:t>recognizance</w:t>
            </w:r>
            <w:r w:rsidRPr="004F2343">
              <w:rPr>
                <w:rFonts w:ascii="Calibri" w:hAnsi="Calibri"/>
                <w:sz w:val="21"/>
                <w:szCs w:val="21"/>
              </w:rPr>
              <w:t xml:space="preserve"> release order when sentenced but it is qualified by s 19AG in relation to sentences for </w:t>
            </w:r>
            <w:r w:rsidR="002F7698" w:rsidRPr="004F2343">
              <w:rPr>
                <w:rFonts w:ascii="Calibri" w:hAnsi="Calibri"/>
                <w:sz w:val="21"/>
                <w:szCs w:val="21"/>
              </w:rPr>
              <w:t xml:space="preserve">national security offences (including </w:t>
            </w:r>
            <w:r w:rsidRPr="004F2343">
              <w:rPr>
                <w:rFonts w:ascii="Calibri" w:hAnsi="Calibri"/>
                <w:sz w:val="21"/>
                <w:szCs w:val="21"/>
              </w:rPr>
              <w:t>terrorism, treason or espionage</w:t>
            </w:r>
            <w:r w:rsidR="002F7698" w:rsidRPr="004F2343">
              <w:rPr>
                <w:rFonts w:ascii="Calibri" w:hAnsi="Calibri"/>
                <w:sz w:val="21"/>
                <w:szCs w:val="21"/>
              </w:rPr>
              <w:t>)</w:t>
            </w:r>
            <w:r w:rsidRPr="004F2343">
              <w:rPr>
                <w:rFonts w:ascii="Calibri" w:hAnsi="Calibri"/>
                <w:sz w:val="21"/>
                <w:szCs w:val="21"/>
              </w:rPr>
              <w:t>.</w:t>
            </w:r>
          </w:p>
          <w:p w14:paraId="55E0AC08" w14:textId="77777777" w:rsidR="00396A3A" w:rsidRPr="004F2343" w:rsidRDefault="00396A3A" w:rsidP="007C11C2">
            <w:pPr>
              <w:spacing w:line="276" w:lineRule="auto"/>
              <w:ind w:right="-1"/>
              <w:jc w:val="both"/>
              <w:rPr>
                <w:rFonts w:ascii="Calibri" w:hAnsi="Calibri"/>
                <w:sz w:val="21"/>
                <w:szCs w:val="21"/>
              </w:rPr>
            </w:pPr>
          </w:p>
        </w:tc>
      </w:tr>
      <w:tr w:rsidR="00396A3A" w:rsidRPr="004F2343" w14:paraId="67C6CC46" w14:textId="77777777" w:rsidTr="00CD5338">
        <w:trPr>
          <w:cantSplit/>
        </w:trPr>
        <w:tc>
          <w:tcPr>
            <w:tcW w:w="1276" w:type="dxa"/>
            <w:shd w:val="clear" w:color="auto" w:fill="F2F2F2" w:themeFill="background1" w:themeFillShade="F2"/>
          </w:tcPr>
          <w:p w14:paraId="26D908C4"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19AJ</w:t>
            </w:r>
          </w:p>
        </w:tc>
        <w:tc>
          <w:tcPr>
            <w:tcW w:w="8221" w:type="dxa"/>
            <w:shd w:val="clear" w:color="auto" w:fill="F2F2F2" w:themeFill="background1" w:themeFillShade="F2"/>
          </w:tcPr>
          <w:p w14:paraId="6F320C0F" w14:textId="7752ACE9" w:rsidR="00396A3A"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Separate sentences must be imposed for federal/</w:t>
            </w:r>
            <w:r w:rsidR="000B733F" w:rsidRPr="004F2343">
              <w:rPr>
                <w:rFonts w:ascii="Calibri" w:hAnsi="Calibri"/>
                <w:sz w:val="21"/>
                <w:szCs w:val="21"/>
              </w:rPr>
              <w:t>State</w:t>
            </w:r>
            <w:r w:rsidRPr="004F2343">
              <w:rPr>
                <w:rFonts w:ascii="Calibri" w:hAnsi="Calibri"/>
                <w:sz w:val="21"/>
                <w:szCs w:val="21"/>
              </w:rPr>
              <w:t xml:space="preserve"> offences. That is</w:t>
            </w:r>
            <w:r w:rsidR="00306B7E" w:rsidRPr="004F2343">
              <w:rPr>
                <w:rFonts w:ascii="Calibri" w:hAnsi="Calibri"/>
                <w:sz w:val="21"/>
                <w:szCs w:val="21"/>
              </w:rPr>
              <w:t>,</w:t>
            </w:r>
            <w:r w:rsidRPr="004F2343">
              <w:rPr>
                <w:rFonts w:ascii="Calibri" w:hAnsi="Calibri"/>
                <w:sz w:val="21"/>
                <w:szCs w:val="21"/>
              </w:rPr>
              <w:t xml:space="preserve"> a single sentence cannot be imposed for both </w:t>
            </w:r>
            <w:r w:rsidR="000B733F" w:rsidRPr="004F2343">
              <w:rPr>
                <w:rFonts w:ascii="Calibri" w:hAnsi="Calibri"/>
                <w:sz w:val="21"/>
                <w:szCs w:val="21"/>
              </w:rPr>
              <w:t>State</w:t>
            </w:r>
            <w:r w:rsidRPr="004F2343">
              <w:rPr>
                <w:rFonts w:ascii="Calibri" w:hAnsi="Calibri"/>
                <w:sz w:val="21"/>
                <w:szCs w:val="21"/>
              </w:rPr>
              <w:t xml:space="preserve"> and federal offences.</w:t>
            </w:r>
          </w:p>
          <w:p w14:paraId="6E0598E0" w14:textId="77777777" w:rsidR="00396A3A" w:rsidRPr="004F2343" w:rsidRDefault="00396A3A" w:rsidP="00B90C24">
            <w:pPr>
              <w:spacing w:line="276" w:lineRule="auto"/>
              <w:ind w:left="34" w:right="-1"/>
              <w:jc w:val="both"/>
              <w:rPr>
                <w:rFonts w:ascii="Calibri" w:hAnsi="Calibri"/>
                <w:sz w:val="21"/>
                <w:szCs w:val="21"/>
              </w:rPr>
            </w:pPr>
          </w:p>
        </w:tc>
      </w:tr>
      <w:tr w:rsidR="00396A3A" w:rsidRPr="004F2343" w14:paraId="23240604" w14:textId="77777777" w:rsidTr="00CD5338">
        <w:trPr>
          <w:cantSplit/>
        </w:trPr>
        <w:tc>
          <w:tcPr>
            <w:tcW w:w="1276" w:type="dxa"/>
            <w:shd w:val="clear" w:color="auto" w:fill="F2F2F2" w:themeFill="background1" w:themeFillShade="F2"/>
          </w:tcPr>
          <w:p w14:paraId="50977FDB"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19AK</w:t>
            </w:r>
          </w:p>
        </w:tc>
        <w:tc>
          <w:tcPr>
            <w:tcW w:w="8221" w:type="dxa"/>
            <w:shd w:val="clear" w:color="auto" w:fill="F2F2F2" w:themeFill="background1" w:themeFillShade="F2"/>
          </w:tcPr>
          <w:p w14:paraId="5F10DA03" w14:textId="77777777" w:rsidR="00396A3A"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A court is no</w:t>
            </w:r>
            <w:r w:rsidR="00C331F8" w:rsidRPr="004F2343">
              <w:rPr>
                <w:rFonts w:ascii="Calibri" w:hAnsi="Calibri"/>
                <w:sz w:val="21"/>
                <w:szCs w:val="21"/>
              </w:rPr>
              <w:t>t precluded from imposing a non-</w:t>
            </w:r>
            <w:r w:rsidRPr="004F2343">
              <w:rPr>
                <w:rFonts w:ascii="Calibri" w:hAnsi="Calibri"/>
                <w:sz w:val="21"/>
                <w:szCs w:val="21"/>
              </w:rPr>
              <w:t>parole period merely because the offender is liable to be deported.</w:t>
            </w:r>
          </w:p>
          <w:p w14:paraId="24887CAF" w14:textId="77777777" w:rsidR="00396A3A" w:rsidRPr="004F2343" w:rsidRDefault="00396A3A" w:rsidP="00B90C24">
            <w:pPr>
              <w:spacing w:line="276" w:lineRule="auto"/>
              <w:ind w:left="34" w:right="-1"/>
              <w:jc w:val="both"/>
              <w:rPr>
                <w:rFonts w:ascii="Calibri" w:hAnsi="Calibri"/>
                <w:sz w:val="21"/>
                <w:szCs w:val="21"/>
              </w:rPr>
            </w:pPr>
          </w:p>
        </w:tc>
      </w:tr>
      <w:tr w:rsidR="00396A3A" w:rsidRPr="004F2343" w14:paraId="24B86826" w14:textId="77777777" w:rsidTr="00CD5338">
        <w:trPr>
          <w:cantSplit/>
        </w:trPr>
        <w:tc>
          <w:tcPr>
            <w:tcW w:w="1276" w:type="dxa"/>
            <w:shd w:val="clear" w:color="auto" w:fill="F2F2F2" w:themeFill="background1" w:themeFillShade="F2"/>
          </w:tcPr>
          <w:p w14:paraId="38078306"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19AQ</w:t>
            </w:r>
          </w:p>
        </w:tc>
        <w:tc>
          <w:tcPr>
            <w:tcW w:w="8221" w:type="dxa"/>
            <w:shd w:val="clear" w:color="auto" w:fill="F2F2F2" w:themeFill="background1" w:themeFillShade="F2"/>
          </w:tcPr>
          <w:p w14:paraId="133A402B" w14:textId="12D55228" w:rsidR="00396A3A"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 xml:space="preserve">Deals with the situation where a federal parole order or licence is automatically revoked by the imposition of a sentence or sentences of more than 3 months – see </w:t>
            </w:r>
            <w:r w:rsidR="00306B7E" w:rsidRPr="004F2343">
              <w:rPr>
                <w:rFonts w:ascii="Calibri" w:hAnsi="Calibri" w:cstheme="minorHAnsi"/>
                <w:i/>
              </w:rPr>
              <w:t>R v Novak</w:t>
            </w:r>
            <w:r w:rsidR="00306B7E" w:rsidRPr="004F2343">
              <w:rPr>
                <w:rFonts w:ascii="Calibri" w:hAnsi="Calibri" w:cstheme="minorHAnsi"/>
              </w:rPr>
              <w:t xml:space="preserve"> [2003] VSCA 46</w:t>
            </w:r>
            <w:r w:rsidR="00306B7E" w:rsidRPr="004F2343">
              <w:rPr>
                <w:rFonts w:ascii="Calibri" w:hAnsi="Calibri" w:cstheme="minorHAnsi"/>
              </w:rPr>
              <w:fldChar w:fldCharType="begin"/>
            </w:r>
            <w:r w:rsidR="00306B7E" w:rsidRPr="004F2343">
              <w:rPr>
                <w:rFonts w:ascii="Calibri" w:hAnsi="Calibri" w:cstheme="minorHAnsi"/>
              </w:rPr>
              <w:instrText xml:space="preserve"> TA \s "R v Novak [2003] VSCA 46" </w:instrText>
            </w:r>
            <w:r w:rsidR="00306B7E" w:rsidRPr="004F2343">
              <w:rPr>
                <w:rFonts w:ascii="Calibri" w:hAnsi="Calibri" w:cstheme="minorHAnsi"/>
              </w:rPr>
              <w:fldChar w:fldCharType="end"/>
            </w:r>
            <w:r w:rsidRPr="004F2343">
              <w:rPr>
                <w:rFonts w:ascii="Calibri" w:hAnsi="Calibri"/>
                <w:sz w:val="21"/>
                <w:szCs w:val="21"/>
              </w:rPr>
              <w:t xml:space="preserve"> and </w:t>
            </w:r>
            <w:r w:rsidRPr="004F2343">
              <w:rPr>
                <w:rFonts w:ascii="Calibri" w:hAnsi="Calibri"/>
                <w:i/>
                <w:sz w:val="21"/>
                <w:szCs w:val="21"/>
              </w:rPr>
              <w:t>R v Piacentino</w:t>
            </w:r>
            <w:r w:rsidRPr="004F2343">
              <w:rPr>
                <w:rFonts w:ascii="Calibri" w:hAnsi="Calibri"/>
                <w:sz w:val="21"/>
                <w:szCs w:val="21"/>
              </w:rPr>
              <w:t xml:space="preserve"> </w:t>
            </w:r>
            <w:r w:rsidR="00306B7E" w:rsidRPr="004F2343">
              <w:rPr>
                <w:rFonts w:ascii="Calibri" w:hAnsi="Calibri"/>
                <w:sz w:val="21"/>
                <w:szCs w:val="21"/>
              </w:rPr>
              <w:t>(</w:t>
            </w:r>
            <w:r w:rsidRPr="004F2343">
              <w:rPr>
                <w:rFonts w:ascii="Calibri" w:hAnsi="Calibri"/>
                <w:sz w:val="21"/>
                <w:szCs w:val="21"/>
              </w:rPr>
              <w:t>2007</w:t>
            </w:r>
            <w:r w:rsidR="00306B7E" w:rsidRPr="004F2343">
              <w:rPr>
                <w:rFonts w:ascii="Calibri" w:hAnsi="Calibri"/>
                <w:sz w:val="21"/>
                <w:szCs w:val="21"/>
              </w:rPr>
              <w:t>)</w:t>
            </w:r>
            <w:r w:rsidRPr="004F2343">
              <w:rPr>
                <w:rFonts w:ascii="Calibri" w:hAnsi="Calibri"/>
                <w:sz w:val="21"/>
                <w:szCs w:val="21"/>
              </w:rPr>
              <w:t xml:space="preserve"> 15 VR 501</w:t>
            </w:r>
            <w:r w:rsidR="00306B7E" w:rsidRPr="004F2343">
              <w:rPr>
                <w:rFonts w:ascii="Calibri" w:hAnsi="Calibri"/>
                <w:sz w:val="21"/>
                <w:szCs w:val="21"/>
              </w:rPr>
              <w:fldChar w:fldCharType="begin"/>
            </w:r>
            <w:r w:rsidR="00306B7E" w:rsidRPr="00EB7F1E">
              <w:rPr>
                <w:rFonts w:ascii="Calibri" w:hAnsi="Calibri"/>
                <w:sz w:val="21"/>
                <w:szCs w:val="21"/>
              </w:rPr>
              <w:instrText xml:space="preserve"> TA \s "R v Piacentino (2007) 15 VR 501" </w:instrText>
            </w:r>
            <w:r w:rsidR="00306B7E" w:rsidRPr="004F2343">
              <w:rPr>
                <w:rFonts w:ascii="Calibri" w:hAnsi="Calibri"/>
                <w:sz w:val="21"/>
                <w:szCs w:val="21"/>
              </w:rPr>
              <w:fldChar w:fldCharType="end"/>
            </w:r>
            <w:r w:rsidRPr="004F2343">
              <w:rPr>
                <w:rFonts w:ascii="Calibri" w:hAnsi="Calibri"/>
                <w:sz w:val="21"/>
                <w:szCs w:val="21"/>
              </w:rPr>
              <w:t>, [106]-[108].</w:t>
            </w:r>
          </w:p>
          <w:p w14:paraId="3CBC73EF" w14:textId="77777777" w:rsidR="00396A3A" w:rsidRPr="004F2343" w:rsidRDefault="00396A3A" w:rsidP="00B90C24">
            <w:pPr>
              <w:spacing w:line="276" w:lineRule="auto"/>
              <w:ind w:left="34" w:right="-1"/>
              <w:jc w:val="both"/>
              <w:rPr>
                <w:rFonts w:ascii="Calibri" w:hAnsi="Calibri"/>
                <w:sz w:val="21"/>
                <w:szCs w:val="21"/>
              </w:rPr>
            </w:pPr>
          </w:p>
        </w:tc>
      </w:tr>
      <w:tr w:rsidR="00396A3A" w:rsidRPr="004F2343" w14:paraId="0119A8A1" w14:textId="77777777" w:rsidTr="00CD5338">
        <w:trPr>
          <w:cantSplit/>
        </w:trPr>
        <w:tc>
          <w:tcPr>
            <w:tcW w:w="1276" w:type="dxa"/>
            <w:shd w:val="clear" w:color="auto" w:fill="F2F2F2" w:themeFill="background1" w:themeFillShade="F2"/>
          </w:tcPr>
          <w:p w14:paraId="518048DA"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19AR</w:t>
            </w:r>
          </w:p>
        </w:tc>
        <w:tc>
          <w:tcPr>
            <w:tcW w:w="8221" w:type="dxa"/>
            <w:shd w:val="clear" w:color="auto" w:fill="F2F2F2" w:themeFill="background1" w:themeFillShade="F2"/>
          </w:tcPr>
          <w:p w14:paraId="4177C53D" w14:textId="77777777" w:rsidR="00396A3A"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Deals with the fixing of a new non-parole period where a parole order or licence is</w:t>
            </w:r>
            <w:r w:rsidR="00290180" w:rsidRPr="004F2343">
              <w:rPr>
                <w:rFonts w:ascii="Calibri" w:hAnsi="Calibri"/>
                <w:sz w:val="21"/>
                <w:szCs w:val="21"/>
              </w:rPr>
              <w:t xml:space="preserve"> </w:t>
            </w:r>
            <w:r w:rsidRPr="004F2343">
              <w:rPr>
                <w:rFonts w:ascii="Calibri" w:hAnsi="Calibri"/>
                <w:sz w:val="21"/>
                <w:szCs w:val="21"/>
              </w:rPr>
              <w:t>automatically revoked.</w:t>
            </w:r>
          </w:p>
          <w:p w14:paraId="2AD67A2C" w14:textId="77777777" w:rsidR="003B6A5C" w:rsidRPr="004F2343" w:rsidRDefault="003B6A5C" w:rsidP="00B90C24">
            <w:pPr>
              <w:spacing w:line="276" w:lineRule="auto"/>
              <w:ind w:left="34" w:right="-1"/>
              <w:jc w:val="both"/>
              <w:rPr>
                <w:rFonts w:ascii="Calibri" w:hAnsi="Calibri"/>
                <w:sz w:val="21"/>
                <w:szCs w:val="21"/>
              </w:rPr>
            </w:pPr>
          </w:p>
        </w:tc>
      </w:tr>
      <w:tr w:rsidR="00396A3A" w:rsidRPr="004F2343" w14:paraId="2BAD7C3B" w14:textId="77777777" w:rsidTr="00CD5338">
        <w:trPr>
          <w:cantSplit/>
        </w:trPr>
        <w:tc>
          <w:tcPr>
            <w:tcW w:w="1276" w:type="dxa"/>
            <w:shd w:val="clear" w:color="auto" w:fill="F2F2F2" w:themeFill="background1" w:themeFillShade="F2"/>
          </w:tcPr>
          <w:p w14:paraId="5066D645"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19AS</w:t>
            </w:r>
          </w:p>
        </w:tc>
        <w:tc>
          <w:tcPr>
            <w:tcW w:w="8221" w:type="dxa"/>
            <w:shd w:val="clear" w:color="auto" w:fill="F2F2F2" w:themeFill="background1" w:themeFillShade="F2"/>
          </w:tcPr>
          <w:p w14:paraId="1436EE3C" w14:textId="77777777" w:rsidR="00396A3A"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Requires a court imposing a sentence that revokes federal parole to issue a warrant of detention for the unserved part of the sentence.</w:t>
            </w:r>
          </w:p>
          <w:p w14:paraId="1A5E3895" w14:textId="77777777" w:rsidR="00396A3A" w:rsidRPr="004F2343" w:rsidRDefault="00396A3A" w:rsidP="00B90C24">
            <w:pPr>
              <w:spacing w:line="276" w:lineRule="auto"/>
              <w:ind w:left="34" w:right="-1"/>
              <w:jc w:val="both"/>
              <w:rPr>
                <w:rFonts w:ascii="Calibri" w:hAnsi="Calibri"/>
                <w:sz w:val="21"/>
                <w:szCs w:val="21"/>
              </w:rPr>
            </w:pPr>
          </w:p>
        </w:tc>
      </w:tr>
      <w:tr w:rsidR="00396A3A" w:rsidRPr="004F2343" w14:paraId="37381833" w14:textId="77777777" w:rsidTr="00CD5338">
        <w:trPr>
          <w:cantSplit/>
        </w:trPr>
        <w:tc>
          <w:tcPr>
            <w:tcW w:w="1276" w:type="dxa"/>
            <w:shd w:val="clear" w:color="auto" w:fill="F2F2F2" w:themeFill="background1" w:themeFillShade="F2"/>
          </w:tcPr>
          <w:p w14:paraId="39839D94" w14:textId="77777777" w:rsidR="00396A3A" w:rsidRPr="004F2343" w:rsidRDefault="00396A3A" w:rsidP="007C11C2">
            <w:pPr>
              <w:tabs>
                <w:tab w:val="left" w:pos="1134"/>
              </w:tabs>
              <w:spacing w:line="276" w:lineRule="auto"/>
              <w:ind w:right="-1"/>
              <w:jc w:val="both"/>
              <w:rPr>
                <w:rFonts w:ascii="Calibri" w:hAnsi="Calibri"/>
                <w:sz w:val="30"/>
                <w:szCs w:val="30"/>
              </w:rPr>
            </w:pPr>
            <w:r w:rsidRPr="004F2343">
              <w:rPr>
                <w:rFonts w:ascii="Calibri" w:hAnsi="Calibri"/>
                <w:sz w:val="30"/>
                <w:szCs w:val="30"/>
              </w:rPr>
              <w:t>19AU</w:t>
            </w:r>
          </w:p>
        </w:tc>
        <w:tc>
          <w:tcPr>
            <w:tcW w:w="8221" w:type="dxa"/>
            <w:shd w:val="clear" w:color="auto" w:fill="F2F2F2" w:themeFill="background1" w:themeFillShade="F2"/>
          </w:tcPr>
          <w:p w14:paraId="09410ECF" w14:textId="77777777" w:rsidR="00396A3A" w:rsidRPr="004F2343" w:rsidRDefault="00396A3A" w:rsidP="00B90C24">
            <w:pPr>
              <w:spacing w:line="276" w:lineRule="auto"/>
              <w:ind w:left="34" w:right="-1"/>
              <w:jc w:val="both"/>
              <w:rPr>
                <w:rFonts w:ascii="Calibri" w:hAnsi="Calibri"/>
                <w:sz w:val="21"/>
                <w:szCs w:val="21"/>
              </w:rPr>
            </w:pPr>
            <w:r w:rsidRPr="004F2343">
              <w:rPr>
                <w:rFonts w:ascii="Calibri" w:hAnsi="Calibri"/>
                <w:sz w:val="21"/>
                <w:szCs w:val="21"/>
              </w:rPr>
              <w:t>Deals with the situation where the federal Attorney-General decides to revoke federal parole.</w:t>
            </w:r>
          </w:p>
          <w:p w14:paraId="1FE1DF16" w14:textId="77777777" w:rsidR="00396A3A" w:rsidRPr="004F2343" w:rsidRDefault="00396A3A" w:rsidP="00B90C24">
            <w:pPr>
              <w:spacing w:line="276" w:lineRule="auto"/>
              <w:ind w:left="34" w:right="-1"/>
              <w:jc w:val="both"/>
              <w:rPr>
                <w:rFonts w:ascii="Calibri" w:hAnsi="Calibri"/>
                <w:sz w:val="21"/>
                <w:szCs w:val="21"/>
              </w:rPr>
            </w:pPr>
          </w:p>
        </w:tc>
      </w:tr>
    </w:tbl>
    <w:p w14:paraId="6FB45288" w14:textId="19B232D8" w:rsidR="00EB039A" w:rsidRDefault="00EB039A">
      <w:pPr>
        <w:rPr>
          <w:rFonts w:asciiTheme="minorHAnsi" w:hAnsiTheme="minorHAnsi"/>
          <w:b/>
          <w:i/>
          <w:sz w:val="24"/>
          <w:szCs w:val="24"/>
        </w:rPr>
      </w:pPr>
      <w:r w:rsidRPr="00C00000">
        <w:rPr>
          <w:rFonts w:asciiTheme="minorHAnsi" w:hAnsiTheme="minorHAnsi"/>
          <w:b/>
          <w:i/>
          <w:sz w:val="24"/>
          <w:szCs w:val="24"/>
        </w:rPr>
        <w:br w:type="page"/>
      </w:r>
    </w:p>
    <w:p w14:paraId="72B3F96E" w14:textId="293B34DD" w:rsidR="00420E8D" w:rsidRPr="00763B59" w:rsidRDefault="00420E8D" w:rsidP="00420E8D">
      <w:pPr>
        <w:pStyle w:val="Heading1"/>
        <w:keepNext/>
        <w:numPr>
          <w:ilvl w:val="0"/>
          <w:numId w:val="0"/>
        </w:numPr>
        <w:spacing w:line="276" w:lineRule="auto"/>
        <w:rPr>
          <w:rFonts w:asciiTheme="minorHAnsi" w:hAnsiTheme="minorHAnsi"/>
          <w:sz w:val="24"/>
          <w:szCs w:val="24"/>
        </w:rPr>
      </w:pPr>
      <w:bookmarkStart w:id="3568" w:name="_Ref11072079"/>
      <w:bookmarkStart w:id="3569" w:name="_Toc33602990"/>
      <w:r w:rsidRPr="00763B59">
        <w:rPr>
          <w:rFonts w:asciiTheme="minorHAnsi" w:hAnsiTheme="minorHAnsi"/>
          <w:sz w:val="24"/>
          <w:szCs w:val="24"/>
        </w:rPr>
        <w:t xml:space="preserve">Appendix 2: </w:t>
      </w:r>
      <w:r w:rsidR="007B4342" w:rsidRPr="00763B59">
        <w:rPr>
          <w:rFonts w:asciiTheme="minorHAnsi" w:hAnsiTheme="minorHAnsi"/>
          <w:sz w:val="24"/>
          <w:szCs w:val="24"/>
        </w:rPr>
        <w:t>Federal offences triggering State and Territory sex offender registration legislation</w:t>
      </w:r>
      <w:bookmarkEnd w:id="3568"/>
      <w:bookmarkEnd w:id="3569"/>
    </w:p>
    <w:p w14:paraId="7D74E9E4" w14:textId="10ED9FAD" w:rsidR="00420E8D" w:rsidRPr="00763B59" w:rsidRDefault="00420E8D" w:rsidP="00420E8D">
      <w:pPr>
        <w:keepNext/>
        <w:spacing w:line="276" w:lineRule="auto"/>
        <w:ind w:left="916"/>
        <w:rPr>
          <w:rFonts w:asciiTheme="minorHAnsi" w:hAnsiTheme="minorHAnsi"/>
          <w:szCs w:val="22"/>
        </w:rPr>
      </w:pPr>
    </w:p>
    <w:p w14:paraId="55676D30" w14:textId="40F26686" w:rsidR="007B4342" w:rsidRPr="00763B59" w:rsidRDefault="007B4342" w:rsidP="00EB7F1E">
      <w:pPr>
        <w:pStyle w:val="Heading2"/>
        <w:numPr>
          <w:ilvl w:val="0"/>
          <w:numId w:val="0"/>
        </w:numPr>
        <w:ind w:left="720" w:hanging="720"/>
      </w:pPr>
      <w:bookmarkStart w:id="3570" w:name="_Toc33602991"/>
      <w:r w:rsidRPr="00763B59">
        <w:t>A2.1</w:t>
      </w:r>
      <w:r w:rsidR="001B6935" w:rsidRPr="00763B59">
        <w:tab/>
      </w:r>
      <w:r w:rsidRPr="00763B59">
        <w:t>New South Wales: Registrable federal offences under the Child Protection (Offenders Registration) Act 2000 (NSW)</w:t>
      </w:r>
      <w:bookmarkEnd w:id="3570"/>
    </w:p>
    <w:p w14:paraId="7BD4A6D2"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2810C512" w14:textId="6AFB99DA"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1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section 3)</w:t>
      </w:r>
    </w:p>
    <w:p w14:paraId="266503E8"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0C538FE2" w14:textId="77777777" w:rsidR="007B4342" w:rsidRPr="00763B59" w:rsidRDefault="007B4342" w:rsidP="007B434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7CC39835" w14:textId="49A52E5F"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272.8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76B3118D"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272.10 (aggravated offence—child with mental impairment or under care, supervision or authority of defendant) where involving sexual intercourse</w:t>
      </w:r>
    </w:p>
    <w:p w14:paraId="4EB5486E"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272.11 (persistent sexual abuse of child outside Australia);</w:t>
      </w:r>
    </w:p>
    <w:p w14:paraId="1BA887B1" w14:textId="77777777" w:rsidR="007B4342" w:rsidRPr="00763B59" w:rsidRDefault="007B4342" w:rsidP="007B4342">
      <w:pPr>
        <w:tabs>
          <w:tab w:val="left" w:pos="426"/>
          <w:tab w:val="left" w:pos="709"/>
          <w:tab w:val="left" w:pos="993"/>
        </w:tabs>
        <w:spacing w:before="120" w:line="276" w:lineRule="auto"/>
        <w:ind w:left="2160"/>
        <w:jc w:val="both"/>
        <w:rPr>
          <w:rFonts w:asciiTheme="minorHAnsi" w:hAnsiTheme="minorHAnsi"/>
          <w:sz w:val="20"/>
        </w:rPr>
      </w:pPr>
    </w:p>
    <w:p w14:paraId="2B6A6213"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of benefiting from (s 272.18), encouraging (s 272.19) or preparing for or planning (s 272.20) 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 xml:space="preserve">) if it relates to another Class 1 offence as elsewhere defined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2B414566" w14:textId="77777777" w:rsidR="007B4342" w:rsidRPr="00763B59" w:rsidRDefault="007B4342" w:rsidP="007B4342">
      <w:pPr>
        <w:tabs>
          <w:tab w:val="left" w:pos="426"/>
          <w:tab w:val="left" w:pos="709"/>
          <w:tab w:val="left" w:pos="993"/>
        </w:tabs>
        <w:spacing w:before="120" w:line="276" w:lineRule="auto"/>
        <w:jc w:val="both"/>
        <w:rPr>
          <w:rFonts w:asciiTheme="minorHAnsi" w:hAnsiTheme="minorHAnsi"/>
          <w:sz w:val="20"/>
        </w:rPr>
      </w:pPr>
    </w:p>
    <w:p w14:paraId="02103360"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An offence an element of which is an intention to commit an offence of a kind listed in the definition of “Class 1 Offence”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428F8AC5"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17CB7772"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An offence of attempting, or of conspiracy or incitement, to commit an offence of a kind listed in the definition of “Class 1 Offence”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73B20CA7" w14:textId="77777777" w:rsidR="007B4342" w:rsidRPr="00763B59" w:rsidRDefault="007B4342" w:rsidP="007B4342">
      <w:pPr>
        <w:pStyle w:val="ListParagraph"/>
        <w:rPr>
          <w:rFonts w:asciiTheme="minorHAnsi" w:hAnsiTheme="minorHAnsi"/>
          <w:sz w:val="20"/>
        </w:rPr>
      </w:pPr>
    </w:p>
    <w:p w14:paraId="109C645F"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An offence that, at the time it was committed:</w:t>
      </w:r>
    </w:p>
    <w:p w14:paraId="5AC3542C" w14:textId="77777777" w:rsidR="007B4342" w:rsidRPr="00763B59" w:rsidRDefault="007B4342" w:rsidP="00EB7F1E">
      <w:pPr>
        <w:numPr>
          <w:ilvl w:val="2"/>
          <w:numId w:val="2"/>
        </w:numPr>
        <w:tabs>
          <w:tab w:val="left" w:pos="426"/>
          <w:tab w:val="left" w:pos="709"/>
          <w:tab w:val="left" w:pos="993"/>
          <w:tab w:val="num" w:pos="1137"/>
        </w:tabs>
        <w:spacing w:line="276" w:lineRule="auto"/>
        <w:ind w:left="2154" w:hanging="357"/>
        <w:jc w:val="both"/>
        <w:rPr>
          <w:rFonts w:asciiTheme="minorHAnsi" w:hAnsiTheme="minorHAnsi"/>
          <w:sz w:val="20"/>
        </w:rPr>
      </w:pPr>
      <w:r w:rsidRPr="00763B59">
        <w:rPr>
          <w:rFonts w:asciiTheme="minorHAnsi" w:hAnsiTheme="minorHAnsi"/>
          <w:sz w:val="20"/>
        </w:rPr>
        <w:t xml:space="preserve">was a Class 1 offence for the purposes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 or</w:t>
      </w:r>
    </w:p>
    <w:p w14:paraId="1280F6A7" w14:textId="77777777" w:rsidR="007B4342" w:rsidRPr="00763B59" w:rsidRDefault="007B4342" w:rsidP="00EB7F1E">
      <w:pPr>
        <w:numPr>
          <w:ilvl w:val="2"/>
          <w:numId w:val="2"/>
        </w:numPr>
        <w:tabs>
          <w:tab w:val="left" w:pos="426"/>
          <w:tab w:val="left" w:pos="709"/>
          <w:tab w:val="left" w:pos="993"/>
          <w:tab w:val="num" w:pos="1137"/>
        </w:tabs>
        <w:spacing w:line="276" w:lineRule="auto"/>
        <w:ind w:left="2154" w:hanging="357"/>
        <w:jc w:val="both"/>
        <w:rPr>
          <w:rFonts w:asciiTheme="minorHAnsi" w:hAnsiTheme="minorHAnsi"/>
          <w:sz w:val="20"/>
        </w:rPr>
      </w:pPr>
      <w:r w:rsidRPr="00763B59">
        <w:rPr>
          <w:rFonts w:asciiTheme="minorHAnsi" w:hAnsiTheme="minorHAnsi"/>
          <w:sz w:val="20"/>
        </w:rPr>
        <w:t xml:space="preserve">in the case of an offence occurring before the commencement of this definition [27/6/2000], was an offence of a kind listed in the definition of “Class 1 Offence”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78830FE6" w14:textId="77777777" w:rsidR="007B4342" w:rsidRPr="00763B59" w:rsidRDefault="007B4342" w:rsidP="007B4342">
      <w:pPr>
        <w:tabs>
          <w:tab w:val="left" w:pos="426"/>
          <w:tab w:val="left" w:pos="709"/>
          <w:tab w:val="left" w:pos="993"/>
          <w:tab w:val="num" w:pos="2160"/>
        </w:tabs>
        <w:spacing w:before="120" w:line="276" w:lineRule="auto"/>
        <w:ind w:left="2160"/>
        <w:jc w:val="both"/>
        <w:rPr>
          <w:rFonts w:asciiTheme="minorHAnsi" w:hAnsiTheme="minorHAnsi"/>
          <w:sz w:val="20"/>
        </w:rPr>
      </w:pPr>
    </w:p>
    <w:p w14:paraId="5705E357" w14:textId="0969E21B"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2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section 3)</w:t>
      </w:r>
    </w:p>
    <w:p w14:paraId="17EF52F4"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534E2605"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following provisions of the </w:t>
      </w:r>
      <w:r w:rsidRPr="00763B59">
        <w:rPr>
          <w:rFonts w:asciiTheme="minorHAnsi" w:hAnsiTheme="minorHAnsi"/>
          <w:i/>
          <w:sz w:val="20"/>
        </w:rPr>
        <w:t xml:space="preserve">Criminal </w:t>
      </w:r>
      <w:r w:rsidRPr="00763B59">
        <w:rPr>
          <w:rFonts w:asciiTheme="minorHAnsi" w:hAnsiTheme="minorHAnsi"/>
          <w:sz w:val="20"/>
        </w:rPr>
        <w:t>Code:</w:t>
      </w:r>
    </w:p>
    <w:p w14:paraId="78155D50"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271.4 (trafficking in children)</w:t>
      </w:r>
    </w:p>
    <w:p w14:paraId="66A9BB8C"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271.7 (domestic trafficking in children)</w:t>
      </w:r>
    </w:p>
    <w:p w14:paraId="188CE2DF" w14:textId="1149A575"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272.9 (sexual activity (other than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6FE845E6"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272.10(1) (aggravated offence—child under 16 with mental impairment or under care, supervision or authority of defendant) where not involving sexual intercourse;</w:t>
      </w:r>
    </w:p>
    <w:p w14:paraId="3CCE6DEF"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272.11 (persistent sexual abuse of child outside Australia);</w:t>
      </w:r>
    </w:p>
    <w:p w14:paraId="565C3A85" w14:textId="7E09710F"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272.12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2B3DF236" w14:textId="70B52AD8"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272.13 (sexual activity (other than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0281B8B2"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272.14(1) (procuring child to engage in sexual activity outside Australia);</w:t>
      </w:r>
    </w:p>
    <w:p w14:paraId="4597252F"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272.15(1) ("grooming" child to engage in sexual activity outside Australia).</w:t>
      </w:r>
    </w:p>
    <w:p w14:paraId="527A4F79" w14:textId="77777777" w:rsidR="007B4342" w:rsidRPr="00763B59" w:rsidRDefault="007B4342" w:rsidP="007B4342">
      <w:pPr>
        <w:spacing w:line="276" w:lineRule="auto"/>
        <w:jc w:val="both"/>
        <w:rPr>
          <w:rFonts w:asciiTheme="minorHAnsi" w:hAnsiTheme="minorHAnsi"/>
          <w:sz w:val="20"/>
        </w:rPr>
      </w:pPr>
    </w:p>
    <w:p w14:paraId="3947A5CE"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of benefiting from (s 272.18), encouraging (s 272.19) or preparing for or planning (s 272.20) 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 xml:space="preserve">) if it relates to another Class 2 offence as elsewhere defined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0CB0A94E" w14:textId="77777777" w:rsidR="007B4342" w:rsidRPr="00763B59" w:rsidRDefault="007B4342" w:rsidP="007B4342">
      <w:pPr>
        <w:tabs>
          <w:tab w:val="left" w:pos="426"/>
          <w:tab w:val="left" w:pos="709"/>
          <w:tab w:val="left" w:pos="993"/>
        </w:tabs>
        <w:spacing w:before="120" w:line="276" w:lineRule="auto"/>
        <w:jc w:val="both"/>
        <w:rPr>
          <w:rFonts w:asciiTheme="minorHAnsi" w:hAnsiTheme="minorHAnsi"/>
          <w:sz w:val="20"/>
        </w:rPr>
      </w:pPr>
    </w:p>
    <w:p w14:paraId="705BC42A"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child pornography and child abuse material outside Australia:</w:t>
      </w:r>
    </w:p>
    <w:p w14:paraId="0B816D42"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273.5 (possessing, controlling, producing, distributing or obtaining child pornography material outside Australia);</w:t>
      </w:r>
    </w:p>
    <w:p w14:paraId="7F4922F6"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273.6 (possessing, controlling, producing, distributing or obtaining child abuse material outside Australia);</w:t>
      </w:r>
    </w:p>
    <w:p w14:paraId="33CF3B18"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273.7 (aggravated offending relating to child pornography or child abuse material outside Australia).</w:t>
      </w:r>
    </w:p>
    <w:p w14:paraId="301AC7C9" w14:textId="77777777" w:rsidR="007B4342" w:rsidRPr="00763B59" w:rsidRDefault="007B4342" w:rsidP="007B4342">
      <w:pPr>
        <w:pStyle w:val="ListParagraph"/>
        <w:rPr>
          <w:rFonts w:asciiTheme="minorHAnsi" w:hAnsiTheme="minorHAnsi"/>
          <w:sz w:val="20"/>
        </w:rPr>
      </w:pPr>
    </w:p>
    <w:p w14:paraId="0E6F291D"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postal or similar service:</w:t>
      </w:r>
    </w:p>
    <w:p w14:paraId="5988EEC3" w14:textId="77777777" w:rsidR="007B4342" w:rsidRPr="00763B59" w:rsidRDefault="007B4342" w:rsidP="007B4342">
      <w:pPr>
        <w:numPr>
          <w:ilvl w:val="2"/>
          <w:numId w:val="2"/>
        </w:numPr>
        <w:tabs>
          <w:tab w:val="left" w:pos="426"/>
          <w:tab w:val="left" w:pos="709"/>
          <w:tab w:val="left" w:pos="993"/>
        </w:tabs>
        <w:spacing w:before="120" w:line="276" w:lineRule="auto"/>
        <w:jc w:val="both"/>
        <w:rPr>
          <w:rFonts w:asciiTheme="minorHAnsi" w:hAnsiTheme="minorHAnsi"/>
          <w:sz w:val="20"/>
        </w:rPr>
      </w:pPr>
      <w:r w:rsidRPr="00763B59">
        <w:rPr>
          <w:rFonts w:asciiTheme="minorHAnsi" w:hAnsiTheme="minorHAnsi"/>
          <w:sz w:val="20"/>
        </w:rPr>
        <w:t>section 471.16 (using a postal or similar service for child pornography material);</w:t>
      </w:r>
    </w:p>
    <w:p w14:paraId="753C95A3"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471.17 (possessing, controlling, producing, supplying or obtaining child pornography material for use through a postal or similar service);</w:t>
      </w:r>
    </w:p>
    <w:p w14:paraId="30459683"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471.19 (using a postal or similar service for child abuse material);</w:t>
      </w:r>
    </w:p>
    <w:p w14:paraId="78ABE2A6"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471.20 (possessing, controlling, producing, supplying or obtaining child abuse material for use through a postal or similar service);</w:t>
      </w:r>
    </w:p>
    <w:p w14:paraId="7522E9F2" w14:textId="77777777" w:rsidR="007B4342" w:rsidRPr="00763B59" w:rsidRDefault="007B4342" w:rsidP="007B4342">
      <w:pPr>
        <w:numPr>
          <w:ilvl w:val="2"/>
          <w:numId w:val="2"/>
        </w:numPr>
        <w:tabs>
          <w:tab w:val="left" w:pos="426"/>
          <w:tab w:val="left" w:pos="709"/>
          <w:tab w:val="left" w:pos="990"/>
        </w:tabs>
        <w:spacing w:before="120" w:line="276" w:lineRule="auto"/>
        <w:jc w:val="both"/>
        <w:rPr>
          <w:rFonts w:asciiTheme="minorHAnsi" w:hAnsiTheme="minorHAnsi"/>
          <w:sz w:val="20"/>
        </w:rPr>
      </w:pPr>
      <w:r w:rsidRPr="00763B59">
        <w:rPr>
          <w:rFonts w:asciiTheme="minorHAnsi" w:hAnsiTheme="minorHAnsi"/>
          <w:sz w:val="20"/>
        </w:rPr>
        <w:t>section 471.22 (aggravated offending relating to child pornography or child abuse material).</w:t>
      </w:r>
    </w:p>
    <w:p w14:paraId="5775DBA1"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471.24 (using a postal or similar service to procure persons under 16);</w:t>
      </w:r>
    </w:p>
    <w:p w14:paraId="5F778CEC"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471.25 (using a postal or similar service to "groom" persons under 16);</w:t>
      </w:r>
    </w:p>
    <w:p w14:paraId="086626FC"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471.26 (using a postal or similar service to send indecent material to person under 16).</w:t>
      </w:r>
    </w:p>
    <w:p w14:paraId="51F23E94" w14:textId="77777777" w:rsidR="007B4342" w:rsidRPr="00763B59" w:rsidRDefault="007B4342" w:rsidP="007B4342">
      <w:pPr>
        <w:tabs>
          <w:tab w:val="left" w:pos="426"/>
          <w:tab w:val="left" w:pos="709"/>
          <w:tab w:val="left" w:pos="990"/>
        </w:tabs>
        <w:spacing w:line="276" w:lineRule="auto"/>
        <w:ind w:left="2160"/>
        <w:jc w:val="both"/>
        <w:rPr>
          <w:rFonts w:asciiTheme="minorHAnsi" w:hAnsiTheme="minorHAnsi"/>
          <w:sz w:val="20"/>
        </w:rPr>
      </w:pPr>
    </w:p>
    <w:p w14:paraId="555793F9"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carriage service:</w:t>
      </w:r>
    </w:p>
    <w:p w14:paraId="1BD499FE" w14:textId="77777777" w:rsidR="007B4342" w:rsidRPr="00763B59" w:rsidRDefault="007B4342" w:rsidP="007B4342">
      <w:pPr>
        <w:numPr>
          <w:ilvl w:val="2"/>
          <w:numId w:val="2"/>
        </w:numPr>
        <w:tabs>
          <w:tab w:val="left" w:pos="426"/>
          <w:tab w:val="left" w:pos="709"/>
          <w:tab w:val="left" w:pos="993"/>
        </w:tabs>
        <w:spacing w:before="120" w:line="276" w:lineRule="auto"/>
        <w:jc w:val="both"/>
        <w:rPr>
          <w:rFonts w:asciiTheme="minorHAnsi" w:hAnsiTheme="minorHAnsi"/>
          <w:sz w:val="20"/>
        </w:rPr>
      </w:pPr>
      <w:r w:rsidRPr="00763B59">
        <w:rPr>
          <w:rFonts w:asciiTheme="minorHAnsi" w:hAnsiTheme="minorHAnsi"/>
          <w:sz w:val="20"/>
        </w:rPr>
        <w:t>section 474.19 (using a carriage service for child pornography material);</w:t>
      </w:r>
    </w:p>
    <w:p w14:paraId="46245348"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474.20 (possessing, controlling, producing, supplying or obtaining child pornography material for use through a carriage service);</w:t>
      </w:r>
    </w:p>
    <w:p w14:paraId="7A9BB8DC"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474.22 (using a carriage service for child abuse material);</w:t>
      </w:r>
    </w:p>
    <w:p w14:paraId="430FC99B"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474.23 (possessing, controlling, producing, supplying or obtaining child abuse material through a carriage service)</w:t>
      </w:r>
    </w:p>
    <w:p w14:paraId="4FB6188C"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474.24A (aggravated offence involving child abuse material through a carriage service);</w:t>
      </w:r>
    </w:p>
    <w:p w14:paraId="17D89984"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474.25A (using a carriage service for sexual activity with person under 16);</w:t>
      </w:r>
    </w:p>
    <w:p w14:paraId="6B860A95"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474.25B (aggravated offence—child with mental impairment or under care, supervision or authority of defendant);</w:t>
      </w:r>
    </w:p>
    <w:p w14:paraId="1050E7B9"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474.26 (using a carriage service to procure persons under 16);</w:t>
      </w:r>
    </w:p>
    <w:p w14:paraId="0AD665C6"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 (using a carriage service to "groom" persons under 16);</w:t>
      </w:r>
    </w:p>
    <w:p w14:paraId="5E0B0DEE"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474.27A (using a carriage service to transmit indecent communication to person under 16).</w:t>
      </w:r>
    </w:p>
    <w:p w14:paraId="69225BB8" w14:textId="77777777" w:rsidR="007B4342" w:rsidRPr="00763B59" w:rsidRDefault="007B4342" w:rsidP="007B4342">
      <w:pPr>
        <w:tabs>
          <w:tab w:val="left" w:pos="426"/>
          <w:tab w:val="left" w:pos="709"/>
          <w:tab w:val="left" w:pos="993"/>
        </w:tabs>
        <w:spacing w:line="276" w:lineRule="auto"/>
        <w:ind w:left="2160"/>
        <w:jc w:val="both"/>
        <w:rPr>
          <w:rFonts w:asciiTheme="minorHAnsi" w:hAnsiTheme="minorHAnsi"/>
          <w:sz w:val="20"/>
        </w:rPr>
      </w:pPr>
    </w:p>
    <w:p w14:paraId="66259023"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Offences against section 270.6</w:t>
      </w:r>
      <w:r w:rsidRPr="00763B59">
        <w:rPr>
          <w:rStyle w:val="FootnoteReference"/>
          <w:rFonts w:asciiTheme="minorHAnsi" w:hAnsiTheme="minorHAnsi"/>
        </w:rPr>
        <w:footnoteReference w:id="1191"/>
      </w:r>
      <w:r w:rsidRPr="00763B59">
        <w:rPr>
          <w:rFonts w:asciiTheme="minorHAnsi" w:hAnsiTheme="minorHAnsi"/>
          <w:sz w:val="20"/>
        </w:rPr>
        <w:t xml:space="preserve"> or 270.7 (deceptive recruiting for labour or services) of the </w:t>
      </w:r>
      <w:r w:rsidRPr="00763B59">
        <w:rPr>
          <w:rFonts w:asciiTheme="minorHAnsi" w:hAnsiTheme="minorHAnsi"/>
          <w:i/>
          <w:sz w:val="20"/>
        </w:rPr>
        <w:t>Criminal Code</w:t>
      </w:r>
      <w:r w:rsidRPr="00763B59">
        <w:rPr>
          <w:rFonts w:asciiTheme="minorHAnsi" w:hAnsiTheme="minorHAnsi"/>
          <w:sz w:val="20"/>
        </w:rPr>
        <w:t xml:space="preserve"> where the victim is a child.</w:t>
      </w:r>
      <w:r w:rsidRPr="00763B59">
        <w:rPr>
          <w:rStyle w:val="FootnoteReference"/>
          <w:rFonts w:asciiTheme="minorHAnsi" w:hAnsiTheme="minorHAnsi"/>
        </w:rPr>
        <w:footnoteReference w:id="1192"/>
      </w:r>
    </w:p>
    <w:p w14:paraId="4A1776F1"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013AC86E" w14:textId="77777777" w:rsidR="007B4342" w:rsidRPr="00763B59" w:rsidRDefault="007B4342" w:rsidP="007B434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Offences under s 233BAB of the </w:t>
      </w:r>
      <w:r w:rsidRPr="00763B59">
        <w:rPr>
          <w:rFonts w:asciiTheme="minorHAnsi" w:hAnsiTheme="minorHAnsi"/>
          <w:i/>
          <w:sz w:val="20"/>
        </w:rPr>
        <w:t xml:space="preserve">Customs Act 1901 </w:t>
      </w:r>
      <w:r w:rsidRPr="00763B59">
        <w:rPr>
          <w:rFonts w:asciiTheme="minorHAnsi" w:hAnsiTheme="minorHAnsi"/>
          <w:sz w:val="20"/>
        </w:rPr>
        <w:t>(Cth) involving items that are child pornography or child abuse material.</w:t>
      </w:r>
    </w:p>
    <w:p w14:paraId="4727E560"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60975D4E"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An offence an element of which is an intention to commit an offence of a kind listed in the definition of “Class 2 Offence”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29E35EF1"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12BE02B8"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An offence of attempting, or of conspiracy or incitement, to commit an offence of a kind listed in the definition of “Class 2 Offence”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1E7B050B" w14:textId="77777777" w:rsidR="007B4342" w:rsidRPr="00763B59" w:rsidRDefault="007B4342" w:rsidP="007B4342">
      <w:pPr>
        <w:pStyle w:val="ListParagraph"/>
        <w:rPr>
          <w:rFonts w:asciiTheme="minorHAnsi" w:hAnsiTheme="minorHAnsi"/>
          <w:sz w:val="20"/>
        </w:rPr>
      </w:pPr>
    </w:p>
    <w:p w14:paraId="707D3350"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An offence that, at the time it was committed:</w:t>
      </w:r>
    </w:p>
    <w:p w14:paraId="0E26665F" w14:textId="77777777" w:rsidR="007B4342" w:rsidRPr="00763B59" w:rsidRDefault="007B4342" w:rsidP="00EB7F1E">
      <w:pPr>
        <w:numPr>
          <w:ilvl w:val="2"/>
          <w:numId w:val="2"/>
        </w:numPr>
        <w:tabs>
          <w:tab w:val="left" w:pos="426"/>
          <w:tab w:val="left" w:pos="709"/>
          <w:tab w:val="left" w:pos="993"/>
          <w:tab w:val="num" w:pos="1137"/>
        </w:tabs>
        <w:spacing w:line="276" w:lineRule="auto"/>
        <w:ind w:left="2154" w:hanging="357"/>
        <w:jc w:val="both"/>
        <w:rPr>
          <w:rFonts w:asciiTheme="minorHAnsi" w:hAnsiTheme="minorHAnsi"/>
          <w:sz w:val="20"/>
        </w:rPr>
      </w:pPr>
      <w:r w:rsidRPr="00763B59">
        <w:rPr>
          <w:rFonts w:asciiTheme="minorHAnsi" w:hAnsiTheme="minorHAnsi"/>
          <w:sz w:val="20"/>
        </w:rPr>
        <w:t xml:space="preserve">was a Class 2 offence for the purposes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 or</w:t>
      </w:r>
    </w:p>
    <w:p w14:paraId="723209F9" w14:textId="77777777" w:rsidR="007B4342" w:rsidRPr="00763B59" w:rsidRDefault="007B4342" w:rsidP="00EB7F1E">
      <w:pPr>
        <w:numPr>
          <w:ilvl w:val="2"/>
          <w:numId w:val="2"/>
        </w:numPr>
        <w:tabs>
          <w:tab w:val="left" w:pos="426"/>
          <w:tab w:val="left" w:pos="709"/>
          <w:tab w:val="left" w:pos="993"/>
          <w:tab w:val="num" w:pos="1137"/>
        </w:tabs>
        <w:spacing w:line="276" w:lineRule="auto"/>
        <w:ind w:left="2154" w:hanging="357"/>
        <w:jc w:val="both"/>
        <w:rPr>
          <w:rFonts w:asciiTheme="minorHAnsi" w:hAnsiTheme="minorHAnsi"/>
          <w:sz w:val="20"/>
        </w:rPr>
      </w:pPr>
      <w:r w:rsidRPr="00763B59">
        <w:rPr>
          <w:rFonts w:asciiTheme="minorHAnsi" w:hAnsiTheme="minorHAnsi"/>
          <w:sz w:val="20"/>
        </w:rPr>
        <w:t xml:space="preserve">in the case of an offence occurring before the commencement of this definition [27/6/2000], was an offence of a kind listed in the definition of “Class 2 Offence” in section 3 of the </w:t>
      </w:r>
      <w:r w:rsidRPr="00763B59">
        <w:rPr>
          <w:rFonts w:asciiTheme="minorHAnsi" w:hAnsiTheme="minorHAnsi"/>
          <w:i/>
          <w:sz w:val="20"/>
        </w:rPr>
        <w:t>Child Protection (Offenders Registration) Act 2000</w:t>
      </w:r>
      <w:r w:rsidRPr="00763B59">
        <w:rPr>
          <w:rFonts w:asciiTheme="minorHAnsi" w:hAnsiTheme="minorHAnsi"/>
          <w:sz w:val="20"/>
        </w:rPr>
        <w:t xml:space="preserve"> (NSW).</w:t>
      </w:r>
    </w:p>
    <w:p w14:paraId="04B58FE5" w14:textId="064BDF21" w:rsidR="007B4342" w:rsidRPr="00763B59" w:rsidRDefault="007B4342">
      <w:pPr>
        <w:rPr>
          <w:rFonts w:asciiTheme="minorHAnsi" w:hAnsiTheme="minorHAnsi"/>
          <w:sz w:val="20"/>
        </w:rPr>
      </w:pPr>
      <w:r w:rsidRPr="00763B59">
        <w:rPr>
          <w:rFonts w:asciiTheme="minorHAnsi" w:hAnsiTheme="minorHAnsi"/>
          <w:sz w:val="20"/>
        </w:rPr>
        <w:br w:type="page"/>
      </w:r>
    </w:p>
    <w:p w14:paraId="0643DB01" w14:textId="4A5F0FB6" w:rsidR="006542E2" w:rsidRPr="00763B59" w:rsidRDefault="006542E2" w:rsidP="00EB7F1E">
      <w:pPr>
        <w:pStyle w:val="Heading2"/>
        <w:numPr>
          <w:ilvl w:val="0"/>
          <w:numId w:val="0"/>
        </w:numPr>
        <w:ind w:left="720" w:hanging="720"/>
      </w:pPr>
      <w:bookmarkStart w:id="3571" w:name="_Toc517703076"/>
      <w:bookmarkStart w:id="3572" w:name="_Toc33602992"/>
      <w:r w:rsidRPr="00763B59">
        <w:t>A</w:t>
      </w:r>
      <w:r w:rsidR="007B4342" w:rsidRPr="00763B59">
        <w:t>2</w:t>
      </w:r>
      <w:r w:rsidRPr="00763B59">
        <w:t>.</w:t>
      </w:r>
      <w:r w:rsidR="007B4342" w:rsidRPr="00763B59">
        <w:t>2</w:t>
      </w:r>
      <w:r w:rsidR="001B6935" w:rsidRPr="00763B59">
        <w:tab/>
      </w:r>
      <w:r w:rsidR="007B4342" w:rsidRPr="00763B59">
        <w:t xml:space="preserve">Victoria: </w:t>
      </w:r>
      <w:r w:rsidRPr="00763B59">
        <w:t>Registrable federal offences under the Sex Offenders Registration Act 2004 (Vic)</w:t>
      </w:r>
      <w:bookmarkEnd w:id="3571"/>
      <w:bookmarkEnd w:id="3572"/>
    </w:p>
    <w:p w14:paraId="74357772"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4234588F" w14:textId="0042917A" w:rsidR="006542E2" w:rsidRPr="00763B59" w:rsidRDefault="006542E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1 offences (s 7(2))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Schedule 1)</w:t>
      </w:r>
    </w:p>
    <w:p w14:paraId="6D36416F"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55793735"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2647DE12" w14:textId="465ACBC2"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272.8(1) and (2)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2E1F2F02" w14:textId="6BA99DED"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272.9(1) and (2) (sexual activity (other than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7D5B2ABA"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272.10(1) (aggravated offence—child under 16 with mental impairment or under care, supervision or authority of defendant);</w:t>
      </w:r>
    </w:p>
    <w:p w14:paraId="2D831AF5"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272.11(1) (persistent sexual abuse of child under 16 outside Australia);</w:t>
      </w:r>
    </w:p>
    <w:p w14:paraId="19ADE65F" w14:textId="0E860CDA"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272.12(1) and (2)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3F6B9B49" w14:textId="077D97FF"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272.13(1) and (2) (sexual activity (other than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1E311205"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272.14(1) (procuring child to engage in sexual activity outside Australia);</w:t>
      </w:r>
    </w:p>
    <w:p w14:paraId="5B8CFCC4"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272.15(1) ("grooming" child to engage in sexual activity outside Australia).</w:t>
      </w:r>
    </w:p>
    <w:p w14:paraId="4AC9D8D3" w14:textId="77777777" w:rsidR="006542E2" w:rsidRPr="00763B59" w:rsidRDefault="006542E2" w:rsidP="006542E2">
      <w:pPr>
        <w:spacing w:line="276" w:lineRule="auto"/>
        <w:jc w:val="both"/>
        <w:rPr>
          <w:rFonts w:asciiTheme="minorHAnsi" w:hAnsiTheme="minorHAnsi"/>
          <w:sz w:val="20"/>
        </w:rPr>
      </w:pPr>
    </w:p>
    <w:p w14:paraId="3C8FE687"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An offence an element of which is an intention to commit an offence of a kind listed in Schedule 1 to the </w:t>
      </w:r>
      <w:r w:rsidRPr="00763B59">
        <w:rPr>
          <w:rFonts w:asciiTheme="minorHAnsi" w:hAnsiTheme="minorHAnsi"/>
          <w:i/>
          <w:sz w:val="20"/>
        </w:rPr>
        <w:t>Sex Offenders Registration Act 2004</w:t>
      </w:r>
      <w:r w:rsidRPr="00763B59">
        <w:rPr>
          <w:rFonts w:asciiTheme="minorHAnsi" w:hAnsiTheme="minorHAnsi"/>
          <w:sz w:val="20"/>
        </w:rPr>
        <w:t xml:space="preserve"> (Vic).</w:t>
      </w:r>
    </w:p>
    <w:p w14:paraId="778B94A4" w14:textId="77777777" w:rsidR="006542E2" w:rsidRPr="00763B59" w:rsidRDefault="006542E2" w:rsidP="006542E2">
      <w:pPr>
        <w:pStyle w:val="ListParagraph"/>
        <w:rPr>
          <w:rFonts w:asciiTheme="minorHAnsi" w:hAnsiTheme="minorHAnsi"/>
          <w:sz w:val="20"/>
        </w:rPr>
      </w:pPr>
    </w:p>
    <w:p w14:paraId="40D26258"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An offence that, at the time it was committed</w:t>
      </w:r>
      <w:r w:rsidRPr="00763B59">
        <w:rPr>
          <w:rStyle w:val="FootnoteReference"/>
          <w:rFonts w:asciiTheme="minorHAnsi" w:hAnsiTheme="minorHAnsi"/>
        </w:rPr>
        <w:footnoteReference w:id="1193"/>
      </w:r>
      <w:r w:rsidRPr="00763B59">
        <w:rPr>
          <w:rFonts w:asciiTheme="minorHAnsi" w:hAnsiTheme="minorHAnsi"/>
          <w:sz w:val="20"/>
        </w:rPr>
        <w:t>—</w:t>
      </w:r>
    </w:p>
    <w:p w14:paraId="28CA737E"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 xml:space="preserve">was a Class 1 offence for the purposes of </w:t>
      </w:r>
      <w:bookmarkStart w:id="3573" w:name="_Hlk8986790"/>
      <w:r w:rsidRPr="00763B59">
        <w:rPr>
          <w:rFonts w:asciiTheme="minorHAnsi" w:hAnsiTheme="minorHAnsi"/>
          <w:sz w:val="20"/>
        </w:rPr>
        <w:t xml:space="preserve">the </w:t>
      </w:r>
      <w:r w:rsidRPr="00763B59">
        <w:rPr>
          <w:rFonts w:asciiTheme="minorHAnsi" w:hAnsiTheme="minorHAnsi"/>
          <w:i/>
          <w:sz w:val="20"/>
        </w:rPr>
        <w:t>Sex Offenders Registration Act 2004</w:t>
      </w:r>
      <w:r w:rsidRPr="00763B59">
        <w:rPr>
          <w:rFonts w:asciiTheme="minorHAnsi" w:hAnsiTheme="minorHAnsi"/>
          <w:sz w:val="20"/>
        </w:rPr>
        <w:t xml:space="preserve"> (Vic); </w:t>
      </w:r>
      <w:bookmarkEnd w:id="3573"/>
      <w:r w:rsidRPr="00763B59">
        <w:rPr>
          <w:rFonts w:asciiTheme="minorHAnsi" w:hAnsiTheme="minorHAnsi"/>
          <w:sz w:val="20"/>
        </w:rPr>
        <w:t>or</w:t>
      </w:r>
    </w:p>
    <w:p w14:paraId="79BD5F18"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 xml:space="preserve">if committed before 1 October 2004, was an offence of a kind listed in Schedule 1 to the </w:t>
      </w:r>
      <w:r w:rsidRPr="00763B59">
        <w:rPr>
          <w:rFonts w:asciiTheme="minorHAnsi" w:hAnsiTheme="minorHAnsi"/>
          <w:i/>
          <w:sz w:val="20"/>
        </w:rPr>
        <w:t>Sex Offenders Registration Act 2004</w:t>
      </w:r>
      <w:r w:rsidRPr="00763B59">
        <w:rPr>
          <w:rFonts w:asciiTheme="minorHAnsi" w:hAnsiTheme="minorHAnsi"/>
          <w:sz w:val="20"/>
        </w:rPr>
        <w:t xml:space="preserve"> (Vic).</w:t>
      </w:r>
    </w:p>
    <w:p w14:paraId="70F61001" w14:textId="77777777" w:rsidR="006542E2" w:rsidRPr="00763B59" w:rsidRDefault="006542E2" w:rsidP="006542E2">
      <w:pPr>
        <w:spacing w:line="276" w:lineRule="auto"/>
        <w:ind w:left="1137"/>
        <w:jc w:val="both"/>
        <w:rPr>
          <w:rFonts w:asciiTheme="minorHAnsi" w:hAnsiTheme="minorHAnsi"/>
          <w:sz w:val="20"/>
        </w:rPr>
      </w:pPr>
    </w:p>
    <w:p w14:paraId="2AD0F2F8"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An offence of attempting, or conspiracy or incitement to commit an offence listed in Schedule 1 to the </w:t>
      </w:r>
      <w:r w:rsidRPr="00763B59">
        <w:rPr>
          <w:rFonts w:asciiTheme="minorHAnsi" w:hAnsiTheme="minorHAnsi"/>
          <w:i/>
          <w:sz w:val="20"/>
        </w:rPr>
        <w:t>Sex Offenders Registration Act 2004</w:t>
      </w:r>
      <w:r w:rsidRPr="00763B59">
        <w:rPr>
          <w:rFonts w:asciiTheme="minorHAnsi" w:hAnsiTheme="minorHAnsi"/>
          <w:sz w:val="20"/>
        </w:rPr>
        <w:t xml:space="preserve"> (Vic).</w:t>
      </w:r>
    </w:p>
    <w:p w14:paraId="2D05F0A2" w14:textId="77777777" w:rsidR="006542E2" w:rsidRPr="00763B59" w:rsidRDefault="006542E2" w:rsidP="006542E2">
      <w:pPr>
        <w:spacing w:line="276" w:lineRule="auto"/>
        <w:rPr>
          <w:rFonts w:asciiTheme="minorHAnsi" w:hAnsiTheme="minorHAnsi"/>
        </w:rPr>
      </w:pPr>
    </w:p>
    <w:p w14:paraId="57ED36D7" w14:textId="1334AEC3" w:rsidR="006542E2" w:rsidRPr="00763B59" w:rsidRDefault="006542E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2 offences (s 7(3))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Schedule 2)</w:t>
      </w:r>
    </w:p>
    <w:p w14:paraId="425DB497"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1FE5E092"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section 270.7 of the </w:t>
      </w:r>
      <w:r w:rsidRPr="00763B59">
        <w:rPr>
          <w:rFonts w:asciiTheme="minorHAnsi" w:hAnsiTheme="minorHAnsi"/>
          <w:i/>
          <w:sz w:val="20"/>
        </w:rPr>
        <w:t>Criminal Code</w:t>
      </w:r>
      <w:r w:rsidRPr="00763B59">
        <w:rPr>
          <w:rFonts w:asciiTheme="minorHAnsi" w:hAnsiTheme="minorHAnsi"/>
          <w:sz w:val="20"/>
        </w:rPr>
        <w:t xml:space="preserve"> where the victim is a child and the conduct involves deceptive recruiting for sexual services. </w:t>
      </w:r>
    </w:p>
    <w:p w14:paraId="50E5011A" w14:textId="77777777" w:rsidR="006542E2" w:rsidRPr="00763B59" w:rsidRDefault="006542E2" w:rsidP="006542E2">
      <w:pPr>
        <w:rPr>
          <w:rFonts w:asciiTheme="minorHAnsi" w:hAnsiTheme="minorHAnsi"/>
          <w:sz w:val="20"/>
        </w:rPr>
      </w:pPr>
    </w:p>
    <w:p w14:paraId="7C6827E5"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section 271.4 (trafficking in children) or section 271.7 (domestic trafficking in children) of the </w:t>
      </w:r>
      <w:r w:rsidRPr="00763B59">
        <w:rPr>
          <w:rFonts w:asciiTheme="minorHAnsi" w:hAnsiTheme="minorHAnsi"/>
          <w:i/>
          <w:sz w:val="20"/>
        </w:rPr>
        <w:t>Criminal Code</w:t>
      </w:r>
      <w:r w:rsidRPr="00763B59">
        <w:rPr>
          <w:rFonts w:asciiTheme="minorHAnsi" w:hAnsiTheme="minorHAnsi"/>
          <w:sz w:val="20"/>
        </w:rPr>
        <w:t xml:space="preserve"> in circumstances where the purpose of the exploitation is to provide sexual services.</w:t>
      </w:r>
    </w:p>
    <w:p w14:paraId="42CF7A25" w14:textId="77777777" w:rsidR="006542E2" w:rsidRPr="00763B59" w:rsidRDefault="006542E2" w:rsidP="006542E2">
      <w:pPr>
        <w:pStyle w:val="ListParagraph"/>
        <w:rPr>
          <w:rFonts w:asciiTheme="minorHAnsi" w:hAnsiTheme="minorHAnsi"/>
          <w:sz w:val="20"/>
        </w:rPr>
      </w:pPr>
    </w:p>
    <w:p w14:paraId="2C8DC452"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of benefiting from, encouraging or preparing for 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0BFD9562"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272.18(1) (benefiting from offence against Division 272);</w:t>
      </w:r>
    </w:p>
    <w:p w14:paraId="1A58934A"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272.19(1) (encouraging offence against Division 272);</w:t>
      </w:r>
    </w:p>
    <w:p w14:paraId="53174AAF"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272.20(1) and (2) (preparing for or planning offence against Division 272);</w:t>
      </w:r>
    </w:p>
    <w:p w14:paraId="3F98FC62" w14:textId="77777777" w:rsidR="006542E2" w:rsidRPr="00763B59" w:rsidRDefault="006542E2" w:rsidP="006542E2">
      <w:pPr>
        <w:tabs>
          <w:tab w:val="left" w:pos="426"/>
        </w:tabs>
        <w:spacing w:line="276" w:lineRule="auto"/>
        <w:ind w:left="633"/>
        <w:jc w:val="both"/>
        <w:rPr>
          <w:rFonts w:asciiTheme="minorHAnsi" w:hAnsiTheme="minorHAnsi"/>
          <w:sz w:val="20"/>
        </w:rPr>
      </w:pPr>
    </w:p>
    <w:p w14:paraId="6B170926"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child pornography and child abuse material outside Australia:</w:t>
      </w:r>
    </w:p>
    <w:p w14:paraId="6DC6F6EE"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273.5(1) (possessing, controlling, producing, distributing or obtaining child pornography material outside Australia);</w:t>
      </w:r>
    </w:p>
    <w:p w14:paraId="04FBF9AE"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273.6(1) (possessing, controlling, producing, distributing or obtaining child abuse material of a sexual nature outside Australia);</w:t>
      </w:r>
    </w:p>
    <w:p w14:paraId="51A64D5E"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273.7(1) (aggravated offending relating to child pornography or child abuse material of a sexual nature outside Australia).</w:t>
      </w:r>
    </w:p>
    <w:p w14:paraId="73F30216" w14:textId="77777777" w:rsidR="006542E2" w:rsidRPr="00763B59" w:rsidRDefault="006542E2" w:rsidP="006542E2">
      <w:pPr>
        <w:tabs>
          <w:tab w:val="left" w:pos="426"/>
        </w:tabs>
        <w:spacing w:line="276" w:lineRule="auto"/>
        <w:ind w:left="1440"/>
        <w:jc w:val="both"/>
        <w:rPr>
          <w:rFonts w:asciiTheme="minorHAnsi" w:hAnsiTheme="minorHAnsi"/>
          <w:sz w:val="20"/>
        </w:rPr>
      </w:pPr>
    </w:p>
    <w:p w14:paraId="4CA3F842"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postal or similar service:</w:t>
      </w:r>
    </w:p>
    <w:p w14:paraId="4977D5F7" w14:textId="77777777" w:rsidR="006542E2" w:rsidRPr="00763B59" w:rsidRDefault="006542E2" w:rsidP="00EB7F1E">
      <w:pPr>
        <w:numPr>
          <w:ilvl w:val="2"/>
          <w:numId w:val="2"/>
        </w:numPr>
        <w:tabs>
          <w:tab w:val="left" w:pos="426"/>
          <w:tab w:val="left" w:pos="709"/>
          <w:tab w:val="left" w:pos="993"/>
        </w:tabs>
        <w:spacing w:before="120" w:line="276" w:lineRule="auto"/>
        <w:ind w:left="2154" w:hanging="357"/>
        <w:jc w:val="both"/>
        <w:rPr>
          <w:rFonts w:asciiTheme="minorHAnsi" w:hAnsiTheme="minorHAnsi"/>
          <w:sz w:val="20"/>
        </w:rPr>
      </w:pPr>
      <w:r w:rsidRPr="00763B59">
        <w:rPr>
          <w:rFonts w:asciiTheme="minorHAnsi" w:hAnsiTheme="minorHAnsi"/>
          <w:sz w:val="20"/>
        </w:rPr>
        <w:t>section 471.16 (using a postal or similar service for child pornography material);</w:t>
      </w:r>
    </w:p>
    <w:p w14:paraId="15584458"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471.17 (possessing, controlling, producing, supplying or obtaining child pornography material for use through a postal or similar service);</w:t>
      </w:r>
    </w:p>
    <w:p w14:paraId="76428EC0"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471.19 (using a postal or similar service for child abuse material of a sexual nature);</w:t>
      </w:r>
    </w:p>
    <w:p w14:paraId="726B5116"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471.20 (possessing, controlling, producing, supplying or obtaining child abuse material of a sexual nature for use through a postal or similar service);</w:t>
      </w:r>
    </w:p>
    <w:p w14:paraId="1A12A438" w14:textId="77777777" w:rsidR="006542E2" w:rsidRPr="00763B59" w:rsidRDefault="006542E2" w:rsidP="00EB7F1E">
      <w:pPr>
        <w:numPr>
          <w:ilvl w:val="2"/>
          <w:numId w:val="2"/>
        </w:numPr>
        <w:tabs>
          <w:tab w:val="left" w:pos="426"/>
          <w:tab w:val="left" w:pos="709"/>
          <w:tab w:val="left" w:pos="990"/>
        </w:tabs>
        <w:spacing w:line="276" w:lineRule="auto"/>
        <w:ind w:left="2154" w:hanging="357"/>
        <w:jc w:val="both"/>
        <w:rPr>
          <w:rFonts w:asciiTheme="minorHAnsi" w:hAnsiTheme="minorHAnsi"/>
          <w:sz w:val="20"/>
        </w:rPr>
      </w:pPr>
      <w:r w:rsidRPr="00763B59">
        <w:rPr>
          <w:rFonts w:asciiTheme="minorHAnsi" w:hAnsiTheme="minorHAnsi"/>
          <w:sz w:val="20"/>
        </w:rPr>
        <w:t>section 471.22 (aggravated offending relating to child abuse material of a sexual nature).</w:t>
      </w:r>
    </w:p>
    <w:p w14:paraId="5832A91F"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471.24 (using a postal or similar service to procure persons under 16);</w:t>
      </w:r>
    </w:p>
    <w:p w14:paraId="2A8EED9E"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471.25 (using a postal or similar service to "groom" persons under 16);</w:t>
      </w:r>
    </w:p>
    <w:p w14:paraId="483E9AB1"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471.26 (using a postal or similar service to send indecent material to person under 16).</w:t>
      </w:r>
    </w:p>
    <w:p w14:paraId="24C15F67" w14:textId="77777777" w:rsidR="006542E2" w:rsidRPr="00763B59" w:rsidRDefault="006542E2" w:rsidP="006542E2">
      <w:pPr>
        <w:tabs>
          <w:tab w:val="left" w:pos="426"/>
        </w:tabs>
        <w:spacing w:line="276" w:lineRule="auto"/>
        <w:jc w:val="both"/>
        <w:rPr>
          <w:rFonts w:asciiTheme="minorHAnsi" w:hAnsiTheme="minorHAnsi"/>
          <w:sz w:val="20"/>
        </w:rPr>
      </w:pPr>
    </w:p>
    <w:p w14:paraId="2975C9DC"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carriage service:</w:t>
      </w:r>
    </w:p>
    <w:p w14:paraId="26CDD5CA" w14:textId="77777777" w:rsidR="006542E2" w:rsidRPr="00763B59" w:rsidRDefault="006542E2" w:rsidP="006542E2">
      <w:pPr>
        <w:numPr>
          <w:ilvl w:val="2"/>
          <w:numId w:val="2"/>
        </w:numPr>
        <w:tabs>
          <w:tab w:val="left" w:pos="426"/>
          <w:tab w:val="left" w:pos="709"/>
          <w:tab w:val="left" w:pos="993"/>
        </w:tabs>
        <w:spacing w:before="120" w:line="276" w:lineRule="auto"/>
        <w:jc w:val="both"/>
        <w:rPr>
          <w:rFonts w:asciiTheme="minorHAnsi" w:hAnsiTheme="minorHAnsi"/>
          <w:sz w:val="20"/>
        </w:rPr>
      </w:pPr>
      <w:r w:rsidRPr="00763B59">
        <w:rPr>
          <w:rFonts w:asciiTheme="minorHAnsi" w:hAnsiTheme="minorHAnsi"/>
          <w:sz w:val="20"/>
        </w:rPr>
        <w:t>section 474.19(1) (using a carriage service for child pornography material);</w:t>
      </w:r>
    </w:p>
    <w:p w14:paraId="418F6A31"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474.20(1) (possessing, controlling, producing, supplying or obtaining child pornography material for use through a carriage service);</w:t>
      </w:r>
    </w:p>
    <w:p w14:paraId="35E9C267"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474.22(1) (using a carriage service for child abuse material);</w:t>
      </w:r>
    </w:p>
    <w:p w14:paraId="63D3B2C5"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474.23(1) (possessing, controlling, producing, supplying or obtaining child abuse material of a sexual nature through a carriage service)</w:t>
      </w:r>
    </w:p>
    <w:p w14:paraId="4B7E291A"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474.24A (aggravated offence involving child abuse material of a sexual nature through a carriage service);</w:t>
      </w:r>
    </w:p>
    <w:p w14:paraId="41FB95C0"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474.25A (using a carriage service for sexual activity with person under 16);</w:t>
      </w:r>
    </w:p>
    <w:p w14:paraId="6BACAF47"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474.25B (aggravated offence—child with mental impairment or under care, supervision or authority of defendant);</w:t>
      </w:r>
    </w:p>
    <w:p w14:paraId="5ACD3066"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474.26 (using a carriage service to procure persons under 16);</w:t>
      </w:r>
    </w:p>
    <w:p w14:paraId="0CC6B1C5"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 (using a carriage service to "groom" persons under 16);</w:t>
      </w:r>
    </w:p>
    <w:p w14:paraId="3D9E7795"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474.27A(1) (using a carriage service to transmit indecent communication to person under 16).</w:t>
      </w:r>
    </w:p>
    <w:p w14:paraId="035E5EA2" w14:textId="77777777" w:rsidR="006542E2" w:rsidRPr="00763B59" w:rsidRDefault="006542E2" w:rsidP="006542E2">
      <w:pPr>
        <w:tabs>
          <w:tab w:val="left" w:pos="426"/>
          <w:tab w:val="left" w:pos="709"/>
          <w:tab w:val="left" w:pos="993"/>
        </w:tabs>
        <w:spacing w:line="276" w:lineRule="auto"/>
        <w:jc w:val="both"/>
        <w:rPr>
          <w:rFonts w:asciiTheme="minorHAnsi" w:hAnsiTheme="minorHAnsi"/>
          <w:sz w:val="20"/>
        </w:rPr>
      </w:pPr>
    </w:p>
    <w:p w14:paraId="5661159D"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Offences under s 233BAB of the </w:t>
      </w:r>
      <w:r w:rsidRPr="00763B59">
        <w:rPr>
          <w:rFonts w:asciiTheme="minorHAnsi" w:hAnsiTheme="minorHAnsi"/>
          <w:i/>
          <w:sz w:val="20"/>
        </w:rPr>
        <w:t xml:space="preserve">Customs Act 1901 </w:t>
      </w:r>
      <w:r w:rsidRPr="00763B59">
        <w:rPr>
          <w:rFonts w:asciiTheme="minorHAnsi" w:hAnsiTheme="minorHAnsi"/>
          <w:sz w:val="20"/>
        </w:rPr>
        <w:t>(Cth) involving items that are child pornography or child abuse material of a sexual nature.</w:t>
      </w:r>
    </w:p>
    <w:p w14:paraId="6586FAAE" w14:textId="77777777" w:rsidR="006542E2" w:rsidRPr="00763B59" w:rsidRDefault="006542E2" w:rsidP="006542E2">
      <w:pPr>
        <w:spacing w:line="276" w:lineRule="auto"/>
        <w:jc w:val="both"/>
        <w:rPr>
          <w:rFonts w:asciiTheme="minorHAnsi" w:hAnsiTheme="minorHAnsi"/>
          <w:sz w:val="20"/>
        </w:rPr>
      </w:pPr>
    </w:p>
    <w:p w14:paraId="064BCC77"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An offence an element of which is an intention to commit an offence of a kind listed in Schedule 2 to the </w:t>
      </w:r>
      <w:r w:rsidRPr="00763B59">
        <w:rPr>
          <w:rFonts w:asciiTheme="minorHAnsi" w:hAnsiTheme="minorHAnsi"/>
          <w:i/>
          <w:sz w:val="20"/>
        </w:rPr>
        <w:t>Sex Offenders Registration Act 2004</w:t>
      </w:r>
      <w:r w:rsidRPr="00763B59">
        <w:rPr>
          <w:rFonts w:asciiTheme="minorHAnsi" w:hAnsiTheme="minorHAnsi"/>
          <w:sz w:val="20"/>
        </w:rPr>
        <w:t xml:space="preserve"> (Vic).</w:t>
      </w:r>
    </w:p>
    <w:p w14:paraId="24EFB03F" w14:textId="77777777" w:rsidR="006542E2" w:rsidRPr="00763B59" w:rsidRDefault="006542E2" w:rsidP="006542E2">
      <w:pPr>
        <w:pStyle w:val="ListParagraph"/>
        <w:rPr>
          <w:rFonts w:asciiTheme="minorHAnsi" w:hAnsiTheme="minorHAnsi"/>
          <w:sz w:val="20"/>
        </w:rPr>
      </w:pPr>
    </w:p>
    <w:p w14:paraId="1A493183"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An offence that, at the time it was committed—</w:t>
      </w:r>
    </w:p>
    <w:p w14:paraId="04FD3327" w14:textId="77777777" w:rsidR="006542E2" w:rsidRPr="00763B59" w:rsidRDefault="006542E2" w:rsidP="00EB7F1E">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 xml:space="preserve">was a Class 2 offence for the purposes of the </w:t>
      </w:r>
      <w:r w:rsidRPr="00763B59">
        <w:rPr>
          <w:rFonts w:asciiTheme="minorHAnsi" w:hAnsiTheme="minorHAnsi"/>
          <w:i/>
          <w:iCs/>
          <w:sz w:val="20"/>
        </w:rPr>
        <w:t>Sex Offenders Registration Act 2004</w:t>
      </w:r>
      <w:r w:rsidRPr="00763B59">
        <w:rPr>
          <w:rFonts w:asciiTheme="minorHAnsi" w:hAnsiTheme="minorHAnsi"/>
          <w:sz w:val="20"/>
        </w:rPr>
        <w:t xml:space="preserve"> (Vic); or</w:t>
      </w:r>
    </w:p>
    <w:p w14:paraId="00A01A5E" w14:textId="77777777" w:rsidR="006542E2" w:rsidRPr="00763B59" w:rsidRDefault="006542E2" w:rsidP="00EB7F1E">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 xml:space="preserve">if committed before 1 October 2004, was an offence of a kind listed in Schedule 2 to the </w:t>
      </w:r>
      <w:r w:rsidRPr="00763B59">
        <w:rPr>
          <w:rFonts w:asciiTheme="minorHAnsi" w:hAnsiTheme="minorHAnsi"/>
          <w:i/>
          <w:iCs/>
          <w:sz w:val="20"/>
        </w:rPr>
        <w:t>Sex Offenders Registration Act 2004</w:t>
      </w:r>
      <w:r w:rsidRPr="00763B59">
        <w:rPr>
          <w:rFonts w:asciiTheme="minorHAnsi" w:hAnsiTheme="minorHAnsi"/>
          <w:sz w:val="20"/>
        </w:rPr>
        <w:t xml:space="preserve"> (Vic).</w:t>
      </w:r>
    </w:p>
    <w:p w14:paraId="1920284C" w14:textId="77777777" w:rsidR="006542E2" w:rsidRPr="00763B59" w:rsidRDefault="006542E2" w:rsidP="006542E2">
      <w:pPr>
        <w:tabs>
          <w:tab w:val="left" w:pos="426"/>
          <w:tab w:val="left" w:pos="709"/>
          <w:tab w:val="left" w:pos="993"/>
        </w:tabs>
        <w:spacing w:before="120" w:line="276" w:lineRule="auto"/>
        <w:ind w:left="2160"/>
        <w:jc w:val="both"/>
        <w:rPr>
          <w:rFonts w:asciiTheme="minorHAnsi" w:hAnsiTheme="minorHAnsi"/>
          <w:sz w:val="20"/>
        </w:rPr>
      </w:pPr>
    </w:p>
    <w:p w14:paraId="01B69C2B"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An offence of attempting, or conspiracy or incitement to commit an offence listed in Schedule 2 to the </w:t>
      </w:r>
      <w:r w:rsidRPr="00763B59">
        <w:rPr>
          <w:rFonts w:asciiTheme="minorHAnsi" w:hAnsiTheme="minorHAnsi"/>
          <w:i/>
          <w:sz w:val="20"/>
        </w:rPr>
        <w:t>Sex Offenders Registration Act 2004</w:t>
      </w:r>
      <w:r w:rsidRPr="00763B59">
        <w:rPr>
          <w:rFonts w:asciiTheme="minorHAnsi" w:hAnsiTheme="minorHAnsi"/>
          <w:sz w:val="20"/>
        </w:rPr>
        <w:t xml:space="preserve"> (Vic).</w:t>
      </w:r>
    </w:p>
    <w:p w14:paraId="5591D135" w14:textId="77777777" w:rsidR="006542E2" w:rsidRPr="00763B59" w:rsidRDefault="006542E2" w:rsidP="006542E2">
      <w:pPr>
        <w:spacing w:line="276" w:lineRule="auto"/>
        <w:ind w:left="567"/>
        <w:jc w:val="both"/>
        <w:rPr>
          <w:rFonts w:asciiTheme="minorHAnsi" w:hAnsiTheme="minorHAnsi"/>
          <w:sz w:val="20"/>
        </w:rPr>
      </w:pPr>
    </w:p>
    <w:p w14:paraId="5613CD90" w14:textId="36956955" w:rsidR="007B4342" w:rsidRPr="00763B59" w:rsidRDefault="007B4342">
      <w:pPr>
        <w:rPr>
          <w:rFonts w:asciiTheme="minorHAnsi" w:hAnsiTheme="minorHAnsi"/>
          <w:sz w:val="20"/>
        </w:rPr>
      </w:pPr>
      <w:r w:rsidRPr="00763B59">
        <w:rPr>
          <w:rFonts w:asciiTheme="minorHAnsi" w:hAnsiTheme="minorHAnsi"/>
          <w:sz w:val="20"/>
        </w:rPr>
        <w:br w:type="page"/>
      </w:r>
    </w:p>
    <w:p w14:paraId="6696DEEC" w14:textId="5E89627B" w:rsidR="007B4342" w:rsidRPr="00763B59" w:rsidRDefault="007B4342" w:rsidP="00EB7F1E">
      <w:pPr>
        <w:pStyle w:val="Heading2"/>
        <w:numPr>
          <w:ilvl w:val="0"/>
          <w:numId w:val="0"/>
        </w:numPr>
        <w:ind w:left="720" w:hanging="720"/>
      </w:pPr>
      <w:bookmarkStart w:id="3574" w:name="_Toc33602993"/>
      <w:r w:rsidRPr="00763B59">
        <w:t>A2.3</w:t>
      </w:r>
      <w:r w:rsidR="001B6935" w:rsidRPr="00763B59">
        <w:tab/>
      </w:r>
      <w:r w:rsidRPr="00763B59">
        <w:t>Queensland: Registrable federal offences under the Child Protection (Offender Reporting and Offender Prohibition Order) Act 2004 (Qld)</w:t>
      </w:r>
      <w:bookmarkEnd w:id="3574"/>
    </w:p>
    <w:p w14:paraId="44F30150"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39864463" w14:textId="2BDA81AC"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Prescribed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Schedule 1)</w:t>
      </w:r>
    </w:p>
    <w:p w14:paraId="6EFA5A23"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1560D832"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Offences against the following provisions of the </w:t>
      </w:r>
      <w:r w:rsidRPr="00763B59">
        <w:rPr>
          <w:rFonts w:asciiTheme="minorHAnsi" w:hAnsiTheme="minorHAnsi"/>
          <w:i/>
          <w:sz w:val="20"/>
        </w:rPr>
        <w:t>Criminal Code</w:t>
      </w:r>
      <w:r w:rsidRPr="00763B59">
        <w:rPr>
          <w:rFonts w:asciiTheme="minorHAnsi" w:hAnsiTheme="minorHAnsi"/>
          <w:sz w:val="20"/>
        </w:rPr>
        <w:t xml:space="preserve">, as in force from time to time before being amended by </w:t>
      </w:r>
      <w:r w:rsidRPr="00763B59">
        <w:rPr>
          <w:rFonts w:asciiTheme="minorHAnsi" w:hAnsiTheme="minorHAnsi"/>
          <w:i/>
          <w:sz w:val="20"/>
        </w:rPr>
        <w:t>the Crimes Legislation Amendment (Slavery, Slavery-like Conditions and People Trafficking) Act</w:t>
      </w:r>
      <w:r w:rsidRPr="00763B59">
        <w:rPr>
          <w:rFonts w:asciiTheme="minorHAnsi" w:hAnsiTheme="minorHAnsi"/>
          <w:sz w:val="20"/>
        </w:rPr>
        <w:t xml:space="preserve"> 2013 (Cth) —</w:t>
      </w:r>
    </w:p>
    <w:p w14:paraId="3F52A3C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270.6 (Sexual servitude offences)</w:t>
      </w:r>
    </w:p>
    <w:p w14:paraId="60629456"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270.7 (Deceptive recruiting for sexual services)</w:t>
      </w:r>
    </w:p>
    <w:p w14:paraId="283E3BFD" w14:textId="05338BFC" w:rsidR="007B4342" w:rsidRPr="00763B59" w:rsidRDefault="007B4342" w:rsidP="00D90128">
      <w:pPr>
        <w:tabs>
          <w:tab w:val="left" w:pos="709"/>
        </w:tabs>
        <w:spacing w:line="276" w:lineRule="auto"/>
        <w:ind w:left="993"/>
        <w:jc w:val="both"/>
        <w:rPr>
          <w:rFonts w:asciiTheme="minorHAnsi" w:hAnsiTheme="minorHAnsi"/>
          <w:sz w:val="20"/>
        </w:rPr>
      </w:pPr>
      <w:r w:rsidRPr="00763B59">
        <w:rPr>
          <w:rFonts w:asciiTheme="minorHAnsi" w:hAnsiTheme="minorHAnsi"/>
          <w:sz w:val="20"/>
        </w:rPr>
        <w:t>in circumstances where:</w:t>
      </w:r>
    </w:p>
    <w:p w14:paraId="76902AC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the victim is a child; or</w:t>
      </w:r>
    </w:p>
    <w:p w14:paraId="13C70F2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the police commissioner reasonably believes the offender believed that the victim was a child.</w:t>
      </w:r>
    </w:p>
    <w:p w14:paraId="569C4D36" w14:textId="77777777" w:rsidR="007B4342" w:rsidRPr="00763B59" w:rsidRDefault="007B4342" w:rsidP="007B4342">
      <w:pPr>
        <w:tabs>
          <w:tab w:val="left" w:pos="426"/>
        </w:tabs>
        <w:spacing w:line="276" w:lineRule="auto"/>
        <w:ind w:left="1440"/>
        <w:jc w:val="both"/>
        <w:rPr>
          <w:rFonts w:asciiTheme="minorHAnsi" w:hAnsiTheme="minorHAnsi"/>
          <w:sz w:val="20"/>
        </w:rPr>
      </w:pPr>
    </w:p>
    <w:p w14:paraId="454B03DB"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any of the following provisions of the Criminal Code:</w:t>
      </w:r>
    </w:p>
    <w:p w14:paraId="69DFD055"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271.4 (Offence of trafficking in children)</w:t>
      </w:r>
    </w:p>
    <w:p w14:paraId="4A483CA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271.7 (Offence of domestic trafficking in children)</w:t>
      </w:r>
    </w:p>
    <w:p w14:paraId="504C6C9F"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272.8 (Sexual intercourse with child outside Australia)</w:t>
      </w:r>
    </w:p>
    <w:p w14:paraId="1EEFFD4F"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272.9 (Sexual activity (other than sexual intercourse) with child outside Australia)</w:t>
      </w:r>
    </w:p>
    <w:p w14:paraId="77D5889A"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272.10 (Aggravated offence—child with mental impairment or under care, supervision or authority of defendant)</w:t>
      </w:r>
    </w:p>
    <w:p w14:paraId="55E67208"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272.11 (Persistent sexual abuse of child outside Australia)</w:t>
      </w:r>
    </w:p>
    <w:p w14:paraId="04B180F1"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272.12 (Sexual intercourse with young person outside Australia—defendant in position of trust or authority)</w:t>
      </w:r>
    </w:p>
    <w:p w14:paraId="28AC3D79"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272.13 (Sexual activity (other than sexual intercourse) with young person outside Australia—defendant in position of trust or authority)</w:t>
      </w:r>
    </w:p>
    <w:p w14:paraId="72BF0CF7"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272.14 (Procuring child to engage in sexual activity outside Australia)</w:t>
      </w:r>
    </w:p>
    <w:p w14:paraId="266160E9"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272.15 (“Grooming” child to engage in sexual activity outside Australia)</w:t>
      </w:r>
    </w:p>
    <w:p w14:paraId="00CF83D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272.18 (Benefiting from offence against Division 272)</w:t>
      </w:r>
    </w:p>
    <w:p w14:paraId="3400B31B"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272.19 (Encouraging offence against Division 272)</w:t>
      </w:r>
    </w:p>
    <w:p w14:paraId="19E3E5E8"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272.20 (Preparing for or planning offence against Division 272)</w:t>
      </w:r>
    </w:p>
    <w:p w14:paraId="56F7C51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273.5 (Possessing, controlling, producing, distributing or obtaining child pornography material outside Australia)</w:t>
      </w:r>
    </w:p>
    <w:p w14:paraId="7A51EB3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273.6 (Possessing, controlling, producing, distributing or obtaining child abuse material outside Australia)</w:t>
      </w:r>
    </w:p>
    <w:p w14:paraId="33B8D6D9"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273.7 (Aggravated offence—offence involving conduct on 3 or more occasions and 2 or more people)</w:t>
      </w:r>
    </w:p>
    <w:p w14:paraId="55171C1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471.16 (Using a postal or similar service for child pornography material)</w:t>
      </w:r>
    </w:p>
    <w:p w14:paraId="729CC530"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471.17 (Possessing, controlling, producing, supplying or obtaining child pornography material for use through a postal or similar service)</w:t>
      </w:r>
    </w:p>
    <w:p w14:paraId="0345BCCD"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471.19 (Using a postal or similar service for child abuse material)</w:t>
      </w:r>
    </w:p>
    <w:p w14:paraId="2568A96A"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471.20 (Possessing, controlling, producing, supplying or obtaining child abuse material for use through a postal or similar service)</w:t>
      </w:r>
    </w:p>
    <w:p w14:paraId="3B38100B"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471.22 (Aggravated offence—offence involving conduct on 3 or more occasions and 2 or more people)</w:t>
      </w:r>
    </w:p>
    <w:p w14:paraId="70CC39E1"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471.24 (Using a postal or similar service to procure persons under 16)</w:t>
      </w:r>
    </w:p>
    <w:p w14:paraId="65D55C4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471.25 (Using a postal or similar service to “groom” persons under 16)</w:t>
      </w:r>
    </w:p>
    <w:p w14:paraId="4543080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471.26 (Using a postal or similar service to send indecent material to person under 16)</w:t>
      </w:r>
    </w:p>
    <w:p w14:paraId="37970F3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474.19 (Using a carriage service for child pornography material)</w:t>
      </w:r>
    </w:p>
    <w:p w14:paraId="3930812F"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474.20 (Possessing, controlling, producing, supplying or obtaining child pornography material for use through a carriage service)</w:t>
      </w:r>
    </w:p>
    <w:p w14:paraId="14D8C2B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474.22 (Using a carriage service for child abuse material)</w:t>
      </w:r>
    </w:p>
    <w:p w14:paraId="5AB39E41"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474.23 (Possessing, controlling, producing, supplying or obtaining child abuse material for use through a carriage service)</w:t>
      </w:r>
    </w:p>
    <w:p w14:paraId="37CB1C66"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474.24A (Aggravated offence—offence involving conduct on 3 or more occasions and 2 or more people)</w:t>
      </w:r>
    </w:p>
    <w:p w14:paraId="060D4768"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474.25A (Using a carriage service for sexual activity with person under 16 years of age)</w:t>
      </w:r>
    </w:p>
    <w:p w14:paraId="467905C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474.25B (Aggravated offence—child with mental impairment or under care, supervision or authority of defendant)</w:t>
      </w:r>
    </w:p>
    <w:p w14:paraId="2BE0329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474.26 (Using a carriage service to procure persons under 16 years of age)</w:t>
      </w:r>
    </w:p>
    <w:p w14:paraId="530259C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474.27 (Using a carriage service to “groom” persons under 16 years of age)</w:t>
      </w:r>
    </w:p>
    <w:p w14:paraId="1C3BB9C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474.27A (Using a carriage service to transmit indecent communication to person under 16 years of age).</w:t>
      </w:r>
    </w:p>
    <w:p w14:paraId="3A52085D" w14:textId="77777777" w:rsidR="007B4342" w:rsidRPr="00763B59" w:rsidRDefault="007B4342" w:rsidP="007B4342">
      <w:pPr>
        <w:tabs>
          <w:tab w:val="left" w:pos="426"/>
        </w:tabs>
        <w:spacing w:line="276" w:lineRule="auto"/>
        <w:ind w:left="1440"/>
        <w:jc w:val="both"/>
        <w:rPr>
          <w:rFonts w:asciiTheme="minorHAnsi" w:hAnsiTheme="minorHAnsi"/>
          <w:sz w:val="20"/>
        </w:rPr>
      </w:pPr>
    </w:p>
    <w:p w14:paraId="7817BD29"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An offence against any of the following provisions of the </w:t>
      </w:r>
      <w:r w:rsidRPr="00763B59">
        <w:rPr>
          <w:rFonts w:asciiTheme="minorHAnsi" w:hAnsiTheme="minorHAnsi"/>
          <w:i/>
          <w:sz w:val="20"/>
        </w:rPr>
        <w:t>Crimes Act 1914</w:t>
      </w:r>
      <w:r w:rsidRPr="00763B59">
        <w:rPr>
          <w:rFonts w:asciiTheme="minorHAnsi" w:hAnsiTheme="minorHAnsi"/>
          <w:sz w:val="20"/>
        </w:rPr>
        <w:t xml:space="preserve"> (Cth), as in force from time to time before being repealed</w:t>
      </w:r>
      <w:r w:rsidRPr="00763B59">
        <w:rPr>
          <w:rStyle w:val="FootnoteReference"/>
          <w:rFonts w:asciiTheme="minorHAnsi" w:hAnsiTheme="minorHAnsi"/>
        </w:rPr>
        <w:footnoteReference w:id="1194"/>
      </w:r>
      <w:r w:rsidRPr="00763B59">
        <w:rPr>
          <w:rFonts w:asciiTheme="minorHAnsi" w:hAnsiTheme="minorHAnsi"/>
          <w:sz w:val="20"/>
        </w:rPr>
        <w:t xml:space="preserve"> by the </w:t>
      </w:r>
      <w:r w:rsidRPr="00763B59">
        <w:rPr>
          <w:rFonts w:asciiTheme="minorHAnsi" w:hAnsiTheme="minorHAnsi"/>
          <w:i/>
          <w:sz w:val="20"/>
        </w:rPr>
        <w:t>Crimes Legislation Amendment (Sexual Offences Against Children) Act</w:t>
      </w:r>
      <w:r w:rsidRPr="00763B59">
        <w:rPr>
          <w:rFonts w:asciiTheme="minorHAnsi" w:hAnsiTheme="minorHAnsi"/>
          <w:sz w:val="20"/>
        </w:rPr>
        <w:t xml:space="preserve"> 2010 (Cth) —</w:t>
      </w:r>
    </w:p>
    <w:p w14:paraId="41C0C4E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50BA (Sexual intercourse with child under 16)</w:t>
      </w:r>
    </w:p>
    <w:p w14:paraId="1B4DD6AA"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50BB (Inducing child under 16 to engage in sexual intercourse)</w:t>
      </w:r>
    </w:p>
    <w:p w14:paraId="1430F2F4"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50BC (Sexual conduct involving child under 16)</w:t>
      </w:r>
    </w:p>
    <w:p w14:paraId="34E54126"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50BD (Inducing child under 16 to be involved in sexual conduct)</w:t>
      </w:r>
    </w:p>
    <w:p w14:paraId="5A0125B8"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50DA (Benefiting from offence against this Part)</w:t>
      </w:r>
    </w:p>
    <w:p w14:paraId="7910F8A7"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50DB (Encouraging offence against this Part)</w:t>
      </w:r>
    </w:p>
    <w:p w14:paraId="1B2025B1" w14:textId="77777777" w:rsidR="007B4342" w:rsidRPr="00763B59" w:rsidRDefault="007B4342" w:rsidP="007B4342">
      <w:pPr>
        <w:tabs>
          <w:tab w:val="left" w:pos="426"/>
        </w:tabs>
        <w:spacing w:line="276" w:lineRule="auto"/>
        <w:ind w:left="1440"/>
        <w:jc w:val="both"/>
        <w:rPr>
          <w:rFonts w:asciiTheme="minorHAnsi" w:hAnsiTheme="minorHAnsi"/>
          <w:sz w:val="20"/>
        </w:rPr>
      </w:pPr>
    </w:p>
    <w:p w14:paraId="3B52B711"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An offence against the </w:t>
      </w:r>
      <w:r w:rsidRPr="00763B59">
        <w:rPr>
          <w:rFonts w:asciiTheme="minorHAnsi" w:hAnsiTheme="minorHAnsi"/>
          <w:i/>
          <w:sz w:val="20"/>
        </w:rPr>
        <w:t>Customs Act 1901</w:t>
      </w:r>
      <w:r w:rsidRPr="00763B59">
        <w:rPr>
          <w:rFonts w:asciiTheme="minorHAnsi" w:hAnsiTheme="minorHAnsi"/>
          <w:sz w:val="20"/>
        </w:rPr>
        <w:t xml:space="preserve"> (Cth), section 233BAB that involves child pornography or child abuse material.</w:t>
      </w:r>
    </w:p>
    <w:p w14:paraId="6F45D0C1" w14:textId="77777777" w:rsidR="007B4342" w:rsidRPr="00763B59" w:rsidRDefault="007B4342" w:rsidP="007B4342">
      <w:pPr>
        <w:pStyle w:val="ListParagraph"/>
        <w:rPr>
          <w:rFonts w:asciiTheme="minorHAnsi" w:hAnsiTheme="minorHAnsi"/>
          <w:sz w:val="20"/>
        </w:rPr>
      </w:pPr>
    </w:p>
    <w:p w14:paraId="64666430"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an  offence listed in Schedule 1.</w:t>
      </w:r>
    </w:p>
    <w:p w14:paraId="471E6AD1" w14:textId="77777777" w:rsidR="007B4342" w:rsidRPr="00763B59" w:rsidRDefault="007B4342" w:rsidP="007B4342">
      <w:pPr>
        <w:tabs>
          <w:tab w:val="left" w:pos="426"/>
        </w:tabs>
        <w:spacing w:line="276" w:lineRule="auto"/>
        <w:ind w:left="930"/>
        <w:jc w:val="both"/>
        <w:rPr>
          <w:rFonts w:asciiTheme="minorHAnsi" w:hAnsiTheme="minorHAnsi"/>
          <w:sz w:val="20"/>
        </w:rPr>
      </w:pPr>
    </w:p>
    <w:p w14:paraId="74F4A48C"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an offence listed in Schedule 1.</w:t>
      </w:r>
    </w:p>
    <w:p w14:paraId="685979C8" w14:textId="77777777" w:rsidR="007B4342" w:rsidRPr="00763B59" w:rsidRDefault="007B4342" w:rsidP="007B4342">
      <w:pPr>
        <w:pStyle w:val="ListParagraph"/>
        <w:rPr>
          <w:rFonts w:asciiTheme="minorHAnsi" w:hAnsiTheme="minorHAnsi"/>
          <w:sz w:val="20"/>
        </w:rPr>
      </w:pPr>
    </w:p>
    <w:p w14:paraId="4BA1CF4A" w14:textId="70F30051"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 was a class 1 offence or a class 2 offence within the meaning of the</w:t>
      </w:r>
      <w:r w:rsidRPr="00763B59">
        <w:rPr>
          <w:rFonts w:ascii="Calibri" w:hAnsi="Calibri"/>
        </w:rPr>
        <w:t xml:space="preserve"> </w:t>
      </w:r>
      <w:r w:rsidRPr="00763B59">
        <w:rPr>
          <w:rFonts w:asciiTheme="minorHAnsi" w:hAnsiTheme="minorHAnsi"/>
          <w:i/>
          <w:sz w:val="20"/>
        </w:rPr>
        <w:t>Child Protection (Offender Reporting and Offender Prohibition Order) Act</w:t>
      </w:r>
      <w:r w:rsidRPr="00763B59">
        <w:rPr>
          <w:rFonts w:asciiTheme="minorHAnsi" w:hAnsiTheme="minorHAnsi"/>
          <w:sz w:val="20"/>
        </w:rPr>
        <w:t xml:space="preserve"> 2004 (Q</w:t>
      </w:r>
      <w:r w:rsidR="004A546A" w:rsidRPr="00763B59">
        <w:rPr>
          <w:rFonts w:asciiTheme="minorHAnsi" w:hAnsiTheme="minorHAnsi"/>
          <w:sz w:val="20"/>
        </w:rPr>
        <w:t>ld</w:t>
      </w:r>
      <w:r w:rsidRPr="00763B59">
        <w:rPr>
          <w:rFonts w:asciiTheme="minorHAnsi" w:hAnsiTheme="minorHAnsi"/>
          <w:sz w:val="20"/>
        </w:rPr>
        <w:t>) as in force immediately before the commencement</w:t>
      </w:r>
      <w:r w:rsidRPr="00763B59">
        <w:rPr>
          <w:rStyle w:val="FootnoteReference"/>
          <w:rFonts w:asciiTheme="minorHAnsi" w:hAnsiTheme="minorHAnsi"/>
        </w:rPr>
        <w:footnoteReference w:id="1195"/>
      </w:r>
      <w:r w:rsidRPr="00763B59">
        <w:rPr>
          <w:rFonts w:asciiTheme="minorHAnsi" w:hAnsiTheme="minorHAnsi"/>
          <w:sz w:val="20"/>
        </w:rPr>
        <w:t xml:space="preserve"> of the </w:t>
      </w:r>
      <w:r w:rsidRPr="00763B59">
        <w:rPr>
          <w:rFonts w:asciiTheme="minorHAnsi" w:hAnsiTheme="minorHAnsi"/>
          <w:i/>
          <w:sz w:val="20"/>
        </w:rPr>
        <w:t>Child Protection (Offender Reporting) and Other Legislation Amendment Act</w:t>
      </w:r>
      <w:r w:rsidRPr="00763B59">
        <w:rPr>
          <w:rFonts w:asciiTheme="minorHAnsi" w:hAnsiTheme="minorHAnsi"/>
          <w:sz w:val="20"/>
        </w:rPr>
        <w:t xml:space="preserve"> 2014 (Q</w:t>
      </w:r>
      <w:r w:rsidR="004A546A" w:rsidRPr="00763B59">
        <w:rPr>
          <w:rFonts w:asciiTheme="minorHAnsi" w:hAnsiTheme="minorHAnsi"/>
          <w:sz w:val="20"/>
        </w:rPr>
        <w:t>ld</w:t>
      </w:r>
      <w:r w:rsidRPr="00763B59">
        <w:rPr>
          <w:rFonts w:asciiTheme="minorHAnsi" w:hAnsiTheme="minorHAnsi"/>
          <w:sz w:val="20"/>
        </w:rPr>
        <w:t>).</w:t>
      </w:r>
    </w:p>
    <w:p w14:paraId="199A175D" w14:textId="36AD0A14" w:rsidR="000E3B76" w:rsidRPr="00763B59" w:rsidRDefault="000E3B76">
      <w:pPr>
        <w:rPr>
          <w:rFonts w:asciiTheme="minorHAnsi" w:hAnsiTheme="minorHAnsi"/>
          <w:sz w:val="20"/>
        </w:rPr>
      </w:pPr>
      <w:r w:rsidRPr="00763B59">
        <w:rPr>
          <w:rFonts w:asciiTheme="minorHAnsi" w:hAnsiTheme="minorHAnsi"/>
          <w:sz w:val="20"/>
        </w:rPr>
        <w:br w:type="page"/>
      </w:r>
    </w:p>
    <w:p w14:paraId="1F587B01" w14:textId="23A3D8D6" w:rsidR="007B4342" w:rsidRPr="00763B59" w:rsidRDefault="007B4342" w:rsidP="00EB7F1E">
      <w:pPr>
        <w:pStyle w:val="Heading2"/>
        <w:numPr>
          <w:ilvl w:val="0"/>
          <w:numId w:val="0"/>
        </w:numPr>
        <w:ind w:left="720" w:hanging="720"/>
      </w:pPr>
      <w:bookmarkStart w:id="3575" w:name="_Toc33602994"/>
      <w:r w:rsidRPr="00763B59">
        <w:t>A2.4</w:t>
      </w:r>
      <w:r w:rsidR="001B6935" w:rsidRPr="00763B59">
        <w:tab/>
      </w:r>
      <w:r w:rsidRPr="00763B59">
        <w:t>Western Australia: Registrable federal offences under the Community Protection (Offender Reporting) Act 2004 (WA)</w:t>
      </w:r>
      <w:bookmarkEnd w:id="3575"/>
    </w:p>
    <w:p w14:paraId="2073A204"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0F1B4654" w14:textId="70D51639"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1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 10 and Schedule 1)</w:t>
      </w:r>
    </w:p>
    <w:p w14:paraId="2465B3F2"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6CB523ED"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50BA</w:t>
      </w:r>
      <w:r w:rsidRPr="00763B59">
        <w:rPr>
          <w:rStyle w:val="FootnoteReference"/>
          <w:rFonts w:asciiTheme="minorHAnsi" w:hAnsiTheme="minorHAnsi"/>
        </w:rPr>
        <w:footnoteReference w:id="1196"/>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(sexual intercourse with child under 16).</w:t>
      </w:r>
    </w:p>
    <w:p w14:paraId="7C303334" w14:textId="77777777" w:rsidR="007B4342" w:rsidRPr="00763B59" w:rsidRDefault="007B4342" w:rsidP="007B4342">
      <w:pPr>
        <w:tabs>
          <w:tab w:val="left" w:pos="426"/>
        </w:tabs>
        <w:spacing w:line="276" w:lineRule="auto"/>
        <w:ind w:left="930"/>
        <w:jc w:val="both"/>
        <w:rPr>
          <w:rFonts w:asciiTheme="minorHAnsi" w:hAnsiTheme="minorHAnsi"/>
          <w:sz w:val="20"/>
        </w:rPr>
      </w:pPr>
    </w:p>
    <w:p w14:paraId="602958AF"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50BB</w:t>
      </w:r>
      <w:r w:rsidRPr="00763B59">
        <w:rPr>
          <w:rStyle w:val="FootnoteReference"/>
          <w:rFonts w:asciiTheme="minorHAnsi" w:hAnsiTheme="minorHAnsi"/>
        </w:rPr>
        <w:footnoteReference w:id="1197"/>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(inducing child under 16 to engage in sexual intercourse).</w:t>
      </w:r>
    </w:p>
    <w:p w14:paraId="2D3C2916" w14:textId="77777777" w:rsidR="007B4342" w:rsidRPr="00763B59" w:rsidRDefault="007B4342" w:rsidP="007B4342">
      <w:pPr>
        <w:pStyle w:val="ListParagraph"/>
        <w:rPr>
          <w:rFonts w:asciiTheme="minorHAnsi" w:hAnsiTheme="minorHAnsi"/>
          <w:sz w:val="20"/>
        </w:rPr>
      </w:pPr>
    </w:p>
    <w:p w14:paraId="7800FFF7"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an  offence of the above kind.</w:t>
      </w:r>
    </w:p>
    <w:p w14:paraId="596891CD" w14:textId="77777777" w:rsidR="007B4342" w:rsidRPr="00763B59" w:rsidRDefault="007B4342" w:rsidP="007B4342">
      <w:pPr>
        <w:tabs>
          <w:tab w:val="left" w:pos="426"/>
        </w:tabs>
        <w:spacing w:line="276" w:lineRule="auto"/>
        <w:ind w:left="930"/>
        <w:jc w:val="both"/>
        <w:rPr>
          <w:rFonts w:asciiTheme="minorHAnsi" w:hAnsiTheme="minorHAnsi"/>
          <w:sz w:val="20"/>
        </w:rPr>
      </w:pPr>
    </w:p>
    <w:p w14:paraId="1BAE550B"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an offence of the above kind.</w:t>
      </w:r>
    </w:p>
    <w:p w14:paraId="0A014C3C" w14:textId="77777777" w:rsidR="007B4342" w:rsidRPr="00763B59" w:rsidRDefault="007B4342" w:rsidP="007B4342">
      <w:pPr>
        <w:pStyle w:val="ListParagraph"/>
        <w:rPr>
          <w:rFonts w:asciiTheme="minorHAnsi" w:hAnsiTheme="minorHAnsi"/>
          <w:sz w:val="20"/>
        </w:rPr>
      </w:pPr>
    </w:p>
    <w:p w14:paraId="6ED646FA"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w:t>
      </w:r>
    </w:p>
    <w:p w14:paraId="6943282B"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was a Class 1 offence; or</w:t>
      </w:r>
    </w:p>
    <w:p w14:paraId="5068DCAD"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if the offence was committed before the commencement date –  was  an  offence  of  a  kind  referred  to above;</w:t>
      </w:r>
    </w:p>
    <w:p w14:paraId="61E6B7A1" w14:textId="77777777" w:rsidR="007B4342" w:rsidRPr="00763B59" w:rsidRDefault="007B4342" w:rsidP="007B4342">
      <w:pPr>
        <w:pStyle w:val="ListParagraph"/>
        <w:rPr>
          <w:rFonts w:asciiTheme="minorHAnsi" w:hAnsiTheme="minorHAnsi"/>
          <w:sz w:val="20"/>
        </w:rPr>
      </w:pPr>
    </w:p>
    <w:p w14:paraId="6B1F9312" w14:textId="5FCC2DD1"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2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 11 and Schedule 2)</w:t>
      </w:r>
    </w:p>
    <w:p w14:paraId="355A15D9"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5C04E67E"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50BC</w:t>
      </w:r>
      <w:r w:rsidRPr="00763B59">
        <w:rPr>
          <w:rStyle w:val="FootnoteReference"/>
          <w:rFonts w:asciiTheme="minorHAnsi" w:hAnsiTheme="minorHAnsi"/>
        </w:rPr>
        <w:footnoteReference w:id="1198"/>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(sexual conduct involving child under 16).</w:t>
      </w:r>
    </w:p>
    <w:p w14:paraId="430B669C" w14:textId="77777777" w:rsidR="007B4342" w:rsidRPr="00763B59" w:rsidRDefault="007B4342" w:rsidP="007B4342">
      <w:pPr>
        <w:tabs>
          <w:tab w:val="left" w:pos="426"/>
        </w:tabs>
        <w:spacing w:line="276" w:lineRule="auto"/>
        <w:ind w:left="930"/>
        <w:jc w:val="both"/>
        <w:rPr>
          <w:rFonts w:asciiTheme="minorHAnsi" w:hAnsiTheme="minorHAnsi"/>
          <w:sz w:val="20"/>
        </w:rPr>
      </w:pPr>
    </w:p>
    <w:p w14:paraId="276C4BA9"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50BD</w:t>
      </w:r>
      <w:r w:rsidRPr="00763B59">
        <w:rPr>
          <w:rStyle w:val="FootnoteReference"/>
          <w:rFonts w:asciiTheme="minorHAnsi" w:hAnsiTheme="minorHAnsi"/>
        </w:rPr>
        <w:footnoteReference w:id="1199"/>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(inducing child under 16 to be involved in sexual conduct).</w:t>
      </w:r>
    </w:p>
    <w:p w14:paraId="009F55D6" w14:textId="77777777" w:rsidR="007B4342" w:rsidRPr="00763B59" w:rsidRDefault="007B4342" w:rsidP="007B4342">
      <w:pPr>
        <w:pStyle w:val="ListParagraph"/>
        <w:rPr>
          <w:rFonts w:asciiTheme="minorHAnsi" w:hAnsiTheme="minorHAnsi"/>
          <w:sz w:val="20"/>
        </w:rPr>
      </w:pPr>
    </w:p>
    <w:p w14:paraId="7BAC9222"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An offence against section 50DA or 50DB of the </w:t>
      </w:r>
      <w:r w:rsidRPr="00763B59">
        <w:rPr>
          <w:rFonts w:asciiTheme="minorHAnsi" w:hAnsiTheme="minorHAnsi"/>
          <w:i/>
          <w:sz w:val="20"/>
        </w:rPr>
        <w:t>Crimes Act 1914</w:t>
      </w:r>
      <w:r w:rsidRPr="00763B59">
        <w:rPr>
          <w:rFonts w:asciiTheme="minorHAnsi" w:hAnsiTheme="minorHAnsi"/>
          <w:sz w:val="20"/>
        </w:rPr>
        <w:t xml:space="preserve"> (Cth) (benefiting from offence and encouraging offence, respectively)</w:t>
      </w:r>
      <w:r w:rsidRPr="00763B59">
        <w:rPr>
          <w:rStyle w:val="FootnoteReference"/>
          <w:rFonts w:asciiTheme="minorHAnsi" w:hAnsiTheme="minorHAnsi"/>
        </w:rPr>
        <w:footnoteReference w:id="1200"/>
      </w:r>
    </w:p>
    <w:p w14:paraId="266F26AE" w14:textId="77777777" w:rsidR="007B4342" w:rsidRPr="00763B59" w:rsidRDefault="007B4342" w:rsidP="007B4342">
      <w:pPr>
        <w:pStyle w:val="ListParagraph"/>
        <w:rPr>
          <w:rFonts w:asciiTheme="minorHAnsi" w:hAnsiTheme="minorHAnsi"/>
          <w:sz w:val="20"/>
        </w:rPr>
      </w:pPr>
    </w:p>
    <w:p w14:paraId="112B97B0" w14:textId="77777777" w:rsidR="007B4342" w:rsidRPr="00763B59" w:rsidRDefault="007B4342" w:rsidP="007B4342">
      <w:pPr>
        <w:numPr>
          <w:ilvl w:val="0"/>
          <w:numId w:val="2"/>
        </w:numPr>
        <w:tabs>
          <w:tab w:val="clear" w:pos="930"/>
        </w:tabs>
        <w:spacing w:line="276" w:lineRule="auto"/>
        <w:jc w:val="both"/>
        <w:rPr>
          <w:rFonts w:asciiTheme="minorHAnsi" w:hAnsiTheme="minorHAnsi"/>
          <w:sz w:val="20"/>
        </w:rPr>
      </w:pPr>
      <w:r w:rsidRPr="00763B59">
        <w:rPr>
          <w:rFonts w:asciiTheme="minorHAnsi" w:hAnsiTheme="minorHAnsi"/>
          <w:sz w:val="20"/>
        </w:rPr>
        <w:t xml:space="preserve">Offences under s 233BAB of the </w:t>
      </w:r>
      <w:r w:rsidRPr="00763B59">
        <w:rPr>
          <w:rFonts w:asciiTheme="minorHAnsi" w:hAnsiTheme="minorHAnsi"/>
          <w:i/>
          <w:sz w:val="20"/>
        </w:rPr>
        <w:t xml:space="preserve">Customs Act 1901 </w:t>
      </w:r>
      <w:r w:rsidRPr="00763B59">
        <w:rPr>
          <w:rFonts w:asciiTheme="minorHAnsi" w:hAnsiTheme="minorHAnsi"/>
          <w:sz w:val="20"/>
        </w:rPr>
        <w:t>(Cth) involving items that are child pornography or child abuse material.</w:t>
      </w:r>
    </w:p>
    <w:p w14:paraId="5066F070" w14:textId="77777777" w:rsidR="007B4342" w:rsidRPr="00763B59" w:rsidRDefault="007B4342" w:rsidP="007B4342">
      <w:pPr>
        <w:spacing w:line="276" w:lineRule="auto"/>
        <w:ind w:left="930"/>
        <w:jc w:val="both"/>
        <w:rPr>
          <w:rFonts w:asciiTheme="minorHAnsi" w:hAnsiTheme="minorHAnsi"/>
          <w:sz w:val="20"/>
        </w:rPr>
      </w:pPr>
    </w:p>
    <w:p w14:paraId="1822C6B1"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an  offence of the above kinds.</w:t>
      </w:r>
    </w:p>
    <w:p w14:paraId="092D2B27" w14:textId="77777777" w:rsidR="007B4342" w:rsidRPr="00763B59" w:rsidRDefault="007B4342" w:rsidP="007B4342">
      <w:pPr>
        <w:tabs>
          <w:tab w:val="left" w:pos="426"/>
        </w:tabs>
        <w:spacing w:line="276" w:lineRule="auto"/>
        <w:ind w:left="930"/>
        <w:jc w:val="both"/>
        <w:rPr>
          <w:rFonts w:asciiTheme="minorHAnsi" w:hAnsiTheme="minorHAnsi"/>
          <w:sz w:val="20"/>
        </w:rPr>
      </w:pPr>
    </w:p>
    <w:p w14:paraId="24DD2926"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an offence of the above kinds.</w:t>
      </w:r>
    </w:p>
    <w:p w14:paraId="53805033" w14:textId="77777777" w:rsidR="007B4342" w:rsidRPr="00763B59" w:rsidRDefault="007B4342" w:rsidP="007B4342">
      <w:pPr>
        <w:pStyle w:val="ListParagraph"/>
        <w:rPr>
          <w:rFonts w:asciiTheme="minorHAnsi" w:hAnsiTheme="minorHAnsi"/>
          <w:sz w:val="20"/>
        </w:rPr>
      </w:pPr>
    </w:p>
    <w:p w14:paraId="7C91939C"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w:t>
      </w:r>
    </w:p>
    <w:p w14:paraId="4F9BAF06"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was a Class 2 offence; or</w:t>
      </w:r>
    </w:p>
    <w:p w14:paraId="229661B5"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if the offence was committed before the commencement date –  was  an  offence  of  the  kind  referred  to above.</w:t>
      </w:r>
    </w:p>
    <w:p w14:paraId="7E2F1F23" w14:textId="77777777" w:rsidR="007B4342" w:rsidRPr="00763B59" w:rsidRDefault="007B4342" w:rsidP="007B4342">
      <w:pPr>
        <w:tabs>
          <w:tab w:val="left" w:pos="426"/>
        </w:tabs>
        <w:spacing w:line="276" w:lineRule="auto"/>
        <w:jc w:val="both"/>
        <w:rPr>
          <w:rFonts w:asciiTheme="minorHAnsi" w:hAnsiTheme="minorHAnsi"/>
          <w:sz w:val="20"/>
        </w:rPr>
      </w:pPr>
    </w:p>
    <w:p w14:paraId="70CA7F5E" w14:textId="308E28F1" w:rsidR="000E3B76" w:rsidRPr="00763B59" w:rsidRDefault="000E3B76">
      <w:pPr>
        <w:rPr>
          <w:rFonts w:asciiTheme="minorHAnsi" w:hAnsiTheme="minorHAnsi"/>
          <w:b/>
          <w:iCs/>
          <w:sz w:val="24"/>
          <w:szCs w:val="24"/>
        </w:rPr>
      </w:pPr>
      <w:r w:rsidRPr="00763B59">
        <w:rPr>
          <w:rFonts w:asciiTheme="minorHAnsi" w:hAnsiTheme="minorHAnsi"/>
          <w:b/>
          <w:iCs/>
          <w:sz w:val="24"/>
          <w:szCs w:val="24"/>
        </w:rPr>
        <w:br w:type="page"/>
      </w:r>
    </w:p>
    <w:p w14:paraId="28DEDCF9" w14:textId="3D8C9D6F" w:rsidR="007B4342" w:rsidRPr="00763B59" w:rsidRDefault="007B4342" w:rsidP="00EB7F1E">
      <w:pPr>
        <w:pStyle w:val="Heading2"/>
        <w:numPr>
          <w:ilvl w:val="0"/>
          <w:numId w:val="0"/>
        </w:numPr>
        <w:ind w:left="720" w:hanging="720"/>
      </w:pPr>
      <w:bookmarkStart w:id="3576" w:name="_Toc33602995"/>
      <w:r w:rsidRPr="00763B59">
        <w:t>A2.5</w:t>
      </w:r>
      <w:r w:rsidR="001B6935" w:rsidRPr="00763B59">
        <w:tab/>
      </w:r>
      <w:r w:rsidRPr="00763B59">
        <w:t>South Australia: Registrable federal offences under the Child Sex Offenders Registration Act 2006 (SA)</w:t>
      </w:r>
      <w:bookmarkEnd w:id="3576"/>
    </w:p>
    <w:p w14:paraId="08D009A3"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300E6923" w14:textId="58A9B5E0"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1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Part 2 of Schedule 1)</w:t>
      </w:r>
    </w:p>
    <w:p w14:paraId="33E44306"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56EC18D1" w14:textId="3903FE80"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Offences against section 270.6</w:t>
      </w:r>
      <w:r w:rsidR="009863B8" w:rsidRPr="00763B59">
        <w:rPr>
          <w:rStyle w:val="FootnoteReference"/>
          <w:rFonts w:asciiTheme="minorHAnsi" w:hAnsiTheme="minorHAnsi"/>
        </w:rPr>
        <w:footnoteReference w:id="1201"/>
      </w:r>
      <w:r w:rsidRPr="00763B59">
        <w:rPr>
          <w:rFonts w:asciiTheme="minorHAnsi" w:hAnsiTheme="minorHAnsi"/>
          <w:sz w:val="20"/>
        </w:rPr>
        <w:t xml:space="preserve"> of the </w:t>
      </w:r>
      <w:r w:rsidRPr="00763B59">
        <w:rPr>
          <w:rFonts w:asciiTheme="minorHAnsi" w:hAnsiTheme="minorHAnsi"/>
          <w:i/>
          <w:sz w:val="20"/>
        </w:rPr>
        <w:t>Criminal Code</w:t>
      </w:r>
      <w:r w:rsidRPr="00763B59">
        <w:rPr>
          <w:rFonts w:asciiTheme="minorHAnsi" w:hAnsiTheme="minorHAnsi"/>
          <w:sz w:val="20"/>
        </w:rPr>
        <w:t>.</w:t>
      </w:r>
    </w:p>
    <w:p w14:paraId="3A80E963"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7E863E2C" w14:textId="77777777" w:rsidR="007B4342" w:rsidRPr="00763B59" w:rsidRDefault="007B4342" w:rsidP="007B434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7F0C1B90" w14:textId="5128BB43"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272.8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0E8A4DA4"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272.10 (aggravated offence—child under 16 with mental impairment or under care, supervision or authority of defendant);</w:t>
      </w:r>
    </w:p>
    <w:p w14:paraId="6AD13676"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272.11 (persistent sexual abuse of child under 16 outside Australia);</w:t>
      </w:r>
    </w:p>
    <w:p w14:paraId="77233B4F" w14:textId="2AE6FF1F"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272.12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1DA73C03" w14:textId="030C9AF3"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272.13 (sexual activity (other than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33B611BD"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272.14 (procuring child to engage in sexual activity outside Australia);</w:t>
      </w:r>
    </w:p>
    <w:p w14:paraId="6AD3408C" w14:textId="77777777" w:rsidR="007B4342" w:rsidRPr="00763B59" w:rsidRDefault="007B4342" w:rsidP="007B4342">
      <w:pPr>
        <w:tabs>
          <w:tab w:val="left" w:pos="426"/>
          <w:tab w:val="left" w:pos="709"/>
          <w:tab w:val="left" w:pos="993"/>
        </w:tabs>
        <w:spacing w:before="120" w:line="276" w:lineRule="auto"/>
        <w:ind w:left="2160"/>
        <w:jc w:val="both"/>
        <w:rPr>
          <w:rFonts w:asciiTheme="minorHAnsi" w:hAnsiTheme="minorHAnsi"/>
          <w:sz w:val="20"/>
        </w:rPr>
      </w:pPr>
    </w:p>
    <w:p w14:paraId="4560203D"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of benefiting from (s 272.18) or encouraging (s 272.19) 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13C194DC"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04788774"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An offence against a law of the Commonwealth previously in force that corresponds to any of the above offences.</w:t>
      </w:r>
    </w:p>
    <w:p w14:paraId="1EF12437" w14:textId="77777777" w:rsidR="007B4342" w:rsidRPr="00763B59" w:rsidRDefault="007B4342" w:rsidP="007B4342">
      <w:pPr>
        <w:pStyle w:val="ListParagraph"/>
        <w:rPr>
          <w:rFonts w:asciiTheme="minorHAnsi" w:hAnsiTheme="minorHAnsi"/>
          <w:sz w:val="20"/>
        </w:rPr>
      </w:pPr>
    </w:p>
    <w:p w14:paraId="240718DD" w14:textId="5658A1A3"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2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Part 3 of Schedule 1)</w:t>
      </w:r>
    </w:p>
    <w:p w14:paraId="3F51A9AE"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3AE7586B"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section 270.7 (deceptive recruiting) of the </w:t>
      </w:r>
      <w:r w:rsidRPr="00763B59">
        <w:rPr>
          <w:rFonts w:asciiTheme="minorHAnsi" w:hAnsiTheme="minorHAnsi"/>
          <w:i/>
          <w:sz w:val="20"/>
        </w:rPr>
        <w:t>Criminal Code</w:t>
      </w:r>
      <w:r w:rsidRPr="00763B59">
        <w:rPr>
          <w:rFonts w:asciiTheme="minorHAnsi" w:hAnsiTheme="minorHAnsi"/>
          <w:sz w:val="20"/>
        </w:rPr>
        <w:t xml:space="preserve"> where the victim is a child.</w:t>
      </w:r>
    </w:p>
    <w:p w14:paraId="5837E367"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731BBAC9"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section 271.4 (trafficking in children) or section 271.7 (domestic trafficking in children) of the </w:t>
      </w:r>
      <w:r w:rsidRPr="00763B59">
        <w:rPr>
          <w:rFonts w:asciiTheme="minorHAnsi" w:hAnsiTheme="minorHAnsi"/>
          <w:i/>
          <w:sz w:val="20"/>
        </w:rPr>
        <w:t>Criminal Code</w:t>
      </w:r>
      <w:r w:rsidRPr="00763B59">
        <w:rPr>
          <w:rFonts w:asciiTheme="minorHAnsi" w:hAnsiTheme="minorHAnsi"/>
          <w:sz w:val="20"/>
        </w:rPr>
        <w:t>.</w:t>
      </w:r>
    </w:p>
    <w:p w14:paraId="09D99F18" w14:textId="77777777" w:rsidR="007B4342" w:rsidRPr="00763B59" w:rsidRDefault="007B4342" w:rsidP="007B4342">
      <w:pPr>
        <w:pStyle w:val="ListParagraph"/>
        <w:rPr>
          <w:rFonts w:asciiTheme="minorHAnsi" w:hAnsiTheme="minorHAnsi"/>
          <w:sz w:val="20"/>
        </w:rPr>
      </w:pPr>
    </w:p>
    <w:p w14:paraId="7CB908BF" w14:textId="77777777" w:rsidR="007B4342" w:rsidRPr="00763B59" w:rsidRDefault="007B4342" w:rsidP="007B434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27FFD289" w14:textId="5FCC2671"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272.9 (sexual activity (other than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1C3CA624"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 xml:space="preserve">section 272.20 (preparing for or planning 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5DBE7AC8"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6F794456"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child pornography and child abuse material outside Australia:</w:t>
      </w:r>
    </w:p>
    <w:p w14:paraId="1A3F96D9"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273.5 (possessing, controlling, producing, distributing or obtaining child pornography material outside Australia);</w:t>
      </w:r>
    </w:p>
    <w:p w14:paraId="148AC333"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273.6 (possessing, controlling, producing, distributing or obtaining child abuse material outside Australia);</w:t>
      </w:r>
    </w:p>
    <w:p w14:paraId="2A6F3021"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273.7 (aggravated offending relating to child pornography or child abuse material outside Australia).</w:t>
      </w:r>
    </w:p>
    <w:p w14:paraId="06962919"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49B36605"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postal or similar service:</w:t>
      </w:r>
    </w:p>
    <w:p w14:paraId="025DA1AA" w14:textId="77777777" w:rsidR="007B4342" w:rsidRPr="00763B59" w:rsidRDefault="007B434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471.16 (using a postal or similar service for child pornography material);</w:t>
      </w:r>
    </w:p>
    <w:p w14:paraId="5D0FB40C"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471.17 (possessing, controlling, producing, supplying or obtaining child pornography material for use through a postal or similar service);</w:t>
      </w:r>
    </w:p>
    <w:p w14:paraId="3E7B2088"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471.19 (using a postal or similar service for child abuse material);</w:t>
      </w:r>
    </w:p>
    <w:p w14:paraId="149BC8AB"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471.20 (possessing, controlling, producing, supplying or obtaining child abuse material for use through a postal or similar service);</w:t>
      </w:r>
    </w:p>
    <w:p w14:paraId="376DF1A2"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471.22 (aggravated offending relating to child pornography or child abuse material).</w:t>
      </w:r>
    </w:p>
    <w:p w14:paraId="0FDB9F75"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471.24 (using a postal or similar service to procure persons under 16);</w:t>
      </w:r>
    </w:p>
    <w:p w14:paraId="7781098B"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471.25 (using a postal or similar service to "groom" persons under 16);</w:t>
      </w:r>
    </w:p>
    <w:p w14:paraId="2C58029F"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471.26 (using a postal or similar service to send indecent material to person under 16).</w:t>
      </w:r>
    </w:p>
    <w:p w14:paraId="4769619B"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30D25AF7" w14:textId="77777777" w:rsidR="007B4342" w:rsidRPr="00763B59" w:rsidRDefault="007B4342" w:rsidP="007B434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carriage service:</w:t>
      </w:r>
    </w:p>
    <w:p w14:paraId="10F87F8A" w14:textId="77777777" w:rsidR="007B4342" w:rsidRPr="00763B59" w:rsidRDefault="007B4342" w:rsidP="007B4342">
      <w:pPr>
        <w:numPr>
          <w:ilvl w:val="2"/>
          <w:numId w:val="2"/>
        </w:numPr>
        <w:tabs>
          <w:tab w:val="left" w:pos="426"/>
          <w:tab w:val="left" w:pos="709"/>
          <w:tab w:val="left" w:pos="993"/>
        </w:tabs>
        <w:spacing w:before="120" w:line="276" w:lineRule="auto"/>
        <w:jc w:val="both"/>
        <w:rPr>
          <w:rFonts w:asciiTheme="minorHAnsi" w:hAnsiTheme="minorHAnsi"/>
          <w:sz w:val="20"/>
        </w:rPr>
      </w:pPr>
      <w:r w:rsidRPr="00763B59">
        <w:rPr>
          <w:rFonts w:asciiTheme="minorHAnsi" w:hAnsiTheme="minorHAnsi"/>
          <w:sz w:val="20"/>
        </w:rPr>
        <w:t>section 474.19 (using a carriage service for child pornography material);</w:t>
      </w:r>
    </w:p>
    <w:p w14:paraId="28418163" w14:textId="77777777" w:rsidR="007B4342" w:rsidRPr="00763B59" w:rsidRDefault="007B4342" w:rsidP="007B434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474.20 (possessing, controlling, producing, supplying or obtaining child pornography material for use through a carriage service);</w:t>
      </w:r>
    </w:p>
    <w:p w14:paraId="740D8BE7"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474.22 (using a carriage service for child abuse material);</w:t>
      </w:r>
    </w:p>
    <w:p w14:paraId="46BD0E0F"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474.23 (possessing, controlling, producing, supplying or obtaining child abuse material through a carriage service)</w:t>
      </w:r>
    </w:p>
    <w:p w14:paraId="5DD13A14"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474.24A (aggravated offence involving child abuse material through a carriage service);</w:t>
      </w:r>
    </w:p>
    <w:p w14:paraId="3EADE8EF"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474.25A (using a carriage service for sexual activity with person under 16);</w:t>
      </w:r>
    </w:p>
    <w:p w14:paraId="30CDE03B"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474.25B (aggravated offence—child with mental impairment or under care, supervision or authority of defendant);</w:t>
      </w:r>
    </w:p>
    <w:p w14:paraId="6520153E"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474.26 (using a carriage service to procure persons under 16);</w:t>
      </w:r>
    </w:p>
    <w:p w14:paraId="1ADBD540"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 (using a carriage service to "groom" persons under 16);</w:t>
      </w:r>
    </w:p>
    <w:p w14:paraId="7E90B709" w14:textId="77777777" w:rsidR="007B4342" w:rsidRPr="00763B59" w:rsidRDefault="007B4342" w:rsidP="007B434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474.27A (using a carriage service to transmit indecent communication to person under 16).</w:t>
      </w:r>
    </w:p>
    <w:p w14:paraId="10CADCB8" w14:textId="77777777" w:rsidR="007B4342" w:rsidRPr="00763B59" w:rsidRDefault="007B4342" w:rsidP="007B4342">
      <w:pPr>
        <w:tabs>
          <w:tab w:val="left" w:pos="426"/>
        </w:tabs>
        <w:spacing w:line="276" w:lineRule="auto"/>
        <w:ind w:left="1137"/>
        <w:jc w:val="both"/>
        <w:rPr>
          <w:rFonts w:asciiTheme="minorHAnsi" w:hAnsiTheme="minorHAnsi"/>
          <w:sz w:val="20"/>
        </w:rPr>
      </w:pPr>
    </w:p>
    <w:p w14:paraId="5182297A" w14:textId="77777777" w:rsidR="007B4342" w:rsidRPr="00763B59" w:rsidRDefault="007B4342" w:rsidP="007B4342">
      <w:pPr>
        <w:numPr>
          <w:ilvl w:val="0"/>
          <w:numId w:val="2"/>
        </w:numPr>
        <w:tabs>
          <w:tab w:val="clear" w:pos="930"/>
        </w:tabs>
        <w:spacing w:line="276" w:lineRule="auto"/>
        <w:jc w:val="both"/>
        <w:rPr>
          <w:rFonts w:asciiTheme="minorHAnsi" w:hAnsiTheme="minorHAnsi"/>
          <w:sz w:val="20"/>
        </w:rPr>
      </w:pPr>
      <w:r w:rsidRPr="00763B59">
        <w:rPr>
          <w:rFonts w:asciiTheme="minorHAnsi" w:hAnsiTheme="minorHAnsi"/>
          <w:sz w:val="20"/>
        </w:rPr>
        <w:t>An offence against a law of the Commonwealth previously in force that corresponds to any of the above offences.</w:t>
      </w:r>
    </w:p>
    <w:p w14:paraId="097E14BA" w14:textId="77777777" w:rsidR="007B4342" w:rsidRPr="00763B59" w:rsidRDefault="007B4342" w:rsidP="007B4342">
      <w:pPr>
        <w:spacing w:line="276" w:lineRule="auto"/>
        <w:ind w:left="930"/>
        <w:jc w:val="both"/>
        <w:rPr>
          <w:rFonts w:asciiTheme="minorHAnsi" w:hAnsiTheme="minorHAnsi"/>
          <w:sz w:val="20"/>
        </w:rPr>
      </w:pPr>
    </w:p>
    <w:p w14:paraId="44EDCA29" w14:textId="77777777" w:rsidR="007B4342" w:rsidRPr="00763B59" w:rsidRDefault="007B4342" w:rsidP="007B4342">
      <w:pPr>
        <w:numPr>
          <w:ilvl w:val="0"/>
          <w:numId w:val="2"/>
        </w:numPr>
        <w:tabs>
          <w:tab w:val="clear" w:pos="930"/>
        </w:tabs>
        <w:spacing w:line="276" w:lineRule="auto"/>
        <w:jc w:val="both"/>
        <w:rPr>
          <w:rFonts w:asciiTheme="minorHAnsi" w:hAnsiTheme="minorHAnsi"/>
          <w:sz w:val="20"/>
        </w:rPr>
      </w:pPr>
      <w:r w:rsidRPr="00763B59">
        <w:rPr>
          <w:rFonts w:asciiTheme="minorHAnsi" w:hAnsiTheme="minorHAnsi"/>
          <w:sz w:val="20"/>
        </w:rPr>
        <w:t xml:space="preserve">Offences under s 233BAB of the </w:t>
      </w:r>
      <w:r w:rsidRPr="00763B59">
        <w:rPr>
          <w:rFonts w:asciiTheme="minorHAnsi" w:hAnsiTheme="minorHAnsi"/>
          <w:i/>
          <w:sz w:val="20"/>
        </w:rPr>
        <w:t xml:space="preserve">Customs Act 1901 </w:t>
      </w:r>
      <w:r w:rsidRPr="00763B59">
        <w:rPr>
          <w:rFonts w:asciiTheme="minorHAnsi" w:hAnsiTheme="minorHAnsi"/>
          <w:sz w:val="20"/>
        </w:rPr>
        <w:t>(Cth) involving items that are child pornography.</w:t>
      </w:r>
    </w:p>
    <w:p w14:paraId="71714F46" w14:textId="36435E15" w:rsidR="000E3B76" w:rsidRPr="00763B59" w:rsidRDefault="000E3B76">
      <w:pPr>
        <w:rPr>
          <w:rFonts w:asciiTheme="minorHAnsi" w:hAnsiTheme="minorHAnsi"/>
          <w:sz w:val="20"/>
        </w:rPr>
      </w:pPr>
      <w:r w:rsidRPr="00763B59">
        <w:rPr>
          <w:rFonts w:asciiTheme="minorHAnsi" w:hAnsiTheme="minorHAnsi"/>
          <w:sz w:val="20"/>
        </w:rPr>
        <w:br w:type="page"/>
      </w:r>
    </w:p>
    <w:p w14:paraId="46C1A130" w14:textId="298C4FB4" w:rsidR="007B4342" w:rsidRPr="00763B59" w:rsidRDefault="007B4342" w:rsidP="00EB7F1E">
      <w:pPr>
        <w:pStyle w:val="Heading2"/>
        <w:numPr>
          <w:ilvl w:val="0"/>
          <w:numId w:val="0"/>
        </w:numPr>
        <w:ind w:left="720" w:hanging="720"/>
      </w:pPr>
      <w:bookmarkStart w:id="3577" w:name="_Toc33602996"/>
      <w:r w:rsidRPr="00763B59">
        <w:t>A2.6</w:t>
      </w:r>
      <w:r w:rsidR="001B6935" w:rsidRPr="00763B59">
        <w:tab/>
      </w:r>
      <w:r w:rsidRPr="00763B59">
        <w:t>Tasmania: Registrable federal offences under the Community Protection (Offender Reporting) Act 2005 (Tas)</w:t>
      </w:r>
      <w:bookmarkEnd w:id="3577"/>
    </w:p>
    <w:p w14:paraId="0D517F5D"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0A8FCCDC" w14:textId="37ECA79E"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1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 13 and Schedule 1)</w:t>
      </w:r>
    </w:p>
    <w:p w14:paraId="49B2BEA1"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694814DB" w14:textId="196F3F5D"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An offence against section 233BAB of the </w:t>
      </w:r>
      <w:r w:rsidRPr="00763B59">
        <w:rPr>
          <w:rFonts w:asciiTheme="minorHAnsi" w:hAnsiTheme="minorHAnsi"/>
          <w:i/>
          <w:sz w:val="20"/>
        </w:rPr>
        <w:t>Customs Act 1901</w:t>
      </w:r>
      <w:r w:rsidRPr="00763B59">
        <w:rPr>
          <w:rFonts w:asciiTheme="minorHAnsi" w:hAnsiTheme="minorHAnsi"/>
          <w:sz w:val="20"/>
        </w:rPr>
        <w:t xml:space="preserve"> (Cth), that involves child </w:t>
      </w:r>
      <w:r w:rsidR="00523713" w:rsidRPr="00763B59">
        <w:rPr>
          <w:rFonts w:asciiTheme="minorHAnsi" w:hAnsiTheme="minorHAnsi"/>
          <w:sz w:val="20"/>
        </w:rPr>
        <w:t>exploitation material</w:t>
      </w:r>
      <w:r w:rsidRPr="00763B59">
        <w:rPr>
          <w:rFonts w:asciiTheme="minorHAnsi" w:hAnsiTheme="minorHAnsi"/>
          <w:sz w:val="20"/>
        </w:rPr>
        <w:t>.</w:t>
      </w:r>
    </w:p>
    <w:p w14:paraId="0D5504C1" w14:textId="77777777" w:rsidR="007B4342" w:rsidRPr="00763B59" w:rsidRDefault="007B4342" w:rsidP="007B4342">
      <w:pPr>
        <w:tabs>
          <w:tab w:val="left" w:pos="426"/>
        </w:tabs>
        <w:spacing w:line="276" w:lineRule="auto"/>
        <w:ind w:left="930"/>
        <w:jc w:val="both"/>
        <w:rPr>
          <w:rFonts w:asciiTheme="minorHAnsi" w:hAnsiTheme="minorHAnsi"/>
          <w:sz w:val="20"/>
        </w:rPr>
      </w:pPr>
    </w:p>
    <w:p w14:paraId="11A428DF"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any of the following provisions of the Criminal Code:</w:t>
      </w:r>
    </w:p>
    <w:p w14:paraId="61C0B4C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273.5 (Possessing, controlling, producing, distributing or obtaining child pornography material outside Australia)</w:t>
      </w:r>
    </w:p>
    <w:p w14:paraId="38E4E26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273.6 (Possessing, controlling, producing, distributing or obtaining child abuse material outside Australia)</w:t>
      </w:r>
    </w:p>
    <w:p w14:paraId="3FCD8F23"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471.16 (Using a postal or similar service for child pornography material)</w:t>
      </w:r>
    </w:p>
    <w:p w14:paraId="4BF8FAC5"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471.17 (Possessing, controlling, producing, supplying or obtaining child pornography material for use through a postal or similar service)</w:t>
      </w:r>
    </w:p>
    <w:p w14:paraId="29B9353A"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471.19 (Using a postal or similar service for child abuse material)</w:t>
      </w:r>
    </w:p>
    <w:p w14:paraId="413BCDD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471.20 (Possessing, controlling, producing, supplying or obtaining child abuse material for use through a postal or similar service)</w:t>
      </w:r>
    </w:p>
    <w:p w14:paraId="2E5537F5"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471.24 (Using a postal or similar service to procure persons under 16)</w:t>
      </w:r>
    </w:p>
    <w:p w14:paraId="16506CFA"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471.25 (Using a postal or similar service to “groom” persons under 16)</w:t>
      </w:r>
    </w:p>
    <w:p w14:paraId="2671646D"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471.26 (Using a postal or similar service to send indecent material to person under 16)</w:t>
      </w:r>
    </w:p>
    <w:p w14:paraId="67266683"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474.19 (Using a carriage service for child pornography material)</w:t>
      </w:r>
    </w:p>
    <w:p w14:paraId="4737A347"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474.20 (Possessing, controlling, producing, supplying or obtaining child pornography material for use through a carriage service)</w:t>
      </w:r>
    </w:p>
    <w:p w14:paraId="3C7FC604"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474.22 (Using a carriage service for child abuse material)</w:t>
      </w:r>
    </w:p>
    <w:p w14:paraId="0CDC5E86"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474.23 (Possessing, controlling, producing, supplying or obtaining child abuse material for use through a carriage service)</w:t>
      </w:r>
    </w:p>
    <w:p w14:paraId="7D22F0B3"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474.25A (Using a carriage service for sexual activity with person under 16)</w:t>
      </w:r>
    </w:p>
    <w:p w14:paraId="407901C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474.26 (Using a carriage service to procure persons under 16)</w:t>
      </w:r>
    </w:p>
    <w:p w14:paraId="7D47228F"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474.27 (Using a carriage service to “groom” persons under 16)</w:t>
      </w:r>
    </w:p>
    <w:p w14:paraId="2D05C947"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474.27A (Using a carriage service to transmit indecent communication to person under 16).</w:t>
      </w:r>
    </w:p>
    <w:p w14:paraId="5207700D" w14:textId="77777777" w:rsidR="007B4342" w:rsidRPr="00763B59" w:rsidRDefault="007B4342" w:rsidP="007B4342">
      <w:pPr>
        <w:tabs>
          <w:tab w:val="left" w:pos="426"/>
        </w:tabs>
        <w:spacing w:line="276" w:lineRule="auto"/>
        <w:ind w:left="930"/>
        <w:jc w:val="both"/>
        <w:rPr>
          <w:rFonts w:asciiTheme="minorHAnsi" w:hAnsiTheme="minorHAnsi"/>
          <w:sz w:val="20"/>
        </w:rPr>
      </w:pPr>
    </w:p>
    <w:p w14:paraId="0262729A"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such an offence.</w:t>
      </w:r>
    </w:p>
    <w:p w14:paraId="15D32330" w14:textId="77777777" w:rsidR="007B4342" w:rsidRPr="00763B59" w:rsidRDefault="007B4342" w:rsidP="007B4342">
      <w:pPr>
        <w:tabs>
          <w:tab w:val="left" w:pos="426"/>
        </w:tabs>
        <w:spacing w:line="276" w:lineRule="auto"/>
        <w:ind w:left="930"/>
        <w:jc w:val="both"/>
        <w:rPr>
          <w:rFonts w:asciiTheme="minorHAnsi" w:hAnsiTheme="minorHAnsi"/>
          <w:sz w:val="20"/>
        </w:rPr>
      </w:pPr>
    </w:p>
    <w:p w14:paraId="5FF9A67B"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such an offence.</w:t>
      </w:r>
    </w:p>
    <w:p w14:paraId="07749674" w14:textId="77777777" w:rsidR="007B4342" w:rsidRPr="00763B59" w:rsidRDefault="007B4342" w:rsidP="007B4342">
      <w:pPr>
        <w:rPr>
          <w:rFonts w:asciiTheme="minorHAnsi" w:hAnsiTheme="minorHAnsi"/>
          <w:sz w:val="20"/>
        </w:rPr>
      </w:pPr>
    </w:p>
    <w:p w14:paraId="1EBC847C"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w:t>
      </w:r>
    </w:p>
    <w:p w14:paraId="66328C03"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was a Class 1 offence; or</w:t>
      </w:r>
    </w:p>
    <w:p w14:paraId="3C3244BA"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if the offence was committed before the commencement date –  was an offence of a kind  referred  to in s 13.</w:t>
      </w:r>
    </w:p>
    <w:p w14:paraId="6F837426" w14:textId="77777777" w:rsidR="007B4342" w:rsidRPr="00763B59" w:rsidRDefault="007B4342" w:rsidP="007B4342">
      <w:pPr>
        <w:tabs>
          <w:tab w:val="left" w:pos="426"/>
        </w:tabs>
        <w:spacing w:line="276" w:lineRule="auto"/>
        <w:ind w:left="930"/>
        <w:jc w:val="both"/>
        <w:rPr>
          <w:rFonts w:asciiTheme="minorHAnsi" w:hAnsiTheme="minorHAnsi"/>
          <w:sz w:val="20"/>
        </w:rPr>
      </w:pPr>
    </w:p>
    <w:p w14:paraId="210BDB2E" w14:textId="3289FBE9"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2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 14 and Schedule 2)</w:t>
      </w:r>
    </w:p>
    <w:p w14:paraId="5EE43379"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739798E6"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Offences against any of the following provisions of the </w:t>
      </w:r>
      <w:r w:rsidRPr="00763B59">
        <w:rPr>
          <w:rFonts w:asciiTheme="minorHAnsi" w:hAnsiTheme="minorHAnsi"/>
          <w:i/>
          <w:sz w:val="20"/>
        </w:rPr>
        <w:t>Criminal Code</w:t>
      </w:r>
      <w:r w:rsidRPr="00763B59">
        <w:rPr>
          <w:rFonts w:asciiTheme="minorHAnsi" w:hAnsiTheme="minorHAnsi"/>
          <w:sz w:val="20"/>
        </w:rPr>
        <w:t>:</w:t>
      </w:r>
    </w:p>
    <w:p w14:paraId="19D197A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272.9 (Sexual activity (other than sexual intercourse) with child outside Australia)</w:t>
      </w:r>
    </w:p>
    <w:p w14:paraId="18B2E0D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272.12 (Sexual intercourse with young person outside Australia—defendant in position of trust or authority)</w:t>
      </w:r>
    </w:p>
    <w:p w14:paraId="21697546"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272.13 (Sexual activity (other than sexual intercourse) with young person outside Australia—defendant in position of trust or authority)</w:t>
      </w:r>
    </w:p>
    <w:p w14:paraId="65C4C2FD"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272.14 (Procuring child to engage in sexual activity outside Australia)</w:t>
      </w:r>
    </w:p>
    <w:p w14:paraId="48794577"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272.15 (“Grooming” child to engage in sexual activity outside Australia)</w:t>
      </w:r>
    </w:p>
    <w:p w14:paraId="6F6AD319"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272.20 (Preparing for or planning offence against Division 272)</w:t>
      </w:r>
    </w:p>
    <w:p w14:paraId="31BDB53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273.7 (Aggravated offence—offence involving conduct on 3 or more occasions and 2 or more people)</w:t>
      </w:r>
    </w:p>
    <w:p w14:paraId="589AEAFD"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471.22 (Aggravated offence—offence involving conduct on 3 or more occasions and 2 or more people)</w:t>
      </w:r>
    </w:p>
    <w:p w14:paraId="0C8B6171"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474.24A (Aggravated offence—offence involving conduct on 3 or more occasions and 2 or more people)</w:t>
      </w:r>
    </w:p>
    <w:p w14:paraId="5A25E6B8"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474.25B (Aggravated offence—child with mental impairment or under care, supervision or authority of defendant)</w:t>
      </w:r>
    </w:p>
    <w:p w14:paraId="7B11034C" w14:textId="77777777" w:rsidR="007B4342" w:rsidRPr="00763B59" w:rsidRDefault="007B4342" w:rsidP="007B4342">
      <w:pPr>
        <w:tabs>
          <w:tab w:val="left" w:pos="426"/>
        </w:tabs>
        <w:spacing w:line="276" w:lineRule="auto"/>
        <w:ind w:left="1440"/>
        <w:jc w:val="both"/>
        <w:rPr>
          <w:rFonts w:asciiTheme="minorHAnsi" w:hAnsiTheme="minorHAnsi"/>
          <w:sz w:val="20"/>
        </w:rPr>
      </w:pPr>
    </w:p>
    <w:p w14:paraId="56B86E5F"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such an offence.</w:t>
      </w:r>
    </w:p>
    <w:p w14:paraId="7C6F24C6" w14:textId="77777777" w:rsidR="007B4342" w:rsidRPr="00763B59" w:rsidRDefault="007B4342" w:rsidP="007B4342">
      <w:pPr>
        <w:tabs>
          <w:tab w:val="left" w:pos="426"/>
        </w:tabs>
        <w:spacing w:line="276" w:lineRule="auto"/>
        <w:ind w:left="930"/>
        <w:jc w:val="both"/>
        <w:rPr>
          <w:rFonts w:asciiTheme="minorHAnsi" w:hAnsiTheme="minorHAnsi"/>
          <w:sz w:val="20"/>
        </w:rPr>
      </w:pPr>
    </w:p>
    <w:p w14:paraId="4EE2C035"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such an offence.</w:t>
      </w:r>
    </w:p>
    <w:p w14:paraId="6BF489E4" w14:textId="77777777" w:rsidR="007B4342" w:rsidRPr="00763B59" w:rsidRDefault="007B4342" w:rsidP="007B4342">
      <w:pPr>
        <w:rPr>
          <w:rFonts w:asciiTheme="minorHAnsi" w:hAnsiTheme="minorHAnsi"/>
          <w:sz w:val="20"/>
        </w:rPr>
      </w:pPr>
    </w:p>
    <w:p w14:paraId="1F5AEB76"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w:t>
      </w:r>
    </w:p>
    <w:p w14:paraId="0EA76F9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was a Class 2 offence; or</w:t>
      </w:r>
    </w:p>
    <w:p w14:paraId="486FE352"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if the offence was committed before the commencement date –  was an offence of  a  kind  referred  to in s 14.</w:t>
      </w:r>
    </w:p>
    <w:p w14:paraId="07708BDF" w14:textId="77777777" w:rsidR="007B4342" w:rsidRPr="00763B59" w:rsidRDefault="007B4342" w:rsidP="007B4342">
      <w:pPr>
        <w:tabs>
          <w:tab w:val="left" w:pos="426"/>
        </w:tabs>
        <w:spacing w:line="276" w:lineRule="auto"/>
        <w:ind w:left="1440"/>
        <w:jc w:val="both"/>
        <w:rPr>
          <w:rFonts w:asciiTheme="minorHAnsi" w:hAnsiTheme="minorHAnsi"/>
          <w:sz w:val="20"/>
        </w:rPr>
      </w:pPr>
    </w:p>
    <w:p w14:paraId="03B29DA4" w14:textId="0A7B81DE" w:rsidR="007B4342" w:rsidRPr="00763B59" w:rsidRDefault="007B434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3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 15 and Schedule 3)</w:t>
      </w:r>
    </w:p>
    <w:p w14:paraId="765655D2" w14:textId="77777777" w:rsidR="007B4342" w:rsidRPr="00763B59" w:rsidRDefault="007B434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692750CC"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Offences against any of the following provisions of the </w:t>
      </w:r>
      <w:r w:rsidRPr="00763B59">
        <w:rPr>
          <w:rFonts w:asciiTheme="minorHAnsi" w:hAnsiTheme="minorHAnsi"/>
          <w:i/>
          <w:sz w:val="20"/>
        </w:rPr>
        <w:t>Criminal Code</w:t>
      </w:r>
      <w:r w:rsidRPr="00763B59">
        <w:rPr>
          <w:rFonts w:asciiTheme="minorHAnsi" w:hAnsiTheme="minorHAnsi"/>
          <w:sz w:val="20"/>
        </w:rPr>
        <w:t>:</w:t>
      </w:r>
    </w:p>
    <w:p w14:paraId="24539786"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272.8 (Sexual intercourse with child outside Australia)</w:t>
      </w:r>
    </w:p>
    <w:p w14:paraId="35E8BB5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272.10 (Aggravated offence—child with mental impairment or under care, supervision or authority of defendant)</w:t>
      </w:r>
    </w:p>
    <w:p w14:paraId="3C687D6E"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272.11 (Persistent sexual abuse of child outside Australia)</w:t>
      </w:r>
    </w:p>
    <w:p w14:paraId="0FA0C9F8"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272.18 (Benefiting from offence against Division 272)</w:t>
      </w:r>
    </w:p>
    <w:p w14:paraId="2670DCE0"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section 272.19 (Encouraging offence against Division 272)</w:t>
      </w:r>
    </w:p>
    <w:p w14:paraId="52D6568A" w14:textId="77777777" w:rsidR="007B4342" w:rsidRPr="00763B59" w:rsidRDefault="007B4342" w:rsidP="007B4342">
      <w:pPr>
        <w:rPr>
          <w:rFonts w:asciiTheme="minorHAnsi" w:hAnsiTheme="minorHAnsi"/>
          <w:sz w:val="20"/>
        </w:rPr>
      </w:pPr>
    </w:p>
    <w:p w14:paraId="03C2CBD2"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such an offence.</w:t>
      </w:r>
    </w:p>
    <w:p w14:paraId="6311E90A" w14:textId="77777777" w:rsidR="007B4342" w:rsidRPr="00763B59" w:rsidRDefault="007B4342" w:rsidP="007B4342">
      <w:pPr>
        <w:tabs>
          <w:tab w:val="left" w:pos="426"/>
        </w:tabs>
        <w:spacing w:line="276" w:lineRule="auto"/>
        <w:ind w:left="930"/>
        <w:jc w:val="both"/>
        <w:rPr>
          <w:rFonts w:asciiTheme="minorHAnsi" w:hAnsiTheme="minorHAnsi"/>
          <w:sz w:val="20"/>
        </w:rPr>
      </w:pPr>
    </w:p>
    <w:p w14:paraId="412615DA"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such an offence.</w:t>
      </w:r>
    </w:p>
    <w:p w14:paraId="6D211147" w14:textId="77777777" w:rsidR="007B4342" w:rsidRPr="00763B59" w:rsidRDefault="007B4342" w:rsidP="007B4342">
      <w:pPr>
        <w:rPr>
          <w:rFonts w:asciiTheme="minorHAnsi" w:hAnsiTheme="minorHAnsi"/>
          <w:sz w:val="20"/>
        </w:rPr>
      </w:pPr>
    </w:p>
    <w:p w14:paraId="28A0BCC4" w14:textId="77777777" w:rsidR="007B4342" w:rsidRPr="00763B59" w:rsidRDefault="007B4342" w:rsidP="007B434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w:t>
      </w:r>
    </w:p>
    <w:p w14:paraId="1165197C"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was a Class 3 offence; or</w:t>
      </w:r>
    </w:p>
    <w:p w14:paraId="6E8F5BB9" w14:textId="77777777" w:rsidR="007B4342" w:rsidRPr="00763B59" w:rsidRDefault="007B4342" w:rsidP="007B434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if the offence was committed before the commencement date – was an offence of a kind referred to in s 15;</w:t>
      </w:r>
    </w:p>
    <w:p w14:paraId="0CBEB275" w14:textId="513FE0DE" w:rsidR="000E3B76" w:rsidRPr="00763B59" w:rsidRDefault="000E3B76">
      <w:pPr>
        <w:rPr>
          <w:rFonts w:asciiTheme="minorHAnsi" w:hAnsiTheme="minorHAnsi"/>
          <w:b/>
          <w:sz w:val="20"/>
          <w:u w:val="single"/>
        </w:rPr>
      </w:pPr>
      <w:r w:rsidRPr="00763B59">
        <w:rPr>
          <w:rFonts w:asciiTheme="minorHAnsi" w:hAnsiTheme="minorHAnsi"/>
          <w:b/>
          <w:sz w:val="20"/>
          <w:u w:val="single"/>
        </w:rPr>
        <w:br w:type="page"/>
      </w:r>
    </w:p>
    <w:p w14:paraId="60A12C96" w14:textId="0FA5B89C" w:rsidR="006542E2" w:rsidRPr="00763B59" w:rsidRDefault="006542E2" w:rsidP="00EB7F1E">
      <w:pPr>
        <w:pStyle w:val="Heading2"/>
        <w:numPr>
          <w:ilvl w:val="0"/>
          <w:numId w:val="0"/>
        </w:numPr>
        <w:ind w:left="720" w:hanging="720"/>
      </w:pPr>
      <w:bookmarkStart w:id="3578" w:name="_Toc33602997"/>
      <w:r w:rsidRPr="00763B59">
        <w:t>A</w:t>
      </w:r>
      <w:r w:rsidR="007B4342" w:rsidRPr="00763B59">
        <w:t>2</w:t>
      </w:r>
      <w:r w:rsidRPr="00763B59">
        <w:t>.</w:t>
      </w:r>
      <w:r w:rsidR="007B4342" w:rsidRPr="00763B59">
        <w:t>7</w:t>
      </w:r>
      <w:r w:rsidR="001B6935" w:rsidRPr="00763B59">
        <w:tab/>
        <w:t>Australian Capital Territory</w:t>
      </w:r>
      <w:r w:rsidR="007B4342" w:rsidRPr="00763B59">
        <w:t xml:space="preserve">: </w:t>
      </w:r>
      <w:r w:rsidRPr="00763B59">
        <w:t>Registrable federal offences under the Crimes (Child Sex Offenders) Act 2005 (ACT)</w:t>
      </w:r>
      <w:bookmarkEnd w:id="3578"/>
    </w:p>
    <w:p w14:paraId="22386F5B"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6A14A902" w14:textId="2101C276" w:rsidR="006542E2" w:rsidRPr="00763B59" w:rsidRDefault="006542E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1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Part 1.2 of Schedule 1)</w:t>
      </w:r>
    </w:p>
    <w:p w14:paraId="35A49F59"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0781E936" w14:textId="128FC325"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Offences against section 270.6</w:t>
      </w:r>
      <w:r w:rsidR="009863B8" w:rsidRPr="00763B59">
        <w:rPr>
          <w:rStyle w:val="FootnoteReference"/>
          <w:rFonts w:asciiTheme="minorHAnsi" w:hAnsiTheme="minorHAnsi"/>
        </w:rPr>
        <w:footnoteReference w:id="1202"/>
      </w:r>
      <w:r w:rsidRPr="00763B59">
        <w:rPr>
          <w:rFonts w:asciiTheme="minorHAnsi" w:hAnsiTheme="minorHAnsi"/>
          <w:sz w:val="20"/>
        </w:rPr>
        <w:t xml:space="preserve"> of the </w:t>
      </w:r>
      <w:r w:rsidRPr="00763B59">
        <w:rPr>
          <w:rFonts w:asciiTheme="minorHAnsi" w:hAnsiTheme="minorHAnsi"/>
          <w:i/>
          <w:sz w:val="20"/>
        </w:rPr>
        <w:t>Criminal Code</w:t>
      </w:r>
      <w:r w:rsidRPr="00763B59">
        <w:rPr>
          <w:rFonts w:asciiTheme="minorHAnsi" w:hAnsiTheme="minorHAnsi"/>
          <w:sz w:val="20"/>
        </w:rPr>
        <w:t xml:space="preserve"> where the victim is a child.</w:t>
      </w:r>
    </w:p>
    <w:p w14:paraId="1DDC61DC" w14:textId="77777777" w:rsidR="006542E2" w:rsidRPr="00763B59" w:rsidRDefault="006542E2" w:rsidP="006542E2">
      <w:pPr>
        <w:tabs>
          <w:tab w:val="left" w:pos="426"/>
        </w:tabs>
        <w:spacing w:line="276" w:lineRule="auto"/>
        <w:ind w:left="1137"/>
        <w:jc w:val="both"/>
        <w:rPr>
          <w:rFonts w:asciiTheme="minorHAnsi" w:hAnsiTheme="minorHAnsi"/>
          <w:sz w:val="20"/>
        </w:rPr>
      </w:pPr>
    </w:p>
    <w:p w14:paraId="2AA2F2F7"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484FB07E" w14:textId="29FFDAE4"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272.8(1) and (2)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3432A58B"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272.10(1) (aggravated offence—child under 16 with mental impairment or under care, supervision or authority of defendant);</w:t>
      </w:r>
    </w:p>
    <w:p w14:paraId="1605A22F"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272.11 (persistent sexual abuse of child under 16 outside Australia);</w:t>
      </w:r>
    </w:p>
    <w:p w14:paraId="712BB2FF" w14:textId="75B05D71"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272.12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347EDD3E" w14:textId="77777777" w:rsidR="006542E2" w:rsidRPr="00763B59" w:rsidRDefault="006542E2" w:rsidP="006542E2">
      <w:pPr>
        <w:tabs>
          <w:tab w:val="left" w:pos="426"/>
          <w:tab w:val="left" w:pos="709"/>
          <w:tab w:val="left" w:pos="993"/>
        </w:tabs>
        <w:spacing w:before="120" w:line="276" w:lineRule="auto"/>
        <w:ind w:left="2160"/>
        <w:jc w:val="both"/>
        <w:rPr>
          <w:rFonts w:asciiTheme="minorHAnsi" w:hAnsiTheme="minorHAnsi"/>
          <w:sz w:val="20"/>
        </w:rPr>
      </w:pPr>
    </w:p>
    <w:p w14:paraId="01FA7010"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of benefiting from (s 272.18) or encouraging (s 272.19) 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7FA9D5CC" w14:textId="77777777" w:rsidR="006542E2" w:rsidRPr="00763B59" w:rsidRDefault="006542E2" w:rsidP="006542E2">
      <w:pPr>
        <w:tabs>
          <w:tab w:val="left" w:pos="426"/>
          <w:tab w:val="left" w:pos="709"/>
          <w:tab w:val="left" w:pos="993"/>
          <w:tab w:val="num" w:pos="2160"/>
        </w:tabs>
        <w:spacing w:before="120" w:line="276" w:lineRule="auto"/>
        <w:ind w:left="2160"/>
        <w:jc w:val="both"/>
        <w:rPr>
          <w:rFonts w:asciiTheme="minorHAnsi" w:hAnsiTheme="minorHAnsi"/>
          <w:sz w:val="20"/>
        </w:rPr>
      </w:pPr>
    </w:p>
    <w:p w14:paraId="317BF7F6" w14:textId="131AC931" w:rsidR="006542E2" w:rsidRPr="00763B59" w:rsidRDefault="006542E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2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Part 2.2 of Schedule 2)</w:t>
      </w:r>
    </w:p>
    <w:p w14:paraId="7BE464B7"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03F8C435"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section 270.7 (deceptive recruiting) or 270.8 (aggravated slavery-like offence) of the </w:t>
      </w:r>
      <w:r w:rsidRPr="00763B59">
        <w:rPr>
          <w:rFonts w:asciiTheme="minorHAnsi" w:hAnsiTheme="minorHAnsi"/>
          <w:i/>
          <w:sz w:val="20"/>
        </w:rPr>
        <w:t>Criminal Code</w:t>
      </w:r>
      <w:r w:rsidRPr="00763B59">
        <w:rPr>
          <w:rFonts w:asciiTheme="minorHAnsi" w:hAnsiTheme="minorHAnsi"/>
          <w:sz w:val="20"/>
        </w:rPr>
        <w:t xml:space="preserve"> where the offending involves sexual services.</w:t>
      </w:r>
    </w:p>
    <w:p w14:paraId="798BE550" w14:textId="77777777" w:rsidR="006542E2" w:rsidRPr="00763B59" w:rsidRDefault="006542E2" w:rsidP="006542E2">
      <w:pPr>
        <w:tabs>
          <w:tab w:val="left" w:pos="426"/>
        </w:tabs>
        <w:spacing w:line="276" w:lineRule="auto"/>
        <w:ind w:left="1137"/>
        <w:jc w:val="both"/>
        <w:rPr>
          <w:rFonts w:asciiTheme="minorHAnsi" w:hAnsiTheme="minorHAnsi"/>
          <w:sz w:val="20"/>
        </w:rPr>
      </w:pPr>
    </w:p>
    <w:p w14:paraId="06E939E2"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section 271.4 (trafficking in children) or section 271.7 (domestic trafficking in children) of the </w:t>
      </w:r>
      <w:r w:rsidRPr="00763B59">
        <w:rPr>
          <w:rFonts w:asciiTheme="minorHAnsi" w:hAnsiTheme="minorHAnsi"/>
          <w:i/>
          <w:sz w:val="20"/>
        </w:rPr>
        <w:t>Criminal Code</w:t>
      </w:r>
      <w:r w:rsidRPr="00763B59">
        <w:rPr>
          <w:rFonts w:asciiTheme="minorHAnsi" w:hAnsiTheme="minorHAnsi"/>
          <w:sz w:val="20"/>
        </w:rPr>
        <w:t xml:space="preserve"> in circumstances where the offender intends or is reckless as to whether the victim will be used/exploited for sexual services.</w:t>
      </w:r>
    </w:p>
    <w:p w14:paraId="3C5E447B" w14:textId="77777777" w:rsidR="006542E2" w:rsidRPr="00763B59" w:rsidRDefault="006542E2" w:rsidP="006542E2">
      <w:pPr>
        <w:pStyle w:val="ListParagraph"/>
        <w:rPr>
          <w:rFonts w:asciiTheme="minorHAnsi" w:hAnsiTheme="minorHAnsi"/>
          <w:sz w:val="20"/>
        </w:rPr>
      </w:pPr>
    </w:p>
    <w:p w14:paraId="0775F110"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6ACB76D0" w14:textId="650B4D5D"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272.9(1) and (2) (sexual activity (other than sexual intercourse) with child under 16 outside Australia,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1A99EB32" w14:textId="0EA4E358"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272.13(1) and (2) (sexual activity (other than sexual intercourse) with young person outside Australia—defendant in position of trust or authority - or causing such activity in defendant</w:t>
      </w:r>
      <w:r w:rsidR="00AA693C" w:rsidRPr="00763B59">
        <w:rPr>
          <w:rFonts w:asciiTheme="minorHAnsi" w:hAnsiTheme="minorHAnsi"/>
          <w:sz w:val="20"/>
        </w:rPr>
        <w:t>’</w:t>
      </w:r>
      <w:r w:rsidRPr="00763B59">
        <w:rPr>
          <w:rFonts w:asciiTheme="minorHAnsi" w:hAnsiTheme="minorHAnsi"/>
          <w:sz w:val="20"/>
        </w:rPr>
        <w:t>s presence);</w:t>
      </w:r>
    </w:p>
    <w:p w14:paraId="1DE0AAB8"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272.14(1) (procuring child to engage in sexual activity outside Australia);</w:t>
      </w:r>
    </w:p>
    <w:p w14:paraId="4F02083E"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272.15(1) ("grooming" child to engage in sexual activity outside Australia).</w:t>
      </w:r>
    </w:p>
    <w:p w14:paraId="1C032398" w14:textId="77777777" w:rsidR="006542E2" w:rsidRPr="00763B59" w:rsidRDefault="006542E2" w:rsidP="006542E2">
      <w:pPr>
        <w:tabs>
          <w:tab w:val="left" w:pos="426"/>
          <w:tab w:val="left" w:pos="709"/>
          <w:tab w:val="left" w:pos="993"/>
        </w:tabs>
        <w:spacing w:before="120" w:line="276" w:lineRule="auto"/>
        <w:ind w:left="2160"/>
        <w:jc w:val="both"/>
        <w:rPr>
          <w:rFonts w:asciiTheme="minorHAnsi" w:hAnsiTheme="minorHAnsi"/>
          <w:sz w:val="20"/>
        </w:rPr>
      </w:pPr>
    </w:p>
    <w:p w14:paraId="3F79355E"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of preparing for or planning (s 272.20) sexual offences against children outside Australia (under Division 272 of the </w:t>
      </w:r>
      <w:r w:rsidRPr="00763B59">
        <w:rPr>
          <w:rFonts w:asciiTheme="minorHAnsi" w:hAnsiTheme="minorHAnsi"/>
          <w:i/>
          <w:sz w:val="20"/>
        </w:rPr>
        <w:t>Criminal Code</w:t>
      </w:r>
      <w:r w:rsidRPr="00763B59">
        <w:rPr>
          <w:rFonts w:asciiTheme="minorHAnsi" w:hAnsiTheme="minorHAnsi"/>
          <w:sz w:val="20"/>
        </w:rPr>
        <w:t>)</w:t>
      </w:r>
    </w:p>
    <w:p w14:paraId="28012500" w14:textId="77777777" w:rsidR="006542E2" w:rsidRPr="00763B59" w:rsidRDefault="006542E2" w:rsidP="006542E2">
      <w:pPr>
        <w:tabs>
          <w:tab w:val="left" w:pos="426"/>
        </w:tabs>
        <w:spacing w:line="276" w:lineRule="auto"/>
        <w:ind w:left="1137"/>
        <w:jc w:val="both"/>
        <w:rPr>
          <w:rFonts w:asciiTheme="minorHAnsi" w:hAnsiTheme="minorHAnsi"/>
          <w:sz w:val="20"/>
        </w:rPr>
      </w:pPr>
    </w:p>
    <w:p w14:paraId="4EF54046" w14:textId="711528C3"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child </w:t>
      </w:r>
      <w:r w:rsidR="00523713" w:rsidRPr="00763B59">
        <w:rPr>
          <w:rFonts w:asciiTheme="minorHAnsi" w:hAnsiTheme="minorHAnsi"/>
          <w:sz w:val="20"/>
        </w:rPr>
        <w:t>exploitation material</w:t>
      </w:r>
      <w:r w:rsidRPr="00763B59">
        <w:rPr>
          <w:rFonts w:asciiTheme="minorHAnsi" w:hAnsiTheme="minorHAnsi"/>
          <w:sz w:val="20"/>
        </w:rPr>
        <w:t xml:space="preserve"> and child abuse material outside Australia:</w:t>
      </w:r>
    </w:p>
    <w:p w14:paraId="31AF9E03"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273.5 (possessing, controlling, producing, distributing or obtaining child pornography material outside Australia);</w:t>
      </w:r>
    </w:p>
    <w:p w14:paraId="394DB81A"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273.6 (possessing, controlling, producing, distributing or obtaining child abuse material outside Australia);</w:t>
      </w:r>
    </w:p>
    <w:p w14:paraId="759C7D35"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273.7 (aggravated offending relating to child pornography or child abuse material outside Australia).</w:t>
      </w:r>
    </w:p>
    <w:p w14:paraId="0F7C4A33" w14:textId="77777777" w:rsidR="006542E2" w:rsidRPr="00763B59" w:rsidRDefault="006542E2" w:rsidP="006542E2">
      <w:pPr>
        <w:tabs>
          <w:tab w:val="left" w:pos="426"/>
        </w:tabs>
        <w:spacing w:line="276" w:lineRule="auto"/>
        <w:ind w:left="1137"/>
        <w:jc w:val="both"/>
        <w:rPr>
          <w:rFonts w:asciiTheme="minorHAnsi" w:hAnsiTheme="minorHAnsi"/>
          <w:sz w:val="20"/>
        </w:rPr>
      </w:pPr>
    </w:p>
    <w:p w14:paraId="2E374864"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postal or similar service:</w:t>
      </w:r>
    </w:p>
    <w:p w14:paraId="19E0F135"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471.16 (using a postal or similar service for child pornography material);</w:t>
      </w:r>
    </w:p>
    <w:p w14:paraId="65923FAA" w14:textId="77777777" w:rsidR="006542E2" w:rsidRPr="00763B59" w:rsidRDefault="006542E2" w:rsidP="00EB7F1E">
      <w:pPr>
        <w:numPr>
          <w:ilvl w:val="2"/>
          <w:numId w:val="2"/>
        </w:numPr>
        <w:tabs>
          <w:tab w:val="left" w:pos="426"/>
          <w:tab w:val="left" w:pos="709"/>
          <w:tab w:val="left" w:pos="990"/>
        </w:tabs>
        <w:spacing w:line="276" w:lineRule="auto"/>
        <w:ind w:left="2154" w:hanging="357"/>
        <w:jc w:val="both"/>
        <w:rPr>
          <w:rFonts w:asciiTheme="minorHAnsi" w:hAnsiTheme="minorHAnsi"/>
          <w:sz w:val="20"/>
        </w:rPr>
      </w:pPr>
      <w:r w:rsidRPr="00763B59">
        <w:rPr>
          <w:rFonts w:asciiTheme="minorHAnsi" w:hAnsiTheme="minorHAnsi"/>
          <w:sz w:val="20"/>
        </w:rPr>
        <w:t>section 471.17 (possessing, controlling, producing, supplying or obtaining child pornography material for use through a postal or similar service);</w:t>
      </w:r>
    </w:p>
    <w:p w14:paraId="36A14C8D" w14:textId="77777777" w:rsidR="006542E2" w:rsidRPr="00763B59" w:rsidRDefault="006542E2" w:rsidP="00EB7F1E">
      <w:pPr>
        <w:numPr>
          <w:ilvl w:val="2"/>
          <w:numId w:val="2"/>
        </w:numPr>
        <w:tabs>
          <w:tab w:val="left" w:pos="426"/>
          <w:tab w:val="left" w:pos="709"/>
          <w:tab w:val="left" w:pos="990"/>
        </w:tabs>
        <w:spacing w:line="276" w:lineRule="auto"/>
        <w:ind w:left="2154" w:hanging="357"/>
        <w:jc w:val="both"/>
        <w:rPr>
          <w:rFonts w:asciiTheme="minorHAnsi" w:hAnsiTheme="minorHAnsi"/>
          <w:sz w:val="20"/>
        </w:rPr>
      </w:pPr>
      <w:r w:rsidRPr="00763B59">
        <w:rPr>
          <w:rFonts w:asciiTheme="minorHAnsi" w:hAnsiTheme="minorHAnsi"/>
          <w:sz w:val="20"/>
        </w:rPr>
        <w:t>section 471.19 (using a postal or similar service for child abuse material);</w:t>
      </w:r>
    </w:p>
    <w:p w14:paraId="6502975C" w14:textId="77777777" w:rsidR="006542E2" w:rsidRPr="00763B59" w:rsidRDefault="006542E2" w:rsidP="00EB7F1E">
      <w:pPr>
        <w:numPr>
          <w:ilvl w:val="2"/>
          <w:numId w:val="2"/>
        </w:numPr>
        <w:tabs>
          <w:tab w:val="left" w:pos="426"/>
          <w:tab w:val="left" w:pos="709"/>
          <w:tab w:val="left" w:pos="990"/>
        </w:tabs>
        <w:spacing w:line="276" w:lineRule="auto"/>
        <w:ind w:left="2154" w:hanging="357"/>
        <w:jc w:val="both"/>
        <w:rPr>
          <w:rFonts w:asciiTheme="minorHAnsi" w:hAnsiTheme="minorHAnsi"/>
          <w:sz w:val="20"/>
        </w:rPr>
      </w:pPr>
      <w:r w:rsidRPr="00763B59">
        <w:rPr>
          <w:rFonts w:asciiTheme="minorHAnsi" w:hAnsiTheme="minorHAnsi"/>
          <w:sz w:val="20"/>
        </w:rPr>
        <w:t>section 471.20 (possessing, controlling, producing, supplying or obtaining child abuse material for use through a postal or similar service);</w:t>
      </w:r>
    </w:p>
    <w:p w14:paraId="2F7591F8" w14:textId="77777777" w:rsidR="006542E2" w:rsidRPr="00763B59" w:rsidRDefault="006542E2" w:rsidP="00EB7F1E">
      <w:pPr>
        <w:numPr>
          <w:ilvl w:val="2"/>
          <w:numId w:val="2"/>
        </w:numPr>
        <w:tabs>
          <w:tab w:val="left" w:pos="426"/>
          <w:tab w:val="left" w:pos="709"/>
          <w:tab w:val="left" w:pos="990"/>
        </w:tabs>
        <w:spacing w:line="276" w:lineRule="auto"/>
        <w:ind w:left="2154" w:hanging="357"/>
        <w:jc w:val="both"/>
        <w:rPr>
          <w:rFonts w:asciiTheme="minorHAnsi" w:hAnsiTheme="minorHAnsi"/>
          <w:sz w:val="20"/>
        </w:rPr>
      </w:pPr>
      <w:r w:rsidRPr="00763B59">
        <w:rPr>
          <w:rFonts w:asciiTheme="minorHAnsi" w:hAnsiTheme="minorHAnsi"/>
          <w:sz w:val="20"/>
        </w:rPr>
        <w:t>section 471.22 (aggravated offending relating to child pornography or child abuse material).</w:t>
      </w:r>
    </w:p>
    <w:p w14:paraId="4C6DA000" w14:textId="77777777" w:rsidR="006542E2" w:rsidRPr="00763B59" w:rsidRDefault="006542E2" w:rsidP="00EB7F1E">
      <w:pPr>
        <w:numPr>
          <w:ilvl w:val="2"/>
          <w:numId w:val="2"/>
        </w:numPr>
        <w:tabs>
          <w:tab w:val="left" w:pos="426"/>
          <w:tab w:val="left" w:pos="709"/>
          <w:tab w:val="left" w:pos="990"/>
        </w:tabs>
        <w:spacing w:line="276" w:lineRule="auto"/>
        <w:ind w:left="2154" w:hanging="357"/>
        <w:jc w:val="both"/>
        <w:rPr>
          <w:rFonts w:asciiTheme="minorHAnsi" w:hAnsiTheme="minorHAnsi"/>
          <w:sz w:val="20"/>
        </w:rPr>
      </w:pPr>
      <w:r w:rsidRPr="00763B59">
        <w:rPr>
          <w:rFonts w:asciiTheme="minorHAnsi" w:hAnsiTheme="minorHAnsi"/>
          <w:sz w:val="20"/>
        </w:rPr>
        <w:t>section 471.24 (using a postal or similar service to procure persons under 16);</w:t>
      </w:r>
    </w:p>
    <w:p w14:paraId="249FEFBA" w14:textId="77777777" w:rsidR="006542E2" w:rsidRPr="00763B59" w:rsidRDefault="006542E2" w:rsidP="00EB7F1E">
      <w:pPr>
        <w:numPr>
          <w:ilvl w:val="2"/>
          <w:numId w:val="2"/>
        </w:numPr>
        <w:tabs>
          <w:tab w:val="left" w:pos="426"/>
          <w:tab w:val="left" w:pos="709"/>
          <w:tab w:val="left" w:pos="990"/>
        </w:tabs>
        <w:spacing w:line="276" w:lineRule="auto"/>
        <w:ind w:left="2154" w:hanging="357"/>
        <w:jc w:val="both"/>
        <w:rPr>
          <w:rFonts w:asciiTheme="minorHAnsi" w:hAnsiTheme="minorHAnsi"/>
          <w:sz w:val="20"/>
        </w:rPr>
      </w:pPr>
      <w:r w:rsidRPr="00763B59">
        <w:rPr>
          <w:rFonts w:asciiTheme="minorHAnsi" w:hAnsiTheme="minorHAnsi"/>
          <w:sz w:val="20"/>
        </w:rPr>
        <w:t>section 471.25 (using a postal or similar service to "groom" persons under 16);</w:t>
      </w:r>
    </w:p>
    <w:p w14:paraId="26BC703D" w14:textId="77777777" w:rsidR="006542E2" w:rsidRPr="00763B59" w:rsidRDefault="006542E2" w:rsidP="00EB7F1E">
      <w:pPr>
        <w:numPr>
          <w:ilvl w:val="2"/>
          <w:numId w:val="2"/>
        </w:numPr>
        <w:tabs>
          <w:tab w:val="left" w:pos="426"/>
          <w:tab w:val="left" w:pos="709"/>
          <w:tab w:val="left" w:pos="993"/>
        </w:tabs>
        <w:spacing w:line="276" w:lineRule="auto"/>
        <w:ind w:left="2154" w:hanging="357"/>
        <w:jc w:val="both"/>
        <w:rPr>
          <w:rFonts w:asciiTheme="minorHAnsi" w:hAnsiTheme="minorHAnsi"/>
          <w:sz w:val="20"/>
        </w:rPr>
      </w:pPr>
      <w:r w:rsidRPr="00763B59">
        <w:rPr>
          <w:rFonts w:asciiTheme="minorHAnsi" w:hAnsiTheme="minorHAnsi"/>
          <w:sz w:val="20"/>
        </w:rPr>
        <w:t>section 471.26 (using a postal or similar service to send indecent material to person under 16).</w:t>
      </w:r>
    </w:p>
    <w:p w14:paraId="262A9A72" w14:textId="77777777" w:rsidR="006542E2" w:rsidRPr="00763B59" w:rsidRDefault="006542E2" w:rsidP="006542E2">
      <w:pPr>
        <w:tabs>
          <w:tab w:val="left" w:pos="426"/>
        </w:tabs>
        <w:spacing w:line="276" w:lineRule="auto"/>
        <w:ind w:left="1137"/>
        <w:jc w:val="both"/>
        <w:rPr>
          <w:rFonts w:asciiTheme="minorHAnsi" w:hAnsiTheme="minorHAnsi"/>
          <w:sz w:val="20"/>
        </w:rPr>
      </w:pPr>
    </w:p>
    <w:p w14:paraId="4B73C96D" w14:textId="77777777" w:rsidR="006542E2" w:rsidRPr="00763B59" w:rsidRDefault="006542E2" w:rsidP="006542E2">
      <w:pPr>
        <w:numPr>
          <w:ilvl w:val="0"/>
          <w:numId w:val="2"/>
        </w:numPr>
        <w:tabs>
          <w:tab w:val="clear" w:pos="930"/>
          <w:tab w:val="left" w:pos="426"/>
          <w:tab w:val="num" w:pos="1137"/>
        </w:tabs>
        <w:spacing w:line="276" w:lineRule="auto"/>
        <w:ind w:left="1137"/>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carriage service:</w:t>
      </w:r>
    </w:p>
    <w:p w14:paraId="34033569" w14:textId="77777777" w:rsidR="006542E2" w:rsidRPr="00763B59" w:rsidRDefault="006542E2" w:rsidP="006542E2">
      <w:pPr>
        <w:numPr>
          <w:ilvl w:val="2"/>
          <w:numId w:val="2"/>
        </w:numPr>
        <w:tabs>
          <w:tab w:val="left" w:pos="426"/>
          <w:tab w:val="left" w:pos="709"/>
          <w:tab w:val="left" w:pos="993"/>
        </w:tabs>
        <w:spacing w:before="120" w:line="276" w:lineRule="auto"/>
        <w:jc w:val="both"/>
        <w:rPr>
          <w:rFonts w:asciiTheme="minorHAnsi" w:hAnsiTheme="minorHAnsi"/>
          <w:sz w:val="20"/>
        </w:rPr>
      </w:pPr>
      <w:r w:rsidRPr="00763B59">
        <w:rPr>
          <w:rFonts w:asciiTheme="minorHAnsi" w:hAnsiTheme="minorHAnsi"/>
          <w:sz w:val="20"/>
        </w:rPr>
        <w:t>section 474.19 (using a carriage service for child pornography material);</w:t>
      </w:r>
    </w:p>
    <w:p w14:paraId="7A24DCAD"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474.20 (possessing, controlling, producing, supplying or obtaining child pornography material for use through a carriage service);</w:t>
      </w:r>
    </w:p>
    <w:p w14:paraId="7332C963"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474.22 (using a carriage service for child abuse material);</w:t>
      </w:r>
    </w:p>
    <w:p w14:paraId="7E64D492"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474.23 (possessing, controlling, producing, supplying or obtaining child abuse material through a carriage service)</w:t>
      </w:r>
    </w:p>
    <w:p w14:paraId="7D3BDDBF"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474.24A (aggravated offence involving child abuse material through a carriage service);</w:t>
      </w:r>
    </w:p>
    <w:p w14:paraId="7CB6DA33"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474.25A (using a carriage service for sexual activity with person under 16);</w:t>
      </w:r>
    </w:p>
    <w:p w14:paraId="0DDDD370"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474.25B (aggravated offence—child with mental impairment or under care, supervision or authority of defendant);</w:t>
      </w:r>
    </w:p>
    <w:p w14:paraId="12051B60"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474.26 (using a carriage service to procure persons under 16);</w:t>
      </w:r>
    </w:p>
    <w:p w14:paraId="68F7E161"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 (using a carriage service to "groom" persons under 16);</w:t>
      </w:r>
    </w:p>
    <w:p w14:paraId="088E263A"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474.27A (using a carriage service to transmit indecent communication to person under 16).</w:t>
      </w:r>
    </w:p>
    <w:p w14:paraId="505D2655" w14:textId="77777777" w:rsidR="006542E2" w:rsidRPr="00763B59" w:rsidRDefault="006542E2" w:rsidP="006542E2">
      <w:pPr>
        <w:tabs>
          <w:tab w:val="left" w:pos="426"/>
        </w:tabs>
        <w:spacing w:line="276" w:lineRule="auto"/>
        <w:ind w:left="1137"/>
        <w:jc w:val="both"/>
        <w:rPr>
          <w:rFonts w:asciiTheme="minorHAnsi" w:hAnsiTheme="minorHAnsi"/>
          <w:sz w:val="20"/>
        </w:rPr>
      </w:pPr>
    </w:p>
    <w:p w14:paraId="20946B9D" w14:textId="77777777" w:rsidR="006542E2" w:rsidRPr="00763B59" w:rsidRDefault="006542E2" w:rsidP="006542E2">
      <w:pPr>
        <w:numPr>
          <w:ilvl w:val="0"/>
          <w:numId w:val="2"/>
        </w:numPr>
        <w:tabs>
          <w:tab w:val="clear" w:pos="930"/>
        </w:tabs>
        <w:spacing w:line="276" w:lineRule="auto"/>
        <w:ind w:left="1137"/>
        <w:jc w:val="both"/>
        <w:rPr>
          <w:rFonts w:asciiTheme="minorHAnsi" w:hAnsiTheme="minorHAnsi"/>
          <w:sz w:val="20"/>
        </w:rPr>
      </w:pPr>
      <w:r w:rsidRPr="00763B59">
        <w:rPr>
          <w:rFonts w:asciiTheme="minorHAnsi" w:hAnsiTheme="minorHAnsi"/>
          <w:sz w:val="20"/>
        </w:rPr>
        <w:t xml:space="preserve">Offences under s 233BAB(5) and s 233BAB(6)  of the </w:t>
      </w:r>
      <w:r w:rsidRPr="00763B59">
        <w:rPr>
          <w:rFonts w:asciiTheme="minorHAnsi" w:hAnsiTheme="minorHAnsi"/>
          <w:i/>
          <w:sz w:val="20"/>
        </w:rPr>
        <w:t xml:space="preserve">Customs Act 1901 </w:t>
      </w:r>
      <w:r w:rsidRPr="00763B59">
        <w:rPr>
          <w:rFonts w:asciiTheme="minorHAnsi" w:hAnsiTheme="minorHAnsi"/>
          <w:sz w:val="20"/>
        </w:rPr>
        <w:t>(Cth) involving importing/exporting items that are child pornography or child abuse material.</w:t>
      </w:r>
    </w:p>
    <w:p w14:paraId="78F12C9D" w14:textId="7A984DF3" w:rsidR="007B4342" w:rsidRPr="00763B59" w:rsidRDefault="007B4342">
      <w:pPr>
        <w:rPr>
          <w:rFonts w:asciiTheme="minorHAnsi" w:hAnsiTheme="minorHAnsi"/>
          <w:sz w:val="20"/>
        </w:rPr>
      </w:pPr>
      <w:r w:rsidRPr="00763B59">
        <w:rPr>
          <w:rFonts w:asciiTheme="minorHAnsi" w:hAnsiTheme="minorHAnsi"/>
          <w:sz w:val="20"/>
        </w:rPr>
        <w:br w:type="page"/>
      </w:r>
    </w:p>
    <w:p w14:paraId="35D14672" w14:textId="3CB0C7BB" w:rsidR="006542E2" w:rsidRPr="00763B59" w:rsidRDefault="006542E2" w:rsidP="00EB7F1E">
      <w:pPr>
        <w:pStyle w:val="Heading2"/>
        <w:numPr>
          <w:ilvl w:val="0"/>
          <w:numId w:val="0"/>
        </w:numPr>
        <w:ind w:left="720" w:hanging="720"/>
      </w:pPr>
      <w:bookmarkStart w:id="3579" w:name="_Toc33602998"/>
      <w:r w:rsidRPr="00763B59">
        <w:t>A</w:t>
      </w:r>
      <w:r w:rsidR="007B4342" w:rsidRPr="00763B59">
        <w:t>2</w:t>
      </w:r>
      <w:r w:rsidRPr="00763B59">
        <w:t>.</w:t>
      </w:r>
      <w:r w:rsidR="007B4342" w:rsidRPr="00763B59">
        <w:t>8</w:t>
      </w:r>
      <w:r w:rsidR="001B6935" w:rsidRPr="00763B59">
        <w:tab/>
      </w:r>
      <w:r w:rsidR="007B4342" w:rsidRPr="00763B59">
        <w:t>N</w:t>
      </w:r>
      <w:r w:rsidR="001B6935" w:rsidRPr="00763B59">
        <w:t>orthern Territory</w:t>
      </w:r>
      <w:r w:rsidR="007B4342" w:rsidRPr="00763B59">
        <w:t xml:space="preserve">: </w:t>
      </w:r>
      <w:r w:rsidRPr="00763B59">
        <w:t>Registrable federal offences under the Child Protection (Offender Reporting and Registration) Act 2004 (NT)</w:t>
      </w:r>
      <w:bookmarkEnd w:id="3579"/>
    </w:p>
    <w:p w14:paraId="38886067"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62E712DA" w14:textId="40304BF1" w:rsidR="006542E2" w:rsidRPr="00763B59" w:rsidRDefault="006542E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1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Schedule 1)</w:t>
      </w:r>
    </w:p>
    <w:p w14:paraId="55CB2151"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6CC9FE62"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50BA</w:t>
      </w:r>
      <w:r w:rsidRPr="00763B59">
        <w:rPr>
          <w:rStyle w:val="FootnoteReference"/>
          <w:rFonts w:asciiTheme="minorHAnsi" w:hAnsiTheme="minorHAnsi"/>
        </w:rPr>
        <w:footnoteReference w:id="1203"/>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(sexual intercourse with child under 16).</w:t>
      </w:r>
    </w:p>
    <w:p w14:paraId="1C30ED44" w14:textId="77777777" w:rsidR="006542E2" w:rsidRPr="00763B59" w:rsidRDefault="006542E2" w:rsidP="006542E2">
      <w:pPr>
        <w:tabs>
          <w:tab w:val="left" w:pos="426"/>
        </w:tabs>
        <w:spacing w:line="276" w:lineRule="auto"/>
        <w:ind w:left="930"/>
        <w:jc w:val="both"/>
        <w:rPr>
          <w:rFonts w:asciiTheme="minorHAnsi" w:hAnsiTheme="minorHAnsi"/>
          <w:sz w:val="20"/>
        </w:rPr>
      </w:pPr>
    </w:p>
    <w:p w14:paraId="1C0B0054"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50BB</w:t>
      </w:r>
      <w:r w:rsidRPr="00763B59">
        <w:rPr>
          <w:rStyle w:val="FootnoteReference"/>
          <w:rFonts w:asciiTheme="minorHAnsi" w:hAnsiTheme="minorHAnsi"/>
        </w:rPr>
        <w:footnoteReference w:id="1204"/>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(inducing child under 16 to engage in sexual intercourse).</w:t>
      </w:r>
    </w:p>
    <w:p w14:paraId="6D1859F3" w14:textId="77777777" w:rsidR="006542E2" w:rsidRPr="00763B59" w:rsidRDefault="006542E2" w:rsidP="006542E2">
      <w:pPr>
        <w:pStyle w:val="ListParagraph"/>
        <w:rPr>
          <w:rFonts w:asciiTheme="minorHAnsi" w:hAnsiTheme="minorHAnsi"/>
          <w:sz w:val="20"/>
        </w:rPr>
      </w:pPr>
    </w:p>
    <w:p w14:paraId="5A3FAB66"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an  offence of the above kind.</w:t>
      </w:r>
    </w:p>
    <w:p w14:paraId="579F4617" w14:textId="77777777" w:rsidR="006542E2" w:rsidRPr="00763B59" w:rsidRDefault="006542E2" w:rsidP="006542E2">
      <w:pPr>
        <w:tabs>
          <w:tab w:val="left" w:pos="426"/>
        </w:tabs>
        <w:spacing w:line="276" w:lineRule="auto"/>
        <w:ind w:left="930"/>
        <w:jc w:val="both"/>
        <w:rPr>
          <w:rFonts w:asciiTheme="minorHAnsi" w:hAnsiTheme="minorHAnsi"/>
          <w:sz w:val="20"/>
        </w:rPr>
      </w:pPr>
    </w:p>
    <w:p w14:paraId="1450B8A0"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an offence of the above kind.</w:t>
      </w:r>
    </w:p>
    <w:p w14:paraId="77C7848C" w14:textId="77777777" w:rsidR="006542E2" w:rsidRPr="00763B59" w:rsidRDefault="006542E2" w:rsidP="006542E2">
      <w:pPr>
        <w:pStyle w:val="ListParagraph"/>
        <w:rPr>
          <w:rFonts w:asciiTheme="minorHAnsi" w:hAnsiTheme="minorHAnsi"/>
          <w:sz w:val="20"/>
        </w:rPr>
      </w:pPr>
    </w:p>
    <w:p w14:paraId="3C34F86E"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w:t>
      </w:r>
    </w:p>
    <w:p w14:paraId="3534C4C5" w14:textId="77777777" w:rsidR="006542E2" w:rsidRPr="00763B59" w:rsidRDefault="006542E2" w:rsidP="006542E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was a Class 1 offence; or</w:t>
      </w:r>
    </w:p>
    <w:p w14:paraId="446D9042" w14:textId="77777777" w:rsidR="006542E2" w:rsidRPr="00763B59" w:rsidRDefault="006542E2" w:rsidP="006542E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if the offence was committed before the commencement date –  was  an  offence  of  a  kind  referred to in Schedule 1;</w:t>
      </w:r>
    </w:p>
    <w:p w14:paraId="3A4413E3" w14:textId="77777777" w:rsidR="006542E2" w:rsidRPr="00763B59" w:rsidRDefault="006542E2" w:rsidP="006542E2">
      <w:pPr>
        <w:pStyle w:val="ListParagraph"/>
        <w:rPr>
          <w:rFonts w:asciiTheme="minorHAnsi" w:hAnsiTheme="minorHAnsi"/>
          <w:sz w:val="20"/>
        </w:rPr>
      </w:pPr>
    </w:p>
    <w:p w14:paraId="60BBB21F" w14:textId="1D0A716E" w:rsidR="006542E2" w:rsidRPr="00763B59" w:rsidRDefault="006542E2" w:rsidP="00EB7F1E">
      <w:pPr>
        <w:keepNext/>
        <w:tabs>
          <w:tab w:val="left" w:pos="426"/>
          <w:tab w:val="left" w:pos="709"/>
          <w:tab w:val="left" w:pos="993"/>
          <w:tab w:val="left" w:pos="1418"/>
        </w:tabs>
        <w:spacing w:line="276" w:lineRule="auto"/>
        <w:rPr>
          <w:rFonts w:asciiTheme="minorHAnsi" w:hAnsiTheme="minorHAnsi"/>
          <w:b/>
          <w:sz w:val="20"/>
          <w:u w:val="single"/>
        </w:rPr>
      </w:pPr>
      <w:r w:rsidRPr="00763B59">
        <w:rPr>
          <w:rFonts w:asciiTheme="minorHAnsi" w:hAnsiTheme="minorHAnsi"/>
          <w:b/>
          <w:sz w:val="20"/>
          <w:u w:val="single"/>
        </w:rPr>
        <w:t>Class 2 offences include the following federal offences (</w:t>
      </w:r>
      <w:r w:rsidR="009863B8" w:rsidRPr="00763B59">
        <w:rPr>
          <w:rFonts w:asciiTheme="minorHAnsi" w:hAnsiTheme="minorHAnsi"/>
          <w:b/>
          <w:sz w:val="20"/>
          <w:u w:val="single"/>
        </w:rPr>
        <w:t>listed</w:t>
      </w:r>
      <w:r w:rsidRPr="00763B59">
        <w:rPr>
          <w:rFonts w:asciiTheme="minorHAnsi" w:hAnsiTheme="minorHAnsi"/>
          <w:b/>
          <w:sz w:val="20"/>
          <w:u w:val="single"/>
        </w:rPr>
        <w:t xml:space="preserve"> in Schedule 2)</w:t>
      </w:r>
    </w:p>
    <w:p w14:paraId="1BAD341E" w14:textId="77777777" w:rsidR="006542E2" w:rsidRPr="00763B59" w:rsidRDefault="006542E2" w:rsidP="00EB7F1E">
      <w:pPr>
        <w:keepNext/>
        <w:tabs>
          <w:tab w:val="left" w:pos="426"/>
          <w:tab w:val="left" w:pos="709"/>
          <w:tab w:val="left" w:pos="993"/>
          <w:tab w:val="left" w:pos="1418"/>
        </w:tabs>
        <w:spacing w:line="276" w:lineRule="auto"/>
        <w:ind w:left="992" w:hanging="992"/>
        <w:jc w:val="both"/>
        <w:rPr>
          <w:rFonts w:asciiTheme="minorHAnsi" w:hAnsiTheme="minorHAnsi"/>
          <w:szCs w:val="22"/>
        </w:rPr>
      </w:pPr>
    </w:p>
    <w:p w14:paraId="5EB5291B"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50BC</w:t>
      </w:r>
      <w:r w:rsidRPr="00763B59">
        <w:rPr>
          <w:rStyle w:val="FootnoteReference"/>
          <w:rFonts w:asciiTheme="minorHAnsi" w:hAnsiTheme="minorHAnsi"/>
        </w:rPr>
        <w:footnoteReference w:id="1205"/>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(sexual conduct involving child under 16).</w:t>
      </w:r>
    </w:p>
    <w:p w14:paraId="66F6D237" w14:textId="77777777" w:rsidR="006542E2" w:rsidRPr="00763B59" w:rsidRDefault="006542E2" w:rsidP="006542E2">
      <w:pPr>
        <w:tabs>
          <w:tab w:val="left" w:pos="426"/>
        </w:tabs>
        <w:spacing w:line="276" w:lineRule="auto"/>
        <w:ind w:left="930"/>
        <w:jc w:val="both"/>
        <w:rPr>
          <w:rFonts w:asciiTheme="minorHAnsi" w:hAnsiTheme="minorHAnsi"/>
          <w:sz w:val="20"/>
        </w:rPr>
      </w:pPr>
    </w:p>
    <w:p w14:paraId="25EB66EB"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against   section 50BD</w:t>
      </w:r>
      <w:r w:rsidRPr="00763B59">
        <w:rPr>
          <w:rStyle w:val="FootnoteReference"/>
          <w:rFonts w:asciiTheme="minorHAnsi" w:hAnsiTheme="minorHAnsi"/>
        </w:rPr>
        <w:footnoteReference w:id="1206"/>
      </w:r>
      <w:r w:rsidRPr="00763B59">
        <w:rPr>
          <w:rFonts w:asciiTheme="minorHAnsi" w:hAnsiTheme="minorHAnsi"/>
          <w:sz w:val="20"/>
        </w:rPr>
        <w:t xml:space="preserve">  of   the   </w:t>
      </w:r>
      <w:r w:rsidRPr="00763B59">
        <w:rPr>
          <w:rFonts w:asciiTheme="minorHAnsi" w:hAnsiTheme="minorHAnsi"/>
          <w:i/>
          <w:sz w:val="20"/>
        </w:rPr>
        <w:t>Crimes   Act   1914</w:t>
      </w:r>
      <w:r w:rsidRPr="00763B59">
        <w:rPr>
          <w:rFonts w:asciiTheme="minorHAnsi" w:hAnsiTheme="minorHAnsi"/>
          <w:sz w:val="20"/>
        </w:rPr>
        <w:t xml:space="preserve"> (Cth) (inducing child under 16 to be involved in sexual conduct).</w:t>
      </w:r>
    </w:p>
    <w:p w14:paraId="52D7FE2A" w14:textId="77777777" w:rsidR="006542E2" w:rsidRPr="00763B59" w:rsidRDefault="006542E2" w:rsidP="006542E2">
      <w:pPr>
        <w:pStyle w:val="ListParagraph"/>
        <w:rPr>
          <w:rFonts w:asciiTheme="minorHAnsi" w:hAnsiTheme="minorHAnsi"/>
          <w:sz w:val="20"/>
        </w:rPr>
      </w:pPr>
    </w:p>
    <w:p w14:paraId="433E8552"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An offence against section 50DA or 50DB of the </w:t>
      </w:r>
      <w:r w:rsidRPr="00763B59">
        <w:rPr>
          <w:rFonts w:asciiTheme="minorHAnsi" w:hAnsiTheme="minorHAnsi"/>
          <w:i/>
          <w:sz w:val="20"/>
        </w:rPr>
        <w:t>Crimes Act 1914</w:t>
      </w:r>
      <w:r w:rsidRPr="00763B59">
        <w:rPr>
          <w:rFonts w:asciiTheme="minorHAnsi" w:hAnsiTheme="minorHAnsi"/>
          <w:sz w:val="20"/>
        </w:rPr>
        <w:t xml:space="preserve"> (Cth) (benefiting from offence and encouraging offence, respectively)</w:t>
      </w:r>
      <w:r w:rsidRPr="00763B59">
        <w:rPr>
          <w:rStyle w:val="FootnoteReference"/>
          <w:rFonts w:asciiTheme="minorHAnsi" w:hAnsiTheme="minorHAnsi"/>
        </w:rPr>
        <w:footnoteReference w:id="1207"/>
      </w:r>
    </w:p>
    <w:p w14:paraId="508D827D" w14:textId="77777777" w:rsidR="006542E2" w:rsidRPr="00763B59" w:rsidRDefault="006542E2" w:rsidP="006542E2">
      <w:pPr>
        <w:pStyle w:val="ListParagraph"/>
        <w:rPr>
          <w:rFonts w:asciiTheme="minorHAnsi" w:hAnsiTheme="minorHAnsi"/>
          <w:sz w:val="20"/>
        </w:rPr>
      </w:pPr>
    </w:p>
    <w:p w14:paraId="5FD3DE3C" w14:textId="788FBD52"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Offences against section 271.4 (</w:t>
      </w:r>
      <w:r w:rsidR="00E21A27" w:rsidRPr="00763B59">
        <w:rPr>
          <w:rFonts w:asciiTheme="minorHAnsi" w:hAnsiTheme="minorHAnsi"/>
          <w:sz w:val="20"/>
        </w:rPr>
        <w:t>trafficking in children to provide sexual services</w:t>
      </w:r>
      <w:r w:rsidRPr="00763B59">
        <w:rPr>
          <w:rFonts w:asciiTheme="minorHAnsi" w:hAnsiTheme="minorHAnsi"/>
          <w:sz w:val="20"/>
        </w:rPr>
        <w:t>) or section 271.7 (</w:t>
      </w:r>
      <w:r w:rsidR="00E21A27" w:rsidRPr="00763B59">
        <w:rPr>
          <w:rFonts w:asciiTheme="minorHAnsi" w:hAnsiTheme="minorHAnsi"/>
          <w:sz w:val="20"/>
        </w:rPr>
        <w:t>domestic trafficking in children to provide sexual services</w:t>
      </w:r>
      <w:r w:rsidRPr="00763B59">
        <w:rPr>
          <w:rFonts w:asciiTheme="minorHAnsi" w:hAnsiTheme="minorHAnsi"/>
          <w:sz w:val="20"/>
        </w:rPr>
        <w:t xml:space="preserve">) of the </w:t>
      </w:r>
      <w:r w:rsidRPr="00763B59">
        <w:rPr>
          <w:rFonts w:asciiTheme="minorHAnsi" w:hAnsiTheme="minorHAnsi"/>
          <w:i/>
          <w:sz w:val="20"/>
        </w:rPr>
        <w:t>Criminal Code</w:t>
      </w:r>
      <w:r w:rsidRPr="00763B59">
        <w:rPr>
          <w:rFonts w:asciiTheme="minorHAnsi" w:hAnsiTheme="minorHAnsi"/>
          <w:sz w:val="20"/>
        </w:rPr>
        <w:t>.</w:t>
      </w:r>
    </w:p>
    <w:p w14:paraId="5E01820E" w14:textId="77777777" w:rsidR="006542E2" w:rsidRPr="00763B59" w:rsidRDefault="006542E2" w:rsidP="006542E2">
      <w:pPr>
        <w:pStyle w:val="ListParagraph"/>
        <w:rPr>
          <w:rFonts w:asciiTheme="minorHAnsi" w:hAnsiTheme="minorHAnsi"/>
          <w:sz w:val="20"/>
        </w:rPr>
      </w:pPr>
    </w:p>
    <w:p w14:paraId="7AE74041"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 xml:space="preserve">Offences against the </w:t>
      </w:r>
      <w:r w:rsidRPr="00763B59">
        <w:rPr>
          <w:rFonts w:asciiTheme="minorHAnsi" w:hAnsiTheme="minorHAnsi"/>
          <w:i/>
          <w:sz w:val="20"/>
        </w:rPr>
        <w:t>Criminal Code</w:t>
      </w:r>
      <w:r w:rsidRPr="00763B59">
        <w:rPr>
          <w:rFonts w:asciiTheme="minorHAnsi" w:hAnsiTheme="minorHAnsi"/>
          <w:sz w:val="20"/>
        </w:rPr>
        <w:t xml:space="preserve"> relating to the use of a carriage service:</w:t>
      </w:r>
    </w:p>
    <w:p w14:paraId="1498F068" w14:textId="77777777" w:rsidR="006542E2" w:rsidRPr="00763B59" w:rsidRDefault="006542E2" w:rsidP="006542E2">
      <w:pPr>
        <w:numPr>
          <w:ilvl w:val="2"/>
          <w:numId w:val="2"/>
        </w:numPr>
        <w:tabs>
          <w:tab w:val="left" w:pos="426"/>
          <w:tab w:val="left" w:pos="709"/>
          <w:tab w:val="left" w:pos="993"/>
        </w:tabs>
        <w:spacing w:before="120" w:line="276" w:lineRule="auto"/>
        <w:jc w:val="both"/>
        <w:rPr>
          <w:rFonts w:asciiTheme="minorHAnsi" w:hAnsiTheme="minorHAnsi"/>
          <w:sz w:val="20"/>
        </w:rPr>
      </w:pPr>
      <w:r w:rsidRPr="00763B59">
        <w:rPr>
          <w:rFonts w:asciiTheme="minorHAnsi" w:hAnsiTheme="minorHAnsi"/>
          <w:sz w:val="20"/>
        </w:rPr>
        <w:t>section 474.19 (using a carriage service for child pornography material);</w:t>
      </w:r>
    </w:p>
    <w:p w14:paraId="4A4B83BF" w14:textId="77777777" w:rsidR="006542E2" w:rsidRPr="00763B59" w:rsidRDefault="006542E2" w:rsidP="006542E2">
      <w:pPr>
        <w:numPr>
          <w:ilvl w:val="2"/>
          <w:numId w:val="2"/>
        </w:numPr>
        <w:tabs>
          <w:tab w:val="left" w:pos="426"/>
          <w:tab w:val="left" w:pos="709"/>
          <w:tab w:val="left" w:pos="990"/>
        </w:tabs>
        <w:spacing w:line="276" w:lineRule="auto"/>
        <w:jc w:val="both"/>
        <w:rPr>
          <w:rFonts w:asciiTheme="minorHAnsi" w:hAnsiTheme="minorHAnsi"/>
          <w:sz w:val="20"/>
        </w:rPr>
      </w:pPr>
      <w:r w:rsidRPr="00763B59">
        <w:rPr>
          <w:rFonts w:asciiTheme="minorHAnsi" w:hAnsiTheme="minorHAnsi"/>
          <w:sz w:val="20"/>
        </w:rPr>
        <w:t>section 474.20 (possessing, controlling, producing, supplying or obtaining child pornography material for use through a carriage service);</w:t>
      </w:r>
    </w:p>
    <w:p w14:paraId="4E0A188B"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474.26 (using a carriage service to procure persons under 16);</w:t>
      </w:r>
    </w:p>
    <w:p w14:paraId="745C6462" w14:textId="77777777" w:rsidR="006542E2" w:rsidRPr="00763B59" w:rsidRDefault="006542E2" w:rsidP="006542E2">
      <w:pPr>
        <w:numPr>
          <w:ilvl w:val="2"/>
          <w:numId w:val="2"/>
        </w:numPr>
        <w:tabs>
          <w:tab w:val="left" w:pos="426"/>
          <w:tab w:val="left" w:pos="709"/>
          <w:tab w:val="left" w:pos="993"/>
        </w:tabs>
        <w:spacing w:line="276" w:lineRule="auto"/>
        <w:jc w:val="both"/>
        <w:rPr>
          <w:rFonts w:asciiTheme="minorHAnsi" w:hAnsiTheme="minorHAnsi"/>
          <w:sz w:val="20"/>
        </w:rPr>
      </w:pPr>
      <w:r w:rsidRPr="00763B59">
        <w:rPr>
          <w:rFonts w:asciiTheme="minorHAnsi" w:hAnsiTheme="minorHAnsi"/>
          <w:sz w:val="20"/>
        </w:rPr>
        <w:t>section 474.27 (using a carriage service to "groom" persons under 16);</w:t>
      </w:r>
    </w:p>
    <w:p w14:paraId="17840647" w14:textId="77777777" w:rsidR="006542E2" w:rsidRPr="00763B59" w:rsidRDefault="006542E2" w:rsidP="006542E2">
      <w:pPr>
        <w:tabs>
          <w:tab w:val="left" w:pos="426"/>
          <w:tab w:val="left" w:pos="709"/>
          <w:tab w:val="left" w:pos="993"/>
        </w:tabs>
        <w:spacing w:line="276" w:lineRule="auto"/>
        <w:ind w:left="2160"/>
        <w:jc w:val="both"/>
        <w:rPr>
          <w:rFonts w:asciiTheme="minorHAnsi" w:hAnsiTheme="minorHAnsi"/>
          <w:sz w:val="20"/>
        </w:rPr>
      </w:pPr>
    </w:p>
    <w:p w14:paraId="3EF1A33E"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an  element  of  which  is  an  intention  to  commit  an  offence of the above kind.</w:t>
      </w:r>
    </w:p>
    <w:p w14:paraId="57104602" w14:textId="77777777" w:rsidR="006542E2" w:rsidRPr="00763B59" w:rsidRDefault="006542E2" w:rsidP="006542E2">
      <w:pPr>
        <w:tabs>
          <w:tab w:val="left" w:pos="426"/>
        </w:tabs>
        <w:spacing w:line="276" w:lineRule="auto"/>
        <w:ind w:left="930"/>
        <w:jc w:val="both"/>
        <w:rPr>
          <w:rFonts w:asciiTheme="minorHAnsi" w:hAnsiTheme="minorHAnsi"/>
          <w:sz w:val="20"/>
        </w:rPr>
      </w:pPr>
    </w:p>
    <w:p w14:paraId="265A9551"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of  attempting,  or  of  conspiracy  or  incitement,  to  commit an offence of the above kind.</w:t>
      </w:r>
    </w:p>
    <w:p w14:paraId="7C1F0F0D" w14:textId="77777777" w:rsidR="006542E2" w:rsidRPr="00763B59" w:rsidRDefault="006542E2" w:rsidP="006542E2">
      <w:pPr>
        <w:pStyle w:val="ListParagraph"/>
        <w:rPr>
          <w:rFonts w:asciiTheme="minorHAnsi" w:hAnsiTheme="minorHAnsi"/>
          <w:sz w:val="20"/>
        </w:rPr>
      </w:pPr>
    </w:p>
    <w:p w14:paraId="4E9162A1" w14:textId="77777777" w:rsidR="006542E2" w:rsidRPr="00763B59" w:rsidRDefault="006542E2" w:rsidP="006542E2">
      <w:pPr>
        <w:numPr>
          <w:ilvl w:val="0"/>
          <w:numId w:val="2"/>
        </w:numPr>
        <w:tabs>
          <w:tab w:val="clear" w:pos="930"/>
          <w:tab w:val="left" w:pos="426"/>
        </w:tabs>
        <w:spacing w:line="276" w:lineRule="auto"/>
        <w:jc w:val="both"/>
        <w:rPr>
          <w:rFonts w:asciiTheme="minorHAnsi" w:hAnsiTheme="minorHAnsi"/>
          <w:sz w:val="20"/>
        </w:rPr>
      </w:pPr>
      <w:r w:rsidRPr="00763B59">
        <w:rPr>
          <w:rFonts w:asciiTheme="minorHAnsi" w:hAnsiTheme="minorHAnsi"/>
          <w:sz w:val="20"/>
        </w:rPr>
        <w:t>An offence that, at the time it was committed:</w:t>
      </w:r>
    </w:p>
    <w:p w14:paraId="16F939A4" w14:textId="77777777" w:rsidR="006542E2" w:rsidRPr="00763B59" w:rsidRDefault="006542E2" w:rsidP="006542E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was a Class 2 offence; or</w:t>
      </w:r>
    </w:p>
    <w:p w14:paraId="72250232" w14:textId="77777777" w:rsidR="006542E2" w:rsidRPr="00763B59" w:rsidRDefault="006542E2" w:rsidP="006542E2">
      <w:pPr>
        <w:numPr>
          <w:ilvl w:val="1"/>
          <w:numId w:val="2"/>
        </w:numPr>
        <w:tabs>
          <w:tab w:val="left" w:pos="426"/>
        </w:tabs>
        <w:spacing w:line="276" w:lineRule="auto"/>
        <w:jc w:val="both"/>
        <w:rPr>
          <w:rFonts w:asciiTheme="minorHAnsi" w:hAnsiTheme="minorHAnsi"/>
          <w:sz w:val="20"/>
        </w:rPr>
      </w:pPr>
      <w:r w:rsidRPr="00763B59">
        <w:rPr>
          <w:rFonts w:asciiTheme="minorHAnsi" w:hAnsiTheme="minorHAnsi"/>
          <w:sz w:val="20"/>
        </w:rPr>
        <w:t>if the offence was committed before the commencement date –  was  an  offence  of  a  kind  referred  to in Schedule 2;</w:t>
      </w:r>
    </w:p>
    <w:p w14:paraId="10D22C28" w14:textId="77777777" w:rsidR="006542E2" w:rsidRDefault="006542E2" w:rsidP="006542E2">
      <w:pPr>
        <w:pStyle w:val="ListParagraph"/>
        <w:rPr>
          <w:rFonts w:asciiTheme="minorHAnsi" w:hAnsiTheme="minorHAnsi"/>
          <w:sz w:val="20"/>
        </w:rPr>
      </w:pPr>
    </w:p>
    <w:p w14:paraId="69F4B4E6" w14:textId="57CCABC4" w:rsidR="007B4342" w:rsidRDefault="007B4342">
      <w:pPr>
        <w:rPr>
          <w:rFonts w:asciiTheme="minorHAnsi" w:hAnsiTheme="minorHAnsi"/>
          <w:sz w:val="20"/>
        </w:rPr>
      </w:pPr>
      <w:r>
        <w:rPr>
          <w:rFonts w:asciiTheme="minorHAnsi" w:hAnsiTheme="minorHAnsi"/>
          <w:sz w:val="20"/>
        </w:rPr>
        <w:br w:type="page"/>
      </w:r>
    </w:p>
    <w:p w14:paraId="221FB4E8" w14:textId="4A6C2FE0" w:rsidR="00625A9A" w:rsidRDefault="00625A9A" w:rsidP="00EB7F1E">
      <w:pPr>
        <w:pStyle w:val="Heading1"/>
        <w:keepNext/>
        <w:numPr>
          <w:ilvl w:val="0"/>
          <w:numId w:val="0"/>
        </w:numPr>
        <w:spacing w:line="276" w:lineRule="auto"/>
        <w:rPr>
          <w:rFonts w:asciiTheme="minorHAnsi" w:hAnsiTheme="minorHAnsi"/>
          <w:sz w:val="24"/>
          <w:szCs w:val="24"/>
        </w:rPr>
      </w:pPr>
      <w:bookmarkStart w:id="3580" w:name="_Ref494970765"/>
      <w:bookmarkStart w:id="3581" w:name="_Toc33602999"/>
      <w:bookmarkStart w:id="3582" w:name="_Ref492278268"/>
      <w:r>
        <w:rPr>
          <w:rFonts w:asciiTheme="minorHAnsi" w:hAnsiTheme="minorHAnsi"/>
          <w:sz w:val="24"/>
          <w:szCs w:val="24"/>
        </w:rPr>
        <w:t xml:space="preserve">Appendix </w:t>
      </w:r>
      <w:r w:rsidR="00BC6D01">
        <w:rPr>
          <w:rFonts w:asciiTheme="minorHAnsi" w:hAnsiTheme="minorHAnsi"/>
          <w:sz w:val="24"/>
          <w:szCs w:val="24"/>
        </w:rPr>
        <w:t>3</w:t>
      </w:r>
      <w:r>
        <w:rPr>
          <w:rFonts w:asciiTheme="minorHAnsi" w:hAnsiTheme="minorHAnsi"/>
          <w:sz w:val="24"/>
          <w:szCs w:val="24"/>
        </w:rPr>
        <w:t>: Historical aspects of sentencing federal offenders</w:t>
      </w:r>
      <w:bookmarkEnd w:id="3580"/>
      <w:bookmarkEnd w:id="3581"/>
    </w:p>
    <w:p w14:paraId="356BE14D" w14:textId="77777777" w:rsidR="00625A9A" w:rsidRPr="00051102" w:rsidRDefault="00625A9A" w:rsidP="00EB7F1E">
      <w:pPr>
        <w:keepNext/>
        <w:rPr>
          <w:rFonts w:ascii="Calibri" w:hAnsi="Calibri"/>
        </w:rPr>
      </w:pPr>
    </w:p>
    <w:p w14:paraId="06AF2995" w14:textId="77777777" w:rsidR="00625A9A" w:rsidRPr="000928E7" w:rsidRDefault="00625A9A" w:rsidP="00625A9A">
      <w:pPr>
        <w:spacing w:line="276" w:lineRule="auto"/>
        <w:jc w:val="both"/>
        <w:rPr>
          <w:rFonts w:asciiTheme="minorHAnsi" w:hAnsiTheme="minorHAnsi"/>
        </w:rPr>
      </w:pPr>
      <w:r w:rsidRPr="000928E7">
        <w:rPr>
          <w:rFonts w:asciiTheme="minorHAnsi" w:hAnsiTheme="minorHAnsi"/>
        </w:rPr>
        <w:t xml:space="preserve">This </w:t>
      </w:r>
      <w:r>
        <w:rPr>
          <w:rFonts w:asciiTheme="minorHAnsi" w:hAnsiTheme="minorHAnsi"/>
        </w:rPr>
        <w:t>A</w:t>
      </w:r>
      <w:r w:rsidRPr="000928E7">
        <w:rPr>
          <w:rFonts w:asciiTheme="minorHAnsi" w:hAnsiTheme="minorHAnsi"/>
        </w:rPr>
        <w:t>pp</w:t>
      </w:r>
      <w:r>
        <w:rPr>
          <w:rFonts w:asciiTheme="minorHAnsi" w:hAnsiTheme="minorHAnsi"/>
        </w:rPr>
        <w:t>endix describes matters relating to the sentencing of a federal offender which are no longer applicable.  One reason for including them is to assist in understanding old decisions relating to the sentencing of federal offenders.</w:t>
      </w:r>
    </w:p>
    <w:p w14:paraId="08DAEE1B" w14:textId="77777777" w:rsidR="00625A9A" w:rsidRPr="00051102" w:rsidRDefault="00625A9A" w:rsidP="00625A9A">
      <w:pPr>
        <w:rPr>
          <w:rFonts w:ascii="Calibri" w:hAnsi="Calibri"/>
        </w:rPr>
      </w:pPr>
    </w:p>
    <w:p w14:paraId="51ED4565" w14:textId="33757CF1" w:rsidR="00625A9A" w:rsidRPr="004F2343" w:rsidRDefault="00EA6953">
      <w:pPr>
        <w:pStyle w:val="Heading2"/>
        <w:numPr>
          <w:ilvl w:val="0"/>
          <w:numId w:val="0"/>
        </w:numPr>
        <w:rPr>
          <w:rStyle w:val="Strong"/>
          <w:rFonts w:ascii="Calibri" w:hAnsi="Calibri"/>
          <w:b/>
        </w:rPr>
      </w:pPr>
      <w:bookmarkStart w:id="3583" w:name="_Toc33603000"/>
      <w:r>
        <w:rPr>
          <w:rStyle w:val="Strong"/>
          <w:b/>
        </w:rPr>
        <w:t>A</w:t>
      </w:r>
      <w:r w:rsidR="00BC6D01">
        <w:rPr>
          <w:rStyle w:val="Strong"/>
          <w:b/>
        </w:rPr>
        <w:t>3</w:t>
      </w:r>
      <w:r>
        <w:rPr>
          <w:rStyle w:val="Strong"/>
          <w:b/>
        </w:rPr>
        <w:t>.1</w:t>
      </w:r>
      <w:r>
        <w:rPr>
          <w:rStyle w:val="Strong"/>
          <w:b/>
        </w:rPr>
        <w:tab/>
      </w:r>
      <w:r w:rsidR="00625A9A" w:rsidRPr="000928E7">
        <w:rPr>
          <w:rStyle w:val="Strong"/>
          <w:b/>
        </w:rPr>
        <w:t xml:space="preserve">Remissions: </w:t>
      </w:r>
      <w:r w:rsidR="00885EFD" w:rsidRPr="00885EFD">
        <w:rPr>
          <w:rStyle w:val="Strong"/>
          <w:b/>
          <w:i/>
        </w:rPr>
        <w:t>Crimes Act 1914</w:t>
      </w:r>
      <w:r w:rsidR="00625A9A" w:rsidRPr="000928E7">
        <w:rPr>
          <w:rStyle w:val="Strong"/>
          <w:b/>
        </w:rPr>
        <w:t xml:space="preserve"> (Cth), s 16G, as in force before 16 January 2003</w:t>
      </w:r>
      <w:bookmarkEnd w:id="3583"/>
    </w:p>
    <w:p w14:paraId="168C0764" w14:textId="77777777" w:rsidR="00625A9A" w:rsidRPr="00051102" w:rsidRDefault="00625A9A" w:rsidP="00EB7F1E">
      <w:pPr>
        <w:keepNext/>
        <w:rPr>
          <w:rFonts w:ascii="Calibri" w:hAnsi="Calibri"/>
        </w:rPr>
      </w:pPr>
    </w:p>
    <w:p w14:paraId="150436B0" w14:textId="5FD21675" w:rsidR="00625A9A" w:rsidRDefault="00625A9A" w:rsidP="00625A9A">
      <w:pPr>
        <w:spacing w:line="276" w:lineRule="auto"/>
        <w:jc w:val="both"/>
        <w:rPr>
          <w:rFonts w:asciiTheme="minorHAnsi" w:hAnsiTheme="minorHAnsi"/>
        </w:rPr>
      </w:pPr>
      <w:r>
        <w:rPr>
          <w:rFonts w:asciiTheme="minorHAnsi" w:hAnsiTheme="minorHAnsi"/>
        </w:rPr>
        <w:t xml:space="preserve">Section 16G of the </w:t>
      </w:r>
      <w:r w:rsidR="00885EFD" w:rsidRPr="00885EFD">
        <w:rPr>
          <w:rFonts w:asciiTheme="minorHAnsi" w:hAnsiTheme="minorHAnsi"/>
          <w:i/>
        </w:rPr>
        <w:t>Crimes Act 1914</w:t>
      </w:r>
      <w:r>
        <w:rPr>
          <w:rFonts w:asciiTheme="minorHAnsi" w:hAnsiTheme="minorHAnsi"/>
        </w:rPr>
        <w:t xml:space="preserve"> (Cth), as in force prior to 16 January 2003, provided:</w:t>
      </w:r>
    </w:p>
    <w:p w14:paraId="5DB2A99F" w14:textId="77777777" w:rsidR="00625A9A" w:rsidRDefault="00625A9A" w:rsidP="00625A9A">
      <w:pPr>
        <w:spacing w:line="276" w:lineRule="auto"/>
        <w:ind w:left="720"/>
        <w:jc w:val="both"/>
        <w:rPr>
          <w:rFonts w:asciiTheme="minorHAnsi" w:hAnsiTheme="minorHAnsi"/>
        </w:rPr>
      </w:pPr>
      <w:r>
        <w:rPr>
          <w:rFonts w:asciiTheme="minorHAnsi" w:hAnsiTheme="minorHAnsi"/>
        </w:rPr>
        <w:t>“</w:t>
      </w:r>
      <w:r w:rsidRPr="00045F32">
        <w:rPr>
          <w:rFonts w:asciiTheme="minorHAnsi" w:hAnsiTheme="minorHAnsi"/>
        </w:rPr>
        <w:t>If a federal sentence is to be served in a prison of a State or Territory where State or Territory sentences are not subject to remission or reduction, the court imposing the sentence must take that fact into account in determining the length of the sentence and must adjust the sentence accordingly.</w:t>
      </w:r>
      <w:r>
        <w:rPr>
          <w:rFonts w:asciiTheme="minorHAnsi" w:hAnsiTheme="minorHAnsi"/>
        </w:rPr>
        <w:t>”</w:t>
      </w:r>
    </w:p>
    <w:p w14:paraId="2A220EA2" w14:textId="77777777" w:rsidR="00625A9A" w:rsidRDefault="00625A9A" w:rsidP="00625A9A">
      <w:pPr>
        <w:spacing w:line="276" w:lineRule="auto"/>
        <w:jc w:val="both"/>
        <w:rPr>
          <w:rFonts w:asciiTheme="minorHAnsi" w:hAnsiTheme="minorHAnsi"/>
        </w:rPr>
      </w:pPr>
    </w:p>
    <w:p w14:paraId="77981678" w14:textId="732C78F7" w:rsidR="00625A9A" w:rsidRDefault="00625A9A" w:rsidP="00625A9A">
      <w:pPr>
        <w:spacing w:line="276" w:lineRule="auto"/>
        <w:jc w:val="both"/>
        <w:rPr>
          <w:rFonts w:asciiTheme="minorHAnsi" w:hAnsiTheme="minorHAnsi"/>
        </w:rPr>
      </w:pPr>
      <w:r>
        <w:rPr>
          <w:rFonts w:asciiTheme="minorHAnsi" w:hAnsiTheme="minorHAnsi"/>
        </w:rPr>
        <w:t xml:space="preserve">The section was enacted in response to State legislation which abolished remissions of reductions of sentences of imprisonment.  The section required a court sentencing a federal offender to a term of imprisonment to adjust the sentence accordingly. </w:t>
      </w:r>
    </w:p>
    <w:p w14:paraId="20A2ED96" w14:textId="77777777" w:rsidR="00625A9A" w:rsidRDefault="00625A9A" w:rsidP="00625A9A">
      <w:pPr>
        <w:spacing w:line="276" w:lineRule="auto"/>
        <w:jc w:val="both"/>
        <w:rPr>
          <w:rFonts w:asciiTheme="minorHAnsi" w:hAnsiTheme="minorHAnsi"/>
        </w:rPr>
      </w:pPr>
    </w:p>
    <w:p w14:paraId="25814DDD" w14:textId="77777777" w:rsidR="00625A9A" w:rsidRPr="00C00000" w:rsidRDefault="00625A9A" w:rsidP="00625A9A">
      <w:pPr>
        <w:spacing w:line="276" w:lineRule="auto"/>
        <w:jc w:val="both"/>
        <w:rPr>
          <w:rFonts w:asciiTheme="minorHAnsi" w:hAnsiTheme="minorHAnsi"/>
        </w:rPr>
      </w:pPr>
      <w:r w:rsidRPr="00C00000">
        <w:rPr>
          <w:rFonts w:asciiTheme="minorHAnsi" w:hAnsiTheme="minorHAnsi"/>
        </w:rPr>
        <w:t>In the process of adjustment, when it applied, it was appropriate to take into account the rate of remissions previously attracted, namely one third.  This was referred to as “an appropriate starting point”.</w:t>
      </w:r>
      <w:r w:rsidRPr="00C00000">
        <w:rPr>
          <w:rStyle w:val="FootnoteReference"/>
          <w:rFonts w:asciiTheme="minorHAnsi" w:hAnsiTheme="minorHAnsi"/>
        </w:rPr>
        <w:footnoteReference w:id="1208"/>
      </w:r>
      <w:r w:rsidRPr="00C00000">
        <w:rPr>
          <w:rFonts w:asciiTheme="minorHAnsi" w:hAnsiTheme="minorHAnsi"/>
        </w:rPr>
        <w:t xml:space="preserve"> </w:t>
      </w:r>
    </w:p>
    <w:p w14:paraId="6C94DDDD" w14:textId="77777777" w:rsidR="00625A9A" w:rsidRPr="00C00000" w:rsidRDefault="00625A9A" w:rsidP="00625A9A">
      <w:pPr>
        <w:spacing w:line="276" w:lineRule="auto"/>
        <w:jc w:val="both"/>
        <w:rPr>
          <w:rFonts w:asciiTheme="minorHAnsi" w:hAnsiTheme="minorHAnsi"/>
        </w:rPr>
      </w:pPr>
    </w:p>
    <w:p w14:paraId="26106B89" w14:textId="77777777" w:rsidR="00625A9A" w:rsidRPr="00C00000" w:rsidRDefault="00625A9A" w:rsidP="00625A9A">
      <w:pPr>
        <w:spacing w:line="276" w:lineRule="auto"/>
        <w:ind w:right="-1"/>
        <w:jc w:val="both"/>
        <w:rPr>
          <w:rFonts w:asciiTheme="minorHAnsi" w:hAnsiTheme="minorHAnsi"/>
        </w:rPr>
      </w:pPr>
      <w:r w:rsidRPr="00C00000">
        <w:rPr>
          <w:rFonts w:asciiTheme="minorHAnsi" w:hAnsiTheme="minorHAnsi"/>
        </w:rPr>
        <w:t>But in the process of adjustment it was impermissible to substitute a mathematical calculation for a discretion to make the required adjustment.  The sentence fixed had to reflect the adjustment required by s 16G but that discount was not necessarily to be applied as a precise reduction to reflect the proportion of the sentence by which remissions, if granted, would previously have reduced it.</w:t>
      </w:r>
      <w:r w:rsidRPr="00C00000">
        <w:rPr>
          <w:rStyle w:val="FootnoteReference"/>
          <w:rFonts w:asciiTheme="minorHAnsi" w:hAnsiTheme="minorHAnsi"/>
        </w:rPr>
        <w:footnoteReference w:id="1209"/>
      </w:r>
    </w:p>
    <w:p w14:paraId="5EFA312C" w14:textId="77777777" w:rsidR="00625A9A" w:rsidRPr="00C00000" w:rsidRDefault="00625A9A" w:rsidP="00625A9A">
      <w:pPr>
        <w:spacing w:line="276" w:lineRule="auto"/>
        <w:ind w:right="-1"/>
        <w:jc w:val="both"/>
        <w:rPr>
          <w:rFonts w:asciiTheme="minorHAnsi" w:hAnsiTheme="minorHAnsi"/>
          <w:sz w:val="18"/>
        </w:rPr>
      </w:pPr>
    </w:p>
    <w:p w14:paraId="3F3D4CFC" w14:textId="77777777" w:rsidR="00625A9A" w:rsidRPr="00C00000" w:rsidRDefault="00625A9A" w:rsidP="00625A9A">
      <w:pPr>
        <w:spacing w:line="276" w:lineRule="auto"/>
        <w:ind w:right="-1"/>
        <w:jc w:val="both"/>
        <w:rPr>
          <w:rFonts w:asciiTheme="minorHAnsi" w:hAnsiTheme="minorHAnsi"/>
        </w:rPr>
      </w:pPr>
      <w:r w:rsidRPr="00C00000">
        <w:rPr>
          <w:rFonts w:asciiTheme="minorHAnsi" w:hAnsiTheme="minorHAnsi"/>
        </w:rPr>
        <w:t>Further, it appears that there was a “shading out” of the weight to be given to the “starting point” the longer the sentence was and that where a very long sentence of imprisonment was warranted it was open to the sentencing judge to moderate the s 16G adjustment as part of the “instinctive synthesis”.</w:t>
      </w:r>
      <w:r w:rsidRPr="00C00000">
        <w:rPr>
          <w:rStyle w:val="FootnoteReference"/>
          <w:rFonts w:asciiTheme="minorHAnsi" w:hAnsiTheme="minorHAnsi"/>
        </w:rPr>
        <w:footnoteReference w:id="1210"/>
      </w:r>
      <w:r w:rsidRPr="00C00000">
        <w:rPr>
          <w:rFonts w:asciiTheme="minorHAnsi" w:hAnsiTheme="minorHAnsi"/>
        </w:rPr>
        <w:t xml:space="preserve">  </w:t>
      </w:r>
    </w:p>
    <w:p w14:paraId="2DBF3DE2" w14:textId="77777777" w:rsidR="00625A9A" w:rsidRPr="00C00000" w:rsidRDefault="00625A9A" w:rsidP="00625A9A">
      <w:pPr>
        <w:spacing w:line="276" w:lineRule="auto"/>
        <w:ind w:right="-1"/>
        <w:jc w:val="both"/>
        <w:rPr>
          <w:rFonts w:asciiTheme="minorHAnsi" w:hAnsiTheme="minorHAnsi"/>
        </w:rPr>
      </w:pPr>
    </w:p>
    <w:p w14:paraId="1CB5D4E1" w14:textId="40240AEB" w:rsidR="00625A9A" w:rsidRDefault="00625A9A" w:rsidP="00625A9A">
      <w:pPr>
        <w:spacing w:line="276" w:lineRule="auto"/>
        <w:ind w:right="-1"/>
        <w:jc w:val="both"/>
        <w:rPr>
          <w:rFonts w:asciiTheme="minorHAnsi" w:hAnsiTheme="minorHAnsi"/>
        </w:rPr>
      </w:pPr>
      <w:r w:rsidRPr="00C00000">
        <w:rPr>
          <w:rFonts w:asciiTheme="minorHAnsi" w:hAnsiTheme="minorHAnsi"/>
        </w:rPr>
        <w:t>Section 16G was initially considered to apply to cases where the court considered an indeterminate life sentence to be the appropriate sentence.</w:t>
      </w:r>
      <w:r w:rsidRPr="00C00000">
        <w:rPr>
          <w:rStyle w:val="Style"/>
          <w:rFonts w:asciiTheme="minorHAnsi" w:hAnsiTheme="minorHAnsi"/>
        </w:rPr>
        <w:footnoteReference w:id="1211"/>
      </w:r>
      <w:r w:rsidRPr="00C00000">
        <w:rPr>
          <w:rFonts w:asciiTheme="minorHAnsi" w:hAnsiTheme="minorHAnsi"/>
        </w:rPr>
        <w:t xml:space="preserve">  The High Court decided that s 16G, when it operated, had no application to life sentences.</w:t>
      </w:r>
      <w:r w:rsidRPr="00C00000">
        <w:rPr>
          <w:rStyle w:val="Style"/>
          <w:rFonts w:asciiTheme="minorHAnsi" w:hAnsiTheme="minorHAnsi"/>
        </w:rPr>
        <w:footnoteReference w:id="1212"/>
      </w:r>
    </w:p>
    <w:p w14:paraId="0955C7D0" w14:textId="77777777" w:rsidR="00FA01D4" w:rsidRPr="002E5C01" w:rsidRDefault="00FA01D4" w:rsidP="002E5C01">
      <w:pPr>
        <w:widowControl w:val="0"/>
        <w:spacing w:line="276" w:lineRule="auto"/>
        <w:jc w:val="both"/>
        <w:rPr>
          <w:rFonts w:asciiTheme="minorHAnsi" w:hAnsiTheme="minorHAnsi"/>
        </w:rPr>
      </w:pPr>
    </w:p>
    <w:p w14:paraId="4D580811" w14:textId="3D46F7DA" w:rsidR="00347558" w:rsidRPr="004F2343" w:rsidRDefault="00347558">
      <w:pPr>
        <w:pStyle w:val="Heading2"/>
        <w:numPr>
          <w:ilvl w:val="0"/>
          <w:numId w:val="0"/>
        </w:numPr>
        <w:rPr>
          <w:rStyle w:val="Strong"/>
          <w:rFonts w:ascii="Calibri" w:hAnsi="Calibri"/>
          <w:b/>
        </w:rPr>
      </w:pPr>
      <w:bookmarkStart w:id="3585" w:name="_Toc33603001"/>
      <w:r>
        <w:rPr>
          <w:rStyle w:val="Strong"/>
          <w:b/>
        </w:rPr>
        <w:t>A</w:t>
      </w:r>
      <w:r w:rsidR="00BC6D01">
        <w:rPr>
          <w:rStyle w:val="Strong"/>
          <w:b/>
        </w:rPr>
        <w:t>3</w:t>
      </w:r>
      <w:r>
        <w:rPr>
          <w:rStyle w:val="Strong"/>
          <w:b/>
        </w:rPr>
        <w:t>.2</w:t>
      </w:r>
      <w:r>
        <w:rPr>
          <w:rStyle w:val="Strong"/>
          <w:b/>
        </w:rPr>
        <w:tab/>
        <w:t xml:space="preserve">Remissions: </w:t>
      </w:r>
      <w:r w:rsidRPr="00347558">
        <w:rPr>
          <w:rStyle w:val="Strong"/>
          <w:b/>
        </w:rPr>
        <w:t xml:space="preserve">Effect of the repeal of </w:t>
      </w:r>
      <w:r w:rsidR="00885EFD" w:rsidRPr="00885EFD">
        <w:rPr>
          <w:rStyle w:val="Strong"/>
          <w:b/>
          <w:i/>
        </w:rPr>
        <w:t>Crimes Act 1914</w:t>
      </w:r>
      <w:r w:rsidRPr="00347558">
        <w:rPr>
          <w:rStyle w:val="Strong"/>
          <w:b/>
        </w:rPr>
        <w:t xml:space="preserve"> (Cth), s 16G (from 16 January 2003)</w:t>
      </w:r>
      <w:bookmarkEnd w:id="3585"/>
    </w:p>
    <w:p w14:paraId="76608C20" w14:textId="77777777" w:rsidR="00347558" w:rsidRDefault="00347558" w:rsidP="00EB7F1E">
      <w:pPr>
        <w:keepNext/>
        <w:spacing w:line="276" w:lineRule="auto"/>
        <w:jc w:val="both"/>
        <w:rPr>
          <w:rFonts w:asciiTheme="minorHAnsi" w:hAnsiTheme="minorHAnsi"/>
        </w:rPr>
      </w:pPr>
    </w:p>
    <w:p w14:paraId="1CAB5EBA" w14:textId="30925AF1" w:rsidR="00347558" w:rsidRDefault="00347558" w:rsidP="00353A1C">
      <w:pPr>
        <w:widowControl w:val="0"/>
        <w:spacing w:line="276" w:lineRule="auto"/>
        <w:ind w:left="142"/>
        <w:jc w:val="both"/>
        <w:rPr>
          <w:rFonts w:asciiTheme="minorHAnsi" w:hAnsiTheme="minorHAnsi"/>
        </w:rPr>
      </w:pPr>
      <w:r>
        <w:rPr>
          <w:rFonts w:asciiTheme="minorHAnsi" w:hAnsiTheme="minorHAnsi"/>
        </w:rPr>
        <w:t xml:space="preserve">As noted above, s 16G of the </w:t>
      </w:r>
      <w:r w:rsidR="00885EFD" w:rsidRPr="00885EFD">
        <w:rPr>
          <w:rFonts w:asciiTheme="minorHAnsi" w:hAnsiTheme="minorHAnsi"/>
          <w:i/>
        </w:rPr>
        <w:t>Crimes Act 1914</w:t>
      </w:r>
      <w:r>
        <w:rPr>
          <w:rFonts w:asciiTheme="minorHAnsi" w:hAnsiTheme="minorHAnsi"/>
        </w:rPr>
        <w:t xml:space="preserve"> (Cth), which required a court sentencing a federal offender to imprisonment to take into account the absence of remissions, was repealed with effect from 16 January 2003.</w:t>
      </w:r>
    </w:p>
    <w:p w14:paraId="319F7D0C" w14:textId="77777777" w:rsidR="00353A1C" w:rsidRDefault="00353A1C" w:rsidP="00353A1C">
      <w:pPr>
        <w:widowControl w:val="0"/>
        <w:spacing w:line="276" w:lineRule="auto"/>
        <w:jc w:val="both"/>
        <w:rPr>
          <w:rFonts w:asciiTheme="minorHAnsi" w:hAnsiTheme="minorHAnsi"/>
        </w:rPr>
      </w:pPr>
    </w:p>
    <w:p w14:paraId="23C031FF" w14:textId="0557573B" w:rsidR="00347558" w:rsidRPr="00C00000" w:rsidRDefault="00347558" w:rsidP="00353A1C">
      <w:pPr>
        <w:widowControl w:val="0"/>
        <w:spacing w:line="276" w:lineRule="auto"/>
        <w:ind w:left="142"/>
        <w:jc w:val="both"/>
        <w:rPr>
          <w:rFonts w:asciiTheme="minorHAnsi" w:hAnsiTheme="minorHAnsi"/>
        </w:rPr>
      </w:pPr>
      <w:r w:rsidRPr="00C00000">
        <w:rPr>
          <w:rFonts w:asciiTheme="minorHAnsi" w:hAnsiTheme="minorHAnsi"/>
        </w:rPr>
        <w:t xml:space="preserve">There have been a number of Court of Criminal Appeal decisions in NSW that discuss the effect of the repeal of s 16G.  </w:t>
      </w:r>
      <w:r>
        <w:rPr>
          <w:rFonts w:asciiTheme="minorHAnsi" w:hAnsiTheme="minorHAnsi"/>
        </w:rPr>
        <w:t>In</w:t>
      </w:r>
      <w:r w:rsidRPr="00C00000">
        <w:rPr>
          <w:rFonts w:asciiTheme="minorHAnsi" w:hAnsiTheme="minorHAnsi"/>
          <w:i/>
        </w:rPr>
        <w:t xml:space="preserve"> Bezan</w:t>
      </w:r>
      <w:r w:rsidRPr="00C00000">
        <w:rPr>
          <w:rFonts w:asciiTheme="minorHAnsi" w:hAnsiTheme="minorHAnsi"/>
        </w:rPr>
        <w:t>,</w:t>
      </w:r>
      <w:r w:rsidRPr="000055BF">
        <w:rPr>
          <w:rFonts w:asciiTheme="minorHAnsi" w:hAnsiTheme="minorHAnsi"/>
          <w:position w:val="6"/>
          <w:sz w:val="16"/>
        </w:rPr>
        <w:footnoteReference w:id="1213"/>
      </w:r>
      <w:r w:rsidRPr="00C00000">
        <w:rPr>
          <w:rFonts w:asciiTheme="minorHAnsi" w:hAnsiTheme="minorHAnsi"/>
        </w:rPr>
        <w:t xml:space="preserve"> Wood CJ </w:t>
      </w:r>
      <w:r>
        <w:rPr>
          <w:rFonts w:asciiTheme="minorHAnsi" w:hAnsiTheme="minorHAnsi"/>
        </w:rPr>
        <w:t>(</w:t>
      </w:r>
      <w:r w:rsidRPr="00C00000">
        <w:rPr>
          <w:rFonts w:asciiTheme="minorHAnsi" w:hAnsiTheme="minorHAnsi"/>
        </w:rPr>
        <w:t>with whom Buddin and Shaw JJ agreed</w:t>
      </w:r>
      <w:r>
        <w:rPr>
          <w:rFonts w:asciiTheme="minorHAnsi" w:hAnsiTheme="minorHAnsi"/>
        </w:rPr>
        <w:t>)</w:t>
      </w:r>
      <w:r w:rsidRPr="00C00000">
        <w:rPr>
          <w:rFonts w:asciiTheme="minorHAnsi" w:hAnsiTheme="minorHAnsi"/>
        </w:rPr>
        <w:t xml:space="preserve"> </w:t>
      </w:r>
      <w:r w:rsidR="00F47D0C">
        <w:rPr>
          <w:rFonts w:asciiTheme="minorHAnsi" w:hAnsiTheme="minorHAnsi"/>
        </w:rPr>
        <w:t>summar</w:t>
      </w:r>
      <w:r w:rsidR="00B86888">
        <w:rPr>
          <w:rFonts w:asciiTheme="minorHAnsi" w:hAnsiTheme="minorHAnsi"/>
        </w:rPr>
        <w:t>ised</w:t>
      </w:r>
      <w:r w:rsidRPr="00C00000">
        <w:rPr>
          <w:rFonts w:asciiTheme="minorHAnsi" w:hAnsiTheme="minorHAnsi"/>
        </w:rPr>
        <w:t xml:space="preserve"> the effect as follows:</w:t>
      </w:r>
      <w:r w:rsidRPr="006A1210">
        <w:rPr>
          <w:rFonts w:asciiTheme="minorHAnsi" w:hAnsiTheme="minorHAnsi"/>
          <w:sz w:val="16"/>
          <w:vertAlign w:val="superscript"/>
        </w:rPr>
        <w:t xml:space="preserve"> </w:t>
      </w:r>
    </w:p>
    <w:p w14:paraId="107C63EB" w14:textId="15CA946D" w:rsidR="00347558" w:rsidRPr="00C00000" w:rsidRDefault="0034755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while the repeal of s 16G is likely to result in an increase in the current and future sentencing pattern, the proper approach is to set a sentence that meets the requirements of s 16A(1) of the </w:t>
      </w:r>
      <w:r w:rsidR="00885EFD" w:rsidRPr="00885EFD">
        <w:rPr>
          <w:rFonts w:asciiTheme="minorHAnsi" w:hAnsiTheme="minorHAnsi"/>
          <w:i/>
        </w:rPr>
        <w:t>Crimes Act 1914</w:t>
      </w:r>
      <w:r w:rsidRPr="00C00000">
        <w:rPr>
          <w:rFonts w:asciiTheme="minorHAnsi" w:hAnsiTheme="minorHAnsi"/>
          <w:i/>
        </w:rPr>
        <w:t xml:space="preserve"> </w:t>
      </w:r>
      <w:r w:rsidRPr="00C00000">
        <w:rPr>
          <w:rFonts w:asciiTheme="minorHAnsi" w:hAnsiTheme="minorHAnsi"/>
        </w:rPr>
        <w:t>(Cth) and the relevant objectives of sentencing, without giving a s 16G discount;</w:t>
      </w:r>
    </w:p>
    <w:p w14:paraId="0F11DE8E" w14:textId="77777777" w:rsidR="00347558" w:rsidRPr="00C00000" w:rsidRDefault="00347558" w:rsidP="00347558">
      <w:pPr>
        <w:pStyle w:val="ListParagraph"/>
        <w:widowControl w:val="0"/>
        <w:spacing w:line="276" w:lineRule="auto"/>
        <w:ind w:left="1134" w:right="-1"/>
        <w:rPr>
          <w:rFonts w:asciiTheme="minorHAnsi" w:hAnsiTheme="minorHAnsi"/>
        </w:rPr>
      </w:pPr>
    </w:p>
    <w:p w14:paraId="3B939932" w14:textId="77777777" w:rsidR="00347558" w:rsidRPr="00C00000" w:rsidRDefault="0034755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it would be inappropriate to approach the sentencing exercise upon a broad arithmetic approach that would require the pre-repeal sentencing range to be adjusted by some bare arithmetic formula, let alone one that would call for its increase by a factor of 50% in order to restore an equivalence with the pre-repeal range;</w:t>
      </w:r>
    </w:p>
    <w:p w14:paraId="2868E211" w14:textId="77777777" w:rsidR="00347558" w:rsidRPr="00C00000" w:rsidRDefault="00347558" w:rsidP="00347558">
      <w:pPr>
        <w:pStyle w:val="ListParagraph"/>
        <w:widowControl w:val="0"/>
        <w:spacing w:line="276" w:lineRule="auto"/>
        <w:ind w:left="1134" w:right="-1"/>
        <w:rPr>
          <w:rFonts w:asciiTheme="minorHAnsi" w:hAnsiTheme="minorHAnsi"/>
        </w:rPr>
      </w:pPr>
    </w:p>
    <w:p w14:paraId="5AB563EA" w14:textId="77777777" w:rsidR="00347558" w:rsidRPr="00C00000" w:rsidRDefault="0034755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Starting points selected in pre-repeal cases involving federal offenders would not necessarily have been the same had s 16G not been in force as judges were aware that it was a somewhat beneficial provision;</w:t>
      </w:r>
    </w:p>
    <w:p w14:paraId="7BC6FB9E" w14:textId="77777777" w:rsidR="00347558" w:rsidRPr="00C00000" w:rsidRDefault="00347558" w:rsidP="00347558">
      <w:pPr>
        <w:pStyle w:val="ListParagraph"/>
        <w:widowControl w:val="0"/>
        <w:spacing w:line="276" w:lineRule="auto"/>
        <w:ind w:left="1134" w:right="-1"/>
        <w:rPr>
          <w:rFonts w:asciiTheme="minorHAnsi" w:hAnsiTheme="minorHAnsi"/>
        </w:rPr>
      </w:pPr>
    </w:p>
    <w:p w14:paraId="1BAFE705" w14:textId="77777777" w:rsidR="00347558" w:rsidRPr="00C00000" w:rsidRDefault="0034755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Care needs to be taken when reference is made to any material relating to pre-repeal decisions; and</w:t>
      </w:r>
    </w:p>
    <w:p w14:paraId="463E5FCA" w14:textId="77777777" w:rsidR="00347558" w:rsidRPr="00C00000" w:rsidRDefault="00347558" w:rsidP="00347558">
      <w:pPr>
        <w:pStyle w:val="ListParagraph"/>
        <w:widowControl w:val="0"/>
        <w:spacing w:line="276" w:lineRule="auto"/>
        <w:ind w:left="1134" w:right="-1"/>
        <w:rPr>
          <w:rFonts w:asciiTheme="minorHAnsi" w:hAnsiTheme="minorHAnsi"/>
        </w:rPr>
      </w:pPr>
    </w:p>
    <w:p w14:paraId="61EDB254" w14:textId="77777777" w:rsidR="00347558" w:rsidRPr="00C00000" w:rsidRDefault="00347558"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The approach now required by s 16A(1) is that a sentence be imposed that “is of a severity appropriate to all of the circumstances of the case”, including those identified in ss 16A(2) and (3).</w:t>
      </w:r>
    </w:p>
    <w:p w14:paraId="76DF3A92" w14:textId="77777777" w:rsidR="00347558" w:rsidRPr="00C00000" w:rsidRDefault="00347558" w:rsidP="00347558">
      <w:pPr>
        <w:widowControl w:val="0"/>
        <w:tabs>
          <w:tab w:val="left" w:pos="284"/>
          <w:tab w:val="left" w:pos="993"/>
        </w:tabs>
        <w:spacing w:line="276" w:lineRule="auto"/>
        <w:ind w:left="873"/>
        <w:jc w:val="both"/>
        <w:rPr>
          <w:rFonts w:asciiTheme="minorHAnsi" w:hAnsiTheme="minorHAnsi"/>
        </w:rPr>
      </w:pPr>
    </w:p>
    <w:p w14:paraId="6CD6EF1E" w14:textId="3B69C084" w:rsidR="00347558" w:rsidRPr="00C00000" w:rsidRDefault="00347558" w:rsidP="00353A1C">
      <w:pPr>
        <w:widowControl w:val="0"/>
        <w:spacing w:line="276" w:lineRule="auto"/>
        <w:ind w:left="142"/>
        <w:jc w:val="both"/>
        <w:rPr>
          <w:rFonts w:asciiTheme="minorHAnsi" w:hAnsiTheme="minorHAnsi"/>
        </w:rPr>
      </w:pPr>
      <w:bookmarkStart w:id="3586" w:name="_Ref469663428"/>
      <w:r w:rsidRPr="00C00000">
        <w:rPr>
          <w:rFonts w:asciiTheme="minorHAnsi" w:hAnsiTheme="minorHAnsi"/>
        </w:rPr>
        <w:t>Two justices of the NSW Court of Criminal Appeal dissented from this view and considered that the majority view substantially understated what should be the effect of the repeal of s 16G.  Their view was that the repeal should lead to increases in sentences of approximately 50%.</w:t>
      </w:r>
      <w:r w:rsidRPr="00C00000">
        <w:rPr>
          <w:rStyle w:val="Style"/>
          <w:rFonts w:asciiTheme="minorHAnsi" w:hAnsiTheme="minorHAnsi"/>
        </w:rPr>
        <w:footnoteReference w:id="1214"/>
      </w:r>
      <w:r w:rsidRPr="00C00000">
        <w:rPr>
          <w:rFonts w:asciiTheme="minorHAnsi" w:hAnsiTheme="minorHAnsi"/>
        </w:rPr>
        <w:t xml:space="preserve">  However, the majority view in the NSW Court of Criminal Appeal is that the correct approach is to determine the sentence without taking into account that s 16G existed and has now been repealed, and it would be unfair and crude to increase federal sentences by 50% to accommodate the repeal of s 16G.</w:t>
      </w:r>
      <w:r w:rsidRPr="00C00000">
        <w:rPr>
          <w:rStyle w:val="Style"/>
          <w:rFonts w:asciiTheme="minorHAnsi" w:hAnsiTheme="minorHAnsi"/>
        </w:rPr>
        <w:footnoteReference w:id="1215"/>
      </w:r>
      <w:r w:rsidRPr="00C00000">
        <w:rPr>
          <w:rFonts w:asciiTheme="minorHAnsi" w:hAnsiTheme="minorHAnsi"/>
        </w:rPr>
        <w:t xml:space="preserve"> It has been </w:t>
      </w:r>
      <w:r w:rsidR="00F47D0C">
        <w:rPr>
          <w:rFonts w:asciiTheme="minorHAnsi" w:hAnsiTheme="minorHAnsi"/>
        </w:rPr>
        <w:t>recogn</w:t>
      </w:r>
      <w:r w:rsidR="00B86888">
        <w:rPr>
          <w:rFonts w:asciiTheme="minorHAnsi" w:hAnsiTheme="minorHAnsi"/>
        </w:rPr>
        <w:t>ised</w:t>
      </w:r>
      <w:r w:rsidRPr="00C00000">
        <w:rPr>
          <w:rFonts w:asciiTheme="minorHAnsi" w:hAnsiTheme="minorHAnsi"/>
        </w:rPr>
        <w:t xml:space="preserve"> by the NSW Court of Criminal Appeal that the repeal of s 16G will normally lead to the imposition of a heavier sentence than discernible in the pre-repeal pattern of sentencing</w:t>
      </w:r>
      <w:r w:rsidRPr="00C00000">
        <w:rPr>
          <w:rStyle w:val="Style"/>
          <w:rFonts w:asciiTheme="minorHAnsi" w:hAnsiTheme="minorHAnsi"/>
        </w:rPr>
        <w:footnoteReference w:id="1216"/>
      </w:r>
      <w:r w:rsidRPr="00C00000">
        <w:rPr>
          <w:rFonts w:asciiTheme="minorHAnsi" w:hAnsiTheme="minorHAnsi"/>
        </w:rPr>
        <w:t xml:space="preserve"> or will be likely to result in an increase over the pre-repeal pattern</w:t>
      </w:r>
      <w:r w:rsidRPr="00C00000">
        <w:rPr>
          <w:rStyle w:val="Style"/>
          <w:rFonts w:asciiTheme="minorHAnsi" w:hAnsiTheme="minorHAnsi"/>
        </w:rPr>
        <w:footnoteReference w:id="1217"/>
      </w:r>
      <w:r w:rsidRPr="00C00000">
        <w:rPr>
          <w:rFonts w:asciiTheme="minorHAnsi" w:hAnsiTheme="minorHAnsi"/>
        </w:rPr>
        <w:t xml:space="preserve"> though adjustment for the repeal of s 16G should not be made automatically by use of a mathematical formula or fixed percentage.</w:t>
      </w:r>
      <w:r w:rsidRPr="00C00000">
        <w:rPr>
          <w:rStyle w:val="Style"/>
          <w:rFonts w:asciiTheme="minorHAnsi" w:hAnsiTheme="minorHAnsi"/>
        </w:rPr>
        <w:footnoteReference w:id="1218"/>
      </w:r>
      <w:bookmarkEnd w:id="3586"/>
    </w:p>
    <w:p w14:paraId="0CA04A50" w14:textId="77777777" w:rsidR="00347558" w:rsidRPr="00C00000" w:rsidRDefault="00347558" w:rsidP="00347558">
      <w:pPr>
        <w:widowControl w:val="0"/>
        <w:spacing w:line="276" w:lineRule="auto"/>
        <w:ind w:left="567" w:hanging="567"/>
        <w:jc w:val="both"/>
        <w:rPr>
          <w:rFonts w:asciiTheme="minorHAnsi" w:hAnsiTheme="minorHAnsi"/>
        </w:rPr>
      </w:pPr>
    </w:p>
    <w:p w14:paraId="7C4F8EA3" w14:textId="42FC1C3A" w:rsidR="00347558" w:rsidRPr="00353A1C" w:rsidRDefault="00347558" w:rsidP="00353A1C">
      <w:pPr>
        <w:widowControl w:val="0"/>
        <w:spacing w:line="276" w:lineRule="auto"/>
        <w:ind w:left="142"/>
        <w:jc w:val="both"/>
        <w:rPr>
          <w:rFonts w:asciiTheme="minorHAnsi" w:hAnsiTheme="minorHAnsi"/>
        </w:rPr>
      </w:pPr>
      <w:bookmarkStart w:id="3587" w:name="_Ref469911105"/>
      <w:r w:rsidRPr="00C00000">
        <w:rPr>
          <w:rFonts w:asciiTheme="minorHAnsi" w:hAnsiTheme="minorHAnsi"/>
        </w:rPr>
        <w:t xml:space="preserve">A number of cases have confirmed the propositions </w:t>
      </w:r>
      <w:r w:rsidR="00F47D0C">
        <w:rPr>
          <w:rFonts w:asciiTheme="minorHAnsi" w:hAnsiTheme="minorHAnsi"/>
        </w:rPr>
        <w:t>summar</w:t>
      </w:r>
      <w:r w:rsidR="00B86888">
        <w:rPr>
          <w:rFonts w:asciiTheme="minorHAnsi" w:hAnsiTheme="minorHAnsi"/>
        </w:rPr>
        <w:t>ised</w:t>
      </w:r>
      <w:r w:rsidRPr="00C00000">
        <w:rPr>
          <w:rFonts w:asciiTheme="minorHAnsi" w:hAnsiTheme="minorHAnsi"/>
        </w:rPr>
        <w:t xml:space="preserve"> in the case of </w:t>
      </w:r>
      <w:r w:rsidRPr="00C00000">
        <w:rPr>
          <w:rFonts w:asciiTheme="minorHAnsi" w:hAnsiTheme="minorHAnsi"/>
          <w:i/>
        </w:rPr>
        <w:t>R v Bezan.</w:t>
      </w:r>
      <w:r w:rsidRPr="00C00000">
        <w:rPr>
          <w:rStyle w:val="Style"/>
          <w:rFonts w:asciiTheme="minorHAnsi" w:hAnsiTheme="minorHAnsi"/>
        </w:rPr>
        <w:footnoteReference w:id="1219"/>
      </w:r>
      <w:bookmarkEnd w:id="3587"/>
    </w:p>
    <w:p w14:paraId="06B4840C" w14:textId="77777777" w:rsidR="00625A9A" w:rsidRDefault="00625A9A" w:rsidP="00625A9A">
      <w:pPr>
        <w:spacing w:line="276" w:lineRule="auto"/>
        <w:ind w:right="-1"/>
        <w:jc w:val="both"/>
        <w:rPr>
          <w:rFonts w:asciiTheme="minorHAnsi" w:hAnsiTheme="minorHAnsi"/>
        </w:rPr>
      </w:pPr>
    </w:p>
    <w:p w14:paraId="563A7EB3" w14:textId="5CD3C2BF" w:rsidR="00625A9A" w:rsidRPr="004F2343" w:rsidRDefault="00EA6953">
      <w:pPr>
        <w:pStyle w:val="Heading2"/>
        <w:numPr>
          <w:ilvl w:val="0"/>
          <w:numId w:val="0"/>
        </w:numPr>
        <w:ind w:left="720" w:hanging="720"/>
        <w:rPr>
          <w:rStyle w:val="Strong"/>
          <w:rFonts w:ascii="Calibri" w:hAnsi="Calibri"/>
          <w:b/>
        </w:rPr>
      </w:pPr>
      <w:bookmarkStart w:id="3588" w:name="_Toc33603002"/>
      <w:r>
        <w:rPr>
          <w:rStyle w:val="Strong"/>
          <w:b/>
        </w:rPr>
        <w:t>A</w:t>
      </w:r>
      <w:r w:rsidR="00BC6D01">
        <w:rPr>
          <w:rStyle w:val="Strong"/>
          <w:b/>
        </w:rPr>
        <w:t>3</w:t>
      </w:r>
      <w:r>
        <w:rPr>
          <w:rStyle w:val="Strong"/>
          <w:b/>
        </w:rPr>
        <w:t>.</w:t>
      </w:r>
      <w:r w:rsidR="00932E27">
        <w:rPr>
          <w:rStyle w:val="Strong"/>
          <w:b/>
        </w:rPr>
        <w:t>3</w:t>
      </w:r>
      <w:r>
        <w:rPr>
          <w:rStyle w:val="Strong"/>
          <w:b/>
        </w:rPr>
        <w:tab/>
      </w:r>
      <w:r w:rsidR="00625A9A" w:rsidRPr="005D09E1">
        <w:rPr>
          <w:rStyle w:val="Strong"/>
          <w:b/>
        </w:rPr>
        <w:t xml:space="preserve">The effect on sentencing of a forfeiture or pecuniary penalty order under the </w:t>
      </w:r>
      <w:r w:rsidR="00625A9A" w:rsidRPr="005D09E1">
        <w:rPr>
          <w:rStyle w:val="Strong"/>
          <w:b/>
          <w:i/>
        </w:rPr>
        <w:t>Proceeds of Crime Act 1987</w:t>
      </w:r>
      <w:r w:rsidR="00625A9A" w:rsidRPr="005D09E1">
        <w:rPr>
          <w:rStyle w:val="Strong"/>
          <w:b/>
        </w:rPr>
        <w:t xml:space="preserve"> (Cth)</w:t>
      </w:r>
      <w:bookmarkEnd w:id="3588"/>
    </w:p>
    <w:p w14:paraId="1D1B77AA" w14:textId="77777777" w:rsidR="00625A9A" w:rsidRPr="00C00000" w:rsidRDefault="00625A9A" w:rsidP="00EB7F1E">
      <w:pPr>
        <w:pStyle w:val="ListParagraph"/>
        <w:keepNext/>
        <w:spacing w:line="276" w:lineRule="auto"/>
        <w:ind w:left="567" w:right="170"/>
        <w:rPr>
          <w:rFonts w:asciiTheme="minorHAnsi" w:hAnsiTheme="minorHAnsi"/>
          <w:u w:val="single"/>
        </w:rPr>
      </w:pPr>
    </w:p>
    <w:p w14:paraId="41CA780B" w14:textId="77777777" w:rsidR="00625A9A" w:rsidRPr="00EA6953" w:rsidRDefault="00625A9A" w:rsidP="00EB7F1E">
      <w:pPr>
        <w:widowControl w:val="0"/>
        <w:spacing w:line="276" w:lineRule="auto"/>
        <w:ind w:left="142"/>
        <w:jc w:val="both"/>
        <w:rPr>
          <w:rFonts w:asciiTheme="minorHAnsi" w:hAnsiTheme="minorHAnsi"/>
        </w:rPr>
      </w:pPr>
      <w:r w:rsidRPr="00EA6953">
        <w:rPr>
          <w:rFonts w:asciiTheme="minorHAnsi" w:hAnsiTheme="minorHAnsi"/>
        </w:rPr>
        <w:t xml:space="preserve">The Commonwealth </w:t>
      </w:r>
      <w:r w:rsidRPr="00EA6953">
        <w:rPr>
          <w:rFonts w:asciiTheme="minorHAnsi" w:hAnsiTheme="minorHAnsi"/>
          <w:i/>
          <w:iCs/>
        </w:rPr>
        <w:t>Proceeds of Crime Act 1987</w:t>
      </w:r>
      <w:r w:rsidRPr="00EA6953">
        <w:rPr>
          <w:rFonts w:asciiTheme="minorHAnsi" w:hAnsiTheme="minorHAnsi"/>
        </w:rPr>
        <w:t xml:space="preserve"> (Cth) was silent on the relevance of confiscation orders to sentencing.  The </w:t>
      </w:r>
      <w:r w:rsidRPr="00EA6953">
        <w:rPr>
          <w:rFonts w:asciiTheme="minorHAnsi" w:hAnsiTheme="minorHAnsi"/>
          <w:i/>
          <w:iCs/>
        </w:rPr>
        <w:t xml:space="preserve">Proceeds of Crime Act 1987 </w:t>
      </w:r>
      <w:r w:rsidRPr="00EA6953">
        <w:rPr>
          <w:rFonts w:asciiTheme="minorHAnsi" w:hAnsiTheme="minorHAnsi"/>
          <w:iCs/>
        </w:rPr>
        <w:t>(Cth)</w:t>
      </w:r>
      <w:r w:rsidRPr="00EA6953">
        <w:rPr>
          <w:rFonts w:asciiTheme="minorHAnsi" w:hAnsiTheme="minorHAnsi"/>
          <w:i/>
          <w:iCs/>
        </w:rPr>
        <w:t xml:space="preserve"> </w:t>
      </w:r>
      <w:r w:rsidRPr="00EA6953">
        <w:rPr>
          <w:rFonts w:asciiTheme="minorHAnsi" w:hAnsiTheme="minorHAnsi"/>
        </w:rPr>
        <w:t>did however permit the sentencing court to defer sentencing until a confiscation application had been determined.</w:t>
      </w:r>
      <w:r w:rsidRPr="00C00000">
        <w:rPr>
          <w:rStyle w:val="Style"/>
          <w:rFonts w:asciiTheme="minorHAnsi" w:hAnsiTheme="minorHAnsi"/>
        </w:rPr>
        <w:footnoteReference w:id="1220"/>
      </w:r>
    </w:p>
    <w:p w14:paraId="0F6C1C2F" w14:textId="77777777" w:rsidR="00625A9A" w:rsidRPr="00C00000" w:rsidRDefault="00625A9A" w:rsidP="00625A9A">
      <w:pPr>
        <w:pStyle w:val="ListParagraph"/>
        <w:widowControl w:val="0"/>
        <w:spacing w:line="276" w:lineRule="auto"/>
        <w:ind w:left="567" w:right="170" w:hanging="567"/>
        <w:rPr>
          <w:rFonts w:asciiTheme="minorHAnsi" w:hAnsiTheme="minorHAnsi"/>
        </w:rPr>
      </w:pPr>
    </w:p>
    <w:p w14:paraId="4181F6EA" w14:textId="77777777" w:rsidR="00625A9A" w:rsidRPr="00EA6953" w:rsidRDefault="00625A9A" w:rsidP="00EB7F1E">
      <w:pPr>
        <w:widowControl w:val="0"/>
        <w:spacing w:line="276" w:lineRule="auto"/>
        <w:ind w:left="142"/>
        <w:jc w:val="both"/>
        <w:rPr>
          <w:rFonts w:asciiTheme="minorHAnsi" w:hAnsiTheme="minorHAnsi"/>
        </w:rPr>
      </w:pPr>
      <w:r w:rsidRPr="00EA6953">
        <w:rPr>
          <w:rFonts w:asciiTheme="minorHAnsi" w:hAnsiTheme="minorHAnsi"/>
        </w:rPr>
        <w:t>In the absence of specific provisions and having regard to relevant authority, the Commonwealth adopted the approach, when dealing with the 1987 Act, that such orders are part of the overall punishment imposed upon an offender and should be taken into account in determining sentence.  The approach was that, if possible, any application should be made prior to sentencing to allow the court to take any such order into account.</w:t>
      </w:r>
    </w:p>
    <w:p w14:paraId="31EA3F8F" w14:textId="77777777" w:rsidR="00625A9A" w:rsidRPr="00C00000" w:rsidRDefault="00625A9A" w:rsidP="00625A9A">
      <w:pPr>
        <w:pStyle w:val="ListParagraph"/>
        <w:widowControl w:val="0"/>
        <w:spacing w:line="276" w:lineRule="auto"/>
        <w:ind w:left="567" w:right="170" w:hanging="567"/>
        <w:rPr>
          <w:rFonts w:asciiTheme="minorHAnsi" w:hAnsiTheme="minorHAnsi"/>
        </w:rPr>
      </w:pPr>
    </w:p>
    <w:p w14:paraId="02950E8B" w14:textId="77777777" w:rsidR="00625A9A" w:rsidRPr="00EA6953" w:rsidRDefault="00625A9A" w:rsidP="00EB7F1E">
      <w:pPr>
        <w:widowControl w:val="0"/>
        <w:spacing w:line="276" w:lineRule="auto"/>
        <w:ind w:left="142"/>
        <w:jc w:val="both"/>
        <w:rPr>
          <w:rFonts w:asciiTheme="minorHAnsi" w:hAnsiTheme="minorHAnsi"/>
        </w:rPr>
      </w:pPr>
      <w:r w:rsidRPr="00EA6953">
        <w:rPr>
          <w:rFonts w:asciiTheme="minorHAnsi" w:hAnsiTheme="minorHAnsi"/>
        </w:rPr>
        <w:t>The weight which was attributable to the order varied greatly depending upon the specific circumstances under consideration.</w:t>
      </w:r>
      <w:r w:rsidRPr="00C00000">
        <w:rPr>
          <w:rStyle w:val="Style"/>
          <w:rFonts w:asciiTheme="minorHAnsi" w:hAnsiTheme="minorHAnsi"/>
        </w:rPr>
        <w:footnoteReference w:id="1221"/>
      </w:r>
    </w:p>
    <w:p w14:paraId="2B5BA9D0" w14:textId="77777777" w:rsidR="00625A9A" w:rsidRPr="00C00000" w:rsidRDefault="00625A9A" w:rsidP="00625A9A">
      <w:pPr>
        <w:pStyle w:val="ListParagraph"/>
        <w:widowControl w:val="0"/>
        <w:spacing w:line="276" w:lineRule="auto"/>
        <w:ind w:left="567" w:right="170" w:hanging="567"/>
        <w:rPr>
          <w:rFonts w:asciiTheme="minorHAnsi" w:hAnsiTheme="minorHAnsi"/>
        </w:rPr>
      </w:pPr>
    </w:p>
    <w:p w14:paraId="768E56B2" w14:textId="77777777" w:rsidR="00625A9A" w:rsidRPr="00EA6953" w:rsidRDefault="00625A9A" w:rsidP="00EB7F1E">
      <w:pPr>
        <w:widowControl w:val="0"/>
        <w:spacing w:line="276" w:lineRule="auto"/>
        <w:ind w:left="142"/>
        <w:jc w:val="both"/>
        <w:rPr>
          <w:rFonts w:asciiTheme="minorHAnsi" w:hAnsiTheme="minorHAnsi"/>
        </w:rPr>
      </w:pPr>
      <w:r w:rsidRPr="00EA6953">
        <w:rPr>
          <w:rFonts w:asciiTheme="minorHAnsi" w:hAnsiTheme="minorHAnsi"/>
        </w:rPr>
        <w:t>The principles which emerged in the cases established that weight should be afforded to a forfeiture order representing property “used in or in connection with” the commission of an offence in contrast to proceeds of the crime.  The situation was more complex where the confiscation order was a forfeiture order or pecuniary penalty order representing proceeds or benefit derived from the offence.</w:t>
      </w:r>
    </w:p>
    <w:p w14:paraId="4DA0DC1B" w14:textId="77777777" w:rsidR="00625A9A" w:rsidRPr="00C00000" w:rsidRDefault="00625A9A"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For example, in 1989 the Victorian Court of Appeal in </w:t>
      </w:r>
      <w:r>
        <w:rPr>
          <w:rFonts w:asciiTheme="minorHAnsi" w:hAnsiTheme="minorHAnsi"/>
          <w:i/>
        </w:rPr>
        <w:t>R v A</w:t>
      </w:r>
      <w:r w:rsidRPr="00C00000">
        <w:rPr>
          <w:rFonts w:asciiTheme="minorHAnsi" w:hAnsiTheme="minorHAnsi"/>
          <w:i/>
        </w:rPr>
        <w:t>llen</w:t>
      </w:r>
      <w:r w:rsidRPr="000055BF">
        <w:rPr>
          <w:rFonts w:asciiTheme="minorHAnsi" w:hAnsiTheme="minorHAnsi"/>
          <w:position w:val="6"/>
          <w:sz w:val="16"/>
        </w:rPr>
        <w:footnoteReference w:id="1222"/>
      </w:r>
      <w:r w:rsidRPr="00C00000">
        <w:rPr>
          <w:rFonts w:asciiTheme="minorHAnsi" w:hAnsiTheme="minorHAnsi"/>
        </w:rPr>
        <w:t xml:space="preserve"> considered that a forfeiture order was “part of the retribution exacted from offenders on behalf of the community” and that the order, if made before sentence, should be taken into account, but that the weight to be attributed to the making of the order would vary depending upon the circumstances.</w:t>
      </w:r>
    </w:p>
    <w:p w14:paraId="2F28D1F3" w14:textId="77777777" w:rsidR="00625A9A" w:rsidRPr="00C00000" w:rsidRDefault="00625A9A" w:rsidP="00625A9A">
      <w:pPr>
        <w:pStyle w:val="BodyText"/>
        <w:spacing w:line="276" w:lineRule="auto"/>
        <w:ind w:left="1134" w:right="170"/>
        <w:jc w:val="both"/>
        <w:rPr>
          <w:rFonts w:asciiTheme="minorHAnsi" w:hAnsiTheme="minorHAnsi"/>
        </w:rPr>
      </w:pPr>
    </w:p>
    <w:p w14:paraId="4C0B1E75" w14:textId="77777777" w:rsidR="00625A9A" w:rsidRPr="00C00000" w:rsidRDefault="00625A9A"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In 1990 in </w:t>
      </w:r>
      <w:r w:rsidRPr="00C00000">
        <w:rPr>
          <w:rFonts w:asciiTheme="minorHAnsi" w:hAnsiTheme="minorHAnsi"/>
          <w:i/>
        </w:rPr>
        <w:t>R v McDermott</w:t>
      </w:r>
      <w:r w:rsidRPr="00C00000">
        <w:rPr>
          <w:rFonts w:asciiTheme="minorHAnsi" w:hAnsiTheme="minorHAnsi"/>
        </w:rPr>
        <w:t>,</w:t>
      </w:r>
      <w:r w:rsidRPr="000055BF">
        <w:rPr>
          <w:rFonts w:asciiTheme="minorHAnsi" w:hAnsiTheme="minorHAnsi"/>
          <w:position w:val="6"/>
          <w:sz w:val="16"/>
        </w:rPr>
        <w:footnoteReference w:id="1223"/>
      </w:r>
      <w:r w:rsidRPr="00C00000">
        <w:rPr>
          <w:rFonts w:asciiTheme="minorHAnsi" w:hAnsiTheme="minorHAnsi"/>
        </w:rPr>
        <w:t xml:space="preserve"> the Full Federal Court considered that a pecuniary penalty order relating entirely to the profits of the crime had a significant punitive and deterrent effect if enforced against the only available asset, or against future earnings. </w:t>
      </w:r>
    </w:p>
    <w:p w14:paraId="619C5DC5" w14:textId="77777777" w:rsidR="00625A9A" w:rsidRPr="00C00000" w:rsidRDefault="00625A9A" w:rsidP="00625A9A">
      <w:pPr>
        <w:pStyle w:val="BodyText"/>
        <w:spacing w:line="276" w:lineRule="auto"/>
        <w:ind w:left="1134" w:right="170"/>
        <w:jc w:val="both"/>
        <w:rPr>
          <w:rFonts w:asciiTheme="minorHAnsi" w:hAnsiTheme="minorHAnsi"/>
        </w:rPr>
      </w:pPr>
    </w:p>
    <w:p w14:paraId="46C644A7" w14:textId="77777777" w:rsidR="00625A9A" w:rsidRPr="00C00000" w:rsidRDefault="00625A9A" w:rsidP="00EB7F1E">
      <w:pPr>
        <w:pStyle w:val="ListParagraph"/>
        <w:numPr>
          <w:ilvl w:val="1"/>
          <w:numId w:val="36"/>
        </w:numPr>
        <w:spacing w:line="276" w:lineRule="auto"/>
        <w:ind w:left="993" w:right="28" w:hanging="142"/>
        <w:rPr>
          <w:rFonts w:asciiTheme="minorHAnsi" w:hAnsiTheme="minorHAnsi"/>
        </w:rPr>
      </w:pPr>
      <w:r w:rsidRPr="00C00000">
        <w:rPr>
          <w:rFonts w:asciiTheme="minorHAnsi" w:hAnsiTheme="minorHAnsi"/>
        </w:rPr>
        <w:t xml:space="preserve">By contrast, in 1992 in </w:t>
      </w:r>
      <w:r w:rsidRPr="00C00000">
        <w:rPr>
          <w:rFonts w:asciiTheme="minorHAnsi" w:hAnsiTheme="minorHAnsi"/>
          <w:i/>
        </w:rPr>
        <w:t>Tapper v R</w:t>
      </w:r>
      <w:r w:rsidRPr="00C00000">
        <w:rPr>
          <w:rFonts w:asciiTheme="minorHAnsi" w:hAnsiTheme="minorHAnsi"/>
        </w:rPr>
        <w:t>,</w:t>
      </w:r>
      <w:r w:rsidRPr="000055BF">
        <w:rPr>
          <w:rFonts w:asciiTheme="minorHAnsi" w:hAnsiTheme="minorHAnsi"/>
          <w:position w:val="6"/>
          <w:sz w:val="16"/>
        </w:rPr>
        <w:footnoteReference w:id="1224"/>
      </w:r>
      <w:r w:rsidRPr="00C00000">
        <w:rPr>
          <w:rFonts w:asciiTheme="minorHAnsi" w:hAnsiTheme="minorHAnsi"/>
        </w:rPr>
        <w:t xml:space="preserve"> the Full Federal Court found that whilst such a pecuniary penalty order must be taken into account, it might have little or no impact on sentence if it was unlikely to impact on the offender or his assets.  In that matter the prospect of recovery was unlikely.</w:t>
      </w:r>
    </w:p>
    <w:p w14:paraId="3F449EB3" w14:textId="77777777" w:rsidR="00625A9A" w:rsidRPr="00C00000" w:rsidRDefault="00625A9A" w:rsidP="00625A9A">
      <w:pPr>
        <w:pStyle w:val="ListParagraph"/>
        <w:widowControl w:val="0"/>
        <w:spacing w:line="276" w:lineRule="auto"/>
        <w:ind w:left="567" w:right="170" w:hanging="567"/>
        <w:rPr>
          <w:rFonts w:asciiTheme="minorHAnsi" w:hAnsiTheme="minorHAnsi"/>
        </w:rPr>
      </w:pPr>
    </w:p>
    <w:p w14:paraId="4688FF4F" w14:textId="77777777" w:rsidR="00625A9A" w:rsidRPr="00EA6953" w:rsidRDefault="00625A9A" w:rsidP="00EB7F1E">
      <w:pPr>
        <w:widowControl w:val="0"/>
        <w:spacing w:line="276" w:lineRule="auto"/>
        <w:ind w:left="142"/>
        <w:jc w:val="both"/>
        <w:rPr>
          <w:rFonts w:asciiTheme="minorHAnsi" w:hAnsiTheme="minorHAnsi"/>
        </w:rPr>
      </w:pPr>
      <w:r w:rsidRPr="00EA6953">
        <w:rPr>
          <w:rFonts w:asciiTheme="minorHAnsi" w:hAnsiTheme="minorHAnsi"/>
        </w:rPr>
        <w:t>Where confiscation action was resolved prior to sentencing the court was able to take into account the impact of the order on the sentence.  Where however the confiscation action was not resolved before the sentencing the court, where advised of the situation, would have regard to the likelihood of an order being made or automatic forfeiture occurring in the future.</w:t>
      </w:r>
    </w:p>
    <w:p w14:paraId="10B76214" w14:textId="77777777" w:rsidR="00625A9A" w:rsidRPr="00C00000" w:rsidRDefault="00625A9A" w:rsidP="00625A9A">
      <w:pPr>
        <w:pStyle w:val="ListParagraph"/>
        <w:widowControl w:val="0"/>
        <w:spacing w:line="276" w:lineRule="auto"/>
        <w:ind w:left="567" w:right="170" w:hanging="567"/>
        <w:rPr>
          <w:rFonts w:asciiTheme="minorHAnsi" w:hAnsiTheme="minorHAnsi"/>
        </w:rPr>
      </w:pPr>
    </w:p>
    <w:p w14:paraId="663A4DB7" w14:textId="236A7854" w:rsidR="00EA6953" w:rsidRDefault="00EA6953">
      <w:pPr>
        <w:rPr>
          <w:rFonts w:asciiTheme="minorHAnsi" w:hAnsiTheme="minorHAnsi"/>
        </w:rPr>
      </w:pPr>
      <w:r>
        <w:rPr>
          <w:rFonts w:asciiTheme="minorHAnsi" w:hAnsiTheme="minorHAnsi"/>
        </w:rPr>
        <w:br w:type="page"/>
      </w:r>
    </w:p>
    <w:p w14:paraId="7608A52E" w14:textId="58A94E38" w:rsidR="004B6680" w:rsidRPr="00763B59" w:rsidRDefault="004B6680" w:rsidP="00EB7F1E">
      <w:pPr>
        <w:pStyle w:val="Heading1"/>
        <w:keepNext/>
        <w:numPr>
          <w:ilvl w:val="0"/>
          <w:numId w:val="0"/>
        </w:numPr>
        <w:spacing w:line="276" w:lineRule="auto"/>
        <w:rPr>
          <w:rFonts w:asciiTheme="minorHAnsi" w:hAnsiTheme="minorHAnsi"/>
          <w:sz w:val="24"/>
          <w:szCs w:val="24"/>
        </w:rPr>
      </w:pPr>
      <w:bookmarkStart w:id="3589" w:name="_Ref11486055"/>
      <w:bookmarkStart w:id="3590" w:name="_Toc33603003"/>
      <w:r w:rsidRPr="00763B59">
        <w:rPr>
          <w:rFonts w:asciiTheme="minorHAnsi" w:hAnsiTheme="minorHAnsi"/>
          <w:sz w:val="24"/>
          <w:szCs w:val="24"/>
        </w:rPr>
        <w:t xml:space="preserve">Appendix </w:t>
      </w:r>
      <w:r w:rsidR="00420E8D" w:rsidRPr="00763B59">
        <w:rPr>
          <w:rFonts w:asciiTheme="minorHAnsi" w:hAnsiTheme="minorHAnsi"/>
          <w:sz w:val="24"/>
          <w:szCs w:val="24"/>
        </w:rPr>
        <w:t>4</w:t>
      </w:r>
      <w:r w:rsidRPr="00763B59">
        <w:rPr>
          <w:rFonts w:asciiTheme="minorHAnsi" w:hAnsiTheme="minorHAnsi"/>
          <w:sz w:val="24"/>
          <w:szCs w:val="24"/>
        </w:rPr>
        <w:t xml:space="preserve">: </w:t>
      </w:r>
      <w:r w:rsidR="003A7EDC" w:rsidRPr="00763B59">
        <w:rPr>
          <w:rFonts w:asciiTheme="minorHAnsi" w:hAnsiTheme="minorHAnsi"/>
          <w:sz w:val="24"/>
          <w:szCs w:val="24"/>
        </w:rPr>
        <w:t xml:space="preserve">Orders applied by </w:t>
      </w:r>
      <w:r w:rsidR="003A7EDC" w:rsidRPr="00763B59">
        <w:rPr>
          <w:rFonts w:asciiTheme="minorHAnsi" w:hAnsiTheme="minorHAnsi"/>
          <w:i/>
          <w:iCs/>
          <w:sz w:val="24"/>
          <w:szCs w:val="24"/>
        </w:rPr>
        <w:t>Crimes Act 1914</w:t>
      </w:r>
      <w:r w:rsidR="003A7EDC" w:rsidRPr="00763B59">
        <w:rPr>
          <w:rFonts w:asciiTheme="minorHAnsi" w:hAnsiTheme="minorHAnsi"/>
          <w:sz w:val="24"/>
          <w:szCs w:val="24"/>
        </w:rPr>
        <w:t xml:space="preserve"> (Cth), s 20AB: jurisdiction-</w:t>
      </w:r>
      <w:r w:rsidRPr="00763B59">
        <w:rPr>
          <w:rFonts w:asciiTheme="minorHAnsi" w:hAnsiTheme="minorHAnsi"/>
          <w:sz w:val="24"/>
          <w:szCs w:val="24"/>
        </w:rPr>
        <w:t xml:space="preserve">specific </w:t>
      </w:r>
      <w:r w:rsidR="003A7EDC" w:rsidRPr="00763B59">
        <w:rPr>
          <w:rFonts w:asciiTheme="minorHAnsi" w:hAnsiTheme="minorHAnsi"/>
          <w:sz w:val="24"/>
          <w:szCs w:val="24"/>
        </w:rPr>
        <w:t>issues</w:t>
      </w:r>
      <w:bookmarkEnd w:id="3589"/>
      <w:bookmarkEnd w:id="3590"/>
    </w:p>
    <w:p w14:paraId="44B5C4C1" w14:textId="77777777" w:rsidR="004B6680" w:rsidRPr="00763B59" w:rsidRDefault="004B6680" w:rsidP="00EB7F1E">
      <w:pPr>
        <w:keepNext/>
        <w:spacing w:line="276" w:lineRule="auto"/>
        <w:ind w:left="916"/>
        <w:rPr>
          <w:rFonts w:asciiTheme="minorHAnsi" w:hAnsiTheme="minorHAnsi"/>
          <w:szCs w:val="22"/>
        </w:rPr>
      </w:pPr>
    </w:p>
    <w:p w14:paraId="72F3E43E" w14:textId="77777777" w:rsidR="00A51FE1" w:rsidRPr="00266F5E" w:rsidRDefault="00A51FE1" w:rsidP="00EB7F1E">
      <w:pPr>
        <w:pStyle w:val="Body"/>
        <w:spacing w:line="276" w:lineRule="auto"/>
        <w:ind w:left="567" w:hanging="567"/>
        <w:jc w:val="both"/>
        <w:rPr>
          <w:rFonts w:ascii="Calibri" w:hAnsi="Calibri" w:cs="Arial"/>
          <w:szCs w:val="22"/>
          <w:highlight w:val="yellow"/>
        </w:rPr>
      </w:pPr>
    </w:p>
    <w:p w14:paraId="10FF3A7E" w14:textId="30A87676" w:rsidR="004B6680" w:rsidRPr="00763B59" w:rsidRDefault="004B6680">
      <w:pPr>
        <w:pStyle w:val="Heading2"/>
        <w:numPr>
          <w:ilvl w:val="0"/>
          <w:numId w:val="0"/>
        </w:numPr>
      </w:pPr>
      <w:bookmarkStart w:id="3591" w:name="_Toc33603004"/>
      <w:r w:rsidRPr="00763B59">
        <w:t>A</w:t>
      </w:r>
      <w:r w:rsidR="00420E8D" w:rsidRPr="00763B59">
        <w:t>4</w:t>
      </w:r>
      <w:r w:rsidRPr="00763B59">
        <w:t>.</w:t>
      </w:r>
      <w:r w:rsidR="00E75576">
        <w:t>1</w:t>
      </w:r>
      <w:r w:rsidRPr="00763B59">
        <w:tab/>
      </w:r>
      <w:r w:rsidR="003A7EDC" w:rsidRPr="00763B59">
        <w:t>Victoria</w:t>
      </w:r>
      <w:bookmarkEnd w:id="3591"/>
    </w:p>
    <w:p w14:paraId="2A739EB6" w14:textId="77777777" w:rsidR="004B6680" w:rsidRPr="00763B59" w:rsidRDefault="004B6680" w:rsidP="00EB7F1E">
      <w:pPr>
        <w:keepNext/>
        <w:rPr>
          <w:rFonts w:ascii="Calibri" w:hAnsi="Calibri"/>
        </w:rPr>
      </w:pPr>
    </w:p>
    <w:p w14:paraId="309C62AB" w14:textId="6BD05783" w:rsidR="004B6680" w:rsidRPr="00763B59" w:rsidRDefault="003A7EDC" w:rsidP="00EB7F1E">
      <w:pPr>
        <w:pStyle w:val="Heading3"/>
        <w:numPr>
          <w:ilvl w:val="0"/>
          <w:numId w:val="0"/>
        </w:numPr>
      </w:pPr>
      <w:bookmarkStart w:id="3592" w:name="_Toc33603005"/>
      <w:r w:rsidRPr="00763B59">
        <w:t>Community correction order (CCO)</w:t>
      </w:r>
      <w:r w:rsidR="004B6680" w:rsidRPr="00763B59">
        <w:t xml:space="preserve"> and a condition to pay money as a bond</w:t>
      </w:r>
      <w:bookmarkEnd w:id="3592"/>
    </w:p>
    <w:p w14:paraId="7A81F696" w14:textId="77777777" w:rsidR="004B6680" w:rsidRPr="00763B59" w:rsidRDefault="004B6680" w:rsidP="00EB7F1E">
      <w:pPr>
        <w:pStyle w:val="NormalIndent"/>
        <w:keepNext/>
        <w:spacing w:line="276" w:lineRule="auto"/>
        <w:rPr>
          <w:rFonts w:asciiTheme="minorHAnsi" w:hAnsiTheme="minorHAnsi"/>
        </w:rPr>
      </w:pPr>
    </w:p>
    <w:p w14:paraId="66DDC8BC" w14:textId="704DD4B5" w:rsidR="004B6680" w:rsidRPr="00763B59" w:rsidRDefault="00D54B3F" w:rsidP="004E2845">
      <w:pPr>
        <w:pStyle w:val="Body"/>
        <w:tabs>
          <w:tab w:val="clear" w:pos="284"/>
        </w:tabs>
        <w:spacing w:line="276" w:lineRule="auto"/>
        <w:jc w:val="both"/>
        <w:rPr>
          <w:rFonts w:asciiTheme="minorHAnsi" w:hAnsiTheme="minorHAnsi"/>
          <w:lang w:val="en-AU"/>
        </w:rPr>
      </w:pPr>
      <w:r w:rsidRPr="00763B59">
        <w:rPr>
          <w:rFonts w:asciiTheme="minorHAnsi" w:hAnsiTheme="minorHAnsi"/>
          <w:lang w:val="en-AU"/>
        </w:rPr>
        <w:t xml:space="preserve">Under </w:t>
      </w:r>
      <w:r w:rsidR="004B6680" w:rsidRPr="00763B59">
        <w:rPr>
          <w:rFonts w:asciiTheme="minorHAnsi" w:hAnsiTheme="minorHAnsi"/>
          <w:lang w:val="en-AU"/>
        </w:rPr>
        <w:t xml:space="preserve">s 48JA of the </w:t>
      </w:r>
      <w:r w:rsidR="004B6680" w:rsidRPr="00763B59">
        <w:rPr>
          <w:rFonts w:asciiTheme="minorHAnsi" w:hAnsiTheme="minorHAnsi"/>
          <w:i/>
          <w:lang w:val="en-AU"/>
        </w:rPr>
        <w:t>Sentencing Act</w:t>
      </w:r>
      <w:r w:rsidR="004B6680" w:rsidRPr="00763B59">
        <w:rPr>
          <w:rFonts w:asciiTheme="minorHAnsi" w:hAnsiTheme="minorHAnsi"/>
          <w:lang w:val="en-AU"/>
        </w:rPr>
        <w:t xml:space="preserve"> </w:t>
      </w:r>
      <w:r w:rsidR="004B6680" w:rsidRPr="00763B59">
        <w:rPr>
          <w:rFonts w:asciiTheme="minorHAnsi" w:hAnsiTheme="minorHAnsi"/>
          <w:i/>
          <w:lang w:val="en-AU"/>
        </w:rPr>
        <w:t>1991</w:t>
      </w:r>
      <w:r w:rsidR="004B6680" w:rsidRPr="00763B59">
        <w:rPr>
          <w:rFonts w:asciiTheme="minorHAnsi" w:hAnsiTheme="minorHAnsi"/>
          <w:lang w:val="en-AU"/>
        </w:rPr>
        <w:t xml:space="preserve"> (Vic)</w:t>
      </w:r>
      <w:r w:rsidRPr="00763B59">
        <w:rPr>
          <w:rFonts w:asciiTheme="minorHAnsi" w:hAnsiTheme="minorHAnsi"/>
          <w:lang w:val="en-AU"/>
        </w:rPr>
        <w:t xml:space="preserve"> (in force from 1 May 2013)</w:t>
      </w:r>
      <w:r w:rsidR="004B6680" w:rsidRPr="00763B59">
        <w:rPr>
          <w:rFonts w:asciiTheme="minorHAnsi" w:hAnsiTheme="minorHAnsi"/>
          <w:lang w:val="en-AU"/>
        </w:rPr>
        <w:t>, a court may attach a condition requiring an offender to pay an amount by way of a bond under a CCO</w:t>
      </w:r>
      <w:r w:rsidRPr="00763B59">
        <w:rPr>
          <w:rFonts w:asciiTheme="minorHAnsi" w:hAnsiTheme="minorHAnsi"/>
          <w:lang w:val="en-AU"/>
        </w:rPr>
        <w:t xml:space="preserve">. </w:t>
      </w:r>
      <w:r w:rsidR="004B6680" w:rsidRPr="00763B59">
        <w:rPr>
          <w:rFonts w:asciiTheme="minorHAnsi" w:hAnsiTheme="minorHAnsi"/>
          <w:lang w:val="en-AU"/>
        </w:rPr>
        <w:t xml:space="preserve"> </w:t>
      </w:r>
      <w:r w:rsidRPr="00763B59">
        <w:rPr>
          <w:rFonts w:asciiTheme="minorHAnsi" w:hAnsiTheme="minorHAnsi"/>
          <w:lang w:val="en-AU"/>
        </w:rPr>
        <w:t xml:space="preserve">Section </w:t>
      </w:r>
      <w:r w:rsidR="004B6680" w:rsidRPr="00763B59">
        <w:rPr>
          <w:rFonts w:asciiTheme="minorHAnsi" w:hAnsiTheme="minorHAnsi"/>
          <w:lang w:val="en-AU"/>
        </w:rPr>
        <w:t xml:space="preserve">83AS(4) sets out the consequences for a contravention.  Whilst such a condition could be included as one of the </w:t>
      </w:r>
      <w:r w:rsidR="00AA693C" w:rsidRPr="00763B59">
        <w:rPr>
          <w:rFonts w:asciiTheme="minorHAnsi" w:hAnsiTheme="minorHAnsi"/>
          <w:lang w:val="en-AU"/>
        </w:rPr>
        <w:t>‘</w:t>
      </w:r>
      <w:r w:rsidR="004B6680" w:rsidRPr="00763B59">
        <w:rPr>
          <w:rFonts w:asciiTheme="minorHAnsi" w:hAnsiTheme="minorHAnsi"/>
          <w:lang w:val="en-AU"/>
        </w:rPr>
        <w:t>any other conditions as the court thinks fit to specify</w:t>
      </w:r>
      <w:r w:rsidR="00AA693C" w:rsidRPr="00763B59">
        <w:rPr>
          <w:rFonts w:asciiTheme="minorHAnsi" w:hAnsiTheme="minorHAnsi"/>
          <w:lang w:val="en-AU"/>
        </w:rPr>
        <w:t>’</w:t>
      </w:r>
      <w:r w:rsidR="004B6680" w:rsidRPr="00763B59">
        <w:rPr>
          <w:rFonts w:asciiTheme="minorHAnsi" w:hAnsiTheme="minorHAnsi"/>
          <w:lang w:val="en-AU"/>
        </w:rPr>
        <w:t xml:space="preserve"> (s 48 </w:t>
      </w:r>
      <w:r w:rsidR="004B6680" w:rsidRPr="00763B59">
        <w:rPr>
          <w:rFonts w:asciiTheme="minorHAnsi" w:hAnsiTheme="minorHAnsi"/>
          <w:i/>
          <w:lang w:val="en-AU"/>
        </w:rPr>
        <w:t>Sentencing Act 1991</w:t>
      </w:r>
      <w:r w:rsidR="004B6680" w:rsidRPr="00763B59">
        <w:rPr>
          <w:rFonts w:asciiTheme="minorHAnsi" w:hAnsiTheme="minorHAnsi"/>
          <w:lang w:val="en-AU"/>
        </w:rPr>
        <w:t xml:space="preserve"> (Vic)), it may be effectively unenforceable in relation to federal matters as any breach would be dealt with pursuant to s 20AC(6) of the </w:t>
      </w:r>
      <w:r w:rsidR="00885EFD" w:rsidRPr="00763B59">
        <w:rPr>
          <w:rFonts w:asciiTheme="minorHAnsi" w:hAnsiTheme="minorHAnsi"/>
          <w:i/>
          <w:lang w:val="en-AU"/>
        </w:rPr>
        <w:t>Crimes Act 1914</w:t>
      </w:r>
      <w:r w:rsidR="004B6680" w:rsidRPr="00763B59">
        <w:rPr>
          <w:rFonts w:asciiTheme="minorHAnsi" w:hAnsiTheme="minorHAnsi"/>
          <w:i/>
          <w:lang w:val="en-AU"/>
        </w:rPr>
        <w:t xml:space="preserve"> </w:t>
      </w:r>
      <w:r w:rsidR="004B6680" w:rsidRPr="00763B59">
        <w:rPr>
          <w:rFonts w:asciiTheme="minorHAnsi" w:hAnsiTheme="minorHAnsi"/>
          <w:lang w:val="en-AU"/>
        </w:rPr>
        <w:t xml:space="preserve">(Cth).  Hence, it is the view of the CDPP that it is preferable that a bond should not be made a condition of a CCO in relation to </w:t>
      </w:r>
      <w:r w:rsidRPr="00763B59">
        <w:rPr>
          <w:rFonts w:asciiTheme="minorHAnsi" w:hAnsiTheme="minorHAnsi"/>
          <w:lang w:val="en-AU"/>
        </w:rPr>
        <w:t xml:space="preserve">a </w:t>
      </w:r>
      <w:r w:rsidR="004B6680" w:rsidRPr="00763B59">
        <w:rPr>
          <w:rFonts w:asciiTheme="minorHAnsi" w:hAnsiTheme="minorHAnsi"/>
          <w:lang w:val="en-AU"/>
        </w:rPr>
        <w:t>federal offender.</w:t>
      </w:r>
    </w:p>
    <w:p w14:paraId="656AB208" w14:textId="77777777" w:rsidR="004B6680" w:rsidRPr="00763B59" w:rsidRDefault="004B6680" w:rsidP="004B6680">
      <w:pPr>
        <w:pStyle w:val="Body"/>
        <w:spacing w:line="276" w:lineRule="auto"/>
        <w:ind w:left="873"/>
        <w:rPr>
          <w:rFonts w:asciiTheme="minorHAnsi" w:hAnsiTheme="minorHAnsi" w:cs="Arial"/>
          <w:szCs w:val="22"/>
          <w:lang w:val="en-AU"/>
        </w:rPr>
      </w:pPr>
    </w:p>
    <w:p w14:paraId="493CBFA9" w14:textId="691E37C5" w:rsidR="004B6680" w:rsidRPr="00763B59" w:rsidRDefault="004B6680">
      <w:pPr>
        <w:pStyle w:val="Heading3"/>
        <w:numPr>
          <w:ilvl w:val="0"/>
          <w:numId w:val="0"/>
        </w:numPr>
        <w:ind w:left="-153"/>
      </w:pPr>
      <w:bookmarkStart w:id="3593" w:name="_Toc33603006"/>
      <w:r w:rsidRPr="00763B59">
        <w:t xml:space="preserve">CCO and </w:t>
      </w:r>
      <w:r w:rsidR="00AA693C" w:rsidRPr="00763B59">
        <w:t>‘</w:t>
      </w:r>
      <w:r w:rsidRPr="00763B59">
        <w:t>suspended</w:t>
      </w:r>
      <w:r w:rsidR="00AA693C" w:rsidRPr="00763B59">
        <w:t>’</w:t>
      </w:r>
      <w:r w:rsidRPr="00763B59">
        <w:t xml:space="preserve"> sentences</w:t>
      </w:r>
      <w:bookmarkEnd w:id="3593"/>
    </w:p>
    <w:p w14:paraId="3A919FAB" w14:textId="77777777" w:rsidR="004B6680" w:rsidRPr="00763B59" w:rsidRDefault="004B6680" w:rsidP="00EB7F1E">
      <w:pPr>
        <w:pStyle w:val="NormalIndent"/>
        <w:keepNext/>
        <w:spacing w:line="276" w:lineRule="auto"/>
        <w:rPr>
          <w:rFonts w:asciiTheme="minorHAnsi" w:hAnsiTheme="minorHAnsi"/>
        </w:rPr>
      </w:pPr>
    </w:p>
    <w:p w14:paraId="7FA744D3" w14:textId="345DE44D" w:rsidR="004B6680" w:rsidRPr="00763B59" w:rsidRDefault="004B6680" w:rsidP="00EB7F1E">
      <w:pPr>
        <w:pStyle w:val="Body"/>
        <w:tabs>
          <w:tab w:val="clear" w:pos="284"/>
        </w:tabs>
        <w:spacing w:line="276" w:lineRule="auto"/>
        <w:jc w:val="both"/>
        <w:rPr>
          <w:rFonts w:asciiTheme="minorHAnsi" w:hAnsiTheme="minorHAnsi" w:cs="Arial"/>
          <w:szCs w:val="22"/>
          <w:lang w:val="en-AU"/>
        </w:rPr>
      </w:pPr>
      <w:r w:rsidRPr="00763B59">
        <w:rPr>
          <w:rFonts w:asciiTheme="minorHAnsi" w:hAnsiTheme="minorHAnsi" w:cs="Arial"/>
          <w:szCs w:val="22"/>
          <w:lang w:val="en-AU"/>
        </w:rPr>
        <w:t xml:space="preserve">As a result of the decision of the Court of Appeal in </w:t>
      </w:r>
      <w:r w:rsidRPr="00763B59">
        <w:rPr>
          <w:rFonts w:asciiTheme="minorHAnsi" w:hAnsiTheme="minorHAnsi" w:cs="Arial"/>
          <w:i/>
          <w:szCs w:val="22"/>
          <w:lang w:val="en-AU"/>
        </w:rPr>
        <w:t>DPP v Leys,</w:t>
      </w:r>
      <w:r w:rsidRPr="00763B59">
        <w:rPr>
          <w:rStyle w:val="FootnoteReference"/>
          <w:rFonts w:asciiTheme="minorHAnsi" w:hAnsiTheme="minorHAnsi"/>
        </w:rPr>
        <w:footnoteReference w:id="1225"/>
      </w:r>
      <w:r w:rsidRPr="00763B59">
        <w:rPr>
          <w:rFonts w:asciiTheme="minorHAnsi" w:hAnsiTheme="minorHAnsi" w:cs="Arial"/>
          <w:szCs w:val="22"/>
          <w:lang w:val="en-AU"/>
        </w:rPr>
        <w:t xml:space="preserve"> s 44 of the </w:t>
      </w:r>
      <w:r w:rsidRPr="00763B59">
        <w:rPr>
          <w:rFonts w:asciiTheme="minorHAnsi" w:hAnsiTheme="minorHAnsi" w:cs="Arial"/>
          <w:i/>
          <w:szCs w:val="22"/>
          <w:lang w:val="en-AU"/>
        </w:rPr>
        <w:t xml:space="preserve">Sentencing Act 1991 (Vic) </w:t>
      </w:r>
      <w:r w:rsidRPr="00763B59">
        <w:rPr>
          <w:rFonts w:asciiTheme="minorHAnsi" w:hAnsiTheme="minorHAnsi" w:cs="Arial"/>
          <w:szCs w:val="22"/>
          <w:lang w:val="en-AU"/>
        </w:rPr>
        <w:t>was amended</w:t>
      </w:r>
      <w:r w:rsidRPr="00763B59">
        <w:rPr>
          <w:rFonts w:asciiTheme="minorHAnsi" w:hAnsiTheme="minorHAnsi" w:cs="Arial"/>
          <w:i/>
          <w:szCs w:val="22"/>
          <w:lang w:val="en-AU"/>
        </w:rPr>
        <w:t xml:space="preserve"> </w:t>
      </w:r>
      <w:r w:rsidRPr="00763B59">
        <w:rPr>
          <w:rFonts w:asciiTheme="minorHAnsi" w:hAnsiTheme="minorHAnsi" w:cs="Arial"/>
          <w:szCs w:val="22"/>
          <w:lang w:val="en-AU"/>
        </w:rPr>
        <w:t>to</w:t>
      </w:r>
      <w:r w:rsidRPr="00763B59">
        <w:rPr>
          <w:rFonts w:asciiTheme="minorHAnsi" w:hAnsiTheme="minorHAnsi" w:cs="Arial"/>
          <w:i/>
          <w:szCs w:val="22"/>
          <w:lang w:val="en-AU"/>
        </w:rPr>
        <w:t xml:space="preserve"> </w:t>
      </w:r>
      <w:r w:rsidRPr="00763B59">
        <w:rPr>
          <w:rFonts w:asciiTheme="minorHAnsi" w:hAnsiTheme="minorHAnsi" w:cs="Arial"/>
          <w:szCs w:val="22"/>
          <w:lang w:val="en-AU"/>
        </w:rPr>
        <w:t xml:space="preserve">make it clear that a CCO cannot be imposed with a suspended sentence.  The question remains whether the reasoning in this decision applies to a recognizance release order </w:t>
      </w:r>
      <w:r w:rsidR="00D54B3F" w:rsidRPr="00763B59">
        <w:rPr>
          <w:rFonts w:asciiTheme="minorHAnsi" w:hAnsiTheme="minorHAnsi" w:cs="Arial"/>
          <w:szCs w:val="22"/>
          <w:lang w:val="en-AU"/>
        </w:rPr>
        <w:t xml:space="preserve">(RRO) </w:t>
      </w:r>
      <w:r w:rsidRPr="00763B59">
        <w:rPr>
          <w:rFonts w:asciiTheme="minorHAnsi" w:hAnsiTheme="minorHAnsi" w:cs="Arial"/>
          <w:szCs w:val="22"/>
          <w:lang w:val="en-AU"/>
        </w:rPr>
        <w:t xml:space="preserve">under s 20(1)(b) of the </w:t>
      </w:r>
      <w:r w:rsidR="00885EFD" w:rsidRPr="00763B59">
        <w:rPr>
          <w:rFonts w:asciiTheme="minorHAnsi" w:hAnsiTheme="minorHAnsi" w:cs="Arial"/>
          <w:i/>
          <w:szCs w:val="22"/>
          <w:lang w:val="en-AU"/>
        </w:rPr>
        <w:t>Crimes Act 1914</w:t>
      </w:r>
      <w:r w:rsidRPr="00763B59">
        <w:rPr>
          <w:rFonts w:asciiTheme="minorHAnsi" w:hAnsiTheme="minorHAnsi" w:cs="Arial"/>
          <w:szCs w:val="22"/>
          <w:lang w:val="en-AU"/>
        </w:rPr>
        <w:t xml:space="preserve">.  There is no authority dealing with the application of s 44 to the Commonwealth provision. </w:t>
      </w:r>
    </w:p>
    <w:p w14:paraId="4F084D76" w14:textId="77777777" w:rsidR="004B6680" w:rsidRPr="00763B59" w:rsidRDefault="004B6680" w:rsidP="004B6680">
      <w:pPr>
        <w:pStyle w:val="Body"/>
        <w:spacing w:line="276" w:lineRule="auto"/>
        <w:ind w:left="567" w:hanging="567"/>
        <w:jc w:val="both"/>
        <w:rPr>
          <w:rFonts w:asciiTheme="minorHAnsi" w:hAnsiTheme="minorHAnsi" w:cs="Arial"/>
          <w:szCs w:val="22"/>
          <w:lang w:val="en-AU"/>
        </w:rPr>
      </w:pPr>
    </w:p>
    <w:p w14:paraId="0C90769F" w14:textId="03E108CB" w:rsidR="004B6680" w:rsidRPr="00763B59" w:rsidRDefault="004B6680" w:rsidP="00EB7F1E">
      <w:pPr>
        <w:pStyle w:val="Body"/>
        <w:tabs>
          <w:tab w:val="clear" w:pos="284"/>
        </w:tabs>
        <w:spacing w:line="276" w:lineRule="auto"/>
        <w:jc w:val="both"/>
        <w:rPr>
          <w:rFonts w:asciiTheme="minorHAnsi" w:hAnsiTheme="minorHAnsi" w:cs="Arial"/>
          <w:szCs w:val="22"/>
          <w:lang w:val="en-AU"/>
        </w:rPr>
      </w:pPr>
      <w:r w:rsidRPr="00763B59">
        <w:rPr>
          <w:rFonts w:asciiTheme="minorHAnsi" w:hAnsiTheme="minorHAnsi" w:cs="Arial"/>
          <w:szCs w:val="22"/>
          <w:lang w:val="en-AU"/>
        </w:rPr>
        <w:t xml:space="preserve">Subdivision 3 of the </w:t>
      </w:r>
      <w:r w:rsidRPr="00763B59">
        <w:rPr>
          <w:rFonts w:asciiTheme="minorHAnsi" w:hAnsiTheme="minorHAnsi" w:cs="Arial"/>
          <w:i/>
          <w:szCs w:val="22"/>
          <w:lang w:val="en-AU"/>
        </w:rPr>
        <w:t xml:space="preserve">Sentencing Act </w:t>
      </w:r>
      <w:r w:rsidRPr="00763B59">
        <w:rPr>
          <w:rFonts w:asciiTheme="minorHAnsi" w:hAnsiTheme="minorHAnsi" w:cs="Arial"/>
          <w:szCs w:val="22"/>
          <w:lang w:val="en-AU"/>
        </w:rPr>
        <w:t xml:space="preserve">outlines numerous provisions dealing with the conditions for imposition of a suspended sentence and the consequences of failure to comply.  These provisions are distinct from those provisions in Part IB of the </w:t>
      </w:r>
      <w:r w:rsidR="00885EFD" w:rsidRPr="00763B59">
        <w:rPr>
          <w:rFonts w:asciiTheme="minorHAnsi" w:hAnsiTheme="minorHAnsi" w:cs="Arial"/>
          <w:i/>
          <w:szCs w:val="22"/>
          <w:lang w:val="en-AU"/>
        </w:rPr>
        <w:t>Crimes Act 1914</w:t>
      </w:r>
      <w:r w:rsidRPr="00763B59">
        <w:rPr>
          <w:rFonts w:asciiTheme="minorHAnsi" w:hAnsiTheme="minorHAnsi" w:cs="Arial"/>
          <w:i/>
          <w:szCs w:val="22"/>
          <w:lang w:val="en-AU"/>
        </w:rPr>
        <w:t xml:space="preserve"> </w:t>
      </w:r>
      <w:r w:rsidRPr="00763B59">
        <w:rPr>
          <w:rFonts w:asciiTheme="minorHAnsi" w:hAnsiTheme="minorHAnsi" w:cs="Arial"/>
          <w:szCs w:val="22"/>
          <w:lang w:val="en-AU"/>
        </w:rPr>
        <w:t>(Cth)</w:t>
      </w:r>
      <w:r w:rsidRPr="00763B59">
        <w:rPr>
          <w:rFonts w:asciiTheme="minorHAnsi" w:hAnsiTheme="minorHAnsi" w:cs="Arial"/>
          <w:i/>
          <w:szCs w:val="22"/>
          <w:lang w:val="en-AU"/>
        </w:rPr>
        <w:t xml:space="preserve"> </w:t>
      </w:r>
      <w:r w:rsidRPr="00763B59">
        <w:rPr>
          <w:rFonts w:asciiTheme="minorHAnsi" w:hAnsiTheme="minorHAnsi" w:cs="Arial"/>
          <w:szCs w:val="22"/>
          <w:lang w:val="en-AU"/>
        </w:rPr>
        <w:t xml:space="preserve">dealing with recognizances and support an interpretation of s 44 that limits the reference to suspended sentences so that it does not extend to Commonwealth sentences involving immediate release on a recognizance pursuant to s 20(1)(b). </w:t>
      </w:r>
    </w:p>
    <w:p w14:paraId="1D236192" w14:textId="77777777" w:rsidR="004B6680" w:rsidRPr="00763B59" w:rsidRDefault="004B6680" w:rsidP="004B6680">
      <w:pPr>
        <w:pStyle w:val="Body"/>
        <w:spacing w:line="276" w:lineRule="auto"/>
        <w:ind w:left="567" w:hanging="567"/>
        <w:jc w:val="both"/>
        <w:rPr>
          <w:rFonts w:asciiTheme="minorHAnsi" w:hAnsiTheme="minorHAnsi" w:cs="Arial"/>
          <w:szCs w:val="22"/>
          <w:lang w:val="en-AU"/>
        </w:rPr>
      </w:pPr>
    </w:p>
    <w:p w14:paraId="7162CD2B" w14:textId="187BE9A4" w:rsidR="004B6680" w:rsidRPr="00763B59" w:rsidRDefault="004B6680" w:rsidP="00EB7F1E">
      <w:pPr>
        <w:pStyle w:val="Body"/>
        <w:tabs>
          <w:tab w:val="clear" w:pos="284"/>
        </w:tabs>
        <w:spacing w:line="276" w:lineRule="auto"/>
        <w:jc w:val="both"/>
        <w:rPr>
          <w:rFonts w:asciiTheme="minorHAnsi" w:hAnsiTheme="minorHAnsi" w:cs="Arial"/>
          <w:szCs w:val="22"/>
          <w:lang w:val="en-AU"/>
        </w:rPr>
      </w:pPr>
      <w:r w:rsidRPr="00763B59">
        <w:rPr>
          <w:rFonts w:asciiTheme="minorHAnsi" w:hAnsiTheme="minorHAnsi" w:cs="Arial"/>
          <w:szCs w:val="22"/>
          <w:lang w:val="en-AU"/>
        </w:rPr>
        <w:t xml:space="preserve">On this interpretation, imposing a CCO on a </w:t>
      </w:r>
      <w:r w:rsidR="000B733F" w:rsidRPr="00763B59">
        <w:rPr>
          <w:rFonts w:asciiTheme="minorHAnsi" w:hAnsiTheme="minorHAnsi" w:cs="Arial"/>
          <w:szCs w:val="22"/>
          <w:lang w:val="en-AU"/>
        </w:rPr>
        <w:t>State</w:t>
      </w:r>
      <w:r w:rsidRPr="00763B59">
        <w:rPr>
          <w:rFonts w:asciiTheme="minorHAnsi" w:hAnsiTheme="minorHAnsi" w:cs="Arial"/>
          <w:szCs w:val="22"/>
          <w:lang w:val="en-AU"/>
        </w:rPr>
        <w:t xml:space="preserve"> charge and a </w:t>
      </w:r>
      <w:r w:rsidR="00D54B3F" w:rsidRPr="00763B59">
        <w:rPr>
          <w:rFonts w:asciiTheme="minorHAnsi" w:hAnsiTheme="minorHAnsi" w:cs="Arial"/>
          <w:szCs w:val="22"/>
          <w:lang w:val="en-AU"/>
        </w:rPr>
        <w:t>RRO</w:t>
      </w:r>
      <w:r w:rsidRPr="00763B59">
        <w:rPr>
          <w:rFonts w:asciiTheme="minorHAnsi" w:hAnsiTheme="minorHAnsi" w:cs="Arial"/>
          <w:szCs w:val="22"/>
          <w:lang w:val="en-AU"/>
        </w:rPr>
        <w:t xml:space="preserve"> on a federal charge would not be prohibited.  The </w:t>
      </w:r>
      <w:r w:rsidRPr="00763B59">
        <w:rPr>
          <w:rFonts w:asciiTheme="minorHAnsi" w:hAnsiTheme="minorHAnsi" w:cs="Arial"/>
          <w:i/>
          <w:szCs w:val="22"/>
          <w:lang w:val="en-AU"/>
        </w:rPr>
        <w:t xml:space="preserve">Sentencing Amendment (Abolition of Suspended Sentences and Other Matters) Act 2013 </w:t>
      </w:r>
      <w:r w:rsidRPr="00763B59">
        <w:rPr>
          <w:rFonts w:asciiTheme="minorHAnsi" w:hAnsiTheme="minorHAnsi" w:cs="Arial"/>
          <w:szCs w:val="22"/>
          <w:lang w:val="en-AU"/>
        </w:rPr>
        <w:t>(Vic)</w:t>
      </w:r>
      <w:r w:rsidRPr="00763B59">
        <w:rPr>
          <w:rFonts w:asciiTheme="minorHAnsi" w:hAnsiTheme="minorHAnsi" w:cs="Arial"/>
          <w:i/>
          <w:szCs w:val="22"/>
          <w:lang w:val="en-AU"/>
        </w:rPr>
        <w:t>,</w:t>
      </w:r>
      <w:r w:rsidRPr="00763B59">
        <w:rPr>
          <w:rFonts w:asciiTheme="minorHAnsi" w:hAnsiTheme="minorHAnsi" w:cs="Arial"/>
          <w:szCs w:val="22"/>
          <w:lang w:val="en-AU"/>
        </w:rPr>
        <w:t xml:space="preserve"> assented to on 4 June 2013, has the effect of abolishing the option of directing sentences imposed in higher courts on </w:t>
      </w:r>
      <w:r w:rsidR="000B733F" w:rsidRPr="00763B59">
        <w:rPr>
          <w:rFonts w:asciiTheme="minorHAnsi" w:hAnsiTheme="minorHAnsi" w:cs="Arial"/>
          <w:szCs w:val="22"/>
          <w:lang w:val="en-AU"/>
        </w:rPr>
        <w:t>State</w:t>
      </w:r>
      <w:r w:rsidRPr="00763B59">
        <w:rPr>
          <w:rFonts w:asciiTheme="minorHAnsi" w:hAnsiTheme="minorHAnsi" w:cs="Arial"/>
          <w:szCs w:val="22"/>
          <w:lang w:val="en-AU"/>
        </w:rPr>
        <w:t xml:space="preserve"> offences to be suspended for offences committed on or after 1 September 2013.</w:t>
      </w:r>
    </w:p>
    <w:p w14:paraId="7665CE1F" w14:textId="77777777" w:rsidR="004B6680" w:rsidRPr="00763B59" w:rsidRDefault="004B6680" w:rsidP="004B6680">
      <w:pPr>
        <w:pStyle w:val="Body"/>
        <w:spacing w:line="276" w:lineRule="auto"/>
        <w:ind w:left="567" w:hanging="567"/>
        <w:rPr>
          <w:rFonts w:asciiTheme="minorHAnsi" w:hAnsiTheme="minorHAnsi" w:cs="Arial"/>
          <w:szCs w:val="22"/>
          <w:lang w:val="en-AU"/>
        </w:rPr>
      </w:pPr>
    </w:p>
    <w:p w14:paraId="5F333528" w14:textId="77777777" w:rsidR="00434E55" w:rsidRPr="00434E55" w:rsidRDefault="00434E55" w:rsidP="00434E55">
      <w:pPr>
        <w:spacing w:line="276" w:lineRule="auto"/>
        <w:jc w:val="both"/>
        <w:rPr>
          <w:rFonts w:asciiTheme="minorHAnsi" w:hAnsiTheme="minorHAnsi" w:cstheme="minorHAnsi"/>
          <w:b/>
          <w:bCs/>
          <w:u w:val="single"/>
        </w:rPr>
      </w:pPr>
      <w:r w:rsidRPr="00434E55">
        <w:rPr>
          <w:rFonts w:asciiTheme="minorHAnsi" w:hAnsiTheme="minorHAnsi" w:cstheme="minorHAnsi"/>
          <w:b/>
          <w:bCs/>
          <w:u w:val="single"/>
        </w:rPr>
        <w:t>CCOs and a Justice Plan for Intellectually Disabled Offenders</w:t>
      </w:r>
    </w:p>
    <w:p w14:paraId="4A8B2FEC" w14:textId="77777777" w:rsidR="00434E55" w:rsidRDefault="00434E55" w:rsidP="00434E55">
      <w:pPr>
        <w:spacing w:line="276" w:lineRule="auto"/>
        <w:ind w:left="567"/>
      </w:pPr>
    </w:p>
    <w:p w14:paraId="58BA5C41" w14:textId="77777777" w:rsidR="00434E55" w:rsidRPr="00434E55" w:rsidRDefault="00434E55" w:rsidP="00434E55">
      <w:pPr>
        <w:spacing w:line="276" w:lineRule="auto"/>
        <w:ind w:left="142"/>
        <w:rPr>
          <w:rFonts w:asciiTheme="minorHAnsi" w:hAnsiTheme="minorHAnsi" w:cstheme="minorHAnsi"/>
        </w:rPr>
      </w:pPr>
      <w:r w:rsidRPr="00434E55">
        <w:rPr>
          <w:rFonts w:asciiTheme="minorHAnsi" w:hAnsiTheme="minorHAnsi" w:cstheme="minorHAnsi"/>
        </w:rPr>
        <w:t xml:space="preserve">Under the </w:t>
      </w:r>
      <w:r w:rsidRPr="00434E55">
        <w:rPr>
          <w:rFonts w:asciiTheme="minorHAnsi" w:hAnsiTheme="minorHAnsi" w:cstheme="minorHAnsi"/>
          <w:i/>
          <w:iCs/>
        </w:rPr>
        <w:t>Sentencing Act</w:t>
      </w:r>
      <w:r w:rsidRPr="00434E55">
        <w:rPr>
          <w:rFonts w:asciiTheme="minorHAnsi" w:hAnsiTheme="minorHAnsi" w:cstheme="minorHAnsi"/>
        </w:rPr>
        <w:t xml:space="preserve"> </w:t>
      </w:r>
      <w:r w:rsidRPr="00434E55">
        <w:rPr>
          <w:rFonts w:asciiTheme="minorHAnsi" w:hAnsiTheme="minorHAnsi" w:cstheme="minorHAnsi"/>
          <w:i/>
          <w:iCs/>
        </w:rPr>
        <w:t xml:space="preserve">1991 </w:t>
      </w:r>
      <w:r w:rsidRPr="00434E55">
        <w:rPr>
          <w:rFonts w:asciiTheme="minorHAnsi" w:hAnsiTheme="minorHAnsi" w:cstheme="minorHAnsi"/>
        </w:rPr>
        <w:t>(Vic) [Division 2 of Part 3BA]</w:t>
      </w:r>
      <w:r w:rsidRPr="00434E55">
        <w:rPr>
          <w:rFonts w:asciiTheme="minorHAnsi" w:hAnsiTheme="minorHAnsi" w:cstheme="minorHAnsi"/>
          <w:i/>
          <w:iCs/>
        </w:rPr>
        <w:t>,</w:t>
      </w:r>
      <w:r w:rsidRPr="00434E55">
        <w:rPr>
          <w:rFonts w:asciiTheme="minorHAnsi" w:hAnsiTheme="minorHAnsi" w:cstheme="minorHAnsi"/>
        </w:rPr>
        <w:t xml:space="preserve"> a court considering making a CCO or releasing an offender on adjournment may attach a condition directing the offender to participate in a Justice Plan.</w:t>
      </w:r>
    </w:p>
    <w:p w14:paraId="00721C8F" w14:textId="77777777" w:rsidR="00434E55" w:rsidRPr="00434E55" w:rsidRDefault="00434E55" w:rsidP="00434E55">
      <w:pPr>
        <w:spacing w:line="276" w:lineRule="auto"/>
        <w:ind w:left="142"/>
        <w:rPr>
          <w:rFonts w:asciiTheme="minorHAnsi" w:hAnsiTheme="minorHAnsi" w:cstheme="minorHAnsi"/>
        </w:rPr>
      </w:pPr>
      <w:r w:rsidRPr="00434E55">
        <w:rPr>
          <w:rFonts w:asciiTheme="minorHAnsi" w:hAnsiTheme="minorHAnsi" w:cstheme="minorHAnsi"/>
        </w:rPr>
        <w:t xml:space="preserve">It is the view of the CDPP that such a plan cannot be made as a condition of a CCO or recognizance release order for federal offenders.   </w:t>
      </w:r>
    </w:p>
    <w:p w14:paraId="34BE3F7D" w14:textId="77777777" w:rsidR="00434E55" w:rsidRPr="00434E55" w:rsidRDefault="00434E55" w:rsidP="00434E55">
      <w:pPr>
        <w:spacing w:line="276" w:lineRule="auto"/>
        <w:ind w:left="567" w:hanging="567"/>
        <w:contextualSpacing/>
        <w:jc w:val="both"/>
        <w:rPr>
          <w:rFonts w:asciiTheme="minorHAnsi" w:hAnsiTheme="minorHAnsi" w:cstheme="minorHAnsi"/>
        </w:rPr>
      </w:pPr>
    </w:p>
    <w:p w14:paraId="01967854" w14:textId="77777777" w:rsidR="00434E55" w:rsidRPr="00434E55" w:rsidRDefault="00434E55" w:rsidP="00434E55">
      <w:pPr>
        <w:spacing w:line="276" w:lineRule="auto"/>
        <w:ind w:left="142"/>
        <w:rPr>
          <w:rFonts w:asciiTheme="minorHAnsi" w:hAnsiTheme="minorHAnsi" w:cstheme="minorHAnsi"/>
        </w:rPr>
      </w:pPr>
      <w:r w:rsidRPr="00434E55">
        <w:rPr>
          <w:rFonts w:asciiTheme="minorHAnsi" w:hAnsiTheme="minorHAnsi" w:cstheme="minorHAnsi"/>
        </w:rPr>
        <w:t>The CDPP view is that the Court cannot impose a Justice Plan as part of a CCO for a federal offence.   Division 2 of Part 3BA of the</w:t>
      </w:r>
      <w:r w:rsidRPr="00434E55">
        <w:rPr>
          <w:rFonts w:asciiTheme="minorHAnsi" w:hAnsiTheme="minorHAnsi" w:cstheme="minorHAnsi"/>
          <w:i/>
          <w:iCs/>
        </w:rPr>
        <w:t xml:space="preserve"> Sentencing Act 1991</w:t>
      </w:r>
      <w:r w:rsidRPr="00434E55">
        <w:rPr>
          <w:rFonts w:asciiTheme="minorHAnsi" w:hAnsiTheme="minorHAnsi" w:cstheme="minorHAnsi"/>
        </w:rPr>
        <w:t xml:space="preserve"> (Vic) is entitled: </w:t>
      </w:r>
      <w:r w:rsidRPr="00434E55">
        <w:rPr>
          <w:rFonts w:asciiTheme="minorHAnsi" w:hAnsiTheme="minorHAnsi" w:cstheme="minorHAnsi"/>
          <w:i/>
          <w:iCs/>
        </w:rPr>
        <w:t>Division 2 – Intellectually disabled offenders</w:t>
      </w:r>
      <w:r w:rsidRPr="00434E55">
        <w:rPr>
          <w:rFonts w:asciiTheme="minorHAnsi" w:hAnsiTheme="minorHAnsi" w:cstheme="minorHAnsi"/>
        </w:rPr>
        <w:t>. </w:t>
      </w:r>
    </w:p>
    <w:p w14:paraId="0492EC4C" w14:textId="77777777" w:rsidR="00434E55" w:rsidRPr="00434E55" w:rsidRDefault="00434E55" w:rsidP="00434E55">
      <w:pPr>
        <w:spacing w:line="276" w:lineRule="auto"/>
        <w:ind w:left="142"/>
        <w:rPr>
          <w:rFonts w:asciiTheme="minorHAnsi" w:hAnsiTheme="minorHAnsi" w:cstheme="minorHAnsi"/>
        </w:rPr>
      </w:pPr>
      <w:r w:rsidRPr="00434E55">
        <w:rPr>
          <w:rFonts w:asciiTheme="minorHAnsi" w:hAnsiTheme="minorHAnsi" w:cstheme="minorHAnsi"/>
        </w:rPr>
        <w:t xml:space="preserve">The </w:t>
      </w:r>
      <w:r w:rsidRPr="00434E55">
        <w:rPr>
          <w:rFonts w:asciiTheme="minorHAnsi" w:hAnsiTheme="minorHAnsi" w:cstheme="minorHAnsi"/>
          <w:i/>
          <w:iCs/>
        </w:rPr>
        <w:t>Crimes Act 1914</w:t>
      </w:r>
      <w:r w:rsidRPr="00434E55">
        <w:rPr>
          <w:rFonts w:asciiTheme="minorHAnsi" w:hAnsiTheme="minorHAnsi" w:cstheme="minorHAnsi"/>
        </w:rPr>
        <w:t xml:space="preserve"> (Cth) has otherwise provided for the sentencing of persons suffering from mental illness or intellectual disability.  Division 9 of the </w:t>
      </w:r>
      <w:r w:rsidRPr="00434E55">
        <w:rPr>
          <w:rFonts w:asciiTheme="minorHAnsi" w:hAnsiTheme="minorHAnsi" w:cstheme="minorHAnsi"/>
          <w:i/>
          <w:iCs/>
        </w:rPr>
        <w:t>Crimes Act 1914</w:t>
      </w:r>
      <w:r w:rsidRPr="00434E55">
        <w:rPr>
          <w:rFonts w:asciiTheme="minorHAnsi" w:hAnsiTheme="minorHAnsi" w:cstheme="minorHAnsi"/>
        </w:rPr>
        <w:t xml:space="preserve"> (Cth) is entitled </w:t>
      </w:r>
      <w:r w:rsidRPr="00434E55">
        <w:rPr>
          <w:rFonts w:asciiTheme="minorHAnsi" w:hAnsiTheme="minorHAnsi" w:cstheme="minorHAnsi"/>
          <w:i/>
          <w:iCs/>
        </w:rPr>
        <w:t>“sentencing alternatives for persons suffering from mental illness or intellectual disability”</w:t>
      </w:r>
      <w:r w:rsidRPr="00434E55">
        <w:rPr>
          <w:rFonts w:asciiTheme="minorHAnsi" w:hAnsiTheme="minorHAnsi" w:cstheme="minorHAnsi"/>
        </w:rPr>
        <w:t xml:space="preserve">. </w:t>
      </w:r>
    </w:p>
    <w:p w14:paraId="137FDD2B" w14:textId="77777777" w:rsidR="00434E55" w:rsidRPr="00434E55" w:rsidRDefault="00434E55" w:rsidP="00434E55">
      <w:pPr>
        <w:spacing w:line="276" w:lineRule="auto"/>
        <w:ind w:left="142"/>
        <w:rPr>
          <w:rFonts w:asciiTheme="minorHAnsi" w:hAnsiTheme="minorHAnsi" w:cstheme="minorHAnsi"/>
        </w:rPr>
      </w:pPr>
      <w:r w:rsidRPr="00434E55">
        <w:rPr>
          <w:rFonts w:asciiTheme="minorHAnsi" w:hAnsiTheme="minorHAnsi" w:cstheme="minorHAnsi"/>
        </w:rPr>
        <w:t>It sets out a regime for sentencing persons with such conditions in ss 20BS – 20BY.  These provisions impliedly exclude the operation of alternative State laws relating to the sentencing of persons suffering from an intellectual disability.</w:t>
      </w:r>
    </w:p>
    <w:p w14:paraId="5F29A0D3" w14:textId="77777777" w:rsidR="004B6680" w:rsidRPr="00266F5E" w:rsidRDefault="004B6680" w:rsidP="00434E55">
      <w:pPr>
        <w:pStyle w:val="ListParagraph"/>
        <w:tabs>
          <w:tab w:val="left" w:pos="0"/>
        </w:tabs>
        <w:spacing w:line="276" w:lineRule="auto"/>
        <w:ind w:left="0"/>
        <w:rPr>
          <w:rFonts w:asciiTheme="minorHAnsi" w:hAnsiTheme="minorHAnsi"/>
          <w:highlight w:val="yellow"/>
        </w:rPr>
      </w:pPr>
    </w:p>
    <w:p w14:paraId="114877D2" w14:textId="77777777" w:rsidR="001F7CF9" w:rsidRDefault="001F7CF9" w:rsidP="001F7CF9">
      <w:pPr>
        <w:spacing w:line="276" w:lineRule="auto"/>
        <w:ind w:left="-153"/>
        <w:jc w:val="both"/>
        <w:outlineLvl w:val="2"/>
        <w:rPr>
          <w:rFonts w:asciiTheme="minorHAnsi" w:hAnsiTheme="minorHAnsi"/>
          <w:b/>
          <w:szCs w:val="22"/>
          <w:u w:val="single"/>
        </w:rPr>
      </w:pPr>
      <w:bookmarkStart w:id="3594" w:name="_Toc517703080"/>
    </w:p>
    <w:bookmarkEnd w:id="3594"/>
    <w:p w14:paraId="65AF686F" w14:textId="77777777" w:rsidR="001F7CF9" w:rsidRPr="001F7CF9" w:rsidRDefault="001F7CF9" w:rsidP="001F7CF9">
      <w:pPr>
        <w:tabs>
          <w:tab w:val="left" w:pos="0"/>
        </w:tabs>
        <w:spacing w:line="276" w:lineRule="auto"/>
        <w:ind w:left="873"/>
        <w:contextualSpacing/>
        <w:jc w:val="both"/>
        <w:rPr>
          <w:rFonts w:asciiTheme="minorHAnsi" w:hAnsiTheme="minorHAnsi"/>
        </w:rPr>
      </w:pPr>
    </w:p>
    <w:p w14:paraId="5B0BA0CF" w14:textId="5C80D45A" w:rsidR="004B6680" w:rsidRPr="00434E55" w:rsidRDefault="004B6680">
      <w:pPr>
        <w:pStyle w:val="Heading3"/>
        <w:numPr>
          <w:ilvl w:val="0"/>
          <w:numId w:val="0"/>
        </w:numPr>
        <w:ind w:left="-153"/>
      </w:pPr>
      <w:bookmarkStart w:id="3595" w:name="_Toc33603007"/>
      <w:r w:rsidRPr="00434E55">
        <w:t xml:space="preserve">Imprisonment for a federal offence and CCO for a </w:t>
      </w:r>
      <w:r w:rsidR="000B733F" w:rsidRPr="00434E55">
        <w:t>State</w:t>
      </w:r>
      <w:r w:rsidRPr="00434E55">
        <w:t xml:space="preserve"> offence</w:t>
      </w:r>
      <w:bookmarkEnd w:id="3595"/>
    </w:p>
    <w:p w14:paraId="6824FD17" w14:textId="77777777" w:rsidR="004B6680" w:rsidRPr="00434E55" w:rsidRDefault="004B6680" w:rsidP="00EB7F1E">
      <w:pPr>
        <w:pStyle w:val="Body"/>
        <w:keepNext/>
        <w:tabs>
          <w:tab w:val="clear" w:pos="284"/>
        </w:tabs>
        <w:spacing w:line="276" w:lineRule="auto"/>
        <w:ind w:left="567"/>
        <w:jc w:val="both"/>
        <w:rPr>
          <w:rFonts w:asciiTheme="minorHAnsi" w:hAnsiTheme="minorHAnsi"/>
          <w:u w:val="single"/>
          <w:lang w:val="en-AU"/>
        </w:rPr>
      </w:pPr>
    </w:p>
    <w:p w14:paraId="6E0E37AA" w14:textId="282C9193" w:rsidR="004B6680" w:rsidRDefault="004B6680" w:rsidP="00EB7F1E">
      <w:pPr>
        <w:widowControl w:val="0"/>
        <w:spacing w:line="276" w:lineRule="auto"/>
        <w:ind w:left="142"/>
        <w:jc w:val="both"/>
        <w:rPr>
          <w:rFonts w:asciiTheme="minorHAnsi" w:hAnsiTheme="minorHAnsi"/>
        </w:rPr>
      </w:pPr>
      <w:r w:rsidRPr="00434E55">
        <w:rPr>
          <w:rFonts w:asciiTheme="minorHAnsi" w:hAnsiTheme="minorHAnsi"/>
        </w:rPr>
        <w:t xml:space="preserve">Where a term of imprisonment is imposed for one federal offence and a CCO ordered for a </w:t>
      </w:r>
      <w:r w:rsidR="000B733F" w:rsidRPr="00434E55">
        <w:rPr>
          <w:rFonts w:asciiTheme="minorHAnsi" w:hAnsiTheme="minorHAnsi"/>
        </w:rPr>
        <w:t>State</w:t>
      </w:r>
      <w:r w:rsidRPr="00434E55">
        <w:rPr>
          <w:rFonts w:asciiTheme="minorHAnsi" w:hAnsiTheme="minorHAnsi"/>
        </w:rPr>
        <w:t xml:space="preserve"> offence (to which s 44 applies), the question of the commencement date of that CCO arises.  Section 38(2) of the </w:t>
      </w:r>
      <w:r w:rsidRPr="00434E55">
        <w:rPr>
          <w:rFonts w:asciiTheme="minorHAnsi" w:hAnsiTheme="minorHAnsi"/>
          <w:i/>
        </w:rPr>
        <w:t>Sentencing Act 1991</w:t>
      </w:r>
      <w:r w:rsidRPr="00434E55">
        <w:rPr>
          <w:rFonts w:asciiTheme="minorHAnsi" w:hAnsiTheme="minorHAnsi"/>
        </w:rPr>
        <w:t xml:space="preserve"> (Vic) contains an exception to the 3-month deadline for the commencement of CCOs in circumstances where a combination sentence (in accordance with s 44) is imposed for a </w:t>
      </w:r>
      <w:r w:rsidR="000B733F" w:rsidRPr="00434E55">
        <w:rPr>
          <w:rFonts w:asciiTheme="minorHAnsi" w:hAnsiTheme="minorHAnsi"/>
        </w:rPr>
        <w:t>State</w:t>
      </w:r>
      <w:r w:rsidRPr="00434E55">
        <w:rPr>
          <w:rFonts w:asciiTheme="minorHAnsi" w:hAnsiTheme="minorHAnsi"/>
        </w:rPr>
        <w:t xml:space="preserve"> offence.  The exception is set out in s 44(3) which provides that the 3-month rule is not applicable where a person is serving a term of imprisonment pursuant to a s 44 combination sentence.  In those circumstances, the CCO commences upon release from imprisonment regardless of whether it is more than 3 months from the date of sentence.  Accordingly, the CCO imposed as part of a s 44 combination sentence on a </w:t>
      </w:r>
      <w:r w:rsidR="000B733F" w:rsidRPr="00434E55">
        <w:rPr>
          <w:rFonts w:asciiTheme="minorHAnsi" w:hAnsiTheme="minorHAnsi"/>
        </w:rPr>
        <w:t>State</w:t>
      </w:r>
      <w:r w:rsidRPr="00434E55">
        <w:rPr>
          <w:rFonts w:asciiTheme="minorHAnsi" w:hAnsiTheme="minorHAnsi"/>
        </w:rPr>
        <w:t xml:space="preserve"> offence would commence upon the release of a person from imprisonment independent of the end date of the imprisonment imposed for the federal offence.</w:t>
      </w:r>
      <w:r w:rsidRPr="00C00000">
        <w:rPr>
          <w:rFonts w:asciiTheme="minorHAnsi" w:hAnsiTheme="minorHAnsi"/>
        </w:rPr>
        <w:t xml:space="preserve"> </w:t>
      </w:r>
    </w:p>
    <w:bookmarkEnd w:id="3582"/>
    <w:p w14:paraId="45B9DF6C" w14:textId="5C281924" w:rsidR="00A32581" w:rsidRDefault="00A32581">
      <w:pPr>
        <w:rPr>
          <w:rFonts w:asciiTheme="minorHAnsi" w:hAnsiTheme="minorHAnsi"/>
        </w:rPr>
      </w:pPr>
      <w:r>
        <w:rPr>
          <w:rFonts w:asciiTheme="minorHAnsi" w:hAnsiTheme="minorHAnsi"/>
        </w:rPr>
        <w:br w:type="page"/>
      </w:r>
    </w:p>
    <w:p w14:paraId="1A7F8B57" w14:textId="717BE323" w:rsidR="00A32581" w:rsidRPr="00434E55" w:rsidRDefault="00A32581" w:rsidP="00A32581">
      <w:pPr>
        <w:pStyle w:val="Heading1"/>
        <w:keepNext/>
        <w:numPr>
          <w:ilvl w:val="0"/>
          <w:numId w:val="0"/>
        </w:numPr>
        <w:spacing w:line="276" w:lineRule="auto"/>
        <w:rPr>
          <w:rFonts w:asciiTheme="minorHAnsi" w:hAnsiTheme="minorHAnsi"/>
          <w:sz w:val="24"/>
          <w:szCs w:val="24"/>
        </w:rPr>
      </w:pPr>
      <w:bookmarkStart w:id="3596" w:name="_Ref11773525"/>
      <w:bookmarkStart w:id="3597" w:name="_Toc33603008"/>
      <w:r w:rsidRPr="00434E55">
        <w:rPr>
          <w:rFonts w:asciiTheme="minorHAnsi" w:hAnsiTheme="minorHAnsi"/>
          <w:sz w:val="24"/>
          <w:szCs w:val="24"/>
        </w:rPr>
        <w:t>Appendix 5: Fitness to plead and fitness to be tried: procedures and orders</w:t>
      </w:r>
      <w:bookmarkEnd w:id="3596"/>
      <w:bookmarkEnd w:id="3597"/>
    </w:p>
    <w:p w14:paraId="2A1143A7" w14:textId="77777777" w:rsidR="00A32581" w:rsidRPr="00434E55" w:rsidRDefault="00A32581" w:rsidP="00A32581">
      <w:pPr>
        <w:keepNext/>
        <w:spacing w:line="276" w:lineRule="auto"/>
        <w:ind w:left="916"/>
        <w:rPr>
          <w:rFonts w:asciiTheme="minorHAnsi" w:hAnsiTheme="minorHAnsi"/>
          <w:szCs w:val="22"/>
        </w:rPr>
      </w:pPr>
    </w:p>
    <w:p w14:paraId="7CE9A863" w14:textId="68EE31B2" w:rsidR="00A32581" w:rsidRPr="00434E55" w:rsidRDefault="00554156" w:rsidP="00F32477">
      <w:pPr>
        <w:pStyle w:val="Body"/>
        <w:tabs>
          <w:tab w:val="clear" w:pos="284"/>
        </w:tabs>
        <w:spacing w:line="276" w:lineRule="auto"/>
        <w:jc w:val="both"/>
        <w:rPr>
          <w:rFonts w:asciiTheme="minorHAnsi" w:hAnsiTheme="minorHAnsi"/>
        </w:rPr>
      </w:pPr>
      <w:r w:rsidRPr="00434E55">
        <w:rPr>
          <w:rFonts w:asciiTheme="minorHAnsi" w:hAnsiTheme="minorHAnsi"/>
        </w:rPr>
        <w:t xml:space="preserve">Division 6 of Part IB of the </w:t>
      </w:r>
      <w:r w:rsidRPr="00434E55">
        <w:rPr>
          <w:rFonts w:asciiTheme="minorHAnsi" w:hAnsiTheme="minorHAnsi"/>
          <w:i/>
          <w:iCs/>
        </w:rPr>
        <w:t>Crimes Act 1914</w:t>
      </w:r>
      <w:r w:rsidRPr="00434E55">
        <w:rPr>
          <w:rFonts w:asciiTheme="minorHAnsi" w:hAnsiTheme="minorHAnsi"/>
        </w:rPr>
        <w:t xml:space="preserve"> (Cth) sets out </w:t>
      </w:r>
      <w:r w:rsidR="00F32477" w:rsidRPr="00434E55">
        <w:rPr>
          <w:rFonts w:asciiTheme="minorHAnsi" w:hAnsiTheme="minorHAnsi"/>
        </w:rPr>
        <w:t xml:space="preserve">procedures and </w:t>
      </w:r>
      <w:r w:rsidR="00A32581" w:rsidRPr="00434E55">
        <w:rPr>
          <w:rFonts w:asciiTheme="minorHAnsi" w:hAnsiTheme="minorHAnsi"/>
        </w:rPr>
        <w:t xml:space="preserve">powers </w:t>
      </w:r>
      <w:r w:rsidRPr="00434E55">
        <w:rPr>
          <w:rFonts w:asciiTheme="minorHAnsi" w:hAnsiTheme="minorHAnsi"/>
        </w:rPr>
        <w:t>when issues of fitness to plead or fitness to be tried arise in committal proceedings and proceedings on indictment for federal offences.  The</w:t>
      </w:r>
      <w:r w:rsidR="002D684D" w:rsidRPr="00434E55">
        <w:rPr>
          <w:rFonts w:asciiTheme="minorHAnsi" w:hAnsiTheme="minorHAnsi"/>
        </w:rPr>
        <w:t>se</w:t>
      </w:r>
      <w:r w:rsidRPr="00434E55">
        <w:rPr>
          <w:rFonts w:asciiTheme="minorHAnsi" w:hAnsiTheme="minorHAnsi"/>
        </w:rPr>
        <w:t xml:space="preserve"> procedures and powers </w:t>
      </w:r>
      <w:r w:rsidR="00A32581" w:rsidRPr="00434E55">
        <w:rPr>
          <w:rFonts w:asciiTheme="minorHAnsi" w:hAnsiTheme="minorHAnsi"/>
        </w:rPr>
        <w:t>are s</w:t>
      </w:r>
      <w:r w:rsidR="00F32477" w:rsidRPr="00434E55">
        <w:rPr>
          <w:rFonts w:asciiTheme="minorHAnsi" w:hAnsiTheme="minorHAnsi"/>
        </w:rPr>
        <w:t>ummarised</w:t>
      </w:r>
      <w:r w:rsidR="00A32581" w:rsidRPr="00434E55">
        <w:rPr>
          <w:rFonts w:asciiTheme="minorHAnsi" w:hAnsiTheme="minorHAnsi"/>
        </w:rPr>
        <w:t xml:space="preserve"> in the following boxes. The text should be read in conjunction with the general discussion in </w:t>
      </w:r>
      <w:r w:rsidR="00F32477" w:rsidRPr="00434E55">
        <w:rPr>
          <w:rFonts w:asciiTheme="minorHAnsi" w:hAnsiTheme="minorHAnsi"/>
        </w:rPr>
        <w:t>“</w:t>
      </w:r>
      <w:r w:rsidR="00F32477" w:rsidRPr="00434E55">
        <w:rPr>
          <w:rFonts w:asciiTheme="minorHAnsi" w:hAnsiTheme="minorHAnsi"/>
        </w:rPr>
        <w:fldChar w:fldCharType="begin"/>
      </w:r>
      <w:r w:rsidR="00F32477" w:rsidRPr="00434E55">
        <w:rPr>
          <w:rFonts w:asciiTheme="minorHAnsi" w:hAnsiTheme="minorHAnsi"/>
        </w:rPr>
        <w:instrText xml:space="preserve"> REF _Ref11738226 \r \h </w:instrText>
      </w:r>
      <w:r w:rsidR="00CC791F" w:rsidRPr="00434E55">
        <w:rPr>
          <w:rFonts w:asciiTheme="minorHAnsi" w:hAnsiTheme="minorHAnsi"/>
        </w:rPr>
        <w:instrText xml:space="preserve"> \* MERGEFORMAT </w:instrText>
      </w:r>
      <w:r w:rsidR="00F32477" w:rsidRPr="00434E55">
        <w:rPr>
          <w:rFonts w:asciiTheme="minorHAnsi" w:hAnsiTheme="minorHAnsi"/>
        </w:rPr>
      </w:r>
      <w:r w:rsidR="00F32477" w:rsidRPr="00434E55">
        <w:rPr>
          <w:rFonts w:asciiTheme="minorHAnsi" w:hAnsiTheme="minorHAnsi"/>
        </w:rPr>
        <w:fldChar w:fldCharType="separate"/>
      </w:r>
      <w:r w:rsidR="00D44BCF">
        <w:rPr>
          <w:rFonts w:asciiTheme="minorHAnsi" w:hAnsiTheme="minorHAnsi"/>
        </w:rPr>
        <w:t>8.4.1</w:t>
      </w:r>
      <w:r w:rsidR="00F32477" w:rsidRPr="00434E55">
        <w:rPr>
          <w:rFonts w:asciiTheme="minorHAnsi" w:hAnsiTheme="minorHAnsi"/>
        </w:rPr>
        <w:fldChar w:fldCharType="end"/>
      </w:r>
      <w:r w:rsidR="00F32477" w:rsidRPr="00434E55">
        <w:rPr>
          <w:rFonts w:asciiTheme="minorHAnsi" w:hAnsiTheme="minorHAnsi"/>
        </w:rPr>
        <w:t xml:space="preserve"> </w:t>
      </w:r>
      <w:r w:rsidR="00F32477" w:rsidRPr="00434E55">
        <w:rPr>
          <w:rFonts w:asciiTheme="minorHAnsi" w:hAnsiTheme="minorHAnsi"/>
        </w:rPr>
        <w:fldChar w:fldCharType="begin"/>
      </w:r>
      <w:r w:rsidR="00F32477" w:rsidRPr="00434E55">
        <w:rPr>
          <w:rFonts w:asciiTheme="minorHAnsi" w:hAnsiTheme="minorHAnsi"/>
        </w:rPr>
        <w:instrText xml:space="preserve"> REF _Ref11738228 \h </w:instrText>
      </w:r>
      <w:r w:rsidR="00CC791F" w:rsidRPr="00434E55">
        <w:rPr>
          <w:rFonts w:asciiTheme="minorHAnsi" w:hAnsiTheme="minorHAnsi"/>
        </w:rPr>
        <w:instrText xml:space="preserve"> \* MERGEFORMAT </w:instrText>
      </w:r>
      <w:r w:rsidR="00F32477" w:rsidRPr="00434E55">
        <w:rPr>
          <w:rFonts w:asciiTheme="minorHAnsi" w:hAnsiTheme="minorHAnsi"/>
        </w:rPr>
      </w:r>
      <w:r w:rsidR="00F32477" w:rsidRPr="00434E55">
        <w:rPr>
          <w:rFonts w:asciiTheme="minorHAnsi" w:hAnsiTheme="minorHAnsi"/>
        </w:rPr>
        <w:fldChar w:fldCharType="separate"/>
      </w:r>
      <w:r w:rsidR="00D44BCF" w:rsidRPr="00D44BCF">
        <w:rPr>
          <w:rFonts w:asciiTheme="minorHAnsi" w:hAnsiTheme="minorHAnsi"/>
        </w:rPr>
        <w:t>Unfitness in commital proceedings and on indictment</w:t>
      </w:r>
      <w:r w:rsidR="00F32477" w:rsidRPr="00434E55">
        <w:rPr>
          <w:rFonts w:asciiTheme="minorHAnsi" w:hAnsiTheme="minorHAnsi"/>
        </w:rPr>
        <w:fldChar w:fldCharType="end"/>
      </w:r>
      <w:r w:rsidR="00F32477" w:rsidRPr="00434E55">
        <w:rPr>
          <w:rFonts w:asciiTheme="minorHAnsi" w:hAnsiTheme="minorHAnsi"/>
        </w:rPr>
        <w:t>”.</w:t>
      </w:r>
    </w:p>
    <w:p w14:paraId="22960AC2" w14:textId="77777777" w:rsidR="00F32477" w:rsidRPr="00434E55" w:rsidRDefault="00F32477" w:rsidP="00EB7F1E">
      <w:pPr>
        <w:pStyle w:val="Body"/>
        <w:tabs>
          <w:tab w:val="clear" w:pos="284"/>
        </w:tabs>
        <w:spacing w:line="276" w:lineRule="auto"/>
        <w:jc w:val="both"/>
        <w:rPr>
          <w:rFonts w:asciiTheme="minorHAnsi" w:hAnsiTheme="minorHAnsi"/>
        </w:rPr>
      </w:pPr>
    </w:p>
    <w:tbl>
      <w:tblPr>
        <w:tblW w:w="0" w:type="auto"/>
        <w:tblInd w:w="392" w:type="dxa"/>
        <w:tblBorders>
          <w:top w:val="single" w:sz="4" w:space="0" w:color="auto"/>
          <w:left w:val="single" w:sz="4" w:space="0" w:color="auto"/>
          <w:bottom w:val="single" w:sz="4" w:space="0" w:color="auto"/>
          <w:right w:val="single" w:sz="4" w:space="0" w:color="auto"/>
        </w:tblBorders>
        <w:shd w:val="clear" w:color="auto" w:fill="F2F2F2" w:themeFill="background1" w:themeFillShade="F2"/>
        <w:tblLook w:val="04A0" w:firstRow="1" w:lastRow="0" w:firstColumn="1" w:lastColumn="0" w:noHBand="0" w:noVBand="1"/>
      </w:tblPr>
      <w:tblGrid>
        <w:gridCol w:w="9237"/>
      </w:tblGrid>
      <w:tr w:rsidR="00554156" w:rsidRPr="00434E55" w14:paraId="261D4A3F" w14:textId="77777777" w:rsidTr="00EB7F1E">
        <w:trPr>
          <w:tblHeader/>
        </w:trPr>
        <w:tc>
          <w:tcPr>
            <w:tcW w:w="0" w:type="auto"/>
            <w:shd w:val="clear" w:color="auto" w:fill="F2F2F2" w:themeFill="background1" w:themeFillShade="F2"/>
          </w:tcPr>
          <w:p w14:paraId="6E3FF169" w14:textId="77777777" w:rsidR="00554156" w:rsidRPr="00434E55" w:rsidRDefault="00554156" w:rsidP="00EB7F1E">
            <w:pPr>
              <w:spacing w:before="60" w:after="60"/>
              <w:rPr>
                <w:rFonts w:ascii="Calibri" w:hAnsi="Calibri" w:cstheme="minorHAnsi"/>
              </w:rPr>
            </w:pPr>
            <w:r w:rsidRPr="00434E55">
              <w:rPr>
                <w:rFonts w:ascii="Calibri" w:hAnsi="Calibri" w:cstheme="minorHAnsi"/>
                <w:b/>
                <w:bCs/>
              </w:rPr>
              <w:t>Box 1:   Question of fitness to be tried arises at committal</w:t>
            </w:r>
            <w:r w:rsidRPr="00434E55">
              <w:rPr>
                <w:rFonts w:ascii="Calibri" w:hAnsi="Calibri" w:cstheme="minorHAnsi"/>
                <w:b/>
              </w:rPr>
              <w:t xml:space="preserve"> stage – assessing fitness</w:t>
            </w:r>
          </w:p>
        </w:tc>
      </w:tr>
      <w:tr w:rsidR="00554156" w:rsidRPr="00B97CA2" w14:paraId="03B0AF51" w14:textId="77777777" w:rsidTr="00EB7F1E">
        <w:tc>
          <w:tcPr>
            <w:tcW w:w="0" w:type="auto"/>
            <w:shd w:val="clear" w:color="auto" w:fill="F2F2F2" w:themeFill="background1" w:themeFillShade="F2"/>
          </w:tcPr>
          <w:p w14:paraId="361D468F" w14:textId="3CA73E75" w:rsidR="00554156" w:rsidRPr="00434E55" w:rsidRDefault="00554156" w:rsidP="00EB7F1E">
            <w:pPr>
              <w:pStyle w:val="ListParagraph"/>
              <w:numPr>
                <w:ilvl w:val="0"/>
                <w:numId w:val="177"/>
              </w:numPr>
              <w:spacing w:line="276" w:lineRule="auto"/>
              <w:ind w:left="527" w:hanging="357"/>
              <w:jc w:val="left"/>
              <w:rPr>
                <w:rFonts w:ascii="Calibri" w:hAnsi="Calibri" w:cstheme="minorHAnsi"/>
              </w:rPr>
            </w:pPr>
            <w:r w:rsidRPr="00434E55">
              <w:rPr>
                <w:rFonts w:ascii="Calibri" w:hAnsi="Calibri" w:cstheme="minorHAnsi"/>
              </w:rPr>
              <w:t>If the prosecution, defendant or defendant</w:t>
            </w:r>
            <w:r w:rsidR="00AA693C" w:rsidRPr="00434E55">
              <w:rPr>
                <w:rFonts w:ascii="Calibri" w:hAnsi="Calibri" w:cstheme="minorHAnsi"/>
              </w:rPr>
              <w:t>’</w:t>
            </w:r>
            <w:r w:rsidRPr="00434E55">
              <w:rPr>
                <w:rFonts w:ascii="Calibri" w:hAnsi="Calibri" w:cstheme="minorHAnsi"/>
              </w:rPr>
              <w:t>s lawyer raises the question of the defendant</w:t>
            </w:r>
            <w:r w:rsidR="00AA693C" w:rsidRPr="00434E55">
              <w:rPr>
                <w:rFonts w:ascii="Calibri" w:hAnsi="Calibri" w:cstheme="minorHAnsi"/>
              </w:rPr>
              <w:t>’</w:t>
            </w:r>
            <w:r w:rsidRPr="00434E55">
              <w:rPr>
                <w:rFonts w:ascii="Calibri" w:hAnsi="Calibri" w:cstheme="minorHAnsi"/>
              </w:rPr>
              <w:t>s fitness to be tried in a committal for a federal offence on indictment, the magistrate must refer the proceedings to the court to which the proceedings would have been referred had the person been committed for trial (“the court”) (s 20B(1)).</w:t>
            </w:r>
          </w:p>
          <w:p w14:paraId="1C28BE08" w14:textId="522CC4FC" w:rsidR="00554156" w:rsidRPr="00434E55" w:rsidRDefault="00554156" w:rsidP="00EB7F1E">
            <w:pPr>
              <w:pStyle w:val="ListParagraph"/>
              <w:numPr>
                <w:ilvl w:val="0"/>
                <w:numId w:val="177"/>
              </w:numPr>
              <w:spacing w:line="276" w:lineRule="auto"/>
              <w:ind w:left="527" w:hanging="357"/>
              <w:jc w:val="left"/>
              <w:rPr>
                <w:rFonts w:ascii="Calibri" w:hAnsi="Calibri" w:cstheme="minorHAnsi"/>
              </w:rPr>
            </w:pPr>
            <w:r w:rsidRPr="00434E55">
              <w:rPr>
                <w:rFonts w:ascii="Calibri" w:hAnsi="Calibri" w:cstheme="minorHAnsi"/>
              </w:rPr>
              <w:t>The magistrate may order the defendant</w:t>
            </w:r>
            <w:r w:rsidR="00AA693C" w:rsidRPr="00434E55">
              <w:rPr>
                <w:rFonts w:ascii="Calibri" w:hAnsi="Calibri" w:cstheme="minorHAnsi"/>
              </w:rPr>
              <w:t>’</w:t>
            </w:r>
            <w:r w:rsidRPr="00434E55">
              <w:rPr>
                <w:rFonts w:ascii="Calibri" w:hAnsi="Calibri" w:cstheme="minorHAnsi"/>
              </w:rPr>
              <w:t>s detention in prison or hospital but only for so long as is reasonably necessary to allow the court to deal with the matter (s 20B(4)).</w:t>
            </w:r>
          </w:p>
          <w:p w14:paraId="620F09D4" w14:textId="77777777" w:rsidR="00554156" w:rsidRPr="00434E55" w:rsidRDefault="00554156" w:rsidP="00EB7F1E">
            <w:pPr>
              <w:pStyle w:val="ListParagraph"/>
              <w:numPr>
                <w:ilvl w:val="0"/>
                <w:numId w:val="177"/>
              </w:numPr>
              <w:spacing w:line="276" w:lineRule="auto"/>
              <w:ind w:left="527" w:hanging="357"/>
              <w:jc w:val="left"/>
              <w:rPr>
                <w:rFonts w:ascii="Calibri" w:hAnsi="Calibri" w:cstheme="minorHAnsi"/>
              </w:rPr>
            </w:pPr>
            <w:r w:rsidRPr="00434E55">
              <w:rPr>
                <w:rFonts w:ascii="Calibri" w:hAnsi="Calibri" w:cstheme="minorHAnsi"/>
              </w:rPr>
              <w:t>If the court finds the defendant fit to be tried, it must remit proceedings to the magistrate and the committal must continue as soon as practicable (s 20B(2)).</w:t>
            </w:r>
          </w:p>
          <w:p w14:paraId="75F8EA72" w14:textId="3AF3D817" w:rsidR="00554156" w:rsidRPr="00434E55" w:rsidRDefault="00554156" w:rsidP="00EB7F1E">
            <w:pPr>
              <w:pStyle w:val="ListParagraph"/>
              <w:numPr>
                <w:ilvl w:val="0"/>
                <w:numId w:val="177"/>
              </w:numPr>
              <w:spacing w:line="276" w:lineRule="auto"/>
              <w:ind w:left="527" w:hanging="357"/>
              <w:jc w:val="left"/>
              <w:rPr>
                <w:rFonts w:ascii="Calibri" w:hAnsi="Calibri" w:cstheme="minorHAnsi"/>
              </w:rPr>
            </w:pPr>
            <w:r w:rsidRPr="00434E55">
              <w:rPr>
                <w:rFonts w:ascii="Calibri" w:hAnsi="Calibri" w:cstheme="minorHAnsi"/>
              </w:rPr>
              <w:t xml:space="preserve">The court will decide the question of fitness (s 20B(2) and (3)).  If the State/Territory law provides a procedure for determining unfitness when it </w:t>
            </w:r>
            <w:r w:rsidR="00B7433C" w:rsidRPr="00434E55">
              <w:rPr>
                <w:rFonts w:ascii="Calibri" w:hAnsi="Calibri" w:cstheme="minorHAnsi"/>
              </w:rPr>
              <w:t>i</w:t>
            </w:r>
            <w:r w:rsidRPr="00434E55">
              <w:rPr>
                <w:rFonts w:ascii="Calibri" w:hAnsi="Calibri" w:cstheme="minorHAnsi"/>
              </w:rPr>
              <w:t>s raised during committal, it may apply, provided there is no inconsistency with Commonwealth law.</w:t>
            </w:r>
            <w:r w:rsidR="00FA1C50" w:rsidRPr="00434E55">
              <w:rPr>
                <w:rStyle w:val="Style"/>
              </w:rPr>
              <w:footnoteReference w:id="1226"/>
            </w:r>
            <w:r w:rsidRPr="00434E55">
              <w:rPr>
                <w:rFonts w:ascii="Calibri" w:hAnsi="Calibri" w:cstheme="minorHAnsi"/>
              </w:rPr>
              <w:t xml:space="preserve"> </w:t>
            </w:r>
          </w:p>
          <w:p w14:paraId="4CB62B87" w14:textId="28D8CB6F" w:rsidR="000B7CA9" w:rsidRPr="00434E55" w:rsidRDefault="00554156" w:rsidP="00EB7F1E">
            <w:pPr>
              <w:pStyle w:val="ListParagraph"/>
              <w:numPr>
                <w:ilvl w:val="0"/>
                <w:numId w:val="177"/>
              </w:numPr>
              <w:spacing w:line="276" w:lineRule="auto"/>
              <w:ind w:left="527" w:hanging="357"/>
              <w:jc w:val="left"/>
              <w:rPr>
                <w:rFonts w:ascii="Calibri" w:hAnsi="Calibri" w:cstheme="minorHAnsi"/>
              </w:rPr>
            </w:pPr>
            <w:r w:rsidRPr="00434E55">
              <w:rPr>
                <w:rFonts w:ascii="Calibri" w:hAnsi="Calibri" w:cstheme="minorHAnsi"/>
              </w:rPr>
              <w:t xml:space="preserve">If the defendant is found to be unfit, Commonwealth law provides for the next steps, as set out in box 3 onwards below. </w:t>
            </w:r>
          </w:p>
        </w:tc>
      </w:tr>
    </w:tbl>
    <w:p w14:paraId="346F5923" w14:textId="1CB8E9B1" w:rsidR="009A24FE" w:rsidRPr="00B97CA2" w:rsidRDefault="009A24FE">
      <w:pPr>
        <w:rPr>
          <w:rFonts w:asciiTheme="minorHAnsi" w:hAnsiTheme="minorHAnsi" w:cstheme="minorHAnsi"/>
          <w:highlight w:val="cyan"/>
        </w:rPr>
      </w:pPr>
      <w:r w:rsidRPr="00B97CA2">
        <w:rPr>
          <w:rFonts w:asciiTheme="minorHAnsi" w:hAnsiTheme="minorHAnsi" w:cstheme="minorHAnsi"/>
          <w:highlight w:val="cyan"/>
        </w:rPr>
        <w:br w:type="page"/>
      </w:r>
    </w:p>
    <w:p w14:paraId="7CE9FD0B" w14:textId="77777777" w:rsidR="00A47AA0" w:rsidRPr="00B97CA2" w:rsidRDefault="00A47AA0" w:rsidP="00A32581">
      <w:pPr>
        <w:ind w:right="28"/>
        <w:jc w:val="both"/>
        <w:rPr>
          <w:rFonts w:asciiTheme="minorHAnsi" w:hAnsiTheme="minorHAnsi" w:cstheme="minorHAnsi"/>
          <w:highlight w:val="cyan"/>
        </w:rPr>
      </w:pPr>
    </w:p>
    <w:tbl>
      <w:tblPr>
        <w:tblW w:w="0" w:type="auto"/>
        <w:tblInd w:w="392" w:type="dxa"/>
        <w:tblBorders>
          <w:top w:val="single" w:sz="4" w:space="0" w:color="auto"/>
          <w:left w:val="single" w:sz="4" w:space="0" w:color="auto"/>
          <w:bottom w:val="single" w:sz="4" w:space="0" w:color="auto"/>
          <w:right w:val="single" w:sz="4" w:space="0" w:color="auto"/>
        </w:tblBorders>
        <w:shd w:val="clear" w:color="auto" w:fill="F2F2F2" w:themeFill="background1" w:themeFillShade="F2"/>
        <w:tblLook w:val="04A0" w:firstRow="1" w:lastRow="0" w:firstColumn="1" w:lastColumn="0" w:noHBand="0" w:noVBand="1"/>
      </w:tblPr>
      <w:tblGrid>
        <w:gridCol w:w="9237"/>
      </w:tblGrid>
      <w:tr w:rsidR="00A47AA0" w:rsidRPr="00B97CA2" w14:paraId="150A686B" w14:textId="77777777" w:rsidTr="00EB7F1E">
        <w:trPr>
          <w:tblHeader/>
        </w:trPr>
        <w:tc>
          <w:tcPr>
            <w:tcW w:w="0" w:type="auto"/>
            <w:shd w:val="clear" w:color="auto" w:fill="F2F2F2" w:themeFill="background1" w:themeFillShade="F2"/>
          </w:tcPr>
          <w:p w14:paraId="33B72B71" w14:textId="7F4AD79E" w:rsidR="00A47AA0" w:rsidRPr="00434E55" w:rsidRDefault="00A47AA0" w:rsidP="00EB7F1E">
            <w:pPr>
              <w:spacing w:before="60" w:after="60"/>
              <w:rPr>
                <w:rFonts w:ascii="Calibri" w:hAnsi="Calibri" w:cstheme="minorHAnsi"/>
                <w:b/>
                <w:bCs/>
              </w:rPr>
            </w:pPr>
            <w:r w:rsidRPr="00434E55">
              <w:rPr>
                <w:rFonts w:ascii="Calibri" w:hAnsi="Calibri" w:cstheme="minorHAnsi"/>
                <w:b/>
                <w:bCs/>
              </w:rPr>
              <w:t xml:space="preserve">Box 2: Question of fitness to be tried arises in trial on indictment – assessing fitness </w:t>
            </w:r>
          </w:p>
        </w:tc>
      </w:tr>
      <w:tr w:rsidR="00A47AA0" w:rsidRPr="00B97CA2" w14:paraId="3545AEAB" w14:textId="77777777" w:rsidTr="00EB7F1E">
        <w:tc>
          <w:tcPr>
            <w:tcW w:w="0" w:type="auto"/>
            <w:shd w:val="clear" w:color="auto" w:fill="F2F2F2" w:themeFill="background1" w:themeFillShade="F2"/>
          </w:tcPr>
          <w:p w14:paraId="1D21EA67" w14:textId="77777777" w:rsidR="00A47AA0" w:rsidRPr="00434E55" w:rsidRDefault="00A47AA0" w:rsidP="00EB7F1E">
            <w:pPr>
              <w:pStyle w:val="ListParagraph"/>
              <w:numPr>
                <w:ilvl w:val="0"/>
                <w:numId w:val="190"/>
              </w:numPr>
              <w:spacing w:line="276" w:lineRule="auto"/>
              <w:ind w:left="527" w:hanging="357"/>
              <w:jc w:val="left"/>
              <w:rPr>
                <w:rFonts w:ascii="Calibri" w:hAnsi="Calibri" w:cstheme="minorHAnsi"/>
              </w:rPr>
            </w:pPr>
            <w:r w:rsidRPr="00434E55">
              <w:rPr>
                <w:rFonts w:ascii="Calibri" w:hAnsi="Calibri" w:cstheme="minorHAnsi"/>
              </w:rPr>
              <w:t>The issue of fitness can be raised by prosecution, defence or on a court’s own motion.</w:t>
            </w:r>
          </w:p>
          <w:p w14:paraId="392A462A" w14:textId="29E19896" w:rsidR="00A47AA0" w:rsidRPr="00434E55" w:rsidRDefault="00A47AA0" w:rsidP="00EB7F1E">
            <w:pPr>
              <w:pStyle w:val="ListParagraph"/>
              <w:numPr>
                <w:ilvl w:val="0"/>
                <w:numId w:val="190"/>
              </w:numPr>
              <w:spacing w:line="276" w:lineRule="auto"/>
              <w:ind w:left="527" w:hanging="357"/>
              <w:jc w:val="left"/>
              <w:rPr>
                <w:rFonts w:ascii="Calibri" w:hAnsi="Calibri" w:cstheme="minorHAnsi"/>
              </w:rPr>
            </w:pPr>
            <w:r w:rsidRPr="00434E55">
              <w:rPr>
                <w:rFonts w:ascii="Calibri" w:hAnsi="Calibri" w:cstheme="minorHAnsi"/>
              </w:rPr>
              <w:t>The court will decide the question of fitness (s 20B(2) and (3))</w:t>
            </w:r>
            <w:r w:rsidR="009F77ED" w:rsidRPr="00434E55">
              <w:rPr>
                <w:rFonts w:ascii="Calibri" w:hAnsi="Calibri" w:cstheme="minorHAnsi"/>
              </w:rPr>
              <w:t>.</w:t>
            </w:r>
          </w:p>
          <w:p w14:paraId="318A15C1" w14:textId="2B1F0A20" w:rsidR="009F77ED" w:rsidRPr="00434E55" w:rsidRDefault="009F77ED" w:rsidP="00EB7F1E">
            <w:pPr>
              <w:pStyle w:val="ListParagraph"/>
              <w:numPr>
                <w:ilvl w:val="0"/>
                <w:numId w:val="190"/>
              </w:numPr>
              <w:spacing w:line="276" w:lineRule="auto"/>
              <w:ind w:left="527" w:hanging="357"/>
              <w:jc w:val="left"/>
              <w:rPr>
                <w:rFonts w:ascii="Calibri" w:hAnsi="Calibri" w:cstheme="minorHAnsi"/>
              </w:rPr>
            </w:pPr>
            <w:r w:rsidRPr="00434E55">
              <w:rPr>
                <w:rFonts w:ascii="Calibri" w:hAnsi="Calibri" w:cstheme="minorHAnsi"/>
              </w:rPr>
              <w:t>State/Territory law applies to the procedure for determining a question of fitness raised in a proceeding on indictment (to the extent the law is not inconsistent with Commonwealth law), where it is capable of applying.</w:t>
            </w:r>
            <w:r w:rsidRPr="00434E55">
              <w:rPr>
                <w:rStyle w:val="Style"/>
              </w:rPr>
              <w:footnoteReference w:id="1227"/>
            </w:r>
          </w:p>
          <w:p w14:paraId="25D27D72" w14:textId="18DCD07B" w:rsidR="00A47AA0" w:rsidRPr="00434E55" w:rsidRDefault="00A47AA0" w:rsidP="00EB7F1E">
            <w:pPr>
              <w:pStyle w:val="ListParagraph"/>
              <w:numPr>
                <w:ilvl w:val="0"/>
                <w:numId w:val="190"/>
              </w:numPr>
              <w:spacing w:line="276" w:lineRule="auto"/>
              <w:ind w:left="527" w:hanging="357"/>
              <w:jc w:val="left"/>
              <w:rPr>
                <w:rFonts w:ascii="Calibri" w:hAnsi="Calibri" w:cstheme="minorHAnsi"/>
              </w:rPr>
            </w:pPr>
            <w:r w:rsidRPr="00434E55">
              <w:rPr>
                <w:rFonts w:ascii="Calibri" w:hAnsi="Calibri" w:cstheme="minorHAnsi"/>
              </w:rPr>
              <w:t>The court has an inherent power to determine that there not be a fitness investigation, where circumstances have changed such that the investigation is unnecessary</w:t>
            </w:r>
            <w:r w:rsidR="000C2868" w:rsidRPr="00434E55">
              <w:rPr>
                <w:rFonts w:ascii="Calibri" w:hAnsi="Calibri" w:cstheme="minorHAnsi"/>
              </w:rPr>
              <w:t>.</w:t>
            </w:r>
            <w:r w:rsidR="000C2868" w:rsidRPr="00434E55">
              <w:rPr>
                <w:rStyle w:val="Style"/>
              </w:rPr>
              <w:footnoteReference w:id="1228"/>
            </w:r>
          </w:p>
          <w:p w14:paraId="17233D22" w14:textId="01583B1D" w:rsidR="00A47AA0" w:rsidRPr="00434E55" w:rsidRDefault="00A47AA0" w:rsidP="00EB7F1E">
            <w:pPr>
              <w:pStyle w:val="ListParagraph"/>
              <w:numPr>
                <w:ilvl w:val="0"/>
                <w:numId w:val="190"/>
              </w:numPr>
              <w:spacing w:line="276" w:lineRule="auto"/>
              <w:ind w:left="527" w:hanging="357"/>
              <w:jc w:val="left"/>
              <w:rPr>
                <w:rFonts w:ascii="Calibri" w:hAnsi="Calibri" w:cstheme="minorHAnsi"/>
              </w:rPr>
            </w:pPr>
            <w:r w:rsidRPr="00434E55">
              <w:rPr>
                <w:rFonts w:ascii="Calibri" w:hAnsi="Calibri" w:cstheme="minorHAnsi"/>
              </w:rPr>
              <w:t>If defendant is found to be fit, the trial must be commenced or resumed in accordance with normal trial procedures.</w:t>
            </w:r>
            <w:r w:rsidR="000C2868" w:rsidRPr="00434E55">
              <w:rPr>
                <w:rStyle w:val="Style"/>
              </w:rPr>
              <w:footnoteReference w:id="1229"/>
            </w:r>
          </w:p>
          <w:p w14:paraId="3DECF61A" w14:textId="77777777" w:rsidR="00A47AA0" w:rsidRPr="00434E55" w:rsidRDefault="00A47AA0" w:rsidP="00EB7F1E">
            <w:pPr>
              <w:pStyle w:val="ListParagraph"/>
              <w:numPr>
                <w:ilvl w:val="0"/>
                <w:numId w:val="190"/>
              </w:numPr>
              <w:spacing w:line="276" w:lineRule="auto"/>
              <w:ind w:left="527" w:hanging="357"/>
              <w:jc w:val="left"/>
              <w:rPr>
                <w:rFonts w:ascii="Calibri" w:hAnsi="Calibri" w:cstheme="minorHAnsi"/>
              </w:rPr>
            </w:pPr>
            <w:r w:rsidRPr="00434E55">
              <w:rPr>
                <w:rFonts w:ascii="Calibri" w:hAnsi="Calibri" w:cstheme="minorHAnsi"/>
              </w:rPr>
              <w:t>If the defendant is found to be unfit, the court may order that the person be detained in prison or hospital for so long as is reasonably necessary to allow the court to deal with the matter (s 20B(5)).</w:t>
            </w:r>
          </w:p>
          <w:p w14:paraId="0CB4C831" w14:textId="77777777" w:rsidR="00A47AA0" w:rsidRPr="00434E55" w:rsidRDefault="00A47AA0" w:rsidP="004A3F77">
            <w:pPr>
              <w:pStyle w:val="ListParagraph"/>
              <w:numPr>
                <w:ilvl w:val="0"/>
                <w:numId w:val="190"/>
              </w:numPr>
              <w:spacing w:line="276" w:lineRule="auto"/>
              <w:ind w:left="527" w:hanging="357"/>
              <w:jc w:val="left"/>
              <w:rPr>
                <w:rFonts w:ascii="Calibri" w:hAnsi="Calibri" w:cstheme="minorHAnsi"/>
              </w:rPr>
            </w:pPr>
            <w:r w:rsidRPr="00434E55">
              <w:rPr>
                <w:rFonts w:ascii="Calibri" w:hAnsi="Calibri" w:cstheme="minorHAnsi"/>
              </w:rPr>
              <w:t>Commonwealth law provides for the next steps, as set out in box 3 onwards below.</w:t>
            </w:r>
          </w:p>
          <w:p w14:paraId="780D676D" w14:textId="30461C34" w:rsidR="000B7CA9" w:rsidRPr="00434E55" w:rsidRDefault="000B7CA9" w:rsidP="00EB7F1E">
            <w:pPr>
              <w:spacing w:line="276" w:lineRule="auto"/>
              <w:rPr>
                <w:rFonts w:ascii="Calibri" w:hAnsi="Calibri" w:cstheme="minorHAnsi"/>
              </w:rPr>
            </w:pPr>
          </w:p>
        </w:tc>
      </w:tr>
    </w:tbl>
    <w:p w14:paraId="35C9B667" w14:textId="1C186DBC" w:rsidR="005D4577" w:rsidRPr="00B97CA2" w:rsidRDefault="005D4577" w:rsidP="00A32581">
      <w:pPr>
        <w:ind w:right="28"/>
        <w:jc w:val="both"/>
        <w:rPr>
          <w:rFonts w:asciiTheme="minorHAnsi" w:hAnsiTheme="minorHAnsi" w:cstheme="minorHAnsi"/>
          <w:highlight w:val="cyan"/>
        </w:rPr>
      </w:pPr>
    </w:p>
    <w:p w14:paraId="70368E6D" w14:textId="77777777" w:rsidR="005D4577" w:rsidRPr="00B97CA2" w:rsidRDefault="005D4577">
      <w:pPr>
        <w:rPr>
          <w:rFonts w:asciiTheme="minorHAnsi" w:hAnsiTheme="minorHAnsi" w:cstheme="minorHAnsi"/>
          <w:highlight w:val="cyan"/>
        </w:rPr>
      </w:pPr>
      <w:r w:rsidRPr="00B97CA2">
        <w:rPr>
          <w:rFonts w:asciiTheme="minorHAnsi" w:hAnsiTheme="minorHAnsi" w:cstheme="minorHAnsi"/>
          <w:highlight w:val="cyan"/>
        </w:rPr>
        <w:br w:type="page"/>
      </w:r>
    </w:p>
    <w:tbl>
      <w:tblPr>
        <w:tblW w:w="0" w:type="auto"/>
        <w:tblInd w:w="392" w:type="dxa"/>
        <w:tblBorders>
          <w:top w:val="single" w:sz="4" w:space="0" w:color="auto"/>
          <w:left w:val="single" w:sz="4" w:space="0" w:color="auto"/>
          <w:bottom w:val="single" w:sz="4" w:space="0" w:color="auto"/>
          <w:right w:val="single" w:sz="4" w:space="0" w:color="auto"/>
        </w:tblBorders>
        <w:shd w:val="clear" w:color="auto" w:fill="F2F2F2" w:themeFill="background1" w:themeFillShade="F2"/>
        <w:tblLook w:val="04A0" w:firstRow="1" w:lastRow="0" w:firstColumn="1" w:lastColumn="0" w:noHBand="0" w:noVBand="1"/>
      </w:tblPr>
      <w:tblGrid>
        <w:gridCol w:w="9237"/>
      </w:tblGrid>
      <w:tr w:rsidR="00A47AA0" w:rsidRPr="00B97CA2" w14:paraId="28C1F7BD" w14:textId="77777777" w:rsidTr="00EB7F1E">
        <w:trPr>
          <w:tblHeader/>
        </w:trPr>
        <w:tc>
          <w:tcPr>
            <w:tcW w:w="0" w:type="auto"/>
            <w:shd w:val="clear" w:color="auto" w:fill="F2F2F2" w:themeFill="background1" w:themeFillShade="F2"/>
          </w:tcPr>
          <w:p w14:paraId="772D87DC" w14:textId="17A6BCCA" w:rsidR="00A47AA0" w:rsidRPr="00434E55" w:rsidRDefault="00A47AA0" w:rsidP="00EB7F1E">
            <w:pPr>
              <w:spacing w:before="60" w:after="60"/>
              <w:rPr>
                <w:rFonts w:ascii="Calibri" w:hAnsi="Calibri" w:cstheme="minorHAnsi"/>
                <w:b/>
                <w:bCs/>
              </w:rPr>
            </w:pPr>
            <w:r w:rsidRPr="00434E55">
              <w:rPr>
                <w:rFonts w:ascii="Calibri" w:hAnsi="Calibri" w:cstheme="minorHAnsi"/>
                <w:b/>
                <w:bCs/>
              </w:rPr>
              <w:t xml:space="preserve">Box 3:  Assessing whether there is a prima facie case against a defendant found to be unfit to be tried and subsequent orders </w:t>
            </w:r>
          </w:p>
        </w:tc>
      </w:tr>
      <w:tr w:rsidR="00A47AA0" w:rsidRPr="00B97CA2" w14:paraId="7AFF6117" w14:textId="77777777" w:rsidTr="00EB7F1E">
        <w:tc>
          <w:tcPr>
            <w:tcW w:w="0" w:type="auto"/>
            <w:shd w:val="clear" w:color="auto" w:fill="F2F2F2" w:themeFill="background1" w:themeFillShade="F2"/>
          </w:tcPr>
          <w:p w14:paraId="11D4A4AC" w14:textId="08D9BB3C" w:rsidR="00A47AA0" w:rsidRPr="00434E55" w:rsidRDefault="00A47AA0" w:rsidP="00EB7F1E">
            <w:pPr>
              <w:pStyle w:val="ListParagraph"/>
              <w:numPr>
                <w:ilvl w:val="0"/>
                <w:numId w:val="191"/>
              </w:numPr>
              <w:spacing w:line="276" w:lineRule="auto"/>
              <w:ind w:left="595" w:hanging="425"/>
              <w:jc w:val="left"/>
              <w:rPr>
                <w:rFonts w:ascii="Calibri" w:hAnsi="Calibri" w:cstheme="minorHAnsi"/>
              </w:rPr>
            </w:pPr>
            <w:r w:rsidRPr="00434E55">
              <w:rPr>
                <w:rFonts w:ascii="Calibri" w:hAnsi="Calibri" w:cstheme="minorHAnsi"/>
              </w:rPr>
              <w:t>The following procedure applies whether the question of fitness arose during the committal (box 1) or trial (box 2). In either case, if the defendant has been found to be unfit to be tried, the remaining steps are to be taken by the court (ie judge) under sections 20B-20BC.</w:t>
            </w:r>
            <w:r w:rsidR="000C2868" w:rsidRPr="00434E55">
              <w:rPr>
                <w:rStyle w:val="Style"/>
              </w:rPr>
              <w:footnoteReference w:id="1230"/>
            </w:r>
          </w:p>
          <w:p w14:paraId="25BE1B13" w14:textId="77777777" w:rsidR="00A47AA0" w:rsidRPr="00434E55" w:rsidRDefault="00A47AA0" w:rsidP="00EB7F1E">
            <w:pPr>
              <w:pStyle w:val="ListParagraph"/>
              <w:numPr>
                <w:ilvl w:val="0"/>
                <w:numId w:val="191"/>
              </w:numPr>
              <w:spacing w:line="276" w:lineRule="auto"/>
              <w:ind w:left="527" w:hanging="357"/>
              <w:jc w:val="left"/>
              <w:rPr>
                <w:rFonts w:ascii="Calibri" w:hAnsi="Calibri" w:cstheme="minorHAnsi"/>
              </w:rPr>
            </w:pPr>
            <w:r w:rsidRPr="00434E55">
              <w:rPr>
                <w:rFonts w:ascii="Calibri" w:hAnsi="Calibri" w:cstheme="minorHAnsi"/>
              </w:rPr>
              <w:t>The first of these steps is to determine whether there has been established a prima facie case that the defendant committed the offence concerned (s 20B(3)).</w:t>
            </w:r>
          </w:p>
          <w:p w14:paraId="09217169" w14:textId="6CA9D625" w:rsidR="00A47AA0" w:rsidRPr="00434E55" w:rsidRDefault="00A47AA0" w:rsidP="00EB7F1E">
            <w:pPr>
              <w:pStyle w:val="ListParagraph"/>
              <w:numPr>
                <w:ilvl w:val="0"/>
                <w:numId w:val="191"/>
              </w:numPr>
              <w:spacing w:line="276" w:lineRule="auto"/>
              <w:ind w:left="527" w:hanging="357"/>
              <w:jc w:val="left"/>
              <w:rPr>
                <w:rFonts w:ascii="Calibri" w:hAnsi="Calibri" w:cstheme="minorHAnsi"/>
              </w:rPr>
            </w:pPr>
            <w:r w:rsidRPr="00434E55">
              <w:rPr>
                <w:rFonts w:ascii="Calibri" w:hAnsi="Calibri" w:cstheme="minorHAnsi"/>
              </w:rPr>
              <w:t>This requires a finding as to whether "there is evidence that would (except for the circumstances by reason of which the person is unfit to be tried) provide sufficient grounds to put the person on trial in relation to the offence") (s 20B(6))</w:t>
            </w:r>
            <w:r w:rsidR="000C2868" w:rsidRPr="00434E55">
              <w:rPr>
                <w:rFonts w:ascii="Calibri" w:hAnsi="Calibri" w:cstheme="minorHAnsi"/>
              </w:rPr>
              <w:t>.</w:t>
            </w:r>
            <w:r w:rsidR="000C2868" w:rsidRPr="00434E55">
              <w:rPr>
                <w:rStyle w:val="Style"/>
              </w:rPr>
              <w:footnoteReference w:id="1231"/>
            </w:r>
          </w:p>
          <w:p w14:paraId="630883E3" w14:textId="77777777" w:rsidR="00A47AA0" w:rsidRPr="00434E55" w:rsidRDefault="00A47AA0" w:rsidP="00EB7F1E">
            <w:pPr>
              <w:pStyle w:val="ListParagraph"/>
              <w:numPr>
                <w:ilvl w:val="0"/>
                <w:numId w:val="191"/>
              </w:numPr>
              <w:spacing w:line="276" w:lineRule="auto"/>
              <w:ind w:left="527" w:hanging="357"/>
              <w:jc w:val="left"/>
              <w:rPr>
                <w:rFonts w:ascii="Calibri" w:hAnsi="Calibri" w:cstheme="minorHAnsi"/>
              </w:rPr>
            </w:pPr>
            <w:r w:rsidRPr="00434E55">
              <w:rPr>
                <w:rFonts w:ascii="Calibri" w:hAnsi="Calibri" w:cstheme="minorHAnsi"/>
              </w:rPr>
              <w:t>In proceedings to determine this question:</w:t>
            </w:r>
          </w:p>
          <w:p w14:paraId="58B884E3" w14:textId="77777777" w:rsidR="00A47AA0" w:rsidRPr="00434E55" w:rsidRDefault="00A47AA0" w:rsidP="00EB7F1E">
            <w:pPr>
              <w:pStyle w:val="ListParagraph"/>
              <w:numPr>
                <w:ilvl w:val="1"/>
                <w:numId w:val="208"/>
              </w:numPr>
              <w:spacing w:after="200" w:line="276" w:lineRule="auto"/>
              <w:jc w:val="left"/>
              <w:rPr>
                <w:rFonts w:ascii="Calibri" w:hAnsi="Calibri" w:cstheme="minorHAnsi"/>
              </w:rPr>
            </w:pPr>
            <w:r w:rsidRPr="00434E55">
              <w:rPr>
                <w:rFonts w:ascii="Calibri" w:hAnsi="Calibri" w:cstheme="minorHAnsi"/>
              </w:rPr>
              <w:t>The person may give evidence or make an unsworn statement;</w:t>
            </w:r>
          </w:p>
          <w:p w14:paraId="39CEE81C" w14:textId="77777777" w:rsidR="00A47AA0" w:rsidRPr="00434E55" w:rsidRDefault="00A47AA0" w:rsidP="00EB7F1E">
            <w:pPr>
              <w:pStyle w:val="ListParagraph"/>
              <w:numPr>
                <w:ilvl w:val="1"/>
                <w:numId w:val="208"/>
              </w:numPr>
              <w:spacing w:after="200" w:line="276" w:lineRule="auto"/>
              <w:jc w:val="left"/>
              <w:rPr>
                <w:rFonts w:ascii="Calibri" w:hAnsi="Calibri" w:cstheme="minorHAnsi"/>
              </w:rPr>
            </w:pPr>
            <w:r w:rsidRPr="00434E55">
              <w:rPr>
                <w:rFonts w:ascii="Calibri" w:hAnsi="Calibri" w:cstheme="minorHAnsi"/>
              </w:rPr>
              <w:t>The person may raise may defence that could properly be raised if the proceedings were a trial for that offence; and</w:t>
            </w:r>
          </w:p>
          <w:p w14:paraId="51AB4660" w14:textId="77777777" w:rsidR="00A47AA0" w:rsidRPr="00434E55" w:rsidRDefault="00A47AA0" w:rsidP="00EB7F1E">
            <w:pPr>
              <w:pStyle w:val="ListParagraph"/>
              <w:numPr>
                <w:ilvl w:val="1"/>
                <w:numId w:val="208"/>
              </w:numPr>
              <w:spacing w:after="200" w:line="276" w:lineRule="auto"/>
              <w:jc w:val="left"/>
              <w:rPr>
                <w:rFonts w:ascii="Calibri" w:hAnsi="Calibri" w:cstheme="minorHAnsi"/>
              </w:rPr>
            </w:pPr>
            <w:r w:rsidRPr="00434E55">
              <w:rPr>
                <w:rFonts w:ascii="Calibri" w:hAnsi="Calibri" w:cstheme="minorHAnsi"/>
              </w:rPr>
              <w:t>The court may seek such other evidence, whether oral or in writing, as it considers likely to assist (s 20B(7)).</w:t>
            </w:r>
          </w:p>
          <w:p w14:paraId="32B7A04D" w14:textId="77777777" w:rsidR="00A47AA0" w:rsidRPr="00434E55" w:rsidRDefault="00A47AA0" w:rsidP="00EB7F1E">
            <w:pPr>
              <w:pStyle w:val="ListParagraph"/>
              <w:numPr>
                <w:ilvl w:val="0"/>
                <w:numId w:val="191"/>
              </w:numPr>
              <w:spacing w:line="276" w:lineRule="auto"/>
              <w:ind w:left="527" w:hanging="357"/>
              <w:jc w:val="left"/>
              <w:rPr>
                <w:rFonts w:ascii="Calibri" w:hAnsi="Calibri" w:cstheme="minorHAnsi"/>
              </w:rPr>
            </w:pPr>
            <w:r w:rsidRPr="00434E55">
              <w:rPr>
                <w:rFonts w:ascii="Calibri" w:hAnsi="Calibri" w:cstheme="minorHAnsi"/>
              </w:rPr>
              <w:t xml:space="preserve">If the court determines that there has not been established a prima facie case, the court must dismiss the charge and release the person from custody (s 20BA(1)).  </w:t>
            </w:r>
          </w:p>
          <w:p w14:paraId="498D7221" w14:textId="77777777" w:rsidR="00A47AA0" w:rsidRPr="00434E55" w:rsidRDefault="00A47AA0" w:rsidP="00EB7F1E">
            <w:pPr>
              <w:pStyle w:val="ListParagraph"/>
              <w:numPr>
                <w:ilvl w:val="0"/>
                <w:numId w:val="191"/>
              </w:numPr>
              <w:spacing w:line="276" w:lineRule="auto"/>
              <w:ind w:left="527" w:hanging="357"/>
              <w:jc w:val="left"/>
              <w:rPr>
                <w:rFonts w:ascii="Calibri" w:hAnsi="Calibri" w:cstheme="minorHAnsi"/>
              </w:rPr>
            </w:pPr>
            <w:r w:rsidRPr="00434E55">
              <w:rPr>
                <w:rFonts w:ascii="Calibri" w:hAnsi="Calibri" w:cstheme="minorHAnsi"/>
              </w:rPr>
              <w:t>If the court determines that a prima facie case has been established but it is of the opinion, having regard to-</w:t>
            </w:r>
          </w:p>
          <w:p w14:paraId="526032C1" w14:textId="77777777" w:rsidR="00A47AA0" w:rsidRPr="00434E55" w:rsidRDefault="00A47AA0" w:rsidP="00EB7F1E">
            <w:pPr>
              <w:pStyle w:val="ListParagraph"/>
              <w:numPr>
                <w:ilvl w:val="1"/>
                <w:numId w:val="207"/>
              </w:numPr>
              <w:spacing w:after="200" w:line="276" w:lineRule="auto"/>
              <w:jc w:val="left"/>
              <w:rPr>
                <w:rFonts w:ascii="Calibri" w:hAnsi="Calibri" w:cstheme="minorHAnsi"/>
              </w:rPr>
            </w:pPr>
            <w:r w:rsidRPr="00434E55">
              <w:rPr>
                <w:rFonts w:ascii="Calibri" w:hAnsi="Calibri" w:cstheme="minorHAnsi"/>
              </w:rPr>
              <w:t xml:space="preserve">the character, antecedents, age, health or mental condition of the person, or </w:t>
            </w:r>
          </w:p>
          <w:p w14:paraId="4F87FCFD" w14:textId="77777777" w:rsidR="00A47AA0" w:rsidRPr="00434E55" w:rsidRDefault="00A47AA0" w:rsidP="00EB7F1E">
            <w:pPr>
              <w:pStyle w:val="ListParagraph"/>
              <w:numPr>
                <w:ilvl w:val="1"/>
                <w:numId w:val="207"/>
              </w:numPr>
              <w:spacing w:after="200" w:line="276" w:lineRule="auto"/>
              <w:jc w:val="left"/>
              <w:rPr>
                <w:rFonts w:ascii="Calibri" w:hAnsi="Calibri" w:cstheme="minorHAnsi"/>
              </w:rPr>
            </w:pPr>
            <w:r w:rsidRPr="00434E55">
              <w:rPr>
                <w:rFonts w:ascii="Calibri" w:hAnsi="Calibri" w:cstheme="minorHAnsi"/>
              </w:rPr>
              <w:t>the extent (if any) to which offence is of a trivial nature; or</w:t>
            </w:r>
          </w:p>
          <w:p w14:paraId="2F015ED0" w14:textId="77777777" w:rsidR="00A47AA0" w:rsidRPr="00434E55" w:rsidRDefault="00A47AA0" w:rsidP="00EB7F1E">
            <w:pPr>
              <w:pStyle w:val="ListParagraph"/>
              <w:numPr>
                <w:ilvl w:val="1"/>
                <w:numId w:val="207"/>
              </w:numPr>
              <w:spacing w:line="276" w:lineRule="auto"/>
              <w:jc w:val="left"/>
              <w:rPr>
                <w:rFonts w:ascii="Calibri" w:hAnsi="Calibri" w:cstheme="minorHAnsi"/>
              </w:rPr>
            </w:pPr>
            <w:r w:rsidRPr="00434E55">
              <w:rPr>
                <w:rFonts w:ascii="Calibri" w:hAnsi="Calibri" w:cstheme="minorHAnsi"/>
              </w:rPr>
              <w:t>the extent (if any) to which the offence was committed under extenuating circumstances-</w:t>
            </w:r>
          </w:p>
          <w:p w14:paraId="629F106D" w14:textId="77777777" w:rsidR="00A47AA0" w:rsidRPr="00434E55" w:rsidRDefault="00A47AA0" w:rsidP="00EB7F1E">
            <w:pPr>
              <w:spacing w:line="276" w:lineRule="auto"/>
              <w:ind w:left="720" w:firstLine="45"/>
              <w:rPr>
                <w:rFonts w:ascii="Calibri" w:hAnsi="Calibri" w:cstheme="minorHAnsi"/>
              </w:rPr>
            </w:pPr>
            <w:r w:rsidRPr="00434E55">
              <w:rPr>
                <w:rFonts w:ascii="Calibri" w:hAnsi="Calibri" w:cstheme="minorHAnsi"/>
              </w:rPr>
              <w:t>that it is inappropriate to inflict any punishment, or to inflict any punishment other than a nominal punishment, the court must dismiss the charge and order their release (s 20BA(2)).</w:t>
            </w:r>
          </w:p>
          <w:p w14:paraId="72616D1A" w14:textId="77777777" w:rsidR="00A47AA0" w:rsidRPr="00434E55" w:rsidRDefault="00A47AA0" w:rsidP="004A3F77">
            <w:pPr>
              <w:pStyle w:val="ListParagraph"/>
              <w:numPr>
                <w:ilvl w:val="0"/>
                <w:numId w:val="191"/>
              </w:numPr>
              <w:spacing w:line="276" w:lineRule="auto"/>
              <w:ind w:left="527" w:hanging="357"/>
              <w:jc w:val="left"/>
              <w:rPr>
                <w:rFonts w:ascii="Calibri" w:hAnsi="Calibri" w:cstheme="minorHAnsi"/>
              </w:rPr>
            </w:pPr>
            <w:r w:rsidRPr="00434E55">
              <w:rPr>
                <w:rFonts w:ascii="Calibri" w:hAnsi="Calibri" w:cstheme="minorHAnsi"/>
              </w:rPr>
              <w:t>If the court determines that there is a prima facie case, and does not dismiss the charge in accordance with s 20BA(2) because it would be appropriate to inflict punishment (other than nominal punishment), the court must make further findings, as outlined in box 4.</w:t>
            </w:r>
          </w:p>
          <w:p w14:paraId="2A9A42BF" w14:textId="0C0D3971" w:rsidR="000B7CA9" w:rsidRPr="00434E55" w:rsidRDefault="000B7CA9" w:rsidP="00EB7F1E">
            <w:pPr>
              <w:spacing w:line="276" w:lineRule="auto"/>
              <w:rPr>
                <w:rFonts w:ascii="Calibri" w:hAnsi="Calibri" w:cstheme="minorHAnsi"/>
              </w:rPr>
            </w:pPr>
          </w:p>
        </w:tc>
      </w:tr>
    </w:tbl>
    <w:p w14:paraId="7F1E28AD" w14:textId="73094C21" w:rsidR="00A47AA0" w:rsidRPr="00B97CA2" w:rsidRDefault="00A47AA0" w:rsidP="00A32581">
      <w:pPr>
        <w:ind w:right="28"/>
        <w:jc w:val="both"/>
        <w:rPr>
          <w:rFonts w:asciiTheme="minorHAnsi" w:hAnsiTheme="minorHAnsi" w:cstheme="minorHAnsi"/>
          <w:highlight w:val="cyan"/>
        </w:rPr>
      </w:pPr>
    </w:p>
    <w:p w14:paraId="46BA8D4B" w14:textId="4547E7CE" w:rsidR="005D4577" w:rsidRPr="00B97CA2" w:rsidRDefault="005D4577">
      <w:pPr>
        <w:rPr>
          <w:rFonts w:asciiTheme="minorHAnsi" w:hAnsiTheme="minorHAnsi" w:cstheme="minorHAnsi"/>
          <w:highlight w:val="cyan"/>
        </w:rPr>
      </w:pPr>
      <w:r w:rsidRPr="00B97CA2">
        <w:rPr>
          <w:rFonts w:asciiTheme="minorHAnsi" w:hAnsiTheme="minorHAnsi" w:cstheme="minorHAnsi"/>
          <w:highlight w:val="cyan"/>
        </w:rPr>
        <w:br w:type="page"/>
      </w:r>
    </w:p>
    <w:tbl>
      <w:tblPr>
        <w:tblW w:w="0" w:type="auto"/>
        <w:tblInd w:w="392" w:type="dxa"/>
        <w:tblBorders>
          <w:top w:val="single" w:sz="4" w:space="0" w:color="auto"/>
          <w:left w:val="single" w:sz="4" w:space="0" w:color="auto"/>
          <w:bottom w:val="single" w:sz="4" w:space="0" w:color="auto"/>
          <w:right w:val="single" w:sz="4" w:space="0" w:color="auto"/>
        </w:tblBorders>
        <w:shd w:val="clear" w:color="auto" w:fill="F2F2F2" w:themeFill="background1" w:themeFillShade="F2"/>
        <w:tblLook w:val="04A0" w:firstRow="1" w:lastRow="0" w:firstColumn="1" w:lastColumn="0" w:noHBand="0" w:noVBand="1"/>
      </w:tblPr>
      <w:tblGrid>
        <w:gridCol w:w="9237"/>
      </w:tblGrid>
      <w:tr w:rsidR="006D16A1" w:rsidRPr="00B97CA2" w14:paraId="68C77EAE" w14:textId="77777777" w:rsidTr="00EB7F1E">
        <w:trPr>
          <w:tblHeader/>
        </w:trPr>
        <w:tc>
          <w:tcPr>
            <w:tcW w:w="0" w:type="auto"/>
            <w:shd w:val="clear" w:color="auto" w:fill="F2F2F2" w:themeFill="background1" w:themeFillShade="F2"/>
          </w:tcPr>
          <w:p w14:paraId="43A695A4" w14:textId="5469095C" w:rsidR="006D16A1" w:rsidRPr="00434E55" w:rsidRDefault="006D16A1" w:rsidP="00EB7F1E">
            <w:pPr>
              <w:spacing w:before="60" w:after="60"/>
              <w:rPr>
                <w:rFonts w:ascii="Calibri" w:hAnsi="Calibri" w:cstheme="minorHAnsi"/>
                <w:b/>
                <w:bCs/>
              </w:rPr>
            </w:pPr>
            <w:r w:rsidRPr="00434E55">
              <w:rPr>
                <w:rFonts w:ascii="Calibri" w:hAnsi="Calibri" w:cstheme="minorHAnsi"/>
                <w:b/>
                <w:bCs/>
              </w:rPr>
              <w:t>Box 4: Prima facie case established and punishment would be appropriate – inquiry as to future fitness.</w:t>
            </w:r>
          </w:p>
        </w:tc>
      </w:tr>
      <w:tr w:rsidR="006D16A1" w:rsidRPr="00B97CA2" w14:paraId="145CD04B" w14:textId="77777777" w:rsidTr="00EB7F1E">
        <w:tc>
          <w:tcPr>
            <w:tcW w:w="0" w:type="auto"/>
            <w:shd w:val="clear" w:color="auto" w:fill="F2F2F2" w:themeFill="background1" w:themeFillShade="F2"/>
          </w:tcPr>
          <w:p w14:paraId="20741981" w14:textId="2B7F41A0" w:rsidR="006D16A1" w:rsidRPr="00434E55" w:rsidRDefault="006D16A1" w:rsidP="00EB7F1E">
            <w:pPr>
              <w:pStyle w:val="ListParagraph"/>
              <w:numPr>
                <w:ilvl w:val="0"/>
                <w:numId w:val="192"/>
              </w:numPr>
              <w:spacing w:line="276" w:lineRule="auto"/>
              <w:ind w:left="595" w:hanging="425"/>
              <w:jc w:val="left"/>
              <w:rPr>
                <w:rFonts w:ascii="Calibri" w:hAnsi="Calibri" w:cstheme="minorHAnsi"/>
              </w:rPr>
            </w:pPr>
            <w:r w:rsidRPr="00434E55">
              <w:rPr>
                <w:rFonts w:ascii="Calibri" w:hAnsi="Calibri" w:cstheme="minorHAnsi"/>
              </w:rPr>
              <w:t>The court (ie judge) must undertake two inquiries in this situation.</w:t>
            </w:r>
            <w:r w:rsidR="000C2868" w:rsidRPr="00434E55">
              <w:rPr>
                <w:rStyle w:val="Style"/>
              </w:rPr>
              <w:footnoteReference w:id="1232"/>
            </w:r>
          </w:p>
          <w:p w14:paraId="21032343" w14:textId="77777777" w:rsidR="006D16A1" w:rsidRPr="00434E55" w:rsidRDefault="006D16A1" w:rsidP="00EB7F1E">
            <w:pPr>
              <w:pStyle w:val="ListParagraph"/>
              <w:numPr>
                <w:ilvl w:val="0"/>
                <w:numId w:val="192"/>
              </w:numPr>
              <w:spacing w:line="276" w:lineRule="auto"/>
              <w:ind w:left="527" w:hanging="357"/>
              <w:jc w:val="left"/>
              <w:rPr>
                <w:rFonts w:ascii="Calibri" w:hAnsi="Calibri" w:cstheme="minorHAnsi"/>
              </w:rPr>
            </w:pPr>
            <w:r w:rsidRPr="00434E55">
              <w:rPr>
                <w:rFonts w:ascii="Calibri" w:hAnsi="Calibri" w:cstheme="minorHAnsi"/>
                <w:b/>
                <w:bCs/>
              </w:rPr>
              <w:t>Inquiry 1:</w:t>
            </w:r>
            <w:r w:rsidRPr="00434E55">
              <w:rPr>
                <w:rFonts w:ascii="Calibri" w:hAnsi="Calibri" w:cstheme="minorHAnsi"/>
              </w:rPr>
              <w:t xml:space="preserve"> The first question for the court to determine is whether, on the balance of probabilities, the person will become fit to be tried for the offence within the period of 12 months after the day the person was found to be unfit to be tried (s 20BA(4)).</w:t>
            </w:r>
          </w:p>
          <w:p w14:paraId="106C7A10" w14:textId="77777777" w:rsidR="006D16A1" w:rsidRPr="00434E55" w:rsidRDefault="006D16A1" w:rsidP="00EB7F1E">
            <w:pPr>
              <w:pStyle w:val="ListParagraph"/>
              <w:numPr>
                <w:ilvl w:val="0"/>
                <w:numId w:val="192"/>
              </w:numPr>
              <w:spacing w:line="276" w:lineRule="auto"/>
              <w:ind w:left="527" w:hanging="357"/>
              <w:jc w:val="left"/>
              <w:rPr>
                <w:rFonts w:ascii="Calibri" w:hAnsi="Calibri" w:cstheme="minorHAnsi"/>
              </w:rPr>
            </w:pPr>
            <w:r w:rsidRPr="00434E55">
              <w:rPr>
                <w:rFonts w:ascii="Calibri" w:hAnsi="Calibri" w:cstheme="minorHAnsi"/>
              </w:rPr>
              <w:t>A court may only make this determination about future fitness after considering evidence from a duly qualified psychiatrist and one other duly qualified medical practitioner (s 20BA(5)). It can also obtain other evidence as appropriate (s 20BA(6)).</w:t>
            </w:r>
          </w:p>
          <w:p w14:paraId="2C937E8C" w14:textId="77777777" w:rsidR="006D16A1" w:rsidRPr="00434E55" w:rsidRDefault="006D16A1" w:rsidP="00EB7F1E">
            <w:pPr>
              <w:pStyle w:val="ListParagraph"/>
              <w:numPr>
                <w:ilvl w:val="0"/>
                <w:numId w:val="192"/>
              </w:numPr>
              <w:spacing w:line="276" w:lineRule="auto"/>
              <w:ind w:left="527" w:hanging="357"/>
              <w:jc w:val="left"/>
              <w:rPr>
                <w:rFonts w:ascii="Calibri" w:hAnsi="Calibri" w:cstheme="minorHAnsi"/>
              </w:rPr>
            </w:pPr>
            <w:r w:rsidRPr="00434E55">
              <w:rPr>
                <w:rFonts w:ascii="Calibri" w:hAnsi="Calibri" w:cstheme="minorHAnsi"/>
                <w:b/>
                <w:bCs/>
              </w:rPr>
              <w:t xml:space="preserve">Inquiry 2: </w:t>
            </w:r>
            <w:r w:rsidRPr="00434E55">
              <w:rPr>
                <w:rFonts w:ascii="Calibri" w:hAnsi="Calibri" w:cstheme="minorHAnsi"/>
              </w:rPr>
              <w:t xml:space="preserve">This inquiry is required to determine what custodial/bail arrangements are to be made for the person. </w:t>
            </w:r>
          </w:p>
          <w:p w14:paraId="316A8652" w14:textId="77777777" w:rsidR="006D16A1" w:rsidRPr="00434E55" w:rsidRDefault="006D16A1" w:rsidP="00EB7F1E">
            <w:pPr>
              <w:pStyle w:val="ListParagraph"/>
              <w:numPr>
                <w:ilvl w:val="1"/>
                <w:numId w:val="206"/>
              </w:numPr>
              <w:spacing w:after="200" w:line="276" w:lineRule="auto"/>
              <w:jc w:val="left"/>
              <w:rPr>
                <w:rFonts w:ascii="Calibri" w:hAnsi="Calibri" w:cstheme="minorHAnsi"/>
              </w:rPr>
            </w:pPr>
            <w:r w:rsidRPr="00434E55">
              <w:rPr>
                <w:rFonts w:ascii="Calibri" w:hAnsi="Calibri" w:cstheme="minorHAnsi"/>
              </w:rPr>
              <w:t>The court must first determine whether the person is suffering from a mental illness or condition, for which treatment is available in a hospital, and</w:t>
            </w:r>
          </w:p>
          <w:p w14:paraId="5EAFB9E0" w14:textId="77777777" w:rsidR="006D16A1" w:rsidRPr="00434E55" w:rsidRDefault="006D16A1" w:rsidP="00EB7F1E">
            <w:pPr>
              <w:pStyle w:val="ListParagraph"/>
              <w:numPr>
                <w:ilvl w:val="1"/>
                <w:numId w:val="206"/>
              </w:numPr>
              <w:spacing w:line="276" w:lineRule="auto"/>
              <w:jc w:val="left"/>
              <w:rPr>
                <w:rFonts w:ascii="Calibri" w:hAnsi="Calibri" w:cstheme="minorHAnsi"/>
              </w:rPr>
            </w:pPr>
            <w:r w:rsidRPr="00434E55">
              <w:rPr>
                <w:rFonts w:ascii="Calibri" w:hAnsi="Calibri" w:cstheme="minorHAnsi"/>
              </w:rPr>
              <w:t xml:space="preserve">If this is the case, the court must ascertain whether the person objects to being detained in a hospital. </w:t>
            </w:r>
          </w:p>
          <w:p w14:paraId="167AA829" w14:textId="439BEC8A" w:rsidR="006D16A1" w:rsidRPr="00434E55" w:rsidRDefault="006D16A1" w:rsidP="00EB7F1E">
            <w:pPr>
              <w:spacing w:line="276" w:lineRule="auto"/>
              <w:ind w:left="1077"/>
              <w:rPr>
                <w:rFonts w:ascii="Calibri" w:hAnsi="Calibri" w:cstheme="minorHAnsi"/>
              </w:rPr>
            </w:pPr>
            <w:r w:rsidRPr="00434E55">
              <w:rPr>
                <w:rFonts w:ascii="Calibri" w:hAnsi="Calibri" w:cstheme="minorHAnsi"/>
              </w:rPr>
              <w:t xml:space="preserve">(This is required under s 20BB(1) if the defendant is found to be fit to be tried within the period, and s 20BC(1) if they are found </w:t>
            </w:r>
            <w:r w:rsidR="00F91F2C" w:rsidRPr="00434E55">
              <w:rPr>
                <w:rFonts w:ascii="Calibri" w:hAnsi="Calibri" w:cstheme="minorHAnsi"/>
              </w:rPr>
              <w:t>un</w:t>
            </w:r>
            <w:r w:rsidRPr="00434E55">
              <w:rPr>
                <w:rFonts w:ascii="Calibri" w:hAnsi="Calibri" w:cstheme="minorHAnsi"/>
              </w:rPr>
              <w:t>fit to be tried.)</w:t>
            </w:r>
          </w:p>
          <w:p w14:paraId="7A91E1F1" w14:textId="77777777" w:rsidR="006D16A1" w:rsidRPr="00434E55" w:rsidRDefault="006D16A1" w:rsidP="00EB7F1E">
            <w:pPr>
              <w:pStyle w:val="ListParagraph"/>
              <w:numPr>
                <w:ilvl w:val="0"/>
                <w:numId w:val="192"/>
              </w:numPr>
              <w:spacing w:line="276" w:lineRule="auto"/>
              <w:ind w:left="527" w:hanging="357"/>
              <w:jc w:val="left"/>
              <w:rPr>
                <w:rFonts w:ascii="Calibri" w:hAnsi="Calibri" w:cstheme="minorHAnsi"/>
              </w:rPr>
            </w:pPr>
            <w:r w:rsidRPr="00434E55">
              <w:rPr>
                <w:rFonts w:ascii="Calibri" w:hAnsi="Calibri" w:cstheme="minorHAnsi"/>
              </w:rPr>
              <w:t>A range of orders are possible, depending on the answers to these inquiries.</w:t>
            </w:r>
          </w:p>
          <w:p w14:paraId="4995CB78" w14:textId="77777777" w:rsidR="006D16A1" w:rsidRPr="00434E55" w:rsidRDefault="006D16A1" w:rsidP="00EB7F1E">
            <w:pPr>
              <w:pStyle w:val="ListParagraph"/>
              <w:numPr>
                <w:ilvl w:val="0"/>
                <w:numId w:val="192"/>
              </w:numPr>
              <w:spacing w:line="276" w:lineRule="auto"/>
              <w:ind w:left="527" w:hanging="357"/>
              <w:jc w:val="left"/>
              <w:rPr>
                <w:rFonts w:ascii="Calibri" w:hAnsi="Calibri" w:cstheme="minorHAnsi"/>
              </w:rPr>
            </w:pPr>
            <w:r w:rsidRPr="00434E55">
              <w:rPr>
                <w:rFonts w:ascii="Calibri" w:hAnsi="Calibri" w:cstheme="minorHAnsi"/>
              </w:rPr>
              <w:t xml:space="preserve">If the court finds that the person- </w:t>
            </w:r>
          </w:p>
          <w:p w14:paraId="12AB8A3F" w14:textId="77777777" w:rsidR="006D16A1" w:rsidRPr="00434E55" w:rsidRDefault="006D16A1" w:rsidP="00EB7F1E">
            <w:pPr>
              <w:pStyle w:val="ListParagraph"/>
              <w:numPr>
                <w:ilvl w:val="1"/>
                <w:numId w:val="205"/>
              </w:numPr>
              <w:spacing w:after="200" w:line="276" w:lineRule="auto"/>
              <w:jc w:val="left"/>
              <w:rPr>
                <w:rFonts w:ascii="Calibri" w:hAnsi="Calibri" w:cstheme="minorHAnsi"/>
              </w:rPr>
            </w:pPr>
            <w:r w:rsidRPr="00434E55">
              <w:rPr>
                <w:rFonts w:ascii="Calibri" w:hAnsi="Calibri" w:cstheme="minorHAnsi"/>
              </w:rPr>
              <w:t>will not become fit to be tried within the 12 month period, refer to box 5</w:t>
            </w:r>
          </w:p>
          <w:p w14:paraId="528D5E05" w14:textId="161815BF" w:rsidR="006D16A1" w:rsidRPr="00434E55" w:rsidRDefault="006D16A1" w:rsidP="00EB7F1E">
            <w:pPr>
              <w:pStyle w:val="ListParagraph"/>
              <w:numPr>
                <w:ilvl w:val="1"/>
                <w:numId w:val="205"/>
              </w:numPr>
              <w:spacing w:after="200" w:line="276" w:lineRule="auto"/>
              <w:jc w:val="left"/>
              <w:rPr>
                <w:rFonts w:ascii="Calibri" w:hAnsi="Calibri" w:cstheme="minorHAnsi"/>
              </w:rPr>
            </w:pPr>
            <w:r w:rsidRPr="00434E55">
              <w:rPr>
                <w:rFonts w:ascii="Calibri" w:hAnsi="Calibri" w:cstheme="minorHAnsi"/>
              </w:rPr>
              <w:t>will become fit to be tried within the 12 month period, refer to box 6.</w:t>
            </w:r>
          </w:p>
        </w:tc>
      </w:tr>
    </w:tbl>
    <w:p w14:paraId="5AC6B524" w14:textId="36C05BAC" w:rsidR="00A32581" w:rsidRPr="00B97CA2" w:rsidRDefault="00A32581" w:rsidP="00A32581">
      <w:pPr>
        <w:pStyle w:val="ListParagraph"/>
        <w:rPr>
          <w:rFonts w:asciiTheme="minorHAnsi" w:hAnsiTheme="minorHAnsi" w:cstheme="minorHAnsi"/>
          <w:highlight w:val="cyan"/>
        </w:rPr>
      </w:pPr>
    </w:p>
    <w:p w14:paraId="0C89A9A2" w14:textId="2CA1D071" w:rsidR="005D4577" w:rsidRPr="00B97CA2" w:rsidRDefault="005D4577">
      <w:pPr>
        <w:rPr>
          <w:rFonts w:asciiTheme="minorHAnsi" w:hAnsiTheme="minorHAnsi" w:cstheme="minorHAnsi"/>
          <w:highlight w:val="cyan"/>
        </w:rPr>
      </w:pPr>
      <w:r w:rsidRPr="00B97CA2">
        <w:rPr>
          <w:rFonts w:asciiTheme="minorHAnsi" w:hAnsiTheme="minorHAnsi" w:cstheme="minorHAnsi"/>
          <w:highlight w:val="cyan"/>
        </w:rPr>
        <w:br w:type="page"/>
      </w:r>
    </w:p>
    <w:tbl>
      <w:tblPr>
        <w:tblW w:w="0" w:type="auto"/>
        <w:tblInd w:w="392" w:type="dxa"/>
        <w:tblBorders>
          <w:top w:val="single" w:sz="4" w:space="0" w:color="auto"/>
          <w:left w:val="single" w:sz="4" w:space="0" w:color="auto"/>
          <w:bottom w:val="single" w:sz="4" w:space="0" w:color="auto"/>
          <w:right w:val="single" w:sz="4" w:space="0" w:color="auto"/>
        </w:tblBorders>
        <w:shd w:val="clear" w:color="auto" w:fill="F2F2F2" w:themeFill="background1" w:themeFillShade="F2"/>
        <w:tblLook w:val="04A0" w:firstRow="1" w:lastRow="0" w:firstColumn="1" w:lastColumn="0" w:noHBand="0" w:noVBand="1"/>
      </w:tblPr>
      <w:tblGrid>
        <w:gridCol w:w="9237"/>
      </w:tblGrid>
      <w:tr w:rsidR="006D16A1" w:rsidRPr="00434E55" w14:paraId="46FCB23F" w14:textId="77777777" w:rsidTr="00EB7F1E">
        <w:trPr>
          <w:tblHeader/>
        </w:trPr>
        <w:tc>
          <w:tcPr>
            <w:tcW w:w="0" w:type="auto"/>
            <w:shd w:val="clear" w:color="auto" w:fill="F2F2F2" w:themeFill="background1" w:themeFillShade="F2"/>
          </w:tcPr>
          <w:p w14:paraId="4D2CB3DB" w14:textId="667C7100" w:rsidR="006D16A1" w:rsidRPr="00434E55" w:rsidRDefault="006D16A1" w:rsidP="00EB7F1E">
            <w:pPr>
              <w:spacing w:before="60" w:after="60"/>
              <w:rPr>
                <w:rFonts w:ascii="Calibri" w:hAnsi="Calibri" w:cstheme="minorHAnsi"/>
                <w:b/>
                <w:bCs/>
              </w:rPr>
            </w:pPr>
            <w:r w:rsidRPr="00434E55">
              <w:rPr>
                <w:rFonts w:ascii="Calibri" w:hAnsi="Calibri" w:cstheme="minorHAnsi"/>
                <w:b/>
                <w:bCs/>
              </w:rPr>
              <w:t>Box 5: Finding that the person will not become fit to be tried within the 12 month period</w:t>
            </w:r>
          </w:p>
        </w:tc>
      </w:tr>
      <w:tr w:rsidR="006D16A1" w:rsidRPr="00434E55" w14:paraId="7B858B40" w14:textId="77777777" w:rsidTr="00EB7F1E">
        <w:tc>
          <w:tcPr>
            <w:tcW w:w="0" w:type="auto"/>
            <w:shd w:val="clear" w:color="auto" w:fill="F2F2F2" w:themeFill="background1" w:themeFillShade="F2"/>
          </w:tcPr>
          <w:p w14:paraId="48242540" w14:textId="77777777" w:rsidR="006D16A1" w:rsidRPr="00434E55" w:rsidRDefault="006D16A1" w:rsidP="00EB7F1E">
            <w:pPr>
              <w:pStyle w:val="ListParagraph"/>
              <w:numPr>
                <w:ilvl w:val="0"/>
                <w:numId w:val="193"/>
              </w:numPr>
              <w:spacing w:line="276" w:lineRule="auto"/>
              <w:ind w:left="527" w:hanging="357"/>
              <w:jc w:val="left"/>
              <w:rPr>
                <w:rFonts w:ascii="Calibri" w:hAnsi="Calibri" w:cstheme="minorHAnsi"/>
              </w:rPr>
            </w:pPr>
            <w:r w:rsidRPr="00434E55">
              <w:rPr>
                <w:rFonts w:ascii="Calibri" w:hAnsi="Calibri" w:cstheme="minorHAnsi"/>
              </w:rPr>
              <w:t xml:space="preserve">If the court finds the person will not become fit to be tried within the 12 month period, it must make orders regarding custody or release. </w:t>
            </w:r>
          </w:p>
          <w:p w14:paraId="2DB5D581" w14:textId="77777777" w:rsidR="006D16A1" w:rsidRPr="00434E55" w:rsidRDefault="006D16A1" w:rsidP="00EB7F1E">
            <w:pPr>
              <w:pStyle w:val="ListParagraph"/>
              <w:numPr>
                <w:ilvl w:val="0"/>
                <w:numId w:val="193"/>
              </w:numPr>
              <w:spacing w:line="276" w:lineRule="auto"/>
              <w:ind w:left="527" w:hanging="357"/>
              <w:jc w:val="left"/>
              <w:rPr>
                <w:rFonts w:ascii="Calibri" w:hAnsi="Calibri" w:cstheme="minorHAnsi"/>
              </w:rPr>
            </w:pPr>
            <w:r w:rsidRPr="00434E55">
              <w:rPr>
                <w:rFonts w:ascii="Calibri" w:hAnsi="Calibri" w:cstheme="minorHAnsi"/>
              </w:rPr>
              <w:t>The court must order the detention of the person as follows:</w:t>
            </w:r>
          </w:p>
          <w:p w14:paraId="45818E4D" w14:textId="77777777" w:rsidR="006D16A1" w:rsidRPr="00434E55" w:rsidRDefault="006D16A1" w:rsidP="00EB7F1E">
            <w:pPr>
              <w:pStyle w:val="ListParagraph"/>
              <w:numPr>
                <w:ilvl w:val="1"/>
                <w:numId w:val="204"/>
              </w:numPr>
              <w:spacing w:after="200" w:line="276" w:lineRule="auto"/>
              <w:jc w:val="left"/>
              <w:rPr>
                <w:rFonts w:ascii="Calibri" w:hAnsi="Calibri" w:cstheme="minorHAnsi"/>
              </w:rPr>
            </w:pPr>
            <w:r w:rsidRPr="00434E55">
              <w:rPr>
                <w:rFonts w:ascii="Calibri" w:hAnsi="Calibri" w:cstheme="minorHAnsi"/>
              </w:rPr>
              <w:t>that the person be detained in a hospital - but only if the person is suffering from a mental illness or mental condition for which treatment is available in a hospital, and the person does not object to detention in a hospital; or</w:t>
            </w:r>
          </w:p>
          <w:p w14:paraId="163CFBFD" w14:textId="77777777" w:rsidR="006D16A1" w:rsidRPr="00434E55" w:rsidRDefault="006D16A1" w:rsidP="00EB7F1E">
            <w:pPr>
              <w:pStyle w:val="ListParagraph"/>
              <w:numPr>
                <w:ilvl w:val="1"/>
                <w:numId w:val="204"/>
              </w:numPr>
              <w:spacing w:after="200" w:line="276" w:lineRule="auto"/>
              <w:jc w:val="left"/>
              <w:rPr>
                <w:rFonts w:ascii="Calibri" w:hAnsi="Calibri" w:cstheme="minorHAnsi"/>
              </w:rPr>
            </w:pPr>
            <w:r w:rsidRPr="00434E55">
              <w:rPr>
                <w:rFonts w:ascii="Calibri" w:hAnsi="Calibri" w:cstheme="minorHAnsi"/>
              </w:rPr>
              <w:t>otherwise - that the person be detained in another place, including a prison.</w:t>
            </w:r>
          </w:p>
          <w:p w14:paraId="404D4004" w14:textId="498522F8" w:rsidR="006D16A1" w:rsidRPr="00434E55" w:rsidRDefault="006D16A1" w:rsidP="00EB7F1E">
            <w:pPr>
              <w:spacing w:line="276" w:lineRule="auto"/>
              <w:ind w:left="1077"/>
              <w:rPr>
                <w:rFonts w:ascii="Calibri" w:hAnsi="Calibri" w:cstheme="minorHAnsi"/>
              </w:rPr>
            </w:pPr>
            <w:r w:rsidRPr="00434E55">
              <w:rPr>
                <w:rFonts w:ascii="Calibri" w:hAnsi="Calibri" w:cstheme="minorHAnsi"/>
              </w:rPr>
              <w:t xml:space="preserve">The period of detention specified in the order must not exceed the maximum </w:t>
            </w:r>
            <w:r w:rsidR="00F91F2C" w:rsidRPr="00434E55">
              <w:rPr>
                <w:rFonts w:ascii="Calibri" w:hAnsi="Calibri" w:cstheme="minorHAnsi"/>
              </w:rPr>
              <w:t>period</w:t>
            </w:r>
            <w:r w:rsidRPr="00434E55">
              <w:rPr>
                <w:rFonts w:ascii="Calibri" w:hAnsi="Calibri" w:cstheme="minorHAnsi"/>
              </w:rPr>
              <w:t xml:space="preserve"> of imprisonment that could have been imposed if the person had been convicted of the offence charged (s 20BC(2)). </w:t>
            </w:r>
          </w:p>
          <w:p w14:paraId="6E9DB28A" w14:textId="77777777" w:rsidR="006D16A1" w:rsidRPr="00434E55" w:rsidRDefault="006D16A1" w:rsidP="00EB7F1E">
            <w:pPr>
              <w:ind w:firstLine="567"/>
              <w:rPr>
                <w:rFonts w:ascii="Calibri" w:hAnsi="Calibri" w:cstheme="minorHAnsi"/>
              </w:rPr>
            </w:pPr>
            <w:r w:rsidRPr="00434E55">
              <w:rPr>
                <w:rFonts w:ascii="Calibri" w:hAnsi="Calibri" w:cstheme="minorHAnsi"/>
              </w:rPr>
              <w:t>OR</w:t>
            </w:r>
          </w:p>
          <w:p w14:paraId="32D75736" w14:textId="77777777" w:rsidR="006D16A1" w:rsidRPr="00434E55" w:rsidRDefault="006D16A1" w:rsidP="00EB7F1E">
            <w:pPr>
              <w:spacing w:line="276" w:lineRule="auto"/>
              <w:ind w:left="567"/>
              <w:rPr>
                <w:rFonts w:ascii="Calibri" w:hAnsi="Calibri" w:cstheme="minorHAnsi"/>
              </w:rPr>
            </w:pPr>
            <w:r w:rsidRPr="00434E55">
              <w:rPr>
                <w:rFonts w:ascii="Calibri" w:hAnsi="Calibri" w:cstheme="minorHAnsi"/>
              </w:rPr>
              <w:t>If in the court’s opinion it is more appropriate to do so, the court may release the person from custody either absolutely or subject to conditions, for a period not exceeding 3 years (s 20BC(5)).</w:t>
            </w:r>
          </w:p>
          <w:p w14:paraId="0A398EDC" w14:textId="77777777" w:rsidR="006D16A1" w:rsidRPr="00434E55" w:rsidRDefault="006D16A1" w:rsidP="00EB7F1E">
            <w:pPr>
              <w:ind w:firstLine="567"/>
              <w:rPr>
                <w:rFonts w:ascii="Calibri" w:hAnsi="Calibri" w:cstheme="minorHAnsi"/>
              </w:rPr>
            </w:pPr>
            <w:r w:rsidRPr="00434E55">
              <w:rPr>
                <w:rFonts w:ascii="Calibri" w:hAnsi="Calibri" w:cstheme="minorHAnsi"/>
              </w:rPr>
              <w:t>The conditions of release may include:</w:t>
            </w:r>
          </w:p>
          <w:p w14:paraId="5D2A3209" w14:textId="77777777" w:rsidR="006D16A1" w:rsidRPr="00434E55" w:rsidRDefault="006D16A1" w:rsidP="00EB7F1E">
            <w:pPr>
              <w:pStyle w:val="ListParagraph"/>
              <w:numPr>
                <w:ilvl w:val="1"/>
                <w:numId w:val="203"/>
              </w:numPr>
              <w:spacing w:after="200" w:line="276" w:lineRule="auto"/>
              <w:jc w:val="left"/>
              <w:rPr>
                <w:rFonts w:ascii="Calibri" w:hAnsi="Calibri" w:cstheme="minorHAnsi"/>
              </w:rPr>
            </w:pPr>
            <w:r w:rsidRPr="00434E55">
              <w:rPr>
                <w:rFonts w:ascii="Calibri" w:hAnsi="Calibri" w:cstheme="minorHAnsi"/>
              </w:rPr>
              <w:t>that the person remain in the care of a responsible person nominated in the order;</w:t>
            </w:r>
          </w:p>
          <w:p w14:paraId="36CE723D" w14:textId="77777777" w:rsidR="006D16A1" w:rsidRPr="00434E55" w:rsidRDefault="006D16A1" w:rsidP="00EB7F1E">
            <w:pPr>
              <w:pStyle w:val="ListParagraph"/>
              <w:numPr>
                <w:ilvl w:val="1"/>
                <w:numId w:val="203"/>
              </w:numPr>
              <w:spacing w:after="200" w:line="276" w:lineRule="auto"/>
              <w:jc w:val="left"/>
              <w:rPr>
                <w:rFonts w:ascii="Calibri" w:hAnsi="Calibri" w:cstheme="minorHAnsi"/>
              </w:rPr>
            </w:pPr>
            <w:r w:rsidRPr="00434E55">
              <w:rPr>
                <w:rFonts w:ascii="Calibri" w:hAnsi="Calibri" w:cstheme="minorHAnsi"/>
              </w:rPr>
              <w:t>that the person attend upon a person nominated, or at a place specified, in the order for assessment of the person’s mental illness, mental condition or intellectual disability, and where appropriate, for treatment;</w:t>
            </w:r>
          </w:p>
          <w:p w14:paraId="29016860" w14:textId="77777777" w:rsidR="006D16A1" w:rsidRPr="00434E55" w:rsidRDefault="006D16A1" w:rsidP="00EB7F1E">
            <w:pPr>
              <w:pStyle w:val="ListParagraph"/>
              <w:numPr>
                <w:ilvl w:val="1"/>
                <w:numId w:val="203"/>
              </w:numPr>
              <w:spacing w:after="200" w:line="276" w:lineRule="auto"/>
              <w:jc w:val="left"/>
              <w:rPr>
                <w:rFonts w:ascii="Calibri" w:hAnsi="Calibri" w:cstheme="minorHAnsi"/>
              </w:rPr>
            </w:pPr>
            <w:r w:rsidRPr="00434E55">
              <w:rPr>
                <w:rFonts w:ascii="Calibri" w:hAnsi="Calibri" w:cstheme="minorHAnsi"/>
              </w:rPr>
              <w:t>any other condition that the court thinks fit (s 20BC(5) and (6)).</w:t>
            </w:r>
          </w:p>
          <w:p w14:paraId="08DF59D2" w14:textId="484A52C4" w:rsidR="006D16A1" w:rsidRPr="00434E55" w:rsidRDefault="006D16A1" w:rsidP="00EB7F1E">
            <w:pPr>
              <w:pStyle w:val="ListParagraph"/>
              <w:numPr>
                <w:ilvl w:val="0"/>
                <w:numId w:val="193"/>
              </w:numPr>
              <w:spacing w:line="276" w:lineRule="auto"/>
              <w:ind w:left="527" w:hanging="357"/>
              <w:jc w:val="left"/>
              <w:rPr>
                <w:rFonts w:ascii="Calibri" w:hAnsi="Calibri" w:cstheme="minorHAnsi"/>
              </w:rPr>
            </w:pPr>
            <w:r w:rsidRPr="00434E55">
              <w:rPr>
                <w:rFonts w:ascii="Calibri" w:hAnsi="Calibri" w:cstheme="minorHAnsi"/>
              </w:rPr>
              <w:t>The previous determination that that there is a prima facie case for the commission of the offence charged acts as a stay against any proceedings, or any further proceedings, against the person, in respect of the offence (s 20BC(8)).</w:t>
            </w:r>
          </w:p>
        </w:tc>
      </w:tr>
    </w:tbl>
    <w:p w14:paraId="14200CE2" w14:textId="248D943B" w:rsidR="00A32581" w:rsidRPr="00434E55" w:rsidRDefault="00A32581" w:rsidP="00A32581">
      <w:pPr>
        <w:rPr>
          <w:rFonts w:asciiTheme="minorHAnsi" w:hAnsiTheme="minorHAnsi" w:cstheme="minorHAnsi"/>
          <w:b/>
          <w:bCs/>
        </w:rPr>
      </w:pPr>
    </w:p>
    <w:tbl>
      <w:tblPr>
        <w:tblW w:w="0" w:type="auto"/>
        <w:tblInd w:w="392" w:type="dxa"/>
        <w:tblBorders>
          <w:top w:val="single" w:sz="4" w:space="0" w:color="auto"/>
          <w:left w:val="single" w:sz="4" w:space="0" w:color="auto"/>
          <w:bottom w:val="single" w:sz="4" w:space="0" w:color="auto"/>
          <w:right w:val="single" w:sz="4" w:space="0" w:color="auto"/>
        </w:tblBorders>
        <w:shd w:val="clear" w:color="auto" w:fill="F2F2F2" w:themeFill="background1" w:themeFillShade="F2"/>
        <w:tblLook w:val="04A0" w:firstRow="1" w:lastRow="0" w:firstColumn="1" w:lastColumn="0" w:noHBand="0" w:noVBand="1"/>
      </w:tblPr>
      <w:tblGrid>
        <w:gridCol w:w="9237"/>
      </w:tblGrid>
      <w:tr w:rsidR="006D16A1" w:rsidRPr="00434E55" w14:paraId="5D6FD643" w14:textId="77777777" w:rsidTr="00EB7F1E">
        <w:trPr>
          <w:tblHeader/>
        </w:trPr>
        <w:tc>
          <w:tcPr>
            <w:tcW w:w="0" w:type="auto"/>
            <w:shd w:val="clear" w:color="auto" w:fill="F2F2F2" w:themeFill="background1" w:themeFillShade="F2"/>
          </w:tcPr>
          <w:p w14:paraId="28945439" w14:textId="25CB33BE" w:rsidR="006D16A1" w:rsidRPr="00434E55" w:rsidRDefault="006D16A1" w:rsidP="00EB7F1E">
            <w:pPr>
              <w:spacing w:before="60" w:after="60"/>
              <w:rPr>
                <w:rFonts w:ascii="Calibri" w:hAnsi="Calibri" w:cstheme="minorHAnsi"/>
                <w:b/>
                <w:bCs/>
              </w:rPr>
            </w:pPr>
            <w:r w:rsidRPr="00434E55">
              <w:rPr>
                <w:rFonts w:ascii="Calibri" w:hAnsi="Calibri" w:cstheme="minorHAnsi"/>
                <w:b/>
                <w:bCs/>
              </w:rPr>
              <w:t>Box 6: Finding that the person will become fit to be tried within the 12 month period.</w:t>
            </w:r>
          </w:p>
        </w:tc>
      </w:tr>
      <w:tr w:rsidR="006D16A1" w:rsidRPr="00B97CA2" w14:paraId="31C31DCD" w14:textId="77777777" w:rsidTr="00EB7F1E">
        <w:tc>
          <w:tcPr>
            <w:tcW w:w="0" w:type="auto"/>
            <w:shd w:val="clear" w:color="auto" w:fill="F2F2F2" w:themeFill="background1" w:themeFillShade="F2"/>
          </w:tcPr>
          <w:p w14:paraId="430B2619" w14:textId="77777777" w:rsidR="006D16A1" w:rsidRPr="00434E55" w:rsidRDefault="006D16A1" w:rsidP="00EB7F1E">
            <w:pPr>
              <w:pStyle w:val="ListParagraph"/>
              <w:numPr>
                <w:ilvl w:val="0"/>
                <w:numId w:val="202"/>
              </w:numPr>
              <w:spacing w:line="276" w:lineRule="auto"/>
              <w:ind w:left="461" w:hanging="284"/>
              <w:jc w:val="left"/>
              <w:rPr>
                <w:rFonts w:ascii="Calibri" w:hAnsi="Calibri" w:cstheme="minorHAnsi"/>
              </w:rPr>
            </w:pPr>
            <w:r w:rsidRPr="00434E55">
              <w:rPr>
                <w:rFonts w:ascii="Calibri" w:hAnsi="Calibri" w:cstheme="minorHAnsi"/>
              </w:rPr>
              <w:t>If the court finds that the person will become fit within the 12 month period and:</w:t>
            </w:r>
          </w:p>
          <w:p w14:paraId="1DC15457" w14:textId="77777777" w:rsidR="006D16A1" w:rsidRPr="00434E55" w:rsidRDefault="006D16A1" w:rsidP="00EB7F1E">
            <w:pPr>
              <w:pStyle w:val="ListParagraph"/>
              <w:numPr>
                <w:ilvl w:val="1"/>
                <w:numId w:val="201"/>
              </w:numPr>
              <w:spacing w:after="200" w:line="276" w:lineRule="auto"/>
              <w:jc w:val="left"/>
              <w:rPr>
                <w:rFonts w:ascii="Calibri" w:hAnsi="Calibri" w:cstheme="minorHAnsi"/>
              </w:rPr>
            </w:pPr>
            <w:r w:rsidRPr="00434E55">
              <w:rPr>
                <w:rFonts w:ascii="Calibri" w:hAnsi="Calibri" w:cstheme="minorHAnsi"/>
              </w:rPr>
              <w:t>is suffering from a mental illness or condition, for which treatment is available in a hospital, and</w:t>
            </w:r>
          </w:p>
          <w:p w14:paraId="1CCD5D7B" w14:textId="77777777" w:rsidR="006D16A1" w:rsidRPr="00434E55" w:rsidRDefault="006D16A1" w:rsidP="00EB7F1E">
            <w:pPr>
              <w:pStyle w:val="ListParagraph"/>
              <w:numPr>
                <w:ilvl w:val="1"/>
                <w:numId w:val="201"/>
              </w:numPr>
              <w:spacing w:after="200" w:line="276" w:lineRule="auto"/>
              <w:jc w:val="left"/>
              <w:rPr>
                <w:rFonts w:ascii="Calibri" w:hAnsi="Calibri" w:cstheme="minorHAnsi"/>
              </w:rPr>
            </w:pPr>
            <w:r w:rsidRPr="00434E55">
              <w:rPr>
                <w:rFonts w:ascii="Calibri" w:hAnsi="Calibri" w:cstheme="minorHAnsi"/>
              </w:rPr>
              <w:t>if so, does not object to being detained in a hospital-</w:t>
            </w:r>
          </w:p>
          <w:p w14:paraId="0D88034A" w14:textId="7032C23C" w:rsidR="006D16A1" w:rsidRPr="00434E55" w:rsidRDefault="006D16A1" w:rsidP="00EB7F1E">
            <w:pPr>
              <w:pStyle w:val="ListParagraph"/>
              <w:spacing w:line="276" w:lineRule="auto"/>
              <w:ind w:left="601"/>
              <w:rPr>
                <w:rFonts w:ascii="Calibri" w:hAnsi="Calibri" w:cstheme="minorHAnsi"/>
              </w:rPr>
            </w:pPr>
            <w:r w:rsidRPr="00434E55">
              <w:rPr>
                <w:rFonts w:ascii="Calibri" w:hAnsi="Calibri" w:cstheme="minorHAnsi"/>
              </w:rPr>
              <w:t>the court must order the person be detained in a hospital until the person becomes fit to be tried</w:t>
            </w:r>
            <w:r w:rsidR="00CF52F6" w:rsidRPr="00434E55">
              <w:rPr>
                <w:rStyle w:val="Style"/>
              </w:rPr>
              <w:footnoteReference w:id="1233"/>
            </w:r>
            <w:r w:rsidRPr="00434E55">
              <w:rPr>
                <w:rFonts w:ascii="Calibri" w:hAnsi="Calibri" w:cstheme="minorHAnsi"/>
              </w:rPr>
              <w:t xml:space="preserve"> (s 20BB(2)). </w:t>
            </w:r>
          </w:p>
          <w:p w14:paraId="35F2EBED" w14:textId="77777777" w:rsidR="006D16A1" w:rsidRPr="00434E55" w:rsidRDefault="006D16A1" w:rsidP="00EB7F1E">
            <w:pPr>
              <w:pStyle w:val="ListParagraph"/>
              <w:numPr>
                <w:ilvl w:val="0"/>
                <w:numId w:val="202"/>
              </w:numPr>
              <w:spacing w:line="276" w:lineRule="auto"/>
              <w:ind w:left="527" w:hanging="357"/>
              <w:jc w:val="left"/>
              <w:rPr>
                <w:rFonts w:ascii="Calibri" w:hAnsi="Calibri" w:cstheme="minorHAnsi"/>
              </w:rPr>
            </w:pPr>
            <w:r w:rsidRPr="00434E55">
              <w:rPr>
                <w:rFonts w:ascii="Calibri" w:hAnsi="Calibri" w:cstheme="minorHAnsi"/>
              </w:rPr>
              <w:t>In other situations where the court finds that the person will become fit within the 12 month period the court must:</w:t>
            </w:r>
          </w:p>
          <w:p w14:paraId="4351A5DC" w14:textId="77777777" w:rsidR="006D16A1" w:rsidRPr="00434E55" w:rsidRDefault="006D16A1" w:rsidP="00EB7F1E">
            <w:pPr>
              <w:pStyle w:val="ListParagraph"/>
              <w:numPr>
                <w:ilvl w:val="0"/>
                <w:numId w:val="200"/>
              </w:numPr>
              <w:spacing w:after="200" w:line="276" w:lineRule="auto"/>
              <w:jc w:val="left"/>
              <w:rPr>
                <w:rFonts w:ascii="Calibri" w:hAnsi="Calibri" w:cstheme="minorHAnsi"/>
              </w:rPr>
            </w:pPr>
            <w:r w:rsidRPr="00434E55">
              <w:rPr>
                <w:rFonts w:ascii="Calibri" w:hAnsi="Calibri" w:cstheme="minorHAnsi"/>
              </w:rPr>
              <w:t>order the person’s detention in a place other than a hospital (including a prison); or</w:t>
            </w:r>
          </w:p>
          <w:p w14:paraId="2E54BCB1" w14:textId="77777777" w:rsidR="006D16A1" w:rsidRPr="00434E55" w:rsidRDefault="006D16A1" w:rsidP="00EB7F1E">
            <w:pPr>
              <w:pStyle w:val="ListParagraph"/>
              <w:numPr>
                <w:ilvl w:val="0"/>
                <w:numId w:val="200"/>
              </w:numPr>
              <w:spacing w:line="276" w:lineRule="auto"/>
              <w:jc w:val="left"/>
              <w:rPr>
                <w:rFonts w:ascii="Calibri" w:hAnsi="Calibri" w:cstheme="minorHAnsi"/>
              </w:rPr>
            </w:pPr>
            <w:r w:rsidRPr="00434E55">
              <w:rPr>
                <w:rFonts w:ascii="Calibri" w:hAnsi="Calibri" w:cstheme="minorHAnsi"/>
              </w:rPr>
              <w:t>grant bail on condition that the person live at an address or place specified by the court-</w:t>
            </w:r>
          </w:p>
          <w:p w14:paraId="03D7AEFE" w14:textId="7F3E6AC8" w:rsidR="006D16A1" w:rsidRPr="00434E55" w:rsidRDefault="006D16A1" w:rsidP="006D16A1">
            <w:pPr>
              <w:ind w:left="1080"/>
              <w:rPr>
                <w:rFonts w:ascii="Calibri" w:hAnsi="Calibri" w:cstheme="minorHAnsi"/>
              </w:rPr>
            </w:pPr>
            <w:r w:rsidRPr="00434E55">
              <w:rPr>
                <w:rFonts w:ascii="Calibri" w:hAnsi="Calibri" w:cstheme="minorHAnsi"/>
              </w:rPr>
              <w:t>until the person becomes fit to be tried</w:t>
            </w:r>
            <w:r w:rsidR="00CF52F6" w:rsidRPr="00434E55">
              <w:rPr>
                <w:rStyle w:val="Style"/>
              </w:rPr>
              <w:footnoteReference w:id="1234"/>
            </w:r>
            <w:r w:rsidRPr="00434E55">
              <w:rPr>
                <w:rFonts w:ascii="Calibri" w:hAnsi="Calibri" w:cstheme="minorHAnsi"/>
              </w:rPr>
              <w:t xml:space="preserve"> (s 20BB(2)). </w:t>
            </w:r>
          </w:p>
          <w:p w14:paraId="2D10A561" w14:textId="77777777" w:rsidR="006D16A1" w:rsidRPr="00434E55" w:rsidRDefault="006D16A1" w:rsidP="006D16A1">
            <w:pPr>
              <w:ind w:left="1080"/>
              <w:rPr>
                <w:rFonts w:ascii="Calibri" w:hAnsi="Calibri" w:cstheme="minorHAnsi"/>
              </w:rPr>
            </w:pPr>
            <w:r w:rsidRPr="00434E55">
              <w:rPr>
                <w:rFonts w:ascii="Calibri" w:hAnsi="Calibri" w:cstheme="minorHAnsi"/>
              </w:rPr>
              <w:t>See box 7</w:t>
            </w:r>
          </w:p>
          <w:p w14:paraId="33F0A3A7" w14:textId="2CD7CC4E" w:rsidR="000B7CA9" w:rsidRPr="00434E55" w:rsidRDefault="000B7CA9" w:rsidP="00EB7F1E">
            <w:pPr>
              <w:ind w:left="1080"/>
              <w:rPr>
                <w:rFonts w:ascii="Calibri" w:hAnsi="Calibri" w:cstheme="minorHAnsi"/>
              </w:rPr>
            </w:pPr>
          </w:p>
        </w:tc>
      </w:tr>
    </w:tbl>
    <w:p w14:paraId="5F3F2C8F" w14:textId="206A96DA" w:rsidR="005D4577" w:rsidRPr="00B97CA2" w:rsidRDefault="005D4577">
      <w:pPr>
        <w:rPr>
          <w:rFonts w:asciiTheme="minorHAnsi" w:hAnsiTheme="minorHAnsi" w:cstheme="minorHAnsi"/>
          <w:b/>
          <w:bCs/>
          <w:highlight w:val="cyan"/>
        </w:rPr>
      </w:pPr>
    </w:p>
    <w:tbl>
      <w:tblPr>
        <w:tblW w:w="0" w:type="auto"/>
        <w:tblInd w:w="392" w:type="dxa"/>
        <w:tblBorders>
          <w:top w:val="single" w:sz="4" w:space="0" w:color="auto"/>
          <w:left w:val="single" w:sz="4" w:space="0" w:color="auto"/>
          <w:bottom w:val="single" w:sz="4" w:space="0" w:color="auto"/>
          <w:right w:val="single" w:sz="4" w:space="0" w:color="auto"/>
        </w:tblBorders>
        <w:shd w:val="clear" w:color="auto" w:fill="F2F2F2" w:themeFill="background1" w:themeFillShade="F2"/>
        <w:tblLook w:val="04A0" w:firstRow="1" w:lastRow="0" w:firstColumn="1" w:lastColumn="0" w:noHBand="0" w:noVBand="1"/>
      </w:tblPr>
      <w:tblGrid>
        <w:gridCol w:w="9237"/>
      </w:tblGrid>
      <w:tr w:rsidR="006D16A1" w:rsidRPr="00B97CA2" w14:paraId="4D680939" w14:textId="77777777" w:rsidTr="00EB7F1E">
        <w:trPr>
          <w:tblHeader/>
        </w:trPr>
        <w:tc>
          <w:tcPr>
            <w:tcW w:w="0" w:type="auto"/>
            <w:shd w:val="clear" w:color="auto" w:fill="F2F2F2" w:themeFill="background1" w:themeFillShade="F2"/>
          </w:tcPr>
          <w:p w14:paraId="36BEB665" w14:textId="77BBA791" w:rsidR="006D16A1" w:rsidRPr="00434E55" w:rsidRDefault="006D16A1" w:rsidP="00EB7F1E">
            <w:pPr>
              <w:spacing w:before="60" w:after="60"/>
              <w:rPr>
                <w:rFonts w:ascii="Calibri" w:hAnsi="Calibri" w:cstheme="minorHAnsi"/>
                <w:b/>
                <w:bCs/>
              </w:rPr>
            </w:pPr>
            <w:r w:rsidRPr="00434E55">
              <w:rPr>
                <w:rFonts w:ascii="Calibri" w:hAnsi="Calibri" w:cstheme="minorHAnsi"/>
                <w:b/>
                <w:bCs/>
              </w:rPr>
              <w:t>Box 7:  Resolution if person expected to become fit to be tried within the 12 month period</w:t>
            </w:r>
          </w:p>
        </w:tc>
      </w:tr>
      <w:tr w:rsidR="006D16A1" w:rsidRPr="004F2343" w14:paraId="697ABBD8" w14:textId="77777777" w:rsidTr="00EB7F1E">
        <w:tc>
          <w:tcPr>
            <w:tcW w:w="0" w:type="auto"/>
            <w:shd w:val="clear" w:color="auto" w:fill="F2F2F2" w:themeFill="background1" w:themeFillShade="F2"/>
          </w:tcPr>
          <w:p w14:paraId="4AE97629" w14:textId="553FEB50" w:rsidR="006D16A1" w:rsidRPr="00434E55" w:rsidRDefault="00FA2A8E" w:rsidP="00EB7F1E">
            <w:pPr>
              <w:pStyle w:val="ListParagraph"/>
              <w:numPr>
                <w:ilvl w:val="0"/>
                <w:numId w:val="194"/>
              </w:numPr>
              <w:spacing w:line="276" w:lineRule="auto"/>
              <w:ind w:left="527" w:hanging="357"/>
              <w:jc w:val="left"/>
              <w:rPr>
                <w:rFonts w:ascii="Calibri" w:hAnsi="Calibri" w:cstheme="minorHAnsi"/>
              </w:rPr>
            </w:pPr>
            <w:r w:rsidRPr="00434E55">
              <w:rPr>
                <w:rFonts w:ascii="Calibri" w:hAnsi="Calibri" w:cstheme="minorHAnsi"/>
              </w:rPr>
              <w:t>I</w:t>
            </w:r>
            <w:r w:rsidR="006D16A1" w:rsidRPr="00434E55">
              <w:rPr>
                <w:rFonts w:ascii="Calibri" w:hAnsi="Calibri" w:cstheme="minorHAnsi"/>
              </w:rPr>
              <w:t>f the court has found that the person will become fit within 12 months (see box 6), and the person duly becomes fit within that period-</w:t>
            </w:r>
          </w:p>
          <w:p w14:paraId="7966DC22" w14:textId="77777777" w:rsidR="006D16A1" w:rsidRPr="00434E55" w:rsidRDefault="006D16A1" w:rsidP="00EB7F1E">
            <w:pPr>
              <w:pStyle w:val="ListParagraph"/>
              <w:numPr>
                <w:ilvl w:val="1"/>
                <w:numId w:val="198"/>
              </w:numPr>
              <w:spacing w:after="200" w:line="276" w:lineRule="auto"/>
              <w:jc w:val="left"/>
              <w:rPr>
                <w:rFonts w:ascii="Calibri" w:hAnsi="Calibri" w:cstheme="minorHAnsi"/>
              </w:rPr>
            </w:pPr>
            <w:r w:rsidRPr="00434E55">
              <w:rPr>
                <w:rFonts w:ascii="Calibri" w:hAnsi="Calibri" w:cstheme="minorHAnsi"/>
              </w:rPr>
              <w:t xml:space="preserve"> if the person had been indicted on the charge before being found unfit, the proceedings on the indictment must be continued as soon as practicable (s 20BB(3)(a)); or</w:t>
            </w:r>
          </w:p>
          <w:p w14:paraId="7A17EB00" w14:textId="77777777" w:rsidR="006D16A1" w:rsidRPr="00434E55" w:rsidRDefault="006D16A1" w:rsidP="00EB7F1E">
            <w:pPr>
              <w:pStyle w:val="ListParagraph"/>
              <w:numPr>
                <w:ilvl w:val="1"/>
                <w:numId w:val="198"/>
              </w:numPr>
              <w:spacing w:after="200" w:line="276" w:lineRule="auto"/>
              <w:jc w:val="left"/>
              <w:rPr>
                <w:rFonts w:ascii="Calibri" w:hAnsi="Calibri" w:cstheme="minorHAnsi"/>
              </w:rPr>
            </w:pPr>
            <w:r w:rsidRPr="00434E55">
              <w:rPr>
                <w:rFonts w:ascii="Calibri" w:hAnsi="Calibri" w:cstheme="minorHAnsi"/>
              </w:rPr>
              <w:t>if the matter of fitness arose during the committal, the committal proceedings must continue before the magistrate as soon as practicable (s 20BB(3)(b)).</w:t>
            </w:r>
          </w:p>
          <w:p w14:paraId="029F5983" w14:textId="77777777" w:rsidR="006D16A1" w:rsidRPr="00434E55" w:rsidRDefault="006D16A1" w:rsidP="006D16A1">
            <w:pPr>
              <w:pStyle w:val="ListParagraph"/>
              <w:ind w:left="1440"/>
              <w:rPr>
                <w:rFonts w:ascii="Calibri" w:hAnsi="Calibri" w:cstheme="minorHAnsi"/>
              </w:rPr>
            </w:pPr>
          </w:p>
          <w:p w14:paraId="3639A978" w14:textId="68247A71" w:rsidR="006D16A1" w:rsidRPr="00434E55" w:rsidRDefault="006D16A1" w:rsidP="00EB7F1E">
            <w:pPr>
              <w:pStyle w:val="ListParagraph"/>
              <w:numPr>
                <w:ilvl w:val="0"/>
                <w:numId w:val="194"/>
              </w:numPr>
              <w:spacing w:line="276" w:lineRule="auto"/>
              <w:ind w:left="527" w:hanging="357"/>
              <w:jc w:val="left"/>
              <w:rPr>
                <w:rFonts w:ascii="Calibri" w:hAnsi="Calibri" w:cstheme="minorHAnsi"/>
              </w:rPr>
            </w:pPr>
            <w:r w:rsidRPr="00434E55">
              <w:rPr>
                <w:rFonts w:ascii="Calibri" w:hAnsi="Calibri" w:cstheme="minorHAnsi"/>
              </w:rPr>
              <w:t xml:space="preserve">If the person does not become fit within the 12 month period, at the end of that period the court must </w:t>
            </w:r>
            <w:r w:rsidR="00C5282B" w:rsidRPr="00434E55">
              <w:rPr>
                <w:rFonts w:ascii="Calibri" w:hAnsi="Calibri" w:cstheme="minorHAnsi"/>
              </w:rPr>
              <w:t xml:space="preserve">make an </w:t>
            </w:r>
            <w:r w:rsidRPr="00434E55">
              <w:rPr>
                <w:rFonts w:ascii="Calibri" w:hAnsi="Calibri" w:cstheme="minorHAnsi"/>
              </w:rPr>
              <w:t xml:space="preserve">order </w:t>
            </w:r>
            <w:r w:rsidR="00C5282B" w:rsidRPr="00434E55">
              <w:rPr>
                <w:rFonts w:ascii="Calibri" w:hAnsi="Calibri" w:cstheme="minorHAnsi"/>
              </w:rPr>
              <w:t xml:space="preserve">as to </w:t>
            </w:r>
            <w:r w:rsidRPr="00434E55">
              <w:rPr>
                <w:rFonts w:ascii="Calibri" w:hAnsi="Calibri" w:cstheme="minorHAnsi"/>
              </w:rPr>
              <w:t xml:space="preserve">the detention or release of the person. </w:t>
            </w:r>
          </w:p>
          <w:p w14:paraId="5D2720E2" w14:textId="77777777" w:rsidR="006D16A1" w:rsidRPr="00434E55" w:rsidRDefault="006D16A1" w:rsidP="00EB7F1E">
            <w:pPr>
              <w:pStyle w:val="ListParagraph"/>
              <w:numPr>
                <w:ilvl w:val="0"/>
                <w:numId w:val="194"/>
              </w:numPr>
              <w:spacing w:line="276" w:lineRule="auto"/>
              <w:ind w:left="527" w:hanging="357"/>
              <w:jc w:val="left"/>
              <w:rPr>
                <w:rFonts w:ascii="Calibri" w:hAnsi="Calibri" w:cstheme="minorHAnsi"/>
              </w:rPr>
            </w:pPr>
            <w:r w:rsidRPr="00434E55">
              <w:rPr>
                <w:rFonts w:ascii="Calibri" w:hAnsi="Calibri" w:cstheme="minorHAnsi"/>
              </w:rPr>
              <w:t>The court must order the detention of the person as follows:</w:t>
            </w:r>
          </w:p>
          <w:p w14:paraId="533DCC9B" w14:textId="77777777" w:rsidR="006D16A1" w:rsidRPr="00434E55" w:rsidRDefault="006D16A1" w:rsidP="00EB7F1E">
            <w:pPr>
              <w:pStyle w:val="ListParagraph"/>
              <w:numPr>
                <w:ilvl w:val="1"/>
                <w:numId w:val="197"/>
              </w:numPr>
              <w:spacing w:after="200" w:line="276" w:lineRule="auto"/>
              <w:jc w:val="left"/>
              <w:rPr>
                <w:rFonts w:ascii="Calibri" w:hAnsi="Calibri" w:cstheme="minorHAnsi"/>
              </w:rPr>
            </w:pPr>
            <w:r w:rsidRPr="00434E55">
              <w:rPr>
                <w:rFonts w:ascii="Calibri" w:hAnsi="Calibri" w:cstheme="minorHAnsi"/>
              </w:rPr>
              <w:t>that the person be detained in a hospital - but only if the person is suffering from a mental illness or mental condition for which treatment is available in a hospital, and the person does not object to detention in a hospital; or</w:t>
            </w:r>
          </w:p>
          <w:p w14:paraId="04DF3F10" w14:textId="77777777" w:rsidR="006D16A1" w:rsidRPr="00434E55" w:rsidRDefault="006D16A1" w:rsidP="00EB7F1E">
            <w:pPr>
              <w:pStyle w:val="ListParagraph"/>
              <w:numPr>
                <w:ilvl w:val="1"/>
                <w:numId w:val="197"/>
              </w:numPr>
              <w:spacing w:after="200" w:line="276" w:lineRule="auto"/>
              <w:jc w:val="left"/>
              <w:rPr>
                <w:rFonts w:ascii="Calibri" w:hAnsi="Calibri" w:cstheme="minorHAnsi"/>
              </w:rPr>
            </w:pPr>
            <w:r w:rsidRPr="00434E55">
              <w:rPr>
                <w:rFonts w:ascii="Calibri" w:hAnsi="Calibri" w:cstheme="minorHAnsi"/>
              </w:rPr>
              <w:t>otherwise - that the person be detained in another place including a prison.</w:t>
            </w:r>
          </w:p>
          <w:p w14:paraId="0382F9BF" w14:textId="77777777" w:rsidR="006D16A1" w:rsidRPr="00434E55" w:rsidRDefault="006D16A1" w:rsidP="006D16A1">
            <w:pPr>
              <w:pStyle w:val="ListParagraph"/>
              <w:ind w:left="1440"/>
              <w:rPr>
                <w:rFonts w:ascii="Calibri" w:hAnsi="Calibri" w:cstheme="minorHAnsi"/>
              </w:rPr>
            </w:pPr>
          </w:p>
          <w:p w14:paraId="52B3B8F3" w14:textId="610177BC" w:rsidR="006D16A1" w:rsidRPr="00434E55" w:rsidRDefault="006D16A1" w:rsidP="00EB7F1E">
            <w:pPr>
              <w:spacing w:line="276" w:lineRule="auto"/>
              <w:ind w:left="1080"/>
              <w:rPr>
                <w:rFonts w:ascii="Calibri" w:hAnsi="Calibri" w:cstheme="minorHAnsi"/>
              </w:rPr>
            </w:pPr>
            <w:r w:rsidRPr="00434E55">
              <w:rPr>
                <w:rFonts w:ascii="Calibri" w:hAnsi="Calibri" w:cstheme="minorHAnsi"/>
              </w:rPr>
              <w:t xml:space="preserve">The period of detention specified in the order must not exceed the maximum </w:t>
            </w:r>
            <w:r w:rsidR="009E6B70" w:rsidRPr="00434E55">
              <w:rPr>
                <w:rFonts w:ascii="Calibri" w:hAnsi="Calibri" w:cstheme="minorHAnsi"/>
              </w:rPr>
              <w:t xml:space="preserve">period </w:t>
            </w:r>
            <w:r w:rsidRPr="00434E55">
              <w:rPr>
                <w:rFonts w:ascii="Calibri" w:hAnsi="Calibri" w:cstheme="minorHAnsi"/>
              </w:rPr>
              <w:t xml:space="preserve">of imprisonment that could have been imposed if the person had been convicted of the offence charged (s 20BC(2) applied by s 20BB(4)). </w:t>
            </w:r>
          </w:p>
          <w:p w14:paraId="53CB34B1" w14:textId="77777777" w:rsidR="006D16A1" w:rsidRPr="00434E55" w:rsidRDefault="006D16A1" w:rsidP="00EB7F1E">
            <w:pPr>
              <w:spacing w:line="276" w:lineRule="auto"/>
              <w:ind w:left="1080"/>
              <w:rPr>
                <w:rFonts w:ascii="Calibri" w:hAnsi="Calibri" w:cstheme="minorHAnsi"/>
              </w:rPr>
            </w:pPr>
            <w:r w:rsidRPr="00434E55">
              <w:rPr>
                <w:rFonts w:ascii="Calibri" w:hAnsi="Calibri" w:cstheme="minorHAnsi"/>
              </w:rPr>
              <w:t>In fixing the period of detention the court must have regard to any period of detention already served under section 20BB(2) (s 20BB(5)).</w:t>
            </w:r>
          </w:p>
          <w:p w14:paraId="35B15227" w14:textId="77777777" w:rsidR="006D16A1" w:rsidRPr="00434E55" w:rsidRDefault="006D16A1" w:rsidP="00EB7F1E">
            <w:pPr>
              <w:spacing w:line="276" w:lineRule="auto"/>
              <w:ind w:firstLine="567"/>
              <w:rPr>
                <w:rFonts w:ascii="Calibri" w:hAnsi="Calibri" w:cstheme="minorHAnsi"/>
              </w:rPr>
            </w:pPr>
            <w:r w:rsidRPr="00434E55">
              <w:rPr>
                <w:rFonts w:ascii="Calibri" w:hAnsi="Calibri" w:cstheme="minorHAnsi"/>
              </w:rPr>
              <w:t>OR</w:t>
            </w:r>
          </w:p>
          <w:p w14:paraId="6EA97290" w14:textId="77777777" w:rsidR="006D16A1" w:rsidRPr="00434E55" w:rsidRDefault="006D16A1" w:rsidP="00EB7F1E">
            <w:pPr>
              <w:spacing w:line="276" w:lineRule="auto"/>
              <w:ind w:left="567"/>
              <w:rPr>
                <w:rFonts w:ascii="Calibri" w:hAnsi="Calibri" w:cstheme="minorHAnsi"/>
              </w:rPr>
            </w:pPr>
            <w:r w:rsidRPr="00434E55">
              <w:rPr>
                <w:rFonts w:ascii="Calibri" w:hAnsi="Calibri" w:cstheme="minorHAnsi"/>
              </w:rPr>
              <w:t xml:space="preserve">If in the court’s opinion it is more appropriate to do so, the court may release the person from custody either absolutely or subject to conditions, for a period not exceeding 3 years ((20BC(5) applied by s 20BB(4)).  </w:t>
            </w:r>
          </w:p>
          <w:p w14:paraId="759CFAB1" w14:textId="77777777" w:rsidR="006D16A1" w:rsidRPr="00434E55" w:rsidRDefault="006D16A1" w:rsidP="00EB7F1E">
            <w:pPr>
              <w:spacing w:line="276" w:lineRule="auto"/>
              <w:ind w:left="567"/>
              <w:rPr>
                <w:rFonts w:ascii="Calibri" w:hAnsi="Calibri" w:cstheme="minorHAnsi"/>
              </w:rPr>
            </w:pPr>
            <w:r w:rsidRPr="00434E55">
              <w:rPr>
                <w:rFonts w:ascii="Calibri" w:hAnsi="Calibri" w:cstheme="minorHAnsi"/>
              </w:rPr>
              <w:t>If it is appropriate to release the person, and the person is already on bail, the court must continue the person’s release on bail (s 20BB(5)).</w:t>
            </w:r>
          </w:p>
          <w:p w14:paraId="224A4639" w14:textId="77777777" w:rsidR="006D16A1" w:rsidRPr="00434E55" w:rsidRDefault="006D16A1" w:rsidP="00EB7F1E">
            <w:pPr>
              <w:spacing w:line="276" w:lineRule="auto"/>
              <w:ind w:left="567"/>
              <w:rPr>
                <w:rFonts w:ascii="Calibri" w:hAnsi="Calibri" w:cstheme="minorHAnsi"/>
              </w:rPr>
            </w:pPr>
            <w:r w:rsidRPr="00434E55">
              <w:rPr>
                <w:rFonts w:ascii="Calibri" w:hAnsi="Calibri" w:cstheme="minorHAnsi"/>
              </w:rPr>
              <w:t>Conditions of release may include:</w:t>
            </w:r>
          </w:p>
          <w:p w14:paraId="1674BE2B" w14:textId="77777777" w:rsidR="006D16A1" w:rsidRPr="00434E55" w:rsidRDefault="006D16A1" w:rsidP="00EB7F1E">
            <w:pPr>
              <w:pStyle w:val="ListParagraph"/>
              <w:numPr>
                <w:ilvl w:val="1"/>
                <w:numId w:val="199"/>
              </w:numPr>
              <w:spacing w:after="200" w:line="276" w:lineRule="auto"/>
              <w:jc w:val="left"/>
              <w:rPr>
                <w:rFonts w:ascii="Calibri" w:hAnsi="Calibri" w:cstheme="minorHAnsi"/>
              </w:rPr>
            </w:pPr>
            <w:r w:rsidRPr="00434E55">
              <w:rPr>
                <w:rFonts w:ascii="Calibri" w:hAnsi="Calibri" w:cstheme="minorHAnsi"/>
              </w:rPr>
              <w:t>That the person remain in the care of a responsible person nominated in the order;</w:t>
            </w:r>
          </w:p>
          <w:p w14:paraId="17B039B6" w14:textId="77777777" w:rsidR="006D16A1" w:rsidRPr="00434E55" w:rsidRDefault="006D16A1" w:rsidP="00EB7F1E">
            <w:pPr>
              <w:pStyle w:val="ListParagraph"/>
              <w:numPr>
                <w:ilvl w:val="1"/>
                <w:numId w:val="199"/>
              </w:numPr>
              <w:spacing w:after="200" w:line="276" w:lineRule="auto"/>
              <w:jc w:val="left"/>
              <w:rPr>
                <w:rFonts w:ascii="Calibri" w:hAnsi="Calibri" w:cstheme="minorHAnsi"/>
              </w:rPr>
            </w:pPr>
            <w:r w:rsidRPr="00434E55">
              <w:rPr>
                <w:rFonts w:ascii="Calibri" w:hAnsi="Calibri" w:cstheme="minorHAnsi"/>
              </w:rPr>
              <w:t>That the person attend upon a person nominated, or at a place specified, in the order for assessment of the person’s mental illness, mental condition or intellectual disability, and where appropriate, for treatment;</w:t>
            </w:r>
          </w:p>
          <w:p w14:paraId="5EA2B689" w14:textId="77777777" w:rsidR="006D16A1" w:rsidRPr="00434E55" w:rsidRDefault="006D16A1" w:rsidP="00EB7F1E">
            <w:pPr>
              <w:pStyle w:val="ListParagraph"/>
              <w:numPr>
                <w:ilvl w:val="1"/>
                <w:numId w:val="199"/>
              </w:numPr>
              <w:spacing w:line="276" w:lineRule="auto"/>
              <w:ind w:left="1434" w:hanging="357"/>
              <w:jc w:val="left"/>
              <w:rPr>
                <w:rFonts w:ascii="Calibri" w:hAnsi="Calibri" w:cstheme="minorHAnsi"/>
              </w:rPr>
            </w:pPr>
            <w:r w:rsidRPr="00434E55">
              <w:rPr>
                <w:rFonts w:ascii="Calibri" w:hAnsi="Calibri" w:cstheme="minorHAnsi"/>
              </w:rPr>
              <w:t>Any other condition that the court thinks fit (s 20BC(5) and (6) applied by s 20BB(4)).</w:t>
            </w:r>
          </w:p>
          <w:p w14:paraId="2341812F" w14:textId="5E9E2B7A" w:rsidR="006D16A1" w:rsidRPr="00434E55" w:rsidRDefault="006D16A1" w:rsidP="00EB7F1E">
            <w:pPr>
              <w:spacing w:line="276" w:lineRule="auto"/>
              <w:ind w:left="567"/>
              <w:rPr>
                <w:rFonts w:ascii="Calibri" w:hAnsi="Calibri" w:cstheme="minorHAnsi"/>
              </w:rPr>
            </w:pPr>
            <w:r w:rsidRPr="00434E55">
              <w:rPr>
                <w:rFonts w:ascii="Calibri" w:hAnsi="Calibri" w:cstheme="minorHAnsi"/>
              </w:rPr>
              <w:t>In fixing the period of the person’s release for which conditions apply, the court must have regard to any period of detention already served under section 20BB(2) (s 20BB(</w:t>
            </w:r>
            <w:r w:rsidR="004C1C9C" w:rsidRPr="00434E55">
              <w:rPr>
                <w:rFonts w:ascii="Calibri" w:hAnsi="Calibri" w:cstheme="minorHAnsi"/>
              </w:rPr>
              <w:t>5</w:t>
            </w:r>
            <w:r w:rsidRPr="00434E55">
              <w:rPr>
                <w:rFonts w:ascii="Calibri" w:hAnsi="Calibri" w:cstheme="minorHAnsi"/>
              </w:rPr>
              <w:t>)).</w:t>
            </w:r>
          </w:p>
          <w:p w14:paraId="36620586" w14:textId="18EFCFCE" w:rsidR="000B7CA9" w:rsidRPr="00434E55" w:rsidRDefault="006D16A1" w:rsidP="00EB7F1E">
            <w:pPr>
              <w:pStyle w:val="ListParagraph"/>
              <w:numPr>
                <w:ilvl w:val="0"/>
                <w:numId w:val="194"/>
              </w:numPr>
              <w:spacing w:line="276" w:lineRule="auto"/>
              <w:ind w:left="527" w:hanging="357"/>
              <w:jc w:val="left"/>
              <w:rPr>
                <w:rFonts w:ascii="Calibri" w:hAnsi="Calibri" w:cstheme="minorHAnsi"/>
              </w:rPr>
            </w:pPr>
            <w:r w:rsidRPr="00434E55">
              <w:rPr>
                <w:rFonts w:ascii="Calibri" w:hAnsi="Calibri" w:cstheme="minorHAnsi"/>
              </w:rPr>
              <w:t>The previous determination that there is a prima facie case for the commission of the offence charged acts as a stay against any proceedings, or any further proceedings, against the person, in respect of the offence (s 20BB(6)).</w:t>
            </w:r>
          </w:p>
        </w:tc>
      </w:tr>
    </w:tbl>
    <w:p w14:paraId="3EFC023A" w14:textId="30573A7A" w:rsidR="000B7CA9" w:rsidRPr="00EB7F1E" w:rsidRDefault="000B7CA9" w:rsidP="00EB7F1E">
      <w:pPr>
        <w:keepNext/>
        <w:spacing w:line="276" w:lineRule="auto"/>
        <w:rPr>
          <w:rFonts w:asciiTheme="minorHAnsi" w:hAnsiTheme="minorHAnsi" w:cstheme="minorHAnsi"/>
          <w:szCs w:val="22"/>
        </w:rPr>
      </w:pPr>
    </w:p>
    <w:sectPr w:rsidR="000B7CA9" w:rsidRPr="00EB7F1E" w:rsidSect="002641E0">
      <w:pgSz w:w="11907" w:h="16840" w:code="9"/>
      <w:pgMar w:top="1134" w:right="1134" w:bottom="1134" w:left="1134" w:header="709" w:footer="38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7DEBD9" w14:textId="77777777" w:rsidR="00D44BCF" w:rsidRDefault="00D44BCF">
      <w:r>
        <w:separator/>
      </w:r>
    </w:p>
    <w:p w14:paraId="53CDA684" w14:textId="77777777" w:rsidR="00D44BCF" w:rsidRDefault="00D44BCF"/>
  </w:endnote>
  <w:endnote w:type="continuationSeparator" w:id="0">
    <w:p w14:paraId="4BBCA4B5" w14:textId="77777777" w:rsidR="00D44BCF" w:rsidRDefault="00D44BCF">
      <w:r>
        <w:continuationSeparator/>
      </w:r>
    </w:p>
    <w:p w14:paraId="1F07814F" w14:textId="77777777" w:rsidR="00D44BCF" w:rsidRDefault="00D44B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Calibri Bold">
    <w:altName w:val="Calibri"/>
    <w:panose1 w:val="020F07020304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8144DE" w14:textId="69A03E37" w:rsidR="00D44BCF" w:rsidRPr="00BE40D7" w:rsidRDefault="00D44BCF" w:rsidP="00553F36">
    <w:pPr>
      <w:pStyle w:val="Footer"/>
      <w:framePr w:wrap="around" w:vAnchor="text" w:hAnchor="margin" w:xAlign="right" w:y="1"/>
      <w:rPr>
        <w:rStyle w:val="PageNumber"/>
        <w:rFonts w:asciiTheme="minorHAnsi" w:hAnsiTheme="minorHAnsi"/>
        <w:sz w:val="22"/>
        <w:szCs w:val="22"/>
      </w:rPr>
    </w:pPr>
    <w:r w:rsidRPr="00BE40D7">
      <w:rPr>
        <w:rStyle w:val="PageNumber"/>
        <w:rFonts w:asciiTheme="minorHAnsi" w:hAnsiTheme="minorHAnsi"/>
        <w:sz w:val="22"/>
        <w:szCs w:val="22"/>
      </w:rPr>
      <w:fldChar w:fldCharType="begin"/>
    </w:r>
    <w:r w:rsidRPr="00BE40D7">
      <w:rPr>
        <w:rStyle w:val="PageNumber"/>
        <w:rFonts w:asciiTheme="minorHAnsi" w:hAnsiTheme="minorHAnsi"/>
        <w:sz w:val="22"/>
        <w:szCs w:val="22"/>
      </w:rPr>
      <w:instrText xml:space="preserve">PAGE  </w:instrText>
    </w:r>
    <w:r w:rsidRPr="00BE40D7">
      <w:rPr>
        <w:rStyle w:val="PageNumber"/>
        <w:rFonts w:asciiTheme="minorHAnsi" w:hAnsiTheme="minorHAnsi"/>
        <w:sz w:val="22"/>
        <w:szCs w:val="22"/>
      </w:rPr>
      <w:fldChar w:fldCharType="separate"/>
    </w:r>
    <w:r w:rsidR="00F51B89">
      <w:rPr>
        <w:rStyle w:val="PageNumber"/>
        <w:rFonts w:asciiTheme="minorHAnsi" w:hAnsiTheme="minorHAnsi"/>
        <w:noProof/>
        <w:sz w:val="22"/>
        <w:szCs w:val="22"/>
      </w:rPr>
      <w:t>1</w:t>
    </w:r>
    <w:r w:rsidRPr="00BE40D7">
      <w:rPr>
        <w:rStyle w:val="PageNumber"/>
        <w:rFonts w:asciiTheme="minorHAnsi" w:hAnsiTheme="minorHAnsi"/>
        <w:sz w:val="22"/>
        <w:szCs w:val="22"/>
      </w:rPr>
      <w:fldChar w:fldCharType="end"/>
    </w:r>
  </w:p>
  <w:p w14:paraId="673BCC1E" w14:textId="77777777" w:rsidR="00D44BCF" w:rsidRPr="004F2343" w:rsidRDefault="00D44BCF" w:rsidP="00F24F3F">
    <w:pPr>
      <w:pStyle w:val="Footer"/>
      <w:jc w:val="right"/>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6478D" w14:textId="55959084" w:rsidR="00D44BCF" w:rsidRPr="00BE40D7" w:rsidRDefault="00D44BCF" w:rsidP="00553F36">
    <w:pPr>
      <w:pStyle w:val="Footer"/>
      <w:framePr w:wrap="around" w:vAnchor="text" w:hAnchor="margin" w:xAlign="right" w:y="1"/>
      <w:rPr>
        <w:rStyle w:val="PageNumber"/>
        <w:rFonts w:asciiTheme="minorHAnsi" w:hAnsiTheme="minorHAnsi"/>
        <w:sz w:val="22"/>
        <w:szCs w:val="22"/>
      </w:rPr>
    </w:pPr>
    <w:r w:rsidRPr="00BE40D7">
      <w:rPr>
        <w:rStyle w:val="PageNumber"/>
        <w:rFonts w:asciiTheme="minorHAnsi" w:hAnsiTheme="minorHAnsi"/>
        <w:sz w:val="22"/>
        <w:szCs w:val="22"/>
      </w:rPr>
      <w:fldChar w:fldCharType="begin"/>
    </w:r>
    <w:r w:rsidRPr="00BE40D7">
      <w:rPr>
        <w:rStyle w:val="PageNumber"/>
        <w:rFonts w:asciiTheme="minorHAnsi" w:hAnsiTheme="minorHAnsi"/>
        <w:sz w:val="22"/>
        <w:szCs w:val="22"/>
      </w:rPr>
      <w:instrText xml:space="preserve">PAGE  </w:instrText>
    </w:r>
    <w:r w:rsidRPr="00BE40D7">
      <w:rPr>
        <w:rStyle w:val="PageNumber"/>
        <w:rFonts w:asciiTheme="minorHAnsi" w:hAnsiTheme="minorHAnsi"/>
        <w:sz w:val="22"/>
        <w:szCs w:val="22"/>
      </w:rPr>
      <w:fldChar w:fldCharType="separate"/>
    </w:r>
    <w:r w:rsidR="00F51B89">
      <w:rPr>
        <w:rStyle w:val="PageNumber"/>
        <w:rFonts w:asciiTheme="minorHAnsi" w:hAnsiTheme="minorHAnsi"/>
        <w:noProof/>
        <w:sz w:val="22"/>
        <w:szCs w:val="22"/>
      </w:rPr>
      <w:t>i</w:t>
    </w:r>
    <w:r w:rsidRPr="00BE40D7">
      <w:rPr>
        <w:rStyle w:val="PageNumber"/>
        <w:rFonts w:asciiTheme="minorHAnsi" w:hAnsiTheme="minorHAnsi"/>
        <w:sz w:val="22"/>
        <w:szCs w:val="22"/>
      </w:rPr>
      <w:fldChar w:fldCharType="end"/>
    </w:r>
  </w:p>
  <w:p w14:paraId="6303C336" w14:textId="77777777" w:rsidR="00D44BCF" w:rsidRDefault="00D44B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F646DE" w14:textId="174F047C" w:rsidR="00D44BCF" w:rsidRDefault="00D44BC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196</w:t>
    </w:r>
    <w:r>
      <w:rPr>
        <w:rStyle w:val="PageNumber"/>
      </w:rPr>
      <w:fldChar w:fldCharType="end"/>
    </w:r>
  </w:p>
  <w:p w14:paraId="1C09A810" w14:textId="77777777" w:rsidR="00D44BCF" w:rsidRDefault="00D44BCF">
    <w:pPr>
      <w:pStyle w:val="Footer"/>
      <w:ind w:right="360"/>
    </w:pPr>
  </w:p>
  <w:p w14:paraId="39813991" w14:textId="77777777" w:rsidR="00D44BCF" w:rsidRDefault="00D44BCF"/>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7684376"/>
      <w:docPartObj>
        <w:docPartGallery w:val="Page Numbers (Bottom of Page)"/>
        <w:docPartUnique/>
      </w:docPartObj>
    </w:sdtPr>
    <w:sdtEndPr>
      <w:rPr>
        <w:rFonts w:ascii="Calibri" w:hAnsi="Calibri"/>
        <w:noProof/>
      </w:rPr>
    </w:sdtEndPr>
    <w:sdtContent>
      <w:p w14:paraId="2B1F568D" w14:textId="753083C2" w:rsidR="00D44BCF" w:rsidRPr="004F2343" w:rsidRDefault="00D44BCF">
        <w:pPr>
          <w:pStyle w:val="Footer"/>
          <w:jc w:val="right"/>
          <w:rPr>
            <w:rFonts w:ascii="Calibri" w:hAnsi="Calibri"/>
          </w:rPr>
        </w:pPr>
        <w:r w:rsidRPr="004F2343">
          <w:rPr>
            <w:rFonts w:ascii="Calibri" w:hAnsi="Calibri"/>
          </w:rPr>
          <w:fldChar w:fldCharType="begin"/>
        </w:r>
        <w:r w:rsidRPr="004F2343">
          <w:rPr>
            <w:rFonts w:ascii="Calibri" w:hAnsi="Calibri"/>
          </w:rPr>
          <w:instrText xml:space="preserve"> PAGE   \* MERGEFORMAT </w:instrText>
        </w:r>
        <w:r w:rsidRPr="004F2343">
          <w:rPr>
            <w:rFonts w:ascii="Calibri" w:hAnsi="Calibri"/>
          </w:rPr>
          <w:fldChar w:fldCharType="separate"/>
        </w:r>
        <w:r w:rsidR="007F481E">
          <w:rPr>
            <w:rFonts w:ascii="Calibri" w:hAnsi="Calibri"/>
            <w:noProof/>
          </w:rPr>
          <w:t>283</w:t>
        </w:r>
        <w:r w:rsidRPr="004F2343">
          <w:rPr>
            <w:rFonts w:ascii="Calibri" w:hAnsi="Calibri"/>
            <w:noProof/>
          </w:rPr>
          <w:fldChar w:fldCharType="end"/>
        </w:r>
      </w:p>
    </w:sdtContent>
  </w:sdt>
  <w:p w14:paraId="6C4833BD" w14:textId="61DC5EA8" w:rsidR="00D44BCF" w:rsidRDefault="00D44BCF"/>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EB039A" w14:textId="574830FA" w:rsidR="00D44BCF" w:rsidRPr="004F2343" w:rsidRDefault="00D44BCF" w:rsidP="00553F36">
    <w:pPr>
      <w:pStyle w:val="Footer"/>
      <w:framePr w:wrap="around" w:vAnchor="text" w:hAnchor="margin" w:xAlign="right" w:y="1"/>
      <w:rPr>
        <w:rStyle w:val="PageNumber"/>
        <w:rFonts w:ascii="Calibri" w:hAnsi="Calibri"/>
      </w:rPr>
    </w:pPr>
    <w:r w:rsidRPr="004F2343">
      <w:rPr>
        <w:rStyle w:val="PageNumber"/>
        <w:rFonts w:ascii="Calibri" w:hAnsi="Calibri"/>
      </w:rPr>
      <w:fldChar w:fldCharType="begin"/>
    </w:r>
    <w:r w:rsidRPr="004F2343">
      <w:rPr>
        <w:rStyle w:val="PageNumber"/>
        <w:rFonts w:ascii="Calibri" w:hAnsi="Calibri"/>
      </w:rPr>
      <w:instrText xml:space="preserve">PAGE  </w:instrText>
    </w:r>
    <w:r w:rsidRPr="004F2343">
      <w:rPr>
        <w:rStyle w:val="PageNumber"/>
        <w:rFonts w:ascii="Calibri" w:hAnsi="Calibri"/>
      </w:rPr>
      <w:fldChar w:fldCharType="separate"/>
    </w:r>
    <w:r w:rsidRPr="004F2343">
      <w:rPr>
        <w:rStyle w:val="PageNumber"/>
        <w:rFonts w:ascii="Calibri" w:hAnsi="Calibri"/>
        <w:noProof/>
      </w:rPr>
      <w:t>196</w:t>
    </w:r>
    <w:r w:rsidRPr="004F2343">
      <w:rPr>
        <w:rStyle w:val="PageNumber"/>
        <w:rFonts w:ascii="Calibri" w:hAnsi="Calibri"/>
      </w:rPr>
      <w:fldChar w:fldCharType="end"/>
    </w:r>
  </w:p>
  <w:p w14:paraId="6DF60A67" w14:textId="77777777" w:rsidR="00D44BCF" w:rsidRPr="00553F36" w:rsidRDefault="00D44BCF" w:rsidP="00553F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26EE82" w14:textId="77777777" w:rsidR="00D44BCF" w:rsidRDefault="00D44BCF">
      <w:r>
        <w:separator/>
      </w:r>
    </w:p>
    <w:p w14:paraId="0B98E704" w14:textId="77777777" w:rsidR="00D44BCF" w:rsidRDefault="00D44BCF"/>
  </w:footnote>
  <w:footnote w:type="continuationSeparator" w:id="0">
    <w:p w14:paraId="41FED370" w14:textId="77777777" w:rsidR="00D44BCF" w:rsidRDefault="00D44BCF">
      <w:r>
        <w:continuationSeparator/>
      </w:r>
    </w:p>
    <w:p w14:paraId="68025690" w14:textId="77777777" w:rsidR="00D44BCF" w:rsidRDefault="00D44BCF"/>
  </w:footnote>
  <w:footnote w:id="1">
    <w:p w14:paraId="5F969259" w14:textId="7CA21720" w:rsidR="00D44BCF" w:rsidRPr="007809F4" w:rsidRDefault="00D44BCF" w:rsidP="008F2B02">
      <w:pPr>
        <w:pStyle w:val="FootnoteText"/>
        <w:ind w:left="426" w:right="28"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 xml:space="preserve">Crimes Act 1914 </w:t>
      </w:r>
      <w:r w:rsidRPr="007809F4">
        <w:rPr>
          <w:rFonts w:asciiTheme="minorHAnsi" w:hAnsiTheme="minorHAnsi" w:cstheme="minorHAnsi"/>
        </w:rPr>
        <w:t>(Cth), s 16(1).  In some circumstances, the trial of a person for an offence against State or Territory law is an exercise of federal jurisdiction.  An example is the prosecution by a State of a person who is ordinarily resident in another State.  The trial of such a matter involves the exercise of the “</w:t>
      </w:r>
      <w:r w:rsidRPr="007809F4">
        <w:rPr>
          <w:rFonts w:asciiTheme="minorHAnsi" w:hAnsiTheme="minorHAnsi" w:cstheme="minorHAnsi"/>
          <w:i/>
        </w:rPr>
        <w:t>federal diversity jurisdiction</w:t>
      </w:r>
      <w:r w:rsidRPr="007809F4">
        <w:rPr>
          <w:rFonts w:asciiTheme="minorHAnsi" w:hAnsiTheme="minorHAnsi" w:cstheme="minorHAnsi"/>
        </w:rPr>
        <w:t xml:space="preserve">” under s 75(iv) of the </w:t>
      </w:r>
      <w:r w:rsidRPr="007809F4">
        <w:rPr>
          <w:rFonts w:asciiTheme="minorHAnsi" w:hAnsiTheme="minorHAnsi" w:cstheme="minorHAnsi"/>
          <w:i/>
        </w:rPr>
        <w:t>Constitution</w:t>
      </w:r>
      <w:r w:rsidRPr="007809F4">
        <w:rPr>
          <w:rFonts w:asciiTheme="minorHAnsi" w:hAnsiTheme="minorHAnsi" w:cstheme="minorHAnsi"/>
        </w:rPr>
        <w:t>; the court hearing the proceeding is exercising federal jurisdiction, vested in a State court by s 39(2) of the</w:t>
      </w:r>
      <w:r w:rsidRPr="007809F4">
        <w:rPr>
          <w:rFonts w:asciiTheme="minorHAnsi" w:hAnsiTheme="minorHAnsi" w:cstheme="minorHAnsi"/>
          <w:i/>
        </w:rPr>
        <w:t xml:space="preserve"> Judiciary Act </w:t>
      </w:r>
      <w:r w:rsidRPr="007809F4">
        <w:rPr>
          <w:rFonts w:asciiTheme="minorHAnsi" w:hAnsiTheme="minorHAnsi" w:cstheme="minorHAnsi"/>
        </w:rPr>
        <w:t xml:space="preserve">1903 (Cth).  However the exercise of federal diversity jurisdiction does not affect the character of the offence; the offence is not thereby converted into an offence against a law of the Commonwealth: see </w:t>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Rizeq v R</w:instrText>
      </w:r>
      <w:r w:rsidRPr="007809F4">
        <w:rPr>
          <w:rFonts w:asciiTheme="minorHAnsi" w:hAnsiTheme="minorHAnsi" w:cstheme="minorHAnsi"/>
        </w:rPr>
        <w:instrText xml:space="preserve"> (2017) 262 CLR 1</w:instrText>
      </w:r>
      <w:r w:rsidRPr="00EB7F1E">
        <w:rPr>
          <w:rFonts w:asciiTheme="minorHAnsi" w:hAnsiTheme="minorHAnsi" w:cstheme="minorHAnsi"/>
        </w:rPr>
        <w:instrText xml:space="preserve">" \s "Rizeq v R (2017) 262 CLR 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
    <w:p w14:paraId="4D1701E8" w14:textId="4678786A" w:rsidR="00D44BCF" w:rsidRPr="007809F4" w:rsidRDefault="00D44BCF">
      <w:pPr>
        <w:pStyle w:val="FootnoteText"/>
        <w:ind w:left="426" w:right="28"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A person who is punished for contempt of the Federal Court of Australia is not thereby a “</w:t>
      </w:r>
      <w:r w:rsidRPr="00EB7F1E">
        <w:rPr>
          <w:rFonts w:asciiTheme="minorHAnsi" w:hAnsiTheme="minorHAnsi" w:cstheme="minorHAnsi"/>
          <w:i/>
        </w:rPr>
        <w:t>federal offender</w:t>
      </w:r>
      <w:r w:rsidRPr="007809F4">
        <w:rPr>
          <w:rFonts w:asciiTheme="minorHAnsi" w:hAnsiTheme="minorHAnsi" w:cstheme="minorHAnsi"/>
        </w:rPr>
        <w:t>” and such a contempt is not a “</w:t>
      </w:r>
      <w:r w:rsidRPr="00EB7F1E">
        <w:rPr>
          <w:rFonts w:asciiTheme="minorHAnsi" w:hAnsiTheme="minorHAnsi" w:cstheme="minorHAnsi"/>
          <w:i/>
        </w:rPr>
        <w:t>federal offence</w:t>
      </w:r>
      <w:r w:rsidRPr="007809F4">
        <w:rPr>
          <w:rFonts w:asciiTheme="minorHAnsi" w:hAnsiTheme="minorHAnsi" w:cstheme="minorHAnsi"/>
        </w:rPr>
        <w:t xml:space="preserve">” within the meaning of the </w:t>
      </w:r>
      <w:r w:rsidRPr="00EB7F1E">
        <w:rPr>
          <w:rFonts w:asciiTheme="minorHAnsi" w:hAnsiTheme="minorHAnsi" w:cstheme="minorHAnsi"/>
          <w:i/>
        </w:rPr>
        <w:t>Crimes Act 1914</w:t>
      </w:r>
      <w:r w:rsidRPr="007809F4">
        <w:rPr>
          <w:rFonts w:asciiTheme="minorHAnsi" w:hAnsiTheme="minorHAnsi" w:cstheme="minorHAnsi"/>
        </w:rPr>
        <w:t xml:space="preserve"> (Cth): </w:t>
      </w:r>
      <w:r w:rsidRPr="00EB7F1E">
        <w:rPr>
          <w:rFonts w:asciiTheme="minorHAnsi" w:hAnsiTheme="minorHAnsi" w:cstheme="minorHAnsi"/>
          <w:i/>
        </w:rPr>
        <w:t>Hannaford</w:t>
      </w:r>
      <w:r w:rsidRPr="007809F4">
        <w:rPr>
          <w:rFonts w:asciiTheme="minorHAnsi" w:hAnsiTheme="minorHAnsi" w:cstheme="minorHAnsi"/>
          <w:i/>
        </w:rPr>
        <w:t xml:space="preserve"> v </w:t>
      </w:r>
      <w:r w:rsidRPr="00EB7F1E">
        <w:rPr>
          <w:rFonts w:asciiTheme="minorHAnsi" w:hAnsiTheme="minorHAnsi" w:cstheme="minorHAnsi"/>
          <w:i/>
        </w:rPr>
        <w:t>HH (No 2)</w:t>
      </w:r>
      <w:r w:rsidRPr="007809F4">
        <w:rPr>
          <w:rFonts w:asciiTheme="minorHAnsi" w:hAnsiTheme="minorHAnsi" w:cstheme="minorHAnsi"/>
        </w:rPr>
        <w:t xml:space="preserve"> </w:t>
      </w:r>
      <w:r w:rsidRPr="00EB7F1E">
        <w:rPr>
          <w:rStyle w:val="ssrolluprptrline"/>
          <w:rFonts w:asciiTheme="minorHAnsi" w:hAnsiTheme="minorHAnsi" w:cstheme="minorHAnsi"/>
        </w:rPr>
        <w:t>(</w:t>
      </w:r>
      <w:r w:rsidRPr="00EB7F1E">
        <w:rPr>
          <w:rFonts w:asciiTheme="minorHAnsi" w:hAnsiTheme="minorHAnsi" w:cstheme="minorHAnsi"/>
        </w:rPr>
        <w:t>2012) 203 FCR 501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Hannaford</w:instrText>
      </w:r>
      <w:r w:rsidRPr="007809F4">
        <w:rPr>
          <w:rFonts w:asciiTheme="minorHAnsi" w:hAnsiTheme="minorHAnsi" w:cstheme="minorHAnsi"/>
          <w:i/>
        </w:rPr>
        <w:instrText xml:space="preserve"> v </w:instrText>
      </w:r>
      <w:r w:rsidRPr="00EB7F1E">
        <w:rPr>
          <w:rFonts w:asciiTheme="minorHAnsi" w:hAnsiTheme="minorHAnsi" w:cstheme="minorHAnsi"/>
          <w:i/>
        </w:rPr>
        <w:instrText>HH (No 2)</w:instrText>
      </w:r>
      <w:r w:rsidRPr="007809F4">
        <w:rPr>
          <w:rFonts w:asciiTheme="minorHAnsi" w:hAnsiTheme="minorHAnsi" w:cstheme="minorHAnsi"/>
        </w:rPr>
        <w:instrText xml:space="preserve"> </w:instrText>
      </w:r>
      <w:r w:rsidRPr="00EB7F1E">
        <w:rPr>
          <w:rStyle w:val="ssrolluprptrline"/>
          <w:rFonts w:asciiTheme="minorHAnsi" w:hAnsiTheme="minorHAnsi" w:cstheme="minorHAnsi"/>
        </w:rPr>
        <w:instrText>(</w:instrText>
      </w:r>
      <w:r w:rsidRPr="00EB7F1E">
        <w:rPr>
          <w:rFonts w:asciiTheme="minorHAnsi" w:hAnsiTheme="minorHAnsi" w:cstheme="minorHAnsi"/>
        </w:rPr>
        <w:instrText xml:space="preserve">2012) 203 FCR 501" \s "Hannaford v HH (No 2) (2012) 203 FCR 501"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
    <w:p w14:paraId="3F329262" w14:textId="222C9445" w:rsidR="00D44BCF" w:rsidRPr="007809F4" w:rsidRDefault="00D44BCF">
      <w:pPr>
        <w:pStyle w:val="FootnoteText"/>
        <w:ind w:left="426" w:right="28"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 conviction for contempt of a court of a State or Territory is not (usually) a conviction for an offence against a law of the Commonwealth, even when the contempt arises from the court’s exercise of federal jurisdiction.  There are two reasons for this.  First, in punishing for contempt, a State court is exercising State jurisdiction, even if the contempt arises in relation to the exercise of federal jurisdiction: see </w:t>
      </w:r>
      <w:r w:rsidRPr="007809F4">
        <w:rPr>
          <w:rFonts w:asciiTheme="minorHAnsi" w:hAnsiTheme="minorHAnsi" w:cstheme="minorHAnsi"/>
          <w:i/>
          <w:iCs/>
        </w:rPr>
        <w:t>R v B</w:t>
      </w:r>
      <w:r w:rsidRPr="007809F4">
        <w:rPr>
          <w:rFonts w:asciiTheme="minorHAnsi" w:hAnsiTheme="minorHAnsi" w:cstheme="minorHAnsi"/>
        </w:rPr>
        <w:t xml:space="preserve"> [1972] WAR 129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rPr>
        <w:instrText>R v B</w:instrText>
      </w:r>
      <w:r w:rsidRPr="007809F4">
        <w:rPr>
          <w:rFonts w:asciiTheme="minorHAnsi" w:hAnsiTheme="minorHAnsi" w:cstheme="minorHAnsi"/>
        </w:rPr>
        <w:instrText xml:space="preserve"> [1972] WAR 129" \s "R v B [1972] WAR 129"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 [1972] WAR 129"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Re Colina</w:t>
      </w:r>
      <w:r w:rsidRPr="007809F4">
        <w:rPr>
          <w:rFonts w:asciiTheme="minorHAnsi" w:hAnsiTheme="minorHAnsi" w:cstheme="minorHAnsi"/>
        </w:rPr>
        <w:t xml:space="preserve">; </w:t>
      </w:r>
      <w:r w:rsidRPr="007809F4">
        <w:rPr>
          <w:rFonts w:asciiTheme="minorHAnsi" w:hAnsiTheme="minorHAnsi" w:cstheme="minorHAnsi"/>
          <w:i/>
        </w:rPr>
        <w:t>Ex parte Torney</w:t>
      </w:r>
      <w:r w:rsidRPr="007809F4">
        <w:rPr>
          <w:rFonts w:asciiTheme="minorHAnsi" w:hAnsiTheme="minorHAnsi" w:cstheme="minorHAnsi"/>
        </w:rPr>
        <w:t xml:space="preserve"> (1999) 200 CLR 386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Re Colina</w:instrText>
      </w:r>
      <w:r w:rsidRPr="007809F4">
        <w:rPr>
          <w:rFonts w:asciiTheme="minorHAnsi" w:hAnsiTheme="minorHAnsi" w:cstheme="minorHAnsi"/>
        </w:rPr>
        <w:instrText xml:space="preserve">; </w:instrText>
      </w:r>
      <w:r w:rsidRPr="007809F4">
        <w:rPr>
          <w:rFonts w:asciiTheme="minorHAnsi" w:hAnsiTheme="minorHAnsi" w:cstheme="minorHAnsi"/>
          <w:i/>
        </w:rPr>
        <w:instrText>Ex parte Torney</w:instrText>
      </w:r>
      <w:r w:rsidRPr="007809F4">
        <w:rPr>
          <w:rFonts w:asciiTheme="minorHAnsi" w:hAnsiTheme="minorHAnsi" w:cstheme="minorHAnsi"/>
        </w:rPr>
        <w:instrText xml:space="preserve"> (1999) 200 CLR 386" \s "Re Colina; Ex parte Torney (1999) 200 CLR 386"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Pattison (Trustees) in the matter of Bell (Bankrupt) v Bell</w:t>
      </w:r>
      <w:r w:rsidRPr="007809F4">
        <w:rPr>
          <w:rFonts w:asciiTheme="minorHAnsi" w:hAnsiTheme="minorHAnsi" w:cstheme="minorHAnsi"/>
        </w:rPr>
        <w:t xml:space="preserve"> [2007] FCA 137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Pattison (Trustees) in the matter of Bell (Bankrupt) v Bell</w:instrText>
      </w:r>
      <w:r w:rsidRPr="007809F4">
        <w:rPr>
          <w:rFonts w:asciiTheme="minorHAnsi" w:hAnsiTheme="minorHAnsi" w:cstheme="minorHAnsi"/>
        </w:rPr>
        <w:instrText xml:space="preserve"> [2007] FCA 137" \s "Pattison (Trustees) in the matter of Bell (Bankrupt) v Bell [2007] FCA 137" \c 1 </w:instrText>
      </w:r>
      <w:r w:rsidRPr="00EB7F1E">
        <w:rPr>
          <w:rFonts w:asciiTheme="minorHAnsi" w:hAnsiTheme="minorHAnsi" w:cstheme="minorHAnsi"/>
        </w:rPr>
        <w:fldChar w:fldCharType="end"/>
      </w:r>
      <w:r w:rsidRPr="007809F4">
        <w:rPr>
          <w:rFonts w:asciiTheme="minorHAnsi" w:hAnsiTheme="minorHAnsi" w:cstheme="minorHAnsi"/>
        </w:rPr>
        <w:t xml:space="preserve">; and </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DPP v Haunga</w:instrText>
      </w:r>
      <w:r w:rsidRPr="007809F4">
        <w:rPr>
          <w:rFonts w:asciiTheme="minorHAnsi" w:hAnsiTheme="minorHAnsi" w:cstheme="minorHAnsi"/>
        </w:rPr>
        <w:instrText xml:space="preserve"> [2001] 4 VR 285" \s "DPP v Haunga [2001] 4 VR 285" \c 1 </w:instrText>
      </w:r>
      <w:r w:rsidRPr="00EB7F1E">
        <w:rPr>
          <w:rFonts w:asciiTheme="minorHAnsi" w:hAnsiTheme="minorHAnsi" w:cstheme="minorHAnsi"/>
          <w:i/>
        </w:rPr>
        <w:fldChar w:fldCharType="end"/>
      </w:r>
      <w:r w:rsidRPr="007809F4">
        <w:rPr>
          <w:rFonts w:asciiTheme="minorHAnsi" w:hAnsiTheme="minorHAnsi" w:cstheme="minorHAnsi"/>
          <w:i/>
        </w:rPr>
        <w:t>DPP v Haunga</w:t>
      </w:r>
      <w:r w:rsidRPr="007809F4">
        <w:rPr>
          <w:rFonts w:asciiTheme="minorHAnsi" w:hAnsiTheme="minorHAnsi" w:cstheme="minorHAnsi"/>
          <w:noProof/>
        </w:rPr>
        <w:t xml:space="preserve"> </w:t>
      </w:r>
      <w:r w:rsidRPr="007809F4">
        <w:rPr>
          <w:rFonts w:asciiTheme="minorHAnsi" w:hAnsiTheme="minorHAnsi" w:cstheme="minorHAnsi"/>
        </w:rPr>
        <w:t xml:space="preserve">[2001] 4 VR 285 (special leave to appeal to the High Court was granted on 13 September 2002 but the appeal was not pursued).  Second, although contempt of court is, historically, a common law misdemeanour capable of being punished upon indictment or presentment, it has long been the custom of superior courts to invoke the Court’s power to punish contempts by use of a summary procedure civil in character: </w:t>
      </w:r>
      <w:r w:rsidRPr="007809F4">
        <w:rPr>
          <w:rFonts w:asciiTheme="minorHAnsi" w:hAnsiTheme="minorHAnsi" w:cstheme="minorHAnsi"/>
          <w:i/>
        </w:rPr>
        <w:t>Rich v Attorney-General</w:t>
      </w:r>
      <w:r w:rsidRPr="007809F4">
        <w:rPr>
          <w:rFonts w:asciiTheme="minorHAnsi" w:hAnsiTheme="minorHAnsi" w:cstheme="minorHAnsi"/>
        </w:rPr>
        <w:t xml:space="preserve"> [1999] VSCA 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Rich v Attorney-General</w:instrText>
      </w:r>
      <w:r w:rsidRPr="007809F4">
        <w:rPr>
          <w:rFonts w:asciiTheme="minorHAnsi" w:hAnsiTheme="minorHAnsi" w:cstheme="minorHAnsi"/>
        </w:rPr>
        <w:instrText xml:space="preserve"> [1999] VSCA 14</w:instrText>
      </w:r>
      <w:r w:rsidRPr="00EB7F1E">
        <w:rPr>
          <w:rFonts w:asciiTheme="minorHAnsi" w:hAnsiTheme="minorHAnsi" w:cstheme="minorHAnsi"/>
        </w:rPr>
        <w:instrText xml:space="preserve">" \s "Rich v Attorney-General [1999] VSCA 14" \c 1 </w:instrText>
      </w:r>
      <w:r w:rsidRPr="00EB7F1E">
        <w:rPr>
          <w:rFonts w:asciiTheme="minorHAnsi" w:hAnsiTheme="minorHAnsi" w:cstheme="minorHAnsi"/>
        </w:rPr>
        <w:fldChar w:fldCharType="end"/>
      </w:r>
      <w:r w:rsidRPr="007809F4">
        <w:rPr>
          <w:rFonts w:asciiTheme="minorHAnsi" w:hAnsiTheme="minorHAnsi" w:cstheme="minorHAnsi"/>
        </w:rPr>
        <w:t>, [4].  A person punished under such a procedure is not thereby found guilty of, or convicted of, “an offence”.</w:t>
      </w:r>
    </w:p>
  </w:footnote>
  <w:footnote w:id="4">
    <w:p w14:paraId="2E7938D3" w14:textId="0CDF3AD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Australian Law Reform Commission, </w:t>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w:t>
      </w:r>
      <w:r w:rsidRPr="007809F4">
        <w:rPr>
          <w:rFonts w:asciiTheme="minorHAnsi" w:hAnsiTheme="minorHAnsi" w:cstheme="minorHAnsi"/>
        </w:rPr>
        <w:t>.</w:t>
      </w:r>
    </w:p>
  </w:footnote>
  <w:footnote w:id="5">
    <w:p w14:paraId="7B85BDFB" w14:textId="33C5E2D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A collaboration between the National Judicial College, the NSW Judicial Commission and the CDPP (which provides the sentencing data).</w:t>
      </w:r>
    </w:p>
  </w:footnote>
  <w:footnote w:id="6">
    <w:p w14:paraId="518ADB2F"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https://www.judcom.nsw.gov.au/publications/benchbks/sentencing/sentencing_commonwealth_offenders.html</w:t>
      </w:r>
    </w:p>
  </w:footnote>
  <w:footnote w:id="7">
    <w:p w14:paraId="54D64363"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Provision to give effect to this power is made in the </w:t>
      </w:r>
      <w:r w:rsidRPr="007809F4">
        <w:rPr>
          <w:rFonts w:asciiTheme="minorHAnsi" w:hAnsiTheme="minorHAnsi" w:cstheme="minorHAnsi"/>
          <w:i/>
        </w:rPr>
        <w:t>Judiciary Act 1903</w:t>
      </w:r>
      <w:r w:rsidRPr="007809F4">
        <w:rPr>
          <w:rFonts w:asciiTheme="minorHAnsi" w:hAnsiTheme="minorHAnsi" w:cstheme="minorHAnsi"/>
        </w:rPr>
        <w:t xml:space="preserve"> (Cth); see particularly ss.70 and 70A.</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8">
    <w:p w14:paraId="3AE41AE3" w14:textId="2340E92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In</w:t>
      </w:r>
      <w:r w:rsidRPr="007809F4">
        <w:rPr>
          <w:rFonts w:asciiTheme="minorHAnsi" w:hAnsiTheme="minorHAnsi" w:cstheme="minorHAnsi"/>
          <w:i/>
        </w:rPr>
        <w:t xml:space="preserve"> R v Turnbull; ex parte Taylor </w:t>
      </w:r>
      <w:r w:rsidRPr="007809F4">
        <w:rPr>
          <w:rFonts w:asciiTheme="minorHAnsi" w:hAnsiTheme="minorHAnsi" w:cstheme="minorHAnsi"/>
        </w:rPr>
        <w:t>(1968) 123 CLR 28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 v Turnbull; ex parte Taylor</w:instrText>
      </w:r>
      <w:r w:rsidRPr="00EB7F1E">
        <w:rPr>
          <w:rFonts w:asciiTheme="minorHAnsi" w:hAnsiTheme="minorHAnsi" w:cstheme="minorHAnsi"/>
        </w:rPr>
        <w:instrText xml:space="preserve"> </w:instrText>
      </w:r>
      <w:r w:rsidRPr="007809F4">
        <w:rPr>
          <w:rFonts w:asciiTheme="minorHAnsi" w:hAnsiTheme="minorHAnsi" w:cstheme="minorHAnsi"/>
        </w:rPr>
        <w:instrText>(1968) 123 CLR 28</w:instrText>
      </w:r>
      <w:r w:rsidRPr="00EB7F1E">
        <w:rPr>
          <w:rFonts w:asciiTheme="minorHAnsi" w:hAnsiTheme="minorHAnsi" w:cstheme="minorHAnsi"/>
        </w:rPr>
        <w:instrText xml:space="preserve">" \s "R v Turnbull; ex parte Taylor (1968) 123 CLR 28" \c 1 </w:instrText>
      </w:r>
      <w:r w:rsidRPr="00EB7F1E">
        <w:rPr>
          <w:rFonts w:asciiTheme="minorHAnsi" w:hAnsiTheme="minorHAnsi" w:cstheme="minorHAnsi"/>
        </w:rPr>
        <w:fldChar w:fldCharType="end"/>
      </w:r>
      <w:r w:rsidRPr="007809F4">
        <w:rPr>
          <w:rFonts w:asciiTheme="minorHAnsi" w:hAnsiTheme="minorHAnsi" w:cstheme="minorHAnsi"/>
        </w:rPr>
        <w:t>, 37, Barwick CJ said that s.120 “</w:t>
      </w:r>
      <w:r w:rsidRPr="007809F4">
        <w:rPr>
          <w:rFonts w:asciiTheme="minorHAnsi" w:hAnsiTheme="minorHAnsi" w:cstheme="minorHAnsi"/>
          <w:i/>
        </w:rPr>
        <w:t>contemplates that the Parliament will make the necessary detailed provision at least for all these matters, authority to remove, authority to hold and the legality of the detention, not merely as between the Commonwealth and the State but vis-a-vis the person presented for detention by the State gaoler, and the persons concerned in the removal and in that detention.</w:t>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9">
    <w:p w14:paraId="534E32BD" w14:textId="54133C4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Kirby; Ex parte Boilermakers’ Society of Australia</w:t>
      </w:r>
      <w:r w:rsidRPr="007809F4">
        <w:rPr>
          <w:rFonts w:asciiTheme="minorHAnsi" w:hAnsiTheme="minorHAnsi" w:cstheme="minorHAnsi"/>
        </w:rPr>
        <w:t xml:space="preserve"> (1956) 94 CLR 254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 v Kirby; Ex parte Boilermakers’ Society of Australia</w:instrText>
      </w:r>
      <w:r w:rsidRPr="007809F4">
        <w:rPr>
          <w:rFonts w:asciiTheme="minorHAnsi" w:hAnsiTheme="minorHAnsi" w:cstheme="minorHAnsi"/>
        </w:rPr>
        <w:instrText xml:space="preserve"> (1956) 94 CLR 254</w:instrText>
      </w:r>
      <w:r w:rsidRPr="00EB7F1E">
        <w:rPr>
          <w:rFonts w:asciiTheme="minorHAnsi" w:hAnsiTheme="minorHAnsi" w:cstheme="minorHAnsi"/>
        </w:rPr>
        <w:instrText>" \s "R v Kirby; Ex parte Boilermakers</w:instrText>
      </w:r>
      <w:r w:rsidRPr="007809F4">
        <w:rPr>
          <w:rFonts w:asciiTheme="minorHAnsi" w:hAnsiTheme="minorHAnsi" w:cstheme="minorHAnsi"/>
        </w:rPr>
        <w:instrText>’</w:instrText>
      </w:r>
      <w:r w:rsidRPr="00EB7F1E">
        <w:rPr>
          <w:rFonts w:asciiTheme="minorHAnsi" w:hAnsiTheme="minorHAnsi" w:cstheme="minorHAnsi"/>
        </w:rPr>
        <w:instrText xml:space="preserve"> Society of Australia (1956) 94 CLR 254"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0">
    <w:p w14:paraId="4FE4D7D0" w14:textId="28C134C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British Medical Association v Commonwealth</w:t>
      </w:r>
      <w:r w:rsidRPr="007809F4">
        <w:rPr>
          <w:rFonts w:asciiTheme="minorHAnsi" w:hAnsiTheme="minorHAnsi" w:cstheme="minorHAnsi"/>
        </w:rPr>
        <w:t xml:space="preserve"> (1949) 79 CLR 201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British Medical Association v Commonwealth</w:instrText>
      </w:r>
      <w:r w:rsidRPr="007809F4">
        <w:rPr>
          <w:rFonts w:asciiTheme="minorHAnsi" w:hAnsiTheme="minorHAnsi" w:cstheme="minorHAnsi"/>
        </w:rPr>
        <w:instrText xml:space="preserve"> (1949) 79 CLR 201</w:instrText>
      </w:r>
      <w:r w:rsidRPr="00EB7F1E">
        <w:rPr>
          <w:rFonts w:asciiTheme="minorHAnsi" w:hAnsiTheme="minorHAnsi" w:cstheme="minorHAnsi"/>
        </w:rPr>
        <w:instrText xml:space="preserve">" \s "British Medical Association v Commonwealth (1949) 79 CLR 201" \c 1 </w:instrText>
      </w:r>
      <w:r w:rsidRPr="00EB7F1E">
        <w:rPr>
          <w:rFonts w:asciiTheme="minorHAnsi" w:hAnsiTheme="minorHAnsi" w:cstheme="minorHAnsi"/>
        </w:rPr>
        <w:fldChar w:fldCharType="end"/>
      </w:r>
      <w:r w:rsidRPr="007809F4">
        <w:rPr>
          <w:rFonts w:asciiTheme="minorHAnsi" w:hAnsiTheme="minorHAnsi" w:cstheme="minorHAnsi"/>
        </w:rPr>
        <w:t xml:space="preserve">, 236; </w:t>
      </w:r>
      <w:r w:rsidRPr="00EB7F1E">
        <w:rPr>
          <w:rFonts w:asciiTheme="minorHAnsi" w:hAnsiTheme="minorHAnsi" w:cstheme="minorHAnsi"/>
          <w:i/>
        </w:rPr>
        <w:t>Queen Victoria Memorial Hospital v Thornton</w:t>
      </w:r>
      <w:r w:rsidRPr="007809F4">
        <w:rPr>
          <w:rFonts w:asciiTheme="minorHAnsi" w:hAnsiTheme="minorHAnsi" w:cstheme="minorHAnsi"/>
        </w:rPr>
        <w:t xml:space="preserve"> (1953) 87 CLR 144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Queen Victoria Memorial Hospital v Thornton</w:instrText>
      </w:r>
      <w:r w:rsidRPr="007809F4">
        <w:rPr>
          <w:rFonts w:asciiTheme="minorHAnsi" w:hAnsiTheme="minorHAnsi" w:cstheme="minorHAnsi"/>
        </w:rPr>
        <w:instrText xml:space="preserve"> (1953) 87 CLR 144</w:instrText>
      </w:r>
      <w:r w:rsidRPr="00EB7F1E">
        <w:rPr>
          <w:rFonts w:asciiTheme="minorHAnsi" w:hAnsiTheme="minorHAnsi" w:cstheme="minorHAnsi"/>
        </w:rPr>
        <w:instrText xml:space="preserve">" \s "Queen Victoria Memorial Hospital v Thornton (1953) 87 CLR 144" \c 1 </w:instrText>
      </w:r>
      <w:r w:rsidRPr="00EB7F1E">
        <w:rPr>
          <w:rFonts w:asciiTheme="minorHAnsi" w:hAnsiTheme="minorHAnsi" w:cstheme="minorHAnsi"/>
        </w:rPr>
        <w:fldChar w:fldCharType="end"/>
      </w:r>
      <w:r w:rsidRPr="007809F4">
        <w:rPr>
          <w:rFonts w:asciiTheme="minorHAnsi" w:hAnsiTheme="minorHAnsi" w:cstheme="minorHAnsi"/>
        </w:rPr>
        <w:t xml:space="preserve">, 151-152; </w:t>
      </w:r>
      <w:r w:rsidRPr="00EB7F1E">
        <w:rPr>
          <w:rFonts w:asciiTheme="minorHAnsi" w:hAnsiTheme="minorHAnsi" w:cstheme="minorHAnsi"/>
          <w:i/>
        </w:rPr>
        <w:t>Hilton v Wells</w:t>
      </w:r>
      <w:r w:rsidRPr="007809F4">
        <w:rPr>
          <w:rFonts w:asciiTheme="minorHAnsi" w:hAnsiTheme="minorHAnsi" w:cstheme="minorHAnsi"/>
        </w:rPr>
        <w:t xml:space="preserve"> (1985) 157 CLR 57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Hilton v Wells</w:instrText>
      </w:r>
      <w:r w:rsidRPr="007809F4">
        <w:rPr>
          <w:rFonts w:asciiTheme="minorHAnsi" w:hAnsiTheme="minorHAnsi" w:cstheme="minorHAnsi"/>
        </w:rPr>
        <w:instrText xml:space="preserve"> (1985) 157 CLR 57</w:instrText>
      </w:r>
      <w:r w:rsidRPr="00EB7F1E">
        <w:rPr>
          <w:rFonts w:asciiTheme="minorHAnsi" w:hAnsiTheme="minorHAnsi" w:cstheme="minorHAnsi"/>
        </w:rPr>
        <w:instrText xml:space="preserve">" \s "Hilton v Wells (1985) 157 CLR 57" \c 1 </w:instrText>
      </w:r>
      <w:r w:rsidRPr="00EB7F1E">
        <w:rPr>
          <w:rFonts w:asciiTheme="minorHAnsi" w:hAnsiTheme="minorHAnsi" w:cstheme="minorHAnsi"/>
        </w:rPr>
        <w:fldChar w:fldCharType="end"/>
      </w:r>
      <w:r w:rsidRPr="007809F4">
        <w:rPr>
          <w:rFonts w:asciiTheme="minorHAnsi" w:hAnsiTheme="minorHAnsi" w:cstheme="minorHAnsi"/>
        </w:rPr>
        <w:t xml:space="preserve">, 68; </w:t>
      </w:r>
      <w:r w:rsidRPr="00EB7F1E">
        <w:rPr>
          <w:rFonts w:asciiTheme="minorHAnsi" w:hAnsiTheme="minorHAnsi" w:cstheme="minorHAnsi"/>
          <w:i/>
        </w:rPr>
        <w:t>Murphy v R</w:t>
      </w:r>
      <w:r w:rsidRPr="007809F4">
        <w:rPr>
          <w:rFonts w:asciiTheme="minorHAnsi" w:hAnsiTheme="minorHAnsi" w:cstheme="minorHAnsi"/>
        </w:rPr>
        <w:t xml:space="preserve"> (1985) 158 CLR 596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Murphy v R</w:instrText>
      </w:r>
      <w:r w:rsidRPr="007809F4">
        <w:rPr>
          <w:rFonts w:asciiTheme="minorHAnsi" w:hAnsiTheme="minorHAnsi" w:cstheme="minorHAnsi"/>
        </w:rPr>
        <w:instrText xml:space="preserve"> (1985) 158 CLR 596</w:instrText>
      </w:r>
      <w:r w:rsidRPr="00EB7F1E">
        <w:rPr>
          <w:rFonts w:asciiTheme="minorHAnsi" w:hAnsiTheme="minorHAnsi" w:cstheme="minorHAnsi"/>
        </w:rPr>
        <w:instrText xml:space="preserve">" \s "Murphy v R (1985) 158 CLR 596" \c 1 </w:instrText>
      </w:r>
      <w:r w:rsidRPr="00EB7F1E">
        <w:rPr>
          <w:rFonts w:asciiTheme="minorHAnsi" w:hAnsiTheme="minorHAnsi" w:cstheme="minorHAnsi"/>
        </w:rPr>
        <w:fldChar w:fldCharType="end"/>
      </w:r>
      <w:r w:rsidRPr="007809F4">
        <w:rPr>
          <w:rFonts w:asciiTheme="minorHAnsi" w:hAnsiTheme="minorHAnsi" w:cstheme="minorHAnsi"/>
        </w:rPr>
        <w:t xml:space="preserve">, 614-5; </w:t>
      </w:r>
      <w:r w:rsidRPr="00EB7F1E">
        <w:rPr>
          <w:rFonts w:asciiTheme="minorHAnsi" w:hAnsiTheme="minorHAnsi" w:cstheme="minorHAnsi"/>
          <w:i/>
        </w:rPr>
        <w:t>Grollo v Bates</w:t>
      </w:r>
      <w:r w:rsidRPr="007809F4">
        <w:rPr>
          <w:rFonts w:asciiTheme="minorHAnsi" w:hAnsiTheme="minorHAnsi" w:cstheme="minorHAnsi"/>
        </w:rPr>
        <w:t xml:space="preserve"> (1994) 53 FCR 218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Grollo v Bates</w:instrText>
      </w:r>
      <w:r w:rsidRPr="007809F4">
        <w:rPr>
          <w:rFonts w:asciiTheme="minorHAnsi" w:hAnsiTheme="minorHAnsi" w:cstheme="minorHAnsi"/>
        </w:rPr>
        <w:instrText xml:space="preserve"> (1994) 53 FCR 218</w:instrText>
      </w:r>
      <w:r w:rsidRPr="00EB7F1E">
        <w:rPr>
          <w:rFonts w:asciiTheme="minorHAnsi" w:hAnsiTheme="minorHAnsi" w:cstheme="minorHAnsi"/>
        </w:rPr>
        <w:instrText xml:space="preserve">" \s "Grollo v Bates (1994) 53 FCR 218"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 xml:space="preserve">Kable v </w:t>
      </w:r>
      <w:r w:rsidRPr="007809F4">
        <w:rPr>
          <w:rFonts w:asciiTheme="minorHAnsi" w:hAnsiTheme="minorHAnsi" w:cstheme="minorHAnsi"/>
          <w:i/>
        </w:rPr>
        <w:t>DPP</w:t>
      </w:r>
      <w:r w:rsidRPr="00EB7F1E">
        <w:rPr>
          <w:rFonts w:asciiTheme="minorHAnsi" w:hAnsiTheme="minorHAnsi" w:cstheme="minorHAnsi"/>
          <w:i/>
        </w:rPr>
        <w:t xml:space="preserve"> (NSW)</w:t>
      </w:r>
      <w:r w:rsidRPr="007809F4">
        <w:rPr>
          <w:rFonts w:asciiTheme="minorHAnsi" w:hAnsiTheme="minorHAnsi" w:cstheme="minorHAnsi"/>
        </w:rPr>
        <w:t xml:space="preserve"> (1996) 189 CLR 51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 xml:space="preserve">Kable v </w:instrText>
      </w:r>
      <w:r w:rsidRPr="007809F4">
        <w:rPr>
          <w:rFonts w:asciiTheme="minorHAnsi" w:hAnsiTheme="minorHAnsi" w:cstheme="minorHAnsi"/>
          <w:i/>
        </w:rPr>
        <w:instrText>DPP</w:instrText>
      </w:r>
      <w:r w:rsidRPr="00EB7F1E">
        <w:rPr>
          <w:rFonts w:asciiTheme="minorHAnsi" w:hAnsiTheme="minorHAnsi" w:cstheme="minorHAnsi"/>
          <w:i/>
        </w:rPr>
        <w:instrText xml:space="preserve"> (NSW)</w:instrText>
      </w:r>
      <w:r w:rsidRPr="007809F4">
        <w:rPr>
          <w:rFonts w:asciiTheme="minorHAnsi" w:hAnsiTheme="minorHAnsi" w:cstheme="minorHAnsi"/>
        </w:rPr>
        <w:instrText xml:space="preserve"> (1996) 189 CLR 51</w:instrText>
      </w:r>
      <w:r w:rsidRPr="00EB7F1E">
        <w:rPr>
          <w:rFonts w:asciiTheme="minorHAnsi" w:hAnsiTheme="minorHAnsi" w:cstheme="minorHAnsi"/>
        </w:rPr>
        <w:instrText xml:space="preserve">" \s "Kable v Director of Public Prosecutions (NSW) (1996) 189 CLR 51" \c 1 </w:instrText>
      </w:r>
      <w:r w:rsidRPr="00EB7F1E">
        <w:rPr>
          <w:rFonts w:asciiTheme="minorHAnsi" w:hAnsiTheme="minorHAnsi" w:cstheme="minorHAnsi"/>
        </w:rPr>
        <w:fldChar w:fldCharType="end"/>
      </w:r>
      <w:r w:rsidRPr="007809F4">
        <w:rPr>
          <w:rFonts w:asciiTheme="minorHAnsi" w:hAnsiTheme="minorHAnsi" w:cstheme="minorHAnsi"/>
        </w:rPr>
        <w:t xml:space="preserve">, 66, 103, 115, 135; </w:t>
      </w:r>
      <w:r w:rsidRPr="00EB7F1E">
        <w:rPr>
          <w:rFonts w:asciiTheme="minorHAnsi" w:hAnsiTheme="minorHAnsi" w:cstheme="minorHAnsi"/>
          <w:i/>
        </w:rPr>
        <w:t>Application of Pearson</w:t>
      </w:r>
      <w:r w:rsidRPr="007809F4">
        <w:rPr>
          <w:rFonts w:asciiTheme="minorHAnsi" w:hAnsiTheme="minorHAnsi" w:cstheme="minorHAnsi"/>
        </w:rPr>
        <w:t xml:space="preserve"> [1999] NSWSC 143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Application of Pearson</w:instrText>
      </w:r>
      <w:r w:rsidRPr="007809F4">
        <w:rPr>
          <w:rFonts w:asciiTheme="minorHAnsi" w:hAnsiTheme="minorHAnsi" w:cstheme="minorHAnsi"/>
        </w:rPr>
        <w:instrText xml:space="preserve"> [1999] NSWSC 143</w:instrText>
      </w:r>
      <w:r w:rsidRPr="00EB7F1E">
        <w:rPr>
          <w:rFonts w:asciiTheme="minorHAnsi" w:hAnsiTheme="minorHAnsi" w:cstheme="minorHAnsi"/>
        </w:rPr>
        <w:instrText xml:space="preserve">" \s "Application of Pearson [1999] NSWSC 143" \c 1 </w:instrText>
      </w:r>
      <w:r w:rsidRPr="00EB7F1E">
        <w:rPr>
          <w:rFonts w:asciiTheme="minorHAnsi" w:hAnsiTheme="minorHAnsi" w:cstheme="minorHAnsi"/>
        </w:rPr>
        <w:fldChar w:fldCharType="end"/>
      </w:r>
      <w:r w:rsidRPr="00EB7F1E">
        <w:rPr>
          <w:rFonts w:asciiTheme="minorHAnsi" w:hAnsiTheme="minorHAnsi" w:cstheme="minorHAnsi"/>
          <w:i/>
        </w:rPr>
        <w:t>; Re Grinter; ex parte Hall</w:t>
      </w:r>
      <w:r w:rsidRPr="007809F4">
        <w:rPr>
          <w:rFonts w:asciiTheme="minorHAnsi" w:hAnsiTheme="minorHAnsi" w:cstheme="minorHAnsi"/>
        </w:rPr>
        <w:t xml:space="preserve"> (2004) 28 WAR 427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Re Grinter; ex parte Hall</w:instrText>
      </w:r>
      <w:r w:rsidRPr="007809F4">
        <w:rPr>
          <w:rFonts w:asciiTheme="minorHAnsi" w:hAnsiTheme="minorHAnsi" w:cstheme="minorHAnsi"/>
        </w:rPr>
        <w:instrText xml:space="preserve"> (2004) 28 WAR 427</w:instrText>
      </w:r>
      <w:r w:rsidRPr="00EB7F1E">
        <w:rPr>
          <w:rFonts w:asciiTheme="minorHAnsi" w:hAnsiTheme="minorHAnsi" w:cstheme="minorHAnsi"/>
        </w:rPr>
        <w:instrText xml:space="preserve">" \s "Re Grinter; ex parte Hall (2004) 28 WAR 427"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1">
    <w:p w14:paraId="09D2B61E" w14:textId="13CD432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Newman v A (a child)</w:t>
      </w:r>
      <w:r w:rsidRPr="00EB7F1E">
        <w:rPr>
          <w:rFonts w:asciiTheme="minorHAnsi" w:hAnsiTheme="minorHAnsi" w:cstheme="minorHAnsi"/>
        </w:rPr>
        <w:t xml:space="preserve"> (1992) 9 WAR 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Newman v A (a child)</w:instrText>
      </w:r>
      <w:r w:rsidRPr="00EB7F1E">
        <w:rPr>
          <w:rFonts w:asciiTheme="minorHAnsi" w:hAnsiTheme="minorHAnsi" w:cstheme="minorHAnsi"/>
        </w:rPr>
        <w:instrText xml:space="preserve"> (1992) 9 WAR 14" \s "Newman v A (a child) (1992) 9 WAR 14" \c 1 </w:instrText>
      </w:r>
      <w:r w:rsidRPr="00EB7F1E">
        <w:rPr>
          <w:rFonts w:asciiTheme="minorHAnsi" w:hAnsiTheme="minorHAnsi" w:cstheme="minorHAnsi"/>
        </w:rPr>
        <w:fldChar w:fldCharType="end"/>
      </w:r>
      <w:r w:rsidRPr="00EB7F1E">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2">
    <w:p w14:paraId="6510E554" w14:textId="4333913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rPr>
        <w:t>Ah Yick v Lehmert</w:t>
      </w:r>
      <w:r w:rsidRPr="007809F4">
        <w:rPr>
          <w:rFonts w:asciiTheme="minorHAnsi" w:hAnsiTheme="minorHAnsi" w:cstheme="minorHAnsi"/>
          <w:bCs/>
        </w:rPr>
        <w:t xml:space="preserve"> (1905) 2 CLR 593</w:t>
      </w:r>
      <w:r w:rsidRPr="00EB7F1E">
        <w:rPr>
          <w:rFonts w:asciiTheme="minorHAnsi" w:hAnsiTheme="minorHAnsi" w:cstheme="minorHAnsi"/>
          <w:b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bCs/>
          <w:i/>
        </w:rPr>
        <w:instrText>Ah Yick v Lehmert</w:instrText>
      </w:r>
      <w:r w:rsidRPr="007809F4">
        <w:rPr>
          <w:rFonts w:asciiTheme="minorHAnsi" w:hAnsiTheme="minorHAnsi" w:cstheme="minorHAnsi"/>
          <w:bCs/>
        </w:rPr>
        <w:instrText xml:space="preserve"> (1905) 2 CLR 593</w:instrText>
      </w:r>
      <w:r w:rsidRPr="00EB7F1E">
        <w:rPr>
          <w:rFonts w:asciiTheme="minorHAnsi" w:hAnsiTheme="minorHAnsi" w:cstheme="minorHAnsi"/>
        </w:rPr>
        <w:instrText xml:space="preserve">" \s "Ah Yick v Lehmert (1905) 2 CLR 593" \c 1 </w:instrText>
      </w:r>
      <w:r w:rsidRPr="00EB7F1E">
        <w:rPr>
          <w:rFonts w:asciiTheme="minorHAnsi" w:hAnsiTheme="minorHAnsi" w:cstheme="minorHAnsi"/>
          <w:bCs/>
        </w:rPr>
        <w:fldChar w:fldCharType="end"/>
      </w:r>
      <w:r w:rsidRPr="007809F4">
        <w:rPr>
          <w:rFonts w:asciiTheme="minorHAnsi" w:hAnsiTheme="minorHAnsi" w:cstheme="minorHAnsi"/>
          <w:bCs/>
        </w:rPr>
        <w:t xml:space="preserve">; </w:t>
      </w:r>
      <w:r w:rsidRPr="00EB7F1E">
        <w:rPr>
          <w:rFonts w:asciiTheme="minorHAnsi" w:hAnsiTheme="minorHAnsi" w:cstheme="minorHAnsi"/>
          <w:i/>
        </w:rPr>
        <w:t>R v Bull</w:t>
      </w:r>
      <w:r w:rsidRPr="007809F4">
        <w:rPr>
          <w:rFonts w:asciiTheme="minorHAnsi" w:hAnsiTheme="minorHAnsi" w:cstheme="minorHAnsi"/>
        </w:rPr>
        <w:t xml:space="preserve"> (1974) 131 CLR 203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Bull</w:instrText>
      </w:r>
      <w:r w:rsidRPr="007809F4">
        <w:rPr>
          <w:rFonts w:asciiTheme="minorHAnsi" w:hAnsiTheme="minorHAnsi" w:cstheme="minorHAnsi"/>
        </w:rPr>
        <w:instrText xml:space="preserve"> (1974) 131 CLR 203</w:instrText>
      </w:r>
      <w:r w:rsidRPr="00EB7F1E">
        <w:rPr>
          <w:rFonts w:asciiTheme="minorHAnsi" w:hAnsiTheme="minorHAnsi" w:cstheme="minorHAnsi"/>
        </w:rPr>
        <w:instrText xml:space="preserve">" \s "R v Bull (1974) 131 CLR 203" \c 1 </w:instrText>
      </w:r>
      <w:r w:rsidRPr="00EB7F1E">
        <w:rPr>
          <w:rFonts w:asciiTheme="minorHAnsi" w:hAnsiTheme="minorHAnsi" w:cstheme="minorHAnsi"/>
        </w:rPr>
        <w:fldChar w:fldCharType="end"/>
      </w:r>
      <w:r w:rsidRPr="00EB7F1E">
        <w:rPr>
          <w:rFonts w:asciiTheme="minorHAnsi" w:hAnsiTheme="minorHAnsi" w:cstheme="minorHAnsi"/>
          <w:i/>
        </w:rPr>
        <w:t>; R v Murphy</w:t>
      </w:r>
      <w:r w:rsidRPr="007809F4">
        <w:rPr>
          <w:rFonts w:asciiTheme="minorHAnsi" w:hAnsiTheme="minorHAnsi" w:cstheme="minorHAnsi"/>
        </w:rPr>
        <w:t xml:space="preserve"> </w:t>
      </w:r>
      <w:r w:rsidRPr="00EB7F1E">
        <w:rPr>
          <w:rFonts w:asciiTheme="minorHAnsi" w:hAnsiTheme="minorHAnsi" w:cstheme="minorHAnsi"/>
        </w:rPr>
        <w:t>(1985) 158 CLR 596</w:t>
      </w:r>
      <w:r w:rsidRPr="00EB7F1E">
        <w:rPr>
          <w:rFonts w:asciiTheme="minorHAnsi" w:hAnsiTheme="minorHAnsi" w:cstheme="minorHAnsi"/>
        </w:rPr>
        <w:fldChar w:fldCharType="begin"/>
      </w:r>
      <w:r w:rsidRPr="00EB7F1E">
        <w:rPr>
          <w:rFonts w:asciiTheme="minorHAnsi" w:hAnsiTheme="minorHAnsi" w:cstheme="minorHAnsi"/>
        </w:rPr>
        <w:instrText xml:space="preserve"> TA \s "Murphy v R (1985) 158 CLR 596"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617</w:t>
      </w:r>
      <w:r w:rsidRPr="007809F4">
        <w:rPr>
          <w:rFonts w:asciiTheme="minorHAnsi" w:hAnsiTheme="minorHAnsi" w:cstheme="minorHAnsi"/>
        </w:rPr>
        <w:t xml:space="preserve">; </w:t>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Solomons v District Court (NSW)</w:instrText>
      </w:r>
      <w:r w:rsidRPr="007809F4">
        <w:rPr>
          <w:rFonts w:asciiTheme="minorHAnsi" w:hAnsiTheme="minorHAnsi" w:cstheme="minorHAnsi"/>
        </w:rPr>
        <w:instrText xml:space="preserve"> (2002) 211 CLR 119" \s "Solomons v District Court (NSW) (2002) 211 CLR 119" \c 1 </w:instrText>
      </w:r>
      <w:r w:rsidRPr="00EB7F1E">
        <w:rPr>
          <w:rFonts w:asciiTheme="minorHAnsi" w:hAnsiTheme="minorHAnsi" w:cstheme="minorHAnsi"/>
        </w:rPr>
        <w:fldChar w:fldCharType="end"/>
      </w:r>
      <w:r w:rsidRPr="007809F4">
        <w:rPr>
          <w:rFonts w:asciiTheme="minorHAnsi" w:hAnsiTheme="minorHAnsi" w:cstheme="minorHAnsi"/>
        </w:rPr>
        <w:t xml:space="preserve">, [130] (Kirby J); </w:t>
      </w:r>
      <w:r w:rsidRPr="00EB7F1E">
        <w:rPr>
          <w:rFonts w:asciiTheme="minorHAnsi" w:hAnsiTheme="minorHAnsi" w:cstheme="minorHAnsi"/>
          <w:i/>
        </w:rPr>
        <w:t>Macleod v ASIC</w:t>
      </w:r>
      <w:r w:rsidRPr="007809F4">
        <w:rPr>
          <w:rFonts w:asciiTheme="minorHAnsi" w:hAnsiTheme="minorHAnsi" w:cstheme="minorHAnsi"/>
        </w:rPr>
        <w:t xml:space="preserve"> </w:t>
      </w:r>
      <w:r w:rsidRPr="00EB7F1E">
        <w:rPr>
          <w:rFonts w:asciiTheme="minorHAnsi" w:hAnsiTheme="minorHAnsi" w:cstheme="minorHAnsi"/>
        </w:rPr>
        <w:t>(2002) 211 CLR 287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Macleod v ASIC</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(2002) 211 CLR 287" \s "Macleod v ASIC (2002) 211 CLR 287" \c 1 </w:instrText>
      </w:r>
      <w:r w:rsidRPr="00EB7F1E">
        <w:rPr>
          <w:rFonts w:asciiTheme="minorHAnsi" w:hAnsiTheme="minorHAnsi" w:cstheme="minorHAnsi"/>
        </w:rPr>
        <w:fldChar w:fldCharType="end"/>
      </w:r>
      <w:r w:rsidRPr="007809F4">
        <w:rPr>
          <w:rFonts w:asciiTheme="minorHAnsi" w:hAnsiTheme="minorHAnsi" w:cstheme="minorHAnsi"/>
        </w:rPr>
        <w:t>, [8]-[9].</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3">
    <w:p w14:paraId="27DE5C2D" w14:textId="4815931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7809F4">
        <w:rPr>
          <w:rFonts w:asciiTheme="minorHAnsi" w:hAnsiTheme="minorHAnsi" w:cstheme="minorHAnsi"/>
        </w:rPr>
        <w:instrText xml:space="preserve"> TA \s "Rizeq v R (2017) 262 CLR 1" </w:instrText>
      </w:r>
      <w:r w:rsidRPr="00EB7F1E">
        <w:rPr>
          <w:rFonts w:asciiTheme="minorHAnsi" w:hAnsiTheme="minorHAnsi" w:cstheme="minorHAnsi"/>
        </w:rPr>
        <w:fldChar w:fldCharType="end"/>
      </w:r>
      <w:r w:rsidRPr="007809F4">
        <w:rPr>
          <w:rFonts w:asciiTheme="minorHAnsi" w:hAnsiTheme="minorHAnsi" w:cstheme="minorHAnsi"/>
        </w:rPr>
        <w:t>, [52].</w:t>
      </w:r>
      <w:r w:rsidRPr="00EB7F1E">
        <w:rPr>
          <w:rFonts w:asciiTheme="minorHAnsi" w:hAnsiTheme="minorHAnsi" w:cstheme="minorHAnsi"/>
        </w:rPr>
        <w:fldChar w:fldCharType="begin"/>
      </w:r>
      <w:r w:rsidRPr="00EB7F1E">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4">
    <w:p w14:paraId="5CCB9F9A" w14:textId="46B6CCA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bCs/>
          <w:i/>
        </w:rPr>
        <w:t>Ah Yick v Lehmert</w:t>
      </w:r>
      <w:r w:rsidRPr="00EB7F1E">
        <w:rPr>
          <w:rFonts w:asciiTheme="minorHAnsi" w:hAnsiTheme="minorHAnsi" w:cstheme="minorHAnsi"/>
          <w:bCs/>
        </w:rPr>
        <w:t xml:space="preserve"> (1905) 2 CLR 593</w:t>
      </w:r>
      <w:r w:rsidRPr="00EB7F1E">
        <w:rPr>
          <w:rFonts w:asciiTheme="minorHAnsi" w:hAnsiTheme="minorHAnsi" w:cstheme="minorHAnsi"/>
          <w:bCs/>
        </w:rPr>
        <w:fldChar w:fldCharType="begin"/>
      </w:r>
      <w:r w:rsidRPr="007809F4">
        <w:rPr>
          <w:rFonts w:asciiTheme="minorHAnsi" w:hAnsiTheme="minorHAnsi" w:cstheme="minorHAnsi"/>
          <w:bCs/>
        </w:rPr>
        <w:instrText xml:space="preserve"> TA \s "Ah Yick v Lehmert (1905) 2 CLR 593" </w:instrText>
      </w:r>
      <w:r w:rsidRPr="00EB7F1E">
        <w:rPr>
          <w:rFonts w:asciiTheme="minorHAnsi" w:hAnsiTheme="minorHAnsi" w:cstheme="minorHAnsi"/>
          <w:bCs/>
        </w:rPr>
        <w:fldChar w:fldCharType="end"/>
      </w:r>
      <w:r w:rsidRPr="00EB7F1E">
        <w:rPr>
          <w:rFonts w:asciiTheme="minorHAnsi" w:hAnsiTheme="minorHAnsi" w:cstheme="minorHAnsi"/>
          <w:bCs/>
        </w:rPr>
        <w:t>;</w:t>
      </w:r>
      <w:r w:rsidRPr="007809F4">
        <w:rPr>
          <w:rFonts w:asciiTheme="minorHAnsi" w:hAnsiTheme="minorHAnsi" w:cstheme="minorHAnsi"/>
          <w:b/>
          <w:bCs/>
        </w:rPr>
        <w:t xml:space="preserve"> </w:t>
      </w:r>
      <w:r w:rsidRPr="00EB7F1E">
        <w:rPr>
          <w:rFonts w:asciiTheme="minorHAnsi" w:hAnsiTheme="minorHAnsi" w:cstheme="minorHAnsi"/>
          <w:i/>
        </w:rPr>
        <w:t>Baxter v Commissioner of Taxation (NSW)</w:t>
      </w:r>
      <w:r w:rsidRPr="00EB7F1E">
        <w:rPr>
          <w:rFonts w:asciiTheme="minorHAnsi" w:hAnsiTheme="minorHAnsi" w:cstheme="minorHAnsi"/>
        </w:rPr>
        <w:t xml:space="preserve"> </w:t>
      </w:r>
      <w:r w:rsidRPr="007809F4">
        <w:rPr>
          <w:rFonts w:asciiTheme="minorHAnsi" w:hAnsiTheme="minorHAnsi" w:cstheme="minorHAnsi"/>
        </w:rPr>
        <w:t>(</w:t>
      </w:r>
      <w:r w:rsidRPr="00EB7F1E">
        <w:rPr>
          <w:rFonts w:asciiTheme="minorHAnsi" w:hAnsiTheme="minorHAnsi" w:cstheme="minorHAnsi"/>
        </w:rPr>
        <w:t>1907) 4 CLR 1087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Baxter v Commissioner of Taxation (NSW)</w:instrText>
      </w:r>
      <w:r w:rsidRPr="00EB7F1E">
        <w:rPr>
          <w:rFonts w:asciiTheme="minorHAnsi" w:hAnsiTheme="minorHAnsi" w:cstheme="minorHAnsi"/>
        </w:rPr>
        <w:instrText xml:space="preserve"> </w:instrText>
      </w:r>
      <w:r w:rsidRPr="007809F4">
        <w:rPr>
          <w:rFonts w:asciiTheme="minorHAnsi" w:hAnsiTheme="minorHAnsi" w:cstheme="minorHAnsi"/>
        </w:rPr>
        <w:instrText>(</w:instrText>
      </w:r>
      <w:r w:rsidRPr="00EB7F1E">
        <w:rPr>
          <w:rFonts w:asciiTheme="minorHAnsi" w:hAnsiTheme="minorHAnsi" w:cstheme="minorHAnsi"/>
        </w:rPr>
        <w:instrText xml:space="preserve">1907) 4 CLR 1087" \s "Baxter v Commissioner of Taxation (NSW) (1907) 4 CLR 1087"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1142</w:t>
      </w:r>
      <w:r w:rsidRPr="007809F4">
        <w:rPr>
          <w:rFonts w:asciiTheme="minorHAnsi" w:hAnsiTheme="minorHAnsi" w:cstheme="minorHAnsi"/>
        </w:rPr>
        <w:t xml:space="preserve"> (Isaacs J); </w:t>
      </w:r>
      <w:r w:rsidRPr="00EB7F1E">
        <w:rPr>
          <w:rFonts w:asciiTheme="minorHAnsi" w:hAnsiTheme="minorHAnsi" w:cstheme="minorHAnsi"/>
          <w:i/>
        </w:rPr>
        <w:t>Gould v Brown</w:t>
      </w:r>
      <w:r w:rsidRPr="00EB7F1E">
        <w:rPr>
          <w:rFonts w:asciiTheme="minorHAnsi" w:hAnsiTheme="minorHAnsi" w:cstheme="minorHAnsi"/>
        </w:rPr>
        <w:t xml:space="preserve"> (1998) 193 CLR 346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Gould v Brown</w:instrText>
      </w:r>
      <w:r w:rsidRPr="00EB7F1E">
        <w:rPr>
          <w:rFonts w:asciiTheme="minorHAnsi" w:hAnsiTheme="minorHAnsi" w:cstheme="minorHAnsi"/>
        </w:rPr>
        <w:instrText xml:space="preserve"> (1998) 193 CLR 346" \s "Gould v Brown (1998) 193 CLR 346"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379</w:t>
      </w:r>
      <w:r w:rsidRPr="007809F4">
        <w:rPr>
          <w:rFonts w:asciiTheme="minorHAnsi" w:hAnsiTheme="minorHAnsi" w:cstheme="minorHAnsi"/>
        </w:rPr>
        <w:t xml:space="preserve">; </w:t>
      </w:r>
      <w:r w:rsidRPr="00EB7F1E">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[53] (McHugh J).</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5">
    <w:p w14:paraId="2A159F86" w14:textId="0599C38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bCs/>
          <w:i/>
          <w:iCs/>
        </w:rPr>
        <w:t>MZXOT v Minister for Immigration and Citizenship</w:t>
      </w:r>
      <w:r w:rsidRPr="007809F4">
        <w:rPr>
          <w:rFonts w:asciiTheme="minorHAnsi" w:hAnsiTheme="minorHAnsi" w:cstheme="minorHAnsi"/>
          <w:bCs/>
        </w:rPr>
        <w:t xml:space="preserve"> (2008) 233 CLR 601</w:t>
      </w:r>
      <w:r w:rsidRPr="00EB7F1E">
        <w:rPr>
          <w:rFonts w:asciiTheme="minorHAnsi" w:hAnsiTheme="minorHAnsi" w:cstheme="minorHAnsi"/>
          <w:b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bCs/>
          <w:i/>
          <w:iCs/>
        </w:rPr>
        <w:instrText>MZXOT v Minister for Immigration and Citizenship</w:instrText>
      </w:r>
      <w:r w:rsidRPr="007809F4">
        <w:rPr>
          <w:rFonts w:asciiTheme="minorHAnsi" w:hAnsiTheme="minorHAnsi" w:cstheme="minorHAnsi"/>
          <w:bCs/>
        </w:rPr>
        <w:instrText xml:space="preserve"> (2008) 233 CLR 601</w:instrText>
      </w:r>
      <w:r w:rsidRPr="00EB7F1E">
        <w:rPr>
          <w:rFonts w:asciiTheme="minorHAnsi" w:hAnsiTheme="minorHAnsi" w:cstheme="minorHAnsi"/>
        </w:rPr>
        <w:instrText xml:space="preserve">" \s "MZXOT v Minister for Immigration and Citizenship (2008) 233 CLR 601" \c 1 </w:instrText>
      </w:r>
      <w:r w:rsidRPr="00EB7F1E">
        <w:rPr>
          <w:rFonts w:asciiTheme="minorHAnsi" w:hAnsiTheme="minorHAnsi" w:cstheme="minorHAnsi"/>
          <w:bCs/>
        </w:rPr>
        <w:fldChar w:fldCharType="end"/>
      </w:r>
      <w:r w:rsidRPr="007809F4">
        <w:rPr>
          <w:rFonts w:asciiTheme="minorHAnsi" w:hAnsiTheme="minorHAnsi" w:cstheme="minorHAnsi"/>
          <w:bCs/>
        </w:rPr>
        <w:t>, [20].</w:t>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6">
    <w:p w14:paraId="6617D533" w14:textId="455EBA2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Pedersen</w:t>
      </w:r>
      <w:r w:rsidRPr="007809F4">
        <w:rPr>
          <w:rFonts w:asciiTheme="minorHAnsi" w:hAnsiTheme="minorHAnsi" w:cstheme="minorHAnsi"/>
          <w:i/>
          <w:iCs/>
        </w:rPr>
        <w:t xml:space="preserve"> v </w:t>
      </w:r>
      <w:r w:rsidRPr="007809F4">
        <w:rPr>
          <w:rFonts w:asciiTheme="minorHAnsi" w:hAnsiTheme="minorHAnsi" w:cstheme="minorHAnsi"/>
          <w:i/>
        </w:rPr>
        <w:t>Young</w:t>
      </w:r>
      <w:r w:rsidRPr="007809F4">
        <w:rPr>
          <w:rFonts w:asciiTheme="minorHAnsi" w:hAnsiTheme="minorHAnsi" w:cstheme="minorHAnsi"/>
        </w:rPr>
        <w:t xml:space="preserve"> (1964) 110 CLR 162</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Pedersen v Young</w:instrText>
      </w:r>
      <w:r w:rsidRPr="007809F4">
        <w:rPr>
          <w:rFonts w:asciiTheme="minorHAnsi" w:hAnsiTheme="minorHAnsi" w:cstheme="minorHAnsi"/>
        </w:rPr>
        <w:instrText xml:space="preserve"> (1964) 110 CLR</w:instrText>
      </w:r>
      <w:r w:rsidRPr="00EB7F1E">
        <w:rPr>
          <w:rFonts w:asciiTheme="minorHAnsi" w:hAnsiTheme="minorHAnsi" w:cstheme="minorHAnsi"/>
        </w:rPr>
        <w:instrText xml:space="preserve">" \s "Pedersen v Young (1964) 110 CLR 162" \c 1 </w:instrText>
      </w:r>
      <w:r w:rsidRPr="00EB7F1E">
        <w:rPr>
          <w:rFonts w:asciiTheme="minorHAnsi" w:hAnsiTheme="minorHAnsi" w:cstheme="minorHAnsi"/>
          <w:i/>
        </w:rPr>
        <w:fldChar w:fldCharType="end"/>
      </w:r>
      <w:r w:rsidRPr="00EB7F1E">
        <w:rPr>
          <w:rFonts w:asciiTheme="minorHAnsi" w:hAnsiTheme="minorHAnsi" w:cstheme="minorHAnsi"/>
        </w:rPr>
        <w:t>, 165 (Kitto J), 167 (Menzies J);</w:t>
      </w:r>
      <w:r w:rsidRPr="00EB7F1E">
        <w:rPr>
          <w:rFonts w:asciiTheme="minorHAnsi" w:hAnsiTheme="minorHAnsi" w:cstheme="minorHAnsi"/>
          <w:i/>
        </w:rPr>
        <w:t xml:space="preserve"> John Robertson &amp; Co Ltd</w:t>
      </w:r>
      <w:r w:rsidRPr="00EB7F1E">
        <w:rPr>
          <w:rFonts w:asciiTheme="minorHAnsi" w:hAnsiTheme="minorHAnsi" w:cstheme="minorHAnsi"/>
          <w:i/>
          <w:iCs/>
        </w:rPr>
        <w:t xml:space="preserve"> v </w:t>
      </w:r>
      <w:r w:rsidRPr="00EB7F1E">
        <w:rPr>
          <w:rFonts w:asciiTheme="minorHAnsi" w:hAnsiTheme="minorHAnsi" w:cstheme="minorHAnsi"/>
          <w:i/>
        </w:rPr>
        <w:t>Ferguson Transformers Pty Ltd</w:t>
      </w:r>
      <w:r w:rsidRPr="00EB7F1E">
        <w:rPr>
          <w:rFonts w:asciiTheme="minorHAnsi" w:hAnsiTheme="minorHAnsi" w:cstheme="minorHAnsi"/>
        </w:rPr>
        <w:t xml:space="preserve"> (1973) 129 CLR 65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John Robertson &amp; Co Ltd</w:instrText>
      </w:r>
      <w:r w:rsidRPr="00EB7F1E">
        <w:rPr>
          <w:rFonts w:asciiTheme="minorHAnsi" w:hAnsiTheme="minorHAnsi" w:cstheme="minorHAnsi"/>
          <w:i/>
          <w:iCs/>
        </w:rPr>
        <w:instrText xml:space="preserve"> v </w:instrText>
      </w:r>
      <w:r w:rsidRPr="00EB7F1E">
        <w:rPr>
          <w:rFonts w:asciiTheme="minorHAnsi" w:hAnsiTheme="minorHAnsi" w:cstheme="minorHAnsi"/>
          <w:i/>
        </w:rPr>
        <w:instrText>Ferguson Transformers Pty Ltd</w:instrText>
      </w:r>
      <w:r w:rsidRPr="00EB7F1E">
        <w:rPr>
          <w:rFonts w:asciiTheme="minorHAnsi" w:hAnsiTheme="minorHAnsi" w:cstheme="minorHAnsi"/>
        </w:rPr>
        <w:instrText xml:space="preserve"> (1973) 129 CLR 65" \s "John Robertson &amp; Co Ltd v Ferguson Transformers Pty Ltd (1973) 129 CLR 65" \c 1 </w:instrText>
      </w:r>
      <w:r w:rsidRPr="00EB7F1E">
        <w:rPr>
          <w:rFonts w:asciiTheme="minorHAnsi" w:hAnsiTheme="minorHAnsi" w:cstheme="minorHAnsi"/>
        </w:rPr>
        <w:fldChar w:fldCharType="end"/>
      </w:r>
      <w:r w:rsidRPr="00EB7F1E">
        <w:rPr>
          <w:rFonts w:asciiTheme="minorHAnsi" w:hAnsiTheme="minorHAnsi" w:cstheme="minorHAnsi"/>
        </w:rPr>
        <w:t xml:space="preserve">, 79, 84, 87, 93; </w:t>
      </w:r>
      <w:r w:rsidRPr="00EB7F1E">
        <w:rPr>
          <w:rFonts w:asciiTheme="minorHAnsi" w:hAnsiTheme="minorHAnsi" w:cstheme="minorHAnsi"/>
          <w:i/>
        </w:rPr>
        <w:t>Kruger</w:t>
      </w:r>
      <w:r w:rsidRPr="00EB7F1E">
        <w:rPr>
          <w:rFonts w:asciiTheme="minorHAnsi" w:hAnsiTheme="minorHAnsi" w:cstheme="minorHAnsi"/>
          <w:i/>
          <w:iCs/>
        </w:rPr>
        <w:t xml:space="preserve"> v </w:t>
      </w:r>
      <w:r w:rsidRPr="00EB7F1E">
        <w:rPr>
          <w:rFonts w:asciiTheme="minorHAnsi" w:hAnsiTheme="minorHAnsi" w:cstheme="minorHAnsi"/>
          <w:i/>
        </w:rPr>
        <w:t>Commonwealth</w:t>
      </w:r>
      <w:r w:rsidRPr="00EB7F1E">
        <w:rPr>
          <w:rFonts w:asciiTheme="minorHAnsi" w:hAnsiTheme="minorHAnsi" w:cstheme="minorHAnsi"/>
        </w:rPr>
        <w:t xml:space="preserve"> (1997) 190 CLR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Kruger</w:instrText>
      </w:r>
      <w:r w:rsidRPr="00EB7F1E">
        <w:rPr>
          <w:rFonts w:asciiTheme="minorHAnsi" w:hAnsiTheme="minorHAnsi" w:cstheme="minorHAnsi"/>
          <w:i/>
          <w:iCs/>
        </w:rPr>
        <w:instrText xml:space="preserve"> v </w:instrText>
      </w:r>
      <w:r w:rsidRPr="00EB7F1E">
        <w:rPr>
          <w:rFonts w:asciiTheme="minorHAnsi" w:hAnsiTheme="minorHAnsi" w:cstheme="minorHAnsi"/>
          <w:i/>
        </w:rPr>
        <w:instrText>Commonwealth</w:instrText>
      </w:r>
      <w:r w:rsidRPr="00EB7F1E">
        <w:rPr>
          <w:rFonts w:asciiTheme="minorHAnsi" w:hAnsiTheme="minorHAnsi" w:cstheme="minorHAnsi"/>
        </w:rPr>
        <w:instrText xml:space="preserve"> (1997) 190 CLR 1" \s "Kruger v Commonwealth (1997) 190 CLR 1" \c 1 </w:instrText>
      </w:r>
      <w:r w:rsidRPr="00EB7F1E">
        <w:rPr>
          <w:rFonts w:asciiTheme="minorHAnsi" w:hAnsiTheme="minorHAnsi" w:cstheme="minorHAnsi"/>
        </w:rPr>
        <w:fldChar w:fldCharType="end"/>
      </w:r>
      <w:r w:rsidRPr="00EB7F1E">
        <w:rPr>
          <w:rFonts w:asciiTheme="minorHAnsi" w:hAnsiTheme="minorHAnsi" w:cstheme="minorHAnsi"/>
        </w:rPr>
        <w:t xml:space="preserve">, 135 (Gaudron J); </w:t>
      </w:r>
      <w:r w:rsidRPr="00EB7F1E">
        <w:rPr>
          <w:rFonts w:asciiTheme="minorHAnsi" w:hAnsiTheme="minorHAnsi" w:cstheme="minorHAnsi"/>
          <w:i/>
        </w:rPr>
        <w:t>Commonwealth</w:t>
      </w:r>
      <w:r w:rsidRPr="00EB7F1E">
        <w:rPr>
          <w:rFonts w:asciiTheme="minorHAnsi" w:hAnsiTheme="minorHAnsi" w:cstheme="minorHAnsi"/>
          <w:i/>
          <w:iCs/>
        </w:rPr>
        <w:t xml:space="preserve"> v </w:t>
      </w:r>
      <w:r w:rsidRPr="00EB7F1E">
        <w:rPr>
          <w:rFonts w:asciiTheme="minorHAnsi" w:hAnsiTheme="minorHAnsi" w:cstheme="minorHAnsi"/>
          <w:i/>
        </w:rPr>
        <w:t>Mewett</w:t>
      </w:r>
      <w:r w:rsidRPr="00EB7F1E">
        <w:rPr>
          <w:rFonts w:asciiTheme="minorHAnsi" w:hAnsiTheme="minorHAnsi" w:cstheme="minorHAnsi"/>
        </w:rPr>
        <w:t xml:space="preserve"> (1997) 191 CLR 471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Commonwealth</w:instrText>
      </w:r>
      <w:r w:rsidRPr="00EB7F1E">
        <w:rPr>
          <w:rFonts w:asciiTheme="minorHAnsi" w:hAnsiTheme="minorHAnsi" w:cstheme="minorHAnsi"/>
          <w:i/>
          <w:iCs/>
        </w:rPr>
        <w:instrText xml:space="preserve"> v </w:instrText>
      </w:r>
      <w:r w:rsidRPr="00EB7F1E">
        <w:rPr>
          <w:rFonts w:asciiTheme="minorHAnsi" w:hAnsiTheme="minorHAnsi" w:cstheme="minorHAnsi"/>
          <w:i/>
        </w:rPr>
        <w:instrText>Mewett</w:instrText>
      </w:r>
      <w:r w:rsidRPr="00EB7F1E">
        <w:rPr>
          <w:rFonts w:asciiTheme="minorHAnsi" w:hAnsiTheme="minorHAnsi" w:cstheme="minorHAnsi"/>
        </w:rPr>
        <w:instrText xml:space="preserve"> (1997) 191 CLR 471" \s "Commonwealth v Mewett (1997) 191 CLR 471" \c 1 </w:instrText>
      </w:r>
      <w:r w:rsidRPr="00EB7F1E">
        <w:rPr>
          <w:rFonts w:asciiTheme="minorHAnsi" w:hAnsiTheme="minorHAnsi" w:cstheme="minorHAnsi"/>
        </w:rPr>
        <w:fldChar w:fldCharType="end"/>
      </w:r>
      <w:r w:rsidRPr="00EB7F1E">
        <w:rPr>
          <w:rFonts w:asciiTheme="minorHAnsi" w:hAnsiTheme="minorHAnsi" w:cstheme="minorHAnsi"/>
        </w:rPr>
        <w:t>, 552-3 (Gummow and Kirby JJ);</w:t>
      </w:r>
      <w:r w:rsidRPr="00EB7F1E">
        <w:rPr>
          <w:rFonts w:asciiTheme="minorHAnsi" w:hAnsiTheme="minorHAnsi" w:cstheme="minorHAnsi"/>
          <w:i/>
          <w:iCs/>
        </w:rPr>
        <w:t xml:space="preserve"> </w:t>
      </w:r>
      <w:r w:rsidRPr="007809F4">
        <w:rPr>
          <w:rFonts w:asciiTheme="minorHAnsi" w:hAnsiTheme="minorHAnsi" w:cstheme="minorHAnsi"/>
          <w:i/>
          <w:iCs/>
        </w:rPr>
        <w:t xml:space="preserve">Bass v Permanent Trustee Co Ltd </w:t>
      </w:r>
      <w:r w:rsidRPr="007809F4">
        <w:rPr>
          <w:rFonts w:asciiTheme="minorHAnsi" w:hAnsiTheme="minorHAnsi" w:cstheme="minorHAnsi"/>
        </w:rPr>
        <w:t>(1999) 198 CLR 334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 xml:space="preserve">Bass v Permanent Trustee Co Ltd </w:instrText>
      </w:r>
      <w:r w:rsidRPr="007809F4">
        <w:rPr>
          <w:rFonts w:asciiTheme="minorHAnsi" w:hAnsiTheme="minorHAnsi" w:cstheme="minorHAnsi"/>
        </w:rPr>
        <w:instrText>(1999) 198 CLR 334</w:instrText>
      </w:r>
      <w:r w:rsidRPr="00EB7F1E">
        <w:rPr>
          <w:rFonts w:asciiTheme="minorHAnsi" w:hAnsiTheme="minorHAnsi" w:cstheme="minorHAnsi"/>
        </w:rPr>
        <w:instrText xml:space="preserve">" \s "Bass v Permanent Trustee Co Ltd (1999) 198 CLR 334" \c 1 </w:instrText>
      </w:r>
      <w:r w:rsidRPr="00EB7F1E">
        <w:rPr>
          <w:rFonts w:asciiTheme="minorHAnsi" w:hAnsiTheme="minorHAnsi" w:cstheme="minorHAnsi"/>
        </w:rPr>
        <w:fldChar w:fldCharType="end"/>
      </w:r>
      <w:r w:rsidRPr="007809F4">
        <w:rPr>
          <w:rFonts w:asciiTheme="minorHAnsi" w:hAnsiTheme="minorHAnsi" w:cstheme="minorHAnsi"/>
        </w:rPr>
        <w:t xml:space="preserve">, [35]; </w:t>
      </w:r>
      <w:r w:rsidRPr="00EB7F1E">
        <w:rPr>
          <w:rFonts w:asciiTheme="minorHAnsi" w:hAnsiTheme="minorHAnsi" w:cstheme="minorHAnsi"/>
          <w:i/>
          <w:iCs/>
        </w:rPr>
        <w:t xml:space="preserve">Solomons v District Court (NSW) </w:t>
      </w:r>
      <w:r w:rsidRPr="00EB7F1E">
        <w:rPr>
          <w:rFonts w:asciiTheme="minorHAnsi" w:hAnsiTheme="minorHAnsi" w:cstheme="minorHAnsi"/>
        </w:rPr>
        <w:t>(2002) 211 CLR 119</w:t>
      </w:r>
      <w:r w:rsidRPr="00EB7F1E">
        <w:rPr>
          <w:rFonts w:asciiTheme="minorHAnsi" w:hAnsiTheme="minorHAnsi" w:cstheme="minorHAnsi"/>
        </w:rPr>
        <w:fldChar w:fldCharType="begin"/>
      </w:r>
      <w:r w:rsidRPr="00EB7F1E">
        <w:rPr>
          <w:rFonts w:asciiTheme="minorHAnsi" w:hAnsiTheme="minorHAnsi" w:cstheme="minorHAnsi"/>
        </w:rPr>
        <w:instrText xml:space="preserve"> TA \s "Solomons v District Court (NSW) (2002) 211 CLR 119" </w:instrText>
      </w:r>
      <w:r w:rsidRPr="00EB7F1E">
        <w:rPr>
          <w:rFonts w:asciiTheme="minorHAnsi" w:hAnsiTheme="minorHAnsi" w:cstheme="minorHAnsi"/>
        </w:rPr>
        <w:fldChar w:fldCharType="end"/>
      </w:r>
      <w:r w:rsidRPr="00EB7F1E">
        <w:rPr>
          <w:rFonts w:asciiTheme="minorHAnsi" w:hAnsiTheme="minorHAnsi" w:cstheme="minorHAnsi"/>
        </w:rPr>
        <w:t>, [21].</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7">
    <w:p w14:paraId="0A0B428D" w14:textId="6E18AB7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 xml:space="preserve">Solomons v District Court (NSW) </w:t>
      </w:r>
      <w:r w:rsidRPr="00EB7F1E">
        <w:rPr>
          <w:rFonts w:asciiTheme="minorHAnsi" w:hAnsiTheme="minorHAnsi" w:cstheme="minorHAnsi"/>
        </w:rPr>
        <w:t>(2002)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 </w:instrText>
      </w:r>
      <w:r w:rsidRPr="00EB7F1E">
        <w:rPr>
          <w:rFonts w:asciiTheme="minorHAnsi" w:hAnsiTheme="minorHAnsi" w:cstheme="minorHAnsi"/>
        </w:rPr>
        <w:fldChar w:fldCharType="end"/>
      </w:r>
      <w:r w:rsidRPr="00EB7F1E">
        <w:rPr>
          <w:rFonts w:asciiTheme="minorHAnsi" w:hAnsiTheme="minorHAnsi" w:cstheme="minorHAnsi"/>
        </w:rPr>
        <w:t xml:space="preserve">, [21]; </w:t>
      </w:r>
      <w:r w:rsidRPr="00EB7F1E">
        <w:rPr>
          <w:rStyle w:val="ssit"/>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Gee </w:instrText>
      </w:r>
      <w:r w:rsidRPr="007809F4">
        <w:rPr>
          <w:rFonts w:asciiTheme="minorHAnsi" w:hAnsiTheme="minorHAnsi" w:cstheme="minorHAnsi"/>
        </w:rPr>
        <w:instrText>(2003) 212 CLR 230</w:instrText>
      </w:r>
      <w:r w:rsidRPr="00EB7F1E">
        <w:rPr>
          <w:rFonts w:asciiTheme="minorHAnsi" w:hAnsiTheme="minorHAnsi" w:cstheme="minorHAnsi"/>
        </w:rPr>
        <w:instrText xml:space="preserve">" \s "R v Gee (2003) 212 CLR 230" \c 1 </w:instrText>
      </w:r>
      <w:r w:rsidRPr="00EB7F1E">
        <w:rPr>
          <w:rStyle w:val="ssit"/>
          <w:rFonts w:asciiTheme="minorHAnsi" w:hAnsiTheme="minorHAnsi" w:cstheme="minorHAnsi"/>
          <w:i/>
        </w:rPr>
        <w:fldChar w:fldCharType="end"/>
      </w:r>
      <w:r w:rsidRPr="00EB7F1E">
        <w:rPr>
          <w:rStyle w:val="ssit"/>
          <w:rFonts w:asciiTheme="minorHAnsi" w:hAnsiTheme="minorHAnsi" w:cstheme="minorHAnsi"/>
          <w:i/>
        </w:rPr>
        <w:t>R v Gee</w:t>
      </w:r>
      <w:r w:rsidRPr="00EB7F1E">
        <w:rPr>
          <w:rStyle w:val="ssleftalign"/>
          <w:rFonts w:asciiTheme="minorHAnsi" w:hAnsiTheme="minorHAnsi" w:cstheme="minorHAnsi"/>
        </w:rPr>
        <w:t xml:space="preserve"> (2003) 212 CLR 230, [100]; </w:t>
      </w:r>
      <w:r w:rsidRPr="00EB7F1E">
        <w:rPr>
          <w:rFonts w:asciiTheme="minorHAnsi" w:hAnsiTheme="minorHAnsi" w:cstheme="minorHAnsi"/>
          <w:i/>
        </w:rPr>
        <w:t>APLA Ltd v Legal Services Commissioner (NSW)</w:t>
      </w:r>
      <w:r w:rsidRPr="00EB7F1E">
        <w:rPr>
          <w:rFonts w:asciiTheme="minorHAnsi" w:hAnsiTheme="minorHAnsi" w:cstheme="minorHAnsi"/>
        </w:rPr>
        <w:t xml:space="preserve"> (2005) 224 CLR 322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APLA Ltd v Legal Services Commissioner (NSW)</w:instrText>
      </w:r>
      <w:r w:rsidRPr="00EB7F1E">
        <w:rPr>
          <w:rFonts w:asciiTheme="minorHAnsi" w:hAnsiTheme="minorHAnsi" w:cstheme="minorHAnsi"/>
        </w:rPr>
        <w:instrText xml:space="preserve"> (2005) 224 CLR 322" \s "APLA Ltd v Legal Services Commissioner (NSW) (2005) 224 CLR 322" \c 1 </w:instrText>
      </w:r>
      <w:r w:rsidRPr="00EB7F1E">
        <w:rPr>
          <w:rFonts w:asciiTheme="minorHAnsi" w:hAnsiTheme="minorHAnsi" w:cstheme="minorHAnsi"/>
        </w:rPr>
        <w:fldChar w:fldCharType="end"/>
      </w:r>
      <w:r w:rsidRPr="00EB7F1E">
        <w:rPr>
          <w:rFonts w:asciiTheme="minorHAnsi" w:hAnsiTheme="minorHAnsi" w:cstheme="minorHAnsi"/>
        </w:rPr>
        <w:t xml:space="preserve">, [230]; </w:t>
      </w:r>
      <w:r w:rsidRPr="007809F4">
        <w:rPr>
          <w:rFonts w:asciiTheme="minorHAnsi" w:hAnsiTheme="minorHAnsi" w:cstheme="minorHAnsi"/>
          <w:i/>
        </w:rPr>
        <w:t xml:space="preserve">Hili </w:t>
      </w:r>
      <w:r w:rsidRPr="007809F4">
        <w:rPr>
          <w:rFonts w:asciiTheme="minorHAnsi" w:hAnsiTheme="minorHAnsi" w:cstheme="minorHAnsi"/>
        </w:rPr>
        <w:t>v</w:t>
      </w:r>
      <w:r w:rsidRPr="007809F4">
        <w:rPr>
          <w:rFonts w:asciiTheme="minorHAnsi" w:hAnsiTheme="minorHAnsi" w:cstheme="minorHAnsi"/>
          <w:i/>
        </w:rPr>
        <w:t xml:space="preserve"> R </w:t>
      </w:r>
      <w:r w:rsidRPr="007809F4">
        <w:rPr>
          <w:rFonts w:asciiTheme="minorHAnsi" w:hAnsiTheme="minorHAnsi" w:cstheme="minorHAnsi"/>
        </w:rPr>
        <w:t>(2010) 242 CLR 520</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Hili v R</w:instrText>
      </w:r>
      <w:r w:rsidRPr="007809F4">
        <w:rPr>
          <w:rFonts w:asciiTheme="minorHAnsi" w:hAnsiTheme="minorHAnsi" w:cstheme="minorHAnsi"/>
        </w:rPr>
        <w:instrText xml:space="preserve"> (2010) 242 CLR 520</w:instrText>
      </w:r>
      <w:r w:rsidRPr="00EB7F1E">
        <w:rPr>
          <w:rFonts w:asciiTheme="minorHAnsi" w:hAnsiTheme="minorHAnsi" w:cstheme="minorHAnsi"/>
        </w:rPr>
        <w:instrText xml:space="preserve">" \s "Hili v R (2010) 242 CLR 520" \c 1 </w:instrText>
      </w:r>
      <w:r w:rsidRPr="00EB7F1E">
        <w:rPr>
          <w:rFonts w:asciiTheme="minorHAnsi" w:hAnsiTheme="minorHAnsi" w:cstheme="minorHAnsi"/>
          <w:i/>
        </w:rPr>
        <w:fldChar w:fldCharType="end"/>
      </w:r>
      <w:r w:rsidRPr="00EB7F1E">
        <w:rPr>
          <w:rFonts w:asciiTheme="minorHAnsi" w:hAnsiTheme="minorHAnsi" w:cstheme="minorHAnsi"/>
        </w:rPr>
        <w:t>, [21]</w:t>
      </w:r>
      <w:r w:rsidRPr="007809F4">
        <w:rPr>
          <w:rFonts w:asciiTheme="minorHAnsi" w:hAnsiTheme="minorHAnsi" w:cstheme="minorHAnsi"/>
        </w:rPr>
        <w:t xml:space="preserve">; </w:t>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7809F4">
        <w:rPr>
          <w:rFonts w:asciiTheme="minorHAnsi" w:hAnsiTheme="minorHAnsi" w:cstheme="minorHAnsi"/>
        </w:rPr>
        <w:instrText xml:space="preserve"> TA \s "Rizeq v R (2017) 262 CLR 1" </w:instrText>
      </w:r>
      <w:r w:rsidRPr="00EB7F1E">
        <w:rPr>
          <w:rFonts w:asciiTheme="minorHAnsi" w:hAnsiTheme="minorHAnsi" w:cstheme="minorHAnsi"/>
        </w:rPr>
        <w:fldChar w:fldCharType="end"/>
      </w:r>
      <w:r w:rsidRPr="007809F4">
        <w:rPr>
          <w:rFonts w:asciiTheme="minorHAnsi" w:hAnsiTheme="minorHAnsi" w:cstheme="minorHAnsi"/>
          <w:iCs/>
        </w:rPr>
        <w:t xml:space="preserve">, [15], [21], [23] (Kiefel CJ), [57]-[63] </w:t>
      </w:r>
      <w:r w:rsidRPr="00EB7F1E">
        <w:rPr>
          <w:rFonts w:asciiTheme="minorHAnsi" w:hAnsiTheme="minorHAnsi" w:cstheme="minorHAnsi"/>
          <w:iCs/>
        </w:rPr>
        <w:t>(Bell, Gageler, Keane, Nettle and Gordon JJ)</w:t>
      </w:r>
      <w:r w:rsidRPr="007809F4">
        <w:rPr>
          <w:rFonts w:asciiTheme="minorHAnsi" w:hAnsiTheme="minorHAnsi" w:cstheme="minorHAnsi"/>
          <w:iCs/>
        </w:rPr>
        <w:t>.</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8">
    <w:p w14:paraId="544E61ED" w14:textId="2D4E981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Pedersen v Young</w:t>
      </w:r>
      <w:r w:rsidRPr="00EB7F1E">
        <w:rPr>
          <w:rFonts w:asciiTheme="minorHAnsi" w:hAnsiTheme="minorHAnsi" w:cstheme="minorHAnsi"/>
        </w:rPr>
        <w:t xml:space="preserve"> (1964) 110 CLR 162</w:t>
      </w:r>
      <w:r w:rsidRPr="00EB7F1E">
        <w:rPr>
          <w:rFonts w:asciiTheme="minorHAnsi" w:hAnsiTheme="minorHAnsi" w:cstheme="minorHAnsi"/>
        </w:rPr>
        <w:fldChar w:fldCharType="begin"/>
      </w:r>
      <w:r w:rsidRPr="007809F4">
        <w:rPr>
          <w:rFonts w:asciiTheme="minorHAnsi" w:hAnsiTheme="minorHAnsi" w:cstheme="minorHAnsi"/>
        </w:rPr>
        <w:instrText xml:space="preserve"> TA \s "Pedersen v Young (1964) 110 CLR 162" </w:instrText>
      </w:r>
      <w:r w:rsidRPr="00EB7F1E">
        <w:rPr>
          <w:rFonts w:asciiTheme="minorHAnsi" w:hAnsiTheme="minorHAnsi" w:cstheme="minorHAnsi"/>
        </w:rPr>
        <w:fldChar w:fldCharType="end"/>
      </w:r>
      <w:r w:rsidRPr="00EB7F1E">
        <w:rPr>
          <w:rFonts w:asciiTheme="minorHAnsi" w:hAnsiTheme="minorHAnsi" w:cstheme="minorHAnsi"/>
        </w:rPr>
        <w:t xml:space="preserve">, 167 (Menzies J); </w:t>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7809F4">
        <w:rPr>
          <w:rFonts w:asciiTheme="minorHAnsi" w:hAnsiTheme="minorHAnsi" w:cstheme="minorHAnsi"/>
        </w:rPr>
        <w:instrText xml:space="preserve"> TA \s "Rizeq v R (2017) 262 CLR 1" </w:instrText>
      </w:r>
      <w:r w:rsidRPr="00EB7F1E">
        <w:rPr>
          <w:rFonts w:asciiTheme="minorHAnsi" w:hAnsiTheme="minorHAnsi" w:cstheme="minorHAnsi"/>
        </w:rPr>
        <w:fldChar w:fldCharType="end"/>
      </w:r>
      <w:r w:rsidRPr="007809F4">
        <w:rPr>
          <w:rFonts w:asciiTheme="minorHAnsi" w:hAnsiTheme="minorHAnsi" w:cstheme="minorHAnsi"/>
          <w:iCs/>
        </w:rPr>
        <w:t>, [60]-[61] (Bell, Gageler, Keane, Nettle and Gordon JJ).</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19">
    <w:p w14:paraId="769659B7" w14:textId="29169EB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Style w:val="ssit"/>
          <w:rFonts w:asciiTheme="minorHAnsi" w:hAnsiTheme="minorHAnsi" w:cstheme="minorHAnsi"/>
          <w:i/>
        </w:rPr>
        <w:t>Re Wakim; Ex parte McNally</w:t>
      </w:r>
      <w:r w:rsidRPr="007809F4">
        <w:rPr>
          <w:rStyle w:val="ssleftalign"/>
          <w:rFonts w:asciiTheme="minorHAnsi" w:hAnsiTheme="minorHAnsi" w:cstheme="minorHAnsi"/>
        </w:rPr>
        <w:t xml:space="preserve"> </w:t>
      </w:r>
      <w:r w:rsidRPr="00EB7F1E">
        <w:rPr>
          <w:rStyle w:val="ssleftalign"/>
          <w:rFonts w:asciiTheme="minorHAnsi" w:hAnsiTheme="minorHAnsi" w:cstheme="minorHAnsi"/>
        </w:rPr>
        <w:t>(1999) 198 CLR 511</w:t>
      </w:r>
      <w:r w:rsidRPr="00EB7F1E">
        <w:rPr>
          <w:rStyle w:val="ssleftalign"/>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Style w:val="ssit"/>
          <w:rFonts w:asciiTheme="minorHAnsi" w:hAnsiTheme="minorHAnsi" w:cstheme="minorHAnsi"/>
          <w:i/>
        </w:rPr>
        <w:instrText>Re Wakim; Ex parte McNally</w:instrText>
      </w:r>
      <w:r w:rsidRPr="007809F4">
        <w:rPr>
          <w:rStyle w:val="ssleftalign"/>
          <w:rFonts w:asciiTheme="minorHAnsi" w:hAnsiTheme="minorHAnsi" w:cstheme="minorHAnsi"/>
        </w:rPr>
        <w:instrText xml:space="preserve"> </w:instrText>
      </w:r>
      <w:r w:rsidRPr="00EB7F1E">
        <w:rPr>
          <w:rStyle w:val="ssleftalign"/>
          <w:rFonts w:asciiTheme="minorHAnsi" w:hAnsiTheme="minorHAnsi" w:cstheme="minorHAnsi"/>
        </w:rPr>
        <w:instrText>(1999) 198 CLR 511</w:instrText>
      </w:r>
      <w:r w:rsidRPr="00EB7F1E">
        <w:rPr>
          <w:rFonts w:asciiTheme="minorHAnsi" w:hAnsiTheme="minorHAnsi" w:cstheme="minorHAnsi"/>
        </w:rPr>
        <w:instrText xml:space="preserve">" \s "Re Wakim; Ex parte McNally (1999) 198 CLR 511" \c 1 </w:instrText>
      </w:r>
      <w:r w:rsidRPr="00EB7F1E">
        <w:rPr>
          <w:rStyle w:val="ssleftalign"/>
          <w:rFonts w:asciiTheme="minorHAnsi" w:hAnsiTheme="minorHAnsi" w:cstheme="minorHAnsi"/>
        </w:rPr>
        <w:fldChar w:fldCharType="end"/>
      </w:r>
      <w:r w:rsidRPr="00EB7F1E">
        <w:rPr>
          <w:rStyle w:val="ssleftalign"/>
          <w:rFonts w:asciiTheme="minorHAnsi" w:hAnsiTheme="minorHAnsi" w:cstheme="minorHAnsi"/>
        </w:rPr>
        <w:t xml:space="preserve">, [58]; </w:t>
      </w:r>
      <w:r w:rsidRPr="00EB7F1E">
        <w:rPr>
          <w:rFonts w:asciiTheme="minorHAnsi" w:hAnsiTheme="minorHAnsi" w:cstheme="minorHAnsi"/>
          <w:i/>
        </w:rPr>
        <w:t>APLA Ltd v Legal Services Commissioner (NSW)</w:t>
      </w:r>
      <w:r w:rsidRPr="00EB7F1E">
        <w:rPr>
          <w:rFonts w:asciiTheme="minorHAnsi" w:hAnsiTheme="minorHAnsi" w:cstheme="minorHAnsi"/>
        </w:rPr>
        <w:t xml:space="preserve"> (2005) 224 CLR 322</w:t>
      </w:r>
      <w:r w:rsidRPr="00EB7F1E">
        <w:rPr>
          <w:rFonts w:asciiTheme="minorHAnsi" w:hAnsiTheme="minorHAnsi" w:cstheme="minorHAnsi"/>
        </w:rPr>
        <w:fldChar w:fldCharType="begin"/>
      </w:r>
      <w:r w:rsidRPr="007809F4">
        <w:rPr>
          <w:rFonts w:asciiTheme="minorHAnsi" w:hAnsiTheme="minorHAnsi" w:cstheme="minorHAnsi"/>
        </w:rPr>
        <w:instrText xml:space="preserve"> TA \s "APLA Ltd v Legal Services Commissioner (NSW) (2005) 224 CLR 322" </w:instrText>
      </w:r>
      <w:r w:rsidRPr="00EB7F1E">
        <w:rPr>
          <w:rFonts w:asciiTheme="minorHAnsi" w:hAnsiTheme="minorHAnsi" w:cstheme="minorHAnsi"/>
        </w:rPr>
        <w:fldChar w:fldCharType="end"/>
      </w:r>
      <w:r w:rsidRPr="00EB7F1E">
        <w:rPr>
          <w:rFonts w:asciiTheme="minorHAnsi" w:hAnsiTheme="minorHAnsi" w:cstheme="minorHAnsi"/>
        </w:rPr>
        <w:t xml:space="preserve">, [230]; </w:t>
      </w:r>
      <w:r w:rsidRPr="00EB7F1E">
        <w:rPr>
          <w:rFonts w:asciiTheme="minorHAnsi" w:hAnsiTheme="minorHAnsi" w:cstheme="minorHAnsi"/>
          <w:i/>
        </w:rPr>
        <w:t>MZXOT</w:t>
      </w:r>
      <w:r w:rsidRPr="00EB7F1E">
        <w:rPr>
          <w:rFonts w:asciiTheme="minorHAnsi" w:hAnsiTheme="minorHAnsi" w:cstheme="minorHAnsi"/>
        </w:rPr>
        <w:t xml:space="preserve"> v </w:t>
      </w:r>
      <w:r w:rsidRPr="00EB7F1E">
        <w:rPr>
          <w:rFonts w:asciiTheme="minorHAnsi" w:hAnsiTheme="minorHAnsi" w:cstheme="minorHAnsi"/>
          <w:i/>
        </w:rPr>
        <w:t>Minister for Immigration and Citizenship</w:t>
      </w:r>
      <w:r w:rsidRPr="00EB7F1E">
        <w:rPr>
          <w:rFonts w:asciiTheme="minorHAnsi" w:hAnsiTheme="minorHAnsi" w:cstheme="minorHAnsi"/>
        </w:rPr>
        <w:t xml:space="preserve"> </w:t>
      </w:r>
      <w:r w:rsidRPr="00EB7F1E">
        <w:rPr>
          <w:rStyle w:val="ssrolluprptrline"/>
          <w:rFonts w:asciiTheme="minorHAnsi" w:hAnsiTheme="minorHAnsi" w:cstheme="minorHAnsi"/>
        </w:rPr>
        <w:t>(2008) 233 CLR 601</w:t>
      </w:r>
      <w:r w:rsidRPr="00EB7F1E">
        <w:rPr>
          <w:rStyle w:val="ssrolluprptrline"/>
          <w:rFonts w:asciiTheme="minorHAnsi" w:hAnsiTheme="minorHAnsi" w:cstheme="minorHAnsi"/>
        </w:rPr>
        <w:fldChar w:fldCharType="begin"/>
      </w:r>
      <w:r w:rsidRPr="007809F4">
        <w:rPr>
          <w:rStyle w:val="ssrolluprptrline"/>
          <w:rFonts w:asciiTheme="minorHAnsi" w:hAnsiTheme="minorHAnsi" w:cstheme="minorHAnsi"/>
        </w:rPr>
        <w:instrText xml:space="preserve"> TA \s "MZXOT v Minister for Immigration and Citizenship (2008) 233 CLR 601" </w:instrText>
      </w:r>
      <w:r w:rsidRPr="00EB7F1E">
        <w:rPr>
          <w:rStyle w:val="ssrolluprptrline"/>
          <w:rFonts w:asciiTheme="minorHAnsi" w:hAnsiTheme="minorHAnsi" w:cstheme="minorHAnsi"/>
        </w:rPr>
        <w:fldChar w:fldCharType="end"/>
      </w:r>
      <w:r w:rsidRPr="00EB7F1E">
        <w:rPr>
          <w:rStyle w:val="ssrolluprptrline"/>
          <w:rFonts w:asciiTheme="minorHAnsi" w:hAnsiTheme="minorHAnsi" w:cstheme="minorHAnsi"/>
        </w:rPr>
        <w:t xml:space="preserve">, [20]; </w:t>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7809F4">
        <w:rPr>
          <w:rFonts w:asciiTheme="minorHAnsi" w:hAnsiTheme="minorHAnsi" w:cstheme="minorHAnsi"/>
        </w:rPr>
        <w:instrText xml:space="preserve"> TA \s "Rizeq v R (2017) 262 CLR 1" </w:instrText>
      </w:r>
      <w:r w:rsidRPr="00EB7F1E">
        <w:rPr>
          <w:rFonts w:asciiTheme="minorHAnsi" w:hAnsiTheme="minorHAnsi" w:cstheme="minorHAnsi"/>
        </w:rPr>
        <w:fldChar w:fldCharType="end"/>
      </w:r>
      <w:r w:rsidRPr="00EB7F1E">
        <w:rPr>
          <w:rFonts w:asciiTheme="minorHAnsi" w:hAnsiTheme="minorHAnsi" w:cstheme="minorHAnsi"/>
          <w:iCs/>
        </w:rPr>
        <w:t>, [60].</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20">
    <w:p w14:paraId="529DD415" w14:textId="2AEDB13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bCs/>
        </w:rPr>
        <w:t xml:space="preserve">See </w:t>
      </w:r>
      <w:r w:rsidRPr="007809F4">
        <w:rPr>
          <w:rFonts w:asciiTheme="minorHAnsi" w:hAnsiTheme="minorHAnsi" w:cstheme="minorHAnsi"/>
          <w:bCs/>
        </w:rPr>
        <w:t xml:space="preserve"> P Hanks,  F Gordon and G Hill, </w:t>
      </w:r>
      <w:r w:rsidRPr="00EB7F1E">
        <w:rPr>
          <w:rFonts w:asciiTheme="minorHAnsi" w:hAnsiTheme="minorHAnsi" w:cstheme="minorHAnsi"/>
          <w:bCs/>
          <w:i/>
        </w:rPr>
        <w:t>Constitutional Law in Australia</w:t>
      </w:r>
      <w:r w:rsidRPr="007809F4">
        <w:rPr>
          <w:rFonts w:asciiTheme="minorHAnsi" w:hAnsiTheme="minorHAnsi" w:cstheme="minorHAnsi"/>
          <w:bCs/>
        </w:rPr>
        <w:t xml:space="preserve"> (4th edition, 2018), [9.125]-[9.128].</w:t>
      </w:r>
      <w:r w:rsidRPr="00EB7F1E">
        <w:rPr>
          <w:rFonts w:asciiTheme="minorHAnsi" w:hAnsiTheme="minorHAnsi" w:cstheme="minorHAnsi"/>
        </w:rPr>
        <w:fldChar w:fldCharType="begin"/>
      </w:r>
      <w:r w:rsidRPr="00EB7F1E">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21">
    <w:p w14:paraId="34327790" w14:textId="3CA8E51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Judiciary Act 1903</w:t>
      </w:r>
      <w:r w:rsidRPr="007809F4">
        <w:rPr>
          <w:rFonts w:asciiTheme="minorHAnsi" w:hAnsiTheme="minorHAnsi" w:cstheme="minorHAnsi"/>
        </w:rPr>
        <w:t xml:space="preserve"> (Cth), s 68(2).</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22">
    <w:p w14:paraId="0DB9B1E5" w14:textId="71B5CB4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Judiciary Act 1903</w:t>
      </w:r>
      <w:r w:rsidRPr="007809F4">
        <w:rPr>
          <w:rFonts w:asciiTheme="minorHAnsi" w:hAnsiTheme="minorHAnsi" w:cstheme="minorHAnsi"/>
        </w:rPr>
        <w:t xml:space="preserve"> (Cth), s 68(1), 79.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_Ref10263829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application of State and Territory laws by Judiciary Act 1903, ss 68 and 79</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23">
    <w:p w14:paraId="0EE38827" w14:textId="0E965D7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Judiciary Act 1903</w:t>
      </w:r>
      <w:r w:rsidRPr="007809F4">
        <w:rPr>
          <w:rFonts w:asciiTheme="minorHAnsi" w:hAnsiTheme="minorHAnsi" w:cstheme="minorHAnsi"/>
        </w:rPr>
        <w:t xml:space="preserve"> (Cth), s 39(2).  The relationship between the vesting of jurisdiction by s 39(2) and by s 68(2) is yet to be authoritatively determined: see, e.g., </w:t>
      </w:r>
      <w:r w:rsidRPr="00EB7F1E">
        <w:rPr>
          <w:rFonts w:asciiTheme="minorHAnsi" w:hAnsiTheme="minorHAnsi" w:cstheme="minorHAnsi"/>
          <w:i/>
        </w:rPr>
        <w:t>Ah Yick v Lehmert</w:t>
      </w:r>
      <w:r w:rsidRPr="00EB7F1E">
        <w:rPr>
          <w:rFonts w:asciiTheme="minorHAnsi" w:hAnsiTheme="minorHAnsi" w:cstheme="minorHAnsi"/>
        </w:rPr>
        <w:t xml:space="preserve"> (1905) 2 CLR 593</w:t>
      </w:r>
      <w:r w:rsidRPr="00EB7F1E">
        <w:rPr>
          <w:rFonts w:asciiTheme="minorHAnsi" w:hAnsiTheme="minorHAnsi" w:cstheme="minorHAnsi"/>
        </w:rPr>
        <w:fldChar w:fldCharType="begin"/>
      </w:r>
      <w:r w:rsidRPr="007809F4">
        <w:rPr>
          <w:rFonts w:asciiTheme="minorHAnsi" w:hAnsiTheme="minorHAnsi" w:cstheme="minorHAnsi"/>
        </w:rPr>
        <w:instrText xml:space="preserve"> TA \s "Ah Yick v Lehmert (1905) 2 CLR 593" </w:instrText>
      </w:r>
      <w:r w:rsidRPr="00EB7F1E">
        <w:rPr>
          <w:rFonts w:asciiTheme="minorHAnsi" w:hAnsiTheme="minorHAnsi" w:cstheme="minorHAnsi"/>
        </w:rPr>
        <w:fldChar w:fldCharType="end"/>
      </w:r>
      <w:r w:rsidRPr="00EB7F1E">
        <w:rPr>
          <w:rFonts w:asciiTheme="minorHAnsi" w:hAnsiTheme="minorHAnsi" w:cstheme="minorHAnsi"/>
        </w:rPr>
        <w:t>, 607-608;</w:t>
      </w:r>
      <w:r w:rsidRPr="00EB7F1E">
        <w:rPr>
          <w:rStyle w:val="ssleftalign"/>
          <w:rFonts w:asciiTheme="minorHAnsi" w:hAnsiTheme="minorHAnsi" w:cstheme="minorHAnsi"/>
        </w:rPr>
        <w:t xml:space="preserve"> </w:t>
      </w:r>
      <w:r w:rsidRPr="00EB7F1E">
        <w:rPr>
          <w:rFonts w:asciiTheme="minorHAnsi" w:hAnsiTheme="minorHAnsi" w:cstheme="minorHAnsi"/>
          <w:i/>
        </w:rPr>
        <w:t>Adams v Cleeve</w:t>
      </w:r>
      <w:r w:rsidRPr="007809F4">
        <w:rPr>
          <w:rFonts w:asciiTheme="minorHAnsi" w:hAnsiTheme="minorHAnsi" w:cstheme="minorHAnsi"/>
        </w:rPr>
        <w:t xml:space="preserve"> (1935) 53 CLR 185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Adams v Cleeve</w:instrText>
      </w:r>
      <w:r w:rsidRPr="007809F4">
        <w:rPr>
          <w:rFonts w:asciiTheme="minorHAnsi" w:hAnsiTheme="minorHAnsi" w:cstheme="minorHAnsi"/>
        </w:rPr>
        <w:instrText xml:space="preserve"> (1935) 53 CLR 185</w:instrText>
      </w:r>
      <w:r w:rsidRPr="00EB7F1E">
        <w:rPr>
          <w:rFonts w:asciiTheme="minorHAnsi" w:hAnsiTheme="minorHAnsi" w:cstheme="minorHAnsi"/>
        </w:rPr>
        <w:instrText xml:space="preserve">" \s "Adams v Cleeve (1935) 53 CLR 185"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R v Bull</w:t>
      </w:r>
      <w:r w:rsidRPr="007809F4">
        <w:rPr>
          <w:rFonts w:asciiTheme="minorHAnsi" w:hAnsiTheme="minorHAnsi" w:cstheme="minorHAnsi"/>
        </w:rPr>
        <w:t xml:space="preserve"> </w:t>
      </w:r>
      <w:r w:rsidRPr="00EB7F1E">
        <w:rPr>
          <w:rFonts w:asciiTheme="minorHAnsi" w:hAnsiTheme="minorHAnsi" w:cstheme="minorHAnsi"/>
        </w:rPr>
        <w:t>(1974) 131 CLR 203</w:t>
      </w:r>
      <w:r w:rsidRPr="00EB7F1E">
        <w:rPr>
          <w:rFonts w:asciiTheme="minorHAnsi" w:hAnsiTheme="minorHAnsi" w:cstheme="minorHAnsi"/>
        </w:rPr>
        <w:fldChar w:fldCharType="begin"/>
      </w:r>
      <w:r w:rsidRPr="007809F4">
        <w:rPr>
          <w:rFonts w:asciiTheme="minorHAnsi" w:hAnsiTheme="minorHAnsi" w:cstheme="minorHAnsi"/>
        </w:rPr>
        <w:instrText xml:space="preserve"> TA \s "R v Bull (1974) 131 CLR 203"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Brown v R</w:t>
      </w:r>
      <w:r w:rsidRPr="007809F4">
        <w:rPr>
          <w:rFonts w:asciiTheme="minorHAnsi" w:hAnsiTheme="minorHAnsi" w:cstheme="minorHAnsi"/>
        </w:rPr>
        <w:t xml:space="preserve"> (1986) 160 CLR 171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Brown v R</w:instrText>
      </w:r>
      <w:r w:rsidRPr="007809F4">
        <w:rPr>
          <w:rFonts w:asciiTheme="minorHAnsi" w:hAnsiTheme="minorHAnsi" w:cstheme="minorHAnsi"/>
        </w:rPr>
        <w:instrText xml:space="preserve"> (1986) 160 CLR 171</w:instrText>
      </w:r>
      <w:r w:rsidRPr="00EB7F1E">
        <w:rPr>
          <w:rFonts w:asciiTheme="minorHAnsi" w:hAnsiTheme="minorHAnsi" w:cstheme="minorHAnsi"/>
        </w:rPr>
        <w:instrText xml:space="preserve">" \s "Brown v R (1986) 160 CLR 171" \c 1 </w:instrText>
      </w:r>
      <w:r w:rsidRPr="00EB7F1E">
        <w:rPr>
          <w:rFonts w:asciiTheme="minorHAnsi" w:hAnsiTheme="minorHAnsi" w:cstheme="minorHAnsi"/>
        </w:rPr>
        <w:fldChar w:fldCharType="end"/>
      </w:r>
      <w:r w:rsidRPr="007809F4">
        <w:rPr>
          <w:rFonts w:asciiTheme="minorHAnsi" w:hAnsiTheme="minorHAnsi" w:cstheme="minorHAnsi"/>
        </w:rPr>
        <w:t xml:space="preserve">, 197; </w:t>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xml:space="preserve">, [16], [92]; </w:t>
      </w:r>
      <w:r w:rsidRPr="007809F4">
        <w:rPr>
          <w:rFonts w:asciiTheme="minorHAnsi" w:hAnsiTheme="minorHAnsi" w:cstheme="minorHAnsi"/>
          <w:i/>
        </w:rPr>
        <w:t xml:space="preserve">R v Gee </w:t>
      </w:r>
      <w:r w:rsidRPr="007809F4">
        <w:rPr>
          <w:rFonts w:asciiTheme="minorHAnsi" w:hAnsiTheme="minorHAnsi" w:cstheme="minorHAnsi"/>
        </w:rPr>
        <w:t>(2003) 212 CLR 230</w:t>
      </w:r>
      <w:r w:rsidRPr="00EB7F1E">
        <w:rPr>
          <w:rFonts w:asciiTheme="minorHAnsi" w:hAnsiTheme="minorHAnsi" w:cstheme="minorHAnsi"/>
        </w:rPr>
        <w:fldChar w:fldCharType="begin"/>
      </w:r>
      <w:r w:rsidRPr="00EB7F1E">
        <w:rPr>
          <w:rFonts w:asciiTheme="minorHAnsi" w:hAnsiTheme="minorHAnsi" w:cstheme="minorHAnsi"/>
        </w:rPr>
        <w:instrText xml:space="preserve"> TA \s "R v Gee (2003) 212 CLR 230" </w:instrText>
      </w:r>
      <w:r w:rsidRPr="00EB7F1E">
        <w:rPr>
          <w:rFonts w:asciiTheme="minorHAnsi" w:hAnsiTheme="minorHAnsi" w:cstheme="minorHAnsi"/>
        </w:rPr>
        <w:fldChar w:fldCharType="end"/>
      </w:r>
      <w:r w:rsidRPr="007809F4">
        <w:rPr>
          <w:rFonts w:asciiTheme="minorHAnsi" w:hAnsiTheme="minorHAnsi" w:cstheme="minorHAnsi"/>
        </w:rPr>
        <w:t>, [66]-[67], [119].</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24">
    <w:p w14:paraId="5508D4B0" w14:textId="028FA67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Gee </w:t>
      </w:r>
      <w:r w:rsidRPr="007809F4">
        <w:rPr>
          <w:rFonts w:asciiTheme="minorHAnsi" w:hAnsiTheme="minorHAnsi" w:cstheme="minorHAnsi"/>
        </w:rPr>
        <w:t>(2003) 212 CLR 230</w:t>
      </w:r>
      <w:r w:rsidRPr="00EB7F1E">
        <w:rPr>
          <w:rFonts w:asciiTheme="minorHAnsi" w:hAnsiTheme="minorHAnsi" w:cstheme="minorHAnsi"/>
        </w:rPr>
        <w:fldChar w:fldCharType="begin"/>
      </w:r>
      <w:r w:rsidRPr="007809F4">
        <w:rPr>
          <w:rFonts w:asciiTheme="minorHAnsi" w:hAnsiTheme="minorHAnsi" w:cstheme="minorHAnsi"/>
        </w:rPr>
        <w:instrText xml:space="preserve"> TA \s "R v Gee (2003) 212 CLR 230" </w:instrText>
      </w:r>
      <w:r w:rsidRPr="00EB7F1E">
        <w:rPr>
          <w:rFonts w:asciiTheme="minorHAnsi" w:hAnsiTheme="minorHAnsi" w:cstheme="minorHAnsi"/>
        </w:rPr>
        <w:fldChar w:fldCharType="end"/>
      </w:r>
      <w:r w:rsidRPr="007809F4">
        <w:rPr>
          <w:rFonts w:asciiTheme="minorHAnsi" w:hAnsiTheme="minorHAnsi" w:cstheme="minorHAnsi"/>
        </w:rPr>
        <w:t>, [7].</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25">
    <w:p w14:paraId="4ED4365C" w14:textId="668AC0C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Leeth v Commonwealth</w:t>
      </w:r>
      <w:r w:rsidRPr="007809F4">
        <w:rPr>
          <w:rFonts w:asciiTheme="minorHAnsi" w:hAnsiTheme="minorHAnsi" w:cstheme="minorHAnsi"/>
        </w:rPr>
        <w:t xml:space="preserve"> (1992) 174 CLR 455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Leeth v Commonwealth</w:instrText>
      </w:r>
      <w:r w:rsidRPr="007809F4">
        <w:rPr>
          <w:rFonts w:asciiTheme="minorHAnsi" w:hAnsiTheme="minorHAnsi" w:cstheme="minorHAnsi"/>
        </w:rPr>
        <w:instrText xml:space="preserve"> (1992) 174 CLR 455" \s "Leeth v Commonwealth (1992) 174 CLR 455" \c 1 </w:instrText>
      </w:r>
      <w:r w:rsidRPr="00EB7F1E">
        <w:rPr>
          <w:rFonts w:asciiTheme="minorHAnsi" w:hAnsiTheme="minorHAnsi" w:cstheme="minorHAnsi"/>
        </w:rPr>
        <w:fldChar w:fldCharType="end"/>
      </w:r>
      <w:r w:rsidRPr="007809F4">
        <w:rPr>
          <w:rFonts w:asciiTheme="minorHAnsi" w:hAnsiTheme="minorHAnsi" w:cstheme="minorHAnsi"/>
        </w:rPr>
        <w:t xml:space="preserve"> (concerning the </w:t>
      </w:r>
      <w:r w:rsidRPr="007809F4">
        <w:rPr>
          <w:rFonts w:asciiTheme="minorHAnsi" w:hAnsiTheme="minorHAnsi" w:cstheme="minorHAnsi"/>
          <w:i/>
          <w:iCs/>
        </w:rPr>
        <w:t xml:space="preserve">Commonwealth Prisoners Act 1967 </w:t>
      </w:r>
      <w:r w:rsidRPr="007809F4">
        <w:rPr>
          <w:rFonts w:asciiTheme="minorHAnsi" w:hAnsiTheme="minorHAnsi" w:cstheme="minorHAnsi"/>
          <w:iCs/>
        </w:rPr>
        <w:t>(Cth),</w:t>
      </w:r>
      <w:r w:rsidRPr="007809F4">
        <w:rPr>
          <w:rFonts w:asciiTheme="minorHAnsi" w:hAnsiTheme="minorHAnsi" w:cstheme="minorHAnsi"/>
          <w:i/>
          <w:iCs/>
        </w:rPr>
        <w:t xml:space="preserve"> </w:t>
      </w:r>
      <w:r w:rsidRPr="007809F4">
        <w:rPr>
          <w:rFonts w:asciiTheme="minorHAnsi" w:hAnsiTheme="minorHAnsi" w:cstheme="minorHAnsi"/>
          <w:iCs/>
        </w:rPr>
        <w:t>s 4,</w:t>
      </w:r>
      <w:r w:rsidRPr="007809F4">
        <w:rPr>
          <w:rFonts w:asciiTheme="minorHAnsi" w:hAnsiTheme="minorHAnsi" w:cstheme="minorHAnsi"/>
          <w:i/>
          <w:iCs/>
        </w:rPr>
        <w:t xml:space="preserve"> </w:t>
      </w:r>
      <w:r w:rsidRPr="007809F4">
        <w:rPr>
          <w:rFonts w:asciiTheme="minorHAnsi" w:hAnsiTheme="minorHAnsi" w:cstheme="minorHAnsi"/>
          <w:iCs/>
        </w:rPr>
        <w:t>which</w:t>
      </w:r>
      <w:r w:rsidRPr="007809F4">
        <w:rPr>
          <w:rFonts w:asciiTheme="minorHAnsi" w:hAnsiTheme="minorHAnsi" w:cstheme="minorHAnsi"/>
        </w:rPr>
        <w:t xml:space="preserve"> adopted State and Territory law relating to the fixing of non-parole periods)</w:t>
      </w:r>
      <w:r w:rsidRPr="00EB7F1E">
        <w:rPr>
          <w:rFonts w:asciiTheme="minorHAnsi" w:hAnsiTheme="minorHAnsi" w:cstheme="minorHAnsi"/>
        </w:rPr>
        <w:fldChar w:fldCharType="begin"/>
      </w:r>
      <w:r w:rsidRPr="007809F4">
        <w:rPr>
          <w:rFonts w:asciiTheme="minorHAnsi" w:hAnsiTheme="minorHAnsi" w:cstheme="minorHAnsi"/>
        </w:rPr>
        <w:instrText xml:space="preserve">  "Leeth v Commonwealth (1992) 174 CLR 455"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rPr>
        <w:instrText>Putland v R</w:instrText>
      </w:r>
      <w:r w:rsidRPr="007809F4">
        <w:rPr>
          <w:rFonts w:asciiTheme="minorHAnsi" w:hAnsiTheme="minorHAnsi" w:cstheme="minorHAnsi"/>
        </w:rPr>
        <w:instrText xml:space="preserve"> (2004) 218 CLR 174" \s "Putland v R (2004) 218 CLR 174"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[25] (Gleeson CJ), [59] (Gummow and Heydon JJ).</w:t>
      </w:r>
    </w:p>
  </w:footnote>
  <w:footnote w:id="26">
    <w:p w14:paraId="09F73C60" w14:textId="7D219BC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EB7F1E">
        <w:rPr>
          <w:rFonts w:asciiTheme="minorHAnsi" w:hAnsiTheme="minorHAnsi" w:cstheme="minorHAnsi"/>
          <w:i/>
        </w:rPr>
        <w:t>Federal Court of Australia Amendment (Criminal Jurisdiction) Act 2009</w:t>
      </w:r>
      <w:r w:rsidRPr="007809F4">
        <w:rPr>
          <w:rFonts w:asciiTheme="minorHAnsi" w:hAnsiTheme="minorHAnsi" w:cstheme="minorHAnsi"/>
        </w:rPr>
        <w:t xml:space="preserve"> (Cth).</w:t>
      </w:r>
    </w:p>
  </w:footnote>
  <w:footnote w:id="27">
    <w:p w14:paraId="5BE83BD9"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first offences were created by the </w:t>
      </w:r>
      <w:r w:rsidRPr="007809F4">
        <w:rPr>
          <w:rFonts w:asciiTheme="minorHAnsi" w:hAnsiTheme="minorHAnsi" w:cstheme="minorHAnsi"/>
          <w:i/>
        </w:rPr>
        <w:t>Audit Act 1901</w:t>
      </w:r>
      <w:r w:rsidRPr="007809F4">
        <w:rPr>
          <w:rFonts w:asciiTheme="minorHAnsi" w:hAnsiTheme="minorHAnsi" w:cstheme="minorHAnsi"/>
        </w:rPr>
        <w:t xml:space="preserve"> (Cth).</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28">
    <w:p w14:paraId="745C35C4" w14:textId="0C3CEE4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Crimes Legislation Amendment Act (No.2) 1989</w:t>
      </w:r>
      <w:r w:rsidRPr="00EB7F1E">
        <w:rPr>
          <w:rFonts w:asciiTheme="minorHAnsi" w:hAnsiTheme="minorHAnsi" w:cstheme="minorHAnsi"/>
        </w:rPr>
        <w:t xml:space="preserve"> (Cth)</w:t>
      </w:r>
      <w:r w:rsidRPr="007809F4">
        <w:rPr>
          <w:rFonts w:asciiTheme="minorHAnsi" w:hAnsiTheme="minorHAnsi" w:cstheme="minorHAnsi"/>
          <w:iCs/>
        </w:rPr>
        <w:t>,</w:t>
      </w:r>
      <w:r w:rsidRPr="007809F4">
        <w:rPr>
          <w:rFonts w:asciiTheme="minorHAnsi" w:hAnsiTheme="minorHAnsi" w:cstheme="minorHAnsi"/>
          <w:i/>
          <w:iCs/>
        </w:rPr>
        <w:t xml:space="preserve"> </w:t>
      </w:r>
      <w:r w:rsidRPr="007809F4">
        <w:rPr>
          <w:rFonts w:asciiTheme="minorHAnsi" w:hAnsiTheme="minorHAnsi" w:cstheme="minorHAnsi"/>
          <w:iCs/>
        </w:rPr>
        <w:t xml:space="preserve">which came into </w:t>
      </w:r>
      <w:r w:rsidRPr="007809F4">
        <w:rPr>
          <w:rFonts w:asciiTheme="minorHAnsi" w:hAnsiTheme="minorHAnsi" w:cstheme="minorHAnsi"/>
        </w:rPr>
        <w:t>effect on 17 July 1990</w:t>
      </w:r>
      <w:r w:rsidRPr="007809F4">
        <w:rPr>
          <w:rFonts w:asciiTheme="minorHAnsi" w:hAnsiTheme="minorHAnsi" w:cstheme="minorHAnsi"/>
          <w:i/>
        </w:rPr>
        <w:t>.</w:t>
      </w:r>
    </w:p>
  </w:footnote>
  <w:footnote w:id="29">
    <w:p w14:paraId="108794A5" w14:textId="4B41832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[19], Gleeson CJ explained that the impetus for the amendments was “</w:t>
      </w:r>
      <w:r w:rsidRPr="007809F4">
        <w:rPr>
          <w:rFonts w:asciiTheme="minorHAnsi" w:hAnsiTheme="minorHAnsi" w:cstheme="minorHAnsi"/>
          <w:i/>
        </w:rPr>
        <w:t>the difficulty that arose by reason of the truth in sentencing legislation introduced in New South Wales in 1989. ... there was a radical alteration in the system of remissions, and the relationship between minimum terms and head sentences.  Parity of sentencing, including parity in relation to State and federal offences, became a major problem.</w:t>
      </w:r>
      <w:r w:rsidRPr="007809F4">
        <w:rPr>
          <w:rFonts w:asciiTheme="minorHAnsi" w:hAnsiTheme="minorHAnsi" w:cstheme="minorHAnsi"/>
        </w:rPr>
        <w:t>”</w:t>
      </w:r>
    </w:p>
  </w:footnote>
  <w:footnote w:id="30">
    <w:p w14:paraId="3C5E3BE8" w14:textId="4160CCF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most significant subsequent amendments have been brought about by the </w:t>
      </w:r>
      <w:r w:rsidRPr="007809F4">
        <w:rPr>
          <w:rFonts w:asciiTheme="minorHAnsi" w:hAnsiTheme="minorHAnsi" w:cstheme="minorHAnsi"/>
          <w:i/>
          <w:iCs/>
        </w:rPr>
        <w:t>Crimes Legislation Amendment (No.2) Act 1991</w:t>
      </w:r>
      <w:r w:rsidRPr="007809F4">
        <w:rPr>
          <w:rFonts w:asciiTheme="minorHAnsi" w:hAnsiTheme="minorHAnsi" w:cstheme="minorHAnsi"/>
        </w:rPr>
        <w:t xml:space="preserve"> (effective 20 September 1991); the </w:t>
      </w:r>
      <w:r w:rsidRPr="007809F4">
        <w:rPr>
          <w:rFonts w:asciiTheme="minorHAnsi" w:hAnsiTheme="minorHAnsi" w:cstheme="minorHAnsi"/>
          <w:i/>
          <w:iCs/>
        </w:rPr>
        <w:t>Crimes Legislation Amendment Act 1992</w:t>
      </w:r>
      <w:r w:rsidRPr="007809F4">
        <w:rPr>
          <w:rFonts w:asciiTheme="minorHAnsi" w:hAnsiTheme="minorHAnsi" w:cstheme="minorHAnsi"/>
        </w:rPr>
        <w:t xml:space="preserve"> (effective 8 January 1993); the </w:t>
      </w:r>
      <w:r w:rsidRPr="007809F4">
        <w:rPr>
          <w:rFonts w:asciiTheme="minorHAnsi" w:hAnsiTheme="minorHAnsi" w:cstheme="minorHAnsi"/>
          <w:i/>
          <w:iCs/>
        </w:rPr>
        <w:t>Crimes and Other Legislation Amendment Act 1994</w:t>
      </w:r>
      <w:r w:rsidRPr="007809F4">
        <w:rPr>
          <w:rFonts w:asciiTheme="minorHAnsi" w:hAnsiTheme="minorHAnsi" w:cstheme="minorHAnsi"/>
        </w:rPr>
        <w:t xml:space="preserve"> (effective 16 January 1995); the </w:t>
      </w:r>
      <w:r w:rsidRPr="007809F4">
        <w:rPr>
          <w:rFonts w:asciiTheme="minorHAnsi" w:hAnsiTheme="minorHAnsi" w:cstheme="minorHAnsi"/>
          <w:i/>
          <w:iCs/>
        </w:rPr>
        <w:t>Law and Justice Legislation Amendment Act 1999</w:t>
      </w:r>
      <w:r w:rsidRPr="007809F4">
        <w:rPr>
          <w:rFonts w:asciiTheme="minorHAnsi" w:hAnsiTheme="minorHAnsi" w:cstheme="minorHAnsi"/>
          <w:iCs/>
        </w:rPr>
        <w:t>,</w:t>
      </w:r>
      <w:r w:rsidRPr="007809F4">
        <w:rPr>
          <w:rFonts w:asciiTheme="minorHAnsi" w:hAnsiTheme="minorHAnsi" w:cstheme="minorHAnsi"/>
        </w:rPr>
        <w:t xml:space="preserve"> Schedule 10 (effective 13 October 1999); the </w:t>
      </w:r>
      <w:r w:rsidRPr="007809F4">
        <w:rPr>
          <w:rFonts w:asciiTheme="minorHAnsi" w:hAnsiTheme="minorHAnsi" w:cstheme="minorHAnsi"/>
          <w:i/>
        </w:rPr>
        <w:t>Crime Amendment (Bail and Sentencing) Act 2006</w:t>
      </w:r>
      <w:r w:rsidRPr="007809F4">
        <w:rPr>
          <w:rFonts w:asciiTheme="minorHAnsi" w:hAnsiTheme="minorHAnsi" w:cstheme="minorHAnsi"/>
        </w:rPr>
        <w:t xml:space="preserve"> (effective 12 December 2006); and the </w:t>
      </w:r>
      <w:r w:rsidRPr="007809F4">
        <w:rPr>
          <w:rFonts w:asciiTheme="minorHAnsi" w:hAnsiTheme="minorHAnsi" w:cstheme="minorHAnsi"/>
          <w:i/>
        </w:rPr>
        <w:t xml:space="preserve">Crimes Legislation Amendment (Powers, Offences and Other Measures) Act 2015 </w:t>
      </w:r>
      <w:r w:rsidRPr="007809F4">
        <w:rPr>
          <w:rFonts w:asciiTheme="minorHAnsi" w:hAnsiTheme="minorHAnsi" w:cstheme="minorHAnsi"/>
        </w:rPr>
        <w:t>(effective 27 November 2015)</w:t>
      </w:r>
      <w:r w:rsidRPr="007809F4">
        <w:rPr>
          <w:rFonts w:asciiTheme="minorHAnsi" w:hAnsiTheme="minorHAnsi" w:cstheme="minorHAnsi"/>
          <w:i/>
        </w:rPr>
        <w:t>.</w:t>
      </w:r>
    </w:p>
  </w:footnote>
  <w:footnote w:id="31">
    <w:p w14:paraId="27617BEE"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Criminal Code Act 1995</w:t>
      </w:r>
      <w:r w:rsidRPr="007809F4">
        <w:rPr>
          <w:rFonts w:asciiTheme="minorHAnsi" w:hAnsiTheme="minorHAnsi" w:cstheme="minorHAnsi"/>
        </w:rPr>
        <w:t xml:space="preserve"> (Cth).</w:t>
      </w:r>
    </w:p>
  </w:footnote>
  <w:footnote w:id="32">
    <w:p w14:paraId="062D1571" w14:textId="3AD03C7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EB7F1E">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Barbaro v R</w:t>
      </w:r>
      <w:r w:rsidRPr="007809F4">
        <w:rPr>
          <w:rFonts w:asciiTheme="minorHAnsi" w:hAnsiTheme="minorHAnsi" w:cstheme="minorHAnsi"/>
        </w:rPr>
        <w:t xml:space="preserve"> (2014) 253 CLR 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Barbaro v R</w:instrText>
      </w:r>
      <w:r w:rsidRPr="007809F4">
        <w:rPr>
          <w:rFonts w:asciiTheme="minorHAnsi" w:hAnsiTheme="minorHAnsi" w:cstheme="minorHAnsi"/>
        </w:rPr>
        <w:instrText xml:space="preserve"> (2014) 253 CLR 58</w:instrText>
      </w:r>
      <w:r w:rsidRPr="00EB7F1E">
        <w:rPr>
          <w:rFonts w:asciiTheme="minorHAnsi" w:hAnsiTheme="minorHAnsi" w:cstheme="minorHAnsi"/>
        </w:rPr>
        <w:instrText xml:space="preserve">" \s "Barbaro v R (2014) 253 CLR 58"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R v Pham </w:t>
      </w:r>
      <w:r w:rsidRPr="007809F4">
        <w:rPr>
          <w:rFonts w:asciiTheme="minorHAnsi" w:hAnsiTheme="minorHAnsi" w:cstheme="minorHAnsi"/>
        </w:rPr>
        <w:t>(2015) 256 CLR 550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Pham </w:instrText>
      </w:r>
      <w:r w:rsidRPr="007809F4">
        <w:rPr>
          <w:rFonts w:asciiTheme="minorHAnsi" w:hAnsiTheme="minorHAnsi" w:cstheme="minorHAnsi"/>
        </w:rPr>
        <w:instrText>(2015) 256 CLR 550</w:instrText>
      </w:r>
      <w:r w:rsidRPr="00EB7F1E">
        <w:rPr>
          <w:rFonts w:asciiTheme="minorHAnsi" w:hAnsiTheme="minorHAnsi" w:cstheme="minorHAnsi"/>
        </w:rPr>
        <w:instrText xml:space="preserve">" \s "R v Pham (2015) 256 CLR 550" \c 1 </w:instrText>
      </w:r>
      <w:r w:rsidRPr="00EB7F1E">
        <w:rPr>
          <w:rFonts w:asciiTheme="minorHAnsi" w:hAnsiTheme="minorHAnsi" w:cstheme="minorHAnsi"/>
        </w:rPr>
        <w:fldChar w:fldCharType="end"/>
      </w:r>
      <w:r w:rsidRPr="007809F4">
        <w:rPr>
          <w:rFonts w:asciiTheme="minorHAnsi" w:hAnsiTheme="minorHAnsi" w:cstheme="minorHAnsi"/>
        </w:rPr>
        <w:t>.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_Ref506885323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_Ref506885326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Reasonable consistency in sentencing</w:t>
      </w:r>
      <w:r w:rsidRPr="00EB7F1E">
        <w:rPr>
          <w:rFonts w:asciiTheme="minorHAnsi" w:hAnsiTheme="minorHAnsi" w:cstheme="minorHAnsi"/>
        </w:rPr>
        <w:fldChar w:fldCharType="end"/>
      </w:r>
      <w:r w:rsidRPr="007809F4">
        <w:rPr>
          <w:rFonts w:asciiTheme="minorHAnsi" w:hAnsiTheme="minorHAnsi" w:cstheme="minorHAnsi"/>
        </w:rPr>
        <w:t>”.</w:t>
      </w:r>
    </w:p>
  </w:footnote>
  <w:footnote w:id="33">
    <w:p w14:paraId="0AE51715" w14:textId="5F9E5F8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t xml:space="preserve">Independent National Security Legislation Monitor, </w:t>
      </w:r>
      <w:r w:rsidRPr="00EB7F1E">
        <w:rPr>
          <w:rFonts w:asciiTheme="minorHAnsi" w:hAnsiTheme="minorHAnsi" w:cstheme="minorHAnsi"/>
          <w:i/>
        </w:rPr>
        <w:t>Report to the Prime Minister: The prosecution and sentencing of children for terrorism</w:t>
      </w:r>
      <w:r w:rsidRPr="007809F4">
        <w:rPr>
          <w:rFonts w:asciiTheme="minorHAnsi" w:hAnsiTheme="minorHAnsi" w:cstheme="minorHAnsi"/>
        </w:rPr>
        <w:t xml:space="preserve"> (2018), [8.106]-[8.128].</w:t>
      </w:r>
    </w:p>
  </w:footnote>
  <w:footnote w:id="34">
    <w:p w14:paraId="6A99A175" w14:textId="1654526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t xml:space="preserve">See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Pratten (No 2)</w:instrText>
      </w:r>
      <w:r w:rsidRPr="007809F4">
        <w:rPr>
          <w:rFonts w:asciiTheme="minorHAnsi" w:hAnsiTheme="minorHAnsi" w:cstheme="minorHAnsi"/>
        </w:rPr>
        <w:instrText xml:space="preserve"> (2017) 94 NSWLR 194</w:instrText>
      </w:r>
      <w:r w:rsidRPr="00EB7F1E">
        <w:rPr>
          <w:rFonts w:asciiTheme="minorHAnsi" w:hAnsiTheme="minorHAnsi" w:cstheme="minorHAnsi"/>
        </w:rPr>
        <w:instrText xml:space="preserve">" \s "DPP (Cth) v Pratten (No 2) (2017) 94 NSWLR 194" \c 1 </w:instrText>
      </w:r>
      <w:r w:rsidRPr="00EB7F1E">
        <w:rPr>
          <w:rFonts w:asciiTheme="minorHAnsi" w:hAnsiTheme="minorHAnsi" w:cstheme="minorHAnsi"/>
        </w:rPr>
        <w:fldChar w:fldCharType="end"/>
      </w:r>
      <w:r w:rsidRPr="007809F4">
        <w:rPr>
          <w:rFonts w:asciiTheme="minorHAnsi" w:hAnsiTheme="minorHAnsi" w:cstheme="minorHAnsi"/>
        </w:rPr>
        <w:t>, [36].</w:t>
      </w:r>
    </w:p>
  </w:footnote>
  <w:footnote w:id="35">
    <w:p w14:paraId="0A9C4195" w14:textId="3AA6F91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vertAlign w:val="superscript"/>
        </w:rPr>
        <w:tab/>
      </w:r>
      <w:r w:rsidRPr="007809F4">
        <w:rPr>
          <w:rFonts w:asciiTheme="minorHAnsi" w:hAnsiTheme="minorHAnsi" w:cstheme="minorHAnsi"/>
        </w:rPr>
        <w:t xml:space="preserve">See Second Reading Speech on the </w:t>
      </w:r>
      <w:r w:rsidRPr="007809F4">
        <w:rPr>
          <w:rFonts w:asciiTheme="minorHAnsi" w:hAnsiTheme="minorHAnsi" w:cstheme="minorHAnsi"/>
          <w:i/>
        </w:rPr>
        <w:t>Crimes Legislation Amendment Bill (No.2) 1989</w:t>
      </w:r>
      <w:r w:rsidRPr="007809F4">
        <w:rPr>
          <w:rFonts w:asciiTheme="minorHAnsi" w:hAnsiTheme="minorHAnsi" w:cstheme="minorHAnsi"/>
        </w:rPr>
        <w:t xml:space="preserve"> (Cth): </w:t>
      </w:r>
      <w:r w:rsidRPr="007809F4">
        <w:rPr>
          <w:rFonts w:asciiTheme="minorHAnsi" w:hAnsiTheme="minorHAnsi" w:cstheme="minorHAnsi"/>
          <w:i/>
        </w:rPr>
        <w:t>Commonwealth</w:t>
      </w:r>
      <w:r w:rsidRPr="007809F4">
        <w:rPr>
          <w:rFonts w:asciiTheme="minorHAnsi" w:hAnsiTheme="minorHAnsi" w:cstheme="minorHAnsi"/>
        </w:rPr>
        <w:t xml:space="preserve"> </w:t>
      </w:r>
      <w:r w:rsidRPr="007809F4">
        <w:rPr>
          <w:rFonts w:asciiTheme="minorHAnsi" w:hAnsiTheme="minorHAnsi" w:cstheme="minorHAnsi"/>
          <w:i/>
        </w:rPr>
        <w:t>Parliamentary Debates</w:t>
      </w:r>
      <w:r w:rsidRPr="007809F4">
        <w:rPr>
          <w:rFonts w:asciiTheme="minorHAnsi" w:hAnsiTheme="minorHAnsi" w:cstheme="minorHAnsi"/>
        </w:rPr>
        <w:t>, Senate, 21 November 1989, 2895.</w:t>
      </w:r>
    </w:p>
  </w:footnote>
  <w:footnote w:id="36">
    <w:p w14:paraId="278CA714"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[21]-[22] (Gleeson CJ).</w:t>
      </w:r>
    </w:p>
  </w:footnote>
  <w:footnote w:id="37">
    <w:p w14:paraId="50DF3055" w14:textId="6E1BAE6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For a summary, see Justice Mark Weinberg, “The Labyrinthine Nature of Federal Sentencing” [2012] VicJSchol 1.</w:t>
      </w:r>
    </w:p>
  </w:footnote>
  <w:footnote w:id="38">
    <w:p w14:paraId="59F27BB6"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s.101 of the </w:t>
      </w:r>
      <w:r w:rsidRPr="007809F4">
        <w:rPr>
          <w:rFonts w:asciiTheme="minorHAnsi" w:hAnsiTheme="minorHAnsi" w:cstheme="minorHAnsi"/>
          <w:i/>
        </w:rPr>
        <w:t>Fisheries Management Act</w:t>
      </w:r>
      <w:r w:rsidRPr="007809F4">
        <w:rPr>
          <w:rFonts w:asciiTheme="minorHAnsi" w:hAnsiTheme="minorHAnsi" w:cstheme="minorHAnsi"/>
        </w:rPr>
        <w:t xml:space="preserve"> 1991 (Cth) permits a court, upon convicting a person of a specified offence against the Act, to order forfeiture of a boat or other specified item which was connected with the commission of the offence.</w:t>
      </w:r>
    </w:p>
  </w:footnote>
  <w:footnote w:id="39">
    <w:p w14:paraId="4680DFF7"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s.206B of the </w:t>
      </w:r>
      <w:r w:rsidRPr="007809F4">
        <w:rPr>
          <w:rFonts w:asciiTheme="minorHAnsi" w:hAnsiTheme="minorHAnsi" w:cstheme="minorHAnsi"/>
          <w:i/>
        </w:rPr>
        <w:t>Corporations Act</w:t>
      </w:r>
      <w:r w:rsidRPr="007809F4">
        <w:rPr>
          <w:rFonts w:asciiTheme="minorHAnsi" w:hAnsiTheme="minorHAnsi" w:cstheme="minorHAnsi"/>
        </w:rPr>
        <w:t xml:space="preserve"> 2001 (Cth) provides for disqualification from managing a corporation if a person is convicted of an offence described in the section.</w:t>
      </w:r>
    </w:p>
  </w:footnote>
  <w:footnote w:id="40">
    <w:p w14:paraId="591CE151" w14:textId="4334134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Migration Act</w:t>
      </w:r>
      <w:r w:rsidRPr="007809F4">
        <w:rPr>
          <w:rFonts w:asciiTheme="minorHAnsi" w:hAnsiTheme="minorHAnsi" w:cstheme="minorHAnsi"/>
        </w:rPr>
        <w:t xml:space="preserve"> 1958 (Cth), ss.200-206, 501-501H.  As to the relevance (if any) of these provisions to the sentencing of federal offenders,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_Ref492550047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_Ref492550047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Prospect of visa cancellation and deportation</w:t>
      </w:r>
      <w:r w:rsidRPr="00EB7F1E">
        <w:rPr>
          <w:rFonts w:asciiTheme="minorHAnsi" w:hAnsiTheme="minorHAnsi" w:cstheme="minorHAnsi"/>
        </w:rPr>
        <w:fldChar w:fldCharType="end"/>
      </w:r>
      <w:r w:rsidRPr="007809F4">
        <w:rPr>
          <w:rFonts w:asciiTheme="minorHAnsi" w:hAnsiTheme="minorHAnsi" w:cstheme="minorHAnsi"/>
        </w:rPr>
        <w:t>”.</w:t>
      </w:r>
    </w:p>
  </w:footnote>
  <w:footnote w:id="41">
    <w:p w14:paraId="0DB5D776" w14:textId="25BCC1D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EB7F1E">
        <w:rPr>
          <w:rFonts w:asciiTheme="minorHAnsi" w:hAnsiTheme="minorHAnsi" w:cstheme="minorHAnsi"/>
        </w:rPr>
        <w:instrText xml:space="preserve"> REF _Ref492551931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8.1.2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_Ref492551934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Mandatory imprisonment for certain people-smuggling offences</w:t>
      </w:r>
      <w:r w:rsidRPr="00EB7F1E">
        <w:rPr>
          <w:rFonts w:asciiTheme="minorHAnsi" w:hAnsiTheme="minorHAnsi" w:cstheme="minorHAnsi"/>
        </w:rPr>
        <w:fldChar w:fldCharType="end"/>
      </w:r>
      <w:r w:rsidRPr="007809F4">
        <w:rPr>
          <w:rFonts w:asciiTheme="minorHAnsi" w:hAnsiTheme="minorHAnsi" w:cstheme="minorHAnsi"/>
        </w:rPr>
        <w:t>”.</w:t>
      </w:r>
    </w:p>
  </w:footnote>
  <w:footnote w:id="42">
    <w:p w14:paraId="6DD79175" w14:textId="7B36B14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Bui v DPP (Cth) </w:instrText>
      </w:r>
      <w:r w:rsidRPr="007809F4">
        <w:rPr>
          <w:rFonts w:asciiTheme="minorHAnsi" w:hAnsiTheme="minorHAnsi" w:cstheme="minorHAnsi"/>
        </w:rPr>
        <w:instrText xml:space="preserve">(2012) 244 CLR 638" \s "Bui v DPP (Cth) (2012) 244 CLR 638" \c 1 </w:instrText>
      </w:r>
      <w:r w:rsidRPr="00EB7F1E">
        <w:rPr>
          <w:rFonts w:asciiTheme="minorHAnsi" w:hAnsiTheme="minorHAnsi" w:cstheme="minorHAnsi"/>
        </w:rPr>
        <w:fldChar w:fldCharType="end"/>
      </w:r>
      <w:r w:rsidRPr="007809F4">
        <w:rPr>
          <w:rFonts w:asciiTheme="minorHAnsi" w:hAnsiTheme="minorHAnsi" w:cstheme="minorHAnsi"/>
        </w:rPr>
        <w:t>, [26]-[27].</w:t>
      </w:r>
    </w:p>
  </w:footnote>
  <w:footnote w:id="43">
    <w:p w14:paraId="01F42899" w14:textId="19E252B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EB7F1E">
        <w:rPr>
          <w:rFonts w:asciiTheme="minorHAnsi" w:hAnsiTheme="minorHAnsi" w:cstheme="minorHAnsi"/>
        </w:rPr>
        <w:instrText xml:space="preserve"> </w:instrText>
      </w:r>
      <w:r w:rsidRPr="00EB7F1E">
        <w:rPr>
          <w:rFonts w:asciiTheme="minorHAnsi" w:hAnsiTheme="minorHAnsi" w:cstheme="minorHAnsi"/>
          <w:i/>
          <w:iCs/>
        </w:rPr>
        <w:instrText>Johnson v R</w:instrText>
      </w:r>
      <w:r w:rsidRPr="00EB7F1E">
        <w:rPr>
          <w:rFonts w:asciiTheme="minorHAnsi" w:hAnsiTheme="minorHAnsi" w:cstheme="minorHAnsi"/>
        </w:rPr>
        <w:instrText xml:space="preserve"> (2004) 78 ALJR 616</w:instrText>
      </w:r>
      <w:r w:rsidRPr="007809F4">
        <w:rPr>
          <w:rFonts w:asciiTheme="minorHAnsi" w:hAnsiTheme="minorHAnsi" w:cstheme="minorHAnsi"/>
        </w:rPr>
        <w:instrText>" \s "</w:instrText>
      </w:r>
      <w:r w:rsidRPr="00EB7F1E">
        <w:rPr>
          <w:rFonts w:asciiTheme="minorHAnsi" w:hAnsiTheme="minorHAnsi" w:cstheme="minorHAnsi"/>
        </w:rPr>
        <w:instrText>Johnson v R (2004) 78 ALJR 616</w:instrText>
      </w:r>
      <w:r w:rsidRPr="007809F4">
        <w:rPr>
          <w:rFonts w:asciiTheme="minorHAnsi" w:hAnsiTheme="minorHAnsi" w:cstheme="minorHAnsi"/>
        </w:rPr>
        <w:instrText xml:space="preserve">" \c 1 </w:instrText>
      </w:r>
      <w:r w:rsidRPr="00EB7F1E">
        <w:rPr>
          <w:rFonts w:asciiTheme="minorHAnsi" w:hAnsiTheme="minorHAnsi" w:cstheme="minorHAnsi"/>
        </w:rPr>
        <w:fldChar w:fldCharType="end"/>
      </w:r>
      <w:r w:rsidRPr="007809F4">
        <w:rPr>
          <w:rFonts w:asciiTheme="minorHAnsi" w:hAnsiTheme="minorHAnsi" w:cstheme="minorHAnsi"/>
        </w:rPr>
        <w:t xml:space="preserve">, [15];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xml:space="preserve">, [25]; </w:t>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[18].</w:t>
      </w:r>
    </w:p>
  </w:footnote>
  <w:footnote w:id="44">
    <w:p w14:paraId="0EC62910" w14:textId="2E57F6C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xml:space="preserve">, [25]; </w:t>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[18].</w:t>
      </w:r>
    </w:p>
  </w:footnote>
  <w:footnote w:id="45">
    <w:p w14:paraId="7AD9F742" w14:textId="3CB39AD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[22].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_Ref507854651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4.1.3</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_Ref507854651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Limited scope for applying sentencing principles under State/Territory legislation</w:t>
      </w:r>
      <w:r w:rsidRPr="00EB7F1E">
        <w:rPr>
          <w:rFonts w:asciiTheme="minorHAnsi" w:hAnsiTheme="minorHAnsi" w:cstheme="minorHAnsi"/>
        </w:rPr>
        <w:fldChar w:fldCharType="end"/>
      </w:r>
      <w:r w:rsidRPr="007809F4">
        <w:rPr>
          <w:rFonts w:asciiTheme="minorHAnsi" w:hAnsiTheme="minorHAnsi" w:cstheme="minorHAnsi"/>
        </w:rPr>
        <w:t>”.</w:t>
      </w:r>
    </w:p>
  </w:footnote>
  <w:footnote w:id="46">
    <w:p w14:paraId="6321F61F"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7">
    <w:p w14:paraId="28EBF3A8"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[27]-[28].</w:t>
      </w:r>
    </w:p>
  </w:footnote>
  <w:footnote w:id="48">
    <w:p w14:paraId="7EEF3930"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[19].</w:t>
      </w:r>
    </w:p>
  </w:footnote>
  <w:footnote w:id="49">
    <w:p w14:paraId="3A71D961"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i/>
          <w:noProof/>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Atanackovic v R</w:instrText>
      </w:r>
      <w:r w:rsidRPr="007809F4">
        <w:rPr>
          <w:rFonts w:asciiTheme="minorHAnsi" w:hAnsiTheme="minorHAnsi" w:cstheme="minorHAnsi"/>
        </w:rPr>
        <w:instrText xml:space="preserve"> (2015) 45 VR 179" \s "Atanackovic v R (2015) 45 VR 179" \c 1 </w:instrText>
      </w:r>
      <w:r w:rsidRPr="00EB7F1E">
        <w:rPr>
          <w:rFonts w:asciiTheme="minorHAnsi" w:hAnsiTheme="minorHAnsi" w:cstheme="minorHAnsi"/>
          <w:i/>
          <w:noProof/>
        </w:rPr>
        <w:fldChar w:fldCharType="end"/>
      </w:r>
      <w:r w:rsidRPr="007809F4">
        <w:rPr>
          <w:rFonts w:asciiTheme="minorHAnsi" w:hAnsiTheme="minorHAnsi" w:cstheme="minorHAnsi"/>
          <w:noProof/>
        </w:rPr>
        <w:t>, [47]</w:t>
      </w:r>
      <w:r w:rsidRPr="007809F4">
        <w:rPr>
          <w:rFonts w:asciiTheme="minorHAnsi" w:hAnsiTheme="minorHAnsi" w:cstheme="minorHAnsi"/>
          <w:i/>
          <w:noProof/>
        </w:rPr>
        <w:t>.</w:t>
      </w:r>
      <w:r w:rsidRPr="00EB7F1E">
        <w:rPr>
          <w:rFonts w:asciiTheme="minorHAnsi" w:hAnsiTheme="minorHAnsi" w:cstheme="minorHAnsi"/>
        </w:rPr>
        <w:fldChar w:fldCharType="begin"/>
      </w:r>
      <w:r w:rsidRPr="007809F4">
        <w:rPr>
          <w:rFonts w:asciiTheme="minorHAnsi" w:hAnsiTheme="minorHAnsi" w:cstheme="minorHAnsi"/>
        </w:rPr>
        <w:instrText xml:space="preserve">  "Boulton v The Queen [2014] VSCA 342" </w:instrText>
      </w:r>
      <w:r w:rsidRPr="00EB7F1E">
        <w:rPr>
          <w:rFonts w:asciiTheme="minorHAnsi" w:hAnsiTheme="minorHAnsi" w:cstheme="minorHAnsi"/>
        </w:rPr>
        <w:fldChar w:fldCharType="end"/>
      </w:r>
    </w:p>
  </w:footnote>
  <w:footnote w:id="50">
    <w:p w14:paraId="3CAD2A4B"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Boulton v R</w:t>
      </w:r>
      <w:r w:rsidRPr="007809F4">
        <w:rPr>
          <w:rFonts w:asciiTheme="minorHAnsi" w:hAnsiTheme="minorHAnsi" w:cstheme="minorHAnsi"/>
          <w:noProof/>
        </w:rPr>
        <w:t xml:space="preserve"> (2014) </w:t>
      </w:r>
      <w:r w:rsidRPr="007809F4">
        <w:rPr>
          <w:rFonts w:asciiTheme="minorHAnsi" w:hAnsiTheme="minorHAnsi" w:cstheme="minorHAnsi"/>
        </w:rPr>
        <w:t>46 VR 308</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Boulton v R</w:instrText>
      </w:r>
      <w:r w:rsidRPr="007809F4">
        <w:rPr>
          <w:rFonts w:asciiTheme="minorHAnsi" w:hAnsiTheme="minorHAnsi" w:cstheme="minorHAnsi"/>
        </w:rPr>
        <w:instrText xml:space="preserve"> (2014) 46 VR 308" \s "Boulton v R (2014) 46 VR 308" \c 1 </w:instrText>
      </w:r>
      <w:r w:rsidRPr="00EB7F1E">
        <w:rPr>
          <w:rFonts w:asciiTheme="minorHAnsi" w:hAnsiTheme="minorHAnsi" w:cstheme="minorHAnsi"/>
          <w: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"Boulton v The Queen [2014] VSCA 342" </w:instrText>
      </w:r>
      <w:r w:rsidRPr="00EB7F1E">
        <w:rPr>
          <w:rFonts w:asciiTheme="minorHAnsi" w:hAnsiTheme="minorHAnsi" w:cstheme="minorHAnsi"/>
        </w:rPr>
        <w:fldChar w:fldCharType="end"/>
      </w:r>
    </w:p>
  </w:footnote>
  <w:footnote w:id="51">
    <w:p w14:paraId="5A3C40BB" w14:textId="26E8BEB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relationship between the application of the common law under s 80 of the </w:t>
      </w:r>
      <w:r w:rsidRPr="007809F4">
        <w:rPr>
          <w:rFonts w:asciiTheme="minorHAnsi" w:hAnsiTheme="minorHAnsi" w:cstheme="minorHAnsi"/>
          <w:i/>
        </w:rPr>
        <w:t>Judiciary Act</w:t>
      </w:r>
      <w:r w:rsidRPr="007809F4">
        <w:rPr>
          <w:rFonts w:asciiTheme="minorHAnsi" w:hAnsiTheme="minorHAnsi" w:cstheme="minorHAnsi"/>
        </w:rPr>
        <w:t xml:space="preserve"> 1903 (Cth) and the application of State or Territory law as surrogate federal law under ss 68 and 79 of the Act has not been the subject of extensive judicial consideration.  However it is clear from the judgments in </w:t>
      </w:r>
      <w:r w:rsidRPr="007809F4">
        <w:rPr>
          <w:rFonts w:asciiTheme="minorHAnsi" w:hAnsiTheme="minorHAnsi" w:cstheme="minorHAnsi"/>
          <w:i/>
        </w:rPr>
        <w:t>Blunden v Commonwealth</w:t>
      </w:r>
      <w:r w:rsidRPr="007809F4">
        <w:rPr>
          <w:rFonts w:asciiTheme="minorHAnsi" w:hAnsiTheme="minorHAnsi" w:cstheme="minorHAnsi"/>
        </w:rPr>
        <w:t xml:space="preserve"> (2003) 218 CLR 330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Blunden v Commonwealth</w:instrText>
      </w:r>
      <w:r w:rsidRPr="007809F4">
        <w:rPr>
          <w:rFonts w:asciiTheme="minorHAnsi" w:hAnsiTheme="minorHAnsi" w:cstheme="minorHAnsi"/>
        </w:rPr>
        <w:instrText xml:space="preserve"> (2003) 218 CLR 330</w:instrText>
      </w:r>
      <w:r w:rsidRPr="00EB7F1E">
        <w:rPr>
          <w:rFonts w:asciiTheme="minorHAnsi" w:hAnsiTheme="minorHAnsi" w:cstheme="minorHAnsi"/>
        </w:rPr>
        <w:instrText xml:space="preserve">" \s "Blunden v Commonwealth (2003) 218 CLR 330" \c 1 </w:instrText>
      </w:r>
      <w:r w:rsidRPr="00EB7F1E">
        <w:rPr>
          <w:rFonts w:asciiTheme="minorHAnsi" w:hAnsiTheme="minorHAnsi" w:cstheme="minorHAnsi"/>
        </w:rPr>
        <w:fldChar w:fldCharType="end"/>
      </w:r>
      <w:r w:rsidRPr="007809F4">
        <w:rPr>
          <w:rFonts w:asciiTheme="minorHAnsi" w:hAnsiTheme="minorHAnsi" w:cstheme="minorHAnsi"/>
        </w:rPr>
        <w:t>, [18], [91], that s 80 is one of the laws of the Commonwealth to which s 79 is expressly excepted.  It must follow that s 80 may also be a law of the Commonwealth which renders State or Territory law inapplicable under s 68 of the Act.  That is, a State or Territory law of a kind described in s 68(1) may be rendered inapplicable because, as a result of the application of a common law principle by s 80, Commonwealth law made contrary provision to the State or Territory law, or was complete on its face, or left no room for the operation of the State or Territory law.  A State or Territory law of a kind described in s 79(1) could similarly be excluded from applying on the basis that the laws of the Commonwealth (that is, including s 80) “</w:t>
      </w:r>
      <w:r w:rsidRPr="007809F4">
        <w:rPr>
          <w:rFonts w:asciiTheme="minorHAnsi" w:hAnsiTheme="minorHAnsi" w:cstheme="minorHAnsi"/>
          <w:i/>
        </w:rPr>
        <w:t>otherwise provided</w:t>
      </w:r>
      <w:r w:rsidRPr="007809F4">
        <w:rPr>
          <w:rFonts w:asciiTheme="minorHAnsi" w:hAnsiTheme="minorHAnsi" w:cstheme="minorHAnsi"/>
        </w:rPr>
        <w:t xml:space="preserve">”. This reasoning may underlie the observation in </w:t>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xml:space="preserve">, [15], that, except to the extent stated in ss 16A and 16B of the </w:t>
      </w:r>
      <w:r w:rsidRPr="007809F4">
        <w:rPr>
          <w:rFonts w:asciiTheme="minorHAnsi" w:hAnsiTheme="minorHAnsi" w:cstheme="minorHAnsi"/>
          <w:i/>
        </w:rPr>
        <w:t xml:space="preserve">Crimes Act 1914 </w:t>
      </w:r>
      <w:r w:rsidRPr="007809F4">
        <w:rPr>
          <w:rFonts w:asciiTheme="minorHAnsi" w:hAnsiTheme="minorHAnsi" w:cstheme="minorHAnsi"/>
        </w:rPr>
        <w:t>(Cth), “</w:t>
      </w:r>
      <w:r w:rsidRPr="007809F4">
        <w:rPr>
          <w:rFonts w:asciiTheme="minorHAnsi" w:hAnsiTheme="minorHAnsi" w:cstheme="minorHAnsi"/>
          <w:i/>
        </w:rPr>
        <w:t>general common law and not peculiarly local or state statutory principles of sentencing are applicable</w:t>
      </w:r>
      <w:r w:rsidRPr="007809F4">
        <w:rPr>
          <w:rFonts w:asciiTheme="minorHAnsi" w:hAnsiTheme="minorHAnsi" w:cstheme="minorHAnsi"/>
        </w:rPr>
        <w:t>” to the sentencing of federal offenders.</w:t>
      </w:r>
    </w:p>
  </w:footnote>
  <w:footnote w:id="52">
    <w:p w14:paraId="691E9815" w14:textId="2F9204C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Solomons v District Court (NSW)</w:t>
      </w:r>
      <w:r w:rsidRPr="00EB7F1E">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[21];</w:t>
      </w:r>
      <w:r w:rsidRPr="007809F4">
        <w:rPr>
          <w:rFonts w:asciiTheme="minorHAnsi" w:hAnsiTheme="minorHAnsi" w:cstheme="minorHAnsi"/>
        </w:rPr>
        <w:t xml:space="preserve"> </w:t>
      </w:r>
      <w:r w:rsidRPr="00EB7F1E">
        <w:rPr>
          <w:rFonts w:asciiTheme="minorHAnsi" w:hAnsiTheme="minorHAnsi" w:cstheme="minorHAnsi"/>
          <w:iCs/>
        </w:rPr>
        <w:t>R</w:t>
      </w:r>
      <w:r w:rsidRPr="00EB7F1E">
        <w:rPr>
          <w:rFonts w:asciiTheme="minorHAnsi" w:hAnsiTheme="minorHAnsi" w:cstheme="minorHAnsi"/>
          <w:i/>
          <w:iCs/>
        </w:rPr>
        <w:t xml:space="preserve"> v </w:t>
      </w:r>
      <w:r w:rsidRPr="00EB7F1E">
        <w:rPr>
          <w:rFonts w:asciiTheme="minorHAnsi" w:hAnsiTheme="minorHAnsi" w:cstheme="minorHAnsi"/>
          <w:iCs/>
        </w:rPr>
        <w:t>Gee</w:t>
      </w:r>
      <w:r w:rsidRPr="00EB7F1E">
        <w:rPr>
          <w:rFonts w:asciiTheme="minorHAnsi" w:hAnsiTheme="minorHAnsi" w:cstheme="minorHAnsi"/>
        </w:rPr>
        <w:t xml:space="preserve"> (2003) 212 CLR 230</w:t>
      </w:r>
      <w:r w:rsidRPr="00EB7F1E">
        <w:rPr>
          <w:rFonts w:asciiTheme="minorHAnsi" w:hAnsiTheme="minorHAnsi" w:cstheme="minorHAnsi"/>
        </w:rPr>
        <w:fldChar w:fldCharType="begin"/>
      </w:r>
      <w:r w:rsidRPr="007809F4">
        <w:rPr>
          <w:rFonts w:asciiTheme="minorHAnsi" w:hAnsiTheme="minorHAnsi" w:cstheme="minorHAnsi"/>
        </w:rPr>
        <w:instrText xml:space="preserve"> TA \s "R v Gee (2003) 212 CLR 230" </w:instrText>
      </w:r>
      <w:r w:rsidRPr="00EB7F1E">
        <w:rPr>
          <w:rFonts w:asciiTheme="minorHAnsi" w:hAnsiTheme="minorHAnsi" w:cstheme="minorHAnsi"/>
        </w:rPr>
        <w:fldChar w:fldCharType="end"/>
      </w:r>
      <w:r w:rsidRPr="00EB7F1E">
        <w:rPr>
          <w:rFonts w:asciiTheme="minorHAnsi" w:hAnsiTheme="minorHAnsi" w:cstheme="minorHAnsi"/>
        </w:rPr>
        <w:t xml:space="preserve">, [100];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[21];</w:t>
      </w:r>
      <w:r w:rsidRPr="00EB7F1E">
        <w:rPr>
          <w:rFonts w:asciiTheme="minorHAnsi" w:hAnsiTheme="minorHAnsi" w:cstheme="minorHAnsi"/>
          <w:i/>
        </w:rPr>
        <w:t xml:space="preserve"> </w:t>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7809F4">
        <w:rPr>
          <w:rFonts w:asciiTheme="minorHAnsi" w:hAnsiTheme="minorHAnsi" w:cstheme="minorHAnsi"/>
        </w:rPr>
        <w:instrText xml:space="preserve"> TA \s "Rizeq v R (2017) 262 CLR 1" </w:instrText>
      </w:r>
      <w:r w:rsidRPr="00EB7F1E">
        <w:rPr>
          <w:rFonts w:asciiTheme="minorHAnsi" w:hAnsiTheme="minorHAnsi" w:cstheme="minorHAnsi"/>
        </w:rPr>
        <w:fldChar w:fldCharType="end"/>
      </w:r>
      <w:r w:rsidRPr="007809F4">
        <w:rPr>
          <w:rFonts w:asciiTheme="minorHAnsi" w:hAnsiTheme="minorHAnsi" w:cstheme="minorHAnsi"/>
        </w:rPr>
        <w:t>, [15], [21], [57], [60]-[61].</w:t>
      </w:r>
    </w:p>
  </w:footnote>
  <w:footnote w:id="53">
    <w:p w14:paraId="57579AEF" w14:textId="3FE92CE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The term “</w:t>
      </w:r>
      <w:r w:rsidRPr="007809F4">
        <w:rPr>
          <w:rFonts w:asciiTheme="minorHAnsi" w:hAnsiTheme="minorHAnsi" w:cstheme="minorHAnsi"/>
          <w:i/>
        </w:rPr>
        <w:t>surrogate Commonwealth law</w:t>
      </w:r>
      <w:r w:rsidRPr="007809F4">
        <w:rPr>
          <w:rFonts w:asciiTheme="minorHAnsi" w:hAnsiTheme="minorHAnsi" w:cstheme="minorHAnsi"/>
        </w:rPr>
        <w:t xml:space="preserve">”, to describe the way State or Territory laws are applied by provisions of the </w:t>
      </w:r>
      <w:r w:rsidRPr="007809F4">
        <w:rPr>
          <w:rFonts w:asciiTheme="minorHAnsi" w:hAnsiTheme="minorHAnsi" w:cstheme="minorHAnsi"/>
          <w:i/>
        </w:rPr>
        <w:t>Judiciary Act 1903</w:t>
      </w:r>
      <w:r w:rsidRPr="007809F4">
        <w:rPr>
          <w:rFonts w:asciiTheme="minorHAnsi" w:hAnsiTheme="minorHAnsi" w:cstheme="minorHAnsi"/>
        </w:rPr>
        <w:t xml:space="preserve"> (Cth), appears to have been coined by Murphy J in </w:t>
      </w:r>
      <w:r w:rsidRPr="007809F4">
        <w:rPr>
          <w:rFonts w:asciiTheme="minorHAnsi" w:hAnsiTheme="minorHAnsi" w:cstheme="minorHAnsi"/>
          <w:i/>
        </w:rPr>
        <w:t>Maguire v Simpson</w:t>
      </w:r>
      <w:r w:rsidRPr="007809F4">
        <w:rPr>
          <w:rFonts w:asciiTheme="minorHAnsi" w:hAnsiTheme="minorHAnsi" w:cstheme="minorHAnsi"/>
        </w:rPr>
        <w:t xml:space="preserve"> (1977) 139 CLR 362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Maguire v Simpson</w:instrText>
      </w:r>
      <w:r w:rsidRPr="007809F4">
        <w:rPr>
          <w:rFonts w:asciiTheme="minorHAnsi" w:hAnsiTheme="minorHAnsi" w:cstheme="minorHAnsi"/>
        </w:rPr>
        <w:instrText xml:space="preserve"> (1977) 139 CLR 362</w:instrText>
      </w:r>
      <w:r w:rsidRPr="00EB7F1E">
        <w:rPr>
          <w:rFonts w:asciiTheme="minorHAnsi" w:hAnsiTheme="minorHAnsi" w:cstheme="minorHAnsi"/>
        </w:rPr>
        <w:instrText xml:space="preserve">" \s "Maguire v Simpson (1977) 139 CLR 362" \c 1 </w:instrText>
      </w:r>
      <w:r w:rsidRPr="00EB7F1E">
        <w:rPr>
          <w:rFonts w:asciiTheme="minorHAnsi" w:hAnsiTheme="minorHAnsi" w:cstheme="minorHAnsi"/>
        </w:rPr>
        <w:fldChar w:fldCharType="end"/>
      </w:r>
      <w:r w:rsidRPr="007809F4">
        <w:rPr>
          <w:rFonts w:asciiTheme="minorHAnsi" w:hAnsiTheme="minorHAnsi" w:cstheme="minorHAnsi"/>
        </w:rPr>
        <w:t>, 408.  The term “</w:t>
      </w:r>
      <w:r w:rsidRPr="007809F4">
        <w:rPr>
          <w:rFonts w:asciiTheme="minorHAnsi" w:hAnsiTheme="minorHAnsi" w:cstheme="minorHAnsi"/>
          <w:i/>
        </w:rPr>
        <w:t>surrogate Commonwealth law</w:t>
      </w:r>
      <w:r w:rsidRPr="007809F4">
        <w:rPr>
          <w:rFonts w:asciiTheme="minorHAnsi" w:hAnsiTheme="minorHAnsi" w:cstheme="minorHAnsi"/>
        </w:rPr>
        <w:t>” or “</w:t>
      </w:r>
      <w:r w:rsidRPr="007809F4">
        <w:rPr>
          <w:rFonts w:asciiTheme="minorHAnsi" w:hAnsiTheme="minorHAnsi" w:cstheme="minorHAnsi"/>
          <w:i/>
        </w:rPr>
        <w:t>surrogate federal law</w:t>
      </w:r>
      <w:r w:rsidRPr="007809F4">
        <w:rPr>
          <w:rFonts w:asciiTheme="minorHAnsi" w:hAnsiTheme="minorHAnsi" w:cstheme="minorHAnsi"/>
        </w:rPr>
        <w:t xml:space="preserve">” has since been used in a number of decisions of the High Court.  In </w:t>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7809F4">
        <w:rPr>
          <w:rFonts w:asciiTheme="minorHAnsi" w:hAnsiTheme="minorHAnsi" w:cstheme="minorHAnsi"/>
        </w:rPr>
        <w:instrText xml:space="preserve"> TA \s "Rizeq v R (2017) 262 CLR 1" </w:instrText>
      </w:r>
      <w:r w:rsidRPr="00EB7F1E">
        <w:rPr>
          <w:rFonts w:asciiTheme="minorHAnsi" w:hAnsiTheme="minorHAnsi" w:cstheme="minorHAnsi"/>
        </w:rPr>
        <w:fldChar w:fldCharType="end"/>
      </w:r>
      <w:r w:rsidRPr="007809F4">
        <w:rPr>
          <w:rFonts w:asciiTheme="minorHAnsi" w:hAnsiTheme="minorHAnsi" w:cstheme="minorHAnsi"/>
        </w:rPr>
        <w:t>, [81], the plurality pointed out that “</w:t>
      </w:r>
      <w:r w:rsidRPr="007809F4">
        <w:rPr>
          <w:rFonts w:asciiTheme="minorHAnsi" w:hAnsiTheme="minorHAnsi" w:cstheme="minorHAnsi"/>
          <w:i/>
        </w:rPr>
        <w:t>the adjective "surrogate" adds nothing to the analysis</w:t>
      </w:r>
      <w:r w:rsidRPr="007809F4">
        <w:rPr>
          <w:rFonts w:asciiTheme="minorHAnsi" w:hAnsiTheme="minorHAnsi" w:cstheme="minorHAnsi"/>
        </w:rPr>
        <w:t xml:space="preserve">”.  (Cf </w:t>
      </w:r>
      <w:r w:rsidRPr="00EB7F1E">
        <w:rPr>
          <w:rFonts w:asciiTheme="minorHAnsi" w:hAnsiTheme="minorHAnsi" w:cstheme="minorHAnsi"/>
          <w:i/>
        </w:rPr>
        <w:t>Pedersen v Young</w:t>
      </w:r>
      <w:r w:rsidRPr="007809F4">
        <w:rPr>
          <w:rFonts w:asciiTheme="minorHAnsi" w:hAnsiTheme="minorHAnsi" w:cstheme="minorHAnsi"/>
        </w:rPr>
        <w:t xml:space="preserve"> (1964) 110 CLR 162</w:t>
      </w:r>
      <w:r w:rsidRPr="00EB7F1E">
        <w:rPr>
          <w:rFonts w:asciiTheme="minorHAnsi" w:hAnsiTheme="minorHAnsi" w:cstheme="minorHAnsi"/>
        </w:rPr>
        <w:fldChar w:fldCharType="begin"/>
      </w:r>
      <w:r w:rsidRPr="00EB7F1E">
        <w:rPr>
          <w:rFonts w:asciiTheme="minorHAnsi" w:hAnsiTheme="minorHAnsi" w:cstheme="minorHAnsi"/>
        </w:rPr>
        <w:instrText xml:space="preserve"> TA \s "Pedersen v Young (1964) 110 CLR 162" </w:instrText>
      </w:r>
      <w:r w:rsidRPr="00EB7F1E">
        <w:rPr>
          <w:rFonts w:asciiTheme="minorHAnsi" w:hAnsiTheme="minorHAnsi" w:cstheme="minorHAnsi"/>
        </w:rPr>
        <w:fldChar w:fldCharType="end"/>
      </w:r>
      <w:r w:rsidRPr="007809F4">
        <w:rPr>
          <w:rFonts w:asciiTheme="minorHAnsi" w:hAnsiTheme="minorHAnsi" w:cstheme="minorHAnsi"/>
        </w:rPr>
        <w:t>, 165, where Kitto J referred to State laws binding a federal court “</w:t>
      </w:r>
      <w:r w:rsidRPr="00EB7F1E">
        <w:rPr>
          <w:rFonts w:asciiTheme="minorHAnsi" w:hAnsiTheme="minorHAnsi" w:cstheme="minorHAnsi"/>
          <w:i/>
        </w:rPr>
        <w:t>as federal law”</w:t>
      </w:r>
      <w:r w:rsidRPr="007809F4">
        <w:rPr>
          <w:rFonts w:asciiTheme="minorHAnsi" w:hAnsiTheme="minorHAnsi" w:cstheme="minorHAnsi"/>
        </w:rPr>
        <w:t>.)  Nevertheless the term “surrogate federal law” has gained wide currency and for that reason continues to be used throughout this guide.</w:t>
      </w:r>
    </w:p>
  </w:footnote>
  <w:footnote w:id="54">
    <w:p w14:paraId="56DFA86D" w14:textId="28FD1FD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[21].</w:t>
      </w:r>
    </w:p>
  </w:footnote>
  <w:footnote w:id="55">
    <w:p w14:paraId="5D4D4320" w14:textId="75AAC78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Mok v DPP (NSW)</w:t>
      </w:r>
      <w:r w:rsidRPr="007809F4">
        <w:rPr>
          <w:rFonts w:asciiTheme="minorHAnsi" w:hAnsiTheme="minorHAnsi" w:cstheme="minorHAnsi"/>
        </w:rPr>
        <w:t xml:space="preserve"> (2016) 257 CLR 402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Mok v DPP (NSW)</w:instrText>
      </w:r>
      <w:r w:rsidRPr="007809F4">
        <w:rPr>
          <w:rFonts w:asciiTheme="minorHAnsi" w:hAnsiTheme="minorHAnsi" w:cstheme="minorHAnsi"/>
        </w:rPr>
        <w:instrText xml:space="preserve"> (2016) 257 CLR 402</w:instrText>
      </w:r>
      <w:r w:rsidRPr="00EB7F1E">
        <w:rPr>
          <w:rFonts w:asciiTheme="minorHAnsi" w:hAnsiTheme="minorHAnsi" w:cstheme="minorHAnsi"/>
        </w:rPr>
        <w:instrText xml:space="preserve">" \s "Mok v Director of Public Prosecutions (NSW) (2016) 257 CLR 402" \c 1 </w:instrText>
      </w:r>
      <w:r w:rsidRPr="00EB7F1E">
        <w:rPr>
          <w:rFonts w:asciiTheme="minorHAnsi" w:hAnsiTheme="minorHAnsi" w:cstheme="minorHAnsi"/>
        </w:rPr>
        <w:fldChar w:fldCharType="end"/>
      </w:r>
      <w:r w:rsidRPr="007809F4">
        <w:rPr>
          <w:rFonts w:asciiTheme="minorHAnsi" w:hAnsiTheme="minorHAnsi" w:cstheme="minorHAnsi"/>
        </w:rPr>
        <w:t>, [84].</w:t>
      </w:r>
    </w:p>
  </w:footnote>
  <w:footnote w:id="56">
    <w:p w14:paraId="7E6B3C2F" w14:textId="39A8AF5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Williams v R [No 2]</w:t>
      </w:r>
      <w:r w:rsidRPr="007809F4">
        <w:rPr>
          <w:rFonts w:asciiTheme="minorHAnsi" w:hAnsiTheme="minorHAnsi" w:cstheme="minorHAnsi"/>
        </w:rPr>
        <w:t xml:space="preserve"> (1934) 50 CLR 551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Williams v R [No 2]</w:instrText>
      </w:r>
      <w:r w:rsidRPr="007809F4">
        <w:rPr>
          <w:rFonts w:asciiTheme="minorHAnsi" w:hAnsiTheme="minorHAnsi" w:cstheme="minorHAnsi"/>
        </w:rPr>
        <w:instrText xml:space="preserve"> (1934) 50 CLR 551</w:instrText>
      </w:r>
      <w:r w:rsidRPr="00EB7F1E">
        <w:rPr>
          <w:rFonts w:asciiTheme="minorHAnsi" w:hAnsiTheme="minorHAnsi" w:cstheme="minorHAnsi"/>
        </w:rPr>
        <w:instrText xml:space="preserve">" \s "Williams v R [No 2] (1934) 50 CLR 551" \c 1 </w:instrText>
      </w:r>
      <w:r w:rsidRPr="00EB7F1E">
        <w:rPr>
          <w:rFonts w:asciiTheme="minorHAnsi" w:hAnsiTheme="minorHAnsi" w:cstheme="minorHAnsi"/>
        </w:rPr>
        <w:fldChar w:fldCharType="end"/>
      </w:r>
      <w:r w:rsidRPr="007809F4">
        <w:rPr>
          <w:rFonts w:asciiTheme="minorHAnsi" w:hAnsiTheme="minorHAnsi" w:cstheme="minorHAnsi"/>
        </w:rPr>
        <w:t>, 560 (Dixon J).</w:t>
      </w:r>
    </w:p>
  </w:footnote>
  <w:footnote w:id="57">
    <w:p w14:paraId="2DD4365C" w14:textId="004F0A6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[19].</w:t>
      </w:r>
    </w:p>
  </w:footnote>
  <w:footnote w:id="58">
    <w:p w14:paraId="6A3045DC" w14:textId="5F3D523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Williams v R [No 2]</w:t>
      </w:r>
      <w:r w:rsidRPr="007809F4">
        <w:rPr>
          <w:rFonts w:asciiTheme="minorHAnsi" w:hAnsiTheme="minorHAnsi" w:cstheme="minorHAnsi"/>
        </w:rPr>
        <w:t xml:space="preserve"> (1934) 50 CLR 551</w:t>
      </w:r>
      <w:r w:rsidRPr="00EB7F1E">
        <w:rPr>
          <w:rFonts w:asciiTheme="minorHAnsi" w:hAnsiTheme="minorHAnsi" w:cstheme="minorHAnsi"/>
        </w:rPr>
        <w:fldChar w:fldCharType="begin"/>
      </w:r>
      <w:r w:rsidRPr="007809F4">
        <w:rPr>
          <w:rFonts w:asciiTheme="minorHAnsi" w:hAnsiTheme="minorHAnsi" w:cstheme="minorHAnsi"/>
        </w:rPr>
        <w:instrText xml:space="preserve"> TA \s "Williams v R [No 2] (1934) 50 CLR 551" </w:instrText>
      </w:r>
      <w:r w:rsidRPr="00EB7F1E">
        <w:rPr>
          <w:rFonts w:asciiTheme="minorHAnsi" w:hAnsiTheme="minorHAnsi" w:cstheme="minorHAnsi"/>
        </w:rPr>
        <w:fldChar w:fldCharType="end"/>
      </w:r>
      <w:r w:rsidRPr="007809F4">
        <w:rPr>
          <w:rFonts w:asciiTheme="minorHAnsi" w:hAnsiTheme="minorHAnsi" w:cstheme="minorHAnsi"/>
        </w:rPr>
        <w:t>, 560 (Dixon J).</w:t>
      </w:r>
    </w:p>
  </w:footnote>
  <w:footnote w:id="59">
    <w:p w14:paraId="45C5AA82" w14:textId="4E986DB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Gee </w:t>
      </w:r>
      <w:r w:rsidRPr="007809F4">
        <w:rPr>
          <w:rFonts w:asciiTheme="minorHAnsi" w:hAnsiTheme="minorHAnsi" w:cstheme="minorHAnsi"/>
        </w:rPr>
        <w:t>(2003) 212 CLR 230</w:t>
      </w:r>
      <w:r w:rsidRPr="00EB7F1E">
        <w:rPr>
          <w:rFonts w:asciiTheme="minorHAnsi" w:hAnsiTheme="minorHAnsi" w:cstheme="minorHAnsi"/>
        </w:rPr>
        <w:fldChar w:fldCharType="begin"/>
      </w:r>
      <w:r w:rsidRPr="007809F4">
        <w:rPr>
          <w:rFonts w:asciiTheme="minorHAnsi" w:hAnsiTheme="minorHAnsi" w:cstheme="minorHAnsi"/>
        </w:rPr>
        <w:instrText xml:space="preserve"> TA \s "R v Gee (2003) 212 CLR 230" </w:instrText>
      </w:r>
      <w:r w:rsidRPr="00EB7F1E">
        <w:rPr>
          <w:rFonts w:asciiTheme="minorHAnsi" w:hAnsiTheme="minorHAnsi" w:cstheme="minorHAnsi"/>
        </w:rPr>
        <w:fldChar w:fldCharType="end"/>
      </w:r>
      <w:r w:rsidRPr="007809F4">
        <w:rPr>
          <w:rFonts w:asciiTheme="minorHAnsi" w:hAnsiTheme="minorHAnsi" w:cstheme="minorHAnsi"/>
        </w:rPr>
        <w:t>, [6]-[7] (Gleeson CJ).</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60">
    <w:p w14:paraId="62820ED3" w14:textId="4CCE778E" w:rsidR="00D44BCF" w:rsidRPr="00EB7F1E" w:rsidRDefault="00D44BCF" w:rsidP="00EB7F1E">
      <w:pPr>
        <w:pStyle w:val="FootnoteText"/>
        <w:ind w:left="426" w:hanging="426"/>
        <w:jc w:val="both"/>
        <w:rPr>
          <w:rFonts w:asciiTheme="minorHAnsi" w:hAnsiTheme="minorHAnsi" w:cstheme="minorHAnsi"/>
        </w:rPr>
      </w:pPr>
      <w:r w:rsidRPr="00EB7F1E">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rPr>
        <w:t>Williams v R [No 2]</w:t>
      </w:r>
      <w:r w:rsidRPr="007809F4">
        <w:rPr>
          <w:rFonts w:asciiTheme="minorHAnsi" w:hAnsiTheme="minorHAnsi" w:cstheme="minorHAnsi"/>
          <w:i/>
        </w:rPr>
        <w:t xml:space="preserve"> </w:t>
      </w:r>
      <w:r w:rsidRPr="00EB7F1E">
        <w:rPr>
          <w:rFonts w:asciiTheme="minorHAnsi" w:hAnsiTheme="minorHAnsi" w:cstheme="minorHAnsi"/>
        </w:rPr>
        <w:t>(1934) 50 CLR 551</w:t>
      </w:r>
      <w:r w:rsidRPr="00EB7F1E">
        <w:rPr>
          <w:rFonts w:asciiTheme="minorHAnsi" w:hAnsiTheme="minorHAnsi" w:cstheme="minorHAnsi"/>
        </w:rPr>
        <w:fldChar w:fldCharType="begin"/>
      </w:r>
      <w:r w:rsidRPr="007809F4">
        <w:rPr>
          <w:rFonts w:asciiTheme="minorHAnsi" w:hAnsiTheme="minorHAnsi" w:cstheme="minorHAnsi"/>
        </w:rPr>
        <w:instrText xml:space="preserve"> TA \s "Williams v R [No 2] (1934) 50 CLR 551" </w:instrText>
      </w:r>
      <w:r w:rsidRPr="00EB7F1E">
        <w:rPr>
          <w:rFonts w:asciiTheme="minorHAnsi" w:hAnsiTheme="minorHAnsi" w:cstheme="minorHAnsi"/>
        </w:rPr>
        <w:fldChar w:fldCharType="end"/>
      </w:r>
      <w:r w:rsidRPr="00EB7F1E">
        <w:rPr>
          <w:rFonts w:asciiTheme="minorHAnsi" w:hAnsiTheme="minorHAnsi" w:cstheme="minorHAnsi"/>
        </w:rPr>
        <w:t xml:space="preserve">, 560; </w:t>
      </w:r>
      <w:r w:rsidRPr="00EB7F1E">
        <w:rPr>
          <w:rFonts w:asciiTheme="minorHAnsi" w:hAnsiTheme="minorHAnsi" w:cstheme="minorHAnsi"/>
          <w:i/>
        </w:rPr>
        <w:t>Putland v R</w:t>
      </w:r>
      <w:r w:rsidRPr="00EB7F1E">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t xml:space="preserve">; </w:t>
      </w:r>
      <w:r w:rsidRPr="00EB7F1E">
        <w:rPr>
          <w:rFonts w:asciiTheme="minorHAnsi" w:hAnsiTheme="minorHAnsi" w:cstheme="minorHAnsi"/>
          <w:i/>
        </w:rPr>
        <w:t>Hili v R</w:t>
      </w:r>
      <w:r w:rsidRPr="00EB7F1E">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EB7F1E">
        <w:rPr>
          <w:rFonts w:asciiTheme="minorHAnsi" w:hAnsiTheme="minorHAnsi" w:cstheme="minorHAnsi"/>
        </w:rPr>
        <w:t>.</w:t>
      </w:r>
    </w:p>
  </w:footnote>
  <w:footnote w:id="61">
    <w:p w14:paraId="4DDBCF90" w14:textId="63FD14A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[41] (McHugh J).</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62">
    <w:p w14:paraId="0708961B" w14:textId="23B3691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Williams v R [No 2]</w:t>
      </w:r>
      <w:r w:rsidRPr="007809F4">
        <w:rPr>
          <w:rFonts w:asciiTheme="minorHAnsi" w:hAnsiTheme="minorHAnsi" w:cstheme="minorHAnsi"/>
        </w:rPr>
        <w:t xml:space="preserve"> (1934) 50 CLR 551</w:t>
      </w:r>
      <w:r w:rsidRPr="00EB7F1E">
        <w:rPr>
          <w:rFonts w:asciiTheme="minorHAnsi" w:hAnsiTheme="minorHAnsi" w:cstheme="minorHAnsi"/>
        </w:rPr>
        <w:fldChar w:fldCharType="begin"/>
      </w:r>
      <w:r w:rsidRPr="007809F4">
        <w:rPr>
          <w:rFonts w:asciiTheme="minorHAnsi" w:hAnsiTheme="minorHAnsi" w:cstheme="minorHAnsi"/>
        </w:rPr>
        <w:instrText xml:space="preserve"> TA \s "Williams v R [No 2] (1934) 50 CLR 551" </w:instrText>
      </w:r>
      <w:r w:rsidRPr="00EB7F1E">
        <w:rPr>
          <w:rFonts w:asciiTheme="minorHAnsi" w:hAnsiTheme="minorHAnsi" w:cstheme="minorHAnsi"/>
        </w:rPr>
        <w:fldChar w:fldCharType="end"/>
      </w:r>
      <w:r w:rsidRPr="007809F4">
        <w:rPr>
          <w:rFonts w:asciiTheme="minorHAnsi" w:hAnsiTheme="minorHAnsi" w:cstheme="minorHAnsi"/>
        </w:rPr>
        <w:t xml:space="preserve">, 560;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w:t>
      </w:r>
    </w:p>
  </w:footnote>
  <w:footnote w:id="63">
    <w:p w14:paraId="6A79E8D7" w14:textId="5A0049E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[23] (</w:t>
      </w:r>
      <w:r w:rsidRPr="00EB7F1E">
        <w:rPr>
          <w:rFonts w:asciiTheme="minorHAnsi" w:hAnsiTheme="minorHAnsi" w:cstheme="minorHAnsi"/>
        </w:rPr>
        <w:t xml:space="preserve">Gleeson CJ, Gaudron, Gummow, Hayne &amp; Callinan </w:t>
      </w:r>
      <w:r w:rsidRPr="007809F4">
        <w:rPr>
          <w:rFonts w:asciiTheme="minorHAnsi" w:hAnsiTheme="minorHAnsi" w:cstheme="minorHAnsi"/>
        </w:rPr>
        <w:t>JJ).</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64">
    <w:p w14:paraId="36C33EE1" w14:textId="0F0AF2C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[25] (Gleeson CJ, Gaudron, Gummow, Hayne &amp; Callinan JJ), [57] (McHugh J).</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65">
    <w:p w14:paraId="5E5B1A4D" w14:textId="3BE934F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[7] (Gleeson CJ).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66">
    <w:p w14:paraId="28C5180D" w14:textId="1EBBA26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[7] (Gleeson CJ); see also </w:t>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[25].</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67">
    <w:p w14:paraId="2C38689D" w14:textId="1F533D8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w:t>
      </w:r>
    </w:p>
  </w:footnote>
  <w:footnote w:id="68">
    <w:p w14:paraId="70AF8116" w14:textId="03977359" w:rsidR="00D44BCF" w:rsidRPr="007809F4" w:rsidRDefault="00D44BCF" w:rsidP="00051A41">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All Cars Ltd v McCann</w:t>
      </w:r>
      <w:r w:rsidRPr="007809F4">
        <w:rPr>
          <w:rFonts w:asciiTheme="minorHAnsi" w:hAnsiTheme="minorHAnsi" w:cstheme="minorHAnsi"/>
        </w:rPr>
        <w:t xml:space="preserve"> (1945) 19 ALJR 129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All Cars Ltd v McCann</w:instrText>
      </w:r>
      <w:r w:rsidRPr="007809F4">
        <w:rPr>
          <w:rFonts w:asciiTheme="minorHAnsi" w:hAnsiTheme="minorHAnsi" w:cstheme="minorHAnsi"/>
        </w:rPr>
        <w:instrText xml:space="preserve"> (1945) 19 ALJR 129" \s "All Cars Ltd v McCann (1945) 19 ALJR 129"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R v Mirkovic</w:t>
      </w:r>
      <w:r w:rsidRPr="007809F4">
        <w:rPr>
          <w:rFonts w:asciiTheme="minorHAnsi" w:hAnsiTheme="minorHAnsi" w:cstheme="minorHAnsi"/>
        </w:rPr>
        <w:t xml:space="preserve"> [1966] VR 371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Mirkovic</w:instrText>
      </w:r>
      <w:r w:rsidRPr="007809F4">
        <w:rPr>
          <w:rFonts w:asciiTheme="minorHAnsi" w:hAnsiTheme="minorHAnsi" w:cstheme="minorHAnsi"/>
        </w:rPr>
        <w:instrText xml:space="preserve"> [1966] VR 371" \s "R v Mirkovic [1966] VR 371"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Harrex v Fraser</w:t>
      </w:r>
      <w:r w:rsidRPr="007809F4">
        <w:rPr>
          <w:rFonts w:asciiTheme="minorHAnsi" w:hAnsiTheme="minorHAnsi" w:cstheme="minorHAnsi"/>
        </w:rPr>
        <w:t xml:space="preserve"> [2011] ACTSC 172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Harrex v Fraser</w:instrText>
      </w:r>
      <w:r w:rsidRPr="007809F4">
        <w:rPr>
          <w:rFonts w:asciiTheme="minorHAnsi" w:hAnsiTheme="minorHAnsi" w:cstheme="minorHAnsi"/>
        </w:rPr>
        <w:instrText xml:space="preserve"> [2011] ACTSC 172" \s "Harrex v Fraser [2011] ACTSC 172" \c 1 </w:instrText>
      </w:r>
      <w:r w:rsidRPr="00EB7F1E">
        <w:rPr>
          <w:rFonts w:asciiTheme="minorHAnsi" w:hAnsiTheme="minorHAnsi" w:cstheme="minorHAnsi"/>
        </w:rPr>
        <w:fldChar w:fldCharType="end"/>
      </w:r>
      <w:r w:rsidRPr="007809F4">
        <w:rPr>
          <w:rFonts w:asciiTheme="minorHAnsi" w:hAnsiTheme="minorHAnsi" w:cstheme="minorHAnsi"/>
        </w:rPr>
        <w:t xml:space="preserve">, [38]-[39].  See also </w:t>
      </w:r>
      <w:r w:rsidRPr="007809F4">
        <w:rPr>
          <w:rFonts w:asciiTheme="minorHAnsi" w:hAnsiTheme="minorHAnsi" w:cstheme="minorHAnsi"/>
          <w:i/>
        </w:rPr>
        <w:t>R v Tran</w:t>
      </w:r>
      <w:r w:rsidRPr="007809F4">
        <w:rPr>
          <w:rFonts w:asciiTheme="minorHAnsi" w:hAnsiTheme="minorHAnsi" w:cstheme="minorHAnsi"/>
        </w:rPr>
        <w:t xml:space="preserve"> [2019] SASCFC 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Tran</w:instrText>
      </w:r>
      <w:r w:rsidRPr="007809F4">
        <w:rPr>
          <w:rFonts w:asciiTheme="minorHAnsi" w:hAnsiTheme="minorHAnsi" w:cstheme="minorHAnsi"/>
        </w:rPr>
        <w:instrText xml:space="preserve"> [2019] SASCFC 5" \s "R v Tran [2019] SASCFC 5" \c 1 </w:instrText>
      </w:r>
      <w:r w:rsidRPr="00EB7F1E">
        <w:rPr>
          <w:rFonts w:asciiTheme="minorHAnsi" w:hAnsiTheme="minorHAnsi" w:cstheme="minorHAnsi"/>
        </w:rPr>
        <w:fldChar w:fldCharType="end"/>
      </w:r>
      <w:r w:rsidRPr="007809F4">
        <w:rPr>
          <w:rFonts w:asciiTheme="minorHAnsi" w:hAnsiTheme="minorHAnsi" w:cstheme="minorHAnsi"/>
        </w:rPr>
        <w:t xml:space="preserve">, [50].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69">
    <w:p w14:paraId="0B122A3A" w14:textId="79A6879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_Ref494281344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7.10.7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_Ref494281344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Aggregate penalty for charges on indictment</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70">
    <w:p w14:paraId="40E4F11B" w14:textId="18CDB42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DPP (Cth) v Wallace</w:t>
      </w:r>
      <w:r w:rsidRPr="007809F4">
        <w:rPr>
          <w:rFonts w:asciiTheme="minorHAnsi" w:hAnsiTheme="minorHAnsi" w:cstheme="minorHAnsi"/>
        </w:rPr>
        <w:t xml:space="preserve"> (2011) 43 WAR 61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DPP (Cth) v Wallace</w:instrText>
      </w:r>
      <w:r w:rsidRPr="007809F4">
        <w:rPr>
          <w:rFonts w:asciiTheme="minorHAnsi" w:hAnsiTheme="minorHAnsi" w:cstheme="minorHAnsi"/>
        </w:rPr>
        <w:instrText xml:space="preserve"> (2011) 43 WAR 61</w:instrText>
      </w:r>
      <w:r w:rsidRPr="00EB7F1E">
        <w:rPr>
          <w:rFonts w:asciiTheme="minorHAnsi" w:hAnsiTheme="minorHAnsi" w:cstheme="minorHAnsi"/>
        </w:rPr>
        <w:instrText xml:space="preserve">" \s "DPP (Cth) v Wallace (2011) 43 WAR 61" \c 1 </w:instrText>
      </w:r>
      <w:r w:rsidRPr="00EB7F1E">
        <w:rPr>
          <w:rFonts w:asciiTheme="minorHAnsi" w:hAnsiTheme="minorHAnsi" w:cstheme="minorHAnsi"/>
        </w:rPr>
        <w:fldChar w:fldCharType="end"/>
      </w:r>
      <w:r w:rsidRPr="007809F4">
        <w:rPr>
          <w:rFonts w:asciiTheme="minorHAnsi" w:hAnsiTheme="minorHAnsi" w:cstheme="minorHAnsi"/>
        </w:rPr>
        <w:t>, [25]-[34].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_Ref11071588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7.12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_Ref11071588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cstheme="minorHAnsi"/>
        </w:rPr>
        <w:t>Power of sentencing court to correct error in sentence</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71">
    <w:p w14:paraId="7BF0302A" w14:textId="4ED8B0D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[7] (Gleeson CJ).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72">
    <w:p w14:paraId="489CC673" w14:textId="3CB8D40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[24], [28].</w:t>
      </w:r>
    </w:p>
  </w:footnote>
  <w:footnote w:id="73">
    <w:p w14:paraId="6535005E" w14:textId="6DF055A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Newman v A (a child)</w:t>
      </w:r>
      <w:r w:rsidRPr="007809F4">
        <w:rPr>
          <w:rFonts w:asciiTheme="minorHAnsi" w:hAnsiTheme="minorHAnsi" w:cstheme="minorHAnsi"/>
        </w:rPr>
        <w:t xml:space="preserve"> (1992) 9 WAR 14</w:t>
      </w:r>
      <w:r w:rsidRPr="00EB7F1E">
        <w:rPr>
          <w:rFonts w:asciiTheme="minorHAnsi" w:hAnsiTheme="minorHAnsi" w:cstheme="minorHAnsi"/>
        </w:rPr>
        <w:fldChar w:fldCharType="begin"/>
      </w:r>
      <w:r w:rsidRPr="007809F4">
        <w:rPr>
          <w:rFonts w:asciiTheme="minorHAnsi" w:hAnsiTheme="minorHAnsi" w:cstheme="minorHAnsi"/>
        </w:rPr>
        <w:instrText xml:space="preserve"> TA \s "Newman v A (a child) (1992) 9 WAR 14" </w:instrText>
      </w:r>
      <w:r w:rsidRPr="00EB7F1E">
        <w:rPr>
          <w:rFonts w:asciiTheme="minorHAnsi" w:hAnsiTheme="minorHAnsi" w:cstheme="minorHAnsi"/>
        </w:rPr>
        <w:fldChar w:fldCharType="end"/>
      </w:r>
      <w:r w:rsidRPr="00EB7F1E">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Gee (2003) 212 CLR 230" </w:instrText>
      </w:r>
      <w:r w:rsidRPr="00EB7F1E">
        <w:rPr>
          <w:rFonts w:asciiTheme="minorHAnsi" w:hAnsiTheme="minorHAnsi" w:cstheme="minorHAnsi"/>
        </w:rPr>
        <w:fldChar w:fldCharType="end"/>
      </w:r>
    </w:p>
  </w:footnote>
  <w:footnote w:id="74">
    <w:p w14:paraId="3BEFB1DA" w14:textId="516C66D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rPr>
        <w:t xml:space="preserve">See the authorities cited in fn </w:t>
      </w:r>
      <w:r w:rsidRPr="00EB7F1E">
        <w:rPr>
          <w:rFonts w:asciiTheme="minorHAnsi" w:hAnsiTheme="minorHAnsi" w:cstheme="minorHAnsi"/>
        </w:rPr>
        <w:fldChar w:fldCharType="begin"/>
      </w:r>
      <w:r w:rsidRPr="007809F4">
        <w:rPr>
          <w:rFonts w:asciiTheme="minorHAnsi" w:hAnsiTheme="minorHAnsi" w:cstheme="minorHAnsi"/>
        </w:rPr>
        <w:instrText xml:space="preserve"> NOTEREF _Ref10360733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11</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75">
    <w:p w14:paraId="617F5589" w14:textId="7423D0A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Seaegg v R</w:t>
      </w:r>
      <w:r w:rsidRPr="007809F4">
        <w:rPr>
          <w:rFonts w:asciiTheme="minorHAnsi" w:hAnsiTheme="minorHAnsi" w:cstheme="minorHAnsi"/>
        </w:rPr>
        <w:t xml:space="preserve"> (1932) 48 CLR 251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Seaegg v R</w:instrText>
      </w:r>
      <w:r w:rsidRPr="007809F4">
        <w:rPr>
          <w:rFonts w:asciiTheme="minorHAnsi" w:hAnsiTheme="minorHAnsi" w:cstheme="minorHAnsi"/>
        </w:rPr>
        <w:instrText xml:space="preserve"> (1932) 48 CLR 251</w:instrText>
      </w:r>
      <w:r w:rsidRPr="00EB7F1E">
        <w:rPr>
          <w:rFonts w:asciiTheme="minorHAnsi" w:hAnsiTheme="minorHAnsi" w:cstheme="minorHAnsi"/>
        </w:rPr>
        <w:instrText xml:space="preserve">" \s "Seaegg v R (1932) 48 CLR 251" \c 1 </w:instrText>
      </w:r>
      <w:r w:rsidRPr="00EB7F1E">
        <w:rPr>
          <w:rFonts w:asciiTheme="minorHAnsi" w:hAnsiTheme="minorHAnsi" w:cstheme="minorHAnsi"/>
        </w:rPr>
        <w:fldChar w:fldCharType="end"/>
      </w:r>
      <w:r w:rsidRPr="007809F4">
        <w:rPr>
          <w:rFonts w:asciiTheme="minorHAnsi" w:hAnsiTheme="minorHAnsi" w:cstheme="minorHAnsi"/>
        </w:rPr>
        <w:t xml:space="preserve">, 255; </w:t>
      </w:r>
      <w:r w:rsidRPr="00EB7F1E">
        <w:rPr>
          <w:rFonts w:asciiTheme="minorHAnsi" w:hAnsiTheme="minorHAnsi" w:cstheme="minorHAnsi"/>
          <w:i/>
        </w:rPr>
        <w:t>Grollo v Bates</w:t>
      </w:r>
      <w:r w:rsidRPr="007809F4">
        <w:rPr>
          <w:rFonts w:asciiTheme="minorHAnsi" w:hAnsiTheme="minorHAnsi" w:cstheme="minorHAnsi"/>
        </w:rPr>
        <w:t xml:space="preserve"> (1994) 53 FCR 218</w:t>
      </w:r>
      <w:r w:rsidRPr="00EB7F1E">
        <w:rPr>
          <w:rFonts w:asciiTheme="minorHAnsi" w:hAnsiTheme="minorHAnsi" w:cstheme="minorHAnsi"/>
        </w:rPr>
        <w:fldChar w:fldCharType="begin"/>
      </w:r>
      <w:r w:rsidRPr="007809F4">
        <w:rPr>
          <w:rFonts w:asciiTheme="minorHAnsi" w:hAnsiTheme="minorHAnsi" w:cstheme="minorHAnsi"/>
        </w:rPr>
        <w:instrText xml:space="preserve"> TA \s "Grollo v Bates (1994) 53 FCR 218"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Wallace v Debs</w:t>
      </w:r>
      <w:r w:rsidRPr="007809F4">
        <w:rPr>
          <w:rFonts w:asciiTheme="minorHAnsi" w:hAnsiTheme="minorHAnsi" w:cstheme="minorHAnsi"/>
        </w:rPr>
        <w:t xml:space="preserve"> [2009] VSC 355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Wallace v Debs</w:instrText>
      </w:r>
      <w:r w:rsidRPr="007809F4">
        <w:rPr>
          <w:rFonts w:asciiTheme="minorHAnsi" w:hAnsiTheme="minorHAnsi" w:cstheme="minorHAnsi"/>
        </w:rPr>
        <w:instrText xml:space="preserve"> [2009] VSC 355</w:instrText>
      </w:r>
      <w:r w:rsidRPr="00EB7F1E">
        <w:rPr>
          <w:rFonts w:asciiTheme="minorHAnsi" w:hAnsiTheme="minorHAnsi" w:cstheme="minorHAnsi"/>
        </w:rPr>
        <w:instrText xml:space="preserve">" \s "Wallace v Debs [2009] VSC 355" \c 1 </w:instrText>
      </w:r>
      <w:r w:rsidRPr="00EB7F1E">
        <w:rPr>
          <w:rFonts w:asciiTheme="minorHAnsi" w:hAnsiTheme="minorHAnsi" w:cstheme="minorHAnsi"/>
        </w:rPr>
        <w:fldChar w:fldCharType="end"/>
      </w:r>
      <w:r w:rsidRPr="007809F4">
        <w:rPr>
          <w:rFonts w:asciiTheme="minorHAnsi" w:hAnsiTheme="minorHAnsi" w:cstheme="minorHAnsi"/>
        </w:rPr>
        <w:t xml:space="preserve">. The usual construction may be excluded if a contrary intention appears: e.g. </w:t>
      </w:r>
      <w:r w:rsidRPr="00EB7F1E">
        <w:rPr>
          <w:rFonts w:asciiTheme="minorHAnsi" w:hAnsiTheme="minorHAnsi" w:cstheme="minorHAnsi"/>
          <w:i/>
        </w:rPr>
        <w:t>D151 v New South Wales Crime Commission</w:t>
      </w:r>
      <w:r w:rsidRPr="007809F4">
        <w:rPr>
          <w:rFonts w:asciiTheme="minorHAnsi" w:hAnsiTheme="minorHAnsi" w:cstheme="minorHAnsi"/>
        </w:rPr>
        <w:t xml:space="preserve"> (2017) 94 NSWLR 738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D151 v New South Wales Crime Commission</w:instrText>
      </w:r>
      <w:r w:rsidRPr="007809F4">
        <w:rPr>
          <w:rFonts w:asciiTheme="minorHAnsi" w:hAnsiTheme="minorHAnsi" w:cstheme="minorHAnsi"/>
        </w:rPr>
        <w:instrText xml:space="preserve"> (2017) 94 NSWLR 738</w:instrText>
      </w:r>
      <w:r w:rsidRPr="00EB7F1E">
        <w:rPr>
          <w:rFonts w:asciiTheme="minorHAnsi" w:hAnsiTheme="minorHAnsi" w:cstheme="minorHAnsi"/>
        </w:rPr>
        <w:instrText xml:space="preserve">" \s "D151 v New South Wales Crime Commission (2017) 94 NSWLR 738"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76">
    <w:p w14:paraId="70967BCB" w14:textId="66ECDDE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ASIC v Edensor Nominees Pty Ltd</w:t>
      </w:r>
      <w:r w:rsidRPr="007809F4">
        <w:rPr>
          <w:rFonts w:asciiTheme="minorHAnsi" w:hAnsiTheme="minorHAnsi" w:cstheme="minorHAnsi"/>
        </w:rPr>
        <w:t xml:space="preserve"> (2001) 204 CLR 559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ASIC v Edensor Nominees Pty Ltd</w:instrText>
      </w:r>
      <w:r w:rsidRPr="007809F4">
        <w:rPr>
          <w:rFonts w:asciiTheme="minorHAnsi" w:hAnsiTheme="minorHAnsi" w:cstheme="minorHAnsi"/>
        </w:rPr>
        <w:instrText xml:space="preserve"> (2001) 204 CLR 559</w:instrText>
      </w:r>
      <w:r w:rsidRPr="00EB7F1E">
        <w:rPr>
          <w:rFonts w:asciiTheme="minorHAnsi" w:hAnsiTheme="minorHAnsi" w:cstheme="minorHAnsi"/>
        </w:rPr>
        <w:instrText xml:space="preserve">" \s "ASIC v Edensor Nominees Pty Ltd (2001) 204 CLR 559" \c 1 </w:instrText>
      </w:r>
      <w:r w:rsidRPr="00EB7F1E">
        <w:rPr>
          <w:rFonts w:asciiTheme="minorHAnsi" w:hAnsiTheme="minorHAnsi" w:cstheme="minorHAnsi"/>
        </w:rPr>
        <w:fldChar w:fldCharType="end"/>
      </w:r>
      <w:r w:rsidRPr="007809F4">
        <w:rPr>
          <w:rFonts w:asciiTheme="minorHAnsi" w:hAnsiTheme="minorHAnsi" w:cstheme="minorHAnsi"/>
        </w:rPr>
        <w:t>, [141]; (McHugh J);</w:t>
      </w:r>
      <w:r w:rsidRPr="00EB7F1E">
        <w:rPr>
          <w:rFonts w:asciiTheme="minorHAnsi" w:hAnsiTheme="minorHAnsi" w:cstheme="minorHAnsi"/>
          <w:i/>
        </w:rPr>
        <w:t xml:space="preserve"> </w:t>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xml:space="preserve">, [59] (McHugh J); cf [81], [113] (Kirby J); </w:t>
      </w:r>
      <w:r w:rsidRPr="00EB7F1E">
        <w:rPr>
          <w:rFonts w:asciiTheme="minorHAnsi" w:hAnsiTheme="minorHAnsi" w:cstheme="minorHAnsi"/>
          <w:iCs/>
        </w:rPr>
        <w:t>DPP (Cth) v Wallace</w:t>
      </w:r>
      <w:r w:rsidRPr="00EB7F1E">
        <w:rPr>
          <w:rFonts w:asciiTheme="minorHAnsi" w:hAnsiTheme="minorHAnsi" w:cstheme="minorHAnsi"/>
        </w:rPr>
        <w:t xml:space="preserve"> (2011) 43 WAR 61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Wallace (2011) 43 WAR 61" </w:instrText>
      </w:r>
      <w:r w:rsidRPr="00EB7F1E">
        <w:rPr>
          <w:rFonts w:asciiTheme="minorHAnsi" w:hAnsiTheme="minorHAnsi" w:cstheme="minorHAnsi"/>
        </w:rPr>
        <w:fldChar w:fldCharType="end"/>
      </w:r>
      <w:r w:rsidRPr="00EB7F1E">
        <w:rPr>
          <w:rFonts w:asciiTheme="minorHAnsi" w:hAnsiTheme="minorHAnsi" w:cstheme="minorHAnsi"/>
        </w:rPr>
        <w:t>, [31].</w:t>
      </w:r>
      <w:r w:rsidRPr="007809F4">
        <w:rPr>
          <w:rFonts w:asciiTheme="minorHAnsi" w:hAnsiTheme="minorHAnsi" w:cstheme="minorHAnsi"/>
        </w:rPr>
        <w:t xml:space="preserve">  The NT statute which was held in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to apply to the sentencing of a Commonwealth offender </w:t>
      </w:r>
      <w:r w:rsidRPr="00EB7F1E">
        <w:rPr>
          <w:rFonts w:asciiTheme="minorHAnsi" w:hAnsiTheme="minorHAnsi" w:cstheme="minorHAnsi"/>
        </w:rPr>
        <w:t>conferred power to impose an aggregate sentence on an offender for two or more “offences”</w:t>
      </w:r>
      <w:r w:rsidRPr="007809F4">
        <w:rPr>
          <w:rFonts w:asciiTheme="minorHAnsi" w:hAnsiTheme="minorHAnsi" w:cstheme="minorHAnsi"/>
        </w:rPr>
        <w:t xml:space="preserve"> (that is</w:t>
      </w:r>
      <w:r w:rsidRPr="00EB7F1E">
        <w:rPr>
          <w:rFonts w:asciiTheme="minorHAnsi" w:hAnsiTheme="minorHAnsi" w:cstheme="minorHAnsi"/>
        </w:rPr>
        <w:t xml:space="preserve"> against the law of the NT</w:t>
      </w:r>
      <w:r w:rsidRPr="007809F4">
        <w:rPr>
          <w:rFonts w:asciiTheme="minorHAnsi" w:hAnsiTheme="minorHAnsi" w:cstheme="minorHAnsi"/>
        </w:rPr>
        <w:t xml:space="preserve">); </w:t>
      </w:r>
      <w:r w:rsidRPr="00EB7F1E">
        <w:rPr>
          <w:rFonts w:asciiTheme="minorHAnsi" w:hAnsiTheme="minorHAnsi" w:cstheme="minorHAnsi"/>
        </w:rPr>
        <w:t xml:space="preserve">there was no suggestion that the statute was thereby rendered </w:t>
      </w:r>
      <w:r w:rsidRPr="007809F4">
        <w:rPr>
          <w:rFonts w:asciiTheme="minorHAnsi" w:hAnsiTheme="minorHAnsi" w:cstheme="minorHAnsi"/>
        </w:rPr>
        <w:t>inapplicable for the purposes of s 68(1).</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77">
    <w:p w14:paraId="6903E695" w14:textId="7543FFF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[60] (McHugh J).</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78">
    <w:p w14:paraId="75430780" w14:textId="6AF986E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Thomas v Ducret</w:t>
      </w:r>
      <w:r w:rsidRPr="007809F4">
        <w:rPr>
          <w:rFonts w:asciiTheme="minorHAnsi" w:hAnsiTheme="minorHAnsi" w:cstheme="minorHAnsi"/>
        </w:rPr>
        <w:t xml:space="preserve"> (1984) 153 CLR 506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Thomas v Ducret</w:instrText>
      </w:r>
      <w:r w:rsidRPr="007809F4">
        <w:rPr>
          <w:rFonts w:asciiTheme="minorHAnsi" w:hAnsiTheme="minorHAnsi" w:cstheme="minorHAnsi"/>
        </w:rPr>
        <w:instrText xml:space="preserve"> (1984) 153 CLR 506</w:instrText>
      </w:r>
      <w:r w:rsidRPr="00EB7F1E">
        <w:rPr>
          <w:rFonts w:asciiTheme="minorHAnsi" w:hAnsiTheme="minorHAnsi" w:cstheme="minorHAnsi"/>
        </w:rPr>
        <w:instrText xml:space="preserve">" \s "Thomas v Ducret (1984) 153 CLR 506" \c 1 </w:instrText>
      </w:r>
      <w:r w:rsidRPr="00EB7F1E">
        <w:rPr>
          <w:rFonts w:asciiTheme="minorHAnsi" w:hAnsiTheme="minorHAnsi" w:cstheme="minorHAnsi"/>
        </w:rPr>
        <w:fldChar w:fldCharType="end"/>
      </w:r>
      <w:r w:rsidRPr="007809F4">
        <w:rPr>
          <w:rFonts w:asciiTheme="minorHAnsi" w:hAnsiTheme="minorHAnsi" w:cstheme="minorHAnsi"/>
        </w:rPr>
        <w:t xml:space="preserve"> (concerning what is now s 15A of the </w:t>
      </w:r>
      <w:r w:rsidRPr="00EB7F1E">
        <w:rPr>
          <w:rFonts w:asciiTheme="minorHAnsi" w:hAnsiTheme="minorHAnsi" w:cstheme="minorHAnsi"/>
          <w:i/>
          <w:iCs/>
        </w:rPr>
        <w:t xml:space="preserve">Crimes Act 1914 </w:t>
      </w:r>
      <w:r w:rsidRPr="007809F4">
        <w:rPr>
          <w:rFonts w:asciiTheme="minorHAnsi" w:hAnsiTheme="minorHAnsi" w:cstheme="minorHAnsi"/>
        </w:rPr>
        <w:t>(Cth)).</w:t>
      </w:r>
    </w:p>
  </w:footnote>
  <w:footnote w:id="79">
    <w:p w14:paraId="27925A10" w14:textId="0438417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Re Grinter; ex parte Hall</w:t>
      </w:r>
      <w:r w:rsidRPr="007809F4">
        <w:rPr>
          <w:rFonts w:asciiTheme="minorHAnsi" w:hAnsiTheme="minorHAnsi" w:cstheme="minorHAnsi"/>
        </w:rPr>
        <w:t xml:space="preserve"> (2004) 28 WAR 427</w:t>
      </w:r>
      <w:r w:rsidRPr="00EB7F1E">
        <w:rPr>
          <w:rFonts w:asciiTheme="minorHAnsi" w:hAnsiTheme="minorHAnsi" w:cstheme="minorHAnsi"/>
        </w:rPr>
        <w:fldChar w:fldCharType="begin"/>
      </w:r>
      <w:r w:rsidRPr="007809F4">
        <w:rPr>
          <w:rFonts w:asciiTheme="minorHAnsi" w:hAnsiTheme="minorHAnsi" w:cstheme="minorHAnsi"/>
        </w:rPr>
        <w:instrText xml:space="preserve"> TA \s "Re Grinter; ex parte Hall (2004) 28 WAR 427" </w:instrText>
      </w:r>
      <w:r w:rsidRPr="00EB7F1E">
        <w:rPr>
          <w:rFonts w:asciiTheme="minorHAnsi" w:hAnsiTheme="minorHAnsi" w:cstheme="minorHAnsi"/>
        </w:rPr>
        <w:fldChar w:fldCharType="end"/>
      </w:r>
      <w:r w:rsidRPr="007809F4">
        <w:rPr>
          <w:rFonts w:asciiTheme="minorHAnsi" w:hAnsiTheme="minorHAnsi" w:cstheme="minorHAnsi"/>
        </w:rPr>
        <w:t xml:space="preserve">, [70].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80">
    <w:p w14:paraId="2C627447" w14:textId="1840AE0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s 19 of the </w:t>
      </w:r>
      <w:r w:rsidRPr="00EB7F1E">
        <w:rPr>
          <w:rFonts w:asciiTheme="minorHAnsi" w:hAnsiTheme="minorHAnsi" w:cstheme="minorHAnsi"/>
          <w:i/>
          <w:iCs/>
        </w:rPr>
        <w:t>Crimes Act 1914</w:t>
      </w:r>
      <w:r w:rsidRPr="007809F4">
        <w:rPr>
          <w:rFonts w:asciiTheme="minorHAnsi" w:hAnsiTheme="minorHAnsi" w:cstheme="minorHAnsi"/>
        </w:rPr>
        <w:t xml:space="preserve"> (Cth), which deals with the means by which cumulation or concurrency of federal sentences is to be achieved, leaves no room for the application of State or Territory laws on the subject: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_Ref11160368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5.9.1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_Ref11160370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mechanism for cumulation or concurrency of sentences on a federal offender: Crimes Act 1914, s 19</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81">
    <w:p w14:paraId="3296B4A4" w14:textId="145EA55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[38]; </w:t>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[24].</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82">
    <w:p w14:paraId="7424D065" w14:textId="395279C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s.4D.</w:t>
      </w:r>
    </w:p>
  </w:footnote>
  <w:footnote w:id="83">
    <w:p w14:paraId="435BA1A9" w14:textId="57B81FD2" w:rsidR="00D44BCF" w:rsidRPr="007809F4" w:rsidRDefault="00D44BCF">
      <w:pPr>
        <w:pStyle w:val="FootnoteText"/>
        <w:ind w:left="426" w:hanging="426"/>
        <w:jc w:val="both"/>
        <w:rPr>
          <w:rFonts w:asciiTheme="minorHAnsi" w:hAnsiTheme="minorHAnsi" w:cstheme="minorHAnsi"/>
          <w:b/>
          <w:u w:val="single"/>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20AB(6).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_Ref504036025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8.1.1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_Ref504036029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Terrorism and other national security-related offences</w:t>
      </w:r>
      <w:r w:rsidRPr="00EB7F1E">
        <w:rPr>
          <w:rFonts w:asciiTheme="minorHAnsi" w:hAnsiTheme="minorHAnsi" w:cstheme="minorHAnsi"/>
        </w:rPr>
        <w:fldChar w:fldCharType="end"/>
      </w:r>
      <w:r w:rsidRPr="007809F4">
        <w:rPr>
          <w:rFonts w:asciiTheme="minorHAnsi" w:hAnsiTheme="minorHAnsi" w:cstheme="minorHAnsi"/>
        </w:rPr>
        <w:t>”.</w:t>
      </w:r>
    </w:p>
  </w:footnote>
  <w:footnote w:id="84">
    <w:p w14:paraId="60EB2FF3" w14:textId="0093C497" w:rsidR="00D44BCF" w:rsidRPr="007809F4" w:rsidRDefault="00D44BCF">
      <w:pPr>
        <w:pStyle w:val="FootnoteText"/>
        <w:ind w:left="426" w:hanging="426"/>
        <w:jc w:val="both"/>
        <w:rPr>
          <w:rFonts w:asciiTheme="minorHAnsi" w:hAnsiTheme="minorHAnsi" w:cstheme="minorHAnsi"/>
          <w:b/>
          <w:u w:val="single"/>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iCs/>
        </w:rPr>
        <w:t xml:space="preserve">Migration Act 1958 </w:t>
      </w:r>
      <w:r w:rsidRPr="007809F4">
        <w:rPr>
          <w:rFonts w:asciiTheme="minorHAnsi" w:hAnsiTheme="minorHAnsi" w:cstheme="minorHAnsi"/>
          <w:iCs/>
        </w:rPr>
        <w:t xml:space="preserve">(Cth), s </w:t>
      </w:r>
      <w:r w:rsidRPr="007809F4">
        <w:rPr>
          <w:rFonts w:asciiTheme="minorHAnsi" w:hAnsiTheme="minorHAnsi" w:cstheme="minorHAnsi"/>
        </w:rPr>
        <w:t>236B.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_Ref492551931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8.1.2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_Ref492551931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Mandatory imprisonment for certain people-smuggling offences</w:t>
      </w:r>
      <w:r w:rsidRPr="00EB7F1E">
        <w:rPr>
          <w:rFonts w:asciiTheme="minorHAnsi" w:hAnsiTheme="minorHAnsi" w:cstheme="minorHAnsi"/>
        </w:rPr>
        <w:fldChar w:fldCharType="end"/>
      </w:r>
      <w:r w:rsidRPr="007809F4">
        <w:rPr>
          <w:rFonts w:asciiTheme="minorHAnsi" w:hAnsiTheme="minorHAnsi" w:cstheme="minorHAnsi"/>
        </w:rPr>
        <w:t>”.</w:t>
      </w:r>
    </w:p>
  </w:footnote>
  <w:footnote w:id="85">
    <w:p w14:paraId="3C31359A" w14:textId="395F203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Kingswell v R</w:t>
      </w:r>
      <w:r w:rsidRPr="007809F4">
        <w:rPr>
          <w:rFonts w:asciiTheme="minorHAnsi" w:hAnsiTheme="minorHAnsi" w:cstheme="minorHAnsi"/>
        </w:rPr>
        <w:t xml:space="preserve"> (1985) 159 CLR 264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Kingswell v R</w:instrText>
      </w:r>
      <w:r w:rsidRPr="007809F4">
        <w:rPr>
          <w:rFonts w:asciiTheme="minorHAnsi" w:hAnsiTheme="minorHAnsi" w:cstheme="minorHAnsi"/>
        </w:rPr>
        <w:instrText xml:space="preserve"> (1985) 159 CLR 264</w:instrText>
      </w:r>
      <w:r w:rsidRPr="00EB7F1E">
        <w:rPr>
          <w:rFonts w:asciiTheme="minorHAnsi" w:hAnsiTheme="minorHAnsi" w:cstheme="minorHAnsi"/>
        </w:rPr>
        <w:instrText xml:space="preserve">" \s "Kingswell v R (1985) 159 CLR 264" \c 1 </w:instrText>
      </w:r>
      <w:r w:rsidRPr="00EB7F1E">
        <w:rPr>
          <w:rFonts w:asciiTheme="minorHAnsi" w:hAnsiTheme="minorHAnsi" w:cstheme="minorHAnsi"/>
        </w:rPr>
        <w:fldChar w:fldCharType="end"/>
      </w:r>
      <w:r w:rsidRPr="007809F4">
        <w:rPr>
          <w:rFonts w:asciiTheme="minorHAnsi" w:hAnsiTheme="minorHAnsi" w:cstheme="minorHAnsi"/>
        </w:rPr>
        <w:t xml:space="preserve">.  In </w:t>
      </w:r>
      <w:r w:rsidRPr="007809F4">
        <w:rPr>
          <w:rFonts w:asciiTheme="minorHAnsi" w:hAnsiTheme="minorHAnsi" w:cstheme="minorHAnsi"/>
          <w:i/>
        </w:rPr>
        <w:t>Cheng v R</w:t>
      </w:r>
      <w:r w:rsidRPr="007809F4">
        <w:rPr>
          <w:rFonts w:asciiTheme="minorHAnsi" w:hAnsiTheme="minorHAnsi" w:cstheme="minorHAnsi"/>
        </w:rPr>
        <w:t xml:space="preserve"> (2000) 203 CLR 248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Cheng v R</w:instrText>
      </w:r>
      <w:r w:rsidRPr="007809F4">
        <w:rPr>
          <w:rFonts w:asciiTheme="minorHAnsi" w:hAnsiTheme="minorHAnsi" w:cstheme="minorHAnsi"/>
        </w:rPr>
        <w:instrText xml:space="preserve"> (2000) 203 CLR 248</w:instrText>
      </w:r>
      <w:r w:rsidRPr="00EB7F1E">
        <w:rPr>
          <w:rFonts w:asciiTheme="minorHAnsi" w:hAnsiTheme="minorHAnsi" w:cstheme="minorHAnsi"/>
        </w:rPr>
        <w:instrText xml:space="preserve">" \s "Cheng v R (2000) 203 CLR 248" \c 1 </w:instrText>
      </w:r>
      <w:r w:rsidRPr="00EB7F1E">
        <w:rPr>
          <w:rFonts w:asciiTheme="minorHAnsi" w:hAnsiTheme="minorHAnsi" w:cstheme="minorHAnsi"/>
        </w:rPr>
        <w:fldChar w:fldCharType="end"/>
      </w:r>
      <w:r w:rsidRPr="007809F4">
        <w:rPr>
          <w:rFonts w:asciiTheme="minorHAnsi" w:hAnsiTheme="minorHAnsi" w:cstheme="minorHAnsi"/>
        </w:rPr>
        <w:t xml:space="preserve">, the High Court (by majority) declined to re-consider the decision in </w:t>
      </w:r>
      <w:r w:rsidRPr="007809F4">
        <w:rPr>
          <w:rFonts w:asciiTheme="minorHAnsi" w:hAnsiTheme="minorHAnsi" w:cstheme="minorHAnsi"/>
          <w:i/>
        </w:rPr>
        <w:t>Kingswell</w:t>
      </w:r>
      <w:r w:rsidRPr="007809F4">
        <w:rPr>
          <w:rFonts w:asciiTheme="minorHAnsi" w:hAnsiTheme="minorHAnsi" w:cstheme="minorHAnsi"/>
        </w:rPr>
        <w:t>.</w:t>
      </w:r>
    </w:p>
  </w:footnote>
  <w:footnote w:id="86">
    <w:p w14:paraId="4D74B0BA" w14:textId="3A5B35D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De Simoni</w:t>
      </w:r>
      <w:r w:rsidRPr="007809F4">
        <w:rPr>
          <w:rFonts w:asciiTheme="minorHAnsi" w:hAnsiTheme="minorHAnsi" w:cstheme="minorHAnsi"/>
        </w:rPr>
        <w:t xml:space="preserve"> (1981) 147 CLR 383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De Simoni</w:instrText>
      </w:r>
      <w:r w:rsidRPr="007809F4">
        <w:rPr>
          <w:rFonts w:asciiTheme="minorHAnsi" w:hAnsiTheme="minorHAnsi" w:cstheme="minorHAnsi"/>
        </w:rPr>
        <w:instrText xml:space="preserve"> (1981) 147 CLR 383</w:instrText>
      </w:r>
      <w:r w:rsidRPr="00EB7F1E">
        <w:rPr>
          <w:rFonts w:asciiTheme="minorHAnsi" w:hAnsiTheme="minorHAnsi" w:cstheme="minorHAnsi"/>
        </w:rPr>
        <w:instrText xml:space="preserve">" \s "R v De Simoni (1981) 147 CLR 383" \c 1 </w:instrText>
      </w:r>
      <w:r w:rsidRPr="00EB7F1E">
        <w:rPr>
          <w:rFonts w:asciiTheme="minorHAnsi" w:hAnsiTheme="minorHAnsi" w:cstheme="minorHAnsi"/>
        </w:rPr>
        <w:fldChar w:fldCharType="end"/>
      </w:r>
      <w:r w:rsidRPr="007809F4">
        <w:rPr>
          <w:rFonts w:asciiTheme="minorHAnsi" w:hAnsiTheme="minorHAnsi" w:cstheme="minorHAnsi"/>
        </w:rPr>
        <w:t>, 389.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_Ref11069985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3.1.5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_Ref11069985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Finding of other uncharged offences</w:t>
      </w:r>
      <w:r w:rsidRPr="00EB7F1E">
        <w:rPr>
          <w:rFonts w:asciiTheme="minorHAnsi" w:hAnsiTheme="minorHAnsi" w:cstheme="minorHAnsi"/>
        </w:rPr>
        <w:fldChar w:fldCharType="end"/>
      </w:r>
      <w:r w:rsidRPr="007809F4">
        <w:rPr>
          <w:rFonts w:asciiTheme="minorHAnsi" w:hAnsiTheme="minorHAnsi" w:cstheme="minorHAnsi"/>
        </w:rPr>
        <w:t>”.</w:t>
      </w:r>
    </w:p>
  </w:footnote>
  <w:footnote w:id="87">
    <w:p w14:paraId="7492D8A8" w14:textId="7F1F9F8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Isaacs v R</w:t>
      </w:r>
      <w:r w:rsidRPr="007809F4">
        <w:rPr>
          <w:rFonts w:asciiTheme="minorHAnsi" w:hAnsiTheme="minorHAnsi" w:cstheme="minorHAnsi"/>
        </w:rPr>
        <w:t xml:space="preserve"> (1997) 41 NSWLR 374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Isaacs v R</w:instrText>
      </w:r>
      <w:r w:rsidRPr="007809F4">
        <w:rPr>
          <w:rFonts w:asciiTheme="minorHAnsi" w:hAnsiTheme="minorHAnsi" w:cstheme="minorHAnsi"/>
        </w:rPr>
        <w:instrText xml:space="preserve"> (1997) 41 NSWLR 374</w:instrText>
      </w:r>
      <w:r w:rsidRPr="00EB7F1E">
        <w:rPr>
          <w:rFonts w:asciiTheme="minorHAnsi" w:hAnsiTheme="minorHAnsi" w:cstheme="minorHAnsi"/>
        </w:rPr>
        <w:instrText xml:space="preserve">" \s "Isaacs v R (1997) 41 NSWLR 374"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Cheung v R</w:t>
      </w:r>
      <w:r w:rsidRPr="007809F4">
        <w:rPr>
          <w:rFonts w:asciiTheme="minorHAnsi" w:hAnsiTheme="minorHAnsi" w:cstheme="minorHAnsi"/>
        </w:rPr>
        <w:t xml:space="preserve"> (2001) 209 CLR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Cheung v R</w:instrText>
      </w:r>
      <w:r w:rsidRPr="007809F4">
        <w:rPr>
          <w:rFonts w:asciiTheme="minorHAnsi" w:hAnsiTheme="minorHAnsi" w:cstheme="minorHAnsi"/>
        </w:rPr>
        <w:instrText xml:space="preserve"> (2001) 209 CLR 1</w:instrText>
      </w:r>
      <w:r w:rsidRPr="00EB7F1E">
        <w:rPr>
          <w:rFonts w:asciiTheme="minorHAnsi" w:hAnsiTheme="minorHAnsi" w:cstheme="minorHAnsi"/>
        </w:rPr>
        <w:instrText xml:space="preserve">" \s "Cheung v R (2001) 209 CLR 1" \c 1 </w:instrText>
      </w:r>
      <w:r w:rsidRPr="00EB7F1E">
        <w:rPr>
          <w:rFonts w:asciiTheme="minorHAnsi" w:hAnsiTheme="minorHAnsi" w:cstheme="minorHAnsi"/>
        </w:rPr>
        <w:fldChar w:fldCharType="end"/>
      </w:r>
      <w:r w:rsidRPr="007809F4">
        <w:rPr>
          <w:rFonts w:asciiTheme="minorHAnsi" w:hAnsiTheme="minorHAnsi" w:cstheme="minorHAnsi"/>
        </w:rPr>
        <w:t xml:space="preserve">, [14]; </w:t>
      </w:r>
      <w:r w:rsidRPr="007809F4">
        <w:rPr>
          <w:rFonts w:asciiTheme="minorHAnsi" w:hAnsiTheme="minorHAnsi" w:cstheme="minorHAnsi"/>
          <w:i/>
        </w:rPr>
        <w:t>Agius v R</w:t>
      </w:r>
      <w:r w:rsidRPr="007809F4">
        <w:rPr>
          <w:rFonts w:asciiTheme="minorHAnsi" w:hAnsiTheme="minorHAnsi" w:cstheme="minorHAnsi"/>
        </w:rPr>
        <w:t xml:space="preserve"> [2015] NSWCCA 200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Agius v R</w:instrText>
      </w:r>
      <w:r w:rsidRPr="007809F4">
        <w:rPr>
          <w:rFonts w:asciiTheme="minorHAnsi" w:hAnsiTheme="minorHAnsi" w:cstheme="minorHAnsi"/>
        </w:rPr>
        <w:instrText xml:space="preserve"> [2015] NSWCCA 200</w:instrText>
      </w:r>
      <w:r w:rsidRPr="00EB7F1E">
        <w:rPr>
          <w:rFonts w:asciiTheme="minorHAnsi" w:hAnsiTheme="minorHAnsi" w:cstheme="minorHAnsi"/>
        </w:rPr>
        <w:instrText xml:space="preserve">" \s "Agius v R [2015] NSWCCA 200" \c 1 </w:instrText>
      </w:r>
      <w:r w:rsidRPr="00EB7F1E">
        <w:rPr>
          <w:rFonts w:asciiTheme="minorHAnsi" w:hAnsiTheme="minorHAnsi" w:cstheme="minorHAnsi"/>
        </w:rPr>
        <w:fldChar w:fldCharType="end"/>
      </w:r>
      <w:r w:rsidRPr="007809F4">
        <w:rPr>
          <w:rFonts w:asciiTheme="minorHAnsi" w:hAnsiTheme="minorHAnsi" w:cstheme="minorHAnsi"/>
        </w:rPr>
        <w:t>, [1100].</w:t>
      </w:r>
    </w:p>
  </w:footnote>
  <w:footnote w:id="88">
    <w:p w14:paraId="0517E456" w14:textId="3B8AD10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Savvas v R</w:t>
      </w:r>
      <w:r w:rsidRPr="007809F4">
        <w:rPr>
          <w:rFonts w:asciiTheme="minorHAnsi" w:hAnsiTheme="minorHAnsi" w:cstheme="minorHAnsi"/>
        </w:rPr>
        <w:t xml:space="preserve"> (1995) 183 CLR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Savvas v R</w:instrText>
      </w:r>
      <w:r w:rsidRPr="007809F4">
        <w:rPr>
          <w:rFonts w:asciiTheme="minorHAnsi" w:hAnsiTheme="minorHAnsi" w:cstheme="minorHAnsi"/>
        </w:rPr>
        <w:instrText xml:space="preserve"> (1995) 183 CLR 1</w:instrText>
      </w:r>
      <w:r w:rsidRPr="00EB7F1E">
        <w:rPr>
          <w:rFonts w:asciiTheme="minorHAnsi" w:hAnsiTheme="minorHAnsi" w:cstheme="minorHAnsi"/>
        </w:rPr>
        <w:instrText xml:space="preserve">" \s "Savvas v R (1995) 183 CLR 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89">
    <w:p w14:paraId="6A30A559" w14:textId="2F15DD9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xml:space="preserve">, [24] (Gummow, Callinan and Heydon JJ); </w:t>
      </w:r>
      <w:r w:rsidRPr="00EB7F1E">
        <w:rPr>
          <w:rFonts w:asciiTheme="minorHAnsi" w:hAnsiTheme="minorHAnsi" w:cstheme="minorHAnsi"/>
          <w:i/>
        </w:rPr>
        <w:t xml:space="preserve">R v </w:t>
      </w:r>
      <w:r w:rsidRPr="007809F4">
        <w:rPr>
          <w:rFonts w:asciiTheme="minorHAnsi" w:hAnsiTheme="minorHAnsi" w:cstheme="minorHAnsi"/>
          <w:bCs/>
          <w:i/>
          <w:iCs/>
        </w:rPr>
        <w:t>Ferrer-Esis</w:t>
      </w:r>
      <w:r w:rsidRPr="007809F4">
        <w:rPr>
          <w:rFonts w:asciiTheme="minorHAnsi" w:hAnsiTheme="minorHAnsi" w:cstheme="minorHAnsi"/>
        </w:rPr>
        <w:t xml:space="preserve"> (1991) 55 A Crim R 231, 237 (Hunt J) (NSW CCA).</w:t>
      </w:r>
    </w:p>
  </w:footnote>
  <w:footnote w:id="90">
    <w:p w14:paraId="1DE225F8"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91">
    <w:p w14:paraId="4740A791" w14:textId="6E0B524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 xml:space="preserve">R v </w:t>
      </w:r>
      <w:r w:rsidRPr="007809F4">
        <w:rPr>
          <w:rFonts w:asciiTheme="minorHAnsi" w:hAnsiTheme="minorHAnsi" w:cstheme="minorHAnsi"/>
          <w:i/>
        </w:rPr>
        <w:t xml:space="preserve">Ruzehaji </w:t>
      </w:r>
      <w:r w:rsidRPr="007809F4">
        <w:rPr>
          <w:rFonts w:asciiTheme="minorHAnsi" w:hAnsiTheme="minorHAnsi" w:cstheme="minorHAnsi"/>
        </w:rPr>
        <w:t>[</w:t>
      </w:r>
      <w:r w:rsidRPr="00EB7F1E">
        <w:rPr>
          <w:rFonts w:asciiTheme="minorHAnsi" w:hAnsiTheme="minorHAnsi" w:cstheme="minorHAnsi"/>
        </w:rPr>
        <w:t>2018</w:t>
      </w:r>
      <w:r w:rsidRPr="007809F4">
        <w:rPr>
          <w:rFonts w:asciiTheme="minorHAnsi" w:hAnsiTheme="minorHAnsi" w:cstheme="minorHAnsi"/>
        </w:rPr>
        <w:t>] SASCFC</w:t>
      </w:r>
      <w:r w:rsidRPr="00EB7F1E">
        <w:rPr>
          <w:rFonts w:asciiTheme="minorHAnsi" w:hAnsiTheme="minorHAnsi" w:cstheme="minorHAnsi"/>
        </w:rPr>
        <w:t xml:space="preserve"> 139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 xml:space="preserve">R v </w:instrText>
      </w:r>
      <w:r w:rsidRPr="007809F4">
        <w:rPr>
          <w:rFonts w:asciiTheme="minorHAnsi" w:hAnsiTheme="minorHAnsi" w:cstheme="minorHAnsi"/>
          <w:i/>
        </w:rPr>
        <w:instrText xml:space="preserve">Ruzehaji </w:instrText>
      </w:r>
      <w:r w:rsidRPr="007809F4">
        <w:rPr>
          <w:rFonts w:asciiTheme="minorHAnsi" w:hAnsiTheme="minorHAnsi" w:cstheme="minorHAnsi"/>
        </w:rPr>
        <w:instrText>[</w:instrText>
      </w:r>
      <w:r w:rsidRPr="00EB7F1E">
        <w:rPr>
          <w:rFonts w:asciiTheme="minorHAnsi" w:hAnsiTheme="minorHAnsi" w:cstheme="minorHAnsi"/>
        </w:rPr>
        <w:instrText>2018</w:instrText>
      </w:r>
      <w:r w:rsidRPr="007809F4">
        <w:rPr>
          <w:rFonts w:asciiTheme="minorHAnsi" w:hAnsiTheme="minorHAnsi" w:cstheme="minorHAnsi"/>
        </w:rPr>
        <w:instrText>] SASCFC</w:instrText>
      </w:r>
      <w:r w:rsidRPr="00EB7F1E">
        <w:rPr>
          <w:rFonts w:asciiTheme="minorHAnsi" w:hAnsiTheme="minorHAnsi" w:cstheme="minorHAnsi"/>
        </w:rPr>
        <w:instrText xml:space="preserve"> 139" \s "R v Ruzehaji [2018] SASCFC 139"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2">
    <w:p w14:paraId="0463580C" w14:textId="1A98EF4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3">
    <w:p w14:paraId="7235804D" w14:textId="533C3FC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xml:space="preserve">, [21]-[23],[25],[28], endorsing the view of Simpson J in </w:t>
      </w:r>
      <w:r w:rsidRPr="007809F4">
        <w:rPr>
          <w:rFonts w:asciiTheme="minorHAnsi" w:hAnsiTheme="minorHAnsi" w:cstheme="minorHAnsi"/>
          <w:i/>
        </w:rPr>
        <w:t xml:space="preserve">DPP (Cth) v De La Rosa </w:t>
      </w:r>
      <w:r w:rsidRPr="007809F4">
        <w:rPr>
          <w:rFonts w:asciiTheme="minorHAnsi" w:hAnsiTheme="minorHAnsi" w:cstheme="minorHAnsi"/>
        </w:rPr>
        <w:t>(2010) 79 NSWLR 11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(Cth) v De La Rosa </w:instrText>
      </w:r>
      <w:r w:rsidRPr="007809F4">
        <w:rPr>
          <w:rFonts w:asciiTheme="minorHAnsi" w:hAnsiTheme="minorHAnsi" w:cstheme="minorHAnsi"/>
        </w:rPr>
        <w:instrText xml:space="preserve">(2010) 79 NSWLR 11" \s "DPP (Cth) v De La Rosa (2010) 79 NSWLR 11" \c 1 </w:instrText>
      </w:r>
      <w:r w:rsidRPr="00EB7F1E">
        <w:rPr>
          <w:rFonts w:asciiTheme="minorHAnsi" w:hAnsiTheme="minorHAnsi" w:cstheme="minorHAnsi"/>
        </w:rPr>
        <w:fldChar w:fldCharType="end"/>
      </w:r>
      <w:r w:rsidRPr="007809F4">
        <w:rPr>
          <w:rFonts w:asciiTheme="minorHAnsi" w:hAnsiTheme="minorHAnsi" w:cstheme="minorHAnsi"/>
        </w:rPr>
        <w:t>, [279]-[280].</w:t>
      </w:r>
    </w:p>
  </w:footnote>
  <w:footnote w:id="94">
    <w:p w14:paraId="0987EFCE" w14:textId="74E1D81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5">
    <w:p w14:paraId="3F075F9E" w14:textId="172CEBF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[96].</w:t>
      </w:r>
    </w:p>
  </w:footnote>
  <w:footnote w:id="96">
    <w:p w14:paraId="18EC0991" w14:textId="3164258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[97]-[113].</w:t>
      </w:r>
    </w:p>
  </w:footnote>
  <w:footnote w:id="97">
    <w:p w14:paraId="3237B8FF" w14:textId="3EAA84A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Besim; DPP (Cth) v MHK (No 3) </w:t>
      </w:r>
      <w:r w:rsidRPr="007809F4">
        <w:rPr>
          <w:rFonts w:asciiTheme="minorHAnsi" w:hAnsiTheme="minorHAnsi" w:cstheme="minorHAnsi"/>
        </w:rPr>
        <w:t>(2017) 52 VR 303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DPP (Cth) v Besim; DPP (Cth) v MHK (No 3) </w:instrText>
      </w:r>
      <w:r w:rsidRPr="007809F4">
        <w:rPr>
          <w:rFonts w:asciiTheme="minorHAnsi" w:hAnsiTheme="minorHAnsi" w:cstheme="minorHAnsi"/>
        </w:rPr>
        <w:instrText>(2017) 52 VR 303</w:instrText>
      </w:r>
      <w:r w:rsidRPr="00EB7F1E">
        <w:rPr>
          <w:rFonts w:asciiTheme="minorHAnsi" w:hAnsiTheme="minorHAnsi" w:cstheme="minorHAnsi"/>
        </w:rPr>
        <w:instrText xml:space="preserve">" \s "DPP (Cth) v Besim; DPP (Cth) v MHK (No 3) (2017) 52 VR 303" \c 1 </w:instrText>
      </w:r>
      <w:r w:rsidRPr="00EB7F1E">
        <w:rPr>
          <w:rFonts w:asciiTheme="minorHAnsi" w:hAnsiTheme="minorHAnsi" w:cstheme="minorHAnsi"/>
        </w:rPr>
        <w:fldChar w:fldCharType="end"/>
      </w:r>
      <w:r w:rsidRPr="007809F4">
        <w:rPr>
          <w:rFonts w:asciiTheme="minorHAnsi" w:hAnsiTheme="minorHAnsi" w:cstheme="minorHAnsi"/>
        </w:rPr>
        <w:t>, [60]</w:t>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
    <w:p w14:paraId="5DC05E57"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Olbrich</w:instrText>
      </w:r>
      <w:r w:rsidRPr="007809F4">
        <w:rPr>
          <w:rFonts w:asciiTheme="minorHAnsi" w:hAnsiTheme="minorHAnsi" w:cstheme="minorHAnsi"/>
        </w:rPr>
        <w:instrText xml:space="preserve"> (1999) 199 CLR 270" \s "R v Olbrich (1999) 199 CLR 270" \c 1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99">
    <w:p w14:paraId="21A5714D" w14:textId="5C56D41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Storey</w:t>
      </w:r>
      <w:r w:rsidRPr="007809F4">
        <w:rPr>
          <w:rFonts w:asciiTheme="minorHAnsi" w:hAnsiTheme="minorHAnsi" w:cstheme="minorHAnsi"/>
        </w:rPr>
        <w:t xml:space="preserve"> [1998] 1 VR 359</w:t>
      </w:r>
      <w:r w:rsidRPr="00EB7F1E">
        <w:rPr>
          <w:rFonts w:asciiTheme="minorHAnsi" w:hAnsiTheme="minorHAnsi" w:cstheme="minorHAnsi"/>
        </w:rPr>
        <w:fldChar w:fldCharType="begin"/>
      </w:r>
      <w:r w:rsidRPr="007809F4">
        <w:rPr>
          <w:rFonts w:asciiTheme="minorHAnsi" w:hAnsiTheme="minorHAnsi" w:cstheme="minorHAnsi"/>
        </w:rPr>
        <w:instrText xml:space="preserve"> TA \s "R v Storey [1998] 1 VR 359" </w:instrText>
      </w:r>
      <w:r w:rsidRPr="00EB7F1E">
        <w:rPr>
          <w:rFonts w:asciiTheme="minorHAnsi" w:hAnsiTheme="minorHAnsi" w:cstheme="minorHAnsi"/>
        </w:rPr>
        <w:fldChar w:fldCharType="end"/>
      </w:r>
      <w:r w:rsidRPr="007809F4">
        <w:rPr>
          <w:rFonts w:asciiTheme="minorHAnsi" w:hAnsiTheme="minorHAnsi" w:cstheme="minorHAnsi"/>
        </w:rPr>
        <w:t>, 369 (emphasis in original).</w:t>
      </w:r>
    </w:p>
  </w:footnote>
  <w:footnote w:id="100">
    <w:p w14:paraId="0EE0A981" w14:textId="32273B8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Storey</w:t>
      </w:r>
      <w:r w:rsidRPr="007809F4">
        <w:rPr>
          <w:rFonts w:asciiTheme="minorHAnsi" w:hAnsiTheme="minorHAnsi" w:cstheme="minorHAnsi"/>
        </w:rPr>
        <w:t xml:space="preserve"> [1998] 1 VR 359</w:t>
      </w:r>
      <w:r w:rsidRPr="00EB7F1E">
        <w:rPr>
          <w:rFonts w:asciiTheme="minorHAnsi" w:hAnsiTheme="minorHAnsi" w:cstheme="minorHAnsi"/>
        </w:rPr>
        <w:fldChar w:fldCharType="begin"/>
      </w:r>
      <w:r w:rsidRPr="007809F4">
        <w:rPr>
          <w:rFonts w:asciiTheme="minorHAnsi" w:hAnsiTheme="minorHAnsi" w:cstheme="minorHAnsi"/>
        </w:rPr>
        <w:instrText xml:space="preserve"> TA \s "R v Storey [1998] 1 VR 359" </w:instrText>
      </w:r>
      <w:r w:rsidRPr="00EB7F1E">
        <w:rPr>
          <w:rFonts w:asciiTheme="minorHAnsi" w:hAnsiTheme="minorHAnsi" w:cstheme="minorHAnsi"/>
        </w:rPr>
        <w:fldChar w:fldCharType="end"/>
      </w:r>
      <w:r w:rsidRPr="007809F4">
        <w:rPr>
          <w:rFonts w:asciiTheme="minorHAnsi" w:hAnsiTheme="minorHAnsi" w:cstheme="minorHAnsi"/>
        </w:rPr>
        <w:t>, 369.</w:t>
      </w:r>
    </w:p>
  </w:footnote>
  <w:footnote w:id="101">
    <w:p w14:paraId="0107541C" w14:textId="383C7DA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Pickard</w:t>
      </w:r>
      <w:r w:rsidRPr="007809F4">
        <w:rPr>
          <w:rFonts w:asciiTheme="minorHAnsi" w:hAnsiTheme="minorHAnsi" w:cstheme="minorHAnsi"/>
        </w:rPr>
        <w:t xml:space="preserve"> [1998] VSCA 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Pickard</w:instrText>
      </w:r>
      <w:r w:rsidRPr="007809F4">
        <w:rPr>
          <w:rFonts w:asciiTheme="minorHAnsi" w:hAnsiTheme="minorHAnsi" w:cstheme="minorHAnsi"/>
        </w:rPr>
        <w:instrText xml:space="preserve"> [1998] VSCA 50</w:instrText>
      </w:r>
      <w:r w:rsidRPr="00EB7F1E">
        <w:rPr>
          <w:rFonts w:asciiTheme="minorHAnsi" w:hAnsiTheme="minorHAnsi" w:cstheme="minorHAnsi"/>
        </w:rPr>
        <w:instrText xml:space="preserve">" \s "R v Pickard [1998] VSCA 50" \c 1 </w:instrText>
      </w:r>
      <w:r w:rsidRPr="00EB7F1E">
        <w:rPr>
          <w:rFonts w:asciiTheme="minorHAnsi" w:hAnsiTheme="minorHAnsi" w:cstheme="minorHAnsi"/>
        </w:rPr>
        <w:fldChar w:fldCharType="end"/>
      </w:r>
      <w:r w:rsidRPr="007809F4">
        <w:rPr>
          <w:rFonts w:asciiTheme="minorHAnsi" w:hAnsiTheme="minorHAnsi" w:cstheme="minorHAnsi"/>
        </w:rPr>
        <w:t>, [3]-[5].</w:t>
      </w:r>
    </w:p>
  </w:footnote>
  <w:footnote w:id="102">
    <w:p w14:paraId="433AD8FC" w14:textId="674FC8B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Besim</w:instrText>
      </w:r>
      <w:r w:rsidRPr="007809F4">
        <w:rPr>
          <w:rFonts w:asciiTheme="minorHAnsi" w:hAnsiTheme="minorHAnsi" w:cstheme="minorHAnsi"/>
        </w:rPr>
        <w:instrText xml:space="preserve"> [2017] VSCA 158</w:instrText>
      </w:r>
      <w:r w:rsidRPr="00EB7F1E">
        <w:rPr>
          <w:rFonts w:asciiTheme="minorHAnsi" w:hAnsiTheme="minorHAnsi" w:cstheme="minorHAnsi"/>
        </w:rPr>
        <w:instrText xml:space="preserve">" \s "DPP (Cth) v Besim [2017] VSCA 158"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03">
    <w:p w14:paraId="43A323D9" w14:textId="3C797F9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[108]-[109].</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04">
    <w:p w14:paraId="3C3BF9CD" w14:textId="17935A7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[108]-[109].</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05">
    <w:p w14:paraId="1EA78E8D"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[19].</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06">
    <w:p w14:paraId="7114BD98" w14:textId="67E7B5D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7">
    <w:p w14:paraId="488E5F85" w14:textId="3F37150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[24].</w:t>
      </w:r>
    </w:p>
  </w:footnote>
  <w:footnote w:id="108">
    <w:p w14:paraId="5ECDA0EB" w14:textId="3F2D876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[19]-[21].</w:t>
      </w:r>
    </w:p>
  </w:footnote>
  <w:footnote w:id="109">
    <w:p w14:paraId="41A4EB0C" w14:textId="50B1460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[22]. If the offender sought to mitigate the sentence on the basis that his role was merely that of courier, the onus was on him to establish that fact ([26]).</w:t>
      </w:r>
    </w:p>
  </w:footnote>
  <w:footnote w:id="110">
    <w:p w14:paraId="29EF058E" w14:textId="17523BD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xml:space="preserve">, [22].  See also </w:t>
      </w:r>
      <w:r w:rsidRPr="007809F4">
        <w:rPr>
          <w:rFonts w:asciiTheme="minorHAnsi" w:hAnsiTheme="minorHAnsi" w:cstheme="minorHAnsi"/>
          <w:i/>
        </w:rPr>
        <w:t>Xiao v R</w:t>
      </w:r>
      <w:r w:rsidRPr="007809F4">
        <w:rPr>
          <w:rFonts w:asciiTheme="minorHAnsi" w:hAnsiTheme="minorHAnsi" w:cstheme="minorHAnsi"/>
        </w:rPr>
        <w:t xml:space="preserve"> (2018) 96 NSWLR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Xiao v R</w:instrText>
      </w:r>
      <w:r w:rsidRPr="007809F4">
        <w:rPr>
          <w:rFonts w:asciiTheme="minorHAnsi" w:hAnsiTheme="minorHAnsi" w:cstheme="minorHAnsi"/>
        </w:rPr>
        <w:instrText xml:space="preserve"> (2018) 96 NSWLR 1</w:instrText>
      </w:r>
      <w:r w:rsidRPr="00EB7F1E">
        <w:rPr>
          <w:rFonts w:asciiTheme="minorHAnsi" w:hAnsiTheme="minorHAnsi" w:cstheme="minorHAnsi"/>
        </w:rPr>
        <w:instrText xml:space="preserve">" \s "Xiao v R (2018) 96 NSWLR 1" \c 1 </w:instrText>
      </w:r>
      <w:r w:rsidRPr="00EB7F1E">
        <w:rPr>
          <w:rFonts w:asciiTheme="minorHAnsi" w:hAnsiTheme="minorHAnsi" w:cstheme="minorHAnsi"/>
        </w:rPr>
        <w:fldChar w:fldCharType="end"/>
      </w:r>
      <w:r w:rsidRPr="007809F4">
        <w:rPr>
          <w:rFonts w:asciiTheme="minorHAnsi" w:hAnsiTheme="minorHAnsi" w:cstheme="minorHAnsi"/>
        </w:rPr>
        <w:t>, [131]-[136].</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11">
    <w:p w14:paraId="182D68EE"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[23].</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12">
    <w:p w14:paraId="4AEC0315" w14:textId="4ED7249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 xml:space="preserve">R v Pickard </w:t>
      </w:r>
      <w:r w:rsidRPr="007809F4">
        <w:rPr>
          <w:rFonts w:asciiTheme="minorHAnsi" w:hAnsiTheme="minorHAnsi" w:cstheme="minorHAnsi"/>
          <w:bCs/>
          <w:iCs/>
        </w:rPr>
        <w:t>[1998] VSCA 50</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TA \s "R v Pickard [1998] VSCA 50" </w:instrText>
      </w:r>
      <w:r w:rsidRPr="00EB7F1E">
        <w:rPr>
          <w:rFonts w:asciiTheme="minorHAnsi" w:hAnsiTheme="minorHAnsi" w:cstheme="minorHAnsi"/>
          <w:bCs/>
          <w:iCs/>
        </w:rPr>
        <w:fldChar w:fldCharType="end"/>
      </w:r>
      <w:r w:rsidRPr="007809F4">
        <w:rPr>
          <w:rFonts w:asciiTheme="minorHAnsi" w:hAnsiTheme="minorHAnsi" w:cstheme="minorHAnsi"/>
          <w:bCs/>
          <w:iCs/>
        </w:rPr>
        <w:t>,</w:t>
      </w:r>
      <w:r w:rsidRPr="007809F4">
        <w:rPr>
          <w:rFonts w:asciiTheme="minorHAnsi" w:hAnsiTheme="minorHAnsi" w:cstheme="minorHAnsi"/>
          <w:bCs/>
          <w:i/>
          <w:iCs/>
        </w:rPr>
        <w:t xml:space="preserve"> </w:t>
      </w:r>
      <w:r w:rsidRPr="007809F4">
        <w:rPr>
          <w:rFonts w:asciiTheme="minorHAnsi" w:hAnsiTheme="minorHAnsi" w:cstheme="minorHAnsi"/>
          <w:bCs/>
          <w:iCs/>
        </w:rPr>
        <w:t>[4].</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13">
    <w:p w14:paraId="38681F65" w14:textId="08DFC95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[18].</w:t>
      </w:r>
    </w:p>
  </w:footnote>
  <w:footnote w:id="114">
    <w:p w14:paraId="1E388915" w14:textId="444B56D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E.g.</w:t>
      </w:r>
      <w:r w:rsidRPr="007809F4">
        <w:rPr>
          <w:rFonts w:asciiTheme="minorHAnsi" w:hAnsiTheme="minorHAnsi" w:cstheme="minorHAnsi"/>
          <w:bCs/>
        </w:rPr>
        <w:t xml:space="preserve"> </w:t>
      </w:r>
      <w:r w:rsidRPr="007809F4">
        <w:rPr>
          <w:rFonts w:asciiTheme="minorHAnsi" w:hAnsiTheme="minorHAnsi" w:cstheme="minorHAnsi"/>
          <w:bCs/>
          <w:i/>
        </w:rPr>
        <w:t>R v Jackson</w:t>
      </w:r>
      <w:r w:rsidRPr="007809F4">
        <w:rPr>
          <w:rFonts w:asciiTheme="minorHAnsi" w:hAnsiTheme="minorHAnsi" w:cstheme="minorHAnsi"/>
          <w:bCs/>
        </w:rPr>
        <w:t xml:space="preserve"> </w:t>
      </w:r>
      <w:r w:rsidRPr="007809F4">
        <w:rPr>
          <w:rFonts w:asciiTheme="minorHAnsi" w:hAnsiTheme="minorHAnsi" w:cstheme="minorHAnsi"/>
        </w:rPr>
        <w:t>(1998) 72 SASR 490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Jackson</w:instrText>
      </w:r>
      <w:r w:rsidRPr="007809F4">
        <w:rPr>
          <w:rFonts w:asciiTheme="minorHAnsi" w:hAnsiTheme="minorHAnsi" w:cstheme="minorHAnsi"/>
        </w:rPr>
        <w:instrText xml:space="preserve"> (1998) 72 SASR 490" \s "R v Jackson (1998) 72 SASR 490" \c 1 </w:instrText>
      </w:r>
      <w:r w:rsidRPr="00EB7F1E">
        <w:rPr>
          <w:rFonts w:asciiTheme="minorHAnsi" w:hAnsiTheme="minorHAnsi" w:cstheme="minorHAnsi"/>
        </w:rPr>
        <w:fldChar w:fldCharType="end"/>
      </w:r>
      <w:r w:rsidRPr="007809F4">
        <w:rPr>
          <w:rFonts w:asciiTheme="minorHAnsi" w:hAnsiTheme="minorHAnsi" w:cstheme="minorHAnsi"/>
        </w:rPr>
        <w:t>, [112];</w:t>
      </w:r>
      <w:r w:rsidRPr="007809F4">
        <w:rPr>
          <w:rFonts w:asciiTheme="minorHAnsi" w:hAnsiTheme="minorHAnsi" w:cstheme="minorHAnsi"/>
          <w:bCs/>
        </w:rPr>
        <w:t xml:space="preserve"> </w:t>
      </w:r>
      <w:r w:rsidRPr="007809F4">
        <w:rPr>
          <w:rFonts w:asciiTheme="minorHAnsi" w:hAnsiTheme="minorHAnsi" w:cstheme="minorHAnsi"/>
          <w:bCs/>
          <w:i/>
        </w:rPr>
        <w:t>R v Ceissman</w:t>
      </w:r>
      <w:r w:rsidRPr="007809F4">
        <w:rPr>
          <w:rFonts w:asciiTheme="minorHAnsi" w:hAnsiTheme="minorHAnsi" w:cstheme="minorHAnsi"/>
          <w:bCs/>
        </w:rPr>
        <w:t xml:space="preserve"> [2001] NSWCCA 73</w:t>
      </w:r>
      <w:r w:rsidRPr="00EB7F1E">
        <w:rPr>
          <w:rFonts w:asciiTheme="minorHAnsi" w:hAnsiTheme="minorHAnsi" w:cstheme="minorHAnsi"/>
          <w:b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bCs/>
          <w:i/>
        </w:rPr>
        <w:instrText>R v Ceissman</w:instrText>
      </w:r>
      <w:r w:rsidRPr="007809F4">
        <w:rPr>
          <w:rFonts w:asciiTheme="minorHAnsi" w:hAnsiTheme="minorHAnsi" w:cstheme="minorHAnsi"/>
          <w:bCs/>
        </w:rPr>
        <w:instrText xml:space="preserve"> [2001] NSWCCA 73</w:instrText>
      </w:r>
      <w:r w:rsidRPr="00EB7F1E">
        <w:rPr>
          <w:rFonts w:asciiTheme="minorHAnsi" w:hAnsiTheme="minorHAnsi" w:cstheme="minorHAnsi"/>
        </w:rPr>
        <w:instrText xml:space="preserve">" \s "R v Ceissman [2001] NSWCCA 73" \c 1 </w:instrText>
      </w:r>
      <w:r w:rsidRPr="00EB7F1E">
        <w:rPr>
          <w:rFonts w:asciiTheme="minorHAnsi" w:hAnsiTheme="minorHAnsi" w:cstheme="minorHAnsi"/>
          <w:bCs/>
        </w:rPr>
        <w:fldChar w:fldCharType="end"/>
      </w:r>
      <w:r w:rsidRPr="007809F4">
        <w:rPr>
          <w:rFonts w:asciiTheme="minorHAnsi" w:hAnsiTheme="minorHAnsi" w:cstheme="minorHAnsi"/>
          <w:bCs/>
        </w:rPr>
        <w:t xml:space="preserve">, [24]-[28]; </w:t>
      </w:r>
      <w:r w:rsidRPr="007809F4">
        <w:rPr>
          <w:rFonts w:asciiTheme="minorHAnsi" w:hAnsiTheme="minorHAnsi" w:cstheme="minorHAnsi"/>
          <w:i/>
        </w:rPr>
        <w:t>R v Tran</w:t>
      </w:r>
      <w:r w:rsidRPr="007809F4">
        <w:rPr>
          <w:rFonts w:asciiTheme="minorHAnsi" w:hAnsiTheme="minorHAnsi" w:cstheme="minorHAnsi"/>
        </w:rPr>
        <w:t xml:space="preserve"> [2011] SASCFC 153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Tran</w:instrText>
      </w:r>
      <w:r w:rsidRPr="007809F4">
        <w:rPr>
          <w:rFonts w:asciiTheme="minorHAnsi" w:hAnsiTheme="minorHAnsi" w:cstheme="minorHAnsi"/>
        </w:rPr>
        <w:instrText xml:space="preserve"> [2011] SASCFC 153</w:instrText>
      </w:r>
      <w:r w:rsidRPr="00EB7F1E">
        <w:rPr>
          <w:rFonts w:asciiTheme="minorHAnsi" w:hAnsiTheme="minorHAnsi" w:cstheme="minorHAnsi"/>
        </w:rPr>
        <w:instrText xml:space="preserve">" \s "R v Tran [2011] SASCFC 153" \c 1 </w:instrText>
      </w:r>
      <w:r w:rsidRPr="00EB7F1E">
        <w:rPr>
          <w:rFonts w:asciiTheme="minorHAnsi" w:hAnsiTheme="minorHAnsi" w:cstheme="minorHAnsi"/>
        </w:rPr>
        <w:fldChar w:fldCharType="end"/>
      </w:r>
      <w:r w:rsidRPr="007809F4">
        <w:rPr>
          <w:rFonts w:asciiTheme="minorHAnsi" w:hAnsiTheme="minorHAnsi" w:cstheme="minorHAnsi"/>
        </w:rPr>
        <w:t xml:space="preserve">.  Note that under s 16A(2)(c) of the </w:t>
      </w:r>
      <w:r w:rsidRPr="007809F4">
        <w:rPr>
          <w:rFonts w:asciiTheme="minorHAnsi" w:hAnsiTheme="minorHAnsi" w:cstheme="minorHAnsi"/>
          <w:i/>
        </w:rPr>
        <w:t>Crimes Act 1914</w:t>
      </w:r>
      <w:r w:rsidRPr="007809F4">
        <w:rPr>
          <w:rFonts w:asciiTheme="minorHAnsi" w:hAnsiTheme="minorHAnsi" w:cstheme="minorHAnsi"/>
        </w:rPr>
        <w:t xml:space="preserve"> (Cth), a court sentencing a federal offender is required to take into account (if relevant and known to the court) “</w:t>
      </w:r>
      <w:r w:rsidRPr="007809F4">
        <w:rPr>
          <w:rFonts w:asciiTheme="minorHAnsi" w:hAnsiTheme="minorHAnsi" w:cstheme="minorHAnsi"/>
          <w:i/>
          <w:color w:val="000000"/>
          <w:lang w:eastAsia="en-AU"/>
        </w:rPr>
        <w:t>if the offence forms part of a course of conduct consisting of a series of criminal acts of the same or a similar character</w:t>
      </w:r>
      <w:r w:rsidRPr="007809F4">
        <w:rPr>
          <w:rFonts w:asciiTheme="minorHAnsi" w:hAnsiTheme="minorHAnsi" w:cstheme="minorHAnsi"/>
          <w:color w:val="000000"/>
          <w:lang w:eastAsia="en-AU"/>
        </w:rPr>
        <w:t xml:space="preserve">”.  In </w:t>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Kirby J (at [57]) expressed the view that s 16A(2)(c) did not allow regard to be had to uncharged offences, whereas Callinan J (at [122]) implied that the paragraph did allow for consideration of uncharged offences.</w:t>
      </w:r>
    </w:p>
  </w:footnote>
  <w:footnote w:id="115">
    <w:p w14:paraId="79EFBB19" w14:textId="3DD7F96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Savvas v R</w:t>
      </w:r>
      <w:r w:rsidRPr="007809F4">
        <w:rPr>
          <w:rFonts w:asciiTheme="minorHAnsi" w:hAnsiTheme="minorHAnsi" w:cstheme="minorHAnsi"/>
        </w:rPr>
        <w:t xml:space="preserve"> (1995) 183 CLR 1</w:t>
      </w:r>
      <w:r w:rsidRPr="00EB7F1E">
        <w:rPr>
          <w:rFonts w:asciiTheme="minorHAnsi" w:hAnsiTheme="minorHAnsi" w:cstheme="minorHAnsi"/>
        </w:rPr>
        <w:fldChar w:fldCharType="begin"/>
      </w:r>
      <w:r w:rsidRPr="007809F4">
        <w:rPr>
          <w:rFonts w:asciiTheme="minorHAnsi" w:hAnsiTheme="minorHAnsi" w:cstheme="minorHAnsi"/>
        </w:rPr>
        <w:instrText xml:space="preserve"> TA \s "Savvas v R (1995) 183 CLR 1" </w:instrText>
      </w:r>
      <w:r w:rsidRPr="00EB7F1E">
        <w:rPr>
          <w:rFonts w:asciiTheme="minorHAnsi" w:hAnsiTheme="minorHAnsi" w:cstheme="minorHAnsi"/>
        </w:rPr>
        <w:fldChar w:fldCharType="end"/>
      </w:r>
      <w:r w:rsidRPr="007809F4">
        <w:rPr>
          <w:rFonts w:asciiTheme="minorHAnsi" w:hAnsiTheme="minorHAnsi" w:cstheme="minorHAnsi"/>
        </w:rPr>
        <w:t xml:space="preserve">, quoting with approval from </w:t>
      </w:r>
      <w:r w:rsidRPr="007809F4">
        <w:rPr>
          <w:rFonts w:asciiTheme="minorHAnsi" w:hAnsiTheme="minorHAnsi" w:cstheme="minorHAnsi"/>
          <w:i/>
        </w:rPr>
        <w:t>R v Kane</w:t>
      </w:r>
      <w:r w:rsidRPr="007809F4">
        <w:rPr>
          <w:rFonts w:asciiTheme="minorHAnsi" w:hAnsiTheme="minorHAnsi" w:cstheme="minorHAnsi"/>
        </w:rPr>
        <w:t xml:space="preserve"> [1975] VR 658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Kane</w:instrText>
      </w:r>
      <w:r w:rsidRPr="007809F4">
        <w:rPr>
          <w:rFonts w:asciiTheme="minorHAnsi" w:hAnsiTheme="minorHAnsi" w:cstheme="minorHAnsi"/>
        </w:rPr>
        <w:instrText xml:space="preserve"> [1975] VR 658</w:instrText>
      </w:r>
      <w:r w:rsidRPr="00EB7F1E">
        <w:rPr>
          <w:rFonts w:asciiTheme="minorHAnsi" w:hAnsiTheme="minorHAnsi" w:cstheme="minorHAnsi"/>
        </w:rPr>
        <w:instrText xml:space="preserve">" \s "R v Kane [1975] VR 658" \c 1 </w:instrText>
      </w:r>
      <w:r w:rsidRPr="00EB7F1E">
        <w:rPr>
          <w:rFonts w:asciiTheme="minorHAnsi" w:hAnsiTheme="minorHAnsi" w:cstheme="minorHAnsi"/>
        </w:rPr>
        <w:fldChar w:fldCharType="end"/>
      </w:r>
      <w:r w:rsidRPr="007809F4">
        <w:rPr>
          <w:rFonts w:asciiTheme="minorHAnsi" w:hAnsiTheme="minorHAnsi" w:cstheme="minorHAnsi"/>
        </w:rPr>
        <w:t xml:space="preserve">, 661.  Note also s 16A(2)(a) of the </w:t>
      </w:r>
      <w:r w:rsidRPr="007809F4">
        <w:rPr>
          <w:rFonts w:asciiTheme="minorHAnsi" w:hAnsiTheme="minorHAnsi" w:cstheme="minorHAnsi"/>
          <w:i/>
        </w:rPr>
        <w:t>Crimes Act 1914</w:t>
      </w:r>
      <w:r w:rsidRPr="007809F4">
        <w:rPr>
          <w:rFonts w:asciiTheme="minorHAnsi" w:hAnsiTheme="minorHAnsi" w:cstheme="minorHAnsi"/>
        </w:rPr>
        <w:t xml:space="preserve"> (Cth), which requires a court sentencing a federal offender to have regard to “</w:t>
      </w:r>
      <w:r w:rsidRPr="007809F4">
        <w:rPr>
          <w:rFonts w:asciiTheme="minorHAnsi" w:hAnsiTheme="minorHAnsi" w:cstheme="minorHAnsi"/>
          <w:i/>
          <w:color w:val="000000"/>
          <w:lang w:eastAsia="en-AU"/>
        </w:rPr>
        <w:t>the nature and circumstances of the offence</w:t>
      </w:r>
      <w:r w:rsidRPr="007809F4">
        <w:rPr>
          <w:rFonts w:asciiTheme="minorHAnsi" w:hAnsiTheme="minorHAnsi" w:cstheme="minorHAnsi"/>
        </w:rPr>
        <w:t>”, if “</w:t>
      </w:r>
      <w:r w:rsidRPr="007809F4">
        <w:rPr>
          <w:rFonts w:asciiTheme="minorHAnsi" w:hAnsiTheme="minorHAnsi" w:cstheme="minorHAnsi"/>
          <w:i/>
        </w:rPr>
        <w:t>relevant and known to the court</w:t>
      </w:r>
      <w:r w:rsidRPr="007809F4">
        <w:rPr>
          <w:rFonts w:asciiTheme="minorHAnsi" w:hAnsiTheme="minorHAnsi" w:cstheme="minorHAnsi"/>
        </w:rPr>
        <w:t>”.</w:t>
      </w:r>
    </w:p>
  </w:footnote>
  <w:footnote w:id="116">
    <w:p w14:paraId="3D8DA17C"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17">
    <w:p w14:paraId="718C0962" w14:textId="7E81C1E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De Simoni</w:t>
      </w:r>
      <w:r w:rsidRPr="007809F4">
        <w:rPr>
          <w:rFonts w:asciiTheme="minorHAnsi" w:hAnsiTheme="minorHAnsi" w:cstheme="minorHAnsi"/>
        </w:rPr>
        <w:t xml:space="preserve"> (1981) 147 CLR 383</w:t>
      </w:r>
      <w:r w:rsidRPr="00EB7F1E">
        <w:rPr>
          <w:rFonts w:asciiTheme="minorHAnsi" w:hAnsiTheme="minorHAnsi" w:cstheme="minorHAnsi"/>
        </w:rPr>
        <w:fldChar w:fldCharType="begin"/>
      </w:r>
      <w:r w:rsidRPr="007809F4">
        <w:rPr>
          <w:rFonts w:asciiTheme="minorHAnsi" w:hAnsiTheme="minorHAnsi" w:cstheme="minorHAnsi"/>
        </w:rPr>
        <w:instrText xml:space="preserve"> TA \s "R v De Simoni (1981) 147 CLR 383" </w:instrText>
      </w:r>
      <w:r w:rsidRPr="00EB7F1E">
        <w:rPr>
          <w:rFonts w:asciiTheme="minorHAnsi" w:hAnsiTheme="minorHAnsi" w:cstheme="minorHAnsi"/>
        </w:rPr>
        <w:fldChar w:fldCharType="end"/>
      </w:r>
      <w:r w:rsidRPr="007809F4">
        <w:rPr>
          <w:rFonts w:asciiTheme="minorHAnsi" w:hAnsiTheme="minorHAnsi" w:cstheme="minorHAnsi"/>
        </w:rPr>
        <w:t xml:space="preserve">, 389.  See also </w:t>
      </w:r>
      <w:r w:rsidRPr="007809F4">
        <w:rPr>
          <w:rFonts w:asciiTheme="minorHAnsi" w:hAnsiTheme="minorHAnsi" w:cstheme="minorHAnsi"/>
          <w:i/>
        </w:rPr>
        <w:t>R v D</w:t>
      </w:r>
      <w:r w:rsidRPr="007809F4">
        <w:rPr>
          <w:rFonts w:asciiTheme="minorHAnsi" w:hAnsiTheme="minorHAnsi" w:cstheme="minorHAnsi"/>
        </w:rPr>
        <w:t xml:space="preserve"> [1996] 1 Qd R 363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w:instrText>
      </w:r>
      <w:r w:rsidRPr="007809F4">
        <w:rPr>
          <w:rFonts w:asciiTheme="minorHAnsi" w:hAnsiTheme="minorHAnsi" w:cstheme="minorHAnsi"/>
        </w:rPr>
        <w:instrText xml:space="preserve"> [1996] 1 Qd R 363</w:instrText>
      </w:r>
      <w:r w:rsidRPr="00EB7F1E">
        <w:rPr>
          <w:rFonts w:asciiTheme="minorHAnsi" w:hAnsiTheme="minorHAnsi" w:cstheme="minorHAnsi"/>
        </w:rPr>
        <w:instrText xml:space="preserve">" \s "R v D [1996] 1 Qd R 363" \c 1 </w:instrText>
      </w:r>
      <w:r w:rsidRPr="00EB7F1E">
        <w:rPr>
          <w:rFonts w:asciiTheme="minorHAnsi" w:hAnsiTheme="minorHAnsi" w:cstheme="minorHAnsi"/>
        </w:rPr>
        <w:fldChar w:fldCharType="end"/>
      </w:r>
      <w:r w:rsidRPr="007809F4">
        <w:rPr>
          <w:rFonts w:asciiTheme="minorHAnsi" w:hAnsiTheme="minorHAnsi" w:cstheme="minorHAnsi"/>
        </w:rPr>
        <w:t>, where relevant authorities are comprehensively reviewed.</w:t>
      </w:r>
    </w:p>
  </w:footnote>
  <w:footnote w:id="118">
    <w:p w14:paraId="7B84DC23" w14:textId="4BFC1D3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The principle also prohibits a court from taking into account, as a matter of aggravation, the commission of another uncharged offence of equal seriousness to the instant offence: </w:t>
      </w:r>
      <w:r w:rsidRPr="007809F4">
        <w:rPr>
          <w:rFonts w:asciiTheme="minorHAnsi" w:hAnsiTheme="minorHAnsi" w:cstheme="minorHAnsi"/>
          <w:i/>
        </w:rPr>
        <w:t>R v Guiu</w:t>
      </w:r>
      <w:r w:rsidRPr="007809F4">
        <w:rPr>
          <w:rFonts w:asciiTheme="minorHAnsi" w:hAnsiTheme="minorHAnsi" w:cstheme="minorHAnsi"/>
        </w:rPr>
        <w:t xml:space="preserve"> (2002) 129 A Crim R 387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Guiu</w:instrText>
      </w:r>
      <w:r w:rsidRPr="007809F4">
        <w:rPr>
          <w:rFonts w:asciiTheme="minorHAnsi" w:hAnsiTheme="minorHAnsi" w:cstheme="minorHAnsi"/>
        </w:rPr>
        <w:instrText xml:space="preserve"> (2002) 129 A Crim R 387</w:instrText>
      </w:r>
      <w:r w:rsidRPr="00EB7F1E">
        <w:rPr>
          <w:rFonts w:asciiTheme="minorHAnsi" w:hAnsiTheme="minorHAnsi" w:cstheme="minorHAnsi"/>
        </w:rPr>
        <w:instrText xml:space="preserve">" \s "R v Guiu (2002) 129 A Crim R 387" \c 1 </w:instrText>
      </w:r>
      <w:r w:rsidRPr="00EB7F1E">
        <w:rPr>
          <w:rFonts w:asciiTheme="minorHAnsi" w:hAnsiTheme="minorHAnsi" w:cstheme="minorHAnsi"/>
        </w:rPr>
        <w:fldChar w:fldCharType="end"/>
      </w:r>
      <w:r w:rsidRPr="00EB7F1E">
        <w:rPr>
          <w:rStyle w:val="ssrolluprptrline"/>
          <w:rFonts w:asciiTheme="minorHAnsi" w:hAnsiTheme="minorHAnsi" w:cstheme="minorHAnsi"/>
        </w:rPr>
        <w:t xml:space="preserve">, </w:t>
      </w:r>
      <w:r w:rsidRPr="00EB7F1E">
        <w:rPr>
          <w:rFonts w:asciiTheme="minorHAnsi" w:hAnsiTheme="minorHAnsi" w:cstheme="minorHAnsi"/>
        </w:rPr>
        <w:t>[30]-[38]</w:t>
      </w:r>
      <w:r w:rsidRPr="007809F4">
        <w:rPr>
          <w:rFonts w:asciiTheme="minorHAnsi" w:hAnsiTheme="minorHAnsi" w:cstheme="minorHAnsi"/>
        </w:rPr>
        <w:t xml:space="preserve">; </w:t>
      </w:r>
      <w:r w:rsidRPr="00EB7F1E">
        <w:rPr>
          <w:rFonts w:asciiTheme="minorHAnsi" w:hAnsiTheme="minorHAnsi" w:cstheme="minorHAnsi"/>
          <w:i/>
        </w:rPr>
        <w:t>R v Tranter (No 2)</w:t>
      </w:r>
      <w:r w:rsidRPr="007809F4">
        <w:rPr>
          <w:rFonts w:asciiTheme="minorHAnsi" w:hAnsiTheme="minorHAnsi" w:cstheme="minorHAnsi"/>
        </w:rPr>
        <w:t xml:space="preserve"> </w:t>
      </w:r>
      <w:r w:rsidRPr="00EB7F1E">
        <w:rPr>
          <w:rFonts w:asciiTheme="minorHAnsi" w:hAnsiTheme="minorHAnsi" w:cstheme="minorHAnsi"/>
        </w:rPr>
        <w:t>(2014) 119 SASR 480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Tranter (No 2)</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(2014) 119 SASR 480" \s "R v Tranter (No 2) (2014) 119 SASR 480" \c 1 </w:instrText>
      </w:r>
      <w:r w:rsidRPr="00EB7F1E">
        <w:rPr>
          <w:rFonts w:asciiTheme="minorHAnsi" w:hAnsiTheme="minorHAnsi" w:cstheme="minorHAnsi"/>
        </w:rPr>
        <w:fldChar w:fldCharType="end"/>
      </w:r>
      <w:r w:rsidRPr="00EB7F1E">
        <w:rPr>
          <w:rFonts w:asciiTheme="minorHAnsi" w:hAnsiTheme="minorHAnsi" w:cstheme="minorHAnsi"/>
        </w:rPr>
        <w:t>, [43]-[44]</w:t>
      </w:r>
      <w:r w:rsidRPr="007809F4">
        <w:rPr>
          <w:rFonts w:asciiTheme="minorHAnsi" w:hAnsiTheme="minorHAnsi" w:cstheme="minorHAnsi"/>
        </w:rPr>
        <w:t>.</w:t>
      </w:r>
    </w:p>
  </w:footnote>
  <w:footnote w:id="119">
    <w:p w14:paraId="4D181B51" w14:textId="597EB73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E.g. </w:t>
      </w:r>
      <w:r w:rsidRPr="00EB7F1E">
        <w:rPr>
          <w:rFonts w:asciiTheme="minorHAnsi" w:hAnsiTheme="minorHAnsi" w:cstheme="minorHAnsi"/>
          <w:i/>
        </w:rPr>
        <w:t>Tu v R</w:t>
      </w:r>
      <w:r w:rsidRPr="00EB7F1E">
        <w:rPr>
          <w:rFonts w:asciiTheme="minorHAnsi" w:hAnsiTheme="minorHAnsi" w:cstheme="minorHAnsi"/>
        </w:rPr>
        <w:t xml:space="preserve"> [2011] NSWCCA 31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Tu v R</w:instrText>
      </w:r>
      <w:r w:rsidRPr="00EB7F1E">
        <w:rPr>
          <w:rFonts w:asciiTheme="minorHAnsi" w:hAnsiTheme="minorHAnsi" w:cstheme="minorHAnsi"/>
        </w:rPr>
        <w:instrText xml:space="preserve"> [2011] NSWCCA 31" \s "Tu v R [2011] NSWCCA 31" \c 1 </w:instrText>
      </w:r>
      <w:r w:rsidRPr="00EB7F1E">
        <w:rPr>
          <w:rFonts w:asciiTheme="minorHAnsi" w:hAnsiTheme="minorHAnsi" w:cstheme="minorHAnsi"/>
        </w:rPr>
        <w:fldChar w:fldCharType="end"/>
      </w:r>
      <w:r w:rsidRPr="007809F4">
        <w:rPr>
          <w:rFonts w:asciiTheme="minorHAnsi" w:hAnsiTheme="minorHAnsi" w:cstheme="minorHAnsi"/>
        </w:rPr>
        <w:t xml:space="preserve">.  In that case, the fact that the sentencing judge had treated the uncharged importation offence as aggravating the instant attempted possession offence could be inferred from the fact that the judge had imposed the maximum penalty and had made </w:t>
      </w:r>
      <w:r w:rsidRPr="00EB7F1E">
        <w:rPr>
          <w:rFonts w:asciiTheme="minorHAnsi" w:hAnsiTheme="minorHAnsi" w:cstheme="minorHAnsi"/>
        </w:rPr>
        <w:t xml:space="preserve">some findings that the offender had participated in the </w:t>
      </w:r>
      <w:r w:rsidRPr="007809F4">
        <w:rPr>
          <w:rFonts w:asciiTheme="minorHAnsi" w:hAnsiTheme="minorHAnsi" w:cstheme="minorHAnsi"/>
        </w:rPr>
        <w:t>‘</w:t>
      </w:r>
      <w:r w:rsidRPr="00EB7F1E">
        <w:rPr>
          <w:rFonts w:asciiTheme="minorHAnsi" w:hAnsiTheme="minorHAnsi" w:cstheme="minorHAnsi"/>
        </w:rPr>
        <w:t>China end</w:t>
      </w:r>
      <w:r w:rsidRPr="007809F4">
        <w:rPr>
          <w:rFonts w:asciiTheme="minorHAnsi" w:hAnsiTheme="minorHAnsi" w:cstheme="minorHAnsi"/>
        </w:rPr>
        <w:t>’</w:t>
      </w:r>
      <w:r w:rsidRPr="00EB7F1E">
        <w:rPr>
          <w:rFonts w:asciiTheme="minorHAnsi" w:hAnsiTheme="minorHAnsi" w:cstheme="minorHAnsi"/>
        </w:rPr>
        <w:t xml:space="preserve"> of the operation</w:t>
      </w:r>
      <w:r w:rsidRPr="007809F4">
        <w:rPr>
          <w:rFonts w:asciiTheme="minorHAnsi" w:hAnsiTheme="minorHAnsi" w:cstheme="minorHAnsi"/>
        </w:rPr>
        <w:t xml:space="preserve">.  Such a case is to be distinguished from a case in which the sentencing court  does no more than assess the nature and duration of the offender’s involvement in the charged offence or the context in which the charged offence occurred: see </w:t>
      </w:r>
      <w:r w:rsidRPr="00EB7F1E">
        <w:rPr>
          <w:rFonts w:asciiTheme="minorHAnsi" w:hAnsiTheme="minorHAnsi" w:cstheme="minorHAnsi"/>
          <w:i/>
        </w:rPr>
        <w:t>El-Ghourani v R</w:t>
      </w:r>
      <w:r w:rsidRPr="00EB7F1E">
        <w:rPr>
          <w:rFonts w:asciiTheme="minorHAnsi" w:hAnsiTheme="minorHAnsi" w:cstheme="minorHAnsi"/>
        </w:rPr>
        <w:t xml:space="preserve"> [2009] NSWCCA 140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El-Ghourani v R</w:instrText>
      </w:r>
      <w:r w:rsidRPr="00EB7F1E">
        <w:rPr>
          <w:rFonts w:asciiTheme="minorHAnsi" w:hAnsiTheme="minorHAnsi" w:cstheme="minorHAnsi"/>
        </w:rPr>
        <w:instrText xml:space="preserve"> [2009] NSWCCA 140" \s "El-Ghourani v R [2009] NSWCCA 140" \c 1 </w:instrText>
      </w:r>
      <w:r w:rsidRPr="00EB7F1E">
        <w:rPr>
          <w:rFonts w:asciiTheme="minorHAnsi" w:hAnsiTheme="minorHAnsi" w:cstheme="minorHAnsi"/>
        </w:rPr>
        <w:fldChar w:fldCharType="end"/>
      </w:r>
      <w:r w:rsidRPr="007809F4">
        <w:rPr>
          <w:rFonts w:asciiTheme="minorHAnsi" w:hAnsiTheme="minorHAnsi" w:cstheme="minorHAnsi"/>
        </w:rPr>
        <w:t xml:space="preserve">, [15]-[37]; </w:t>
      </w:r>
      <w:r w:rsidRPr="007809F4">
        <w:rPr>
          <w:rFonts w:asciiTheme="minorHAnsi" w:hAnsiTheme="minorHAnsi" w:cstheme="minorHAnsi"/>
          <w:i/>
        </w:rPr>
        <w:t>Schanker v R</w:t>
      </w:r>
      <w:r w:rsidRPr="007809F4">
        <w:rPr>
          <w:rFonts w:asciiTheme="minorHAnsi" w:hAnsiTheme="minorHAnsi" w:cstheme="minorHAnsi"/>
        </w:rPr>
        <w:t xml:space="preserve"> [2018] VSCA 94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Schanker v R</w:instrText>
      </w:r>
      <w:r w:rsidRPr="007809F4">
        <w:rPr>
          <w:rFonts w:asciiTheme="minorHAnsi" w:hAnsiTheme="minorHAnsi" w:cstheme="minorHAnsi"/>
        </w:rPr>
        <w:instrText xml:space="preserve"> [2018] VSCA 94</w:instrText>
      </w:r>
      <w:r w:rsidRPr="00EB7F1E">
        <w:rPr>
          <w:rFonts w:asciiTheme="minorHAnsi" w:hAnsiTheme="minorHAnsi" w:cstheme="minorHAnsi"/>
        </w:rPr>
        <w:instrText xml:space="preserve">" \s "Schanker v R [2018] VSCA 94" \c 1 </w:instrText>
      </w:r>
      <w:r w:rsidRPr="00EB7F1E">
        <w:rPr>
          <w:rFonts w:asciiTheme="minorHAnsi" w:hAnsiTheme="minorHAnsi" w:cstheme="minorHAnsi"/>
        </w:rPr>
        <w:fldChar w:fldCharType="end"/>
      </w:r>
      <w:r w:rsidRPr="007809F4">
        <w:rPr>
          <w:rFonts w:asciiTheme="minorHAnsi" w:hAnsiTheme="minorHAnsi" w:cstheme="minorHAnsi"/>
        </w:rPr>
        <w:t>, [188]-[210].</w:t>
      </w:r>
    </w:p>
  </w:footnote>
  <w:footnote w:id="120">
    <w:p w14:paraId="19CF5FD7" w14:textId="4A51C8A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v McMaster</w:t>
      </w:r>
      <w:r w:rsidRPr="007809F4">
        <w:rPr>
          <w:rFonts w:asciiTheme="minorHAnsi" w:hAnsiTheme="minorHAnsi" w:cstheme="minorHAnsi"/>
        </w:rPr>
        <w:t xml:space="preserve"> (2008) 19 VR 191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McMaster</w:instrText>
      </w:r>
      <w:r w:rsidRPr="007809F4">
        <w:rPr>
          <w:rFonts w:asciiTheme="minorHAnsi" w:hAnsiTheme="minorHAnsi" w:cstheme="minorHAnsi"/>
        </w:rPr>
        <w:instrText xml:space="preserve"> (2008) 19 VR 191</w:instrText>
      </w:r>
      <w:r w:rsidRPr="00EB7F1E">
        <w:rPr>
          <w:rFonts w:asciiTheme="minorHAnsi" w:hAnsiTheme="minorHAnsi" w:cstheme="minorHAnsi"/>
        </w:rPr>
        <w:instrText xml:space="preserve">" \s "DPP v McMaster (2008) 19 VR 191" \c 1 </w:instrText>
      </w:r>
      <w:r w:rsidRPr="00EB7F1E">
        <w:rPr>
          <w:rFonts w:asciiTheme="minorHAnsi" w:hAnsiTheme="minorHAnsi" w:cstheme="minorHAnsi"/>
        </w:rPr>
        <w:fldChar w:fldCharType="end"/>
      </w:r>
      <w:r w:rsidRPr="007809F4">
        <w:rPr>
          <w:rFonts w:asciiTheme="minorHAnsi" w:hAnsiTheme="minorHAnsi" w:cstheme="minorHAnsi"/>
        </w:rPr>
        <w:t xml:space="preserve">, [41] and the cases cited there; </w:t>
      </w:r>
      <w:r w:rsidRPr="00EB7F1E">
        <w:rPr>
          <w:rFonts w:asciiTheme="minorHAnsi" w:hAnsiTheme="minorHAnsi" w:cstheme="minorHAnsi"/>
          <w:i/>
        </w:rPr>
        <w:t>R v Cook</w:t>
      </w:r>
      <w:r w:rsidRPr="00EB7F1E">
        <w:rPr>
          <w:rFonts w:asciiTheme="minorHAnsi" w:hAnsiTheme="minorHAnsi" w:cstheme="minorHAnsi"/>
        </w:rPr>
        <w:t xml:space="preserve"> [2018] TASCCA 20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Cook</w:instrText>
      </w:r>
      <w:r w:rsidRPr="00EB7F1E">
        <w:rPr>
          <w:rFonts w:asciiTheme="minorHAnsi" w:hAnsiTheme="minorHAnsi" w:cstheme="minorHAnsi"/>
        </w:rPr>
        <w:instrText xml:space="preserve"> [2018] TASCCA 20" \s "R v Cook [2018] TASCCA 20" \c 1 </w:instrText>
      </w:r>
      <w:r w:rsidRPr="00EB7F1E">
        <w:rPr>
          <w:rFonts w:asciiTheme="minorHAnsi" w:hAnsiTheme="minorHAnsi" w:cstheme="minorHAnsi"/>
        </w:rPr>
        <w:fldChar w:fldCharType="end"/>
      </w:r>
      <w:r w:rsidRPr="007809F4">
        <w:rPr>
          <w:rFonts w:asciiTheme="minorHAnsi" w:hAnsiTheme="minorHAnsi" w:cstheme="minorHAnsi"/>
        </w:rPr>
        <w:t>, [46]-[47].</w:t>
      </w:r>
    </w:p>
  </w:footnote>
  <w:footnote w:id="121">
    <w:p w14:paraId="7EA34ADF" w14:textId="547FFB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xml:space="preserve">, [33], [117], [122]; </w:t>
      </w:r>
      <w:r w:rsidRPr="00EB7F1E">
        <w:rPr>
          <w:rFonts w:asciiTheme="minorHAnsi" w:hAnsiTheme="minorHAnsi" w:cstheme="minorHAnsi"/>
          <w:bCs/>
          <w:i/>
        </w:rPr>
        <w:t>R v Bukvic</w:t>
      </w:r>
      <w:r w:rsidRPr="00EB7F1E">
        <w:rPr>
          <w:rFonts w:asciiTheme="minorHAnsi" w:hAnsiTheme="minorHAnsi" w:cstheme="minorHAnsi"/>
          <w:bCs/>
        </w:rPr>
        <w:t xml:space="preserve"> </w:t>
      </w:r>
      <w:r w:rsidRPr="00EB7F1E">
        <w:rPr>
          <w:rFonts w:asciiTheme="minorHAnsi" w:hAnsiTheme="minorHAnsi" w:cstheme="minorHAnsi"/>
        </w:rPr>
        <w:t>(2010) 107 SASR 405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bCs/>
          <w:i/>
        </w:rPr>
        <w:instrText>R v Bukvic</w:instrText>
      </w:r>
      <w:r w:rsidRPr="00EB7F1E">
        <w:rPr>
          <w:rFonts w:asciiTheme="minorHAnsi" w:hAnsiTheme="minorHAnsi" w:cstheme="minorHAnsi"/>
          <w:bCs/>
        </w:rPr>
        <w:instrText xml:space="preserve"> </w:instrText>
      </w:r>
      <w:r w:rsidRPr="00EB7F1E">
        <w:rPr>
          <w:rFonts w:asciiTheme="minorHAnsi" w:hAnsiTheme="minorHAnsi" w:cstheme="minorHAnsi"/>
        </w:rPr>
        <w:instrText xml:space="preserve">(2010) 107 SASR 405" \s "R v Bukvic (2010) 107 SASR 405" \c 1 </w:instrText>
      </w:r>
      <w:r w:rsidRPr="00EB7F1E">
        <w:rPr>
          <w:rFonts w:asciiTheme="minorHAnsi" w:hAnsiTheme="minorHAnsi" w:cstheme="minorHAnsi"/>
        </w:rPr>
        <w:fldChar w:fldCharType="end"/>
      </w:r>
      <w:r w:rsidRPr="007809F4">
        <w:rPr>
          <w:rFonts w:asciiTheme="minorHAnsi" w:hAnsiTheme="minorHAnsi" w:cstheme="minorHAnsi"/>
          <w:bCs/>
        </w:rPr>
        <w:t xml:space="preserve">; </w:t>
      </w:r>
      <w:r w:rsidRPr="007809F4">
        <w:rPr>
          <w:rFonts w:asciiTheme="minorHAnsi" w:hAnsiTheme="minorHAnsi" w:cstheme="minorHAnsi"/>
          <w:i/>
        </w:rPr>
        <w:t>R v Tran</w:t>
      </w:r>
      <w:r w:rsidRPr="007809F4">
        <w:rPr>
          <w:rFonts w:asciiTheme="minorHAnsi" w:hAnsiTheme="minorHAnsi" w:cstheme="minorHAnsi"/>
        </w:rPr>
        <w:t xml:space="preserve"> [2011] SASCFC 153</w:t>
      </w:r>
      <w:r w:rsidRPr="00EB7F1E">
        <w:rPr>
          <w:rFonts w:asciiTheme="minorHAnsi" w:hAnsiTheme="minorHAnsi" w:cstheme="minorHAnsi"/>
        </w:rPr>
        <w:fldChar w:fldCharType="begin"/>
      </w:r>
      <w:r w:rsidRPr="007809F4">
        <w:rPr>
          <w:rFonts w:asciiTheme="minorHAnsi" w:hAnsiTheme="minorHAnsi" w:cstheme="minorHAnsi"/>
        </w:rPr>
        <w:instrText xml:space="preserve"> TA \s "R v Tran [2011] SASCFC 153"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Sabel v R</w:t>
      </w:r>
      <w:r w:rsidRPr="007809F4">
        <w:rPr>
          <w:rFonts w:asciiTheme="minorHAnsi" w:hAnsiTheme="minorHAnsi" w:cstheme="minorHAnsi"/>
        </w:rPr>
        <w:t xml:space="preserve"> [2014] NSWCCA 101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Sabel v R</w:instrText>
      </w:r>
      <w:r w:rsidRPr="007809F4">
        <w:rPr>
          <w:rFonts w:asciiTheme="minorHAnsi" w:hAnsiTheme="minorHAnsi" w:cstheme="minorHAnsi"/>
        </w:rPr>
        <w:instrText xml:space="preserve"> [2014] NSWCCA 101" \s "Sabel v R [2014] NSWCCA 101" \c 1 </w:instrText>
      </w:r>
      <w:r w:rsidRPr="00EB7F1E">
        <w:rPr>
          <w:rFonts w:asciiTheme="minorHAnsi" w:hAnsiTheme="minorHAnsi" w:cstheme="minorHAnsi"/>
        </w:rPr>
        <w:fldChar w:fldCharType="end"/>
      </w:r>
      <w:r w:rsidRPr="007809F4">
        <w:rPr>
          <w:rFonts w:asciiTheme="minorHAnsi" w:hAnsiTheme="minorHAnsi" w:cstheme="minorHAnsi"/>
        </w:rPr>
        <w:t xml:space="preserve">, [227]-[229].  But note the contrary view expressed (in relation to a State offender) in </w:t>
      </w:r>
      <w:r w:rsidRPr="007809F4">
        <w:rPr>
          <w:rFonts w:asciiTheme="minorHAnsi" w:hAnsiTheme="minorHAnsi" w:cstheme="minorHAnsi"/>
          <w:i/>
        </w:rPr>
        <w:t>DPP v McMaster</w:t>
      </w:r>
      <w:r w:rsidRPr="007809F4">
        <w:rPr>
          <w:rFonts w:asciiTheme="minorHAnsi" w:hAnsiTheme="minorHAnsi" w:cstheme="minorHAnsi"/>
        </w:rPr>
        <w:t xml:space="preserve"> (2008) 19 VR 191</w:t>
      </w:r>
      <w:r w:rsidRPr="00EB7F1E">
        <w:rPr>
          <w:rFonts w:asciiTheme="minorHAnsi" w:hAnsiTheme="minorHAnsi" w:cstheme="minorHAnsi"/>
        </w:rPr>
        <w:fldChar w:fldCharType="begin"/>
      </w:r>
      <w:r w:rsidRPr="007809F4">
        <w:rPr>
          <w:rFonts w:asciiTheme="minorHAnsi" w:hAnsiTheme="minorHAnsi" w:cstheme="minorHAnsi"/>
        </w:rPr>
        <w:instrText xml:space="preserve"> TA \s "DPP v McMaster (2008) 19 VR 191" </w:instrText>
      </w:r>
      <w:r w:rsidRPr="00EB7F1E">
        <w:rPr>
          <w:rFonts w:asciiTheme="minorHAnsi" w:hAnsiTheme="minorHAnsi" w:cstheme="minorHAnsi"/>
        </w:rPr>
        <w:fldChar w:fldCharType="end"/>
      </w:r>
      <w:r w:rsidRPr="007809F4">
        <w:rPr>
          <w:rFonts w:asciiTheme="minorHAnsi" w:hAnsiTheme="minorHAnsi" w:cstheme="minorHAnsi"/>
        </w:rPr>
        <w:t>, [35]-[58].</w:t>
      </w:r>
    </w:p>
  </w:footnote>
  <w:footnote w:id="122">
    <w:p w14:paraId="6F9F2E91" w14:textId="4059ACF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E.g. </w:t>
      </w:r>
      <w:r w:rsidRPr="007809F4">
        <w:rPr>
          <w:rFonts w:asciiTheme="minorHAnsi" w:hAnsiTheme="minorHAnsi" w:cstheme="minorHAnsi"/>
          <w:i/>
        </w:rPr>
        <w:t>El-Ghourani v R</w:t>
      </w:r>
      <w:r w:rsidRPr="007809F4">
        <w:rPr>
          <w:rFonts w:asciiTheme="minorHAnsi" w:hAnsiTheme="minorHAnsi" w:cstheme="minorHAnsi"/>
        </w:rPr>
        <w:t xml:space="preserve"> [2009] NSWCCA 140</w:t>
      </w:r>
      <w:r w:rsidRPr="00EB7F1E">
        <w:rPr>
          <w:rFonts w:asciiTheme="minorHAnsi" w:hAnsiTheme="minorHAnsi" w:cstheme="minorHAnsi"/>
        </w:rPr>
        <w:fldChar w:fldCharType="begin"/>
      </w:r>
      <w:r w:rsidRPr="007809F4">
        <w:rPr>
          <w:rFonts w:asciiTheme="minorHAnsi" w:hAnsiTheme="minorHAnsi" w:cstheme="minorHAnsi"/>
        </w:rPr>
        <w:instrText xml:space="preserve"> TA \s "El-Ghourani v R [2009] NSWCCA 140" </w:instrText>
      </w:r>
      <w:r w:rsidRPr="00EB7F1E">
        <w:rPr>
          <w:rFonts w:asciiTheme="minorHAnsi" w:hAnsiTheme="minorHAnsi" w:cstheme="minorHAnsi"/>
        </w:rPr>
        <w:fldChar w:fldCharType="end"/>
      </w:r>
      <w:r w:rsidRPr="007809F4">
        <w:rPr>
          <w:rFonts w:asciiTheme="minorHAnsi" w:hAnsiTheme="minorHAnsi" w:cstheme="minorHAnsi"/>
        </w:rPr>
        <w:t xml:space="preserve">, [15]-[37]; </w:t>
      </w:r>
      <w:r w:rsidRPr="007809F4">
        <w:rPr>
          <w:rFonts w:asciiTheme="minorHAnsi" w:hAnsiTheme="minorHAnsi" w:cstheme="minorHAnsi"/>
          <w:i/>
        </w:rPr>
        <w:t>Ly v R</w:t>
      </w:r>
      <w:r w:rsidRPr="007809F4">
        <w:rPr>
          <w:rFonts w:asciiTheme="minorHAnsi" w:hAnsiTheme="minorHAnsi" w:cstheme="minorHAnsi"/>
        </w:rPr>
        <w:t xml:space="preserve"> (2014) 227 FCR 304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Ly v R</w:instrText>
      </w:r>
      <w:r w:rsidRPr="007809F4">
        <w:rPr>
          <w:rFonts w:asciiTheme="minorHAnsi" w:hAnsiTheme="minorHAnsi" w:cstheme="minorHAnsi"/>
        </w:rPr>
        <w:instrText xml:space="preserve"> (2014) 227 FCR 304</w:instrText>
      </w:r>
      <w:r w:rsidRPr="00EB7F1E">
        <w:rPr>
          <w:rFonts w:asciiTheme="minorHAnsi" w:hAnsiTheme="minorHAnsi" w:cstheme="minorHAnsi"/>
        </w:rPr>
        <w:instrText xml:space="preserve">" \s "Ly v R (2014) 227 FCR 304" \c 1 </w:instrText>
      </w:r>
      <w:r w:rsidRPr="00EB7F1E">
        <w:rPr>
          <w:rFonts w:asciiTheme="minorHAnsi" w:hAnsiTheme="minorHAnsi" w:cstheme="minorHAnsi"/>
        </w:rPr>
        <w:fldChar w:fldCharType="end"/>
      </w:r>
      <w:r w:rsidRPr="007809F4">
        <w:rPr>
          <w:rFonts w:asciiTheme="minorHAnsi" w:hAnsiTheme="minorHAnsi" w:cstheme="minorHAnsi"/>
        </w:rPr>
        <w:t xml:space="preserve">, [89]-[100]; </w:t>
      </w:r>
      <w:r w:rsidRPr="007809F4">
        <w:rPr>
          <w:rFonts w:asciiTheme="minorHAnsi" w:hAnsiTheme="minorHAnsi" w:cstheme="minorHAnsi"/>
          <w:i/>
        </w:rPr>
        <w:t>Schanker v R</w:t>
      </w:r>
      <w:r w:rsidRPr="007809F4">
        <w:rPr>
          <w:rFonts w:asciiTheme="minorHAnsi" w:hAnsiTheme="minorHAnsi" w:cstheme="minorHAnsi"/>
        </w:rPr>
        <w:t xml:space="preserve"> [2018] VSCA 94</w:t>
      </w:r>
      <w:r w:rsidRPr="00EB7F1E">
        <w:rPr>
          <w:rFonts w:asciiTheme="minorHAnsi" w:hAnsiTheme="minorHAnsi" w:cstheme="minorHAnsi"/>
        </w:rPr>
        <w:fldChar w:fldCharType="begin"/>
      </w:r>
      <w:r w:rsidRPr="007809F4">
        <w:rPr>
          <w:rFonts w:asciiTheme="minorHAnsi" w:hAnsiTheme="minorHAnsi" w:cstheme="minorHAnsi"/>
        </w:rPr>
        <w:instrText xml:space="preserve"> TA \s "Schanker v R [2018] VSCA 94" </w:instrText>
      </w:r>
      <w:r w:rsidRPr="00EB7F1E">
        <w:rPr>
          <w:rFonts w:asciiTheme="minorHAnsi" w:hAnsiTheme="minorHAnsi" w:cstheme="minorHAnsi"/>
        </w:rPr>
        <w:fldChar w:fldCharType="end"/>
      </w:r>
      <w:r w:rsidRPr="007809F4">
        <w:rPr>
          <w:rFonts w:asciiTheme="minorHAnsi" w:hAnsiTheme="minorHAnsi" w:cstheme="minorHAnsi"/>
        </w:rPr>
        <w:t>, [181]-[210].</w:t>
      </w:r>
    </w:p>
  </w:footnote>
  <w:footnote w:id="123">
    <w:p w14:paraId="1D369E75" w14:textId="5C8B0B1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El-Ghourani v R</w:t>
      </w:r>
      <w:r w:rsidRPr="007809F4">
        <w:rPr>
          <w:rFonts w:asciiTheme="minorHAnsi" w:hAnsiTheme="minorHAnsi" w:cstheme="minorHAnsi"/>
        </w:rPr>
        <w:t xml:space="preserve"> [2009] NSWCCA 140</w:t>
      </w:r>
      <w:r w:rsidRPr="00EB7F1E">
        <w:rPr>
          <w:rFonts w:asciiTheme="minorHAnsi" w:hAnsiTheme="minorHAnsi" w:cstheme="minorHAnsi"/>
        </w:rPr>
        <w:fldChar w:fldCharType="begin"/>
      </w:r>
      <w:r w:rsidRPr="007809F4">
        <w:rPr>
          <w:rFonts w:asciiTheme="minorHAnsi" w:hAnsiTheme="minorHAnsi" w:cstheme="minorHAnsi"/>
        </w:rPr>
        <w:instrText xml:space="preserve"> TA \s "El-Ghourani v R [2009] NSWCCA 140" </w:instrText>
      </w:r>
      <w:r w:rsidRPr="00EB7F1E">
        <w:rPr>
          <w:rFonts w:asciiTheme="minorHAnsi" w:hAnsiTheme="minorHAnsi" w:cstheme="minorHAnsi"/>
        </w:rPr>
        <w:fldChar w:fldCharType="end"/>
      </w:r>
      <w:r w:rsidRPr="007809F4">
        <w:rPr>
          <w:rFonts w:asciiTheme="minorHAnsi" w:hAnsiTheme="minorHAnsi" w:cstheme="minorHAnsi"/>
        </w:rPr>
        <w:t xml:space="preserve">, [15]-[37]; </w:t>
      </w:r>
      <w:r w:rsidRPr="007809F4">
        <w:rPr>
          <w:rFonts w:asciiTheme="minorHAnsi" w:hAnsiTheme="minorHAnsi" w:cstheme="minorHAnsi"/>
          <w:i/>
        </w:rPr>
        <w:t>R v Tranter (No 2)</w:t>
      </w:r>
      <w:r w:rsidRPr="007809F4">
        <w:rPr>
          <w:rFonts w:asciiTheme="minorHAnsi" w:hAnsiTheme="minorHAnsi" w:cstheme="minorHAnsi"/>
        </w:rPr>
        <w:t xml:space="preserve"> (2014) 119 SASR 480</w:t>
      </w:r>
      <w:r w:rsidRPr="00EB7F1E">
        <w:rPr>
          <w:rFonts w:asciiTheme="minorHAnsi" w:hAnsiTheme="minorHAnsi" w:cstheme="minorHAnsi"/>
        </w:rPr>
        <w:fldChar w:fldCharType="begin"/>
      </w:r>
      <w:r w:rsidRPr="007809F4">
        <w:rPr>
          <w:rFonts w:asciiTheme="minorHAnsi" w:hAnsiTheme="minorHAnsi" w:cstheme="minorHAnsi"/>
        </w:rPr>
        <w:instrText xml:space="preserve"> TA \s "R v Tranter (No 2) (2014) 119 SASR 480"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4">
    <w:p w14:paraId="766239A3" w14:textId="4DE8F0F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_Ref493250975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_Ref493250984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Taking other federal offences into account</w:t>
      </w:r>
      <w:r w:rsidRPr="00EB7F1E">
        <w:rPr>
          <w:rFonts w:asciiTheme="minorHAnsi" w:hAnsiTheme="minorHAnsi" w:cstheme="minorHAnsi"/>
        </w:rPr>
        <w:fldChar w:fldCharType="end"/>
      </w:r>
      <w:r w:rsidRPr="007809F4">
        <w:rPr>
          <w:rFonts w:asciiTheme="minorHAnsi" w:hAnsiTheme="minorHAnsi" w:cstheme="minorHAnsi"/>
        </w:rPr>
        <w:t>”.</w:t>
      </w:r>
    </w:p>
  </w:footnote>
  <w:footnote w:id="125">
    <w:p w14:paraId="0FAB80DE" w14:textId="79EEF05F" w:rsidR="00D44BCF" w:rsidRPr="007809F4" w:rsidRDefault="00D44BCF" w:rsidP="00051A41">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See “</w:t>
      </w:r>
      <w:r w:rsidRPr="00EB7F1E">
        <w:rPr>
          <w:rFonts w:asciiTheme="minorHAnsi" w:hAnsiTheme="minorHAnsi" w:cstheme="minorHAnsi"/>
        </w:rPr>
        <w:fldChar w:fldCharType="begin"/>
      </w:r>
      <w:r w:rsidRPr="00EB7F1E">
        <w:rPr>
          <w:rFonts w:asciiTheme="minorHAnsi" w:hAnsiTheme="minorHAnsi" w:cstheme="minorHAnsi"/>
        </w:rPr>
        <w:instrText xml:space="preserve"> REF _Ref491271918 \r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4.4.2</w:t>
      </w:r>
      <w:r w:rsidRPr="00EB7F1E">
        <w:rPr>
          <w:rFonts w:asciiTheme="minorHAnsi" w:hAnsiTheme="minorHAnsi" w:cstheme="minorHAnsi"/>
        </w:rPr>
        <w:fldChar w:fldCharType="end"/>
      </w:r>
      <w:r w:rsidRPr="00EB7F1E">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_Ref491271921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Other offences taken into account – s 16A(2)(b)</w:t>
      </w:r>
      <w:r w:rsidRPr="00EB7F1E">
        <w:rPr>
          <w:rFonts w:asciiTheme="minorHAnsi" w:hAnsiTheme="minorHAnsi" w:cstheme="minorHAnsi"/>
        </w:rPr>
        <w:fldChar w:fldCharType="end"/>
      </w:r>
      <w:r w:rsidRPr="00EB7F1E">
        <w:rPr>
          <w:rFonts w:asciiTheme="minorHAnsi" w:hAnsiTheme="minorHAnsi" w:cstheme="minorHAnsi"/>
        </w:rPr>
        <w:t>”.</w:t>
      </w:r>
    </w:p>
  </w:footnote>
  <w:footnote w:id="126">
    <w:p w14:paraId="314A1F0C" w14:textId="2221CC6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Abbas v R </w:t>
      </w:r>
      <w:r w:rsidRPr="007809F4">
        <w:rPr>
          <w:rFonts w:asciiTheme="minorHAnsi" w:hAnsiTheme="minorHAnsi" w:cstheme="minorHAnsi"/>
        </w:rPr>
        <w:t>[2013] NSWCCA 115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Abbas v R </w:instrText>
      </w:r>
      <w:r w:rsidRPr="007809F4">
        <w:rPr>
          <w:rFonts w:asciiTheme="minorHAnsi" w:hAnsiTheme="minorHAnsi" w:cstheme="minorHAnsi"/>
        </w:rPr>
        <w:instrText>[2013] NSWCCA 115</w:instrText>
      </w:r>
      <w:r w:rsidRPr="00EB7F1E">
        <w:rPr>
          <w:rFonts w:asciiTheme="minorHAnsi" w:hAnsiTheme="minorHAnsi" w:cstheme="minorHAnsi"/>
        </w:rPr>
        <w:instrText xml:space="preserve">" \s "Abbas v R [2013] NSWCCA 115"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7">
    <w:p w14:paraId="4D3A554E" w14:textId="57FE278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Cs/>
        </w:rPr>
        <w:t>Under s 4 of the uniform</w:t>
      </w:r>
      <w:r w:rsidRPr="007809F4">
        <w:rPr>
          <w:rFonts w:asciiTheme="minorHAnsi" w:hAnsiTheme="minorHAnsi" w:cstheme="minorHAnsi"/>
          <w:bCs/>
          <w:i/>
          <w:iCs/>
        </w:rPr>
        <w:t xml:space="preserve"> Evidence Acts </w:t>
      </w:r>
      <w:r w:rsidRPr="007809F4">
        <w:rPr>
          <w:rFonts w:asciiTheme="minorHAnsi" w:hAnsiTheme="minorHAnsi" w:cstheme="minorHAnsi"/>
          <w:bCs/>
          <w:iCs/>
        </w:rPr>
        <w:t xml:space="preserve">(which apply to federal courts and to courts in NSW, Victoria, Tasmania, the ACT, the NT and Norfolk Island), the Acts do not apply to a proceeding which relates to sentencing, unless the court so directs.  In other jurisdictions, statutes also provide that the rules of evidence (at least presumptively) do not apply to sentencing proceedings: see, e.g., </w:t>
      </w:r>
      <w:r w:rsidRPr="007809F4">
        <w:rPr>
          <w:rFonts w:asciiTheme="minorHAnsi" w:hAnsiTheme="minorHAnsi" w:cstheme="minorHAnsi"/>
          <w:bCs/>
          <w:i/>
          <w:iCs/>
        </w:rPr>
        <w:t>Sentencing Act 2017</w:t>
      </w:r>
      <w:r w:rsidRPr="007809F4">
        <w:rPr>
          <w:rFonts w:asciiTheme="minorHAnsi" w:hAnsiTheme="minorHAnsi" w:cstheme="minorHAnsi"/>
          <w:bCs/>
          <w:iCs/>
        </w:rPr>
        <w:t xml:space="preserve"> (SA), s 12.</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28">
    <w:p w14:paraId="44FD13A7" w14:textId="2E6376B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w:t>
      </w:r>
      <w:r w:rsidRPr="007809F4">
        <w:rPr>
          <w:rFonts w:asciiTheme="minorHAnsi" w:hAnsiTheme="minorHAnsi" w:cstheme="minorHAnsi"/>
          <w:i/>
        </w:rPr>
        <w:t>R v Qutami</w:t>
      </w:r>
      <w:r w:rsidRPr="007809F4">
        <w:rPr>
          <w:rFonts w:asciiTheme="minorHAnsi" w:hAnsiTheme="minorHAnsi" w:cstheme="minorHAnsi"/>
        </w:rPr>
        <w:t xml:space="preserve"> (2001) 127 A Crim R 369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Qutami</w:instrText>
      </w:r>
      <w:r w:rsidRPr="007809F4">
        <w:rPr>
          <w:rFonts w:asciiTheme="minorHAnsi" w:hAnsiTheme="minorHAnsi" w:cstheme="minorHAnsi"/>
        </w:rPr>
        <w:instrText xml:space="preserve"> (2001) 127 A Crim R 369</w:instrText>
      </w:r>
      <w:r w:rsidRPr="00EB7F1E">
        <w:rPr>
          <w:rFonts w:asciiTheme="minorHAnsi" w:hAnsiTheme="minorHAnsi" w:cstheme="minorHAnsi"/>
        </w:rPr>
        <w:instrText xml:space="preserve">" \s "R v Qutami (2001) 127 A Crim R 369" \c 1 </w:instrText>
      </w:r>
      <w:r w:rsidRPr="00EB7F1E">
        <w:rPr>
          <w:rFonts w:asciiTheme="minorHAnsi" w:hAnsiTheme="minorHAnsi" w:cstheme="minorHAnsi"/>
        </w:rPr>
        <w:fldChar w:fldCharType="end"/>
      </w:r>
      <w:r w:rsidRPr="007809F4">
        <w:rPr>
          <w:rFonts w:asciiTheme="minorHAnsi" w:hAnsiTheme="minorHAnsi" w:cstheme="minorHAnsi"/>
        </w:rPr>
        <w:t xml:space="preserve">, [58]-[59]; </w:t>
      </w:r>
      <w:r w:rsidRPr="007809F4">
        <w:rPr>
          <w:rFonts w:asciiTheme="minorHAnsi" w:hAnsiTheme="minorHAnsi" w:cstheme="minorHAnsi"/>
          <w:i/>
        </w:rPr>
        <w:t>Mun v R</w:t>
      </w:r>
      <w:r w:rsidRPr="007809F4">
        <w:rPr>
          <w:rFonts w:asciiTheme="minorHAnsi" w:hAnsiTheme="minorHAnsi" w:cstheme="minorHAnsi"/>
        </w:rPr>
        <w:t xml:space="preserve"> [2015] NSWCCA 234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Mun v R</w:instrText>
      </w:r>
      <w:r w:rsidRPr="007809F4">
        <w:rPr>
          <w:rFonts w:asciiTheme="minorHAnsi" w:hAnsiTheme="minorHAnsi" w:cstheme="minorHAnsi"/>
        </w:rPr>
        <w:instrText xml:space="preserve"> [2015] NSWCCA 234</w:instrText>
      </w:r>
      <w:r w:rsidRPr="00EB7F1E">
        <w:rPr>
          <w:rFonts w:asciiTheme="minorHAnsi" w:hAnsiTheme="minorHAnsi" w:cstheme="minorHAnsi"/>
        </w:rPr>
        <w:instrText xml:space="preserve">" \s "Mun v R [2015] NSWCCA 234"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Halac v R</w:t>
      </w:r>
      <w:r w:rsidRPr="007809F4">
        <w:rPr>
          <w:rFonts w:asciiTheme="minorHAnsi" w:hAnsiTheme="minorHAnsi" w:cstheme="minorHAnsi"/>
        </w:rPr>
        <w:t xml:space="preserve"> [2015] NSWCCA 121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Halac v R</w:instrText>
      </w:r>
      <w:r w:rsidRPr="007809F4">
        <w:rPr>
          <w:rFonts w:asciiTheme="minorHAnsi" w:hAnsiTheme="minorHAnsi" w:cstheme="minorHAnsi"/>
        </w:rPr>
        <w:instrText xml:space="preserve"> [2015] NSWCCA 121</w:instrText>
      </w:r>
      <w:r w:rsidRPr="00EB7F1E">
        <w:rPr>
          <w:rFonts w:asciiTheme="minorHAnsi" w:hAnsiTheme="minorHAnsi" w:cstheme="minorHAnsi"/>
        </w:rPr>
        <w:instrText xml:space="preserve">" \s "Halac v R [2015] NSWCCA 121" \c 1 </w:instrText>
      </w:r>
      <w:r w:rsidRPr="00EB7F1E">
        <w:rPr>
          <w:rFonts w:asciiTheme="minorHAnsi" w:hAnsiTheme="minorHAnsi" w:cstheme="minorHAnsi"/>
        </w:rPr>
        <w:fldChar w:fldCharType="end"/>
      </w:r>
      <w:r w:rsidRPr="007809F4">
        <w:rPr>
          <w:rFonts w:asciiTheme="minorHAnsi" w:hAnsiTheme="minorHAnsi" w:cstheme="minorHAnsi"/>
        </w:rPr>
        <w:t xml:space="preserve">, [106].  Assertions in statements and letters by an offender should also be treated with considerable circumspection and may be deserving of little or no weight: </w:t>
      </w:r>
      <w:r w:rsidRPr="007809F4">
        <w:rPr>
          <w:rFonts w:asciiTheme="minorHAnsi" w:hAnsiTheme="minorHAnsi" w:cstheme="minorHAnsi"/>
          <w:i/>
        </w:rPr>
        <w:t>R v Palu</w:t>
      </w:r>
      <w:r w:rsidRPr="007809F4">
        <w:rPr>
          <w:rFonts w:asciiTheme="minorHAnsi" w:hAnsiTheme="minorHAnsi" w:cstheme="minorHAnsi"/>
        </w:rPr>
        <w:t xml:space="preserve"> </w:t>
      </w:r>
      <w:hyperlink r:id="rId1" w:tooltip="Supreme Court of New South Wales Court of Criminal Appeal" w:history="1">
        <w:r w:rsidRPr="007809F4">
          <w:rPr>
            <w:rFonts w:asciiTheme="minorHAnsi" w:hAnsiTheme="minorHAnsi" w:cstheme="minorHAnsi"/>
          </w:rPr>
          <w:t>[2002] NSWCCA 381</w:t>
        </w:r>
      </w:hyperlink>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Palu</w:instrText>
      </w:r>
      <w:r w:rsidRPr="007809F4">
        <w:rPr>
          <w:rFonts w:asciiTheme="minorHAnsi" w:hAnsiTheme="minorHAnsi" w:cstheme="minorHAnsi"/>
        </w:rPr>
        <w:instrText xml:space="preserve"> [2002] NSWCCA 381</w:instrText>
      </w:r>
      <w:r w:rsidRPr="00EB7F1E">
        <w:rPr>
          <w:rFonts w:asciiTheme="minorHAnsi" w:hAnsiTheme="minorHAnsi" w:cstheme="minorHAnsi"/>
        </w:rPr>
        <w:instrText xml:space="preserve">" \s "R v Palu [2002] NSWCCA 381" \c 1 </w:instrText>
      </w:r>
      <w:r w:rsidRPr="00EB7F1E">
        <w:rPr>
          <w:rFonts w:asciiTheme="minorHAnsi" w:hAnsiTheme="minorHAnsi" w:cstheme="minorHAnsi"/>
        </w:rPr>
        <w:fldChar w:fldCharType="end"/>
      </w:r>
      <w:r w:rsidRPr="007809F4">
        <w:rPr>
          <w:rFonts w:asciiTheme="minorHAnsi" w:hAnsiTheme="minorHAnsi" w:cstheme="minorHAnsi"/>
        </w:rPr>
        <w:t xml:space="preserve">, [40]–[41]; </w:t>
      </w:r>
      <w:r w:rsidRPr="007809F4">
        <w:rPr>
          <w:rFonts w:asciiTheme="minorHAnsi" w:hAnsiTheme="minorHAnsi" w:cstheme="minorHAnsi"/>
          <w:i/>
        </w:rPr>
        <w:t>R v Elfar</w:t>
      </w:r>
      <w:r w:rsidRPr="007809F4">
        <w:rPr>
          <w:rFonts w:asciiTheme="minorHAnsi" w:hAnsiTheme="minorHAnsi" w:cstheme="minorHAnsi"/>
        </w:rPr>
        <w:t xml:space="preserve"> </w:t>
      </w:r>
      <w:hyperlink r:id="rId2" w:tooltip="Supreme Court of New South Wales Court of Criminal Appeal" w:history="1">
        <w:r w:rsidRPr="007809F4">
          <w:rPr>
            <w:rFonts w:asciiTheme="minorHAnsi" w:hAnsiTheme="minorHAnsi" w:cstheme="minorHAnsi"/>
          </w:rPr>
          <w:t>[2003] NSWCCA 358</w:t>
        </w:r>
      </w:hyperlink>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Elfar</w:instrText>
      </w:r>
      <w:r w:rsidRPr="007809F4">
        <w:rPr>
          <w:rFonts w:asciiTheme="minorHAnsi" w:hAnsiTheme="minorHAnsi" w:cstheme="minorHAnsi"/>
        </w:rPr>
        <w:instrText xml:space="preserve"> [2003] NSWCCA 358</w:instrText>
      </w:r>
      <w:r w:rsidRPr="00EB7F1E">
        <w:rPr>
          <w:rFonts w:asciiTheme="minorHAnsi" w:hAnsiTheme="minorHAnsi" w:cstheme="minorHAnsi"/>
        </w:rPr>
        <w:instrText xml:space="preserve">" \s "R v Elfar [2003] NSWCCA 358" \c 1 </w:instrText>
      </w:r>
      <w:r w:rsidRPr="00EB7F1E">
        <w:rPr>
          <w:rFonts w:asciiTheme="minorHAnsi" w:hAnsiTheme="minorHAnsi" w:cstheme="minorHAnsi"/>
        </w:rPr>
        <w:fldChar w:fldCharType="end"/>
      </w:r>
      <w:r w:rsidRPr="007809F4">
        <w:rPr>
          <w:rFonts w:asciiTheme="minorHAnsi" w:hAnsiTheme="minorHAnsi" w:cstheme="minorHAnsi"/>
        </w:rPr>
        <w:t xml:space="preserve">, [25]; </w:t>
      </w:r>
      <w:r w:rsidRPr="007809F4">
        <w:rPr>
          <w:rFonts w:asciiTheme="minorHAnsi" w:hAnsiTheme="minorHAnsi" w:cstheme="minorHAnsi"/>
          <w:i/>
        </w:rPr>
        <w:t>R v McGourty</w:t>
      </w:r>
      <w:r w:rsidRPr="007809F4">
        <w:rPr>
          <w:rFonts w:asciiTheme="minorHAnsi" w:hAnsiTheme="minorHAnsi" w:cstheme="minorHAnsi"/>
        </w:rPr>
        <w:t xml:space="preserve"> </w:t>
      </w:r>
      <w:hyperlink r:id="rId3" w:tooltip="Supreme Court of New South Wales Court of Criminal Appeal" w:history="1">
        <w:r w:rsidRPr="007809F4">
          <w:rPr>
            <w:rFonts w:asciiTheme="minorHAnsi" w:hAnsiTheme="minorHAnsi" w:cstheme="minorHAnsi"/>
          </w:rPr>
          <w:t>[2002] NSWCCA 335</w:t>
        </w:r>
      </w:hyperlink>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McGourty</w:instrText>
      </w:r>
      <w:r w:rsidRPr="007809F4">
        <w:rPr>
          <w:rFonts w:asciiTheme="minorHAnsi" w:hAnsiTheme="minorHAnsi" w:cstheme="minorHAnsi"/>
        </w:rPr>
        <w:instrText xml:space="preserve"> [2002] NSWCCA 335</w:instrText>
      </w:r>
      <w:r w:rsidRPr="00EB7F1E">
        <w:rPr>
          <w:rFonts w:asciiTheme="minorHAnsi" w:hAnsiTheme="minorHAnsi" w:cstheme="minorHAnsi"/>
        </w:rPr>
        <w:instrText xml:space="preserve">" \s "R v McGourty [2002] NSWCCA 335" \c 1 </w:instrText>
      </w:r>
      <w:r w:rsidRPr="00EB7F1E">
        <w:rPr>
          <w:rFonts w:asciiTheme="minorHAnsi" w:hAnsiTheme="minorHAnsi" w:cstheme="minorHAnsi"/>
        </w:rPr>
        <w:fldChar w:fldCharType="end"/>
      </w:r>
      <w:r w:rsidRPr="007809F4">
        <w:rPr>
          <w:rFonts w:asciiTheme="minorHAnsi" w:hAnsiTheme="minorHAnsi" w:cstheme="minorHAnsi"/>
        </w:rPr>
        <w:t xml:space="preserve">, [24]-[25]; </w:t>
      </w:r>
      <w:r w:rsidRPr="00EB7F1E">
        <w:rPr>
          <w:rFonts w:asciiTheme="minorHAnsi" w:hAnsiTheme="minorHAnsi" w:cstheme="minorHAnsi"/>
          <w:i/>
        </w:rPr>
        <w:t>Newman v R</w:t>
      </w:r>
      <w:r w:rsidRPr="00EB7F1E">
        <w:rPr>
          <w:rFonts w:asciiTheme="minorHAnsi" w:hAnsiTheme="minorHAnsi" w:cstheme="minorHAnsi"/>
        </w:rPr>
        <w:t xml:space="preserve"> [2018] NSWCCA 208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Newman v R</w:instrText>
      </w:r>
      <w:r w:rsidRPr="00EB7F1E">
        <w:rPr>
          <w:rFonts w:asciiTheme="minorHAnsi" w:hAnsiTheme="minorHAnsi" w:cstheme="minorHAnsi"/>
        </w:rPr>
        <w:instrText xml:space="preserve"> [2018] NSWCCA 208" \s "Newman v R [2018] NSWCCA 208" \c 1 </w:instrText>
      </w:r>
      <w:r w:rsidRPr="00EB7F1E">
        <w:rPr>
          <w:rFonts w:asciiTheme="minorHAnsi" w:hAnsiTheme="minorHAnsi" w:cstheme="minorHAnsi"/>
        </w:rPr>
        <w:fldChar w:fldCharType="end"/>
      </w:r>
      <w:r w:rsidRPr="007809F4">
        <w:rPr>
          <w:rFonts w:asciiTheme="minorHAnsi" w:hAnsiTheme="minorHAnsi" w:cstheme="minorHAnsi"/>
        </w:rPr>
        <w:t xml:space="preserve">, [25]; </w:t>
      </w:r>
      <w:r w:rsidRPr="00EB7F1E">
        <w:rPr>
          <w:rFonts w:asciiTheme="minorHAnsi" w:hAnsiTheme="minorHAnsi" w:cstheme="minorHAnsi"/>
          <w:i/>
        </w:rPr>
        <w:t>IM v R</w:t>
      </w:r>
      <w:r w:rsidRPr="007809F4">
        <w:rPr>
          <w:rFonts w:asciiTheme="minorHAnsi" w:hAnsiTheme="minorHAnsi" w:cstheme="minorHAnsi"/>
        </w:rPr>
        <w:t xml:space="preserve"> [2019] NSWCCA 107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IM v R</w:instrText>
      </w:r>
      <w:r w:rsidRPr="007809F4">
        <w:rPr>
          <w:rFonts w:asciiTheme="minorHAnsi" w:hAnsiTheme="minorHAnsi" w:cstheme="minorHAnsi"/>
        </w:rPr>
        <w:instrText xml:space="preserve"> [2019] NSWCCA 107</w:instrText>
      </w:r>
      <w:r w:rsidRPr="00EB7F1E">
        <w:rPr>
          <w:rFonts w:asciiTheme="minorHAnsi" w:hAnsiTheme="minorHAnsi" w:cstheme="minorHAnsi"/>
        </w:rPr>
        <w:instrText xml:space="preserve">" \s "IM v R [2019] NSWCCA 107" \c 1 </w:instrText>
      </w:r>
      <w:r w:rsidRPr="00EB7F1E">
        <w:rPr>
          <w:rFonts w:asciiTheme="minorHAnsi" w:hAnsiTheme="minorHAnsi" w:cstheme="minorHAnsi"/>
        </w:rPr>
        <w:fldChar w:fldCharType="end"/>
      </w:r>
      <w:r w:rsidRPr="007809F4">
        <w:rPr>
          <w:rFonts w:asciiTheme="minorHAnsi" w:hAnsiTheme="minorHAnsi" w:cstheme="minorHAnsi"/>
        </w:rPr>
        <w:t xml:space="preserve">, [20].  See the summary of relevant principles in </w:t>
      </w:r>
      <w:r w:rsidRPr="007809F4">
        <w:rPr>
          <w:rFonts w:asciiTheme="minorHAnsi" w:hAnsiTheme="minorHAnsi" w:cstheme="minorHAnsi"/>
          <w:i/>
        </w:rPr>
        <w:t>Imbornone v R</w:t>
      </w:r>
      <w:r w:rsidRPr="007809F4">
        <w:rPr>
          <w:rFonts w:asciiTheme="minorHAnsi" w:hAnsiTheme="minorHAnsi" w:cstheme="minorHAnsi"/>
        </w:rPr>
        <w:t xml:space="preserve"> [2017] NSWCCA 144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Imbornone v R</w:instrText>
      </w:r>
      <w:r w:rsidRPr="007809F4">
        <w:rPr>
          <w:rFonts w:asciiTheme="minorHAnsi" w:hAnsiTheme="minorHAnsi" w:cstheme="minorHAnsi"/>
        </w:rPr>
        <w:instrText xml:space="preserve"> [2017] NSWCCA 144</w:instrText>
      </w:r>
      <w:r w:rsidRPr="00EB7F1E">
        <w:rPr>
          <w:rFonts w:asciiTheme="minorHAnsi" w:hAnsiTheme="minorHAnsi" w:cstheme="minorHAnsi"/>
        </w:rPr>
        <w:instrText xml:space="preserve">" \s "Imbornone v R [2017] NSWCCA 144" \c 1 </w:instrText>
      </w:r>
      <w:r w:rsidRPr="00EB7F1E">
        <w:rPr>
          <w:rFonts w:asciiTheme="minorHAnsi" w:hAnsiTheme="minorHAnsi" w:cstheme="minorHAnsi"/>
        </w:rPr>
        <w:fldChar w:fldCharType="end"/>
      </w:r>
      <w:r w:rsidRPr="007809F4">
        <w:rPr>
          <w:rFonts w:asciiTheme="minorHAnsi" w:hAnsiTheme="minorHAnsi" w:cstheme="minorHAnsi"/>
        </w:rPr>
        <w:t>, [57].</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29">
    <w:p w14:paraId="104B196B" w14:textId="0074A9D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For example,</w:t>
      </w:r>
      <w:r w:rsidRPr="007809F4">
        <w:rPr>
          <w:rFonts w:asciiTheme="minorHAnsi" w:hAnsiTheme="minorHAnsi" w:cstheme="minorHAnsi"/>
          <w:i/>
        </w:rPr>
        <w:t xml:space="preserve"> R v Benbrika</w:t>
      </w:r>
      <w:r w:rsidRPr="007809F4">
        <w:rPr>
          <w:rFonts w:asciiTheme="minorHAnsi" w:hAnsiTheme="minorHAnsi" w:cstheme="minorHAnsi"/>
        </w:rPr>
        <w:t xml:space="preserve"> [2009] VSC 21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Benbrika</w:instrText>
      </w:r>
      <w:r w:rsidRPr="007809F4">
        <w:rPr>
          <w:rFonts w:asciiTheme="minorHAnsi" w:hAnsiTheme="minorHAnsi" w:cstheme="minorHAnsi"/>
        </w:rPr>
        <w:instrText xml:space="preserve"> [2009] VSC 21</w:instrText>
      </w:r>
      <w:r w:rsidRPr="00EB7F1E">
        <w:rPr>
          <w:rFonts w:asciiTheme="minorHAnsi" w:hAnsiTheme="minorHAnsi" w:cstheme="minorHAnsi"/>
        </w:rPr>
        <w:instrText xml:space="preserve">" \s "R v Benbrika [2009] VSC 21" \c 1 </w:instrText>
      </w:r>
      <w:r w:rsidRPr="00EB7F1E">
        <w:rPr>
          <w:rFonts w:asciiTheme="minorHAnsi" w:hAnsiTheme="minorHAnsi" w:cstheme="minorHAnsi"/>
        </w:rPr>
        <w:fldChar w:fldCharType="end"/>
      </w:r>
      <w:r w:rsidRPr="007809F4">
        <w:rPr>
          <w:rFonts w:asciiTheme="minorHAnsi" w:hAnsiTheme="minorHAnsi" w:cstheme="minorHAnsi"/>
        </w:rPr>
        <w:t xml:space="preserve">, [148]-[151] (endorsed on appeal: </w:t>
      </w:r>
      <w:r w:rsidRPr="007809F4">
        <w:rPr>
          <w:rFonts w:asciiTheme="minorHAnsi" w:hAnsiTheme="minorHAnsi" w:cstheme="minorHAnsi"/>
          <w:i/>
        </w:rPr>
        <w:t>Benbrika v R</w:t>
      </w:r>
      <w:r w:rsidRPr="007809F4">
        <w:rPr>
          <w:rFonts w:asciiTheme="minorHAnsi" w:hAnsiTheme="minorHAnsi" w:cstheme="minorHAnsi"/>
        </w:rPr>
        <w:t xml:space="preserve"> (2010) 29 VR 593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Benbrika v R</w:instrText>
      </w:r>
      <w:r w:rsidRPr="007809F4">
        <w:rPr>
          <w:rFonts w:asciiTheme="minorHAnsi" w:hAnsiTheme="minorHAnsi" w:cstheme="minorHAnsi"/>
        </w:rPr>
        <w:instrText xml:space="preserve"> (2010) 29 VR 593</w:instrText>
      </w:r>
      <w:r w:rsidRPr="00EB7F1E">
        <w:rPr>
          <w:rFonts w:asciiTheme="minorHAnsi" w:hAnsiTheme="minorHAnsi" w:cstheme="minorHAnsi"/>
        </w:rPr>
        <w:instrText xml:space="preserve">" \s "Benbrika v R (2010) 29 VR 593" \c 1 </w:instrText>
      </w:r>
      <w:r w:rsidRPr="00EB7F1E">
        <w:rPr>
          <w:rFonts w:asciiTheme="minorHAnsi" w:hAnsiTheme="minorHAnsi" w:cstheme="minorHAnsi"/>
        </w:rPr>
        <w:fldChar w:fldCharType="end"/>
      </w:r>
      <w:r w:rsidRPr="007809F4">
        <w:rPr>
          <w:rFonts w:asciiTheme="minorHAnsi" w:hAnsiTheme="minorHAnsi" w:cstheme="minorHAnsi"/>
        </w:rPr>
        <w:t xml:space="preserve">, [586]); </w:t>
      </w:r>
      <w:r w:rsidRPr="007809F4">
        <w:rPr>
          <w:rFonts w:asciiTheme="minorHAnsi" w:hAnsiTheme="minorHAnsi" w:cstheme="minorHAnsi"/>
          <w:i/>
        </w:rPr>
        <w:t>Alvares v R</w:t>
      </w:r>
      <w:r w:rsidRPr="007809F4">
        <w:rPr>
          <w:rFonts w:asciiTheme="minorHAnsi" w:hAnsiTheme="minorHAnsi" w:cstheme="minorHAnsi"/>
        </w:rPr>
        <w:t xml:space="preserve"> [2011] NSWCCA 33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Alvares v R</w:instrText>
      </w:r>
      <w:r w:rsidRPr="007809F4">
        <w:rPr>
          <w:rFonts w:asciiTheme="minorHAnsi" w:hAnsiTheme="minorHAnsi" w:cstheme="minorHAnsi"/>
        </w:rPr>
        <w:instrText xml:space="preserve"> [2011] NSWCCA 33</w:instrText>
      </w:r>
      <w:r w:rsidRPr="00EB7F1E">
        <w:rPr>
          <w:rFonts w:asciiTheme="minorHAnsi" w:hAnsiTheme="minorHAnsi" w:cstheme="minorHAnsi"/>
        </w:rPr>
        <w:instrText xml:space="preserve">" \s "Alvares v R [2011] NSWCCA 33" \c 1 </w:instrText>
      </w:r>
      <w:r w:rsidRPr="00EB7F1E">
        <w:rPr>
          <w:rFonts w:asciiTheme="minorHAnsi" w:hAnsiTheme="minorHAnsi" w:cstheme="minorHAnsi"/>
        </w:rPr>
        <w:fldChar w:fldCharType="end"/>
      </w:r>
      <w:r w:rsidRPr="007809F4">
        <w:rPr>
          <w:rFonts w:asciiTheme="minorHAnsi" w:hAnsiTheme="minorHAnsi" w:cstheme="minorHAnsi"/>
        </w:rPr>
        <w:t xml:space="preserve">, [31]-[69]; </w:t>
      </w:r>
      <w:r w:rsidRPr="007809F4">
        <w:rPr>
          <w:rFonts w:asciiTheme="minorHAnsi" w:hAnsiTheme="minorHAnsi" w:cstheme="minorHAnsi"/>
          <w:i/>
        </w:rPr>
        <w:t>Barbaro v R</w:t>
      </w:r>
      <w:r w:rsidRPr="007809F4">
        <w:rPr>
          <w:rFonts w:asciiTheme="minorHAnsi" w:hAnsiTheme="minorHAnsi" w:cstheme="minorHAnsi"/>
        </w:rPr>
        <w:t xml:space="preserve"> [2012] VSCA 288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Barbaro v R</w:instrText>
      </w:r>
      <w:r w:rsidRPr="007809F4">
        <w:rPr>
          <w:rFonts w:asciiTheme="minorHAnsi" w:hAnsiTheme="minorHAnsi" w:cstheme="minorHAnsi"/>
        </w:rPr>
        <w:instrText xml:space="preserve"> [2012] VSCA 288</w:instrText>
      </w:r>
      <w:r w:rsidRPr="00EB7F1E">
        <w:rPr>
          <w:rFonts w:asciiTheme="minorHAnsi" w:hAnsiTheme="minorHAnsi" w:cstheme="minorHAnsi"/>
        </w:rPr>
        <w:instrText xml:space="preserve">" \s "Barbaro v R [2012] VSCA 288" \c 1 </w:instrText>
      </w:r>
      <w:r w:rsidRPr="00EB7F1E">
        <w:rPr>
          <w:rFonts w:asciiTheme="minorHAnsi" w:hAnsiTheme="minorHAnsi" w:cstheme="minorHAnsi"/>
        </w:rPr>
        <w:fldChar w:fldCharType="end"/>
      </w:r>
      <w:r w:rsidRPr="007809F4">
        <w:rPr>
          <w:rFonts w:asciiTheme="minorHAnsi" w:hAnsiTheme="minorHAnsi" w:cstheme="minorHAnsi"/>
        </w:rPr>
        <w:t xml:space="preserve">, [38]; </w:t>
      </w:r>
      <w:r w:rsidRPr="007809F4">
        <w:rPr>
          <w:rFonts w:asciiTheme="minorHAnsi" w:hAnsiTheme="minorHAnsi" w:cstheme="minorHAnsi"/>
          <w:i/>
        </w:rPr>
        <w:t>Elomar v R</w:t>
      </w:r>
      <w:r w:rsidRPr="007809F4">
        <w:rPr>
          <w:rFonts w:asciiTheme="minorHAnsi" w:hAnsiTheme="minorHAnsi" w:cstheme="minorHAnsi"/>
        </w:rPr>
        <w:t xml:space="preserve"> [2014] NSWCCA 303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Elomar v R</w:instrText>
      </w:r>
      <w:r w:rsidRPr="007809F4">
        <w:rPr>
          <w:rFonts w:asciiTheme="minorHAnsi" w:hAnsiTheme="minorHAnsi" w:cstheme="minorHAnsi"/>
        </w:rPr>
        <w:instrText xml:space="preserve"> [2014] NSWCCA 303</w:instrText>
      </w:r>
      <w:r w:rsidRPr="00EB7F1E">
        <w:rPr>
          <w:rFonts w:asciiTheme="minorHAnsi" w:hAnsiTheme="minorHAnsi" w:cstheme="minorHAnsi"/>
        </w:rPr>
        <w:instrText xml:space="preserve">" \s "Elomar v R [2014] NSWCCA 303" \c 1 </w:instrText>
      </w:r>
      <w:r w:rsidRPr="00EB7F1E">
        <w:rPr>
          <w:rFonts w:asciiTheme="minorHAnsi" w:hAnsiTheme="minorHAnsi" w:cstheme="minorHAnsi"/>
        </w:rPr>
        <w:fldChar w:fldCharType="end"/>
      </w:r>
      <w:r w:rsidRPr="007809F4">
        <w:rPr>
          <w:rFonts w:asciiTheme="minorHAnsi" w:hAnsiTheme="minorHAnsi" w:cstheme="minorHAnsi"/>
        </w:rPr>
        <w:t xml:space="preserve">, [815]-[818]; </w:t>
      </w:r>
      <w:r w:rsidRPr="007809F4">
        <w:rPr>
          <w:rFonts w:asciiTheme="minorHAnsi" w:hAnsiTheme="minorHAnsi" w:cstheme="minorHAnsi"/>
          <w:i/>
        </w:rPr>
        <w:t>Islam v R</w:t>
      </w:r>
      <w:r w:rsidRPr="007809F4">
        <w:rPr>
          <w:rFonts w:asciiTheme="minorHAnsi" w:hAnsiTheme="minorHAnsi" w:cstheme="minorHAnsi"/>
        </w:rPr>
        <w:t xml:space="preserve"> [2016] NSWCCA 233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Islam v R</w:instrText>
      </w:r>
      <w:r w:rsidRPr="007809F4">
        <w:rPr>
          <w:rFonts w:asciiTheme="minorHAnsi" w:hAnsiTheme="minorHAnsi" w:cstheme="minorHAnsi"/>
        </w:rPr>
        <w:instrText xml:space="preserve"> [2016] NSWCCA 233</w:instrText>
      </w:r>
      <w:r w:rsidRPr="00EB7F1E">
        <w:rPr>
          <w:rFonts w:asciiTheme="minorHAnsi" w:hAnsiTheme="minorHAnsi" w:cstheme="minorHAnsi"/>
        </w:rPr>
        <w:instrText xml:space="preserve">" \s "Islam v R [2016] NSWCCA 233" \c 1 </w:instrText>
      </w:r>
      <w:r w:rsidRPr="00EB7F1E">
        <w:rPr>
          <w:rFonts w:asciiTheme="minorHAnsi" w:hAnsiTheme="minorHAnsi" w:cstheme="minorHAnsi"/>
        </w:rPr>
        <w:fldChar w:fldCharType="end"/>
      </w:r>
      <w:r w:rsidRPr="007809F4">
        <w:rPr>
          <w:rFonts w:asciiTheme="minorHAnsi" w:hAnsiTheme="minorHAnsi" w:cstheme="minorHAnsi"/>
        </w:rPr>
        <w:t xml:space="preserve">, [95]-[103]; </w:t>
      </w:r>
      <w:r w:rsidRPr="007809F4">
        <w:rPr>
          <w:rFonts w:asciiTheme="minorHAnsi" w:hAnsiTheme="minorHAnsi" w:cstheme="minorHAnsi"/>
          <w:i/>
        </w:rPr>
        <w:t>R v Roe</w:t>
      </w:r>
      <w:r w:rsidRPr="007809F4">
        <w:rPr>
          <w:rFonts w:asciiTheme="minorHAnsi" w:hAnsiTheme="minorHAnsi" w:cstheme="minorHAnsi"/>
        </w:rPr>
        <w:t xml:space="preserve"> [2017] NTCCA 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Roe</w:instrText>
      </w:r>
      <w:r w:rsidRPr="007809F4">
        <w:rPr>
          <w:rFonts w:asciiTheme="minorHAnsi" w:hAnsiTheme="minorHAnsi" w:cstheme="minorHAnsi"/>
        </w:rPr>
        <w:instrText xml:space="preserve"> [2017] NTCCA 7</w:instrText>
      </w:r>
      <w:r w:rsidRPr="00EB7F1E">
        <w:rPr>
          <w:rFonts w:asciiTheme="minorHAnsi" w:hAnsiTheme="minorHAnsi" w:cstheme="minorHAnsi"/>
        </w:rPr>
        <w:instrText xml:space="preserve">" \s "R v Roe [2017] NTCCA 7" \c 1 </w:instrText>
      </w:r>
      <w:r w:rsidRPr="00EB7F1E">
        <w:rPr>
          <w:rFonts w:asciiTheme="minorHAnsi" w:hAnsiTheme="minorHAnsi" w:cstheme="minorHAnsi"/>
        </w:rPr>
        <w:fldChar w:fldCharType="end"/>
      </w:r>
      <w:r w:rsidRPr="007809F4">
        <w:rPr>
          <w:rFonts w:asciiTheme="minorHAnsi" w:hAnsiTheme="minorHAnsi" w:cstheme="minorHAnsi"/>
        </w:rPr>
        <w:t xml:space="preserve">, [107]; </w:t>
      </w:r>
      <w:r w:rsidRPr="00EB7F1E">
        <w:rPr>
          <w:rFonts w:asciiTheme="minorHAnsi" w:hAnsiTheme="minorHAnsi" w:cstheme="minorHAnsi"/>
          <w:i/>
        </w:rPr>
        <w:t>Obiekwe v R</w:t>
      </w:r>
      <w:r w:rsidRPr="007809F4">
        <w:rPr>
          <w:rFonts w:asciiTheme="minorHAnsi" w:hAnsiTheme="minorHAnsi" w:cstheme="minorHAnsi"/>
        </w:rPr>
        <w:t xml:space="preserve"> [2018] NSWCCA 55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Obiekwe v R</w:instrText>
      </w:r>
      <w:r w:rsidRPr="007809F4">
        <w:rPr>
          <w:rFonts w:asciiTheme="minorHAnsi" w:hAnsiTheme="minorHAnsi" w:cstheme="minorHAnsi"/>
        </w:rPr>
        <w:instrText xml:space="preserve"> [2018] NSWCCA 55</w:instrText>
      </w:r>
      <w:r w:rsidRPr="00EB7F1E">
        <w:rPr>
          <w:rFonts w:asciiTheme="minorHAnsi" w:hAnsiTheme="minorHAnsi" w:cstheme="minorHAnsi"/>
        </w:rPr>
        <w:instrText xml:space="preserve">" \s "Obiekwe v R [2018] NSWCCA 55" \c 1 </w:instrText>
      </w:r>
      <w:r w:rsidRPr="00EB7F1E">
        <w:rPr>
          <w:rFonts w:asciiTheme="minorHAnsi" w:hAnsiTheme="minorHAnsi" w:cstheme="minorHAnsi"/>
        </w:rPr>
        <w:fldChar w:fldCharType="end"/>
      </w:r>
      <w:r w:rsidRPr="007809F4">
        <w:rPr>
          <w:rFonts w:asciiTheme="minorHAnsi" w:hAnsiTheme="minorHAnsi" w:cstheme="minorHAnsi"/>
        </w:rPr>
        <w:t xml:space="preserve">, [38]-[40], [55]-[58]; </w:t>
      </w:r>
      <w:r w:rsidRPr="00EB7F1E">
        <w:rPr>
          <w:rFonts w:asciiTheme="minorHAnsi" w:hAnsiTheme="minorHAnsi" w:cstheme="minorHAnsi"/>
          <w:i/>
        </w:rPr>
        <w:t>Singh v R</w:t>
      </w:r>
      <w:r w:rsidRPr="00EB7F1E">
        <w:rPr>
          <w:rFonts w:asciiTheme="minorHAnsi" w:hAnsiTheme="minorHAnsi" w:cstheme="minorHAnsi"/>
        </w:rPr>
        <w:t xml:space="preserve"> [2018] NSWCCA 60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Singh v R</w:instrText>
      </w:r>
      <w:r w:rsidRPr="00EB7F1E">
        <w:rPr>
          <w:rFonts w:asciiTheme="minorHAnsi" w:hAnsiTheme="minorHAnsi" w:cstheme="minorHAnsi"/>
        </w:rPr>
        <w:instrText xml:space="preserve"> [2018] NSWCCA 60" \s "Singh v R [2018] NSWCCA 60" \c 1 </w:instrText>
      </w:r>
      <w:r w:rsidRPr="00EB7F1E">
        <w:rPr>
          <w:rFonts w:asciiTheme="minorHAnsi" w:hAnsiTheme="minorHAnsi" w:cstheme="minorHAnsi"/>
        </w:rPr>
        <w:fldChar w:fldCharType="end"/>
      </w:r>
      <w:r w:rsidRPr="00EB7F1E">
        <w:rPr>
          <w:rFonts w:asciiTheme="minorHAnsi" w:hAnsiTheme="minorHAnsi" w:cstheme="minorHAnsi"/>
        </w:rPr>
        <w:t>, [31];</w:t>
      </w:r>
      <w:r w:rsidRPr="007809F4">
        <w:rPr>
          <w:rFonts w:asciiTheme="minorHAnsi" w:hAnsiTheme="minorHAnsi" w:cstheme="minorHAnsi"/>
        </w:rPr>
        <w:t xml:space="preserve"> </w:t>
      </w:r>
      <w:r w:rsidRPr="00EB7F1E">
        <w:rPr>
          <w:rFonts w:asciiTheme="minorHAnsi" w:hAnsiTheme="minorHAnsi" w:cstheme="minorHAnsi"/>
          <w:i/>
        </w:rPr>
        <w:t>Baladjam</w:t>
      </w:r>
      <w:r w:rsidRPr="00EB7F1E">
        <w:rPr>
          <w:rFonts w:asciiTheme="minorHAnsi" w:hAnsiTheme="minorHAnsi" w:cstheme="minorHAnsi"/>
        </w:rPr>
        <w:t xml:space="preserve"> v </w:t>
      </w:r>
      <w:r w:rsidRPr="00EB7F1E">
        <w:rPr>
          <w:rFonts w:asciiTheme="minorHAnsi" w:hAnsiTheme="minorHAnsi" w:cstheme="minorHAnsi"/>
          <w:i/>
        </w:rPr>
        <w:t>R</w:t>
      </w:r>
      <w:r w:rsidRPr="00EB7F1E">
        <w:rPr>
          <w:rFonts w:asciiTheme="minorHAnsi" w:hAnsiTheme="minorHAnsi" w:cstheme="minorHAnsi"/>
        </w:rPr>
        <w:t xml:space="preserve"> [2018] NSWCCA 304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Baladjam</w:instrText>
      </w:r>
      <w:r w:rsidRPr="00EB7F1E">
        <w:rPr>
          <w:rFonts w:asciiTheme="minorHAnsi" w:hAnsiTheme="minorHAnsi" w:cstheme="minorHAnsi"/>
        </w:rPr>
        <w:instrText xml:space="preserve"> v </w:instrText>
      </w:r>
      <w:r w:rsidRPr="00EB7F1E">
        <w:rPr>
          <w:rFonts w:asciiTheme="minorHAnsi" w:hAnsiTheme="minorHAnsi" w:cstheme="minorHAnsi"/>
          <w:i/>
        </w:rPr>
        <w:instrText>R</w:instrText>
      </w:r>
      <w:r w:rsidRPr="00EB7F1E">
        <w:rPr>
          <w:rFonts w:asciiTheme="minorHAnsi" w:hAnsiTheme="minorHAnsi" w:cstheme="minorHAnsi"/>
        </w:rPr>
        <w:instrText xml:space="preserve"> [2018] NSWCCA 304" \s "Baladjam v R [2018] NSWCCA 304" \c 1 </w:instrText>
      </w:r>
      <w:r w:rsidRPr="00EB7F1E">
        <w:rPr>
          <w:rFonts w:asciiTheme="minorHAnsi" w:hAnsiTheme="minorHAnsi" w:cstheme="minorHAnsi"/>
        </w:rPr>
        <w:fldChar w:fldCharType="end"/>
      </w:r>
      <w:r w:rsidRPr="007809F4">
        <w:rPr>
          <w:rFonts w:asciiTheme="minorHAnsi" w:hAnsiTheme="minorHAnsi" w:cstheme="minorHAnsi"/>
        </w:rPr>
        <w:t xml:space="preserve">, [275]-[277]. See also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[73]-[78], [83], [108]-[109], [113].</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30">
    <w:p w14:paraId="0E5A8337" w14:textId="2E11089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R v Williscroft</w:t>
      </w:r>
      <w:r w:rsidRPr="007809F4">
        <w:rPr>
          <w:rFonts w:asciiTheme="minorHAnsi" w:hAnsiTheme="minorHAnsi" w:cstheme="minorHAnsi"/>
        </w:rPr>
        <w:t xml:space="preserve"> [1975] VR 292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Williscroft</w:instrText>
      </w:r>
      <w:r w:rsidRPr="007809F4">
        <w:rPr>
          <w:rFonts w:asciiTheme="minorHAnsi" w:hAnsiTheme="minorHAnsi" w:cstheme="minorHAnsi"/>
        </w:rPr>
        <w:instrText xml:space="preserve"> [1975] VR 292" \s "R v Williscroft [1975] VR 292"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Williscroft &amp; Ors [1975] VR 292"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R v Young</w:t>
      </w:r>
      <w:r w:rsidRPr="007809F4">
        <w:rPr>
          <w:rFonts w:asciiTheme="minorHAnsi" w:hAnsiTheme="minorHAnsi" w:cstheme="minorHAnsi"/>
        </w:rPr>
        <w:t xml:space="preserve"> [1990] VR 951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Young</w:instrText>
      </w:r>
      <w:r w:rsidRPr="007809F4">
        <w:rPr>
          <w:rFonts w:asciiTheme="minorHAnsi" w:hAnsiTheme="minorHAnsi" w:cstheme="minorHAnsi"/>
        </w:rPr>
        <w:instrText xml:space="preserve"> [1990] VR 951" \s "R v Young [1990] VR 951"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Young [1990] VR 951"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 xml:space="preserve">R v Ngui </w:t>
      </w:r>
      <w:r w:rsidRPr="007809F4">
        <w:rPr>
          <w:rFonts w:asciiTheme="minorHAnsi" w:hAnsiTheme="minorHAnsi" w:cstheme="minorHAnsi"/>
        </w:rPr>
        <w:t>[2000] 1 VR 579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 xml:space="preserve">R v Ngui </w:instrText>
      </w:r>
      <w:r w:rsidRPr="007809F4">
        <w:rPr>
          <w:rFonts w:asciiTheme="minorHAnsi" w:hAnsiTheme="minorHAnsi" w:cstheme="minorHAnsi"/>
        </w:rPr>
        <w:instrText xml:space="preserve">[2000] 1 VR 579" \s "R v Ngui [2000] 1 VR 579"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Ngui [2000] 1 VR 579" </w:instrText>
      </w:r>
      <w:r w:rsidRPr="00EB7F1E">
        <w:rPr>
          <w:rFonts w:asciiTheme="minorHAnsi" w:hAnsiTheme="minorHAnsi" w:cstheme="minorHAnsi"/>
        </w:rPr>
        <w:fldChar w:fldCharType="end"/>
      </w:r>
      <w:r w:rsidRPr="007809F4">
        <w:rPr>
          <w:rFonts w:asciiTheme="minorHAnsi" w:hAnsiTheme="minorHAnsi" w:cstheme="minorHAnsi"/>
        </w:rPr>
        <w:t xml:space="preserve">, 584; </w:t>
      </w:r>
      <w:r w:rsidRPr="007809F4">
        <w:rPr>
          <w:rFonts w:asciiTheme="minorHAnsi" w:hAnsiTheme="minorHAnsi" w:cstheme="minorHAnsi"/>
          <w:i/>
        </w:rPr>
        <w:t>AB v R</w:t>
      </w:r>
      <w:r w:rsidRPr="007809F4">
        <w:rPr>
          <w:rFonts w:asciiTheme="minorHAnsi" w:hAnsiTheme="minorHAnsi" w:cstheme="minorHAnsi"/>
        </w:rPr>
        <w:t xml:space="preserve"> (1999) 198 CLR 111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AB v R</w:instrText>
      </w:r>
      <w:r w:rsidRPr="007809F4">
        <w:rPr>
          <w:rFonts w:asciiTheme="minorHAnsi" w:hAnsiTheme="minorHAnsi" w:cstheme="minorHAnsi"/>
        </w:rPr>
        <w:instrText xml:space="preserve"> (1999) 198 CLR 111" \s "AB v R (1999) 198 CLR 111"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Markarian v R</w:instrText>
      </w:r>
      <w:r w:rsidRPr="007809F4">
        <w:rPr>
          <w:rFonts w:asciiTheme="minorHAnsi" w:hAnsiTheme="minorHAnsi" w:cstheme="minorHAnsi"/>
        </w:rPr>
        <w:instrText xml:space="preserve"> (2005) 228 CLR 357" \s "Markarian v R (2005) 228 CLR 357"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r w:rsidRPr="007809F4">
        <w:rPr>
          <w:rFonts w:asciiTheme="minorHAnsi" w:hAnsiTheme="minorHAnsi" w:cstheme="minorHAnsi"/>
        </w:rPr>
        <w:t xml:space="preserve">.  In </w:t>
      </w:r>
      <w:r w:rsidRPr="007809F4">
        <w:rPr>
          <w:rFonts w:asciiTheme="minorHAnsi" w:hAnsiTheme="minorHAnsi" w:cstheme="minorHAnsi"/>
          <w:i/>
        </w:rPr>
        <w:t>Markarian</w:t>
      </w:r>
      <w:r w:rsidRPr="007809F4">
        <w:rPr>
          <w:rFonts w:asciiTheme="minorHAnsi" w:hAnsiTheme="minorHAnsi" w:cstheme="minorHAnsi"/>
        </w:rPr>
        <w:t>, McHugh J (at [51]) described instinctive synthesis as the method of sentencing in which the judge identifies all the relevant factors to sentencing, discusses their significance and then makes a value judgment as to what the appropriate sentence is in light of all the facts of the case.</w:t>
      </w:r>
    </w:p>
  </w:footnote>
  <w:footnote w:id="131">
    <w:p w14:paraId="1A987E0C" w14:textId="42192EB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Wong</w:instrText>
      </w:r>
      <w:r w:rsidRPr="007809F4">
        <w:rPr>
          <w:rFonts w:asciiTheme="minorHAnsi" w:hAnsiTheme="minorHAnsi" w:cstheme="minorHAnsi"/>
          <w:i/>
        </w:rPr>
        <w:instrText xml:space="preserve"> v R</w:instrText>
      </w:r>
      <w:r w:rsidRPr="007809F4">
        <w:rPr>
          <w:rFonts w:asciiTheme="minorHAnsi" w:hAnsiTheme="minorHAnsi" w:cstheme="minorHAnsi"/>
        </w:rPr>
        <w:instrText xml:space="preserve"> (2001) 207 CLR 584" \s "Wong v R (2001) 207 CLR 584"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"Wong v R (2001) 207 CLR 584"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32">
    <w:p w14:paraId="5F8D5271" w14:textId="31ECF29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w:instrText>
      </w:r>
      <w:r w:rsidRPr="00EB7F1E">
        <w:rPr>
          <w:rFonts w:asciiTheme="minorHAnsi" w:hAnsiTheme="minorHAnsi" w:cstheme="minorHAnsi"/>
        </w:rPr>
        <w:fldChar w:fldCharType="end"/>
      </w:r>
      <w:r w:rsidRPr="007809F4">
        <w:rPr>
          <w:rFonts w:asciiTheme="minorHAnsi" w:hAnsiTheme="minorHAnsi" w:cstheme="minorHAnsi"/>
        </w:rPr>
        <w:t>, [74]-[78]</w:t>
      </w:r>
      <w:r w:rsidRPr="00EB7F1E">
        <w:rPr>
          <w:rFonts w:asciiTheme="minorHAnsi" w:hAnsiTheme="minorHAnsi" w:cstheme="minorHAnsi"/>
        </w:rPr>
        <w:fldChar w:fldCharType="begin"/>
      </w:r>
      <w:r w:rsidRPr="007809F4">
        <w:rPr>
          <w:rFonts w:asciiTheme="minorHAnsi" w:hAnsiTheme="minorHAnsi" w:cstheme="minorHAnsi"/>
        </w:rPr>
        <w:instrText xml:space="preserve">  "Wong v R (2001) 207 CLR 584" </w:instrText>
      </w:r>
      <w:r w:rsidRPr="00EB7F1E">
        <w:rPr>
          <w:rFonts w:asciiTheme="minorHAnsi" w:hAnsiTheme="minorHAnsi" w:cstheme="minorHAnsi"/>
        </w:rPr>
        <w:fldChar w:fldCharType="end"/>
      </w:r>
      <w:r w:rsidRPr="007809F4">
        <w:rPr>
          <w:rFonts w:asciiTheme="minorHAnsi" w:hAnsiTheme="minorHAnsi" w:cstheme="minorHAnsi"/>
        </w:rPr>
        <w:t>.  In</w:t>
      </w:r>
      <w:r w:rsidRPr="007809F4">
        <w:rPr>
          <w:rFonts w:asciiTheme="minorHAnsi" w:hAnsiTheme="minorHAnsi" w:cstheme="minorHAnsi"/>
          <w:b/>
          <w:bCs/>
          <w:i/>
          <w:iCs/>
        </w:rPr>
        <w:t xml:space="preserve"> </w:t>
      </w:r>
      <w:r w:rsidRPr="007809F4">
        <w:rPr>
          <w:rFonts w:asciiTheme="minorHAnsi" w:hAnsiTheme="minorHAnsi" w:cstheme="minorHAnsi"/>
          <w:bCs/>
          <w:i/>
          <w:iCs/>
        </w:rPr>
        <w:t>AB v R</w:t>
      </w:r>
      <w:r w:rsidRPr="007809F4">
        <w:rPr>
          <w:rFonts w:asciiTheme="minorHAnsi" w:hAnsiTheme="minorHAnsi" w:cstheme="minorHAnsi"/>
        </w:rPr>
        <w:t xml:space="preserve"> (1999) 198 CLR 111</w:t>
      </w:r>
      <w:r w:rsidRPr="00EB7F1E">
        <w:rPr>
          <w:rFonts w:asciiTheme="minorHAnsi" w:hAnsiTheme="minorHAnsi" w:cstheme="minorHAnsi"/>
        </w:rPr>
        <w:fldChar w:fldCharType="begin"/>
      </w:r>
      <w:r w:rsidRPr="007809F4">
        <w:rPr>
          <w:rFonts w:asciiTheme="minorHAnsi" w:hAnsiTheme="minorHAnsi" w:cstheme="minorHAnsi"/>
        </w:rPr>
        <w:instrText xml:space="preserve"> TA \s "AB v R (1999) 198 CLR 111" </w:instrText>
      </w:r>
      <w:r w:rsidRPr="00EB7F1E">
        <w:rPr>
          <w:rFonts w:asciiTheme="minorHAnsi" w:hAnsiTheme="minorHAnsi" w:cstheme="minorHAnsi"/>
        </w:rPr>
        <w:fldChar w:fldCharType="end"/>
      </w:r>
      <w:r w:rsidRPr="007809F4">
        <w:rPr>
          <w:rFonts w:asciiTheme="minorHAnsi" w:hAnsiTheme="minorHAnsi" w:cstheme="minorHAnsi"/>
        </w:rPr>
        <w:t xml:space="preserve"> (161 A Crim R 45) McHugh J expressed a similar view to the plurality in </w:t>
      </w:r>
      <w:r w:rsidRPr="007809F4">
        <w:rPr>
          <w:rFonts w:asciiTheme="minorHAnsi" w:hAnsiTheme="minorHAnsi" w:cstheme="minorHAnsi"/>
          <w:bCs/>
          <w:i/>
          <w:iCs/>
        </w:rPr>
        <w:t>Wong</w:t>
      </w:r>
      <w:r w:rsidRPr="007809F4">
        <w:rPr>
          <w:rFonts w:asciiTheme="minorHAnsi" w:hAnsiTheme="minorHAnsi" w:cstheme="minorHAnsi"/>
        </w:rPr>
        <w:t xml:space="preserve">.  See also </w:t>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Muldrock v R </w:t>
      </w:r>
      <w:r w:rsidRPr="007809F4">
        <w:rPr>
          <w:rFonts w:asciiTheme="minorHAnsi" w:hAnsiTheme="minorHAnsi" w:cstheme="minorHAnsi"/>
        </w:rPr>
        <w:t>(2011) 244 CLR 120</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Muldrock v R</w:instrText>
      </w:r>
      <w:r w:rsidRPr="007809F4">
        <w:rPr>
          <w:rFonts w:asciiTheme="minorHAnsi" w:hAnsiTheme="minorHAnsi" w:cstheme="minorHAnsi"/>
        </w:rPr>
        <w:instrText xml:space="preserve"> (2011) 244 CLR 120" \s "Muldrock v R (2011) 244 CLR 120" \c 1 </w:instrText>
      </w:r>
      <w:r w:rsidRPr="00EB7F1E">
        <w:rPr>
          <w:rFonts w:asciiTheme="minorHAnsi" w:hAnsiTheme="minorHAnsi" w:cstheme="minorHAnsi"/>
          <w:i/>
        </w:rPr>
        <w:fldChar w:fldCharType="end"/>
      </w:r>
      <w:r w:rsidRPr="007809F4">
        <w:rPr>
          <w:rFonts w:asciiTheme="minorHAnsi" w:hAnsiTheme="minorHAnsi" w:cstheme="minorHAnsi"/>
        </w:rPr>
        <w:t>, [54].</w:t>
      </w:r>
    </w:p>
  </w:footnote>
  <w:footnote w:id="133">
    <w:p w14:paraId="5F9ECAF1" w14:textId="429CAB6A"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R v Baldock </w:t>
      </w:r>
      <w:r w:rsidRPr="007809F4">
        <w:rPr>
          <w:rFonts w:asciiTheme="minorHAnsi" w:hAnsiTheme="minorHAnsi" w:cstheme="minorHAnsi"/>
        </w:rPr>
        <w:t>[2010] WASCA 170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Baldock </w:instrText>
      </w:r>
      <w:r w:rsidRPr="007809F4">
        <w:rPr>
          <w:rFonts w:asciiTheme="minorHAnsi" w:hAnsiTheme="minorHAnsi" w:cstheme="minorHAnsi"/>
        </w:rPr>
        <w:instrText>[2010] WASCA 170</w:instrText>
      </w:r>
      <w:r w:rsidRPr="00EB7F1E">
        <w:rPr>
          <w:rFonts w:asciiTheme="minorHAnsi" w:hAnsiTheme="minorHAnsi" w:cstheme="minorHAnsi"/>
        </w:rPr>
        <w:instrText xml:space="preserve">" \s "R v Baldock [2010] WASCA 170" \c 1 </w:instrText>
      </w:r>
      <w:r w:rsidRPr="00EB7F1E">
        <w:rPr>
          <w:rFonts w:asciiTheme="minorHAnsi" w:hAnsiTheme="minorHAnsi" w:cstheme="minorHAnsi"/>
        </w:rPr>
        <w:fldChar w:fldCharType="end"/>
      </w:r>
      <w:r w:rsidRPr="007809F4">
        <w:rPr>
          <w:rFonts w:asciiTheme="minorHAnsi" w:hAnsiTheme="minorHAnsi" w:cstheme="minorHAnsi"/>
        </w:rPr>
        <w:t>, [14]-[21];</w:t>
      </w:r>
      <w:r w:rsidRPr="007809F4">
        <w:rPr>
          <w:rStyle w:val="ssleftalign"/>
          <w:rFonts w:asciiTheme="minorHAnsi" w:hAnsiTheme="minorHAnsi" w:cstheme="minorHAnsi"/>
        </w:rPr>
        <w:t xml:space="preserve"> </w:t>
      </w:r>
      <w:r w:rsidRPr="007809F4">
        <w:rPr>
          <w:rFonts w:asciiTheme="minorHAnsi" w:hAnsiTheme="minorHAnsi" w:cstheme="minorHAnsi"/>
          <w:i/>
        </w:rPr>
        <w:t>DPP (Cth)</w:t>
      </w:r>
      <w:r w:rsidRPr="007809F4">
        <w:rPr>
          <w:rFonts w:asciiTheme="minorHAnsi" w:hAnsiTheme="minorHAnsi" w:cstheme="minorHAnsi"/>
        </w:rPr>
        <w:t xml:space="preserve"> </w:t>
      </w:r>
      <w:r w:rsidRPr="007809F4">
        <w:rPr>
          <w:rFonts w:asciiTheme="minorHAnsi" w:hAnsiTheme="minorHAnsi" w:cstheme="minorHAnsi"/>
          <w:i/>
        </w:rPr>
        <w:t xml:space="preserve">v Gregory </w:t>
      </w:r>
      <w:r w:rsidRPr="007809F4">
        <w:rPr>
          <w:rFonts w:asciiTheme="minorHAnsi" w:hAnsiTheme="minorHAnsi" w:cstheme="minorHAnsi"/>
        </w:rPr>
        <w:t>(2011) 34 VR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w:instrText>
      </w:r>
      <w:r w:rsidRPr="007809F4">
        <w:rPr>
          <w:rFonts w:asciiTheme="minorHAnsi" w:hAnsiTheme="minorHAnsi" w:cstheme="minorHAnsi"/>
        </w:rPr>
        <w:instrText xml:space="preserve"> </w:instrText>
      </w:r>
      <w:r w:rsidRPr="007809F4">
        <w:rPr>
          <w:rFonts w:asciiTheme="minorHAnsi" w:hAnsiTheme="minorHAnsi" w:cstheme="minorHAnsi"/>
          <w:i/>
        </w:rPr>
        <w:instrText xml:space="preserve">v Gregory </w:instrText>
      </w:r>
      <w:r w:rsidRPr="007809F4">
        <w:rPr>
          <w:rFonts w:asciiTheme="minorHAnsi" w:hAnsiTheme="minorHAnsi" w:cstheme="minorHAnsi"/>
        </w:rPr>
        <w:instrText>(2011) 34 VR 1</w:instrText>
      </w:r>
      <w:r w:rsidRPr="00EB7F1E">
        <w:rPr>
          <w:rFonts w:asciiTheme="minorHAnsi" w:hAnsiTheme="minorHAnsi" w:cstheme="minorHAnsi"/>
        </w:rPr>
        <w:instrText xml:space="preserve">" \s "DPP (Cth) v Gregory (2011) 34 VR 1" \c 1 </w:instrText>
      </w:r>
      <w:r w:rsidRPr="00EB7F1E">
        <w:rPr>
          <w:rFonts w:asciiTheme="minorHAnsi" w:hAnsiTheme="minorHAnsi" w:cstheme="minorHAnsi"/>
        </w:rPr>
        <w:fldChar w:fldCharType="end"/>
      </w:r>
      <w:r w:rsidRPr="007809F4">
        <w:rPr>
          <w:rFonts w:asciiTheme="minorHAnsi" w:hAnsiTheme="minorHAnsi" w:cstheme="minorHAnsi"/>
        </w:rPr>
        <w:t>, [32]-[36].</w:t>
      </w:r>
    </w:p>
  </w:footnote>
  <w:footnote w:id="134">
    <w:p w14:paraId="06E107C9" w14:textId="70E04B0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[24].</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35">
    <w:p w14:paraId="712FFD53" w14:textId="5E83C67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36">
    <w:p w14:paraId="2CE9B91B" w14:textId="6E076AF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Saab v R</w:t>
      </w:r>
      <w:r w:rsidRPr="007809F4">
        <w:rPr>
          <w:rFonts w:asciiTheme="minorHAnsi" w:hAnsiTheme="minorHAnsi" w:cstheme="minorHAnsi"/>
        </w:rPr>
        <w:t xml:space="preserve"> [2012] VSCA 165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Saab v R</w:instrText>
      </w:r>
      <w:r w:rsidRPr="007809F4">
        <w:rPr>
          <w:rFonts w:asciiTheme="minorHAnsi" w:hAnsiTheme="minorHAnsi" w:cstheme="minorHAnsi"/>
        </w:rPr>
        <w:instrText xml:space="preserve"> [2012] VSCA 165</w:instrText>
      </w:r>
      <w:r w:rsidRPr="00EB7F1E">
        <w:rPr>
          <w:rFonts w:asciiTheme="minorHAnsi" w:hAnsiTheme="minorHAnsi" w:cstheme="minorHAnsi"/>
        </w:rPr>
        <w:instrText xml:space="preserve">" \s "Saab v R [2012] VSCA 165" \c 1 </w:instrText>
      </w:r>
      <w:r w:rsidRPr="00EB7F1E">
        <w:rPr>
          <w:rFonts w:asciiTheme="minorHAnsi" w:hAnsiTheme="minorHAnsi" w:cstheme="minorHAnsi"/>
        </w:rPr>
        <w:fldChar w:fldCharType="end"/>
      </w:r>
      <w:r w:rsidRPr="007809F4">
        <w:rPr>
          <w:rFonts w:asciiTheme="minorHAnsi" w:hAnsiTheme="minorHAnsi" w:cstheme="minorHAnsi"/>
        </w:rPr>
        <w:t xml:space="preserve">, [59]; </w:t>
      </w:r>
      <w:r w:rsidRPr="007809F4">
        <w:rPr>
          <w:rFonts w:asciiTheme="minorHAnsi" w:hAnsiTheme="minorHAnsi" w:cstheme="minorHAnsi"/>
          <w:i/>
        </w:rPr>
        <w:t>Cummins (a pseudonym) v R</w:t>
      </w:r>
      <w:r w:rsidRPr="007809F4">
        <w:rPr>
          <w:rFonts w:asciiTheme="minorHAnsi" w:hAnsiTheme="minorHAnsi" w:cstheme="minorHAnsi"/>
        </w:rPr>
        <w:t xml:space="preserve"> (2013) 40 VR 319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Cummins (a pseudonym) v R</w:instrText>
      </w:r>
      <w:r w:rsidRPr="007809F4">
        <w:rPr>
          <w:rFonts w:asciiTheme="minorHAnsi" w:hAnsiTheme="minorHAnsi" w:cstheme="minorHAnsi"/>
        </w:rPr>
        <w:instrText xml:space="preserve"> (2013) 40 VR 319</w:instrText>
      </w:r>
      <w:r w:rsidRPr="00EB7F1E">
        <w:rPr>
          <w:rFonts w:asciiTheme="minorHAnsi" w:hAnsiTheme="minorHAnsi" w:cstheme="minorHAnsi"/>
        </w:rPr>
        <w:instrText xml:space="preserve">" \s "Cummins (a pseudonym) v R (2013) 40 VR 319" \c 1 </w:instrText>
      </w:r>
      <w:r w:rsidRPr="00EB7F1E">
        <w:rPr>
          <w:rFonts w:asciiTheme="minorHAnsi" w:hAnsiTheme="minorHAnsi" w:cstheme="minorHAnsi"/>
        </w:rPr>
        <w:fldChar w:fldCharType="end"/>
      </w:r>
      <w:r w:rsidRPr="007809F4">
        <w:rPr>
          <w:rFonts w:asciiTheme="minorHAnsi" w:hAnsiTheme="minorHAnsi" w:cstheme="minorHAnsi"/>
        </w:rPr>
        <w:t xml:space="preserve">, [41]-[48]; </w:t>
      </w:r>
      <w:r w:rsidRPr="007809F4">
        <w:rPr>
          <w:rFonts w:asciiTheme="minorHAnsi" w:hAnsiTheme="minorHAnsi" w:cstheme="minorHAnsi"/>
          <w:i/>
        </w:rPr>
        <w:t>Zogheib v R</w:t>
      </w:r>
      <w:r w:rsidRPr="007809F4">
        <w:rPr>
          <w:rFonts w:asciiTheme="minorHAnsi" w:hAnsiTheme="minorHAnsi" w:cstheme="minorHAnsi"/>
        </w:rPr>
        <w:t xml:space="preserve"> [2015] VSCA 334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Zogheib v R</w:instrText>
      </w:r>
      <w:r w:rsidRPr="007809F4">
        <w:rPr>
          <w:rFonts w:asciiTheme="minorHAnsi" w:hAnsiTheme="minorHAnsi" w:cstheme="minorHAnsi"/>
        </w:rPr>
        <w:instrText xml:space="preserve"> [2015] VSCA 334</w:instrText>
      </w:r>
      <w:r w:rsidRPr="00EB7F1E">
        <w:rPr>
          <w:rFonts w:asciiTheme="minorHAnsi" w:hAnsiTheme="minorHAnsi" w:cstheme="minorHAnsi"/>
        </w:rPr>
        <w:instrText xml:space="preserve">" \s "Zogheib v R [2015] VSCA 334" \c 1 </w:instrText>
      </w:r>
      <w:r w:rsidRPr="00EB7F1E">
        <w:rPr>
          <w:rFonts w:asciiTheme="minorHAnsi" w:hAnsiTheme="minorHAnsi" w:cstheme="minorHAnsi"/>
        </w:rPr>
        <w:fldChar w:fldCharType="end"/>
      </w:r>
      <w:r w:rsidRPr="007809F4">
        <w:rPr>
          <w:rFonts w:asciiTheme="minorHAnsi" w:hAnsiTheme="minorHAnsi" w:cstheme="minorHAnsi"/>
        </w:rPr>
        <w:t xml:space="preserve">, [62]-[64].  But see </w:t>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7809F4">
        <w:rPr>
          <w:rFonts w:asciiTheme="minorHAnsi" w:hAnsiTheme="minorHAnsi" w:cstheme="minorHAnsi"/>
        </w:rPr>
        <w:t xml:space="preserve">, [74]; </w:t>
      </w:r>
      <w:r w:rsidRPr="007809F4">
        <w:rPr>
          <w:rFonts w:asciiTheme="minorHAnsi" w:hAnsiTheme="minorHAnsi" w:cstheme="minorHAnsi"/>
          <w:bCs/>
          <w:i/>
          <w:iCs/>
        </w:rPr>
        <w:t xml:space="preserve">Xiao v R </w:t>
      </w:r>
      <w:r w:rsidRPr="007809F4">
        <w:rPr>
          <w:rFonts w:asciiTheme="minorHAnsi" w:hAnsiTheme="minorHAnsi" w:cstheme="minorHAnsi"/>
          <w:bCs/>
          <w:iCs/>
        </w:rPr>
        <w:t>(2018) 96 NSWLR 1</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TA \s "Xiao v R (2018) 96 NSWLR 1" </w:instrText>
      </w:r>
      <w:r w:rsidRPr="00EB7F1E">
        <w:rPr>
          <w:rFonts w:asciiTheme="minorHAnsi" w:hAnsiTheme="minorHAnsi" w:cstheme="minorHAnsi"/>
          <w:bCs/>
          <w:iCs/>
        </w:rPr>
        <w:fldChar w:fldCharType="end"/>
      </w:r>
      <w:r w:rsidRPr="007809F4">
        <w:rPr>
          <w:rFonts w:asciiTheme="minorHAnsi" w:hAnsiTheme="minorHAnsi" w:cstheme="minorHAnsi"/>
          <w:bCs/>
          <w:iCs/>
        </w:rPr>
        <w:t>, [279]-[280].</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37">
    <w:p w14:paraId="6FD408C3" w14:textId="4A85A16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Baldock</w:t>
      </w:r>
      <w:r w:rsidRPr="007809F4">
        <w:rPr>
          <w:rFonts w:asciiTheme="minorHAnsi" w:hAnsiTheme="minorHAnsi" w:cstheme="minorHAnsi"/>
        </w:rPr>
        <w:t xml:space="preserve"> [2010] WASCA 170</w:t>
      </w:r>
      <w:r w:rsidRPr="00EB7F1E">
        <w:rPr>
          <w:rFonts w:asciiTheme="minorHAnsi" w:hAnsiTheme="minorHAnsi" w:cstheme="minorHAnsi"/>
        </w:rPr>
        <w:fldChar w:fldCharType="begin"/>
      </w:r>
      <w:r w:rsidRPr="007809F4">
        <w:rPr>
          <w:rFonts w:asciiTheme="minorHAnsi" w:hAnsiTheme="minorHAnsi" w:cstheme="minorHAnsi"/>
        </w:rPr>
        <w:instrText xml:space="preserve"> TA \s "R v Baldock [2010] WASCA 170" </w:instrText>
      </w:r>
      <w:r w:rsidRPr="00EB7F1E">
        <w:rPr>
          <w:rFonts w:asciiTheme="minorHAnsi" w:hAnsiTheme="minorHAnsi" w:cstheme="minorHAnsi"/>
        </w:rPr>
        <w:fldChar w:fldCharType="end"/>
      </w:r>
      <w:r w:rsidRPr="007809F4">
        <w:rPr>
          <w:rFonts w:asciiTheme="minorHAnsi" w:hAnsiTheme="minorHAnsi" w:cstheme="minorHAnsi"/>
        </w:rPr>
        <w:t>, [14]-[21];</w:t>
      </w:r>
      <w:r w:rsidRPr="007809F4">
        <w:rPr>
          <w:rFonts w:asciiTheme="minorHAnsi" w:hAnsiTheme="minorHAnsi" w:cstheme="minorHAnsi"/>
          <w:i/>
        </w:rPr>
        <w:t xml:space="preserve"> Nguyen v R</w:t>
      </w:r>
      <w:r w:rsidRPr="007809F4">
        <w:rPr>
          <w:rFonts w:asciiTheme="minorHAnsi" w:hAnsiTheme="minorHAnsi" w:cstheme="minorHAnsi"/>
        </w:rPr>
        <w:t xml:space="preserve"> [2011] VSCA 32</w:t>
      </w:r>
      <w:r w:rsidRPr="00EB7F1E">
        <w:rPr>
          <w:rFonts w:asciiTheme="minorHAnsi" w:hAnsiTheme="minorHAnsi" w:cstheme="minorHAnsi"/>
        </w:rPr>
        <w:fldChar w:fldCharType="begin"/>
      </w:r>
      <w:r w:rsidRPr="007809F4">
        <w:rPr>
          <w:rFonts w:asciiTheme="minorHAnsi" w:hAnsiTheme="minorHAnsi" w:cstheme="minorHAnsi"/>
        </w:rPr>
        <w:instrText xml:space="preserve"> TA \s "Nguyen v R [2011] VSCA 32" </w:instrText>
      </w:r>
      <w:r w:rsidRPr="00EB7F1E">
        <w:rPr>
          <w:rFonts w:asciiTheme="minorHAnsi" w:hAnsiTheme="minorHAnsi" w:cstheme="minorHAnsi"/>
        </w:rPr>
        <w:fldChar w:fldCharType="end"/>
      </w:r>
      <w:r w:rsidRPr="007809F4">
        <w:rPr>
          <w:rFonts w:asciiTheme="minorHAnsi" w:hAnsiTheme="minorHAnsi" w:cstheme="minorHAnsi"/>
        </w:rPr>
        <w:t>, [100].</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38">
    <w:p w14:paraId="02BDC28D" w14:textId="4729B17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16AC of the </w:t>
      </w:r>
      <w:r w:rsidRPr="007809F4">
        <w:rPr>
          <w:rFonts w:asciiTheme="minorHAnsi" w:hAnsiTheme="minorHAnsi" w:cstheme="minorHAnsi"/>
          <w:i/>
        </w:rPr>
        <w:t>Crimes Act 1914</w:t>
      </w:r>
      <w:r w:rsidRPr="007809F4">
        <w:rPr>
          <w:rFonts w:asciiTheme="minorHAnsi" w:hAnsiTheme="minorHAnsi" w:cstheme="minorHAnsi"/>
        </w:rPr>
        <w:t xml:space="preserve"> (Cth) came into effect on 27 November 2015.  It replaced s 21E of the Act, which was in similar terms.  Section 21E was described by Chernov JA in </w:t>
      </w:r>
      <w:r w:rsidRPr="007809F4">
        <w:rPr>
          <w:rFonts w:asciiTheme="minorHAnsi" w:hAnsiTheme="minorHAnsi" w:cstheme="minorHAnsi"/>
          <w:i/>
        </w:rPr>
        <w:t>R v Li</w:t>
      </w:r>
      <w:r w:rsidRPr="007809F4">
        <w:rPr>
          <w:rFonts w:asciiTheme="minorHAnsi" w:hAnsiTheme="minorHAnsi" w:cstheme="minorHAnsi"/>
        </w:rPr>
        <w:t xml:space="preserve"> [1998] 1 VR 637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Li</w:instrText>
      </w:r>
      <w:r w:rsidRPr="007809F4">
        <w:rPr>
          <w:rFonts w:asciiTheme="minorHAnsi" w:hAnsiTheme="minorHAnsi" w:cstheme="minorHAnsi"/>
        </w:rPr>
        <w:instrText xml:space="preserve"> [1998] 1 VR 637" \s "R v Li [1998] 1 VR 637" \c 1 </w:instrText>
      </w:r>
      <w:r w:rsidRPr="00EB7F1E">
        <w:rPr>
          <w:rFonts w:asciiTheme="minorHAnsi" w:hAnsiTheme="minorHAnsi" w:cstheme="minorHAnsi"/>
        </w:rPr>
        <w:fldChar w:fldCharType="end"/>
      </w:r>
      <w:r w:rsidRPr="007809F4">
        <w:rPr>
          <w:rFonts w:asciiTheme="minorHAnsi" w:hAnsiTheme="minorHAnsi" w:cstheme="minorHAnsi"/>
        </w:rPr>
        <w:t>, [18], as imposing “</w:t>
      </w:r>
      <w:r w:rsidRPr="00EB7F1E">
        <w:rPr>
          <w:rFonts w:asciiTheme="minorHAnsi" w:hAnsiTheme="minorHAnsi" w:cstheme="minorHAnsi"/>
          <w:i/>
        </w:rPr>
        <w:t>an artificial process … upon the sentencing judge which runs counter to the fact that the sentencing involves the judge</w:t>
      </w:r>
      <w:r w:rsidRPr="007809F4">
        <w:rPr>
          <w:rFonts w:asciiTheme="minorHAnsi" w:hAnsiTheme="minorHAnsi" w:cstheme="minorHAnsi"/>
          <w:i/>
        </w:rPr>
        <w:t>’</w:t>
      </w:r>
      <w:r w:rsidRPr="00EB7F1E">
        <w:rPr>
          <w:rFonts w:asciiTheme="minorHAnsi" w:hAnsiTheme="minorHAnsi" w:cstheme="minorHAnsi"/>
          <w:i/>
        </w:rPr>
        <w:t>s intuitive and instinctive synthesis of all facets of the sentencing process</w:t>
      </w:r>
      <w:r w:rsidRPr="007809F4">
        <w:rPr>
          <w:rFonts w:asciiTheme="minorHAnsi" w:hAnsiTheme="minorHAnsi" w:cstheme="minorHAnsi"/>
        </w:rPr>
        <w:t>”.</w:t>
      </w:r>
    </w:p>
  </w:footnote>
  <w:footnote w:id="139">
    <w:p w14:paraId="1F3230CB" w14:textId="0584596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Charkawi v R</w:t>
      </w:r>
      <w:r w:rsidRPr="007809F4">
        <w:rPr>
          <w:rFonts w:asciiTheme="minorHAnsi" w:hAnsiTheme="minorHAnsi" w:cstheme="minorHAnsi"/>
        </w:rPr>
        <w:t xml:space="preserve"> [2008] NSWCCA 159</w:t>
      </w:r>
      <w:r w:rsidRPr="00EB7F1E">
        <w:rPr>
          <w:rFonts w:asciiTheme="minorHAnsi" w:hAnsiTheme="minorHAnsi" w:cstheme="minorHAnsi"/>
        </w:rPr>
        <w:fldChar w:fldCharType="begin"/>
      </w:r>
      <w:r w:rsidRPr="007809F4">
        <w:rPr>
          <w:rFonts w:asciiTheme="minorHAnsi" w:hAnsiTheme="minorHAnsi" w:cstheme="minorHAnsi"/>
        </w:rPr>
        <w:instrText xml:space="preserve"> TA \s "Charkawi v R [2008] NSWCCA 159" </w:instrText>
      </w:r>
      <w:r w:rsidRPr="00EB7F1E">
        <w:rPr>
          <w:rFonts w:asciiTheme="minorHAnsi" w:hAnsiTheme="minorHAnsi" w:cstheme="minorHAnsi"/>
        </w:rPr>
        <w:fldChar w:fldCharType="end"/>
      </w:r>
      <w:r w:rsidRPr="007809F4">
        <w:rPr>
          <w:rFonts w:asciiTheme="minorHAnsi" w:hAnsiTheme="minorHAnsi" w:cstheme="minorHAnsi"/>
        </w:rPr>
        <w:t>. In 2006, t</w:t>
      </w:r>
      <w:r w:rsidRPr="007809F4">
        <w:rPr>
          <w:rFonts w:asciiTheme="minorHAnsi" w:hAnsiTheme="minorHAnsi" w:cstheme="minorHAnsi"/>
          <w:iCs/>
        </w:rPr>
        <w:t xml:space="preserve">he Australian Law Reform Commission recommended that Commonwealth law require a sentencing court to specify the discount given for a plea of guilty: </w:t>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 recommendation 11-1.  That recommendation has not been acted upon.</w:t>
      </w:r>
    </w:p>
  </w:footnote>
  <w:footnote w:id="140">
    <w:p w14:paraId="07905AC5" w14:textId="4C58870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Sentencing Act 1991 (Vic), </w:t>
      </w:r>
      <w:r w:rsidRPr="007809F4">
        <w:rPr>
          <w:rFonts w:asciiTheme="minorHAnsi" w:hAnsiTheme="minorHAnsi" w:cstheme="minorHAnsi"/>
        </w:rPr>
        <w:t xml:space="preserve">s 6AAA; </w:t>
      </w:r>
      <w:r w:rsidRPr="007809F4">
        <w:rPr>
          <w:rFonts w:asciiTheme="minorHAnsi" w:hAnsiTheme="minorHAnsi" w:cstheme="minorHAnsi"/>
          <w:i/>
        </w:rPr>
        <w:t>Sentencing Act 1995</w:t>
      </w:r>
      <w:r w:rsidRPr="007809F4">
        <w:rPr>
          <w:rFonts w:asciiTheme="minorHAnsi" w:hAnsiTheme="minorHAnsi" w:cstheme="minorHAnsi"/>
        </w:rPr>
        <w:t xml:space="preserve"> (WA), s 9AA; </w:t>
      </w:r>
      <w:r w:rsidRPr="007809F4">
        <w:rPr>
          <w:rFonts w:asciiTheme="minorHAnsi" w:hAnsiTheme="minorHAnsi" w:cstheme="minorHAnsi"/>
          <w:i/>
        </w:rPr>
        <w:t>Crimes (Sentencing) Act 2005</w:t>
      </w:r>
      <w:r w:rsidRPr="007809F4">
        <w:rPr>
          <w:rFonts w:asciiTheme="minorHAnsi" w:hAnsiTheme="minorHAnsi" w:cstheme="minorHAnsi"/>
        </w:rPr>
        <w:t xml:space="preserve"> (ACT), ss 35 and 37.</w:t>
      </w:r>
    </w:p>
  </w:footnote>
  <w:footnote w:id="141">
    <w:p w14:paraId="760FC2B6" w14:textId="07F82F8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[7] (Gleeson CJ); see also </w:t>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[25].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_Ref494532906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_Ref494532906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application of State and Territory laws by Judiciary Act</w:t>
      </w:r>
      <w:r w:rsidRPr="00EB7F1E">
        <w:rPr>
          <w:rStyle w:val="Strong"/>
          <w:rFonts w:asciiTheme="minorHAnsi" w:hAnsiTheme="minorHAnsi" w:cstheme="minorHAnsi"/>
          <w:b w:val="0"/>
          <w:bCs w:val="0"/>
        </w:rPr>
        <w:t xml:space="preserve"> 1903, ss 68 and 79</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42">
    <w:p w14:paraId="15E65CBC" w14:textId="2825FB7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Sentencing Act 1991 </w:t>
      </w:r>
      <w:r w:rsidRPr="007809F4">
        <w:rPr>
          <w:rFonts w:asciiTheme="minorHAnsi" w:hAnsiTheme="minorHAnsi" w:cstheme="minorHAnsi"/>
        </w:rPr>
        <w:t>(Vic), s 6AAA.</w:t>
      </w:r>
      <w:r w:rsidRPr="00EB7F1E">
        <w:rPr>
          <w:rFonts w:asciiTheme="minorHAnsi" w:hAnsiTheme="minorHAnsi" w:cstheme="minorHAnsi"/>
        </w:rPr>
        <w:fldChar w:fldCharType="begin"/>
      </w:r>
      <w:r w:rsidRPr="007809F4">
        <w:rPr>
          <w:rFonts w:asciiTheme="minorHAnsi" w:hAnsiTheme="minorHAnsi" w:cstheme="minorHAnsi"/>
        </w:rPr>
        <w:instrText xml:space="preserve">  "R v Sahari (2007) 17 VR 269" </w:instrText>
      </w:r>
      <w:r w:rsidRPr="00EB7F1E">
        <w:rPr>
          <w:rFonts w:asciiTheme="minorHAnsi" w:hAnsiTheme="minorHAnsi" w:cstheme="minorHAnsi"/>
        </w:rPr>
        <w:fldChar w:fldCharType="end"/>
      </w:r>
    </w:p>
  </w:footnote>
  <w:footnote w:id="143">
    <w:p w14:paraId="1E5AA7CB" w14:textId="6A2523E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Scerri v R</w:t>
      </w:r>
      <w:r w:rsidRPr="007809F4">
        <w:rPr>
          <w:rFonts w:asciiTheme="minorHAnsi" w:hAnsiTheme="minorHAnsi" w:cstheme="minorHAnsi"/>
        </w:rPr>
        <w:t xml:space="preserve"> [2010] VSCA 287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Scerri v R</w:instrText>
      </w:r>
      <w:r w:rsidRPr="007809F4">
        <w:rPr>
          <w:rFonts w:asciiTheme="minorHAnsi" w:hAnsiTheme="minorHAnsi" w:cstheme="minorHAnsi"/>
        </w:rPr>
        <w:instrText xml:space="preserve"> [2010] VSCA 287</w:instrText>
      </w:r>
      <w:r w:rsidRPr="00EB7F1E">
        <w:rPr>
          <w:rFonts w:asciiTheme="minorHAnsi" w:hAnsiTheme="minorHAnsi" w:cstheme="minorHAnsi"/>
        </w:rPr>
        <w:instrText xml:space="preserve">" \s "Scerri v R [2010] VSCA 287" \c 1 </w:instrText>
      </w:r>
      <w:r w:rsidRPr="00EB7F1E">
        <w:rPr>
          <w:rFonts w:asciiTheme="minorHAnsi" w:hAnsiTheme="minorHAnsi" w:cstheme="minorHAnsi"/>
        </w:rPr>
        <w:fldChar w:fldCharType="end"/>
      </w:r>
      <w:r w:rsidRPr="007809F4">
        <w:rPr>
          <w:rFonts w:asciiTheme="minorHAnsi" w:hAnsiTheme="minorHAnsi" w:cstheme="minorHAnsi"/>
        </w:rPr>
        <w:t xml:space="preserve">, [58]; </w:t>
      </w:r>
      <w:r w:rsidRPr="007809F4">
        <w:rPr>
          <w:rFonts w:asciiTheme="minorHAnsi" w:hAnsiTheme="minorHAnsi" w:cstheme="minorHAnsi"/>
          <w:i/>
        </w:rPr>
        <w:t>DPP (Cth) v Bui</w:t>
      </w:r>
      <w:r w:rsidRPr="007809F4">
        <w:rPr>
          <w:rFonts w:asciiTheme="minorHAnsi" w:hAnsiTheme="minorHAnsi" w:cstheme="minorHAnsi"/>
        </w:rPr>
        <w:t xml:space="preserve"> (2011) 32 VR 149</w:t>
      </w:r>
      <w:r w:rsidRPr="00EB7F1E">
        <w:rPr>
          <w:rFonts w:asciiTheme="minorHAnsi" w:hAnsiTheme="minorHAnsi" w:cstheme="minorHAnsi"/>
          <w:bCs/>
          <w:i/>
          <w:iCs/>
        </w:rPr>
        <w:fldChar w:fldCharType="begin"/>
      </w:r>
      <w:r w:rsidRPr="007809F4">
        <w:rPr>
          <w:rFonts w:asciiTheme="minorHAnsi" w:hAnsiTheme="minorHAnsi" w:cstheme="minorHAnsi"/>
        </w:rPr>
        <w:instrText xml:space="preserve"> TA \l "</w:instrText>
      </w:r>
      <w:r w:rsidRPr="00EB7F1E">
        <w:rPr>
          <w:rFonts w:asciiTheme="minorHAnsi" w:hAnsiTheme="minorHAnsi" w:cstheme="minorHAnsi"/>
          <w:i/>
          <w:iCs/>
        </w:rPr>
        <w:instrText>DPP (Cth) v Bui</w:instrText>
      </w:r>
      <w:r w:rsidRPr="007809F4">
        <w:rPr>
          <w:rFonts w:asciiTheme="minorHAnsi" w:hAnsiTheme="minorHAnsi" w:cstheme="minorHAnsi"/>
        </w:rPr>
        <w:instrText xml:space="preserve"> (2011) 32 VR 149" \s " DPP (Cth) v Bui (2011) 32 VR 149" \c 1 </w:instrText>
      </w:r>
      <w:r w:rsidRPr="00EB7F1E">
        <w:rPr>
          <w:rFonts w:asciiTheme="minorHAnsi" w:hAnsiTheme="minorHAnsi" w:cstheme="minorHAnsi"/>
          <w:bCs/>
          <w:i/>
          <w:iCs/>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Cooper v R </w:t>
      </w:r>
      <w:r w:rsidRPr="007809F4">
        <w:rPr>
          <w:rFonts w:asciiTheme="minorHAnsi" w:hAnsiTheme="minorHAnsi" w:cstheme="minorHAnsi"/>
        </w:rPr>
        <w:t>[2012] VSCA 32</w:t>
      </w:r>
      <w:r w:rsidRPr="00EB7F1E">
        <w:rPr>
          <w:rFonts w:asciiTheme="minorHAnsi" w:hAnsiTheme="minorHAnsi" w:cstheme="minorHAnsi"/>
        </w:rPr>
        <w:fldChar w:fldCharType="begin"/>
      </w:r>
      <w:r w:rsidRPr="007809F4">
        <w:rPr>
          <w:rFonts w:asciiTheme="minorHAnsi" w:hAnsiTheme="minorHAnsi" w:cstheme="minorHAnsi"/>
        </w:rPr>
        <w:instrText xml:space="preserve"> TA \s "Cooper v R [2012] VSCA 32" </w:instrText>
      </w:r>
      <w:r w:rsidRPr="00EB7F1E">
        <w:rPr>
          <w:rFonts w:asciiTheme="minorHAnsi" w:hAnsiTheme="minorHAnsi" w:cstheme="minorHAnsi"/>
        </w:rPr>
        <w:fldChar w:fldCharType="end"/>
      </w:r>
      <w:r w:rsidRPr="007809F4">
        <w:rPr>
          <w:rFonts w:asciiTheme="minorHAnsi" w:hAnsiTheme="minorHAnsi" w:cstheme="minorHAnsi"/>
        </w:rPr>
        <w:t xml:space="preserve">, [38]; </w:t>
      </w:r>
      <w:r w:rsidRPr="007809F4">
        <w:rPr>
          <w:rFonts w:asciiTheme="minorHAnsi" w:hAnsiTheme="minorHAnsi" w:cstheme="minorHAnsi"/>
          <w:i/>
        </w:rPr>
        <w:t>DPP (Cth) v Cornish</w:t>
      </w:r>
      <w:r w:rsidRPr="007809F4">
        <w:rPr>
          <w:rFonts w:asciiTheme="minorHAnsi" w:hAnsiTheme="minorHAnsi" w:cstheme="minorHAnsi"/>
        </w:rPr>
        <w:t xml:space="preserve"> [2012] VSCA 45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(Cth) v Cornish</w:instrText>
      </w:r>
      <w:r w:rsidRPr="007809F4">
        <w:rPr>
          <w:rFonts w:asciiTheme="minorHAnsi" w:hAnsiTheme="minorHAnsi" w:cstheme="minorHAnsi"/>
        </w:rPr>
        <w:instrText xml:space="preserve"> [2012] VSCA 45" \s "DPP (Cth) v Cornish [2012] VSCA 45" \c 1 </w:instrText>
      </w:r>
      <w:r w:rsidRPr="00EB7F1E">
        <w:rPr>
          <w:rFonts w:asciiTheme="minorHAnsi" w:hAnsiTheme="minorHAnsi" w:cstheme="minorHAnsi"/>
        </w:rPr>
        <w:fldChar w:fldCharType="end"/>
      </w:r>
      <w:r w:rsidRPr="007809F4">
        <w:rPr>
          <w:rFonts w:asciiTheme="minorHAnsi" w:hAnsiTheme="minorHAnsi" w:cstheme="minorHAnsi"/>
        </w:rPr>
        <w:t xml:space="preserve">, [56]; </w:t>
      </w:r>
      <w:r w:rsidRPr="007809F4">
        <w:rPr>
          <w:rFonts w:asciiTheme="minorHAnsi" w:hAnsiTheme="minorHAnsi" w:cstheme="minorHAnsi"/>
          <w:i/>
        </w:rPr>
        <w:t>Saab v R</w:t>
      </w:r>
      <w:r w:rsidRPr="007809F4">
        <w:rPr>
          <w:rFonts w:asciiTheme="minorHAnsi" w:hAnsiTheme="minorHAnsi" w:cstheme="minorHAnsi"/>
        </w:rPr>
        <w:t xml:space="preserve"> [2012] VSCA 165</w:t>
      </w:r>
      <w:r w:rsidRPr="00EB7F1E">
        <w:rPr>
          <w:rFonts w:asciiTheme="minorHAnsi" w:hAnsiTheme="minorHAnsi" w:cstheme="minorHAnsi"/>
        </w:rPr>
        <w:fldChar w:fldCharType="begin"/>
      </w:r>
      <w:r w:rsidRPr="007809F4">
        <w:rPr>
          <w:rFonts w:asciiTheme="minorHAnsi" w:hAnsiTheme="minorHAnsi" w:cstheme="minorHAnsi"/>
        </w:rPr>
        <w:instrText xml:space="preserve"> TA \s "Saab v R [2012] VSCA 165" </w:instrText>
      </w:r>
      <w:r w:rsidRPr="00EB7F1E">
        <w:rPr>
          <w:rFonts w:asciiTheme="minorHAnsi" w:hAnsiTheme="minorHAnsi" w:cstheme="minorHAnsi"/>
        </w:rPr>
        <w:fldChar w:fldCharType="end"/>
      </w:r>
      <w:r w:rsidRPr="007809F4">
        <w:rPr>
          <w:rFonts w:asciiTheme="minorHAnsi" w:hAnsiTheme="minorHAnsi" w:cstheme="minorHAnsi"/>
        </w:rPr>
        <w:t xml:space="preserve">, [29]-[62]; </w:t>
      </w:r>
      <w:r w:rsidRPr="007809F4">
        <w:rPr>
          <w:rFonts w:asciiTheme="minorHAnsi" w:hAnsiTheme="minorHAnsi" w:cstheme="minorHAnsi"/>
          <w:i/>
          <w:iCs/>
          <w:noProof/>
        </w:rPr>
        <w:t xml:space="preserve">DPP (Cth) v Couper </w:t>
      </w:r>
      <w:r w:rsidRPr="007809F4">
        <w:rPr>
          <w:rFonts w:asciiTheme="minorHAnsi" w:hAnsiTheme="minorHAnsi" w:cstheme="minorHAnsi"/>
        </w:rPr>
        <w:t>(2013) 41 VR 128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noProof/>
        </w:rPr>
        <w:instrText xml:space="preserve">DPP (Cth) v Couper </w:instrText>
      </w:r>
      <w:r w:rsidRPr="007809F4">
        <w:rPr>
          <w:rFonts w:asciiTheme="minorHAnsi" w:hAnsiTheme="minorHAnsi" w:cstheme="minorHAnsi"/>
        </w:rPr>
        <w:instrText>(2013) 41 VR 128</w:instrText>
      </w:r>
      <w:r w:rsidRPr="00EB7F1E">
        <w:rPr>
          <w:rFonts w:asciiTheme="minorHAnsi" w:hAnsiTheme="minorHAnsi" w:cstheme="minorHAnsi"/>
        </w:rPr>
        <w:instrText xml:space="preserve">" \s "DPP (Cth) v Couper (2013) 41 VR 128"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MHK</w:instrText>
      </w:r>
      <w:r w:rsidRPr="007809F4">
        <w:rPr>
          <w:rFonts w:asciiTheme="minorHAnsi" w:hAnsiTheme="minorHAnsi" w:cstheme="minorHAnsi"/>
        </w:rPr>
        <w:instrText xml:space="preserve"> [2017] VSCA 157</w:instrText>
      </w:r>
      <w:r w:rsidRPr="00EB7F1E">
        <w:rPr>
          <w:rFonts w:asciiTheme="minorHAnsi" w:hAnsiTheme="minorHAnsi" w:cstheme="minorHAnsi"/>
        </w:rPr>
        <w:instrText xml:space="preserve">" \s "DPP (Cth) v MHK [2017] VSCA 157" \c 1 </w:instrText>
      </w:r>
      <w:r w:rsidRPr="00EB7F1E">
        <w:rPr>
          <w:rFonts w:asciiTheme="minorHAnsi" w:hAnsiTheme="minorHAnsi" w:cstheme="minorHAnsi"/>
        </w:rPr>
        <w:fldChar w:fldCharType="end"/>
      </w:r>
      <w:r w:rsidRPr="007809F4">
        <w:rPr>
          <w:rFonts w:asciiTheme="minorHAnsi" w:hAnsiTheme="minorHAnsi" w:cstheme="minorHAnsi"/>
        </w:rPr>
        <w:t xml:space="preserve">, [76];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xml:space="preserve">, [122].  See also </w:t>
      </w:r>
      <w:r w:rsidRPr="007809F4">
        <w:rPr>
          <w:rFonts w:asciiTheme="minorHAnsi" w:hAnsiTheme="minorHAnsi" w:cstheme="minorHAnsi"/>
          <w:i/>
        </w:rPr>
        <w:t xml:space="preserve">R v Emini &amp; Blumberg </w:t>
      </w:r>
      <w:r w:rsidRPr="007809F4">
        <w:rPr>
          <w:rFonts w:asciiTheme="minorHAnsi" w:hAnsiTheme="minorHAnsi" w:cstheme="minorHAnsi"/>
        </w:rPr>
        <w:t>[2011] VSC 336</w:t>
      </w:r>
      <w:r w:rsidRPr="00EB7F1E">
        <w:rPr>
          <w:rFonts w:asciiTheme="minorHAnsi" w:hAnsiTheme="minorHAnsi" w:cstheme="minorHAnsi"/>
        </w:rPr>
        <w:fldChar w:fldCharType="begin"/>
      </w:r>
      <w:r w:rsidRPr="007809F4">
        <w:rPr>
          <w:rFonts w:asciiTheme="minorHAnsi" w:hAnsiTheme="minorHAnsi" w:cstheme="minorHAnsi"/>
        </w:rPr>
        <w:instrText xml:space="preserve"> TA \s "R v Emini &amp; Blumberg [2011] VSC 336" </w:instrText>
      </w:r>
      <w:r w:rsidRPr="00EB7F1E">
        <w:rPr>
          <w:rFonts w:asciiTheme="minorHAnsi" w:hAnsiTheme="minorHAnsi" w:cstheme="minorHAnsi"/>
        </w:rPr>
        <w:fldChar w:fldCharType="end"/>
      </w:r>
      <w:r w:rsidRPr="007809F4">
        <w:rPr>
          <w:rFonts w:asciiTheme="minorHAnsi" w:hAnsiTheme="minorHAnsi" w:cstheme="minorHAnsi"/>
        </w:rPr>
        <w:t xml:space="preserve">, footnote [10].  </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144">
    <w:p w14:paraId="634489BD" w14:textId="44ECD4B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Ngo v R</w:t>
      </w:r>
      <w:r w:rsidRPr="007809F4">
        <w:rPr>
          <w:rFonts w:asciiTheme="minorHAnsi" w:hAnsiTheme="minorHAnsi" w:cstheme="minorHAnsi"/>
        </w:rPr>
        <w:t xml:space="preserve"> [2017] WASCA 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Ngo v R</w:instrText>
      </w:r>
      <w:r w:rsidRPr="007809F4">
        <w:rPr>
          <w:rFonts w:asciiTheme="minorHAnsi" w:hAnsiTheme="minorHAnsi" w:cstheme="minorHAnsi"/>
        </w:rPr>
        <w:instrText xml:space="preserve"> [2017] WASCA 3</w:instrText>
      </w:r>
      <w:r w:rsidRPr="00EB7F1E">
        <w:rPr>
          <w:rFonts w:asciiTheme="minorHAnsi" w:hAnsiTheme="minorHAnsi" w:cstheme="minorHAnsi"/>
        </w:rPr>
        <w:instrText xml:space="preserve">" \s "Ngo v R [2017] WASCA 3"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45">
    <w:p w14:paraId="4A255955" w14:textId="5A39969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7809F4">
        <w:rPr>
          <w:rFonts w:asciiTheme="minorHAnsi" w:hAnsiTheme="minorHAnsi" w:cstheme="minorHAnsi"/>
        </w:rPr>
        <w:t>, [27].</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46">
    <w:p w14:paraId="561C42C3" w14:textId="2598ABE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 </w:instrText>
      </w:r>
      <w:r w:rsidRPr="00EB7F1E">
        <w:rPr>
          <w:rFonts w:asciiTheme="minorHAnsi" w:hAnsiTheme="minorHAnsi" w:cstheme="minorHAnsi"/>
        </w:rPr>
        <w:fldChar w:fldCharType="end"/>
      </w:r>
      <w:r w:rsidRPr="007809F4">
        <w:rPr>
          <w:rFonts w:asciiTheme="minorHAnsi" w:hAnsiTheme="minorHAnsi" w:cstheme="minorHAnsi"/>
        </w:rPr>
        <w:t>, [6]-[7].</w:t>
      </w:r>
    </w:p>
  </w:footnote>
  <w:footnote w:id="147">
    <w:p w14:paraId="606F16A6" w14:textId="26587FA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48">
    <w:p w14:paraId="28FD6F62" w14:textId="7AD3985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[46]-[57].</w:t>
      </w:r>
    </w:p>
  </w:footnote>
  <w:footnote w:id="149">
    <w:p w14:paraId="16C10CF4" w14:textId="2DD3C1B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50">
    <w:p w14:paraId="617EE1E0" w14:textId="2ABB6ED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xml:space="preserve">, [28].  See also the compendious summary of the applicable principles in </w:t>
      </w:r>
      <w:r w:rsidRPr="007809F4">
        <w:rPr>
          <w:rFonts w:asciiTheme="minorHAnsi" w:hAnsiTheme="minorHAnsi" w:cstheme="minorHAnsi"/>
          <w:i/>
        </w:rPr>
        <w:t>Lieu v R</w:t>
      </w:r>
      <w:r w:rsidRPr="007809F4">
        <w:rPr>
          <w:rFonts w:asciiTheme="minorHAnsi" w:hAnsiTheme="minorHAnsi" w:cstheme="minorHAnsi"/>
        </w:rPr>
        <w:t xml:space="preserve"> [2016] VSCA 277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Lieu v R</w:instrText>
      </w:r>
      <w:r w:rsidRPr="007809F4">
        <w:rPr>
          <w:rFonts w:asciiTheme="minorHAnsi" w:hAnsiTheme="minorHAnsi" w:cstheme="minorHAnsi"/>
        </w:rPr>
        <w:instrText xml:space="preserve"> [2016] VSCA 277</w:instrText>
      </w:r>
      <w:r w:rsidRPr="00EB7F1E">
        <w:rPr>
          <w:rFonts w:asciiTheme="minorHAnsi" w:hAnsiTheme="minorHAnsi" w:cstheme="minorHAnsi"/>
        </w:rPr>
        <w:instrText xml:space="preserve">" \s "Lieu v R [2016] VSCA 277" \c 1 </w:instrText>
      </w:r>
      <w:r w:rsidRPr="00EB7F1E">
        <w:rPr>
          <w:rFonts w:asciiTheme="minorHAnsi" w:hAnsiTheme="minorHAnsi" w:cstheme="minorHAnsi"/>
        </w:rPr>
        <w:fldChar w:fldCharType="end"/>
      </w:r>
      <w:r w:rsidRPr="007809F4">
        <w:rPr>
          <w:rFonts w:asciiTheme="minorHAnsi" w:hAnsiTheme="minorHAnsi" w:cstheme="minorHAnsi"/>
        </w:rPr>
        <w:t>, [46].</w:t>
      </w:r>
    </w:p>
  </w:footnote>
  <w:footnote w:id="151">
    <w:p w14:paraId="49A549FC" w14:textId="022E01D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Dalgliesh (a pseudonym)</w:t>
      </w:r>
      <w:r w:rsidRPr="007809F4">
        <w:rPr>
          <w:rFonts w:asciiTheme="minorHAnsi" w:hAnsiTheme="minorHAnsi" w:cstheme="minorHAnsi"/>
        </w:rPr>
        <w:t xml:space="preserve"> </w:t>
      </w:r>
      <w:r w:rsidRPr="00EB7F1E">
        <w:rPr>
          <w:rFonts w:asciiTheme="minorHAnsi" w:hAnsiTheme="minorHAnsi" w:cstheme="minorHAnsi"/>
        </w:rPr>
        <w:t>(2017) 91 ALJR 1063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Dalgliesh (a pseudonym)</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(2017) 91 ALJR 1063" \s "DPP v Dalgliesh (a pseudonym) (2017) 91 ALJR 1063" \c 1 </w:instrText>
      </w:r>
      <w:r w:rsidRPr="00EB7F1E">
        <w:rPr>
          <w:rFonts w:asciiTheme="minorHAnsi" w:hAnsiTheme="minorHAnsi" w:cstheme="minorHAnsi"/>
        </w:rPr>
        <w:fldChar w:fldCharType="end"/>
      </w:r>
      <w:r w:rsidRPr="007809F4">
        <w:rPr>
          <w:rFonts w:asciiTheme="minorHAnsi" w:hAnsiTheme="minorHAnsi" w:cstheme="minorHAnsi"/>
        </w:rPr>
        <w:t xml:space="preserve">, [50] (Kiefel CJ, Bell and Keane JJ); see also at [83] (Gageler and Gordon JJ). </w:t>
      </w:r>
      <w:r w:rsidRPr="00EB7F1E">
        <w:rPr>
          <w:rFonts w:asciiTheme="minorHAnsi" w:hAnsiTheme="minorHAnsi" w:cstheme="minorHAnsi"/>
        </w:rPr>
        <w:t xml:space="preserve"> </w:t>
      </w:r>
      <w:r w:rsidRPr="00EB7F1E">
        <w:rPr>
          <w:rFonts w:asciiTheme="minorHAnsi" w:hAnsiTheme="minorHAnsi" w:cstheme="minorHAnsi"/>
          <w:i/>
        </w:rPr>
        <w:t>Dalgleish</w:t>
      </w:r>
      <w:r w:rsidRPr="00EB7F1E">
        <w:rPr>
          <w:rFonts w:asciiTheme="minorHAnsi" w:hAnsiTheme="minorHAnsi" w:cstheme="minorHAnsi"/>
        </w:rPr>
        <w:t xml:space="preserve"> was concerned with a statutory requirement to have regard to “current sentencing practices” in sentencing a State offender, but the principle would seem equally applicable to the sentencing of a federal offender.</w:t>
      </w:r>
    </w:p>
  </w:footnote>
  <w:footnote w:id="152">
    <w:p w14:paraId="2EB2EDD6" w14:textId="5AB0442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[29].</w:t>
      </w:r>
    </w:p>
  </w:footnote>
  <w:footnote w:id="153">
    <w:p w14:paraId="4B8EF4F5" w14:textId="67A869F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[50].</w:t>
      </w:r>
    </w:p>
  </w:footnote>
  <w:footnote w:id="154">
    <w:p w14:paraId="1226B709" w14:textId="77777777" w:rsidR="00D44BCF" w:rsidRPr="007809F4" w:rsidRDefault="00D44BCF" w:rsidP="0077574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In </w:t>
      </w:r>
      <w:r w:rsidRPr="007809F4">
        <w:rPr>
          <w:rFonts w:asciiTheme="minorHAnsi" w:hAnsiTheme="minorHAnsi" w:cstheme="minorHAnsi"/>
          <w:i/>
        </w:rPr>
        <w:t>Nguyen v R</w:t>
      </w:r>
      <w:r w:rsidRPr="007809F4">
        <w:rPr>
          <w:rFonts w:asciiTheme="minorHAnsi" w:hAnsiTheme="minorHAnsi" w:cstheme="minorHAnsi"/>
        </w:rPr>
        <w:t xml:space="preserve"> [2016] VSCA 198</w:t>
      </w:r>
      <w:r w:rsidRPr="00EB7F1E">
        <w:rPr>
          <w:rFonts w:asciiTheme="minorHAnsi" w:hAnsiTheme="minorHAnsi" w:cstheme="minorHAnsi"/>
        </w:rPr>
        <w:fldChar w:fldCharType="begin"/>
      </w:r>
      <w:r w:rsidRPr="007809F4">
        <w:rPr>
          <w:rFonts w:asciiTheme="minorHAnsi" w:hAnsiTheme="minorHAnsi" w:cstheme="minorHAnsi"/>
        </w:rPr>
        <w:instrText xml:space="preserve"> TA \s "Nguyen v R [2016] VSCA 198" </w:instrText>
      </w:r>
      <w:r w:rsidRPr="00EB7F1E">
        <w:rPr>
          <w:rFonts w:asciiTheme="minorHAnsi" w:hAnsiTheme="minorHAnsi" w:cstheme="minorHAnsi"/>
        </w:rPr>
        <w:fldChar w:fldCharType="end"/>
      </w:r>
      <w:r w:rsidRPr="007809F4">
        <w:rPr>
          <w:rFonts w:asciiTheme="minorHAnsi" w:hAnsiTheme="minorHAnsi" w:cstheme="minorHAnsi"/>
        </w:rPr>
        <w:t xml:space="preserve">, [73] (Redlich JA, with whom Tate and Whelan JJA agreed). </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55">
    <w:p w14:paraId="636A8199" w14:textId="5C6CBF0A" w:rsidR="00D44BCF" w:rsidRPr="007809F4" w:rsidRDefault="00D44BCF" w:rsidP="001113ED">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E.g. </w:t>
      </w:r>
      <w:r w:rsidRPr="007809F4">
        <w:rPr>
          <w:rFonts w:asciiTheme="minorHAnsi" w:hAnsiTheme="minorHAnsi" w:cstheme="minorHAnsi"/>
          <w:i/>
        </w:rPr>
        <w:t>R v Hutchinson</w:t>
      </w:r>
      <w:r w:rsidRPr="007809F4">
        <w:rPr>
          <w:rFonts w:asciiTheme="minorHAnsi" w:hAnsiTheme="minorHAnsi" w:cstheme="minorHAnsi"/>
        </w:rPr>
        <w:t xml:space="preserve"> [2018] NSWCCA 152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Hutchinson</w:instrText>
      </w:r>
      <w:r w:rsidRPr="007809F4">
        <w:rPr>
          <w:rFonts w:asciiTheme="minorHAnsi" w:hAnsiTheme="minorHAnsi" w:cstheme="minorHAnsi"/>
        </w:rPr>
        <w:instrText xml:space="preserve"> [2018] NSWCCA 152" \s "R v Hutchinson [2018] NSWCCA 152" \c 1 </w:instrText>
      </w:r>
      <w:r w:rsidRPr="00EB7F1E">
        <w:rPr>
          <w:rFonts w:asciiTheme="minorHAnsi" w:hAnsiTheme="minorHAnsi" w:cstheme="minorHAnsi"/>
        </w:rPr>
        <w:fldChar w:fldCharType="end"/>
      </w:r>
      <w:r w:rsidRPr="007809F4">
        <w:rPr>
          <w:rFonts w:asciiTheme="minorHAnsi" w:hAnsiTheme="minorHAnsi" w:cstheme="minorHAnsi"/>
        </w:rPr>
        <w:t xml:space="preserve">, [58]-[63], [87], </w:t>
      </w:r>
      <w:r w:rsidRPr="007809F4">
        <w:rPr>
          <w:rFonts w:asciiTheme="minorHAnsi" w:hAnsiTheme="minorHAnsi" w:cstheme="minorHAnsi"/>
          <w:iCs/>
        </w:rPr>
        <w:t xml:space="preserve">where </w:t>
      </w:r>
      <w:r w:rsidRPr="007809F4">
        <w:rPr>
          <w:rFonts w:asciiTheme="minorHAnsi" w:hAnsiTheme="minorHAnsi" w:cstheme="minorHAnsi"/>
        </w:rPr>
        <w:t>the Crown’s characterisation of the objective seriousness of the offending as “</w:t>
      </w:r>
      <w:r w:rsidRPr="007809F4">
        <w:rPr>
          <w:rFonts w:asciiTheme="minorHAnsi" w:hAnsiTheme="minorHAnsi" w:cstheme="minorHAnsi"/>
          <w:i/>
        </w:rPr>
        <w:t>around about the middle of the range</w:t>
      </w:r>
      <w:r w:rsidRPr="007809F4">
        <w:rPr>
          <w:rFonts w:asciiTheme="minorHAnsi" w:hAnsiTheme="minorHAnsi" w:cstheme="minorHAnsi"/>
        </w:rPr>
        <w:t>” was said to represent a departure from its submission on the plea hearing that it was “</w:t>
      </w:r>
      <w:r w:rsidRPr="007809F4">
        <w:rPr>
          <w:rFonts w:asciiTheme="minorHAnsi" w:hAnsiTheme="minorHAnsi" w:cstheme="minorHAnsi"/>
          <w:i/>
        </w:rPr>
        <w:t>above the low range</w:t>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56">
    <w:p w14:paraId="118AFFB8" w14:textId="4B67235A" w:rsidR="00D44BCF" w:rsidRPr="007809F4" w:rsidRDefault="00D44BCF" w:rsidP="00B95FA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iCs/>
        </w:rPr>
        <w:t>DPP v Weybury</w:t>
      </w:r>
      <w:r w:rsidRPr="007809F4">
        <w:rPr>
          <w:rFonts w:asciiTheme="minorHAnsi" w:hAnsiTheme="minorHAnsi" w:cstheme="minorHAnsi"/>
        </w:rPr>
        <w:t xml:space="preserve"> [2018] VSCA 120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DPP v Weybury</w:instrText>
      </w:r>
      <w:r w:rsidRPr="007809F4">
        <w:rPr>
          <w:rFonts w:asciiTheme="minorHAnsi" w:hAnsiTheme="minorHAnsi" w:cstheme="minorHAnsi"/>
        </w:rPr>
        <w:instrText xml:space="preserve"> [2018] VSCA 120</w:instrText>
      </w:r>
      <w:r w:rsidRPr="00EB7F1E">
        <w:rPr>
          <w:rFonts w:asciiTheme="minorHAnsi" w:hAnsiTheme="minorHAnsi" w:cstheme="minorHAnsi"/>
        </w:rPr>
        <w:instrText xml:space="preserve">" \s "DPP v Weybury [2018] VSCA 120" \c 1 </w:instrText>
      </w:r>
      <w:r w:rsidRPr="00EB7F1E">
        <w:rPr>
          <w:rFonts w:asciiTheme="minorHAnsi" w:hAnsiTheme="minorHAnsi" w:cstheme="minorHAnsi"/>
        </w:rPr>
        <w:fldChar w:fldCharType="end"/>
      </w:r>
      <w:r w:rsidRPr="007809F4">
        <w:rPr>
          <w:rFonts w:asciiTheme="minorHAnsi" w:hAnsiTheme="minorHAnsi" w:cstheme="minorHAnsi"/>
        </w:rPr>
        <w:t>, [33] (Maxwell P and Hargrave JA); see also at [54] (Priest JA, dissenting in the result).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57">
    <w:p w14:paraId="44D52759" w14:textId="4D025815" w:rsidR="00D44BCF" w:rsidRPr="007809F4" w:rsidRDefault="00D44BCF" w:rsidP="002A5024">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iCs/>
        </w:rPr>
        <w:t>DPP v Weybury</w:t>
      </w:r>
      <w:r w:rsidRPr="007809F4">
        <w:rPr>
          <w:rFonts w:asciiTheme="minorHAnsi" w:hAnsiTheme="minorHAnsi" w:cstheme="minorHAnsi"/>
        </w:rPr>
        <w:t xml:space="preserve"> [2018] VSCA 120</w:t>
      </w:r>
      <w:r w:rsidRPr="00EB7F1E">
        <w:rPr>
          <w:rFonts w:asciiTheme="minorHAnsi" w:hAnsiTheme="minorHAnsi" w:cstheme="minorHAnsi"/>
        </w:rPr>
        <w:fldChar w:fldCharType="begin"/>
      </w:r>
      <w:r w:rsidRPr="007809F4">
        <w:rPr>
          <w:rFonts w:asciiTheme="minorHAnsi" w:hAnsiTheme="minorHAnsi" w:cstheme="minorHAnsi"/>
        </w:rPr>
        <w:instrText xml:space="preserve"> TA \s "DPP v Weybury [2018] VSCA 120" </w:instrText>
      </w:r>
      <w:r w:rsidRPr="00EB7F1E">
        <w:rPr>
          <w:rFonts w:asciiTheme="minorHAnsi" w:hAnsiTheme="minorHAnsi" w:cstheme="minorHAnsi"/>
        </w:rPr>
        <w:fldChar w:fldCharType="end"/>
      </w:r>
      <w:r w:rsidRPr="007809F4">
        <w:rPr>
          <w:rFonts w:asciiTheme="minorHAnsi" w:hAnsiTheme="minorHAnsi" w:cstheme="minorHAnsi"/>
        </w:rPr>
        <w:t xml:space="preserve">, [34] (Maxwell P and Hargrave JA).  See also </w:t>
      </w:r>
      <w:r w:rsidRPr="00EB7F1E">
        <w:rPr>
          <w:rFonts w:asciiTheme="minorHAnsi" w:hAnsiTheme="minorHAnsi" w:cstheme="minorHAnsi"/>
          <w:i/>
          <w:iCs/>
        </w:rPr>
        <w:t>Dirbass v R</w:t>
      </w:r>
      <w:r w:rsidRPr="007809F4">
        <w:rPr>
          <w:rFonts w:asciiTheme="minorHAnsi" w:hAnsiTheme="minorHAnsi" w:cstheme="minorHAnsi"/>
        </w:rPr>
        <w:t xml:space="preserve"> [2018] VSCA 272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Dirbass v R</w:instrText>
      </w:r>
      <w:r w:rsidRPr="007809F4">
        <w:rPr>
          <w:rFonts w:asciiTheme="minorHAnsi" w:hAnsiTheme="minorHAnsi" w:cstheme="minorHAnsi"/>
        </w:rPr>
        <w:instrText xml:space="preserve"> [2018] VSCA 272</w:instrText>
      </w:r>
      <w:r w:rsidRPr="00EB7F1E">
        <w:rPr>
          <w:rFonts w:asciiTheme="minorHAnsi" w:hAnsiTheme="minorHAnsi" w:cstheme="minorHAnsi"/>
        </w:rPr>
        <w:instrText xml:space="preserve">" \s "Dirbass v R [2018] VSCA 272" \c 1 </w:instrText>
      </w:r>
      <w:r w:rsidRPr="00EB7F1E">
        <w:rPr>
          <w:rFonts w:asciiTheme="minorHAnsi" w:hAnsiTheme="minorHAnsi" w:cstheme="minorHAnsi"/>
        </w:rPr>
        <w:fldChar w:fldCharType="end"/>
      </w:r>
      <w:r w:rsidRPr="007809F4">
        <w:rPr>
          <w:rFonts w:asciiTheme="minorHAnsi" w:hAnsiTheme="minorHAnsi" w:cstheme="minorHAnsi"/>
        </w:rPr>
        <w:t xml:space="preserve">, [60]; </w:t>
      </w:r>
      <w:r w:rsidRPr="00EB7F1E">
        <w:rPr>
          <w:rFonts w:asciiTheme="minorHAnsi" w:hAnsiTheme="minorHAnsi" w:cstheme="minorHAnsi"/>
          <w:i/>
          <w:iCs/>
        </w:rPr>
        <w:t xml:space="preserve">Woldesilassie v R </w:t>
      </w:r>
      <w:r w:rsidRPr="00EB7F1E">
        <w:rPr>
          <w:rFonts w:asciiTheme="minorHAnsi" w:hAnsiTheme="minorHAnsi" w:cstheme="minorHAnsi"/>
        </w:rPr>
        <w:t>[2018] VSCA 285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 xml:space="preserve">Woldesilassie v R </w:instrText>
      </w:r>
      <w:r w:rsidRPr="00EB7F1E">
        <w:rPr>
          <w:rFonts w:asciiTheme="minorHAnsi" w:hAnsiTheme="minorHAnsi" w:cstheme="minorHAnsi"/>
        </w:rPr>
        <w:instrText xml:space="preserve">[2018] VSCA 285" \s "Woldesilassie v R [2018] VSCA 285" \c 1 </w:instrText>
      </w:r>
      <w:r w:rsidRPr="00EB7F1E">
        <w:rPr>
          <w:rFonts w:asciiTheme="minorHAnsi" w:hAnsiTheme="minorHAnsi" w:cstheme="minorHAnsi"/>
        </w:rPr>
        <w:fldChar w:fldCharType="end"/>
      </w:r>
      <w:r w:rsidRPr="007809F4">
        <w:rPr>
          <w:rFonts w:asciiTheme="minorHAnsi" w:hAnsiTheme="minorHAnsi" w:cstheme="minorHAnsi"/>
        </w:rPr>
        <w:t>, [30]-[32].</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58">
    <w:p w14:paraId="67BBE4EA" w14:textId="24E8805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bCs/>
          <w:i/>
          <w:i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Weininger v R</w:instrText>
      </w:r>
      <w:r w:rsidRPr="007809F4">
        <w:rPr>
          <w:rFonts w:asciiTheme="minorHAnsi" w:hAnsiTheme="minorHAnsi" w:cstheme="minorHAnsi"/>
        </w:rPr>
        <w:instrText xml:space="preserve"> (2003) 212 CLR 629" \s "Weininger v R (2003) 212 CLR 629" \c 1 </w:instrText>
      </w:r>
      <w:r w:rsidRPr="00EB7F1E">
        <w:rPr>
          <w:rFonts w:asciiTheme="minorHAnsi" w:hAnsiTheme="minorHAnsi" w:cstheme="minorHAnsi"/>
          <w:bCs/>
          <w:i/>
          <w:iCs/>
        </w:rPr>
        <w:fldChar w:fldCharType="end"/>
      </w:r>
      <w:r w:rsidRPr="007809F4">
        <w:rPr>
          <w:rFonts w:asciiTheme="minorHAnsi" w:hAnsiTheme="minorHAnsi" w:cstheme="minorHAnsi"/>
          <w:bCs/>
          <w:iCs/>
        </w:rPr>
        <w:t>, [16]</w:t>
      </w:r>
      <w:r w:rsidRPr="007809F4">
        <w:rPr>
          <w:rFonts w:asciiTheme="minorHAnsi" w:hAnsiTheme="minorHAnsi" w:cstheme="minorHAnsi"/>
        </w:rPr>
        <w:t>.</w:t>
      </w:r>
    </w:p>
  </w:footnote>
  <w:footnote w:id="159">
    <w:p w14:paraId="7FDA9D60" w14:textId="7B1FC34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[26]-[27].</w:t>
      </w:r>
    </w:p>
  </w:footnote>
  <w:footnote w:id="160">
    <w:p w14:paraId="3018396B" w14:textId="2DE03F3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[15].</w:t>
      </w:r>
    </w:p>
  </w:footnote>
  <w:footnote w:id="161">
    <w:p w14:paraId="3D895621" w14:textId="0EE543E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[15].</w:t>
      </w:r>
    </w:p>
  </w:footnote>
  <w:footnote w:id="162">
    <w:p w14:paraId="4D921846" w14:textId="321E416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[21].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_Ref506382959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_Ref9850772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Applicability of the common law</w:t>
      </w:r>
      <w:r w:rsidRPr="00EB7F1E">
        <w:rPr>
          <w:rFonts w:asciiTheme="minorHAnsi" w:hAnsiTheme="minorHAnsi" w:cstheme="minorHAnsi"/>
        </w:rPr>
        <w:fldChar w:fldCharType="end"/>
      </w:r>
      <w:r w:rsidRPr="007809F4">
        <w:rPr>
          <w:rFonts w:asciiTheme="minorHAnsi" w:hAnsiTheme="minorHAnsi" w:cstheme="minorHAnsi"/>
        </w:rPr>
        <w:t>” and “</w:t>
      </w:r>
      <w:r w:rsidRPr="00EB7F1E">
        <w:rPr>
          <w:rFonts w:asciiTheme="minorHAnsi" w:hAnsiTheme="minorHAnsi" w:cstheme="minorHAnsi"/>
        </w:rPr>
        <w:fldChar w:fldCharType="begin"/>
      </w:r>
      <w:r w:rsidRPr="007809F4">
        <w:rPr>
          <w:rFonts w:asciiTheme="minorHAnsi" w:hAnsiTheme="minorHAnsi" w:cstheme="minorHAnsi"/>
        </w:rPr>
        <w:instrText xml:space="preserve"> REF _Ref10384364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_Ref494532906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application of State and Territory laws by Judiciary Act 1903, ss 68 and 79</w:t>
      </w:r>
      <w:r w:rsidRPr="00EB7F1E">
        <w:rPr>
          <w:rFonts w:asciiTheme="minorHAnsi" w:hAnsiTheme="minorHAnsi" w:cstheme="minorHAnsi"/>
        </w:rPr>
        <w:fldChar w:fldCharType="end"/>
      </w:r>
      <w:r w:rsidRPr="007809F4">
        <w:rPr>
          <w:rFonts w:asciiTheme="minorHAnsi" w:hAnsiTheme="minorHAnsi" w:cstheme="minorHAnsi"/>
        </w:rPr>
        <w:t>”.</w:t>
      </w:r>
    </w:p>
  </w:footnote>
  <w:footnote w:id="163">
    <w:p w14:paraId="5E90CE75" w14:textId="30569CB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ONA (2009) 24 VR 197" </w:instrText>
      </w:r>
      <w:r w:rsidRPr="00EB7F1E">
        <w:rPr>
          <w:rFonts w:asciiTheme="minorHAnsi" w:hAnsiTheme="minorHAnsi" w:cstheme="minorHAnsi"/>
        </w:rPr>
        <w:fldChar w:fldCharType="end"/>
      </w:r>
    </w:p>
  </w:footnote>
  <w:footnote w:id="164">
    <w:p w14:paraId="04EE2074" w14:textId="3D2EEDD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[22] (French CJ, Keane and Nettle JJ; Bell and Gageler JJ agreeing on this ground).  The plurality went on to say ([23]) that a law of Victoria which provided for a sentencing judge to take current sentencing practices into account was “</w:t>
      </w:r>
      <w:r w:rsidRPr="007809F4">
        <w:rPr>
          <w:rFonts w:asciiTheme="minorHAnsi" w:hAnsiTheme="minorHAnsi" w:cstheme="minorHAnsi"/>
          <w:i/>
        </w:rPr>
        <w:t>to some extent … capable of operating consistently with Pt IB of the Crimes Act</w:t>
      </w:r>
      <w:r w:rsidRPr="007809F4">
        <w:rPr>
          <w:rFonts w:asciiTheme="minorHAnsi" w:hAnsiTheme="minorHAnsi" w:cstheme="minorHAnsi"/>
        </w:rPr>
        <w:t>”.  The plurality added, however, that the State law necessarily directed attention to current sentencing practices in Victoria, whereas it was “</w:t>
      </w:r>
      <w:r w:rsidRPr="007809F4">
        <w:rPr>
          <w:rFonts w:asciiTheme="minorHAnsi" w:hAnsiTheme="minorHAnsi" w:cstheme="minorHAnsi"/>
          <w:i/>
        </w:rPr>
        <w:t>implicit in Pt IB of the Crimes Act that a sentencing judge must have regard to current sentencing practices throughout the Commonwealth.</w:t>
      </w:r>
      <w:r w:rsidRPr="007809F4">
        <w:rPr>
          <w:rFonts w:asciiTheme="minorHAnsi" w:hAnsiTheme="minorHAnsi" w:cstheme="minorHAnsi"/>
        </w:rPr>
        <w:t xml:space="preserve">”  Although the plurality did not say so explicitly, the implication appears to be that the State provision was not made applicable to the sentencing of federal offenders by s 68(1) or s 79 of the </w:t>
      </w:r>
      <w:r w:rsidRPr="007809F4">
        <w:rPr>
          <w:rFonts w:asciiTheme="minorHAnsi" w:hAnsiTheme="minorHAnsi" w:cstheme="minorHAnsi"/>
          <w:i/>
        </w:rPr>
        <w:t>Judiciary Act 1903</w:t>
      </w:r>
      <w:r w:rsidRPr="007809F4">
        <w:rPr>
          <w:rFonts w:asciiTheme="minorHAnsi" w:hAnsiTheme="minorHAnsi" w:cstheme="minorHAnsi"/>
        </w:rPr>
        <w:t xml:space="preserve"> (Cth) because it was inconsistent with the requirements of s 16A of the </w:t>
      </w:r>
      <w:r w:rsidRPr="007809F4">
        <w:rPr>
          <w:rFonts w:asciiTheme="minorHAnsi" w:hAnsiTheme="minorHAnsi" w:cstheme="minorHAnsi"/>
          <w:i/>
        </w:rPr>
        <w:t>Crimes Act</w:t>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ONA (2009) 24 VR 197" </w:instrText>
      </w:r>
      <w:r w:rsidRPr="00EB7F1E">
        <w:rPr>
          <w:rFonts w:asciiTheme="minorHAnsi" w:hAnsiTheme="minorHAnsi" w:cstheme="minorHAnsi"/>
        </w:rPr>
        <w:fldChar w:fldCharType="end"/>
      </w:r>
    </w:p>
  </w:footnote>
  <w:footnote w:id="165">
    <w:p w14:paraId="0896CFE4" w14:textId="15811E6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Ngo v R</w:t>
      </w:r>
      <w:r w:rsidRPr="007809F4">
        <w:rPr>
          <w:rFonts w:asciiTheme="minorHAnsi" w:hAnsiTheme="minorHAnsi" w:cstheme="minorHAnsi"/>
        </w:rPr>
        <w:t xml:space="preserve"> [2017] WASCA 3</w:t>
      </w:r>
      <w:r w:rsidRPr="00EB7F1E">
        <w:rPr>
          <w:rFonts w:asciiTheme="minorHAnsi" w:hAnsiTheme="minorHAnsi" w:cstheme="minorHAnsi"/>
        </w:rPr>
        <w:fldChar w:fldCharType="begin"/>
      </w:r>
      <w:r w:rsidRPr="007809F4">
        <w:rPr>
          <w:rFonts w:asciiTheme="minorHAnsi" w:hAnsiTheme="minorHAnsi" w:cstheme="minorHAnsi"/>
        </w:rPr>
        <w:instrText xml:space="preserve"> TA \s "Ngo v R [2017] WASCA 3"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66">
    <w:p w14:paraId="6238488E" w14:textId="1ED2BEB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ONA</w:t>
      </w:r>
      <w:r w:rsidRPr="007809F4">
        <w:rPr>
          <w:rFonts w:asciiTheme="minorHAnsi" w:hAnsiTheme="minorHAnsi" w:cstheme="minorHAnsi"/>
        </w:rPr>
        <w:t xml:space="preserve"> (2009) 24 VR 197</w:t>
      </w:r>
      <w:r w:rsidRPr="00EB7F1E">
        <w:rPr>
          <w:rFonts w:asciiTheme="minorHAnsi" w:hAnsiTheme="minorHAnsi" w:cstheme="minorHAnsi"/>
        </w:rPr>
        <w:fldChar w:fldCharType="begin"/>
      </w:r>
      <w:r w:rsidRPr="007809F4">
        <w:rPr>
          <w:rFonts w:asciiTheme="minorHAnsi" w:hAnsiTheme="minorHAnsi" w:cstheme="minorHAnsi"/>
        </w:rPr>
        <w:instrText xml:space="preserve"> TA \s "R v ONA (2009) 24 VR 197" </w:instrText>
      </w:r>
      <w:r w:rsidRPr="00EB7F1E">
        <w:rPr>
          <w:rFonts w:asciiTheme="minorHAnsi" w:hAnsiTheme="minorHAnsi" w:cstheme="minorHAnsi"/>
        </w:rPr>
        <w:fldChar w:fldCharType="end"/>
      </w:r>
      <w:r w:rsidRPr="007809F4">
        <w:rPr>
          <w:rFonts w:asciiTheme="minorHAnsi" w:hAnsiTheme="minorHAnsi" w:cstheme="minorHAnsi"/>
        </w:rPr>
        <w:t xml:space="preserve">.  Cf. </w:t>
      </w:r>
      <w:r w:rsidRPr="007809F4">
        <w:rPr>
          <w:rFonts w:asciiTheme="minorHAnsi" w:hAnsiTheme="minorHAnsi" w:cstheme="minorHAnsi"/>
          <w:i/>
        </w:rPr>
        <w:t>Sabel v R</w:t>
      </w:r>
      <w:r w:rsidRPr="007809F4">
        <w:rPr>
          <w:rFonts w:asciiTheme="minorHAnsi" w:hAnsiTheme="minorHAnsi" w:cstheme="minorHAnsi"/>
        </w:rPr>
        <w:t xml:space="preserve"> [2014] NSWCCA 101</w:t>
      </w:r>
      <w:r w:rsidRPr="00EB7F1E">
        <w:rPr>
          <w:rFonts w:asciiTheme="minorHAnsi" w:hAnsiTheme="minorHAnsi" w:cstheme="minorHAnsi"/>
        </w:rPr>
        <w:fldChar w:fldCharType="begin"/>
      </w:r>
      <w:r w:rsidRPr="007809F4">
        <w:rPr>
          <w:rFonts w:asciiTheme="minorHAnsi" w:hAnsiTheme="minorHAnsi" w:cstheme="minorHAnsi"/>
        </w:rPr>
        <w:instrText xml:space="preserve"> TA \s "Sabel v R [2014] NSWCCA 101" </w:instrText>
      </w:r>
      <w:r w:rsidRPr="00EB7F1E">
        <w:rPr>
          <w:rFonts w:asciiTheme="minorHAnsi" w:hAnsiTheme="minorHAnsi" w:cstheme="minorHAnsi"/>
        </w:rPr>
        <w:fldChar w:fldCharType="end"/>
      </w:r>
      <w:r w:rsidRPr="007809F4">
        <w:rPr>
          <w:rFonts w:asciiTheme="minorHAnsi" w:hAnsiTheme="minorHAnsi" w:cstheme="minorHAnsi"/>
        </w:rPr>
        <w:t>, [206]-[209]</w:t>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ONA (2009) 24 VR 197" </w:instrText>
      </w:r>
      <w:r w:rsidRPr="00EB7F1E">
        <w:rPr>
          <w:rFonts w:asciiTheme="minorHAnsi" w:hAnsiTheme="minorHAnsi" w:cstheme="minorHAnsi"/>
        </w:rPr>
        <w:fldChar w:fldCharType="end"/>
      </w:r>
    </w:p>
  </w:footnote>
  <w:footnote w:id="167">
    <w:p w14:paraId="7B03E8D7" w14:textId="4DBF93C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Examples are: </w:t>
      </w:r>
      <w:r w:rsidRPr="007809F4">
        <w:rPr>
          <w:rFonts w:asciiTheme="minorHAnsi" w:hAnsiTheme="minorHAnsi" w:cstheme="minorHAnsi"/>
          <w:i/>
        </w:rPr>
        <w:t>Crimes (Sentencing Procedure) Act 1999</w:t>
      </w:r>
      <w:r w:rsidRPr="007809F4">
        <w:rPr>
          <w:rFonts w:asciiTheme="minorHAnsi" w:hAnsiTheme="minorHAnsi" w:cstheme="minorHAnsi"/>
        </w:rPr>
        <w:t xml:space="preserve"> (NSW), Part 3, Div 4; </w:t>
      </w:r>
      <w:r w:rsidRPr="007809F4">
        <w:rPr>
          <w:rFonts w:asciiTheme="minorHAnsi" w:hAnsiTheme="minorHAnsi" w:cstheme="minorHAnsi"/>
          <w:i/>
        </w:rPr>
        <w:t>Sentencing Act 1991</w:t>
      </w:r>
      <w:r w:rsidRPr="007809F4">
        <w:rPr>
          <w:rFonts w:asciiTheme="minorHAnsi" w:hAnsiTheme="minorHAnsi" w:cstheme="minorHAnsi"/>
        </w:rPr>
        <w:t xml:space="preserve"> (Vic), Part 2AA; </w:t>
      </w:r>
      <w:r w:rsidRPr="007809F4">
        <w:rPr>
          <w:rFonts w:asciiTheme="minorHAnsi" w:hAnsiTheme="minorHAnsi" w:cstheme="minorHAnsi"/>
          <w:i/>
        </w:rPr>
        <w:t>Penalties and Sentences Act 1992</w:t>
      </w:r>
      <w:r w:rsidRPr="007809F4">
        <w:rPr>
          <w:rFonts w:asciiTheme="minorHAnsi" w:hAnsiTheme="minorHAnsi" w:cstheme="minorHAnsi"/>
        </w:rPr>
        <w:t xml:space="preserve"> (Qld), Part 2A; </w:t>
      </w:r>
      <w:r w:rsidRPr="007809F4">
        <w:rPr>
          <w:rFonts w:asciiTheme="minorHAnsi" w:hAnsiTheme="minorHAnsi" w:cstheme="minorHAnsi"/>
          <w:i/>
        </w:rPr>
        <w:t>Sentencing Act 1995</w:t>
      </w:r>
      <w:r w:rsidRPr="007809F4">
        <w:rPr>
          <w:rFonts w:asciiTheme="minorHAnsi" w:hAnsiTheme="minorHAnsi" w:cstheme="minorHAnsi"/>
        </w:rPr>
        <w:t xml:space="preserve"> (WA), s 143.</w:t>
      </w:r>
      <w:r w:rsidRPr="00EB7F1E">
        <w:rPr>
          <w:rFonts w:asciiTheme="minorHAnsi" w:hAnsiTheme="minorHAnsi" w:cstheme="minorHAnsi"/>
        </w:rPr>
        <w:fldChar w:fldCharType="begin"/>
      </w:r>
      <w:r w:rsidRPr="007809F4">
        <w:rPr>
          <w:rFonts w:asciiTheme="minorHAnsi" w:hAnsiTheme="minorHAnsi" w:cstheme="minorHAnsi"/>
        </w:rPr>
        <w:instrText xml:space="preserve">  "R v ONA (2009) 24 VR 197" </w:instrText>
      </w:r>
      <w:r w:rsidRPr="00EB7F1E">
        <w:rPr>
          <w:rFonts w:asciiTheme="minorHAnsi" w:hAnsiTheme="minorHAnsi" w:cstheme="minorHAnsi"/>
        </w:rPr>
        <w:fldChar w:fldCharType="end"/>
      </w:r>
    </w:p>
  </w:footnote>
  <w:footnote w:id="168">
    <w:p w14:paraId="707E3F53"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 </w:instrText>
      </w:r>
      <w:r w:rsidRPr="00EB7F1E">
        <w:rPr>
          <w:rFonts w:asciiTheme="minorHAnsi" w:hAnsiTheme="minorHAnsi" w:cstheme="minorHAnsi"/>
        </w:rPr>
        <w:fldChar w:fldCharType="end"/>
      </w:r>
    </w:p>
  </w:footnote>
  <w:footnote w:id="169">
    <w:p w14:paraId="7F43B733" w14:textId="4994720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70">
    <w:p w14:paraId="0FA96377"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"Wong v R (2001) 207 CLR 584"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71">
    <w:p w14:paraId="70597570"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w:instrText>
      </w:r>
      <w:r w:rsidRPr="00EB7F1E">
        <w:rPr>
          <w:rFonts w:asciiTheme="minorHAnsi" w:hAnsiTheme="minorHAnsi" w:cstheme="minorHAnsi"/>
        </w:rPr>
        <w:fldChar w:fldCharType="end"/>
      </w:r>
      <w:r w:rsidRPr="007809F4">
        <w:rPr>
          <w:rFonts w:asciiTheme="minorHAnsi" w:hAnsiTheme="minorHAnsi" w:cstheme="minorHAnsi"/>
        </w:rPr>
        <w:t>, [71]-[72]</w:t>
      </w:r>
      <w:r w:rsidRPr="00EB7F1E">
        <w:rPr>
          <w:rFonts w:asciiTheme="minorHAnsi" w:hAnsiTheme="minorHAnsi" w:cstheme="minorHAnsi"/>
        </w:rPr>
        <w:fldChar w:fldCharType="begin"/>
      </w:r>
      <w:r w:rsidRPr="007809F4">
        <w:rPr>
          <w:rFonts w:asciiTheme="minorHAnsi" w:hAnsiTheme="minorHAnsi" w:cstheme="minorHAnsi"/>
        </w:rPr>
        <w:instrText xml:space="preserve">  "Wong v R (2001) 207 CLR 584"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72">
    <w:p w14:paraId="2E552AA6" w14:textId="5D17B92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[15].</w:t>
      </w:r>
    </w:p>
  </w:footnote>
  <w:footnote w:id="173">
    <w:p w14:paraId="3D164BB5" w14:textId="41DC580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[25].</w:t>
      </w:r>
    </w:p>
  </w:footnote>
  <w:footnote w:id="174">
    <w:p w14:paraId="232C4BF9" w14:textId="5270A04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75">
    <w:p w14:paraId="06C16F48" w14:textId="3ED21F1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[19].</w:t>
      </w:r>
    </w:p>
  </w:footnote>
  <w:footnote w:id="176">
    <w:p w14:paraId="61BFBC3B" w14:textId="6CB107A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77">
    <w:p w14:paraId="55DAD59A" w14:textId="3B8724A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[22] (French CJ, Keane and Nettle JJ; Bell and Gageler JJ agreeing on this ground).</w:t>
      </w:r>
    </w:p>
  </w:footnote>
  <w:footnote w:id="178">
    <w:p w14:paraId="5593F3EF"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[44].</w:t>
      </w:r>
    </w:p>
  </w:footnote>
  <w:footnote w:id="179">
    <w:p w14:paraId="56B0F0FF" w14:textId="281F835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180">
    <w:p w14:paraId="4782474C" w14:textId="6D68AFF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Ruha; ex parte DPP (Cth) </w:t>
      </w:r>
      <w:r w:rsidRPr="007809F4">
        <w:rPr>
          <w:rFonts w:asciiTheme="minorHAnsi" w:hAnsiTheme="minorHAnsi" w:cstheme="minorHAnsi"/>
        </w:rPr>
        <w:t>[2011] 2 Qd R 456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R v Ruha; ex parte DPP (Cth) </w:instrText>
      </w:r>
      <w:r w:rsidRPr="007809F4">
        <w:rPr>
          <w:rFonts w:asciiTheme="minorHAnsi" w:hAnsiTheme="minorHAnsi" w:cstheme="minorHAnsi"/>
        </w:rPr>
        <w:instrText xml:space="preserve">[2011] 2 Qd R 456" \s "R v Ruha; ex parte DPP (Cth) [2011] 2 Qd R 456" \c 1 </w:instrText>
      </w:r>
      <w:r w:rsidRPr="00EB7F1E">
        <w:rPr>
          <w:rFonts w:asciiTheme="minorHAnsi" w:hAnsiTheme="minorHAnsi" w:cstheme="minorHAnsi"/>
        </w:rPr>
        <w:fldChar w:fldCharType="end"/>
      </w:r>
      <w:r w:rsidRPr="007809F4">
        <w:rPr>
          <w:rFonts w:asciiTheme="minorHAnsi" w:hAnsiTheme="minorHAnsi" w:cstheme="minorHAnsi"/>
        </w:rPr>
        <w:t xml:space="preserve">, [45]; approved in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[40].</w:t>
      </w:r>
    </w:p>
  </w:footnote>
  <w:footnote w:id="181">
    <w:p w14:paraId="6BF603BA"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[40]-[41].</w:t>
      </w:r>
    </w:p>
  </w:footnote>
  <w:footnote w:id="182">
    <w:p w14:paraId="2F125A96" w14:textId="0CDE706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eastAsiaTheme="minorHAnsi" w:hAnsiTheme="minorHAnsi" w:cstheme="minorHAnsi"/>
          <w:i/>
        </w:rPr>
        <w:t>Kovacevic v Mills</w:t>
      </w:r>
      <w:r w:rsidRPr="007809F4">
        <w:rPr>
          <w:rFonts w:asciiTheme="minorHAnsi" w:eastAsiaTheme="minorHAnsi" w:hAnsiTheme="minorHAnsi" w:cstheme="minorHAnsi"/>
        </w:rPr>
        <w:t xml:space="preserve"> (2000) 76 SASR 404</w:t>
      </w:r>
      <w:r w:rsidRPr="00EB7F1E">
        <w:rPr>
          <w:rFonts w:asciiTheme="minorHAnsi" w:eastAsia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eastAsiaTheme="minorHAnsi" w:hAnsiTheme="minorHAnsi" w:cstheme="minorHAnsi"/>
          <w:i/>
        </w:rPr>
        <w:instrText>Kovacevic v Mills</w:instrText>
      </w:r>
      <w:r w:rsidRPr="007809F4">
        <w:rPr>
          <w:rFonts w:asciiTheme="minorHAnsi" w:eastAsiaTheme="minorHAnsi" w:hAnsiTheme="minorHAnsi" w:cstheme="minorHAnsi"/>
        </w:rPr>
        <w:instrText xml:space="preserve"> (2000) 76 SASR 404</w:instrText>
      </w:r>
      <w:r w:rsidRPr="00EB7F1E">
        <w:rPr>
          <w:rFonts w:asciiTheme="minorHAnsi" w:hAnsiTheme="minorHAnsi" w:cstheme="minorHAnsi"/>
        </w:rPr>
        <w:instrText xml:space="preserve">" \s "Kovacevic v Mills (2000) 76 SASR 404" \c 1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Lambert &amp; Anor (1990) 51 A Crim R 160" </w:instrText>
      </w:r>
      <w:r w:rsidRPr="00EB7F1E">
        <w:rPr>
          <w:rFonts w:asciiTheme="minorHAnsi" w:hAnsiTheme="minorHAnsi" w:cstheme="minorHAnsi"/>
        </w:rPr>
        <w:fldChar w:fldCharType="end"/>
      </w:r>
    </w:p>
  </w:footnote>
  <w:footnote w:id="183">
    <w:p w14:paraId="606180A9" w14:textId="0928C63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eastAsiaTheme="minorHAnsi" w:hAnsiTheme="minorHAnsi" w:cstheme="minorHAnsi"/>
          <w:i/>
        </w:rPr>
        <w:t>Kovacevic v Mills</w:t>
      </w:r>
      <w:r w:rsidRPr="007809F4">
        <w:rPr>
          <w:rFonts w:asciiTheme="minorHAnsi" w:eastAsiaTheme="minorHAnsi" w:hAnsiTheme="minorHAnsi" w:cstheme="minorHAnsi"/>
        </w:rPr>
        <w:t xml:space="preserve"> (2000) 76 SASR 404</w:t>
      </w:r>
      <w:r w:rsidRPr="00EB7F1E">
        <w:rPr>
          <w:rFonts w:asciiTheme="minorHAnsi" w:eastAsiaTheme="minorHAnsi" w:hAnsiTheme="minorHAnsi" w:cstheme="minorHAnsi"/>
        </w:rPr>
        <w:fldChar w:fldCharType="begin"/>
      </w:r>
      <w:r w:rsidRPr="007809F4">
        <w:rPr>
          <w:rFonts w:asciiTheme="minorHAnsi" w:eastAsiaTheme="minorHAnsi" w:hAnsiTheme="minorHAnsi" w:cstheme="minorHAnsi"/>
        </w:rPr>
        <w:instrText xml:space="preserve"> TA \s "Kovacevic v Mills (2000) 76 SASR 404"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 [30]-[31], [35].</w:t>
      </w:r>
      <w:r w:rsidRPr="00EB7F1E">
        <w:rPr>
          <w:rFonts w:asciiTheme="minorHAnsi" w:hAnsiTheme="minorHAnsi" w:cstheme="minorHAnsi"/>
        </w:rPr>
        <w:fldChar w:fldCharType="begin"/>
      </w:r>
      <w:r w:rsidRPr="007809F4">
        <w:rPr>
          <w:rFonts w:asciiTheme="minorHAnsi" w:hAnsiTheme="minorHAnsi" w:cstheme="minorHAnsi"/>
        </w:rPr>
        <w:instrText xml:space="preserve">  "R v Lambert &amp; Anor (1990) 51 A Crim R 160" </w:instrText>
      </w:r>
      <w:r w:rsidRPr="00EB7F1E">
        <w:rPr>
          <w:rFonts w:asciiTheme="minorHAnsi" w:hAnsiTheme="minorHAnsi" w:cstheme="minorHAnsi"/>
        </w:rPr>
        <w:fldChar w:fldCharType="end"/>
      </w:r>
    </w:p>
  </w:footnote>
  <w:footnote w:id="184">
    <w:p w14:paraId="40376970" w14:textId="75066CC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eastAsiaTheme="minorHAnsi" w:hAnsiTheme="minorHAnsi" w:cstheme="minorHAnsi"/>
          <w:i/>
        </w:rPr>
        <w:t>Kovacevic v Mills</w:t>
      </w:r>
      <w:r w:rsidRPr="007809F4">
        <w:rPr>
          <w:rFonts w:asciiTheme="minorHAnsi" w:eastAsiaTheme="minorHAnsi" w:hAnsiTheme="minorHAnsi" w:cstheme="minorHAnsi"/>
        </w:rPr>
        <w:t xml:space="preserve"> (2000) 76 SASR 404</w:t>
      </w:r>
      <w:r w:rsidRPr="00EB7F1E">
        <w:rPr>
          <w:rFonts w:asciiTheme="minorHAnsi" w:eastAsiaTheme="minorHAnsi" w:hAnsiTheme="minorHAnsi" w:cstheme="minorHAnsi"/>
        </w:rPr>
        <w:fldChar w:fldCharType="begin"/>
      </w:r>
      <w:r w:rsidRPr="007809F4">
        <w:rPr>
          <w:rFonts w:asciiTheme="minorHAnsi" w:eastAsiaTheme="minorHAnsi" w:hAnsiTheme="minorHAnsi" w:cstheme="minorHAnsi"/>
        </w:rPr>
        <w:instrText xml:space="preserve"> TA \s "Kovacevic v Mills (2000) 76 SASR 404"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 xml:space="preserve">, [32].  Compare </w:t>
      </w:r>
      <w:r w:rsidRPr="007809F4">
        <w:rPr>
          <w:rFonts w:asciiTheme="minorHAnsi" w:hAnsiTheme="minorHAnsi" w:cstheme="minorHAnsi"/>
          <w:bCs/>
          <w:i/>
          <w:iCs/>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eastAsiaTheme="minorHAnsi" w:hAnsiTheme="minorHAnsi" w:cstheme="minorHAnsi"/>
          <w:i/>
        </w:rPr>
        <w:t>Hili v R</w:t>
      </w:r>
      <w:r w:rsidRPr="00EB7F1E">
        <w:rPr>
          <w:rFonts w:asciiTheme="minorHAnsi" w:eastAsia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eastAsiaTheme="minorHAnsi" w:hAnsiTheme="minorHAnsi" w:cstheme="minorHAnsi"/>
        </w:rPr>
        <w:t xml:space="preserve">; </w:t>
      </w:r>
      <w:r w:rsidRPr="007809F4">
        <w:rPr>
          <w:rFonts w:asciiTheme="minorHAnsi" w:hAnsiTheme="minorHAnsi" w:cstheme="minorHAnsi"/>
          <w:i/>
        </w:rPr>
        <w:t>Barbaro v R</w:t>
      </w:r>
      <w:r w:rsidRPr="007809F4">
        <w:rPr>
          <w:rFonts w:asciiTheme="minorHAnsi" w:hAnsiTheme="minorHAnsi" w:cstheme="minorHAnsi"/>
        </w:rPr>
        <w:t xml:space="preserve"> (2014) 253 CLR 58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(2014) 253 CLR 58" </w:instrText>
      </w:r>
      <w:r w:rsidRPr="00EB7F1E">
        <w:rPr>
          <w:rFonts w:asciiTheme="minorHAnsi" w:hAnsiTheme="minorHAnsi" w:cstheme="minorHAnsi"/>
        </w:rPr>
        <w:fldChar w:fldCharType="end"/>
      </w:r>
      <w:r w:rsidRPr="007809F4">
        <w:rPr>
          <w:rFonts w:asciiTheme="minorHAnsi" w:hAnsiTheme="minorHAnsi" w:cstheme="minorHAnsi"/>
        </w:rPr>
        <w:t>, [41];</w:t>
      </w:r>
      <w:r w:rsidRPr="007809F4">
        <w:rPr>
          <w:rFonts w:asciiTheme="minorHAnsi" w:eastAsiaTheme="minorHAnsi" w:hAnsiTheme="minorHAnsi" w:cstheme="minorHAnsi"/>
        </w:rPr>
        <w:t xml:space="preserve"> </w:t>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Lambert &amp; Anor (1990) 51 A Crim R 160" </w:instrText>
      </w:r>
      <w:r w:rsidRPr="00EB7F1E">
        <w:rPr>
          <w:rFonts w:asciiTheme="minorHAnsi" w:hAnsiTheme="minorHAnsi" w:cstheme="minorHAnsi"/>
        </w:rPr>
        <w:fldChar w:fldCharType="end"/>
      </w:r>
    </w:p>
  </w:footnote>
  <w:footnote w:id="185">
    <w:p w14:paraId="2B80DB9E" w14:textId="4345537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eastAsiaTheme="minorHAnsi" w:hAnsiTheme="minorHAnsi" w:cstheme="minorHAnsi"/>
          <w:i/>
        </w:rPr>
        <w:t>Kovacevic v Mills</w:t>
      </w:r>
      <w:r w:rsidRPr="007809F4">
        <w:rPr>
          <w:rFonts w:asciiTheme="minorHAnsi" w:eastAsiaTheme="minorHAnsi" w:hAnsiTheme="minorHAnsi" w:cstheme="minorHAnsi"/>
        </w:rPr>
        <w:t xml:space="preserve"> (2000) 76 SASR 404</w:t>
      </w:r>
      <w:r w:rsidRPr="00EB7F1E">
        <w:rPr>
          <w:rFonts w:asciiTheme="minorHAnsi" w:eastAsiaTheme="minorHAnsi" w:hAnsiTheme="minorHAnsi" w:cstheme="minorHAnsi"/>
        </w:rPr>
        <w:fldChar w:fldCharType="begin"/>
      </w:r>
      <w:r w:rsidRPr="007809F4">
        <w:rPr>
          <w:rFonts w:asciiTheme="minorHAnsi" w:eastAsiaTheme="minorHAnsi" w:hAnsiTheme="minorHAnsi" w:cstheme="minorHAnsi"/>
        </w:rPr>
        <w:instrText xml:space="preserve"> TA \s "Kovacevic v Mills (2000) 76 SASR 404"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 [39]-[45].</w:t>
      </w:r>
      <w:r w:rsidRPr="00EB7F1E">
        <w:rPr>
          <w:rFonts w:asciiTheme="minorHAnsi" w:hAnsiTheme="minorHAnsi" w:cstheme="minorHAnsi"/>
        </w:rPr>
        <w:fldChar w:fldCharType="begin"/>
      </w:r>
      <w:r w:rsidRPr="007809F4">
        <w:rPr>
          <w:rFonts w:asciiTheme="minorHAnsi" w:hAnsiTheme="minorHAnsi" w:cstheme="minorHAnsi"/>
        </w:rPr>
        <w:instrText xml:space="preserve">  "R v Lambert &amp; Anor (1990) 51 A Crim R 160" </w:instrText>
      </w:r>
      <w:r w:rsidRPr="00EB7F1E">
        <w:rPr>
          <w:rFonts w:asciiTheme="minorHAnsi" w:hAnsiTheme="minorHAnsi" w:cstheme="minorHAnsi"/>
        </w:rPr>
        <w:fldChar w:fldCharType="end"/>
      </w:r>
    </w:p>
  </w:footnote>
  <w:footnote w:id="186">
    <w:p w14:paraId="04C4EF7F" w14:textId="4718447E" w:rsidR="00D44BCF" w:rsidRPr="00EB7F1E" w:rsidRDefault="00D44BCF">
      <w:pPr>
        <w:pStyle w:val="FootnoteText"/>
        <w:tabs>
          <w:tab w:val="left" w:pos="567"/>
        </w:tabs>
        <w:ind w:left="426" w:hanging="426"/>
        <w:jc w:val="both"/>
        <w:rPr>
          <w:rFonts w:asciiTheme="minorHAnsi" w:eastAsia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eastAsiaTheme="minorHAnsi" w:hAnsiTheme="minorHAnsi" w:cstheme="minorHAnsi"/>
          <w:i/>
        </w:rPr>
        <w:t>Parente v R</w:t>
      </w:r>
      <w:r w:rsidRPr="00EB7F1E">
        <w:rPr>
          <w:rFonts w:asciiTheme="minorHAnsi" w:eastAsiaTheme="minorHAnsi" w:hAnsiTheme="minorHAnsi" w:cstheme="minorHAnsi"/>
        </w:rPr>
        <w:t xml:space="preserve"> (2017) 96 NSWLR 633</w:t>
      </w:r>
      <w:r w:rsidRPr="00EB7F1E">
        <w:rPr>
          <w:rFonts w:asciiTheme="minorHAnsi" w:eastAsia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eastAsiaTheme="minorHAnsi" w:hAnsiTheme="minorHAnsi" w:cstheme="minorHAnsi"/>
          <w:i/>
        </w:rPr>
        <w:instrText>Parente v R</w:instrText>
      </w:r>
      <w:r w:rsidRPr="00EB7F1E">
        <w:rPr>
          <w:rFonts w:asciiTheme="minorHAnsi" w:eastAsiaTheme="minorHAnsi" w:hAnsiTheme="minorHAnsi" w:cstheme="minorHAnsi"/>
        </w:rPr>
        <w:instrText xml:space="preserve"> (2017) 96 NSWLR 633</w:instrText>
      </w:r>
      <w:r w:rsidRPr="00EB7F1E">
        <w:rPr>
          <w:rFonts w:asciiTheme="minorHAnsi" w:hAnsiTheme="minorHAnsi" w:cstheme="minorHAnsi"/>
        </w:rPr>
        <w:instrText xml:space="preserve">" \s "Parente v R (2017) 96 NSWLR 633" \c 1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 xml:space="preserve">.  See also </w:t>
      </w:r>
      <w:r w:rsidRPr="00EB7F1E">
        <w:rPr>
          <w:rFonts w:asciiTheme="minorHAnsi" w:eastAsiaTheme="minorHAnsi" w:hAnsiTheme="minorHAnsi" w:cstheme="minorHAnsi"/>
          <w:i/>
        </w:rPr>
        <w:t>R v Stamatov</w:t>
      </w:r>
      <w:r w:rsidRPr="00EB7F1E">
        <w:rPr>
          <w:rFonts w:asciiTheme="minorHAnsi" w:eastAsiaTheme="minorHAnsi" w:hAnsiTheme="minorHAnsi" w:cstheme="minorHAnsi"/>
        </w:rPr>
        <w:t xml:space="preserve"> [2017] QCA 158</w:t>
      </w:r>
      <w:r w:rsidRPr="00EB7F1E">
        <w:rPr>
          <w:rFonts w:asciiTheme="minorHAnsi" w:eastAsia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eastAsiaTheme="minorHAnsi" w:hAnsiTheme="minorHAnsi" w:cstheme="minorHAnsi"/>
          <w:i/>
        </w:rPr>
        <w:instrText>R v Stamatov</w:instrText>
      </w:r>
      <w:r w:rsidRPr="00EB7F1E">
        <w:rPr>
          <w:rFonts w:asciiTheme="minorHAnsi" w:eastAsiaTheme="minorHAnsi" w:hAnsiTheme="minorHAnsi" w:cstheme="minorHAnsi"/>
        </w:rPr>
        <w:instrText xml:space="preserve"> [2017] QCA 158</w:instrText>
      </w:r>
      <w:r w:rsidRPr="00EB7F1E">
        <w:rPr>
          <w:rFonts w:asciiTheme="minorHAnsi" w:hAnsiTheme="minorHAnsi" w:cstheme="minorHAnsi"/>
        </w:rPr>
        <w:instrText xml:space="preserve">" \s "R v Stamatov [2017] QCA 158" \c 1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 [93]-[100].</w:t>
      </w:r>
      <w:r w:rsidRPr="00EB7F1E">
        <w:rPr>
          <w:rFonts w:asciiTheme="minorHAnsi" w:eastAsiaTheme="minorHAnsi" w:hAnsiTheme="minorHAnsi" w:cstheme="minorHAnsi"/>
        </w:rPr>
        <w:fldChar w:fldCharType="begin"/>
      </w:r>
      <w:r w:rsidRPr="00EB7F1E">
        <w:rPr>
          <w:rFonts w:asciiTheme="minorHAnsi" w:eastAsiaTheme="minorHAnsi" w:hAnsiTheme="minorHAnsi" w:cstheme="minorHAnsi"/>
        </w:rPr>
        <w:instrText xml:space="preserve">  "R v Lambert &amp; Anor (1990) 51 A Crim R 160" </w:instrText>
      </w:r>
      <w:r w:rsidRPr="00EB7F1E">
        <w:rPr>
          <w:rFonts w:asciiTheme="minorHAnsi" w:eastAsiaTheme="minorHAnsi" w:hAnsiTheme="minorHAnsi" w:cstheme="minorHAnsi"/>
        </w:rPr>
        <w:fldChar w:fldCharType="end"/>
      </w:r>
    </w:p>
  </w:footnote>
  <w:footnote w:id="187">
    <w:p w14:paraId="494EA2C5" w14:textId="721092B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Robertson v R</w:t>
      </w:r>
      <w:r w:rsidRPr="007809F4">
        <w:rPr>
          <w:rFonts w:asciiTheme="minorHAnsi" w:hAnsiTheme="minorHAnsi" w:cstheme="minorHAnsi"/>
        </w:rPr>
        <w:t xml:space="preserve"> [2017] NSWCCA 205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Robertson v R</w:instrText>
      </w:r>
      <w:r w:rsidRPr="007809F4">
        <w:rPr>
          <w:rFonts w:asciiTheme="minorHAnsi" w:hAnsiTheme="minorHAnsi" w:cstheme="minorHAnsi"/>
        </w:rPr>
        <w:instrText xml:space="preserve"> [2017] NSWCCA 205</w:instrText>
      </w:r>
      <w:r w:rsidRPr="00EB7F1E">
        <w:rPr>
          <w:rFonts w:asciiTheme="minorHAnsi" w:hAnsiTheme="minorHAnsi" w:cstheme="minorHAnsi"/>
        </w:rPr>
        <w:instrText xml:space="preserve">" \s "Robertson v R [2017] NSWCCA 205" \c 1 </w:instrText>
      </w:r>
      <w:r w:rsidRPr="00EB7F1E">
        <w:rPr>
          <w:rFonts w:asciiTheme="minorHAnsi" w:hAnsiTheme="minorHAnsi" w:cstheme="minorHAnsi"/>
        </w:rPr>
        <w:fldChar w:fldCharType="end"/>
      </w:r>
      <w:r w:rsidRPr="007809F4">
        <w:rPr>
          <w:rFonts w:asciiTheme="minorHAnsi" w:hAnsiTheme="minorHAnsi" w:cstheme="minorHAnsi"/>
        </w:rPr>
        <w:t xml:space="preserve">, [89] (Simpson JA); approved in </w:t>
      </w:r>
      <w:r w:rsidRPr="007809F4">
        <w:rPr>
          <w:rFonts w:asciiTheme="minorHAnsi" w:eastAsiaTheme="minorHAnsi" w:hAnsiTheme="minorHAnsi" w:cstheme="minorHAnsi"/>
          <w:i/>
        </w:rPr>
        <w:t>Parente v R</w:t>
      </w:r>
      <w:r w:rsidRPr="007809F4">
        <w:rPr>
          <w:rFonts w:asciiTheme="minorHAnsi" w:eastAsiaTheme="minorHAnsi" w:hAnsiTheme="minorHAnsi" w:cstheme="minorHAnsi"/>
        </w:rPr>
        <w:t xml:space="preserve"> (2017) 96 NSWLR 633</w:t>
      </w:r>
      <w:r w:rsidRPr="00EB7F1E">
        <w:rPr>
          <w:rFonts w:asciiTheme="minorHAnsi" w:eastAsiaTheme="minorHAnsi" w:hAnsiTheme="minorHAnsi" w:cstheme="minorHAnsi"/>
        </w:rPr>
        <w:fldChar w:fldCharType="begin"/>
      </w:r>
      <w:r w:rsidRPr="007809F4">
        <w:rPr>
          <w:rFonts w:asciiTheme="minorHAnsi" w:eastAsiaTheme="minorHAnsi" w:hAnsiTheme="minorHAnsi" w:cstheme="minorHAnsi"/>
        </w:rPr>
        <w:instrText xml:space="preserve"> TA \s "Parente v R (2017) 96 NSWLR 633"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 [105].</w:t>
      </w:r>
      <w:r w:rsidRPr="00EB7F1E">
        <w:rPr>
          <w:rFonts w:asciiTheme="minorHAnsi" w:hAnsiTheme="minorHAnsi" w:cstheme="minorHAnsi"/>
        </w:rPr>
        <w:fldChar w:fldCharType="begin"/>
      </w:r>
      <w:r w:rsidRPr="007809F4">
        <w:rPr>
          <w:rFonts w:asciiTheme="minorHAnsi" w:hAnsiTheme="minorHAnsi" w:cstheme="minorHAnsi"/>
        </w:rPr>
        <w:instrText xml:space="preserve">  "R v Lambert &amp; Anor (1990) 51 A Crim R 160" </w:instrText>
      </w:r>
      <w:r w:rsidRPr="00EB7F1E">
        <w:rPr>
          <w:rFonts w:asciiTheme="minorHAnsi" w:hAnsiTheme="minorHAnsi" w:cstheme="minorHAnsi"/>
        </w:rPr>
        <w:fldChar w:fldCharType="end"/>
      </w:r>
    </w:p>
  </w:footnote>
  <w:footnote w:id="188">
    <w:p w14:paraId="3A3514C6" w14:textId="78015BA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7809F4">
        <w:rPr>
          <w:rFonts w:asciiTheme="minorHAnsi" w:hAnsiTheme="minorHAnsi" w:cstheme="minorHAnsi"/>
        </w:rPr>
        <w:t xml:space="preserve">, [30]-[31]; </w:t>
      </w:r>
      <w:r w:rsidRPr="007809F4">
        <w:rPr>
          <w:rFonts w:asciiTheme="minorHAnsi" w:hAnsiTheme="minorHAnsi" w:cstheme="minorHAnsi"/>
          <w:i/>
        </w:rPr>
        <w:t>Elias v R</w:t>
      </w:r>
      <w:r w:rsidRPr="007809F4">
        <w:rPr>
          <w:rFonts w:asciiTheme="minorHAnsi" w:hAnsiTheme="minorHAnsi" w:cstheme="minorHAnsi"/>
        </w:rPr>
        <w:t xml:space="preserve"> (2013) 248 CLR 483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 Elias v R</w:instrText>
      </w:r>
      <w:r w:rsidRPr="007809F4">
        <w:rPr>
          <w:rFonts w:asciiTheme="minorHAnsi" w:hAnsiTheme="minorHAnsi" w:cstheme="minorHAnsi"/>
        </w:rPr>
        <w:instrText xml:space="preserve"> (2013) 248 CLR 483" \s "</w:instrText>
      </w:r>
      <w:r w:rsidRPr="00EB7F1E">
        <w:rPr>
          <w:rFonts w:asciiTheme="minorHAnsi" w:hAnsiTheme="minorHAnsi" w:cstheme="minorHAnsi"/>
          <w:iCs/>
        </w:rPr>
        <w:instrText>Elias v R</w:instrText>
      </w:r>
      <w:r w:rsidRPr="007809F4">
        <w:rPr>
          <w:rFonts w:asciiTheme="minorHAnsi" w:hAnsiTheme="minorHAnsi" w:cstheme="minorHAnsi"/>
        </w:rPr>
        <w:instrText xml:space="preserve"> (2013) 248 CLR 483" \c 1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189">
    <w:p w14:paraId="7B87F608" w14:textId="080494E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 xml:space="preserve">R v Lambert </w:t>
      </w:r>
      <w:r w:rsidRPr="007809F4">
        <w:rPr>
          <w:rFonts w:asciiTheme="minorHAnsi" w:hAnsiTheme="minorHAnsi" w:cstheme="minorHAnsi"/>
        </w:rPr>
        <w:t>(1990) 51 A Crim R 160.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 xml:space="preserve">R v Lambert </w:instrText>
      </w:r>
      <w:r w:rsidRPr="007809F4">
        <w:rPr>
          <w:rFonts w:asciiTheme="minorHAnsi" w:hAnsiTheme="minorHAnsi" w:cstheme="minorHAnsi"/>
        </w:rPr>
        <w:instrText xml:space="preserve">(1990) 51 A Crim R 160" \s "R v Lambert (1990) 51 A Crim R 160"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Lambert &amp; Anor (1990) 51 A Crim R 160" </w:instrText>
      </w:r>
      <w:r w:rsidRPr="00EB7F1E">
        <w:rPr>
          <w:rFonts w:asciiTheme="minorHAnsi" w:hAnsiTheme="minorHAnsi" w:cstheme="minorHAnsi"/>
        </w:rPr>
        <w:fldChar w:fldCharType="end"/>
      </w:r>
    </w:p>
  </w:footnote>
  <w:footnote w:id="190">
    <w:p w14:paraId="29F68BA4" w14:textId="730D66E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r w:rsidRPr="007809F4">
        <w:rPr>
          <w:rFonts w:asciiTheme="minorHAnsi" w:hAnsiTheme="minorHAnsi" w:cstheme="minorHAnsi"/>
        </w:rPr>
        <w:t xml:space="preserve">, [39]; </w:t>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Lodhi v R</w:instrText>
      </w:r>
      <w:r w:rsidRPr="007809F4">
        <w:rPr>
          <w:rFonts w:asciiTheme="minorHAnsi" w:hAnsiTheme="minorHAnsi" w:cstheme="minorHAnsi"/>
        </w:rPr>
        <w:instrText xml:space="preserve"> [2007] NSWCCA 360" \s "Lodhi v R [2007] NSWCCA 360"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"Lodhi v R (2007) 179 A Crim R 470" </w:instrText>
      </w:r>
      <w:r w:rsidRPr="00EB7F1E">
        <w:rPr>
          <w:rFonts w:asciiTheme="minorHAnsi" w:hAnsiTheme="minorHAnsi" w:cstheme="minorHAnsi"/>
        </w:rPr>
        <w:fldChar w:fldCharType="end"/>
      </w:r>
    </w:p>
  </w:footnote>
  <w:footnote w:id="191">
    <w:p w14:paraId="1E1D8E60" w14:textId="431A273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Kilic</w:t>
      </w:r>
      <w:r w:rsidRPr="007809F4">
        <w:rPr>
          <w:rFonts w:asciiTheme="minorHAnsi" w:hAnsiTheme="minorHAnsi" w:cstheme="minorHAnsi"/>
        </w:rPr>
        <w:t xml:space="preserve"> (2016) 259 CLR 256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Kilic</w:instrText>
      </w:r>
      <w:r w:rsidRPr="007809F4">
        <w:rPr>
          <w:rFonts w:asciiTheme="minorHAnsi" w:hAnsiTheme="minorHAnsi" w:cstheme="minorHAnsi"/>
        </w:rPr>
        <w:instrText xml:space="preserve"> (2016) 259 CLR 256</w:instrText>
      </w:r>
      <w:r w:rsidRPr="00EB7F1E">
        <w:rPr>
          <w:rFonts w:asciiTheme="minorHAnsi" w:hAnsiTheme="minorHAnsi" w:cstheme="minorHAnsi"/>
        </w:rPr>
        <w:instrText xml:space="preserve">" \s "R v Kilic (2016) 259 CLR 256" \c 1 </w:instrText>
      </w:r>
      <w:r w:rsidRPr="00EB7F1E">
        <w:rPr>
          <w:rFonts w:asciiTheme="minorHAnsi" w:hAnsiTheme="minorHAnsi" w:cstheme="minorHAnsi"/>
        </w:rPr>
        <w:fldChar w:fldCharType="end"/>
      </w:r>
      <w:r w:rsidRPr="007809F4">
        <w:rPr>
          <w:rFonts w:asciiTheme="minorHAnsi" w:hAnsiTheme="minorHAnsi" w:cstheme="minorHAnsi"/>
        </w:rPr>
        <w:t>, [18].</w:t>
      </w:r>
      <w:r w:rsidRPr="00EB7F1E">
        <w:rPr>
          <w:rFonts w:asciiTheme="minorHAnsi" w:hAnsiTheme="minorHAnsi" w:cstheme="minorHAnsi"/>
        </w:rPr>
        <w:fldChar w:fldCharType="begin"/>
      </w:r>
      <w:r w:rsidRPr="007809F4">
        <w:rPr>
          <w:rFonts w:asciiTheme="minorHAnsi" w:hAnsiTheme="minorHAnsi" w:cstheme="minorHAnsi"/>
        </w:rPr>
        <w:instrText xml:space="preserve">  "Lodhi v R (2007) 179 A Crim R 470" </w:instrText>
      </w:r>
      <w:r w:rsidRPr="00EB7F1E">
        <w:rPr>
          <w:rFonts w:asciiTheme="minorHAnsi" w:hAnsiTheme="minorHAnsi" w:cstheme="minorHAnsi"/>
        </w:rPr>
        <w:fldChar w:fldCharType="end"/>
      </w:r>
    </w:p>
  </w:footnote>
  <w:footnote w:id="192">
    <w:p w14:paraId="47148576" w14:textId="05DE8AB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Kilic</w:t>
      </w:r>
      <w:r w:rsidRPr="007809F4">
        <w:rPr>
          <w:rFonts w:asciiTheme="minorHAnsi" w:hAnsiTheme="minorHAnsi" w:cstheme="minorHAnsi"/>
        </w:rPr>
        <w:t xml:space="preserve"> (2016) 259 CLR 256</w:t>
      </w:r>
      <w:r w:rsidRPr="00EB7F1E">
        <w:rPr>
          <w:rFonts w:asciiTheme="minorHAnsi" w:hAnsiTheme="minorHAnsi" w:cstheme="minorHAnsi"/>
        </w:rPr>
        <w:fldChar w:fldCharType="begin"/>
      </w:r>
      <w:r w:rsidRPr="007809F4">
        <w:rPr>
          <w:rFonts w:asciiTheme="minorHAnsi" w:hAnsiTheme="minorHAnsi" w:cstheme="minorHAnsi"/>
        </w:rPr>
        <w:instrText xml:space="preserve"> TA \s "R v Kilic (2016) 259 CLR 256" </w:instrText>
      </w:r>
      <w:r w:rsidRPr="00EB7F1E">
        <w:rPr>
          <w:rFonts w:asciiTheme="minorHAnsi" w:hAnsiTheme="minorHAnsi" w:cstheme="minorHAnsi"/>
        </w:rPr>
        <w:fldChar w:fldCharType="end"/>
      </w:r>
      <w:r w:rsidRPr="007809F4">
        <w:rPr>
          <w:rFonts w:asciiTheme="minorHAnsi" w:hAnsiTheme="minorHAnsi" w:cstheme="minorHAnsi"/>
        </w:rPr>
        <w:t>, [19]-[20].</w:t>
      </w:r>
      <w:r w:rsidRPr="00EB7F1E">
        <w:rPr>
          <w:rFonts w:asciiTheme="minorHAnsi" w:hAnsiTheme="minorHAnsi" w:cstheme="minorHAnsi"/>
        </w:rPr>
        <w:fldChar w:fldCharType="begin"/>
      </w:r>
      <w:r w:rsidRPr="007809F4">
        <w:rPr>
          <w:rFonts w:asciiTheme="minorHAnsi" w:hAnsiTheme="minorHAnsi" w:cstheme="minorHAnsi"/>
        </w:rPr>
        <w:instrText xml:space="preserve">  "Lodhi v R (2007) 179 A Crim R 470" </w:instrText>
      </w:r>
      <w:r w:rsidRPr="00EB7F1E">
        <w:rPr>
          <w:rFonts w:asciiTheme="minorHAnsi" w:hAnsiTheme="minorHAnsi" w:cstheme="minorHAnsi"/>
        </w:rPr>
        <w:fldChar w:fldCharType="end"/>
      </w:r>
    </w:p>
  </w:footnote>
  <w:footnote w:id="193">
    <w:p w14:paraId="13DCB299" w14:textId="333353F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Liang</w:t>
      </w:r>
      <w:r w:rsidRPr="007809F4">
        <w:rPr>
          <w:rFonts w:asciiTheme="minorHAnsi" w:hAnsiTheme="minorHAnsi" w:cstheme="minorHAnsi"/>
        </w:rPr>
        <w:t xml:space="preserve"> (1995) 124 FLR 350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Liang</w:instrText>
      </w:r>
      <w:r w:rsidRPr="007809F4">
        <w:rPr>
          <w:rFonts w:asciiTheme="minorHAnsi" w:hAnsiTheme="minorHAnsi" w:cstheme="minorHAnsi"/>
        </w:rPr>
        <w:instrText xml:space="preserve"> (1995) 124 FLR 350</w:instrText>
      </w:r>
      <w:r w:rsidRPr="00EB7F1E">
        <w:rPr>
          <w:rFonts w:asciiTheme="minorHAnsi" w:hAnsiTheme="minorHAnsi" w:cstheme="minorHAnsi"/>
        </w:rPr>
        <w:instrText xml:space="preserve">" \s "R v Liang (1995) 124 FLR 350"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"Lodhi v R (2007) 179 A Crim R 470" </w:instrText>
      </w:r>
      <w:r w:rsidRPr="00EB7F1E">
        <w:rPr>
          <w:rFonts w:asciiTheme="minorHAnsi" w:hAnsiTheme="minorHAnsi" w:cstheme="minorHAnsi"/>
        </w:rPr>
        <w:fldChar w:fldCharType="end"/>
      </w:r>
    </w:p>
  </w:footnote>
  <w:footnote w:id="194">
    <w:p w14:paraId="20AD36CE" w14:textId="62D772D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Elias v R</w:t>
      </w:r>
      <w:r w:rsidRPr="007809F4">
        <w:rPr>
          <w:rFonts w:asciiTheme="minorHAnsi" w:hAnsiTheme="minorHAnsi" w:cstheme="minorHAnsi"/>
        </w:rPr>
        <w:t xml:space="preserve"> (2013) 248 CLR 483</w:t>
      </w:r>
      <w:r w:rsidRPr="00EB7F1E">
        <w:rPr>
          <w:rFonts w:asciiTheme="minorHAnsi" w:hAnsiTheme="minorHAnsi" w:cstheme="minorHAnsi"/>
        </w:rPr>
        <w:fldChar w:fldCharType="begin"/>
      </w:r>
      <w:r w:rsidRPr="00EB7F1E">
        <w:rPr>
          <w:rFonts w:asciiTheme="minorHAnsi" w:hAnsiTheme="minorHAnsi" w:cstheme="minorHAnsi"/>
        </w:rPr>
        <w:instrText xml:space="preserve"> TA \s "Elias v R (2013) 248 CLR 483"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95">
    <w:p w14:paraId="7257DA6E" w14:textId="7E86AC4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Elias v R</w:t>
      </w:r>
      <w:r w:rsidRPr="007809F4">
        <w:rPr>
          <w:rFonts w:asciiTheme="minorHAnsi" w:hAnsiTheme="minorHAnsi" w:cstheme="minorHAnsi"/>
        </w:rPr>
        <w:t xml:space="preserve"> (2013) 248 CLR 483</w:t>
      </w:r>
      <w:r w:rsidRPr="00EB7F1E">
        <w:rPr>
          <w:rFonts w:asciiTheme="minorHAnsi" w:hAnsiTheme="minorHAnsi" w:cstheme="minorHAnsi"/>
        </w:rPr>
        <w:fldChar w:fldCharType="begin"/>
      </w:r>
      <w:r w:rsidRPr="007809F4">
        <w:rPr>
          <w:rFonts w:asciiTheme="minorHAnsi" w:hAnsiTheme="minorHAnsi" w:cstheme="minorHAnsi"/>
        </w:rPr>
        <w:instrText xml:space="preserve"> TA \s "Elias v R (2013) 248 CLR 483" </w:instrText>
      </w:r>
      <w:r w:rsidRPr="00EB7F1E">
        <w:rPr>
          <w:rFonts w:asciiTheme="minorHAnsi" w:hAnsiTheme="minorHAnsi" w:cstheme="minorHAnsi"/>
        </w:rPr>
        <w:fldChar w:fldCharType="end"/>
      </w:r>
      <w:r w:rsidRPr="007809F4">
        <w:rPr>
          <w:rFonts w:asciiTheme="minorHAnsi" w:hAnsiTheme="minorHAnsi" w:cstheme="minorHAnsi"/>
        </w:rPr>
        <w:t>, [37].</w:t>
      </w:r>
    </w:p>
  </w:footnote>
  <w:footnote w:id="196">
    <w:p w14:paraId="2416B31D" w14:textId="743730F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xml:space="preserve">, [25].  The principle of totality is implicit not only in s 16B but also in some provisions of s 16A of the </w:t>
      </w:r>
      <w:r w:rsidRPr="007809F4">
        <w:rPr>
          <w:rFonts w:asciiTheme="minorHAnsi" w:hAnsiTheme="minorHAnsi" w:cstheme="minorHAnsi"/>
          <w:i/>
        </w:rPr>
        <w:t>Crimes Act 1914</w:t>
      </w:r>
      <w:r w:rsidRPr="007809F4">
        <w:rPr>
          <w:rFonts w:asciiTheme="minorHAnsi" w:hAnsiTheme="minorHAnsi" w:cstheme="minorHAnsi"/>
        </w:rPr>
        <w:t>, such as s 16A(2)(c) (course of conduct):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_Ref494546531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4.4.3</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_Ref494546534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Course of conduct – s 16A(2)(c)</w:t>
      </w:r>
      <w:r w:rsidRPr="00EB7F1E">
        <w:rPr>
          <w:rFonts w:asciiTheme="minorHAnsi" w:hAnsiTheme="minorHAnsi" w:cstheme="minorHAnsi"/>
        </w:rPr>
        <w:fldChar w:fldCharType="end"/>
      </w:r>
      <w:r w:rsidRPr="007809F4">
        <w:rPr>
          <w:rFonts w:asciiTheme="minorHAnsi" w:hAnsiTheme="minorHAnsi" w:cstheme="minorHAnsi"/>
        </w:rPr>
        <w:t>”.</w:t>
      </w:r>
    </w:p>
  </w:footnote>
  <w:footnote w:id="197">
    <w:p w14:paraId="4669ECF0" w14:textId="7D5881F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Mill v R</w:t>
      </w:r>
      <w:r w:rsidRPr="007809F4">
        <w:rPr>
          <w:rFonts w:asciiTheme="minorHAnsi" w:hAnsiTheme="minorHAnsi" w:cstheme="minorHAnsi"/>
        </w:rPr>
        <w:t xml:space="preserve"> (1988) 166 CLR 59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Mill v R</w:instrText>
      </w:r>
      <w:r w:rsidRPr="007809F4">
        <w:rPr>
          <w:rFonts w:asciiTheme="minorHAnsi" w:hAnsiTheme="minorHAnsi" w:cstheme="minorHAnsi"/>
        </w:rPr>
        <w:instrText xml:space="preserve"> (1988) 166 CLR 59</w:instrText>
      </w:r>
      <w:r w:rsidRPr="00EB7F1E">
        <w:rPr>
          <w:rFonts w:asciiTheme="minorHAnsi" w:hAnsiTheme="minorHAnsi" w:cstheme="minorHAnsi"/>
        </w:rPr>
        <w:instrText xml:space="preserve">" \s "Mill v R (1988) 166 CLR 59" \c 1 </w:instrText>
      </w:r>
      <w:r w:rsidRPr="00EB7F1E">
        <w:rPr>
          <w:rFonts w:asciiTheme="minorHAnsi" w:hAnsiTheme="minorHAnsi" w:cstheme="minorHAnsi"/>
        </w:rPr>
        <w:fldChar w:fldCharType="end"/>
      </w:r>
      <w:r w:rsidRPr="007809F4">
        <w:rPr>
          <w:rFonts w:asciiTheme="minorHAnsi" w:hAnsiTheme="minorHAnsi" w:cstheme="minorHAnsi"/>
        </w:rPr>
        <w:t>, 62–63.</w:t>
      </w:r>
    </w:p>
  </w:footnote>
  <w:footnote w:id="198">
    <w:p w14:paraId="465B3B13" w14:textId="2EB718C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Mill v R</w:t>
      </w:r>
      <w:r w:rsidRPr="007809F4">
        <w:rPr>
          <w:rFonts w:asciiTheme="minorHAnsi" w:hAnsiTheme="minorHAnsi" w:cstheme="minorHAnsi"/>
        </w:rPr>
        <w:t xml:space="preserve"> (1988) 166 CLR 59</w:t>
      </w:r>
      <w:r w:rsidRPr="00EB7F1E">
        <w:rPr>
          <w:rFonts w:asciiTheme="minorHAnsi" w:hAnsiTheme="minorHAnsi" w:cstheme="minorHAnsi"/>
        </w:rPr>
        <w:fldChar w:fldCharType="begin"/>
      </w:r>
      <w:r w:rsidRPr="007809F4">
        <w:rPr>
          <w:rFonts w:asciiTheme="minorHAnsi" w:hAnsiTheme="minorHAnsi" w:cstheme="minorHAnsi"/>
        </w:rPr>
        <w:instrText xml:space="preserve"> TA \s "Mill v R (1988) 166 CLR 59"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99">
    <w:p w14:paraId="55819B10" w14:textId="59563F3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At common law, the principle of totality applies when a custodial sentence is to be imposed which will be cumulative upon, or which will overlap with, </w:t>
      </w:r>
      <w:r w:rsidRPr="007809F4">
        <w:rPr>
          <w:rFonts w:asciiTheme="minorHAnsi" w:hAnsiTheme="minorHAnsi" w:cstheme="minorHAnsi"/>
          <w:i/>
        </w:rPr>
        <w:t>an existing custodial sentence</w:t>
      </w:r>
      <w:r w:rsidRPr="007809F4">
        <w:rPr>
          <w:rFonts w:asciiTheme="minorHAnsi" w:hAnsiTheme="minorHAnsi" w:cstheme="minorHAnsi"/>
        </w:rPr>
        <w:t xml:space="preserve">: </w:t>
      </w:r>
      <w:r w:rsidRPr="007809F4">
        <w:rPr>
          <w:rFonts w:asciiTheme="minorHAnsi" w:hAnsiTheme="minorHAnsi" w:cstheme="minorHAnsi"/>
          <w:i/>
        </w:rPr>
        <w:t>R v Gordon</w:t>
      </w:r>
      <w:r w:rsidRPr="007809F4">
        <w:rPr>
          <w:rFonts w:asciiTheme="minorHAnsi" w:hAnsiTheme="minorHAnsi" w:cstheme="minorHAnsi"/>
        </w:rPr>
        <w:t xml:space="preserve"> (1994) 71 A Crim R 459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Gordon</w:instrText>
      </w:r>
      <w:r w:rsidRPr="007809F4">
        <w:rPr>
          <w:rFonts w:asciiTheme="minorHAnsi" w:hAnsiTheme="minorHAnsi" w:cstheme="minorHAnsi"/>
        </w:rPr>
        <w:instrText xml:space="preserve"> (1994) 71 A Crim R 459</w:instrText>
      </w:r>
      <w:r w:rsidRPr="00EB7F1E">
        <w:rPr>
          <w:rFonts w:asciiTheme="minorHAnsi" w:hAnsiTheme="minorHAnsi" w:cstheme="minorHAnsi"/>
        </w:rPr>
        <w:instrText xml:space="preserve">" \s "R v Gordon (1994) 71 A Crim R 459" \c 1 </w:instrText>
      </w:r>
      <w:r w:rsidRPr="00EB7F1E">
        <w:rPr>
          <w:rFonts w:asciiTheme="minorHAnsi" w:hAnsiTheme="minorHAnsi" w:cstheme="minorHAnsi"/>
        </w:rPr>
        <w:fldChar w:fldCharType="end"/>
      </w:r>
      <w:r w:rsidRPr="007809F4">
        <w:rPr>
          <w:rFonts w:asciiTheme="minorHAnsi" w:hAnsiTheme="minorHAnsi" w:cstheme="minorHAnsi"/>
        </w:rPr>
        <w:t xml:space="preserve">, 466; </w:t>
      </w:r>
      <w:r w:rsidRPr="007809F4">
        <w:rPr>
          <w:rFonts w:asciiTheme="minorHAnsi" w:hAnsiTheme="minorHAnsi" w:cstheme="minorHAnsi"/>
          <w:i/>
        </w:rPr>
        <w:t xml:space="preserve">Tiba v R </w:t>
      </w:r>
      <w:r w:rsidRPr="007809F4">
        <w:rPr>
          <w:rFonts w:asciiTheme="minorHAnsi" w:hAnsiTheme="minorHAnsi" w:cstheme="minorHAnsi"/>
        </w:rPr>
        <w:t>[2013] VSCA 302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Tiba v R </w:instrText>
      </w:r>
      <w:r w:rsidRPr="007809F4">
        <w:rPr>
          <w:rFonts w:asciiTheme="minorHAnsi" w:hAnsiTheme="minorHAnsi" w:cstheme="minorHAnsi"/>
        </w:rPr>
        <w:instrText>[2013] VSCA 302</w:instrText>
      </w:r>
      <w:r w:rsidRPr="00EB7F1E">
        <w:rPr>
          <w:rFonts w:asciiTheme="minorHAnsi" w:hAnsiTheme="minorHAnsi" w:cstheme="minorHAnsi"/>
        </w:rPr>
        <w:instrText xml:space="preserve">" \s "Tiba v R [2013] VSCA 302" \c 1 </w:instrText>
      </w:r>
      <w:r w:rsidRPr="00EB7F1E">
        <w:rPr>
          <w:rFonts w:asciiTheme="minorHAnsi" w:hAnsiTheme="minorHAnsi" w:cstheme="minorHAnsi"/>
        </w:rPr>
        <w:fldChar w:fldCharType="end"/>
      </w:r>
      <w:r w:rsidRPr="007809F4">
        <w:rPr>
          <w:rFonts w:asciiTheme="minorHAnsi" w:hAnsiTheme="minorHAnsi" w:cstheme="minorHAnsi"/>
        </w:rPr>
        <w:t xml:space="preserve">, [3], [35].  Section 16B embodies the same principle: </w:t>
      </w:r>
      <w:r w:rsidRPr="007809F4">
        <w:rPr>
          <w:rFonts w:asciiTheme="minorHAnsi" w:hAnsiTheme="minorHAnsi" w:cstheme="minorHAnsi"/>
          <w:i/>
        </w:rPr>
        <w:t xml:space="preserve">Postiglione v R </w:t>
      </w:r>
      <w:r w:rsidRPr="007809F4">
        <w:rPr>
          <w:rFonts w:asciiTheme="minorHAnsi" w:hAnsiTheme="minorHAnsi" w:cstheme="minorHAnsi"/>
        </w:rPr>
        <w:t>(1997) 189 CLR 295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Postiglione v R </w:instrText>
      </w:r>
      <w:r w:rsidRPr="007809F4">
        <w:rPr>
          <w:rFonts w:asciiTheme="minorHAnsi" w:hAnsiTheme="minorHAnsi" w:cstheme="minorHAnsi"/>
        </w:rPr>
        <w:instrText>(1997) 189 CLR 295</w:instrText>
      </w:r>
      <w:r w:rsidRPr="00EB7F1E">
        <w:rPr>
          <w:rFonts w:asciiTheme="minorHAnsi" w:hAnsiTheme="minorHAnsi" w:cstheme="minorHAnsi"/>
        </w:rPr>
        <w:instrText xml:space="preserve">" \s "Postiglione v R (1997) 189 CLR 295" \c 1 </w:instrText>
      </w:r>
      <w:r w:rsidRPr="00EB7F1E">
        <w:rPr>
          <w:rFonts w:asciiTheme="minorHAnsi" w:hAnsiTheme="minorHAnsi" w:cstheme="minorHAnsi"/>
        </w:rPr>
        <w:fldChar w:fldCharType="end"/>
      </w:r>
      <w:r w:rsidRPr="007809F4">
        <w:rPr>
          <w:rFonts w:asciiTheme="minorHAnsi" w:hAnsiTheme="minorHAnsi" w:cstheme="minorHAnsi"/>
        </w:rPr>
        <w:t xml:space="preserve">, 307-9.  </w:t>
      </w:r>
    </w:p>
  </w:footnote>
  <w:footnote w:id="200">
    <w:p w14:paraId="6B89852C" w14:textId="05728DB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As in </w:t>
      </w:r>
      <w:r w:rsidRPr="007809F4">
        <w:rPr>
          <w:rFonts w:asciiTheme="minorHAnsi" w:hAnsiTheme="minorHAnsi" w:cstheme="minorHAnsi"/>
          <w:i/>
        </w:rPr>
        <w:t xml:space="preserve">Visser v R </w:t>
      </w:r>
      <w:r w:rsidRPr="007809F4">
        <w:rPr>
          <w:rFonts w:asciiTheme="minorHAnsi" w:hAnsiTheme="minorHAnsi" w:cstheme="minorHAnsi"/>
        </w:rPr>
        <w:t>[2015] VSCA 168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Visser v R </w:instrText>
      </w:r>
      <w:r w:rsidRPr="007809F4">
        <w:rPr>
          <w:rFonts w:asciiTheme="minorHAnsi" w:hAnsiTheme="minorHAnsi" w:cstheme="minorHAnsi"/>
        </w:rPr>
        <w:instrText>[2015] VSCA 168</w:instrText>
      </w:r>
      <w:r w:rsidRPr="00EB7F1E">
        <w:rPr>
          <w:rFonts w:asciiTheme="minorHAnsi" w:hAnsiTheme="minorHAnsi" w:cstheme="minorHAnsi"/>
        </w:rPr>
        <w:instrText xml:space="preserve">" \s "Visser v R [2015] VSCA 168" \c 1 </w:instrText>
      </w:r>
      <w:r w:rsidRPr="00EB7F1E">
        <w:rPr>
          <w:rFonts w:asciiTheme="minorHAnsi" w:hAnsiTheme="minorHAnsi" w:cstheme="minorHAnsi"/>
        </w:rPr>
        <w:fldChar w:fldCharType="end"/>
      </w:r>
      <w:r w:rsidRPr="007809F4">
        <w:rPr>
          <w:rFonts w:asciiTheme="minorHAnsi" w:hAnsiTheme="minorHAnsi" w:cstheme="minorHAnsi"/>
        </w:rPr>
        <w:t>, [160]-[168].</w:t>
      </w:r>
    </w:p>
  </w:footnote>
  <w:footnote w:id="201">
    <w:p w14:paraId="119A20A3" w14:textId="0D7A093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Tiba v R </w:t>
      </w:r>
      <w:r w:rsidRPr="007809F4">
        <w:rPr>
          <w:rFonts w:asciiTheme="minorHAnsi" w:hAnsiTheme="minorHAnsi" w:cstheme="minorHAnsi"/>
        </w:rPr>
        <w:t>[2013] VSCA 302</w:t>
      </w:r>
      <w:r w:rsidRPr="00EB7F1E">
        <w:rPr>
          <w:rFonts w:asciiTheme="minorHAnsi" w:hAnsiTheme="minorHAnsi" w:cstheme="minorHAnsi"/>
        </w:rPr>
        <w:fldChar w:fldCharType="begin"/>
      </w:r>
      <w:r w:rsidRPr="007809F4">
        <w:rPr>
          <w:rFonts w:asciiTheme="minorHAnsi" w:hAnsiTheme="minorHAnsi" w:cstheme="minorHAnsi"/>
        </w:rPr>
        <w:instrText xml:space="preserve"> TA \s "Tiba v R [2013] VSCA 302" </w:instrText>
      </w:r>
      <w:r w:rsidRPr="00EB7F1E">
        <w:rPr>
          <w:rFonts w:asciiTheme="minorHAnsi" w:hAnsiTheme="minorHAnsi" w:cstheme="minorHAnsi"/>
        </w:rPr>
        <w:fldChar w:fldCharType="end"/>
      </w:r>
      <w:r w:rsidRPr="007809F4">
        <w:rPr>
          <w:rFonts w:asciiTheme="minorHAnsi" w:hAnsiTheme="minorHAnsi" w:cstheme="minorHAnsi"/>
        </w:rPr>
        <w:t xml:space="preserve">, [37]; </w:t>
      </w:r>
      <w:r w:rsidRPr="007809F4">
        <w:rPr>
          <w:rFonts w:asciiTheme="minorHAnsi" w:hAnsiTheme="minorHAnsi" w:cstheme="minorHAnsi"/>
          <w:i/>
        </w:rPr>
        <w:t xml:space="preserve">Visser v R </w:t>
      </w:r>
      <w:r w:rsidRPr="007809F4">
        <w:rPr>
          <w:rFonts w:asciiTheme="minorHAnsi" w:hAnsiTheme="minorHAnsi" w:cstheme="minorHAnsi"/>
        </w:rPr>
        <w:t>[2015] VSCA 168</w:t>
      </w:r>
      <w:r w:rsidRPr="00EB7F1E">
        <w:rPr>
          <w:rFonts w:asciiTheme="minorHAnsi" w:hAnsiTheme="minorHAnsi" w:cstheme="minorHAnsi"/>
        </w:rPr>
        <w:fldChar w:fldCharType="begin"/>
      </w:r>
      <w:r w:rsidRPr="007809F4">
        <w:rPr>
          <w:rFonts w:asciiTheme="minorHAnsi" w:hAnsiTheme="minorHAnsi" w:cstheme="minorHAnsi"/>
        </w:rPr>
        <w:instrText xml:space="preserve"> TA \s "Visser v R [2015] VSCA 168" </w:instrText>
      </w:r>
      <w:r w:rsidRPr="00EB7F1E">
        <w:rPr>
          <w:rFonts w:asciiTheme="minorHAnsi" w:hAnsiTheme="minorHAnsi" w:cstheme="minorHAnsi"/>
        </w:rPr>
        <w:fldChar w:fldCharType="end"/>
      </w:r>
      <w:r w:rsidRPr="007809F4">
        <w:rPr>
          <w:rFonts w:asciiTheme="minorHAnsi" w:hAnsiTheme="minorHAnsi" w:cstheme="minorHAnsi"/>
        </w:rPr>
        <w:t>, [165].</w:t>
      </w:r>
    </w:p>
  </w:footnote>
  <w:footnote w:id="202">
    <w:p w14:paraId="3807F4D5" w14:textId="67CA9F9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Adami v R</w:t>
      </w:r>
      <w:r w:rsidRPr="007809F4">
        <w:rPr>
          <w:rFonts w:asciiTheme="minorHAnsi" w:hAnsiTheme="minorHAnsi" w:cstheme="minorHAnsi"/>
        </w:rPr>
        <w:t xml:space="preserve"> (1989) 51 SASR 229</w:t>
      </w:r>
      <w:r w:rsidRPr="00EB7F1E">
        <w:rPr>
          <w:rFonts w:asciiTheme="minorHAnsi" w:hAnsiTheme="minorHAnsi" w:cstheme="minorHAnsi"/>
          <w:i/>
        </w:rPr>
        <w:fldChar w:fldCharType="begin"/>
      </w:r>
      <w:r w:rsidRPr="007809F4">
        <w:rPr>
          <w:rFonts w:asciiTheme="minorHAnsi" w:hAnsiTheme="minorHAnsi" w:cstheme="minorHAnsi"/>
          <w:i/>
        </w:rPr>
        <w:instrText xml:space="preserve"> TA \l "Adami v R</w:instrText>
      </w:r>
      <w:r w:rsidRPr="00EB7F1E">
        <w:rPr>
          <w:rFonts w:asciiTheme="minorHAnsi" w:hAnsiTheme="minorHAnsi" w:cstheme="minorHAnsi"/>
          <w:iCs/>
        </w:rPr>
        <w:instrText xml:space="preserve"> (1989) 51 SASR 229</w:instrText>
      </w:r>
      <w:r w:rsidRPr="007809F4">
        <w:rPr>
          <w:rFonts w:asciiTheme="minorHAnsi" w:hAnsiTheme="minorHAnsi" w:cstheme="minorHAnsi"/>
          <w:i/>
        </w:rPr>
        <w:instrText>" \s "</w:instrText>
      </w:r>
      <w:r w:rsidRPr="00EB7F1E">
        <w:rPr>
          <w:rFonts w:asciiTheme="minorHAnsi" w:hAnsiTheme="minorHAnsi" w:cstheme="minorHAnsi"/>
          <w:iCs/>
        </w:rPr>
        <w:instrText>Adami v R (1989) 51 SASR 229</w:instrText>
      </w:r>
      <w:r w:rsidRPr="007809F4">
        <w:rPr>
          <w:rFonts w:asciiTheme="minorHAnsi" w:hAnsiTheme="minorHAnsi" w:cstheme="minorHAnsi"/>
          <w:i/>
        </w:rPr>
        <w:instrText xml:space="preserve">" \c 1 </w:instrText>
      </w:r>
      <w:r w:rsidRPr="00EB7F1E">
        <w:rPr>
          <w:rFonts w:asciiTheme="minorHAnsi" w:hAnsiTheme="minorHAnsi" w:cstheme="minorHAnsi"/>
          <w:i/>
        </w:rPr>
        <w:fldChar w:fldCharType="end"/>
      </w:r>
      <w:r w:rsidRPr="007809F4">
        <w:rPr>
          <w:rFonts w:asciiTheme="minorHAnsi" w:hAnsiTheme="minorHAnsi" w:cstheme="minorHAnsi"/>
        </w:rPr>
        <w:t>, 233.</w:t>
      </w:r>
      <w:r w:rsidRPr="007809F4">
        <w:rPr>
          <w:rFonts w:asciiTheme="minorHAnsi" w:hAnsiTheme="minorHAnsi" w:cstheme="minorHAnsi"/>
          <w:i/>
        </w:rPr>
        <w:t xml:space="preserve">  </w:t>
      </w:r>
      <w:r w:rsidRPr="007809F4">
        <w:rPr>
          <w:rFonts w:asciiTheme="minorHAnsi" w:hAnsiTheme="minorHAnsi" w:cstheme="minorHAnsi"/>
        </w:rPr>
        <w:t>Compare</w:t>
      </w:r>
      <w:r w:rsidRPr="007809F4">
        <w:rPr>
          <w:rFonts w:asciiTheme="minorHAnsi" w:hAnsiTheme="minorHAnsi" w:cstheme="minorHAnsi"/>
          <w:i/>
        </w:rPr>
        <w:t xml:space="preserve"> R v Sinclair</w:t>
      </w:r>
      <w:r w:rsidRPr="007809F4">
        <w:rPr>
          <w:rFonts w:asciiTheme="minorHAnsi" w:hAnsiTheme="minorHAnsi" w:cstheme="minorHAnsi"/>
        </w:rPr>
        <w:t xml:space="preserve"> (1990) 51 A Crim R 418</w:t>
      </w:r>
      <w:r w:rsidRPr="00EB7F1E">
        <w:rPr>
          <w:rFonts w:asciiTheme="minorHAnsi" w:hAnsiTheme="minorHAnsi" w:cstheme="minorHAnsi"/>
          <w:i/>
        </w:rPr>
        <w:fldChar w:fldCharType="begin"/>
      </w:r>
      <w:r w:rsidRPr="007809F4">
        <w:rPr>
          <w:rFonts w:asciiTheme="minorHAnsi" w:hAnsiTheme="minorHAnsi" w:cstheme="minorHAnsi"/>
          <w:i/>
        </w:rPr>
        <w:instrText xml:space="preserve"> TA \l "R v Sinclair</w:instrText>
      </w:r>
      <w:r w:rsidRPr="00EB7F1E">
        <w:rPr>
          <w:rFonts w:asciiTheme="minorHAnsi" w:hAnsiTheme="minorHAnsi" w:cstheme="minorHAnsi"/>
          <w:iCs/>
        </w:rPr>
        <w:instrText xml:space="preserve"> (1990) 51 A Crim R 418</w:instrText>
      </w:r>
      <w:r w:rsidRPr="007809F4">
        <w:rPr>
          <w:rFonts w:asciiTheme="minorHAnsi" w:hAnsiTheme="minorHAnsi" w:cstheme="minorHAnsi"/>
          <w:i/>
        </w:rPr>
        <w:instrText>" \s "R v Sinclair</w:instrText>
      </w:r>
      <w:r w:rsidRPr="00EB7F1E">
        <w:rPr>
          <w:rFonts w:asciiTheme="minorHAnsi" w:hAnsiTheme="minorHAnsi" w:cstheme="minorHAnsi"/>
          <w:iCs/>
        </w:rPr>
        <w:instrText xml:space="preserve"> (1990) 51 A Crim R 418" \c 1</w:instrText>
      </w:r>
      <w:r w:rsidRPr="007809F4">
        <w:rPr>
          <w:rFonts w:asciiTheme="minorHAnsi" w:hAnsiTheme="minorHAnsi" w:cstheme="minorHAnsi"/>
          <w:i/>
        </w:rPr>
        <w:instrText xml:space="preserve"> </w:instrText>
      </w:r>
      <w:r w:rsidRPr="00EB7F1E">
        <w:rPr>
          <w:rFonts w:asciiTheme="minorHAnsi" w:hAnsiTheme="minorHAnsi" w:cstheme="minorHAnsi"/>
          <w:i/>
        </w:rPr>
        <w:fldChar w:fldCharType="end"/>
      </w:r>
      <w:r w:rsidRPr="007809F4">
        <w:rPr>
          <w:rFonts w:asciiTheme="minorHAnsi" w:hAnsiTheme="minorHAnsi" w:cstheme="minorHAnsi"/>
        </w:rPr>
        <w:t>, 430.</w:t>
      </w:r>
    </w:p>
  </w:footnote>
  <w:footnote w:id="203">
    <w:p w14:paraId="7B6C9424" w14:textId="57109F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Postiglione v R</w:t>
      </w:r>
      <w:r w:rsidRPr="007809F4">
        <w:rPr>
          <w:rFonts w:asciiTheme="minorHAnsi" w:hAnsiTheme="minorHAnsi" w:cstheme="minorHAnsi"/>
        </w:rPr>
        <w:t xml:space="preserve"> (1991) 24 NSWLR 584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Postiglione v R</w:instrText>
      </w:r>
      <w:r w:rsidRPr="007809F4">
        <w:rPr>
          <w:rFonts w:asciiTheme="minorHAnsi" w:hAnsiTheme="minorHAnsi" w:cstheme="minorHAnsi"/>
        </w:rPr>
        <w:instrText xml:space="preserve"> (1991) 24 NSWLR 584" \s "Postiglione v R (1991) 24 NSWLR 584" \c 1 </w:instrText>
      </w:r>
      <w:r w:rsidRPr="00EB7F1E">
        <w:rPr>
          <w:rFonts w:asciiTheme="minorHAnsi" w:hAnsiTheme="minorHAnsi" w:cstheme="minorHAnsi"/>
        </w:rPr>
        <w:fldChar w:fldCharType="end"/>
      </w:r>
      <w:r w:rsidRPr="007809F4">
        <w:rPr>
          <w:rFonts w:asciiTheme="minorHAnsi" w:hAnsiTheme="minorHAnsi" w:cstheme="minorHAnsi"/>
        </w:rPr>
        <w:t>, 594 (Grove J).</w:t>
      </w:r>
    </w:p>
  </w:footnote>
  <w:footnote w:id="204">
    <w:p w14:paraId="5B2CF319" w14:textId="1AE3E70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El Karhani</w:t>
      </w:r>
      <w:r w:rsidRPr="007809F4">
        <w:rPr>
          <w:rFonts w:asciiTheme="minorHAnsi" w:hAnsiTheme="minorHAnsi" w:cstheme="minorHAnsi"/>
        </w:rPr>
        <w:t xml:space="preserve"> (1990) 21 NSWLR 370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El Karhani</w:instrText>
      </w:r>
      <w:r w:rsidRPr="007809F4">
        <w:rPr>
          <w:rFonts w:asciiTheme="minorHAnsi" w:hAnsiTheme="minorHAnsi" w:cstheme="minorHAnsi"/>
        </w:rPr>
        <w:instrText xml:space="preserve"> (1990) 21 NSWLR 370</w:instrText>
      </w:r>
      <w:r w:rsidRPr="00EB7F1E">
        <w:rPr>
          <w:rFonts w:asciiTheme="minorHAnsi" w:hAnsiTheme="minorHAnsi" w:cstheme="minorHAnsi"/>
        </w:rPr>
        <w:instrText xml:space="preserve">" \s "DPP (Cth) v El Karhani (1990) 21 NSWLR 370"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[24].</w:t>
      </w:r>
    </w:p>
  </w:footnote>
  <w:footnote w:id="205">
    <w:p w14:paraId="437E46EC" w14:textId="2B9157F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[25].</w:t>
      </w:r>
    </w:p>
  </w:footnote>
  <w:footnote w:id="206">
    <w:p w14:paraId="07E4985E" w14:textId="401C22C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07">
    <w:p w14:paraId="60C97625" w14:textId="6EEE3B0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[13].</w:t>
      </w:r>
    </w:p>
  </w:footnote>
  <w:footnote w:id="208">
    <w:p w14:paraId="08FE6D47" w14:textId="69EAF42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[17].</w:t>
      </w:r>
    </w:p>
  </w:footnote>
  <w:footnote w:id="209">
    <w:p w14:paraId="25D1ABB7" w14:textId="5DD3B58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[19]-[22].  See also “</w:t>
      </w:r>
      <w:r w:rsidRPr="00EB7F1E">
        <w:rPr>
          <w:rFonts w:asciiTheme="minorHAnsi" w:hAnsiTheme="minorHAnsi" w:cstheme="minorHAnsi"/>
        </w:rPr>
        <w:fldChar w:fldCharType="begin"/>
      </w:r>
      <w:r w:rsidRPr="007809F4">
        <w:rPr>
          <w:rFonts w:asciiTheme="minorHAnsi" w:hAnsiTheme="minorHAnsi" w:cstheme="minorHAnsi"/>
        </w:rPr>
        <w:instrText xml:space="preserve"> REF _Ref507870627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_Ref507870630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Fact-finding in federal sentencing</w:t>
      </w:r>
      <w:r w:rsidRPr="00EB7F1E">
        <w:rPr>
          <w:rFonts w:asciiTheme="minorHAnsi" w:hAnsiTheme="minorHAnsi" w:cstheme="minorHAnsi"/>
        </w:rPr>
        <w:fldChar w:fldCharType="end"/>
      </w:r>
      <w:r w:rsidRPr="007809F4">
        <w:rPr>
          <w:rFonts w:asciiTheme="minorHAnsi" w:hAnsiTheme="minorHAnsi" w:cstheme="minorHAnsi"/>
        </w:rPr>
        <w:t>”.</w:t>
      </w:r>
    </w:p>
  </w:footnote>
  <w:footnote w:id="210">
    <w:p w14:paraId="580C6A69"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R v Nicholas</w:t>
      </w:r>
      <w:r w:rsidRPr="007809F4">
        <w:rPr>
          <w:rFonts w:asciiTheme="minorHAnsi" w:hAnsiTheme="minorHAnsi" w:cstheme="minorHAnsi"/>
        </w:rPr>
        <w:t xml:space="preserve"> [2000] 1 VR 356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Nicholas</w:instrText>
      </w:r>
      <w:r w:rsidRPr="007809F4">
        <w:rPr>
          <w:rFonts w:asciiTheme="minorHAnsi" w:hAnsiTheme="minorHAnsi" w:cstheme="minorHAnsi"/>
        </w:rPr>
        <w:instrText xml:space="preserve"> [2000] 1 VR 356" \s "R v Nicholas [2000] 1 VR 356"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Nicholas [2000] 1 VR 356"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De La Espriella-Velasco v R</w:t>
      </w:r>
      <w:r w:rsidRPr="007809F4">
        <w:rPr>
          <w:rFonts w:asciiTheme="minorHAnsi" w:hAnsiTheme="minorHAnsi" w:cstheme="minorHAnsi"/>
        </w:rPr>
        <w:t xml:space="preserve"> (2006) 31 WAR 291.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de la Espriella-Velasco v R</w:instrText>
      </w:r>
      <w:r w:rsidRPr="007809F4">
        <w:rPr>
          <w:rFonts w:asciiTheme="minorHAnsi" w:hAnsiTheme="minorHAnsi" w:cstheme="minorHAnsi"/>
        </w:rPr>
        <w:instrText xml:space="preserve"> (2006) 31 WAR 291" \s "de la Espriella-Velasco v R (2006) 31 WAR 291" \c 1 </w:instrText>
      </w:r>
      <w:r w:rsidRPr="00EB7F1E">
        <w:rPr>
          <w:rFonts w:asciiTheme="minorHAnsi" w:hAnsiTheme="minorHAnsi" w:cstheme="minorHAnsi"/>
        </w:rPr>
        <w:fldChar w:fldCharType="end"/>
      </w:r>
    </w:p>
  </w:footnote>
  <w:footnote w:id="211">
    <w:p w14:paraId="16C17B81" w14:textId="0612B3D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Jones</w:t>
      </w:r>
      <w:r w:rsidRPr="007809F4">
        <w:rPr>
          <w:rFonts w:asciiTheme="minorHAnsi" w:hAnsiTheme="minorHAnsi" w:cstheme="minorHAnsi"/>
        </w:rPr>
        <w:t xml:space="preserve"> [2004] VSCA 68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Jones</w:instrText>
      </w:r>
      <w:r w:rsidRPr="007809F4">
        <w:rPr>
          <w:rFonts w:asciiTheme="minorHAnsi" w:hAnsiTheme="minorHAnsi" w:cstheme="minorHAnsi"/>
        </w:rPr>
        <w:instrText xml:space="preserve"> [2004] VSCA 68</w:instrText>
      </w:r>
      <w:r w:rsidRPr="00EB7F1E">
        <w:rPr>
          <w:rFonts w:asciiTheme="minorHAnsi" w:hAnsiTheme="minorHAnsi" w:cstheme="minorHAnsi"/>
        </w:rPr>
        <w:instrText xml:space="preserve">" \s "R v Jones [2004] VSCA 68" \c 1 </w:instrText>
      </w:r>
      <w:r w:rsidRPr="00EB7F1E">
        <w:rPr>
          <w:rFonts w:asciiTheme="minorHAnsi" w:hAnsiTheme="minorHAnsi" w:cstheme="minorHAnsi"/>
        </w:rPr>
        <w:fldChar w:fldCharType="end"/>
      </w:r>
      <w:r w:rsidRPr="007809F4">
        <w:rPr>
          <w:rFonts w:asciiTheme="minorHAnsi" w:hAnsiTheme="minorHAnsi" w:cstheme="minorHAnsi"/>
        </w:rPr>
        <w:t>, [12]-[13].</w:t>
      </w:r>
    </w:p>
  </w:footnote>
  <w:footnote w:id="212">
    <w:p w14:paraId="4504972C" w14:textId="18941EF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Knight </w:t>
      </w:r>
      <w:r w:rsidRPr="007809F4">
        <w:rPr>
          <w:rFonts w:asciiTheme="minorHAnsi" w:hAnsiTheme="minorHAnsi" w:cstheme="minorHAnsi"/>
        </w:rPr>
        <w:t>[2004] NSWCCA 145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Knight </w:instrText>
      </w:r>
      <w:r w:rsidRPr="007809F4">
        <w:rPr>
          <w:rFonts w:asciiTheme="minorHAnsi" w:hAnsiTheme="minorHAnsi" w:cstheme="minorHAnsi"/>
        </w:rPr>
        <w:instrText>[2004] NSWCCA 145</w:instrText>
      </w:r>
      <w:r w:rsidRPr="00EB7F1E">
        <w:rPr>
          <w:rFonts w:asciiTheme="minorHAnsi" w:hAnsiTheme="minorHAnsi" w:cstheme="minorHAnsi"/>
        </w:rPr>
        <w:instrText xml:space="preserve">" \s "R v Knight [2004] NSWCCA 145" \c 1 </w:instrText>
      </w:r>
      <w:r w:rsidRPr="00EB7F1E">
        <w:rPr>
          <w:rFonts w:asciiTheme="minorHAnsi" w:hAnsiTheme="minorHAnsi" w:cstheme="minorHAnsi"/>
        </w:rPr>
        <w:fldChar w:fldCharType="end"/>
      </w:r>
      <w:r w:rsidRPr="007809F4">
        <w:rPr>
          <w:rFonts w:asciiTheme="minorHAnsi" w:hAnsiTheme="minorHAnsi" w:cstheme="minorHAnsi"/>
        </w:rPr>
        <w:t>, [25]–[26].</w:t>
      </w:r>
    </w:p>
  </w:footnote>
  <w:footnote w:id="213">
    <w:p w14:paraId="0BAF2382" w14:textId="6D0820A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Richard</w:t>
      </w:r>
      <w:r w:rsidRPr="007809F4">
        <w:rPr>
          <w:rFonts w:asciiTheme="minorHAnsi" w:hAnsiTheme="minorHAnsi" w:cstheme="minorHAnsi"/>
        </w:rPr>
        <w:t xml:space="preserve"> [2011] NSWSC 866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Richard</w:instrText>
      </w:r>
      <w:r w:rsidRPr="007809F4">
        <w:rPr>
          <w:rFonts w:asciiTheme="minorHAnsi" w:hAnsiTheme="minorHAnsi" w:cstheme="minorHAnsi"/>
        </w:rPr>
        <w:instrText xml:space="preserve"> [2011] NSWSC 866</w:instrText>
      </w:r>
      <w:r w:rsidRPr="00EB7F1E">
        <w:rPr>
          <w:rFonts w:asciiTheme="minorHAnsi" w:hAnsiTheme="minorHAnsi" w:cstheme="minorHAnsi"/>
        </w:rPr>
        <w:instrText xml:space="preserve">" \s "R v Richard [2011] NSWSC 866" \c 1 </w:instrText>
      </w:r>
      <w:r w:rsidRPr="00EB7F1E">
        <w:rPr>
          <w:rFonts w:asciiTheme="minorHAnsi" w:hAnsiTheme="minorHAnsi" w:cstheme="minorHAnsi"/>
        </w:rPr>
        <w:fldChar w:fldCharType="end"/>
      </w:r>
      <w:r w:rsidRPr="007809F4">
        <w:rPr>
          <w:rFonts w:asciiTheme="minorHAnsi" w:hAnsiTheme="minorHAnsi" w:cstheme="minorHAnsi"/>
        </w:rPr>
        <w:t xml:space="preserve">, [65](f); </w:t>
      </w:r>
      <w:r w:rsidRPr="007809F4">
        <w:rPr>
          <w:rFonts w:asciiTheme="minorHAnsi" w:hAnsiTheme="minorHAnsi" w:cstheme="minorHAnsi"/>
          <w:i/>
        </w:rPr>
        <w:t>R v Glynatsis</w:t>
      </w:r>
      <w:r w:rsidRPr="007809F4">
        <w:rPr>
          <w:rFonts w:asciiTheme="minorHAnsi" w:hAnsiTheme="minorHAnsi" w:cstheme="minorHAnsi"/>
        </w:rPr>
        <w:t xml:space="preserve"> [2013] NSWCCA 131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Glynatsis</w:instrText>
      </w:r>
      <w:r w:rsidRPr="007809F4">
        <w:rPr>
          <w:rFonts w:asciiTheme="minorHAnsi" w:hAnsiTheme="minorHAnsi" w:cstheme="minorHAnsi"/>
        </w:rPr>
        <w:instrText xml:space="preserve"> [2013] NSWCCA 131</w:instrText>
      </w:r>
      <w:r w:rsidRPr="00EB7F1E">
        <w:rPr>
          <w:rFonts w:asciiTheme="minorHAnsi" w:hAnsiTheme="minorHAnsi" w:cstheme="minorHAnsi"/>
        </w:rPr>
        <w:instrText xml:space="preserve">" \s "R v Glynatsis [2013] NSWCCA 131" \c 1 </w:instrText>
      </w:r>
      <w:r w:rsidRPr="00EB7F1E">
        <w:rPr>
          <w:rFonts w:asciiTheme="minorHAnsi" w:hAnsiTheme="minorHAnsi" w:cstheme="minorHAnsi"/>
        </w:rPr>
        <w:fldChar w:fldCharType="end"/>
      </w:r>
      <w:r w:rsidRPr="007809F4">
        <w:rPr>
          <w:rFonts w:asciiTheme="minorHAnsi" w:hAnsiTheme="minorHAnsi" w:cstheme="minorHAnsi"/>
        </w:rPr>
        <w:t xml:space="preserve">, [66]; </w:t>
      </w:r>
      <w:r w:rsidRPr="007809F4">
        <w:rPr>
          <w:rFonts w:asciiTheme="minorHAnsi" w:hAnsiTheme="minorHAnsi" w:cstheme="minorHAnsi"/>
          <w:i/>
        </w:rPr>
        <w:t>R v De Leeuw</w:t>
      </w:r>
      <w:r w:rsidRPr="007809F4">
        <w:rPr>
          <w:rFonts w:asciiTheme="minorHAnsi" w:hAnsiTheme="minorHAnsi" w:cstheme="minorHAnsi"/>
        </w:rPr>
        <w:t xml:space="preserve"> [2015] NSWCCA 183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De Leeuw</w:instrText>
      </w:r>
      <w:r w:rsidRPr="007809F4">
        <w:rPr>
          <w:rFonts w:asciiTheme="minorHAnsi" w:hAnsiTheme="minorHAnsi" w:cstheme="minorHAnsi"/>
        </w:rPr>
        <w:instrText xml:space="preserve"> [2015] NSWCCA 183</w:instrText>
      </w:r>
      <w:r w:rsidRPr="00EB7F1E">
        <w:rPr>
          <w:rFonts w:asciiTheme="minorHAnsi" w:hAnsiTheme="minorHAnsi" w:cstheme="minorHAnsi"/>
        </w:rPr>
        <w:instrText xml:space="preserve">" \s "R v De Leeuw [2015] NSWCCA 183" \c 1 </w:instrText>
      </w:r>
      <w:r w:rsidRPr="00EB7F1E">
        <w:rPr>
          <w:rFonts w:asciiTheme="minorHAnsi" w:hAnsiTheme="minorHAnsi" w:cstheme="minorHAnsi"/>
        </w:rPr>
        <w:fldChar w:fldCharType="end"/>
      </w:r>
      <w:r w:rsidRPr="007809F4">
        <w:rPr>
          <w:rFonts w:asciiTheme="minorHAnsi" w:hAnsiTheme="minorHAnsi" w:cstheme="minorHAnsi"/>
        </w:rPr>
        <w:t xml:space="preserve">, [116]; </w:t>
      </w:r>
      <w:r w:rsidRPr="007809F4">
        <w:rPr>
          <w:rFonts w:asciiTheme="minorHAnsi" w:hAnsiTheme="minorHAnsi" w:cstheme="minorHAnsi"/>
          <w:i/>
        </w:rPr>
        <w:t>DPP (Cth) v Phan</w:t>
      </w:r>
      <w:r w:rsidRPr="007809F4">
        <w:rPr>
          <w:rFonts w:asciiTheme="minorHAnsi" w:hAnsiTheme="minorHAnsi" w:cstheme="minorHAnsi"/>
        </w:rPr>
        <w:t xml:space="preserve"> [2016] VSCA 170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Phan</w:instrText>
      </w:r>
      <w:r w:rsidRPr="007809F4">
        <w:rPr>
          <w:rFonts w:asciiTheme="minorHAnsi" w:hAnsiTheme="minorHAnsi" w:cstheme="minorHAnsi"/>
        </w:rPr>
        <w:instrText xml:space="preserve"> [2016] VSCA 170</w:instrText>
      </w:r>
      <w:r w:rsidRPr="00EB7F1E">
        <w:rPr>
          <w:rFonts w:asciiTheme="minorHAnsi" w:hAnsiTheme="minorHAnsi" w:cstheme="minorHAnsi"/>
        </w:rPr>
        <w:instrText xml:space="preserve">" \s "DPP (Cth) v Phan [2016] VSCA 170" \c 1 </w:instrText>
      </w:r>
      <w:r w:rsidRPr="00EB7F1E">
        <w:rPr>
          <w:rFonts w:asciiTheme="minorHAnsi" w:hAnsiTheme="minorHAnsi" w:cstheme="minorHAnsi"/>
        </w:rPr>
        <w:fldChar w:fldCharType="end"/>
      </w:r>
      <w:r w:rsidRPr="007809F4">
        <w:rPr>
          <w:rFonts w:asciiTheme="minorHAnsi" w:hAnsiTheme="minorHAnsi" w:cstheme="minorHAnsi"/>
        </w:rPr>
        <w:t>, [60].</w:t>
      </w:r>
    </w:p>
  </w:footnote>
  <w:footnote w:id="214">
    <w:p w14:paraId="4B8F3B86" w14:textId="5C3794F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Jones</w:t>
      </w:r>
      <w:r w:rsidRPr="007809F4">
        <w:rPr>
          <w:rFonts w:asciiTheme="minorHAnsi" w:hAnsiTheme="minorHAnsi" w:cstheme="minorHAnsi"/>
        </w:rPr>
        <w:t xml:space="preserve"> [2004] VSCA 68</w:t>
      </w:r>
      <w:r w:rsidRPr="00EB7F1E">
        <w:rPr>
          <w:rFonts w:asciiTheme="minorHAnsi" w:hAnsiTheme="minorHAnsi" w:cstheme="minorHAnsi"/>
        </w:rPr>
        <w:fldChar w:fldCharType="begin"/>
      </w:r>
      <w:r w:rsidRPr="007809F4">
        <w:rPr>
          <w:rFonts w:asciiTheme="minorHAnsi" w:hAnsiTheme="minorHAnsi" w:cstheme="minorHAnsi"/>
        </w:rPr>
        <w:instrText xml:space="preserve"> TA \s "R v Jones [2004] VSCA 68" </w:instrText>
      </w:r>
      <w:r w:rsidRPr="00EB7F1E">
        <w:rPr>
          <w:rFonts w:asciiTheme="minorHAnsi" w:hAnsiTheme="minorHAnsi" w:cstheme="minorHAnsi"/>
        </w:rPr>
        <w:fldChar w:fldCharType="end"/>
      </w:r>
      <w:r w:rsidRPr="007809F4">
        <w:rPr>
          <w:rFonts w:asciiTheme="minorHAnsi" w:hAnsiTheme="minorHAnsi" w:cstheme="minorHAnsi"/>
        </w:rPr>
        <w:t xml:space="preserve">, [13]; </w:t>
      </w:r>
      <w:r w:rsidRPr="007809F4">
        <w:rPr>
          <w:rFonts w:asciiTheme="minorHAnsi" w:hAnsiTheme="minorHAnsi" w:cstheme="minorHAnsi"/>
          <w:i/>
        </w:rPr>
        <w:t>R v Donald</w:t>
      </w:r>
      <w:r w:rsidRPr="007809F4">
        <w:rPr>
          <w:rFonts w:asciiTheme="minorHAnsi" w:hAnsiTheme="minorHAnsi" w:cstheme="minorHAnsi"/>
        </w:rPr>
        <w:t xml:space="preserve"> [2013] NSWCCA 238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Donald</w:instrText>
      </w:r>
      <w:r w:rsidRPr="007809F4">
        <w:rPr>
          <w:rFonts w:asciiTheme="minorHAnsi" w:hAnsiTheme="minorHAnsi" w:cstheme="minorHAnsi"/>
        </w:rPr>
        <w:instrText xml:space="preserve"> [2013] NSWCCA 238</w:instrText>
      </w:r>
      <w:r w:rsidRPr="00EB7F1E">
        <w:rPr>
          <w:rFonts w:asciiTheme="minorHAnsi" w:hAnsiTheme="minorHAnsi" w:cstheme="minorHAnsi"/>
        </w:rPr>
        <w:instrText xml:space="preserve">" \s "R v Donald [2013] NSWCCA 238" \c 1 </w:instrText>
      </w:r>
      <w:r w:rsidRPr="00EB7F1E">
        <w:rPr>
          <w:rFonts w:asciiTheme="minorHAnsi" w:hAnsiTheme="minorHAnsi" w:cstheme="minorHAnsi"/>
        </w:rPr>
        <w:fldChar w:fldCharType="end"/>
      </w:r>
      <w:r w:rsidRPr="007809F4">
        <w:rPr>
          <w:rFonts w:asciiTheme="minorHAnsi" w:hAnsiTheme="minorHAnsi" w:cstheme="minorHAnsi"/>
        </w:rPr>
        <w:t>, [85].</w:t>
      </w:r>
    </w:p>
  </w:footnote>
  <w:footnote w:id="215">
    <w:p w14:paraId="2D78083C" w14:textId="471EA42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Attorney General’s Application Under s37 of the Crimes (Sentencing Procedure) Act 1999 No 1 of 2002</w:t>
      </w:r>
      <w:r w:rsidRPr="007809F4">
        <w:rPr>
          <w:rFonts w:asciiTheme="minorHAnsi" w:hAnsiTheme="minorHAnsi" w:cstheme="minorHAnsi"/>
        </w:rPr>
        <w:t xml:space="preserve"> (2002) 56 NSWLR 146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Attorney General’s Application Under s37 of the Crimes (Sentencing Procedure) Act 1999 No 1 of 2002</w:instrText>
      </w:r>
      <w:r w:rsidRPr="007809F4">
        <w:rPr>
          <w:rFonts w:asciiTheme="minorHAnsi" w:hAnsiTheme="minorHAnsi" w:cstheme="minorHAnsi"/>
        </w:rPr>
        <w:instrText xml:space="preserve"> (2002) 56 NSWLR 146</w:instrText>
      </w:r>
      <w:r w:rsidRPr="00EB7F1E">
        <w:rPr>
          <w:rFonts w:asciiTheme="minorHAnsi" w:hAnsiTheme="minorHAnsi" w:cstheme="minorHAnsi"/>
        </w:rPr>
        <w:instrText>" \s "Attorney General</w:instrText>
      </w:r>
      <w:r w:rsidRPr="007809F4">
        <w:rPr>
          <w:rFonts w:asciiTheme="minorHAnsi" w:hAnsiTheme="minorHAnsi" w:cstheme="minorHAnsi"/>
        </w:rPr>
        <w:instrText>’</w:instrText>
      </w:r>
      <w:r w:rsidRPr="00EB7F1E">
        <w:rPr>
          <w:rFonts w:asciiTheme="minorHAnsi" w:hAnsiTheme="minorHAnsi" w:cstheme="minorHAnsi"/>
        </w:rPr>
        <w:instrText xml:space="preserve">s Application Under s37 of the Crimes (Sentencing Procedure) Act 1999 No 1 of 2002 (2002) 56 NSWLR 146"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Abbas v R</w:t>
      </w:r>
      <w:r w:rsidRPr="007809F4">
        <w:rPr>
          <w:rFonts w:asciiTheme="minorHAnsi" w:hAnsiTheme="minorHAnsi" w:cstheme="minorHAnsi"/>
        </w:rPr>
        <w:t xml:space="preserve"> [2013] NSWCCA 115</w:t>
      </w:r>
      <w:r w:rsidRPr="00EB7F1E">
        <w:rPr>
          <w:rFonts w:asciiTheme="minorHAnsi" w:hAnsiTheme="minorHAnsi" w:cstheme="minorHAnsi"/>
        </w:rPr>
        <w:fldChar w:fldCharType="begin"/>
      </w:r>
      <w:r w:rsidRPr="007809F4">
        <w:rPr>
          <w:rFonts w:asciiTheme="minorHAnsi" w:hAnsiTheme="minorHAnsi" w:cstheme="minorHAnsi"/>
        </w:rPr>
        <w:instrText xml:space="preserve"> TA \s "Abbas v R [2013] NSWCCA 115"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Nahlous 228 A Crim R 503" </w:instrText>
      </w:r>
      <w:r w:rsidRPr="00EB7F1E">
        <w:rPr>
          <w:rFonts w:asciiTheme="minorHAnsi" w:hAnsiTheme="minorHAnsi" w:cstheme="minorHAnsi"/>
        </w:rPr>
        <w:fldChar w:fldCharType="end"/>
      </w:r>
    </w:p>
  </w:footnote>
  <w:footnote w:id="216">
    <w:p w14:paraId="75E36438" w14:textId="100FBCF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Lamella</w:t>
      </w:r>
      <w:r w:rsidRPr="007809F4">
        <w:rPr>
          <w:rFonts w:asciiTheme="minorHAnsi" w:hAnsiTheme="minorHAnsi" w:cstheme="minorHAnsi"/>
        </w:rPr>
        <w:t xml:space="preserve"> [2014] NSWCCA 122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Lamella</w:instrText>
      </w:r>
      <w:r w:rsidRPr="007809F4">
        <w:rPr>
          <w:rFonts w:asciiTheme="minorHAnsi" w:hAnsiTheme="minorHAnsi" w:cstheme="minorHAnsi"/>
        </w:rPr>
        <w:instrText xml:space="preserve"> [2014] NSWCCA 122</w:instrText>
      </w:r>
      <w:r w:rsidRPr="00EB7F1E">
        <w:rPr>
          <w:rFonts w:asciiTheme="minorHAnsi" w:hAnsiTheme="minorHAnsi" w:cstheme="minorHAnsi"/>
        </w:rPr>
        <w:instrText xml:space="preserve">" \s "R v Lamella [2014] NSWCCA 122" \c 1 </w:instrText>
      </w:r>
      <w:r w:rsidRPr="00EB7F1E">
        <w:rPr>
          <w:rFonts w:asciiTheme="minorHAnsi" w:hAnsiTheme="minorHAnsi" w:cstheme="minorHAnsi"/>
        </w:rPr>
        <w:fldChar w:fldCharType="end"/>
      </w:r>
      <w:r w:rsidRPr="007809F4">
        <w:rPr>
          <w:rFonts w:asciiTheme="minorHAnsi" w:hAnsiTheme="minorHAnsi" w:cstheme="minorHAnsi"/>
        </w:rPr>
        <w:t xml:space="preserve">, [48]; </w:t>
      </w:r>
      <w:r w:rsidRPr="007809F4">
        <w:rPr>
          <w:rFonts w:asciiTheme="minorHAnsi" w:hAnsiTheme="minorHAnsi" w:cstheme="minorHAnsi"/>
          <w:i/>
        </w:rPr>
        <w:t>DPP (Cth) v KMD</w:t>
      </w:r>
      <w:r w:rsidRPr="007809F4">
        <w:rPr>
          <w:rFonts w:asciiTheme="minorHAnsi" w:hAnsiTheme="minorHAnsi" w:cstheme="minorHAnsi"/>
        </w:rPr>
        <w:t xml:space="preserve"> [2015] VSCA 255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KMD</w:instrText>
      </w:r>
      <w:r w:rsidRPr="007809F4">
        <w:rPr>
          <w:rFonts w:asciiTheme="minorHAnsi" w:hAnsiTheme="minorHAnsi" w:cstheme="minorHAnsi"/>
        </w:rPr>
        <w:instrText xml:space="preserve"> [2015] VSCA 255</w:instrText>
      </w:r>
      <w:r w:rsidRPr="00EB7F1E">
        <w:rPr>
          <w:rFonts w:asciiTheme="minorHAnsi" w:hAnsiTheme="minorHAnsi" w:cstheme="minorHAnsi"/>
        </w:rPr>
        <w:instrText xml:space="preserve">" \s "DPP (Cth) v KMD [2015] VSCA 255" \c 1 </w:instrText>
      </w:r>
      <w:r w:rsidRPr="00EB7F1E">
        <w:rPr>
          <w:rFonts w:asciiTheme="minorHAnsi" w:hAnsiTheme="minorHAnsi" w:cstheme="minorHAnsi"/>
        </w:rPr>
        <w:fldChar w:fldCharType="end"/>
      </w:r>
      <w:r w:rsidRPr="007809F4">
        <w:rPr>
          <w:rFonts w:asciiTheme="minorHAnsi" w:hAnsiTheme="minorHAnsi" w:cstheme="minorHAnsi"/>
        </w:rPr>
        <w:t xml:space="preserve">, [82]-[88]; </w:t>
      </w:r>
      <w:r w:rsidRPr="007809F4">
        <w:rPr>
          <w:rFonts w:asciiTheme="minorHAnsi" w:hAnsiTheme="minorHAnsi" w:cstheme="minorHAnsi"/>
          <w:i/>
        </w:rPr>
        <w:t>Soyke v R</w:t>
      </w:r>
      <w:r w:rsidRPr="007809F4">
        <w:rPr>
          <w:rFonts w:asciiTheme="minorHAnsi" w:hAnsiTheme="minorHAnsi" w:cstheme="minorHAnsi"/>
        </w:rPr>
        <w:t xml:space="preserve"> [2016] NSWCCA 112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Soyke v R</w:instrText>
      </w:r>
      <w:r w:rsidRPr="007809F4">
        <w:rPr>
          <w:rFonts w:asciiTheme="minorHAnsi" w:hAnsiTheme="minorHAnsi" w:cstheme="minorHAnsi"/>
        </w:rPr>
        <w:instrText xml:space="preserve"> [2016] NSWCCA 112</w:instrText>
      </w:r>
      <w:r w:rsidRPr="00EB7F1E">
        <w:rPr>
          <w:rFonts w:asciiTheme="minorHAnsi" w:hAnsiTheme="minorHAnsi" w:cstheme="minorHAnsi"/>
        </w:rPr>
        <w:instrText xml:space="preserve">" \s "Soyke v R [2016] NSWCCA 112" \c 1 </w:instrText>
      </w:r>
      <w:r w:rsidRPr="00EB7F1E">
        <w:rPr>
          <w:rFonts w:asciiTheme="minorHAnsi" w:hAnsiTheme="minorHAnsi" w:cstheme="minorHAnsi"/>
        </w:rPr>
        <w:fldChar w:fldCharType="end"/>
      </w:r>
      <w:r w:rsidRPr="007809F4">
        <w:rPr>
          <w:rFonts w:asciiTheme="minorHAnsi" w:hAnsiTheme="minorHAnsi" w:cstheme="minorHAnsi"/>
        </w:rPr>
        <w:t xml:space="preserve">, [67]; </w:t>
      </w:r>
      <w:r w:rsidRPr="007809F4">
        <w:rPr>
          <w:rFonts w:asciiTheme="minorHAnsi" w:hAnsiTheme="minorHAnsi" w:cstheme="minorHAnsi"/>
          <w:i/>
        </w:rPr>
        <w:t xml:space="preserve">Le v R </w:t>
      </w:r>
      <w:r w:rsidRPr="007809F4">
        <w:rPr>
          <w:rFonts w:asciiTheme="minorHAnsi" w:hAnsiTheme="minorHAnsi" w:cstheme="minorHAnsi"/>
        </w:rPr>
        <w:t>[2017] NSWCCA 26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Le v R </w:instrText>
      </w:r>
      <w:r w:rsidRPr="007809F4">
        <w:rPr>
          <w:rFonts w:asciiTheme="minorHAnsi" w:hAnsiTheme="minorHAnsi" w:cstheme="minorHAnsi"/>
        </w:rPr>
        <w:instrText>[2017] NSWCCA 26</w:instrText>
      </w:r>
      <w:r w:rsidRPr="00EB7F1E">
        <w:rPr>
          <w:rFonts w:asciiTheme="minorHAnsi" w:hAnsiTheme="minorHAnsi" w:cstheme="minorHAnsi"/>
        </w:rPr>
        <w:instrText xml:space="preserve">" \s "Le v R [2017] NSWCCA 26"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Nahlous 228 A Crim R 503" </w:instrText>
      </w:r>
      <w:r w:rsidRPr="00EB7F1E">
        <w:rPr>
          <w:rFonts w:asciiTheme="minorHAnsi" w:hAnsiTheme="minorHAnsi" w:cstheme="minorHAnsi"/>
        </w:rPr>
        <w:fldChar w:fldCharType="end"/>
      </w:r>
    </w:p>
  </w:footnote>
  <w:footnote w:id="217">
    <w:p w14:paraId="2A4BC99C" w14:textId="6943BE8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Attorney General’s Application Under s37 of the Crimes (Sentencing Procedure) Act 1999 No 1 of 2002</w:t>
      </w:r>
      <w:r w:rsidRPr="007809F4">
        <w:rPr>
          <w:rFonts w:asciiTheme="minorHAnsi" w:hAnsiTheme="minorHAnsi" w:cstheme="minorHAnsi"/>
        </w:rPr>
        <w:t xml:space="preserve"> (2002) 56 NSWLR 146</w:t>
      </w:r>
      <w:r w:rsidRPr="00EB7F1E">
        <w:rPr>
          <w:rFonts w:asciiTheme="minorHAnsi" w:hAnsiTheme="minorHAnsi" w:cstheme="minorHAnsi"/>
        </w:rPr>
        <w:fldChar w:fldCharType="begin"/>
      </w:r>
      <w:r w:rsidRPr="007809F4">
        <w:rPr>
          <w:rFonts w:asciiTheme="minorHAnsi" w:hAnsiTheme="minorHAnsi" w:cstheme="minorHAnsi"/>
        </w:rPr>
        <w:instrText xml:space="preserve"> TA \s "Attorney General’s Application Under s37 of the Crimes (Sentencing Procedure) Act 1999 No 1 of 2002 (2002) 56 NSWLR 146" </w:instrText>
      </w:r>
      <w:r w:rsidRPr="00EB7F1E">
        <w:rPr>
          <w:rFonts w:asciiTheme="minorHAnsi" w:hAnsiTheme="minorHAnsi" w:cstheme="minorHAnsi"/>
        </w:rPr>
        <w:fldChar w:fldCharType="end"/>
      </w:r>
      <w:r w:rsidRPr="007809F4">
        <w:rPr>
          <w:rFonts w:asciiTheme="minorHAnsi" w:hAnsiTheme="minorHAnsi" w:cstheme="minorHAnsi"/>
        </w:rPr>
        <w:t>, [42].</w:t>
      </w:r>
      <w:r w:rsidRPr="00EB7F1E">
        <w:rPr>
          <w:rFonts w:asciiTheme="minorHAnsi" w:hAnsiTheme="minorHAnsi" w:cstheme="minorHAnsi"/>
        </w:rPr>
        <w:fldChar w:fldCharType="begin"/>
      </w:r>
      <w:r w:rsidRPr="007809F4">
        <w:rPr>
          <w:rFonts w:asciiTheme="minorHAnsi" w:hAnsiTheme="minorHAnsi" w:cstheme="minorHAnsi"/>
        </w:rPr>
        <w:instrText xml:space="preserve">  "R v Nahlous 228 A Crim R 503" </w:instrText>
      </w:r>
      <w:r w:rsidRPr="00EB7F1E">
        <w:rPr>
          <w:rFonts w:asciiTheme="minorHAnsi" w:hAnsiTheme="minorHAnsi" w:cstheme="minorHAnsi"/>
        </w:rPr>
        <w:fldChar w:fldCharType="end"/>
      </w:r>
    </w:p>
  </w:footnote>
  <w:footnote w:id="218">
    <w:p w14:paraId="6F311B50" w14:textId="4B91831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As to the differences between a rolled-up charge and a representative charge, see </w:t>
      </w:r>
      <w:r w:rsidRPr="007809F4">
        <w:rPr>
          <w:rFonts w:asciiTheme="minorHAnsi" w:hAnsiTheme="minorHAnsi" w:cstheme="minorHAnsi"/>
          <w:i/>
        </w:rPr>
        <w:t>R v Jones</w:t>
      </w:r>
      <w:r w:rsidRPr="007809F4">
        <w:rPr>
          <w:rFonts w:asciiTheme="minorHAnsi" w:hAnsiTheme="minorHAnsi" w:cstheme="minorHAnsi"/>
        </w:rPr>
        <w:t xml:space="preserve"> [2004] VSCA 68</w:t>
      </w:r>
      <w:r w:rsidRPr="00EB7F1E">
        <w:rPr>
          <w:rFonts w:asciiTheme="minorHAnsi" w:hAnsiTheme="minorHAnsi" w:cstheme="minorHAnsi"/>
        </w:rPr>
        <w:fldChar w:fldCharType="begin"/>
      </w:r>
      <w:r w:rsidRPr="007809F4">
        <w:rPr>
          <w:rFonts w:asciiTheme="minorHAnsi" w:hAnsiTheme="minorHAnsi" w:cstheme="minorHAnsi"/>
        </w:rPr>
        <w:instrText xml:space="preserve"> TA \s "R v Jones [2004] VSCA 68" </w:instrText>
      </w:r>
      <w:r w:rsidRPr="00EB7F1E">
        <w:rPr>
          <w:rFonts w:asciiTheme="minorHAnsi" w:hAnsiTheme="minorHAnsi" w:cstheme="minorHAnsi"/>
        </w:rPr>
        <w:fldChar w:fldCharType="end"/>
      </w:r>
      <w:r w:rsidRPr="007809F4">
        <w:rPr>
          <w:rFonts w:asciiTheme="minorHAnsi" w:hAnsiTheme="minorHAnsi" w:cstheme="minorHAnsi"/>
        </w:rPr>
        <w:t>, [12]-[13].</w:t>
      </w:r>
      <w:r w:rsidRPr="00EB7F1E">
        <w:rPr>
          <w:rFonts w:asciiTheme="minorHAnsi" w:hAnsiTheme="minorHAnsi" w:cstheme="minorHAnsi"/>
        </w:rPr>
        <w:fldChar w:fldCharType="begin"/>
      </w:r>
      <w:r w:rsidRPr="007809F4">
        <w:rPr>
          <w:rFonts w:asciiTheme="minorHAnsi" w:hAnsiTheme="minorHAnsi" w:cstheme="minorHAnsi"/>
        </w:rPr>
        <w:instrText xml:space="preserve">  "R v Nahlous 228 A Crim R 503" </w:instrText>
      </w:r>
      <w:r w:rsidRPr="00EB7F1E">
        <w:rPr>
          <w:rFonts w:asciiTheme="minorHAnsi" w:hAnsiTheme="minorHAnsi" w:cstheme="minorHAnsi"/>
        </w:rPr>
        <w:fldChar w:fldCharType="end"/>
      </w:r>
    </w:p>
  </w:footnote>
  <w:footnote w:id="219">
    <w:p w14:paraId="5EBB7A8D" w14:textId="4D19855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This paragraph does not apply merely because a single offence under consideration itself consists of a course of conduct:</w:t>
      </w:r>
      <w:r w:rsidRPr="007809F4">
        <w:rPr>
          <w:rFonts w:asciiTheme="minorHAnsi" w:hAnsiTheme="minorHAnsi" w:cstheme="minorHAnsi"/>
          <w:i/>
        </w:rPr>
        <w:t xml:space="preserve"> R v Jousif</w:t>
      </w:r>
      <w:r w:rsidRPr="007809F4">
        <w:rPr>
          <w:rFonts w:asciiTheme="minorHAnsi" w:hAnsiTheme="minorHAnsi" w:cstheme="minorHAnsi"/>
        </w:rPr>
        <w:t xml:space="preserve"> [2017] NSWSC 1299, [258].  (Although this sentence was overturned on appeal in </w:t>
      </w:r>
      <w:r w:rsidRPr="007809F4">
        <w:rPr>
          <w:rFonts w:asciiTheme="minorHAnsi" w:hAnsiTheme="minorHAnsi" w:cstheme="minorHAnsi"/>
          <w:i/>
        </w:rPr>
        <w:t>Elomar v R</w:t>
      </w:r>
      <w:r w:rsidRPr="007809F4">
        <w:rPr>
          <w:rFonts w:asciiTheme="minorHAnsi" w:hAnsiTheme="minorHAnsi" w:cstheme="minorHAnsi"/>
        </w:rPr>
        <w:t xml:space="preserve"> [2018] NSWCCA 224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Elomar v R</w:instrText>
      </w:r>
      <w:r w:rsidRPr="007809F4">
        <w:rPr>
          <w:rFonts w:asciiTheme="minorHAnsi" w:hAnsiTheme="minorHAnsi" w:cstheme="minorHAnsi"/>
        </w:rPr>
        <w:instrText xml:space="preserve"> [2018] NSWCCA 224</w:instrText>
      </w:r>
      <w:r w:rsidRPr="00EB7F1E">
        <w:rPr>
          <w:rFonts w:asciiTheme="minorHAnsi" w:hAnsiTheme="minorHAnsi" w:cstheme="minorHAnsi"/>
        </w:rPr>
        <w:instrText xml:space="preserve">" \s "Elomar v R [2018] NSWCCA 224" \c 1 </w:instrText>
      </w:r>
      <w:r w:rsidRPr="00EB7F1E">
        <w:rPr>
          <w:rFonts w:asciiTheme="minorHAnsi" w:hAnsiTheme="minorHAnsi" w:cstheme="minorHAnsi"/>
        </w:rPr>
        <w:fldChar w:fldCharType="end"/>
      </w:r>
      <w:r w:rsidRPr="007809F4">
        <w:rPr>
          <w:rFonts w:asciiTheme="minorHAnsi" w:hAnsiTheme="minorHAnsi" w:cstheme="minorHAnsi"/>
        </w:rPr>
        <w:t>, the decision of the NSW CCA does not affect the validity of this observation.)  However the fact that a single offence is committed over a period of time and involves a number of discrete acts is relevant to assessing the seriousness of the offence: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_Ref495312103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4.4.1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_Ref495312106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Nature and circumstances of offence – s 16A(2)(a)</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20">
    <w:p w14:paraId="2AE6E214" w14:textId="28829FF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Copeland (No 2)</w:t>
      </w:r>
      <w:r w:rsidRPr="007809F4">
        <w:rPr>
          <w:rFonts w:asciiTheme="minorHAnsi" w:hAnsiTheme="minorHAnsi" w:cstheme="minorHAnsi"/>
        </w:rPr>
        <w:t xml:space="preserve"> (2010) 108 SASR 398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Copeland (No 2)</w:instrText>
      </w:r>
      <w:r w:rsidRPr="007809F4">
        <w:rPr>
          <w:rFonts w:asciiTheme="minorHAnsi" w:hAnsiTheme="minorHAnsi" w:cstheme="minorHAnsi"/>
        </w:rPr>
        <w:instrText xml:space="preserve"> (2010) 108 SASR 398</w:instrText>
      </w:r>
      <w:r w:rsidRPr="00EB7F1E">
        <w:rPr>
          <w:rFonts w:asciiTheme="minorHAnsi" w:hAnsiTheme="minorHAnsi" w:cstheme="minorHAnsi"/>
        </w:rPr>
        <w:instrText xml:space="preserve">" \s "R v Copeland (No 2) (2010) 108 SASR 398"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21">
    <w:p w14:paraId="767BE65D" w14:textId="68C18D0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E.g.</w:t>
      </w:r>
      <w:r w:rsidRPr="007809F4">
        <w:rPr>
          <w:rFonts w:asciiTheme="minorHAnsi" w:hAnsiTheme="minorHAnsi" w:cstheme="minorHAnsi"/>
          <w:i/>
        </w:rPr>
        <w:t xml:space="preserve"> </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Fitzgerald v R</w:instrText>
      </w:r>
      <w:r w:rsidRPr="007809F4">
        <w:rPr>
          <w:rFonts w:asciiTheme="minorHAnsi" w:hAnsiTheme="minorHAnsi" w:cstheme="minorHAnsi"/>
        </w:rPr>
        <w:instrText xml:space="preserve"> [2015] NSWCCA 266</w:instrText>
      </w:r>
      <w:r w:rsidRPr="00EB7F1E">
        <w:rPr>
          <w:rFonts w:asciiTheme="minorHAnsi" w:hAnsiTheme="minorHAnsi" w:cstheme="minorHAnsi"/>
        </w:rPr>
        <w:instrText xml:space="preserve">" \s "Fitzgerald v R [2015] NSWCCA 266" \c 1 </w:instrText>
      </w:r>
      <w:r w:rsidRPr="00EB7F1E">
        <w:rPr>
          <w:rFonts w:asciiTheme="minorHAnsi" w:hAnsiTheme="minorHAnsi" w:cstheme="minorHAnsi"/>
          <w:i/>
        </w:rPr>
        <w:fldChar w:fldCharType="end"/>
      </w:r>
      <w:r w:rsidRPr="007809F4">
        <w:rPr>
          <w:rFonts w:asciiTheme="minorHAnsi" w:hAnsiTheme="minorHAnsi" w:cstheme="minorHAnsi"/>
          <w:i/>
        </w:rPr>
        <w:t>Fitzgerald v R</w:t>
      </w:r>
      <w:r w:rsidRPr="007809F4">
        <w:rPr>
          <w:rFonts w:asciiTheme="minorHAnsi" w:hAnsiTheme="minorHAnsi" w:cstheme="minorHAnsi"/>
        </w:rPr>
        <w:t xml:space="preserve"> [2015] NSWCCA 266.</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22">
    <w:p w14:paraId="01560EBC" w14:textId="03CD0DC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Cs/>
        </w:rPr>
        <w:t xml:space="preserve">Australian Law Reform Commission, </w:t>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 [6.59]-[6.66].</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23">
    <w:p w14:paraId="7E091F3E" w14:textId="332D675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[91] (Kirby J, dissenting); </w:t>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xml:space="preserve">, [57] (Kirby J, dissenting); </w:t>
      </w:r>
      <w:r w:rsidRPr="007809F4">
        <w:rPr>
          <w:rFonts w:asciiTheme="minorHAnsi" w:hAnsiTheme="minorHAnsi" w:cstheme="minorHAnsi"/>
          <w:iCs/>
        </w:rPr>
        <w:t xml:space="preserve">Australian Law Reform Commission, </w:t>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 [6.65].</w:t>
      </w:r>
    </w:p>
  </w:footnote>
  <w:footnote w:id="224">
    <w:p w14:paraId="0BF36CE2" w14:textId="19CD4FA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Mill v R</w:t>
      </w:r>
      <w:r w:rsidRPr="007809F4">
        <w:rPr>
          <w:rFonts w:asciiTheme="minorHAnsi" w:hAnsiTheme="minorHAnsi" w:cstheme="minorHAnsi"/>
        </w:rPr>
        <w:t xml:space="preserve"> (1988) 166 CLR 59</w:t>
      </w:r>
      <w:r w:rsidRPr="00EB7F1E">
        <w:rPr>
          <w:rFonts w:asciiTheme="minorHAnsi" w:hAnsiTheme="minorHAnsi" w:cstheme="minorHAnsi"/>
        </w:rPr>
        <w:fldChar w:fldCharType="begin"/>
      </w:r>
      <w:r w:rsidRPr="007809F4">
        <w:rPr>
          <w:rFonts w:asciiTheme="minorHAnsi" w:hAnsiTheme="minorHAnsi" w:cstheme="minorHAnsi"/>
        </w:rPr>
        <w:instrText xml:space="preserve"> TA \s "Mill v R (1988) 166 CLR 59" </w:instrText>
      </w:r>
      <w:r w:rsidRPr="00EB7F1E">
        <w:rPr>
          <w:rFonts w:asciiTheme="minorHAnsi" w:hAnsiTheme="minorHAnsi" w:cstheme="minorHAnsi"/>
        </w:rPr>
        <w:fldChar w:fldCharType="end"/>
      </w:r>
      <w:r w:rsidRPr="007809F4">
        <w:rPr>
          <w:rFonts w:asciiTheme="minorHAnsi" w:hAnsiTheme="minorHAnsi" w:cstheme="minorHAnsi"/>
        </w:rPr>
        <w:t xml:space="preserve">, 63; </w:t>
      </w:r>
      <w:r w:rsidRPr="007809F4">
        <w:rPr>
          <w:rFonts w:asciiTheme="minorHAnsi" w:hAnsiTheme="minorHAnsi" w:cstheme="minorHAnsi"/>
          <w:i/>
        </w:rPr>
        <w:t>Postiglione v R</w:t>
      </w:r>
      <w:r w:rsidRPr="007809F4">
        <w:rPr>
          <w:rFonts w:asciiTheme="minorHAnsi" w:hAnsiTheme="minorHAnsi" w:cstheme="minorHAnsi"/>
        </w:rPr>
        <w:t xml:space="preserve"> (1997) 189 CLR 295</w:t>
      </w:r>
      <w:r w:rsidRPr="00EB7F1E">
        <w:rPr>
          <w:rFonts w:asciiTheme="minorHAnsi" w:hAnsiTheme="minorHAnsi" w:cstheme="minorHAnsi"/>
        </w:rPr>
        <w:fldChar w:fldCharType="begin"/>
      </w:r>
      <w:r w:rsidRPr="007809F4">
        <w:rPr>
          <w:rFonts w:asciiTheme="minorHAnsi" w:hAnsiTheme="minorHAnsi" w:cstheme="minorHAnsi"/>
        </w:rPr>
        <w:instrText xml:space="preserve"> TA \s "Postiglione v R (1997) 189 CLR 295" </w:instrText>
      </w:r>
      <w:r w:rsidRPr="00EB7F1E">
        <w:rPr>
          <w:rFonts w:asciiTheme="minorHAnsi" w:hAnsiTheme="minorHAnsi" w:cstheme="minorHAnsi"/>
        </w:rPr>
        <w:fldChar w:fldCharType="end"/>
      </w:r>
      <w:r w:rsidRPr="007809F4">
        <w:rPr>
          <w:rFonts w:asciiTheme="minorHAnsi" w:hAnsiTheme="minorHAnsi" w:cstheme="minorHAnsi"/>
        </w:rPr>
        <w:t xml:space="preserve">, 308; </w:t>
      </w:r>
      <w:r w:rsidRPr="007809F4">
        <w:rPr>
          <w:rFonts w:asciiTheme="minorHAnsi" w:hAnsiTheme="minorHAnsi" w:cstheme="minorHAnsi"/>
          <w:i/>
        </w:rPr>
        <w:t>Pearce v R</w:t>
      </w:r>
      <w:r w:rsidRPr="007809F4">
        <w:rPr>
          <w:rFonts w:asciiTheme="minorHAnsi" w:hAnsiTheme="minorHAnsi" w:cstheme="minorHAnsi"/>
        </w:rPr>
        <w:t xml:space="preserve"> (1998) 194 CLR 610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Pearce v R</w:instrText>
      </w:r>
      <w:r w:rsidRPr="007809F4">
        <w:rPr>
          <w:rFonts w:asciiTheme="minorHAnsi" w:hAnsiTheme="minorHAnsi" w:cstheme="minorHAnsi"/>
        </w:rPr>
        <w:instrText xml:space="preserve"> (1998) 194 CLR 610</w:instrText>
      </w:r>
      <w:r w:rsidRPr="00EB7F1E">
        <w:rPr>
          <w:rFonts w:asciiTheme="minorHAnsi" w:hAnsiTheme="minorHAnsi" w:cstheme="minorHAnsi"/>
        </w:rPr>
        <w:instrText xml:space="preserve">" \s "Pearce v R (1998) 194 CLR 610" \c 1 </w:instrText>
      </w:r>
      <w:r w:rsidRPr="00EB7F1E">
        <w:rPr>
          <w:rFonts w:asciiTheme="minorHAnsi" w:hAnsiTheme="minorHAnsi" w:cstheme="minorHAnsi"/>
        </w:rPr>
        <w:fldChar w:fldCharType="end"/>
      </w:r>
      <w:r w:rsidRPr="007809F4">
        <w:rPr>
          <w:rFonts w:asciiTheme="minorHAnsi" w:hAnsiTheme="minorHAnsi" w:cstheme="minorHAnsi"/>
        </w:rPr>
        <w:t xml:space="preserve">, 623.  Although the totality principle is not explicitly referred to in s 16A of the </w:t>
      </w:r>
      <w:r w:rsidRPr="007809F4">
        <w:rPr>
          <w:rFonts w:asciiTheme="minorHAnsi" w:hAnsiTheme="minorHAnsi" w:cstheme="minorHAnsi"/>
          <w:i/>
        </w:rPr>
        <w:t>Crimes Act 1914</w:t>
      </w:r>
      <w:r w:rsidRPr="007809F4">
        <w:rPr>
          <w:rFonts w:asciiTheme="minorHAnsi" w:hAnsiTheme="minorHAnsi" w:cstheme="minorHAnsi"/>
        </w:rPr>
        <w:t>, common law totality principles are applicable to the sentencing of a federal offender:</w:t>
      </w:r>
      <w:r w:rsidRPr="007809F4">
        <w:rPr>
          <w:rFonts w:asciiTheme="minorHAnsi" w:hAnsiTheme="minorHAnsi" w:cstheme="minorHAnsi"/>
          <w:i/>
        </w:rPr>
        <w:t xml:space="preserve"> 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The principle is also reflected in the requirement in s 16B to take into account other sentences not yet served: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_Ref494462019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4.3</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_Ref494462027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Other sentences not yet served – s 16B (totality principle)</w:t>
      </w:r>
      <w:r w:rsidRPr="00EB7F1E">
        <w:rPr>
          <w:rFonts w:asciiTheme="minorHAnsi" w:hAnsiTheme="minorHAnsi" w:cstheme="minorHAnsi"/>
        </w:rPr>
        <w:fldChar w:fldCharType="end"/>
      </w:r>
      <w:r w:rsidRPr="007809F4">
        <w:rPr>
          <w:rFonts w:asciiTheme="minorHAnsi" w:hAnsiTheme="minorHAnsi" w:cstheme="minorHAnsi"/>
        </w:rPr>
        <w:t>”.</w:t>
      </w:r>
    </w:p>
  </w:footnote>
  <w:footnote w:id="225">
    <w:p w14:paraId="2335091E" w14:textId="728611A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Baumer v R</w:t>
      </w:r>
      <w:r w:rsidRPr="007809F4">
        <w:rPr>
          <w:rFonts w:asciiTheme="minorHAnsi" w:hAnsiTheme="minorHAnsi" w:cstheme="minorHAnsi"/>
        </w:rPr>
        <w:t xml:space="preserve"> (1988) 166 CLR 51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Baumer v R</w:instrText>
      </w:r>
      <w:r w:rsidRPr="007809F4">
        <w:rPr>
          <w:rFonts w:asciiTheme="minorHAnsi" w:hAnsiTheme="minorHAnsi" w:cstheme="minorHAnsi"/>
        </w:rPr>
        <w:instrText xml:space="preserve"> (1988) 166 CLR 51</w:instrText>
      </w:r>
      <w:r w:rsidRPr="00EB7F1E">
        <w:rPr>
          <w:rFonts w:asciiTheme="minorHAnsi" w:hAnsiTheme="minorHAnsi" w:cstheme="minorHAnsi"/>
        </w:rPr>
        <w:instrText xml:space="preserve">" \s "Baumer v R (1988) 166 CLR 51"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226">
    <w:p w14:paraId="2B28362C" w14:textId="595510B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eastAsiaTheme="minorHAnsi" w:hAnsiTheme="minorHAnsi" w:cstheme="minorHAnsi"/>
          <w:i/>
        </w:rPr>
        <w:t>Kovacevic v Mills</w:t>
      </w:r>
      <w:r w:rsidRPr="007809F4">
        <w:rPr>
          <w:rFonts w:asciiTheme="minorHAnsi" w:eastAsiaTheme="minorHAnsi" w:hAnsiTheme="minorHAnsi" w:cstheme="minorHAnsi"/>
        </w:rPr>
        <w:t xml:space="preserve"> (2000) 76 SASR 404</w:t>
      </w:r>
      <w:r w:rsidRPr="00EB7F1E">
        <w:rPr>
          <w:rFonts w:asciiTheme="minorHAnsi" w:eastAsiaTheme="minorHAnsi" w:hAnsiTheme="minorHAnsi" w:cstheme="minorHAnsi"/>
        </w:rPr>
        <w:fldChar w:fldCharType="begin"/>
      </w:r>
      <w:r w:rsidRPr="007809F4">
        <w:rPr>
          <w:rFonts w:asciiTheme="minorHAnsi" w:eastAsiaTheme="minorHAnsi" w:hAnsiTheme="minorHAnsi" w:cstheme="minorHAnsi"/>
        </w:rPr>
        <w:instrText xml:space="preserve"> TA \s "Kovacevic v Mills (2000) 76 SASR 404" </w:instrText>
      </w:r>
      <w:r w:rsidRPr="00EB7F1E">
        <w:rPr>
          <w:rFonts w:asciiTheme="minorHAnsi" w:eastAsiaTheme="minorHAnsi" w:hAnsiTheme="minorHAnsi" w:cstheme="minorHAnsi"/>
        </w:rPr>
        <w:fldChar w:fldCharType="end"/>
      </w:r>
      <w:r w:rsidRPr="007809F4">
        <w:rPr>
          <w:rFonts w:asciiTheme="minorHAnsi" w:eastAsiaTheme="minorHAnsi" w:hAnsiTheme="minorHAnsi" w:cstheme="minorHAnsi"/>
        </w:rPr>
        <w:t xml:space="preserve">, [37]; </w:t>
      </w:r>
      <w:r w:rsidRPr="007809F4">
        <w:rPr>
          <w:rFonts w:asciiTheme="minorHAnsi" w:hAnsiTheme="minorHAnsi" w:cstheme="minorHAnsi"/>
          <w:i/>
        </w:rPr>
        <w:t>R v Host</w:t>
      </w:r>
      <w:r w:rsidRPr="007809F4">
        <w:rPr>
          <w:rFonts w:asciiTheme="minorHAnsi" w:hAnsiTheme="minorHAnsi" w:cstheme="minorHAnsi"/>
        </w:rPr>
        <w:t xml:space="preserve"> [2015] WASCA 23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Host</w:instrText>
      </w:r>
      <w:r w:rsidRPr="007809F4">
        <w:rPr>
          <w:rFonts w:asciiTheme="minorHAnsi" w:hAnsiTheme="minorHAnsi" w:cstheme="minorHAnsi"/>
        </w:rPr>
        <w:instrText xml:space="preserve"> [2015] WASCA 23</w:instrText>
      </w:r>
      <w:r w:rsidRPr="00EB7F1E">
        <w:rPr>
          <w:rFonts w:asciiTheme="minorHAnsi" w:hAnsiTheme="minorHAnsi" w:cstheme="minorHAnsi"/>
        </w:rPr>
        <w:instrText xml:space="preserve">" \s "R v Host [2015] WASCA 23" \c 1 </w:instrText>
      </w:r>
      <w:r w:rsidRPr="00EB7F1E">
        <w:rPr>
          <w:rFonts w:asciiTheme="minorHAnsi" w:hAnsiTheme="minorHAnsi" w:cstheme="minorHAnsi"/>
        </w:rPr>
        <w:fldChar w:fldCharType="end"/>
      </w:r>
      <w:r w:rsidRPr="007809F4">
        <w:rPr>
          <w:rFonts w:asciiTheme="minorHAnsi" w:hAnsiTheme="minorHAnsi" w:cstheme="minorHAnsi"/>
        </w:rPr>
        <w:t xml:space="preserve">, [145](c); </w:t>
      </w:r>
      <w:r w:rsidRPr="007809F4">
        <w:rPr>
          <w:rFonts w:asciiTheme="minorHAnsi" w:hAnsiTheme="minorHAnsi" w:cstheme="minorHAnsi"/>
          <w:i/>
        </w:rPr>
        <w:t>Ngo v R</w:t>
      </w:r>
      <w:r w:rsidRPr="007809F4">
        <w:rPr>
          <w:rFonts w:asciiTheme="minorHAnsi" w:hAnsiTheme="minorHAnsi" w:cstheme="minorHAnsi"/>
        </w:rPr>
        <w:t xml:space="preserve"> [2017] WASCA 3</w:t>
      </w:r>
      <w:r w:rsidRPr="00EB7F1E">
        <w:rPr>
          <w:rFonts w:asciiTheme="minorHAnsi" w:hAnsiTheme="minorHAnsi" w:cstheme="minorHAnsi"/>
        </w:rPr>
        <w:fldChar w:fldCharType="begin"/>
      </w:r>
      <w:r w:rsidRPr="007809F4">
        <w:rPr>
          <w:rFonts w:asciiTheme="minorHAnsi" w:hAnsiTheme="minorHAnsi" w:cstheme="minorHAnsi"/>
        </w:rPr>
        <w:instrText xml:space="preserve"> TA \s "Ngo v R [2017] WASCA 3" </w:instrText>
      </w:r>
      <w:r w:rsidRPr="00EB7F1E">
        <w:rPr>
          <w:rFonts w:asciiTheme="minorHAnsi" w:hAnsiTheme="minorHAnsi" w:cstheme="minorHAnsi"/>
        </w:rPr>
        <w:fldChar w:fldCharType="end"/>
      </w:r>
      <w:r w:rsidRPr="007809F4">
        <w:rPr>
          <w:rFonts w:asciiTheme="minorHAnsi" w:hAnsiTheme="minorHAnsi" w:cstheme="minorHAnsi"/>
        </w:rPr>
        <w:t>, [63](c).</w:t>
      </w:r>
    </w:p>
  </w:footnote>
  <w:footnote w:id="227">
    <w:p w14:paraId="114DF0D9" w14:textId="6122C7B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Ngo v R</w:t>
      </w:r>
      <w:r w:rsidRPr="007809F4">
        <w:rPr>
          <w:rFonts w:asciiTheme="minorHAnsi" w:hAnsiTheme="minorHAnsi" w:cstheme="minorHAnsi"/>
        </w:rPr>
        <w:t xml:space="preserve"> [2017] WASCA 3</w:t>
      </w:r>
      <w:r w:rsidRPr="00EB7F1E">
        <w:rPr>
          <w:rFonts w:asciiTheme="minorHAnsi" w:hAnsiTheme="minorHAnsi" w:cstheme="minorHAnsi"/>
        </w:rPr>
        <w:fldChar w:fldCharType="begin"/>
      </w:r>
      <w:r w:rsidRPr="007809F4">
        <w:rPr>
          <w:rFonts w:asciiTheme="minorHAnsi" w:hAnsiTheme="minorHAnsi" w:cstheme="minorHAnsi"/>
        </w:rPr>
        <w:instrText xml:space="preserve"> TA \s "Ngo v R [2017] WASCA 3" </w:instrText>
      </w:r>
      <w:r w:rsidRPr="00EB7F1E">
        <w:rPr>
          <w:rFonts w:asciiTheme="minorHAnsi" w:hAnsiTheme="minorHAnsi" w:cstheme="minorHAnsi"/>
        </w:rPr>
        <w:fldChar w:fldCharType="end"/>
      </w:r>
      <w:r w:rsidRPr="007809F4">
        <w:rPr>
          <w:rFonts w:asciiTheme="minorHAnsi" w:hAnsiTheme="minorHAnsi" w:cstheme="minorHAnsi"/>
        </w:rPr>
        <w:t>, [63](a).</w:t>
      </w:r>
    </w:p>
  </w:footnote>
  <w:footnote w:id="228">
    <w:p w14:paraId="4DBE4A8A" w14:textId="0DE85D9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xml:space="preserve">, [25]-[29]. It is sometimes said that over the course of a period of offending, the offender ceased to be a person of good character, but was merely a criminal who had not yet been caught: cf. </w:t>
      </w:r>
      <w:r w:rsidRPr="007809F4">
        <w:rPr>
          <w:rFonts w:asciiTheme="minorHAnsi" w:hAnsiTheme="minorHAnsi" w:cstheme="minorHAnsi"/>
          <w:i/>
        </w:rPr>
        <w:t>R v Ruggiero</w:t>
      </w:r>
      <w:r w:rsidRPr="007809F4">
        <w:rPr>
          <w:rFonts w:asciiTheme="minorHAnsi" w:hAnsiTheme="minorHAnsi" w:cstheme="minorHAnsi"/>
        </w:rPr>
        <w:t xml:space="preserve"> (1998) 104 A Crim R 358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Ruggiero</w:instrText>
      </w:r>
      <w:r w:rsidRPr="007809F4">
        <w:rPr>
          <w:rFonts w:asciiTheme="minorHAnsi" w:hAnsiTheme="minorHAnsi" w:cstheme="minorHAnsi"/>
        </w:rPr>
        <w:instrText xml:space="preserve"> (1998) 104 A Crim R 358</w:instrText>
      </w:r>
      <w:r w:rsidRPr="00EB7F1E">
        <w:rPr>
          <w:rFonts w:asciiTheme="minorHAnsi" w:hAnsiTheme="minorHAnsi" w:cstheme="minorHAnsi"/>
        </w:rPr>
        <w:instrText xml:space="preserve">" \s "R v Ruggiero (1998) 104 A Crim R 358" \c 1 </w:instrText>
      </w:r>
      <w:r w:rsidRPr="00EB7F1E">
        <w:rPr>
          <w:rFonts w:asciiTheme="minorHAnsi" w:hAnsiTheme="minorHAnsi" w:cstheme="minorHAnsi"/>
        </w:rPr>
        <w:fldChar w:fldCharType="end"/>
      </w:r>
      <w:r w:rsidRPr="007809F4">
        <w:rPr>
          <w:rFonts w:asciiTheme="minorHAnsi" w:hAnsiTheme="minorHAnsi" w:cstheme="minorHAnsi"/>
        </w:rPr>
        <w:t xml:space="preserve">, 364; </w:t>
      </w:r>
      <w:r w:rsidRPr="007809F4">
        <w:rPr>
          <w:rFonts w:asciiTheme="minorHAnsi" w:hAnsiTheme="minorHAnsi" w:cstheme="minorHAnsi"/>
          <w:i/>
        </w:rPr>
        <w:t xml:space="preserve">R v Schneider </w:t>
      </w:r>
      <w:r w:rsidRPr="007809F4">
        <w:rPr>
          <w:rFonts w:asciiTheme="minorHAnsi" w:hAnsiTheme="minorHAnsi" w:cstheme="minorHAnsi"/>
        </w:rPr>
        <w:t>(1988) 37 A Crim R 395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Schneider </w:instrText>
      </w:r>
      <w:r w:rsidRPr="007809F4">
        <w:rPr>
          <w:rFonts w:asciiTheme="minorHAnsi" w:hAnsiTheme="minorHAnsi" w:cstheme="minorHAnsi"/>
        </w:rPr>
        <w:instrText>(1988) 37 A Crim R 395</w:instrText>
      </w:r>
      <w:r w:rsidRPr="00EB7F1E">
        <w:rPr>
          <w:rFonts w:asciiTheme="minorHAnsi" w:hAnsiTheme="minorHAnsi" w:cstheme="minorHAnsi"/>
        </w:rPr>
        <w:instrText xml:space="preserve">" \s "R v Schneider (1988) 37 A Crim R 395" \c 1 </w:instrText>
      </w:r>
      <w:r w:rsidRPr="00EB7F1E">
        <w:rPr>
          <w:rFonts w:asciiTheme="minorHAnsi" w:hAnsiTheme="minorHAnsi" w:cstheme="minorHAnsi"/>
        </w:rPr>
        <w:fldChar w:fldCharType="end"/>
      </w:r>
      <w:r w:rsidRPr="007809F4">
        <w:rPr>
          <w:rFonts w:asciiTheme="minorHAnsi" w:hAnsiTheme="minorHAnsi" w:cstheme="minorHAnsi"/>
        </w:rPr>
        <w:t>, 397.</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229">
    <w:p w14:paraId="6651D0BF" w14:textId="6440A8B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[112], [122]</w:t>
      </w:r>
      <w:r w:rsidRPr="007809F4">
        <w:rPr>
          <w:rFonts w:asciiTheme="minorHAnsi" w:hAnsiTheme="minorHAnsi" w:cstheme="minorHAnsi"/>
          <w:iCs/>
        </w:rPr>
        <w:t>.</w:t>
      </w:r>
    </w:p>
  </w:footnote>
  <w:footnote w:id="230">
    <w:p w14:paraId="6AD4E4AD" w14:textId="4C95347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[57]</w:t>
      </w:r>
      <w:r w:rsidRPr="007809F4">
        <w:rPr>
          <w:rFonts w:asciiTheme="minorHAnsi" w:hAnsiTheme="minorHAnsi" w:cstheme="minorHAnsi"/>
          <w:iCs/>
        </w:rPr>
        <w:t>.</w:t>
      </w:r>
    </w:p>
  </w:footnote>
  <w:footnote w:id="231">
    <w:p w14:paraId="3BAE9CAC" w14:textId="1553585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conceptual basis for representative charges is described by Batt JA in </w:t>
      </w:r>
      <w:r w:rsidRPr="007809F4">
        <w:rPr>
          <w:rFonts w:asciiTheme="minorHAnsi" w:hAnsiTheme="minorHAnsi" w:cstheme="minorHAnsi"/>
          <w:i/>
        </w:rPr>
        <w:t>R v SBL</w:t>
      </w:r>
      <w:r w:rsidRPr="007809F4">
        <w:rPr>
          <w:rFonts w:asciiTheme="minorHAnsi" w:hAnsiTheme="minorHAnsi" w:cstheme="minorHAnsi"/>
        </w:rPr>
        <w:t xml:space="preserve"> [1999] 1 VR 706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SBL</w:instrText>
      </w:r>
      <w:r w:rsidRPr="007809F4">
        <w:rPr>
          <w:rFonts w:asciiTheme="minorHAnsi" w:hAnsiTheme="minorHAnsi" w:cstheme="minorHAnsi"/>
        </w:rPr>
        <w:instrText xml:space="preserve"> [1999] 1 VR 706</w:instrText>
      </w:r>
      <w:r w:rsidRPr="00EB7F1E">
        <w:rPr>
          <w:rFonts w:asciiTheme="minorHAnsi" w:hAnsiTheme="minorHAnsi" w:cstheme="minorHAnsi"/>
        </w:rPr>
        <w:instrText xml:space="preserve">" \s "R v SBL [1999] 1 VR 706" \c 1 </w:instrText>
      </w:r>
      <w:r w:rsidRPr="00EB7F1E">
        <w:rPr>
          <w:rFonts w:asciiTheme="minorHAnsi" w:hAnsiTheme="minorHAnsi" w:cstheme="minorHAnsi"/>
        </w:rPr>
        <w:fldChar w:fldCharType="end"/>
      </w:r>
      <w:r w:rsidRPr="007809F4">
        <w:rPr>
          <w:rFonts w:asciiTheme="minorHAnsi" w:hAnsiTheme="minorHAnsi" w:cstheme="minorHAnsi"/>
        </w:rPr>
        <w:t>, 725-6</w:t>
      </w:r>
      <w:r w:rsidRPr="007809F4">
        <w:rPr>
          <w:rFonts w:asciiTheme="minorHAnsi" w:hAnsiTheme="minorHAnsi" w:cstheme="minorHAnsi"/>
          <w:bCs/>
          <w:iCs/>
        </w:rPr>
        <w:t>.</w:t>
      </w:r>
    </w:p>
  </w:footnote>
  <w:footnote w:id="232">
    <w:p w14:paraId="5C6154DC" w14:textId="24B669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An example is </w:t>
      </w:r>
      <w:r w:rsidRPr="007809F4">
        <w:rPr>
          <w:rFonts w:asciiTheme="minorHAnsi" w:hAnsiTheme="minorHAnsi" w:cstheme="minorHAnsi"/>
          <w:bCs/>
          <w:i/>
          <w:iCs/>
        </w:rPr>
        <w:t>DPP v Chatterton</w:t>
      </w:r>
      <w:r w:rsidRPr="007809F4">
        <w:rPr>
          <w:rFonts w:asciiTheme="minorHAnsi" w:hAnsiTheme="minorHAnsi" w:cstheme="minorHAnsi"/>
          <w:bCs/>
          <w:iCs/>
        </w:rPr>
        <w:t xml:space="preserve"> [2014] VSCA 1</w:t>
      </w:r>
      <w:r w:rsidRPr="00EB7F1E">
        <w:rPr>
          <w:rFonts w:asciiTheme="minorHAnsi" w:hAnsiTheme="minorHAnsi" w:cstheme="minorHAnsi"/>
          <w:bCs/>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bCs/>
          <w:i/>
          <w:iCs/>
        </w:rPr>
        <w:instrText>DPP v Chatterton</w:instrText>
      </w:r>
      <w:r w:rsidRPr="007809F4">
        <w:rPr>
          <w:rFonts w:asciiTheme="minorHAnsi" w:hAnsiTheme="minorHAnsi" w:cstheme="minorHAnsi"/>
          <w:bCs/>
          <w:iCs/>
        </w:rPr>
        <w:instrText xml:space="preserve"> [2014] VSCA 1</w:instrText>
      </w:r>
      <w:r w:rsidRPr="00EB7F1E">
        <w:rPr>
          <w:rFonts w:asciiTheme="minorHAnsi" w:hAnsiTheme="minorHAnsi" w:cstheme="minorHAnsi"/>
        </w:rPr>
        <w:instrText xml:space="preserve">" \s "DPP v Chatterton [2014] VSCA 1" \c 1 </w:instrText>
      </w:r>
      <w:r w:rsidRPr="00EB7F1E">
        <w:rPr>
          <w:rFonts w:asciiTheme="minorHAnsi" w:hAnsiTheme="minorHAnsi" w:cstheme="minorHAnsi"/>
          <w:bCs/>
          <w:iCs/>
        </w:rPr>
        <w:fldChar w:fldCharType="end"/>
      </w:r>
      <w:r w:rsidRPr="007809F4">
        <w:rPr>
          <w:rFonts w:asciiTheme="minorHAnsi" w:hAnsiTheme="minorHAnsi" w:cstheme="minorHAnsi"/>
          <w:bCs/>
          <w:iCs/>
        </w:rPr>
        <w:t>.</w:t>
      </w:r>
    </w:p>
  </w:footnote>
  <w:footnote w:id="233">
    <w:p w14:paraId="12E74B75" w14:textId="2CA7AF4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Cs/>
        </w:rPr>
        <w:t xml:space="preserve">Australian Law Reform Commission, </w:t>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 [6.66].</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34">
    <w:p w14:paraId="4A5A9CB2" w14:textId="0F0E846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Nahlous</w:t>
      </w:r>
      <w:r w:rsidRPr="007809F4">
        <w:rPr>
          <w:rFonts w:asciiTheme="minorHAnsi" w:hAnsiTheme="minorHAnsi" w:cstheme="minorHAnsi"/>
        </w:rPr>
        <w:t xml:space="preserve"> [2013] NSWCCA 90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Nahlous</w:instrText>
      </w:r>
      <w:r w:rsidRPr="007809F4">
        <w:rPr>
          <w:rFonts w:asciiTheme="minorHAnsi" w:hAnsiTheme="minorHAnsi" w:cstheme="minorHAnsi"/>
        </w:rPr>
        <w:instrText xml:space="preserve"> [2013] NSWCCA 90" \s "R v Nahlous [2013] NSWCCA 90"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Nahlous 228 A Crim R 503" </w:instrText>
      </w:r>
      <w:r w:rsidRPr="00EB7F1E">
        <w:rPr>
          <w:rFonts w:asciiTheme="minorHAnsi" w:hAnsiTheme="minorHAnsi" w:cstheme="minorHAnsi"/>
        </w:rPr>
        <w:fldChar w:fldCharType="end"/>
      </w:r>
    </w:p>
  </w:footnote>
  <w:footnote w:id="235">
    <w:p w14:paraId="67BC4AA4" w14:textId="1CC2A27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DPP (Cth) v Boyles (a pseudonym) </w:t>
      </w:r>
      <w:r w:rsidRPr="007809F4">
        <w:rPr>
          <w:rFonts w:asciiTheme="minorHAnsi" w:hAnsiTheme="minorHAnsi" w:cstheme="minorHAnsi"/>
        </w:rPr>
        <w:t>[2016] VSCA 267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DPP (Cth) v Boyles (a pseudonym) </w:instrText>
      </w:r>
      <w:r w:rsidRPr="007809F4">
        <w:rPr>
          <w:rFonts w:asciiTheme="minorHAnsi" w:hAnsiTheme="minorHAnsi" w:cstheme="minorHAnsi"/>
        </w:rPr>
        <w:instrText>[2016] VSCA 267</w:instrText>
      </w:r>
      <w:r w:rsidRPr="00EB7F1E">
        <w:rPr>
          <w:rFonts w:asciiTheme="minorHAnsi" w:hAnsiTheme="minorHAnsi" w:cstheme="minorHAnsi"/>
        </w:rPr>
        <w:instrText xml:space="preserve">" \s "DPP (Cth) v Boyles (a pseudonym) [2016] VSCA 267" \c 1 </w:instrText>
      </w:r>
      <w:r w:rsidRPr="00EB7F1E">
        <w:rPr>
          <w:rFonts w:asciiTheme="minorHAnsi" w:hAnsiTheme="minorHAnsi" w:cstheme="minorHAnsi"/>
        </w:rPr>
        <w:fldChar w:fldCharType="end"/>
      </w:r>
      <w:r w:rsidRPr="007809F4">
        <w:rPr>
          <w:rFonts w:asciiTheme="minorHAnsi" w:hAnsiTheme="minorHAnsi" w:cstheme="minorHAnsi"/>
        </w:rPr>
        <w:t xml:space="preserve">, [55], [94].  </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36">
    <w:p w14:paraId="1BAA82E1" w14:textId="4194B5F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Kamay v R</w:t>
      </w:r>
      <w:r w:rsidRPr="007809F4">
        <w:rPr>
          <w:rFonts w:asciiTheme="minorHAnsi" w:hAnsiTheme="minorHAnsi" w:cstheme="minorHAnsi"/>
        </w:rPr>
        <w:t xml:space="preserve"> (2015) 47 VR 475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Kamay v R</w:instrText>
      </w:r>
      <w:r w:rsidRPr="007809F4">
        <w:rPr>
          <w:rFonts w:asciiTheme="minorHAnsi" w:hAnsiTheme="minorHAnsi" w:cstheme="minorHAnsi"/>
        </w:rPr>
        <w:instrText xml:space="preserve"> (2015) 47 VR 475</w:instrText>
      </w:r>
      <w:r w:rsidRPr="00EB7F1E">
        <w:rPr>
          <w:rFonts w:asciiTheme="minorHAnsi" w:hAnsiTheme="minorHAnsi" w:cstheme="minorHAnsi"/>
        </w:rPr>
        <w:instrText xml:space="preserve">" \s "Kamay v R (2015) 47 VR 475" \c 1 </w:instrText>
      </w:r>
      <w:r w:rsidRPr="00EB7F1E">
        <w:rPr>
          <w:rFonts w:asciiTheme="minorHAnsi" w:hAnsiTheme="minorHAnsi" w:cstheme="minorHAnsi"/>
        </w:rPr>
        <w:fldChar w:fldCharType="end"/>
      </w:r>
      <w:r w:rsidRPr="007809F4">
        <w:rPr>
          <w:rFonts w:asciiTheme="minorHAnsi" w:hAnsiTheme="minorHAnsi" w:cstheme="minorHAnsi"/>
        </w:rPr>
        <w:t>, [46]-[52].</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37">
    <w:p w14:paraId="143B7390" w14:textId="00D83AA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Alimic</w:t>
      </w:r>
      <w:r w:rsidRPr="007809F4">
        <w:rPr>
          <w:rFonts w:asciiTheme="minorHAnsi" w:hAnsiTheme="minorHAnsi" w:cstheme="minorHAnsi"/>
        </w:rPr>
        <w:t xml:space="preserve"> [2006] VSCA 273</w:t>
      </w:r>
      <w:r w:rsidRPr="00EB7F1E">
        <w:rPr>
          <w:rFonts w:asciiTheme="minorHAnsi" w:hAnsiTheme="minorHAnsi" w:cstheme="minorHAnsi"/>
        </w:rPr>
        <w:fldChar w:fldCharType="begin"/>
      </w:r>
      <w:r w:rsidRPr="00EB7F1E">
        <w:rPr>
          <w:rFonts w:asciiTheme="minorHAnsi" w:hAnsiTheme="minorHAnsi" w:cstheme="minorHAnsi"/>
        </w:rPr>
        <w:instrText xml:space="preserve"> TA \s "R v Alimic [2006] VSCA 273" </w:instrText>
      </w:r>
      <w:r w:rsidRPr="00EB7F1E">
        <w:rPr>
          <w:rFonts w:asciiTheme="minorHAnsi" w:hAnsiTheme="minorHAnsi" w:cstheme="minorHAnsi"/>
        </w:rPr>
        <w:fldChar w:fldCharType="end"/>
      </w:r>
      <w:r w:rsidRPr="007809F4">
        <w:rPr>
          <w:rFonts w:asciiTheme="minorHAnsi" w:hAnsiTheme="minorHAnsi" w:cstheme="minorHAnsi"/>
        </w:rPr>
        <w:t xml:space="preserve">, [10]; </w:t>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xml:space="preserve">, [145](e).  Offences against the revenue are not victimless crimes; everybody suffers: </w:t>
      </w:r>
      <w:r w:rsidRPr="007809F4">
        <w:rPr>
          <w:rFonts w:asciiTheme="minorHAnsi" w:hAnsiTheme="minorHAnsi" w:cstheme="minorHAnsi"/>
          <w:i/>
        </w:rPr>
        <w:t>DPP (Cth) v Milne</w:t>
      </w:r>
      <w:r w:rsidRPr="007809F4">
        <w:rPr>
          <w:rFonts w:asciiTheme="minorHAnsi" w:hAnsiTheme="minorHAnsi" w:cstheme="minorHAnsi"/>
        </w:rPr>
        <w:t xml:space="preserve"> [2001] VSCA 93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Milne</w:instrText>
      </w:r>
      <w:r w:rsidRPr="007809F4">
        <w:rPr>
          <w:rFonts w:asciiTheme="minorHAnsi" w:hAnsiTheme="minorHAnsi" w:cstheme="minorHAnsi"/>
        </w:rPr>
        <w:instrText xml:space="preserve"> [2001] VSCA 93</w:instrText>
      </w:r>
      <w:r w:rsidRPr="00EB7F1E">
        <w:rPr>
          <w:rFonts w:asciiTheme="minorHAnsi" w:hAnsiTheme="minorHAnsi" w:cstheme="minorHAnsi"/>
        </w:rPr>
        <w:instrText xml:space="preserve">" \s "DPP (Cth) v Milne [2001] VSCA 93" \c 1 </w:instrText>
      </w:r>
      <w:r w:rsidRPr="00EB7F1E">
        <w:rPr>
          <w:rFonts w:asciiTheme="minorHAnsi" w:hAnsiTheme="minorHAnsi" w:cstheme="minorHAnsi"/>
        </w:rPr>
        <w:fldChar w:fldCharType="end"/>
      </w:r>
      <w:r w:rsidRPr="007809F4">
        <w:rPr>
          <w:rFonts w:asciiTheme="minorHAnsi" w:hAnsiTheme="minorHAnsi" w:cstheme="minorHAnsi"/>
        </w:rPr>
        <w:t xml:space="preserve">, [12]; </w:t>
      </w:r>
      <w:r w:rsidRPr="007809F4">
        <w:rPr>
          <w:rFonts w:asciiTheme="minorHAnsi" w:hAnsiTheme="minorHAnsi" w:cstheme="minorHAnsi"/>
          <w:i/>
        </w:rPr>
        <w:t>Aitchison v R</w:t>
      </w:r>
      <w:r w:rsidRPr="007809F4">
        <w:rPr>
          <w:rFonts w:asciiTheme="minorHAnsi" w:hAnsiTheme="minorHAnsi" w:cstheme="minorHAnsi"/>
        </w:rPr>
        <w:t xml:space="preserve"> [2015] VSCA 348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Aitchison v R</w:instrText>
      </w:r>
      <w:r w:rsidRPr="007809F4">
        <w:rPr>
          <w:rFonts w:asciiTheme="minorHAnsi" w:hAnsiTheme="minorHAnsi" w:cstheme="minorHAnsi"/>
        </w:rPr>
        <w:instrText xml:space="preserve"> [2015] VSCA 348</w:instrText>
      </w:r>
      <w:r w:rsidRPr="00EB7F1E">
        <w:rPr>
          <w:rFonts w:asciiTheme="minorHAnsi" w:hAnsiTheme="minorHAnsi" w:cstheme="minorHAnsi"/>
        </w:rPr>
        <w:instrText xml:space="preserve">" \s "Aitchison v R [2015] VSCA 348" \c 1 </w:instrText>
      </w:r>
      <w:r w:rsidRPr="00EB7F1E">
        <w:rPr>
          <w:rFonts w:asciiTheme="minorHAnsi" w:hAnsiTheme="minorHAnsi" w:cstheme="minorHAnsi"/>
        </w:rPr>
        <w:fldChar w:fldCharType="end"/>
      </w:r>
      <w:r w:rsidRPr="007809F4">
        <w:rPr>
          <w:rFonts w:asciiTheme="minorHAnsi" w:hAnsiTheme="minorHAnsi" w:cstheme="minorHAnsi"/>
        </w:rPr>
        <w:t>, [79].</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38">
    <w:p w14:paraId="43530224" w14:textId="7BD7E08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DPP (Cth) v Nippon Yusen Kabushiki Kaisha</w:t>
      </w:r>
      <w:r w:rsidRPr="007809F4">
        <w:rPr>
          <w:rFonts w:asciiTheme="minorHAnsi" w:hAnsiTheme="minorHAnsi" w:cstheme="minorHAnsi"/>
        </w:rPr>
        <w:t xml:space="preserve"> (2017) 254 FCR 235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Nippon Yusen Kabushiki Kaisha</w:instrText>
      </w:r>
      <w:r w:rsidRPr="007809F4">
        <w:rPr>
          <w:rFonts w:asciiTheme="minorHAnsi" w:hAnsiTheme="minorHAnsi" w:cstheme="minorHAnsi"/>
        </w:rPr>
        <w:instrText xml:space="preserve"> (2017) 254 FCR 235</w:instrText>
      </w:r>
      <w:r w:rsidRPr="00EB7F1E">
        <w:rPr>
          <w:rFonts w:asciiTheme="minorHAnsi" w:hAnsiTheme="minorHAnsi" w:cstheme="minorHAnsi"/>
        </w:rPr>
        <w:instrText xml:space="preserve">" \s "DPP (Cth) v Nippon Yusen Kabushiki Kaisha (2017) 254 FCR 235" \c 1 </w:instrText>
      </w:r>
      <w:r w:rsidRPr="00EB7F1E">
        <w:rPr>
          <w:rFonts w:asciiTheme="minorHAnsi" w:hAnsiTheme="minorHAnsi" w:cstheme="minorHAnsi"/>
        </w:rPr>
        <w:fldChar w:fldCharType="end"/>
      </w:r>
      <w:r w:rsidRPr="007809F4">
        <w:rPr>
          <w:rFonts w:asciiTheme="minorHAnsi" w:hAnsiTheme="minorHAnsi" w:cstheme="minorHAnsi"/>
        </w:rPr>
        <w:t>, [250]-[252], [298], [300].</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39">
    <w:p w14:paraId="337B00DF" w14:textId="1F61617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Curtis (No 3)</w:t>
      </w:r>
      <w:r w:rsidRPr="007809F4">
        <w:rPr>
          <w:rFonts w:asciiTheme="minorHAnsi" w:hAnsiTheme="minorHAnsi" w:cstheme="minorHAnsi"/>
        </w:rPr>
        <w:t xml:space="preserve"> [2016] NSWSC 866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Curtis (No 3)</w:instrText>
      </w:r>
      <w:r w:rsidRPr="007809F4">
        <w:rPr>
          <w:rFonts w:asciiTheme="minorHAnsi" w:hAnsiTheme="minorHAnsi" w:cstheme="minorHAnsi"/>
        </w:rPr>
        <w:instrText xml:space="preserve"> [2016] NSWSC 866</w:instrText>
      </w:r>
      <w:r w:rsidRPr="00EB7F1E">
        <w:rPr>
          <w:rFonts w:asciiTheme="minorHAnsi" w:hAnsiTheme="minorHAnsi" w:cstheme="minorHAnsi"/>
        </w:rPr>
        <w:instrText xml:space="preserve">" \s "R v Curtis (No 3) [2016] NSWSC 866" \c 1 </w:instrText>
      </w:r>
      <w:r w:rsidRPr="00EB7F1E">
        <w:rPr>
          <w:rFonts w:asciiTheme="minorHAnsi" w:hAnsiTheme="minorHAnsi" w:cstheme="minorHAnsi"/>
        </w:rPr>
        <w:fldChar w:fldCharType="end"/>
      </w:r>
      <w:r w:rsidRPr="007809F4">
        <w:rPr>
          <w:rFonts w:asciiTheme="minorHAnsi" w:hAnsiTheme="minorHAnsi" w:cstheme="minorHAnsi"/>
        </w:rPr>
        <w:t>, [24].</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40">
    <w:p w14:paraId="34055C23" w14:textId="3EBDABE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EB7F1E">
        <w:rPr>
          <w:rFonts w:asciiTheme="minorHAnsi" w:hAnsiTheme="minorHAnsi" w:cstheme="minorHAnsi"/>
          <w:i/>
        </w:rPr>
        <w:t>Elomar v R</w:t>
      </w:r>
      <w:r w:rsidRPr="00EB7F1E">
        <w:rPr>
          <w:rFonts w:asciiTheme="minorHAnsi" w:hAnsiTheme="minorHAnsi" w:cstheme="minorHAnsi"/>
        </w:rPr>
        <w:t xml:space="preserve"> [2018] NSWCCA 224</w:t>
      </w:r>
      <w:r w:rsidRPr="00EB7F1E">
        <w:rPr>
          <w:rFonts w:asciiTheme="minorHAnsi" w:hAnsiTheme="minorHAnsi" w:cstheme="minorHAnsi"/>
        </w:rPr>
        <w:fldChar w:fldCharType="begin"/>
      </w:r>
      <w:r w:rsidRPr="007809F4">
        <w:rPr>
          <w:rFonts w:asciiTheme="minorHAnsi" w:hAnsiTheme="minorHAnsi" w:cstheme="minorHAnsi"/>
        </w:rPr>
        <w:instrText xml:space="preserve"> TA \s "Elomar v R [2018] NSWCCA 224" </w:instrText>
      </w:r>
      <w:r w:rsidRPr="00EB7F1E">
        <w:rPr>
          <w:rFonts w:asciiTheme="minorHAnsi" w:hAnsiTheme="minorHAnsi" w:cstheme="minorHAnsi"/>
        </w:rPr>
        <w:fldChar w:fldCharType="end"/>
      </w:r>
      <w:r w:rsidRPr="007809F4">
        <w:rPr>
          <w:rFonts w:asciiTheme="minorHAnsi" w:hAnsiTheme="minorHAnsi" w:cstheme="minorHAnsi"/>
        </w:rPr>
        <w:t>, [72]-[87].</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41">
    <w:p w14:paraId="5C3839DE" w14:textId="66CD4B1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Kamay v R</w:t>
      </w:r>
      <w:r w:rsidRPr="007809F4">
        <w:rPr>
          <w:rFonts w:asciiTheme="minorHAnsi" w:hAnsiTheme="minorHAnsi" w:cstheme="minorHAnsi"/>
        </w:rPr>
        <w:t xml:space="preserve"> (2015) 47 VR 475</w:t>
      </w:r>
      <w:r w:rsidRPr="00EB7F1E">
        <w:rPr>
          <w:rFonts w:asciiTheme="minorHAnsi" w:hAnsiTheme="minorHAnsi" w:cstheme="minorHAnsi"/>
        </w:rPr>
        <w:fldChar w:fldCharType="begin"/>
      </w:r>
      <w:r w:rsidRPr="007809F4">
        <w:rPr>
          <w:rFonts w:asciiTheme="minorHAnsi" w:hAnsiTheme="minorHAnsi" w:cstheme="minorHAnsi"/>
        </w:rPr>
        <w:instrText xml:space="preserve"> TA \s "Kamay v R (2015) 47 VR 475" </w:instrText>
      </w:r>
      <w:r w:rsidRPr="00EB7F1E">
        <w:rPr>
          <w:rFonts w:asciiTheme="minorHAnsi" w:hAnsiTheme="minorHAnsi" w:cstheme="minorHAnsi"/>
        </w:rPr>
        <w:fldChar w:fldCharType="end"/>
      </w:r>
      <w:r w:rsidRPr="007809F4">
        <w:rPr>
          <w:rFonts w:asciiTheme="minorHAnsi" w:hAnsiTheme="minorHAnsi" w:cstheme="minorHAnsi"/>
        </w:rPr>
        <w:t>, [50].</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42">
    <w:p w14:paraId="10B6372A" w14:textId="3F06469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in </w:t>
      </w:r>
      <w:r w:rsidRPr="007809F4">
        <w:rPr>
          <w:rFonts w:asciiTheme="minorHAnsi" w:hAnsiTheme="minorHAnsi" w:cstheme="minorHAnsi"/>
          <w:i/>
        </w:rPr>
        <w:t>Billis v R</w:t>
      </w:r>
      <w:r w:rsidRPr="007809F4">
        <w:rPr>
          <w:rFonts w:asciiTheme="minorHAnsi" w:hAnsiTheme="minorHAnsi" w:cstheme="minorHAnsi"/>
        </w:rPr>
        <w:t xml:space="preserve"> (WA CCA, 24 February 1997,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Billis v R</w:instrText>
      </w:r>
      <w:r w:rsidRPr="007809F4">
        <w:rPr>
          <w:rFonts w:asciiTheme="minorHAnsi" w:hAnsiTheme="minorHAnsi" w:cstheme="minorHAnsi"/>
        </w:rPr>
        <w:instrText xml:space="preserve"> (WA CCA, 24 February 1997, unreported)</w:instrText>
      </w:r>
      <w:r w:rsidRPr="00EB7F1E">
        <w:rPr>
          <w:rFonts w:asciiTheme="minorHAnsi" w:hAnsiTheme="minorHAnsi" w:cstheme="minorHAnsi"/>
        </w:rPr>
        <w:instrText xml:space="preserve">" \s "Billis v R (WA CCA, 24 February 1997, unreported)" \c 1 </w:instrText>
      </w:r>
      <w:r w:rsidRPr="00EB7F1E">
        <w:rPr>
          <w:rFonts w:asciiTheme="minorHAnsi" w:hAnsiTheme="minorHAnsi" w:cstheme="minorHAnsi"/>
        </w:rPr>
        <w:fldChar w:fldCharType="end"/>
      </w:r>
      <w:r w:rsidRPr="007809F4">
        <w:rPr>
          <w:rFonts w:asciiTheme="minorHAnsi" w:hAnsiTheme="minorHAnsi" w:cstheme="minorHAnsi"/>
        </w:rPr>
        <w:t xml:space="preserve">, the conduct of the offender led to a considerable fall in the market price of shares held by the victim.  Had the victim then sold the shares, there would have been a considerable loss.  But by the time the victim sold the shares, the market price had recovered, and the victim sold them for a profit.  In those circumstances, the Court held that the sentencing judge had erred in treating as a serious aggravating factor the fact that the offending had damaged the victim by causing a reduction in the value of the shares. </w:t>
      </w:r>
    </w:p>
  </w:footnote>
  <w:footnote w:id="243">
    <w:p w14:paraId="6724B6D3" w14:textId="64F638D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[24]-[25].</w:t>
      </w:r>
    </w:p>
  </w:footnote>
  <w:footnote w:id="244">
    <w:p w14:paraId="42FA6A51" w14:textId="6F0CE19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Boughen</w:t>
      </w:r>
      <w:r w:rsidRPr="007809F4">
        <w:rPr>
          <w:rFonts w:asciiTheme="minorHAnsi" w:hAnsiTheme="minorHAnsi" w:cstheme="minorHAnsi"/>
        </w:rPr>
        <w:t xml:space="preserve"> [2012] NSWCCA 17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Boughen</w:instrText>
      </w:r>
      <w:r w:rsidRPr="007809F4">
        <w:rPr>
          <w:rFonts w:asciiTheme="minorHAnsi" w:hAnsiTheme="minorHAnsi" w:cstheme="minorHAnsi"/>
        </w:rPr>
        <w:instrText xml:space="preserve"> [2012] NSWCCA 17</w:instrText>
      </w:r>
      <w:r w:rsidRPr="00EB7F1E">
        <w:rPr>
          <w:rFonts w:asciiTheme="minorHAnsi" w:hAnsiTheme="minorHAnsi" w:cstheme="minorHAnsi"/>
        </w:rPr>
        <w:instrText xml:space="preserve">" \s "R v Boughen [2012] NSWCCA 17" \c 1 </w:instrText>
      </w:r>
      <w:r w:rsidRPr="00EB7F1E">
        <w:rPr>
          <w:rFonts w:asciiTheme="minorHAnsi" w:hAnsiTheme="minorHAnsi" w:cstheme="minorHAnsi"/>
        </w:rPr>
        <w:fldChar w:fldCharType="end"/>
      </w:r>
      <w:r w:rsidRPr="007809F4">
        <w:rPr>
          <w:rFonts w:asciiTheme="minorHAnsi" w:hAnsiTheme="minorHAnsi" w:cstheme="minorHAnsi"/>
        </w:rPr>
        <w:t xml:space="preserve">, [55]-[56]; </w:t>
      </w:r>
      <w:r w:rsidRPr="007809F4">
        <w:rPr>
          <w:rFonts w:asciiTheme="minorHAnsi" w:hAnsiTheme="minorHAnsi" w:cstheme="minorHAnsi"/>
          <w:i/>
        </w:rPr>
        <w:t>R v Melrose</w:t>
      </w:r>
      <w:r w:rsidRPr="007809F4">
        <w:rPr>
          <w:rFonts w:asciiTheme="minorHAnsi" w:hAnsiTheme="minorHAnsi" w:cstheme="minorHAnsi"/>
        </w:rPr>
        <w:t xml:space="preserve"> [2016] QCA 202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Melrose</w:instrText>
      </w:r>
      <w:r w:rsidRPr="007809F4">
        <w:rPr>
          <w:rFonts w:asciiTheme="minorHAnsi" w:hAnsiTheme="minorHAnsi" w:cstheme="minorHAnsi"/>
        </w:rPr>
        <w:instrText xml:space="preserve"> [2016] QCA 202</w:instrText>
      </w:r>
      <w:r w:rsidRPr="00EB7F1E">
        <w:rPr>
          <w:rFonts w:asciiTheme="minorHAnsi" w:hAnsiTheme="minorHAnsi" w:cstheme="minorHAnsi"/>
        </w:rPr>
        <w:instrText xml:space="preserve">" \s "R v Melrose [2016] QCA 202" \c 1 </w:instrText>
      </w:r>
      <w:r w:rsidRPr="00EB7F1E">
        <w:rPr>
          <w:rFonts w:asciiTheme="minorHAnsi" w:hAnsiTheme="minorHAnsi" w:cstheme="minorHAnsi"/>
        </w:rPr>
        <w:fldChar w:fldCharType="end"/>
      </w:r>
      <w:r w:rsidRPr="007809F4">
        <w:rPr>
          <w:rFonts w:asciiTheme="minorHAnsi" w:hAnsiTheme="minorHAnsi" w:cstheme="minorHAnsi"/>
        </w:rPr>
        <w:t>, [16]-[17].</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45">
    <w:p w14:paraId="5CF5FFDB" w14:textId="7442984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Whisson v Mead </w:t>
      </w:r>
      <w:r w:rsidRPr="007809F4">
        <w:rPr>
          <w:rFonts w:asciiTheme="minorHAnsi" w:hAnsiTheme="minorHAnsi" w:cstheme="minorHAnsi"/>
        </w:rPr>
        <w:t>(2006) 95 SASR 124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Whisson v Mead </w:instrText>
      </w:r>
      <w:r w:rsidRPr="007809F4">
        <w:rPr>
          <w:rFonts w:asciiTheme="minorHAnsi" w:hAnsiTheme="minorHAnsi" w:cstheme="minorHAnsi"/>
        </w:rPr>
        <w:instrText>(2006) 95 SASR 124</w:instrText>
      </w:r>
      <w:r w:rsidRPr="00EB7F1E">
        <w:rPr>
          <w:rFonts w:asciiTheme="minorHAnsi" w:hAnsiTheme="minorHAnsi" w:cstheme="minorHAnsi"/>
        </w:rPr>
        <w:instrText xml:space="preserve">" \s "Whisson v Mead (2006) 95 SASR 124" \c 1 </w:instrText>
      </w:r>
      <w:r w:rsidRPr="00EB7F1E">
        <w:rPr>
          <w:rFonts w:asciiTheme="minorHAnsi" w:hAnsiTheme="minorHAnsi" w:cstheme="minorHAnsi"/>
        </w:rPr>
        <w:fldChar w:fldCharType="end"/>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46">
    <w:p w14:paraId="22E531A2" w14:textId="09585D1D" w:rsidR="00D44BCF" w:rsidRPr="007809F4" w:rsidRDefault="00D44BCF" w:rsidP="004F26BD">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Cs/>
        </w:rPr>
        <w:t xml:space="preserve">The paragraph was inserted in 2013.  It applies to offences committed, or alleged to have been committed, on or after 29 June 2013.  Previously any use of victim impact statements in sentencing of federal offenders was based on State and Territory procedural laws applied as surrogate federal law, together with s 16A(2)(d) and (e) of the </w:t>
      </w:r>
      <w:r w:rsidRPr="00EB7F1E">
        <w:rPr>
          <w:rFonts w:asciiTheme="minorHAnsi" w:hAnsiTheme="minorHAnsi" w:cstheme="minorHAnsi"/>
          <w:i/>
        </w:rPr>
        <w:t>Crimes Act</w:t>
      </w:r>
      <w:r w:rsidRPr="007809F4">
        <w:rPr>
          <w:rFonts w:asciiTheme="minorHAnsi" w:hAnsiTheme="minorHAnsi" w:cstheme="minorHAnsi"/>
          <w:iCs/>
        </w:rPr>
        <w:t xml:space="preserve"> 1914.</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247">
    <w:p w14:paraId="1948FA24" w14:textId="7CBC504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Wangsaimas v R</w:t>
      </w:r>
      <w:r w:rsidRPr="007809F4">
        <w:rPr>
          <w:rFonts w:asciiTheme="minorHAnsi" w:hAnsiTheme="minorHAnsi" w:cstheme="minorHAnsi"/>
        </w:rPr>
        <w:t xml:space="preserve"> (1996) 6 NTLR 14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Wangsaimas v R</w:instrText>
      </w:r>
      <w:r w:rsidRPr="007809F4">
        <w:rPr>
          <w:rFonts w:asciiTheme="minorHAnsi" w:hAnsiTheme="minorHAnsi" w:cstheme="minorHAnsi"/>
        </w:rPr>
        <w:instrText xml:space="preserve"> (1996) 6 NTLR 14" \s "Wangsaimas v R (1996) 6 NTLR 14"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"Wangsaimas v R (1996) 6 NTLR 14"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Lovel</w:t>
      </w:r>
      <w:r w:rsidRPr="007809F4">
        <w:rPr>
          <w:rFonts w:asciiTheme="minorHAnsi" w:hAnsiTheme="minorHAnsi" w:cstheme="minorHAnsi"/>
        </w:rPr>
        <w:t xml:space="preserve"> [2007] QCA 281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Lovel</w:instrText>
      </w:r>
      <w:r w:rsidRPr="007809F4">
        <w:rPr>
          <w:rFonts w:asciiTheme="minorHAnsi" w:hAnsiTheme="minorHAnsi" w:cstheme="minorHAnsi"/>
        </w:rPr>
        <w:instrText xml:space="preserve"> [2007] QCA 281" \s "R v Lovel [2007] QCA 281"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Lovel [2007] QCA 281" </w:instrText>
      </w:r>
      <w:r w:rsidRPr="00EB7F1E">
        <w:rPr>
          <w:rFonts w:asciiTheme="minorHAnsi" w:hAnsiTheme="minorHAnsi" w:cstheme="minorHAnsi"/>
        </w:rPr>
        <w:fldChar w:fldCharType="end"/>
      </w:r>
    </w:p>
  </w:footnote>
  <w:footnote w:id="248">
    <w:p w14:paraId="1FB0F3D9" w14:textId="5670679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Barbaro v R </w:t>
      </w:r>
      <w:r w:rsidRPr="007809F4">
        <w:rPr>
          <w:rFonts w:asciiTheme="minorHAnsi" w:hAnsiTheme="minorHAnsi" w:cstheme="minorHAnsi"/>
        </w:rPr>
        <w:t>[2012] VSCA 288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[2012] VSCA 288" </w:instrText>
      </w:r>
      <w:r w:rsidRPr="00EB7F1E">
        <w:rPr>
          <w:rFonts w:asciiTheme="minorHAnsi" w:hAnsiTheme="minorHAnsi" w:cstheme="minorHAnsi"/>
        </w:rPr>
        <w:fldChar w:fldCharType="end"/>
      </w:r>
      <w:r w:rsidRPr="007809F4">
        <w:rPr>
          <w:rFonts w:asciiTheme="minorHAnsi" w:hAnsiTheme="minorHAnsi" w:cstheme="minorHAnsi"/>
        </w:rPr>
        <w:t>, [39].</w:t>
      </w:r>
    </w:p>
  </w:footnote>
  <w:footnote w:id="249">
    <w:p w14:paraId="0095FC3F" w14:textId="5607722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Newman v R</w:t>
      </w:r>
      <w:r w:rsidRPr="007809F4">
        <w:rPr>
          <w:rFonts w:asciiTheme="minorHAnsi" w:hAnsiTheme="minorHAnsi" w:cstheme="minorHAnsi"/>
        </w:rPr>
        <w:t xml:space="preserve"> [2018] NSWCCA 208</w:t>
      </w:r>
      <w:r w:rsidRPr="00EB7F1E">
        <w:rPr>
          <w:rFonts w:asciiTheme="minorHAnsi" w:hAnsiTheme="minorHAnsi" w:cstheme="minorHAnsi"/>
        </w:rPr>
        <w:fldChar w:fldCharType="begin"/>
      </w:r>
      <w:r w:rsidRPr="007809F4">
        <w:rPr>
          <w:rFonts w:asciiTheme="minorHAnsi" w:hAnsiTheme="minorHAnsi" w:cstheme="minorHAnsi"/>
        </w:rPr>
        <w:instrText xml:space="preserve"> TA \s "Newman v R [2018] NSWCCA 208" </w:instrText>
      </w:r>
      <w:r w:rsidRPr="00EB7F1E">
        <w:rPr>
          <w:rFonts w:asciiTheme="minorHAnsi" w:hAnsiTheme="minorHAnsi" w:cstheme="minorHAnsi"/>
        </w:rPr>
        <w:fldChar w:fldCharType="end"/>
      </w:r>
      <w:r w:rsidRPr="007809F4">
        <w:rPr>
          <w:rFonts w:asciiTheme="minorHAnsi" w:hAnsiTheme="minorHAnsi" w:cstheme="minorHAnsi"/>
        </w:rPr>
        <w:t>, [29]-[31].</w:t>
      </w:r>
    </w:p>
  </w:footnote>
  <w:footnote w:id="250">
    <w:p w14:paraId="78E468F6" w14:textId="3218DA8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Barbaro</w:t>
      </w:r>
      <w:r w:rsidRPr="007809F4">
        <w:rPr>
          <w:rFonts w:asciiTheme="minorHAnsi" w:hAnsiTheme="minorHAnsi" w:cstheme="minorHAnsi"/>
        </w:rPr>
        <w:t xml:space="preserve"> </w:t>
      </w:r>
      <w:r w:rsidRPr="007809F4">
        <w:rPr>
          <w:rFonts w:asciiTheme="minorHAnsi" w:hAnsiTheme="minorHAnsi" w:cstheme="minorHAnsi"/>
          <w:i/>
        </w:rPr>
        <w:t xml:space="preserve">v R </w:t>
      </w:r>
      <w:r w:rsidRPr="007809F4">
        <w:rPr>
          <w:rFonts w:asciiTheme="minorHAnsi" w:hAnsiTheme="minorHAnsi" w:cstheme="minorHAnsi"/>
        </w:rPr>
        <w:t>[2012] VSCA 288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[2012] VSCA 288" </w:instrText>
      </w:r>
      <w:r w:rsidRPr="00EB7F1E">
        <w:rPr>
          <w:rFonts w:asciiTheme="minorHAnsi" w:hAnsiTheme="minorHAnsi" w:cstheme="minorHAnsi"/>
        </w:rPr>
        <w:fldChar w:fldCharType="end"/>
      </w:r>
      <w:r w:rsidRPr="007809F4">
        <w:rPr>
          <w:rFonts w:asciiTheme="minorHAnsi" w:hAnsiTheme="minorHAnsi" w:cstheme="minorHAnsi"/>
        </w:rPr>
        <w:t>, [38].  See also “</w:t>
      </w:r>
      <w:r w:rsidRPr="00EB7F1E">
        <w:rPr>
          <w:rFonts w:asciiTheme="minorHAnsi" w:hAnsiTheme="minorHAnsi" w:cstheme="minorHAnsi"/>
        </w:rPr>
        <w:fldChar w:fldCharType="begin"/>
      </w:r>
      <w:r w:rsidRPr="007809F4">
        <w:rPr>
          <w:rFonts w:asciiTheme="minorHAnsi" w:hAnsiTheme="minorHAnsi" w:cstheme="minorHAnsi"/>
        </w:rPr>
        <w:instrText xml:space="preserve"> REF _Ref492798349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3.1.6</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_Ref492798352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Hearsay assertions about an offender’s state of mind</w:t>
      </w:r>
      <w:r w:rsidRPr="00EB7F1E">
        <w:rPr>
          <w:rFonts w:asciiTheme="minorHAnsi" w:hAnsiTheme="minorHAnsi" w:cstheme="minorHAnsi"/>
        </w:rPr>
        <w:fldChar w:fldCharType="end"/>
      </w:r>
      <w:r w:rsidRPr="007809F4">
        <w:rPr>
          <w:rFonts w:asciiTheme="minorHAnsi" w:hAnsiTheme="minorHAnsi" w:cstheme="minorHAnsi"/>
        </w:rPr>
        <w:t xml:space="preserve">”.  If received at all, untested self-serving assertions by an offender in the form of a letter, statement or affidavit should also be treated with considerable circumspection and scepticism, and may be deserving of little or no weight: see the summary of relevant principles in </w:t>
      </w:r>
      <w:r w:rsidRPr="007809F4">
        <w:rPr>
          <w:rFonts w:asciiTheme="minorHAnsi" w:hAnsiTheme="minorHAnsi" w:cstheme="minorHAnsi"/>
          <w:i/>
        </w:rPr>
        <w:t>Imbornone v R</w:t>
      </w:r>
      <w:r w:rsidRPr="007809F4">
        <w:rPr>
          <w:rFonts w:asciiTheme="minorHAnsi" w:hAnsiTheme="minorHAnsi" w:cstheme="minorHAnsi"/>
        </w:rPr>
        <w:t xml:space="preserve"> [2017] NSWCCA 144</w:t>
      </w:r>
      <w:r w:rsidRPr="00EB7F1E">
        <w:rPr>
          <w:rFonts w:asciiTheme="minorHAnsi" w:hAnsiTheme="minorHAnsi" w:cstheme="minorHAnsi"/>
        </w:rPr>
        <w:fldChar w:fldCharType="begin"/>
      </w:r>
      <w:r w:rsidRPr="007809F4">
        <w:rPr>
          <w:rFonts w:asciiTheme="minorHAnsi" w:hAnsiTheme="minorHAnsi" w:cstheme="minorHAnsi"/>
        </w:rPr>
        <w:instrText xml:space="preserve"> TA \s "Imbornone v R [2017] NSWCCA 144" </w:instrText>
      </w:r>
      <w:r w:rsidRPr="00EB7F1E">
        <w:rPr>
          <w:rFonts w:asciiTheme="minorHAnsi" w:hAnsiTheme="minorHAnsi" w:cstheme="minorHAnsi"/>
        </w:rPr>
        <w:fldChar w:fldCharType="end"/>
      </w:r>
      <w:r w:rsidRPr="007809F4">
        <w:rPr>
          <w:rFonts w:asciiTheme="minorHAnsi" w:hAnsiTheme="minorHAnsi" w:cstheme="minorHAnsi"/>
        </w:rPr>
        <w:t>, [57].</w:t>
      </w:r>
    </w:p>
  </w:footnote>
  <w:footnote w:id="251">
    <w:p w14:paraId="2D69024E" w14:textId="27C8D3F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Baladjam v R </w:t>
      </w:r>
      <w:r w:rsidRPr="007809F4">
        <w:rPr>
          <w:rFonts w:asciiTheme="minorHAnsi" w:hAnsiTheme="minorHAnsi" w:cstheme="minorHAnsi"/>
        </w:rPr>
        <w:t>[2018] NSWCCA 304</w:t>
      </w:r>
      <w:r w:rsidRPr="00EB7F1E">
        <w:rPr>
          <w:rFonts w:asciiTheme="minorHAnsi" w:hAnsiTheme="minorHAnsi" w:cstheme="minorHAnsi"/>
        </w:rPr>
        <w:fldChar w:fldCharType="begin"/>
      </w:r>
      <w:r w:rsidRPr="007809F4">
        <w:rPr>
          <w:rFonts w:asciiTheme="minorHAnsi" w:hAnsiTheme="minorHAnsi" w:cstheme="minorHAnsi"/>
        </w:rPr>
        <w:instrText xml:space="preserve"> TA \s "Baladjam v R [2018] NSWCCA 304" </w:instrText>
      </w:r>
      <w:r w:rsidRPr="00EB7F1E">
        <w:rPr>
          <w:rFonts w:asciiTheme="minorHAnsi" w:hAnsiTheme="minorHAnsi" w:cstheme="minorHAnsi"/>
        </w:rPr>
        <w:fldChar w:fldCharType="end"/>
      </w:r>
      <w:r w:rsidRPr="007809F4">
        <w:rPr>
          <w:rFonts w:asciiTheme="minorHAnsi" w:hAnsiTheme="minorHAnsi" w:cstheme="minorHAnsi"/>
        </w:rPr>
        <w:t>, [277]; cf.</w:t>
      </w:r>
      <w:r w:rsidRPr="00EB7F1E">
        <w:rPr>
          <w:rFonts w:asciiTheme="minorHAnsi" w:hAnsiTheme="minorHAnsi" w:cstheme="minorHAnsi"/>
          <w:i/>
        </w:rPr>
        <w:t>Singh v R</w:t>
      </w:r>
      <w:r w:rsidRPr="00EB7F1E">
        <w:rPr>
          <w:rFonts w:asciiTheme="minorHAnsi" w:hAnsiTheme="minorHAnsi" w:cstheme="minorHAnsi"/>
        </w:rPr>
        <w:t xml:space="preserve"> [2018] NSWCCA 60</w:t>
      </w:r>
      <w:r w:rsidRPr="00EB7F1E">
        <w:rPr>
          <w:rFonts w:asciiTheme="minorHAnsi" w:hAnsiTheme="minorHAnsi" w:cstheme="minorHAnsi"/>
        </w:rPr>
        <w:fldChar w:fldCharType="begin"/>
      </w:r>
      <w:r w:rsidRPr="007809F4">
        <w:rPr>
          <w:rFonts w:asciiTheme="minorHAnsi" w:hAnsiTheme="minorHAnsi" w:cstheme="minorHAnsi"/>
        </w:rPr>
        <w:instrText xml:space="preserve"> TA \s "Singh v R [2018] NSWCCA 60" </w:instrText>
      </w:r>
      <w:r w:rsidRPr="00EB7F1E">
        <w:rPr>
          <w:rFonts w:asciiTheme="minorHAnsi" w:hAnsiTheme="minorHAnsi" w:cstheme="minorHAnsi"/>
        </w:rPr>
        <w:fldChar w:fldCharType="end"/>
      </w:r>
      <w:r w:rsidRPr="00EB7F1E">
        <w:rPr>
          <w:rFonts w:asciiTheme="minorHAnsi" w:hAnsiTheme="minorHAnsi" w:cstheme="minorHAnsi"/>
        </w:rPr>
        <w:t>, [31]</w:t>
      </w:r>
      <w:r w:rsidRPr="007809F4">
        <w:rPr>
          <w:rFonts w:asciiTheme="minorHAnsi" w:hAnsiTheme="minorHAnsi" w:cstheme="minorHAnsi"/>
        </w:rPr>
        <w:t>.</w:t>
      </w:r>
    </w:p>
  </w:footnote>
  <w:footnote w:id="252">
    <w:p w14:paraId="21625429" w14:textId="5544B75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53">
    <w:p w14:paraId="436CE795" w14:textId="14743F2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54">
    <w:p w14:paraId="35BEFEA5" w14:textId="0D244AA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[115](c), [190]-[191].</w:t>
      </w:r>
    </w:p>
  </w:footnote>
  <w:footnote w:id="255">
    <w:p w14:paraId="2F6BA2FC" w14:textId="480945D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[2]-[19], [103]-[110], [194]-[196].</w:t>
      </w:r>
    </w:p>
  </w:footnote>
  <w:footnote w:id="256">
    <w:p w14:paraId="17349803" w14:textId="21DA0AC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[22]-[23], [197]; see also the construction adopted by Buss JA, [111]-[115].</w:t>
      </w:r>
    </w:p>
  </w:footnote>
  <w:footnote w:id="257">
    <w:p w14:paraId="62A4E3BC" w14:textId="5E5004A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bCs/>
          <w:i/>
        </w:rPr>
        <w:t>R v Shatku</w:t>
      </w:r>
      <w:r w:rsidRPr="00EB7F1E">
        <w:rPr>
          <w:rFonts w:asciiTheme="minorHAnsi" w:hAnsiTheme="minorHAnsi" w:cstheme="minorHAnsi"/>
          <w:bCs/>
        </w:rPr>
        <w:t xml:space="preserve"> [2018] SASCFC 77</w:t>
      </w:r>
      <w:r w:rsidRPr="00EB7F1E">
        <w:rPr>
          <w:rFonts w:asciiTheme="minorHAnsi" w:hAnsiTheme="minorHAnsi" w:cstheme="minorHAnsi"/>
          <w:b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bCs/>
          <w:i/>
        </w:rPr>
        <w:instrText>R v Shatku</w:instrText>
      </w:r>
      <w:r w:rsidRPr="00EB7F1E">
        <w:rPr>
          <w:rFonts w:asciiTheme="minorHAnsi" w:hAnsiTheme="minorHAnsi" w:cstheme="minorHAnsi"/>
          <w:bCs/>
        </w:rPr>
        <w:instrText xml:space="preserve"> [2018] SASCFC 77</w:instrText>
      </w:r>
      <w:r w:rsidRPr="00EB7F1E">
        <w:rPr>
          <w:rFonts w:asciiTheme="minorHAnsi" w:hAnsiTheme="minorHAnsi" w:cstheme="minorHAnsi"/>
        </w:rPr>
        <w:instrText xml:space="preserve">" \s "R v Shatku [2018] SASCFC 77" \c 1 </w:instrText>
      </w:r>
      <w:r w:rsidRPr="00EB7F1E">
        <w:rPr>
          <w:rFonts w:asciiTheme="minorHAnsi" w:hAnsiTheme="minorHAnsi" w:cstheme="minorHAnsi"/>
          <w:bCs/>
        </w:rPr>
        <w:fldChar w:fldCharType="end"/>
      </w:r>
      <w:r w:rsidRPr="00EB7F1E">
        <w:rPr>
          <w:rFonts w:asciiTheme="minorHAnsi" w:hAnsiTheme="minorHAnsi" w:cstheme="minorHAnsi"/>
          <w:bCs/>
        </w:rPr>
        <w:t>, [10]</w:t>
      </w:r>
      <w:r w:rsidRPr="007809F4">
        <w:rPr>
          <w:rFonts w:asciiTheme="minorHAnsi" w:hAnsiTheme="minorHAnsi" w:cstheme="minorHAnsi"/>
          <w:bCs/>
        </w:rPr>
        <w:t>, [36]-[41]</w:t>
      </w:r>
      <w:r w:rsidRPr="007809F4">
        <w:rPr>
          <w:rFonts w:asciiTheme="minorHAnsi" w:hAnsiTheme="minorHAnsi" w:cstheme="minorHAnsi"/>
        </w:rPr>
        <w:t>.</w:t>
      </w:r>
    </w:p>
  </w:footnote>
  <w:footnote w:id="258">
    <w:p w14:paraId="4E026151" w14:textId="0E9855D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noProof/>
          <w:color w:val="000000"/>
        </w:rPr>
        <w:t>Siganto v R</w:t>
      </w:r>
      <w:r w:rsidRPr="007809F4">
        <w:rPr>
          <w:rFonts w:asciiTheme="minorHAnsi" w:hAnsiTheme="minorHAnsi" w:cstheme="minorHAnsi"/>
          <w:noProof/>
          <w:color w:val="000000"/>
        </w:rPr>
        <w:t xml:space="preserve"> (1998) 194 CLR 656</w:t>
      </w:r>
      <w:r w:rsidRPr="00EB7F1E">
        <w:rPr>
          <w:rFonts w:asciiTheme="minorHAnsi" w:hAnsiTheme="minorHAnsi" w:cstheme="minorHAnsi"/>
          <w:noProof/>
          <w:color w:val="000000"/>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noProof/>
          <w:color w:val="000000"/>
        </w:rPr>
        <w:instrText>Siganto v R</w:instrText>
      </w:r>
      <w:r w:rsidRPr="007809F4">
        <w:rPr>
          <w:rFonts w:asciiTheme="minorHAnsi" w:hAnsiTheme="minorHAnsi" w:cstheme="minorHAnsi"/>
          <w:noProof/>
          <w:color w:val="000000"/>
        </w:rPr>
        <w:instrText xml:space="preserve"> (1998) 194 CLR 656</w:instrText>
      </w:r>
      <w:r w:rsidRPr="00EB7F1E">
        <w:rPr>
          <w:rFonts w:asciiTheme="minorHAnsi" w:hAnsiTheme="minorHAnsi" w:cstheme="minorHAnsi"/>
        </w:rPr>
        <w:instrText xml:space="preserve">" \s "Siganto v R (1998) 194 CLR 656" \c 1 </w:instrText>
      </w:r>
      <w:r w:rsidRPr="00EB7F1E">
        <w:rPr>
          <w:rFonts w:asciiTheme="minorHAnsi" w:hAnsiTheme="minorHAnsi" w:cstheme="minorHAnsi"/>
          <w:noProof/>
          <w:color w:val="000000"/>
        </w:rPr>
        <w:fldChar w:fldCharType="end"/>
      </w:r>
      <w:r w:rsidRPr="007809F4">
        <w:rPr>
          <w:rFonts w:asciiTheme="minorHAnsi" w:hAnsiTheme="minorHAnsi" w:cstheme="minorHAnsi"/>
          <w:noProof/>
          <w:color w:val="000000"/>
        </w:rPr>
        <w:t>;</w:t>
      </w:r>
      <w:r w:rsidRPr="007809F4">
        <w:rPr>
          <w:rStyle w:val="ssleftalign"/>
          <w:rFonts w:asciiTheme="minorHAnsi" w:hAnsiTheme="minorHAnsi" w:cstheme="minorHAnsi"/>
        </w:rPr>
        <w:t xml:space="preserve"> </w:t>
      </w:r>
      <w:r w:rsidRPr="007809F4">
        <w:rPr>
          <w:rFonts w:asciiTheme="minorHAnsi" w:hAnsiTheme="minorHAnsi" w:cstheme="minorHAnsi"/>
          <w:i/>
        </w:rPr>
        <w:t>Cameron v R</w:t>
      </w:r>
      <w:r w:rsidRPr="007809F4">
        <w:rPr>
          <w:rFonts w:asciiTheme="minorHAnsi" w:hAnsiTheme="minorHAnsi" w:cstheme="minorHAnsi"/>
        </w:rPr>
        <w:t xml:space="preserve"> </w:t>
      </w:r>
      <w:r w:rsidRPr="007809F4">
        <w:rPr>
          <w:rFonts w:asciiTheme="minorHAnsi" w:hAnsiTheme="minorHAnsi" w:cstheme="minorHAnsi"/>
          <w:noProof/>
          <w:color w:val="000000"/>
        </w:rPr>
        <w:t>(2002) 209 CLR 339</w:t>
      </w:r>
      <w:r w:rsidRPr="00EB7F1E">
        <w:rPr>
          <w:rFonts w:asciiTheme="minorHAnsi" w:hAnsiTheme="minorHAnsi" w:cstheme="minorHAnsi"/>
          <w:noProof/>
          <w:color w:val="000000"/>
        </w:rPr>
        <w:fldChar w:fldCharType="begin"/>
      </w:r>
      <w:r w:rsidRPr="007809F4">
        <w:rPr>
          <w:rFonts w:asciiTheme="minorHAnsi" w:hAnsiTheme="minorHAnsi" w:cstheme="minorHAnsi"/>
          <w:noProof/>
          <w:color w:val="000000"/>
        </w:rPr>
        <w:instrText xml:space="preserve"> TA \s "Cameron v R (2002) 209 CLR 339" </w:instrText>
      </w:r>
      <w:r w:rsidRPr="00EB7F1E">
        <w:rPr>
          <w:rFonts w:asciiTheme="minorHAnsi" w:hAnsiTheme="minorHAnsi" w:cstheme="minorHAnsi"/>
          <w:noProof/>
          <w:color w:val="000000"/>
        </w:rPr>
        <w:fldChar w:fldCharType="end"/>
      </w:r>
      <w:r w:rsidRPr="007809F4">
        <w:rPr>
          <w:rFonts w:asciiTheme="minorHAnsi" w:hAnsiTheme="minorHAnsi" w:cstheme="minorHAnsi"/>
          <w:noProof/>
          <w:color w:val="000000"/>
        </w:rPr>
        <w:t>, [12], [41], [65](3).</w:t>
      </w:r>
    </w:p>
  </w:footnote>
  <w:footnote w:id="259">
    <w:p w14:paraId="217E667B" w14:textId="537FEE9B" w:rsidR="00D44BCF" w:rsidRPr="00EB7F1E" w:rsidRDefault="00D44BCF" w:rsidP="004B750A">
      <w:pPr>
        <w:pStyle w:val="FootnoteText"/>
        <w:tabs>
          <w:tab w:val="left" w:pos="567"/>
        </w:tabs>
        <w:ind w:left="426" w:hanging="426"/>
        <w:jc w:val="both"/>
        <w:rPr>
          <w:rFonts w:asciiTheme="minorHAnsi" w:hAnsiTheme="minorHAnsi" w:cstheme="minorHAnsi"/>
          <w:b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rPr>
        <w:t>The Victorian Court of Appeal has repeatedly held that the failure of a court to refer in its sentencing remarks to the fact of a guilty plea will not, without more, warrant an inference that it was overlooked: e.g</w:t>
      </w:r>
      <w:r w:rsidRPr="007809F4">
        <w:rPr>
          <w:rFonts w:asciiTheme="minorHAnsi" w:hAnsiTheme="minorHAnsi" w:cstheme="minorHAnsi"/>
          <w:bCs/>
          <w:i/>
        </w:rPr>
        <w:t>. R v Brooks</w:t>
      </w:r>
      <w:r w:rsidRPr="007809F4">
        <w:rPr>
          <w:rFonts w:asciiTheme="minorHAnsi" w:hAnsiTheme="minorHAnsi" w:cstheme="minorHAnsi"/>
          <w:bCs/>
        </w:rPr>
        <w:t xml:space="preserve"> [2000] VSCA 188</w:t>
      </w:r>
      <w:r w:rsidRPr="00EB7F1E">
        <w:rPr>
          <w:rFonts w:asciiTheme="minorHAnsi" w:hAnsiTheme="minorHAnsi" w:cstheme="minorHAnsi"/>
          <w:b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rPr>
        <w:instrText>R v Brooks</w:instrText>
      </w:r>
      <w:r w:rsidRPr="007809F4">
        <w:rPr>
          <w:rFonts w:asciiTheme="minorHAnsi" w:hAnsiTheme="minorHAnsi" w:cstheme="minorHAnsi"/>
          <w:bCs/>
        </w:rPr>
        <w:instrText xml:space="preserve"> [2000] VSCA 188</w:instrText>
      </w:r>
      <w:r w:rsidRPr="007809F4">
        <w:rPr>
          <w:rFonts w:asciiTheme="minorHAnsi" w:hAnsiTheme="minorHAnsi" w:cstheme="minorHAnsi"/>
        </w:rPr>
        <w:instrText xml:space="preserve">" \s "R v Brooks [2000] VSCA 188" \c 1 </w:instrText>
      </w:r>
      <w:r w:rsidRPr="00EB7F1E">
        <w:rPr>
          <w:rFonts w:asciiTheme="minorHAnsi" w:hAnsiTheme="minorHAnsi" w:cstheme="minorHAnsi"/>
          <w:bCs/>
        </w:rPr>
        <w:fldChar w:fldCharType="end"/>
      </w:r>
      <w:r w:rsidRPr="007809F4">
        <w:rPr>
          <w:rFonts w:asciiTheme="minorHAnsi" w:hAnsiTheme="minorHAnsi" w:cstheme="minorHAnsi"/>
          <w:bCs/>
        </w:rPr>
        <w:t xml:space="preserve">, [12]-[13]; </w:t>
      </w:r>
      <w:r w:rsidRPr="007809F4">
        <w:rPr>
          <w:rFonts w:asciiTheme="minorHAnsi" w:hAnsiTheme="minorHAnsi" w:cstheme="minorHAnsi"/>
          <w:bCs/>
          <w:i/>
        </w:rPr>
        <w:t>R v Gillick</w:t>
      </w:r>
      <w:r w:rsidRPr="007809F4">
        <w:rPr>
          <w:rFonts w:asciiTheme="minorHAnsi" w:hAnsiTheme="minorHAnsi" w:cstheme="minorHAnsi"/>
          <w:bCs/>
        </w:rPr>
        <w:t xml:space="preserve"> [2001] VSCA 201</w:t>
      </w:r>
      <w:r w:rsidRPr="00EB7F1E">
        <w:rPr>
          <w:rFonts w:asciiTheme="minorHAnsi" w:hAnsiTheme="minorHAnsi" w:cstheme="minorHAnsi"/>
          <w:b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rPr>
        <w:instrText>R v Gillick</w:instrText>
      </w:r>
      <w:r w:rsidRPr="007809F4">
        <w:rPr>
          <w:rFonts w:asciiTheme="minorHAnsi" w:hAnsiTheme="minorHAnsi" w:cstheme="minorHAnsi"/>
          <w:bCs/>
        </w:rPr>
        <w:instrText xml:space="preserve"> [2001] VSCA 201</w:instrText>
      </w:r>
      <w:r w:rsidRPr="007809F4">
        <w:rPr>
          <w:rFonts w:asciiTheme="minorHAnsi" w:hAnsiTheme="minorHAnsi" w:cstheme="minorHAnsi"/>
        </w:rPr>
        <w:instrText xml:space="preserve">" \s "R v Gillick [2001] VSCA 201" \c 1 </w:instrText>
      </w:r>
      <w:r w:rsidRPr="00EB7F1E">
        <w:rPr>
          <w:rFonts w:asciiTheme="minorHAnsi" w:hAnsiTheme="minorHAnsi" w:cstheme="minorHAnsi"/>
          <w:bCs/>
        </w:rPr>
        <w:fldChar w:fldCharType="end"/>
      </w:r>
      <w:r w:rsidRPr="007809F4">
        <w:rPr>
          <w:rFonts w:asciiTheme="minorHAnsi" w:hAnsiTheme="minorHAnsi" w:cstheme="minorHAnsi"/>
          <w:bCs/>
        </w:rPr>
        <w:t xml:space="preserve">, [12]-[18], [22]-[24], [27]; </w:t>
      </w:r>
      <w:r w:rsidRPr="007809F4">
        <w:rPr>
          <w:rFonts w:asciiTheme="minorHAnsi" w:hAnsiTheme="minorHAnsi" w:cstheme="minorHAnsi"/>
          <w:bCs/>
          <w:i/>
        </w:rPr>
        <w:t>R v James</w:t>
      </w:r>
      <w:r w:rsidRPr="007809F4">
        <w:rPr>
          <w:rFonts w:asciiTheme="minorHAnsi" w:hAnsiTheme="minorHAnsi" w:cstheme="minorHAnsi"/>
          <w:bCs/>
        </w:rPr>
        <w:t xml:space="preserve"> [2003] VSCA 13</w:t>
      </w:r>
      <w:r w:rsidRPr="00EB7F1E">
        <w:rPr>
          <w:rFonts w:asciiTheme="minorHAnsi" w:hAnsiTheme="minorHAnsi" w:cstheme="minorHAnsi"/>
          <w:b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rPr>
        <w:instrText>R v James</w:instrText>
      </w:r>
      <w:r w:rsidRPr="007809F4">
        <w:rPr>
          <w:rFonts w:asciiTheme="minorHAnsi" w:hAnsiTheme="minorHAnsi" w:cstheme="minorHAnsi"/>
          <w:bCs/>
        </w:rPr>
        <w:instrText xml:space="preserve"> [2003] VSCA 13</w:instrText>
      </w:r>
      <w:r w:rsidRPr="007809F4">
        <w:rPr>
          <w:rFonts w:asciiTheme="minorHAnsi" w:hAnsiTheme="minorHAnsi" w:cstheme="minorHAnsi"/>
        </w:rPr>
        <w:instrText xml:space="preserve">" \s "R v James [2003] VSCA 13" \c 1 </w:instrText>
      </w:r>
      <w:r w:rsidRPr="00EB7F1E">
        <w:rPr>
          <w:rFonts w:asciiTheme="minorHAnsi" w:hAnsiTheme="minorHAnsi" w:cstheme="minorHAnsi"/>
          <w:bCs/>
        </w:rPr>
        <w:fldChar w:fldCharType="end"/>
      </w:r>
      <w:r w:rsidRPr="007809F4">
        <w:rPr>
          <w:rFonts w:asciiTheme="minorHAnsi" w:hAnsiTheme="minorHAnsi" w:cstheme="minorHAnsi"/>
          <w:bCs/>
        </w:rPr>
        <w:t xml:space="preserve">, [21]-[25]; </w:t>
      </w:r>
      <w:r w:rsidRPr="007809F4">
        <w:rPr>
          <w:rFonts w:asciiTheme="minorHAnsi" w:hAnsiTheme="minorHAnsi" w:cstheme="minorHAnsi"/>
          <w:bCs/>
          <w:i/>
        </w:rPr>
        <w:t>R v Berry</w:t>
      </w:r>
      <w:r w:rsidRPr="007809F4">
        <w:rPr>
          <w:rFonts w:asciiTheme="minorHAnsi" w:hAnsiTheme="minorHAnsi" w:cstheme="minorHAnsi"/>
          <w:bCs/>
        </w:rPr>
        <w:t xml:space="preserve"> [2007] VSCA 60</w:t>
      </w:r>
      <w:r w:rsidRPr="00EB7F1E">
        <w:rPr>
          <w:rFonts w:asciiTheme="minorHAnsi" w:hAnsiTheme="minorHAnsi" w:cstheme="minorHAnsi"/>
          <w:b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rPr>
        <w:instrText>R v Berry</w:instrText>
      </w:r>
      <w:r w:rsidRPr="007809F4">
        <w:rPr>
          <w:rFonts w:asciiTheme="minorHAnsi" w:hAnsiTheme="minorHAnsi" w:cstheme="minorHAnsi"/>
          <w:bCs/>
        </w:rPr>
        <w:instrText xml:space="preserve"> [2007] VSCA 60</w:instrText>
      </w:r>
      <w:r w:rsidRPr="007809F4">
        <w:rPr>
          <w:rFonts w:asciiTheme="minorHAnsi" w:hAnsiTheme="minorHAnsi" w:cstheme="minorHAnsi"/>
        </w:rPr>
        <w:instrText xml:space="preserve">" \s "R v Berry [2007] VSCA 60" \c 1 </w:instrText>
      </w:r>
      <w:r w:rsidRPr="00EB7F1E">
        <w:rPr>
          <w:rFonts w:asciiTheme="minorHAnsi" w:hAnsiTheme="minorHAnsi" w:cstheme="minorHAnsi"/>
          <w:bCs/>
        </w:rPr>
        <w:fldChar w:fldCharType="end"/>
      </w:r>
      <w:r w:rsidRPr="007809F4">
        <w:rPr>
          <w:rFonts w:asciiTheme="minorHAnsi" w:hAnsiTheme="minorHAnsi" w:cstheme="minorHAnsi"/>
          <w:bCs/>
        </w:rPr>
        <w:t xml:space="preserve">, [18]; </w:t>
      </w:r>
      <w:r w:rsidRPr="00EB7F1E">
        <w:rPr>
          <w:rFonts w:asciiTheme="minorHAnsi" w:hAnsiTheme="minorHAnsi" w:cstheme="minorHAnsi"/>
          <w:bCs/>
          <w:i/>
          <w:iCs/>
        </w:rPr>
        <w:t>Cuthbertson v R</w:t>
      </w:r>
      <w:r w:rsidRPr="007809F4">
        <w:rPr>
          <w:rFonts w:asciiTheme="minorHAnsi" w:hAnsiTheme="minorHAnsi" w:cstheme="minorHAnsi"/>
          <w:bCs/>
        </w:rPr>
        <w:t xml:space="preserve"> [2019] VSCA 104</w:t>
      </w:r>
      <w:r w:rsidRPr="00EB7F1E">
        <w:rPr>
          <w:rFonts w:asciiTheme="minorHAnsi" w:hAnsiTheme="minorHAnsi" w:cstheme="minorHAnsi"/>
          <w:b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bCs/>
          <w:i/>
          <w:iCs/>
        </w:rPr>
        <w:instrText>Cuthbertson v R</w:instrText>
      </w:r>
      <w:r w:rsidRPr="007809F4">
        <w:rPr>
          <w:rFonts w:asciiTheme="minorHAnsi" w:hAnsiTheme="minorHAnsi" w:cstheme="minorHAnsi"/>
          <w:bCs/>
        </w:rPr>
        <w:instrText xml:space="preserve"> [2019] VSCA 104</w:instrText>
      </w:r>
      <w:r w:rsidRPr="00EB7F1E">
        <w:rPr>
          <w:rFonts w:asciiTheme="minorHAnsi" w:hAnsiTheme="minorHAnsi" w:cstheme="minorHAnsi"/>
        </w:rPr>
        <w:instrText xml:space="preserve">" \s "Cuthbertson v R [2019] VSCA 104" \c 1 </w:instrText>
      </w:r>
      <w:r w:rsidRPr="00EB7F1E">
        <w:rPr>
          <w:rFonts w:asciiTheme="minorHAnsi" w:hAnsiTheme="minorHAnsi" w:cstheme="minorHAnsi"/>
          <w:bCs/>
        </w:rPr>
        <w:fldChar w:fldCharType="end"/>
      </w:r>
      <w:r w:rsidRPr="007809F4">
        <w:rPr>
          <w:rFonts w:asciiTheme="minorHAnsi" w:hAnsiTheme="minorHAnsi" w:cstheme="minorHAnsi"/>
          <w:bCs/>
        </w:rPr>
        <w:t>, [40]-[59].  The issue arises less frequently in Victoria since courts have been required by statute to specify the extent of a reduction of sentence for a plea of guilty: see “</w:t>
      </w:r>
      <w:r w:rsidRPr="00EB7F1E">
        <w:rPr>
          <w:rFonts w:asciiTheme="minorHAnsi" w:hAnsiTheme="minorHAnsi" w:cstheme="minorHAnsi"/>
          <w:bCs/>
        </w:rPr>
        <w:fldChar w:fldCharType="begin"/>
      </w:r>
      <w:r w:rsidRPr="007809F4">
        <w:rPr>
          <w:rFonts w:asciiTheme="minorHAnsi" w:hAnsiTheme="minorHAnsi" w:cstheme="minorHAnsi"/>
          <w:bCs/>
        </w:rPr>
        <w:instrText xml:space="preserve"> REF _Ref11220400 \r \h  \* MERGEFORMAT </w:instrText>
      </w:r>
      <w:r w:rsidRPr="00EB7F1E">
        <w:rPr>
          <w:rFonts w:asciiTheme="minorHAnsi" w:hAnsiTheme="minorHAnsi" w:cstheme="minorHAnsi"/>
          <w:bCs/>
        </w:rPr>
      </w:r>
      <w:r w:rsidRPr="00EB7F1E">
        <w:rPr>
          <w:rFonts w:asciiTheme="minorHAnsi" w:hAnsiTheme="minorHAnsi" w:cstheme="minorHAnsi"/>
          <w:bCs/>
        </w:rPr>
        <w:fldChar w:fldCharType="separate"/>
      </w:r>
      <w:r>
        <w:rPr>
          <w:rFonts w:asciiTheme="minorHAnsi" w:hAnsiTheme="minorHAnsi" w:cstheme="minorHAnsi"/>
          <w:bCs/>
        </w:rPr>
        <w:t>7.8.1</w:t>
      </w:r>
      <w:r w:rsidRPr="00EB7F1E">
        <w:rPr>
          <w:rFonts w:asciiTheme="minorHAnsi" w:hAnsiTheme="minorHAnsi" w:cstheme="minorHAnsi"/>
          <w:bCs/>
        </w:rPr>
        <w:fldChar w:fldCharType="end"/>
      </w:r>
      <w:r w:rsidRPr="007809F4">
        <w:rPr>
          <w:rFonts w:asciiTheme="minorHAnsi" w:hAnsiTheme="minorHAnsi" w:cstheme="minorHAnsi"/>
          <w:bCs/>
        </w:rPr>
        <w:t xml:space="preserve"> </w:t>
      </w:r>
      <w:r w:rsidRPr="00EB7F1E">
        <w:rPr>
          <w:rFonts w:asciiTheme="minorHAnsi" w:hAnsiTheme="minorHAnsi" w:cstheme="minorHAnsi"/>
          <w:bCs/>
        </w:rPr>
        <w:fldChar w:fldCharType="begin"/>
      </w:r>
      <w:r w:rsidRPr="007809F4">
        <w:rPr>
          <w:rFonts w:asciiTheme="minorHAnsi" w:hAnsiTheme="minorHAnsi" w:cstheme="minorHAnsi"/>
          <w:bCs/>
        </w:rPr>
        <w:instrText xml:space="preserve"> REF _Ref11220402 \h  \* MERGEFORMAT </w:instrText>
      </w:r>
      <w:r w:rsidRPr="00EB7F1E">
        <w:rPr>
          <w:rFonts w:asciiTheme="minorHAnsi" w:hAnsiTheme="minorHAnsi" w:cstheme="minorHAnsi"/>
          <w:bCs/>
        </w:rPr>
      </w:r>
      <w:r w:rsidRPr="00EB7F1E">
        <w:rPr>
          <w:rFonts w:asciiTheme="minorHAnsi" w:hAnsiTheme="minorHAnsi" w:cstheme="minorHAnsi"/>
          <w:bCs/>
        </w:rPr>
        <w:fldChar w:fldCharType="separate"/>
      </w:r>
      <w:r w:rsidRPr="00EB7F1E">
        <w:rPr>
          <w:rFonts w:asciiTheme="minorHAnsi" w:hAnsiTheme="minorHAnsi" w:cstheme="minorHAnsi"/>
          <w:bCs/>
        </w:rPr>
        <w:t>Specifying the sentence reduction for a guilty plea, pursuant to State or Territory laws</w:t>
      </w:r>
      <w:r w:rsidRPr="00EB7F1E">
        <w:rPr>
          <w:rFonts w:asciiTheme="minorHAnsi" w:hAnsiTheme="minorHAnsi" w:cstheme="minorHAnsi"/>
          <w:bCs/>
        </w:rPr>
        <w:fldChar w:fldCharType="end"/>
      </w:r>
      <w:r w:rsidRPr="007809F4">
        <w:rPr>
          <w:rFonts w:asciiTheme="minorHAnsi" w:hAnsiTheme="minorHAnsi" w:cstheme="minorHAnsi"/>
          <w:bCs/>
        </w:rPr>
        <w:t>”.</w:t>
      </w:r>
      <w:r w:rsidRPr="00EB7F1E">
        <w:rPr>
          <w:rFonts w:asciiTheme="minorHAnsi" w:hAnsiTheme="minorHAnsi" w:cstheme="minorHAnsi"/>
          <w:bCs/>
        </w:rPr>
        <w:fldChar w:fldCharType="begin"/>
      </w:r>
      <w:r w:rsidRPr="00EB7F1E">
        <w:rPr>
          <w:rFonts w:asciiTheme="minorHAnsi" w:hAnsiTheme="minorHAnsi" w:cstheme="minorHAnsi"/>
          <w:bCs/>
        </w:rPr>
        <w:instrText xml:space="preserve">  "Walker v R [2008] NTCCA 7" </w:instrText>
      </w:r>
      <w:r w:rsidRPr="00EB7F1E">
        <w:rPr>
          <w:rFonts w:asciiTheme="minorHAnsi" w:hAnsiTheme="minorHAnsi" w:cstheme="minorHAnsi"/>
          <w:bCs/>
        </w:rPr>
        <w:fldChar w:fldCharType="end"/>
      </w:r>
    </w:p>
  </w:footnote>
  <w:footnote w:id="260">
    <w:p w14:paraId="227C6B5A" w14:textId="0EEC4F62" w:rsidR="00D44BCF" w:rsidRPr="007809F4" w:rsidRDefault="00D44BCF" w:rsidP="00BD5FB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rPr>
        <w:t>Noble v R</w:t>
      </w:r>
      <w:r w:rsidRPr="007809F4">
        <w:rPr>
          <w:rFonts w:asciiTheme="minorHAnsi" w:hAnsiTheme="minorHAnsi" w:cstheme="minorHAnsi"/>
          <w:bCs/>
        </w:rPr>
        <w:t xml:space="preserve"> [2018] NSWCCA 253</w:t>
      </w:r>
      <w:r w:rsidRPr="00EB7F1E">
        <w:rPr>
          <w:rFonts w:asciiTheme="minorHAnsi" w:hAnsiTheme="minorHAnsi" w:cstheme="minorHAnsi"/>
          <w:b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rPr>
        <w:instrText>Noble v R</w:instrText>
      </w:r>
      <w:r w:rsidRPr="007809F4">
        <w:rPr>
          <w:rFonts w:asciiTheme="minorHAnsi" w:hAnsiTheme="minorHAnsi" w:cstheme="minorHAnsi"/>
          <w:bCs/>
        </w:rPr>
        <w:instrText xml:space="preserve"> [2018] NSWCCA 253</w:instrText>
      </w:r>
      <w:r w:rsidRPr="007809F4">
        <w:rPr>
          <w:rFonts w:asciiTheme="minorHAnsi" w:hAnsiTheme="minorHAnsi" w:cstheme="minorHAnsi"/>
        </w:rPr>
        <w:instrText xml:space="preserve">" \s "Noble v R [2018] NSWCCA 253" \c 1 </w:instrText>
      </w:r>
      <w:r w:rsidRPr="00EB7F1E">
        <w:rPr>
          <w:rFonts w:asciiTheme="minorHAnsi" w:hAnsiTheme="minorHAnsi" w:cstheme="minorHAnsi"/>
          <w:bCs/>
        </w:rPr>
        <w:fldChar w:fldCharType="end"/>
      </w:r>
      <w:r w:rsidRPr="007809F4">
        <w:rPr>
          <w:rFonts w:asciiTheme="minorHAnsi" w:hAnsiTheme="minorHAnsi" w:cstheme="minorHAnsi"/>
          <w:bCs/>
        </w:rPr>
        <w:t xml:space="preserve">, [10]. [41].  The Court applied </w:t>
      </w:r>
      <w:r w:rsidRPr="007809F4">
        <w:rPr>
          <w:rFonts w:asciiTheme="minorHAnsi" w:hAnsiTheme="minorHAnsi" w:cstheme="minorHAnsi"/>
        </w:rPr>
        <w:t>the approach taken in State cases in NSW.</w:t>
      </w:r>
    </w:p>
  </w:footnote>
  <w:footnote w:id="261">
    <w:p w14:paraId="086B5B1C" w14:textId="5EC4C92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Cameron v R</w:t>
      </w:r>
      <w:r w:rsidRPr="007809F4">
        <w:rPr>
          <w:rFonts w:asciiTheme="minorHAnsi" w:hAnsiTheme="minorHAnsi" w:cstheme="minorHAnsi"/>
        </w:rPr>
        <w:t xml:space="preserve"> </w:t>
      </w:r>
      <w:r w:rsidRPr="007809F4">
        <w:rPr>
          <w:rFonts w:asciiTheme="minorHAnsi" w:hAnsiTheme="minorHAnsi" w:cstheme="minorHAnsi"/>
          <w:noProof/>
          <w:color w:val="000000"/>
        </w:rPr>
        <w:t>(2002) 209 CLR 339</w:t>
      </w:r>
      <w:r w:rsidRPr="00EB7F1E">
        <w:rPr>
          <w:rFonts w:asciiTheme="minorHAnsi" w:hAnsiTheme="minorHAnsi" w:cstheme="minorHAnsi"/>
          <w:noProof/>
          <w:color w:val="000000"/>
        </w:rPr>
        <w:fldChar w:fldCharType="begin"/>
      </w:r>
      <w:r w:rsidRPr="007809F4">
        <w:rPr>
          <w:rFonts w:asciiTheme="minorHAnsi" w:hAnsiTheme="minorHAnsi" w:cstheme="minorHAnsi"/>
          <w:noProof/>
          <w:color w:val="000000"/>
        </w:rPr>
        <w:instrText xml:space="preserve"> TA \s "Cameron v R (2002) 209 CLR 339" </w:instrText>
      </w:r>
      <w:r w:rsidRPr="00EB7F1E">
        <w:rPr>
          <w:rFonts w:asciiTheme="minorHAnsi" w:hAnsiTheme="minorHAnsi" w:cstheme="minorHAnsi"/>
          <w:noProof/>
          <w:color w:val="000000"/>
        </w:rPr>
        <w:fldChar w:fldCharType="end"/>
      </w:r>
      <w:r w:rsidRPr="007809F4">
        <w:rPr>
          <w:rFonts w:asciiTheme="minorHAnsi" w:hAnsiTheme="minorHAnsi" w:cstheme="minorHAnsi"/>
          <w:noProof/>
          <w:color w:val="000000"/>
        </w:rPr>
        <w:t>.</w:t>
      </w:r>
    </w:p>
  </w:footnote>
  <w:footnote w:id="262">
    <w:p w14:paraId="5568F169" w14:textId="0945859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Phillips v R </w:t>
      </w:r>
      <w:r w:rsidRPr="007809F4">
        <w:rPr>
          <w:rFonts w:asciiTheme="minorHAnsi" w:hAnsiTheme="minorHAnsi" w:cstheme="minorHAnsi"/>
        </w:rPr>
        <w:t>(2012) 37 VR 594</w:t>
      </w:r>
      <w:r w:rsidRPr="00EB7F1E">
        <w:rPr>
          <w:rFonts w:asciiTheme="minorHAnsi" w:hAnsiTheme="minorHAnsi" w:cstheme="minorHAnsi"/>
        </w:rPr>
        <w:fldChar w:fldCharType="begin"/>
      </w:r>
      <w:r w:rsidRPr="007809F4">
        <w:rPr>
          <w:rFonts w:asciiTheme="minorHAnsi" w:hAnsiTheme="minorHAnsi" w:cstheme="minorHAnsi"/>
        </w:rPr>
        <w:instrText xml:space="preserve"> TA \s "Phillips v R (2012) 37 VR 594" </w:instrText>
      </w:r>
      <w:r w:rsidRPr="00EB7F1E">
        <w:rPr>
          <w:rFonts w:asciiTheme="minorHAnsi" w:hAnsiTheme="minorHAnsi" w:cstheme="minorHAnsi"/>
        </w:rPr>
        <w:fldChar w:fldCharType="end"/>
      </w:r>
      <w:r w:rsidRPr="007809F4">
        <w:rPr>
          <w:rFonts w:asciiTheme="minorHAnsi" w:hAnsiTheme="minorHAnsi" w:cstheme="minorHAnsi"/>
        </w:rPr>
        <w:t xml:space="preserve">, [15]-[18], [36], [61], [64], [68]-[74]; </w:t>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[5].</w:t>
      </w:r>
    </w:p>
  </w:footnote>
  <w:footnote w:id="263">
    <w:p w14:paraId="0C8B9D20"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Phillips v R </w:t>
      </w:r>
      <w:r w:rsidRPr="007809F4">
        <w:rPr>
          <w:rFonts w:asciiTheme="minorHAnsi" w:hAnsiTheme="minorHAnsi" w:cstheme="minorHAnsi"/>
        </w:rPr>
        <w:t>(2012) 37 VR 594</w:t>
      </w:r>
      <w:r w:rsidRPr="00EB7F1E">
        <w:rPr>
          <w:rFonts w:asciiTheme="minorHAnsi" w:hAnsiTheme="minorHAnsi" w:cstheme="minorHAnsi"/>
        </w:rPr>
        <w:fldChar w:fldCharType="begin"/>
      </w:r>
      <w:r w:rsidRPr="007809F4">
        <w:rPr>
          <w:rFonts w:asciiTheme="minorHAnsi" w:hAnsiTheme="minorHAnsi" w:cstheme="minorHAnsi"/>
        </w:rPr>
        <w:instrText xml:space="preserve"> TA \s "Phillips v R (2012) 37 VR 594"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64">
    <w:p w14:paraId="1FA1B11F" w14:textId="5FE88C0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Phillips v R </w:t>
      </w:r>
      <w:r w:rsidRPr="007809F4">
        <w:rPr>
          <w:rFonts w:asciiTheme="minorHAnsi" w:hAnsiTheme="minorHAnsi" w:cstheme="minorHAnsi"/>
        </w:rPr>
        <w:t>(2012) 37 VR 594</w:t>
      </w:r>
      <w:r w:rsidRPr="00EB7F1E">
        <w:rPr>
          <w:rFonts w:asciiTheme="minorHAnsi" w:hAnsiTheme="minorHAnsi" w:cstheme="minorHAnsi"/>
        </w:rPr>
        <w:fldChar w:fldCharType="begin"/>
      </w:r>
      <w:r w:rsidRPr="007809F4">
        <w:rPr>
          <w:rFonts w:asciiTheme="minorHAnsi" w:hAnsiTheme="minorHAnsi" w:cstheme="minorHAnsi"/>
        </w:rPr>
        <w:instrText xml:space="preserve"> TA \s "Phillips v R (2012) 37 VR 594" </w:instrText>
      </w:r>
      <w:r w:rsidRPr="00EB7F1E">
        <w:rPr>
          <w:rFonts w:asciiTheme="minorHAnsi" w:hAnsiTheme="minorHAnsi" w:cstheme="minorHAnsi"/>
        </w:rPr>
        <w:fldChar w:fldCharType="end"/>
      </w:r>
      <w:r w:rsidRPr="007809F4">
        <w:rPr>
          <w:rFonts w:asciiTheme="minorHAnsi" w:hAnsiTheme="minorHAnsi" w:cstheme="minorHAnsi"/>
        </w:rPr>
        <w:t>, [64]-[65];</w:t>
      </w:r>
      <w:r w:rsidRPr="007809F4">
        <w:rPr>
          <w:rFonts w:asciiTheme="minorHAnsi" w:hAnsiTheme="minorHAnsi" w:cstheme="minorHAnsi"/>
          <w:i/>
        </w:rPr>
        <w:t xml:space="preserve"> Nicholls v R</w:t>
      </w:r>
      <w:r w:rsidRPr="007809F4">
        <w:rPr>
          <w:rFonts w:asciiTheme="minorHAnsi" w:hAnsiTheme="minorHAnsi" w:cstheme="minorHAnsi"/>
        </w:rPr>
        <w:t xml:space="preserve"> [2016] VSCA 300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Nicholls v R</w:instrText>
      </w:r>
      <w:r w:rsidRPr="007809F4">
        <w:rPr>
          <w:rFonts w:asciiTheme="minorHAnsi" w:hAnsiTheme="minorHAnsi" w:cstheme="minorHAnsi"/>
        </w:rPr>
        <w:instrText xml:space="preserve"> [2016] VSCA 300</w:instrText>
      </w:r>
      <w:r w:rsidRPr="00EB7F1E">
        <w:rPr>
          <w:rFonts w:asciiTheme="minorHAnsi" w:hAnsiTheme="minorHAnsi" w:cstheme="minorHAnsi"/>
        </w:rPr>
        <w:instrText xml:space="preserve">" \s "Nicholls v R [2016] VSCA 300" \c 1 </w:instrText>
      </w:r>
      <w:r w:rsidRPr="00EB7F1E">
        <w:rPr>
          <w:rFonts w:asciiTheme="minorHAnsi" w:hAnsiTheme="minorHAnsi" w:cstheme="minorHAnsi"/>
        </w:rPr>
        <w:fldChar w:fldCharType="end"/>
      </w:r>
      <w:r w:rsidRPr="007809F4">
        <w:rPr>
          <w:rFonts w:asciiTheme="minorHAnsi" w:hAnsiTheme="minorHAnsi" w:cstheme="minorHAnsi"/>
        </w:rPr>
        <w:t>, [26].</w:t>
      </w:r>
    </w:p>
  </w:footnote>
  <w:footnote w:id="265">
    <w:p w14:paraId="19930236"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Cameron v R</w:t>
      </w:r>
      <w:r w:rsidRPr="007809F4">
        <w:rPr>
          <w:rFonts w:asciiTheme="minorHAnsi" w:hAnsiTheme="minorHAnsi" w:cstheme="minorHAnsi"/>
        </w:rPr>
        <w:t xml:space="preserve"> </w:t>
      </w:r>
      <w:r w:rsidRPr="007809F4">
        <w:rPr>
          <w:rFonts w:asciiTheme="minorHAnsi" w:hAnsiTheme="minorHAnsi" w:cstheme="minorHAnsi"/>
          <w:noProof/>
          <w:color w:val="000000"/>
        </w:rPr>
        <w:t>(2002) 209 CLR 339.</w:t>
      </w:r>
      <w:r w:rsidRPr="00EB7F1E">
        <w:rPr>
          <w:rFonts w:asciiTheme="minorHAnsi" w:hAnsiTheme="minorHAnsi" w:cstheme="minorHAnsi"/>
          <w:noProof/>
          <w:color w:val="000000"/>
        </w:rPr>
        <w:fldChar w:fldCharType="begin"/>
      </w:r>
      <w:r w:rsidRPr="007809F4">
        <w:rPr>
          <w:rFonts w:asciiTheme="minorHAnsi" w:hAnsiTheme="minorHAnsi" w:cstheme="minorHAnsi"/>
          <w:noProof/>
          <w:color w:val="000000"/>
        </w:rPr>
        <w:instrText xml:space="preserve"> TA \s "Cameron v R (2002) 209 CLR 339" </w:instrText>
      </w:r>
      <w:r w:rsidRPr="00EB7F1E">
        <w:rPr>
          <w:rFonts w:asciiTheme="minorHAnsi" w:hAnsiTheme="minorHAnsi" w:cstheme="minorHAnsi"/>
          <w:noProof/>
          <w:color w:val="000000"/>
        </w:rPr>
        <w:fldChar w:fldCharType="end"/>
      </w:r>
    </w:p>
  </w:footnote>
  <w:footnote w:id="266">
    <w:p w14:paraId="37C89E92" w14:textId="7CBBABE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Cameron v R</w:t>
      </w:r>
      <w:r w:rsidRPr="007809F4">
        <w:rPr>
          <w:rFonts w:asciiTheme="minorHAnsi" w:hAnsiTheme="minorHAnsi" w:cstheme="minorHAnsi"/>
        </w:rPr>
        <w:t xml:space="preserve"> (2002) 209 CLR 339</w:t>
      </w:r>
      <w:r w:rsidRPr="00EB7F1E">
        <w:rPr>
          <w:rFonts w:asciiTheme="minorHAnsi" w:hAnsiTheme="minorHAnsi" w:cstheme="minorHAnsi"/>
        </w:rPr>
        <w:fldChar w:fldCharType="begin"/>
      </w:r>
      <w:r w:rsidRPr="007809F4">
        <w:rPr>
          <w:rFonts w:asciiTheme="minorHAnsi" w:hAnsiTheme="minorHAnsi" w:cstheme="minorHAnsi"/>
        </w:rPr>
        <w:instrText xml:space="preserve"> TA \s "Cameron v R (2002) 209 CLR 339" </w:instrText>
      </w:r>
      <w:r w:rsidRPr="00EB7F1E">
        <w:rPr>
          <w:rFonts w:asciiTheme="minorHAnsi" w:hAnsiTheme="minorHAnsi" w:cstheme="minorHAnsi"/>
        </w:rPr>
        <w:fldChar w:fldCharType="end"/>
      </w:r>
      <w:r w:rsidRPr="007809F4">
        <w:rPr>
          <w:rFonts w:asciiTheme="minorHAnsi" w:hAnsiTheme="minorHAnsi" w:cstheme="minorHAnsi"/>
        </w:rPr>
        <w:t>, [11]-[15].</w:t>
      </w:r>
    </w:p>
  </w:footnote>
  <w:footnote w:id="267">
    <w:p w14:paraId="12016B52" w14:textId="6345D77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 xml:space="preserve"> </w:t>
      </w:r>
      <w:r w:rsidRPr="007809F4">
        <w:rPr>
          <w:rFonts w:asciiTheme="minorHAnsi" w:hAnsiTheme="minorHAnsi" w:cstheme="minorHAnsi"/>
          <w:i/>
        </w:rPr>
        <w:tab/>
        <w:t xml:space="preserve">Tyler </w:t>
      </w:r>
      <w:r w:rsidRPr="007809F4">
        <w:rPr>
          <w:rFonts w:asciiTheme="minorHAnsi" w:hAnsiTheme="minorHAnsi" w:cstheme="minorHAnsi"/>
        </w:rPr>
        <w:t>v R</w:t>
      </w:r>
      <w:r w:rsidRPr="007809F4">
        <w:rPr>
          <w:rFonts w:asciiTheme="minorHAnsi" w:hAnsiTheme="minorHAnsi" w:cstheme="minorHAnsi"/>
          <w:color w:val="000000"/>
        </w:rPr>
        <w:t xml:space="preserve"> </w:t>
      </w:r>
      <w:r w:rsidRPr="007809F4">
        <w:rPr>
          <w:rFonts w:asciiTheme="minorHAnsi" w:hAnsiTheme="minorHAnsi" w:cstheme="minorHAnsi"/>
        </w:rPr>
        <w:t>[2007] NSWCCA 247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Tyler </w:instrText>
      </w:r>
      <w:r w:rsidRPr="007809F4">
        <w:rPr>
          <w:rFonts w:asciiTheme="minorHAnsi" w:hAnsiTheme="minorHAnsi" w:cstheme="minorHAnsi"/>
        </w:rPr>
        <w:instrText>v R</w:instrText>
      </w:r>
      <w:r w:rsidRPr="007809F4">
        <w:rPr>
          <w:rFonts w:asciiTheme="minorHAnsi" w:hAnsiTheme="minorHAnsi" w:cstheme="minorHAnsi"/>
          <w:color w:val="000000"/>
        </w:rPr>
        <w:instrText xml:space="preserve"> </w:instrText>
      </w:r>
      <w:r w:rsidRPr="007809F4">
        <w:rPr>
          <w:rFonts w:asciiTheme="minorHAnsi" w:hAnsiTheme="minorHAnsi" w:cstheme="minorHAnsi"/>
        </w:rPr>
        <w:instrText>[2007] NSWCCA 247</w:instrText>
      </w:r>
      <w:r w:rsidRPr="00EB7F1E">
        <w:rPr>
          <w:rFonts w:asciiTheme="minorHAnsi" w:hAnsiTheme="minorHAnsi" w:cstheme="minorHAnsi"/>
        </w:rPr>
        <w:instrText xml:space="preserve">" \s "Tyler v R [2007] NSWCCA 247" \c 1 </w:instrText>
      </w:r>
      <w:r w:rsidRPr="00EB7F1E">
        <w:rPr>
          <w:rFonts w:asciiTheme="minorHAnsi" w:hAnsiTheme="minorHAnsi" w:cstheme="minorHAnsi"/>
        </w:rPr>
        <w:fldChar w:fldCharType="end"/>
      </w:r>
      <w:r w:rsidRPr="007809F4">
        <w:rPr>
          <w:rFonts w:asciiTheme="minorHAnsi" w:hAnsiTheme="minorHAnsi" w:cstheme="minorHAnsi"/>
        </w:rPr>
        <w:t>, [110]-[114].</w:t>
      </w:r>
    </w:p>
  </w:footnote>
  <w:footnote w:id="268">
    <w:p w14:paraId="7A456FBC" w14:textId="203B57A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 xml:space="preserve"> </w:t>
      </w:r>
      <w:r w:rsidRPr="007809F4">
        <w:rPr>
          <w:rFonts w:asciiTheme="minorHAnsi" w:hAnsiTheme="minorHAnsi" w:cstheme="minorHAnsi"/>
          <w:i/>
        </w:rPr>
        <w:tab/>
      </w:r>
      <w:r w:rsidRPr="007809F4">
        <w:rPr>
          <w:rFonts w:asciiTheme="minorHAnsi" w:hAnsiTheme="minorHAnsi" w:cstheme="minorHAnsi"/>
        </w:rPr>
        <w:t xml:space="preserve">E.g. </w:t>
      </w:r>
      <w:r w:rsidRPr="007809F4">
        <w:rPr>
          <w:rFonts w:asciiTheme="minorHAnsi" w:hAnsiTheme="minorHAnsi" w:cstheme="minorHAnsi"/>
          <w:i/>
        </w:rPr>
        <w:t>Danial v R</w:t>
      </w:r>
      <w:r w:rsidRPr="007809F4">
        <w:rPr>
          <w:rFonts w:asciiTheme="minorHAnsi" w:hAnsiTheme="minorHAnsi" w:cstheme="minorHAnsi"/>
        </w:rPr>
        <w:t xml:space="preserve"> [2008] NSWCCA 15</w:t>
      </w:r>
      <w:r w:rsidRPr="00EB7F1E">
        <w:rPr>
          <w:rFonts w:asciiTheme="minorHAnsi" w:hAnsiTheme="minorHAnsi" w:cstheme="minorHAnsi"/>
        </w:rPr>
        <w:fldChar w:fldCharType="begin"/>
      </w:r>
      <w:r w:rsidRPr="00EB7F1E">
        <w:rPr>
          <w:rFonts w:asciiTheme="minorHAnsi" w:hAnsiTheme="minorHAnsi" w:cstheme="minorHAnsi"/>
        </w:rPr>
        <w:instrText xml:space="preserve"> TA \s "Danial v R [2008] NSWCCA 15" </w:instrText>
      </w:r>
      <w:r w:rsidRPr="00EB7F1E">
        <w:rPr>
          <w:rFonts w:asciiTheme="minorHAnsi" w:hAnsiTheme="minorHAnsi" w:cstheme="minorHAnsi"/>
        </w:rPr>
        <w:fldChar w:fldCharType="end"/>
      </w:r>
      <w:r w:rsidRPr="007809F4">
        <w:rPr>
          <w:rFonts w:asciiTheme="minorHAnsi" w:hAnsiTheme="minorHAnsi" w:cstheme="minorHAnsi"/>
        </w:rPr>
        <w:t xml:space="preserve">, [27]-[29]; </w:t>
      </w:r>
      <w:r w:rsidRPr="007809F4">
        <w:rPr>
          <w:rFonts w:asciiTheme="minorHAnsi" w:hAnsiTheme="minorHAnsi" w:cstheme="minorHAnsi"/>
          <w:i/>
        </w:rPr>
        <w:t>Isaac v R</w:t>
      </w:r>
      <w:r w:rsidRPr="007809F4">
        <w:rPr>
          <w:rFonts w:asciiTheme="minorHAnsi" w:hAnsiTheme="minorHAnsi" w:cstheme="minorHAnsi"/>
        </w:rPr>
        <w:t xml:space="preserve"> [2012] NSWCCA 195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Isaac v R</w:instrText>
      </w:r>
      <w:r w:rsidRPr="007809F4">
        <w:rPr>
          <w:rFonts w:asciiTheme="minorHAnsi" w:hAnsiTheme="minorHAnsi" w:cstheme="minorHAnsi"/>
        </w:rPr>
        <w:instrText xml:space="preserve"> [2012] NSWCCA 195</w:instrText>
      </w:r>
      <w:r w:rsidRPr="00EB7F1E">
        <w:rPr>
          <w:rFonts w:asciiTheme="minorHAnsi" w:hAnsiTheme="minorHAnsi" w:cstheme="minorHAnsi"/>
        </w:rPr>
        <w:instrText xml:space="preserve">" \s "Isaac v R [2012] NSWCCA 195" \c 1 </w:instrText>
      </w:r>
      <w:r w:rsidRPr="00EB7F1E">
        <w:rPr>
          <w:rFonts w:asciiTheme="minorHAnsi" w:hAnsiTheme="minorHAnsi" w:cstheme="minorHAnsi"/>
        </w:rPr>
        <w:fldChar w:fldCharType="end"/>
      </w:r>
      <w:r w:rsidRPr="007809F4">
        <w:rPr>
          <w:rFonts w:asciiTheme="minorHAnsi" w:hAnsiTheme="minorHAnsi" w:cstheme="minorHAnsi"/>
        </w:rPr>
        <w:t xml:space="preserve">, [24]-[27]; </w:t>
      </w:r>
      <w:r w:rsidRPr="007809F4">
        <w:rPr>
          <w:rFonts w:asciiTheme="minorHAnsi" w:hAnsiTheme="minorHAnsi" w:cstheme="minorHAnsi"/>
          <w:i/>
        </w:rPr>
        <w:t>C v R</w:t>
      </w:r>
      <w:r w:rsidRPr="007809F4">
        <w:rPr>
          <w:rFonts w:asciiTheme="minorHAnsi" w:hAnsiTheme="minorHAnsi" w:cstheme="minorHAnsi"/>
        </w:rPr>
        <w:t xml:space="preserve"> [2013] NSWCCA 81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 v R</w:instrText>
      </w:r>
      <w:r w:rsidRPr="007809F4">
        <w:rPr>
          <w:rFonts w:asciiTheme="minorHAnsi" w:hAnsiTheme="minorHAnsi" w:cstheme="minorHAnsi"/>
        </w:rPr>
        <w:instrText xml:space="preserve"> [2013] NSWCCA 81</w:instrText>
      </w:r>
      <w:r w:rsidRPr="00EB7F1E">
        <w:rPr>
          <w:rFonts w:asciiTheme="minorHAnsi" w:hAnsiTheme="minorHAnsi" w:cstheme="minorHAnsi"/>
        </w:rPr>
        <w:instrText xml:space="preserve">" \s "C v R [2013] NSWCCA 81" \c 1 </w:instrText>
      </w:r>
      <w:r w:rsidRPr="00EB7F1E">
        <w:rPr>
          <w:rFonts w:asciiTheme="minorHAnsi" w:hAnsiTheme="minorHAnsi" w:cstheme="minorHAnsi"/>
        </w:rPr>
        <w:fldChar w:fldCharType="end"/>
      </w:r>
      <w:r w:rsidRPr="007809F4">
        <w:rPr>
          <w:rFonts w:asciiTheme="minorHAnsi" w:hAnsiTheme="minorHAnsi" w:cstheme="minorHAnsi"/>
        </w:rPr>
        <w:t xml:space="preserve">, [33].  See also </w:t>
      </w:r>
      <w:r w:rsidRPr="007809F4">
        <w:rPr>
          <w:rFonts w:asciiTheme="minorHAnsi" w:hAnsiTheme="minorHAnsi" w:cstheme="minorHAnsi"/>
          <w:i/>
        </w:rPr>
        <w:t>R v Saleh</w:t>
      </w:r>
      <w:r w:rsidRPr="007809F4">
        <w:rPr>
          <w:rFonts w:asciiTheme="minorHAnsi" w:hAnsiTheme="minorHAnsi" w:cstheme="minorHAnsi"/>
        </w:rPr>
        <w:t xml:space="preserve"> [2015] NSWCCA 299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Saleh</w:instrText>
      </w:r>
      <w:r w:rsidRPr="007809F4">
        <w:rPr>
          <w:rFonts w:asciiTheme="minorHAnsi" w:hAnsiTheme="minorHAnsi" w:cstheme="minorHAnsi"/>
        </w:rPr>
        <w:instrText xml:space="preserve"> [2015] NSWCCA 299</w:instrText>
      </w:r>
      <w:r w:rsidRPr="00EB7F1E">
        <w:rPr>
          <w:rFonts w:asciiTheme="minorHAnsi" w:hAnsiTheme="minorHAnsi" w:cstheme="minorHAnsi"/>
        </w:rPr>
        <w:instrText xml:space="preserve">" \s "R v Saleh [2015] NSWCCA 299" \c 1 </w:instrText>
      </w:r>
      <w:r w:rsidRPr="00EB7F1E">
        <w:rPr>
          <w:rFonts w:asciiTheme="minorHAnsi" w:hAnsiTheme="minorHAnsi" w:cstheme="minorHAnsi"/>
        </w:rPr>
        <w:fldChar w:fldCharType="end"/>
      </w:r>
      <w:r w:rsidRPr="007809F4">
        <w:rPr>
          <w:rFonts w:asciiTheme="minorHAnsi" w:hAnsiTheme="minorHAnsi" w:cstheme="minorHAnsi"/>
        </w:rPr>
        <w:t>, [5].</w:t>
      </w:r>
    </w:p>
  </w:footnote>
  <w:footnote w:id="269">
    <w:p w14:paraId="4BBC428B" w14:textId="4B22D2E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Xiao v R </w:t>
      </w:r>
      <w:r w:rsidRPr="007809F4">
        <w:rPr>
          <w:rFonts w:asciiTheme="minorHAnsi" w:hAnsiTheme="minorHAnsi" w:cstheme="minorHAnsi"/>
        </w:rPr>
        <w:t>(2018)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70">
    <w:p w14:paraId="593247A3" w14:textId="2E99152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Harrington</w:t>
      </w:r>
      <w:r w:rsidRPr="007809F4">
        <w:rPr>
          <w:rFonts w:asciiTheme="minorHAnsi" w:hAnsiTheme="minorHAnsi" w:cstheme="minorHAnsi"/>
        </w:rPr>
        <w:t xml:space="preserve"> (2016) 11 ACTLR 215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Harrington</w:instrText>
      </w:r>
      <w:r w:rsidRPr="007809F4">
        <w:rPr>
          <w:rFonts w:asciiTheme="minorHAnsi" w:hAnsiTheme="minorHAnsi" w:cstheme="minorHAnsi"/>
        </w:rPr>
        <w:instrText xml:space="preserve"> (2016) 11 ACTLR 215" \s "R v Harrington (2016) 11 ACTLR 215"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71">
    <w:p w14:paraId="79DDA869" w14:textId="120130E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 xml:space="preserve"> </w:t>
      </w:r>
      <w:r w:rsidRPr="007809F4">
        <w:rPr>
          <w:rFonts w:asciiTheme="minorHAnsi" w:hAnsiTheme="minorHAnsi" w:cstheme="minorHAnsi"/>
          <w:i/>
        </w:rPr>
        <w:tab/>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72">
    <w:p w14:paraId="51BCD8AB" w14:textId="52BE9B2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Xiao v R </w:t>
      </w:r>
      <w:r w:rsidRPr="007809F4">
        <w:rPr>
          <w:rFonts w:asciiTheme="minorHAnsi" w:hAnsiTheme="minorHAnsi" w:cstheme="minorHAnsi"/>
        </w:rPr>
        <w:t>(2018)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73">
    <w:p w14:paraId="63A9BCA7" w14:textId="1AFE7B6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See the comprehensive review of the authorities in </w:t>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w:instrText>
      </w:r>
      <w:r w:rsidRPr="00EB7F1E">
        <w:rPr>
          <w:rFonts w:asciiTheme="minorHAnsi" w:hAnsiTheme="minorHAnsi" w:cstheme="minorHAnsi"/>
        </w:rPr>
        <w:fldChar w:fldCharType="end"/>
      </w:r>
      <w:r w:rsidRPr="007809F4">
        <w:rPr>
          <w:rFonts w:asciiTheme="minorHAnsi" w:hAnsiTheme="minorHAnsi" w:cstheme="minorHAnsi"/>
        </w:rPr>
        <w:t xml:space="preserve"> and in </w:t>
      </w:r>
      <w:r w:rsidRPr="007809F4">
        <w:rPr>
          <w:rFonts w:asciiTheme="minorHAnsi" w:hAnsiTheme="minorHAnsi" w:cstheme="minorHAnsi"/>
          <w:i/>
        </w:rPr>
        <w:t xml:space="preserve">Xiao v R </w:t>
      </w:r>
      <w:r w:rsidRPr="007809F4">
        <w:rPr>
          <w:rFonts w:asciiTheme="minorHAnsi" w:hAnsiTheme="minorHAnsi" w:cstheme="minorHAnsi"/>
        </w:rPr>
        <w:t>(2018)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 xml:space="preserve">, [223]–[280].  Most of the cases referred to did not concern federal offenders.  In those which do (in jurisdictions other than NSW, Victoria or the ACT), observations which might be taken to suggest a similar approach to that in </w:t>
      </w:r>
      <w:r w:rsidRPr="007809F4">
        <w:rPr>
          <w:rFonts w:asciiTheme="minorHAnsi" w:hAnsiTheme="minorHAnsi" w:cstheme="minorHAnsi"/>
          <w:i/>
        </w:rPr>
        <w:t>Tyler</w:t>
      </w:r>
      <w:r w:rsidRPr="007809F4">
        <w:rPr>
          <w:rFonts w:asciiTheme="minorHAnsi" w:hAnsiTheme="minorHAnsi" w:cstheme="minorHAnsi"/>
        </w:rPr>
        <w:t xml:space="preserve"> were </w:t>
      </w:r>
      <w:r w:rsidRPr="007809F4">
        <w:rPr>
          <w:rFonts w:asciiTheme="minorHAnsi" w:hAnsiTheme="minorHAnsi" w:cstheme="minorHAnsi"/>
          <w:i/>
        </w:rPr>
        <w:t>obiter dicta</w:t>
      </w:r>
      <w:r w:rsidRPr="007809F4">
        <w:rPr>
          <w:rFonts w:asciiTheme="minorHAnsi" w:hAnsiTheme="minorHAnsi" w:cstheme="minorHAnsi"/>
        </w:rPr>
        <w:t xml:space="preserve">: e.g. </w:t>
      </w:r>
      <w:r w:rsidRPr="007809F4">
        <w:rPr>
          <w:rFonts w:asciiTheme="minorHAnsi" w:hAnsiTheme="minorHAnsi" w:cstheme="minorHAnsi"/>
          <w:i/>
        </w:rPr>
        <w:t>Wangsaimas v R</w:t>
      </w:r>
      <w:r w:rsidRPr="007809F4">
        <w:rPr>
          <w:rFonts w:asciiTheme="minorHAnsi" w:hAnsiTheme="minorHAnsi" w:cstheme="minorHAnsi"/>
        </w:rPr>
        <w:t xml:space="preserve"> (1996) 6 NTLR 14</w:t>
      </w:r>
      <w:r w:rsidRPr="00EB7F1E">
        <w:rPr>
          <w:rFonts w:asciiTheme="minorHAnsi" w:hAnsiTheme="minorHAnsi" w:cstheme="minorHAnsi"/>
        </w:rPr>
        <w:fldChar w:fldCharType="begin"/>
      </w:r>
      <w:r w:rsidRPr="00EB7F1E">
        <w:rPr>
          <w:rFonts w:asciiTheme="minorHAnsi" w:hAnsiTheme="minorHAnsi" w:cstheme="minorHAnsi"/>
        </w:rPr>
        <w:instrText xml:space="preserve"> TA \s "Wangsaimas v R (1996) 6 NTLR 14"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Bahar v R</w:t>
      </w:r>
      <w:r w:rsidRPr="007809F4">
        <w:rPr>
          <w:rFonts w:asciiTheme="minorHAnsi" w:hAnsiTheme="minorHAnsi" w:cstheme="minorHAnsi"/>
        </w:rPr>
        <w:t xml:space="preserve"> (2011) 45 WAR 100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Bahar v R</w:instrText>
      </w:r>
      <w:r w:rsidRPr="007809F4">
        <w:rPr>
          <w:rFonts w:asciiTheme="minorHAnsi" w:hAnsiTheme="minorHAnsi" w:cstheme="minorHAnsi"/>
        </w:rPr>
        <w:instrText xml:space="preserve"> (2011) 45 WAR 100" \s "Bahar v R (2011) 45 WAR 100" \c 1 </w:instrText>
      </w:r>
      <w:r w:rsidRPr="00EB7F1E">
        <w:rPr>
          <w:rFonts w:asciiTheme="minorHAnsi" w:hAnsiTheme="minorHAnsi" w:cstheme="minorHAnsi"/>
        </w:rPr>
        <w:fldChar w:fldCharType="end"/>
      </w:r>
      <w:r w:rsidRPr="007809F4">
        <w:rPr>
          <w:rFonts w:asciiTheme="minorHAnsi" w:hAnsiTheme="minorHAnsi" w:cstheme="minorHAnsi"/>
        </w:rPr>
        <w:t xml:space="preserve">, [41].  In </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bCs/>
          <w:i/>
          <w:iCs/>
        </w:rPr>
        <w:instrText>R v Place</w:instrText>
      </w:r>
      <w:r w:rsidRPr="007809F4">
        <w:rPr>
          <w:rFonts w:asciiTheme="minorHAnsi" w:hAnsiTheme="minorHAnsi" w:cstheme="minorHAnsi"/>
        </w:rPr>
        <w:instrText xml:space="preserve"> (2002) 81 SASR 395</w:instrText>
      </w:r>
      <w:r w:rsidRPr="00EB7F1E">
        <w:rPr>
          <w:rFonts w:asciiTheme="minorHAnsi" w:hAnsiTheme="minorHAnsi" w:cstheme="minorHAnsi"/>
        </w:rPr>
        <w:instrText xml:space="preserve">" \s "R v Place (2002) 81 SASR 395" \c 1 </w:instrText>
      </w:r>
      <w:r w:rsidRPr="00EB7F1E">
        <w:rPr>
          <w:rFonts w:asciiTheme="minorHAnsi" w:hAnsiTheme="minorHAnsi" w:cstheme="minorHAnsi"/>
          <w:i/>
        </w:rPr>
        <w:fldChar w:fldCharType="end"/>
      </w:r>
      <w:r w:rsidRPr="007809F4">
        <w:rPr>
          <w:rFonts w:asciiTheme="minorHAnsi" w:hAnsiTheme="minorHAnsi" w:cstheme="minorHAnsi"/>
          <w:i/>
        </w:rPr>
        <w:t>R v Place</w:t>
      </w:r>
      <w:r w:rsidRPr="007809F4">
        <w:rPr>
          <w:rFonts w:asciiTheme="minorHAnsi" w:hAnsiTheme="minorHAnsi" w:cstheme="minorHAnsi"/>
        </w:rPr>
        <w:t xml:space="preserve"> (2002) 81 SASR 395, [74]-[78], the South Australian Court of Criminal Appeal expressed a tentative view that cognate South Australian legislation (upon which s 16A was largely based) permitted a sentence reduction on purely utilitarian grounds. </w:t>
      </w:r>
    </w:p>
  </w:footnote>
  <w:footnote w:id="274">
    <w:p w14:paraId="22710449" w14:textId="58C0AA4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R v KAT</w:t>
      </w:r>
      <w:r w:rsidRPr="00EB7F1E">
        <w:rPr>
          <w:rFonts w:asciiTheme="minorHAnsi" w:hAnsiTheme="minorHAnsi" w:cstheme="minorHAnsi"/>
        </w:rPr>
        <w:t xml:space="preserve"> [2018] QCA 306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KAT</w:instrText>
      </w:r>
      <w:r w:rsidRPr="00EB7F1E">
        <w:rPr>
          <w:rFonts w:asciiTheme="minorHAnsi" w:hAnsiTheme="minorHAnsi" w:cstheme="minorHAnsi"/>
        </w:rPr>
        <w:instrText xml:space="preserve"> [2018] QCA 306" \s "R v KAT [2018] QCA 306" \c 1 </w:instrText>
      </w:r>
      <w:r w:rsidRPr="00EB7F1E">
        <w:rPr>
          <w:rFonts w:asciiTheme="minorHAnsi" w:hAnsiTheme="minorHAnsi" w:cstheme="minorHAnsi"/>
        </w:rPr>
        <w:fldChar w:fldCharType="end"/>
      </w:r>
      <w:r w:rsidRPr="007809F4">
        <w:rPr>
          <w:rFonts w:asciiTheme="minorHAnsi" w:hAnsiTheme="minorHAnsi" w:cstheme="minorHAnsi"/>
        </w:rPr>
        <w:t>, [61]</w:t>
      </w:r>
    </w:p>
  </w:footnote>
  <w:footnote w:id="275">
    <w:p w14:paraId="5E310063" w14:textId="0D63B8D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Dunning v Tasmania</w:t>
      </w:r>
      <w:r w:rsidRPr="00EB7F1E">
        <w:rPr>
          <w:rFonts w:asciiTheme="minorHAnsi" w:hAnsiTheme="minorHAnsi" w:cstheme="minorHAnsi"/>
        </w:rPr>
        <w:t xml:space="preserve"> [2018] TASCCA 21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Dunning v Tasmania</w:instrText>
      </w:r>
      <w:r w:rsidRPr="00EB7F1E">
        <w:rPr>
          <w:rFonts w:asciiTheme="minorHAnsi" w:hAnsiTheme="minorHAnsi" w:cstheme="minorHAnsi"/>
        </w:rPr>
        <w:instrText xml:space="preserve"> [2018] TASCCA 21" \s "Dunning v Tasmania [2018] TASCCA 21" \c 1 </w:instrText>
      </w:r>
      <w:r w:rsidRPr="00EB7F1E">
        <w:rPr>
          <w:rFonts w:asciiTheme="minorHAnsi" w:hAnsiTheme="minorHAnsi" w:cstheme="minorHAnsi"/>
        </w:rPr>
        <w:fldChar w:fldCharType="end"/>
      </w:r>
      <w:r w:rsidRPr="007809F4">
        <w:rPr>
          <w:rFonts w:asciiTheme="minorHAnsi" w:hAnsiTheme="minorHAnsi" w:cstheme="minorHAnsi"/>
        </w:rPr>
        <w:t>, [22]-[25].</w:t>
      </w:r>
    </w:p>
  </w:footnote>
  <w:footnote w:id="276">
    <w:p w14:paraId="4D72DE40" w14:textId="09E9CA0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An automatic discount would be inconsistent with the requirement of s 16A(1) of the </w:t>
      </w:r>
      <w:r w:rsidRPr="007809F4">
        <w:rPr>
          <w:rFonts w:asciiTheme="minorHAnsi" w:hAnsiTheme="minorHAnsi" w:cstheme="minorHAnsi"/>
          <w:i/>
        </w:rPr>
        <w:t>Crimes Act 1914</w:t>
      </w:r>
      <w:r w:rsidRPr="007809F4">
        <w:rPr>
          <w:rFonts w:asciiTheme="minorHAnsi" w:hAnsiTheme="minorHAnsi" w:cstheme="minorHAnsi"/>
        </w:rPr>
        <w:t xml:space="preserve"> that a sentence be appropriate in its severity in all the circumstances of the case: cf. </w:t>
      </w:r>
      <w:r w:rsidRPr="007809F4">
        <w:rPr>
          <w:rFonts w:asciiTheme="minorHAnsi" w:hAnsiTheme="minorHAnsi" w:cstheme="minorHAnsi"/>
          <w:i/>
        </w:rPr>
        <w:t>Bui v DPP (Cth)</w:t>
      </w:r>
      <w:r w:rsidRPr="007809F4">
        <w:rPr>
          <w:rFonts w:asciiTheme="minorHAnsi" w:hAnsiTheme="minorHAnsi" w:cstheme="minorHAnsi"/>
        </w:rPr>
        <w:t xml:space="preserve"> (2012)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[19].</w:t>
      </w:r>
      <w:r w:rsidRPr="00EB7F1E">
        <w:rPr>
          <w:rFonts w:asciiTheme="minorHAnsi" w:hAnsiTheme="minorHAnsi" w:cstheme="minorHAnsi"/>
        </w:rPr>
        <w:fldChar w:fldCharType="begin"/>
      </w:r>
      <w:r w:rsidRPr="007809F4">
        <w:rPr>
          <w:rFonts w:asciiTheme="minorHAnsi" w:hAnsiTheme="minorHAnsi" w:cstheme="minorHAnsi"/>
        </w:rPr>
        <w:instrText xml:space="preserve">  "Walker v R [2008] NTCCA 7" </w:instrText>
      </w:r>
      <w:r w:rsidRPr="00EB7F1E">
        <w:rPr>
          <w:rFonts w:asciiTheme="minorHAnsi" w:hAnsiTheme="minorHAnsi" w:cstheme="minorHAnsi"/>
        </w:rPr>
        <w:fldChar w:fldCharType="end"/>
      </w:r>
    </w:p>
  </w:footnote>
  <w:footnote w:id="277">
    <w:p w14:paraId="4AC50F5F" w14:textId="641DA5A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There may be cases in which the maximum penalty is warranted notwithstanding a plea of guilty: see </w:t>
      </w:r>
      <w:r w:rsidRPr="007809F4">
        <w:rPr>
          <w:rFonts w:asciiTheme="minorHAnsi" w:hAnsiTheme="minorHAnsi" w:cstheme="minorHAnsi"/>
          <w:i/>
        </w:rPr>
        <w:t>Moody v French</w:t>
      </w:r>
      <w:r w:rsidRPr="007809F4">
        <w:rPr>
          <w:rFonts w:asciiTheme="minorHAnsi" w:hAnsiTheme="minorHAnsi" w:cstheme="minorHAnsi"/>
        </w:rPr>
        <w:t xml:space="preserve"> </w:t>
      </w:r>
      <w:r w:rsidRPr="00EB7F1E">
        <w:rPr>
          <w:rStyle w:val="ssrolluprptrline"/>
          <w:rFonts w:asciiTheme="minorHAnsi" w:hAnsiTheme="minorHAnsi" w:cstheme="minorHAnsi"/>
        </w:rPr>
        <w:t>(</w:t>
      </w:r>
      <w:r w:rsidRPr="007809F4">
        <w:rPr>
          <w:rFonts w:asciiTheme="minorHAnsi" w:hAnsiTheme="minorHAnsi" w:cstheme="minorHAnsi"/>
        </w:rPr>
        <w:t xml:space="preserve">2008) 36 WAR 393, [29]-[38].  This is but one example of a circumstance in which there may be no reduction of sentence for a plea of guilty: </w:t>
      </w:r>
      <w:r w:rsidRPr="007809F4">
        <w:rPr>
          <w:rFonts w:asciiTheme="minorHAnsi" w:hAnsiTheme="minorHAnsi" w:cstheme="minorHAnsi"/>
          <w:i/>
        </w:rPr>
        <w:t>Royer v Western Australia</w:t>
      </w:r>
      <w:r w:rsidRPr="007809F4">
        <w:rPr>
          <w:rFonts w:asciiTheme="minorHAnsi" w:hAnsiTheme="minorHAnsi" w:cstheme="minorHAnsi"/>
        </w:rPr>
        <w:t xml:space="preserve"> [2009] WASCA 139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Royer v Western Australia</w:instrText>
      </w:r>
      <w:r w:rsidRPr="007809F4">
        <w:rPr>
          <w:rFonts w:asciiTheme="minorHAnsi" w:hAnsiTheme="minorHAnsi" w:cstheme="minorHAnsi"/>
        </w:rPr>
        <w:instrText xml:space="preserve"> [2009] WASCA 139</w:instrText>
      </w:r>
      <w:r w:rsidRPr="00EB7F1E">
        <w:rPr>
          <w:rFonts w:asciiTheme="minorHAnsi" w:hAnsiTheme="minorHAnsi" w:cstheme="minorHAnsi"/>
        </w:rPr>
        <w:instrText xml:space="preserve">" \s "Royer v Western Australia [2009] WASCA 139" \c 1 </w:instrText>
      </w:r>
      <w:r w:rsidRPr="00EB7F1E">
        <w:rPr>
          <w:rFonts w:asciiTheme="minorHAnsi" w:hAnsiTheme="minorHAnsi" w:cstheme="minorHAnsi"/>
        </w:rPr>
        <w:fldChar w:fldCharType="end"/>
      </w:r>
      <w:r w:rsidRPr="007809F4">
        <w:rPr>
          <w:rFonts w:asciiTheme="minorHAnsi" w:hAnsiTheme="minorHAnsi" w:cstheme="minorHAnsi"/>
        </w:rPr>
        <w:t xml:space="preserve">, [57]-[58].  See </w:t>
      </w:r>
      <w:r w:rsidRPr="007809F4">
        <w:rPr>
          <w:rFonts w:asciiTheme="minorHAnsi" w:hAnsiTheme="minorHAnsi" w:cstheme="minorHAnsi"/>
          <w:i/>
        </w:rPr>
        <w:t xml:space="preserve">Phillips v R </w:t>
      </w:r>
      <w:r w:rsidRPr="007809F4">
        <w:rPr>
          <w:rFonts w:asciiTheme="minorHAnsi" w:hAnsiTheme="minorHAnsi" w:cstheme="minorHAnsi"/>
        </w:rPr>
        <w:t>(2012) 37 VR 594</w:t>
      </w:r>
      <w:r w:rsidRPr="00EB7F1E">
        <w:rPr>
          <w:rFonts w:asciiTheme="minorHAnsi" w:hAnsiTheme="minorHAnsi" w:cstheme="minorHAnsi"/>
        </w:rPr>
        <w:fldChar w:fldCharType="begin"/>
      </w:r>
      <w:r w:rsidRPr="007809F4">
        <w:rPr>
          <w:rFonts w:asciiTheme="minorHAnsi" w:hAnsiTheme="minorHAnsi" w:cstheme="minorHAnsi"/>
        </w:rPr>
        <w:instrText xml:space="preserve"> TA \s "Phillips v R (2012) 37 VR 594" </w:instrText>
      </w:r>
      <w:r w:rsidRPr="00EB7F1E">
        <w:rPr>
          <w:rFonts w:asciiTheme="minorHAnsi" w:hAnsiTheme="minorHAnsi" w:cstheme="minorHAnsi"/>
        </w:rPr>
        <w:fldChar w:fldCharType="end"/>
      </w:r>
      <w:r w:rsidRPr="007809F4">
        <w:rPr>
          <w:rFonts w:asciiTheme="minorHAnsi" w:hAnsiTheme="minorHAnsi" w:cstheme="minorHAnsi"/>
        </w:rPr>
        <w:t xml:space="preserve">, [24], [36], [55], [59], [67], [93].  A mandatory minimum penalty may also have the effect of preventing a reduction of sentence for a plea of guilty: </w:t>
      </w:r>
      <w:r w:rsidRPr="00EB7F1E">
        <w:rPr>
          <w:rFonts w:asciiTheme="minorHAnsi" w:hAnsiTheme="minorHAnsi" w:cstheme="minorHAnsi"/>
          <w:i/>
          <w:iCs/>
        </w:rPr>
        <w:t>Atherden v Western Australia</w:t>
      </w:r>
      <w:r w:rsidRPr="00EB7F1E">
        <w:rPr>
          <w:rFonts w:asciiTheme="minorHAnsi" w:hAnsiTheme="minorHAnsi" w:cstheme="minorHAnsi"/>
        </w:rPr>
        <w:t xml:space="preserve"> [2010] WASCA 33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Atherden v Western Australia</w:instrText>
      </w:r>
      <w:r w:rsidRPr="00EB7F1E">
        <w:rPr>
          <w:rFonts w:asciiTheme="minorHAnsi" w:hAnsiTheme="minorHAnsi" w:cstheme="minorHAnsi"/>
        </w:rPr>
        <w:instrText xml:space="preserve"> [2010] WASCA 33" \s "Atherden v Western Australia [2010] WASCA 33" \c 1 </w:instrText>
      </w:r>
      <w:r w:rsidRPr="00EB7F1E">
        <w:rPr>
          <w:rFonts w:asciiTheme="minorHAnsi" w:hAnsiTheme="minorHAnsi" w:cstheme="minorHAnsi"/>
        </w:rPr>
        <w:fldChar w:fldCharType="end"/>
      </w:r>
      <w:r w:rsidRPr="00EB7F1E">
        <w:rPr>
          <w:rFonts w:asciiTheme="minorHAnsi" w:hAnsiTheme="minorHAnsi" w:cstheme="minorHAnsi"/>
        </w:rPr>
        <w:t>, [42]-[43], approved in</w:t>
      </w:r>
      <w:r w:rsidRPr="007809F4">
        <w:rPr>
          <w:rFonts w:asciiTheme="minorHAnsi" w:hAnsiTheme="minorHAnsi" w:cstheme="minorHAnsi"/>
        </w:rPr>
        <w:t xml:space="preserve"> </w:t>
      </w:r>
      <w:r w:rsidRPr="007809F4">
        <w:rPr>
          <w:rFonts w:asciiTheme="minorHAnsi" w:hAnsiTheme="minorHAnsi" w:cstheme="minorHAnsi"/>
          <w:i/>
          <w:iCs/>
        </w:rPr>
        <w:t>Bahar v R</w:t>
      </w:r>
      <w:r w:rsidRPr="007809F4">
        <w:rPr>
          <w:rFonts w:asciiTheme="minorHAnsi" w:hAnsiTheme="minorHAnsi" w:cstheme="minorHAnsi"/>
        </w:rPr>
        <w:t xml:space="preserve"> (2011) 45 WAR 100</w:t>
      </w:r>
      <w:r w:rsidRPr="00EB7F1E">
        <w:rPr>
          <w:rFonts w:asciiTheme="minorHAnsi" w:hAnsiTheme="minorHAnsi" w:cstheme="minorHAnsi"/>
        </w:rPr>
        <w:fldChar w:fldCharType="begin"/>
      </w:r>
      <w:r w:rsidRPr="00EB7F1E">
        <w:rPr>
          <w:rFonts w:asciiTheme="minorHAnsi" w:hAnsiTheme="minorHAnsi" w:cstheme="minorHAnsi"/>
        </w:rPr>
        <w:instrText xml:space="preserve"> TA \s "Bahar v R (2011) 45 WAR 100" </w:instrText>
      </w:r>
      <w:r w:rsidRPr="00EB7F1E">
        <w:rPr>
          <w:rFonts w:asciiTheme="minorHAnsi" w:hAnsiTheme="minorHAnsi" w:cstheme="minorHAnsi"/>
        </w:rPr>
        <w:fldChar w:fldCharType="end"/>
      </w:r>
      <w:r w:rsidRPr="007809F4">
        <w:rPr>
          <w:rFonts w:asciiTheme="minorHAnsi" w:hAnsiTheme="minorHAnsi" w:cstheme="minorHAnsi"/>
        </w:rPr>
        <w:t>, [56]-[57].</w:t>
      </w:r>
      <w:r w:rsidRPr="00EB7F1E">
        <w:rPr>
          <w:rFonts w:asciiTheme="minorHAnsi" w:hAnsiTheme="minorHAnsi" w:cstheme="minorHAnsi"/>
        </w:rPr>
        <w:fldChar w:fldCharType="begin"/>
      </w:r>
      <w:r w:rsidRPr="007809F4">
        <w:rPr>
          <w:rFonts w:asciiTheme="minorHAnsi" w:hAnsiTheme="minorHAnsi" w:cstheme="minorHAnsi"/>
        </w:rPr>
        <w:instrText xml:space="preserve">  "Walker v R [2008] NTCCA 7" </w:instrText>
      </w:r>
      <w:r w:rsidRPr="00EB7F1E">
        <w:rPr>
          <w:rFonts w:asciiTheme="minorHAnsi" w:hAnsiTheme="minorHAnsi" w:cstheme="minorHAnsi"/>
        </w:rPr>
        <w:fldChar w:fldCharType="end"/>
      </w:r>
    </w:p>
  </w:footnote>
  <w:footnote w:id="278">
    <w:p w14:paraId="04EB8C5A" w14:textId="4565B4A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Donnelly</w:t>
      </w:r>
      <w:r w:rsidRPr="007809F4">
        <w:rPr>
          <w:rFonts w:asciiTheme="minorHAnsi" w:hAnsiTheme="minorHAnsi" w:cstheme="minorHAnsi"/>
        </w:rPr>
        <w:t xml:space="preserve"> [1998] 1 VR 645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Donnelly</w:instrText>
      </w:r>
      <w:r w:rsidRPr="007809F4">
        <w:rPr>
          <w:rFonts w:asciiTheme="minorHAnsi" w:hAnsiTheme="minorHAnsi" w:cstheme="minorHAnsi"/>
        </w:rPr>
        <w:instrText xml:space="preserve"> [1998] 1 VR 645" \s "</w:instrText>
      </w:r>
      <w:r w:rsidRPr="007809F4">
        <w:rPr>
          <w:rFonts w:asciiTheme="minorHAnsi" w:hAnsiTheme="minorHAnsi" w:cstheme="minorHAnsi"/>
          <w:i/>
        </w:rPr>
        <w:instrText xml:space="preserve"> R v Donnelly</w:instrText>
      </w:r>
      <w:r w:rsidRPr="007809F4">
        <w:rPr>
          <w:rFonts w:asciiTheme="minorHAnsi" w:hAnsiTheme="minorHAnsi" w:cstheme="minorHAnsi"/>
        </w:rPr>
        <w:instrText xml:space="preserve"> [1998] 1 VR 645"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Donnelly [1998] 1 VR 645"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Duncan</w:t>
      </w:r>
      <w:r w:rsidRPr="007809F4">
        <w:rPr>
          <w:rFonts w:asciiTheme="minorHAnsi" w:hAnsiTheme="minorHAnsi" w:cstheme="minorHAnsi"/>
        </w:rPr>
        <w:t xml:space="preserve"> [1998] 3 VR 208</w:t>
      </w:r>
      <w:r w:rsidRPr="00EB7F1E">
        <w:rPr>
          <w:rFonts w:asciiTheme="minorHAnsi" w:hAnsiTheme="minorHAnsi" w:cstheme="minorHAnsi"/>
        </w:rPr>
        <w:fldChar w:fldCharType="begin"/>
      </w:r>
      <w:r w:rsidRPr="007809F4">
        <w:rPr>
          <w:rFonts w:asciiTheme="minorHAnsi" w:hAnsiTheme="minorHAnsi" w:cstheme="minorHAnsi"/>
        </w:rPr>
        <w:instrText xml:space="preserve"> TA \s "R v Duncan [1998] 3 VR 208"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Duncan [1998] 3 VR 208"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Wangsaimas v R</w:t>
      </w:r>
      <w:r w:rsidRPr="007809F4">
        <w:rPr>
          <w:rFonts w:asciiTheme="minorHAnsi" w:hAnsiTheme="minorHAnsi" w:cstheme="minorHAnsi"/>
        </w:rPr>
        <w:t xml:space="preserve"> (1996) 6 NTLR 14</w:t>
      </w:r>
      <w:r w:rsidRPr="00EB7F1E">
        <w:rPr>
          <w:rFonts w:asciiTheme="minorHAnsi" w:hAnsiTheme="minorHAnsi" w:cstheme="minorHAnsi"/>
        </w:rPr>
        <w:fldChar w:fldCharType="begin"/>
      </w:r>
      <w:r w:rsidRPr="007809F4">
        <w:rPr>
          <w:rFonts w:asciiTheme="minorHAnsi" w:hAnsiTheme="minorHAnsi" w:cstheme="minorHAnsi"/>
        </w:rPr>
        <w:instrText xml:space="preserve"> TA \s "Wangsaimas v R (1996) 6 NTLR 14"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"Wangsaimas v R (1996) 6 NTLR 14" </w:instrText>
      </w:r>
      <w:r w:rsidRPr="00EB7F1E">
        <w:rPr>
          <w:rFonts w:asciiTheme="minorHAnsi" w:hAnsiTheme="minorHAnsi" w:cstheme="minorHAnsi"/>
        </w:rPr>
        <w:fldChar w:fldCharType="end"/>
      </w:r>
      <w:r w:rsidRPr="007809F4">
        <w:rPr>
          <w:rFonts w:asciiTheme="minorHAnsi" w:hAnsiTheme="minorHAnsi" w:cstheme="minorHAnsi"/>
        </w:rPr>
        <w:t xml:space="preserve">, 171; </w:t>
      </w:r>
      <w:r w:rsidRPr="007809F4">
        <w:rPr>
          <w:rFonts w:asciiTheme="minorHAnsi" w:hAnsiTheme="minorHAnsi" w:cstheme="minorHAnsi"/>
          <w:i/>
        </w:rPr>
        <w:t>R v Pajic</w:t>
      </w:r>
      <w:r w:rsidRPr="007809F4">
        <w:rPr>
          <w:rFonts w:asciiTheme="minorHAnsi" w:hAnsiTheme="minorHAnsi" w:cstheme="minorHAnsi"/>
        </w:rPr>
        <w:t xml:space="preserve"> [2009] VSCA 53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Pajic</w:instrText>
      </w:r>
      <w:r w:rsidRPr="007809F4">
        <w:rPr>
          <w:rFonts w:asciiTheme="minorHAnsi" w:hAnsiTheme="minorHAnsi" w:cstheme="minorHAnsi"/>
        </w:rPr>
        <w:instrText xml:space="preserve"> [2009] VSCA 53" \s "R v Pajic [2009] VSCA 53"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Graziosi v DPP (Cth)</w:t>
      </w:r>
      <w:r w:rsidRPr="007809F4">
        <w:rPr>
          <w:rFonts w:asciiTheme="minorHAnsi" w:hAnsiTheme="minorHAnsi" w:cstheme="minorHAnsi"/>
        </w:rPr>
        <w:t xml:space="preserve"> [2011] VSCA 418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Graziosi v DPP (Cth)</w:instrText>
      </w:r>
      <w:r w:rsidRPr="007809F4">
        <w:rPr>
          <w:rFonts w:asciiTheme="minorHAnsi" w:hAnsiTheme="minorHAnsi" w:cstheme="minorHAnsi"/>
        </w:rPr>
        <w:instrText xml:space="preserve"> [2011] VSCA 418</w:instrText>
      </w:r>
      <w:r w:rsidRPr="00EB7F1E">
        <w:rPr>
          <w:rFonts w:asciiTheme="minorHAnsi" w:hAnsiTheme="minorHAnsi" w:cstheme="minorHAnsi"/>
        </w:rPr>
        <w:instrText xml:space="preserve">" \s "Graziosi v DPP (Cth) [2011] VSCA 418" \c 1 </w:instrText>
      </w:r>
      <w:r w:rsidRPr="00EB7F1E">
        <w:rPr>
          <w:rFonts w:asciiTheme="minorHAnsi" w:hAnsiTheme="minorHAnsi" w:cstheme="minorHAnsi"/>
        </w:rPr>
        <w:fldChar w:fldCharType="end"/>
      </w:r>
      <w:r w:rsidRPr="007809F4">
        <w:rPr>
          <w:rFonts w:asciiTheme="minorHAnsi" w:hAnsiTheme="minorHAnsi" w:cstheme="minorHAnsi"/>
        </w:rPr>
        <w:t xml:space="preserve">, [15].  As to what constitutes the first reasonable opportunity, see </w:t>
      </w:r>
      <w:r w:rsidRPr="007809F4">
        <w:rPr>
          <w:rFonts w:asciiTheme="minorHAnsi" w:hAnsiTheme="minorHAnsi" w:cstheme="minorHAnsi"/>
          <w:bCs/>
          <w:i/>
          <w:iCs/>
        </w:rPr>
        <w:t>Cameron v R</w:t>
      </w:r>
      <w:r w:rsidRPr="007809F4">
        <w:rPr>
          <w:rFonts w:asciiTheme="minorHAnsi" w:hAnsiTheme="minorHAnsi" w:cstheme="minorHAnsi"/>
        </w:rPr>
        <w:t xml:space="preserve"> (2002) 209 CLR 339</w:t>
      </w:r>
      <w:r w:rsidRPr="00EB7F1E">
        <w:rPr>
          <w:rFonts w:asciiTheme="minorHAnsi" w:hAnsiTheme="minorHAnsi" w:cstheme="minorHAnsi"/>
        </w:rPr>
        <w:fldChar w:fldCharType="begin"/>
      </w:r>
      <w:r w:rsidRPr="007809F4">
        <w:rPr>
          <w:rFonts w:asciiTheme="minorHAnsi" w:hAnsiTheme="minorHAnsi" w:cstheme="minorHAnsi"/>
        </w:rPr>
        <w:instrText xml:space="preserve"> TA \s "Cameron v R (2002) 209 CLR 339"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79">
    <w:p w14:paraId="3E7BA4DD" w14:textId="7E15F60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xml:space="preserve">, [5], [7], [29]–[30], [144]–[149]; </w:t>
      </w:r>
      <w:r w:rsidRPr="007809F4">
        <w:rPr>
          <w:rFonts w:asciiTheme="minorHAnsi" w:hAnsiTheme="minorHAnsi" w:cstheme="minorHAnsi"/>
          <w:i/>
        </w:rPr>
        <w:t>Nicholls v R</w:t>
      </w:r>
      <w:r w:rsidRPr="007809F4">
        <w:rPr>
          <w:rFonts w:asciiTheme="minorHAnsi" w:hAnsiTheme="minorHAnsi" w:cstheme="minorHAnsi"/>
        </w:rPr>
        <w:t xml:space="preserve"> [2016] VSCA 300</w:t>
      </w:r>
      <w:r w:rsidRPr="00EB7F1E">
        <w:rPr>
          <w:rFonts w:asciiTheme="minorHAnsi" w:hAnsiTheme="minorHAnsi" w:cstheme="minorHAnsi"/>
        </w:rPr>
        <w:fldChar w:fldCharType="begin"/>
      </w:r>
      <w:r w:rsidRPr="007809F4">
        <w:rPr>
          <w:rFonts w:asciiTheme="minorHAnsi" w:hAnsiTheme="minorHAnsi" w:cstheme="minorHAnsi"/>
        </w:rPr>
        <w:instrText xml:space="preserve"> TA \s "Nicholls v R [2016] VSCA 300" </w:instrText>
      </w:r>
      <w:r w:rsidRPr="00EB7F1E">
        <w:rPr>
          <w:rFonts w:asciiTheme="minorHAnsi" w:hAnsiTheme="minorHAnsi" w:cstheme="minorHAnsi"/>
        </w:rPr>
        <w:fldChar w:fldCharType="end"/>
      </w:r>
      <w:r w:rsidRPr="007809F4">
        <w:rPr>
          <w:rFonts w:asciiTheme="minorHAnsi" w:hAnsiTheme="minorHAnsi" w:cstheme="minorHAnsi"/>
        </w:rPr>
        <w:t>, [24];</w:t>
      </w:r>
      <w:r w:rsidRPr="00EB7F1E">
        <w:rPr>
          <w:rFonts w:asciiTheme="minorHAnsi" w:hAnsiTheme="minorHAnsi" w:cstheme="minorHAnsi"/>
          <w:i/>
          <w:iCs/>
          <w:color w:val="330099"/>
          <w:lang w:eastAsia="ko-KR"/>
        </w:rPr>
        <w:t xml:space="preserve"> </w:t>
      </w:r>
      <w:r w:rsidRPr="007809F4">
        <w:rPr>
          <w:rFonts w:asciiTheme="minorHAnsi" w:hAnsiTheme="minorHAnsi" w:cstheme="minorHAnsi"/>
          <w:i/>
        </w:rPr>
        <w:t>Huang v R</w:t>
      </w:r>
      <w:r w:rsidRPr="007809F4">
        <w:rPr>
          <w:rFonts w:asciiTheme="minorHAnsi" w:hAnsiTheme="minorHAnsi" w:cstheme="minorHAnsi"/>
        </w:rPr>
        <w:t xml:space="preserve"> [2018] NSWCCA 70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Huang v R</w:instrText>
      </w:r>
      <w:r w:rsidRPr="007809F4">
        <w:rPr>
          <w:rFonts w:asciiTheme="minorHAnsi" w:hAnsiTheme="minorHAnsi" w:cstheme="minorHAnsi"/>
        </w:rPr>
        <w:instrText xml:space="preserve"> [2018] NSWCCA 70</w:instrText>
      </w:r>
      <w:r w:rsidRPr="00EB7F1E">
        <w:rPr>
          <w:rFonts w:asciiTheme="minorHAnsi" w:hAnsiTheme="minorHAnsi" w:cstheme="minorHAnsi"/>
        </w:rPr>
        <w:instrText xml:space="preserve">" \s "Huang v R [2018] NSWCCA 70" \c 1 </w:instrText>
      </w:r>
      <w:r w:rsidRPr="00EB7F1E">
        <w:rPr>
          <w:rFonts w:asciiTheme="minorHAnsi" w:hAnsiTheme="minorHAnsi" w:cstheme="minorHAnsi"/>
        </w:rPr>
        <w:fldChar w:fldCharType="end"/>
      </w:r>
      <w:r w:rsidRPr="007809F4">
        <w:rPr>
          <w:rFonts w:asciiTheme="minorHAnsi" w:hAnsiTheme="minorHAnsi" w:cstheme="minorHAnsi"/>
        </w:rPr>
        <w:t>, [15].</w:t>
      </w:r>
    </w:p>
  </w:footnote>
  <w:footnote w:id="280">
    <w:p w14:paraId="6618D8DA" w14:textId="2B8D4FC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NSW courts have taken a strict approach to this question.  In </w:t>
      </w:r>
      <w:r w:rsidRPr="007809F4">
        <w:rPr>
          <w:rFonts w:asciiTheme="minorHAnsi" w:hAnsiTheme="minorHAnsi" w:cstheme="minorHAnsi"/>
          <w:i/>
        </w:rPr>
        <w:t>Huang v R</w:t>
      </w:r>
      <w:r w:rsidRPr="007809F4">
        <w:rPr>
          <w:rFonts w:asciiTheme="minorHAnsi" w:hAnsiTheme="minorHAnsi" w:cstheme="minorHAnsi"/>
        </w:rPr>
        <w:t xml:space="preserve"> [2018] NSWCCA 70</w:t>
      </w:r>
      <w:r w:rsidRPr="00EB7F1E">
        <w:rPr>
          <w:rFonts w:asciiTheme="minorHAnsi" w:hAnsiTheme="minorHAnsi" w:cstheme="minorHAnsi"/>
        </w:rPr>
        <w:fldChar w:fldCharType="begin"/>
      </w:r>
      <w:r w:rsidRPr="007809F4">
        <w:rPr>
          <w:rFonts w:asciiTheme="minorHAnsi" w:hAnsiTheme="minorHAnsi" w:cstheme="minorHAnsi"/>
        </w:rPr>
        <w:instrText xml:space="preserve"> TA \s "Huang v R [2018] NSWCCA 70" </w:instrText>
      </w:r>
      <w:r w:rsidRPr="00EB7F1E">
        <w:rPr>
          <w:rFonts w:asciiTheme="minorHAnsi" w:hAnsiTheme="minorHAnsi" w:cstheme="minorHAnsi"/>
        </w:rPr>
        <w:fldChar w:fldCharType="end"/>
      </w:r>
      <w:r w:rsidRPr="007809F4">
        <w:rPr>
          <w:rFonts w:asciiTheme="minorHAnsi" w:hAnsiTheme="minorHAnsi" w:cstheme="minorHAnsi"/>
        </w:rPr>
        <w:t xml:space="preserve">, [9], Bathurst CJ said that </w:t>
      </w:r>
      <w:r w:rsidRPr="00EB7F1E">
        <w:rPr>
          <w:rFonts w:asciiTheme="minorHAnsi" w:hAnsiTheme="minorHAnsi" w:cstheme="minorHAnsi"/>
        </w:rPr>
        <w:t xml:space="preserve">to </w:t>
      </w:r>
      <w:r w:rsidRPr="007809F4">
        <w:rPr>
          <w:rFonts w:asciiTheme="minorHAnsi" w:hAnsiTheme="minorHAnsi" w:cstheme="minorHAnsi"/>
        </w:rPr>
        <w:t xml:space="preserve">fail to </w:t>
      </w:r>
      <w:r w:rsidRPr="00EB7F1E">
        <w:rPr>
          <w:rFonts w:asciiTheme="minorHAnsi" w:hAnsiTheme="minorHAnsi" w:cstheme="minorHAnsi"/>
        </w:rPr>
        <w:t>take into account the utilitarian value of a plea in sentencing a federal offender constitutes error</w:t>
      </w:r>
      <w:r w:rsidRPr="007809F4">
        <w:rPr>
          <w:rFonts w:asciiTheme="minorHAnsi" w:hAnsiTheme="minorHAnsi" w:cstheme="minorHAnsi"/>
        </w:rPr>
        <w:t xml:space="preserve">.  </w:t>
      </w:r>
      <w:r w:rsidRPr="00EB7F1E">
        <w:rPr>
          <w:rFonts w:asciiTheme="minorHAnsi" w:hAnsiTheme="minorHAnsi" w:cstheme="minorHAnsi"/>
        </w:rPr>
        <w:t>Following the decision in</w:t>
      </w:r>
      <w:r w:rsidRPr="007809F4">
        <w:rPr>
          <w:rFonts w:asciiTheme="minorHAnsi" w:hAnsiTheme="minorHAnsi" w:cstheme="minorHAnsi"/>
          <w:i/>
        </w:rPr>
        <w:t xml:space="preserve"> Xiao v R </w:t>
      </w:r>
      <w:r w:rsidRPr="007809F4">
        <w:rPr>
          <w:rFonts w:asciiTheme="minorHAnsi" w:hAnsiTheme="minorHAnsi" w:cstheme="minorHAnsi"/>
        </w:rPr>
        <w:t>(2018)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 appeals have been upheld in relation to a number of pre-</w:t>
      </w:r>
      <w:r w:rsidRPr="00EB7F1E">
        <w:rPr>
          <w:rFonts w:asciiTheme="minorHAnsi" w:hAnsiTheme="minorHAnsi" w:cstheme="minorHAnsi"/>
          <w:i/>
        </w:rPr>
        <w:t>Xiao</w:t>
      </w:r>
      <w:r w:rsidRPr="007809F4">
        <w:rPr>
          <w:rFonts w:asciiTheme="minorHAnsi" w:hAnsiTheme="minorHAnsi" w:cstheme="minorHAnsi"/>
        </w:rPr>
        <w:t xml:space="preserve"> sentences in NSW, on the basis that the sentencing judge (in accordance with previous authority) made no allowance for the utilitarian value of the plea: see</w:t>
      </w:r>
      <w:r w:rsidRPr="00EB7F1E">
        <w:rPr>
          <w:rStyle w:val="Heading1Char"/>
          <w:rFonts w:asciiTheme="minorHAnsi" w:hAnsiTheme="minorHAnsi" w:cstheme="minorHAnsi"/>
          <w:sz w:val="20"/>
          <w:szCs w:val="20"/>
        </w:rPr>
        <w:t xml:space="preserve"> </w:t>
      </w:r>
      <w:r w:rsidRPr="00EB7F1E">
        <w:rPr>
          <w:rFonts w:asciiTheme="minorHAnsi" w:hAnsiTheme="minorHAnsi" w:cstheme="minorHAnsi"/>
          <w:i/>
        </w:rPr>
        <w:t>Naizmand v R</w:t>
      </w:r>
      <w:r w:rsidRPr="00EB7F1E">
        <w:rPr>
          <w:rFonts w:asciiTheme="minorHAnsi" w:hAnsiTheme="minorHAnsi" w:cstheme="minorHAnsi"/>
        </w:rPr>
        <w:t xml:space="preserve"> [2018] NSWCCA 25; </w:t>
      </w:r>
      <w:r w:rsidRPr="007809F4">
        <w:rPr>
          <w:rFonts w:asciiTheme="minorHAnsi" w:hAnsiTheme="minorHAnsi" w:cstheme="minorHAnsi"/>
          <w:i/>
        </w:rPr>
        <w:t>Obiekwe v R</w:t>
      </w:r>
      <w:r w:rsidRPr="007809F4">
        <w:rPr>
          <w:rFonts w:asciiTheme="minorHAnsi" w:hAnsiTheme="minorHAnsi" w:cstheme="minorHAnsi"/>
        </w:rPr>
        <w:t xml:space="preserve"> [2018] NSWCCA 55</w:t>
      </w:r>
      <w:r w:rsidRPr="00EB7F1E">
        <w:rPr>
          <w:rFonts w:asciiTheme="minorHAnsi" w:hAnsiTheme="minorHAnsi" w:cstheme="minorHAnsi"/>
        </w:rPr>
        <w:fldChar w:fldCharType="begin"/>
      </w:r>
      <w:r w:rsidRPr="007809F4">
        <w:rPr>
          <w:rFonts w:asciiTheme="minorHAnsi" w:hAnsiTheme="minorHAnsi" w:cstheme="minorHAnsi"/>
        </w:rPr>
        <w:instrText xml:space="preserve"> TA \s "Obiekwe v R [2018] NSWCCA 55"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Huang v R</w:t>
      </w:r>
      <w:r w:rsidRPr="007809F4">
        <w:rPr>
          <w:rFonts w:asciiTheme="minorHAnsi" w:hAnsiTheme="minorHAnsi" w:cstheme="minorHAnsi"/>
        </w:rPr>
        <w:t xml:space="preserve"> [2018] NSWCCA 70</w:t>
      </w:r>
      <w:r w:rsidRPr="00EB7F1E">
        <w:rPr>
          <w:rFonts w:asciiTheme="minorHAnsi" w:hAnsiTheme="minorHAnsi" w:cstheme="minorHAnsi"/>
        </w:rPr>
        <w:fldChar w:fldCharType="begin"/>
      </w:r>
      <w:r w:rsidRPr="007809F4">
        <w:rPr>
          <w:rFonts w:asciiTheme="minorHAnsi" w:hAnsiTheme="minorHAnsi" w:cstheme="minorHAnsi"/>
        </w:rPr>
        <w:instrText xml:space="preserve"> TA \s "Huang v R [2018] NSWCCA 70"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Peters v R</w:t>
      </w:r>
      <w:r w:rsidRPr="00EB7F1E">
        <w:rPr>
          <w:rFonts w:asciiTheme="minorHAnsi" w:hAnsiTheme="minorHAnsi" w:cstheme="minorHAnsi"/>
        </w:rPr>
        <w:t xml:space="preserve"> [2018] NSWCCA 126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Peters v R</w:instrText>
      </w:r>
      <w:r w:rsidRPr="00EB7F1E">
        <w:rPr>
          <w:rFonts w:asciiTheme="minorHAnsi" w:hAnsiTheme="minorHAnsi" w:cstheme="minorHAnsi"/>
        </w:rPr>
        <w:instrText xml:space="preserve"> [2018] NSWCCA 126" \s "Peters v R [2018] NSWCCA 126" \c 1 </w:instrText>
      </w:r>
      <w:r w:rsidRPr="00EB7F1E">
        <w:rPr>
          <w:rFonts w:asciiTheme="minorHAnsi" w:hAnsiTheme="minorHAnsi" w:cstheme="minorHAnsi"/>
        </w:rPr>
        <w:fldChar w:fldCharType="end"/>
      </w:r>
      <w:r w:rsidRPr="00EB7F1E">
        <w:rPr>
          <w:rFonts w:asciiTheme="minorHAnsi" w:hAnsiTheme="minorHAnsi" w:cstheme="minorHAnsi"/>
        </w:rPr>
        <w:t>;</w:t>
      </w:r>
      <w:r w:rsidRPr="00EB7F1E">
        <w:rPr>
          <w:rStyle w:val="ssleftalign"/>
          <w:rFonts w:asciiTheme="minorHAnsi" w:hAnsiTheme="minorHAnsi" w:cstheme="minorHAnsi"/>
        </w:rPr>
        <w:t xml:space="preserve"> </w:t>
      </w:r>
      <w:r w:rsidRPr="00EB7F1E">
        <w:rPr>
          <w:rFonts w:asciiTheme="minorHAnsi" w:hAnsiTheme="minorHAnsi" w:cstheme="minorHAnsi"/>
          <w:i/>
        </w:rPr>
        <w:t>Kristensen v R</w:t>
      </w:r>
      <w:r w:rsidRPr="00EB7F1E">
        <w:rPr>
          <w:rFonts w:asciiTheme="minorHAnsi" w:hAnsiTheme="minorHAnsi" w:cstheme="minorHAnsi"/>
        </w:rPr>
        <w:t xml:space="preserve"> [2018] NSWCCA 189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Kristensen</w:instrText>
      </w:r>
      <w:r w:rsidRPr="00EB7F1E">
        <w:rPr>
          <w:rFonts w:asciiTheme="minorHAnsi" w:hAnsiTheme="minorHAnsi" w:cstheme="minorHAnsi"/>
        </w:rPr>
        <w:instrText xml:space="preserve"> v </w:instrText>
      </w:r>
      <w:r w:rsidRPr="00EB7F1E">
        <w:rPr>
          <w:rFonts w:asciiTheme="minorHAnsi" w:hAnsiTheme="minorHAnsi" w:cstheme="minorHAnsi"/>
          <w:i/>
        </w:rPr>
        <w:instrText>R</w:instrText>
      </w:r>
      <w:r w:rsidRPr="00EB7F1E">
        <w:rPr>
          <w:rFonts w:asciiTheme="minorHAnsi" w:hAnsiTheme="minorHAnsi" w:cstheme="minorHAnsi"/>
        </w:rPr>
        <w:instrText xml:space="preserve"> [2018] NSWCCA 189" \s "Kristensen v R [2018] NSWCCA 189" \c 1 </w:instrText>
      </w:r>
      <w:r w:rsidRPr="00EB7F1E">
        <w:rPr>
          <w:rFonts w:asciiTheme="minorHAnsi" w:hAnsiTheme="minorHAnsi" w:cstheme="minorHAnsi"/>
        </w:rPr>
        <w:fldChar w:fldCharType="end"/>
      </w:r>
      <w:r w:rsidRPr="00EB7F1E">
        <w:rPr>
          <w:rFonts w:asciiTheme="minorHAnsi" w:hAnsiTheme="minorHAnsi" w:cstheme="minorHAnsi"/>
        </w:rPr>
        <w:t xml:space="preserve">; </w:t>
      </w:r>
      <w:r w:rsidRPr="00EB7F1E">
        <w:rPr>
          <w:rFonts w:asciiTheme="minorHAnsi" w:hAnsiTheme="minorHAnsi" w:cstheme="minorHAnsi"/>
          <w:i/>
        </w:rPr>
        <w:t>Musa v R</w:t>
      </w:r>
      <w:r w:rsidRPr="00EB7F1E">
        <w:rPr>
          <w:rFonts w:asciiTheme="minorHAnsi" w:hAnsiTheme="minorHAnsi" w:cstheme="minorHAnsi"/>
        </w:rPr>
        <w:t xml:space="preserve"> [2018] NSWCCA 192; </w:t>
      </w:r>
      <w:r w:rsidRPr="007809F4">
        <w:rPr>
          <w:rFonts w:asciiTheme="minorHAnsi" w:hAnsiTheme="minorHAnsi" w:cstheme="minorHAnsi"/>
          <w:i/>
        </w:rPr>
        <w:t>Noble v R</w:t>
      </w:r>
      <w:r w:rsidRPr="007809F4">
        <w:rPr>
          <w:rFonts w:asciiTheme="minorHAnsi" w:hAnsiTheme="minorHAnsi" w:cstheme="minorHAnsi"/>
        </w:rPr>
        <w:t xml:space="preserve"> [2018] NSWCCA 253</w:t>
      </w:r>
      <w:r w:rsidRPr="00EB7F1E">
        <w:rPr>
          <w:rFonts w:asciiTheme="minorHAnsi" w:hAnsiTheme="minorHAnsi" w:cstheme="minorHAnsi"/>
        </w:rPr>
        <w:fldChar w:fldCharType="begin"/>
      </w:r>
      <w:r w:rsidRPr="007809F4">
        <w:rPr>
          <w:rFonts w:asciiTheme="minorHAnsi" w:hAnsiTheme="minorHAnsi" w:cstheme="minorHAnsi"/>
        </w:rPr>
        <w:instrText xml:space="preserve"> TA \s "Noble v R [2018] NSWCCA 253"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Gwardys v R</w:t>
      </w:r>
      <w:r w:rsidRPr="00EB7F1E">
        <w:rPr>
          <w:rFonts w:asciiTheme="minorHAnsi" w:hAnsiTheme="minorHAnsi" w:cstheme="minorHAnsi"/>
        </w:rPr>
        <w:t xml:space="preserve"> [2019] NSWCCA 62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Gwardys v R</w:instrText>
      </w:r>
      <w:r w:rsidRPr="00EB7F1E">
        <w:rPr>
          <w:rFonts w:asciiTheme="minorHAnsi" w:hAnsiTheme="minorHAnsi" w:cstheme="minorHAnsi"/>
        </w:rPr>
        <w:instrText xml:space="preserve"> [2019] NSWCCA 62" \s "Gwardys v R [2019] NSWCCA 62"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IM v R</w:t>
      </w:r>
      <w:r w:rsidRPr="007809F4">
        <w:rPr>
          <w:rFonts w:asciiTheme="minorHAnsi" w:hAnsiTheme="minorHAnsi" w:cstheme="minorHAnsi"/>
        </w:rPr>
        <w:t xml:space="preserve"> [2019] NSWCCA 107</w:t>
      </w:r>
      <w:r w:rsidRPr="00EB7F1E">
        <w:rPr>
          <w:rFonts w:asciiTheme="minorHAnsi" w:hAnsiTheme="minorHAnsi" w:cstheme="minorHAnsi"/>
        </w:rPr>
        <w:fldChar w:fldCharType="begin"/>
      </w:r>
      <w:r w:rsidRPr="007809F4">
        <w:rPr>
          <w:rFonts w:asciiTheme="minorHAnsi" w:hAnsiTheme="minorHAnsi" w:cstheme="minorHAnsi"/>
        </w:rPr>
        <w:instrText xml:space="preserve"> TA \s "IM v R [2019] NSWCCA 107" </w:instrText>
      </w:r>
      <w:r w:rsidRPr="00EB7F1E">
        <w:rPr>
          <w:rFonts w:asciiTheme="minorHAnsi" w:hAnsiTheme="minorHAnsi" w:cstheme="minorHAnsi"/>
        </w:rPr>
        <w:fldChar w:fldCharType="end"/>
      </w:r>
      <w:r w:rsidRPr="007809F4">
        <w:rPr>
          <w:rFonts w:asciiTheme="minorHAnsi" w:hAnsiTheme="minorHAnsi" w:cstheme="minorHAnsi"/>
        </w:rPr>
        <w:t xml:space="preserve">.  But such an error does not necessarily warrant the imposition of a lesser sentence: see, e.g., </w:t>
      </w:r>
      <w:r w:rsidRPr="007809F4">
        <w:rPr>
          <w:rFonts w:asciiTheme="minorHAnsi" w:hAnsiTheme="minorHAnsi" w:cstheme="minorHAnsi"/>
          <w:i/>
        </w:rPr>
        <w:t>Naizmand v R</w:t>
      </w:r>
      <w:r w:rsidRPr="007809F4">
        <w:rPr>
          <w:rFonts w:asciiTheme="minorHAnsi" w:hAnsiTheme="minorHAnsi" w:cstheme="minorHAnsi"/>
        </w:rPr>
        <w:t xml:space="preserve"> [2018] NSWCCA 25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Naizmand v R</w:instrText>
      </w:r>
      <w:r w:rsidRPr="007809F4">
        <w:rPr>
          <w:rFonts w:asciiTheme="minorHAnsi" w:hAnsiTheme="minorHAnsi" w:cstheme="minorHAnsi"/>
        </w:rPr>
        <w:instrText xml:space="preserve"> [2018] NSWCCA 25</w:instrText>
      </w:r>
      <w:r w:rsidRPr="00EB7F1E">
        <w:rPr>
          <w:rFonts w:asciiTheme="minorHAnsi" w:hAnsiTheme="minorHAnsi" w:cstheme="minorHAnsi"/>
        </w:rPr>
        <w:instrText xml:space="preserve">" \s "Naizmand v R [2018] NSWCCA 25"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Noble v R</w:t>
      </w:r>
      <w:r w:rsidRPr="00EB7F1E">
        <w:rPr>
          <w:rFonts w:asciiTheme="minorHAnsi" w:hAnsiTheme="minorHAnsi" w:cstheme="minorHAnsi"/>
        </w:rPr>
        <w:t xml:space="preserve"> [2018] NSWCCA 253</w:t>
      </w:r>
      <w:r w:rsidRPr="00EB7F1E">
        <w:rPr>
          <w:rFonts w:asciiTheme="minorHAnsi" w:hAnsiTheme="minorHAnsi" w:cstheme="minorHAnsi"/>
        </w:rPr>
        <w:fldChar w:fldCharType="begin"/>
      </w:r>
      <w:r w:rsidRPr="00EB7F1E">
        <w:rPr>
          <w:rFonts w:asciiTheme="minorHAnsi" w:hAnsiTheme="minorHAnsi" w:cstheme="minorHAnsi"/>
        </w:rPr>
        <w:instrText xml:space="preserve"> TA \s "Noble v R [2018] NSWCCA 253"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Obiekwe v R</w:t>
      </w:r>
      <w:r w:rsidRPr="007809F4">
        <w:rPr>
          <w:rFonts w:asciiTheme="minorHAnsi" w:hAnsiTheme="minorHAnsi" w:cstheme="minorHAnsi"/>
        </w:rPr>
        <w:t xml:space="preserve"> [2018] NSWCCA 55</w:t>
      </w:r>
      <w:r w:rsidRPr="00EB7F1E">
        <w:rPr>
          <w:rFonts w:asciiTheme="minorHAnsi" w:hAnsiTheme="minorHAnsi" w:cstheme="minorHAnsi"/>
        </w:rPr>
        <w:fldChar w:fldCharType="begin"/>
      </w:r>
      <w:r w:rsidRPr="007809F4">
        <w:rPr>
          <w:rFonts w:asciiTheme="minorHAnsi" w:hAnsiTheme="minorHAnsi" w:cstheme="minorHAnsi"/>
        </w:rPr>
        <w:instrText xml:space="preserve"> TA \s "Obiekwe v R [2018] NSWCCA 55"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Gwardys v R</w:t>
      </w:r>
      <w:r w:rsidRPr="007809F4">
        <w:rPr>
          <w:rFonts w:asciiTheme="minorHAnsi" w:hAnsiTheme="minorHAnsi" w:cstheme="minorHAnsi"/>
        </w:rPr>
        <w:t xml:space="preserve"> [2019] NSWCCA 62</w:t>
      </w:r>
      <w:r w:rsidRPr="00EB7F1E">
        <w:rPr>
          <w:rFonts w:asciiTheme="minorHAnsi" w:hAnsiTheme="minorHAnsi" w:cstheme="minorHAnsi"/>
        </w:rPr>
        <w:fldChar w:fldCharType="begin"/>
      </w:r>
      <w:r w:rsidRPr="00EB7F1E">
        <w:rPr>
          <w:rFonts w:asciiTheme="minorHAnsi" w:hAnsiTheme="minorHAnsi" w:cstheme="minorHAnsi"/>
        </w:rPr>
        <w:instrText xml:space="preserve"> TA \s "Gwardys v R [2019] NSWCCA 62" </w:instrText>
      </w:r>
      <w:r w:rsidRPr="00EB7F1E">
        <w:rPr>
          <w:rFonts w:asciiTheme="minorHAnsi" w:hAnsiTheme="minorHAnsi" w:cstheme="minorHAnsi"/>
        </w:rPr>
        <w:fldChar w:fldCharType="end"/>
      </w:r>
      <w:r w:rsidRPr="007809F4">
        <w:rPr>
          <w:rFonts w:asciiTheme="minorHAnsi" w:hAnsiTheme="minorHAnsi" w:cstheme="minorHAnsi"/>
        </w:rPr>
        <w:t>.</w:t>
      </w:r>
    </w:p>
  </w:footnote>
  <w:footnote w:id="281">
    <w:p w14:paraId="356563D3" w14:textId="0C23289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Nicholls v R</w:t>
      </w:r>
      <w:r w:rsidRPr="007809F4">
        <w:rPr>
          <w:rFonts w:asciiTheme="minorHAnsi" w:hAnsiTheme="minorHAnsi" w:cstheme="minorHAnsi"/>
        </w:rPr>
        <w:t xml:space="preserve"> [2016] VSCA 300</w:t>
      </w:r>
      <w:r w:rsidRPr="00EB7F1E">
        <w:rPr>
          <w:rFonts w:asciiTheme="minorHAnsi" w:hAnsiTheme="minorHAnsi" w:cstheme="minorHAnsi"/>
        </w:rPr>
        <w:fldChar w:fldCharType="begin"/>
      </w:r>
      <w:r w:rsidRPr="007809F4">
        <w:rPr>
          <w:rFonts w:asciiTheme="minorHAnsi" w:hAnsiTheme="minorHAnsi" w:cstheme="minorHAnsi"/>
        </w:rPr>
        <w:instrText xml:space="preserve"> TA \s "Nicholls v R [2016] VSCA 300" </w:instrText>
      </w:r>
      <w:r w:rsidRPr="00EB7F1E">
        <w:rPr>
          <w:rFonts w:asciiTheme="minorHAnsi" w:hAnsiTheme="minorHAnsi" w:cstheme="minorHAnsi"/>
        </w:rPr>
        <w:fldChar w:fldCharType="end"/>
      </w:r>
      <w:r w:rsidRPr="007809F4">
        <w:rPr>
          <w:rFonts w:asciiTheme="minorHAnsi" w:hAnsiTheme="minorHAnsi" w:cstheme="minorHAnsi"/>
        </w:rPr>
        <w:t>, [29].</w:t>
      </w:r>
    </w:p>
  </w:footnote>
  <w:footnote w:id="282">
    <w:p w14:paraId="1F859E9F" w14:textId="05C7B21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Phillips v R </w:t>
      </w:r>
      <w:r w:rsidRPr="007809F4">
        <w:rPr>
          <w:rFonts w:asciiTheme="minorHAnsi" w:hAnsiTheme="minorHAnsi" w:cstheme="minorHAnsi"/>
        </w:rPr>
        <w:t>(2012) 37 VR 594</w:t>
      </w:r>
      <w:r w:rsidRPr="00EB7F1E">
        <w:rPr>
          <w:rFonts w:asciiTheme="minorHAnsi" w:hAnsiTheme="minorHAnsi" w:cstheme="minorHAnsi"/>
        </w:rPr>
        <w:fldChar w:fldCharType="begin"/>
      </w:r>
      <w:r w:rsidRPr="007809F4">
        <w:rPr>
          <w:rFonts w:asciiTheme="minorHAnsi" w:hAnsiTheme="minorHAnsi" w:cstheme="minorHAnsi"/>
        </w:rPr>
        <w:instrText xml:space="preserve"> TA \s "Phillips v R (2012) 37 VR 594" </w:instrText>
      </w:r>
      <w:r w:rsidRPr="00EB7F1E">
        <w:rPr>
          <w:rFonts w:asciiTheme="minorHAnsi" w:hAnsiTheme="minorHAnsi" w:cstheme="minorHAnsi"/>
        </w:rPr>
        <w:fldChar w:fldCharType="end"/>
      </w:r>
      <w:r w:rsidRPr="007809F4">
        <w:rPr>
          <w:rFonts w:asciiTheme="minorHAnsi" w:hAnsiTheme="minorHAnsi" w:cstheme="minorHAnsi"/>
        </w:rPr>
        <w:t>, [73];</w:t>
      </w:r>
      <w:r w:rsidRPr="007809F4">
        <w:rPr>
          <w:rStyle w:val="ssleftalign"/>
          <w:rFonts w:asciiTheme="minorHAnsi" w:hAnsiTheme="minorHAnsi" w:cstheme="minorHAnsi"/>
        </w:rPr>
        <w:t xml:space="preserve"> </w:t>
      </w:r>
      <w:r w:rsidRPr="007809F4">
        <w:rPr>
          <w:rFonts w:asciiTheme="minorHAnsi" w:hAnsiTheme="minorHAnsi" w:cstheme="minorHAnsi"/>
          <w:i/>
        </w:rPr>
        <w:t>Nicholls v R</w:t>
      </w:r>
      <w:r w:rsidRPr="007809F4">
        <w:rPr>
          <w:rFonts w:asciiTheme="minorHAnsi" w:hAnsiTheme="minorHAnsi" w:cstheme="minorHAnsi"/>
        </w:rPr>
        <w:t xml:space="preserve"> [2016] VSCA 300</w:t>
      </w:r>
      <w:r w:rsidRPr="00EB7F1E">
        <w:rPr>
          <w:rFonts w:asciiTheme="minorHAnsi" w:hAnsiTheme="minorHAnsi" w:cstheme="minorHAnsi"/>
        </w:rPr>
        <w:fldChar w:fldCharType="begin"/>
      </w:r>
      <w:r w:rsidRPr="007809F4">
        <w:rPr>
          <w:rFonts w:asciiTheme="minorHAnsi" w:hAnsiTheme="minorHAnsi" w:cstheme="minorHAnsi"/>
        </w:rPr>
        <w:instrText xml:space="preserve"> TA \s "Nicholls v R [2016] VSCA 300" </w:instrText>
      </w:r>
      <w:r w:rsidRPr="00EB7F1E">
        <w:rPr>
          <w:rFonts w:asciiTheme="minorHAnsi" w:hAnsiTheme="minorHAnsi" w:cstheme="minorHAnsi"/>
        </w:rPr>
        <w:fldChar w:fldCharType="end"/>
      </w:r>
      <w:r w:rsidRPr="007809F4">
        <w:rPr>
          <w:rFonts w:asciiTheme="minorHAnsi" w:hAnsiTheme="minorHAnsi" w:cstheme="minorHAnsi"/>
        </w:rPr>
        <w:t>, [29].</w:t>
      </w:r>
    </w:p>
  </w:footnote>
  <w:footnote w:id="283">
    <w:p w14:paraId="2B6A3252"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Ellis</w:t>
      </w:r>
      <w:r w:rsidRPr="007809F4">
        <w:rPr>
          <w:rFonts w:asciiTheme="minorHAnsi" w:hAnsiTheme="minorHAnsi" w:cstheme="minorHAnsi"/>
        </w:rPr>
        <w:t xml:space="preserve"> [1986] 6 NSWLR 603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Ellis</w:instrText>
      </w:r>
      <w:r w:rsidRPr="007809F4">
        <w:rPr>
          <w:rFonts w:asciiTheme="minorHAnsi" w:hAnsiTheme="minorHAnsi" w:cstheme="minorHAnsi"/>
        </w:rPr>
        <w:instrText xml:space="preserve"> [1986] 6 NSWLR 603" \s "R v Ellis [1986] 6 NSWLR 603"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Ellis [1986] 6 NSWLR 603"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Walker v R</w:t>
      </w:r>
      <w:r w:rsidRPr="007809F4">
        <w:rPr>
          <w:rFonts w:asciiTheme="minorHAnsi" w:hAnsiTheme="minorHAnsi" w:cstheme="minorHAnsi"/>
        </w:rPr>
        <w:t xml:space="preserve"> [2008] NTCCA 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Walker v R</w:instrText>
      </w:r>
      <w:r w:rsidRPr="007809F4">
        <w:rPr>
          <w:rFonts w:asciiTheme="minorHAnsi" w:hAnsiTheme="minorHAnsi" w:cstheme="minorHAnsi"/>
        </w:rPr>
        <w:instrText xml:space="preserve"> [2008] NTCCA 7" \s "Walker v R [2008] NTCCA 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"Walker v R [2008] NTCCA 7" </w:instrText>
      </w:r>
      <w:r w:rsidRPr="00EB7F1E">
        <w:rPr>
          <w:rFonts w:asciiTheme="minorHAnsi" w:hAnsiTheme="minorHAnsi" w:cstheme="minorHAnsi"/>
        </w:rPr>
        <w:fldChar w:fldCharType="end"/>
      </w:r>
      <w:r w:rsidRPr="007809F4">
        <w:rPr>
          <w:rFonts w:asciiTheme="minorHAnsi" w:hAnsiTheme="minorHAnsi" w:cstheme="minorHAnsi"/>
        </w:rPr>
        <w:t>, [38].</w:t>
      </w:r>
    </w:p>
  </w:footnote>
  <w:footnote w:id="284">
    <w:p w14:paraId="19DDE3A3" w14:textId="6F831F8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Ngo v R</w:t>
      </w:r>
      <w:r w:rsidRPr="007809F4">
        <w:rPr>
          <w:rFonts w:asciiTheme="minorHAnsi" w:hAnsiTheme="minorHAnsi" w:cstheme="minorHAnsi"/>
        </w:rPr>
        <w:t xml:space="preserve"> [2017] WASCA 3</w:t>
      </w:r>
      <w:r w:rsidRPr="00EB7F1E">
        <w:rPr>
          <w:rFonts w:asciiTheme="minorHAnsi" w:hAnsiTheme="minorHAnsi" w:cstheme="minorHAnsi"/>
        </w:rPr>
        <w:fldChar w:fldCharType="begin"/>
      </w:r>
      <w:r w:rsidRPr="007809F4">
        <w:rPr>
          <w:rFonts w:asciiTheme="minorHAnsi" w:hAnsiTheme="minorHAnsi" w:cstheme="minorHAnsi"/>
        </w:rPr>
        <w:instrText xml:space="preserve"> TA \s "Ngo v R [2017] WASCA 3" </w:instrText>
      </w:r>
      <w:r w:rsidRPr="00EB7F1E">
        <w:rPr>
          <w:rFonts w:asciiTheme="minorHAnsi" w:hAnsiTheme="minorHAnsi" w:cstheme="minorHAnsi"/>
        </w:rPr>
        <w:fldChar w:fldCharType="end"/>
      </w:r>
      <w:r w:rsidRPr="007809F4">
        <w:rPr>
          <w:rFonts w:asciiTheme="minorHAnsi" w:hAnsiTheme="minorHAnsi" w:cstheme="minorHAnsi"/>
        </w:rPr>
        <w:t>, [15]-[33].</w:t>
      </w:r>
      <w:r w:rsidRPr="00EB7F1E">
        <w:rPr>
          <w:rFonts w:asciiTheme="minorHAnsi" w:hAnsiTheme="minorHAnsi" w:cstheme="minorHAnsi"/>
        </w:rPr>
        <w:fldChar w:fldCharType="begin"/>
      </w:r>
      <w:r w:rsidRPr="007809F4">
        <w:rPr>
          <w:rFonts w:asciiTheme="minorHAnsi" w:hAnsiTheme="minorHAnsi" w:cstheme="minorHAnsi"/>
        </w:rPr>
        <w:instrText xml:space="preserve">  "Walker v R [2008] NTCCA 7" </w:instrText>
      </w:r>
      <w:r w:rsidRPr="00EB7F1E">
        <w:rPr>
          <w:rFonts w:asciiTheme="minorHAnsi" w:hAnsiTheme="minorHAnsi" w:cstheme="minorHAnsi"/>
        </w:rPr>
        <w:fldChar w:fldCharType="end"/>
      </w:r>
    </w:p>
  </w:footnote>
  <w:footnote w:id="285">
    <w:p w14:paraId="67653B8C" w14:textId="3917891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Charkawi v R</w:t>
      </w:r>
      <w:r w:rsidRPr="007809F4">
        <w:rPr>
          <w:rFonts w:asciiTheme="minorHAnsi" w:hAnsiTheme="minorHAnsi" w:cstheme="minorHAnsi"/>
        </w:rPr>
        <w:t xml:space="preserve"> [2008] NSWCCA 159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Charkawi v R</w:instrText>
      </w:r>
      <w:r w:rsidRPr="007809F4">
        <w:rPr>
          <w:rFonts w:asciiTheme="minorHAnsi" w:hAnsiTheme="minorHAnsi" w:cstheme="minorHAnsi"/>
        </w:rPr>
        <w:instrText xml:space="preserve"> [2008] NSWCCA 159" \s "Charkawi v R [2008] NSWCCA 159" \c 1 </w:instrText>
      </w:r>
      <w:r w:rsidRPr="00EB7F1E">
        <w:rPr>
          <w:rFonts w:asciiTheme="minorHAnsi" w:hAnsiTheme="minorHAnsi" w:cstheme="minorHAnsi"/>
        </w:rPr>
        <w:fldChar w:fldCharType="end"/>
      </w:r>
      <w:r w:rsidRPr="007809F4">
        <w:rPr>
          <w:rFonts w:asciiTheme="minorHAnsi" w:hAnsiTheme="minorHAnsi" w:cstheme="minorHAnsi"/>
        </w:rPr>
        <w:t xml:space="preserve">, [14]; </w:t>
      </w:r>
      <w:r w:rsidRPr="007809F4">
        <w:rPr>
          <w:rFonts w:asciiTheme="minorHAnsi" w:hAnsiTheme="minorHAnsi" w:cstheme="minorHAnsi"/>
          <w:i/>
        </w:rPr>
        <w:t>Xiao v R</w:t>
      </w:r>
      <w:r w:rsidRPr="007809F4">
        <w:rPr>
          <w:rFonts w:asciiTheme="minorHAnsi" w:hAnsiTheme="minorHAnsi" w:cstheme="minorHAnsi"/>
        </w:rPr>
        <w:t xml:space="preserve"> (2018)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 [280].</w:t>
      </w:r>
    </w:p>
  </w:footnote>
  <w:footnote w:id="286">
    <w:p w14:paraId="6759E7E2" w14:textId="2A412B3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16AC was inserted by </w:t>
      </w:r>
      <w:r w:rsidRPr="007809F4">
        <w:rPr>
          <w:rFonts w:asciiTheme="minorHAnsi" w:hAnsiTheme="minorHAnsi" w:cstheme="minorHAnsi"/>
          <w:i/>
        </w:rPr>
        <w:t>Crimes Legislation Amendment (Powers, Offences and Other Measures) Act 2015</w:t>
      </w:r>
      <w:r w:rsidRPr="007809F4">
        <w:rPr>
          <w:rFonts w:asciiTheme="minorHAnsi" w:hAnsiTheme="minorHAnsi" w:cstheme="minorHAnsi"/>
        </w:rPr>
        <w:t xml:space="preserve">, with effect from 27 November 2015.  It replaced s 21E of the </w:t>
      </w:r>
      <w:r w:rsidRPr="007809F4">
        <w:rPr>
          <w:rFonts w:asciiTheme="minorHAnsi" w:hAnsiTheme="minorHAnsi" w:cstheme="minorHAnsi"/>
          <w:i/>
        </w:rPr>
        <w:t xml:space="preserve">Crimes Act 1914 </w:t>
      </w:r>
      <w:r w:rsidRPr="007809F4">
        <w:rPr>
          <w:rFonts w:asciiTheme="minorHAnsi" w:hAnsiTheme="minorHAnsi" w:cstheme="minorHAnsi"/>
        </w:rPr>
        <w:t>(Cth) which was materially identical.</w:t>
      </w:r>
    </w:p>
  </w:footnote>
  <w:footnote w:id="287">
    <w:p w14:paraId="2C8CB31C" w14:textId="673B47B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Sahari</w:t>
      </w:r>
      <w:r w:rsidRPr="007809F4">
        <w:rPr>
          <w:rFonts w:asciiTheme="minorHAnsi" w:hAnsiTheme="minorHAnsi" w:cstheme="minorHAnsi"/>
        </w:rPr>
        <w:t xml:space="preserve"> (2007) 17 VR 269</w:t>
      </w:r>
      <w:r w:rsidRPr="00EB7F1E">
        <w:rPr>
          <w:rFonts w:asciiTheme="minorHAnsi" w:hAnsiTheme="minorHAnsi" w:cstheme="minorHAnsi"/>
        </w:rPr>
        <w:fldChar w:fldCharType="begin"/>
      </w:r>
      <w:r w:rsidRPr="007809F4">
        <w:rPr>
          <w:rFonts w:asciiTheme="minorHAnsi" w:hAnsiTheme="minorHAnsi" w:cstheme="minorHAnsi"/>
        </w:rPr>
        <w:instrText xml:space="preserve"> TA \s "R v Sahari (2007) 17 VR 269"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Sahari (2007) 17 VR 269" </w:instrText>
      </w:r>
      <w:r w:rsidRPr="00EB7F1E">
        <w:rPr>
          <w:rFonts w:asciiTheme="minorHAnsi" w:hAnsiTheme="minorHAnsi" w:cstheme="minorHAnsi"/>
        </w:rPr>
        <w:fldChar w:fldCharType="end"/>
      </w:r>
    </w:p>
  </w:footnote>
  <w:footnote w:id="288">
    <w:p w14:paraId="7D158921"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Tae</w:t>
      </w:r>
      <w:r w:rsidRPr="007809F4">
        <w:rPr>
          <w:rFonts w:asciiTheme="minorHAnsi" w:hAnsiTheme="minorHAnsi" w:cstheme="minorHAnsi"/>
        </w:rPr>
        <w:t xml:space="preserve"> [2005] NSWCCA 29.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Tae</w:instrText>
      </w:r>
      <w:r w:rsidRPr="007809F4">
        <w:rPr>
          <w:rFonts w:asciiTheme="minorHAnsi" w:hAnsiTheme="minorHAnsi" w:cstheme="minorHAnsi"/>
        </w:rPr>
        <w:instrText xml:space="preserve"> [2005] NSWCCA 29" \s "R v Tae [2005] NSWCCA 29"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Tae [2005] NSWCCA 29" </w:instrText>
      </w:r>
      <w:r w:rsidRPr="00EB7F1E">
        <w:rPr>
          <w:rFonts w:asciiTheme="minorHAnsi" w:hAnsiTheme="minorHAnsi" w:cstheme="minorHAnsi"/>
        </w:rPr>
        <w:fldChar w:fldCharType="end"/>
      </w:r>
    </w:p>
  </w:footnote>
  <w:footnote w:id="289">
    <w:p w14:paraId="54E7C7D8" w14:textId="72F61CA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R v Gladkowski</w:t>
      </w:r>
      <w:r w:rsidRPr="007809F4">
        <w:rPr>
          <w:rFonts w:asciiTheme="minorHAnsi" w:hAnsiTheme="minorHAnsi" w:cstheme="minorHAnsi"/>
        </w:rPr>
        <w:t xml:space="preserve"> [2000] QCA 352.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Gladkowski</w:instrText>
      </w:r>
      <w:r w:rsidRPr="007809F4">
        <w:rPr>
          <w:rFonts w:asciiTheme="minorHAnsi" w:hAnsiTheme="minorHAnsi" w:cstheme="minorHAnsi"/>
        </w:rPr>
        <w:instrText xml:space="preserve"> [2000] QCA 352" \s "R v Gladkowski [2000] QCA 352"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Gladkowski (2000) 115 A Crim R 446" </w:instrText>
      </w:r>
      <w:r w:rsidRPr="00EB7F1E">
        <w:rPr>
          <w:rFonts w:asciiTheme="minorHAnsi" w:hAnsiTheme="minorHAnsi" w:cstheme="minorHAnsi"/>
        </w:rPr>
        <w:fldChar w:fldCharType="end"/>
      </w:r>
    </w:p>
  </w:footnote>
  <w:footnote w:id="290">
    <w:p w14:paraId="3159E037" w14:textId="66B600D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Cartwright</w:t>
      </w:r>
      <w:r w:rsidRPr="007809F4">
        <w:rPr>
          <w:rFonts w:asciiTheme="minorHAnsi" w:hAnsiTheme="minorHAnsi" w:cstheme="minorHAnsi"/>
        </w:rPr>
        <w:t xml:space="preserve"> (1989) 17 NSWLR 243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Cartwright</w:instrText>
      </w:r>
      <w:r w:rsidRPr="007809F4">
        <w:rPr>
          <w:rFonts w:asciiTheme="minorHAnsi" w:hAnsiTheme="minorHAnsi" w:cstheme="minorHAnsi"/>
        </w:rPr>
        <w:instrText xml:space="preserve"> (1989) 17 NSWLR 243" \s "R v Cartwright (1989) 17 NSWLR 243" \c 1 </w:instrText>
      </w:r>
      <w:r w:rsidRPr="00EB7F1E">
        <w:rPr>
          <w:rFonts w:asciiTheme="minorHAnsi" w:hAnsiTheme="minorHAnsi" w:cstheme="minorHAnsi"/>
        </w:rPr>
        <w:fldChar w:fldCharType="end"/>
      </w:r>
      <w:r w:rsidRPr="007809F4">
        <w:rPr>
          <w:rFonts w:asciiTheme="minorHAnsi" w:hAnsiTheme="minorHAnsi" w:cstheme="minorHAnsi"/>
        </w:rPr>
        <w:t xml:space="preserve">, 252-253 (Hunt and Badgery-Parker JJ).  </w:t>
      </w:r>
      <w:r w:rsidRPr="007809F4">
        <w:rPr>
          <w:rFonts w:asciiTheme="minorHAnsi" w:hAnsiTheme="minorHAnsi" w:cstheme="minorHAnsi"/>
          <w:i/>
        </w:rPr>
        <w:t>Cartwright</w:t>
      </w:r>
      <w:r w:rsidRPr="007809F4">
        <w:rPr>
          <w:rFonts w:asciiTheme="minorHAnsi" w:hAnsiTheme="minorHAnsi" w:cstheme="minorHAnsi"/>
        </w:rPr>
        <w:t xml:space="preserve"> has been followed in</w:t>
      </w:r>
      <w:r w:rsidRPr="007809F4">
        <w:rPr>
          <w:rFonts w:asciiTheme="minorHAnsi" w:hAnsiTheme="minorHAnsi" w:cstheme="minorHAnsi"/>
          <w:i/>
        </w:rPr>
        <w:t xml:space="preserve"> R v Su</w:t>
      </w:r>
      <w:r w:rsidRPr="007809F4">
        <w:rPr>
          <w:rFonts w:asciiTheme="minorHAnsi" w:hAnsiTheme="minorHAnsi" w:cstheme="minorHAnsi"/>
        </w:rPr>
        <w:t xml:space="preserve"> [1997] 1 VR 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Su</w:instrText>
      </w:r>
      <w:r w:rsidRPr="007809F4">
        <w:rPr>
          <w:rFonts w:asciiTheme="minorHAnsi" w:hAnsiTheme="minorHAnsi" w:cstheme="minorHAnsi"/>
        </w:rPr>
        <w:instrText xml:space="preserve"> [1997] 1 VR 1" \s "R v Su [1997] 1 VR 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Su [1997] 1 VR 1" </w:instrText>
      </w:r>
      <w:r w:rsidRPr="00EB7F1E">
        <w:rPr>
          <w:rFonts w:asciiTheme="minorHAnsi" w:hAnsiTheme="minorHAnsi" w:cstheme="minorHAnsi"/>
        </w:rPr>
        <w:fldChar w:fldCharType="end"/>
      </w:r>
      <w:r w:rsidRPr="007809F4">
        <w:rPr>
          <w:rFonts w:asciiTheme="minorHAnsi" w:hAnsiTheme="minorHAnsi" w:cstheme="minorHAnsi"/>
        </w:rPr>
        <w:t xml:space="preserve">, 79; </w:t>
      </w:r>
      <w:r w:rsidRPr="007809F4">
        <w:rPr>
          <w:rFonts w:asciiTheme="minorHAnsi" w:hAnsiTheme="minorHAnsi" w:cstheme="minorHAnsi"/>
          <w:i/>
        </w:rPr>
        <w:t>R v Carey</w:t>
      </w:r>
      <w:r w:rsidRPr="007809F4">
        <w:rPr>
          <w:rFonts w:asciiTheme="minorHAnsi" w:hAnsiTheme="minorHAnsi" w:cstheme="minorHAnsi"/>
        </w:rPr>
        <w:t xml:space="preserve"> [1998] 4 VR 13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Carey</w:instrText>
      </w:r>
      <w:r w:rsidRPr="007809F4">
        <w:rPr>
          <w:rFonts w:asciiTheme="minorHAnsi" w:hAnsiTheme="minorHAnsi" w:cstheme="minorHAnsi"/>
        </w:rPr>
        <w:instrText xml:space="preserve"> [1998] 4 VR 13" \s "R v Carey [1998] 4 VR 13" \c 1 </w:instrText>
      </w:r>
      <w:r w:rsidRPr="00EB7F1E">
        <w:rPr>
          <w:rFonts w:asciiTheme="minorHAnsi" w:hAnsiTheme="minorHAnsi" w:cstheme="minorHAnsi"/>
        </w:rPr>
        <w:fldChar w:fldCharType="end"/>
      </w:r>
      <w:r w:rsidRPr="007809F4">
        <w:rPr>
          <w:rFonts w:asciiTheme="minorHAnsi" w:hAnsiTheme="minorHAnsi" w:cstheme="minorHAnsi"/>
        </w:rPr>
        <w:t xml:space="preserve">.  See also the summary of principles in </w:t>
      </w:r>
      <w:r w:rsidRPr="00EB7F1E">
        <w:rPr>
          <w:rFonts w:asciiTheme="minorHAnsi" w:hAnsiTheme="minorHAnsi" w:cstheme="minorHAnsi"/>
          <w:i/>
          <w:iCs/>
        </w:rPr>
        <w:t>Isaac v R</w:t>
      </w:r>
      <w:r w:rsidRPr="007809F4">
        <w:rPr>
          <w:rFonts w:asciiTheme="minorHAnsi" w:hAnsiTheme="minorHAnsi" w:cstheme="minorHAnsi"/>
        </w:rPr>
        <w:t xml:space="preserve"> [2012] NSWCCA 195</w:t>
      </w:r>
      <w:r w:rsidRPr="00EB7F1E">
        <w:rPr>
          <w:rFonts w:asciiTheme="minorHAnsi" w:hAnsiTheme="minorHAnsi" w:cstheme="minorHAnsi"/>
        </w:rPr>
        <w:fldChar w:fldCharType="begin"/>
      </w:r>
      <w:r w:rsidRPr="00EB7F1E">
        <w:rPr>
          <w:rFonts w:asciiTheme="minorHAnsi" w:hAnsiTheme="minorHAnsi" w:cstheme="minorHAnsi"/>
        </w:rPr>
        <w:instrText xml:space="preserve"> TA \s "Isaac v R [2012] NSWCCA 195" </w:instrText>
      </w:r>
      <w:r w:rsidRPr="00EB7F1E">
        <w:rPr>
          <w:rFonts w:asciiTheme="minorHAnsi" w:hAnsiTheme="minorHAnsi" w:cstheme="minorHAnsi"/>
        </w:rPr>
        <w:fldChar w:fldCharType="end"/>
      </w:r>
      <w:r w:rsidRPr="007809F4">
        <w:rPr>
          <w:rFonts w:asciiTheme="minorHAnsi" w:hAnsiTheme="minorHAnsi" w:cstheme="minorHAnsi"/>
        </w:rPr>
        <w:t>, [44]-[49], [52].</w:t>
      </w:r>
    </w:p>
  </w:footnote>
  <w:footnote w:id="291">
    <w:p w14:paraId="3525CC72" w14:textId="310C340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iCs/>
        </w:rPr>
        <w:t>R v Lowe</w:t>
      </w:r>
      <w:r w:rsidRPr="007809F4">
        <w:rPr>
          <w:rFonts w:asciiTheme="minorHAnsi" w:hAnsiTheme="minorHAnsi" w:cstheme="minorHAnsi"/>
        </w:rPr>
        <w:t xml:space="preserve"> (1977) 66 Cr App R 122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Lowe</w:instrText>
      </w:r>
      <w:r w:rsidRPr="007809F4">
        <w:rPr>
          <w:rFonts w:asciiTheme="minorHAnsi" w:hAnsiTheme="minorHAnsi" w:cstheme="minorHAnsi"/>
        </w:rPr>
        <w:instrText xml:space="preserve"> (1977) 66 Cr App R 122</w:instrText>
      </w:r>
      <w:r w:rsidRPr="00EB7F1E">
        <w:rPr>
          <w:rFonts w:asciiTheme="minorHAnsi" w:hAnsiTheme="minorHAnsi" w:cstheme="minorHAnsi"/>
        </w:rPr>
        <w:instrText xml:space="preserve">" \s "R v Lowe (1977) 66 Cr App R 122"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iCs/>
        </w:rPr>
        <w:t>R v Perez-Vargas</w:t>
      </w:r>
      <w:r w:rsidRPr="007809F4">
        <w:rPr>
          <w:rFonts w:asciiTheme="minorHAnsi" w:hAnsiTheme="minorHAnsi" w:cstheme="minorHAnsi"/>
        </w:rPr>
        <w:t xml:space="preserve"> (1986) 6 NSWLR 559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Perez-Vargas</w:instrText>
      </w:r>
      <w:r w:rsidRPr="007809F4">
        <w:rPr>
          <w:rFonts w:asciiTheme="minorHAnsi" w:hAnsiTheme="minorHAnsi" w:cstheme="minorHAnsi"/>
        </w:rPr>
        <w:instrText xml:space="preserve"> (1986) 6 NSWLR 559</w:instrText>
      </w:r>
      <w:r w:rsidRPr="00EB7F1E">
        <w:rPr>
          <w:rFonts w:asciiTheme="minorHAnsi" w:hAnsiTheme="minorHAnsi" w:cstheme="minorHAnsi"/>
        </w:rPr>
        <w:instrText xml:space="preserve">" \s "R v Perez-Vargas (1986) 6 NSWLR 559" \c 1 </w:instrText>
      </w:r>
      <w:r w:rsidRPr="00EB7F1E">
        <w:rPr>
          <w:rFonts w:asciiTheme="minorHAnsi" w:hAnsiTheme="minorHAnsi" w:cstheme="minorHAnsi"/>
        </w:rPr>
        <w:fldChar w:fldCharType="end"/>
      </w:r>
      <w:r w:rsidRPr="007809F4">
        <w:rPr>
          <w:rFonts w:asciiTheme="minorHAnsi" w:hAnsiTheme="minorHAnsi" w:cstheme="minorHAnsi"/>
        </w:rPr>
        <w:t>, 562.</w:t>
      </w:r>
    </w:p>
  </w:footnote>
  <w:footnote w:id="292">
    <w:p w14:paraId="5DF334E2" w14:textId="0BF9BCF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iCs/>
        </w:rPr>
        <w:t>R v James</w:t>
      </w:r>
      <w:r w:rsidRPr="007809F4">
        <w:rPr>
          <w:rFonts w:asciiTheme="minorHAnsi" w:hAnsiTheme="minorHAnsi" w:cstheme="minorHAnsi"/>
        </w:rPr>
        <w:t xml:space="preserve"> (1913) 9 Cr App R 142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James</w:instrText>
      </w:r>
      <w:r w:rsidRPr="007809F4">
        <w:rPr>
          <w:rFonts w:asciiTheme="minorHAnsi" w:hAnsiTheme="minorHAnsi" w:cstheme="minorHAnsi"/>
        </w:rPr>
        <w:instrText xml:space="preserve"> (1913) 9 Cr App R 142</w:instrText>
      </w:r>
      <w:r w:rsidRPr="00EB7F1E">
        <w:rPr>
          <w:rFonts w:asciiTheme="minorHAnsi" w:hAnsiTheme="minorHAnsi" w:cstheme="minorHAnsi"/>
        </w:rPr>
        <w:instrText xml:space="preserve">" \s "R v James (1913) 9 Cr App R 142"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iCs/>
        </w:rPr>
        <w:t>R v Golding</w:t>
      </w:r>
      <w:r w:rsidRPr="007809F4">
        <w:rPr>
          <w:rFonts w:asciiTheme="minorHAnsi" w:hAnsiTheme="minorHAnsi" w:cstheme="minorHAnsi"/>
        </w:rPr>
        <w:t xml:space="preserve"> (1980) 24 SASR 161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Golding</w:instrText>
      </w:r>
      <w:r w:rsidRPr="007809F4">
        <w:rPr>
          <w:rFonts w:asciiTheme="minorHAnsi" w:hAnsiTheme="minorHAnsi" w:cstheme="minorHAnsi"/>
        </w:rPr>
        <w:instrText xml:space="preserve"> (1980) 24 SASR 161</w:instrText>
      </w:r>
      <w:r w:rsidRPr="00EB7F1E">
        <w:rPr>
          <w:rFonts w:asciiTheme="minorHAnsi" w:hAnsiTheme="minorHAnsi" w:cstheme="minorHAnsi"/>
        </w:rPr>
        <w:instrText xml:space="preserve">" \s "R v Golding (1980) 24 SASR 161" \c 1 </w:instrText>
      </w:r>
      <w:r w:rsidRPr="00EB7F1E">
        <w:rPr>
          <w:rFonts w:asciiTheme="minorHAnsi" w:hAnsiTheme="minorHAnsi" w:cstheme="minorHAnsi"/>
        </w:rPr>
        <w:fldChar w:fldCharType="end"/>
      </w:r>
      <w:r w:rsidRPr="007809F4">
        <w:rPr>
          <w:rFonts w:asciiTheme="minorHAnsi" w:hAnsiTheme="minorHAnsi" w:cstheme="minorHAnsi"/>
        </w:rPr>
        <w:t>, 162.</w:t>
      </w:r>
    </w:p>
  </w:footnote>
  <w:footnote w:id="293">
    <w:p w14:paraId="6C39467F" w14:textId="40D2222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iCs/>
        </w:rPr>
        <w:t>R v Golding</w:t>
      </w:r>
      <w:r w:rsidRPr="007809F4">
        <w:rPr>
          <w:rFonts w:asciiTheme="minorHAnsi" w:hAnsiTheme="minorHAnsi" w:cstheme="minorHAnsi"/>
        </w:rPr>
        <w:t xml:space="preserve"> (1980) 24 SASR 161</w:t>
      </w:r>
      <w:r w:rsidRPr="00EB7F1E">
        <w:rPr>
          <w:rFonts w:asciiTheme="minorHAnsi" w:hAnsiTheme="minorHAnsi" w:cstheme="minorHAnsi"/>
        </w:rPr>
        <w:fldChar w:fldCharType="begin"/>
      </w:r>
      <w:r w:rsidRPr="007809F4">
        <w:rPr>
          <w:rFonts w:asciiTheme="minorHAnsi" w:hAnsiTheme="minorHAnsi" w:cstheme="minorHAnsi"/>
        </w:rPr>
        <w:instrText xml:space="preserve"> TA \s "R v Golding (1980) 24 SASR 161" </w:instrText>
      </w:r>
      <w:r w:rsidRPr="00EB7F1E">
        <w:rPr>
          <w:rFonts w:asciiTheme="minorHAnsi" w:hAnsiTheme="minorHAnsi" w:cstheme="minorHAnsi"/>
        </w:rPr>
        <w:fldChar w:fldCharType="end"/>
      </w:r>
      <w:r w:rsidRPr="00EB7F1E">
        <w:rPr>
          <w:rFonts w:asciiTheme="minorHAnsi" w:hAnsiTheme="minorHAnsi" w:cstheme="minorHAnsi"/>
        </w:rPr>
        <w:t>, 172-173.</w:t>
      </w:r>
    </w:p>
  </w:footnote>
  <w:footnote w:id="294">
    <w:p w14:paraId="21143F1E" w14:textId="1BF95E5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Rosales (a pseudonym) v R</w:t>
      </w:r>
      <w:r w:rsidRPr="007809F4">
        <w:rPr>
          <w:rFonts w:asciiTheme="minorHAnsi" w:hAnsiTheme="minorHAnsi" w:cstheme="minorHAnsi"/>
        </w:rPr>
        <w:t xml:space="preserve"> [2018] VSCA 130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rPr>
        <w:instrText>Rosales (a pseudonym) v R</w:instrText>
      </w:r>
      <w:r w:rsidRPr="007809F4">
        <w:rPr>
          <w:rFonts w:asciiTheme="minorHAnsi" w:hAnsiTheme="minorHAnsi" w:cstheme="minorHAnsi"/>
        </w:rPr>
        <w:instrText xml:space="preserve"> [2018] VSCA 130" \s "Rosales (a pseudonym) v R [2018] VSCA 130" \c 1 </w:instrText>
      </w:r>
      <w:r w:rsidRPr="00EB7F1E">
        <w:rPr>
          <w:rFonts w:asciiTheme="minorHAnsi" w:hAnsiTheme="minorHAnsi" w:cstheme="minorHAnsi"/>
        </w:rPr>
        <w:fldChar w:fldCharType="end"/>
      </w:r>
      <w:r w:rsidRPr="007809F4">
        <w:rPr>
          <w:rFonts w:asciiTheme="minorHAnsi" w:hAnsiTheme="minorHAnsi" w:cstheme="minorHAnsi"/>
        </w:rPr>
        <w:t xml:space="preserve">, [25]. Cf. </w:t>
      </w:r>
      <w:r w:rsidRPr="007809F4">
        <w:rPr>
          <w:rFonts w:asciiTheme="minorHAnsi" w:hAnsiTheme="minorHAnsi" w:cstheme="minorHAnsi"/>
          <w:i/>
        </w:rPr>
        <w:t xml:space="preserve">MXP v Western Australia </w:t>
      </w:r>
      <w:r w:rsidRPr="007809F4">
        <w:rPr>
          <w:rFonts w:asciiTheme="minorHAnsi" w:hAnsiTheme="minorHAnsi" w:cstheme="minorHAnsi"/>
        </w:rPr>
        <w:t>(2010) 41 WAR 149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MXP v Western Australia </w:instrText>
      </w:r>
      <w:r w:rsidRPr="007809F4">
        <w:rPr>
          <w:rFonts w:asciiTheme="minorHAnsi" w:hAnsiTheme="minorHAnsi" w:cstheme="minorHAnsi"/>
        </w:rPr>
        <w:instrText xml:space="preserve">(2010) 41 WAR 149" \s "MXP v Western Australia (2010) 41 WAR 149" \c 1 </w:instrText>
      </w:r>
      <w:r w:rsidRPr="00EB7F1E">
        <w:rPr>
          <w:rFonts w:asciiTheme="minorHAnsi" w:hAnsiTheme="minorHAnsi" w:cstheme="minorHAnsi"/>
        </w:rPr>
        <w:fldChar w:fldCharType="end"/>
      </w:r>
      <w:r w:rsidRPr="007809F4">
        <w:rPr>
          <w:rFonts w:asciiTheme="minorHAnsi" w:hAnsiTheme="minorHAnsi" w:cstheme="minorHAnsi"/>
        </w:rPr>
        <w:t>, [54].</w:t>
      </w:r>
    </w:p>
  </w:footnote>
  <w:footnote w:id="295">
    <w:p w14:paraId="37E334FA"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MSO v Western Australia</w:t>
      </w:r>
      <w:r w:rsidRPr="007809F4">
        <w:rPr>
          <w:rFonts w:asciiTheme="minorHAnsi" w:hAnsiTheme="minorHAnsi" w:cstheme="minorHAnsi"/>
        </w:rPr>
        <w:t xml:space="preserve"> [2015] WASCA 78.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MSO v Western Australia</w:instrText>
      </w:r>
      <w:r w:rsidRPr="007809F4">
        <w:rPr>
          <w:rFonts w:asciiTheme="minorHAnsi" w:hAnsiTheme="minorHAnsi" w:cstheme="minorHAnsi"/>
        </w:rPr>
        <w:instrText xml:space="preserve"> [2015] WASCA 78" \s "MSO v Western Australia [2015] WASCA 78"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"MSO v Western Australia [2015] WASCA 78" </w:instrText>
      </w:r>
      <w:r w:rsidRPr="00EB7F1E">
        <w:rPr>
          <w:rFonts w:asciiTheme="minorHAnsi" w:hAnsiTheme="minorHAnsi" w:cstheme="minorHAnsi"/>
        </w:rPr>
        <w:fldChar w:fldCharType="end"/>
      </w:r>
    </w:p>
  </w:footnote>
  <w:footnote w:id="296">
    <w:p w14:paraId="7C7813E3" w14:textId="3E389AE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iCs/>
        </w:rPr>
        <w:t>R v Gallagher</w:t>
      </w:r>
      <w:r w:rsidRPr="00EB7F1E">
        <w:rPr>
          <w:rFonts w:asciiTheme="minorHAnsi" w:hAnsiTheme="minorHAnsi" w:cstheme="minorHAnsi"/>
        </w:rPr>
        <w:t xml:space="preserve"> (1991) 23 NSWLR 220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Gallagher</w:instrText>
      </w:r>
      <w:r w:rsidRPr="007809F4">
        <w:rPr>
          <w:rFonts w:asciiTheme="minorHAnsi" w:hAnsiTheme="minorHAnsi" w:cstheme="minorHAnsi"/>
        </w:rPr>
        <w:instrText xml:space="preserve"> (1991) 23 NSWLR 220" \s "R v Gallagher (1991) 23 NSWLR 220" \c 1 </w:instrText>
      </w:r>
      <w:r w:rsidRPr="00EB7F1E">
        <w:rPr>
          <w:rFonts w:asciiTheme="minorHAnsi" w:hAnsiTheme="minorHAnsi" w:cstheme="minorHAnsi"/>
        </w:rPr>
        <w:fldChar w:fldCharType="end"/>
      </w:r>
      <w:r w:rsidRPr="00EB7F1E">
        <w:rPr>
          <w:rFonts w:asciiTheme="minorHAnsi" w:hAnsiTheme="minorHAnsi" w:cstheme="minorHAnsi"/>
        </w:rPr>
        <w:t>,</w:t>
      </w:r>
      <w:r w:rsidRPr="007809F4">
        <w:rPr>
          <w:rFonts w:asciiTheme="minorHAnsi" w:hAnsiTheme="minorHAnsi" w:cstheme="minorHAnsi"/>
        </w:rPr>
        <w:t xml:space="preserve"> 228.</w:t>
      </w:r>
    </w:p>
  </w:footnote>
  <w:footnote w:id="297">
    <w:p w14:paraId="4239F8CB" w14:textId="0F58F1A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iCs/>
        </w:rPr>
        <w:t>R v Sukkar</w:t>
      </w:r>
      <w:r w:rsidRPr="00EB7F1E">
        <w:rPr>
          <w:rFonts w:asciiTheme="minorHAnsi" w:hAnsiTheme="minorHAnsi" w:cstheme="minorHAnsi"/>
        </w:rPr>
        <w:t xml:space="preserve"> [2006] NSWCCA 92</w:t>
      </w:r>
      <w:r w:rsidRPr="00EB7F1E">
        <w:rPr>
          <w:rFonts w:asciiTheme="minorHAnsi" w:hAnsiTheme="minorHAnsi" w:cstheme="minorHAnsi"/>
          <w: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 v Sukkar</w:instrText>
      </w:r>
      <w:r w:rsidRPr="007809F4">
        <w:rPr>
          <w:rFonts w:asciiTheme="minorHAnsi" w:hAnsiTheme="minorHAnsi" w:cstheme="minorHAnsi"/>
        </w:rPr>
        <w:instrText xml:space="preserve"> [2006] NSWCCA 92</w:instrText>
      </w:r>
      <w:r w:rsidRPr="00EB7F1E">
        <w:rPr>
          <w:rFonts w:asciiTheme="minorHAnsi" w:hAnsiTheme="minorHAnsi" w:cstheme="minorHAnsi"/>
        </w:rPr>
        <w:instrText xml:space="preserve">" \s "R v Sukkar [2006] NSWCCA 92" \c 1 </w:instrText>
      </w:r>
      <w:r w:rsidRPr="00EB7F1E">
        <w:rPr>
          <w:rFonts w:asciiTheme="minorHAnsi" w:hAnsiTheme="minorHAnsi" w:cstheme="minorHAnsi"/>
          <w:i/>
          <w:iCs/>
        </w:rPr>
        <w:fldChar w:fldCharType="end"/>
      </w:r>
      <w:r w:rsidRPr="00EB7F1E">
        <w:rPr>
          <w:rFonts w:asciiTheme="minorHAnsi" w:hAnsiTheme="minorHAnsi" w:cstheme="minorHAnsi"/>
        </w:rPr>
        <w:t>,</w:t>
      </w:r>
      <w:r w:rsidRPr="007809F4">
        <w:rPr>
          <w:rFonts w:asciiTheme="minorHAnsi" w:hAnsiTheme="minorHAnsi" w:cstheme="minorHAnsi"/>
        </w:rPr>
        <w:t xml:space="preserve"> [54].</w:t>
      </w:r>
    </w:p>
  </w:footnote>
  <w:footnote w:id="298">
    <w:p w14:paraId="7AB90081"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McMahon</w:t>
      </w:r>
      <w:r w:rsidRPr="007809F4">
        <w:rPr>
          <w:rFonts w:asciiTheme="minorHAnsi" w:hAnsiTheme="minorHAnsi" w:cstheme="minorHAnsi"/>
        </w:rPr>
        <w:t xml:space="preserve"> (1988) 40 A Crim R 95.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McMahon</w:instrText>
      </w:r>
      <w:r w:rsidRPr="007809F4">
        <w:rPr>
          <w:rFonts w:asciiTheme="minorHAnsi" w:hAnsiTheme="minorHAnsi" w:cstheme="minorHAnsi"/>
        </w:rPr>
        <w:instrText xml:space="preserve"> (1988) 40 A Crim R 95" \s "R v McMahon (1988) 40 A Crim R 95"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McMahon (1988) 40 A Crim R 95" </w:instrText>
      </w:r>
      <w:r w:rsidRPr="00EB7F1E">
        <w:rPr>
          <w:rFonts w:asciiTheme="minorHAnsi" w:hAnsiTheme="minorHAnsi" w:cstheme="minorHAnsi"/>
        </w:rPr>
        <w:fldChar w:fldCharType="end"/>
      </w:r>
    </w:p>
  </w:footnote>
  <w:footnote w:id="299">
    <w:p w14:paraId="265541BC" w14:textId="6F4A3D2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Nguyen</w:t>
      </w:r>
      <w:r w:rsidRPr="007809F4">
        <w:rPr>
          <w:rFonts w:asciiTheme="minorHAnsi" w:hAnsiTheme="minorHAnsi" w:cstheme="minorHAnsi"/>
        </w:rPr>
        <w:t xml:space="preserve"> [2000] VSCA 209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Nguyen</w:instrText>
      </w:r>
      <w:r w:rsidRPr="007809F4">
        <w:rPr>
          <w:rFonts w:asciiTheme="minorHAnsi" w:hAnsiTheme="minorHAnsi" w:cstheme="minorHAnsi"/>
        </w:rPr>
        <w:instrText xml:space="preserve"> [2000] VSCA 209" \s "R v Nguyen [2000] VSCA 209"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Nguyen [2000] VSCA 209" </w:instrText>
      </w:r>
      <w:r w:rsidRPr="00EB7F1E">
        <w:rPr>
          <w:rFonts w:asciiTheme="minorHAnsi" w:hAnsiTheme="minorHAnsi" w:cstheme="minorHAnsi"/>
        </w:rPr>
        <w:fldChar w:fldCharType="end"/>
      </w:r>
      <w:r w:rsidRPr="007809F4">
        <w:rPr>
          <w:rFonts w:asciiTheme="minorHAnsi" w:hAnsiTheme="minorHAnsi" w:cstheme="minorHAnsi"/>
        </w:rPr>
        <w:t xml:space="preserve"> [25].</w:t>
      </w:r>
    </w:p>
  </w:footnote>
  <w:footnote w:id="300">
    <w:p w14:paraId="11BD03B9" w14:textId="5CFE532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Rostom</w:t>
      </w:r>
      <w:r w:rsidRPr="007809F4">
        <w:rPr>
          <w:rFonts w:asciiTheme="minorHAnsi" w:hAnsiTheme="minorHAnsi" w:cstheme="minorHAnsi"/>
        </w:rPr>
        <w:t xml:space="preserve"> [1996] 2 VR 97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Rostom</w:instrText>
      </w:r>
      <w:r w:rsidRPr="007809F4">
        <w:rPr>
          <w:rFonts w:asciiTheme="minorHAnsi" w:hAnsiTheme="minorHAnsi" w:cstheme="minorHAnsi"/>
        </w:rPr>
        <w:instrText xml:space="preserve"> [1996] 2 VR 97" \s "R v Rostom [1996] 2 VR 97" \c 1 </w:instrText>
      </w:r>
      <w:r w:rsidRPr="00EB7F1E">
        <w:rPr>
          <w:rFonts w:asciiTheme="minorHAnsi" w:hAnsiTheme="minorHAnsi" w:cstheme="minorHAnsi"/>
        </w:rPr>
        <w:fldChar w:fldCharType="end"/>
      </w:r>
      <w:r w:rsidRPr="007809F4">
        <w:rPr>
          <w:rFonts w:asciiTheme="minorHAnsi" w:hAnsiTheme="minorHAnsi" w:cstheme="minorHAnsi"/>
        </w:rPr>
        <w:t>, 104.</w:t>
      </w:r>
    </w:p>
  </w:footnote>
  <w:footnote w:id="301">
    <w:p w14:paraId="2E1A6025" w14:textId="1F35B2E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Ferrer-Esis </w:t>
      </w:r>
      <w:r w:rsidRPr="007809F4">
        <w:rPr>
          <w:rFonts w:asciiTheme="minorHAnsi" w:hAnsiTheme="minorHAnsi" w:cstheme="minorHAnsi"/>
        </w:rPr>
        <w:t>(1991) 55 A Crim R 231</w:t>
      </w:r>
      <w:r w:rsidRPr="00EB7F1E">
        <w:rPr>
          <w:rFonts w:asciiTheme="minorHAnsi" w:hAnsiTheme="minorHAnsi" w:cstheme="minorHAnsi"/>
        </w:rPr>
        <w:fldChar w:fldCharType="begin"/>
      </w:r>
      <w:r w:rsidRPr="00EB7F1E">
        <w:rPr>
          <w:rFonts w:asciiTheme="minorHAnsi" w:hAnsiTheme="minorHAnsi" w:cstheme="minorHAnsi"/>
        </w:rPr>
        <w:instrText xml:space="preserve"> TA \s "R v Ferrer-Esis (1991) 55 A Crim R 231"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Ferrer-Esis (1991) 55 A Crim R 231" </w:instrText>
      </w:r>
      <w:r w:rsidRPr="00EB7F1E">
        <w:rPr>
          <w:rFonts w:asciiTheme="minorHAnsi" w:hAnsiTheme="minorHAnsi" w:cstheme="minorHAnsi"/>
        </w:rPr>
        <w:fldChar w:fldCharType="end"/>
      </w:r>
    </w:p>
  </w:footnote>
  <w:footnote w:id="302">
    <w:p w14:paraId="2FB5F780" w14:textId="65453CD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R v Sukkar</w:t>
      </w:r>
      <w:r w:rsidRPr="007809F4">
        <w:rPr>
          <w:rFonts w:asciiTheme="minorHAnsi" w:hAnsiTheme="minorHAnsi" w:cstheme="minorHAnsi"/>
        </w:rPr>
        <w:t xml:space="preserve"> </w:t>
      </w:r>
      <w:hyperlink r:id="rId4" w:tooltip="View Case" w:history="1">
        <w:r w:rsidRPr="00EB7F1E">
          <w:rPr>
            <w:rFonts w:asciiTheme="minorHAnsi" w:hAnsiTheme="minorHAnsi" w:cstheme="minorHAnsi"/>
          </w:rPr>
          <w:t>[2005] NSWCCA 55</w:t>
        </w:r>
      </w:hyperlink>
      <w:r w:rsidRPr="00EB7F1E">
        <w:rPr>
          <w:rFonts w:asciiTheme="minorHAnsi" w:hAnsiTheme="minorHAnsi" w:cstheme="minorHAnsi"/>
          <w:bCs/>
          <w:i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Sukkar</w:instrText>
      </w:r>
      <w:r w:rsidRPr="007809F4">
        <w:rPr>
          <w:rFonts w:asciiTheme="minorHAnsi" w:hAnsiTheme="minorHAnsi" w:cstheme="minorHAnsi"/>
          <w:bCs/>
          <w:iCs/>
        </w:rPr>
        <w:instrText xml:space="preserve"> [2005] NSWCCA 55</w:instrText>
      </w:r>
      <w:r w:rsidRPr="007809F4">
        <w:rPr>
          <w:rFonts w:asciiTheme="minorHAnsi" w:hAnsiTheme="minorHAnsi" w:cstheme="minorHAnsi"/>
        </w:rPr>
        <w:instrText xml:space="preserve">" \s "R v Sukkar [2005] NSWCCA 55" \c 1 </w:instrText>
      </w:r>
      <w:r w:rsidRPr="00EB7F1E">
        <w:rPr>
          <w:rFonts w:asciiTheme="minorHAnsi" w:hAnsiTheme="minorHAnsi" w:cstheme="minorHAnsi"/>
          <w:bCs/>
          <w:iCs/>
        </w:rPr>
        <w:fldChar w:fldCharType="end"/>
      </w:r>
      <w:r w:rsidRPr="007809F4">
        <w:rPr>
          <w:rFonts w:asciiTheme="minorHAnsi" w:hAnsiTheme="minorHAnsi" w:cstheme="minorHAnsi"/>
        </w:rPr>
        <w:t xml:space="preserve">, </w:t>
      </w:r>
      <w:hyperlink r:id="rId5" w:anchor="para52" w:history="1">
        <w:r w:rsidRPr="00EB7F1E">
          <w:rPr>
            <w:rFonts w:asciiTheme="minorHAnsi" w:hAnsiTheme="minorHAnsi" w:cstheme="minorHAnsi"/>
          </w:rPr>
          <w:t>[52]</w:t>
        </w:r>
      </w:hyperlink>
      <w:r w:rsidRPr="00EB7F1E">
        <w:rPr>
          <w:rFonts w:asciiTheme="minorHAnsi" w:hAnsiTheme="minorHAnsi" w:cstheme="minorHAnsi"/>
        </w:rPr>
        <w:t xml:space="preserve">; </w:t>
      </w:r>
      <w:r w:rsidRPr="007809F4">
        <w:rPr>
          <w:rFonts w:asciiTheme="minorHAnsi" w:hAnsiTheme="minorHAnsi" w:cstheme="minorHAnsi"/>
          <w:i/>
          <w:iCs/>
        </w:rPr>
        <w:t>Isaac v R</w:t>
      </w:r>
      <w:r w:rsidRPr="007809F4">
        <w:rPr>
          <w:rFonts w:asciiTheme="minorHAnsi" w:hAnsiTheme="minorHAnsi" w:cstheme="minorHAnsi"/>
        </w:rPr>
        <w:t xml:space="preserve"> [2012] NSWCCA 195</w:t>
      </w:r>
      <w:r w:rsidRPr="00EB7F1E">
        <w:rPr>
          <w:rFonts w:asciiTheme="minorHAnsi" w:hAnsiTheme="minorHAnsi" w:cstheme="minorHAnsi"/>
        </w:rPr>
        <w:fldChar w:fldCharType="begin"/>
      </w:r>
      <w:r w:rsidRPr="00EB7F1E">
        <w:rPr>
          <w:rFonts w:asciiTheme="minorHAnsi" w:hAnsiTheme="minorHAnsi" w:cstheme="minorHAnsi"/>
        </w:rPr>
        <w:instrText xml:space="preserve"> TA \s "Isaac v R [2012] NSWCCA 195" </w:instrText>
      </w:r>
      <w:r w:rsidRPr="00EB7F1E">
        <w:rPr>
          <w:rFonts w:asciiTheme="minorHAnsi" w:hAnsiTheme="minorHAnsi" w:cstheme="minorHAnsi"/>
        </w:rPr>
        <w:fldChar w:fldCharType="end"/>
      </w:r>
      <w:r w:rsidRPr="007809F4">
        <w:rPr>
          <w:rFonts w:asciiTheme="minorHAnsi" w:hAnsiTheme="minorHAnsi" w:cstheme="minorHAnsi"/>
        </w:rPr>
        <w:t>, [52].</w:t>
      </w:r>
    </w:p>
  </w:footnote>
  <w:footnote w:id="303">
    <w:p w14:paraId="67F64C34" w14:textId="09B5F12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R v Freeman </w:t>
      </w:r>
      <w:r w:rsidRPr="007809F4">
        <w:rPr>
          <w:rFonts w:asciiTheme="minorHAnsi" w:hAnsiTheme="minorHAnsi" w:cstheme="minorHAnsi"/>
          <w:iCs/>
          <w:noProof/>
        </w:rPr>
        <w:t>[2001] VSCA 37</w:t>
      </w:r>
      <w:r w:rsidRPr="00EB7F1E">
        <w:rPr>
          <w:rFonts w:asciiTheme="minorHAnsi" w:hAnsiTheme="minorHAnsi" w:cstheme="minorHAnsi"/>
          <w:i/>
          <w:iCs/>
          <w:noProof/>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noProof/>
        </w:rPr>
        <w:instrText>R v Freeman</w:instrText>
      </w:r>
      <w:r w:rsidRPr="007809F4">
        <w:rPr>
          <w:rFonts w:asciiTheme="minorHAnsi" w:hAnsiTheme="minorHAnsi" w:cstheme="minorHAnsi"/>
          <w:iCs/>
          <w:noProof/>
        </w:rPr>
        <w:instrText xml:space="preserve"> [2001] VSCA 37</w:instrText>
      </w:r>
      <w:r w:rsidRPr="007809F4">
        <w:rPr>
          <w:rFonts w:asciiTheme="minorHAnsi" w:hAnsiTheme="minorHAnsi" w:cstheme="minorHAnsi"/>
        </w:rPr>
        <w:instrText xml:space="preserve">" \s "R v Freeman </w:instrText>
      </w:r>
      <w:r w:rsidRPr="007809F4">
        <w:rPr>
          <w:rFonts w:asciiTheme="minorHAnsi" w:hAnsiTheme="minorHAnsi" w:cstheme="minorHAnsi"/>
          <w:iCs/>
          <w:noProof/>
        </w:rPr>
        <w:instrText>[2001] VSCA 37</w:instrText>
      </w:r>
      <w:r w:rsidRPr="007809F4">
        <w:rPr>
          <w:rFonts w:asciiTheme="minorHAnsi" w:hAnsiTheme="minorHAnsi" w:cstheme="minorHAnsi"/>
        </w:rPr>
        <w:instrText xml:space="preserve">" \c 1 </w:instrText>
      </w:r>
      <w:r w:rsidRPr="00EB7F1E">
        <w:rPr>
          <w:rFonts w:asciiTheme="minorHAnsi" w:hAnsiTheme="minorHAnsi" w:cstheme="minorHAnsi"/>
          <w:i/>
          <w:iCs/>
          <w:noProof/>
        </w:rPr>
        <w:fldChar w:fldCharType="end"/>
      </w:r>
      <w:r w:rsidRPr="007809F4">
        <w:rPr>
          <w:rFonts w:asciiTheme="minorHAnsi" w:hAnsiTheme="minorHAnsi" w:cstheme="minorHAnsi"/>
          <w:i/>
          <w:iCs/>
          <w:noProof/>
        </w:rPr>
        <w:t>.</w:t>
      </w:r>
    </w:p>
  </w:footnote>
  <w:footnote w:id="304">
    <w:p w14:paraId="6ED659D4"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Cartwright </w:t>
      </w:r>
      <w:r w:rsidRPr="007809F4">
        <w:rPr>
          <w:rFonts w:asciiTheme="minorHAnsi" w:hAnsiTheme="minorHAnsi" w:cstheme="minorHAnsi"/>
        </w:rPr>
        <w:t>(1989) 17 NSWLR 243</w:t>
      </w:r>
      <w:r w:rsidRPr="00EB7F1E">
        <w:rPr>
          <w:rFonts w:asciiTheme="minorHAnsi" w:hAnsiTheme="minorHAnsi" w:cstheme="minorHAnsi"/>
        </w:rPr>
        <w:fldChar w:fldCharType="begin"/>
      </w:r>
      <w:r w:rsidRPr="007809F4">
        <w:rPr>
          <w:rFonts w:asciiTheme="minorHAnsi" w:hAnsiTheme="minorHAnsi" w:cstheme="minorHAnsi"/>
        </w:rPr>
        <w:instrText xml:space="preserve"> TA \s "R v Cartwright (1989) 17 NSWLR 243"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w:instrText>
      </w:r>
      <w:r w:rsidRPr="00EB7F1E">
        <w:rPr>
          <w:rFonts w:asciiTheme="minorHAnsi" w:hAnsiTheme="minorHAnsi" w:cstheme="minorHAnsi"/>
        </w:rPr>
        <w:fldChar w:fldCharType="begin"/>
      </w:r>
      <w:r w:rsidRPr="007809F4">
        <w:rPr>
          <w:rFonts w:asciiTheme="minorHAnsi" w:hAnsiTheme="minorHAnsi" w:cstheme="minorHAnsi"/>
        </w:rPr>
        <w:instrText xml:space="preserve"> TA \s "R v Cartwright (1989) 17 NSWLR 243, 253" </w:instrText>
      </w:r>
      <w:r w:rsidRPr="00EB7F1E">
        <w:rPr>
          <w:rFonts w:asciiTheme="minorHAnsi" w:hAnsiTheme="minorHAnsi" w:cstheme="minorHAnsi"/>
        </w:rPr>
        <w:fldChar w:fldCharType="end"/>
      </w:r>
      <w:r w:rsidRPr="007809F4">
        <w:rPr>
          <w:rFonts w:asciiTheme="minorHAnsi" w:hAnsiTheme="minorHAnsi" w:cstheme="minorHAnsi"/>
        </w:rPr>
        <w:instrText xml:space="preserve"> v Cartwright (1989) 17 NSWLR 243" </w:instrText>
      </w:r>
      <w:r w:rsidRPr="00EB7F1E">
        <w:rPr>
          <w:rFonts w:asciiTheme="minorHAnsi" w:hAnsiTheme="minorHAnsi" w:cstheme="minorHAnsi"/>
        </w:rPr>
        <w:fldChar w:fldCharType="end"/>
      </w:r>
      <w:r w:rsidRPr="007809F4">
        <w:rPr>
          <w:rFonts w:asciiTheme="minorHAnsi" w:hAnsiTheme="minorHAnsi" w:cstheme="minorHAnsi"/>
        </w:rPr>
        <w:t>, 253.</w:t>
      </w:r>
    </w:p>
  </w:footnote>
  <w:footnote w:id="305">
    <w:p w14:paraId="4FEE2A87"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R v Sukkar</w:t>
      </w:r>
      <w:r w:rsidRPr="007809F4">
        <w:rPr>
          <w:rFonts w:asciiTheme="minorHAnsi" w:hAnsiTheme="minorHAnsi" w:cstheme="minorHAnsi"/>
          <w:bCs/>
          <w:iCs/>
        </w:rPr>
        <w:t xml:space="preserve"> [2005] NSWCCA 55</w:t>
      </w:r>
      <w:r w:rsidRPr="00EB7F1E">
        <w:rPr>
          <w:rFonts w:asciiTheme="minorHAnsi" w:hAnsiTheme="minorHAnsi" w:cstheme="minorHAnsi"/>
          <w:bCs/>
          <w:iCs/>
        </w:rPr>
        <w:fldChar w:fldCharType="begin"/>
      </w:r>
      <w:r w:rsidRPr="00EB7F1E">
        <w:rPr>
          <w:rFonts w:asciiTheme="minorHAnsi" w:hAnsiTheme="minorHAnsi" w:cstheme="minorHAnsi"/>
        </w:rPr>
        <w:instrText xml:space="preserve"> TA \s "R v Sukkar [2005] NSWCCA 55" </w:instrText>
      </w:r>
      <w:r w:rsidRPr="00EB7F1E">
        <w:rPr>
          <w:rFonts w:asciiTheme="minorHAnsi" w:hAnsiTheme="minorHAnsi" w:cstheme="minorHAnsi"/>
          <w:bCs/>
          <w:iCs/>
        </w:rPr>
        <w:fldChar w:fldCharType="end"/>
      </w:r>
      <w:r w:rsidRPr="007809F4">
        <w:rPr>
          <w:rFonts w:asciiTheme="minorHAnsi" w:hAnsiTheme="minorHAnsi" w:cstheme="minorHAnsi"/>
          <w:bCs/>
          <w:iCs/>
        </w:rPr>
        <w:t>, [53].</w:t>
      </w:r>
    </w:p>
  </w:footnote>
  <w:footnote w:id="306">
    <w:p w14:paraId="330A3839"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Cartwright</w:t>
      </w:r>
      <w:r w:rsidRPr="007809F4">
        <w:rPr>
          <w:rFonts w:asciiTheme="minorHAnsi" w:hAnsiTheme="minorHAnsi" w:cstheme="minorHAnsi"/>
        </w:rPr>
        <w:t xml:space="preserve"> (1989) 17 NSWLR 243</w:t>
      </w:r>
      <w:r w:rsidRPr="00EB7F1E">
        <w:rPr>
          <w:rFonts w:asciiTheme="minorHAnsi" w:hAnsiTheme="minorHAnsi" w:cstheme="minorHAnsi"/>
        </w:rPr>
        <w:fldChar w:fldCharType="begin"/>
      </w:r>
      <w:r w:rsidRPr="007809F4">
        <w:rPr>
          <w:rFonts w:asciiTheme="minorHAnsi" w:hAnsiTheme="minorHAnsi" w:cstheme="minorHAnsi"/>
        </w:rPr>
        <w:instrText xml:space="preserve"> TA \s "R v Cartwright (1989) 17 NSWLR 243"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w:instrText>
      </w:r>
      <w:r w:rsidRPr="00EB7F1E">
        <w:rPr>
          <w:rFonts w:asciiTheme="minorHAnsi" w:hAnsiTheme="minorHAnsi" w:cstheme="minorHAnsi"/>
        </w:rPr>
        <w:fldChar w:fldCharType="begin"/>
      </w:r>
      <w:r w:rsidRPr="007809F4">
        <w:rPr>
          <w:rFonts w:asciiTheme="minorHAnsi" w:hAnsiTheme="minorHAnsi" w:cstheme="minorHAnsi"/>
        </w:rPr>
        <w:instrText xml:space="preserve"> TA \s "R v Cartwright (1989) 17 NSWLR 243, 253" </w:instrText>
      </w:r>
      <w:r w:rsidRPr="00EB7F1E">
        <w:rPr>
          <w:rFonts w:asciiTheme="minorHAnsi" w:hAnsiTheme="minorHAnsi" w:cstheme="minorHAnsi"/>
        </w:rPr>
        <w:fldChar w:fldCharType="end"/>
      </w:r>
      <w:r w:rsidRPr="007809F4">
        <w:rPr>
          <w:rFonts w:asciiTheme="minorHAnsi" w:hAnsiTheme="minorHAnsi" w:cstheme="minorHAnsi"/>
        </w:rPr>
        <w:instrText xml:space="preserve"> v Cartwright (1989) 17 NSWLR 243" </w:instrText>
      </w:r>
      <w:r w:rsidRPr="00EB7F1E">
        <w:rPr>
          <w:rFonts w:asciiTheme="minorHAnsi" w:hAnsiTheme="minorHAnsi" w:cstheme="minorHAnsi"/>
        </w:rPr>
        <w:fldChar w:fldCharType="end"/>
      </w:r>
      <w:r w:rsidRPr="007809F4">
        <w:rPr>
          <w:rFonts w:asciiTheme="minorHAnsi" w:hAnsiTheme="minorHAnsi" w:cstheme="minorHAnsi"/>
        </w:rPr>
        <w:t xml:space="preserve">, 253; </w:t>
      </w:r>
      <w:r w:rsidRPr="007809F4">
        <w:rPr>
          <w:rFonts w:asciiTheme="minorHAnsi" w:hAnsiTheme="minorHAnsi" w:cstheme="minorHAnsi"/>
          <w:i/>
        </w:rPr>
        <w:t>R v Carmody</w:t>
      </w:r>
      <w:r w:rsidRPr="007809F4">
        <w:rPr>
          <w:rFonts w:asciiTheme="minorHAnsi" w:hAnsiTheme="minorHAnsi" w:cstheme="minorHAnsi"/>
        </w:rPr>
        <w:t xml:space="preserve"> (1998) 100 A Crim R 41</w:t>
      </w:r>
      <w:r w:rsidRPr="00EB7F1E">
        <w:rPr>
          <w:rFonts w:asciiTheme="minorHAnsi" w:hAnsiTheme="minorHAnsi" w:cstheme="minorHAnsi"/>
        </w:rPr>
        <w:fldChar w:fldCharType="begin"/>
      </w:r>
      <w:r w:rsidRPr="007809F4">
        <w:rPr>
          <w:rFonts w:asciiTheme="minorHAnsi" w:hAnsiTheme="minorHAnsi" w:cstheme="minorHAnsi"/>
        </w:rPr>
        <w:instrText xml:space="preserve"> TA \s "R v Carmody (1998) 100 A Crim R 41"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07">
    <w:p w14:paraId="0484BF64" w14:textId="75B480C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Gallagher</w:t>
      </w:r>
      <w:r w:rsidRPr="007809F4">
        <w:rPr>
          <w:rFonts w:asciiTheme="minorHAnsi" w:hAnsiTheme="minorHAnsi" w:cstheme="minorHAnsi"/>
        </w:rPr>
        <w:t xml:space="preserve"> (1991) 23 NSWLR 220</w:t>
      </w:r>
      <w:r w:rsidRPr="00EB7F1E">
        <w:rPr>
          <w:rFonts w:asciiTheme="minorHAnsi" w:hAnsiTheme="minorHAnsi" w:cstheme="minorHAnsi"/>
        </w:rPr>
        <w:fldChar w:fldCharType="begin"/>
      </w:r>
      <w:r w:rsidRPr="007809F4">
        <w:rPr>
          <w:rFonts w:asciiTheme="minorHAnsi" w:hAnsiTheme="minorHAnsi" w:cstheme="minorHAnsi"/>
        </w:rPr>
        <w:instrText xml:space="preserve"> TA \s "R v Gallagher (1991) 23 NSWLR 220"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Gallagher (1991) 23 NSWLR 220"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Wangsaimas v R</w:t>
      </w:r>
      <w:r w:rsidRPr="007809F4">
        <w:rPr>
          <w:rFonts w:asciiTheme="minorHAnsi" w:hAnsiTheme="minorHAnsi" w:cstheme="minorHAnsi"/>
        </w:rPr>
        <w:t xml:space="preserve"> (1996) 6 NTLR 14</w:t>
      </w:r>
      <w:r w:rsidRPr="00EB7F1E">
        <w:rPr>
          <w:rFonts w:asciiTheme="minorHAnsi" w:hAnsiTheme="minorHAnsi" w:cstheme="minorHAnsi"/>
        </w:rPr>
        <w:fldChar w:fldCharType="begin"/>
      </w:r>
      <w:r w:rsidRPr="007809F4">
        <w:rPr>
          <w:rFonts w:asciiTheme="minorHAnsi" w:hAnsiTheme="minorHAnsi" w:cstheme="minorHAnsi"/>
        </w:rPr>
        <w:instrText xml:space="preserve"> TA \s "Wangsaimas v R (1996) 6 NTLR 14"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"Wangsaimas v R (1996) 6 NTLR 14"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Su</w:t>
      </w:r>
      <w:r w:rsidRPr="007809F4">
        <w:rPr>
          <w:rFonts w:asciiTheme="minorHAnsi" w:hAnsiTheme="minorHAnsi" w:cstheme="minorHAnsi"/>
        </w:rPr>
        <w:t xml:space="preserve"> [1997] 1 VR 1</w:t>
      </w:r>
      <w:r w:rsidRPr="00EB7F1E">
        <w:rPr>
          <w:rFonts w:asciiTheme="minorHAnsi" w:hAnsiTheme="minorHAnsi" w:cstheme="minorHAnsi"/>
        </w:rPr>
        <w:fldChar w:fldCharType="begin"/>
      </w:r>
      <w:r w:rsidRPr="007809F4">
        <w:rPr>
          <w:rFonts w:asciiTheme="minorHAnsi" w:hAnsiTheme="minorHAnsi" w:cstheme="minorHAnsi"/>
        </w:rPr>
        <w:instrText xml:space="preserve"> TA \s "R v Su [1997] 1 VR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Dinic</w:t>
      </w:r>
      <w:r w:rsidRPr="007809F4">
        <w:rPr>
          <w:rFonts w:asciiTheme="minorHAnsi" w:hAnsiTheme="minorHAnsi" w:cstheme="minorHAnsi"/>
        </w:rPr>
        <w:t xml:space="preserve"> (1997) 149 ALR 488</w:t>
      </w:r>
      <w:r w:rsidRPr="00EB7F1E">
        <w:rPr>
          <w:rFonts w:asciiTheme="minorHAnsi" w:hAnsiTheme="minorHAnsi" w:cstheme="minorHAnsi"/>
        </w:rPr>
        <w:fldChar w:fldCharType="begin"/>
      </w:r>
      <w:r w:rsidRPr="007809F4">
        <w:rPr>
          <w:rFonts w:asciiTheme="minorHAnsi" w:hAnsiTheme="minorHAnsi" w:cstheme="minorHAnsi"/>
        </w:rPr>
        <w:instrText xml:space="preserve"> TA \s "R v Dinic (1997) 149 ALR 488" </w:instrText>
      </w:r>
      <w:r w:rsidRPr="00EB7F1E">
        <w:rPr>
          <w:rFonts w:asciiTheme="minorHAnsi" w:hAnsiTheme="minorHAnsi" w:cstheme="minorHAnsi"/>
        </w:rPr>
        <w:fldChar w:fldCharType="end"/>
      </w:r>
      <w:r w:rsidRPr="007809F4">
        <w:rPr>
          <w:rFonts w:asciiTheme="minorHAnsi" w:hAnsiTheme="minorHAnsi" w:cstheme="minorHAnsi"/>
        </w:rPr>
        <w:t xml:space="preserve"> (information provided too late to be of value)</w:t>
      </w:r>
      <w:r w:rsidRPr="00EB7F1E">
        <w:rPr>
          <w:rFonts w:asciiTheme="minorHAnsi" w:hAnsiTheme="minorHAnsi" w:cstheme="minorHAnsi"/>
        </w:rPr>
        <w:fldChar w:fldCharType="begin"/>
      </w:r>
      <w:r w:rsidRPr="007809F4">
        <w:rPr>
          <w:rFonts w:asciiTheme="minorHAnsi" w:hAnsiTheme="minorHAnsi" w:cstheme="minorHAnsi"/>
        </w:rPr>
        <w:instrText xml:space="preserve">  "R v Dinic (1997) 149 ALR 488"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El Hani</w:t>
      </w:r>
      <w:r w:rsidRPr="007809F4">
        <w:rPr>
          <w:rFonts w:asciiTheme="minorHAnsi" w:hAnsiTheme="minorHAnsi" w:cstheme="minorHAnsi"/>
        </w:rPr>
        <w:t xml:space="preserve"> [2004] NSWCCA 162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El Hani</w:instrText>
      </w:r>
      <w:r w:rsidRPr="007809F4">
        <w:rPr>
          <w:rFonts w:asciiTheme="minorHAnsi" w:hAnsiTheme="minorHAnsi" w:cstheme="minorHAnsi"/>
        </w:rPr>
        <w:instrText xml:space="preserve"> [2004] NSWCCA 162" \s "R v El Hani [2004] NSWCCA 162"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El Hani [2004] NSWCCA 162" </w:instrText>
      </w:r>
      <w:r w:rsidRPr="00EB7F1E">
        <w:rPr>
          <w:rFonts w:asciiTheme="minorHAnsi" w:hAnsiTheme="minorHAnsi" w:cstheme="minorHAnsi"/>
        </w:rPr>
        <w:fldChar w:fldCharType="end"/>
      </w:r>
      <w:r w:rsidRPr="007809F4">
        <w:rPr>
          <w:rFonts w:asciiTheme="minorHAnsi" w:hAnsiTheme="minorHAnsi" w:cstheme="minorHAnsi"/>
        </w:rPr>
        <w:t>, [73];</w:t>
      </w:r>
      <w:r w:rsidRPr="007809F4">
        <w:rPr>
          <w:rFonts w:asciiTheme="minorHAnsi" w:hAnsiTheme="minorHAnsi" w:cstheme="minorHAnsi"/>
          <w:i/>
        </w:rPr>
        <w:t xml:space="preserve"> Assafiri (No.2) v R </w:t>
      </w:r>
      <w:r w:rsidRPr="007809F4">
        <w:rPr>
          <w:rFonts w:asciiTheme="minorHAnsi" w:hAnsiTheme="minorHAnsi" w:cstheme="minorHAnsi"/>
        </w:rPr>
        <w:t>[2007]</w:t>
      </w:r>
      <w:r w:rsidRPr="007809F4">
        <w:rPr>
          <w:rFonts w:asciiTheme="minorHAnsi" w:hAnsiTheme="minorHAnsi" w:cstheme="minorHAnsi"/>
          <w:i/>
        </w:rPr>
        <w:t xml:space="preserve"> </w:t>
      </w:r>
      <w:r w:rsidRPr="007809F4">
        <w:rPr>
          <w:rFonts w:asciiTheme="minorHAnsi" w:hAnsiTheme="minorHAnsi" w:cstheme="minorHAnsi"/>
        </w:rPr>
        <w:t>NSWCCA 356</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Assafiri (No.2) v R</w:instrText>
      </w:r>
      <w:r w:rsidRPr="007809F4">
        <w:rPr>
          <w:rFonts w:asciiTheme="minorHAnsi" w:hAnsiTheme="minorHAnsi" w:cstheme="minorHAnsi"/>
        </w:rPr>
        <w:instrText xml:space="preserve"> [2007] NSWCCA 3" \s "Assafiri (No.2) v R [2007] NSWCCA 356" \c 1 </w:instrText>
      </w:r>
      <w:r w:rsidRPr="00EB7F1E">
        <w:rPr>
          <w:rFonts w:asciiTheme="minorHAnsi" w:hAnsiTheme="minorHAnsi" w:cstheme="minorHAnsi"/>
          <w:i/>
        </w:rPr>
        <w:fldChar w:fldCharType="end"/>
      </w:r>
      <w:r w:rsidRPr="007809F4">
        <w:rPr>
          <w:rFonts w:asciiTheme="minorHAnsi" w:hAnsiTheme="minorHAnsi" w:cstheme="minorHAnsi"/>
        </w:rPr>
        <w:t xml:space="preserve">; </w:t>
      </w:r>
      <w:r w:rsidRPr="007809F4">
        <w:rPr>
          <w:rFonts w:asciiTheme="minorHAnsi" w:hAnsiTheme="minorHAnsi" w:cstheme="minorHAnsi"/>
          <w:i/>
        </w:rPr>
        <w:t>MEG v R</w:t>
      </w:r>
      <w:r w:rsidRPr="007809F4">
        <w:rPr>
          <w:rStyle w:val="ssleftalign"/>
          <w:rFonts w:asciiTheme="minorHAnsi" w:hAnsiTheme="minorHAnsi" w:cstheme="minorHAnsi"/>
        </w:rPr>
        <w:t xml:space="preserve"> </w:t>
      </w:r>
      <w:r w:rsidRPr="007809F4">
        <w:rPr>
          <w:rFonts w:asciiTheme="minorHAnsi" w:hAnsiTheme="minorHAnsi" w:cstheme="minorHAnsi"/>
        </w:rPr>
        <w:t>[2017] WASCA 161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MEG v R</w:instrText>
      </w:r>
      <w:r w:rsidRPr="007809F4">
        <w:rPr>
          <w:rStyle w:val="ssleftalign"/>
          <w:rFonts w:asciiTheme="minorHAnsi" w:hAnsiTheme="minorHAnsi" w:cstheme="minorHAnsi"/>
        </w:rPr>
        <w:instrText xml:space="preserve"> </w:instrText>
      </w:r>
      <w:r w:rsidRPr="007809F4">
        <w:rPr>
          <w:rFonts w:asciiTheme="minorHAnsi" w:hAnsiTheme="minorHAnsi" w:cstheme="minorHAnsi"/>
        </w:rPr>
        <w:instrText xml:space="preserve">[2017] WASCA 161" \s "MEG v R [2017] WASCA 161" \c 1 </w:instrText>
      </w:r>
      <w:r w:rsidRPr="00EB7F1E">
        <w:rPr>
          <w:rFonts w:asciiTheme="minorHAnsi" w:hAnsiTheme="minorHAnsi" w:cstheme="minorHAnsi"/>
        </w:rPr>
        <w:fldChar w:fldCharType="end"/>
      </w:r>
      <w:r w:rsidRPr="007809F4">
        <w:rPr>
          <w:rFonts w:asciiTheme="minorHAnsi" w:hAnsiTheme="minorHAnsi" w:cstheme="minorHAnsi"/>
        </w:rPr>
        <w:t>, [13].</w:t>
      </w:r>
    </w:p>
  </w:footnote>
  <w:footnote w:id="308">
    <w:p w14:paraId="7DC5E190"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Scerri</w:t>
      </w:r>
      <w:r w:rsidRPr="007809F4">
        <w:rPr>
          <w:rFonts w:asciiTheme="minorHAnsi" w:hAnsiTheme="minorHAnsi" w:cstheme="minorHAnsi"/>
        </w:rPr>
        <w:t xml:space="preserve"> [2010] VSCA 287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Scerri</w:instrText>
      </w:r>
      <w:r w:rsidRPr="007809F4">
        <w:rPr>
          <w:rFonts w:asciiTheme="minorHAnsi" w:hAnsiTheme="minorHAnsi" w:cstheme="minorHAnsi"/>
        </w:rPr>
        <w:instrText xml:space="preserve"> [2010] VSCA 287" \s "R v Scerri [2010] VSCA 287"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09">
    <w:p w14:paraId="2C69D662" w14:textId="1CD00C8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Nannup v Western Australia </w:t>
      </w:r>
      <w:r w:rsidRPr="007809F4">
        <w:rPr>
          <w:rFonts w:asciiTheme="minorHAnsi" w:hAnsiTheme="minorHAnsi" w:cstheme="minorHAnsi"/>
        </w:rPr>
        <w:t>[2011] WASCA 257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Nannup v Western Australia </w:instrText>
      </w:r>
      <w:r w:rsidRPr="007809F4">
        <w:rPr>
          <w:rFonts w:asciiTheme="minorHAnsi" w:hAnsiTheme="minorHAnsi" w:cstheme="minorHAnsi"/>
        </w:rPr>
        <w:instrText xml:space="preserve">[2011] WASCA 257" \s "Nannup v Western Australia [2011] WASCA 257" \c 1 </w:instrText>
      </w:r>
      <w:r w:rsidRPr="00EB7F1E">
        <w:rPr>
          <w:rFonts w:asciiTheme="minorHAnsi" w:hAnsiTheme="minorHAnsi" w:cstheme="minorHAnsi"/>
        </w:rPr>
        <w:fldChar w:fldCharType="end"/>
      </w:r>
      <w:r w:rsidRPr="007809F4">
        <w:rPr>
          <w:rFonts w:asciiTheme="minorHAnsi" w:hAnsiTheme="minorHAnsi" w:cstheme="minorHAnsi"/>
        </w:rPr>
        <w:t xml:space="preserve">, [34]-[38]; </w:t>
      </w:r>
      <w:r w:rsidRPr="007809F4">
        <w:rPr>
          <w:rFonts w:asciiTheme="minorHAnsi" w:hAnsiTheme="minorHAnsi" w:cstheme="minorHAnsi"/>
          <w:i/>
        </w:rPr>
        <w:t xml:space="preserve">MXP v Western Australia </w:t>
      </w:r>
      <w:r w:rsidRPr="007809F4">
        <w:rPr>
          <w:rFonts w:asciiTheme="minorHAnsi" w:hAnsiTheme="minorHAnsi" w:cstheme="minorHAnsi"/>
        </w:rPr>
        <w:t>(2010) 41 WAR 149</w:t>
      </w:r>
      <w:r w:rsidRPr="00EB7F1E">
        <w:rPr>
          <w:rFonts w:asciiTheme="minorHAnsi" w:hAnsiTheme="minorHAnsi" w:cstheme="minorHAnsi"/>
        </w:rPr>
        <w:fldChar w:fldCharType="begin"/>
      </w:r>
      <w:r w:rsidRPr="00EB7F1E">
        <w:rPr>
          <w:rFonts w:asciiTheme="minorHAnsi" w:hAnsiTheme="minorHAnsi" w:cstheme="minorHAnsi"/>
        </w:rPr>
        <w:instrText xml:space="preserve"> TA \s "MXP v Western Australia (2010) 41 WAR 149"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"MXP v The State of Western Australia (2010) 41 WAR 149"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A Child v Western Australia </w:t>
      </w:r>
      <w:r w:rsidRPr="007809F4">
        <w:rPr>
          <w:rFonts w:asciiTheme="minorHAnsi" w:hAnsiTheme="minorHAnsi" w:cstheme="minorHAnsi"/>
        </w:rPr>
        <w:t xml:space="preserve"> [2007] WASCA 285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A Child v Western Australia </w:instrText>
      </w:r>
      <w:r w:rsidRPr="007809F4">
        <w:rPr>
          <w:rFonts w:asciiTheme="minorHAnsi" w:hAnsiTheme="minorHAnsi" w:cstheme="minorHAnsi"/>
        </w:rPr>
        <w:instrText xml:space="preserve"> [2007] WASCA 285" \s "A Child v Western Australia  [2007] WASCA 285"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10">
    <w:p w14:paraId="7352300F" w14:textId="728CAC4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Tang</w:t>
      </w:r>
      <w:r w:rsidRPr="007809F4">
        <w:rPr>
          <w:rFonts w:asciiTheme="minorHAnsi" w:hAnsiTheme="minorHAnsi" w:cstheme="minorHAnsi"/>
        </w:rPr>
        <w:t xml:space="preserve"> [1998] 3 VR 508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Tang</w:instrText>
      </w:r>
      <w:r w:rsidRPr="007809F4">
        <w:rPr>
          <w:rFonts w:asciiTheme="minorHAnsi" w:hAnsiTheme="minorHAnsi" w:cstheme="minorHAnsi"/>
        </w:rPr>
        <w:instrText xml:space="preserve"> [1998] 3 VR 508" \s "R v Tang [1998] 3 VR 508"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Tang [1998] 3 VR 508"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MA v R </w:t>
      </w:r>
      <w:r w:rsidRPr="007809F4">
        <w:rPr>
          <w:rFonts w:asciiTheme="minorHAnsi" w:hAnsiTheme="minorHAnsi" w:cstheme="minorHAnsi"/>
        </w:rPr>
        <w:t>[2001] WASCA 325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MA v R </w:instrText>
      </w:r>
      <w:r w:rsidRPr="007809F4">
        <w:rPr>
          <w:rFonts w:asciiTheme="minorHAnsi" w:hAnsiTheme="minorHAnsi" w:cstheme="minorHAnsi"/>
        </w:rPr>
        <w:instrText xml:space="preserve">[2001] WASCA 325" \s "MA v R [2001] WASCA 325" \c 1 </w:instrText>
      </w:r>
      <w:r w:rsidRPr="00EB7F1E">
        <w:rPr>
          <w:rFonts w:asciiTheme="minorHAnsi" w:hAnsiTheme="minorHAnsi" w:cstheme="minorHAnsi"/>
        </w:rPr>
        <w:fldChar w:fldCharType="end"/>
      </w:r>
      <w:r w:rsidRPr="007809F4">
        <w:rPr>
          <w:rFonts w:asciiTheme="minorHAnsi" w:hAnsiTheme="minorHAnsi" w:cstheme="minorHAnsi"/>
        </w:rPr>
        <w:t xml:space="preserve">, [62], [112]-[114]; </w:t>
      </w:r>
      <w:r w:rsidRPr="007809F4">
        <w:rPr>
          <w:rFonts w:asciiTheme="minorHAnsi" w:hAnsiTheme="minorHAnsi" w:cstheme="minorHAnsi"/>
          <w:i/>
        </w:rPr>
        <w:t>R v YLC</w:t>
      </w:r>
      <w:r w:rsidRPr="007809F4">
        <w:rPr>
          <w:rFonts w:asciiTheme="minorHAnsi" w:hAnsiTheme="minorHAnsi" w:cstheme="minorHAnsi"/>
        </w:rPr>
        <w:t xml:space="preserve"> [2005] NSWCCA 394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YLC</w:instrText>
      </w:r>
      <w:r w:rsidRPr="007809F4">
        <w:rPr>
          <w:rFonts w:asciiTheme="minorHAnsi" w:hAnsiTheme="minorHAnsi" w:cstheme="minorHAnsi"/>
        </w:rPr>
        <w:instrText xml:space="preserve"> [2005] NSWCCA 394" \s "R v YLC [2005] NSWCCA 394"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YLC [2005] NSWCCA 394" </w:instrText>
      </w:r>
      <w:r w:rsidRPr="00EB7F1E">
        <w:rPr>
          <w:rFonts w:asciiTheme="minorHAnsi" w:hAnsiTheme="minorHAnsi" w:cstheme="minorHAnsi"/>
        </w:rPr>
        <w:fldChar w:fldCharType="end"/>
      </w:r>
      <w:r w:rsidRPr="007809F4">
        <w:rPr>
          <w:rFonts w:asciiTheme="minorHAnsi" w:hAnsiTheme="minorHAnsi" w:cstheme="minorHAnsi"/>
        </w:rPr>
        <w:t xml:space="preserve">, [29]; </w:t>
      </w:r>
      <w:r w:rsidRPr="00EB7F1E">
        <w:rPr>
          <w:rFonts w:asciiTheme="minorHAnsi" w:hAnsiTheme="minorHAnsi" w:cstheme="minorHAnsi"/>
          <w:i/>
          <w:iCs/>
        </w:rPr>
        <w:t>Ungureanu v R</w:t>
      </w:r>
      <w:r w:rsidRPr="00EB7F1E">
        <w:rPr>
          <w:rFonts w:asciiTheme="minorHAnsi" w:hAnsiTheme="minorHAnsi" w:cstheme="minorHAnsi"/>
        </w:rPr>
        <w:t xml:space="preserve"> [2012] WASCA 11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Ungureanu v R</w:instrText>
      </w:r>
      <w:r w:rsidRPr="00EB7F1E">
        <w:rPr>
          <w:rFonts w:asciiTheme="minorHAnsi" w:hAnsiTheme="minorHAnsi" w:cstheme="minorHAnsi"/>
        </w:rPr>
        <w:instrText xml:space="preserve"> [2012] WASCA 11" \s "Ungureanu v R [2012] WASCA 11" \c 1 </w:instrText>
      </w:r>
      <w:r w:rsidRPr="00EB7F1E">
        <w:rPr>
          <w:rFonts w:asciiTheme="minorHAnsi" w:hAnsiTheme="minorHAnsi" w:cstheme="minorHAnsi"/>
        </w:rPr>
        <w:fldChar w:fldCharType="end"/>
      </w:r>
      <w:r w:rsidRPr="007809F4">
        <w:rPr>
          <w:rFonts w:asciiTheme="minorHAnsi" w:hAnsiTheme="minorHAnsi" w:cstheme="minorHAnsi"/>
        </w:rPr>
        <w:t>, [33]</w:t>
      </w:r>
      <w:r w:rsidRPr="00EB7F1E">
        <w:rPr>
          <w:rFonts w:asciiTheme="minorHAnsi" w:hAnsiTheme="minorHAnsi" w:cstheme="minorHAnsi"/>
        </w:rPr>
        <w:t>;</w:t>
      </w:r>
      <w:r w:rsidRPr="00EB7F1E">
        <w:rPr>
          <w:rStyle w:val="ssleftalign"/>
          <w:rFonts w:asciiTheme="minorHAnsi" w:hAnsiTheme="minorHAnsi" w:cstheme="minorHAnsi"/>
        </w:rPr>
        <w:t xml:space="preserve"> </w:t>
      </w:r>
      <w:r w:rsidRPr="007809F4">
        <w:rPr>
          <w:rFonts w:asciiTheme="minorHAnsi" w:hAnsiTheme="minorHAnsi" w:cstheme="minorHAnsi"/>
          <w:i/>
        </w:rPr>
        <w:t>Ruiz v R</w:t>
      </w:r>
      <w:r w:rsidRPr="007809F4">
        <w:rPr>
          <w:rFonts w:asciiTheme="minorHAnsi" w:hAnsiTheme="minorHAnsi" w:cstheme="minorHAnsi"/>
        </w:rPr>
        <w:t xml:space="preserve"> [2013] VSCA 313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Ruiz v R</w:instrText>
      </w:r>
      <w:r w:rsidRPr="007809F4">
        <w:rPr>
          <w:rFonts w:asciiTheme="minorHAnsi" w:hAnsiTheme="minorHAnsi" w:cstheme="minorHAnsi"/>
        </w:rPr>
        <w:instrText xml:space="preserve"> [2013] VSCA 313" \s "Ruiz v R [2013] VSCA 313"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iCs/>
        </w:rPr>
        <w:t>R v Phelps</w:t>
      </w:r>
      <w:r w:rsidRPr="007809F4">
        <w:rPr>
          <w:rFonts w:asciiTheme="minorHAnsi" w:hAnsiTheme="minorHAnsi" w:cstheme="minorHAnsi"/>
        </w:rPr>
        <w:t xml:space="preserve"> [2018] NSWCCA 191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Phelps</w:instrText>
      </w:r>
      <w:r w:rsidRPr="007809F4">
        <w:rPr>
          <w:rFonts w:asciiTheme="minorHAnsi" w:hAnsiTheme="minorHAnsi" w:cstheme="minorHAnsi"/>
        </w:rPr>
        <w:instrText xml:space="preserve"> [2018] NSWCCA 191</w:instrText>
      </w:r>
      <w:r w:rsidRPr="00EB7F1E">
        <w:rPr>
          <w:rFonts w:asciiTheme="minorHAnsi" w:hAnsiTheme="minorHAnsi" w:cstheme="minorHAnsi"/>
        </w:rPr>
        <w:instrText xml:space="preserve">" \s "R v Phelps [2018] NSWCCA 191" \c 1 </w:instrText>
      </w:r>
      <w:r w:rsidRPr="00EB7F1E">
        <w:rPr>
          <w:rFonts w:asciiTheme="minorHAnsi" w:hAnsiTheme="minorHAnsi" w:cstheme="minorHAnsi"/>
        </w:rPr>
        <w:fldChar w:fldCharType="end"/>
      </w:r>
      <w:r w:rsidRPr="007809F4">
        <w:rPr>
          <w:rFonts w:asciiTheme="minorHAnsi" w:hAnsiTheme="minorHAnsi" w:cstheme="minorHAnsi"/>
        </w:rPr>
        <w:t>, [77].</w:t>
      </w:r>
    </w:p>
  </w:footnote>
  <w:footnote w:id="311">
    <w:p w14:paraId="330AB413" w14:textId="745B0C4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Assafiri (No.2) v R </w:t>
      </w:r>
      <w:r w:rsidRPr="007809F4">
        <w:rPr>
          <w:rFonts w:asciiTheme="minorHAnsi" w:hAnsiTheme="minorHAnsi" w:cstheme="minorHAnsi"/>
        </w:rPr>
        <w:t>[2007]</w:t>
      </w:r>
      <w:r w:rsidRPr="007809F4">
        <w:rPr>
          <w:rFonts w:asciiTheme="minorHAnsi" w:hAnsiTheme="minorHAnsi" w:cstheme="minorHAnsi"/>
          <w:i/>
        </w:rPr>
        <w:t xml:space="preserve"> </w:t>
      </w:r>
      <w:r w:rsidRPr="007809F4">
        <w:rPr>
          <w:rFonts w:asciiTheme="minorHAnsi" w:hAnsiTheme="minorHAnsi" w:cstheme="minorHAnsi"/>
        </w:rPr>
        <w:t>NSWCCA 356</w:t>
      </w:r>
      <w:r w:rsidRPr="00EB7F1E">
        <w:rPr>
          <w:rFonts w:asciiTheme="minorHAnsi" w:hAnsiTheme="minorHAnsi" w:cstheme="minorHAnsi"/>
        </w:rPr>
        <w:fldChar w:fldCharType="begin"/>
      </w:r>
      <w:r w:rsidRPr="007809F4">
        <w:rPr>
          <w:rFonts w:asciiTheme="minorHAnsi" w:hAnsiTheme="minorHAnsi" w:cstheme="minorHAnsi"/>
        </w:rPr>
        <w:instrText xml:space="preserve"> TA \s "Assafiri (No.2) v R [2007] NSWCCA 356"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12">
    <w:p w14:paraId="206BF952" w14:textId="03A7AC2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Gladkowski</w:t>
      </w:r>
      <w:r w:rsidRPr="007809F4">
        <w:rPr>
          <w:rFonts w:asciiTheme="minorHAnsi" w:hAnsiTheme="minorHAnsi" w:cstheme="minorHAnsi"/>
        </w:rPr>
        <w:t xml:space="preserve"> [2000] QCA 352</w:t>
      </w:r>
      <w:r w:rsidRPr="00EB7F1E">
        <w:rPr>
          <w:rFonts w:asciiTheme="minorHAnsi" w:hAnsiTheme="minorHAnsi" w:cstheme="minorHAnsi"/>
        </w:rPr>
        <w:fldChar w:fldCharType="begin"/>
      </w:r>
      <w:r w:rsidRPr="007809F4">
        <w:rPr>
          <w:rFonts w:asciiTheme="minorHAnsi" w:hAnsiTheme="minorHAnsi" w:cstheme="minorHAnsi"/>
        </w:rPr>
        <w:instrText xml:space="preserve"> TA \s "R v Gladkowski [2000] QCA 352"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Gladkowski (2000) 115 A Crim R 446" </w:instrText>
      </w:r>
      <w:r w:rsidRPr="00EB7F1E">
        <w:rPr>
          <w:rFonts w:asciiTheme="minorHAnsi" w:hAnsiTheme="minorHAnsi" w:cstheme="minorHAnsi"/>
        </w:rPr>
        <w:fldChar w:fldCharType="end"/>
      </w:r>
      <w:r w:rsidRPr="007809F4">
        <w:rPr>
          <w:rFonts w:asciiTheme="minorHAnsi" w:hAnsiTheme="minorHAnsi" w:cstheme="minorHAnsi"/>
          <w:i/>
        </w:rPr>
        <w:t xml:space="preserve"> R v Pividor</w:t>
      </w:r>
      <w:r w:rsidRPr="007809F4">
        <w:rPr>
          <w:rFonts w:asciiTheme="minorHAnsi" w:hAnsiTheme="minorHAnsi" w:cstheme="minorHAnsi"/>
        </w:rPr>
        <w:t xml:space="preserve"> [2002] VSCA 174,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Pividor</w:instrText>
      </w:r>
      <w:r w:rsidRPr="007809F4">
        <w:rPr>
          <w:rFonts w:asciiTheme="minorHAnsi" w:hAnsiTheme="minorHAnsi" w:cstheme="minorHAnsi"/>
        </w:rPr>
        <w:instrText xml:space="preserve"> [2002] VSCA 174" \s "R v Pividor [2002] VSCA 174"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Pividor and Dale [2002] VSCA 174" </w:instrText>
      </w:r>
      <w:r w:rsidRPr="00EB7F1E">
        <w:rPr>
          <w:rFonts w:asciiTheme="minorHAnsi" w:hAnsiTheme="minorHAnsi" w:cstheme="minorHAnsi"/>
        </w:rPr>
        <w:fldChar w:fldCharType="end"/>
      </w:r>
      <w:r w:rsidRPr="007809F4">
        <w:rPr>
          <w:rFonts w:asciiTheme="minorHAnsi" w:hAnsiTheme="minorHAnsi" w:cstheme="minorHAnsi"/>
        </w:rPr>
        <w:t xml:space="preserve"> [30].</w:t>
      </w:r>
    </w:p>
  </w:footnote>
  <w:footnote w:id="313">
    <w:p w14:paraId="2794EAAD" w14:textId="182DA8C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R v Cartwright</w:t>
      </w:r>
      <w:r w:rsidRPr="007809F4">
        <w:rPr>
          <w:rFonts w:asciiTheme="minorHAnsi" w:hAnsiTheme="minorHAnsi" w:cstheme="minorHAnsi"/>
        </w:rPr>
        <w:t xml:space="preserve"> (1989) 17 NSWLR 243</w:t>
      </w:r>
      <w:r w:rsidRPr="00EB7F1E">
        <w:rPr>
          <w:rFonts w:asciiTheme="minorHAnsi" w:hAnsiTheme="minorHAnsi" w:cstheme="minorHAnsi"/>
        </w:rPr>
        <w:fldChar w:fldCharType="begin"/>
      </w:r>
      <w:r w:rsidRPr="00EB7F1E">
        <w:rPr>
          <w:rFonts w:asciiTheme="minorHAnsi" w:hAnsiTheme="minorHAnsi" w:cstheme="minorHAnsi"/>
        </w:rPr>
        <w:instrText xml:space="preserve"> TA \s "R v Cartwright (1989) 17 NSWLR 243" </w:instrText>
      </w:r>
      <w:r w:rsidRPr="00EB7F1E">
        <w:rPr>
          <w:rFonts w:asciiTheme="minorHAnsi" w:hAnsiTheme="minorHAnsi" w:cstheme="minorHAnsi"/>
        </w:rPr>
        <w:fldChar w:fldCharType="end"/>
      </w:r>
      <w:r w:rsidRPr="007809F4">
        <w:rPr>
          <w:rFonts w:asciiTheme="minorHAnsi" w:hAnsiTheme="minorHAnsi" w:cstheme="minorHAnsi"/>
        </w:rPr>
        <w:t xml:space="preserve">, 250; </w:t>
      </w:r>
      <w:r w:rsidRPr="00EB7F1E">
        <w:rPr>
          <w:rFonts w:asciiTheme="minorHAnsi" w:hAnsiTheme="minorHAnsi" w:cstheme="minorHAnsi"/>
          <w:i/>
          <w:iCs/>
        </w:rPr>
        <w:t>R v Gallagher</w:t>
      </w:r>
      <w:r w:rsidRPr="007809F4">
        <w:rPr>
          <w:rFonts w:asciiTheme="minorHAnsi" w:hAnsiTheme="minorHAnsi" w:cstheme="minorHAnsi"/>
        </w:rPr>
        <w:t xml:space="preserve"> (1991) 23 NSWLR 220</w:t>
      </w:r>
      <w:r w:rsidRPr="00EB7F1E">
        <w:rPr>
          <w:rFonts w:asciiTheme="minorHAnsi" w:hAnsiTheme="minorHAnsi" w:cstheme="minorHAnsi"/>
        </w:rPr>
        <w:fldChar w:fldCharType="begin"/>
      </w:r>
      <w:r w:rsidRPr="00EB7F1E">
        <w:rPr>
          <w:rFonts w:asciiTheme="minorHAnsi" w:hAnsiTheme="minorHAnsi" w:cstheme="minorHAnsi"/>
        </w:rPr>
        <w:instrText xml:space="preserve"> TA \s "R v Gallagher (1991) 23 NSWLR 220" </w:instrText>
      </w:r>
      <w:r w:rsidRPr="00EB7F1E">
        <w:rPr>
          <w:rFonts w:asciiTheme="minorHAnsi" w:hAnsiTheme="minorHAnsi" w:cstheme="minorHAnsi"/>
        </w:rPr>
        <w:fldChar w:fldCharType="end"/>
      </w:r>
      <w:r w:rsidRPr="007809F4">
        <w:rPr>
          <w:rFonts w:asciiTheme="minorHAnsi" w:hAnsiTheme="minorHAnsi" w:cstheme="minorHAnsi"/>
        </w:rPr>
        <w:t xml:space="preserve">, 227; </w:t>
      </w:r>
      <w:r w:rsidRPr="00EB7F1E">
        <w:rPr>
          <w:rFonts w:asciiTheme="minorHAnsi" w:hAnsiTheme="minorHAnsi" w:cstheme="minorHAnsi"/>
          <w:i/>
          <w:iCs/>
        </w:rPr>
        <w:t>R v Sukkar</w:t>
      </w:r>
      <w:r w:rsidRPr="007809F4">
        <w:rPr>
          <w:rFonts w:asciiTheme="minorHAnsi" w:hAnsiTheme="minorHAnsi" w:cstheme="minorHAnsi"/>
        </w:rPr>
        <w:t xml:space="preserve"> [2006] NSWCCA 92</w:t>
      </w:r>
      <w:r w:rsidRPr="00EB7F1E">
        <w:rPr>
          <w:rFonts w:asciiTheme="minorHAnsi" w:hAnsiTheme="minorHAnsi" w:cstheme="minorHAnsi"/>
        </w:rPr>
        <w:fldChar w:fldCharType="begin"/>
      </w:r>
      <w:r w:rsidRPr="007809F4">
        <w:rPr>
          <w:rFonts w:asciiTheme="minorHAnsi" w:hAnsiTheme="minorHAnsi" w:cstheme="minorHAnsi"/>
        </w:rPr>
        <w:instrText xml:space="preserve"> TA </w:instrText>
      </w:r>
      <w:r w:rsidRPr="00EB7F1E">
        <w:rPr>
          <w:rFonts w:asciiTheme="minorHAnsi" w:hAnsiTheme="minorHAnsi" w:cstheme="minorHAnsi"/>
        </w:rPr>
        <w:instrText xml:space="preserve">\s "R v Sukkar [2006] NSWCCA 92" </w:instrText>
      </w:r>
      <w:r w:rsidRPr="00EB7F1E">
        <w:rPr>
          <w:rFonts w:asciiTheme="minorHAnsi" w:hAnsiTheme="minorHAnsi" w:cstheme="minorHAnsi"/>
        </w:rPr>
        <w:fldChar w:fldCharType="end"/>
      </w:r>
      <w:r w:rsidRPr="00EB7F1E">
        <w:rPr>
          <w:rFonts w:asciiTheme="minorHAnsi" w:hAnsiTheme="minorHAnsi" w:cstheme="minorHAnsi"/>
        </w:rPr>
        <w:t>, [55].</w:t>
      </w:r>
    </w:p>
  </w:footnote>
  <w:footnote w:id="314">
    <w:p w14:paraId="3972DDDF" w14:textId="06A09F5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R v Sukkar</w:t>
      </w:r>
      <w:r w:rsidRPr="007809F4">
        <w:rPr>
          <w:rFonts w:asciiTheme="minorHAnsi" w:hAnsiTheme="minorHAnsi" w:cstheme="minorHAnsi"/>
        </w:rPr>
        <w:t xml:space="preserve"> [2006] NSWCCA 92</w:t>
      </w:r>
      <w:r w:rsidRPr="00EB7F1E">
        <w:rPr>
          <w:rFonts w:asciiTheme="minorHAnsi" w:hAnsiTheme="minorHAnsi" w:cstheme="minorHAnsi"/>
        </w:rPr>
        <w:fldChar w:fldCharType="begin"/>
      </w:r>
      <w:r w:rsidRPr="007809F4">
        <w:rPr>
          <w:rFonts w:asciiTheme="minorHAnsi" w:hAnsiTheme="minorHAnsi" w:cstheme="minorHAnsi"/>
        </w:rPr>
        <w:instrText xml:space="preserve"> TA \s "R v Sukkar [2006] NSWCCA 92" </w:instrText>
      </w:r>
      <w:r w:rsidRPr="00EB7F1E">
        <w:rPr>
          <w:rFonts w:asciiTheme="minorHAnsi" w:hAnsiTheme="minorHAnsi" w:cstheme="minorHAnsi"/>
        </w:rPr>
        <w:fldChar w:fldCharType="end"/>
      </w:r>
      <w:r w:rsidRPr="00EB7F1E">
        <w:rPr>
          <w:rFonts w:asciiTheme="minorHAnsi" w:hAnsiTheme="minorHAnsi" w:cstheme="minorHAnsi"/>
        </w:rPr>
        <w:t xml:space="preserve">, [4]-[5]; </w:t>
      </w:r>
      <w:r w:rsidRPr="00EB7F1E">
        <w:rPr>
          <w:rFonts w:asciiTheme="minorHAnsi" w:hAnsiTheme="minorHAnsi" w:cstheme="minorHAnsi"/>
          <w:i/>
          <w:iCs/>
        </w:rPr>
        <w:t>FS v R</w:t>
      </w:r>
      <w:r w:rsidRPr="00EB7F1E">
        <w:rPr>
          <w:rFonts w:asciiTheme="minorHAnsi" w:hAnsiTheme="minorHAnsi" w:cstheme="minorHAnsi"/>
        </w:rPr>
        <w:t xml:space="preserve"> [2009] NSWCCA 301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FS v R</w:instrText>
      </w:r>
      <w:r w:rsidRPr="00EB7F1E">
        <w:rPr>
          <w:rFonts w:asciiTheme="minorHAnsi" w:hAnsiTheme="minorHAnsi" w:cstheme="minorHAnsi"/>
        </w:rPr>
        <w:instrText xml:space="preserve"> [2009] NSWCCA 301" \s "FS v R [2009] NSWCCA 301" \c 1 </w:instrText>
      </w:r>
      <w:r w:rsidRPr="00EB7F1E">
        <w:rPr>
          <w:rFonts w:asciiTheme="minorHAnsi" w:hAnsiTheme="minorHAnsi" w:cstheme="minorHAnsi"/>
        </w:rPr>
        <w:fldChar w:fldCharType="end"/>
      </w:r>
      <w:r w:rsidRPr="00EB7F1E">
        <w:rPr>
          <w:rFonts w:asciiTheme="minorHAnsi" w:hAnsiTheme="minorHAnsi" w:cstheme="minorHAnsi"/>
        </w:rPr>
        <w:t xml:space="preserve">, [21]; </w:t>
      </w:r>
      <w:r w:rsidRPr="007809F4">
        <w:rPr>
          <w:rFonts w:asciiTheme="minorHAnsi" w:hAnsiTheme="minorHAnsi" w:cstheme="minorHAnsi"/>
          <w:i/>
          <w:iCs/>
        </w:rPr>
        <w:t>Isaac v R</w:t>
      </w:r>
      <w:r w:rsidRPr="007809F4">
        <w:rPr>
          <w:rFonts w:asciiTheme="minorHAnsi" w:hAnsiTheme="minorHAnsi" w:cstheme="minorHAnsi"/>
        </w:rPr>
        <w:t xml:space="preserve"> [2012] NSWCCA 195</w:t>
      </w:r>
      <w:r w:rsidRPr="00EB7F1E">
        <w:rPr>
          <w:rFonts w:asciiTheme="minorHAnsi" w:hAnsiTheme="minorHAnsi" w:cstheme="minorHAnsi"/>
        </w:rPr>
        <w:fldChar w:fldCharType="begin"/>
      </w:r>
      <w:r w:rsidRPr="007809F4">
        <w:rPr>
          <w:rFonts w:asciiTheme="minorHAnsi" w:hAnsiTheme="minorHAnsi" w:cstheme="minorHAnsi"/>
        </w:rPr>
        <w:instrText xml:space="preserve"> TA \s "Isaac v R [2012] NSWCCA 195" </w:instrText>
      </w:r>
      <w:r w:rsidRPr="00EB7F1E">
        <w:rPr>
          <w:rFonts w:asciiTheme="minorHAnsi" w:hAnsiTheme="minorHAnsi" w:cstheme="minorHAnsi"/>
        </w:rPr>
        <w:fldChar w:fldCharType="end"/>
      </w:r>
      <w:r w:rsidRPr="007809F4">
        <w:rPr>
          <w:rFonts w:asciiTheme="minorHAnsi" w:hAnsiTheme="minorHAnsi" w:cstheme="minorHAnsi"/>
        </w:rPr>
        <w:t>, [47].</w:t>
      </w:r>
    </w:p>
  </w:footnote>
  <w:footnote w:id="315">
    <w:p w14:paraId="527A81F8" w14:textId="2011858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R v Perez-Vargas</w:t>
      </w:r>
      <w:r w:rsidRPr="007809F4">
        <w:rPr>
          <w:rFonts w:asciiTheme="minorHAnsi" w:hAnsiTheme="minorHAnsi" w:cstheme="minorHAnsi"/>
        </w:rPr>
        <w:t xml:space="preserve"> (1986) 6 NSWLR 559</w:t>
      </w:r>
      <w:r w:rsidRPr="00EB7F1E">
        <w:rPr>
          <w:rFonts w:asciiTheme="minorHAnsi" w:hAnsiTheme="minorHAnsi" w:cstheme="minorHAnsi"/>
        </w:rPr>
        <w:fldChar w:fldCharType="begin"/>
      </w:r>
      <w:r w:rsidRPr="00EB7F1E">
        <w:rPr>
          <w:rFonts w:asciiTheme="minorHAnsi" w:hAnsiTheme="minorHAnsi" w:cstheme="minorHAnsi"/>
        </w:rPr>
        <w:instrText xml:space="preserve"> TA \s "R v Perez-Vargas (1986) 6 NSWLR 559"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iCs/>
        </w:rPr>
        <w:t>R v Sukkar</w:t>
      </w:r>
      <w:r w:rsidRPr="007809F4">
        <w:rPr>
          <w:rFonts w:asciiTheme="minorHAnsi" w:hAnsiTheme="minorHAnsi" w:cstheme="minorHAnsi"/>
        </w:rPr>
        <w:t xml:space="preserve"> [2006] NSWCCA 92</w:t>
      </w:r>
      <w:r w:rsidRPr="00EB7F1E">
        <w:rPr>
          <w:rFonts w:asciiTheme="minorHAnsi" w:hAnsiTheme="minorHAnsi" w:cstheme="minorHAnsi"/>
        </w:rPr>
        <w:fldChar w:fldCharType="begin"/>
      </w:r>
      <w:r w:rsidRPr="00EB7F1E">
        <w:rPr>
          <w:rFonts w:asciiTheme="minorHAnsi" w:hAnsiTheme="minorHAnsi" w:cstheme="minorHAnsi"/>
        </w:rPr>
        <w:instrText xml:space="preserve"> TA \s "R v Sukkar [2006] NSWCCA 92" </w:instrText>
      </w:r>
      <w:r w:rsidRPr="00EB7F1E">
        <w:rPr>
          <w:rFonts w:asciiTheme="minorHAnsi" w:hAnsiTheme="minorHAnsi" w:cstheme="minorHAnsi"/>
        </w:rPr>
        <w:fldChar w:fldCharType="end"/>
      </w:r>
      <w:r w:rsidRPr="00EB7F1E">
        <w:rPr>
          <w:rFonts w:asciiTheme="minorHAnsi" w:hAnsiTheme="minorHAnsi" w:cstheme="minorHAnsi"/>
        </w:rPr>
        <w:t>, [55].</w:t>
      </w:r>
    </w:p>
  </w:footnote>
  <w:footnote w:id="316">
    <w:p w14:paraId="694889CA" w14:textId="3B887C7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Gladkowski</w:t>
      </w:r>
      <w:r w:rsidRPr="007809F4">
        <w:rPr>
          <w:rFonts w:asciiTheme="minorHAnsi" w:hAnsiTheme="minorHAnsi" w:cstheme="minorHAnsi"/>
        </w:rPr>
        <w:t xml:space="preserve"> [2000] QCA 352</w:t>
      </w:r>
      <w:r w:rsidRPr="00EB7F1E">
        <w:rPr>
          <w:rFonts w:asciiTheme="minorHAnsi" w:hAnsiTheme="minorHAnsi" w:cstheme="minorHAnsi"/>
        </w:rPr>
        <w:fldChar w:fldCharType="begin"/>
      </w:r>
      <w:r w:rsidRPr="007809F4">
        <w:rPr>
          <w:rFonts w:asciiTheme="minorHAnsi" w:hAnsiTheme="minorHAnsi" w:cstheme="minorHAnsi"/>
        </w:rPr>
        <w:instrText xml:space="preserve"> TA \s "R v Gladkowski [2000] QCA 352"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Gladkowski (2000) 115 A Crim R 446" </w:instrText>
      </w:r>
      <w:r w:rsidRPr="00EB7F1E">
        <w:rPr>
          <w:rFonts w:asciiTheme="minorHAnsi" w:hAnsiTheme="minorHAnsi" w:cstheme="minorHAnsi"/>
        </w:rPr>
        <w:fldChar w:fldCharType="end"/>
      </w:r>
      <w:r w:rsidRPr="007809F4">
        <w:rPr>
          <w:rFonts w:asciiTheme="minorHAnsi" w:hAnsiTheme="minorHAnsi" w:cstheme="minorHAnsi"/>
        </w:rPr>
        <w:t>, 448.</w:t>
      </w:r>
    </w:p>
  </w:footnote>
  <w:footnote w:id="317">
    <w:p w14:paraId="24F8C704" w14:textId="693A943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bCs/>
          <w:i/>
          <w:iCs/>
        </w:rPr>
        <w:t xml:space="preserve">R v Pickard </w:t>
      </w:r>
      <w:r w:rsidRPr="007809F4">
        <w:rPr>
          <w:rFonts w:asciiTheme="minorHAnsi" w:hAnsiTheme="minorHAnsi" w:cstheme="minorHAnsi"/>
          <w:bCs/>
          <w:iCs/>
        </w:rPr>
        <w:t>[1998] VSCA 50</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TA \s "R v Pickard [1998] VSCA 50" </w:instrText>
      </w:r>
      <w:r w:rsidRPr="00EB7F1E">
        <w:rPr>
          <w:rFonts w:asciiTheme="minorHAnsi" w:hAnsiTheme="minorHAnsi" w:cstheme="minorHAnsi"/>
          <w:bCs/>
          <w:iCs/>
        </w:rPr>
        <w:fldChar w:fldCharType="end"/>
      </w:r>
      <w:r w:rsidRPr="007809F4">
        <w:rPr>
          <w:rFonts w:asciiTheme="minorHAnsi" w:hAnsiTheme="minorHAnsi" w:cstheme="minorHAnsi"/>
          <w:bCs/>
          <w:iCs/>
        </w:rPr>
        <w:t>.</w:t>
      </w:r>
      <w:r w:rsidRPr="00EB7F1E">
        <w:rPr>
          <w:rFonts w:asciiTheme="minorHAnsi" w:hAnsiTheme="minorHAnsi" w:cstheme="minorHAnsi"/>
        </w:rPr>
        <w:fldChar w:fldCharType="begin"/>
      </w:r>
      <w:r w:rsidRPr="007809F4">
        <w:rPr>
          <w:rFonts w:asciiTheme="minorHAnsi" w:hAnsiTheme="minorHAnsi" w:cstheme="minorHAnsi"/>
        </w:rPr>
        <w:instrText xml:space="preserve">  "Weininger v R (2003) 212 CLR 629" </w:instrText>
      </w:r>
      <w:r w:rsidRPr="00EB7F1E">
        <w:rPr>
          <w:rFonts w:asciiTheme="minorHAnsi" w:hAnsiTheme="minorHAnsi" w:cstheme="minorHAnsi"/>
        </w:rPr>
        <w:fldChar w:fldCharType="end"/>
      </w:r>
    </w:p>
  </w:footnote>
  <w:footnote w:id="318">
    <w:p w14:paraId="6D5C4A1E" w14:textId="393CBF4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Barbaro v R </w:t>
      </w:r>
      <w:r w:rsidRPr="007809F4">
        <w:rPr>
          <w:rFonts w:asciiTheme="minorHAnsi" w:hAnsiTheme="minorHAnsi" w:cstheme="minorHAnsi"/>
        </w:rPr>
        <w:t>[2012] VSCA 288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[2012] VSCA 288" </w:instrText>
      </w:r>
      <w:r w:rsidRPr="00EB7F1E">
        <w:rPr>
          <w:rFonts w:asciiTheme="minorHAnsi" w:hAnsiTheme="minorHAnsi" w:cstheme="minorHAnsi"/>
        </w:rPr>
        <w:fldChar w:fldCharType="end"/>
      </w:r>
      <w:r w:rsidRPr="007809F4">
        <w:rPr>
          <w:rFonts w:asciiTheme="minorHAnsi" w:hAnsiTheme="minorHAnsi" w:cstheme="minorHAnsi"/>
        </w:rPr>
        <w:t>, [39].</w:t>
      </w:r>
    </w:p>
  </w:footnote>
  <w:footnote w:id="319">
    <w:p w14:paraId="4FE44E2C" w14:textId="6448AAE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Veen v R (No 2) </w:t>
      </w:r>
      <w:r w:rsidRPr="007809F4">
        <w:rPr>
          <w:rFonts w:asciiTheme="minorHAnsi" w:hAnsiTheme="minorHAnsi" w:cstheme="minorHAnsi"/>
        </w:rPr>
        <w:t>(1987) 164 CLR 465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Veen v R (No 2) </w:instrText>
      </w:r>
      <w:r w:rsidRPr="007809F4">
        <w:rPr>
          <w:rFonts w:asciiTheme="minorHAnsi" w:hAnsiTheme="minorHAnsi" w:cstheme="minorHAnsi"/>
        </w:rPr>
        <w:instrText>(1987) 164 CLR 465</w:instrText>
      </w:r>
      <w:r w:rsidRPr="00EB7F1E">
        <w:rPr>
          <w:rFonts w:asciiTheme="minorHAnsi" w:hAnsiTheme="minorHAnsi" w:cstheme="minorHAnsi"/>
        </w:rPr>
        <w:instrText xml:space="preserve">" \s "Veen v R (No 2) (1987) 164 CLR 465" \c 1 </w:instrText>
      </w:r>
      <w:r w:rsidRPr="00EB7F1E">
        <w:rPr>
          <w:rFonts w:asciiTheme="minorHAnsi" w:hAnsiTheme="minorHAnsi" w:cstheme="minorHAnsi"/>
        </w:rPr>
        <w:fldChar w:fldCharType="end"/>
      </w:r>
      <w:r w:rsidRPr="007809F4">
        <w:rPr>
          <w:rFonts w:asciiTheme="minorHAnsi" w:hAnsiTheme="minorHAnsi" w:cstheme="minorHAnsi"/>
        </w:rPr>
        <w:t>, 477.</w:t>
      </w:r>
    </w:p>
  </w:footnote>
  <w:footnote w:id="320">
    <w:p w14:paraId="3251D2B6" w14:textId="2807F64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O’Brien</w:t>
      </w:r>
      <w:r w:rsidRPr="007809F4">
        <w:rPr>
          <w:rFonts w:asciiTheme="minorHAnsi" w:hAnsiTheme="minorHAnsi" w:cstheme="minorHAnsi"/>
        </w:rPr>
        <w:t xml:space="preserve"> [1997] 2 VR 714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O’Brien</w:instrText>
      </w:r>
      <w:r w:rsidRPr="007809F4">
        <w:rPr>
          <w:rFonts w:asciiTheme="minorHAnsi" w:hAnsiTheme="minorHAnsi" w:cstheme="minorHAnsi"/>
        </w:rPr>
        <w:instrText xml:space="preserve"> [1997] 2 VR 714</w:instrText>
      </w:r>
      <w:r w:rsidRPr="00EB7F1E">
        <w:rPr>
          <w:rFonts w:asciiTheme="minorHAnsi" w:hAnsiTheme="minorHAnsi" w:cstheme="minorHAnsi"/>
        </w:rPr>
        <w:instrText>" \s "R v O</w:instrText>
      </w:r>
      <w:r w:rsidRPr="007809F4">
        <w:rPr>
          <w:rFonts w:asciiTheme="minorHAnsi" w:hAnsiTheme="minorHAnsi" w:cstheme="minorHAnsi"/>
        </w:rPr>
        <w:instrText>’</w:instrText>
      </w:r>
      <w:r w:rsidRPr="00EB7F1E">
        <w:rPr>
          <w:rFonts w:asciiTheme="minorHAnsi" w:hAnsiTheme="minorHAnsi" w:cstheme="minorHAnsi"/>
        </w:rPr>
        <w:instrText xml:space="preserve">Brien [1997] 2 VR 714" \c 1 </w:instrText>
      </w:r>
      <w:r w:rsidRPr="00EB7F1E">
        <w:rPr>
          <w:rFonts w:asciiTheme="minorHAnsi" w:hAnsiTheme="minorHAnsi" w:cstheme="minorHAnsi"/>
        </w:rPr>
        <w:fldChar w:fldCharType="end"/>
      </w:r>
      <w:r w:rsidRPr="007809F4">
        <w:rPr>
          <w:rFonts w:asciiTheme="minorHAnsi" w:hAnsiTheme="minorHAnsi" w:cstheme="minorHAnsi"/>
        </w:rPr>
        <w:t xml:space="preserve">, 718.  Cf </w:t>
      </w:r>
      <w:r w:rsidRPr="007809F4">
        <w:rPr>
          <w:rFonts w:asciiTheme="minorHAnsi" w:hAnsiTheme="minorHAnsi" w:cstheme="minorHAnsi"/>
          <w:i/>
        </w:rPr>
        <w:t>R v Perrier (No 2)</w:t>
      </w:r>
      <w:r w:rsidRPr="007809F4">
        <w:rPr>
          <w:rFonts w:asciiTheme="minorHAnsi" w:hAnsiTheme="minorHAnsi" w:cstheme="minorHAnsi"/>
        </w:rPr>
        <w:t xml:space="preserve"> [1991] 1 VR 717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Perrier (No 2)</w:instrText>
      </w:r>
      <w:r w:rsidRPr="007809F4">
        <w:rPr>
          <w:rFonts w:asciiTheme="minorHAnsi" w:hAnsiTheme="minorHAnsi" w:cstheme="minorHAnsi"/>
        </w:rPr>
        <w:instrText xml:space="preserve"> [1991] 1 VR 717</w:instrText>
      </w:r>
      <w:r w:rsidRPr="00EB7F1E">
        <w:rPr>
          <w:rFonts w:asciiTheme="minorHAnsi" w:hAnsiTheme="minorHAnsi" w:cstheme="minorHAnsi"/>
        </w:rPr>
        <w:instrText xml:space="preserve">" \s "R v Perrier (No 2) [1991] 1 VR 717"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Latif</w:t>
      </w:r>
      <w:r w:rsidRPr="007809F4">
        <w:rPr>
          <w:rFonts w:asciiTheme="minorHAnsi" w:hAnsiTheme="minorHAnsi" w:cstheme="minorHAnsi"/>
        </w:rPr>
        <w:t xml:space="preserve"> [2012] QCA 278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Latif</w:instrText>
      </w:r>
      <w:r w:rsidRPr="007809F4">
        <w:rPr>
          <w:rFonts w:asciiTheme="minorHAnsi" w:hAnsiTheme="minorHAnsi" w:cstheme="minorHAnsi"/>
        </w:rPr>
        <w:instrText xml:space="preserve"> [2012] QCA 278</w:instrText>
      </w:r>
      <w:r w:rsidRPr="00EB7F1E">
        <w:rPr>
          <w:rFonts w:asciiTheme="minorHAnsi" w:hAnsiTheme="minorHAnsi" w:cstheme="minorHAnsi"/>
        </w:rPr>
        <w:instrText xml:space="preserve">" \s "DPP (Cth) v Latif [2012] QCA 278" \c 1 </w:instrText>
      </w:r>
      <w:r w:rsidRPr="00EB7F1E">
        <w:rPr>
          <w:rFonts w:asciiTheme="minorHAnsi" w:hAnsiTheme="minorHAnsi" w:cstheme="minorHAnsi"/>
        </w:rPr>
        <w:fldChar w:fldCharType="end"/>
      </w:r>
      <w:r w:rsidRPr="007809F4">
        <w:rPr>
          <w:rFonts w:asciiTheme="minorHAnsi" w:hAnsiTheme="minorHAnsi" w:cstheme="minorHAnsi"/>
        </w:rPr>
        <w:t>, [28];</w:t>
      </w:r>
      <w:r w:rsidRPr="007809F4">
        <w:rPr>
          <w:rFonts w:asciiTheme="minorHAnsi" w:hAnsiTheme="minorHAnsi" w:cstheme="minorHAnsi"/>
          <w:i/>
        </w:rPr>
        <w:t xml:space="preserve"> R v Selu; ex parte Cth DPP</w:t>
      </w:r>
      <w:r w:rsidRPr="007809F4">
        <w:rPr>
          <w:rFonts w:asciiTheme="minorHAnsi" w:hAnsiTheme="minorHAnsi" w:cstheme="minorHAnsi"/>
        </w:rPr>
        <w:t xml:space="preserve"> [2012] QCA 345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Selu; ex parte Cth DPP</w:instrText>
      </w:r>
      <w:r w:rsidRPr="007809F4">
        <w:rPr>
          <w:rFonts w:asciiTheme="minorHAnsi" w:hAnsiTheme="minorHAnsi" w:cstheme="minorHAnsi"/>
        </w:rPr>
        <w:instrText xml:space="preserve"> [2012] QCA 345</w:instrText>
      </w:r>
      <w:r w:rsidRPr="00EB7F1E">
        <w:rPr>
          <w:rFonts w:asciiTheme="minorHAnsi" w:hAnsiTheme="minorHAnsi" w:cstheme="minorHAnsi"/>
        </w:rPr>
        <w:instrText xml:space="preserve">" \s "R v Selu; ex parte Cth DPP [2012] QCA 345"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Style w:val="ssl2"/>
          <w:rFonts w:asciiTheme="minorHAnsi" w:hAnsiTheme="minorHAnsi" w:cstheme="minorHAnsi"/>
        </w:rPr>
        <w:t xml:space="preserve"> </w:t>
      </w:r>
      <w:r w:rsidRPr="007809F4">
        <w:rPr>
          <w:rFonts w:asciiTheme="minorHAnsi" w:hAnsiTheme="minorHAnsi" w:cstheme="minorHAnsi"/>
          <w:i/>
        </w:rPr>
        <w:t>Dui Kol v R</w:t>
      </w:r>
      <w:r w:rsidRPr="007809F4">
        <w:rPr>
          <w:rFonts w:asciiTheme="minorHAnsi" w:hAnsiTheme="minorHAnsi" w:cstheme="minorHAnsi"/>
        </w:rPr>
        <w:t xml:space="preserve"> [2015] NSWCCA 150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Dui Kol v R</w:instrText>
      </w:r>
      <w:r w:rsidRPr="007809F4">
        <w:rPr>
          <w:rFonts w:asciiTheme="minorHAnsi" w:hAnsiTheme="minorHAnsi" w:cstheme="minorHAnsi"/>
        </w:rPr>
        <w:instrText xml:space="preserve"> [2015] NSWCCA 150</w:instrText>
      </w:r>
      <w:r w:rsidRPr="00EB7F1E">
        <w:rPr>
          <w:rFonts w:asciiTheme="minorHAnsi" w:hAnsiTheme="minorHAnsi" w:cstheme="minorHAnsi"/>
        </w:rPr>
        <w:instrText xml:space="preserve">" \s "Dui Kol v R [2015] NSWCCA 150" \c 1 </w:instrText>
      </w:r>
      <w:r w:rsidRPr="00EB7F1E">
        <w:rPr>
          <w:rFonts w:asciiTheme="minorHAnsi" w:hAnsiTheme="minorHAnsi" w:cstheme="minorHAnsi"/>
        </w:rPr>
        <w:fldChar w:fldCharType="end"/>
      </w:r>
      <w:r w:rsidRPr="007809F4">
        <w:rPr>
          <w:rFonts w:asciiTheme="minorHAnsi" w:hAnsiTheme="minorHAnsi" w:cstheme="minorHAnsi"/>
        </w:rPr>
        <w:t xml:space="preserve">, [22]; </w:t>
      </w:r>
      <w:r w:rsidRPr="007809F4">
        <w:rPr>
          <w:rFonts w:asciiTheme="minorHAnsi" w:hAnsiTheme="minorHAnsi" w:cstheme="minorHAnsi"/>
          <w:i/>
        </w:rPr>
        <w:t>Ngo v R</w:t>
      </w:r>
      <w:r w:rsidRPr="007809F4">
        <w:rPr>
          <w:rFonts w:asciiTheme="minorHAnsi" w:hAnsiTheme="minorHAnsi" w:cstheme="minorHAnsi"/>
        </w:rPr>
        <w:t xml:space="preserve"> [2017] WASCA 3</w:t>
      </w:r>
      <w:r w:rsidRPr="00EB7F1E">
        <w:rPr>
          <w:rFonts w:asciiTheme="minorHAnsi" w:hAnsiTheme="minorHAnsi" w:cstheme="minorHAnsi"/>
        </w:rPr>
        <w:fldChar w:fldCharType="begin"/>
      </w:r>
      <w:r w:rsidRPr="007809F4">
        <w:rPr>
          <w:rFonts w:asciiTheme="minorHAnsi" w:hAnsiTheme="minorHAnsi" w:cstheme="minorHAnsi"/>
        </w:rPr>
        <w:instrText xml:space="preserve"> TA \s "Ngo v R [2017] WASCA 3" </w:instrText>
      </w:r>
      <w:r w:rsidRPr="00EB7F1E">
        <w:rPr>
          <w:rFonts w:asciiTheme="minorHAnsi" w:hAnsiTheme="minorHAnsi" w:cstheme="minorHAnsi"/>
        </w:rPr>
        <w:fldChar w:fldCharType="end"/>
      </w:r>
      <w:r w:rsidRPr="007809F4">
        <w:rPr>
          <w:rFonts w:asciiTheme="minorHAnsi" w:hAnsiTheme="minorHAnsi" w:cstheme="minorHAnsi"/>
        </w:rPr>
        <w:t xml:space="preserve">, [63](j).  The need for specific deterrence may be particularly great if the offence is committed on parole, or soon after completion of another sentence: e.g. </w:t>
      </w:r>
      <w:r w:rsidRPr="007809F4">
        <w:rPr>
          <w:rFonts w:asciiTheme="minorHAnsi" w:hAnsiTheme="minorHAnsi" w:cstheme="minorHAnsi"/>
          <w:i/>
        </w:rPr>
        <w:t>Chol v R</w:t>
      </w:r>
      <w:r w:rsidRPr="007809F4">
        <w:rPr>
          <w:rFonts w:asciiTheme="minorHAnsi" w:hAnsiTheme="minorHAnsi" w:cstheme="minorHAnsi"/>
        </w:rPr>
        <w:t xml:space="preserve"> [2016] VSCA 252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Chol v R</w:instrText>
      </w:r>
      <w:r w:rsidRPr="007809F4">
        <w:rPr>
          <w:rFonts w:asciiTheme="minorHAnsi" w:hAnsiTheme="minorHAnsi" w:cstheme="minorHAnsi"/>
        </w:rPr>
        <w:instrText xml:space="preserve"> [2016] VSCA 252</w:instrText>
      </w:r>
      <w:r w:rsidRPr="00EB7F1E">
        <w:rPr>
          <w:rFonts w:asciiTheme="minorHAnsi" w:hAnsiTheme="minorHAnsi" w:cstheme="minorHAnsi"/>
        </w:rPr>
        <w:instrText xml:space="preserve">" \s "Chol v R [2016] VSCA 252" \c 1 </w:instrText>
      </w:r>
      <w:r w:rsidRPr="00EB7F1E">
        <w:rPr>
          <w:rFonts w:asciiTheme="minorHAnsi" w:hAnsiTheme="minorHAnsi" w:cstheme="minorHAnsi"/>
        </w:rPr>
        <w:fldChar w:fldCharType="end"/>
      </w:r>
      <w:r w:rsidRPr="007809F4">
        <w:rPr>
          <w:rFonts w:asciiTheme="minorHAnsi" w:hAnsiTheme="minorHAnsi" w:cstheme="minorHAnsi"/>
        </w:rPr>
        <w:t>, [10].</w:t>
      </w:r>
    </w:p>
  </w:footnote>
  <w:footnote w:id="321">
    <w:p w14:paraId="15983182" w14:textId="02AC719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Alavy v R </w:t>
      </w:r>
      <w:r w:rsidRPr="007809F4">
        <w:rPr>
          <w:rFonts w:asciiTheme="minorHAnsi" w:hAnsiTheme="minorHAnsi" w:cstheme="minorHAnsi"/>
        </w:rPr>
        <w:t>[2014] VSCA 25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Alavy v R </w:instrText>
      </w:r>
      <w:r w:rsidRPr="007809F4">
        <w:rPr>
          <w:rFonts w:asciiTheme="minorHAnsi" w:hAnsiTheme="minorHAnsi" w:cstheme="minorHAnsi"/>
        </w:rPr>
        <w:instrText>[2014] VSCA 25</w:instrText>
      </w:r>
      <w:r w:rsidRPr="00EB7F1E">
        <w:rPr>
          <w:rFonts w:asciiTheme="minorHAnsi" w:hAnsiTheme="minorHAnsi" w:cstheme="minorHAnsi"/>
        </w:rPr>
        <w:instrText xml:space="preserve">" \s "Alavy v R [2014] VSCA 25" \c 1 </w:instrText>
      </w:r>
      <w:r w:rsidRPr="00EB7F1E">
        <w:rPr>
          <w:rFonts w:asciiTheme="minorHAnsi" w:hAnsiTheme="minorHAnsi" w:cstheme="minorHAnsi"/>
        </w:rPr>
        <w:fldChar w:fldCharType="end"/>
      </w:r>
      <w:r w:rsidRPr="007809F4">
        <w:rPr>
          <w:rFonts w:asciiTheme="minorHAnsi" w:hAnsiTheme="minorHAnsi" w:cstheme="minorHAnsi"/>
        </w:rPr>
        <w:t>, [7]-[18].</w:t>
      </w:r>
    </w:p>
  </w:footnote>
  <w:footnote w:id="322">
    <w:p w14:paraId="034F2083" w14:textId="0B52AC5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R v Ruha; ex parte DPP (Cth) </w:t>
      </w:r>
      <w:r w:rsidRPr="007809F4">
        <w:rPr>
          <w:rFonts w:asciiTheme="minorHAnsi" w:hAnsiTheme="minorHAnsi" w:cstheme="minorHAnsi"/>
        </w:rPr>
        <w:t>[2011] 2 Qd R 456</w:t>
      </w:r>
      <w:r w:rsidRPr="00EB7F1E">
        <w:rPr>
          <w:rFonts w:asciiTheme="minorHAnsi" w:hAnsiTheme="minorHAnsi" w:cstheme="minorHAnsi"/>
        </w:rPr>
        <w:fldChar w:fldCharType="begin"/>
      </w:r>
      <w:r w:rsidRPr="00EB7F1E">
        <w:rPr>
          <w:rFonts w:asciiTheme="minorHAnsi" w:hAnsiTheme="minorHAnsi" w:cstheme="minorHAnsi"/>
        </w:rPr>
        <w:instrText xml:space="preserve"> TA \s "R v Ruha; ex parte DPP (Cth) [2011] 2 Qd R 456" </w:instrText>
      </w:r>
      <w:r w:rsidRPr="00EB7F1E">
        <w:rPr>
          <w:rFonts w:asciiTheme="minorHAnsi" w:hAnsiTheme="minorHAnsi" w:cstheme="minorHAnsi"/>
        </w:rPr>
        <w:fldChar w:fldCharType="end"/>
      </w:r>
      <w:r w:rsidRPr="007809F4">
        <w:rPr>
          <w:rFonts w:asciiTheme="minorHAnsi" w:hAnsiTheme="minorHAnsi" w:cstheme="minorHAnsi"/>
        </w:rPr>
        <w:t xml:space="preserve">, [45]; </w:t>
      </w:r>
      <w:r w:rsidRPr="007809F4">
        <w:rPr>
          <w:rFonts w:asciiTheme="minorHAnsi" w:hAnsiTheme="minorHAnsi" w:cstheme="minorHAnsi"/>
          <w:i/>
        </w:rPr>
        <w:t>DPP (Cth) v Latif</w:t>
      </w:r>
      <w:r w:rsidRPr="007809F4">
        <w:rPr>
          <w:rFonts w:asciiTheme="minorHAnsi" w:hAnsiTheme="minorHAnsi" w:cstheme="minorHAnsi"/>
        </w:rPr>
        <w:t xml:space="preserve"> [2012] QCA 278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Latif [2012] QCA 278" </w:instrText>
      </w:r>
      <w:r w:rsidRPr="00EB7F1E">
        <w:rPr>
          <w:rFonts w:asciiTheme="minorHAnsi" w:hAnsiTheme="minorHAnsi" w:cstheme="minorHAnsi"/>
        </w:rPr>
        <w:fldChar w:fldCharType="end"/>
      </w:r>
      <w:r w:rsidRPr="007809F4">
        <w:rPr>
          <w:rFonts w:asciiTheme="minorHAnsi" w:hAnsiTheme="minorHAnsi" w:cstheme="minorHAnsi"/>
        </w:rPr>
        <w:t>, [28].</w:t>
      </w:r>
    </w:p>
  </w:footnote>
  <w:footnote w:id="323">
    <w:p w14:paraId="075CFFD7" w14:textId="4F41C46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In </w:t>
      </w:r>
      <w:r w:rsidRPr="007809F4">
        <w:rPr>
          <w:rFonts w:asciiTheme="minorHAnsi" w:hAnsiTheme="minorHAnsi" w:cstheme="minorHAnsi"/>
          <w:i/>
        </w:rPr>
        <w:t>DPP (Cth) v El Karhani</w:t>
      </w:r>
      <w:r w:rsidRPr="007809F4">
        <w:rPr>
          <w:rFonts w:asciiTheme="minorHAnsi" w:hAnsiTheme="minorHAnsi" w:cstheme="minorHAnsi"/>
        </w:rPr>
        <w:t xml:space="preserve"> (1990) 21 NSWLR 370</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El Karhani (1990) 21 NSWLR 370" </w:instrText>
      </w:r>
      <w:r w:rsidRPr="00EB7F1E">
        <w:rPr>
          <w:rFonts w:asciiTheme="minorHAnsi" w:hAnsiTheme="minorHAnsi" w:cstheme="minorHAnsi"/>
        </w:rPr>
        <w:fldChar w:fldCharType="end"/>
      </w:r>
      <w:r w:rsidRPr="007809F4">
        <w:rPr>
          <w:rFonts w:asciiTheme="minorHAnsi" w:hAnsiTheme="minorHAnsi" w:cstheme="minorHAnsi"/>
        </w:rPr>
        <w:t>, 378C,</w:t>
      </w:r>
      <w:r w:rsidRPr="007809F4">
        <w:rPr>
          <w:rFonts w:asciiTheme="minorHAnsi" w:hAnsiTheme="minorHAnsi" w:cstheme="minorHAnsi"/>
          <w:i/>
        </w:rPr>
        <w:t xml:space="preserve"> </w:t>
      </w:r>
      <w:r w:rsidRPr="007809F4">
        <w:rPr>
          <w:rFonts w:asciiTheme="minorHAnsi" w:hAnsiTheme="minorHAnsi" w:cstheme="minorHAnsi"/>
        </w:rPr>
        <w:t>the principle of general deterrence was described as “</w:t>
      </w:r>
      <w:r w:rsidRPr="007809F4">
        <w:rPr>
          <w:rFonts w:asciiTheme="minorHAnsi" w:hAnsiTheme="minorHAnsi" w:cstheme="minorHAnsi"/>
          <w:i/>
        </w:rPr>
        <w:t>a fundamental principle of sentencing, inherited from the ages</w:t>
      </w:r>
      <w:r w:rsidRPr="007809F4">
        <w:rPr>
          <w:rFonts w:asciiTheme="minorHAnsi" w:hAnsiTheme="minorHAnsi" w:cstheme="minorHAnsi"/>
        </w:rPr>
        <w:t xml:space="preserve">”.  In an oft-quoted passage in </w:t>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Radich</w:t>
      </w:r>
      <w:r w:rsidRPr="007809F4">
        <w:rPr>
          <w:rFonts w:asciiTheme="minorHAnsi" w:hAnsiTheme="minorHAnsi" w:cstheme="minorHAnsi"/>
        </w:rPr>
        <w:t xml:space="preserve"> [1954] NZLR 86, 87, it was said that “</w:t>
      </w:r>
      <w:r w:rsidRPr="007809F4">
        <w:rPr>
          <w:rFonts w:asciiTheme="minorHAnsi" w:hAnsiTheme="minorHAnsi" w:cstheme="minorHAnsi"/>
          <w:i/>
        </w:rPr>
        <w:t>[i]n all civilised countries, in all ages</w:t>
      </w:r>
      <w:r w:rsidRPr="007809F4">
        <w:rPr>
          <w:rFonts w:asciiTheme="minorHAnsi" w:hAnsiTheme="minorHAnsi" w:cstheme="minorHAnsi"/>
        </w:rPr>
        <w:t>”, the main purpose of punishment has been “</w:t>
      </w:r>
      <w:r w:rsidRPr="007809F4">
        <w:rPr>
          <w:rFonts w:asciiTheme="minorHAnsi" w:hAnsiTheme="minorHAnsi" w:cstheme="minorHAnsi"/>
          <w:i/>
        </w:rPr>
        <w:t>to protect the public from the commission of … crimes by making it clear to the offender and to other persons with similar impulses that, if they yield to them, they will meet with severe punishment.</w:t>
      </w:r>
      <w:r w:rsidRPr="007809F4">
        <w:rPr>
          <w:rFonts w:asciiTheme="minorHAnsi" w:hAnsiTheme="minorHAnsi" w:cstheme="minorHAnsi"/>
        </w:rPr>
        <w:t xml:space="preserve">”  </w:t>
      </w:r>
    </w:p>
  </w:footnote>
  <w:footnote w:id="324">
    <w:p w14:paraId="15CF8033" w14:textId="53C8B32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For example, general deterrence was cited as a principal, or the principal, end of punishment by Francis Bacon (</w:t>
      </w:r>
      <w:r w:rsidRPr="007809F4">
        <w:rPr>
          <w:rFonts w:asciiTheme="minorHAnsi" w:hAnsiTheme="minorHAnsi" w:cstheme="minorHAnsi"/>
          <w:i/>
        </w:rPr>
        <w:t>The Use of the Law</w:t>
      </w:r>
      <w:r w:rsidRPr="007809F4">
        <w:rPr>
          <w:rFonts w:asciiTheme="minorHAnsi" w:hAnsiTheme="minorHAnsi" w:cstheme="minorHAnsi"/>
        </w:rPr>
        <w:t xml:space="preserve"> (1630), p.4: “</w:t>
      </w:r>
      <w:r w:rsidRPr="007809F4">
        <w:rPr>
          <w:rFonts w:asciiTheme="minorHAnsi" w:hAnsiTheme="minorHAnsi" w:cstheme="minorHAnsi"/>
          <w:i/>
        </w:rPr>
        <w:t>All Punishment is for Examples sake</w:t>
      </w:r>
      <w:r w:rsidRPr="007809F4">
        <w:rPr>
          <w:rFonts w:asciiTheme="minorHAnsi" w:hAnsiTheme="minorHAnsi" w:cstheme="minorHAnsi"/>
        </w:rPr>
        <w:t>”), Edward Coke (</w:t>
      </w:r>
      <w:r w:rsidRPr="007809F4">
        <w:rPr>
          <w:rFonts w:asciiTheme="minorHAnsi" w:hAnsiTheme="minorHAnsi" w:cstheme="minorHAnsi"/>
          <w:i/>
        </w:rPr>
        <w:t>The Third Part of the Institutes of the Laws of England</w:t>
      </w:r>
      <w:r w:rsidRPr="007809F4">
        <w:rPr>
          <w:rFonts w:asciiTheme="minorHAnsi" w:hAnsiTheme="minorHAnsi" w:cstheme="minorHAnsi"/>
        </w:rPr>
        <w:t xml:space="preserve"> (1644), p.4: “</w:t>
      </w:r>
      <w:r w:rsidRPr="007809F4">
        <w:rPr>
          <w:rFonts w:asciiTheme="minorHAnsi" w:hAnsiTheme="minorHAnsi" w:cstheme="minorHAnsi"/>
          <w:i/>
        </w:rPr>
        <w:t>the principal end of punishment is, That others by his example may fear to offend</w:t>
      </w:r>
      <w:r w:rsidRPr="007809F4">
        <w:rPr>
          <w:rFonts w:asciiTheme="minorHAnsi" w:hAnsiTheme="minorHAnsi" w:cstheme="minorHAnsi"/>
        </w:rPr>
        <w:t>”), Matthew Hale (</w:t>
      </w:r>
      <w:r w:rsidRPr="007809F4">
        <w:rPr>
          <w:rFonts w:asciiTheme="minorHAnsi" w:hAnsiTheme="minorHAnsi" w:cstheme="minorHAnsi"/>
          <w:i/>
        </w:rPr>
        <w:t>The History of the Pleas of the Crown</w:t>
      </w:r>
      <w:r w:rsidRPr="007809F4">
        <w:rPr>
          <w:rFonts w:asciiTheme="minorHAnsi" w:hAnsiTheme="minorHAnsi" w:cstheme="minorHAnsi"/>
        </w:rPr>
        <w:t xml:space="preserve"> (1736), Volume 1, p.13: “</w:t>
      </w:r>
      <w:r w:rsidRPr="007809F4">
        <w:rPr>
          <w:rFonts w:asciiTheme="minorHAnsi" w:hAnsiTheme="minorHAnsi" w:cstheme="minorHAnsi"/>
          <w:i/>
        </w:rPr>
        <w:t>the true, or at least, the principal end of punishments is to deter men from the breach of laws</w:t>
      </w:r>
      <w:r w:rsidRPr="007809F4">
        <w:rPr>
          <w:rFonts w:asciiTheme="minorHAnsi" w:hAnsiTheme="minorHAnsi" w:cstheme="minorHAnsi"/>
        </w:rPr>
        <w:t>”) and William Blackstone (</w:t>
      </w:r>
      <w:r w:rsidRPr="007809F4">
        <w:rPr>
          <w:rFonts w:asciiTheme="minorHAnsi" w:hAnsiTheme="minorHAnsi" w:cstheme="minorHAnsi"/>
          <w:i/>
        </w:rPr>
        <w:t>Commentaries on the Laws of England</w:t>
      </w:r>
      <w:r w:rsidRPr="007809F4">
        <w:rPr>
          <w:rFonts w:asciiTheme="minorHAnsi" w:hAnsiTheme="minorHAnsi" w:cstheme="minorHAnsi"/>
        </w:rPr>
        <w:t xml:space="preserve"> (1765-1769), Book 4, Chapter 18:  “</w:t>
      </w:r>
      <w:r w:rsidRPr="007809F4">
        <w:rPr>
          <w:rFonts w:asciiTheme="minorHAnsi" w:hAnsiTheme="minorHAnsi" w:cstheme="minorHAnsi"/>
          <w:i/>
        </w:rPr>
        <w:t>all punishments inflicted by temporal laws may be classed under three heads; such as tend to the amendment of the offender himself, or to deprive him of any power to do future mischief, or to deter others by his example: all of which conduce to one and the same end, of preventing future crimes, whether that be effected by amendment, disability, or example</w:t>
      </w:r>
      <w:r w:rsidRPr="007809F4">
        <w:rPr>
          <w:rFonts w:asciiTheme="minorHAnsi" w:hAnsiTheme="minorHAnsi" w:cstheme="minorHAnsi"/>
        </w:rPr>
        <w:t>”).</w:t>
      </w:r>
    </w:p>
  </w:footnote>
  <w:footnote w:id="325">
    <w:p w14:paraId="5475D4A1" w14:textId="2F56016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El Karhani</w:t>
      </w:r>
      <w:r w:rsidRPr="007809F4">
        <w:rPr>
          <w:rFonts w:asciiTheme="minorHAnsi" w:hAnsiTheme="minorHAnsi" w:cstheme="minorHAnsi"/>
        </w:rPr>
        <w:t xml:space="preserve"> (1990) 21 NSWLR 370</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El Karhani (1990) 21 NSWLR 370" </w:instrText>
      </w:r>
      <w:r w:rsidRPr="00EB7F1E">
        <w:rPr>
          <w:rFonts w:asciiTheme="minorHAnsi" w:hAnsiTheme="minorHAnsi" w:cstheme="minorHAnsi"/>
        </w:rPr>
        <w:fldChar w:fldCharType="end"/>
      </w:r>
      <w:r w:rsidRPr="007809F4">
        <w:rPr>
          <w:rFonts w:asciiTheme="minorHAnsi" w:hAnsiTheme="minorHAnsi" w:cstheme="minorHAnsi"/>
        </w:rPr>
        <w:t xml:space="preserve">, 377F-378B.  Examples of references, in cases before the enactment of s.16A, to the need for general deterrence in sentencing federal offenders are </w:t>
      </w:r>
      <w:r w:rsidRPr="007809F4">
        <w:rPr>
          <w:rFonts w:asciiTheme="minorHAnsi" w:hAnsiTheme="minorHAnsi" w:cstheme="minorHAnsi"/>
          <w:i/>
        </w:rPr>
        <w:t xml:space="preserve">R v Tait </w:t>
      </w:r>
      <w:r w:rsidRPr="007809F4">
        <w:rPr>
          <w:rFonts w:asciiTheme="minorHAnsi" w:hAnsiTheme="minorHAnsi" w:cstheme="minorHAnsi"/>
        </w:rPr>
        <w:t>(1979) 24 ALR 473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Tait </w:instrText>
      </w:r>
      <w:r w:rsidRPr="007809F4">
        <w:rPr>
          <w:rFonts w:asciiTheme="minorHAnsi" w:hAnsiTheme="minorHAnsi" w:cstheme="minorHAnsi"/>
        </w:rPr>
        <w:instrText>(1979) 24 ALR 473</w:instrText>
      </w:r>
      <w:r w:rsidRPr="00EB7F1E">
        <w:rPr>
          <w:rFonts w:asciiTheme="minorHAnsi" w:hAnsiTheme="minorHAnsi" w:cstheme="minorHAnsi"/>
        </w:rPr>
        <w:instrText xml:space="preserve">" \s "R v Tait (1979) 24 ALR 473" \c 1 </w:instrText>
      </w:r>
      <w:r w:rsidRPr="00EB7F1E">
        <w:rPr>
          <w:rFonts w:asciiTheme="minorHAnsi" w:hAnsiTheme="minorHAnsi" w:cstheme="minorHAnsi"/>
        </w:rPr>
        <w:fldChar w:fldCharType="end"/>
      </w:r>
      <w:r w:rsidRPr="007809F4">
        <w:rPr>
          <w:rFonts w:asciiTheme="minorHAnsi" w:hAnsiTheme="minorHAnsi" w:cstheme="minorHAnsi"/>
        </w:rPr>
        <w:t xml:space="preserve">, 485-6; </w:t>
      </w:r>
      <w:r w:rsidRPr="007809F4">
        <w:rPr>
          <w:rFonts w:asciiTheme="minorHAnsi" w:hAnsiTheme="minorHAnsi" w:cstheme="minorHAnsi"/>
          <w:i/>
        </w:rPr>
        <w:t>R v Van Tung Luu</w:t>
      </w:r>
      <w:r w:rsidRPr="007809F4">
        <w:rPr>
          <w:rFonts w:asciiTheme="minorHAnsi" w:hAnsiTheme="minorHAnsi" w:cstheme="minorHAnsi"/>
        </w:rPr>
        <w:t xml:space="preserve"> (NSW CCA, 7 December 1984,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Van Tung Luu</w:instrText>
      </w:r>
      <w:r w:rsidRPr="007809F4">
        <w:rPr>
          <w:rFonts w:asciiTheme="minorHAnsi" w:hAnsiTheme="minorHAnsi" w:cstheme="minorHAnsi"/>
        </w:rPr>
        <w:instrText xml:space="preserve"> (NSW CCA, 7 December 1984, unreported)</w:instrText>
      </w:r>
      <w:r w:rsidRPr="00EB7F1E">
        <w:rPr>
          <w:rFonts w:asciiTheme="minorHAnsi" w:hAnsiTheme="minorHAnsi" w:cstheme="minorHAnsi"/>
        </w:rPr>
        <w:instrText xml:space="preserve">" \s "R v Van Tung Luu (NSW CCA, 7 December 1984, unreported)" \c 1 </w:instrText>
      </w:r>
      <w:r w:rsidRPr="00EB7F1E">
        <w:rPr>
          <w:rFonts w:asciiTheme="minorHAnsi" w:hAnsiTheme="minorHAnsi" w:cstheme="minorHAnsi"/>
        </w:rPr>
        <w:fldChar w:fldCharType="end"/>
      </w:r>
      <w:r w:rsidRPr="007809F4">
        <w:rPr>
          <w:rFonts w:asciiTheme="minorHAnsi" w:hAnsiTheme="minorHAnsi" w:cstheme="minorHAnsi"/>
        </w:rPr>
        <w:t xml:space="preserve">; and </w:t>
      </w:r>
      <w:r w:rsidRPr="007809F4">
        <w:rPr>
          <w:rFonts w:asciiTheme="minorHAnsi" w:hAnsiTheme="minorHAnsi" w:cstheme="minorHAnsi"/>
          <w:i/>
        </w:rPr>
        <w:t>Laxton v Justice</w:t>
      </w:r>
      <w:r w:rsidRPr="007809F4">
        <w:rPr>
          <w:rFonts w:asciiTheme="minorHAnsi" w:hAnsiTheme="minorHAnsi" w:cstheme="minorHAnsi"/>
        </w:rPr>
        <w:t xml:space="preserve"> (1985) 38 SASR 376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Laxton v Justice</w:instrText>
      </w:r>
      <w:r w:rsidRPr="007809F4">
        <w:rPr>
          <w:rFonts w:asciiTheme="minorHAnsi" w:hAnsiTheme="minorHAnsi" w:cstheme="minorHAnsi"/>
        </w:rPr>
        <w:instrText xml:space="preserve"> (1985) 38 SASR 376</w:instrText>
      </w:r>
      <w:r w:rsidRPr="00EB7F1E">
        <w:rPr>
          <w:rFonts w:asciiTheme="minorHAnsi" w:hAnsiTheme="minorHAnsi" w:cstheme="minorHAnsi"/>
        </w:rPr>
        <w:instrText xml:space="preserve">" \s "Laxton v Justice (1985) 38 SASR 376"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26">
    <w:p w14:paraId="476B15DB" w14:textId="198E876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El Karhani</w:t>
      </w:r>
      <w:r w:rsidRPr="007809F4">
        <w:rPr>
          <w:rFonts w:asciiTheme="minorHAnsi" w:hAnsiTheme="minorHAnsi" w:cstheme="minorHAnsi"/>
        </w:rPr>
        <w:t xml:space="preserve"> (1990) 21 NSWLR 370</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El Karhani (1990) 21 NSWLR 370"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R v Paull</w:t>
      </w:r>
      <w:r w:rsidRPr="007809F4">
        <w:rPr>
          <w:rFonts w:asciiTheme="minorHAnsi" w:hAnsiTheme="minorHAnsi" w:cstheme="minorHAnsi"/>
        </w:rPr>
        <w:t xml:space="preserve"> (1990) 20 NSWLR 427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Paull</w:instrText>
      </w:r>
      <w:r w:rsidRPr="007809F4">
        <w:rPr>
          <w:rFonts w:asciiTheme="minorHAnsi" w:hAnsiTheme="minorHAnsi" w:cstheme="minorHAnsi"/>
        </w:rPr>
        <w:instrText xml:space="preserve"> (1990) 20 NSWLR 427" \s "R v Paull (1990) 20 NSWLR 427"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Paull (1990) 20 NSWLR 427"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Sinclair</w:t>
      </w:r>
      <w:r w:rsidRPr="007809F4">
        <w:rPr>
          <w:rFonts w:asciiTheme="minorHAnsi" w:hAnsiTheme="minorHAnsi" w:cstheme="minorHAnsi"/>
        </w:rPr>
        <w:t xml:space="preserve"> (1990) 51 A Crim R 418;</w:t>
      </w:r>
      <w:r w:rsidRPr="00EB7F1E">
        <w:rPr>
          <w:rFonts w:asciiTheme="minorHAnsi" w:hAnsiTheme="minorHAnsi" w:cstheme="minorHAnsi"/>
        </w:rPr>
        <w:fldChar w:fldCharType="begin"/>
      </w:r>
      <w:r w:rsidRPr="007809F4">
        <w:rPr>
          <w:rFonts w:asciiTheme="minorHAnsi" w:hAnsiTheme="minorHAnsi" w:cstheme="minorHAnsi"/>
        </w:rPr>
        <w:instrText xml:space="preserve"> TA \s "R v Sinclair (1990) 51 A Crim R 418"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Oancea</w:t>
      </w:r>
      <w:r w:rsidRPr="007809F4">
        <w:rPr>
          <w:rFonts w:asciiTheme="minorHAnsi" w:hAnsiTheme="minorHAnsi" w:cstheme="minorHAnsi"/>
        </w:rPr>
        <w:t xml:space="preserve"> (1990) 51 A Crim R 141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Oancea</w:instrText>
      </w:r>
      <w:r w:rsidRPr="007809F4">
        <w:rPr>
          <w:rFonts w:asciiTheme="minorHAnsi" w:hAnsiTheme="minorHAnsi" w:cstheme="minorHAnsi"/>
        </w:rPr>
        <w:instrText xml:space="preserve"> (1990) 51 A Crim R 141" \s "R v Oancea (1990) 51 A Crim R 141"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Oancea (1990) 51 A Crim R 141"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Carroll</w:t>
      </w:r>
      <w:r w:rsidRPr="007809F4">
        <w:rPr>
          <w:rFonts w:asciiTheme="minorHAnsi" w:hAnsiTheme="minorHAnsi" w:cstheme="minorHAnsi"/>
        </w:rPr>
        <w:t xml:space="preserve"> [1991] 2 VR 509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Carroll</w:instrText>
      </w:r>
      <w:r w:rsidRPr="007809F4">
        <w:rPr>
          <w:rFonts w:asciiTheme="minorHAnsi" w:hAnsiTheme="minorHAnsi" w:cstheme="minorHAnsi"/>
        </w:rPr>
        <w:instrText xml:space="preserve"> [1991] 2 VR 509" \s "R v Carroll [1991] 2 VR 509"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Carroll [1991] 2 VR 509" </w:instrText>
      </w:r>
      <w:r w:rsidRPr="00EB7F1E">
        <w:rPr>
          <w:rFonts w:asciiTheme="minorHAnsi" w:hAnsiTheme="minorHAnsi" w:cstheme="minorHAnsi"/>
        </w:rPr>
        <w:fldChar w:fldCharType="end"/>
      </w:r>
      <w:r w:rsidRPr="007809F4">
        <w:rPr>
          <w:rFonts w:asciiTheme="minorHAnsi" w:hAnsiTheme="minorHAnsi" w:cstheme="minorHAnsi"/>
        </w:rPr>
        <w:t xml:space="preserve">, 512; </w:t>
      </w:r>
      <w:r w:rsidRPr="007809F4">
        <w:rPr>
          <w:rFonts w:asciiTheme="minorHAnsi" w:hAnsiTheme="minorHAnsi" w:cstheme="minorHAnsi"/>
          <w:i/>
        </w:rPr>
        <w:t>Tapper v R</w:t>
      </w:r>
      <w:r w:rsidRPr="007809F4">
        <w:rPr>
          <w:rFonts w:asciiTheme="minorHAnsi" w:hAnsiTheme="minorHAnsi" w:cstheme="minorHAnsi"/>
        </w:rPr>
        <w:t xml:space="preserve"> (1992) 39 FCR 243;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Tapper v R</w:instrText>
      </w:r>
      <w:r w:rsidRPr="007809F4">
        <w:rPr>
          <w:rFonts w:asciiTheme="minorHAnsi" w:hAnsiTheme="minorHAnsi" w:cstheme="minorHAnsi"/>
        </w:rPr>
        <w:instrText xml:space="preserve"> (1992) 39 FCR 243" \s "Tapper v R (1992) 39 FCR 243"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"Tapper v R (1992) 39 FCR 243"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Commissioner of Taxation v Baffsky</w:instrText>
      </w:r>
      <w:r w:rsidRPr="007809F4">
        <w:rPr>
          <w:rFonts w:asciiTheme="minorHAnsi" w:hAnsiTheme="minorHAnsi" w:cstheme="minorHAnsi"/>
        </w:rPr>
        <w:instrText xml:space="preserve"> [2001] NSWCCA 332" \s "Commissioner of Taxation v Baffsky [2001] NSWCCA 332"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Phillips</w:t>
      </w:r>
      <w:r w:rsidRPr="007809F4">
        <w:rPr>
          <w:rFonts w:asciiTheme="minorHAnsi" w:hAnsiTheme="minorHAnsi" w:cstheme="minorHAnsi"/>
        </w:rPr>
        <w:t xml:space="preserve"> [2008] QCA 284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Phillips</w:instrText>
      </w:r>
      <w:r w:rsidRPr="007809F4">
        <w:rPr>
          <w:rFonts w:asciiTheme="minorHAnsi" w:hAnsiTheme="minorHAnsi" w:cstheme="minorHAnsi"/>
        </w:rPr>
        <w:instrText xml:space="preserve"> [2008] QCA 284" \s "R v Phillips [2008] QCA 284"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Phillips (2008) 188 A Crim R 133" </w:instrText>
      </w:r>
      <w:r w:rsidRPr="00EB7F1E">
        <w:rPr>
          <w:rFonts w:asciiTheme="minorHAnsi" w:hAnsiTheme="minorHAnsi" w:cstheme="minorHAnsi"/>
        </w:rPr>
        <w:fldChar w:fldCharType="end"/>
      </w:r>
      <w:r w:rsidRPr="007809F4">
        <w:rPr>
          <w:rFonts w:asciiTheme="minorHAnsi" w:hAnsiTheme="minorHAnsi" w:cstheme="minorHAnsi"/>
        </w:rPr>
        <w:t>, [4], [68].</w:t>
      </w:r>
    </w:p>
  </w:footnote>
  <w:footnote w:id="327">
    <w:p w14:paraId="72324594" w14:textId="269D0039" w:rsidR="00D44BCF" w:rsidRPr="007809F4" w:rsidRDefault="00D44BCF">
      <w:pPr>
        <w:pStyle w:val="FootnoteText"/>
        <w:tabs>
          <w:tab w:val="left" w:pos="142"/>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amendment was made by the </w:t>
      </w:r>
      <w:r w:rsidRPr="007809F4">
        <w:rPr>
          <w:rFonts w:asciiTheme="minorHAnsi" w:hAnsiTheme="minorHAnsi" w:cstheme="minorHAnsi"/>
          <w:i/>
        </w:rPr>
        <w:t>Crimes Legislation Amendment (Powers, Offences and Other Measures) Act 2015</w:t>
      </w:r>
      <w:r w:rsidRPr="007809F4">
        <w:rPr>
          <w:rFonts w:asciiTheme="minorHAnsi" w:hAnsiTheme="minorHAnsi" w:cstheme="minorHAnsi"/>
        </w:rPr>
        <w:t xml:space="preserve"> (Cth) and commenced operation on 27 November 2015.</w:t>
      </w:r>
    </w:p>
  </w:footnote>
  <w:footnote w:id="328">
    <w:p w14:paraId="0DA42280" w14:textId="5193DDD7" w:rsidR="00D44BCF" w:rsidRPr="007809F4" w:rsidRDefault="00D44BCF">
      <w:pPr>
        <w:pStyle w:val="FootnoteText"/>
        <w:tabs>
          <w:tab w:val="left" w:pos="142"/>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Aitchison</w:t>
      </w:r>
      <w:r w:rsidRPr="007809F4">
        <w:rPr>
          <w:rFonts w:asciiTheme="minorHAnsi" w:hAnsiTheme="minorHAnsi" w:cstheme="minorHAnsi"/>
        </w:rPr>
        <w:t xml:space="preserve"> v </w:t>
      </w:r>
      <w:r w:rsidRPr="007809F4">
        <w:rPr>
          <w:rFonts w:asciiTheme="minorHAnsi" w:hAnsiTheme="minorHAnsi" w:cstheme="minorHAnsi"/>
          <w:i/>
        </w:rPr>
        <w:t>R</w:t>
      </w:r>
      <w:r w:rsidRPr="007809F4">
        <w:rPr>
          <w:rFonts w:asciiTheme="minorHAnsi" w:hAnsiTheme="minorHAnsi" w:cstheme="minorHAnsi"/>
        </w:rPr>
        <w:t xml:space="preserve"> [2015] VSCA 348</w:t>
      </w:r>
      <w:r w:rsidRPr="00EB7F1E">
        <w:rPr>
          <w:rFonts w:asciiTheme="minorHAnsi" w:hAnsiTheme="minorHAnsi" w:cstheme="minorHAnsi"/>
        </w:rPr>
        <w:fldChar w:fldCharType="begin"/>
      </w:r>
      <w:r w:rsidRPr="007809F4">
        <w:rPr>
          <w:rFonts w:asciiTheme="minorHAnsi" w:hAnsiTheme="minorHAnsi" w:cstheme="minorHAnsi"/>
        </w:rPr>
        <w:instrText xml:space="preserve"> TA \s "Aitchison v R [2015] VSCA 348" </w:instrText>
      </w:r>
      <w:r w:rsidRPr="00EB7F1E">
        <w:rPr>
          <w:rFonts w:asciiTheme="minorHAnsi" w:hAnsiTheme="minorHAnsi" w:cstheme="minorHAnsi"/>
        </w:rPr>
        <w:fldChar w:fldCharType="end"/>
      </w:r>
      <w:r w:rsidRPr="007809F4">
        <w:rPr>
          <w:rFonts w:asciiTheme="minorHAnsi" w:hAnsiTheme="minorHAnsi" w:cstheme="minorHAnsi"/>
        </w:rPr>
        <w:t xml:space="preserve">, [57]-[70].  In refusing special leave to appeal to the High Court (which was sought on this issue), Bell and Gageler JJ said that there was no reason to doubt the correctness of the conclusion of the Court of Appeal: </w:t>
      </w:r>
      <w:r w:rsidRPr="007809F4">
        <w:rPr>
          <w:rFonts w:asciiTheme="minorHAnsi" w:hAnsiTheme="minorHAnsi" w:cstheme="minorHAnsi"/>
          <w:i/>
        </w:rPr>
        <w:t>Aitchison</w:t>
      </w:r>
      <w:r w:rsidRPr="007809F4">
        <w:rPr>
          <w:rFonts w:asciiTheme="minorHAnsi" w:hAnsiTheme="minorHAnsi" w:cstheme="minorHAnsi"/>
        </w:rPr>
        <w:t xml:space="preserve"> v </w:t>
      </w:r>
      <w:r w:rsidRPr="007809F4">
        <w:rPr>
          <w:rFonts w:asciiTheme="minorHAnsi" w:hAnsiTheme="minorHAnsi" w:cstheme="minorHAnsi"/>
          <w:i/>
        </w:rPr>
        <w:t>R</w:t>
      </w:r>
      <w:r w:rsidRPr="007809F4">
        <w:rPr>
          <w:rFonts w:asciiTheme="minorHAnsi" w:hAnsiTheme="minorHAnsi" w:cstheme="minorHAnsi"/>
        </w:rPr>
        <w:t xml:space="preserve"> [2016] HCASL 75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Aitchison</w:instrText>
      </w:r>
      <w:r w:rsidRPr="007809F4">
        <w:rPr>
          <w:rFonts w:asciiTheme="minorHAnsi" w:hAnsiTheme="minorHAnsi" w:cstheme="minorHAnsi"/>
        </w:rPr>
        <w:instrText xml:space="preserve"> v </w:instrText>
      </w:r>
      <w:r w:rsidRPr="007809F4">
        <w:rPr>
          <w:rFonts w:asciiTheme="minorHAnsi" w:hAnsiTheme="minorHAnsi" w:cstheme="minorHAnsi"/>
          <w:i/>
        </w:rPr>
        <w:instrText>R</w:instrText>
      </w:r>
      <w:r w:rsidRPr="007809F4">
        <w:rPr>
          <w:rFonts w:asciiTheme="minorHAnsi" w:hAnsiTheme="minorHAnsi" w:cstheme="minorHAnsi"/>
        </w:rPr>
        <w:instrText xml:space="preserve"> [2016] HCASL 75</w:instrText>
      </w:r>
      <w:r w:rsidRPr="00EB7F1E">
        <w:rPr>
          <w:rFonts w:asciiTheme="minorHAnsi" w:hAnsiTheme="minorHAnsi" w:cstheme="minorHAnsi"/>
        </w:rPr>
        <w:instrText xml:space="preserve">" \s "Aitchison v R [2016] HCASL 75"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29">
    <w:p w14:paraId="6CCC32FB" w14:textId="56BD0B29"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Style w:val="FootnoteNumber"/>
          <w:rFonts w:asciiTheme="minorHAnsi" w:hAnsiTheme="minorHAnsi" w:cstheme="minorHAnsi"/>
          <w:i/>
        </w:rPr>
        <w:t>R</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Demirian</w:t>
      </w:r>
      <w:r w:rsidRPr="007809F4">
        <w:rPr>
          <w:rStyle w:val="FootnoteNumber"/>
          <w:rFonts w:asciiTheme="minorHAnsi" w:hAnsiTheme="minorHAnsi" w:cstheme="minorHAnsi"/>
        </w:rPr>
        <w:t xml:space="preserve"> [1989] VR 97</w:t>
      </w:r>
      <w:r w:rsidRPr="00EB7F1E">
        <w:rPr>
          <w:rStyle w:val="FootnoteNumbe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FootnoteNumber"/>
          <w:rFonts w:asciiTheme="minorHAnsi" w:hAnsiTheme="minorHAnsi" w:cstheme="minorHAnsi"/>
          <w:i/>
        </w:rPr>
        <w:instrText>R</w:instrText>
      </w:r>
      <w:r w:rsidRPr="007809F4">
        <w:rPr>
          <w:rStyle w:val="FootnoteNumber"/>
          <w:rFonts w:asciiTheme="minorHAnsi" w:hAnsiTheme="minorHAnsi" w:cstheme="minorHAnsi"/>
        </w:rPr>
        <w:instrText xml:space="preserve"> v </w:instrText>
      </w:r>
      <w:r w:rsidRPr="007809F4">
        <w:rPr>
          <w:rStyle w:val="FootnoteNumber"/>
          <w:rFonts w:asciiTheme="minorHAnsi" w:hAnsiTheme="minorHAnsi" w:cstheme="minorHAnsi"/>
          <w:i/>
        </w:rPr>
        <w:instrText>Demirian</w:instrText>
      </w:r>
      <w:r w:rsidRPr="007809F4">
        <w:rPr>
          <w:rStyle w:val="FootnoteNumber"/>
          <w:rFonts w:asciiTheme="minorHAnsi" w:hAnsiTheme="minorHAnsi" w:cstheme="minorHAnsi"/>
        </w:rPr>
        <w:instrText xml:space="preserve"> [1989] VR 97</w:instrText>
      </w:r>
      <w:r w:rsidRPr="00EB7F1E">
        <w:rPr>
          <w:rFonts w:asciiTheme="minorHAnsi" w:hAnsiTheme="minorHAnsi" w:cstheme="minorHAnsi"/>
        </w:rPr>
        <w:instrText xml:space="preserve">" \s "R v Demirian [1989] VR 97" \c 1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xml:space="preserve">, 129-30, 137; </w:t>
      </w:r>
      <w:r w:rsidRPr="007809F4">
        <w:rPr>
          <w:rStyle w:val="FootnoteNumber"/>
          <w:rFonts w:asciiTheme="minorHAnsi" w:hAnsiTheme="minorHAnsi" w:cstheme="minorHAnsi"/>
          <w:i/>
        </w:rPr>
        <w:t>R</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Roche</w:t>
      </w:r>
      <w:r w:rsidRPr="007809F4">
        <w:rPr>
          <w:rStyle w:val="FootnoteNumber"/>
          <w:rFonts w:asciiTheme="minorHAnsi" w:hAnsiTheme="minorHAnsi" w:cstheme="minorHAnsi"/>
        </w:rPr>
        <w:t xml:space="preserve"> [2005] WASCA 4</w:t>
      </w:r>
      <w:r w:rsidRPr="00EB7F1E">
        <w:rPr>
          <w:rStyle w:val="FootnoteNumbe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FootnoteNumber"/>
          <w:rFonts w:asciiTheme="minorHAnsi" w:hAnsiTheme="minorHAnsi" w:cstheme="minorHAnsi"/>
          <w:i/>
        </w:rPr>
        <w:instrText>R</w:instrText>
      </w:r>
      <w:r w:rsidRPr="007809F4">
        <w:rPr>
          <w:rStyle w:val="FootnoteNumber"/>
          <w:rFonts w:asciiTheme="minorHAnsi" w:hAnsiTheme="minorHAnsi" w:cstheme="minorHAnsi"/>
        </w:rPr>
        <w:instrText xml:space="preserve"> v </w:instrText>
      </w:r>
      <w:r w:rsidRPr="007809F4">
        <w:rPr>
          <w:rStyle w:val="FootnoteNumber"/>
          <w:rFonts w:asciiTheme="minorHAnsi" w:hAnsiTheme="minorHAnsi" w:cstheme="minorHAnsi"/>
          <w:i/>
        </w:rPr>
        <w:instrText>Roche</w:instrText>
      </w:r>
      <w:r w:rsidRPr="007809F4">
        <w:rPr>
          <w:rStyle w:val="FootnoteNumber"/>
          <w:rFonts w:asciiTheme="minorHAnsi" w:hAnsiTheme="minorHAnsi" w:cstheme="minorHAnsi"/>
        </w:rPr>
        <w:instrText xml:space="preserve"> [2005] WASCA 4</w:instrText>
      </w:r>
      <w:r w:rsidRPr="00EB7F1E">
        <w:rPr>
          <w:rFonts w:asciiTheme="minorHAnsi" w:hAnsiTheme="minorHAnsi" w:cstheme="minorHAnsi"/>
        </w:rPr>
        <w:instrText xml:space="preserve">" \s "R v Roche [2005] WASCA 4" \c 1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xml:space="preserve">; </w:t>
      </w:r>
      <w:r w:rsidRPr="007809F4">
        <w:rPr>
          <w:rStyle w:val="FootnoteNumber"/>
          <w:rFonts w:asciiTheme="minorHAnsi" w:hAnsiTheme="minorHAnsi" w:cstheme="minorHAnsi"/>
          <w:i/>
        </w:rPr>
        <w:t>R v Lodhi</w:t>
      </w:r>
      <w:r w:rsidRPr="007809F4">
        <w:rPr>
          <w:rStyle w:val="FootnoteNumber"/>
          <w:rFonts w:asciiTheme="minorHAnsi" w:hAnsiTheme="minorHAnsi" w:cstheme="minorHAnsi"/>
        </w:rPr>
        <w:t xml:space="preserve"> [2006] NSWSC 691</w:t>
      </w:r>
      <w:r w:rsidRPr="00EB7F1E">
        <w:rPr>
          <w:rStyle w:val="FootnoteNumbe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FootnoteNumber"/>
          <w:rFonts w:asciiTheme="minorHAnsi" w:hAnsiTheme="minorHAnsi" w:cstheme="minorHAnsi"/>
          <w:i/>
        </w:rPr>
        <w:instrText>R v Lodhi</w:instrText>
      </w:r>
      <w:r w:rsidRPr="007809F4">
        <w:rPr>
          <w:rStyle w:val="FootnoteNumber"/>
          <w:rFonts w:asciiTheme="minorHAnsi" w:hAnsiTheme="minorHAnsi" w:cstheme="minorHAnsi"/>
        </w:rPr>
        <w:instrText xml:space="preserve"> [2006] NSWSC 691</w:instrText>
      </w:r>
      <w:r w:rsidRPr="00EB7F1E">
        <w:rPr>
          <w:rFonts w:asciiTheme="minorHAnsi" w:hAnsiTheme="minorHAnsi" w:cstheme="minorHAnsi"/>
        </w:rPr>
        <w:instrText xml:space="preserve">" \s "R v Lodhi [2006] NSWSC 691" \c 1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xml:space="preserve">, [66], [89]-[92], and on appeal in </w:t>
      </w:r>
      <w:r w:rsidRPr="007809F4">
        <w:rPr>
          <w:rStyle w:val="FootnoteNumber"/>
          <w:rFonts w:asciiTheme="minorHAnsi" w:hAnsiTheme="minorHAnsi" w:cstheme="minorHAnsi"/>
          <w:i/>
        </w:rPr>
        <w:t>Lodhi</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R</w:t>
      </w:r>
      <w:r w:rsidRPr="007809F4">
        <w:rPr>
          <w:rStyle w:val="FootnoteNumber"/>
          <w:rFonts w:asciiTheme="minorHAnsi" w:hAnsiTheme="minorHAnsi" w:cstheme="minorHAnsi"/>
        </w:rPr>
        <w:t xml:space="preserve"> [2007] NSWCCA 360</w:t>
      </w:r>
      <w:r w:rsidRPr="00EB7F1E">
        <w:rPr>
          <w:rStyle w:val="FootnoteNumbe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FootnoteNumber"/>
          <w:rFonts w:asciiTheme="minorHAnsi" w:hAnsiTheme="minorHAnsi" w:cstheme="minorHAnsi"/>
          <w:i/>
        </w:rPr>
        <w:instrText>Lodhi</w:instrText>
      </w:r>
      <w:r w:rsidRPr="007809F4">
        <w:rPr>
          <w:rStyle w:val="FootnoteNumber"/>
          <w:rFonts w:asciiTheme="minorHAnsi" w:hAnsiTheme="minorHAnsi" w:cstheme="minorHAnsi"/>
        </w:rPr>
        <w:instrText xml:space="preserve"> v </w:instrText>
      </w:r>
      <w:r w:rsidRPr="007809F4">
        <w:rPr>
          <w:rStyle w:val="FootnoteNumber"/>
          <w:rFonts w:asciiTheme="minorHAnsi" w:hAnsiTheme="minorHAnsi" w:cstheme="minorHAnsi"/>
          <w:i/>
        </w:rPr>
        <w:instrText>R</w:instrText>
      </w:r>
      <w:r w:rsidRPr="007809F4">
        <w:rPr>
          <w:rStyle w:val="FootnoteNumber"/>
          <w:rFonts w:asciiTheme="minorHAnsi" w:hAnsiTheme="minorHAnsi" w:cstheme="minorHAnsi"/>
        </w:rPr>
        <w:instrText xml:space="preserve"> [2007] NSWCCA 360</w:instrText>
      </w:r>
      <w:r w:rsidRPr="00EB7F1E">
        <w:rPr>
          <w:rFonts w:asciiTheme="minorHAnsi" w:hAnsiTheme="minorHAnsi" w:cstheme="minorHAnsi"/>
        </w:rPr>
        <w:instrText xml:space="preserve">" \s "Lodhi v R [2007] NSWCCA 360" \c 1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xml:space="preserve">, [78]-[110], [210]-[214], [215], [263]-[277]; </w:t>
      </w:r>
      <w:r w:rsidRPr="007809F4">
        <w:rPr>
          <w:rStyle w:val="FootnoteNumber"/>
          <w:rFonts w:asciiTheme="minorHAnsi" w:hAnsiTheme="minorHAnsi" w:cstheme="minorHAnsi"/>
          <w:i/>
        </w:rPr>
        <w:t>R</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Benbrika</w:t>
      </w:r>
      <w:r w:rsidRPr="007809F4">
        <w:rPr>
          <w:rStyle w:val="FootnoteNumber"/>
          <w:rFonts w:asciiTheme="minorHAnsi" w:hAnsiTheme="minorHAnsi" w:cstheme="minorHAnsi"/>
        </w:rPr>
        <w:t xml:space="preserve"> [2009] VSC 21</w:t>
      </w:r>
      <w:r w:rsidRPr="00EB7F1E">
        <w:rPr>
          <w:rStyle w:val="FootnoteNumber"/>
          <w:rFonts w:asciiTheme="minorHAnsi" w:hAnsiTheme="minorHAnsi" w:cstheme="minorHAnsi"/>
        </w:rPr>
        <w:fldChar w:fldCharType="begin"/>
      </w:r>
      <w:r w:rsidRPr="007809F4">
        <w:rPr>
          <w:rStyle w:val="FootnoteNumber"/>
          <w:rFonts w:asciiTheme="minorHAnsi" w:hAnsiTheme="minorHAnsi" w:cstheme="minorHAnsi"/>
        </w:rPr>
        <w:instrText xml:space="preserve"> TA \s "R v Benbrika [2009] VSC 21"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[149], approved on appeal in</w:t>
      </w:r>
      <w:r w:rsidRPr="007809F4">
        <w:rPr>
          <w:rStyle w:val="FootnoteNumber"/>
          <w:rFonts w:asciiTheme="minorHAnsi" w:hAnsiTheme="minorHAnsi" w:cstheme="minorHAnsi"/>
          <w:i/>
        </w:rPr>
        <w:t xml:space="preserve"> Benbrika</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R</w:t>
      </w:r>
      <w:r w:rsidRPr="007809F4">
        <w:rPr>
          <w:rStyle w:val="FootnoteNumber"/>
          <w:rFonts w:asciiTheme="minorHAnsi" w:hAnsiTheme="minorHAnsi" w:cstheme="minorHAnsi"/>
        </w:rPr>
        <w:t xml:space="preserve"> (2010) 29 VR 593</w:t>
      </w:r>
      <w:r w:rsidRPr="00EB7F1E">
        <w:rPr>
          <w:rStyle w:val="FootnoteNumber"/>
          <w:rFonts w:asciiTheme="minorHAnsi" w:hAnsiTheme="minorHAnsi" w:cstheme="minorHAnsi"/>
        </w:rPr>
        <w:fldChar w:fldCharType="begin"/>
      </w:r>
      <w:r w:rsidRPr="007809F4">
        <w:rPr>
          <w:rStyle w:val="FootnoteNumber"/>
          <w:rFonts w:asciiTheme="minorHAnsi" w:hAnsiTheme="minorHAnsi" w:cstheme="minorHAnsi"/>
        </w:rPr>
        <w:instrText xml:space="preserve"> TA \s "Benbrika v R (2010) 29 VR 593"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xml:space="preserve">, [557]; </w:t>
      </w:r>
      <w:r w:rsidRPr="007809F4">
        <w:rPr>
          <w:rFonts w:asciiTheme="minorHAnsi" w:hAnsiTheme="minorHAnsi" w:cstheme="minorHAnsi"/>
          <w:i/>
        </w:rPr>
        <w:t xml:space="preserve">R v Elomar </w:t>
      </w:r>
      <w:r w:rsidRPr="007809F4">
        <w:rPr>
          <w:rFonts w:asciiTheme="minorHAnsi" w:hAnsiTheme="minorHAnsi" w:cstheme="minorHAnsi"/>
        </w:rPr>
        <w:t>[2010] NSWSC 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Elomar </w:instrText>
      </w:r>
      <w:r w:rsidRPr="007809F4">
        <w:rPr>
          <w:rFonts w:asciiTheme="minorHAnsi" w:hAnsiTheme="minorHAnsi" w:cstheme="minorHAnsi"/>
        </w:rPr>
        <w:instrText>[2010] NSWSC 10</w:instrText>
      </w:r>
      <w:r w:rsidRPr="00EB7F1E">
        <w:rPr>
          <w:rFonts w:asciiTheme="minorHAnsi" w:hAnsiTheme="minorHAnsi" w:cstheme="minorHAnsi"/>
        </w:rPr>
        <w:instrText xml:space="preserve">" \s "R v Elomar [2010] NSWSC 10" \c 1 </w:instrText>
      </w:r>
      <w:r w:rsidRPr="00EB7F1E">
        <w:rPr>
          <w:rFonts w:asciiTheme="minorHAnsi" w:hAnsiTheme="minorHAnsi" w:cstheme="minorHAnsi"/>
        </w:rPr>
        <w:fldChar w:fldCharType="end"/>
      </w:r>
      <w:r w:rsidRPr="007809F4">
        <w:rPr>
          <w:rFonts w:asciiTheme="minorHAnsi" w:hAnsiTheme="minorHAnsi" w:cstheme="minorHAnsi"/>
        </w:rPr>
        <w:t xml:space="preserve">, [77]-[79], </w:t>
      </w:r>
      <w:r w:rsidRPr="007809F4">
        <w:rPr>
          <w:rStyle w:val="FootnoteNumber"/>
          <w:rFonts w:asciiTheme="minorHAnsi" w:hAnsiTheme="minorHAnsi" w:cstheme="minorHAnsi"/>
        </w:rPr>
        <w:t xml:space="preserve">cited with approval by the CCA in </w:t>
      </w:r>
      <w:r w:rsidRPr="007809F4">
        <w:rPr>
          <w:rStyle w:val="FootnoteNumber"/>
          <w:rFonts w:asciiTheme="minorHAnsi" w:hAnsiTheme="minorHAnsi" w:cstheme="minorHAnsi"/>
          <w:i/>
        </w:rPr>
        <w:t>Elomar</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R</w:t>
      </w:r>
      <w:r w:rsidRPr="007809F4">
        <w:rPr>
          <w:rStyle w:val="FootnoteNumber"/>
          <w:rFonts w:asciiTheme="minorHAnsi" w:hAnsiTheme="minorHAnsi" w:cstheme="minorHAnsi"/>
        </w:rPr>
        <w:t xml:space="preserve"> [2014] NSWCCA 303</w:t>
      </w:r>
      <w:r w:rsidRPr="00EB7F1E">
        <w:rPr>
          <w:rStyle w:val="FootnoteNumber"/>
          <w:rFonts w:asciiTheme="minorHAnsi" w:hAnsiTheme="minorHAnsi" w:cstheme="minorHAnsi"/>
        </w:rPr>
        <w:fldChar w:fldCharType="begin"/>
      </w:r>
      <w:r w:rsidRPr="007809F4">
        <w:rPr>
          <w:rStyle w:val="FootnoteNumber"/>
          <w:rFonts w:asciiTheme="minorHAnsi" w:hAnsiTheme="minorHAnsi" w:cstheme="minorHAnsi"/>
        </w:rPr>
        <w:instrText xml:space="preserve"> TA \s "Elomar v R [2014] NSWCCA 303"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xml:space="preserve">, [640]-[641]; </w:t>
      </w:r>
      <w:r w:rsidRPr="007809F4">
        <w:rPr>
          <w:rFonts w:asciiTheme="minorHAnsi" w:hAnsiTheme="minorHAnsi" w:cstheme="minorHAnsi"/>
          <w:i/>
        </w:rPr>
        <w:t xml:space="preserve">R </w:t>
      </w:r>
      <w:r w:rsidRPr="007809F4">
        <w:rPr>
          <w:rFonts w:asciiTheme="minorHAnsi" w:hAnsiTheme="minorHAnsi" w:cstheme="minorHAnsi"/>
        </w:rPr>
        <w:t xml:space="preserve">v </w:t>
      </w:r>
      <w:r w:rsidRPr="007809F4">
        <w:rPr>
          <w:rFonts w:asciiTheme="minorHAnsi" w:hAnsiTheme="minorHAnsi" w:cstheme="minorHAnsi"/>
          <w:i/>
        </w:rPr>
        <w:t>Fattal</w:t>
      </w:r>
      <w:r w:rsidRPr="007809F4">
        <w:rPr>
          <w:rStyle w:val="FootnoteNumber"/>
          <w:rFonts w:asciiTheme="minorHAnsi" w:hAnsiTheme="minorHAnsi" w:cstheme="minorHAnsi"/>
        </w:rPr>
        <w:t xml:space="preserve"> [2011] VSC 681</w:t>
      </w:r>
      <w:r w:rsidRPr="00EB7F1E">
        <w:rPr>
          <w:rStyle w:val="FootnoteNumbe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w:instrText>
      </w:r>
      <w:r w:rsidRPr="007809F4">
        <w:rPr>
          <w:rFonts w:asciiTheme="minorHAnsi" w:hAnsiTheme="minorHAnsi" w:cstheme="minorHAnsi"/>
        </w:rPr>
        <w:instrText xml:space="preserve">v </w:instrText>
      </w:r>
      <w:r w:rsidRPr="007809F4">
        <w:rPr>
          <w:rFonts w:asciiTheme="minorHAnsi" w:hAnsiTheme="minorHAnsi" w:cstheme="minorHAnsi"/>
          <w:i/>
        </w:rPr>
        <w:instrText>Fattal</w:instrText>
      </w:r>
      <w:r w:rsidRPr="007809F4">
        <w:rPr>
          <w:rStyle w:val="FootnoteNumber"/>
          <w:rFonts w:asciiTheme="minorHAnsi" w:hAnsiTheme="minorHAnsi" w:cstheme="minorHAnsi"/>
        </w:rPr>
        <w:instrText xml:space="preserve"> [2011] VSC 681</w:instrText>
      </w:r>
      <w:r w:rsidRPr="00EB7F1E">
        <w:rPr>
          <w:rFonts w:asciiTheme="minorHAnsi" w:hAnsiTheme="minorHAnsi" w:cstheme="minorHAnsi"/>
        </w:rPr>
        <w:instrText xml:space="preserve">" \s "R v Fattal [2011] VSC 681" \c 1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xml:space="preserve">, [97] (King J), and on appeal in </w:t>
      </w:r>
      <w:r w:rsidRPr="007809F4">
        <w:rPr>
          <w:rStyle w:val="FootnoteNumber"/>
          <w:rFonts w:asciiTheme="minorHAnsi" w:hAnsiTheme="minorHAnsi" w:cstheme="minorHAnsi"/>
          <w:i/>
        </w:rPr>
        <w:t>DPP (Cth)</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Fattal</w:t>
      </w:r>
      <w:r w:rsidRPr="007809F4">
        <w:rPr>
          <w:rStyle w:val="FootnoteNumber"/>
          <w:rFonts w:asciiTheme="minorHAnsi" w:hAnsiTheme="minorHAnsi" w:cstheme="minorHAnsi"/>
        </w:rPr>
        <w:t xml:space="preserve"> [2013] VSCA 276</w:t>
      </w:r>
      <w:r w:rsidRPr="00EB7F1E">
        <w:rPr>
          <w:rStyle w:val="FootnoteNumbe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FootnoteNumber"/>
          <w:rFonts w:asciiTheme="minorHAnsi" w:hAnsiTheme="minorHAnsi" w:cstheme="minorHAnsi"/>
          <w:i/>
        </w:rPr>
        <w:instrText>DPP (Cth)</w:instrText>
      </w:r>
      <w:r w:rsidRPr="007809F4">
        <w:rPr>
          <w:rStyle w:val="FootnoteNumber"/>
          <w:rFonts w:asciiTheme="minorHAnsi" w:hAnsiTheme="minorHAnsi" w:cstheme="minorHAnsi"/>
        </w:rPr>
        <w:instrText xml:space="preserve"> v </w:instrText>
      </w:r>
      <w:r w:rsidRPr="007809F4">
        <w:rPr>
          <w:rStyle w:val="FootnoteNumber"/>
          <w:rFonts w:asciiTheme="minorHAnsi" w:hAnsiTheme="minorHAnsi" w:cstheme="minorHAnsi"/>
          <w:i/>
        </w:rPr>
        <w:instrText>Fattal</w:instrText>
      </w:r>
      <w:r w:rsidRPr="007809F4">
        <w:rPr>
          <w:rStyle w:val="FootnoteNumber"/>
          <w:rFonts w:asciiTheme="minorHAnsi" w:hAnsiTheme="minorHAnsi" w:cstheme="minorHAnsi"/>
        </w:rPr>
        <w:instrText xml:space="preserve"> [2013] VSCA 276</w:instrText>
      </w:r>
      <w:r w:rsidRPr="00EB7F1E">
        <w:rPr>
          <w:rFonts w:asciiTheme="minorHAnsi" w:hAnsiTheme="minorHAnsi" w:cstheme="minorHAnsi"/>
        </w:rPr>
        <w:instrText xml:space="preserve">" \s "DPP (Cth) v Fattal [2013] VSCA 276" \c 1 </w:instrText>
      </w:r>
      <w:r w:rsidRPr="00EB7F1E">
        <w:rPr>
          <w:rStyle w:val="FootnoteNumber"/>
          <w:rFonts w:asciiTheme="minorHAnsi" w:hAnsiTheme="minorHAnsi" w:cstheme="minorHAnsi"/>
        </w:rPr>
        <w:fldChar w:fldCharType="end"/>
      </w:r>
      <w:r w:rsidRPr="007809F4">
        <w:rPr>
          <w:rStyle w:val="FootnoteNumber"/>
          <w:rFonts w:asciiTheme="minorHAnsi" w:hAnsiTheme="minorHAnsi" w:cstheme="minorHAnsi"/>
        </w:rPr>
        <w:t>, [173]</w:t>
      </w:r>
      <w:r w:rsidRPr="007809F4">
        <w:rPr>
          <w:rFonts w:asciiTheme="minorHAnsi" w:hAnsiTheme="minorHAnsi" w:cstheme="minorHAnsi"/>
        </w:rPr>
        <w:t xml:space="preserve">; </w:t>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xml:space="preserve">, [51]-[53];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xml:space="preserve">, [112]; </w:t>
      </w:r>
      <w:r w:rsidRPr="007809F4">
        <w:rPr>
          <w:rFonts w:asciiTheme="minorHAnsi" w:hAnsiTheme="minorHAnsi" w:cstheme="minorHAnsi"/>
          <w:i/>
        </w:rPr>
        <w:t>IM v R</w:t>
      </w:r>
      <w:r w:rsidRPr="007809F4">
        <w:rPr>
          <w:rFonts w:asciiTheme="minorHAnsi" w:hAnsiTheme="minorHAnsi" w:cstheme="minorHAnsi"/>
        </w:rPr>
        <w:t xml:space="preserve"> [2019] NSWCCA 107</w:t>
      </w:r>
      <w:r w:rsidRPr="00EB7F1E">
        <w:rPr>
          <w:rFonts w:asciiTheme="minorHAnsi" w:hAnsiTheme="minorHAnsi" w:cstheme="minorHAnsi"/>
        </w:rPr>
        <w:fldChar w:fldCharType="begin"/>
      </w:r>
      <w:r w:rsidRPr="007809F4">
        <w:rPr>
          <w:rFonts w:asciiTheme="minorHAnsi" w:hAnsiTheme="minorHAnsi" w:cstheme="minorHAnsi"/>
        </w:rPr>
        <w:instrText xml:space="preserve"> TA \s "IM v R [2019] NSWCCA 107" </w:instrText>
      </w:r>
      <w:r w:rsidRPr="00EB7F1E">
        <w:rPr>
          <w:rFonts w:asciiTheme="minorHAnsi" w:hAnsiTheme="minorHAnsi" w:cstheme="minorHAnsi"/>
        </w:rPr>
        <w:fldChar w:fldCharType="end"/>
      </w:r>
      <w:r w:rsidRPr="007809F4">
        <w:rPr>
          <w:rFonts w:asciiTheme="minorHAnsi" w:hAnsiTheme="minorHAnsi" w:cstheme="minorHAnsi"/>
        </w:rPr>
        <w:t>, [50]-[54].</w:t>
      </w:r>
    </w:p>
  </w:footnote>
  <w:footnote w:id="330">
    <w:p w14:paraId="70CCC702" w14:textId="22E35299"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Tait</w:t>
      </w:r>
      <w:r w:rsidRPr="007809F4">
        <w:rPr>
          <w:rFonts w:asciiTheme="minorHAnsi" w:hAnsiTheme="minorHAnsi" w:cstheme="minorHAnsi"/>
        </w:rPr>
        <w:t xml:space="preserve"> (1979) 24 ALR 473</w:t>
      </w:r>
      <w:r w:rsidRPr="00EB7F1E">
        <w:rPr>
          <w:rFonts w:asciiTheme="minorHAnsi" w:hAnsiTheme="minorHAnsi" w:cstheme="minorHAnsi"/>
        </w:rPr>
        <w:fldChar w:fldCharType="begin"/>
      </w:r>
      <w:r w:rsidRPr="007809F4">
        <w:rPr>
          <w:rFonts w:asciiTheme="minorHAnsi" w:hAnsiTheme="minorHAnsi" w:cstheme="minorHAnsi"/>
        </w:rPr>
        <w:instrText xml:space="preserve"> TA \s "R v Tait (1979) 24 ALR 473" </w:instrText>
      </w:r>
      <w:r w:rsidRPr="00EB7F1E">
        <w:rPr>
          <w:rFonts w:asciiTheme="minorHAnsi" w:hAnsiTheme="minorHAnsi" w:cstheme="minorHAnsi"/>
        </w:rPr>
        <w:fldChar w:fldCharType="end"/>
      </w:r>
      <w:r w:rsidRPr="007809F4">
        <w:rPr>
          <w:rFonts w:asciiTheme="minorHAnsi" w:hAnsiTheme="minorHAnsi" w:cstheme="minorHAnsi"/>
        </w:rPr>
        <w:t xml:space="preserve">, 485-6; </w:t>
      </w:r>
      <w:r w:rsidRPr="007809F4">
        <w:rPr>
          <w:rFonts w:asciiTheme="minorHAnsi" w:hAnsiTheme="minorHAnsi" w:cstheme="minorHAnsi"/>
          <w:i/>
          <w:iCs/>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EB7F1E">
        <w:rPr>
          <w:rFonts w:asciiTheme="minorHAnsi" w:hAnsiTheme="minorHAnsi" w:cstheme="minorHAnsi"/>
        </w:rPr>
        <w:instrText xml:space="preserve"> TA \s "Wong v R (2001) 207 CLR 584" </w:instrText>
      </w:r>
      <w:r w:rsidRPr="00EB7F1E">
        <w:rPr>
          <w:rFonts w:asciiTheme="minorHAnsi" w:hAnsiTheme="minorHAnsi" w:cstheme="minorHAnsi"/>
        </w:rPr>
        <w:fldChar w:fldCharType="end"/>
      </w:r>
      <w:r w:rsidRPr="007809F4">
        <w:rPr>
          <w:rFonts w:asciiTheme="minorHAnsi" w:hAnsiTheme="minorHAnsi" w:cstheme="minorHAnsi"/>
        </w:rPr>
        <w:t xml:space="preserve">, [64]; </w:t>
      </w:r>
      <w:r w:rsidRPr="007809F4">
        <w:rPr>
          <w:rFonts w:asciiTheme="minorHAnsi" w:hAnsiTheme="minorHAnsi" w:cstheme="minorHAnsi"/>
          <w:i/>
          <w:iCs/>
        </w:rPr>
        <w:t>R v Chen</w:t>
      </w:r>
      <w:r w:rsidRPr="007809F4">
        <w:rPr>
          <w:rFonts w:asciiTheme="minorHAnsi" w:hAnsiTheme="minorHAnsi" w:cstheme="minorHAnsi"/>
        </w:rPr>
        <w:t xml:space="preserve"> [2002] NSWCCA 174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 v Chen</w:instrText>
      </w:r>
      <w:r w:rsidRPr="007809F4">
        <w:rPr>
          <w:rFonts w:asciiTheme="minorHAnsi" w:hAnsiTheme="minorHAnsi" w:cstheme="minorHAnsi"/>
        </w:rPr>
        <w:instrText xml:space="preserve"> [2002] NSWCCA 174</w:instrText>
      </w:r>
      <w:r w:rsidRPr="00EB7F1E">
        <w:rPr>
          <w:rFonts w:asciiTheme="minorHAnsi" w:hAnsiTheme="minorHAnsi" w:cstheme="minorHAnsi"/>
        </w:rPr>
        <w:instrText xml:space="preserve">" \s "R v Chen [2002] NSWCCA 174" \c 1 </w:instrText>
      </w:r>
      <w:r w:rsidRPr="00EB7F1E">
        <w:rPr>
          <w:rFonts w:asciiTheme="minorHAnsi" w:hAnsiTheme="minorHAnsi" w:cstheme="minorHAnsi"/>
        </w:rPr>
        <w:fldChar w:fldCharType="end"/>
      </w:r>
      <w:r w:rsidRPr="007809F4">
        <w:rPr>
          <w:rFonts w:asciiTheme="minorHAnsi" w:hAnsiTheme="minorHAnsi" w:cstheme="minorHAnsi"/>
        </w:rPr>
        <w:t xml:space="preserve">, [286]; </w:t>
      </w:r>
      <w:r w:rsidRPr="007809F4">
        <w:rPr>
          <w:rFonts w:asciiTheme="minorHAnsi" w:hAnsiTheme="minorHAnsi" w:cstheme="minorHAnsi"/>
          <w:i/>
          <w:iCs/>
        </w:rPr>
        <w:t>R v Riddell</w:t>
      </w:r>
      <w:r w:rsidRPr="007809F4">
        <w:rPr>
          <w:rFonts w:asciiTheme="minorHAnsi" w:hAnsiTheme="minorHAnsi" w:cstheme="minorHAnsi"/>
        </w:rPr>
        <w:t xml:space="preserve"> [2009] NSWCCA 96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 v Riddell</w:instrText>
      </w:r>
      <w:r w:rsidRPr="007809F4">
        <w:rPr>
          <w:rFonts w:asciiTheme="minorHAnsi" w:hAnsiTheme="minorHAnsi" w:cstheme="minorHAnsi"/>
        </w:rPr>
        <w:instrText xml:space="preserve"> [2009] NSWCCA 96</w:instrText>
      </w:r>
      <w:r w:rsidRPr="00EB7F1E">
        <w:rPr>
          <w:rFonts w:asciiTheme="minorHAnsi" w:hAnsiTheme="minorHAnsi" w:cstheme="minorHAnsi"/>
        </w:rPr>
        <w:instrText xml:space="preserve">" \s "R v Riddell [2009] NSWCCA 96" \c 1 </w:instrText>
      </w:r>
      <w:r w:rsidRPr="00EB7F1E">
        <w:rPr>
          <w:rFonts w:asciiTheme="minorHAnsi" w:hAnsiTheme="minorHAnsi" w:cstheme="minorHAnsi"/>
        </w:rPr>
        <w:fldChar w:fldCharType="end"/>
      </w:r>
      <w:r w:rsidRPr="007809F4">
        <w:rPr>
          <w:rFonts w:asciiTheme="minorHAnsi" w:hAnsiTheme="minorHAnsi" w:cstheme="minorHAnsi"/>
        </w:rPr>
        <w:t xml:space="preserve">, [57]–[58]; </w:t>
      </w:r>
      <w:r w:rsidRPr="007809F4">
        <w:rPr>
          <w:rFonts w:asciiTheme="minorHAnsi" w:hAnsiTheme="minorHAnsi" w:cstheme="minorHAnsi"/>
          <w:i/>
          <w:iCs/>
        </w:rPr>
        <w:t>Nguyen v R</w:t>
      </w:r>
      <w:r w:rsidRPr="007809F4">
        <w:rPr>
          <w:rFonts w:asciiTheme="minorHAnsi" w:hAnsiTheme="minorHAnsi" w:cstheme="minorHAnsi"/>
        </w:rPr>
        <w:t xml:space="preserve"> (2011) VR 673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Nguyen v R</w:instrText>
      </w:r>
      <w:r w:rsidRPr="007809F4">
        <w:rPr>
          <w:rFonts w:asciiTheme="minorHAnsi" w:hAnsiTheme="minorHAnsi" w:cstheme="minorHAnsi"/>
        </w:rPr>
        <w:instrText xml:space="preserve"> (2011) VR 673</w:instrText>
      </w:r>
      <w:r w:rsidRPr="00EB7F1E">
        <w:rPr>
          <w:rFonts w:asciiTheme="minorHAnsi" w:hAnsiTheme="minorHAnsi" w:cstheme="minorHAnsi"/>
        </w:rPr>
        <w:instrText xml:space="preserve">" \s "Nguyen v R (2011) VR 673" \c 1 </w:instrText>
      </w:r>
      <w:r w:rsidRPr="00EB7F1E">
        <w:rPr>
          <w:rFonts w:asciiTheme="minorHAnsi" w:hAnsiTheme="minorHAnsi" w:cstheme="minorHAnsi"/>
        </w:rPr>
        <w:fldChar w:fldCharType="end"/>
      </w:r>
      <w:r w:rsidRPr="007809F4">
        <w:rPr>
          <w:rFonts w:asciiTheme="minorHAnsi" w:hAnsiTheme="minorHAnsi" w:cstheme="minorHAnsi"/>
        </w:rPr>
        <w:t xml:space="preserve">, [34]; </w:t>
      </w:r>
      <w:r w:rsidRPr="007809F4">
        <w:rPr>
          <w:rFonts w:asciiTheme="minorHAnsi" w:hAnsiTheme="minorHAnsi" w:cstheme="minorHAnsi"/>
          <w:i/>
          <w:iCs/>
        </w:rPr>
        <w:t>DPP (Cth) v Bui</w:t>
      </w:r>
      <w:r w:rsidRPr="007809F4">
        <w:rPr>
          <w:rFonts w:asciiTheme="minorHAnsi" w:hAnsiTheme="minorHAnsi" w:cstheme="minorHAnsi"/>
        </w:rPr>
        <w:t xml:space="preserve"> (2011) 32 VR 149</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[38]–[39].</w:t>
      </w:r>
    </w:p>
  </w:footnote>
  <w:footnote w:id="331">
    <w:p w14:paraId="7AFB936E" w14:textId="1416873A"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Style w:val="verdana"/>
          <w:rFonts w:asciiTheme="minorHAnsi" w:hAnsiTheme="minorHAnsi" w:cstheme="minorHAnsi"/>
          <w:i/>
        </w:rPr>
        <w:t>R</w:t>
      </w:r>
      <w:r w:rsidRPr="007809F4">
        <w:rPr>
          <w:rStyle w:val="verdana"/>
          <w:rFonts w:asciiTheme="minorHAnsi" w:hAnsiTheme="minorHAnsi" w:cstheme="minorHAnsi"/>
        </w:rPr>
        <w:t xml:space="preserve"> v </w:t>
      </w:r>
      <w:r w:rsidRPr="007809F4">
        <w:rPr>
          <w:rStyle w:val="verdana"/>
          <w:rFonts w:asciiTheme="minorHAnsi" w:hAnsiTheme="minorHAnsi" w:cstheme="minorHAnsi"/>
          <w:i/>
        </w:rPr>
        <w:t>Rossi</w:t>
      </w:r>
      <w:r w:rsidRPr="007809F4">
        <w:rPr>
          <w:rStyle w:val="verdana"/>
          <w:rFonts w:asciiTheme="minorHAnsi" w:hAnsiTheme="minorHAnsi" w:cstheme="minorHAnsi"/>
        </w:rPr>
        <w:t xml:space="preserve"> (1988) 4 WAR 463</w:t>
      </w:r>
      <w:r w:rsidRPr="00EB7F1E">
        <w:rPr>
          <w:rStyle w:val="verdana"/>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verdana"/>
          <w:rFonts w:asciiTheme="minorHAnsi" w:hAnsiTheme="minorHAnsi" w:cstheme="minorHAnsi"/>
          <w:i/>
        </w:rPr>
        <w:instrText>R</w:instrText>
      </w:r>
      <w:r w:rsidRPr="007809F4">
        <w:rPr>
          <w:rStyle w:val="verdana"/>
          <w:rFonts w:asciiTheme="minorHAnsi" w:hAnsiTheme="minorHAnsi" w:cstheme="minorHAnsi"/>
        </w:rPr>
        <w:instrText xml:space="preserve"> v </w:instrText>
      </w:r>
      <w:r w:rsidRPr="007809F4">
        <w:rPr>
          <w:rStyle w:val="verdana"/>
          <w:rFonts w:asciiTheme="minorHAnsi" w:hAnsiTheme="minorHAnsi" w:cstheme="minorHAnsi"/>
          <w:i/>
        </w:rPr>
        <w:instrText>Rossi</w:instrText>
      </w:r>
      <w:r w:rsidRPr="007809F4">
        <w:rPr>
          <w:rStyle w:val="verdana"/>
          <w:rFonts w:asciiTheme="minorHAnsi" w:hAnsiTheme="minorHAnsi" w:cstheme="minorHAnsi"/>
        </w:rPr>
        <w:instrText xml:space="preserve"> (1988) 4 WAR 463</w:instrText>
      </w:r>
      <w:r w:rsidRPr="00EB7F1E">
        <w:rPr>
          <w:rFonts w:asciiTheme="minorHAnsi" w:hAnsiTheme="minorHAnsi" w:cstheme="minorHAnsi"/>
        </w:rPr>
        <w:instrText xml:space="preserve">" \s "R v Rossi (1988) 4 WAR 463" \c 1 </w:instrText>
      </w:r>
      <w:r w:rsidRPr="00EB7F1E">
        <w:rPr>
          <w:rStyle w:val="verdana"/>
          <w:rFonts w:asciiTheme="minorHAnsi" w:hAnsiTheme="minorHAnsi" w:cstheme="minorHAnsi"/>
        </w:rPr>
        <w:fldChar w:fldCharType="end"/>
      </w:r>
      <w:r w:rsidRPr="007809F4">
        <w:rPr>
          <w:rStyle w:val="verdana"/>
          <w:rFonts w:asciiTheme="minorHAnsi" w:hAnsiTheme="minorHAnsi" w:cstheme="minorHAnsi"/>
        </w:rPr>
        <w:t xml:space="preserve">, 467; </w:t>
      </w:r>
      <w:r w:rsidRPr="007809F4">
        <w:rPr>
          <w:rFonts w:asciiTheme="minorHAnsi" w:hAnsiTheme="minorHAnsi" w:cstheme="minorHAnsi"/>
          <w:i/>
        </w:rPr>
        <w:t>Kovacevic</w:t>
      </w:r>
      <w:r w:rsidRPr="007809F4">
        <w:rPr>
          <w:rFonts w:asciiTheme="minorHAnsi" w:hAnsiTheme="minorHAnsi" w:cstheme="minorHAnsi"/>
        </w:rPr>
        <w:t xml:space="preserve"> v </w:t>
      </w:r>
      <w:r w:rsidRPr="007809F4">
        <w:rPr>
          <w:rFonts w:asciiTheme="minorHAnsi" w:hAnsiTheme="minorHAnsi" w:cstheme="minorHAnsi"/>
          <w:i/>
        </w:rPr>
        <w:t>Mills</w:t>
      </w:r>
      <w:r w:rsidRPr="007809F4">
        <w:rPr>
          <w:rFonts w:asciiTheme="minorHAnsi" w:hAnsiTheme="minorHAnsi" w:cstheme="minorHAnsi"/>
        </w:rPr>
        <w:t xml:space="preserve"> (2000) 76 SASR 404</w:t>
      </w:r>
      <w:r w:rsidRPr="00EB7F1E">
        <w:rPr>
          <w:rFonts w:asciiTheme="minorHAnsi" w:hAnsiTheme="minorHAnsi" w:cstheme="minorHAnsi"/>
        </w:rPr>
        <w:fldChar w:fldCharType="begin"/>
      </w:r>
      <w:r w:rsidRPr="007809F4">
        <w:rPr>
          <w:rFonts w:asciiTheme="minorHAnsi" w:hAnsiTheme="minorHAnsi" w:cstheme="minorHAnsi"/>
        </w:rPr>
        <w:instrText xml:space="preserve"> TA \s "Kovacevic v Mills (2000) 76 SASR 404" </w:instrText>
      </w:r>
      <w:r w:rsidRPr="00EB7F1E">
        <w:rPr>
          <w:rFonts w:asciiTheme="minorHAnsi" w:hAnsiTheme="minorHAnsi" w:cstheme="minorHAnsi"/>
        </w:rPr>
        <w:fldChar w:fldCharType="end"/>
      </w:r>
      <w:r w:rsidRPr="007809F4">
        <w:rPr>
          <w:rFonts w:asciiTheme="minorHAnsi" w:hAnsiTheme="minorHAnsi" w:cstheme="minorHAnsi"/>
        </w:rPr>
        <w:t xml:space="preserve">, [37]-[45]; </w:t>
      </w:r>
      <w:r w:rsidRPr="007809F4">
        <w:rPr>
          <w:rStyle w:val="ssl2"/>
          <w:rFonts w:asciiTheme="minorHAnsi" w:hAnsiTheme="minorHAnsi" w:cstheme="minorHAnsi"/>
          <w:i/>
        </w:rPr>
        <w:t>R</w:t>
      </w:r>
      <w:r w:rsidRPr="007809F4">
        <w:rPr>
          <w:rStyle w:val="ssl2"/>
          <w:rFonts w:asciiTheme="minorHAnsi" w:hAnsiTheme="minorHAnsi" w:cstheme="minorHAnsi"/>
        </w:rPr>
        <w:t xml:space="preserve"> v </w:t>
      </w:r>
      <w:r w:rsidRPr="007809F4">
        <w:rPr>
          <w:rStyle w:val="ssl2"/>
          <w:rFonts w:asciiTheme="minorHAnsi" w:hAnsiTheme="minorHAnsi" w:cstheme="minorHAnsi"/>
          <w:i/>
        </w:rPr>
        <w:t>Howe</w:t>
      </w:r>
      <w:r w:rsidRPr="007809F4">
        <w:rPr>
          <w:rStyle w:val="ssl2"/>
          <w:rFonts w:asciiTheme="minorHAnsi" w:hAnsiTheme="minorHAnsi" w:cstheme="minorHAnsi"/>
        </w:rPr>
        <w:t xml:space="preserve"> [2000] NSWCCA 405</w:t>
      </w:r>
      <w:r w:rsidRPr="00EB7F1E">
        <w:rPr>
          <w:rStyle w:val="ssl2"/>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ssl2"/>
          <w:rFonts w:asciiTheme="minorHAnsi" w:hAnsiTheme="minorHAnsi" w:cstheme="minorHAnsi"/>
          <w:i/>
        </w:rPr>
        <w:instrText>R</w:instrText>
      </w:r>
      <w:r w:rsidRPr="007809F4">
        <w:rPr>
          <w:rStyle w:val="ssl2"/>
          <w:rFonts w:asciiTheme="minorHAnsi" w:hAnsiTheme="minorHAnsi" w:cstheme="minorHAnsi"/>
        </w:rPr>
        <w:instrText xml:space="preserve"> v </w:instrText>
      </w:r>
      <w:r w:rsidRPr="007809F4">
        <w:rPr>
          <w:rStyle w:val="ssl2"/>
          <w:rFonts w:asciiTheme="minorHAnsi" w:hAnsiTheme="minorHAnsi" w:cstheme="minorHAnsi"/>
          <w:i/>
        </w:rPr>
        <w:instrText>Howe</w:instrText>
      </w:r>
      <w:r w:rsidRPr="007809F4">
        <w:rPr>
          <w:rStyle w:val="ssl2"/>
          <w:rFonts w:asciiTheme="minorHAnsi" w:hAnsiTheme="minorHAnsi" w:cstheme="minorHAnsi"/>
        </w:rPr>
        <w:instrText xml:space="preserve"> [2000] NSWCCA 405</w:instrText>
      </w:r>
      <w:r w:rsidRPr="00EB7F1E">
        <w:rPr>
          <w:rFonts w:asciiTheme="minorHAnsi" w:hAnsiTheme="minorHAnsi" w:cstheme="minorHAnsi"/>
        </w:rPr>
        <w:instrText xml:space="preserve">" \s "R v Howe [2000] NSWCCA 405" \c 1 </w:instrText>
      </w:r>
      <w:r w:rsidRPr="00EB7F1E">
        <w:rPr>
          <w:rStyle w:val="ssl2"/>
          <w:rFonts w:asciiTheme="minorHAnsi" w:hAnsiTheme="minorHAnsi" w:cstheme="minorHAnsi"/>
        </w:rPr>
        <w:fldChar w:fldCharType="end"/>
      </w:r>
      <w:r w:rsidRPr="007809F4">
        <w:rPr>
          <w:rStyle w:val="ssl2"/>
          <w:rFonts w:asciiTheme="minorHAnsi" w:hAnsiTheme="minorHAnsi" w:cstheme="minorHAnsi"/>
        </w:rPr>
        <w:t xml:space="preserve">, [13]-[14]; </w:t>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Milne</w:t>
      </w:r>
      <w:r w:rsidRPr="007809F4">
        <w:rPr>
          <w:rFonts w:asciiTheme="minorHAnsi" w:hAnsiTheme="minorHAnsi" w:cstheme="minorHAnsi"/>
        </w:rPr>
        <w:t xml:space="preserve"> </w:t>
      </w:r>
      <w:r w:rsidRPr="007809F4">
        <w:rPr>
          <w:rStyle w:val="ssl2"/>
          <w:rFonts w:asciiTheme="minorHAnsi" w:hAnsiTheme="minorHAnsi" w:cstheme="minorHAnsi"/>
        </w:rPr>
        <w:t>[2001] VSCA 93</w:t>
      </w:r>
      <w:r w:rsidRPr="00EB7F1E">
        <w:rPr>
          <w:rStyle w:val="ssl2"/>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w:instrText>
      </w:r>
      <w:r w:rsidRPr="007809F4">
        <w:rPr>
          <w:rFonts w:asciiTheme="minorHAnsi" w:hAnsiTheme="minorHAnsi" w:cstheme="minorHAnsi"/>
        </w:rPr>
        <w:instrText xml:space="preserve"> v </w:instrText>
      </w:r>
      <w:r w:rsidRPr="007809F4">
        <w:rPr>
          <w:rFonts w:asciiTheme="minorHAnsi" w:hAnsiTheme="minorHAnsi" w:cstheme="minorHAnsi"/>
          <w:i/>
        </w:rPr>
        <w:instrText>Milne</w:instrText>
      </w:r>
      <w:r w:rsidRPr="007809F4">
        <w:rPr>
          <w:rFonts w:asciiTheme="minorHAnsi" w:hAnsiTheme="minorHAnsi" w:cstheme="minorHAnsi"/>
        </w:rPr>
        <w:instrText xml:space="preserve"> </w:instrText>
      </w:r>
      <w:r w:rsidRPr="007809F4">
        <w:rPr>
          <w:rStyle w:val="ssl2"/>
          <w:rFonts w:asciiTheme="minorHAnsi" w:hAnsiTheme="minorHAnsi" w:cstheme="minorHAnsi"/>
        </w:rPr>
        <w:instrText>[2001] VSCA 93</w:instrText>
      </w:r>
      <w:r w:rsidRPr="00EB7F1E">
        <w:rPr>
          <w:rFonts w:asciiTheme="minorHAnsi" w:hAnsiTheme="minorHAnsi" w:cstheme="minorHAnsi"/>
        </w:rPr>
        <w:instrText xml:space="preserve">" \s "R v Milne [2001] VSCA 93" \c 1 </w:instrText>
      </w:r>
      <w:r w:rsidRPr="00EB7F1E">
        <w:rPr>
          <w:rStyle w:val="ssl2"/>
          <w:rFonts w:asciiTheme="minorHAnsi" w:hAnsiTheme="minorHAnsi" w:cstheme="minorHAnsi"/>
        </w:rPr>
        <w:fldChar w:fldCharType="end"/>
      </w:r>
      <w:r w:rsidRPr="007809F4">
        <w:rPr>
          <w:rStyle w:val="ssl2"/>
          <w:rFonts w:asciiTheme="minorHAnsi" w:hAnsiTheme="minorHAnsi" w:cstheme="minorHAnsi"/>
        </w:rPr>
        <w:t xml:space="preserve">, [12]-[13]; </w:t>
      </w:r>
      <w:r w:rsidRPr="007809F4">
        <w:rPr>
          <w:rFonts w:asciiTheme="minorHAnsi" w:hAnsiTheme="minorHAnsi" w:cstheme="minorHAnsi"/>
          <w:i/>
        </w:rPr>
        <w:t>DPP (Cth) v Alateras</w:t>
      </w:r>
      <w:r w:rsidRPr="007809F4">
        <w:rPr>
          <w:rFonts w:asciiTheme="minorHAnsi" w:hAnsiTheme="minorHAnsi" w:cstheme="minorHAnsi"/>
        </w:rPr>
        <w:t xml:space="preserve"> [2004] VSCA 214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Alateras</w:instrText>
      </w:r>
      <w:r w:rsidRPr="007809F4">
        <w:rPr>
          <w:rFonts w:asciiTheme="minorHAnsi" w:hAnsiTheme="minorHAnsi" w:cstheme="minorHAnsi"/>
        </w:rPr>
        <w:instrText xml:space="preserve"> [2004] VSCA 214</w:instrText>
      </w:r>
      <w:r w:rsidRPr="00EB7F1E">
        <w:rPr>
          <w:rFonts w:asciiTheme="minorHAnsi" w:hAnsiTheme="minorHAnsi" w:cstheme="minorHAnsi"/>
        </w:rPr>
        <w:instrText xml:space="preserve">" \s "DPP (Cth) v Alateras [2004] VSCA 214" \c 1 </w:instrText>
      </w:r>
      <w:r w:rsidRPr="00EB7F1E">
        <w:rPr>
          <w:rFonts w:asciiTheme="minorHAnsi" w:hAnsiTheme="minorHAnsi" w:cstheme="minorHAnsi"/>
        </w:rPr>
        <w:fldChar w:fldCharType="end"/>
      </w:r>
      <w:r w:rsidRPr="007809F4">
        <w:rPr>
          <w:rFonts w:asciiTheme="minorHAnsi" w:hAnsiTheme="minorHAnsi" w:cstheme="minorHAnsi"/>
        </w:rPr>
        <w:t xml:space="preserve">, [26]; </w:t>
      </w:r>
      <w:r w:rsidRPr="007809F4">
        <w:rPr>
          <w:rStyle w:val="ssl2"/>
          <w:rFonts w:asciiTheme="minorHAnsi" w:hAnsiTheme="minorHAnsi" w:cstheme="minorHAnsi"/>
          <w:i/>
        </w:rPr>
        <w:t>R</w:t>
      </w:r>
      <w:r w:rsidRPr="007809F4">
        <w:rPr>
          <w:rStyle w:val="ssl2"/>
          <w:rFonts w:asciiTheme="minorHAnsi" w:hAnsiTheme="minorHAnsi" w:cstheme="minorHAnsi"/>
        </w:rPr>
        <w:t xml:space="preserve"> v </w:t>
      </w:r>
      <w:r w:rsidRPr="007809F4">
        <w:rPr>
          <w:rStyle w:val="ssl2"/>
          <w:rFonts w:asciiTheme="minorHAnsi" w:hAnsiTheme="minorHAnsi" w:cstheme="minorHAnsi"/>
          <w:i/>
        </w:rPr>
        <w:t>Aller</w:t>
      </w:r>
      <w:r w:rsidRPr="007809F4">
        <w:rPr>
          <w:rStyle w:val="ssl2"/>
          <w:rFonts w:asciiTheme="minorHAnsi" w:hAnsiTheme="minorHAnsi" w:cstheme="minorHAnsi"/>
        </w:rPr>
        <w:t xml:space="preserve"> [2004] NSWCCA 378</w:t>
      </w:r>
      <w:r w:rsidRPr="00EB7F1E">
        <w:rPr>
          <w:rStyle w:val="ssl2"/>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ssl2"/>
          <w:rFonts w:asciiTheme="minorHAnsi" w:hAnsiTheme="minorHAnsi" w:cstheme="minorHAnsi"/>
          <w:i/>
        </w:rPr>
        <w:instrText>R</w:instrText>
      </w:r>
      <w:r w:rsidRPr="007809F4">
        <w:rPr>
          <w:rStyle w:val="ssl2"/>
          <w:rFonts w:asciiTheme="minorHAnsi" w:hAnsiTheme="minorHAnsi" w:cstheme="minorHAnsi"/>
        </w:rPr>
        <w:instrText xml:space="preserve"> v </w:instrText>
      </w:r>
      <w:r w:rsidRPr="007809F4">
        <w:rPr>
          <w:rStyle w:val="ssl2"/>
          <w:rFonts w:asciiTheme="minorHAnsi" w:hAnsiTheme="minorHAnsi" w:cstheme="minorHAnsi"/>
          <w:i/>
        </w:rPr>
        <w:instrText>Aller</w:instrText>
      </w:r>
      <w:r w:rsidRPr="007809F4">
        <w:rPr>
          <w:rStyle w:val="ssl2"/>
          <w:rFonts w:asciiTheme="minorHAnsi" w:hAnsiTheme="minorHAnsi" w:cstheme="minorHAnsi"/>
        </w:rPr>
        <w:instrText xml:space="preserve"> [2004] NSWCCA 378</w:instrText>
      </w:r>
      <w:r w:rsidRPr="00EB7F1E">
        <w:rPr>
          <w:rFonts w:asciiTheme="minorHAnsi" w:hAnsiTheme="minorHAnsi" w:cstheme="minorHAnsi"/>
        </w:rPr>
        <w:instrText xml:space="preserve">" \s "R v Aller [2004] NSWCCA 378" \c 1 </w:instrText>
      </w:r>
      <w:r w:rsidRPr="00EB7F1E">
        <w:rPr>
          <w:rStyle w:val="ssl2"/>
          <w:rFonts w:asciiTheme="minorHAnsi" w:hAnsiTheme="minorHAnsi" w:cstheme="minorHAnsi"/>
        </w:rPr>
        <w:fldChar w:fldCharType="end"/>
      </w:r>
      <w:r w:rsidRPr="007809F4">
        <w:rPr>
          <w:rStyle w:val="ssl2"/>
          <w:rFonts w:asciiTheme="minorHAnsi" w:hAnsiTheme="minorHAnsi" w:cstheme="minorHAnsi"/>
        </w:rPr>
        <w:t xml:space="preserve">, [7]-[10]; </w:t>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Hurst</w:t>
      </w:r>
      <w:r w:rsidRPr="007809F4">
        <w:rPr>
          <w:rFonts w:asciiTheme="minorHAnsi" w:hAnsiTheme="minorHAnsi" w:cstheme="minorHAnsi"/>
        </w:rPr>
        <w:t xml:space="preserve"> </w:t>
      </w:r>
      <w:r w:rsidRPr="007809F4">
        <w:rPr>
          <w:rStyle w:val="tightinline"/>
          <w:rFonts w:asciiTheme="minorHAnsi" w:hAnsiTheme="minorHAnsi" w:cstheme="minorHAnsi"/>
        </w:rPr>
        <w:t>[2005] QCA 25</w:t>
      </w:r>
      <w:r w:rsidRPr="00EB7F1E">
        <w:rPr>
          <w:rStyle w:val="tightinline"/>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w:instrText>
      </w:r>
      <w:r w:rsidRPr="007809F4">
        <w:rPr>
          <w:rFonts w:asciiTheme="minorHAnsi" w:hAnsiTheme="minorHAnsi" w:cstheme="minorHAnsi"/>
        </w:rPr>
        <w:instrText xml:space="preserve"> v </w:instrText>
      </w:r>
      <w:r w:rsidRPr="007809F4">
        <w:rPr>
          <w:rFonts w:asciiTheme="minorHAnsi" w:hAnsiTheme="minorHAnsi" w:cstheme="minorHAnsi"/>
          <w:i/>
        </w:rPr>
        <w:instrText>Hurst</w:instrText>
      </w:r>
      <w:r w:rsidRPr="007809F4">
        <w:rPr>
          <w:rFonts w:asciiTheme="minorHAnsi" w:hAnsiTheme="minorHAnsi" w:cstheme="minorHAnsi"/>
        </w:rPr>
        <w:instrText xml:space="preserve"> </w:instrText>
      </w:r>
      <w:r w:rsidRPr="007809F4">
        <w:rPr>
          <w:rStyle w:val="tightinline"/>
          <w:rFonts w:asciiTheme="minorHAnsi" w:hAnsiTheme="minorHAnsi" w:cstheme="minorHAnsi"/>
        </w:rPr>
        <w:instrText>[2005] QCA 25</w:instrText>
      </w:r>
      <w:r w:rsidRPr="00EB7F1E">
        <w:rPr>
          <w:rFonts w:asciiTheme="minorHAnsi" w:hAnsiTheme="minorHAnsi" w:cstheme="minorHAnsi"/>
        </w:rPr>
        <w:instrText xml:space="preserve">" \s "R v Hurst [2005] QCA 25" \c 1 </w:instrText>
      </w:r>
      <w:r w:rsidRPr="00EB7F1E">
        <w:rPr>
          <w:rStyle w:val="tightinline"/>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w:t>
      </w:r>
      <w:r w:rsidRPr="007809F4">
        <w:rPr>
          <w:rFonts w:asciiTheme="minorHAnsi" w:hAnsiTheme="minorHAnsi" w:cstheme="minorHAnsi"/>
        </w:rPr>
        <w:t xml:space="preserve"> </w:t>
      </w:r>
      <w:r w:rsidRPr="007809F4">
        <w:rPr>
          <w:rFonts w:asciiTheme="minorHAnsi" w:hAnsiTheme="minorHAnsi" w:cstheme="minorHAnsi"/>
          <w:i/>
        </w:rPr>
        <w:t>v</w:t>
      </w:r>
      <w:r w:rsidRPr="007809F4">
        <w:rPr>
          <w:rFonts w:asciiTheme="minorHAnsi" w:hAnsiTheme="minorHAnsi" w:cstheme="minorHAnsi"/>
        </w:rPr>
        <w:t xml:space="preserve"> </w:t>
      </w:r>
      <w:r w:rsidRPr="007809F4">
        <w:rPr>
          <w:rFonts w:asciiTheme="minorHAnsi" w:hAnsiTheme="minorHAnsi" w:cstheme="minorHAnsi"/>
          <w:i/>
        </w:rPr>
        <w:t>Alimic</w:t>
      </w:r>
      <w:r w:rsidRPr="007809F4">
        <w:rPr>
          <w:rFonts w:asciiTheme="minorHAnsi" w:hAnsiTheme="minorHAnsi" w:cstheme="minorHAnsi"/>
        </w:rPr>
        <w:t xml:space="preserve"> [2006] VSCA 273</w:t>
      </w:r>
      <w:r w:rsidRPr="00EB7F1E">
        <w:rPr>
          <w:rFonts w:asciiTheme="minorHAnsi" w:hAnsiTheme="minorHAnsi" w:cstheme="minorHAnsi"/>
        </w:rPr>
        <w:fldChar w:fldCharType="begin"/>
      </w:r>
      <w:r w:rsidRPr="007809F4">
        <w:rPr>
          <w:rFonts w:asciiTheme="minorHAnsi" w:hAnsiTheme="minorHAnsi" w:cstheme="minorHAnsi"/>
        </w:rPr>
        <w:instrText xml:space="preserve"> TA \s "R v Alimic [2006] VSCA 273" </w:instrText>
      </w:r>
      <w:r w:rsidRPr="00EB7F1E">
        <w:rPr>
          <w:rFonts w:asciiTheme="minorHAnsi" w:hAnsiTheme="minorHAnsi" w:cstheme="minorHAnsi"/>
        </w:rPr>
        <w:fldChar w:fldCharType="end"/>
      </w:r>
      <w:r w:rsidRPr="007809F4">
        <w:rPr>
          <w:rFonts w:asciiTheme="minorHAnsi" w:hAnsiTheme="minorHAnsi" w:cstheme="minorHAnsi"/>
        </w:rPr>
        <w:t>, [26]</w:t>
      </w:r>
      <w:r w:rsidRPr="007809F4">
        <w:rPr>
          <w:rStyle w:val="tightinline"/>
          <w:rFonts w:asciiTheme="minorHAnsi" w:hAnsiTheme="minorHAnsi" w:cstheme="minorHAnsi"/>
        </w:rPr>
        <w:t xml:space="preserve">; </w:t>
      </w:r>
      <w:r w:rsidRPr="007809F4">
        <w:rPr>
          <w:rFonts w:asciiTheme="minorHAnsi" w:hAnsiTheme="minorHAnsi" w:cstheme="minorHAnsi"/>
          <w:i/>
        </w:rPr>
        <w:t>DPP (Cth)</w:t>
      </w:r>
      <w:r w:rsidRPr="007809F4">
        <w:rPr>
          <w:rFonts w:asciiTheme="minorHAnsi" w:hAnsiTheme="minorHAnsi" w:cstheme="minorHAnsi"/>
        </w:rPr>
        <w:t xml:space="preserve"> </w:t>
      </w:r>
      <w:r w:rsidRPr="007809F4">
        <w:rPr>
          <w:rFonts w:asciiTheme="minorHAnsi" w:hAnsiTheme="minorHAnsi" w:cstheme="minorHAnsi"/>
          <w:i/>
        </w:rPr>
        <w:t>v Rowson</w:t>
      </w:r>
      <w:r w:rsidRPr="007809F4">
        <w:rPr>
          <w:rFonts w:asciiTheme="minorHAnsi" w:hAnsiTheme="minorHAnsi" w:cstheme="minorHAnsi"/>
        </w:rPr>
        <w:t xml:space="preserve"> [2007] VSCA 176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w:instrText>
      </w:r>
      <w:r w:rsidRPr="007809F4">
        <w:rPr>
          <w:rFonts w:asciiTheme="minorHAnsi" w:hAnsiTheme="minorHAnsi" w:cstheme="minorHAnsi"/>
        </w:rPr>
        <w:instrText xml:space="preserve"> </w:instrText>
      </w:r>
      <w:r w:rsidRPr="007809F4">
        <w:rPr>
          <w:rFonts w:asciiTheme="minorHAnsi" w:hAnsiTheme="minorHAnsi" w:cstheme="minorHAnsi"/>
          <w:i/>
        </w:rPr>
        <w:instrText>v Rowson</w:instrText>
      </w:r>
      <w:r w:rsidRPr="007809F4">
        <w:rPr>
          <w:rFonts w:asciiTheme="minorHAnsi" w:hAnsiTheme="minorHAnsi" w:cstheme="minorHAnsi"/>
        </w:rPr>
        <w:instrText xml:space="preserve"> [2007] VSCA 176</w:instrText>
      </w:r>
      <w:r w:rsidRPr="00EB7F1E">
        <w:rPr>
          <w:rFonts w:asciiTheme="minorHAnsi" w:hAnsiTheme="minorHAnsi" w:cstheme="minorHAnsi"/>
        </w:rPr>
        <w:instrText xml:space="preserve">" \s "DPP (Cth) v Rowson [2007] VSCA 176" \c 1 </w:instrText>
      </w:r>
      <w:r w:rsidRPr="00EB7F1E">
        <w:rPr>
          <w:rFonts w:asciiTheme="minorHAnsi" w:hAnsiTheme="minorHAnsi" w:cstheme="minorHAnsi"/>
        </w:rPr>
        <w:fldChar w:fldCharType="end"/>
      </w:r>
      <w:r w:rsidRPr="007809F4">
        <w:rPr>
          <w:rFonts w:asciiTheme="minorHAnsi" w:hAnsiTheme="minorHAnsi" w:cstheme="minorHAnsi"/>
        </w:rPr>
        <w:t xml:space="preserve">, [24]; </w:t>
      </w:r>
      <w:r w:rsidRPr="007809F4">
        <w:rPr>
          <w:rStyle w:val="ssl2"/>
          <w:rFonts w:asciiTheme="minorHAnsi" w:hAnsiTheme="minorHAnsi" w:cstheme="minorHAnsi"/>
          <w:i/>
        </w:rPr>
        <w:t>McGuiness</w:t>
      </w:r>
      <w:r w:rsidRPr="007809F4">
        <w:rPr>
          <w:rStyle w:val="ssl2"/>
          <w:rFonts w:asciiTheme="minorHAnsi" w:hAnsiTheme="minorHAnsi" w:cstheme="minorHAnsi"/>
        </w:rPr>
        <w:t xml:space="preserve"> </w:t>
      </w:r>
      <w:r w:rsidRPr="007809F4">
        <w:rPr>
          <w:rStyle w:val="ssl2"/>
          <w:rFonts w:asciiTheme="minorHAnsi" w:hAnsiTheme="minorHAnsi" w:cstheme="minorHAnsi"/>
          <w:i/>
        </w:rPr>
        <w:t>v R</w:t>
      </w:r>
      <w:r w:rsidRPr="007809F4">
        <w:rPr>
          <w:rStyle w:val="ssl2"/>
          <w:rFonts w:asciiTheme="minorHAnsi" w:hAnsiTheme="minorHAnsi" w:cstheme="minorHAnsi"/>
        </w:rPr>
        <w:t xml:space="preserve"> [2008] NSWCCA 80</w:t>
      </w:r>
      <w:r w:rsidRPr="00EB7F1E">
        <w:rPr>
          <w:rStyle w:val="ssl2"/>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ssl2"/>
          <w:rFonts w:asciiTheme="minorHAnsi" w:hAnsiTheme="minorHAnsi" w:cstheme="minorHAnsi"/>
          <w:i/>
        </w:rPr>
        <w:instrText>McGuiness</w:instrText>
      </w:r>
      <w:r w:rsidRPr="007809F4">
        <w:rPr>
          <w:rStyle w:val="ssl2"/>
          <w:rFonts w:asciiTheme="minorHAnsi" w:hAnsiTheme="minorHAnsi" w:cstheme="minorHAnsi"/>
        </w:rPr>
        <w:instrText xml:space="preserve"> </w:instrText>
      </w:r>
      <w:r w:rsidRPr="007809F4">
        <w:rPr>
          <w:rStyle w:val="ssl2"/>
          <w:rFonts w:asciiTheme="minorHAnsi" w:hAnsiTheme="minorHAnsi" w:cstheme="minorHAnsi"/>
          <w:i/>
        </w:rPr>
        <w:instrText>v R</w:instrText>
      </w:r>
      <w:r w:rsidRPr="007809F4">
        <w:rPr>
          <w:rStyle w:val="ssl2"/>
          <w:rFonts w:asciiTheme="minorHAnsi" w:hAnsiTheme="minorHAnsi" w:cstheme="minorHAnsi"/>
        </w:rPr>
        <w:instrText xml:space="preserve"> [2008] NSWCCA 80</w:instrText>
      </w:r>
      <w:r w:rsidRPr="00EB7F1E">
        <w:rPr>
          <w:rFonts w:asciiTheme="minorHAnsi" w:hAnsiTheme="minorHAnsi" w:cstheme="minorHAnsi"/>
        </w:rPr>
        <w:instrText xml:space="preserve">" \s "McGuiness v R [2008] NSWCCA 80" \c 1 </w:instrText>
      </w:r>
      <w:r w:rsidRPr="00EB7F1E">
        <w:rPr>
          <w:rStyle w:val="ssl2"/>
          <w:rFonts w:asciiTheme="minorHAnsi" w:hAnsiTheme="minorHAnsi" w:cstheme="minorHAnsi"/>
        </w:rPr>
        <w:fldChar w:fldCharType="end"/>
      </w:r>
      <w:r w:rsidRPr="007809F4">
        <w:rPr>
          <w:rStyle w:val="ssl2"/>
          <w:rFonts w:asciiTheme="minorHAnsi" w:hAnsiTheme="minorHAnsi" w:cstheme="minorHAnsi"/>
        </w:rPr>
        <w:t xml:space="preserve">, [44]; </w:t>
      </w:r>
      <w:r w:rsidRPr="007809F4">
        <w:rPr>
          <w:rFonts w:asciiTheme="minorHAnsi" w:hAnsiTheme="minorHAnsi" w:cstheme="minorHAnsi"/>
          <w:i/>
        </w:rPr>
        <w:t xml:space="preserve">DPP (Cth) v Gregory </w:t>
      </w:r>
      <w:r w:rsidRPr="007809F4">
        <w:rPr>
          <w:rFonts w:asciiTheme="minorHAnsi" w:hAnsiTheme="minorHAnsi" w:cstheme="minorHAnsi"/>
        </w:rPr>
        <w:t>(2011) 34 VR 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Gregory (2011) 34 VR 1" </w:instrText>
      </w:r>
      <w:r w:rsidRPr="00EB7F1E">
        <w:rPr>
          <w:rFonts w:asciiTheme="minorHAnsi" w:hAnsiTheme="minorHAnsi" w:cstheme="minorHAnsi"/>
        </w:rPr>
        <w:fldChar w:fldCharType="end"/>
      </w:r>
      <w:r w:rsidRPr="007809F4">
        <w:rPr>
          <w:rFonts w:asciiTheme="minorHAnsi" w:hAnsiTheme="minorHAnsi" w:cstheme="minorHAnsi"/>
        </w:rPr>
        <w:t xml:space="preserve">, [51]–[57], [66]; </w:t>
      </w:r>
      <w:r w:rsidRPr="007809F4">
        <w:rPr>
          <w:rFonts w:asciiTheme="minorHAnsi" w:hAnsiTheme="minorHAnsi" w:cstheme="minorHAnsi"/>
          <w:i/>
        </w:rPr>
        <w:t>R</w:t>
      </w:r>
      <w:r w:rsidRPr="007809F4">
        <w:rPr>
          <w:rFonts w:asciiTheme="minorHAnsi" w:hAnsiTheme="minorHAnsi" w:cstheme="minorHAnsi"/>
        </w:rPr>
        <w:t xml:space="preserve"> </w:t>
      </w:r>
      <w:r w:rsidRPr="007809F4">
        <w:rPr>
          <w:rFonts w:asciiTheme="minorHAnsi" w:hAnsiTheme="minorHAnsi" w:cstheme="minorHAnsi"/>
          <w:i/>
        </w:rPr>
        <w:t xml:space="preserve">v Huston; ex parte DPP (Cth) </w:t>
      </w:r>
      <w:r w:rsidRPr="007809F4">
        <w:rPr>
          <w:rFonts w:asciiTheme="minorHAnsi" w:hAnsiTheme="minorHAnsi" w:cstheme="minorHAnsi"/>
        </w:rPr>
        <w:t>[2011] QCA 350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w:instrText>
      </w:r>
      <w:r w:rsidRPr="007809F4">
        <w:rPr>
          <w:rFonts w:asciiTheme="minorHAnsi" w:hAnsiTheme="minorHAnsi" w:cstheme="minorHAnsi"/>
        </w:rPr>
        <w:instrText xml:space="preserve"> </w:instrText>
      </w:r>
      <w:r w:rsidRPr="007809F4">
        <w:rPr>
          <w:rFonts w:asciiTheme="minorHAnsi" w:hAnsiTheme="minorHAnsi" w:cstheme="minorHAnsi"/>
          <w:i/>
        </w:rPr>
        <w:instrText xml:space="preserve">v Huston; ex parte DPP (Cth) </w:instrText>
      </w:r>
      <w:r w:rsidRPr="007809F4">
        <w:rPr>
          <w:rFonts w:asciiTheme="minorHAnsi" w:hAnsiTheme="minorHAnsi" w:cstheme="minorHAnsi"/>
        </w:rPr>
        <w:instrText>[2011] QCA 350</w:instrText>
      </w:r>
      <w:r w:rsidRPr="00EB7F1E">
        <w:rPr>
          <w:rFonts w:asciiTheme="minorHAnsi" w:hAnsiTheme="minorHAnsi" w:cstheme="minorHAnsi"/>
        </w:rPr>
        <w:instrText xml:space="preserve">" \s "R v Huston; ex parte DPP (Cth) </w:instrText>
      </w:r>
      <w:r w:rsidRPr="007809F4">
        <w:rPr>
          <w:rFonts w:asciiTheme="minorHAnsi" w:hAnsiTheme="minorHAnsi" w:cstheme="minorHAnsi"/>
        </w:rPr>
        <w:instrText>[2011] QCA 350</w:instrText>
      </w:r>
      <w:r w:rsidRPr="00EB7F1E">
        <w:rPr>
          <w:rFonts w:asciiTheme="minorHAnsi" w:hAnsiTheme="minorHAnsi" w:cstheme="minorHAnsi"/>
        </w:rPr>
        <w:instrText xml:space="preserve">" \c 1 </w:instrText>
      </w:r>
      <w:r w:rsidRPr="00EB7F1E">
        <w:rPr>
          <w:rFonts w:asciiTheme="minorHAnsi" w:hAnsiTheme="minorHAnsi" w:cstheme="minorHAnsi"/>
        </w:rPr>
        <w:fldChar w:fldCharType="end"/>
      </w:r>
      <w:r w:rsidRPr="007809F4">
        <w:rPr>
          <w:rFonts w:asciiTheme="minorHAnsi" w:hAnsiTheme="minorHAnsi" w:cstheme="minorHAnsi"/>
        </w:rPr>
        <w:t xml:space="preserve">, 213-215, 217 [10]–[21], [33]; </w:t>
      </w:r>
      <w:r w:rsidRPr="007809F4">
        <w:rPr>
          <w:rFonts w:asciiTheme="minorHAnsi" w:hAnsiTheme="minorHAnsi" w:cstheme="minorHAnsi"/>
          <w:i/>
        </w:rPr>
        <w:t>Milne</w:t>
      </w:r>
      <w:r w:rsidRPr="007809F4">
        <w:rPr>
          <w:rFonts w:asciiTheme="minorHAnsi" w:hAnsiTheme="minorHAnsi" w:cstheme="minorHAnsi"/>
        </w:rPr>
        <w:t xml:space="preserve"> </w:t>
      </w:r>
      <w:r w:rsidRPr="007809F4">
        <w:rPr>
          <w:rFonts w:asciiTheme="minorHAnsi" w:hAnsiTheme="minorHAnsi" w:cstheme="minorHAnsi"/>
          <w:i/>
        </w:rPr>
        <w:t>v</w:t>
      </w:r>
      <w:r w:rsidRPr="007809F4">
        <w:rPr>
          <w:rFonts w:asciiTheme="minorHAnsi" w:hAnsiTheme="minorHAnsi" w:cstheme="minorHAnsi"/>
        </w:rPr>
        <w:t xml:space="preserve"> </w:t>
      </w:r>
      <w:r w:rsidRPr="007809F4">
        <w:rPr>
          <w:rFonts w:asciiTheme="minorHAnsi" w:hAnsiTheme="minorHAnsi" w:cstheme="minorHAnsi"/>
          <w:i/>
        </w:rPr>
        <w:t>R</w:t>
      </w:r>
      <w:r w:rsidRPr="007809F4">
        <w:rPr>
          <w:rFonts w:asciiTheme="minorHAnsi" w:hAnsiTheme="minorHAnsi" w:cstheme="minorHAnsi"/>
        </w:rPr>
        <w:t xml:space="preserve"> [2012] NSWCCA 24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Milne</w:instrText>
      </w:r>
      <w:r w:rsidRPr="007809F4">
        <w:rPr>
          <w:rFonts w:asciiTheme="minorHAnsi" w:hAnsiTheme="minorHAnsi" w:cstheme="minorHAnsi"/>
        </w:rPr>
        <w:instrText xml:space="preserve"> </w:instrText>
      </w:r>
      <w:r w:rsidRPr="007809F4">
        <w:rPr>
          <w:rFonts w:asciiTheme="minorHAnsi" w:hAnsiTheme="minorHAnsi" w:cstheme="minorHAnsi"/>
          <w:i/>
        </w:rPr>
        <w:instrText>v</w:instrText>
      </w:r>
      <w:r w:rsidRPr="007809F4">
        <w:rPr>
          <w:rFonts w:asciiTheme="minorHAnsi" w:hAnsiTheme="minorHAnsi" w:cstheme="minorHAnsi"/>
        </w:rPr>
        <w:instrText xml:space="preserve"> </w:instrText>
      </w:r>
      <w:r w:rsidRPr="007809F4">
        <w:rPr>
          <w:rFonts w:asciiTheme="minorHAnsi" w:hAnsiTheme="minorHAnsi" w:cstheme="minorHAnsi"/>
          <w:i/>
        </w:rPr>
        <w:instrText>R</w:instrText>
      </w:r>
      <w:r w:rsidRPr="007809F4">
        <w:rPr>
          <w:rFonts w:asciiTheme="minorHAnsi" w:hAnsiTheme="minorHAnsi" w:cstheme="minorHAnsi"/>
        </w:rPr>
        <w:instrText xml:space="preserve"> [2012] NSWCCA 24</w:instrText>
      </w:r>
      <w:r w:rsidRPr="00EB7F1E">
        <w:rPr>
          <w:rFonts w:asciiTheme="minorHAnsi" w:hAnsiTheme="minorHAnsi" w:cstheme="minorHAnsi"/>
        </w:rPr>
        <w:instrText xml:space="preserve">" \s "Milne v R [2012] NSWCCA 24" \c 1 </w:instrText>
      </w:r>
      <w:r w:rsidRPr="00EB7F1E">
        <w:rPr>
          <w:rFonts w:asciiTheme="minorHAnsi" w:hAnsiTheme="minorHAnsi" w:cstheme="minorHAnsi"/>
        </w:rPr>
        <w:fldChar w:fldCharType="end"/>
      </w:r>
      <w:r w:rsidRPr="007809F4">
        <w:rPr>
          <w:rFonts w:asciiTheme="minorHAnsi" w:hAnsiTheme="minorHAnsi" w:cstheme="minorHAnsi"/>
        </w:rPr>
        <w:t>, [296]-[297];</w:t>
      </w:r>
      <w:r w:rsidRPr="007809F4">
        <w:rPr>
          <w:rFonts w:asciiTheme="minorHAnsi" w:hAnsiTheme="minorHAnsi" w:cstheme="minorHAnsi"/>
          <w:i/>
        </w:rPr>
        <w:t xml:space="preserve"> R</w:t>
      </w:r>
      <w:r w:rsidRPr="007809F4">
        <w:rPr>
          <w:rFonts w:asciiTheme="minorHAnsi" w:hAnsiTheme="minorHAnsi" w:cstheme="minorHAnsi"/>
        </w:rPr>
        <w:t xml:space="preserve"> </w:t>
      </w:r>
      <w:r w:rsidRPr="007809F4">
        <w:rPr>
          <w:rFonts w:asciiTheme="minorHAnsi" w:hAnsiTheme="minorHAnsi" w:cstheme="minorHAnsi"/>
          <w:i/>
        </w:rPr>
        <w:t xml:space="preserve">v Boughen </w:t>
      </w:r>
      <w:r w:rsidRPr="007809F4">
        <w:rPr>
          <w:rFonts w:asciiTheme="minorHAnsi" w:hAnsiTheme="minorHAnsi" w:cstheme="minorHAnsi"/>
        </w:rPr>
        <w:t>[2012] NSWCCA 17</w:t>
      </w:r>
      <w:r w:rsidRPr="00EB7F1E">
        <w:rPr>
          <w:rFonts w:asciiTheme="minorHAnsi" w:hAnsiTheme="minorHAnsi" w:cstheme="minorHAnsi"/>
        </w:rPr>
        <w:fldChar w:fldCharType="begin"/>
      </w:r>
      <w:r w:rsidRPr="007809F4">
        <w:rPr>
          <w:rFonts w:asciiTheme="minorHAnsi" w:hAnsiTheme="minorHAnsi" w:cstheme="minorHAnsi"/>
        </w:rPr>
        <w:instrText xml:space="preserve"> TA \s "R v Boughen [2012] NSWCCA 17" </w:instrText>
      </w:r>
      <w:r w:rsidRPr="00EB7F1E">
        <w:rPr>
          <w:rFonts w:asciiTheme="minorHAnsi" w:hAnsiTheme="minorHAnsi" w:cstheme="minorHAnsi"/>
        </w:rPr>
        <w:fldChar w:fldCharType="end"/>
      </w:r>
      <w:r w:rsidRPr="007809F4">
        <w:rPr>
          <w:rFonts w:asciiTheme="minorHAnsi" w:hAnsiTheme="minorHAnsi" w:cstheme="minorHAnsi"/>
        </w:rPr>
        <w:t>, 486-495 [59]–[91], [96]–[98];</w:t>
      </w:r>
      <w:r w:rsidRPr="007809F4">
        <w:rPr>
          <w:rFonts w:asciiTheme="minorHAnsi" w:hAnsiTheme="minorHAnsi" w:cstheme="minorHAnsi"/>
          <w:i/>
        </w:rPr>
        <w:t xml:space="preserve"> De Faria</w:t>
      </w:r>
      <w:r w:rsidRPr="007809F4">
        <w:rPr>
          <w:rFonts w:asciiTheme="minorHAnsi" w:hAnsiTheme="minorHAnsi" w:cstheme="minorHAnsi"/>
        </w:rPr>
        <w:t xml:space="preserve"> </w:t>
      </w:r>
      <w:r w:rsidRPr="007809F4">
        <w:rPr>
          <w:rFonts w:asciiTheme="minorHAnsi" w:hAnsiTheme="minorHAnsi" w:cstheme="minorHAnsi"/>
          <w:i/>
        </w:rPr>
        <w:t>v Western Australia</w:t>
      </w:r>
      <w:r w:rsidRPr="007809F4">
        <w:rPr>
          <w:rFonts w:asciiTheme="minorHAnsi" w:hAnsiTheme="minorHAnsi" w:cstheme="minorHAnsi"/>
        </w:rPr>
        <w:t xml:space="preserve"> [2013] WASCA 116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De Faria</w:instrText>
      </w:r>
      <w:r w:rsidRPr="007809F4">
        <w:rPr>
          <w:rFonts w:asciiTheme="minorHAnsi" w:hAnsiTheme="minorHAnsi" w:cstheme="minorHAnsi"/>
        </w:rPr>
        <w:instrText xml:space="preserve"> </w:instrText>
      </w:r>
      <w:r w:rsidRPr="007809F4">
        <w:rPr>
          <w:rFonts w:asciiTheme="minorHAnsi" w:hAnsiTheme="minorHAnsi" w:cstheme="minorHAnsi"/>
          <w:i/>
        </w:rPr>
        <w:instrText>v Western Australia</w:instrText>
      </w:r>
      <w:r w:rsidRPr="007809F4">
        <w:rPr>
          <w:rFonts w:asciiTheme="minorHAnsi" w:hAnsiTheme="minorHAnsi" w:cstheme="minorHAnsi"/>
        </w:rPr>
        <w:instrText xml:space="preserve"> [2013] WASCA 116</w:instrText>
      </w:r>
      <w:r w:rsidRPr="00EB7F1E">
        <w:rPr>
          <w:rFonts w:asciiTheme="minorHAnsi" w:hAnsiTheme="minorHAnsi" w:cstheme="minorHAnsi"/>
        </w:rPr>
        <w:instrText xml:space="preserve">" \s "De Faria v Western Australia [2013] WASCA 116" \c 1 </w:instrText>
      </w:r>
      <w:r w:rsidRPr="00EB7F1E">
        <w:rPr>
          <w:rFonts w:asciiTheme="minorHAnsi" w:hAnsiTheme="minorHAnsi" w:cstheme="minorHAnsi"/>
        </w:rPr>
        <w:fldChar w:fldCharType="end"/>
      </w:r>
      <w:r w:rsidRPr="007809F4">
        <w:rPr>
          <w:rFonts w:asciiTheme="minorHAnsi" w:hAnsiTheme="minorHAnsi" w:cstheme="minorHAnsi"/>
        </w:rPr>
        <w:t xml:space="preserve">, [159]; </w:t>
      </w:r>
      <w:r w:rsidRPr="007809F4">
        <w:rPr>
          <w:rFonts w:asciiTheme="minorHAnsi" w:hAnsiTheme="minorHAnsi" w:cstheme="minorHAnsi"/>
          <w:i/>
        </w:rPr>
        <w:t>Keefe</w:t>
      </w:r>
      <w:r w:rsidRPr="007809F4">
        <w:rPr>
          <w:rFonts w:asciiTheme="minorHAnsi" w:hAnsiTheme="minorHAnsi" w:cstheme="minorHAnsi"/>
        </w:rPr>
        <w:t xml:space="preserve"> </w:t>
      </w:r>
      <w:r w:rsidRPr="007809F4">
        <w:rPr>
          <w:rFonts w:asciiTheme="minorHAnsi" w:hAnsiTheme="minorHAnsi" w:cstheme="minorHAnsi"/>
          <w:i/>
        </w:rPr>
        <w:t>v R</w:t>
      </w:r>
      <w:r w:rsidRPr="007809F4">
        <w:rPr>
          <w:rFonts w:asciiTheme="minorHAnsi" w:hAnsiTheme="minorHAnsi" w:cstheme="minorHAnsi"/>
        </w:rPr>
        <w:t xml:space="preserve"> [2014] VSCA 201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Keefe</w:instrText>
      </w:r>
      <w:r w:rsidRPr="007809F4">
        <w:rPr>
          <w:rFonts w:asciiTheme="minorHAnsi" w:hAnsiTheme="minorHAnsi" w:cstheme="minorHAnsi"/>
        </w:rPr>
        <w:instrText xml:space="preserve"> </w:instrText>
      </w:r>
      <w:r w:rsidRPr="007809F4">
        <w:rPr>
          <w:rFonts w:asciiTheme="minorHAnsi" w:hAnsiTheme="minorHAnsi" w:cstheme="minorHAnsi"/>
          <w:i/>
        </w:rPr>
        <w:instrText>v R</w:instrText>
      </w:r>
      <w:r w:rsidRPr="007809F4">
        <w:rPr>
          <w:rFonts w:asciiTheme="minorHAnsi" w:hAnsiTheme="minorHAnsi" w:cstheme="minorHAnsi"/>
        </w:rPr>
        <w:instrText xml:space="preserve"> [2014] VSCA 201</w:instrText>
      </w:r>
      <w:r w:rsidRPr="00EB7F1E">
        <w:rPr>
          <w:rFonts w:asciiTheme="minorHAnsi" w:hAnsiTheme="minorHAnsi" w:cstheme="minorHAnsi"/>
        </w:rPr>
        <w:instrText xml:space="preserve">" \s "Keefe v R [2014] VSCA 201" \c 1 </w:instrText>
      </w:r>
      <w:r w:rsidRPr="00EB7F1E">
        <w:rPr>
          <w:rFonts w:asciiTheme="minorHAnsi" w:hAnsiTheme="minorHAnsi" w:cstheme="minorHAnsi"/>
        </w:rPr>
        <w:fldChar w:fldCharType="end"/>
      </w:r>
      <w:r w:rsidRPr="007809F4">
        <w:rPr>
          <w:rFonts w:asciiTheme="minorHAnsi" w:hAnsiTheme="minorHAnsi" w:cstheme="minorHAnsi"/>
        </w:rPr>
        <w:t>, [77];</w:t>
      </w:r>
      <w:r w:rsidRPr="007809F4">
        <w:rPr>
          <w:rStyle w:val="DocumentMapChar"/>
          <w:rFonts w:asciiTheme="minorHAnsi" w:hAnsiTheme="minorHAnsi" w:cstheme="minorHAnsi"/>
          <w:i/>
          <w:sz w:val="20"/>
          <w:szCs w:val="20"/>
        </w:rPr>
        <w:t xml:space="preserve"> </w:t>
      </w:r>
      <w:r w:rsidRPr="007809F4">
        <w:rPr>
          <w:rStyle w:val="ssl2"/>
          <w:rFonts w:asciiTheme="minorHAnsi" w:hAnsiTheme="minorHAnsi" w:cstheme="minorHAnsi"/>
          <w:i/>
        </w:rPr>
        <w:t>Zaky</w:t>
      </w:r>
      <w:r w:rsidRPr="007809F4">
        <w:rPr>
          <w:rStyle w:val="ssl2"/>
          <w:rFonts w:asciiTheme="minorHAnsi" w:hAnsiTheme="minorHAnsi" w:cstheme="minorHAnsi"/>
        </w:rPr>
        <w:t xml:space="preserve"> </w:t>
      </w:r>
      <w:r w:rsidRPr="00EB7F1E">
        <w:rPr>
          <w:rStyle w:val="ssl2"/>
          <w:rFonts w:asciiTheme="minorHAnsi" w:hAnsiTheme="minorHAnsi" w:cstheme="minorHAnsi"/>
          <w:i/>
          <w:iCs/>
        </w:rPr>
        <w:t xml:space="preserve">v </w:t>
      </w:r>
      <w:r w:rsidRPr="007809F4">
        <w:rPr>
          <w:rStyle w:val="ssl2"/>
          <w:rFonts w:asciiTheme="minorHAnsi" w:hAnsiTheme="minorHAnsi" w:cstheme="minorHAnsi"/>
          <w:i/>
        </w:rPr>
        <w:t>R</w:t>
      </w:r>
      <w:r w:rsidRPr="007809F4">
        <w:rPr>
          <w:rStyle w:val="ssl2"/>
          <w:rFonts w:asciiTheme="minorHAnsi" w:hAnsiTheme="minorHAnsi" w:cstheme="minorHAnsi"/>
        </w:rPr>
        <w:t xml:space="preserve"> [2015] NSWCCA 161</w:t>
      </w:r>
      <w:r w:rsidRPr="00EB7F1E">
        <w:rPr>
          <w:rStyle w:val="ssl2"/>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ssl2"/>
          <w:rFonts w:asciiTheme="minorHAnsi" w:hAnsiTheme="minorHAnsi" w:cstheme="minorHAnsi"/>
          <w:i/>
        </w:rPr>
        <w:instrText>Zaky</w:instrText>
      </w:r>
      <w:r w:rsidRPr="007809F4">
        <w:rPr>
          <w:rStyle w:val="ssl2"/>
          <w:rFonts w:asciiTheme="minorHAnsi" w:hAnsiTheme="minorHAnsi" w:cstheme="minorHAnsi"/>
        </w:rPr>
        <w:instrText xml:space="preserve"> </w:instrText>
      </w:r>
      <w:r w:rsidRPr="00EB7F1E">
        <w:rPr>
          <w:rStyle w:val="ssl2"/>
          <w:rFonts w:asciiTheme="minorHAnsi" w:hAnsiTheme="minorHAnsi" w:cstheme="minorHAnsi"/>
          <w:i/>
          <w:iCs/>
        </w:rPr>
        <w:instrText xml:space="preserve">v </w:instrText>
      </w:r>
      <w:r w:rsidRPr="007809F4">
        <w:rPr>
          <w:rStyle w:val="ssl2"/>
          <w:rFonts w:asciiTheme="minorHAnsi" w:hAnsiTheme="minorHAnsi" w:cstheme="minorHAnsi"/>
          <w:i/>
        </w:rPr>
        <w:instrText>R</w:instrText>
      </w:r>
      <w:r w:rsidRPr="007809F4">
        <w:rPr>
          <w:rStyle w:val="ssl2"/>
          <w:rFonts w:asciiTheme="minorHAnsi" w:hAnsiTheme="minorHAnsi" w:cstheme="minorHAnsi"/>
        </w:rPr>
        <w:instrText xml:space="preserve"> [2015] NSWCCA 161</w:instrText>
      </w:r>
      <w:r w:rsidRPr="00EB7F1E">
        <w:rPr>
          <w:rFonts w:asciiTheme="minorHAnsi" w:hAnsiTheme="minorHAnsi" w:cstheme="minorHAnsi"/>
        </w:rPr>
        <w:instrText xml:space="preserve">" \s "Zaky v R [2015] NSWCCA 161" \c 1 </w:instrText>
      </w:r>
      <w:r w:rsidRPr="00EB7F1E">
        <w:rPr>
          <w:rStyle w:val="ssl2"/>
          <w:rFonts w:asciiTheme="minorHAnsi" w:hAnsiTheme="minorHAnsi" w:cstheme="minorHAnsi"/>
        </w:rPr>
        <w:fldChar w:fldCharType="end"/>
      </w:r>
      <w:r w:rsidRPr="007809F4">
        <w:rPr>
          <w:rStyle w:val="ssl2"/>
          <w:rFonts w:asciiTheme="minorHAnsi" w:hAnsiTheme="minorHAnsi" w:cstheme="minorHAnsi"/>
        </w:rPr>
        <w:t>, [49]</w:t>
      </w:r>
      <w:r w:rsidRPr="007809F4">
        <w:rPr>
          <w:rFonts w:asciiTheme="minorHAnsi" w:hAnsiTheme="minorHAnsi" w:cstheme="minorHAnsi"/>
        </w:rPr>
        <w:t>.</w:t>
      </w:r>
    </w:p>
  </w:footnote>
  <w:footnote w:id="332">
    <w:p w14:paraId="388AEF35" w14:textId="489086D3"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EB7F1E">
        <w:rPr>
          <w:rFonts w:asciiTheme="minorHAnsi" w:hAnsiTheme="minorHAnsi" w:cstheme="minorHAnsi"/>
          <w:i/>
        </w:rPr>
        <w:t>DPP (Cth) v Munro</w:t>
      </w:r>
      <w:r w:rsidRPr="007809F4">
        <w:rPr>
          <w:rFonts w:asciiTheme="minorHAnsi" w:hAnsiTheme="minorHAnsi" w:cstheme="minorHAnsi"/>
        </w:rPr>
        <w:t xml:space="preserve"> [2019] VSCA 89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DPP (Cth) v Munro</w:instrText>
      </w:r>
      <w:r w:rsidRPr="007809F4">
        <w:rPr>
          <w:rFonts w:asciiTheme="minorHAnsi" w:hAnsiTheme="minorHAnsi" w:cstheme="minorHAnsi"/>
        </w:rPr>
        <w:instrText xml:space="preserve"> [2019] VSCA 89</w:instrText>
      </w:r>
      <w:r w:rsidRPr="00EB7F1E">
        <w:rPr>
          <w:rFonts w:asciiTheme="minorHAnsi" w:hAnsiTheme="minorHAnsi" w:cstheme="minorHAnsi"/>
        </w:rPr>
        <w:instrText xml:space="preserve">" \s "DPP (Cth) v Munro [2019] VSCA 89" \c 1 </w:instrText>
      </w:r>
      <w:r w:rsidRPr="00EB7F1E">
        <w:rPr>
          <w:rFonts w:asciiTheme="minorHAnsi" w:hAnsiTheme="minorHAnsi" w:cstheme="minorHAnsi"/>
        </w:rPr>
        <w:fldChar w:fldCharType="end"/>
      </w:r>
      <w:r w:rsidRPr="007809F4">
        <w:rPr>
          <w:rFonts w:asciiTheme="minorHAnsi" w:hAnsiTheme="minorHAnsi" w:cstheme="minorHAnsi"/>
        </w:rPr>
        <w:t>, [91].</w:t>
      </w:r>
    </w:p>
  </w:footnote>
  <w:footnote w:id="333">
    <w:p w14:paraId="2053DEF8" w14:textId="50CD94D4"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Rivkin</w:t>
      </w:r>
      <w:r w:rsidRPr="007809F4">
        <w:rPr>
          <w:rFonts w:asciiTheme="minorHAnsi" w:hAnsiTheme="minorHAnsi" w:cstheme="minorHAnsi"/>
        </w:rPr>
        <w:t xml:space="preserve"> (2004) 59 NSWLR 284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w:instrText>
      </w:r>
      <w:r w:rsidRPr="007809F4">
        <w:rPr>
          <w:rFonts w:asciiTheme="minorHAnsi" w:hAnsiTheme="minorHAnsi" w:cstheme="minorHAnsi"/>
        </w:rPr>
        <w:instrText xml:space="preserve"> v </w:instrText>
      </w:r>
      <w:r w:rsidRPr="007809F4">
        <w:rPr>
          <w:rFonts w:asciiTheme="minorHAnsi" w:hAnsiTheme="minorHAnsi" w:cstheme="minorHAnsi"/>
          <w:i/>
        </w:rPr>
        <w:instrText>Rivkin</w:instrText>
      </w:r>
      <w:r w:rsidRPr="007809F4">
        <w:rPr>
          <w:rFonts w:asciiTheme="minorHAnsi" w:hAnsiTheme="minorHAnsi" w:cstheme="minorHAnsi"/>
        </w:rPr>
        <w:instrText xml:space="preserve"> (2004) 59 NSWLR 284</w:instrText>
      </w:r>
      <w:r w:rsidRPr="00EB7F1E">
        <w:rPr>
          <w:rFonts w:asciiTheme="minorHAnsi" w:hAnsiTheme="minorHAnsi" w:cstheme="minorHAnsi"/>
        </w:rPr>
        <w:instrText xml:space="preserve">" \s "R v Rivkin (2004) 59 NSWLR 284"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 xml:space="preserve">Doff </w:t>
      </w:r>
      <w:r w:rsidRPr="007809F4">
        <w:rPr>
          <w:rFonts w:asciiTheme="minorHAnsi" w:hAnsiTheme="minorHAnsi" w:cstheme="minorHAnsi"/>
        </w:rPr>
        <w:t>[2005] NSWCCA 119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w:instrText>
      </w:r>
      <w:r w:rsidRPr="007809F4">
        <w:rPr>
          <w:rFonts w:asciiTheme="minorHAnsi" w:hAnsiTheme="minorHAnsi" w:cstheme="minorHAnsi"/>
        </w:rPr>
        <w:instrText xml:space="preserve"> v </w:instrText>
      </w:r>
      <w:r w:rsidRPr="007809F4">
        <w:rPr>
          <w:rFonts w:asciiTheme="minorHAnsi" w:hAnsiTheme="minorHAnsi" w:cstheme="minorHAnsi"/>
          <w:i/>
        </w:rPr>
        <w:instrText xml:space="preserve">Doff </w:instrText>
      </w:r>
      <w:r w:rsidRPr="007809F4">
        <w:rPr>
          <w:rFonts w:asciiTheme="minorHAnsi" w:hAnsiTheme="minorHAnsi" w:cstheme="minorHAnsi"/>
        </w:rPr>
        <w:instrText>[2005] NSWCCA 119</w:instrText>
      </w:r>
      <w:r w:rsidRPr="00EB7F1E">
        <w:rPr>
          <w:rFonts w:asciiTheme="minorHAnsi" w:hAnsiTheme="minorHAnsi" w:cstheme="minorHAnsi"/>
        </w:rPr>
        <w:instrText xml:space="preserve">" \s "R v Doff [2005] NSWCCA 119"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w:t>
      </w:r>
      <w:r w:rsidRPr="007809F4">
        <w:rPr>
          <w:rStyle w:val="verdana"/>
          <w:rFonts w:asciiTheme="minorHAnsi" w:hAnsiTheme="minorHAnsi" w:cstheme="minorHAnsi"/>
          <w:i/>
        </w:rPr>
        <w:t>R</w:t>
      </w:r>
      <w:r w:rsidRPr="007809F4">
        <w:rPr>
          <w:rStyle w:val="verdana"/>
          <w:rFonts w:asciiTheme="minorHAnsi" w:hAnsiTheme="minorHAnsi" w:cstheme="minorHAnsi"/>
        </w:rPr>
        <w:t xml:space="preserve"> v </w:t>
      </w:r>
      <w:r w:rsidRPr="007809F4">
        <w:rPr>
          <w:rStyle w:val="verdana"/>
          <w:rFonts w:asciiTheme="minorHAnsi" w:hAnsiTheme="minorHAnsi" w:cstheme="minorHAnsi"/>
          <w:i/>
        </w:rPr>
        <w:t>Glynatsis</w:t>
      </w:r>
      <w:r w:rsidRPr="007809F4">
        <w:rPr>
          <w:rStyle w:val="verdana"/>
          <w:rFonts w:asciiTheme="minorHAnsi" w:hAnsiTheme="minorHAnsi" w:cstheme="minorHAnsi"/>
        </w:rPr>
        <w:t xml:space="preserve"> [2013] NSWCCA 131</w:t>
      </w:r>
      <w:r w:rsidRPr="00EB7F1E">
        <w:rPr>
          <w:rStyle w:val="verdana"/>
          <w:rFonts w:asciiTheme="minorHAnsi" w:hAnsiTheme="minorHAnsi" w:cstheme="minorHAnsi"/>
        </w:rPr>
        <w:fldChar w:fldCharType="begin"/>
      </w:r>
      <w:r w:rsidRPr="00EB7F1E">
        <w:rPr>
          <w:rFonts w:asciiTheme="minorHAnsi" w:hAnsiTheme="minorHAnsi" w:cstheme="minorHAnsi"/>
        </w:rPr>
        <w:instrText xml:space="preserve"> TA \s "R v Glynatsis [2013] NSWCCA 131" </w:instrText>
      </w:r>
      <w:r w:rsidRPr="00EB7F1E">
        <w:rPr>
          <w:rStyle w:val="verdana"/>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Khoo</w:t>
      </w:r>
      <w:r w:rsidRPr="007809F4">
        <w:rPr>
          <w:rFonts w:asciiTheme="minorHAnsi" w:hAnsiTheme="minorHAnsi" w:cstheme="minorHAnsi"/>
        </w:rPr>
        <w:t xml:space="preserve"> v </w:t>
      </w:r>
      <w:r w:rsidRPr="007809F4">
        <w:rPr>
          <w:rFonts w:asciiTheme="minorHAnsi" w:hAnsiTheme="minorHAnsi" w:cstheme="minorHAnsi"/>
          <w:i/>
        </w:rPr>
        <w:t>R</w:t>
      </w:r>
      <w:r w:rsidRPr="007809F4">
        <w:rPr>
          <w:rFonts w:asciiTheme="minorHAnsi" w:hAnsiTheme="minorHAnsi" w:cstheme="minorHAnsi"/>
        </w:rPr>
        <w:t xml:space="preserve"> [2013] NSWCCA 323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Khoo</w:instrText>
      </w:r>
      <w:r w:rsidRPr="007809F4">
        <w:rPr>
          <w:rFonts w:asciiTheme="minorHAnsi" w:hAnsiTheme="minorHAnsi" w:cstheme="minorHAnsi"/>
        </w:rPr>
        <w:instrText xml:space="preserve"> v </w:instrText>
      </w:r>
      <w:r w:rsidRPr="007809F4">
        <w:rPr>
          <w:rFonts w:asciiTheme="minorHAnsi" w:hAnsiTheme="minorHAnsi" w:cstheme="minorHAnsi"/>
          <w:i/>
        </w:rPr>
        <w:instrText>R</w:instrText>
      </w:r>
      <w:r w:rsidRPr="007809F4">
        <w:rPr>
          <w:rFonts w:asciiTheme="minorHAnsi" w:hAnsiTheme="minorHAnsi" w:cstheme="minorHAnsi"/>
        </w:rPr>
        <w:instrText xml:space="preserve"> [2013] NSWCCA 323</w:instrText>
      </w:r>
      <w:r w:rsidRPr="00EB7F1E">
        <w:rPr>
          <w:rFonts w:asciiTheme="minorHAnsi" w:hAnsiTheme="minorHAnsi" w:cstheme="minorHAnsi"/>
        </w:rPr>
        <w:instrText xml:space="preserve">" \s "Khoo v R [2013] NSWCCA 323"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Kamay v R</w:t>
      </w:r>
      <w:r w:rsidRPr="007809F4">
        <w:rPr>
          <w:rFonts w:asciiTheme="minorHAnsi" w:hAnsiTheme="minorHAnsi" w:cstheme="minorHAnsi"/>
        </w:rPr>
        <w:t xml:space="preserve"> (2015) 47 VR 475</w:t>
      </w:r>
      <w:r w:rsidRPr="00EB7F1E">
        <w:rPr>
          <w:rFonts w:asciiTheme="minorHAnsi" w:hAnsiTheme="minorHAnsi" w:cstheme="minorHAnsi"/>
        </w:rPr>
        <w:fldChar w:fldCharType="begin"/>
      </w:r>
      <w:r w:rsidRPr="007809F4">
        <w:rPr>
          <w:rFonts w:asciiTheme="minorHAnsi" w:hAnsiTheme="minorHAnsi" w:cstheme="minorHAnsi"/>
        </w:rPr>
        <w:instrText xml:space="preserve"> TA \s "Kamay v R (2015) 47 VR 475"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34">
    <w:p w14:paraId="4C9D9B3F" w14:textId="55CA8D7D"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D’Alessandro</w:t>
      </w:r>
      <w:r w:rsidRPr="007809F4">
        <w:rPr>
          <w:rFonts w:asciiTheme="minorHAnsi" w:hAnsiTheme="minorHAnsi" w:cstheme="minorHAnsi"/>
        </w:rPr>
        <w:t xml:space="preserve"> (2010) 26 VR 477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D’Alessandro</w:instrText>
      </w:r>
      <w:r w:rsidRPr="007809F4">
        <w:rPr>
          <w:rFonts w:asciiTheme="minorHAnsi" w:hAnsiTheme="minorHAnsi" w:cstheme="minorHAnsi"/>
        </w:rPr>
        <w:instrText xml:space="preserve"> (2010) 26 VR 477" \s "DPP v D’Alessandro (2010) 26 VR 477"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Fitzgerald v R</w:t>
      </w:r>
      <w:r w:rsidRPr="007809F4">
        <w:rPr>
          <w:rFonts w:asciiTheme="minorHAnsi" w:hAnsiTheme="minorHAnsi" w:cstheme="minorHAnsi"/>
        </w:rPr>
        <w:t xml:space="preserve"> [2015] NSWCCA 266</w:t>
      </w:r>
      <w:r w:rsidRPr="00EB7F1E">
        <w:rPr>
          <w:rFonts w:asciiTheme="minorHAnsi" w:hAnsiTheme="minorHAnsi" w:cstheme="minorHAnsi"/>
        </w:rPr>
        <w:fldChar w:fldCharType="begin"/>
      </w:r>
      <w:r w:rsidRPr="00EB7F1E">
        <w:rPr>
          <w:rFonts w:asciiTheme="minorHAnsi" w:hAnsiTheme="minorHAnsi" w:cstheme="minorHAnsi"/>
        </w:rPr>
        <w:instrText xml:space="preserve"> TA \s "Fitzgerald v R [2015] NSWCCA 266"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and DPP v Watson</w:t>
      </w:r>
      <w:r w:rsidRPr="007809F4">
        <w:rPr>
          <w:rFonts w:asciiTheme="minorHAnsi" w:hAnsiTheme="minorHAnsi" w:cstheme="minorHAnsi"/>
        </w:rPr>
        <w:t xml:space="preserve"> [2016] VSCA 73.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(Cth) and DPP v Watson</w:instrText>
      </w:r>
      <w:r w:rsidRPr="007809F4">
        <w:rPr>
          <w:rFonts w:asciiTheme="minorHAnsi" w:hAnsiTheme="minorHAnsi" w:cstheme="minorHAnsi"/>
        </w:rPr>
        <w:instrText xml:space="preserve"> [2016] VSCA 73" \s "DPP (Cth) and DPP v Watson [2016] VSCA 73" \c 1 </w:instrText>
      </w:r>
      <w:r w:rsidRPr="00EB7F1E">
        <w:rPr>
          <w:rFonts w:asciiTheme="minorHAnsi" w:hAnsiTheme="minorHAnsi" w:cstheme="minorHAnsi"/>
        </w:rPr>
        <w:fldChar w:fldCharType="end"/>
      </w:r>
    </w:p>
  </w:footnote>
  <w:footnote w:id="335">
    <w:p w14:paraId="5559A0D8" w14:textId="56A2DFA2"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w:t>
      </w:r>
      <w:r w:rsidRPr="007809F4">
        <w:rPr>
          <w:rFonts w:asciiTheme="minorHAnsi" w:hAnsiTheme="minorHAnsi" w:cstheme="minorHAnsi"/>
        </w:rPr>
        <w:t xml:space="preserve"> </w:t>
      </w:r>
      <w:r w:rsidRPr="007809F4">
        <w:rPr>
          <w:rFonts w:asciiTheme="minorHAnsi" w:hAnsiTheme="minorHAnsi" w:cstheme="minorHAnsi"/>
          <w:i/>
        </w:rPr>
        <w:t xml:space="preserve">v Gregory </w:t>
      </w:r>
      <w:r w:rsidRPr="007809F4">
        <w:rPr>
          <w:rFonts w:asciiTheme="minorHAnsi" w:hAnsiTheme="minorHAnsi" w:cstheme="minorHAnsi"/>
        </w:rPr>
        <w:t>(2011) 34 VR 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Gregory (2011) 34 VR 1" </w:instrText>
      </w:r>
      <w:r w:rsidRPr="00EB7F1E">
        <w:rPr>
          <w:rFonts w:asciiTheme="minorHAnsi" w:hAnsiTheme="minorHAnsi" w:cstheme="minorHAnsi"/>
        </w:rPr>
        <w:fldChar w:fldCharType="end"/>
      </w:r>
      <w:r w:rsidRPr="007809F4">
        <w:rPr>
          <w:rFonts w:asciiTheme="minorHAnsi" w:hAnsiTheme="minorHAnsi" w:cstheme="minorHAnsi"/>
        </w:rPr>
        <w:t>, [53].</w:t>
      </w:r>
    </w:p>
  </w:footnote>
  <w:footnote w:id="336">
    <w:p w14:paraId="6A7C59F4" w14:textId="45FD9E8E" w:rsidR="00D44BCF" w:rsidRPr="007809F4" w:rsidRDefault="00D44BCF">
      <w:pPr>
        <w:pStyle w:val="FootnoteText"/>
        <w:shd w:val="clear" w:color="auto" w:fill="FFFFFF" w:themeFill="background1"/>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Style w:val="verdana"/>
          <w:rFonts w:asciiTheme="minorHAnsi" w:hAnsiTheme="minorHAnsi" w:cstheme="minorHAnsi"/>
          <w:i/>
        </w:rPr>
        <w:t>R</w:t>
      </w:r>
      <w:r w:rsidRPr="007809F4">
        <w:rPr>
          <w:rStyle w:val="verdana"/>
          <w:rFonts w:asciiTheme="minorHAnsi" w:hAnsiTheme="minorHAnsi" w:cstheme="minorHAnsi"/>
        </w:rPr>
        <w:t xml:space="preserve"> v </w:t>
      </w:r>
      <w:r w:rsidRPr="007809F4">
        <w:rPr>
          <w:rStyle w:val="verdana"/>
          <w:rFonts w:asciiTheme="minorHAnsi" w:hAnsiTheme="minorHAnsi" w:cstheme="minorHAnsi"/>
          <w:i/>
        </w:rPr>
        <w:t>Whitnall</w:t>
      </w:r>
      <w:r w:rsidRPr="007809F4">
        <w:rPr>
          <w:rStyle w:val="verdana"/>
          <w:rFonts w:asciiTheme="minorHAnsi" w:hAnsiTheme="minorHAnsi" w:cstheme="minorHAnsi"/>
        </w:rPr>
        <w:t xml:space="preserve"> (1993) 42 FCR 512</w:t>
      </w:r>
      <w:r w:rsidRPr="00EB7F1E">
        <w:rPr>
          <w:rStyle w:val="verdana"/>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verdana"/>
          <w:rFonts w:asciiTheme="minorHAnsi" w:hAnsiTheme="minorHAnsi" w:cstheme="minorHAnsi"/>
          <w:i/>
        </w:rPr>
        <w:instrText>R</w:instrText>
      </w:r>
      <w:r w:rsidRPr="007809F4">
        <w:rPr>
          <w:rStyle w:val="verdana"/>
          <w:rFonts w:asciiTheme="minorHAnsi" w:hAnsiTheme="minorHAnsi" w:cstheme="minorHAnsi"/>
        </w:rPr>
        <w:instrText xml:space="preserve"> v </w:instrText>
      </w:r>
      <w:r w:rsidRPr="007809F4">
        <w:rPr>
          <w:rStyle w:val="verdana"/>
          <w:rFonts w:asciiTheme="minorHAnsi" w:hAnsiTheme="minorHAnsi" w:cstheme="minorHAnsi"/>
          <w:i/>
        </w:rPr>
        <w:instrText>Whitnall</w:instrText>
      </w:r>
      <w:r w:rsidRPr="007809F4">
        <w:rPr>
          <w:rStyle w:val="verdana"/>
          <w:rFonts w:asciiTheme="minorHAnsi" w:hAnsiTheme="minorHAnsi" w:cstheme="minorHAnsi"/>
        </w:rPr>
        <w:instrText xml:space="preserve"> (1993) 42 FCR 512</w:instrText>
      </w:r>
      <w:r w:rsidRPr="00EB7F1E">
        <w:rPr>
          <w:rFonts w:asciiTheme="minorHAnsi" w:hAnsiTheme="minorHAnsi" w:cstheme="minorHAnsi"/>
        </w:rPr>
        <w:instrText xml:space="preserve">" \s "R v Whitnall (1993) 42 FCR 512" \c 1 </w:instrText>
      </w:r>
      <w:r w:rsidRPr="00EB7F1E">
        <w:rPr>
          <w:rStyle w:val="verdana"/>
          <w:rFonts w:asciiTheme="minorHAnsi" w:hAnsiTheme="minorHAnsi" w:cstheme="minorHAnsi"/>
        </w:rPr>
        <w:fldChar w:fldCharType="end"/>
      </w:r>
      <w:r w:rsidRPr="007809F4">
        <w:rPr>
          <w:rStyle w:val="verdana"/>
          <w:rFonts w:asciiTheme="minorHAnsi" w:hAnsiTheme="minorHAnsi" w:cstheme="minorHAnsi"/>
        </w:rPr>
        <w:t xml:space="preserve">, 518-519; </w:t>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Nguyen</w:t>
      </w:r>
      <w:r w:rsidRPr="007809F4">
        <w:rPr>
          <w:rFonts w:asciiTheme="minorHAnsi" w:hAnsiTheme="minorHAnsi" w:cstheme="minorHAnsi"/>
        </w:rPr>
        <w:t xml:space="preserve"> [1997] 1 VR 386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w:instrText>
      </w:r>
      <w:r w:rsidRPr="007809F4">
        <w:rPr>
          <w:rFonts w:asciiTheme="minorHAnsi" w:hAnsiTheme="minorHAnsi" w:cstheme="minorHAnsi"/>
        </w:rPr>
        <w:instrText xml:space="preserve"> v </w:instrText>
      </w:r>
      <w:r w:rsidRPr="007809F4">
        <w:rPr>
          <w:rFonts w:asciiTheme="minorHAnsi" w:hAnsiTheme="minorHAnsi" w:cstheme="minorHAnsi"/>
          <w:i/>
        </w:rPr>
        <w:instrText>Nguyen</w:instrText>
      </w:r>
      <w:r w:rsidRPr="007809F4">
        <w:rPr>
          <w:rFonts w:asciiTheme="minorHAnsi" w:hAnsiTheme="minorHAnsi" w:cstheme="minorHAnsi"/>
        </w:rPr>
        <w:instrText xml:space="preserve"> [1997] 1 VR 386</w:instrText>
      </w:r>
      <w:r w:rsidRPr="00EB7F1E">
        <w:rPr>
          <w:rFonts w:asciiTheme="minorHAnsi" w:hAnsiTheme="minorHAnsi" w:cstheme="minorHAnsi"/>
        </w:rPr>
        <w:instrText xml:space="preserve">" \s "R v Nguyen [1997] 1 VR 386" \c 1 </w:instrText>
      </w:r>
      <w:r w:rsidRPr="00EB7F1E">
        <w:rPr>
          <w:rFonts w:asciiTheme="minorHAnsi" w:hAnsiTheme="minorHAnsi" w:cstheme="minorHAnsi"/>
        </w:rPr>
        <w:fldChar w:fldCharType="end"/>
      </w:r>
      <w:r w:rsidRPr="007809F4">
        <w:rPr>
          <w:rFonts w:asciiTheme="minorHAnsi" w:hAnsiTheme="minorHAnsi" w:cstheme="minorHAnsi"/>
        </w:rPr>
        <w:t xml:space="preserve">, 389; </w:t>
      </w:r>
      <w:r w:rsidRPr="007809F4">
        <w:rPr>
          <w:rStyle w:val="verdana"/>
          <w:rFonts w:asciiTheme="minorHAnsi" w:hAnsiTheme="minorHAnsi" w:cstheme="minorHAnsi"/>
          <w:i/>
        </w:rPr>
        <w:t>DPP (Cth)</w:t>
      </w:r>
      <w:r w:rsidRPr="007809F4">
        <w:rPr>
          <w:rStyle w:val="verdana"/>
          <w:rFonts w:asciiTheme="minorHAnsi" w:hAnsiTheme="minorHAnsi" w:cstheme="minorHAnsi"/>
        </w:rPr>
        <w:t xml:space="preserve"> v </w:t>
      </w:r>
      <w:r w:rsidRPr="007809F4">
        <w:rPr>
          <w:rStyle w:val="verdana"/>
          <w:rFonts w:asciiTheme="minorHAnsi" w:hAnsiTheme="minorHAnsi" w:cstheme="minorHAnsi"/>
          <w:i/>
        </w:rPr>
        <w:t>Carter</w:t>
      </w:r>
      <w:r w:rsidRPr="007809F4">
        <w:rPr>
          <w:rStyle w:val="verdana"/>
          <w:rFonts w:asciiTheme="minorHAnsi" w:hAnsiTheme="minorHAnsi" w:cstheme="minorHAnsi"/>
        </w:rPr>
        <w:t xml:space="preserve"> [1998] 1 VR 601</w:t>
      </w:r>
      <w:r w:rsidRPr="00EB7F1E">
        <w:rPr>
          <w:rStyle w:val="verdana"/>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verdana"/>
          <w:rFonts w:asciiTheme="minorHAnsi" w:hAnsiTheme="minorHAnsi" w:cstheme="minorHAnsi"/>
          <w:i/>
        </w:rPr>
        <w:instrText>DPP (Cth)</w:instrText>
      </w:r>
      <w:r w:rsidRPr="007809F4">
        <w:rPr>
          <w:rStyle w:val="verdana"/>
          <w:rFonts w:asciiTheme="minorHAnsi" w:hAnsiTheme="minorHAnsi" w:cstheme="minorHAnsi"/>
        </w:rPr>
        <w:instrText xml:space="preserve"> v </w:instrText>
      </w:r>
      <w:r w:rsidRPr="007809F4">
        <w:rPr>
          <w:rStyle w:val="verdana"/>
          <w:rFonts w:asciiTheme="minorHAnsi" w:hAnsiTheme="minorHAnsi" w:cstheme="minorHAnsi"/>
          <w:i/>
        </w:rPr>
        <w:instrText>Carter</w:instrText>
      </w:r>
      <w:r w:rsidRPr="007809F4">
        <w:rPr>
          <w:rStyle w:val="verdana"/>
          <w:rFonts w:asciiTheme="minorHAnsi" w:hAnsiTheme="minorHAnsi" w:cstheme="minorHAnsi"/>
        </w:rPr>
        <w:instrText xml:space="preserve"> [1998] 1 VR 601</w:instrText>
      </w:r>
      <w:r w:rsidRPr="00EB7F1E">
        <w:rPr>
          <w:rFonts w:asciiTheme="minorHAnsi" w:hAnsiTheme="minorHAnsi" w:cstheme="minorHAnsi"/>
        </w:rPr>
        <w:instrText xml:space="preserve">" \s "DPP (Cth) v Carter [1998] 1 VR 601" \c 1 </w:instrText>
      </w:r>
      <w:r w:rsidRPr="00EB7F1E">
        <w:rPr>
          <w:rStyle w:val="verdana"/>
          <w:rFonts w:asciiTheme="minorHAnsi" w:hAnsiTheme="minorHAnsi" w:cstheme="minorHAnsi"/>
        </w:rPr>
        <w:fldChar w:fldCharType="end"/>
      </w:r>
      <w:r w:rsidRPr="007809F4">
        <w:rPr>
          <w:rStyle w:val="verdana"/>
          <w:rFonts w:asciiTheme="minorHAnsi" w:hAnsiTheme="minorHAnsi" w:cstheme="minorHAnsi"/>
        </w:rPr>
        <w:t xml:space="preserve">; </w:t>
      </w:r>
      <w:r w:rsidRPr="007809F4">
        <w:rPr>
          <w:rFonts w:asciiTheme="minorHAnsi" w:hAnsiTheme="minorHAnsi" w:cstheme="minorHAnsi"/>
          <w:i/>
        </w:rPr>
        <w:t xml:space="preserve">R v Ruha; ex parte DPP (Cth) </w:t>
      </w:r>
      <w:r w:rsidRPr="007809F4">
        <w:rPr>
          <w:rFonts w:asciiTheme="minorHAnsi" w:hAnsiTheme="minorHAnsi" w:cstheme="minorHAnsi"/>
        </w:rPr>
        <w:t>[2011] 2 Qd R 456</w:t>
      </w:r>
      <w:r w:rsidRPr="00EB7F1E">
        <w:rPr>
          <w:rFonts w:asciiTheme="minorHAnsi" w:hAnsiTheme="minorHAnsi" w:cstheme="minorHAnsi"/>
        </w:rPr>
        <w:fldChar w:fldCharType="begin"/>
      </w:r>
      <w:r w:rsidRPr="007809F4">
        <w:rPr>
          <w:rFonts w:asciiTheme="minorHAnsi" w:hAnsiTheme="minorHAnsi" w:cstheme="minorHAnsi"/>
        </w:rPr>
        <w:instrText xml:space="preserve"> TA \s "R v Ruha; ex parte DPP (Cth) [2011] 2 Qd R 456" </w:instrText>
      </w:r>
      <w:r w:rsidRPr="00EB7F1E">
        <w:rPr>
          <w:rFonts w:asciiTheme="minorHAnsi" w:hAnsiTheme="minorHAnsi" w:cstheme="minorHAnsi"/>
        </w:rPr>
        <w:fldChar w:fldCharType="end"/>
      </w:r>
      <w:r w:rsidRPr="007809F4">
        <w:rPr>
          <w:rStyle w:val="verdana"/>
          <w:rFonts w:asciiTheme="minorHAnsi" w:hAnsiTheme="minorHAnsi" w:cstheme="minorHAnsi"/>
        </w:rPr>
        <w:t xml:space="preserve">, [45], cited with approval in </w:t>
      </w:r>
      <w:r w:rsidRPr="007809F4">
        <w:rPr>
          <w:rStyle w:val="verdana"/>
          <w:rFonts w:asciiTheme="minorHAnsi" w:hAnsiTheme="minorHAnsi" w:cstheme="minorHAnsi"/>
          <w:i/>
        </w:rPr>
        <w:t>Hili</w:t>
      </w:r>
      <w:r w:rsidRPr="007809F4">
        <w:rPr>
          <w:rStyle w:val="verdana"/>
          <w:rFonts w:asciiTheme="minorHAnsi" w:hAnsiTheme="minorHAnsi" w:cstheme="minorHAnsi"/>
        </w:rPr>
        <w:t xml:space="preserve"> v </w:t>
      </w:r>
      <w:r w:rsidRPr="007809F4">
        <w:rPr>
          <w:rStyle w:val="verdana"/>
          <w:rFonts w:asciiTheme="minorHAnsi" w:hAnsiTheme="minorHAnsi" w:cstheme="minorHAnsi"/>
          <w:i/>
        </w:rPr>
        <w:t>R</w:t>
      </w:r>
      <w:r w:rsidRPr="007809F4">
        <w:rPr>
          <w:rStyle w:val="verdana"/>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Style w:val="verdana"/>
          <w:rFonts w:asciiTheme="minorHAnsi" w:hAnsiTheme="minorHAnsi" w:cstheme="minorHAnsi"/>
        </w:rPr>
        <w:t xml:space="preserve">, [25], [41]; </w:t>
      </w:r>
      <w:r w:rsidRPr="007809F4">
        <w:rPr>
          <w:rFonts w:asciiTheme="minorHAnsi" w:hAnsiTheme="minorHAnsi" w:cstheme="minorHAnsi"/>
          <w:i/>
        </w:rPr>
        <w:t>DPP (Cth)</w:t>
      </w:r>
      <w:r w:rsidRPr="007809F4">
        <w:rPr>
          <w:rFonts w:asciiTheme="minorHAnsi" w:hAnsiTheme="minorHAnsi" w:cstheme="minorHAnsi"/>
        </w:rPr>
        <w:t xml:space="preserve"> v </w:t>
      </w:r>
      <w:r w:rsidRPr="007809F4">
        <w:rPr>
          <w:rFonts w:asciiTheme="minorHAnsi" w:hAnsiTheme="minorHAnsi" w:cstheme="minorHAnsi"/>
          <w:i/>
        </w:rPr>
        <w:t xml:space="preserve">Gregory </w:t>
      </w:r>
      <w:r w:rsidRPr="007809F4">
        <w:rPr>
          <w:rFonts w:asciiTheme="minorHAnsi" w:hAnsiTheme="minorHAnsi" w:cstheme="minorHAnsi"/>
        </w:rPr>
        <w:t>(2011) 34 VR 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Gregory (2011) 34 VR 1" </w:instrText>
      </w:r>
      <w:r w:rsidRPr="00EB7F1E">
        <w:rPr>
          <w:rFonts w:asciiTheme="minorHAnsi" w:hAnsiTheme="minorHAnsi" w:cstheme="minorHAnsi"/>
        </w:rPr>
        <w:fldChar w:fldCharType="end"/>
      </w:r>
      <w:r w:rsidRPr="007809F4">
        <w:rPr>
          <w:rFonts w:asciiTheme="minorHAnsi" w:hAnsiTheme="minorHAnsi" w:cstheme="minorHAnsi"/>
        </w:rPr>
        <w:t>, [66]</w:t>
      </w:r>
      <w:r w:rsidRPr="007809F4">
        <w:rPr>
          <w:rStyle w:val="verdana"/>
          <w:rFonts w:asciiTheme="minorHAnsi" w:hAnsiTheme="minorHAnsi" w:cstheme="minorHAnsi"/>
        </w:rPr>
        <w:t xml:space="preserve">.  Compare </w:t>
      </w:r>
      <w:r w:rsidRPr="007809F4">
        <w:rPr>
          <w:rStyle w:val="verdana"/>
          <w:rFonts w:asciiTheme="minorHAnsi" w:hAnsiTheme="minorHAnsi" w:cstheme="minorHAnsi"/>
          <w:i/>
        </w:rPr>
        <w:t>DPP</w:t>
      </w:r>
      <w:r w:rsidRPr="007809F4">
        <w:rPr>
          <w:rStyle w:val="verdana"/>
          <w:rFonts w:asciiTheme="minorHAnsi" w:hAnsiTheme="minorHAnsi" w:cstheme="minorHAnsi"/>
        </w:rPr>
        <w:t xml:space="preserve"> v </w:t>
      </w:r>
      <w:r w:rsidRPr="007809F4">
        <w:rPr>
          <w:rStyle w:val="verdana"/>
          <w:rFonts w:asciiTheme="minorHAnsi" w:hAnsiTheme="minorHAnsi" w:cstheme="minorHAnsi"/>
          <w:i/>
        </w:rPr>
        <w:t>Bulfin</w:t>
      </w:r>
      <w:r w:rsidRPr="007809F4">
        <w:rPr>
          <w:rStyle w:val="verdana"/>
          <w:rFonts w:asciiTheme="minorHAnsi" w:hAnsiTheme="minorHAnsi" w:cstheme="minorHAnsi"/>
        </w:rPr>
        <w:t xml:space="preserve"> [1998] 4 VR 114</w:t>
      </w:r>
      <w:r w:rsidRPr="00EB7F1E">
        <w:rPr>
          <w:rStyle w:val="verdana"/>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Style w:val="verdana"/>
          <w:rFonts w:asciiTheme="minorHAnsi" w:hAnsiTheme="minorHAnsi" w:cstheme="minorHAnsi"/>
          <w:i/>
        </w:rPr>
        <w:instrText>DPP</w:instrText>
      </w:r>
      <w:r w:rsidRPr="007809F4">
        <w:rPr>
          <w:rStyle w:val="verdana"/>
          <w:rFonts w:asciiTheme="minorHAnsi" w:hAnsiTheme="minorHAnsi" w:cstheme="minorHAnsi"/>
        </w:rPr>
        <w:instrText xml:space="preserve"> v </w:instrText>
      </w:r>
      <w:r w:rsidRPr="007809F4">
        <w:rPr>
          <w:rStyle w:val="verdana"/>
          <w:rFonts w:asciiTheme="minorHAnsi" w:hAnsiTheme="minorHAnsi" w:cstheme="minorHAnsi"/>
          <w:i/>
        </w:rPr>
        <w:instrText>Bulfin</w:instrText>
      </w:r>
      <w:r w:rsidRPr="007809F4">
        <w:rPr>
          <w:rStyle w:val="verdana"/>
          <w:rFonts w:asciiTheme="minorHAnsi" w:hAnsiTheme="minorHAnsi" w:cstheme="minorHAnsi"/>
        </w:rPr>
        <w:instrText xml:space="preserve"> [1998] 4 VR 114</w:instrText>
      </w:r>
      <w:r w:rsidRPr="00EB7F1E">
        <w:rPr>
          <w:rFonts w:asciiTheme="minorHAnsi" w:hAnsiTheme="minorHAnsi" w:cstheme="minorHAnsi"/>
        </w:rPr>
        <w:instrText xml:space="preserve">" \s "DPP v Bulfin [1998] 4 VR 114" \c 1 </w:instrText>
      </w:r>
      <w:r w:rsidRPr="00EB7F1E">
        <w:rPr>
          <w:rStyle w:val="verdana"/>
          <w:rFonts w:asciiTheme="minorHAnsi" w:hAnsiTheme="minorHAnsi" w:cstheme="minorHAnsi"/>
        </w:rPr>
        <w:fldChar w:fldCharType="end"/>
      </w:r>
      <w:r w:rsidRPr="007809F4">
        <w:rPr>
          <w:rStyle w:val="verdana"/>
          <w:rFonts w:asciiTheme="minorHAnsi" w:hAnsiTheme="minorHAnsi" w:cstheme="minorHAnsi"/>
        </w:rPr>
        <w:t>, 131-132.</w:t>
      </w:r>
    </w:p>
  </w:footnote>
  <w:footnote w:id="337">
    <w:p w14:paraId="3F93DD87" w14:textId="50E4BBC5" w:rsidR="00D44BCF" w:rsidRPr="007809F4" w:rsidRDefault="00D44BCF">
      <w:pPr>
        <w:pStyle w:val="FootnoteText"/>
        <w:shd w:val="clear" w:color="auto" w:fill="FFFFFF" w:themeFill="background1"/>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Muldrock v R </w:t>
      </w:r>
      <w:r w:rsidRPr="007809F4">
        <w:rPr>
          <w:rFonts w:asciiTheme="minorHAnsi" w:hAnsiTheme="minorHAnsi" w:cstheme="minorHAnsi"/>
        </w:rPr>
        <w:t>(2011) 244 CLR 120</w:t>
      </w:r>
      <w:r w:rsidRPr="00EB7F1E">
        <w:rPr>
          <w:rFonts w:asciiTheme="minorHAnsi" w:hAnsiTheme="minorHAnsi" w:cstheme="minorHAnsi"/>
        </w:rPr>
        <w:fldChar w:fldCharType="begin"/>
      </w:r>
      <w:r w:rsidRPr="00EB7F1E">
        <w:rPr>
          <w:rFonts w:asciiTheme="minorHAnsi" w:hAnsiTheme="minorHAnsi" w:cstheme="minorHAnsi"/>
        </w:rPr>
        <w:instrText xml:space="preserve"> TA \s "Muldrock v R (2011) 244 CLR 120" </w:instrText>
      </w:r>
      <w:r w:rsidRPr="00EB7F1E">
        <w:rPr>
          <w:rFonts w:asciiTheme="minorHAnsi" w:hAnsiTheme="minorHAnsi" w:cstheme="minorHAnsi"/>
        </w:rPr>
        <w:fldChar w:fldCharType="end"/>
      </w:r>
      <w:r w:rsidRPr="007809F4">
        <w:rPr>
          <w:rFonts w:asciiTheme="minorHAnsi" w:hAnsiTheme="minorHAnsi" w:cstheme="minorHAnsi"/>
        </w:rPr>
        <w:t xml:space="preserve">, [53]-[54]; </w:t>
      </w:r>
      <w:r w:rsidRPr="007809F4">
        <w:rPr>
          <w:rFonts w:asciiTheme="minorHAnsi" w:hAnsiTheme="minorHAnsi" w:cstheme="minorHAnsi"/>
          <w:i/>
        </w:rPr>
        <w:t xml:space="preserve">Naysmith v R </w:t>
      </w:r>
      <w:r w:rsidRPr="007809F4">
        <w:rPr>
          <w:rFonts w:asciiTheme="minorHAnsi" w:hAnsiTheme="minorHAnsi" w:cstheme="minorHAnsi"/>
        </w:rPr>
        <w:t>[2013] WASCA 32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Naysmith v R</w:instrText>
      </w:r>
      <w:r w:rsidRPr="007809F4">
        <w:rPr>
          <w:rFonts w:asciiTheme="minorHAnsi" w:hAnsiTheme="minorHAnsi" w:cstheme="minorHAnsi"/>
        </w:rPr>
        <w:instrText xml:space="preserve"> [2013] WASCA 32" \s "Naysmith v R [2013] WASCA 32"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"Naysmith v R [2013] WASCA 32"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DPP v Sokaluk</w:t>
      </w:r>
      <w:r w:rsidRPr="00EB7F1E">
        <w:rPr>
          <w:rFonts w:asciiTheme="minorHAnsi" w:hAnsiTheme="minorHAnsi" w:cstheme="minorHAnsi"/>
          <w:iCs/>
        </w:rPr>
        <w:t xml:space="preserve"> [2013] VSCA 48</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Sokaluk</w:instrText>
      </w:r>
      <w:r w:rsidRPr="00EB7F1E">
        <w:rPr>
          <w:rFonts w:asciiTheme="minorHAnsi" w:hAnsiTheme="minorHAnsi" w:cstheme="minorHAnsi"/>
          <w:iCs/>
        </w:rPr>
        <w:instrText xml:space="preserve"> [2013] VSCA 48</w:instrText>
      </w:r>
      <w:r w:rsidRPr="00EB7F1E">
        <w:rPr>
          <w:rFonts w:asciiTheme="minorHAnsi" w:hAnsiTheme="minorHAnsi" w:cstheme="minorHAnsi"/>
        </w:rPr>
        <w:instrText xml:space="preserve">" \s "DPP v Sokaluk [2013] VSCA 48" \c 1 </w:instrText>
      </w:r>
      <w:r w:rsidRPr="00EB7F1E">
        <w:rPr>
          <w:rFonts w:asciiTheme="minorHAnsi" w:hAnsiTheme="minorHAnsi" w:cstheme="minorHAnsi"/>
          <w:iCs/>
        </w:rPr>
        <w:fldChar w:fldCharType="end"/>
      </w:r>
      <w:r w:rsidRPr="007809F4">
        <w:rPr>
          <w:rFonts w:asciiTheme="minorHAnsi" w:hAnsiTheme="minorHAnsi" w:cstheme="minorHAnsi"/>
        </w:rPr>
        <w:t>.</w:t>
      </w:r>
    </w:p>
  </w:footnote>
  <w:footnote w:id="338">
    <w:p w14:paraId="6C735100" w14:textId="1D4BEE11" w:rsidR="00D44BCF" w:rsidRPr="007809F4" w:rsidRDefault="00D44BCF">
      <w:pPr>
        <w:pStyle w:val="FootnoteText"/>
        <w:shd w:val="clear" w:color="auto" w:fill="FFFFFF" w:themeFill="background1"/>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That is, because the offender’s youth is recognised as diminishing the offender’s moral culpability (</w:t>
      </w:r>
      <w:r w:rsidRPr="007809F4">
        <w:rPr>
          <w:rFonts w:asciiTheme="minorHAnsi" w:hAnsiTheme="minorHAnsi" w:cstheme="minorHAnsi"/>
          <w:i/>
        </w:rPr>
        <w:t>DPP v SJK</w:t>
      </w:r>
      <w:r w:rsidRPr="007809F4">
        <w:rPr>
          <w:rFonts w:asciiTheme="minorHAnsi" w:hAnsiTheme="minorHAnsi" w:cstheme="minorHAnsi"/>
        </w:rPr>
        <w:t xml:space="preserve"> [2002] VSCA 131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SJK</w:instrText>
      </w:r>
      <w:r w:rsidRPr="007809F4">
        <w:rPr>
          <w:rFonts w:asciiTheme="minorHAnsi" w:hAnsiTheme="minorHAnsi" w:cstheme="minorHAnsi"/>
        </w:rPr>
        <w:instrText xml:space="preserve"> [2002] VSCA 131</w:instrText>
      </w:r>
      <w:r w:rsidRPr="00EB7F1E">
        <w:rPr>
          <w:rFonts w:asciiTheme="minorHAnsi" w:hAnsiTheme="minorHAnsi" w:cstheme="minorHAnsi"/>
        </w:rPr>
        <w:instrText xml:space="preserve">" \s "DPP v SJK [2002] VSCA 131" \c 1 </w:instrText>
      </w:r>
      <w:r w:rsidRPr="00EB7F1E">
        <w:rPr>
          <w:rFonts w:asciiTheme="minorHAnsi" w:hAnsiTheme="minorHAnsi" w:cstheme="minorHAnsi"/>
        </w:rPr>
        <w:fldChar w:fldCharType="end"/>
      </w:r>
      <w:r w:rsidRPr="007809F4">
        <w:rPr>
          <w:rFonts w:asciiTheme="minorHAnsi" w:hAnsiTheme="minorHAnsi" w:cstheme="minorHAnsi"/>
        </w:rPr>
        <w:t>, [61]) and because the rehabilitation of young offenders is of substantial, if not primary, importance, not only in the interests of the offender, but also in the interests of the community (</w:t>
      </w:r>
      <w:r w:rsidRPr="007809F4">
        <w:rPr>
          <w:rFonts w:asciiTheme="minorHAnsi" w:hAnsiTheme="minorHAnsi" w:cstheme="minorHAnsi"/>
          <w:i/>
        </w:rPr>
        <w:t>R v Mills</w:t>
      </w:r>
      <w:r w:rsidRPr="007809F4">
        <w:rPr>
          <w:rFonts w:asciiTheme="minorHAnsi" w:hAnsiTheme="minorHAnsi" w:cstheme="minorHAnsi"/>
        </w:rPr>
        <w:t xml:space="preserve"> [1998] 4 VR 235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Mills</w:instrText>
      </w:r>
      <w:r w:rsidRPr="007809F4">
        <w:rPr>
          <w:rFonts w:asciiTheme="minorHAnsi" w:hAnsiTheme="minorHAnsi" w:cstheme="minorHAnsi"/>
        </w:rPr>
        <w:instrText xml:space="preserve"> [1998] 4 VR 235</w:instrText>
      </w:r>
      <w:r w:rsidRPr="00EB7F1E">
        <w:rPr>
          <w:rFonts w:asciiTheme="minorHAnsi" w:hAnsiTheme="minorHAnsi" w:cstheme="minorHAnsi"/>
        </w:rPr>
        <w:instrText xml:space="preserve">" \s "R v Mills [1998] 4 VR 235" \c 1 </w:instrText>
      </w:r>
      <w:r w:rsidRPr="00EB7F1E">
        <w:rPr>
          <w:rFonts w:asciiTheme="minorHAnsi" w:hAnsiTheme="minorHAnsi" w:cstheme="minorHAnsi"/>
        </w:rPr>
        <w:fldChar w:fldCharType="end"/>
      </w:r>
      <w:r w:rsidRPr="007809F4">
        <w:rPr>
          <w:rFonts w:asciiTheme="minorHAnsi" w:hAnsiTheme="minorHAnsi" w:cstheme="minorHAnsi"/>
        </w:rPr>
        <w:t>, 241).</w:t>
      </w:r>
    </w:p>
  </w:footnote>
  <w:footnote w:id="339">
    <w:p w14:paraId="4DEC962F" w14:textId="33A7BDDA" w:rsidR="00D44BCF" w:rsidRPr="007809F4" w:rsidRDefault="00D44BCF">
      <w:pPr>
        <w:pStyle w:val="FootnoteText"/>
        <w:shd w:val="clear" w:color="auto" w:fill="FFFFFF" w:themeFill="background1"/>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xml:space="preserve">, [56]-[60], [65]-[67]. [73];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[115]-[116].</w:t>
      </w:r>
    </w:p>
  </w:footnote>
  <w:footnote w:id="340">
    <w:p w14:paraId="04A2214B" w14:textId="75C4BB62" w:rsidR="00D44BCF" w:rsidRPr="007809F4" w:rsidRDefault="00D44BCF">
      <w:pPr>
        <w:pStyle w:val="FootnoteText"/>
        <w:shd w:val="clear" w:color="auto" w:fill="FFFFFF" w:themeFill="background1"/>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[116]. See also</w:t>
      </w:r>
      <w:r w:rsidRPr="007809F4">
        <w:rPr>
          <w:rFonts w:asciiTheme="minorHAnsi" w:hAnsiTheme="minorHAnsi" w:cstheme="minorHAnsi"/>
          <w:i/>
        </w:rPr>
        <w:t xml:space="preserve"> 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[56]-[60], [65]-[67], [73].</w:t>
      </w:r>
    </w:p>
  </w:footnote>
  <w:footnote w:id="341">
    <w:p w14:paraId="41B2DBF5" w14:textId="7341CD4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Smith v Elliot</w:t>
      </w:r>
      <w:r w:rsidRPr="007809F4">
        <w:rPr>
          <w:rFonts w:asciiTheme="minorHAnsi" w:hAnsiTheme="minorHAnsi" w:cstheme="minorHAnsi"/>
        </w:rPr>
        <w:t xml:space="preserve"> [2007] ACTSC 65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Smith v Elliot</w:instrText>
      </w:r>
      <w:r w:rsidRPr="007809F4">
        <w:rPr>
          <w:rFonts w:asciiTheme="minorHAnsi" w:hAnsiTheme="minorHAnsi" w:cstheme="minorHAnsi"/>
        </w:rPr>
        <w:instrText xml:space="preserve"> [2007] ACTSC 65</w:instrText>
      </w:r>
      <w:r w:rsidRPr="00EB7F1E">
        <w:rPr>
          <w:rFonts w:asciiTheme="minorHAnsi" w:hAnsiTheme="minorHAnsi" w:cstheme="minorHAnsi"/>
        </w:rPr>
        <w:instrText xml:space="preserve">" \s "Smith v Elliot [2007] ACTSC 65" \c 1 </w:instrText>
      </w:r>
      <w:r w:rsidRPr="00EB7F1E">
        <w:rPr>
          <w:rFonts w:asciiTheme="minorHAnsi" w:hAnsiTheme="minorHAnsi" w:cstheme="minorHAnsi"/>
        </w:rPr>
        <w:fldChar w:fldCharType="end"/>
      </w:r>
      <w:r w:rsidRPr="007809F4">
        <w:rPr>
          <w:rFonts w:asciiTheme="minorHAnsi" w:hAnsiTheme="minorHAnsi" w:cstheme="minorHAnsi"/>
        </w:rPr>
        <w:t>, [11].</w:t>
      </w:r>
    </w:p>
  </w:footnote>
  <w:footnote w:id="342">
    <w:p w14:paraId="68BF68D4" w14:textId="1FD319B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Ryan v R</w:t>
      </w:r>
      <w:r w:rsidRPr="007809F4">
        <w:rPr>
          <w:rFonts w:asciiTheme="minorHAnsi" w:hAnsiTheme="minorHAnsi" w:cstheme="minorHAnsi"/>
        </w:rPr>
        <w:t xml:space="preserve"> (2001) 206 CLR 267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Ryan v R</w:instrText>
      </w:r>
      <w:r w:rsidRPr="007809F4">
        <w:rPr>
          <w:rFonts w:asciiTheme="minorHAnsi" w:hAnsiTheme="minorHAnsi" w:cstheme="minorHAnsi"/>
        </w:rPr>
        <w:instrText xml:space="preserve"> (2001) 206 CLR 267" \s "Ryan v R (2001) 206 CLR 267"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"Ryan v R (2001) 206 CLR 267"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43">
    <w:p w14:paraId="3FDD1669" w14:textId="67EE4D8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Ryan v R</w:t>
      </w:r>
      <w:r w:rsidRPr="007809F4">
        <w:rPr>
          <w:rFonts w:asciiTheme="minorHAnsi" w:hAnsiTheme="minorHAnsi" w:cstheme="minorHAnsi"/>
        </w:rPr>
        <w:t xml:space="preserve"> (2001) 206 CLR 267</w:t>
      </w:r>
      <w:r w:rsidRPr="00EB7F1E">
        <w:rPr>
          <w:rFonts w:asciiTheme="minorHAnsi" w:hAnsiTheme="minorHAnsi" w:cstheme="minorHAnsi"/>
        </w:rPr>
        <w:fldChar w:fldCharType="begin"/>
      </w:r>
      <w:r w:rsidRPr="007809F4">
        <w:rPr>
          <w:rFonts w:asciiTheme="minorHAnsi" w:hAnsiTheme="minorHAnsi" w:cstheme="minorHAnsi"/>
        </w:rPr>
        <w:instrText xml:space="preserve"> TA " \s "Ryan v R (2001) 206 CLR 267"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"Ryan v R (2001) 206 CLR 267" </w:instrText>
      </w:r>
      <w:r w:rsidRPr="00EB7F1E">
        <w:rPr>
          <w:rFonts w:asciiTheme="minorHAnsi" w:hAnsiTheme="minorHAnsi" w:cstheme="minorHAnsi"/>
        </w:rPr>
        <w:fldChar w:fldCharType="end"/>
      </w:r>
      <w:r w:rsidRPr="007809F4">
        <w:rPr>
          <w:rFonts w:asciiTheme="minorHAnsi" w:hAnsiTheme="minorHAnsi" w:cstheme="minorHAnsi"/>
        </w:rPr>
        <w:t xml:space="preserve"> (McHugh, Kirby and Callinan JJ; Gummow and Hayne JJ contra). See also </w:t>
      </w:r>
      <w:r w:rsidRPr="007809F4">
        <w:rPr>
          <w:rFonts w:asciiTheme="minorHAnsi" w:hAnsiTheme="minorHAnsi" w:cstheme="minorHAnsi"/>
          <w:i/>
        </w:rPr>
        <w:t xml:space="preserve">Wakim v R </w:t>
      </w:r>
      <w:r w:rsidRPr="007809F4">
        <w:rPr>
          <w:rFonts w:asciiTheme="minorHAnsi" w:hAnsiTheme="minorHAnsi" w:cstheme="minorHAnsi"/>
        </w:rPr>
        <w:t>[2016] VSCA 301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Wakim v R </w:instrText>
      </w:r>
      <w:r w:rsidRPr="007809F4">
        <w:rPr>
          <w:rFonts w:asciiTheme="minorHAnsi" w:hAnsiTheme="minorHAnsi" w:cstheme="minorHAnsi"/>
        </w:rPr>
        <w:instrText xml:space="preserve">[2016] VSCA 301" \s "Wakim v R [2016] VSCA 301"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44">
    <w:p w14:paraId="43C85AD8" w14:textId="6634765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Elomar v R</w:t>
      </w:r>
      <w:r w:rsidRPr="00EB7F1E">
        <w:rPr>
          <w:rFonts w:asciiTheme="minorHAnsi" w:hAnsiTheme="minorHAnsi" w:cstheme="minorHAnsi"/>
        </w:rPr>
        <w:t xml:space="preserve"> [2018] NSWCCA 224</w:t>
      </w:r>
      <w:r w:rsidRPr="00EB7F1E">
        <w:rPr>
          <w:rFonts w:asciiTheme="minorHAnsi" w:hAnsiTheme="minorHAnsi" w:cstheme="minorHAnsi"/>
        </w:rPr>
        <w:fldChar w:fldCharType="begin"/>
      </w:r>
      <w:r w:rsidRPr="007809F4">
        <w:rPr>
          <w:rFonts w:asciiTheme="minorHAnsi" w:hAnsiTheme="minorHAnsi" w:cstheme="minorHAnsi"/>
        </w:rPr>
        <w:instrText xml:space="preserve"> TA \s "Elomar v R [2018] NSWCCA 224" </w:instrText>
      </w:r>
      <w:r w:rsidRPr="00EB7F1E">
        <w:rPr>
          <w:rFonts w:asciiTheme="minorHAnsi" w:hAnsiTheme="minorHAnsi" w:cstheme="minorHAnsi"/>
        </w:rPr>
        <w:fldChar w:fldCharType="end"/>
      </w:r>
      <w:r w:rsidRPr="00EB7F1E">
        <w:rPr>
          <w:rFonts w:asciiTheme="minorHAnsi" w:hAnsiTheme="minorHAnsi" w:cstheme="minorHAnsi"/>
        </w:rPr>
        <w:t>, [116].</w:t>
      </w:r>
    </w:p>
  </w:footnote>
  <w:footnote w:id="345">
    <w:p w14:paraId="6C9B690C" w14:textId="7F6C6FC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R v Pishdari</w:t>
      </w:r>
      <w:r w:rsidRPr="00EB7F1E">
        <w:rPr>
          <w:rFonts w:asciiTheme="minorHAnsi" w:hAnsiTheme="minorHAnsi" w:cstheme="minorHAnsi"/>
        </w:rPr>
        <w:t xml:space="preserve"> [2018] SASCFC 94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Pishdari</w:instrText>
      </w:r>
      <w:r w:rsidRPr="00EB7F1E">
        <w:rPr>
          <w:rFonts w:asciiTheme="minorHAnsi" w:hAnsiTheme="minorHAnsi" w:cstheme="minorHAnsi"/>
        </w:rPr>
        <w:instrText xml:space="preserve"> [2018] SASCFC 94" \s "R v Pishdari [2018] SASCFC 94" \c 1 </w:instrText>
      </w:r>
      <w:r w:rsidRPr="00EB7F1E">
        <w:rPr>
          <w:rFonts w:asciiTheme="minorHAnsi" w:hAnsiTheme="minorHAnsi" w:cstheme="minorHAnsi"/>
        </w:rPr>
        <w:fldChar w:fldCharType="end"/>
      </w:r>
      <w:r w:rsidRPr="007809F4">
        <w:rPr>
          <w:rFonts w:asciiTheme="minorHAnsi" w:hAnsiTheme="minorHAnsi" w:cstheme="minorHAnsi"/>
        </w:rPr>
        <w:t>, [23]-[24] (Nicholson J, Kourakis CJ agreeing).</w:t>
      </w:r>
    </w:p>
  </w:footnote>
  <w:footnote w:id="346">
    <w:p w14:paraId="6360E5FA" w14:textId="44379D1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R v Leroy</w:t>
      </w:r>
      <w:r w:rsidRPr="007809F4">
        <w:rPr>
          <w:rFonts w:asciiTheme="minorHAnsi" w:hAnsiTheme="minorHAnsi" w:cstheme="minorHAnsi"/>
        </w:rPr>
        <w:t xml:space="preserve"> (1984) 2 NSWLR 441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Leroy</w:instrText>
      </w:r>
      <w:r w:rsidRPr="007809F4">
        <w:rPr>
          <w:rFonts w:asciiTheme="minorHAnsi" w:hAnsiTheme="minorHAnsi" w:cstheme="minorHAnsi"/>
        </w:rPr>
        <w:instrText xml:space="preserve"> (1984) 2 NSWLR 441" \s "R v Leroy (1984) 2 NSWLR 441"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Leroy (1984) 2 NSWLR 441" </w:instrText>
      </w:r>
      <w:r w:rsidRPr="00EB7F1E">
        <w:rPr>
          <w:rFonts w:asciiTheme="minorHAnsi" w:hAnsiTheme="minorHAnsi" w:cstheme="minorHAnsi"/>
        </w:rPr>
        <w:fldChar w:fldCharType="end"/>
      </w:r>
      <w:r w:rsidRPr="007809F4">
        <w:rPr>
          <w:rFonts w:asciiTheme="minorHAnsi" w:hAnsiTheme="minorHAnsi" w:cstheme="minorHAnsi"/>
        </w:rPr>
        <w:t xml:space="preserve">, 446 (Street CJ) on the basis that drug couriers are often selected because their past is not likely to attract suspicion.  See also </w:t>
      </w:r>
      <w:r w:rsidRPr="007809F4">
        <w:rPr>
          <w:rFonts w:asciiTheme="minorHAnsi" w:hAnsiTheme="minorHAnsi" w:cstheme="minorHAnsi"/>
          <w:i/>
        </w:rPr>
        <w:t>R v Fraser</w:t>
      </w:r>
      <w:r w:rsidRPr="007809F4">
        <w:rPr>
          <w:rFonts w:asciiTheme="minorHAnsi" w:hAnsiTheme="minorHAnsi" w:cstheme="minorHAnsi"/>
        </w:rPr>
        <w:t xml:space="preserve"> [2004] VSCA 147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Fraser</w:instrText>
      </w:r>
      <w:r w:rsidRPr="007809F4">
        <w:rPr>
          <w:rFonts w:asciiTheme="minorHAnsi" w:hAnsiTheme="minorHAnsi" w:cstheme="minorHAnsi"/>
        </w:rPr>
        <w:instrText xml:space="preserve"> [2004] VSCA 147" \s "R v Fraser [2004] VSCA 147" \c 1 </w:instrText>
      </w:r>
      <w:r w:rsidRPr="00EB7F1E">
        <w:rPr>
          <w:rFonts w:asciiTheme="minorHAnsi" w:hAnsiTheme="minorHAnsi" w:cstheme="minorHAnsi"/>
        </w:rPr>
        <w:fldChar w:fldCharType="end"/>
      </w:r>
      <w:r w:rsidRPr="007809F4">
        <w:rPr>
          <w:rFonts w:asciiTheme="minorHAnsi" w:hAnsiTheme="minorHAnsi" w:cstheme="minorHAnsi"/>
        </w:rPr>
        <w:t xml:space="preserve">, [31]; </w:t>
      </w:r>
      <w:r w:rsidRPr="007809F4">
        <w:rPr>
          <w:rFonts w:asciiTheme="minorHAnsi" w:hAnsiTheme="minorHAnsi" w:cstheme="minorHAnsi"/>
          <w:bCs/>
          <w:i/>
        </w:rPr>
        <w:t>R v Ceissman</w:t>
      </w:r>
      <w:r w:rsidRPr="007809F4">
        <w:rPr>
          <w:rFonts w:asciiTheme="minorHAnsi" w:hAnsiTheme="minorHAnsi" w:cstheme="minorHAnsi"/>
          <w:bCs/>
        </w:rPr>
        <w:t xml:space="preserve"> [2001] NSWCCA 73</w:t>
      </w:r>
      <w:r w:rsidRPr="00EB7F1E">
        <w:rPr>
          <w:rFonts w:asciiTheme="minorHAnsi" w:hAnsiTheme="minorHAnsi" w:cstheme="minorHAnsi"/>
          <w:bCs/>
        </w:rPr>
        <w:fldChar w:fldCharType="begin"/>
      </w:r>
      <w:r w:rsidRPr="007809F4">
        <w:rPr>
          <w:rFonts w:asciiTheme="minorHAnsi" w:hAnsiTheme="minorHAnsi" w:cstheme="minorHAnsi"/>
          <w:bCs/>
        </w:rPr>
        <w:instrText xml:space="preserve"> TA \s "R v Ceissman [2001] NSWCCA 73" </w:instrText>
      </w:r>
      <w:r w:rsidRPr="00EB7F1E">
        <w:rPr>
          <w:rFonts w:asciiTheme="minorHAnsi" w:hAnsiTheme="minorHAnsi" w:cstheme="minorHAnsi"/>
          <w:bCs/>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Ceissman (2001) 119 A Crim R 535"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Barrientos</w:t>
      </w:r>
      <w:r w:rsidRPr="007809F4">
        <w:rPr>
          <w:rFonts w:asciiTheme="minorHAnsi" w:hAnsiTheme="minorHAnsi" w:cstheme="minorHAnsi"/>
          <w:b/>
          <w:i/>
        </w:rPr>
        <w:t xml:space="preserve"> </w:t>
      </w:r>
      <w:r w:rsidRPr="007809F4">
        <w:rPr>
          <w:rFonts w:asciiTheme="minorHAnsi" w:hAnsiTheme="minorHAnsi" w:cstheme="minorHAnsi"/>
        </w:rPr>
        <w:t>[1999] NSWCCA 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Barrientos</w:instrText>
      </w:r>
      <w:r w:rsidRPr="007809F4">
        <w:rPr>
          <w:rFonts w:asciiTheme="minorHAnsi" w:hAnsiTheme="minorHAnsi" w:cstheme="minorHAnsi"/>
          <w:b/>
          <w:i/>
          <w:u w:val="single"/>
        </w:rPr>
        <w:instrText xml:space="preserve"> </w:instrText>
      </w:r>
      <w:r w:rsidRPr="007809F4">
        <w:rPr>
          <w:rFonts w:asciiTheme="minorHAnsi" w:hAnsiTheme="minorHAnsi" w:cstheme="minorHAnsi"/>
        </w:rPr>
        <w:instrText xml:space="preserve">[1999] NSWCCA 1" \s "R v Barrientos [1999] NSWCCA 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Sukkar v R (No.2)</w:t>
      </w:r>
      <w:r w:rsidRPr="007809F4">
        <w:rPr>
          <w:rFonts w:asciiTheme="minorHAnsi" w:hAnsiTheme="minorHAnsi" w:cstheme="minorHAnsi"/>
          <w:b/>
          <w:i/>
        </w:rPr>
        <w:t xml:space="preserve"> </w:t>
      </w:r>
      <w:r w:rsidRPr="007809F4">
        <w:rPr>
          <w:rFonts w:asciiTheme="minorHAnsi" w:hAnsiTheme="minorHAnsi" w:cstheme="minorHAnsi"/>
        </w:rPr>
        <w:t>[2008] WASCA 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Sukkar v R (No.2)</w:instrText>
      </w:r>
      <w:r w:rsidRPr="007809F4">
        <w:rPr>
          <w:rFonts w:asciiTheme="minorHAnsi" w:hAnsiTheme="minorHAnsi" w:cstheme="minorHAnsi"/>
          <w:b/>
          <w:i/>
        </w:rPr>
        <w:instrText xml:space="preserve"> </w:instrText>
      </w:r>
      <w:r w:rsidRPr="007809F4">
        <w:rPr>
          <w:rFonts w:asciiTheme="minorHAnsi" w:hAnsiTheme="minorHAnsi" w:cstheme="minorHAnsi"/>
        </w:rPr>
        <w:instrText xml:space="preserve">[2008] WASCA 2" \s "Sukkar v R (No.2) [2008] WASCA 2"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47">
    <w:p w14:paraId="7A841C58" w14:textId="67CDB61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Gajjar</w:t>
      </w:r>
      <w:r w:rsidRPr="007809F4">
        <w:rPr>
          <w:rFonts w:asciiTheme="minorHAnsi" w:hAnsiTheme="minorHAnsi" w:cstheme="minorHAnsi"/>
        </w:rPr>
        <w:t xml:space="preserve"> [2008] VSCA 268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Gajjar</w:instrText>
      </w:r>
      <w:r w:rsidRPr="007809F4">
        <w:rPr>
          <w:rFonts w:asciiTheme="minorHAnsi" w:hAnsiTheme="minorHAnsi" w:cstheme="minorHAnsi"/>
        </w:rPr>
        <w:instrText xml:space="preserve"> [2008] VSCA 268" \s "R v Gajjar [2008] VSCA 268" \c 1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348">
    <w:p w14:paraId="39405FD8" w14:textId="7FA55FB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Gent</w:t>
      </w:r>
      <w:r w:rsidRPr="007809F4">
        <w:rPr>
          <w:rFonts w:asciiTheme="minorHAnsi" w:hAnsiTheme="minorHAnsi" w:cstheme="minorHAnsi"/>
        </w:rPr>
        <w:t xml:space="preserve"> [2005] NSWCCA 370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Gent</w:instrText>
      </w:r>
      <w:r w:rsidRPr="007809F4">
        <w:rPr>
          <w:rFonts w:asciiTheme="minorHAnsi" w:hAnsiTheme="minorHAnsi" w:cstheme="minorHAnsi"/>
        </w:rPr>
        <w:instrText xml:space="preserve"> [2005] NSWCCA 370" \s "R v Gent [2005] NSWCCA 370"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Gent (2005) 162 A Crim R 29" </w:instrText>
      </w:r>
      <w:r w:rsidRPr="00EB7F1E">
        <w:rPr>
          <w:rFonts w:asciiTheme="minorHAnsi" w:hAnsiTheme="minorHAnsi" w:cstheme="minorHAnsi"/>
        </w:rPr>
        <w:fldChar w:fldCharType="end"/>
      </w:r>
      <w:r w:rsidRPr="007809F4">
        <w:rPr>
          <w:rFonts w:asciiTheme="minorHAnsi" w:hAnsiTheme="minorHAnsi" w:cstheme="minorHAnsi"/>
        </w:rPr>
        <w:t>, [65]-[66].</w:t>
      </w:r>
    </w:p>
  </w:footnote>
  <w:footnote w:id="349">
    <w:p w14:paraId="5CC7D7DF" w14:textId="0129307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Hermann</w:t>
      </w:r>
      <w:r w:rsidRPr="007809F4">
        <w:rPr>
          <w:rFonts w:asciiTheme="minorHAnsi" w:hAnsiTheme="minorHAnsi" w:cstheme="minorHAnsi"/>
        </w:rPr>
        <w:t xml:space="preserve"> (1988) 37 A Crim R 440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Hermann</w:instrText>
      </w:r>
      <w:r w:rsidRPr="007809F4">
        <w:rPr>
          <w:rFonts w:asciiTheme="minorHAnsi" w:hAnsiTheme="minorHAnsi" w:cstheme="minorHAnsi"/>
        </w:rPr>
        <w:instrText xml:space="preserve"> (1988) 37 A Crim R 440</w:instrText>
      </w:r>
      <w:r w:rsidRPr="00EB7F1E">
        <w:rPr>
          <w:rFonts w:asciiTheme="minorHAnsi" w:hAnsiTheme="minorHAnsi" w:cstheme="minorHAnsi"/>
        </w:rPr>
        <w:instrText xml:space="preserve">" \s "R v Hermann (1988) 37 A Crim R 440" \c 1 </w:instrText>
      </w:r>
      <w:r w:rsidRPr="00EB7F1E">
        <w:rPr>
          <w:rFonts w:asciiTheme="minorHAnsi" w:hAnsiTheme="minorHAnsi" w:cstheme="minorHAnsi"/>
        </w:rPr>
        <w:fldChar w:fldCharType="end"/>
      </w:r>
      <w:r w:rsidRPr="007809F4">
        <w:rPr>
          <w:rFonts w:asciiTheme="minorHAnsi" w:hAnsiTheme="minorHAnsi" w:cstheme="minorHAnsi"/>
        </w:rPr>
        <w:t xml:space="preserve">, 448; </w:t>
      </w:r>
      <w:r w:rsidRPr="007809F4">
        <w:rPr>
          <w:rFonts w:asciiTheme="minorHAnsi" w:hAnsiTheme="minorHAnsi" w:cstheme="minorHAnsi"/>
          <w:i/>
        </w:rPr>
        <w:t>R v Schneider</w:t>
      </w:r>
      <w:r w:rsidRPr="007809F4">
        <w:rPr>
          <w:rFonts w:asciiTheme="minorHAnsi" w:hAnsiTheme="minorHAnsi" w:cstheme="minorHAnsi"/>
        </w:rPr>
        <w:t xml:space="preserve"> (1988) 37 A Crim R 395</w:t>
      </w:r>
      <w:r w:rsidRPr="00EB7F1E">
        <w:rPr>
          <w:rFonts w:asciiTheme="minorHAnsi" w:hAnsiTheme="minorHAnsi" w:cstheme="minorHAnsi"/>
        </w:rPr>
        <w:fldChar w:fldCharType="begin"/>
      </w:r>
      <w:r w:rsidRPr="007809F4">
        <w:rPr>
          <w:rFonts w:asciiTheme="minorHAnsi" w:hAnsiTheme="minorHAnsi" w:cstheme="minorHAnsi"/>
        </w:rPr>
        <w:instrText xml:space="preserve"> TA \s "R v Schneider (1988) 37 A Crim R 395" </w:instrText>
      </w:r>
      <w:r w:rsidRPr="00EB7F1E">
        <w:rPr>
          <w:rFonts w:asciiTheme="minorHAnsi" w:hAnsiTheme="minorHAnsi" w:cstheme="minorHAnsi"/>
        </w:rPr>
        <w:fldChar w:fldCharType="end"/>
      </w:r>
      <w:r w:rsidRPr="007809F4">
        <w:rPr>
          <w:rFonts w:asciiTheme="minorHAnsi" w:hAnsiTheme="minorHAnsi" w:cstheme="minorHAnsi"/>
        </w:rPr>
        <w:t xml:space="preserve">, 397; </w:t>
      </w:r>
      <w:r w:rsidRPr="007809F4">
        <w:rPr>
          <w:rFonts w:asciiTheme="minorHAnsi" w:hAnsiTheme="minorHAnsi" w:cstheme="minorHAnsi"/>
          <w:i/>
        </w:rPr>
        <w:t>R v Ruggiero</w:t>
      </w:r>
      <w:r w:rsidRPr="007809F4">
        <w:rPr>
          <w:rFonts w:asciiTheme="minorHAnsi" w:hAnsiTheme="minorHAnsi" w:cstheme="minorHAnsi"/>
        </w:rPr>
        <w:t xml:space="preserve"> (1998) 104 A Crim R 358</w:t>
      </w:r>
      <w:r w:rsidRPr="00EB7F1E">
        <w:rPr>
          <w:rFonts w:asciiTheme="minorHAnsi" w:hAnsiTheme="minorHAnsi" w:cstheme="minorHAnsi"/>
        </w:rPr>
        <w:fldChar w:fldCharType="begin"/>
      </w:r>
      <w:r w:rsidRPr="007809F4">
        <w:rPr>
          <w:rFonts w:asciiTheme="minorHAnsi" w:hAnsiTheme="minorHAnsi" w:cstheme="minorHAnsi"/>
        </w:rPr>
        <w:instrText xml:space="preserve"> TA \s "R v Ruggiero (1998) 104 A Crim R 358" </w:instrText>
      </w:r>
      <w:r w:rsidRPr="00EB7F1E">
        <w:rPr>
          <w:rFonts w:asciiTheme="minorHAnsi" w:hAnsiTheme="minorHAnsi" w:cstheme="minorHAnsi"/>
        </w:rPr>
        <w:fldChar w:fldCharType="end"/>
      </w:r>
      <w:r w:rsidRPr="007809F4">
        <w:rPr>
          <w:rFonts w:asciiTheme="minorHAnsi" w:hAnsiTheme="minorHAnsi" w:cstheme="minorHAnsi"/>
        </w:rPr>
        <w:t xml:space="preserve">, 364; </w:t>
      </w:r>
      <w:r w:rsidRPr="007809F4">
        <w:rPr>
          <w:rFonts w:asciiTheme="minorHAnsi" w:hAnsiTheme="minorHAnsi" w:cstheme="minorHAnsi"/>
          <w:bCs/>
          <w:i/>
          <w:iCs/>
        </w:rPr>
        <w:t>Ryan v R</w:t>
      </w:r>
      <w:r w:rsidRPr="007809F4">
        <w:rPr>
          <w:rFonts w:asciiTheme="minorHAnsi" w:hAnsiTheme="minorHAnsi" w:cstheme="minorHAnsi"/>
        </w:rPr>
        <w:t xml:space="preserve"> (2001) 206 CLR 267</w:t>
      </w:r>
      <w:r w:rsidRPr="00EB7F1E">
        <w:rPr>
          <w:rFonts w:asciiTheme="minorHAnsi" w:hAnsiTheme="minorHAnsi" w:cstheme="minorHAnsi"/>
        </w:rPr>
        <w:fldChar w:fldCharType="begin"/>
      </w:r>
      <w:r w:rsidRPr="007809F4">
        <w:rPr>
          <w:rFonts w:asciiTheme="minorHAnsi" w:hAnsiTheme="minorHAnsi" w:cstheme="minorHAnsi"/>
        </w:rPr>
        <w:instrText xml:space="preserve"> TA \s "Ryan v R (2001) 206 CLR 267"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"Ryan v R (2001) 206 CLR 267"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Gent</w:t>
      </w:r>
      <w:r w:rsidRPr="007809F4">
        <w:rPr>
          <w:rFonts w:asciiTheme="minorHAnsi" w:hAnsiTheme="minorHAnsi" w:cstheme="minorHAnsi"/>
        </w:rPr>
        <w:t xml:space="preserve"> [2005] NSWCCA 370</w:t>
      </w:r>
      <w:r w:rsidRPr="00EB7F1E">
        <w:rPr>
          <w:rFonts w:asciiTheme="minorHAnsi" w:hAnsiTheme="minorHAnsi" w:cstheme="minorHAnsi"/>
        </w:rPr>
        <w:fldChar w:fldCharType="begin"/>
      </w:r>
      <w:r w:rsidRPr="007809F4">
        <w:rPr>
          <w:rFonts w:asciiTheme="minorHAnsi" w:hAnsiTheme="minorHAnsi" w:cstheme="minorHAnsi"/>
        </w:rPr>
        <w:instrText xml:space="preserve"> TA \s "R v Gent [2005] NSWCCA 370"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Gent (2005) 162 A Crim R 29" </w:instrText>
      </w:r>
      <w:r w:rsidRPr="00EB7F1E">
        <w:rPr>
          <w:rFonts w:asciiTheme="minorHAnsi" w:hAnsiTheme="minorHAnsi" w:cstheme="minorHAnsi"/>
        </w:rPr>
        <w:fldChar w:fldCharType="end"/>
      </w:r>
    </w:p>
  </w:footnote>
  <w:footnote w:id="350">
    <w:p w14:paraId="6A61ED4B" w14:textId="2434A10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See, e.g., </w:t>
      </w:r>
      <w:r w:rsidRPr="007809F4">
        <w:rPr>
          <w:rFonts w:asciiTheme="minorHAnsi" w:hAnsiTheme="minorHAnsi" w:cstheme="minorHAnsi"/>
          <w:bCs/>
          <w:i/>
          <w:iCs/>
        </w:rPr>
        <w:t>Ryan v R</w:t>
      </w:r>
      <w:r w:rsidRPr="007809F4">
        <w:rPr>
          <w:rFonts w:asciiTheme="minorHAnsi" w:hAnsiTheme="minorHAnsi" w:cstheme="minorHAnsi"/>
        </w:rPr>
        <w:t xml:space="preserve"> (2001) 206 CLR 267</w:t>
      </w:r>
      <w:r w:rsidRPr="00EB7F1E">
        <w:rPr>
          <w:rFonts w:asciiTheme="minorHAnsi" w:hAnsiTheme="minorHAnsi" w:cstheme="minorHAnsi"/>
        </w:rPr>
        <w:fldChar w:fldCharType="begin"/>
      </w:r>
      <w:r w:rsidRPr="007809F4">
        <w:rPr>
          <w:rFonts w:asciiTheme="minorHAnsi" w:hAnsiTheme="minorHAnsi" w:cstheme="minorHAnsi"/>
        </w:rPr>
        <w:instrText xml:space="preserve"> TA \s "Ryan v R (2001) 206 CLR 267"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Gregory</w:t>
      </w:r>
      <w:r w:rsidRPr="007809F4">
        <w:rPr>
          <w:rFonts w:asciiTheme="minorHAnsi" w:hAnsiTheme="minorHAnsi" w:cstheme="minorHAnsi"/>
        </w:rPr>
        <w:t xml:space="preserve"> (2011) 34 VR 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Gregory (2011) 34 VR 1" </w:instrText>
      </w:r>
      <w:r w:rsidRPr="00EB7F1E">
        <w:rPr>
          <w:rFonts w:asciiTheme="minorHAnsi" w:hAnsiTheme="minorHAnsi" w:cstheme="minorHAnsi"/>
        </w:rPr>
        <w:fldChar w:fldCharType="end"/>
      </w:r>
      <w:r w:rsidRPr="007809F4">
        <w:rPr>
          <w:rFonts w:asciiTheme="minorHAnsi" w:hAnsiTheme="minorHAnsi" w:cstheme="minorHAnsi"/>
        </w:rPr>
        <w:t xml:space="preserve">, [53]-[58]; </w:t>
      </w:r>
      <w:r w:rsidRPr="007809F4">
        <w:rPr>
          <w:rFonts w:asciiTheme="minorHAnsi" w:hAnsiTheme="minorHAnsi" w:cstheme="minorHAnsi"/>
          <w:i/>
        </w:rPr>
        <w:t>Dickson v R</w:t>
      </w:r>
      <w:r w:rsidRPr="007809F4">
        <w:rPr>
          <w:rFonts w:asciiTheme="minorHAnsi" w:hAnsiTheme="minorHAnsi" w:cstheme="minorHAnsi"/>
        </w:rPr>
        <w:t xml:space="preserve"> [2016] NSWCCA 105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Dickson v R</w:instrText>
      </w:r>
      <w:r w:rsidRPr="007809F4">
        <w:rPr>
          <w:rFonts w:asciiTheme="minorHAnsi" w:hAnsiTheme="minorHAnsi" w:cstheme="minorHAnsi"/>
        </w:rPr>
        <w:instrText xml:space="preserve"> [2016] NSWCCA 105</w:instrText>
      </w:r>
      <w:r w:rsidRPr="00EB7F1E">
        <w:rPr>
          <w:rFonts w:asciiTheme="minorHAnsi" w:hAnsiTheme="minorHAnsi" w:cstheme="minorHAnsi"/>
        </w:rPr>
        <w:instrText xml:space="preserve">" \s "Dickson v R [2016] NSWCCA 105" \c 1 </w:instrText>
      </w:r>
      <w:r w:rsidRPr="00EB7F1E">
        <w:rPr>
          <w:rFonts w:asciiTheme="minorHAnsi" w:hAnsiTheme="minorHAnsi" w:cstheme="minorHAnsi"/>
        </w:rPr>
        <w:fldChar w:fldCharType="end"/>
      </w:r>
      <w:r w:rsidRPr="007809F4">
        <w:rPr>
          <w:rFonts w:asciiTheme="minorHAnsi" w:hAnsiTheme="minorHAnsi" w:cstheme="minorHAnsi"/>
        </w:rPr>
        <w:t>, [169].</w:t>
      </w:r>
    </w:p>
  </w:footnote>
  <w:footnote w:id="351">
    <w:p w14:paraId="12CC139B" w14:textId="1212E0B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This reflects the common law: </w:t>
      </w:r>
      <w:r w:rsidRPr="007809F4">
        <w:rPr>
          <w:rFonts w:asciiTheme="minorHAnsi" w:hAnsiTheme="minorHAnsi" w:cstheme="minorHAnsi"/>
          <w:bCs/>
          <w:i/>
          <w:iCs/>
        </w:rPr>
        <w:t>Lacco v R</w:t>
      </w:r>
      <w:r w:rsidRPr="007809F4">
        <w:rPr>
          <w:rFonts w:asciiTheme="minorHAnsi" w:hAnsiTheme="minorHAnsi" w:cstheme="minorHAnsi"/>
        </w:rPr>
        <w:t xml:space="preserve"> [1984] WAR 153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Lacco v R</w:instrText>
      </w:r>
      <w:r w:rsidRPr="007809F4">
        <w:rPr>
          <w:rFonts w:asciiTheme="minorHAnsi" w:hAnsiTheme="minorHAnsi" w:cstheme="minorHAnsi"/>
        </w:rPr>
        <w:instrText xml:space="preserve"> [1984] WAR 153" \s "Lacco v R [1984] WAR 153" \c 1 </w:instrText>
      </w:r>
      <w:r w:rsidRPr="00EB7F1E">
        <w:rPr>
          <w:rFonts w:asciiTheme="minorHAnsi" w:hAnsiTheme="minorHAnsi" w:cstheme="minorHAnsi"/>
        </w:rPr>
        <w:fldChar w:fldCharType="end"/>
      </w:r>
      <w:r w:rsidRPr="007809F4">
        <w:rPr>
          <w:rFonts w:asciiTheme="minorHAnsi" w:hAnsiTheme="minorHAnsi" w:cstheme="minorHAnsi"/>
        </w:rPr>
        <w:t>, 155.  It should be contrasted with the narrower approach under some State laws (such as</w:t>
      </w:r>
      <w:r w:rsidRPr="007809F4">
        <w:rPr>
          <w:rFonts w:asciiTheme="minorHAnsi" w:hAnsiTheme="minorHAnsi" w:cstheme="minorHAnsi"/>
          <w:i/>
        </w:rPr>
        <w:t xml:space="preserve"> Sentencing Act 1991</w:t>
      </w:r>
      <w:r w:rsidRPr="007809F4">
        <w:rPr>
          <w:rFonts w:asciiTheme="minorHAnsi" w:hAnsiTheme="minorHAnsi" w:cstheme="minorHAnsi"/>
        </w:rPr>
        <w:t xml:space="preserve"> (Vic), s 5(2)(f)) which refer only to prior convictions. </w:t>
      </w:r>
    </w:p>
  </w:footnote>
  <w:footnote w:id="352">
    <w:p w14:paraId="14590723" w14:textId="66225D9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Jones v Morley</w:t>
      </w:r>
      <w:r w:rsidRPr="007809F4">
        <w:rPr>
          <w:rFonts w:asciiTheme="minorHAnsi" w:hAnsiTheme="minorHAnsi" w:cstheme="minorHAnsi"/>
        </w:rPr>
        <w:t xml:space="preserve"> (1981) 29 SASR 57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Jones v Morley</w:instrText>
      </w:r>
      <w:r w:rsidRPr="007809F4">
        <w:rPr>
          <w:rFonts w:asciiTheme="minorHAnsi" w:hAnsiTheme="minorHAnsi" w:cstheme="minorHAnsi"/>
        </w:rPr>
        <w:instrText xml:space="preserve"> (1981) 29 SASR 57</w:instrText>
      </w:r>
      <w:r w:rsidRPr="00EB7F1E">
        <w:rPr>
          <w:rFonts w:asciiTheme="minorHAnsi" w:hAnsiTheme="minorHAnsi" w:cstheme="minorHAnsi"/>
        </w:rPr>
        <w:instrText xml:space="preserve">" \s "Jones v Morley (1981) 29 SASR 57" \c 1 </w:instrText>
      </w:r>
      <w:r w:rsidRPr="00EB7F1E">
        <w:rPr>
          <w:rFonts w:asciiTheme="minorHAnsi" w:hAnsiTheme="minorHAnsi" w:cstheme="minorHAnsi"/>
        </w:rPr>
        <w:fldChar w:fldCharType="end"/>
      </w:r>
      <w:r w:rsidRPr="007809F4">
        <w:rPr>
          <w:rFonts w:asciiTheme="minorHAnsi" w:hAnsiTheme="minorHAnsi" w:cstheme="minorHAnsi"/>
        </w:rPr>
        <w:t xml:space="preserve">, 63–65, quoted with approval in </w:t>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xml:space="preserve">, [27].  Although </w:t>
      </w:r>
      <w:r w:rsidRPr="007809F4">
        <w:rPr>
          <w:rFonts w:asciiTheme="minorHAnsi" w:hAnsiTheme="minorHAnsi" w:cstheme="minorHAnsi"/>
          <w:i/>
        </w:rPr>
        <w:t>Baffsky</w:t>
      </w:r>
      <w:r w:rsidRPr="007809F4">
        <w:rPr>
          <w:rFonts w:asciiTheme="minorHAnsi" w:hAnsiTheme="minorHAnsi" w:cstheme="minorHAnsi"/>
        </w:rPr>
        <w:t xml:space="preserve"> was concerned with the term “antecedents” as used in s.19B(1)(b)(i) of the </w:t>
      </w:r>
      <w:r w:rsidRPr="007809F4">
        <w:rPr>
          <w:rFonts w:asciiTheme="minorHAnsi" w:hAnsiTheme="minorHAnsi" w:cstheme="minorHAnsi"/>
          <w:i/>
        </w:rPr>
        <w:t>Crimes Act 1914</w:t>
      </w:r>
      <w:r w:rsidRPr="007809F4">
        <w:rPr>
          <w:rFonts w:asciiTheme="minorHAnsi" w:hAnsiTheme="minorHAnsi" w:cstheme="minorHAnsi"/>
        </w:rPr>
        <w:t xml:space="preserve"> (Cth), the Court (at [35]) treated the term as having the same meaning in s.16A(2)(m).</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353">
    <w:p w14:paraId="36738E33" w14:textId="4947510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[34]-[35], [60]-[61].</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354">
    <w:p w14:paraId="02C33E1A" w14:textId="5821303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R v Barany</w:t>
      </w:r>
      <w:r w:rsidRPr="00EB7F1E">
        <w:rPr>
          <w:rFonts w:asciiTheme="minorHAnsi" w:hAnsiTheme="minorHAnsi" w:cstheme="minorHAnsi"/>
        </w:rPr>
        <w:t xml:space="preserve"> [2018] QCA 137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Barany</w:instrText>
      </w:r>
      <w:r w:rsidRPr="00EB7F1E">
        <w:rPr>
          <w:rFonts w:asciiTheme="minorHAnsi" w:hAnsiTheme="minorHAnsi" w:cstheme="minorHAnsi"/>
        </w:rPr>
        <w:instrText xml:space="preserve"> [2018] QCA 137" \s "R v Barany [2018] QCA 137" \c 1 </w:instrText>
      </w:r>
      <w:r w:rsidRPr="00EB7F1E">
        <w:rPr>
          <w:rFonts w:asciiTheme="minorHAnsi" w:hAnsiTheme="minorHAnsi" w:cstheme="minorHAnsi"/>
        </w:rPr>
        <w:fldChar w:fldCharType="end"/>
      </w:r>
      <w:r w:rsidRPr="00EB7F1E">
        <w:rPr>
          <w:rFonts w:asciiTheme="minorHAnsi" w:hAnsiTheme="minorHAnsi" w:cstheme="minorHAnsi"/>
        </w:rPr>
        <w:t>, [41].</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355">
    <w:p w14:paraId="2FEB8A63" w14:textId="07A6F07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EB7F1E">
        <w:rPr>
          <w:rFonts w:asciiTheme="minorHAnsi" w:hAnsiTheme="minorHAnsi" w:cstheme="minorHAnsi"/>
          <w:i/>
        </w:rPr>
        <w:t>Blango v R</w:t>
      </w:r>
      <w:r w:rsidRPr="00EB7F1E">
        <w:rPr>
          <w:rFonts w:asciiTheme="minorHAnsi" w:hAnsiTheme="minorHAnsi" w:cstheme="minorHAnsi"/>
        </w:rPr>
        <w:t xml:space="preserve"> [2018] VSCA 210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Blango v R</w:instrText>
      </w:r>
      <w:r w:rsidRPr="00EB7F1E">
        <w:rPr>
          <w:rFonts w:asciiTheme="minorHAnsi" w:hAnsiTheme="minorHAnsi" w:cstheme="minorHAnsi"/>
        </w:rPr>
        <w:instrText xml:space="preserve"> [2018] VSCA 210" \s "Blango v R [2018] VSCA 210" \c 1 </w:instrText>
      </w:r>
      <w:r w:rsidRPr="00EB7F1E">
        <w:rPr>
          <w:rFonts w:asciiTheme="minorHAnsi" w:hAnsiTheme="minorHAnsi" w:cstheme="minorHAnsi"/>
        </w:rPr>
        <w:fldChar w:fldCharType="end"/>
      </w:r>
      <w:r w:rsidRPr="00EB7F1E">
        <w:rPr>
          <w:rFonts w:asciiTheme="minorHAnsi" w:hAnsiTheme="minorHAnsi" w:cstheme="minorHAnsi"/>
        </w:rPr>
        <w:t>, [54]</w:t>
      </w:r>
      <w:r w:rsidRPr="007809F4">
        <w:rPr>
          <w:rFonts w:asciiTheme="minorHAnsi" w:hAnsiTheme="minorHAnsi" w:cstheme="minorHAnsi"/>
        </w:rPr>
        <w:t>.</w:t>
      </w:r>
    </w:p>
  </w:footnote>
  <w:footnote w:id="356">
    <w:p w14:paraId="54254B91" w14:textId="4966152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As to the relevance of such convictions, see </w:t>
      </w:r>
      <w:r w:rsidRPr="007809F4">
        <w:rPr>
          <w:rFonts w:asciiTheme="minorHAnsi" w:hAnsiTheme="minorHAnsi" w:cstheme="minorHAnsi"/>
          <w:bCs/>
          <w:i/>
          <w:iCs/>
        </w:rPr>
        <w:t>R v McInerney</w:t>
      </w:r>
      <w:r w:rsidRPr="007809F4">
        <w:rPr>
          <w:rFonts w:asciiTheme="minorHAnsi" w:hAnsiTheme="minorHAnsi" w:cstheme="minorHAnsi"/>
        </w:rPr>
        <w:t xml:space="preserve"> (1986) 42 SASR 111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McInerney</w:instrText>
      </w:r>
      <w:r w:rsidRPr="007809F4">
        <w:rPr>
          <w:rFonts w:asciiTheme="minorHAnsi" w:hAnsiTheme="minorHAnsi" w:cstheme="minorHAnsi"/>
        </w:rPr>
        <w:instrText xml:space="preserve"> (1986) 42 SASR 111" \s "R v McInerney (1986) 42 SASR 111"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57">
    <w:p w14:paraId="5624DF22" w14:textId="79448B6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e.g.,</w:t>
      </w:r>
      <w:r w:rsidRPr="007809F4">
        <w:rPr>
          <w:rFonts w:asciiTheme="minorHAnsi" w:hAnsiTheme="minorHAnsi" w:cstheme="minorHAnsi"/>
          <w:i/>
        </w:rPr>
        <w:t xml:space="preserve"> Criminal Procedure Act 2009 </w:t>
      </w:r>
      <w:r w:rsidRPr="007809F4">
        <w:rPr>
          <w:rFonts w:asciiTheme="minorHAnsi" w:hAnsiTheme="minorHAnsi" w:cstheme="minorHAnsi"/>
        </w:rPr>
        <w:t>(Vic), s 59.</w:t>
      </w:r>
    </w:p>
  </w:footnote>
  <w:footnote w:id="358">
    <w:p w14:paraId="5F910AFE" w14:textId="143A5CC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Mills</w:t>
      </w:r>
      <w:r w:rsidRPr="007809F4">
        <w:rPr>
          <w:rFonts w:asciiTheme="minorHAnsi" w:hAnsiTheme="minorHAnsi" w:cstheme="minorHAnsi"/>
        </w:rPr>
        <w:t xml:space="preserve"> [1998] 4 VR 235</w:t>
      </w:r>
      <w:r w:rsidRPr="00EB7F1E">
        <w:rPr>
          <w:rFonts w:asciiTheme="minorHAnsi" w:hAnsiTheme="minorHAnsi" w:cstheme="minorHAnsi"/>
        </w:rPr>
        <w:fldChar w:fldCharType="begin"/>
      </w:r>
      <w:r w:rsidRPr="007809F4">
        <w:rPr>
          <w:rFonts w:asciiTheme="minorHAnsi" w:hAnsiTheme="minorHAnsi" w:cstheme="minorHAnsi"/>
        </w:rPr>
        <w:instrText xml:space="preserve"> TA \s "R v Mills [1998] 4 VR 235"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59">
    <w:p w14:paraId="5A5FA4D6" w14:textId="1F17B0B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Lari v Pavlos</w:t>
      </w:r>
      <w:r w:rsidRPr="007809F4">
        <w:rPr>
          <w:rFonts w:asciiTheme="minorHAnsi" w:hAnsiTheme="minorHAnsi" w:cstheme="minorHAnsi"/>
        </w:rPr>
        <w:t xml:space="preserve"> (WA SC (Owen J), 17 May 1996,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Lari v Pavlos</w:instrText>
      </w:r>
      <w:r w:rsidRPr="007809F4">
        <w:rPr>
          <w:rFonts w:asciiTheme="minorHAnsi" w:hAnsiTheme="minorHAnsi" w:cstheme="minorHAnsi"/>
        </w:rPr>
        <w:instrText xml:space="preserve"> (WA SC (Owen J), 17 May 1996, unreported)</w:instrText>
      </w:r>
      <w:r w:rsidRPr="00EB7F1E">
        <w:rPr>
          <w:rFonts w:asciiTheme="minorHAnsi" w:hAnsiTheme="minorHAnsi" w:cstheme="minorHAnsi"/>
        </w:rPr>
        <w:instrText xml:space="preserve">" \s "Lari v Pavlos (WA SC (Owen J), 17 May 1996, unreported)"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"Lari v Pavlos (Unreported, Supreme Court of Western Australia, Owen J, 17 May 1996)" </w:instrText>
      </w:r>
      <w:r w:rsidRPr="00EB7F1E">
        <w:rPr>
          <w:rFonts w:asciiTheme="minorHAnsi" w:hAnsiTheme="minorHAnsi" w:cstheme="minorHAnsi"/>
        </w:rPr>
        <w:fldChar w:fldCharType="end"/>
      </w:r>
    </w:p>
  </w:footnote>
  <w:footnote w:id="360">
    <w:p w14:paraId="28133FDD" w14:textId="43B4BDA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61">
    <w:p w14:paraId="5CE3AD9C" w14:textId="4117E13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Mills</w:t>
      </w:r>
      <w:r w:rsidRPr="007809F4">
        <w:rPr>
          <w:rFonts w:asciiTheme="minorHAnsi" w:hAnsiTheme="minorHAnsi" w:cstheme="minorHAnsi"/>
        </w:rPr>
        <w:t xml:space="preserve"> [1998] 4 VR 235</w:t>
      </w:r>
      <w:r w:rsidRPr="00EB7F1E">
        <w:rPr>
          <w:rFonts w:asciiTheme="minorHAnsi" w:hAnsiTheme="minorHAnsi" w:cstheme="minorHAnsi"/>
        </w:rPr>
        <w:fldChar w:fldCharType="begin"/>
      </w:r>
      <w:r w:rsidRPr="007809F4">
        <w:rPr>
          <w:rFonts w:asciiTheme="minorHAnsi" w:hAnsiTheme="minorHAnsi" w:cstheme="minorHAnsi"/>
        </w:rPr>
        <w:instrText xml:space="preserve"> TA \s "R v Mills [1998] 4 VR 235" </w:instrText>
      </w:r>
      <w:r w:rsidRPr="00EB7F1E">
        <w:rPr>
          <w:rFonts w:asciiTheme="minorHAnsi" w:hAnsiTheme="minorHAnsi" w:cstheme="minorHAnsi"/>
        </w:rPr>
        <w:fldChar w:fldCharType="end"/>
      </w:r>
      <w:r w:rsidRPr="007809F4">
        <w:rPr>
          <w:rFonts w:asciiTheme="minorHAnsi" w:hAnsiTheme="minorHAnsi" w:cstheme="minorHAnsi"/>
        </w:rPr>
        <w:t>, 241</w:t>
      </w:r>
      <w:r w:rsidRPr="007809F4">
        <w:rPr>
          <w:rFonts w:asciiTheme="minorHAnsi" w:hAnsiTheme="minorHAnsi" w:cstheme="minorHAnsi"/>
          <w:i/>
        </w:rPr>
        <w:t>.</w:t>
      </w:r>
    </w:p>
  </w:footnote>
  <w:footnote w:id="362">
    <w:p w14:paraId="796D9F97" w14:textId="6AE453A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Mills</w:t>
      </w:r>
      <w:r w:rsidRPr="007809F4">
        <w:rPr>
          <w:rFonts w:asciiTheme="minorHAnsi" w:hAnsiTheme="minorHAnsi" w:cstheme="minorHAnsi"/>
        </w:rPr>
        <w:t xml:space="preserve"> [1998] 4 VR 235</w:t>
      </w:r>
      <w:r w:rsidRPr="00EB7F1E">
        <w:rPr>
          <w:rFonts w:asciiTheme="minorHAnsi" w:hAnsiTheme="minorHAnsi" w:cstheme="minorHAnsi"/>
        </w:rPr>
        <w:fldChar w:fldCharType="begin"/>
      </w:r>
      <w:r w:rsidRPr="007809F4">
        <w:rPr>
          <w:rFonts w:asciiTheme="minorHAnsi" w:hAnsiTheme="minorHAnsi" w:cstheme="minorHAnsi"/>
        </w:rPr>
        <w:instrText xml:space="preserve"> TA \s "R v Mills [1998] 4 VR 235" </w:instrText>
      </w:r>
      <w:r w:rsidRPr="00EB7F1E">
        <w:rPr>
          <w:rFonts w:asciiTheme="minorHAnsi" w:hAnsiTheme="minorHAnsi" w:cstheme="minorHAnsi"/>
        </w:rPr>
        <w:fldChar w:fldCharType="end"/>
      </w:r>
      <w:r w:rsidRPr="007809F4">
        <w:rPr>
          <w:rFonts w:asciiTheme="minorHAnsi" w:hAnsiTheme="minorHAnsi" w:cstheme="minorHAnsi"/>
          <w:i/>
        </w:rPr>
        <w:t>.</w:t>
      </w:r>
      <w:r w:rsidRPr="007809F4">
        <w:rPr>
          <w:rFonts w:asciiTheme="minorHAnsi" w:hAnsiTheme="minorHAnsi" w:cstheme="minorHAnsi"/>
        </w:rPr>
        <w:t xml:space="preserve">  Mitigation may be extended to an offender who is sentenced as an adult for an offence committed as a juvenile, at least where the offender has achieved a significant degree of rehabilitation and there has been no further offending in the meantime, because the assessment of the nature and gravity of the crime, and of the offender’s moral culpability, should take into account that what was done was done as a child, or as a person of immature years: </w:t>
      </w:r>
      <w:r w:rsidRPr="007809F4">
        <w:rPr>
          <w:rFonts w:asciiTheme="minorHAnsi" w:hAnsiTheme="minorHAnsi" w:cstheme="minorHAnsi"/>
          <w:i/>
        </w:rPr>
        <w:t>R v Boland</w:t>
      </w:r>
      <w:r w:rsidRPr="007809F4">
        <w:rPr>
          <w:rFonts w:asciiTheme="minorHAnsi" w:hAnsiTheme="minorHAnsi" w:cstheme="minorHAnsi"/>
        </w:rPr>
        <w:t xml:space="preserve"> (2007) 17 VR 300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Boland</w:instrText>
      </w:r>
      <w:r w:rsidRPr="007809F4">
        <w:rPr>
          <w:rFonts w:asciiTheme="minorHAnsi" w:hAnsiTheme="minorHAnsi" w:cstheme="minorHAnsi"/>
        </w:rPr>
        <w:instrText xml:space="preserve"> (2007) 17 VR 300</w:instrText>
      </w:r>
      <w:r w:rsidRPr="00EB7F1E">
        <w:rPr>
          <w:rFonts w:asciiTheme="minorHAnsi" w:hAnsiTheme="minorHAnsi" w:cstheme="minorHAnsi"/>
        </w:rPr>
        <w:instrText xml:space="preserve">" \s "R v Boland (2007) 17 VR 300" \c 1 </w:instrText>
      </w:r>
      <w:r w:rsidRPr="00EB7F1E">
        <w:rPr>
          <w:rFonts w:asciiTheme="minorHAnsi" w:hAnsiTheme="minorHAnsi" w:cstheme="minorHAnsi"/>
        </w:rPr>
        <w:fldChar w:fldCharType="end"/>
      </w:r>
      <w:r w:rsidRPr="007809F4">
        <w:rPr>
          <w:rFonts w:asciiTheme="minorHAnsi" w:hAnsiTheme="minorHAnsi" w:cstheme="minorHAnsi"/>
        </w:rPr>
        <w:t>, [16].</w:t>
      </w:r>
    </w:p>
  </w:footnote>
  <w:footnote w:id="363">
    <w:p w14:paraId="085B2A25" w14:textId="511813E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xml:space="preserve">, [57]-[60];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xml:space="preserve">, [115]-[116]; </w:t>
      </w:r>
      <w:r w:rsidRPr="007809F4">
        <w:rPr>
          <w:rFonts w:asciiTheme="minorHAnsi" w:hAnsiTheme="minorHAnsi" w:cstheme="minorHAnsi"/>
          <w:i/>
        </w:rPr>
        <w:t>Papachristodoulou v R</w:t>
      </w:r>
      <w:r w:rsidRPr="007809F4">
        <w:rPr>
          <w:rFonts w:asciiTheme="minorHAnsi" w:hAnsiTheme="minorHAnsi" w:cstheme="minorHAnsi"/>
        </w:rPr>
        <w:t xml:space="preserve"> [2017] VSCA 284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Papachristodoulou v R</w:instrText>
      </w:r>
      <w:r w:rsidRPr="007809F4">
        <w:rPr>
          <w:rFonts w:asciiTheme="minorHAnsi" w:hAnsiTheme="minorHAnsi" w:cstheme="minorHAnsi"/>
        </w:rPr>
        <w:instrText xml:space="preserve"> [2017] VSCA 284</w:instrText>
      </w:r>
      <w:r w:rsidRPr="00EB7F1E">
        <w:rPr>
          <w:rFonts w:asciiTheme="minorHAnsi" w:hAnsiTheme="minorHAnsi" w:cstheme="minorHAnsi"/>
        </w:rPr>
        <w:instrText xml:space="preserve">" \s "Papachristodoulou v R [2017] VSCA 284" \c 1 </w:instrText>
      </w:r>
      <w:r w:rsidRPr="00EB7F1E">
        <w:rPr>
          <w:rFonts w:asciiTheme="minorHAnsi" w:hAnsiTheme="minorHAnsi" w:cstheme="minorHAnsi"/>
        </w:rPr>
        <w:fldChar w:fldCharType="end"/>
      </w:r>
      <w:r w:rsidRPr="007809F4">
        <w:rPr>
          <w:rFonts w:asciiTheme="minorHAnsi" w:hAnsiTheme="minorHAnsi" w:cstheme="minorHAnsi"/>
        </w:rPr>
        <w:t>, [37].</w:t>
      </w:r>
    </w:p>
  </w:footnote>
  <w:footnote w:id="364">
    <w:p w14:paraId="23FB161C" w14:textId="088F9E5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E.g.</w:t>
      </w:r>
      <w:r w:rsidRPr="007809F4">
        <w:rPr>
          <w:rFonts w:asciiTheme="minorHAnsi" w:hAnsiTheme="minorHAnsi" w:cstheme="minorHAnsi"/>
          <w:i/>
        </w:rPr>
        <w:t xml:space="preserve"> </w:t>
      </w:r>
      <w:r w:rsidRPr="007809F4">
        <w:rPr>
          <w:rFonts w:asciiTheme="minorHAnsi" w:hAnsiTheme="minorHAnsi" w:cstheme="minorHAnsi"/>
          <w:bCs/>
          <w:i/>
        </w:rPr>
        <w:t>R v Ceissman</w:t>
      </w:r>
      <w:r w:rsidRPr="007809F4">
        <w:rPr>
          <w:rFonts w:asciiTheme="minorHAnsi" w:hAnsiTheme="minorHAnsi" w:cstheme="minorHAnsi"/>
          <w:bCs/>
        </w:rPr>
        <w:t xml:space="preserve"> [2001] NSWCCA 73</w:t>
      </w:r>
      <w:r w:rsidRPr="00EB7F1E">
        <w:rPr>
          <w:rFonts w:asciiTheme="minorHAnsi" w:hAnsiTheme="minorHAnsi" w:cstheme="minorHAnsi"/>
          <w:bCs/>
        </w:rPr>
        <w:fldChar w:fldCharType="begin"/>
      </w:r>
      <w:r w:rsidRPr="007809F4">
        <w:rPr>
          <w:rFonts w:asciiTheme="minorHAnsi" w:hAnsiTheme="minorHAnsi" w:cstheme="minorHAnsi"/>
          <w:bCs/>
        </w:rPr>
        <w:instrText xml:space="preserve"> TA \s "R v Ceissman [2001] NSWCCA 73" </w:instrText>
      </w:r>
      <w:r w:rsidRPr="00EB7F1E">
        <w:rPr>
          <w:rFonts w:asciiTheme="minorHAnsi" w:hAnsiTheme="minorHAnsi" w:cstheme="minorHAnsi"/>
          <w:bCs/>
        </w:rPr>
        <w:fldChar w:fldCharType="end"/>
      </w:r>
      <w:r w:rsidRPr="007809F4">
        <w:rPr>
          <w:rFonts w:asciiTheme="minorHAnsi" w:hAnsiTheme="minorHAnsi" w:cstheme="minorHAnsi"/>
          <w:bCs/>
        </w:rPr>
        <w:t xml:space="preserve">, [34]-[35]; </w:t>
      </w:r>
      <w:r w:rsidRPr="00EB7F1E">
        <w:rPr>
          <w:rFonts w:asciiTheme="minorHAnsi" w:hAnsiTheme="minorHAnsi" w:cstheme="minorHAnsi"/>
          <w:bCs/>
          <w:i/>
        </w:rPr>
        <w:t>Kao v R</w:t>
      </w:r>
      <w:r w:rsidRPr="00EB7F1E">
        <w:rPr>
          <w:rFonts w:asciiTheme="minorHAnsi" w:hAnsiTheme="minorHAnsi" w:cstheme="minorHAnsi"/>
          <w:bCs/>
        </w:rPr>
        <w:t xml:space="preserve"> [2019] VSCA 84</w:t>
      </w:r>
      <w:r w:rsidRPr="00EB7F1E">
        <w:rPr>
          <w:rFonts w:asciiTheme="minorHAnsi" w:hAnsiTheme="minorHAnsi" w:cstheme="minorHAnsi"/>
          <w:b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bCs/>
          <w:i/>
        </w:rPr>
        <w:instrText>Kao v R</w:instrText>
      </w:r>
      <w:r w:rsidRPr="00EB7F1E">
        <w:rPr>
          <w:rFonts w:asciiTheme="minorHAnsi" w:hAnsiTheme="minorHAnsi" w:cstheme="minorHAnsi"/>
          <w:bCs/>
        </w:rPr>
        <w:instrText xml:space="preserve"> [2019] VSCA 84</w:instrText>
      </w:r>
      <w:r w:rsidRPr="00EB7F1E">
        <w:rPr>
          <w:rFonts w:asciiTheme="minorHAnsi" w:hAnsiTheme="minorHAnsi" w:cstheme="minorHAnsi"/>
        </w:rPr>
        <w:instrText xml:space="preserve">" \s "Kao v R [2019] VSCA 84" \c 1 </w:instrText>
      </w:r>
      <w:r w:rsidRPr="00EB7F1E">
        <w:rPr>
          <w:rFonts w:asciiTheme="minorHAnsi" w:hAnsiTheme="minorHAnsi" w:cstheme="minorHAnsi"/>
          <w:bCs/>
        </w:rPr>
        <w:fldChar w:fldCharType="end"/>
      </w:r>
      <w:r w:rsidRPr="007809F4">
        <w:rPr>
          <w:rFonts w:asciiTheme="minorHAnsi" w:hAnsiTheme="minorHAnsi" w:cstheme="minorHAnsi"/>
          <w:bCs/>
        </w:rPr>
        <w:t>, [61]-[63].</w:t>
      </w:r>
    </w:p>
  </w:footnote>
  <w:footnote w:id="365">
    <w:p w14:paraId="5E9961AE" w14:textId="08CEFD2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IM v R</w:t>
      </w:r>
      <w:r w:rsidRPr="007809F4">
        <w:rPr>
          <w:rFonts w:asciiTheme="minorHAnsi" w:hAnsiTheme="minorHAnsi" w:cstheme="minorHAnsi"/>
        </w:rPr>
        <w:t xml:space="preserve"> [2019] NSWCCA 107</w:t>
      </w:r>
      <w:r w:rsidRPr="00EB7F1E">
        <w:rPr>
          <w:rFonts w:asciiTheme="minorHAnsi" w:hAnsiTheme="minorHAnsi" w:cstheme="minorHAnsi"/>
        </w:rPr>
        <w:fldChar w:fldCharType="begin"/>
      </w:r>
      <w:r w:rsidRPr="007809F4">
        <w:rPr>
          <w:rFonts w:asciiTheme="minorHAnsi" w:hAnsiTheme="minorHAnsi" w:cstheme="minorHAnsi"/>
        </w:rPr>
        <w:instrText xml:space="preserve"> TA \s "IM v R [2019] NSWCCA 107" </w:instrText>
      </w:r>
      <w:r w:rsidRPr="00EB7F1E">
        <w:rPr>
          <w:rFonts w:asciiTheme="minorHAnsi" w:hAnsiTheme="minorHAnsi" w:cstheme="minorHAnsi"/>
        </w:rPr>
        <w:fldChar w:fldCharType="end"/>
      </w:r>
      <w:r w:rsidRPr="007809F4">
        <w:rPr>
          <w:rFonts w:asciiTheme="minorHAnsi" w:hAnsiTheme="minorHAnsi" w:cstheme="minorHAnsi"/>
        </w:rPr>
        <w:t>, [53]-[56], [61], [64].</w:t>
      </w:r>
    </w:p>
  </w:footnote>
  <w:footnote w:id="366">
    <w:p w14:paraId="2FBD918D" w14:textId="5004407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Hartman v R</w:t>
      </w:r>
      <w:r w:rsidRPr="007809F4">
        <w:rPr>
          <w:rFonts w:asciiTheme="minorHAnsi" w:hAnsiTheme="minorHAnsi" w:cstheme="minorHAnsi"/>
        </w:rPr>
        <w:t xml:space="preserve"> [2011] NSWCCA 261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Hartman v R</w:instrText>
      </w:r>
      <w:r w:rsidRPr="007809F4">
        <w:rPr>
          <w:rFonts w:asciiTheme="minorHAnsi" w:hAnsiTheme="minorHAnsi" w:cstheme="minorHAnsi"/>
        </w:rPr>
        <w:instrText xml:space="preserve"> [2011] NSWCCA 261</w:instrText>
      </w:r>
      <w:r w:rsidRPr="00EB7F1E">
        <w:rPr>
          <w:rFonts w:asciiTheme="minorHAnsi" w:hAnsiTheme="minorHAnsi" w:cstheme="minorHAnsi"/>
        </w:rPr>
        <w:instrText xml:space="preserve">" \s "Hartman v R [2011] NSWCCA 261" \c 1 </w:instrText>
      </w:r>
      <w:r w:rsidRPr="00EB7F1E">
        <w:rPr>
          <w:rFonts w:asciiTheme="minorHAnsi" w:hAnsiTheme="minorHAnsi" w:cstheme="minorHAnsi"/>
        </w:rPr>
        <w:fldChar w:fldCharType="end"/>
      </w:r>
      <w:r w:rsidRPr="007809F4">
        <w:rPr>
          <w:rFonts w:asciiTheme="minorHAnsi" w:hAnsiTheme="minorHAnsi" w:cstheme="minorHAnsi"/>
        </w:rPr>
        <w:t xml:space="preserve">, [93]; </w:t>
      </w:r>
      <w:r w:rsidRPr="007809F4">
        <w:rPr>
          <w:rFonts w:asciiTheme="minorHAnsi" w:hAnsiTheme="minorHAnsi" w:cstheme="minorHAnsi"/>
          <w:i/>
        </w:rPr>
        <w:t xml:space="preserve">Kamay v R </w:t>
      </w:r>
      <w:r w:rsidRPr="007809F4">
        <w:rPr>
          <w:rFonts w:asciiTheme="minorHAnsi" w:hAnsiTheme="minorHAnsi" w:cstheme="minorHAnsi"/>
        </w:rPr>
        <w:t>(2015) 47 VR 475</w:t>
      </w:r>
      <w:r w:rsidRPr="00EB7F1E">
        <w:rPr>
          <w:rFonts w:asciiTheme="minorHAnsi" w:hAnsiTheme="minorHAnsi" w:cstheme="minorHAnsi"/>
        </w:rPr>
        <w:fldChar w:fldCharType="begin"/>
      </w:r>
      <w:r w:rsidRPr="007809F4">
        <w:rPr>
          <w:rFonts w:asciiTheme="minorHAnsi" w:hAnsiTheme="minorHAnsi" w:cstheme="minorHAnsi"/>
        </w:rPr>
        <w:instrText xml:space="preserve"> TA \s "Kamay v R (2015) 47 VR 475" </w:instrText>
      </w:r>
      <w:r w:rsidRPr="00EB7F1E">
        <w:rPr>
          <w:rFonts w:asciiTheme="minorHAnsi" w:hAnsiTheme="minorHAnsi" w:cstheme="minorHAnsi"/>
        </w:rPr>
        <w:fldChar w:fldCharType="end"/>
      </w:r>
      <w:r w:rsidRPr="007809F4">
        <w:rPr>
          <w:rFonts w:asciiTheme="minorHAnsi" w:hAnsiTheme="minorHAnsi" w:cstheme="minorHAnsi"/>
        </w:rPr>
        <w:t>, [53]-[56].</w:t>
      </w:r>
    </w:p>
  </w:footnote>
  <w:footnote w:id="367">
    <w:p w14:paraId="478975EC" w14:textId="5469CCF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Barbaro v R</w:t>
      </w:r>
      <w:r w:rsidRPr="007809F4">
        <w:rPr>
          <w:rFonts w:asciiTheme="minorHAnsi" w:hAnsiTheme="minorHAnsi" w:cstheme="minorHAnsi"/>
        </w:rPr>
        <w:t xml:space="preserve"> [2012] VSCA 288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[2012] VSCA 288" </w:instrText>
      </w:r>
      <w:r w:rsidRPr="00EB7F1E">
        <w:rPr>
          <w:rFonts w:asciiTheme="minorHAnsi" w:hAnsiTheme="minorHAnsi" w:cstheme="minorHAnsi"/>
        </w:rPr>
        <w:fldChar w:fldCharType="end"/>
      </w:r>
      <w:r w:rsidRPr="007809F4">
        <w:rPr>
          <w:rFonts w:asciiTheme="minorHAnsi" w:hAnsiTheme="minorHAnsi" w:cstheme="minorHAnsi"/>
        </w:rPr>
        <w:t>, [55].</w:t>
      </w:r>
    </w:p>
  </w:footnote>
  <w:footnote w:id="368">
    <w:p w14:paraId="2C65A260" w14:textId="6855565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Vella v R </w:t>
      </w:r>
      <w:r w:rsidRPr="007809F4">
        <w:rPr>
          <w:rFonts w:asciiTheme="minorHAnsi" w:hAnsiTheme="minorHAnsi" w:cstheme="minorHAnsi"/>
        </w:rPr>
        <w:t>[2001] VSCA 174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Vella v R </w:instrText>
      </w:r>
      <w:r w:rsidRPr="007809F4">
        <w:rPr>
          <w:rFonts w:asciiTheme="minorHAnsi" w:hAnsiTheme="minorHAnsi" w:cstheme="minorHAnsi"/>
        </w:rPr>
        <w:instrText>[2001] VSCA 174</w:instrText>
      </w:r>
      <w:r w:rsidRPr="00EB7F1E">
        <w:rPr>
          <w:rFonts w:asciiTheme="minorHAnsi" w:hAnsiTheme="minorHAnsi" w:cstheme="minorHAnsi"/>
        </w:rPr>
        <w:instrText xml:space="preserve">" \s "Vella v R [2001] VSCA 174" \c 1 </w:instrText>
      </w:r>
      <w:r w:rsidRPr="00EB7F1E">
        <w:rPr>
          <w:rFonts w:asciiTheme="minorHAnsi" w:hAnsiTheme="minorHAnsi" w:cstheme="minorHAnsi"/>
        </w:rPr>
        <w:fldChar w:fldCharType="end"/>
      </w:r>
      <w:r w:rsidRPr="007809F4">
        <w:rPr>
          <w:rFonts w:asciiTheme="minorHAnsi" w:hAnsiTheme="minorHAnsi" w:cstheme="minorHAnsi"/>
        </w:rPr>
        <w:t xml:space="preserve">, [18]; </w:t>
      </w:r>
      <w:r w:rsidRPr="007809F4">
        <w:rPr>
          <w:rFonts w:asciiTheme="minorHAnsi" w:hAnsiTheme="minorHAnsi" w:cstheme="minorHAnsi"/>
          <w:i/>
        </w:rPr>
        <w:t>R v RLP</w:t>
      </w:r>
      <w:r w:rsidRPr="007809F4">
        <w:rPr>
          <w:rFonts w:asciiTheme="minorHAnsi" w:hAnsiTheme="minorHAnsi" w:cstheme="minorHAnsi"/>
        </w:rPr>
        <w:t xml:space="preserve"> [2009] VSCA 271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RLP</w:instrText>
      </w:r>
      <w:r w:rsidRPr="007809F4">
        <w:rPr>
          <w:rFonts w:asciiTheme="minorHAnsi" w:hAnsiTheme="minorHAnsi" w:cstheme="minorHAnsi"/>
        </w:rPr>
        <w:instrText xml:space="preserve"> [2009] VSCA 271</w:instrText>
      </w:r>
      <w:r w:rsidRPr="00EB7F1E">
        <w:rPr>
          <w:rFonts w:asciiTheme="minorHAnsi" w:hAnsiTheme="minorHAnsi" w:cstheme="minorHAnsi"/>
        </w:rPr>
        <w:instrText xml:space="preserve">" \s "R v RLP [2009] VSCA 271" \c 1 </w:instrText>
      </w:r>
      <w:r w:rsidRPr="00EB7F1E">
        <w:rPr>
          <w:rFonts w:asciiTheme="minorHAnsi" w:hAnsiTheme="minorHAnsi" w:cstheme="minorHAnsi"/>
        </w:rPr>
        <w:fldChar w:fldCharType="end"/>
      </w:r>
      <w:r w:rsidRPr="007809F4">
        <w:rPr>
          <w:rFonts w:asciiTheme="minorHAnsi" w:hAnsiTheme="minorHAnsi" w:cstheme="minorHAnsi"/>
        </w:rPr>
        <w:t xml:space="preserve">, [32]-[39]; </w:t>
      </w:r>
      <w:r w:rsidRPr="007809F4">
        <w:rPr>
          <w:rFonts w:asciiTheme="minorHAnsi" w:hAnsiTheme="minorHAnsi" w:cstheme="minorHAnsi"/>
          <w:i/>
        </w:rPr>
        <w:t>Ljuboja v R</w:t>
      </w:r>
      <w:r w:rsidRPr="007809F4">
        <w:rPr>
          <w:rFonts w:asciiTheme="minorHAnsi" w:hAnsiTheme="minorHAnsi" w:cstheme="minorHAnsi"/>
        </w:rPr>
        <w:t xml:space="preserve"> [2011] WASCA 143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Ljuboja v R</w:instrText>
      </w:r>
      <w:r w:rsidRPr="007809F4">
        <w:rPr>
          <w:rFonts w:asciiTheme="minorHAnsi" w:hAnsiTheme="minorHAnsi" w:cstheme="minorHAnsi"/>
        </w:rPr>
        <w:instrText xml:space="preserve"> [2011] WASCA 143</w:instrText>
      </w:r>
      <w:r w:rsidRPr="00EB7F1E">
        <w:rPr>
          <w:rFonts w:asciiTheme="minorHAnsi" w:hAnsiTheme="minorHAnsi" w:cstheme="minorHAnsi"/>
        </w:rPr>
        <w:instrText xml:space="preserve">" \s "Ljuboja v R [2011] WASCA 143" \c 1 </w:instrText>
      </w:r>
      <w:r w:rsidRPr="00EB7F1E">
        <w:rPr>
          <w:rFonts w:asciiTheme="minorHAnsi" w:hAnsiTheme="minorHAnsi" w:cstheme="minorHAnsi"/>
        </w:rPr>
        <w:fldChar w:fldCharType="end"/>
      </w:r>
      <w:r w:rsidRPr="007809F4">
        <w:rPr>
          <w:rFonts w:asciiTheme="minorHAnsi" w:hAnsiTheme="minorHAnsi" w:cstheme="minorHAnsi"/>
        </w:rPr>
        <w:t>, [102].</w:t>
      </w:r>
    </w:p>
  </w:footnote>
  <w:footnote w:id="369">
    <w:p w14:paraId="423B6A48" w14:textId="0DCFF4D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Yates</w:t>
      </w:r>
      <w:r w:rsidRPr="007809F4">
        <w:rPr>
          <w:rFonts w:asciiTheme="minorHAnsi" w:hAnsiTheme="minorHAnsi" w:cstheme="minorHAnsi"/>
        </w:rPr>
        <w:t xml:space="preserve"> [1985] VR 41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Yates</w:instrText>
      </w:r>
      <w:r w:rsidRPr="007809F4">
        <w:rPr>
          <w:rFonts w:asciiTheme="minorHAnsi" w:hAnsiTheme="minorHAnsi" w:cstheme="minorHAnsi"/>
        </w:rPr>
        <w:instrText xml:space="preserve"> [1985] VR 41</w:instrText>
      </w:r>
      <w:r w:rsidRPr="00EB7F1E">
        <w:rPr>
          <w:rFonts w:asciiTheme="minorHAnsi" w:hAnsiTheme="minorHAnsi" w:cstheme="minorHAnsi"/>
        </w:rPr>
        <w:instrText xml:space="preserve">" \s "R v Yates [1985] VR 41" \c 1 </w:instrText>
      </w:r>
      <w:r w:rsidRPr="00EB7F1E">
        <w:rPr>
          <w:rFonts w:asciiTheme="minorHAnsi" w:hAnsiTheme="minorHAnsi" w:cstheme="minorHAnsi"/>
        </w:rPr>
        <w:fldChar w:fldCharType="end"/>
      </w:r>
      <w:r w:rsidRPr="007809F4">
        <w:rPr>
          <w:rFonts w:asciiTheme="minorHAnsi" w:hAnsiTheme="minorHAnsi" w:cstheme="minorHAnsi"/>
        </w:rPr>
        <w:t xml:space="preserve">, 48; </w:t>
      </w:r>
      <w:r w:rsidRPr="007809F4">
        <w:rPr>
          <w:rFonts w:asciiTheme="minorHAnsi" w:hAnsiTheme="minorHAnsi" w:cstheme="minorHAnsi"/>
          <w:i/>
        </w:rPr>
        <w:t>R v MAK</w:t>
      </w:r>
      <w:r w:rsidRPr="007809F4">
        <w:rPr>
          <w:rFonts w:asciiTheme="minorHAnsi" w:hAnsiTheme="minorHAnsi" w:cstheme="minorHAnsi"/>
        </w:rPr>
        <w:t xml:space="preserve"> </w:t>
      </w:r>
      <w:hyperlink r:id="rId6" w:tooltip="View Case" w:history="1">
        <w:r w:rsidRPr="007809F4">
          <w:rPr>
            <w:rFonts w:asciiTheme="minorHAnsi" w:hAnsiTheme="minorHAnsi" w:cstheme="minorHAnsi"/>
          </w:rPr>
          <w:t>[2006] NSWCCA 381</w:t>
        </w:r>
      </w:hyperlink>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MAK</w:instrText>
      </w:r>
      <w:r w:rsidRPr="007809F4">
        <w:rPr>
          <w:rFonts w:asciiTheme="minorHAnsi" w:hAnsiTheme="minorHAnsi" w:cstheme="minorHAnsi"/>
        </w:rPr>
        <w:instrText xml:space="preserve"> [2006] NSWCCA 381</w:instrText>
      </w:r>
      <w:r w:rsidRPr="00EB7F1E">
        <w:rPr>
          <w:rFonts w:asciiTheme="minorHAnsi" w:hAnsiTheme="minorHAnsi" w:cstheme="minorHAnsi"/>
        </w:rPr>
        <w:instrText xml:space="preserve">" \s "R v MAK [2006] NSWCCA 381" \c 1 </w:instrText>
      </w:r>
      <w:r w:rsidRPr="00EB7F1E">
        <w:rPr>
          <w:rFonts w:asciiTheme="minorHAnsi" w:hAnsiTheme="minorHAnsi" w:cstheme="minorHAnsi"/>
        </w:rPr>
        <w:fldChar w:fldCharType="end"/>
      </w:r>
      <w:r w:rsidRPr="007809F4">
        <w:rPr>
          <w:rFonts w:asciiTheme="minorHAnsi" w:hAnsiTheme="minorHAnsi" w:cstheme="minorHAnsi"/>
        </w:rPr>
        <w:t xml:space="preserve">, </w:t>
      </w:r>
      <w:hyperlink r:id="rId7" w:anchor="para97" w:history="1">
        <w:r w:rsidRPr="007809F4">
          <w:rPr>
            <w:rFonts w:asciiTheme="minorHAnsi" w:hAnsiTheme="minorHAnsi" w:cstheme="minorHAnsi"/>
          </w:rPr>
          <w:t>[97]</w:t>
        </w:r>
      </w:hyperlink>
      <w:r w:rsidRPr="007809F4">
        <w:rPr>
          <w:rFonts w:asciiTheme="minorHAnsi" w:hAnsiTheme="minorHAnsi" w:cstheme="minorHAnsi"/>
        </w:rPr>
        <w:t>.</w:t>
      </w:r>
    </w:p>
  </w:footnote>
  <w:footnote w:id="370">
    <w:p w14:paraId="4FB48671" w14:textId="1B0CCBF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RLP</w:t>
      </w:r>
      <w:r w:rsidRPr="007809F4">
        <w:rPr>
          <w:rFonts w:asciiTheme="minorHAnsi" w:hAnsiTheme="minorHAnsi" w:cstheme="minorHAnsi"/>
        </w:rPr>
        <w:t xml:space="preserve"> [2009] VSCA 271</w:t>
      </w:r>
      <w:r w:rsidRPr="00EB7F1E">
        <w:rPr>
          <w:rFonts w:asciiTheme="minorHAnsi" w:hAnsiTheme="minorHAnsi" w:cstheme="minorHAnsi"/>
        </w:rPr>
        <w:fldChar w:fldCharType="begin"/>
      </w:r>
      <w:r w:rsidRPr="007809F4">
        <w:rPr>
          <w:rFonts w:asciiTheme="minorHAnsi" w:hAnsiTheme="minorHAnsi" w:cstheme="minorHAnsi"/>
        </w:rPr>
        <w:instrText xml:space="preserve"> TA \s "R v RLP [2009] VSCA 271"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Ljuboja v R</w:t>
      </w:r>
      <w:r w:rsidRPr="007809F4">
        <w:rPr>
          <w:rFonts w:asciiTheme="minorHAnsi" w:hAnsiTheme="minorHAnsi" w:cstheme="minorHAnsi"/>
        </w:rPr>
        <w:t xml:space="preserve"> [2011] WASCA 143</w:t>
      </w:r>
      <w:r w:rsidRPr="00EB7F1E">
        <w:rPr>
          <w:rFonts w:asciiTheme="minorHAnsi" w:hAnsiTheme="minorHAnsi" w:cstheme="minorHAnsi"/>
        </w:rPr>
        <w:fldChar w:fldCharType="begin"/>
      </w:r>
      <w:r w:rsidRPr="007809F4">
        <w:rPr>
          <w:rFonts w:asciiTheme="minorHAnsi" w:hAnsiTheme="minorHAnsi" w:cstheme="minorHAnsi"/>
        </w:rPr>
        <w:instrText xml:space="preserve"> TA \s "Ljuboja v R [2011] WASCA 143" </w:instrText>
      </w:r>
      <w:r w:rsidRPr="00EB7F1E">
        <w:rPr>
          <w:rFonts w:asciiTheme="minorHAnsi" w:hAnsiTheme="minorHAnsi" w:cstheme="minorHAnsi"/>
        </w:rPr>
        <w:fldChar w:fldCharType="end"/>
      </w:r>
      <w:r w:rsidRPr="007809F4">
        <w:rPr>
          <w:rFonts w:asciiTheme="minorHAnsi" w:hAnsiTheme="minorHAnsi" w:cstheme="minorHAnsi"/>
        </w:rPr>
        <w:t>, [103].</w:t>
      </w:r>
    </w:p>
  </w:footnote>
  <w:footnote w:id="371">
    <w:p w14:paraId="29B3F33F" w14:textId="1BD21F1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Sopher</w:t>
      </w:r>
      <w:r w:rsidRPr="007809F4">
        <w:rPr>
          <w:rFonts w:asciiTheme="minorHAnsi" w:hAnsiTheme="minorHAnsi" w:cstheme="minorHAnsi"/>
        </w:rPr>
        <w:t xml:space="preserve"> (1993) 70 A Crim R 570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Sopher</w:instrText>
      </w:r>
      <w:r w:rsidRPr="007809F4">
        <w:rPr>
          <w:rFonts w:asciiTheme="minorHAnsi" w:hAnsiTheme="minorHAnsi" w:cstheme="minorHAnsi"/>
        </w:rPr>
        <w:instrText xml:space="preserve"> (1993) 70 A Crim R 570</w:instrText>
      </w:r>
      <w:r w:rsidRPr="00EB7F1E">
        <w:rPr>
          <w:rFonts w:asciiTheme="minorHAnsi" w:hAnsiTheme="minorHAnsi" w:cstheme="minorHAnsi"/>
        </w:rPr>
        <w:instrText xml:space="preserve">" \s "R v Sopher (1993) 70 A Crim R 570"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Hart</w:t>
      </w:r>
      <w:r w:rsidRPr="007809F4">
        <w:rPr>
          <w:rFonts w:asciiTheme="minorHAnsi" w:hAnsiTheme="minorHAnsi" w:cstheme="minorHAnsi"/>
        </w:rPr>
        <w:t xml:space="preserve"> [1999] NSWCCA 204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Hart</w:instrText>
      </w:r>
      <w:r w:rsidRPr="007809F4">
        <w:rPr>
          <w:rFonts w:asciiTheme="minorHAnsi" w:hAnsiTheme="minorHAnsi" w:cstheme="minorHAnsi"/>
        </w:rPr>
        <w:instrText xml:space="preserve"> [1999] NSWCCA 204</w:instrText>
      </w:r>
      <w:r w:rsidRPr="00EB7F1E">
        <w:rPr>
          <w:rFonts w:asciiTheme="minorHAnsi" w:hAnsiTheme="minorHAnsi" w:cstheme="minorHAnsi"/>
        </w:rPr>
        <w:instrText xml:space="preserve">" \s "R v Hart [1999] NSWCCA 204"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Barbaro v R</w:t>
      </w:r>
      <w:r w:rsidRPr="007809F4">
        <w:rPr>
          <w:rFonts w:asciiTheme="minorHAnsi" w:hAnsiTheme="minorHAnsi" w:cstheme="minorHAnsi"/>
        </w:rPr>
        <w:t xml:space="preserve"> [2012] VSCA 288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[2012] VSCA 288" </w:instrText>
      </w:r>
      <w:r w:rsidRPr="00EB7F1E">
        <w:rPr>
          <w:rFonts w:asciiTheme="minorHAnsi" w:hAnsiTheme="minorHAnsi" w:cstheme="minorHAnsi"/>
        </w:rPr>
        <w:fldChar w:fldCharType="end"/>
      </w:r>
      <w:r w:rsidRPr="007809F4">
        <w:rPr>
          <w:rFonts w:asciiTheme="minorHAnsi" w:hAnsiTheme="minorHAnsi" w:cstheme="minorHAnsi"/>
        </w:rPr>
        <w:t xml:space="preserve">, [55]; </w:t>
      </w:r>
      <w:r w:rsidRPr="007809F4">
        <w:rPr>
          <w:rFonts w:asciiTheme="minorHAnsi" w:hAnsiTheme="minorHAnsi" w:cstheme="minorHAnsi"/>
          <w:i/>
        </w:rPr>
        <w:t>De Faria v Western Australia</w:t>
      </w:r>
      <w:r w:rsidRPr="007809F4">
        <w:rPr>
          <w:rFonts w:asciiTheme="minorHAnsi" w:hAnsiTheme="minorHAnsi" w:cstheme="minorHAnsi"/>
        </w:rPr>
        <w:t xml:space="preserve"> [2013] WASCA 116</w:t>
      </w:r>
      <w:r w:rsidRPr="00EB7F1E">
        <w:rPr>
          <w:rFonts w:asciiTheme="minorHAnsi" w:hAnsiTheme="minorHAnsi" w:cstheme="minorHAnsi"/>
        </w:rPr>
        <w:fldChar w:fldCharType="begin"/>
      </w:r>
      <w:r w:rsidRPr="007809F4">
        <w:rPr>
          <w:rFonts w:asciiTheme="minorHAnsi" w:hAnsiTheme="minorHAnsi" w:cstheme="minorHAnsi"/>
        </w:rPr>
        <w:instrText xml:space="preserve"> TA \s "De Faria v Western Australia [2013] WASCA 116" </w:instrText>
      </w:r>
      <w:r w:rsidRPr="00EB7F1E">
        <w:rPr>
          <w:rFonts w:asciiTheme="minorHAnsi" w:hAnsiTheme="minorHAnsi" w:cstheme="minorHAnsi"/>
        </w:rPr>
        <w:fldChar w:fldCharType="end"/>
      </w:r>
      <w:r w:rsidRPr="007809F4">
        <w:rPr>
          <w:rFonts w:asciiTheme="minorHAnsi" w:hAnsiTheme="minorHAnsi" w:cstheme="minorHAnsi"/>
        </w:rPr>
        <w:t xml:space="preserve">, [164]-[168]; </w:t>
      </w:r>
      <w:r w:rsidRPr="007809F4">
        <w:rPr>
          <w:rFonts w:asciiTheme="minorHAnsi" w:hAnsiTheme="minorHAnsi" w:cstheme="minorHAnsi"/>
          <w:i/>
        </w:rPr>
        <w:t>Dickson v R</w:t>
      </w:r>
      <w:r w:rsidRPr="007809F4">
        <w:rPr>
          <w:rFonts w:asciiTheme="minorHAnsi" w:hAnsiTheme="minorHAnsi" w:cstheme="minorHAnsi"/>
        </w:rPr>
        <w:t xml:space="preserve"> [2016] NSWCCA 105</w:t>
      </w:r>
      <w:r w:rsidRPr="00EB7F1E">
        <w:rPr>
          <w:rFonts w:asciiTheme="minorHAnsi" w:hAnsiTheme="minorHAnsi" w:cstheme="minorHAnsi"/>
        </w:rPr>
        <w:fldChar w:fldCharType="begin"/>
      </w:r>
      <w:r w:rsidRPr="007809F4">
        <w:rPr>
          <w:rFonts w:asciiTheme="minorHAnsi" w:hAnsiTheme="minorHAnsi" w:cstheme="minorHAnsi"/>
        </w:rPr>
        <w:instrText xml:space="preserve"> TA \s "Dickson v R [2016] NSWCCA 105" </w:instrText>
      </w:r>
      <w:r w:rsidRPr="00EB7F1E">
        <w:rPr>
          <w:rFonts w:asciiTheme="minorHAnsi" w:hAnsiTheme="minorHAnsi" w:cstheme="minorHAnsi"/>
        </w:rPr>
        <w:fldChar w:fldCharType="end"/>
      </w:r>
      <w:r w:rsidRPr="007809F4">
        <w:rPr>
          <w:rFonts w:asciiTheme="minorHAnsi" w:hAnsiTheme="minorHAnsi" w:cstheme="minorHAnsi"/>
        </w:rPr>
        <w:t>, [198].</w:t>
      </w:r>
      <w:r w:rsidRPr="007809F4">
        <w:rPr>
          <w:rStyle w:val="Heading2Char"/>
          <w:rFonts w:cstheme="minorHAnsi"/>
          <w:sz w:val="20"/>
        </w:rPr>
        <w:t xml:space="preserve"> </w:t>
      </w:r>
    </w:p>
  </w:footnote>
  <w:footnote w:id="372">
    <w:p w14:paraId="26476FAA" w14:textId="58E8AAD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3(2) of the </w:t>
      </w:r>
      <w:r w:rsidRPr="007809F4">
        <w:rPr>
          <w:rFonts w:asciiTheme="minorHAnsi" w:hAnsiTheme="minorHAnsi" w:cstheme="minorHAnsi"/>
          <w:i/>
        </w:rPr>
        <w:t>Crimes Act 1914 (Cth)</w:t>
      </w:r>
      <w:r w:rsidRPr="007809F4">
        <w:rPr>
          <w:rFonts w:asciiTheme="minorHAnsi" w:hAnsiTheme="minorHAnsi" w:cstheme="minorHAnsi"/>
        </w:rPr>
        <w:t xml:space="preserve"> provides that a reference to a “fine” in the Act includes a reference to a pecuniary penalty (other than a pecuniary penalty imposed under Division 3 of Part XIII of the Customs Act 1901, or certain orders under confiscation legislation) and to costs or other amounts ordered to be paid by offenders.</w:t>
      </w:r>
    </w:p>
  </w:footnote>
  <w:footnote w:id="373">
    <w:p w14:paraId="2F7F8CD1" w14:textId="0738C4F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[21]-[23],[25],[28]</w:t>
      </w:r>
      <w:r w:rsidRPr="007809F4">
        <w:rPr>
          <w:rFonts w:asciiTheme="minorHAnsi" w:hAnsiTheme="minorHAnsi" w:cstheme="minorHAnsi"/>
          <w:color w:val="000000"/>
          <w:lang w:eastAsia="en-AU"/>
        </w:rPr>
        <w:t xml:space="preserve">.  See also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xml:space="preserve">.  Under common law principles, it has been said that cogent evidence, normally in the form of an expert opinion, is necessary to establish the existence of the relevant mental impairment (either at the time of the offence, or at sentence, or both) and the nature, extent and effect of the mental impairment experienced by the offender at the relevant time: see </w:t>
      </w:r>
      <w:r w:rsidRPr="007809F4">
        <w:rPr>
          <w:rFonts w:asciiTheme="minorHAnsi" w:hAnsiTheme="minorHAnsi" w:cstheme="minorHAnsi"/>
          <w:i/>
        </w:rPr>
        <w:t>DPP v O’Neill</w:t>
      </w:r>
      <w:r w:rsidRPr="007809F4">
        <w:rPr>
          <w:rFonts w:asciiTheme="minorHAnsi" w:hAnsiTheme="minorHAnsi" w:cstheme="minorHAnsi"/>
        </w:rPr>
        <w:t xml:space="preserve"> (2015) 47 VR 395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O’Neill</w:instrText>
      </w:r>
      <w:r w:rsidRPr="007809F4">
        <w:rPr>
          <w:rFonts w:asciiTheme="minorHAnsi" w:hAnsiTheme="minorHAnsi" w:cstheme="minorHAnsi"/>
        </w:rPr>
        <w:instrText xml:space="preserve"> (2015) 47 VR 395</w:instrText>
      </w:r>
      <w:r w:rsidRPr="00EB7F1E">
        <w:rPr>
          <w:rFonts w:asciiTheme="minorHAnsi" w:hAnsiTheme="minorHAnsi" w:cstheme="minorHAnsi"/>
        </w:rPr>
        <w:instrText>" \s "DPP v O</w:instrText>
      </w:r>
      <w:r w:rsidRPr="007809F4">
        <w:rPr>
          <w:rFonts w:asciiTheme="minorHAnsi" w:hAnsiTheme="minorHAnsi" w:cstheme="minorHAnsi"/>
        </w:rPr>
        <w:instrText>’</w:instrText>
      </w:r>
      <w:r w:rsidRPr="00EB7F1E">
        <w:rPr>
          <w:rFonts w:asciiTheme="minorHAnsi" w:hAnsiTheme="minorHAnsi" w:cstheme="minorHAnsi"/>
        </w:rPr>
        <w:instrText xml:space="preserve">Neill (2015) 47 VR 395" \c 1 </w:instrText>
      </w:r>
      <w:r w:rsidRPr="00EB7F1E">
        <w:rPr>
          <w:rFonts w:asciiTheme="minorHAnsi" w:hAnsiTheme="minorHAnsi" w:cstheme="minorHAnsi"/>
        </w:rPr>
        <w:fldChar w:fldCharType="end"/>
      </w:r>
      <w:r w:rsidRPr="007809F4">
        <w:rPr>
          <w:rFonts w:asciiTheme="minorHAnsi" w:hAnsiTheme="minorHAnsi" w:cstheme="minorHAnsi"/>
        </w:rPr>
        <w:t>, [77], and the cases cited there.</w:t>
      </w:r>
    </w:p>
  </w:footnote>
  <w:footnote w:id="374">
    <w:p w14:paraId="0DB52D35" w14:textId="6584D28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Smith</w:t>
      </w:r>
      <w:r w:rsidRPr="007809F4">
        <w:rPr>
          <w:rFonts w:asciiTheme="minorHAnsi" w:hAnsiTheme="minorHAnsi" w:cstheme="minorHAnsi"/>
        </w:rPr>
        <w:t xml:space="preserve"> (1987) 44 SASR 587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Smith</w:instrText>
      </w:r>
      <w:r w:rsidRPr="007809F4">
        <w:rPr>
          <w:rFonts w:asciiTheme="minorHAnsi" w:hAnsiTheme="minorHAnsi" w:cstheme="minorHAnsi"/>
        </w:rPr>
        <w:instrText xml:space="preserve"> (1987) 44 SASR 587</w:instrText>
      </w:r>
      <w:r w:rsidRPr="00EB7F1E">
        <w:rPr>
          <w:rFonts w:asciiTheme="minorHAnsi" w:hAnsiTheme="minorHAnsi" w:cstheme="minorHAnsi"/>
        </w:rPr>
        <w:instrText xml:space="preserve">" \s "R v Smith (1987) 44 SASR 587" \c 1 </w:instrText>
      </w:r>
      <w:r w:rsidRPr="00EB7F1E">
        <w:rPr>
          <w:rFonts w:asciiTheme="minorHAnsi" w:hAnsiTheme="minorHAnsi" w:cstheme="minorHAnsi"/>
        </w:rPr>
        <w:fldChar w:fldCharType="end"/>
      </w:r>
      <w:r w:rsidRPr="007809F4">
        <w:rPr>
          <w:rFonts w:asciiTheme="minorHAnsi" w:hAnsiTheme="minorHAnsi" w:cstheme="minorHAnsi"/>
        </w:rPr>
        <w:t xml:space="preserve">, 589; cited with approval in </w:t>
      </w:r>
      <w:r w:rsidRPr="007809F4">
        <w:rPr>
          <w:rFonts w:asciiTheme="minorHAnsi" w:hAnsiTheme="minorHAnsi" w:cstheme="minorHAnsi"/>
          <w:i/>
        </w:rPr>
        <w:t xml:space="preserve">Muldrock v R </w:t>
      </w:r>
      <w:r w:rsidRPr="007809F4">
        <w:rPr>
          <w:rFonts w:asciiTheme="minorHAnsi" w:hAnsiTheme="minorHAnsi" w:cstheme="minorHAnsi"/>
        </w:rPr>
        <w:t>(2011) 244 CLR 120</w:t>
      </w:r>
      <w:r w:rsidRPr="00EB7F1E">
        <w:rPr>
          <w:rFonts w:asciiTheme="minorHAnsi" w:hAnsiTheme="minorHAnsi" w:cstheme="minorHAnsi"/>
        </w:rPr>
        <w:fldChar w:fldCharType="begin"/>
      </w:r>
      <w:r w:rsidRPr="007809F4">
        <w:rPr>
          <w:rFonts w:asciiTheme="minorHAnsi" w:hAnsiTheme="minorHAnsi" w:cstheme="minorHAnsi"/>
        </w:rPr>
        <w:instrText xml:space="preserve"> TA \s "Muldrock v R (2011) 244 CLR 120" </w:instrText>
      </w:r>
      <w:r w:rsidRPr="00EB7F1E">
        <w:rPr>
          <w:rFonts w:asciiTheme="minorHAnsi" w:hAnsiTheme="minorHAnsi" w:cstheme="minorHAnsi"/>
        </w:rPr>
        <w:fldChar w:fldCharType="end"/>
      </w:r>
      <w:r w:rsidRPr="007809F4">
        <w:rPr>
          <w:rFonts w:asciiTheme="minorHAnsi" w:hAnsiTheme="minorHAnsi" w:cstheme="minorHAnsi"/>
        </w:rPr>
        <w:t>, [19].</w:t>
      </w:r>
    </w:p>
  </w:footnote>
  <w:footnote w:id="375">
    <w:p w14:paraId="33E509CB" w14:textId="21C2A28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Van Boxtel</w:t>
      </w:r>
      <w:r w:rsidRPr="007809F4">
        <w:rPr>
          <w:rFonts w:asciiTheme="minorHAnsi" w:hAnsiTheme="minorHAnsi" w:cstheme="minorHAnsi"/>
        </w:rPr>
        <w:t xml:space="preserve"> (2005) 11 VR 258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Van Boxtel</w:instrText>
      </w:r>
      <w:r w:rsidRPr="007809F4">
        <w:rPr>
          <w:rFonts w:asciiTheme="minorHAnsi" w:hAnsiTheme="minorHAnsi" w:cstheme="minorHAnsi"/>
        </w:rPr>
        <w:instrText xml:space="preserve"> (2005) 11 VR 258</w:instrText>
      </w:r>
      <w:r w:rsidRPr="00EB7F1E">
        <w:rPr>
          <w:rFonts w:asciiTheme="minorHAnsi" w:hAnsiTheme="minorHAnsi" w:cstheme="minorHAnsi"/>
        </w:rPr>
        <w:instrText xml:space="preserve">" \s "R v Van Boxtel (2005) 11 VR 258" \c 1 </w:instrText>
      </w:r>
      <w:r w:rsidRPr="00EB7F1E">
        <w:rPr>
          <w:rFonts w:asciiTheme="minorHAnsi" w:hAnsiTheme="minorHAnsi" w:cstheme="minorHAnsi"/>
        </w:rPr>
        <w:fldChar w:fldCharType="end"/>
      </w:r>
      <w:r w:rsidRPr="007809F4">
        <w:rPr>
          <w:rFonts w:asciiTheme="minorHAnsi" w:hAnsiTheme="minorHAnsi" w:cstheme="minorHAnsi"/>
        </w:rPr>
        <w:t>, [29]-[34].</w:t>
      </w:r>
    </w:p>
  </w:footnote>
  <w:footnote w:id="376">
    <w:p w14:paraId="250E85DF" w14:textId="30D5631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Van Boxtel</w:t>
      </w:r>
      <w:r w:rsidRPr="007809F4">
        <w:rPr>
          <w:rFonts w:asciiTheme="minorHAnsi" w:hAnsiTheme="minorHAnsi" w:cstheme="minorHAnsi"/>
        </w:rPr>
        <w:t xml:space="preserve"> (2005) 11 VR 258</w:t>
      </w:r>
      <w:r w:rsidRPr="00EB7F1E">
        <w:rPr>
          <w:rFonts w:asciiTheme="minorHAnsi" w:hAnsiTheme="minorHAnsi" w:cstheme="minorHAnsi"/>
        </w:rPr>
        <w:fldChar w:fldCharType="begin"/>
      </w:r>
      <w:r w:rsidRPr="007809F4">
        <w:rPr>
          <w:rFonts w:asciiTheme="minorHAnsi" w:hAnsiTheme="minorHAnsi" w:cstheme="minorHAnsi"/>
        </w:rPr>
        <w:instrText xml:space="preserve"> TA \s "R v Van Boxtel (2005) 11 VR 258" </w:instrText>
      </w:r>
      <w:r w:rsidRPr="00EB7F1E">
        <w:rPr>
          <w:rFonts w:asciiTheme="minorHAnsi" w:hAnsiTheme="minorHAnsi" w:cstheme="minorHAnsi"/>
        </w:rPr>
        <w:fldChar w:fldCharType="end"/>
      </w:r>
      <w:r w:rsidRPr="007809F4">
        <w:rPr>
          <w:rFonts w:asciiTheme="minorHAnsi" w:hAnsiTheme="minorHAnsi" w:cstheme="minorHAnsi"/>
        </w:rPr>
        <w:t xml:space="preserve">, [32]-[32], disapproving a contrary view expressed in </w:t>
      </w:r>
      <w:r w:rsidRPr="007809F4">
        <w:rPr>
          <w:rFonts w:asciiTheme="minorHAnsi" w:hAnsiTheme="minorHAnsi" w:cstheme="minorHAnsi"/>
          <w:i/>
        </w:rPr>
        <w:t>R v Boyes</w:t>
      </w:r>
      <w:r w:rsidRPr="007809F4">
        <w:rPr>
          <w:rFonts w:asciiTheme="minorHAnsi" w:hAnsiTheme="minorHAnsi" w:cstheme="minorHAnsi"/>
        </w:rPr>
        <w:t xml:space="preserve"> (2004) 8 VR 230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Boyes</w:instrText>
      </w:r>
      <w:r w:rsidRPr="007809F4">
        <w:rPr>
          <w:rFonts w:asciiTheme="minorHAnsi" w:hAnsiTheme="minorHAnsi" w:cstheme="minorHAnsi"/>
        </w:rPr>
        <w:instrText xml:space="preserve"> (2004) 8 VR 230</w:instrText>
      </w:r>
      <w:r w:rsidRPr="00EB7F1E">
        <w:rPr>
          <w:rFonts w:asciiTheme="minorHAnsi" w:hAnsiTheme="minorHAnsi" w:cstheme="minorHAnsi"/>
        </w:rPr>
        <w:instrText xml:space="preserve">" \s "R v Boyes (2004) 8 VR 230"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77">
    <w:p w14:paraId="75DA5D4D" w14:textId="7A54477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Scott</w:t>
      </w:r>
      <w:r w:rsidRPr="007809F4">
        <w:rPr>
          <w:rFonts w:asciiTheme="minorHAnsi" w:hAnsiTheme="minorHAnsi" w:cstheme="minorHAnsi"/>
        </w:rPr>
        <w:t xml:space="preserve"> [2003] NSWCCA 28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Scott</w:instrText>
      </w:r>
      <w:r w:rsidRPr="007809F4">
        <w:rPr>
          <w:rFonts w:asciiTheme="minorHAnsi" w:hAnsiTheme="minorHAnsi" w:cstheme="minorHAnsi"/>
        </w:rPr>
        <w:instrText xml:space="preserve"> [2003] NSWCCA 28" \s "R v Scott [2003] NSWCCA 28"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78">
    <w:p w14:paraId="58B4B9A9" w14:textId="6A90A19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Ryder v R</w:t>
      </w:r>
      <w:r w:rsidRPr="007809F4">
        <w:rPr>
          <w:rFonts w:asciiTheme="minorHAnsi" w:hAnsiTheme="minorHAnsi" w:cstheme="minorHAnsi"/>
        </w:rPr>
        <w:t xml:space="preserve"> [2016] VSCA 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Ryder v R</w:instrText>
      </w:r>
      <w:r w:rsidRPr="007809F4">
        <w:rPr>
          <w:rFonts w:asciiTheme="minorHAnsi" w:hAnsiTheme="minorHAnsi" w:cstheme="minorHAnsi"/>
        </w:rPr>
        <w:instrText xml:space="preserve"> [2016] VSCA 3</w:instrText>
      </w:r>
      <w:r w:rsidRPr="00EB7F1E">
        <w:rPr>
          <w:rFonts w:asciiTheme="minorHAnsi" w:hAnsiTheme="minorHAnsi" w:cstheme="minorHAnsi"/>
        </w:rPr>
        <w:instrText xml:space="preserve">" \s "Ryder v R [2016] VSCA 3"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79">
    <w:p w14:paraId="285597C6" w14:textId="27E8518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As to whether a personality disorder should be regarded as capable of constituting impaired mental functioning for the purposes of sentencing, see </w:t>
      </w:r>
      <w:r w:rsidRPr="007809F4">
        <w:rPr>
          <w:rFonts w:asciiTheme="minorHAnsi" w:hAnsiTheme="minorHAnsi" w:cstheme="minorHAnsi"/>
          <w:i/>
        </w:rPr>
        <w:t>DPP v O’Neill</w:t>
      </w:r>
      <w:r w:rsidRPr="007809F4">
        <w:rPr>
          <w:rFonts w:asciiTheme="minorHAnsi" w:hAnsiTheme="minorHAnsi" w:cstheme="minorHAnsi"/>
        </w:rPr>
        <w:t xml:space="preserve"> (2015) 47 VR 395</w:t>
      </w:r>
      <w:r w:rsidRPr="00EB7F1E">
        <w:rPr>
          <w:rFonts w:asciiTheme="minorHAnsi" w:hAnsiTheme="minorHAnsi" w:cstheme="minorHAnsi"/>
        </w:rPr>
        <w:fldChar w:fldCharType="begin"/>
      </w:r>
      <w:r w:rsidRPr="007809F4">
        <w:rPr>
          <w:rFonts w:asciiTheme="minorHAnsi" w:hAnsiTheme="minorHAnsi" w:cstheme="minorHAnsi"/>
        </w:rPr>
        <w:instrText xml:space="preserve"> TA \s "DPP v O’Neill (2015) 47 VR 395"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80">
    <w:p w14:paraId="0909EE71" w14:textId="28C3FCB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Verdins</w:t>
      </w:r>
      <w:r w:rsidRPr="007809F4">
        <w:rPr>
          <w:rFonts w:asciiTheme="minorHAnsi" w:hAnsiTheme="minorHAnsi" w:cstheme="minorHAnsi"/>
        </w:rPr>
        <w:t xml:space="preserve"> (2007) 16 VR 269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Verdins</w:instrText>
      </w:r>
      <w:r w:rsidRPr="007809F4">
        <w:rPr>
          <w:rFonts w:asciiTheme="minorHAnsi" w:hAnsiTheme="minorHAnsi" w:cstheme="minorHAnsi"/>
        </w:rPr>
        <w:instrText xml:space="preserve"> (2007) 16 VR 269</w:instrText>
      </w:r>
      <w:r w:rsidRPr="00EB7F1E">
        <w:rPr>
          <w:rFonts w:asciiTheme="minorHAnsi" w:hAnsiTheme="minorHAnsi" w:cstheme="minorHAnsi"/>
        </w:rPr>
        <w:instrText xml:space="preserve">" \s "R v Verdins (2007) 16 VR 269" \c 1 </w:instrText>
      </w:r>
      <w:r w:rsidRPr="00EB7F1E">
        <w:rPr>
          <w:rFonts w:asciiTheme="minorHAnsi" w:hAnsiTheme="minorHAnsi" w:cstheme="minorHAnsi"/>
        </w:rPr>
        <w:fldChar w:fldCharType="end"/>
      </w:r>
      <w:r w:rsidRPr="007809F4">
        <w:rPr>
          <w:rFonts w:asciiTheme="minorHAnsi" w:hAnsiTheme="minorHAnsi" w:cstheme="minorHAnsi"/>
        </w:rPr>
        <w:t xml:space="preserve">, [32], reformulating principles previously summarised in </w:t>
      </w:r>
      <w:r w:rsidRPr="007809F4">
        <w:rPr>
          <w:rFonts w:asciiTheme="minorHAnsi" w:hAnsiTheme="minorHAnsi" w:cstheme="minorHAnsi"/>
          <w:i/>
        </w:rPr>
        <w:t>R v Tsiaris</w:t>
      </w:r>
      <w:r w:rsidRPr="007809F4">
        <w:rPr>
          <w:rFonts w:asciiTheme="minorHAnsi" w:hAnsiTheme="minorHAnsi" w:cstheme="minorHAnsi"/>
        </w:rPr>
        <w:t xml:space="preserve"> [1996] 1 VR 398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Tsiaris</w:instrText>
      </w:r>
      <w:r w:rsidRPr="007809F4">
        <w:rPr>
          <w:rFonts w:asciiTheme="minorHAnsi" w:hAnsiTheme="minorHAnsi" w:cstheme="minorHAnsi"/>
        </w:rPr>
        <w:instrText xml:space="preserve"> [1996] 1 VR 398</w:instrText>
      </w:r>
      <w:r w:rsidRPr="00EB7F1E">
        <w:rPr>
          <w:rFonts w:asciiTheme="minorHAnsi" w:hAnsiTheme="minorHAnsi" w:cstheme="minorHAnsi"/>
        </w:rPr>
        <w:instrText xml:space="preserve">" \s "R v Tsiaris [1996] 1 VR 398"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81">
    <w:p w14:paraId="182FBDAD" w14:textId="2339F15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EB7F1E">
        <w:rPr>
          <w:rFonts w:asciiTheme="minorHAnsi" w:hAnsiTheme="minorHAnsi" w:cstheme="minorHAnsi"/>
          <w:i/>
          <w:iCs/>
        </w:rPr>
        <w:t>Leach v R</w:t>
      </w:r>
      <w:r w:rsidRPr="007809F4">
        <w:rPr>
          <w:rFonts w:asciiTheme="minorHAnsi" w:hAnsiTheme="minorHAnsi" w:cstheme="minorHAnsi"/>
        </w:rPr>
        <w:t xml:space="preserve"> [2008] NSWCCA 73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Leach v R</w:instrText>
      </w:r>
      <w:r w:rsidRPr="007809F4">
        <w:rPr>
          <w:rFonts w:asciiTheme="minorHAnsi" w:hAnsiTheme="minorHAnsi" w:cstheme="minorHAnsi"/>
        </w:rPr>
        <w:instrText xml:space="preserve"> [2008] NSWCCA 73</w:instrText>
      </w:r>
      <w:r w:rsidRPr="00EB7F1E">
        <w:rPr>
          <w:rFonts w:asciiTheme="minorHAnsi" w:hAnsiTheme="minorHAnsi" w:cstheme="minorHAnsi"/>
        </w:rPr>
        <w:instrText xml:space="preserve">" \s "Leach v R [2008] NSWCCA 73" \c 1 </w:instrText>
      </w:r>
      <w:r w:rsidRPr="00EB7F1E">
        <w:rPr>
          <w:rFonts w:asciiTheme="minorHAnsi" w:hAnsiTheme="minorHAnsi" w:cstheme="minorHAnsi"/>
        </w:rPr>
        <w:fldChar w:fldCharType="end"/>
      </w:r>
      <w:r w:rsidRPr="007809F4">
        <w:rPr>
          <w:rFonts w:asciiTheme="minorHAnsi" w:hAnsiTheme="minorHAnsi" w:cstheme="minorHAnsi"/>
        </w:rPr>
        <w:t xml:space="preserve">, [10]-[12]; </w:t>
      </w:r>
      <w:r w:rsidRPr="007809F4">
        <w:rPr>
          <w:rFonts w:asciiTheme="minorHAnsi" w:hAnsiTheme="minorHAnsi" w:cstheme="minorHAnsi"/>
          <w:i/>
        </w:rPr>
        <w:t xml:space="preserve">Devaney v R </w:t>
      </w:r>
      <w:r w:rsidRPr="007809F4">
        <w:rPr>
          <w:rFonts w:asciiTheme="minorHAnsi" w:hAnsiTheme="minorHAnsi" w:cstheme="minorHAnsi"/>
        </w:rPr>
        <w:t>[2012] NSWCCA 285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Devaney v R </w:instrText>
      </w:r>
      <w:r w:rsidRPr="007809F4">
        <w:rPr>
          <w:rFonts w:asciiTheme="minorHAnsi" w:hAnsiTheme="minorHAnsi" w:cstheme="minorHAnsi"/>
        </w:rPr>
        <w:instrText>[2012] NSWCCA 285</w:instrText>
      </w:r>
      <w:r w:rsidRPr="00EB7F1E">
        <w:rPr>
          <w:rFonts w:asciiTheme="minorHAnsi" w:hAnsiTheme="minorHAnsi" w:cstheme="minorHAnsi"/>
        </w:rPr>
        <w:instrText xml:space="preserve">" \s "Devaney v R [2012] NSWCCA 285" \c 1 </w:instrText>
      </w:r>
      <w:r w:rsidRPr="00EB7F1E">
        <w:rPr>
          <w:rFonts w:asciiTheme="minorHAnsi" w:hAnsiTheme="minorHAnsi" w:cstheme="minorHAnsi"/>
        </w:rPr>
        <w:fldChar w:fldCharType="end"/>
      </w:r>
      <w:r w:rsidRPr="007809F4">
        <w:rPr>
          <w:rFonts w:asciiTheme="minorHAnsi" w:hAnsiTheme="minorHAnsi" w:cstheme="minorHAnsi"/>
        </w:rPr>
        <w:t xml:space="preserve">, [74]-[84]; </w:t>
      </w:r>
      <w:r w:rsidRPr="007809F4">
        <w:rPr>
          <w:rFonts w:asciiTheme="minorHAnsi" w:hAnsiTheme="minorHAnsi" w:cstheme="minorHAnsi"/>
          <w:i/>
        </w:rPr>
        <w:t xml:space="preserve">R v Yarwood </w:t>
      </w:r>
      <w:r w:rsidRPr="007809F4">
        <w:rPr>
          <w:rFonts w:asciiTheme="minorHAnsi" w:hAnsiTheme="minorHAnsi" w:cstheme="minorHAnsi"/>
        </w:rPr>
        <w:t>[2011] QCA 367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Yarwood </w:instrText>
      </w:r>
      <w:r w:rsidRPr="007809F4">
        <w:rPr>
          <w:rFonts w:asciiTheme="minorHAnsi" w:hAnsiTheme="minorHAnsi" w:cstheme="minorHAnsi"/>
        </w:rPr>
        <w:instrText>[2011] QCA 367</w:instrText>
      </w:r>
      <w:r w:rsidRPr="00EB7F1E">
        <w:rPr>
          <w:rFonts w:asciiTheme="minorHAnsi" w:hAnsiTheme="minorHAnsi" w:cstheme="minorHAnsi"/>
        </w:rPr>
        <w:instrText xml:space="preserve">" \s "R v Yarwood [2011] QCA 367"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Kriestorac v Western Australia </w:t>
      </w:r>
      <w:r w:rsidRPr="007809F4">
        <w:rPr>
          <w:rFonts w:asciiTheme="minorHAnsi" w:hAnsiTheme="minorHAnsi" w:cstheme="minorHAnsi"/>
        </w:rPr>
        <w:t>[2010] WASCA 35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Kriestorac v Western Australia </w:instrText>
      </w:r>
      <w:r w:rsidRPr="007809F4">
        <w:rPr>
          <w:rFonts w:asciiTheme="minorHAnsi" w:hAnsiTheme="minorHAnsi" w:cstheme="minorHAnsi"/>
        </w:rPr>
        <w:instrText>[2010] WASCA 35</w:instrText>
      </w:r>
      <w:r w:rsidRPr="00EB7F1E">
        <w:rPr>
          <w:rFonts w:asciiTheme="minorHAnsi" w:hAnsiTheme="minorHAnsi" w:cstheme="minorHAnsi"/>
        </w:rPr>
        <w:instrText xml:space="preserve">" \s "Kriestorac v Western Australia [2010] WASCA 35" \c 1 </w:instrText>
      </w:r>
      <w:r w:rsidRPr="00EB7F1E">
        <w:rPr>
          <w:rFonts w:asciiTheme="minorHAnsi" w:hAnsiTheme="minorHAnsi" w:cstheme="minorHAnsi"/>
        </w:rPr>
        <w:fldChar w:fldCharType="end"/>
      </w:r>
      <w:r w:rsidRPr="007809F4">
        <w:rPr>
          <w:rFonts w:asciiTheme="minorHAnsi" w:hAnsiTheme="minorHAnsi" w:cstheme="minorHAnsi"/>
        </w:rPr>
        <w:t xml:space="preserve">, [17]-[19]; </w:t>
      </w:r>
      <w:r w:rsidRPr="00EB7F1E">
        <w:rPr>
          <w:rFonts w:asciiTheme="minorHAnsi" w:hAnsiTheme="minorHAnsi" w:cstheme="minorHAnsi"/>
          <w:i/>
        </w:rPr>
        <w:t>Gok v R</w:t>
      </w:r>
      <w:r w:rsidRPr="00EB7F1E">
        <w:rPr>
          <w:rFonts w:asciiTheme="minorHAnsi" w:hAnsiTheme="minorHAnsi" w:cstheme="minorHAnsi"/>
        </w:rPr>
        <w:t xml:space="preserve"> [2010] WASCA 185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Gok v R</w:instrText>
      </w:r>
      <w:r w:rsidRPr="00EB7F1E">
        <w:rPr>
          <w:rFonts w:asciiTheme="minorHAnsi" w:hAnsiTheme="minorHAnsi" w:cstheme="minorHAnsi"/>
        </w:rPr>
        <w:instrText xml:space="preserve"> [2010] WASCA 185" \s "Gok v R [2010] WASCA 185" \c 1 </w:instrText>
      </w:r>
      <w:r w:rsidRPr="00EB7F1E">
        <w:rPr>
          <w:rFonts w:asciiTheme="minorHAnsi" w:hAnsiTheme="minorHAnsi" w:cstheme="minorHAnsi"/>
        </w:rPr>
        <w:fldChar w:fldCharType="end"/>
      </w:r>
      <w:r w:rsidRPr="00EB7F1E">
        <w:rPr>
          <w:rFonts w:asciiTheme="minorHAnsi" w:hAnsiTheme="minorHAnsi" w:cstheme="minorHAnsi"/>
        </w:rPr>
        <w:t>, [53]-[61];</w:t>
      </w:r>
      <w:r w:rsidRPr="00EB7F1E">
        <w:rPr>
          <w:rStyle w:val="ssleftalign"/>
          <w:rFonts w:asciiTheme="minorHAnsi" w:hAnsiTheme="minorHAnsi" w:cstheme="minorHAnsi"/>
        </w:rPr>
        <w:t xml:space="preserve"> </w:t>
      </w:r>
      <w:r w:rsidRPr="00EB7F1E">
        <w:rPr>
          <w:rFonts w:asciiTheme="minorHAnsi" w:hAnsiTheme="minorHAnsi" w:cstheme="minorHAnsi"/>
          <w:i/>
          <w:iCs/>
        </w:rPr>
        <w:t>Suleiman v Western Australia</w:t>
      </w:r>
      <w:r w:rsidRPr="00EB7F1E">
        <w:rPr>
          <w:rFonts w:asciiTheme="minorHAnsi" w:hAnsiTheme="minorHAnsi" w:cstheme="minorHAnsi"/>
        </w:rPr>
        <w:t xml:space="preserve"> [2017] WASCA 26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Suleiman v Western Australia</w:instrText>
      </w:r>
      <w:r w:rsidRPr="00EB7F1E">
        <w:rPr>
          <w:rFonts w:asciiTheme="minorHAnsi" w:hAnsiTheme="minorHAnsi" w:cstheme="minorHAnsi"/>
        </w:rPr>
        <w:instrText xml:space="preserve"> [2017] WASCA 26" \s "Suleiman v Western Australia [2017] WASCA 26" \c 1 </w:instrText>
      </w:r>
      <w:r w:rsidRPr="00EB7F1E">
        <w:rPr>
          <w:rFonts w:asciiTheme="minorHAnsi" w:hAnsiTheme="minorHAnsi" w:cstheme="minorHAnsi"/>
        </w:rPr>
        <w:fldChar w:fldCharType="end"/>
      </w:r>
      <w:r w:rsidRPr="00EB7F1E">
        <w:rPr>
          <w:rFonts w:asciiTheme="minorHAnsi" w:hAnsiTheme="minorHAnsi" w:cstheme="minorHAnsi"/>
        </w:rPr>
        <w:t>, [59]-[62];</w:t>
      </w:r>
      <w:r w:rsidRPr="00EB7F1E">
        <w:rPr>
          <w:rStyle w:val="ssleftalign"/>
          <w:rFonts w:asciiTheme="minorHAnsi" w:hAnsiTheme="minorHAnsi" w:cstheme="minorHAnsi"/>
        </w:rPr>
        <w:t xml:space="preserve"> </w:t>
      </w:r>
      <w:r w:rsidRPr="007809F4">
        <w:rPr>
          <w:rFonts w:asciiTheme="minorHAnsi" w:hAnsiTheme="minorHAnsi" w:cstheme="minorHAnsi"/>
          <w:i/>
        </w:rPr>
        <w:t>R v Flentjar</w:t>
      </w:r>
      <w:r w:rsidRPr="007809F4">
        <w:rPr>
          <w:rFonts w:asciiTheme="minorHAnsi" w:hAnsiTheme="minorHAnsi" w:cstheme="minorHAnsi"/>
        </w:rPr>
        <w:t xml:space="preserve"> [2013] SASCFC 11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Flentjar</w:instrText>
      </w:r>
      <w:r w:rsidRPr="007809F4">
        <w:rPr>
          <w:rFonts w:asciiTheme="minorHAnsi" w:hAnsiTheme="minorHAnsi" w:cstheme="minorHAnsi"/>
        </w:rPr>
        <w:instrText xml:space="preserve"> [2013] SASCFC 11</w:instrText>
      </w:r>
      <w:r w:rsidRPr="00EB7F1E">
        <w:rPr>
          <w:rFonts w:asciiTheme="minorHAnsi" w:hAnsiTheme="minorHAnsi" w:cstheme="minorHAnsi"/>
        </w:rPr>
        <w:instrText xml:space="preserve">" \s "R v Flentjar [2013] SASCFC 11" \c 1 </w:instrText>
      </w:r>
      <w:r w:rsidRPr="00EB7F1E">
        <w:rPr>
          <w:rFonts w:asciiTheme="minorHAnsi" w:hAnsiTheme="minorHAnsi" w:cstheme="minorHAnsi"/>
        </w:rPr>
        <w:fldChar w:fldCharType="end"/>
      </w:r>
      <w:r w:rsidRPr="007809F4">
        <w:rPr>
          <w:rFonts w:asciiTheme="minorHAnsi" w:hAnsiTheme="minorHAnsi" w:cstheme="minorHAnsi"/>
        </w:rPr>
        <w:t>, [39]-[44]</w:t>
      </w:r>
      <w:r w:rsidRPr="007809F4">
        <w:rPr>
          <w:rFonts w:asciiTheme="minorHAnsi" w:hAnsiTheme="minorHAnsi" w:cstheme="minorHAnsi"/>
          <w:i/>
        </w:rPr>
        <w:t xml:space="preserve">; DPP v CBF </w:t>
      </w:r>
      <w:r w:rsidRPr="007809F4">
        <w:rPr>
          <w:rFonts w:asciiTheme="minorHAnsi" w:hAnsiTheme="minorHAnsi" w:cstheme="minorHAnsi"/>
        </w:rPr>
        <w:t>[2016] TASSCA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DPP v CBF </w:instrText>
      </w:r>
      <w:r w:rsidRPr="007809F4">
        <w:rPr>
          <w:rFonts w:asciiTheme="minorHAnsi" w:hAnsiTheme="minorHAnsi" w:cstheme="minorHAnsi"/>
        </w:rPr>
        <w:instrText>[2016] TASSCA 1</w:instrText>
      </w:r>
      <w:r w:rsidRPr="00EB7F1E">
        <w:rPr>
          <w:rFonts w:asciiTheme="minorHAnsi" w:hAnsiTheme="minorHAnsi" w:cstheme="minorHAnsi"/>
        </w:rPr>
        <w:instrText xml:space="preserve">" \s "DPP v CBF [2016] TASSCA 1" \c 1 </w:instrText>
      </w:r>
      <w:r w:rsidRPr="00EB7F1E">
        <w:rPr>
          <w:rFonts w:asciiTheme="minorHAnsi" w:hAnsiTheme="minorHAnsi" w:cstheme="minorHAnsi"/>
        </w:rPr>
        <w:fldChar w:fldCharType="end"/>
      </w:r>
      <w:r w:rsidRPr="007809F4">
        <w:rPr>
          <w:rFonts w:asciiTheme="minorHAnsi" w:hAnsiTheme="minorHAnsi" w:cstheme="minorHAnsi"/>
        </w:rPr>
        <w:t>, [36]-[42];</w:t>
      </w:r>
      <w:r w:rsidRPr="007809F4">
        <w:rPr>
          <w:rFonts w:asciiTheme="minorHAnsi" w:hAnsiTheme="minorHAnsi" w:cstheme="minorHAnsi"/>
          <w:i/>
        </w:rPr>
        <w:t xml:space="preserve"> Millard v R </w:t>
      </w:r>
      <w:r w:rsidRPr="007809F4">
        <w:rPr>
          <w:rFonts w:asciiTheme="minorHAnsi" w:hAnsiTheme="minorHAnsi" w:cstheme="minorHAnsi"/>
        </w:rPr>
        <w:t>[2016] ACTCA 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Millard v R </w:instrText>
      </w:r>
      <w:r w:rsidRPr="007809F4">
        <w:rPr>
          <w:rFonts w:asciiTheme="minorHAnsi" w:hAnsiTheme="minorHAnsi" w:cstheme="minorHAnsi"/>
        </w:rPr>
        <w:instrText>[2016] ACTCA 14</w:instrText>
      </w:r>
      <w:r w:rsidRPr="00EB7F1E">
        <w:rPr>
          <w:rFonts w:asciiTheme="minorHAnsi" w:hAnsiTheme="minorHAnsi" w:cstheme="minorHAnsi"/>
        </w:rPr>
        <w:instrText xml:space="preserve">" \s "Millard v R [2016] ACTCA 14" \c 1 </w:instrText>
      </w:r>
      <w:r w:rsidRPr="00EB7F1E">
        <w:rPr>
          <w:rFonts w:asciiTheme="minorHAnsi" w:hAnsiTheme="minorHAnsi" w:cstheme="minorHAnsi"/>
        </w:rPr>
        <w:fldChar w:fldCharType="end"/>
      </w:r>
      <w:r w:rsidRPr="007809F4">
        <w:rPr>
          <w:rFonts w:asciiTheme="minorHAnsi" w:hAnsiTheme="minorHAnsi" w:cstheme="minorHAnsi"/>
        </w:rPr>
        <w:t xml:space="preserve">, [30]-[35]; </w:t>
      </w:r>
      <w:r w:rsidRPr="00EB7F1E">
        <w:rPr>
          <w:rFonts w:asciiTheme="minorHAnsi" w:hAnsiTheme="minorHAnsi" w:cstheme="minorHAnsi"/>
          <w:i/>
        </w:rPr>
        <w:t>R v Summerfield</w:t>
      </w:r>
      <w:r w:rsidRPr="007809F4">
        <w:rPr>
          <w:rFonts w:asciiTheme="minorHAnsi" w:hAnsiTheme="minorHAnsi" w:cstheme="minorHAnsi"/>
        </w:rPr>
        <w:t xml:space="preserve"> [2018] ACTCA 20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Summerfield</w:instrText>
      </w:r>
      <w:r w:rsidRPr="007809F4">
        <w:rPr>
          <w:rFonts w:asciiTheme="minorHAnsi" w:hAnsiTheme="minorHAnsi" w:cstheme="minorHAnsi"/>
        </w:rPr>
        <w:instrText xml:space="preserve"> [2018] ACTCA 20</w:instrText>
      </w:r>
      <w:r w:rsidRPr="00EB7F1E">
        <w:rPr>
          <w:rFonts w:asciiTheme="minorHAnsi" w:hAnsiTheme="minorHAnsi" w:cstheme="minorHAnsi"/>
        </w:rPr>
        <w:instrText xml:space="preserve">" \s "R v Summerfield [2018] ACTCA 20" \c 1 </w:instrText>
      </w:r>
      <w:r w:rsidRPr="00EB7F1E">
        <w:rPr>
          <w:rFonts w:asciiTheme="minorHAnsi" w:hAnsiTheme="minorHAnsi" w:cstheme="minorHAnsi"/>
        </w:rPr>
        <w:fldChar w:fldCharType="end"/>
      </w:r>
      <w:r w:rsidRPr="007809F4">
        <w:rPr>
          <w:rFonts w:asciiTheme="minorHAnsi" w:hAnsiTheme="minorHAnsi" w:cstheme="minorHAnsi"/>
        </w:rPr>
        <w:t>, [90]-[104].</w:t>
      </w:r>
    </w:p>
  </w:footnote>
  <w:footnote w:id="382">
    <w:p w14:paraId="659159B5" w14:textId="01C3ABC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O’Neill</w:t>
      </w:r>
      <w:r w:rsidRPr="007809F4">
        <w:rPr>
          <w:rFonts w:asciiTheme="minorHAnsi" w:hAnsiTheme="minorHAnsi" w:cstheme="minorHAnsi"/>
        </w:rPr>
        <w:t xml:space="preserve"> (2015) 47 VR 395</w:t>
      </w:r>
      <w:r w:rsidRPr="00EB7F1E">
        <w:rPr>
          <w:rFonts w:asciiTheme="minorHAnsi" w:hAnsiTheme="minorHAnsi" w:cstheme="minorHAnsi"/>
        </w:rPr>
        <w:fldChar w:fldCharType="begin"/>
      </w:r>
      <w:r w:rsidRPr="007809F4">
        <w:rPr>
          <w:rFonts w:asciiTheme="minorHAnsi" w:hAnsiTheme="minorHAnsi" w:cstheme="minorHAnsi"/>
        </w:rPr>
        <w:instrText xml:space="preserve"> TA \s "DPP v O’Neill (2015) 47 VR 395" </w:instrText>
      </w:r>
      <w:r w:rsidRPr="00EB7F1E">
        <w:rPr>
          <w:rFonts w:asciiTheme="minorHAnsi" w:hAnsiTheme="minorHAnsi" w:cstheme="minorHAnsi"/>
        </w:rPr>
        <w:fldChar w:fldCharType="end"/>
      </w:r>
      <w:r w:rsidRPr="007809F4">
        <w:rPr>
          <w:rFonts w:asciiTheme="minorHAnsi" w:hAnsiTheme="minorHAnsi" w:cstheme="minorHAnsi"/>
        </w:rPr>
        <w:t>, [74].</w:t>
      </w:r>
    </w:p>
  </w:footnote>
  <w:footnote w:id="383">
    <w:p w14:paraId="76BF2C76" w14:textId="4AA12E2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O’Neill</w:t>
      </w:r>
      <w:r w:rsidRPr="007809F4">
        <w:rPr>
          <w:rFonts w:asciiTheme="minorHAnsi" w:hAnsiTheme="minorHAnsi" w:cstheme="minorHAnsi"/>
        </w:rPr>
        <w:t xml:space="preserve"> (2015) 47 VR 395</w:t>
      </w:r>
      <w:r w:rsidRPr="00EB7F1E">
        <w:rPr>
          <w:rFonts w:asciiTheme="minorHAnsi" w:hAnsiTheme="minorHAnsi" w:cstheme="minorHAnsi"/>
        </w:rPr>
        <w:fldChar w:fldCharType="begin"/>
      </w:r>
      <w:r w:rsidRPr="007809F4">
        <w:rPr>
          <w:rFonts w:asciiTheme="minorHAnsi" w:hAnsiTheme="minorHAnsi" w:cstheme="minorHAnsi"/>
        </w:rPr>
        <w:instrText xml:space="preserve"> TA \s "DPP v O’Neill (2015) 47 VR 395" </w:instrText>
      </w:r>
      <w:r w:rsidRPr="00EB7F1E">
        <w:rPr>
          <w:rFonts w:asciiTheme="minorHAnsi" w:hAnsiTheme="minorHAnsi" w:cstheme="minorHAnsi"/>
        </w:rPr>
        <w:fldChar w:fldCharType="end"/>
      </w:r>
      <w:r w:rsidRPr="007809F4">
        <w:rPr>
          <w:rFonts w:asciiTheme="minorHAnsi" w:hAnsiTheme="minorHAnsi" w:cstheme="minorHAnsi"/>
        </w:rPr>
        <w:t>, [75].</w:t>
      </w:r>
    </w:p>
  </w:footnote>
  <w:footnote w:id="384">
    <w:p w14:paraId="73480B21" w14:textId="43FD588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Muldrock v R </w:t>
      </w:r>
      <w:r w:rsidRPr="007809F4">
        <w:rPr>
          <w:rFonts w:asciiTheme="minorHAnsi" w:hAnsiTheme="minorHAnsi" w:cstheme="minorHAnsi"/>
        </w:rPr>
        <w:t>(2011) 244 CLR 120</w:t>
      </w:r>
      <w:r w:rsidRPr="00EB7F1E">
        <w:rPr>
          <w:rFonts w:asciiTheme="minorHAnsi" w:hAnsiTheme="minorHAnsi" w:cstheme="minorHAnsi"/>
        </w:rPr>
        <w:fldChar w:fldCharType="begin"/>
      </w:r>
      <w:r w:rsidRPr="007809F4">
        <w:rPr>
          <w:rFonts w:asciiTheme="minorHAnsi" w:hAnsiTheme="minorHAnsi" w:cstheme="minorHAnsi"/>
        </w:rPr>
        <w:instrText xml:space="preserve"> TA \s "Muldrock v R (2011) 244 CLR 120" </w:instrText>
      </w:r>
      <w:r w:rsidRPr="00EB7F1E">
        <w:rPr>
          <w:rFonts w:asciiTheme="minorHAnsi" w:hAnsiTheme="minorHAnsi" w:cstheme="minorHAnsi"/>
        </w:rPr>
        <w:fldChar w:fldCharType="end"/>
      </w:r>
      <w:r w:rsidRPr="007809F4">
        <w:rPr>
          <w:rFonts w:asciiTheme="minorHAnsi" w:hAnsiTheme="minorHAnsi" w:cstheme="minorHAnsi"/>
        </w:rPr>
        <w:t>.R</w:t>
      </w:r>
    </w:p>
  </w:footnote>
  <w:footnote w:id="385">
    <w:p w14:paraId="2DDFE2E1" w14:textId="27F6AAA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Muldrock v R </w:t>
      </w:r>
      <w:r w:rsidRPr="007809F4">
        <w:rPr>
          <w:rFonts w:asciiTheme="minorHAnsi" w:hAnsiTheme="minorHAnsi" w:cstheme="minorHAnsi"/>
        </w:rPr>
        <w:t>(2011) 244 CLR 120</w:t>
      </w:r>
      <w:r w:rsidRPr="00EB7F1E">
        <w:rPr>
          <w:rFonts w:asciiTheme="minorHAnsi" w:hAnsiTheme="minorHAnsi" w:cstheme="minorHAnsi"/>
        </w:rPr>
        <w:fldChar w:fldCharType="begin"/>
      </w:r>
      <w:r w:rsidRPr="007809F4">
        <w:rPr>
          <w:rFonts w:asciiTheme="minorHAnsi" w:hAnsiTheme="minorHAnsi" w:cstheme="minorHAnsi"/>
        </w:rPr>
        <w:instrText xml:space="preserve"> TA \s "Muldrock v R (2011) 244 CLR 120" </w:instrText>
      </w:r>
      <w:r w:rsidRPr="00EB7F1E">
        <w:rPr>
          <w:rFonts w:asciiTheme="minorHAnsi" w:hAnsiTheme="minorHAnsi" w:cstheme="minorHAnsi"/>
        </w:rPr>
        <w:fldChar w:fldCharType="end"/>
      </w:r>
      <w:r w:rsidRPr="007809F4">
        <w:rPr>
          <w:rFonts w:asciiTheme="minorHAnsi" w:hAnsiTheme="minorHAnsi" w:cstheme="minorHAnsi"/>
        </w:rPr>
        <w:t xml:space="preserve">, [54].  See also </w:t>
      </w:r>
      <w:r w:rsidRPr="007809F4">
        <w:rPr>
          <w:rFonts w:asciiTheme="minorHAnsi" w:hAnsiTheme="minorHAnsi" w:cstheme="minorHAnsi"/>
          <w:i/>
        </w:rPr>
        <w:t>Naysmith v R</w:t>
      </w:r>
      <w:r w:rsidRPr="007809F4">
        <w:rPr>
          <w:rFonts w:asciiTheme="minorHAnsi" w:hAnsiTheme="minorHAnsi" w:cstheme="minorHAnsi"/>
        </w:rPr>
        <w:t xml:space="preserve"> [2013] WASCA 32</w:t>
      </w:r>
      <w:r w:rsidRPr="00EB7F1E">
        <w:rPr>
          <w:rFonts w:asciiTheme="minorHAnsi" w:hAnsiTheme="minorHAnsi" w:cstheme="minorHAnsi"/>
        </w:rPr>
        <w:fldChar w:fldCharType="begin"/>
      </w:r>
      <w:r w:rsidRPr="007809F4">
        <w:rPr>
          <w:rFonts w:asciiTheme="minorHAnsi" w:hAnsiTheme="minorHAnsi" w:cstheme="minorHAnsi"/>
        </w:rPr>
        <w:instrText xml:space="preserve"> TA \s "Naysmith v R [2013] WASCA 32"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"Naysmith v R [2013] WASCA 32"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v Sokaluk</w:t>
      </w:r>
      <w:r w:rsidRPr="007809F4">
        <w:rPr>
          <w:rFonts w:asciiTheme="minorHAnsi" w:hAnsiTheme="minorHAnsi" w:cstheme="minorHAnsi"/>
          <w:iCs/>
        </w:rPr>
        <w:t xml:space="preserve"> [2013] VSCA 48</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Sokaluk</w:instrText>
      </w:r>
      <w:r w:rsidRPr="007809F4">
        <w:rPr>
          <w:rFonts w:asciiTheme="minorHAnsi" w:hAnsiTheme="minorHAnsi" w:cstheme="minorHAnsi"/>
          <w:iCs/>
        </w:rPr>
        <w:instrText xml:space="preserve"> [2013] VSCA 48</w:instrText>
      </w:r>
      <w:r w:rsidRPr="00EB7F1E">
        <w:rPr>
          <w:rFonts w:asciiTheme="minorHAnsi" w:hAnsiTheme="minorHAnsi" w:cstheme="minorHAnsi"/>
        </w:rPr>
        <w:instrText xml:space="preserve">" \s "DPP v Sokaluk [2013] VSCA 48" \c 1 </w:instrText>
      </w:r>
      <w:r w:rsidRPr="00EB7F1E">
        <w:rPr>
          <w:rFonts w:asciiTheme="minorHAnsi" w:hAnsiTheme="minorHAnsi" w:cstheme="minorHAnsi"/>
          <w:iCs/>
        </w:rPr>
        <w:fldChar w:fldCharType="end"/>
      </w:r>
      <w:r w:rsidRPr="007809F4">
        <w:rPr>
          <w:rFonts w:asciiTheme="minorHAnsi" w:hAnsiTheme="minorHAnsi" w:cstheme="minorHAnsi"/>
        </w:rPr>
        <w:t>.</w:t>
      </w:r>
    </w:p>
  </w:footnote>
  <w:footnote w:id="386">
    <w:p w14:paraId="5D8356BC" w14:textId="7114A0B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Mooney</w:t>
      </w:r>
      <w:r w:rsidRPr="007809F4">
        <w:rPr>
          <w:rFonts w:asciiTheme="minorHAnsi" w:hAnsiTheme="minorHAnsi" w:cstheme="minorHAnsi"/>
        </w:rPr>
        <w:t xml:space="preserve"> (Vic CCA, 21 June 1978,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Mooney</w:instrText>
      </w:r>
      <w:r w:rsidRPr="007809F4">
        <w:rPr>
          <w:rFonts w:asciiTheme="minorHAnsi" w:hAnsiTheme="minorHAnsi" w:cstheme="minorHAnsi"/>
        </w:rPr>
        <w:instrText xml:space="preserve"> (Vic CCA, 21 June 1978, unreported)</w:instrText>
      </w:r>
      <w:r w:rsidRPr="00EB7F1E">
        <w:rPr>
          <w:rFonts w:asciiTheme="minorHAnsi" w:hAnsiTheme="minorHAnsi" w:cstheme="minorHAnsi"/>
        </w:rPr>
        <w:instrText xml:space="preserve">" \s "R v Mooney (Vic CCA, 21 June 1978, unreported)" \c 1 </w:instrText>
      </w:r>
      <w:r w:rsidRPr="00EB7F1E">
        <w:rPr>
          <w:rFonts w:asciiTheme="minorHAnsi" w:hAnsiTheme="minorHAnsi" w:cstheme="minorHAnsi"/>
        </w:rPr>
        <w:fldChar w:fldCharType="end"/>
      </w:r>
      <w:r w:rsidRPr="007809F4">
        <w:rPr>
          <w:rFonts w:asciiTheme="minorHAnsi" w:hAnsiTheme="minorHAnsi" w:cstheme="minorHAnsi"/>
        </w:rPr>
        <w:t xml:space="preserve">, 5 (Young CJ), quoted with approval in </w:t>
      </w:r>
      <w:r w:rsidRPr="007809F4">
        <w:rPr>
          <w:rFonts w:asciiTheme="minorHAnsi" w:hAnsiTheme="minorHAnsi" w:cstheme="minorHAnsi"/>
          <w:i/>
        </w:rPr>
        <w:t xml:space="preserve">Muldrock v R </w:t>
      </w:r>
      <w:r w:rsidRPr="007809F4">
        <w:rPr>
          <w:rFonts w:asciiTheme="minorHAnsi" w:hAnsiTheme="minorHAnsi" w:cstheme="minorHAnsi"/>
        </w:rPr>
        <w:t>(2011) 244 CLR 120</w:t>
      </w:r>
      <w:r w:rsidRPr="00EB7F1E">
        <w:rPr>
          <w:rFonts w:asciiTheme="minorHAnsi" w:hAnsiTheme="minorHAnsi" w:cstheme="minorHAnsi"/>
        </w:rPr>
        <w:fldChar w:fldCharType="begin"/>
      </w:r>
      <w:r w:rsidRPr="007809F4">
        <w:rPr>
          <w:rFonts w:asciiTheme="minorHAnsi" w:hAnsiTheme="minorHAnsi" w:cstheme="minorHAnsi"/>
        </w:rPr>
        <w:instrText xml:space="preserve"> TA \s "Muldrock v R (2011) 244 CLR 120" </w:instrText>
      </w:r>
      <w:r w:rsidRPr="00EB7F1E">
        <w:rPr>
          <w:rFonts w:asciiTheme="minorHAnsi" w:hAnsiTheme="minorHAnsi" w:cstheme="minorHAnsi"/>
        </w:rPr>
        <w:fldChar w:fldCharType="end"/>
      </w:r>
      <w:r w:rsidRPr="007809F4">
        <w:rPr>
          <w:rFonts w:asciiTheme="minorHAnsi" w:hAnsiTheme="minorHAnsi" w:cstheme="minorHAnsi"/>
        </w:rPr>
        <w:t>, [53]-[54].</w:t>
      </w:r>
      <w:r w:rsidRPr="00EB7F1E">
        <w:rPr>
          <w:rFonts w:asciiTheme="minorHAnsi" w:hAnsiTheme="minorHAnsi" w:cstheme="minorHAnsi"/>
        </w:rPr>
        <w:t xml:space="preserve"> But </w:t>
      </w:r>
      <w:r w:rsidRPr="007809F4">
        <w:rPr>
          <w:rFonts w:asciiTheme="minorHAnsi" w:hAnsiTheme="minorHAnsi" w:cstheme="minorHAnsi"/>
        </w:rPr>
        <w:t>reduced</w:t>
      </w:r>
      <w:r w:rsidRPr="00EB7F1E">
        <w:rPr>
          <w:rFonts w:asciiTheme="minorHAnsi" w:hAnsiTheme="minorHAnsi" w:cstheme="minorHAnsi"/>
        </w:rPr>
        <w:t xml:space="preserve"> mental capacity will not necessarily </w:t>
      </w:r>
      <w:r w:rsidRPr="007809F4">
        <w:rPr>
          <w:rFonts w:asciiTheme="minorHAnsi" w:hAnsiTheme="minorHAnsi" w:cstheme="minorHAnsi"/>
        </w:rPr>
        <w:t xml:space="preserve">be such as to </w:t>
      </w:r>
      <w:r w:rsidRPr="00EB7F1E">
        <w:rPr>
          <w:rFonts w:asciiTheme="minorHAnsi" w:hAnsiTheme="minorHAnsi" w:cstheme="minorHAnsi"/>
        </w:rPr>
        <w:t>preclude the full application of the principles of general deterrence</w:t>
      </w:r>
      <w:r w:rsidRPr="007809F4">
        <w:rPr>
          <w:rFonts w:asciiTheme="minorHAnsi" w:hAnsiTheme="minorHAnsi" w:cstheme="minorHAnsi"/>
        </w:rPr>
        <w:t xml:space="preserve">: </w:t>
      </w:r>
      <w:r w:rsidRPr="00EB7F1E">
        <w:rPr>
          <w:rFonts w:asciiTheme="minorHAnsi" w:hAnsiTheme="minorHAnsi" w:cstheme="minorHAnsi"/>
          <w:i/>
          <w:iCs/>
        </w:rPr>
        <w:t>Qui v R</w:t>
      </w:r>
      <w:r w:rsidRPr="007809F4">
        <w:rPr>
          <w:rFonts w:asciiTheme="minorHAnsi" w:hAnsiTheme="minorHAnsi" w:cstheme="minorHAnsi"/>
        </w:rPr>
        <w:t xml:space="preserve"> [2019] VSCA 147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Qui v R</w:instrText>
      </w:r>
      <w:r w:rsidRPr="007809F4">
        <w:rPr>
          <w:rFonts w:asciiTheme="minorHAnsi" w:hAnsiTheme="minorHAnsi" w:cstheme="minorHAnsi"/>
        </w:rPr>
        <w:instrText xml:space="preserve"> [2019] VSCA 147</w:instrText>
      </w:r>
      <w:r w:rsidRPr="00EB7F1E">
        <w:rPr>
          <w:rFonts w:asciiTheme="minorHAnsi" w:hAnsiTheme="minorHAnsi" w:cstheme="minorHAnsi"/>
        </w:rPr>
        <w:instrText xml:space="preserve">" \s "Qui v R [2019] VSCA 147" \c 1 </w:instrText>
      </w:r>
      <w:r w:rsidRPr="00EB7F1E">
        <w:rPr>
          <w:rFonts w:asciiTheme="minorHAnsi" w:hAnsiTheme="minorHAnsi" w:cstheme="minorHAnsi"/>
        </w:rPr>
        <w:fldChar w:fldCharType="end"/>
      </w:r>
      <w:r w:rsidRPr="007809F4">
        <w:rPr>
          <w:rFonts w:asciiTheme="minorHAnsi" w:hAnsiTheme="minorHAnsi" w:cstheme="minorHAnsi"/>
        </w:rPr>
        <w:t>, [76].</w:t>
      </w:r>
    </w:p>
  </w:footnote>
  <w:footnote w:id="387">
    <w:p w14:paraId="403A9E5D" w14:textId="57AAF1A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Muldrock v R</w:t>
      </w:r>
      <w:r w:rsidRPr="007809F4">
        <w:rPr>
          <w:rFonts w:asciiTheme="minorHAnsi" w:hAnsiTheme="minorHAnsi" w:cstheme="minorHAnsi"/>
        </w:rPr>
        <w:t xml:space="preserve"> (2011) 244 CLR 120</w:t>
      </w:r>
      <w:r w:rsidRPr="00EB7F1E">
        <w:rPr>
          <w:rFonts w:asciiTheme="minorHAnsi" w:hAnsiTheme="minorHAnsi" w:cstheme="minorHAnsi"/>
        </w:rPr>
        <w:fldChar w:fldCharType="begin"/>
      </w:r>
      <w:r w:rsidRPr="007809F4">
        <w:rPr>
          <w:rFonts w:asciiTheme="minorHAnsi" w:hAnsiTheme="minorHAnsi" w:cstheme="minorHAnsi"/>
        </w:rPr>
        <w:instrText xml:space="preserve"> TA \s "Muldrock v R (2011) 244 CLR 120" </w:instrText>
      </w:r>
      <w:r w:rsidRPr="00EB7F1E">
        <w:rPr>
          <w:rFonts w:asciiTheme="minorHAnsi" w:hAnsiTheme="minorHAnsi" w:cstheme="minorHAnsi"/>
        </w:rPr>
        <w:fldChar w:fldCharType="end"/>
      </w:r>
      <w:r w:rsidRPr="007809F4">
        <w:rPr>
          <w:rFonts w:asciiTheme="minorHAnsi" w:hAnsiTheme="minorHAnsi" w:cstheme="minorHAnsi"/>
        </w:rPr>
        <w:t xml:space="preserve">, [54] (paraphrasing what Lush J said in </w:t>
      </w:r>
      <w:r w:rsidRPr="007809F4">
        <w:rPr>
          <w:rFonts w:asciiTheme="minorHAnsi" w:hAnsiTheme="minorHAnsi" w:cstheme="minorHAnsi"/>
          <w:i/>
        </w:rPr>
        <w:t>R v Mooney</w:t>
      </w:r>
      <w:r w:rsidRPr="007809F4">
        <w:rPr>
          <w:rFonts w:asciiTheme="minorHAnsi" w:hAnsiTheme="minorHAnsi" w:cstheme="minorHAnsi"/>
        </w:rPr>
        <w:t xml:space="preserve"> (Vic CCA, 21 June 1978,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\s "R v Mooney (Vic CCA, 21 June 1978, unreported)"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88">
    <w:p w14:paraId="7B3B4615" w14:textId="3028BCF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RLP</w:t>
      </w:r>
      <w:r w:rsidRPr="007809F4">
        <w:rPr>
          <w:rFonts w:asciiTheme="minorHAnsi" w:hAnsiTheme="minorHAnsi" w:cstheme="minorHAnsi"/>
        </w:rPr>
        <w:t xml:space="preserve"> [2009] VSCA 271</w:t>
      </w:r>
      <w:r w:rsidRPr="00EB7F1E">
        <w:rPr>
          <w:rFonts w:asciiTheme="minorHAnsi" w:hAnsiTheme="minorHAnsi" w:cstheme="minorHAnsi"/>
        </w:rPr>
        <w:fldChar w:fldCharType="begin"/>
      </w:r>
      <w:r w:rsidRPr="007809F4">
        <w:rPr>
          <w:rFonts w:asciiTheme="minorHAnsi" w:hAnsiTheme="minorHAnsi" w:cstheme="minorHAnsi"/>
        </w:rPr>
        <w:instrText xml:space="preserve"> TA \s "R v RLP [2009] VSCA 271" </w:instrText>
      </w:r>
      <w:r w:rsidRPr="00EB7F1E">
        <w:rPr>
          <w:rFonts w:asciiTheme="minorHAnsi" w:hAnsiTheme="minorHAnsi" w:cstheme="minorHAnsi"/>
        </w:rPr>
        <w:fldChar w:fldCharType="end"/>
      </w:r>
      <w:r w:rsidRPr="007809F4">
        <w:rPr>
          <w:rFonts w:asciiTheme="minorHAnsi" w:hAnsiTheme="minorHAnsi" w:cstheme="minorHAnsi"/>
        </w:rPr>
        <w:t>, [30].</w:t>
      </w:r>
    </w:p>
  </w:footnote>
  <w:footnote w:id="389">
    <w:p w14:paraId="0026C4FA" w14:textId="33CF2C7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Channon v R</w:t>
      </w:r>
      <w:r w:rsidRPr="007809F4">
        <w:rPr>
          <w:rFonts w:asciiTheme="minorHAnsi" w:hAnsiTheme="minorHAnsi" w:cstheme="minorHAnsi"/>
        </w:rPr>
        <w:t xml:space="preserve"> (1978) 33 FLR 433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Channon v R</w:instrText>
      </w:r>
      <w:r w:rsidRPr="007809F4">
        <w:rPr>
          <w:rFonts w:asciiTheme="minorHAnsi" w:hAnsiTheme="minorHAnsi" w:cstheme="minorHAnsi"/>
        </w:rPr>
        <w:instrText xml:space="preserve"> (1978) 33 FLR 433</w:instrText>
      </w:r>
      <w:r w:rsidRPr="00EB7F1E">
        <w:rPr>
          <w:rFonts w:asciiTheme="minorHAnsi" w:hAnsiTheme="minorHAnsi" w:cstheme="minorHAnsi"/>
        </w:rPr>
        <w:instrText xml:space="preserve">" \s "Channon v R (1978) 33 FLR 433" \c 1 </w:instrText>
      </w:r>
      <w:r w:rsidRPr="00EB7F1E">
        <w:rPr>
          <w:rFonts w:asciiTheme="minorHAnsi" w:hAnsiTheme="minorHAnsi" w:cstheme="minorHAnsi"/>
        </w:rPr>
        <w:fldChar w:fldCharType="end"/>
      </w:r>
      <w:r w:rsidRPr="007809F4">
        <w:rPr>
          <w:rFonts w:asciiTheme="minorHAnsi" w:hAnsiTheme="minorHAnsi" w:cstheme="minorHAnsi"/>
        </w:rPr>
        <w:t>, 436–437.</w:t>
      </w:r>
    </w:p>
  </w:footnote>
  <w:footnote w:id="390">
    <w:p w14:paraId="3A4139C4" w14:textId="6C05907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Beattie</w:t>
      </w:r>
      <w:r w:rsidRPr="007809F4">
        <w:rPr>
          <w:rFonts w:asciiTheme="minorHAnsi" w:hAnsiTheme="minorHAnsi" w:cstheme="minorHAnsi"/>
        </w:rPr>
        <w:t xml:space="preserve"> [2017] NSWCCA 301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Beattie</w:instrText>
      </w:r>
      <w:r w:rsidRPr="007809F4">
        <w:rPr>
          <w:rFonts w:asciiTheme="minorHAnsi" w:hAnsiTheme="minorHAnsi" w:cstheme="minorHAnsi"/>
        </w:rPr>
        <w:instrText xml:space="preserve"> [2017] NSWCCA 301</w:instrText>
      </w:r>
      <w:r w:rsidRPr="00EB7F1E">
        <w:rPr>
          <w:rFonts w:asciiTheme="minorHAnsi" w:hAnsiTheme="minorHAnsi" w:cstheme="minorHAnsi"/>
        </w:rPr>
        <w:instrText xml:space="preserve">" \s "DPP (Cth) v Beattie [2017] NSWCCA 301" \c 1 </w:instrText>
      </w:r>
      <w:r w:rsidRPr="00EB7F1E">
        <w:rPr>
          <w:rFonts w:asciiTheme="minorHAnsi" w:hAnsiTheme="minorHAnsi" w:cstheme="minorHAnsi"/>
        </w:rPr>
        <w:fldChar w:fldCharType="end"/>
      </w:r>
      <w:r w:rsidRPr="007809F4">
        <w:rPr>
          <w:rFonts w:asciiTheme="minorHAnsi" w:hAnsiTheme="minorHAnsi" w:cstheme="minorHAnsi"/>
        </w:rPr>
        <w:t>, [202]-[205].</w:t>
      </w:r>
    </w:p>
  </w:footnote>
  <w:footnote w:id="391">
    <w:p w14:paraId="343BAEE3" w14:textId="13AEE82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Veen v R (No 2) </w:t>
      </w:r>
      <w:r w:rsidRPr="007809F4">
        <w:rPr>
          <w:rFonts w:asciiTheme="minorHAnsi" w:hAnsiTheme="minorHAnsi" w:cstheme="minorHAnsi"/>
        </w:rPr>
        <w:t>(1987) 164 CLR 465</w:t>
      </w:r>
      <w:r w:rsidRPr="00F14348">
        <w:rPr>
          <w:rFonts w:asciiTheme="minorHAnsi" w:hAnsiTheme="minorHAnsi" w:cstheme="minorHAnsi"/>
        </w:rPr>
        <w:fldChar w:fldCharType="begin"/>
      </w:r>
      <w:r w:rsidRPr="007809F4">
        <w:rPr>
          <w:rFonts w:asciiTheme="minorHAnsi" w:hAnsiTheme="minorHAnsi" w:cstheme="minorHAnsi"/>
        </w:rPr>
        <w:instrText xml:space="preserve"> TA \s "Veen v R (No 2) (1987) 164 CLR 465" </w:instrText>
      </w:r>
      <w:r w:rsidRPr="00F14348">
        <w:rPr>
          <w:rFonts w:asciiTheme="minorHAnsi" w:hAnsiTheme="minorHAnsi" w:cstheme="minorHAnsi"/>
        </w:rPr>
        <w:fldChar w:fldCharType="end"/>
      </w:r>
      <w:r w:rsidRPr="007809F4">
        <w:rPr>
          <w:rFonts w:asciiTheme="minorHAnsi" w:hAnsiTheme="minorHAnsi" w:cstheme="minorHAnsi"/>
        </w:rPr>
        <w:t>.</w:t>
      </w:r>
      <w:r>
        <w:rPr>
          <w:rFonts w:asciiTheme="minorHAnsi" w:hAnsiTheme="minorHAnsi" w:cstheme="minorHAnsi"/>
        </w:rPr>
        <w:t xml:space="preserve">  </w:t>
      </w:r>
      <w:r w:rsidRPr="007809F4">
        <w:rPr>
          <w:rFonts w:asciiTheme="minorHAnsi" w:hAnsiTheme="minorHAnsi" w:cstheme="minorHAnsi"/>
        </w:rPr>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_Ref507878575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_Ref507878582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Community protection</w:t>
      </w:r>
      <w:r w:rsidRPr="00EB7F1E">
        <w:rPr>
          <w:rFonts w:asciiTheme="minorHAnsi" w:hAnsiTheme="minorHAnsi" w:cstheme="minorHAnsi"/>
        </w:rPr>
        <w:fldChar w:fldCharType="end"/>
      </w:r>
      <w:r w:rsidRPr="007809F4">
        <w:rPr>
          <w:rFonts w:asciiTheme="minorHAnsi" w:hAnsiTheme="minorHAnsi" w:cstheme="minorHAnsi"/>
        </w:rPr>
        <w:t>”.</w:t>
      </w:r>
    </w:p>
  </w:footnote>
  <w:footnote w:id="392">
    <w:p w14:paraId="2C305E9A" w14:textId="380DC5A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DPP (Cth) v Boyles (a pseudonym)</w:t>
      </w:r>
      <w:r w:rsidRPr="007809F4">
        <w:rPr>
          <w:rFonts w:asciiTheme="minorHAnsi" w:hAnsiTheme="minorHAnsi" w:cstheme="minorHAnsi"/>
        </w:rPr>
        <w:t xml:space="preserve"> [2016] VSCA 267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Boyles (a pseudonym) [2016] VSCA 267" </w:instrText>
      </w:r>
      <w:r w:rsidRPr="00EB7F1E">
        <w:rPr>
          <w:rFonts w:asciiTheme="minorHAnsi" w:hAnsiTheme="minorHAnsi" w:cstheme="minorHAnsi"/>
        </w:rPr>
        <w:fldChar w:fldCharType="end"/>
      </w:r>
      <w:r w:rsidRPr="007809F4">
        <w:rPr>
          <w:rFonts w:asciiTheme="minorHAnsi" w:hAnsiTheme="minorHAnsi" w:cstheme="minorHAnsi"/>
        </w:rPr>
        <w:t>, [72]-[73].</w:t>
      </w:r>
    </w:p>
  </w:footnote>
  <w:footnote w:id="393">
    <w:p w14:paraId="6527EB66" w14:textId="1A5103C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Markovic v R</w:t>
      </w:r>
      <w:r w:rsidRPr="007809F4">
        <w:rPr>
          <w:rFonts w:asciiTheme="minorHAnsi" w:hAnsiTheme="minorHAnsi" w:cstheme="minorHAnsi"/>
        </w:rPr>
        <w:t xml:space="preserve"> (2010) 30 VR 589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Markovic v R </w:instrText>
      </w:r>
      <w:r w:rsidRPr="007809F4">
        <w:rPr>
          <w:rFonts w:asciiTheme="minorHAnsi" w:hAnsiTheme="minorHAnsi" w:cstheme="minorHAnsi"/>
        </w:rPr>
        <w:instrText xml:space="preserve">(2010) 30 VR 589" \s "Markovic v R (2010) 30 VR 589"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Bui</w:t>
      </w:r>
      <w:r w:rsidRPr="007809F4">
        <w:rPr>
          <w:rFonts w:asciiTheme="minorHAnsi" w:hAnsiTheme="minorHAnsi" w:cstheme="minorHAnsi"/>
        </w:rPr>
        <w:t xml:space="preserve"> (2011) 32 VR 149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Bui (2011) 32 VR 149" </w:instrText>
      </w:r>
      <w:r w:rsidRPr="00EB7F1E">
        <w:rPr>
          <w:rFonts w:asciiTheme="minorHAnsi" w:hAnsiTheme="minorHAnsi" w:cstheme="minorHAnsi"/>
        </w:rPr>
        <w:fldChar w:fldCharType="end"/>
      </w:r>
      <w:r w:rsidRPr="007809F4">
        <w:rPr>
          <w:rFonts w:asciiTheme="minorHAnsi" w:hAnsiTheme="minorHAnsi" w:cstheme="minorHAnsi"/>
        </w:rPr>
        <w:t>, [21]-[22].</w:t>
      </w:r>
    </w:p>
  </w:footnote>
  <w:footnote w:id="394">
    <w:p w14:paraId="4EAEA09A" w14:textId="2878ADA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Wirth</w:t>
      </w:r>
      <w:r w:rsidRPr="007809F4">
        <w:rPr>
          <w:rFonts w:asciiTheme="minorHAnsi" w:hAnsiTheme="minorHAnsi" w:cstheme="minorHAnsi"/>
        </w:rPr>
        <w:t xml:space="preserve"> (1976) 14 SASR 291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Wirth</w:instrText>
      </w:r>
      <w:r w:rsidRPr="007809F4">
        <w:rPr>
          <w:rFonts w:asciiTheme="minorHAnsi" w:hAnsiTheme="minorHAnsi" w:cstheme="minorHAnsi"/>
        </w:rPr>
        <w:instrText xml:space="preserve"> (1976) 14 SASR 291</w:instrText>
      </w:r>
      <w:r w:rsidRPr="00EB7F1E">
        <w:rPr>
          <w:rFonts w:asciiTheme="minorHAnsi" w:hAnsiTheme="minorHAnsi" w:cstheme="minorHAnsi"/>
        </w:rPr>
        <w:instrText xml:space="preserve">" \s "R v Wirth (1976) 14 SASR 291" \c 1 </w:instrText>
      </w:r>
      <w:r w:rsidRPr="00EB7F1E">
        <w:rPr>
          <w:rFonts w:asciiTheme="minorHAnsi" w:hAnsiTheme="minorHAnsi" w:cstheme="minorHAnsi"/>
        </w:rPr>
        <w:fldChar w:fldCharType="end"/>
      </w:r>
      <w:r w:rsidRPr="007809F4">
        <w:rPr>
          <w:rFonts w:asciiTheme="minorHAnsi" w:hAnsiTheme="minorHAnsi" w:cstheme="minorHAnsi"/>
        </w:rPr>
        <w:t xml:space="preserve">, 295-6; </w:t>
      </w:r>
      <w:r w:rsidRPr="007809F4">
        <w:rPr>
          <w:rFonts w:asciiTheme="minorHAnsi" w:hAnsiTheme="minorHAnsi" w:cstheme="minorHAnsi"/>
          <w:i/>
        </w:rPr>
        <w:t>R v Edwards</w:t>
      </w:r>
      <w:r w:rsidRPr="007809F4">
        <w:rPr>
          <w:rFonts w:asciiTheme="minorHAnsi" w:hAnsiTheme="minorHAnsi" w:cstheme="minorHAnsi"/>
        </w:rPr>
        <w:t xml:space="preserve"> (1996) 90 A Crim R 510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Edwards</w:instrText>
      </w:r>
      <w:r w:rsidRPr="007809F4">
        <w:rPr>
          <w:rFonts w:asciiTheme="minorHAnsi" w:hAnsiTheme="minorHAnsi" w:cstheme="minorHAnsi"/>
        </w:rPr>
        <w:instrText xml:space="preserve"> (1996) 90 A Crim R 510</w:instrText>
      </w:r>
      <w:r w:rsidRPr="00EB7F1E">
        <w:rPr>
          <w:rFonts w:asciiTheme="minorHAnsi" w:hAnsiTheme="minorHAnsi" w:cstheme="minorHAnsi"/>
        </w:rPr>
        <w:instrText xml:space="preserve">" \s "R v Edwards (1996) 90 A Crim R 510" \c 1 </w:instrText>
      </w:r>
      <w:r w:rsidRPr="00EB7F1E">
        <w:rPr>
          <w:rFonts w:asciiTheme="minorHAnsi" w:hAnsiTheme="minorHAnsi" w:cstheme="minorHAnsi"/>
        </w:rPr>
        <w:fldChar w:fldCharType="end"/>
      </w:r>
      <w:r w:rsidRPr="007809F4">
        <w:rPr>
          <w:rFonts w:asciiTheme="minorHAnsi" w:hAnsiTheme="minorHAnsi" w:cstheme="minorHAnsi"/>
        </w:rPr>
        <w:t>, 515.  Similarly, other inherent consequences of a sentence, such as sex offender registration (</w:t>
      </w:r>
      <w:r w:rsidRPr="007809F4">
        <w:rPr>
          <w:rFonts w:asciiTheme="minorHAnsi" w:hAnsiTheme="minorHAnsi" w:cstheme="minorHAnsi"/>
          <w:i/>
        </w:rPr>
        <w:t>DPP v Ellis</w:t>
      </w:r>
      <w:r w:rsidRPr="007809F4">
        <w:rPr>
          <w:rFonts w:asciiTheme="minorHAnsi" w:hAnsiTheme="minorHAnsi" w:cstheme="minorHAnsi"/>
        </w:rPr>
        <w:t xml:space="preserve"> (2005) 11 VR 287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Ellis</w:instrText>
      </w:r>
      <w:r w:rsidRPr="007809F4">
        <w:rPr>
          <w:rFonts w:asciiTheme="minorHAnsi" w:hAnsiTheme="minorHAnsi" w:cstheme="minorHAnsi"/>
        </w:rPr>
        <w:instrText xml:space="preserve"> (2005) 11 VR 287</w:instrText>
      </w:r>
      <w:r w:rsidRPr="00EB7F1E">
        <w:rPr>
          <w:rFonts w:asciiTheme="minorHAnsi" w:hAnsiTheme="minorHAnsi" w:cstheme="minorHAnsi"/>
        </w:rPr>
        <w:instrText xml:space="preserve">" \s "DPP v Ellis (2005) 11 VR 287" \c 1 </w:instrText>
      </w:r>
      <w:r w:rsidRPr="00EB7F1E">
        <w:rPr>
          <w:rFonts w:asciiTheme="minorHAnsi" w:hAnsiTheme="minorHAnsi" w:cstheme="minorHAnsi"/>
        </w:rPr>
        <w:fldChar w:fldCharType="end"/>
      </w:r>
      <w:r w:rsidRPr="007809F4">
        <w:rPr>
          <w:rFonts w:asciiTheme="minorHAnsi" w:hAnsiTheme="minorHAnsi" w:cstheme="minorHAnsi"/>
        </w:rPr>
        <w:t>), or uncertainty and anxiety about relationships and future prospects (</w:t>
      </w:r>
      <w:r w:rsidRPr="007809F4">
        <w:rPr>
          <w:rFonts w:asciiTheme="minorHAnsi" w:hAnsiTheme="minorHAnsi" w:cstheme="minorHAnsi"/>
          <w:i/>
        </w:rPr>
        <w:t>Hickling v Western Australia</w:t>
      </w:r>
      <w:r w:rsidRPr="007809F4">
        <w:rPr>
          <w:rFonts w:asciiTheme="minorHAnsi" w:hAnsiTheme="minorHAnsi" w:cstheme="minorHAnsi"/>
        </w:rPr>
        <w:t xml:space="preserve"> [2016] WASCA 124</w:t>
      </w:r>
      <w:r w:rsidRPr="00EB7F1E">
        <w:rPr>
          <w:rFonts w:asciiTheme="minorHAnsi" w:hAnsiTheme="minorHAnsi" w:cstheme="minorHAnsi"/>
          <w:i/>
        </w:rPr>
        <w:fldChar w:fldCharType="begin"/>
      </w:r>
      <w:r w:rsidRPr="007809F4">
        <w:rPr>
          <w:rFonts w:asciiTheme="minorHAnsi" w:hAnsiTheme="minorHAnsi" w:cstheme="minorHAnsi"/>
        </w:rPr>
        <w:instrText xml:space="preserve"> TA \s "Hickling v Western Australia [2016] WASCA 124" </w:instrText>
      </w:r>
      <w:r w:rsidRPr="00EB7F1E">
        <w:rPr>
          <w:rFonts w:asciiTheme="minorHAnsi" w:hAnsiTheme="minorHAnsi" w:cstheme="minorHAnsi"/>
          <w:i/>
        </w:rPr>
        <w:fldChar w:fldCharType="end"/>
      </w:r>
      <w:r w:rsidRPr="007809F4">
        <w:rPr>
          <w:rFonts w:asciiTheme="minorHAnsi" w:hAnsiTheme="minorHAnsi" w:cstheme="minorHAnsi"/>
        </w:rPr>
        <w:t>, [60]), do not ordinarily constitute mitigating circumstances.</w:t>
      </w:r>
    </w:p>
  </w:footnote>
  <w:footnote w:id="395">
    <w:p w14:paraId="10B09E3D" w14:textId="0364D0E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e.g.</w:t>
      </w:r>
      <w:r w:rsidRPr="007809F4">
        <w:rPr>
          <w:rFonts w:asciiTheme="minorHAnsi" w:hAnsiTheme="minorHAnsi" w:cstheme="minorHAnsi"/>
          <w:i/>
        </w:rPr>
        <w:t>, R v Wirth</w:t>
      </w:r>
      <w:r w:rsidRPr="007809F4">
        <w:rPr>
          <w:rFonts w:asciiTheme="minorHAnsi" w:hAnsiTheme="minorHAnsi" w:cstheme="minorHAnsi"/>
        </w:rPr>
        <w:t xml:space="preserve"> (1976) 14 SASR 291</w:t>
      </w:r>
      <w:r w:rsidRPr="00EB7F1E">
        <w:rPr>
          <w:rFonts w:asciiTheme="minorHAnsi" w:hAnsiTheme="minorHAnsi" w:cstheme="minorHAnsi"/>
        </w:rPr>
        <w:fldChar w:fldCharType="begin"/>
      </w:r>
      <w:r w:rsidRPr="007809F4">
        <w:rPr>
          <w:rFonts w:asciiTheme="minorHAnsi" w:hAnsiTheme="minorHAnsi" w:cstheme="minorHAnsi"/>
        </w:rPr>
        <w:instrText xml:space="preserve"> TA \s "R v Wirth (1976) 14 SASR 291"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396">
    <w:p w14:paraId="791B2162" w14:textId="3CD46B2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Wirth</w:t>
      </w:r>
      <w:r w:rsidRPr="007809F4">
        <w:rPr>
          <w:rFonts w:asciiTheme="minorHAnsi" w:hAnsiTheme="minorHAnsi" w:cstheme="minorHAnsi"/>
        </w:rPr>
        <w:t xml:space="preserve"> (1976) 14 SASR 291</w:t>
      </w:r>
      <w:r w:rsidRPr="00EB7F1E">
        <w:rPr>
          <w:rFonts w:asciiTheme="minorHAnsi" w:hAnsiTheme="minorHAnsi" w:cstheme="minorHAnsi"/>
        </w:rPr>
        <w:fldChar w:fldCharType="begin"/>
      </w:r>
      <w:r w:rsidRPr="007809F4">
        <w:rPr>
          <w:rFonts w:asciiTheme="minorHAnsi" w:hAnsiTheme="minorHAnsi" w:cstheme="minorHAnsi"/>
        </w:rPr>
        <w:instrText xml:space="preserve"> TA \s "R v Wirth (1976) 14 SASR 291" </w:instrText>
      </w:r>
      <w:r w:rsidRPr="00EB7F1E">
        <w:rPr>
          <w:rFonts w:asciiTheme="minorHAnsi" w:hAnsiTheme="minorHAnsi" w:cstheme="minorHAnsi"/>
        </w:rPr>
        <w:fldChar w:fldCharType="end"/>
      </w:r>
      <w:r w:rsidRPr="007809F4">
        <w:rPr>
          <w:rFonts w:asciiTheme="minorHAnsi" w:hAnsiTheme="minorHAnsi" w:cstheme="minorHAnsi"/>
        </w:rPr>
        <w:t xml:space="preserve">, 295-6; </w:t>
      </w:r>
      <w:r w:rsidRPr="007809F4">
        <w:rPr>
          <w:rFonts w:asciiTheme="minorHAnsi" w:hAnsiTheme="minorHAnsi" w:cstheme="minorHAnsi"/>
          <w:i/>
        </w:rPr>
        <w:t>R v Edwards</w:t>
      </w:r>
      <w:r w:rsidRPr="007809F4">
        <w:rPr>
          <w:rFonts w:asciiTheme="minorHAnsi" w:hAnsiTheme="minorHAnsi" w:cstheme="minorHAnsi"/>
        </w:rPr>
        <w:t xml:space="preserve"> (1996) 90 A Crim R 510</w:t>
      </w:r>
      <w:r w:rsidRPr="00EB7F1E">
        <w:rPr>
          <w:rFonts w:asciiTheme="minorHAnsi" w:hAnsiTheme="minorHAnsi" w:cstheme="minorHAnsi"/>
        </w:rPr>
        <w:fldChar w:fldCharType="begin"/>
      </w:r>
      <w:r w:rsidRPr="007809F4">
        <w:rPr>
          <w:rFonts w:asciiTheme="minorHAnsi" w:hAnsiTheme="minorHAnsi" w:cstheme="minorHAnsi"/>
        </w:rPr>
        <w:instrText xml:space="preserve"> TA \s "R v Edwards (1996) 90 A Crim R 510" </w:instrText>
      </w:r>
      <w:r w:rsidRPr="00EB7F1E">
        <w:rPr>
          <w:rFonts w:asciiTheme="minorHAnsi" w:hAnsiTheme="minorHAnsi" w:cstheme="minorHAnsi"/>
        </w:rPr>
        <w:fldChar w:fldCharType="end"/>
      </w:r>
      <w:r w:rsidRPr="007809F4">
        <w:rPr>
          <w:rFonts w:asciiTheme="minorHAnsi" w:hAnsiTheme="minorHAnsi" w:cstheme="minorHAnsi"/>
        </w:rPr>
        <w:t xml:space="preserve">, 515; </w:t>
      </w:r>
      <w:r w:rsidRPr="007809F4">
        <w:rPr>
          <w:rFonts w:asciiTheme="minorHAnsi" w:hAnsiTheme="minorHAnsi" w:cstheme="minorHAnsi"/>
          <w:i/>
        </w:rPr>
        <w:t>Markovic v R</w:t>
      </w:r>
      <w:r w:rsidRPr="007809F4">
        <w:rPr>
          <w:rFonts w:asciiTheme="minorHAnsi" w:hAnsiTheme="minorHAnsi" w:cstheme="minorHAnsi"/>
        </w:rPr>
        <w:t xml:space="preserve"> (2010) 30 VR 589</w:t>
      </w:r>
      <w:r w:rsidRPr="00EB7F1E">
        <w:rPr>
          <w:rFonts w:asciiTheme="minorHAnsi" w:hAnsiTheme="minorHAnsi" w:cstheme="minorHAnsi"/>
        </w:rPr>
        <w:fldChar w:fldCharType="begin"/>
      </w:r>
      <w:r w:rsidRPr="00EB7F1E">
        <w:rPr>
          <w:rFonts w:asciiTheme="minorHAnsi" w:hAnsiTheme="minorHAnsi" w:cstheme="minorHAnsi"/>
        </w:rPr>
        <w:instrText xml:space="preserve"> TA \s "Markovic v R (2010) 30 VR 589" </w:instrText>
      </w:r>
      <w:r w:rsidRPr="00EB7F1E">
        <w:rPr>
          <w:rFonts w:asciiTheme="minorHAnsi" w:hAnsiTheme="minorHAnsi" w:cstheme="minorHAnsi"/>
        </w:rPr>
        <w:fldChar w:fldCharType="end"/>
      </w:r>
      <w:r w:rsidRPr="007809F4">
        <w:rPr>
          <w:rFonts w:asciiTheme="minorHAnsi" w:hAnsiTheme="minorHAnsi" w:cstheme="minorHAnsi"/>
        </w:rPr>
        <w:t>, [6]-[13].</w:t>
      </w:r>
    </w:p>
  </w:footnote>
  <w:footnote w:id="397">
    <w:p w14:paraId="1D6786C3" w14:textId="07ADD69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Markovic v R</w:t>
      </w:r>
      <w:r w:rsidRPr="007809F4">
        <w:rPr>
          <w:rFonts w:asciiTheme="minorHAnsi" w:hAnsiTheme="minorHAnsi" w:cstheme="minorHAnsi"/>
        </w:rPr>
        <w:t xml:space="preserve"> (2010) 30 VR 589</w:t>
      </w:r>
      <w:r w:rsidRPr="00EB7F1E">
        <w:rPr>
          <w:rFonts w:asciiTheme="minorHAnsi" w:hAnsiTheme="minorHAnsi" w:cstheme="minorHAnsi"/>
        </w:rPr>
        <w:fldChar w:fldCharType="begin"/>
      </w:r>
      <w:r w:rsidRPr="007809F4">
        <w:rPr>
          <w:rFonts w:asciiTheme="minorHAnsi" w:hAnsiTheme="minorHAnsi" w:cstheme="minorHAnsi"/>
        </w:rPr>
        <w:instrText xml:space="preserve"> TA \s "Markovic v R (2010) 30 VR 589" </w:instrText>
      </w:r>
      <w:r w:rsidRPr="00EB7F1E">
        <w:rPr>
          <w:rFonts w:asciiTheme="minorHAnsi" w:hAnsiTheme="minorHAnsi" w:cstheme="minorHAnsi"/>
        </w:rPr>
        <w:fldChar w:fldCharType="end"/>
      </w:r>
      <w:r w:rsidRPr="007809F4">
        <w:rPr>
          <w:rFonts w:asciiTheme="minorHAnsi" w:hAnsiTheme="minorHAnsi" w:cstheme="minorHAnsi"/>
        </w:rPr>
        <w:t>, [77].</w:t>
      </w:r>
    </w:p>
  </w:footnote>
  <w:footnote w:id="398">
    <w:p w14:paraId="1F68DA95" w14:textId="26118C8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Berlinksy</w:t>
      </w:r>
      <w:r w:rsidRPr="007809F4">
        <w:rPr>
          <w:rFonts w:asciiTheme="minorHAnsi" w:hAnsiTheme="minorHAnsi" w:cstheme="minorHAnsi"/>
        </w:rPr>
        <w:t xml:space="preserve"> [2005] SASC 316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Berlinksy</w:instrText>
      </w:r>
      <w:r w:rsidRPr="007809F4">
        <w:rPr>
          <w:rFonts w:asciiTheme="minorHAnsi" w:hAnsiTheme="minorHAnsi" w:cstheme="minorHAnsi"/>
        </w:rPr>
        <w:instrText xml:space="preserve"> [2005] SASC 316</w:instrText>
      </w:r>
      <w:r w:rsidRPr="00EB7F1E">
        <w:rPr>
          <w:rFonts w:asciiTheme="minorHAnsi" w:hAnsiTheme="minorHAnsi" w:cstheme="minorHAnsi"/>
        </w:rPr>
        <w:instrText xml:space="preserve">" \s "R v Berlinksy [2005] SASC 316" \c 1 </w:instrText>
      </w:r>
      <w:r w:rsidRPr="00EB7F1E">
        <w:rPr>
          <w:rFonts w:asciiTheme="minorHAnsi" w:hAnsiTheme="minorHAnsi" w:cstheme="minorHAnsi"/>
        </w:rPr>
        <w:fldChar w:fldCharType="end"/>
      </w:r>
      <w:r w:rsidRPr="007809F4">
        <w:rPr>
          <w:rFonts w:asciiTheme="minorHAnsi" w:hAnsiTheme="minorHAnsi" w:cstheme="minorHAnsi"/>
        </w:rPr>
        <w:t>, [30].</w:t>
      </w:r>
    </w:p>
  </w:footnote>
  <w:footnote w:id="399">
    <w:p w14:paraId="16CE8B63" w14:textId="7944141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Adami</w:t>
      </w:r>
      <w:r w:rsidRPr="007809F4">
        <w:rPr>
          <w:rFonts w:asciiTheme="minorHAnsi" w:hAnsiTheme="minorHAnsi" w:cstheme="minorHAnsi"/>
        </w:rPr>
        <w:t xml:space="preserve"> (1989) 51 SASR 229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Adami</w:instrText>
      </w:r>
      <w:r w:rsidRPr="007809F4">
        <w:rPr>
          <w:rFonts w:asciiTheme="minorHAnsi" w:hAnsiTheme="minorHAnsi" w:cstheme="minorHAnsi"/>
        </w:rPr>
        <w:instrText xml:space="preserve"> (1989) 51 SASR 229</w:instrText>
      </w:r>
      <w:r w:rsidRPr="00EB7F1E">
        <w:rPr>
          <w:rFonts w:asciiTheme="minorHAnsi" w:hAnsiTheme="minorHAnsi" w:cstheme="minorHAnsi"/>
        </w:rPr>
        <w:instrText xml:space="preserve">" \s "R v Adami (1989) 51 SASR 229" \c 1 </w:instrText>
      </w:r>
      <w:r w:rsidRPr="00EB7F1E">
        <w:rPr>
          <w:rFonts w:asciiTheme="minorHAnsi" w:hAnsiTheme="minorHAnsi" w:cstheme="minorHAnsi"/>
        </w:rPr>
        <w:fldChar w:fldCharType="end"/>
      </w:r>
      <w:r w:rsidRPr="007809F4">
        <w:rPr>
          <w:rFonts w:asciiTheme="minorHAnsi" w:hAnsiTheme="minorHAnsi" w:cstheme="minorHAnsi"/>
        </w:rPr>
        <w:t>.  This decision has been followed and applied many times in the construction of the South Australian statute.</w:t>
      </w:r>
    </w:p>
  </w:footnote>
  <w:footnote w:id="400">
    <w:p w14:paraId="716E47A5" w14:textId="3795429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Ceissman</w:t>
      </w:r>
      <w:r w:rsidRPr="007809F4">
        <w:rPr>
          <w:rFonts w:asciiTheme="minorHAnsi" w:hAnsiTheme="minorHAnsi" w:cstheme="minorHAnsi"/>
        </w:rPr>
        <w:t xml:space="preserve"> [2001] NSWCCA 73</w:t>
      </w:r>
      <w:r w:rsidRPr="00EB7F1E">
        <w:rPr>
          <w:rFonts w:asciiTheme="minorHAnsi" w:hAnsiTheme="minorHAnsi" w:cstheme="minorHAnsi"/>
          <w:bCs/>
        </w:rPr>
        <w:fldChar w:fldCharType="begin"/>
      </w:r>
      <w:r w:rsidRPr="007809F4">
        <w:rPr>
          <w:rFonts w:asciiTheme="minorHAnsi" w:hAnsiTheme="minorHAnsi" w:cstheme="minorHAnsi"/>
          <w:bCs/>
        </w:rPr>
        <w:instrText xml:space="preserve"> TA \s "R v Ceissman [2001] NSWCCA 73" </w:instrText>
      </w:r>
      <w:r w:rsidRPr="00EB7F1E">
        <w:rPr>
          <w:rFonts w:asciiTheme="minorHAnsi" w:hAnsiTheme="minorHAnsi" w:cstheme="minorHAnsi"/>
          <w:bCs/>
        </w:rPr>
        <w:fldChar w:fldCharType="end"/>
      </w:r>
      <w:r w:rsidRPr="007809F4" w:rsidDel="00121CAF">
        <w:rPr>
          <w:rFonts w:asciiTheme="minorHAnsi" w:hAnsiTheme="minorHAnsi" w:cstheme="minorHAnsi"/>
        </w:rPr>
        <w:t xml:space="preserve"> </w:t>
      </w:r>
      <w:r w:rsidRPr="007809F4">
        <w:rPr>
          <w:rFonts w:asciiTheme="minorHAnsi" w:hAnsiTheme="minorHAnsi" w:cstheme="minorHAnsi"/>
        </w:rPr>
        <w:t xml:space="preserve">, [36]; </w:t>
      </w:r>
      <w:r w:rsidRPr="007809F4">
        <w:rPr>
          <w:rFonts w:asciiTheme="minorHAnsi" w:hAnsiTheme="minorHAnsi" w:cstheme="minorHAnsi"/>
          <w:i/>
        </w:rPr>
        <w:t>R v Togias</w:t>
      </w:r>
      <w:r w:rsidRPr="007809F4">
        <w:rPr>
          <w:rFonts w:asciiTheme="minorHAnsi" w:hAnsiTheme="minorHAnsi" w:cstheme="minorHAnsi"/>
        </w:rPr>
        <w:t xml:space="preserve"> [2001] NSWCCA 522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Togias</w:instrText>
      </w:r>
      <w:r w:rsidRPr="007809F4">
        <w:rPr>
          <w:rFonts w:asciiTheme="minorHAnsi" w:hAnsiTheme="minorHAnsi" w:cstheme="minorHAnsi"/>
        </w:rPr>
        <w:instrText xml:space="preserve"> [2001] NSWCCA 522" \s "R v Togias [2001] NSWCCA 522"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Togias (2001) 127 A Crim R 23" </w:instrText>
      </w:r>
      <w:r w:rsidRPr="00EB7F1E">
        <w:rPr>
          <w:rFonts w:asciiTheme="minorHAnsi" w:hAnsiTheme="minorHAnsi" w:cstheme="minorHAnsi"/>
        </w:rPr>
        <w:fldChar w:fldCharType="end"/>
      </w:r>
      <w:r w:rsidRPr="007809F4">
        <w:rPr>
          <w:rFonts w:asciiTheme="minorHAnsi" w:hAnsiTheme="minorHAnsi" w:cstheme="minorHAnsi"/>
        </w:rPr>
        <w:t xml:space="preserve">, [8]-[17], [69]-[88], and the cases cited there; </w:t>
      </w:r>
      <w:r w:rsidRPr="007809F4">
        <w:rPr>
          <w:rFonts w:asciiTheme="minorHAnsi" w:hAnsiTheme="minorHAnsi" w:cstheme="minorHAnsi"/>
          <w:i/>
        </w:rPr>
        <w:t>R v Hinton</w:t>
      </w:r>
      <w:r w:rsidRPr="007809F4">
        <w:rPr>
          <w:rFonts w:asciiTheme="minorHAnsi" w:hAnsiTheme="minorHAnsi" w:cstheme="minorHAnsi"/>
        </w:rPr>
        <w:t xml:space="preserve"> [2002] NSWCCA 405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Hinton</w:instrText>
      </w:r>
      <w:r w:rsidRPr="007809F4">
        <w:rPr>
          <w:rFonts w:asciiTheme="minorHAnsi" w:hAnsiTheme="minorHAnsi" w:cstheme="minorHAnsi"/>
        </w:rPr>
        <w:instrText xml:space="preserve"> [2002] NSWCCA 405" \s "R v Hinton [2002] NSWCCA 405" \c 1 </w:instrText>
      </w:r>
      <w:r w:rsidRPr="00EB7F1E">
        <w:rPr>
          <w:rFonts w:asciiTheme="minorHAnsi" w:hAnsiTheme="minorHAnsi" w:cstheme="minorHAnsi"/>
        </w:rPr>
        <w:fldChar w:fldCharType="end"/>
      </w:r>
      <w:r w:rsidRPr="007809F4">
        <w:rPr>
          <w:rFonts w:asciiTheme="minorHAnsi" w:hAnsiTheme="minorHAnsi" w:cstheme="minorHAnsi"/>
        </w:rPr>
        <w:t>; Le v R [2006] NSWCCA 136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Le v R</w:instrText>
      </w:r>
      <w:r w:rsidRPr="007809F4">
        <w:rPr>
          <w:rFonts w:asciiTheme="minorHAnsi" w:hAnsiTheme="minorHAnsi" w:cstheme="minorHAnsi"/>
        </w:rPr>
        <w:instrText xml:space="preserve"> [2006] NSWCCA 136</w:instrText>
      </w:r>
      <w:r w:rsidRPr="00EB7F1E">
        <w:rPr>
          <w:rFonts w:asciiTheme="minorHAnsi" w:hAnsiTheme="minorHAnsi" w:cstheme="minorHAnsi"/>
        </w:rPr>
        <w:instrText xml:space="preserve">" \s "Le v R [2006] NSWCCA 136" \c 1 </w:instrText>
      </w:r>
      <w:r w:rsidRPr="00EB7F1E">
        <w:rPr>
          <w:rFonts w:asciiTheme="minorHAnsi" w:hAnsiTheme="minorHAnsi" w:cstheme="minorHAnsi"/>
        </w:rPr>
        <w:fldChar w:fldCharType="end"/>
      </w:r>
      <w:r w:rsidRPr="007809F4">
        <w:rPr>
          <w:rFonts w:asciiTheme="minorHAnsi" w:hAnsiTheme="minorHAnsi" w:cstheme="minorHAnsi"/>
        </w:rPr>
        <w:t>, [25];</w:t>
      </w:r>
      <w:r w:rsidRPr="007809F4">
        <w:rPr>
          <w:rStyle w:val="ssl2"/>
          <w:rFonts w:asciiTheme="minorHAnsi" w:hAnsiTheme="minorHAnsi" w:cstheme="minorHAnsi"/>
        </w:rPr>
        <w:t xml:space="preserve"> </w:t>
      </w:r>
      <w:r w:rsidRPr="007809F4">
        <w:rPr>
          <w:rFonts w:asciiTheme="minorHAnsi" w:hAnsiTheme="minorHAnsi" w:cstheme="minorHAnsi"/>
          <w:i/>
        </w:rPr>
        <w:t>Van Eeden v R</w:t>
      </w:r>
      <w:r w:rsidRPr="007809F4">
        <w:rPr>
          <w:rFonts w:asciiTheme="minorHAnsi" w:hAnsiTheme="minorHAnsi" w:cstheme="minorHAnsi"/>
        </w:rPr>
        <w:t xml:space="preserve"> [2012] NSWCCA 18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Van Eeden v R</w:instrText>
      </w:r>
      <w:r w:rsidRPr="007809F4">
        <w:rPr>
          <w:rFonts w:asciiTheme="minorHAnsi" w:hAnsiTheme="minorHAnsi" w:cstheme="minorHAnsi"/>
        </w:rPr>
        <w:instrText xml:space="preserve"> [2012] NSWCCA 18</w:instrText>
      </w:r>
      <w:r w:rsidRPr="00EB7F1E">
        <w:rPr>
          <w:rFonts w:asciiTheme="minorHAnsi" w:hAnsiTheme="minorHAnsi" w:cstheme="minorHAnsi"/>
        </w:rPr>
        <w:instrText xml:space="preserve">" \s "Van Eeden v R [2012] NSWCCA 18"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Zerafa</w:t>
      </w:r>
      <w:r w:rsidRPr="007809F4">
        <w:rPr>
          <w:rFonts w:asciiTheme="minorHAnsi" w:hAnsiTheme="minorHAnsi" w:cstheme="minorHAnsi"/>
        </w:rPr>
        <w:t xml:space="preserve"> [2013] NSWCCA 222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Zerafa</w:instrText>
      </w:r>
      <w:r w:rsidRPr="007809F4">
        <w:rPr>
          <w:rFonts w:asciiTheme="minorHAnsi" w:hAnsiTheme="minorHAnsi" w:cstheme="minorHAnsi"/>
        </w:rPr>
        <w:instrText xml:space="preserve"> [2013] NSWCCA 222" \s "R v Zerafa [2013] NSWCCA 222"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Lin</w:t>
      </w:r>
      <w:r w:rsidRPr="007809F4">
        <w:rPr>
          <w:rFonts w:asciiTheme="minorHAnsi" w:hAnsiTheme="minorHAnsi" w:cstheme="minorHAnsi"/>
        </w:rPr>
        <w:t xml:space="preserve"> [2014] NSWCCA 254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Lin</w:instrText>
      </w:r>
      <w:r w:rsidRPr="007809F4">
        <w:rPr>
          <w:rFonts w:asciiTheme="minorHAnsi" w:hAnsiTheme="minorHAnsi" w:cstheme="minorHAnsi"/>
        </w:rPr>
        <w:instrText xml:space="preserve"> [2014] NSWCCA 254</w:instrText>
      </w:r>
      <w:r w:rsidRPr="00EB7F1E">
        <w:rPr>
          <w:rFonts w:asciiTheme="minorHAnsi" w:hAnsiTheme="minorHAnsi" w:cstheme="minorHAnsi"/>
        </w:rPr>
        <w:instrText xml:space="preserve">" \s "R v Lin [2014] NSWCCA 254" \c 1 </w:instrText>
      </w:r>
      <w:r w:rsidRPr="00EB7F1E">
        <w:rPr>
          <w:rFonts w:asciiTheme="minorHAnsi" w:hAnsiTheme="minorHAnsi" w:cstheme="minorHAnsi"/>
        </w:rPr>
        <w:fldChar w:fldCharType="end"/>
      </w:r>
      <w:r w:rsidRPr="007809F4">
        <w:rPr>
          <w:rFonts w:asciiTheme="minorHAnsi" w:hAnsiTheme="minorHAnsi" w:cstheme="minorHAnsi"/>
        </w:rPr>
        <w:t xml:space="preserve">, [71]; </w:t>
      </w:r>
      <w:r w:rsidRPr="007809F4">
        <w:rPr>
          <w:rFonts w:asciiTheme="minorHAnsi" w:hAnsiTheme="minorHAnsi" w:cstheme="minorHAnsi"/>
          <w:i/>
        </w:rPr>
        <w:t>Huynh v R</w:t>
      </w:r>
      <w:r w:rsidRPr="007809F4">
        <w:rPr>
          <w:rFonts w:asciiTheme="minorHAnsi" w:hAnsiTheme="minorHAnsi" w:cstheme="minorHAnsi"/>
        </w:rPr>
        <w:t xml:space="preserve"> [2015] NSWCCA 167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Huynh v R</w:instrText>
      </w:r>
      <w:r w:rsidRPr="007809F4">
        <w:rPr>
          <w:rFonts w:asciiTheme="minorHAnsi" w:hAnsiTheme="minorHAnsi" w:cstheme="minorHAnsi"/>
        </w:rPr>
        <w:instrText xml:space="preserve"> [2015] NSWCCA 167</w:instrText>
      </w:r>
      <w:r w:rsidRPr="00EB7F1E">
        <w:rPr>
          <w:rFonts w:asciiTheme="minorHAnsi" w:hAnsiTheme="minorHAnsi" w:cstheme="minorHAnsi"/>
        </w:rPr>
        <w:instrText xml:space="preserve">" \s "Huynh v R [2015] NSWCCA 167" \c 1 </w:instrText>
      </w:r>
      <w:r w:rsidRPr="00EB7F1E">
        <w:rPr>
          <w:rFonts w:asciiTheme="minorHAnsi" w:hAnsiTheme="minorHAnsi" w:cstheme="minorHAnsi"/>
        </w:rPr>
        <w:fldChar w:fldCharType="end"/>
      </w:r>
      <w:r w:rsidRPr="007809F4">
        <w:rPr>
          <w:rFonts w:asciiTheme="minorHAnsi" w:hAnsiTheme="minorHAnsi" w:cstheme="minorHAnsi"/>
        </w:rPr>
        <w:t xml:space="preserve">, [33]-[34]. Despite minority judgments or </w:t>
      </w:r>
      <w:r w:rsidRPr="007809F4">
        <w:rPr>
          <w:rFonts w:asciiTheme="minorHAnsi" w:hAnsiTheme="minorHAnsi" w:cstheme="minorHAnsi"/>
          <w:i/>
        </w:rPr>
        <w:t>obiter dicta</w:t>
      </w:r>
      <w:r w:rsidRPr="007809F4">
        <w:rPr>
          <w:rFonts w:asciiTheme="minorHAnsi" w:hAnsiTheme="minorHAnsi" w:cstheme="minorHAnsi"/>
        </w:rPr>
        <w:t xml:space="preserve"> in some recent cases favouring a contrary view (e.g. </w:t>
      </w:r>
      <w:r w:rsidRPr="007809F4">
        <w:rPr>
          <w:rFonts w:asciiTheme="minorHAnsi" w:hAnsiTheme="minorHAnsi" w:cstheme="minorHAnsi"/>
          <w:i/>
        </w:rPr>
        <w:t>R v Zerafa</w:t>
      </w:r>
      <w:r w:rsidRPr="007809F4">
        <w:rPr>
          <w:rFonts w:asciiTheme="minorHAnsi" w:hAnsiTheme="minorHAnsi" w:cstheme="minorHAnsi"/>
        </w:rPr>
        <w:t xml:space="preserve"> [2013] NSWCCA 222</w:t>
      </w:r>
      <w:r w:rsidRPr="00EB7F1E">
        <w:rPr>
          <w:rFonts w:asciiTheme="minorHAnsi" w:hAnsiTheme="minorHAnsi" w:cstheme="minorHAnsi"/>
        </w:rPr>
        <w:fldChar w:fldCharType="begin"/>
      </w:r>
      <w:r w:rsidRPr="00EB7F1E">
        <w:rPr>
          <w:rFonts w:asciiTheme="minorHAnsi" w:hAnsiTheme="minorHAnsi" w:cstheme="minorHAnsi"/>
        </w:rPr>
        <w:instrText xml:space="preserve"> TA \s "R v Zerafa [2013] NSWCCA 222" </w:instrText>
      </w:r>
      <w:r w:rsidRPr="00EB7F1E">
        <w:rPr>
          <w:rFonts w:asciiTheme="minorHAnsi" w:hAnsiTheme="minorHAnsi" w:cstheme="minorHAnsi"/>
        </w:rPr>
        <w:fldChar w:fldCharType="end"/>
      </w:r>
      <w:r w:rsidRPr="007809F4">
        <w:rPr>
          <w:rFonts w:asciiTheme="minorHAnsi" w:hAnsiTheme="minorHAnsi" w:cstheme="minorHAnsi"/>
        </w:rPr>
        <w:t xml:space="preserve">, [107]-[149]; </w:t>
      </w:r>
      <w:r w:rsidRPr="007809F4">
        <w:rPr>
          <w:rFonts w:asciiTheme="minorHAnsi" w:hAnsiTheme="minorHAnsi" w:cstheme="minorHAnsi"/>
          <w:i/>
        </w:rPr>
        <w:t>Elshani v R</w:t>
      </w:r>
      <w:r w:rsidRPr="007809F4">
        <w:rPr>
          <w:rFonts w:asciiTheme="minorHAnsi" w:hAnsiTheme="minorHAnsi" w:cstheme="minorHAnsi"/>
        </w:rPr>
        <w:t xml:space="preserve"> [2015] NSWCCA 254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Elshani v R</w:instrText>
      </w:r>
      <w:r w:rsidRPr="007809F4">
        <w:rPr>
          <w:rFonts w:asciiTheme="minorHAnsi" w:hAnsiTheme="minorHAnsi" w:cstheme="minorHAnsi"/>
        </w:rPr>
        <w:instrText xml:space="preserve"> [2015] NSWCCA 254</w:instrText>
      </w:r>
      <w:r w:rsidRPr="00EB7F1E">
        <w:rPr>
          <w:rFonts w:asciiTheme="minorHAnsi" w:hAnsiTheme="minorHAnsi" w:cstheme="minorHAnsi"/>
        </w:rPr>
        <w:instrText xml:space="preserve">" \s "Elshani v R [2015] NSWCCA 254" \c 1 </w:instrText>
      </w:r>
      <w:r w:rsidRPr="00EB7F1E">
        <w:rPr>
          <w:rFonts w:asciiTheme="minorHAnsi" w:hAnsiTheme="minorHAnsi" w:cstheme="minorHAnsi"/>
        </w:rPr>
        <w:fldChar w:fldCharType="end"/>
      </w:r>
      <w:r w:rsidRPr="007809F4">
        <w:rPr>
          <w:rFonts w:asciiTheme="minorHAnsi" w:hAnsiTheme="minorHAnsi" w:cstheme="minorHAnsi"/>
        </w:rPr>
        <w:t xml:space="preserve">, [35], [40]-[41];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xml:space="preserve">, [45]-[64], [162], [164]; </w:t>
      </w:r>
      <w:r w:rsidRPr="007809F4">
        <w:rPr>
          <w:rFonts w:asciiTheme="minorHAnsi" w:hAnsiTheme="minorHAnsi" w:cstheme="minorHAnsi"/>
          <w:i/>
        </w:rPr>
        <w:t>Kaveh v R</w:t>
      </w:r>
      <w:r w:rsidRPr="007809F4">
        <w:rPr>
          <w:rFonts w:asciiTheme="minorHAnsi" w:hAnsiTheme="minorHAnsi" w:cstheme="minorHAnsi"/>
        </w:rPr>
        <w:t xml:space="preserve"> [2017] NSWCCA 52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Kaveh v R</w:instrText>
      </w:r>
      <w:r w:rsidRPr="007809F4">
        <w:rPr>
          <w:rFonts w:asciiTheme="minorHAnsi" w:hAnsiTheme="minorHAnsi" w:cstheme="minorHAnsi"/>
        </w:rPr>
        <w:instrText xml:space="preserve"> [2017] NSWCCA 52</w:instrText>
      </w:r>
      <w:r w:rsidRPr="00EB7F1E">
        <w:rPr>
          <w:rFonts w:asciiTheme="minorHAnsi" w:hAnsiTheme="minorHAnsi" w:cstheme="minorHAnsi"/>
        </w:rPr>
        <w:instrText xml:space="preserve">" \s "Kaveh v R [2017] NSWCCA 52" \c 1 </w:instrText>
      </w:r>
      <w:r w:rsidRPr="00EB7F1E">
        <w:rPr>
          <w:rFonts w:asciiTheme="minorHAnsi" w:hAnsiTheme="minorHAnsi" w:cstheme="minorHAnsi"/>
        </w:rPr>
        <w:fldChar w:fldCharType="end"/>
      </w:r>
      <w:r w:rsidRPr="007809F4">
        <w:rPr>
          <w:rFonts w:asciiTheme="minorHAnsi" w:hAnsiTheme="minorHAnsi" w:cstheme="minorHAnsi"/>
        </w:rPr>
        <w:t xml:space="preserve">, [5]-[6]), </w:t>
      </w:r>
      <w:r w:rsidRPr="007809F4">
        <w:rPr>
          <w:rFonts w:asciiTheme="minorHAnsi" w:hAnsiTheme="minorHAnsi" w:cstheme="minorHAnsi"/>
          <w:i/>
        </w:rPr>
        <w:t>Togias</w:t>
      </w:r>
      <w:r w:rsidRPr="007809F4">
        <w:rPr>
          <w:rFonts w:asciiTheme="minorHAnsi" w:hAnsiTheme="minorHAnsi" w:cstheme="minorHAnsi"/>
        </w:rPr>
        <w:t xml:space="preserve"> continues to be binding authority.</w:t>
      </w:r>
    </w:p>
  </w:footnote>
  <w:footnote w:id="401">
    <w:p w14:paraId="5CB38D00" w14:textId="6246B3A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Matthews</w:t>
      </w:r>
      <w:r w:rsidRPr="007809F4">
        <w:rPr>
          <w:rFonts w:asciiTheme="minorHAnsi" w:hAnsiTheme="minorHAnsi" w:cstheme="minorHAnsi"/>
        </w:rPr>
        <w:t xml:space="preserve"> (1996) 130 FLR 230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Matthews</w:instrText>
      </w:r>
      <w:r w:rsidRPr="007809F4">
        <w:rPr>
          <w:rFonts w:asciiTheme="minorHAnsi" w:hAnsiTheme="minorHAnsi" w:cstheme="minorHAnsi"/>
        </w:rPr>
        <w:instrText xml:space="preserve"> (1996) 130 FLR 230</w:instrText>
      </w:r>
      <w:r w:rsidRPr="00EB7F1E">
        <w:rPr>
          <w:rFonts w:asciiTheme="minorHAnsi" w:hAnsiTheme="minorHAnsi" w:cstheme="minorHAnsi"/>
        </w:rPr>
        <w:instrText xml:space="preserve">" \s "R v Matthews (1996) 130 FLR 230"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Carmody</w:t>
      </w:r>
      <w:r w:rsidRPr="007809F4">
        <w:rPr>
          <w:rFonts w:asciiTheme="minorHAnsi" w:hAnsiTheme="minorHAnsi" w:cstheme="minorHAnsi"/>
        </w:rPr>
        <w:t xml:space="preserve"> (1998) 100 A Crim R 41</w:t>
      </w:r>
      <w:r w:rsidRPr="00EB7F1E">
        <w:rPr>
          <w:rFonts w:asciiTheme="minorHAnsi" w:hAnsiTheme="minorHAnsi" w:cstheme="minorHAnsi"/>
        </w:rPr>
        <w:fldChar w:fldCharType="begin"/>
      </w:r>
      <w:r w:rsidRPr="00EB7F1E">
        <w:rPr>
          <w:rFonts w:asciiTheme="minorHAnsi" w:hAnsiTheme="minorHAnsi" w:cstheme="minorHAnsi"/>
        </w:rPr>
        <w:instrText xml:space="preserve"> TA \s "R v Carmody (1998) 100 A Crim R 41" </w:instrText>
      </w:r>
      <w:r w:rsidRPr="00EB7F1E">
        <w:rPr>
          <w:rFonts w:asciiTheme="minorHAnsi" w:hAnsiTheme="minorHAnsi" w:cstheme="minorHAnsi"/>
        </w:rPr>
        <w:fldChar w:fldCharType="end"/>
      </w:r>
      <w:r w:rsidRPr="007809F4">
        <w:rPr>
          <w:rFonts w:asciiTheme="minorHAnsi" w:hAnsiTheme="minorHAnsi" w:cstheme="minorHAnsi"/>
        </w:rPr>
        <w:t xml:space="preserve">, 45; </w:t>
      </w:r>
      <w:r w:rsidRPr="007809F4">
        <w:rPr>
          <w:rFonts w:asciiTheme="minorHAnsi" w:hAnsiTheme="minorHAnsi" w:cstheme="minorHAnsi"/>
          <w:i/>
        </w:rPr>
        <w:t xml:space="preserve">DPP (Cth) v Gaw </w:t>
      </w:r>
      <w:r w:rsidRPr="007809F4">
        <w:rPr>
          <w:rFonts w:asciiTheme="minorHAnsi" w:hAnsiTheme="minorHAnsi" w:cstheme="minorHAnsi"/>
        </w:rPr>
        <w:t>[2006] VSCA 51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DPP (Cth) v Gaw </w:instrText>
      </w:r>
      <w:r w:rsidRPr="007809F4">
        <w:rPr>
          <w:rFonts w:asciiTheme="minorHAnsi" w:hAnsiTheme="minorHAnsi" w:cstheme="minorHAnsi"/>
        </w:rPr>
        <w:instrText>[2006] VSCA 51</w:instrText>
      </w:r>
      <w:r w:rsidRPr="00EB7F1E">
        <w:rPr>
          <w:rFonts w:asciiTheme="minorHAnsi" w:hAnsiTheme="minorHAnsi" w:cstheme="minorHAnsi"/>
        </w:rPr>
        <w:instrText xml:space="preserve">" \s "DPP (Cth) v Gaw [2006] VSCA 51"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Markovic v R</w:t>
      </w:r>
      <w:r w:rsidRPr="007809F4">
        <w:rPr>
          <w:rFonts w:asciiTheme="minorHAnsi" w:hAnsiTheme="minorHAnsi" w:cstheme="minorHAnsi"/>
        </w:rPr>
        <w:t xml:space="preserve"> (2010) 30 VR 589</w:t>
      </w:r>
      <w:r w:rsidRPr="00EB7F1E">
        <w:rPr>
          <w:rFonts w:asciiTheme="minorHAnsi" w:hAnsiTheme="minorHAnsi" w:cstheme="minorHAnsi"/>
        </w:rPr>
        <w:fldChar w:fldCharType="begin"/>
      </w:r>
      <w:r w:rsidRPr="007809F4">
        <w:rPr>
          <w:rFonts w:asciiTheme="minorHAnsi" w:hAnsiTheme="minorHAnsi" w:cstheme="minorHAnsi"/>
        </w:rPr>
        <w:instrText xml:space="preserve"> TA \s "Markovic v R (2010) 30 VR 589"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Bui</w:t>
      </w:r>
      <w:r w:rsidRPr="007809F4">
        <w:rPr>
          <w:rFonts w:asciiTheme="minorHAnsi" w:hAnsiTheme="minorHAnsi" w:cstheme="minorHAnsi"/>
        </w:rPr>
        <w:t xml:space="preserve"> (2011) 32 VR 149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Bui (2011) 32 VR 149" </w:instrText>
      </w:r>
      <w:r w:rsidRPr="00EB7F1E">
        <w:rPr>
          <w:rFonts w:asciiTheme="minorHAnsi" w:hAnsiTheme="minorHAnsi" w:cstheme="minorHAnsi"/>
        </w:rPr>
        <w:fldChar w:fldCharType="end"/>
      </w:r>
      <w:r w:rsidRPr="007809F4">
        <w:rPr>
          <w:rFonts w:asciiTheme="minorHAnsi" w:hAnsiTheme="minorHAnsi" w:cstheme="minorHAnsi"/>
        </w:rPr>
        <w:t>, [20]-[30].</w:t>
      </w:r>
    </w:p>
  </w:footnote>
  <w:footnote w:id="402">
    <w:p w14:paraId="302170D9" w14:textId="74277E5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w:t>
      </w:r>
      <w:r w:rsidRPr="007809F4">
        <w:rPr>
          <w:rFonts w:asciiTheme="minorHAnsi" w:hAnsiTheme="minorHAnsi" w:cstheme="minorHAnsi"/>
        </w:rPr>
        <w:t xml:space="preserve"> </w:t>
      </w:r>
      <w:r w:rsidRPr="007809F4">
        <w:rPr>
          <w:rFonts w:asciiTheme="minorHAnsi" w:hAnsiTheme="minorHAnsi" w:cstheme="minorHAnsi"/>
          <w:i/>
        </w:rPr>
        <w:t xml:space="preserve">v Huston; ex parte DPP (Cth) </w:t>
      </w:r>
      <w:r w:rsidRPr="007809F4">
        <w:rPr>
          <w:rFonts w:asciiTheme="minorHAnsi" w:hAnsiTheme="minorHAnsi" w:cstheme="minorHAnsi"/>
        </w:rPr>
        <w:t>[2011] QCA 350</w:t>
      </w:r>
      <w:r w:rsidRPr="00EB7F1E">
        <w:rPr>
          <w:rFonts w:asciiTheme="minorHAnsi" w:hAnsiTheme="minorHAnsi" w:cstheme="minorHAnsi"/>
        </w:rPr>
        <w:fldChar w:fldCharType="begin"/>
      </w:r>
      <w:r w:rsidRPr="007809F4">
        <w:rPr>
          <w:rFonts w:asciiTheme="minorHAnsi" w:hAnsiTheme="minorHAnsi" w:cstheme="minorHAnsi"/>
        </w:rPr>
        <w:instrText xml:space="preserve"> TA \s "R v Huston; ex parte DPP (Cth) [2011] QCA 350" </w:instrText>
      </w:r>
      <w:r w:rsidRPr="00EB7F1E">
        <w:rPr>
          <w:rFonts w:asciiTheme="minorHAnsi" w:hAnsiTheme="minorHAnsi" w:cstheme="minorHAnsi"/>
        </w:rPr>
        <w:fldChar w:fldCharType="end"/>
      </w:r>
      <w:r w:rsidRPr="007809F4">
        <w:rPr>
          <w:rFonts w:asciiTheme="minorHAnsi" w:hAnsiTheme="minorHAnsi" w:cstheme="minorHAnsi"/>
        </w:rPr>
        <w:t>, [46]-[51].</w:t>
      </w:r>
    </w:p>
  </w:footnote>
  <w:footnote w:id="403">
    <w:p w14:paraId="2479D6E3" w14:textId="62666EE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Sinclair</w:t>
      </w:r>
      <w:r w:rsidRPr="007809F4">
        <w:rPr>
          <w:rFonts w:asciiTheme="minorHAnsi" w:hAnsiTheme="minorHAnsi" w:cstheme="minorHAnsi"/>
        </w:rPr>
        <w:t xml:space="preserve"> (1990) 51 A Crim R 418</w:t>
      </w:r>
      <w:r w:rsidRPr="00EB7F1E">
        <w:rPr>
          <w:rFonts w:asciiTheme="minorHAnsi" w:hAnsiTheme="minorHAnsi" w:cstheme="minorHAnsi"/>
        </w:rPr>
        <w:fldChar w:fldCharType="begin"/>
      </w:r>
      <w:r w:rsidRPr="007809F4">
        <w:rPr>
          <w:rFonts w:asciiTheme="minorHAnsi" w:hAnsiTheme="minorHAnsi" w:cstheme="minorHAnsi"/>
        </w:rPr>
        <w:instrText xml:space="preserve"> TA \s "R v Sinclair (1990) 51 A Crim R 418"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04">
    <w:p w14:paraId="4E80FB89" w14:textId="2AAB0D3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Berlinksy</w:t>
      </w:r>
      <w:r w:rsidRPr="007809F4">
        <w:rPr>
          <w:rFonts w:asciiTheme="minorHAnsi" w:hAnsiTheme="minorHAnsi" w:cstheme="minorHAnsi"/>
        </w:rPr>
        <w:t xml:space="preserve"> [2005] SASC 316</w:t>
      </w:r>
      <w:r w:rsidRPr="00EB7F1E">
        <w:rPr>
          <w:rFonts w:asciiTheme="minorHAnsi" w:hAnsiTheme="minorHAnsi" w:cstheme="minorHAnsi"/>
        </w:rPr>
        <w:fldChar w:fldCharType="begin"/>
      </w:r>
      <w:r w:rsidRPr="007809F4">
        <w:rPr>
          <w:rFonts w:asciiTheme="minorHAnsi" w:hAnsiTheme="minorHAnsi" w:cstheme="minorHAnsi"/>
        </w:rPr>
        <w:instrText xml:space="preserve"> TA \s "R v Berlinksy [2005] SASC 316" </w:instrText>
      </w:r>
      <w:r w:rsidRPr="00EB7F1E">
        <w:rPr>
          <w:rFonts w:asciiTheme="minorHAnsi" w:hAnsiTheme="minorHAnsi" w:cstheme="minorHAnsi"/>
        </w:rPr>
        <w:fldChar w:fldCharType="end"/>
      </w:r>
      <w:r w:rsidRPr="007809F4">
        <w:rPr>
          <w:rFonts w:asciiTheme="minorHAnsi" w:hAnsiTheme="minorHAnsi" w:cstheme="minorHAnsi"/>
        </w:rPr>
        <w:t xml:space="preserve">, [30]; </w:t>
      </w:r>
      <w:r w:rsidRPr="007809F4">
        <w:rPr>
          <w:rFonts w:asciiTheme="minorHAnsi" w:hAnsiTheme="minorHAnsi" w:cstheme="minorHAnsi"/>
          <w:i/>
        </w:rPr>
        <w:t>R v Constant</w:t>
      </w:r>
      <w:r w:rsidRPr="007809F4">
        <w:rPr>
          <w:rFonts w:asciiTheme="minorHAnsi" w:hAnsiTheme="minorHAnsi" w:cstheme="minorHAnsi"/>
        </w:rPr>
        <w:t xml:space="preserve"> [2016] SASCFC 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Constant</w:instrText>
      </w:r>
      <w:r w:rsidRPr="007809F4">
        <w:rPr>
          <w:rFonts w:asciiTheme="minorHAnsi" w:hAnsiTheme="minorHAnsi" w:cstheme="minorHAnsi"/>
        </w:rPr>
        <w:instrText xml:space="preserve"> [2016] SASCFC 87</w:instrText>
      </w:r>
      <w:r w:rsidRPr="00EB7F1E">
        <w:rPr>
          <w:rFonts w:asciiTheme="minorHAnsi" w:hAnsiTheme="minorHAnsi" w:cstheme="minorHAnsi"/>
        </w:rPr>
        <w:instrText xml:space="preserve">" \s "R v Constant [2016] SASCFC 87" \c 1 </w:instrText>
      </w:r>
      <w:r w:rsidRPr="00EB7F1E">
        <w:rPr>
          <w:rFonts w:asciiTheme="minorHAnsi" w:hAnsiTheme="minorHAnsi" w:cstheme="minorHAnsi"/>
        </w:rPr>
        <w:fldChar w:fldCharType="end"/>
      </w:r>
      <w:r w:rsidRPr="007809F4">
        <w:rPr>
          <w:rFonts w:asciiTheme="minorHAnsi" w:hAnsiTheme="minorHAnsi" w:cstheme="minorHAnsi"/>
        </w:rPr>
        <w:t>, [53]-[67].</w:t>
      </w:r>
    </w:p>
  </w:footnote>
  <w:footnote w:id="405">
    <w:p w14:paraId="6A8E3C4B" w14:textId="37B4E18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McAree v Barr</w:t>
      </w:r>
      <w:r w:rsidRPr="007809F4">
        <w:rPr>
          <w:rFonts w:asciiTheme="minorHAnsi" w:hAnsiTheme="minorHAnsi" w:cstheme="minorHAnsi"/>
        </w:rPr>
        <w:t xml:space="preserve"> [2006] TASSC 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McAree v Barr</w:instrText>
      </w:r>
      <w:r w:rsidRPr="007809F4">
        <w:rPr>
          <w:rFonts w:asciiTheme="minorHAnsi" w:hAnsiTheme="minorHAnsi" w:cstheme="minorHAnsi"/>
        </w:rPr>
        <w:instrText xml:space="preserve"> [2006] TASSC 37</w:instrText>
      </w:r>
      <w:r w:rsidRPr="00EB7F1E">
        <w:rPr>
          <w:rFonts w:asciiTheme="minorHAnsi" w:hAnsiTheme="minorHAnsi" w:cstheme="minorHAnsi"/>
        </w:rPr>
        <w:instrText xml:space="preserve">" \s "McAree v Barr [2006] TASSC 37" \c 1 </w:instrText>
      </w:r>
      <w:r w:rsidRPr="00EB7F1E">
        <w:rPr>
          <w:rFonts w:asciiTheme="minorHAnsi" w:hAnsiTheme="minorHAnsi" w:cstheme="minorHAnsi"/>
        </w:rPr>
        <w:fldChar w:fldCharType="end"/>
      </w:r>
      <w:r w:rsidRPr="007809F4">
        <w:rPr>
          <w:rFonts w:asciiTheme="minorHAnsi" w:hAnsiTheme="minorHAnsi" w:cstheme="minorHAnsi"/>
        </w:rPr>
        <w:t xml:space="preserve">, [21]; </w:t>
      </w:r>
      <w:r w:rsidRPr="007809F4">
        <w:rPr>
          <w:rFonts w:asciiTheme="minorHAnsi" w:hAnsiTheme="minorHAnsi" w:cstheme="minorHAnsi"/>
          <w:i/>
        </w:rPr>
        <w:t>Lewis v Duffin</w:t>
      </w:r>
      <w:r w:rsidRPr="007809F4">
        <w:rPr>
          <w:rFonts w:asciiTheme="minorHAnsi" w:hAnsiTheme="minorHAnsi" w:cstheme="minorHAnsi"/>
        </w:rPr>
        <w:t xml:space="preserve"> [2012] TASSC 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Lewis v Duffin</w:instrText>
      </w:r>
      <w:r w:rsidRPr="007809F4">
        <w:rPr>
          <w:rFonts w:asciiTheme="minorHAnsi" w:hAnsiTheme="minorHAnsi" w:cstheme="minorHAnsi"/>
        </w:rPr>
        <w:instrText xml:space="preserve"> [2012] TASSC 58</w:instrText>
      </w:r>
      <w:r w:rsidRPr="00EB7F1E">
        <w:rPr>
          <w:rFonts w:asciiTheme="minorHAnsi" w:hAnsiTheme="minorHAnsi" w:cstheme="minorHAnsi"/>
        </w:rPr>
        <w:instrText xml:space="preserve">" \s "Lewis v Duffin [2012] TASSC 58" \c 1 </w:instrText>
      </w:r>
      <w:r w:rsidRPr="00EB7F1E">
        <w:rPr>
          <w:rFonts w:asciiTheme="minorHAnsi" w:hAnsiTheme="minorHAnsi" w:cstheme="minorHAnsi"/>
        </w:rPr>
        <w:fldChar w:fldCharType="end"/>
      </w:r>
      <w:r w:rsidRPr="007809F4">
        <w:rPr>
          <w:rFonts w:asciiTheme="minorHAnsi" w:hAnsiTheme="minorHAnsi" w:cstheme="minorHAnsi"/>
        </w:rPr>
        <w:t>, [29].</w:t>
      </w:r>
    </w:p>
  </w:footnote>
  <w:footnote w:id="406">
    <w:p w14:paraId="41D62277" w14:textId="5E738E2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Ip</w:t>
      </w:r>
      <w:r w:rsidRPr="007809F4">
        <w:rPr>
          <w:rFonts w:asciiTheme="minorHAnsi" w:hAnsiTheme="minorHAnsi" w:cstheme="minorHAnsi"/>
        </w:rPr>
        <w:t xml:space="preserve"> [2005] ACTCA 24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Ip</w:instrText>
      </w:r>
      <w:r w:rsidRPr="007809F4">
        <w:rPr>
          <w:rFonts w:asciiTheme="minorHAnsi" w:hAnsiTheme="minorHAnsi" w:cstheme="minorHAnsi"/>
        </w:rPr>
        <w:instrText xml:space="preserve"> [2005] ACTCA 24</w:instrText>
      </w:r>
      <w:r w:rsidRPr="00EB7F1E">
        <w:rPr>
          <w:rFonts w:asciiTheme="minorHAnsi" w:hAnsiTheme="minorHAnsi" w:cstheme="minorHAnsi"/>
        </w:rPr>
        <w:instrText xml:space="preserve">" \s "DPP v Ip [2005] ACTCA 24" \c 1 </w:instrText>
      </w:r>
      <w:r w:rsidRPr="00EB7F1E">
        <w:rPr>
          <w:rFonts w:asciiTheme="minorHAnsi" w:hAnsiTheme="minorHAnsi" w:cstheme="minorHAnsi"/>
        </w:rPr>
        <w:fldChar w:fldCharType="end"/>
      </w:r>
      <w:r w:rsidRPr="007809F4">
        <w:rPr>
          <w:rFonts w:asciiTheme="minorHAnsi" w:hAnsiTheme="minorHAnsi" w:cstheme="minorHAnsi"/>
        </w:rPr>
        <w:t>, [60]-[61].</w:t>
      </w:r>
    </w:p>
  </w:footnote>
  <w:footnote w:id="407">
    <w:p w14:paraId="5CD8AB55" w14:textId="60B8381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Togias</w:t>
      </w:r>
      <w:r w:rsidRPr="007809F4">
        <w:rPr>
          <w:rFonts w:asciiTheme="minorHAnsi" w:hAnsiTheme="minorHAnsi" w:cstheme="minorHAnsi"/>
        </w:rPr>
        <w:t xml:space="preserve"> [2001] NSWCCA 522</w:t>
      </w:r>
      <w:r w:rsidRPr="00EB7F1E">
        <w:rPr>
          <w:rFonts w:asciiTheme="minorHAnsi" w:hAnsiTheme="minorHAnsi" w:cstheme="minorHAnsi"/>
        </w:rPr>
        <w:fldChar w:fldCharType="begin"/>
      </w:r>
      <w:r w:rsidRPr="007809F4">
        <w:rPr>
          <w:rFonts w:asciiTheme="minorHAnsi" w:hAnsiTheme="minorHAnsi" w:cstheme="minorHAnsi"/>
        </w:rPr>
        <w:instrText xml:space="preserve"> TA \s "R v Togias [2001] NSWCCA 522"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Togias (2001) 127 A Crim R 23" </w:instrText>
      </w:r>
      <w:r w:rsidRPr="00EB7F1E">
        <w:rPr>
          <w:rFonts w:asciiTheme="minorHAnsi" w:hAnsiTheme="minorHAnsi" w:cstheme="minorHAnsi"/>
        </w:rPr>
        <w:fldChar w:fldCharType="end"/>
      </w:r>
      <w:r w:rsidRPr="007809F4">
        <w:rPr>
          <w:rFonts w:asciiTheme="minorHAnsi" w:hAnsiTheme="minorHAnsi" w:cstheme="minorHAnsi"/>
        </w:rPr>
        <w:t>, [10].</w:t>
      </w:r>
    </w:p>
  </w:footnote>
  <w:footnote w:id="408">
    <w:p w14:paraId="63B69DE4" w14:textId="423F7C52" w:rsidR="00D44BCF" w:rsidRPr="007809F4" w:rsidRDefault="00D44BCF" w:rsidP="00D9160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Bui</w:t>
      </w:r>
      <w:r w:rsidRPr="007809F4">
        <w:rPr>
          <w:rFonts w:asciiTheme="minorHAnsi" w:hAnsiTheme="minorHAnsi" w:cstheme="minorHAnsi"/>
        </w:rPr>
        <w:t xml:space="preserve"> (2011) 32 VR 149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Bui (2011) 32 VR 149" </w:instrText>
      </w:r>
      <w:r w:rsidRPr="00EB7F1E">
        <w:rPr>
          <w:rFonts w:asciiTheme="minorHAnsi" w:hAnsiTheme="minorHAnsi" w:cstheme="minorHAnsi"/>
        </w:rPr>
        <w:fldChar w:fldCharType="end"/>
      </w:r>
      <w:r w:rsidRPr="007809F4">
        <w:rPr>
          <w:rFonts w:asciiTheme="minorHAnsi" w:hAnsiTheme="minorHAnsi" w:cstheme="minorHAnsi"/>
        </w:rPr>
        <w:t>, [28].</w:t>
      </w:r>
    </w:p>
  </w:footnote>
  <w:footnote w:id="409">
    <w:p w14:paraId="1043AD1B" w14:textId="21E595B4" w:rsidR="00D44BCF" w:rsidRPr="007809F4" w:rsidRDefault="00D44BCF" w:rsidP="00FA551A">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Togias</w:t>
      </w:r>
      <w:r w:rsidRPr="007809F4">
        <w:rPr>
          <w:rFonts w:asciiTheme="minorHAnsi" w:hAnsiTheme="minorHAnsi" w:cstheme="minorHAnsi"/>
        </w:rPr>
        <w:t xml:space="preserve"> [2001] NSWCCA 522</w:t>
      </w:r>
      <w:r w:rsidRPr="00EB7F1E">
        <w:rPr>
          <w:rFonts w:asciiTheme="minorHAnsi" w:hAnsiTheme="minorHAnsi" w:cstheme="minorHAnsi"/>
        </w:rPr>
        <w:fldChar w:fldCharType="begin"/>
      </w:r>
      <w:r w:rsidRPr="007809F4">
        <w:rPr>
          <w:rFonts w:asciiTheme="minorHAnsi" w:hAnsiTheme="minorHAnsi" w:cstheme="minorHAnsi"/>
        </w:rPr>
        <w:instrText xml:space="preserve"> TA \s "R v Togias [2001] NSWCCA 522"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Togias (2001) 127 A Crim R 23" </w:instrText>
      </w:r>
      <w:r w:rsidRPr="00EB7F1E">
        <w:rPr>
          <w:rFonts w:asciiTheme="minorHAnsi" w:hAnsiTheme="minorHAnsi" w:cstheme="minorHAnsi"/>
        </w:rPr>
        <w:fldChar w:fldCharType="end"/>
      </w:r>
      <w:r w:rsidRPr="007809F4">
        <w:rPr>
          <w:rFonts w:asciiTheme="minorHAnsi" w:hAnsiTheme="minorHAnsi" w:cstheme="minorHAnsi"/>
        </w:rPr>
        <w:t>, [6]-[7], [66]-[67].</w:t>
      </w:r>
    </w:p>
  </w:footnote>
  <w:footnote w:id="410">
    <w:p w14:paraId="0CB89E69" w14:textId="72DC7A20" w:rsidR="00D44BCF" w:rsidRPr="007809F4" w:rsidRDefault="00D44BCF" w:rsidP="00FA551A">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Cs/>
        </w:rPr>
        <w:t xml:space="preserve">E.g. </w:t>
      </w:r>
      <w:r w:rsidRPr="007809F4">
        <w:rPr>
          <w:rFonts w:asciiTheme="minorHAnsi" w:hAnsiTheme="minorHAnsi" w:cstheme="minorHAnsi"/>
          <w:i/>
        </w:rPr>
        <w:t>Togias</w:t>
      </w:r>
      <w:r w:rsidRPr="007809F4">
        <w:rPr>
          <w:rFonts w:asciiTheme="minorHAnsi" w:hAnsiTheme="minorHAnsi" w:cstheme="minorHAnsi"/>
        </w:rPr>
        <w:t xml:space="preserve"> [2001] NSWCCA 522</w:t>
      </w:r>
      <w:r w:rsidRPr="00EB7F1E">
        <w:rPr>
          <w:rFonts w:asciiTheme="minorHAnsi" w:hAnsiTheme="minorHAnsi" w:cstheme="minorHAnsi"/>
        </w:rPr>
        <w:fldChar w:fldCharType="begin"/>
      </w:r>
      <w:r w:rsidRPr="007809F4">
        <w:rPr>
          <w:rFonts w:asciiTheme="minorHAnsi" w:hAnsiTheme="minorHAnsi" w:cstheme="minorHAnsi"/>
        </w:rPr>
        <w:instrText xml:space="preserve"> TA \s "R v Togias [2001] NSWCCA 522"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Nguyen v R</w:t>
      </w:r>
      <w:r w:rsidRPr="007809F4">
        <w:rPr>
          <w:rFonts w:asciiTheme="minorHAnsi" w:hAnsiTheme="minorHAnsi" w:cstheme="minorHAnsi"/>
        </w:rPr>
        <w:t xml:space="preserve"> [2001] WASCA 72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Nguyen v R</w:instrText>
      </w:r>
      <w:r w:rsidRPr="007809F4">
        <w:rPr>
          <w:rFonts w:asciiTheme="minorHAnsi" w:hAnsiTheme="minorHAnsi" w:cstheme="minorHAnsi"/>
        </w:rPr>
        <w:instrText xml:space="preserve"> [2001] WASCA 72" \s "Nguyen v R [2001] WASCA 72" \c 1 </w:instrText>
      </w:r>
      <w:r w:rsidRPr="00EB7F1E">
        <w:rPr>
          <w:rFonts w:asciiTheme="minorHAnsi" w:hAnsiTheme="minorHAnsi" w:cstheme="minorHAnsi"/>
        </w:rPr>
        <w:fldChar w:fldCharType="end"/>
      </w:r>
      <w:r w:rsidRPr="007809F4">
        <w:rPr>
          <w:rFonts w:asciiTheme="minorHAnsi" w:hAnsiTheme="minorHAnsi" w:cstheme="minorHAnsi"/>
        </w:rPr>
        <w:t xml:space="preserve">, [12], [70]-[72].  </w:t>
      </w:r>
      <w:r w:rsidRPr="00EB7F1E">
        <w:rPr>
          <w:rFonts w:asciiTheme="minorHAnsi" w:hAnsiTheme="minorHAnsi" w:cstheme="minorHAnsi"/>
          <w:i/>
          <w:iCs/>
        </w:rPr>
        <w:t>Nguyen</w:t>
      </w:r>
      <w:r w:rsidRPr="007809F4">
        <w:rPr>
          <w:rFonts w:asciiTheme="minorHAnsi" w:hAnsiTheme="minorHAnsi" w:cstheme="minorHAnsi"/>
        </w:rPr>
        <w:t xml:space="preserve"> should be understood as based on the overriding duty of a court to prevent a miscarriage of justice, in spite of the failure of defence counsel to provide necessary information and assistance.</w:t>
      </w:r>
    </w:p>
  </w:footnote>
  <w:footnote w:id="411">
    <w:p w14:paraId="4F9A94D0" w14:textId="44AC01D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Markovic v R</w:t>
      </w:r>
      <w:r w:rsidRPr="007809F4">
        <w:rPr>
          <w:rFonts w:asciiTheme="minorHAnsi" w:hAnsiTheme="minorHAnsi" w:cstheme="minorHAnsi"/>
        </w:rPr>
        <w:t xml:space="preserve"> (2010) 30 VR 589</w:t>
      </w:r>
      <w:r w:rsidRPr="00EB7F1E">
        <w:rPr>
          <w:rFonts w:asciiTheme="minorHAnsi" w:hAnsiTheme="minorHAnsi" w:cstheme="minorHAnsi"/>
        </w:rPr>
        <w:fldChar w:fldCharType="begin"/>
      </w:r>
      <w:r w:rsidRPr="007809F4">
        <w:rPr>
          <w:rFonts w:asciiTheme="minorHAnsi" w:hAnsiTheme="minorHAnsi" w:cstheme="minorHAnsi"/>
        </w:rPr>
        <w:instrText xml:space="preserve"> TA \s "Markovic v R (2010) 30 VR 589" </w:instrText>
      </w:r>
      <w:r w:rsidRPr="00EB7F1E">
        <w:rPr>
          <w:rFonts w:asciiTheme="minorHAnsi" w:hAnsiTheme="minorHAnsi" w:cstheme="minorHAnsi"/>
        </w:rPr>
        <w:fldChar w:fldCharType="end"/>
      </w:r>
      <w:r w:rsidRPr="007809F4">
        <w:rPr>
          <w:rFonts w:asciiTheme="minorHAnsi" w:hAnsiTheme="minorHAnsi" w:cstheme="minorHAnsi"/>
        </w:rPr>
        <w:t xml:space="preserve">, [77].  The Court there cited many cases of undoubted hardship which had been held by appellate courts to fall short of exceptional circumstances (see also </w:t>
      </w:r>
      <w:r w:rsidRPr="007809F4">
        <w:rPr>
          <w:rFonts w:asciiTheme="minorHAnsi" w:hAnsiTheme="minorHAnsi" w:cstheme="minorHAnsi"/>
          <w:i/>
        </w:rPr>
        <w:t>DPP (Cth) v Bui</w:t>
      </w:r>
      <w:r w:rsidRPr="007809F4">
        <w:rPr>
          <w:rFonts w:asciiTheme="minorHAnsi" w:hAnsiTheme="minorHAnsi" w:cstheme="minorHAnsi"/>
        </w:rPr>
        <w:t xml:space="preserve"> (2011) 32 VR 149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Bui (2011) 32 VR 149" </w:instrText>
      </w:r>
      <w:r w:rsidRPr="00EB7F1E">
        <w:rPr>
          <w:rFonts w:asciiTheme="minorHAnsi" w:hAnsiTheme="minorHAnsi" w:cstheme="minorHAnsi"/>
        </w:rPr>
        <w:fldChar w:fldCharType="end"/>
      </w:r>
      <w:r w:rsidRPr="007809F4">
        <w:rPr>
          <w:rFonts w:asciiTheme="minorHAnsi" w:hAnsiTheme="minorHAnsi" w:cstheme="minorHAnsi"/>
        </w:rPr>
        <w:t xml:space="preserve">), and (at [78]) a much smaller number of cases in which exceptional circumstances were made out.  See also </w:t>
      </w:r>
      <w:r w:rsidRPr="007809F4">
        <w:rPr>
          <w:rFonts w:asciiTheme="minorHAnsi" w:hAnsiTheme="minorHAnsi" w:cstheme="minorHAnsi"/>
          <w:i/>
        </w:rPr>
        <w:t xml:space="preserve">El-Hage v R </w:t>
      </w:r>
      <w:r w:rsidRPr="007809F4">
        <w:rPr>
          <w:rFonts w:asciiTheme="minorHAnsi" w:hAnsiTheme="minorHAnsi" w:cstheme="minorHAnsi"/>
        </w:rPr>
        <w:t>[2012] VSCA 309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El-Hage v R </w:instrText>
      </w:r>
      <w:r w:rsidRPr="007809F4">
        <w:rPr>
          <w:rFonts w:asciiTheme="minorHAnsi" w:hAnsiTheme="minorHAnsi" w:cstheme="minorHAnsi"/>
        </w:rPr>
        <w:instrText xml:space="preserve">[2012] VSCA 309" \s "El-Hage v R [2012] VSCA 309"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Elshani v R</w:t>
      </w:r>
      <w:r w:rsidRPr="007809F4">
        <w:rPr>
          <w:rFonts w:asciiTheme="minorHAnsi" w:hAnsiTheme="minorHAnsi" w:cstheme="minorHAnsi"/>
        </w:rPr>
        <w:t xml:space="preserve"> [2015] NSWCCA 254</w:t>
      </w:r>
      <w:r w:rsidRPr="00EB7F1E">
        <w:rPr>
          <w:rFonts w:asciiTheme="minorHAnsi" w:hAnsiTheme="minorHAnsi" w:cstheme="minorHAnsi"/>
        </w:rPr>
        <w:fldChar w:fldCharType="begin"/>
      </w:r>
      <w:r w:rsidRPr="007809F4">
        <w:rPr>
          <w:rFonts w:asciiTheme="minorHAnsi" w:hAnsiTheme="minorHAnsi" w:cstheme="minorHAnsi"/>
        </w:rPr>
        <w:instrText xml:space="preserve"> TA \s "Elshani v R [2015] NSWCCA 254"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12">
    <w:p w14:paraId="075E8B63" w14:textId="15CEC08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Markovic v R</w:t>
      </w:r>
      <w:r w:rsidRPr="007809F4">
        <w:rPr>
          <w:rFonts w:asciiTheme="minorHAnsi" w:hAnsiTheme="minorHAnsi" w:cstheme="minorHAnsi"/>
        </w:rPr>
        <w:t xml:space="preserve"> (2010) 30 VR 589</w:t>
      </w:r>
      <w:r w:rsidRPr="00EB7F1E">
        <w:rPr>
          <w:rFonts w:asciiTheme="minorHAnsi" w:hAnsiTheme="minorHAnsi" w:cstheme="minorHAnsi"/>
        </w:rPr>
        <w:fldChar w:fldCharType="begin"/>
      </w:r>
      <w:r w:rsidRPr="007809F4">
        <w:rPr>
          <w:rFonts w:asciiTheme="minorHAnsi" w:hAnsiTheme="minorHAnsi" w:cstheme="minorHAnsi"/>
        </w:rPr>
        <w:instrText xml:space="preserve"> TA \s "Markovic v R (2010) 30 VR 589" </w:instrText>
      </w:r>
      <w:r w:rsidRPr="00EB7F1E">
        <w:rPr>
          <w:rFonts w:asciiTheme="minorHAnsi" w:hAnsiTheme="minorHAnsi" w:cstheme="minorHAnsi"/>
        </w:rPr>
        <w:fldChar w:fldCharType="end"/>
      </w:r>
      <w:r w:rsidRPr="007809F4">
        <w:rPr>
          <w:rFonts w:asciiTheme="minorHAnsi" w:hAnsiTheme="minorHAnsi" w:cstheme="minorHAnsi"/>
        </w:rPr>
        <w:t xml:space="preserve">, [15]; </w:t>
      </w:r>
      <w:r w:rsidRPr="007809F4">
        <w:rPr>
          <w:rFonts w:asciiTheme="minorHAnsi" w:hAnsiTheme="minorHAnsi" w:cstheme="minorHAnsi"/>
          <w:i/>
        </w:rPr>
        <w:t>DPP (Cth) v Bui</w:t>
      </w:r>
      <w:r w:rsidRPr="007809F4">
        <w:rPr>
          <w:rFonts w:asciiTheme="minorHAnsi" w:hAnsiTheme="minorHAnsi" w:cstheme="minorHAnsi"/>
        </w:rPr>
        <w:t xml:space="preserve"> (2011) 32 VR 149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Bui (2011) 32 VR 149" </w:instrText>
      </w:r>
      <w:r w:rsidRPr="00EB7F1E">
        <w:rPr>
          <w:rFonts w:asciiTheme="minorHAnsi" w:hAnsiTheme="minorHAnsi" w:cstheme="minorHAnsi"/>
        </w:rPr>
        <w:fldChar w:fldCharType="end"/>
      </w:r>
      <w:r w:rsidRPr="007809F4">
        <w:rPr>
          <w:rFonts w:asciiTheme="minorHAnsi" w:hAnsiTheme="minorHAnsi" w:cstheme="minorHAnsi"/>
        </w:rPr>
        <w:t xml:space="preserve">, [27]; </w:t>
      </w:r>
      <w:r w:rsidRPr="007809F4">
        <w:rPr>
          <w:rFonts w:asciiTheme="minorHAnsi" w:hAnsiTheme="minorHAnsi" w:cstheme="minorHAnsi"/>
          <w:i/>
        </w:rPr>
        <w:t xml:space="preserve">TAN v R </w:t>
      </w:r>
      <w:r w:rsidRPr="007809F4">
        <w:rPr>
          <w:rFonts w:asciiTheme="minorHAnsi" w:hAnsiTheme="minorHAnsi" w:cstheme="minorHAnsi"/>
        </w:rPr>
        <w:t>(2011)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TAN v R </w:instrText>
      </w:r>
      <w:r w:rsidRPr="007809F4">
        <w:rPr>
          <w:rFonts w:asciiTheme="minorHAnsi" w:hAnsiTheme="minorHAnsi" w:cstheme="minorHAnsi"/>
        </w:rPr>
        <w:instrText>(2011) 35 VR 109" \s "</w:instrText>
      </w:r>
      <w:r w:rsidRPr="007809F4">
        <w:rPr>
          <w:rFonts w:asciiTheme="minorHAnsi" w:hAnsiTheme="minorHAnsi" w:cstheme="minorHAnsi"/>
          <w:i/>
        </w:rPr>
        <w:instrText xml:space="preserve">TAN v R </w:instrText>
      </w:r>
      <w:r w:rsidRPr="007809F4">
        <w:rPr>
          <w:rFonts w:asciiTheme="minorHAnsi" w:hAnsiTheme="minorHAnsi" w:cstheme="minorHAnsi"/>
        </w:rPr>
        <w:instrText xml:space="preserve">(2011) 35 VR 109" \c 1 </w:instrText>
      </w:r>
      <w:r w:rsidRPr="00EB7F1E">
        <w:rPr>
          <w:rFonts w:asciiTheme="minorHAnsi" w:hAnsiTheme="minorHAnsi" w:cstheme="minorHAnsi"/>
        </w:rPr>
        <w:fldChar w:fldCharType="end"/>
      </w:r>
      <w:r w:rsidRPr="007809F4">
        <w:rPr>
          <w:rFonts w:asciiTheme="minorHAnsi" w:hAnsiTheme="minorHAnsi" w:cstheme="minorHAnsi"/>
        </w:rPr>
        <w:t>, [68]-[71].</w:t>
      </w:r>
    </w:p>
  </w:footnote>
  <w:footnote w:id="413">
    <w:p w14:paraId="0BB11916" w14:textId="71B9711F" w:rsidR="00D44BCF" w:rsidRPr="007809F4" w:rsidRDefault="00D44BCF">
      <w:pPr>
        <w:pStyle w:val="FootnoteText"/>
        <w:ind w:left="426" w:right="28"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DPP (Cth) v Gaw </w:t>
      </w:r>
      <w:r w:rsidRPr="007809F4">
        <w:rPr>
          <w:rFonts w:asciiTheme="minorHAnsi" w:hAnsiTheme="minorHAnsi" w:cstheme="minorHAnsi"/>
        </w:rPr>
        <w:t>[2006] VSCA 51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Gaw [2006] VSCA 51" </w:instrText>
      </w:r>
      <w:r w:rsidRPr="00EB7F1E">
        <w:rPr>
          <w:rFonts w:asciiTheme="minorHAnsi" w:hAnsiTheme="minorHAnsi" w:cstheme="minorHAnsi"/>
        </w:rPr>
        <w:fldChar w:fldCharType="end"/>
      </w:r>
      <w:r w:rsidRPr="007809F4">
        <w:rPr>
          <w:rFonts w:asciiTheme="minorHAnsi" w:hAnsiTheme="minorHAnsi" w:cstheme="minorHAnsi"/>
        </w:rPr>
        <w:t>, [21].</w:t>
      </w:r>
    </w:p>
  </w:footnote>
  <w:footnote w:id="414">
    <w:p w14:paraId="314B1ECB" w14:textId="01BA6AF5" w:rsidR="00D44BCF" w:rsidRPr="007809F4" w:rsidRDefault="00D44BCF" w:rsidP="006627CB">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Examples are </w:t>
      </w:r>
      <w:r w:rsidRPr="007809F4">
        <w:rPr>
          <w:rFonts w:asciiTheme="minorHAnsi" w:hAnsiTheme="minorHAnsi" w:cstheme="minorHAnsi"/>
          <w:i/>
        </w:rPr>
        <w:t>R v Pennant</w:t>
      </w:r>
      <w:r w:rsidRPr="007809F4">
        <w:rPr>
          <w:rFonts w:asciiTheme="minorHAnsi" w:hAnsiTheme="minorHAnsi" w:cstheme="minorHAnsi"/>
        </w:rPr>
        <w:t xml:space="preserve"> [1998] 2 VR 453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Pennant</w:instrText>
      </w:r>
      <w:r w:rsidRPr="007809F4">
        <w:rPr>
          <w:rFonts w:asciiTheme="minorHAnsi" w:hAnsiTheme="minorHAnsi" w:cstheme="minorHAnsi"/>
        </w:rPr>
        <w:instrText xml:space="preserve"> [1998] 2 VR 453" \s "R v Pennant [1998] 2 VR 453" \c 1 </w:instrText>
      </w:r>
      <w:r w:rsidRPr="00EB7F1E">
        <w:rPr>
          <w:rFonts w:asciiTheme="minorHAnsi" w:hAnsiTheme="minorHAnsi" w:cstheme="minorHAnsi"/>
        </w:rPr>
        <w:fldChar w:fldCharType="end"/>
      </w:r>
      <w:r w:rsidRPr="007809F4">
        <w:rPr>
          <w:rFonts w:asciiTheme="minorHAnsi" w:hAnsiTheme="minorHAnsi" w:cstheme="minorHAnsi"/>
        </w:rPr>
        <w:t xml:space="preserve"> and </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Zhou v R</w:instrText>
      </w:r>
      <w:r w:rsidRPr="007809F4">
        <w:rPr>
          <w:rFonts w:asciiTheme="minorHAnsi" w:hAnsiTheme="minorHAnsi" w:cstheme="minorHAnsi"/>
        </w:rPr>
        <w:instrText xml:space="preserve"> [2014] VSCA 123" \s "Zhou v R [2014] VSCA 123" \c 1 </w:instrText>
      </w:r>
      <w:r w:rsidRPr="00EB7F1E">
        <w:rPr>
          <w:rFonts w:asciiTheme="minorHAnsi" w:hAnsiTheme="minorHAnsi" w:cstheme="minorHAnsi"/>
          <w:i/>
        </w:rPr>
        <w:fldChar w:fldCharType="end"/>
      </w:r>
      <w:r w:rsidRPr="007809F4">
        <w:rPr>
          <w:rFonts w:asciiTheme="minorHAnsi" w:hAnsiTheme="minorHAnsi" w:cstheme="minorHAnsi"/>
          <w:i/>
        </w:rPr>
        <w:t>Zhou v R</w:t>
      </w:r>
      <w:r w:rsidRPr="007809F4">
        <w:rPr>
          <w:rFonts w:asciiTheme="minorHAnsi" w:hAnsiTheme="minorHAnsi" w:cstheme="minorHAnsi"/>
        </w:rPr>
        <w:t xml:space="preserve"> [2014] VSCA 123, [18]-[19], [21].</w:t>
      </w:r>
    </w:p>
  </w:footnote>
  <w:footnote w:id="415">
    <w:p w14:paraId="6A2B4D13" w14:textId="25D4E52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Markovic v R </w:t>
      </w:r>
      <w:r w:rsidRPr="007809F4">
        <w:rPr>
          <w:rFonts w:asciiTheme="minorHAnsi" w:hAnsiTheme="minorHAnsi" w:cstheme="minorHAnsi"/>
        </w:rPr>
        <w:t>(2010) 30 VR 589,</w:t>
      </w:r>
      <w:r w:rsidRPr="00EB7F1E">
        <w:rPr>
          <w:rFonts w:asciiTheme="minorHAnsi" w:hAnsiTheme="minorHAnsi" w:cstheme="minorHAnsi"/>
        </w:rPr>
        <w:fldChar w:fldCharType="begin"/>
      </w:r>
      <w:r w:rsidRPr="007809F4">
        <w:rPr>
          <w:rFonts w:asciiTheme="minorHAnsi" w:hAnsiTheme="minorHAnsi" w:cstheme="minorHAnsi"/>
        </w:rPr>
        <w:instrText xml:space="preserve"> TA \s "Markovic v R (2010) 30 VR 589" </w:instrText>
      </w:r>
      <w:r w:rsidRPr="00EB7F1E">
        <w:rPr>
          <w:rFonts w:asciiTheme="minorHAnsi" w:hAnsiTheme="minorHAnsi" w:cstheme="minorHAnsi"/>
        </w:rPr>
        <w:fldChar w:fldCharType="end"/>
      </w:r>
      <w:r w:rsidRPr="007809F4">
        <w:rPr>
          <w:rFonts w:asciiTheme="minorHAnsi" w:hAnsiTheme="minorHAnsi" w:cstheme="minorHAnsi"/>
        </w:rPr>
        <w:t xml:space="preserve"> [5], [12]-[19].</w:t>
      </w:r>
    </w:p>
  </w:footnote>
  <w:footnote w:id="416">
    <w:p w14:paraId="09205233" w14:textId="31DEB5C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Markovic v R </w:t>
      </w:r>
      <w:r w:rsidRPr="007809F4">
        <w:rPr>
          <w:rFonts w:asciiTheme="minorHAnsi" w:hAnsiTheme="minorHAnsi" w:cstheme="minorHAnsi"/>
        </w:rPr>
        <w:t>(2010) 30 VR 589,</w:t>
      </w:r>
      <w:r w:rsidRPr="00EB7F1E">
        <w:rPr>
          <w:rFonts w:asciiTheme="minorHAnsi" w:hAnsiTheme="minorHAnsi" w:cstheme="minorHAnsi"/>
        </w:rPr>
        <w:fldChar w:fldCharType="begin"/>
      </w:r>
      <w:r w:rsidRPr="007809F4">
        <w:rPr>
          <w:rFonts w:asciiTheme="minorHAnsi" w:hAnsiTheme="minorHAnsi" w:cstheme="minorHAnsi"/>
        </w:rPr>
        <w:instrText xml:space="preserve"> TA \s "Markovic v R (2010) 30 VR 589" </w:instrText>
      </w:r>
      <w:r w:rsidRPr="00EB7F1E">
        <w:rPr>
          <w:rFonts w:asciiTheme="minorHAnsi" w:hAnsiTheme="minorHAnsi" w:cstheme="minorHAnsi"/>
        </w:rPr>
        <w:fldChar w:fldCharType="end"/>
      </w:r>
      <w:r w:rsidRPr="007809F4">
        <w:rPr>
          <w:rFonts w:asciiTheme="minorHAnsi" w:hAnsiTheme="minorHAnsi" w:cstheme="minorHAnsi"/>
        </w:rPr>
        <w:t xml:space="preserve"> [5], [20].</w:t>
      </w:r>
    </w:p>
  </w:footnote>
  <w:footnote w:id="417">
    <w:p w14:paraId="65336104" w14:textId="1F52D73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xml:space="preserve">. </w:t>
      </w:r>
    </w:p>
  </w:footnote>
  <w:footnote w:id="418">
    <w:p w14:paraId="17D8AFCE" w14:textId="6CEA036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Veen v R (No 2) </w:t>
      </w:r>
      <w:r w:rsidRPr="007809F4">
        <w:rPr>
          <w:rFonts w:asciiTheme="minorHAnsi" w:hAnsiTheme="minorHAnsi" w:cstheme="minorHAnsi"/>
        </w:rPr>
        <w:t>(1987) 164 CLR 465</w:t>
      </w:r>
      <w:r w:rsidRPr="00EB7F1E">
        <w:rPr>
          <w:rFonts w:asciiTheme="minorHAnsi" w:hAnsiTheme="minorHAnsi" w:cstheme="minorHAnsi"/>
        </w:rPr>
        <w:fldChar w:fldCharType="begin"/>
      </w:r>
      <w:r w:rsidRPr="007809F4">
        <w:rPr>
          <w:rFonts w:asciiTheme="minorHAnsi" w:hAnsiTheme="minorHAnsi" w:cstheme="minorHAnsi"/>
        </w:rPr>
        <w:instrText xml:space="preserve"> TA \s "Veen v R (No 2) (1987) 164 CLR 465" </w:instrText>
      </w:r>
      <w:r w:rsidRPr="00EB7F1E">
        <w:rPr>
          <w:rFonts w:asciiTheme="minorHAnsi" w:hAnsiTheme="minorHAnsi" w:cstheme="minorHAnsi"/>
        </w:rPr>
        <w:fldChar w:fldCharType="end"/>
      </w:r>
      <w:r w:rsidRPr="007809F4">
        <w:rPr>
          <w:rFonts w:asciiTheme="minorHAnsi" w:hAnsiTheme="minorHAnsi" w:cstheme="minorHAnsi"/>
        </w:rPr>
        <w:t>, 473-6.</w:t>
      </w:r>
    </w:p>
  </w:footnote>
  <w:footnote w:id="419">
    <w:p w14:paraId="1899E98C" w14:textId="1D641E4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EB7F1E">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 xml:space="preserve">, [87]-[88], [92], [274]; </w:t>
      </w:r>
      <w:r w:rsidRPr="007809F4">
        <w:rPr>
          <w:rFonts w:asciiTheme="minorHAnsi" w:hAnsiTheme="minorHAnsi" w:cstheme="minorHAnsi"/>
          <w:i/>
        </w:rPr>
        <w:t>Elomar v R</w:t>
      </w:r>
      <w:r w:rsidRPr="007809F4">
        <w:rPr>
          <w:rFonts w:asciiTheme="minorHAnsi" w:hAnsiTheme="minorHAnsi" w:cstheme="minorHAnsi"/>
        </w:rPr>
        <w:t xml:space="preserve"> [2014] NSWCCA 303</w:t>
      </w:r>
      <w:r w:rsidRPr="00EB7F1E">
        <w:rPr>
          <w:rFonts w:asciiTheme="minorHAnsi" w:hAnsiTheme="minorHAnsi" w:cstheme="minorHAnsi"/>
        </w:rPr>
        <w:fldChar w:fldCharType="begin"/>
      </w:r>
      <w:r w:rsidRPr="007809F4">
        <w:rPr>
          <w:rFonts w:asciiTheme="minorHAnsi" w:hAnsiTheme="minorHAnsi" w:cstheme="minorHAnsi"/>
        </w:rPr>
        <w:instrText xml:space="preserve"> TA \s "Elomar v R [2014] NSWCCA 303" </w:instrText>
      </w:r>
      <w:r w:rsidRPr="00EB7F1E">
        <w:rPr>
          <w:rFonts w:asciiTheme="minorHAnsi" w:hAnsiTheme="minorHAnsi" w:cstheme="minorHAnsi"/>
        </w:rPr>
        <w:fldChar w:fldCharType="end"/>
      </w:r>
      <w:r w:rsidRPr="007809F4">
        <w:rPr>
          <w:rFonts w:asciiTheme="minorHAnsi" w:hAnsiTheme="minorHAnsi" w:cstheme="minorHAnsi"/>
        </w:rPr>
        <w:t xml:space="preserve">, [699]-[704]; </w:t>
      </w:r>
      <w:r w:rsidRPr="007809F4">
        <w:rPr>
          <w:rStyle w:val="FootnoteNumber"/>
          <w:rFonts w:asciiTheme="minorHAnsi" w:hAnsiTheme="minorHAnsi" w:cstheme="minorHAnsi"/>
          <w:i/>
        </w:rPr>
        <w:t>DPP (Cth)</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Fattal</w:t>
      </w:r>
      <w:r w:rsidRPr="007809F4">
        <w:rPr>
          <w:rStyle w:val="FootnoteNumber"/>
          <w:rFonts w:asciiTheme="minorHAnsi" w:hAnsiTheme="minorHAnsi" w:cstheme="minorHAnsi"/>
        </w:rPr>
        <w:t xml:space="preserve"> [2013] VSCA 276</w:t>
      </w:r>
      <w:r w:rsidRPr="00EB7F1E">
        <w:rPr>
          <w:rStyle w:val="FootnoteNumber"/>
          <w:rFonts w:asciiTheme="minorHAnsi" w:hAnsiTheme="minorHAnsi" w:cstheme="minorHAnsi"/>
        </w:rPr>
        <w:fldChar w:fldCharType="begin"/>
      </w:r>
      <w:r w:rsidRPr="00EB7F1E">
        <w:rPr>
          <w:rFonts w:asciiTheme="minorHAnsi" w:hAnsiTheme="minorHAnsi" w:cstheme="minorHAnsi"/>
        </w:rPr>
        <w:instrText xml:space="preserve"> TA \s "DPP (Cth) v Fattal [2013] VSCA 276" </w:instrText>
      </w:r>
      <w:r w:rsidRPr="00EB7F1E">
        <w:rPr>
          <w:rStyle w:val="FootnoteNumber"/>
          <w:rFonts w:asciiTheme="minorHAnsi" w:hAnsiTheme="minorHAnsi" w:cstheme="minorHAnsi"/>
        </w:rPr>
        <w:fldChar w:fldCharType="end"/>
      </w:r>
      <w:r w:rsidRPr="007809F4">
        <w:rPr>
          <w:rFonts w:asciiTheme="minorHAnsi" w:hAnsiTheme="minorHAnsi" w:cstheme="minorHAnsi"/>
        </w:rPr>
        <w:t xml:space="preserve">, [181], [218], [231]; </w:t>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xml:space="preserve">, [51], [54], [66];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xml:space="preserve">, [112]-[114]; </w:t>
      </w:r>
      <w:r w:rsidRPr="007809F4">
        <w:rPr>
          <w:rFonts w:asciiTheme="minorHAnsi" w:hAnsiTheme="minorHAnsi" w:cstheme="minorHAnsi"/>
          <w:i/>
        </w:rPr>
        <w:t>IM v R</w:t>
      </w:r>
      <w:r w:rsidRPr="007809F4">
        <w:rPr>
          <w:rFonts w:asciiTheme="minorHAnsi" w:hAnsiTheme="minorHAnsi" w:cstheme="minorHAnsi"/>
        </w:rPr>
        <w:t xml:space="preserve"> [2019] NSWCCA 107</w:t>
      </w:r>
      <w:r w:rsidRPr="00EB7F1E">
        <w:rPr>
          <w:rFonts w:asciiTheme="minorHAnsi" w:hAnsiTheme="minorHAnsi" w:cstheme="minorHAnsi"/>
        </w:rPr>
        <w:fldChar w:fldCharType="begin"/>
      </w:r>
      <w:r w:rsidRPr="007809F4">
        <w:rPr>
          <w:rFonts w:asciiTheme="minorHAnsi" w:hAnsiTheme="minorHAnsi" w:cstheme="minorHAnsi"/>
        </w:rPr>
        <w:instrText xml:space="preserve"> TA \s "IM v R [2019] NSWCCA 107" </w:instrText>
      </w:r>
      <w:r w:rsidRPr="00EB7F1E">
        <w:rPr>
          <w:rFonts w:asciiTheme="minorHAnsi" w:hAnsiTheme="minorHAnsi" w:cstheme="minorHAnsi"/>
        </w:rPr>
        <w:fldChar w:fldCharType="end"/>
      </w:r>
      <w:r w:rsidRPr="007809F4">
        <w:rPr>
          <w:rFonts w:asciiTheme="minorHAnsi" w:hAnsiTheme="minorHAnsi" w:cstheme="minorHAnsi"/>
        </w:rPr>
        <w:t>, [50]-[54].</w:t>
      </w:r>
    </w:p>
  </w:footnote>
  <w:footnote w:id="420">
    <w:p w14:paraId="2ECCDBAA" w14:textId="0E40164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xml:space="preserve">, [54].  If, when sentenced, the offender has not renounced the views that underlay the offending, the continuing danger is particularly great: compare </w:t>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Pr>
          <w:rFonts w:asciiTheme="minorHAnsi" w:hAnsiTheme="minorHAnsi" w:cstheme="minorHAnsi"/>
        </w:rPr>
        <w:t xml:space="preserve">, </w:t>
      </w:r>
      <w:r w:rsidRPr="007809F4">
        <w:rPr>
          <w:rFonts w:asciiTheme="minorHAnsi" w:hAnsiTheme="minorHAnsi" w:cstheme="minorHAnsi"/>
        </w:rPr>
        <w:t xml:space="preserve">[82]-[83], [88]; </w:t>
      </w:r>
      <w:r w:rsidRPr="007809F4">
        <w:rPr>
          <w:rStyle w:val="FootnoteNumber"/>
          <w:rFonts w:asciiTheme="minorHAnsi" w:hAnsiTheme="minorHAnsi" w:cstheme="minorHAnsi"/>
          <w:i/>
        </w:rPr>
        <w:t>DPP (Cth)</w:t>
      </w:r>
      <w:r w:rsidRPr="007809F4">
        <w:rPr>
          <w:rStyle w:val="FootnoteNumber"/>
          <w:rFonts w:asciiTheme="minorHAnsi" w:hAnsiTheme="minorHAnsi" w:cstheme="minorHAnsi"/>
        </w:rPr>
        <w:t xml:space="preserve"> v </w:t>
      </w:r>
      <w:r w:rsidRPr="007809F4">
        <w:rPr>
          <w:rStyle w:val="FootnoteNumber"/>
          <w:rFonts w:asciiTheme="minorHAnsi" w:hAnsiTheme="minorHAnsi" w:cstheme="minorHAnsi"/>
          <w:i/>
        </w:rPr>
        <w:t>Fattal</w:t>
      </w:r>
      <w:r w:rsidRPr="007809F4">
        <w:rPr>
          <w:rStyle w:val="FootnoteNumber"/>
          <w:rFonts w:asciiTheme="minorHAnsi" w:hAnsiTheme="minorHAnsi" w:cstheme="minorHAnsi"/>
        </w:rPr>
        <w:t xml:space="preserve"> [2013] VSCA 276</w:t>
      </w:r>
      <w:r w:rsidRPr="007809F4">
        <w:rPr>
          <w:rFonts w:asciiTheme="minorHAnsi" w:hAnsiTheme="minorHAnsi" w:cstheme="minorHAnsi"/>
        </w:rPr>
        <w:t xml:space="preserve">, [181], [218]; </w:t>
      </w:r>
      <w:r w:rsidRPr="007809F4">
        <w:rPr>
          <w:rFonts w:asciiTheme="minorHAnsi" w:hAnsiTheme="minorHAnsi" w:cstheme="minorHAnsi"/>
          <w:i/>
        </w:rPr>
        <w:t>DPP (Cth) v Besim</w:t>
      </w:r>
      <w:r w:rsidRPr="007809F4">
        <w:rPr>
          <w:rFonts w:asciiTheme="minorHAnsi" w:hAnsiTheme="minorHAnsi" w:cstheme="minorHAnsi"/>
        </w:rPr>
        <w:t xml:space="preserve"> [2017]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[112]-[114].</w:t>
      </w:r>
    </w:p>
  </w:footnote>
  <w:footnote w:id="421">
    <w:p w14:paraId="3DB236E5" w14:textId="4BA4704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 [108].</w:t>
      </w:r>
    </w:p>
  </w:footnote>
  <w:footnote w:id="422">
    <w:p w14:paraId="4F03A312" w14:textId="7E74014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 xml:space="preserve">, [109]; </w:t>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 [54].</w:t>
      </w:r>
    </w:p>
  </w:footnote>
  <w:footnote w:id="423">
    <w:p w14:paraId="5A97CF37" w14:textId="262AF77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Lowe v R</w:t>
      </w:r>
      <w:r w:rsidRPr="007809F4">
        <w:rPr>
          <w:rFonts w:asciiTheme="minorHAnsi" w:hAnsiTheme="minorHAnsi" w:cstheme="minorHAnsi"/>
        </w:rPr>
        <w:t xml:space="preserve"> (1984) 154 CLR 606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Lowe v R</w:instrText>
      </w:r>
      <w:r w:rsidRPr="007809F4">
        <w:rPr>
          <w:rFonts w:asciiTheme="minorHAnsi" w:hAnsiTheme="minorHAnsi" w:cstheme="minorHAnsi"/>
        </w:rPr>
        <w:instrText xml:space="preserve"> (1984) 154 CLR 606</w:instrText>
      </w:r>
      <w:r w:rsidRPr="00EB7F1E">
        <w:rPr>
          <w:rFonts w:asciiTheme="minorHAnsi" w:hAnsiTheme="minorHAnsi" w:cstheme="minorHAnsi"/>
        </w:rPr>
        <w:instrText xml:space="preserve">" \s "Lowe v R (1984) 154 CLR 606"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Green v R</w:t>
      </w:r>
      <w:r w:rsidRPr="007809F4">
        <w:rPr>
          <w:rFonts w:asciiTheme="minorHAnsi" w:hAnsiTheme="minorHAnsi" w:cstheme="minorHAnsi"/>
        </w:rPr>
        <w:t xml:space="preserve"> (2011) 244 CLR 462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Green v R</w:instrText>
      </w:r>
      <w:r w:rsidRPr="007809F4">
        <w:rPr>
          <w:rFonts w:asciiTheme="minorHAnsi" w:hAnsiTheme="minorHAnsi" w:cstheme="minorHAnsi"/>
        </w:rPr>
        <w:instrText xml:space="preserve"> (2011) 244 CLR 462</w:instrText>
      </w:r>
      <w:r w:rsidRPr="00EB7F1E">
        <w:rPr>
          <w:rFonts w:asciiTheme="minorHAnsi" w:hAnsiTheme="minorHAnsi" w:cstheme="minorHAnsi"/>
        </w:rPr>
        <w:instrText xml:space="preserve">" \s "Green v R (2011) 244 CLR 462"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24">
    <w:p w14:paraId="64F14971" w14:textId="29F3E62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Postiglione v R </w:t>
      </w:r>
      <w:r w:rsidRPr="007809F4">
        <w:rPr>
          <w:rFonts w:asciiTheme="minorHAnsi" w:hAnsiTheme="minorHAnsi" w:cstheme="minorHAnsi"/>
        </w:rPr>
        <w:t>(1997) 189 CLR 295</w:t>
      </w:r>
      <w:r w:rsidRPr="00EB7F1E">
        <w:rPr>
          <w:rFonts w:asciiTheme="minorHAnsi" w:hAnsiTheme="minorHAnsi" w:cstheme="minorHAnsi"/>
        </w:rPr>
        <w:fldChar w:fldCharType="begin"/>
      </w:r>
      <w:r w:rsidRPr="007809F4">
        <w:rPr>
          <w:rFonts w:asciiTheme="minorHAnsi" w:hAnsiTheme="minorHAnsi" w:cstheme="minorHAnsi"/>
        </w:rPr>
        <w:instrText xml:space="preserve"> TA \s "Postiglione v R (1997) 189 CLR 295"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25">
    <w:p w14:paraId="0081F2AA" w14:textId="7A3F759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Green v R</w:t>
      </w:r>
      <w:r w:rsidRPr="007809F4">
        <w:rPr>
          <w:rFonts w:asciiTheme="minorHAnsi" w:hAnsiTheme="minorHAnsi" w:cstheme="minorHAnsi"/>
        </w:rPr>
        <w:t xml:space="preserve"> (2011) 244 CLR 462</w:t>
      </w:r>
      <w:r w:rsidRPr="00EB7F1E">
        <w:rPr>
          <w:rFonts w:asciiTheme="minorHAnsi" w:hAnsiTheme="minorHAnsi" w:cstheme="minorHAnsi"/>
        </w:rPr>
        <w:fldChar w:fldCharType="begin"/>
      </w:r>
      <w:r w:rsidRPr="007809F4">
        <w:rPr>
          <w:rFonts w:asciiTheme="minorHAnsi" w:hAnsiTheme="minorHAnsi" w:cstheme="minorHAnsi"/>
        </w:rPr>
        <w:instrText xml:space="preserve"> TA \s "Green v R (2011) 244 CLR 462" </w:instrText>
      </w:r>
      <w:r w:rsidRPr="00EB7F1E">
        <w:rPr>
          <w:rFonts w:asciiTheme="minorHAnsi" w:hAnsiTheme="minorHAnsi" w:cstheme="minorHAnsi"/>
        </w:rPr>
        <w:fldChar w:fldCharType="end"/>
      </w:r>
      <w:r w:rsidRPr="007809F4">
        <w:rPr>
          <w:rFonts w:asciiTheme="minorHAnsi" w:hAnsiTheme="minorHAnsi" w:cstheme="minorHAnsi"/>
        </w:rPr>
        <w:t>, [31].</w:t>
      </w:r>
    </w:p>
  </w:footnote>
  <w:footnote w:id="426">
    <w:p w14:paraId="55003E13" w14:textId="5BD9968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Green v R </w:t>
      </w:r>
      <w:r w:rsidRPr="007809F4">
        <w:rPr>
          <w:rFonts w:asciiTheme="minorHAnsi" w:hAnsiTheme="minorHAnsi" w:cstheme="minorHAnsi"/>
        </w:rPr>
        <w:t>(2011) 244 CLR 462</w:t>
      </w:r>
      <w:r w:rsidRPr="00EB7F1E">
        <w:rPr>
          <w:rFonts w:asciiTheme="minorHAnsi" w:hAnsiTheme="minorHAnsi" w:cstheme="minorHAnsi"/>
        </w:rPr>
        <w:fldChar w:fldCharType="begin"/>
      </w:r>
      <w:r w:rsidRPr="007809F4">
        <w:rPr>
          <w:rFonts w:asciiTheme="minorHAnsi" w:hAnsiTheme="minorHAnsi" w:cstheme="minorHAnsi"/>
        </w:rPr>
        <w:instrText xml:space="preserve"> TA \s "Green v R (2011) 244 CLR 462" </w:instrText>
      </w:r>
      <w:r w:rsidRPr="00EB7F1E">
        <w:rPr>
          <w:rFonts w:asciiTheme="minorHAnsi" w:hAnsiTheme="minorHAnsi" w:cstheme="minorHAnsi"/>
        </w:rPr>
        <w:fldChar w:fldCharType="end"/>
      </w:r>
      <w:r w:rsidRPr="007809F4">
        <w:rPr>
          <w:rFonts w:asciiTheme="minorHAnsi" w:hAnsiTheme="minorHAnsi" w:cstheme="minorHAnsi"/>
        </w:rPr>
        <w:t>, [30].</w:t>
      </w:r>
    </w:p>
  </w:footnote>
  <w:footnote w:id="427">
    <w:p w14:paraId="70460D8E" w14:textId="00A713C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Jimmy v R</w:t>
      </w:r>
      <w:r w:rsidRPr="007809F4">
        <w:rPr>
          <w:rFonts w:asciiTheme="minorHAnsi" w:hAnsiTheme="minorHAnsi" w:cstheme="minorHAnsi"/>
        </w:rPr>
        <w:t xml:space="preserve"> (2010) 77 NSWLR 540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Jimmy v R</w:instrText>
      </w:r>
      <w:r w:rsidRPr="007809F4">
        <w:rPr>
          <w:rFonts w:asciiTheme="minorHAnsi" w:hAnsiTheme="minorHAnsi" w:cstheme="minorHAnsi"/>
        </w:rPr>
        <w:instrText xml:space="preserve"> (2010) 77 NSWLR 540</w:instrText>
      </w:r>
      <w:r w:rsidRPr="00EB7F1E">
        <w:rPr>
          <w:rFonts w:asciiTheme="minorHAnsi" w:hAnsiTheme="minorHAnsi" w:cstheme="minorHAnsi"/>
        </w:rPr>
        <w:instrText xml:space="preserve">" \s "Jimmy v R (2010) 77 NSWLR 540"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w:t>
      </w:r>
      <w:r w:rsidRPr="007809F4">
        <w:rPr>
          <w:rFonts w:asciiTheme="minorHAnsi" w:hAnsiTheme="minorHAnsi" w:cstheme="minorHAnsi"/>
        </w:rPr>
        <w:t xml:space="preserve"> </w:t>
      </w:r>
      <w:r w:rsidRPr="007809F4">
        <w:rPr>
          <w:rFonts w:asciiTheme="minorHAnsi" w:hAnsiTheme="minorHAnsi" w:cstheme="minorHAnsi"/>
          <w:i/>
        </w:rPr>
        <w:t xml:space="preserve">v Gregory </w:t>
      </w:r>
      <w:r w:rsidRPr="007809F4">
        <w:rPr>
          <w:rFonts w:asciiTheme="minorHAnsi" w:hAnsiTheme="minorHAnsi" w:cstheme="minorHAnsi"/>
        </w:rPr>
        <w:t>(2011) 34 VR 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Gregory (2011) 34 VR 1" </w:instrText>
      </w:r>
      <w:r w:rsidRPr="00EB7F1E">
        <w:rPr>
          <w:rFonts w:asciiTheme="minorHAnsi" w:hAnsiTheme="minorHAnsi" w:cstheme="minorHAnsi"/>
        </w:rPr>
        <w:fldChar w:fldCharType="end"/>
      </w:r>
      <w:r w:rsidRPr="007809F4">
        <w:rPr>
          <w:rFonts w:asciiTheme="minorHAnsi" w:hAnsiTheme="minorHAnsi" w:cstheme="minorHAnsi"/>
        </w:rPr>
        <w:t xml:space="preserve">, [26]-[28]; </w:t>
      </w:r>
      <w:r w:rsidRPr="007809F4">
        <w:rPr>
          <w:rFonts w:asciiTheme="minorHAnsi" w:hAnsiTheme="minorHAnsi" w:cstheme="minorHAnsi"/>
          <w:i/>
        </w:rPr>
        <w:t xml:space="preserve">DPP (Cth) v Peng </w:t>
      </w:r>
      <w:r w:rsidRPr="007809F4">
        <w:rPr>
          <w:rFonts w:asciiTheme="minorHAnsi" w:hAnsiTheme="minorHAnsi" w:cstheme="minorHAnsi"/>
        </w:rPr>
        <w:t>[2014] VSCA 128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(Cth) v Peng </w:instrText>
      </w:r>
      <w:r w:rsidRPr="007809F4">
        <w:rPr>
          <w:rFonts w:asciiTheme="minorHAnsi" w:hAnsiTheme="minorHAnsi" w:cstheme="minorHAnsi"/>
        </w:rPr>
        <w:instrText xml:space="preserve">[2014] VSCA 128" \s "DPP (Cth) v Peng [2014] VSCA 128" \c 1 </w:instrText>
      </w:r>
      <w:r w:rsidRPr="00EB7F1E">
        <w:rPr>
          <w:rFonts w:asciiTheme="minorHAnsi" w:hAnsiTheme="minorHAnsi" w:cstheme="minorHAnsi"/>
        </w:rPr>
        <w:fldChar w:fldCharType="end"/>
      </w:r>
      <w:r w:rsidRPr="007809F4">
        <w:rPr>
          <w:rFonts w:asciiTheme="minorHAnsi" w:hAnsiTheme="minorHAnsi" w:cstheme="minorHAnsi"/>
        </w:rPr>
        <w:t xml:space="preserve">, [33].  </w:t>
      </w:r>
    </w:p>
  </w:footnote>
  <w:footnote w:id="428">
    <w:p w14:paraId="399D74C3" w14:textId="2CF5A80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Farrugia v R </w:t>
      </w:r>
      <w:r w:rsidRPr="007809F4">
        <w:rPr>
          <w:rFonts w:asciiTheme="minorHAnsi" w:hAnsiTheme="minorHAnsi" w:cstheme="minorHAnsi"/>
        </w:rPr>
        <w:t>(2011) 32 VR 140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Farrugia v R </w:instrText>
      </w:r>
      <w:r w:rsidRPr="007809F4">
        <w:rPr>
          <w:rFonts w:asciiTheme="minorHAnsi" w:hAnsiTheme="minorHAnsi" w:cstheme="minorHAnsi"/>
        </w:rPr>
        <w:instrText>(2011) 32 VR 140</w:instrText>
      </w:r>
      <w:r w:rsidRPr="00EB7F1E">
        <w:rPr>
          <w:rFonts w:asciiTheme="minorHAnsi" w:hAnsiTheme="minorHAnsi" w:cstheme="minorHAnsi"/>
        </w:rPr>
        <w:instrText xml:space="preserve">" \s "Farrugia v R (2011) 32 VR 140"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29">
    <w:p w14:paraId="6E4CAAC3" w14:textId="6BC6487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Queensland Court of Appeal has declined to follow </w:t>
      </w:r>
      <w:r w:rsidRPr="007809F4">
        <w:rPr>
          <w:rFonts w:asciiTheme="minorHAnsi" w:hAnsiTheme="minorHAnsi" w:cstheme="minorHAnsi"/>
          <w:i/>
        </w:rPr>
        <w:t>Farrugia</w:t>
      </w:r>
      <w:r w:rsidRPr="007809F4">
        <w:rPr>
          <w:rFonts w:asciiTheme="minorHAnsi" w:hAnsiTheme="minorHAnsi" w:cstheme="minorHAnsi"/>
        </w:rPr>
        <w:t xml:space="preserve">: see </w:t>
      </w:r>
      <w:r w:rsidRPr="007809F4">
        <w:rPr>
          <w:rFonts w:asciiTheme="minorHAnsi" w:hAnsiTheme="minorHAnsi" w:cstheme="minorHAnsi"/>
          <w:i/>
        </w:rPr>
        <w:t>R v Leathers</w:t>
      </w:r>
      <w:r w:rsidRPr="007809F4">
        <w:rPr>
          <w:rFonts w:asciiTheme="minorHAnsi" w:hAnsiTheme="minorHAnsi" w:cstheme="minorHAnsi"/>
        </w:rPr>
        <w:t xml:space="preserve"> [2014] QCA 327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Leathers</w:instrText>
      </w:r>
      <w:r w:rsidRPr="007809F4">
        <w:rPr>
          <w:rFonts w:asciiTheme="minorHAnsi" w:hAnsiTheme="minorHAnsi" w:cstheme="minorHAnsi"/>
        </w:rPr>
        <w:instrText xml:space="preserve"> [2014] QCA 327</w:instrText>
      </w:r>
      <w:r w:rsidRPr="00EB7F1E">
        <w:rPr>
          <w:rFonts w:asciiTheme="minorHAnsi" w:hAnsiTheme="minorHAnsi" w:cstheme="minorHAnsi"/>
        </w:rPr>
        <w:instrText xml:space="preserve">" \s "R v Leathers [2014] QCA 327"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Hughes</w:t>
      </w:r>
      <w:r w:rsidRPr="007809F4">
        <w:rPr>
          <w:rFonts w:asciiTheme="minorHAnsi" w:hAnsiTheme="minorHAnsi" w:cstheme="minorHAnsi"/>
        </w:rPr>
        <w:t xml:space="preserve"> [2018] 2 Qd R 134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Hughes</w:instrText>
      </w:r>
      <w:r w:rsidRPr="007809F4">
        <w:rPr>
          <w:rFonts w:asciiTheme="minorHAnsi" w:hAnsiTheme="minorHAnsi" w:cstheme="minorHAnsi"/>
        </w:rPr>
        <w:instrText xml:space="preserve"> [2018] 2 Qd R 134</w:instrText>
      </w:r>
      <w:r w:rsidRPr="00EB7F1E">
        <w:rPr>
          <w:rFonts w:asciiTheme="minorHAnsi" w:hAnsiTheme="minorHAnsi" w:cstheme="minorHAnsi"/>
        </w:rPr>
        <w:instrText xml:space="preserve">" \s "R v Hughes [2018] 2 Qd R 134"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30">
    <w:p w14:paraId="2CEDE22A" w14:textId="39E378D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Baladjam</w:t>
      </w:r>
      <w:r w:rsidRPr="007809F4">
        <w:rPr>
          <w:rFonts w:asciiTheme="minorHAnsi" w:hAnsiTheme="minorHAnsi" w:cstheme="minorHAnsi"/>
        </w:rPr>
        <w:t xml:space="preserve"> v </w:t>
      </w:r>
      <w:r w:rsidRPr="007809F4">
        <w:rPr>
          <w:rFonts w:asciiTheme="minorHAnsi" w:hAnsiTheme="minorHAnsi" w:cstheme="minorHAnsi"/>
          <w:i/>
        </w:rPr>
        <w:t>R</w:t>
      </w:r>
      <w:r w:rsidRPr="007809F4">
        <w:rPr>
          <w:rFonts w:asciiTheme="minorHAnsi" w:hAnsiTheme="minorHAnsi" w:cstheme="minorHAnsi"/>
        </w:rPr>
        <w:t xml:space="preserve"> [2018] NSWCCA 304</w:t>
      </w:r>
      <w:r w:rsidRPr="00EB7F1E">
        <w:rPr>
          <w:rFonts w:asciiTheme="minorHAnsi" w:hAnsiTheme="minorHAnsi" w:cstheme="minorHAnsi"/>
        </w:rPr>
        <w:fldChar w:fldCharType="begin"/>
      </w:r>
      <w:r w:rsidRPr="007809F4">
        <w:rPr>
          <w:rFonts w:asciiTheme="minorHAnsi" w:hAnsiTheme="minorHAnsi" w:cstheme="minorHAnsi"/>
        </w:rPr>
        <w:instrText xml:space="preserve"> TA \s "Baladjam v R [2018] NSWCCA 304" </w:instrText>
      </w:r>
      <w:r w:rsidRPr="00EB7F1E">
        <w:rPr>
          <w:rFonts w:asciiTheme="minorHAnsi" w:hAnsiTheme="minorHAnsi" w:cstheme="minorHAnsi"/>
        </w:rPr>
        <w:fldChar w:fldCharType="end"/>
      </w:r>
      <w:r w:rsidRPr="007809F4">
        <w:rPr>
          <w:rFonts w:asciiTheme="minorHAnsi" w:hAnsiTheme="minorHAnsi" w:cstheme="minorHAnsi"/>
        </w:rPr>
        <w:t>, [146]-[149].</w:t>
      </w:r>
    </w:p>
  </w:footnote>
  <w:footnote w:id="431">
    <w:p w14:paraId="6CA7D498" w14:textId="5B440C4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Jimmy v R</w:t>
      </w:r>
      <w:r w:rsidRPr="007809F4">
        <w:rPr>
          <w:rFonts w:asciiTheme="minorHAnsi" w:hAnsiTheme="minorHAnsi" w:cstheme="minorHAnsi"/>
        </w:rPr>
        <w:t xml:space="preserve"> (2010) 77 NSWLR 540</w:t>
      </w:r>
      <w:r w:rsidRPr="00EB7F1E">
        <w:rPr>
          <w:rFonts w:asciiTheme="minorHAnsi" w:hAnsiTheme="minorHAnsi" w:cstheme="minorHAnsi"/>
        </w:rPr>
        <w:fldChar w:fldCharType="begin"/>
      </w:r>
      <w:r w:rsidRPr="007809F4">
        <w:rPr>
          <w:rFonts w:asciiTheme="minorHAnsi" w:hAnsiTheme="minorHAnsi" w:cstheme="minorHAnsi"/>
        </w:rPr>
        <w:instrText xml:space="preserve"> TA \s "Jimmy v R (2010) 77 NSWLR 540" </w:instrText>
      </w:r>
      <w:r w:rsidRPr="00EB7F1E">
        <w:rPr>
          <w:rFonts w:asciiTheme="minorHAnsi" w:hAnsiTheme="minorHAnsi" w:cstheme="minorHAnsi"/>
        </w:rPr>
        <w:fldChar w:fldCharType="end"/>
      </w:r>
      <w:r w:rsidRPr="007809F4">
        <w:rPr>
          <w:rFonts w:asciiTheme="minorHAnsi" w:hAnsiTheme="minorHAnsi" w:cstheme="minorHAnsi"/>
        </w:rPr>
        <w:t xml:space="preserve">, [203]; </w:t>
      </w:r>
      <w:r w:rsidRPr="007809F4">
        <w:rPr>
          <w:rFonts w:asciiTheme="minorHAnsi" w:hAnsiTheme="minorHAnsi" w:cstheme="minorHAnsi"/>
          <w:i/>
        </w:rPr>
        <w:t>DPP (Cth)</w:t>
      </w:r>
      <w:r w:rsidRPr="007809F4">
        <w:rPr>
          <w:rFonts w:asciiTheme="minorHAnsi" w:hAnsiTheme="minorHAnsi" w:cstheme="minorHAnsi"/>
        </w:rPr>
        <w:t xml:space="preserve"> </w:t>
      </w:r>
      <w:r w:rsidRPr="007809F4">
        <w:rPr>
          <w:rFonts w:asciiTheme="minorHAnsi" w:hAnsiTheme="minorHAnsi" w:cstheme="minorHAnsi"/>
          <w:i/>
        </w:rPr>
        <w:t xml:space="preserve">v Gregory </w:t>
      </w:r>
      <w:r w:rsidRPr="007809F4">
        <w:rPr>
          <w:rFonts w:asciiTheme="minorHAnsi" w:hAnsiTheme="minorHAnsi" w:cstheme="minorHAnsi"/>
        </w:rPr>
        <w:t>(2011) 34 VR 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Gregory (2011) 34 VR 1" </w:instrText>
      </w:r>
      <w:r w:rsidRPr="00EB7F1E">
        <w:rPr>
          <w:rFonts w:asciiTheme="minorHAnsi" w:hAnsiTheme="minorHAnsi" w:cstheme="minorHAnsi"/>
        </w:rPr>
        <w:fldChar w:fldCharType="end"/>
      </w:r>
      <w:r w:rsidRPr="007809F4">
        <w:rPr>
          <w:rFonts w:asciiTheme="minorHAnsi" w:hAnsiTheme="minorHAnsi" w:cstheme="minorHAnsi"/>
        </w:rPr>
        <w:t>, [26]-[28].</w:t>
      </w:r>
    </w:p>
  </w:footnote>
  <w:footnote w:id="432">
    <w:p w14:paraId="0742C317" w14:textId="3570A6D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Prehn v R</w:t>
      </w:r>
      <w:r w:rsidRPr="007809F4">
        <w:rPr>
          <w:rFonts w:asciiTheme="minorHAnsi" w:hAnsiTheme="minorHAnsi" w:cstheme="minorHAnsi"/>
        </w:rPr>
        <w:t xml:space="preserve"> [2003] TASSC 55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Prehn v R</w:instrText>
      </w:r>
      <w:r w:rsidRPr="007809F4">
        <w:rPr>
          <w:rFonts w:asciiTheme="minorHAnsi" w:hAnsiTheme="minorHAnsi" w:cstheme="minorHAnsi"/>
        </w:rPr>
        <w:instrText xml:space="preserve"> [2003] TASSC 55</w:instrText>
      </w:r>
      <w:r w:rsidRPr="00EB7F1E">
        <w:rPr>
          <w:rFonts w:asciiTheme="minorHAnsi" w:hAnsiTheme="minorHAnsi" w:cstheme="minorHAnsi"/>
        </w:rPr>
        <w:instrText xml:space="preserve">" \s "Prehn v R [2003] TASSC 55" \c 1 </w:instrText>
      </w:r>
      <w:r w:rsidRPr="00EB7F1E">
        <w:rPr>
          <w:rFonts w:asciiTheme="minorHAnsi" w:hAnsiTheme="minorHAnsi" w:cstheme="minorHAnsi"/>
        </w:rPr>
        <w:fldChar w:fldCharType="end"/>
      </w:r>
      <w:r w:rsidRPr="007809F4">
        <w:rPr>
          <w:rFonts w:asciiTheme="minorHAnsi" w:hAnsiTheme="minorHAnsi" w:cstheme="minorHAnsi"/>
        </w:rPr>
        <w:t xml:space="preserve">, [21]; </w:t>
      </w:r>
      <w:r w:rsidRPr="007809F4">
        <w:rPr>
          <w:rFonts w:asciiTheme="minorHAnsi" w:hAnsiTheme="minorHAnsi" w:cstheme="minorHAnsi"/>
          <w:i/>
        </w:rPr>
        <w:t xml:space="preserve">Scook v R </w:t>
      </w:r>
      <w:r w:rsidRPr="007809F4">
        <w:rPr>
          <w:rFonts w:asciiTheme="minorHAnsi" w:hAnsiTheme="minorHAnsi" w:cstheme="minorHAnsi"/>
        </w:rPr>
        <w:t>[2008] WASCA 114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Scook v R </w:instrText>
      </w:r>
      <w:r w:rsidRPr="007809F4">
        <w:rPr>
          <w:rFonts w:asciiTheme="minorHAnsi" w:hAnsiTheme="minorHAnsi" w:cstheme="minorHAnsi"/>
        </w:rPr>
        <w:instrText>[2008] WASCA 114</w:instrText>
      </w:r>
      <w:r w:rsidRPr="00EB7F1E">
        <w:rPr>
          <w:rFonts w:asciiTheme="minorHAnsi" w:hAnsiTheme="minorHAnsi" w:cstheme="minorHAnsi"/>
        </w:rPr>
        <w:instrText xml:space="preserve">" \s "Scook v R [2008] WASCA 114" \c 1 </w:instrText>
      </w:r>
      <w:r w:rsidRPr="00EB7F1E">
        <w:rPr>
          <w:rFonts w:asciiTheme="minorHAnsi" w:hAnsiTheme="minorHAnsi" w:cstheme="minorHAnsi"/>
        </w:rPr>
        <w:fldChar w:fldCharType="end"/>
      </w:r>
      <w:r w:rsidRPr="007809F4">
        <w:rPr>
          <w:rFonts w:asciiTheme="minorHAnsi" w:hAnsiTheme="minorHAnsi" w:cstheme="minorHAnsi"/>
        </w:rPr>
        <w:t>, [31], [58].</w:t>
      </w:r>
    </w:p>
  </w:footnote>
  <w:footnote w:id="433">
    <w:p w14:paraId="3244ADB2" w14:textId="5062A5E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[93], Basten JA (with whom S Campbell and N Adams JJ agreed) observed, “</w:t>
      </w:r>
      <w:r w:rsidRPr="007809F4">
        <w:rPr>
          <w:rFonts w:asciiTheme="minorHAnsi" w:hAnsiTheme="minorHAnsi" w:cstheme="minorHAnsi"/>
          <w:i/>
        </w:rPr>
        <w:t>in order to characterise a lapse of time as involving unwarranted delay, it may be necessary to form some judgment about what can reasonably be expected of the criminal justice system in its application to the particular circumstances of the proceedings.</w:t>
      </w:r>
      <w:r w:rsidRPr="007809F4">
        <w:rPr>
          <w:rFonts w:asciiTheme="minorHAnsi" w:hAnsiTheme="minorHAnsi" w:cstheme="minorHAnsi"/>
        </w:rPr>
        <w:t>”</w:t>
      </w:r>
    </w:p>
  </w:footnote>
  <w:footnote w:id="434">
    <w:p w14:paraId="06E322FD" w14:textId="0D43EA8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Duncan v R</w:t>
      </w:r>
      <w:r w:rsidRPr="007809F4">
        <w:rPr>
          <w:rFonts w:asciiTheme="minorHAnsi" w:hAnsiTheme="minorHAnsi" w:cstheme="minorHAnsi"/>
        </w:rPr>
        <w:t xml:space="preserve"> (1983) 9 A Crim R 354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Duncan v R</w:instrText>
      </w:r>
      <w:r w:rsidRPr="007809F4">
        <w:rPr>
          <w:rFonts w:asciiTheme="minorHAnsi" w:hAnsiTheme="minorHAnsi" w:cstheme="minorHAnsi"/>
        </w:rPr>
        <w:instrText xml:space="preserve"> (1983) 9 A Crim R 354</w:instrText>
      </w:r>
      <w:r w:rsidRPr="00EB7F1E">
        <w:rPr>
          <w:rFonts w:asciiTheme="minorHAnsi" w:hAnsiTheme="minorHAnsi" w:cstheme="minorHAnsi"/>
        </w:rPr>
        <w:instrText xml:space="preserve">" \s "Duncan v R (1983) 9 A Crim R 354" \c 1 </w:instrText>
      </w:r>
      <w:r w:rsidRPr="00EB7F1E">
        <w:rPr>
          <w:rFonts w:asciiTheme="minorHAnsi" w:hAnsiTheme="minorHAnsi" w:cstheme="minorHAnsi"/>
        </w:rPr>
        <w:fldChar w:fldCharType="end"/>
      </w:r>
      <w:r w:rsidRPr="007809F4">
        <w:rPr>
          <w:rFonts w:asciiTheme="minorHAnsi" w:hAnsiTheme="minorHAnsi" w:cstheme="minorHAnsi"/>
        </w:rPr>
        <w:t xml:space="preserve">, 356-7; </w:t>
      </w:r>
      <w:r w:rsidRPr="007809F4">
        <w:rPr>
          <w:rFonts w:asciiTheme="minorHAnsi" w:hAnsiTheme="minorHAnsi" w:cstheme="minorHAnsi"/>
          <w:i/>
        </w:rPr>
        <w:t>R v MWH</w:t>
      </w:r>
      <w:r w:rsidRPr="007809F4">
        <w:rPr>
          <w:rFonts w:asciiTheme="minorHAnsi" w:hAnsiTheme="minorHAnsi" w:cstheme="minorHAnsi"/>
        </w:rPr>
        <w:t xml:space="preserve"> [2001] VSCA 196,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MWH</w:instrText>
      </w:r>
      <w:r w:rsidRPr="007809F4">
        <w:rPr>
          <w:rFonts w:asciiTheme="minorHAnsi" w:hAnsiTheme="minorHAnsi" w:cstheme="minorHAnsi"/>
        </w:rPr>
        <w:instrText xml:space="preserve"> [2001] VSCA 196" \s "R v MWH [2001] VSCA 196" \c 1 </w:instrText>
      </w:r>
      <w:r w:rsidRPr="00EB7F1E">
        <w:rPr>
          <w:rFonts w:asciiTheme="minorHAnsi" w:hAnsiTheme="minorHAnsi" w:cstheme="minorHAnsi"/>
        </w:rPr>
        <w:fldChar w:fldCharType="end"/>
      </w:r>
      <w:r w:rsidRPr="007809F4">
        <w:rPr>
          <w:rFonts w:asciiTheme="minorHAnsi" w:hAnsiTheme="minorHAnsi" w:cstheme="minorHAnsi"/>
        </w:rPr>
        <w:t xml:space="preserve"> [18].</w:t>
      </w:r>
    </w:p>
  </w:footnote>
  <w:footnote w:id="435">
    <w:p w14:paraId="4A36D10C" w14:textId="3776001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Cockerell</w:t>
      </w:r>
      <w:r w:rsidRPr="007809F4">
        <w:rPr>
          <w:rFonts w:asciiTheme="minorHAnsi" w:hAnsiTheme="minorHAnsi" w:cstheme="minorHAnsi"/>
        </w:rPr>
        <w:t xml:space="preserve"> [2001] VSCA 239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Cockerell</w:instrText>
      </w:r>
      <w:r w:rsidRPr="007809F4">
        <w:rPr>
          <w:rFonts w:asciiTheme="minorHAnsi" w:hAnsiTheme="minorHAnsi" w:cstheme="minorHAnsi"/>
        </w:rPr>
        <w:instrText xml:space="preserve"> [2001] VSCA 239</w:instrText>
      </w:r>
      <w:r w:rsidRPr="00EB7F1E">
        <w:rPr>
          <w:rFonts w:asciiTheme="minorHAnsi" w:hAnsiTheme="minorHAnsi" w:cstheme="minorHAnsi"/>
        </w:rPr>
        <w:instrText xml:space="preserve">" \s "R v Cockerell [2001] VSCA 239" \c 1 </w:instrText>
      </w:r>
      <w:r w:rsidRPr="00EB7F1E">
        <w:rPr>
          <w:rFonts w:asciiTheme="minorHAnsi" w:hAnsiTheme="minorHAnsi" w:cstheme="minorHAnsi"/>
        </w:rPr>
        <w:fldChar w:fldCharType="end"/>
      </w:r>
      <w:r w:rsidRPr="007809F4">
        <w:rPr>
          <w:rFonts w:asciiTheme="minorHAnsi" w:hAnsiTheme="minorHAnsi" w:cstheme="minorHAnsi"/>
        </w:rPr>
        <w:t xml:space="preserve">, [10]; </w:t>
      </w:r>
      <w:r w:rsidRPr="007809F4">
        <w:rPr>
          <w:rFonts w:asciiTheme="minorHAnsi" w:hAnsiTheme="minorHAnsi" w:cstheme="minorHAnsi"/>
          <w:i/>
        </w:rPr>
        <w:t>Fattah v R</w:t>
      </w:r>
      <w:r w:rsidRPr="007809F4">
        <w:rPr>
          <w:rFonts w:asciiTheme="minorHAnsi" w:hAnsiTheme="minorHAnsi" w:cstheme="minorHAnsi"/>
        </w:rPr>
        <w:t xml:space="preserve"> [2016] VSCA 43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Fattah v R</w:instrText>
      </w:r>
      <w:r w:rsidRPr="007809F4">
        <w:rPr>
          <w:rFonts w:asciiTheme="minorHAnsi" w:hAnsiTheme="minorHAnsi" w:cstheme="minorHAnsi"/>
        </w:rPr>
        <w:instrText xml:space="preserve"> [2016] VSCA 43</w:instrText>
      </w:r>
      <w:r w:rsidRPr="00EB7F1E">
        <w:rPr>
          <w:rFonts w:asciiTheme="minorHAnsi" w:hAnsiTheme="minorHAnsi" w:cstheme="minorHAnsi"/>
        </w:rPr>
        <w:instrText xml:space="preserve">" \s "Fattah v R [2016] VSCA 43" \c 1 </w:instrText>
      </w:r>
      <w:r w:rsidRPr="00EB7F1E">
        <w:rPr>
          <w:rFonts w:asciiTheme="minorHAnsi" w:hAnsiTheme="minorHAnsi" w:cstheme="minorHAnsi"/>
        </w:rPr>
        <w:fldChar w:fldCharType="end"/>
      </w:r>
      <w:r w:rsidRPr="007809F4">
        <w:rPr>
          <w:rFonts w:asciiTheme="minorHAnsi" w:hAnsiTheme="minorHAnsi" w:cstheme="minorHAnsi"/>
        </w:rPr>
        <w:t xml:space="preserve">, [8], [37]-[48]; </w:t>
      </w:r>
      <w:r w:rsidRPr="007809F4">
        <w:rPr>
          <w:rFonts w:asciiTheme="minorHAnsi" w:hAnsiTheme="minorHAnsi" w:cstheme="minorHAnsi"/>
          <w:i/>
        </w:rPr>
        <w:t>Hicks v R</w:t>
      </w:r>
      <w:r w:rsidRPr="007809F4">
        <w:rPr>
          <w:rFonts w:asciiTheme="minorHAnsi" w:hAnsiTheme="minorHAnsi" w:cstheme="minorHAnsi"/>
        </w:rPr>
        <w:t xml:space="preserve"> [2016] VSCA 162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Hicks v R</w:instrText>
      </w:r>
      <w:r w:rsidRPr="007809F4">
        <w:rPr>
          <w:rFonts w:asciiTheme="minorHAnsi" w:hAnsiTheme="minorHAnsi" w:cstheme="minorHAnsi"/>
        </w:rPr>
        <w:instrText xml:space="preserve"> [2016] VSCA 162</w:instrText>
      </w:r>
      <w:r w:rsidRPr="00EB7F1E">
        <w:rPr>
          <w:rFonts w:asciiTheme="minorHAnsi" w:hAnsiTheme="minorHAnsi" w:cstheme="minorHAnsi"/>
        </w:rPr>
        <w:instrText xml:space="preserve">" \s "Hicks v R [2016] VSCA 162" \c 1 </w:instrText>
      </w:r>
      <w:r w:rsidRPr="00EB7F1E">
        <w:rPr>
          <w:rFonts w:asciiTheme="minorHAnsi" w:hAnsiTheme="minorHAnsi" w:cstheme="minorHAnsi"/>
        </w:rPr>
        <w:fldChar w:fldCharType="end"/>
      </w:r>
      <w:r w:rsidRPr="007809F4">
        <w:rPr>
          <w:rFonts w:asciiTheme="minorHAnsi" w:hAnsiTheme="minorHAnsi" w:cstheme="minorHAnsi"/>
        </w:rPr>
        <w:t>, [23].</w:t>
      </w:r>
    </w:p>
  </w:footnote>
  <w:footnote w:id="436">
    <w:p w14:paraId="4C211056" w14:textId="1F7C66B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Sergi v DPP (Cth)</w:t>
      </w:r>
      <w:r w:rsidRPr="007809F4">
        <w:rPr>
          <w:rFonts w:asciiTheme="minorHAnsi" w:hAnsiTheme="minorHAnsi" w:cstheme="minorHAnsi"/>
        </w:rPr>
        <w:t xml:space="preserve"> [2015] VSCA 181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Sergi v DPP (Cth)</w:instrText>
      </w:r>
      <w:r w:rsidRPr="007809F4">
        <w:rPr>
          <w:rFonts w:asciiTheme="minorHAnsi" w:hAnsiTheme="minorHAnsi" w:cstheme="minorHAnsi"/>
        </w:rPr>
        <w:instrText xml:space="preserve"> [2015] VSCA 181</w:instrText>
      </w:r>
      <w:r w:rsidRPr="00EB7F1E">
        <w:rPr>
          <w:rFonts w:asciiTheme="minorHAnsi" w:hAnsiTheme="minorHAnsi" w:cstheme="minorHAnsi"/>
        </w:rPr>
        <w:instrText xml:space="preserve">" \s "Sergi v DPP (Cth) [2015] VSCA 181" \c 1 </w:instrText>
      </w:r>
      <w:r w:rsidRPr="00EB7F1E">
        <w:rPr>
          <w:rFonts w:asciiTheme="minorHAnsi" w:hAnsiTheme="minorHAnsi" w:cstheme="minorHAnsi"/>
        </w:rPr>
        <w:fldChar w:fldCharType="end"/>
      </w:r>
      <w:r w:rsidRPr="007809F4">
        <w:rPr>
          <w:rFonts w:asciiTheme="minorHAnsi" w:hAnsiTheme="minorHAnsi" w:cstheme="minorHAnsi"/>
        </w:rPr>
        <w:t>, [43].</w:t>
      </w:r>
    </w:p>
  </w:footnote>
  <w:footnote w:id="437">
    <w:p w14:paraId="2F1D3DFC" w14:textId="5C7F02C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Todd</w:t>
      </w:r>
      <w:r w:rsidRPr="007809F4">
        <w:rPr>
          <w:rFonts w:asciiTheme="minorHAnsi" w:hAnsiTheme="minorHAnsi" w:cstheme="minorHAnsi"/>
        </w:rPr>
        <w:t xml:space="preserve"> [1982] 2 NSWLR 517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Todd</w:instrText>
      </w:r>
      <w:r w:rsidRPr="007809F4">
        <w:rPr>
          <w:rFonts w:asciiTheme="minorHAnsi" w:hAnsiTheme="minorHAnsi" w:cstheme="minorHAnsi"/>
        </w:rPr>
        <w:instrText xml:space="preserve"> [1982] 2 NSWLR 517</w:instrText>
      </w:r>
      <w:r w:rsidRPr="00EB7F1E">
        <w:rPr>
          <w:rFonts w:asciiTheme="minorHAnsi" w:hAnsiTheme="minorHAnsi" w:cstheme="minorHAnsi"/>
        </w:rPr>
        <w:instrText xml:space="preserve">" \s "R v Todd [1982] 2 NSWLR 517" \c 1 </w:instrText>
      </w:r>
      <w:r w:rsidRPr="00EB7F1E">
        <w:rPr>
          <w:rFonts w:asciiTheme="minorHAnsi" w:hAnsiTheme="minorHAnsi" w:cstheme="minorHAnsi"/>
        </w:rPr>
        <w:fldChar w:fldCharType="end"/>
      </w:r>
      <w:r w:rsidRPr="007809F4">
        <w:rPr>
          <w:rFonts w:asciiTheme="minorHAnsi" w:hAnsiTheme="minorHAnsi" w:cstheme="minorHAnsi"/>
        </w:rPr>
        <w:t>, 519;</w:t>
      </w:r>
      <w:r w:rsidRPr="007809F4">
        <w:rPr>
          <w:rFonts w:asciiTheme="minorHAnsi" w:hAnsiTheme="minorHAnsi" w:cstheme="minorHAnsi"/>
          <w:color w:val="000000"/>
        </w:rPr>
        <w:t xml:space="preserve"> </w:t>
      </w:r>
      <w:r w:rsidRPr="007809F4">
        <w:rPr>
          <w:rFonts w:asciiTheme="minorHAnsi" w:hAnsiTheme="minorHAnsi" w:cstheme="minorHAnsi"/>
          <w:i/>
        </w:rPr>
        <w:t>Mill v R</w:t>
      </w:r>
      <w:r w:rsidRPr="007809F4">
        <w:rPr>
          <w:rFonts w:asciiTheme="minorHAnsi" w:hAnsiTheme="minorHAnsi" w:cstheme="minorHAnsi"/>
        </w:rPr>
        <w:t xml:space="preserve"> (1988) 166 CLR 59</w:t>
      </w:r>
      <w:r w:rsidRPr="00EB7F1E">
        <w:rPr>
          <w:rFonts w:asciiTheme="minorHAnsi" w:hAnsiTheme="minorHAnsi" w:cstheme="minorHAnsi"/>
        </w:rPr>
        <w:fldChar w:fldCharType="begin"/>
      </w:r>
      <w:r w:rsidRPr="007809F4">
        <w:rPr>
          <w:rFonts w:asciiTheme="minorHAnsi" w:hAnsiTheme="minorHAnsi" w:cstheme="minorHAnsi"/>
        </w:rPr>
        <w:instrText xml:space="preserve"> TA \s "Mill v R (1988) 166 CLR 59" </w:instrText>
      </w:r>
      <w:r w:rsidRPr="00EB7F1E">
        <w:rPr>
          <w:rFonts w:asciiTheme="minorHAnsi" w:hAnsiTheme="minorHAnsi" w:cstheme="minorHAnsi"/>
        </w:rPr>
        <w:fldChar w:fldCharType="end"/>
      </w:r>
      <w:r w:rsidRPr="007809F4">
        <w:rPr>
          <w:rFonts w:asciiTheme="minorHAnsi" w:hAnsiTheme="minorHAnsi" w:cstheme="minorHAnsi"/>
        </w:rPr>
        <w:t xml:space="preserve">, 66; </w:t>
      </w:r>
      <w:r w:rsidRPr="007809F4">
        <w:rPr>
          <w:rFonts w:asciiTheme="minorHAnsi" w:hAnsiTheme="minorHAnsi" w:cstheme="minorHAnsi"/>
          <w:i/>
        </w:rPr>
        <w:t>R v Cockerell</w:t>
      </w:r>
      <w:r w:rsidRPr="007809F4">
        <w:rPr>
          <w:rFonts w:asciiTheme="minorHAnsi" w:hAnsiTheme="minorHAnsi" w:cstheme="minorHAnsi"/>
        </w:rPr>
        <w:t xml:space="preserve"> [2001] VSCA 239</w:t>
      </w:r>
      <w:r w:rsidRPr="00EB7F1E">
        <w:rPr>
          <w:rFonts w:asciiTheme="minorHAnsi" w:hAnsiTheme="minorHAnsi" w:cstheme="minorHAnsi"/>
        </w:rPr>
        <w:fldChar w:fldCharType="begin"/>
      </w:r>
      <w:r w:rsidRPr="007809F4">
        <w:rPr>
          <w:rFonts w:asciiTheme="minorHAnsi" w:hAnsiTheme="minorHAnsi" w:cstheme="minorHAnsi"/>
        </w:rPr>
        <w:instrText xml:space="preserve"> TA \s "R v Cockerell [2001] VSCA 239" </w:instrText>
      </w:r>
      <w:r w:rsidRPr="00EB7F1E">
        <w:rPr>
          <w:rFonts w:asciiTheme="minorHAnsi" w:hAnsiTheme="minorHAnsi" w:cstheme="minorHAnsi"/>
        </w:rPr>
        <w:fldChar w:fldCharType="end"/>
      </w:r>
      <w:r w:rsidRPr="007809F4">
        <w:rPr>
          <w:rFonts w:asciiTheme="minorHAnsi" w:hAnsiTheme="minorHAnsi" w:cstheme="minorHAnsi"/>
        </w:rPr>
        <w:t xml:space="preserve">, [10]; </w:t>
      </w:r>
      <w:r w:rsidRPr="007809F4">
        <w:rPr>
          <w:rFonts w:asciiTheme="minorHAnsi" w:hAnsiTheme="minorHAnsi" w:cstheme="minorHAnsi"/>
          <w:i/>
        </w:rPr>
        <w:t>R v Tiburcy</w:t>
      </w:r>
      <w:r w:rsidRPr="007809F4">
        <w:rPr>
          <w:rFonts w:asciiTheme="minorHAnsi" w:hAnsiTheme="minorHAnsi" w:cstheme="minorHAnsi"/>
        </w:rPr>
        <w:t xml:space="preserve"> [2006] VSCA 244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Tiburcy</w:instrText>
      </w:r>
      <w:r w:rsidRPr="007809F4">
        <w:rPr>
          <w:rFonts w:asciiTheme="minorHAnsi" w:hAnsiTheme="minorHAnsi" w:cstheme="minorHAnsi"/>
        </w:rPr>
        <w:instrText xml:space="preserve"> [2006] VSCA 244</w:instrText>
      </w:r>
      <w:r w:rsidRPr="00EB7F1E">
        <w:rPr>
          <w:rFonts w:asciiTheme="minorHAnsi" w:hAnsiTheme="minorHAnsi" w:cstheme="minorHAnsi"/>
        </w:rPr>
        <w:instrText xml:space="preserve">" \s "R v Tiburcy [2006] VSCA 244"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Arthars v R</w:t>
      </w:r>
      <w:r w:rsidRPr="007809F4">
        <w:rPr>
          <w:rFonts w:asciiTheme="minorHAnsi" w:hAnsiTheme="minorHAnsi" w:cstheme="minorHAnsi"/>
        </w:rPr>
        <w:t xml:space="preserve"> (2013) 39 VR 613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Arthars v R</w:instrText>
      </w:r>
      <w:r w:rsidRPr="007809F4">
        <w:rPr>
          <w:rFonts w:asciiTheme="minorHAnsi" w:hAnsiTheme="minorHAnsi" w:cstheme="minorHAnsi"/>
        </w:rPr>
        <w:instrText xml:space="preserve"> (2013) 39 VR 613</w:instrText>
      </w:r>
      <w:r w:rsidRPr="00EB7F1E">
        <w:rPr>
          <w:rFonts w:asciiTheme="minorHAnsi" w:hAnsiTheme="minorHAnsi" w:cstheme="minorHAnsi"/>
        </w:rPr>
        <w:instrText xml:space="preserve">" \s "Arthars v R (2013) 39 VR 613" \c 1 </w:instrText>
      </w:r>
      <w:r w:rsidRPr="00EB7F1E">
        <w:rPr>
          <w:rFonts w:asciiTheme="minorHAnsi" w:hAnsiTheme="minorHAnsi" w:cstheme="minorHAnsi"/>
        </w:rPr>
        <w:fldChar w:fldCharType="end"/>
      </w:r>
      <w:r w:rsidRPr="007809F4">
        <w:rPr>
          <w:rFonts w:asciiTheme="minorHAnsi" w:hAnsiTheme="minorHAnsi" w:cstheme="minorHAnsi"/>
        </w:rPr>
        <w:t xml:space="preserve">, [25].  However see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xml:space="preserve"> (discussed below) as to the relevance of stress or anxiety resulting from delay in the sentencing of a federal offender.</w:t>
      </w:r>
    </w:p>
  </w:footnote>
  <w:footnote w:id="438">
    <w:p w14:paraId="34B27C43" w14:textId="0F9A5EB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Schwabegger</w:t>
      </w:r>
      <w:r w:rsidRPr="007809F4">
        <w:rPr>
          <w:rFonts w:asciiTheme="minorHAnsi" w:hAnsiTheme="minorHAnsi" w:cstheme="minorHAnsi"/>
        </w:rPr>
        <w:t xml:space="preserve"> [1998] 4 VR 649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Schwabegger</w:instrText>
      </w:r>
      <w:r w:rsidRPr="007809F4">
        <w:rPr>
          <w:rFonts w:asciiTheme="minorHAnsi" w:hAnsiTheme="minorHAnsi" w:cstheme="minorHAnsi"/>
        </w:rPr>
        <w:instrText xml:space="preserve"> [1998] 4 VR 649</w:instrText>
      </w:r>
      <w:r w:rsidRPr="00EB7F1E">
        <w:rPr>
          <w:rFonts w:asciiTheme="minorHAnsi" w:hAnsiTheme="minorHAnsi" w:cstheme="minorHAnsi"/>
        </w:rPr>
        <w:instrText xml:space="preserve">" \s "R v Schwabegger [1998] 4 VR 649"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Scook v R </w:t>
      </w:r>
      <w:r w:rsidRPr="007809F4">
        <w:rPr>
          <w:rFonts w:asciiTheme="minorHAnsi" w:hAnsiTheme="minorHAnsi" w:cstheme="minorHAnsi"/>
        </w:rPr>
        <w:t>[2008] WASCA 114</w:t>
      </w:r>
      <w:r w:rsidRPr="00EB7F1E">
        <w:rPr>
          <w:rFonts w:asciiTheme="minorHAnsi" w:hAnsiTheme="minorHAnsi" w:cstheme="minorHAnsi"/>
        </w:rPr>
        <w:fldChar w:fldCharType="begin"/>
      </w:r>
      <w:r w:rsidRPr="007809F4">
        <w:rPr>
          <w:rFonts w:asciiTheme="minorHAnsi" w:hAnsiTheme="minorHAnsi" w:cstheme="minorHAnsi"/>
        </w:rPr>
        <w:instrText xml:space="preserve"> TA \s "Scook v R [2008] WASCA 114" </w:instrText>
      </w:r>
      <w:r w:rsidRPr="00EB7F1E">
        <w:rPr>
          <w:rFonts w:asciiTheme="minorHAnsi" w:hAnsiTheme="minorHAnsi" w:cstheme="minorHAnsi"/>
        </w:rPr>
        <w:fldChar w:fldCharType="end"/>
      </w:r>
      <w:r w:rsidRPr="007809F4">
        <w:rPr>
          <w:rFonts w:asciiTheme="minorHAnsi" w:hAnsiTheme="minorHAnsi" w:cstheme="minorHAnsi"/>
        </w:rPr>
        <w:t>, [32], [63]</w:t>
      </w:r>
      <w:r w:rsidRPr="00EB7F1E">
        <w:rPr>
          <w:rFonts w:asciiTheme="minorHAnsi" w:hAnsiTheme="minorHAnsi" w:cstheme="minorHAnsi"/>
        </w:rPr>
        <w:fldChar w:fldCharType="begin"/>
      </w:r>
      <w:r w:rsidRPr="007809F4">
        <w:rPr>
          <w:rFonts w:asciiTheme="minorHAnsi" w:hAnsiTheme="minorHAnsi" w:cstheme="minorHAnsi"/>
        </w:rPr>
        <w:instrText xml:space="preserve">  "Zhou v The Queen [2014] VSCA 123"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39">
    <w:p w14:paraId="1250A5C0" w14:textId="4B98E46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R v Katsoulis </w:t>
      </w:r>
      <w:r w:rsidRPr="007809F4">
        <w:rPr>
          <w:rFonts w:asciiTheme="minorHAnsi" w:hAnsiTheme="minorHAnsi" w:cstheme="minorHAnsi"/>
        </w:rPr>
        <w:t>[2008] VSCA 278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Katsoulis </w:instrText>
      </w:r>
      <w:r w:rsidRPr="007809F4">
        <w:rPr>
          <w:rFonts w:asciiTheme="minorHAnsi" w:hAnsiTheme="minorHAnsi" w:cstheme="minorHAnsi"/>
        </w:rPr>
        <w:instrText>[2008] VSCA 278</w:instrText>
      </w:r>
      <w:r w:rsidRPr="00EB7F1E">
        <w:rPr>
          <w:rFonts w:asciiTheme="minorHAnsi" w:hAnsiTheme="minorHAnsi" w:cstheme="minorHAnsi"/>
        </w:rPr>
        <w:instrText xml:space="preserve">" \s "R v Katsoulis [2008] VSCA 278" \c 1 </w:instrText>
      </w:r>
      <w:r w:rsidRPr="00EB7F1E">
        <w:rPr>
          <w:rFonts w:asciiTheme="minorHAnsi" w:hAnsiTheme="minorHAnsi" w:cstheme="minorHAnsi"/>
        </w:rPr>
        <w:fldChar w:fldCharType="end"/>
      </w:r>
      <w:r w:rsidRPr="007809F4">
        <w:rPr>
          <w:rFonts w:asciiTheme="minorHAnsi" w:hAnsiTheme="minorHAnsi" w:cstheme="minorHAnsi"/>
        </w:rPr>
        <w:t>, [13]-[14];</w:t>
      </w:r>
      <w:r w:rsidRPr="007809F4">
        <w:rPr>
          <w:rStyle w:val="Heading1Char"/>
          <w:rFonts w:asciiTheme="minorHAnsi" w:hAnsiTheme="minorHAnsi" w:cstheme="minorHAnsi"/>
          <w:sz w:val="20"/>
          <w:szCs w:val="20"/>
        </w:rPr>
        <w:t xml:space="preserve"> </w:t>
      </w:r>
      <w:r w:rsidRPr="007809F4">
        <w:rPr>
          <w:rFonts w:asciiTheme="minorHAnsi" w:hAnsiTheme="minorHAnsi" w:cstheme="minorHAnsi"/>
          <w:i/>
        </w:rPr>
        <w:t>R v Cox</w:t>
      </w:r>
      <w:r w:rsidRPr="007809F4">
        <w:rPr>
          <w:rFonts w:asciiTheme="minorHAnsi" w:hAnsiTheme="minorHAnsi" w:cstheme="minorHAnsi"/>
        </w:rPr>
        <w:t xml:space="preserve"> [2013] QCA 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Cox</w:instrText>
      </w:r>
      <w:r w:rsidRPr="007809F4">
        <w:rPr>
          <w:rFonts w:asciiTheme="minorHAnsi" w:hAnsiTheme="minorHAnsi" w:cstheme="minorHAnsi"/>
        </w:rPr>
        <w:instrText xml:space="preserve"> [2013] QCA 10</w:instrText>
      </w:r>
      <w:r w:rsidRPr="00EB7F1E">
        <w:rPr>
          <w:rFonts w:asciiTheme="minorHAnsi" w:hAnsiTheme="minorHAnsi" w:cstheme="minorHAnsi"/>
        </w:rPr>
        <w:instrText xml:space="preserve">" \s "R v Cox [2013] QCA 10" \c 1 </w:instrText>
      </w:r>
      <w:r w:rsidRPr="00EB7F1E">
        <w:rPr>
          <w:rFonts w:asciiTheme="minorHAnsi" w:hAnsiTheme="minorHAnsi" w:cstheme="minorHAnsi"/>
        </w:rPr>
        <w:fldChar w:fldCharType="end"/>
      </w:r>
      <w:r w:rsidRPr="007809F4">
        <w:rPr>
          <w:rFonts w:asciiTheme="minorHAnsi" w:hAnsiTheme="minorHAnsi" w:cstheme="minorHAnsi"/>
        </w:rPr>
        <w:t>, [101].</w:t>
      </w:r>
    </w:p>
  </w:footnote>
  <w:footnote w:id="440">
    <w:p w14:paraId="7D00D5E1" w14:textId="0D38A8A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Style w:val="FootnoteReference"/>
          <w:rFonts w:asciiTheme="minorHAnsi" w:hAnsiTheme="minorHAnsi" w:cstheme="minorHAnsi"/>
          <w:sz w:val="20"/>
          <w:vertAlign w:val="superscript"/>
        </w:rPr>
        <w:t xml:space="preserve"> </w:t>
      </w:r>
      <w:r w:rsidRPr="007809F4">
        <w:rPr>
          <w:rFonts w:asciiTheme="minorHAnsi" w:hAnsiTheme="minorHAnsi" w:cstheme="minorHAnsi"/>
        </w:rPr>
        <w:tab/>
      </w:r>
      <w:r w:rsidRPr="007809F4">
        <w:rPr>
          <w:rFonts w:asciiTheme="minorHAnsi" w:hAnsiTheme="minorHAnsi" w:cstheme="minorHAnsi"/>
          <w:i/>
        </w:rPr>
        <w:t>Arthars v R</w:t>
      </w:r>
      <w:r w:rsidRPr="007809F4">
        <w:rPr>
          <w:rFonts w:asciiTheme="minorHAnsi" w:hAnsiTheme="minorHAnsi" w:cstheme="minorHAnsi"/>
        </w:rPr>
        <w:t xml:space="preserve"> (2013) 39 VR 613</w:t>
      </w:r>
      <w:r w:rsidRPr="00EB7F1E">
        <w:rPr>
          <w:rFonts w:asciiTheme="minorHAnsi" w:hAnsiTheme="minorHAnsi" w:cstheme="minorHAnsi"/>
        </w:rPr>
        <w:fldChar w:fldCharType="begin"/>
      </w:r>
      <w:r w:rsidRPr="007809F4">
        <w:rPr>
          <w:rFonts w:asciiTheme="minorHAnsi" w:hAnsiTheme="minorHAnsi" w:cstheme="minorHAnsi"/>
        </w:rPr>
        <w:instrText xml:space="preserve"> TA \s "Arthars v R (2013) 39 VR 613" </w:instrText>
      </w:r>
      <w:r w:rsidRPr="00EB7F1E">
        <w:rPr>
          <w:rFonts w:asciiTheme="minorHAnsi" w:hAnsiTheme="minorHAnsi" w:cstheme="minorHAnsi"/>
        </w:rPr>
        <w:fldChar w:fldCharType="end"/>
      </w:r>
      <w:r w:rsidRPr="007809F4">
        <w:rPr>
          <w:rFonts w:asciiTheme="minorHAnsi" w:hAnsiTheme="minorHAnsi" w:cstheme="minorHAnsi"/>
        </w:rPr>
        <w:t>, [28].</w:t>
      </w:r>
    </w:p>
  </w:footnote>
  <w:footnote w:id="441">
    <w:p w14:paraId="0135C93A" w14:textId="718614E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Style w:val="FootnoteReference"/>
          <w:rFonts w:asciiTheme="minorHAnsi" w:hAnsiTheme="minorHAnsi" w:cstheme="minorHAnsi"/>
          <w:sz w:val="20"/>
          <w:vertAlign w:val="superscript"/>
        </w:rPr>
        <w:t xml:space="preserve"> </w:t>
      </w:r>
      <w:r w:rsidRPr="007809F4">
        <w:rPr>
          <w:rFonts w:asciiTheme="minorHAnsi" w:hAnsiTheme="minorHAnsi" w:cstheme="minorHAnsi"/>
        </w:rPr>
        <w:tab/>
      </w:r>
      <w:r w:rsidRPr="007809F4">
        <w:rPr>
          <w:rFonts w:asciiTheme="minorHAnsi" w:hAnsiTheme="minorHAnsi" w:cstheme="minorHAnsi"/>
          <w:i/>
        </w:rPr>
        <w:t>Arthars v R</w:t>
      </w:r>
      <w:r w:rsidRPr="007809F4">
        <w:rPr>
          <w:rFonts w:asciiTheme="minorHAnsi" w:hAnsiTheme="minorHAnsi" w:cstheme="minorHAnsi"/>
        </w:rPr>
        <w:t xml:space="preserve"> (2013) 39 VR 613</w:t>
      </w:r>
      <w:r w:rsidRPr="00EB7F1E">
        <w:rPr>
          <w:rFonts w:asciiTheme="minorHAnsi" w:hAnsiTheme="minorHAnsi" w:cstheme="minorHAnsi"/>
        </w:rPr>
        <w:fldChar w:fldCharType="begin"/>
      </w:r>
      <w:r w:rsidRPr="007809F4">
        <w:rPr>
          <w:rFonts w:asciiTheme="minorHAnsi" w:hAnsiTheme="minorHAnsi" w:cstheme="minorHAnsi"/>
        </w:rPr>
        <w:instrText xml:space="preserve"> TA \s "Arthars v R (2013) 39 VR 613" </w:instrText>
      </w:r>
      <w:r w:rsidRPr="00EB7F1E">
        <w:rPr>
          <w:rFonts w:asciiTheme="minorHAnsi" w:hAnsiTheme="minorHAnsi" w:cstheme="minorHAnsi"/>
        </w:rPr>
        <w:fldChar w:fldCharType="end"/>
      </w:r>
      <w:r w:rsidRPr="007809F4">
        <w:rPr>
          <w:rFonts w:asciiTheme="minorHAnsi" w:hAnsiTheme="minorHAnsi" w:cstheme="minorHAnsi"/>
        </w:rPr>
        <w:t xml:space="preserve">, [27];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[92].</w:t>
      </w:r>
    </w:p>
  </w:footnote>
  <w:footnote w:id="442">
    <w:p w14:paraId="163A4F23" w14:textId="21DEE08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Nikodjevic</w:t>
      </w:r>
      <w:r w:rsidRPr="007809F4">
        <w:rPr>
          <w:rFonts w:asciiTheme="minorHAnsi" w:hAnsiTheme="minorHAnsi" w:cstheme="minorHAnsi"/>
        </w:rPr>
        <w:t xml:space="preserve"> [2004] VSCA 222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 R v Nikodjevic</w:instrText>
      </w:r>
      <w:r w:rsidRPr="007809F4">
        <w:rPr>
          <w:rFonts w:asciiTheme="minorHAnsi" w:hAnsiTheme="minorHAnsi" w:cstheme="minorHAnsi"/>
        </w:rPr>
        <w:instrText xml:space="preserve"> [2004] VSCA 222</w:instrText>
      </w:r>
      <w:r w:rsidRPr="00EB7F1E">
        <w:rPr>
          <w:rFonts w:asciiTheme="minorHAnsi" w:hAnsiTheme="minorHAnsi" w:cstheme="minorHAnsi"/>
        </w:rPr>
        <w:instrText>" \s "</w:instrText>
      </w:r>
      <w:r w:rsidRPr="007809F4">
        <w:rPr>
          <w:rFonts w:asciiTheme="minorHAnsi" w:hAnsiTheme="minorHAnsi" w:cstheme="minorHAnsi"/>
          <w:i/>
        </w:rPr>
        <w:instrText xml:space="preserve"> R v Nikodjevic</w:instrText>
      </w:r>
      <w:r w:rsidRPr="007809F4">
        <w:rPr>
          <w:rFonts w:asciiTheme="minorHAnsi" w:hAnsiTheme="minorHAnsi" w:cstheme="minorHAnsi"/>
        </w:rPr>
        <w:instrText xml:space="preserve"> [2004] VSCA 222</w:instrText>
      </w:r>
      <w:r w:rsidRPr="00EB7F1E">
        <w:rPr>
          <w:rFonts w:asciiTheme="minorHAnsi" w:hAnsiTheme="minorHAnsi" w:cstheme="minorHAnsi"/>
        </w:rPr>
        <w:instrText xml:space="preserve">" \c 1 </w:instrText>
      </w:r>
      <w:r w:rsidRPr="00EB7F1E">
        <w:rPr>
          <w:rFonts w:asciiTheme="minorHAnsi" w:hAnsiTheme="minorHAnsi" w:cstheme="minorHAnsi"/>
        </w:rPr>
        <w:fldChar w:fldCharType="end"/>
      </w:r>
      <w:r w:rsidRPr="007809F4">
        <w:rPr>
          <w:rFonts w:asciiTheme="minorHAnsi" w:hAnsiTheme="minorHAnsi" w:cstheme="minorHAnsi"/>
        </w:rPr>
        <w:t xml:space="preserve">, [20]; </w:t>
      </w:r>
      <w:r w:rsidRPr="007809F4">
        <w:rPr>
          <w:rFonts w:asciiTheme="minorHAnsi" w:hAnsiTheme="minorHAnsi" w:cstheme="minorHAnsi"/>
          <w:i/>
        </w:rPr>
        <w:t xml:space="preserve">Scook v R </w:t>
      </w:r>
      <w:r w:rsidRPr="007809F4">
        <w:rPr>
          <w:rFonts w:asciiTheme="minorHAnsi" w:hAnsiTheme="minorHAnsi" w:cstheme="minorHAnsi"/>
        </w:rPr>
        <w:t>[2008] WASCA 114</w:t>
      </w:r>
      <w:r w:rsidRPr="00EB7F1E">
        <w:rPr>
          <w:rFonts w:asciiTheme="minorHAnsi" w:hAnsiTheme="minorHAnsi" w:cstheme="minorHAnsi"/>
        </w:rPr>
        <w:fldChar w:fldCharType="begin"/>
      </w:r>
      <w:r w:rsidRPr="007809F4">
        <w:rPr>
          <w:rFonts w:asciiTheme="minorHAnsi" w:hAnsiTheme="minorHAnsi" w:cstheme="minorHAnsi"/>
        </w:rPr>
        <w:instrText xml:space="preserve"> TA \s "Scook v R [2008] WASCA 114" </w:instrText>
      </w:r>
      <w:r w:rsidRPr="00EB7F1E">
        <w:rPr>
          <w:rFonts w:asciiTheme="minorHAnsi" w:hAnsiTheme="minorHAnsi" w:cstheme="minorHAnsi"/>
        </w:rPr>
        <w:fldChar w:fldCharType="end"/>
      </w:r>
      <w:r w:rsidRPr="007809F4">
        <w:rPr>
          <w:rFonts w:asciiTheme="minorHAnsi" w:hAnsiTheme="minorHAnsi" w:cstheme="minorHAnsi"/>
        </w:rPr>
        <w:t xml:space="preserve">, [59]-[60]; </w:t>
      </w:r>
      <w:r w:rsidRPr="007809F4">
        <w:rPr>
          <w:rFonts w:asciiTheme="minorHAnsi" w:hAnsiTheme="minorHAnsi" w:cstheme="minorHAnsi"/>
          <w:i/>
        </w:rPr>
        <w:t>Day v R</w:t>
      </w:r>
      <w:r w:rsidRPr="007809F4">
        <w:rPr>
          <w:rFonts w:asciiTheme="minorHAnsi" w:hAnsiTheme="minorHAnsi" w:cstheme="minorHAnsi"/>
        </w:rPr>
        <w:t xml:space="preserve"> [2011] VSCA 243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Day v R</w:instrText>
      </w:r>
      <w:r w:rsidRPr="007809F4">
        <w:rPr>
          <w:rFonts w:asciiTheme="minorHAnsi" w:hAnsiTheme="minorHAnsi" w:cstheme="minorHAnsi"/>
        </w:rPr>
        <w:instrText xml:space="preserve"> [2011] VSCA 243</w:instrText>
      </w:r>
      <w:r w:rsidRPr="00EB7F1E">
        <w:rPr>
          <w:rFonts w:asciiTheme="minorHAnsi" w:hAnsiTheme="minorHAnsi" w:cstheme="minorHAnsi"/>
        </w:rPr>
        <w:instrText xml:space="preserve">" \s "Day v R [2011] VSCA 243" \c 1 </w:instrText>
      </w:r>
      <w:r w:rsidRPr="00EB7F1E">
        <w:rPr>
          <w:rFonts w:asciiTheme="minorHAnsi" w:hAnsiTheme="minorHAnsi" w:cstheme="minorHAnsi"/>
        </w:rPr>
        <w:fldChar w:fldCharType="end"/>
      </w:r>
      <w:r w:rsidRPr="007809F4">
        <w:rPr>
          <w:rFonts w:asciiTheme="minorHAnsi" w:hAnsiTheme="minorHAnsi" w:cstheme="minorHAnsi"/>
        </w:rPr>
        <w:t xml:space="preserve">, [11]-[22]; </w:t>
      </w:r>
      <w:r w:rsidRPr="007809F4">
        <w:rPr>
          <w:rFonts w:asciiTheme="minorHAnsi" w:hAnsiTheme="minorHAnsi" w:cstheme="minorHAnsi"/>
          <w:i/>
        </w:rPr>
        <w:t>Giourtalis v R</w:t>
      </w:r>
      <w:r w:rsidRPr="007809F4">
        <w:rPr>
          <w:rFonts w:asciiTheme="minorHAnsi" w:hAnsiTheme="minorHAnsi" w:cstheme="minorHAnsi"/>
        </w:rPr>
        <w:t xml:space="preserve"> [2013] NSWCCA 216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Giourtalis v R</w:instrText>
      </w:r>
      <w:r w:rsidRPr="007809F4">
        <w:rPr>
          <w:rFonts w:asciiTheme="minorHAnsi" w:hAnsiTheme="minorHAnsi" w:cstheme="minorHAnsi"/>
        </w:rPr>
        <w:instrText xml:space="preserve"> [2013] NSWCCA 216</w:instrText>
      </w:r>
      <w:r w:rsidRPr="00EB7F1E">
        <w:rPr>
          <w:rFonts w:asciiTheme="minorHAnsi" w:hAnsiTheme="minorHAnsi" w:cstheme="minorHAnsi"/>
        </w:rPr>
        <w:instrText xml:space="preserve">" \s "Giourtalis v R [2013] NSWCCA 216" \c 1 </w:instrText>
      </w:r>
      <w:r w:rsidRPr="00EB7F1E">
        <w:rPr>
          <w:rFonts w:asciiTheme="minorHAnsi" w:hAnsiTheme="minorHAnsi" w:cstheme="minorHAnsi"/>
        </w:rPr>
        <w:fldChar w:fldCharType="end"/>
      </w:r>
      <w:r w:rsidRPr="007809F4">
        <w:rPr>
          <w:rFonts w:asciiTheme="minorHAnsi" w:hAnsiTheme="minorHAnsi" w:cstheme="minorHAnsi"/>
        </w:rPr>
        <w:t xml:space="preserve">, [1791]; </w:t>
      </w:r>
      <w:r w:rsidRPr="007809F4">
        <w:rPr>
          <w:rFonts w:asciiTheme="minorHAnsi" w:hAnsiTheme="minorHAnsi" w:cstheme="minorHAnsi"/>
          <w:i/>
        </w:rPr>
        <w:t>Zhou v R</w:t>
      </w:r>
      <w:r w:rsidRPr="007809F4">
        <w:rPr>
          <w:rFonts w:asciiTheme="minorHAnsi" w:hAnsiTheme="minorHAnsi" w:cstheme="minorHAnsi"/>
        </w:rPr>
        <w:t xml:space="preserve"> [2014] VSCA 123</w:t>
      </w:r>
      <w:r w:rsidRPr="00EB7F1E">
        <w:rPr>
          <w:rFonts w:asciiTheme="minorHAnsi" w:hAnsiTheme="minorHAnsi" w:cstheme="minorHAnsi"/>
        </w:rPr>
        <w:fldChar w:fldCharType="begin"/>
      </w:r>
      <w:r w:rsidRPr="00EB7F1E">
        <w:rPr>
          <w:rFonts w:asciiTheme="minorHAnsi" w:hAnsiTheme="minorHAnsi" w:cstheme="minorHAnsi"/>
        </w:rPr>
        <w:instrText xml:space="preserve"> TA \s "Zhou v R [2014] VSCA 123"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Sergi v DPP (Cth)</w:t>
      </w:r>
      <w:r w:rsidRPr="007809F4">
        <w:rPr>
          <w:rFonts w:asciiTheme="minorHAnsi" w:hAnsiTheme="minorHAnsi" w:cstheme="minorHAnsi"/>
        </w:rPr>
        <w:t xml:space="preserve"> [2015] VSCA 181</w:t>
      </w:r>
      <w:r w:rsidRPr="00EB7F1E">
        <w:rPr>
          <w:rFonts w:asciiTheme="minorHAnsi" w:hAnsiTheme="minorHAnsi" w:cstheme="minorHAnsi"/>
        </w:rPr>
        <w:fldChar w:fldCharType="begin"/>
      </w:r>
      <w:r w:rsidRPr="007809F4">
        <w:rPr>
          <w:rFonts w:asciiTheme="minorHAnsi" w:hAnsiTheme="minorHAnsi" w:cstheme="minorHAnsi"/>
        </w:rPr>
        <w:instrText xml:space="preserve"> TA \s "Sergi v DPP (Cth) [2015] VSCA 181" </w:instrText>
      </w:r>
      <w:r w:rsidRPr="00EB7F1E">
        <w:rPr>
          <w:rFonts w:asciiTheme="minorHAnsi" w:hAnsiTheme="minorHAnsi" w:cstheme="minorHAnsi"/>
        </w:rPr>
        <w:fldChar w:fldCharType="end"/>
      </w:r>
      <w:r w:rsidRPr="007809F4">
        <w:rPr>
          <w:rFonts w:asciiTheme="minorHAnsi" w:hAnsiTheme="minorHAnsi" w:cstheme="minorHAnsi"/>
        </w:rPr>
        <w:t>, [44]-[48].</w:t>
      </w:r>
    </w:p>
  </w:footnote>
  <w:footnote w:id="443">
    <w:p w14:paraId="5195FEA2" w14:textId="63B235D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Shore</w:t>
      </w:r>
      <w:r w:rsidRPr="007809F4">
        <w:rPr>
          <w:rFonts w:asciiTheme="minorHAnsi" w:hAnsiTheme="minorHAnsi" w:cstheme="minorHAnsi"/>
        </w:rPr>
        <w:t xml:space="preserve"> (1992) 66 A Crim R 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Shore</w:instrText>
      </w:r>
      <w:r w:rsidRPr="007809F4">
        <w:rPr>
          <w:rFonts w:asciiTheme="minorHAnsi" w:hAnsiTheme="minorHAnsi" w:cstheme="minorHAnsi"/>
        </w:rPr>
        <w:instrText xml:space="preserve"> (1992) 66 A Crim R 37</w:instrText>
      </w:r>
      <w:r w:rsidRPr="00EB7F1E">
        <w:rPr>
          <w:rFonts w:asciiTheme="minorHAnsi" w:hAnsiTheme="minorHAnsi" w:cstheme="minorHAnsi"/>
        </w:rPr>
        <w:instrText xml:space="preserve">" \s "R v Shore (1992) 66 A Crim R 37" \c 1 </w:instrText>
      </w:r>
      <w:r w:rsidRPr="00EB7F1E">
        <w:rPr>
          <w:rFonts w:asciiTheme="minorHAnsi" w:hAnsiTheme="minorHAnsi" w:cstheme="minorHAnsi"/>
        </w:rPr>
        <w:fldChar w:fldCharType="end"/>
      </w:r>
      <w:r w:rsidRPr="007809F4">
        <w:rPr>
          <w:rFonts w:asciiTheme="minorHAnsi" w:hAnsiTheme="minorHAnsi" w:cstheme="minorHAnsi"/>
        </w:rPr>
        <w:t xml:space="preserve">, 47; </w:t>
      </w:r>
      <w:r w:rsidRPr="007809F4">
        <w:rPr>
          <w:rFonts w:asciiTheme="minorHAnsi" w:hAnsiTheme="minorHAnsi" w:cstheme="minorHAnsi"/>
          <w:i/>
        </w:rPr>
        <w:t>R v Whyte</w:t>
      </w:r>
      <w:r w:rsidRPr="007809F4">
        <w:rPr>
          <w:rFonts w:asciiTheme="minorHAnsi" w:hAnsiTheme="minorHAnsi" w:cstheme="minorHAnsi"/>
        </w:rPr>
        <w:t xml:space="preserve"> (2004) 7 VR 397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Whyte</w:instrText>
      </w:r>
      <w:r w:rsidRPr="007809F4">
        <w:rPr>
          <w:rFonts w:asciiTheme="minorHAnsi" w:hAnsiTheme="minorHAnsi" w:cstheme="minorHAnsi"/>
        </w:rPr>
        <w:instrText xml:space="preserve"> (2004) 7 VR 397" \s "R v Whyte (2004) 7 VR 397" \c 1 </w:instrText>
      </w:r>
      <w:r w:rsidRPr="00EB7F1E">
        <w:rPr>
          <w:rFonts w:asciiTheme="minorHAnsi" w:hAnsiTheme="minorHAnsi" w:cstheme="minorHAnsi"/>
        </w:rPr>
        <w:fldChar w:fldCharType="end"/>
      </w:r>
      <w:r w:rsidRPr="007809F4">
        <w:rPr>
          <w:rFonts w:asciiTheme="minorHAnsi" w:hAnsiTheme="minorHAnsi" w:cstheme="minorHAnsi"/>
        </w:rPr>
        <w:t xml:space="preserve">, [25]-[27]; </w:t>
      </w:r>
      <w:r w:rsidRPr="007809F4">
        <w:rPr>
          <w:rFonts w:asciiTheme="minorHAnsi" w:hAnsiTheme="minorHAnsi" w:cstheme="minorHAnsi"/>
          <w:i/>
        </w:rPr>
        <w:t>R v ONA</w:t>
      </w:r>
      <w:r w:rsidRPr="007809F4">
        <w:rPr>
          <w:rFonts w:asciiTheme="minorHAnsi" w:hAnsiTheme="minorHAnsi" w:cstheme="minorHAnsi"/>
        </w:rPr>
        <w:t xml:space="preserve"> (2009) 24 VR 197</w:t>
      </w:r>
      <w:r w:rsidRPr="00EB7F1E">
        <w:rPr>
          <w:rFonts w:asciiTheme="minorHAnsi" w:hAnsiTheme="minorHAnsi" w:cstheme="minorHAnsi"/>
        </w:rPr>
        <w:fldChar w:fldCharType="begin"/>
      </w:r>
      <w:r w:rsidRPr="007809F4">
        <w:rPr>
          <w:rFonts w:asciiTheme="minorHAnsi" w:hAnsiTheme="minorHAnsi" w:cstheme="minorHAnsi"/>
        </w:rPr>
        <w:instrText xml:space="preserve"> TA \s "R v ONA (2009) 24 VR 197" </w:instrText>
      </w:r>
      <w:r w:rsidRPr="00EB7F1E">
        <w:rPr>
          <w:rFonts w:asciiTheme="minorHAnsi" w:hAnsiTheme="minorHAnsi" w:cstheme="minorHAnsi"/>
        </w:rPr>
        <w:fldChar w:fldCharType="end"/>
      </w:r>
      <w:r w:rsidRPr="007809F4">
        <w:rPr>
          <w:rFonts w:asciiTheme="minorHAnsi" w:hAnsiTheme="minorHAnsi" w:cstheme="minorHAnsi"/>
        </w:rPr>
        <w:t>, [4].</w:t>
      </w:r>
    </w:p>
  </w:footnote>
  <w:footnote w:id="444">
    <w:p w14:paraId="39BF97AE" w14:textId="320E61E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Scook v R </w:t>
      </w:r>
      <w:r w:rsidRPr="007809F4">
        <w:rPr>
          <w:rFonts w:asciiTheme="minorHAnsi" w:hAnsiTheme="minorHAnsi" w:cstheme="minorHAnsi"/>
        </w:rPr>
        <w:t>[2008] WASCA 114</w:t>
      </w:r>
      <w:r w:rsidRPr="00EB7F1E">
        <w:rPr>
          <w:rFonts w:asciiTheme="minorHAnsi" w:hAnsiTheme="minorHAnsi" w:cstheme="minorHAnsi"/>
        </w:rPr>
        <w:fldChar w:fldCharType="begin"/>
      </w:r>
      <w:r w:rsidRPr="007809F4">
        <w:rPr>
          <w:rFonts w:asciiTheme="minorHAnsi" w:hAnsiTheme="minorHAnsi" w:cstheme="minorHAnsi"/>
        </w:rPr>
        <w:instrText xml:space="preserve"> TA \s "Scook v R [2008] WASCA 114" </w:instrText>
      </w:r>
      <w:r w:rsidRPr="00EB7F1E">
        <w:rPr>
          <w:rFonts w:asciiTheme="minorHAnsi" w:hAnsiTheme="minorHAnsi" w:cstheme="minorHAnsi"/>
        </w:rPr>
        <w:fldChar w:fldCharType="end"/>
      </w:r>
      <w:r w:rsidRPr="007809F4">
        <w:rPr>
          <w:rFonts w:asciiTheme="minorHAnsi" w:hAnsiTheme="minorHAnsi" w:cstheme="minorHAnsi"/>
        </w:rPr>
        <w:t xml:space="preserve">, [33], [61]; </w:t>
      </w:r>
      <w:r w:rsidRPr="007809F4">
        <w:rPr>
          <w:rFonts w:asciiTheme="minorHAnsi" w:hAnsiTheme="minorHAnsi" w:cstheme="minorHAnsi"/>
          <w:i/>
        </w:rPr>
        <w:t>Longworth v R</w:t>
      </w:r>
      <w:r w:rsidRPr="007809F4">
        <w:rPr>
          <w:rFonts w:asciiTheme="minorHAnsi" w:hAnsiTheme="minorHAnsi" w:cstheme="minorHAnsi"/>
        </w:rPr>
        <w:t xml:space="preserve"> [2017] NSWCCA 119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Longworth v R</w:instrText>
      </w:r>
      <w:r w:rsidRPr="007809F4">
        <w:rPr>
          <w:rFonts w:asciiTheme="minorHAnsi" w:hAnsiTheme="minorHAnsi" w:cstheme="minorHAnsi"/>
        </w:rPr>
        <w:instrText xml:space="preserve"> [2017] NSWCCA 119</w:instrText>
      </w:r>
      <w:r w:rsidRPr="00EB7F1E">
        <w:rPr>
          <w:rFonts w:asciiTheme="minorHAnsi" w:hAnsiTheme="minorHAnsi" w:cstheme="minorHAnsi"/>
        </w:rPr>
        <w:instrText xml:space="preserve">" \s "Longworth v R [2017] NSWCCA 119" \c 1 </w:instrText>
      </w:r>
      <w:r w:rsidRPr="00EB7F1E">
        <w:rPr>
          <w:rFonts w:asciiTheme="minorHAnsi" w:hAnsiTheme="minorHAnsi" w:cstheme="minorHAnsi"/>
        </w:rPr>
        <w:fldChar w:fldCharType="end"/>
      </w:r>
      <w:r w:rsidRPr="007809F4">
        <w:rPr>
          <w:rFonts w:asciiTheme="minorHAnsi" w:hAnsiTheme="minorHAnsi" w:cstheme="minorHAnsi"/>
        </w:rPr>
        <w:t xml:space="preserve">, [33]-[37].  Cf.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[105].</w:t>
      </w:r>
    </w:p>
  </w:footnote>
  <w:footnote w:id="445">
    <w:p w14:paraId="27F2EC9B" w14:textId="24F822FA" w:rsidR="00D44BCF" w:rsidRPr="007809F4" w:rsidRDefault="00D44BCF">
      <w:pPr>
        <w:pStyle w:val="FootnoteText"/>
        <w:ind w:left="426" w:hanging="426"/>
        <w:jc w:val="both"/>
        <w:rPr>
          <w:rFonts w:asciiTheme="minorHAnsi" w:hAnsiTheme="minorHAnsi" w:cstheme="minorHAnsi"/>
          <w:i/>
        </w:rPr>
      </w:pPr>
      <w:r w:rsidRPr="007809F4">
        <w:rPr>
          <w:rStyle w:val="FootnoteReference"/>
          <w:rFonts w:asciiTheme="minorHAnsi" w:hAnsiTheme="minorHAnsi" w:cstheme="minorHAnsi"/>
          <w:sz w:val="20"/>
          <w:vertAlign w:val="superscript"/>
        </w:rPr>
        <w:footnoteRef/>
      </w:r>
      <w:r w:rsidRPr="007809F4">
        <w:rPr>
          <w:rStyle w:val="FootnoteReference"/>
          <w:rFonts w:asciiTheme="minorHAnsi" w:hAnsiTheme="minorHAnsi" w:cstheme="minorHAnsi"/>
          <w:sz w:val="20"/>
          <w:vertAlign w:val="superscript"/>
        </w:rPr>
        <w:t xml:space="preserve"> </w:t>
      </w:r>
      <w:r w:rsidRPr="007809F4">
        <w:rPr>
          <w:rFonts w:asciiTheme="minorHAnsi" w:hAnsiTheme="minorHAnsi" w:cstheme="minorHAnsi"/>
        </w:rPr>
        <w:tab/>
      </w:r>
      <w:r w:rsidRPr="007809F4">
        <w:rPr>
          <w:rFonts w:asciiTheme="minorHAnsi" w:hAnsiTheme="minorHAnsi" w:cstheme="minorHAnsi"/>
          <w:i/>
        </w:rPr>
        <w:t xml:space="preserve">Crawley v R </w:t>
      </w:r>
      <w:r w:rsidRPr="007809F4">
        <w:rPr>
          <w:rFonts w:asciiTheme="minorHAnsi" w:hAnsiTheme="minorHAnsi" w:cstheme="minorHAnsi"/>
        </w:rPr>
        <w:t>(1981) 36 ALR 241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Crawley v R </w:instrText>
      </w:r>
      <w:r w:rsidRPr="007809F4">
        <w:rPr>
          <w:rFonts w:asciiTheme="minorHAnsi" w:hAnsiTheme="minorHAnsi" w:cstheme="minorHAnsi"/>
        </w:rPr>
        <w:instrText>(1981) 36 ALR 241</w:instrText>
      </w:r>
      <w:r w:rsidRPr="00EB7F1E">
        <w:rPr>
          <w:rFonts w:asciiTheme="minorHAnsi" w:hAnsiTheme="minorHAnsi" w:cstheme="minorHAnsi"/>
        </w:rPr>
        <w:instrText xml:space="preserve">" \s "Crawley v R (1981) 36 ALR 241" \c 1 </w:instrText>
      </w:r>
      <w:r w:rsidRPr="00EB7F1E">
        <w:rPr>
          <w:rFonts w:asciiTheme="minorHAnsi" w:hAnsiTheme="minorHAnsi" w:cstheme="minorHAnsi"/>
        </w:rPr>
        <w:fldChar w:fldCharType="end"/>
      </w:r>
      <w:r w:rsidRPr="007809F4">
        <w:rPr>
          <w:rFonts w:asciiTheme="minorHAnsi" w:hAnsiTheme="minorHAnsi" w:cstheme="minorHAnsi"/>
        </w:rPr>
        <w:t>, 244, 247–8, 255;</w:t>
      </w:r>
      <w:r w:rsidRPr="007809F4">
        <w:rPr>
          <w:rFonts w:asciiTheme="minorHAnsi" w:hAnsiTheme="minorHAnsi" w:cstheme="minorHAnsi"/>
          <w:i/>
        </w:rPr>
        <w:t xml:space="preserve"> R v Cockerell</w:t>
      </w:r>
      <w:r w:rsidRPr="007809F4">
        <w:rPr>
          <w:rFonts w:asciiTheme="minorHAnsi" w:hAnsiTheme="minorHAnsi" w:cstheme="minorHAnsi"/>
        </w:rPr>
        <w:t xml:space="preserve"> [2001] VSCA 239</w:t>
      </w:r>
      <w:r w:rsidRPr="00EB7F1E">
        <w:rPr>
          <w:rFonts w:asciiTheme="minorHAnsi" w:hAnsiTheme="minorHAnsi" w:cstheme="minorHAnsi"/>
        </w:rPr>
        <w:fldChar w:fldCharType="begin"/>
      </w:r>
      <w:r w:rsidRPr="007809F4">
        <w:rPr>
          <w:rFonts w:asciiTheme="minorHAnsi" w:hAnsiTheme="minorHAnsi" w:cstheme="minorHAnsi"/>
        </w:rPr>
        <w:instrText xml:space="preserve"> TA \s "R v Cockerell [2001] VSCA 239" </w:instrText>
      </w:r>
      <w:r w:rsidRPr="00EB7F1E">
        <w:rPr>
          <w:rFonts w:asciiTheme="minorHAnsi" w:hAnsiTheme="minorHAnsi" w:cstheme="minorHAnsi"/>
        </w:rPr>
        <w:fldChar w:fldCharType="end"/>
      </w:r>
      <w:r w:rsidRPr="007809F4">
        <w:rPr>
          <w:rFonts w:asciiTheme="minorHAnsi" w:hAnsiTheme="minorHAnsi" w:cstheme="minorHAnsi"/>
        </w:rPr>
        <w:t xml:space="preserve">, [10]; </w:t>
      </w:r>
      <w:r w:rsidRPr="007809F4">
        <w:rPr>
          <w:rFonts w:asciiTheme="minorHAnsi" w:hAnsiTheme="minorHAnsi" w:cstheme="minorHAnsi"/>
          <w:i/>
        </w:rPr>
        <w:t>R v Melrose</w:t>
      </w:r>
      <w:r w:rsidRPr="007809F4">
        <w:rPr>
          <w:rFonts w:asciiTheme="minorHAnsi" w:hAnsiTheme="minorHAnsi" w:cstheme="minorHAnsi"/>
        </w:rPr>
        <w:t xml:space="preserve"> [2016] QCA 202</w:t>
      </w:r>
      <w:r w:rsidRPr="00EB7F1E">
        <w:rPr>
          <w:rFonts w:asciiTheme="minorHAnsi" w:hAnsiTheme="minorHAnsi" w:cstheme="minorHAnsi"/>
        </w:rPr>
        <w:fldChar w:fldCharType="begin"/>
      </w:r>
      <w:r w:rsidRPr="007809F4">
        <w:rPr>
          <w:rFonts w:asciiTheme="minorHAnsi" w:hAnsiTheme="minorHAnsi" w:cstheme="minorHAnsi"/>
        </w:rPr>
        <w:instrText xml:space="preserve"> TA \s "R v Melrose [2016] QCA 202" </w:instrText>
      </w:r>
      <w:r w:rsidRPr="00EB7F1E">
        <w:rPr>
          <w:rFonts w:asciiTheme="minorHAnsi" w:hAnsiTheme="minorHAnsi" w:cstheme="minorHAnsi"/>
        </w:rPr>
        <w:fldChar w:fldCharType="end"/>
      </w:r>
      <w:r w:rsidRPr="007809F4">
        <w:rPr>
          <w:rFonts w:asciiTheme="minorHAnsi" w:hAnsiTheme="minorHAnsi" w:cstheme="minorHAnsi"/>
        </w:rPr>
        <w:t>, [25]-[27]</w:t>
      </w:r>
      <w:r w:rsidRPr="00EB7F1E">
        <w:rPr>
          <w:rFonts w:asciiTheme="minorHAnsi" w:hAnsiTheme="minorHAnsi" w:cstheme="minorHAnsi"/>
        </w:rPr>
        <w:fldChar w:fldCharType="begin"/>
      </w:r>
      <w:r w:rsidRPr="007809F4">
        <w:rPr>
          <w:rFonts w:asciiTheme="minorHAnsi" w:hAnsiTheme="minorHAnsi" w:cstheme="minorHAnsi"/>
        </w:rPr>
        <w:instrText xml:space="preserve">  "Zhou v The Queen [2014] VSCA 123" </w:instrText>
      </w:r>
      <w:r w:rsidRPr="00EB7F1E">
        <w:rPr>
          <w:rFonts w:asciiTheme="minorHAnsi" w:hAnsiTheme="minorHAnsi" w:cstheme="minorHAnsi"/>
        </w:rPr>
        <w:fldChar w:fldCharType="end"/>
      </w:r>
      <w:r w:rsidRPr="007809F4">
        <w:rPr>
          <w:rFonts w:asciiTheme="minorHAnsi" w:hAnsiTheme="minorHAnsi" w:cstheme="minorHAnsi"/>
        </w:rPr>
        <w:t xml:space="preserve">.  But, in relation to the sentencing of federal offenders, see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which is discussed below.</w:t>
      </w:r>
    </w:p>
  </w:footnote>
  <w:footnote w:id="446">
    <w:p w14:paraId="5D15DC2E" w14:textId="3125D67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Merrett</w:t>
      </w:r>
      <w:r w:rsidRPr="007809F4">
        <w:rPr>
          <w:rFonts w:asciiTheme="minorHAnsi" w:hAnsiTheme="minorHAnsi" w:cstheme="minorHAnsi"/>
        </w:rPr>
        <w:t xml:space="preserve"> (2007) 14 VR 392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Merrett</w:instrText>
      </w:r>
      <w:r w:rsidRPr="007809F4">
        <w:rPr>
          <w:rFonts w:asciiTheme="minorHAnsi" w:hAnsiTheme="minorHAnsi" w:cstheme="minorHAnsi"/>
        </w:rPr>
        <w:instrText xml:space="preserve"> (2007) 14 VR 392</w:instrText>
      </w:r>
      <w:r w:rsidRPr="00EB7F1E">
        <w:rPr>
          <w:rFonts w:asciiTheme="minorHAnsi" w:hAnsiTheme="minorHAnsi" w:cstheme="minorHAnsi"/>
        </w:rPr>
        <w:instrText xml:space="preserve">" \s "R v Merrett (2007) 14 VR 392" \c 1 </w:instrText>
      </w:r>
      <w:r w:rsidRPr="00EB7F1E">
        <w:rPr>
          <w:rFonts w:asciiTheme="minorHAnsi" w:hAnsiTheme="minorHAnsi" w:cstheme="minorHAnsi"/>
        </w:rPr>
        <w:fldChar w:fldCharType="end"/>
      </w:r>
      <w:r w:rsidRPr="007809F4">
        <w:rPr>
          <w:rFonts w:asciiTheme="minorHAnsi" w:hAnsiTheme="minorHAnsi" w:cstheme="minorHAnsi"/>
        </w:rPr>
        <w:t xml:space="preserve">, [34]; </w:t>
      </w:r>
      <w:r w:rsidRPr="007809F4">
        <w:rPr>
          <w:rFonts w:asciiTheme="minorHAnsi" w:hAnsiTheme="minorHAnsi" w:cstheme="minorHAnsi"/>
          <w:i/>
        </w:rPr>
        <w:t>Day v R</w:t>
      </w:r>
      <w:r w:rsidRPr="007809F4">
        <w:rPr>
          <w:rFonts w:asciiTheme="minorHAnsi" w:hAnsiTheme="minorHAnsi" w:cstheme="minorHAnsi"/>
        </w:rPr>
        <w:t xml:space="preserve"> [2011] VSCA 243</w:t>
      </w:r>
      <w:r w:rsidRPr="00EB7F1E">
        <w:rPr>
          <w:rFonts w:asciiTheme="minorHAnsi" w:hAnsiTheme="minorHAnsi" w:cstheme="minorHAnsi"/>
        </w:rPr>
        <w:fldChar w:fldCharType="begin"/>
      </w:r>
      <w:r w:rsidRPr="007809F4">
        <w:rPr>
          <w:rFonts w:asciiTheme="minorHAnsi" w:hAnsiTheme="minorHAnsi" w:cstheme="minorHAnsi"/>
        </w:rPr>
        <w:instrText xml:space="preserve"> TA \s "Day v R [2011] VSCA 243" </w:instrText>
      </w:r>
      <w:r w:rsidRPr="00EB7F1E">
        <w:rPr>
          <w:rFonts w:asciiTheme="minorHAnsi" w:hAnsiTheme="minorHAnsi" w:cstheme="minorHAnsi"/>
        </w:rPr>
        <w:fldChar w:fldCharType="end"/>
      </w:r>
      <w:r w:rsidRPr="007809F4">
        <w:rPr>
          <w:rFonts w:asciiTheme="minorHAnsi" w:hAnsiTheme="minorHAnsi" w:cstheme="minorHAnsi"/>
        </w:rPr>
        <w:t xml:space="preserve">, [19]-[21]; </w:t>
      </w:r>
      <w:r w:rsidRPr="007809F4">
        <w:rPr>
          <w:rFonts w:asciiTheme="minorHAnsi" w:hAnsiTheme="minorHAnsi" w:cstheme="minorHAnsi"/>
          <w:i/>
        </w:rPr>
        <w:t>Arthars v R</w:t>
      </w:r>
      <w:r w:rsidRPr="007809F4">
        <w:rPr>
          <w:rFonts w:asciiTheme="minorHAnsi" w:hAnsiTheme="minorHAnsi" w:cstheme="minorHAnsi"/>
        </w:rPr>
        <w:t xml:space="preserve"> (2013) 39 VR 613</w:t>
      </w:r>
      <w:r w:rsidRPr="00EB7F1E">
        <w:rPr>
          <w:rFonts w:asciiTheme="minorHAnsi" w:hAnsiTheme="minorHAnsi" w:cstheme="minorHAnsi"/>
        </w:rPr>
        <w:fldChar w:fldCharType="begin"/>
      </w:r>
      <w:r w:rsidRPr="007809F4">
        <w:rPr>
          <w:rFonts w:asciiTheme="minorHAnsi" w:hAnsiTheme="minorHAnsi" w:cstheme="minorHAnsi"/>
        </w:rPr>
        <w:instrText xml:space="preserve"> TA \s "Arthars v R (2013) 39 VR 613" </w:instrText>
      </w:r>
      <w:r w:rsidRPr="00EB7F1E">
        <w:rPr>
          <w:rFonts w:asciiTheme="minorHAnsi" w:hAnsiTheme="minorHAnsi" w:cstheme="minorHAnsi"/>
        </w:rPr>
        <w:fldChar w:fldCharType="end"/>
      </w:r>
      <w:r w:rsidRPr="007809F4">
        <w:rPr>
          <w:rFonts w:asciiTheme="minorHAnsi" w:hAnsiTheme="minorHAnsi" w:cstheme="minorHAnsi"/>
        </w:rPr>
        <w:t>, [29]-[30];</w:t>
      </w:r>
      <w:r w:rsidRPr="007809F4">
        <w:rPr>
          <w:rFonts w:asciiTheme="minorHAnsi" w:hAnsiTheme="minorHAnsi" w:cstheme="minorHAnsi"/>
          <w:i/>
        </w:rPr>
        <w:t xml:space="preserve"> Zhou v R</w:t>
      </w:r>
      <w:r w:rsidRPr="007809F4">
        <w:rPr>
          <w:rFonts w:asciiTheme="minorHAnsi" w:hAnsiTheme="minorHAnsi" w:cstheme="minorHAnsi"/>
        </w:rPr>
        <w:t xml:space="preserve"> [2014] VSCA 123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Zhou v R</w:instrText>
      </w:r>
      <w:r w:rsidRPr="007809F4">
        <w:rPr>
          <w:rFonts w:asciiTheme="minorHAnsi" w:hAnsiTheme="minorHAnsi" w:cstheme="minorHAnsi"/>
        </w:rPr>
        <w:instrText xml:space="preserve"> [2014] VSCA 123" \s "Zhou v R [2014] VSCA 123" \c 1 </w:instrText>
      </w:r>
      <w:r w:rsidRPr="00EB7F1E">
        <w:rPr>
          <w:rFonts w:asciiTheme="minorHAnsi" w:hAnsiTheme="minorHAnsi" w:cstheme="minorHAnsi"/>
        </w:rPr>
        <w:fldChar w:fldCharType="end"/>
      </w:r>
      <w:r w:rsidRPr="007809F4">
        <w:rPr>
          <w:rFonts w:asciiTheme="minorHAnsi" w:hAnsiTheme="minorHAnsi" w:cstheme="minorHAnsi"/>
        </w:rPr>
        <w:t>, [22]</w:t>
      </w:r>
      <w:r w:rsidRPr="00EB7F1E">
        <w:rPr>
          <w:rFonts w:asciiTheme="minorHAnsi" w:hAnsiTheme="minorHAnsi" w:cstheme="minorHAnsi"/>
        </w:rPr>
        <w:fldChar w:fldCharType="begin"/>
      </w:r>
      <w:r w:rsidRPr="007809F4">
        <w:rPr>
          <w:rFonts w:asciiTheme="minorHAnsi" w:hAnsiTheme="minorHAnsi" w:cstheme="minorHAnsi"/>
        </w:rPr>
        <w:instrText xml:space="preserve">  "Zhou v The Queen [2014] VSCA 123" </w:instrText>
      </w:r>
      <w:r w:rsidRPr="00EB7F1E">
        <w:rPr>
          <w:rFonts w:asciiTheme="minorHAnsi" w:hAnsiTheme="minorHAnsi" w:cstheme="minorHAnsi"/>
        </w:rPr>
        <w:fldChar w:fldCharType="end"/>
      </w:r>
      <w:r w:rsidRPr="007809F4">
        <w:rPr>
          <w:rFonts w:asciiTheme="minorHAnsi" w:hAnsiTheme="minorHAnsi" w:cstheme="minorHAnsi"/>
        </w:rPr>
        <w:t xml:space="preserve">.  Cf.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[89]-[100].</w:t>
      </w:r>
    </w:p>
  </w:footnote>
  <w:footnote w:id="447">
    <w:p w14:paraId="4EC0A947" w14:textId="72ACA4D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Bell v R</w:t>
      </w:r>
      <w:r w:rsidRPr="007809F4">
        <w:rPr>
          <w:rFonts w:asciiTheme="minorHAnsi" w:hAnsiTheme="minorHAnsi" w:cstheme="minorHAnsi"/>
        </w:rPr>
        <w:t xml:space="preserve"> [2001] WASCA 40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Bell v R</w:instrText>
      </w:r>
      <w:r w:rsidRPr="007809F4">
        <w:rPr>
          <w:rFonts w:asciiTheme="minorHAnsi" w:hAnsiTheme="minorHAnsi" w:cstheme="minorHAnsi"/>
        </w:rPr>
        <w:instrText xml:space="preserve"> [2001] WASCA 40</w:instrText>
      </w:r>
      <w:r w:rsidRPr="00EB7F1E">
        <w:rPr>
          <w:rFonts w:asciiTheme="minorHAnsi" w:hAnsiTheme="minorHAnsi" w:cstheme="minorHAnsi"/>
        </w:rPr>
        <w:instrText xml:space="preserve">" \s "Bell v R [2001] WASCA 40" \c 1 </w:instrText>
      </w:r>
      <w:r w:rsidRPr="00EB7F1E">
        <w:rPr>
          <w:rFonts w:asciiTheme="minorHAnsi" w:hAnsiTheme="minorHAnsi" w:cstheme="minorHAnsi"/>
        </w:rPr>
        <w:fldChar w:fldCharType="end"/>
      </w:r>
      <w:r w:rsidRPr="007809F4">
        <w:rPr>
          <w:rFonts w:asciiTheme="minorHAnsi" w:hAnsiTheme="minorHAnsi" w:cstheme="minorHAnsi"/>
        </w:rPr>
        <w:t>, [8].</w:t>
      </w:r>
    </w:p>
  </w:footnote>
  <w:footnote w:id="448">
    <w:p w14:paraId="64D220E6" w14:textId="684C4FB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Sabra v R</w:t>
      </w:r>
      <w:r w:rsidRPr="007809F4">
        <w:rPr>
          <w:rFonts w:asciiTheme="minorHAnsi" w:hAnsiTheme="minorHAnsi" w:cstheme="minorHAnsi"/>
        </w:rPr>
        <w:t xml:space="preserve"> [2015] NSWCCA 38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Sabra v R</w:instrText>
      </w:r>
      <w:r w:rsidRPr="007809F4">
        <w:rPr>
          <w:rFonts w:asciiTheme="minorHAnsi" w:hAnsiTheme="minorHAnsi" w:cstheme="minorHAnsi"/>
        </w:rPr>
        <w:instrText xml:space="preserve"> [2015] NSWCCA 38</w:instrText>
      </w:r>
      <w:r w:rsidRPr="00EB7F1E">
        <w:rPr>
          <w:rFonts w:asciiTheme="minorHAnsi" w:hAnsiTheme="minorHAnsi" w:cstheme="minorHAnsi"/>
        </w:rPr>
        <w:instrText xml:space="preserve">" \s "Sabra v R [2015] NSWCCA 38" \c 1 </w:instrText>
      </w:r>
      <w:r w:rsidRPr="00EB7F1E">
        <w:rPr>
          <w:rFonts w:asciiTheme="minorHAnsi" w:hAnsiTheme="minorHAnsi" w:cstheme="minorHAnsi"/>
        </w:rPr>
        <w:fldChar w:fldCharType="end"/>
      </w:r>
      <w:r w:rsidRPr="007809F4">
        <w:rPr>
          <w:rFonts w:asciiTheme="minorHAnsi" w:hAnsiTheme="minorHAnsi" w:cstheme="minorHAnsi"/>
        </w:rPr>
        <w:t xml:space="preserve">, [47]; </w:t>
      </w:r>
      <w:r w:rsidRPr="007809F4">
        <w:rPr>
          <w:rFonts w:asciiTheme="minorHAnsi" w:hAnsiTheme="minorHAnsi" w:cstheme="minorHAnsi"/>
          <w:i/>
        </w:rPr>
        <w:t>Hill v R</w:t>
      </w:r>
      <w:r w:rsidRPr="007809F4">
        <w:rPr>
          <w:rFonts w:asciiTheme="minorHAnsi" w:hAnsiTheme="minorHAnsi" w:cstheme="minorHAnsi"/>
        </w:rPr>
        <w:t xml:space="preserve"> [2017] NSWCCA 136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Hill v R</w:instrText>
      </w:r>
      <w:r w:rsidRPr="007809F4">
        <w:rPr>
          <w:rFonts w:asciiTheme="minorHAnsi" w:hAnsiTheme="minorHAnsi" w:cstheme="minorHAnsi"/>
        </w:rPr>
        <w:instrText xml:space="preserve"> [2017] NSWCCA 136</w:instrText>
      </w:r>
      <w:r w:rsidRPr="00EB7F1E">
        <w:rPr>
          <w:rFonts w:asciiTheme="minorHAnsi" w:hAnsiTheme="minorHAnsi" w:cstheme="minorHAnsi"/>
        </w:rPr>
        <w:instrText xml:space="preserve">" \s "Hill v R [2017] NSWCCA 136" \c 1 </w:instrText>
      </w:r>
      <w:r w:rsidRPr="00EB7F1E">
        <w:rPr>
          <w:rFonts w:asciiTheme="minorHAnsi" w:hAnsiTheme="minorHAnsi" w:cstheme="minorHAnsi"/>
        </w:rPr>
        <w:fldChar w:fldCharType="end"/>
      </w:r>
      <w:r w:rsidRPr="007809F4">
        <w:rPr>
          <w:rFonts w:asciiTheme="minorHAnsi" w:hAnsiTheme="minorHAnsi" w:cstheme="minorHAnsi"/>
        </w:rPr>
        <w:t>, [226].</w:t>
      </w:r>
    </w:p>
  </w:footnote>
  <w:footnote w:id="449">
    <w:p w14:paraId="52C45D17" w14:textId="1EF300E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w:t>
      </w:r>
      <w:r w:rsidRPr="007809F4">
        <w:rPr>
          <w:rFonts w:asciiTheme="minorHAnsi" w:hAnsiTheme="minorHAnsi" w:cstheme="minorHAnsi"/>
          <w:i/>
        </w:rPr>
        <w:t>R v Schwabegger</w:t>
      </w:r>
      <w:r w:rsidRPr="007809F4">
        <w:rPr>
          <w:rFonts w:asciiTheme="minorHAnsi" w:hAnsiTheme="minorHAnsi" w:cstheme="minorHAnsi"/>
        </w:rPr>
        <w:t xml:space="preserve"> [1998] 4 VR 649</w:t>
      </w:r>
      <w:r w:rsidRPr="00EB7F1E">
        <w:rPr>
          <w:rFonts w:asciiTheme="minorHAnsi" w:hAnsiTheme="minorHAnsi" w:cstheme="minorHAnsi"/>
        </w:rPr>
        <w:fldChar w:fldCharType="begin"/>
      </w:r>
      <w:r w:rsidRPr="007809F4">
        <w:rPr>
          <w:rFonts w:asciiTheme="minorHAnsi" w:hAnsiTheme="minorHAnsi" w:cstheme="minorHAnsi"/>
        </w:rPr>
        <w:instrText xml:space="preserve"> TA \s "R v Schwabegger [1998] 4 VR 649"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Kearnes</w:t>
      </w:r>
      <w:r w:rsidRPr="007809F4">
        <w:rPr>
          <w:rFonts w:asciiTheme="minorHAnsi" w:hAnsiTheme="minorHAnsi" w:cstheme="minorHAnsi"/>
        </w:rPr>
        <w:t xml:space="preserve"> [2003] NSWCCA 367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Kearnes</w:instrText>
      </w:r>
      <w:r w:rsidRPr="007809F4">
        <w:rPr>
          <w:rFonts w:asciiTheme="minorHAnsi" w:hAnsiTheme="minorHAnsi" w:cstheme="minorHAnsi"/>
        </w:rPr>
        <w:instrText xml:space="preserve"> [2003] NSWCCA 367</w:instrText>
      </w:r>
      <w:r w:rsidRPr="00EB7F1E">
        <w:rPr>
          <w:rFonts w:asciiTheme="minorHAnsi" w:hAnsiTheme="minorHAnsi" w:cstheme="minorHAnsi"/>
        </w:rPr>
        <w:instrText xml:space="preserve">" \s "R v Kearnes [2003] NSWCCA 367"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Style w:val="verdana"/>
          <w:rFonts w:asciiTheme="minorHAnsi" w:hAnsiTheme="minorHAnsi" w:cstheme="minorHAnsi"/>
        </w:rPr>
        <w:t xml:space="preserve"> </w:t>
      </w:r>
      <w:r w:rsidRPr="007809F4">
        <w:rPr>
          <w:rFonts w:asciiTheme="minorHAnsi" w:hAnsiTheme="minorHAnsi" w:cstheme="minorHAnsi"/>
          <w:i/>
        </w:rPr>
        <w:t>Prehn v R</w:t>
      </w:r>
      <w:r w:rsidRPr="007809F4">
        <w:rPr>
          <w:rFonts w:asciiTheme="minorHAnsi" w:hAnsiTheme="minorHAnsi" w:cstheme="minorHAnsi"/>
        </w:rPr>
        <w:t xml:space="preserve"> [2003] TASSC 55</w:t>
      </w:r>
      <w:r w:rsidRPr="00EB7F1E">
        <w:rPr>
          <w:rFonts w:asciiTheme="minorHAnsi" w:hAnsiTheme="minorHAnsi" w:cstheme="minorHAnsi"/>
        </w:rPr>
        <w:fldChar w:fldCharType="begin"/>
      </w:r>
      <w:r w:rsidRPr="007809F4">
        <w:rPr>
          <w:rFonts w:asciiTheme="minorHAnsi" w:hAnsiTheme="minorHAnsi" w:cstheme="minorHAnsi"/>
        </w:rPr>
        <w:instrText xml:space="preserve"> TA \s "Prehn v R [2003] TASSC 55"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Scook v R </w:t>
      </w:r>
      <w:r w:rsidRPr="007809F4">
        <w:rPr>
          <w:rFonts w:asciiTheme="minorHAnsi" w:hAnsiTheme="minorHAnsi" w:cstheme="minorHAnsi"/>
        </w:rPr>
        <w:t>[2008] WASCA 114</w:t>
      </w:r>
      <w:r w:rsidRPr="00EB7F1E">
        <w:rPr>
          <w:rFonts w:asciiTheme="minorHAnsi" w:hAnsiTheme="minorHAnsi" w:cstheme="minorHAnsi"/>
        </w:rPr>
        <w:fldChar w:fldCharType="begin"/>
      </w:r>
      <w:r w:rsidRPr="007809F4">
        <w:rPr>
          <w:rFonts w:asciiTheme="minorHAnsi" w:hAnsiTheme="minorHAnsi" w:cstheme="minorHAnsi"/>
        </w:rPr>
        <w:instrText xml:space="preserve"> TA \s "Scook v R [2008] WASCA 114"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Giourtalis v R</w:t>
      </w:r>
      <w:r w:rsidRPr="007809F4">
        <w:rPr>
          <w:rFonts w:asciiTheme="minorHAnsi" w:hAnsiTheme="minorHAnsi" w:cstheme="minorHAnsi"/>
        </w:rPr>
        <w:t xml:space="preserve"> [2013] NSWCCA 216</w:t>
      </w:r>
      <w:r w:rsidRPr="00EB7F1E">
        <w:rPr>
          <w:rFonts w:asciiTheme="minorHAnsi" w:hAnsiTheme="minorHAnsi" w:cstheme="minorHAnsi"/>
        </w:rPr>
        <w:fldChar w:fldCharType="begin"/>
      </w:r>
      <w:r w:rsidRPr="007809F4">
        <w:rPr>
          <w:rFonts w:asciiTheme="minorHAnsi" w:hAnsiTheme="minorHAnsi" w:cstheme="minorHAnsi"/>
        </w:rPr>
        <w:instrText xml:space="preserve"> TA \s "Giourtalis v R [2013] NSWCCA 216"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Style w:val="ssl2"/>
          <w:rFonts w:asciiTheme="minorHAnsi" w:hAnsiTheme="minorHAnsi" w:cstheme="minorHAnsi"/>
        </w:rPr>
        <w:t xml:space="preserve"> </w:t>
      </w:r>
      <w:r w:rsidRPr="007809F4">
        <w:rPr>
          <w:rFonts w:asciiTheme="minorHAnsi" w:hAnsiTheme="minorHAnsi" w:cstheme="minorHAnsi"/>
          <w:i/>
        </w:rPr>
        <w:t>Zhou v R</w:t>
      </w:r>
      <w:r w:rsidRPr="007809F4">
        <w:rPr>
          <w:rFonts w:asciiTheme="minorHAnsi" w:hAnsiTheme="minorHAnsi" w:cstheme="minorHAnsi"/>
        </w:rPr>
        <w:t xml:space="preserve"> [2014] VSCA 123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Zhou v R</w:instrText>
      </w:r>
      <w:r w:rsidRPr="007809F4">
        <w:rPr>
          <w:rFonts w:asciiTheme="minorHAnsi" w:hAnsiTheme="minorHAnsi" w:cstheme="minorHAnsi"/>
        </w:rPr>
        <w:instrText xml:space="preserve"> [2014] VSCA 123" \s "Zhou v R [2014] VSCA 123"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Sergi v DPP (Cth)</w:t>
      </w:r>
      <w:r w:rsidRPr="007809F4">
        <w:rPr>
          <w:rFonts w:asciiTheme="minorHAnsi" w:hAnsiTheme="minorHAnsi" w:cstheme="minorHAnsi"/>
        </w:rPr>
        <w:t xml:space="preserve"> [2015] VSCA 181</w:t>
      </w:r>
      <w:r w:rsidRPr="00EB7F1E">
        <w:rPr>
          <w:rFonts w:asciiTheme="minorHAnsi" w:hAnsiTheme="minorHAnsi" w:cstheme="minorHAnsi"/>
        </w:rPr>
        <w:fldChar w:fldCharType="begin"/>
      </w:r>
      <w:r w:rsidRPr="007809F4">
        <w:rPr>
          <w:rFonts w:asciiTheme="minorHAnsi" w:hAnsiTheme="minorHAnsi" w:cstheme="minorHAnsi"/>
        </w:rPr>
        <w:instrText xml:space="preserve"> TA \s "Sergi v DPP (Cth) [2015] VSCA 181"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Sabra v R</w:t>
      </w:r>
      <w:r w:rsidRPr="007809F4">
        <w:rPr>
          <w:rFonts w:asciiTheme="minorHAnsi" w:hAnsiTheme="minorHAnsi" w:cstheme="minorHAnsi"/>
        </w:rPr>
        <w:t xml:space="preserve"> [2015] NSWCCA 38</w:t>
      </w:r>
      <w:r w:rsidRPr="00EB7F1E">
        <w:rPr>
          <w:rFonts w:asciiTheme="minorHAnsi" w:hAnsiTheme="minorHAnsi" w:cstheme="minorHAnsi"/>
        </w:rPr>
        <w:fldChar w:fldCharType="begin"/>
      </w:r>
      <w:r w:rsidRPr="007809F4">
        <w:rPr>
          <w:rFonts w:asciiTheme="minorHAnsi" w:hAnsiTheme="minorHAnsi" w:cstheme="minorHAnsi"/>
        </w:rPr>
        <w:instrText xml:space="preserve"> TA \s "Sabra v R [2015] NSWCCA 38"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Melrose</w:t>
      </w:r>
      <w:r w:rsidRPr="007809F4">
        <w:rPr>
          <w:rFonts w:asciiTheme="minorHAnsi" w:hAnsiTheme="minorHAnsi" w:cstheme="minorHAnsi"/>
        </w:rPr>
        <w:t xml:space="preserve"> [2016] QCA 202</w:t>
      </w:r>
      <w:r w:rsidRPr="00EB7F1E">
        <w:rPr>
          <w:rFonts w:asciiTheme="minorHAnsi" w:hAnsiTheme="minorHAnsi" w:cstheme="minorHAnsi"/>
        </w:rPr>
        <w:fldChar w:fldCharType="begin"/>
      </w:r>
      <w:r w:rsidRPr="007809F4">
        <w:rPr>
          <w:rFonts w:asciiTheme="minorHAnsi" w:hAnsiTheme="minorHAnsi" w:cstheme="minorHAnsi"/>
        </w:rPr>
        <w:instrText xml:space="preserve"> TA \s "R v Melrose [2016] QCA 202"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50">
    <w:p w14:paraId="11C10DB3" w14:textId="6B76393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Scook v R </w:t>
      </w:r>
      <w:r w:rsidRPr="007809F4">
        <w:rPr>
          <w:rFonts w:asciiTheme="minorHAnsi" w:hAnsiTheme="minorHAnsi" w:cstheme="minorHAnsi"/>
        </w:rPr>
        <w:t>[2008] WASCA 114</w:t>
      </w:r>
      <w:r w:rsidRPr="00EB7F1E">
        <w:rPr>
          <w:rFonts w:asciiTheme="minorHAnsi" w:hAnsiTheme="minorHAnsi" w:cstheme="minorHAnsi"/>
        </w:rPr>
        <w:fldChar w:fldCharType="begin"/>
      </w:r>
      <w:r w:rsidRPr="007809F4">
        <w:rPr>
          <w:rFonts w:asciiTheme="minorHAnsi" w:hAnsiTheme="minorHAnsi" w:cstheme="minorHAnsi"/>
        </w:rPr>
        <w:instrText xml:space="preserve"> TA \s "Scook v R [2008] WASCA 114" </w:instrText>
      </w:r>
      <w:r w:rsidRPr="00EB7F1E">
        <w:rPr>
          <w:rFonts w:asciiTheme="minorHAnsi" w:hAnsiTheme="minorHAnsi" w:cstheme="minorHAnsi"/>
        </w:rPr>
        <w:fldChar w:fldCharType="end"/>
      </w:r>
      <w:r w:rsidRPr="007809F4">
        <w:rPr>
          <w:rFonts w:asciiTheme="minorHAnsi" w:hAnsiTheme="minorHAnsi" w:cstheme="minorHAnsi"/>
        </w:rPr>
        <w:t>, [16].</w:t>
      </w:r>
    </w:p>
  </w:footnote>
  <w:footnote w:id="451">
    <w:p w14:paraId="5D609F06" w14:textId="317CEB2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52">
    <w:p w14:paraId="1B424A77" w14:textId="20556B9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Basten JA instanced paragraphs (fa), (g), (h), (m) and (n) of s 16A(2):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[96], [100].</w:t>
      </w:r>
    </w:p>
  </w:footnote>
  <w:footnote w:id="453">
    <w:p w14:paraId="798924B7" w14:textId="7C0BBA5B" w:rsidR="00D44BCF" w:rsidRPr="007809F4" w:rsidRDefault="00D44BCF">
      <w:pPr>
        <w:pStyle w:val="FootnoteText"/>
        <w:ind w:left="426" w:hanging="426"/>
        <w:jc w:val="both"/>
        <w:rPr>
          <w:rFonts w:asciiTheme="minorHAnsi" w:hAnsiTheme="minorHAnsi" w:cstheme="minorHAnsi"/>
          <w:i/>
        </w:rPr>
      </w:pPr>
      <w:r w:rsidRPr="007809F4">
        <w:rPr>
          <w:rStyle w:val="FootnoteReference"/>
          <w:rFonts w:asciiTheme="minorHAnsi" w:hAnsiTheme="minorHAnsi" w:cstheme="minorHAnsi"/>
          <w:sz w:val="20"/>
          <w:vertAlign w:val="superscript"/>
        </w:rPr>
        <w:footnoteRef/>
      </w:r>
      <w:r w:rsidRPr="007809F4">
        <w:rPr>
          <w:rStyle w:val="FootnoteReference"/>
          <w:rFonts w:asciiTheme="minorHAnsi" w:hAnsiTheme="minorHAnsi" w:cstheme="minorHAnsi"/>
          <w:sz w:val="20"/>
          <w:vertAlign w:val="superscript"/>
        </w:rPr>
        <w:t xml:space="preserve"> </w:t>
      </w:r>
      <w:r w:rsidRPr="007809F4">
        <w:rPr>
          <w:rFonts w:asciiTheme="minorHAnsi" w:hAnsiTheme="minorHAnsi" w:cstheme="minorHAnsi"/>
        </w:rPr>
        <w:tab/>
      </w:r>
      <w:r w:rsidRPr="007809F4">
        <w:rPr>
          <w:rFonts w:asciiTheme="minorHAnsi" w:hAnsiTheme="minorHAnsi" w:cstheme="minorHAnsi"/>
          <w:i/>
        </w:rPr>
        <w:t>R v Schwabegger</w:t>
      </w:r>
      <w:r w:rsidRPr="007809F4">
        <w:rPr>
          <w:rFonts w:asciiTheme="minorHAnsi" w:hAnsiTheme="minorHAnsi" w:cstheme="minorHAnsi"/>
        </w:rPr>
        <w:t xml:space="preserve"> [1998] 4 VR 649</w:t>
      </w:r>
      <w:r w:rsidRPr="00EB7F1E">
        <w:rPr>
          <w:rFonts w:asciiTheme="minorHAnsi" w:hAnsiTheme="minorHAnsi" w:cstheme="minorHAnsi"/>
        </w:rPr>
        <w:fldChar w:fldCharType="begin"/>
      </w:r>
      <w:r w:rsidRPr="007809F4">
        <w:rPr>
          <w:rFonts w:asciiTheme="minorHAnsi" w:hAnsiTheme="minorHAnsi" w:cstheme="minorHAnsi"/>
        </w:rPr>
        <w:instrText xml:space="preserve"> TA \s "R v Schwabegger [1998] 4 VR 649"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Scook v R </w:t>
      </w:r>
      <w:r w:rsidRPr="007809F4">
        <w:rPr>
          <w:rFonts w:asciiTheme="minorHAnsi" w:hAnsiTheme="minorHAnsi" w:cstheme="minorHAnsi"/>
        </w:rPr>
        <w:t>[2008] WASCA 114</w:t>
      </w:r>
      <w:r w:rsidRPr="00EB7F1E">
        <w:rPr>
          <w:rFonts w:asciiTheme="minorHAnsi" w:hAnsiTheme="minorHAnsi" w:cstheme="minorHAnsi"/>
        </w:rPr>
        <w:fldChar w:fldCharType="begin"/>
      </w:r>
      <w:r w:rsidRPr="007809F4">
        <w:rPr>
          <w:rFonts w:asciiTheme="minorHAnsi" w:hAnsiTheme="minorHAnsi" w:cstheme="minorHAnsi"/>
        </w:rPr>
        <w:instrText xml:space="preserve"> TA \s "Scook v R [2008] WASCA 114" </w:instrText>
      </w:r>
      <w:r w:rsidRPr="00EB7F1E">
        <w:rPr>
          <w:rFonts w:asciiTheme="minorHAnsi" w:hAnsiTheme="minorHAnsi" w:cstheme="minorHAnsi"/>
        </w:rPr>
        <w:fldChar w:fldCharType="end"/>
      </w:r>
      <w:r w:rsidRPr="007809F4">
        <w:rPr>
          <w:rFonts w:asciiTheme="minorHAnsi" w:hAnsiTheme="minorHAnsi" w:cstheme="minorHAnsi"/>
        </w:rPr>
        <w:t xml:space="preserve">, [21], [64].  See also </w:t>
      </w:r>
      <w:r w:rsidRPr="007809F4">
        <w:rPr>
          <w:rFonts w:asciiTheme="minorHAnsi" w:hAnsiTheme="minorHAnsi" w:cstheme="minorHAnsi"/>
          <w:i/>
        </w:rPr>
        <w:t xml:space="preserve">Crawley v R </w:t>
      </w:r>
      <w:r w:rsidRPr="007809F4">
        <w:rPr>
          <w:rFonts w:asciiTheme="minorHAnsi" w:hAnsiTheme="minorHAnsi" w:cstheme="minorHAnsi"/>
        </w:rPr>
        <w:t>(1981) 36 ALR 241</w:t>
      </w:r>
      <w:r w:rsidRPr="00EB7F1E">
        <w:rPr>
          <w:rFonts w:asciiTheme="minorHAnsi" w:hAnsiTheme="minorHAnsi" w:cstheme="minorHAnsi"/>
        </w:rPr>
        <w:fldChar w:fldCharType="begin"/>
      </w:r>
      <w:r w:rsidRPr="007809F4">
        <w:rPr>
          <w:rFonts w:asciiTheme="minorHAnsi" w:hAnsiTheme="minorHAnsi" w:cstheme="minorHAnsi"/>
        </w:rPr>
        <w:instrText xml:space="preserve"> TA \s "Crawley v R (1981) 36 ALR 241" </w:instrText>
      </w:r>
      <w:r w:rsidRPr="00EB7F1E">
        <w:rPr>
          <w:rFonts w:asciiTheme="minorHAnsi" w:hAnsiTheme="minorHAnsi" w:cstheme="minorHAnsi"/>
        </w:rPr>
        <w:fldChar w:fldCharType="end"/>
      </w:r>
      <w:r w:rsidRPr="007809F4">
        <w:rPr>
          <w:rFonts w:asciiTheme="minorHAnsi" w:hAnsiTheme="minorHAnsi" w:cstheme="minorHAnsi"/>
        </w:rPr>
        <w:t xml:space="preserve">, 244, 247–8, 255; </w:t>
      </w:r>
      <w:r w:rsidRPr="007809F4">
        <w:rPr>
          <w:rFonts w:asciiTheme="minorHAnsi" w:hAnsiTheme="minorHAnsi" w:cstheme="minorHAnsi"/>
          <w:i/>
        </w:rPr>
        <w:t>R v Blanco</w:t>
      </w:r>
      <w:r w:rsidRPr="007809F4">
        <w:rPr>
          <w:rFonts w:asciiTheme="minorHAnsi" w:hAnsiTheme="minorHAnsi" w:cstheme="minorHAnsi"/>
        </w:rPr>
        <w:t xml:space="preserve"> [1999] NSWCCA 121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Blanco</w:instrText>
      </w:r>
      <w:r w:rsidRPr="007809F4">
        <w:rPr>
          <w:rFonts w:asciiTheme="minorHAnsi" w:hAnsiTheme="minorHAnsi" w:cstheme="minorHAnsi"/>
        </w:rPr>
        <w:instrText xml:space="preserve"> [1999] NSWCCA 121</w:instrText>
      </w:r>
      <w:r w:rsidRPr="00EB7F1E">
        <w:rPr>
          <w:rFonts w:asciiTheme="minorHAnsi" w:hAnsiTheme="minorHAnsi" w:cstheme="minorHAnsi"/>
        </w:rPr>
        <w:instrText xml:space="preserve">" \s "R v Blanco [1999] NSWCCA 121" \c 1 </w:instrText>
      </w:r>
      <w:r w:rsidRPr="00EB7F1E">
        <w:rPr>
          <w:rFonts w:asciiTheme="minorHAnsi" w:hAnsiTheme="minorHAnsi" w:cstheme="minorHAnsi"/>
        </w:rPr>
        <w:fldChar w:fldCharType="end"/>
      </w:r>
      <w:r w:rsidRPr="007809F4">
        <w:rPr>
          <w:rFonts w:asciiTheme="minorHAnsi" w:hAnsiTheme="minorHAnsi" w:cstheme="minorHAnsi"/>
        </w:rPr>
        <w:t>, [17];</w:t>
      </w:r>
      <w:r w:rsidRPr="007809F4">
        <w:rPr>
          <w:rFonts w:asciiTheme="minorHAnsi" w:hAnsiTheme="minorHAnsi" w:cstheme="minorHAnsi"/>
          <w:i/>
        </w:rPr>
        <w:t xml:space="preserve"> R v Cockerell</w:t>
      </w:r>
      <w:r w:rsidRPr="007809F4">
        <w:rPr>
          <w:rFonts w:asciiTheme="minorHAnsi" w:hAnsiTheme="minorHAnsi" w:cstheme="minorHAnsi"/>
        </w:rPr>
        <w:t xml:space="preserve"> [2001] VSCA 239</w:t>
      </w:r>
      <w:r w:rsidRPr="00EB7F1E">
        <w:rPr>
          <w:rFonts w:asciiTheme="minorHAnsi" w:hAnsiTheme="minorHAnsi" w:cstheme="minorHAnsi"/>
        </w:rPr>
        <w:fldChar w:fldCharType="begin"/>
      </w:r>
      <w:r w:rsidRPr="007809F4">
        <w:rPr>
          <w:rFonts w:asciiTheme="minorHAnsi" w:hAnsiTheme="minorHAnsi" w:cstheme="minorHAnsi"/>
        </w:rPr>
        <w:instrText xml:space="preserve"> TA \s "R v Cockerell [2001] VSCA 239" </w:instrText>
      </w:r>
      <w:r w:rsidRPr="00EB7F1E">
        <w:rPr>
          <w:rFonts w:asciiTheme="minorHAnsi" w:hAnsiTheme="minorHAnsi" w:cstheme="minorHAnsi"/>
        </w:rPr>
        <w:fldChar w:fldCharType="end"/>
      </w:r>
      <w:r w:rsidRPr="007809F4">
        <w:rPr>
          <w:rFonts w:asciiTheme="minorHAnsi" w:hAnsiTheme="minorHAnsi" w:cstheme="minorHAnsi"/>
        </w:rPr>
        <w:t>, [10].</w:t>
      </w:r>
    </w:p>
  </w:footnote>
  <w:footnote w:id="454">
    <w:p w14:paraId="1D528B66" w14:textId="68F9251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[100].</w:t>
      </w:r>
    </w:p>
  </w:footnote>
  <w:footnote w:id="455">
    <w:p w14:paraId="02BA98E8" w14:textId="3910390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[100].</w:t>
      </w:r>
    </w:p>
  </w:footnote>
  <w:footnote w:id="456">
    <w:p w14:paraId="6822FE39" w14:textId="3E685CF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[113].</w:t>
      </w:r>
    </w:p>
  </w:footnote>
  <w:footnote w:id="457">
    <w:p w14:paraId="3448BA93" w14:textId="44C35C0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[113].</w:t>
      </w:r>
    </w:p>
  </w:footnote>
  <w:footnote w:id="458">
    <w:p w14:paraId="227CD6D6" w14:textId="15AD57E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[96].</w:t>
      </w:r>
    </w:p>
  </w:footnote>
  <w:footnote w:id="459">
    <w:p w14:paraId="2D8D62B1" w14:textId="26A1C2F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60">
    <w:p w14:paraId="5AFE4ABF" w14:textId="602C11A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xml:space="preserve">, [96].  In </w:t>
      </w:r>
      <w:r w:rsidRPr="007809F4">
        <w:rPr>
          <w:rFonts w:asciiTheme="minorHAnsi" w:hAnsiTheme="minorHAnsi" w:cstheme="minorHAnsi"/>
          <w:i/>
        </w:rPr>
        <w:t>Pratten</w:t>
      </w:r>
      <w:r w:rsidRPr="007809F4">
        <w:rPr>
          <w:rFonts w:asciiTheme="minorHAnsi" w:hAnsiTheme="minorHAnsi" w:cstheme="minorHAnsi"/>
        </w:rPr>
        <w:t>’s case itself, there was evidence that the offender had long-standing symptoms of depression, chronic stress, anxiety and low self-esteem, and that the length of the unresolved proceedings was an important contributing factor to his condition ([106]-[112]).  The Court of Criminal Appeal concluded that to the extent that stress and anxiety may be due in part to periods of unwarranted delay in the prosecution of the proceedings, “</w:t>
      </w:r>
      <w:r w:rsidRPr="007809F4">
        <w:rPr>
          <w:rFonts w:asciiTheme="minorHAnsi" w:hAnsiTheme="minorHAnsi" w:cstheme="minorHAnsi"/>
          <w:i/>
        </w:rPr>
        <w:t>some allowance should be made</w:t>
      </w:r>
      <w:r w:rsidRPr="007809F4">
        <w:rPr>
          <w:rFonts w:asciiTheme="minorHAnsi" w:hAnsiTheme="minorHAnsi" w:cstheme="minorHAnsi"/>
        </w:rPr>
        <w:t>” in determining the appropriate sentence, but that “</w:t>
      </w:r>
      <w:r w:rsidRPr="007809F4">
        <w:rPr>
          <w:rFonts w:asciiTheme="minorHAnsi" w:hAnsiTheme="minorHAnsi" w:cstheme="minorHAnsi"/>
          <w:i/>
        </w:rPr>
        <w:t>the effect would not be of great significance</w:t>
      </w:r>
      <w:r w:rsidRPr="007809F4">
        <w:rPr>
          <w:rFonts w:asciiTheme="minorHAnsi" w:hAnsiTheme="minorHAnsi" w:cstheme="minorHAnsi"/>
        </w:rPr>
        <w:t>” ([113]).</w:t>
      </w:r>
    </w:p>
  </w:footnote>
  <w:footnote w:id="461">
    <w:p w14:paraId="1F10D0E6" w14:textId="29E6AC6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xml:space="preserve">, [21]-[23], endorsing the view of Simpson J in </w:t>
      </w:r>
      <w:r w:rsidRPr="007809F4">
        <w:rPr>
          <w:rFonts w:asciiTheme="minorHAnsi" w:hAnsiTheme="minorHAnsi" w:cstheme="minorHAnsi"/>
          <w:i/>
        </w:rPr>
        <w:t xml:space="preserve">DPP (Cth) v De La Rosa </w:t>
      </w:r>
      <w:r w:rsidRPr="007809F4">
        <w:rPr>
          <w:rFonts w:asciiTheme="minorHAnsi" w:hAnsiTheme="minorHAnsi" w:cstheme="minorHAnsi"/>
        </w:rPr>
        <w:t>(2010) 79 NSWLR 11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(Cth) v De La Rosa </w:instrText>
      </w:r>
      <w:r w:rsidRPr="007809F4">
        <w:rPr>
          <w:rFonts w:asciiTheme="minorHAnsi" w:hAnsiTheme="minorHAnsi" w:cstheme="minorHAnsi"/>
        </w:rPr>
        <w:instrText xml:space="preserve">(2010) 79 NSWLR 11" \s "DPP (Cth) v De La Rosa (2010) 79 NSWLR 11" \c 1 </w:instrText>
      </w:r>
      <w:r w:rsidRPr="00EB7F1E">
        <w:rPr>
          <w:rFonts w:asciiTheme="minorHAnsi" w:hAnsiTheme="minorHAnsi" w:cstheme="minorHAnsi"/>
        </w:rPr>
        <w:fldChar w:fldCharType="end"/>
      </w:r>
      <w:r w:rsidRPr="007809F4">
        <w:rPr>
          <w:rFonts w:asciiTheme="minorHAnsi" w:hAnsiTheme="minorHAnsi" w:cstheme="minorHAnsi"/>
        </w:rPr>
        <w:t>, [279]-[280].</w:t>
      </w:r>
    </w:p>
  </w:footnote>
  <w:footnote w:id="462">
    <w:p w14:paraId="54327778" w14:textId="15AE942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Doff</w:t>
      </w:r>
      <w:r w:rsidRPr="007809F4">
        <w:rPr>
          <w:rFonts w:asciiTheme="minorHAnsi" w:hAnsiTheme="minorHAnsi" w:cstheme="minorHAnsi"/>
        </w:rPr>
        <w:t xml:space="preserve"> [2005] NSWCCA 119</w:t>
      </w:r>
      <w:r w:rsidRPr="00EB7F1E">
        <w:rPr>
          <w:rFonts w:asciiTheme="minorHAnsi" w:hAnsiTheme="minorHAnsi" w:cstheme="minorHAnsi"/>
        </w:rPr>
        <w:fldChar w:fldCharType="begin"/>
      </w:r>
      <w:r w:rsidRPr="007809F4">
        <w:rPr>
          <w:rFonts w:asciiTheme="minorHAnsi" w:hAnsiTheme="minorHAnsi" w:cstheme="minorHAnsi"/>
        </w:rPr>
        <w:instrText xml:space="preserve"> TA \s "R v Doff [2005] NSWCCA 119" </w:instrText>
      </w:r>
      <w:r w:rsidRPr="00EB7F1E">
        <w:rPr>
          <w:rFonts w:asciiTheme="minorHAnsi" w:hAnsiTheme="minorHAnsi" w:cstheme="minorHAnsi"/>
        </w:rPr>
        <w:fldChar w:fldCharType="end"/>
      </w:r>
      <w:r w:rsidRPr="007809F4">
        <w:rPr>
          <w:rFonts w:asciiTheme="minorHAnsi" w:hAnsiTheme="minorHAnsi" w:cstheme="minorHAnsi"/>
        </w:rPr>
        <w:t xml:space="preserve">, [58]; </w:t>
      </w:r>
      <w:r w:rsidRPr="007809F4">
        <w:rPr>
          <w:rFonts w:asciiTheme="minorHAnsi" w:hAnsiTheme="minorHAnsi" w:cstheme="minorHAnsi"/>
          <w:i/>
        </w:rPr>
        <w:t>R v Maya</w:t>
      </w:r>
      <w:r w:rsidRPr="007809F4">
        <w:rPr>
          <w:rFonts w:asciiTheme="minorHAnsi" w:hAnsiTheme="minorHAnsi" w:cstheme="minorHAnsi"/>
        </w:rPr>
        <w:t xml:space="preserve"> [2012] QCA 123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Maya</w:instrText>
      </w:r>
      <w:r w:rsidRPr="007809F4">
        <w:rPr>
          <w:rFonts w:asciiTheme="minorHAnsi" w:hAnsiTheme="minorHAnsi" w:cstheme="minorHAnsi"/>
        </w:rPr>
        <w:instrText xml:space="preserve"> [2012] QCA 123</w:instrText>
      </w:r>
      <w:r w:rsidRPr="00EB7F1E">
        <w:rPr>
          <w:rFonts w:asciiTheme="minorHAnsi" w:hAnsiTheme="minorHAnsi" w:cstheme="minorHAnsi"/>
        </w:rPr>
        <w:instrText xml:space="preserve">" \s "R v Maya [2012] QCA 123"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Karam v R </w:t>
      </w:r>
      <w:r w:rsidRPr="007809F4">
        <w:rPr>
          <w:rFonts w:asciiTheme="minorHAnsi" w:hAnsiTheme="minorHAnsi" w:cstheme="minorHAnsi"/>
        </w:rPr>
        <w:t>[2015] VSCA 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Karam v R </w:instrText>
      </w:r>
      <w:r w:rsidRPr="007809F4">
        <w:rPr>
          <w:rFonts w:asciiTheme="minorHAnsi" w:hAnsiTheme="minorHAnsi" w:cstheme="minorHAnsi"/>
        </w:rPr>
        <w:instrText>[2015] VSCA 50</w:instrText>
      </w:r>
      <w:r w:rsidRPr="00EB7F1E">
        <w:rPr>
          <w:rFonts w:asciiTheme="minorHAnsi" w:hAnsiTheme="minorHAnsi" w:cstheme="minorHAnsi"/>
        </w:rPr>
        <w:instrText xml:space="preserve">" \s "Karam v R [2015] VSCA 50" \c 1 </w:instrText>
      </w:r>
      <w:r w:rsidRPr="00EB7F1E">
        <w:rPr>
          <w:rFonts w:asciiTheme="minorHAnsi" w:hAnsiTheme="minorHAnsi" w:cstheme="minorHAnsi"/>
        </w:rPr>
        <w:fldChar w:fldCharType="end"/>
      </w:r>
      <w:r w:rsidRPr="007809F4">
        <w:rPr>
          <w:rFonts w:asciiTheme="minorHAnsi" w:hAnsiTheme="minorHAnsi" w:cstheme="minorHAnsi"/>
        </w:rPr>
        <w:t xml:space="preserve">, [145]-[156]; </w:t>
      </w:r>
      <w:r w:rsidRPr="00EB7F1E">
        <w:rPr>
          <w:rFonts w:asciiTheme="minorHAnsi" w:hAnsiTheme="minorHAnsi" w:cstheme="minorHAnsi"/>
          <w:i/>
        </w:rPr>
        <w:t>Higgs v R</w:t>
      </w:r>
      <w:r w:rsidRPr="00EB7F1E">
        <w:rPr>
          <w:rFonts w:asciiTheme="minorHAnsi" w:hAnsiTheme="minorHAnsi" w:cstheme="minorHAnsi"/>
        </w:rPr>
        <w:t xml:space="preserve"> [2015] VSCA 223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Higgs v R</w:instrText>
      </w:r>
      <w:r w:rsidRPr="00EB7F1E">
        <w:rPr>
          <w:rFonts w:asciiTheme="minorHAnsi" w:hAnsiTheme="minorHAnsi" w:cstheme="minorHAnsi"/>
        </w:rPr>
        <w:instrText xml:space="preserve"> [2015] VSCA 223" \s "Higgs v R [2015] VSCA 223" \c 1 </w:instrText>
      </w:r>
      <w:r w:rsidRPr="00EB7F1E">
        <w:rPr>
          <w:rFonts w:asciiTheme="minorHAnsi" w:hAnsiTheme="minorHAnsi" w:cstheme="minorHAnsi"/>
        </w:rPr>
        <w:fldChar w:fldCharType="end"/>
      </w:r>
      <w:r w:rsidRPr="007809F4">
        <w:rPr>
          <w:rFonts w:asciiTheme="minorHAnsi" w:hAnsiTheme="minorHAnsi" w:cstheme="minorHAnsi"/>
        </w:rPr>
        <w:t>, [50]-[52]</w:t>
      </w:r>
      <w:r w:rsidRPr="00EB7F1E">
        <w:rPr>
          <w:rFonts w:asciiTheme="minorHAnsi" w:hAnsiTheme="minorHAnsi" w:cstheme="minorHAnsi"/>
        </w:rPr>
        <w:t>.</w:t>
      </w:r>
    </w:p>
  </w:footnote>
  <w:footnote w:id="463">
    <w:p w14:paraId="13AD4B96" w14:textId="3E42608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Karam v R </w:t>
      </w:r>
      <w:r w:rsidRPr="007809F4">
        <w:rPr>
          <w:rFonts w:asciiTheme="minorHAnsi" w:hAnsiTheme="minorHAnsi" w:cstheme="minorHAnsi"/>
        </w:rPr>
        <w:t>[2015] VSCA 50</w:t>
      </w:r>
      <w:r w:rsidRPr="00EB7F1E">
        <w:rPr>
          <w:rFonts w:asciiTheme="minorHAnsi" w:hAnsiTheme="minorHAnsi" w:cstheme="minorHAnsi"/>
        </w:rPr>
        <w:fldChar w:fldCharType="begin"/>
      </w:r>
      <w:r w:rsidRPr="007809F4">
        <w:rPr>
          <w:rFonts w:asciiTheme="minorHAnsi" w:hAnsiTheme="minorHAnsi" w:cstheme="minorHAnsi"/>
        </w:rPr>
        <w:instrText xml:space="preserve"> TA \s "Karam v R [2015] VSCA 50" </w:instrText>
      </w:r>
      <w:r w:rsidRPr="00EB7F1E">
        <w:rPr>
          <w:rFonts w:asciiTheme="minorHAnsi" w:hAnsiTheme="minorHAnsi" w:cstheme="minorHAnsi"/>
        </w:rPr>
        <w:fldChar w:fldCharType="end"/>
      </w:r>
      <w:r w:rsidRPr="007809F4">
        <w:rPr>
          <w:rFonts w:asciiTheme="minorHAnsi" w:hAnsiTheme="minorHAnsi" w:cstheme="minorHAnsi"/>
        </w:rPr>
        <w:t xml:space="preserve">, [156]; </w:t>
      </w:r>
      <w:r w:rsidRPr="00EB7F1E">
        <w:rPr>
          <w:rFonts w:asciiTheme="minorHAnsi" w:hAnsiTheme="minorHAnsi" w:cstheme="minorHAnsi"/>
          <w:i/>
        </w:rPr>
        <w:t>Stipkovich v R</w:t>
      </w:r>
      <w:r w:rsidRPr="00EB7F1E">
        <w:rPr>
          <w:rFonts w:asciiTheme="minorHAnsi" w:hAnsiTheme="minorHAnsi" w:cstheme="minorHAnsi"/>
        </w:rPr>
        <w:t xml:space="preserve"> [2018] WASCA 63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Stipkovich v R</w:instrText>
      </w:r>
      <w:r w:rsidRPr="00EB7F1E">
        <w:rPr>
          <w:rFonts w:asciiTheme="minorHAnsi" w:hAnsiTheme="minorHAnsi" w:cstheme="minorHAnsi"/>
        </w:rPr>
        <w:instrText xml:space="preserve"> [2018] WASCA 63" \s "Stipkovich v R [2018] WASCA 63" \c 1 </w:instrText>
      </w:r>
      <w:r w:rsidRPr="00EB7F1E">
        <w:rPr>
          <w:rFonts w:asciiTheme="minorHAnsi" w:hAnsiTheme="minorHAnsi" w:cstheme="minorHAnsi"/>
        </w:rPr>
        <w:fldChar w:fldCharType="end"/>
      </w:r>
      <w:r w:rsidRPr="00EB7F1E">
        <w:rPr>
          <w:rFonts w:asciiTheme="minorHAnsi" w:hAnsiTheme="minorHAnsi" w:cstheme="minorHAnsi"/>
        </w:rPr>
        <w:t>, [53].</w:t>
      </w:r>
      <w:r w:rsidRPr="007809F4">
        <w:rPr>
          <w:rFonts w:asciiTheme="minorHAnsi" w:hAnsiTheme="minorHAnsi" w:cstheme="minorHAnsi"/>
        </w:rPr>
        <w:t xml:space="preserve">  Compare </w:t>
      </w:r>
      <w:r w:rsidRPr="007809F4">
        <w:rPr>
          <w:rFonts w:asciiTheme="minorHAnsi" w:hAnsiTheme="minorHAnsi" w:cstheme="minorHAnsi"/>
          <w:i/>
        </w:rPr>
        <w:t>Bui v DPP (Cth)</w:t>
      </w:r>
      <w:r w:rsidRPr="007809F4">
        <w:rPr>
          <w:rFonts w:asciiTheme="minorHAnsi" w:hAnsiTheme="minorHAnsi" w:cstheme="minorHAnsi"/>
        </w:rPr>
        <w:t xml:space="preserve"> (2012)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[19], where the court said (in relation to a claimed entitlement to a reduction in sentence in another context), “</w:t>
      </w:r>
      <w:r w:rsidRPr="007809F4">
        <w:rPr>
          <w:rFonts w:asciiTheme="minorHAnsi" w:hAnsiTheme="minorHAnsi" w:cstheme="minorHAnsi"/>
          <w:i/>
        </w:rPr>
        <w:t xml:space="preserve">Application of an automatic discount would not be consistent with the requirement of s 16A(1) </w:t>
      </w:r>
      <w:r w:rsidRPr="007809F4">
        <w:rPr>
          <w:rFonts w:asciiTheme="minorHAnsi" w:hAnsiTheme="minorHAnsi" w:cstheme="minorHAnsi"/>
        </w:rPr>
        <w:t xml:space="preserve">[of the </w:t>
      </w:r>
      <w:r w:rsidRPr="007809F4">
        <w:rPr>
          <w:rFonts w:asciiTheme="minorHAnsi" w:hAnsiTheme="minorHAnsi" w:cstheme="minorHAnsi"/>
          <w:i/>
        </w:rPr>
        <w:t>Crimes Act 1914</w:t>
      </w:r>
      <w:r w:rsidRPr="007809F4">
        <w:rPr>
          <w:rFonts w:asciiTheme="minorHAnsi" w:hAnsiTheme="minorHAnsi" w:cstheme="minorHAnsi"/>
        </w:rPr>
        <w:t xml:space="preserve">] </w:t>
      </w:r>
      <w:r w:rsidRPr="007809F4">
        <w:rPr>
          <w:rFonts w:asciiTheme="minorHAnsi" w:hAnsiTheme="minorHAnsi" w:cstheme="minorHAnsi"/>
          <w:i/>
        </w:rPr>
        <w:t>that a sentence be appropriate in its severity in all the circumstances of the case</w:t>
      </w:r>
      <w:r w:rsidRPr="007809F4">
        <w:rPr>
          <w:rFonts w:asciiTheme="minorHAnsi" w:hAnsiTheme="minorHAnsi" w:cstheme="minorHAnsi"/>
        </w:rPr>
        <w:t>”.</w:t>
      </w:r>
    </w:p>
  </w:footnote>
  <w:footnote w:id="464">
    <w:p w14:paraId="1030FCDB" w14:textId="27AC6B4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Deakes v R </w:t>
      </w:r>
      <w:r w:rsidRPr="007809F4">
        <w:rPr>
          <w:rFonts w:asciiTheme="minorHAnsi" w:hAnsiTheme="minorHAnsi" w:cstheme="minorHAnsi"/>
        </w:rPr>
        <w:t>[2002] VSCA 136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Deakes v R </w:instrText>
      </w:r>
      <w:r w:rsidRPr="007809F4">
        <w:rPr>
          <w:rFonts w:asciiTheme="minorHAnsi" w:hAnsiTheme="minorHAnsi" w:cstheme="minorHAnsi"/>
        </w:rPr>
        <w:instrText>[2002] VSCA 136</w:instrText>
      </w:r>
      <w:r w:rsidRPr="00EB7F1E">
        <w:rPr>
          <w:rFonts w:asciiTheme="minorHAnsi" w:hAnsiTheme="minorHAnsi" w:cstheme="minorHAnsi"/>
        </w:rPr>
        <w:instrText xml:space="preserve">" \s "Deakes v R [2002] VSCA 136" \c 1 </w:instrText>
      </w:r>
      <w:r w:rsidRPr="00EB7F1E">
        <w:rPr>
          <w:rFonts w:asciiTheme="minorHAnsi" w:hAnsiTheme="minorHAnsi" w:cstheme="minorHAnsi"/>
        </w:rPr>
        <w:fldChar w:fldCharType="end"/>
      </w:r>
      <w:r w:rsidRPr="007809F4">
        <w:rPr>
          <w:rFonts w:asciiTheme="minorHAnsi" w:hAnsiTheme="minorHAnsi" w:cstheme="minorHAnsi"/>
        </w:rPr>
        <w:t>, [35]-[39]</w:t>
      </w:r>
      <w:r w:rsidRPr="007809F4">
        <w:rPr>
          <w:rFonts w:asciiTheme="minorHAnsi" w:hAnsiTheme="minorHAnsi" w:cstheme="minorHAnsi"/>
          <w:i/>
        </w:rPr>
        <w:t xml:space="preserve">.  </w:t>
      </w:r>
      <w:r w:rsidRPr="007809F4">
        <w:rPr>
          <w:rFonts w:asciiTheme="minorHAnsi" w:hAnsiTheme="minorHAnsi" w:cstheme="minorHAnsi"/>
        </w:rPr>
        <w:t xml:space="preserve">As to </w:t>
      </w:r>
      <w:r w:rsidRPr="007809F4">
        <w:rPr>
          <w:rFonts w:asciiTheme="minorHAnsi" w:hAnsiTheme="minorHAnsi" w:cstheme="minorHAnsi"/>
          <w:i/>
        </w:rPr>
        <w:t>non-compliance</w:t>
      </w:r>
      <w:r w:rsidRPr="007809F4">
        <w:rPr>
          <w:rFonts w:asciiTheme="minorHAnsi" w:hAnsiTheme="minorHAnsi" w:cstheme="minorHAnsi"/>
        </w:rPr>
        <w:t xml:space="preserve"> with such an obligation, see </w:t>
      </w:r>
      <w:r w:rsidRPr="007809F4">
        <w:rPr>
          <w:rFonts w:asciiTheme="minorHAnsi" w:hAnsiTheme="minorHAnsi" w:cstheme="minorHAnsi"/>
          <w:i/>
        </w:rPr>
        <w:t>Crimes Act 1914</w:t>
      </w:r>
      <w:r w:rsidRPr="007809F4">
        <w:rPr>
          <w:rFonts w:asciiTheme="minorHAnsi" w:hAnsiTheme="minorHAnsi" w:cstheme="minorHAnsi"/>
        </w:rPr>
        <w:t xml:space="preserve"> (Cth), s 16A(2)(fa).</w:t>
      </w:r>
    </w:p>
  </w:footnote>
  <w:footnote w:id="465">
    <w:p w14:paraId="7E1635C4" w14:textId="6B260C1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Karam v R </w:t>
      </w:r>
      <w:r w:rsidRPr="007809F4">
        <w:rPr>
          <w:rFonts w:asciiTheme="minorHAnsi" w:hAnsiTheme="minorHAnsi" w:cstheme="minorHAnsi"/>
        </w:rPr>
        <w:t>[2015] VSCA 50</w:t>
      </w:r>
      <w:r w:rsidRPr="00EB7F1E">
        <w:rPr>
          <w:rFonts w:asciiTheme="minorHAnsi" w:hAnsiTheme="minorHAnsi" w:cstheme="minorHAnsi"/>
        </w:rPr>
        <w:fldChar w:fldCharType="begin"/>
      </w:r>
      <w:r w:rsidRPr="007809F4">
        <w:rPr>
          <w:rFonts w:asciiTheme="minorHAnsi" w:hAnsiTheme="minorHAnsi" w:cstheme="minorHAnsi"/>
        </w:rPr>
        <w:instrText xml:space="preserve"> TA \s "Karam v R [2015] VSCA 50" </w:instrText>
      </w:r>
      <w:r w:rsidRPr="00EB7F1E">
        <w:rPr>
          <w:rFonts w:asciiTheme="minorHAnsi" w:hAnsiTheme="minorHAnsi" w:cstheme="minorHAnsi"/>
        </w:rPr>
        <w:fldChar w:fldCharType="end"/>
      </w:r>
      <w:r w:rsidRPr="007809F4">
        <w:rPr>
          <w:rFonts w:asciiTheme="minorHAnsi" w:hAnsiTheme="minorHAnsi" w:cstheme="minorHAnsi"/>
        </w:rPr>
        <w:t xml:space="preserve">, [156]-[159]; </w:t>
      </w:r>
      <w:r w:rsidRPr="007809F4">
        <w:rPr>
          <w:rFonts w:asciiTheme="minorHAnsi" w:hAnsiTheme="minorHAnsi" w:cstheme="minorHAnsi"/>
          <w:i/>
        </w:rPr>
        <w:t>Higgs v R</w:t>
      </w:r>
      <w:r w:rsidRPr="007809F4">
        <w:rPr>
          <w:rFonts w:asciiTheme="minorHAnsi" w:hAnsiTheme="minorHAnsi" w:cstheme="minorHAnsi"/>
        </w:rPr>
        <w:t xml:space="preserve"> [2015] VSCA 223</w:t>
      </w:r>
      <w:r w:rsidRPr="00EB7F1E">
        <w:rPr>
          <w:rFonts w:asciiTheme="minorHAnsi" w:hAnsiTheme="minorHAnsi" w:cstheme="minorHAnsi"/>
        </w:rPr>
        <w:fldChar w:fldCharType="begin"/>
      </w:r>
      <w:r w:rsidRPr="007809F4">
        <w:rPr>
          <w:rFonts w:asciiTheme="minorHAnsi" w:hAnsiTheme="minorHAnsi" w:cstheme="minorHAnsi"/>
        </w:rPr>
        <w:instrText xml:space="preserve"> TA \s "Higgs v R [2015] VSCA 223" </w:instrText>
      </w:r>
      <w:r w:rsidRPr="00EB7F1E">
        <w:rPr>
          <w:rFonts w:asciiTheme="minorHAnsi" w:hAnsiTheme="minorHAnsi" w:cstheme="minorHAnsi"/>
        </w:rPr>
        <w:fldChar w:fldCharType="end"/>
      </w:r>
      <w:r w:rsidRPr="007809F4">
        <w:rPr>
          <w:rFonts w:asciiTheme="minorHAnsi" w:hAnsiTheme="minorHAnsi" w:cstheme="minorHAnsi"/>
        </w:rPr>
        <w:t>, [50]-[52]</w:t>
      </w:r>
      <w:r w:rsidRPr="007809F4">
        <w:rPr>
          <w:rFonts w:asciiTheme="minorHAnsi" w:hAnsiTheme="minorHAnsi" w:cstheme="minorHAnsi"/>
          <w:i/>
        </w:rPr>
        <w:t>.</w:t>
      </w:r>
    </w:p>
  </w:footnote>
  <w:footnote w:id="466">
    <w:p w14:paraId="04AF089F" w14:textId="65767D7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Gray</w:t>
      </w:r>
      <w:r w:rsidRPr="007809F4">
        <w:rPr>
          <w:rFonts w:asciiTheme="minorHAnsi" w:hAnsiTheme="minorHAnsi" w:cstheme="minorHAnsi"/>
        </w:rPr>
        <w:t xml:space="preserve"> [1977] VR 225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Gray</w:instrText>
      </w:r>
      <w:r w:rsidRPr="007809F4">
        <w:rPr>
          <w:rFonts w:asciiTheme="minorHAnsi" w:hAnsiTheme="minorHAnsi" w:cstheme="minorHAnsi"/>
        </w:rPr>
        <w:instrText xml:space="preserve"> [1977] VR 225</w:instrText>
      </w:r>
      <w:r w:rsidRPr="00EB7F1E">
        <w:rPr>
          <w:rFonts w:asciiTheme="minorHAnsi" w:hAnsiTheme="minorHAnsi" w:cstheme="minorHAnsi"/>
        </w:rPr>
        <w:instrText xml:space="preserve">" \s "R v Gray [1977] VR 225" \c 1 </w:instrText>
      </w:r>
      <w:r w:rsidRPr="00EB7F1E">
        <w:rPr>
          <w:rFonts w:asciiTheme="minorHAnsi" w:hAnsiTheme="minorHAnsi" w:cstheme="minorHAnsi"/>
        </w:rPr>
        <w:fldChar w:fldCharType="end"/>
      </w:r>
      <w:r w:rsidRPr="007809F4">
        <w:rPr>
          <w:rFonts w:asciiTheme="minorHAnsi" w:hAnsiTheme="minorHAnsi" w:cstheme="minorHAnsi"/>
        </w:rPr>
        <w:t xml:space="preserve">, 231; </w:t>
      </w:r>
      <w:r w:rsidRPr="007809F4">
        <w:rPr>
          <w:rFonts w:asciiTheme="minorHAnsi" w:hAnsiTheme="minorHAnsi" w:cstheme="minorHAnsi"/>
          <w:i/>
        </w:rPr>
        <w:t>Yam v R</w:t>
      </w:r>
      <w:r w:rsidRPr="007809F4">
        <w:rPr>
          <w:rFonts w:asciiTheme="minorHAnsi" w:hAnsiTheme="minorHAnsi" w:cstheme="minorHAnsi"/>
        </w:rPr>
        <w:t xml:space="preserve"> (1991) 55 A Crim R 116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Yam v R</w:instrText>
      </w:r>
      <w:r w:rsidRPr="007809F4">
        <w:rPr>
          <w:rFonts w:asciiTheme="minorHAnsi" w:hAnsiTheme="minorHAnsi" w:cstheme="minorHAnsi"/>
        </w:rPr>
        <w:instrText xml:space="preserve"> (1991) 55 A Crim R 116</w:instrText>
      </w:r>
      <w:r w:rsidRPr="00EB7F1E">
        <w:rPr>
          <w:rFonts w:asciiTheme="minorHAnsi" w:hAnsiTheme="minorHAnsi" w:cstheme="minorHAnsi"/>
        </w:rPr>
        <w:instrText xml:space="preserve">" \s "Yam v R (1991) 55 A Crim R 116" \c 1 </w:instrText>
      </w:r>
      <w:r w:rsidRPr="00EB7F1E">
        <w:rPr>
          <w:rFonts w:asciiTheme="minorHAnsi" w:hAnsiTheme="minorHAnsi" w:cstheme="minorHAnsi"/>
        </w:rPr>
        <w:fldChar w:fldCharType="end"/>
      </w:r>
      <w:r w:rsidRPr="007809F4">
        <w:rPr>
          <w:rFonts w:asciiTheme="minorHAnsi" w:hAnsiTheme="minorHAnsi" w:cstheme="minorHAnsi"/>
        </w:rPr>
        <w:t xml:space="preserve">, 117; </w:t>
      </w:r>
      <w:r w:rsidRPr="007809F4">
        <w:rPr>
          <w:rFonts w:asciiTheme="minorHAnsi" w:hAnsiTheme="minorHAnsi" w:cstheme="minorHAnsi"/>
          <w:i/>
        </w:rPr>
        <w:t>Billis v R</w:t>
      </w:r>
      <w:r w:rsidRPr="007809F4">
        <w:rPr>
          <w:rFonts w:asciiTheme="minorHAnsi" w:hAnsiTheme="minorHAnsi" w:cstheme="minorHAnsi"/>
        </w:rPr>
        <w:t xml:space="preserve"> (WA CCA, 24 February 1997, unreported)</w:t>
      </w:r>
      <w:r w:rsidRPr="00EB7F1E">
        <w:rPr>
          <w:rFonts w:asciiTheme="minorHAnsi" w:hAnsiTheme="minorHAnsi" w:cstheme="minorHAnsi"/>
        </w:rPr>
        <w:fldChar w:fldCharType="begin"/>
      </w:r>
      <w:r w:rsidRPr="007809F4">
        <w:rPr>
          <w:rFonts w:asciiTheme="minorHAnsi" w:hAnsiTheme="minorHAnsi" w:cstheme="minorHAnsi"/>
        </w:rPr>
        <w:instrText xml:space="preserve"> TA \s "Billis v R (WA CCA, 24 February 1997, unreported)" </w:instrText>
      </w:r>
      <w:r w:rsidRPr="00EB7F1E">
        <w:rPr>
          <w:rFonts w:asciiTheme="minorHAnsi" w:hAnsiTheme="minorHAnsi" w:cstheme="minorHAnsi"/>
        </w:rPr>
        <w:fldChar w:fldCharType="end"/>
      </w:r>
      <w:r w:rsidRPr="007809F4">
        <w:rPr>
          <w:rFonts w:asciiTheme="minorHAnsi" w:hAnsiTheme="minorHAnsi" w:cstheme="minorHAnsi"/>
        </w:rPr>
        <w:t xml:space="preserve">, 11; </w:t>
      </w:r>
      <w:r w:rsidRPr="007809F4">
        <w:rPr>
          <w:rFonts w:asciiTheme="minorHAnsi" w:hAnsiTheme="minorHAnsi" w:cstheme="minorHAnsi"/>
          <w:i/>
        </w:rPr>
        <w:t>Siganto v R</w:t>
      </w:r>
      <w:r w:rsidRPr="007809F4">
        <w:rPr>
          <w:rFonts w:asciiTheme="minorHAnsi" w:hAnsiTheme="minorHAnsi" w:cstheme="minorHAnsi"/>
        </w:rPr>
        <w:t xml:space="preserve"> (1998) 194 CLR 656</w:t>
      </w:r>
      <w:r w:rsidRPr="00EB7F1E">
        <w:rPr>
          <w:rFonts w:asciiTheme="minorHAnsi" w:hAnsiTheme="minorHAnsi" w:cstheme="minorHAnsi"/>
        </w:rPr>
        <w:fldChar w:fldCharType="begin"/>
      </w:r>
      <w:r w:rsidRPr="007809F4">
        <w:rPr>
          <w:rFonts w:asciiTheme="minorHAnsi" w:hAnsiTheme="minorHAnsi" w:cstheme="minorHAnsi"/>
        </w:rPr>
        <w:instrText xml:space="preserve"> TA \s "Siganto v R (1998) 194 CLR 656" </w:instrText>
      </w:r>
      <w:r w:rsidRPr="00EB7F1E">
        <w:rPr>
          <w:rFonts w:asciiTheme="minorHAnsi" w:hAnsiTheme="minorHAnsi" w:cstheme="minorHAnsi"/>
        </w:rPr>
        <w:fldChar w:fldCharType="end"/>
      </w:r>
      <w:r w:rsidRPr="007809F4">
        <w:rPr>
          <w:rFonts w:asciiTheme="minorHAnsi" w:hAnsiTheme="minorHAnsi" w:cstheme="minorHAnsi"/>
        </w:rPr>
        <w:t>, 663–664.</w:t>
      </w:r>
    </w:p>
  </w:footnote>
  <w:footnote w:id="467">
    <w:p w14:paraId="7CD4B307" w14:textId="0DB96F7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See </w:t>
      </w:r>
      <w:r w:rsidRPr="007809F4">
        <w:rPr>
          <w:rFonts w:asciiTheme="minorHAnsi" w:hAnsiTheme="minorHAnsi" w:cstheme="minorHAnsi"/>
          <w:i/>
        </w:rPr>
        <w:t xml:space="preserve">Crimes Amendment (Bail and Sentencing) Act 2006 </w:t>
      </w:r>
      <w:r w:rsidRPr="007809F4">
        <w:rPr>
          <w:rFonts w:asciiTheme="minorHAnsi" w:hAnsiTheme="minorHAnsi" w:cstheme="minorHAnsi"/>
        </w:rPr>
        <w:t>(Cth) effective from 12 December 2006 – Item 4 in Schedule 1. The relevant Explanatory Memorandum makes clear that the court may take into account an offender’s cultural background, should this be appropriate, other than as a mitigating or aggravating factor.</w:t>
      </w:r>
    </w:p>
  </w:footnote>
  <w:footnote w:id="468">
    <w:p w14:paraId="06E50BF5" w14:textId="1DF60B8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 xml:space="preserve">TAN v R </w:t>
      </w:r>
      <w:r w:rsidRPr="007809F4">
        <w:rPr>
          <w:rFonts w:asciiTheme="minorHAnsi" w:hAnsiTheme="minorHAnsi" w:cstheme="minorHAnsi"/>
        </w:rPr>
        <w:t>(2011) 35 VR 109</w:t>
      </w:r>
      <w:r w:rsidRPr="00EB7F1E">
        <w:rPr>
          <w:rFonts w:asciiTheme="minorHAnsi" w:hAnsiTheme="minorHAnsi" w:cstheme="minorHAnsi"/>
        </w:rPr>
        <w:fldChar w:fldCharType="begin"/>
      </w:r>
      <w:r w:rsidRPr="00EB7F1E">
        <w:rPr>
          <w:rFonts w:asciiTheme="minorHAnsi" w:hAnsiTheme="minorHAnsi" w:cstheme="minorHAnsi"/>
        </w:rPr>
        <w:instrText xml:space="preserve"> TA \s "TAN v R (2011) 35 VR 109" </w:instrText>
      </w:r>
      <w:r w:rsidRPr="00EB7F1E">
        <w:rPr>
          <w:rFonts w:asciiTheme="minorHAnsi" w:hAnsiTheme="minorHAnsi" w:cstheme="minorHAnsi"/>
        </w:rPr>
        <w:fldChar w:fldCharType="end"/>
      </w:r>
      <w:r w:rsidRPr="007809F4">
        <w:rPr>
          <w:rFonts w:asciiTheme="minorHAnsi" w:hAnsiTheme="minorHAnsi" w:cstheme="minorHAnsi"/>
        </w:rPr>
        <w:t xml:space="preserve"> and </w:t>
      </w:r>
      <w:r w:rsidRPr="007809F4">
        <w:rPr>
          <w:rFonts w:asciiTheme="minorHAnsi" w:hAnsiTheme="minorHAnsi" w:cstheme="minorHAnsi"/>
          <w:i/>
        </w:rPr>
        <w:t>Pham v R</w:t>
      </w:r>
      <w:r w:rsidRPr="007809F4">
        <w:rPr>
          <w:rFonts w:asciiTheme="minorHAnsi" w:hAnsiTheme="minorHAnsi" w:cstheme="minorHAnsi"/>
        </w:rPr>
        <w:t xml:space="preserve"> [2012] VSCA 101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Pham v R</w:instrText>
      </w:r>
      <w:r w:rsidRPr="007809F4">
        <w:rPr>
          <w:rFonts w:asciiTheme="minorHAnsi" w:hAnsiTheme="minorHAnsi" w:cstheme="minorHAnsi"/>
        </w:rPr>
        <w:instrText xml:space="preserve"> [2012] VSCA 101" \s "Pham v R [2012] VSCA 101" \c 1 </w:instrText>
      </w:r>
      <w:r w:rsidRPr="00EB7F1E">
        <w:rPr>
          <w:rFonts w:asciiTheme="minorHAnsi" w:hAnsiTheme="minorHAnsi" w:cstheme="minorHAnsi"/>
        </w:rPr>
        <w:fldChar w:fldCharType="end"/>
      </w:r>
      <w:r w:rsidRPr="007809F4">
        <w:rPr>
          <w:rFonts w:asciiTheme="minorHAnsi" w:hAnsiTheme="minorHAnsi" w:cstheme="minorHAnsi"/>
        </w:rPr>
        <w:t xml:space="preserve"> for cases where cultural practice was taken into account for offending prior to 13 December 2006.</w:t>
      </w:r>
    </w:p>
  </w:footnote>
  <w:footnote w:id="469">
    <w:p w14:paraId="6A8B9603" w14:textId="69057E1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R v Silvano</w:t>
      </w:r>
      <w:r w:rsidRPr="007809F4">
        <w:rPr>
          <w:rFonts w:asciiTheme="minorHAnsi" w:hAnsiTheme="minorHAnsi" w:cstheme="minorHAnsi"/>
        </w:rPr>
        <w:t xml:space="preserve"> [2008] NSWCCA 118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Silvano</w:instrText>
      </w:r>
      <w:r w:rsidRPr="007809F4">
        <w:rPr>
          <w:rFonts w:asciiTheme="minorHAnsi" w:hAnsiTheme="minorHAnsi" w:cstheme="minorHAnsi"/>
        </w:rPr>
        <w:instrText xml:space="preserve"> [2008] NSWCCA 118</w:instrText>
      </w:r>
      <w:r w:rsidRPr="00EB7F1E">
        <w:rPr>
          <w:rFonts w:asciiTheme="minorHAnsi" w:hAnsiTheme="minorHAnsi" w:cstheme="minorHAnsi"/>
        </w:rPr>
        <w:instrText xml:space="preserve">" \s "R v Silvano [2008] NSWCCA 118" \c 1 </w:instrText>
      </w:r>
      <w:r w:rsidRPr="00EB7F1E">
        <w:rPr>
          <w:rFonts w:asciiTheme="minorHAnsi" w:hAnsiTheme="minorHAnsi" w:cstheme="minorHAnsi"/>
        </w:rPr>
        <w:fldChar w:fldCharType="end"/>
      </w:r>
      <w:r w:rsidRPr="007809F4">
        <w:rPr>
          <w:rFonts w:asciiTheme="minorHAnsi" w:hAnsiTheme="minorHAnsi" w:cstheme="minorHAnsi"/>
        </w:rPr>
        <w:t>, [29].</w:t>
      </w:r>
    </w:p>
  </w:footnote>
  <w:footnote w:id="470">
    <w:p w14:paraId="09DA4662" w14:textId="22FC0A4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E.g. </w:t>
      </w:r>
      <w:r w:rsidRPr="007809F4">
        <w:rPr>
          <w:rFonts w:asciiTheme="minorHAnsi" w:hAnsiTheme="minorHAnsi" w:cstheme="minorHAnsi"/>
          <w:i/>
        </w:rPr>
        <w:t>R v Silvano</w:t>
      </w:r>
      <w:r w:rsidRPr="007809F4">
        <w:rPr>
          <w:rFonts w:asciiTheme="minorHAnsi" w:hAnsiTheme="minorHAnsi" w:cstheme="minorHAnsi"/>
        </w:rPr>
        <w:t xml:space="preserve"> [2008] NSWCCA 118</w:t>
      </w:r>
      <w:r w:rsidRPr="00EB7F1E">
        <w:rPr>
          <w:rFonts w:asciiTheme="minorHAnsi" w:hAnsiTheme="minorHAnsi" w:cstheme="minorHAnsi"/>
        </w:rPr>
        <w:fldChar w:fldCharType="begin"/>
      </w:r>
      <w:r w:rsidRPr="007809F4">
        <w:rPr>
          <w:rFonts w:asciiTheme="minorHAnsi" w:hAnsiTheme="minorHAnsi" w:cstheme="minorHAnsi"/>
        </w:rPr>
        <w:instrText xml:space="preserve"> TA \s "R v Silvano [2008] NSWCCA 118" </w:instrText>
      </w:r>
      <w:r w:rsidRPr="00EB7F1E">
        <w:rPr>
          <w:rFonts w:asciiTheme="minorHAnsi" w:hAnsiTheme="minorHAnsi" w:cstheme="minorHAnsi"/>
        </w:rPr>
        <w:fldChar w:fldCharType="end"/>
      </w:r>
      <w:r w:rsidRPr="007809F4">
        <w:rPr>
          <w:rFonts w:asciiTheme="minorHAnsi" w:hAnsiTheme="minorHAnsi" w:cstheme="minorHAnsi"/>
        </w:rPr>
        <w:t xml:space="preserve">.  See the authorities cited in </w:t>
      </w:r>
      <w:r w:rsidRPr="007809F4">
        <w:rPr>
          <w:rFonts w:asciiTheme="minorHAnsi" w:hAnsiTheme="minorHAnsi" w:cstheme="minorHAnsi"/>
          <w:i/>
        </w:rPr>
        <w:t>Einfeld v R</w:t>
      </w:r>
      <w:r w:rsidRPr="007809F4">
        <w:rPr>
          <w:rFonts w:asciiTheme="minorHAnsi" w:hAnsiTheme="minorHAnsi" w:cstheme="minorHAnsi"/>
        </w:rPr>
        <w:t xml:space="preserve"> [2010] NSWCCA 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Einfeld v R</w:instrText>
      </w:r>
      <w:r w:rsidRPr="007809F4">
        <w:rPr>
          <w:rFonts w:asciiTheme="minorHAnsi" w:hAnsiTheme="minorHAnsi" w:cstheme="minorHAnsi"/>
        </w:rPr>
        <w:instrText xml:space="preserve"> [2010] NSWCCA 87</w:instrText>
      </w:r>
      <w:r w:rsidRPr="00EB7F1E">
        <w:rPr>
          <w:rFonts w:asciiTheme="minorHAnsi" w:hAnsiTheme="minorHAnsi" w:cstheme="minorHAnsi"/>
        </w:rPr>
        <w:instrText xml:space="preserve">" \s "Einfeld v R [2010] NSWCCA 87" \c 1 </w:instrText>
      </w:r>
      <w:r w:rsidRPr="00EB7F1E">
        <w:rPr>
          <w:rFonts w:asciiTheme="minorHAnsi" w:hAnsiTheme="minorHAnsi" w:cstheme="minorHAnsi"/>
        </w:rPr>
        <w:fldChar w:fldCharType="end"/>
      </w:r>
      <w:r w:rsidRPr="007809F4">
        <w:rPr>
          <w:rFonts w:asciiTheme="minorHAnsi" w:hAnsiTheme="minorHAnsi" w:cstheme="minorHAnsi"/>
        </w:rPr>
        <w:t>, [87].</w:t>
      </w:r>
    </w:p>
  </w:footnote>
  <w:footnote w:id="471">
    <w:p w14:paraId="6709BEBF" w14:textId="0814950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iCs/>
        </w:rPr>
        <w:t>E</w:t>
      </w:r>
      <w:r w:rsidRPr="007809F4">
        <w:rPr>
          <w:rFonts w:asciiTheme="minorHAnsi" w:hAnsiTheme="minorHAnsi" w:cstheme="minorHAnsi"/>
          <w:i/>
        </w:rPr>
        <w:t>infeld v R</w:t>
      </w:r>
      <w:r w:rsidRPr="007809F4">
        <w:rPr>
          <w:rFonts w:asciiTheme="minorHAnsi" w:hAnsiTheme="minorHAnsi" w:cstheme="minorHAnsi"/>
        </w:rPr>
        <w:t xml:space="preserve"> [2010] NSWCCA 87</w:t>
      </w:r>
      <w:r w:rsidRPr="00EB7F1E">
        <w:rPr>
          <w:rFonts w:asciiTheme="minorHAnsi" w:hAnsiTheme="minorHAnsi" w:cstheme="minorHAnsi"/>
        </w:rPr>
        <w:fldChar w:fldCharType="begin"/>
      </w:r>
      <w:r w:rsidRPr="007809F4">
        <w:rPr>
          <w:rFonts w:asciiTheme="minorHAnsi" w:hAnsiTheme="minorHAnsi" w:cstheme="minorHAnsi"/>
        </w:rPr>
        <w:instrText xml:space="preserve"> TA \s "Einfeld v R [2010] NSWCCA 87" </w:instrText>
      </w:r>
      <w:r w:rsidRPr="00EB7F1E">
        <w:rPr>
          <w:rFonts w:asciiTheme="minorHAnsi" w:hAnsiTheme="minorHAnsi" w:cstheme="minorHAnsi"/>
        </w:rPr>
        <w:fldChar w:fldCharType="end"/>
      </w:r>
      <w:r w:rsidRPr="007809F4">
        <w:rPr>
          <w:rFonts w:asciiTheme="minorHAnsi" w:hAnsiTheme="minorHAnsi" w:cstheme="minorHAnsi"/>
        </w:rPr>
        <w:t>, [86].</w:t>
      </w:r>
    </w:p>
  </w:footnote>
  <w:footnote w:id="472">
    <w:p w14:paraId="305E393C" w14:textId="46E32EB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E.g. </w:t>
      </w:r>
      <w:r w:rsidRPr="007809F4">
        <w:rPr>
          <w:rFonts w:asciiTheme="minorHAnsi" w:hAnsiTheme="minorHAnsi" w:cstheme="minorHAnsi"/>
          <w:i/>
        </w:rPr>
        <w:t>Cargnello v DPP (Cth)</w:t>
      </w:r>
      <w:r w:rsidRPr="007809F4">
        <w:rPr>
          <w:rFonts w:asciiTheme="minorHAnsi" w:hAnsiTheme="minorHAnsi" w:cstheme="minorHAnsi"/>
        </w:rPr>
        <w:t xml:space="preserve"> [2012] NSWCCA 162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Cargnello v DPP (Cth)</w:instrText>
      </w:r>
      <w:r w:rsidRPr="007809F4">
        <w:rPr>
          <w:rFonts w:asciiTheme="minorHAnsi" w:hAnsiTheme="minorHAnsi" w:cstheme="minorHAnsi"/>
        </w:rPr>
        <w:instrText xml:space="preserve"> [2012] NSWCCA 162</w:instrText>
      </w:r>
      <w:r w:rsidRPr="00EB7F1E">
        <w:rPr>
          <w:rFonts w:asciiTheme="minorHAnsi" w:hAnsiTheme="minorHAnsi" w:cstheme="minorHAnsi"/>
        </w:rPr>
        <w:instrText xml:space="preserve">" \s "Cargnello v DPP (Cth) [2012] NSWCCA 162" \c 1 </w:instrText>
      </w:r>
      <w:r w:rsidRPr="00EB7F1E">
        <w:rPr>
          <w:rFonts w:asciiTheme="minorHAnsi" w:hAnsiTheme="minorHAnsi" w:cstheme="minorHAnsi"/>
        </w:rPr>
        <w:fldChar w:fldCharType="end"/>
      </w:r>
      <w:r w:rsidRPr="007809F4">
        <w:rPr>
          <w:rFonts w:asciiTheme="minorHAnsi" w:hAnsiTheme="minorHAnsi" w:cstheme="minorHAnsi"/>
        </w:rPr>
        <w:t>, [57]-[62].</w:t>
      </w:r>
    </w:p>
  </w:footnote>
  <w:footnote w:id="473">
    <w:p w14:paraId="1B7BB96C" w14:textId="5723DA8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E.g.</w:t>
      </w:r>
      <w:r w:rsidRPr="007809F4">
        <w:rPr>
          <w:rFonts w:asciiTheme="minorHAnsi" w:hAnsiTheme="minorHAnsi" w:cstheme="minorHAnsi"/>
        </w:rPr>
        <w:t xml:space="preserve"> </w:t>
      </w:r>
      <w:r w:rsidRPr="00EB7F1E">
        <w:rPr>
          <w:rFonts w:asciiTheme="minorHAnsi" w:hAnsiTheme="minorHAnsi" w:cstheme="minorHAnsi"/>
          <w:i/>
        </w:rPr>
        <w:t>R v Wright (No 2)</w:t>
      </w:r>
      <w:r w:rsidRPr="00EB7F1E">
        <w:rPr>
          <w:rFonts w:asciiTheme="minorHAnsi" w:hAnsiTheme="minorHAnsi" w:cstheme="minorHAnsi"/>
        </w:rPr>
        <w:t xml:space="preserve"> [1968] VR 174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Wright (No 2)</w:instrText>
      </w:r>
      <w:r w:rsidRPr="00EB7F1E">
        <w:rPr>
          <w:rFonts w:asciiTheme="minorHAnsi" w:hAnsiTheme="minorHAnsi" w:cstheme="minorHAnsi"/>
        </w:rPr>
        <w:instrText xml:space="preserve"> [1968] VR 174" \s "R v Wright (No 2) [1968] VR 174"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180; </w:t>
      </w:r>
      <w:r w:rsidRPr="00EB7F1E">
        <w:rPr>
          <w:rFonts w:asciiTheme="minorHAnsi" w:hAnsiTheme="minorHAnsi" w:cstheme="minorHAnsi"/>
          <w:i/>
        </w:rPr>
        <w:t>R v Bulger</w:t>
      </w:r>
      <w:r w:rsidRPr="007809F4">
        <w:rPr>
          <w:rFonts w:asciiTheme="minorHAnsi" w:hAnsiTheme="minorHAnsi" w:cstheme="minorHAnsi"/>
        </w:rPr>
        <w:t xml:space="preserve"> [1990] 2 Qd R 559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Bulger</w:instrText>
      </w:r>
      <w:r w:rsidRPr="007809F4">
        <w:rPr>
          <w:rFonts w:asciiTheme="minorHAnsi" w:hAnsiTheme="minorHAnsi" w:cstheme="minorHAnsi"/>
        </w:rPr>
        <w:instrText xml:space="preserve"> [1990] 2 Qd R 559</w:instrText>
      </w:r>
      <w:r w:rsidRPr="00EB7F1E">
        <w:rPr>
          <w:rFonts w:asciiTheme="minorHAnsi" w:hAnsiTheme="minorHAnsi" w:cstheme="minorHAnsi"/>
        </w:rPr>
        <w:instrText xml:space="preserve">" \s "R v Bulger [1990] 2 Qd R 559"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474">
    <w:p w14:paraId="52CC601C" w14:textId="3E79F98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E.g. </w:t>
      </w:r>
      <w:r w:rsidRPr="007809F4">
        <w:rPr>
          <w:rFonts w:asciiTheme="minorHAnsi" w:hAnsiTheme="minorHAnsi" w:cstheme="minorHAnsi"/>
          <w:i/>
        </w:rPr>
        <w:t>R v Rivkin</w:t>
      </w:r>
      <w:r w:rsidRPr="00EB7F1E">
        <w:rPr>
          <w:rFonts w:asciiTheme="minorHAnsi" w:hAnsiTheme="minorHAnsi" w:cstheme="minorHAnsi"/>
        </w:rPr>
        <w:t xml:space="preserve"> </w:t>
      </w:r>
      <w:r w:rsidRPr="007809F4">
        <w:rPr>
          <w:rFonts w:asciiTheme="minorHAnsi" w:hAnsiTheme="minorHAnsi" w:cstheme="minorHAnsi"/>
        </w:rPr>
        <w:t>[</w:t>
      </w:r>
      <w:r w:rsidRPr="00EB7F1E">
        <w:rPr>
          <w:rFonts w:asciiTheme="minorHAnsi" w:hAnsiTheme="minorHAnsi" w:cstheme="minorHAnsi"/>
        </w:rPr>
        <w:t>2003</w:t>
      </w:r>
      <w:r w:rsidRPr="007809F4">
        <w:rPr>
          <w:rFonts w:asciiTheme="minorHAnsi" w:hAnsiTheme="minorHAnsi" w:cstheme="minorHAnsi"/>
        </w:rPr>
        <w:t>]</w:t>
      </w:r>
      <w:r w:rsidRPr="00EB7F1E">
        <w:rPr>
          <w:rFonts w:asciiTheme="minorHAnsi" w:hAnsiTheme="minorHAnsi" w:cstheme="minorHAnsi"/>
        </w:rPr>
        <w:t xml:space="preserve"> NSWSC 447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Rivkin</w:instrText>
      </w:r>
      <w:r w:rsidRPr="00EB7F1E">
        <w:rPr>
          <w:rFonts w:asciiTheme="minorHAnsi" w:hAnsiTheme="minorHAnsi" w:cstheme="minorHAnsi"/>
        </w:rPr>
        <w:instrText xml:space="preserve"> </w:instrText>
      </w:r>
      <w:r w:rsidRPr="007809F4">
        <w:rPr>
          <w:rFonts w:asciiTheme="minorHAnsi" w:hAnsiTheme="minorHAnsi" w:cstheme="minorHAnsi"/>
        </w:rPr>
        <w:instrText>[</w:instrText>
      </w:r>
      <w:r w:rsidRPr="00EB7F1E">
        <w:rPr>
          <w:rFonts w:asciiTheme="minorHAnsi" w:hAnsiTheme="minorHAnsi" w:cstheme="minorHAnsi"/>
        </w:rPr>
        <w:instrText>2003</w:instrText>
      </w:r>
      <w:r w:rsidRPr="007809F4">
        <w:rPr>
          <w:rFonts w:asciiTheme="minorHAnsi" w:hAnsiTheme="minorHAnsi" w:cstheme="minorHAnsi"/>
        </w:rPr>
        <w:instrText>]</w:instrText>
      </w:r>
      <w:r w:rsidRPr="00EB7F1E">
        <w:rPr>
          <w:rFonts w:asciiTheme="minorHAnsi" w:hAnsiTheme="minorHAnsi" w:cstheme="minorHAnsi"/>
        </w:rPr>
        <w:instrText xml:space="preserve"> NSWSC 447" \s "R v Rivkin [2003] NSWSC 447" \c 1 </w:instrText>
      </w:r>
      <w:r w:rsidRPr="00EB7F1E">
        <w:rPr>
          <w:rFonts w:asciiTheme="minorHAnsi" w:hAnsiTheme="minorHAnsi" w:cstheme="minorHAnsi"/>
        </w:rPr>
        <w:fldChar w:fldCharType="end"/>
      </w:r>
      <w:r w:rsidRPr="00EB7F1E">
        <w:rPr>
          <w:rFonts w:asciiTheme="minorHAnsi" w:hAnsiTheme="minorHAnsi" w:cstheme="minorHAnsi"/>
        </w:rPr>
        <w:t>, [54]</w:t>
      </w:r>
      <w:r w:rsidRPr="007809F4">
        <w:rPr>
          <w:rFonts w:asciiTheme="minorHAnsi" w:hAnsiTheme="minorHAnsi" w:cstheme="minorHAnsi"/>
        </w:rPr>
        <w:t xml:space="preserve"> (referred to with apparent approval on appeal: </w:t>
      </w:r>
      <w:r w:rsidRPr="00EB7F1E">
        <w:rPr>
          <w:rFonts w:asciiTheme="minorHAnsi" w:hAnsiTheme="minorHAnsi" w:cstheme="minorHAnsi"/>
          <w:i/>
        </w:rPr>
        <w:t>R v Rivkin</w:t>
      </w:r>
      <w:r w:rsidRPr="007809F4">
        <w:rPr>
          <w:rFonts w:asciiTheme="minorHAnsi" w:hAnsiTheme="minorHAnsi" w:cstheme="minorHAnsi"/>
        </w:rPr>
        <w:t xml:space="preserve"> </w:t>
      </w:r>
      <w:r w:rsidRPr="00EB7F1E">
        <w:rPr>
          <w:rFonts w:asciiTheme="minorHAnsi" w:hAnsiTheme="minorHAnsi" w:cstheme="minorHAnsi"/>
        </w:rPr>
        <w:t>(2004) 59 NSWLR 284</w:t>
      </w:r>
      <w:r w:rsidRPr="00EB7F1E">
        <w:rPr>
          <w:rFonts w:asciiTheme="minorHAnsi" w:hAnsiTheme="minorHAnsi" w:cstheme="minorHAnsi"/>
        </w:rPr>
        <w:fldChar w:fldCharType="begin"/>
      </w:r>
      <w:r w:rsidRPr="007809F4">
        <w:rPr>
          <w:rFonts w:asciiTheme="minorHAnsi" w:hAnsiTheme="minorHAnsi" w:cstheme="minorHAnsi"/>
        </w:rPr>
        <w:instrText xml:space="preserve"> TA \s "R v Rivkin (2004) 59 NSWLR 284" </w:instrText>
      </w:r>
      <w:r w:rsidRPr="00EB7F1E">
        <w:rPr>
          <w:rFonts w:asciiTheme="minorHAnsi" w:hAnsiTheme="minorHAnsi" w:cstheme="minorHAnsi"/>
        </w:rPr>
        <w:fldChar w:fldCharType="end"/>
      </w:r>
      <w:r w:rsidRPr="007809F4">
        <w:rPr>
          <w:rFonts w:asciiTheme="minorHAnsi" w:hAnsiTheme="minorHAnsi" w:cstheme="minorHAnsi"/>
        </w:rPr>
        <w:t>, [211]-[212]).</w:t>
      </w:r>
    </w:p>
  </w:footnote>
  <w:footnote w:id="475">
    <w:p w14:paraId="6582F8E2" w14:textId="30E24C9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E.g.</w:t>
      </w:r>
      <w:r w:rsidRPr="007809F4">
        <w:rPr>
          <w:rFonts w:asciiTheme="minorHAnsi" w:hAnsiTheme="minorHAnsi" w:cstheme="minorHAnsi"/>
        </w:rPr>
        <w:t xml:space="preserve"> </w:t>
      </w:r>
      <w:r w:rsidRPr="00EB7F1E">
        <w:rPr>
          <w:rFonts w:asciiTheme="minorHAnsi" w:hAnsiTheme="minorHAnsi" w:cstheme="minorHAnsi"/>
          <w:i/>
        </w:rPr>
        <w:t>Einfeld v R</w:t>
      </w:r>
      <w:r w:rsidRPr="007809F4">
        <w:rPr>
          <w:rFonts w:asciiTheme="minorHAnsi" w:hAnsiTheme="minorHAnsi" w:cstheme="minorHAnsi"/>
        </w:rPr>
        <w:t xml:space="preserve"> [2010] NSWCCA 87</w:t>
      </w:r>
      <w:r w:rsidRPr="00EB7F1E">
        <w:rPr>
          <w:rFonts w:asciiTheme="minorHAnsi" w:hAnsiTheme="minorHAnsi" w:cstheme="minorHAnsi"/>
        </w:rPr>
        <w:fldChar w:fldCharType="begin"/>
      </w:r>
      <w:r w:rsidRPr="007809F4">
        <w:rPr>
          <w:rFonts w:asciiTheme="minorHAnsi" w:hAnsiTheme="minorHAnsi" w:cstheme="minorHAnsi"/>
        </w:rPr>
        <w:instrText xml:space="preserve"> TA \s "Einfeld v R [2010] NSWCCA 87" </w:instrText>
      </w:r>
      <w:r w:rsidRPr="00EB7F1E">
        <w:rPr>
          <w:rFonts w:asciiTheme="minorHAnsi" w:hAnsiTheme="minorHAnsi" w:cstheme="minorHAnsi"/>
        </w:rPr>
        <w:fldChar w:fldCharType="end"/>
      </w:r>
      <w:r w:rsidRPr="007809F4">
        <w:rPr>
          <w:rFonts w:asciiTheme="minorHAnsi" w:hAnsiTheme="minorHAnsi" w:cstheme="minorHAnsi"/>
        </w:rPr>
        <w:t>, [85]-[97];</w:t>
      </w:r>
      <w:r w:rsidRPr="007809F4">
        <w:rPr>
          <w:rFonts w:asciiTheme="minorHAnsi" w:hAnsiTheme="minorHAnsi" w:cstheme="minorHAnsi"/>
          <w:i/>
        </w:rPr>
        <w:t xml:space="preserve"> Parente v R</w:t>
      </w:r>
      <w:r w:rsidRPr="007809F4">
        <w:rPr>
          <w:rFonts w:asciiTheme="minorHAnsi" w:hAnsiTheme="minorHAnsi" w:cstheme="minorHAnsi"/>
        </w:rPr>
        <w:t xml:space="preserve"> (2017) 96 NSWLR 633</w:t>
      </w:r>
      <w:r w:rsidRPr="00EB7F1E">
        <w:rPr>
          <w:rFonts w:asciiTheme="minorHAnsi" w:hAnsiTheme="minorHAnsi" w:cstheme="minorHAnsi"/>
        </w:rPr>
        <w:fldChar w:fldCharType="begin"/>
      </w:r>
      <w:r w:rsidRPr="007809F4">
        <w:rPr>
          <w:rFonts w:asciiTheme="minorHAnsi" w:hAnsiTheme="minorHAnsi" w:cstheme="minorHAnsi"/>
        </w:rPr>
        <w:instrText xml:space="preserve"> TA \s "Parente v R (2017) 96 NSWLR 633" </w:instrText>
      </w:r>
      <w:r w:rsidRPr="00EB7F1E">
        <w:rPr>
          <w:rFonts w:asciiTheme="minorHAnsi" w:hAnsiTheme="minorHAnsi" w:cstheme="minorHAnsi"/>
        </w:rPr>
        <w:fldChar w:fldCharType="end"/>
      </w:r>
      <w:r w:rsidRPr="007809F4">
        <w:rPr>
          <w:rFonts w:asciiTheme="minorHAnsi" w:hAnsiTheme="minorHAnsi" w:cstheme="minorHAnsi"/>
        </w:rPr>
        <w:t>, [32], [126].</w:t>
      </w:r>
    </w:p>
  </w:footnote>
  <w:footnote w:id="476">
    <w:p w14:paraId="752313E2" w14:textId="1354E7A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See </w:t>
      </w:r>
      <w:r w:rsidRPr="007809F4">
        <w:rPr>
          <w:rFonts w:asciiTheme="minorHAnsi" w:hAnsiTheme="minorHAnsi" w:cstheme="minorHAnsi"/>
        </w:rPr>
        <w:t>“</w:t>
      </w:r>
      <w:r w:rsidRPr="00EB7F1E">
        <w:rPr>
          <w:rFonts w:asciiTheme="minorHAnsi" w:hAnsiTheme="minorHAnsi" w:cstheme="minorHAnsi"/>
        </w:rPr>
        <w:fldChar w:fldCharType="begin"/>
      </w:r>
      <w:r w:rsidRPr="00EB7F1E">
        <w:rPr>
          <w:rFonts w:asciiTheme="minorHAnsi" w:hAnsiTheme="minorHAnsi" w:cstheme="minorHAnsi"/>
        </w:rPr>
        <w:instrText xml:space="preserve"> REF _Ref492550047 \r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_Ref492550047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Prospect of visa cancellation and deportation</w:t>
      </w:r>
      <w:r w:rsidRPr="00EB7F1E">
        <w:rPr>
          <w:rFonts w:asciiTheme="minorHAnsi" w:hAnsiTheme="minorHAnsi" w:cstheme="minorHAnsi"/>
        </w:rPr>
        <w:fldChar w:fldCharType="end"/>
      </w:r>
      <w:r w:rsidRPr="007809F4">
        <w:rPr>
          <w:rFonts w:asciiTheme="minorHAnsi" w:hAnsiTheme="minorHAnsi" w:cstheme="minorHAnsi"/>
        </w:rPr>
        <w:t>”.</w:t>
      </w:r>
    </w:p>
  </w:footnote>
  <w:footnote w:id="477">
    <w:p w14:paraId="47439224" w14:textId="3490A5C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E.g. </w:t>
      </w:r>
      <w:r w:rsidRPr="00EB7F1E">
        <w:rPr>
          <w:rFonts w:asciiTheme="minorHAnsi" w:hAnsiTheme="minorHAnsi" w:cstheme="minorHAnsi"/>
          <w:bCs/>
          <w:i/>
          <w:iCs/>
        </w:rPr>
        <w:t>R v Ronen</w:t>
      </w:r>
      <w:r w:rsidRPr="007809F4">
        <w:rPr>
          <w:rFonts w:asciiTheme="minorHAnsi" w:hAnsiTheme="minorHAnsi" w:cstheme="minorHAnsi"/>
          <w:bCs/>
          <w:iCs/>
        </w:rPr>
        <w:t xml:space="preserve"> [2006] NSWCCA 123</w:t>
      </w:r>
      <w:r w:rsidRPr="00EB7F1E">
        <w:rPr>
          <w:rFonts w:asciiTheme="minorHAnsi" w:hAnsiTheme="minorHAnsi" w:cstheme="minorHAnsi"/>
          <w:bCs/>
          <w:i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bCs/>
          <w:i/>
          <w:iCs/>
        </w:rPr>
        <w:instrText>R v Ronen</w:instrText>
      </w:r>
      <w:r w:rsidRPr="007809F4">
        <w:rPr>
          <w:rFonts w:asciiTheme="minorHAnsi" w:hAnsiTheme="minorHAnsi" w:cstheme="minorHAnsi"/>
          <w:bCs/>
          <w:iCs/>
        </w:rPr>
        <w:instrText xml:space="preserve"> [2006] NSWCCA 123</w:instrText>
      </w:r>
      <w:r w:rsidRPr="00EB7F1E">
        <w:rPr>
          <w:rFonts w:asciiTheme="minorHAnsi" w:hAnsiTheme="minorHAnsi" w:cstheme="minorHAnsi"/>
        </w:rPr>
        <w:instrText xml:space="preserve">" \s "R v Ronen [2006] NSWCCA 123" \c 1 </w:instrText>
      </w:r>
      <w:r w:rsidRPr="00EB7F1E">
        <w:rPr>
          <w:rFonts w:asciiTheme="minorHAnsi" w:hAnsiTheme="minorHAnsi" w:cstheme="minorHAnsi"/>
          <w:bCs/>
          <w:iCs/>
        </w:rPr>
        <w:fldChar w:fldCharType="end"/>
      </w:r>
      <w:r w:rsidRPr="007809F4">
        <w:rPr>
          <w:rFonts w:asciiTheme="minorHAnsi" w:hAnsiTheme="minorHAnsi" w:cstheme="minorHAnsi"/>
          <w:bCs/>
          <w:iCs/>
        </w:rPr>
        <w:t>.</w:t>
      </w:r>
    </w:p>
  </w:footnote>
  <w:footnote w:id="478">
    <w:p w14:paraId="62C2A2DA" w14:textId="70CE082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See </w:t>
      </w:r>
      <w:r w:rsidRPr="007809F4">
        <w:rPr>
          <w:rFonts w:asciiTheme="minorHAnsi" w:hAnsiTheme="minorHAnsi" w:cstheme="minorHAnsi"/>
        </w:rPr>
        <w:t>“</w:t>
      </w:r>
      <w:r w:rsidRPr="00EB7F1E">
        <w:rPr>
          <w:rFonts w:asciiTheme="minorHAnsi" w:hAnsiTheme="minorHAnsi" w:cstheme="minorHAnsi"/>
        </w:rPr>
        <w:fldChar w:fldCharType="begin"/>
      </w:r>
      <w:r w:rsidRPr="00EB7F1E">
        <w:rPr>
          <w:rFonts w:asciiTheme="minorHAnsi" w:hAnsiTheme="minorHAnsi" w:cstheme="minorHAnsi"/>
        </w:rPr>
        <w:instrText xml:space="preserve"> REF _Ref2007579 \r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4.5.8</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_Ref2007588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Orders under Proceeds of Crime Act 2002 (Cth)</w:t>
      </w:r>
      <w:r w:rsidRPr="00EB7F1E">
        <w:rPr>
          <w:rFonts w:asciiTheme="minorHAnsi" w:hAnsiTheme="minorHAnsi" w:cstheme="minorHAnsi"/>
        </w:rPr>
        <w:fldChar w:fldCharType="end"/>
      </w:r>
      <w:r w:rsidRPr="007809F4">
        <w:rPr>
          <w:rFonts w:asciiTheme="minorHAnsi" w:hAnsiTheme="minorHAnsi" w:cstheme="minorHAnsi"/>
        </w:rPr>
        <w:t>”, “</w:t>
      </w:r>
      <w:r w:rsidRPr="00EB7F1E">
        <w:rPr>
          <w:rFonts w:asciiTheme="minorHAnsi" w:hAnsiTheme="minorHAnsi" w:cstheme="minorHAnsi"/>
        </w:rPr>
        <w:fldChar w:fldCharType="begin"/>
      </w:r>
      <w:r w:rsidRPr="00EB7F1E">
        <w:rPr>
          <w:rFonts w:asciiTheme="minorHAnsi" w:hAnsiTheme="minorHAnsi" w:cstheme="minorHAnsi"/>
        </w:rPr>
        <w:instrText xml:space="preserve"> REF _Ref2007606 \r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_Ref2007614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Prospect of a future order under Proceeds of Crime Act 2002 (Cth)</w:t>
      </w:r>
      <w:r w:rsidRPr="00EB7F1E">
        <w:rPr>
          <w:rFonts w:asciiTheme="minorHAnsi" w:hAnsiTheme="minorHAnsi" w:cstheme="minorHAnsi"/>
        </w:rPr>
        <w:fldChar w:fldCharType="end"/>
      </w:r>
      <w:r w:rsidRPr="007809F4">
        <w:rPr>
          <w:rFonts w:asciiTheme="minorHAnsi" w:hAnsiTheme="minorHAnsi" w:cstheme="minorHAnsi"/>
        </w:rPr>
        <w:t>”, “</w:t>
      </w:r>
      <w:r w:rsidRPr="00EB7F1E">
        <w:rPr>
          <w:rFonts w:asciiTheme="minorHAnsi" w:hAnsiTheme="minorHAnsi" w:cstheme="minorHAnsi"/>
        </w:rPr>
        <w:fldChar w:fldCharType="begin"/>
      </w:r>
      <w:r w:rsidRPr="00EB7F1E">
        <w:rPr>
          <w:rFonts w:asciiTheme="minorHAnsi" w:hAnsiTheme="minorHAnsi" w:cstheme="minorHAnsi"/>
        </w:rPr>
        <w:instrText xml:space="preserve"> REF _Ref491941958 \r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4.5.11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_Ref491941958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Forfeiture by operation of law</w:t>
      </w:r>
      <w:r w:rsidRPr="00EB7F1E">
        <w:rPr>
          <w:rFonts w:asciiTheme="minorHAnsi" w:hAnsiTheme="minorHAnsi" w:cstheme="minorHAnsi"/>
        </w:rPr>
        <w:fldChar w:fldCharType="end"/>
      </w:r>
      <w:r w:rsidRPr="007809F4">
        <w:rPr>
          <w:rFonts w:asciiTheme="minorHAnsi" w:hAnsiTheme="minorHAnsi" w:cstheme="minorHAnsi"/>
        </w:rPr>
        <w:t>” and “</w:t>
      </w:r>
      <w:r w:rsidRPr="00EB7F1E">
        <w:rPr>
          <w:rFonts w:asciiTheme="minorHAnsi" w:hAnsiTheme="minorHAnsi" w:cstheme="minorHAnsi"/>
        </w:rPr>
        <w:fldChar w:fldCharType="begin"/>
      </w:r>
      <w:r w:rsidRPr="00EB7F1E">
        <w:rPr>
          <w:rFonts w:asciiTheme="minorHAnsi" w:hAnsiTheme="minorHAnsi" w:cstheme="minorHAnsi"/>
        </w:rPr>
        <w:instrText xml:space="preserve"> REF _Ref2007683 \r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4.5.12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_Ref2007691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Superannuation order</w:t>
      </w:r>
      <w:r w:rsidRPr="00EB7F1E">
        <w:rPr>
          <w:rFonts w:asciiTheme="minorHAnsi" w:hAnsiTheme="minorHAnsi" w:cstheme="minorHAnsi"/>
        </w:rPr>
        <w:fldChar w:fldCharType="end"/>
      </w:r>
      <w:r w:rsidRPr="007809F4">
        <w:rPr>
          <w:rFonts w:asciiTheme="minorHAnsi" w:hAnsiTheme="minorHAnsi" w:cstheme="minorHAnsi"/>
        </w:rPr>
        <w:t>”.</w:t>
      </w:r>
    </w:p>
  </w:footnote>
  <w:footnote w:id="479">
    <w:p w14:paraId="6DBE546C" w14:textId="2E9ABBA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iCs/>
        </w:rPr>
        <w:t>E</w:t>
      </w:r>
      <w:r w:rsidRPr="007809F4">
        <w:rPr>
          <w:rFonts w:asciiTheme="minorHAnsi" w:hAnsiTheme="minorHAnsi" w:cstheme="minorHAnsi"/>
          <w:i/>
        </w:rPr>
        <w:t>infeld v R</w:t>
      </w:r>
      <w:r w:rsidRPr="007809F4">
        <w:rPr>
          <w:rFonts w:asciiTheme="minorHAnsi" w:hAnsiTheme="minorHAnsi" w:cstheme="minorHAnsi"/>
        </w:rPr>
        <w:t xml:space="preserve"> [2010] NSWCCA 87</w:t>
      </w:r>
      <w:r w:rsidRPr="00EB7F1E">
        <w:rPr>
          <w:rFonts w:asciiTheme="minorHAnsi" w:hAnsiTheme="minorHAnsi" w:cstheme="minorHAnsi"/>
        </w:rPr>
        <w:fldChar w:fldCharType="begin"/>
      </w:r>
      <w:r w:rsidRPr="007809F4">
        <w:rPr>
          <w:rFonts w:asciiTheme="minorHAnsi" w:hAnsiTheme="minorHAnsi" w:cstheme="minorHAnsi"/>
        </w:rPr>
        <w:instrText xml:space="preserve"> TA \s "Einfeld v R [2010] NSWCCA 87" </w:instrText>
      </w:r>
      <w:r w:rsidRPr="00EB7F1E">
        <w:rPr>
          <w:rFonts w:asciiTheme="minorHAnsi" w:hAnsiTheme="minorHAnsi" w:cstheme="minorHAnsi"/>
        </w:rPr>
        <w:fldChar w:fldCharType="end"/>
      </w:r>
      <w:r w:rsidRPr="007809F4">
        <w:rPr>
          <w:rFonts w:asciiTheme="minorHAnsi" w:hAnsiTheme="minorHAnsi" w:cstheme="minorHAnsi"/>
        </w:rPr>
        <w:t>, [89].</w:t>
      </w:r>
    </w:p>
  </w:footnote>
  <w:footnote w:id="480">
    <w:p w14:paraId="2A2C5A4C" w14:textId="52CFBC1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Silvano</w:t>
      </w:r>
      <w:r w:rsidRPr="007809F4">
        <w:rPr>
          <w:rFonts w:asciiTheme="minorHAnsi" w:hAnsiTheme="minorHAnsi" w:cstheme="minorHAnsi"/>
        </w:rPr>
        <w:t xml:space="preserve"> [2008] NSWCCA 118</w:t>
      </w:r>
      <w:r w:rsidRPr="00EB7F1E">
        <w:rPr>
          <w:rFonts w:asciiTheme="minorHAnsi" w:hAnsiTheme="minorHAnsi" w:cstheme="minorHAnsi"/>
        </w:rPr>
        <w:fldChar w:fldCharType="begin"/>
      </w:r>
      <w:r w:rsidRPr="007809F4">
        <w:rPr>
          <w:rFonts w:asciiTheme="minorHAnsi" w:hAnsiTheme="minorHAnsi" w:cstheme="minorHAnsi"/>
        </w:rPr>
        <w:instrText xml:space="preserve"> TA \s "R v Silvano [2008] NSWCCA 118" </w:instrText>
      </w:r>
      <w:r w:rsidRPr="00EB7F1E">
        <w:rPr>
          <w:rFonts w:asciiTheme="minorHAnsi" w:hAnsiTheme="minorHAnsi" w:cstheme="minorHAnsi"/>
        </w:rPr>
        <w:fldChar w:fldCharType="end"/>
      </w:r>
      <w:r w:rsidRPr="007809F4">
        <w:rPr>
          <w:rFonts w:asciiTheme="minorHAnsi" w:hAnsiTheme="minorHAnsi" w:cstheme="minorHAnsi"/>
        </w:rPr>
        <w:t>, [34]-[35].</w:t>
      </w:r>
    </w:p>
  </w:footnote>
  <w:footnote w:id="481">
    <w:p w14:paraId="6AC3CDF9" w14:textId="64A2FFB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Stanbouli</w:t>
      </w:r>
      <w:r w:rsidRPr="007809F4">
        <w:rPr>
          <w:rFonts w:asciiTheme="minorHAnsi" w:hAnsiTheme="minorHAnsi" w:cstheme="minorHAnsi"/>
        </w:rPr>
        <w:t xml:space="preserve"> [2003] NSWCCA 355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Stanbouli</w:instrText>
      </w:r>
      <w:r w:rsidRPr="007809F4">
        <w:rPr>
          <w:rFonts w:asciiTheme="minorHAnsi" w:hAnsiTheme="minorHAnsi" w:cstheme="minorHAnsi"/>
        </w:rPr>
        <w:instrText xml:space="preserve"> [2003] NSWCCA 355</w:instrText>
      </w:r>
      <w:r w:rsidRPr="00EB7F1E">
        <w:rPr>
          <w:rFonts w:asciiTheme="minorHAnsi" w:hAnsiTheme="minorHAnsi" w:cstheme="minorHAnsi"/>
        </w:rPr>
        <w:instrText xml:space="preserve">" \s "R v Stanbouli [2003] NSWCCA 355" \c 1 </w:instrText>
      </w:r>
      <w:r w:rsidRPr="00EB7F1E">
        <w:rPr>
          <w:rFonts w:asciiTheme="minorHAnsi" w:hAnsiTheme="minorHAnsi" w:cstheme="minorHAnsi"/>
        </w:rPr>
        <w:fldChar w:fldCharType="end"/>
      </w:r>
      <w:r w:rsidRPr="007809F4">
        <w:rPr>
          <w:rFonts w:asciiTheme="minorHAnsi" w:hAnsiTheme="minorHAnsi" w:cstheme="minorHAnsi"/>
        </w:rPr>
        <w:t xml:space="preserve">, [81]; </w:t>
      </w:r>
      <w:r w:rsidRPr="00EB7F1E">
        <w:rPr>
          <w:rFonts w:asciiTheme="minorHAnsi" w:hAnsiTheme="minorHAnsi" w:cstheme="minorHAnsi"/>
          <w:i/>
        </w:rPr>
        <w:t>Cargnello v DPP (Cth)</w:t>
      </w:r>
      <w:r w:rsidRPr="00EB7F1E">
        <w:rPr>
          <w:rFonts w:asciiTheme="minorHAnsi" w:hAnsiTheme="minorHAnsi" w:cstheme="minorHAnsi"/>
        </w:rPr>
        <w:t xml:space="preserve"> [2012] NSWCCA 162</w:t>
      </w:r>
      <w:r w:rsidRPr="00EB7F1E">
        <w:rPr>
          <w:rFonts w:asciiTheme="minorHAnsi" w:hAnsiTheme="minorHAnsi" w:cstheme="minorHAnsi"/>
        </w:rPr>
        <w:fldChar w:fldCharType="begin"/>
      </w:r>
      <w:r w:rsidRPr="007809F4">
        <w:rPr>
          <w:rFonts w:asciiTheme="minorHAnsi" w:hAnsiTheme="minorHAnsi" w:cstheme="minorHAnsi"/>
        </w:rPr>
        <w:instrText xml:space="preserve"> TA \s "Cargnello v DPP (Cth) [2012] NSWCCA 162" </w:instrText>
      </w:r>
      <w:r w:rsidRPr="00EB7F1E">
        <w:rPr>
          <w:rFonts w:asciiTheme="minorHAnsi" w:hAnsiTheme="minorHAnsi" w:cstheme="minorHAnsi"/>
        </w:rPr>
        <w:fldChar w:fldCharType="end"/>
      </w:r>
      <w:r w:rsidRPr="007809F4">
        <w:rPr>
          <w:rFonts w:asciiTheme="minorHAnsi" w:hAnsiTheme="minorHAnsi" w:cstheme="minorHAnsi"/>
        </w:rPr>
        <w:t xml:space="preserve">, [60].  In </w:t>
      </w:r>
      <w:r w:rsidRPr="007809F4">
        <w:rPr>
          <w:rFonts w:asciiTheme="minorHAnsi" w:hAnsiTheme="minorHAnsi" w:cstheme="minorHAnsi"/>
          <w:i/>
        </w:rPr>
        <w:t>Einfeld v R</w:t>
      </w:r>
      <w:r w:rsidRPr="007809F4">
        <w:rPr>
          <w:rFonts w:asciiTheme="minorHAnsi" w:hAnsiTheme="minorHAnsi" w:cstheme="minorHAnsi"/>
        </w:rPr>
        <w:t xml:space="preserve"> [2010] NSWCCA 87</w:t>
      </w:r>
      <w:r w:rsidRPr="00EB7F1E">
        <w:rPr>
          <w:rFonts w:asciiTheme="minorHAnsi" w:hAnsiTheme="minorHAnsi" w:cstheme="minorHAnsi"/>
        </w:rPr>
        <w:fldChar w:fldCharType="begin"/>
      </w:r>
      <w:r w:rsidRPr="007809F4">
        <w:rPr>
          <w:rFonts w:asciiTheme="minorHAnsi" w:hAnsiTheme="minorHAnsi" w:cstheme="minorHAnsi"/>
        </w:rPr>
        <w:instrText xml:space="preserve"> TA \s "Einfeld v R [2010] NSWCCA 87" </w:instrText>
      </w:r>
      <w:r w:rsidRPr="00EB7F1E">
        <w:rPr>
          <w:rFonts w:asciiTheme="minorHAnsi" w:hAnsiTheme="minorHAnsi" w:cstheme="minorHAnsi"/>
        </w:rPr>
        <w:fldChar w:fldCharType="end"/>
      </w:r>
      <w:r w:rsidRPr="007809F4">
        <w:rPr>
          <w:rFonts w:asciiTheme="minorHAnsi" w:hAnsiTheme="minorHAnsi" w:cstheme="minorHAnsi"/>
        </w:rPr>
        <w:t>, [89], Basten JA (with whom Hulme and Latham JJ agreed) observed, “</w:t>
      </w:r>
      <w:r w:rsidRPr="00EB7F1E">
        <w:rPr>
          <w:rFonts w:asciiTheme="minorHAnsi" w:hAnsiTheme="minorHAnsi" w:cstheme="minorHAnsi"/>
          <w:i/>
        </w:rPr>
        <w:t>Taking account of the economic consequences (including loss of employment) which inevitably follow from imprisonment, may mean that those previously in employment will receive shorter sentences than those who were unemployed.</w:t>
      </w:r>
      <w:r w:rsidRPr="007809F4">
        <w:rPr>
          <w:rFonts w:asciiTheme="minorHAnsi" w:hAnsiTheme="minorHAnsi" w:cstheme="minorHAnsi"/>
        </w:rPr>
        <w:t>”</w:t>
      </w:r>
    </w:p>
  </w:footnote>
  <w:footnote w:id="482">
    <w:p w14:paraId="067DDC2A" w14:textId="188784D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R v TA</w:t>
      </w:r>
      <w:r w:rsidRPr="007809F4">
        <w:rPr>
          <w:rFonts w:asciiTheme="minorHAnsi" w:hAnsiTheme="minorHAnsi" w:cstheme="minorHAnsi"/>
        </w:rPr>
        <w:t xml:space="preserve"> </w:t>
      </w:r>
      <w:r w:rsidRPr="00EB7F1E">
        <w:rPr>
          <w:rFonts w:asciiTheme="minorHAnsi" w:hAnsiTheme="minorHAnsi" w:cstheme="minorHAnsi"/>
        </w:rPr>
        <w:t>(2003) 57 NSWLR 444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TA</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(2003) 57 NSWLR 444" \s "R v TA (2003) 57 NSWLR 444" \c 1 </w:instrText>
      </w:r>
      <w:r w:rsidRPr="00EB7F1E">
        <w:rPr>
          <w:rFonts w:asciiTheme="minorHAnsi" w:hAnsiTheme="minorHAnsi" w:cstheme="minorHAnsi"/>
        </w:rPr>
        <w:fldChar w:fldCharType="end"/>
      </w:r>
      <w:r w:rsidRPr="007809F4">
        <w:rPr>
          <w:rFonts w:asciiTheme="minorHAnsi" w:hAnsiTheme="minorHAnsi" w:cstheme="minorHAnsi"/>
        </w:rPr>
        <w:t>, [32].</w:t>
      </w:r>
    </w:p>
  </w:footnote>
  <w:footnote w:id="483">
    <w:p w14:paraId="208AB603" w14:textId="2157BF0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R</w:t>
      </w:r>
      <w:r w:rsidRPr="007809F4">
        <w:rPr>
          <w:rFonts w:asciiTheme="minorHAnsi" w:hAnsiTheme="minorHAnsi" w:cstheme="minorHAnsi"/>
        </w:rPr>
        <w:t xml:space="preserve"> v </w:t>
      </w:r>
      <w:r w:rsidRPr="00EB7F1E">
        <w:rPr>
          <w:rFonts w:asciiTheme="minorHAnsi" w:hAnsiTheme="minorHAnsi" w:cstheme="minorHAnsi"/>
          <w:i/>
        </w:rPr>
        <w:t>Talia</w:t>
      </w:r>
      <w:r w:rsidRPr="007809F4">
        <w:rPr>
          <w:rFonts w:asciiTheme="minorHAnsi" w:hAnsiTheme="minorHAnsi" w:cstheme="minorHAnsi"/>
        </w:rPr>
        <w:t xml:space="preserve"> [2009] VSCA 260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w:instrText>
      </w:r>
      <w:r w:rsidRPr="007809F4">
        <w:rPr>
          <w:rFonts w:asciiTheme="minorHAnsi" w:hAnsiTheme="minorHAnsi" w:cstheme="minorHAnsi"/>
        </w:rPr>
        <w:instrText xml:space="preserve"> v </w:instrText>
      </w:r>
      <w:r w:rsidRPr="00EB7F1E">
        <w:rPr>
          <w:rFonts w:asciiTheme="minorHAnsi" w:hAnsiTheme="minorHAnsi" w:cstheme="minorHAnsi"/>
          <w:i/>
        </w:rPr>
        <w:instrText>Talia</w:instrText>
      </w:r>
      <w:r w:rsidRPr="007809F4">
        <w:rPr>
          <w:rFonts w:asciiTheme="minorHAnsi" w:hAnsiTheme="minorHAnsi" w:cstheme="minorHAnsi"/>
        </w:rPr>
        <w:instrText xml:space="preserve"> [2009] VSCA 260</w:instrText>
      </w:r>
      <w:r w:rsidRPr="00EB7F1E">
        <w:rPr>
          <w:rFonts w:asciiTheme="minorHAnsi" w:hAnsiTheme="minorHAnsi" w:cstheme="minorHAnsi"/>
        </w:rPr>
        <w:instrText xml:space="preserve">" \s "R v Talia [2009] VSCA 260" \c 1 </w:instrText>
      </w:r>
      <w:r w:rsidRPr="00EB7F1E">
        <w:rPr>
          <w:rFonts w:asciiTheme="minorHAnsi" w:hAnsiTheme="minorHAnsi" w:cstheme="minorHAnsi"/>
        </w:rPr>
        <w:fldChar w:fldCharType="end"/>
      </w:r>
      <w:r w:rsidRPr="007809F4">
        <w:rPr>
          <w:rFonts w:asciiTheme="minorHAnsi" w:hAnsiTheme="minorHAnsi" w:cstheme="minorHAnsi"/>
        </w:rPr>
        <w:t>.  The offender in that case was dealt with for State offences but there does not appear to be any reason why the same principles should not apply in sentencing a federal offender.</w:t>
      </w:r>
    </w:p>
  </w:footnote>
  <w:footnote w:id="484">
    <w:p w14:paraId="533BF134" w14:textId="5FD7747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Talia</w:t>
      </w:r>
      <w:r w:rsidRPr="007809F4">
        <w:rPr>
          <w:rFonts w:asciiTheme="minorHAnsi" w:hAnsiTheme="minorHAnsi" w:cstheme="minorHAnsi"/>
        </w:rPr>
        <w:t xml:space="preserve"> [2009] VSCA 260</w:t>
      </w:r>
      <w:r w:rsidRPr="00EB7F1E">
        <w:rPr>
          <w:rFonts w:asciiTheme="minorHAnsi" w:hAnsiTheme="minorHAnsi" w:cstheme="minorHAnsi"/>
        </w:rPr>
        <w:fldChar w:fldCharType="begin"/>
      </w:r>
      <w:r w:rsidRPr="007809F4">
        <w:rPr>
          <w:rFonts w:asciiTheme="minorHAnsi" w:hAnsiTheme="minorHAnsi" w:cstheme="minorHAnsi"/>
        </w:rPr>
        <w:instrText xml:space="preserve"> TA \s "R v Talia [2009] VSCA 260" </w:instrText>
      </w:r>
      <w:r w:rsidRPr="00EB7F1E">
        <w:rPr>
          <w:rFonts w:asciiTheme="minorHAnsi" w:hAnsiTheme="minorHAnsi" w:cstheme="minorHAnsi"/>
        </w:rPr>
        <w:fldChar w:fldCharType="end"/>
      </w:r>
      <w:r w:rsidRPr="007809F4">
        <w:rPr>
          <w:rFonts w:asciiTheme="minorHAnsi" w:hAnsiTheme="minorHAnsi" w:cstheme="minorHAnsi"/>
        </w:rPr>
        <w:t xml:space="preserve">, [25]-[30].  </w:t>
      </w:r>
      <w:r w:rsidRPr="00EB7F1E">
        <w:rPr>
          <w:rFonts w:asciiTheme="minorHAnsi" w:hAnsiTheme="minorHAnsi" w:cstheme="minorHAnsi"/>
          <w:i/>
        </w:rPr>
        <w:t>Poynder v R</w:t>
      </w:r>
      <w:r w:rsidRPr="007809F4">
        <w:rPr>
          <w:rFonts w:asciiTheme="minorHAnsi" w:hAnsiTheme="minorHAnsi" w:cstheme="minorHAnsi"/>
        </w:rPr>
        <w:t xml:space="preserve"> [2007] NSWCCA 157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Poynder v R</w:instrText>
      </w:r>
      <w:r w:rsidRPr="007809F4">
        <w:rPr>
          <w:rFonts w:asciiTheme="minorHAnsi" w:hAnsiTheme="minorHAnsi" w:cstheme="minorHAnsi"/>
        </w:rPr>
        <w:instrText xml:space="preserve"> [2007] NSWCCA 157</w:instrText>
      </w:r>
      <w:r w:rsidRPr="00EB7F1E">
        <w:rPr>
          <w:rFonts w:asciiTheme="minorHAnsi" w:hAnsiTheme="minorHAnsi" w:cstheme="minorHAnsi"/>
        </w:rPr>
        <w:instrText xml:space="preserve">" \s "Poynder v R [2007] NSWCCA 157" \c 1 </w:instrText>
      </w:r>
      <w:r w:rsidRPr="00EB7F1E">
        <w:rPr>
          <w:rFonts w:asciiTheme="minorHAnsi" w:hAnsiTheme="minorHAnsi" w:cstheme="minorHAnsi"/>
        </w:rPr>
        <w:fldChar w:fldCharType="end"/>
      </w:r>
      <w:r w:rsidRPr="007809F4">
        <w:rPr>
          <w:rFonts w:asciiTheme="minorHAnsi" w:hAnsiTheme="minorHAnsi" w:cstheme="minorHAnsi"/>
        </w:rPr>
        <w:t xml:space="preserve"> and </w:t>
      </w:r>
      <w:r w:rsidRPr="00EB7F1E">
        <w:rPr>
          <w:rFonts w:asciiTheme="minorHAnsi" w:hAnsiTheme="minorHAnsi" w:cstheme="minorHAnsi"/>
          <w:i/>
        </w:rPr>
        <w:t>Parente v R</w:t>
      </w:r>
      <w:r w:rsidRPr="007809F4">
        <w:rPr>
          <w:rFonts w:asciiTheme="minorHAnsi" w:hAnsiTheme="minorHAnsi" w:cstheme="minorHAnsi"/>
        </w:rPr>
        <w:t xml:space="preserve"> (2017) 96 NSWLR 633</w:t>
      </w:r>
      <w:r w:rsidRPr="00EB7F1E">
        <w:rPr>
          <w:rFonts w:asciiTheme="minorHAnsi" w:hAnsiTheme="minorHAnsi" w:cstheme="minorHAnsi"/>
        </w:rPr>
        <w:fldChar w:fldCharType="begin"/>
      </w:r>
      <w:r w:rsidRPr="007809F4">
        <w:rPr>
          <w:rFonts w:asciiTheme="minorHAnsi" w:hAnsiTheme="minorHAnsi" w:cstheme="minorHAnsi"/>
        </w:rPr>
        <w:instrText xml:space="preserve"> TA \s "Parente v R (2017) 96 NSWLR 633" </w:instrText>
      </w:r>
      <w:r w:rsidRPr="00EB7F1E">
        <w:rPr>
          <w:rFonts w:asciiTheme="minorHAnsi" w:hAnsiTheme="minorHAnsi" w:cstheme="minorHAnsi"/>
        </w:rPr>
        <w:fldChar w:fldCharType="end"/>
      </w:r>
      <w:r w:rsidRPr="007809F4">
        <w:rPr>
          <w:rFonts w:asciiTheme="minorHAnsi" w:hAnsiTheme="minorHAnsi" w:cstheme="minorHAnsi"/>
        </w:rPr>
        <w:t xml:space="preserve">, where solicitors were disqualified from practice as a consequence of offending unrelated to the offender’s legal practice, can be seen as examples of cases falling within the latter category. </w:t>
      </w:r>
    </w:p>
  </w:footnote>
  <w:footnote w:id="485">
    <w:p w14:paraId="7CBF586F" w14:textId="77777777" w:rsidR="00D44BCF" w:rsidRPr="007809F4" w:rsidRDefault="00D44BCF" w:rsidP="00F747F0">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Ryan v R</w:t>
      </w:r>
      <w:r w:rsidRPr="007809F4">
        <w:rPr>
          <w:rFonts w:asciiTheme="minorHAnsi" w:hAnsiTheme="minorHAnsi" w:cstheme="minorHAnsi"/>
        </w:rPr>
        <w:t xml:space="preserve"> (2001) 206 CLR 267</w:t>
      </w:r>
      <w:r w:rsidRPr="00EB7F1E">
        <w:rPr>
          <w:rFonts w:asciiTheme="minorHAnsi" w:hAnsiTheme="minorHAnsi" w:cstheme="minorHAnsi"/>
        </w:rPr>
        <w:fldChar w:fldCharType="begin"/>
      </w:r>
      <w:r w:rsidRPr="007809F4">
        <w:rPr>
          <w:rFonts w:asciiTheme="minorHAnsi" w:hAnsiTheme="minorHAnsi" w:cstheme="minorHAnsi"/>
        </w:rPr>
        <w:instrText xml:space="preserve"> TA " \s "Ryan v R (2001) 206 CLR 267"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"Ryan v R (2001) 206 CLR 267" </w:instrText>
      </w:r>
      <w:r w:rsidRPr="00EB7F1E">
        <w:rPr>
          <w:rFonts w:asciiTheme="minorHAnsi" w:hAnsiTheme="minorHAnsi" w:cstheme="minorHAnsi"/>
        </w:rPr>
        <w:fldChar w:fldCharType="end"/>
      </w:r>
      <w:r w:rsidRPr="007809F4">
        <w:rPr>
          <w:rFonts w:asciiTheme="minorHAnsi" w:hAnsiTheme="minorHAnsi" w:cstheme="minorHAnsi"/>
        </w:rPr>
        <w:t>, [52]-[55] (McHugh J), [123] (Kirby J), [157] (Hayne J), [177] (Callinan J).</w:t>
      </w:r>
    </w:p>
  </w:footnote>
  <w:footnote w:id="486">
    <w:p w14:paraId="53B08878" w14:textId="7B771F55" w:rsidR="00D44BCF" w:rsidRPr="007809F4" w:rsidRDefault="00D44BCF" w:rsidP="00F747F0">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In </w:t>
      </w:r>
      <w:r w:rsidRPr="00EB7F1E">
        <w:rPr>
          <w:rFonts w:asciiTheme="minorHAnsi" w:hAnsiTheme="minorHAnsi" w:cstheme="minorHAnsi"/>
          <w:i/>
          <w:iCs/>
        </w:rPr>
        <w:t>Sabel v R</w:t>
      </w:r>
      <w:r w:rsidRPr="007809F4">
        <w:rPr>
          <w:rFonts w:asciiTheme="minorHAnsi" w:hAnsiTheme="minorHAnsi" w:cstheme="minorHAnsi"/>
        </w:rPr>
        <w:t xml:space="preserve"> [2014] NSWCCA 101</w:t>
      </w:r>
      <w:r w:rsidRPr="00EB7F1E">
        <w:rPr>
          <w:rFonts w:asciiTheme="minorHAnsi" w:hAnsiTheme="minorHAnsi" w:cstheme="minorHAnsi"/>
        </w:rPr>
        <w:fldChar w:fldCharType="begin"/>
      </w:r>
      <w:r w:rsidRPr="007809F4">
        <w:rPr>
          <w:rFonts w:asciiTheme="minorHAnsi" w:hAnsiTheme="minorHAnsi" w:cstheme="minorHAnsi"/>
        </w:rPr>
        <w:instrText xml:space="preserve"> TA \s "Sabel v R [2014] NSWCCA 101" </w:instrText>
      </w:r>
      <w:r w:rsidRPr="00EB7F1E">
        <w:rPr>
          <w:rFonts w:asciiTheme="minorHAnsi" w:hAnsiTheme="minorHAnsi" w:cstheme="minorHAnsi"/>
        </w:rPr>
        <w:fldChar w:fldCharType="end"/>
      </w:r>
      <w:r w:rsidRPr="007809F4">
        <w:rPr>
          <w:rFonts w:asciiTheme="minorHAnsi" w:hAnsiTheme="minorHAnsi" w:cstheme="minorHAnsi"/>
        </w:rPr>
        <w:t xml:space="preserve">, [211], the Court held that adverse social </w:t>
      </w:r>
      <w:r w:rsidRPr="00EB7F1E">
        <w:rPr>
          <w:rFonts w:asciiTheme="minorHAnsi" w:hAnsiTheme="minorHAnsi" w:cstheme="minorHAnsi"/>
        </w:rPr>
        <w:t>consequence</w:t>
      </w:r>
      <w:r w:rsidRPr="007809F4">
        <w:rPr>
          <w:rFonts w:asciiTheme="minorHAnsi" w:hAnsiTheme="minorHAnsi" w:cstheme="minorHAnsi"/>
        </w:rPr>
        <w:t>s</w:t>
      </w:r>
      <w:r w:rsidRPr="00EB7F1E">
        <w:rPr>
          <w:rFonts w:asciiTheme="minorHAnsi" w:hAnsiTheme="minorHAnsi" w:cstheme="minorHAnsi"/>
        </w:rPr>
        <w:t xml:space="preserve"> that </w:t>
      </w:r>
      <w:r w:rsidRPr="007809F4">
        <w:rPr>
          <w:rFonts w:asciiTheme="minorHAnsi" w:hAnsiTheme="minorHAnsi" w:cstheme="minorHAnsi"/>
        </w:rPr>
        <w:t>an</w:t>
      </w:r>
      <w:r w:rsidRPr="00EB7F1E">
        <w:rPr>
          <w:rFonts w:asciiTheme="minorHAnsi" w:hAnsiTheme="minorHAnsi" w:cstheme="minorHAnsi"/>
        </w:rPr>
        <w:t xml:space="preserve"> </w:t>
      </w:r>
      <w:r w:rsidRPr="007809F4">
        <w:rPr>
          <w:rFonts w:asciiTheme="minorHAnsi" w:hAnsiTheme="minorHAnsi" w:cstheme="minorHAnsi"/>
        </w:rPr>
        <w:t>offender</w:t>
      </w:r>
      <w:r w:rsidRPr="00EB7F1E">
        <w:rPr>
          <w:rFonts w:asciiTheme="minorHAnsi" w:hAnsiTheme="minorHAnsi" w:cstheme="minorHAnsi"/>
        </w:rPr>
        <w:t xml:space="preserve"> may suffer from being convicted of accessing and possessing child pornography </w:t>
      </w:r>
      <w:r w:rsidRPr="007809F4">
        <w:rPr>
          <w:rFonts w:asciiTheme="minorHAnsi" w:hAnsiTheme="minorHAnsi" w:cstheme="minorHAnsi"/>
        </w:rPr>
        <w:t xml:space="preserve">was not a mitigating factor; it was </w:t>
      </w:r>
      <w:r w:rsidRPr="00EB7F1E">
        <w:rPr>
          <w:rFonts w:asciiTheme="minorHAnsi" w:hAnsiTheme="minorHAnsi" w:cstheme="minorHAnsi"/>
        </w:rPr>
        <w:t xml:space="preserve">a direct result of </w:t>
      </w:r>
      <w:r w:rsidRPr="007809F4">
        <w:rPr>
          <w:rFonts w:asciiTheme="minorHAnsi" w:hAnsiTheme="minorHAnsi" w:cstheme="minorHAnsi"/>
        </w:rPr>
        <w:t>the</w:t>
      </w:r>
      <w:r w:rsidRPr="00EB7F1E">
        <w:rPr>
          <w:rFonts w:asciiTheme="minorHAnsi" w:hAnsiTheme="minorHAnsi" w:cstheme="minorHAnsi"/>
        </w:rPr>
        <w:t xml:space="preserve"> offending conduct, the underlying nature of which is exploitative of children. </w:t>
      </w:r>
      <w:r w:rsidRPr="007809F4">
        <w:rPr>
          <w:rFonts w:asciiTheme="minorHAnsi" w:hAnsiTheme="minorHAnsi" w:cstheme="minorHAnsi"/>
        </w:rPr>
        <w:t xml:space="preserve"> On the other hand, opprobrium may be taken into account as additional punishment in an exceptional case where it reaches such proportion that it has had some physical or psychological effect on the offender:</w:t>
      </w:r>
      <w:r w:rsidRPr="007809F4">
        <w:rPr>
          <w:rFonts w:asciiTheme="minorHAnsi" w:hAnsiTheme="minorHAnsi" w:cstheme="minorHAnsi"/>
          <w:bCs/>
          <w:i/>
          <w:iCs/>
        </w:rPr>
        <w:t xml:space="preserve"> Kenny v R </w:t>
      </w:r>
      <w:r w:rsidRPr="007809F4">
        <w:rPr>
          <w:rFonts w:asciiTheme="minorHAnsi" w:hAnsiTheme="minorHAnsi" w:cstheme="minorHAnsi"/>
          <w:bCs/>
          <w:iCs/>
        </w:rPr>
        <w:t xml:space="preserve"> [2010] NSWCCA 6</w:t>
      </w:r>
      <w:r w:rsidRPr="00EB7F1E">
        <w:rPr>
          <w:rFonts w:asciiTheme="minorHAnsi" w:hAnsiTheme="minorHAnsi" w:cstheme="minorHAnsi"/>
          <w:bCs/>
          <w:i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 xml:space="preserve">Kenny v R </w:instrText>
      </w:r>
      <w:r w:rsidRPr="007809F4">
        <w:rPr>
          <w:rFonts w:asciiTheme="minorHAnsi" w:hAnsiTheme="minorHAnsi" w:cstheme="minorHAnsi"/>
          <w:bCs/>
          <w:iCs/>
        </w:rPr>
        <w:instrText xml:space="preserve"> [2010] NSWCCA 6</w:instrText>
      </w:r>
      <w:r w:rsidRPr="007809F4">
        <w:rPr>
          <w:rFonts w:asciiTheme="minorHAnsi" w:hAnsiTheme="minorHAnsi" w:cstheme="minorHAnsi"/>
        </w:rPr>
        <w:instrText xml:space="preserve">" \s "Kenny v R  [2010] NSWCCA 6" \c 1 </w:instrText>
      </w:r>
      <w:r w:rsidRPr="00EB7F1E">
        <w:rPr>
          <w:rFonts w:asciiTheme="minorHAnsi" w:hAnsiTheme="minorHAnsi" w:cstheme="minorHAnsi"/>
          <w:bCs/>
          <w:iCs/>
        </w:rPr>
        <w:fldChar w:fldCharType="end"/>
      </w:r>
      <w:r w:rsidRPr="007809F4">
        <w:rPr>
          <w:rFonts w:asciiTheme="minorHAnsi" w:hAnsiTheme="minorHAnsi" w:cstheme="minorHAnsi"/>
          <w:bCs/>
          <w:iCs/>
        </w:rPr>
        <w:t>, [49].</w:t>
      </w:r>
    </w:p>
  </w:footnote>
  <w:footnote w:id="487">
    <w:p w14:paraId="247C89F7" w14:textId="77777777" w:rsidR="00D44BCF" w:rsidRPr="007809F4" w:rsidRDefault="00D44BCF" w:rsidP="00E159F3">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Nippon Yusen Kabushiki Kaisha</w:t>
      </w:r>
      <w:r w:rsidRPr="007809F4">
        <w:rPr>
          <w:rFonts w:asciiTheme="minorHAnsi" w:hAnsiTheme="minorHAnsi" w:cstheme="minorHAnsi"/>
        </w:rPr>
        <w:t xml:space="preserve"> (2017) 254 FCR 235</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Nippon Yusen Kabushiki Kaisha (2017) 254 FCR 235" </w:instrText>
      </w:r>
      <w:r w:rsidRPr="00EB7F1E">
        <w:rPr>
          <w:rFonts w:asciiTheme="minorHAnsi" w:hAnsiTheme="minorHAnsi" w:cstheme="minorHAnsi"/>
        </w:rPr>
        <w:fldChar w:fldCharType="end"/>
      </w:r>
      <w:r w:rsidRPr="007809F4">
        <w:rPr>
          <w:rFonts w:asciiTheme="minorHAnsi" w:hAnsiTheme="minorHAnsi" w:cstheme="minorHAnsi"/>
        </w:rPr>
        <w:t xml:space="preserve">, [277].  If an offender is unlikely to pay an administrative penaly, the imposition of the penalty may carry no weight in mitigation: </w:t>
      </w:r>
      <w:r w:rsidRPr="007809F4">
        <w:rPr>
          <w:rFonts w:asciiTheme="minorHAnsi" w:hAnsiTheme="minorHAnsi" w:cstheme="minorHAnsi"/>
          <w:i/>
        </w:rPr>
        <w:t>Bransby v R</w:t>
      </w:r>
      <w:r w:rsidRPr="007809F4">
        <w:rPr>
          <w:rFonts w:asciiTheme="minorHAnsi" w:hAnsiTheme="minorHAnsi" w:cstheme="minorHAnsi"/>
        </w:rPr>
        <w:t xml:space="preserve"> [2010] WASCA 165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Bransby v R</w:instrText>
      </w:r>
      <w:r w:rsidRPr="007809F4">
        <w:rPr>
          <w:rFonts w:asciiTheme="minorHAnsi" w:hAnsiTheme="minorHAnsi" w:cstheme="minorHAnsi"/>
        </w:rPr>
        <w:instrText xml:space="preserve"> [2010] WASCA 165" \s "Bransby v R [2010] WASCA 165" \c 1 </w:instrText>
      </w:r>
      <w:r w:rsidRPr="00EB7F1E">
        <w:rPr>
          <w:rFonts w:asciiTheme="minorHAnsi" w:hAnsiTheme="minorHAnsi" w:cstheme="minorHAnsi"/>
        </w:rPr>
        <w:fldChar w:fldCharType="end"/>
      </w:r>
      <w:r w:rsidRPr="007809F4">
        <w:rPr>
          <w:rFonts w:asciiTheme="minorHAnsi" w:hAnsiTheme="minorHAnsi" w:cstheme="minorHAnsi"/>
        </w:rPr>
        <w:t>, [40]-[43].</w:t>
      </w:r>
    </w:p>
  </w:footnote>
  <w:footnote w:id="488">
    <w:p w14:paraId="22B9EED4" w14:textId="21CB1A5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Cargnello v DPP (Cth)</w:t>
      </w:r>
      <w:r w:rsidRPr="007809F4">
        <w:rPr>
          <w:rFonts w:asciiTheme="minorHAnsi" w:hAnsiTheme="minorHAnsi" w:cstheme="minorHAnsi"/>
        </w:rPr>
        <w:t xml:space="preserve"> [2012] NSWCCA 162</w:t>
      </w:r>
      <w:r w:rsidRPr="00EB7F1E">
        <w:rPr>
          <w:rFonts w:asciiTheme="minorHAnsi" w:hAnsiTheme="minorHAnsi" w:cstheme="minorHAnsi"/>
        </w:rPr>
        <w:fldChar w:fldCharType="begin"/>
      </w:r>
      <w:r w:rsidRPr="007809F4">
        <w:rPr>
          <w:rFonts w:asciiTheme="minorHAnsi" w:hAnsiTheme="minorHAnsi" w:cstheme="minorHAnsi"/>
        </w:rPr>
        <w:instrText xml:space="preserve"> TA \s "Cargnello v DPP (Cth) [2012] NSWCCA 162" </w:instrText>
      </w:r>
      <w:r w:rsidRPr="00EB7F1E">
        <w:rPr>
          <w:rFonts w:asciiTheme="minorHAnsi" w:hAnsiTheme="minorHAnsi" w:cstheme="minorHAnsi"/>
        </w:rPr>
        <w:fldChar w:fldCharType="end"/>
      </w:r>
      <w:r w:rsidRPr="007809F4">
        <w:rPr>
          <w:rFonts w:asciiTheme="minorHAnsi" w:hAnsiTheme="minorHAnsi" w:cstheme="minorHAnsi"/>
        </w:rPr>
        <w:t xml:space="preserve">, [60].  Compare the observations of McHugh J in </w:t>
      </w:r>
      <w:r w:rsidRPr="007809F4">
        <w:rPr>
          <w:rFonts w:asciiTheme="minorHAnsi" w:hAnsiTheme="minorHAnsi" w:cstheme="minorHAnsi"/>
          <w:bCs/>
          <w:i/>
          <w:iCs/>
        </w:rPr>
        <w:t>Ryan v R</w:t>
      </w:r>
      <w:r w:rsidRPr="007809F4">
        <w:rPr>
          <w:rFonts w:asciiTheme="minorHAnsi" w:hAnsiTheme="minorHAnsi" w:cstheme="minorHAnsi"/>
        </w:rPr>
        <w:t xml:space="preserve"> (2001) 206 CLR 267</w:t>
      </w:r>
      <w:r w:rsidRPr="00EB7F1E">
        <w:rPr>
          <w:rFonts w:asciiTheme="minorHAnsi" w:hAnsiTheme="minorHAnsi" w:cstheme="minorHAnsi"/>
        </w:rPr>
        <w:fldChar w:fldCharType="begin"/>
      </w:r>
      <w:r w:rsidRPr="007809F4">
        <w:rPr>
          <w:rFonts w:asciiTheme="minorHAnsi" w:hAnsiTheme="minorHAnsi" w:cstheme="minorHAnsi"/>
        </w:rPr>
        <w:instrText xml:space="preserve"> TA " \s "Ryan v R (2001) 206 CLR 267"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"Ryan v R (2001) 206 CLR 267" </w:instrText>
      </w:r>
      <w:r w:rsidRPr="00EB7F1E">
        <w:rPr>
          <w:rFonts w:asciiTheme="minorHAnsi" w:hAnsiTheme="minorHAnsi" w:cstheme="minorHAnsi"/>
        </w:rPr>
        <w:fldChar w:fldCharType="end"/>
      </w:r>
      <w:r w:rsidRPr="007809F4">
        <w:rPr>
          <w:rFonts w:asciiTheme="minorHAnsi" w:hAnsiTheme="minorHAnsi" w:cstheme="minorHAnsi"/>
        </w:rPr>
        <w:t>, [53].</w:t>
      </w:r>
    </w:p>
  </w:footnote>
  <w:footnote w:id="489">
    <w:p w14:paraId="358593B5" w14:textId="5FBF24E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iCs/>
        </w:rPr>
        <w:t>Einfeld</w:t>
      </w:r>
      <w:r w:rsidRPr="007809F4">
        <w:rPr>
          <w:rFonts w:asciiTheme="minorHAnsi" w:hAnsiTheme="minorHAnsi" w:cstheme="minorHAnsi"/>
          <w:i/>
        </w:rPr>
        <w:t xml:space="preserve"> v R</w:t>
      </w:r>
      <w:r w:rsidRPr="007809F4">
        <w:rPr>
          <w:rFonts w:asciiTheme="minorHAnsi" w:hAnsiTheme="minorHAnsi" w:cstheme="minorHAnsi"/>
        </w:rPr>
        <w:t xml:space="preserve"> [2010] NSWCCA 87</w:t>
      </w:r>
      <w:r w:rsidRPr="00EB7F1E">
        <w:rPr>
          <w:rFonts w:asciiTheme="minorHAnsi" w:hAnsiTheme="minorHAnsi" w:cstheme="minorHAnsi"/>
        </w:rPr>
        <w:fldChar w:fldCharType="begin"/>
      </w:r>
      <w:r w:rsidRPr="007809F4">
        <w:rPr>
          <w:rFonts w:asciiTheme="minorHAnsi" w:hAnsiTheme="minorHAnsi" w:cstheme="minorHAnsi"/>
        </w:rPr>
        <w:instrText xml:space="preserve"> TA \s "Einfeld v R [2010] NSWCCA 87" </w:instrText>
      </w:r>
      <w:r w:rsidRPr="00EB7F1E">
        <w:rPr>
          <w:rFonts w:asciiTheme="minorHAnsi" w:hAnsiTheme="minorHAnsi" w:cstheme="minorHAnsi"/>
        </w:rPr>
        <w:fldChar w:fldCharType="end"/>
      </w:r>
      <w:r w:rsidRPr="007809F4">
        <w:rPr>
          <w:rFonts w:asciiTheme="minorHAnsi" w:hAnsiTheme="minorHAnsi" w:cstheme="minorHAnsi"/>
        </w:rPr>
        <w:t>, [89].</w:t>
      </w:r>
    </w:p>
  </w:footnote>
  <w:footnote w:id="490">
    <w:p w14:paraId="37492EAB" w14:textId="623AFE1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19AK.</w:t>
      </w:r>
    </w:p>
  </w:footnote>
  <w:footnote w:id="491">
    <w:p w14:paraId="0D90258C" w14:textId="49FECF8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Shrestha</w:t>
      </w:r>
      <w:r w:rsidRPr="007809F4">
        <w:rPr>
          <w:rFonts w:asciiTheme="minorHAnsi" w:hAnsiTheme="minorHAnsi" w:cstheme="minorHAnsi"/>
        </w:rPr>
        <w:t xml:space="preserve"> (1991) 173 CLR 48</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noProof/>
        </w:rPr>
        <w:instrText xml:space="preserve">R v Shrestha </w:instrText>
      </w:r>
      <w:r w:rsidRPr="007809F4">
        <w:rPr>
          <w:rFonts w:asciiTheme="minorHAnsi" w:hAnsiTheme="minorHAnsi" w:cstheme="minorHAnsi"/>
          <w:iCs/>
          <w:noProof/>
        </w:rPr>
        <w:instrText>(1991) 173 CLR 48</w:instrText>
      </w:r>
      <w:r w:rsidRPr="00EB7F1E">
        <w:rPr>
          <w:rFonts w:asciiTheme="minorHAnsi" w:hAnsiTheme="minorHAnsi" w:cstheme="minorHAnsi"/>
        </w:rPr>
        <w:instrText xml:space="preserve">" \s "R v Shrestha (1991) 173 CLR 48" \c 1 </w:instrText>
      </w:r>
      <w:r w:rsidRPr="00EB7F1E">
        <w:rPr>
          <w:rFonts w:asciiTheme="minorHAnsi" w:hAnsiTheme="minorHAnsi" w:cstheme="minorHAnsi"/>
          <w:i/>
        </w:rPr>
        <w:fldChar w:fldCharType="end"/>
      </w:r>
      <w:r w:rsidRPr="007809F4">
        <w:rPr>
          <w:rFonts w:asciiTheme="minorHAnsi" w:hAnsiTheme="minorHAnsi" w:cstheme="minorHAnsi"/>
          <w:iCs/>
        </w:rPr>
        <w:t>;</w:t>
      </w:r>
      <w:r w:rsidRPr="007809F4">
        <w:rPr>
          <w:rFonts w:asciiTheme="minorHAnsi" w:hAnsiTheme="minorHAnsi" w:cstheme="minorHAnsi"/>
        </w:rPr>
        <w:t xml:space="preserve"> </w:t>
      </w:r>
      <w:r w:rsidRPr="007809F4">
        <w:rPr>
          <w:rFonts w:asciiTheme="minorHAnsi" w:hAnsiTheme="minorHAnsi" w:cstheme="minorHAnsi"/>
          <w:i/>
        </w:rPr>
        <w:t>Schneider v R</w:t>
      </w:r>
      <w:r w:rsidRPr="007809F4">
        <w:rPr>
          <w:rFonts w:asciiTheme="minorHAnsi" w:hAnsiTheme="minorHAnsi" w:cstheme="minorHAnsi"/>
        </w:rPr>
        <w:t xml:space="preserve"> [2016] VSCA 76</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 Schneider v R</w:instrText>
      </w:r>
      <w:r w:rsidRPr="007809F4">
        <w:rPr>
          <w:rFonts w:asciiTheme="minorHAnsi" w:hAnsiTheme="minorHAnsi" w:cstheme="minorHAnsi"/>
        </w:rPr>
        <w:instrText xml:space="preserve"> [2016] VSCA 76" \s "</w:instrText>
      </w:r>
      <w:r w:rsidRPr="00EB7F1E">
        <w:rPr>
          <w:rFonts w:asciiTheme="minorHAnsi" w:hAnsiTheme="minorHAnsi" w:cstheme="minorHAnsi"/>
          <w:iCs/>
        </w:rPr>
        <w:instrText>Schneider v R</w:instrText>
      </w:r>
      <w:r w:rsidRPr="007809F4">
        <w:rPr>
          <w:rFonts w:asciiTheme="minorHAnsi" w:hAnsiTheme="minorHAnsi" w:cstheme="minorHAnsi"/>
        </w:rPr>
        <w:instrText xml:space="preserve"> [2016] VSCA 76" \c 1 </w:instrText>
      </w:r>
      <w:r w:rsidRPr="00EB7F1E">
        <w:rPr>
          <w:rFonts w:asciiTheme="minorHAnsi" w:hAnsiTheme="minorHAnsi" w:cstheme="minorHAnsi"/>
          <w:i/>
        </w:rPr>
        <w:fldChar w:fldCharType="end"/>
      </w:r>
      <w:r w:rsidRPr="007809F4">
        <w:rPr>
          <w:rFonts w:asciiTheme="minorHAnsi" w:hAnsiTheme="minorHAnsi" w:cstheme="minorHAnsi"/>
        </w:rPr>
        <w:t>.</w:t>
      </w:r>
    </w:p>
  </w:footnote>
  <w:footnote w:id="492">
    <w:p w14:paraId="3FF94342" w14:textId="4F6B54E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See </w:t>
      </w:r>
      <w:r w:rsidRPr="007809F4">
        <w:rPr>
          <w:rFonts w:asciiTheme="minorHAnsi" w:hAnsiTheme="minorHAnsi" w:cstheme="minorHAnsi"/>
          <w:i/>
        </w:rPr>
        <w:t>DPP (Cth) v Besim; DPP (Cth) v MHK (No 3)</w:t>
      </w:r>
      <w:r w:rsidRPr="007809F4">
        <w:rPr>
          <w:rFonts w:asciiTheme="minorHAnsi" w:hAnsiTheme="minorHAnsi" w:cstheme="minorHAnsi"/>
        </w:rPr>
        <w:t xml:space="preserve"> (2017)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xml:space="preserve">, [48]-[58]. </w:t>
      </w:r>
    </w:p>
  </w:footnote>
  <w:footnote w:id="493">
    <w:p w14:paraId="0B902904" w14:textId="38896BE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Chi Sun Tsui</w:t>
      </w:r>
      <w:r w:rsidRPr="007809F4">
        <w:rPr>
          <w:rFonts w:asciiTheme="minorHAnsi" w:hAnsiTheme="minorHAnsi" w:cstheme="minorHAnsi"/>
        </w:rPr>
        <w:t xml:space="preserve"> (1985) 1 NSWLR 308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Chi Sun Tsui</w:instrText>
      </w:r>
      <w:r w:rsidRPr="007809F4">
        <w:rPr>
          <w:rFonts w:asciiTheme="minorHAnsi" w:hAnsiTheme="minorHAnsi" w:cstheme="minorHAnsi"/>
        </w:rPr>
        <w:instrText xml:space="preserve"> (1985) 1 NSWLR 308</w:instrText>
      </w:r>
      <w:r w:rsidRPr="00EB7F1E">
        <w:rPr>
          <w:rFonts w:asciiTheme="minorHAnsi" w:hAnsiTheme="minorHAnsi" w:cstheme="minorHAnsi"/>
        </w:rPr>
        <w:instrText xml:space="preserve">" \s "R v Chi Sun Tsui (1985) 1 NSWLR 308" \c 1 </w:instrText>
      </w:r>
      <w:r w:rsidRPr="00EB7F1E">
        <w:rPr>
          <w:rFonts w:asciiTheme="minorHAnsi" w:hAnsiTheme="minorHAnsi" w:cstheme="minorHAnsi"/>
        </w:rPr>
        <w:fldChar w:fldCharType="end"/>
      </w:r>
      <w:r w:rsidRPr="007809F4">
        <w:rPr>
          <w:rFonts w:asciiTheme="minorHAnsi" w:hAnsiTheme="minorHAnsi" w:cstheme="minorHAnsi"/>
        </w:rPr>
        <w:t>, 311;</w:t>
      </w:r>
      <w:r w:rsidRPr="007809F4">
        <w:rPr>
          <w:rFonts w:asciiTheme="minorHAnsi" w:hAnsiTheme="minorHAnsi" w:cstheme="minorHAnsi"/>
          <w:lang w:eastAsia="en-AU"/>
        </w:rPr>
        <w:t xml:space="preserve"> </w:t>
      </w:r>
      <w:r w:rsidRPr="007809F4">
        <w:rPr>
          <w:rFonts w:asciiTheme="minorHAnsi" w:hAnsiTheme="minorHAnsi" w:cstheme="minorHAnsi"/>
          <w:i/>
        </w:rPr>
        <w:t>R v Latumetan</w:t>
      </w:r>
      <w:r w:rsidRPr="007809F4">
        <w:rPr>
          <w:rFonts w:asciiTheme="minorHAnsi" w:hAnsiTheme="minorHAnsi" w:cstheme="minorHAnsi"/>
        </w:rPr>
        <w:t xml:space="preserve"> [2003] NSWCCA 70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Latumetan</w:instrText>
      </w:r>
      <w:r w:rsidRPr="007809F4">
        <w:rPr>
          <w:rFonts w:asciiTheme="minorHAnsi" w:hAnsiTheme="minorHAnsi" w:cstheme="minorHAnsi"/>
        </w:rPr>
        <w:instrText xml:space="preserve"> [2003] NSWCCA 70</w:instrText>
      </w:r>
      <w:r w:rsidRPr="00EB7F1E">
        <w:rPr>
          <w:rFonts w:asciiTheme="minorHAnsi" w:hAnsiTheme="minorHAnsi" w:cstheme="minorHAnsi"/>
        </w:rPr>
        <w:instrText xml:space="preserve">" \s "R v Latumetan [2003] NSWCCA 70" \c 1 </w:instrText>
      </w:r>
      <w:r w:rsidRPr="00EB7F1E">
        <w:rPr>
          <w:rFonts w:asciiTheme="minorHAnsi" w:hAnsiTheme="minorHAnsi" w:cstheme="minorHAnsi"/>
        </w:rPr>
        <w:fldChar w:fldCharType="end"/>
      </w:r>
      <w:r w:rsidRPr="007809F4">
        <w:rPr>
          <w:rFonts w:asciiTheme="minorHAnsi" w:hAnsiTheme="minorHAnsi" w:cstheme="minorHAnsi"/>
        </w:rPr>
        <w:t xml:space="preserve">, [19]; </w:t>
      </w:r>
      <w:r w:rsidRPr="007809F4">
        <w:rPr>
          <w:rFonts w:asciiTheme="minorHAnsi" w:hAnsiTheme="minorHAnsi" w:cstheme="minorHAnsi"/>
          <w:i/>
        </w:rPr>
        <w:t>Ali v R</w:t>
      </w:r>
      <w:r w:rsidRPr="007809F4">
        <w:rPr>
          <w:rFonts w:asciiTheme="minorHAnsi" w:hAnsiTheme="minorHAnsi" w:cstheme="minorHAnsi"/>
        </w:rPr>
        <w:t xml:space="preserve"> [2014] NSWCCA 40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Ali v R</w:instrText>
      </w:r>
      <w:r w:rsidRPr="007809F4">
        <w:rPr>
          <w:rFonts w:asciiTheme="minorHAnsi" w:hAnsiTheme="minorHAnsi" w:cstheme="minorHAnsi"/>
        </w:rPr>
        <w:instrText xml:space="preserve"> [2014] NSWCCA 40" \s "Ali v R [2014] NSWCCA 40" \c 1 </w:instrText>
      </w:r>
      <w:r w:rsidRPr="00EB7F1E">
        <w:rPr>
          <w:rFonts w:asciiTheme="minorHAnsi" w:hAnsiTheme="minorHAnsi" w:cstheme="minorHAnsi"/>
        </w:rPr>
        <w:fldChar w:fldCharType="end"/>
      </w:r>
      <w:r w:rsidRPr="007809F4">
        <w:rPr>
          <w:rFonts w:asciiTheme="minorHAnsi" w:hAnsiTheme="minorHAnsi" w:cstheme="minorHAnsi"/>
        </w:rPr>
        <w:t xml:space="preserve">, [1], [47] and [51]; </w:t>
      </w:r>
      <w:r w:rsidRPr="007809F4">
        <w:rPr>
          <w:rFonts w:asciiTheme="minorHAnsi" w:hAnsiTheme="minorHAnsi" w:cstheme="minorHAnsi"/>
          <w:i/>
        </w:rPr>
        <w:t>R v Pham</w:t>
      </w:r>
      <w:r w:rsidRPr="007809F4">
        <w:rPr>
          <w:rFonts w:asciiTheme="minorHAnsi" w:hAnsiTheme="minorHAnsi" w:cstheme="minorHAnsi"/>
        </w:rPr>
        <w:t xml:space="preserve"> [2005] NSWCCA 94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Pham</w:instrText>
      </w:r>
      <w:r w:rsidRPr="007809F4">
        <w:rPr>
          <w:rFonts w:asciiTheme="minorHAnsi" w:hAnsiTheme="minorHAnsi" w:cstheme="minorHAnsi"/>
        </w:rPr>
        <w:instrText xml:space="preserve"> [2005] NSWCCA 94</w:instrText>
      </w:r>
      <w:r w:rsidRPr="00EB7F1E">
        <w:rPr>
          <w:rFonts w:asciiTheme="minorHAnsi" w:hAnsiTheme="minorHAnsi" w:cstheme="minorHAnsi"/>
        </w:rPr>
        <w:instrText xml:space="preserve">" \s "R v Pham [2005] NSWCCA 94" \c 1 </w:instrText>
      </w:r>
      <w:r w:rsidRPr="00EB7F1E">
        <w:rPr>
          <w:rFonts w:asciiTheme="minorHAnsi" w:hAnsiTheme="minorHAnsi" w:cstheme="minorHAnsi"/>
        </w:rPr>
        <w:fldChar w:fldCharType="end"/>
      </w:r>
      <w:r w:rsidRPr="007809F4">
        <w:rPr>
          <w:rFonts w:asciiTheme="minorHAnsi" w:hAnsiTheme="minorHAnsi" w:cstheme="minorHAnsi"/>
        </w:rPr>
        <w:t xml:space="preserve">, [13]; </w:t>
      </w:r>
      <w:r w:rsidRPr="007809F4">
        <w:rPr>
          <w:rFonts w:asciiTheme="minorHAnsi" w:hAnsiTheme="minorHAnsi" w:cstheme="minorHAnsi"/>
          <w:i/>
        </w:rPr>
        <w:t>Khanchitanon v R</w:t>
      </w:r>
      <w:r w:rsidRPr="007809F4">
        <w:rPr>
          <w:rFonts w:asciiTheme="minorHAnsi" w:hAnsiTheme="minorHAnsi" w:cstheme="minorHAnsi"/>
        </w:rPr>
        <w:t xml:space="preserve"> [2014] NSWCCA 204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Khanchitanon v R</w:instrText>
      </w:r>
      <w:r w:rsidRPr="007809F4">
        <w:rPr>
          <w:rFonts w:asciiTheme="minorHAnsi" w:hAnsiTheme="minorHAnsi" w:cstheme="minorHAnsi"/>
        </w:rPr>
        <w:instrText xml:space="preserve"> [2014] NSWCCA 204</w:instrText>
      </w:r>
      <w:r w:rsidRPr="00EB7F1E">
        <w:rPr>
          <w:rFonts w:asciiTheme="minorHAnsi" w:hAnsiTheme="minorHAnsi" w:cstheme="minorHAnsi"/>
        </w:rPr>
        <w:instrText xml:space="preserve">" \s "Khanchitanon v R [2014] NSWCCA 204" \c 1 </w:instrText>
      </w:r>
      <w:r w:rsidRPr="00EB7F1E">
        <w:rPr>
          <w:rFonts w:asciiTheme="minorHAnsi" w:hAnsiTheme="minorHAnsi" w:cstheme="minorHAnsi"/>
        </w:rPr>
        <w:fldChar w:fldCharType="end"/>
      </w:r>
      <w:r w:rsidRPr="007809F4">
        <w:rPr>
          <w:rFonts w:asciiTheme="minorHAnsi" w:hAnsiTheme="minorHAnsi" w:cstheme="minorHAnsi"/>
        </w:rPr>
        <w:t xml:space="preserve">, [28]; </w:t>
      </w:r>
      <w:r w:rsidRPr="007809F4">
        <w:rPr>
          <w:rFonts w:asciiTheme="minorHAnsi" w:hAnsiTheme="minorHAnsi" w:cstheme="minorHAnsi"/>
          <w:i/>
        </w:rPr>
        <w:t>AC v R</w:t>
      </w:r>
      <w:r w:rsidRPr="007809F4">
        <w:rPr>
          <w:rFonts w:asciiTheme="minorHAnsi" w:hAnsiTheme="minorHAnsi" w:cstheme="minorHAnsi"/>
        </w:rPr>
        <w:t xml:space="preserve"> [2016] NSWCCA 107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AC v R</w:instrText>
      </w:r>
      <w:r w:rsidRPr="007809F4">
        <w:rPr>
          <w:rFonts w:asciiTheme="minorHAnsi" w:hAnsiTheme="minorHAnsi" w:cstheme="minorHAnsi"/>
        </w:rPr>
        <w:instrText xml:space="preserve"> [2016] NSWCCA 107</w:instrText>
      </w:r>
      <w:r w:rsidRPr="00EB7F1E">
        <w:rPr>
          <w:rFonts w:asciiTheme="minorHAnsi" w:hAnsiTheme="minorHAnsi" w:cstheme="minorHAnsi"/>
        </w:rPr>
        <w:instrText xml:space="preserve">" \s "AC v R [2016] NSWCCA 107" \c 1 </w:instrText>
      </w:r>
      <w:r w:rsidRPr="00EB7F1E">
        <w:rPr>
          <w:rFonts w:asciiTheme="minorHAnsi" w:hAnsiTheme="minorHAnsi" w:cstheme="minorHAnsi"/>
        </w:rPr>
        <w:fldChar w:fldCharType="end"/>
      </w:r>
      <w:r w:rsidRPr="007809F4">
        <w:rPr>
          <w:rFonts w:asciiTheme="minorHAnsi" w:hAnsiTheme="minorHAnsi" w:cstheme="minorHAnsi"/>
        </w:rPr>
        <w:t xml:space="preserve">, [79]; </w:t>
      </w:r>
      <w:r w:rsidRPr="00EB7F1E">
        <w:rPr>
          <w:rFonts w:asciiTheme="minorHAnsi" w:hAnsiTheme="minorHAnsi" w:cstheme="minorHAnsi"/>
          <w:i/>
        </w:rPr>
        <w:t>Kristensen</w:t>
      </w:r>
      <w:r w:rsidRPr="00EB7F1E">
        <w:rPr>
          <w:rFonts w:asciiTheme="minorHAnsi" w:hAnsiTheme="minorHAnsi" w:cstheme="minorHAnsi"/>
        </w:rPr>
        <w:t xml:space="preserve"> v </w:t>
      </w:r>
      <w:r w:rsidRPr="00EB7F1E">
        <w:rPr>
          <w:rFonts w:asciiTheme="minorHAnsi" w:hAnsiTheme="minorHAnsi" w:cstheme="minorHAnsi"/>
          <w:i/>
        </w:rPr>
        <w:t>R</w:t>
      </w:r>
      <w:r w:rsidRPr="00EB7F1E">
        <w:rPr>
          <w:rFonts w:asciiTheme="minorHAnsi" w:hAnsiTheme="minorHAnsi" w:cstheme="minorHAnsi"/>
        </w:rPr>
        <w:t xml:space="preserve"> [2018] NSWCCA 189</w:t>
      </w:r>
      <w:r w:rsidRPr="00EB7F1E">
        <w:rPr>
          <w:rFonts w:asciiTheme="minorHAnsi" w:hAnsiTheme="minorHAnsi" w:cstheme="minorHAnsi"/>
        </w:rPr>
        <w:fldChar w:fldCharType="begin"/>
      </w:r>
      <w:r w:rsidRPr="00EB7F1E">
        <w:rPr>
          <w:rFonts w:asciiTheme="minorHAnsi" w:hAnsiTheme="minorHAnsi" w:cstheme="minorHAnsi"/>
        </w:rPr>
        <w:instrText xml:space="preserve"> TA \s "Kristensen v R [2018] NSWCCA 189" </w:instrText>
      </w:r>
      <w:r w:rsidRPr="00EB7F1E">
        <w:rPr>
          <w:rFonts w:asciiTheme="minorHAnsi" w:hAnsiTheme="minorHAnsi" w:cstheme="minorHAnsi"/>
        </w:rPr>
        <w:fldChar w:fldCharType="end"/>
      </w:r>
      <w:r w:rsidRPr="00EB7F1E">
        <w:rPr>
          <w:rFonts w:asciiTheme="minorHAnsi" w:hAnsiTheme="minorHAnsi" w:cstheme="minorHAnsi"/>
        </w:rPr>
        <w:t>, [23]-[36], [43]-[44]</w:t>
      </w:r>
      <w:r w:rsidRPr="007809F4">
        <w:rPr>
          <w:rFonts w:asciiTheme="minorHAnsi" w:hAnsiTheme="minorHAnsi" w:cstheme="minorHAnsi"/>
        </w:rPr>
        <w:t xml:space="preserve">. </w:t>
      </w:r>
    </w:p>
  </w:footnote>
  <w:footnote w:id="494">
    <w:p w14:paraId="7A1D3964" w14:textId="0AFD317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Dauphin v R </w:t>
      </w:r>
      <w:r w:rsidRPr="007809F4">
        <w:rPr>
          <w:rFonts w:asciiTheme="minorHAnsi" w:hAnsiTheme="minorHAnsi" w:cstheme="minorHAnsi"/>
        </w:rPr>
        <w:t>[2002] WASCA 104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Dauphin v R </w:instrText>
      </w:r>
      <w:r w:rsidRPr="007809F4">
        <w:rPr>
          <w:rFonts w:asciiTheme="minorHAnsi" w:hAnsiTheme="minorHAnsi" w:cstheme="minorHAnsi"/>
        </w:rPr>
        <w:instrText>[2002] WASCA 104</w:instrText>
      </w:r>
      <w:r w:rsidRPr="00EB7F1E">
        <w:rPr>
          <w:rFonts w:asciiTheme="minorHAnsi" w:hAnsiTheme="minorHAnsi" w:cstheme="minorHAnsi"/>
        </w:rPr>
        <w:instrText xml:space="preserve">" \s "Dauphin v R [2002] WASCA 104"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Houghton v Western Australia</w:t>
      </w:r>
      <w:r w:rsidRPr="007809F4">
        <w:rPr>
          <w:rFonts w:asciiTheme="minorHAnsi" w:hAnsiTheme="minorHAnsi" w:cstheme="minorHAnsi"/>
        </w:rPr>
        <w:t xml:space="preserve"> (2006) 32 WAR 260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Houghton v Western Australia</w:instrText>
      </w:r>
      <w:r w:rsidRPr="007809F4">
        <w:rPr>
          <w:rFonts w:asciiTheme="minorHAnsi" w:hAnsiTheme="minorHAnsi" w:cstheme="minorHAnsi"/>
        </w:rPr>
        <w:instrText xml:space="preserve"> (2006) 32 WAR 260</w:instrText>
      </w:r>
      <w:r w:rsidRPr="00EB7F1E">
        <w:rPr>
          <w:rFonts w:asciiTheme="minorHAnsi" w:hAnsiTheme="minorHAnsi" w:cstheme="minorHAnsi"/>
        </w:rPr>
        <w:instrText xml:space="preserve">" \s "Houghton v Western Australia (2006) 32 WAR 260"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Ponniah</w:t>
      </w:r>
      <w:r w:rsidRPr="007809F4">
        <w:rPr>
          <w:rFonts w:asciiTheme="minorHAnsi" w:hAnsiTheme="minorHAnsi" w:cstheme="minorHAnsi"/>
        </w:rPr>
        <w:t xml:space="preserve"> [2011] WASCA 105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Ponniah</w:instrText>
      </w:r>
      <w:r w:rsidRPr="007809F4">
        <w:rPr>
          <w:rFonts w:asciiTheme="minorHAnsi" w:hAnsiTheme="minorHAnsi" w:cstheme="minorHAnsi"/>
        </w:rPr>
        <w:instrText xml:space="preserve"> [2011] WASCA 105</w:instrText>
      </w:r>
      <w:r w:rsidRPr="00EB7F1E">
        <w:rPr>
          <w:rFonts w:asciiTheme="minorHAnsi" w:hAnsiTheme="minorHAnsi" w:cstheme="minorHAnsi"/>
        </w:rPr>
        <w:instrText xml:space="preserve">" \s "R v Ponniah [2011] WASCA 105"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Hickling v Western Australia</w:t>
      </w:r>
      <w:r w:rsidRPr="007809F4">
        <w:rPr>
          <w:rFonts w:asciiTheme="minorHAnsi" w:hAnsiTheme="minorHAnsi" w:cstheme="minorHAnsi"/>
        </w:rPr>
        <w:t xml:space="preserve"> [2016] WASCA 124</w:t>
      </w:r>
      <w:r w:rsidRPr="00EB7F1E">
        <w:rPr>
          <w:rFonts w:asciiTheme="minorHAnsi" w:hAnsiTheme="minorHAnsi" w:cstheme="minorHAnsi"/>
        </w:rPr>
        <w:fldChar w:fldCharType="begin"/>
      </w:r>
      <w:r w:rsidRPr="00EB7F1E">
        <w:rPr>
          <w:rFonts w:asciiTheme="minorHAnsi" w:hAnsiTheme="minorHAnsi" w:cstheme="minorHAnsi"/>
        </w:rPr>
        <w:instrText xml:space="preserve"> TA \s "Hickling v Western Australia [2016] WASCA 124"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Brewerton v Western Australia</w:t>
      </w:r>
      <w:r w:rsidRPr="007809F4">
        <w:rPr>
          <w:rFonts w:asciiTheme="minorHAnsi" w:hAnsiTheme="minorHAnsi" w:cstheme="minorHAnsi"/>
        </w:rPr>
        <w:t xml:space="preserve"> [2017] WASCA 191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Brewerton v Western Australia</w:instrText>
      </w:r>
      <w:r w:rsidRPr="007809F4">
        <w:rPr>
          <w:rFonts w:asciiTheme="minorHAnsi" w:hAnsiTheme="minorHAnsi" w:cstheme="minorHAnsi"/>
        </w:rPr>
        <w:instrText xml:space="preserve"> [2017] WASCA 191</w:instrText>
      </w:r>
      <w:r w:rsidRPr="00EB7F1E">
        <w:rPr>
          <w:rFonts w:asciiTheme="minorHAnsi" w:hAnsiTheme="minorHAnsi" w:cstheme="minorHAnsi"/>
        </w:rPr>
        <w:instrText xml:space="preserve">" \s "Brewerton v Western Australia [2017] WASCA 191" \c 1 </w:instrText>
      </w:r>
      <w:r w:rsidRPr="00EB7F1E">
        <w:rPr>
          <w:rFonts w:asciiTheme="minorHAnsi" w:hAnsiTheme="minorHAnsi" w:cstheme="minorHAnsi"/>
        </w:rPr>
        <w:fldChar w:fldCharType="end"/>
      </w:r>
      <w:r w:rsidRPr="007809F4">
        <w:rPr>
          <w:rFonts w:asciiTheme="minorHAnsi" w:hAnsiTheme="minorHAnsi" w:cstheme="minorHAnsi"/>
        </w:rPr>
        <w:t>, [32]-[36].</w:t>
      </w:r>
    </w:p>
  </w:footnote>
  <w:footnote w:id="495">
    <w:p w14:paraId="1C67D289" w14:textId="34396CC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MAH</w:t>
      </w:r>
      <w:r w:rsidRPr="007809F4">
        <w:rPr>
          <w:rFonts w:asciiTheme="minorHAnsi" w:hAnsiTheme="minorHAnsi" w:cstheme="minorHAnsi"/>
        </w:rPr>
        <w:t xml:space="preserve"> [2005] NTCCA 17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MAH</w:instrText>
      </w:r>
      <w:r w:rsidRPr="007809F4">
        <w:rPr>
          <w:rFonts w:asciiTheme="minorHAnsi" w:hAnsiTheme="minorHAnsi" w:cstheme="minorHAnsi"/>
        </w:rPr>
        <w:instrText xml:space="preserve"> [2005] NTCCA 17</w:instrText>
      </w:r>
      <w:r w:rsidRPr="00EB7F1E">
        <w:rPr>
          <w:rFonts w:asciiTheme="minorHAnsi" w:hAnsiTheme="minorHAnsi" w:cstheme="minorHAnsi"/>
        </w:rPr>
        <w:instrText xml:space="preserve">" \s "R v MAH [2005] NTCCA 17" \c 1 </w:instrText>
      </w:r>
      <w:r w:rsidRPr="00EB7F1E">
        <w:rPr>
          <w:rFonts w:asciiTheme="minorHAnsi" w:hAnsiTheme="minorHAnsi" w:cstheme="minorHAnsi"/>
        </w:rPr>
        <w:fldChar w:fldCharType="end"/>
      </w:r>
      <w:r w:rsidRPr="007809F4">
        <w:rPr>
          <w:rFonts w:asciiTheme="minorHAnsi" w:hAnsiTheme="minorHAnsi" w:cstheme="minorHAnsi"/>
        </w:rPr>
        <w:t>, [41], [64].</w:t>
      </w:r>
    </w:p>
  </w:footnote>
  <w:footnote w:id="496">
    <w:p w14:paraId="388E8D31" w14:textId="2859786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Chi Sun Tsui</w:t>
      </w:r>
      <w:r w:rsidRPr="007809F4">
        <w:rPr>
          <w:rFonts w:asciiTheme="minorHAnsi" w:hAnsiTheme="minorHAnsi" w:cstheme="minorHAnsi"/>
        </w:rPr>
        <w:t xml:space="preserve"> (1985) 1 NSWLR 308</w:t>
      </w:r>
      <w:r w:rsidRPr="00EB7F1E">
        <w:rPr>
          <w:rFonts w:asciiTheme="minorHAnsi" w:hAnsiTheme="minorHAnsi" w:cstheme="minorHAnsi"/>
        </w:rPr>
        <w:fldChar w:fldCharType="begin"/>
      </w:r>
      <w:r w:rsidRPr="007809F4">
        <w:rPr>
          <w:rFonts w:asciiTheme="minorHAnsi" w:hAnsiTheme="minorHAnsi" w:cstheme="minorHAnsi"/>
        </w:rPr>
        <w:instrText xml:space="preserve"> TA \s "R v Chi Sun Tsui (1985) 1 NSWLR 308" </w:instrText>
      </w:r>
      <w:r w:rsidRPr="00EB7F1E">
        <w:rPr>
          <w:rFonts w:asciiTheme="minorHAnsi" w:hAnsiTheme="minorHAnsi" w:cstheme="minorHAnsi"/>
        </w:rPr>
        <w:fldChar w:fldCharType="end"/>
      </w:r>
      <w:r w:rsidRPr="007809F4">
        <w:rPr>
          <w:rFonts w:asciiTheme="minorHAnsi" w:hAnsiTheme="minorHAnsi" w:cstheme="minorHAnsi"/>
        </w:rPr>
        <w:t xml:space="preserve">, 311 (Street CJ).  In </w:t>
      </w:r>
      <w:r w:rsidRPr="007809F4">
        <w:rPr>
          <w:rFonts w:asciiTheme="minorHAnsi" w:hAnsiTheme="minorHAnsi" w:cstheme="minorHAnsi"/>
          <w:i/>
        </w:rPr>
        <w:t>Guden v R</w:t>
      </w:r>
      <w:r w:rsidRPr="007809F4">
        <w:rPr>
          <w:rFonts w:asciiTheme="minorHAnsi" w:hAnsiTheme="minorHAnsi" w:cstheme="minorHAnsi"/>
        </w:rPr>
        <w:t xml:space="preserve"> (2010) 28 VR 288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Guden v R</w:instrText>
      </w:r>
      <w:r w:rsidRPr="007809F4">
        <w:rPr>
          <w:rFonts w:asciiTheme="minorHAnsi" w:hAnsiTheme="minorHAnsi" w:cstheme="minorHAnsi"/>
        </w:rPr>
        <w:instrText xml:space="preserve"> (2010) 28 VR 288</w:instrText>
      </w:r>
      <w:r w:rsidRPr="00EB7F1E">
        <w:rPr>
          <w:rFonts w:asciiTheme="minorHAnsi" w:hAnsiTheme="minorHAnsi" w:cstheme="minorHAnsi"/>
        </w:rPr>
        <w:instrText xml:space="preserve">" \s "Guden v R (2010) 28 VR 288" \c 1 </w:instrText>
      </w:r>
      <w:r w:rsidRPr="00EB7F1E">
        <w:rPr>
          <w:rFonts w:asciiTheme="minorHAnsi" w:hAnsiTheme="minorHAnsi" w:cstheme="minorHAnsi"/>
        </w:rPr>
        <w:fldChar w:fldCharType="end"/>
      </w:r>
      <w:r w:rsidRPr="007809F4">
        <w:rPr>
          <w:rFonts w:asciiTheme="minorHAnsi" w:hAnsiTheme="minorHAnsi" w:cstheme="minorHAnsi"/>
        </w:rPr>
        <w:t>, [16]-[24], Maxwell P said that this dictum of Street CJ only related to a decision whether to fix a non-parole period, and was not of general application.</w:t>
      </w:r>
    </w:p>
  </w:footnote>
  <w:footnote w:id="497">
    <w:p w14:paraId="58B80467" w14:textId="61FAB10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[2005] NSWCCA 94</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[2005] NSWCCA 94" </w:instrText>
      </w:r>
      <w:r w:rsidRPr="00EB7F1E">
        <w:rPr>
          <w:rFonts w:asciiTheme="minorHAnsi" w:hAnsiTheme="minorHAnsi" w:cstheme="minorHAnsi"/>
        </w:rPr>
        <w:fldChar w:fldCharType="end"/>
      </w:r>
      <w:r w:rsidRPr="007809F4">
        <w:rPr>
          <w:rFonts w:asciiTheme="minorHAnsi" w:hAnsiTheme="minorHAnsi" w:cstheme="minorHAnsi"/>
        </w:rPr>
        <w:t>, [13].</w:t>
      </w:r>
    </w:p>
  </w:footnote>
  <w:footnote w:id="498">
    <w:p w14:paraId="6648D80D" w14:textId="0B6D3B7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Hickling v Western Australia</w:t>
      </w:r>
      <w:r w:rsidRPr="007809F4">
        <w:rPr>
          <w:rFonts w:asciiTheme="minorHAnsi" w:hAnsiTheme="minorHAnsi" w:cstheme="minorHAnsi"/>
        </w:rPr>
        <w:t xml:space="preserve"> [2016] WASCA 124</w:t>
      </w:r>
      <w:r w:rsidRPr="00EB7F1E">
        <w:rPr>
          <w:rFonts w:asciiTheme="minorHAnsi" w:hAnsiTheme="minorHAnsi" w:cstheme="minorHAnsi"/>
        </w:rPr>
        <w:fldChar w:fldCharType="begin"/>
      </w:r>
      <w:r w:rsidRPr="007809F4">
        <w:rPr>
          <w:rFonts w:asciiTheme="minorHAnsi" w:hAnsiTheme="minorHAnsi" w:cstheme="minorHAnsi"/>
        </w:rPr>
        <w:instrText xml:space="preserve"> TA \s "Hickling v Western Australia [2016] WASCA 124" </w:instrText>
      </w:r>
      <w:r w:rsidRPr="00EB7F1E">
        <w:rPr>
          <w:rFonts w:asciiTheme="minorHAnsi" w:hAnsiTheme="minorHAnsi" w:cstheme="minorHAnsi"/>
        </w:rPr>
        <w:fldChar w:fldCharType="end"/>
      </w:r>
      <w:r w:rsidRPr="007809F4">
        <w:rPr>
          <w:rFonts w:asciiTheme="minorHAnsi" w:hAnsiTheme="minorHAnsi" w:cstheme="minorHAnsi"/>
        </w:rPr>
        <w:t xml:space="preserve">, [58]-[59]; cf </w:t>
      </w:r>
      <w:r w:rsidRPr="007809F4">
        <w:rPr>
          <w:rFonts w:asciiTheme="minorHAnsi" w:hAnsiTheme="minorHAnsi" w:cstheme="minorHAnsi"/>
          <w:i/>
        </w:rPr>
        <w:t>DPP (Cth) v Besim; DPP (Cth) v MHK (No 3)</w:t>
      </w:r>
      <w:r w:rsidRPr="007809F4">
        <w:rPr>
          <w:rFonts w:asciiTheme="minorHAnsi" w:hAnsiTheme="minorHAnsi" w:cstheme="minorHAnsi"/>
        </w:rPr>
        <w:t xml:space="preserve"> (2017)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xml:space="preserve">, [43]-[59]. </w:t>
      </w:r>
    </w:p>
  </w:footnote>
  <w:footnote w:id="499">
    <w:p w14:paraId="4F43F15D" w14:textId="28BA0DD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Dauphin v R </w:t>
      </w:r>
      <w:r w:rsidRPr="007809F4">
        <w:rPr>
          <w:rFonts w:asciiTheme="minorHAnsi" w:hAnsiTheme="minorHAnsi" w:cstheme="minorHAnsi"/>
        </w:rPr>
        <w:t>[2002] WASCA 104</w:t>
      </w:r>
      <w:r w:rsidRPr="00EB7F1E">
        <w:rPr>
          <w:rFonts w:asciiTheme="minorHAnsi" w:hAnsiTheme="minorHAnsi" w:cstheme="minorHAnsi"/>
        </w:rPr>
        <w:fldChar w:fldCharType="begin"/>
      </w:r>
      <w:r w:rsidRPr="007809F4">
        <w:rPr>
          <w:rFonts w:asciiTheme="minorHAnsi" w:hAnsiTheme="minorHAnsi" w:cstheme="minorHAnsi"/>
        </w:rPr>
        <w:instrText xml:space="preserve"> TA \s "Dauphin v R [2002] WASCA 104" </w:instrText>
      </w:r>
      <w:r w:rsidRPr="00EB7F1E">
        <w:rPr>
          <w:rFonts w:asciiTheme="minorHAnsi" w:hAnsiTheme="minorHAnsi" w:cstheme="minorHAnsi"/>
        </w:rPr>
        <w:fldChar w:fldCharType="end"/>
      </w:r>
      <w:r w:rsidRPr="007809F4">
        <w:rPr>
          <w:rFonts w:asciiTheme="minorHAnsi" w:hAnsiTheme="minorHAnsi" w:cstheme="minorHAnsi"/>
        </w:rPr>
        <w:t xml:space="preserve">, [22], quoting with approval </w:t>
      </w:r>
      <w:r w:rsidRPr="007809F4">
        <w:rPr>
          <w:rFonts w:asciiTheme="minorHAnsi" w:hAnsiTheme="minorHAnsi" w:cstheme="minorHAnsi"/>
          <w:i/>
        </w:rPr>
        <w:t>R v Simard</w:t>
      </w:r>
      <w:r w:rsidRPr="007809F4">
        <w:rPr>
          <w:rFonts w:asciiTheme="minorHAnsi" w:hAnsiTheme="minorHAnsi" w:cstheme="minorHAnsi"/>
        </w:rPr>
        <w:t xml:space="preserve"> [2003] 1 Qd R 76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Simard</w:instrText>
      </w:r>
      <w:r w:rsidRPr="007809F4">
        <w:rPr>
          <w:rFonts w:asciiTheme="minorHAnsi" w:hAnsiTheme="minorHAnsi" w:cstheme="minorHAnsi"/>
        </w:rPr>
        <w:instrText xml:space="preserve"> [2003] 1 Qd R 76</w:instrText>
      </w:r>
      <w:r w:rsidRPr="00EB7F1E">
        <w:rPr>
          <w:rFonts w:asciiTheme="minorHAnsi" w:hAnsiTheme="minorHAnsi" w:cstheme="minorHAnsi"/>
        </w:rPr>
        <w:instrText xml:space="preserve">" \s "R v Simard [2003] 1 Qd R 76" \c 1 </w:instrText>
      </w:r>
      <w:r w:rsidRPr="00EB7F1E">
        <w:rPr>
          <w:rFonts w:asciiTheme="minorHAnsi" w:hAnsiTheme="minorHAnsi" w:cstheme="minorHAnsi"/>
        </w:rPr>
        <w:fldChar w:fldCharType="end"/>
      </w:r>
      <w:r w:rsidRPr="007809F4">
        <w:rPr>
          <w:rFonts w:asciiTheme="minorHAnsi" w:hAnsiTheme="minorHAnsi" w:cstheme="minorHAnsi"/>
        </w:rPr>
        <w:t>, [6].</w:t>
      </w:r>
    </w:p>
  </w:footnote>
  <w:footnote w:id="500">
    <w:p w14:paraId="1E6DFEDA" w14:textId="788F56F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Hickling v Western Australia</w:t>
      </w:r>
      <w:r w:rsidRPr="007809F4">
        <w:rPr>
          <w:rFonts w:asciiTheme="minorHAnsi" w:hAnsiTheme="minorHAnsi" w:cstheme="minorHAnsi"/>
        </w:rPr>
        <w:t xml:space="preserve"> [2016] WASCA 124</w:t>
      </w:r>
      <w:r w:rsidRPr="00EB7F1E">
        <w:rPr>
          <w:rFonts w:asciiTheme="minorHAnsi" w:hAnsiTheme="minorHAnsi" w:cstheme="minorHAnsi"/>
        </w:rPr>
        <w:fldChar w:fldCharType="begin"/>
      </w:r>
      <w:r w:rsidRPr="00EB7F1E">
        <w:rPr>
          <w:rFonts w:asciiTheme="minorHAnsi" w:hAnsiTheme="minorHAnsi" w:cstheme="minorHAnsi"/>
        </w:rPr>
        <w:instrText xml:space="preserve"> TA \s "Hickling v Western Australia [2016] WASCA 124" </w:instrText>
      </w:r>
      <w:r w:rsidRPr="00EB7F1E">
        <w:rPr>
          <w:rFonts w:asciiTheme="minorHAnsi" w:hAnsiTheme="minorHAnsi" w:cstheme="minorHAnsi"/>
        </w:rPr>
        <w:fldChar w:fldCharType="end"/>
      </w:r>
      <w:r w:rsidRPr="007809F4">
        <w:rPr>
          <w:rFonts w:asciiTheme="minorHAnsi" w:hAnsiTheme="minorHAnsi" w:cstheme="minorHAnsi"/>
        </w:rPr>
        <w:t>, [60] (Mazza JA and Mitchell J).  McLure P in that case said (at [11]) that because the prospect of deportation is generally irrelevant, an offender who contends that leniency should be extended because the prospect of deportation would make imprisonment more burdensome faces a “</w:t>
      </w:r>
      <w:r w:rsidRPr="007809F4">
        <w:rPr>
          <w:rFonts w:asciiTheme="minorHAnsi" w:hAnsiTheme="minorHAnsi" w:cstheme="minorHAnsi"/>
          <w:i/>
        </w:rPr>
        <w:t>high, if not insurmountable, obstacle</w:t>
      </w:r>
      <w:r w:rsidRPr="007809F4">
        <w:rPr>
          <w:rFonts w:asciiTheme="minorHAnsi" w:hAnsiTheme="minorHAnsi" w:cstheme="minorHAnsi"/>
        </w:rPr>
        <w:t>”.</w:t>
      </w:r>
    </w:p>
  </w:footnote>
  <w:footnote w:id="501">
    <w:p w14:paraId="3AE2D200" w14:textId="68918BB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Guden v R</w:t>
      </w:r>
      <w:r w:rsidRPr="007809F4">
        <w:rPr>
          <w:rFonts w:asciiTheme="minorHAnsi" w:hAnsiTheme="minorHAnsi" w:cstheme="minorHAnsi"/>
        </w:rPr>
        <w:t xml:space="preserve"> (2010) 28 VR 288</w:t>
      </w:r>
      <w:r w:rsidRPr="00EB7F1E">
        <w:rPr>
          <w:rFonts w:asciiTheme="minorHAnsi" w:hAnsiTheme="minorHAnsi" w:cstheme="minorHAnsi"/>
        </w:rPr>
        <w:fldChar w:fldCharType="begin"/>
      </w:r>
      <w:r w:rsidRPr="00EB7F1E">
        <w:rPr>
          <w:rFonts w:asciiTheme="minorHAnsi" w:hAnsiTheme="minorHAnsi" w:cstheme="minorHAnsi"/>
        </w:rPr>
        <w:instrText xml:space="preserve"> TA \s "Guden v R (2010) 28 VR 288"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Darcie v R </w:t>
      </w:r>
      <w:r w:rsidRPr="007809F4">
        <w:rPr>
          <w:rFonts w:asciiTheme="minorHAnsi" w:hAnsiTheme="minorHAnsi" w:cstheme="minorHAnsi"/>
        </w:rPr>
        <w:t>[2012] VSCA 11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Darcie v R </w:instrText>
      </w:r>
      <w:r w:rsidRPr="007809F4">
        <w:rPr>
          <w:rFonts w:asciiTheme="minorHAnsi" w:hAnsiTheme="minorHAnsi" w:cstheme="minorHAnsi"/>
        </w:rPr>
        <w:instrText xml:space="preserve">[2012] VSCA 11" \s "Darcie v R [2012] VSCA 11"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DPP (Cth) v Peng </w:t>
      </w:r>
      <w:r w:rsidRPr="007809F4">
        <w:rPr>
          <w:rFonts w:asciiTheme="minorHAnsi" w:hAnsiTheme="minorHAnsi" w:cstheme="minorHAnsi"/>
        </w:rPr>
        <w:t>[2014] VSCA 128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(Cth) v Peng </w:instrText>
      </w:r>
      <w:r w:rsidRPr="007809F4">
        <w:rPr>
          <w:rFonts w:asciiTheme="minorHAnsi" w:hAnsiTheme="minorHAnsi" w:cstheme="minorHAnsi"/>
        </w:rPr>
        <w:instrText xml:space="preserve">[2014] VSCA 128" \s "DPP (Cth) v Peng [2014] VSCA 128" \c 1 </w:instrText>
      </w:r>
      <w:r w:rsidRPr="00EB7F1E">
        <w:rPr>
          <w:rFonts w:asciiTheme="minorHAnsi" w:hAnsiTheme="minorHAnsi" w:cstheme="minorHAnsi"/>
        </w:rPr>
        <w:fldChar w:fldCharType="end"/>
      </w:r>
      <w:r w:rsidRPr="007809F4">
        <w:rPr>
          <w:rFonts w:asciiTheme="minorHAnsi" w:hAnsiTheme="minorHAnsi" w:cstheme="minorHAnsi"/>
        </w:rPr>
        <w:t xml:space="preserve">, [23].  </w:t>
      </w:r>
    </w:p>
  </w:footnote>
  <w:footnote w:id="502">
    <w:p w14:paraId="29B2FEC0" w14:textId="32AA0C5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UE</w:t>
      </w:r>
      <w:r w:rsidRPr="007809F4">
        <w:rPr>
          <w:rFonts w:asciiTheme="minorHAnsi" w:hAnsiTheme="minorHAnsi" w:cstheme="minorHAnsi"/>
        </w:rPr>
        <w:t xml:space="preserve"> [2016] QCA 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UE</w:instrText>
      </w:r>
      <w:r w:rsidRPr="007809F4">
        <w:rPr>
          <w:rFonts w:asciiTheme="minorHAnsi" w:hAnsiTheme="minorHAnsi" w:cstheme="minorHAnsi"/>
        </w:rPr>
        <w:instrText xml:space="preserve"> [2016] QCA 58</w:instrText>
      </w:r>
      <w:r w:rsidRPr="00EB7F1E">
        <w:rPr>
          <w:rFonts w:asciiTheme="minorHAnsi" w:hAnsiTheme="minorHAnsi" w:cstheme="minorHAnsi"/>
        </w:rPr>
        <w:instrText xml:space="preserve">" \s "R v UE [2016] QCA 58"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R v Schelvis; R v Hildebrand </w:t>
      </w:r>
      <w:r w:rsidRPr="007809F4">
        <w:rPr>
          <w:rFonts w:asciiTheme="minorHAnsi" w:hAnsiTheme="minorHAnsi" w:cstheme="minorHAnsi"/>
        </w:rPr>
        <w:t>[2016] QCA 294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R v Schelvis; R v Hildebrand </w:instrText>
      </w:r>
      <w:r w:rsidRPr="007809F4">
        <w:rPr>
          <w:rFonts w:asciiTheme="minorHAnsi" w:hAnsiTheme="minorHAnsi" w:cstheme="minorHAnsi"/>
        </w:rPr>
        <w:instrText xml:space="preserve">[2016] QCA 294" \s "R v Schelvis; R v Hildebrand [2016] QCA 294"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R</w:t>
      </w:r>
      <w:r w:rsidRPr="00EB7F1E">
        <w:rPr>
          <w:rFonts w:asciiTheme="minorHAnsi" w:hAnsiTheme="minorHAnsi" w:cstheme="minorHAnsi"/>
        </w:rPr>
        <w:t xml:space="preserve"> v </w:t>
      </w:r>
      <w:r w:rsidRPr="00EB7F1E">
        <w:rPr>
          <w:rFonts w:asciiTheme="minorHAnsi" w:hAnsiTheme="minorHAnsi" w:cstheme="minorHAnsi"/>
          <w:i/>
        </w:rPr>
        <w:t>Norris; Ex parte Attorney-General (Qld)</w:t>
      </w:r>
      <w:r w:rsidRPr="00EB7F1E">
        <w:rPr>
          <w:rFonts w:asciiTheme="minorHAnsi" w:hAnsiTheme="minorHAnsi" w:cstheme="minorHAnsi"/>
        </w:rPr>
        <w:t xml:space="preserve"> [2018] QCA 27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w:instrText>
      </w:r>
      <w:r w:rsidRPr="00EB7F1E">
        <w:rPr>
          <w:rFonts w:asciiTheme="minorHAnsi" w:hAnsiTheme="minorHAnsi" w:cstheme="minorHAnsi"/>
        </w:rPr>
        <w:instrText xml:space="preserve"> v </w:instrText>
      </w:r>
      <w:r w:rsidRPr="00EB7F1E">
        <w:rPr>
          <w:rFonts w:asciiTheme="minorHAnsi" w:hAnsiTheme="minorHAnsi" w:cstheme="minorHAnsi"/>
          <w:i/>
        </w:rPr>
        <w:instrText>Norris; Ex parte Attorney-General (Qld)</w:instrText>
      </w:r>
      <w:r w:rsidRPr="00EB7F1E">
        <w:rPr>
          <w:rFonts w:asciiTheme="minorHAnsi" w:hAnsiTheme="minorHAnsi" w:cstheme="minorHAnsi"/>
        </w:rPr>
        <w:instrText xml:space="preserve"> [2018] QCA 27" \s "R v Norris; Ex parte Attorney-General (Qld) [2018] QCA 27"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03">
    <w:p w14:paraId="01E85041" w14:textId="26D5266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Guden v R</w:t>
      </w:r>
      <w:r w:rsidRPr="007809F4">
        <w:rPr>
          <w:rFonts w:asciiTheme="minorHAnsi" w:hAnsiTheme="minorHAnsi" w:cstheme="minorHAnsi"/>
        </w:rPr>
        <w:t xml:space="preserve"> (2010) 28 VR 288</w:t>
      </w:r>
      <w:r w:rsidRPr="00EB7F1E">
        <w:rPr>
          <w:rFonts w:asciiTheme="minorHAnsi" w:hAnsiTheme="minorHAnsi" w:cstheme="minorHAnsi"/>
        </w:rPr>
        <w:fldChar w:fldCharType="begin"/>
      </w:r>
      <w:r w:rsidRPr="00EB7F1E">
        <w:rPr>
          <w:rFonts w:asciiTheme="minorHAnsi" w:hAnsiTheme="minorHAnsi" w:cstheme="minorHAnsi"/>
        </w:rPr>
        <w:instrText xml:space="preserve"> TA \s "Guden v R (2010) 28 VR 288" </w:instrText>
      </w:r>
      <w:r w:rsidRPr="00EB7F1E">
        <w:rPr>
          <w:rFonts w:asciiTheme="minorHAnsi" w:hAnsiTheme="minorHAnsi" w:cstheme="minorHAnsi"/>
        </w:rPr>
        <w:fldChar w:fldCharType="end"/>
      </w:r>
      <w:r w:rsidRPr="007809F4">
        <w:rPr>
          <w:rFonts w:asciiTheme="minorHAnsi" w:hAnsiTheme="minorHAnsi" w:cstheme="minorHAnsi"/>
        </w:rPr>
        <w:t xml:space="preserve">, [28]; </w:t>
      </w:r>
      <w:r w:rsidRPr="007809F4">
        <w:rPr>
          <w:rFonts w:asciiTheme="minorHAnsi" w:hAnsiTheme="minorHAnsi" w:cstheme="minorHAnsi"/>
          <w:i/>
        </w:rPr>
        <w:t xml:space="preserve">R v Schelvis; R v Hildebrand </w:t>
      </w:r>
      <w:r w:rsidRPr="007809F4">
        <w:rPr>
          <w:rFonts w:asciiTheme="minorHAnsi" w:hAnsiTheme="minorHAnsi" w:cstheme="minorHAnsi"/>
        </w:rPr>
        <w:t>[2016] QCA 294</w:t>
      </w:r>
      <w:r w:rsidRPr="00EB7F1E">
        <w:rPr>
          <w:rFonts w:asciiTheme="minorHAnsi" w:hAnsiTheme="minorHAnsi" w:cstheme="minorHAnsi"/>
        </w:rPr>
        <w:fldChar w:fldCharType="begin"/>
      </w:r>
      <w:r w:rsidRPr="00EB7F1E">
        <w:rPr>
          <w:rFonts w:asciiTheme="minorHAnsi" w:hAnsiTheme="minorHAnsi" w:cstheme="minorHAnsi"/>
        </w:rPr>
        <w:instrText xml:space="preserve"> TA \s "R v Schelvis; R v Hildebrand [2016] QCA 294" </w:instrText>
      </w:r>
      <w:r w:rsidRPr="00EB7F1E">
        <w:rPr>
          <w:rFonts w:asciiTheme="minorHAnsi" w:hAnsiTheme="minorHAnsi" w:cstheme="minorHAnsi"/>
        </w:rPr>
        <w:fldChar w:fldCharType="end"/>
      </w:r>
      <w:r w:rsidRPr="007809F4">
        <w:rPr>
          <w:rFonts w:asciiTheme="minorHAnsi" w:hAnsiTheme="minorHAnsi" w:cstheme="minorHAnsi"/>
        </w:rPr>
        <w:t xml:space="preserve">, [71]-[72]; </w:t>
      </w:r>
      <w:r w:rsidRPr="007809F4">
        <w:rPr>
          <w:rFonts w:asciiTheme="minorHAnsi" w:hAnsiTheme="minorHAnsi" w:cstheme="minorHAnsi"/>
          <w:i/>
        </w:rPr>
        <w:t>R v Lincoln</w:t>
      </w:r>
      <w:r w:rsidRPr="007809F4">
        <w:rPr>
          <w:rFonts w:asciiTheme="minorHAnsi" w:hAnsiTheme="minorHAnsi" w:cstheme="minorHAnsi"/>
        </w:rPr>
        <w:t xml:space="preserve"> [2017] QCA 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Lincoln</w:instrText>
      </w:r>
      <w:r w:rsidRPr="007809F4">
        <w:rPr>
          <w:rFonts w:asciiTheme="minorHAnsi" w:hAnsiTheme="minorHAnsi" w:cstheme="minorHAnsi"/>
        </w:rPr>
        <w:instrText xml:space="preserve"> [2017] QCA 37</w:instrText>
      </w:r>
      <w:r w:rsidRPr="00EB7F1E">
        <w:rPr>
          <w:rFonts w:asciiTheme="minorHAnsi" w:hAnsiTheme="minorHAnsi" w:cstheme="minorHAnsi"/>
        </w:rPr>
        <w:instrText xml:space="preserve">" \s "R v Lincoln [2017] QCA 37" \c 1 </w:instrText>
      </w:r>
      <w:r w:rsidRPr="00EB7F1E">
        <w:rPr>
          <w:rFonts w:asciiTheme="minorHAnsi" w:hAnsiTheme="minorHAnsi" w:cstheme="minorHAnsi"/>
        </w:rPr>
        <w:fldChar w:fldCharType="end"/>
      </w:r>
      <w:r w:rsidRPr="007809F4">
        <w:rPr>
          <w:rFonts w:asciiTheme="minorHAnsi" w:hAnsiTheme="minorHAnsi" w:cstheme="minorHAnsi"/>
        </w:rPr>
        <w:t>, [68]-[70].</w:t>
      </w:r>
    </w:p>
  </w:footnote>
  <w:footnote w:id="504">
    <w:p w14:paraId="04ADF68F" w14:textId="332B7FA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Guden v R</w:t>
      </w:r>
      <w:r w:rsidRPr="007809F4">
        <w:rPr>
          <w:rFonts w:asciiTheme="minorHAnsi" w:hAnsiTheme="minorHAnsi" w:cstheme="minorHAnsi"/>
        </w:rPr>
        <w:t xml:space="preserve"> (2010) 28 VR 288</w:t>
      </w:r>
      <w:r w:rsidRPr="00EB7F1E">
        <w:rPr>
          <w:rFonts w:asciiTheme="minorHAnsi" w:hAnsiTheme="minorHAnsi" w:cstheme="minorHAnsi"/>
        </w:rPr>
        <w:fldChar w:fldCharType="begin"/>
      </w:r>
      <w:r w:rsidRPr="00EB7F1E">
        <w:rPr>
          <w:rFonts w:asciiTheme="minorHAnsi" w:hAnsiTheme="minorHAnsi" w:cstheme="minorHAnsi"/>
        </w:rPr>
        <w:instrText xml:space="preserve"> TA \s "Guden v R (2010) 28 VR 288" </w:instrText>
      </w:r>
      <w:r w:rsidRPr="00EB7F1E">
        <w:rPr>
          <w:rFonts w:asciiTheme="minorHAnsi" w:hAnsiTheme="minorHAnsi" w:cstheme="minorHAnsi"/>
        </w:rPr>
        <w:fldChar w:fldCharType="end"/>
      </w:r>
      <w:r w:rsidRPr="007809F4">
        <w:rPr>
          <w:rFonts w:asciiTheme="minorHAnsi" w:hAnsiTheme="minorHAnsi" w:cstheme="minorHAnsi"/>
        </w:rPr>
        <w:t xml:space="preserve">, [29]; </w:t>
      </w:r>
      <w:r w:rsidRPr="007809F4">
        <w:rPr>
          <w:rFonts w:asciiTheme="minorHAnsi" w:hAnsiTheme="minorHAnsi" w:cstheme="minorHAnsi"/>
          <w:i/>
        </w:rPr>
        <w:t xml:space="preserve">R v Schelvis; R v Hildebrand </w:t>
      </w:r>
      <w:r w:rsidRPr="007809F4">
        <w:rPr>
          <w:rFonts w:asciiTheme="minorHAnsi" w:hAnsiTheme="minorHAnsi" w:cstheme="minorHAnsi"/>
        </w:rPr>
        <w:t>[2016] QCA 294</w:t>
      </w:r>
      <w:r w:rsidRPr="00EB7F1E">
        <w:rPr>
          <w:rFonts w:asciiTheme="minorHAnsi" w:hAnsiTheme="minorHAnsi" w:cstheme="minorHAnsi"/>
        </w:rPr>
        <w:fldChar w:fldCharType="begin"/>
      </w:r>
      <w:r w:rsidRPr="00EB7F1E">
        <w:rPr>
          <w:rFonts w:asciiTheme="minorHAnsi" w:hAnsiTheme="minorHAnsi" w:cstheme="minorHAnsi"/>
        </w:rPr>
        <w:instrText xml:space="preserve"> TA \s "R v Schelvis; R v Hildebrand [2016] QCA 294" </w:instrText>
      </w:r>
      <w:r w:rsidRPr="00EB7F1E">
        <w:rPr>
          <w:rFonts w:asciiTheme="minorHAnsi" w:hAnsiTheme="minorHAnsi" w:cstheme="minorHAnsi"/>
        </w:rPr>
        <w:fldChar w:fldCharType="end"/>
      </w:r>
      <w:r w:rsidRPr="007809F4">
        <w:rPr>
          <w:rFonts w:asciiTheme="minorHAnsi" w:hAnsiTheme="minorHAnsi" w:cstheme="minorHAnsi"/>
        </w:rPr>
        <w:t xml:space="preserve">, [71]-[72].  </w:t>
      </w:r>
    </w:p>
  </w:footnote>
  <w:footnote w:id="505">
    <w:p w14:paraId="6AE6401D" w14:textId="2A69FA4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Guden v R</w:t>
      </w:r>
      <w:r w:rsidRPr="007809F4">
        <w:rPr>
          <w:rFonts w:asciiTheme="minorHAnsi" w:hAnsiTheme="minorHAnsi" w:cstheme="minorHAnsi"/>
        </w:rPr>
        <w:t xml:space="preserve"> (2010) 28 VR 288</w:t>
      </w:r>
      <w:r w:rsidRPr="00EB7F1E">
        <w:rPr>
          <w:rFonts w:asciiTheme="minorHAnsi" w:hAnsiTheme="minorHAnsi" w:cstheme="minorHAnsi"/>
        </w:rPr>
        <w:fldChar w:fldCharType="begin"/>
      </w:r>
      <w:r w:rsidRPr="00EB7F1E">
        <w:rPr>
          <w:rFonts w:asciiTheme="minorHAnsi" w:hAnsiTheme="minorHAnsi" w:cstheme="minorHAnsi"/>
        </w:rPr>
        <w:instrText xml:space="preserve"> TA \s "Guden v R (2010) 28 VR 288" </w:instrText>
      </w:r>
      <w:r w:rsidRPr="00EB7F1E">
        <w:rPr>
          <w:rFonts w:asciiTheme="minorHAnsi" w:hAnsiTheme="minorHAnsi" w:cstheme="minorHAnsi"/>
        </w:rPr>
        <w:fldChar w:fldCharType="end"/>
      </w:r>
      <w:r w:rsidRPr="007809F4">
        <w:rPr>
          <w:rFonts w:asciiTheme="minorHAnsi" w:hAnsiTheme="minorHAnsi" w:cstheme="minorHAnsi"/>
        </w:rPr>
        <w:t xml:space="preserve">, [29]; </w:t>
      </w:r>
      <w:r w:rsidRPr="007809F4">
        <w:rPr>
          <w:rFonts w:asciiTheme="minorHAnsi" w:hAnsiTheme="minorHAnsi" w:cstheme="minorHAnsi"/>
          <w:i/>
        </w:rPr>
        <w:t>DPP (Cth) v Peng</w:t>
      </w:r>
      <w:r w:rsidRPr="007809F4">
        <w:rPr>
          <w:rFonts w:asciiTheme="minorHAnsi" w:hAnsiTheme="minorHAnsi" w:cstheme="minorHAnsi"/>
        </w:rPr>
        <w:t xml:space="preserve"> [2014] VSCA 128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(Cth) v Peng</w:instrText>
      </w:r>
      <w:r w:rsidRPr="007809F4">
        <w:rPr>
          <w:rFonts w:asciiTheme="minorHAnsi" w:hAnsiTheme="minorHAnsi" w:cstheme="minorHAnsi"/>
        </w:rPr>
        <w:instrText xml:space="preserve"> [2014] VSCA 128" \s "DPP (Cth) v Peng [2014] VSCA 128" \c 1 </w:instrText>
      </w:r>
      <w:r w:rsidRPr="00EB7F1E">
        <w:rPr>
          <w:rFonts w:asciiTheme="minorHAnsi" w:hAnsiTheme="minorHAnsi" w:cstheme="minorHAnsi"/>
        </w:rPr>
        <w:fldChar w:fldCharType="end"/>
      </w:r>
      <w:r w:rsidRPr="007809F4">
        <w:rPr>
          <w:rFonts w:asciiTheme="minorHAnsi" w:hAnsiTheme="minorHAnsi" w:cstheme="minorHAnsi"/>
        </w:rPr>
        <w:t xml:space="preserve">, [21]-[25]; </w:t>
      </w:r>
      <w:r w:rsidRPr="007809F4">
        <w:rPr>
          <w:rFonts w:asciiTheme="minorHAnsi" w:hAnsiTheme="minorHAnsi" w:cstheme="minorHAnsi"/>
          <w:i/>
        </w:rPr>
        <w:t xml:space="preserve">R v UE </w:t>
      </w:r>
      <w:r w:rsidRPr="007809F4">
        <w:rPr>
          <w:rFonts w:asciiTheme="minorHAnsi" w:hAnsiTheme="minorHAnsi" w:cstheme="minorHAnsi"/>
        </w:rPr>
        <w:t>[2016] QCA 58</w:t>
      </w:r>
      <w:r w:rsidRPr="00EB7F1E">
        <w:rPr>
          <w:rFonts w:asciiTheme="minorHAnsi" w:hAnsiTheme="minorHAnsi" w:cstheme="minorHAnsi"/>
        </w:rPr>
        <w:fldChar w:fldCharType="begin"/>
      </w:r>
      <w:r w:rsidRPr="007809F4">
        <w:rPr>
          <w:rFonts w:asciiTheme="minorHAnsi" w:hAnsiTheme="minorHAnsi" w:cstheme="minorHAnsi"/>
        </w:rPr>
        <w:instrText xml:space="preserve"> TA \s "R v UE [2016] QCA 58" </w:instrText>
      </w:r>
      <w:r w:rsidRPr="00EB7F1E">
        <w:rPr>
          <w:rFonts w:asciiTheme="minorHAnsi" w:hAnsiTheme="minorHAnsi" w:cstheme="minorHAnsi"/>
        </w:rPr>
        <w:fldChar w:fldCharType="end"/>
      </w:r>
      <w:r w:rsidRPr="007809F4">
        <w:rPr>
          <w:rFonts w:asciiTheme="minorHAnsi" w:hAnsiTheme="minorHAnsi" w:cstheme="minorHAnsi"/>
        </w:rPr>
        <w:t xml:space="preserve">, [19]-[21]; </w:t>
      </w:r>
      <w:r w:rsidRPr="007809F4">
        <w:rPr>
          <w:rFonts w:asciiTheme="minorHAnsi" w:hAnsiTheme="minorHAnsi" w:cstheme="minorHAnsi"/>
          <w:i/>
        </w:rPr>
        <w:t>R v Pearson</w:t>
      </w:r>
      <w:r w:rsidRPr="007809F4">
        <w:rPr>
          <w:rFonts w:asciiTheme="minorHAnsi" w:hAnsiTheme="minorHAnsi" w:cstheme="minorHAnsi"/>
        </w:rPr>
        <w:t xml:space="preserve"> [2016] QCA 212, [22]; </w:t>
      </w:r>
      <w:r w:rsidRPr="007809F4">
        <w:rPr>
          <w:rFonts w:asciiTheme="minorHAnsi" w:hAnsiTheme="minorHAnsi" w:cstheme="minorHAnsi"/>
          <w:i/>
        </w:rPr>
        <w:t xml:space="preserve">R v Schelvis; R v Hildebrand </w:t>
      </w:r>
      <w:r w:rsidRPr="007809F4">
        <w:rPr>
          <w:rFonts w:asciiTheme="minorHAnsi" w:hAnsiTheme="minorHAnsi" w:cstheme="minorHAnsi"/>
        </w:rPr>
        <w:t>[2016] QCA 294</w:t>
      </w:r>
      <w:r w:rsidRPr="00EB7F1E">
        <w:rPr>
          <w:rFonts w:asciiTheme="minorHAnsi" w:hAnsiTheme="minorHAnsi" w:cstheme="minorHAnsi"/>
        </w:rPr>
        <w:fldChar w:fldCharType="begin"/>
      </w:r>
      <w:r w:rsidRPr="00EB7F1E">
        <w:rPr>
          <w:rFonts w:asciiTheme="minorHAnsi" w:hAnsiTheme="minorHAnsi" w:cstheme="minorHAnsi"/>
        </w:rPr>
        <w:instrText xml:space="preserve"> TA \s "R v Schelvis; R v Hildebrand [2016] QCA 294" </w:instrText>
      </w:r>
      <w:r w:rsidRPr="00EB7F1E">
        <w:rPr>
          <w:rFonts w:asciiTheme="minorHAnsi" w:hAnsiTheme="minorHAnsi" w:cstheme="minorHAnsi"/>
        </w:rPr>
        <w:fldChar w:fldCharType="end"/>
      </w:r>
      <w:r w:rsidRPr="007809F4">
        <w:rPr>
          <w:rFonts w:asciiTheme="minorHAnsi" w:hAnsiTheme="minorHAnsi" w:cstheme="minorHAnsi"/>
        </w:rPr>
        <w:t xml:space="preserve">, [71]-[72]; </w:t>
      </w:r>
      <w:r w:rsidRPr="007809F4">
        <w:rPr>
          <w:rFonts w:asciiTheme="minorHAnsi" w:hAnsiTheme="minorHAnsi" w:cstheme="minorHAnsi"/>
          <w:i/>
        </w:rPr>
        <w:t>R v Pearson</w:t>
      </w:r>
      <w:r w:rsidRPr="007809F4">
        <w:rPr>
          <w:rFonts w:asciiTheme="minorHAnsi" w:hAnsiTheme="minorHAnsi" w:cstheme="minorHAnsi"/>
        </w:rPr>
        <w:t xml:space="preserve"> [2016] QCA 212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Pearson</w:instrText>
      </w:r>
      <w:r w:rsidRPr="007809F4">
        <w:rPr>
          <w:rFonts w:asciiTheme="minorHAnsi" w:hAnsiTheme="minorHAnsi" w:cstheme="minorHAnsi"/>
        </w:rPr>
        <w:instrText xml:space="preserve"> [2016] QCA 212</w:instrText>
      </w:r>
      <w:r w:rsidRPr="00EB7F1E">
        <w:rPr>
          <w:rFonts w:asciiTheme="minorHAnsi" w:hAnsiTheme="minorHAnsi" w:cstheme="minorHAnsi"/>
        </w:rPr>
        <w:instrText xml:space="preserve">" \s "R v Pearson [2016] QCA 212" \c 1 </w:instrText>
      </w:r>
      <w:r w:rsidRPr="00EB7F1E">
        <w:rPr>
          <w:rFonts w:asciiTheme="minorHAnsi" w:hAnsiTheme="minorHAnsi" w:cstheme="minorHAnsi"/>
        </w:rPr>
        <w:fldChar w:fldCharType="end"/>
      </w:r>
      <w:r w:rsidRPr="007809F4">
        <w:rPr>
          <w:rFonts w:asciiTheme="minorHAnsi" w:hAnsiTheme="minorHAnsi" w:cstheme="minorHAnsi"/>
        </w:rPr>
        <w:t>, [22]-[23];</w:t>
      </w:r>
      <w:r w:rsidRPr="007809F4">
        <w:rPr>
          <w:rStyle w:val="ssl2"/>
          <w:rFonts w:asciiTheme="minorHAnsi" w:hAnsiTheme="minorHAnsi" w:cstheme="minorHAnsi"/>
        </w:rPr>
        <w:t xml:space="preserve"> </w:t>
      </w:r>
      <w:r w:rsidRPr="007809F4">
        <w:rPr>
          <w:rFonts w:asciiTheme="minorHAnsi" w:hAnsiTheme="minorHAnsi" w:cstheme="minorHAnsi"/>
          <w:i/>
        </w:rPr>
        <w:t>R v Lincoln</w:t>
      </w:r>
      <w:r w:rsidRPr="007809F4">
        <w:rPr>
          <w:rFonts w:asciiTheme="minorHAnsi" w:hAnsiTheme="minorHAnsi" w:cstheme="minorHAnsi"/>
        </w:rPr>
        <w:t xml:space="preserve"> [2017] QCA 37</w:t>
      </w:r>
      <w:r w:rsidRPr="00EB7F1E">
        <w:rPr>
          <w:rFonts w:asciiTheme="minorHAnsi" w:hAnsiTheme="minorHAnsi" w:cstheme="minorHAnsi"/>
        </w:rPr>
        <w:fldChar w:fldCharType="begin"/>
      </w:r>
      <w:r w:rsidRPr="007809F4">
        <w:rPr>
          <w:rFonts w:asciiTheme="minorHAnsi" w:hAnsiTheme="minorHAnsi" w:cstheme="minorHAnsi"/>
        </w:rPr>
        <w:instrText xml:space="preserve"> TA \s "R v Lincoln [2017] QCA 37" </w:instrText>
      </w:r>
      <w:r w:rsidRPr="00EB7F1E">
        <w:rPr>
          <w:rFonts w:asciiTheme="minorHAnsi" w:hAnsiTheme="minorHAnsi" w:cstheme="minorHAnsi"/>
        </w:rPr>
        <w:fldChar w:fldCharType="end"/>
      </w:r>
      <w:r w:rsidRPr="007809F4">
        <w:rPr>
          <w:rFonts w:asciiTheme="minorHAnsi" w:hAnsiTheme="minorHAnsi" w:cstheme="minorHAnsi"/>
        </w:rPr>
        <w:t xml:space="preserve">, [68]-[70].  An offender who, at the time of offending, did not have an existing visa to reside in Australia (for example, an offender whose visa had expired or who was otherwise in Australia unlawfully) and had only a diminished prospect of settling in Australia rather than a sense of real loss will not suffer real hardship: </w:t>
      </w:r>
      <w:r w:rsidRPr="007809F4">
        <w:rPr>
          <w:rFonts w:asciiTheme="minorHAnsi" w:hAnsiTheme="minorHAnsi" w:cstheme="minorHAnsi"/>
          <w:i/>
        </w:rPr>
        <w:t>Nguyen v R</w:t>
      </w:r>
      <w:r w:rsidRPr="007809F4">
        <w:rPr>
          <w:rFonts w:asciiTheme="minorHAnsi" w:hAnsiTheme="minorHAnsi" w:cstheme="minorHAnsi"/>
        </w:rPr>
        <w:t xml:space="preserve"> [2016] VSCA 198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Nguyen v R</w:instrText>
      </w:r>
      <w:r w:rsidRPr="007809F4">
        <w:rPr>
          <w:rFonts w:asciiTheme="minorHAnsi" w:hAnsiTheme="minorHAnsi" w:cstheme="minorHAnsi"/>
        </w:rPr>
        <w:instrText xml:space="preserve"> [2016] VSCA 198</w:instrText>
      </w:r>
      <w:r w:rsidRPr="00EB7F1E">
        <w:rPr>
          <w:rFonts w:asciiTheme="minorHAnsi" w:hAnsiTheme="minorHAnsi" w:cstheme="minorHAnsi"/>
        </w:rPr>
        <w:instrText xml:space="preserve">" \s "Nguyen v R [2016] VSCA 198" \c 1 </w:instrText>
      </w:r>
      <w:r w:rsidRPr="00EB7F1E">
        <w:rPr>
          <w:rFonts w:asciiTheme="minorHAnsi" w:hAnsiTheme="minorHAnsi" w:cstheme="minorHAnsi"/>
        </w:rPr>
        <w:fldChar w:fldCharType="end"/>
      </w:r>
      <w:r w:rsidRPr="007809F4">
        <w:rPr>
          <w:rFonts w:asciiTheme="minorHAnsi" w:hAnsiTheme="minorHAnsi" w:cstheme="minorHAnsi"/>
        </w:rPr>
        <w:t xml:space="preserve">, [35]. </w:t>
      </w:r>
      <w:r w:rsidRPr="007809F4">
        <w:rPr>
          <w:rFonts w:asciiTheme="minorHAnsi" w:hAnsiTheme="minorHAnsi" w:cstheme="minorHAnsi"/>
          <w:i/>
        </w:rPr>
        <w:t xml:space="preserve"> </w:t>
      </w:r>
      <w:r w:rsidRPr="007809F4">
        <w:rPr>
          <w:rFonts w:asciiTheme="minorHAnsi" w:hAnsiTheme="minorHAnsi" w:cstheme="minorHAnsi"/>
        </w:rPr>
        <w:t xml:space="preserve">If the offender has come to Australia for the sole purpose of criminal activity, and has no interest in making Australia their home, deportation to their country of origin may impose no burden upon them at all: </w:t>
      </w:r>
      <w:r w:rsidRPr="007809F4">
        <w:rPr>
          <w:rFonts w:asciiTheme="minorHAnsi" w:hAnsiTheme="minorHAnsi" w:cstheme="minorHAnsi"/>
          <w:i/>
        </w:rPr>
        <w:t>Konamala v R</w:t>
      </w:r>
      <w:r w:rsidRPr="007809F4">
        <w:rPr>
          <w:rFonts w:asciiTheme="minorHAnsi" w:hAnsiTheme="minorHAnsi" w:cstheme="minorHAnsi"/>
          <w:lang w:val="en-US"/>
        </w:rPr>
        <w:t xml:space="preserve"> [2016] VSCA 48</w:t>
      </w:r>
      <w:r w:rsidRPr="00EB7F1E">
        <w:rPr>
          <w:rFonts w:asciiTheme="minorHAnsi" w:hAnsiTheme="minorHAnsi" w:cstheme="minorHAnsi"/>
          <w:lang w:val="en-U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lang w:val="en-US"/>
        </w:rPr>
        <w:instrText xml:space="preserve">Konamala v R </w:instrText>
      </w:r>
      <w:r w:rsidRPr="007809F4">
        <w:rPr>
          <w:rFonts w:asciiTheme="minorHAnsi" w:hAnsiTheme="minorHAnsi" w:cstheme="minorHAnsi"/>
          <w:lang w:val="en-US"/>
        </w:rPr>
        <w:instrText>[2016] VSCA 48</w:instrText>
      </w:r>
      <w:r w:rsidRPr="007809F4">
        <w:rPr>
          <w:rFonts w:asciiTheme="minorHAnsi" w:hAnsiTheme="minorHAnsi" w:cstheme="minorHAnsi"/>
        </w:rPr>
        <w:instrText xml:space="preserve">" \s "Konamala v R [2016] VSCA 48" \c 1 </w:instrText>
      </w:r>
      <w:r w:rsidRPr="00EB7F1E">
        <w:rPr>
          <w:rFonts w:asciiTheme="minorHAnsi" w:hAnsiTheme="minorHAnsi" w:cstheme="minorHAnsi"/>
          <w:lang w:val="en-US"/>
        </w:rPr>
        <w:fldChar w:fldCharType="end"/>
      </w:r>
      <w:r w:rsidRPr="007809F4">
        <w:rPr>
          <w:rFonts w:asciiTheme="minorHAnsi" w:hAnsiTheme="minorHAnsi" w:cstheme="minorHAnsi"/>
          <w:lang w:val="en-US"/>
        </w:rPr>
        <w:t>, [34].</w:t>
      </w:r>
    </w:p>
  </w:footnote>
  <w:footnote w:id="506">
    <w:p w14:paraId="0BEA559B" w14:textId="3EB3F97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Compare </w:t>
      </w:r>
      <w:r w:rsidRPr="007809F4">
        <w:rPr>
          <w:rFonts w:asciiTheme="minorHAnsi" w:hAnsiTheme="minorHAnsi" w:cstheme="minorHAnsi"/>
          <w:i/>
        </w:rPr>
        <w:t>De Costa v R</w:t>
      </w:r>
      <w:r w:rsidRPr="007809F4">
        <w:rPr>
          <w:rFonts w:asciiTheme="minorHAnsi" w:hAnsiTheme="minorHAnsi" w:cstheme="minorHAnsi"/>
        </w:rPr>
        <w:t xml:space="preserve"> [2016] VSCA 49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De Costa v R</w:instrText>
      </w:r>
      <w:r w:rsidRPr="007809F4">
        <w:rPr>
          <w:rFonts w:asciiTheme="minorHAnsi" w:hAnsiTheme="minorHAnsi" w:cstheme="minorHAnsi"/>
        </w:rPr>
        <w:instrText xml:space="preserve"> [2016] VSCA 49</w:instrText>
      </w:r>
      <w:r w:rsidRPr="00EB7F1E">
        <w:rPr>
          <w:rFonts w:asciiTheme="minorHAnsi" w:hAnsiTheme="minorHAnsi" w:cstheme="minorHAnsi"/>
        </w:rPr>
        <w:instrText xml:space="preserve">" \s "De Costa v R [2016] VSCA 49" \c 1 </w:instrText>
      </w:r>
      <w:r w:rsidRPr="00EB7F1E">
        <w:rPr>
          <w:rFonts w:asciiTheme="minorHAnsi" w:hAnsiTheme="minorHAnsi" w:cstheme="minorHAnsi"/>
        </w:rPr>
        <w:fldChar w:fldCharType="end"/>
      </w:r>
      <w:r w:rsidRPr="007809F4">
        <w:rPr>
          <w:rFonts w:asciiTheme="minorHAnsi" w:hAnsiTheme="minorHAnsi" w:cstheme="minorHAnsi"/>
        </w:rPr>
        <w:t xml:space="preserve">, [53]; </w:t>
      </w:r>
      <w:r w:rsidRPr="007809F4">
        <w:rPr>
          <w:rFonts w:asciiTheme="minorHAnsi" w:hAnsiTheme="minorHAnsi" w:cstheme="minorHAnsi"/>
          <w:i/>
        </w:rPr>
        <w:t>R v Schelvis; R v Hildebrand</w:t>
      </w:r>
      <w:r w:rsidRPr="007809F4">
        <w:rPr>
          <w:rFonts w:asciiTheme="minorHAnsi" w:hAnsiTheme="minorHAnsi" w:cstheme="minorHAnsi"/>
        </w:rPr>
        <w:t xml:space="preserve"> [2016] QCA 294</w:t>
      </w:r>
      <w:r w:rsidRPr="00EB7F1E">
        <w:rPr>
          <w:rFonts w:asciiTheme="minorHAnsi" w:hAnsiTheme="minorHAnsi" w:cstheme="minorHAnsi"/>
        </w:rPr>
        <w:fldChar w:fldCharType="begin"/>
      </w:r>
      <w:r w:rsidRPr="00EB7F1E">
        <w:rPr>
          <w:rFonts w:asciiTheme="minorHAnsi" w:hAnsiTheme="minorHAnsi" w:cstheme="minorHAnsi"/>
        </w:rPr>
        <w:instrText xml:space="preserve"> TA \s "R v Schelvis; R v Hildebrand [2016] QCA 294" </w:instrText>
      </w:r>
      <w:r w:rsidRPr="00EB7F1E">
        <w:rPr>
          <w:rFonts w:asciiTheme="minorHAnsi" w:hAnsiTheme="minorHAnsi" w:cstheme="minorHAnsi"/>
        </w:rPr>
        <w:fldChar w:fldCharType="end"/>
      </w:r>
      <w:r w:rsidRPr="007809F4">
        <w:rPr>
          <w:rFonts w:asciiTheme="minorHAnsi" w:hAnsiTheme="minorHAnsi" w:cstheme="minorHAnsi"/>
        </w:rPr>
        <w:t>, [81].</w:t>
      </w:r>
    </w:p>
  </w:footnote>
  <w:footnote w:id="507">
    <w:p w14:paraId="7C0AEB85" w14:textId="1534957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Darcie v R</w:t>
      </w:r>
      <w:r w:rsidRPr="007809F4">
        <w:rPr>
          <w:rFonts w:asciiTheme="minorHAnsi" w:hAnsiTheme="minorHAnsi" w:cstheme="minorHAnsi"/>
        </w:rPr>
        <w:t xml:space="preserve"> [2012] VSCA 11</w:t>
      </w:r>
      <w:r w:rsidRPr="00EB7F1E">
        <w:rPr>
          <w:rFonts w:asciiTheme="minorHAnsi" w:hAnsiTheme="minorHAnsi" w:cstheme="minorHAnsi"/>
        </w:rPr>
        <w:fldChar w:fldCharType="begin"/>
      </w:r>
      <w:r w:rsidRPr="00EB7F1E">
        <w:rPr>
          <w:rFonts w:asciiTheme="minorHAnsi" w:hAnsiTheme="minorHAnsi" w:cstheme="minorHAnsi"/>
        </w:rPr>
        <w:instrText xml:space="preserve"> TA \s "Darcie v R [2012] VSCA 11" </w:instrText>
      </w:r>
      <w:r w:rsidRPr="00EB7F1E">
        <w:rPr>
          <w:rFonts w:asciiTheme="minorHAnsi" w:hAnsiTheme="minorHAnsi" w:cstheme="minorHAnsi"/>
        </w:rPr>
        <w:fldChar w:fldCharType="end"/>
      </w:r>
      <w:r w:rsidRPr="007809F4">
        <w:rPr>
          <w:rFonts w:asciiTheme="minorHAnsi" w:hAnsiTheme="minorHAnsi" w:cstheme="minorHAnsi"/>
        </w:rPr>
        <w:t>, [29]-[45].  Williams AJA (with whom Buchanan JA agreed) observed (at [44]) that a factor which further complicated assessment of the prospects of deportation was that the decision whether or not to deport the offender could be taken by the Minister, and that the Minister was not bound by a published direction (summarised at [32]-[35]) which set out and weighted relevant considerations.</w:t>
      </w:r>
    </w:p>
  </w:footnote>
  <w:footnote w:id="508">
    <w:p w14:paraId="2004EFC3" w14:textId="7B8622E1" w:rsidR="00D44BCF" w:rsidRPr="007809F4" w:rsidRDefault="00D44BCF">
      <w:pPr>
        <w:pStyle w:val="FootnoteText"/>
        <w:ind w:left="426" w:hanging="426"/>
        <w:jc w:val="both"/>
        <w:rPr>
          <w:rFonts w:asciiTheme="minorHAnsi" w:hAnsiTheme="minorHAnsi" w:cstheme="minorHAnsi"/>
          <w:lang w:val="en-U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lang w:val="en-US"/>
        </w:rPr>
        <w:tab/>
      </w:r>
      <w:r w:rsidRPr="007809F4">
        <w:rPr>
          <w:rFonts w:asciiTheme="minorHAnsi" w:hAnsiTheme="minorHAnsi" w:cstheme="minorHAnsi"/>
          <w:i/>
        </w:rPr>
        <w:t>Konamala v R</w:t>
      </w:r>
      <w:r w:rsidRPr="007809F4">
        <w:rPr>
          <w:rFonts w:asciiTheme="minorHAnsi" w:hAnsiTheme="minorHAnsi" w:cstheme="minorHAnsi"/>
          <w:lang w:val="en-US"/>
        </w:rPr>
        <w:t xml:space="preserve"> [2016] VSCA 48</w:t>
      </w:r>
      <w:r w:rsidRPr="00EB7F1E">
        <w:rPr>
          <w:rFonts w:asciiTheme="minorHAnsi" w:hAnsiTheme="minorHAnsi" w:cstheme="minorHAnsi"/>
          <w:lang w:val="en-U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lang w:val="en-US"/>
        </w:rPr>
        <w:instrText xml:space="preserve">Konamala v R </w:instrText>
      </w:r>
      <w:r w:rsidRPr="007809F4">
        <w:rPr>
          <w:rFonts w:asciiTheme="minorHAnsi" w:hAnsiTheme="minorHAnsi" w:cstheme="minorHAnsi"/>
          <w:lang w:val="en-US"/>
        </w:rPr>
        <w:instrText>[2016] VSCA 48</w:instrText>
      </w:r>
      <w:r w:rsidRPr="007809F4">
        <w:rPr>
          <w:rFonts w:asciiTheme="minorHAnsi" w:hAnsiTheme="minorHAnsi" w:cstheme="minorHAnsi"/>
        </w:rPr>
        <w:instrText xml:space="preserve">" \s "Konamala v R [2016] VSCA 48" \c 1 </w:instrText>
      </w:r>
      <w:r w:rsidRPr="00EB7F1E">
        <w:rPr>
          <w:rFonts w:asciiTheme="minorHAnsi" w:hAnsiTheme="minorHAnsi" w:cstheme="minorHAnsi"/>
          <w:lang w:val="en-US"/>
        </w:rPr>
        <w:fldChar w:fldCharType="end"/>
      </w:r>
      <w:r w:rsidRPr="007809F4">
        <w:rPr>
          <w:rFonts w:asciiTheme="minorHAnsi" w:hAnsiTheme="minorHAnsi" w:cstheme="minorHAnsi"/>
          <w:lang w:val="en-US"/>
        </w:rPr>
        <w:t>;</w:t>
      </w:r>
      <w:r w:rsidRPr="007809F4">
        <w:rPr>
          <w:rFonts w:asciiTheme="minorHAnsi" w:hAnsiTheme="minorHAnsi" w:cstheme="minorHAnsi"/>
          <w:i/>
        </w:rPr>
        <w:t xml:space="preserve"> Da Costa v R</w:t>
      </w:r>
      <w:r w:rsidRPr="007809F4">
        <w:rPr>
          <w:rFonts w:asciiTheme="minorHAnsi" w:hAnsiTheme="minorHAnsi" w:cstheme="minorHAnsi"/>
          <w:lang w:val="en-US"/>
        </w:rPr>
        <w:t xml:space="preserve"> [2016] VSCA 49</w:t>
      </w:r>
      <w:r w:rsidRPr="00EB7F1E">
        <w:rPr>
          <w:rFonts w:asciiTheme="minorHAnsi" w:hAnsiTheme="minorHAnsi" w:cstheme="minorHAnsi"/>
          <w:lang w:val="en-U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lang w:val="en-US"/>
        </w:rPr>
        <w:instrText>Da Costa v R</w:instrText>
      </w:r>
      <w:r w:rsidRPr="007809F4">
        <w:rPr>
          <w:rFonts w:asciiTheme="minorHAnsi" w:hAnsiTheme="minorHAnsi" w:cstheme="minorHAnsi"/>
          <w:lang w:val="en-US"/>
        </w:rPr>
        <w:instrText xml:space="preserve"> [2016] VSCA 49</w:instrText>
      </w:r>
      <w:r w:rsidRPr="007809F4">
        <w:rPr>
          <w:rFonts w:asciiTheme="minorHAnsi" w:hAnsiTheme="minorHAnsi" w:cstheme="minorHAnsi"/>
        </w:rPr>
        <w:instrText xml:space="preserve">" \s "Da Costa v R [2016] VSCA 49" \c 1 </w:instrText>
      </w:r>
      <w:r w:rsidRPr="00EB7F1E">
        <w:rPr>
          <w:rFonts w:asciiTheme="minorHAnsi" w:hAnsiTheme="minorHAnsi" w:cstheme="minorHAnsi"/>
          <w:lang w:val="en-US"/>
        </w:rPr>
        <w:fldChar w:fldCharType="end"/>
      </w:r>
      <w:r w:rsidRPr="007809F4">
        <w:rPr>
          <w:rFonts w:asciiTheme="minorHAnsi" w:hAnsiTheme="minorHAnsi" w:cstheme="minorHAnsi"/>
          <w:lang w:val="en-US"/>
        </w:rPr>
        <w:t>;</w:t>
      </w:r>
      <w:r w:rsidRPr="007809F4">
        <w:rPr>
          <w:rFonts w:asciiTheme="minorHAnsi" w:hAnsiTheme="minorHAnsi" w:cstheme="minorHAnsi"/>
          <w:i/>
        </w:rPr>
        <w:t xml:space="preserve"> Schneider v R</w:t>
      </w:r>
      <w:r w:rsidRPr="007809F4">
        <w:rPr>
          <w:rFonts w:asciiTheme="minorHAnsi" w:hAnsiTheme="minorHAnsi" w:cstheme="minorHAnsi"/>
          <w:lang w:val="en-US"/>
        </w:rPr>
        <w:t xml:space="preserve"> [2016] VSCA 76</w:t>
      </w:r>
      <w:r w:rsidRPr="00EB7F1E">
        <w:rPr>
          <w:rFonts w:asciiTheme="minorHAnsi" w:hAnsiTheme="minorHAnsi" w:cstheme="minorHAnsi"/>
          <w:lang w:val="en-US"/>
        </w:rPr>
        <w:fldChar w:fldCharType="begin"/>
      </w:r>
      <w:r w:rsidRPr="00EB7F1E">
        <w:rPr>
          <w:rFonts w:asciiTheme="minorHAnsi" w:hAnsiTheme="minorHAnsi" w:cstheme="minorHAnsi"/>
        </w:rPr>
        <w:instrText xml:space="preserve"> TA \s "Schneider v R [2016] VSCA 76" </w:instrText>
      </w:r>
      <w:r w:rsidRPr="00EB7F1E">
        <w:rPr>
          <w:rFonts w:asciiTheme="minorHAnsi" w:hAnsiTheme="minorHAnsi" w:cstheme="minorHAnsi"/>
          <w:lang w:val="en-US"/>
        </w:rPr>
        <w:fldChar w:fldCharType="end"/>
      </w:r>
      <w:r w:rsidRPr="007809F4">
        <w:rPr>
          <w:rFonts w:asciiTheme="minorHAnsi" w:hAnsiTheme="minorHAnsi" w:cstheme="minorHAnsi"/>
          <w:lang w:val="en-US"/>
        </w:rPr>
        <w:t xml:space="preserve">; </w:t>
      </w:r>
      <w:r w:rsidRPr="007809F4">
        <w:rPr>
          <w:rFonts w:asciiTheme="minorHAnsi" w:hAnsiTheme="minorHAnsi" w:cstheme="minorHAnsi"/>
          <w:i/>
        </w:rPr>
        <w:t xml:space="preserve">R v Schelvis; R v Hildebrand </w:t>
      </w:r>
      <w:r w:rsidRPr="007809F4">
        <w:rPr>
          <w:rFonts w:asciiTheme="minorHAnsi" w:hAnsiTheme="minorHAnsi" w:cstheme="minorHAnsi"/>
        </w:rPr>
        <w:t>[2016] QCA 294</w:t>
      </w:r>
      <w:r w:rsidRPr="00EB7F1E">
        <w:rPr>
          <w:rFonts w:asciiTheme="minorHAnsi" w:hAnsiTheme="minorHAnsi" w:cstheme="minorHAnsi"/>
        </w:rPr>
        <w:fldChar w:fldCharType="begin"/>
      </w:r>
      <w:r w:rsidRPr="00EB7F1E">
        <w:rPr>
          <w:rFonts w:asciiTheme="minorHAnsi" w:hAnsiTheme="minorHAnsi" w:cstheme="minorHAnsi"/>
        </w:rPr>
        <w:instrText xml:space="preserve"> TA \s "R v Schelvis; R v Hildebrand [2016] QCA 294" </w:instrText>
      </w:r>
      <w:r w:rsidRPr="00EB7F1E">
        <w:rPr>
          <w:rFonts w:asciiTheme="minorHAnsi" w:hAnsiTheme="minorHAnsi" w:cstheme="minorHAnsi"/>
        </w:rPr>
        <w:fldChar w:fldCharType="end"/>
      </w:r>
      <w:r w:rsidRPr="007809F4">
        <w:rPr>
          <w:rFonts w:asciiTheme="minorHAnsi" w:hAnsiTheme="minorHAnsi" w:cstheme="minorHAnsi"/>
        </w:rPr>
        <w:t xml:space="preserve">, [74]-[82]; </w:t>
      </w:r>
      <w:r w:rsidRPr="007809F4">
        <w:rPr>
          <w:rFonts w:asciiTheme="minorHAnsi" w:hAnsiTheme="minorHAnsi" w:cstheme="minorHAnsi"/>
          <w:i/>
        </w:rPr>
        <w:t>R v Lincoln</w:t>
      </w:r>
      <w:r w:rsidRPr="007809F4">
        <w:rPr>
          <w:rFonts w:asciiTheme="minorHAnsi" w:hAnsiTheme="minorHAnsi" w:cstheme="minorHAnsi"/>
        </w:rPr>
        <w:t xml:space="preserve"> [2017] QCA 37</w:t>
      </w:r>
      <w:r w:rsidRPr="00EB7F1E">
        <w:rPr>
          <w:rFonts w:asciiTheme="minorHAnsi" w:hAnsiTheme="minorHAnsi" w:cstheme="minorHAnsi"/>
        </w:rPr>
        <w:fldChar w:fldCharType="begin"/>
      </w:r>
      <w:r w:rsidRPr="007809F4">
        <w:rPr>
          <w:rFonts w:asciiTheme="minorHAnsi" w:hAnsiTheme="minorHAnsi" w:cstheme="minorHAnsi"/>
        </w:rPr>
        <w:instrText xml:space="preserve"> TA \s "R v Lincoln [2017] QCA 37" </w:instrText>
      </w:r>
      <w:r w:rsidRPr="00EB7F1E">
        <w:rPr>
          <w:rFonts w:asciiTheme="minorHAnsi" w:hAnsiTheme="minorHAnsi" w:cstheme="minorHAnsi"/>
        </w:rPr>
        <w:fldChar w:fldCharType="end"/>
      </w:r>
      <w:r w:rsidRPr="007809F4">
        <w:rPr>
          <w:rFonts w:asciiTheme="minorHAnsi" w:hAnsiTheme="minorHAnsi" w:cstheme="minorHAnsi"/>
        </w:rPr>
        <w:t xml:space="preserve">, [68]-[70].  In </w:t>
      </w:r>
      <w:r w:rsidRPr="007809F4">
        <w:rPr>
          <w:rFonts w:asciiTheme="minorHAnsi" w:hAnsiTheme="minorHAnsi" w:cstheme="minorHAnsi"/>
          <w:i/>
        </w:rPr>
        <w:t>Shelvis</w:t>
      </w:r>
      <w:r w:rsidRPr="007809F4">
        <w:rPr>
          <w:rFonts w:asciiTheme="minorHAnsi" w:hAnsiTheme="minorHAnsi" w:cstheme="minorHAnsi"/>
        </w:rPr>
        <w:t xml:space="preserve">, [78]-[79], Fraser JA (with whom Morrison JA and Peter Lyons J agreed) preferred the reasoning in </w:t>
      </w:r>
      <w:r w:rsidRPr="007809F4">
        <w:rPr>
          <w:rFonts w:asciiTheme="minorHAnsi" w:hAnsiTheme="minorHAnsi" w:cstheme="minorHAnsi"/>
          <w:i/>
        </w:rPr>
        <w:t>Da Costa</w:t>
      </w:r>
      <w:r w:rsidRPr="007809F4">
        <w:rPr>
          <w:rFonts w:asciiTheme="minorHAnsi" w:hAnsiTheme="minorHAnsi" w:cstheme="minorHAnsi"/>
        </w:rPr>
        <w:t xml:space="preserve"> to a contrary dictum in </w:t>
      </w:r>
      <w:r w:rsidRPr="007809F4">
        <w:rPr>
          <w:rFonts w:asciiTheme="minorHAnsi" w:hAnsiTheme="minorHAnsi" w:cstheme="minorHAnsi"/>
          <w:i/>
        </w:rPr>
        <w:t>Zhuang v R</w:t>
      </w:r>
      <w:r w:rsidRPr="007809F4">
        <w:rPr>
          <w:rFonts w:asciiTheme="minorHAnsi" w:hAnsiTheme="minorHAnsi" w:cstheme="minorHAnsi"/>
        </w:rPr>
        <w:t xml:space="preserve"> [2015] VSCA 96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Zhuang v R</w:instrText>
      </w:r>
      <w:r w:rsidRPr="007809F4">
        <w:rPr>
          <w:rFonts w:asciiTheme="minorHAnsi" w:hAnsiTheme="minorHAnsi" w:cstheme="minorHAnsi"/>
        </w:rPr>
        <w:instrText xml:space="preserve"> [2015] VSCA 96</w:instrText>
      </w:r>
      <w:r w:rsidRPr="00EB7F1E">
        <w:rPr>
          <w:rFonts w:asciiTheme="minorHAnsi" w:hAnsiTheme="minorHAnsi" w:cstheme="minorHAnsi"/>
        </w:rPr>
        <w:instrText xml:space="preserve">" \s "Zhuang v R [2015] VSCA 96" \c 1 </w:instrText>
      </w:r>
      <w:r w:rsidRPr="00EB7F1E">
        <w:rPr>
          <w:rFonts w:asciiTheme="minorHAnsi" w:hAnsiTheme="minorHAnsi" w:cstheme="minorHAnsi"/>
        </w:rPr>
        <w:fldChar w:fldCharType="end"/>
      </w:r>
      <w:r w:rsidRPr="007809F4">
        <w:rPr>
          <w:rFonts w:asciiTheme="minorHAnsi" w:hAnsiTheme="minorHAnsi" w:cstheme="minorHAnsi"/>
        </w:rPr>
        <w:t>, [54].</w:t>
      </w:r>
      <w:r w:rsidRPr="00EB7F1E">
        <w:rPr>
          <w:rFonts w:asciiTheme="minorHAnsi" w:hAnsiTheme="minorHAnsi" w:cstheme="minorHAnsi"/>
          <w:lang w:val="en-US"/>
        </w:rPr>
        <w:fldChar w:fldCharType="begin"/>
      </w:r>
      <w:r w:rsidRPr="007809F4">
        <w:rPr>
          <w:rFonts w:asciiTheme="minorHAnsi" w:hAnsiTheme="minorHAnsi" w:cstheme="minorHAnsi"/>
          <w:lang w:val="en-US"/>
        </w:rPr>
        <w:instrText xml:space="preserve">  "Schneider v The Queen [2016] VSCA 76." </w:instrText>
      </w:r>
      <w:r w:rsidRPr="00EB7F1E">
        <w:rPr>
          <w:rFonts w:asciiTheme="minorHAnsi" w:hAnsiTheme="minorHAnsi" w:cstheme="minorHAnsi"/>
          <w:lang w:val="en-US"/>
        </w:rPr>
        <w:fldChar w:fldCharType="end"/>
      </w:r>
    </w:p>
  </w:footnote>
  <w:footnote w:id="509">
    <w:p w14:paraId="6ECAB077" w14:textId="6134288F" w:rsidR="00D44BCF" w:rsidRPr="007809F4" w:rsidRDefault="00D44BCF">
      <w:pPr>
        <w:pStyle w:val="FootnoteText"/>
        <w:ind w:left="426" w:hanging="426"/>
        <w:jc w:val="both"/>
        <w:rPr>
          <w:rFonts w:asciiTheme="minorHAnsi" w:hAnsiTheme="minorHAnsi" w:cstheme="minorHAnsi"/>
          <w:lang w:val="en-U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lang w:val="en-US"/>
        </w:rPr>
        <w:tab/>
      </w:r>
      <w:r w:rsidRPr="00EB7F1E">
        <w:rPr>
          <w:rFonts w:asciiTheme="minorHAnsi" w:hAnsiTheme="minorHAnsi" w:cstheme="minorHAnsi"/>
          <w:i/>
        </w:rPr>
        <w:t>R</w:t>
      </w:r>
      <w:r w:rsidRPr="00EB7F1E">
        <w:rPr>
          <w:rFonts w:asciiTheme="minorHAnsi" w:hAnsiTheme="minorHAnsi" w:cstheme="minorHAnsi"/>
        </w:rPr>
        <w:t xml:space="preserve"> v </w:t>
      </w:r>
      <w:r w:rsidRPr="00EB7F1E">
        <w:rPr>
          <w:rFonts w:asciiTheme="minorHAnsi" w:hAnsiTheme="minorHAnsi" w:cstheme="minorHAnsi"/>
          <w:i/>
        </w:rPr>
        <w:t xml:space="preserve">MAO; Ex parte </w:t>
      </w:r>
      <w:r w:rsidRPr="007809F4">
        <w:rPr>
          <w:rFonts w:asciiTheme="minorHAnsi" w:hAnsiTheme="minorHAnsi" w:cstheme="minorHAnsi"/>
          <w:i/>
        </w:rPr>
        <w:t>Attorney-General</w:t>
      </w:r>
      <w:r w:rsidRPr="00EB7F1E">
        <w:rPr>
          <w:rFonts w:asciiTheme="minorHAnsi" w:hAnsiTheme="minorHAnsi" w:cstheme="minorHAnsi"/>
          <w:i/>
        </w:rPr>
        <w:t xml:space="preserve"> (Qld)</w:t>
      </w:r>
      <w:r w:rsidRPr="007809F4">
        <w:rPr>
          <w:rFonts w:asciiTheme="minorHAnsi" w:hAnsiTheme="minorHAnsi" w:cstheme="minorHAnsi"/>
        </w:rPr>
        <w:t xml:space="preserve"> [2006] QCA 99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w:instrText>
      </w:r>
      <w:r w:rsidRPr="00EB7F1E">
        <w:rPr>
          <w:rFonts w:asciiTheme="minorHAnsi" w:hAnsiTheme="minorHAnsi" w:cstheme="minorHAnsi"/>
        </w:rPr>
        <w:instrText xml:space="preserve"> v </w:instrText>
      </w:r>
      <w:r w:rsidRPr="00EB7F1E">
        <w:rPr>
          <w:rFonts w:asciiTheme="minorHAnsi" w:hAnsiTheme="minorHAnsi" w:cstheme="minorHAnsi"/>
          <w:i/>
        </w:rPr>
        <w:instrText xml:space="preserve">MAO; Ex parte </w:instrText>
      </w:r>
      <w:r w:rsidRPr="007809F4">
        <w:rPr>
          <w:rFonts w:asciiTheme="minorHAnsi" w:hAnsiTheme="minorHAnsi" w:cstheme="minorHAnsi"/>
          <w:i/>
        </w:rPr>
        <w:instrText>Attorney-General</w:instrText>
      </w:r>
      <w:r w:rsidRPr="00EB7F1E">
        <w:rPr>
          <w:rFonts w:asciiTheme="minorHAnsi" w:hAnsiTheme="minorHAnsi" w:cstheme="minorHAnsi"/>
          <w:i/>
        </w:rPr>
        <w:instrText xml:space="preserve"> (Qld)</w:instrText>
      </w:r>
      <w:r w:rsidRPr="007809F4">
        <w:rPr>
          <w:rFonts w:asciiTheme="minorHAnsi" w:hAnsiTheme="minorHAnsi" w:cstheme="minorHAnsi"/>
        </w:rPr>
        <w:instrText xml:space="preserve"> [2006] QCA 99</w:instrText>
      </w:r>
      <w:r w:rsidRPr="00EB7F1E">
        <w:rPr>
          <w:rFonts w:asciiTheme="minorHAnsi" w:hAnsiTheme="minorHAnsi" w:cstheme="minorHAnsi"/>
        </w:rPr>
        <w:instrText xml:space="preserve">" \s "R v MAO; Ex parte Attorney-General (Qld) [2006] QCA 99"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lang w:val="en-US"/>
        </w:rPr>
        <w:fldChar w:fldCharType="begin"/>
      </w:r>
      <w:r w:rsidRPr="007809F4">
        <w:rPr>
          <w:rFonts w:asciiTheme="minorHAnsi" w:hAnsiTheme="minorHAnsi" w:cstheme="minorHAnsi"/>
          <w:lang w:val="en-US"/>
        </w:rPr>
        <w:instrText xml:space="preserve">  "Schneider v The Queen [2016] VSCA 76." </w:instrText>
      </w:r>
      <w:r w:rsidRPr="00EB7F1E">
        <w:rPr>
          <w:rFonts w:asciiTheme="minorHAnsi" w:hAnsiTheme="minorHAnsi" w:cstheme="minorHAnsi"/>
          <w:lang w:val="en-US"/>
        </w:rPr>
        <w:fldChar w:fldCharType="end"/>
      </w:r>
    </w:p>
  </w:footnote>
  <w:footnote w:id="510">
    <w:p w14:paraId="0D4A9EFC" w14:textId="2B38593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In </w:t>
      </w:r>
      <w:r w:rsidRPr="007809F4">
        <w:rPr>
          <w:rFonts w:asciiTheme="minorHAnsi" w:hAnsiTheme="minorHAnsi" w:cstheme="minorHAnsi"/>
          <w:i/>
        </w:rPr>
        <w:t>R v Berlinksy</w:t>
      </w:r>
      <w:r w:rsidRPr="007809F4">
        <w:rPr>
          <w:rFonts w:asciiTheme="minorHAnsi" w:hAnsiTheme="minorHAnsi" w:cstheme="minorHAnsi"/>
        </w:rPr>
        <w:t xml:space="preserve"> [2005] SASC 316</w:t>
      </w:r>
      <w:r w:rsidRPr="00EB7F1E">
        <w:rPr>
          <w:rFonts w:asciiTheme="minorHAnsi" w:hAnsiTheme="minorHAnsi" w:cstheme="minorHAnsi"/>
        </w:rPr>
        <w:fldChar w:fldCharType="begin"/>
      </w:r>
      <w:r w:rsidRPr="007809F4">
        <w:rPr>
          <w:rFonts w:asciiTheme="minorHAnsi" w:hAnsiTheme="minorHAnsi" w:cstheme="minorHAnsi"/>
        </w:rPr>
        <w:instrText xml:space="preserve"> TA \s "R v Berlinksy [2005] SASC 316" </w:instrText>
      </w:r>
      <w:r w:rsidRPr="00EB7F1E">
        <w:rPr>
          <w:rFonts w:asciiTheme="minorHAnsi" w:hAnsiTheme="minorHAnsi" w:cstheme="minorHAnsi"/>
        </w:rPr>
        <w:fldChar w:fldCharType="end"/>
      </w:r>
      <w:r w:rsidRPr="007809F4">
        <w:rPr>
          <w:rFonts w:asciiTheme="minorHAnsi" w:hAnsiTheme="minorHAnsi" w:cstheme="minorHAnsi"/>
        </w:rPr>
        <w:t xml:space="preserve">, [27], the Full Court of the Supreme Court of South Australia held that the prospect of deportation, as such, was an irrelevant consideration in sentencing.  However in </w:t>
      </w:r>
      <w:r w:rsidRPr="007809F4">
        <w:rPr>
          <w:rFonts w:asciiTheme="minorHAnsi" w:hAnsiTheme="minorHAnsi" w:cstheme="minorHAnsi"/>
          <w:i/>
        </w:rPr>
        <w:t>R v Zhang</w:t>
      </w:r>
      <w:r w:rsidRPr="007809F4">
        <w:rPr>
          <w:rFonts w:asciiTheme="minorHAnsi" w:hAnsiTheme="minorHAnsi" w:cstheme="minorHAnsi"/>
        </w:rPr>
        <w:t xml:space="preserve"> [2017] SASCFC 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Zhang</w:instrText>
      </w:r>
      <w:r w:rsidRPr="007809F4">
        <w:rPr>
          <w:rFonts w:asciiTheme="minorHAnsi" w:hAnsiTheme="minorHAnsi" w:cstheme="minorHAnsi"/>
        </w:rPr>
        <w:instrText xml:space="preserve"> [2017] SASCFC 5</w:instrText>
      </w:r>
      <w:r w:rsidRPr="00EB7F1E">
        <w:rPr>
          <w:rFonts w:asciiTheme="minorHAnsi" w:hAnsiTheme="minorHAnsi" w:cstheme="minorHAnsi"/>
        </w:rPr>
        <w:instrText xml:space="preserve">" \s "R v Zhang [2017] SASCFC 5" \c 1 </w:instrText>
      </w:r>
      <w:r w:rsidRPr="00EB7F1E">
        <w:rPr>
          <w:rFonts w:asciiTheme="minorHAnsi" w:hAnsiTheme="minorHAnsi" w:cstheme="minorHAnsi"/>
        </w:rPr>
        <w:fldChar w:fldCharType="end"/>
      </w:r>
      <w:r w:rsidRPr="007809F4">
        <w:rPr>
          <w:rFonts w:asciiTheme="minorHAnsi" w:hAnsiTheme="minorHAnsi" w:cstheme="minorHAnsi"/>
        </w:rPr>
        <w:t xml:space="preserve">, [110]-[113], the Court approved of the analysis in </w:t>
      </w:r>
      <w:r w:rsidRPr="007809F4">
        <w:rPr>
          <w:rFonts w:asciiTheme="minorHAnsi" w:hAnsiTheme="minorHAnsi" w:cstheme="minorHAnsi"/>
          <w:i/>
        </w:rPr>
        <w:t>R v Schelvis; R v Hildebrand</w:t>
      </w:r>
      <w:r w:rsidRPr="007809F4">
        <w:rPr>
          <w:rFonts w:asciiTheme="minorHAnsi" w:hAnsiTheme="minorHAnsi" w:cstheme="minorHAnsi"/>
        </w:rPr>
        <w:t xml:space="preserve"> [2016] QCA 294</w:t>
      </w:r>
      <w:r w:rsidRPr="00EB7F1E">
        <w:rPr>
          <w:rFonts w:asciiTheme="minorHAnsi" w:hAnsiTheme="minorHAnsi" w:cstheme="minorHAnsi"/>
        </w:rPr>
        <w:fldChar w:fldCharType="begin"/>
      </w:r>
      <w:r w:rsidRPr="007809F4">
        <w:rPr>
          <w:rFonts w:asciiTheme="minorHAnsi" w:hAnsiTheme="minorHAnsi" w:cstheme="minorHAnsi"/>
        </w:rPr>
        <w:instrText xml:space="preserve"> TA \s "R v Schelvis; R v Hildebrand [2016] QCA 294" </w:instrText>
      </w:r>
      <w:r w:rsidRPr="00EB7F1E">
        <w:rPr>
          <w:rFonts w:asciiTheme="minorHAnsi" w:hAnsiTheme="minorHAnsi" w:cstheme="minorHAnsi"/>
        </w:rPr>
        <w:fldChar w:fldCharType="end"/>
      </w:r>
      <w:r w:rsidRPr="007809F4">
        <w:rPr>
          <w:rFonts w:asciiTheme="minorHAnsi" w:hAnsiTheme="minorHAnsi" w:cstheme="minorHAnsi"/>
        </w:rPr>
        <w:t xml:space="preserve">, and thereby accepted that the prospect of deportation could be a mitigating factor.  In </w:t>
      </w:r>
      <w:r w:rsidRPr="007809F4">
        <w:rPr>
          <w:rFonts w:asciiTheme="minorHAnsi" w:hAnsiTheme="minorHAnsi" w:cstheme="minorHAnsi"/>
          <w:i/>
        </w:rPr>
        <w:t>R v Leka</w:t>
      </w:r>
      <w:r w:rsidRPr="007809F4">
        <w:rPr>
          <w:rFonts w:asciiTheme="minorHAnsi" w:hAnsiTheme="minorHAnsi" w:cstheme="minorHAnsi"/>
        </w:rPr>
        <w:t xml:space="preserve"> [2017] SASCFC 77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Leka</w:instrText>
      </w:r>
      <w:r w:rsidRPr="007809F4">
        <w:rPr>
          <w:rFonts w:asciiTheme="minorHAnsi" w:hAnsiTheme="minorHAnsi" w:cstheme="minorHAnsi"/>
        </w:rPr>
        <w:instrText xml:space="preserve"> [2017] SASCFC 77</w:instrText>
      </w:r>
      <w:r w:rsidRPr="00EB7F1E">
        <w:rPr>
          <w:rFonts w:asciiTheme="minorHAnsi" w:hAnsiTheme="minorHAnsi" w:cstheme="minorHAnsi"/>
        </w:rPr>
        <w:instrText xml:space="preserve">" \s "R v Leka [2017] SASCFC 77" \c 1 </w:instrText>
      </w:r>
      <w:r w:rsidRPr="00EB7F1E">
        <w:rPr>
          <w:rFonts w:asciiTheme="minorHAnsi" w:hAnsiTheme="minorHAnsi" w:cstheme="minorHAnsi"/>
        </w:rPr>
        <w:fldChar w:fldCharType="end"/>
      </w:r>
      <w:r w:rsidRPr="007809F4">
        <w:rPr>
          <w:rFonts w:asciiTheme="minorHAnsi" w:hAnsiTheme="minorHAnsi" w:cstheme="minorHAnsi"/>
        </w:rPr>
        <w:t xml:space="preserve">, [27]-[29], Stanley J (with whom Peek and Hinton JJ agreed) noted that </w:t>
      </w:r>
      <w:r w:rsidRPr="007809F4">
        <w:rPr>
          <w:rFonts w:asciiTheme="minorHAnsi" w:hAnsiTheme="minorHAnsi" w:cstheme="minorHAnsi"/>
          <w:i/>
        </w:rPr>
        <w:t>Berlinsky</w:t>
      </w:r>
      <w:r w:rsidRPr="007809F4">
        <w:rPr>
          <w:rFonts w:asciiTheme="minorHAnsi" w:hAnsiTheme="minorHAnsi" w:cstheme="minorHAnsi"/>
        </w:rPr>
        <w:t xml:space="preserve"> had not been cited in </w:t>
      </w:r>
      <w:r w:rsidRPr="007809F4">
        <w:rPr>
          <w:rFonts w:asciiTheme="minorHAnsi" w:hAnsiTheme="minorHAnsi" w:cstheme="minorHAnsi"/>
          <w:i/>
        </w:rPr>
        <w:t>Zhang</w:t>
      </w:r>
      <w:r w:rsidRPr="007809F4">
        <w:rPr>
          <w:rFonts w:asciiTheme="minorHAnsi" w:hAnsiTheme="minorHAnsi" w:cstheme="minorHAnsi"/>
        </w:rPr>
        <w:t xml:space="preserve">, and observed that </w:t>
      </w:r>
      <w:r w:rsidRPr="007809F4">
        <w:rPr>
          <w:rFonts w:asciiTheme="minorHAnsi" w:hAnsiTheme="minorHAnsi" w:cstheme="minorHAnsi"/>
          <w:i/>
        </w:rPr>
        <w:t>Zhang</w:t>
      </w:r>
      <w:r w:rsidRPr="007809F4">
        <w:rPr>
          <w:rFonts w:asciiTheme="minorHAnsi" w:hAnsiTheme="minorHAnsi" w:cstheme="minorHAnsi"/>
        </w:rPr>
        <w:t xml:space="preserve"> may have been decided </w:t>
      </w:r>
      <w:r w:rsidRPr="007809F4">
        <w:rPr>
          <w:rFonts w:asciiTheme="minorHAnsi" w:hAnsiTheme="minorHAnsi" w:cstheme="minorHAnsi"/>
          <w:i/>
        </w:rPr>
        <w:t>per incuriam</w:t>
      </w:r>
      <w:r w:rsidRPr="007809F4">
        <w:rPr>
          <w:rFonts w:asciiTheme="minorHAnsi" w:hAnsiTheme="minorHAnsi" w:cstheme="minorHAnsi"/>
        </w:rPr>
        <w:t>.  Hinton J (with whom Peek J also agreed) added (at [37]) that “</w:t>
      </w:r>
      <w:r w:rsidRPr="007809F4">
        <w:rPr>
          <w:rFonts w:asciiTheme="minorHAnsi" w:hAnsiTheme="minorHAnsi" w:cstheme="minorHAnsi"/>
          <w:i/>
        </w:rPr>
        <w:t>resolution of the question of the relevance or not of the likelihood of deportation to sentencing can await another day</w:t>
      </w:r>
      <w:r w:rsidRPr="007809F4">
        <w:rPr>
          <w:rFonts w:asciiTheme="minorHAnsi" w:hAnsiTheme="minorHAnsi" w:cstheme="minorHAnsi"/>
        </w:rPr>
        <w:t xml:space="preserve">”.  In </w:t>
      </w:r>
      <w:r w:rsidRPr="007809F4">
        <w:rPr>
          <w:rFonts w:asciiTheme="minorHAnsi" w:hAnsiTheme="minorHAnsi" w:cstheme="minorHAnsi"/>
          <w:i/>
        </w:rPr>
        <w:t>R v Taheri</w:t>
      </w:r>
      <w:r w:rsidRPr="007809F4">
        <w:rPr>
          <w:rFonts w:asciiTheme="minorHAnsi" w:hAnsiTheme="minorHAnsi" w:cstheme="minorHAnsi"/>
        </w:rPr>
        <w:t xml:space="preserve"> [2017] SASCFC 115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Taheri</w:instrText>
      </w:r>
      <w:r w:rsidRPr="007809F4">
        <w:rPr>
          <w:rFonts w:asciiTheme="minorHAnsi" w:hAnsiTheme="minorHAnsi" w:cstheme="minorHAnsi"/>
        </w:rPr>
        <w:instrText xml:space="preserve"> [2017] SASCFC 115</w:instrText>
      </w:r>
      <w:r w:rsidRPr="00EB7F1E">
        <w:rPr>
          <w:rFonts w:asciiTheme="minorHAnsi" w:hAnsiTheme="minorHAnsi" w:cstheme="minorHAnsi"/>
        </w:rPr>
        <w:instrText xml:space="preserve">" \s "R v Taheri [2017] SASCFC 115" \c 1 </w:instrText>
      </w:r>
      <w:r w:rsidRPr="00EB7F1E">
        <w:rPr>
          <w:rFonts w:asciiTheme="minorHAnsi" w:hAnsiTheme="minorHAnsi" w:cstheme="minorHAnsi"/>
        </w:rPr>
        <w:fldChar w:fldCharType="end"/>
      </w:r>
      <w:r w:rsidRPr="007809F4">
        <w:rPr>
          <w:rFonts w:asciiTheme="minorHAnsi" w:hAnsiTheme="minorHAnsi" w:cstheme="minorHAnsi"/>
        </w:rPr>
        <w:t xml:space="preserve">, [41]-[42] and in </w:t>
      </w:r>
      <w:r w:rsidRPr="00EB7F1E">
        <w:rPr>
          <w:rFonts w:asciiTheme="minorHAnsi" w:hAnsiTheme="minorHAnsi" w:cstheme="minorHAnsi"/>
          <w:i/>
        </w:rPr>
        <w:t>R</w:t>
      </w:r>
      <w:r w:rsidRPr="00EB7F1E">
        <w:rPr>
          <w:rFonts w:asciiTheme="minorHAnsi" w:hAnsiTheme="minorHAnsi" w:cstheme="minorHAnsi"/>
        </w:rPr>
        <w:t xml:space="preserve"> v </w:t>
      </w:r>
      <w:r w:rsidRPr="00EB7F1E">
        <w:rPr>
          <w:rFonts w:asciiTheme="minorHAnsi" w:hAnsiTheme="minorHAnsi" w:cstheme="minorHAnsi"/>
          <w:i/>
        </w:rPr>
        <w:t>Arrowsmith</w:t>
      </w:r>
      <w:r w:rsidRPr="00EB7F1E">
        <w:rPr>
          <w:rFonts w:asciiTheme="minorHAnsi" w:hAnsiTheme="minorHAnsi" w:cstheme="minorHAnsi"/>
        </w:rPr>
        <w:t xml:space="preserve"> [2018] SASCFC 47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w:instrText>
      </w:r>
      <w:r w:rsidRPr="00EB7F1E">
        <w:rPr>
          <w:rFonts w:asciiTheme="minorHAnsi" w:hAnsiTheme="minorHAnsi" w:cstheme="minorHAnsi"/>
        </w:rPr>
        <w:instrText xml:space="preserve"> v </w:instrText>
      </w:r>
      <w:r w:rsidRPr="00EB7F1E">
        <w:rPr>
          <w:rFonts w:asciiTheme="minorHAnsi" w:hAnsiTheme="minorHAnsi" w:cstheme="minorHAnsi"/>
          <w:i/>
        </w:rPr>
        <w:instrText>Arrowsmith</w:instrText>
      </w:r>
      <w:r w:rsidRPr="00EB7F1E">
        <w:rPr>
          <w:rFonts w:asciiTheme="minorHAnsi" w:hAnsiTheme="minorHAnsi" w:cstheme="minorHAnsi"/>
        </w:rPr>
        <w:instrText xml:space="preserve"> [2018] SASCFC 47" \s "R v Arrowsmith [2018] SASCFC 47" \c 1 </w:instrText>
      </w:r>
      <w:r w:rsidRPr="00EB7F1E">
        <w:rPr>
          <w:rFonts w:asciiTheme="minorHAnsi" w:hAnsiTheme="minorHAnsi" w:cstheme="minorHAnsi"/>
        </w:rPr>
        <w:fldChar w:fldCharType="end"/>
      </w:r>
      <w:r w:rsidRPr="007809F4">
        <w:rPr>
          <w:rFonts w:asciiTheme="minorHAnsi" w:hAnsiTheme="minorHAnsi" w:cstheme="minorHAnsi"/>
        </w:rPr>
        <w:t xml:space="preserve">, [32]-[38], the Court also referred to, but found it unnecessary to resolve, the conflict in the authorities. </w:t>
      </w:r>
    </w:p>
  </w:footnote>
  <w:footnote w:id="511">
    <w:p w14:paraId="0834C4AF" w14:textId="77777777" w:rsidR="00D44BCF" w:rsidRPr="007809F4" w:rsidRDefault="00D44BCF" w:rsidP="00AD476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In </w:t>
      </w:r>
      <w:r w:rsidRPr="007809F4">
        <w:rPr>
          <w:rFonts w:asciiTheme="minorHAnsi" w:hAnsiTheme="minorHAnsi" w:cstheme="minorHAnsi"/>
          <w:i/>
        </w:rPr>
        <w:t>MAC v Tasmania</w:t>
      </w:r>
      <w:r w:rsidRPr="007809F4">
        <w:rPr>
          <w:rFonts w:asciiTheme="minorHAnsi" w:hAnsiTheme="minorHAnsi" w:cstheme="minorHAnsi"/>
        </w:rPr>
        <w:t xml:space="preserve"> [2018] TasCCA 19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MAC v Tasmania</w:instrText>
      </w:r>
      <w:r w:rsidRPr="007809F4">
        <w:rPr>
          <w:rFonts w:asciiTheme="minorHAnsi" w:hAnsiTheme="minorHAnsi" w:cstheme="minorHAnsi"/>
        </w:rPr>
        <w:instrText xml:space="preserve"> [2018] TasCCA 19" \s "MAC v Tasmania [2018] TasCCA 19" \c 1 </w:instrText>
      </w:r>
      <w:r w:rsidRPr="00EB7F1E">
        <w:rPr>
          <w:rFonts w:asciiTheme="minorHAnsi" w:hAnsiTheme="minorHAnsi" w:cstheme="minorHAnsi"/>
        </w:rPr>
        <w:fldChar w:fldCharType="end"/>
      </w:r>
      <w:r w:rsidRPr="007809F4">
        <w:rPr>
          <w:rFonts w:asciiTheme="minorHAnsi" w:hAnsiTheme="minorHAnsi" w:cstheme="minorHAnsi"/>
        </w:rPr>
        <w:t>, [196], the Court proceeded on the assumption that the prospect of deportation could be a mitigating factor in some circumstances, but no authorities were referred to and the Court did not need to decide the point.</w:t>
      </w:r>
    </w:p>
  </w:footnote>
  <w:footnote w:id="512">
    <w:p w14:paraId="66521C0C" w14:textId="13F4F049" w:rsidR="00D44BCF" w:rsidRPr="007809F4" w:rsidRDefault="00D44BCF" w:rsidP="00AD476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In </w:t>
      </w:r>
      <w:r w:rsidRPr="007809F4">
        <w:rPr>
          <w:rFonts w:asciiTheme="minorHAnsi" w:hAnsiTheme="minorHAnsi" w:cstheme="minorHAnsi"/>
          <w:i/>
        </w:rPr>
        <w:t>Islam</w:t>
      </w:r>
      <w:r w:rsidRPr="007809F4">
        <w:rPr>
          <w:rFonts w:asciiTheme="minorHAnsi" w:hAnsiTheme="minorHAnsi" w:cstheme="minorHAnsi"/>
        </w:rPr>
        <w:t xml:space="preserve"> v </w:t>
      </w:r>
      <w:r w:rsidRPr="007809F4">
        <w:rPr>
          <w:rFonts w:asciiTheme="minorHAnsi" w:hAnsiTheme="minorHAnsi" w:cstheme="minorHAnsi"/>
          <w:i/>
        </w:rPr>
        <w:t>R</w:t>
      </w:r>
      <w:r w:rsidRPr="007809F4">
        <w:rPr>
          <w:rFonts w:asciiTheme="minorHAnsi" w:hAnsiTheme="minorHAnsi" w:cstheme="minorHAnsi"/>
        </w:rPr>
        <w:t xml:space="preserve"> [2006] ACTCA 21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Islam</w:instrText>
      </w:r>
      <w:r w:rsidRPr="007809F4">
        <w:rPr>
          <w:rFonts w:asciiTheme="minorHAnsi" w:hAnsiTheme="minorHAnsi" w:cstheme="minorHAnsi"/>
        </w:rPr>
        <w:instrText xml:space="preserve"> v </w:instrText>
      </w:r>
      <w:r w:rsidRPr="007809F4">
        <w:rPr>
          <w:rFonts w:asciiTheme="minorHAnsi" w:hAnsiTheme="minorHAnsi" w:cstheme="minorHAnsi"/>
          <w:i/>
        </w:rPr>
        <w:instrText>R</w:instrText>
      </w:r>
      <w:r w:rsidRPr="007809F4">
        <w:rPr>
          <w:rFonts w:asciiTheme="minorHAnsi" w:hAnsiTheme="minorHAnsi" w:cstheme="minorHAnsi"/>
        </w:rPr>
        <w:instrText xml:space="preserve"> [2006] ACTCA 21" \s "Islam v R [2006] ACTCA 21" \c 1 </w:instrText>
      </w:r>
      <w:r w:rsidRPr="00EB7F1E">
        <w:rPr>
          <w:rFonts w:asciiTheme="minorHAnsi" w:hAnsiTheme="minorHAnsi" w:cstheme="minorHAnsi"/>
        </w:rPr>
        <w:fldChar w:fldCharType="end"/>
      </w:r>
      <w:r w:rsidRPr="007809F4">
        <w:rPr>
          <w:rFonts w:asciiTheme="minorHAnsi" w:hAnsiTheme="minorHAnsi" w:cstheme="minorHAnsi"/>
        </w:rPr>
        <w:t xml:space="preserve">, the ACT Court of Appeal (at [35]) cited with apparent approval a passage from the judgment of Doyle CJ in </w:t>
      </w:r>
      <w:r w:rsidRPr="007809F4">
        <w:rPr>
          <w:rFonts w:asciiTheme="minorHAnsi" w:hAnsiTheme="minorHAnsi" w:cstheme="minorHAnsi"/>
          <w:i/>
        </w:rPr>
        <w:t>R v Berlinksy</w:t>
      </w:r>
      <w:r w:rsidRPr="007809F4">
        <w:rPr>
          <w:rFonts w:asciiTheme="minorHAnsi" w:hAnsiTheme="minorHAnsi" w:cstheme="minorHAnsi"/>
        </w:rPr>
        <w:t xml:space="preserve"> [2005] SASC 316</w:t>
      </w:r>
      <w:r w:rsidRPr="00EB7F1E">
        <w:rPr>
          <w:rFonts w:asciiTheme="minorHAnsi" w:hAnsiTheme="minorHAnsi" w:cstheme="minorHAnsi"/>
        </w:rPr>
        <w:fldChar w:fldCharType="begin"/>
      </w:r>
      <w:r w:rsidRPr="007809F4">
        <w:rPr>
          <w:rFonts w:asciiTheme="minorHAnsi" w:hAnsiTheme="minorHAnsi" w:cstheme="minorHAnsi"/>
        </w:rPr>
        <w:instrText xml:space="preserve"> TA \s "R v Berlinksy [2005] SASC 316" </w:instrText>
      </w:r>
      <w:r w:rsidRPr="00EB7F1E">
        <w:rPr>
          <w:rFonts w:asciiTheme="minorHAnsi" w:hAnsiTheme="minorHAnsi" w:cstheme="minorHAnsi"/>
        </w:rPr>
        <w:fldChar w:fldCharType="end"/>
      </w:r>
      <w:r w:rsidRPr="007809F4">
        <w:rPr>
          <w:rFonts w:asciiTheme="minorHAnsi" w:hAnsiTheme="minorHAnsi" w:cstheme="minorHAnsi"/>
        </w:rPr>
        <w:t>, [27] which denied that deportation could affect the sentencing process, but added (at [37]) that (by reason of the ACT counterpart of s 16A(2)(p)) “</w:t>
      </w:r>
      <w:r w:rsidRPr="007809F4">
        <w:rPr>
          <w:rFonts w:asciiTheme="minorHAnsi" w:hAnsiTheme="minorHAnsi" w:cstheme="minorHAnsi"/>
          <w:i/>
        </w:rPr>
        <w:t>it may go too far to say that the probability of deportation is an irrelevant consideration in the sentencing process</w:t>
      </w:r>
      <w:r w:rsidRPr="007809F4">
        <w:rPr>
          <w:rFonts w:asciiTheme="minorHAnsi" w:hAnsiTheme="minorHAnsi" w:cstheme="minorHAnsi"/>
        </w:rPr>
        <w:t xml:space="preserve">”.  That is, the Court suggested, </w:t>
      </w:r>
      <w:r w:rsidRPr="007809F4">
        <w:rPr>
          <w:rFonts w:asciiTheme="minorHAnsi" w:hAnsiTheme="minorHAnsi" w:cstheme="minorHAnsi"/>
          <w:i/>
        </w:rPr>
        <w:t>obiter dicta</w:t>
      </w:r>
      <w:r w:rsidRPr="007809F4">
        <w:rPr>
          <w:rFonts w:asciiTheme="minorHAnsi" w:hAnsiTheme="minorHAnsi" w:cstheme="minorHAnsi"/>
        </w:rPr>
        <w:t xml:space="preserve">, that deportation may be taken into account in sentencing to the extent that it impacts on the offender’s family.  (The Court has adopted a very wide construction of s 16A(2)(p) of the </w:t>
      </w:r>
      <w:r w:rsidRPr="007809F4">
        <w:rPr>
          <w:rFonts w:asciiTheme="minorHAnsi" w:hAnsiTheme="minorHAnsi" w:cstheme="minorHAnsi"/>
          <w:i/>
        </w:rPr>
        <w:t>Crimes Act</w:t>
      </w:r>
      <w:r w:rsidRPr="007809F4">
        <w:rPr>
          <w:rFonts w:asciiTheme="minorHAnsi" w:hAnsiTheme="minorHAnsi" w:cstheme="minorHAnsi"/>
        </w:rPr>
        <w:t xml:space="preserve"> </w:t>
      </w:r>
      <w:r w:rsidRPr="007809F4">
        <w:rPr>
          <w:rFonts w:asciiTheme="minorHAnsi" w:hAnsiTheme="minorHAnsi" w:cstheme="minorHAnsi"/>
          <w:i/>
        </w:rPr>
        <w:t>1914</w:t>
      </w:r>
      <w:r w:rsidRPr="007809F4">
        <w:rPr>
          <w:rFonts w:asciiTheme="minorHAnsi" w:hAnsiTheme="minorHAnsi" w:cstheme="minorHAnsi"/>
        </w:rPr>
        <w:t xml:space="preserve"> (Cth), contrary to appellate decisions in other jurisdictions: see “</w:t>
      </w:r>
      <w:r w:rsidRPr="00EB7F1E">
        <w:rPr>
          <w:rFonts w:asciiTheme="minorHAnsi" w:hAnsiTheme="minorHAnsi" w:cstheme="minorHAnsi"/>
        </w:rPr>
        <w:fldChar w:fldCharType="begin"/>
      </w:r>
      <w:r w:rsidRPr="007809F4">
        <w:rPr>
          <w:rFonts w:asciiTheme="minorHAnsi" w:hAnsiTheme="minorHAnsi" w:cstheme="minorHAnsi"/>
        </w:rPr>
        <w:instrText xml:space="preserve"> REF _Ref7877552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4.4.14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_Ref7877555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Effect on Family – s 16A(2)(p)</w:t>
      </w:r>
      <w:r w:rsidRPr="00EB7F1E">
        <w:rPr>
          <w:rFonts w:asciiTheme="minorHAnsi" w:hAnsiTheme="minorHAnsi" w:cstheme="minorHAnsi"/>
        </w:rPr>
        <w:fldChar w:fldCharType="end"/>
      </w:r>
      <w:r w:rsidRPr="007809F4">
        <w:rPr>
          <w:rFonts w:asciiTheme="minorHAnsi" w:hAnsiTheme="minorHAnsi" w:cstheme="minorHAnsi"/>
        </w:rPr>
        <w:t>”.)</w:t>
      </w:r>
    </w:p>
  </w:footnote>
  <w:footnote w:id="513">
    <w:p w14:paraId="0C5CF72B" w14:textId="63F50D3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E.g. </w:t>
      </w:r>
      <w:r w:rsidRPr="007809F4">
        <w:rPr>
          <w:rFonts w:asciiTheme="minorHAnsi" w:hAnsiTheme="minorHAnsi" w:cstheme="minorHAnsi"/>
          <w:i/>
        </w:rPr>
        <w:t>R v Latumetan</w:t>
      </w:r>
      <w:r w:rsidRPr="007809F4">
        <w:rPr>
          <w:rFonts w:asciiTheme="minorHAnsi" w:hAnsiTheme="minorHAnsi" w:cstheme="minorHAnsi"/>
        </w:rPr>
        <w:t xml:space="preserve"> [2003] NSWCCA 70</w:t>
      </w:r>
      <w:r w:rsidRPr="00EB7F1E">
        <w:rPr>
          <w:rFonts w:asciiTheme="minorHAnsi" w:hAnsiTheme="minorHAnsi" w:cstheme="minorHAnsi"/>
        </w:rPr>
        <w:fldChar w:fldCharType="begin"/>
      </w:r>
      <w:r w:rsidRPr="007809F4">
        <w:rPr>
          <w:rFonts w:asciiTheme="minorHAnsi" w:hAnsiTheme="minorHAnsi" w:cstheme="minorHAnsi"/>
        </w:rPr>
        <w:instrText xml:space="preserve"> TA \s "R v Latumetan [2003] NSWCCA 70"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Ponniah</w:t>
      </w:r>
      <w:r w:rsidRPr="007809F4">
        <w:rPr>
          <w:rFonts w:asciiTheme="minorHAnsi" w:hAnsiTheme="minorHAnsi" w:cstheme="minorHAnsi"/>
        </w:rPr>
        <w:t xml:space="preserve"> [2011] WASCA 105</w:t>
      </w:r>
      <w:r w:rsidRPr="00EB7F1E">
        <w:rPr>
          <w:rFonts w:asciiTheme="minorHAnsi" w:hAnsiTheme="minorHAnsi" w:cstheme="minorHAnsi"/>
        </w:rPr>
        <w:fldChar w:fldCharType="begin"/>
      </w:r>
      <w:r w:rsidRPr="007809F4">
        <w:rPr>
          <w:rFonts w:asciiTheme="minorHAnsi" w:hAnsiTheme="minorHAnsi" w:cstheme="minorHAnsi"/>
        </w:rPr>
        <w:instrText xml:space="preserve"> TA \s "R v Ponniah [2011] WASCA 105"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R v Berlinksy</w:t>
      </w:r>
      <w:r w:rsidRPr="007809F4">
        <w:rPr>
          <w:rFonts w:asciiTheme="minorHAnsi" w:hAnsiTheme="minorHAnsi" w:cstheme="minorHAnsi"/>
        </w:rPr>
        <w:t xml:space="preserve"> [2005] SASC 316</w:t>
      </w:r>
      <w:r w:rsidRPr="00EB7F1E">
        <w:rPr>
          <w:rFonts w:asciiTheme="minorHAnsi" w:hAnsiTheme="minorHAnsi" w:cstheme="minorHAnsi"/>
        </w:rPr>
        <w:fldChar w:fldCharType="begin"/>
      </w:r>
      <w:r w:rsidRPr="007809F4">
        <w:rPr>
          <w:rFonts w:asciiTheme="minorHAnsi" w:hAnsiTheme="minorHAnsi" w:cstheme="minorHAnsi"/>
        </w:rPr>
        <w:instrText xml:space="preserve"> TA \s "R v Berlinksy [2005] SASC 316"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Simard</w:t>
      </w:r>
      <w:r w:rsidRPr="007809F4">
        <w:rPr>
          <w:rFonts w:asciiTheme="minorHAnsi" w:hAnsiTheme="minorHAnsi" w:cstheme="minorHAnsi"/>
        </w:rPr>
        <w:t xml:space="preserve"> [2003] 1 Qd R 76</w:t>
      </w:r>
      <w:r w:rsidRPr="00EB7F1E">
        <w:rPr>
          <w:rFonts w:asciiTheme="minorHAnsi" w:hAnsiTheme="minorHAnsi" w:cstheme="minorHAnsi"/>
        </w:rPr>
        <w:fldChar w:fldCharType="begin"/>
      </w:r>
      <w:r w:rsidRPr="007809F4">
        <w:rPr>
          <w:rFonts w:asciiTheme="minorHAnsi" w:hAnsiTheme="minorHAnsi" w:cstheme="minorHAnsi"/>
        </w:rPr>
        <w:instrText xml:space="preserve"> TA \s "R v Simard [2003] 1 Qd R 76"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14">
    <w:p w14:paraId="4F56A0C1" w14:textId="33F980F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Peng </w:t>
      </w:r>
      <w:r w:rsidRPr="007809F4">
        <w:rPr>
          <w:rFonts w:asciiTheme="minorHAnsi" w:hAnsiTheme="minorHAnsi" w:cstheme="minorHAnsi"/>
        </w:rPr>
        <w:t>[2014] VSCA 128</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Peng [2014] VSCA 128"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UE</w:t>
      </w:r>
      <w:r w:rsidRPr="007809F4">
        <w:rPr>
          <w:rFonts w:asciiTheme="minorHAnsi" w:hAnsiTheme="minorHAnsi" w:cstheme="minorHAnsi"/>
        </w:rPr>
        <w:t xml:space="preserve"> [2016] QCA 58</w:t>
      </w:r>
      <w:r w:rsidRPr="00EB7F1E">
        <w:rPr>
          <w:rFonts w:asciiTheme="minorHAnsi" w:hAnsiTheme="minorHAnsi" w:cstheme="minorHAnsi"/>
        </w:rPr>
        <w:fldChar w:fldCharType="begin"/>
      </w:r>
      <w:r w:rsidRPr="007809F4">
        <w:rPr>
          <w:rFonts w:asciiTheme="minorHAnsi" w:hAnsiTheme="minorHAnsi" w:cstheme="minorHAnsi"/>
        </w:rPr>
        <w:instrText xml:space="preserve"> TA \s "R v UE [2016] QCA 58"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R v Schelvis; R v Hildebrand </w:t>
      </w:r>
      <w:r w:rsidRPr="007809F4">
        <w:rPr>
          <w:rFonts w:asciiTheme="minorHAnsi" w:hAnsiTheme="minorHAnsi" w:cstheme="minorHAnsi"/>
        </w:rPr>
        <w:t xml:space="preserve">[2016] QCA 294.  </w:t>
      </w:r>
    </w:p>
  </w:footnote>
  <w:footnote w:id="515">
    <w:p w14:paraId="2917DE29" w14:textId="0134591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16">
    <w:p w14:paraId="1166E581" w14:textId="02AAEB3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DPP (Cth) v Besim; DPP (Cth) v MHK (No 3) </w:t>
      </w:r>
      <w:r w:rsidRPr="007809F4">
        <w:rPr>
          <w:rFonts w:asciiTheme="minorHAnsi" w:hAnsiTheme="minorHAnsi" w:cstheme="minorHAnsi"/>
        </w:rPr>
        <w:t>(2017)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[60]</w:t>
      </w:r>
      <w:r w:rsidRPr="007809F4">
        <w:rPr>
          <w:rFonts w:asciiTheme="minorHAnsi" w:hAnsiTheme="minorHAnsi" w:cstheme="minorHAnsi"/>
          <w:i/>
        </w:rPr>
        <w:t>.</w:t>
      </w:r>
    </w:p>
  </w:footnote>
  <w:footnote w:id="517">
    <w:p w14:paraId="36002F89" w14:textId="5928775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xml:space="preserve">, [22]-[23], approving the view of Simpson J in </w:t>
      </w:r>
      <w:r w:rsidRPr="007809F4">
        <w:rPr>
          <w:rFonts w:asciiTheme="minorHAnsi" w:hAnsiTheme="minorHAnsi" w:cstheme="minorHAnsi"/>
          <w:i/>
        </w:rPr>
        <w:t xml:space="preserve">DPP (Cth) v De La Rosa </w:t>
      </w:r>
      <w:r w:rsidRPr="007809F4">
        <w:rPr>
          <w:rFonts w:asciiTheme="minorHAnsi" w:hAnsiTheme="minorHAnsi" w:cstheme="minorHAnsi"/>
        </w:rPr>
        <w:t>(2010) 79 NSWLR 11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(Cth) v De La Rosa </w:instrText>
      </w:r>
      <w:r w:rsidRPr="007809F4">
        <w:rPr>
          <w:rFonts w:asciiTheme="minorHAnsi" w:hAnsiTheme="minorHAnsi" w:cstheme="minorHAnsi"/>
        </w:rPr>
        <w:instrText xml:space="preserve">(2010) 79 NSWLR 11" \s "DPP (Cth) v De La Rosa (2010) 79 NSWLR 11" \c 1 </w:instrText>
      </w:r>
      <w:r w:rsidRPr="00EB7F1E">
        <w:rPr>
          <w:rFonts w:asciiTheme="minorHAnsi" w:hAnsiTheme="minorHAnsi" w:cstheme="minorHAnsi"/>
        </w:rPr>
        <w:fldChar w:fldCharType="end"/>
      </w:r>
      <w:r w:rsidRPr="007809F4">
        <w:rPr>
          <w:rFonts w:asciiTheme="minorHAnsi" w:hAnsiTheme="minorHAnsi" w:cstheme="minorHAnsi"/>
        </w:rPr>
        <w:t>, [279]-[280].</w:t>
      </w:r>
    </w:p>
  </w:footnote>
  <w:footnote w:id="518">
    <w:p w14:paraId="42770014" w14:textId="720E160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[97]-[113].</w:t>
      </w:r>
    </w:p>
  </w:footnote>
  <w:footnote w:id="519">
    <w:p w14:paraId="4E45A7AA" w14:textId="216F4F0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Cf. </w:t>
      </w:r>
      <w:r w:rsidRPr="007809F4">
        <w:rPr>
          <w:rFonts w:asciiTheme="minorHAnsi" w:hAnsiTheme="minorHAnsi" w:cstheme="minorHAnsi"/>
          <w:i/>
        </w:rPr>
        <w:t>Hickling v Western Australia</w:t>
      </w:r>
      <w:r w:rsidRPr="007809F4">
        <w:rPr>
          <w:rFonts w:asciiTheme="minorHAnsi" w:hAnsiTheme="minorHAnsi" w:cstheme="minorHAnsi"/>
        </w:rPr>
        <w:t xml:space="preserve"> [2016] WASCA 124</w:t>
      </w:r>
      <w:r w:rsidRPr="00EB7F1E">
        <w:rPr>
          <w:rFonts w:asciiTheme="minorHAnsi" w:hAnsiTheme="minorHAnsi" w:cstheme="minorHAnsi"/>
        </w:rPr>
        <w:fldChar w:fldCharType="begin"/>
      </w:r>
      <w:r w:rsidRPr="007809F4">
        <w:rPr>
          <w:rFonts w:asciiTheme="minorHAnsi" w:hAnsiTheme="minorHAnsi" w:cstheme="minorHAnsi"/>
        </w:rPr>
        <w:instrText xml:space="preserve"> TA \s "Hickling v Western Australia [2016] WASCA 124" </w:instrText>
      </w:r>
      <w:r w:rsidRPr="00EB7F1E">
        <w:rPr>
          <w:rFonts w:asciiTheme="minorHAnsi" w:hAnsiTheme="minorHAnsi" w:cstheme="minorHAnsi"/>
        </w:rPr>
        <w:fldChar w:fldCharType="end"/>
      </w:r>
      <w:r w:rsidRPr="007809F4">
        <w:rPr>
          <w:rFonts w:asciiTheme="minorHAnsi" w:hAnsiTheme="minorHAnsi" w:cstheme="minorHAnsi"/>
        </w:rPr>
        <w:t xml:space="preserve">, [60]; </w:t>
      </w:r>
      <w:r w:rsidRPr="007809F4">
        <w:rPr>
          <w:rFonts w:asciiTheme="minorHAnsi" w:hAnsiTheme="minorHAnsi" w:cstheme="minorHAnsi"/>
          <w:i/>
        </w:rPr>
        <w:t>DPP (Cth) v Besim; DPP (Cth) v MHK (No 3)</w:t>
      </w:r>
      <w:r w:rsidRPr="007809F4">
        <w:rPr>
          <w:rFonts w:asciiTheme="minorHAnsi" w:hAnsiTheme="minorHAnsi" w:cstheme="minorHAnsi"/>
        </w:rPr>
        <w:t xml:space="preserve"> (2017)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xml:space="preserve">, [62]. </w:t>
      </w:r>
    </w:p>
  </w:footnote>
  <w:footnote w:id="520">
    <w:p w14:paraId="614BF876" w14:textId="37E740B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r w:rsidRPr="007809F4">
        <w:rPr>
          <w:rFonts w:asciiTheme="minorHAnsi" w:hAnsiTheme="minorHAnsi" w:cstheme="minorHAnsi"/>
        </w:rPr>
        <w:t>, [14]-[23].</w:t>
      </w:r>
      <w:r w:rsidRPr="00EB7F1E">
        <w:rPr>
          <w:rFonts w:asciiTheme="minorHAnsi" w:hAnsiTheme="minorHAnsi" w:cstheme="minorHAnsi"/>
        </w:rPr>
        <w:fldChar w:fldCharType="begin"/>
      </w:r>
      <w:r w:rsidRPr="007809F4">
        <w:rPr>
          <w:rFonts w:asciiTheme="minorHAnsi" w:hAnsiTheme="minorHAnsi" w:cstheme="minorHAnsi"/>
        </w:rPr>
        <w:instrText xml:space="preserve">  "R v Alashkar (2007) 17 VR 65" </w:instrText>
      </w:r>
      <w:r w:rsidRPr="00EB7F1E">
        <w:rPr>
          <w:rFonts w:asciiTheme="minorHAnsi" w:hAnsiTheme="minorHAnsi" w:cstheme="minorHAnsi"/>
        </w:rPr>
        <w:fldChar w:fldCharType="end"/>
      </w:r>
    </w:p>
  </w:footnote>
  <w:footnote w:id="521">
    <w:p w14:paraId="553D9672" w14:textId="3693DF8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The provision was intended to reverse the effect of </w:t>
      </w:r>
      <w:r w:rsidRPr="007809F4">
        <w:rPr>
          <w:rFonts w:asciiTheme="minorHAnsi" w:hAnsiTheme="minorHAnsi" w:cstheme="minorHAnsi"/>
          <w:i/>
        </w:rPr>
        <w:t>R v McDermott</w:t>
      </w:r>
      <w:r w:rsidRPr="007809F4">
        <w:rPr>
          <w:rFonts w:asciiTheme="minorHAnsi" w:hAnsiTheme="minorHAnsi" w:cstheme="minorHAnsi"/>
        </w:rPr>
        <w:t xml:space="preserve"> (1990) 49 A Crim R 105</w:t>
      </w:r>
      <w:r w:rsidRPr="00EB7F1E">
        <w:rPr>
          <w:rFonts w:asciiTheme="minorHAnsi" w:hAnsiTheme="minorHAnsi" w:cstheme="minorHAnsi"/>
        </w:rPr>
        <w:fldChar w:fldCharType="begin"/>
      </w:r>
      <w:r w:rsidRPr="007809F4">
        <w:rPr>
          <w:rFonts w:asciiTheme="minorHAnsi" w:hAnsiTheme="minorHAnsi" w:cstheme="minorHAnsi"/>
        </w:rPr>
        <w:instrText xml:space="preserve"> TA \s "R v McDermott (1990) 49 A Crim R 105" </w:instrText>
      </w:r>
      <w:r w:rsidRPr="00EB7F1E">
        <w:rPr>
          <w:rFonts w:asciiTheme="minorHAnsi" w:hAnsiTheme="minorHAnsi" w:cstheme="minorHAnsi"/>
        </w:rPr>
        <w:fldChar w:fldCharType="end"/>
      </w:r>
      <w:r w:rsidRPr="007809F4">
        <w:rPr>
          <w:rFonts w:asciiTheme="minorHAnsi" w:hAnsiTheme="minorHAnsi" w:cstheme="minorHAnsi"/>
        </w:rPr>
        <w:t xml:space="preserve">, under which a sentencing court was required to have regard to a pecuniary penalty: see the account of the history of s 320 which is given in </w:t>
      </w:r>
      <w:r w:rsidRPr="007809F4">
        <w:rPr>
          <w:rFonts w:asciiTheme="minorHAnsi" w:hAnsiTheme="minorHAnsi" w:cstheme="minorHAnsi"/>
          <w:i/>
        </w:rPr>
        <w:t>R v Host</w:t>
      </w:r>
      <w:r w:rsidRPr="007809F4">
        <w:rPr>
          <w:rFonts w:asciiTheme="minorHAnsi" w:hAnsiTheme="minorHAnsi" w:cstheme="minorHAnsi"/>
        </w:rPr>
        <w:t xml:space="preserve"> [2015]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[11]-[22], [107]-[110].</w:t>
      </w:r>
    </w:p>
  </w:footnote>
  <w:footnote w:id="522">
    <w:p w14:paraId="560351A5" w14:textId="0C71B3F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r w:rsidRPr="007809F4">
        <w:rPr>
          <w:rFonts w:asciiTheme="minorHAnsi" w:hAnsiTheme="minorHAnsi" w:cstheme="minorHAnsi"/>
        </w:rPr>
        <w:t xml:space="preserve">, [16]; </w:t>
      </w:r>
      <w:r w:rsidRPr="007809F4">
        <w:rPr>
          <w:rFonts w:asciiTheme="minorHAnsi" w:hAnsiTheme="minorHAnsi" w:cstheme="minorHAnsi"/>
          <w:i/>
        </w:rPr>
        <w:t>R v Host</w:t>
      </w:r>
      <w:r w:rsidRPr="007809F4">
        <w:rPr>
          <w:rFonts w:asciiTheme="minorHAnsi" w:hAnsiTheme="minorHAnsi" w:cstheme="minorHAnsi"/>
        </w:rPr>
        <w:t xml:space="preserve"> [2015]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[13], [109].</w:t>
      </w:r>
      <w:r w:rsidRPr="00EB7F1E">
        <w:rPr>
          <w:rFonts w:asciiTheme="minorHAnsi" w:hAnsiTheme="minorHAnsi" w:cstheme="minorHAnsi"/>
        </w:rPr>
        <w:fldChar w:fldCharType="begin"/>
      </w:r>
      <w:r w:rsidRPr="007809F4">
        <w:rPr>
          <w:rFonts w:asciiTheme="minorHAnsi" w:hAnsiTheme="minorHAnsi" w:cstheme="minorHAnsi"/>
        </w:rPr>
        <w:instrText xml:space="preserve">  "R v Alashkar (2007) 17 VR 65" </w:instrText>
      </w:r>
      <w:r w:rsidRPr="00EB7F1E">
        <w:rPr>
          <w:rFonts w:asciiTheme="minorHAnsi" w:hAnsiTheme="minorHAnsi" w:cstheme="minorHAnsi"/>
        </w:rPr>
        <w:fldChar w:fldCharType="end"/>
      </w:r>
    </w:p>
  </w:footnote>
  <w:footnote w:id="523">
    <w:p w14:paraId="6C894C1B" w14:textId="30C0357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r w:rsidRPr="007809F4">
        <w:rPr>
          <w:rFonts w:asciiTheme="minorHAnsi" w:hAnsiTheme="minorHAnsi" w:cstheme="minorHAnsi"/>
        </w:rPr>
        <w:t>, [14]-[23].</w:t>
      </w:r>
      <w:r w:rsidRPr="00EB7F1E">
        <w:rPr>
          <w:rFonts w:asciiTheme="minorHAnsi" w:hAnsiTheme="minorHAnsi" w:cstheme="minorHAnsi"/>
        </w:rPr>
        <w:fldChar w:fldCharType="begin"/>
      </w:r>
      <w:r w:rsidRPr="007809F4">
        <w:rPr>
          <w:rFonts w:asciiTheme="minorHAnsi" w:hAnsiTheme="minorHAnsi" w:cstheme="minorHAnsi"/>
        </w:rPr>
        <w:instrText xml:space="preserve">  "R v Alashkar (2007) 17 VR 65" </w:instrText>
      </w:r>
      <w:r w:rsidRPr="00EB7F1E">
        <w:rPr>
          <w:rFonts w:asciiTheme="minorHAnsi" w:hAnsiTheme="minorHAnsi" w:cstheme="minorHAnsi"/>
        </w:rPr>
        <w:fldChar w:fldCharType="end"/>
      </w:r>
    </w:p>
  </w:footnote>
  <w:footnote w:id="524">
    <w:p w14:paraId="3A6A9E7F" w14:textId="19684DC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Host</w:t>
      </w:r>
      <w:r w:rsidRPr="007809F4">
        <w:rPr>
          <w:rFonts w:asciiTheme="minorHAnsi" w:hAnsiTheme="minorHAnsi" w:cstheme="minorHAnsi"/>
        </w:rPr>
        <w:t xml:space="preserve"> [2015]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[17], [103], [194].</w:t>
      </w:r>
      <w:r w:rsidRPr="00EB7F1E">
        <w:rPr>
          <w:rFonts w:asciiTheme="minorHAnsi" w:hAnsiTheme="minorHAnsi" w:cstheme="minorHAnsi"/>
        </w:rPr>
        <w:fldChar w:fldCharType="begin"/>
      </w:r>
      <w:r w:rsidRPr="007809F4">
        <w:rPr>
          <w:rFonts w:asciiTheme="minorHAnsi" w:hAnsiTheme="minorHAnsi" w:cstheme="minorHAnsi"/>
        </w:rPr>
        <w:instrText xml:space="preserve">  "R v Alashkar (2007) 17 VR 65" </w:instrText>
      </w:r>
      <w:r w:rsidRPr="00EB7F1E">
        <w:rPr>
          <w:rFonts w:asciiTheme="minorHAnsi" w:hAnsiTheme="minorHAnsi" w:cstheme="minorHAnsi"/>
        </w:rPr>
        <w:fldChar w:fldCharType="end"/>
      </w:r>
    </w:p>
  </w:footnote>
  <w:footnote w:id="525">
    <w:p w14:paraId="2041A1BD" w14:textId="6A18FA0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xml:space="preserve">, [2]-[19], [103]-[110], [194]-[196]; </w:t>
      </w:r>
      <w:r w:rsidRPr="007809F4">
        <w:rPr>
          <w:rFonts w:asciiTheme="minorHAnsi" w:hAnsiTheme="minorHAnsi" w:cstheme="minorHAnsi"/>
          <w:i/>
        </w:rPr>
        <w:t>R v Jafari</w:t>
      </w:r>
      <w:r w:rsidRPr="007809F4">
        <w:rPr>
          <w:rFonts w:asciiTheme="minorHAnsi" w:hAnsiTheme="minorHAnsi" w:cstheme="minorHAnsi"/>
        </w:rPr>
        <w:t xml:space="preserve"> [2017] NSWCCA 152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Jafari</w:instrText>
      </w:r>
      <w:r w:rsidRPr="007809F4">
        <w:rPr>
          <w:rFonts w:asciiTheme="minorHAnsi" w:hAnsiTheme="minorHAnsi" w:cstheme="minorHAnsi"/>
        </w:rPr>
        <w:instrText xml:space="preserve"> [2017] NSWCCA 152</w:instrText>
      </w:r>
      <w:r w:rsidRPr="00EB7F1E">
        <w:rPr>
          <w:rFonts w:asciiTheme="minorHAnsi" w:hAnsiTheme="minorHAnsi" w:cstheme="minorHAnsi"/>
        </w:rPr>
        <w:instrText xml:space="preserve">" \s "R v Jafari [2017] NSWCCA 152" \c 1 </w:instrText>
      </w:r>
      <w:r w:rsidRPr="00EB7F1E">
        <w:rPr>
          <w:rFonts w:asciiTheme="minorHAnsi" w:hAnsiTheme="minorHAnsi" w:cstheme="minorHAnsi"/>
        </w:rPr>
        <w:fldChar w:fldCharType="end"/>
      </w:r>
      <w:r w:rsidRPr="007809F4">
        <w:rPr>
          <w:rFonts w:asciiTheme="minorHAnsi" w:hAnsiTheme="minorHAnsi" w:cstheme="minorHAnsi"/>
        </w:rPr>
        <w:t>, [38]-[39].</w:t>
      </w:r>
    </w:p>
  </w:footnote>
  <w:footnote w:id="526">
    <w:p w14:paraId="44FEAC9A" w14:textId="7671EB0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Alashkar (2007) 17 VR 65" </w:instrText>
      </w:r>
      <w:r w:rsidRPr="00EB7F1E">
        <w:rPr>
          <w:rFonts w:asciiTheme="minorHAnsi" w:hAnsiTheme="minorHAnsi" w:cstheme="minorHAnsi"/>
        </w:rPr>
        <w:fldChar w:fldCharType="end"/>
      </w:r>
    </w:p>
  </w:footnote>
  <w:footnote w:id="527">
    <w:p w14:paraId="11DE2865" w14:textId="23C44A5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EB7F1E">
        <w:rPr>
          <w:rFonts w:asciiTheme="minorHAnsi" w:hAnsiTheme="minorHAnsi" w:cstheme="minorHAnsi"/>
        </w:rPr>
        <w:instrText xml:space="preserve"> TA \s "TAN v R (2011) 35 VR 109" </w:instrText>
      </w:r>
      <w:r w:rsidRPr="00EB7F1E">
        <w:rPr>
          <w:rFonts w:asciiTheme="minorHAnsi" w:hAnsiTheme="minorHAnsi" w:cstheme="minorHAnsi"/>
        </w:rPr>
        <w:fldChar w:fldCharType="end"/>
      </w:r>
      <w:r w:rsidRPr="007809F4">
        <w:rPr>
          <w:rFonts w:asciiTheme="minorHAnsi" w:hAnsiTheme="minorHAnsi" w:cstheme="minorHAnsi"/>
        </w:rPr>
        <w:t>, [67].</w:t>
      </w:r>
    </w:p>
  </w:footnote>
  <w:footnote w:id="528">
    <w:p w14:paraId="548A6A42" w14:textId="0F5F615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The references in s 320(b) and (c) to a “forfeiture order” is a reference to an order under Division 1 of Part 2-2 of the Act, that is, court-ordered forfeiture.  It does not include automatic forfeiture under Part 2-3 of the Act: </w:t>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"TAN v R (2011) 35 VR 109" </w:instrText>
      </w:r>
      <w:r w:rsidRPr="00EB7F1E">
        <w:rPr>
          <w:rFonts w:asciiTheme="minorHAnsi" w:hAnsiTheme="minorHAnsi" w:cstheme="minorHAnsi"/>
        </w:rPr>
        <w:fldChar w:fldCharType="end"/>
      </w:r>
      <w:r w:rsidRPr="007809F4">
        <w:rPr>
          <w:rFonts w:asciiTheme="minorHAnsi" w:hAnsiTheme="minorHAnsi" w:cstheme="minorHAnsi"/>
        </w:rPr>
        <w:t>, [59]-[62].</w:t>
      </w:r>
    </w:p>
  </w:footnote>
  <w:footnote w:id="529">
    <w:p w14:paraId="790B1343" w14:textId="617F4BA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R v Phillips</w:t>
      </w:r>
      <w:r w:rsidRPr="007809F4">
        <w:rPr>
          <w:rFonts w:asciiTheme="minorHAnsi" w:hAnsiTheme="minorHAnsi" w:cstheme="minorHAnsi"/>
        </w:rPr>
        <w:t xml:space="preserve"> [1991] 2 VR 207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Phillips</w:instrText>
      </w:r>
      <w:r w:rsidRPr="007809F4">
        <w:rPr>
          <w:rFonts w:asciiTheme="minorHAnsi" w:hAnsiTheme="minorHAnsi" w:cstheme="minorHAnsi"/>
        </w:rPr>
        <w:instrText xml:space="preserve"> [1991] 2 VR 207</w:instrText>
      </w:r>
      <w:r w:rsidRPr="00EB7F1E">
        <w:rPr>
          <w:rFonts w:asciiTheme="minorHAnsi" w:hAnsiTheme="minorHAnsi" w:cstheme="minorHAnsi"/>
        </w:rPr>
        <w:instrText xml:space="preserve">" \s "R v Phillips [1991] 2 VR 207"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30">
    <w:p w14:paraId="489AC76D" w14:textId="37B7A3E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7809F4">
        <w:rPr>
          <w:rFonts w:asciiTheme="minorHAnsi" w:hAnsiTheme="minorHAnsi" w:cstheme="minorHAnsi"/>
          <w:i/>
        </w:rPr>
        <w:t>R v Phillips</w:t>
      </w:r>
      <w:r w:rsidRPr="007809F4">
        <w:rPr>
          <w:rFonts w:asciiTheme="minorHAnsi" w:hAnsiTheme="minorHAnsi" w:cstheme="minorHAnsi"/>
        </w:rPr>
        <w:t xml:space="preserve"> [1991] 2 VR 207</w:t>
      </w:r>
      <w:r w:rsidRPr="00EB7F1E">
        <w:rPr>
          <w:rFonts w:asciiTheme="minorHAnsi" w:hAnsiTheme="minorHAnsi" w:cstheme="minorHAnsi"/>
        </w:rPr>
        <w:fldChar w:fldCharType="begin"/>
      </w:r>
      <w:r w:rsidRPr="007809F4">
        <w:rPr>
          <w:rFonts w:asciiTheme="minorHAnsi" w:hAnsiTheme="minorHAnsi" w:cstheme="minorHAnsi"/>
        </w:rPr>
        <w:instrText xml:space="preserve"> TA \s "R v Phillips [1991] 2 VR 207" </w:instrText>
      </w:r>
      <w:r w:rsidRPr="00EB7F1E">
        <w:rPr>
          <w:rFonts w:asciiTheme="minorHAnsi" w:hAnsiTheme="minorHAnsi" w:cstheme="minorHAnsi"/>
        </w:rPr>
        <w:fldChar w:fldCharType="end"/>
      </w:r>
      <w:r w:rsidRPr="007809F4">
        <w:rPr>
          <w:rFonts w:asciiTheme="minorHAnsi" w:hAnsiTheme="minorHAnsi" w:cstheme="minorHAnsi"/>
        </w:rPr>
        <w:t>, an applicant for leave to appeal against sentence sought an adjournment pending the resolution of confiscation proceedings.  The Court of Criminal Appeal refused to adjourn the application, in part on the basis that it would cause unwarranted delay in hearing applications for leave to appeal by two co-offenders, particularly when the appeals raised considerations of parity.</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31">
    <w:p w14:paraId="5D65383C" w14:textId="0228F97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Compare, in relation to forfeiture under State legislation, </w:t>
      </w:r>
      <w:r w:rsidRPr="007809F4">
        <w:rPr>
          <w:rFonts w:asciiTheme="minorHAnsi" w:hAnsiTheme="minorHAnsi" w:cstheme="minorHAnsi"/>
          <w:i/>
        </w:rPr>
        <w:t>R v Yacoub</w:t>
      </w:r>
      <w:r w:rsidRPr="007809F4">
        <w:rPr>
          <w:rFonts w:asciiTheme="minorHAnsi" w:hAnsiTheme="minorHAnsi" w:cstheme="minorHAnsi"/>
        </w:rPr>
        <w:t xml:space="preserve"> [2006] VSCA 203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Yacoub</w:instrText>
      </w:r>
      <w:r w:rsidRPr="007809F4">
        <w:rPr>
          <w:rFonts w:asciiTheme="minorHAnsi" w:hAnsiTheme="minorHAnsi" w:cstheme="minorHAnsi"/>
        </w:rPr>
        <w:instrText xml:space="preserve"> [2006] VSCA 203" \s "R v Yacoub [2006] VSCA 203"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Yacoub [2006] VSCA 203"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Tabone</w:t>
      </w:r>
      <w:r w:rsidRPr="007809F4">
        <w:rPr>
          <w:rFonts w:asciiTheme="minorHAnsi" w:hAnsiTheme="minorHAnsi" w:cstheme="minorHAnsi"/>
        </w:rPr>
        <w:t xml:space="preserve"> [2006] VSCA 238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Tabone</w:instrText>
      </w:r>
      <w:r w:rsidRPr="007809F4">
        <w:rPr>
          <w:rFonts w:asciiTheme="minorHAnsi" w:hAnsiTheme="minorHAnsi" w:cstheme="minorHAnsi"/>
        </w:rPr>
        <w:instrText xml:space="preserve"> [2006] VSCA 238" \s "R v Tabone [2006] VSCA 238"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Tabone (2006) 167 A Crim R 18"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R v Le </w:t>
      </w:r>
      <w:r w:rsidRPr="007809F4">
        <w:rPr>
          <w:rFonts w:asciiTheme="minorHAnsi" w:hAnsiTheme="minorHAnsi" w:cstheme="minorHAnsi"/>
        </w:rPr>
        <w:t>[2005] VSCA 284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R v Le </w:instrText>
      </w:r>
      <w:r w:rsidRPr="007809F4">
        <w:rPr>
          <w:rFonts w:asciiTheme="minorHAnsi" w:hAnsiTheme="minorHAnsi" w:cstheme="minorHAnsi"/>
        </w:rPr>
        <w:instrText xml:space="preserve">[2005] VSCA 284" \s "R v Le [2005] VSCA 284"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Le [2005] VSCA 284"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b/>
          <w:i/>
        </w:rPr>
        <w:t xml:space="preserve"> </w:t>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7809F4">
        <w:rPr>
          <w:rFonts w:asciiTheme="minorHAnsi" w:hAnsiTheme="minorHAnsi" w:cstheme="minorHAnsi"/>
        </w:rPr>
        <w:t>.  The same principles apply to the federal forfeiture provisions, save to the extent there is any statutory provision to the contrary:</w:t>
      </w:r>
      <w:r w:rsidRPr="007809F4">
        <w:rPr>
          <w:rFonts w:asciiTheme="minorHAnsi" w:hAnsiTheme="minorHAnsi" w:cstheme="minorHAnsi"/>
          <w:i/>
        </w:rPr>
        <w:t xml:space="preserve"> TAN v R </w:t>
      </w:r>
      <w:r w:rsidRPr="007809F4">
        <w:rPr>
          <w:rFonts w:asciiTheme="minorHAnsi" w:hAnsiTheme="minorHAnsi" w:cstheme="minorHAnsi"/>
        </w:rPr>
        <w:t>(2011) 35 VR 109</w:t>
      </w:r>
      <w:r w:rsidRPr="00EB7F1E">
        <w:rPr>
          <w:rFonts w:asciiTheme="minorHAnsi" w:hAnsiTheme="minorHAnsi" w:cstheme="minorHAnsi"/>
        </w:rPr>
        <w:fldChar w:fldCharType="begin"/>
      </w:r>
      <w:r w:rsidRPr="00EB7F1E">
        <w:rPr>
          <w:rFonts w:asciiTheme="minorHAnsi" w:hAnsiTheme="minorHAnsi" w:cstheme="minorHAnsi"/>
        </w:rPr>
        <w:instrText xml:space="preserve"> TA \s "TAN v R (2011) 35 VR 109" </w:instrText>
      </w:r>
      <w:r w:rsidRPr="00EB7F1E">
        <w:rPr>
          <w:rFonts w:asciiTheme="minorHAnsi" w:hAnsiTheme="minorHAnsi" w:cstheme="minorHAnsi"/>
        </w:rPr>
        <w:fldChar w:fldCharType="end"/>
      </w:r>
      <w:r w:rsidRPr="007809F4">
        <w:rPr>
          <w:rFonts w:asciiTheme="minorHAnsi" w:hAnsiTheme="minorHAnsi" w:cstheme="minorHAnsi"/>
        </w:rPr>
        <w:t>, [55]-[57].</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32">
    <w:p w14:paraId="211AFE27" w14:textId="63D36A0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R v Tabone</w:t>
      </w:r>
      <w:r w:rsidRPr="007809F4">
        <w:rPr>
          <w:rFonts w:asciiTheme="minorHAnsi" w:hAnsiTheme="minorHAnsi" w:cstheme="minorHAnsi"/>
        </w:rPr>
        <w:t xml:space="preserve"> [2006] VSCA 238</w:t>
      </w:r>
      <w:r w:rsidRPr="00EB7F1E">
        <w:rPr>
          <w:rFonts w:asciiTheme="minorHAnsi" w:hAnsiTheme="minorHAnsi" w:cstheme="minorHAnsi"/>
        </w:rPr>
        <w:fldChar w:fldCharType="begin"/>
      </w:r>
      <w:r w:rsidRPr="00EB7F1E">
        <w:rPr>
          <w:rFonts w:asciiTheme="minorHAnsi" w:hAnsiTheme="minorHAnsi" w:cstheme="minorHAnsi"/>
        </w:rPr>
        <w:instrText xml:space="preserve"> TA \s "R v Tabone [2006] VSCA 238"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Tabone (2006) 167 A Crim R 18" </w:instrText>
      </w:r>
      <w:r w:rsidRPr="00EB7F1E">
        <w:rPr>
          <w:rFonts w:asciiTheme="minorHAnsi" w:hAnsiTheme="minorHAnsi" w:cstheme="minorHAnsi"/>
        </w:rPr>
        <w:fldChar w:fldCharType="end"/>
      </w:r>
      <w:r w:rsidRPr="007809F4">
        <w:rPr>
          <w:rFonts w:asciiTheme="minorHAnsi" w:hAnsiTheme="minorHAnsi" w:cstheme="minorHAnsi"/>
        </w:rPr>
        <w:t>, [10]-[14].</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33">
    <w:p w14:paraId="31DC9847" w14:textId="7A896D3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R v Tabone</w:t>
      </w:r>
      <w:r w:rsidRPr="007809F4">
        <w:rPr>
          <w:rFonts w:asciiTheme="minorHAnsi" w:hAnsiTheme="minorHAnsi" w:cstheme="minorHAnsi"/>
        </w:rPr>
        <w:t xml:space="preserve"> [2006] VSCA 238</w:t>
      </w:r>
      <w:r w:rsidRPr="00EB7F1E">
        <w:rPr>
          <w:rFonts w:asciiTheme="minorHAnsi" w:hAnsiTheme="minorHAnsi" w:cstheme="minorHAnsi"/>
        </w:rPr>
        <w:fldChar w:fldCharType="begin"/>
      </w:r>
      <w:r w:rsidRPr="00EB7F1E">
        <w:rPr>
          <w:rFonts w:asciiTheme="minorHAnsi" w:hAnsiTheme="minorHAnsi" w:cstheme="minorHAnsi"/>
        </w:rPr>
        <w:instrText xml:space="preserve"> TA \s "R v Tabone [2006] VSCA 238"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Tabone (2006) 167 A Crim R 18" </w:instrText>
      </w:r>
      <w:r w:rsidRPr="00EB7F1E">
        <w:rPr>
          <w:rFonts w:asciiTheme="minorHAnsi" w:hAnsiTheme="minorHAnsi" w:cstheme="minorHAnsi"/>
        </w:rPr>
        <w:fldChar w:fldCharType="end"/>
      </w:r>
      <w:r w:rsidRPr="007809F4">
        <w:rPr>
          <w:rFonts w:asciiTheme="minorHAnsi" w:hAnsiTheme="minorHAnsi" w:cstheme="minorHAnsi"/>
        </w:rPr>
        <w:t>, [10]-[14].</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34">
    <w:p w14:paraId="6F4CACCC" w14:textId="7ED6327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Atkinson v R</w:t>
      </w:r>
      <w:r w:rsidRPr="007809F4">
        <w:rPr>
          <w:rFonts w:asciiTheme="minorHAnsi" w:hAnsiTheme="minorHAnsi" w:cstheme="minorHAnsi"/>
        </w:rPr>
        <w:t xml:space="preserve"> [2013] NTCCA 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Atkinson v R</w:instrText>
      </w:r>
      <w:r w:rsidRPr="007809F4">
        <w:rPr>
          <w:rFonts w:asciiTheme="minorHAnsi" w:hAnsiTheme="minorHAnsi" w:cstheme="minorHAnsi"/>
        </w:rPr>
        <w:instrText xml:space="preserve"> [2013] NTCCA 5</w:instrText>
      </w:r>
      <w:r w:rsidRPr="00EB7F1E">
        <w:rPr>
          <w:rFonts w:asciiTheme="minorHAnsi" w:hAnsiTheme="minorHAnsi" w:cstheme="minorHAnsi"/>
        </w:rPr>
        <w:instrText xml:space="preserve">" \s "Atkinson v R [2013] NTCCA 5"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Alashkar (2007) 17 VR 65" </w:instrText>
      </w:r>
      <w:r w:rsidRPr="00EB7F1E">
        <w:rPr>
          <w:rFonts w:asciiTheme="minorHAnsi" w:hAnsiTheme="minorHAnsi" w:cstheme="minorHAnsi"/>
        </w:rPr>
        <w:fldChar w:fldCharType="end"/>
      </w:r>
    </w:p>
  </w:footnote>
  <w:footnote w:id="535">
    <w:p w14:paraId="749C37F4" w14:textId="7A5B286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7809F4">
        <w:rPr>
          <w:rFonts w:asciiTheme="minorHAnsi" w:hAnsiTheme="minorHAnsi" w:cstheme="minorHAnsi"/>
        </w:rPr>
        <w:t>, [40]-[43]</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r w:rsidRPr="007809F4">
        <w:rPr>
          <w:rFonts w:asciiTheme="minorHAnsi" w:hAnsiTheme="minorHAnsi" w:cstheme="minorHAnsi"/>
        </w:rPr>
        <w:t xml:space="preserve">; endorsed in </w:t>
      </w:r>
      <w:r w:rsidRPr="007809F4">
        <w:rPr>
          <w:rFonts w:asciiTheme="minorHAnsi" w:hAnsiTheme="minorHAnsi" w:cstheme="minorHAnsi"/>
          <w:i/>
        </w:rPr>
        <w:t>Atkinson v R</w:t>
      </w:r>
      <w:r w:rsidRPr="007809F4">
        <w:rPr>
          <w:rFonts w:asciiTheme="minorHAnsi" w:hAnsiTheme="minorHAnsi" w:cstheme="minorHAnsi"/>
        </w:rPr>
        <w:t xml:space="preserve"> [2013] NTCCA 5</w:t>
      </w:r>
      <w:r w:rsidRPr="00EB7F1E">
        <w:rPr>
          <w:rFonts w:asciiTheme="minorHAnsi" w:hAnsiTheme="minorHAnsi" w:cstheme="minorHAnsi"/>
        </w:rPr>
        <w:fldChar w:fldCharType="begin"/>
      </w:r>
      <w:r w:rsidRPr="007809F4">
        <w:rPr>
          <w:rFonts w:asciiTheme="minorHAnsi" w:hAnsiTheme="minorHAnsi" w:cstheme="minorHAnsi"/>
        </w:rPr>
        <w:instrText xml:space="preserve"> TA \s "Atkinson v R [2013] NTCCA 5" </w:instrText>
      </w:r>
      <w:r w:rsidRPr="00EB7F1E">
        <w:rPr>
          <w:rFonts w:asciiTheme="minorHAnsi" w:hAnsiTheme="minorHAnsi" w:cstheme="minorHAnsi"/>
        </w:rPr>
        <w:fldChar w:fldCharType="end"/>
      </w:r>
      <w:r w:rsidRPr="007809F4">
        <w:rPr>
          <w:rFonts w:asciiTheme="minorHAnsi" w:hAnsiTheme="minorHAnsi" w:cstheme="minorHAnsi"/>
        </w:rPr>
        <w:t>, [14]-[15].</w:t>
      </w:r>
      <w:r w:rsidRPr="00EB7F1E">
        <w:rPr>
          <w:rFonts w:asciiTheme="minorHAnsi" w:hAnsiTheme="minorHAnsi" w:cstheme="minorHAnsi"/>
        </w:rPr>
        <w:fldChar w:fldCharType="begin"/>
      </w:r>
      <w:r w:rsidRPr="007809F4">
        <w:rPr>
          <w:rFonts w:asciiTheme="minorHAnsi" w:hAnsiTheme="minorHAnsi" w:cstheme="minorHAnsi"/>
        </w:rPr>
        <w:instrText xml:space="preserve">  "R v Alashkar (2007) 17 VR 65" </w:instrText>
      </w:r>
      <w:r w:rsidRPr="00EB7F1E">
        <w:rPr>
          <w:rFonts w:asciiTheme="minorHAnsi" w:hAnsiTheme="minorHAnsi" w:cstheme="minorHAnsi"/>
        </w:rPr>
        <w:fldChar w:fldCharType="end"/>
      </w:r>
    </w:p>
  </w:footnote>
  <w:footnote w:id="536">
    <w:p w14:paraId="71574E14" w14:textId="7A41157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[20], [193].</w:t>
      </w:r>
    </w:p>
  </w:footnote>
  <w:footnote w:id="537">
    <w:p w14:paraId="6E16AC38" w14:textId="20D95FD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w:instrText>
      </w:r>
      <w:r w:rsidRPr="007809F4">
        <w:rPr>
          <w:rFonts w:asciiTheme="minorHAnsi" w:hAnsiTheme="minorHAnsi" w:cstheme="minorHAnsi"/>
          <w:i/>
        </w:rPr>
        <w:instrText>TAN v R</w:instrText>
      </w:r>
      <w:r w:rsidRPr="007809F4">
        <w:rPr>
          <w:rFonts w:asciiTheme="minorHAnsi" w:hAnsiTheme="minorHAnsi" w:cstheme="minorHAnsi"/>
        </w:rPr>
        <w:instrText xml:space="preserve"> (2011) 35 VR 109" </w:instrText>
      </w:r>
      <w:r w:rsidRPr="00EB7F1E">
        <w:rPr>
          <w:rFonts w:asciiTheme="minorHAnsi" w:hAnsiTheme="minorHAnsi" w:cstheme="minorHAnsi"/>
        </w:rPr>
        <w:fldChar w:fldCharType="end"/>
      </w:r>
      <w:r w:rsidRPr="007809F4">
        <w:rPr>
          <w:rFonts w:asciiTheme="minorHAnsi" w:hAnsiTheme="minorHAnsi" w:cstheme="minorHAnsi"/>
        </w:rPr>
        <w:t>, [56].</w:t>
      </w:r>
    </w:p>
  </w:footnote>
  <w:footnote w:id="538">
    <w:p w14:paraId="681F78A1" w14:textId="11FC7F2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[20], [115](d).</w:t>
      </w:r>
    </w:p>
  </w:footnote>
  <w:footnote w:id="539">
    <w:p w14:paraId="28CC801E" w14:textId="4E83FD3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[20], [193].</w:t>
      </w:r>
    </w:p>
  </w:footnote>
  <w:footnote w:id="540">
    <w:p w14:paraId="7BE6C09B" w14:textId="1ADBE7D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w:instrText>
      </w:r>
      <w:r w:rsidRPr="007809F4">
        <w:rPr>
          <w:rFonts w:asciiTheme="minorHAnsi" w:hAnsiTheme="minorHAnsi" w:cstheme="minorHAnsi"/>
          <w:i/>
        </w:rPr>
        <w:instrText>TAN v R</w:instrText>
      </w:r>
      <w:r w:rsidRPr="007809F4">
        <w:rPr>
          <w:rFonts w:asciiTheme="minorHAnsi" w:hAnsiTheme="minorHAnsi" w:cstheme="minorHAnsi"/>
        </w:rPr>
        <w:instrText xml:space="preserve"> (2011) 35 VR 109" </w:instrText>
      </w:r>
      <w:r w:rsidRPr="00EB7F1E">
        <w:rPr>
          <w:rFonts w:asciiTheme="minorHAnsi" w:hAnsiTheme="minorHAnsi" w:cstheme="minorHAnsi"/>
        </w:rPr>
        <w:fldChar w:fldCharType="end"/>
      </w:r>
      <w:r w:rsidRPr="007809F4">
        <w:rPr>
          <w:rFonts w:asciiTheme="minorHAnsi" w:hAnsiTheme="minorHAnsi" w:cstheme="minorHAnsi"/>
        </w:rPr>
        <w:t>, [56].</w:t>
      </w:r>
    </w:p>
  </w:footnote>
  <w:footnote w:id="541">
    <w:p w14:paraId="4E9FA9DD" w14:textId="70E2A8C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w:instrText>
      </w:r>
      <w:r w:rsidRPr="007809F4">
        <w:rPr>
          <w:rFonts w:asciiTheme="minorHAnsi" w:hAnsiTheme="minorHAnsi" w:cstheme="minorHAnsi"/>
          <w:i/>
        </w:rPr>
        <w:instrText>TAN v R</w:instrText>
      </w:r>
      <w:r w:rsidRPr="007809F4">
        <w:rPr>
          <w:rFonts w:asciiTheme="minorHAnsi" w:hAnsiTheme="minorHAnsi" w:cstheme="minorHAnsi"/>
        </w:rPr>
        <w:instrText xml:space="preserve"> (2011) 35 VR 109" </w:instrText>
      </w:r>
      <w:r w:rsidRPr="00EB7F1E">
        <w:rPr>
          <w:rFonts w:asciiTheme="minorHAnsi" w:hAnsiTheme="minorHAnsi" w:cstheme="minorHAnsi"/>
        </w:rPr>
        <w:fldChar w:fldCharType="end"/>
      </w:r>
      <w:r w:rsidRPr="007809F4">
        <w:rPr>
          <w:rFonts w:asciiTheme="minorHAnsi" w:hAnsiTheme="minorHAnsi" w:cstheme="minorHAnsi"/>
        </w:rPr>
        <w:t>, [55].</w:t>
      </w:r>
    </w:p>
  </w:footnote>
  <w:footnote w:id="542">
    <w:p w14:paraId="2680F539" w14:textId="16AF5A6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w:instrText>
      </w:r>
      <w:r w:rsidRPr="007809F4">
        <w:rPr>
          <w:rFonts w:asciiTheme="minorHAnsi" w:hAnsiTheme="minorHAnsi" w:cstheme="minorHAnsi"/>
          <w:i/>
        </w:rPr>
        <w:instrText>TAN v R</w:instrText>
      </w:r>
      <w:r w:rsidRPr="007809F4">
        <w:rPr>
          <w:rFonts w:asciiTheme="minorHAnsi" w:hAnsiTheme="minorHAnsi" w:cstheme="minorHAnsi"/>
        </w:rPr>
        <w:instrText xml:space="preserve"> (2011) 35 VR 109" </w:instrText>
      </w:r>
      <w:r w:rsidRPr="00EB7F1E">
        <w:rPr>
          <w:rFonts w:asciiTheme="minorHAnsi" w:hAnsiTheme="minorHAnsi" w:cstheme="minorHAnsi"/>
        </w:rPr>
        <w:fldChar w:fldCharType="end"/>
      </w:r>
      <w:r w:rsidRPr="007809F4">
        <w:rPr>
          <w:rFonts w:asciiTheme="minorHAnsi" w:hAnsiTheme="minorHAnsi" w:cstheme="minorHAnsi"/>
        </w:rPr>
        <w:t>, [56].</w:t>
      </w:r>
    </w:p>
  </w:footnote>
  <w:footnote w:id="543">
    <w:p w14:paraId="395743EC" w14:textId="373B5B8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w:instrText>
      </w:r>
      <w:r w:rsidRPr="007809F4">
        <w:rPr>
          <w:rFonts w:asciiTheme="minorHAnsi" w:hAnsiTheme="minorHAnsi" w:cstheme="minorHAnsi"/>
          <w:i/>
        </w:rPr>
        <w:instrText>TAN v R</w:instrText>
      </w:r>
      <w:r w:rsidRPr="007809F4">
        <w:rPr>
          <w:rFonts w:asciiTheme="minorHAnsi" w:hAnsiTheme="minorHAnsi" w:cstheme="minorHAnsi"/>
        </w:rPr>
        <w:instrText xml:space="preserve"> (2011) 35 VR 109" </w:instrText>
      </w:r>
      <w:r w:rsidRPr="00EB7F1E">
        <w:rPr>
          <w:rFonts w:asciiTheme="minorHAnsi" w:hAnsiTheme="minorHAnsi" w:cstheme="minorHAnsi"/>
        </w:rPr>
        <w:fldChar w:fldCharType="end"/>
      </w:r>
      <w:r w:rsidRPr="007809F4">
        <w:rPr>
          <w:rFonts w:asciiTheme="minorHAnsi" w:hAnsiTheme="minorHAnsi" w:cstheme="minorHAnsi"/>
        </w:rPr>
        <w:t>, [54]-[56].</w:t>
      </w:r>
    </w:p>
  </w:footnote>
  <w:footnote w:id="544">
    <w:p w14:paraId="4D884E33" w14:textId="2F8908D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R v Host </w:t>
      </w:r>
      <w:r w:rsidRPr="007809F4">
        <w:rPr>
          <w:rFonts w:asciiTheme="minorHAnsi" w:hAnsiTheme="minorHAnsi" w:cstheme="minorHAnsi"/>
        </w:rPr>
        <w:t>[2015]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[20], [193].</w:t>
      </w:r>
    </w:p>
  </w:footnote>
  <w:footnote w:id="545">
    <w:p w14:paraId="40FDA275" w14:textId="41C073A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E.g. </w:t>
      </w:r>
      <w:r w:rsidRPr="007809F4">
        <w:rPr>
          <w:rFonts w:asciiTheme="minorHAnsi" w:hAnsiTheme="minorHAnsi" w:cstheme="minorHAnsi"/>
          <w:i/>
        </w:rPr>
        <w:t>Customs Act</w:t>
      </w:r>
      <w:r w:rsidRPr="007809F4">
        <w:rPr>
          <w:rFonts w:asciiTheme="minorHAnsi" w:hAnsiTheme="minorHAnsi" w:cstheme="minorHAnsi"/>
        </w:rPr>
        <w:t xml:space="preserve"> </w:t>
      </w:r>
      <w:r w:rsidRPr="007809F4">
        <w:rPr>
          <w:rFonts w:asciiTheme="minorHAnsi" w:hAnsiTheme="minorHAnsi" w:cstheme="minorHAnsi"/>
          <w:i/>
        </w:rPr>
        <w:t>1901</w:t>
      </w:r>
      <w:r w:rsidRPr="007809F4">
        <w:rPr>
          <w:rFonts w:asciiTheme="minorHAnsi" w:hAnsiTheme="minorHAnsi" w:cstheme="minorHAnsi"/>
        </w:rPr>
        <w:t xml:space="preserve">, ss 228-230; </w:t>
      </w:r>
      <w:r w:rsidRPr="007809F4">
        <w:rPr>
          <w:rFonts w:asciiTheme="minorHAnsi" w:hAnsiTheme="minorHAnsi" w:cstheme="minorHAnsi"/>
          <w:i/>
        </w:rPr>
        <w:t>Excise Act</w:t>
      </w:r>
      <w:r w:rsidRPr="007809F4">
        <w:rPr>
          <w:rFonts w:asciiTheme="minorHAnsi" w:hAnsiTheme="minorHAnsi" w:cstheme="minorHAnsi"/>
        </w:rPr>
        <w:t xml:space="preserve"> </w:t>
      </w:r>
      <w:r w:rsidRPr="007809F4">
        <w:rPr>
          <w:rFonts w:asciiTheme="minorHAnsi" w:hAnsiTheme="minorHAnsi" w:cstheme="minorHAnsi"/>
          <w:i/>
        </w:rPr>
        <w:t>1901</w:t>
      </w:r>
      <w:r w:rsidRPr="007809F4">
        <w:rPr>
          <w:rFonts w:asciiTheme="minorHAnsi" w:hAnsiTheme="minorHAnsi" w:cstheme="minorHAnsi"/>
        </w:rPr>
        <w:t xml:space="preserve">, s 116; </w:t>
      </w:r>
      <w:r w:rsidRPr="007809F4">
        <w:rPr>
          <w:rFonts w:asciiTheme="minorHAnsi" w:hAnsiTheme="minorHAnsi" w:cstheme="minorHAnsi"/>
          <w:i/>
        </w:rPr>
        <w:t>Migration Act 1958</w:t>
      </w:r>
      <w:r w:rsidRPr="007809F4">
        <w:rPr>
          <w:rFonts w:asciiTheme="minorHAnsi" w:hAnsiTheme="minorHAnsi" w:cstheme="minorHAnsi"/>
        </w:rPr>
        <w:t xml:space="preserve">, s 261A; </w:t>
      </w:r>
      <w:r w:rsidRPr="007809F4">
        <w:rPr>
          <w:rFonts w:asciiTheme="minorHAnsi" w:hAnsiTheme="minorHAnsi" w:cstheme="minorHAnsi"/>
          <w:i/>
        </w:rPr>
        <w:t>Biosecurity Act</w:t>
      </w:r>
      <w:r w:rsidRPr="007809F4">
        <w:rPr>
          <w:rFonts w:asciiTheme="minorHAnsi" w:hAnsiTheme="minorHAnsi" w:cstheme="minorHAnsi"/>
        </w:rPr>
        <w:t xml:space="preserve"> </w:t>
      </w:r>
      <w:r w:rsidRPr="007809F4">
        <w:rPr>
          <w:rFonts w:asciiTheme="minorHAnsi" w:hAnsiTheme="minorHAnsi" w:cstheme="minorHAnsi"/>
          <w:i/>
        </w:rPr>
        <w:t>2015</w:t>
      </w:r>
      <w:r w:rsidRPr="007809F4">
        <w:rPr>
          <w:rFonts w:asciiTheme="minorHAnsi" w:hAnsiTheme="minorHAnsi" w:cstheme="minorHAnsi"/>
        </w:rPr>
        <w:t xml:space="preserve">, s 627-630; </w:t>
      </w:r>
      <w:r w:rsidRPr="007809F4">
        <w:rPr>
          <w:rFonts w:asciiTheme="minorHAnsi" w:hAnsiTheme="minorHAnsi" w:cstheme="minorHAnsi"/>
          <w:i/>
        </w:rPr>
        <w:t>Fisheries Management Act</w:t>
      </w:r>
      <w:r w:rsidRPr="007809F4">
        <w:rPr>
          <w:rFonts w:asciiTheme="minorHAnsi" w:hAnsiTheme="minorHAnsi" w:cstheme="minorHAnsi"/>
        </w:rPr>
        <w:t xml:space="preserve"> </w:t>
      </w:r>
      <w:r w:rsidRPr="007809F4">
        <w:rPr>
          <w:rFonts w:asciiTheme="minorHAnsi" w:hAnsiTheme="minorHAnsi" w:cstheme="minorHAnsi"/>
          <w:i/>
        </w:rPr>
        <w:t>1991</w:t>
      </w:r>
      <w:r w:rsidRPr="007809F4">
        <w:rPr>
          <w:rFonts w:asciiTheme="minorHAnsi" w:hAnsiTheme="minorHAnsi" w:cstheme="minorHAnsi"/>
        </w:rPr>
        <w:t>, ss 106A, 106AA.</w:t>
      </w:r>
    </w:p>
  </w:footnote>
  <w:footnote w:id="546">
    <w:p w14:paraId="3E8FC83F" w14:textId="547BFA72" w:rsidR="00D44BCF" w:rsidRPr="007809F4" w:rsidRDefault="00D44BCF">
      <w:pPr>
        <w:pStyle w:val="FootnoteText"/>
        <w:tabs>
          <w:tab w:val="left" w:pos="567"/>
        </w:tabs>
        <w:ind w:left="426" w:hanging="426"/>
        <w:jc w:val="both"/>
        <w:rPr>
          <w:rFonts w:asciiTheme="minorHAnsi" w:hAnsiTheme="minorHAnsi" w:cstheme="minorHAnsi"/>
          <w:shd w:val="clear" w:color="auto" w:fill="FFFF00"/>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w:instrText>
      </w:r>
      <w:r w:rsidRPr="007809F4">
        <w:rPr>
          <w:rFonts w:asciiTheme="minorHAnsi" w:hAnsiTheme="minorHAnsi" w:cstheme="minorHAnsi"/>
          <w:i/>
        </w:rPr>
        <w:instrText>TAN v R</w:instrText>
      </w:r>
      <w:r w:rsidRPr="007809F4">
        <w:rPr>
          <w:rFonts w:asciiTheme="minorHAnsi" w:hAnsiTheme="minorHAnsi" w:cstheme="minorHAnsi"/>
        </w:rPr>
        <w:instrText xml:space="preserve"> (2011) 35 VR 109" </w:instrText>
      </w:r>
      <w:r w:rsidRPr="00EB7F1E">
        <w:rPr>
          <w:rFonts w:asciiTheme="minorHAnsi" w:hAnsiTheme="minorHAnsi" w:cstheme="minorHAnsi"/>
        </w:rPr>
        <w:fldChar w:fldCharType="end"/>
      </w:r>
      <w:r w:rsidRPr="007809F4">
        <w:rPr>
          <w:rFonts w:asciiTheme="minorHAnsi" w:hAnsiTheme="minorHAnsi" w:cstheme="minorHAnsi"/>
        </w:rPr>
        <w:t>, [66].</w:t>
      </w:r>
    </w:p>
  </w:footnote>
  <w:footnote w:id="547">
    <w:p w14:paraId="30004F38" w14:textId="4CA6C64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TAN v R</w:t>
      </w:r>
      <w:r w:rsidRPr="007809F4">
        <w:rPr>
          <w:rFonts w:asciiTheme="minorHAnsi" w:hAnsiTheme="minorHAnsi" w:cstheme="minorHAnsi"/>
        </w:rPr>
        <w:t xml:space="preserve"> (2011) 35 VR 109</w:t>
      </w:r>
      <w:r w:rsidRPr="00EB7F1E">
        <w:rPr>
          <w:rFonts w:asciiTheme="minorHAnsi" w:hAnsiTheme="minorHAnsi" w:cstheme="minorHAnsi"/>
        </w:rPr>
        <w:fldChar w:fldCharType="begin"/>
      </w:r>
      <w:r w:rsidRPr="007809F4">
        <w:rPr>
          <w:rFonts w:asciiTheme="minorHAnsi" w:hAnsiTheme="minorHAnsi" w:cstheme="minorHAnsi"/>
        </w:rPr>
        <w:instrText xml:space="preserve"> TA \s "</w:instrText>
      </w:r>
      <w:r w:rsidRPr="007809F4">
        <w:rPr>
          <w:rFonts w:asciiTheme="minorHAnsi" w:hAnsiTheme="minorHAnsi" w:cstheme="minorHAnsi"/>
          <w:i/>
        </w:rPr>
        <w:instrText>TAN v R</w:instrText>
      </w:r>
      <w:r w:rsidRPr="007809F4">
        <w:rPr>
          <w:rFonts w:asciiTheme="minorHAnsi" w:hAnsiTheme="minorHAnsi" w:cstheme="minorHAnsi"/>
        </w:rPr>
        <w:instrText xml:space="preserve"> (2011) 35 VR 109" </w:instrText>
      </w:r>
      <w:r w:rsidRPr="00EB7F1E">
        <w:rPr>
          <w:rFonts w:asciiTheme="minorHAnsi" w:hAnsiTheme="minorHAnsi" w:cstheme="minorHAnsi"/>
        </w:rPr>
        <w:fldChar w:fldCharType="end"/>
      </w:r>
      <w:r w:rsidRPr="007809F4">
        <w:rPr>
          <w:rFonts w:asciiTheme="minorHAnsi" w:hAnsiTheme="minorHAnsi" w:cstheme="minorHAnsi"/>
        </w:rPr>
        <w:t>, [61]-[62].</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48">
    <w:p w14:paraId="6F23BDAF" w14:textId="4D4FBA9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Campbell</w:t>
      </w:r>
      <w:r w:rsidRPr="007809F4">
        <w:rPr>
          <w:rFonts w:asciiTheme="minorHAnsi" w:hAnsiTheme="minorHAnsi" w:cstheme="minorHAnsi"/>
        </w:rPr>
        <w:t xml:space="preserve"> </w:t>
      </w:r>
      <w:r w:rsidRPr="007809F4">
        <w:rPr>
          <w:rFonts w:asciiTheme="minorHAnsi" w:hAnsiTheme="minorHAnsi" w:cstheme="minorHAnsi"/>
          <w:bCs/>
          <w:iCs/>
        </w:rPr>
        <w:t>[1999] VSCA 177</w:t>
      </w:r>
      <w:r w:rsidRPr="00EB7F1E">
        <w:rPr>
          <w:rFonts w:asciiTheme="minorHAnsi" w:hAnsiTheme="minorHAnsi" w:cstheme="minorHAnsi"/>
          <w:bCs/>
          <w:i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Campbell</w:instrText>
      </w:r>
      <w:r w:rsidRPr="007809F4">
        <w:rPr>
          <w:rFonts w:asciiTheme="minorHAnsi" w:hAnsiTheme="minorHAnsi" w:cstheme="minorHAnsi"/>
        </w:rPr>
        <w:instrText xml:space="preserve"> </w:instrText>
      </w:r>
      <w:r w:rsidRPr="007809F4">
        <w:rPr>
          <w:rFonts w:asciiTheme="minorHAnsi" w:hAnsiTheme="minorHAnsi" w:cstheme="minorHAnsi"/>
          <w:bCs/>
          <w:iCs/>
        </w:rPr>
        <w:instrText>[1999] VSCA 177</w:instrText>
      </w:r>
      <w:r w:rsidRPr="007809F4">
        <w:rPr>
          <w:rFonts w:asciiTheme="minorHAnsi" w:hAnsiTheme="minorHAnsi" w:cstheme="minorHAnsi"/>
        </w:rPr>
        <w:instrText xml:space="preserve">" \s "R v Campbell [1999] VSCA 177" \c 1 </w:instrText>
      </w:r>
      <w:r w:rsidRPr="00EB7F1E">
        <w:rPr>
          <w:rFonts w:asciiTheme="minorHAnsi" w:hAnsiTheme="minorHAnsi" w:cstheme="minorHAnsi"/>
          <w:bCs/>
          <w:iCs/>
        </w:rPr>
        <w:fldChar w:fldCharType="end"/>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"R v Campbell (1999) 109 A Crim R 174" </w:instrText>
      </w:r>
      <w:r w:rsidRPr="00EB7F1E">
        <w:rPr>
          <w:rFonts w:asciiTheme="minorHAnsi" w:hAnsiTheme="minorHAnsi" w:cstheme="minorHAnsi"/>
          <w:bCs/>
          <w:iCs/>
        </w:rPr>
        <w:fldChar w:fldCharType="end"/>
      </w:r>
      <w:r w:rsidRPr="007809F4">
        <w:rPr>
          <w:rFonts w:asciiTheme="minorHAnsi" w:hAnsiTheme="minorHAnsi" w:cstheme="minorHAnsi"/>
          <w:bCs/>
          <w:iCs/>
        </w:rPr>
        <w:t xml:space="preserve">, following </w:t>
      </w:r>
      <w:r w:rsidRPr="007809F4">
        <w:rPr>
          <w:rFonts w:asciiTheme="minorHAnsi" w:hAnsiTheme="minorHAnsi" w:cstheme="minorHAnsi"/>
          <w:i/>
        </w:rPr>
        <w:t>Pastras v R</w:t>
      </w:r>
      <w:r w:rsidRPr="007809F4">
        <w:rPr>
          <w:rFonts w:asciiTheme="minorHAnsi" w:hAnsiTheme="minorHAnsi" w:cstheme="minorHAnsi"/>
          <w:bCs/>
          <w:iCs/>
        </w:rPr>
        <w:t xml:space="preserve"> (1993) 65 A Crim R 584</w:t>
      </w:r>
      <w:r w:rsidRPr="00EB7F1E">
        <w:rPr>
          <w:rFonts w:asciiTheme="minorHAnsi" w:hAnsiTheme="minorHAnsi" w:cstheme="minorHAnsi"/>
          <w:bCs/>
          <w:i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Pastras v R</w:instrText>
      </w:r>
      <w:r w:rsidRPr="007809F4">
        <w:rPr>
          <w:rFonts w:asciiTheme="minorHAnsi" w:hAnsiTheme="minorHAnsi" w:cstheme="minorHAnsi"/>
          <w:bCs/>
          <w:iCs/>
        </w:rPr>
        <w:instrText xml:space="preserve"> (1993) 65 A Crim R 584</w:instrText>
      </w:r>
      <w:r w:rsidRPr="007809F4">
        <w:rPr>
          <w:rFonts w:asciiTheme="minorHAnsi" w:hAnsiTheme="minorHAnsi" w:cstheme="minorHAnsi"/>
        </w:rPr>
        <w:instrText xml:space="preserve">" \s "Pastras v R (1993) 65 A Crim R 584" \c 1 </w:instrText>
      </w:r>
      <w:r w:rsidRPr="00EB7F1E">
        <w:rPr>
          <w:rFonts w:asciiTheme="minorHAnsi" w:hAnsiTheme="minorHAnsi" w:cstheme="minorHAnsi"/>
          <w:bCs/>
          <w:iCs/>
        </w:rPr>
        <w:fldChar w:fldCharType="end"/>
      </w:r>
      <w:r w:rsidRPr="007809F4">
        <w:rPr>
          <w:rFonts w:asciiTheme="minorHAnsi" w:hAnsiTheme="minorHAnsi" w:cstheme="minorHAnsi"/>
          <w:bCs/>
          <w:iCs/>
        </w:rPr>
        <w:t>.</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"Pastras v R (1993) 65 A Crim R 584" </w:instrText>
      </w:r>
      <w:r w:rsidRPr="00EB7F1E">
        <w:rPr>
          <w:rFonts w:asciiTheme="minorHAnsi" w:hAnsiTheme="minorHAnsi" w:cstheme="minorHAnsi"/>
          <w:bCs/>
          <w:iCs/>
        </w:rPr>
        <w:fldChar w:fldCharType="end"/>
      </w:r>
    </w:p>
  </w:footnote>
  <w:footnote w:id="549">
    <w:p w14:paraId="1E21B156" w14:textId="50AFDCB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Compare </w:t>
      </w:r>
      <w:r w:rsidRPr="007809F4">
        <w:rPr>
          <w:rFonts w:asciiTheme="minorHAnsi" w:hAnsiTheme="minorHAnsi" w:cstheme="minorHAnsi"/>
          <w:i/>
        </w:rPr>
        <w:t>R v Yacoub</w:t>
      </w:r>
      <w:r w:rsidRPr="007809F4">
        <w:rPr>
          <w:rFonts w:asciiTheme="minorHAnsi" w:hAnsiTheme="minorHAnsi" w:cstheme="minorHAnsi"/>
        </w:rPr>
        <w:t xml:space="preserve"> [2006] VSCA 203</w:t>
      </w:r>
      <w:r w:rsidRPr="00EB7F1E">
        <w:rPr>
          <w:rFonts w:asciiTheme="minorHAnsi" w:hAnsiTheme="minorHAnsi" w:cstheme="minorHAnsi"/>
        </w:rPr>
        <w:fldChar w:fldCharType="begin"/>
      </w:r>
      <w:r w:rsidRPr="00EB7F1E">
        <w:rPr>
          <w:rFonts w:asciiTheme="minorHAnsi" w:hAnsiTheme="minorHAnsi" w:cstheme="minorHAnsi"/>
        </w:rPr>
        <w:instrText xml:space="preserve"> TA \s "R v Yacoub [2006] VSCA 203"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Yacoub [2006] VSCA 203"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Tabone</w:t>
      </w:r>
      <w:r w:rsidRPr="007809F4">
        <w:rPr>
          <w:rFonts w:asciiTheme="minorHAnsi" w:hAnsiTheme="minorHAnsi" w:cstheme="minorHAnsi"/>
        </w:rPr>
        <w:t xml:space="preserve"> [2006] VSCA 238</w:t>
      </w:r>
      <w:r w:rsidRPr="00EB7F1E">
        <w:rPr>
          <w:rFonts w:asciiTheme="minorHAnsi" w:hAnsiTheme="minorHAnsi" w:cstheme="minorHAnsi"/>
        </w:rPr>
        <w:fldChar w:fldCharType="begin"/>
      </w:r>
      <w:r w:rsidRPr="00EB7F1E">
        <w:rPr>
          <w:rFonts w:asciiTheme="minorHAnsi" w:hAnsiTheme="minorHAnsi" w:cstheme="minorHAnsi"/>
        </w:rPr>
        <w:instrText xml:space="preserve"> TA \s "R v Tabone [2006] VSCA 238"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Tabone (2006) 167 A Crim R 18"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R v Le </w:t>
      </w:r>
      <w:r w:rsidRPr="007809F4">
        <w:rPr>
          <w:rFonts w:asciiTheme="minorHAnsi" w:hAnsiTheme="minorHAnsi" w:cstheme="minorHAnsi"/>
        </w:rPr>
        <w:t>[2005] VSCA 284</w:t>
      </w:r>
      <w:r w:rsidRPr="00EB7F1E">
        <w:rPr>
          <w:rFonts w:asciiTheme="minorHAnsi" w:hAnsiTheme="minorHAnsi" w:cstheme="minorHAnsi"/>
        </w:rPr>
        <w:fldChar w:fldCharType="begin"/>
      </w:r>
      <w:r w:rsidRPr="00EB7F1E">
        <w:rPr>
          <w:rFonts w:asciiTheme="minorHAnsi" w:hAnsiTheme="minorHAnsi" w:cstheme="minorHAnsi"/>
        </w:rPr>
        <w:instrText xml:space="preserve"> TA \s "R v Le [2005] VSCA 284"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Le [2005] VSCA 284"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b/>
          <w:i/>
        </w:rPr>
        <w:t xml:space="preserve"> </w:t>
      </w:r>
      <w:r w:rsidRPr="007809F4">
        <w:rPr>
          <w:rFonts w:asciiTheme="minorHAnsi" w:hAnsiTheme="minorHAnsi" w:cstheme="minorHAnsi"/>
          <w:i/>
        </w:rPr>
        <w:t>R v McLeod</w:t>
      </w:r>
      <w:r w:rsidRPr="007809F4">
        <w:rPr>
          <w:rFonts w:asciiTheme="minorHAnsi" w:hAnsiTheme="minorHAnsi" w:cstheme="minorHAnsi"/>
        </w:rPr>
        <w:t xml:space="preserve"> (2007) 16 VR 682</w:t>
      </w:r>
      <w:r w:rsidRPr="00EB7F1E">
        <w:rPr>
          <w:rFonts w:asciiTheme="minorHAnsi" w:hAnsiTheme="minorHAnsi" w:cstheme="minorHAnsi"/>
        </w:rPr>
        <w:fldChar w:fldCharType="begin"/>
      </w:r>
      <w:r w:rsidRPr="007809F4">
        <w:rPr>
          <w:rFonts w:asciiTheme="minorHAnsi" w:hAnsiTheme="minorHAnsi" w:cstheme="minorHAnsi"/>
        </w:rPr>
        <w:instrText xml:space="preserve"> TA \s "R v McLeod (2007) 16 VR 682"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50">
    <w:p w14:paraId="0D9CF3E8" w14:textId="1E2C574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R v Tabone</w:t>
      </w:r>
      <w:r w:rsidRPr="007809F4">
        <w:rPr>
          <w:rFonts w:asciiTheme="minorHAnsi" w:hAnsiTheme="minorHAnsi" w:cstheme="minorHAnsi"/>
        </w:rPr>
        <w:t xml:space="preserve"> [2006] VSCA 238</w:t>
      </w:r>
      <w:r w:rsidRPr="00EB7F1E">
        <w:rPr>
          <w:rFonts w:asciiTheme="minorHAnsi" w:hAnsiTheme="minorHAnsi" w:cstheme="minorHAnsi"/>
        </w:rPr>
        <w:fldChar w:fldCharType="begin"/>
      </w:r>
      <w:r w:rsidRPr="00EB7F1E">
        <w:rPr>
          <w:rFonts w:asciiTheme="minorHAnsi" w:hAnsiTheme="minorHAnsi" w:cstheme="minorHAnsi"/>
        </w:rPr>
        <w:instrText xml:space="preserve"> TA \s "R v Tabone [2006] VSCA 238"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Tabone (2006) 167 A Crim R 18" </w:instrText>
      </w:r>
      <w:r w:rsidRPr="00EB7F1E">
        <w:rPr>
          <w:rFonts w:asciiTheme="minorHAnsi" w:hAnsiTheme="minorHAnsi" w:cstheme="minorHAnsi"/>
        </w:rPr>
        <w:fldChar w:fldCharType="end"/>
      </w:r>
      <w:r w:rsidRPr="007809F4">
        <w:rPr>
          <w:rFonts w:asciiTheme="minorHAnsi" w:hAnsiTheme="minorHAnsi" w:cstheme="minorHAnsi"/>
        </w:rPr>
        <w:t>, [10]-[14].</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51">
    <w:p w14:paraId="5945BF94" w14:textId="5BD2CCD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R v Tabone</w:t>
      </w:r>
      <w:r w:rsidRPr="007809F4">
        <w:rPr>
          <w:rFonts w:asciiTheme="minorHAnsi" w:hAnsiTheme="minorHAnsi" w:cstheme="minorHAnsi"/>
        </w:rPr>
        <w:t xml:space="preserve"> [2006] VSCA 238</w:t>
      </w:r>
      <w:r w:rsidRPr="00EB7F1E">
        <w:rPr>
          <w:rFonts w:asciiTheme="minorHAnsi" w:hAnsiTheme="minorHAnsi" w:cstheme="minorHAnsi"/>
        </w:rPr>
        <w:fldChar w:fldCharType="begin"/>
      </w:r>
      <w:r w:rsidRPr="00EB7F1E">
        <w:rPr>
          <w:rFonts w:asciiTheme="minorHAnsi" w:hAnsiTheme="minorHAnsi" w:cstheme="minorHAnsi"/>
        </w:rPr>
        <w:instrText xml:space="preserve"> TA \s "R v Tabone [2006] VSCA 238"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Tabone (2006) 167 A Crim R 18" </w:instrText>
      </w:r>
      <w:r w:rsidRPr="00EB7F1E">
        <w:rPr>
          <w:rFonts w:asciiTheme="minorHAnsi" w:hAnsiTheme="minorHAnsi" w:cstheme="minorHAnsi"/>
        </w:rPr>
        <w:fldChar w:fldCharType="end"/>
      </w:r>
      <w:r w:rsidRPr="007809F4">
        <w:rPr>
          <w:rFonts w:asciiTheme="minorHAnsi" w:hAnsiTheme="minorHAnsi" w:cstheme="minorHAnsi"/>
        </w:rPr>
        <w:t>, [10]-[14].</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52">
    <w:p w14:paraId="00C16A09"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see </w:t>
      </w:r>
      <w:r w:rsidRPr="007809F4">
        <w:rPr>
          <w:rFonts w:asciiTheme="minorHAnsi" w:hAnsiTheme="minorHAnsi" w:cstheme="minorHAnsi"/>
          <w:i/>
        </w:rPr>
        <w:t>DPP v Dwayhi</w:t>
      </w:r>
      <w:r w:rsidRPr="007809F4">
        <w:rPr>
          <w:rFonts w:asciiTheme="minorHAnsi" w:hAnsiTheme="minorHAnsi" w:cstheme="minorHAnsi"/>
        </w:rPr>
        <w:t xml:space="preserve"> [2009] NSWSC 1025.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Dwayhi</w:instrText>
      </w:r>
      <w:r w:rsidRPr="007809F4">
        <w:rPr>
          <w:rFonts w:asciiTheme="minorHAnsi" w:hAnsiTheme="minorHAnsi" w:cstheme="minorHAnsi"/>
        </w:rPr>
        <w:instrText xml:space="preserve"> [2009] NSWSC 1025" \s "DPP v Dwayhi [2009] NSWSC 1025" \c 1 </w:instrText>
      </w:r>
      <w:r w:rsidRPr="00EB7F1E">
        <w:rPr>
          <w:rFonts w:asciiTheme="minorHAnsi" w:hAnsiTheme="minorHAnsi" w:cstheme="minorHAnsi"/>
        </w:rPr>
        <w:fldChar w:fldCharType="end"/>
      </w:r>
    </w:p>
  </w:footnote>
  <w:footnote w:id="553">
    <w:p w14:paraId="4091C9CC" w14:textId="77777777" w:rsidR="00D44BCF" w:rsidRPr="007809F4" w:rsidRDefault="00D44BCF">
      <w:pPr>
        <w:pStyle w:val="FootnoteText"/>
        <w:ind w:left="426" w:hanging="426"/>
        <w:jc w:val="both"/>
        <w:rPr>
          <w:rFonts w:asciiTheme="minorHAnsi" w:hAnsiTheme="minorHAnsi" w:cstheme="minorHAnsi"/>
          <w:i/>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iCs/>
        </w:rPr>
        <w:t>Crimes (Superannuation Benefits) Act 1989</w:t>
      </w:r>
      <w:r w:rsidRPr="007809F4">
        <w:rPr>
          <w:rFonts w:asciiTheme="minorHAnsi" w:hAnsiTheme="minorHAnsi" w:cstheme="minorHAnsi"/>
          <w:iCs/>
        </w:rPr>
        <w:t xml:space="preserve"> (Cth),</w:t>
      </w:r>
      <w:r w:rsidRPr="007809F4">
        <w:rPr>
          <w:rFonts w:asciiTheme="minorHAnsi" w:hAnsiTheme="minorHAnsi" w:cstheme="minorHAnsi"/>
        </w:rPr>
        <w:t xml:space="preserve"> s 43 and also the </w:t>
      </w:r>
      <w:r w:rsidRPr="007809F4">
        <w:rPr>
          <w:rFonts w:asciiTheme="minorHAnsi" w:hAnsiTheme="minorHAnsi" w:cstheme="minorHAnsi"/>
          <w:i/>
          <w:iCs/>
        </w:rPr>
        <w:t>Australian Federal Police Act 1979</w:t>
      </w:r>
      <w:r w:rsidRPr="007809F4">
        <w:rPr>
          <w:rFonts w:asciiTheme="minorHAnsi" w:hAnsiTheme="minorHAnsi" w:cstheme="minorHAnsi"/>
          <w:iCs/>
        </w:rPr>
        <w:t xml:space="preserve"> (Cth), s 55.</w:t>
      </w:r>
    </w:p>
  </w:footnote>
  <w:footnote w:id="554">
    <w:p w14:paraId="26ECB702" w14:textId="460D247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Child Protection (Offenders Registration) Act</w:t>
      </w:r>
      <w:r w:rsidRPr="007809F4">
        <w:rPr>
          <w:rFonts w:asciiTheme="minorHAnsi" w:hAnsiTheme="minorHAnsi" w:cstheme="minorHAnsi"/>
        </w:rPr>
        <w:t xml:space="preserve"> 2000 (NSW); </w:t>
      </w:r>
      <w:r w:rsidRPr="007809F4">
        <w:rPr>
          <w:rFonts w:asciiTheme="minorHAnsi" w:hAnsiTheme="minorHAnsi" w:cstheme="minorHAnsi"/>
          <w:i/>
        </w:rPr>
        <w:t>Sex Offenders Registration Act 2004</w:t>
      </w:r>
      <w:r w:rsidRPr="007809F4">
        <w:rPr>
          <w:rFonts w:asciiTheme="minorHAnsi" w:hAnsiTheme="minorHAnsi" w:cstheme="minorHAnsi"/>
        </w:rPr>
        <w:t xml:space="preserve"> (Vic); </w:t>
      </w:r>
      <w:r w:rsidRPr="007809F4">
        <w:rPr>
          <w:rFonts w:asciiTheme="minorHAnsi" w:hAnsiTheme="minorHAnsi" w:cstheme="minorHAnsi"/>
          <w:i/>
        </w:rPr>
        <w:t>Child Protection (Offender Reporting and Offender Prohibition Order) Act 2004</w:t>
      </w:r>
      <w:r w:rsidRPr="007809F4">
        <w:rPr>
          <w:rFonts w:asciiTheme="minorHAnsi" w:hAnsiTheme="minorHAnsi" w:cstheme="minorHAnsi"/>
        </w:rPr>
        <w:t xml:space="preserve"> (Qld); </w:t>
      </w:r>
      <w:r w:rsidRPr="007809F4">
        <w:rPr>
          <w:rFonts w:asciiTheme="minorHAnsi" w:hAnsiTheme="minorHAnsi" w:cstheme="minorHAnsi"/>
          <w:i/>
        </w:rPr>
        <w:t>Child Sex Offenders Registration Act 2006</w:t>
      </w:r>
      <w:r w:rsidRPr="007809F4">
        <w:rPr>
          <w:rFonts w:asciiTheme="minorHAnsi" w:hAnsiTheme="minorHAnsi" w:cstheme="minorHAnsi"/>
        </w:rPr>
        <w:t xml:space="preserve"> (SA); </w:t>
      </w:r>
      <w:r w:rsidRPr="007809F4">
        <w:rPr>
          <w:rFonts w:asciiTheme="minorHAnsi" w:hAnsiTheme="minorHAnsi" w:cstheme="minorHAnsi"/>
          <w:i/>
        </w:rPr>
        <w:t>Community Protection (Offender Reporting) Act 2004</w:t>
      </w:r>
      <w:r w:rsidRPr="007809F4">
        <w:rPr>
          <w:rFonts w:asciiTheme="minorHAnsi" w:hAnsiTheme="minorHAnsi" w:cstheme="minorHAnsi"/>
        </w:rPr>
        <w:t xml:space="preserve"> (WA); </w:t>
      </w:r>
      <w:r w:rsidRPr="007809F4">
        <w:rPr>
          <w:rFonts w:asciiTheme="minorHAnsi" w:hAnsiTheme="minorHAnsi" w:cstheme="minorHAnsi"/>
          <w:i/>
        </w:rPr>
        <w:t>Community Protection (Offender Reporting) Act 2005</w:t>
      </w:r>
      <w:r w:rsidRPr="007809F4">
        <w:rPr>
          <w:rFonts w:asciiTheme="minorHAnsi" w:hAnsiTheme="minorHAnsi" w:cstheme="minorHAnsi"/>
        </w:rPr>
        <w:t xml:space="preserve"> (Tas); </w:t>
      </w:r>
      <w:r w:rsidRPr="007809F4">
        <w:rPr>
          <w:rFonts w:asciiTheme="minorHAnsi" w:hAnsiTheme="minorHAnsi" w:cstheme="minorHAnsi"/>
          <w:i/>
          <w:iCs/>
        </w:rPr>
        <w:t>Crimes (Child Sex Offenders) Act 2005</w:t>
      </w:r>
      <w:r w:rsidRPr="007809F4">
        <w:rPr>
          <w:rFonts w:asciiTheme="minorHAnsi" w:hAnsiTheme="minorHAnsi" w:cstheme="minorHAnsi"/>
          <w:iCs/>
        </w:rPr>
        <w:t xml:space="preserve"> (ACT)</w:t>
      </w:r>
      <w:r w:rsidRPr="007809F4">
        <w:rPr>
          <w:rFonts w:asciiTheme="minorHAnsi" w:hAnsiTheme="minorHAnsi" w:cstheme="minorHAnsi"/>
        </w:rPr>
        <w:t xml:space="preserve">; </w:t>
      </w:r>
      <w:r w:rsidRPr="007809F4">
        <w:rPr>
          <w:rFonts w:asciiTheme="minorHAnsi" w:hAnsiTheme="minorHAnsi" w:cstheme="minorHAnsi"/>
          <w:i/>
        </w:rPr>
        <w:t>Child Protection (Offender Reporting and Registration) Act 2004</w:t>
      </w:r>
      <w:r w:rsidRPr="007809F4">
        <w:rPr>
          <w:rFonts w:asciiTheme="minorHAnsi" w:hAnsiTheme="minorHAnsi" w:cstheme="minorHAnsi"/>
        </w:rPr>
        <w:t xml:space="preserve"> (NT).</w:t>
      </w:r>
    </w:p>
  </w:footnote>
  <w:footnote w:id="555">
    <w:p w14:paraId="6F54587C" w14:textId="3D7F3E0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Tasmania is the notable exception, where a specific order is required.  Section 6 of the </w:t>
      </w:r>
      <w:r w:rsidRPr="007809F4">
        <w:rPr>
          <w:rFonts w:asciiTheme="minorHAnsi" w:hAnsiTheme="minorHAnsi" w:cstheme="minorHAnsi"/>
          <w:i/>
        </w:rPr>
        <w:t>Community Protection (Offender Reporting) Act 2005</w:t>
      </w:r>
      <w:r w:rsidRPr="007809F4">
        <w:rPr>
          <w:rFonts w:asciiTheme="minorHAnsi" w:hAnsiTheme="minorHAnsi" w:cstheme="minorHAnsi"/>
        </w:rPr>
        <w:t xml:space="preserve"> (Tas) requires the Court to make such an order, unless the court is satisfied that the person does </w:t>
      </w:r>
      <w:r w:rsidRPr="007809F4">
        <w:rPr>
          <w:rFonts w:asciiTheme="minorHAnsi" w:hAnsiTheme="minorHAnsi" w:cstheme="minorHAnsi"/>
          <w:u w:val="single"/>
        </w:rPr>
        <w:t>not</w:t>
      </w:r>
      <w:r w:rsidRPr="007809F4">
        <w:rPr>
          <w:rFonts w:asciiTheme="minorHAnsi" w:hAnsiTheme="minorHAnsi" w:cstheme="minorHAnsi"/>
        </w:rPr>
        <w:t xml:space="preserve"> pose a risk of committing a reportable offence in the future.  </w:t>
      </w:r>
      <w:r w:rsidRPr="00EB7F1E">
        <w:rPr>
          <w:rFonts w:asciiTheme="minorHAnsi" w:hAnsiTheme="minorHAnsi" w:cstheme="minorHAnsi"/>
        </w:rPr>
        <w:fldChar w:fldCharType="begin"/>
      </w:r>
      <w:r w:rsidRPr="007809F4">
        <w:rPr>
          <w:rFonts w:asciiTheme="minorHAnsi" w:hAnsiTheme="minorHAnsi" w:cstheme="minorHAnsi"/>
        </w:rPr>
        <w:instrText xml:space="preserve">  "R v ONA (2009) 24 VR 197" </w:instrText>
      </w:r>
      <w:r w:rsidRPr="00EB7F1E">
        <w:rPr>
          <w:rFonts w:asciiTheme="minorHAnsi" w:hAnsiTheme="minorHAnsi" w:cstheme="minorHAnsi"/>
        </w:rPr>
        <w:fldChar w:fldCharType="end"/>
      </w:r>
    </w:p>
  </w:footnote>
  <w:footnote w:id="556">
    <w:p w14:paraId="11D376C6" w14:textId="0E772D9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For example, some jurisdictions do not impose mandatory registration if the offender was a child, or if the offence was a single class 2 offence.</w:t>
      </w:r>
      <w:r w:rsidRPr="00EB7F1E">
        <w:rPr>
          <w:rFonts w:asciiTheme="minorHAnsi" w:hAnsiTheme="minorHAnsi" w:cstheme="minorHAnsi"/>
        </w:rPr>
        <w:fldChar w:fldCharType="begin"/>
      </w:r>
      <w:r w:rsidRPr="007809F4">
        <w:rPr>
          <w:rFonts w:asciiTheme="minorHAnsi" w:hAnsiTheme="minorHAnsi" w:cstheme="minorHAnsi"/>
        </w:rPr>
        <w:instrText xml:space="preserve">  "R v ONA (2009) 24 VR 197" </w:instrText>
      </w:r>
      <w:r w:rsidRPr="00EB7F1E">
        <w:rPr>
          <w:rFonts w:asciiTheme="minorHAnsi" w:hAnsiTheme="minorHAnsi" w:cstheme="minorHAnsi"/>
        </w:rPr>
        <w:fldChar w:fldCharType="end"/>
      </w:r>
    </w:p>
  </w:footnote>
  <w:footnote w:id="557">
    <w:p w14:paraId="788048CB" w14:textId="7A8DD21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Most jurisdictions refer to the relevant offences as </w:t>
      </w:r>
      <w:r w:rsidRPr="00EB7F1E">
        <w:rPr>
          <w:rFonts w:asciiTheme="minorHAnsi" w:hAnsiTheme="minorHAnsi" w:cstheme="minorHAnsi"/>
          <w:bCs/>
        </w:rPr>
        <w:t xml:space="preserve">“class 1” or “class 2” offences.  </w:t>
      </w:r>
      <w:r w:rsidRPr="007809F4">
        <w:rPr>
          <w:rFonts w:asciiTheme="minorHAnsi" w:hAnsiTheme="minorHAnsi" w:cstheme="minorHAnsi"/>
        </w:rPr>
        <w:t>Since 2014, the Queensland legislation refers instead to “prescribed offences”.</w:t>
      </w:r>
    </w:p>
  </w:footnote>
  <w:footnote w:id="558">
    <w:p w14:paraId="308024F1" w14:textId="2D62370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contrast to provisions in other jurisdictions, the list of Commonwealth offences in the </w:t>
      </w:r>
      <w:r w:rsidRPr="007809F4">
        <w:rPr>
          <w:rFonts w:asciiTheme="minorHAnsi" w:hAnsiTheme="minorHAnsi" w:cstheme="minorHAnsi"/>
          <w:i/>
        </w:rPr>
        <w:t>Community Protection (Offender Reporting) Act 2004</w:t>
      </w:r>
      <w:r w:rsidRPr="007809F4">
        <w:rPr>
          <w:rFonts w:asciiTheme="minorHAnsi" w:hAnsiTheme="minorHAnsi" w:cstheme="minorHAnsi"/>
        </w:rPr>
        <w:t xml:space="preserve"> (WA), Schedules 1 and 2, refers to repealed offences under the </w:t>
      </w:r>
      <w:r w:rsidRPr="007809F4">
        <w:rPr>
          <w:rFonts w:asciiTheme="minorHAnsi" w:hAnsiTheme="minorHAnsi" w:cstheme="minorHAnsi"/>
          <w:i/>
        </w:rPr>
        <w:t>Crimes Act 1914</w:t>
      </w:r>
      <w:r w:rsidRPr="007809F4">
        <w:rPr>
          <w:rFonts w:asciiTheme="minorHAnsi" w:hAnsiTheme="minorHAnsi" w:cstheme="minorHAnsi"/>
        </w:rPr>
        <w:t xml:space="preserve"> (Cth) and does not refer to </w:t>
      </w:r>
      <w:r w:rsidRPr="00EB7F1E">
        <w:rPr>
          <w:rFonts w:asciiTheme="minorHAnsi" w:hAnsiTheme="minorHAnsi" w:cstheme="minorHAnsi"/>
        </w:rPr>
        <w:t xml:space="preserve">relevant offences under the </w:t>
      </w:r>
      <w:r w:rsidRPr="00EB7F1E">
        <w:rPr>
          <w:rFonts w:asciiTheme="minorHAnsi" w:hAnsiTheme="minorHAnsi" w:cstheme="minorHAnsi"/>
          <w:i/>
          <w:iCs/>
        </w:rPr>
        <w:t>Criminal Code</w:t>
      </w:r>
      <w:r w:rsidRPr="00EB7F1E">
        <w:rPr>
          <w:rFonts w:asciiTheme="minorHAnsi" w:hAnsiTheme="minorHAnsi" w:cstheme="minorHAnsi"/>
        </w:rPr>
        <w:t xml:space="preserve"> (Cth).</w:t>
      </w:r>
    </w:p>
  </w:footnote>
  <w:footnote w:id="559">
    <w:p w14:paraId="3D9FF6C8" w14:textId="7A13BC7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ONA</w:t>
      </w:r>
      <w:r w:rsidRPr="007809F4">
        <w:rPr>
          <w:rFonts w:asciiTheme="minorHAnsi" w:hAnsiTheme="minorHAnsi" w:cstheme="minorHAnsi"/>
        </w:rPr>
        <w:t xml:space="preserve"> (2009) 24 VR 197</w:t>
      </w:r>
      <w:r w:rsidRPr="00EB7F1E">
        <w:rPr>
          <w:rFonts w:asciiTheme="minorHAnsi" w:hAnsiTheme="minorHAnsi" w:cstheme="minorHAnsi"/>
        </w:rPr>
        <w:fldChar w:fldCharType="begin"/>
      </w:r>
      <w:r w:rsidRPr="007809F4">
        <w:rPr>
          <w:rFonts w:asciiTheme="minorHAnsi" w:hAnsiTheme="minorHAnsi" w:cstheme="minorHAnsi"/>
        </w:rPr>
        <w:instrText xml:space="preserve"> TA \s "R v ONA (2009) 24 VR 197"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ONA (2009) 24 VR 197" </w:instrText>
      </w:r>
      <w:r w:rsidRPr="00EB7F1E">
        <w:rPr>
          <w:rFonts w:asciiTheme="minorHAnsi" w:hAnsiTheme="minorHAnsi" w:cstheme="minorHAnsi"/>
        </w:rPr>
        <w:fldChar w:fldCharType="end"/>
      </w:r>
    </w:p>
  </w:footnote>
  <w:footnote w:id="560">
    <w:p w14:paraId="79A869A3" w14:textId="12F32CC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Sabel v R</w:t>
      </w:r>
      <w:r w:rsidRPr="007809F4">
        <w:rPr>
          <w:rFonts w:asciiTheme="minorHAnsi" w:hAnsiTheme="minorHAnsi" w:cstheme="minorHAnsi"/>
        </w:rPr>
        <w:t xml:space="preserve"> [2014] NSWCCA 101</w:t>
      </w:r>
      <w:r w:rsidRPr="00EB7F1E">
        <w:rPr>
          <w:rFonts w:asciiTheme="minorHAnsi" w:hAnsiTheme="minorHAnsi" w:cstheme="minorHAnsi"/>
        </w:rPr>
        <w:fldChar w:fldCharType="begin"/>
      </w:r>
      <w:r w:rsidRPr="007809F4">
        <w:rPr>
          <w:rFonts w:asciiTheme="minorHAnsi" w:hAnsiTheme="minorHAnsi" w:cstheme="minorHAnsi"/>
        </w:rPr>
        <w:instrText xml:space="preserve"> TA \s "Sabel v R [2014] NSWCCA 101" </w:instrText>
      </w:r>
      <w:r w:rsidRPr="00EB7F1E">
        <w:rPr>
          <w:rFonts w:asciiTheme="minorHAnsi" w:hAnsiTheme="minorHAnsi" w:cstheme="minorHAnsi"/>
        </w:rPr>
        <w:fldChar w:fldCharType="end"/>
      </w:r>
      <w:r w:rsidRPr="007809F4">
        <w:rPr>
          <w:rFonts w:asciiTheme="minorHAnsi" w:hAnsiTheme="minorHAnsi" w:cstheme="minorHAnsi"/>
        </w:rPr>
        <w:t>, [206]-[209]</w:t>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61">
    <w:p w14:paraId="4B928235" w14:textId="4109128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Ellis</w:t>
      </w:r>
      <w:r w:rsidRPr="007809F4">
        <w:rPr>
          <w:rFonts w:asciiTheme="minorHAnsi" w:hAnsiTheme="minorHAnsi" w:cstheme="minorHAnsi"/>
        </w:rPr>
        <w:t xml:space="preserve"> (2005) 11 VR 287</w:t>
      </w:r>
      <w:r w:rsidRPr="00EB7F1E">
        <w:rPr>
          <w:rFonts w:asciiTheme="minorHAnsi" w:hAnsiTheme="minorHAnsi" w:cstheme="minorHAnsi"/>
        </w:rPr>
        <w:fldChar w:fldCharType="begin"/>
      </w:r>
      <w:r w:rsidRPr="007809F4">
        <w:rPr>
          <w:rFonts w:asciiTheme="minorHAnsi" w:hAnsiTheme="minorHAnsi" w:cstheme="minorHAnsi"/>
        </w:rPr>
        <w:instrText xml:space="preserve"> TA \s "DPP v Ellis (2005) 11 VR 287" </w:instrText>
      </w:r>
      <w:r w:rsidRPr="00EB7F1E">
        <w:rPr>
          <w:rFonts w:asciiTheme="minorHAnsi" w:hAnsiTheme="minorHAnsi" w:cstheme="minorHAnsi"/>
        </w:rPr>
        <w:fldChar w:fldCharType="end"/>
      </w:r>
      <w:r w:rsidRPr="007809F4">
        <w:rPr>
          <w:rFonts w:asciiTheme="minorHAnsi" w:hAnsiTheme="minorHAnsi" w:cstheme="minorHAnsi"/>
        </w:rPr>
        <w:t xml:space="preserve">, [16]; </w:t>
      </w:r>
      <w:r w:rsidRPr="007809F4">
        <w:rPr>
          <w:rFonts w:asciiTheme="minorHAnsi" w:hAnsiTheme="minorHAnsi" w:cstheme="minorHAnsi"/>
          <w:i/>
        </w:rPr>
        <w:t>Muldrock v R</w:t>
      </w:r>
      <w:r w:rsidRPr="007809F4">
        <w:rPr>
          <w:rFonts w:asciiTheme="minorHAnsi" w:hAnsiTheme="minorHAnsi" w:cstheme="minorHAnsi"/>
        </w:rPr>
        <w:t xml:space="preserve"> (2011) 244 CLR 120</w:t>
      </w:r>
      <w:r w:rsidRPr="00EB7F1E">
        <w:rPr>
          <w:rFonts w:asciiTheme="minorHAnsi" w:hAnsiTheme="minorHAnsi" w:cstheme="minorHAnsi"/>
        </w:rPr>
        <w:fldChar w:fldCharType="begin"/>
      </w:r>
      <w:r w:rsidRPr="007809F4">
        <w:rPr>
          <w:rFonts w:asciiTheme="minorHAnsi" w:hAnsiTheme="minorHAnsi" w:cstheme="minorHAnsi"/>
        </w:rPr>
        <w:instrText xml:space="preserve"> TA \s "Muldrock v R (2011) 244 CLR 120" </w:instrText>
      </w:r>
      <w:r w:rsidRPr="00EB7F1E">
        <w:rPr>
          <w:rFonts w:asciiTheme="minorHAnsi" w:hAnsiTheme="minorHAnsi" w:cstheme="minorHAnsi"/>
        </w:rPr>
        <w:fldChar w:fldCharType="end"/>
      </w:r>
      <w:r w:rsidRPr="007809F4">
        <w:rPr>
          <w:rFonts w:asciiTheme="minorHAnsi" w:hAnsiTheme="minorHAnsi" w:cstheme="minorHAnsi"/>
        </w:rPr>
        <w:t>, [61];</w:t>
      </w:r>
      <w:r w:rsidRPr="007809F4">
        <w:rPr>
          <w:rStyle w:val="tightinline"/>
          <w:rFonts w:asciiTheme="minorHAnsi" w:hAnsiTheme="minorHAnsi" w:cstheme="minorHAnsi"/>
        </w:rPr>
        <w:t xml:space="preserve"> </w:t>
      </w:r>
      <w:r w:rsidRPr="007809F4">
        <w:rPr>
          <w:rFonts w:asciiTheme="minorHAnsi" w:hAnsiTheme="minorHAnsi" w:cstheme="minorHAnsi"/>
          <w:i/>
        </w:rPr>
        <w:t xml:space="preserve">DPP (Cth) v Besim; DPP (Cth) v MHK (No 3) </w:t>
      </w:r>
      <w:r w:rsidRPr="007809F4">
        <w:rPr>
          <w:rFonts w:asciiTheme="minorHAnsi" w:hAnsiTheme="minorHAnsi" w:cstheme="minorHAnsi"/>
        </w:rPr>
        <w:t>(2017)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[55]-[58], [62]</w:t>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62">
    <w:p w14:paraId="0A9E0428" w14:textId="05D7E5E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Benbrika </w:t>
      </w:r>
      <w:r w:rsidRPr="007809F4">
        <w:rPr>
          <w:rFonts w:asciiTheme="minorHAnsi" w:hAnsiTheme="minorHAnsi" w:cstheme="minorHAnsi"/>
        </w:rPr>
        <w:t>[2009] VSC 21</w:t>
      </w:r>
      <w:r w:rsidRPr="00EB7F1E">
        <w:rPr>
          <w:rFonts w:asciiTheme="minorHAnsi" w:hAnsiTheme="minorHAnsi" w:cstheme="minorHAnsi"/>
        </w:rPr>
        <w:fldChar w:fldCharType="begin"/>
      </w:r>
      <w:r w:rsidRPr="007809F4">
        <w:rPr>
          <w:rFonts w:asciiTheme="minorHAnsi" w:hAnsiTheme="minorHAnsi" w:cstheme="minorHAnsi"/>
        </w:rPr>
        <w:instrText xml:space="preserve"> TA \s "R v Benbrika [2009] VSC 21" </w:instrText>
      </w:r>
      <w:r w:rsidRPr="00EB7F1E">
        <w:rPr>
          <w:rFonts w:asciiTheme="minorHAnsi" w:hAnsiTheme="minorHAnsi" w:cstheme="minorHAnsi"/>
        </w:rPr>
        <w:fldChar w:fldCharType="end"/>
      </w:r>
      <w:r w:rsidRPr="007809F4">
        <w:rPr>
          <w:rFonts w:asciiTheme="minorHAnsi" w:hAnsiTheme="minorHAnsi" w:cstheme="minorHAnsi"/>
        </w:rPr>
        <w:t>, [242]-[244]</w:t>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63">
    <w:p w14:paraId="5C092E22" w14:textId="579B46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Besim; DPP (Cth) v MHK (No 3) </w:t>
      </w:r>
      <w:r w:rsidRPr="007809F4">
        <w:rPr>
          <w:rFonts w:asciiTheme="minorHAnsi" w:hAnsiTheme="minorHAnsi" w:cstheme="minorHAnsi"/>
        </w:rPr>
        <w:t>(2017)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64">
    <w:p w14:paraId="73322FC4" w14:textId="7AE18E4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Besim; DPP (Cth) v MHK (No 3) </w:t>
      </w:r>
      <w:r w:rsidRPr="007809F4">
        <w:rPr>
          <w:rFonts w:asciiTheme="minorHAnsi" w:hAnsiTheme="minorHAnsi" w:cstheme="minorHAnsi"/>
        </w:rPr>
        <w:t>(2017)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[43]-[59]</w:t>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65">
    <w:p w14:paraId="083F0060" w14:textId="3A1C6C5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Besim; DPP (Cth) v MHK (No 3) </w:t>
      </w:r>
      <w:r w:rsidRPr="007809F4">
        <w:rPr>
          <w:rFonts w:asciiTheme="minorHAnsi" w:hAnsiTheme="minorHAnsi" w:cstheme="minorHAnsi"/>
        </w:rPr>
        <w:t>(2017)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[60]-[62]</w:t>
      </w:r>
      <w:r w:rsidRPr="007809F4">
        <w:rPr>
          <w:rFonts w:asciiTheme="minorHAnsi" w:hAnsiTheme="minorHAnsi" w:cstheme="minorHAnsi"/>
          <w: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566">
    <w:p w14:paraId="550A7C2E" w14:textId="7D9CA8C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Dinsdale v R</w:t>
      </w:r>
      <w:r w:rsidRPr="007809F4">
        <w:rPr>
          <w:rFonts w:asciiTheme="minorHAnsi" w:hAnsiTheme="minorHAnsi" w:cstheme="minorHAnsi"/>
        </w:rPr>
        <w:t xml:space="preserve"> (2000) 202 CLR 321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Dinsdale v R</w:instrText>
      </w:r>
      <w:r w:rsidRPr="007809F4">
        <w:rPr>
          <w:rFonts w:asciiTheme="minorHAnsi" w:hAnsiTheme="minorHAnsi" w:cstheme="minorHAnsi"/>
        </w:rPr>
        <w:instrText xml:space="preserve"> (2000) 202 CLR 321" \s "Dinsdale v R (2000) 202 CLR 321" \c 1 </w:instrText>
      </w:r>
      <w:r w:rsidRPr="00EB7F1E">
        <w:rPr>
          <w:rFonts w:asciiTheme="minorHAnsi" w:hAnsiTheme="minorHAnsi" w:cstheme="minorHAnsi"/>
        </w:rPr>
        <w:fldChar w:fldCharType="end"/>
      </w:r>
      <w:r w:rsidRPr="007809F4">
        <w:rPr>
          <w:rFonts w:asciiTheme="minorHAnsi" w:hAnsiTheme="minorHAnsi" w:cstheme="minorHAnsi"/>
        </w:rPr>
        <w:t xml:space="preserve">, [62]; </w:t>
      </w:r>
      <w:r w:rsidRPr="007809F4">
        <w:rPr>
          <w:rFonts w:asciiTheme="minorHAnsi" w:hAnsiTheme="minorHAnsi" w:cstheme="minorHAnsi"/>
          <w:i/>
        </w:rPr>
        <w:t>R v Fincham</w:t>
      </w:r>
      <w:r w:rsidRPr="007809F4">
        <w:rPr>
          <w:rFonts w:asciiTheme="minorHAnsi" w:hAnsiTheme="minorHAnsi" w:cstheme="minorHAnsi"/>
        </w:rPr>
        <w:t xml:space="preserve"> [2008] VSCA 186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Fincham</w:instrText>
      </w:r>
      <w:r w:rsidRPr="007809F4">
        <w:rPr>
          <w:rFonts w:asciiTheme="minorHAnsi" w:hAnsiTheme="minorHAnsi" w:cstheme="minorHAnsi"/>
        </w:rPr>
        <w:instrText xml:space="preserve"> [2008] VSCA 186" \s "R v Fincham [2008] VSCA 186"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Fincham (2008) 73 ATR 545" </w:instrText>
      </w:r>
      <w:r w:rsidRPr="00EB7F1E">
        <w:rPr>
          <w:rFonts w:asciiTheme="minorHAnsi" w:hAnsiTheme="minorHAnsi" w:cstheme="minorHAnsi"/>
        </w:rPr>
        <w:fldChar w:fldCharType="end"/>
      </w:r>
      <w:r w:rsidRPr="007809F4" w:rsidDel="00576EEE">
        <w:rPr>
          <w:rFonts w:asciiTheme="minorHAnsi" w:hAnsiTheme="minorHAnsi" w:cstheme="minorHAnsi"/>
        </w:rPr>
        <w:t xml:space="preserve"> </w:t>
      </w:r>
      <w:r w:rsidRPr="007809F4">
        <w:rPr>
          <w:rFonts w:asciiTheme="minorHAnsi" w:hAnsiTheme="minorHAnsi" w:cstheme="minorHAnsi"/>
        </w:rPr>
        <w:t xml:space="preserve">[28]; </w:t>
      </w:r>
      <w:r w:rsidRPr="007809F4">
        <w:rPr>
          <w:rFonts w:asciiTheme="minorHAnsi" w:hAnsiTheme="minorHAnsi" w:cstheme="minorHAnsi"/>
          <w:i/>
        </w:rPr>
        <w:t>DPP v Page</w:t>
      </w:r>
      <w:r w:rsidRPr="007809F4">
        <w:rPr>
          <w:rFonts w:asciiTheme="minorHAnsi" w:hAnsiTheme="minorHAnsi" w:cstheme="minorHAnsi"/>
        </w:rPr>
        <w:t xml:space="preserve"> [2006] VSCA 224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Page</w:instrText>
      </w:r>
      <w:r w:rsidRPr="007809F4">
        <w:rPr>
          <w:rFonts w:asciiTheme="minorHAnsi" w:hAnsiTheme="minorHAnsi" w:cstheme="minorHAnsi"/>
        </w:rPr>
        <w:instrText xml:space="preserve"> [2006] VSCA 224" \s "DPP v Page [2006] VSCA 224" \c 1 </w:instrText>
      </w:r>
      <w:r w:rsidRPr="00EB7F1E">
        <w:rPr>
          <w:rFonts w:asciiTheme="minorHAnsi" w:hAnsiTheme="minorHAnsi" w:cstheme="minorHAnsi"/>
        </w:rPr>
        <w:fldChar w:fldCharType="end"/>
      </w:r>
      <w:r w:rsidRPr="007809F4">
        <w:rPr>
          <w:rFonts w:asciiTheme="minorHAnsi" w:hAnsiTheme="minorHAnsi" w:cstheme="minorHAnsi"/>
        </w:rPr>
        <w:t>, [55].</w:t>
      </w:r>
    </w:p>
  </w:footnote>
  <w:footnote w:id="567">
    <w:p w14:paraId="22EF9EB7" w14:textId="02A62D5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R v JW</w:t>
      </w:r>
      <w:r w:rsidRPr="007809F4">
        <w:rPr>
          <w:rFonts w:asciiTheme="minorHAnsi" w:hAnsiTheme="minorHAnsi" w:cstheme="minorHAnsi"/>
        </w:rPr>
        <w:t xml:space="preserve"> (2010) 77 NSWLR 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JW</w:instrText>
      </w:r>
      <w:r w:rsidRPr="007809F4">
        <w:rPr>
          <w:rFonts w:asciiTheme="minorHAnsi" w:hAnsiTheme="minorHAnsi" w:cstheme="minorHAnsi"/>
        </w:rPr>
        <w:instrText xml:space="preserve"> (2010) 77 NSWLR 7</w:instrText>
      </w:r>
      <w:r w:rsidRPr="00EB7F1E">
        <w:rPr>
          <w:rFonts w:asciiTheme="minorHAnsi" w:hAnsiTheme="minorHAnsi" w:cstheme="minorHAnsi"/>
        </w:rPr>
        <w:instrText xml:space="preserve">" \s "R v JW (2010) 77 NSWLR 7" \c 1 </w:instrText>
      </w:r>
      <w:r w:rsidRPr="00EB7F1E">
        <w:rPr>
          <w:rFonts w:asciiTheme="minorHAnsi" w:hAnsiTheme="minorHAnsi" w:cstheme="minorHAnsi"/>
        </w:rPr>
        <w:fldChar w:fldCharType="end"/>
      </w:r>
      <w:r w:rsidRPr="007809F4">
        <w:rPr>
          <w:rFonts w:asciiTheme="minorHAnsi" w:hAnsiTheme="minorHAnsi" w:cstheme="minorHAnsi"/>
        </w:rPr>
        <w:t xml:space="preserve">, [54]; </w:t>
      </w:r>
      <w:r w:rsidRPr="007809F4">
        <w:rPr>
          <w:rFonts w:asciiTheme="minorHAnsi" w:hAnsiTheme="minorHAnsi" w:cstheme="minorHAnsi"/>
          <w:i/>
        </w:rPr>
        <w:t xml:space="preserve">DPP v Karazisis </w:t>
      </w:r>
      <w:r w:rsidRPr="007809F4">
        <w:rPr>
          <w:rFonts w:asciiTheme="minorHAnsi" w:hAnsiTheme="minorHAnsi" w:cstheme="minorHAnsi"/>
        </w:rPr>
        <w:t>[2010] VSCA 350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v Karazisis </w:instrText>
      </w:r>
      <w:r w:rsidRPr="007809F4">
        <w:rPr>
          <w:rFonts w:asciiTheme="minorHAnsi" w:hAnsiTheme="minorHAnsi" w:cstheme="minorHAnsi"/>
        </w:rPr>
        <w:instrText xml:space="preserve">[2010] VSCA 350" \s "DPP v Karazisis [2010] VSCA 350"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68">
    <w:p w14:paraId="3C022FAB" w14:textId="6519D1B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(Appeal and Review) Act 2001</w:t>
      </w:r>
      <w:r w:rsidRPr="007809F4">
        <w:rPr>
          <w:rFonts w:asciiTheme="minorHAnsi" w:hAnsiTheme="minorHAnsi" w:cstheme="minorHAnsi"/>
        </w:rPr>
        <w:t xml:space="preserve"> (NSW), s 68A.</w:t>
      </w:r>
      <w:r w:rsidRPr="007809F4">
        <w:rPr>
          <w:rStyle w:val="verdana"/>
          <w:rFonts w:asciiTheme="minorHAnsi" w:hAnsiTheme="minorHAnsi" w:cstheme="minorHAnsi"/>
        </w:rPr>
        <w:t xml:space="preserve">  See </w:t>
      </w:r>
      <w:r w:rsidRPr="007809F4">
        <w:rPr>
          <w:rFonts w:asciiTheme="minorHAnsi" w:hAnsiTheme="minorHAnsi" w:cstheme="minorHAnsi"/>
          <w:i/>
        </w:rPr>
        <w:t>R v JW</w:t>
      </w:r>
      <w:r w:rsidRPr="007809F4">
        <w:rPr>
          <w:rFonts w:asciiTheme="minorHAnsi" w:hAnsiTheme="minorHAnsi" w:cstheme="minorHAnsi"/>
        </w:rPr>
        <w:t xml:space="preserve"> (2010) 77 NSWLR 7</w:t>
      </w:r>
      <w:r w:rsidRPr="00EB7F1E">
        <w:rPr>
          <w:rFonts w:asciiTheme="minorHAnsi" w:hAnsiTheme="minorHAnsi" w:cstheme="minorHAnsi"/>
        </w:rPr>
        <w:fldChar w:fldCharType="begin"/>
      </w:r>
      <w:r w:rsidRPr="007809F4">
        <w:rPr>
          <w:rFonts w:asciiTheme="minorHAnsi" w:hAnsiTheme="minorHAnsi" w:cstheme="minorHAnsi"/>
        </w:rPr>
        <w:instrText xml:space="preserve"> TA \s "R v JW (2010) 77 NSWLR 7"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69">
    <w:p w14:paraId="2C76BD71" w14:textId="18D51DE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Criminal Procedure Act 2009 </w:t>
      </w:r>
      <w:r w:rsidRPr="007809F4">
        <w:rPr>
          <w:rFonts w:asciiTheme="minorHAnsi" w:hAnsiTheme="minorHAnsi" w:cstheme="minorHAnsi"/>
        </w:rPr>
        <w:t>(Vic),</w:t>
      </w:r>
      <w:r w:rsidRPr="007809F4">
        <w:rPr>
          <w:rFonts w:asciiTheme="minorHAnsi" w:hAnsiTheme="minorHAnsi" w:cstheme="minorHAnsi"/>
          <w:i/>
        </w:rPr>
        <w:t xml:space="preserve"> </w:t>
      </w:r>
      <w:r w:rsidRPr="007809F4">
        <w:rPr>
          <w:rFonts w:asciiTheme="minorHAnsi" w:hAnsiTheme="minorHAnsi" w:cstheme="minorHAnsi"/>
        </w:rPr>
        <w:t xml:space="preserve">ss 259(3), 262(3), 289(2) and 290(3).  See </w:t>
      </w:r>
      <w:r w:rsidRPr="007809F4">
        <w:rPr>
          <w:rFonts w:asciiTheme="minorHAnsi" w:hAnsiTheme="minorHAnsi" w:cstheme="minorHAnsi"/>
          <w:i/>
        </w:rPr>
        <w:t xml:space="preserve">DPP v Karazisis </w:t>
      </w:r>
      <w:r w:rsidRPr="007809F4">
        <w:rPr>
          <w:rFonts w:asciiTheme="minorHAnsi" w:hAnsiTheme="minorHAnsi" w:cstheme="minorHAnsi"/>
        </w:rPr>
        <w:t>[2010] VSCA 350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v Karazisis </w:instrText>
      </w:r>
      <w:r w:rsidRPr="007809F4">
        <w:rPr>
          <w:rFonts w:asciiTheme="minorHAnsi" w:hAnsiTheme="minorHAnsi" w:cstheme="minorHAnsi"/>
        </w:rPr>
        <w:instrText xml:space="preserve">[2010] VSCA 350" \s "DPP v Karazisis [2010] VSCA 350" \c 1 </w:instrText>
      </w:r>
      <w:r w:rsidRPr="00EB7F1E">
        <w:rPr>
          <w:rFonts w:asciiTheme="minorHAnsi" w:hAnsiTheme="minorHAnsi" w:cstheme="minorHAnsi"/>
        </w:rPr>
        <w:fldChar w:fldCharType="end"/>
      </w:r>
    </w:p>
  </w:footnote>
  <w:footnote w:id="570">
    <w:p w14:paraId="7395C44A" w14:textId="73A6651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Criminal Appeals Act 2004 </w:t>
      </w:r>
      <w:r w:rsidRPr="007809F4">
        <w:rPr>
          <w:rFonts w:asciiTheme="minorHAnsi" w:hAnsiTheme="minorHAnsi" w:cstheme="minorHAnsi"/>
        </w:rPr>
        <w:t>(WA), s 41(4).</w:t>
      </w:r>
    </w:p>
  </w:footnote>
  <w:footnote w:id="571">
    <w:p w14:paraId="355671BD" w14:textId="13621A7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Criminal Law Consolidation Act 1935 </w:t>
      </w:r>
      <w:r w:rsidRPr="007809F4">
        <w:rPr>
          <w:rFonts w:asciiTheme="minorHAnsi" w:hAnsiTheme="minorHAnsi" w:cstheme="minorHAnsi"/>
        </w:rPr>
        <w:t>(SA),</w:t>
      </w:r>
      <w:r w:rsidRPr="007809F4">
        <w:rPr>
          <w:rFonts w:asciiTheme="minorHAnsi" w:hAnsiTheme="minorHAnsi" w:cstheme="minorHAnsi"/>
          <w:i/>
        </w:rPr>
        <w:t xml:space="preserve"> </w:t>
      </w:r>
      <w:r w:rsidRPr="007809F4">
        <w:rPr>
          <w:rFonts w:asciiTheme="minorHAnsi" w:hAnsiTheme="minorHAnsi" w:cstheme="minorHAnsi"/>
        </w:rPr>
        <w:t xml:space="preserve">s 340.  See </w:t>
      </w:r>
      <w:r w:rsidRPr="007809F4">
        <w:rPr>
          <w:rFonts w:asciiTheme="minorHAnsi" w:hAnsiTheme="minorHAnsi" w:cstheme="minorHAnsi"/>
          <w:i/>
        </w:rPr>
        <w:t>R v Harkin</w:t>
      </w:r>
      <w:r w:rsidRPr="007809F4">
        <w:rPr>
          <w:rFonts w:asciiTheme="minorHAnsi" w:hAnsiTheme="minorHAnsi" w:cstheme="minorHAnsi"/>
        </w:rPr>
        <w:t xml:space="preserve"> (2011) 109 SASR 334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Harkin</w:instrText>
      </w:r>
      <w:r w:rsidRPr="007809F4">
        <w:rPr>
          <w:rFonts w:asciiTheme="minorHAnsi" w:hAnsiTheme="minorHAnsi" w:cstheme="minorHAnsi"/>
        </w:rPr>
        <w:instrText xml:space="preserve"> (2011) 109 SASR 334</w:instrText>
      </w:r>
      <w:r w:rsidRPr="00EB7F1E">
        <w:rPr>
          <w:rFonts w:asciiTheme="minorHAnsi" w:hAnsiTheme="minorHAnsi" w:cstheme="minorHAnsi"/>
        </w:rPr>
        <w:instrText xml:space="preserve">" \s "R v Harkin (2011) 109 SASR 334" \c 1 </w:instrText>
      </w:r>
      <w:r w:rsidRPr="00EB7F1E">
        <w:rPr>
          <w:rFonts w:asciiTheme="minorHAnsi" w:hAnsiTheme="minorHAnsi" w:cstheme="minorHAnsi"/>
        </w:rPr>
        <w:fldChar w:fldCharType="end"/>
      </w:r>
      <w:r w:rsidRPr="007809F4">
        <w:rPr>
          <w:rStyle w:val="tightinline"/>
          <w:rFonts w:asciiTheme="minorHAnsi" w:hAnsiTheme="minorHAnsi" w:cstheme="minorHAnsi"/>
        </w:rPr>
        <w:t xml:space="preserve">; </w:t>
      </w:r>
      <w:r w:rsidRPr="007809F4">
        <w:rPr>
          <w:rFonts w:asciiTheme="minorHAnsi" w:hAnsiTheme="minorHAnsi" w:cstheme="minorHAnsi"/>
          <w:i/>
        </w:rPr>
        <w:t>R v V</w:t>
      </w:r>
      <w:r w:rsidRPr="007809F4">
        <w:rPr>
          <w:rFonts w:asciiTheme="minorHAnsi" w:hAnsiTheme="minorHAnsi" w:cstheme="minorHAnsi"/>
        </w:rPr>
        <w:t xml:space="preserve"> [2012] SASCFC 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V</w:instrText>
      </w:r>
      <w:r w:rsidRPr="007809F4">
        <w:rPr>
          <w:rFonts w:asciiTheme="minorHAnsi" w:hAnsiTheme="minorHAnsi" w:cstheme="minorHAnsi"/>
        </w:rPr>
        <w:instrText xml:space="preserve"> [2012] SASCFC 10</w:instrText>
      </w:r>
      <w:r w:rsidRPr="00EB7F1E">
        <w:rPr>
          <w:rFonts w:asciiTheme="minorHAnsi" w:hAnsiTheme="minorHAnsi" w:cstheme="minorHAnsi"/>
        </w:rPr>
        <w:instrText xml:space="preserve">" \s "R v V [2012] SASCFC 10"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72">
    <w:p w14:paraId="59B58364" w14:textId="7BC5FB5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Sentencing Act 2005</w:t>
      </w:r>
      <w:r w:rsidRPr="007809F4">
        <w:rPr>
          <w:rFonts w:asciiTheme="minorHAnsi" w:hAnsiTheme="minorHAnsi" w:cstheme="minorHAnsi"/>
        </w:rPr>
        <w:t xml:space="preserve"> (ACT), s7; </w:t>
      </w:r>
      <w:r w:rsidRPr="007809F4">
        <w:rPr>
          <w:rFonts w:asciiTheme="minorHAnsi" w:hAnsiTheme="minorHAnsi" w:cstheme="minorHAnsi"/>
          <w:i/>
        </w:rPr>
        <w:t>R v Chatfield</w:t>
      </w:r>
      <w:r w:rsidRPr="007809F4">
        <w:rPr>
          <w:rFonts w:asciiTheme="minorHAnsi" w:hAnsiTheme="minorHAnsi" w:cstheme="minorHAnsi"/>
        </w:rPr>
        <w:t xml:space="preserve"> [2012] ACTCA 32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Chatfield</w:instrText>
      </w:r>
      <w:r w:rsidRPr="007809F4">
        <w:rPr>
          <w:rFonts w:asciiTheme="minorHAnsi" w:hAnsiTheme="minorHAnsi" w:cstheme="minorHAnsi"/>
        </w:rPr>
        <w:instrText xml:space="preserve"> [2012] ACTCA 32</w:instrText>
      </w:r>
      <w:r w:rsidRPr="00EB7F1E">
        <w:rPr>
          <w:rFonts w:asciiTheme="minorHAnsi" w:hAnsiTheme="minorHAnsi" w:cstheme="minorHAnsi"/>
        </w:rPr>
        <w:instrText xml:space="preserve">" \s "R v Chatfield [2012] ACTCA 32"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73">
    <w:p w14:paraId="4FC98C12" w14:textId="1C02BE0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574">
    <w:p w14:paraId="675AD951" w14:textId="359D04D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[43].</w:t>
      </w:r>
    </w:p>
  </w:footnote>
  <w:footnote w:id="575">
    <w:p w14:paraId="0E5309E6" w14:textId="528DE2B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Compare </w:t>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[24].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_Ref507608389 \r  \* MERGEFORMAT </w:instrText>
      </w:r>
      <w:r w:rsidRPr="00EB7F1E">
        <w:rPr>
          <w:rFonts w:asciiTheme="minorHAnsi" w:hAnsiTheme="minorHAnsi" w:cstheme="minorHAnsi"/>
        </w:rPr>
        <w:fldChar w:fldCharType="separate"/>
      </w:r>
      <w:r>
        <w:rPr>
          <w:rFonts w:asciiTheme="minorHAnsi" w:hAnsiTheme="minorHAnsi" w:cstheme="minorHAnsi"/>
        </w:rPr>
        <w:t>4.4.12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_Ref507608389  \* MERGEFORMAT </w:instrText>
      </w:r>
      <w:r w:rsidRPr="00EB7F1E">
        <w:rPr>
          <w:rFonts w:asciiTheme="minorHAnsi" w:hAnsiTheme="minorHAnsi" w:cstheme="minorHAnsi"/>
        </w:rPr>
        <w:fldChar w:fldCharType="separate"/>
      </w:r>
      <w:r w:rsidRPr="00EB7F1E">
        <w:rPr>
          <w:rFonts w:asciiTheme="minorHAnsi" w:hAnsiTheme="minorHAnsi" w:cstheme="minorHAnsi"/>
        </w:rPr>
        <w:t>Character, antecedents, age, means, physical/mental condition – s 16A(2)(m)</w:t>
      </w:r>
      <w:r w:rsidRPr="00EB7F1E">
        <w:rPr>
          <w:rFonts w:asciiTheme="minorHAnsi" w:hAnsiTheme="minorHAnsi" w:cstheme="minorHAnsi"/>
        </w:rPr>
        <w:fldChar w:fldCharType="end"/>
      </w:r>
      <w:r w:rsidRPr="007809F4">
        <w:rPr>
          <w:rFonts w:asciiTheme="minorHAnsi" w:hAnsiTheme="minorHAnsi" w:cstheme="minorHAnsi"/>
        </w:rPr>
        <w:t>”.</w:t>
      </w:r>
    </w:p>
  </w:footnote>
  <w:footnote w:id="576">
    <w:p w14:paraId="01C4A4E9" w14:textId="4B09D92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De La Rosa </w:t>
      </w:r>
      <w:r w:rsidRPr="007809F4">
        <w:rPr>
          <w:rFonts w:asciiTheme="minorHAnsi" w:hAnsiTheme="minorHAnsi" w:cstheme="minorHAnsi"/>
        </w:rPr>
        <w:t>(2010) 79 NSWLR 11</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De La Rosa (2010) 79 NSWLR 11" </w:instrText>
      </w:r>
      <w:r w:rsidRPr="00EB7F1E">
        <w:rPr>
          <w:rFonts w:asciiTheme="minorHAnsi" w:hAnsiTheme="minorHAnsi" w:cstheme="minorHAnsi"/>
        </w:rPr>
        <w:fldChar w:fldCharType="end"/>
      </w:r>
      <w:r w:rsidRPr="007809F4">
        <w:rPr>
          <w:rFonts w:asciiTheme="minorHAnsi" w:hAnsiTheme="minorHAnsi" w:cstheme="minorHAnsi"/>
        </w:rPr>
        <w:t xml:space="preserve">, [279]-[280]; cited with apparent approval in </w:t>
      </w:r>
      <w:r w:rsidRPr="007809F4">
        <w:rPr>
          <w:rFonts w:asciiTheme="minorHAnsi" w:hAnsiTheme="minorHAnsi" w:cstheme="minorHAnsi"/>
          <w:i/>
          <w:iCs/>
          <w:noProof/>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xml:space="preserve">, [22]-[23].  In </w:t>
      </w:r>
      <w:r w:rsidRPr="007809F4">
        <w:rPr>
          <w:rFonts w:asciiTheme="minorHAnsi" w:hAnsiTheme="minorHAnsi" w:cstheme="minorHAnsi"/>
          <w:i/>
        </w:rPr>
        <w:t>DPP (Cth) v Boyles (a pseudonym)</w:t>
      </w:r>
      <w:r w:rsidRPr="007809F4">
        <w:rPr>
          <w:rFonts w:asciiTheme="minorHAnsi" w:hAnsiTheme="minorHAnsi" w:cstheme="minorHAnsi"/>
        </w:rPr>
        <w:t xml:space="preserve"> [2016] VSCA 267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Boyles (a pseudonym) [2016] VSCA 267" </w:instrText>
      </w:r>
      <w:r w:rsidRPr="00EB7F1E">
        <w:rPr>
          <w:rFonts w:asciiTheme="minorHAnsi" w:hAnsiTheme="minorHAnsi" w:cstheme="minorHAnsi"/>
        </w:rPr>
        <w:fldChar w:fldCharType="end"/>
      </w:r>
      <w:r w:rsidRPr="007809F4">
        <w:rPr>
          <w:rFonts w:asciiTheme="minorHAnsi" w:hAnsiTheme="minorHAnsi" w:cstheme="minorHAnsi"/>
        </w:rPr>
        <w:t>, evidence of actual anxiety and distress, in combination with other circumstances, led the Court of Appeal to dismiss the Director’s appeal in the exercise of its residual discretion, notwithstanding the manifest inadequacy of the original sentence.</w:t>
      </w:r>
    </w:p>
  </w:footnote>
  <w:footnote w:id="577">
    <w:p w14:paraId="55CD1E05" w14:textId="2FD677AE" w:rsidR="00D44BCF" w:rsidRPr="007809F4" w:rsidRDefault="00D44BCF">
      <w:pPr>
        <w:pStyle w:val="FootnoteText"/>
        <w:ind w:left="426" w:right="565"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All Cars Ltd v McCann</w:t>
      </w:r>
      <w:r w:rsidRPr="007809F4" w:rsidDel="00442915">
        <w:rPr>
          <w:rFonts w:asciiTheme="minorHAnsi" w:hAnsiTheme="minorHAnsi" w:cstheme="minorHAnsi"/>
          <w:bCs/>
          <w:i/>
          <w:iCs/>
        </w:rPr>
        <w:t xml:space="preserve"> </w:t>
      </w:r>
      <w:r w:rsidRPr="007809F4">
        <w:rPr>
          <w:rFonts w:asciiTheme="minorHAnsi" w:hAnsiTheme="minorHAnsi" w:cstheme="minorHAnsi"/>
        </w:rPr>
        <w:t>(1945) 19 ALJR 129</w:t>
      </w:r>
      <w:r w:rsidRPr="00EB7F1E">
        <w:rPr>
          <w:rFonts w:asciiTheme="minorHAnsi" w:hAnsiTheme="minorHAnsi" w:cstheme="minorHAnsi"/>
        </w:rPr>
        <w:fldChar w:fldCharType="begin"/>
      </w:r>
      <w:r w:rsidRPr="00EB7F1E">
        <w:rPr>
          <w:rFonts w:asciiTheme="minorHAnsi" w:hAnsiTheme="minorHAnsi" w:cstheme="minorHAnsi"/>
        </w:rPr>
        <w:instrText xml:space="preserve"> TA \s "All Cars Ltd v McCann (1945) 19 ALJR 129"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R v Mirkovic</w:t>
      </w:r>
      <w:r w:rsidRPr="007809F4">
        <w:rPr>
          <w:rFonts w:asciiTheme="minorHAnsi" w:hAnsiTheme="minorHAnsi" w:cstheme="minorHAnsi"/>
        </w:rPr>
        <w:t xml:space="preserve"> [1966] VR 371.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Mirkovic</w:instrText>
      </w:r>
      <w:r w:rsidRPr="007809F4">
        <w:rPr>
          <w:rFonts w:asciiTheme="minorHAnsi" w:hAnsiTheme="minorHAnsi" w:cstheme="minorHAnsi"/>
        </w:rPr>
        <w:instrText xml:space="preserve"> [1966] VR 371" \s "R v Mirkovic [1966] VR 371"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Harrex v Fraser</w:t>
      </w:r>
      <w:r w:rsidRPr="007809F4">
        <w:rPr>
          <w:rFonts w:asciiTheme="minorHAnsi" w:hAnsiTheme="minorHAnsi" w:cstheme="minorHAnsi"/>
        </w:rPr>
        <w:t xml:space="preserve"> [2011] ACTSC 172</w:t>
      </w:r>
      <w:r w:rsidRPr="00EB7F1E">
        <w:rPr>
          <w:rFonts w:asciiTheme="minorHAnsi" w:hAnsiTheme="minorHAnsi" w:cstheme="minorHAnsi"/>
        </w:rPr>
        <w:fldChar w:fldCharType="begin"/>
      </w:r>
      <w:r w:rsidRPr="007809F4">
        <w:rPr>
          <w:rFonts w:asciiTheme="minorHAnsi" w:hAnsiTheme="minorHAnsi" w:cstheme="minorHAnsi"/>
        </w:rPr>
        <w:instrText xml:space="preserve"> TA \s "Harrex v Fraser [2011] ACTSC 172" </w:instrText>
      </w:r>
      <w:r w:rsidRPr="00EB7F1E">
        <w:rPr>
          <w:rFonts w:asciiTheme="minorHAnsi" w:hAnsiTheme="minorHAnsi" w:cstheme="minorHAnsi"/>
        </w:rPr>
        <w:fldChar w:fldCharType="end"/>
      </w:r>
      <w:r w:rsidRPr="007809F4">
        <w:rPr>
          <w:rFonts w:asciiTheme="minorHAnsi" w:hAnsiTheme="minorHAnsi" w:cstheme="minorHAnsi"/>
        </w:rPr>
        <w:t>, [38]-[39].</w:t>
      </w:r>
      <w:r w:rsidRPr="00EB7F1E">
        <w:rPr>
          <w:rFonts w:asciiTheme="minorHAnsi" w:hAnsiTheme="minorHAnsi" w:cstheme="minorHAnsi"/>
        </w:rPr>
        <w:fldChar w:fldCharType="begin"/>
      </w:r>
      <w:r w:rsidRPr="007809F4">
        <w:rPr>
          <w:rFonts w:asciiTheme="minorHAnsi" w:hAnsiTheme="minorHAnsi" w:cstheme="minorHAnsi"/>
        </w:rPr>
        <w:instrText xml:space="preserve">  "R v Mirkovic [1966] VR 371" </w:instrText>
      </w:r>
      <w:r w:rsidRPr="00EB7F1E">
        <w:rPr>
          <w:rFonts w:asciiTheme="minorHAnsi" w:hAnsiTheme="minorHAnsi" w:cstheme="minorHAnsi"/>
        </w:rPr>
        <w:fldChar w:fldCharType="end"/>
      </w:r>
    </w:p>
  </w:footnote>
  <w:footnote w:id="578">
    <w:p w14:paraId="7C673ED8" w14:textId="4A48AD3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_Ref494538844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5.7.4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_Ref494538844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Types of State or Territory sentences or orders which are applied by s 20AB</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Matijevic [1997] FCA 992"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Price [2008] QCA 330" </w:instrText>
      </w:r>
      <w:r w:rsidRPr="00EB7F1E">
        <w:rPr>
          <w:rFonts w:asciiTheme="minorHAnsi" w:hAnsiTheme="minorHAnsi" w:cstheme="minorHAnsi"/>
        </w:rPr>
        <w:fldChar w:fldCharType="end"/>
      </w:r>
    </w:p>
  </w:footnote>
  <w:footnote w:id="579">
    <w:p w14:paraId="0F9F5B38" w14:textId="1F31743D" w:rsidR="00D44BCF" w:rsidRPr="007809F4" w:rsidRDefault="00D44BCF" w:rsidP="006B65AB">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_Ref507948252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_Ref507948252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Non-parole period (NPP) or recognizance release order (RRO)?</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Matijevic [1997] FCA 992"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Price [2008] QCA 330" </w:instrText>
      </w:r>
      <w:r w:rsidRPr="00EB7F1E">
        <w:rPr>
          <w:rFonts w:asciiTheme="minorHAnsi" w:hAnsiTheme="minorHAnsi" w:cstheme="minorHAnsi"/>
        </w:rPr>
        <w:fldChar w:fldCharType="end"/>
      </w:r>
    </w:p>
  </w:footnote>
  <w:footnote w:id="580">
    <w:p w14:paraId="1D182DC7" w14:textId="5AAFC73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Matijevic</w:t>
      </w:r>
      <w:r w:rsidRPr="007809F4">
        <w:rPr>
          <w:rFonts w:asciiTheme="minorHAnsi" w:hAnsiTheme="minorHAnsi" w:cstheme="minorHAnsi"/>
        </w:rPr>
        <w:t xml:space="preserve"> [1997] FCA 992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Matijevic</w:instrText>
      </w:r>
      <w:r w:rsidRPr="007809F4">
        <w:rPr>
          <w:rFonts w:asciiTheme="minorHAnsi" w:hAnsiTheme="minorHAnsi" w:cstheme="minorHAnsi"/>
        </w:rPr>
        <w:instrText xml:space="preserve"> [1997] FCA 992" \s "R v Matijevic [1997] FCA 992"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Matijevic [1997] FCA 992"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Price [2008] QCA 330" </w:instrText>
      </w:r>
      <w:r w:rsidRPr="00EB7F1E">
        <w:rPr>
          <w:rFonts w:asciiTheme="minorHAnsi" w:hAnsiTheme="minorHAnsi" w:cstheme="minorHAnsi"/>
        </w:rPr>
        <w:fldChar w:fldCharType="end"/>
      </w:r>
    </w:p>
  </w:footnote>
  <w:footnote w:id="581">
    <w:p w14:paraId="33AB5DA0" w14:textId="4FF1432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DPP v Moroney </w:t>
      </w:r>
      <w:r w:rsidRPr="007809F4">
        <w:rPr>
          <w:rFonts w:asciiTheme="minorHAnsi" w:hAnsiTheme="minorHAnsi" w:cstheme="minorHAnsi"/>
        </w:rPr>
        <w:t>[2009] VSC 584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Moroney</w:instrText>
      </w:r>
      <w:r w:rsidRPr="007809F4">
        <w:rPr>
          <w:rFonts w:asciiTheme="minorHAnsi" w:hAnsiTheme="minorHAnsi" w:cstheme="minorHAnsi"/>
        </w:rPr>
        <w:instrText xml:space="preserve"> [2009] VSC 584" \s "DPP v Moroney [2009] VSC 584" \c 1 </w:instrText>
      </w:r>
      <w:r w:rsidRPr="00EB7F1E">
        <w:rPr>
          <w:rFonts w:asciiTheme="minorHAnsi" w:hAnsiTheme="minorHAnsi" w:cstheme="minorHAnsi"/>
        </w:rPr>
        <w:fldChar w:fldCharType="end"/>
      </w:r>
      <w:r w:rsidRPr="007809F4">
        <w:rPr>
          <w:rFonts w:asciiTheme="minorHAnsi" w:hAnsiTheme="minorHAnsi" w:cstheme="minorHAnsi"/>
        </w:rPr>
        <w:t xml:space="preserve">, [15]; </w:t>
      </w:r>
      <w:r w:rsidRPr="007809F4">
        <w:rPr>
          <w:rFonts w:asciiTheme="minorHAnsi" w:hAnsiTheme="minorHAnsi" w:cstheme="minorHAnsi"/>
          <w:i/>
        </w:rPr>
        <w:t>Morrison v Behrooz</w:t>
      </w:r>
      <w:r w:rsidRPr="007809F4">
        <w:rPr>
          <w:rFonts w:asciiTheme="minorHAnsi" w:hAnsiTheme="minorHAnsi" w:cstheme="minorHAnsi"/>
        </w:rPr>
        <w:t xml:space="preserve"> [2005] SASC 142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Morrison v Behrooz</w:instrText>
      </w:r>
      <w:r w:rsidRPr="007809F4">
        <w:rPr>
          <w:rFonts w:asciiTheme="minorHAnsi" w:hAnsiTheme="minorHAnsi" w:cstheme="minorHAnsi"/>
        </w:rPr>
        <w:instrText xml:space="preserve"> [2005] SASC 142" \s "Morrison v Behrooz [2005] SASC 142"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"Morrison v Behrooz (2005) 155 A Crim R 110" </w:instrText>
      </w:r>
      <w:r w:rsidRPr="00EB7F1E">
        <w:rPr>
          <w:rFonts w:asciiTheme="minorHAnsi" w:hAnsiTheme="minorHAnsi" w:cstheme="minorHAnsi"/>
        </w:rPr>
        <w:fldChar w:fldCharType="end"/>
      </w:r>
    </w:p>
  </w:footnote>
  <w:footnote w:id="582">
    <w:p w14:paraId="7DEAB1C0" w14:textId="238B7E4D" w:rsidR="00D44BCF" w:rsidRPr="007809F4" w:rsidRDefault="00D44BCF">
      <w:pPr>
        <w:pStyle w:val="FootnoteText"/>
        <w:ind w:left="426" w:hanging="426"/>
        <w:jc w:val="both"/>
        <w:rPr>
          <w:rFonts w:asciiTheme="minorHAnsi" w:hAnsiTheme="minorHAnsi" w:cstheme="minorHAnsi"/>
          <w: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An additional reference to the “cultural background” of the defendant was deleted from the list of factors to be taken into account under s 19B with effect from 12 December 2006: </w:t>
      </w:r>
      <w:r w:rsidRPr="007809F4">
        <w:rPr>
          <w:rFonts w:asciiTheme="minorHAnsi" w:hAnsiTheme="minorHAnsi" w:cstheme="minorHAnsi"/>
          <w:i/>
        </w:rPr>
        <w:t>Crimes Amendment (Bail and Sentencing) Act 2006</w:t>
      </w:r>
      <w:r w:rsidRPr="007809F4">
        <w:rPr>
          <w:rFonts w:asciiTheme="minorHAnsi" w:hAnsiTheme="minorHAnsi" w:cstheme="minorHAnsi"/>
        </w:rPr>
        <w:t xml:space="preserve"> (Cth). In addition, for offences committed on or after 13 December 2006, a sentencing court is precluded from taking into account any form of customary law or practice as a mitigating or aggravating factor.</w:t>
      </w:r>
    </w:p>
  </w:footnote>
  <w:footnote w:id="583">
    <w:p w14:paraId="6926D0CB" w14:textId="7470DA67" w:rsidR="00D44BCF" w:rsidRPr="007809F4" w:rsidRDefault="00D44BCF" w:rsidP="001F3D29">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Barany</w:t>
      </w:r>
      <w:r w:rsidRPr="007809F4">
        <w:rPr>
          <w:rFonts w:asciiTheme="minorHAnsi" w:hAnsiTheme="minorHAnsi" w:cstheme="minorHAnsi"/>
        </w:rPr>
        <w:t xml:space="preserve"> [2018] QCA 137</w:t>
      </w:r>
      <w:r w:rsidRPr="00EB7F1E">
        <w:rPr>
          <w:rFonts w:asciiTheme="minorHAnsi" w:hAnsiTheme="minorHAnsi" w:cstheme="minorHAnsi"/>
        </w:rPr>
        <w:fldChar w:fldCharType="begin"/>
      </w:r>
      <w:r w:rsidRPr="00EB7F1E">
        <w:rPr>
          <w:rFonts w:asciiTheme="minorHAnsi" w:hAnsiTheme="minorHAnsi" w:cstheme="minorHAnsi"/>
        </w:rPr>
        <w:instrText xml:space="preserve"> TA \s "R v Barany [2018] QCA 137" </w:instrText>
      </w:r>
      <w:r w:rsidRPr="00EB7F1E">
        <w:rPr>
          <w:rFonts w:asciiTheme="minorHAnsi" w:hAnsiTheme="minorHAnsi" w:cstheme="minorHAnsi"/>
        </w:rPr>
        <w:fldChar w:fldCharType="end"/>
      </w:r>
      <w:r w:rsidRPr="007809F4">
        <w:rPr>
          <w:rFonts w:asciiTheme="minorHAnsi" w:hAnsiTheme="minorHAnsi" w:cstheme="minorHAnsi"/>
        </w:rPr>
        <w:t>, [41].</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584">
    <w:p w14:paraId="7576E0DD" w14:textId="2450FBB2" w:rsidR="00D44BCF" w:rsidRPr="007809F4" w:rsidRDefault="00D44BCF" w:rsidP="002A1AF0">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Mansfield</w:t>
      </w:r>
      <w:r w:rsidRPr="007809F4">
        <w:rPr>
          <w:rFonts w:asciiTheme="minorHAnsi" w:hAnsiTheme="minorHAnsi" w:cstheme="minorHAnsi"/>
        </w:rPr>
        <w:t xml:space="preserve"> v </w:t>
      </w:r>
      <w:r w:rsidRPr="00EB7F1E">
        <w:rPr>
          <w:rFonts w:asciiTheme="minorHAnsi" w:hAnsiTheme="minorHAnsi" w:cstheme="minorHAnsi"/>
          <w:i/>
          <w:iCs/>
        </w:rPr>
        <w:t>Evans</w:t>
      </w:r>
      <w:r w:rsidRPr="00EB7F1E">
        <w:rPr>
          <w:rFonts w:asciiTheme="minorHAnsi" w:hAnsiTheme="minorHAnsi" w:cstheme="minorHAnsi"/>
        </w:rPr>
        <w:t xml:space="preserve"> [2003] WASCA 193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Mansfield</w:instrText>
      </w:r>
      <w:r w:rsidRPr="007809F4">
        <w:rPr>
          <w:rFonts w:asciiTheme="minorHAnsi" w:hAnsiTheme="minorHAnsi" w:cstheme="minorHAnsi"/>
        </w:rPr>
        <w:instrText xml:space="preserve"> v </w:instrText>
      </w:r>
      <w:r w:rsidRPr="00EB7F1E">
        <w:rPr>
          <w:rFonts w:asciiTheme="minorHAnsi" w:hAnsiTheme="minorHAnsi" w:cstheme="minorHAnsi"/>
          <w:i/>
          <w:iCs/>
        </w:rPr>
        <w:instrText>Evans</w:instrText>
      </w:r>
      <w:r w:rsidRPr="00EB7F1E">
        <w:rPr>
          <w:rFonts w:asciiTheme="minorHAnsi" w:hAnsiTheme="minorHAnsi" w:cstheme="minorHAnsi"/>
        </w:rPr>
        <w:instrText xml:space="preserve"> [2003] WASCA 193" \s "Mansfield v Evans [2003] WASCA 193" \c 1 </w:instrText>
      </w:r>
      <w:r w:rsidRPr="00EB7F1E">
        <w:rPr>
          <w:rFonts w:asciiTheme="minorHAnsi" w:hAnsiTheme="minorHAnsi" w:cstheme="minorHAnsi"/>
        </w:rPr>
        <w:fldChar w:fldCharType="end"/>
      </w:r>
      <w:r w:rsidRPr="007809F4">
        <w:rPr>
          <w:rFonts w:asciiTheme="minorHAnsi" w:hAnsiTheme="minorHAnsi" w:cstheme="minorHAnsi"/>
        </w:rPr>
        <w:t>, [20]</w:t>
      </w:r>
      <w:r w:rsidRPr="00EB7F1E">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"Morrison v Behrooz (2005) 155 A Crim R 110" </w:instrText>
      </w:r>
      <w:r w:rsidRPr="00EB7F1E">
        <w:rPr>
          <w:rFonts w:asciiTheme="minorHAnsi" w:hAnsiTheme="minorHAnsi" w:cstheme="minorHAnsi"/>
        </w:rPr>
        <w:fldChar w:fldCharType="end"/>
      </w:r>
    </w:p>
  </w:footnote>
  <w:footnote w:id="585">
    <w:p w14:paraId="73FA29AC" w14:textId="7449D19A" w:rsidR="00D44BCF" w:rsidRPr="007809F4" w:rsidRDefault="00D44BCF" w:rsidP="00162A16">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Mansfield</w:t>
      </w:r>
      <w:r w:rsidRPr="007809F4">
        <w:rPr>
          <w:rFonts w:asciiTheme="minorHAnsi" w:hAnsiTheme="minorHAnsi" w:cstheme="minorHAnsi"/>
        </w:rPr>
        <w:t xml:space="preserve"> v </w:t>
      </w:r>
      <w:r w:rsidRPr="00EB7F1E">
        <w:rPr>
          <w:rFonts w:asciiTheme="minorHAnsi" w:hAnsiTheme="minorHAnsi" w:cstheme="minorHAnsi"/>
          <w:i/>
          <w:iCs/>
        </w:rPr>
        <w:t>Evans</w:t>
      </w:r>
      <w:r w:rsidRPr="00EB7F1E">
        <w:rPr>
          <w:rFonts w:asciiTheme="minorHAnsi" w:hAnsiTheme="minorHAnsi" w:cstheme="minorHAnsi"/>
        </w:rPr>
        <w:t xml:space="preserve"> [2003] WASCA 193</w:t>
      </w:r>
      <w:r w:rsidRPr="00EB7F1E">
        <w:rPr>
          <w:rFonts w:asciiTheme="minorHAnsi" w:hAnsiTheme="minorHAnsi" w:cstheme="minorHAnsi"/>
        </w:rPr>
        <w:fldChar w:fldCharType="begin"/>
      </w:r>
      <w:r w:rsidRPr="00EB7F1E">
        <w:rPr>
          <w:rFonts w:asciiTheme="minorHAnsi" w:hAnsiTheme="minorHAnsi" w:cstheme="minorHAnsi"/>
        </w:rPr>
        <w:instrText xml:space="preserve"> TA \s "Mansfield v Evans [2003] WASCA 193" </w:instrText>
      </w:r>
      <w:r w:rsidRPr="00EB7F1E">
        <w:rPr>
          <w:rFonts w:asciiTheme="minorHAnsi" w:hAnsiTheme="minorHAnsi" w:cstheme="minorHAnsi"/>
        </w:rPr>
        <w:fldChar w:fldCharType="end"/>
      </w:r>
      <w:r w:rsidRPr="00EB7F1E">
        <w:rPr>
          <w:rFonts w:asciiTheme="minorHAnsi" w:hAnsiTheme="minorHAnsi" w:cstheme="minorHAnsi"/>
        </w:rPr>
        <w:t>, [20].</w:t>
      </w:r>
      <w:r w:rsidRPr="00EB7F1E">
        <w:rPr>
          <w:rFonts w:asciiTheme="minorHAnsi" w:hAnsiTheme="minorHAnsi" w:cstheme="minorHAnsi"/>
        </w:rPr>
        <w:fldChar w:fldCharType="begin"/>
      </w:r>
      <w:r w:rsidRPr="007809F4">
        <w:rPr>
          <w:rFonts w:asciiTheme="minorHAnsi" w:hAnsiTheme="minorHAnsi" w:cstheme="minorHAnsi"/>
        </w:rPr>
        <w:instrText xml:space="preserve">  "Morrison v Behrooz (2005) 155 A Crim R 110" </w:instrText>
      </w:r>
      <w:r w:rsidRPr="00EB7F1E">
        <w:rPr>
          <w:rFonts w:asciiTheme="minorHAnsi" w:hAnsiTheme="minorHAnsi" w:cstheme="minorHAnsi"/>
        </w:rPr>
        <w:fldChar w:fldCharType="end"/>
      </w:r>
    </w:p>
  </w:footnote>
  <w:footnote w:id="586">
    <w:p w14:paraId="25D0F083" w14:textId="4758886C" w:rsidR="00D44BCF" w:rsidRPr="007809F4" w:rsidRDefault="00D44BCF" w:rsidP="005443EC">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xml:space="preserve">, [12]-[13].  The NSW counterpart of s 19B is s 10 of the </w:t>
      </w:r>
      <w:r w:rsidRPr="00EB7F1E">
        <w:rPr>
          <w:rFonts w:asciiTheme="minorHAnsi" w:hAnsiTheme="minorHAnsi" w:cstheme="minorHAnsi"/>
          <w:i/>
          <w:iCs/>
        </w:rPr>
        <w:t>Crimes (Sentencing Procedure) Act 1999</w:t>
      </w:r>
      <w:r w:rsidRPr="007809F4">
        <w:rPr>
          <w:rFonts w:asciiTheme="minorHAnsi" w:hAnsiTheme="minorHAnsi" w:cstheme="minorHAnsi"/>
        </w:rPr>
        <w:t xml:space="preserve"> (NSW).</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587">
    <w:p w14:paraId="5D77A4B8" w14:textId="1C7552D3" w:rsidR="00D44BCF" w:rsidRPr="007809F4" w:rsidRDefault="00D44BCF" w:rsidP="00691960">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 xml:space="preserve">Cobiac v Liddy </w:t>
      </w:r>
      <w:r w:rsidRPr="00EB7F1E">
        <w:rPr>
          <w:rStyle w:val="ssleftalign"/>
          <w:rFonts w:asciiTheme="minorHAnsi" w:hAnsiTheme="minorHAnsi" w:cstheme="minorHAnsi"/>
        </w:rPr>
        <w:t>(1969) 119 CLR 257, 276 (Windeyer J).</w:t>
      </w:r>
      <w:r w:rsidRPr="007809F4">
        <w:rPr>
          <w:rStyle w:val="ssleftalign"/>
          <w:rFonts w:asciiTheme="minorHAnsi" w:hAnsiTheme="minorHAnsi" w:cstheme="minorHAnsi"/>
        </w:rPr>
        <w:t xml:space="preserve">  Cf. </w:t>
      </w:r>
      <w:r w:rsidRPr="007809F4">
        <w:rPr>
          <w:rFonts w:asciiTheme="minorHAnsi" w:hAnsiTheme="minorHAnsi" w:cstheme="minorHAnsi"/>
          <w:i/>
          <w:iCs/>
        </w:rPr>
        <w:t>Guerrero</w:t>
      </w:r>
      <w:r w:rsidRPr="007809F4">
        <w:rPr>
          <w:rFonts w:asciiTheme="minorHAnsi" w:hAnsiTheme="minorHAnsi" w:cstheme="minorHAnsi"/>
        </w:rPr>
        <w:t xml:space="preserve"> v </w:t>
      </w:r>
      <w:r w:rsidRPr="00EB7F1E">
        <w:rPr>
          <w:rFonts w:asciiTheme="minorHAnsi" w:hAnsiTheme="minorHAnsi" w:cstheme="minorHAnsi"/>
          <w:i/>
          <w:iCs/>
        </w:rPr>
        <w:t>Dickson</w:t>
      </w:r>
      <w:r w:rsidRPr="00EB7F1E">
        <w:rPr>
          <w:rFonts w:asciiTheme="minorHAnsi" w:hAnsiTheme="minorHAnsi" w:cstheme="minorHAnsi"/>
        </w:rPr>
        <w:t xml:space="preserve"> [2013] WASC 246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Guerrero</w:instrText>
      </w:r>
      <w:r w:rsidRPr="007809F4">
        <w:rPr>
          <w:rFonts w:asciiTheme="minorHAnsi" w:hAnsiTheme="minorHAnsi" w:cstheme="minorHAnsi"/>
        </w:rPr>
        <w:instrText xml:space="preserve"> v </w:instrText>
      </w:r>
      <w:r w:rsidRPr="00EB7F1E">
        <w:rPr>
          <w:rFonts w:asciiTheme="minorHAnsi" w:hAnsiTheme="minorHAnsi" w:cstheme="minorHAnsi"/>
          <w:i/>
          <w:iCs/>
        </w:rPr>
        <w:instrText>Dickson</w:instrText>
      </w:r>
      <w:r w:rsidRPr="00EB7F1E">
        <w:rPr>
          <w:rFonts w:asciiTheme="minorHAnsi" w:hAnsiTheme="minorHAnsi" w:cstheme="minorHAnsi"/>
        </w:rPr>
        <w:instrText xml:space="preserve"> [2013] WASC 246" \s "Guerrero v Dickson [2013] WASC 246" \c 1 </w:instrText>
      </w:r>
      <w:r w:rsidRPr="00EB7F1E">
        <w:rPr>
          <w:rFonts w:asciiTheme="minorHAnsi" w:hAnsiTheme="minorHAnsi" w:cstheme="minorHAnsi"/>
        </w:rPr>
        <w:fldChar w:fldCharType="end"/>
      </w:r>
      <w:r w:rsidRPr="007809F4">
        <w:rPr>
          <w:rFonts w:asciiTheme="minorHAnsi" w:hAnsiTheme="minorHAnsi" w:cstheme="minorHAnsi"/>
        </w:rPr>
        <w:t>, [3</w:t>
      </w:r>
      <w:r w:rsidRPr="00EB7F1E">
        <w:rPr>
          <w:rFonts w:asciiTheme="minorHAnsi" w:hAnsiTheme="minorHAnsi" w:cstheme="minorHAnsi"/>
        </w:rPr>
        <w:t xml:space="preserve">2]-[25]; </w:t>
      </w:r>
      <w:r w:rsidRPr="007809F4">
        <w:rPr>
          <w:rFonts w:asciiTheme="minorHAnsi" w:hAnsiTheme="minorHAnsi" w:cstheme="minorHAnsi"/>
          <w:i/>
        </w:rPr>
        <w:t>DPP (Cth) v Ede</w:t>
      </w:r>
      <w:r w:rsidRPr="007809F4">
        <w:rPr>
          <w:rFonts w:asciiTheme="minorHAnsi" w:hAnsiTheme="minorHAnsi" w:cstheme="minorHAnsi"/>
        </w:rPr>
        <w:t xml:space="preserve"> [2014] NSWCA 282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(Cth) v Ede</w:instrText>
      </w:r>
      <w:r w:rsidRPr="007809F4">
        <w:rPr>
          <w:rFonts w:asciiTheme="minorHAnsi" w:hAnsiTheme="minorHAnsi" w:cstheme="minorHAnsi"/>
        </w:rPr>
        <w:instrText xml:space="preserve"> [2014] NSWCA 282" \s "DPP (Cth) v Ede [2014] NSWCA 282" \c 1 </w:instrText>
      </w:r>
      <w:r w:rsidRPr="00EB7F1E">
        <w:rPr>
          <w:rFonts w:asciiTheme="minorHAnsi" w:hAnsiTheme="minorHAnsi" w:cstheme="minorHAnsi"/>
        </w:rPr>
        <w:fldChar w:fldCharType="end"/>
      </w:r>
      <w:r w:rsidRPr="007809F4">
        <w:rPr>
          <w:rFonts w:asciiTheme="minorHAnsi" w:hAnsiTheme="minorHAnsi" w:cstheme="minorHAnsi"/>
        </w:rPr>
        <w:t xml:space="preserve">, [27]; </w:t>
      </w:r>
      <w:r w:rsidRPr="007809F4">
        <w:rPr>
          <w:rFonts w:asciiTheme="minorHAnsi" w:hAnsiTheme="minorHAnsi" w:cstheme="minorHAnsi"/>
          <w:i/>
        </w:rPr>
        <w:t>R v Barany</w:t>
      </w:r>
      <w:r w:rsidRPr="007809F4">
        <w:rPr>
          <w:rFonts w:asciiTheme="minorHAnsi" w:hAnsiTheme="minorHAnsi" w:cstheme="minorHAnsi"/>
        </w:rPr>
        <w:t xml:space="preserve"> [2018] QCA 137</w:t>
      </w:r>
      <w:r w:rsidRPr="00EB7F1E">
        <w:rPr>
          <w:rFonts w:asciiTheme="minorHAnsi" w:hAnsiTheme="minorHAnsi" w:cstheme="minorHAnsi"/>
        </w:rPr>
        <w:fldChar w:fldCharType="begin"/>
      </w:r>
      <w:r w:rsidRPr="007809F4">
        <w:rPr>
          <w:rFonts w:asciiTheme="minorHAnsi" w:hAnsiTheme="minorHAnsi" w:cstheme="minorHAnsi"/>
        </w:rPr>
        <w:instrText xml:space="preserve"> TA \s "R v Barany [2018] QCA 137" </w:instrText>
      </w:r>
      <w:r w:rsidRPr="00EB7F1E">
        <w:rPr>
          <w:rFonts w:asciiTheme="minorHAnsi" w:hAnsiTheme="minorHAnsi" w:cstheme="minorHAnsi"/>
        </w:rPr>
        <w:fldChar w:fldCharType="end"/>
      </w:r>
      <w:r w:rsidRPr="007809F4">
        <w:rPr>
          <w:rFonts w:asciiTheme="minorHAnsi" w:hAnsiTheme="minorHAnsi" w:cstheme="minorHAnsi"/>
        </w:rPr>
        <w:t>, [38]-[46].</w:t>
      </w:r>
      <w:r w:rsidRPr="00EB7F1E">
        <w:rPr>
          <w:rFonts w:asciiTheme="minorHAnsi" w:hAnsiTheme="minorHAnsi" w:cstheme="minorHAnsi"/>
        </w:rPr>
        <w:fldChar w:fldCharType="begin"/>
      </w:r>
      <w:r w:rsidRPr="007809F4">
        <w:rPr>
          <w:rFonts w:asciiTheme="minorHAnsi" w:hAnsiTheme="minorHAnsi" w:cstheme="minorHAnsi"/>
        </w:rPr>
        <w:instrText xml:space="preserve">  "Morrison v Behrooz (2005) 155 A Crim R 110" </w:instrText>
      </w:r>
      <w:r w:rsidRPr="00EB7F1E">
        <w:rPr>
          <w:rFonts w:asciiTheme="minorHAnsi" w:hAnsiTheme="minorHAnsi" w:cstheme="minorHAnsi"/>
        </w:rPr>
        <w:fldChar w:fldCharType="end"/>
      </w:r>
    </w:p>
  </w:footnote>
  <w:footnote w:id="588">
    <w:p w14:paraId="7CD39072" w14:textId="77777777" w:rsidR="00D44BCF" w:rsidRPr="007809F4" w:rsidRDefault="00D44BCF" w:rsidP="001639CA">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[15].</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589">
    <w:p w14:paraId="37DA0B71" w14:textId="7764A197" w:rsidR="00D44BCF" w:rsidRPr="007809F4" w:rsidRDefault="00D44BCF" w:rsidP="00552A41">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[15]-[29].</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590">
    <w:p w14:paraId="772667FD" w14:textId="06B7A88C" w:rsidR="00D44BCF" w:rsidRPr="007809F4" w:rsidRDefault="00D44BCF" w:rsidP="00F91029">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[38].</w:t>
      </w:r>
      <w:r w:rsidRPr="00EB7F1E">
        <w:rPr>
          <w:rFonts w:asciiTheme="minorHAnsi" w:hAnsiTheme="minorHAnsi" w:cstheme="minorHAnsi"/>
        </w:rPr>
        <w:fldChar w:fldCharType="begin"/>
      </w:r>
      <w:r w:rsidRPr="007809F4">
        <w:rPr>
          <w:rFonts w:asciiTheme="minorHAnsi" w:hAnsiTheme="minorHAnsi" w:cstheme="minorHAnsi"/>
        </w:rPr>
        <w:instrText xml:space="preserve">  "R v McInerney (1986) 42 SASR 111" </w:instrText>
      </w:r>
      <w:r w:rsidRPr="00EB7F1E">
        <w:rPr>
          <w:rFonts w:asciiTheme="minorHAnsi" w:hAnsiTheme="minorHAnsi" w:cstheme="minorHAnsi"/>
        </w:rPr>
        <w:fldChar w:fldCharType="end"/>
      </w:r>
    </w:p>
  </w:footnote>
  <w:footnote w:id="591">
    <w:p w14:paraId="0B69921A" w14:textId="40249DD9" w:rsidR="00D44BCF" w:rsidRPr="007809F4" w:rsidRDefault="00D44BCF" w:rsidP="00D428AC">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Matta v ACCC</w:t>
      </w:r>
      <w:r w:rsidRPr="007809F4">
        <w:rPr>
          <w:rFonts w:asciiTheme="minorHAnsi" w:hAnsiTheme="minorHAnsi" w:cstheme="minorHAnsi"/>
        </w:rPr>
        <w:t xml:space="preserve"> [2000] FCA 729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Matta v ACCC</w:instrText>
      </w:r>
      <w:r w:rsidRPr="007809F4">
        <w:rPr>
          <w:rFonts w:asciiTheme="minorHAnsi" w:hAnsiTheme="minorHAnsi" w:cstheme="minorHAnsi"/>
        </w:rPr>
        <w:instrText xml:space="preserve"> [2000] FCA 729" \s "Matta v ACCC [2000] FCA 729"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"Matta v ACCC [2000] FCA 729" </w:instrText>
      </w:r>
      <w:r w:rsidRPr="00EB7F1E">
        <w:rPr>
          <w:rFonts w:asciiTheme="minorHAnsi" w:hAnsiTheme="minorHAnsi" w:cstheme="minorHAnsi"/>
        </w:rPr>
        <w:fldChar w:fldCharType="end"/>
      </w:r>
      <w:r w:rsidRPr="007809F4">
        <w:rPr>
          <w:rFonts w:asciiTheme="minorHAnsi" w:hAnsiTheme="minorHAnsi" w:cstheme="minorHAnsi"/>
        </w:rPr>
        <w:t xml:space="preserve">, [3]; </w:t>
      </w:r>
      <w:r w:rsidRPr="007809F4">
        <w:rPr>
          <w:rFonts w:asciiTheme="minorHAnsi" w:hAnsiTheme="minorHAnsi" w:cstheme="minorHAnsi"/>
          <w:i/>
        </w:rPr>
        <w:t>R v Hooper</w:t>
      </w:r>
      <w:r w:rsidRPr="007809F4">
        <w:rPr>
          <w:rFonts w:asciiTheme="minorHAnsi" w:hAnsiTheme="minorHAnsi" w:cstheme="minorHAnsi"/>
        </w:rPr>
        <w:t xml:space="preserve"> [2008] QCA 308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Hooper</w:instrText>
      </w:r>
      <w:r w:rsidRPr="007809F4">
        <w:rPr>
          <w:rFonts w:asciiTheme="minorHAnsi" w:hAnsiTheme="minorHAnsi" w:cstheme="minorHAnsi"/>
        </w:rPr>
        <w:instrText xml:space="preserve"> [2008] QCA 308" \s "R v Hooper [2008] QCA 308"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Hooper [2008] QCA 308" </w:instrText>
      </w:r>
      <w:r w:rsidRPr="00EB7F1E">
        <w:rPr>
          <w:rFonts w:asciiTheme="minorHAnsi" w:hAnsiTheme="minorHAnsi" w:cstheme="minorHAnsi"/>
        </w:rPr>
        <w:fldChar w:fldCharType="end"/>
      </w:r>
      <w:r w:rsidRPr="007809F4">
        <w:rPr>
          <w:rFonts w:asciiTheme="minorHAnsi" w:hAnsiTheme="minorHAnsi" w:cstheme="minorHAnsi"/>
        </w:rPr>
        <w:t xml:space="preserve">, [27]; </w:t>
      </w:r>
      <w:r w:rsidRPr="007809F4">
        <w:rPr>
          <w:rFonts w:asciiTheme="minorHAnsi" w:hAnsiTheme="minorHAnsi" w:cstheme="minorHAnsi"/>
          <w:i/>
        </w:rPr>
        <w:t>R v Weller</w:t>
      </w:r>
      <w:r w:rsidRPr="007809F4">
        <w:rPr>
          <w:rFonts w:asciiTheme="minorHAnsi" w:hAnsiTheme="minorHAnsi" w:cstheme="minorHAnsi"/>
        </w:rPr>
        <w:t xml:space="preserve"> (1988) 37 A Crim R 349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Weller</w:instrText>
      </w:r>
      <w:r w:rsidRPr="007809F4">
        <w:rPr>
          <w:rFonts w:asciiTheme="minorHAnsi" w:hAnsiTheme="minorHAnsi" w:cstheme="minorHAnsi"/>
        </w:rPr>
        <w:instrText xml:space="preserve"> (1988) 37 A Crim R 349" \s "R v Weller (1988) 37 A Crim R 349"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Weller (1988) 37 A Crim R 349" </w:instrText>
      </w:r>
      <w:r w:rsidRPr="00EB7F1E">
        <w:rPr>
          <w:rFonts w:asciiTheme="minorHAnsi" w:hAnsiTheme="minorHAnsi" w:cstheme="minorHAnsi"/>
        </w:rPr>
        <w:fldChar w:fldCharType="end"/>
      </w:r>
      <w:r w:rsidRPr="007809F4">
        <w:rPr>
          <w:rFonts w:asciiTheme="minorHAnsi" w:hAnsiTheme="minorHAnsi" w:cstheme="minorHAnsi"/>
        </w:rPr>
        <w:t xml:space="preserve">, 350, 355-356; </w:t>
      </w:r>
      <w:r w:rsidRPr="007809F4">
        <w:rPr>
          <w:rFonts w:asciiTheme="minorHAnsi" w:hAnsiTheme="minorHAnsi" w:cstheme="minorHAnsi"/>
          <w:i/>
        </w:rPr>
        <w:t>Uznanski v Searle</w:t>
      </w:r>
      <w:r w:rsidRPr="007809F4">
        <w:rPr>
          <w:rFonts w:asciiTheme="minorHAnsi" w:hAnsiTheme="minorHAnsi" w:cstheme="minorHAnsi"/>
        </w:rPr>
        <w:t xml:space="preserve"> (1981) 26 SASR 388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Uznanski v Searle</w:instrText>
      </w:r>
      <w:r w:rsidRPr="007809F4">
        <w:rPr>
          <w:rFonts w:asciiTheme="minorHAnsi" w:hAnsiTheme="minorHAnsi" w:cstheme="minorHAnsi"/>
        </w:rPr>
        <w:instrText xml:space="preserve"> (1981) 26 SASR 388" \s "Uznanski v Searle (1981) 26 SASR 388"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"Uznanski v Searle (1981) 26 SASR 388" </w:instrText>
      </w:r>
      <w:r w:rsidRPr="00EB7F1E">
        <w:rPr>
          <w:rFonts w:asciiTheme="minorHAnsi" w:hAnsiTheme="minorHAnsi" w:cstheme="minorHAnsi"/>
        </w:rPr>
        <w:fldChar w:fldCharType="end"/>
      </w:r>
      <w:r w:rsidRPr="007809F4">
        <w:rPr>
          <w:rFonts w:asciiTheme="minorHAnsi" w:hAnsiTheme="minorHAnsi" w:cstheme="minorHAnsi"/>
        </w:rPr>
        <w:t xml:space="preserve">, 394 and </w:t>
      </w:r>
      <w:r w:rsidRPr="007809F4">
        <w:rPr>
          <w:rFonts w:asciiTheme="minorHAnsi" w:hAnsiTheme="minorHAnsi" w:cstheme="minorHAnsi"/>
          <w:i/>
        </w:rPr>
        <w:t>Stark v Plant</w:t>
      </w:r>
      <w:r w:rsidRPr="007809F4">
        <w:rPr>
          <w:rFonts w:asciiTheme="minorHAnsi" w:hAnsiTheme="minorHAnsi" w:cstheme="minorHAnsi"/>
        </w:rPr>
        <w:t xml:space="preserve"> [2010] WASCA 74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Stark v Plant</w:instrText>
      </w:r>
      <w:r w:rsidRPr="007809F4">
        <w:rPr>
          <w:rFonts w:asciiTheme="minorHAnsi" w:hAnsiTheme="minorHAnsi" w:cstheme="minorHAnsi"/>
        </w:rPr>
        <w:instrText xml:space="preserve"> [2010] WASCA 74" \s "Stark v Plant [2010] WASCA 74" \c 1 </w:instrText>
      </w:r>
      <w:r w:rsidRPr="00EB7F1E">
        <w:rPr>
          <w:rFonts w:asciiTheme="minorHAnsi" w:hAnsiTheme="minorHAnsi" w:cstheme="minorHAnsi"/>
        </w:rPr>
        <w:fldChar w:fldCharType="end"/>
      </w:r>
      <w:r w:rsidRPr="007809F4">
        <w:rPr>
          <w:rFonts w:asciiTheme="minorHAnsi" w:hAnsiTheme="minorHAnsi" w:cstheme="minorHAnsi"/>
        </w:rPr>
        <w:t xml:space="preserve">.  See </w:t>
      </w:r>
      <w:r w:rsidRPr="007809F4">
        <w:rPr>
          <w:rFonts w:asciiTheme="minorHAnsi" w:hAnsiTheme="minorHAnsi" w:cstheme="minorHAnsi"/>
          <w:i/>
          <w:iCs/>
        </w:rPr>
        <w:t>Guerrero</w:t>
      </w:r>
      <w:r w:rsidRPr="007809F4">
        <w:rPr>
          <w:rFonts w:asciiTheme="minorHAnsi" w:hAnsiTheme="minorHAnsi" w:cstheme="minorHAnsi"/>
        </w:rPr>
        <w:t xml:space="preserve"> v </w:t>
      </w:r>
      <w:r w:rsidRPr="00EB7F1E">
        <w:rPr>
          <w:rFonts w:asciiTheme="minorHAnsi" w:hAnsiTheme="minorHAnsi" w:cstheme="minorHAnsi"/>
          <w:i/>
          <w:iCs/>
        </w:rPr>
        <w:t>Dickson</w:t>
      </w:r>
      <w:r w:rsidRPr="00EB7F1E">
        <w:rPr>
          <w:rFonts w:asciiTheme="minorHAnsi" w:hAnsiTheme="minorHAnsi" w:cstheme="minorHAnsi"/>
        </w:rPr>
        <w:t xml:space="preserve"> [2013] WASC 246</w:t>
      </w:r>
      <w:r w:rsidRPr="00EB7F1E">
        <w:rPr>
          <w:rFonts w:asciiTheme="minorHAnsi" w:hAnsiTheme="minorHAnsi" w:cstheme="minorHAnsi"/>
        </w:rPr>
        <w:fldChar w:fldCharType="begin"/>
      </w:r>
      <w:r w:rsidRPr="00EB7F1E">
        <w:rPr>
          <w:rFonts w:asciiTheme="minorHAnsi" w:hAnsiTheme="minorHAnsi" w:cstheme="minorHAnsi"/>
        </w:rPr>
        <w:instrText xml:space="preserve"> TA \s "Guerrero v Dickson [2013] WASC 246" </w:instrText>
      </w:r>
      <w:r w:rsidRPr="00EB7F1E">
        <w:rPr>
          <w:rFonts w:asciiTheme="minorHAnsi" w:hAnsiTheme="minorHAnsi" w:cstheme="minorHAnsi"/>
        </w:rPr>
        <w:fldChar w:fldCharType="end"/>
      </w:r>
      <w:r w:rsidRPr="007809F4">
        <w:rPr>
          <w:rFonts w:asciiTheme="minorHAnsi" w:hAnsiTheme="minorHAnsi" w:cstheme="minorHAnsi"/>
        </w:rPr>
        <w:t>, [31], where relevant author</w:t>
      </w:r>
      <w:r w:rsidRPr="00EB7F1E">
        <w:rPr>
          <w:rFonts w:asciiTheme="minorHAnsi" w:hAnsiTheme="minorHAnsi" w:cstheme="minorHAnsi"/>
        </w:rPr>
        <w:t>ities are collected.</w:t>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"Stark v Plant [2010] WASCA 74" </w:instrText>
      </w:r>
      <w:r w:rsidRPr="00EB7F1E">
        <w:rPr>
          <w:rFonts w:asciiTheme="minorHAnsi" w:hAnsiTheme="minorHAnsi" w:cstheme="minorHAnsi"/>
        </w:rPr>
        <w:fldChar w:fldCharType="end"/>
      </w:r>
    </w:p>
  </w:footnote>
  <w:footnote w:id="592">
    <w:p w14:paraId="67E037B1" w14:textId="6328F76C" w:rsidR="00D44BCF" w:rsidRPr="007809F4" w:rsidRDefault="00D44BCF" w:rsidP="0092156B">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 xml:space="preserve">Commissioner of Taxation v </w:t>
      </w:r>
      <w:r w:rsidRPr="007809F4">
        <w:rPr>
          <w:rFonts w:asciiTheme="minorHAnsi" w:hAnsiTheme="minorHAnsi" w:cstheme="minorHAnsi"/>
          <w:i/>
        </w:rPr>
        <w:t>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xml:space="preserve"> [72]; </w:t>
      </w:r>
      <w:r w:rsidRPr="007809F4">
        <w:rPr>
          <w:rFonts w:asciiTheme="minorHAnsi" w:hAnsiTheme="minorHAnsi" w:cstheme="minorHAnsi"/>
          <w:i/>
        </w:rPr>
        <w:t>DPP v Moroney</w:t>
      </w:r>
      <w:r w:rsidRPr="007809F4">
        <w:rPr>
          <w:rFonts w:asciiTheme="minorHAnsi" w:hAnsiTheme="minorHAnsi" w:cstheme="minorHAnsi"/>
          <w:b/>
          <w:i/>
        </w:rPr>
        <w:t xml:space="preserve"> </w:t>
      </w:r>
      <w:r w:rsidRPr="007809F4">
        <w:rPr>
          <w:rFonts w:asciiTheme="minorHAnsi" w:hAnsiTheme="minorHAnsi" w:cstheme="minorHAnsi"/>
        </w:rPr>
        <w:t>[2009] VSC 584</w:t>
      </w:r>
      <w:r w:rsidRPr="00EB7F1E">
        <w:rPr>
          <w:rFonts w:asciiTheme="minorHAnsi" w:hAnsiTheme="minorHAnsi" w:cstheme="minorHAnsi"/>
        </w:rPr>
        <w:fldChar w:fldCharType="begin"/>
      </w:r>
      <w:r w:rsidRPr="007809F4">
        <w:rPr>
          <w:rFonts w:asciiTheme="minorHAnsi" w:hAnsiTheme="minorHAnsi" w:cstheme="minorHAnsi"/>
        </w:rPr>
        <w:instrText xml:space="preserve"> TA \s "DPP v Moroney [2009] VSC 584"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593">
    <w:p w14:paraId="34B8C450" w14:textId="77777777" w:rsidR="00D44BCF" w:rsidRPr="007809F4" w:rsidRDefault="00D44BCF" w:rsidP="0092156B">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Commissioner of Taxation v Baffsky</w:t>
      </w:r>
      <w:r w:rsidRPr="007809F4">
        <w:rPr>
          <w:rFonts w:asciiTheme="minorHAnsi" w:hAnsiTheme="minorHAnsi" w:cstheme="minorHAnsi"/>
        </w:rPr>
        <w:t xml:space="preserve"> [2001] NSWCCA 332</w:t>
      </w:r>
      <w:r w:rsidRPr="00EB7F1E">
        <w:rPr>
          <w:rFonts w:asciiTheme="minorHAnsi" w:hAnsiTheme="minorHAnsi" w:cstheme="minorHAnsi"/>
        </w:rPr>
        <w:fldChar w:fldCharType="begin"/>
      </w:r>
      <w:r w:rsidRPr="007809F4">
        <w:rPr>
          <w:rFonts w:asciiTheme="minorHAnsi" w:hAnsiTheme="minorHAnsi" w:cstheme="minorHAnsi"/>
        </w:rPr>
        <w:instrText xml:space="preserve"> TA \s "Commissioner of Taxation v Baffsky [2001] NSWCCA 332" </w:instrText>
      </w:r>
      <w:r w:rsidRPr="00EB7F1E">
        <w:rPr>
          <w:rFonts w:asciiTheme="minorHAnsi" w:hAnsiTheme="minorHAnsi" w:cstheme="minorHAnsi"/>
        </w:rPr>
        <w:fldChar w:fldCharType="end"/>
      </w:r>
      <w:r w:rsidRPr="007809F4">
        <w:rPr>
          <w:rFonts w:asciiTheme="minorHAnsi" w:hAnsiTheme="minorHAnsi" w:cstheme="minorHAnsi"/>
        </w:rPr>
        <w:t>, [70]-[77].</w:t>
      </w:r>
      <w:r w:rsidRPr="00EB7F1E">
        <w:rPr>
          <w:rFonts w:asciiTheme="minorHAnsi" w:hAnsiTheme="minorHAnsi" w:cstheme="minorHAnsi"/>
        </w:rPr>
        <w:fldChar w:fldCharType="begin"/>
      </w:r>
      <w:r w:rsidRPr="007809F4">
        <w:rPr>
          <w:rFonts w:asciiTheme="minorHAnsi" w:hAnsiTheme="minorHAnsi" w:cstheme="minorHAnsi"/>
        </w:rPr>
        <w:instrText xml:space="preserve">  "Stark v Plant [2010] WASCA 74" </w:instrText>
      </w:r>
      <w:r w:rsidRPr="00EB7F1E">
        <w:rPr>
          <w:rFonts w:asciiTheme="minorHAnsi" w:hAnsiTheme="minorHAnsi" w:cstheme="minorHAnsi"/>
        </w:rPr>
        <w:fldChar w:fldCharType="end"/>
      </w:r>
    </w:p>
  </w:footnote>
  <w:footnote w:id="594">
    <w:p w14:paraId="2FE615E9" w14:textId="1907A122" w:rsidR="00D44BCF" w:rsidRPr="007809F4" w:rsidRDefault="00D44BCF" w:rsidP="00A73679">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Matta v ACCC</w:t>
      </w:r>
      <w:r w:rsidRPr="007809F4">
        <w:rPr>
          <w:rFonts w:asciiTheme="minorHAnsi" w:hAnsiTheme="minorHAnsi" w:cstheme="minorHAnsi"/>
        </w:rPr>
        <w:t xml:space="preserve"> [2000] FCA 729</w:t>
      </w:r>
      <w:r w:rsidRPr="00EB7F1E">
        <w:rPr>
          <w:rFonts w:asciiTheme="minorHAnsi" w:hAnsiTheme="minorHAnsi" w:cstheme="minorHAnsi"/>
        </w:rPr>
        <w:fldChar w:fldCharType="begin"/>
      </w:r>
      <w:r w:rsidRPr="007809F4">
        <w:rPr>
          <w:rFonts w:asciiTheme="minorHAnsi" w:hAnsiTheme="minorHAnsi" w:cstheme="minorHAnsi"/>
        </w:rPr>
        <w:instrText xml:space="preserve"> TA \s "Matta v ACCC [2000] FCA 729"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"Matta v ACCC [2000] FCA 729"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Moreland v Snowdon</w:t>
      </w:r>
      <w:r w:rsidRPr="007809F4">
        <w:rPr>
          <w:rFonts w:asciiTheme="minorHAnsi" w:hAnsiTheme="minorHAnsi" w:cstheme="minorHAnsi"/>
        </w:rPr>
        <w:t xml:space="preserve"> [2007] WASC 137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Moreland v Snowdon</w:instrText>
      </w:r>
      <w:r w:rsidRPr="007809F4">
        <w:rPr>
          <w:rFonts w:asciiTheme="minorHAnsi" w:hAnsiTheme="minorHAnsi" w:cstheme="minorHAnsi"/>
        </w:rPr>
        <w:instrText xml:space="preserve"> [2007] WASC 137" \s "Moreland v Snowdon [2007] WASC 137"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"Moreland v Snowdon [2007] WASC 137" </w:instrText>
      </w:r>
      <w:r w:rsidRPr="00EB7F1E">
        <w:rPr>
          <w:rFonts w:asciiTheme="minorHAnsi" w:hAnsiTheme="minorHAnsi" w:cstheme="minorHAnsi"/>
        </w:rPr>
        <w:fldChar w:fldCharType="end"/>
      </w:r>
      <w:r w:rsidRPr="007809F4">
        <w:rPr>
          <w:rFonts w:asciiTheme="minorHAnsi" w:hAnsiTheme="minorHAnsi" w:cstheme="minorHAnsi"/>
        </w:rPr>
        <w:t>, [46].</w:t>
      </w:r>
    </w:p>
  </w:footnote>
  <w:footnote w:id="595">
    <w:p w14:paraId="28E351DB" w14:textId="77777777" w:rsidR="00D44BCF" w:rsidRPr="007809F4" w:rsidRDefault="00D44BCF" w:rsidP="00A73679">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Matijevic</w:t>
      </w:r>
      <w:r w:rsidRPr="007809F4">
        <w:rPr>
          <w:rFonts w:asciiTheme="minorHAnsi" w:hAnsiTheme="minorHAnsi" w:cstheme="minorHAnsi"/>
        </w:rPr>
        <w:t xml:space="preserve"> [1997] FCA 992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Matijevic</w:instrText>
      </w:r>
      <w:r w:rsidRPr="007809F4">
        <w:rPr>
          <w:rFonts w:asciiTheme="minorHAnsi" w:hAnsiTheme="minorHAnsi" w:cstheme="minorHAnsi"/>
        </w:rPr>
        <w:instrText xml:space="preserve"> [1997] FCA 992" \s "R v Matijevic [1997] FCA 992"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Matijevic [1997] FCA 992"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Price [2008] QCA 330" </w:instrText>
      </w:r>
      <w:r w:rsidRPr="00EB7F1E">
        <w:rPr>
          <w:rFonts w:asciiTheme="minorHAnsi" w:hAnsiTheme="minorHAnsi" w:cstheme="minorHAnsi"/>
        </w:rPr>
        <w:fldChar w:fldCharType="end"/>
      </w:r>
    </w:p>
  </w:footnote>
  <w:footnote w:id="596">
    <w:p w14:paraId="33C7F99A" w14:textId="77777777" w:rsidR="00D44BCF" w:rsidRPr="007809F4" w:rsidRDefault="00D44BCF" w:rsidP="00A73679">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Price</w:t>
      </w:r>
      <w:r w:rsidRPr="007809F4">
        <w:rPr>
          <w:rFonts w:asciiTheme="minorHAnsi" w:hAnsiTheme="minorHAnsi" w:cstheme="minorHAnsi"/>
        </w:rPr>
        <w:t xml:space="preserve"> [2008] QCA 330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Price</w:instrText>
      </w:r>
      <w:r w:rsidRPr="007809F4">
        <w:rPr>
          <w:rFonts w:asciiTheme="minorHAnsi" w:hAnsiTheme="minorHAnsi" w:cstheme="minorHAnsi"/>
        </w:rPr>
        <w:instrText xml:space="preserve"> [2008] QCA 330" \s "R v Price [2008] QCA 330" \c 1 </w:instrText>
      </w:r>
      <w:r w:rsidRPr="00EB7F1E">
        <w:rPr>
          <w:rFonts w:asciiTheme="minorHAnsi" w:hAnsiTheme="minorHAnsi" w:cstheme="minorHAnsi"/>
        </w:rPr>
        <w:fldChar w:fldCharType="end"/>
      </w:r>
      <w:r w:rsidRPr="007809F4">
        <w:rPr>
          <w:rFonts w:asciiTheme="minorHAnsi" w:hAnsiTheme="minorHAnsi" w:cstheme="minorHAnsi"/>
        </w:rPr>
        <w:t>, [16]-[17].</w:t>
      </w:r>
      <w:r w:rsidRPr="00EB7F1E">
        <w:rPr>
          <w:rFonts w:asciiTheme="minorHAnsi" w:hAnsiTheme="minorHAnsi" w:cstheme="minorHAnsi"/>
        </w:rPr>
        <w:fldChar w:fldCharType="begin"/>
      </w:r>
      <w:r w:rsidRPr="007809F4">
        <w:rPr>
          <w:rFonts w:asciiTheme="minorHAnsi" w:hAnsiTheme="minorHAnsi" w:cstheme="minorHAnsi"/>
        </w:rPr>
        <w:instrText xml:space="preserve">  "R v Price [2008] QCA 330" </w:instrText>
      </w:r>
      <w:r w:rsidRPr="00EB7F1E">
        <w:rPr>
          <w:rFonts w:asciiTheme="minorHAnsi" w:hAnsiTheme="minorHAnsi" w:cstheme="minorHAnsi"/>
        </w:rPr>
        <w:fldChar w:fldCharType="end"/>
      </w:r>
    </w:p>
  </w:footnote>
  <w:footnote w:id="597">
    <w:p w14:paraId="5AAB0FE2" w14:textId="64B8D0C5" w:rsidR="00D44BCF" w:rsidRPr="007809F4" w:rsidRDefault="00D44BCF" w:rsidP="005B4F0B">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Sau v DPP</w:t>
      </w:r>
      <w:r w:rsidRPr="007809F4">
        <w:rPr>
          <w:rFonts w:asciiTheme="minorHAnsi" w:hAnsiTheme="minorHAnsi" w:cstheme="minorHAnsi"/>
        </w:rPr>
        <w:t xml:space="preserve"> [2009] SASC 47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Sau v DPP</w:instrText>
      </w:r>
      <w:r w:rsidRPr="007809F4">
        <w:rPr>
          <w:rFonts w:asciiTheme="minorHAnsi" w:hAnsiTheme="minorHAnsi" w:cstheme="minorHAnsi"/>
        </w:rPr>
        <w:instrText xml:space="preserve"> [2009] SASC 47" \s "Sau v DPP [2009] SASC 47"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Warnakulasuriya v R</w:t>
      </w:r>
      <w:r w:rsidRPr="007809F4">
        <w:rPr>
          <w:rFonts w:asciiTheme="minorHAnsi" w:hAnsiTheme="minorHAnsi" w:cstheme="minorHAnsi"/>
        </w:rPr>
        <w:t xml:space="preserve"> [2009] WASC 257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Warnakulasuriya v R</w:instrText>
      </w:r>
      <w:r w:rsidRPr="007809F4">
        <w:rPr>
          <w:rFonts w:asciiTheme="minorHAnsi" w:hAnsiTheme="minorHAnsi" w:cstheme="minorHAnsi"/>
        </w:rPr>
        <w:instrText xml:space="preserve"> [2009] WASC 257" \s "Warnakulasuriya v R [2009] WASC 257"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"Warnakulasuriya v R [2009] WASC 257"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iCs/>
        </w:rPr>
        <w:t>RLG v Donnelly</w:t>
      </w:r>
      <w:r w:rsidRPr="00EB7F1E">
        <w:rPr>
          <w:rFonts w:asciiTheme="minorHAnsi" w:hAnsiTheme="minorHAnsi" w:cstheme="minorHAnsi"/>
        </w:rPr>
        <w:t xml:space="preserve"> [2012] WASC 230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RLG v Donnelly</w:instrText>
      </w:r>
      <w:r w:rsidRPr="00EB7F1E">
        <w:rPr>
          <w:rFonts w:asciiTheme="minorHAnsi" w:hAnsiTheme="minorHAnsi" w:cstheme="minorHAnsi"/>
        </w:rPr>
        <w:instrText xml:space="preserve"> [2012] WASC 230" \s "RLG v Donnelly [2012] WASC 230"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"Sau v DPP [2009] SASC 47" </w:instrText>
      </w:r>
      <w:r w:rsidRPr="00EB7F1E">
        <w:rPr>
          <w:rFonts w:asciiTheme="minorHAnsi" w:hAnsiTheme="minorHAnsi" w:cstheme="minorHAnsi"/>
        </w:rPr>
        <w:fldChar w:fldCharType="end"/>
      </w:r>
    </w:p>
  </w:footnote>
  <w:footnote w:id="598">
    <w:p w14:paraId="388AFD40"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Moroney</w:t>
      </w:r>
      <w:r w:rsidRPr="007809F4">
        <w:rPr>
          <w:rFonts w:asciiTheme="minorHAnsi" w:hAnsiTheme="minorHAnsi" w:cstheme="minorHAnsi"/>
        </w:rPr>
        <w:t xml:space="preserve"> [2009] VSC 584</w:t>
      </w:r>
      <w:r w:rsidRPr="00EB7F1E">
        <w:rPr>
          <w:rFonts w:asciiTheme="minorHAnsi" w:hAnsiTheme="minorHAnsi" w:cstheme="minorHAnsi"/>
        </w:rPr>
        <w:fldChar w:fldCharType="begin"/>
      </w:r>
      <w:r w:rsidRPr="007809F4">
        <w:rPr>
          <w:rFonts w:asciiTheme="minorHAnsi" w:hAnsiTheme="minorHAnsi" w:cstheme="minorHAnsi"/>
        </w:rPr>
        <w:instrText xml:space="preserve"> TA \s "DPP v Moroney [2009] VSC 584" </w:instrText>
      </w:r>
      <w:r w:rsidRPr="00EB7F1E">
        <w:rPr>
          <w:rFonts w:asciiTheme="minorHAnsi" w:hAnsiTheme="minorHAnsi" w:cstheme="minorHAnsi"/>
        </w:rPr>
        <w:fldChar w:fldCharType="end"/>
      </w:r>
      <w:r w:rsidRPr="007809F4">
        <w:rPr>
          <w:rFonts w:asciiTheme="minorHAnsi" w:hAnsiTheme="minorHAnsi" w:cstheme="minorHAnsi"/>
        </w:rPr>
        <w:t>, [31].</w:t>
      </w:r>
    </w:p>
  </w:footnote>
  <w:footnote w:id="599">
    <w:p w14:paraId="7C003E1A" w14:textId="7F811342" w:rsidR="00D44BCF" w:rsidRPr="007809F4" w:rsidRDefault="00D44BCF" w:rsidP="00D57836">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most commonly-prosecuted offence for welfare fraud is the offence in s 135.2(1) of the </w:t>
      </w:r>
      <w:r w:rsidRPr="00EB7F1E">
        <w:rPr>
          <w:rFonts w:asciiTheme="minorHAnsi" w:hAnsiTheme="minorHAnsi" w:cstheme="minorHAnsi"/>
          <w:i/>
          <w:iCs/>
        </w:rPr>
        <w:t>Criminal Code</w:t>
      </w:r>
      <w:r w:rsidRPr="007809F4">
        <w:rPr>
          <w:rFonts w:asciiTheme="minorHAnsi" w:hAnsiTheme="minorHAnsi" w:cstheme="minorHAnsi"/>
        </w:rPr>
        <w:t xml:space="preserve"> (Cth).  In the 5 years to 31 </w:t>
      </w:r>
      <w:r w:rsidRPr="00EB7F1E">
        <w:rPr>
          <w:rFonts w:asciiTheme="minorHAnsi" w:hAnsiTheme="minorHAnsi" w:cstheme="minorHAnsi"/>
        </w:rPr>
        <w:t>January 2019, s.19B orders were made in 30% of all cases under s.135.2(1) of the Code</w:t>
      </w:r>
      <w:r w:rsidRPr="007809F4">
        <w:rPr>
          <w:rFonts w:asciiTheme="minorHAnsi" w:hAnsiTheme="minorHAnsi" w:cstheme="minorHAnsi"/>
        </w:rPr>
        <w:t xml:space="preserve"> dealt with in Victoria, compared with 1.95% of all such cas</w:t>
      </w:r>
      <w:r w:rsidRPr="00EB7F1E">
        <w:rPr>
          <w:rFonts w:asciiTheme="minorHAnsi" w:hAnsiTheme="minorHAnsi" w:cstheme="minorHAnsi"/>
        </w:rPr>
        <w:t>es in the rest of Australia.</w:t>
      </w:r>
    </w:p>
  </w:footnote>
  <w:footnote w:id="600">
    <w:p w14:paraId="18ECBAF8" w14:textId="089E5611" w:rsidR="00D44BCF" w:rsidRPr="007809F4" w:rsidRDefault="00D44BCF" w:rsidP="00734B1B">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Hayes v R</w:t>
      </w:r>
      <w:r w:rsidRPr="007809F4">
        <w:rPr>
          <w:rFonts w:asciiTheme="minorHAnsi" w:hAnsiTheme="minorHAnsi" w:cstheme="minorHAnsi"/>
        </w:rPr>
        <w:t xml:space="preserve"> [2014] VSCA 309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Hayes v R</w:instrText>
      </w:r>
      <w:r w:rsidRPr="007809F4">
        <w:rPr>
          <w:rFonts w:asciiTheme="minorHAnsi" w:hAnsiTheme="minorHAnsi" w:cstheme="minorHAnsi"/>
        </w:rPr>
        <w:instrText xml:space="preserve"> [2014] VSCA 309" \s "Hayes v R [2014] VSCA 309" \c 1 </w:instrText>
      </w:r>
      <w:r w:rsidRPr="00EB7F1E">
        <w:rPr>
          <w:rFonts w:asciiTheme="minorHAnsi" w:hAnsiTheme="minorHAnsi" w:cstheme="minorHAnsi"/>
        </w:rPr>
        <w:fldChar w:fldCharType="end"/>
      </w:r>
      <w:r w:rsidRPr="007809F4">
        <w:rPr>
          <w:rFonts w:asciiTheme="minorHAnsi" w:hAnsiTheme="minorHAnsi" w:cstheme="minorHAnsi"/>
        </w:rPr>
        <w:t>, [9], [26].</w:t>
      </w:r>
    </w:p>
  </w:footnote>
  <w:footnote w:id="601">
    <w:p w14:paraId="1AEED82F" w14:textId="08B0A57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an example of unwarranted conditions of a bond, see </w:t>
      </w:r>
      <w:r w:rsidRPr="007809F4">
        <w:rPr>
          <w:rFonts w:asciiTheme="minorHAnsi" w:hAnsiTheme="minorHAnsi" w:cstheme="minorHAnsi"/>
          <w:i/>
          <w:iCs/>
        </w:rPr>
        <w:t xml:space="preserve">R v Manolakis </w:t>
      </w:r>
      <w:r w:rsidRPr="007809F4">
        <w:rPr>
          <w:rFonts w:asciiTheme="minorHAnsi" w:hAnsiTheme="minorHAnsi" w:cstheme="minorHAnsi"/>
        </w:rPr>
        <w:t>[2008] SASC 129.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rPr>
        <w:instrText xml:space="preserve">R v Manolakis </w:instrText>
      </w:r>
      <w:r w:rsidRPr="007809F4">
        <w:rPr>
          <w:rFonts w:asciiTheme="minorHAnsi" w:hAnsiTheme="minorHAnsi" w:cstheme="minorHAnsi"/>
        </w:rPr>
        <w:instrText xml:space="preserve">[2008] SASC 129" \s "R v Manolakis [2008] SASC 129"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Manolakis (2008) 255 LSJS 150" </w:instrText>
      </w:r>
      <w:r w:rsidRPr="00EB7F1E">
        <w:rPr>
          <w:rFonts w:asciiTheme="minorHAnsi" w:hAnsiTheme="minorHAnsi" w:cstheme="minorHAnsi"/>
        </w:rPr>
        <w:fldChar w:fldCharType="end"/>
      </w:r>
    </w:p>
  </w:footnote>
  <w:footnote w:id="602">
    <w:p w14:paraId="24AB4F81" w14:textId="37E9F90A"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Ede</w:t>
      </w:r>
      <w:r w:rsidRPr="007809F4">
        <w:rPr>
          <w:rFonts w:asciiTheme="minorHAnsi" w:hAnsiTheme="minorHAnsi" w:cstheme="minorHAnsi"/>
        </w:rPr>
        <w:t xml:space="preserve"> [2014] NSWCA 282</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Ede [2014] NSWCA 282" </w:instrText>
      </w:r>
      <w:r w:rsidRPr="00EB7F1E">
        <w:rPr>
          <w:rFonts w:asciiTheme="minorHAnsi" w:hAnsiTheme="minorHAnsi" w:cstheme="minorHAnsi"/>
        </w:rPr>
        <w:fldChar w:fldCharType="end"/>
      </w:r>
      <w:r w:rsidRPr="007809F4">
        <w:rPr>
          <w:rFonts w:asciiTheme="minorHAnsi" w:hAnsiTheme="minorHAnsi" w:cstheme="minorHAnsi"/>
        </w:rPr>
        <w:t>, [34]-[36].</w:t>
      </w:r>
    </w:p>
  </w:footnote>
  <w:footnote w:id="603">
    <w:p w14:paraId="041495B7" w14:textId="45D055B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Temby v Schulze</w:t>
      </w:r>
      <w:r w:rsidRPr="007809F4">
        <w:rPr>
          <w:rFonts w:asciiTheme="minorHAnsi" w:hAnsiTheme="minorHAnsi" w:cstheme="minorHAnsi"/>
        </w:rPr>
        <w:t xml:space="preserve"> (1991) 57 A Crim R 284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Temby v Schulze</w:instrText>
      </w:r>
      <w:r w:rsidRPr="007809F4">
        <w:rPr>
          <w:rFonts w:asciiTheme="minorHAnsi" w:hAnsiTheme="minorHAnsi" w:cstheme="minorHAnsi"/>
        </w:rPr>
        <w:instrText xml:space="preserve"> (1991) 57 A Crim R 284</w:instrText>
      </w:r>
      <w:r w:rsidRPr="00EB7F1E">
        <w:rPr>
          <w:rFonts w:asciiTheme="minorHAnsi" w:hAnsiTheme="minorHAnsi" w:cstheme="minorHAnsi"/>
        </w:rPr>
        <w:instrText xml:space="preserve">" \s "Temby v Schulze (1991) 57 A Crim R 284" \c 1 </w:instrText>
      </w:r>
      <w:r w:rsidRPr="00EB7F1E">
        <w:rPr>
          <w:rFonts w:asciiTheme="minorHAnsi" w:hAnsiTheme="minorHAnsi" w:cstheme="minorHAnsi"/>
        </w:rPr>
        <w:fldChar w:fldCharType="end"/>
      </w:r>
      <w:r w:rsidRPr="007809F4">
        <w:rPr>
          <w:rFonts w:asciiTheme="minorHAnsi" w:hAnsiTheme="minorHAnsi" w:cstheme="minorHAnsi"/>
        </w:rPr>
        <w:t>, 289.</w:t>
      </w:r>
    </w:p>
  </w:footnote>
  <w:footnote w:id="604">
    <w:p w14:paraId="667EDF2C" w14:textId="6988EAC6"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Ede</w:t>
      </w:r>
      <w:r w:rsidRPr="007809F4">
        <w:rPr>
          <w:rFonts w:asciiTheme="minorHAnsi" w:hAnsiTheme="minorHAnsi" w:cstheme="minorHAnsi"/>
        </w:rPr>
        <w:t xml:space="preserve"> [2014] NSWCA 282</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Ede [2014] NSWCA 282" </w:instrText>
      </w:r>
      <w:r w:rsidRPr="00EB7F1E">
        <w:rPr>
          <w:rFonts w:asciiTheme="minorHAnsi" w:hAnsiTheme="minorHAnsi" w:cstheme="minorHAnsi"/>
        </w:rPr>
        <w:fldChar w:fldCharType="end"/>
      </w:r>
      <w:r w:rsidRPr="007809F4">
        <w:rPr>
          <w:rFonts w:asciiTheme="minorHAnsi" w:hAnsiTheme="minorHAnsi" w:cstheme="minorHAnsi"/>
        </w:rPr>
        <w:t>.  See also “</w:t>
      </w:r>
      <w:r w:rsidRPr="00EB7F1E">
        <w:rPr>
          <w:rFonts w:asciiTheme="minorHAnsi" w:hAnsiTheme="minorHAnsi" w:cstheme="minorHAnsi"/>
        </w:rPr>
        <w:fldChar w:fldCharType="begin"/>
      </w:r>
      <w:r w:rsidRPr="007809F4">
        <w:rPr>
          <w:rFonts w:asciiTheme="minorHAnsi" w:hAnsiTheme="minorHAnsi" w:cstheme="minorHAnsi"/>
        </w:rPr>
        <w:instrText xml:space="preserve"> REF _Ref494121749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5.5.7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_Ref494121749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Condition requiring unpaid work as a condition of a bond</w:t>
      </w:r>
      <w:r w:rsidRPr="00EB7F1E">
        <w:rPr>
          <w:rFonts w:asciiTheme="minorHAnsi" w:hAnsiTheme="minorHAnsi" w:cstheme="minorHAnsi"/>
        </w:rPr>
        <w:fldChar w:fldCharType="end"/>
      </w:r>
      <w:r w:rsidRPr="007809F4">
        <w:rPr>
          <w:rFonts w:asciiTheme="minorHAnsi" w:hAnsiTheme="minorHAnsi" w:cstheme="minorHAnsi"/>
        </w:rPr>
        <w:t>”.</w:t>
      </w:r>
    </w:p>
  </w:footnote>
  <w:footnote w:id="605">
    <w:p w14:paraId="61EDC983"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Brittain v Mansour </w:t>
      </w:r>
      <w:r w:rsidRPr="007809F4">
        <w:rPr>
          <w:rFonts w:asciiTheme="minorHAnsi" w:hAnsiTheme="minorHAnsi" w:cstheme="minorHAnsi"/>
        </w:rPr>
        <w:t>[2013] VSC 50.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noProof/>
        </w:rPr>
        <w:instrText xml:space="preserve">Brittain v Mansour </w:instrText>
      </w:r>
      <w:r w:rsidRPr="007809F4">
        <w:rPr>
          <w:rFonts w:asciiTheme="minorHAnsi" w:hAnsiTheme="minorHAnsi" w:cstheme="minorHAnsi"/>
        </w:rPr>
        <w:instrText xml:space="preserve">[2013] VSC 50" \s "Brittain v Mansour [2013] VSC 50" \c 1 </w:instrText>
      </w:r>
      <w:r w:rsidRPr="00EB7F1E">
        <w:rPr>
          <w:rFonts w:asciiTheme="minorHAnsi" w:hAnsiTheme="minorHAnsi" w:cstheme="minorHAnsi"/>
        </w:rPr>
        <w:fldChar w:fldCharType="end"/>
      </w:r>
    </w:p>
  </w:footnote>
  <w:footnote w:id="606">
    <w:p w14:paraId="7A5889B7" w14:textId="3884EC0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effect of the decision in </w:t>
      </w:r>
      <w:r w:rsidRPr="007809F4">
        <w:rPr>
          <w:rFonts w:asciiTheme="minorHAnsi" w:hAnsiTheme="minorHAnsi" w:cstheme="minorHAnsi"/>
          <w:i/>
          <w:iCs/>
          <w:noProof/>
        </w:rPr>
        <w:t xml:space="preserve">Brittain v Mansour </w:t>
      </w:r>
      <w:r w:rsidRPr="007809F4">
        <w:rPr>
          <w:rFonts w:asciiTheme="minorHAnsi" w:hAnsiTheme="minorHAnsi" w:cstheme="minorHAnsi"/>
        </w:rPr>
        <w:t>[2013] VSC 50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noProof/>
        </w:rPr>
        <w:instrText xml:space="preserve">Brittain v Mansour </w:instrText>
      </w:r>
      <w:r w:rsidRPr="007809F4">
        <w:rPr>
          <w:rFonts w:asciiTheme="minorHAnsi" w:hAnsiTheme="minorHAnsi" w:cstheme="minorHAnsi"/>
        </w:rPr>
        <w:instrText xml:space="preserve">[2013] VSC 50" \s "Brittain v Mansour [2013] VSC 50" \c 1 </w:instrText>
      </w:r>
      <w:r w:rsidRPr="00EB7F1E">
        <w:rPr>
          <w:rFonts w:asciiTheme="minorHAnsi" w:hAnsiTheme="minorHAnsi" w:cstheme="minorHAnsi"/>
        </w:rPr>
        <w:fldChar w:fldCharType="end"/>
      </w:r>
      <w:r w:rsidRPr="007809F4">
        <w:rPr>
          <w:rFonts w:asciiTheme="minorHAnsi" w:hAnsiTheme="minorHAnsi" w:cstheme="minorHAnsi"/>
        </w:rPr>
        <w:t xml:space="preserve"> has since been reversed for State offences by statute in Victoria by the </w:t>
      </w:r>
      <w:r w:rsidRPr="007809F4">
        <w:rPr>
          <w:rFonts w:asciiTheme="minorHAnsi" w:hAnsiTheme="minorHAnsi" w:cstheme="minorHAnsi"/>
          <w:i/>
        </w:rPr>
        <w:t>Justice Legislation Amendment Act 2013.</w:t>
      </w:r>
    </w:p>
  </w:footnote>
  <w:footnote w:id="607">
    <w:p w14:paraId="539BBEE2" w14:textId="076EA2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Australian Law Reform Commission, </w:t>
      </w:r>
      <w:r w:rsidRPr="007809F4">
        <w:rPr>
          <w:rFonts w:asciiTheme="minorHAnsi" w:hAnsiTheme="minorHAnsi" w:cstheme="minorHAnsi"/>
          <w:i/>
        </w:rPr>
        <w:t>Same Crime, Same Time: Sentencing of Federal Offenders</w:t>
      </w:r>
      <w:r w:rsidRPr="007809F4">
        <w:rPr>
          <w:rFonts w:asciiTheme="minorHAnsi" w:hAnsiTheme="minorHAnsi" w:cstheme="minorHAnsi"/>
        </w:rPr>
        <w:t xml:space="preserve"> </w:t>
      </w:r>
      <w:r w:rsidRPr="007809F4">
        <w:rPr>
          <w:rFonts w:asciiTheme="minorHAnsi" w:hAnsiTheme="minorHAnsi" w:cstheme="minorHAnsi"/>
          <w:iCs/>
        </w:rPr>
        <w:t xml:space="preserve">(ALRC 103, 2006), </w:t>
      </w:r>
      <w:r w:rsidRPr="007809F4">
        <w:rPr>
          <w:rFonts w:asciiTheme="minorHAnsi" w:hAnsiTheme="minorHAnsi" w:cstheme="minorHAnsi"/>
        </w:rPr>
        <w:t>832.</w:t>
      </w:r>
    </w:p>
  </w:footnote>
  <w:footnote w:id="608">
    <w:p w14:paraId="5C6405B9" w14:textId="44A3A21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Cole</w:t>
      </w:r>
      <w:r w:rsidRPr="007809F4">
        <w:rPr>
          <w:rFonts w:asciiTheme="minorHAnsi" w:hAnsiTheme="minorHAnsi" w:cstheme="minorHAnsi"/>
        </w:rPr>
        <w:t xml:space="preserve"> (2005) 91 SASR 480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Cole</w:instrText>
      </w:r>
      <w:r w:rsidRPr="007809F4">
        <w:rPr>
          <w:rFonts w:asciiTheme="minorHAnsi" w:hAnsiTheme="minorHAnsi" w:cstheme="minorHAnsi"/>
        </w:rPr>
        <w:instrText xml:space="preserve"> (2005) 91 SASR 480</w:instrText>
      </w:r>
      <w:r w:rsidRPr="00EB7F1E">
        <w:rPr>
          <w:rFonts w:asciiTheme="minorHAnsi" w:hAnsiTheme="minorHAnsi" w:cstheme="minorHAnsi"/>
        </w:rPr>
        <w:instrText xml:space="preserve">" \s "DPP (Cth) v Cole (2005) 91 SASR 480"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09">
    <w:p w14:paraId="7856F884"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 C. Morish Pty Ltd v Luckman</w:t>
      </w:r>
      <w:r w:rsidRPr="007809F4">
        <w:rPr>
          <w:rFonts w:asciiTheme="minorHAnsi" w:hAnsiTheme="minorHAnsi" w:cstheme="minorHAnsi"/>
        </w:rPr>
        <w:t xml:space="preserve"> (1977) 16 SASR 143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John C. Morish Pty Ltd v Luckman</w:instrText>
      </w:r>
      <w:r w:rsidRPr="007809F4">
        <w:rPr>
          <w:rFonts w:asciiTheme="minorHAnsi" w:hAnsiTheme="minorHAnsi" w:cstheme="minorHAnsi"/>
        </w:rPr>
        <w:instrText xml:space="preserve"> (1977) 16 SASR 143" \s "John C. Morish Pty Ltd v Luckman (1977) 16 SASR 143"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Sheen v Geo Cornish Pty Ltd</w:t>
      </w:r>
      <w:r w:rsidRPr="007809F4">
        <w:rPr>
          <w:rFonts w:asciiTheme="minorHAnsi" w:hAnsiTheme="minorHAnsi" w:cstheme="minorHAnsi"/>
        </w:rPr>
        <w:t xml:space="preserve"> [1978] 2 NSWLR 162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Sheen v Geo Cornish Pty Ltd</w:instrText>
      </w:r>
      <w:r w:rsidRPr="007809F4">
        <w:rPr>
          <w:rFonts w:asciiTheme="minorHAnsi" w:hAnsiTheme="minorHAnsi" w:cstheme="minorHAnsi"/>
        </w:rPr>
        <w:instrText xml:space="preserve"> [1978] 2 NSWLR 162" \s "Sheen v Geo Cornish Pty Ltd [1978] 2 NSWLR 162"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"Sheen v Geo Cornish Pty Ltd [1978] 2 NSWLR 162"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Lanham v Brambles – Ruys Pty Ltd</w:t>
      </w:r>
      <w:r w:rsidRPr="007809F4">
        <w:rPr>
          <w:rFonts w:asciiTheme="minorHAnsi" w:hAnsiTheme="minorHAnsi" w:cstheme="minorHAnsi"/>
        </w:rPr>
        <w:t xml:space="preserve"> (1984) 37 SASR 16.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Lanham v Brambles – Ruys Pty Ltd</w:instrText>
      </w:r>
      <w:r w:rsidRPr="007809F4">
        <w:rPr>
          <w:rFonts w:asciiTheme="minorHAnsi" w:hAnsiTheme="minorHAnsi" w:cstheme="minorHAnsi"/>
        </w:rPr>
        <w:instrText xml:space="preserve"> (1984) 37 SASR 16" \s "Lanham v Brambles – Ruys Pty Ltd (1984) 37 SASR 16"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"Lanham v Brambles – Ruys Pty Ltd (1984) 37 SASR 16" </w:instrText>
      </w:r>
      <w:r w:rsidRPr="00EB7F1E">
        <w:rPr>
          <w:rFonts w:asciiTheme="minorHAnsi" w:hAnsiTheme="minorHAnsi" w:cstheme="minorHAnsi"/>
        </w:rPr>
        <w:fldChar w:fldCharType="end"/>
      </w:r>
    </w:p>
  </w:footnote>
  <w:footnote w:id="610">
    <w:p w14:paraId="16F0730C" w14:textId="63C5D6A4" w:rsidR="00D44BCF" w:rsidRPr="007809F4" w:rsidRDefault="00D44BCF" w:rsidP="00734B1B">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Hayes v R</w:t>
      </w:r>
      <w:r w:rsidRPr="007809F4">
        <w:rPr>
          <w:rFonts w:asciiTheme="minorHAnsi" w:hAnsiTheme="minorHAnsi" w:cstheme="minorHAnsi"/>
        </w:rPr>
        <w:t xml:space="preserve"> [2014] VSCA 309</w:t>
      </w:r>
      <w:r w:rsidRPr="00EB7F1E">
        <w:rPr>
          <w:rFonts w:asciiTheme="minorHAnsi" w:hAnsiTheme="minorHAnsi" w:cstheme="minorHAnsi"/>
        </w:rPr>
        <w:fldChar w:fldCharType="begin"/>
      </w:r>
      <w:r w:rsidRPr="007809F4">
        <w:rPr>
          <w:rFonts w:asciiTheme="minorHAnsi" w:hAnsiTheme="minorHAnsi" w:cstheme="minorHAnsi"/>
        </w:rPr>
        <w:instrText xml:space="preserve"> TA  \s "Hayes v R [2014] VSCA 309" </w:instrText>
      </w:r>
      <w:r w:rsidRPr="00EB7F1E">
        <w:rPr>
          <w:rFonts w:asciiTheme="minorHAnsi" w:hAnsiTheme="minorHAnsi" w:cstheme="minorHAnsi"/>
        </w:rPr>
        <w:fldChar w:fldCharType="end"/>
      </w:r>
      <w:r w:rsidRPr="007809F4">
        <w:rPr>
          <w:rFonts w:asciiTheme="minorHAnsi" w:hAnsiTheme="minorHAnsi" w:cstheme="minorHAnsi"/>
        </w:rPr>
        <w:t>, [9], [26].</w:t>
      </w:r>
    </w:p>
  </w:footnote>
  <w:footnote w:id="611">
    <w:p w14:paraId="0D606C91" w14:textId="548D54D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Keur</w:t>
      </w:r>
      <w:r w:rsidRPr="007809F4">
        <w:rPr>
          <w:rFonts w:asciiTheme="minorHAnsi" w:hAnsiTheme="minorHAnsi" w:cstheme="minorHAnsi"/>
        </w:rPr>
        <w:t xml:space="preserve"> (1973) 7 SASR 13</w:t>
      </w:r>
      <w:r w:rsidRPr="00EB7F1E">
        <w:rPr>
          <w:rFonts w:asciiTheme="minorHAnsi" w:hAnsiTheme="minorHAnsi" w:cstheme="minorHAnsi"/>
        </w:rPr>
        <w:fldChar w:fldCharType="begin"/>
      </w:r>
      <w:r w:rsidRPr="007809F4">
        <w:rPr>
          <w:rFonts w:asciiTheme="minorHAnsi" w:hAnsiTheme="minorHAnsi" w:cstheme="minorHAnsi"/>
        </w:rPr>
        <w:instrText xml:space="preserve">  "R v Keur (1973) 7 SASR 13" </w:instrText>
      </w:r>
      <w:r w:rsidRPr="00EB7F1E">
        <w:rPr>
          <w:rFonts w:asciiTheme="minorHAnsi" w:hAnsiTheme="minorHAnsi" w:cstheme="minorHAnsi"/>
        </w:rPr>
        <w:fldChar w:fldCharType="end"/>
      </w:r>
      <w:r w:rsidRPr="007809F4">
        <w:rPr>
          <w:rFonts w:asciiTheme="minorHAnsi" w:hAnsiTheme="minorHAnsi" w:cstheme="minorHAnsi"/>
        </w:rPr>
        <w:t>, 15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Keur</w:instrText>
      </w:r>
      <w:r w:rsidRPr="007809F4">
        <w:rPr>
          <w:rFonts w:asciiTheme="minorHAnsi" w:hAnsiTheme="minorHAnsi" w:cstheme="minorHAnsi"/>
        </w:rPr>
        <w:instrText xml:space="preserve"> (1973) 7 SASR 13, 15" \s "R v Keur (1973) 7 SASR 13, 15"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12">
    <w:p w14:paraId="33E4DCAF" w14:textId="1D7AB6F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Temby v Schulze</w:t>
      </w:r>
      <w:r w:rsidRPr="007809F4">
        <w:rPr>
          <w:rFonts w:asciiTheme="minorHAnsi" w:hAnsiTheme="minorHAnsi" w:cstheme="minorHAnsi"/>
        </w:rPr>
        <w:t xml:space="preserve"> (1991) 57 A Crim R 284</w:t>
      </w:r>
      <w:r w:rsidRPr="00EB7F1E">
        <w:rPr>
          <w:rFonts w:asciiTheme="minorHAnsi" w:hAnsiTheme="minorHAnsi" w:cstheme="minorHAnsi"/>
        </w:rPr>
        <w:fldChar w:fldCharType="begin"/>
      </w:r>
      <w:r w:rsidRPr="007809F4">
        <w:rPr>
          <w:rFonts w:asciiTheme="minorHAnsi" w:hAnsiTheme="minorHAnsi" w:cstheme="minorHAnsi"/>
        </w:rPr>
        <w:instrText xml:space="preserve"> TA \s "Temby v Schulze (1991) 57 A Crim R 284" </w:instrText>
      </w:r>
      <w:r w:rsidRPr="00EB7F1E">
        <w:rPr>
          <w:rFonts w:asciiTheme="minorHAnsi" w:hAnsiTheme="minorHAnsi" w:cstheme="minorHAnsi"/>
        </w:rPr>
        <w:fldChar w:fldCharType="end"/>
      </w:r>
      <w:r w:rsidRPr="007809F4">
        <w:rPr>
          <w:rFonts w:asciiTheme="minorHAnsi" w:hAnsiTheme="minorHAnsi" w:cstheme="minorHAnsi"/>
        </w:rPr>
        <w:t xml:space="preserve">, 289.  As to the other requirements for a valid condition of a bond, see </w:t>
      </w:r>
      <w:r w:rsidRPr="007809F4">
        <w:rPr>
          <w:rFonts w:asciiTheme="minorHAnsi" w:hAnsiTheme="minorHAnsi" w:cstheme="minorHAnsi"/>
          <w:i/>
        </w:rPr>
        <w:t>Dunn v Woodcock</w:t>
      </w:r>
      <w:r w:rsidRPr="007809F4">
        <w:rPr>
          <w:rFonts w:asciiTheme="minorHAnsi" w:hAnsiTheme="minorHAnsi" w:cstheme="minorHAnsi"/>
        </w:rPr>
        <w:t xml:space="preserve"> [2003] NTSC 24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Dunn v Woodcock</w:instrText>
      </w:r>
      <w:r w:rsidRPr="007809F4">
        <w:rPr>
          <w:rFonts w:asciiTheme="minorHAnsi" w:hAnsiTheme="minorHAnsi" w:cstheme="minorHAnsi"/>
        </w:rPr>
        <w:instrText xml:space="preserve"> [2003] NTSC 24</w:instrText>
      </w:r>
      <w:r w:rsidRPr="00EB7F1E">
        <w:rPr>
          <w:rFonts w:asciiTheme="minorHAnsi" w:hAnsiTheme="minorHAnsi" w:cstheme="minorHAnsi"/>
        </w:rPr>
        <w:instrText xml:space="preserve">" \s "Dunn v Woodcock [2003] NTSC 24" \c 1 </w:instrText>
      </w:r>
      <w:r w:rsidRPr="00EB7F1E">
        <w:rPr>
          <w:rFonts w:asciiTheme="minorHAnsi" w:hAnsiTheme="minorHAnsi" w:cstheme="minorHAnsi"/>
        </w:rPr>
        <w:fldChar w:fldCharType="end"/>
      </w:r>
      <w:r w:rsidRPr="007809F4">
        <w:rPr>
          <w:rFonts w:asciiTheme="minorHAnsi" w:hAnsiTheme="minorHAnsi" w:cstheme="minorHAnsi"/>
        </w:rPr>
        <w:t>, [7].</w:t>
      </w:r>
    </w:p>
  </w:footnote>
  <w:footnote w:id="613">
    <w:p w14:paraId="3D152227" w14:textId="5F1DB40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Jones</w:t>
      </w:r>
      <w:r w:rsidRPr="007809F4">
        <w:rPr>
          <w:rFonts w:asciiTheme="minorHAnsi" w:hAnsiTheme="minorHAnsi" w:cstheme="minorHAnsi"/>
        </w:rPr>
        <w:t xml:space="preserve"> [1984] WAR 175, 180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Jones</w:instrText>
      </w:r>
      <w:r w:rsidRPr="007809F4">
        <w:rPr>
          <w:rFonts w:asciiTheme="minorHAnsi" w:hAnsiTheme="minorHAnsi" w:cstheme="minorHAnsi"/>
        </w:rPr>
        <w:instrText xml:space="preserve"> [1984] WAR 175, 180" \s "R v Jones [1984] WAR 175, 180" \c 1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R v Manolakis</w:t>
      </w:r>
      <w:r w:rsidRPr="007809F4">
        <w:rPr>
          <w:rFonts w:asciiTheme="minorHAnsi" w:hAnsiTheme="minorHAnsi" w:cstheme="minorHAnsi"/>
        </w:rPr>
        <w:t xml:space="preserve"> [2008] SASC 129</w:t>
      </w:r>
      <w:r w:rsidRPr="00EB7F1E">
        <w:rPr>
          <w:rFonts w:asciiTheme="minorHAnsi" w:hAnsiTheme="minorHAnsi" w:cstheme="minorHAnsi"/>
        </w:rPr>
        <w:fldChar w:fldCharType="begin"/>
      </w:r>
      <w:r w:rsidRPr="007809F4">
        <w:rPr>
          <w:rFonts w:asciiTheme="minorHAnsi" w:hAnsiTheme="minorHAnsi" w:cstheme="minorHAnsi"/>
        </w:rPr>
        <w:instrText xml:space="preserve"> TA \s "R v Manolakis [2008] SASC 129"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Manolakis (2008) 255 LSJS 150" </w:instrText>
      </w:r>
      <w:r w:rsidRPr="00EB7F1E">
        <w:rPr>
          <w:rFonts w:asciiTheme="minorHAnsi" w:hAnsiTheme="minorHAnsi" w:cstheme="minorHAnsi"/>
        </w:rPr>
        <w:fldChar w:fldCharType="end"/>
      </w:r>
      <w:r w:rsidRPr="007809F4">
        <w:rPr>
          <w:rFonts w:asciiTheme="minorHAnsi" w:hAnsiTheme="minorHAnsi" w:cstheme="minorHAnsi"/>
        </w:rPr>
        <w:t xml:space="preserve"> relating to appropriateness of a condition to obey the directions of a corrections officer as to psychological or psychiatric treatment or counselling.</w:t>
      </w:r>
    </w:p>
  </w:footnote>
  <w:footnote w:id="614">
    <w:p w14:paraId="64228790" w14:textId="0149D065"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Adams v Carr</w:t>
      </w:r>
      <w:r w:rsidRPr="007809F4">
        <w:rPr>
          <w:rFonts w:asciiTheme="minorHAnsi" w:hAnsiTheme="minorHAnsi" w:cstheme="minorHAnsi"/>
        </w:rPr>
        <w:t xml:space="preserve"> (1987) 47 SASR 205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Adams v Carr</w:instrText>
      </w:r>
      <w:r w:rsidRPr="007809F4">
        <w:rPr>
          <w:rFonts w:asciiTheme="minorHAnsi" w:hAnsiTheme="minorHAnsi" w:cstheme="minorHAnsi"/>
        </w:rPr>
        <w:instrText xml:space="preserve"> (1987) 47 SASR 205" \s "Adams v Carr (1987) 47 SASR 205" \c 1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Dowling v Hamlin</w:t>
      </w:r>
      <w:r w:rsidRPr="007809F4">
        <w:rPr>
          <w:rFonts w:asciiTheme="minorHAnsi" w:hAnsiTheme="minorHAnsi" w:cstheme="minorHAnsi"/>
        </w:rPr>
        <w:t xml:space="preserve"> [2006] ACTSC 117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Dowling v Hamlin</w:instrText>
      </w:r>
      <w:r w:rsidRPr="007809F4">
        <w:rPr>
          <w:rFonts w:asciiTheme="minorHAnsi" w:hAnsiTheme="minorHAnsi" w:cstheme="minorHAnsi"/>
        </w:rPr>
        <w:instrText xml:space="preserve"> [2006] ACTSC 117</w:instrText>
      </w:r>
      <w:r w:rsidRPr="00EB7F1E">
        <w:rPr>
          <w:rFonts w:asciiTheme="minorHAnsi" w:hAnsiTheme="minorHAnsi" w:cstheme="minorHAnsi"/>
        </w:rPr>
        <w:instrText xml:space="preserve">" \s "Dowling v Hamlin [2006] ACTSC 117" \c 1 </w:instrText>
      </w:r>
      <w:r w:rsidRPr="00EB7F1E">
        <w:rPr>
          <w:rFonts w:asciiTheme="minorHAnsi" w:hAnsiTheme="minorHAnsi" w:cstheme="minorHAnsi"/>
        </w:rPr>
        <w:fldChar w:fldCharType="end"/>
      </w:r>
      <w:r w:rsidRPr="007809F4">
        <w:rPr>
          <w:rFonts w:asciiTheme="minorHAnsi" w:hAnsiTheme="minorHAnsi" w:cstheme="minorHAnsi"/>
        </w:rPr>
        <w:t xml:space="preserve">,[32]-[34]; but note that in </w:t>
      </w:r>
      <w:r w:rsidRPr="007809F4">
        <w:rPr>
          <w:rFonts w:asciiTheme="minorHAnsi" w:hAnsiTheme="minorHAnsi" w:cstheme="minorHAnsi"/>
          <w:i/>
        </w:rPr>
        <w:t>Dimech v Watts</w:t>
      </w:r>
      <w:r w:rsidRPr="007809F4">
        <w:rPr>
          <w:rFonts w:asciiTheme="minorHAnsi" w:hAnsiTheme="minorHAnsi" w:cstheme="minorHAnsi"/>
        </w:rPr>
        <w:t xml:space="preserve"> [2016] ACTSC 221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Dimech v Watts</w:instrText>
      </w:r>
      <w:r w:rsidRPr="007809F4">
        <w:rPr>
          <w:rFonts w:asciiTheme="minorHAnsi" w:hAnsiTheme="minorHAnsi" w:cstheme="minorHAnsi"/>
        </w:rPr>
        <w:instrText xml:space="preserve"> [2016] ACTSC 221</w:instrText>
      </w:r>
      <w:r w:rsidRPr="00EB7F1E">
        <w:rPr>
          <w:rFonts w:asciiTheme="minorHAnsi" w:hAnsiTheme="minorHAnsi" w:cstheme="minorHAnsi"/>
        </w:rPr>
        <w:instrText xml:space="preserve">" \s "Dimech v Watts [2016] ACTSC 221" \c 1 </w:instrText>
      </w:r>
      <w:r w:rsidRPr="00EB7F1E">
        <w:rPr>
          <w:rFonts w:asciiTheme="minorHAnsi" w:hAnsiTheme="minorHAnsi" w:cstheme="minorHAnsi"/>
        </w:rPr>
        <w:fldChar w:fldCharType="end"/>
      </w:r>
      <w:r w:rsidRPr="007809F4">
        <w:rPr>
          <w:rFonts w:asciiTheme="minorHAnsi" w:hAnsiTheme="minorHAnsi" w:cstheme="minorHAnsi"/>
        </w:rPr>
        <w:t xml:space="preserve">, [19]-[22], another judge of the ACT Supreme Court declined to follow </w:t>
      </w:r>
      <w:r w:rsidRPr="007809F4">
        <w:rPr>
          <w:rFonts w:asciiTheme="minorHAnsi" w:hAnsiTheme="minorHAnsi" w:cstheme="minorHAnsi"/>
          <w:i/>
        </w:rPr>
        <w:t>Dowling v Hamlin</w:t>
      </w:r>
      <w:r w:rsidRPr="007809F4">
        <w:rPr>
          <w:rFonts w:asciiTheme="minorHAnsi" w:hAnsiTheme="minorHAnsi" w:cstheme="minorHAnsi"/>
        </w:rPr>
        <w:t xml:space="preserve"> on this point.</w:t>
      </w:r>
    </w:p>
  </w:footnote>
  <w:footnote w:id="615">
    <w:p w14:paraId="44E9F1B0" w14:textId="01500301"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Bantick v Blunden</w:t>
      </w:r>
      <w:r w:rsidRPr="007809F4">
        <w:rPr>
          <w:rFonts w:asciiTheme="minorHAnsi" w:hAnsiTheme="minorHAnsi" w:cstheme="minorHAnsi"/>
        </w:rPr>
        <w:t xml:space="preserve"> [1981] Tas R (NC) N9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Bantick v Blunden</w:instrText>
      </w:r>
      <w:r w:rsidRPr="007809F4">
        <w:rPr>
          <w:rFonts w:asciiTheme="minorHAnsi" w:hAnsiTheme="minorHAnsi" w:cstheme="minorHAnsi"/>
        </w:rPr>
        <w:instrText xml:space="preserve"> [1981] Tas R (NC) N9" \s "Bantick v Blunden [1981] Tas R (NC) N9"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Shambayati v R</w:t>
      </w:r>
      <w:r w:rsidRPr="007809F4">
        <w:rPr>
          <w:rFonts w:asciiTheme="minorHAnsi" w:hAnsiTheme="minorHAnsi" w:cstheme="minorHAnsi"/>
          <w:b/>
        </w:rPr>
        <w:t xml:space="preserve"> </w:t>
      </w:r>
      <w:r w:rsidRPr="007809F4">
        <w:rPr>
          <w:rFonts w:asciiTheme="minorHAnsi" w:hAnsiTheme="minorHAnsi" w:cstheme="minorHAnsi"/>
        </w:rPr>
        <w:t>(1999) 105 A Crim R 373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Shambayati v R</w:instrText>
      </w:r>
      <w:r w:rsidRPr="007809F4">
        <w:rPr>
          <w:rFonts w:asciiTheme="minorHAnsi" w:hAnsiTheme="minorHAnsi" w:cstheme="minorHAnsi"/>
          <w:b/>
        </w:rPr>
        <w:instrText xml:space="preserve"> </w:instrText>
      </w:r>
      <w:r w:rsidRPr="007809F4">
        <w:rPr>
          <w:rFonts w:asciiTheme="minorHAnsi" w:hAnsiTheme="minorHAnsi" w:cstheme="minorHAnsi"/>
        </w:rPr>
        <w:instrText xml:space="preserve">(1999) 105 A Crim R 373" \s "Shambayati v R (1999) 105 A Crim R 373"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Dimech v Watts</w:t>
      </w:r>
      <w:r w:rsidRPr="007809F4">
        <w:rPr>
          <w:rFonts w:asciiTheme="minorHAnsi" w:hAnsiTheme="minorHAnsi" w:cstheme="minorHAnsi"/>
        </w:rPr>
        <w:t xml:space="preserve"> [2016] ACTSC 221</w:t>
      </w:r>
      <w:r w:rsidRPr="00EB7F1E">
        <w:rPr>
          <w:rFonts w:asciiTheme="minorHAnsi" w:hAnsiTheme="minorHAnsi" w:cstheme="minorHAnsi"/>
        </w:rPr>
        <w:fldChar w:fldCharType="begin"/>
      </w:r>
      <w:r w:rsidRPr="007809F4">
        <w:rPr>
          <w:rFonts w:asciiTheme="minorHAnsi" w:hAnsiTheme="minorHAnsi" w:cstheme="minorHAnsi"/>
        </w:rPr>
        <w:instrText xml:space="preserve"> TA \s "Dimech v Watts [2016] ACTSC 221"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DPP (Cth) v Ede</w:t>
      </w:r>
      <w:r w:rsidRPr="007809F4">
        <w:rPr>
          <w:rFonts w:asciiTheme="minorHAnsi" w:hAnsiTheme="minorHAnsi" w:cstheme="minorHAnsi"/>
        </w:rPr>
        <w:t xml:space="preserve"> [2014] NSWCA 282</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Ede [2014] NSWCA 282" </w:instrText>
      </w:r>
      <w:r w:rsidRPr="00EB7F1E">
        <w:rPr>
          <w:rFonts w:asciiTheme="minorHAnsi" w:hAnsiTheme="minorHAnsi" w:cstheme="minorHAnsi"/>
        </w:rPr>
        <w:fldChar w:fldCharType="end"/>
      </w:r>
      <w:r w:rsidRPr="007809F4">
        <w:rPr>
          <w:rFonts w:asciiTheme="minorHAnsi" w:hAnsiTheme="minorHAnsi" w:cstheme="minorHAnsi"/>
        </w:rPr>
        <w:t xml:space="preserve">, in which it was held that the performance of unpaid work could not be made a condition of a bond without conviction under s 19B of the </w:t>
      </w:r>
      <w:r w:rsidRPr="007809F4">
        <w:rPr>
          <w:rFonts w:asciiTheme="minorHAnsi" w:hAnsiTheme="minorHAnsi" w:cstheme="minorHAnsi"/>
          <w:i/>
        </w:rPr>
        <w:t>Crimes Act 1914</w:t>
      </w:r>
      <w:r w:rsidRPr="007809F4">
        <w:rPr>
          <w:rFonts w:asciiTheme="minorHAnsi" w:hAnsiTheme="minorHAnsi" w:cstheme="minorHAnsi"/>
        </w:rPr>
        <w:t xml:space="preserve"> (Cth).</w:t>
      </w:r>
    </w:p>
  </w:footnote>
  <w:footnote w:id="616">
    <w:p w14:paraId="5D64518E" w14:textId="11910E8C"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Shambayati v R</w:t>
      </w:r>
      <w:r w:rsidRPr="007809F4">
        <w:rPr>
          <w:rFonts w:asciiTheme="minorHAnsi" w:hAnsiTheme="minorHAnsi" w:cstheme="minorHAnsi"/>
          <w:b/>
        </w:rPr>
        <w:t xml:space="preserve"> </w:t>
      </w:r>
      <w:r w:rsidRPr="007809F4">
        <w:rPr>
          <w:rFonts w:asciiTheme="minorHAnsi" w:hAnsiTheme="minorHAnsi" w:cstheme="minorHAnsi"/>
        </w:rPr>
        <w:t>(1999) 105 A Crim R 373</w:t>
      </w:r>
      <w:r w:rsidRPr="00EB7F1E">
        <w:rPr>
          <w:rFonts w:asciiTheme="minorHAnsi" w:hAnsiTheme="minorHAnsi" w:cstheme="minorHAnsi"/>
        </w:rPr>
        <w:fldChar w:fldCharType="begin"/>
      </w:r>
      <w:r w:rsidRPr="00EB7F1E">
        <w:rPr>
          <w:rFonts w:asciiTheme="minorHAnsi" w:hAnsiTheme="minorHAnsi" w:cstheme="minorHAnsi"/>
        </w:rPr>
        <w:instrText xml:space="preserve"> TA \s "Shambayati v R (1999) 105 A Crim R 373"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17">
    <w:p w14:paraId="2FD1BC05" w14:textId="04E7D0B4"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Shambayati v R</w:t>
      </w:r>
      <w:r w:rsidRPr="007809F4">
        <w:rPr>
          <w:rFonts w:asciiTheme="minorHAnsi" w:hAnsiTheme="minorHAnsi" w:cstheme="minorHAnsi"/>
          <w:b/>
        </w:rPr>
        <w:t xml:space="preserve"> </w:t>
      </w:r>
      <w:r w:rsidRPr="007809F4">
        <w:rPr>
          <w:rFonts w:asciiTheme="minorHAnsi" w:hAnsiTheme="minorHAnsi" w:cstheme="minorHAnsi"/>
        </w:rPr>
        <w:t>(1999) 105 A Crim R 373</w:t>
      </w:r>
      <w:r w:rsidRPr="00EB7F1E">
        <w:rPr>
          <w:rFonts w:asciiTheme="minorHAnsi" w:hAnsiTheme="minorHAnsi" w:cstheme="minorHAnsi"/>
        </w:rPr>
        <w:fldChar w:fldCharType="begin"/>
      </w:r>
      <w:r w:rsidRPr="00EB7F1E">
        <w:rPr>
          <w:rFonts w:asciiTheme="minorHAnsi" w:hAnsiTheme="minorHAnsi" w:cstheme="minorHAnsi"/>
        </w:rPr>
        <w:instrText xml:space="preserve"> TA \s "Shambayati v R (1999) 105 A Crim R 373" </w:instrText>
      </w:r>
      <w:r w:rsidRPr="00EB7F1E">
        <w:rPr>
          <w:rFonts w:asciiTheme="minorHAnsi" w:hAnsiTheme="minorHAnsi" w:cstheme="minorHAnsi"/>
        </w:rPr>
        <w:fldChar w:fldCharType="end"/>
      </w:r>
      <w:r w:rsidRPr="007809F4">
        <w:rPr>
          <w:rFonts w:asciiTheme="minorHAnsi" w:hAnsiTheme="minorHAnsi" w:cstheme="minorHAnsi"/>
        </w:rPr>
        <w:t>, [16].</w:t>
      </w:r>
    </w:p>
  </w:footnote>
  <w:footnote w:id="618">
    <w:p w14:paraId="729DD797" w14:textId="4C3E3393"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Shambayati v R</w:t>
      </w:r>
      <w:r w:rsidRPr="007809F4">
        <w:rPr>
          <w:rFonts w:asciiTheme="minorHAnsi" w:hAnsiTheme="minorHAnsi" w:cstheme="minorHAnsi"/>
          <w:b/>
        </w:rPr>
        <w:t xml:space="preserve"> </w:t>
      </w:r>
      <w:r w:rsidRPr="007809F4">
        <w:rPr>
          <w:rFonts w:asciiTheme="minorHAnsi" w:hAnsiTheme="minorHAnsi" w:cstheme="minorHAnsi"/>
        </w:rPr>
        <w:t>(1999) 105 A Crim R 373</w:t>
      </w:r>
      <w:r w:rsidRPr="00EB7F1E">
        <w:rPr>
          <w:rFonts w:asciiTheme="minorHAnsi" w:hAnsiTheme="minorHAnsi" w:cstheme="minorHAnsi"/>
        </w:rPr>
        <w:fldChar w:fldCharType="begin"/>
      </w:r>
      <w:r w:rsidRPr="00EB7F1E">
        <w:rPr>
          <w:rFonts w:asciiTheme="minorHAnsi" w:hAnsiTheme="minorHAnsi" w:cstheme="minorHAnsi"/>
        </w:rPr>
        <w:instrText xml:space="preserve"> TA \s "Shambayati v R (1999) 105 A Crim R 373" </w:instrText>
      </w:r>
      <w:r w:rsidRPr="00EB7F1E">
        <w:rPr>
          <w:rFonts w:asciiTheme="minorHAnsi" w:hAnsiTheme="minorHAnsi" w:cstheme="minorHAnsi"/>
        </w:rPr>
        <w:fldChar w:fldCharType="end"/>
      </w:r>
      <w:r w:rsidRPr="007809F4">
        <w:rPr>
          <w:rFonts w:asciiTheme="minorHAnsi" w:hAnsiTheme="minorHAnsi" w:cstheme="minorHAnsi"/>
        </w:rPr>
        <w:t>, [17].</w:t>
      </w:r>
    </w:p>
  </w:footnote>
  <w:footnote w:id="619">
    <w:p w14:paraId="736EB793" w14:textId="094D725C"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Shambayati v R</w:t>
      </w:r>
      <w:r w:rsidRPr="007809F4">
        <w:rPr>
          <w:rFonts w:asciiTheme="minorHAnsi" w:hAnsiTheme="minorHAnsi" w:cstheme="minorHAnsi"/>
          <w:b/>
        </w:rPr>
        <w:t xml:space="preserve"> </w:t>
      </w:r>
      <w:r w:rsidRPr="007809F4">
        <w:rPr>
          <w:rFonts w:asciiTheme="minorHAnsi" w:hAnsiTheme="minorHAnsi" w:cstheme="minorHAnsi"/>
        </w:rPr>
        <w:t>(1999) 105 A Crim R 373</w:t>
      </w:r>
      <w:r w:rsidRPr="00EB7F1E">
        <w:rPr>
          <w:rFonts w:asciiTheme="minorHAnsi" w:hAnsiTheme="minorHAnsi" w:cstheme="minorHAnsi"/>
        </w:rPr>
        <w:fldChar w:fldCharType="begin"/>
      </w:r>
      <w:r w:rsidRPr="00EB7F1E">
        <w:rPr>
          <w:rFonts w:asciiTheme="minorHAnsi" w:hAnsiTheme="minorHAnsi" w:cstheme="minorHAnsi"/>
        </w:rPr>
        <w:instrText xml:space="preserve"> TA \s "Shambayati v R (1999) 105 A Crim R 373" </w:instrText>
      </w:r>
      <w:r w:rsidRPr="00EB7F1E">
        <w:rPr>
          <w:rFonts w:asciiTheme="minorHAnsi" w:hAnsiTheme="minorHAnsi" w:cstheme="minorHAnsi"/>
        </w:rPr>
        <w:fldChar w:fldCharType="end"/>
      </w:r>
      <w:r w:rsidRPr="007809F4">
        <w:rPr>
          <w:rFonts w:asciiTheme="minorHAnsi" w:hAnsiTheme="minorHAnsi" w:cstheme="minorHAnsi"/>
        </w:rPr>
        <w:t>, [17].</w:t>
      </w:r>
    </w:p>
  </w:footnote>
  <w:footnote w:id="620">
    <w:p w14:paraId="50C4764F"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Brittain v Mansour </w:t>
      </w:r>
      <w:r w:rsidRPr="007809F4">
        <w:rPr>
          <w:rFonts w:asciiTheme="minorHAnsi" w:hAnsiTheme="minorHAnsi" w:cstheme="minorHAnsi"/>
        </w:rPr>
        <w:t>[2013] VSC 50.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noProof/>
        </w:rPr>
        <w:instrText xml:space="preserve">Brittain v Mansour </w:instrText>
      </w:r>
      <w:r w:rsidRPr="007809F4">
        <w:rPr>
          <w:rFonts w:asciiTheme="minorHAnsi" w:hAnsiTheme="minorHAnsi" w:cstheme="minorHAnsi"/>
        </w:rPr>
        <w:instrText xml:space="preserve">[2013] VSC 50" \s "Brittain v Mansour [2013] VSC 50" \c 1 </w:instrText>
      </w:r>
      <w:r w:rsidRPr="00EB7F1E">
        <w:rPr>
          <w:rFonts w:asciiTheme="minorHAnsi" w:hAnsiTheme="minorHAnsi" w:cstheme="minorHAnsi"/>
        </w:rPr>
        <w:fldChar w:fldCharType="end"/>
      </w:r>
    </w:p>
  </w:footnote>
  <w:footnote w:id="621">
    <w:p w14:paraId="1BFB9D3A" w14:textId="269964F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effect of the decision in </w:t>
      </w:r>
      <w:r w:rsidRPr="007809F4">
        <w:rPr>
          <w:rFonts w:asciiTheme="minorHAnsi" w:hAnsiTheme="minorHAnsi" w:cstheme="minorHAnsi"/>
          <w:i/>
          <w:iCs/>
          <w:noProof/>
        </w:rPr>
        <w:t xml:space="preserve">Brittain v Mansour </w:t>
      </w:r>
      <w:r w:rsidRPr="007809F4">
        <w:rPr>
          <w:rFonts w:asciiTheme="minorHAnsi" w:hAnsiTheme="minorHAnsi" w:cstheme="minorHAnsi"/>
        </w:rPr>
        <w:t>[2013] VSC 50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noProof/>
        </w:rPr>
        <w:instrText xml:space="preserve">Brittain v Mansour </w:instrText>
      </w:r>
      <w:r w:rsidRPr="007809F4">
        <w:rPr>
          <w:rFonts w:asciiTheme="minorHAnsi" w:hAnsiTheme="minorHAnsi" w:cstheme="minorHAnsi"/>
        </w:rPr>
        <w:instrText xml:space="preserve">[2013] VSC 50" \s "Brittain v Mansour [2013] VSC 50" \c 1 </w:instrText>
      </w:r>
      <w:r w:rsidRPr="00EB7F1E">
        <w:rPr>
          <w:rFonts w:asciiTheme="minorHAnsi" w:hAnsiTheme="minorHAnsi" w:cstheme="minorHAnsi"/>
        </w:rPr>
        <w:fldChar w:fldCharType="end"/>
      </w:r>
      <w:r w:rsidRPr="007809F4">
        <w:rPr>
          <w:rFonts w:asciiTheme="minorHAnsi" w:hAnsiTheme="minorHAnsi" w:cstheme="minorHAnsi"/>
        </w:rPr>
        <w:t xml:space="preserve"> has since been reversed by statute for State offences in Victoria by the </w:t>
      </w:r>
      <w:r w:rsidRPr="007809F4">
        <w:rPr>
          <w:rFonts w:asciiTheme="minorHAnsi" w:hAnsiTheme="minorHAnsi" w:cstheme="minorHAnsi"/>
          <w:i/>
        </w:rPr>
        <w:t>Justice Legislation Amendment Act 2013.</w:t>
      </w:r>
    </w:p>
  </w:footnote>
  <w:footnote w:id="622">
    <w:p w14:paraId="29DE2895" w14:textId="6E6F803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Theodossio</w:t>
      </w:r>
      <w:r w:rsidRPr="007809F4">
        <w:rPr>
          <w:rFonts w:asciiTheme="minorHAnsi" w:hAnsiTheme="minorHAnsi" w:cstheme="minorHAnsi"/>
        </w:rPr>
        <w:t xml:space="preserve"> [2000] 1 Qd R 299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Theodossio</w:instrText>
      </w:r>
      <w:r w:rsidRPr="007809F4">
        <w:rPr>
          <w:rFonts w:asciiTheme="minorHAnsi" w:hAnsiTheme="minorHAnsi" w:cstheme="minorHAnsi"/>
        </w:rPr>
        <w:instrText xml:space="preserve"> [2000] 1 Qd R 299" \s "R v Theodossio [2000] 1 Qd R 299"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Theodossio [2000] 1 QdR 299" </w:instrText>
      </w:r>
      <w:r w:rsidRPr="00EB7F1E">
        <w:rPr>
          <w:rFonts w:asciiTheme="minorHAnsi" w:hAnsiTheme="minorHAnsi" w:cstheme="minorHAnsi"/>
        </w:rPr>
        <w:fldChar w:fldCharType="end"/>
      </w:r>
      <w:r w:rsidRPr="007809F4">
        <w:rPr>
          <w:rFonts w:asciiTheme="minorHAnsi" w:hAnsiTheme="minorHAnsi" w:cstheme="minorHAnsi"/>
        </w:rPr>
        <w:t xml:space="preserve">.  This case also discusses other limitations to s 20 of the </w:t>
      </w:r>
      <w:r w:rsidRPr="007809F4">
        <w:rPr>
          <w:rFonts w:asciiTheme="minorHAnsi" w:hAnsiTheme="minorHAnsi" w:cstheme="minorHAnsi"/>
          <w:i/>
        </w:rPr>
        <w:t>Crimes Act 1914</w:t>
      </w:r>
      <w:r w:rsidRPr="007809F4">
        <w:rPr>
          <w:rFonts w:asciiTheme="minorHAnsi" w:hAnsiTheme="minorHAnsi" w:cstheme="minorHAnsi"/>
        </w:rPr>
        <w:t xml:space="preserve"> (Cth).</w:t>
      </w:r>
    </w:p>
  </w:footnote>
  <w:footnote w:id="623">
    <w:p w14:paraId="67161FDA" w14:textId="0E79003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Manolakis</w:t>
      </w:r>
      <w:r w:rsidRPr="007809F4">
        <w:rPr>
          <w:rFonts w:asciiTheme="minorHAnsi" w:hAnsiTheme="minorHAnsi" w:cstheme="minorHAnsi"/>
        </w:rPr>
        <w:t xml:space="preserve"> [2008] SASC 129</w:t>
      </w:r>
      <w:r w:rsidRPr="00EB7F1E">
        <w:rPr>
          <w:rFonts w:asciiTheme="minorHAnsi" w:hAnsiTheme="minorHAnsi" w:cstheme="minorHAnsi"/>
        </w:rPr>
        <w:fldChar w:fldCharType="begin"/>
      </w:r>
      <w:r w:rsidRPr="007809F4">
        <w:rPr>
          <w:rFonts w:asciiTheme="minorHAnsi" w:hAnsiTheme="minorHAnsi" w:cstheme="minorHAnsi"/>
        </w:rPr>
        <w:instrText xml:space="preserve"> TA \s "R v Manolakis [2008] SASC 129"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Manolakis (2008) 255 LSJS 150" </w:instrText>
      </w:r>
      <w:r w:rsidRPr="00EB7F1E">
        <w:rPr>
          <w:rFonts w:asciiTheme="minorHAnsi" w:hAnsiTheme="minorHAnsi" w:cstheme="minorHAnsi"/>
        </w:rPr>
        <w:fldChar w:fldCharType="end"/>
      </w:r>
    </w:p>
  </w:footnote>
  <w:footnote w:id="624">
    <w:p w14:paraId="010E973C" w14:textId="26055D5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DPP (Cth) v Cole</w:t>
      </w:r>
      <w:r w:rsidRPr="007809F4">
        <w:rPr>
          <w:rFonts w:asciiTheme="minorHAnsi" w:hAnsiTheme="minorHAnsi" w:cstheme="minorHAnsi"/>
        </w:rPr>
        <w:t xml:space="preserve"> (2005) 91 SASR 480</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Cole (2005) 91 SASR 480"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25">
    <w:p w14:paraId="27CC89F4" w14:textId="7D8E9FB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Assafiri (No.2) v R</w:t>
      </w:r>
      <w:r w:rsidRPr="007809F4">
        <w:rPr>
          <w:rFonts w:asciiTheme="minorHAnsi" w:hAnsiTheme="minorHAnsi" w:cstheme="minorHAnsi"/>
        </w:rPr>
        <w:t xml:space="preserve"> [2007] NSWCCA 356</w:t>
      </w:r>
      <w:r w:rsidRPr="00EB7F1E">
        <w:rPr>
          <w:rFonts w:asciiTheme="minorHAnsi" w:hAnsiTheme="minorHAnsi" w:cstheme="minorHAnsi"/>
        </w:rPr>
        <w:fldChar w:fldCharType="begin"/>
      </w:r>
      <w:r w:rsidRPr="007809F4">
        <w:rPr>
          <w:rFonts w:asciiTheme="minorHAnsi" w:hAnsiTheme="minorHAnsi" w:cstheme="minorHAnsi"/>
        </w:rPr>
        <w:instrText xml:space="preserve"> TA \s "Assafiri (No.2) v R [2007] NSWCCA 356" </w:instrText>
      </w:r>
      <w:r w:rsidRPr="00EB7F1E">
        <w:rPr>
          <w:rFonts w:asciiTheme="minorHAnsi" w:hAnsiTheme="minorHAnsi" w:cstheme="minorHAnsi"/>
        </w:rPr>
        <w:fldChar w:fldCharType="end"/>
      </w:r>
      <w:r w:rsidRPr="007809F4">
        <w:rPr>
          <w:rFonts w:asciiTheme="minorHAnsi" w:hAnsiTheme="minorHAnsi" w:cstheme="minorHAnsi"/>
        </w:rPr>
        <w:t>, [1].</w:t>
      </w:r>
    </w:p>
  </w:footnote>
  <w:footnote w:id="626">
    <w:p w14:paraId="6E14774F" w14:textId="36D9A97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DPP (Cth) v Fabri</w:t>
      </w:r>
      <w:r w:rsidRPr="007809F4">
        <w:rPr>
          <w:rFonts w:asciiTheme="minorHAnsi" w:hAnsiTheme="minorHAnsi" w:cstheme="minorHAnsi"/>
        </w:rPr>
        <w:t xml:space="preserve"> [2008] NSWSC 655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Fabri</w:instrText>
      </w:r>
      <w:r w:rsidRPr="007809F4">
        <w:rPr>
          <w:rFonts w:asciiTheme="minorHAnsi" w:hAnsiTheme="minorHAnsi" w:cstheme="minorHAnsi"/>
        </w:rPr>
        <w:instrText xml:space="preserve"> [2008] NSWSC 655</w:instrText>
      </w:r>
      <w:r w:rsidRPr="00EB7F1E">
        <w:rPr>
          <w:rFonts w:asciiTheme="minorHAnsi" w:hAnsiTheme="minorHAnsi" w:cstheme="minorHAnsi"/>
        </w:rPr>
        <w:instrText xml:space="preserve">" \s "DPP (Cth) v Fabri [2008] NSWSC 655"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27">
    <w:p w14:paraId="6BBFC239"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3 and Schedule 3 to </w:t>
      </w:r>
      <w:r w:rsidRPr="007809F4">
        <w:rPr>
          <w:rFonts w:asciiTheme="minorHAnsi" w:hAnsiTheme="minorHAnsi" w:cstheme="minorHAnsi"/>
          <w:i/>
        </w:rPr>
        <w:t>Crimes Legislation Amendment (Serious Drugs, Identity Crime and Other Measures) Act No.167 of 2012</w:t>
      </w:r>
      <w:r w:rsidRPr="007809F4">
        <w:rPr>
          <w:rFonts w:asciiTheme="minorHAnsi" w:hAnsiTheme="minorHAnsi" w:cstheme="minorHAnsi"/>
        </w:rPr>
        <w:t xml:space="preserve">. Section 2 to </w:t>
      </w:r>
      <w:r w:rsidRPr="007809F4">
        <w:rPr>
          <w:rFonts w:asciiTheme="minorHAnsi" w:hAnsiTheme="minorHAnsi" w:cstheme="minorHAnsi"/>
          <w:i/>
        </w:rPr>
        <w:t>Crimes Legislation Amendment (Penalty Unit) Act 2015.</w:t>
      </w:r>
    </w:p>
  </w:footnote>
  <w:footnote w:id="628">
    <w:p w14:paraId="4F91978E" w14:textId="480A053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4B(2).</w:t>
      </w:r>
    </w:p>
  </w:footnote>
  <w:footnote w:id="629">
    <w:p w14:paraId="0CE9802C" w14:textId="6828CCB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4B(3).  See </w:t>
      </w:r>
      <w:r w:rsidRPr="00EB7F1E">
        <w:rPr>
          <w:rFonts w:asciiTheme="minorHAnsi" w:hAnsiTheme="minorHAnsi" w:cstheme="minorHAnsi"/>
          <w:i/>
        </w:rPr>
        <w:t>Gold Coast Boats Pty Ltd v Nixon</w:t>
      </w:r>
      <w:r w:rsidRPr="00EB7F1E">
        <w:rPr>
          <w:rFonts w:asciiTheme="minorHAnsi" w:hAnsiTheme="minorHAnsi" w:cstheme="minorHAnsi"/>
        </w:rPr>
        <w:t xml:space="preserve"> [2018] QCA 221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Gold Coast Boats Pty Ltd v Nixon</w:instrText>
      </w:r>
      <w:r w:rsidRPr="00EB7F1E">
        <w:rPr>
          <w:rFonts w:asciiTheme="minorHAnsi" w:hAnsiTheme="minorHAnsi" w:cstheme="minorHAnsi"/>
        </w:rPr>
        <w:instrText xml:space="preserve"> [2018] QCA 221" \s "Gold Coast Boats Pty Ltd v Nixon [2018] QCA 221"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30">
    <w:p w14:paraId="228ECB0C" w14:textId="60217A8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4J(7) provides that the section does not apply to certain national security offences: an offence against s 79(2) or s 79(5) (official secrets etc) of the </w:t>
      </w:r>
      <w:r w:rsidRPr="007809F4">
        <w:rPr>
          <w:rFonts w:asciiTheme="minorHAnsi" w:hAnsiTheme="minorHAnsi" w:cstheme="minorHAnsi"/>
          <w:i/>
        </w:rPr>
        <w:t xml:space="preserve">Crimes Act 1914 </w:t>
      </w:r>
      <w:r w:rsidRPr="007809F4">
        <w:rPr>
          <w:rFonts w:asciiTheme="minorHAnsi" w:hAnsiTheme="minorHAnsi" w:cstheme="minorHAnsi"/>
        </w:rPr>
        <w:t xml:space="preserve">(Cth), or to an offence against Division 80 (treason etc), 82 (sabotage), 91 (espionage) or 92 (foreign interference) of the </w:t>
      </w:r>
      <w:r w:rsidRPr="007809F4">
        <w:rPr>
          <w:rFonts w:asciiTheme="minorHAnsi" w:hAnsiTheme="minorHAnsi" w:cstheme="minorHAnsi"/>
          <w:i/>
        </w:rPr>
        <w:t>Criminal Code</w:t>
      </w:r>
      <w:r w:rsidRPr="007809F4">
        <w:rPr>
          <w:rFonts w:asciiTheme="minorHAnsi" w:hAnsiTheme="minorHAnsi" w:cstheme="minorHAnsi"/>
        </w:rPr>
        <w:t xml:space="preserve"> (Cth).</w:t>
      </w:r>
    </w:p>
  </w:footnote>
  <w:footnote w:id="631">
    <w:p w14:paraId="64BE1887" w14:textId="28948FE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EB7F1E">
        <w:rPr>
          <w:rFonts w:asciiTheme="minorHAnsi" w:hAnsiTheme="minorHAnsi" w:cstheme="minorHAnsi"/>
        </w:rPr>
        <w:tab/>
      </w:r>
      <w:r w:rsidRPr="007809F4">
        <w:rPr>
          <w:rFonts w:asciiTheme="minorHAnsi" w:hAnsiTheme="minorHAnsi" w:cstheme="minorHAnsi"/>
        </w:rPr>
        <w:t xml:space="preserve">Note that s 4G of the </w:t>
      </w:r>
      <w:r w:rsidRPr="007809F4">
        <w:rPr>
          <w:rFonts w:asciiTheme="minorHAnsi" w:hAnsiTheme="minorHAnsi" w:cstheme="minorHAnsi"/>
          <w:i/>
        </w:rPr>
        <w:t>Crimes Act 1914</w:t>
      </w:r>
      <w:r w:rsidRPr="007809F4">
        <w:rPr>
          <w:rFonts w:asciiTheme="minorHAnsi" w:hAnsiTheme="minorHAnsi" w:cstheme="minorHAnsi"/>
        </w:rPr>
        <w:t xml:space="preserve"> provides that an offence punishable by imprisonment for a period exceeding 12 months is an indictable offence, unless the contrary intention appears.</w:t>
      </w:r>
    </w:p>
  </w:footnote>
  <w:footnote w:id="632">
    <w:p w14:paraId="73A2E70A" w14:textId="4EDE713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its report </w:t>
      </w:r>
      <w:r w:rsidRPr="007809F4">
        <w:rPr>
          <w:rFonts w:asciiTheme="minorHAnsi" w:hAnsiTheme="minorHAnsi" w:cstheme="minorHAnsi"/>
          <w:i/>
        </w:rPr>
        <w:t>Same Crime, Same Time: Sentencing of Federal Offenders</w:t>
      </w:r>
      <w:r w:rsidRPr="007809F4">
        <w:rPr>
          <w:rFonts w:asciiTheme="minorHAnsi" w:hAnsiTheme="minorHAnsi" w:cstheme="minorHAnsi"/>
        </w:rPr>
        <w:t xml:space="preserve"> </w:t>
      </w:r>
      <w:r w:rsidRPr="007809F4">
        <w:rPr>
          <w:rFonts w:asciiTheme="minorHAnsi" w:hAnsiTheme="minorHAnsi" w:cstheme="minorHAnsi"/>
          <w:iCs/>
        </w:rPr>
        <w:t>(ALRC 103, 2006)</w:t>
      </w:r>
      <w:r w:rsidRPr="007809F4">
        <w:rPr>
          <w:rFonts w:asciiTheme="minorHAnsi" w:hAnsiTheme="minorHAnsi" w:cstheme="minorHAnsi"/>
        </w:rPr>
        <w:t>, the Australian Law Reform Commission recommended (recommendation 28-5) that the reference to “means” in s 16A(2)(m) be amended to “financial circumstances”, consistently with s 16C.  The recommendation has not been acted on.</w:t>
      </w:r>
    </w:p>
  </w:footnote>
  <w:footnote w:id="633">
    <w:p w14:paraId="76A79307" w14:textId="357AF0B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Jahandideh v R</w:t>
      </w:r>
      <w:r w:rsidRPr="007809F4">
        <w:rPr>
          <w:rFonts w:asciiTheme="minorHAnsi" w:hAnsiTheme="minorHAnsi" w:cstheme="minorHAnsi"/>
        </w:rPr>
        <w:t xml:space="preserve"> [2014] NSWCCA 178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Jahandideh v R</w:instrText>
      </w:r>
      <w:r w:rsidRPr="007809F4">
        <w:rPr>
          <w:rFonts w:asciiTheme="minorHAnsi" w:hAnsiTheme="minorHAnsi" w:cstheme="minorHAnsi"/>
        </w:rPr>
        <w:instrText xml:space="preserve"> [2014] NSWCCA 178</w:instrText>
      </w:r>
      <w:r w:rsidRPr="00EB7F1E">
        <w:rPr>
          <w:rFonts w:asciiTheme="minorHAnsi" w:hAnsiTheme="minorHAnsi" w:cstheme="minorHAnsi"/>
        </w:rPr>
        <w:instrText xml:space="preserve">" \s "Jahandideh v R [2014] NSWCCA 178" \c 1 </w:instrText>
      </w:r>
      <w:r w:rsidRPr="00EB7F1E">
        <w:rPr>
          <w:rFonts w:asciiTheme="minorHAnsi" w:hAnsiTheme="minorHAnsi" w:cstheme="minorHAnsi"/>
        </w:rPr>
        <w:fldChar w:fldCharType="end"/>
      </w:r>
      <w:r w:rsidRPr="007809F4">
        <w:rPr>
          <w:rFonts w:asciiTheme="minorHAnsi" w:hAnsiTheme="minorHAnsi" w:cstheme="minorHAnsi"/>
        </w:rPr>
        <w:t>, [15].</w:t>
      </w:r>
    </w:p>
  </w:footnote>
  <w:footnote w:id="634">
    <w:p w14:paraId="64510843" w14:textId="7666DE9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Darter v Diden</w:t>
      </w:r>
      <w:r w:rsidRPr="007809F4">
        <w:rPr>
          <w:rFonts w:asciiTheme="minorHAnsi" w:hAnsiTheme="minorHAnsi" w:cstheme="minorHAnsi"/>
        </w:rPr>
        <w:t xml:space="preserve"> (2006) 94 SASR 505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Darter v Diden</w:instrText>
      </w:r>
      <w:r w:rsidRPr="007809F4">
        <w:rPr>
          <w:rFonts w:asciiTheme="minorHAnsi" w:hAnsiTheme="minorHAnsi" w:cstheme="minorHAnsi"/>
        </w:rPr>
        <w:instrText xml:space="preserve"> (2006) 94 SASR 505</w:instrText>
      </w:r>
      <w:r w:rsidRPr="00EB7F1E">
        <w:rPr>
          <w:rFonts w:asciiTheme="minorHAnsi" w:hAnsiTheme="minorHAnsi" w:cstheme="minorHAnsi"/>
        </w:rPr>
        <w:instrText xml:space="preserve">" \s "Darter v Diden (2006) 94 SASR 505" \c 1 </w:instrText>
      </w:r>
      <w:r w:rsidRPr="00EB7F1E">
        <w:rPr>
          <w:rFonts w:asciiTheme="minorHAnsi" w:hAnsiTheme="minorHAnsi" w:cstheme="minorHAnsi"/>
        </w:rPr>
        <w:fldChar w:fldCharType="end"/>
      </w:r>
      <w:r w:rsidRPr="007809F4">
        <w:rPr>
          <w:rFonts w:asciiTheme="minorHAnsi" w:hAnsiTheme="minorHAnsi" w:cstheme="minorHAnsi"/>
        </w:rPr>
        <w:t xml:space="preserve">, [29]-[32]; </w:t>
      </w:r>
      <w:r w:rsidRPr="007809F4">
        <w:rPr>
          <w:rFonts w:asciiTheme="minorHAnsi" w:hAnsiTheme="minorHAnsi" w:cstheme="minorHAnsi"/>
          <w:i/>
        </w:rPr>
        <w:t>Jahandideh v R</w:t>
      </w:r>
      <w:r w:rsidRPr="007809F4">
        <w:rPr>
          <w:rFonts w:asciiTheme="minorHAnsi" w:hAnsiTheme="minorHAnsi" w:cstheme="minorHAnsi"/>
        </w:rPr>
        <w:t xml:space="preserve"> [2014] NSWCCA 178</w:t>
      </w:r>
      <w:r w:rsidRPr="00EB7F1E">
        <w:rPr>
          <w:rFonts w:asciiTheme="minorHAnsi" w:hAnsiTheme="minorHAnsi" w:cstheme="minorHAnsi"/>
        </w:rPr>
        <w:fldChar w:fldCharType="begin"/>
      </w:r>
      <w:r w:rsidRPr="007809F4">
        <w:rPr>
          <w:rFonts w:asciiTheme="minorHAnsi" w:hAnsiTheme="minorHAnsi" w:cstheme="minorHAnsi"/>
        </w:rPr>
        <w:instrText xml:space="preserve"> TA \s "Jahandideh v R [2014] NSWCCA 178" </w:instrText>
      </w:r>
      <w:r w:rsidRPr="00EB7F1E">
        <w:rPr>
          <w:rFonts w:asciiTheme="minorHAnsi" w:hAnsiTheme="minorHAnsi" w:cstheme="minorHAnsi"/>
        </w:rPr>
        <w:fldChar w:fldCharType="end"/>
      </w:r>
      <w:r w:rsidRPr="007809F4">
        <w:rPr>
          <w:rFonts w:asciiTheme="minorHAnsi" w:hAnsiTheme="minorHAnsi" w:cstheme="minorHAnsi"/>
        </w:rPr>
        <w:t>, [16].</w:t>
      </w:r>
    </w:p>
  </w:footnote>
  <w:footnote w:id="635">
    <w:p w14:paraId="73D7C898" w14:textId="7F6615E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Customs v Rota Tech Pty Ltd</w:t>
      </w:r>
      <w:r w:rsidRPr="007809F4">
        <w:rPr>
          <w:rFonts w:asciiTheme="minorHAnsi" w:hAnsiTheme="minorHAnsi" w:cstheme="minorHAnsi"/>
        </w:rPr>
        <w:t xml:space="preserve"> [1999] SASC 64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Customs v Rota Tech Pty Ltd</w:instrText>
      </w:r>
      <w:r w:rsidRPr="007809F4">
        <w:rPr>
          <w:rFonts w:asciiTheme="minorHAnsi" w:hAnsiTheme="minorHAnsi" w:cstheme="minorHAnsi"/>
        </w:rPr>
        <w:instrText xml:space="preserve"> [1999] SASC 64" \s "Customs v Rota Tech Pty Ltd [1999] SASC 64" \c 1 </w:instrText>
      </w:r>
      <w:r w:rsidRPr="00EB7F1E">
        <w:rPr>
          <w:rFonts w:asciiTheme="minorHAnsi" w:hAnsiTheme="minorHAnsi" w:cstheme="minorHAnsi"/>
        </w:rPr>
        <w:fldChar w:fldCharType="end"/>
      </w:r>
      <w:r w:rsidRPr="007809F4">
        <w:rPr>
          <w:rFonts w:asciiTheme="minorHAnsi" w:hAnsiTheme="minorHAnsi" w:cstheme="minorHAnsi"/>
        </w:rPr>
        <w:t xml:space="preserve">, [35]-[36]; </w:t>
      </w:r>
      <w:r w:rsidRPr="007809F4">
        <w:rPr>
          <w:rFonts w:asciiTheme="minorHAnsi" w:hAnsiTheme="minorHAnsi" w:cstheme="minorHAnsi"/>
          <w:i/>
        </w:rPr>
        <w:t>Customs v Labrador Liquor Wholesale Pty Ltd</w:t>
      </w:r>
      <w:r w:rsidRPr="007809F4">
        <w:rPr>
          <w:rFonts w:asciiTheme="minorHAnsi" w:hAnsiTheme="minorHAnsi" w:cstheme="minorHAnsi"/>
        </w:rPr>
        <w:t xml:space="preserve"> [2006] QCA 558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Customs v Labrador Liquor Wholesale Pty Ltd</w:instrText>
      </w:r>
      <w:r w:rsidRPr="007809F4">
        <w:rPr>
          <w:rFonts w:asciiTheme="minorHAnsi" w:hAnsiTheme="minorHAnsi" w:cstheme="minorHAnsi"/>
        </w:rPr>
        <w:instrText xml:space="preserve"> [2006] QCA 558" \s "Customs v Labrador Liquor Wholesale Pty Ltd [2006] QCA 558" \c 1 </w:instrText>
      </w:r>
      <w:r w:rsidRPr="00EB7F1E">
        <w:rPr>
          <w:rFonts w:asciiTheme="minorHAnsi" w:hAnsiTheme="minorHAnsi" w:cstheme="minorHAnsi"/>
        </w:rPr>
        <w:fldChar w:fldCharType="end"/>
      </w:r>
      <w:r w:rsidRPr="007809F4">
        <w:rPr>
          <w:rFonts w:asciiTheme="minorHAnsi" w:hAnsiTheme="minorHAnsi" w:cstheme="minorHAnsi"/>
        </w:rPr>
        <w:t>, [95]-[98].</w:t>
      </w:r>
    </w:p>
  </w:footnote>
  <w:footnote w:id="636">
    <w:p w14:paraId="4614B49F" w14:textId="3640AC1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Jahandideh v R</w:t>
      </w:r>
      <w:r w:rsidRPr="007809F4">
        <w:rPr>
          <w:rFonts w:asciiTheme="minorHAnsi" w:hAnsiTheme="minorHAnsi" w:cstheme="minorHAnsi"/>
        </w:rPr>
        <w:t xml:space="preserve"> [2014] NSWCCA 178</w:t>
      </w:r>
      <w:r w:rsidRPr="00EB7F1E">
        <w:rPr>
          <w:rFonts w:asciiTheme="minorHAnsi" w:hAnsiTheme="minorHAnsi" w:cstheme="minorHAnsi"/>
        </w:rPr>
        <w:fldChar w:fldCharType="begin"/>
      </w:r>
      <w:r w:rsidRPr="007809F4">
        <w:rPr>
          <w:rFonts w:asciiTheme="minorHAnsi" w:hAnsiTheme="minorHAnsi" w:cstheme="minorHAnsi"/>
        </w:rPr>
        <w:instrText xml:space="preserve"> TA \s "Jahandideh v R [2014] NSWCCA 178" </w:instrText>
      </w:r>
      <w:r w:rsidRPr="00EB7F1E">
        <w:rPr>
          <w:rFonts w:asciiTheme="minorHAnsi" w:hAnsiTheme="minorHAnsi" w:cstheme="minorHAnsi"/>
        </w:rPr>
        <w:fldChar w:fldCharType="end"/>
      </w:r>
      <w:r w:rsidRPr="007809F4">
        <w:rPr>
          <w:rFonts w:asciiTheme="minorHAnsi" w:hAnsiTheme="minorHAnsi" w:cstheme="minorHAnsi"/>
        </w:rPr>
        <w:t>, [17].</w:t>
      </w:r>
    </w:p>
  </w:footnote>
  <w:footnote w:id="637">
    <w:p w14:paraId="19B7C153" w14:textId="1951ACF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Cs/>
        </w:rPr>
        <w:t>See</w:t>
      </w:r>
      <w:r w:rsidRPr="007809F4">
        <w:rPr>
          <w:rFonts w:asciiTheme="minorHAnsi" w:hAnsiTheme="minorHAnsi" w:cstheme="minorHAnsi"/>
        </w:rPr>
        <w:t xml:space="preserve"> </w:t>
      </w:r>
      <w:r w:rsidRPr="007809F4">
        <w:rPr>
          <w:rFonts w:asciiTheme="minorHAnsi" w:hAnsiTheme="minorHAnsi" w:cstheme="minorHAnsi"/>
          <w:i/>
          <w:iCs/>
        </w:rPr>
        <w:t xml:space="preserve">Fox &amp; Freiberg’s </w:t>
      </w:r>
      <w:r w:rsidRPr="007809F4">
        <w:rPr>
          <w:rFonts w:asciiTheme="minorHAnsi" w:hAnsiTheme="minorHAnsi" w:cstheme="minorHAnsi"/>
          <w:i/>
        </w:rPr>
        <w:t>Sentencing – State and Federal Law in Victoria</w:t>
      </w:r>
      <w:r w:rsidRPr="007809F4">
        <w:rPr>
          <w:rFonts w:asciiTheme="minorHAnsi" w:hAnsiTheme="minorHAnsi" w:cstheme="minorHAnsi"/>
        </w:rPr>
        <w:t xml:space="preserve"> (Thomson Reuters, third ed, 2014), [7.25].</w:t>
      </w:r>
    </w:p>
  </w:footnote>
  <w:footnote w:id="638">
    <w:p w14:paraId="5B12BD2E" w14:textId="4A9802B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15A was amended by the </w:t>
      </w:r>
      <w:r w:rsidRPr="007809F4">
        <w:rPr>
          <w:rFonts w:asciiTheme="minorHAnsi" w:hAnsiTheme="minorHAnsi" w:cstheme="minorHAnsi"/>
          <w:i/>
          <w:iCs/>
        </w:rPr>
        <w:t>Crimes Amendment (Enforcement of Fines) Act 1998</w:t>
      </w:r>
      <w:r w:rsidRPr="007809F4">
        <w:rPr>
          <w:rFonts w:asciiTheme="minorHAnsi" w:hAnsiTheme="minorHAnsi" w:cstheme="minorHAnsi"/>
        </w:rPr>
        <w:t>. The purpose of the amendment, which commenced on 29 June 1998, is to ensure that the full range of state fine enforcement procedures apply in respect of federal offenders. The amendments apply irrespective of whether the fine was imposed before or after 29 June 1998.</w:t>
      </w:r>
    </w:p>
  </w:footnote>
  <w:footnote w:id="639">
    <w:p w14:paraId="1A9C2A56" w14:textId="3BC2FA0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Thomas v Ducret</w:t>
      </w:r>
      <w:r w:rsidRPr="007809F4">
        <w:rPr>
          <w:rFonts w:asciiTheme="minorHAnsi" w:hAnsiTheme="minorHAnsi" w:cstheme="minorHAnsi"/>
        </w:rPr>
        <w:t xml:space="preserve"> (1984) 153 CLR 506</w:t>
      </w:r>
      <w:r w:rsidRPr="00EB7F1E">
        <w:rPr>
          <w:rFonts w:asciiTheme="minorHAnsi" w:hAnsiTheme="minorHAnsi" w:cstheme="minorHAnsi"/>
        </w:rPr>
        <w:fldChar w:fldCharType="begin"/>
      </w:r>
      <w:r w:rsidRPr="007809F4">
        <w:rPr>
          <w:rFonts w:asciiTheme="minorHAnsi" w:hAnsiTheme="minorHAnsi" w:cstheme="minorHAnsi"/>
        </w:rPr>
        <w:instrText xml:space="preserve"> TA \s "Thomas v Ducret (1984) 153 CLR 506" </w:instrText>
      </w:r>
      <w:r w:rsidRPr="00EB7F1E">
        <w:rPr>
          <w:rFonts w:asciiTheme="minorHAnsi" w:hAnsiTheme="minorHAnsi" w:cstheme="minorHAnsi"/>
        </w:rPr>
        <w:fldChar w:fldCharType="end"/>
      </w:r>
      <w:r w:rsidRPr="007809F4">
        <w:rPr>
          <w:rFonts w:asciiTheme="minorHAnsi" w:hAnsiTheme="minorHAnsi" w:cstheme="minorHAnsi"/>
        </w:rPr>
        <w:t>.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application of State and Territory laws by Judiciary Act 1903, ss 68 and 79</w:t>
      </w:r>
      <w:r w:rsidRPr="00EB7F1E">
        <w:rPr>
          <w:rFonts w:asciiTheme="minorHAnsi" w:hAnsiTheme="minorHAnsi" w:cstheme="minorHAnsi"/>
        </w:rPr>
        <w:fldChar w:fldCharType="end"/>
      </w:r>
      <w:r w:rsidRPr="007809F4">
        <w:rPr>
          <w:rFonts w:asciiTheme="minorHAnsi" w:hAnsiTheme="minorHAnsi" w:cstheme="minorHAnsi"/>
        </w:rPr>
        <w:t>”.</w:t>
      </w:r>
    </w:p>
  </w:footnote>
  <w:footnote w:id="640">
    <w:p w14:paraId="3493DAA4" w14:textId="7AFE8C7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Thomas</w:t>
      </w:r>
      <w:r w:rsidRPr="007809F4">
        <w:rPr>
          <w:rFonts w:asciiTheme="minorHAnsi" w:hAnsiTheme="minorHAnsi" w:cstheme="minorHAnsi"/>
          <w:i/>
        </w:rPr>
        <w:t xml:space="preserve"> v </w:t>
      </w:r>
      <w:r w:rsidRPr="00EB7F1E">
        <w:rPr>
          <w:rFonts w:asciiTheme="minorHAnsi" w:hAnsiTheme="minorHAnsi" w:cstheme="minorHAnsi"/>
          <w:i/>
        </w:rPr>
        <w:t>Ducret</w:t>
      </w:r>
      <w:r w:rsidRPr="007809F4">
        <w:rPr>
          <w:rFonts w:asciiTheme="minorHAnsi" w:hAnsiTheme="minorHAnsi" w:cstheme="minorHAnsi"/>
        </w:rPr>
        <w:t xml:space="preserve"> (1984) 153 CLR 506</w:t>
      </w:r>
      <w:r w:rsidRPr="00EB7F1E">
        <w:rPr>
          <w:rFonts w:asciiTheme="minorHAnsi" w:hAnsiTheme="minorHAnsi" w:cstheme="minorHAnsi"/>
        </w:rPr>
        <w:fldChar w:fldCharType="begin"/>
      </w:r>
      <w:r w:rsidRPr="007809F4">
        <w:rPr>
          <w:rFonts w:asciiTheme="minorHAnsi" w:hAnsiTheme="minorHAnsi" w:cstheme="minorHAnsi"/>
        </w:rPr>
        <w:instrText xml:space="preserve"> TA \s "Thomas v Ducret (1984) 153 CLR 506"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41">
    <w:p w14:paraId="71B16E92" w14:textId="5B7E610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Amendment Act 1982</w:t>
      </w:r>
      <w:r w:rsidRPr="007809F4">
        <w:rPr>
          <w:rFonts w:asciiTheme="minorHAnsi" w:hAnsiTheme="minorHAnsi" w:cstheme="minorHAnsi"/>
        </w:rPr>
        <w:t xml:space="preserve"> (Cth), s 8.  The new section did not come into operation until 16 December 1985.</w:t>
      </w:r>
    </w:p>
  </w:footnote>
  <w:footnote w:id="642">
    <w:p w14:paraId="278C2C56"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Second Reading Speech of the Attorney-General (Senator Durack) on the Crimes Amendment Bill 1981, </w:t>
      </w:r>
      <w:r w:rsidRPr="007809F4">
        <w:rPr>
          <w:rFonts w:asciiTheme="minorHAnsi" w:hAnsiTheme="minorHAnsi" w:cstheme="minorHAnsi"/>
          <w:i/>
          <w:iCs/>
        </w:rPr>
        <w:t>Hansard (Senate)</w:t>
      </w:r>
      <w:r w:rsidRPr="007809F4">
        <w:rPr>
          <w:rFonts w:asciiTheme="minorHAnsi" w:hAnsiTheme="minorHAnsi" w:cstheme="minorHAnsi"/>
        </w:rPr>
        <w:t>, 15 October 1981, 1291.</w:t>
      </w:r>
    </w:p>
  </w:footnote>
  <w:footnote w:id="643">
    <w:p w14:paraId="5E38ED96" w14:textId="0DB1DF8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DPP (Cth) v Costanzo</w:t>
      </w:r>
      <w:r w:rsidRPr="00EB7F1E">
        <w:rPr>
          <w:rFonts w:asciiTheme="minorHAnsi" w:hAnsiTheme="minorHAnsi" w:cstheme="minorHAnsi"/>
        </w:rPr>
        <w:t xml:space="preserve"> [2005] 2 Qd R 385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DPP (Cth) v Costanzo</w:instrText>
      </w:r>
      <w:r w:rsidRPr="00EB7F1E">
        <w:rPr>
          <w:rFonts w:asciiTheme="minorHAnsi" w:hAnsiTheme="minorHAnsi" w:cstheme="minorHAnsi"/>
        </w:rPr>
        <w:instrText xml:space="preserve"> [2005] 2 Qd R 385" \s "DPP (Cth) v Costanzo [2005] 2 Qd R 385" \c 1 </w:instrText>
      </w:r>
      <w:r w:rsidRPr="00EB7F1E">
        <w:rPr>
          <w:rFonts w:asciiTheme="minorHAnsi" w:hAnsiTheme="minorHAnsi" w:cstheme="minorHAnsi"/>
        </w:rPr>
        <w:fldChar w:fldCharType="end"/>
      </w:r>
      <w:r w:rsidRPr="00EB7F1E">
        <w:rPr>
          <w:rFonts w:asciiTheme="minorHAnsi" w:hAnsiTheme="minorHAnsi" w:cstheme="minorHAnsi"/>
        </w:rPr>
        <w:t>, [22].</w:t>
      </w:r>
    </w:p>
  </w:footnote>
  <w:footnote w:id="644">
    <w:p w14:paraId="7436B1A4" w14:textId="7758000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Adams v Carr</w:t>
      </w:r>
      <w:r w:rsidRPr="007809F4">
        <w:rPr>
          <w:rFonts w:asciiTheme="minorHAnsi" w:hAnsiTheme="minorHAnsi" w:cstheme="minorHAnsi"/>
        </w:rPr>
        <w:t xml:space="preserve"> (1987) 47 SASR 205</w:t>
      </w:r>
      <w:r w:rsidRPr="00EB7F1E">
        <w:rPr>
          <w:rFonts w:asciiTheme="minorHAnsi" w:hAnsiTheme="minorHAnsi" w:cstheme="minorHAnsi"/>
        </w:rPr>
        <w:fldChar w:fldCharType="begin"/>
      </w:r>
      <w:r w:rsidRPr="00EB7F1E">
        <w:rPr>
          <w:rFonts w:asciiTheme="minorHAnsi" w:hAnsiTheme="minorHAnsi" w:cstheme="minorHAnsi"/>
        </w:rPr>
        <w:instrText xml:space="preserve"> TA \s "Adams v Carr (1987) 47 SASR 205"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Winchester v R</w:t>
      </w:r>
      <w:r w:rsidRPr="007809F4">
        <w:rPr>
          <w:rFonts w:asciiTheme="minorHAnsi" w:hAnsiTheme="minorHAnsi" w:cstheme="minorHAnsi"/>
        </w:rPr>
        <w:t xml:space="preserve"> (1992) 58 A Crim R 345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Winchester v R</w:instrText>
      </w:r>
      <w:r w:rsidRPr="007809F4">
        <w:rPr>
          <w:rFonts w:asciiTheme="minorHAnsi" w:hAnsiTheme="minorHAnsi" w:cstheme="minorHAnsi"/>
        </w:rPr>
        <w:instrText xml:space="preserve"> (1992) 58 A Crim R 345</w:instrText>
      </w:r>
      <w:r w:rsidRPr="00EB7F1E">
        <w:rPr>
          <w:rFonts w:asciiTheme="minorHAnsi" w:hAnsiTheme="minorHAnsi" w:cstheme="minorHAnsi"/>
        </w:rPr>
        <w:instrText xml:space="preserve">" \s "Winchester v R (1992) 58 A Crim R 345"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Costanzo</w:t>
      </w:r>
      <w:r w:rsidRPr="007809F4">
        <w:rPr>
          <w:rFonts w:asciiTheme="minorHAnsi" w:hAnsiTheme="minorHAnsi" w:cstheme="minorHAnsi"/>
        </w:rPr>
        <w:t xml:space="preserve"> [2005] 2 Qd R 385</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Costanzo [2005] 2 Qd R 385" </w:instrText>
      </w:r>
      <w:r w:rsidRPr="00EB7F1E">
        <w:rPr>
          <w:rFonts w:asciiTheme="minorHAnsi" w:hAnsiTheme="minorHAnsi" w:cstheme="minorHAnsi"/>
        </w:rPr>
        <w:fldChar w:fldCharType="end"/>
      </w:r>
      <w:r w:rsidRPr="007809F4">
        <w:rPr>
          <w:rFonts w:asciiTheme="minorHAnsi" w:hAnsiTheme="minorHAnsi" w:cstheme="minorHAnsi"/>
        </w:rPr>
        <w:t xml:space="preserve">, [14]; </w:t>
      </w:r>
      <w:r w:rsidRPr="007809F4">
        <w:rPr>
          <w:rFonts w:asciiTheme="minorHAnsi" w:hAnsiTheme="minorHAnsi" w:cstheme="minorHAnsi"/>
          <w:i/>
        </w:rPr>
        <w:t>Dowling v Hamlin</w:t>
      </w:r>
      <w:r w:rsidRPr="007809F4">
        <w:rPr>
          <w:rFonts w:asciiTheme="minorHAnsi" w:hAnsiTheme="minorHAnsi" w:cstheme="minorHAnsi"/>
        </w:rPr>
        <w:t xml:space="preserve"> [2006] ACTSC 117</w:t>
      </w:r>
      <w:r w:rsidRPr="00EB7F1E">
        <w:rPr>
          <w:rFonts w:asciiTheme="minorHAnsi" w:hAnsiTheme="minorHAnsi" w:cstheme="minorHAnsi"/>
        </w:rPr>
        <w:fldChar w:fldCharType="begin"/>
      </w:r>
      <w:r w:rsidRPr="007809F4">
        <w:rPr>
          <w:rFonts w:asciiTheme="minorHAnsi" w:hAnsiTheme="minorHAnsi" w:cstheme="minorHAnsi"/>
        </w:rPr>
        <w:instrText xml:space="preserve"> TA \s "Dowling v Hamlin [2006] ACTSC 117"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Style w:val="Heading2Char"/>
          <w:rFonts w:cstheme="minorHAnsi"/>
          <w:sz w:val="20"/>
        </w:rPr>
        <w:t xml:space="preserve"> </w:t>
      </w:r>
    </w:p>
  </w:footnote>
  <w:footnote w:id="645">
    <w:p w14:paraId="3B706337" w14:textId="33A8BE7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(Sentencing Procedure) Act 1999</w:t>
      </w:r>
      <w:r w:rsidRPr="007809F4">
        <w:rPr>
          <w:rFonts w:asciiTheme="minorHAnsi" w:hAnsiTheme="minorHAnsi" w:cstheme="minorHAnsi"/>
        </w:rPr>
        <w:t xml:space="preserve"> (NSW) (C(SP) Act), ss 7, 8</w:t>
      </w:r>
      <w:r>
        <w:rPr>
          <w:rFonts w:asciiTheme="minorHAnsi" w:hAnsiTheme="minorHAnsi" w:cstheme="minorHAnsi"/>
        </w:rPr>
        <w:t>.</w:t>
      </w:r>
    </w:p>
  </w:footnote>
  <w:footnote w:id="646">
    <w:p w14:paraId="4FE5F7AF" w14:textId="6BA0CA9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Sentencing Act 1991 </w:t>
      </w:r>
      <w:r w:rsidRPr="007809F4">
        <w:rPr>
          <w:rFonts w:asciiTheme="minorHAnsi" w:hAnsiTheme="minorHAnsi" w:cstheme="minorHAnsi"/>
        </w:rPr>
        <w:t xml:space="preserve">(Vic), Part 3A; see </w:t>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47">
    <w:p w14:paraId="619B035B" w14:textId="28A5A93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Penalties and Sentences Act 1992</w:t>
      </w:r>
      <w:r w:rsidRPr="007809F4">
        <w:rPr>
          <w:rFonts w:asciiTheme="minorHAnsi" w:hAnsiTheme="minorHAnsi" w:cstheme="minorHAnsi"/>
        </w:rPr>
        <w:t xml:space="preserve"> (Qld), Part 5 Div 2, Part 6.</w:t>
      </w:r>
    </w:p>
  </w:footnote>
  <w:footnote w:id="648">
    <w:p w14:paraId="5A657F5F" w14:textId="3C221D2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Style w:val="FootnoteReference"/>
          <w:rFonts w:asciiTheme="minorHAnsi" w:hAnsiTheme="minorHAnsi" w:cstheme="minorHAnsi"/>
          <w:sz w:val="20"/>
          <w:vertAlign w:val="superscript"/>
        </w:rPr>
        <w:t xml:space="preserve"> </w:t>
      </w:r>
      <w:r w:rsidRPr="007809F4">
        <w:rPr>
          <w:rFonts w:asciiTheme="minorHAnsi" w:hAnsiTheme="minorHAnsi" w:cstheme="minorHAnsi"/>
        </w:rPr>
        <w:tab/>
      </w:r>
      <w:r w:rsidRPr="007809F4">
        <w:rPr>
          <w:rFonts w:asciiTheme="minorHAnsi" w:hAnsiTheme="minorHAnsi" w:cstheme="minorHAnsi"/>
          <w:i/>
        </w:rPr>
        <w:t>Sentencing Act 1995</w:t>
      </w:r>
      <w:r w:rsidRPr="007809F4">
        <w:rPr>
          <w:rFonts w:asciiTheme="minorHAnsi" w:hAnsiTheme="minorHAnsi" w:cstheme="minorHAnsi"/>
        </w:rPr>
        <w:t xml:space="preserve"> (WA) Part 9, Part 10.</w:t>
      </w:r>
    </w:p>
  </w:footnote>
  <w:footnote w:id="649">
    <w:p w14:paraId="12DC93C0" w14:textId="5E8A52E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Sentencing Act 2017</w:t>
      </w:r>
      <w:r w:rsidRPr="007809F4">
        <w:rPr>
          <w:rFonts w:asciiTheme="minorHAnsi" w:hAnsiTheme="minorHAnsi" w:cstheme="minorHAnsi"/>
        </w:rPr>
        <w:t xml:space="preserve"> (SA), Part 3, Div 7, sub-div 1 and 2.  Although not prescribed, a sentence of community service under the Act may also be available, on the basis that it is similar to a community service order.</w:t>
      </w:r>
    </w:p>
  </w:footnote>
  <w:footnote w:id="650">
    <w:p w14:paraId="331CF07C" w14:textId="74BBFBA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(Sentencing) Act 2005</w:t>
      </w:r>
      <w:r w:rsidRPr="007809F4">
        <w:rPr>
          <w:rFonts w:asciiTheme="minorHAnsi" w:hAnsiTheme="minorHAnsi" w:cstheme="minorHAnsi"/>
        </w:rPr>
        <w:t xml:space="preserve"> (ACT), Ch 6 Part 6.1; see </w:t>
      </w:r>
      <w:r w:rsidRPr="007809F4">
        <w:rPr>
          <w:rFonts w:asciiTheme="minorHAnsi" w:hAnsiTheme="minorHAnsi" w:cstheme="minorHAnsi"/>
          <w:i/>
        </w:rPr>
        <w:t>Dowling v Hamlin</w:t>
      </w:r>
      <w:r w:rsidRPr="007809F4">
        <w:rPr>
          <w:rFonts w:asciiTheme="minorHAnsi" w:hAnsiTheme="minorHAnsi" w:cstheme="minorHAnsi"/>
        </w:rPr>
        <w:t xml:space="preserve"> [2006] ACTSC 117</w:t>
      </w:r>
      <w:r w:rsidRPr="00EB7F1E">
        <w:rPr>
          <w:rFonts w:asciiTheme="minorHAnsi" w:hAnsiTheme="minorHAnsi" w:cstheme="minorHAnsi"/>
        </w:rPr>
        <w:fldChar w:fldCharType="begin"/>
      </w:r>
      <w:r w:rsidRPr="007809F4">
        <w:rPr>
          <w:rFonts w:asciiTheme="minorHAnsi" w:hAnsiTheme="minorHAnsi" w:cstheme="minorHAnsi"/>
        </w:rPr>
        <w:instrText xml:space="preserve"> TA \s "Dowling v Hamlin [2006] ACTSC 117"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51">
    <w:p w14:paraId="7842A6AD" w14:textId="781453E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Style w:val="FootnoteReference"/>
          <w:rFonts w:asciiTheme="minorHAnsi" w:hAnsiTheme="minorHAnsi" w:cstheme="minorHAnsi"/>
          <w:sz w:val="20"/>
          <w:vertAlign w:val="superscript"/>
        </w:rPr>
        <w:t xml:space="preserve"> </w:t>
      </w:r>
      <w:r w:rsidRPr="007809F4">
        <w:rPr>
          <w:rFonts w:asciiTheme="minorHAnsi" w:hAnsiTheme="minorHAnsi" w:cstheme="minorHAnsi"/>
        </w:rPr>
        <w:tab/>
      </w:r>
      <w:r w:rsidRPr="007809F4">
        <w:rPr>
          <w:rFonts w:asciiTheme="minorHAnsi" w:hAnsiTheme="minorHAnsi" w:cstheme="minorHAnsi"/>
          <w:i/>
        </w:rPr>
        <w:t xml:space="preserve">Sentencing Act 1995 </w:t>
      </w:r>
      <w:r w:rsidRPr="007809F4">
        <w:rPr>
          <w:rFonts w:asciiTheme="minorHAnsi" w:hAnsiTheme="minorHAnsi" w:cstheme="minorHAnsi"/>
        </w:rPr>
        <w:t>(NT), Part 3 div 4, Part 3 div 4A, Part 3 div 5 sub-div 2, Part 3 div 5 sub-div 2A.</w:t>
      </w:r>
    </w:p>
  </w:footnote>
  <w:footnote w:id="652">
    <w:p w14:paraId="3868E8E2" w14:textId="1803F93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Style w:val="FootnoteReference"/>
          <w:rFonts w:asciiTheme="minorHAnsi" w:hAnsiTheme="minorHAnsi" w:cstheme="minorHAnsi"/>
          <w:sz w:val="20"/>
          <w:vertAlign w:val="superscript"/>
        </w:rPr>
        <w:t xml:space="preserve"> </w:t>
      </w:r>
      <w:r w:rsidRPr="007809F4">
        <w:rPr>
          <w:rFonts w:asciiTheme="minorHAnsi" w:hAnsiTheme="minorHAnsi" w:cstheme="minorHAnsi"/>
        </w:rPr>
        <w:tab/>
      </w:r>
      <w:r w:rsidRPr="007809F4">
        <w:rPr>
          <w:rFonts w:asciiTheme="minorHAnsi" w:hAnsiTheme="minorHAnsi" w:cstheme="minorHAnsi"/>
          <w:i/>
        </w:rPr>
        <w:t>Sentencing Act 1997</w:t>
      </w:r>
      <w:r w:rsidRPr="007809F4">
        <w:rPr>
          <w:rFonts w:asciiTheme="minorHAnsi" w:hAnsiTheme="minorHAnsi" w:cstheme="minorHAnsi"/>
        </w:rPr>
        <w:t xml:space="preserve"> (Tas), </w:t>
      </w:r>
      <w:r w:rsidRPr="009541AE">
        <w:rPr>
          <w:rFonts w:asciiTheme="minorHAnsi" w:hAnsiTheme="minorHAnsi" w:cstheme="minorHAnsi"/>
        </w:rPr>
        <w:t xml:space="preserve">Part 5A, </w:t>
      </w:r>
      <w:r w:rsidRPr="007809F4">
        <w:rPr>
          <w:rFonts w:asciiTheme="minorHAnsi" w:hAnsiTheme="minorHAnsi" w:cstheme="minorHAnsi"/>
        </w:rPr>
        <w:t>Part 4.</w:t>
      </w:r>
    </w:p>
  </w:footnote>
  <w:footnote w:id="653">
    <w:p w14:paraId="719D5128" w14:textId="7B9C7C8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Adams v Carr</w:t>
      </w:r>
      <w:r w:rsidRPr="007809F4">
        <w:rPr>
          <w:rFonts w:asciiTheme="minorHAnsi" w:hAnsiTheme="minorHAnsi" w:cstheme="minorHAnsi"/>
        </w:rPr>
        <w:t xml:space="preserve"> (1987) 47 SASR 205</w:t>
      </w:r>
      <w:r w:rsidRPr="00EB7F1E">
        <w:rPr>
          <w:rFonts w:asciiTheme="minorHAnsi" w:hAnsiTheme="minorHAnsi" w:cstheme="minorHAnsi"/>
        </w:rPr>
        <w:fldChar w:fldCharType="begin"/>
      </w:r>
      <w:r w:rsidRPr="00EB7F1E">
        <w:rPr>
          <w:rFonts w:asciiTheme="minorHAnsi" w:hAnsiTheme="minorHAnsi" w:cstheme="minorHAnsi"/>
        </w:rPr>
        <w:instrText xml:space="preserve"> TA \s "Adams v Carr (1987) 47 SASR 205"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54">
    <w:p w14:paraId="1B58C3C6" w14:textId="0ABD0A0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Costanzo</w:t>
      </w:r>
      <w:r w:rsidRPr="007809F4">
        <w:rPr>
          <w:rFonts w:asciiTheme="minorHAnsi" w:hAnsiTheme="minorHAnsi" w:cstheme="minorHAnsi"/>
        </w:rPr>
        <w:t xml:space="preserve"> [2005] 2 Qd R 385</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Costanzo [2005] 2 Qd R 385" </w:instrText>
      </w:r>
      <w:r w:rsidRPr="00EB7F1E">
        <w:rPr>
          <w:rFonts w:asciiTheme="minorHAnsi" w:hAnsiTheme="minorHAnsi" w:cstheme="minorHAnsi"/>
        </w:rPr>
        <w:fldChar w:fldCharType="end"/>
      </w:r>
      <w:r w:rsidRPr="007809F4">
        <w:rPr>
          <w:rFonts w:asciiTheme="minorHAnsi" w:hAnsiTheme="minorHAnsi" w:cstheme="minorHAnsi"/>
        </w:rPr>
        <w:t>, [23].  In that case it was held that a State order which was interim or provisional was not similar to a community service order, which was necessarily a final order.</w:t>
      </w:r>
    </w:p>
  </w:footnote>
  <w:footnote w:id="655">
    <w:p w14:paraId="7383E24F" w14:textId="0304687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Tran</w:t>
      </w:r>
      <w:r w:rsidRPr="007809F4">
        <w:rPr>
          <w:rFonts w:asciiTheme="minorHAnsi" w:hAnsiTheme="minorHAnsi" w:cstheme="minorHAnsi"/>
        </w:rPr>
        <w:t xml:space="preserve"> [2019] SASCFC 5</w:t>
      </w:r>
      <w:r w:rsidRPr="00EB7F1E">
        <w:rPr>
          <w:rFonts w:asciiTheme="minorHAnsi" w:hAnsiTheme="minorHAnsi" w:cstheme="minorHAnsi"/>
        </w:rPr>
        <w:fldChar w:fldCharType="begin"/>
      </w:r>
      <w:r w:rsidRPr="007809F4">
        <w:rPr>
          <w:rFonts w:asciiTheme="minorHAnsi" w:hAnsiTheme="minorHAnsi" w:cstheme="minorHAnsi"/>
        </w:rPr>
        <w:instrText xml:space="preserve"> TA \s "R v Tran [2019] SASCFC 5" </w:instrText>
      </w:r>
      <w:r w:rsidRPr="00EB7F1E">
        <w:rPr>
          <w:rFonts w:asciiTheme="minorHAnsi" w:hAnsiTheme="minorHAnsi" w:cstheme="minorHAnsi"/>
        </w:rPr>
        <w:fldChar w:fldCharType="end"/>
      </w:r>
      <w:r w:rsidRPr="007809F4">
        <w:rPr>
          <w:rFonts w:asciiTheme="minorHAnsi" w:hAnsiTheme="minorHAnsi" w:cstheme="minorHAnsi"/>
        </w:rPr>
        <w:t xml:space="preserve">.  That decision concerned a home detention order under the </w:t>
      </w:r>
      <w:r w:rsidRPr="00EB7F1E">
        <w:rPr>
          <w:rFonts w:asciiTheme="minorHAnsi" w:hAnsiTheme="minorHAnsi" w:cstheme="minorHAnsi"/>
          <w:i/>
        </w:rPr>
        <w:t>Criminal Law (Sentencing) Act 1988</w:t>
      </w:r>
      <w:r w:rsidRPr="00EB7F1E">
        <w:rPr>
          <w:rFonts w:asciiTheme="minorHAnsi" w:hAnsiTheme="minorHAnsi" w:cstheme="minorHAnsi"/>
        </w:rPr>
        <w:t xml:space="preserve"> (SA)</w:t>
      </w:r>
      <w:r w:rsidRPr="007809F4">
        <w:rPr>
          <w:rFonts w:asciiTheme="minorHAnsi" w:hAnsiTheme="minorHAnsi" w:cstheme="minorHAnsi"/>
        </w:rPr>
        <w:t xml:space="preserve">.  In </w:t>
      </w:r>
      <w:r w:rsidRPr="00EB7F1E">
        <w:rPr>
          <w:rFonts w:asciiTheme="minorHAnsi" w:hAnsiTheme="minorHAnsi" w:cstheme="minorHAnsi"/>
          <w:i/>
        </w:rPr>
        <w:t>R v Medalian</w:t>
      </w:r>
      <w:r w:rsidRPr="007809F4">
        <w:rPr>
          <w:rFonts w:asciiTheme="minorHAnsi" w:hAnsiTheme="minorHAnsi" w:cstheme="minorHAnsi"/>
        </w:rPr>
        <w:t xml:space="preserve"> [2019] SASCFC 40</w:t>
      </w:r>
      <w:r w:rsidRPr="00EB7F1E">
        <w:rPr>
          <w:rFonts w:asciiTheme="minorHAnsi" w:hAnsiTheme="minorHAnsi" w:cstheme="minorHAnsi"/>
        </w:rPr>
        <w:fldChar w:fldCharType="begin"/>
      </w:r>
      <w:r w:rsidRPr="00EB7F1E">
        <w:rPr>
          <w:rFonts w:asciiTheme="minorHAnsi" w:hAnsiTheme="minorHAnsi" w:cstheme="minorHAnsi"/>
        </w:rPr>
        <w:instrText xml:space="preserve"> TA  \s "R v Medalian [2019] SASCFC 40" </w:instrText>
      </w:r>
      <w:r w:rsidRPr="00EB7F1E">
        <w:rPr>
          <w:rFonts w:asciiTheme="minorHAnsi" w:hAnsiTheme="minorHAnsi" w:cstheme="minorHAnsi"/>
        </w:rPr>
        <w:fldChar w:fldCharType="end"/>
      </w:r>
      <w:r w:rsidRPr="007809F4">
        <w:rPr>
          <w:rFonts w:asciiTheme="minorHAnsi" w:hAnsiTheme="minorHAnsi" w:cstheme="minorHAnsi"/>
        </w:rPr>
        <w:t xml:space="preserve">, the reasoning in </w:t>
      </w:r>
      <w:r w:rsidRPr="00EB7F1E">
        <w:rPr>
          <w:rFonts w:asciiTheme="minorHAnsi" w:hAnsiTheme="minorHAnsi" w:cstheme="minorHAnsi"/>
          <w:i/>
        </w:rPr>
        <w:t>Tran</w:t>
      </w:r>
      <w:r w:rsidRPr="007809F4">
        <w:rPr>
          <w:rFonts w:asciiTheme="minorHAnsi" w:hAnsiTheme="minorHAnsi" w:cstheme="minorHAnsi"/>
        </w:rPr>
        <w:t xml:space="preserve"> was applied to an order under the successor to that Act, the </w:t>
      </w:r>
      <w:r w:rsidRPr="00EB7F1E">
        <w:rPr>
          <w:rFonts w:asciiTheme="minorHAnsi" w:hAnsiTheme="minorHAnsi" w:cstheme="minorHAnsi"/>
          <w:i/>
        </w:rPr>
        <w:t>Sentencing Act 2017</w:t>
      </w:r>
      <w:r w:rsidRPr="007809F4">
        <w:rPr>
          <w:rFonts w:asciiTheme="minorHAnsi" w:hAnsiTheme="minorHAnsi" w:cstheme="minorHAnsi"/>
        </w:rPr>
        <w:t xml:space="preserve"> (SA), which was not materially different.</w:t>
      </w:r>
    </w:p>
  </w:footnote>
  <w:footnote w:id="656">
    <w:p w14:paraId="4D839357" w14:textId="546EFF7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Tran</w:t>
      </w:r>
      <w:r w:rsidRPr="007809F4">
        <w:rPr>
          <w:rFonts w:asciiTheme="minorHAnsi" w:hAnsiTheme="minorHAnsi" w:cstheme="minorHAnsi"/>
        </w:rPr>
        <w:t xml:space="preserve"> [2019] SASCFC 5</w:t>
      </w:r>
      <w:r w:rsidRPr="00EB7F1E">
        <w:rPr>
          <w:rFonts w:asciiTheme="minorHAnsi" w:hAnsiTheme="minorHAnsi" w:cstheme="minorHAnsi"/>
        </w:rPr>
        <w:fldChar w:fldCharType="begin"/>
      </w:r>
      <w:r w:rsidRPr="007809F4">
        <w:rPr>
          <w:rFonts w:asciiTheme="minorHAnsi" w:hAnsiTheme="minorHAnsi" w:cstheme="minorHAnsi"/>
        </w:rPr>
        <w:instrText xml:space="preserve"> TA \s "R v Tran [2019] SASCFC 5" </w:instrText>
      </w:r>
      <w:r w:rsidRPr="00EB7F1E">
        <w:rPr>
          <w:rFonts w:asciiTheme="minorHAnsi" w:hAnsiTheme="minorHAnsi" w:cstheme="minorHAnsi"/>
        </w:rPr>
        <w:fldChar w:fldCharType="end"/>
      </w:r>
      <w:r w:rsidRPr="007809F4">
        <w:rPr>
          <w:rFonts w:asciiTheme="minorHAnsi" w:hAnsiTheme="minorHAnsi" w:cstheme="minorHAnsi"/>
        </w:rPr>
        <w:t>, [50]-[63].</w:t>
      </w:r>
    </w:p>
  </w:footnote>
  <w:footnote w:id="657">
    <w:p w14:paraId="1132F922" w14:textId="2A7FEBC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Togias</w:t>
      </w:r>
      <w:r w:rsidRPr="007809F4">
        <w:rPr>
          <w:rFonts w:asciiTheme="minorHAnsi" w:hAnsiTheme="minorHAnsi" w:cstheme="minorHAnsi"/>
        </w:rPr>
        <w:t xml:space="preserve"> [2002] NSWCCA 363, [22]-[23].</w:t>
      </w:r>
    </w:p>
  </w:footnote>
  <w:footnote w:id="658">
    <w:p w14:paraId="3CF503FA" w14:textId="0F0364C0"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Togias</w:t>
      </w:r>
      <w:r w:rsidRPr="007809F4">
        <w:rPr>
          <w:rFonts w:asciiTheme="minorHAnsi" w:hAnsiTheme="minorHAnsi" w:cstheme="minorHAnsi"/>
        </w:rPr>
        <w:t xml:space="preserve"> [2001] NSWCCA 522</w:t>
      </w:r>
      <w:r w:rsidRPr="00EB7F1E">
        <w:rPr>
          <w:rFonts w:asciiTheme="minorHAnsi" w:hAnsiTheme="minorHAnsi" w:cstheme="minorHAnsi"/>
        </w:rPr>
        <w:fldChar w:fldCharType="begin"/>
      </w:r>
      <w:r w:rsidRPr="007809F4">
        <w:rPr>
          <w:rFonts w:asciiTheme="minorHAnsi" w:hAnsiTheme="minorHAnsi" w:cstheme="minorHAnsi"/>
        </w:rPr>
        <w:instrText xml:space="preserve"> TA \s "R v Togias [2001] NSWCCA 522"  </w:instrText>
      </w:r>
      <w:r w:rsidRPr="00EB7F1E">
        <w:rPr>
          <w:rFonts w:asciiTheme="minorHAnsi" w:hAnsiTheme="minorHAnsi" w:cstheme="minorHAnsi"/>
        </w:rPr>
        <w:fldChar w:fldCharType="end"/>
      </w:r>
      <w:r w:rsidRPr="007809F4">
        <w:rPr>
          <w:rFonts w:asciiTheme="minorHAnsi" w:hAnsiTheme="minorHAnsi" w:cstheme="minorHAnsi"/>
        </w:rPr>
        <w:t>, [24].</w:t>
      </w:r>
    </w:p>
  </w:footnote>
  <w:footnote w:id="659">
    <w:p w14:paraId="2AE0795C" w14:textId="11850FA3"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Togias</w:t>
      </w:r>
      <w:r w:rsidRPr="007809F4">
        <w:rPr>
          <w:rFonts w:asciiTheme="minorHAnsi" w:hAnsiTheme="minorHAnsi" w:cstheme="minorHAnsi"/>
        </w:rPr>
        <w:t xml:space="preserve"> [2001] NSWCCA 522</w:t>
      </w:r>
      <w:r w:rsidRPr="00EB7F1E">
        <w:rPr>
          <w:rFonts w:asciiTheme="minorHAnsi" w:hAnsiTheme="minorHAnsi" w:cstheme="minorHAnsi"/>
        </w:rPr>
        <w:fldChar w:fldCharType="begin"/>
      </w:r>
      <w:r w:rsidRPr="007809F4">
        <w:rPr>
          <w:rFonts w:asciiTheme="minorHAnsi" w:hAnsiTheme="minorHAnsi" w:cstheme="minorHAnsi"/>
        </w:rPr>
        <w:instrText xml:space="preserve"> TA \s "R v Togias [2001] NSWCCA 522" </w:instrText>
      </w:r>
      <w:r w:rsidRPr="00EB7F1E">
        <w:rPr>
          <w:rFonts w:asciiTheme="minorHAnsi" w:hAnsiTheme="minorHAnsi" w:cstheme="minorHAnsi"/>
        </w:rPr>
        <w:fldChar w:fldCharType="end"/>
      </w:r>
      <w:r w:rsidRPr="007809F4">
        <w:rPr>
          <w:rFonts w:asciiTheme="minorHAnsi" w:hAnsiTheme="minorHAnsi" w:cstheme="minorHAnsi"/>
        </w:rPr>
        <w:t xml:space="preserve">, [24]; see also per Grove J, [100]-[107]; </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Johnsson v R</w:instrText>
      </w:r>
      <w:r w:rsidRPr="007809F4">
        <w:rPr>
          <w:rFonts w:asciiTheme="minorHAnsi" w:hAnsiTheme="minorHAnsi" w:cstheme="minorHAnsi"/>
        </w:rPr>
        <w:instrText xml:space="preserve"> [2007] NSWCCA 192</w:instrText>
      </w:r>
      <w:r w:rsidRPr="00EB7F1E">
        <w:rPr>
          <w:rFonts w:asciiTheme="minorHAnsi" w:hAnsiTheme="minorHAnsi" w:cstheme="minorHAnsi"/>
        </w:rPr>
        <w:instrText xml:space="preserve">" \s "Johnsson v R [2007] NSWCCA 192" \c 1 </w:instrText>
      </w:r>
      <w:r w:rsidRPr="00EB7F1E">
        <w:rPr>
          <w:rFonts w:asciiTheme="minorHAnsi" w:hAnsiTheme="minorHAnsi" w:cstheme="minorHAnsi"/>
          <w:i/>
        </w:rPr>
        <w:fldChar w:fldCharType="end"/>
      </w:r>
      <w:r w:rsidRPr="007809F4">
        <w:rPr>
          <w:rFonts w:asciiTheme="minorHAnsi" w:hAnsiTheme="minorHAnsi" w:cstheme="minorHAnsi"/>
          <w:i/>
        </w:rPr>
        <w:t>Johnsson v R</w:t>
      </w:r>
      <w:r w:rsidRPr="007809F4">
        <w:rPr>
          <w:rFonts w:asciiTheme="minorHAnsi" w:hAnsiTheme="minorHAnsi" w:cstheme="minorHAnsi"/>
        </w:rPr>
        <w:t xml:space="preserve"> [2007] NSWCCA 192, [17]-[24].</w:t>
      </w:r>
    </w:p>
  </w:footnote>
  <w:footnote w:id="660">
    <w:p w14:paraId="14C364D2" w14:textId="011D5402"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Shambayati v R</w:t>
      </w:r>
      <w:r w:rsidRPr="007809F4">
        <w:rPr>
          <w:rFonts w:asciiTheme="minorHAnsi" w:hAnsiTheme="minorHAnsi" w:cstheme="minorHAnsi"/>
          <w:b/>
        </w:rPr>
        <w:t xml:space="preserve"> </w:t>
      </w:r>
      <w:r w:rsidRPr="007809F4">
        <w:rPr>
          <w:rFonts w:asciiTheme="minorHAnsi" w:hAnsiTheme="minorHAnsi" w:cstheme="minorHAnsi"/>
        </w:rPr>
        <w:t>(1999) 105 A Crim R 373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Shambayati v R</w:instrText>
      </w:r>
      <w:r w:rsidRPr="007809F4">
        <w:rPr>
          <w:rFonts w:asciiTheme="minorHAnsi" w:hAnsiTheme="minorHAnsi" w:cstheme="minorHAnsi"/>
          <w:b/>
        </w:rPr>
        <w:instrText xml:space="preserve"> </w:instrText>
      </w:r>
      <w:r w:rsidRPr="007809F4">
        <w:rPr>
          <w:rFonts w:asciiTheme="minorHAnsi" w:hAnsiTheme="minorHAnsi" w:cstheme="minorHAnsi"/>
        </w:rPr>
        <w:instrText xml:space="preserve">(1999) 105 A Crim R 373" \s "Shambayati v R (1999) 105 A Crim R 373" \c 1 </w:instrText>
      </w:r>
      <w:r w:rsidRPr="00EB7F1E">
        <w:rPr>
          <w:rFonts w:asciiTheme="minorHAnsi" w:hAnsiTheme="minorHAnsi" w:cstheme="minorHAnsi"/>
        </w:rPr>
        <w:fldChar w:fldCharType="end"/>
      </w:r>
      <w:r w:rsidRPr="007809F4">
        <w:rPr>
          <w:rFonts w:asciiTheme="minorHAnsi" w:hAnsiTheme="minorHAnsi" w:cstheme="minorHAnsi"/>
        </w:rPr>
        <w:t>, [15].</w:t>
      </w:r>
    </w:p>
  </w:footnote>
  <w:footnote w:id="661">
    <w:p w14:paraId="2AE5BEA2" w14:textId="4FD62B6E" w:rsidR="00D44BCF" w:rsidRPr="007809F4" w:rsidRDefault="00D44BCF">
      <w:pPr>
        <w:pStyle w:val="FootnoteText"/>
        <w:ind w:left="425" w:right="-113"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E.g.</w:t>
      </w:r>
      <w:r w:rsidRPr="007809F4">
        <w:rPr>
          <w:rFonts w:asciiTheme="minorHAnsi" w:hAnsiTheme="minorHAnsi" w:cstheme="minorHAnsi"/>
          <w:i/>
        </w:rPr>
        <w:t xml:space="preserve"> Fedele v R </w:t>
      </w:r>
      <w:r w:rsidRPr="007809F4">
        <w:rPr>
          <w:rFonts w:asciiTheme="minorHAnsi" w:hAnsiTheme="minorHAnsi" w:cstheme="minorHAnsi"/>
        </w:rPr>
        <w:t>[2015] NSWCCA 286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Fedele v R </w:instrText>
      </w:r>
      <w:r w:rsidRPr="007809F4">
        <w:rPr>
          <w:rFonts w:asciiTheme="minorHAnsi" w:hAnsiTheme="minorHAnsi" w:cstheme="minorHAnsi"/>
        </w:rPr>
        <w:instrText>[2015] NSWCCA 286</w:instrText>
      </w:r>
      <w:r w:rsidRPr="00EB7F1E">
        <w:rPr>
          <w:rFonts w:asciiTheme="minorHAnsi" w:hAnsiTheme="minorHAnsi" w:cstheme="minorHAnsi"/>
        </w:rPr>
        <w:instrText xml:space="preserve">" \s "Fedele v R [2015] NSWCCA 286" \c 1 </w:instrText>
      </w:r>
      <w:r w:rsidRPr="00EB7F1E">
        <w:rPr>
          <w:rFonts w:asciiTheme="minorHAnsi" w:hAnsiTheme="minorHAnsi" w:cstheme="minorHAnsi"/>
        </w:rPr>
        <w:fldChar w:fldCharType="end"/>
      </w:r>
      <w:r w:rsidRPr="007809F4">
        <w:rPr>
          <w:rFonts w:asciiTheme="minorHAnsi" w:hAnsiTheme="minorHAnsi" w:cstheme="minorHAnsi"/>
        </w:rPr>
        <w:t>, [71]-[73], [100]-[101].</w:t>
      </w:r>
    </w:p>
  </w:footnote>
  <w:footnote w:id="662">
    <w:p w14:paraId="36E3B05B" w14:textId="3D6241D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 [54]-[55], [59], [80]-[87].</w:t>
      </w:r>
    </w:p>
  </w:footnote>
  <w:footnote w:id="663">
    <w:p w14:paraId="398477CC" w14:textId="7E7EB34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DPP v Meyers</w:t>
      </w:r>
      <w:r w:rsidRPr="007809F4">
        <w:rPr>
          <w:rFonts w:asciiTheme="minorHAnsi" w:hAnsiTheme="minorHAnsi" w:cstheme="minorHAnsi"/>
        </w:rPr>
        <w:t xml:space="preserve"> (Vic SC (Balmford J), 26 April 1996,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bCs/>
          <w:i/>
          <w:iCs/>
        </w:rPr>
        <w:instrText>DPP v Meyers</w:instrText>
      </w:r>
      <w:r w:rsidRPr="007809F4">
        <w:rPr>
          <w:rFonts w:asciiTheme="minorHAnsi" w:hAnsiTheme="minorHAnsi" w:cstheme="minorHAnsi"/>
        </w:rPr>
        <w:instrText xml:space="preserve"> (Vic SC (Balmford J), 26 April 1996, unreported)</w:instrText>
      </w:r>
      <w:r w:rsidRPr="00EB7F1E">
        <w:rPr>
          <w:rFonts w:asciiTheme="minorHAnsi" w:hAnsiTheme="minorHAnsi" w:cstheme="minorHAnsi"/>
        </w:rPr>
        <w:instrText xml:space="preserve">" \s "DPP v Meyers (Vic SC (Balmford J), 26 April 1996, unreported)"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Ede</w:t>
      </w:r>
      <w:r w:rsidRPr="007809F4">
        <w:rPr>
          <w:rFonts w:asciiTheme="minorHAnsi" w:hAnsiTheme="minorHAnsi" w:cstheme="minorHAnsi"/>
        </w:rPr>
        <w:t xml:space="preserve"> [2014] NSWCA 282</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Ede [2014] NSWCA 282" </w:instrText>
      </w:r>
      <w:r w:rsidRPr="00EB7F1E">
        <w:rPr>
          <w:rFonts w:asciiTheme="minorHAnsi" w:hAnsiTheme="minorHAnsi" w:cstheme="minorHAnsi"/>
        </w:rPr>
        <w:fldChar w:fldCharType="end"/>
      </w:r>
      <w:r w:rsidRPr="007809F4">
        <w:rPr>
          <w:rFonts w:asciiTheme="minorHAnsi" w:hAnsiTheme="minorHAnsi" w:cstheme="minorHAnsi"/>
        </w:rPr>
        <w:t>, [34].</w:t>
      </w:r>
    </w:p>
  </w:footnote>
  <w:footnote w:id="664">
    <w:p w14:paraId="72F01897" w14:textId="5B7C4F5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 xml:space="preserve">, the Court held that a community correction order under the </w:t>
      </w:r>
      <w:r w:rsidRPr="007809F4">
        <w:rPr>
          <w:rFonts w:asciiTheme="minorHAnsi" w:hAnsiTheme="minorHAnsi" w:cstheme="minorHAnsi"/>
          <w:i/>
        </w:rPr>
        <w:t>Sentencing Act 1991</w:t>
      </w:r>
      <w:r w:rsidRPr="007809F4">
        <w:rPr>
          <w:rFonts w:asciiTheme="minorHAnsi" w:hAnsiTheme="minorHAnsi" w:cstheme="minorHAnsi"/>
        </w:rPr>
        <w:t xml:space="preserve"> (Vic) could not be combined with a sentence of imprisonment.  However at [88]-[93], the Court left open the question whether, under the </w:t>
      </w:r>
      <w:r w:rsidRPr="007809F4">
        <w:rPr>
          <w:rFonts w:asciiTheme="minorHAnsi" w:hAnsiTheme="minorHAnsi" w:cstheme="minorHAnsi"/>
          <w:i/>
        </w:rPr>
        <w:t>Crimes Act 1914</w:t>
      </w:r>
      <w:r w:rsidRPr="007809F4">
        <w:rPr>
          <w:rFonts w:asciiTheme="minorHAnsi" w:hAnsiTheme="minorHAnsi" w:cstheme="minorHAnsi"/>
        </w:rPr>
        <w:t xml:space="preserve"> (Cth), two sentencing options could be combined in a sentence for a single offence.</w:t>
      </w:r>
    </w:p>
  </w:footnote>
  <w:footnote w:id="665">
    <w:p w14:paraId="06CD8829" w14:textId="4AFCFD1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66">
    <w:p w14:paraId="38442355" w14:textId="4F19849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 [82]-[87].</w:t>
      </w:r>
    </w:p>
  </w:footnote>
  <w:footnote w:id="667">
    <w:p w14:paraId="39BF5DB5" w14:textId="29138F4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 xml:space="preserve">, [88]-[93].  See also </w:t>
      </w:r>
      <w:r w:rsidRPr="00EB7F1E">
        <w:rPr>
          <w:rFonts w:asciiTheme="minorHAnsi" w:hAnsiTheme="minorHAnsi" w:cstheme="minorHAnsi"/>
          <w:i/>
        </w:rPr>
        <w:t>R v Tran</w:t>
      </w:r>
      <w:r w:rsidRPr="007809F4">
        <w:rPr>
          <w:rFonts w:asciiTheme="minorHAnsi" w:hAnsiTheme="minorHAnsi" w:cstheme="minorHAnsi"/>
        </w:rPr>
        <w:t xml:space="preserve"> [2019] SASCFC 5</w:t>
      </w:r>
      <w:r w:rsidRPr="00EB7F1E">
        <w:rPr>
          <w:rFonts w:asciiTheme="minorHAnsi" w:hAnsiTheme="minorHAnsi" w:cstheme="minorHAnsi"/>
        </w:rPr>
        <w:fldChar w:fldCharType="begin"/>
      </w:r>
      <w:r w:rsidRPr="007809F4">
        <w:rPr>
          <w:rFonts w:asciiTheme="minorHAnsi" w:hAnsiTheme="minorHAnsi" w:cstheme="minorHAnsi"/>
        </w:rPr>
        <w:instrText xml:space="preserve"> TA \s "R v Tran [2019] SASCFC 5" </w:instrText>
      </w:r>
      <w:r w:rsidRPr="00EB7F1E">
        <w:rPr>
          <w:rFonts w:asciiTheme="minorHAnsi" w:hAnsiTheme="minorHAnsi" w:cstheme="minorHAnsi"/>
        </w:rPr>
        <w:fldChar w:fldCharType="end"/>
      </w:r>
      <w:r w:rsidRPr="007809F4">
        <w:rPr>
          <w:rFonts w:asciiTheme="minorHAnsi" w:hAnsiTheme="minorHAnsi" w:cstheme="minorHAnsi"/>
        </w:rPr>
        <w:t>, [48], [54].</w:t>
      </w:r>
    </w:p>
  </w:footnote>
  <w:footnote w:id="668">
    <w:p w14:paraId="6CCD3FDA" w14:textId="6E6D025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 xml:space="preserve">, [78]–[79].  An example of such a sentence is that imposed on re-sentencing in </w:t>
      </w:r>
      <w:r w:rsidRPr="007809F4">
        <w:rPr>
          <w:rFonts w:asciiTheme="minorHAnsi" w:hAnsiTheme="minorHAnsi" w:cstheme="minorHAnsi"/>
          <w:i/>
        </w:rPr>
        <w:t>Alam v R</w:t>
      </w:r>
      <w:r w:rsidRPr="007809F4">
        <w:rPr>
          <w:rFonts w:asciiTheme="minorHAnsi" w:hAnsiTheme="minorHAnsi" w:cstheme="minorHAnsi"/>
        </w:rPr>
        <w:t xml:space="preserve"> [2015] VSCA 48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Alam v R</w:instrText>
      </w:r>
      <w:r w:rsidRPr="007809F4">
        <w:rPr>
          <w:rFonts w:asciiTheme="minorHAnsi" w:hAnsiTheme="minorHAnsi" w:cstheme="minorHAnsi"/>
        </w:rPr>
        <w:instrText xml:space="preserve"> [2015] VSCA 48</w:instrText>
      </w:r>
      <w:r w:rsidRPr="00EB7F1E">
        <w:rPr>
          <w:rFonts w:asciiTheme="minorHAnsi" w:hAnsiTheme="minorHAnsi" w:cstheme="minorHAnsi"/>
        </w:rPr>
        <w:instrText xml:space="preserve">" \s "Alam v R [2015] VSCA 48" \c 1 </w:instrText>
      </w:r>
      <w:r w:rsidRPr="00EB7F1E">
        <w:rPr>
          <w:rFonts w:asciiTheme="minorHAnsi" w:hAnsiTheme="minorHAnsi" w:cstheme="minorHAnsi"/>
        </w:rPr>
        <w:fldChar w:fldCharType="end"/>
      </w:r>
      <w:r w:rsidRPr="007809F4">
        <w:rPr>
          <w:rFonts w:asciiTheme="minorHAnsi" w:hAnsiTheme="minorHAnsi" w:cstheme="minorHAnsi"/>
        </w:rPr>
        <w:t>, [21]-[22].</w:t>
      </w:r>
    </w:p>
  </w:footnote>
  <w:footnote w:id="669">
    <w:p w14:paraId="51787772" w14:textId="6700ACF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An exception is provided in s 44(3) of the </w:t>
      </w:r>
      <w:r w:rsidRPr="007809F4">
        <w:rPr>
          <w:rFonts w:asciiTheme="minorHAnsi" w:hAnsiTheme="minorHAnsi" w:cstheme="minorHAnsi"/>
          <w:i/>
        </w:rPr>
        <w:t>Sentencing Act 1991</w:t>
      </w:r>
      <w:r w:rsidRPr="007809F4">
        <w:rPr>
          <w:rFonts w:asciiTheme="minorHAnsi" w:hAnsiTheme="minorHAnsi" w:cstheme="minorHAnsi"/>
        </w:rPr>
        <w:t xml:space="preserve"> (Vic) where a CCO is combined with a term of imprisonment under s 44 of the Act (in which case, the CCO commences on the offender’s release or, if the offender is released on parole, on the completion of the parole period).  But that exception could have no application in relation to a term of imprisonment imposed for a federal offence, because s 44 is not applicable in such a case: </w:t>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70">
    <w:p w14:paraId="49054420"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Boulton v R</w:t>
      </w:r>
      <w:r w:rsidRPr="007809F4">
        <w:rPr>
          <w:rFonts w:asciiTheme="minorHAnsi" w:hAnsiTheme="minorHAnsi" w:cstheme="minorHAnsi"/>
        </w:rPr>
        <w:t xml:space="preserve"> (2014) 46 VR 308.</w:t>
      </w:r>
      <w:r w:rsidRPr="00EB7F1E">
        <w:rPr>
          <w:rFonts w:asciiTheme="minorHAnsi" w:hAnsiTheme="minorHAnsi" w:cstheme="minorHAnsi"/>
        </w:rPr>
        <w:fldChar w:fldCharType="begin"/>
      </w:r>
      <w:r w:rsidRPr="007809F4">
        <w:rPr>
          <w:rFonts w:asciiTheme="minorHAnsi" w:hAnsiTheme="minorHAnsi" w:cstheme="minorHAnsi"/>
        </w:rPr>
        <w:instrText xml:space="preserve"> TA \s "Boulton v R 46 VR 308" </w:instrText>
      </w:r>
      <w:r w:rsidRPr="00EB7F1E">
        <w:rPr>
          <w:rFonts w:asciiTheme="minorHAnsi" w:hAnsiTheme="minorHAnsi" w:cstheme="minorHAnsi"/>
        </w:rPr>
        <w:fldChar w:fldCharType="end"/>
      </w:r>
    </w:p>
  </w:footnote>
  <w:footnote w:id="671">
    <w:p w14:paraId="66EA508B" w14:textId="45C24FC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That is, “</w:t>
      </w:r>
      <w:r w:rsidRPr="007809F4">
        <w:rPr>
          <w:rFonts w:asciiTheme="minorHAnsi" w:hAnsiTheme="minorHAnsi" w:cstheme="minorHAnsi"/>
          <w:i/>
        </w:rPr>
        <w:t>a judgment that is expressed to contain guidelines to be taken into account by courts in sentencing offenders</w:t>
      </w:r>
      <w:r w:rsidRPr="007809F4">
        <w:rPr>
          <w:rFonts w:asciiTheme="minorHAnsi" w:hAnsiTheme="minorHAnsi" w:cstheme="minorHAnsi"/>
        </w:rPr>
        <w:t xml:space="preserve">”: </w:t>
      </w:r>
      <w:r w:rsidRPr="007809F4">
        <w:rPr>
          <w:rFonts w:asciiTheme="minorHAnsi" w:hAnsiTheme="minorHAnsi" w:cstheme="minorHAnsi"/>
          <w:i/>
        </w:rPr>
        <w:t>Sentencing Act 1991</w:t>
      </w:r>
      <w:r w:rsidRPr="007809F4">
        <w:rPr>
          <w:rFonts w:asciiTheme="minorHAnsi" w:hAnsiTheme="minorHAnsi" w:cstheme="minorHAnsi"/>
        </w:rPr>
        <w:t xml:space="preserve"> (Vic), s 6AA.</w:t>
      </w:r>
    </w:p>
  </w:footnote>
  <w:footnote w:id="672">
    <w:p w14:paraId="441F1B1D" w14:textId="1FF91B7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73">
    <w:p w14:paraId="2A2FC243" w14:textId="32D65B1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definition of “guideline judgment” in </w:t>
      </w:r>
      <w:r w:rsidRPr="007809F4">
        <w:rPr>
          <w:rFonts w:asciiTheme="minorHAnsi" w:hAnsiTheme="minorHAnsi" w:cstheme="minorHAnsi"/>
          <w:i/>
        </w:rPr>
        <w:t>Sentencing Act 1991</w:t>
      </w:r>
      <w:r w:rsidRPr="007809F4">
        <w:rPr>
          <w:rFonts w:asciiTheme="minorHAnsi" w:hAnsiTheme="minorHAnsi" w:cstheme="minorHAnsi"/>
        </w:rPr>
        <w:t xml:space="preserve"> (Vic), s 6AA, now expressly excludes Commonwealth offences as the subject of a guideline judgment.</w:t>
      </w:r>
    </w:p>
  </w:footnote>
  <w:footnote w:id="674">
    <w:p w14:paraId="48D420AA" w14:textId="47B8278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_Ref494281344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7.10.7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_Ref494281344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Aggregate penalty for charges on indictment</w:t>
      </w:r>
      <w:r w:rsidRPr="00EB7F1E">
        <w:rPr>
          <w:rFonts w:asciiTheme="minorHAnsi" w:hAnsiTheme="minorHAnsi" w:cstheme="minorHAnsi"/>
        </w:rPr>
        <w:fldChar w:fldCharType="end"/>
      </w:r>
      <w:r w:rsidRPr="007809F4">
        <w:rPr>
          <w:rFonts w:asciiTheme="minorHAnsi" w:hAnsiTheme="minorHAnsi" w:cstheme="minorHAnsi"/>
        </w:rPr>
        <w:t>”.</w:t>
      </w:r>
    </w:p>
  </w:footnote>
  <w:footnote w:id="675">
    <w:p w14:paraId="32B1E793" w14:textId="53606BD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_Ref494218216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7.10.6</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_Ref494218216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State/Territory provisions permitting aggregate sentences in matters determined summarily</w:t>
      </w:r>
      <w:r w:rsidRPr="00EB7F1E">
        <w:rPr>
          <w:rFonts w:asciiTheme="minorHAnsi" w:hAnsiTheme="minorHAnsi" w:cstheme="minorHAnsi"/>
        </w:rPr>
        <w:fldChar w:fldCharType="end"/>
      </w:r>
      <w:r w:rsidRPr="007809F4">
        <w:rPr>
          <w:rFonts w:asciiTheme="minorHAnsi" w:hAnsiTheme="minorHAnsi" w:cstheme="minorHAnsi"/>
        </w:rPr>
        <w:t>”.</w:t>
      </w:r>
    </w:p>
  </w:footnote>
  <w:footnote w:id="676">
    <w:p w14:paraId="7C7F0600"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\s "Fasciale v R (2010) 30 VR 643" </w:instrText>
      </w:r>
      <w:r w:rsidRPr="00EB7F1E">
        <w:rPr>
          <w:rFonts w:asciiTheme="minorHAnsi" w:hAnsiTheme="minorHAnsi" w:cstheme="minorHAnsi"/>
        </w:rPr>
        <w:fldChar w:fldCharType="end"/>
      </w:r>
      <w:r w:rsidRPr="007809F4">
        <w:rPr>
          <w:rFonts w:asciiTheme="minorHAnsi" w:hAnsiTheme="minorHAnsi" w:cstheme="minorHAnsi"/>
        </w:rPr>
        <w:t xml:space="preserve"> [27].</w:t>
      </w:r>
    </w:p>
  </w:footnote>
  <w:footnote w:id="677">
    <w:p w14:paraId="1F54EBBB" w14:textId="50FEB6B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20AC(6)(a).  In </w:t>
      </w:r>
      <w:r w:rsidRPr="007809F4">
        <w:rPr>
          <w:rFonts w:asciiTheme="minorHAnsi" w:hAnsiTheme="minorHAnsi" w:cstheme="minorHAnsi"/>
          <w:i/>
        </w:rPr>
        <w:t xml:space="preserve">Grimm v R </w:t>
      </w:r>
      <w:r w:rsidRPr="007809F4">
        <w:rPr>
          <w:rFonts w:asciiTheme="minorHAnsi" w:hAnsiTheme="minorHAnsi" w:cstheme="minorHAnsi"/>
        </w:rPr>
        <w:t>(1995) 124 FLR 372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Grimm v R </w:instrText>
      </w:r>
      <w:r w:rsidRPr="007809F4">
        <w:rPr>
          <w:rFonts w:asciiTheme="minorHAnsi" w:hAnsiTheme="minorHAnsi" w:cstheme="minorHAnsi"/>
        </w:rPr>
        <w:instrText xml:space="preserve">(1995) 124 FLR 372" \s "Grimm v R (1995) 124 FLR 372" \c 1 </w:instrText>
      </w:r>
      <w:r w:rsidRPr="00EB7F1E">
        <w:rPr>
          <w:rFonts w:asciiTheme="minorHAnsi" w:hAnsiTheme="minorHAnsi" w:cstheme="minorHAnsi"/>
        </w:rPr>
        <w:fldChar w:fldCharType="end"/>
      </w:r>
      <w:r w:rsidRPr="007809F4">
        <w:rPr>
          <w:rFonts w:asciiTheme="minorHAnsi" w:hAnsiTheme="minorHAnsi" w:cstheme="minorHAnsi"/>
        </w:rPr>
        <w:t xml:space="preserve"> the Court proceeded on the basis that the option to impose a pecuniary penalty order for breaching of a NSW community service order pursuant to s 20AC(6) of the </w:t>
      </w:r>
      <w:r w:rsidRPr="007809F4">
        <w:rPr>
          <w:rFonts w:asciiTheme="minorHAnsi" w:hAnsiTheme="minorHAnsi" w:cstheme="minorHAnsi"/>
          <w:i/>
        </w:rPr>
        <w:t>Crimes Act 1914</w:t>
      </w:r>
      <w:r w:rsidRPr="007809F4">
        <w:rPr>
          <w:rFonts w:asciiTheme="minorHAnsi" w:hAnsiTheme="minorHAnsi" w:cstheme="minorHAnsi"/>
        </w:rPr>
        <w:t xml:space="preserve"> (Cth) was limited to circumstances where the court did not alter the original sentence.  If a court revokes the original sentence, it cannot also impose a pecuniary penalty order.</w:t>
      </w:r>
    </w:p>
  </w:footnote>
  <w:footnote w:id="678">
    <w:p w14:paraId="503098D9" w14:textId="3D64C9B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Lewis v Chief Executive Department of Justice and Community Safety</w:t>
      </w:r>
      <w:r w:rsidRPr="007809F4">
        <w:rPr>
          <w:rFonts w:asciiTheme="minorHAnsi" w:hAnsiTheme="minorHAnsi" w:cstheme="minorHAnsi"/>
        </w:rPr>
        <w:t xml:space="preserve"> [2013] ACTSC 198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Lewis v Chief Executive Department of Justice and Community Safety</w:instrText>
      </w:r>
      <w:r w:rsidRPr="007809F4">
        <w:rPr>
          <w:rFonts w:asciiTheme="minorHAnsi" w:hAnsiTheme="minorHAnsi" w:cstheme="minorHAnsi"/>
        </w:rPr>
        <w:instrText xml:space="preserve"> [2013] ACTSC 198</w:instrText>
      </w:r>
      <w:r w:rsidRPr="00EB7F1E">
        <w:rPr>
          <w:rFonts w:asciiTheme="minorHAnsi" w:hAnsiTheme="minorHAnsi" w:cstheme="minorHAnsi"/>
        </w:rPr>
        <w:instrText xml:space="preserve">" \s "Lewis v Chief Executive Department of Justice and Community Safety [2013] ACTSC 198" \c 1 </w:instrText>
      </w:r>
      <w:r w:rsidRPr="00EB7F1E">
        <w:rPr>
          <w:rFonts w:asciiTheme="minorHAnsi" w:hAnsiTheme="minorHAnsi" w:cstheme="minorHAnsi"/>
        </w:rPr>
        <w:fldChar w:fldCharType="end"/>
      </w:r>
      <w:r w:rsidRPr="007809F4">
        <w:rPr>
          <w:rFonts w:asciiTheme="minorHAnsi" w:hAnsiTheme="minorHAnsi" w:cstheme="minorHAnsi"/>
        </w:rPr>
        <w:t>, [45]-[46].</w:t>
      </w:r>
    </w:p>
  </w:footnote>
  <w:footnote w:id="679">
    <w:p w14:paraId="474C8728" w14:textId="0ED83E2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Lewis v Chief Executive Department of Justice and Community Safety</w:t>
      </w:r>
      <w:r w:rsidRPr="007809F4">
        <w:rPr>
          <w:rFonts w:asciiTheme="minorHAnsi" w:hAnsiTheme="minorHAnsi" w:cstheme="minorHAnsi"/>
        </w:rPr>
        <w:t xml:space="preserve"> [2013] ACTSC 198</w:t>
      </w:r>
      <w:r w:rsidRPr="00EB7F1E">
        <w:rPr>
          <w:rFonts w:asciiTheme="minorHAnsi" w:hAnsiTheme="minorHAnsi" w:cstheme="minorHAnsi"/>
        </w:rPr>
        <w:fldChar w:fldCharType="begin"/>
      </w:r>
      <w:r w:rsidRPr="007809F4">
        <w:rPr>
          <w:rFonts w:asciiTheme="minorHAnsi" w:hAnsiTheme="minorHAnsi" w:cstheme="minorHAnsi"/>
        </w:rPr>
        <w:instrText xml:space="preserve"> TA \s "Lewis v Chief Executive Department of Justice and Community Safety [2013] ACTSC 198" </w:instrText>
      </w:r>
      <w:r w:rsidRPr="00EB7F1E">
        <w:rPr>
          <w:rFonts w:asciiTheme="minorHAnsi" w:hAnsiTheme="minorHAnsi" w:cstheme="minorHAnsi"/>
        </w:rPr>
        <w:fldChar w:fldCharType="end"/>
      </w:r>
      <w:r w:rsidRPr="007809F4">
        <w:rPr>
          <w:rFonts w:asciiTheme="minorHAnsi" w:hAnsiTheme="minorHAnsi" w:cstheme="minorHAnsi"/>
        </w:rPr>
        <w:t>, [46].</w:t>
      </w:r>
    </w:p>
  </w:footnote>
  <w:footnote w:id="680">
    <w:p w14:paraId="0E8F834B" w14:textId="7ED4B2B9" w:rsidR="00D44BCF" w:rsidRPr="007809F4" w:rsidRDefault="00D44BCF" w:rsidP="00E82387">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This sub-section overcomes a limitation identified in </w:t>
      </w:r>
      <w:r w:rsidRPr="007809F4">
        <w:rPr>
          <w:rFonts w:asciiTheme="minorHAnsi" w:hAnsiTheme="minorHAnsi" w:cstheme="minorHAnsi"/>
          <w:i/>
        </w:rPr>
        <w:t>Adams v Carr</w:t>
      </w:r>
      <w:r w:rsidRPr="007809F4">
        <w:rPr>
          <w:rFonts w:asciiTheme="minorHAnsi" w:hAnsiTheme="minorHAnsi" w:cstheme="minorHAnsi"/>
        </w:rPr>
        <w:t xml:space="preserve"> (1987) 47 SASR 205</w:t>
      </w:r>
      <w:r w:rsidRPr="00EB7F1E">
        <w:rPr>
          <w:rFonts w:asciiTheme="minorHAnsi" w:hAnsiTheme="minorHAnsi" w:cstheme="minorHAnsi"/>
        </w:rPr>
        <w:fldChar w:fldCharType="begin"/>
      </w:r>
      <w:r w:rsidRPr="007809F4">
        <w:rPr>
          <w:rFonts w:asciiTheme="minorHAnsi" w:hAnsiTheme="minorHAnsi" w:cstheme="minorHAnsi"/>
        </w:rPr>
        <w:instrText xml:space="preserve"> TA \s "Adams v Carr (1987) 47 SASR 205"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81">
    <w:p w14:paraId="430AD098" w14:textId="7FB1AE4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R v Tran</w:t>
      </w:r>
      <w:r w:rsidRPr="007809F4">
        <w:rPr>
          <w:rFonts w:asciiTheme="minorHAnsi" w:hAnsiTheme="minorHAnsi" w:cstheme="minorHAnsi"/>
        </w:rPr>
        <w:t xml:space="preserve"> [2019] SASCFC 5</w:t>
      </w:r>
      <w:r w:rsidRPr="00EB7F1E">
        <w:rPr>
          <w:rFonts w:asciiTheme="minorHAnsi" w:hAnsiTheme="minorHAnsi" w:cstheme="minorHAnsi"/>
        </w:rPr>
        <w:fldChar w:fldCharType="begin"/>
      </w:r>
      <w:r w:rsidRPr="007809F4">
        <w:rPr>
          <w:rFonts w:asciiTheme="minorHAnsi" w:hAnsiTheme="minorHAnsi" w:cstheme="minorHAnsi"/>
        </w:rPr>
        <w:instrText xml:space="preserve"> TA \s "R v Tran [2019] SASCFC 5" </w:instrText>
      </w:r>
      <w:r w:rsidRPr="00EB7F1E">
        <w:rPr>
          <w:rFonts w:asciiTheme="minorHAnsi" w:hAnsiTheme="minorHAnsi" w:cstheme="minorHAnsi"/>
        </w:rPr>
        <w:fldChar w:fldCharType="end"/>
      </w:r>
      <w:r w:rsidRPr="007809F4">
        <w:rPr>
          <w:rFonts w:asciiTheme="minorHAnsi" w:hAnsiTheme="minorHAnsi" w:cstheme="minorHAnsi"/>
        </w:rPr>
        <w:t>, [43]-[44].</w:t>
      </w:r>
    </w:p>
  </w:footnote>
  <w:footnote w:id="682">
    <w:p w14:paraId="262A1311" w14:textId="56B3AC8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Carroll </w:t>
      </w:r>
      <w:r w:rsidRPr="007809F4">
        <w:rPr>
          <w:rFonts w:asciiTheme="minorHAnsi" w:hAnsiTheme="minorHAnsi" w:cstheme="minorHAnsi"/>
        </w:rPr>
        <w:t>[1991] 2 VR 509</w:t>
      </w:r>
      <w:r w:rsidRPr="00EB7F1E">
        <w:rPr>
          <w:rFonts w:asciiTheme="minorHAnsi" w:hAnsiTheme="minorHAnsi" w:cstheme="minorHAnsi"/>
        </w:rPr>
        <w:fldChar w:fldCharType="begin"/>
      </w:r>
      <w:r w:rsidRPr="007809F4">
        <w:rPr>
          <w:rFonts w:asciiTheme="minorHAnsi" w:hAnsiTheme="minorHAnsi" w:cstheme="minorHAnsi"/>
        </w:rPr>
        <w:instrText xml:space="preserve"> TA \s "R v Carroll [1991] 2 VR 509"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R v Robison</w:t>
      </w:r>
      <w:r w:rsidRPr="007809F4">
        <w:rPr>
          <w:rFonts w:asciiTheme="minorHAnsi" w:hAnsiTheme="minorHAnsi" w:cstheme="minorHAnsi"/>
        </w:rPr>
        <w:t xml:space="preserve"> (1992) 62 A Crim R 374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Robison</w:instrText>
      </w:r>
      <w:r w:rsidRPr="007809F4">
        <w:rPr>
          <w:rFonts w:asciiTheme="minorHAnsi" w:hAnsiTheme="minorHAnsi" w:cstheme="minorHAnsi"/>
        </w:rPr>
        <w:instrText xml:space="preserve"> (1992) 62 A Crim R 374" \s "R v Robison (1992) 62 A Crim R 374"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Robison (1992) 62 A Crim R 374" </w:instrText>
      </w:r>
      <w:r w:rsidRPr="00EB7F1E">
        <w:rPr>
          <w:rFonts w:asciiTheme="minorHAnsi" w:hAnsiTheme="minorHAnsi" w:cstheme="minorHAnsi"/>
        </w:rPr>
        <w:fldChar w:fldCharType="end"/>
      </w:r>
      <w:r w:rsidRPr="007809F4">
        <w:rPr>
          <w:rFonts w:asciiTheme="minorHAnsi" w:hAnsiTheme="minorHAnsi" w:cstheme="minorHAnsi"/>
        </w:rPr>
        <w:t>, 381.</w:t>
      </w:r>
    </w:p>
  </w:footnote>
  <w:footnote w:id="683">
    <w:p w14:paraId="0163E861" w14:textId="5E07877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Atanackovic v R</w:t>
      </w:r>
      <w:r w:rsidRPr="007809F4">
        <w:rPr>
          <w:rFonts w:asciiTheme="minorHAnsi" w:hAnsiTheme="minorHAnsi" w:cstheme="minorHAnsi"/>
          <w:noProof/>
        </w:rPr>
        <w:t xml:space="preserve"> </w:t>
      </w:r>
      <w:r w:rsidRPr="007809F4">
        <w:rPr>
          <w:rFonts w:asciiTheme="minorHAnsi" w:hAnsiTheme="minorHAnsi" w:cstheme="minorHAnsi"/>
        </w:rPr>
        <w:t>(2015)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 [103].</w:t>
      </w:r>
    </w:p>
  </w:footnote>
  <w:footnote w:id="684">
    <w:p w14:paraId="74A243BA" w14:textId="4DB8395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Dadson v O’Brien</w:t>
      </w:r>
      <w:r w:rsidRPr="007809F4">
        <w:rPr>
          <w:rFonts w:asciiTheme="minorHAnsi" w:hAnsiTheme="minorHAnsi" w:cstheme="minorHAnsi"/>
        </w:rPr>
        <w:t xml:space="preserve"> [1998] TASSC 75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Dadson v O’Brien</w:instrText>
      </w:r>
      <w:r w:rsidRPr="007809F4">
        <w:rPr>
          <w:rFonts w:asciiTheme="minorHAnsi" w:hAnsiTheme="minorHAnsi" w:cstheme="minorHAnsi"/>
        </w:rPr>
        <w:instrText xml:space="preserve"> [1998] TASSC 75</w:instrText>
      </w:r>
      <w:r w:rsidRPr="00EB7F1E">
        <w:rPr>
          <w:rFonts w:asciiTheme="minorHAnsi" w:hAnsiTheme="minorHAnsi" w:cstheme="minorHAnsi"/>
        </w:rPr>
        <w:instrText>" \s "Dadson v O</w:instrText>
      </w:r>
      <w:r w:rsidRPr="007809F4">
        <w:rPr>
          <w:rFonts w:asciiTheme="minorHAnsi" w:hAnsiTheme="minorHAnsi" w:cstheme="minorHAnsi"/>
        </w:rPr>
        <w:instrText>’</w:instrText>
      </w:r>
      <w:r w:rsidRPr="00EB7F1E">
        <w:rPr>
          <w:rFonts w:asciiTheme="minorHAnsi" w:hAnsiTheme="minorHAnsi" w:cstheme="minorHAnsi"/>
        </w:rPr>
        <w:instrText xml:space="preserve">Brien [1998] TASSC 75"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Warnakulasuriya v R</w:t>
      </w:r>
      <w:r w:rsidRPr="007809F4">
        <w:rPr>
          <w:rFonts w:asciiTheme="minorHAnsi" w:hAnsiTheme="minorHAnsi" w:cstheme="minorHAnsi"/>
        </w:rPr>
        <w:t xml:space="preserve"> [2009] WASC 257</w:t>
      </w:r>
      <w:r w:rsidRPr="00EB7F1E">
        <w:rPr>
          <w:rFonts w:asciiTheme="minorHAnsi" w:hAnsiTheme="minorHAnsi" w:cstheme="minorHAnsi"/>
        </w:rPr>
        <w:fldChar w:fldCharType="begin"/>
      </w:r>
      <w:r w:rsidRPr="00EB7F1E">
        <w:rPr>
          <w:rFonts w:asciiTheme="minorHAnsi" w:hAnsiTheme="minorHAnsi" w:cstheme="minorHAnsi"/>
        </w:rPr>
        <w:instrText xml:space="preserve"> TA \s "Warnakulasuriya v R [2009] WASC 257" </w:instrText>
      </w:r>
      <w:r w:rsidRPr="00EB7F1E">
        <w:rPr>
          <w:rFonts w:asciiTheme="minorHAnsi" w:hAnsiTheme="minorHAnsi" w:cstheme="minorHAnsi"/>
        </w:rPr>
        <w:fldChar w:fldCharType="end"/>
      </w:r>
      <w:r w:rsidRPr="007809F4">
        <w:rPr>
          <w:rFonts w:asciiTheme="minorHAnsi" w:hAnsiTheme="minorHAnsi" w:cstheme="minorHAnsi"/>
        </w:rPr>
        <w:t xml:space="preserve">, [31]-[35]; </w:t>
      </w:r>
      <w:r w:rsidRPr="007809F4">
        <w:rPr>
          <w:rFonts w:asciiTheme="minorHAnsi" w:hAnsiTheme="minorHAnsi" w:cstheme="minorHAnsi"/>
          <w:i/>
        </w:rPr>
        <w:t>R v Engeln</w:t>
      </w:r>
      <w:r w:rsidRPr="007809F4">
        <w:rPr>
          <w:rFonts w:asciiTheme="minorHAnsi" w:hAnsiTheme="minorHAnsi" w:cstheme="minorHAnsi"/>
        </w:rPr>
        <w:t xml:space="preserve"> [2014] QCA 313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Engeln</w:instrText>
      </w:r>
      <w:r w:rsidRPr="007809F4">
        <w:rPr>
          <w:rFonts w:asciiTheme="minorHAnsi" w:hAnsiTheme="minorHAnsi" w:cstheme="minorHAnsi"/>
        </w:rPr>
        <w:instrText xml:space="preserve"> [2014] QCA 313</w:instrText>
      </w:r>
      <w:r w:rsidRPr="00EB7F1E">
        <w:rPr>
          <w:rFonts w:asciiTheme="minorHAnsi" w:hAnsiTheme="minorHAnsi" w:cstheme="minorHAnsi"/>
        </w:rPr>
        <w:instrText xml:space="preserve">" \s "R v Engeln [2014] QCA 313" \c 1 </w:instrText>
      </w:r>
      <w:r w:rsidRPr="00EB7F1E">
        <w:rPr>
          <w:rFonts w:asciiTheme="minorHAnsi" w:hAnsiTheme="minorHAnsi" w:cstheme="minorHAnsi"/>
        </w:rPr>
        <w:fldChar w:fldCharType="end"/>
      </w:r>
      <w:r w:rsidRPr="007809F4">
        <w:rPr>
          <w:rFonts w:asciiTheme="minorHAnsi" w:hAnsiTheme="minorHAnsi" w:cstheme="minorHAnsi"/>
        </w:rPr>
        <w:t xml:space="preserve">, [46]-[53]; </w:t>
      </w:r>
      <w:r w:rsidRPr="007809F4">
        <w:rPr>
          <w:rFonts w:asciiTheme="minorHAnsi" w:hAnsiTheme="minorHAnsi" w:cstheme="minorHAnsi"/>
          <w:i/>
        </w:rPr>
        <w:t>Fedele v R</w:t>
      </w:r>
      <w:r w:rsidRPr="007809F4">
        <w:rPr>
          <w:rFonts w:asciiTheme="minorHAnsi" w:hAnsiTheme="minorHAnsi" w:cstheme="minorHAnsi"/>
        </w:rPr>
        <w:t xml:space="preserve"> [2015] NSWCCA 286</w:t>
      </w:r>
      <w:r w:rsidRPr="00EB7F1E">
        <w:rPr>
          <w:rFonts w:asciiTheme="minorHAnsi" w:hAnsiTheme="minorHAnsi" w:cstheme="minorHAnsi"/>
        </w:rPr>
        <w:fldChar w:fldCharType="begin"/>
      </w:r>
      <w:r w:rsidRPr="007809F4">
        <w:rPr>
          <w:rFonts w:asciiTheme="minorHAnsi" w:hAnsiTheme="minorHAnsi" w:cstheme="minorHAnsi"/>
        </w:rPr>
        <w:instrText xml:space="preserve"> TA \s "Fedele v R [2015] NSWCCA 286" </w:instrText>
      </w:r>
      <w:r w:rsidRPr="00EB7F1E">
        <w:rPr>
          <w:rFonts w:asciiTheme="minorHAnsi" w:hAnsiTheme="minorHAnsi" w:cstheme="minorHAnsi"/>
        </w:rPr>
        <w:fldChar w:fldCharType="end"/>
      </w:r>
      <w:r w:rsidRPr="007809F4">
        <w:rPr>
          <w:rFonts w:asciiTheme="minorHAnsi" w:hAnsiTheme="minorHAnsi" w:cstheme="minorHAnsi"/>
        </w:rPr>
        <w:t>, [28]-[36], [39].</w:t>
      </w:r>
    </w:p>
  </w:footnote>
  <w:footnote w:id="685">
    <w:p w14:paraId="69782B0D" w14:textId="2F7DC1C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17A(2); </w:t>
      </w:r>
      <w:r w:rsidRPr="007809F4">
        <w:rPr>
          <w:rFonts w:asciiTheme="minorHAnsi" w:hAnsiTheme="minorHAnsi" w:cstheme="minorHAnsi"/>
          <w:i/>
        </w:rPr>
        <w:t>Janssen v McShane</w:t>
      </w:r>
      <w:r w:rsidRPr="007809F4">
        <w:rPr>
          <w:rFonts w:asciiTheme="minorHAnsi" w:hAnsiTheme="minorHAnsi" w:cstheme="minorHAnsi"/>
        </w:rPr>
        <w:t xml:space="preserve"> [1992] TASSC 99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Janssen v McShane</w:instrText>
      </w:r>
      <w:r w:rsidRPr="007809F4">
        <w:rPr>
          <w:rFonts w:asciiTheme="minorHAnsi" w:hAnsiTheme="minorHAnsi" w:cstheme="minorHAnsi"/>
        </w:rPr>
        <w:instrText xml:space="preserve"> [1992] TASSC 99" \s "Janssen v McShane [1992] TASSC 99"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86">
    <w:p w14:paraId="592FD487" w14:textId="166BA54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Freeman v Pulford</w:t>
      </w:r>
      <w:r w:rsidRPr="007809F4">
        <w:rPr>
          <w:rFonts w:asciiTheme="minorHAnsi" w:hAnsiTheme="minorHAnsi" w:cstheme="minorHAnsi"/>
        </w:rPr>
        <w:t xml:space="preserve"> (1988) 92 FLR 122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Freeman v Pulford</w:instrText>
      </w:r>
      <w:r w:rsidRPr="007809F4">
        <w:rPr>
          <w:rFonts w:asciiTheme="minorHAnsi" w:hAnsiTheme="minorHAnsi" w:cstheme="minorHAnsi"/>
        </w:rPr>
        <w:instrText xml:space="preserve"> (1988) 92 FLR 122" \s "Freeman v Pulford (1988) 92 FLR 122"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Clayton v Mulcahy</w:t>
      </w:r>
      <w:r w:rsidRPr="007809F4">
        <w:rPr>
          <w:rFonts w:asciiTheme="minorHAnsi" w:hAnsiTheme="minorHAnsi" w:cstheme="minorHAnsi"/>
        </w:rPr>
        <w:t xml:space="preserve"> [1990] TASSC 25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Clayton v Mulcahy</w:instrText>
      </w:r>
      <w:r w:rsidRPr="007809F4">
        <w:rPr>
          <w:rFonts w:asciiTheme="minorHAnsi" w:hAnsiTheme="minorHAnsi" w:cstheme="minorHAnsi"/>
        </w:rPr>
        <w:instrText xml:space="preserve"> [1990] TASSC 25</w:instrText>
      </w:r>
      <w:r w:rsidRPr="00EB7F1E">
        <w:rPr>
          <w:rFonts w:asciiTheme="minorHAnsi" w:hAnsiTheme="minorHAnsi" w:cstheme="minorHAnsi"/>
        </w:rPr>
        <w:instrText xml:space="preserve">" \s "Clayton v Mulcahy [1990] TASSC 25"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687">
    <w:p w14:paraId="16846F91" w14:textId="1AD7E98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Freeman v Pulford</w:t>
      </w:r>
      <w:r w:rsidRPr="007809F4">
        <w:rPr>
          <w:rFonts w:asciiTheme="minorHAnsi" w:hAnsiTheme="minorHAnsi" w:cstheme="minorHAnsi"/>
        </w:rPr>
        <w:t xml:space="preserve"> (1988) 92 FLR 122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Freeman v Pulford</w:instrText>
      </w:r>
      <w:r w:rsidRPr="007809F4">
        <w:rPr>
          <w:rFonts w:asciiTheme="minorHAnsi" w:hAnsiTheme="minorHAnsi" w:cstheme="minorHAnsi"/>
        </w:rPr>
        <w:instrText xml:space="preserve"> (1988) 92 FLR 122" \s "Freeman v Pulford (1988) 92 FLR 122"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Warnakulasuriya v R</w:t>
      </w:r>
      <w:r w:rsidRPr="007809F4">
        <w:rPr>
          <w:rFonts w:asciiTheme="minorHAnsi" w:hAnsiTheme="minorHAnsi" w:cstheme="minorHAnsi"/>
        </w:rPr>
        <w:t xml:space="preserve"> [2009] WASC 257</w:t>
      </w:r>
      <w:r w:rsidRPr="00EB7F1E">
        <w:rPr>
          <w:rFonts w:asciiTheme="minorHAnsi" w:hAnsiTheme="minorHAnsi" w:cstheme="minorHAnsi"/>
        </w:rPr>
        <w:fldChar w:fldCharType="begin"/>
      </w:r>
      <w:r w:rsidRPr="007809F4">
        <w:rPr>
          <w:rFonts w:asciiTheme="minorHAnsi" w:hAnsiTheme="minorHAnsi" w:cstheme="minorHAnsi"/>
        </w:rPr>
        <w:instrText xml:space="preserve"> TA \s "Warnakulasuriya v R [2009] WASC 257" </w:instrText>
      </w:r>
      <w:r w:rsidRPr="00EB7F1E">
        <w:rPr>
          <w:rFonts w:asciiTheme="minorHAnsi" w:hAnsiTheme="minorHAnsi" w:cstheme="minorHAnsi"/>
        </w:rPr>
        <w:fldChar w:fldCharType="end"/>
      </w:r>
      <w:r w:rsidRPr="007809F4">
        <w:rPr>
          <w:rFonts w:asciiTheme="minorHAnsi" w:hAnsiTheme="minorHAnsi" w:cstheme="minorHAnsi"/>
        </w:rPr>
        <w:t xml:space="preserve">, [31]-[34]; </w:t>
      </w:r>
      <w:r w:rsidRPr="007809F4">
        <w:rPr>
          <w:rFonts w:asciiTheme="minorHAnsi" w:hAnsiTheme="minorHAnsi" w:cstheme="minorHAnsi"/>
          <w:i/>
        </w:rPr>
        <w:t>R v Engeln</w:t>
      </w:r>
      <w:r w:rsidRPr="007809F4">
        <w:rPr>
          <w:rFonts w:asciiTheme="minorHAnsi" w:hAnsiTheme="minorHAnsi" w:cstheme="minorHAnsi"/>
        </w:rPr>
        <w:t xml:space="preserve"> [2014] QCA 313</w:t>
      </w:r>
      <w:r w:rsidRPr="00EB7F1E">
        <w:rPr>
          <w:rFonts w:asciiTheme="minorHAnsi" w:hAnsiTheme="minorHAnsi" w:cstheme="minorHAnsi"/>
        </w:rPr>
        <w:fldChar w:fldCharType="begin"/>
      </w:r>
      <w:r w:rsidRPr="007809F4">
        <w:rPr>
          <w:rFonts w:asciiTheme="minorHAnsi" w:hAnsiTheme="minorHAnsi" w:cstheme="minorHAnsi"/>
        </w:rPr>
        <w:instrText xml:space="preserve"> TA \s "R v Engeln [2014] QCA 313" </w:instrText>
      </w:r>
      <w:r w:rsidRPr="00EB7F1E">
        <w:rPr>
          <w:rFonts w:asciiTheme="minorHAnsi" w:hAnsiTheme="minorHAnsi" w:cstheme="minorHAnsi"/>
        </w:rPr>
        <w:fldChar w:fldCharType="end"/>
      </w:r>
      <w:r w:rsidRPr="007809F4">
        <w:rPr>
          <w:rFonts w:asciiTheme="minorHAnsi" w:hAnsiTheme="minorHAnsi" w:cstheme="minorHAnsi"/>
        </w:rPr>
        <w:t xml:space="preserve">, [45]; </w:t>
      </w:r>
      <w:r w:rsidRPr="007809F4">
        <w:rPr>
          <w:rFonts w:asciiTheme="minorHAnsi" w:hAnsiTheme="minorHAnsi" w:cstheme="minorHAnsi"/>
          <w:i/>
        </w:rPr>
        <w:t>Fedele v R</w:t>
      </w:r>
      <w:r w:rsidRPr="007809F4">
        <w:rPr>
          <w:rFonts w:asciiTheme="minorHAnsi" w:hAnsiTheme="minorHAnsi" w:cstheme="minorHAnsi"/>
        </w:rPr>
        <w:t xml:space="preserve"> [2015] NSWCCA 286</w:t>
      </w:r>
      <w:r w:rsidRPr="00EB7F1E">
        <w:rPr>
          <w:rFonts w:asciiTheme="minorHAnsi" w:hAnsiTheme="minorHAnsi" w:cstheme="minorHAnsi"/>
        </w:rPr>
        <w:fldChar w:fldCharType="begin"/>
      </w:r>
      <w:r w:rsidRPr="007809F4">
        <w:rPr>
          <w:rFonts w:asciiTheme="minorHAnsi" w:hAnsiTheme="minorHAnsi" w:cstheme="minorHAnsi"/>
        </w:rPr>
        <w:instrText xml:space="preserve"> TA \s "Fedele v R [2015] NSWCCA 286" </w:instrText>
      </w:r>
      <w:r w:rsidRPr="00EB7F1E">
        <w:rPr>
          <w:rFonts w:asciiTheme="minorHAnsi" w:hAnsiTheme="minorHAnsi" w:cstheme="minorHAnsi"/>
        </w:rPr>
        <w:fldChar w:fldCharType="end"/>
      </w:r>
      <w:r w:rsidRPr="007809F4">
        <w:rPr>
          <w:rFonts w:asciiTheme="minorHAnsi" w:hAnsiTheme="minorHAnsi" w:cstheme="minorHAnsi"/>
        </w:rPr>
        <w:t>, [26].</w:t>
      </w:r>
    </w:p>
  </w:footnote>
  <w:footnote w:id="688">
    <w:p w14:paraId="462C08F0" w14:textId="55ABB68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_Ref485568835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5.8.5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_Ref485568837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Mandatory imprisonment</w:t>
      </w:r>
      <w:r w:rsidRPr="00EB7F1E">
        <w:rPr>
          <w:rFonts w:asciiTheme="minorHAnsi" w:hAnsiTheme="minorHAnsi" w:cstheme="minorHAnsi"/>
        </w:rPr>
        <w:fldChar w:fldCharType="end"/>
      </w:r>
      <w:r w:rsidRPr="007809F4">
        <w:rPr>
          <w:rFonts w:asciiTheme="minorHAnsi" w:hAnsiTheme="minorHAnsi" w:cstheme="minorHAnsi"/>
        </w:rPr>
        <w:t>”.</w:t>
      </w:r>
    </w:p>
  </w:footnote>
  <w:footnote w:id="689">
    <w:p w14:paraId="421877ED" w14:textId="37866A6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Bahar v R</w:t>
      </w:r>
      <w:r w:rsidRPr="007809F4">
        <w:rPr>
          <w:rFonts w:asciiTheme="minorHAnsi" w:hAnsiTheme="minorHAnsi" w:cstheme="minorHAnsi"/>
        </w:rPr>
        <w:t xml:space="preserve"> (2011) 45 WAR 100</w:t>
      </w:r>
      <w:r w:rsidRPr="00EB7F1E">
        <w:rPr>
          <w:rFonts w:asciiTheme="minorHAnsi" w:hAnsiTheme="minorHAnsi" w:cstheme="minorHAnsi"/>
        </w:rPr>
        <w:fldChar w:fldCharType="begin"/>
      </w:r>
      <w:r w:rsidRPr="00EB7F1E">
        <w:rPr>
          <w:rFonts w:asciiTheme="minorHAnsi" w:hAnsiTheme="minorHAnsi" w:cstheme="minorHAnsi"/>
        </w:rPr>
        <w:instrText xml:space="preserve"> TA \s "Bahar v R (2011) 45 WAR 100" </w:instrText>
      </w:r>
      <w:r w:rsidRPr="00EB7F1E">
        <w:rPr>
          <w:rFonts w:asciiTheme="minorHAnsi" w:hAnsiTheme="minorHAnsi" w:cstheme="minorHAnsi"/>
        </w:rPr>
        <w:fldChar w:fldCharType="end"/>
      </w:r>
      <w:r w:rsidRPr="007809F4">
        <w:rPr>
          <w:rFonts w:asciiTheme="minorHAnsi" w:hAnsiTheme="minorHAnsi" w:cstheme="minorHAnsi"/>
        </w:rPr>
        <w:t>, [53] (people smuggling offence to which a mandatory sentence of imprisonment applied).</w:t>
      </w:r>
    </w:p>
  </w:footnote>
  <w:footnote w:id="690">
    <w:p w14:paraId="38534EFB" w14:textId="77777777" w:rsidR="00D44BCF" w:rsidRPr="007809F4" w:rsidRDefault="00D44BCF" w:rsidP="003770DA">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list of offences was amended by Item 148 of Schedule 2 to </w:t>
      </w:r>
      <w:r w:rsidRPr="007809F4">
        <w:rPr>
          <w:rFonts w:asciiTheme="minorHAnsi" w:hAnsiTheme="minorHAnsi" w:cstheme="minorHAnsi"/>
          <w:i/>
          <w:iCs/>
        </w:rPr>
        <w:t>Criminal Code Amendment (Theft, Fraud, Bribery and Related Offences) Act 2000</w:t>
      </w:r>
      <w:r w:rsidRPr="007809F4">
        <w:rPr>
          <w:rFonts w:asciiTheme="minorHAnsi" w:hAnsiTheme="minorHAnsi" w:cstheme="minorHAnsi"/>
          <w:iCs/>
        </w:rPr>
        <w:t xml:space="preserve">, with effect from </w:t>
      </w:r>
      <w:r w:rsidRPr="007809F4">
        <w:rPr>
          <w:rFonts w:asciiTheme="minorHAnsi" w:hAnsiTheme="minorHAnsi" w:cstheme="minorHAnsi"/>
        </w:rPr>
        <w:t xml:space="preserve">24 May 2001.  Prior to the amendment, the restriction in s 17B also applied to offences against ss 29A, 29B, 29C, 29D, 71 and 72 of the </w:t>
      </w:r>
      <w:r w:rsidRPr="007809F4">
        <w:rPr>
          <w:rFonts w:asciiTheme="minorHAnsi" w:hAnsiTheme="minorHAnsi" w:cstheme="minorHAnsi"/>
          <w:i/>
          <w:iCs/>
        </w:rPr>
        <w:t xml:space="preserve">Crimes Act 1914 </w:t>
      </w:r>
      <w:r w:rsidRPr="007809F4">
        <w:rPr>
          <w:rFonts w:asciiTheme="minorHAnsi" w:hAnsiTheme="minorHAnsi" w:cstheme="minorHAnsi"/>
          <w:iCs/>
        </w:rPr>
        <w:t>(Cth)</w:t>
      </w:r>
      <w:r w:rsidRPr="007809F4">
        <w:rPr>
          <w:rFonts w:asciiTheme="minorHAnsi" w:hAnsiTheme="minorHAnsi" w:cstheme="minorHAnsi"/>
        </w:rPr>
        <w:t>.</w:t>
      </w:r>
    </w:p>
  </w:footnote>
  <w:footnote w:id="691">
    <w:p w14:paraId="67188C62" w14:textId="549EDAC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the purposes of calculating the total value, if a s 17B offence is taken into account, it is to be treated as if the person has been convicted of it: </w:t>
      </w:r>
      <w:r w:rsidRPr="007809F4">
        <w:rPr>
          <w:rFonts w:asciiTheme="minorHAnsi" w:hAnsiTheme="minorHAnsi" w:cstheme="minorHAnsi"/>
          <w:i/>
        </w:rPr>
        <w:t>Crimes Act 1914</w:t>
      </w:r>
      <w:r w:rsidRPr="007809F4">
        <w:rPr>
          <w:rFonts w:asciiTheme="minorHAnsi" w:hAnsiTheme="minorHAnsi" w:cstheme="minorHAnsi"/>
        </w:rPr>
        <w:t xml:space="preserve"> (Cth), s 17B(2).</w:t>
      </w:r>
    </w:p>
  </w:footnote>
  <w:footnote w:id="692">
    <w:p w14:paraId="7C6D52F5" w14:textId="3AACD9F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Fasciale v R </w:instrText>
      </w:r>
      <w:r w:rsidRPr="007809F4">
        <w:rPr>
          <w:rFonts w:asciiTheme="minorHAnsi" w:hAnsiTheme="minorHAnsi" w:cstheme="minorHAnsi"/>
        </w:rPr>
        <w:instrText xml:space="preserve">(2010) 30 VR 643" \s "Fasciale v R (2010) 30 VR 643" \c 1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693">
    <w:p w14:paraId="7F547FD5" w14:textId="5149C76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its report </w:t>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 </w:t>
      </w:r>
      <w:r w:rsidRPr="007809F4">
        <w:rPr>
          <w:rFonts w:asciiTheme="minorHAnsi" w:hAnsiTheme="minorHAnsi" w:cstheme="minorHAnsi"/>
        </w:rPr>
        <w:t xml:space="preserve">the </w:t>
      </w:r>
      <w:r w:rsidRPr="007809F4">
        <w:rPr>
          <w:rFonts w:asciiTheme="minorHAnsi" w:hAnsiTheme="minorHAnsi" w:cstheme="minorHAnsi"/>
          <w:iCs/>
        </w:rPr>
        <w:t>Australian Law Reform Commission recommended (recommendation 10-1) that federal sentencing legislation should provide that a federal sentence commences on the day on which it is imposed, subject to any court order directed to the consecutive service of sentences.  The recommendation has not been acted upon.</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694">
    <w:p w14:paraId="0EA297FA"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Legislation Amendment Bill (No 2) 1989 </w:t>
      </w:r>
      <w:r w:rsidRPr="007809F4">
        <w:rPr>
          <w:rFonts w:asciiTheme="minorHAnsi" w:hAnsiTheme="minorHAnsi" w:cstheme="minorHAnsi"/>
        </w:rPr>
        <w:t xml:space="preserve">(Cth), </w:t>
      </w:r>
      <w:r w:rsidRPr="007809F4">
        <w:rPr>
          <w:rFonts w:asciiTheme="minorHAnsi" w:hAnsiTheme="minorHAnsi" w:cstheme="minorHAnsi"/>
          <w:i/>
        </w:rPr>
        <w:t>Explanatory Memorandum (Senate)</w:t>
      </w:r>
      <w:r w:rsidRPr="007809F4">
        <w:rPr>
          <w:rFonts w:asciiTheme="minorHAnsi" w:hAnsiTheme="minorHAnsi" w:cstheme="minorHAnsi"/>
        </w:rPr>
        <w:t>, 8.</w:t>
      </w:r>
    </w:p>
  </w:footnote>
  <w:footnote w:id="695">
    <w:p w14:paraId="17E8445D" w14:textId="1431DB4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the </w:t>
      </w:r>
      <w:r w:rsidRPr="007809F4">
        <w:rPr>
          <w:rFonts w:asciiTheme="minorHAnsi" w:hAnsiTheme="minorHAnsi" w:cstheme="minorHAnsi"/>
          <w:i/>
        </w:rPr>
        <w:t>Sentencing Act 1991</w:t>
      </w:r>
      <w:r w:rsidRPr="007809F4">
        <w:rPr>
          <w:rFonts w:asciiTheme="minorHAnsi" w:hAnsiTheme="minorHAnsi" w:cstheme="minorHAnsi"/>
        </w:rPr>
        <w:t xml:space="preserve"> (Vic), s 17(1) provides that (subject to particular exceptions) a sentence of imprisonment commences on the day that it is imposed unless the offender is not then in custody, in which case it commences on the day he or she is apprehended under a warrant to imprison issued in respect of the sentence.</w:t>
      </w:r>
    </w:p>
  </w:footnote>
  <w:footnote w:id="696">
    <w:p w14:paraId="296398C6" w14:textId="6111019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_Ref504752166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5.8.9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_Ref504752166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Credit for pre-sentence custody for the offence</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w:t>
      </w:r>
    </w:p>
  </w:footnote>
  <w:footnote w:id="697">
    <w:p w14:paraId="08508912" w14:textId="07D9409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Crimes (Sentencing Procedure) Act</w:t>
      </w:r>
      <w:r w:rsidRPr="007809F4">
        <w:rPr>
          <w:rFonts w:asciiTheme="minorHAnsi" w:hAnsiTheme="minorHAnsi" w:cstheme="minorHAnsi"/>
        </w:rPr>
        <w:t xml:space="preserve"> 1999 (NSW), s 47(2)(b).  This provision is applied to the sentencing of federal offenders by s 16E of the </w:t>
      </w:r>
      <w:r w:rsidRPr="00EB7F1E">
        <w:rPr>
          <w:rFonts w:asciiTheme="minorHAnsi" w:hAnsiTheme="minorHAnsi" w:cstheme="minorHAnsi"/>
          <w:i/>
        </w:rPr>
        <w:t>Crimes Act 1914</w:t>
      </w:r>
      <w:r w:rsidRPr="007809F4">
        <w:rPr>
          <w:rFonts w:asciiTheme="minorHAnsi" w:hAnsiTheme="minorHAnsi" w:cstheme="minorHAnsi"/>
        </w:rPr>
        <w:t xml:space="preserve"> (Cth):</w:t>
      </w:r>
      <w:r w:rsidRPr="00EB7F1E">
        <w:rPr>
          <w:rStyle w:val="ssleftalign"/>
          <w:rFonts w:asciiTheme="minorHAnsi" w:hAnsiTheme="minorHAnsi" w:cstheme="minorHAnsi"/>
        </w:rPr>
        <w:t xml:space="preserve"> </w:t>
      </w:r>
      <w:r w:rsidRPr="007809F4">
        <w:rPr>
          <w:rFonts w:asciiTheme="minorHAnsi" w:hAnsiTheme="minorHAnsi" w:cstheme="minorHAnsi"/>
          <w:i/>
        </w:rPr>
        <w:t>Payda v R</w:t>
      </w:r>
      <w:r w:rsidRPr="007809F4">
        <w:rPr>
          <w:rFonts w:asciiTheme="minorHAnsi" w:hAnsiTheme="minorHAnsi" w:cstheme="minorHAnsi"/>
        </w:rPr>
        <w:t xml:space="preserve"> [2013] NSWCCA 109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Payda v R</w:instrText>
      </w:r>
      <w:r w:rsidRPr="007809F4">
        <w:rPr>
          <w:rFonts w:asciiTheme="minorHAnsi" w:hAnsiTheme="minorHAnsi" w:cstheme="minorHAnsi"/>
        </w:rPr>
        <w:instrText xml:space="preserve"> [2013] NSWCCA 109</w:instrText>
      </w:r>
      <w:r w:rsidRPr="00EB7F1E">
        <w:rPr>
          <w:rFonts w:asciiTheme="minorHAnsi" w:hAnsiTheme="minorHAnsi" w:cstheme="minorHAnsi"/>
        </w:rPr>
        <w:instrText xml:space="preserve">" \s "Payda v R [2013] NSWCCA 109" \c 1 </w:instrText>
      </w:r>
      <w:r w:rsidRPr="00EB7F1E">
        <w:rPr>
          <w:rFonts w:asciiTheme="minorHAnsi" w:hAnsiTheme="minorHAnsi" w:cstheme="minorHAnsi"/>
        </w:rPr>
        <w:fldChar w:fldCharType="end"/>
      </w:r>
      <w:r w:rsidRPr="007809F4">
        <w:rPr>
          <w:rFonts w:asciiTheme="minorHAnsi" w:hAnsiTheme="minorHAnsi" w:cstheme="minorHAnsi"/>
        </w:rPr>
        <w:t xml:space="preserve">, [52]-[60]; </w:t>
      </w:r>
      <w:r w:rsidRPr="007809F4">
        <w:rPr>
          <w:rFonts w:asciiTheme="minorHAnsi" w:hAnsiTheme="minorHAnsi" w:cstheme="minorHAnsi"/>
          <w:i/>
        </w:rPr>
        <w:t>Burbridge v R</w:t>
      </w:r>
      <w:r w:rsidRPr="007809F4">
        <w:rPr>
          <w:rFonts w:asciiTheme="minorHAnsi" w:hAnsiTheme="minorHAnsi" w:cstheme="minorHAnsi"/>
        </w:rPr>
        <w:t xml:space="preserve"> [2016] NSWCCA 128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Burbridge v R</w:instrText>
      </w:r>
      <w:r w:rsidRPr="007809F4">
        <w:rPr>
          <w:rFonts w:asciiTheme="minorHAnsi" w:hAnsiTheme="minorHAnsi" w:cstheme="minorHAnsi"/>
        </w:rPr>
        <w:instrText xml:space="preserve"> [2016] NSWCCA 128</w:instrText>
      </w:r>
      <w:r w:rsidRPr="00EB7F1E">
        <w:rPr>
          <w:rFonts w:asciiTheme="minorHAnsi" w:hAnsiTheme="minorHAnsi" w:cstheme="minorHAnsi"/>
        </w:rPr>
        <w:instrText xml:space="preserve">" \s "Burbridge v R [2016] NSWCCA 128" \c 1 </w:instrText>
      </w:r>
      <w:r w:rsidRPr="00EB7F1E">
        <w:rPr>
          <w:rFonts w:asciiTheme="minorHAnsi" w:hAnsiTheme="minorHAnsi" w:cstheme="minorHAnsi"/>
        </w:rPr>
        <w:fldChar w:fldCharType="end"/>
      </w:r>
      <w:r w:rsidRPr="007809F4">
        <w:rPr>
          <w:rFonts w:asciiTheme="minorHAnsi" w:hAnsiTheme="minorHAnsi" w:cstheme="minorHAnsi"/>
        </w:rPr>
        <w:t>, [11].</w:t>
      </w:r>
    </w:p>
  </w:footnote>
  <w:footnote w:id="698">
    <w:p w14:paraId="54066C92" w14:textId="75440BE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[21]-[22], [52].</w:t>
      </w:r>
    </w:p>
  </w:footnote>
  <w:footnote w:id="699">
    <w:p w14:paraId="2D25F9A3" w14:textId="4B360C7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R v TW (No 2)</w:t>
      </w:r>
      <w:r w:rsidRPr="007809F4">
        <w:rPr>
          <w:rFonts w:asciiTheme="minorHAnsi" w:hAnsiTheme="minorHAnsi" w:cstheme="minorHAnsi"/>
        </w:rPr>
        <w:t xml:space="preserve"> [2014] ACTCA 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TW (No 2)</w:instrText>
      </w:r>
      <w:r w:rsidRPr="007809F4">
        <w:rPr>
          <w:rFonts w:asciiTheme="minorHAnsi" w:hAnsiTheme="minorHAnsi" w:cstheme="minorHAnsi"/>
        </w:rPr>
        <w:instrText xml:space="preserve"> [2014] ACTCA 37</w:instrText>
      </w:r>
      <w:r w:rsidRPr="00EB7F1E">
        <w:rPr>
          <w:rFonts w:asciiTheme="minorHAnsi" w:hAnsiTheme="minorHAnsi" w:cstheme="minorHAnsi"/>
        </w:rPr>
        <w:instrText xml:space="preserve">" \s "R v TW (No 2) [2014] ACTCA 37"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00">
    <w:p w14:paraId="427F8C17" w14:textId="27D69CD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E.</w:t>
      </w:r>
      <w:r w:rsidRPr="007809F4">
        <w:rPr>
          <w:rFonts w:asciiTheme="minorHAnsi" w:hAnsiTheme="minorHAnsi" w:cstheme="minorHAnsi"/>
          <w:iCs/>
        </w:rPr>
        <w:t xml:space="preserve">g. </w:t>
      </w:r>
      <w:r w:rsidRPr="007809F4">
        <w:rPr>
          <w:rFonts w:asciiTheme="minorHAnsi" w:hAnsiTheme="minorHAnsi" w:cstheme="minorHAnsi"/>
          <w:i/>
          <w:iCs/>
        </w:rPr>
        <w:t>Crimes (Sentencing Procedure) Act 1999</w:t>
      </w:r>
      <w:r w:rsidRPr="007809F4">
        <w:rPr>
          <w:rFonts w:asciiTheme="minorHAnsi" w:hAnsiTheme="minorHAnsi" w:cstheme="minorHAnsi"/>
          <w:iCs/>
        </w:rPr>
        <w:t xml:space="preserve"> (NSW), s 47(2)(a) (see </w:t>
      </w:r>
      <w:r w:rsidRPr="007809F4">
        <w:rPr>
          <w:rFonts w:asciiTheme="minorHAnsi" w:hAnsiTheme="minorHAnsi" w:cstheme="minorHAnsi"/>
          <w:i/>
          <w:iCs/>
        </w:rPr>
        <w:t>R v McHugh</w:t>
      </w:r>
      <w:r w:rsidRPr="007809F4">
        <w:rPr>
          <w:rFonts w:asciiTheme="minorHAnsi" w:hAnsiTheme="minorHAnsi" w:cstheme="minorHAnsi"/>
          <w:iCs/>
        </w:rPr>
        <w:t xml:space="preserve"> (1985) 1 NSWLR 588</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 v McHugh</w:instrText>
      </w:r>
      <w:r w:rsidRPr="007809F4">
        <w:rPr>
          <w:rFonts w:asciiTheme="minorHAnsi" w:hAnsiTheme="minorHAnsi" w:cstheme="minorHAnsi"/>
          <w:iCs/>
        </w:rPr>
        <w:instrText xml:space="preserve"> (1985) 1 NSWLR 588</w:instrText>
      </w:r>
      <w:r w:rsidRPr="00EB7F1E">
        <w:rPr>
          <w:rFonts w:asciiTheme="minorHAnsi" w:hAnsiTheme="minorHAnsi" w:cstheme="minorHAnsi"/>
        </w:rPr>
        <w:instrText xml:space="preserve">" \s "R v McHugh (1985) 1 NSWLR 588" \c 1 </w:instrText>
      </w:r>
      <w:r w:rsidRPr="00EB7F1E">
        <w:rPr>
          <w:rFonts w:asciiTheme="minorHAnsi" w:hAnsiTheme="minorHAnsi" w:cstheme="minorHAnsi"/>
          <w:iCs/>
        </w:rPr>
        <w:fldChar w:fldCharType="end"/>
      </w:r>
      <w:r w:rsidRPr="007809F4">
        <w:rPr>
          <w:rFonts w:asciiTheme="minorHAnsi" w:hAnsiTheme="minorHAnsi" w:cstheme="minorHAnsi"/>
          <w:iCs/>
        </w:rPr>
        <w:t xml:space="preserve">; </w:t>
      </w:r>
      <w:r w:rsidRPr="007809F4">
        <w:rPr>
          <w:rFonts w:asciiTheme="minorHAnsi" w:hAnsiTheme="minorHAnsi" w:cstheme="minorHAnsi"/>
          <w:i/>
          <w:iCs/>
        </w:rPr>
        <w:t xml:space="preserve">Assafiri v R </w:t>
      </w:r>
      <w:r w:rsidRPr="007809F4">
        <w:rPr>
          <w:rFonts w:asciiTheme="minorHAnsi" w:hAnsiTheme="minorHAnsi" w:cstheme="minorHAnsi"/>
          <w:iCs/>
        </w:rPr>
        <w:t>[2007] NSWCCA 159</w:t>
      </w:r>
      <w:r w:rsidRPr="00EB7F1E">
        <w:rPr>
          <w:rFonts w:asciiTheme="minorHAnsi" w:hAnsiTheme="minorHAnsi" w:cstheme="minorHAnsi"/>
          <w:iCs/>
        </w:rPr>
        <w:fldChar w:fldCharType="begin"/>
      </w:r>
      <w:r w:rsidRPr="00EB7F1E">
        <w:rPr>
          <w:rFonts w:asciiTheme="minorHAnsi" w:hAnsiTheme="minorHAnsi" w:cstheme="minorHAnsi"/>
        </w:rPr>
        <w:instrText xml:space="preserve"> TA \s "Assafiri v R [2007] NSWCCA 159" </w:instrText>
      </w:r>
      <w:r w:rsidRPr="00EB7F1E">
        <w:rPr>
          <w:rFonts w:asciiTheme="minorHAnsi" w:hAnsiTheme="minorHAnsi" w:cstheme="minorHAnsi"/>
          <w:iCs/>
        </w:rPr>
        <w:fldChar w:fldCharType="end"/>
      </w:r>
      <w:r w:rsidRPr="007809F4">
        <w:rPr>
          <w:rFonts w:asciiTheme="minorHAnsi" w:hAnsiTheme="minorHAnsi" w:cstheme="minorHAnsi"/>
          <w:iCs/>
        </w:rPr>
        <w:t xml:space="preserve">; </w:t>
      </w:r>
      <w:r w:rsidRPr="007809F4">
        <w:rPr>
          <w:rFonts w:asciiTheme="minorHAnsi" w:hAnsiTheme="minorHAnsi" w:cstheme="minorHAnsi"/>
          <w:i/>
        </w:rPr>
        <w:t>Danial v R</w:t>
      </w:r>
      <w:r w:rsidRPr="007809F4">
        <w:rPr>
          <w:rFonts w:asciiTheme="minorHAnsi" w:hAnsiTheme="minorHAnsi" w:cstheme="minorHAnsi"/>
        </w:rPr>
        <w:t xml:space="preserve"> [2008] NSWCCA 15</w:t>
      </w:r>
      <w:r w:rsidRPr="00EB7F1E">
        <w:rPr>
          <w:rFonts w:asciiTheme="minorHAnsi" w:hAnsiTheme="minorHAnsi" w:cstheme="minorHAnsi"/>
        </w:rPr>
        <w:fldChar w:fldCharType="begin"/>
      </w:r>
      <w:r w:rsidRPr="007809F4">
        <w:rPr>
          <w:rFonts w:asciiTheme="minorHAnsi" w:hAnsiTheme="minorHAnsi" w:cstheme="minorHAnsi"/>
        </w:rPr>
        <w:instrText xml:space="preserve"> TA \s "Danial v R [2008] NSWCCA 15" </w:instrText>
      </w:r>
      <w:r w:rsidRPr="00EB7F1E">
        <w:rPr>
          <w:rFonts w:asciiTheme="minorHAnsi" w:hAnsiTheme="minorHAnsi" w:cstheme="minorHAnsi"/>
        </w:rPr>
        <w:fldChar w:fldCharType="end"/>
      </w:r>
      <w:r w:rsidRPr="007809F4">
        <w:rPr>
          <w:rFonts w:asciiTheme="minorHAnsi" w:hAnsiTheme="minorHAnsi" w:cstheme="minorHAnsi"/>
        </w:rPr>
        <w:t>, [22]</w:t>
      </w:r>
      <w:r w:rsidRPr="007809F4">
        <w:rPr>
          <w:rFonts w:asciiTheme="minorHAnsi" w:hAnsiTheme="minorHAnsi" w:cstheme="minorHAnsi"/>
          <w:iCs/>
        </w:rPr>
        <w:t xml:space="preserve">; </w:t>
      </w:r>
      <w:r w:rsidRPr="007809F4">
        <w:rPr>
          <w:rFonts w:asciiTheme="minorHAnsi" w:hAnsiTheme="minorHAnsi" w:cstheme="minorHAnsi"/>
          <w:i/>
          <w:iCs/>
        </w:rPr>
        <w:t>Starmer v R</w:t>
      </w:r>
      <w:r w:rsidRPr="007809F4">
        <w:rPr>
          <w:rFonts w:asciiTheme="minorHAnsi" w:hAnsiTheme="minorHAnsi" w:cstheme="minorHAnsi"/>
          <w:iCs/>
        </w:rPr>
        <w:t xml:space="preserve"> [2008] NSWCCA 27</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Starmer v R</w:instrText>
      </w:r>
      <w:r w:rsidRPr="007809F4">
        <w:rPr>
          <w:rFonts w:asciiTheme="minorHAnsi" w:hAnsiTheme="minorHAnsi" w:cstheme="minorHAnsi"/>
          <w:iCs/>
        </w:rPr>
        <w:instrText xml:space="preserve"> [2008] NSWCCA 27</w:instrText>
      </w:r>
      <w:r w:rsidRPr="00EB7F1E">
        <w:rPr>
          <w:rFonts w:asciiTheme="minorHAnsi" w:hAnsiTheme="minorHAnsi" w:cstheme="minorHAnsi"/>
        </w:rPr>
        <w:instrText xml:space="preserve">" \s "Starmer v R [2008] NSWCCA 27" \c 1 </w:instrText>
      </w:r>
      <w:r w:rsidRPr="00EB7F1E">
        <w:rPr>
          <w:rFonts w:asciiTheme="minorHAnsi" w:hAnsiTheme="minorHAnsi" w:cstheme="minorHAnsi"/>
          <w:iCs/>
        </w:rPr>
        <w:fldChar w:fldCharType="end"/>
      </w:r>
      <w:r w:rsidRPr="007809F4">
        <w:rPr>
          <w:rFonts w:asciiTheme="minorHAnsi" w:hAnsiTheme="minorHAnsi" w:cstheme="minorHAnsi"/>
          <w:iCs/>
        </w:rPr>
        <w:t xml:space="preserve">, [10]-[12]; </w:t>
      </w:r>
      <w:r w:rsidRPr="00EB7F1E">
        <w:rPr>
          <w:rFonts w:asciiTheme="minorHAnsi" w:hAnsiTheme="minorHAnsi" w:cstheme="minorHAnsi"/>
          <w:i/>
        </w:rPr>
        <w:t>R v Zeng</w:t>
      </w:r>
      <w:r w:rsidRPr="00EB7F1E">
        <w:rPr>
          <w:rFonts w:asciiTheme="minorHAnsi" w:hAnsiTheme="minorHAnsi" w:cstheme="minorHAnsi"/>
        </w:rPr>
        <w:t xml:space="preserve"> [2008] NSWCCA 183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Zeng</w:instrText>
      </w:r>
      <w:r w:rsidRPr="00EB7F1E">
        <w:rPr>
          <w:rFonts w:asciiTheme="minorHAnsi" w:hAnsiTheme="minorHAnsi" w:cstheme="minorHAnsi"/>
        </w:rPr>
        <w:instrText xml:space="preserve"> [2008] NSWCCA 183" \s "R v Zeng [2008] NSWCCA 183" \c 1 </w:instrText>
      </w:r>
      <w:r w:rsidRPr="00EB7F1E">
        <w:rPr>
          <w:rFonts w:asciiTheme="minorHAnsi" w:hAnsiTheme="minorHAnsi" w:cstheme="minorHAnsi"/>
        </w:rPr>
        <w:fldChar w:fldCharType="end"/>
      </w:r>
      <w:r w:rsidRPr="00EB7F1E">
        <w:rPr>
          <w:rFonts w:asciiTheme="minorHAnsi" w:hAnsiTheme="minorHAnsi" w:cstheme="minorHAnsi"/>
        </w:rPr>
        <w:t>, [7</w:t>
      </w:r>
      <w:r w:rsidRPr="007809F4">
        <w:rPr>
          <w:rFonts w:asciiTheme="minorHAnsi" w:hAnsiTheme="minorHAnsi" w:cstheme="minorHAnsi"/>
        </w:rPr>
        <w:t>5</w:t>
      </w:r>
      <w:r w:rsidRPr="00EB7F1E">
        <w:rPr>
          <w:rFonts w:asciiTheme="minorHAnsi" w:hAnsiTheme="minorHAnsi" w:cstheme="minorHAnsi"/>
        </w:rPr>
        <w:t>]</w:t>
      </w:r>
      <w:r w:rsidRPr="007809F4">
        <w:rPr>
          <w:rFonts w:asciiTheme="minorHAnsi" w:hAnsiTheme="minorHAnsi" w:cstheme="minorHAnsi"/>
        </w:rPr>
        <w:t>-[77];</w:t>
      </w:r>
      <w:r w:rsidRPr="007809F4">
        <w:rPr>
          <w:rFonts w:asciiTheme="minorHAnsi" w:hAnsiTheme="minorHAnsi" w:cstheme="minorHAnsi"/>
          <w:iCs/>
        </w:rPr>
        <w:t xml:space="preserve"> </w:t>
      </w:r>
      <w:r w:rsidRPr="007809F4">
        <w:rPr>
          <w:rFonts w:asciiTheme="minorHAnsi" w:hAnsiTheme="minorHAnsi" w:cstheme="minorHAnsi"/>
          <w:i/>
        </w:rPr>
        <w:t>Shi v R</w:t>
      </w:r>
      <w:r w:rsidRPr="007809F4">
        <w:rPr>
          <w:rFonts w:asciiTheme="minorHAnsi" w:hAnsiTheme="minorHAnsi" w:cstheme="minorHAnsi"/>
        </w:rPr>
        <w:t xml:space="preserve"> [2017] NSWCCA 126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Shi v R</w:instrText>
      </w:r>
      <w:r w:rsidRPr="007809F4">
        <w:rPr>
          <w:rFonts w:asciiTheme="minorHAnsi" w:hAnsiTheme="minorHAnsi" w:cstheme="minorHAnsi"/>
        </w:rPr>
        <w:instrText xml:space="preserve"> [2017] NSWCCA 126</w:instrText>
      </w:r>
      <w:r w:rsidRPr="00EB7F1E">
        <w:rPr>
          <w:rFonts w:asciiTheme="minorHAnsi" w:hAnsiTheme="minorHAnsi" w:cstheme="minorHAnsi"/>
        </w:rPr>
        <w:instrText xml:space="preserve">" \s "Shi v R [2017] NSWCCA 126" \c 1 </w:instrText>
      </w:r>
      <w:r w:rsidRPr="00EB7F1E">
        <w:rPr>
          <w:rFonts w:asciiTheme="minorHAnsi" w:hAnsiTheme="minorHAnsi" w:cstheme="minorHAnsi"/>
        </w:rPr>
        <w:fldChar w:fldCharType="end"/>
      </w:r>
      <w:r w:rsidRPr="007809F4">
        <w:rPr>
          <w:rFonts w:asciiTheme="minorHAnsi" w:hAnsiTheme="minorHAnsi" w:cstheme="minorHAnsi"/>
        </w:rPr>
        <w:t>, [6]</w:t>
      </w:r>
      <w:r w:rsidRPr="007809F4">
        <w:rPr>
          <w:rFonts w:asciiTheme="minorHAnsi" w:hAnsiTheme="minorHAnsi" w:cstheme="minorHAnsi"/>
          <w:iCs/>
        </w:rPr>
        <w:t xml:space="preserve">); </w:t>
      </w:r>
      <w:r w:rsidRPr="007809F4">
        <w:rPr>
          <w:rFonts w:asciiTheme="minorHAnsi" w:hAnsiTheme="minorHAnsi" w:cstheme="minorHAnsi"/>
          <w:i/>
          <w:iCs/>
        </w:rPr>
        <w:t>Sentencing Act 1995</w:t>
      </w:r>
      <w:r w:rsidRPr="007809F4">
        <w:rPr>
          <w:rFonts w:asciiTheme="minorHAnsi" w:hAnsiTheme="minorHAnsi" w:cstheme="minorHAnsi"/>
          <w:iCs/>
        </w:rPr>
        <w:t xml:space="preserve"> (WA) s 87(d)</w:t>
      </w:r>
      <w:r w:rsidRPr="007809F4">
        <w:rPr>
          <w:rFonts w:asciiTheme="minorHAnsi" w:hAnsiTheme="minorHAnsi" w:cstheme="minorHAnsi"/>
        </w:rPr>
        <w:t xml:space="preserve"> (see </w:t>
      </w:r>
      <w:r w:rsidRPr="007809F4">
        <w:rPr>
          <w:rFonts w:asciiTheme="minorHAnsi" w:hAnsiTheme="minorHAnsi" w:cstheme="minorHAnsi"/>
          <w:i/>
        </w:rPr>
        <w:t>Mercanti v R</w:t>
      </w:r>
      <w:r w:rsidRPr="007809F4">
        <w:rPr>
          <w:rFonts w:asciiTheme="minorHAnsi" w:hAnsiTheme="minorHAnsi" w:cstheme="minorHAnsi"/>
        </w:rPr>
        <w:t xml:space="preserve"> [2011] WASCA 120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Mercanti v R</w:instrText>
      </w:r>
      <w:r w:rsidRPr="007809F4">
        <w:rPr>
          <w:rFonts w:asciiTheme="minorHAnsi" w:hAnsiTheme="minorHAnsi" w:cstheme="minorHAnsi"/>
        </w:rPr>
        <w:instrText xml:space="preserve"> [2011] WASCA 120</w:instrText>
      </w:r>
      <w:r w:rsidRPr="00EB7F1E">
        <w:rPr>
          <w:rFonts w:asciiTheme="minorHAnsi" w:hAnsiTheme="minorHAnsi" w:cstheme="minorHAnsi"/>
        </w:rPr>
        <w:instrText xml:space="preserve">" \s "Mercanti v R [2011] WASCA 120" \c 1 </w:instrText>
      </w:r>
      <w:r w:rsidRPr="00EB7F1E">
        <w:rPr>
          <w:rFonts w:asciiTheme="minorHAnsi" w:hAnsiTheme="minorHAnsi" w:cstheme="minorHAnsi"/>
        </w:rPr>
        <w:fldChar w:fldCharType="end"/>
      </w:r>
      <w:r w:rsidRPr="007809F4">
        <w:rPr>
          <w:rFonts w:asciiTheme="minorHAnsi" w:hAnsiTheme="minorHAnsi" w:cstheme="minorHAnsi"/>
        </w:rPr>
        <w:t>, [22]-[24])</w:t>
      </w:r>
      <w:r w:rsidRPr="007809F4">
        <w:rPr>
          <w:rFonts w:asciiTheme="minorHAnsi" w:hAnsiTheme="minorHAnsi" w:cstheme="minorHAnsi"/>
          <w:iCs/>
        </w:rPr>
        <w:t xml:space="preserve">; </w:t>
      </w:r>
      <w:r w:rsidRPr="007809F4">
        <w:rPr>
          <w:rFonts w:asciiTheme="minorHAnsi" w:hAnsiTheme="minorHAnsi" w:cstheme="minorHAnsi"/>
          <w:i/>
          <w:iCs/>
        </w:rPr>
        <w:t>Sentencing Act 2017</w:t>
      </w:r>
      <w:r w:rsidRPr="007809F4">
        <w:rPr>
          <w:rFonts w:asciiTheme="minorHAnsi" w:hAnsiTheme="minorHAnsi" w:cstheme="minorHAnsi"/>
          <w:iCs/>
        </w:rPr>
        <w:t xml:space="preserve"> (SA), s 44(2)(b); </w:t>
      </w:r>
      <w:r w:rsidRPr="007809F4">
        <w:rPr>
          <w:rFonts w:asciiTheme="minorHAnsi" w:hAnsiTheme="minorHAnsi" w:cstheme="minorHAnsi"/>
          <w:i/>
          <w:iCs/>
        </w:rPr>
        <w:t>Sentencing Act 1997</w:t>
      </w:r>
      <w:r w:rsidRPr="007809F4">
        <w:rPr>
          <w:rFonts w:asciiTheme="minorHAnsi" w:hAnsiTheme="minorHAnsi" w:cstheme="minorHAnsi"/>
          <w:iCs/>
        </w:rPr>
        <w:t xml:space="preserve"> (Tas), s 16(1); </w:t>
      </w:r>
      <w:r w:rsidRPr="007809F4">
        <w:rPr>
          <w:rFonts w:asciiTheme="minorHAnsi" w:hAnsiTheme="minorHAnsi" w:cstheme="minorHAnsi"/>
          <w:i/>
          <w:iCs/>
        </w:rPr>
        <w:t>Crimes (Sentencing) Act 2005</w:t>
      </w:r>
      <w:r w:rsidRPr="007809F4">
        <w:rPr>
          <w:rFonts w:asciiTheme="minorHAnsi" w:hAnsiTheme="minorHAnsi" w:cstheme="minorHAnsi"/>
          <w:iCs/>
        </w:rPr>
        <w:t xml:space="preserve"> (ACT), s 63; </w:t>
      </w:r>
      <w:r w:rsidRPr="007809F4">
        <w:rPr>
          <w:rFonts w:asciiTheme="minorHAnsi" w:hAnsiTheme="minorHAnsi" w:cstheme="minorHAnsi"/>
          <w:i/>
          <w:iCs/>
        </w:rPr>
        <w:t>Sentencing Act 1995</w:t>
      </w:r>
      <w:r w:rsidRPr="007809F4">
        <w:rPr>
          <w:rFonts w:asciiTheme="minorHAnsi" w:hAnsiTheme="minorHAnsi" w:cstheme="minorHAnsi"/>
          <w:iCs/>
        </w:rPr>
        <w:t xml:space="preserve"> (NT), s 63(5).  If a court has power to backdate a sentence it may do so even though the offender was not in custody throughout the period since the backdated commencement date: </w:t>
      </w:r>
      <w:r w:rsidRPr="007809F4">
        <w:rPr>
          <w:rFonts w:asciiTheme="minorHAnsi" w:hAnsiTheme="minorHAnsi" w:cstheme="minorHAnsi"/>
          <w:i/>
        </w:rPr>
        <w:t>R v Newman</w:t>
      </w:r>
      <w:r w:rsidRPr="007809F4">
        <w:rPr>
          <w:rFonts w:asciiTheme="minorHAnsi" w:hAnsiTheme="minorHAnsi" w:cstheme="minorHAnsi"/>
          <w:iCs/>
        </w:rPr>
        <w:t xml:space="preserve"> [2004] NSWCCA 102</w:t>
      </w:r>
      <w:r w:rsidRPr="00EB7F1E">
        <w:rPr>
          <w:rFonts w:asciiTheme="minorHAnsi" w:hAnsiTheme="minorHAnsi" w:cstheme="minorHAnsi"/>
          <w:iCs/>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Newman</w:instrText>
      </w:r>
      <w:r w:rsidRPr="007809F4">
        <w:rPr>
          <w:rFonts w:asciiTheme="minorHAnsi" w:hAnsiTheme="minorHAnsi" w:cstheme="minorHAnsi"/>
          <w:iCs/>
        </w:rPr>
        <w:instrText xml:space="preserve"> [2004] NSWCCA 102</w:instrText>
      </w:r>
      <w:r w:rsidRPr="007809F4">
        <w:rPr>
          <w:rFonts w:asciiTheme="minorHAnsi" w:hAnsiTheme="minorHAnsi" w:cstheme="minorHAnsi"/>
        </w:rPr>
        <w:instrText xml:space="preserve">" \s "R v Newman [2004] NSWCCA 102" \c 1 </w:instrText>
      </w:r>
      <w:r w:rsidRPr="00EB7F1E">
        <w:rPr>
          <w:rFonts w:asciiTheme="minorHAnsi" w:hAnsiTheme="minorHAnsi" w:cstheme="minorHAnsi"/>
          <w:iCs/>
        </w:rPr>
        <w:fldChar w:fldCharType="end"/>
      </w:r>
      <w:r w:rsidRPr="007809F4">
        <w:rPr>
          <w:rFonts w:asciiTheme="minorHAnsi" w:hAnsiTheme="minorHAnsi" w:cstheme="minorHAnsi"/>
          <w:i/>
        </w:rPr>
        <w:t>,</w:t>
      </w:r>
      <w:r w:rsidRPr="007809F4">
        <w:rPr>
          <w:rFonts w:asciiTheme="minorHAnsi" w:hAnsiTheme="minorHAnsi" w:cstheme="minorHAnsi"/>
          <w:iCs/>
        </w:rPr>
        <w:t xml:space="preserve">[25]-[32]; </w:t>
      </w:r>
      <w:r w:rsidRPr="00EB7F1E">
        <w:rPr>
          <w:rFonts w:asciiTheme="minorHAnsi" w:hAnsiTheme="minorHAnsi" w:cstheme="minorHAnsi"/>
          <w:i/>
        </w:rPr>
        <w:t>R v Tilley</w:t>
      </w:r>
      <w:r w:rsidRPr="007809F4">
        <w:rPr>
          <w:rFonts w:asciiTheme="minorHAnsi" w:hAnsiTheme="minorHAnsi" w:cstheme="minorHAnsi"/>
          <w:iCs/>
        </w:rPr>
        <w:t xml:space="preserve"> [2010] SASCFC 73</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Tilley</w:instrText>
      </w:r>
      <w:r w:rsidRPr="007809F4">
        <w:rPr>
          <w:rFonts w:asciiTheme="minorHAnsi" w:hAnsiTheme="minorHAnsi" w:cstheme="minorHAnsi"/>
          <w:iCs/>
        </w:rPr>
        <w:instrText xml:space="preserve"> [2010] SASCFC 73</w:instrText>
      </w:r>
      <w:r w:rsidRPr="00EB7F1E">
        <w:rPr>
          <w:rFonts w:asciiTheme="minorHAnsi" w:hAnsiTheme="minorHAnsi" w:cstheme="minorHAnsi"/>
        </w:rPr>
        <w:instrText xml:space="preserve">" \s "R v Tilley [2010] SASCFC 73" \c 1 </w:instrText>
      </w:r>
      <w:r w:rsidRPr="00EB7F1E">
        <w:rPr>
          <w:rFonts w:asciiTheme="minorHAnsi" w:hAnsiTheme="minorHAnsi" w:cstheme="minorHAnsi"/>
          <w:iCs/>
        </w:rPr>
        <w:fldChar w:fldCharType="end"/>
      </w:r>
      <w:r w:rsidRPr="007809F4">
        <w:rPr>
          <w:rFonts w:asciiTheme="minorHAnsi" w:hAnsiTheme="minorHAnsi" w:cstheme="minorHAnsi"/>
          <w:iCs/>
        </w:rPr>
        <w:t xml:space="preserve">; </w:t>
      </w:r>
      <w:r w:rsidRPr="00EB7F1E">
        <w:rPr>
          <w:rFonts w:asciiTheme="minorHAnsi" w:hAnsiTheme="minorHAnsi" w:cstheme="minorHAnsi"/>
          <w:i/>
        </w:rPr>
        <w:t>Rodgers v R</w:t>
      </w:r>
      <w:r w:rsidRPr="00EB7F1E">
        <w:rPr>
          <w:rFonts w:asciiTheme="minorHAnsi" w:hAnsiTheme="minorHAnsi" w:cstheme="minorHAnsi"/>
          <w:iCs/>
        </w:rPr>
        <w:t xml:space="preserve"> [2018] NSWCCA 47</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EB7F1E">
        <w:rPr>
          <w:rStyle w:val="ssleftalign"/>
          <w:rFonts w:asciiTheme="minorHAnsi" w:hAnsiTheme="minorHAnsi" w:cstheme="minorHAnsi"/>
          <w:i/>
          <w:iCs/>
        </w:rPr>
        <w:instrText>Rodgers v R</w:instrText>
      </w:r>
      <w:r w:rsidRPr="00EB7F1E">
        <w:rPr>
          <w:rStyle w:val="ssleftalign"/>
          <w:rFonts w:asciiTheme="minorHAnsi" w:hAnsiTheme="minorHAnsi" w:cstheme="minorHAnsi"/>
        </w:rPr>
        <w:instrText xml:space="preserve"> [2018] NSWCCA 47</w:instrText>
      </w:r>
      <w:r w:rsidRPr="00EB7F1E">
        <w:rPr>
          <w:rFonts w:asciiTheme="minorHAnsi" w:hAnsiTheme="minorHAnsi" w:cstheme="minorHAnsi"/>
        </w:rPr>
        <w:instrText xml:space="preserve">" \s "Rodgers v R [2018] NSWCCA 47" \c 1 </w:instrText>
      </w:r>
      <w:r w:rsidRPr="00EB7F1E">
        <w:rPr>
          <w:rFonts w:asciiTheme="minorHAnsi" w:hAnsiTheme="minorHAnsi" w:cstheme="minorHAnsi"/>
          <w:iCs/>
        </w:rPr>
        <w:fldChar w:fldCharType="end"/>
      </w:r>
      <w:r w:rsidRPr="00EB7F1E">
        <w:rPr>
          <w:rFonts w:asciiTheme="minorHAnsi" w:hAnsiTheme="minorHAnsi" w:cstheme="minorHAnsi"/>
          <w:iCs/>
        </w:rPr>
        <w:t>, [65]-[78].</w:t>
      </w:r>
    </w:p>
  </w:footnote>
  <w:footnote w:id="701">
    <w:p w14:paraId="4BC34B30" w14:textId="2F11BAF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iCs/>
        </w:rPr>
        <w:t>Crimes (Sentencing Procedure) Act 1999</w:t>
      </w:r>
      <w:r w:rsidRPr="007809F4">
        <w:rPr>
          <w:rFonts w:asciiTheme="minorHAnsi" w:hAnsiTheme="minorHAnsi" w:cstheme="minorHAnsi"/>
          <w:iCs/>
        </w:rPr>
        <w:t xml:space="preserve"> (NSW), s 24(a); </w:t>
      </w:r>
      <w:r w:rsidRPr="007809F4">
        <w:rPr>
          <w:rFonts w:asciiTheme="minorHAnsi" w:hAnsiTheme="minorHAnsi" w:cstheme="minorHAnsi"/>
          <w:i/>
          <w:iCs/>
        </w:rPr>
        <w:t>Sentencing Act 1995</w:t>
      </w:r>
      <w:r w:rsidRPr="007809F4">
        <w:rPr>
          <w:rFonts w:asciiTheme="minorHAnsi" w:hAnsiTheme="minorHAnsi" w:cstheme="minorHAnsi"/>
          <w:iCs/>
        </w:rPr>
        <w:t xml:space="preserve"> (WA) s 87(c); </w:t>
      </w:r>
      <w:r w:rsidRPr="007809F4">
        <w:rPr>
          <w:rFonts w:asciiTheme="minorHAnsi" w:hAnsiTheme="minorHAnsi" w:cstheme="minorHAnsi"/>
          <w:i/>
          <w:iCs/>
        </w:rPr>
        <w:t>Sentencing Act 2017</w:t>
      </w:r>
      <w:r w:rsidRPr="007809F4">
        <w:rPr>
          <w:rFonts w:asciiTheme="minorHAnsi" w:hAnsiTheme="minorHAnsi" w:cstheme="minorHAnsi"/>
          <w:iCs/>
        </w:rPr>
        <w:t xml:space="preserve"> (SA) s 44(2)(a).  If a court has power either to backdate a sentence or to reduce the sentence to account for time spent in custody for the offence, backdating is usually the preferable course: </w:t>
      </w:r>
      <w:r w:rsidRPr="00EB7F1E">
        <w:rPr>
          <w:rFonts w:asciiTheme="minorHAnsi" w:hAnsiTheme="minorHAnsi" w:cstheme="minorHAnsi"/>
          <w:i/>
        </w:rPr>
        <w:t>R v Newman</w:t>
      </w:r>
      <w:r w:rsidRPr="00EB7F1E">
        <w:rPr>
          <w:rFonts w:asciiTheme="minorHAnsi" w:hAnsiTheme="minorHAnsi" w:cstheme="minorHAnsi"/>
          <w:iCs/>
        </w:rPr>
        <w:t xml:space="preserve"> [2004] NSWCCA 102</w:t>
      </w:r>
      <w:r w:rsidRPr="00EB7F1E">
        <w:rPr>
          <w:rFonts w:asciiTheme="minorHAnsi" w:hAnsiTheme="minorHAnsi" w:cstheme="minorHAnsi"/>
          <w:iCs/>
        </w:rPr>
        <w:fldChar w:fldCharType="begin"/>
      </w:r>
      <w:r w:rsidRPr="00EB7F1E">
        <w:rPr>
          <w:rFonts w:asciiTheme="minorHAnsi" w:hAnsiTheme="minorHAnsi" w:cstheme="minorHAnsi"/>
        </w:rPr>
        <w:instrText xml:space="preserve"> TA \s "R v Newman [2004] NSWCCA 102" </w:instrText>
      </w:r>
      <w:r w:rsidRPr="00EB7F1E">
        <w:rPr>
          <w:rFonts w:asciiTheme="minorHAnsi" w:hAnsiTheme="minorHAnsi" w:cstheme="minorHAnsi"/>
          <w:iCs/>
        </w:rPr>
        <w:fldChar w:fldCharType="end"/>
      </w:r>
      <w:r w:rsidRPr="00EB7F1E">
        <w:rPr>
          <w:rFonts w:asciiTheme="minorHAnsi" w:hAnsiTheme="minorHAnsi" w:cstheme="minorHAnsi"/>
          <w:i/>
        </w:rPr>
        <w:t>,</w:t>
      </w:r>
      <w:r w:rsidRPr="007809F4">
        <w:rPr>
          <w:rFonts w:asciiTheme="minorHAnsi" w:hAnsiTheme="minorHAnsi" w:cstheme="minorHAnsi"/>
          <w:iCs/>
        </w:rPr>
        <w:t xml:space="preserve">[24]-[36]; </w:t>
      </w:r>
      <w:r w:rsidRPr="007809F4">
        <w:rPr>
          <w:rFonts w:asciiTheme="minorHAnsi" w:hAnsiTheme="minorHAnsi" w:cstheme="minorHAnsi"/>
          <w:i/>
          <w:iCs/>
        </w:rPr>
        <w:t xml:space="preserve">Assafiri v R </w:t>
      </w:r>
      <w:r w:rsidRPr="007809F4">
        <w:rPr>
          <w:rFonts w:asciiTheme="minorHAnsi" w:hAnsiTheme="minorHAnsi" w:cstheme="minorHAnsi"/>
          <w:iCs/>
        </w:rPr>
        <w:t>[2007] NSWCCA 159</w:t>
      </w:r>
      <w:r w:rsidRPr="00EB7F1E">
        <w:rPr>
          <w:rFonts w:asciiTheme="minorHAnsi" w:hAnsiTheme="minorHAnsi" w:cstheme="minorHAnsi"/>
          <w:iCs/>
        </w:rPr>
        <w:fldChar w:fldCharType="begin"/>
      </w:r>
      <w:r w:rsidRPr="007809F4">
        <w:rPr>
          <w:rFonts w:asciiTheme="minorHAnsi" w:hAnsiTheme="minorHAnsi" w:cstheme="minorHAnsi"/>
        </w:rPr>
        <w:instrText xml:space="preserve"> TA \s "Assafiri v R [2007] NSWCCA 159" </w:instrText>
      </w:r>
      <w:r w:rsidRPr="00EB7F1E">
        <w:rPr>
          <w:rFonts w:asciiTheme="minorHAnsi" w:hAnsiTheme="minorHAnsi" w:cstheme="minorHAnsi"/>
          <w:iCs/>
        </w:rPr>
        <w:fldChar w:fldCharType="end"/>
      </w:r>
      <w:r w:rsidRPr="007809F4">
        <w:rPr>
          <w:rFonts w:asciiTheme="minorHAnsi" w:hAnsiTheme="minorHAnsi" w:cstheme="minorHAnsi"/>
          <w:iCs/>
        </w:rPr>
        <w:t>, [11];</w:t>
      </w:r>
      <w:r w:rsidRPr="00EB7F1E">
        <w:rPr>
          <w:rFonts w:asciiTheme="minorHAnsi" w:hAnsiTheme="minorHAnsi" w:cstheme="minorHAnsi"/>
          <w:i/>
        </w:rPr>
        <w:t xml:space="preserve"> R v Franceschini</w:t>
      </w:r>
      <w:r w:rsidRPr="007809F4">
        <w:rPr>
          <w:rFonts w:asciiTheme="minorHAnsi" w:hAnsiTheme="minorHAnsi" w:cstheme="minorHAnsi"/>
          <w:iCs/>
        </w:rPr>
        <w:t xml:space="preserve"> </w:t>
      </w:r>
      <w:r w:rsidRPr="00EB7F1E">
        <w:rPr>
          <w:rFonts w:asciiTheme="minorHAnsi" w:hAnsiTheme="minorHAnsi" w:cstheme="minorHAnsi"/>
          <w:iCs/>
        </w:rPr>
        <w:t>(2015) 123 SASR 396</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Franceschini</w:instrText>
      </w:r>
      <w:r w:rsidRPr="007809F4">
        <w:rPr>
          <w:rFonts w:asciiTheme="minorHAnsi" w:hAnsiTheme="minorHAnsi" w:cstheme="minorHAnsi"/>
          <w:iCs/>
        </w:rPr>
        <w:instrText xml:space="preserve"> </w:instrText>
      </w:r>
      <w:r w:rsidRPr="00EB7F1E">
        <w:rPr>
          <w:rFonts w:asciiTheme="minorHAnsi" w:hAnsiTheme="minorHAnsi" w:cstheme="minorHAnsi"/>
          <w:iCs/>
        </w:rPr>
        <w:instrText>(2015) 123 SASR 396</w:instrText>
      </w:r>
      <w:r w:rsidRPr="00EB7F1E">
        <w:rPr>
          <w:rFonts w:asciiTheme="minorHAnsi" w:hAnsiTheme="minorHAnsi" w:cstheme="minorHAnsi"/>
        </w:rPr>
        <w:instrText xml:space="preserve">" \s "R v Franceschini (2015) 123 SASR 396" \c 1 </w:instrText>
      </w:r>
      <w:r w:rsidRPr="00EB7F1E">
        <w:rPr>
          <w:rFonts w:asciiTheme="minorHAnsi" w:hAnsiTheme="minorHAnsi" w:cstheme="minorHAnsi"/>
          <w:iCs/>
        </w:rPr>
        <w:fldChar w:fldCharType="end"/>
      </w:r>
      <w:r w:rsidRPr="00EB7F1E">
        <w:rPr>
          <w:rFonts w:asciiTheme="minorHAnsi" w:hAnsiTheme="minorHAnsi" w:cstheme="minorHAnsi"/>
          <w:iCs/>
        </w:rPr>
        <w:t>, [23]-[61]</w:t>
      </w:r>
      <w:r w:rsidRPr="007809F4">
        <w:rPr>
          <w:rFonts w:asciiTheme="minorHAnsi" w:hAnsiTheme="minorHAnsi" w:cstheme="minorHAnsi"/>
          <w:iCs/>
        </w:rPr>
        <w:t>.</w:t>
      </w:r>
    </w:p>
  </w:footnote>
  <w:footnote w:id="702">
    <w:p w14:paraId="2533BE4C" w14:textId="0AD8315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 [10.16].</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703">
    <w:p w14:paraId="12E9B50A" w14:textId="5C832CB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Sentencing Act 1991</w:t>
      </w:r>
      <w:r w:rsidRPr="007809F4">
        <w:rPr>
          <w:rFonts w:asciiTheme="minorHAnsi" w:hAnsiTheme="minorHAnsi" w:cstheme="minorHAnsi"/>
        </w:rPr>
        <w:t xml:space="preserve"> (Vic), s 18; </w:t>
      </w:r>
      <w:r w:rsidRPr="007809F4">
        <w:rPr>
          <w:rFonts w:asciiTheme="minorHAnsi" w:hAnsiTheme="minorHAnsi" w:cstheme="minorHAnsi"/>
          <w:i/>
        </w:rPr>
        <w:t>Penalties and Sentences Act 1992</w:t>
      </w:r>
      <w:r w:rsidRPr="007809F4">
        <w:rPr>
          <w:rFonts w:asciiTheme="minorHAnsi" w:hAnsiTheme="minorHAnsi" w:cstheme="minorHAnsi"/>
        </w:rPr>
        <w:t xml:space="preserve"> (Qld), s 161(1).  The history of the practice for accounting for time in custody for the instant offence in Victoria is recounted in </w:t>
      </w:r>
      <w:r w:rsidRPr="007809F4">
        <w:rPr>
          <w:rFonts w:asciiTheme="minorHAnsi" w:hAnsiTheme="minorHAnsi" w:cstheme="minorHAnsi"/>
          <w:i/>
        </w:rPr>
        <w:t>R v Jennings</w:t>
      </w:r>
      <w:r w:rsidRPr="007809F4">
        <w:rPr>
          <w:rFonts w:asciiTheme="minorHAnsi" w:hAnsiTheme="minorHAnsi" w:cstheme="minorHAnsi"/>
        </w:rPr>
        <w:t xml:space="preserve"> [1999] 1 VR 352.</w:t>
      </w:r>
      <w:r w:rsidRPr="007809F4">
        <w:rPr>
          <w:rFonts w:asciiTheme="minorHAnsi" w:hAnsiTheme="minorHAnsi" w:cstheme="minorHAnsi"/>
          <w:iCs/>
        </w:rPr>
        <w:t xml:space="preserve">  The law in Victoria does not permit the backdating of a sentence (</w:t>
      </w:r>
      <w:r w:rsidRPr="007809F4">
        <w:rPr>
          <w:rFonts w:asciiTheme="minorHAnsi" w:hAnsiTheme="minorHAnsi" w:cstheme="minorHAnsi"/>
          <w:i/>
        </w:rPr>
        <w:t>R v Singh</w:t>
      </w:r>
      <w:r w:rsidRPr="007809F4">
        <w:rPr>
          <w:rFonts w:asciiTheme="minorHAnsi" w:hAnsiTheme="minorHAnsi" w:cstheme="minorHAnsi"/>
        </w:rPr>
        <w:t xml:space="preserve"> (Vic CCA, 26 March 1991,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Singh</w:instrText>
      </w:r>
      <w:r w:rsidRPr="007809F4">
        <w:rPr>
          <w:rFonts w:asciiTheme="minorHAnsi" w:hAnsiTheme="minorHAnsi" w:cstheme="minorHAnsi"/>
        </w:rPr>
        <w:instrText xml:space="preserve"> (Vic CCA, 26 March 1991, unreported)</w:instrText>
      </w:r>
      <w:r w:rsidRPr="00EB7F1E">
        <w:rPr>
          <w:rFonts w:asciiTheme="minorHAnsi" w:hAnsiTheme="minorHAnsi" w:cstheme="minorHAnsi"/>
        </w:rPr>
        <w:instrText xml:space="preserve">" \s "R v Singh (Vic CCA, 26 March 1991, unreported)" \c 1 </w:instrText>
      </w:r>
      <w:r w:rsidRPr="00EB7F1E">
        <w:rPr>
          <w:rFonts w:asciiTheme="minorHAnsi" w:hAnsiTheme="minorHAnsi" w:cstheme="minorHAnsi"/>
        </w:rPr>
        <w:fldChar w:fldCharType="end"/>
      </w:r>
      <w:r w:rsidRPr="007809F4">
        <w:rPr>
          <w:rFonts w:asciiTheme="minorHAnsi" w:hAnsiTheme="minorHAnsi" w:cstheme="minorHAnsi"/>
        </w:rPr>
        <w:t>, 13-14;</w:t>
      </w:r>
      <w:r w:rsidRPr="007809F4">
        <w:rPr>
          <w:rFonts w:asciiTheme="minorHAnsi" w:hAnsiTheme="minorHAnsi" w:cstheme="minorHAnsi"/>
          <w:i/>
        </w:rPr>
        <w:t xml:space="preserve"> R v Nagy</w:t>
      </w:r>
      <w:r w:rsidRPr="007809F4">
        <w:rPr>
          <w:rFonts w:asciiTheme="minorHAnsi" w:hAnsiTheme="minorHAnsi" w:cstheme="minorHAnsi"/>
        </w:rPr>
        <w:t xml:space="preserve"> [1992] 1 VR 637</w:t>
      </w:r>
      <w:r w:rsidRPr="00EB7F1E">
        <w:rPr>
          <w:rFonts w:asciiTheme="minorHAnsi" w:hAnsiTheme="minorHAnsi" w:cstheme="minorHAnsi"/>
        </w:rPr>
        <w:fldChar w:fldCharType="begin"/>
      </w:r>
      <w:r w:rsidRPr="007809F4">
        <w:rPr>
          <w:rFonts w:asciiTheme="minorHAnsi" w:hAnsiTheme="minorHAnsi" w:cstheme="minorHAnsi"/>
        </w:rPr>
        <w:instrText xml:space="preserve"> TA \s "R v Nagy [1992] 1 VR 637"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Nagy [1992] 1 VR 637" </w:instrText>
      </w:r>
      <w:r w:rsidRPr="00EB7F1E">
        <w:rPr>
          <w:rFonts w:asciiTheme="minorHAnsi" w:hAnsiTheme="minorHAnsi" w:cstheme="minorHAnsi"/>
        </w:rPr>
        <w:fldChar w:fldCharType="end"/>
      </w:r>
      <w:r w:rsidRPr="007809F4">
        <w:rPr>
          <w:rFonts w:asciiTheme="minorHAnsi" w:hAnsiTheme="minorHAnsi" w:cstheme="minorHAnsi"/>
          <w:iCs/>
        </w:rPr>
        <w:t>), except that in re-sentencing on appeal, the County Court (</w:t>
      </w:r>
      <w:r w:rsidRPr="007809F4">
        <w:rPr>
          <w:rFonts w:asciiTheme="minorHAnsi" w:hAnsiTheme="minorHAnsi" w:cstheme="minorHAnsi"/>
          <w:i/>
          <w:iCs/>
        </w:rPr>
        <w:t>Criminal Procedure Act 2009</w:t>
      </w:r>
      <w:r w:rsidRPr="007809F4">
        <w:rPr>
          <w:rFonts w:asciiTheme="minorHAnsi" w:hAnsiTheme="minorHAnsi" w:cstheme="minorHAnsi"/>
          <w:iCs/>
        </w:rPr>
        <w:t xml:space="preserve"> (Vic), ss 256(4), 259(4); </w:t>
      </w:r>
      <w:r w:rsidRPr="007809F4">
        <w:rPr>
          <w:rFonts w:asciiTheme="minorHAnsi" w:hAnsiTheme="minorHAnsi" w:cstheme="minorHAnsi"/>
          <w:i/>
          <w:iCs/>
        </w:rPr>
        <w:t>Children, Youth and Families Act 2005</w:t>
      </w:r>
      <w:r w:rsidRPr="007809F4">
        <w:rPr>
          <w:rFonts w:asciiTheme="minorHAnsi" w:hAnsiTheme="minorHAnsi" w:cstheme="minorHAnsi"/>
          <w:iCs/>
        </w:rPr>
        <w:t xml:space="preserve"> (Vic), ss 426(4), 429(7)), the Trial Division of the Supreme Court (</w:t>
      </w:r>
      <w:r w:rsidRPr="007809F4">
        <w:rPr>
          <w:rFonts w:asciiTheme="minorHAnsi" w:hAnsiTheme="minorHAnsi" w:cstheme="minorHAnsi"/>
          <w:i/>
          <w:iCs/>
        </w:rPr>
        <w:t>Children, Youth and Families Act 2005</w:t>
      </w:r>
      <w:r w:rsidRPr="007809F4">
        <w:rPr>
          <w:rFonts w:asciiTheme="minorHAnsi" w:hAnsiTheme="minorHAnsi" w:cstheme="minorHAnsi"/>
          <w:iCs/>
        </w:rPr>
        <w:t xml:space="preserve"> (Vic), ss 426(4), 429(7)) or the Court of Appeal (see </w:t>
      </w:r>
      <w:r w:rsidRPr="007809F4">
        <w:rPr>
          <w:rFonts w:asciiTheme="minorHAnsi" w:hAnsiTheme="minorHAnsi" w:cstheme="minorHAnsi"/>
          <w:i/>
          <w:iCs/>
        </w:rPr>
        <w:t>Barbat v R</w:t>
      </w:r>
      <w:r w:rsidRPr="007809F4">
        <w:rPr>
          <w:rFonts w:asciiTheme="minorHAnsi" w:hAnsiTheme="minorHAnsi" w:cstheme="minorHAnsi"/>
          <w:iCs/>
        </w:rPr>
        <w:t xml:space="preserve"> [2014] VSCA 202</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Barbat v R</w:instrText>
      </w:r>
      <w:r w:rsidRPr="007809F4">
        <w:rPr>
          <w:rFonts w:asciiTheme="minorHAnsi" w:hAnsiTheme="minorHAnsi" w:cstheme="minorHAnsi"/>
          <w:iCs/>
        </w:rPr>
        <w:instrText xml:space="preserve"> [2014] VSCA 202</w:instrText>
      </w:r>
      <w:r w:rsidRPr="00EB7F1E">
        <w:rPr>
          <w:rFonts w:asciiTheme="minorHAnsi" w:hAnsiTheme="minorHAnsi" w:cstheme="minorHAnsi"/>
        </w:rPr>
        <w:instrText xml:space="preserve">" \s "Barbat v R [2014] VSCA 202" \c 1 </w:instrText>
      </w:r>
      <w:r w:rsidRPr="00EB7F1E">
        <w:rPr>
          <w:rFonts w:asciiTheme="minorHAnsi" w:hAnsiTheme="minorHAnsi" w:cstheme="minorHAnsi"/>
          <w:iCs/>
        </w:rPr>
        <w:fldChar w:fldCharType="end"/>
      </w:r>
      <w:r w:rsidRPr="007809F4">
        <w:rPr>
          <w:rFonts w:asciiTheme="minorHAnsi" w:hAnsiTheme="minorHAnsi" w:cstheme="minorHAnsi"/>
          <w:iCs/>
        </w:rPr>
        <w:t>) may backdate a sentence to the date of the original sentence.</w:t>
      </w:r>
    </w:p>
  </w:footnote>
  <w:footnote w:id="704">
    <w:p w14:paraId="0B7F6918" w14:textId="678BA92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Singh</w:t>
      </w:r>
      <w:r w:rsidRPr="007809F4">
        <w:rPr>
          <w:rFonts w:asciiTheme="minorHAnsi" w:hAnsiTheme="minorHAnsi" w:cstheme="minorHAnsi"/>
        </w:rPr>
        <w:t xml:space="preserve"> (Vic CCA, 26 March 1991, unreported)</w:t>
      </w:r>
      <w:r w:rsidRPr="00EB7F1E">
        <w:rPr>
          <w:rFonts w:asciiTheme="minorHAnsi" w:hAnsiTheme="minorHAnsi" w:cstheme="minorHAnsi"/>
        </w:rPr>
        <w:fldChar w:fldCharType="begin"/>
      </w:r>
      <w:r w:rsidRPr="007809F4">
        <w:rPr>
          <w:rFonts w:asciiTheme="minorHAnsi" w:hAnsiTheme="minorHAnsi" w:cstheme="minorHAnsi"/>
        </w:rPr>
        <w:instrText xml:space="preserve"> TA \s "R v Singh (Vic CCA, 26 March 1991, unreported)" </w:instrText>
      </w:r>
      <w:r w:rsidRPr="00EB7F1E">
        <w:rPr>
          <w:rFonts w:asciiTheme="minorHAnsi" w:hAnsiTheme="minorHAnsi" w:cstheme="minorHAnsi"/>
        </w:rPr>
        <w:fldChar w:fldCharType="end"/>
      </w:r>
      <w:r w:rsidRPr="007809F4">
        <w:rPr>
          <w:rFonts w:asciiTheme="minorHAnsi" w:hAnsiTheme="minorHAnsi" w:cstheme="minorHAnsi"/>
        </w:rPr>
        <w:t xml:space="preserve">, 12 (in relation to s 16 of the </w:t>
      </w:r>
      <w:r w:rsidRPr="007809F4">
        <w:rPr>
          <w:rFonts w:asciiTheme="minorHAnsi" w:hAnsiTheme="minorHAnsi" w:cstheme="minorHAnsi"/>
          <w:i/>
        </w:rPr>
        <w:t>Penalties and Sentences Act 1985</w:t>
      </w:r>
      <w:r w:rsidRPr="007809F4">
        <w:rPr>
          <w:rFonts w:asciiTheme="minorHAnsi" w:hAnsiTheme="minorHAnsi" w:cstheme="minorHAnsi"/>
        </w:rPr>
        <w:t xml:space="preserve"> (Vic), the ancestor of s 18 of the </w:t>
      </w:r>
      <w:r w:rsidRPr="007809F4">
        <w:rPr>
          <w:rFonts w:asciiTheme="minorHAnsi" w:hAnsiTheme="minorHAnsi" w:cstheme="minorHAnsi"/>
          <w:i/>
        </w:rPr>
        <w:t xml:space="preserve">Sentencing Act 1991 </w:t>
      </w:r>
      <w:r w:rsidRPr="007809F4">
        <w:rPr>
          <w:rFonts w:asciiTheme="minorHAnsi" w:hAnsiTheme="minorHAnsi" w:cstheme="minorHAnsi"/>
        </w:rPr>
        <w:t xml:space="preserve">(Vic)); </w:t>
      </w:r>
      <w:r w:rsidRPr="007809F4">
        <w:rPr>
          <w:rFonts w:asciiTheme="minorHAnsi" w:hAnsiTheme="minorHAnsi" w:cstheme="minorHAnsi"/>
          <w:i/>
        </w:rPr>
        <w:t>R v Hill; ex parte DPP (Cth)</w:t>
      </w:r>
      <w:r w:rsidRPr="007809F4">
        <w:rPr>
          <w:rFonts w:asciiTheme="minorHAnsi" w:hAnsiTheme="minorHAnsi" w:cstheme="minorHAnsi"/>
        </w:rPr>
        <w:t xml:space="preserve"> [2011] QCA 306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Hill; ex parte DPP (Cth)</w:instrText>
      </w:r>
      <w:r w:rsidRPr="007809F4">
        <w:rPr>
          <w:rFonts w:asciiTheme="minorHAnsi" w:hAnsiTheme="minorHAnsi" w:cstheme="minorHAnsi"/>
        </w:rPr>
        <w:instrText xml:space="preserve"> [2011] QCA 306</w:instrText>
      </w:r>
      <w:r w:rsidRPr="00EB7F1E">
        <w:rPr>
          <w:rFonts w:asciiTheme="minorHAnsi" w:hAnsiTheme="minorHAnsi" w:cstheme="minorHAnsi"/>
        </w:rPr>
        <w:instrText xml:space="preserve">" \s "R v Hill; ex parte DPP (Cth) [2011] QCA 306" \c 1 </w:instrText>
      </w:r>
      <w:r w:rsidRPr="00EB7F1E">
        <w:rPr>
          <w:rFonts w:asciiTheme="minorHAnsi" w:hAnsiTheme="minorHAnsi" w:cstheme="minorHAnsi"/>
        </w:rPr>
        <w:fldChar w:fldCharType="end"/>
      </w:r>
      <w:r w:rsidRPr="007809F4">
        <w:rPr>
          <w:rFonts w:asciiTheme="minorHAnsi" w:hAnsiTheme="minorHAnsi" w:cstheme="minorHAnsi"/>
        </w:rPr>
        <w:t xml:space="preserve">, [278]-[279].  Were these laws not picked up under s 16E(2) of the </w:t>
      </w:r>
      <w:r w:rsidRPr="007809F4">
        <w:rPr>
          <w:rFonts w:asciiTheme="minorHAnsi" w:hAnsiTheme="minorHAnsi" w:cstheme="minorHAnsi"/>
          <w:i/>
        </w:rPr>
        <w:t>Crimes Act 1914</w:t>
      </w:r>
      <w:r w:rsidRPr="007809F4">
        <w:rPr>
          <w:rFonts w:asciiTheme="minorHAnsi" w:hAnsiTheme="minorHAnsi" w:cstheme="minorHAnsi"/>
        </w:rPr>
        <w:t xml:space="preserve"> (Cth), sentencing courts in these States would be required to reduce the sentence imposed to take account of pre-sentence custody for the offence, pursuant to s 16E(3).</w:t>
      </w:r>
    </w:p>
  </w:footnote>
  <w:footnote w:id="705">
    <w:p w14:paraId="7AFA0731" w14:textId="719C8CB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It is notable that s 16E(3) makes no reference to the fixing of a recognizance release order (RRO) under s 20(1)(b) of the </w:t>
      </w:r>
      <w:r w:rsidRPr="00EB7F1E">
        <w:rPr>
          <w:rFonts w:asciiTheme="minorHAnsi" w:hAnsiTheme="minorHAnsi" w:cstheme="minorHAnsi"/>
          <w:i/>
        </w:rPr>
        <w:t>Crimes Act 1914</w:t>
      </w:r>
      <w:r w:rsidRPr="007809F4">
        <w:rPr>
          <w:rFonts w:asciiTheme="minorHAnsi" w:hAnsiTheme="minorHAnsi" w:cstheme="minorHAnsi"/>
        </w:rPr>
        <w:t xml:space="preserve"> (Cth).  That is, if s 16E(3) applies, while a court is required to take into account a period of custody for the offence in fixing the head sentence and the non-parole period (if applicable), it is not required to do so in fixing the period to be served under a RRO.  It is not apparent why this should be so.</w:t>
      </w:r>
    </w:p>
  </w:footnote>
  <w:footnote w:id="706">
    <w:p w14:paraId="2301B8DD" w14:textId="5B767A4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The authorities cited below establish that even certain periods of pre-charge custody or periods of immigration detention may be regarded as “custody for the offence” within s 16E.  However under State or Territory law, such periods may not be of a kind which could be taken into account in backdating a sentence or in declaring a period already servied.  For example, a person held in immigration detention as a result of arrest for the instant offence is not “</w:t>
      </w:r>
      <w:r w:rsidRPr="007809F4">
        <w:rPr>
          <w:rFonts w:asciiTheme="minorHAnsi" w:hAnsiTheme="minorHAnsi" w:cstheme="minorHAnsi"/>
          <w:i/>
        </w:rPr>
        <w:t>held in custody in relation to … proceedings for the offence</w:t>
      </w:r>
      <w:r w:rsidRPr="007809F4">
        <w:rPr>
          <w:rFonts w:asciiTheme="minorHAnsi" w:hAnsiTheme="minorHAnsi" w:cstheme="minorHAnsi"/>
        </w:rPr>
        <w:t xml:space="preserve">”, within the meaning of s 18 of the </w:t>
      </w:r>
      <w:r w:rsidRPr="007809F4">
        <w:rPr>
          <w:rFonts w:asciiTheme="minorHAnsi" w:hAnsiTheme="minorHAnsi" w:cstheme="minorHAnsi"/>
          <w:i/>
        </w:rPr>
        <w:t>Sentencing Act 1991</w:t>
      </w:r>
      <w:r w:rsidRPr="007809F4">
        <w:rPr>
          <w:rFonts w:asciiTheme="minorHAnsi" w:hAnsiTheme="minorHAnsi" w:cstheme="minorHAnsi"/>
        </w:rPr>
        <w:t xml:space="preserve"> (Vic): </w:t>
      </w:r>
      <w:r w:rsidRPr="007809F4">
        <w:rPr>
          <w:rFonts w:asciiTheme="minorHAnsi" w:hAnsiTheme="minorHAnsi" w:cstheme="minorHAnsi"/>
          <w:i/>
        </w:rPr>
        <w:t>Sahhitanandan v R</w:t>
      </w:r>
      <w:r w:rsidRPr="007809F4">
        <w:rPr>
          <w:rFonts w:asciiTheme="minorHAnsi" w:hAnsiTheme="minorHAnsi" w:cstheme="minorHAnsi"/>
        </w:rPr>
        <w:t xml:space="preserve"> [2019] VSCA 115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Sahhitanandan v R</w:instrText>
      </w:r>
      <w:r w:rsidRPr="007809F4">
        <w:rPr>
          <w:rFonts w:asciiTheme="minorHAnsi" w:hAnsiTheme="minorHAnsi" w:cstheme="minorHAnsi"/>
        </w:rPr>
        <w:instrText xml:space="preserve"> [2019] VSCA 115</w:instrText>
      </w:r>
      <w:r w:rsidRPr="00EB7F1E">
        <w:rPr>
          <w:rFonts w:asciiTheme="minorHAnsi" w:hAnsiTheme="minorHAnsi" w:cstheme="minorHAnsi"/>
        </w:rPr>
        <w:instrText xml:space="preserve">" \s "Sahhitanandan v R [2019] VSCA 115" \c 1 </w:instrText>
      </w:r>
      <w:r w:rsidRPr="00EB7F1E">
        <w:rPr>
          <w:rFonts w:asciiTheme="minorHAnsi" w:hAnsiTheme="minorHAnsi" w:cstheme="minorHAnsi"/>
        </w:rPr>
        <w:fldChar w:fldCharType="end"/>
      </w:r>
      <w:r w:rsidRPr="007809F4">
        <w:rPr>
          <w:rFonts w:asciiTheme="minorHAnsi" w:hAnsiTheme="minorHAnsi" w:cstheme="minorHAnsi"/>
        </w:rPr>
        <w:t>, [29]-[31].  In those circumstances, the court would be required, under s 16E(3) to</w:t>
      </w:r>
      <w:r w:rsidRPr="00EB7F1E">
        <w:rPr>
          <w:rStyle w:val="ssleftalign"/>
          <w:rFonts w:asciiTheme="minorHAnsi" w:hAnsiTheme="minorHAnsi" w:cstheme="minorHAnsi"/>
        </w:rPr>
        <w:t xml:space="preserve"> </w:t>
      </w:r>
      <w:r w:rsidRPr="00EB7F1E">
        <w:rPr>
          <w:rFonts w:asciiTheme="minorHAnsi" w:hAnsiTheme="minorHAnsi" w:cstheme="minorHAnsi"/>
        </w:rPr>
        <w:t>“take into account</w:t>
      </w:r>
      <w:r w:rsidRPr="007809F4">
        <w:rPr>
          <w:rFonts w:asciiTheme="minorHAnsi" w:hAnsiTheme="minorHAnsi" w:cstheme="minorHAnsi"/>
        </w:rPr>
        <w:t>” that period in fixing the head sentence and the non-parole period.  In Victoria, the result is similar to the position which applies in sentencing for a State offence (</w:t>
      </w:r>
      <w:r w:rsidRPr="007809F4">
        <w:rPr>
          <w:rFonts w:asciiTheme="minorHAnsi" w:hAnsiTheme="minorHAnsi" w:cstheme="minorHAnsi"/>
          <w:i/>
        </w:rPr>
        <w:t>Sahhitanandan v R</w:t>
      </w:r>
      <w:r w:rsidRPr="007809F4">
        <w:rPr>
          <w:rFonts w:asciiTheme="minorHAnsi" w:hAnsiTheme="minorHAnsi" w:cstheme="minorHAnsi"/>
        </w:rPr>
        <w:t xml:space="preserve"> [2019] VSCA 115</w:t>
      </w:r>
      <w:r w:rsidRPr="00EB7F1E">
        <w:rPr>
          <w:rFonts w:asciiTheme="minorHAnsi" w:hAnsiTheme="minorHAnsi" w:cstheme="minorHAnsi"/>
        </w:rPr>
        <w:fldChar w:fldCharType="begin"/>
      </w:r>
      <w:r w:rsidRPr="00EB7F1E">
        <w:rPr>
          <w:rFonts w:asciiTheme="minorHAnsi" w:hAnsiTheme="minorHAnsi" w:cstheme="minorHAnsi"/>
        </w:rPr>
        <w:instrText xml:space="preserve"> TA \s "Sahhitanandan v R [2019] VSCA 115" </w:instrText>
      </w:r>
      <w:r w:rsidRPr="00EB7F1E">
        <w:rPr>
          <w:rFonts w:asciiTheme="minorHAnsi" w:hAnsiTheme="minorHAnsi" w:cstheme="minorHAnsi"/>
        </w:rPr>
        <w:fldChar w:fldCharType="end"/>
      </w:r>
      <w:r w:rsidRPr="007809F4">
        <w:rPr>
          <w:rFonts w:asciiTheme="minorHAnsi" w:hAnsiTheme="minorHAnsi" w:cstheme="minorHAnsi"/>
        </w:rPr>
        <w:t>, [32]-[38]), but the result would be different if under State or Territory law a period of immigration detention would not be regarded as warranting a reduction in sentence.</w:t>
      </w:r>
    </w:p>
  </w:footnote>
  <w:footnote w:id="707">
    <w:p w14:paraId="3C83CD96" w14:textId="0FC43F8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Alimudin v McCarthy</w:t>
      </w:r>
      <w:r w:rsidRPr="007809F4">
        <w:rPr>
          <w:rFonts w:asciiTheme="minorHAnsi" w:hAnsiTheme="minorHAnsi" w:cstheme="minorHAnsi"/>
        </w:rPr>
        <w:t xml:space="preserve"> [2008] NTCA 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Alimudin v McCarthy</w:instrText>
      </w:r>
      <w:r w:rsidRPr="007809F4">
        <w:rPr>
          <w:rFonts w:asciiTheme="minorHAnsi" w:hAnsiTheme="minorHAnsi" w:cstheme="minorHAnsi"/>
        </w:rPr>
        <w:instrText xml:space="preserve"> (2008) 23 NTLR 102</w:instrText>
      </w:r>
      <w:r w:rsidRPr="00EB7F1E">
        <w:rPr>
          <w:rFonts w:asciiTheme="minorHAnsi" w:hAnsiTheme="minorHAnsi" w:cstheme="minorHAnsi"/>
        </w:rPr>
        <w:instrText>" \s "Alimudin v Mc</w:instrText>
      </w:r>
      <w:r w:rsidRPr="007809F4">
        <w:rPr>
          <w:rFonts w:asciiTheme="minorHAnsi" w:hAnsiTheme="minorHAnsi" w:cstheme="minorHAnsi"/>
        </w:rPr>
        <w:instrText>C</w:instrText>
      </w:r>
      <w:r w:rsidRPr="00EB7F1E">
        <w:rPr>
          <w:rFonts w:asciiTheme="minorHAnsi" w:hAnsiTheme="minorHAnsi" w:cstheme="minorHAnsi"/>
        </w:rPr>
        <w:instrText xml:space="preserve">arthy </w:instrText>
      </w:r>
      <w:r w:rsidRPr="007809F4">
        <w:rPr>
          <w:rFonts w:asciiTheme="minorHAnsi" w:hAnsiTheme="minorHAnsi" w:cstheme="minorHAnsi"/>
        </w:rPr>
        <w:instrText>(2008) 23 NTLR 102</w:instrText>
      </w:r>
      <w:r w:rsidRPr="00EB7F1E">
        <w:rPr>
          <w:rFonts w:asciiTheme="minorHAnsi" w:hAnsiTheme="minorHAnsi" w:cstheme="minorHAnsi"/>
        </w:rPr>
        <w:instrText xml:space="preserve">"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08">
    <w:p w14:paraId="61518E93" w14:textId="679A5BD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PNJ v R</w:t>
      </w:r>
      <w:r w:rsidRPr="007809F4">
        <w:rPr>
          <w:rFonts w:asciiTheme="minorHAnsi" w:hAnsiTheme="minorHAnsi" w:cstheme="minorHAnsi"/>
        </w:rPr>
        <w:t xml:space="preserve"> (2009) 83 ALJR 384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PNJ v R</w:instrText>
      </w:r>
      <w:r w:rsidRPr="007809F4">
        <w:rPr>
          <w:rFonts w:asciiTheme="minorHAnsi" w:hAnsiTheme="minorHAnsi" w:cstheme="minorHAnsi"/>
        </w:rPr>
        <w:instrText xml:space="preserve"> (2009) 83 ALJR 384</w:instrText>
      </w:r>
      <w:r w:rsidRPr="00EB7F1E">
        <w:rPr>
          <w:rFonts w:asciiTheme="minorHAnsi" w:hAnsiTheme="minorHAnsi" w:cstheme="minorHAnsi"/>
        </w:rPr>
        <w:instrText xml:space="preserve">" \s "PNJ v R (2009) 83 ALJR 384" \c 1 </w:instrText>
      </w:r>
      <w:r w:rsidRPr="00EB7F1E">
        <w:rPr>
          <w:rFonts w:asciiTheme="minorHAnsi" w:hAnsiTheme="minorHAnsi" w:cstheme="minorHAnsi"/>
        </w:rPr>
        <w:fldChar w:fldCharType="end"/>
      </w:r>
      <w:r w:rsidRPr="007809F4">
        <w:rPr>
          <w:rFonts w:asciiTheme="minorHAnsi" w:hAnsiTheme="minorHAnsi" w:cstheme="minorHAnsi"/>
        </w:rPr>
        <w:t>, [17]-[19], concerning a similar provision in a South Australian statute.</w:t>
      </w:r>
    </w:p>
  </w:footnote>
  <w:footnote w:id="709">
    <w:p w14:paraId="02031A8B" w14:textId="4EBEFBB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Alimudin v McCarthy</w:t>
      </w:r>
      <w:r w:rsidRPr="007809F4">
        <w:rPr>
          <w:rFonts w:asciiTheme="minorHAnsi" w:hAnsiTheme="minorHAnsi" w:cstheme="minorHAnsi"/>
        </w:rPr>
        <w:t xml:space="preserve"> (2008) 23 NTLR 102</w:t>
      </w:r>
      <w:r w:rsidRPr="00EB7F1E">
        <w:rPr>
          <w:rFonts w:asciiTheme="minorHAnsi" w:hAnsiTheme="minorHAnsi" w:cstheme="minorHAnsi"/>
        </w:rPr>
        <w:fldChar w:fldCharType="begin"/>
      </w:r>
      <w:r w:rsidRPr="007809F4">
        <w:rPr>
          <w:rFonts w:asciiTheme="minorHAnsi" w:hAnsiTheme="minorHAnsi" w:cstheme="minorHAnsi"/>
        </w:rPr>
        <w:instrText xml:space="preserve"> TA \s "Alimudin v McCarthy (2008) 23 NTLR 102" </w:instrText>
      </w:r>
      <w:r w:rsidRPr="00EB7F1E">
        <w:rPr>
          <w:rFonts w:asciiTheme="minorHAnsi" w:hAnsiTheme="minorHAnsi" w:cstheme="minorHAnsi"/>
        </w:rPr>
        <w:fldChar w:fldCharType="end"/>
      </w:r>
      <w:r w:rsidRPr="007809F4">
        <w:rPr>
          <w:rFonts w:asciiTheme="minorHAnsi" w:hAnsiTheme="minorHAnsi" w:cstheme="minorHAnsi"/>
        </w:rPr>
        <w:t>, [28].</w:t>
      </w:r>
    </w:p>
  </w:footnote>
  <w:footnote w:id="710">
    <w:p w14:paraId="4D43CB34" w14:textId="303A694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EB7F1E">
        <w:rPr>
          <w:rFonts w:asciiTheme="minorHAnsi" w:hAnsiTheme="minorHAnsi" w:cstheme="minorHAnsi"/>
          <w:i/>
        </w:rPr>
        <w:t>R v Aniezue</w:t>
      </w:r>
      <w:r w:rsidRPr="007809F4">
        <w:rPr>
          <w:rFonts w:asciiTheme="minorHAnsi" w:hAnsiTheme="minorHAnsi" w:cstheme="minorHAnsi"/>
        </w:rPr>
        <w:t xml:space="preserve"> [2016] ACTSC 82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Aniezue</w:instrText>
      </w:r>
      <w:r w:rsidRPr="007809F4">
        <w:rPr>
          <w:rFonts w:asciiTheme="minorHAnsi" w:hAnsiTheme="minorHAnsi" w:cstheme="minorHAnsi"/>
        </w:rPr>
        <w:instrText xml:space="preserve"> [2016] ACTSC 82</w:instrText>
      </w:r>
      <w:r w:rsidRPr="00EB7F1E">
        <w:rPr>
          <w:rFonts w:asciiTheme="minorHAnsi" w:hAnsiTheme="minorHAnsi" w:cstheme="minorHAnsi"/>
        </w:rPr>
        <w:instrText xml:space="preserve">" \s "R v Aniezue [2016] ACTSC 82"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R v Mohamed</w:t>
      </w:r>
      <w:r w:rsidRPr="007809F4">
        <w:rPr>
          <w:rFonts w:asciiTheme="minorHAnsi" w:hAnsiTheme="minorHAnsi" w:cstheme="minorHAnsi"/>
        </w:rPr>
        <w:t xml:space="preserve"> [2016] VSC 581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Mohamed</w:instrText>
      </w:r>
      <w:r w:rsidRPr="007809F4">
        <w:rPr>
          <w:rFonts w:asciiTheme="minorHAnsi" w:hAnsiTheme="minorHAnsi" w:cstheme="minorHAnsi"/>
        </w:rPr>
        <w:instrText xml:space="preserve"> [2016] VSC 581</w:instrText>
      </w:r>
      <w:r w:rsidRPr="00EB7F1E">
        <w:rPr>
          <w:rFonts w:asciiTheme="minorHAnsi" w:hAnsiTheme="minorHAnsi" w:cstheme="minorHAnsi"/>
        </w:rPr>
        <w:instrText xml:space="preserve">" \s "R v Mohamed [2016] VSC 581" \c 1 </w:instrText>
      </w:r>
      <w:r w:rsidRPr="00EB7F1E">
        <w:rPr>
          <w:rFonts w:asciiTheme="minorHAnsi" w:hAnsiTheme="minorHAnsi" w:cstheme="minorHAnsi"/>
        </w:rPr>
        <w:fldChar w:fldCharType="end"/>
      </w:r>
      <w:r w:rsidRPr="007809F4">
        <w:rPr>
          <w:rFonts w:asciiTheme="minorHAnsi" w:hAnsiTheme="minorHAnsi" w:cstheme="minorHAnsi"/>
        </w:rPr>
        <w:t xml:space="preserve">, [31]-[32].  Note also that a court sentencing an offender for an offence of people smuggling or a related offence is required to take into account certain periods of immigration detention: </w:t>
      </w:r>
      <w:r w:rsidRPr="007809F4">
        <w:rPr>
          <w:rFonts w:asciiTheme="minorHAnsi" w:hAnsiTheme="minorHAnsi" w:cstheme="minorHAnsi"/>
          <w:i/>
        </w:rPr>
        <w:t>Migration Act 1958</w:t>
      </w:r>
      <w:r w:rsidRPr="007809F4">
        <w:rPr>
          <w:rFonts w:asciiTheme="minorHAnsi" w:hAnsiTheme="minorHAnsi" w:cstheme="minorHAnsi"/>
        </w:rPr>
        <w:t xml:space="preserve"> (Cth), s 236B.</w:t>
      </w:r>
    </w:p>
  </w:footnote>
  <w:footnote w:id="711">
    <w:p w14:paraId="4FEEB100" w14:textId="0A1EAAF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Lau </w:t>
      </w:r>
      <w:r w:rsidRPr="007809F4">
        <w:rPr>
          <w:rFonts w:asciiTheme="minorHAnsi" w:hAnsiTheme="minorHAnsi" w:cstheme="minorHAnsi"/>
        </w:rPr>
        <w:t>[2009] WASCA 99</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Lau</w:instrText>
      </w:r>
      <w:r w:rsidRPr="007809F4">
        <w:rPr>
          <w:rFonts w:asciiTheme="minorHAnsi" w:hAnsiTheme="minorHAnsi" w:cstheme="minorHAnsi"/>
        </w:rPr>
        <w:instrText xml:space="preserve"> [2009] WASCA 99</w:instrText>
      </w:r>
      <w:r w:rsidRPr="00EB7F1E">
        <w:rPr>
          <w:rFonts w:asciiTheme="minorHAnsi" w:hAnsiTheme="minorHAnsi" w:cstheme="minorHAnsi"/>
        </w:rPr>
        <w:instrText xml:space="preserve">" \s "R v Lau [2009] WASCA 99" \c 1 </w:instrText>
      </w:r>
      <w:r w:rsidRPr="00EB7F1E">
        <w:rPr>
          <w:rFonts w:asciiTheme="minorHAnsi" w:hAnsiTheme="minorHAnsi" w:cstheme="minorHAnsi"/>
          <w:i/>
        </w:rPr>
        <w:fldChar w:fldCharType="end"/>
      </w:r>
      <w:r w:rsidRPr="007809F4">
        <w:rPr>
          <w:rFonts w:asciiTheme="minorHAnsi" w:hAnsiTheme="minorHAnsi" w:cstheme="minorHAnsi"/>
        </w:rPr>
        <w:t>.</w:t>
      </w:r>
    </w:p>
  </w:footnote>
  <w:footnote w:id="712">
    <w:p w14:paraId="773AD0B8" w14:textId="788A0C1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Lau</w:t>
      </w:r>
      <w:r w:rsidRPr="007809F4">
        <w:rPr>
          <w:rFonts w:asciiTheme="minorHAnsi" w:hAnsiTheme="minorHAnsi" w:cstheme="minorHAnsi"/>
        </w:rPr>
        <w:t xml:space="preserve"> [2009] WASCA 99</w:t>
      </w:r>
      <w:r w:rsidRPr="00EB7F1E">
        <w:rPr>
          <w:rFonts w:asciiTheme="minorHAnsi" w:hAnsiTheme="minorHAnsi" w:cstheme="minorHAnsi"/>
        </w:rPr>
        <w:fldChar w:fldCharType="begin"/>
      </w:r>
      <w:r w:rsidRPr="00EB7F1E">
        <w:rPr>
          <w:rFonts w:asciiTheme="minorHAnsi" w:hAnsiTheme="minorHAnsi" w:cstheme="minorHAnsi"/>
        </w:rPr>
        <w:instrText xml:space="preserve"> TA \s "R v Lau [2009] WASCA 99" </w:instrText>
      </w:r>
      <w:r w:rsidRPr="00EB7F1E">
        <w:rPr>
          <w:rFonts w:asciiTheme="minorHAnsi" w:hAnsiTheme="minorHAnsi" w:cstheme="minorHAnsi"/>
        </w:rPr>
        <w:fldChar w:fldCharType="end"/>
      </w:r>
      <w:r w:rsidRPr="007809F4">
        <w:rPr>
          <w:rFonts w:asciiTheme="minorHAnsi" w:hAnsiTheme="minorHAnsi" w:cstheme="minorHAnsi"/>
        </w:rPr>
        <w:t xml:space="preserve">.  Special leave to appeal was refused: </w:t>
      </w:r>
      <w:r w:rsidRPr="007809F4">
        <w:rPr>
          <w:rFonts w:asciiTheme="minorHAnsi" w:hAnsiTheme="minorHAnsi" w:cstheme="minorHAnsi"/>
          <w:i/>
        </w:rPr>
        <w:t>Lau v R</w:t>
      </w:r>
      <w:r w:rsidRPr="007809F4">
        <w:rPr>
          <w:rFonts w:asciiTheme="minorHAnsi" w:hAnsiTheme="minorHAnsi" w:cstheme="minorHAnsi"/>
        </w:rPr>
        <w:t xml:space="preserve"> [2009] HCATrans 275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Lau v R</w:instrText>
      </w:r>
      <w:r w:rsidRPr="007809F4">
        <w:rPr>
          <w:rFonts w:asciiTheme="minorHAnsi" w:hAnsiTheme="minorHAnsi" w:cstheme="minorHAnsi"/>
        </w:rPr>
        <w:instrText xml:space="preserve"> [2009] HCATrans 275" \s "Lau v R [2009] HCATrans 275"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"Lau v R [2009] HCA Trans 275"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13">
    <w:p w14:paraId="4F4B0E1D" w14:textId="62FF337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Tsang v DPP (Cth) </w:t>
      </w:r>
      <w:r w:rsidRPr="007809F4">
        <w:rPr>
          <w:rFonts w:asciiTheme="minorHAnsi" w:hAnsiTheme="minorHAnsi" w:cstheme="minorHAnsi"/>
        </w:rPr>
        <w:t>(2011) 35 VR 240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Tsang v DPP (Cth) </w:instrText>
      </w:r>
      <w:r w:rsidRPr="007809F4">
        <w:rPr>
          <w:rFonts w:asciiTheme="minorHAnsi" w:hAnsiTheme="minorHAnsi" w:cstheme="minorHAnsi"/>
        </w:rPr>
        <w:instrText xml:space="preserve">(2011) 35 VR 240" \s "Tsang v DPP (Cth) (2011) 35 VR 240" \c 1 </w:instrText>
      </w:r>
      <w:r w:rsidRPr="00EB7F1E">
        <w:rPr>
          <w:rFonts w:asciiTheme="minorHAnsi" w:hAnsiTheme="minorHAnsi" w:cstheme="minorHAnsi"/>
        </w:rPr>
        <w:fldChar w:fldCharType="end"/>
      </w:r>
      <w:r w:rsidRPr="007809F4">
        <w:rPr>
          <w:rFonts w:asciiTheme="minorHAnsi" w:hAnsiTheme="minorHAnsi" w:cstheme="minorHAnsi"/>
        </w:rPr>
        <w:t>, [169]-[171].</w:t>
      </w:r>
      <w:r w:rsidRPr="00EB7F1E">
        <w:rPr>
          <w:rFonts w:asciiTheme="minorHAnsi" w:hAnsiTheme="minorHAnsi" w:cstheme="minorHAnsi"/>
        </w:rPr>
        <w:fldChar w:fldCharType="begin"/>
      </w:r>
      <w:r w:rsidRPr="007809F4">
        <w:rPr>
          <w:rFonts w:asciiTheme="minorHAnsi" w:hAnsiTheme="minorHAnsi" w:cstheme="minorHAnsi"/>
        </w:rPr>
        <w:instrText xml:space="preserve">  "Tsang v DPP (Cth) (2011) 35 VR 240" </w:instrText>
      </w:r>
      <w:r w:rsidRPr="00EB7F1E">
        <w:rPr>
          <w:rFonts w:asciiTheme="minorHAnsi" w:hAnsiTheme="minorHAnsi" w:cstheme="minorHAnsi"/>
        </w:rPr>
        <w:fldChar w:fldCharType="end"/>
      </w:r>
    </w:p>
  </w:footnote>
  <w:footnote w:id="714">
    <w:p w14:paraId="0738E99A" w14:textId="529A389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Alimudin v McCarthy</w:t>
      </w:r>
      <w:r w:rsidRPr="007809F4">
        <w:rPr>
          <w:rFonts w:asciiTheme="minorHAnsi" w:hAnsiTheme="minorHAnsi" w:cstheme="minorHAnsi"/>
        </w:rPr>
        <w:t xml:space="preserve"> (2008) 23 NTLR 102</w:t>
      </w:r>
      <w:r w:rsidRPr="00EB7F1E">
        <w:rPr>
          <w:rFonts w:asciiTheme="minorHAnsi" w:hAnsiTheme="minorHAnsi" w:cstheme="minorHAnsi"/>
        </w:rPr>
        <w:fldChar w:fldCharType="begin"/>
      </w:r>
      <w:r w:rsidRPr="007809F4">
        <w:rPr>
          <w:rFonts w:asciiTheme="minorHAnsi" w:hAnsiTheme="minorHAnsi" w:cstheme="minorHAnsi"/>
        </w:rPr>
        <w:instrText xml:space="preserve"> TA \s "Alimudin v McCarthy (2008) 23 NTLR 102" </w:instrText>
      </w:r>
      <w:r w:rsidRPr="00EB7F1E">
        <w:rPr>
          <w:rFonts w:asciiTheme="minorHAnsi" w:hAnsiTheme="minorHAnsi" w:cstheme="minorHAnsi"/>
        </w:rPr>
        <w:fldChar w:fldCharType="end"/>
      </w:r>
      <w:r w:rsidRPr="007809F4">
        <w:rPr>
          <w:rFonts w:asciiTheme="minorHAnsi" w:hAnsiTheme="minorHAnsi" w:cstheme="minorHAnsi"/>
        </w:rPr>
        <w:t>, [28].</w:t>
      </w:r>
    </w:p>
  </w:footnote>
  <w:footnote w:id="715">
    <w:p w14:paraId="7D874BED" w14:textId="017AD17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Mercanti v R</w:t>
      </w:r>
      <w:r w:rsidRPr="007809F4">
        <w:rPr>
          <w:rFonts w:asciiTheme="minorHAnsi" w:hAnsiTheme="minorHAnsi" w:cstheme="minorHAnsi"/>
        </w:rPr>
        <w:t xml:space="preserve"> [2011] WASCA 120</w:t>
      </w:r>
      <w:r w:rsidRPr="00EB7F1E">
        <w:rPr>
          <w:rFonts w:asciiTheme="minorHAnsi" w:hAnsiTheme="minorHAnsi" w:cstheme="minorHAnsi"/>
        </w:rPr>
        <w:fldChar w:fldCharType="begin"/>
      </w:r>
      <w:r w:rsidRPr="007809F4">
        <w:rPr>
          <w:rFonts w:asciiTheme="minorHAnsi" w:hAnsiTheme="minorHAnsi" w:cstheme="minorHAnsi"/>
        </w:rPr>
        <w:instrText xml:space="preserve"> TA \s "Mercanti v R [2011] WASCA 120" </w:instrText>
      </w:r>
      <w:r w:rsidRPr="00EB7F1E">
        <w:rPr>
          <w:rFonts w:asciiTheme="minorHAnsi" w:hAnsiTheme="minorHAnsi" w:cstheme="minorHAnsi"/>
        </w:rPr>
        <w:fldChar w:fldCharType="end"/>
      </w:r>
      <w:r w:rsidRPr="007809F4">
        <w:rPr>
          <w:rFonts w:asciiTheme="minorHAnsi" w:hAnsiTheme="minorHAnsi" w:cstheme="minorHAnsi"/>
        </w:rPr>
        <w:t>, [22]-[25].</w:t>
      </w:r>
    </w:p>
  </w:footnote>
  <w:footnote w:id="716">
    <w:p w14:paraId="4124BF67" w14:textId="4F5E4A7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Tsang v DPP (Cth)</w:t>
      </w:r>
      <w:r w:rsidRPr="007809F4">
        <w:rPr>
          <w:rFonts w:asciiTheme="minorHAnsi" w:hAnsiTheme="minorHAnsi" w:cstheme="minorHAnsi"/>
          <w:b/>
          <w:bCs/>
        </w:rPr>
        <w:t xml:space="preserve"> </w:t>
      </w:r>
      <w:r w:rsidRPr="007809F4">
        <w:rPr>
          <w:rFonts w:asciiTheme="minorHAnsi" w:hAnsiTheme="minorHAnsi" w:cstheme="minorHAnsi"/>
        </w:rPr>
        <w:t>(2011) 35 VR 240</w:t>
      </w:r>
      <w:r w:rsidRPr="00EB7F1E">
        <w:rPr>
          <w:rFonts w:asciiTheme="minorHAnsi" w:hAnsiTheme="minorHAnsi" w:cstheme="minorHAnsi"/>
        </w:rPr>
        <w:fldChar w:fldCharType="begin"/>
      </w:r>
      <w:r w:rsidRPr="007809F4">
        <w:rPr>
          <w:rFonts w:asciiTheme="minorHAnsi" w:hAnsiTheme="minorHAnsi" w:cstheme="minorHAnsi"/>
        </w:rPr>
        <w:instrText xml:space="preserve"> TA \s "Tsang v DPP (Cth) (2011) 35 VR 240"</w:instrText>
      </w:r>
      <w:r w:rsidRPr="00EB7F1E">
        <w:rPr>
          <w:rFonts w:asciiTheme="minorHAnsi" w:hAnsiTheme="minorHAnsi" w:cstheme="minorHAnsi"/>
        </w:rPr>
        <w:fldChar w:fldCharType="end"/>
      </w:r>
      <w:r w:rsidRPr="007809F4">
        <w:rPr>
          <w:rFonts w:asciiTheme="minorHAnsi" w:hAnsiTheme="minorHAnsi" w:cstheme="minorHAnsi"/>
        </w:rPr>
        <w:t>, [172]-[177].</w:t>
      </w:r>
    </w:p>
  </w:footnote>
  <w:footnote w:id="717">
    <w:p w14:paraId="24B0CF1C" w14:textId="535794B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18">
    <w:p w14:paraId="5A0997CF" w14:textId="5FC210A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Renzella</w:t>
      </w:r>
      <w:r w:rsidRPr="007809F4">
        <w:rPr>
          <w:rFonts w:asciiTheme="minorHAnsi" w:hAnsiTheme="minorHAnsi" w:cstheme="minorHAnsi"/>
        </w:rPr>
        <w:t xml:space="preserve"> [1997] 2 VR 88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Renzella</w:instrText>
      </w:r>
      <w:r w:rsidRPr="007809F4">
        <w:rPr>
          <w:rFonts w:asciiTheme="minorHAnsi" w:hAnsiTheme="minorHAnsi" w:cstheme="minorHAnsi"/>
        </w:rPr>
        <w:instrText xml:space="preserve"> [1997] 2 VR 88</w:instrText>
      </w:r>
      <w:r w:rsidRPr="00EB7F1E">
        <w:rPr>
          <w:rFonts w:asciiTheme="minorHAnsi" w:hAnsiTheme="minorHAnsi" w:cstheme="minorHAnsi"/>
        </w:rPr>
        <w:instrText xml:space="preserve">" \s "R v Renzella [1997] 2 VR 88"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Narkle v Hamilton</w:t>
      </w:r>
      <w:r w:rsidRPr="007809F4">
        <w:rPr>
          <w:rFonts w:asciiTheme="minorHAnsi" w:hAnsiTheme="minorHAnsi" w:cstheme="minorHAnsi"/>
        </w:rPr>
        <w:t xml:space="preserve"> [2008] WASCA 31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Narkle v Hamilton</w:instrText>
      </w:r>
      <w:r w:rsidRPr="007809F4">
        <w:rPr>
          <w:rFonts w:asciiTheme="minorHAnsi" w:hAnsiTheme="minorHAnsi" w:cstheme="minorHAnsi"/>
        </w:rPr>
        <w:instrText xml:space="preserve"> [2008] WASCA 31</w:instrText>
      </w:r>
      <w:r w:rsidRPr="00EB7F1E">
        <w:rPr>
          <w:rFonts w:asciiTheme="minorHAnsi" w:hAnsiTheme="minorHAnsi" w:cstheme="minorHAnsi"/>
        </w:rPr>
        <w:instrText xml:space="preserve">" \s "Narkle v Hamilton [2008] WASCA 31"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R v Fabre </w:t>
      </w:r>
      <w:r w:rsidRPr="007809F4">
        <w:rPr>
          <w:rFonts w:asciiTheme="minorHAnsi" w:hAnsiTheme="minorHAnsi" w:cstheme="minorHAnsi"/>
        </w:rPr>
        <w:t>[2008] QCA 386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Fabre </w:instrText>
      </w:r>
      <w:r w:rsidRPr="007809F4">
        <w:rPr>
          <w:rFonts w:asciiTheme="minorHAnsi" w:hAnsiTheme="minorHAnsi" w:cstheme="minorHAnsi"/>
        </w:rPr>
        <w:instrText>[2008] QCA 386</w:instrText>
      </w:r>
      <w:r w:rsidRPr="00EB7F1E">
        <w:rPr>
          <w:rFonts w:asciiTheme="minorHAnsi" w:hAnsiTheme="minorHAnsi" w:cstheme="minorHAnsi"/>
        </w:rPr>
        <w:instrText xml:space="preserve">" \s "R v Fabre [2008] QCA 386"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Style w:val="ssleftalign"/>
          <w:rFonts w:asciiTheme="minorHAnsi" w:hAnsiTheme="minorHAnsi" w:cstheme="minorHAnsi"/>
        </w:rPr>
        <w:t xml:space="preserve"> </w:t>
      </w:r>
      <w:r w:rsidRPr="007809F4">
        <w:rPr>
          <w:rFonts w:asciiTheme="minorHAnsi" w:hAnsiTheme="minorHAnsi" w:cstheme="minorHAnsi"/>
          <w:i/>
        </w:rPr>
        <w:t>Geale v Tasmania</w:t>
      </w:r>
      <w:r w:rsidRPr="007809F4">
        <w:rPr>
          <w:rFonts w:asciiTheme="minorHAnsi" w:hAnsiTheme="minorHAnsi" w:cstheme="minorHAnsi"/>
        </w:rPr>
        <w:t xml:space="preserve"> [2009] TASSC 28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Geale v Tasmania</w:instrText>
      </w:r>
      <w:r w:rsidRPr="007809F4">
        <w:rPr>
          <w:rFonts w:asciiTheme="minorHAnsi" w:hAnsiTheme="minorHAnsi" w:cstheme="minorHAnsi"/>
        </w:rPr>
        <w:instrText xml:space="preserve"> [2009] TASSC 28</w:instrText>
      </w:r>
      <w:r w:rsidRPr="00EB7F1E">
        <w:rPr>
          <w:rFonts w:asciiTheme="minorHAnsi" w:hAnsiTheme="minorHAnsi" w:cstheme="minorHAnsi"/>
        </w:rPr>
        <w:instrText xml:space="preserve">" \s "Geale v Tasmania [2009] TASSC 28"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Karpinski v R</w:t>
      </w:r>
      <w:r w:rsidRPr="007809F4">
        <w:rPr>
          <w:rFonts w:asciiTheme="minorHAnsi" w:hAnsiTheme="minorHAnsi" w:cstheme="minorHAnsi"/>
        </w:rPr>
        <w:t xml:space="preserve"> (2011) 32 VR 85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Karpinski v R</w:instrText>
      </w:r>
      <w:r w:rsidRPr="007809F4">
        <w:rPr>
          <w:rFonts w:asciiTheme="minorHAnsi" w:hAnsiTheme="minorHAnsi" w:cstheme="minorHAnsi"/>
        </w:rPr>
        <w:instrText xml:space="preserve"> (2011) 32 VR 85</w:instrText>
      </w:r>
      <w:r w:rsidRPr="00EB7F1E">
        <w:rPr>
          <w:rFonts w:asciiTheme="minorHAnsi" w:hAnsiTheme="minorHAnsi" w:cstheme="minorHAnsi"/>
        </w:rPr>
        <w:instrText xml:space="preserve">" \s "Karpinski v R (2011) 32 VR 85"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R v Hill; ex parte DPP (Cth)</w:t>
      </w:r>
      <w:r w:rsidRPr="007809F4">
        <w:rPr>
          <w:rFonts w:asciiTheme="minorHAnsi" w:hAnsiTheme="minorHAnsi" w:cstheme="minorHAnsi"/>
        </w:rPr>
        <w:t xml:space="preserve"> [2011] QCA 306</w:t>
      </w:r>
      <w:r w:rsidRPr="00EB7F1E">
        <w:rPr>
          <w:rFonts w:asciiTheme="minorHAnsi" w:hAnsiTheme="minorHAnsi" w:cstheme="minorHAnsi"/>
        </w:rPr>
        <w:fldChar w:fldCharType="begin"/>
      </w:r>
      <w:r w:rsidRPr="00EB7F1E">
        <w:rPr>
          <w:rFonts w:asciiTheme="minorHAnsi" w:hAnsiTheme="minorHAnsi" w:cstheme="minorHAnsi"/>
        </w:rPr>
        <w:instrText xml:space="preserve"> TA \s "R v Hill; ex parte DPP (Cth) [2011] QCA 306" </w:instrText>
      </w:r>
      <w:r w:rsidRPr="00EB7F1E">
        <w:rPr>
          <w:rFonts w:asciiTheme="minorHAnsi" w:hAnsiTheme="minorHAnsi" w:cstheme="minorHAnsi"/>
        </w:rPr>
        <w:fldChar w:fldCharType="end"/>
      </w:r>
      <w:r w:rsidRPr="007809F4">
        <w:rPr>
          <w:rFonts w:asciiTheme="minorHAnsi" w:hAnsiTheme="minorHAnsi" w:cstheme="minorHAnsi"/>
        </w:rPr>
        <w:t>, [280]-[282].</w:t>
      </w:r>
      <w:r w:rsidRPr="007809F4">
        <w:rPr>
          <w:rStyle w:val="Heading1Char"/>
          <w:rFonts w:asciiTheme="minorHAnsi" w:hAnsiTheme="minorHAnsi" w:cstheme="minorHAnsi"/>
          <w:sz w:val="20"/>
          <w:szCs w:val="20"/>
        </w:rPr>
        <w:t xml:space="preserve"> </w:t>
      </w:r>
    </w:p>
  </w:footnote>
  <w:footnote w:id="719">
    <w:p w14:paraId="2E96768D" w14:textId="2EEF266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Referring to </w:t>
      </w:r>
      <w:r w:rsidRPr="007809F4">
        <w:rPr>
          <w:rFonts w:asciiTheme="minorHAnsi" w:hAnsiTheme="minorHAnsi" w:cstheme="minorHAnsi"/>
          <w:i/>
        </w:rPr>
        <w:t>R v Renzella</w:t>
      </w:r>
      <w:r w:rsidRPr="007809F4">
        <w:rPr>
          <w:rFonts w:asciiTheme="minorHAnsi" w:hAnsiTheme="minorHAnsi" w:cstheme="minorHAnsi"/>
        </w:rPr>
        <w:t xml:space="preserve"> [1997] 2 VR 88</w:t>
      </w:r>
      <w:r w:rsidRPr="00EB7F1E">
        <w:rPr>
          <w:rFonts w:asciiTheme="minorHAnsi" w:hAnsiTheme="minorHAnsi" w:cstheme="minorHAnsi"/>
        </w:rPr>
        <w:fldChar w:fldCharType="begin"/>
      </w:r>
      <w:r w:rsidRPr="007809F4">
        <w:rPr>
          <w:rFonts w:asciiTheme="minorHAnsi" w:hAnsiTheme="minorHAnsi" w:cstheme="minorHAnsi"/>
        </w:rPr>
        <w:instrText xml:space="preserve"> TA \s "R v Renzella [1997] 2 VR 88"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Style w:val="Heading1Char"/>
          <w:rFonts w:asciiTheme="minorHAnsi" w:hAnsiTheme="minorHAnsi" w:cstheme="minorHAnsi"/>
          <w:sz w:val="20"/>
          <w:szCs w:val="20"/>
        </w:rPr>
        <w:t xml:space="preserve"> </w:t>
      </w:r>
    </w:p>
  </w:footnote>
  <w:footnote w:id="720">
    <w:p w14:paraId="7A2CA8A6" w14:textId="5868A5F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Tsang v DPP (Cth)</w:t>
      </w:r>
      <w:r w:rsidRPr="007809F4">
        <w:rPr>
          <w:rFonts w:asciiTheme="minorHAnsi" w:hAnsiTheme="minorHAnsi" w:cstheme="minorHAnsi"/>
          <w:b/>
          <w:bCs/>
        </w:rPr>
        <w:t xml:space="preserve"> </w:t>
      </w:r>
      <w:r w:rsidRPr="007809F4">
        <w:rPr>
          <w:rFonts w:asciiTheme="minorHAnsi" w:hAnsiTheme="minorHAnsi" w:cstheme="minorHAnsi"/>
        </w:rPr>
        <w:t>(2011) 35 VR 240</w:t>
      </w:r>
      <w:r w:rsidRPr="00EB7F1E">
        <w:rPr>
          <w:rFonts w:asciiTheme="minorHAnsi" w:hAnsiTheme="minorHAnsi" w:cstheme="minorHAnsi"/>
        </w:rPr>
        <w:fldChar w:fldCharType="begin"/>
      </w:r>
      <w:r w:rsidRPr="007809F4">
        <w:rPr>
          <w:rFonts w:asciiTheme="minorHAnsi" w:hAnsiTheme="minorHAnsi" w:cstheme="minorHAnsi"/>
        </w:rPr>
        <w:instrText xml:space="preserve"> TA \s "Tsang v DPP (Cth) (2011) 35 VR 240"</w:instrText>
      </w:r>
      <w:r w:rsidRPr="00EB7F1E">
        <w:rPr>
          <w:rFonts w:asciiTheme="minorHAnsi" w:hAnsiTheme="minorHAnsi" w:cstheme="minorHAnsi"/>
        </w:rPr>
        <w:fldChar w:fldCharType="end"/>
      </w:r>
      <w:r w:rsidRPr="007809F4">
        <w:rPr>
          <w:rFonts w:asciiTheme="minorHAnsi" w:hAnsiTheme="minorHAnsi" w:cstheme="minorHAnsi"/>
        </w:rPr>
        <w:t>, [170]-[171];</w:t>
      </w:r>
      <w:r w:rsidRPr="007809F4">
        <w:rPr>
          <w:rStyle w:val="ssrolluprptrline"/>
          <w:rFonts w:asciiTheme="minorHAnsi" w:hAnsiTheme="minorHAnsi" w:cstheme="minorHAnsi"/>
        </w:rPr>
        <w:t xml:space="preserve"> </w:t>
      </w:r>
      <w:r w:rsidRPr="007809F4">
        <w:rPr>
          <w:rFonts w:asciiTheme="minorHAnsi" w:hAnsiTheme="minorHAnsi" w:cstheme="minorHAnsi"/>
          <w:i/>
        </w:rPr>
        <w:t xml:space="preserve">R v Hill; ex parte DPP (Cth) </w:t>
      </w:r>
      <w:r w:rsidRPr="007809F4">
        <w:rPr>
          <w:rFonts w:asciiTheme="minorHAnsi" w:hAnsiTheme="minorHAnsi" w:cstheme="minorHAnsi"/>
        </w:rPr>
        <w:t>[2011] QCA 306</w:t>
      </w:r>
      <w:r w:rsidRPr="00EB7F1E">
        <w:rPr>
          <w:rFonts w:asciiTheme="minorHAnsi" w:hAnsiTheme="minorHAnsi" w:cstheme="minorHAnsi"/>
        </w:rPr>
        <w:fldChar w:fldCharType="begin"/>
      </w:r>
      <w:r w:rsidRPr="00EB7F1E">
        <w:rPr>
          <w:rFonts w:asciiTheme="minorHAnsi" w:hAnsiTheme="minorHAnsi" w:cstheme="minorHAnsi"/>
        </w:rPr>
        <w:instrText xml:space="preserve"> TA \s "R v Hill; ex parte DPP (Cth) [2011] QCA 306" </w:instrText>
      </w:r>
      <w:r w:rsidRPr="00EB7F1E">
        <w:rPr>
          <w:rFonts w:asciiTheme="minorHAnsi" w:hAnsiTheme="minorHAnsi" w:cstheme="minorHAnsi"/>
        </w:rPr>
        <w:fldChar w:fldCharType="end"/>
      </w:r>
      <w:r w:rsidRPr="007809F4">
        <w:rPr>
          <w:rFonts w:asciiTheme="minorHAnsi" w:hAnsiTheme="minorHAnsi" w:cstheme="minorHAnsi"/>
        </w:rPr>
        <w:t>, [280]-[282].</w:t>
      </w:r>
    </w:p>
  </w:footnote>
  <w:footnote w:id="721">
    <w:p w14:paraId="6507749C" w14:textId="32DB659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Warwick v R </w:t>
      </w:r>
      <w:r w:rsidRPr="007809F4">
        <w:rPr>
          <w:rFonts w:asciiTheme="minorHAnsi" w:hAnsiTheme="minorHAnsi" w:cstheme="minorHAnsi"/>
        </w:rPr>
        <w:t>[2010] VSCA 166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Warwick v R </w:instrText>
      </w:r>
      <w:r w:rsidRPr="007809F4">
        <w:rPr>
          <w:rFonts w:asciiTheme="minorHAnsi" w:hAnsiTheme="minorHAnsi" w:cstheme="minorHAnsi"/>
        </w:rPr>
        <w:instrText>[2010] VSCA 166</w:instrText>
      </w:r>
      <w:r w:rsidRPr="00EB7F1E">
        <w:rPr>
          <w:rFonts w:asciiTheme="minorHAnsi" w:hAnsiTheme="minorHAnsi" w:cstheme="minorHAnsi"/>
        </w:rPr>
        <w:instrText xml:space="preserve">" \s "Warwick v R [2010] VSCA 166" \c 1 </w:instrText>
      </w:r>
      <w:r w:rsidRPr="00EB7F1E">
        <w:rPr>
          <w:rFonts w:asciiTheme="minorHAnsi" w:hAnsiTheme="minorHAnsi" w:cstheme="minorHAnsi"/>
        </w:rPr>
        <w:fldChar w:fldCharType="end"/>
      </w:r>
      <w:r w:rsidRPr="007809F4">
        <w:rPr>
          <w:rFonts w:asciiTheme="minorHAnsi" w:hAnsiTheme="minorHAnsi" w:cstheme="minorHAnsi"/>
        </w:rPr>
        <w:t>, [10].</w:t>
      </w:r>
    </w:p>
  </w:footnote>
  <w:footnote w:id="722">
    <w:p w14:paraId="510AC7CC" w14:textId="40F9A5C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Karpinski v R</w:t>
      </w:r>
      <w:r w:rsidRPr="007809F4">
        <w:rPr>
          <w:rFonts w:asciiTheme="minorHAnsi" w:hAnsiTheme="minorHAnsi" w:cstheme="minorHAnsi"/>
        </w:rPr>
        <w:t xml:space="preserve"> (2011) 32 VR 85</w:t>
      </w:r>
      <w:r w:rsidRPr="00EB7F1E">
        <w:rPr>
          <w:rFonts w:asciiTheme="minorHAnsi" w:hAnsiTheme="minorHAnsi" w:cstheme="minorHAnsi"/>
        </w:rPr>
        <w:fldChar w:fldCharType="begin"/>
      </w:r>
      <w:r w:rsidRPr="007809F4">
        <w:rPr>
          <w:rFonts w:asciiTheme="minorHAnsi" w:hAnsiTheme="minorHAnsi" w:cstheme="minorHAnsi"/>
        </w:rPr>
        <w:instrText xml:space="preserve"> TA \s "Karpinski v R (2011) 32 VR 85" </w:instrText>
      </w:r>
      <w:r w:rsidRPr="00EB7F1E">
        <w:rPr>
          <w:rFonts w:asciiTheme="minorHAnsi" w:hAnsiTheme="minorHAnsi" w:cstheme="minorHAnsi"/>
        </w:rPr>
        <w:fldChar w:fldCharType="end"/>
      </w:r>
      <w:r w:rsidRPr="007809F4">
        <w:rPr>
          <w:rFonts w:asciiTheme="minorHAnsi" w:hAnsiTheme="minorHAnsi" w:cstheme="minorHAnsi"/>
        </w:rPr>
        <w:t>.  The case concerned sentencing for State offences, not a federal offence.</w:t>
      </w:r>
    </w:p>
  </w:footnote>
  <w:footnote w:id="723">
    <w:p w14:paraId="4D68E5C0" w14:textId="2B2CFC6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Karpinski v R</w:t>
      </w:r>
      <w:r w:rsidRPr="007809F4">
        <w:rPr>
          <w:rFonts w:asciiTheme="minorHAnsi" w:hAnsiTheme="minorHAnsi" w:cstheme="minorHAnsi"/>
        </w:rPr>
        <w:t xml:space="preserve"> (2011) 32 VR 85</w:t>
      </w:r>
      <w:r w:rsidRPr="00EB7F1E">
        <w:rPr>
          <w:rFonts w:asciiTheme="minorHAnsi" w:hAnsiTheme="minorHAnsi" w:cstheme="minorHAnsi"/>
        </w:rPr>
        <w:fldChar w:fldCharType="begin"/>
      </w:r>
      <w:r w:rsidRPr="007809F4">
        <w:rPr>
          <w:rFonts w:asciiTheme="minorHAnsi" w:hAnsiTheme="minorHAnsi" w:cstheme="minorHAnsi"/>
        </w:rPr>
        <w:instrText xml:space="preserve"> TA \s "Karpinski v R (2011) 32 VR 85" </w:instrText>
      </w:r>
      <w:r w:rsidRPr="00EB7F1E">
        <w:rPr>
          <w:rFonts w:asciiTheme="minorHAnsi" w:hAnsiTheme="minorHAnsi" w:cstheme="minorHAnsi"/>
        </w:rPr>
        <w:fldChar w:fldCharType="end"/>
      </w:r>
      <w:r w:rsidRPr="007809F4">
        <w:rPr>
          <w:rFonts w:asciiTheme="minorHAnsi" w:hAnsiTheme="minorHAnsi" w:cstheme="minorHAnsi"/>
        </w:rPr>
        <w:t>, [2]-[8].</w:t>
      </w:r>
    </w:p>
  </w:footnote>
  <w:footnote w:id="724">
    <w:p w14:paraId="0C50563D" w14:textId="6595647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Niass </w:t>
      </w:r>
      <w:r w:rsidRPr="007809F4">
        <w:rPr>
          <w:rFonts w:asciiTheme="minorHAnsi" w:hAnsiTheme="minorHAnsi" w:cstheme="minorHAnsi"/>
        </w:rPr>
        <w:t>(NSW CCA, 16 November 1988,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Niass </w:instrText>
      </w:r>
      <w:r w:rsidRPr="007809F4">
        <w:rPr>
          <w:rFonts w:asciiTheme="minorHAnsi" w:hAnsiTheme="minorHAnsi" w:cstheme="minorHAnsi"/>
        </w:rPr>
        <w:instrText>(NSW CCA, 16 November 1988, unreported)</w:instrText>
      </w:r>
      <w:r w:rsidRPr="00EB7F1E">
        <w:rPr>
          <w:rFonts w:asciiTheme="minorHAnsi" w:hAnsiTheme="minorHAnsi" w:cstheme="minorHAnsi"/>
        </w:rPr>
        <w:instrText xml:space="preserve">" \s "R v Niass (NSW CCA, 16 November 1988, unreported)"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Hampton v R</w:t>
      </w:r>
      <w:r w:rsidRPr="007809F4">
        <w:rPr>
          <w:rFonts w:asciiTheme="minorHAnsi" w:hAnsiTheme="minorHAnsi" w:cstheme="minorHAnsi"/>
        </w:rPr>
        <w:t xml:space="preserve"> [2014] NSWCCA 141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Hampton v R</w:instrText>
      </w:r>
      <w:r w:rsidRPr="007809F4">
        <w:rPr>
          <w:rFonts w:asciiTheme="minorHAnsi" w:hAnsiTheme="minorHAnsi" w:cstheme="minorHAnsi"/>
        </w:rPr>
        <w:instrText xml:space="preserve"> [2014] NSWCCA 141</w:instrText>
      </w:r>
      <w:r w:rsidRPr="00EB7F1E">
        <w:rPr>
          <w:rFonts w:asciiTheme="minorHAnsi" w:hAnsiTheme="minorHAnsi" w:cstheme="minorHAnsi"/>
        </w:rPr>
        <w:instrText xml:space="preserve">" \s "Hampton v R [2014] NSWCCA 141" \c 1 </w:instrText>
      </w:r>
      <w:r w:rsidRPr="00EB7F1E">
        <w:rPr>
          <w:rFonts w:asciiTheme="minorHAnsi" w:hAnsiTheme="minorHAnsi" w:cstheme="minorHAnsi"/>
        </w:rPr>
        <w:fldChar w:fldCharType="end"/>
      </w:r>
      <w:r w:rsidRPr="007809F4">
        <w:rPr>
          <w:rFonts w:asciiTheme="minorHAnsi" w:hAnsiTheme="minorHAnsi" w:cstheme="minorHAnsi"/>
        </w:rPr>
        <w:t>, [18]-[39].</w:t>
      </w:r>
    </w:p>
  </w:footnote>
  <w:footnote w:id="725">
    <w:p w14:paraId="1358BF32" w14:textId="6FA07AD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R v Hughey</w:t>
      </w:r>
      <w:r w:rsidRPr="007809F4">
        <w:rPr>
          <w:rFonts w:asciiTheme="minorHAnsi" w:hAnsiTheme="minorHAnsi" w:cstheme="minorHAnsi"/>
        </w:rPr>
        <w:t xml:space="preserve"> [2007] SASC 452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Hughey</w:instrText>
      </w:r>
      <w:r w:rsidRPr="007809F4">
        <w:rPr>
          <w:rFonts w:asciiTheme="minorHAnsi" w:hAnsiTheme="minorHAnsi" w:cstheme="minorHAnsi"/>
        </w:rPr>
        <w:instrText xml:space="preserve"> [2007] SASC 452</w:instrText>
      </w:r>
      <w:r w:rsidRPr="00EB7F1E">
        <w:rPr>
          <w:rFonts w:asciiTheme="minorHAnsi" w:hAnsiTheme="minorHAnsi" w:cstheme="minorHAnsi"/>
        </w:rPr>
        <w:instrText xml:space="preserve">" \s "R v Hughey [2007] SASC 452" \c 1 </w:instrText>
      </w:r>
      <w:r w:rsidRPr="00EB7F1E">
        <w:rPr>
          <w:rFonts w:asciiTheme="minorHAnsi" w:hAnsiTheme="minorHAnsi" w:cstheme="minorHAnsi"/>
        </w:rPr>
        <w:fldChar w:fldCharType="end"/>
      </w:r>
      <w:r w:rsidRPr="007809F4">
        <w:rPr>
          <w:rFonts w:asciiTheme="minorHAnsi" w:hAnsiTheme="minorHAnsi" w:cstheme="minorHAnsi"/>
        </w:rPr>
        <w:t xml:space="preserve">, [6]-[7]; </w:t>
      </w:r>
      <w:r w:rsidRPr="00EB7F1E">
        <w:rPr>
          <w:rFonts w:asciiTheme="minorHAnsi" w:hAnsiTheme="minorHAnsi" w:cstheme="minorHAnsi"/>
          <w:i/>
        </w:rPr>
        <w:t>R v Galgey</w:t>
      </w:r>
      <w:r w:rsidRPr="00EB7F1E">
        <w:rPr>
          <w:rFonts w:asciiTheme="minorHAnsi" w:hAnsiTheme="minorHAnsi" w:cstheme="minorHAnsi"/>
        </w:rPr>
        <w:t xml:space="preserve"> [2010] SASC 134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Galgey</w:instrText>
      </w:r>
      <w:r w:rsidRPr="00EB7F1E">
        <w:rPr>
          <w:rFonts w:asciiTheme="minorHAnsi" w:hAnsiTheme="minorHAnsi" w:cstheme="minorHAnsi"/>
        </w:rPr>
        <w:instrText xml:space="preserve"> [2010] SASC 134" \s "R v Galgey [2010] SASC 134" \c 1 </w:instrText>
      </w:r>
      <w:r w:rsidRPr="00EB7F1E">
        <w:rPr>
          <w:rFonts w:asciiTheme="minorHAnsi" w:hAnsiTheme="minorHAnsi" w:cstheme="minorHAnsi"/>
        </w:rPr>
        <w:fldChar w:fldCharType="end"/>
      </w:r>
      <w:r w:rsidRPr="00EB7F1E">
        <w:rPr>
          <w:rFonts w:asciiTheme="minorHAnsi" w:hAnsiTheme="minorHAnsi" w:cstheme="minorHAnsi"/>
        </w:rPr>
        <w:t>, [10];</w:t>
      </w:r>
      <w:r w:rsidRPr="00EB7F1E">
        <w:rPr>
          <w:rStyle w:val="ssleftalign"/>
          <w:rFonts w:asciiTheme="minorHAnsi" w:hAnsiTheme="minorHAnsi" w:cstheme="minorHAnsi"/>
        </w:rPr>
        <w:t xml:space="preserve"> </w:t>
      </w:r>
      <w:r w:rsidRPr="00EB7F1E">
        <w:rPr>
          <w:rFonts w:asciiTheme="minorHAnsi" w:hAnsiTheme="minorHAnsi" w:cstheme="minorHAnsi"/>
          <w:i/>
        </w:rPr>
        <w:t>R v Sprecher</w:t>
      </w:r>
      <w:r w:rsidRPr="00EB7F1E">
        <w:rPr>
          <w:rFonts w:asciiTheme="minorHAnsi" w:hAnsiTheme="minorHAnsi" w:cstheme="minorHAnsi"/>
        </w:rPr>
        <w:t xml:space="preserve"> (2015) 123 SASR 15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 v Sprecher</w:instrText>
      </w:r>
      <w:r w:rsidRPr="00EB7F1E">
        <w:rPr>
          <w:rFonts w:asciiTheme="minorHAnsi" w:hAnsiTheme="minorHAnsi" w:cstheme="minorHAnsi"/>
        </w:rPr>
        <w:instrText xml:space="preserve"> (2015) 123 SASR 15" \s "R v Sprecher (2015) 123 SASR 15" \c 1 </w:instrText>
      </w:r>
      <w:r w:rsidRPr="00EB7F1E">
        <w:rPr>
          <w:rFonts w:asciiTheme="minorHAnsi" w:hAnsiTheme="minorHAnsi" w:cstheme="minorHAnsi"/>
        </w:rPr>
        <w:fldChar w:fldCharType="end"/>
      </w:r>
      <w:r w:rsidRPr="00EB7F1E">
        <w:rPr>
          <w:rFonts w:asciiTheme="minorHAnsi" w:hAnsiTheme="minorHAnsi" w:cstheme="minorHAnsi"/>
        </w:rPr>
        <w:t>, [28]-[32].</w:t>
      </w:r>
      <w:r w:rsidRPr="007809F4">
        <w:rPr>
          <w:rFonts w:asciiTheme="minorHAnsi" w:hAnsiTheme="minorHAnsi" w:cstheme="minorHAnsi"/>
        </w:rPr>
        <w:t xml:space="preserve">  However in </w:t>
      </w:r>
      <w:r w:rsidRPr="00EB7F1E">
        <w:rPr>
          <w:rFonts w:asciiTheme="minorHAnsi" w:hAnsiTheme="minorHAnsi" w:cstheme="minorHAnsi"/>
          <w:i/>
          <w:iCs/>
        </w:rPr>
        <w:t>R v Hudson</w:t>
      </w:r>
      <w:r w:rsidRPr="007809F4">
        <w:rPr>
          <w:rFonts w:asciiTheme="minorHAnsi" w:hAnsiTheme="minorHAnsi" w:cstheme="minorHAnsi"/>
        </w:rPr>
        <w:t xml:space="preserve"> [2016] SASCFC 60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Hudson</w:instrText>
      </w:r>
      <w:r w:rsidRPr="007809F4">
        <w:rPr>
          <w:rFonts w:asciiTheme="minorHAnsi" w:hAnsiTheme="minorHAnsi" w:cstheme="minorHAnsi"/>
        </w:rPr>
        <w:instrText xml:space="preserve"> [2016] SASCFC 60</w:instrText>
      </w:r>
      <w:r w:rsidRPr="00EB7F1E">
        <w:rPr>
          <w:rFonts w:asciiTheme="minorHAnsi" w:hAnsiTheme="minorHAnsi" w:cstheme="minorHAnsi"/>
        </w:rPr>
        <w:instrText xml:space="preserve">" \s "R v Hudson [2016] SASCFC 60" \c 1 </w:instrText>
      </w:r>
      <w:r w:rsidRPr="00EB7F1E">
        <w:rPr>
          <w:rFonts w:asciiTheme="minorHAnsi" w:hAnsiTheme="minorHAnsi" w:cstheme="minorHAnsi"/>
        </w:rPr>
        <w:fldChar w:fldCharType="end"/>
      </w:r>
      <w:r w:rsidRPr="007809F4">
        <w:rPr>
          <w:rFonts w:asciiTheme="minorHAnsi" w:hAnsiTheme="minorHAnsi" w:cstheme="minorHAnsi"/>
        </w:rPr>
        <w:t xml:space="preserve"> it was held that a period when the offender was subject to home detention bail for the instant offence could be taken into account in fixing sentence for a federal offence, even though the offender was not entitled to credit for that period as “</w:t>
      </w:r>
      <w:r w:rsidRPr="00EB7F1E">
        <w:rPr>
          <w:rFonts w:asciiTheme="minorHAnsi" w:hAnsiTheme="minorHAnsi" w:cstheme="minorHAnsi"/>
          <w:i/>
          <w:iCs/>
        </w:rPr>
        <w:t>time in custody in respect of</w:t>
      </w:r>
      <w:r w:rsidRPr="007809F4">
        <w:rPr>
          <w:rFonts w:asciiTheme="minorHAnsi" w:hAnsiTheme="minorHAnsi" w:cstheme="minorHAnsi"/>
          <w:i/>
          <w:iCs/>
        </w:rPr>
        <w:t>”</w:t>
      </w:r>
      <w:r w:rsidRPr="00EB7F1E">
        <w:rPr>
          <w:rFonts w:asciiTheme="minorHAnsi" w:hAnsiTheme="minorHAnsi" w:cstheme="minorHAnsi"/>
          <w:i/>
          <w:iCs/>
        </w:rPr>
        <w:t xml:space="preserve"> </w:t>
      </w:r>
      <w:r w:rsidRPr="00EB7F1E">
        <w:rPr>
          <w:rFonts w:asciiTheme="minorHAnsi" w:hAnsiTheme="minorHAnsi" w:cstheme="minorHAnsi"/>
        </w:rPr>
        <w:t>the offence under State law</w:t>
      </w:r>
      <w:r w:rsidRPr="007809F4">
        <w:rPr>
          <w:rFonts w:asciiTheme="minorHAnsi" w:hAnsiTheme="minorHAnsi" w:cstheme="minorHAnsi"/>
        </w:rPr>
        <w:t xml:space="preserve"> (as applied by s 16E of the </w:t>
      </w:r>
      <w:r w:rsidRPr="00EB7F1E">
        <w:rPr>
          <w:rFonts w:asciiTheme="minorHAnsi" w:hAnsiTheme="minorHAnsi" w:cstheme="minorHAnsi"/>
          <w:i/>
          <w:iCs/>
        </w:rPr>
        <w:t>Crimes Act 1914</w:t>
      </w:r>
      <w:r w:rsidRPr="007809F4">
        <w:rPr>
          <w:rFonts w:asciiTheme="minorHAnsi" w:hAnsiTheme="minorHAnsi" w:cstheme="minorHAnsi"/>
        </w:rPr>
        <w:t>)</w:t>
      </w:r>
      <w:r w:rsidRPr="00EB7F1E">
        <w:rPr>
          <w:rFonts w:asciiTheme="minorHAnsi" w:hAnsiTheme="minorHAnsi" w:cstheme="minorHAnsi"/>
        </w:rPr>
        <w:t>.</w:t>
      </w:r>
    </w:p>
  </w:footnote>
  <w:footnote w:id="726">
    <w:p w14:paraId="53567D97" w14:textId="0F189EF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Tsang v DPP (Cth)</w:t>
      </w:r>
      <w:r w:rsidRPr="007809F4">
        <w:rPr>
          <w:rFonts w:asciiTheme="minorHAnsi" w:hAnsiTheme="minorHAnsi" w:cstheme="minorHAnsi"/>
          <w:b/>
          <w:bCs/>
        </w:rPr>
        <w:t xml:space="preserve"> </w:t>
      </w:r>
      <w:r w:rsidRPr="007809F4">
        <w:rPr>
          <w:rFonts w:asciiTheme="minorHAnsi" w:hAnsiTheme="minorHAnsi" w:cstheme="minorHAnsi"/>
        </w:rPr>
        <w:t>(2011) 35 VR 240</w:t>
      </w:r>
      <w:r w:rsidRPr="00EB7F1E">
        <w:rPr>
          <w:rFonts w:asciiTheme="minorHAnsi" w:hAnsiTheme="minorHAnsi" w:cstheme="minorHAnsi"/>
        </w:rPr>
        <w:fldChar w:fldCharType="begin"/>
      </w:r>
      <w:r w:rsidRPr="007809F4">
        <w:rPr>
          <w:rFonts w:asciiTheme="minorHAnsi" w:hAnsiTheme="minorHAnsi" w:cstheme="minorHAnsi"/>
        </w:rPr>
        <w:instrText xml:space="preserve"> TA \s "Tsang v DPP (Cth) (2011) 35 VR 240"</w:instrText>
      </w:r>
      <w:r w:rsidRPr="00EB7F1E">
        <w:rPr>
          <w:rFonts w:asciiTheme="minorHAnsi" w:hAnsiTheme="minorHAnsi" w:cstheme="minorHAnsi"/>
        </w:rPr>
        <w:fldChar w:fldCharType="end"/>
      </w:r>
      <w:r w:rsidRPr="007809F4">
        <w:rPr>
          <w:rFonts w:asciiTheme="minorHAnsi" w:hAnsiTheme="minorHAnsi" w:cstheme="minorHAnsi"/>
        </w:rPr>
        <w:t>, [164]-[172];</w:t>
      </w:r>
      <w:r w:rsidRPr="007809F4">
        <w:rPr>
          <w:rStyle w:val="ssrolluprptrline"/>
          <w:rFonts w:asciiTheme="minorHAnsi" w:hAnsiTheme="minorHAnsi" w:cstheme="minorHAnsi"/>
        </w:rPr>
        <w:t xml:space="preserve"> </w:t>
      </w:r>
      <w:r w:rsidRPr="007809F4">
        <w:rPr>
          <w:rFonts w:asciiTheme="minorHAnsi" w:hAnsiTheme="minorHAnsi" w:cstheme="minorHAnsi"/>
          <w:i/>
        </w:rPr>
        <w:t xml:space="preserve">R v Hill; ex parte DPP (Cth) </w:t>
      </w:r>
      <w:r w:rsidRPr="007809F4">
        <w:rPr>
          <w:rFonts w:asciiTheme="minorHAnsi" w:hAnsiTheme="minorHAnsi" w:cstheme="minorHAnsi"/>
        </w:rPr>
        <w:t>[2011] QCA 306</w:t>
      </w:r>
      <w:r w:rsidRPr="00EB7F1E">
        <w:rPr>
          <w:rFonts w:asciiTheme="minorHAnsi" w:hAnsiTheme="minorHAnsi" w:cstheme="minorHAnsi"/>
        </w:rPr>
        <w:fldChar w:fldCharType="begin"/>
      </w:r>
      <w:r w:rsidRPr="00EB7F1E">
        <w:rPr>
          <w:rFonts w:asciiTheme="minorHAnsi" w:hAnsiTheme="minorHAnsi" w:cstheme="minorHAnsi"/>
        </w:rPr>
        <w:instrText xml:space="preserve"> TA \s "R v Hill; ex parte DPP (Cth) [2011] QCA 306" </w:instrText>
      </w:r>
      <w:r w:rsidRPr="00EB7F1E">
        <w:rPr>
          <w:rFonts w:asciiTheme="minorHAnsi" w:hAnsiTheme="minorHAnsi" w:cstheme="minorHAnsi"/>
        </w:rPr>
        <w:fldChar w:fldCharType="end"/>
      </w:r>
      <w:r w:rsidRPr="007809F4">
        <w:rPr>
          <w:rFonts w:asciiTheme="minorHAnsi" w:hAnsiTheme="minorHAnsi" w:cstheme="minorHAnsi"/>
        </w:rPr>
        <w:t>, [280]-[282].</w:t>
      </w:r>
    </w:p>
  </w:footnote>
  <w:footnote w:id="727">
    <w:p w14:paraId="6FA78888" w14:textId="3E9737C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Nothing in s 16A(2) of the Act appears to accommodate taking into account custody on an unrelated charge, unless such custody can be considered as an aspect of the “antecedents” of the offender within s 16A(2)(m) (cf. </w:t>
      </w:r>
      <w:r w:rsidRPr="007809F4">
        <w:rPr>
          <w:rFonts w:asciiTheme="minorHAnsi" w:hAnsiTheme="minorHAnsi" w:cstheme="minorHAnsi"/>
          <w:i/>
          <w:iCs/>
        </w:rPr>
        <w:t>R v Hudson</w:t>
      </w:r>
      <w:r w:rsidRPr="007809F4">
        <w:rPr>
          <w:rFonts w:asciiTheme="minorHAnsi" w:hAnsiTheme="minorHAnsi" w:cstheme="minorHAnsi"/>
        </w:rPr>
        <w:t xml:space="preserve"> [2016] SASCFC 60</w:t>
      </w:r>
      <w:r w:rsidRPr="00EB7F1E">
        <w:rPr>
          <w:rFonts w:asciiTheme="minorHAnsi" w:hAnsiTheme="minorHAnsi" w:cstheme="minorHAnsi"/>
        </w:rPr>
        <w:fldChar w:fldCharType="begin"/>
      </w:r>
      <w:r w:rsidRPr="00EB7F1E">
        <w:rPr>
          <w:rFonts w:asciiTheme="minorHAnsi" w:hAnsiTheme="minorHAnsi" w:cstheme="minorHAnsi"/>
        </w:rPr>
        <w:instrText xml:space="preserve"> TA \s "R v Hudson [2016] SASCFC 60" </w:instrText>
      </w:r>
      <w:r w:rsidRPr="00EB7F1E">
        <w:rPr>
          <w:rFonts w:asciiTheme="minorHAnsi" w:hAnsiTheme="minorHAnsi" w:cstheme="minorHAnsi"/>
        </w:rPr>
        <w:fldChar w:fldCharType="end"/>
      </w:r>
      <w:r w:rsidRPr="007809F4">
        <w:rPr>
          <w:rFonts w:asciiTheme="minorHAnsi" w:hAnsiTheme="minorHAnsi" w:cstheme="minorHAnsi"/>
        </w:rPr>
        <w:t>, [16]-[21]).  A sentence reduction for custody on an unrelated charge might be said (at least in some circumstances) to run counter to the requirement for a court sentencing a federal offender to take into account “</w:t>
      </w:r>
      <w:r w:rsidRPr="007809F4">
        <w:rPr>
          <w:rFonts w:asciiTheme="minorHAnsi" w:hAnsiTheme="minorHAnsi" w:cstheme="minorHAnsi"/>
          <w:i/>
        </w:rPr>
        <w:t>the need to ensure that the person is adequately punished for the offence</w:t>
      </w:r>
      <w:r w:rsidRPr="007809F4">
        <w:rPr>
          <w:rFonts w:asciiTheme="minorHAnsi" w:hAnsiTheme="minorHAnsi" w:cstheme="minorHAnsi"/>
        </w:rPr>
        <w:t>” (s 16A(2)(k)).</w:t>
      </w:r>
    </w:p>
  </w:footnote>
  <w:footnote w:id="728">
    <w:p w14:paraId="02464901" w14:textId="709E21F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 xml:space="preserve">Bui v DPP (Cth) </w:t>
      </w:r>
      <w:r w:rsidRPr="007809F4">
        <w:rPr>
          <w:rFonts w:asciiTheme="minorHAnsi" w:hAnsiTheme="minorHAnsi" w:cstheme="minorHAnsi"/>
        </w:rPr>
        <w:t>(2012) 244 CLR 638</w:t>
      </w:r>
      <w:r w:rsidRPr="00EB7F1E">
        <w:rPr>
          <w:rFonts w:asciiTheme="minorHAnsi" w:hAnsiTheme="minorHAnsi" w:cstheme="minorHAnsi"/>
        </w:rPr>
        <w:fldChar w:fldCharType="begin"/>
      </w:r>
      <w:r w:rsidRPr="007809F4">
        <w:rPr>
          <w:rFonts w:asciiTheme="minorHAnsi" w:hAnsiTheme="minorHAnsi" w:cstheme="minorHAnsi"/>
        </w:rPr>
        <w:instrText xml:space="preserve"> TA \s "Bui v DPP (Cth) (2012) 244 CLR 638" </w:instrText>
      </w:r>
      <w:r w:rsidRPr="00EB7F1E">
        <w:rPr>
          <w:rFonts w:asciiTheme="minorHAnsi" w:hAnsiTheme="minorHAnsi" w:cstheme="minorHAnsi"/>
        </w:rPr>
        <w:fldChar w:fldCharType="end"/>
      </w:r>
      <w:r w:rsidRPr="007809F4">
        <w:rPr>
          <w:rFonts w:asciiTheme="minorHAnsi" w:hAnsiTheme="minorHAnsi" w:cstheme="minorHAnsi"/>
        </w:rPr>
        <w:t>, [26]-[27].  State courts have held that a statutory power to take into account custody for the instant offence does not implicitly exclude a residual discretion to take into account custody on an unrelated charge (</w:t>
      </w:r>
      <w:r w:rsidRPr="007809F4">
        <w:rPr>
          <w:rFonts w:asciiTheme="minorHAnsi" w:hAnsiTheme="minorHAnsi" w:cstheme="minorHAnsi"/>
          <w:i/>
        </w:rPr>
        <w:t>R v Renzella</w:t>
      </w:r>
      <w:r w:rsidRPr="007809F4">
        <w:rPr>
          <w:rFonts w:asciiTheme="minorHAnsi" w:hAnsiTheme="minorHAnsi" w:cstheme="minorHAnsi"/>
        </w:rPr>
        <w:t xml:space="preserve"> [1997] 2 VR 88</w:t>
      </w:r>
      <w:r w:rsidRPr="00EB7F1E">
        <w:rPr>
          <w:rFonts w:asciiTheme="minorHAnsi" w:hAnsiTheme="minorHAnsi" w:cstheme="minorHAnsi"/>
        </w:rPr>
        <w:fldChar w:fldCharType="begin"/>
      </w:r>
      <w:r w:rsidRPr="007809F4">
        <w:rPr>
          <w:rFonts w:asciiTheme="minorHAnsi" w:hAnsiTheme="minorHAnsi" w:cstheme="minorHAnsi"/>
        </w:rPr>
        <w:instrText xml:space="preserve"> TA \s "R v Renzella [1997] 2 VR 88"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Narkle v Hamilton</w:t>
      </w:r>
      <w:r w:rsidRPr="007809F4">
        <w:rPr>
          <w:rFonts w:asciiTheme="minorHAnsi" w:hAnsiTheme="minorHAnsi" w:cstheme="minorHAnsi"/>
        </w:rPr>
        <w:t xml:space="preserve"> [2008] WASCA 31</w:t>
      </w:r>
      <w:r w:rsidRPr="00EB7F1E">
        <w:rPr>
          <w:rFonts w:asciiTheme="minorHAnsi" w:hAnsiTheme="minorHAnsi" w:cstheme="minorHAnsi"/>
        </w:rPr>
        <w:fldChar w:fldCharType="begin"/>
      </w:r>
      <w:r w:rsidRPr="007809F4">
        <w:rPr>
          <w:rFonts w:asciiTheme="minorHAnsi" w:hAnsiTheme="minorHAnsi" w:cstheme="minorHAnsi"/>
        </w:rPr>
        <w:instrText xml:space="preserve"> TA \s "Narkle v Hamilton [2008] WASCA 31" </w:instrText>
      </w:r>
      <w:r w:rsidRPr="00EB7F1E">
        <w:rPr>
          <w:rFonts w:asciiTheme="minorHAnsi" w:hAnsiTheme="minorHAnsi" w:cstheme="minorHAnsi"/>
        </w:rPr>
        <w:fldChar w:fldCharType="end"/>
      </w:r>
      <w:r w:rsidRPr="007809F4">
        <w:rPr>
          <w:rFonts w:asciiTheme="minorHAnsi" w:hAnsiTheme="minorHAnsi" w:cstheme="minorHAnsi"/>
        </w:rPr>
        <w:t xml:space="preserve">, [30]-[31]; </w:t>
      </w:r>
      <w:r w:rsidRPr="007809F4">
        <w:rPr>
          <w:rFonts w:asciiTheme="minorHAnsi" w:hAnsiTheme="minorHAnsi" w:cstheme="minorHAnsi"/>
          <w:i/>
        </w:rPr>
        <w:t>Geale v Tasmania</w:t>
      </w:r>
      <w:r w:rsidRPr="007809F4">
        <w:rPr>
          <w:rFonts w:asciiTheme="minorHAnsi" w:hAnsiTheme="minorHAnsi" w:cstheme="minorHAnsi"/>
        </w:rPr>
        <w:t xml:space="preserve"> [2009] TASSC 28</w:t>
      </w:r>
      <w:r w:rsidRPr="00EB7F1E">
        <w:rPr>
          <w:rFonts w:asciiTheme="minorHAnsi" w:hAnsiTheme="minorHAnsi" w:cstheme="minorHAnsi"/>
        </w:rPr>
        <w:fldChar w:fldCharType="begin"/>
      </w:r>
      <w:r w:rsidRPr="007809F4">
        <w:rPr>
          <w:rFonts w:asciiTheme="minorHAnsi" w:hAnsiTheme="minorHAnsi" w:cstheme="minorHAnsi"/>
        </w:rPr>
        <w:instrText xml:space="preserve"> TA \s "Geale v Tasmania [2009] TASSC 28" </w:instrText>
      </w:r>
      <w:r w:rsidRPr="00EB7F1E">
        <w:rPr>
          <w:rFonts w:asciiTheme="minorHAnsi" w:hAnsiTheme="minorHAnsi" w:cstheme="minorHAnsi"/>
        </w:rPr>
        <w:fldChar w:fldCharType="end"/>
      </w:r>
      <w:r w:rsidRPr="007809F4">
        <w:rPr>
          <w:rFonts w:asciiTheme="minorHAnsi" w:hAnsiTheme="minorHAnsi" w:cstheme="minorHAnsi"/>
        </w:rPr>
        <w:t xml:space="preserve">, [49]-[52]), but those decisions do not necessarily answer the question whether the </w:t>
      </w:r>
      <w:r w:rsidRPr="007809F4">
        <w:rPr>
          <w:rFonts w:asciiTheme="minorHAnsi" w:hAnsiTheme="minorHAnsi" w:cstheme="minorHAnsi"/>
          <w:i/>
        </w:rPr>
        <w:t>Renzella</w:t>
      </w:r>
      <w:r w:rsidRPr="007809F4">
        <w:rPr>
          <w:rFonts w:asciiTheme="minorHAnsi" w:hAnsiTheme="minorHAnsi" w:cstheme="minorHAnsi"/>
        </w:rPr>
        <w:t xml:space="preserve"> discretion (in those jurisdictions which recognise it) is applied by s 80 of the </w:t>
      </w:r>
      <w:r w:rsidRPr="007809F4">
        <w:rPr>
          <w:rFonts w:asciiTheme="minorHAnsi" w:hAnsiTheme="minorHAnsi" w:cstheme="minorHAnsi"/>
          <w:i/>
        </w:rPr>
        <w:t>Judiciary Act 1903</w:t>
      </w:r>
      <w:r w:rsidRPr="007809F4">
        <w:rPr>
          <w:rFonts w:asciiTheme="minorHAnsi" w:hAnsiTheme="minorHAnsi" w:cstheme="minorHAnsi"/>
        </w:rPr>
        <w:t xml:space="preserve"> (Cth) to the sentencing of a federal offender.  See “</w:t>
      </w:r>
      <w:r w:rsidRPr="00EB7F1E">
        <w:rPr>
          <w:rFonts w:asciiTheme="minorHAnsi" w:hAnsiTheme="minorHAnsi" w:cstheme="minorHAnsi"/>
        </w:rPr>
        <w:fldChar w:fldCharType="begin"/>
      </w:r>
      <w:r w:rsidRPr="007809F4">
        <w:rPr>
          <w:rFonts w:asciiTheme="minorHAnsi" w:hAnsiTheme="minorHAnsi" w:cstheme="minorHAnsi"/>
        </w:rPr>
        <w:instrText xml:space="preserve"> REF _Ref9850772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_Ref9850772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Applicability of the common law</w:t>
      </w:r>
      <w:r w:rsidRPr="00EB7F1E">
        <w:rPr>
          <w:rFonts w:asciiTheme="minorHAnsi" w:hAnsiTheme="minorHAnsi" w:cstheme="minorHAnsi"/>
        </w:rPr>
        <w:fldChar w:fldCharType="end"/>
      </w:r>
      <w:r w:rsidRPr="007809F4">
        <w:rPr>
          <w:rFonts w:asciiTheme="minorHAnsi" w:hAnsiTheme="minorHAnsi" w:cstheme="minorHAnsi"/>
        </w:rPr>
        <w:t>”.</w:t>
      </w:r>
    </w:p>
  </w:footnote>
  <w:footnote w:id="729">
    <w:p w14:paraId="3CA354F8" w14:textId="603AA07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Swingler</w:instrText>
      </w:r>
      <w:r w:rsidRPr="007809F4">
        <w:rPr>
          <w:rFonts w:asciiTheme="minorHAnsi" w:hAnsiTheme="minorHAnsi" w:cstheme="minorHAnsi"/>
        </w:rPr>
        <w:instrText xml:space="preserve"> [2017] VSCA 305</w:instrText>
      </w:r>
      <w:r w:rsidRPr="00EB7F1E">
        <w:rPr>
          <w:rFonts w:asciiTheme="minorHAnsi" w:hAnsiTheme="minorHAnsi" w:cstheme="minorHAnsi"/>
        </w:rPr>
        <w:instrText xml:space="preserve">" \s "DPP v Swingler [2017] VSCA 305" \c 1 </w:instrText>
      </w:r>
      <w:r w:rsidRPr="00EB7F1E">
        <w:rPr>
          <w:rFonts w:asciiTheme="minorHAnsi" w:hAnsiTheme="minorHAnsi" w:cstheme="minorHAnsi"/>
          <w:i/>
        </w:rPr>
        <w:fldChar w:fldCharType="end"/>
      </w:r>
      <w:r w:rsidRPr="007809F4">
        <w:rPr>
          <w:rFonts w:asciiTheme="minorHAnsi" w:hAnsiTheme="minorHAnsi" w:cstheme="minorHAnsi"/>
        </w:rPr>
        <w:t xml:space="preserve">, [67].  A State or Territory procedural law cannot directly bind a court exercising federal jurisdiction; it binds such a court only if it is applied as surrogate federal law by a Commonwealth law, such as a provision of the </w:t>
      </w:r>
      <w:r w:rsidRPr="007809F4">
        <w:rPr>
          <w:rFonts w:asciiTheme="minorHAnsi" w:hAnsiTheme="minorHAnsi" w:cstheme="minorHAnsi"/>
          <w:i/>
        </w:rPr>
        <w:t>Judiciary Act 1903</w:t>
      </w:r>
      <w:r w:rsidRPr="007809F4">
        <w:rPr>
          <w:rFonts w:asciiTheme="minorHAnsi" w:hAnsiTheme="minorHAnsi" w:cstheme="minorHAnsi"/>
        </w:rPr>
        <w:t xml:space="preserve"> (Cth):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_Ref10710718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2.1.2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_Ref10710718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Constitutional power to define or invest federal jurisdiction</w:t>
      </w:r>
      <w:r w:rsidRPr="00EB7F1E">
        <w:rPr>
          <w:rFonts w:asciiTheme="minorHAnsi" w:hAnsiTheme="minorHAnsi" w:cstheme="minorHAnsi"/>
        </w:rPr>
        <w:fldChar w:fldCharType="end"/>
      </w:r>
      <w:r w:rsidRPr="007809F4">
        <w:rPr>
          <w:rFonts w:asciiTheme="minorHAnsi" w:hAnsiTheme="minorHAnsi" w:cstheme="minorHAnsi"/>
        </w:rPr>
        <w:t xml:space="preserve">”.  For this reason, a State law which purports, of its own force, to direct a court sentencing a federal offender as to orders to be made for the cumulation of sentences would be invalid.  Section 6E of the </w:t>
      </w:r>
      <w:r w:rsidRPr="007809F4">
        <w:rPr>
          <w:rFonts w:asciiTheme="minorHAnsi" w:hAnsiTheme="minorHAnsi" w:cstheme="minorHAnsi"/>
          <w:i/>
        </w:rPr>
        <w:t>Sentencing Act 1991</w:t>
      </w:r>
      <w:r w:rsidRPr="007809F4">
        <w:rPr>
          <w:rFonts w:asciiTheme="minorHAnsi" w:hAnsiTheme="minorHAnsi" w:cstheme="minorHAnsi"/>
        </w:rPr>
        <w:t xml:space="preserve"> (Vic) appears to be an example of such a law.  Section 6E creates a presumption of cumulation for every sentence of imprisonment imposed on a “serious offender” for a “relevant offence”.  “Serious offender” is defined to include a “serious sexual offender” (s 6B(3)).  A person convicted of any of the Commonwealth offences listed in cl 1 of Schedule 1 of the Act would fall within the definition of “serious sexual offender” (s 6B(2)).  An offender may therefore be a “serious offender” merely from having been convicted of a specified Commonwealth offence (including at the same sitting).  That is, in its own terms, the State law purports to direct a court sentencing an offender for a federal offence to impose cumulative sentences in certain circumstances.  This anomaly was not referred to in </w:t>
      </w:r>
      <w:r w:rsidRPr="007809F4">
        <w:rPr>
          <w:rFonts w:asciiTheme="minorHAnsi" w:hAnsiTheme="minorHAnsi" w:cstheme="minorHAnsi"/>
          <w:i/>
        </w:rPr>
        <w:t>Swingler</w:t>
      </w:r>
      <w:r w:rsidRPr="007809F4">
        <w:rPr>
          <w:rFonts w:asciiTheme="minorHAnsi" w:hAnsiTheme="minorHAnsi" w:cstheme="minorHAnsi"/>
        </w:rPr>
        <w:t xml:space="preserve"> and does not seem to have been the subject of judicial comment.</w:t>
      </w:r>
    </w:p>
  </w:footnote>
  <w:footnote w:id="730">
    <w:p w14:paraId="2076C5D1" w14:textId="70EC810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Sentencing Act 1991 </w:t>
      </w:r>
      <w:r w:rsidRPr="007809F4">
        <w:rPr>
          <w:rFonts w:asciiTheme="minorHAnsi" w:hAnsiTheme="minorHAnsi" w:cstheme="minorHAnsi"/>
        </w:rPr>
        <w:t>(Vic), s 16, which provides that (subject to specified exceptions) a sentence of imprisonment is to be served concurrently with any uncompleted sentence or sentences of imprisonment, unless the court otherwise directs.</w:t>
      </w:r>
    </w:p>
  </w:footnote>
  <w:footnote w:id="731">
    <w:p w14:paraId="56907D6D" w14:textId="598224B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Section 19 relates to federal sentences imposed (that is, head sentences of imprisonment), not to the non-parole period or recognizance release period:</w:t>
      </w:r>
      <w:r w:rsidRPr="007809F4">
        <w:rPr>
          <w:rFonts w:asciiTheme="minorHAnsi" w:hAnsiTheme="minorHAnsi" w:cstheme="minorHAnsi"/>
          <w:i/>
        </w:rPr>
        <w:t xml:space="preserve"> R v DS</w:t>
      </w:r>
      <w:r w:rsidRPr="007809F4">
        <w:rPr>
          <w:rFonts w:asciiTheme="minorHAnsi" w:hAnsiTheme="minorHAnsi" w:cstheme="minorHAnsi"/>
        </w:rPr>
        <w:t xml:space="preserve"> (2005) 153 A Crim R 194</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DS</w:instrText>
      </w:r>
      <w:r w:rsidRPr="007809F4">
        <w:rPr>
          <w:rFonts w:asciiTheme="minorHAnsi" w:hAnsiTheme="minorHAnsi" w:cstheme="minorHAnsi"/>
        </w:rPr>
        <w:instrText xml:space="preserve"> (2005) 153 A Crim R 194" \s "R v DS (2005) 153 A Crim R 194" \c 1 </w:instrText>
      </w:r>
      <w:r w:rsidRPr="00EB7F1E">
        <w:rPr>
          <w:rFonts w:asciiTheme="minorHAnsi" w:hAnsiTheme="minorHAnsi" w:cstheme="minorHAnsi"/>
          <w: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r w:rsidRPr="007809F4">
        <w:rPr>
          <w:rFonts w:asciiTheme="minorHAnsi" w:hAnsiTheme="minorHAnsi" w:cstheme="minorHAnsi"/>
        </w:rPr>
        <w:t xml:space="preserve">, [15]. Pursuant to s 19AB of the </w:t>
      </w:r>
      <w:r w:rsidRPr="007809F4">
        <w:rPr>
          <w:rFonts w:asciiTheme="minorHAnsi" w:hAnsiTheme="minorHAnsi" w:cstheme="minorHAnsi"/>
          <w:i/>
        </w:rPr>
        <w:t xml:space="preserve">Crimes Act 1914 </w:t>
      </w:r>
      <w:r w:rsidRPr="007809F4">
        <w:rPr>
          <w:rFonts w:asciiTheme="minorHAnsi" w:hAnsiTheme="minorHAnsi" w:cstheme="minorHAnsi"/>
        </w:rPr>
        <w:t>(Cth), a single federal non-parole period or a recognizance release order (commencing when the first federal sentence of imprisonment commences) is imposed in light of the length of the effective head sentence/aggregate sentence for the federal offences:</w:t>
      </w:r>
      <w:r w:rsidRPr="007809F4">
        <w:rPr>
          <w:rFonts w:asciiTheme="minorHAnsi" w:hAnsiTheme="minorHAnsi" w:cstheme="minorHAnsi"/>
          <w:i/>
        </w:rPr>
        <w:t xml:space="preserve"> R v DS</w:t>
      </w:r>
      <w:r w:rsidRPr="007809F4">
        <w:rPr>
          <w:rFonts w:asciiTheme="minorHAnsi" w:hAnsiTheme="minorHAnsi" w:cstheme="minorHAnsi"/>
        </w:rPr>
        <w:t xml:space="preserve"> (2005) 153 A Crim R 194</w:t>
      </w:r>
      <w:r w:rsidRPr="00EB7F1E">
        <w:rPr>
          <w:rFonts w:asciiTheme="minorHAnsi" w:hAnsiTheme="minorHAnsi" w:cstheme="minorHAnsi"/>
        </w:rPr>
        <w:fldChar w:fldCharType="begin"/>
      </w:r>
      <w:r w:rsidRPr="007809F4">
        <w:rPr>
          <w:rFonts w:asciiTheme="minorHAnsi" w:hAnsiTheme="minorHAnsi" w:cstheme="minorHAnsi"/>
        </w:rPr>
        <w:instrText xml:space="preserve"> TA \s "R v DS (2005) 153 A Crim R 194"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r w:rsidRPr="007809F4">
        <w:rPr>
          <w:rFonts w:asciiTheme="minorHAnsi" w:hAnsiTheme="minorHAnsi" w:cstheme="minorHAnsi"/>
        </w:rPr>
        <w:t xml:space="preserve">, [14]-[15]; </w:t>
      </w:r>
      <w:r w:rsidRPr="007809F4">
        <w:rPr>
          <w:rFonts w:asciiTheme="minorHAnsi" w:hAnsiTheme="minorHAnsi" w:cstheme="minorHAnsi"/>
          <w:i/>
        </w:rPr>
        <w:t>Lodhi v R</w:t>
      </w:r>
      <w:r w:rsidRPr="007809F4">
        <w:rPr>
          <w:rFonts w:asciiTheme="minorHAnsi" w:hAnsiTheme="minorHAnsi" w:cstheme="minorHAnsi"/>
          <w:b/>
          <w:i/>
        </w:rPr>
        <w:t xml:space="preserve"> </w:t>
      </w:r>
      <w:r w:rsidRPr="007809F4">
        <w:rPr>
          <w:rFonts w:asciiTheme="minorHAnsi" w:hAnsiTheme="minorHAnsi" w:cstheme="minorHAnsi"/>
        </w:rPr>
        <w:t>[2007]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 [255]–[262].</w:t>
      </w:r>
    </w:p>
  </w:footnote>
  <w:footnote w:id="732">
    <w:p w14:paraId="4BDF6984" w14:textId="7EBDA83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Truong v R</w:t>
      </w:r>
      <w:r w:rsidRPr="00EB7F1E">
        <w:rPr>
          <w:rFonts w:asciiTheme="minorHAnsi" w:hAnsiTheme="minorHAnsi" w:cstheme="minorHAnsi"/>
        </w:rPr>
        <w:t xml:space="preserve"> [2016] VSCA 228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Truong v R</w:instrText>
      </w:r>
      <w:r w:rsidRPr="00EB7F1E">
        <w:rPr>
          <w:rFonts w:asciiTheme="minorHAnsi" w:hAnsiTheme="minorHAnsi" w:cstheme="minorHAnsi"/>
        </w:rPr>
        <w:instrText xml:space="preserve"> [2016] VSCA 228" \s "Truong v R [2016] VSCA 228" \c 1 </w:instrText>
      </w:r>
      <w:r w:rsidRPr="00EB7F1E">
        <w:rPr>
          <w:rFonts w:asciiTheme="minorHAnsi" w:hAnsiTheme="minorHAnsi" w:cstheme="minorHAnsi"/>
        </w:rPr>
        <w:fldChar w:fldCharType="end"/>
      </w:r>
      <w:r w:rsidRPr="00EB7F1E">
        <w:rPr>
          <w:rFonts w:asciiTheme="minorHAnsi" w:hAnsiTheme="minorHAnsi" w:cstheme="minorHAnsi"/>
        </w:rPr>
        <w:t>, [43] (Priest JA)</w:t>
      </w:r>
      <w:r w:rsidRPr="007809F4">
        <w:rPr>
          <w:rFonts w:asciiTheme="minorHAnsi" w:hAnsiTheme="minorHAnsi" w:cstheme="minorHAnsi"/>
        </w:rPr>
        <w:t xml:space="preserve">.  Compare </w:t>
      </w:r>
      <w:r w:rsidRPr="00EB7F1E">
        <w:rPr>
          <w:rFonts w:asciiTheme="minorHAnsi" w:hAnsiTheme="minorHAnsi" w:cstheme="minorHAnsi"/>
          <w:i/>
        </w:rPr>
        <w:t>Nguyen v R</w:t>
      </w:r>
      <w:r w:rsidRPr="00EB7F1E">
        <w:rPr>
          <w:rFonts w:asciiTheme="minorHAnsi" w:hAnsiTheme="minorHAnsi" w:cstheme="minorHAnsi"/>
        </w:rPr>
        <w:t xml:space="preserve"> [2017] VSCA 262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Nguyen v R</w:instrText>
      </w:r>
      <w:r w:rsidRPr="00EB7F1E">
        <w:rPr>
          <w:rFonts w:asciiTheme="minorHAnsi" w:hAnsiTheme="minorHAnsi" w:cstheme="minorHAnsi"/>
        </w:rPr>
        <w:instrText xml:space="preserve"> [2017] VSCA 262" \s "Nguyen v R [2017] VSCA 262" \c 1 </w:instrText>
      </w:r>
      <w:r w:rsidRPr="00EB7F1E">
        <w:rPr>
          <w:rFonts w:asciiTheme="minorHAnsi" w:hAnsiTheme="minorHAnsi" w:cstheme="minorHAnsi"/>
        </w:rPr>
        <w:fldChar w:fldCharType="end"/>
      </w:r>
      <w:r w:rsidRPr="00EB7F1E">
        <w:rPr>
          <w:rFonts w:asciiTheme="minorHAnsi" w:hAnsiTheme="minorHAnsi" w:cstheme="minorHAnsi"/>
        </w:rPr>
        <w:t>, [2](fn 1).</w:t>
      </w:r>
    </w:p>
  </w:footnote>
  <w:footnote w:id="733">
    <w:p w14:paraId="2DBBB176" w14:textId="09ACEBE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noProof/>
        </w:rPr>
        <w:t>DPP (Cth) v AB (No.2)</w:t>
      </w:r>
      <w:r w:rsidRPr="007809F4">
        <w:rPr>
          <w:rFonts w:asciiTheme="minorHAnsi" w:hAnsiTheme="minorHAnsi" w:cstheme="minorHAnsi"/>
          <w:noProof/>
        </w:rPr>
        <w:t xml:space="preserve"> [2006] SASC 112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(Cth) v AB (No 2)</w:instrText>
      </w:r>
      <w:r w:rsidRPr="007809F4">
        <w:rPr>
          <w:rFonts w:asciiTheme="minorHAnsi" w:hAnsiTheme="minorHAnsi" w:cstheme="minorHAnsi"/>
        </w:rPr>
        <w:instrText xml:space="preserve"> [2006] SASC 112" \s "DPP (Cth) v AB (No 2) [2006] SASC 112" \c 1 </w:instrText>
      </w:r>
      <w:r w:rsidRPr="00EB7F1E">
        <w:rPr>
          <w:rFonts w:asciiTheme="minorHAnsi" w:hAnsiTheme="minorHAnsi" w:cstheme="minorHAnsi"/>
        </w:rPr>
        <w:fldChar w:fldCharType="end"/>
      </w:r>
      <w:r w:rsidRPr="007809F4">
        <w:rPr>
          <w:rFonts w:asciiTheme="minorHAnsi" w:hAnsiTheme="minorHAnsi" w:cstheme="minorHAnsi"/>
          <w:i/>
          <w:noProof/>
        </w:rPr>
        <w:t>.</w:t>
      </w:r>
    </w:p>
  </w:footnote>
  <w:footnote w:id="734">
    <w:p w14:paraId="2400306D" w14:textId="1EEFD9D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view of the mandatory terms of s 19, failure to give the required direction will normally invalidate a sentence.  However in </w:t>
      </w:r>
      <w:r w:rsidRPr="007809F4">
        <w:rPr>
          <w:rFonts w:asciiTheme="minorHAnsi" w:hAnsiTheme="minorHAnsi" w:cstheme="minorHAnsi"/>
          <w:i/>
        </w:rPr>
        <w:t>R v Petrovic</w:t>
      </w:r>
      <w:r w:rsidRPr="007809F4">
        <w:rPr>
          <w:rFonts w:asciiTheme="minorHAnsi" w:hAnsiTheme="minorHAnsi" w:cstheme="minorHAnsi"/>
        </w:rPr>
        <w:t xml:space="preserve"> [1998] VSCA 95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Petrovic</w:instrText>
      </w:r>
      <w:r w:rsidRPr="007809F4">
        <w:rPr>
          <w:rFonts w:asciiTheme="minorHAnsi" w:hAnsiTheme="minorHAnsi" w:cstheme="minorHAnsi"/>
        </w:rPr>
        <w:instrText xml:space="preserve"> [1998] VSCA 95</w:instrText>
      </w:r>
      <w:r w:rsidRPr="00EB7F1E">
        <w:rPr>
          <w:rFonts w:asciiTheme="minorHAnsi" w:hAnsiTheme="minorHAnsi" w:cstheme="minorHAnsi"/>
        </w:rPr>
        <w:instrText xml:space="preserve">" \s "R v Petrovic [1998] VSCA 95" \c 1 </w:instrText>
      </w:r>
      <w:r w:rsidRPr="00EB7F1E">
        <w:rPr>
          <w:rFonts w:asciiTheme="minorHAnsi" w:hAnsiTheme="minorHAnsi" w:cstheme="minorHAnsi"/>
        </w:rPr>
        <w:fldChar w:fldCharType="end"/>
      </w:r>
      <w:r w:rsidRPr="007809F4">
        <w:rPr>
          <w:rFonts w:asciiTheme="minorHAnsi" w:hAnsiTheme="minorHAnsi" w:cstheme="minorHAnsi"/>
        </w:rPr>
        <w:t>, [17], the failure to declare a commencement date for a Commonwealth sentence did not invalidate the sentence where the sentencing court ordered complete concurrency and the effect was that all sentences were to commence immediately.</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35">
    <w:p w14:paraId="378BDA1B" w14:textId="49E1E2A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rPr>
        <w:fldChar w:fldCharType="begin"/>
      </w:r>
      <w:r w:rsidRPr="007809F4">
        <w:rPr>
          <w:rFonts w:asciiTheme="minorHAnsi" w:hAnsiTheme="minorHAnsi" w:cstheme="minorHAnsi"/>
        </w:rPr>
        <w:instrText xml:space="preserve"> TA \s "DPP v Swingler [2017] VSCA 305" </w:instrText>
      </w:r>
      <w:r w:rsidRPr="00EB7F1E">
        <w:rPr>
          <w:rFonts w:asciiTheme="minorHAnsi" w:hAnsiTheme="minorHAnsi" w:cstheme="minorHAnsi"/>
        </w:rPr>
        <w:fldChar w:fldCharType="end"/>
      </w:r>
      <w:r w:rsidRPr="007809F4">
        <w:rPr>
          <w:rFonts w:asciiTheme="minorHAnsi" w:hAnsiTheme="minorHAnsi" w:cstheme="minorHAnsi"/>
        </w:rPr>
        <w:t xml:space="preserve">, [72].  See also </w:t>
      </w:r>
      <w:r w:rsidRPr="007809F4">
        <w:rPr>
          <w:rFonts w:asciiTheme="minorHAnsi" w:hAnsiTheme="minorHAnsi" w:cstheme="minorHAnsi"/>
          <w:i/>
        </w:rPr>
        <w:t>R v Alimic</w:t>
      </w:r>
      <w:r w:rsidRPr="007809F4">
        <w:rPr>
          <w:rFonts w:asciiTheme="minorHAnsi" w:hAnsiTheme="minorHAnsi" w:cstheme="minorHAnsi"/>
        </w:rPr>
        <w:t xml:space="preserve"> [2006] VSCA 273</w:t>
      </w:r>
      <w:r w:rsidRPr="00EB7F1E">
        <w:rPr>
          <w:rFonts w:asciiTheme="minorHAnsi" w:hAnsiTheme="minorHAnsi" w:cstheme="minorHAnsi"/>
        </w:rPr>
        <w:fldChar w:fldCharType="begin"/>
      </w:r>
      <w:r w:rsidRPr="00EB7F1E">
        <w:rPr>
          <w:rFonts w:asciiTheme="minorHAnsi" w:hAnsiTheme="minorHAnsi" w:cstheme="minorHAnsi"/>
        </w:rPr>
        <w:instrText xml:space="preserve"> TA \s "R v Alimic [2006] VSCA 273" </w:instrText>
      </w:r>
      <w:r w:rsidRPr="00EB7F1E">
        <w:rPr>
          <w:rFonts w:asciiTheme="minorHAnsi" w:hAnsiTheme="minorHAnsi" w:cstheme="minorHAnsi"/>
        </w:rPr>
        <w:fldChar w:fldCharType="end"/>
      </w:r>
      <w:r w:rsidRPr="007809F4">
        <w:rPr>
          <w:rFonts w:asciiTheme="minorHAnsi" w:hAnsiTheme="minorHAnsi" w:cstheme="minorHAnsi"/>
        </w:rPr>
        <w:t>, [5]-[7]</w:t>
      </w:r>
      <w:r w:rsidRPr="00EB7F1E">
        <w:rPr>
          <w:rFonts w:asciiTheme="minorHAnsi" w:hAnsiTheme="minorHAnsi" w:cstheme="minorHAnsi"/>
        </w:rPr>
        <w:fldChar w:fldCharType="begin"/>
      </w:r>
      <w:r w:rsidRPr="007809F4">
        <w:rPr>
          <w:rFonts w:asciiTheme="minorHAnsi" w:hAnsiTheme="minorHAnsi" w:cstheme="minorHAnsi"/>
        </w:rPr>
        <w:instrText xml:space="preserve">  "R v Alimic [2006] VSCA 273"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36">
    <w:p w14:paraId="2B230652" w14:textId="12FD993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Compare </w:t>
      </w:r>
      <w:r w:rsidRPr="007809F4">
        <w:rPr>
          <w:rFonts w:asciiTheme="minorHAnsi" w:hAnsiTheme="minorHAnsi" w:cstheme="minorHAnsi"/>
          <w:i/>
        </w:rPr>
        <w:t>R v Scerri</w:t>
      </w:r>
      <w:r w:rsidRPr="007809F4">
        <w:rPr>
          <w:rFonts w:asciiTheme="minorHAnsi" w:hAnsiTheme="minorHAnsi" w:cstheme="minorHAnsi"/>
        </w:rPr>
        <w:t xml:space="preserve"> [2010] VSCA 287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Scerri</w:instrText>
      </w:r>
      <w:r w:rsidRPr="007809F4">
        <w:rPr>
          <w:rFonts w:asciiTheme="minorHAnsi" w:hAnsiTheme="minorHAnsi" w:cstheme="minorHAnsi"/>
        </w:rPr>
        <w:instrText xml:space="preserve"> [2010] VSCA 287" \s "R v Scerri [2010] VSCA 287" \c 1 </w:instrText>
      </w:r>
      <w:r w:rsidRPr="00EB7F1E">
        <w:rPr>
          <w:rFonts w:asciiTheme="minorHAnsi" w:hAnsiTheme="minorHAnsi" w:cstheme="minorHAnsi"/>
        </w:rPr>
        <w:fldChar w:fldCharType="end"/>
      </w:r>
      <w:r w:rsidRPr="007809F4">
        <w:rPr>
          <w:rFonts w:asciiTheme="minorHAnsi" w:hAnsiTheme="minorHAnsi" w:cstheme="minorHAnsi"/>
        </w:rPr>
        <w:t>, [56], in which the Court of Appeal, in re-sentencing the appellant for one State offence and one Commonwealth offence, said, “</w:t>
      </w:r>
      <w:r w:rsidRPr="007809F4">
        <w:rPr>
          <w:rFonts w:asciiTheme="minorHAnsi" w:hAnsiTheme="minorHAnsi" w:cstheme="minorHAnsi"/>
          <w:i/>
        </w:rPr>
        <w:t>The sentence on the Commonwealth count is to commence upon the expiration of the first twelve months of the non-parole period of the State sentence.</w:t>
      </w:r>
      <w:r w:rsidRPr="007809F4">
        <w:rPr>
          <w:rFonts w:asciiTheme="minorHAnsi" w:hAnsiTheme="minorHAnsi" w:cstheme="minorHAnsi"/>
        </w:rPr>
        <w:t xml:space="preserve">”  See also </w:t>
      </w:r>
      <w:r w:rsidRPr="007809F4">
        <w:rPr>
          <w:rFonts w:asciiTheme="minorHAnsi" w:hAnsiTheme="minorHAnsi" w:cstheme="minorHAnsi"/>
          <w:i/>
        </w:rPr>
        <w:t>DPP (Cth) v Watson</w:t>
      </w:r>
      <w:r w:rsidRPr="007809F4">
        <w:rPr>
          <w:rFonts w:asciiTheme="minorHAnsi" w:hAnsiTheme="minorHAnsi" w:cstheme="minorHAnsi"/>
        </w:rPr>
        <w:t xml:space="preserve"> [2016] VSCA 73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Watson</w:instrText>
      </w:r>
      <w:r w:rsidRPr="007809F4">
        <w:rPr>
          <w:rFonts w:asciiTheme="minorHAnsi" w:hAnsiTheme="minorHAnsi" w:cstheme="minorHAnsi"/>
        </w:rPr>
        <w:instrText xml:space="preserve"> [2016] VSCA 73</w:instrText>
      </w:r>
      <w:r w:rsidRPr="00EB7F1E">
        <w:rPr>
          <w:rFonts w:asciiTheme="minorHAnsi" w:hAnsiTheme="minorHAnsi" w:cstheme="minorHAnsi"/>
        </w:rPr>
        <w:instrText xml:space="preserve">" \s "DPP (Cth) v Watson [2016] VSCA 73" \c 1 </w:instrText>
      </w:r>
      <w:r w:rsidRPr="00EB7F1E">
        <w:rPr>
          <w:rFonts w:asciiTheme="minorHAnsi" w:hAnsiTheme="minorHAnsi" w:cstheme="minorHAnsi"/>
        </w:rPr>
        <w:fldChar w:fldCharType="end"/>
      </w:r>
      <w:r w:rsidRPr="007809F4">
        <w:rPr>
          <w:rFonts w:asciiTheme="minorHAnsi" w:hAnsiTheme="minorHAnsi" w:cstheme="minorHAnsi"/>
        </w:rPr>
        <w:t>, [99], in which in re-sentencing the respondent, the majority of the Court of Appeal fixed the commencement date for each Commonwealth offence as a certain number of months after the commencement of the sentence on another specified charge (e.g. “43 months after commencement of charge 6”).</w:t>
      </w:r>
    </w:p>
  </w:footnote>
  <w:footnote w:id="737">
    <w:p w14:paraId="6D628958" w14:textId="201448D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weight of authority is that it does not: </w:t>
      </w:r>
      <w:r w:rsidRPr="007809F4">
        <w:rPr>
          <w:rFonts w:asciiTheme="minorHAnsi" w:hAnsiTheme="minorHAnsi" w:cstheme="minorHAnsi"/>
          <w:i/>
        </w:rPr>
        <w:t>R v O’Brien</w:t>
      </w:r>
      <w:r w:rsidRPr="007809F4">
        <w:rPr>
          <w:rFonts w:asciiTheme="minorHAnsi" w:hAnsiTheme="minorHAnsi" w:cstheme="minorHAnsi"/>
        </w:rPr>
        <w:t xml:space="preserve"> (1991) 57 A Crim R 80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O’Brien</w:instrText>
      </w:r>
      <w:r w:rsidRPr="007809F4">
        <w:rPr>
          <w:rFonts w:asciiTheme="minorHAnsi" w:hAnsiTheme="minorHAnsi" w:cstheme="minorHAnsi"/>
        </w:rPr>
        <w:instrText xml:space="preserve"> (1991) 57 A Crim R 80</w:instrText>
      </w:r>
      <w:r w:rsidRPr="00EB7F1E">
        <w:rPr>
          <w:rFonts w:asciiTheme="minorHAnsi" w:hAnsiTheme="minorHAnsi" w:cstheme="minorHAnsi"/>
        </w:rPr>
        <w:instrText>" \s "R v O</w:instrText>
      </w:r>
      <w:r w:rsidRPr="007809F4">
        <w:rPr>
          <w:rFonts w:asciiTheme="minorHAnsi" w:hAnsiTheme="minorHAnsi" w:cstheme="minorHAnsi"/>
        </w:rPr>
        <w:instrText>’</w:instrText>
      </w:r>
      <w:r w:rsidRPr="00EB7F1E">
        <w:rPr>
          <w:rFonts w:asciiTheme="minorHAnsi" w:hAnsiTheme="minorHAnsi" w:cstheme="minorHAnsi"/>
        </w:rPr>
        <w:instrText xml:space="preserve">Brien (1991) 57 A Crim R 80"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Daswani</w:t>
      </w:r>
      <w:r w:rsidRPr="007809F4">
        <w:rPr>
          <w:rFonts w:asciiTheme="minorHAnsi" w:hAnsiTheme="minorHAnsi" w:cstheme="minorHAnsi"/>
        </w:rPr>
        <w:t xml:space="preserve"> [2005] QCA 167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Daswani</w:instrText>
      </w:r>
      <w:r w:rsidRPr="007809F4">
        <w:rPr>
          <w:rFonts w:asciiTheme="minorHAnsi" w:hAnsiTheme="minorHAnsi" w:cstheme="minorHAnsi"/>
        </w:rPr>
        <w:instrText xml:space="preserve"> [2005] QCA 167</w:instrText>
      </w:r>
      <w:r w:rsidRPr="00EB7F1E">
        <w:rPr>
          <w:rFonts w:asciiTheme="minorHAnsi" w:hAnsiTheme="minorHAnsi" w:cstheme="minorHAnsi"/>
        </w:rPr>
        <w:instrText xml:space="preserve">" \s "R v Daswani [2005] QCA 167" \c 1 </w:instrText>
      </w:r>
      <w:r w:rsidRPr="00EB7F1E">
        <w:rPr>
          <w:rFonts w:asciiTheme="minorHAnsi" w:hAnsiTheme="minorHAnsi" w:cstheme="minorHAnsi"/>
        </w:rPr>
        <w:fldChar w:fldCharType="end"/>
      </w:r>
      <w:r w:rsidRPr="007809F4">
        <w:rPr>
          <w:rFonts w:asciiTheme="minorHAnsi" w:hAnsiTheme="minorHAnsi" w:cstheme="minorHAnsi"/>
        </w:rPr>
        <w:t>, [10], [22]-[27];</w:t>
      </w:r>
      <w:r w:rsidRPr="007809F4">
        <w:rPr>
          <w:rStyle w:val="ssleftalign"/>
          <w:rFonts w:asciiTheme="minorHAnsi" w:hAnsiTheme="minorHAnsi" w:cstheme="minorHAnsi"/>
        </w:rPr>
        <w:t xml:space="preserve"> </w:t>
      </w:r>
      <w:r w:rsidRPr="007809F4">
        <w:rPr>
          <w:rFonts w:asciiTheme="minorHAnsi" w:hAnsiTheme="minorHAnsi" w:cstheme="minorHAnsi"/>
          <w:i/>
        </w:rPr>
        <w:t xml:space="preserve">R v NK </w:t>
      </w:r>
      <w:r w:rsidRPr="007809F4">
        <w:rPr>
          <w:rFonts w:asciiTheme="minorHAnsi" w:hAnsiTheme="minorHAnsi" w:cstheme="minorHAnsi"/>
        </w:rPr>
        <w:t>[2008] QCA 403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R v NK </w:instrText>
      </w:r>
      <w:r w:rsidRPr="007809F4">
        <w:rPr>
          <w:rFonts w:asciiTheme="minorHAnsi" w:hAnsiTheme="minorHAnsi" w:cstheme="minorHAnsi"/>
        </w:rPr>
        <w:instrText>[2008] QCA 403</w:instrText>
      </w:r>
      <w:r w:rsidRPr="00EB7F1E">
        <w:rPr>
          <w:rFonts w:asciiTheme="minorHAnsi" w:hAnsiTheme="minorHAnsi" w:cstheme="minorHAnsi"/>
        </w:rPr>
        <w:instrText xml:space="preserve">" \s "R v NK [2008] QCA 403" \c 1 </w:instrText>
      </w:r>
      <w:r w:rsidRPr="00EB7F1E">
        <w:rPr>
          <w:rFonts w:asciiTheme="minorHAnsi" w:hAnsiTheme="minorHAnsi" w:cstheme="minorHAnsi"/>
        </w:rPr>
        <w:fldChar w:fldCharType="end"/>
      </w:r>
      <w:r w:rsidRPr="007809F4">
        <w:rPr>
          <w:rFonts w:asciiTheme="minorHAnsi" w:hAnsiTheme="minorHAnsi" w:cstheme="minorHAnsi"/>
        </w:rPr>
        <w:t xml:space="preserve">, [99]; </w:t>
      </w:r>
      <w:r w:rsidRPr="007809F4">
        <w:rPr>
          <w:rFonts w:asciiTheme="minorHAnsi" w:hAnsiTheme="minorHAnsi" w:cstheme="minorHAnsi"/>
          <w:i/>
        </w:rPr>
        <w:t>Mercanti v R</w:t>
      </w:r>
      <w:r w:rsidRPr="007809F4">
        <w:rPr>
          <w:rFonts w:asciiTheme="minorHAnsi" w:hAnsiTheme="minorHAnsi" w:cstheme="minorHAnsi"/>
        </w:rPr>
        <w:t xml:space="preserve"> [2011] WASCA 120</w:t>
      </w:r>
      <w:r w:rsidRPr="00EB7F1E">
        <w:rPr>
          <w:rFonts w:asciiTheme="minorHAnsi" w:hAnsiTheme="minorHAnsi" w:cstheme="minorHAnsi"/>
        </w:rPr>
        <w:fldChar w:fldCharType="begin"/>
      </w:r>
      <w:r w:rsidRPr="007809F4">
        <w:rPr>
          <w:rFonts w:asciiTheme="minorHAnsi" w:hAnsiTheme="minorHAnsi" w:cstheme="minorHAnsi"/>
        </w:rPr>
        <w:instrText xml:space="preserve"> TA \s "Mercanti v R [2011] WASCA 120" </w:instrText>
      </w:r>
      <w:r w:rsidRPr="00EB7F1E">
        <w:rPr>
          <w:rFonts w:asciiTheme="minorHAnsi" w:hAnsiTheme="minorHAnsi" w:cstheme="minorHAnsi"/>
        </w:rPr>
        <w:fldChar w:fldCharType="end"/>
      </w:r>
      <w:r w:rsidRPr="007809F4">
        <w:rPr>
          <w:rFonts w:asciiTheme="minorHAnsi" w:hAnsiTheme="minorHAnsi" w:cstheme="minorHAnsi"/>
        </w:rPr>
        <w:t xml:space="preserve">, [26]-[28].  Dicta to the contrary in </w:t>
      </w:r>
      <w:r w:rsidRPr="00EB7F1E">
        <w:rPr>
          <w:rFonts w:asciiTheme="minorHAnsi" w:hAnsiTheme="minorHAnsi" w:cstheme="minorHAnsi"/>
          <w:i/>
        </w:rPr>
        <w:t>DPP (Cth) v AB (No 2)</w:t>
      </w:r>
      <w:r w:rsidRPr="007809F4">
        <w:rPr>
          <w:rFonts w:asciiTheme="minorHAnsi" w:hAnsiTheme="minorHAnsi" w:cstheme="minorHAnsi"/>
        </w:rPr>
        <w:t xml:space="preserve"> [2006] SASC 112</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AB (No 2) [2006] SASC 112" </w:instrText>
      </w:r>
      <w:r w:rsidRPr="00EB7F1E">
        <w:rPr>
          <w:rFonts w:asciiTheme="minorHAnsi" w:hAnsiTheme="minorHAnsi" w:cstheme="minorHAnsi"/>
        </w:rPr>
        <w:fldChar w:fldCharType="end"/>
      </w:r>
      <w:r w:rsidRPr="007809F4">
        <w:rPr>
          <w:rFonts w:asciiTheme="minorHAnsi" w:hAnsiTheme="minorHAnsi" w:cstheme="minorHAnsi"/>
        </w:rPr>
        <w:t xml:space="preserve">, [26], and </w:t>
      </w:r>
      <w:r w:rsidRPr="00EB7F1E">
        <w:rPr>
          <w:rFonts w:asciiTheme="minorHAnsi" w:hAnsiTheme="minorHAnsi" w:cstheme="minorHAnsi"/>
          <w:i/>
        </w:rPr>
        <w:t>Rajabizadeh v R</w:t>
      </w:r>
      <w:r w:rsidRPr="007809F4">
        <w:rPr>
          <w:rFonts w:asciiTheme="minorHAnsi" w:hAnsiTheme="minorHAnsi" w:cstheme="minorHAnsi"/>
        </w:rPr>
        <w:t xml:space="preserve"> [2017] WASCA 133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Rajabizadeh v R</w:instrText>
      </w:r>
      <w:r w:rsidRPr="007809F4">
        <w:rPr>
          <w:rFonts w:asciiTheme="minorHAnsi" w:hAnsiTheme="minorHAnsi" w:cstheme="minorHAnsi"/>
        </w:rPr>
        <w:instrText xml:space="preserve"> [2017] WASCA 133</w:instrText>
      </w:r>
      <w:r w:rsidRPr="00EB7F1E">
        <w:rPr>
          <w:rFonts w:asciiTheme="minorHAnsi" w:hAnsiTheme="minorHAnsi" w:cstheme="minorHAnsi"/>
        </w:rPr>
        <w:instrText xml:space="preserve">" \s "Rajabizadeh v R [2017] WASCA 133" \c 1 </w:instrText>
      </w:r>
      <w:r w:rsidRPr="00EB7F1E">
        <w:rPr>
          <w:rFonts w:asciiTheme="minorHAnsi" w:hAnsiTheme="minorHAnsi" w:cstheme="minorHAnsi"/>
        </w:rPr>
        <w:fldChar w:fldCharType="end"/>
      </w:r>
      <w:r w:rsidRPr="007809F4">
        <w:rPr>
          <w:rFonts w:asciiTheme="minorHAnsi" w:hAnsiTheme="minorHAnsi" w:cstheme="minorHAnsi"/>
        </w:rPr>
        <w:t>, [24], should be treated with caution; in neither case</w:t>
      </w:r>
      <w:r w:rsidRPr="007809F4">
        <w:rPr>
          <w:rFonts w:asciiTheme="minorHAnsi" w:hAnsiTheme="minorHAnsi" w:cstheme="minorHAnsi"/>
          <w:i/>
        </w:rPr>
        <w:t xml:space="preserve"> </w:t>
      </w:r>
      <w:r w:rsidRPr="007809F4">
        <w:rPr>
          <w:rFonts w:asciiTheme="minorHAnsi" w:hAnsiTheme="minorHAnsi" w:cstheme="minorHAnsi"/>
        </w:rPr>
        <w:t>did the court refer to any of the relevant authorities.</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38">
    <w:p w14:paraId="0C8F9949" w14:textId="1CC62B5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DPP (Cth) v Couper </w:t>
      </w:r>
      <w:r w:rsidRPr="007809F4">
        <w:rPr>
          <w:rFonts w:asciiTheme="minorHAnsi" w:hAnsiTheme="minorHAnsi" w:cstheme="minorHAnsi"/>
        </w:rPr>
        <w:t>(2013) 41 VR 128</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Couper (2013) 41 VR 128" </w:instrText>
      </w:r>
      <w:r w:rsidRPr="00EB7F1E">
        <w:rPr>
          <w:rFonts w:asciiTheme="minorHAnsi" w:hAnsiTheme="minorHAnsi" w:cstheme="minorHAnsi"/>
        </w:rPr>
        <w:fldChar w:fldCharType="end"/>
      </w:r>
      <w:r w:rsidRPr="007809F4">
        <w:rPr>
          <w:rFonts w:asciiTheme="minorHAnsi" w:hAnsiTheme="minorHAnsi" w:cstheme="minorHAnsi"/>
        </w:rPr>
        <w:t>, [125]–[127].</w:t>
      </w:r>
    </w:p>
  </w:footnote>
  <w:footnote w:id="739">
    <w:p w14:paraId="52CE7762" w14:textId="5A1F1F5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Knight</w:t>
      </w:r>
      <w:r w:rsidRPr="007809F4">
        <w:rPr>
          <w:rFonts w:asciiTheme="minorHAnsi" w:hAnsiTheme="minorHAnsi" w:cstheme="minorHAnsi"/>
        </w:rPr>
        <w:t xml:space="preserve"> [2013] QCA 277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Knight</w:instrText>
      </w:r>
      <w:r w:rsidRPr="007809F4">
        <w:rPr>
          <w:rFonts w:asciiTheme="minorHAnsi" w:hAnsiTheme="minorHAnsi" w:cstheme="minorHAnsi"/>
        </w:rPr>
        <w:instrText xml:space="preserve"> [2013] QCA 277" \s "R v Knight [2013] QCA 277" \c 1 </w:instrText>
      </w:r>
      <w:r w:rsidRPr="00EB7F1E">
        <w:rPr>
          <w:rFonts w:asciiTheme="minorHAnsi" w:hAnsiTheme="minorHAnsi" w:cstheme="minorHAnsi"/>
        </w:rPr>
        <w:fldChar w:fldCharType="end"/>
      </w:r>
      <w:r w:rsidRPr="007809F4">
        <w:rPr>
          <w:rFonts w:asciiTheme="minorHAnsi" w:hAnsiTheme="minorHAnsi" w:cstheme="minorHAnsi"/>
        </w:rPr>
        <w:t>, [20]-[23].</w:t>
      </w:r>
    </w:p>
  </w:footnote>
  <w:footnote w:id="740">
    <w:p w14:paraId="57ED7198" w14:textId="4339BE8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Dobie</w:t>
      </w:r>
      <w:r w:rsidRPr="007809F4">
        <w:rPr>
          <w:rFonts w:asciiTheme="minorHAnsi" w:hAnsiTheme="minorHAnsi" w:cstheme="minorHAnsi"/>
        </w:rPr>
        <w:t xml:space="preserve"> [2004] 2 Qd R 537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Dobie</w:instrText>
      </w:r>
      <w:r w:rsidRPr="007809F4">
        <w:rPr>
          <w:rFonts w:asciiTheme="minorHAnsi" w:hAnsiTheme="minorHAnsi" w:cstheme="minorHAnsi"/>
        </w:rPr>
        <w:instrText xml:space="preserve"> [2004] 2 Qd R 537</w:instrText>
      </w:r>
      <w:r w:rsidRPr="00EB7F1E">
        <w:rPr>
          <w:rFonts w:asciiTheme="minorHAnsi" w:hAnsiTheme="minorHAnsi" w:cstheme="minorHAnsi"/>
        </w:rPr>
        <w:instrText xml:space="preserve">" \s "R v Dobie [2004] 2 Qd R 537" \c 1 </w:instrText>
      </w:r>
      <w:r w:rsidRPr="00EB7F1E">
        <w:rPr>
          <w:rFonts w:asciiTheme="minorHAnsi" w:hAnsiTheme="minorHAnsi" w:cstheme="minorHAnsi"/>
        </w:rPr>
        <w:fldChar w:fldCharType="end"/>
      </w:r>
      <w:r w:rsidRPr="007809F4">
        <w:rPr>
          <w:rFonts w:asciiTheme="minorHAnsi" w:hAnsiTheme="minorHAnsi" w:cstheme="minorHAnsi"/>
        </w:rPr>
        <w:t xml:space="preserve">, [21]; </w:t>
      </w:r>
      <w:r w:rsidRPr="007809F4">
        <w:rPr>
          <w:rFonts w:asciiTheme="minorHAnsi" w:hAnsiTheme="minorHAnsi" w:cstheme="minorHAnsi"/>
          <w:i/>
        </w:rPr>
        <w:t>R v DS</w:t>
      </w:r>
      <w:r w:rsidRPr="007809F4">
        <w:rPr>
          <w:rFonts w:asciiTheme="minorHAnsi" w:hAnsiTheme="minorHAnsi" w:cstheme="minorHAnsi"/>
        </w:rPr>
        <w:t xml:space="preserve"> (2005) 153 A Crim R 194</w:t>
      </w:r>
      <w:r w:rsidRPr="00EB7F1E">
        <w:rPr>
          <w:rFonts w:asciiTheme="minorHAnsi" w:hAnsiTheme="minorHAnsi" w:cstheme="minorHAnsi"/>
        </w:rPr>
        <w:fldChar w:fldCharType="begin"/>
      </w:r>
      <w:r w:rsidRPr="007809F4">
        <w:rPr>
          <w:rFonts w:asciiTheme="minorHAnsi" w:hAnsiTheme="minorHAnsi" w:cstheme="minorHAnsi"/>
        </w:rPr>
        <w:instrText xml:space="preserve"> TA \s "R v DS (2005) 153 A Crim R 194" </w:instrText>
      </w:r>
      <w:r w:rsidRPr="00EB7F1E">
        <w:rPr>
          <w:rFonts w:asciiTheme="minorHAnsi" w:hAnsiTheme="minorHAnsi" w:cstheme="minorHAnsi"/>
        </w:rPr>
        <w:fldChar w:fldCharType="end"/>
      </w:r>
      <w:r w:rsidRPr="007809F4">
        <w:rPr>
          <w:rFonts w:asciiTheme="minorHAnsi" w:hAnsiTheme="minorHAnsi" w:cstheme="minorHAnsi"/>
        </w:rPr>
        <w:t>, [15].</w:t>
      </w:r>
    </w:p>
  </w:footnote>
  <w:footnote w:id="741">
    <w:p w14:paraId="4C958456" w14:textId="1E8FF4A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Mercanti v R</w:t>
      </w:r>
      <w:r w:rsidRPr="007809F4">
        <w:rPr>
          <w:rFonts w:asciiTheme="minorHAnsi" w:hAnsiTheme="minorHAnsi" w:cstheme="minorHAnsi"/>
        </w:rPr>
        <w:t xml:space="preserve"> [2011] WASCA 120</w:t>
      </w:r>
      <w:r w:rsidRPr="00EB7F1E">
        <w:rPr>
          <w:rFonts w:asciiTheme="minorHAnsi" w:hAnsiTheme="minorHAnsi" w:cstheme="minorHAnsi"/>
        </w:rPr>
        <w:fldChar w:fldCharType="begin"/>
      </w:r>
      <w:r w:rsidRPr="007809F4">
        <w:rPr>
          <w:rFonts w:asciiTheme="minorHAnsi" w:hAnsiTheme="minorHAnsi" w:cstheme="minorHAnsi"/>
        </w:rPr>
        <w:instrText xml:space="preserve"> TA \s "Mercanti v R [2011] WASCA 120" </w:instrText>
      </w:r>
      <w:r w:rsidRPr="00EB7F1E">
        <w:rPr>
          <w:rFonts w:asciiTheme="minorHAnsi" w:hAnsiTheme="minorHAnsi" w:cstheme="minorHAnsi"/>
        </w:rPr>
        <w:fldChar w:fldCharType="end"/>
      </w:r>
      <w:r w:rsidRPr="007809F4">
        <w:rPr>
          <w:rFonts w:asciiTheme="minorHAnsi" w:hAnsiTheme="minorHAnsi" w:cstheme="minorHAnsi"/>
        </w:rPr>
        <w:t>, [14]-[16].</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42">
    <w:p w14:paraId="4C15138C" w14:textId="69CA9C7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w:t>
      </w:r>
      <w:r w:rsidRPr="007809F4">
        <w:rPr>
          <w:rFonts w:asciiTheme="minorHAnsi" w:hAnsiTheme="minorHAnsi" w:cstheme="minorHAnsi"/>
          <w:i/>
        </w:rPr>
        <w:t>Non-parole period</w:t>
      </w:r>
      <w:r w:rsidRPr="007809F4">
        <w:rPr>
          <w:rFonts w:asciiTheme="minorHAnsi" w:hAnsiTheme="minorHAnsi" w:cstheme="minorHAnsi"/>
        </w:rPr>
        <w:t xml:space="preserve">” is defined in s 16(1) of the </w:t>
      </w:r>
      <w:r w:rsidRPr="007809F4">
        <w:rPr>
          <w:rFonts w:asciiTheme="minorHAnsi" w:hAnsiTheme="minorHAnsi" w:cstheme="minorHAnsi"/>
          <w:i/>
        </w:rPr>
        <w:t>Crimes Act 1914</w:t>
      </w:r>
      <w:r w:rsidRPr="007809F4">
        <w:rPr>
          <w:rFonts w:asciiTheme="minorHAnsi" w:hAnsiTheme="minorHAnsi" w:cstheme="minorHAnsi"/>
        </w:rPr>
        <w:t xml:space="preserve"> (Cth) to mean, in relation to a sentence or sentences of imprisonment, “</w:t>
      </w:r>
      <w:r w:rsidRPr="007809F4">
        <w:rPr>
          <w:rFonts w:asciiTheme="minorHAnsi" w:hAnsiTheme="minorHAnsi" w:cstheme="minorHAnsi"/>
          <w:i/>
        </w:rPr>
        <w:t>that part of the period of imprisonment for that sentence or those sentences during which the person is not to be released on parole, whether that part of the period is fixed or recommended by a court or fixed by operation of law</w:t>
      </w:r>
      <w:r w:rsidRPr="007809F4">
        <w:rPr>
          <w:rFonts w:asciiTheme="minorHAnsi" w:hAnsiTheme="minorHAnsi" w:cstheme="minorHAnsi"/>
        </w:rPr>
        <w:t xml:space="preserve">”.  It applies both to a period at the end of which a prisoner </w:t>
      </w:r>
      <w:r w:rsidRPr="007809F4">
        <w:rPr>
          <w:rFonts w:asciiTheme="minorHAnsi" w:hAnsiTheme="minorHAnsi" w:cstheme="minorHAnsi"/>
          <w:i/>
        </w:rPr>
        <w:t>must be released</w:t>
      </w:r>
      <w:r w:rsidRPr="007809F4">
        <w:rPr>
          <w:rFonts w:asciiTheme="minorHAnsi" w:hAnsiTheme="minorHAnsi" w:cstheme="minorHAnsi"/>
        </w:rPr>
        <w:t xml:space="preserve"> and to a period at the end of which the prisoner </w:t>
      </w:r>
      <w:r w:rsidRPr="007809F4">
        <w:rPr>
          <w:rFonts w:asciiTheme="minorHAnsi" w:hAnsiTheme="minorHAnsi" w:cstheme="minorHAnsi"/>
          <w:i/>
        </w:rPr>
        <w:t>may apply for release</w:t>
      </w:r>
      <w:r w:rsidRPr="007809F4">
        <w:rPr>
          <w:rFonts w:asciiTheme="minorHAnsi" w:hAnsiTheme="minorHAnsi" w:cstheme="minorHAnsi"/>
        </w:rPr>
        <w:t xml:space="preserve">; and it applies both to a period nominated by a court (whether by fixing or recommending) and to one fixed by operation of law: </w:t>
      </w:r>
      <w:r w:rsidRPr="007809F4">
        <w:rPr>
          <w:rFonts w:asciiTheme="minorHAnsi" w:hAnsiTheme="minorHAnsi" w:cstheme="minorHAnsi"/>
          <w:i/>
        </w:rPr>
        <w:t>R v MacCormack</w:t>
      </w:r>
      <w:r w:rsidRPr="007809F4">
        <w:rPr>
          <w:rFonts w:asciiTheme="minorHAnsi" w:hAnsiTheme="minorHAnsi" w:cstheme="minorHAnsi"/>
        </w:rPr>
        <w:t xml:space="preserve"> [2005] QSC 49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MacCormack</w:instrText>
      </w:r>
      <w:r w:rsidRPr="007809F4">
        <w:rPr>
          <w:rFonts w:asciiTheme="minorHAnsi" w:hAnsiTheme="minorHAnsi" w:cstheme="minorHAnsi"/>
        </w:rPr>
        <w:instrText xml:space="preserve"> [2005] QSC 49</w:instrText>
      </w:r>
      <w:r w:rsidRPr="00EB7F1E">
        <w:rPr>
          <w:rFonts w:asciiTheme="minorHAnsi" w:hAnsiTheme="minorHAnsi" w:cstheme="minorHAnsi"/>
        </w:rPr>
        <w:instrText xml:space="preserve">" \s "R v MacCormack [2005] QSC 49" \c 1 </w:instrText>
      </w:r>
      <w:r w:rsidRPr="00EB7F1E">
        <w:rPr>
          <w:rFonts w:asciiTheme="minorHAnsi" w:hAnsiTheme="minorHAnsi" w:cstheme="minorHAnsi"/>
        </w:rPr>
        <w:fldChar w:fldCharType="end"/>
      </w:r>
      <w:r w:rsidRPr="007809F4">
        <w:rPr>
          <w:rFonts w:asciiTheme="minorHAnsi" w:hAnsiTheme="minorHAnsi" w:cstheme="minorHAnsi"/>
        </w:rPr>
        <w:t>, [16].</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43">
    <w:p w14:paraId="1890E70B" w14:textId="6D32274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Dobie</w:t>
      </w:r>
      <w:r w:rsidRPr="007809F4">
        <w:rPr>
          <w:rFonts w:asciiTheme="minorHAnsi" w:hAnsiTheme="minorHAnsi" w:cstheme="minorHAnsi"/>
        </w:rPr>
        <w:t xml:space="preserve"> [2004] 2 Qd R 537</w:t>
      </w:r>
      <w:r w:rsidRPr="00EB7F1E">
        <w:rPr>
          <w:rFonts w:asciiTheme="minorHAnsi" w:hAnsiTheme="minorHAnsi" w:cstheme="minorHAnsi"/>
        </w:rPr>
        <w:fldChar w:fldCharType="begin"/>
      </w:r>
      <w:r w:rsidRPr="007809F4">
        <w:rPr>
          <w:rFonts w:asciiTheme="minorHAnsi" w:hAnsiTheme="minorHAnsi" w:cstheme="minorHAnsi"/>
        </w:rPr>
        <w:instrText xml:space="preserve"> TA \s "R v Dobie [2004] 2 Qd R 537"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MacCormack</w:t>
      </w:r>
      <w:r w:rsidRPr="007809F4">
        <w:rPr>
          <w:rFonts w:asciiTheme="minorHAnsi" w:hAnsiTheme="minorHAnsi" w:cstheme="minorHAnsi"/>
        </w:rPr>
        <w:t xml:space="preserve"> [2005] QSC 49</w:t>
      </w:r>
      <w:r w:rsidRPr="00EB7F1E">
        <w:rPr>
          <w:rFonts w:asciiTheme="minorHAnsi" w:hAnsiTheme="minorHAnsi" w:cstheme="minorHAnsi"/>
        </w:rPr>
        <w:fldChar w:fldCharType="begin"/>
      </w:r>
      <w:r w:rsidRPr="00EB7F1E">
        <w:rPr>
          <w:rFonts w:asciiTheme="minorHAnsi" w:hAnsiTheme="minorHAnsi" w:cstheme="minorHAnsi"/>
        </w:rPr>
        <w:instrText xml:space="preserve"> TA \s "R v MacCormack [2005] QSC 49"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Mercanti v R</w:t>
      </w:r>
      <w:r w:rsidRPr="007809F4">
        <w:rPr>
          <w:rFonts w:asciiTheme="minorHAnsi" w:hAnsiTheme="minorHAnsi" w:cstheme="minorHAnsi"/>
        </w:rPr>
        <w:t xml:space="preserve"> [2011] WASCA 120</w:t>
      </w:r>
      <w:r w:rsidRPr="00EB7F1E">
        <w:rPr>
          <w:rFonts w:asciiTheme="minorHAnsi" w:hAnsiTheme="minorHAnsi" w:cstheme="minorHAnsi"/>
        </w:rPr>
        <w:fldChar w:fldCharType="begin"/>
      </w:r>
      <w:r w:rsidRPr="007809F4">
        <w:rPr>
          <w:rFonts w:asciiTheme="minorHAnsi" w:hAnsiTheme="minorHAnsi" w:cstheme="minorHAnsi"/>
        </w:rPr>
        <w:instrText xml:space="preserve"> TA \s "Mercanti v R [2011] WASCA 120" </w:instrText>
      </w:r>
      <w:r w:rsidRPr="00EB7F1E">
        <w:rPr>
          <w:rFonts w:asciiTheme="minorHAnsi" w:hAnsiTheme="minorHAnsi" w:cstheme="minorHAnsi"/>
        </w:rPr>
        <w:fldChar w:fldCharType="end"/>
      </w:r>
      <w:r w:rsidRPr="007809F4">
        <w:rPr>
          <w:rFonts w:asciiTheme="minorHAnsi" w:hAnsiTheme="minorHAnsi" w:cstheme="minorHAnsi"/>
        </w:rPr>
        <w:t>, [17]-[20].</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44">
    <w:p w14:paraId="350C7A88"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\s "Fasciale v R (2010) 30 VR 643" </w:instrText>
      </w:r>
      <w:r w:rsidRPr="00EB7F1E">
        <w:rPr>
          <w:rFonts w:asciiTheme="minorHAnsi" w:hAnsiTheme="minorHAnsi" w:cstheme="minorHAnsi"/>
        </w:rPr>
        <w:fldChar w:fldCharType="end"/>
      </w:r>
      <w:r w:rsidRPr="007809F4">
        <w:rPr>
          <w:rFonts w:asciiTheme="minorHAnsi" w:hAnsiTheme="minorHAnsi" w:cstheme="minorHAnsi"/>
        </w:rPr>
        <w:t xml:space="preserve"> [24]-[37].</w:t>
      </w:r>
    </w:p>
  </w:footnote>
  <w:footnote w:id="745">
    <w:p w14:paraId="45EE5537"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Dobie</w:t>
      </w:r>
      <w:r w:rsidRPr="007809F4">
        <w:rPr>
          <w:rFonts w:asciiTheme="minorHAnsi" w:hAnsiTheme="minorHAnsi" w:cstheme="minorHAnsi"/>
        </w:rPr>
        <w:t xml:space="preserve"> [2004] 2 Qd R 537</w:t>
      </w:r>
      <w:r w:rsidRPr="00EB7F1E">
        <w:rPr>
          <w:rFonts w:asciiTheme="minorHAnsi" w:hAnsiTheme="minorHAnsi" w:cstheme="minorHAnsi"/>
        </w:rPr>
        <w:fldChar w:fldCharType="begin"/>
      </w:r>
      <w:r w:rsidRPr="007809F4">
        <w:rPr>
          <w:rFonts w:asciiTheme="minorHAnsi" w:hAnsiTheme="minorHAnsi" w:cstheme="minorHAnsi"/>
        </w:rPr>
        <w:instrText xml:space="preserve"> TA \s "R v Dobie [2004] 2 Qd R 537" </w:instrText>
      </w:r>
      <w:r w:rsidRPr="00EB7F1E">
        <w:rPr>
          <w:rFonts w:asciiTheme="minorHAnsi" w:hAnsiTheme="minorHAnsi" w:cstheme="minorHAnsi"/>
        </w:rPr>
        <w:fldChar w:fldCharType="end"/>
      </w:r>
      <w:r w:rsidRPr="007809F4">
        <w:rPr>
          <w:rFonts w:asciiTheme="minorHAnsi" w:hAnsiTheme="minorHAnsi" w:cstheme="minorHAnsi"/>
        </w:rPr>
        <w:t xml:space="preserve">, [21]; </w:t>
      </w:r>
      <w:r w:rsidRPr="007809F4">
        <w:rPr>
          <w:rFonts w:asciiTheme="minorHAnsi" w:hAnsiTheme="minorHAnsi" w:cstheme="minorHAnsi"/>
          <w:i/>
        </w:rPr>
        <w:t>Mercanti v R</w:t>
      </w:r>
      <w:r w:rsidRPr="007809F4">
        <w:rPr>
          <w:rFonts w:asciiTheme="minorHAnsi" w:hAnsiTheme="minorHAnsi" w:cstheme="minorHAnsi"/>
        </w:rPr>
        <w:t xml:space="preserve"> [2011] WASCA 120</w:t>
      </w:r>
      <w:r w:rsidRPr="00EB7F1E">
        <w:rPr>
          <w:rFonts w:asciiTheme="minorHAnsi" w:hAnsiTheme="minorHAnsi" w:cstheme="minorHAnsi"/>
        </w:rPr>
        <w:fldChar w:fldCharType="begin"/>
      </w:r>
      <w:r w:rsidRPr="007809F4">
        <w:rPr>
          <w:rFonts w:asciiTheme="minorHAnsi" w:hAnsiTheme="minorHAnsi" w:cstheme="minorHAnsi"/>
        </w:rPr>
        <w:instrText xml:space="preserve"> TA \s "Mercanti v R [2011] WASCA 120" </w:instrText>
      </w:r>
      <w:r w:rsidRPr="00EB7F1E">
        <w:rPr>
          <w:rFonts w:asciiTheme="minorHAnsi" w:hAnsiTheme="minorHAnsi" w:cstheme="minorHAnsi"/>
        </w:rPr>
        <w:fldChar w:fldCharType="end"/>
      </w:r>
      <w:r w:rsidRPr="007809F4">
        <w:rPr>
          <w:rFonts w:asciiTheme="minorHAnsi" w:hAnsiTheme="minorHAnsi" w:cstheme="minorHAnsi"/>
        </w:rPr>
        <w:t>, [21]-[29].</w:t>
      </w:r>
    </w:p>
  </w:footnote>
  <w:footnote w:id="746">
    <w:p w14:paraId="2F60F087" w14:textId="79787A2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O’Brien</w:t>
      </w:r>
      <w:r w:rsidRPr="007809F4">
        <w:rPr>
          <w:rFonts w:asciiTheme="minorHAnsi" w:hAnsiTheme="minorHAnsi" w:cstheme="minorHAnsi"/>
        </w:rPr>
        <w:t xml:space="preserve"> (1991) 57 A Crim R 80</w:t>
      </w:r>
      <w:r w:rsidRPr="00EB7F1E">
        <w:rPr>
          <w:rFonts w:asciiTheme="minorHAnsi" w:hAnsiTheme="minorHAnsi" w:cstheme="minorHAnsi"/>
        </w:rPr>
        <w:fldChar w:fldCharType="begin"/>
      </w:r>
      <w:r w:rsidRPr="007809F4">
        <w:rPr>
          <w:rFonts w:asciiTheme="minorHAnsi" w:hAnsiTheme="minorHAnsi" w:cstheme="minorHAnsi"/>
        </w:rPr>
        <w:instrText xml:space="preserve"> TA \s "R v O’Brien (1991) 57 A Crim R 80"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Daswani</w:t>
      </w:r>
      <w:r w:rsidRPr="007809F4">
        <w:rPr>
          <w:rFonts w:asciiTheme="minorHAnsi" w:hAnsiTheme="minorHAnsi" w:cstheme="minorHAnsi"/>
        </w:rPr>
        <w:t xml:space="preserve"> [2005] QCA 167</w:t>
      </w:r>
      <w:r w:rsidRPr="00EB7F1E">
        <w:rPr>
          <w:rFonts w:asciiTheme="minorHAnsi" w:hAnsiTheme="minorHAnsi" w:cstheme="minorHAnsi"/>
        </w:rPr>
        <w:fldChar w:fldCharType="begin"/>
      </w:r>
      <w:r w:rsidRPr="007809F4">
        <w:rPr>
          <w:rFonts w:asciiTheme="minorHAnsi" w:hAnsiTheme="minorHAnsi" w:cstheme="minorHAnsi"/>
        </w:rPr>
        <w:instrText xml:space="preserve"> TA \s "R v Daswani [2005] QCA 167" </w:instrText>
      </w:r>
      <w:r w:rsidRPr="00EB7F1E">
        <w:rPr>
          <w:rFonts w:asciiTheme="minorHAnsi" w:hAnsiTheme="minorHAnsi" w:cstheme="minorHAnsi"/>
        </w:rPr>
        <w:fldChar w:fldCharType="end"/>
      </w:r>
      <w:r w:rsidRPr="007809F4">
        <w:rPr>
          <w:rFonts w:asciiTheme="minorHAnsi" w:hAnsiTheme="minorHAnsi" w:cstheme="minorHAnsi"/>
        </w:rPr>
        <w:t>, [10], [22]-[27].</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47">
    <w:p w14:paraId="619F6339" w14:textId="1DF3C93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O’Brien</w:t>
      </w:r>
      <w:r w:rsidRPr="007809F4">
        <w:rPr>
          <w:rFonts w:asciiTheme="minorHAnsi" w:hAnsiTheme="minorHAnsi" w:cstheme="minorHAnsi"/>
        </w:rPr>
        <w:t xml:space="preserve"> (1991) 57 A Crim R 80</w:t>
      </w:r>
      <w:r w:rsidRPr="00EB7F1E">
        <w:rPr>
          <w:rFonts w:asciiTheme="minorHAnsi" w:hAnsiTheme="minorHAnsi" w:cstheme="minorHAnsi"/>
        </w:rPr>
        <w:fldChar w:fldCharType="begin"/>
      </w:r>
      <w:r w:rsidRPr="007809F4">
        <w:rPr>
          <w:rFonts w:asciiTheme="minorHAnsi" w:hAnsiTheme="minorHAnsi" w:cstheme="minorHAnsi"/>
        </w:rPr>
        <w:instrText xml:space="preserve"> TA \s "R v O’Brien (1991) 57 A Crim R 80"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Carroll v R </w:instrText>
      </w:r>
      <w:r w:rsidRPr="007809F4">
        <w:rPr>
          <w:rFonts w:asciiTheme="minorHAnsi" w:hAnsiTheme="minorHAnsi" w:cstheme="minorHAnsi"/>
        </w:rPr>
        <w:instrText>[2011] VSCA 150</w:instrText>
      </w:r>
      <w:r w:rsidRPr="00EB7F1E">
        <w:rPr>
          <w:rFonts w:asciiTheme="minorHAnsi" w:hAnsiTheme="minorHAnsi" w:cstheme="minorHAnsi"/>
        </w:rPr>
        <w:instrText xml:space="preserve">" \s "Carroll v R [2011] VSCA 150" \c 1 </w:instrText>
      </w:r>
      <w:r w:rsidRPr="00EB7F1E">
        <w:rPr>
          <w:rFonts w:asciiTheme="minorHAnsi" w:hAnsiTheme="minorHAnsi" w:cstheme="minorHAnsi"/>
          <w:i/>
        </w:rPr>
        <w:fldChar w:fldCharType="end"/>
      </w:r>
      <w:r w:rsidRPr="007809F4">
        <w:rPr>
          <w:rFonts w:asciiTheme="minorHAnsi" w:hAnsiTheme="minorHAnsi" w:cstheme="minorHAnsi"/>
          <w:i/>
        </w:rPr>
        <w:t>Carroll v R</w:t>
      </w:r>
      <w:r w:rsidRPr="007809F4">
        <w:rPr>
          <w:rFonts w:asciiTheme="minorHAnsi" w:hAnsiTheme="minorHAnsi" w:cstheme="minorHAnsi"/>
        </w:rPr>
        <w:t xml:space="preserve"> [2011] VSCA 150, [48].</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48">
    <w:p w14:paraId="1F4DA0FB" w14:textId="2E5DAA4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Victoria, s 16(4) of the </w:t>
      </w:r>
      <w:r w:rsidRPr="007809F4">
        <w:rPr>
          <w:rFonts w:asciiTheme="minorHAnsi" w:hAnsiTheme="minorHAnsi" w:cstheme="minorHAnsi"/>
          <w:i/>
        </w:rPr>
        <w:t>Sentencing Act 1991</w:t>
      </w:r>
      <w:r w:rsidRPr="007809F4">
        <w:rPr>
          <w:rFonts w:asciiTheme="minorHAnsi" w:hAnsiTheme="minorHAnsi" w:cstheme="minorHAnsi"/>
        </w:rPr>
        <w:t xml:space="preserve"> (Vic) permits a court to make orders which have the effect of cumulating a State sentence on a federal sentence in certain circumstances.  However in </w:t>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rPr>
        <w:fldChar w:fldCharType="begin"/>
      </w:r>
      <w:r w:rsidRPr="007809F4">
        <w:rPr>
          <w:rFonts w:asciiTheme="minorHAnsi" w:hAnsiTheme="minorHAnsi" w:cstheme="minorHAnsi"/>
        </w:rPr>
        <w:instrText xml:space="preserve"> TA \s "DPP v Swingler [2017] VSCA 305" </w:instrText>
      </w:r>
      <w:r w:rsidRPr="00EB7F1E">
        <w:rPr>
          <w:rFonts w:asciiTheme="minorHAnsi" w:hAnsiTheme="minorHAnsi" w:cstheme="minorHAnsi"/>
        </w:rPr>
        <w:fldChar w:fldCharType="end"/>
      </w:r>
      <w:r w:rsidRPr="007809F4">
        <w:rPr>
          <w:rFonts w:asciiTheme="minorHAnsi" w:hAnsiTheme="minorHAnsi" w:cstheme="minorHAnsi"/>
        </w:rPr>
        <w:t>, [78]-[87], the Court doubted whether s 16(4) applies if the Commonwealth sentence is imposed at the same sitting as the State sentence.  The position in some other States is even more uncertain.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_Ref11051655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5.9.5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_Ref11051658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Fixing cumulation or concurrency in sentencing for Commonwealth and State/Territory offences in the same indictment</w:t>
      </w:r>
      <w:r w:rsidRPr="00EB7F1E">
        <w:rPr>
          <w:rFonts w:asciiTheme="minorHAnsi" w:hAnsiTheme="minorHAnsi" w:cstheme="minorHAnsi"/>
        </w:rPr>
        <w:fldChar w:fldCharType="end"/>
      </w:r>
      <w:r w:rsidRPr="007809F4">
        <w:rPr>
          <w:rFonts w:asciiTheme="minorHAnsi" w:hAnsiTheme="minorHAnsi" w:cstheme="minorHAnsi"/>
        </w:rPr>
        <w:t>”.</w:t>
      </w:r>
    </w:p>
  </w:footnote>
  <w:footnote w:id="749">
    <w:p w14:paraId="461FFF68" w14:textId="0F09BC8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\s "Fasciale v R (2010) 30 VR 643" </w:instrText>
      </w:r>
      <w:r w:rsidRPr="00EB7F1E">
        <w:rPr>
          <w:rFonts w:asciiTheme="minorHAnsi" w:hAnsiTheme="minorHAnsi" w:cstheme="minorHAnsi"/>
        </w:rPr>
        <w:fldChar w:fldCharType="end"/>
      </w:r>
      <w:r w:rsidRPr="007809F4">
        <w:rPr>
          <w:rFonts w:asciiTheme="minorHAnsi" w:hAnsiTheme="minorHAnsi" w:cstheme="minorHAnsi"/>
        </w:rPr>
        <w:t xml:space="preserve"> [32]-[33]. In that case, the offender was convicted of both State and Commonwealth offences.  He was sentenced to a total effective sentence of 6 years for the State offences, with a non-parole period of 4 years.  For the Commonwealth offences, he was sentenced to concurrent straight sentence of 6 months’ imprisonment, to commence immediately after the expiry of the State non-parole period.  The effect was that although he would become eligible for parole on the State offences after 4 years, he would remain in custody for a further 6 months on the Commonwealth offences, but the total length of the head sentence was not affected.  The Court of Appeal held that such a sentence, although unusual, was open, provided that the ratio between the total effective head sentence and the minimum period of incarceration was appropriate.</w:t>
      </w:r>
    </w:p>
  </w:footnote>
  <w:footnote w:id="750">
    <w:p w14:paraId="247AFC4A" w14:textId="5218723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xml:space="preserve">  See the discussion of those principles and their conceptual basis in </w:t>
      </w:r>
      <w:r w:rsidRPr="007809F4">
        <w:rPr>
          <w:rFonts w:asciiTheme="minorHAnsi" w:hAnsiTheme="minorHAnsi" w:cstheme="minorHAnsi"/>
          <w:i/>
        </w:rPr>
        <w:t>DPP (Cth) v Beattie</w:t>
      </w:r>
      <w:r w:rsidRPr="007809F4">
        <w:rPr>
          <w:rFonts w:asciiTheme="minorHAnsi" w:hAnsiTheme="minorHAnsi" w:cstheme="minorHAnsi"/>
        </w:rPr>
        <w:t xml:space="preserve"> [2017] NSWCCA 301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Beattie [2017] NSWCCA 301" </w:instrText>
      </w:r>
      <w:r w:rsidRPr="00EB7F1E">
        <w:rPr>
          <w:rFonts w:asciiTheme="minorHAnsi" w:hAnsiTheme="minorHAnsi" w:cstheme="minorHAnsi"/>
        </w:rPr>
        <w:fldChar w:fldCharType="end"/>
      </w:r>
      <w:r w:rsidRPr="007809F4">
        <w:rPr>
          <w:rFonts w:asciiTheme="minorHAnsi" w:hAnsiTheme="minorHAnsi" w:cstheme="minorHAnsi"/>
        </w:rPr>
        <w:t xml:space="preserve"> [26]-[45] (Basten JA).</w:t>
      </w:r>
    </w:p>
  </w:footnote>
  <w:footnote w:id="751">
    <w:p w14:paraId="2FB566B4" w14:textId="6FC68B3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A-G v Tichy</w:t>
      </w:r>
      <w:r w:rsidRPr="007809F4">
        <w:rPr>
          <w:rFonts w:asciiTheme="minorHAnsi" w:hAnsiTheme="minorHAnsi" w:cstheme="minorHAnsi"/>
        </w:rPr>
        <w:t xml:space="preserve"> (1982) 30 SASR 84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A-G v Tichy</w:instrText>
      </w:r>
      <w:r w:rsidRPr="007809F4">
        <w:rPr>
          <w:rFonts w:asciiTheme="minorHAnsi" w:hAnsiTheme="minorHAnsi" w:cstheme="minorHAnsi"/>
        </w:rPr>
        <w:instrText xml:space="preserve"> (1982) 30 SASR 84" \s "A-G v Tichy (1982) 30 SASR 84" \c 1 </w:instrText>
      </w:r>
      <w:r w:rsidRPr="00EB7F1E">
        <w:rPr>
          <w:rFonts w:asciiTheme="minorHAnsi" w:hAnsiTheme="minorHAnsi" w:cstheme="minorHAnsi"/>
        </w:rPr>
        <w:fldChar w:fldCharType="end"/>
      </w:r>
      <w:r w:rsidRPr="007809F4">
        <w:rPr>
          <w:rFonts w:asciiTheme="minorHAnsi" w:hAnsiTheme="minorHAnsi" w:cstheme="minorHAnsi"/>
        </w:rPr>
        <w:t xml:space="preserve">, 92-3.  See also </w:t>
      </w:r>
      <w:r w:rsidRPr="007809F4">
        <w:rPr>
          <w:rFonts w:asciiTheme="minorHAnsi" w:hAnsiTheme="minorHAnsi" w:cstheme="minorHAnsi"/>
          <w:i/>
        </w:rPr>
        <w:t>R v Mantini</w:t>
      </w:r>
      <w:r w:rsidRPr="007809F4">
        <w:rPr>
          <w:rFonts w:asciiTheme="minorHAnsi" w:hAnsiTheme="minorHAnsi" w:cstheme="minorHAnsi"/>
        </w:rPr>
        <w:t xml:space="preserve"> [1998] 3 VR 340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Mantini</w:instrText>
      </w:r>
      <w:r w:rsidRPr="007809F4">
        <w:rPr>
          <w:rFonts w:asciiTheme="minorHAnsi" w:hAnsiTheme="minorHAnsi" w:cstheme="minorHAnsi"/>
        </w:rPr>
        <w:instrText xml:space="preserve"> [1998] 3 VR 340" \s "R v Mantini [1998] 3 VR 340"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Mantini [1998] 3 VR 340" </w:instrText>
      </w:r>
      <w:r w:rsidRPr="00EB7F1E">
        <w:rPr>
          <w:rFonts w:asciiTheme="minorHAnsi" w:hAnsiTheme="minorHAnsi" w:cstheme="minorHAnsi"/>
        </w:rPr>
        <w:fldChar w:fldCharType="end"/>
      </w:r>
      <w:r w:rsidRPr="007809F4">
        <w:rPr>
          <w:rFonts w:asciiTheme="minorHAnsi" w:hAnsiTheme="minorHAnsi" w:cstheme="minorHAnsi"/>
        </w:rPr>
        <w:t>, 349 (Callaway JA). This does not meant that concurrent sentences must be imposed for offences that have substantial common elements:</w:t>
      </w:r>
      <w:r w:rsidRPr="007809F4">
        <w:rPr>
          <w:rFonts w:asciiTheme="minorHAnsi" w:hAnsiTheme="minorHAnsi" w:cstheme="minorHAnsi"/>
          <w:i/>
        </w:rPr>
        <w:t xml:space="preserve"> 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Colbourn v R</w:t>
      </w:r>
      <w:r w:rsidRPr="007809F4">
        <w:rPr>
          <w:rFonts w:asciiTheme="minorHAnsi" w:hAnsiTheme="minorHAnsi" w:cstheme="minorHAnsi"/>
        </w:rPr>
        <w:t xml:space="preserve"> [2009] TASSC 108.</w:t>
      </w:r>
      <w:r w:rsidRPr="00EB7F1E">
        <w:rPr>
          <w:rFonts w:asciiTheme="minorHAnsi" w:hAnsiTheme="minorHAnsi" w:cstheme="minorHAnsi"/>
        </w:rPr>
        <w:fldChar w:fldCharType="begin"/>
      </w:r>
      <w:r w:rsidRPr="007809F4">
        <w:rPr>
          <w:rFonts w:asciiTheme="minorHAnsi" w:hAnsiTheme="minorHAnsi" w:cstheme="minorHAnsi"/>
        </w:rPr>
        <w:instrText xml:space="preserve"> TA \s "Colbourn v R [2009] TASSC 108" </w:instrText>
      </w:r>
      <w:r w:rsidRPr="00EB7F1E">
        <w:rPr>
          <w:rFonts w:asciiTheme="minorHAnsi" w:hAnsiTheme="minorHAnsi" w:cstheme="minorHAnsi"/>
        </w:rPr>
        <w:fldChar w:fldCharType="end"/>
      </w:r>
    </w:p>
  </w:footnote>
  <w:footnote w:id="752">
    <w:p w14:paraId="6F2BB083" w14:textId="36BE6E6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Cahyadi v R</w:t>
      </w:r>
      <w:r w:rsidRPr="007809F4">
        <w:rPr>
          <w:rFonts w:asciiTheme="minorHAnsi" w:hAnsiTheme="minorHAnsi" w:cstheme="minorHAnsi"/>
        </w:rPr>
        <w:t xml:space="preserve"> [2007] NSWCCA 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Cahyadi v R</w:instrText>
      </w:r>
      <w:r w:rsidRPr="007809F4">
        <w:rPr>
          <w:rFonts w:asciiTheme="minorHAnsi" w:hAnsiTheme="minorHAnsi" w:cstheme="minorHAnsi"/>
        </w:rPr>
        <w:instrText xml:space="preserve"> [2007] NSWCCA 1" \s "Cahyadi v R [2007] NSWCCA 1" \c 1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753">
    <w:p w14:paraId="4128842A" w14:textId="0392DF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 xml:space="preserve">, [26]. See also </w:t>
      </w:r>
      <w:r w:rsidRPr="007809F4">
        <w:rPr>
          <w:rFonts w:asciiTheme="minorHAnsi" w:hAnsiTheme="minorHAnsi" w:cstheme="minorHAnsi"/>
          <w:i/>
        </w:rPr>
        <w:t>DPP (Vic) v Grabovac</w:t>
      </w:r>
      <w:r w:rsidRPr="007809F4">
        <w:rPr>
          <w:rFonts w:asciiTheme="minorHAnsi" w:hAnsiTheme="minorHAnsi" w:cstheme="minorHAnsi"/>
        </w:rPr>
        <w:t xml:space="preserve"> [1998] 1 VR 664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(Vic) v Grabovac</w:instrText>
      </w:r>
      <w:r w:rsidRPr="007809F4">
        <w:rPr>
          <w:rFonts w:asciiTheme="minorHAnsi" w:hAnsiTheme="minorHAnsi" w:cstheme="minorHAnsi"/>
        </w:rPr>
        <w:instrText xml:space="preserve"> [1998] 1 VR 664" \s "DPP (Vic) v Grabovac [1998] 1 VR 664"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Lomax</w:t>
      </w:r>
      <w:r w:rsidRPr="007809F4">
        <w:rPr>
          <w:rFonts w:asciiTheme="minorHAnsi" w:hAnsiTheme="minorHAnsi" w:cstheme="minorHAnsi"/>
        </w:rPr>
        <w:t xml:space="preserve"> [1998] 1 VR 551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Lomax</w:instrText>
      </w:r>
      <w:r w:rsidRPr="007809F4">
        <w:rPr>
          <w:rFonts w:asciiTheme="minorHAnsi" w:hAnsiTheme="minorHAnsi" w:cstheme="minorHAnsi"/>
        </w:rPr>
        <w:instrText xml:space="preserve"> [1998] 1 VR 551" \s "R v Lomax [1998] 1 VR 551"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Lomax [1998] 1 VR 551"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Coukoulis</w:t>
      </w:r>
      <w:r w:rsidRPr="007809F4">
        <w:rPr>
          <w:rFonts w:asciiTheme="minorHAnsi" w:hAnsiTheme="minorHAnsi" w:cstheme="minorHAnsi"/>
        </w:rPr>
        <w:t xml:space="preserve"> (2003) 7 VR 45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Coukoulis</w:instrText>
      </w:r>
      <w:r w:rsidRPr="007809F4">
        <w:rPr>
          <w:rFonts w:asciiTheme="minorHAnsi" w:hAnsiTheme="minorHAnsi" w:cstheme="minorHAnsi"/>
        </w:rPr>
        <w:instrText xml:space="preserve"> (2003) 7 VR 45" \s "R v Coukoulis (2003) 7 VR 45"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Coukoulis (2003) 7 VR 45" </w:instrText>
      </w:r>
      <w:r w:rsidRPr="00EB7F1E">
        <w:rPr>
          <w:rFonts w:asciiTheme="minorHAnsi" w:hAnsiTheme="minorHAnsi" w:cstheme="minorHAnsi"/>
        </w:rPr>
        <w:fldChar w:fldCharType="end"/>
      </w:r>
      <w:r w:rsidRPr="007809F4">
        <w:rPr>
          <w:rFonts w:asciiTheme="minorHAnsi" w:hAnsiTheme="minorHAnsi" w:cstheme="minorHAnsi"/>
        </w:rPr>
        <w:t>, [32];</w:t>
      </w:r>
      <w:r w:rsidRPr="007809F4">
        <w:rPr>
          <w:rFonts w:asciiTheme="minorHAnsi" w:hAnsiTheme="minorHAnsi" w:cstheme="minorHAnsi"/>
          <w:i/>
        </w:rPr>
        <w:t xml:space="preserve"> R v Cook</w:t>
      </w:r>
      <w:r w:rsidRPr="007809F4">
        <w:rPr>
          <w:rFonts w:asciiTheme="minorHAnsi" w:hAnsiTheme="minorHAnsi" w:cstheme="minorHAnsi"/>
        </w:rPr>
        <w:t xml:space="preserve"> [2018] TASCCA 20</w:t>
      </w:r>
      <w:r w:rsidRPr="00EB7F1E">
        <w:rPr>
          <w:rFonts w:asciiTheme="minorHAnsi" w:hAnsiTheme="minorHAnsi" w:cstheme="minorHAnsi"/>
        </w:rPr>
        <w:fldChar w:fldCharType="begin"/>
      </w:r>
      <w:r w:rsidRPr="007809F4">
        <w:rPr>
          <w:rFonts w:asciiTheme="minorHAnsi" w:hAnsiTheme="minorHAnsi" w:cstheme="minorHAnsi"/>
        </w:rPr>
        <w:instrText xml:space="preserve"> TA \s "R v Cook [2018] TASCCA 20" </w:instrText>
      </w:r>
      <w:r w:rsidRPr="00EB7F1E">
        <w:rPr>
          <w:rFonts w:asciiTheme="minorHAnsi" w:hAnsiTheme="minorHAnsi" w:cstheme="minorHAnsi"/>
        </w:rPr>
        <w:fldChar w:fldCharType="end"/>
      </w:r>
      <w:r w:rsidRPr="007809F4">
        <w:rPr>
          <w:rFonts w:asciiTheme="minorHAnsi" w:hAnsiTheme="minorHAnsi" w:cstheme="minorHAnsi"/>
        </w:rPr>
        <w:t>, [3], [51]-[56].</w:t>
      </w:r>
    </w:p>
  </w:footnote>
  <w:footnote w:id="754">
    <w:p w14:paraId="6B5186E0" w14:textId="66194D6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Izzard</w:t>
      </w:r>
      <w:r w:rsidRPr="007809F4">
        <w:rPr>
          <w:rFonts w:asciiTheme="minorHAnsi" w:hAnsiTheme="minorHAnsi" w:cstheme="minorHAnsi"/>
        </w:rPr>
        <w:t xml:space="preserve"> (2003) 7 VR 480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Izzard</w:instrText>
      </w:r>
      <w:r w:rsidRPr="007809F4">
        <w:rPr>
          <w:rFonts w:asciiTheme="minorHAnsi" w:hAnsiTheme="minorHAnsi" w:cstheme="minorHAnsi"/>
        </w:rPr>
        <w:instrText xml:space="preserve"> (2003) 7 VR 480</w:instrText>
      </w:r>
      <w:r w:rsidRPr="00EB7F1E">
        <w:rPr>
          <w:rFonts w:asciiTheme="minorHAnsi" w:hAnsiTheme="minorHAnsi" w:cstheme="minorHAnsi"/>
        </w:rPr>
        <w:instrText xml:space="preserve">" \s "R v Izzard (2003) 7 VR 480" \c 1 </w:instrText>
      </w:r>
      <w:r w:rsidRPr="00EB7F1E">
        <w:rPr>
          <w:rFonts w:asciiTheme="minorHAnsi" w:hAnsiTheme="minorHAnsi" w:cstheme="minorHAnsi"/>
        </w:rPr>
        <w:fldChar w:fldCharType="end"/>
      </w:r>
      <w:r w:rsidRPr="007809F4">
        <w:rPr>
          <w:rFonts w:asciiTheme="minorHAnsi" w:hAnsiTheme="minorHAnsi" w:cstheme="minorHAnsi"/>
        </w:rPr>
        <w:t>, [21]–[23].</w:t>
      </w:r>
    </w:p>
  </w:footnote>
  <w:footnote w:id="755">
    <w:p w14:paraId="1AC8195B" w14:textId="4141D19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Mill v R</w:t>
      </w:r>
      <w:r w:rsidRPr="007809F4">
        <w:rPr>
          <w:rFonts w:asciiTheme="minorHAnsi" w:hAnsiTheme="minorHAnsi" w:cstheme="minorHAnsi"/>
        </w:rPr>
        <w:t xml:space="preserve"> (1988) 166 CLR 59</w:t>
      </w:r>
      <w:r w:rsidRPr="00EB7F1E">
        <w:rPr>
          <w:rFonts w:asciiTheme="minorHAnsi" w:hAnsiTheme="minorHAnsi" w:cstheme="minorHAnsi"/>
        </w:rPr>
        <w:fldChar w:fldCharType="begin"/>
      </w:r>
      <w:r w:rsidRPr="007809F4">
        <w:rPr>
          <w:rFonts w:asciiTheme="minorHAnsi" w:hAnsiTheme="minorHAnsi" w:cstheme="minorHAnsi"/>
        </w:rPr>
        <w:instrText xml:space="preserve"> TA \s "Mill v R (1988) 166 CLR 59" </w:instrText>
      </w:r>
      <w:r w:rsidRPr="00EB7F1E">
        <w:rPr>
          <w:rFonts w:asciiTheme="minorHAnsi" w:hAnsiTheme="minorHAnsi" w:cstheme="minorHAnsi"/>
        </w:rPr>
        <w:fldChar w:fldCharType="end"/>
      </w:r>
      <w:r w:rsidRPr="007809F4">
        <w:rPr>
          <w:rFonts w:asciiTheme="minorHAnsi" w:hAnsiTheme="minorHAnsi" w:cstheme="minorHAnsi"/>
        </w:rPr>
        <w:t>, 62–63.</w:t>
      </w:r>
    </w:p>
  </w:footnote>
  <w:footnote w:id="756">
    <w:p w14:paraId="6788C38D" w14:textId="0EFAABD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KMD </w:t>
      </w:r>
      <w:r w:rsidRPr="007809F4">
        <w:rPr>
          <w:rFonts w:asciiTheme="minorHAnsi" w:hAnsiTheme="minorHAnsi" w:cstheme="minorHAnsi"/>
        </w:rPr>
        <w:t>[2015] VSCA 255</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KMD [2015] VSCA 255" </w:instrText>
      </w:r>
      <w:r w:rsidRPr="00EB7F1E">
        <w:rPr>
          <w:rFonts w:asciiTheme="minorHAnsi" w:hAnsiTheme="minorHAnsi" w:cstheme="minorHAnsi"/>
        </w:rPr>
        <w:fldChar w:fldCharType="end"/>
      </w:r>
      <w:r w:rsidRPr="007809F4">
        <w:rPr>
          <w:rFonts w:asciiTheme="minorHAnsi" w:hAnsiTheme="minorHAnsi" w:cstheme="minorHAnsi"/>
        </w:rPr>
        <w:t>, [89]-[96].</w:t>
      </w:r>
    </w:p>
  </w:footnote>
  <w:footnote w:id="757">
    <w:p w14:paraId="257BBEC4" w14:textId="2BA4DBF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Fulop</w:t>
      </w:r>
      <w:r w:rsidRPr="007809F4">
        <w:rPr>
          <w:rFonts w:asciiTheme="minorHAnsi" w:hAnsiTheme="minorHAnsi" w:cstheme="minorHAnsi"/>
        </w:rPr>
        <w:t xml:space="preserve"> [2009] VSCA 296</w:t>
      </w:r>
      <w:r w:rsidRPr="00EB7F1E">
        <w:rPr>
          <w:rFonts w:asciiTheme="minorHAnsi" w:hAnsiTheme="minorHAnsi" w:cstheme="minorHAnsi"/>
        </w:rPr>
        <w:fldChar w:fldCharType="begin"/>
      </w:r>
      <w:r w:rsidRPr="007809F4">
        <w:rPr>
          <w:rFonts w:asciiTheme="minorHAnsi" w:hAnsiTheme="minorHAnsi" w:cstheme="minorHAnsi"/>
        </w:rPr>
        <w:instrText xml:space="preserve"> TA \s "R v Fulop [2009] VSCA 296" </w:instrText>
      </w:r>
      <w:r w:rsidRPr="00EB7F1E">
        <w:rPr>
          <w:rFonts w:asciiTheme="minorHAnsi" w:hAnsiTheme="minorHAnsi" w:cstheme="minorHAnsi"/>
        </w:rPr>
        <w:fldChar w:fldCharType="end"/>
      </w:r>
      <w:r w:rsidRPr="007809F4">
        <w:rPr>
          <w:rFonts w:asciiTheme="minorHAnsi" w:hAnsiTheme="minorHAnsi" w:cstheme="minorHAnsi"/>
        </w:rPr>
        <w:t xml:space="preserve"> [7]-[8]. </w:t>
      </w:r>
    </w:p>
  </w:footnote>
  <w:footnote w:id="758">
    <w:p w14:paraId="6D9AD895" w14:textId="7A595CC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rPr>
        <w:fldChar w:fldCharType="begin"/>
      </w:r>
      <w:r w:rsidRPr="007809F4">
        <w:rPr>
          <w:rFonts w:asciiTheme="minorHAnsi" w:hAnsiTheme="minorHAnsi" w:cstheme="minorHAnsi"/>
        </w:rPr>
        <w:instrText xml:space="preserve"> TA \s "DPP v Swingler [2017] VSCA 305" </w:instrText>
      </w:r>
      <w:r w:rsidRPr="00EB7F1E">
        <w:rPr>
          <w:rFonts w:asciiTheme="minorHAnsi" w:hAnsiTheme="minorHAnsi" w:cstheme="minorHAnsi"/>
        </w:rPr>
        <w:fldChar w:fldCharType="end"/>
      </w:r>
      <w:r w:rsidRPr="007809F4">
        <w:rPr>
          <w:rFonts w:asciiTheme="minorHAnsi" w:hAnsiTheme="minorHAnsi" w:cstheme="minorHAnsi"/>
        </w:rPr>
        <w:t xml:space="preserve">, [79]-[81].  Under s 19(3) of the </w:t>
      </w:r>
      <w:r w:rsidRPr="007809F4">
        <w:rPr>
          <w:rFonts w:asciiTheme="minorHAnsi" w:hAnsiTheme="minorHAnsi" w:cstheme="minorHAnsi"/>
          <w:i/>
        </w:rPr>
        <w:t>Crimes Act 1914</w:t>
      </w:r>
      <w:r w:rsidRPr="007809F4">
        <w:rPr>
          <w:rFonts w:asciiTheme="minorHAnsi" w:hAnsiTheme="minorHAnsi" w:cstheme="minorHAnsi"/>
        </w:rPr>
        <w:t xml:space="preserve"> (Cth), provision is made for ordering concurrency or cumulation of a federal sentence on a State sentence imposed at the same sitting.  Pursuant to s 19(4), the State sentence would be treated as having “already been fixed”, for the purposes of s 19.  The sentencing court is therefore required to direct when the federal sentence commences s 19(4).  The time for commencement of the federal sentence must comply with s 19(3)(c) and (d).  But these provisions contain no requirements or powers relating to fixing cumulation or concurrency of a State sentence on a federal sentence.</w:t>
      </w:r>
    </w:p>
  </w:footnote>
  <w:footnote w:id="759">
    <w:p w14:paraId="3B127B67" w14:textId="7DE991C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McMillan</w:t>
      </w:r>
      <w:r w:rsidRPr="007809F4">
        <w:rPr>
          <w:rFonts w:asciiTheme="minorHAnsi" w:hAnsiTheme="minorHAnsi" w:cstheme="minorHAnsi"/>
        </w:rPr>
        <w:t xml:space="preserve"> [2005] QCA 93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McMillan</w:instrText>
      </w:r>
      <w:r w:rsidRPr="007809F4">
        <w:rPr>
          <w:rFonts w:asciiTheme="minorHAnsi" w:hAnsiTheme="minorHAnsi" w:cstheme="minorHAnsi"/>
        </w:rPr>
        <w:instrText xml:space="preserve"> [2005] QCA 93</w:instrText>
      </w:r>
      <w:r w:rsidRPr="00EB7F1E">
        <w:rPr>
          <w:rFonts w:asciiTheme="minorHAnsi" w:hAnsiTheme="minorHAnsi" w:cstheme="minorHAnsi"/>
        </w:rPr>
        <w:instrText xml:space="preserve">" \s "R v McMillan [2005] QCA 93" \c 1 </w:instrText>
      </w:r>
      <w:r w:rsidRPr="00EB7F1E">
        <w:rPr>
          <w:rFonts w:asciiTheme="minorHAnsi" w:hAnsiTheme="minorHAnsi" w:cstheme="minorHAnsi"/>
        </w:rPr>
        <w:fldChar w:fldCharType="end"/>
      </w:r>
      <w:r w:rsidRPr="007809F4">
        <w:rPr>
          <w:rFonts w:asciiTheme="minorHAnsi" w:hAnsiTheme="minorHAnsi" w:cstheme="minorHAnsi"/>
        </w:rPr>
        <w:t xml:space="preserve">, [22]; </w:t>
      </w:r>
      <w:r w:rsidRPr="007809F4">
        <w:rPr>
          <w:rFonts w:asciiTheme="minorHAnsi" w:hAnsiTheme="minorHAnsi" w:cstheme="minorHAnsi"/>
          <w:i/>
        </w:rPr>
        <w:t xml:space="preserve">R v NK </w:t>
      </w:r>
      <w:r w:rsidRPr="007809F4">
        <w:rPr>
          <w:rFonts w:asciiTheme="minorHAnsi" w:hAnsiTheme="minorHAnsi" w:cstheme="minorHAnsi"/>
        </w:rPr>
        <w:t>[2008] QCA 403</w:t>
      </w:r>
      <w:r w:rsidRPr="00EB7F1E">
        <w:rPr>
          <w:rFonts w:asciiTheme="minorHAnsi" w:hAnsiTheme="minorHAnsi" w:cstheme="minorHAnsi"/>
        </w:rPr>
        <w:fldChar w:fldCharType="begin"/>
      </w:r>
      <w:r w:rsidRPr="007809F4">
        <w:rPr>
          <w:rFonts w:asciiTheme="minorHAnsi" w:hAnsiTheme="minorHAnsi" w:cstheme="minorHAnsi"/>
        </w:rPr>
        <w:instrText xml:space="preserve"> TA \s "R v NK [2008] QCA 403" </w:instrText>
      </w:r>
      <w:r w:rsidRPr="00EB7F1E">
        <w:rPr>
          <w:rFonts w:asciiTheme="minorHAnsi" w:hAnsiTheme="minorHAnsi" w:cstheme="minorHAnsi"/>
        </w:rPr>
        <w:fldChar w:fldCharType="end"/>
      </w:r>
      <w:r w:rsidRPr="007809F4">
        <w:rPr>
          <w:rFonts w:asciiTheme="minorHAnsi" w:hAnsiTheme="minorHAnsi" w:cstheme="minorHAnsi"/>
        </w:rPr>
        <w:t>, [78].</w:t>
      </w:r>
    </w:p>
  </w:footnote>
  <w:footnote w:id="760">
    <w:p w14:paraId="21464012" w14:textId="7CE0C3A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rPr>
        <w:fldChar w:fldCharType="begin"/>
      </w:r>
      <w:r w:rsidRPr="007809F4">
        <w:rPr>
          <w:rFonts w:asciiTheme="minorHAnsi" w:hAnsiTheme="minorHAnsi" w:cstheme="minorHAnsi"/>
        </w:rPr>
        <w:instrText xml:space="preserve"> TA \s "DPP v Swingler [2017] VSCA 305" </w:instrText>
      </w:r>
      <w:r w:rsidRPr="00EB7F1E">
        <w:rPr>
          <w:rFonts w:asciiTheme="minorHAnsi" w:hAnsiTheme="minorHAnsi" w:cstheme="minorHAnsi"/>
        </w:rPr>
        <w:fldChar w:fldCharType="end"/>
      </w:r>
      <w:r w:rsidRPr="007809F4">
        <w:rPr>
          <w:rFonts w:asciiTheme="minorHAnsi" w:hAnsiTheme="minorHAnsi" w:cstheme="minorHAnsi"/>
        </w:rPr>
        <w:t xml:space="preserve">, [67].  Although not referred to in </w:t>
      </w:r>
      <w:r w:rsidRPr="007809F4">
        <w:rPr>
          <w:rFonts w:asciiTheme="minorHAnsi" w:hAnsiTheme="minorHAnsi" w:cstheme="minorHAnsi"/>
          <w:i/>
        </w:rPr>
        <w:t>Swingler</w:t>
      </w:r>
      <w:r w:rsidRPr="007809F4">
        <w:rPr>
          <w:rFonts w:asciiTheme="minorHAnsi" w:hAnsiTheme="minorHAnsi" w:cstheme="minorHAnsi"/>
        </w:rPr>
        <w:t xml:space="preserve">, a conviction for one of a number of specified Commonwealth offences can also trigger the operation of the “serious offender” provisions in Part 2A of the </w:t>
      </w:r>
      <w:r w:rsidRPr="007809F4">
        <w:rPr>
          <w:rFonts w:asciiTheme="minorHAnsi" w:hAnsiTheme="minorHAnsi" w:cstheme="minorHAnsi"/>
          <w:i/>
        </w:rPr>
        <w:t>Sentencing Act 1991</w:t>
      </w:r>
      <w:r w:rsidRPr="007809F4">
        <w:rPr>
          <w:rFonts w:asciiTheme="minorHAnsi" w:hAnsiTheme="minorHAnsi" w:cstheme="minorHAnsi"/>
        </w:rPr>
        <w:t xml:space="preserve"> (Vic): see the definitions of “relevant offence” and related terms in s 6B.  Apart from presumptive cumulation of sentences (under s 6E), an additional consequence of an offender being sentenced as a “serious offender”, is that, pursuant to s 6D of the Act, community protection must be regarded as the primary purpose of sentencing, even if the sentence is thereby made disproportionate to the objective gravity of the offence.</w:t>
      </w:r>
    </w:p>
  </w:footnote>
  <w:footnote w:id="761">
    <w:p w14:paraId="49CB0C75" w14:textId="1BA5F0C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rPr>
        <w:fldChar w:fldCharType="begin"/>
      </w:r>
      <w:r w:rsidRPr="007809F4">
        <w:rPr>
          <w:rFonts w:asciiTheme="minorHAnsi" w:hAnsiTheme="minorHAnsi" w:cstheme="minorHAnsi"/>
        </w:rPr>
        <w:instrText xml:space="preserve"> TA \s "DPP v Swingler [2017] VSCA 305" </w:instrText>
      </w:r>
      <w:r w:rsidRPr="00EB7F1E">
        <w:rPr>
          <w:rFonts w:asciiTheme="minorHAnsi" w:hAnsiTheme="minorHAnsi" w:cstheme="minorHAnsi"/>
        </w:rPr>
        <w:fldChar w:fldCharType="end"/>
      </w:r>
      <w:r w:rsidRPr="007809F4">
        <w:rPr>
          <w:rFonts w:asciiTheme="minorHAnsi" w:hAnsiTheme="minorHAnsi" w:cstheme="minorHAnsi"/>
        </w:rPr>
        <w:t xml:space="preserve">, [82].  Compare </w:t>
      </w:r>
      <w:r w:rsidRPr="00EB7F1E">
        <w:rPr>
          <w:rFonts w:asciiTheme="minorHAnsi" w:hAnsiTheme="minorHAnsi" w:cstheme="minorHAnsi"/>
          <w:i/>
        </w:rPr>
        <w:t>Burbridge v R</w:t>
      </w:r>
      <w:r w:rsidRPr="00EB7F1E">
        <w:rPr>
          <w:rFonts w:asciiTheme="minorHAnsi" w:hAnsiTheme="minorHAnsi" w:cstheme="minorHAnsi"/>
        </w:rPr>
        <w:t xml:space="preserve"> [2016] NSWCCA 128</w:t>
      </w:r>
      <w:r w:rsidRPr="00EB7F1E">
        <w:rPr>
          <w:rFonts w:asciiTheme="minorHAnsi" w:hAnsiTheme="minorHAnsi" w:cstheme="minorHAnsi"/>
        </w:rPr>
        <w:fldChar w:fldCharType="begin"/>
      </w:r>
      <w:r w:rsidRPr="007809F4">
        <w:rPr>
          <w:rFonts w:asciiTheme="minorHAnsi" w:hAnsiTheme="minorHAnsi" w:cstheme="minorHAnsi"/>
        </w:rPr>
        <w:instrText xml:space="preserve"> TA \s "Burbridge v R [2016] NSWCCA 128" </w:instrText>
      </w:r>
      <w:r w:rsidRPr="00EB7F1E">
        <w:rPr>
          <w:rFonts w:asciiTheme="minorHAnsi" w:hAnsiTheme="minorHAnsi" w:cstheme="minorHAnsi"/>
        </w:rPr>
        <w:fldChar w:fldCharType="end"/>
      </w:r>
      <w:r w:rsidRPr="00EB7F1E">
        <w:rPr>
          <w:rFonts w:asciiTheme="minorHAnsi" w:hAnsiTheme="minorHAnsi" w:cstheme="minorHAnsi"/>
        </w:rPr>
        <w:t>, [45], in which Rothman J (with whom MacFarlan JA and Bellew J agreed) referred to</w:t>
      </w:r>
      <w:r w:rsidRPr="007809F4">
        <w:rPr>
          <w:rFonts w:asciiTheme="minorHAnsi" w:hAnsiTheme="minorHAnsi" w:cstheme="minorHAnsi"/>
        </w:rPr>
        <w:t xml:space="preserve"> “</w:t>
      </w:r>
      <w:r w:rsidRPr="00EB7F1E">
        <w:rPr>
          <w:rFonts w:asciiTheme="minorHAnsi" w:hAnsiTheme="minorHAnsi" w:cstheme="minorHAnsi"/>
          <w:i/>
        </w:rPr>
        <w:t>complexities created by the interaction of the State and Commonwealth sentencing regimes, made more complex by the casuistry in the Commonwealth Crimes Act.</w:t>
      </w:r>
      <w:r w:rsidRPr="00EB7F1E">
        <w:rPr>
          <w:rFonts w:asciiTheme="minorHAnsi" w:hAnsiTheme="minorHAnsi" w:cstheme="minorHAnsi"/>
        </w:rPr>
        <w:t>”</w:t>
      </w:r>
    </w:p>
  </w:footnote>
  <w:footnote w:id="762">
    <w:p w14:paraId="6E5DB226" w14:textId="028658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rPr>
        <w:fldChar w:fldCharType="begin"/>
      </w:r>
      <w:r w:rsidRPr="007809F4">
        <w:rPr>
          <w:rFonts w:asciiTheme="minorHAnsi" w:hAnsiTheme="minorHAnsi" w:cstheme="minorHAnsi"/>
        </w:rPr>
        <w:instrText xml:space="preserve"> TA \s "DPP v Swingler [2017] VSCA 305" </w:instrText>
      </w:r>
      <w:r w:rsidRPr="00EB7F1E">
        <w:rPr>
          <w:rFonts w:asciiTheme="minorHAnsi" w:hAnsiTheme="minorHAnsi" w:cstheme="minorHAnsi"/>
        </w:rPr>
        <w:fldChar w:fldCharType="end"/>
      </w:r>
      <w:r w:rsidRPr="007809F4">
        <w:rPr>
          <w:rFonts w:asciiTheme="minorHAnsi" w:hAnsiTheme="minorHAnsi" w:cstheme="minorHAnsi"/>
        </w:rPr>
        <w:t>, [78] (footnotes omitted).</w:t>
      </w:r>
    </w:p>
  </w:footnote>
  <w:footnote w:id="763">
    <w:p w14:paraId="14707BED" w14:textId="1D92B12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Cs/>
        </w:rPr>
        <w:t xml:space="preserve">In </w:t>
      </w:r>
      <w:r w:rsidRPr="00EB7F1E">
        <w:rPr>
          <w:rStyle w:val="ssleftalign"/>
          <w:rFonts w:asciiTheme="minorHAnsi" w:hAnsiTheme="minorHAnsi" w:cstheme="minorHAnsi"/>
          <w:i/>
          <w:iCs/>
        </w:rPr>
        <w:t>Rodgers v R</w:t>
      </w:r>
      <w:r w:rsidRPr="00EB7F1E">
        <w:rPr>
          <w:rStyle w:val="ssleftalign"/>
          <w:rFonts w:asciiTheme="minorHAnsi" w:hAnsiTheme="minorHAnsi" w:cstheme="minorHAnsi"/>
        </w:rPr>
        <w:t xml:space="preserve"> [2018] NSWCCA 47</w:t>
      </w:r>
      <w:r w:rsidRPr="00EB7F1E">
        <w:rPr>
          <w:rStyle w:val="ssleftalign"/>
          <w:rFonts w:asciiTheme="minorHAnsi" w:hAnsiTheme="minorHAnsi" w:cstheme="minorHAnsi"/>
        </w:rPr>
        <w:fldChar w:fldCharType="begin"/>
      </w:r>
      <w:r w:rsidRPr="00EB7F1E">
        <w:rPr>
          <w:rFonts w:asciiTheme="minorHAnsi" w:hAnsiTheme="minorHAnsi" w:cstheme="minorHAnsi"/>
        </w:rPr>
        <w:instrText xml:space="preserve"> TA \s "Rodgers v R [2018] NSWCCA 47" </w:instrText>
      </w:r>
      <w:r w:rsidRPr="00EB7F1E">
        <w:rPr>
          <w:rStyle w:val="ssleftalign"/>
          <w:rFonts w:asciiTheme="minorHAnsi" w:hAnsiTheme="minorHAnsi" w:cstheme="minorHAnsi"/>
        </w:rPr>
        <w:fldChar w:fldCharType="end"/>
      </w:r>
      <w:r w:rsidRPr="00EB7F1E">
        <w:rPr>
          <w:rStyle w:val="ssleftalign"/>
          <w:rFonts w:asciiTheme="minorHAnsi" w:hAnsiTheme="minorHAnsi" w:cstheme="minorHAnsi"/>
        </w:rPr>
        <w:t xml:space="preserve">, the sentencing judge </w:t>
      </w:r>
      <w:r w:rsidRPr="007809F4">
        <w:rPr>
          <w:rStyle w:val="ssleftalign"/>
          <w:rFonts w:asciiTheme="minorHAnsi" w:hAnsiTheme="minorHAnsi" w:cstheme="minorHAnsi"/>
        </w:rPr>
        <w:t xml:space="preserve">made orders for the commencement of sentences which had the effect </w:t>
      </w:r>
      <w:r w:rsidRPr="00EB7F1E">
        <w:rPr>
          <w:rStyle w:val="ssleftalign"/>
          <w:rFonts w:asciiTheme="minorHAnsi" w:hAnsiTheme="minorHAnsi" w:cstheme="minorHAnsi"/>
        </w:rPr>
        <w:t xml:space="preserve">that a sentence for a State offence </w:t>
      </w:r>
      <w:r w:rsidRPr="007809F4">
        <w:rPr>
          <w:rStyle w:val="ssleftalign"/>
          <w:rFonts w:asciiTheme="minorHAnsi" w:hAnsiTheme="minorHAnsi" w:cstheme="minorHAnsi"/>
        </w:rPr>
        <w:t xml:space="preserve">was to </w:t>
      </w:r>
      <w:r w:rsidRPr="00EB7F1E">
        <w:rPr>
          <w:rStyle w:val="ssleftalign"/>
          <w:rFonts w:asciiTheme="minorHAnsi" w:hAnsiTheme="minorHAnsi" w:cstheme="minorHAnsi"/>
        </w:rPr>
        <w:t xml:space="preserve">be served partly cumulatively upon a shorter sentence for a Commonwealth offence; </w:t>
      </w:r>
      <w:r w:rsidRPr="007809F4">
        <w:rPr>
          <w:rStyle w:val="ssleftalign"/>
          <w:rFonts w:asciiTheme="minorHAnsi" w:hAnsiTheme="minorHAnsi" w:cstheme="minorHAnsi"/>
        </w:rPr>
        <w:t xml:space="preserve">the judge did so because </w:t>
      </w:r>
      <w:r w:rsidRPr="00EB7F1E">
        <w:rPr>
          <w:rStyle w:val="ssleftalign"/>
          <w:rFonts w:asciiTheme="minorHAnsi" w:hAnsiTheme="minorHAnsi" w:cstheme="minorHAnsi"/>
        </w:rPr>
        <w:t>otherwise the Commonwealth sentence would have been subsumed by the State sentence</w:t>
      </w:r>
      <w:r w:rsidRPr="007809F4">
        <w:rPr>
          <w:rStyle w:val="ssleftalign"/>
          <w:rFonts w:asciiTheme="minorHAnsi" w:hAnsiTheme="minorHAnsi" w:cstheme="minorHAnsi"/>
        </w:rPr>
        <w:t xml:space="preserve"> and would have failed to reflect the additional criminality</w:t>
      </w:r>
      <w:r w:rsidRPr="00EB7F1E">
        <w:rPr>
          <w:rStyle w:val="ssleftalign"/>
          <w:rFonts w:asciiTheme="minorHAnsi" w:hAnsiTheme="minorHAnsi" w:cstheme="minorHAnsi"/>
        </w:rPr>
        <w:t xml:space="preserve">. The NSW CCA </w:t>
      </w:r>
      <w:r w:rsidRPr="007809F4">
        <w:rPr>
          <w:rStyle w:val="ssleftalign"/>
          <w:rFonts w:asciiTheme="minorHAnsi" w:hAnsiTheme="minorHAnsi" w:cstheme="minorHAnsi"/>
        </w:rPr>
        <w:t xml:space="preserve">(at [75]) </w:t>
      </w:r>
      <w:r w:rsidRPr="00EB7F1E">
        <w:rPr>
          <w:rStyle w:val="ssleftalign"/>
          <w:rFonts w:asciiTheme="minorHAnsi" w:hAnsiTheme="minorHAnsi" w:cstheme="minorHAnsi"/>
        </w:rPr>
        <w:t xml:space="preserve">described this course as </w:t>
      </w:r>
      <w:r w:rsidRPr="007809F4">
        <w:rPr>
          <w:rStyle w:val="ssleftalign"/>
          <w:rFonts w:asciiTheme="minorHAnsi" w:hAnsiTheme="minorHAnsi" w:cstheme="minorHAnsi"/>
        </w:rPr>
        <w:t>“</w:t>
      </w:r>
      <w:r w:rsidRPr="00EB7F1E">
        <w:rPr>
          <w:rStyle w:val="ssleftalign"/>
          <w:rFonts w:asciiTheme="minorHAnsi" w:hAnsiTheme="minorHAnsi" w:cstheme="minorHAnsi"/>
          <w:i/>
          <w:iCs/>
        </w:rPr>
        <w:t>a principled and appropriate response to the difficult task of sentencing an offender in respect of Commonwealth and State offences.</w:t>
      </w:r>
      <w:r w:rsidRPr="007809F4">
        <w:rPr>
          <w:rStyle w:val="ssleftalign"/>
          <w:rFonts w:asciiTheme="minorHAnsi" w:hAnsiTheme="minorHAnsi" w:cstheme="minorHAnsi"/>
        </w:rPr>
        <w:t>”</w:t>
      </w:r>
      <w:r w:rsidRPr="00EB7F1E">
        <w:rPr>
          <w:rStyle w:val="ssleftalign"/>
          <w:rFonts w:asciiTheme="minorHAnsi" w:hAnsiTheme="minorHAnsi" w:cstheme="minorHAnsi"/>
        </w:rPr>
        <w:t xml:space="preserve">  </w:t>
      </w:r>
      <w:r w:rsidRPr="007809F4">
        <w:rPr>
          <w:rStyle w:val="ssleftalign"/>
          <w:rFonts w:asciiTheme="minorHAnsi" w:hAnsiTheme="minorHAnsi" w:cstheme="minorHAnsi"/>
        </w:rPr>
        <w:t>In that case, cumulation of the State sentence upon the Commonwealth sentence could be effectively achieved by backdating the commencement of the Commonwealth and State sentences to different dates.</w:t>
      </w:r>
    </w:p>
  </w:footnote>
  <w:footnote w:id="764">
    <w:p w14:paraId="3F9B0FB6" w14:textId="381E429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That is, the sentence upon which other sentences of imprisonment are to be served wholly or partly cumulatively, or by reference to which other sentences of imprisonment are to be served concurrently.  At least in Victoria, whenever more than one sentence of imprisonment is imposed, there must be a base sentence: </w:t>
      </w:r>
      <w:r w:rsidRPr="007809F4">
        <w:rPr>
          <w:rFonts w:asciiTheme="minorHAnsi" w:hAnsiTheme="minorHAnsi" w:cstheme="minorHAnsi"/>
          <w:i/>
        </w:rPr>
        <w:t xml:space="preserve">R v Nikodjevic </w:t>
      </w:r>
      <w:r w:rsidRPr="007809F4">
        <w:rPr>
          <w:rFonts w:asciiTheme="minorHAnsi" w:hAnsiTheme="minorHAnsi" w:cstheme="minorHAnsi"/>
        </w:rPr>
        <w:t>[2004] VSCA 222</w:t>
      </w:r>
      <w:r w:rsidRPr="00EB7F1E">
        <w:rPr>
          <w:rFonts w:asciiTheme="minorHAnsi" w:hAnsiTheme="minorHAnsi" w:cstheme="minorHAnsi"/>
        </w:rPr>
        <w:fldChar w:fldCharType="begin"/>
      </w:r>
      <w:r w:rsidRPr="00EB7F1E">
        <w:rPr>
          <w:rFonts w:asciiTheme="minorHAnsi" w:hAnsiTheme="minorHAnsi" w:cstheme="minorHAnsi"/>
        </w:rPr>
        <w:instrText xml:space="preserve"> TA \s "R v Nikodjevic [2004] VSCA 222" </w:instrText>
      </w:r>
      <w:r w:rsidRPr="00EB7F1E">
        <w:rPr>
          <w:rFonts w:asciiTheme="minorHAnsi" w:hAnsiTheme="minorHAnsi" w:cstheme="minorHAnsi"/>
        </w:rPr>
        <w:fldChar w:fldCharType="end"/>
      </w:r>
      <w:r w:rsidRPr="007809F4">
        <w:rPr>
          <w:rFonts w:asciiTheme="minorHAnsi" w:hAnsiTheme="minorHAnsi" w:cstheme="minorHAnsi"/>
        </w:rPr>
        <w:t xml:space="preserve">, [34]-[39].  A base sentence may also be chosen when sentencing for multiple Commonwealth offences: </w:t>
      </w:r>
      <w:r w:rsidRPr="007809F4">
        <w:rPr>
          <w:rFonts w:asciiTheme="minorHAnsi" w:hAnsiTheme="minorHAnsi" w:cstheme="minorHAnsi"/>
          <w:i/>
        </w:rPr>
        <w:t>DPP v Swingler</w:t>
      </w:r>
      <w:r w:rsidRPr="007809F4">
        <w:rPr>
          <w:rFonts w:asciiTheme="minorHAnsi" w:hAnsiTheme="minorHAnsi" w:cstheme="minorHAnsi"/>
        </w:rPr>
        <w:t xml:space="preserve"> [2017] VSCA 305</w:t>
      </w:r>
      <w:r w:rsidRPr="00EB7F1E">
        <w:rPr>
          <w:rFonts w:asciiTheme="minorHAnsi" w:hAnsiTheme="minorHAnsi" w:cstheme="minorHAnsi"/>
        </w:rPr>
        <w:fldChar w:fldCharType="begin"/>
      </w:r>
      <w:r w:rsidRPr="007809F4">
        <w:rPr>
          <w:rFonts w:asciiTheme="minorHAnsi" w:hAnsiTheme="minorHAnsi" w:cstheme="minorHAnsi"/>
        </w:rPr>
        <w:instrText xml:space="preserve"> TA \s "DPP v Swingler [2017] VSCA 305" </w:instrText>
      </w:r>
      <w:r w:rsidRPr="00EB7F1E">
        <w:rPr>
          <w:rFonts w:asciiTheme="minorHAnsi" w:hAnsiTheme="minorHAnsi" w:cstheme="minorHAnsi"/>
        </w:rPr>
        <w:fldChar w:fldCharType="end"/>
      </w:r>
      <w:r w:rsidRPr="007809F4">
        <w:rPr>
          <w:rFonts w:asciiTheme="minorHAnsi" w:hAnsiTheme="minorHAnsi" w:cstheme="minorHAnsi"/>
        </w:rPr>
        <w:t>, [74].</w:t>
      </w:r>
    </w:p>
  </w:footnote>
  <w:footnote w:id="765">
    <w:p w14:paraId="65C3B4CF" w14:textId="726C09D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Burbridge v R</w:t>
      </w:r>
      <w:r w:rsidRPr="007809F4">
        <w:rPr>
          <w:rFonts w:asciiTheme="minorHAnsi" w:hAnsiTheme="minorHAnsi" w:cstheme="minorHAnsi"/>
        </w:rPr>
        <w:t xml:space="preserve"> [2016] NSWCCA 128</w:t>
      </w:r>
      <w:r w:rsidRPr="00EB7F1E">
        <w:rPr>
          <w:rFonts w:asciiTheme="minorHAnsi" w:hAnsiTheme="minorHAnsi" w:cstheme="minorHAnsi"/>
        </w:rPr>
        <w:fldChar w:fldCharType="begin"/>
      </w:r>
      <w:r w:rsidRPr="007809F4">
        <w:rPr>
          <w:rFonts w:asciiTheme="minorHAnsi" w:hAnsiTheme="minorHAnsi" w:cstheme="minorHAnsi"/>
        </w:rPr>
        <w:instrText xml:space="preserve"> TA \s "Burbridge v R [2016] NSWCCA 128" </w:instrText>
      </w:r>
      <w:r w:rsidRPr="00EB7F1E">
        <w:rPr>
          <w:rFonts w:asciiTheme="minorHAnsi" w:hAnsiTheme="minorHAnsi" w:cstheme="minorHAnsi"/>
        </w:rPr>
        <w:fldChar w:fldCharType="end"/>
      </w:r>
      <w:r w:rsidRPr="007809F4">
        <w:rPr>
          <w:rFonts w:asciiTheme="minorHAnsi" w:hAnsiTheme="minorHAnsi" w:cstheme="minorHAnsi"/>
        </w:rPr>
        <w:t>, [45].</w:t>
      </w:r>
    </w:p>
  </w:footnote>
  <w:footnote w:id="766">
    <w:p w14:paraId="649639AD" w14:textId="16C95826" w:rsidR="00D44BCF" w:rsidRPr="007809F4" w:rsidRDefault="00D44BCF" w:rsidP="007E14D2">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EB7F1E">
        <w:rPr>
          <w:rFonts w:asciiTheme="minorHAnsi" w:hAnsiTheme="minorHAnsi" w:cstheme="minorHAnsi"/>
        </w:rPr>
        <w:instrText xml:space="preserve"> REF _Ref11160368 \r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5.9.1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_Ref11160368 \h </w:instrText>
      </w:r>
      <w:r w:rsidRPr="007809F4">
        <w:rPr>
          <w:rFonts w:asciiTheme="minorHAnsi" w:hAnsiTheme="minorHAnsi" w:cstheme="minorHAnsi"/>
        </w:rPr>
        <w:instrText xml:space="preserve">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mechanism for cumulation or concurrency of sentences on a federal offender: Crimes Act 1914, s 19</w:t>
      </w:r>
      <w:r w:rsidRPr="00EB7F1E">
        <w:rPr>
          <w:rFonts w:asciiTheme="minorHAnsi" w:hAnsiTheme="minorHAnsi" w:cstheme="minorHAnsi"/>
        </w:rPr>
        <w:fldChar w:fldCharType="end"/>
      </w:r>
      <w:r w:rsidRPr="00EB7F1E">
        <w:rPr>
          <w:rFonts w:asciiTheme="minorHAnsi" w:hAnsiTheme="minorHAnsi" w:cstheme="minorHAnsi"/>
        </w:rPr>
        <w:t>”.</w:t>
      </w:r>
    </w:p>
  </w:footnote>
  <w:footnote w:id="767">
    <w:p w14:paraId="340E6C6E" w14:textId="7842089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MDB</w:t>
      </w:r>
      <w:r w:rsidRPr="007809F4">
        <w:rPr>
          <w:rFonts w:asciiTheme="minorHAnsi" w:hAnsiTheme="minorHAnsi" w:cstheme="minorHAnsi"/>
        </w:rPr>
        <w:t xml:space="preserve"> [2003] VSCA 181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MDB</w:instrText>
      </w:r>
      <w:r w:rsidRPr="007809F4">
        <w:rPr>
          <w:rFonts w:asciiTheme="minorHAnsi" w:hAnsiTheme="minorHAnsi" w:cstheme="minorHAnsi"/>
        </w:rPr>
        <w:instrText xml:space="preserve"> [2003] VSCA 181</w:instrText>
      </w:r>
      <w:r w:rsidRPr="00EB7F1E">
        <w:rPr>
          <w:rFonts w:asciiTheme="minorHAnsi" w:hAnsiTheme="minorHAnsi" w:cstheme="minorHAnsi"/>
        </w:rPr>
        <w:instrText xml:space="preserve">" \s "R v MDB [2003] VSCA 181" \c 1 </w:instrText>
      </w:r>
      <w:r w:rsidRPr="00EB7F1E">
        <w:rPr>
          <w:rFonts w:asciiTheme="minorHAnsi" w:hAnsiTheme="minorHAnsi" w:cstheme="minorHAnsi"/>
        </w:rPr>
        <w:fldChar w:fldCharType="end"/>
      </w:r>
      <w:r w:rsidRPr="007809F4">
        <w:rPr>
          <w:rFonts w:asciiTheme="minorHAnsi" w:hAnsiTheme="minorHAnsi" w:cstheme="minorHAnsi"/>
        </w:rPr>
        <w:t>, [14].</w:t>
      </w:r>
    </w:p>
  </w:footnote>
  <w:footnote w:id="768">
    <w:p w14:paraId="20753414" w14:textId="6C128CC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An example is </w:t>
      </w:r>
      <w:r w:rsidRPr="007809F4">
        <w:rPr>
          <w:rFonts w:asciiTheme="minorHAnsi" w:hAnsiTheme="minorHAnsi" w:cstheme="minorHAnsi"/>
          <w:i/>
        </w:rPr>
        <w:t>R v Falconi</w:t>
      </w:r>
      <w:r w:rsidRPr="007809F4">
        <w:rPr>
          <w:rFonts w:asciiTheme="minorHAnsi" w:hAnsiTheme="minorHAnsi" w:cstheme="minorHAnsi"/>
        </w:rPr>
        <w:t xml:space="preserve"> [2014] QCA 230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Falconi</w:instrText>
      </w:r>
      <w:r w:rsidRPr="007809F4">
        <w:rPr>
          <w:rFonts w:asciiTheme="minorHAnsi" w:hAnsiTheme="minorHAnsi" w:cstheme="minorHAnsi"/>
        </w:rPr>
        <w:instrText xml:space="preserve"> [2014] QCA 230</w:instrText>
      </w:r>
      <w:r w:rsidRPr="00EB7F1E">
        <w:rPr>
          <w:rFonts w:asciiTheme="minorHAnsi" w:hAnsiTheme="minorHAnsi" w:cstheme="minorHAnsi"/>
        </w:rPr>
        <w:instrText xml:space="preserve">" \s "R v Falconi [2014] QCA 230" \c 1 </w:instrText>
      </w:r>
      <w:r w:rsidRPr="00EB7F1E">
        <w:rPr>
          <w:rFonts w:asciiTheme="minorHAnsi" w:hAnsiTheme="minorHAnsi" w:cstheme="minorHAnsi"/>
        </w:rPr>
        <w:fldChar w:fldCharType="end"/>
      </w:r>
      <w:r w:rsidRPr="007809F4">
        <w:rPr>
          <w:rFonts w:asciiTheme="minorHAnsi" w:hAnsiTheme="minorHAnsi" w:cstheme="minorHAnsi"/>
        </w:rPr>
        <w:t>, [14], in which, “</w:t>
      </w:r>
      <w:r w:rsidRPr="007809F4">
        <w:rPr>
          <w:rFonts w:asciiTheme="minorHAnsi" w:hAnsiTheme="minorHAnsi" w:cstheme="minorHAnsi"/>
          <w:i/>
        </w:rPr>
        <w:t>after discussing the sentencing requirements under the Crimes Act 1914 (Cth)</w:t>
      </w:r>
      <w:r w:rsidRPr="007809F4">
        <w:rPr>
          <w:rFonts w:asciiTheme="minorHAnsi" w:hAnsiTheme="minorHAnsi" w:cstheme="minorHAnsi"/>
        </w:rPr>
        <w:t>” the sentencing</w:t>
      </w:r>
      <w:r w:rsidRPr="007809F4">
        <w:rPr>
          <w:rStyle w:val="ssleftalign"/>
          <w:rFonts w:asciiTheme="minorHAnsi" w:hAnsiTheme="minorHAnsi" w:cstheme="minorHAnsi"/>
        </w:rPr>
        <w:t xml:space="preserve"> </w:t>
      </w:r>
      <w:r w:rsidRPr="007809F4">
        <w:rPr>
          <w:rFonts w:asciiTheme="minorHAnsi" w:hAnsiTheme="minorHAnsi" w:cstheme="minorHAnsi"/>
        </w:rPr>
        <w:t>judge “</w:t>
      </w:r>
      <w:r w:rsidRPr="007809F4">
        <w:rPr>
          <w:rFonts w:asciiTheme="minorHAnsi" w:hAnsiTheme="minorHAnsi" w:cstheme="minorHAnsi"/>
          <w:i/>
        </w:rPr>
        <w:t>considered it prudent to first sentence the applicant on the Queensland offences and then make the Commonwealth sentence cumulative</w:t>
      </w:r>
      <w:r w:rsidRPr="007809F4">
        <w:rPr>
          <w:rFonts w:asciiTheme="minorHAnsi" w:hAnsiTheme="minorHAnsi" w:cstheme="minorHAnsi"/>
        </w:rPr>
        <w:t>”, even though the sentences for the Commonwealth offences exceeded those for the Queensland offences.  An application by the offender for an extension of time to appeal was refused.</w:t>
      </w:r>
    </w:p>
  </w:footnote>
  <w:footnote w:id="769">
    <w:p w14:paraId="4928283E" w14:textId="7BEC829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O’Brien</w:t>
      </w:r>
      <w:r w:rsidRPr="007809F4">
        <w:rPr>
          <w:rFonts w:asciiTheme="minorHAnsi" w:hAnsiTheme="minorHAnsi" w:cstheme="minorHAnsi"/>
        </w:rPr>
        <w:t xml:space="preserve"> (1991) 57 A Crim R 80</w:t>
      </w:r>
      <w:r w:rsidRPr="00EB7F1E">
        <w:rPr>
          <w:rFonts w:asciiTheme="minorHAnsi" w:hAnsiTheme="minorHAnsi" w:cstheme="minorHAnsi"/>
        </w:rPr>
        <w:fldChar w:fldCharType="begin"/>
      </w:r>
      <w:r w:rsidRPr="007809F4">
        <w:rPr>
          <w:rFonts w:asciiTheme="minorHAnsi" w:hAnsiTheme="minorHAnsi" w:cstheme="minorHAnsi"/>
        </w:rPr>
        <w:instrText xml:space="preserve"> TA \s "R v O’Brien (1991) 57 A Crim R 80" </w:instrText>
      </w:r>
      <w:r w:rsidRPr="00EB7F1E">
        <w:rPr>
          <w:rFonts w:asciiTheme="minorHAnsi" w:hAnsiTheme="minorHAnsi" w:cstheme="minorHAnsi"/>
        </w:rPr>
        <w:fldChar w:fldCharType="end"/>
      </w:r>
      <w:r w:rsidRPr="007809F4">
        <w:rPr>
          <w:rFonts w:asciiTheme="minorHAnsi" w:hAnsiTheme="minorHAnsi" w:cstheme="minorHAnsi"/>
        </w:rPr>
        <w:t>, 96.</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70">
    <w:p w14:paraId="005673CE" w14:textId="4D18268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Sentencing Act 1991</w:t>
      </w:r>
      <w:r w:rsidRPr="007809F4">
        <w:rPr>
          <w:rFonts w:asciiTheme="minorHAnsi" w:hAnsiTheme="minorHAnsi" w:cstheme="minorHAnsi"/>
        </w:rPr>
        <w:t xml:space="preserve"> (Vic), s 6E; see </w:t>
      </w:r>
      <w:r w:rsidRPr="007809F4">
        <w:rPr>
          <w:rFonts w:asciiTheme="minorHAnsi" w:hAnsiTheme="minorHAnsi" w:cstheme="minorHAnsi"/>
          <w:i/>
        </w:rPr>
        <w:t>DPP v Morris</w:t>
      </w:r>
      <w:r w:rsidRPr="007809F4">
        <w:rPr>
          <w:rFonts w:asciiTheme="minorHAnsi" w:hAnsiTheme="minorHAnsi" w:cstheme="minorHAnsi"/>
        </w:rPr>
        <w:t xml:space="preserve"> [2015] VSCA 155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Morris</w:instrText>
      </w:r>
      <w:r w:rsidRPr="007809F4">
        <w:rPr>
          <w:rFonts w:asciiTheme="minorHAnsi" w:hAnsiTheme="minorHAnsi" w:cstheme="minorHAnsi"/>
        </w:rPr>
        <w:instrText xml:space="preserve"> [2015] VSCA 155</w:instrText>
      </w:r>
      <w:r w:rsidRPr="00EB7F1E">
        <w:rPr>
          <w:rFonts w:asciiTheme="minorHAnsi" w:hAnsiTheme="minorHAnsi" w:cstheme="minorHAnsi"/>
        </w:rPr>
        <w:instrText xml:space="preserve">" \s "DPP v Morris [2015] VSCA 155" \c 1 </w:instrText>
      </w:r>
      <w:r w:rsidRPr="00EB7F1E">
        <w:rPr>
          <w:rFonts w:asciiTheme="minorHAnsi" w:hAnsiTheme="minorHAnsi" w:cstheme="minorHAnsi"/>
        </w:rPr>
        <w:fldChar w:fldCharType="end"/>
      </w:r>
      <w:r w:rsidRPr="007809F4">
        <w:rPr>
          <w:rFonts w:asciiTheme="minorHAnsi" w:hAnsiTheme="minorHAnsi" w:cstheme="minorHAnsi"/>
        </w:rPr>
        <w:t>, [68]-[69].</w:t>
      </w:r>
      <w:r w:rsidRPr="007809F4">
        <w:rPr>
          <w:rStyle w:val="ssleftalign"/>
          <w:rFonts w:asciiTheme="minorHAnsi" w:hAnsiTheme="minorHAnsi" w:cstheme="minorHAnsi"/>
        </w:rPr>
        <w:t xml:space="preserve">  </w:t>
      </w:r>
      <w:r w:rsidRPr="007809F4">
        <w:rPr>
          <w:rFonts w:asciiTheme="minorHAnsi" w:hAnsiTheme="minorHAnsi" w:cstheme="minorHAnsi"/>
        </w:rPr>
        <w:t>That section</w:t>
      </w:r>
      <w:r w:rsidRPr="007809F4">
        <w:rPr>
          <w:rStyle w:val="ssleftalign"/>
          <w:rFonts w:asciiTheme="minorHAnsi" w:hAnsiTheme="minorHAnsi" w:cstheme="minorHAnsi"/>
        </w:rPr>
        <w:t xml:space="preserve"> </w:t>
      </w:r>
      <w:r w:rsidRPr="007809F4">
        <w:rPr>
          <w:rFonts w:asciiTheme="minorHAnsi" w:hAnsiTheme="minorHAnsi" w:cstheme="minorHAnsi"/>
        </w:rPr>
        <w:t>provides for presumptive cumulation of sentences and consequent modification of the totality principle for certain “serious offenders”.  The provision would apply if a State sentence for a “relevant offence” is imposed cumulatively on a Commonwealth sentence for another “relevant offence” (which, pursuant to the definitions in s 6B of the Act, includes a number of specified Commonwealth offences) in the same class which is imposed at the same time.  However the State law could not operate to require that any Commonwealth sentence be presumptively cumulative upon a State sentence or to modify the operation of the principle of totality in relation to sentencing for the Commonwealth offence.</w:t>
      </w:r>
    </w:p>
  </w:footnote>
  <w:footnote w:id="771">
    <w:p w14:paraId="28389DBA" w14:textId="3466937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Barbat v R</w:t>
      </w:r>
      <w:r w:rsidRPr="007809F4">
        <w:rPr>
          <w:rFonts w:asciiTheme="minorHAnsi" w:hAnsiTheme="minorHAnsi" w:cstheme="minorHAnsi"/>
        </w:rPr>
        <w:t xml:space="preserve"> [2014] VSCA 202</w:t>
      </w:r>
      <w:r w:rsidRPr="00EB7F1E">
        <w:rPr>
          <w:rFonts w:asciiTheme="minorHAnsi" w:hAnsiTheme="minorHAnsi" w:cstheme="minorHAnsi"/>
        </w:rPr>
        <w:fldChar w:fldCharType="begin"/>
      </w:r>
      <w:r w:rsidRPr="007809F4">
        <w:rPr>
          <w:rFonts w:asciiTheme="minorHAnsi" w:hAnsiTheme="minorHAnsi" w:cstheme="minorHAnsi"/>
        </w:rPr>
        <w:instrText xml:space="preserve"> TA \s "Barbat v R [2014] VSCA 202" </w:instrText>
      </w:r>
      <w:r w:rsidRPr="00EB7F1E">
        <w:rPr>
          <w:rFonts w:asciiTheme="minorHAnsi" w:hAnsiTheme="minorHAnsi" w:cstheme="minorHAnsi"/>
        </w:rPr>
        <w:fldChar w:fldCharType="end"/>
      </w:r>
      <w:r w:rsidRPr="007809F4">
        <w:rPr>
          <w:rFonts w:asciiTheme="minorHAnsi" w:hAnsiTheme="minorHAnsi" w:cstheme="minorHAnsi"/>
        </w:rPr>
        <w:t xml:space="preserve"> as to the effect of the choice of base sentence on the operation of s 6E.</w:t>
      </w:r>
      <w:r w:rsidRPr="00EB7F1E">
        <w:rPr>
          <w:rFonts w:asciiTheme="minorHAnsi" w:hAnsiTheme="minorHAnsi" w:cstheme="minorHAnsi"/>
        </w:rPr>
        <w:fldChar w:fldCharType="begin"/>
      </w:r>
      <w:r w:rsidRPr="007809F4">
        <w:rPr>
          <w:rFonts w:asciiTheme="minorHAnsi" w:hAnsiTheme="minorHAnsi" w:cstheme="minorHAnsi"/>
        </w:rPr>
        <w:instrText xml:space="preserve">  "R v DS (2005) 153 A Crim R 194" </w:instrText>
      </w:r>
      <w:r w:rsidRPr="00EB7F1E">
        <w:rPr>
          <w:rFonts w:asciiTheme="minorHAnsi" w:hAnsiTheme="minorHAnsi" w:cstheme="minorHAnsi"/>
        </w:rPr>
        <w:fldChar w:fldCharType="end"/>
      </w:r>
    </w:p>
  </w:footnote>
  <w:footnote w:id="772">
    <w:p w14:paraId="1ABE37E9" w14:textId="3B5B243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[21]-[22], [52].</w:t>
      </w:r>
    </w:p>
  </w:footnote>
  <w:footnote w:id="773">
    <w:p w14:paraId="65CCFD35" w14:textId="13FC765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The relevant offences include offences relating to terrorism, treason and espionage: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three-quarters rule in fixing a NPP for certain national security offences</w:t>
      </w:r>
      <w:r w:rsidRPr="00EB7F1E">
        <w:rPr>
          <w:rFonts w:asciiTheme="minorHAnsi" w:hAnsiTheme="minorHAnsi" w:cstheme="minorHAnsi"/>
        </w:rPr>
        <w:fldChar w:fldCharType="end"/>
      </w:r>
      <w:r w:rsidRPr="007809F4">
        <w:rPr>
          <w:rFonts w:asciiTheme="minorHAnsi" w:hAnsiTheme="minorHAnsi" w:cstheme="minorHAnsi"/>
        </w:rPr>
        <w:t>”.</w:t>
      </w:r>
    </w:p>
  </w:footnote>
  <w:footnote w:id="774">
    <w:p w14:paraId="041AD0A5" w14:textId="1175F8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_Ref492551931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8.1.2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_Ref492551931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Mandatory imprisonment for certain people-smuggling offences</w:t>
      </w:r>
      <w:r w:rsidRPr="00EB7F1E">
        <w:rPr>
          <w:rFonts w:asciiTheme="minorHAnsi" w:hAnsiTheme="minorHAnsi" w:cstheme="minorHAnsi"/>
        </w:rPr>
        <w:fldChar w:fldCharType="end"/>
      </w:r>
      <w:r w:rsidRPr="007809F4">
        <w:rPr>
          <w:rFonts w:asciiTheme="minorHAnsi" w:hAnsiTheme="minorHAnsi" w:cstheme="minorHAnsi"/>
        </w:rPr>
        <w:t>”.</w:t>
      </w:r>
    </w:p>
  </w:footnote>
  <w:footnote w:id="775">
    <w:p w14:paraId="4AA19730" w14:textId="75C9A8C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The existence of a rule that for certain national security offences a sentencing court must fix a non-parole period (NPP) of at least three-quarters of the head sentence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three-quarters rule in fixing a NPP for certain national security offences</w:t>
      </w:r>
      <w:r w:rsidRPr="00EB7F1E">
        <w:rPr>
          <w:rFonts w:asciiTheme="minorHAnsi" w:hAnsiTheme="minorHAnsi" w:cstheme="minorHAnsi"/>
        </w:rPr>
        <w:fldChar w:fldCharType="end"/>
      </w:r>
      <w:r w:rsidRPr="007809F4">
        <w:rPr>
          <w:rFonts w:asciiTheme="minorHAnsi" w:hAnsiTheme="minorHAnsi" w:cstheme="minorHAnsi"/>
        </w:rPr>
        <w:t xml:space="preserve">”) does not impose any implicit limit on the ratio between the head sentence and the NPP in sentencing for any other offences: </w:t>
      </w:r>
      <w:r w:rsidRPr="00EB7F1E">
        <w:rPr>
          <w:rFonts w:asciiTheme="minorHAnsi" w:hAnsiTheme="minorHAnsi" w:cstheme="minorHAnsi"/>
          <w:i/>
        </w:rPr>
        <w:t>Stipkovich v R</w:t>
      </w:r>
      <w:r w:rsidRPr="00EB7F1E">
        <w:rPr>
          <w:rFonts w:asciiTheme="minorHAnsi" w:hAnsiTheme="minorHAnsi" w:cstheme="minorHAnsi"/>
        </w:rPr>
        <w:t xml:space="preserve"> [2018] WASCA 63</w:t>
      </w:r>
      <w:r w:rsidRPr="00EB7F1E">
        <w:rPr>
          <w:rFonts w:asciiTheme="minorHAnsi" w:hAnsiTheme="minorHAnsi" w:cstheme="minorHAnsi"/>
        </w:rPr>
        <w:fldChar w:fldCharType="begin"/>
      </w:r>
      <w:r w:rsidRPr="007809F4">
        <w:rPr>
          <w:rFonts w:asciiTheme="minorHAnsi" w:hAnsiTheme="minorHAnsi" w:cstheme="minorHAnsi"/>
        </w:rPr>
        <w:instrText xml:space="preserve"> TA \s "Stipkovich v R [2018] WASCA 63" </w:instrText>
      </w:r>
      <w:r w:rsidRPr="00EB7F1E">
        <w:rPr>
          <w:rFonts w:asciiTheme="minorHAnsi" w:hAnsiTheme="minorHAnsi" w:cstheme="minorHAnsi"/>
        </w:rPr>
        <w:fldChar w:fldCharType="end"/>
      </w:r>
      <w:r w:rsidRPr="007809F4">
        <w:rPr>
          <w:rFonts w:asciiTheme="minorHAnsi" w:hAnsiTheme="minorHAnsi" w:cstheme="minorHAnsi"/>
        </w:rPr>
        <w:t xml:space="preserve">, [36]-[37] (disapproving dicta in </w:t>
      </w:r>
      <w:r w:rsidRPr="00EB7F1E">
        <w:rPr>
          <w:rFonts w:asciiTheme="minorHAnsi" w:hAnsiTheme="minorHAnsi" w:cstheme="minorHAnsi"/>
          <w:i/>
        </w:rPr>
        <w:t>Lam v R</w:t>
      </w:r>
      <w:r w:rsidRPr="007809F4">
        <w:rPr>
          <w:rFonts w:asciiTheme="minorHAnsi" w:hAnsiTheme="minorHAnsi" w:cstheme="minorHAnsi"/>
        </w:rPr>
        <w:t xml:space="preserve"> [2014] WASCA 114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Lam v R</w:instrText>
      </w:r>
      <w:r w:rsidRPr="007809F4">
        <w:rPr>
          <w:rFonts w:asciiTheme="minorHAnsi" w:hAnsiTheme="minorHAnsi" w:cstheme="minorHAnsi"/>
        </w:rPr>
        <w:instrText xml:space="preserve"> [2014] WASCA 114</w:instrText>
      </w:r>
      <w:r w:rsidRPr="00EB7F1E">
        <w:rPr>
          <w:rFonts w:asciiTheme="minorHAnsi" w:hAnsiTheme="minorHAnsi" w:cstheme="minorHAnsi"/>
        </w:rPr>
        <w:instrText xml:space="preserve">" \s "Lam v R [2014] WASCA 114" \c 1 </w:instrText>
      </w:r>
      <w:r w:rsidRPr="00EB7F1E">
        <w:rPr>
          <w:rFonts w:asciiTheme="minorHAnsi" w:hAnsiTheme="minorHAnsi" w:cstheme="minorHAnsi"/>
        </w:rPr>
        <w:fldChar w:fldCharType="end"/>
      </w:r>
      <w:r w:rsidRPr="007809F4">
        <w:rPr>
          <w:rFonts w:asciiTheme="minorHAnsi" w:hAnsiTheme="minorHAnsi" w:cstheme="minorHAnsi"/>
        </w:rPr>
        <w:t>, [56]).</w:t>
      </w:r>
    </w:p>
  </w:footnote>
  <w:footnote w:id="776">
    <w:p w14:paraId="2AAB433B" w14:textId="545D837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[23]-[25], [40].</w:t>
      </w:r>
    </w:p>
  </w:footnote>
  <w:footnote w:id="777">
    <w:p w14:paraId="4898D1BE" w14:textId="7E115CC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Bugmy v R</w:t>
      </w:r>
      <w:r w:rsidRPr="007809F4">
        <w:rPr>
          <w:rFonts w:asciiTheme="minorHAnsi" w:hAnsiTheme="minorHAnsi" w:cstheme="minorHAnsi"/>
        </w:rPr>
        <w:t xml:space="preserve"> (1990) 169 CLR 525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Bugmy v R</w:instrText>
      </w:r>
      <w:r w:rsidRPr="007809F4">
        <w:rPr>
          <w:rFonts w:asciiTheme="minorHAnsi" w:hAnsiTheme="minorHAnsi" w:cstheme="minorHAnsi"/>
        </w:rPr>
        <w:instrText xml:space="preserve"> (1990) 169 CLR 525" \s "Bugmy v R (1990) 169 CLR 525" \c 1 </w:instrText>
      </w:r>
      <w:r w:rsidRPr="00EB7F1E">
        <w:rPr>
          <w:rFonts w:asciiTheme="minorHAnsi" w:hAnsiTheme="minorHAnsi" w:cstheme="minorHAnsi"/>
        </w:rPr>
        <w:fldChar w:fldCharType="end"/>
      </w:r>
      <w:r w:rsidRPr="007809F4">
        <w:rPr>
          <w:rFonts w:asciiTheme="minorHAnsi" w:hAnsiTheme="minorHAnsi" w:cstheme="minorHAnsi"/>
        </w:rPr>
        <w:t xml:space="preserve">, 531; </w:t>
      </w:r>
      <w:r w:rsidRPr="007809F4">
        <w:rPr>
          <w:rFonts w:asciiTheme="minorHAnsi" w:hAnsiTheme="minorHAnsi" w:cstheme="minorHAnsi"/>
          <w:i/>
        </w:rPr>
        <w:t xml:space="preserve">R v Ruha; ex parte DPP (Cth) </w:t>
      </w:r>
      <w:r w:rsidRPr="007809F4">
        <w:rPr>
          <w:rFonts w:asciiTheme="minorHAnsi" w:hAnsiTheme="minorHAnsi" w:cstheme="minorHAnsi"/>
        </w:rPr>
        <w:t>[2011] 2 Qd R 456</w:t>
      </w:r>
      <w:r w:rsidRPr="00EB7F1E">
        <w:rPr>
          <w:rFonts w:asciiTheme="minorHAnsi" w:hAnsiTheme="minorHAnsi" w:cstheme="minorHAnsi"/>
        </w:rPr>
        <w:fldChar w:fldCharType="begin"/>
      </w:r>
      <w:r w:rsidRPr="007809F4">
        <w:rPr>
          <w:rFonts w:asciiTheme="minorHAnsi" w:hAnsiTheme="minorHAnsi" w:cstheme="minorHAnsi"/>
        </w:rPr>
        <w:instrText xml:space="preserve"> TA \s "R v Ruha; ex parte DPP (Cth) [2011] 2 Qd R 456" </w:instrText>
      </w:r>
      <w:r w:rsidRPr="00EB7F1E">
        <w:rPr>
          <w:rFonts w:asciiTheme="minorHAnsi" w:hAnsiTheme="minorHAnsi" w:cstheme="minorHAnsi"/>
        </w:rPr>
        <w:fldChar w:fldCharType="end"/>
      </w:r>
      <w:r w:rsidRPr="007809F4">
        <w:rPr>
          <w:rFonts w:asciiTheme="minorHAnsi" w:hAnsiTheme="minorHAnsi" w:cstheme="minorHAnsi"/>
        </w:rPr>
        <w:t xml:space="preserve">, [46]; </w:t>
      </w:r>
      <w:r w:rsidRPr="00EB7F1E">
        <w:rPr>
          <w:rFonts w:asciiTheme="minorHAnsi" w:hAnsiTheme="minorHAnsi" w:cstheme="minorHAnsi"/>
          <w:i/>
        </w:rPr>
        <w:t>De Faria v Western Australia</w:t>
      </w:r>
      <w:r w:rsidRPr="00EB7F1E">
        <w:rPr>
          <w:rFonts w:asciiTheme="minorHAnsi" w:hAnsiTheme="minorHAnsi" w:cstheme="minorHAnsi"/>
        </w:rPr>
        <w:t xml:space="preserve"> [2013] WASCA 116</w:t>
      </w:r>
      <w:r w:rsidRPr="00EB7F1E">
        <w:rPr>
          <w:rFonts w:asciiTheme="minorHAnsi" w:hAnsiTheme="minorHAnsi" w:cstheme="minorHAnsi"/>
        </w:rPr>
        <w:fldChar w:fldCharType="begin"/>
      </w:r>
      <w:r w:rsidRPr="007809F4">
        <w:rPr>
          <w:rFonts w:asciiTheme="minorHAnsi" w:hAnsiTheme="minorHAnsi" w:cstheme="minorHAnsi"/>
        </w:rPr>
        <w:instrText xml:space="preserve"> TA \s "De Faria v Western Australia [2013] WASCA 116" </w:instrText>
      </w:r>
      <w:r w:rsidRPr="00EB7F1E">
        <w:rPr>
          <w:rFonts w:asciiTheme="minorHAnsi" w:hAnsiTheme="minorHAnsi" w:cstheme="minorHAnsi"/>
        </w:rPr>
        <w:fldChar w:fldCharType="end"/>
      </w:r>
      <w:r w:rsidRPr="007809F4">
        <w:rPr>
          <w:rFonts w:asciiTheme="minorHAnsi" w:hAnsiTheme="minorHAnsi" w:cstheme="minorHAnsi"/>
        </w:rPr>
        <w:t>, [58]-[59].</w:t>
      </w:r>
    </w:p>
  </w:footnote>
  <w:footnote w:id="778">
    <w:p w14:paraId="714DA603" w14:textId="7B21051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[12]-[13], [25], [36]-[45].</w:t>
      </w:r>
    </w:p>
  </w:footnote>
  <w:footnote w:id="779">
    <w:p w14:paraId="67EB0E74" w14:textId="1A6AF18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Jones v R</w:t>
      </w:r>
      <w:r w:rsidRPr="007809F4">
        <w:rPr>
          <w:rFonts w:asciiTheme="minorHAnsi" w:hAnsiTheme="minorHAnsi" w:cstheme="minorHAnsi"/>
        </w:rPr>
        <w:t xml:space="preserve"> [2010] NSWCCA 108, [39].</w:t>
      </w:r>
    </w:p>
  </w:footnote>
  <w:footnote w:id="780">
    <w:p w14:paraId="6D893096" w14:textId="3D44FA8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xml:space="preserve">, [12]-[13], [36]-[45].  Similar observations to those made by the NSW CCA in </w:t>
      </w:r>
      <w:r w:rsidRPr="007809F4">
        <w:rPr>
          <w:rFonts w:asciiTheme="minorHAnsi" w:hAnsiTheme="minorHAnsi" w:cstheme="minorHAnsi"/>
          <w:i/>
        </w:rPr>
        <w:t>Jones</w:t>
      </w:r>
      <w:r w:rsidRPr="007809F4">
        <w:rPr>
          <w:rFonts w:asciiTheme="minorHAnsi" w:hAnsiTheme="minorHAnsi" w:cstheme="minorHAnsi"/>
        </w:rPr>
        <w:t xml:space="preserve"> must also be regarded as wrong in light of the decision in </w:t>
      </w:r>
      <w:r w:rsidRPr="007809F4">
        <w:rPr>
          <w:rFonts w:asciiTheme="minorHAnsi" w:hAnsiTheme="minorHAnsi" w:cstheme="minorHAnsi"/>
          <w:i/>
        </w:rPr>
        <w:t>Hili</w:t>
      </w:r>
      <w:r w:rsidRPr="007809F4">
        <w:rPr>
          <w:rFonts w:asciiTheme="minorHAnsi" w:hAnsiTheme="minorHAnsi" w:cstheme="minorHAnsi"/>
        </w:rPr>
        <w:t xml:space="preserve">; they include </w:t>
      </w:r>
      <w:r w:rsidRPr="007809F4">
        <w:rPr>
          <w:rFonts w:asciiTheme="minorHAnsi" w:hAnsiTheme="minorHAnsi" w:cstheme="minorHAnsi"/>
          <w:i/>
        </w:rPr>
        <w:t>R v CAK and CAL; ex parte Cth DPP</w:t>
      </w:r>
      <w:r w:rsidRPr="007809F4">
        <w:rPr>
          <w:rFonts w:asciiTheme="minorHAnsi" w:hAnsiTheme="minorHAnsi" w:cstheme="minorHAnsi"/>
        </w:rPr>
        <w:t xml:space="preserve"> [2009] QCA 23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CAK and CAL; ex parte Cth DPP</w:instrText>
      </w:r>
      <w:r w:rsidRPr="007809F4">
        <w:rPr>
          <w:rFonts w:asciiTheme="minorHAnsi" w:hAnsiTheme="minorHAnsi" w:cstheme="minorHAnsi"/>
        </w:rPr>
        <w:instrText xml:space="preserve"> [2009] QCA 23</w:instrText>
      </w:r>
      <w:r w:rsidRPr="00EB7F1E">
        <w:rPr>
          <w:rFonts w:asciiTheme="minorHAnsi" w:hAnsiTheme="minorHAnsi" w:cstheme="minorHAnsi"/>
        </w:rPr>
        <w:instrText xml:space="preserve">" \s "R v CAK and CAL; ex parte Cth DPP [2009] QCA 23" \c 1 </w:instrText>
      </w:r>
      <w:r w:rsidRPr="00EB7F1E">
        <w:rPr>
          <w:rFonts w:asciiTheme="minorHAnsi" w:hAnsiTheme="minorHAnsi" w:cstheme="minorHAnsi"/>
        </w:rPr>
        <w:fldChar w:fldCharType="end"/>
      </w:r>
      <w:r w:rsidRPr="007809F4">
        <w:rPr>
          <w:rFonts w:asciiTheme="minorHAnsi" w:hAnsiTheme="minorHAnsi" w:cstheme="minorHAnsi"/>
        </w:rPr>
        <w:t xml:space="preserve">, [18]; </w:t>
      </w:r>
      <w:r w:rsidRPr="007809F4">
        <w:rPr>
          <w:rFonts w:asciiTheme="minorHAnsi" w:hAnsiTheme="minorHAnsi" w:cstheme="minorHAnsi"/>
          <w:i/>
        </w:rPr>
        <w:t>R v Martinsen</w:t>
      </w:r>
      <w:r w:rsidRPr="007809F4">
        <w:rPr>
          <w:rFonts w:asciiTheme="minorHAnsi" w:hAnsiTheme="minorHAnsi" w:cstheme="minorHAnsi"/>
        </w:rPr>
        <w:t xml:space="preserve"> [2003] NSWCCA 144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Martinsen</w:instrText>
      </w:r>
      <w:r w:rsidRPr="007809F4">
        <w:rPr>
          <w:rFonts w:asciiTheme="minorHAnsi" w:hAnsiTheme="minorHAnsi" w:cstheme="minorHAnsi"/>
        </w:rPr>
        <w:instrText xml:space="preserve"> [2003] NSWCCA 144</w:instrText>
      </w:r>
      <w:r w:rsidRPr="00EB7F1E">
        <w:rPr>
          <w:rFonts w:asciiTheme="minorHAnsi" w:hAnsiTheme="minorHAnsi" w:cstheme="minorHAnsi"/>
        </w:rPr>
        <w:instrText xml:space="preserve">" \s "R v Martinsen [2003] NSWCCA 144" \c 1 </w:instrText>
      </w:r>
      <w:r w:rsidRPr="00EB7F1E">
        <w:rPr>
          <w:rFonts w:asciiTheme="minorHAnsi" w:hAnsiTheme="minorHAnsi" w:cstheme="minorHAnsi"/>
        </w:rPr>
        <w:fldChar w:fldCharType="end"/>
      </w:r>
      <w:r w:rsidRPr="007809F4">
        <w:rPr>
          <w:rFonts w:asciiTheme="minorHAnsi" w:hAnsiTheme="minorHAnsi" w:cstheme="minorHAnsi"/>
        </w:rPr>
        <w:t xml:space="preserve">, [14]; </w:t>
      </w:r>
      <w:r w:rsidRPr="007809F4">
        <w:rPr>
          <w:rFonts w:asciiTheme="minorHAnsi" w:hAnsiTheme="minorHAnsi" w:cstheme="minorHAnsi"/>
          <w:i/>
        </w:rPr>
        <w:t>Ly v R</w:t>
      </w:r>
      <w:r w:rsidRPr="007809F4">
        <w:rPr>
          <w:rFonts w:asciiTheme="minorHAnsi" w:hAnsiTheme="minorHAnsi" w:cstheme="minorHAnsi"/>
        </w:rPr>
        <w:t xml:space="preserve"> [2007] NSWCCA 28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Ly v R</w:instrText>
      </w:r>
      <w:r w:rsidRPr="007809F4">
        <w:rPr>
          <w:rFonts w:asciiTheme="minorHAnsi" w:hAnsiTheme="minorHAnsi" w:cstheme="minorHAnsi"/>
        </w:rPr>
        <w:instrText xml:space="preserve"> [2007] NSWCCA 28</w:instrText>
      </w:r>
      <w:r w:rsidRPr="00EB7F1E">
        <w:rPr>
          <w:rFonts w:asciiTheme="minorHAnsi" w:hAnsiTheme="minorHAnsi" w:cstheme="minorHAnsi"/>
        </w:rPr>
        <w:instrText xml:space="preserve">" \s "Ly v R [2007] NSWCCA 28" \c 1 </w:instrText>
      </w:r>
      <w:r w:rsidRPr="00EB7F1E">
        <w:rPr>
          <w:rFonts w:asciiTheme="minorHAnsi" w:hAnsiTheme="minorHAnsi" w:cstheme="minorHAnsi"/>
        </w:rPr>
        <w:fldChar w:fldCharType="end"/>
      </w:r>
      <w:r w:rsidRPr="007809F4">
        <w:rPr>
          <w:rFonts w:asciiTheme="minorHAnsi" w:hAnsiTheme="minorHAnsi" w:cstheme="minorHAnsi"/>
        </w:rPr>
        <w:t>, [16].  Pre-</w:t>
      </w:r>
      <w:r w:rsidRPr="00EB7F1E">
        <w:rPr>
          <w:rFonts w:asciiTheme="minorHAnsi" w:hAnsiTheme="minorHAnsi" w:cstheme="minorHAnsi"/>
          <w:i/>
        </w:rPr>
        <w:t>Hili</w:t>
      </w:r>
      <w:r w:rsidRPr="007809F4">
        <w:rPr>
          <w:rFonts w:asciiTheme="minorHAnsi" w:hAnsiTheme="minorHAnsi" w:cstheme="minorHAnsi"/>
        </w:rPr>
        <w:t xml:space="preserve"> sentencing decisions in NSW must be treated with caution as comparators in determining the appropriate length of a NPP or RRO period, because they</w:t>
      </w:r>
      <w:r w:rsidRPr="00EB7F1E">
        <w:rPr>
          <w:rFonts w:asciiTheme="minorHAnsi" w:hAnsiTheme="minorHAnsi" w:cstheme="minorHAnsi"/>
        </w:rPr>
        <w:t xml:space="preserve"> may have been affected, to some extent, by the problematic “norm”</w:t>
      </w:r>
      <w:r w:rsidRPr="007809F4">
        <w:rPr>
          <w:rFonts w:asciiTheme="minorHAnsi" w:hAnsiTheme="minorHAnsi" w:cstheme="minorHAnsi"/>
        </w:rPr>
        <w:t xml:space="preserve">: </w:t>
      </w:r>
      <w:r w:rsidRPr="00EB7F1E">
        <w:rPr>
          <w:rFonts w:asciiTheme="minorHAnsi" w:hAnsiTheme="minorHAnsi" w:cstheme="minorHAnsi"/>
          <w:i/>
        </w:rPr>
        <w:t>Aboud v R</w:t>
      </w:r>
      <w:r w:rsidRPr="00EB7F1E">
        <w:rPr>
          <w:rFonts w:asciiTheme="minorHAnsi" w:hAnsiTheme="minorHAnsi" w:cstheme="minorHAnsi"/>
        </w:rPr>
        <w:t xml:space="preserve"> [2017] NSWCCA 140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Aboud v R</w:instrText>
      </w:r>
      <w:r w:rsidRPr="00EB7F1E">
        <w:rPr>
          <w:rFonts w:asciiTheme="minorHAnsi" w:hAnsiTheme="minorHAnsi" w:cstheme="minorHAnsi"/>
        </w:rPr>
        <w:instrText xml:space="preserve"> [2017] NSWCCA 140" \s "Aboud v R [2017] NSWCCA 140" \c 1 </w:instrText>
      </w:r>
      <w:r w:rsidRPr="00EB7F1E">
        <w:rPr>
          <w:rFonts w:asciiTheme="minorHAnsi" w:hAnsiTheme="minorHAnsi" w:cstheme="minorHAnsi"/>
        </w:rPr>
        <w:fldChar w:fldCharType="end"/>
      </w:r>
      <w:r w:rsidRPr="00EB7F1E">
        <w:rPr>
          <w:rFonts w:asciiTheme="minorHAnsi" w:hAnsiTheme="minorHAnsi" w:cstheme="minorHAnsi"/>
        </w:rPr>
        <w:t>, [36]</w:t>
      </w:r>
      <w:r w:rsidRPr="007809F4">
        <w:rPr>
          <w:rFonts w:asciiTheme="minorHAnsi" w:hAnsiTheme="minorHAnsi" w:cstheme="minorHAnsi"/>
        </w:rPr>
        <w:t>.</w:t>
      </w:r>
    </w:p>
  </w:footnote>
  <w:footnote w:id="781">
    <w:p w14:paraId="013238E1" w14:textId="1A4BBAD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[25] (emphasis in original).</w:t>
      </w:r>
    </w:p>
  </w:footnote>
  <w:footnote w:id="782">
    <w:p w14:paraId="45F78032" w14:textId="664B09D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[40].</w:t>
      </w:r>
    </w:p>
  </w:footnote>
  <w:footnote w:id="783">
    <w:p w14:paraId="258F3B10" w14:textId="0C0EACD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Power v R</w:t>
      </w:r>
      <w:r w:rsidRPr="007809F4">
        <w:rPr>
          <w:rFonts w:asciiTheme="minorHAnsi" w:hAnsiTheme="minorHAnsi" w:cstheme="minorHAnsi"/>
        </w:rPr>
        <w:t xml:space="preserve"> (1974) 131 CLR 623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Power v R</w:instrText>
      </w:r>
      <w:r w:rsidRPr="007809F4">
        <w:rPr>
          <w:rFonts w:asciiTheme="minorHAnsi" w:hAnsiTheme="minorHAnsi" w:cstheme="minorHAnsi"/>
        </w:rPr>
        <w:instrText xml:space="preserve"> (1974) 131 CLR 623" \s "Power v R (1974) 131 CLR 623"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"Power v R (1974) 131 CLR 623"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84">
    <w:p w14:paraId="3B76CBE4" w14:textId="6008C7E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Deakin v R</w:t>
      </w:r>
      <w:r w:rsidRPr="007809F4">
        <w:rPr>
          <w:rFonts w:asciiTheme="minorHAnsi" w:hAnsiTheme="minorHAnsi" w:cstheme="minorHAnsi"/>
        </w:rPr>
        <w:t xml:space="preserve"> (1984) 58 ALJR 367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Deakin v R</w:instrText>
      </w:r>
      <w:r w:rsidRPr="007809F4">
        <w:rPr>
          <w:rFonts w:asciiTheme="minorHAnsi" w:hAnsiTheme="minorHAnsi" w:cstheme="minorHAnsi"/>
        </w:rPr>
        <w:instrText xml:space="preserve"> (1984) 58 ALJR 367" \s "Deakin v R (1984) 58 ALJR 367"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85">
    <w:p w14:paraId="1F5F3A2B" w14:textId="731B0D0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Bugmy v R</w:t>
      </w:r>
      <w:r w:rsidRPr="007809F4">
        <w:rPr>
          <w:rFonts w:asciiTheme="minorHAnsi" w:hAnsiTheme="minorHAnsi" w:cstheme="minorHAnsi"/>
        </w:rPr>
        <w:t xml:space="preserve"> (1990) 169 CLR 525.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Bugmy v R</w:instrText>
      </w:r>
      <w:r w:rsidRPr="007809F4">
        <w:rPr>
          <w:rFonts w:asciiTheme="minorHAnsi" w:hAnsiTheme="minorHAnsi" w:cstheme="minorHAnsi"/>
        </w:rPr>
        <w:instrText xml:space="preserve"> (1990) 169 CLR 525" \s "Bugmy v R (1990) 169 CLR 525" \c 1 </w:instrText>
      </w:r>
      <w:r w:rsidRPr="00EB7F1E">
        <w:rPr>
          <w:rFonts w:asciiTheme="minorHAnsi" w:hAnsiTheme="minorHAnsi" w:cstheme="minorHAnsi"/>
        </w:rPr>
        <w:fldChar w:fldCharType="end"/>
      </w:r>
    </w:p>
  </w:footnote>
  <w:footnote w:id="786">
    <w:p w14:paraId="6CA5CBAA" w14:textId="770716C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Power</w:t>
      </w:r>
      <w:r w:rsidRPr="007809F4">
        <w:rPr>
          <w:rFonts w:asciiTheme="minorHAnsi" w:hAnsiTheme="minorHAnsi" w:cstheme="minorHAnsi"/>
        </w:rPr>
        <w:t xml:space="preserve">, </w:t>
      </w:r>
      <w:r w:rsidRPr="007809F4">
        <w:rPr>
          <w:rFonts w:asciiTheme="minorHAnsi" w:hAnsiTheme="minorHAnsi" w:cstheme="minorHAnsi"/>
          <w:i/>
        </w:rPr>
        <w:t>Deakin</w:t>
      </w:r>
      <w:r w:rsidRPr="007809F4">
        <w:rPr>
          <w:rFonts w:asciiTheme="minorHAnsi" w:hAnsiTheme="minorHAnsi" w:cstheme="minorHAnsi"/>
        </w:rPr>
        <w:t xml:space="preserve"> and </w:t>
      </w:r>
      <w:r w:rsidRPr="007809F4">
        <w:rPr>
          <w:rFonts w:asciiTheme="minorHAnsi" w:hAnsiTheme="minorHAnsi" w:cstheme="minorHAnsi"/>
          <w:i/>
        </w:rPr>
        <w:t>Bugmy</w:t>
      </w:r>
      <w:r w:rsidRPr="007809F4">
        <w:rPr>
          <w:rFonts w:asciiTheme="minorHAnsi" w:hAnsiTheme="minorHAnsi" w:cstheme="minorHAnsi"/>
        </w:rPr>
        <w:t xml:space="preserve"> were each concerned with the fixing of a non-parole period, that is, the minimum period to be served before the offender is eligible for release.  However </w:t>
      </w:r>
      <w:r w:rsidRPr="007809F4">
        <w:rPr>
          <w:rFonts w:asciiTheme="minorHAnsi" w:hAnsiTheme="minorHAnsi" w:cstheme="minorHAnsi"/>
          <w:i/>
        </w:rPr>
        <w:t>Hili</w:t>
      </w:r>
      <w:r w:rsidRPr="007809F4">
        <w:rPr>
          <w:rFonts w:asciiTheme="minorHAnsi" w:hAnsiTheme="minorHAnsi" w:cstheme="minorHAnsi"/>
        </w:rPr>
        <w:t xml:space="preserve"> was a case involving a recognizance release order, that is, an order which itself fixed the period to be served.  It is implicit in the judgment of the plurality in </w:t>
      </w:r>
      <w:r w:rsidRPr="007809F4">
        <w:rPr>
          <w:rFonts w:asciiTheme="minorHAnsi" w:hAnsiTheme="minorHAnsi" w:cstheme="minorHAnsi"/>
          <w:i/>
        </w:rPr>
        <w:t>Hili</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xml:space="preserve">, [39]-[44]) that the same central principles apply (with necessary modifications) to the fixing of a period to be served or to a minimum period to be served.  In </w:t>
      </w:r>
      <w:r w:rsidRPr="007809F4">
        <w:rPr>
          <w:rFonts w:asciiTheme="minorHAnsi" w:hAnsiTheme="minorHAnsi" w:cstheme="minorHAnsi"/>
          <w:i/>
        </w:rPr>
        <w:t xml:space="preserve">DPP (Cth) v Haynes </w:t>
      </w:r>
      <w:r w:rsidRPr="007809F4">
        <w:rPr>
          <w:rFonts w:asciiTheme="minorHAnsi" w:hAnsiTheme="minorHAnsi" w:cstheme="minorHAnsi"/>
        </w:rPr>
        <w:t>[2017] VSCA 79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DPP (Cth) v Haynes </w:instrText>
      </w:r>
      <w:r w:rsidRPr="007809F4">
        <w:rPr>
          <w:rFonts w:asciiTheme="minorHAnsi" w:hAnsiTheme="minorHAnsi" w:cstheme="minorHAnsi"/>
        </w:rPr>
        <w:instrText>[2017] VSCA 79</w:instrText>
      </w:r>
      <w:r w:rsidRPr="00EB7F1E">
        <w:rPr>
          <w:rFonts w:asciiTheme="minorHAnsi" w:hAnsiTheme="minorHAnsi" w:cstheme="minorHAnsi"/>
        </w:rPr>
        <w:instrText xml:space="preserve">" \s "DPP (Cth) v Haynes [2017] VSCA 79" \c 1 </w:instrText>
      </w:r>
      <w:r w:rsidRPr="00EB7F1E">
        <w:rPr>
          <w:rFonts w:asciiTheme="minorHAnsi" w:hAnsiTheme="minorHAnsi" w:cstheme="minorHAnsi"/>
        </w:rPr>
        <w:fldChar w:fldCharType="end"/>
      </w:r>
      <w:r w:rsidRPr="007809F4">
        <w:rPr>
          <w:rFonts w:asciiTheme="minorHAnsi" w:hAnsiTheme="minorHAnsi" w:cstheme="minorHAnsi"/>
        </w:rPr>
        <w:t>, [26], referring to the principles applicable to fixing a recognizance release order, the Court said, “</w:t>
      </w:r>
      <w:r w:rsidRPr="007809F4">
        <w:rPr>
          <w:rFonts w:asciiTheme="minorHAnsi" w:hAnsiTheme="minorHAnsi" w:cstheme="minorHAnsi"/>
          <w:i/>
        </w:rPr>
        <w:t>The rationale applicable to the determination of a non-parole period is substantially applicable to the ascertainment of the proportion of the sentence, if any, which should be suspended</w:t>
      </w:r>
      <w:r w:rsidRPr="007809F4">
        <w:rPr>
          <w:rFonts w:asciiTheme="minorHAnsi" w:hAnsiTheme="minorHAnsi" w:cstheme="minorHAnsi"/>
        </w:rPr>
        <w:t xml:space="preserve">”; see also at [65].  Cf. </w:t>
      </w:r>
      <w:r w:rsidRPr="007809F4">
        <w:rPr>
          <w:rFonts w:asciiTheme="minorHAnsi" w:hAnsiTheme="minorHAnsi" w:cstheme="minorHAnsi"/>
          <w:i/>
        </w:rPr>
        <w:t xml:space="preserve">R v Ruha; ex parte DPP (Cth) </w:t>
      </w:r>
      <w:r w:rsidRPr="007809F4">
        <w:rPr>
          <w:rFonts w:asciiTheme="minorHAnsi" w:hAnsiTheme="minorHAnsi" w:cstheme="minorHAnsi"/>
        </w:rPr>
        <w:t>[2011] 2 Qd R 456</w:t>
      </w:r>
      <w:r w:rsidRPr="00EB7F1E">
        <w:rPr>
          <w:rFonts w:asciiTheme="minorHAnsi" w:hAnsiTheme="minorHAnsi" w:cstheme="minorHAnsi"/>
        </w:rPr>
        <w:fldChar w:fldCharType="begin"/>
      </w:r>
      <w:r w:rsidRPr="007809F4">
        <w:rPr>
          <w:rFonts w:asciiTheme="minorHAnsi" w:hAnsiTheme="minorHAnsi" w:cstheme="minorHAnsi"/>
        </w:rPr>
        <w:instrText xml:space="preserve"> TA \s "R v Ruha; ex parte DPP (Cth) [2011] 2 Qd R 456" </w:instrText>
      </w:r>
      <w:r w:rsidRPr="00EB7F1E">
        <w:rPr>
          <w:rFonts w:asciiTheme="minorHAnsi" w:hAnsiTheme="minorHAnsi" w:cstheme="minorHAnsi"/>
        </w:rPr>
        <w:fldChar w:fldCharType="end"/>
      </w:r>
      <w:r w:rsidRPr="007809F4">
        <w:rPr>
          <w:rFonts w:asciiTheme="minorHAnsi" w:hAnsiTheme="minorHAnsi" w:cstheme="minorHAnsi"/>
        </w:rPr>
        <w:t xml:space="preserve">, [46]; </w:t>
      </w:r>
      <w:r w:rsidRPr="007809F4">
        <w:rPr>
          <w:rFonts w:asciiTheme="minorHAnsi" w:hAnsiTheme="minorHAnsi" w:cstheme="minorHAnsi"/>
          <w:i/>
        </w:rPr>
        <w:t>R v Host</w:t>
      </w:r>
      <w:r w:rsidRPr="007809F4">
        <w:rPr>
          <w:rFonts w:asciiTheme="minorHAnsi" w:hAnsiTheme="minorHAnsi" w:cstheme="minorHAnsi"/>
        </w:rPr>
        <w:t xml:space="preserve"> [2015] WASCA 23</w:t>
      </w:r>
      <w:r w:rsidRPr="00EB7F1E">
        <w:rPr>
          <w:rFonts w:asciiTheme="minorHAnsi" w:hAnsiTheme="minorHAnsi" w:cstheme="minorHAnsi"/>
        </w:rPr>
        <w:fldChar w:fldCharType="begin"/>
      </w:r>
      <w:r w:rsidRPr="007809F4">
        <w:rPr>
          <w:rFonts w:asciiTheme="minorHAnsi" w:hAnsiTheme="minorHAnsi" w:cstheme="minorHAnsi"/>
        </w:rPr>
        <w:instrText xml:space="preserve"> TA \s "R v Host [2015] WASCA 23" </w:instrText>
      </w:r>
      <w:r w:rsidRPr="00EB7F1E">
        <w:rPr>
          <w:rFonts w:asciiTheme="minorHAnsi" w:hAnsiTheme="minorHAnsi" w:cstheme="minorHAnsi"/>
        </w:rPr>
        <w:fldChar w:fldCharType="end"/>
      </w:r>
      <w:r w:rsidRPr="007809F4">
        <w:rPr>
          <w:rFonts w:asciiTheme="minorHAnsi" w:hAnsiTheme="minorHAnsi" w:cstheme="minorHAnsi"/>
        </w:rPr>
        <w:t>, [177].</w:t>
      </w:r>
    </w:p>
  </w:footnote>
  <w:footnote w:id="787">
    <w:p w14:paraId="3C228251" w14:textId="6C5A3B6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Kumova v R</w:t>
      </w:r>
      <w:r w:rsidRPr="007809F4">
        <w:rPr>
          <w:rFonts w:asciiTheme="minorHAnsi" w:hAnsiTheme="minorHAnsi" w:cstheme="minorHAnsi"/>
        </w:rPr>
        <w:t xml:space="preserve"> (2012) 37 VR 538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Kumova v R</w:instrText>
      </w:r>
      <w:r w:rsidRPr="007809F4">
        <w:rPr>
          <w:rFonts w:asciiTheme="minorHAnsi" w:hAnsiTheme="minorHAnsi" w:cstheme="minorHAnsi"/>
        </w:rPr>
        <w:instrText xml:space="preserve"> (2012) 37 VR 538</w:instrText>
      </w:r>
      <w:r w:rsidRPr="00EB7F1E">
        <w:rPr>
          <w:rFonts w:asciiTheme="minorHAnsi" w:hAnsiTheme="minorHAnsi" w:cstheme="minorHAnsi"/>
        </w:rPr>
        <w:instrText xml:space="preserve">" \s "Kumova v R (2012) 37 VR 538" \c 1 </w:instrText>
      </w:r>
      <w:r w:rsidRPr="00EB7F1E">
        <w:rPr>
          <w:rFonts w:asciiTheme="minorHAnsi" w:hAnsiTheme="minorHAnsi" w:cstheme="minorHAnsi"/>
        </w:rPr>
        <w:fldChar w:fldCharType="end"/>
      </w:r>
      <w:r w:rsidRPr="007809F4">
        <w:rPr>
          <w:rFonts w:asciiTheme="minorHAnsi" w:hAnsiTheme="minorHAnsi" w:cstheme="minorHAnsi"/>
        </w:rPr>
        <w:t xml:space="preserve">, [27], referring to the principles established by </w:t>
      </w:r>
      <w:r w:rsidRPr="007809F4">
        <w:rPr>
          <w:rFonts w:asciiTheme="minorHAnsi" w:hAnsiTheme="minorHAnsi" w:cstheme="minorHAnsi"/>
          <w:i/>
        </w:rPr>
        <w:t>Power</w:t>
      </w:r>
      <w:r w:rsidRPr="007809F4">
        <w:rPr>
          <w:rFonts w:asciiTheme="minorHAnsi" w:hAnsiTheme="minorHAnsi" w:cstheme="minorHAnsi"/>
        </w:rPr>
        <w:t xml:space="preserve">, </w:t>
      </w:r>
      <w:r w:rsidRPr="007809F4">
        <w:rPr>
          <w:rFonts w:asciiTheme="minorHAnsi" w:hAnsiTheme="minorHAnsi" w:cstheme="minorHAnsi"/>
          <w:i/>
        </w:rPr>
        <w:t>Deakin</w:t>
      </w:r>
      <w:r w:rsidRPr="007809F4">
        <w:rPr>
          <w:rFonts w:asciiTheme="minorHAnsi" w:hAnsiTheme="minorHAnsi" w:cstheme="minorHAnsi"/>
        </w:rPr>
        <w:t xml:space="preserve"> and </w:t>
      </w:r>
      <w:r w:rsidRPr="007809F4">
        <w:rPr>
          <w:rFonts w:asciiTheme="minorHAnsi" w:hAnsiTheme="minorHAnsi" w:cstheme="minorHAnsi"/>
          <w:i/>
        </w:rPr>
        <w:t>Bugmy</w:t>
      </w:r>
      <w:r w:rsidRPr="007809F4">
        <w:rPr>
          <w:rFonts w:asciiTheme="minorHAnsi" w:hAnsiTheme="minorHAnsi" w:cstheme="minorHAnsi"/>
        </w:rPr>
        <w:t xml:space="preserve">.  The fixing of a period or minimum period of imprisonment to be served which is not proportionate to the seriousness of the offending, or which fails to give adequate weight to general deterrence, may constitute an appellable error: e.g. </w:t>
      </w:r>
      <w:r w:rsidRPr="007809F4">
        <w:rPr>
          <w:rFonts w:asciiTheme="minorHAnsi" w:hAnsiTheme="minorHAnsi" w:cstheme="minorHAnsi"/>
          <w:i/>
        </w:rPr>
        <w:t>DPP (Cth) v Page</w:t>
      </w:r>
      <w:r w:rsidRPr="007809F4">
        <w:rPr>
          <w:rFonts w:asciiTheme="minorHAnsi" w:hAnsiTheme="minorHAnsi" w:cstheme="minorHAnsi"/>
        </w:rPr>
        <w:t xml:space="preserve"> [2006] VSCA 224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Page</w:instrText>
      </w:r>
      <w:r w:rsidRPr="007809F4">
        <w:rPr>
          <w:rFonts w:asciiTheme="minorHAnsi" w:hAnsiTheme="minorHAnsi" w:cstheme="minorHAnsi"/>
        </w:rPr>
        <w:instrText xml:space="preserve"> [2006] VSCA 224</w:instrText>
      </w:r>
      <w:r w:rsidRPr="00EB7F1E">
        <w:rPr>
          <w:rFonts w:asciiTheme="minorHAnsi" w:hAnsiTheme="minorHAnsi" w:cstheme="minorHAnsi"/>
        </w:rPr>
        <w:instrText xml:space="preserve">" \s "DPP (Cth) v Page [2006] VSCA 224" \c 1 </w:instrText>
      </w:r>
      <w:r w:rsidRPr="00EB7F1E">
        <w:rPr>
          <w:rFonts w:asciiTheme="minorHAnsi" w:hAnsiTheme="minorHAnsi" w:cstheme="minorHAnsi"/>
        </w:rPr>
        <w:fldChar w:fldCharType="end"/>
      </w:r>
      <w:r w:rsidRPr="007809F4">
        <w:rPr>
          <w:rFonts w:asciiTheme="minorHAnsi" w:hAnsiTheme="minorHAnsi" w:cstheme="minorHAnsi"/>
        </w:rPr>
        <w:t xml:space="preserve">, [53]-[54]; </w:t>
      </w:r>
      <w:r w:rsidRPr="007809F4">
        <w:rPr>
          <w:rFonts w:asciiTheme="minorHAnsi" w:hAnsiTheme="minorHAnsi" w:cstheme="minorHAnsi"/>
          <w:i/>
        </w:rPr>
        <w:t>DPP (Cth) v Coory</w:t>
      </w:r>
      <w:r w:rsidRPr="007809F4">
        <w:rPr>
          <w:rFonts w:asciiTheme="minorHAnsi" w:hAnsiTheme="minorHAnsi" w:cstheme="minorHAnsi"/>
        </w:rPr>
        <w:t xml:space="preserve"> [2011] VSCA 316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Coory</w:instrText>
      </w:r>
      <w:r w:rsidRPr="007809F4">
        <w:rPr>
          <w:rFonts w:asciiTheme="minorHAnsi" w:hAnsiTheme="minorHAnsi" w:cstheme="minorHAnsi"/>
        </w:rPr>
        <w:instrText xml:space="preserve"> [2011] VSCA 316</w:instrText>
      </w:r>
      <w:r w:rsidRPr="00EB7F1E">
        <w:rPr>
          <w:rFonts w:asciiTheme="minorHAnsi" w:hAnsiTheme="minorHAnsi" w:cstheme="minorHAnsi"/>
        </w:rPr>
        <w:instrText xml:space="preserve">" \s "DPP (Cth) v Coory [2011] VSCA 316"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788">
    <w:p w14:paraId="64F785E1" w14:textId="4097B95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Bugmy v R</w:t>
      </w:r>
      <w:r w:rsidRPr="007809F4">
        <w:rPr>
          <w:rFonts w:asciiTheme="minorHAnsi" w:hAnsiTheme="minorHAnsi" w:cstheme="minorHAnsi"/>
        </w:rPr>
        <w:t xml:space="preserve"> (1990) 169 CLR 525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Bugmy v R</w:instrText>
      </w:r>
      <w:r w:rsidRPr="007809F4">
        <w:rPr>
          <w:rFonts w:asciiTheme="minorHAnsi" w:hAnsiTheme="minorHAnsi" w:cstheme="minorHAnsi"/>
        </w:rPr>
        <w:instrText xml:space="preserve"> (1990) 169 CLR 525" \s "Bugmy v R (1990) 169 CLR 525" \c 1 </w:instrText>
      </w:r>
      <w:r w:rsidRPr="00EB7F1E">
        <w:rPr>
          <w:rFonts w:asciiTheme="minorHAnsi" w:hAnsiTheme="minorHAnsi" w:cstheme="minorHAnsi"/>
        </w:rPr>
        <w:fldChar w:fldCharType="end"/>
      </w:r>
      <w:r w:rsidRPr="007809F4">
        <w:rPr>
          <w:rFonts w:asciiTheme="minorHAnsi" w:hAnsiTheme="minorHAnsi" w:cstheme="minorHAnsi"/>
        </w:rPr>
        <w:t xml:space="preserve">, 531; </w:t>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 [255]–[262].</w:t>
      </w:r>
      <w:r w:rsidRPr="00EB7F1E">
        <w:rPr>
          <w:rFonts w:asciiTheme="minorHAnsi" w:hAnsiTheme="minorHAnsi" w:cstheme="minorHAnsi"/>
        </w:rPr>
        <w:fldChar w:fldCharType="begin"/>
      </w:r>
      <w:r w:rsidRPr="007809F4">
        <w:rPr>
          <w:rFonts w:asciiTheme="minorHAnsi" w:hAnsiTheme="minorHAnsi" w:cstheme="minorHAnsi"/>
        </w:rPr>
        <w:instrText xml:space="preserve">  "Lodhi v R (2007) 179 A Crim R 470" </w:instrText>
      </w:r>
      <w:r w:rsidRPr="00EB7F1E">
        <w:rPr>
          <w:rFonts w:asciiTheme="minorHAnsi" w:hAnsiTheme="minorHAnsi" w:cstheme="minorHAnsi"/>
        </w:rPr>
        <w:fldChar w:fldCharType="end"/>
      </w:r>
    </w:p>
  </w:footnote>
  <w:footnote w:id="789">
    <w:p w14:paraId="750CD7F6" w14:textId="17AF173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[48].</w:t>
      </w:r>
    </w:p>
  </w:footnote>
  <w:footnote w:id="790">
    <w:p w14:paraId="08C5FCC5" w14:textId="3319E76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[49].</w:t>
      </w:r>
    </w:p>
  </w:footnote>
  <w:footnote w:id="791">
    <w:p w14:paraId="2E7EC38C" w14:textId="03CE44A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[53].</w:t>
      </w:r>
    </w:p>
  </w:footnote>
  <w:footnote w:id="792">
    <w:p w14:paraId="50208B41" w14:textId="1B2BF73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[54].</w:t>
      </w:r>
    </w:p>
  </w:footnote>
  <w:footnote w:id="793">
    <w:p w14:paraId="0B8B1BB3" w14:textId="67F40AC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[54].  See further “</w:t>
      </w:r>
      <w:r w:rsidRPr="00EB7F1E">
        <w:rPr>
          <w:rFonts w:asciiTheme="minorHAnsi" w:hAnsiTheme="minorHAnsi" w:cstheme="minorHAnsi"/>
        </w:rPr>
        <w:fldChar w:fldCharType="begin"/>
      </w:r>
      <w:r w:rsidRPr="007809F4">
        <w:rPr>
          <w:rFonts w:asciiTheme="minorHAnsi" w:hAnsiTheme="minorHAnsi" w:cstheme="minorHAnsi"/>
        </w:rPr>
        <w:instrText xml:space="preserve"> REF _Ref506885323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_Ref506885323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Reasonable consistency in sentencing</w:t>
      </w:r>
      <w:r w:rsidRPr="00EB7F1E">
        <w:rPr>
          <w:rFonts w:asciiTheme="minorHAnsi" w:hAnsiTheme="minorHAnsi" w:cstheme="minorHAnsi"/>
        </w:rPr>
        <w:fldChar w:fldCharType="end"/>
      </w:r>
      <w:r w:rsidRPr="007809F4">
        <w:rPr>
          <w:rFonts w:asciiTheme="minorHAnsi" w:hAnsiTheme="minorHAnsi" w:cstheme="minorHAnsi"/>
        </w:rPr>
        <w:t>”.</w:t>
      </w:r>
    </w:p>
  </w:footnote>
  <w:footnote w:id="794">
    <w:p w14:paraId="29EF4515" w14:textId="0852EE0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Robertson</w:t>
      </w:r>
      <w:r w:rsidRPr="007809F4">
        <w:rPr>
          <w:rFonts w:asciiTheme="minorHAnsi" w:hAnsiTheme="minorHAnsi" w:cstheme="minorHAnsi"/>
        </w:rPr>
        <w:t xml:space="preserve"> [2008] QCA 164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Robertson</w:instrText>
      </w:r>
      <w:r w:rsidRPr="007809F4">
        <w:rPr>
          <w:rFonts w:asciiTheme="minorHAnsi" w:hAnsiTheme="minorHAnsi" w:cstheme="minorHAnsi"/>
        </w:rPr>
        <w:instrText xml:space="preserve"> [2008] QCA 164</w:instrText>
      </w:r>
      <w:r w:rsidRPr="00EB7F1E">
        <w:rPr>
          <w:rFonts w:asciiTheme="minorHAnsi" w:hAnsiTheme="minorHAnsi" w:cstheme="minorHAnsi"/>
        </w:rPr>
        <w:instrText xml:space="preserve">" \s "R v Robertson [2008] QCA 164" \c 1 </w:instrText>
      </w:r>
      <w:r w:rsidRPr="00EB7F1E">
        <w:rPr>
          <w:rFonts w:asciiTheme="minorHAnsi" w:hAnsiTheme="minorHAnsi" w:cstheme="minorHAnsi"/>
        </w:rPr>
        <w:fldChar w:fldCharType="end"/>
      </w:r>
      <w:r w:rsidRPr="007809F4">
        <w:rPr>
          <w:rFonts w:asciiTheme="minorHAnsi" w:hAnsiTheme="minorHAnsi" w:cstheme="minorHAnsi"/>
        </w:rPr>
        <w:t xml:space="preserve">, [17]-[18], [37]-[42]; </w:t>
      </w:r>
      <w:r w:rsidRPr="007809F4">
        <w:rPr>
          <w:rFonts w:asciiTheme="minorHAnsi" w:hAnsiTheme="minorHAnsi" w:cstheme="minorHAnsi"/>
          <w:i/>
        </w:rPr>
        <w:t xml:space="preserve">R v Ruha; ex parte DPP (Cth) </w:t>
      </w:r>
      <w:r w:rsidRPr="007809F4">
        <w:rPr>
          <w:rFonts w:asciiTheme="minorHAnsi" w:hAnsiTheme="minorHAnsi" w:cstheme="minorHAnsi"/>
        </w:rPr>
        <w:t>[2011] 2 Qd R 456</w:t>
      </w:r>
      <w:r w:rsidRPr="00EB7F1E">
        <w:rPr>
          <w:rFonts w:asciiTheme="minorHAnsi" w:hAnsiTheme="minorHAnsi" w:cstheme="minorHAnsi"/>
        </w:rPr>
        <w:fldChar w:fldCharType="begin"/>
      </w:r>
      <w:r w:rsidRPr="007809F4">
        <w:rPr>
          <w:rFonts w:asciiTheme="minorHAnsi" w:hAnsiTheme="minorHAnsi" w:cstheme="minorHAnsi"/>
        </w:rPr>
        <w:instrText xml:space="preserve"> TA \s "R v Ruha; ex parte DPP (Cth) [2011] 2 Qd R 456" </w:instrText>
      </w:r>
      <w:r w:rsidRPr="00EB7F1E">
        <w:rPr>
          <w:rFonts w:asciiTheme="minorHAnsi" w:hAnsiTheme="minorHAnsi" w:cstheme="minorHAnsi"/>
        </w:rPr>
        <w:fldChar w:fldCharType="end"/>
      </w:r>
      <w:r w:rsidRPr="007809F4">
        <w:rPr>
          <w:rFonts w:asciiTheme="minorHAnsi" w:hAnsiTheme="minorHAnsi" w:cstheme="minorHAnsi"/>
        </w:rPr>
        <w:t>, [26]-[30], [64]-[66], [69].</w:t>
      </w:r>
    </w:p>
  </w:footnote>
  <w:footnote w:id="795">
    <w:p w14:paraId="165D017D" w14:textId="52AF502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rPr>
        <w:t xml:space="preserve">E.g. </w:t>
      </w:r>
      <w:r w:rsidRPr="00EB7F1E">
        <w:rPr>
          <w:rFonts w:asciiTheme="minorHAnsi" w:hAnsiTheme="minorHAnsi" w:cstheme="minorHAnsi"/>
          <w:i/>
        </w:rPr>
        <w:t>Lam v R</w:t>
      </w:r>
      <w:r w:rsidRPr="007809F4">
        <w:rPr>
          <w:rFonts w:asciiTheme="minorHAnsi" w:hAnsiTheme="minorHAnsi" w:cstheme="minorHAnsi"/>
        </w:rPr>
        <w:t xml:space="preserve"> [2014] WASCA 114</w:t>
      </w:r>
      <w:r w:rsidRPr="00EB7F1E">
        <w:rPr>
          <w:rFonts w:asciiTheme="minorHAnsi" w:hAnsiTheme="minorHAnsi" w:cstheme="minorHAnsi"/>
        </w:rPr>
        <w:fldChar w:fldCharType="begin"/>
      </w:r>
      <w:r w:rsidRPr="00EB7F1E">
        <w:rPr>
          <w:rFonts w:asciiTheme="minorHAnsi" w:hAnsiTheme="minorHAnsi" w:cstheme="minorHAnsi"/>
        </w:rPr>
        <w:instrText xml:space="preserve"> TA \s "Lam v R [2014] WASCA 114" </w:instrText>
      </w:r>
      <w:r w:rsidRPr="00EB7F1E">
        <w:rPr>
          <w:rFonts w:asciiTheme="minorHAnsi" w:hAnsiTheme="minorHAnsi" w:cstheme="minorHAnsi"/>
        </w:rPr>
        <w:fldChar w:fldCharType="end"/>
      </w:r>
      <w:r w:rsidRPr="007809F4">
        <w:rPr>
          <w:rFonts w:asciiTheme="minorHAnsi" w:hAnsiTheme="minorHAnsi" w:cstheme="minorHAnsi"/>
        </w:rPr>
        <w:t>, in which a NPP equivalent to 85.7% of the head sentence was held not to be manifestly excessive in the circumstances.</w:t>
      </w:r>
    </w:p>
  </w:footnote>
  <w:footnote w:id="796">
    <w:p w14:paraId="16B0AFDF" w14:textId="360467F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Ruha; ex parte DPP (Cth) </w:t>
      </w:r>
      <w:r w:rsidRPr="007809F4">
        <w:rPr>
          <w:rFonts w:asciiTheme="minorHAnsi" w:hAnsiTheme="minorHAnsi" w:cstheme="minorHAnsi"/>
        </w:rPr>
        <w:t>[2011] 2 Qd R 456</w:t>
      </w:r>
      <w:r w:rsidRPr="00EB7F1E">
        <w:rPr>
          <w:rFonts w:asciiTheme="minorHAnsi" w:hAnsiTheme="minorHAnsi" w:cstheme="minorHAnsi"/>
        </w:rPr>
        <w:fldChar w:fldCharType="begin"/>
      </w:r>
      <w:r w:rsidRPr="007809F4">
        <w:rPr>
          <w:rFonts w:asciiTheme="minorHAnsi" w:hAnsiTheme="minorHAnsi" w:cstheme="minorHAnsi"/>
        </w:rPr>
        <w:instrText xml:space="preserve"> TA \s "R v Ruha; ex parte DPP (Cth) [2011] 2 Qd R 456" </w:instrText>
      </w:r>
      <w:r w:rsidRPr="00EB7F1E">
        <w:rPr>
          <w:rFonts w:asciiTheme="minorHAnsi" w:hAnsiTheme="minorHAnsi" w:cstheme="minorHAnsi"/>
        </w:rPr>
        <w:fldChar w:fldCharType="end"/>
      </w:r>
      <w:r w:rsidRPr="007809F4">
        <w:rPr>
          <w:rFonts w:asciiTheme="minorHAnsi" w:hAnsiTheme="minorHAnsi" w:cstheme="minorHAnsi"/>
        </w:rPr>
        <w:t>, [57].</w:t>
      </w:r>
    </w:p>
  </w:footnote>
  <w:footnote w:id="797">
    <w:p w14:paraId="0ED8CF8E" w14:textId="2126CB1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Romero v R</w:t>
      </w:r>
      <w:r w:rsidRPr="007809F4">
        <w:rPr>
          <w:rFonts w:asciiTheme="minorHAnsi" w:hAnsiTheme="minorHAnsi" w:cstheme="minorHAnsi"/>
        </w:rPr>
        <w:t xml:space="preserve"> (2011) 32 VR 486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Romero v R</w:instrText>
      </w:r>
      <w:r w:rsidRPr="007809F4">
        <w:rPr>
          <w:rFonts w:asciiTheme="minorHAnsi" w:hAnsiTheme="minorHAnsi" w:cstheme="minorHAnsi"/>
        </w:rPr>
        <w:instrText xml:space="preserve"> (2011) 32 VR 486</w:instrText>
      </w:r>
      <w:r w:rsidRPr="00EB7F1E">
        <w:rPr>
          <w:rFonts w:asciiTheme="minorHAnsi" w:hAnsiTheme="minorHAnsi" w:cstheme="minorHAnsi"/>
        </w:rPr>
        <w:instrText xml:space="preserve">" \s "Romero v R (2011) 32 VR 486" \c 1 </w:instrText>
      </w:r>
      <w:r w:rsidRPr="00EB7F1E">
        <w:rPr>
          <w:rFonts w:asciiTheme="minorHAnsi" w:hAnsiTheme="minorHAnsi" w:cstheme="minorHAnsi"/>
        </w:rPr>
        <w:fldChar w:fldCharType="end"/>
      </w:r>
      <w:r w:rsidRPr="007809F4">
        <w:rPr>
          <w:rFonts w:asciiTheme="minorHAnsi" w:hAnsiTheme="minorHAnsi" w:cstheme="minorHAnsi"/>
        </w:rPr>
        <w:t xml:space="preserve">, [25]; </w:t>
      </w:r>
      <w:r w:rsidRPr="007809F4">
        <w:rPr>
          <w:rFonts w:asciiTheme="minorHAnsi" w:hAnsiTheme="minorHAnsi" w:cstheme="minorHAnsi"/>
          <w:i/>
        </w:rPr>
        <w:t>Kumova v R</w:t>
      </w:r>
      <w:r w:rsidRPr="007809F4">
        <w:rPr>
          <w:rFonts w:asciiTheme="minorHAnsi" w:hAnsiTheme="minorHAnsi" w:cstheme="minorHAnsi"/>
        </w:rPr>
        <w:t xml:space="preserve"> (2012) 37 VR 538</w:t>
      </w:r>
      <w:r w:rsidRPr="00EB7F1E">
        <w:rPr>
          <w:rFonts w:asciiTheme="minorHAnsi" w:hAnsiTheme="minorHAnsi" w:cstheme="minorHAnsi"/>
        </w:rPr>
        <w:fldChar w:fldCharType="begin"/>
      </w:r>
      <w:r w:rsidRPr="007809F4">
        <w:rPr>
          <w:rFonts w:asciiTheme="minorHAnsi" w:hAnsiTheme="minorHAnsi" w:cstheme="minorHAnsi"/>
        </w:rPr>
        <w:instrText xml:space="preserve"> TA \s "Kumova v R (2012) 37 VR 538" </w:instrText>
      </w:r>
      <w:r w:rsidRPr="00EB7F1E">
        <w:rPr>
          <w:rFonts w:asciiTheme="minorHAnsi" w:hAnsiTheme="minorHAnsi" w:cstheme="minorHAnsi"/>
        </w:rPr>
        <w:fldChar w:fldCharType="end"/>
      </w:r>
      <w:r w:rsidRPr="007809F4">
        <w:rPr>
          <w:rFonts w:asciiTheme="minorHAnsi" w:hAnsiTheme="minorHAnsi" w:cstheme="minorHAnsi"/>
        </w:rPr>
        <w:t>, [14], [19], [28].</w:t>
      </w:r>
    </w:p>
  </w:footnote>
  <w:footnote w:id="798">
    <w:p w14:paraId="6DD553A5" w14:textId="0548D36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Kumova v R</w:t>
      </w:r>
      <w:r w:rsidRPr="007809F4">
        <w:rPr>
          <w:rFonts w:asciiTheme="minorHAnsi" w:hAnsiTheme="minorHAnsi" w:cstheme="minorHAnsi"/>
        </w:rPr>
        <w:t xml:space="preserve"> (2012) 37 VR 538</w:t>
      </w:r>
      <w:r w:rsidRPr="00EB7F1E">
        <w:rPr>
          <w:rFonts w:asciiTheme="minorHAnsi" w:hAnsiTheme="minorHAnsi" w:cstheme="minorHAnsi"/>
        </w:rPr>
        <w:fldChar w:fldCharType="begin"/>
      </w:r>
      <w:r w:rsidRPr="007809F4">
        <w:rPr>
          <w:rFonts w:asciiTheme="minorHAnsi" w:hAnsiTheme="minorHAnsi" w:cstheme="minorHAnsi"/>
        </w:rPr>
        <w:instrText xml:space="preserve"> TA \s "Kumova v R (2012) 37 VR 538" </w:instrText>
      </w:r>
      <w:r w:rsidRPr="00EB7F1E">
        <w:rPr>
          <w:rFonts w:asciiTheme="minorHAnsi" w:hAnsiTheme="minorHAnsi" w:cstheme="minorHAnsi"/>
        </w:rPr>
        <w:fldChar w:fldCharType="end"/>
      </w:r>
      <w:r w:rsidRPr="007809F4">
        <w:rPr>
          <w:rFonts w:asciiTheme="minorHAnsi" w:hAnsiTheme="minorHAnsi" w:cstheme="minorHAnsi"/>
        </w:rPr>
        <w:t>, [19].</w:t>
      </w:r>
    </w:p>
  </w:footnote>
  <w:footnote w:id="799">
    <w:p w14:paraId="33330358" w14:textId="62167B0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Kumova v R</w:t>
      </w:r>
      <w:r w:rsidRPr="007809F4">
        <w:rPr>
          <w:rFonts w:asciiTheme="minorHAnsi" w:hAnsiTheme="minorHAnsi" w:cstheme="minorHAnsi"/>
        </w:rPr>
        <w:t xml:space="preserve"> (2012) 37 VR 538</w:t>
      </w:r>
      <w:r w:rsidRPr="00EB7F1E">
        <w:rPr>
          <w:rFonts w:asciiTheme="minorHAnsi" w:hAnsiTheme="minorHAnsi" w:cstheme="minorHAnsi"/>
        </w:rPr>
        <w:fldChar w:fldCharType="begin"/>
      </w:r>
      <w:r w:rsidRPr="007809F4">
        <w:rPr>
          <w:rFonts w:asciiTheme="minorHAnsi" w:hAnsiTheme="minorHAnsi" w:cstheme="minorHAnsi"/>
        </w:rPr>
        <w:instrText xml:space="preserve"> TA \s "Kumova v R (2012) 37 VR 538" </w:instrText>
      </w:r>
      <w:r w:rsidRPr="00EB7F1E">
        <w:rPr>
          <w:rFonts w:asciiTheme="minorHAnsi" w:hAnsiTheme="minorHAnsi" w:cstheme="minorHAnsi"/>
        </w:rPr>
        <w:fldChar w:fldCharType="end"/>
      </w:r>
      <w:r w:rsidRPr="007809F4">
        <w:rPr>
          <w:rFonts w:asciiTheme="minorHAnsi" w:hAnsiTheme="minorHAnsi" w:cstheme="minorHAnsi"/>
        </w:rPr>
        <w:t>, [28].  The same incentive does not apply if the period of imprisonment is fixed, for example, under a recognizance release order.</w:t>
      </w:r>
    </w:p>
  </w:footnote>
  <w:footnote w:id="800">
    <w:p w14:paraId="6F875D16" w14:textId="172C7DD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Atanackovic v R</w:t>
      </w:r>
      <w:r w:rsidRPr="007809F4">
        <w:rPr>
          <w:rFonts w:asciiTheme="minorHAnsi" w:hAnsiTheme="minorHAnsi" w:cstheme="minorHAnsi"/>
          <w:noProof/>
        </w:rPr>
        <w:t xml:space="preserve"> (2015) </w:t>
      </w:r>
      <w:r w:rsidRPr="007809F4">
        <w:rPr>
          <w:rFonts w:asciiTheme="minorHAnsi" w:hAnsiTheme="minorHAnsi" w:cstheme="minorHAnsi"/>
        </w:rPr>
        <w:t>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801">
    <w:p w14:paraId="370B0409" w14:textId="0F9117E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Elshani v R</w:t>
      </w:r>
      <w:r w:rsidRPr="007809F4">
        <w:rPr>
          <w:rFonts w:asciiTheme="minorHAnsi" w:hAnsiTheme="minorHAnsi" w:cstheme="minorHAnsi"/>
        </w:rPr>
        <w:t xml:space="preserve"> [2015] NSWCCA 254</w:t>
      </w:r>
      <w:r w:rsidRPr="00EB7F1E">
        <w:rPr>
          <w:rFonts w:asciiTheme="minorHAnsi" w:hAnsiTheme="minorHAnsi" w:cstheme="minorHAnsi"/>
        </w:rPr>
        <w:fldChar w:fldCharType="begin"/>
      </w:r>
      <w:r w:rsidRPr="007809F4">
        <w:rPr>
          <w:rFonts w:asciiTheme="minorHAnsi" w:hAnsiTheme="minorHAnsi" w:cstheme="minorHAnsi"/>
        </w:rPr>
        <w:instrText xml:space="preserve"> TA \s "Elshani v R [2015] NSWCCA 254" </w:instrText>
      </w:r>
      <w:r w:rsidRPr="00EB7F1E">
        <w:rPr>
          <w:rFonts w:asciiTheme="minorHAnsi" w:hAnsiTheme="minorHAnsi" w:cstheme="minorHAnsi"/>
        </w:rPr>
        <w:fldChar w:fldCharType="end"/>
      </w:r>
      <w:r w:rsidRPr="007809F4">
        <w:rPr>
          <w:rFonts w:asciiTheme="minorHAnsi" w:hAnsiTheme="minorHAnsi" w:cstheme="minorHAnsi"/>
        </w:rPr>
        <w:t xml:space="preserve">, [1], [17]-[22], [39]; </w:t>
      </w:r>
      <w:r w:rsidRPr="007809F4">
        <w:rPr>
          <w:rFonts w:asciiTheme="minorHAnsi" w:hAnsiTheme="minorHAnsi" w:cstheme="minorHAnsi"/>
          <w:i/>
        </w:rPr>
        <w:t>Voronov v R</w:t>
      </w:r>
      <w:r w:rsidRPr="007809F4">
        <w:rPr>
          <w:rFonts w:asciiTheme="minorHAnsi" w:hAnsiTheme="minorHAnsi" w:cstheme="minorHAnsi"/>
        </w:rPr>
        <w:t xml:space="preserve"> [2017] NSWCCA 241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Voronov v R</w:instrText>
      </w:r>
      <w:r w:rsidRPr="007809F4">
        <w:rPr>
          <w:rFonts w:asciiTheme="minorHAnsi" w:hAnsiTheme="minorHAnsi" w:cstheme="minorHAnsi"/>
        </w:rPr>
        <w:instrText xml:space="preserve"> [2017] NSWCCA 241</w:instrText>
      </w:r>
      <w:r w:rsidRPr="00EB7F1E">
        <w:rPr>
          <w:rFonts w:asciiTheme="minorHAnsi" w:hAnsiTheme="minorHAnsi" w:cstheme="minorHAnsi"/>
        </w:rPr>
        <w:instrText xml:space="preserve">" \s "Voronov v R [2017] NSWCCA 241"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802">
    <w:p w14:paraId="0323A474" w14:textId="7C5F7598"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ab/>
        <w:t>“Recognizance release order”</w:t>
      </w:r>
      <w:r w:rsidRPr="007809F4">
        <w:rPr>
          <w:rFonts w:asciiTheme="minorHAnsi" w:hAnsiTheme="minorHAnsi" w:cstheme="minorHAnsi"/>
        </w:rPr>
        <w:t xml:space="preserve"> is defined in s 16(1) of the Act as an order under s 20(1)(b) of the Act.</w:t>
      </w:r>
    </w:p>
  </w:footnote>
  <w:footnote w:id="803">
    <w:p w14:paraId="3CA6AE9A" w14:textId="34D8271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Selimoski v Picknoll </w:t>
      </w:r>
      <w:r w:rsidRPr="007809F4">
        <w:rPr>
          <w:rFonts w:asciiTheme="minorHAnsi" w:hAnsiTheme="minorHAnsi" w:cstheme="minorHAnsi"/>
        </w:rPr>
        <w:t>(WA SC (Full Court), 9 October 1992,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Selimoski v Picknoll </w:instrText>
      </w:r>
      <w:r w:rsidRPr="007809F4">
        <w:rPr>
          <w:rFonts w:asciiTheme="minorHAnsi" w:hAnsiTheme="minorHAnsi" w:cstheme="minorHAnsi"/>
        </w:rPr>
        <w:instrText>(WA SC (Full Court), 9 October 1992, unreported)</w:instrText>
      </w:r>
      <w:r w:rsidRPr="00EB7F1E">
        <w:rPr>
          <w:rFonts w:asciiTheme="minorHAnsi" w:hAnsiTheme="minorHAnsi" w:cstheme="minorHAnsi"/>
        </w:rPr>
        <w:instrText xml:space="preserve">" \s "Selimoski v Picknoll (WA SC (Full Court), 9 October 1992, unreported)" \c 1 </w:instrText>
      </w:r>
      <w:r w:rsidRPr="00EB7F1E">
        <w:rPr>
          <w:rFonts w:asciiTheme="minorHAnsi" w:hAnsiTheme="minorHAnsi" w:cstheme="minorHAnsi"/>
        </w:rPr>
        <w:fldChar w:fldCharType="end"/>
      </w:r>
      <w:r w:rsidRPr="007809F4">
        <w:rPr>
          <w:rFonts w:asciiTheme="minorHAnsi" w:hAnsiTheme="minorHAnsi" w:cstheme="minorHAnsi"/>
          <w:iCs/>
          <w:noProof/>
        </w:rPr>
        <w:t>.</w:t>
      </w:r>
    </w:p>
  </w:footnote>
  <w:footnote w:id="804">
    <w:p w14:paraId="08B08603" w14:textId="5A84E6E0"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ab/>
      </w:r>
      <w:r w:rsidRPr="007809F4">
        <w:rPr>
          <w:rFonts w:asciiTheme="minorHAnsi" w:hAnsiTheme="minorHAnsi" w:cstheme="minorHAnsi"/>
        </w:rPr>
        <w:t xml:space="preserve">Although similar in effect to a suspended sentence of imprisonment, a RRO is materially different in a number of ways: see </w:t>
      </w:r>
      <w:r w:rsidRPr="007809F4">
        <w:rPr>
          <w:rFonts w:asciiTheme="minorHAnsi" w:hAnsiTheme="minorHAnsi" w:cstheme="minorHAnsi"/>
          <w:i/>
        </w:rPr>
        <w:t>Frost v R</w:t>
      </w:r>
      <w:r w:rsidRPr="007809F4">
        <w:rPr>
          <w:rFonts w:asciiTheme="minorHAnsi" w:hAnsiTheme="minorHAnsi" w:cstheme="minorHAnsi"/>
        </w:rPr>
        <w:t xml:space="preserve"> (2003) 11 Tas R 460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Frost v R</w:instrText>
      </w:r>
      <w:r w:rsidRPr="007809F4">
        <w:rPr>
          <w:rFonts w:asciiTheme="minorHAnsi" w:hAnsiTheme="minorHAnsi" w:cstheme="minorHAnsi"/>
        </w:rPr>
        <w:instrText xml:space="preserve"> (2003) 11 Tas R 460</w:instrText>
      </w:r>
      <w:r w:rsidRPr="00EB7F1E">
        <w:rPr>
          <w:rFonts w:asciiTheme="minorHAnsi" w:hAnsiTheme="minorHAnsi" w:cstheme="minorHAnsi"/>
        </w:rPr>
        <w:instrText xml:space="preserve">" \s "Frost v R (2003) 11 Tas R 460"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Cole</w:t>
      </w:r>
      <w:r w:rsidRPr="007809F4">
        <w:rPr>
          <w:rFonts w:asciiTheme="minorHAnsi" w:hAnsiTheme="minorHAnsi" w:cstheme="minorHAnsi"/>
        </w:rPr>
        <w:t xml:space="preserve"> (2005) 91 SASR 480</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Cole (2005) 91 SASR 480" </w:instrText>
      </w:r>
      <w:r w:rsidRPr="00EB7F1E">
        <w:rPr>
          <w:rFonts w:asciiTheme="minorHAnsi" w:hAnsiTheme="minorHAnsi" w:cstheme="minorHAnsi"/>
        </w:rPr>
        <w:fldChar w:fldCharType="end"/>
      </w:r>
      <w:r w:rsidRPr="007809F4">
        <w:rPr>
          <w:rStyle w:val="ssrolluprptrline"/>
          <w:rFonts w:asciiTheme="minorHAnsi" w:hAnsiTheme="minorHAnsi" w:cstheme="minorHAnsi"/>
        </w:rPr>
        <w:t>.</w:t>
      </w:r>
    </w:p>
  </w:footnote>
  <w:footnote w:id="805">
    <w:p w14:paraId="5981950B" w14:textId="3799F95E"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EB7F1E">
        <w:rPr>
          <w:rFonts w:asciiTheme="minorHAnsi" w:hAnsiTheme="minorHAnsi" w:cstheme="minorHAnsi"/>
          <w:vertAlign w:val="superscript"/>
        </w:rPr>
        <w:tab/>
      </w:r>
      <w:r w:rsidRPr="007809F4">
        <w:rPr>
          <w:rFonts w:asciiTheme="minorHAnsi" w:hAnsiTheme="minorHAnsi" w:cstheme="minorHAnsi"/>
        </w:rPr>
        <w:t>An exception may arise by virtue of s 19AE: see Table 3 at [</w:t>
      </w:r>
      <w:r w:rsidRPr="00EB7F1E">
        <w:rPr>
          <w:rFonts w:asciiTheme="minorHAnsi" w:hAnsiTheme="minorHAnsi" w:cstheme="minorHAnsi"/>
        </w:rPr>
        <w:fldChar w:fldCharType="begin"/>
      </w:r>
      <w:r w:rsidRPr="007809F4">
        <w:rPr>
          <w:rFonts w:asciiTheme="minorHAnsi" w:hAnsiTheme="minorHAnsi" w:cstheme="minorHAnsi"/>
        </w:rPr>
        <w:instrText xml:space="preserve"> REF _Ref517070221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654</w:t>
      </w:r>
      <w:r w:rsidRPr="00EB7F1E">
        <w:rPr>
          <w:rFonts w:asciiTheme="minorHAnsi" w:hAnsiTheme="minorHAnsi" w:cstheme="minorHAnsi"/>
        </w:rPr>
        <w:fldChar w:fldCharType="end"/>
      </w:r>
      <w:r w:rsidRPr="007809F4">
        <w:rPr>
          <w:rFonts w:asciiTheme="minorHAnsi" w:hAnsiTheme="minorHAnsi" w:cstheme="minorHAnsi"/>
        </w:rPr>
        <w:t xml:space="preserve">] below. </w:t>
      </w:r>
    </w:p>
  </w:footnote>
  <w:footnote w:id="806">
    <w:p w14:paraId="31B36A59" w14:textId="1503D0E6"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ab/>
      </w:r>
      <w:r w:rsidRPr="007809F4">
        <w:rPr>
          <w:rFonts w:asciiTheme="minorHAnsi" w:hAnsiTheme="minorHAnsi" w:cstheme="minorHAnsi"/>
        </w:rPr>
        <w:t xml:space="preserve">Until 2015, a RRO was also available as an option in relation to longer sentences.  This option was removed by amendments to the </w:t>
      </w:r>
      <w:r w:rsidRPr="007809F4">
        <w:rPr>
          <w:rFonts w:asciiTheme="minorHAnsi" w:hAnsiTheme="minorHAnsi" w:cstheme="minorHAnsi"/>
          <w:i/>
        </w:rPr>
        <w:t>Crimes Act 1914</w:t>
      </w:r>
      <w:r w:rsidRPr="007809F4">
        <w:rPr>
          <w:rFonts w:asciiTheme="minorHAnsi" w:hAnsiTheme="minorHAnsi" w:cstheme="minorHAnsi"/>
        </w:rPr>
        <w:t xml:space="preserve"> (Cth) made by the </w:t>
      </w:r>
      <w:r w:rsidRPr="007809F4">
        <w:rPr>
          <w:rFonts w:asciiTheme="minorHAnsi" w:hAnsiTheme="minorHAnsi" w:cstheme="minorHAnsi"/>
          <w:i/>
        </w:rPr>
        <w:t xml:space="preserve">Crimes Legislation Amendment (Powers, Offences and Other Measures) Act </w:t>
      </w:r>
      <w:r w:rsidRPr="007809F4">
        <w:rPr>
          <w:rFonts w:asciiTheme="minorHAnsi" w:hAnsiTheme="minorHAnsi" w:cstheme="minorHAnsi"/>
        </w:rPr>
        <w:t>2015.  The relevant amendments came into effect on 27 November 2015 and apply in relation to a federal sentence imposed on or after that date: see the amending Act, Schedule 7, Part 4, clause 16.</w:t>
      </w:r>
    </w:p>
  </w:footnote>
  <w:footnote w:id="807">
    <w:p w14:paraId="1089E0AE" w14:textId="1B3BAA7B"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ab/>
        <w:t>Crimes Act 1914 (Cth)</w:t>
      </w:r>
      <w:r w:rsidRPr="00EB7F1E">
        <w:rPr>
          <w:rFonts w:asciiTheme="minorHAnsi" w:hAnsiTheme="minorHAnsi" w:cstheme="minorHAnsi"/>
        </w:rPr>
        <w:t xml:space="preserve">, s 19AL.  </w:t>
      </w:r>
      <w:r w:rsidRPr="007809F4">
        <w:rPr>
          <w:rFonts w:asciiTheme="minorHAnsi" w:hAnsiTheme="minorHAnsi" w:cstheme="minorHAnsi"/>
        </w:rPr>
        <w:t>Prior to amendments which came into effect on 4 October 2012, s 19AL required the Attorney-General to make a parole order if the head sentence was 10 years or less and a NPP had been fixed, unless the offender was or would be serving a State or Territory sentence.  For a summary of the law governing federal parole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_Ref11427025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_Ref11427025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Imprisonment: federal parole, leave and licence</w:t>
      </w:r>
      <w:r w:rsidRPr="00EB7F1E">
        <w:rPr>
          <w:rFonts w:asciiTheme="minorHAnsi" w:hAnsiTheme="minorHAnsi" w:cstheme="minorHAnsi"/>
        </w:rPr>
        <w:fldChar w:fldCharType="end"/>
      </w:r>
      <w:r w:rsidRPr="007809F4">
        <w:rPr>
          <w:rFonts w:asciiTheme="minorHAnsi" w:hAnsiTheme="minorHAnsi" w:cstheme="minorHAnsi"/>
        </w:rPr>
        <w:t>”.</w:t>
      </w:r>
    </w:p>
  </w:footnote>
  <w:footnote w:id="808">
    <w:p w14:paraId="5A408009" w14:textId="290052C8"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ab/>
      </w:r>
      <w:r w:rsidRPr="007809F4">
        <w:rPr>
          <w:rFonts w:asciiTheme="minorHAnsi" w:hAnsiTheme="minorHAnsi" w:cstheme="minorHAnsi"/>
        </w:rPr>
        <w:t xml:space="preserve">The exception is a case to which s 19AE of the </w:t>
      </w:r>
      <w:r w:rsidRPr="007809F4">
        <w:rPr>
          <w:rFonts w:asciiTheme="minorHAnsi" w:hAnsiTheme="minorHAnsi" w:cstheme="minorHAnsi"/>
          <w:i/>
        </w:rPr>
        <w:t>Crimes Act 1914</w:t>
      </w:r>
      <w:r w:rsidRPr="007809F4">
        <w:rPr>
          <w:rFonts w:asciiTheme="minorHAnsi" w:hAnsiTheme="minorHAnsi" w:cstheme="minorHAnsi"/>
        </w:rPr>
        <w:t xml:space="preserve"> (Cth) applies: see [</w:t>
      </w:r>
      <w:r w:rsidRPr="00EB7F1E">
        <w:rPr>
          <w:rFonts w:asciiTheme="minorHAnsi" w:hAnsiTheme="minorHAnsi" w:cstheme="minorHAnsi"/>
        </w:rPr>
        <w:fldChar w:fldCharType="begin"/>
      </w:r>
      <w:r w:rsidRPr="007809F4">
        <w:rPr>
          <w:rFonts w:asciiTheme="minorHAnsi" w:hAnsiTheme="minorHAnsi" w:cstheme="minorHAnsi"/>
        </w:rPr>
        <w:instrText xml:space="preserve"> REF _Ref8452563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675</w:t>
      </w:r>
      <w:r w:rsidRPr="00EB7F1E">
        <w:rPr>
          <w:rFonts w:asciiTheme="minorHAnsi" w:hAnsiTheme="minorHAnsi" w:cstheme="minorHAnsi"/>
        </w:rPr>
        <w:fldChar w:fldCharType="end"/>
      </w:r>
      <w:r w:rsidRPr="007809F4">
        <w:rPr>
          <w:rFonts w:asciiTheme="minorHAnsi" w:hAnsiTheme="minorHAnsi" w:cstheme="minorHAnsi"/>
        </w:rPr>
        <w:t>] below.</w:t>
      </w:r>
    </w:p>
  </w:footnote>
  <w:footnote w:id="809">
    <w:p w14:paraId="1B765962" w14:textId="25632FD0"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ab/>
        <w:t>Crimes Act 1914</w:t>
      </w:r>
      <w:r w:rsidRPr="007809F4">
        <w:rPr>
          <w:rFonts w:asciiTheme="minorHAnsi" w:hAnsiTheme="minorHAnsi" w:cstheme="minorHAnsi"/>
        </w:rPr>
        <w:t xml:space="preserve"> (Cth), ss 19AB and 19AC.</w:t>
      </w:r>
    </w:p>
  </w:footnote>
  <w:footnote w:id="810">
    <w:p w14:paraId="5AFA1279" w14:textId="486494D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Hancock v R </w:t>
      </w:r>
      <w:r w:rsidRPr="007809F4">
        <w:rPr>
          <w:rFonts w:asciiTheme="minorHAnsi" w:hAnsiTheme="minorHAnsi" w:cstheme="minorHAnsi"/>
        </w:rPr>
        <w:t>[2012] NSWCCA 200</w:t>
      </w:r>
      <w:r w:rsidRPr="00EB7F1E">
        <w:rPr>
          <w:rFonts w:asciiTheme="minorHAnsi" w:hAnsiTheme="minorHAnsi" w:cstheme="minorHAnsi"/>
          <w: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Hancock v R </w:instrText>
      </w:r>
      <w:r w:rsidRPr="007809F4">
        <w:rPr>
          <w:rFonts w:asciiTheme="minorHAnsi" w:hAnsiTheme="minorHAnsi" w:cstheme="minorHAnsi"/>
        </w:rPr>
        <w:instrText xml:space="preserve">[2012] NSWCCA 200" \s "Hancock v R [2012] NSWCCA 200" \c 1 </w:instrText>
      </w:r>
      <w:r w:rsidRPr="00EB7F1E">
        <w:rPr>
          <w:rFonts w:asciiTheme="minorHAnsi" w:hAnsiTheme="minorHAnsi" w:cstheme="minorHAnsi"/>
          <w:i/>
        </w:rPr>
        <w:fldChar w:fldCharType="end"/>
      </w:r>
      <w:r w:rsidRPr="007809F4">
        <w:rPr>
          <w:rFonts w:asciiTheme="minorHAnsi" w:hAnsiTheme="minorHAnsi" w:cstheme="minorHAnsi"/>
        </w:rPr>
        <w:t>, [45].</w:t>
      </w:r>
    </w:p>
  </w:footnote>
  <w:footnote w:id="811">
    <w:p w14:paraId="2B712096" w14:textId="08F5A08B"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Fulop</w:t>
      </w:r>
      <w:r w:rsidRPr="007809F4">
        <w:rPr>
          <w:rFonts w:asciiTheme="minorHAnsi" w:hAnsiTheme="minorHAnsi" w:cstheme="minorHAnsi"/>
        </w:rPr>
        <w:t xml:space="preserve"> [2009] VSCA 296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Fulop</w:instrText>
      </w:r>
      <w:r w:rsidRPr="007809F4">
        <w:rPr>
          <w:rFonts w:asciiTheme="minorHAnsi" w:hAnsiTheme="minorHAnsi" w:cstheme="minorHAnsi"/>
        </w:rPr>
        <w:instrText xml:space="preserve"> [2009] VSCA 296</w:instrText>
      </w:r>
      <w:r w:rsidRPr="00EB7F1E">
        <w:rPr>
          <w:rFonts w:asciiTheme="minorHAnsi" w:hAnsiTheme="minorHAnsi" w:cstheme="minorHAnsi"/>
        </w:rPr>
        <w:instrText xml:space="preserve">" \s "R v Fulop [2009] VSCA 296" \c 1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Hunt v DPP</w:t>
      </w:r>
      <w:r w:rsidRPr="007809F4">
        <w:rPr>
          <w:rFonts w:asciiTheme="minorHAnsi" w:hAnsiTheme="minorHAnsi" w:cstheme="minorHAnsi"/>
        </w:rPr>
        <w:t xml:space="preserve"> [2009] SASC 116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Hunt v DPP</w:instrText>
      </w:r>
      <w:r w:rsidRPr="007809F4">
        <w:rPr>
          <w:rFonts w:asciiTheme="minorHAnsi" w:hAnsiTheme="minorHAnsi" w:cstheme="minorHAnsi"/>
        </w:rPr>
        <w:instrText xml:space="preserve"> [2009] SASC 116" \s "Hunt v DPP [2009] SASC 116" \c 1 </w:instrText>
      </w:r>
      <w:r w:rsidRPr="00EB7F1E">
        <w:rPr>
          <w:rFonts w:asciiTheme="minorHAnsi" w:hAnsiTheme="minorHAnsi" w:cstheme="minorHAnsi"/>
        </w:rPr>
        <w:fldChar w:fldCharType="end"/>
      </w:r>
      <w:r w:rsidRPr="007809F4">
        <w:rPr>
          <w:rFonts w:asciiTheme="minorHAnsi" w:hAnsiTheme="minorHAnsi" w:cstheme="minorHAnsi"/>
        </w:rPr>
        <w:t>, [10].  This is subject to the exception referred to above, if one or more of the offences is a “minimum non-parole period offence” (that is, one of a number of national security offences specified in s 19AG(1)).  In such a case, a RRO is not available (s 20(6)), and a NPP of at least three-quarters of the length of the regardless of the length of the head sentence (or aggregate sentence) for the minimum non-parole period offence(s): s 19AG(2).</w:t>
      </w:r>
    </w:p>
  </w:footnote>
  <w:footnote w:id="812">
    <w:p w14:paraId="2DFBECD7" w14:textId="692BBB44"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three-quarters rule in fixing a NPP for certain national security offences</w:t>
      </w:r>
      <w:r w:rsidRPr="00EB7F1E">
        <w:rPr>
          <w:rFonts w:asciiTheme="minorHAnsi" w:hAnsiTheme="minorHAnsi" w:cstheme="minorHAnsi"/>
        </w:rPr>
        <w:fldChar w:fldCharType="end"/>
      </w:r>
      <w:r w:rsidRPr="007809F4">
        <w:rPr>
          <w:rFonts w:asciiTheme="minorHAnsi" w:hAnsiTheme="minorHAnsi" w:cstheme="minorHAnsi"/>
        </w:rPr>
        <w:t>”.</w:t>
      </w:r>
    </w:p>
  </w:footnote>
  <w:footnote w:id="813">
    <w:p w14:paraId="7088E2E3" w14:textId="44CA9CD5"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three-quarters rule in fixing a NPP for certain national security offences</w:t>
      </w:r>
      <w:r w:rsidRPr="00EB7F1E">
        <w:rPr>
          <w:rFonts w:asciiTheme="minorHAnsi" w:hAnsiTheme="minorHAnsi" w:cstheme="minorHAnsi"/>
        </w:rPr>
        <w:fldChar w:fldCharType="end"/>
      </w:r>
      <w:r w:rsidRPr="007809F4">
        <w:rPr>
          <w:rFonts w:asciiTheme="minorHAnsi" w:hAnsiTheme="minorHAnsi" w:cstheme="minorHAnsi"/>
        </w:rPr>
        <w:t>”.</w:t>
      </w:r>
    </w:p>
  </w:footnote>
  <w:footnote w:id="814">
    <w:p w14:paraId="6124A789" w14:textId="54F73B0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16F.  Failure to comply with the requirements of this section does not invalidate a sentence: </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Hutton</w:instrText>
      </w:r>
      <w:r w:rsidRPr="007809F4">
        <w:rPr>
          <w:rFonts w:asciiTheme="minorHAnsi" w:hAnsiTheme="minorHAnsi" w:cstheme="minorHAnsi"/>
        </w:rPr>
        <w:instrText xml:space="preserve"> [2004] NSWCCA 60</w:instrText>
      </w:r>
      <w:r w:rsidRPr="00EB7F1E">
        <w:rPr>
          <w:rFonts w:asciiTheme="minorHAnsi" w:hAnsiTheme="minorHAnsi" w:cstheme="minorHAnsi"/>
        </w:rPr>
        <w:instrText xml:space="preserve">" \s "R v Hutton [2004] NSWCCA 60" \c 1 </w:instrText>
      </w:r>
      <w:r w:rsidRPr="00EB7F1E">
        <w:rPr>
          <w:rFonts w:asciiTheme="minorHAnsi" w:hAnsiTheme="minorHAnsi" w:cstheme="minorHAnsi"/>
          <w:i/>
        </w:rPr>
        <w:fldChar w:fldCharType="end"/>
      </w:r>
      <w:r w:rsidRPr="007809F4">
        <w:rPr>
          <w:rFonts w:asciiTheme="minorHAnsi" w:hAnsiTheme="minorHAnsi" w:cstheme="minorHAnsi"/>
          <w:i/>
        </w:rPr>
        <w:t>R v Hutton</w:t>
      </w:r>
      <w:r w:rsidRPr="007809F4">
        <w:rPr>
          <w:rFonts w:asciiTheme="minorHAnsi" w:hAnsiTheme="minorHAnsi" w:cstheme="minorHAnsi"/>
        </w:rPr>
        <w:t xml:space="preserve"> [2004] NSWCCA 60, [17]-[28].</w:t>
      </w:r>
    </w:p>
  </w:footnote>
  <w:footnote w:id="815">
    <w:p w14:paraId="013ACA48" w14:textId="4533397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This might come about in various ways.  A common example would be where the existing federal sentence was a straight sentence to be served concurrently with or partly cumulatively upon a sentence for a State or Territory offence.  Another is where the offender has served a NPP for the existing federal offence but has not been released on parole.</w:t>
      </w:r>
    </w:p>
  </w:footnote>
  <w:footnote w:id="816">
    <w:p w14:paraId="72E866EA" w14:textId="2BEF7950"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Fulop</w:t>
      </w:r>
      <w:r w:rsidRPr="007809F4">
        <w:rPr>
          <w:rFonts w:asciiTheme="minorHAnsi" w:hAnsiTheme="minorHAnsi" w:cstheme="minorHAnsi"/>
        </w:rPr>
        <w:t xml:space="preserve"> [2009] VSCA 296</w:t>
      </w:r>
      <w:r w:rsidRPr="00EB7F1E">
        <w:rPr>
          <w:rFonts w:asciiTheme="minorHAnsi" w:hAnsiTheme="minorHAnsi" w:cstheme="minorHAnsi"/>
        </w:rPr>
        <w:fldChar w:fldCharType="begin"/>
      </w:r>
      <w:r w:rsidRPr="007809F4">
        <w:rPr>
          <w:rFonts w:asciiTheme="minorHAnsi" w:hAnsiTheme="minorHAnsi" w:cstheme="minorHAnsi"/>
        </w:rPr>
        <w:instrText xml:space="preserve"> TA \s "R v Fulop [2009] VSCA 296" </w:instrText>
      </w:r>
      <w:r w:rsidRPr="00EB7F1E">
        <w:rPr>
          <w:rFonts w:asciiTheme="minorHAnsi" w:hAnsiTheme="minorHAnsi" w:cstheme="minorHAnsi"/>
        </w:rPr>
        <w:fldChar w:fldCharType="end"/>
      </w:r>
      <w:r w:rsidRPr="007809F4">
        <w:rPr>
          <w:rFonts w:asciiTheme="minorHAnsi" w:hAnsiTheme="minorHAnsi" w:cstheme="minorHAnsi"/>
        </w:rPr>
        <w:t>;</w:t>
      </w:r>
      <w:r w:rsidRPr="007809F4">
        <w:rPr>
          <w:rFonts w:asciiTheme="minorHAnsi" w:hAnsiTheme="minorHAnsi" w:cstheme="minorHAnsi"/>
          <w:i/>
        </w:rPr>
        <w:t xml:space="preserve"> Hunt v DPP</w:t>
      </w:r>
      <w:r w:rsidRPr="007809F4">
        <w:rPr>
          <w:rFonts w:asciiTheme="minorHAnsi" w:hAnsiTheme="minorHAnsi" w:cstheme="minorHAnsi"/>
        </w:rPr>
        <w:t xml:space="preserve"> [2009] SASC 116</w:t>
      </w:r>
      <w:r w:rsidRPr="00EB7F1E">
        <w:rPr>
          <w:rFonts w:asciiTheme="minorHAnsi" w:hAnsiTheme="minorHAnsi" w:cstheme="minorHAnsi"/>
        </w:rPr>
        <w:fldChar w:fldCharType="begin"/>
      </w:r>
      <w:r w:rsidRPr="00EB7F1E">
        <w:rPr>
          <w:rFonts w:asciiTheme="minorHAnsi" w:hAnsiTheme="minorHAnsi" w:cstheme="minorHAnsi"/>
        </w:rPr>
        <w:instrText xml:space="preserve"> TA \s "Hunt v DPP [2009] SASC 116" </w:instrText>
      </w:r>
      <w:r w:rsidRPr="00EB7F1E">
        <w:rPr>
          <w:rFonts w:asciiTheme="minorHAnsi" w:hAnsiTheme="minorHAnsi" w:cstheme="minorHAnsi"/>
        </w:rPr>
        <w:fldChar w:fldCharType="end"/>
      </w:r>
      <w:r w:rsidRPr="007809F4">
        <w:rPr>
          <w:rFonts w:asciiTheme="minorHAnsi" w:hAnsiTheme="minorHAnsi" w:cstheme="minorHAnsi"/>
        </w:rPr>
        <w:t>, [10].  This is subject to the exception referred to above, if one or more of the offences is a “minimum non-parole period offence” (that is, one of a number of national security offences specified in s 19AG(1)).  In such a case, a RRO is not available (s 20(6)), and a NPP of at least three-quarters of the length of the regardless of the length of the head sentence (or aggregate sentence) for the minimum non-parole period offence(s): s 19AG(2).</w:t>
      </w:r>
    </w:p>
  </w:footnote>
  <w:footnote w:id="817">
    <w:p w14:paraId="58C10D87" w14:textId="17A80798"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three-quarters rule in fixing a NPP for certain national security offences</w:t>
      </w:r>
      <w:r w:rsidRPr="00EB7F1E">
        <w:rPr>
          <w:rFonts w:asciiTheme="minorHAnsi" w:hAnsiTheme="minorHAnsi" w:cstheme="minorHAnsi"/>
        </w:rPr>
        <w:fldChar w:fldCharType="end"/>
      </w:r>
      <w:r w:rsidRPr="007809F4">
        <w:rPr>
          <w:rFonts w:asciiTheme="minorHAnsi" w:hAnsiTheme="minorHAnsi" w:cstheme="minorHAnsi"/>
        </w:rPr>
        <w:t>”.</w:t>
      </w:r>
    </w:p>
  </w:footnote>
  <w:footnote w:id="818">
    <w:p w14:paraId="7716942F" w14:textId="610BA765"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_Ref507141153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three-quarters rule in fixing a NPP for certain national security offences</w:t>
      </w:r>
      <w:r w:rsidRPr="00EB7F1E">
        <w:rPr>
          <w:rFonts w:asciiTheme="minorHAnsi" w:hAnsiTheme="minorHAnsi" w:cstheme="minorHAnsi"/>
        </w:rPr>
        <w:fldChar w:fldCharType="end"/>
      </w:r>
      <w:r w:rsidRPr="007809F4">
        <w:rPr>
          <w:rFonts w:asciiTheme="minorHAnsi" w:hAnsiTheme="minorHAnsi" w:cstheme="minorHAnsi"/>
        </w:rPr>
        <w:t>”.</w:t>
      </w:r>
    </w:p>
  </w:footnote>
  <w:footnote w:id="819">
    <w:p w14:paraId="1E0B0332" w14:textId="77777777"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Subject to the prescriptive requirements in relation to certain people-smuggling or national security offences referred to above.</w:t>
      </w:r>
    </w:p>
  </w:footnote>
  <w:footnote w:id="820">
    <w:p w14:paraId="50F06F2C" w14:textId="03E1D862" w:rsidR="00D44BCF" w:rsidRPr="007809F4" w:rsidRDefault="00D44BCF">
      <w:pPr>
        <w:pStyle w:val="FootnoteText"/>
        <w:tabs>
          <w:tab w:val="left" w:pos="567"/>
          <w:tab w:val="left" w:pos="393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Subject to the prescriptive requirements in relation to certain people-smuggling or national security offences referred to above.</w:t>
      </w:r>
    </w:p>
  </w:footnote>
  <w:footnote w:id="821">
    <w:p w14:paraId="6E3FC523" w14:textId="20783B1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16F.  Failure to comply with the requirements of this section does not invalidate a sentence: </w:t>
      </w:r>
      <w:r w:rsidRPr="00EB7F1E">
        <w:rPr>
          <w:rFonts w:asciiTheme="minorHAnsi" w:hAnsiTheme="minorHAnsi" w:cstheme="minorHAnsi"/>
          <w:i/>
        </w:rPr>
        <w:t>R v Hutton</w:t>
      </w:r>
      <w:r w:rsidRPr="00EB7F1E">
        <w:rPr>
          <w:rFonts w:asciiTheme="minorHAnsi" w:hAnsiTheme="minorHAnsi" w:cstheme="minorHAnsi"/>
        </w:rPr>
        <w:t xml:space="preserve"> [2004] NSWCCA 60</w:t>
      </w:r>
      <w:r w:rsidRPr="00EB7F1E">
        <w:rPr>
          <w:rFonts w:asciiTheme="minorHAnsi" w:hAnsiTheme="minorHAnsi" w:cstheme="minorHAnsi"/>
        </w:rPr>
        <w:fldChar w:fldCharType="begin"/>
      </w:r>
      <w:r w:rsidRPr="007809F4">
        <w:rPr>
          <w:rFonts w:asciiTheme="minorHAnsi" w:hAnsiTheme="minorHAnsi" w:cstheme="minorHAnsi"/>
        </w:rPr>
        <w:instrText xml:space="preserve"> TA \s "R v Hutton [2004] NSWCCA 60" </w:instrText>
      </w:r>
      <w:r w:rsidRPr="00EB7F1E">
        <w:rPr>
          <w:rFonts w:asciiTheme="minorHAnsi" w:hAnsiTheme="minorHAnsi" w:cstheme="minorHAnsi"/>
        </w:rPr>
        <w:fldChar w:fldCharType="end"/>
      </w:r>
      <w:r w:rsidRPr="00EB7F1E">
        <w:rPr>
          <w:rFonts w:asciiTheme="minorHAnsi" w:hAnsiTheme="minorHAnsi" w:cstheme="minorHAnsi"/>
        </w:rPr>
        <w:t>, [17]-[28]</w:t>
      </w:r>
      <w:r w:rsidRPr="007809F4">
        <w:rPr>
          <w:rFonts w:asciiTheme="minorHAnsi" w:hAnsiTheme="minorHAnsi" w:cstheme="minorHAnsi"/>
        </w:rPr>
        <w:t>.</w:t>
      </w:r>
    </w:p>
  </w:footnote>
  <w:footnote w:id="822">
    <w:p w14:paraId="7A3BB044" w14:textId="294A9E7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ss 19AB(4), 19AC(5), 19AD(5), 19AE(5), 19AR(5).</w:t>
      </w:r>
    </w:p>
  </w:footnote>
  <w:footnote w:id="823">
    <w:p w14:paraId="0310C0F4" w14:textId="1D9FC9B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Spreitzer v R</w:t>
      </w:r>
      <w:r w:rsidRPr="007809F4">
        <w:rPr>
          <w:rFonts w:asciiTheme="minorHAnsi" w:hAnsiTheme="minorHAnsi" w:cstheme="minorHAnsi"/>
        </w:rPr>
        <w:t xml:space="preserve"> (1991) 58 A Crim R 114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Spreitzer v R</w:instrText>
      </w:r>
      <w:r w:rsidRPr="007809F4">
        <w:rPr>
          <w:rFonts w:asciiTheme="minorHAnsi" w:hAnsiTheme="minorHAnsi" w:cstheme="minorHAnsi"/>
        </w:rPr>
        <w:instrText xml:space="preserve"> (1991) 58 A Crim R 114</w:instrText>
      </w:r>
      <w:r w:rsidRPr="00EB7F1E">
        <w:rPr>
          <w:rFonts w:asciiTheme="minorHAnsi" w:hAnsiTheme="minorHAnsi" w:cstheme="minorHAnsi"/>
        </w:rPr>
        <w:instrText xml:space="preserve">" \s "Spreitzer v R (1991) 58 A Crim R 114" \c 1 </w:instrText>
      </w:r>
      <w:r w:rsidRPr="00EB7F1E">
        <w:rPr>
          <w:rFonts w:asciiTheme="minorHAnsi" w:hAnsiTheme="minorHAnsi" w:cstheme="minorHAnsi"/>
        </w:rPr>
        <w:fldChar w:fldCharType="end"/>
      </w:r>
      <w:r w:rsidRPr="007809F4">
        <w:rPr>
          <w:rFonts w:asciiTheme="minorHAnsi" w:hAnsiTheme="minorHAnsi" w:cstheme="minorHAnsi"/>
        </w:rPr>
        <w:t>, 120.</w:t>
      </w:r>
    </w:p>
  </w:footnote>
  <w:footnote w:id="824">
    <w:p w14:paraId="22F375B1" w14:textId="765B058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Spreitzer v R</w:t>
      </w:r>
      <w:r w:rsidRPr="007809F4">
        <w:rPr>
          <w:rFonts w:asciiTheme="minorHAnsi" w:hAnsiTheme="minorHAnsi" w:cstheme="minorHAnsi"/>
        </w:rPr>
        <w:t xml:space="preserve"> (1991) 58 A Crim R 114</w:t>
      </w:r>
      <w:r w:rsidRPr="00EB7F1E">
        <w:rPr>
          <w:rFonts w:asciiTheme="minorHAnsi" w:hAnsiTheme="minorHAnsi" w:cstheme="minorHAnsi"/>
        </w:rPr>
        <w:fldChar w:fldCharType="begin"/>
      </w:r>
      <w:r w:rsidRPr="007809F4">
        <w:rPr>
          <w:rFonts w:asciiTheme="minorHAnsi" w:hAnsiTheme="minorHAnsi" w:cstheme="minorHAnsi"/>
        </w:rPr>
        <w:instrText xml:space="preserve"> TA \s "Spreitzer v R (1991) 58 A Crim R 114" </w:instrText>
      </w:r>
      <w:r w:rsidRPr="00EB7F1E">
        <w:rPr>
          <w:rFonts w:asciiTheme="minorHAnsi" w:hAnsiTheme="minorHAnsi" w:cstheme="minorHAnsi"/>
        </w:rPr>
        <w:fldChar w:fldCharType="end"/>
      </w:r>
      <w:r w:rsidRPr="007809F4">
        <w:rPr>
          <w:rFonts w:asciiTheme="minorHAnsi" w:hAnsiTheme="minorHAnsi" w:cstheme="minorHAnsi"/>
        </w:rPr>
        <w:t>, 120.</w:t>
      </w:r>
    </w:p>
  </w:footnote>
  <w:footnote w:id="825">
    <w:p w14:paraId="57AF472E" w14:textId="0180D3D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Legislation Amendment Bill (No 2) 1989 </w:t>
      </w:r>
      <w:r w:rsidRPr="007809F4">
        <w:rPr>
          <w:rFonts w:asciiTheme="minorHAnsi" w:hAnsiTheme="minorHAnsi" w:cstheme="minorHAnsi"/>
        </w:rPr>
        <w:t>(Cth), Explanatory Memorandum (House of Representatives), 17 (regarding proposed new section 19AE).</w:t>
      </w:r>
    </w:p>
  </w:footnote>
  <w:footnote w:id="826">
    <w:p w14:paraId="7E8D9B72" w14:textId="1721B2B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Carroll v R </w:t>
      </w:r>
      <w:r w:rsidRPr="007809F4">
        <w:rPr>
          <w:rFonts w:asciiTheme="minorHAnsi" w:hAnsiTheme="minorHAnsi" w:cstheme="minorHAnsi"/>
        </w:rPr>
        <w:t>[2011] VSCA 150</w:t>
      </w:r>
      <w:r w:rsidRPr="00EB7F1E">
        <w:rPr>
          <w:rFonts w:asciiTheme="minorHAnsi" w:hAnsiTheme="minorHAnsi" w:cstheme="minorHAnsi"/>
        </w:rPr>
        <w:fldChar w:fldCharType="begin"/>
      </w:r>
      <w:r w:rsidRPr="00EB7F1E">
        <w:rPr>
          <w:rFonts w:asciiTheme="minorHAnsi" w:hAnsiTheme="minorHAnsi" w:cstheme="minorHAnsi"/>
        </w:rPr>
        <w:instrText xml:space="preserve"> TA \s "Carroll v R [2011] VSCA 150" </w:instrText>
      </w:r>
      <w:r w:rsidRPr="00EB7F1E">
        <w:rPr>
          <w:rFonts w:asciiTheme="minorHAnsi" w:hAnsiTheme="minorHAnsi" w:cstheme="minorHAnsi"/>
        </w:rPr>
        <w:fldChar w:fldCharType="end"/>
      </w:r>
      <w:r w:rsidRPr="007809F4">
        <w:rPr>
          <w:rFonts w:asciiTheme="minorHAnsi" w:hAnsiTheme="minorHAnsi" w:cstheme="minorHAnsi"/>
        </w:rPr>
        <w:t>, [54]-[56].</w:t>
      </w:r>
    </w:p>
  </w:footnote>
  <w:footnote w:id="827">
    <w:p w14:paraId="59ADACBE" w14:textId="02D12AD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Hancock v R </w:t>
      </w:r>
      <w:r w:rsidRPr="007809F4">
        <w:rPr>
          <w:rFonts w:asciiTheme="minorHAnsi" w:hAnsiTheme="minorHAnsi" w:cstheme="minorHAnsi"/>
        </w:rPr>
        <w:t>[2012] NSWCCA 200</w:t>
      </w:r>
      <w:r w:rsidRPr="00EB7F1E">
        <w:rPr>
          <w:rFonts w:asciiTheme="minorHAnsi" w:hAnsiTheme="minorHAnsi" w:cstheme="minorHAnsi"/>
        </w:rPr>
        <w:fldChar w:fldCharType="begin"/>
      </w:r>
      <w:r w:rsidRPr="00EB7F1E">
        <w:rPr>
          <w:rFonts w:asciiTheme="minorHAnsi" w:hAnsiTheme="minorHAnsi" w:cstheme="minorHAnsi"/>
        </w:rPr>
        <w:instrText xml:space="preserve"> TA \s "Hancock v R [2012] NSWCCA 200" </w:instrText>
      </w:r>
      <w:r w:rsidRPr="00EB7F1E">
        <w:rPr>
          <w:rFonts w:asciiTheme="minorHAnsi" w:hAnsiTheme="minorHAnsi" w:cstheme="minorHAnsi"/>
        </w:rPr>
        <w:fldChar w:fldCharType="end"/>
      </w:r>
      <w:r w:rsidRPr="007809F4">
        <w:rPr>
          <w:rFonts w:asciiTheme="minorHAnsi" w:hAnsiTheme="minorHAnsi" w:cstheme="minorHAnsi"/>
        </w:rPr>
        <w:t>, [45]-[51].</w:t>
      </w:r>
    </w:p>
  </w:footnote>
  <w:footnote w:id="828">
    <w:p w14:paraId="1F6F4701" w14:textId="2D64205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Hancock v R </w:t>
      </w:r>
      <w:r w:rsidRPr="007809F4">
        <w:rPr>
          <w:rFonts w:asciiTheme="minorHAnsi" w:hAnsiTheme="minorHAnsi" w:cstheme="minorHAnsi"/>
        </w:rPr>
        <w:t>[2012] NSWCCA 200</w:t>
      </w:r>
      <w:r w:rsidRPr="00EB7F1E">
        <w:rPr>
          <w:rFonts w:asciiTheme="minorHAnsi" w:hAnsiTheme="minorHAnsi" w:cstheme="minorHAnsi"/>
        </w:rPr>
        <w:fldChar w:fldCharType="begin"/>
      </w:r>
      <w:r w:rsidRPr="00EB7F1E">
        <w:rPr>
          <w:rFonts w:asciiTheme="minorHAnsi" w:hAnsiTheme="minorHAnsi" w:cstheme="minorHAnsi"/>
        </w:rPr>
        <w:instrText xml:space="preserve"> TA \s "Hancock v R [2012] NSWCCA 200" </w:instrText>
      </w:r>
      <w:r w:rsidRPr="00EB7F1E">
        <w:rPr>
          <w:rFonts w:asciiTheme="minorHAnsi" w:hAnsiTheme="minorHAnsi" w:cstheme="minorHAnsi"/>
        </w:rPr>
        <w:fldChar w:fldCharType="end"/>
      </w:r>
      <w:r w:rsidRPr="007809F4">
        <w:rPr>
          <w:rFonts w:asciiTheme="minorHAnsi" w:hAnsiTheme="minorHAnsi" w:cstheme="minorHAnsi"/>
        </w:rPr>
        <w:t>, [50].</w:t>
      </w:r>
    </w:p>
  </w:footnote>
  <w:footnote w:id="829">
    <w:p w14:paraId="619C871F" w14:textId="753A6F7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Hancock v R </w:t>
      </w:r>
      <w:r w:rsidRPr="007809F4">
        <w:rPr>
          <w:rFonts w:asciiTheme="minorHAnsi" w:hAnsiTheme="minorHAnsi" w:cstheme="minorHAnsi"/>
        </w:rPr>
        <w:t>[2012] NSWCCA 200</w:t>
      </w:r>
      <w:r w:rsidRPr="00EB7F1E">
        <w:rPr>
          <w:rFonts w:asciiTheme="minorHAnsi" w:hAnsiTheme="minorHAnsi" w:cstheme="minorHAnsi"/>
        </w:rPr>
        <w:fldChar w:fldCharType="begin"/>
      </w:r>
      <w:r w:rsidRPr="00EB7F1E">
        <w:rPr>
          <w:rFonts w:asciiTheme="minorHAnsi" w:hAnsiTheme="minorHAnsi" w:cstheme="minorHAnsi"/>
        </w:rPr>
        <w:instrText xml:space="preserve"> TA \s "Hancock v R [2012] NSWCCA 200" </w:instrText>
      </w:r>
      <w:r w:rsidRPr="00EB7F1E">
        <w:rPr>
          <w:rFonts w:asciiTheme="minorHAnsi" w:hAnsiTheme="minorHAnsi" w:cstheme="minorHAnsi"/>
        </w:rPr>
        <w:fldChar w:fldCharType="end"/>
      </w:r>
      <w:r w:rsidRPr="007809F4">
        <w:rPr>
          <w:rFonts w:asciiTheme="minorHAnsi" w:hAnsiTheme="minorHAnsi" w:cstheme="minorHAnsi"/>
        </w:rPr>
        <w:t>, [47].</w:t>
      </w:r>
    </w:p>
  </w:footnote>
  <w:footnote w:id="830">
    <w:p w14:paraId="56304511" w14:textId="0713342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noProof/>
        </w:rPr>
        <w:t>Wangsaimas v R</w:t>
      </w:r>
      <w:r w:rsidRPr="007809F4">
        <w:rPr>
          <w:rFonts w:asciiTheme="minorHAnsi" w:hAnsiTheme="minorHAnsi" w:cstheme="minorHAnsi"/>
          <w:noProof/>
        </w:rPr>
        <w:t xml:space="preserve"> (1996) 6 NTLR 14</w:t>
      </w:r>
      <w:r w:rsidRPr="00EB7F1E">
        <w:rPr>
          <w:rFonts w:asciiTheme="minorHAnsi" w:hAnsiTheme="minorHAnsi" w:cstheme="minorHAnsi"/>
          <w:noProof/>
        </w:rPr>
        <w:fldChar w:fldCharType="begin"/>
      </w:r>
      <w:r w:rsidRPr="007809F4">
        <w:rPr>
          <w:rFonts w:asciiTheme="minorHAnsi" w:hAnsiTheme="minorHAnsi" w:cstheme="minorHAnsi"/>
        </w:rPr>
        <w:instrText xml:space="preserve"> TA \s "Wangsaimas v R (1996) 6 NTLR 14" </w:instrText>
      </w:r>
      <w:r w:rsidRPr="00EB7F1E">
        <w:rPr>
          <w:rFonts w:asciiTheme="minorHAnsi" w:hAnsiTheme="minorHAnsi" w:cstheme="minorHAnsi"/>
          <w:noProof/>
        </w:rPr>
        <w:fldChar w:fldCharType="end"/>
      </w:r>
      <w:r w:rsidRPr="007809F4">
        <w:rPr>
          <w:rFonts w:asciiTheme="minorHAnsi" w:hAnsiTheme="minorHAnsi" w:cstheme="minorHAnsi"/>
          <w:noProof/>
        </w:rPr>
        <w:t>.</w:t>
      </w:r>
    </w:p>
  </w:footnote>
  <w:footnote w:id="831">
    <w:p w14:paraId="606BC9EF" w14:textId="4150213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19AK. See also </w:t>
      </w:r>
      <w:r w:rsidRPr="007809F4">
        <w:rPr>
          <w:rFonts w:asciiTheme="minorHAnsi" w:hAnsiTheme="minorHAnsi" w:cstheme="minorHAnsi"/>
          <w:i/>
          <w:iCs/>
          <w:noProof/>
        </w:rPr>
        <w:t xml:space="preserve">R v Shrestha </w:t>
      </w:r>
      <w:r w:rsidRPr="007809F4">
        <w:rPr>
          <w:rFonts w:asciiTheme="minorHAnsi" w:hAnsiTheme="minorHAnsi" w:cstheme="minorHAnsi"/>
          <w:iCs/>
          <w:noProof/>
        </w:rPr>
        <w:t>(1991) 173 CLR 48</w:t>
      </w:r>
      <w:r w:rsidRPr="00EB7F1E">
        <w:rPr>
          <w:rFonts w:asciiTheme="minorHAnsi" w:hAnsiTheme="minorHAnsi" w:cstheme="minorHAnsi"/>
          <w:iCs/>
          <w:noProof/>
        </w:rPr>
        <w:fldChar w:fldCharType="begin"/>
      </w:r>
      <w:r w:rsidRPr="00EB7F1E">
        <w:rPr>
          <w:rFonts w:asciiTheme="minorHAnsi" w:hAnsiTheme="minorHAnsi" w:cstheme="minorHAnsi"/>
        </w:rPr>
        <w:instrText xml:space="preserve"> TA \s "R v Shrestha (1991) 173 CLR 48" </w:instrText>
      </w:r>
      <w:r w:rsidRPr="00EB7F1E">
        <w:rPr>
          <w:rFonts w:asciiTheme="minorHAnsi" w:hAnsiTheme="minorHAnsi" w:cstheme="minorHAnsi"/>
          <w:iCs/>
          <w:noProof/>
        </w:rPr>
        <w:fldChar w:fldCharType="end"/>
      </w:r>
      <w:r w:rsidRPr="007809F4">
        <w:rPr>
          <w:rFonts w:asciiTheme="minorHAnsi" w:hAnsiTheme="minorHAnsi" w:cstheme="minorHAnsi"/>
          <w:iCs/>
          <w:noProof/>
        </w:rPr>
        <w:t xml:space="preserve"> (</w:t>
      </w:r>
      <w:r w:rsidRPr="007809F4">
        <w:rPr>
          <w:rFonts w:asciiTheme="minorHAnsi" w:hAnsiTheme="minorHAnsi" w:cstheme="minorHAnsi"/>
        </w:rPr>
        <w:t>although decided before s 19AK was enacted, the decision is still relevant to the principles applicable).  As to the relevance of the prospect of deportation as a factor in sentencing generally,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_Ref492550047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4.5.7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_Ref492550047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Prospect of visa cancellation and deportation</w:t>
      </w:r>
      <w:r w:rsidRPr="00EB7F1E">
        <w:rPr>
          <w:rFonts w:asciiTheme="minorHAnsi" w:hAnsiTheme="minorHAnsi" w:cstheme="minorHAnsi"/>
        </w:rPr>
        <w:fldChar w:fldCharType="end"/>
      </w:r>
      <w:r w:rsidRPr="007809F4">
        <w:rPr>
          <w:rFonts w:asciiTheme="minorHAnsi" w:hAnsiTheme="minorHAnsi" w:cstheme="minorHAnsi"/>
        </w:rPr>
        <w:t>”.</w:t>
      </w:r>
    </w:p>
  </w:footnote>
  <w:footnote w:id="832">
    <w:p w14:paraId="222EB788" w14:textId="3F694FA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Spreitzer v R</w:t>
      </w:r>
      <w:r w:rsidRPr="007809F4">
        <w:rPr>
          <w:rFonts w:asciiTheme="minorHAnsi" w:hAnsiTheme="minorHAnsi" w:cstheme="minorHAnsi"/>
        </w:rPr>
        <w:t xml:space="preserve"> (1991) 58 A Crim R 114</w:t>
      </w:r>
      <w:r w:rsidRPr="00EB7F1E">
        <w:rPr>
          <w:rFonts w:asciiTheme="minorHAnsi" w:hAnsiTheme="minorHAnsi" w:cstheme="minorHAnsi"/>
        </w:rPr>
        <w:fldChar w:fldCharType="begin"/>
      </w:r>
      <w:r w:rsidRPr="007809F4">
        <w:rPr>
          <w:rFonts w:asciiTheme="minorHAnsi" w:hAnsiTheme="minorHAnsi" w:cstheme="minorHAnsi"/>
        </w:rPr>
        <w:instrText xml:space="preserve"> TA \s "Spreitzer v R (1991) 58 A Crim R 114"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833">
    <w:p w14:paraId="378A2DAE" w14:textId="7A4A136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Spreitzer v R</w:t>
      </w:r>
      <w:r w:rsidRPr="007809F4">
        <w:rPr>
          <w:rFonts w:asciiTheme="minorHAnsi" w:hAnsiTheme="minorHAnsi" w:cstheme="minorHAnsi"/>
        </w:rPr>
        <w:t xml:space="preserve"> (1991) 58 A Crim R 114</w:t>
      </w:r>
      <w:r w:rsidRPr="00EB7F1E">
        <w:rPr>
          <w:rFonts w:asciiTheme="minorHAnsi" w:hAnsiTheme="minorHAnsi" w:cstheme="minorHAnsi"/>
        </w:rPr>
        <w:fldChar w:fldCharType="begin"/>
      </w:r>
      <w:r w:rsidRPr="007809F4">
        <w:rPr>
          <w:rFonts w:asciiTheme="minorHAnsi" w:hAnsiTheme="minorHAnsi" w:cstheme="minorHAnsi"/>
        </w:rPr>
        <w:instrText xml:space="preserve"> TA \s "Spreitzer v R (1991) 58 A Crim R 114"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834">
    <w:p w14:paraId="0D70190B" w14:textId="07DB908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Cf </w:t>
      </w:r>
      <w:r w:rsidRPr="007809F4">
        <w:rPr>
          <w:rFonts w:asciiTheme="minorHAnsi" w:hAnsiTheme="minorHAnsi" w:cstheme="minorHAnsi"/>
          <w:i/>
        </w:rPr>
        <w:t>R v Currey</w:t>
      </w:r>
      <w:r w:rsidRPr="007809F4">
        <w:rPr>
          <w:rFonts w:asciiTheme="minorHAnsi" w:hAnsiTheme="minorHAnsi" w:cstheme="minorHAnsi"/>
        </w:rPr>
        <w:t xml:space="preserve"> [1975] VR 647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Currey</w:instrText>
      </w:r>
      <w:r w:rsidRPr="007809F4">
        <w:rPr>
          <w:rFonts w:asciiTheme="minorHAnsi" w:hAnsiTheme="minorHAnsi" w:cstheme="minorHAnsi"/>
        </w:rPr>
        <w:instrText xml:space="preserve"> [1975] VR 647</w:instrText>
      </w:r>
      <w:r w:rsidRPr="00EB7F1E">
        <w:rPr>
          <w:rFonts w:asciiTheme="minorHAnsi" w:hAnsiTheme="minorHAnsi" w:cstheme="minorHAnsi"/>
        </w:rPr>
        <w:instrText xml:space="preserve">" \s "R v Currey [1975] VR 647" \c 1 </w:instrText>
      </w:r>
      <w:r w:rsidRPr="00EB7F1E">
        <w:rPr>
          <w:rFonts w:asciiTheme="minorHAnsi" w:hAnsiTheme="minorHAnsi" w:cstheme="minorHAnsi"/>
        </w:rPr>
        <w:fldChar w:fldCharType="end"/>
      </w:r>
      <w:r w:rsidRPr="007809F4">
        <w:rPr>
          <w:rFonts w:asciiTheme="minorHAnsi" w:hAnsiTheme="minorHAnsi" w:cstheme="minorHAnsi"/>
        </w:rPr>
        <w:t xml:space="preserve">, 651, 655; </w:t>
      </w:r>
      <w:r w:rsidRPr="007809F4">
        <w:rPr>
          <w:rFonts w:asciiTheme="minorHAnsi" w:hAnsiTheme="minorHAnsi" w:cstheme="minorHAnsi"/>
          <w:i/>
        </w:rPr>
        <w:t>R v Zamagias</w:t>
      </w:r>
      <w:r w:rsidRPr="007809F4">
        <w:rPr>
          <w:rFonts w:asciiTheme="minorHAnsi" w:hAnsiTheme="minorHAnsi" w:cstheme="minorHAnsi"/>
        </w:rPr>
        <w:t xml:space="preserve"> [2002] NSWCCA 17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Zamagias</w:instrText>
      </w:r>
      <w:r w:rsidRPr="007809F4">
        <w:rPr>
          <w:rFonts w:asciiTheme="minorHAnsi" w:hAnsiTheme="minorHAnsi" w:cstheme="minorHAnsi"/>
        </w:rPr>
        <w:instrText xml:space="preserve"> [2002] NSWCCA 17</w:instrText>
      </w:r>
      <w:r w:rsidRPr="00EB7F1E">
        <w:rPr>
          <w:rFonts w:asciiTheme="minorHAnsi" w:hAnsiTheme="minorHAnsi" w:cstheme="minorHAnsi"/>
        </w:rPr>
        <w:instrText xml:space="preserve">" \s "R v Zamagias [2002] NSWCCA 17" \c 1 </w:instrText>
      </w:r>
      <w:r w:rsidRPr="00EB7F1E">
        <w:rPr>
          <w:rFonts w:asciiTheme="minorHAnsi" w:hAnsiTheme="minorHAnsi" w:cstheme="minorHAnsi"/>
        </w:rPr>
        <w:fldChar w:fldCharType="end"/>
      </w:r>
      <w:r w:rsidRPr="007809F4">
        <w:rPr>
          <w:rFonts w:asciiTheme="minorHAnsi" w:hAnsiTheme="minorHAnsi" w:cstheme="minorHAnsi"/>
        </w:rPr>
        <w:t xml:space="preserve">, [26]-[29]; </w:t>
      </w:r>
      <w:r w:rsidRPr="007809F4">
        <w:rPr>
          <w:rFonts w:asciiTheme="minorHAnsi" w:hAnsiTheme="minorHAnsi" w:cstheme="minorHAnsi"/>
          <w:i/>
        </w:rPr>
        <w:t xml:space="preserve">De Hollander v R </w:t>
      </w:r>
      <w:r w:rsidRPr="007809F4">
        <w:rPr>
          <w:rFonts w:asciiTheme="minorHAnsi" w:hAnsiTheme="minorHAnsi" w:cstheme="minorHAnsi"/>
        </w:rPr>
        <w:t>[2012] WASCA 127</w:t>
      </w:r>
      <w:r w:rsidRPr="00EB7F1E">
        <w:rPr>
          <w:rFonts w:asciiTheme="minorHAnsi" w:hAnsiTheme="minorHAnsi" w:cstheme="minorHAnsi"/>
        </w:rPr>
        <w:fldChar w:fldCharType="begin"/>
      </w:r>
      <w:r w:rsidRPr="007809F4">
        <w:rPr>
          <w:rFonts w:asciiTheme="minorHAnsi" w:hAnsiTheme="minorHAnsi" w:cstheme="minorHAnsi"/>
        </w:rPr>
        <w:instrText xml:space="preserve"> TA \s "De Hollander v R [2012] WASCA 127" </w:instrText>
      </w:r>
      <w:r w:rsidRPr="00EB7F1E">
        <w:rPr>
          <w:rFonts w:asciiTheme="minorHAnsi" w:hAnsiTheme="minorHAnsi" w:cstheme="minorHAnsi"/>
        </w:rPr>
        <w:fldChar w:fldCharType="end"/>
      </w:r>
      <w:r w:rsidRPr="007809F4">
        <w:rPr>
          <w:rFonts w:asciiTheme="minorHAnsi" w:hAnsiTheme="minorHAnsi" w:cstheme="minorHAnsi"/>
        </w:rPr>
        <w:t>, [86].</w:t>
      </w:r>
    </w:p>
  </w:footnote>
  <w:footnote w:id="835">
    <w:p w14:paraId="01021E77" w14:textId="2F6299D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_Ref507247415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_Ref507247420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Where federal offender is not undergoing a federal term of imprisonment: NPP, RRO or straight sentence</w:t>
      </w:r>
      <w:r w:rsidRPr="00EB7F1E">
        <w:rPr>
          <w:rFonts w:asciiTheme="minorHAnsi" w:hAnsiTheme="minorHAnsi" w:cstheme="minorHAnsi"/>
        </w:rPr>
        <w:fldChar w:fldCharType="end"/>
      </w:r>
      <w:r w:rsidRPr="007809F4">
        <w:rPr>
          <w:rFonts w:asciiTheme="minorHAnsi" w:hAnsiTheme="minorHAnsi" w:cstheme="minorHAnsi"/>
        </w:rPr>
        <w:t>”.</w:t>
      </w:r>
    </w:p>
  </w:footnote>
  <w:footnote w:id="836">
    <w:p w14:paraId="7C1DB95F" w14:textId="0573B7B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_Ref507247493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5.10.6</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_Ref507247498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Where the offender is already undergoing a federal term of imprisonment: NPP, RRO or straight sentence</w:t>
      </w:r>
      <w:r w:rsidRPr="00EB7F1E">
        <w:rPr>
          <w:rFonts w:asciiTheme="minorHAnsi" w:hAnsiTheme="minorHAnsi" w:cstheme="minorHAnsi"/>
        </w:rPr>
        <w:fldChar w:fldCharType="end"/>
      </w:r>
      <w:r w:rsidRPr="007809F4">
        <w:rPr>
          <w:rFonts w:asciiTheme="minorHAnsi" w:hAnsiTheme="minorHAnsi" w:cstheme="minorHAnsi"/>
        </w:rPr>
        <w:t>”.</w:t>
      </w:r>
    </w:p>
  </w:footnote>
  <w:footnote w:id="837">
    <w:p w14:paraId="02796A67" w14:textId="64E53D3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Crimes Act 1914</w:t>
      </w:r>
      <w:r w:rsidRPr="007809F4">
        <w:rPr>
          <w:rFonts w:asciiTheme="minorHAnsi" w:hAnsiTheme="minorHAnsi" w:cstheme="minorHAnsi"/>
        </w:rPr>
        <w:t xml:space="preserve"> (Cth), s 19AR(2)(e) and s 19AR(3)(e).</w:t>
      </w:r>
    </w:p>
  </w:footnote>
  <w:footnote w:id="838">
    <w:p w14:paraId="4FFA8FD0" w14:textId="7C745F2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Hogan</w:t>
      </w:r>
      <w:r w:rsidRPr="007809F4">
        <w:rPr>
          <w:rFonts w:asciiTheme="minorHAnsi" w:hAnsiTheme="minorHAnsi" w:cstheme="minorHAnsi"/>
        </w:rPr>
        <w:t xml:space="preserve"> [2015] SASCFC 102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Hogan</w:instrText>
      </w:r>
      <w:r w:rsidRPr="007809F4">
        <w:rPr>
          <w:rFonts w:asciiTheme="minorHAnsi" w:hAnsiTheme="minorHAnsi" w:cstheme="minorHAnsi"/>
        </w:rPr>
        <w:instrText xml:space="preserve"> [2015] SASCFC 102</w:instrText>
      </w:r>
      <w:r w:rsidRPr="00EB7F1E">
        <w:rPr>
          <w:rFonts w:asciiTheme="minorHAnsi" w:hAnsiTheme="minorHAnsi" w:cstheme="minorHAnsi"/>
        </w:rPr>
        <w:instrText xml:space="preserve">" \s "R v Hogan [2015] SASCFC 102" \c 1 </w:instrText>
      </w:r>
      <w:r w:rsidRPr="00EB7F1E">
        <w:rPr>
          <w:rFonts w:asciiTheme="minorHAnsi" w:hAnsiTheme="minorHAnsi" w:cstheme="minorHAnsi"/>
        </w:rPr>
        <w:fldChar w:fldCharType="end"/>
      </w:r>
      <w:r w:rsidRPr="007809F4">
        <w:rPr>
          <w:rFonts w:asciiTheme="minorHAnsi" w:hAnsiTheme="minorHAnsi" w:cstheme="minorHAnsi"/>
        </w:rPr>
        <w:t>, [76]-[78].</w:t>
      </w:r>
    </w:p>
  </w:footnote>
  <w:footnote w:id="839">
    <w:p w14:paraId="1C43320F" w14:textId="435AC7A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the applicable definition of “</w:t>
      </w:r>
      <w:r w:rsidRPr="007809F4">
        <w:rPr>
          <w:rFonts w:asciiTheme="minorHAnsi" w:hAnsiTheme="minorHAnsi" w:cstheme="minorHAnsi"/>
          <w:i/>
        </w:rPr>
        <w:t>sentence</w:t>
      </w:r>
      <w:r w:rsidRPr="007809F4">
        <w:rPr>
          <w:rFonts w:asciiTheme="minorHAnsi" w:hAnsiTheme="minorHAnsi" w:cstheme="minorHAnsi"/>
        </w:rPr>
        <w:t xml:space="preserve">” in s 16(1) of the </w:t>
      </w:r>
      <w:r w:rsidRPr="007809F4">
        <w:rPr>
          <w:rFonts w:asciiTheme="minorHAnsi" w:hAnsiTheme="minorHAnsi" w:cstheme="minorHAnsi"/>
          <w:i/>
        </w:rPr>
        <w:t>Crimes Act 1914</w:t>
      </w:r>
      <w:r w:rsidRPr="007809F4">
        <w:rPr>
          <w:rFonts w:asciiTheme="minorHAnsi" w:hAnsiTheme="minorHAnsi" w:cstheme="minorHAnsi"/>
        </w:rPr>
        <w:t xml:space="preserve"> (Cth).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840">
    <w:p w14:paraId="1493C9A8" w14:textId="77777777" w:rsidR="00D44BCF" w:rsidRPr="007809F4" w:rsidRDefault="00D44BCF" w:rsidP="00944D4E">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definition was amended by the </w:t>
      </w:r>
      <w:r w:rsidRPr="00EB7F1E">
        <w:rPr>
          <w:rFonts w:asciiTheme="minorHAnsi" w:hAnsiTheme="minorHAnsi" w:cstheme="minorHAnsi"/>
          <w:i/>
          <w:iCs/>
        </w:rPr>
        <w:t>National Security Legislation Amendment (Espionage and Foreign Interference) Act 2018</w:t>
      </w:r>
      <w:r w:rsidRPr="00EB7F1E">
        <w:rPr>
          <w:rFonts w:asciiTheme="minorHAnsi" w:hAnsiTheme="minorHAnsi" w:cstheme="minorHAnsi"/>
        </w:rPr>
        <w:t xml:space="preserve"> (Cth), with effect from 30 June 2018.  Prior to the amendments, “minimum non-parole period offence” also included other offences against Division 91 of the </w:t>
      </w:r>
      <w:r w:rsidRPr="00EB7F1E">
        <w:rPr>
          <w:rFonts w:asciiTheme="minorHAnsi" w:hAnsiTheme="minorHAnsi" w:cstheme="minorHAnsi"/>
          <w:i/>
        </w:rPr>
        <w:t>Criminal Code</w:t>
      </w:r>
      <w:r w:rsidRPr="00EB7F1E">
        <w:rPr>
          <w:rFonts w:asciiTheme="minorHAnsi" w:hAnsiTheme="minorHAnsi" w:cstheme="minorHAnsi"/>
        </w:rPr>
        <w:t xml:space="preserve"> (espionage, etc) and an offence against s 24AA of the </w:t>
      </w:r>
      <w:r w:rsidRPr="00EB7F1E">
        <w:rPr>
          <w:rFonts w:asciiTheme="minorHAnsi" w:hAnsiTheme="minorHAnsi" w:cstheme="minorHAnsi"/>
          <w:i/>
        </w:rPr>
        <w:t>Crimes Act 1914</w:t>
      </w:r>
      <w:r w:rsidRPr="00EB7F1E">
        <w:rPr>
          <w:rFonts w:asciiTheme="minorHAnsi" w:hAnsiTheme="minorHAnsi" w:cstheme="minorHAnsi"/>
        </w:rPr>
        <w:t xml:space="preserve"> (treachery).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841">
    <w:p w14:paraId="58E4350D" w14:textId="0CAA676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 [255]–[262].</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842">
    <w:p w14:paraId="42858F58" w14:textId="2AF1C57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19AJ; </w:t>
      </w:r>
      <w:r w:rsidRPr="007809F4">
        <w:rPr>
          <w:rFonts w:asciiTheme="minorHAnsi" w:hAnsiTheme="minorHAnsi" w:cstheme="minorHAnsi"/>
          <w:i/>
        </w:rPr>
        <w:t>Street v Tasmania Police</w:t>
      </w:r>
      <w:r w:rsidRPr="007809F4">
        <w:rPr>
          <w:rFonts w:asciiTheme="minorHAnsi" w:hAnsiTheme="minorHAnsi" w:cstheme="minorHAnsi"/>
        </w:rPr>
        <w:t xml:space="preserve"> [2016] TASSC 52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Street v Tasmania Police</w:instrText>
      </w:r>
      <w:r w:rsidRPr="007809F4">
        <w:rPr>
          <w:rFonts w:asciiTheme="minorHAnsi" w:hAnsiTheme="minorHAnsi" w:cstheme="minorHAnsi"/>
        </w:rPr>
        <w:instrText xml:space="preserve"> [2016] TASSC 52</w:instrText>
      </w:r>
      <w:r w:rsidRPr="00EB7F1E">
        <w:rPr>
          <w:rFonts w:asciiTheme="minorHAnsi" w:hAnsiTheme="minorHAnsi" w:cstheme="minorHAnsi"/>
        </w:rPr>
        <w:instrText xml:space="preserve">" \s "Street v Tasmania Police [2016] TASSC 52" \c 1 </w:instrText>
      </w:r>
      <w:r w:rsidRPr="00EB7F1E">
        <w:rPr>
          <w:rFonts w:asciiTheme="minorHAnsi" w:hAnsiTheme="minorHAnsi" w:cstheme="minorHAnsi"/>
        </w:rPr>
        <w:fldChar w:fldCharType="end"/>
      </w:r>
      <w:r w:rsidRPr="007809F4">
        <w:rPr>
          <w:rFonts w:asciiTheme="minorHAnsi" w:hAnsiTheme="minorHAnsi" w:cstheme="minorHAnsi"/>
        </w:rPr>
        <w:t>, [8].</w:t>
      </w:r>
    </w:p>
  </w:footnote>
  <w:footnote w:id="843">
    <w:p w14:paraId="18D8FE9C" w14:textId="18A1D65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19AJ; </w:t>
      </w:r>
      <w:r w:rsidRPr="007809F4">
        <w:rPr>
          <w:rFonts w:asciiTheme="minorHAnsi" w:hAnsiTheme="minorHAnsi" w:cstheme="minorHAnsi"/>
          <w:i/>
        </w:rPr>
        <w:t>R v Fulop</w:t>
      </w:r>
      <w:r w:rsidRPr="007809F4">
        <w:rPr>
          <w:rFonts w:asciiTheme="minorHAnsi" w:hAnsiTheme="minorHAnsi" w:cstheme="minorHAnsi"/>
        </w:rPr>
        <w:t xml:space="preserve"> [2009] VSCA 296</w:t>
      </w:r>
      <w:r w:rsidRPr="00EB7F1E">
        <w:rPr>
          <w:rFonts w:asciiTheme="minorHAnsi" w:hAnsiTheme="minorHAnsi" w:cstheme="minorHAnsi"/>
        </w:rPr>
        <w:fldChar w:fldCharType="begin"/>
      </w:r>
      <w:r w:rsidRPr="007809F4">
        <w:rPr>
          <w:rFonts w:asciiTheme="minorHAnsi" w:hAnsiTheme="minorHAnsi" w:cstheme="minorHAnsi"/>
        </w:rPr>
        <w:instrText xml:space="preserve"> TA \s "R v Fulop [2009] VSCA 296" </w:instrText>
      </w:r>
      <w:r w:rsidRPr="00EB7F1E">
        <w:rPr>
          <w:rFonts w:asciiTheme="minorHAnsi" w:hAnsiTheme="minorHAnsi" w:cstheme="minorHAnsi"/>
        </w:rPr>
        <w:fldChar w:fldCharType="end"/>
      </w:r>
      <w:r w:rsidRPr="007809F4">
        <w:rPr>
          <w:rFonts w:asciiTheme="minorHAnsi" w:hAnsiTheme="minorHAnsi" w:cstheme="minorHAnsi"/>
        </w:rPr>
        <w:t xml:space="preserve">, [9]; </w:t>
      </w:r>
      <w:r w:rsidRPr="007809F4">
        <w:rPr>
          <w:rFonts w:asciiTheme="minorHAnsi" w:hAnsiTheme="minorHAnsi" w:cstheme="minorHAnsi"/>
          <w:i/>
        </w:rPr>
        <w:t>Colbourn v R</w:t>
      </w:r>
      <w:r w:rsidRPr="007809F4">
        <w:rPr>
          <w:rFonts w:asciiTheme="minorHAnsi" w:hAnsiTheme="minorHAnsi" w:cstheme="minorHAnsi"/>
        </w:rPr>
        <w:t xml:space="preserve"> [2009] TASSC 108</w:t>
      </w:r>
      <w:r w:rsidRPr="00EB7F1E">
        <w:rPr>
          <w:rFonts w:asciiTheme="minorHAnsi" w:hAnsiTheme="minorHAnsi" w:cstheme="minorHAnsi"/>
        </w:rPr>
        <w:fldChar w:fldCharType="begin"/>
      </w:r>
      <w:r w:rsidRPr="007809F4">
        <w:rPr>
          <w:rFonts w:asciiTheme="minorHAnsi" w:hAnsiTheme="minorHAnsi" w:cstheme="minorHAnsi"/>
        </w:rPr>
        <w:instrText xml:space="preserve"> TA \s "Colbourn v R [2009] TASSC 108" </w:instrText>
      </w:r>
      <w:r w:rsidRPr="00EB7F1E">
        <w:rPr>
          <w:rFonts w:asciiTheme="minorHAnsi" w:hAnsiTheme="minorHAnsi" w:cstheme="minorHAnsi"/>
        </w:rPr>
        <w:fldChar w:fldCharType="end"/>
      </w:r>
      <w:r w:rsidRPr="007809F4">
        <w:rPr>
          <w:rFonts w:asciiTheme="minorHAnsi" w:hAnsiTheme="minorHAnsi" w:cstheme="minorHAnsi"/>
        </w:rPr>
        <w:t>, [21].</w:t>
      </w:r>
    </w:p>
  </w:footnote>
  <w:footnote w:id="844">
    <w:p w14:paraId="1867ED75" w14:textId="6BC74CE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R v Hutton</w:t>
      </w:r>
      <w:r w:rsidRPr="007809F4">
        <w:rPr>
          <w:rFonts w:asciiTheme="minorHAnsi" w:hAnsiTheme="minorHAnsi" w:cstheme="minorHAnsi"/>
        </w:rPr>
        <w:t xml:space="preserve"> [2004] NSWCCA 60</w:t>
      </w:r>
      <w:r w:rsidRPr="00EB7F1E">
        <w:rPr>
          <w:rFonts w:asciiTheme="minorHAnsi" w:hAnsiTheme="minorHAnsi" w:cstheme="minorHAnsi"/>
        </w:rPr>
        <w:fldChar w:fldCharType="begin"/>
      </w:r>
      <w:r w:rsidRPr="007809F4">
        <w:rPr>
          <w:rFonts w:asciiTheme="minorHAnsi" w:hAnsiTheme="minorHAnsi" w:cstheme="minorHAnsi"/>
        </w:rPr>
        <w:instrText xml:space="preserve"> TA \s "R v Hutton [2004] NSWCCA 60" </w:instrText>
      </w:r>
      <w:r w:rsidRPr="00EB7F1E">
        <w:rPr>
          <w:rFonts w:asciiTheme="minorHAnsi" w:hAnsiTheme="minorHAnsi" w:cstheme="minorHAnsi"/>
        </w:rPr>
        <w:fldChar w:fldCharType="end"/>
      </w:r>
      <w:r w:rsidRPr="007809F4">
        <w:rPr>
          <w:rFonts w:asciiTheme="minorHAnsi" w:hAnsiTheme="minorHAnsi" w:cstheme="minorHAnsi"/>
        </w:rPr>
        <w:t xml:space="preserve">, [17]-[28]; </w:t>
      </w:r>
      <w:r w:rsidRPr="007809F4">
        <w:rPr>
          <w:rFonts w:asciiTheme="minorHAnsi" w:hAnsiTheme="minorHAnsi" w:cstheme="minorHAnsi"/>
          <w:i/>
          <w:iCs/>
        </w:rPr>
        <w:t>Tu v R</w:t>
      </w:r>
      <w:r w:rsidRPr="007809F4">
        <w:rPr>
          <w:rFonts w:asciiTheme="minorHAnsi" w:hAnsiTheme="minorHAnsi" w:cstheme="minorHAnsi"/>
        </w:rPr>
        <w:t xml:space="preserve"> [2011] NSWCCA 31</w:t>
      </w:r>
      <w:r w:rsidRPr="00EB7F1E">
        <w:rPr>
          <w:rFonts w:asciiTheme="minorHAnsi" w:hAnsiTheme="minorHAnsi" w:cstheme="minorHAnsi"/>
        </w:rPr>
        <w:fldChar w:fldCharType="begin"/>
      </w:r>
      <w:r w:rsidRPr="007809F4">
        <w:rPr>
          <w:rFonts w:asciiTheme="minorHAnsi" w:hAnsiTheme="minorHAnsi" w:cstheme="minorHAnsi"/>
        </w:rPr>
        <w:instrText xml:space="preserve"> TA \s "Tu v R [2011] NSWCCA 31" </w:instrText>
      </w:r>
      <w:r w:rsidRPr="00EB7F1E">
        <w:rPr>
          <w:rFonts w:asciiTheme="minorHAnsi" w:hAnsiTheme="minorHAnsi" w:cstheme="minorHAnsi"/>
        </w:rPr>
        <w:fldChar w:fldCharType="end"/>
      </w:r>
      <w:r w:rsidRPr="007809F4">
        <w:rPr>
          <w:rFonts w:asciiTheme="minorHAnsi" w:hAnsiTheme="minorHAnsi" w:cstheme="minorHAnsi"/>
        </w:rPr>
        <w:t xml:space="preserve">, [111]-[112].  See also </w:t>
      </w:r>
      <w:r w:rsidRPr="007809F4">
        <w:rPr>
          <w:rFonts w:asciiTheme="minorHAnsi" w:hAnsiTheme="minorHAnsi" w:cstheme="minorHAnsi"/>
          <w:i/>
          <w:iCs/>
        </w:rPr>
        <w:t>Crimes Act 1914,</w:t>
      </w:r>
      <w:r w:rsidRPr="007809F4">
        <w:rPr>
          <w:rFonts w:asciiTheme="minorHAnsi" w:hAnsiTheme="minorHAnsi" w:cstheme="minorHAnsi"/>
        </w:rPr>
        <w:t xml:space="preserve"> s 19AH(1)(a).</w:t>
      </w:r>
    </w:p>
  </w:footnote>
  <w:footnote w:id="845">
    <w:p w14:paraId="2951F949" w14:textId="0003600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The available conditions are the same as those for a bond with conviction under s 20(1)(a).  See the discussion of the various conditions in “</w:t>
      </w:r>
      <w:r w:rsidRPr="00EB7F1E">
        <w:rPr>
          <w:rFonts w:asciiTheme="minorHAnsi" w:hAnsiTheme="minorHAnsi" w:cstheme="minorHAnsi"/>
        </w:rPr>
        <w:fldChar w:fldCharType="begin"/>
      </w:r>
      <w:r w:rsidRPr="007809F4">
        <w:rPr>
          <w:rFonts w:asciiTheme="minorHAnsi" w:hAnsiTheme="minorHAnsi" w:cstheme="minorHAnsi"/>
        </w:rPr>
        <w:instrText xml:space="preserve"> REF _Ref506654476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5.5</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_Ref506654479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Bond with conviction –</w:t>
      </w:r>
      <w:r w:rsidRPr="00EB7F1E">
        <w:rPr>
          <w:rFonts w:asciiTheme="minorHAnsi" w:hAnsiTheme="minorHAnsi" w:cstheme="minorHAnsi"/>
          <w:i/>
        </w:rPr>
        <w:t xml:space="preserve"> Crimes Act </w:t>
      </w:r>
      <w:r w:rsidRPr="00EB7F1E">
        <w:rPr>
          <w:rFonts w:asciiTheme="minorHAnsi" w:hAnsiTheme="minorHAnsi" w:cstheme="minorHAnsi"/>
        </w:rPr>
        <w:t>1914</w:t>
      </w:r>
      <w:r w:rsidRPr="00EB7F1E">
        <w:rPr>
          <w:rFonts w:asciiTheme="minorHAnsi" w:hAnsiTheme="minorHAnsi" w:cstheme="minorHAnsi"/>
        </w:rPr>
        <w:fldChar w:fldCharType="end"/>
      </w:r>
      <w:r w:rsidRPr="007809F4">
        <w:rPr>
          <w:rFonts w:asciiTheme="minorHAnsi" w:hAnsiTheme="minorHAnsi" w:cstheme="minorHAnsi"/>
        </w:rPr>
        <w:t>”.</w:t>
      </w:r>
    </w:p>
  </w:footnote>
  <w:footnote w:id="846">
    <w:p w14:paraId="35537CB8"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De Hollander v R </w:t>
      </w:r>
      <w:r w:rsidRPr="007809F4">
        <w:rPr>
          <w:rFonts w:asciiTheme="minorHAnsi" w:hAnsiTheme="minorHAnsi" w:cstheme="minorHAnsi"/>
        </w:rPr>
        <w:t>[2012] WASCA 127</w:t>
      </w:r>
      <w:r w:rsidRPr="00EB7F1E">
        <w:rPr>
          <w:rFonts w:asciiTheme="minorHAnsi" w:hAnsiTheme="minorHAnsi" w:cstheme="minorHAnsi"/>
        </w:rPr>
        <w:fldChar w:fldCharType="begin"/>
      </w:r>
      <w:r w:rsidRPr="007809F4">
        <w:rPr>
          <w:rFonts w:asciiTheme="minorHAnsi" w:hAnsiTheme="minorHAnsi" w:cstheme="minorHAnsi"/>
        </w:rPr>
        <w:instrText xml:space="preserve"> TA \s "De Hollander v R [2012] WASCA 127" </w:instrText>
      </w:r>
      <w:r w:rsidRPr="00EB7F1E">
        <w:rPr>
          <w:rFonts w:asciiTheme="minorHAnsi" w:hAnsiTheme="minorHAnsi" w:cstheme="minorHAnsi"/>
        </w:rPr>
        <w:fldChar w:fldCharType="end"/>
      </w:r>
      <w:r w:rsidRPr="007809F4">
        <w:rPr>
          <w:rFonts w:asciiTheme="minorHAnsi" w:hAnsiTheme="minorHAnsi" w:cstheme="minorHAnsi"/>
        </w:rPr>
        <w:t xml:space="preserve"> [86]; </w:t>
      </w:r>
      <w:r w:rsidRPr="007809F4">
        <w:rPr>
          <w:rFonts w:asciiTheme="minorHAnsi" w:hAnsiTheme="minorHAnsi" w:cstheme="minorHAnsi"/>
          <w:i/>
        </w:rPr>
        <w:t xml:space="preserve">Larkin v R </w:t>
      </w:r>
      <w:r w:rsidRPr="007809F4">
        <w:rPr>
          <w:rFonts w:asciiTheme="minorHAnsi" w:hAnsiTheme="minorHAnsi" w:cstheme="minorHAnsi"/>
        </w:rPr>
        <w:t>[2012] WASCA 238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Larkin v R </w:instrText>
      </w:r>
      <w:r w:rsidRPr="007809F4">
        <w:rPr>
          <w:rFonts w:asciiTheme="minorHAnsi" w:hAnsiTheme="minorHAnsi" w:cstheme="minorHAnsi"/>
        </w:rPr>
        <w:instrText xml:space="preserve">[2012] WASCA 238" \s "Larkin v R [2012] WASCA 238"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"Larkin v R [2012] WASCA 238" </w:instrText>
      </w:r>
      <w:r w:rsidRPr="00EB7F1E">
        <w:rPr>
          <w:rFonts w:asciiTheme="minorHAnsi" w:hAnsiTheme="minorHAnsi" w:cstheme="minorHAnsi"/>
        </w:rPr>
        <w:fldChar w:fldCharType="end"/>
      </w:r>
      <w:r w:rsidRPr="007809F4">
        <w:rPr>
          <w:rFonts w:asciiTheme="minorHAnsi" w:hAnsiTheme="minorHAnsi" w:cstheme="minorHAnsi"/>
        </w:rPr>
        <w:t xml:space="preserve"> [75]-[76].</w:t>
      </w:r>
    </w:p>
  </w:footnote>
  <w:footnote w:id="847">
    <w:p w14:paraId="416A5E20" w14:textId="1D572BD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Form 12 of Schedule </w:t>
      </w:r>
      <w:r w:rsidRPr="00EB7F1E">
        <w:rPr>
          <w:rFonts w:asciiTheme="minorHAnsi" w:hAnsiTheme="minorHAnsi" w:cstheme="minorHAnsi"/>
          <w:color w:val="548DD4" w:themeColor="text2" w:themeTint="99"/>
        </w:rPr>
        <w:t>1</w:t>
      </w:r>
      <w:r w:rsidRPr="007809F4">
        <w:rPr>
          <w:rFonts w:asciiTheme="minorHAnsi" w:hAnsiTheme="minorHAnsi" w:cstheme="minorHAnsi"/>
        </w:rPr>
        <w:t xml:space="preserve"> of the </w:t>
      </w:r>
      <w:r w:rsidRPr="007809F4">
        <w:rPr>
          <w:rFonts w:asciiTheme="minorHAnsi" w:hAnsiTheme="minorHAnsi" w:cstheme="minorHAnsi"/>
          <w:i/>
        </w:rPr>
        <w:t xml:space="preserve">Crimes Regulations </w:t>
      </w:r>
      <w:r w:rsidRPr="00EB7F1E">
        <w:rPr>
          <w:rFonts w:asciiTheme="minorHAnsi" w:hAnsiTheme="minorHAnsi" w:cstheme="minorHAnsi"/>
          <w:i/>
          <w:color w:val="548DD4" w:themeColor="text2" w:themeTint="99"/>
        </w:rPr>
        <w:t>2019</w:t>
      </w:r>
      <w:r w:rsidRPr="007809F4">
        <w:rPr>
          <w:rFonts w:asciiTheme="minorHAnsi" w:hAnsiTheme="minorHAnsi" w:cstheme="minorHAnsi"/>
          <w:i/>
        </w:rPr>
        <w:t xml:space="preserve"> </w:t>
      </w:r>
      <w:r w:rsidRPr="007809F4">
        <w:rPr>
          <w:rFonts w:asciiTheme="minorHAnsi" w:hAnsiTheme="minorHAnsi" w:cstheme="minorHAnsi"/>
        </w:rPr>
        <w:t>(Cth).</w:t>
      </w:r>
    </w:p>
  </w:footnote>
  <w:footnote w:id="848">
    <w:p w14:paraId="4023C592" w14:textId="7A2416F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Cole</w:t>
      </w:r>
      <w:r w:rsidRPr="007809F4">
        <w:rPr>
          <w:rFonts w:asciiTheme="minorHAnsi" w:hAnsiTheme="minorHAnsi" w:cstheme="minorHAnsi"/>
        </w:rPr>
        <w:t xml:space="preserve"> (2005) 91 SASR 480</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Cole (2005) 91 SASR 480"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Woods</w:t>
      </w:r>
      <w:r w:rsidRPr="007809F4">
        <w:rPr>
          <w:rFonts w:asciiTheme="minorHAnsi" w:hAnsiTheme="minorHAnsi" w:cstheme="minorHAnsi"/>
        </w:rPr>
        <w:t xml:space="preserve"> (2009) 24 NTLR 77.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Woods</w:instrText>
      </w:r>
      <w:r w:rsidRPr="007809F4">
        <w:rPr>
          <w:rFonts w:asciiTheme="minorHAnsi" w:hAnsiTheme="minorHAnsi" w:cstheme="minorHAnsi"/>
        </w:rPr>
        <w:instrText xml:space="preserve"> (2009) 24 NTLR 77" \s "R v Woods (2009) 24 NTLR 77"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Woods (2009) 24 NTLR 77" </w:instrText>
      </w:r>
      <w:r w:rsidRPr="00EB7F1E">
        <w:rPr>
          <w:rFonts w:asciiTheme="minorHAnsi" w:hAnsiTheme="minorHAnsi" w:cstheme="minorHAnsi"/>
        </w:rPr>
        <w:fldChar w:fldCharType="end"/>
      </w:r>
    </w:p>
  </w:footnote>
  <w:footnote w:id="849">
    <w:p w14:paraId="7E3223DA"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Assafiri (No.2) v R</w:t>
      </w:r>
      <w:r w:rsidRPr="007809F4">
        <w:rPr>
          <w:rFonts w:asciiTheme="minorHAnsi" w:hAnsiTheme="minorHAnsi" w:cstheme="minorHAnsi"/>
        </w:rPr>
        <w:t xml:space="preserve"> [2007] NSWCCA 356</w:t>
      </w:r>
      <w:r w:rsidRPr="00EB7F1E">
        <w:rPr>
          <w:rFonts w:asciiTheme="minorHAnsi" w:hAnsiTheme="minorHAnsi" w:cstheme="minorHAnsi"/>
        </w:rPr>
        <w:fldChar w:fldCharType="begin"/>
      </w:r>
      <w:r w:rsidRPr="007809F4">
        <w:rPr>
          <w:rFonts w:asciiTheme="minorHAnsi" w:hAnsiTheme="minorHAnsi" w:cstheme="minorHAnsi"/>
        </w:rPr>
        <w:instrText xml:space="preserve"> TA \s "Assafiri (No.2) v R [2007] NSWCCA 356" </w:instrText>
      </w:r>
      <w:r w:rsidRPr="00EB7F1E">
        <w:rPr>
          <w:rFonts w:asciiTheme="minorHAnsi" w:hAnsiTheme="minorHAnsi" w:cstheme="minorHAnsi"/>
        </w:rPr>
        <w:fldChar w:fldCharType="end"/>
      </w:r>
      <w:r w:rsidRPr="007809F4">
        <w:rPr>
          <w:rFonts w:asciiTheme="minorHAnsi" w:hAnsiTheme="minorHAnsi" w:cstheme="minorHAnsi"/>
        </w:rPr>
        <w:t>, [1].</w:t>
      </w:r>
    </w:p>
  </w:footnote>
  <w:footnote w:id="850">
    <w:p w14:paraId="446DAA71" w14:textId="5592A0D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Schultz</w:t>
      </w:r>
      <w:r w:rsidRPr="007809F4">
        <w:rPr>
          <w:rFonts w:asciiTheme="minorHAnsi" w:hAnsiTheme="minorHAnsi" w:cstheme="minorHAnsi"/>
        </w:rPr>
        <w:t xml:space="preserve"> [2008] NSWCCA 199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Schultz</w:instrText>
      </w:r>
      <w:r w:rsidRPr="007809F4">
        <w:rPr>
          <w:rFonts w:asciiTheme="minorHAnsi" w:hAnsiTheme="minorHAnsi" w:cstheme="minorHAnsi"/>
        </w:rPr>
        <w:instrText xml:space="preserve"> [2008] NSWCCA 199" \s "R v Schultz [2008] NSWCCA 199"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Schultz [2008] NSWCCA 199" </w:instrText>
      </w:r>
      <w:r w:rsidRPr="00EB7F1E">
        <w:rPr>
          <w:rFonts w:asciiTheme="minorHAnsi" w:hAnsiTheme="minorHAnsi" w:cstheme="minorHAnsi"/>
        </w:rPr>
        <w:fldChar w:fldCharType="end"/>
      </w:r>
      <w:r w:rsidRPr="007809F4">
        <w:rPr>
          <w:rFonts w:asciiTheme="minorHAnsi" w:hAnsiTheme="minorHAnsi" w:cstheme="minorHAnsi"/>
        </w:rPr>
        <w:t xml:space="preserve">, [13]; </w:t>
      </w:r>
      <w:r w:rsidRPr="007809F4">
        <w:rPr>
          <w:rFonts w:asciiTheme="minorHAnsi" w:hAnsiTheme="minorHAnsi" w:cstheme="minorHAnsi"/>
          <w:i/>
          <w:iCs/>
          <w:noProof/>
        </w:rPr>
        <w:t xml:space="preserve">DPP (Cth) v Couper </w:t>
      </w:r>
      <w:r w:rsidRPr="007809F4">
        <w:rPr>
          <w:rFonts w:asciiTheme="minorHAnsi" w:hAnsiTheme="minorHAnsi" w:cstheme="minorHAnsi"/>
        </w:rPr>
        <w:t>(2013) 41 VR 128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Couper (2013) 41 VR 128" </w:instrText>
      </w:r>
      <w:r w:rsidRPr="00EB7F1E">
        <w:rPr>
          <w:rFonts w:asciiTheme="minorHAnsi" w:hAnsiTheme="minorHAnsi" w:cstheme="minorHAnsi"/>
        </w:rPr>
        <w:fldChar w:fldCharType="end"/>
      </w:r>
      <w:r w:rsidRPr="007809F4">
        <w:rPr>
          <w:rFonts w:asciiTheme="minorHAnsi" w:hAnsiTheme="minorHAnsi" w:cstheme="minorHAnsi"/>
        </w:rPr>
        <w:t xml:space="preserve">, [122]–[129]; </w:t>
      </w:r>
      <w:r w:rsidRPr="00EB7F1E">
        <w:rPr>
          <w:rFonts w:asciiTheme="minorHAnsi" w:hAnsiTheme="minorHAnsi" w:cstheme="minorHAnsi"/>
          <w:i/>
        </w:rPr>
        <w:t>R v Hutchinson</w:t>
      </w:r>
      <w:r w:rsidRPr="007809F4">
        <w:rPr>
          <w:rFonts w:asciiTheme="minorHAnsi" w:hAnsiTheme="minorHAnsi" w:cstheme="minorHAnsi"/>
        </w:rPr>
        <w:t xml:space="preserve"> [2018] NSWCCA 152</w:t>
      </w:r>
      <w:r w:rsidRPr="00EB7F1E">
        <w:rPr>
          <w:rFonts w:asciiTheme="minorHAnsi" w:hAnsiTheme="minorHAnsi" w:cstheme="minorHAnsi"/>
        </w:rPr>
        <w:fldChar w:fldCharType="begin"/>
      </w:r>
      <w:r w:rsidRPr="00EB7F1E">
        <w:rPr>
          <w:rFonts w:asciiTheme="minorHAnsi" w:hAnsiTheme="minorHAnsi" w:cstheme="minorHAnsi"/>
        </w:rPr>
        <w:instrText xml:space="preserve"> TA \s "R v Hutchinson [2018] NSWCCA 152" </w:instrText>
      </w:r>
      <w:r w:rsidRPr="00EB7F1E">
        <w:rPr>
          <w:rFonts w:asciiTheme="minorHAnsi" w:hAnsiTheme="minorHAnsi" w:cstheme="minorHAnsi"/>
        </w:rPr>
        <w:fldChar w:fldCharType="end"/>
      </w:r>
      <w:r w:rsidRPr="007809F4">
        <w:rPr>
          <w:rFonts w:asciiTheme="minorHAnsi" w:hAnsiTheme="minorHAnsi" w:cstheme="minorHAnsi"/>
        </w:rPr>
        <w:t>, [65].</w:t>
      </w:r>
    </w:p>
  </w:footnote>
  <w:footnote w:id="851">
    <w:p w14:paraId="506F3EA1" w14:textId="02326B9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O’Brien v R</w:t>
      </w:r>
      <w:r w:rsidRPr="007809F4">
        <w:rPr>
          <w:rFonts w:asciiTheme="minorHAnsi" w:hAnsiTheme="minorHAnsi" w:cstheme="minorHAnsi"/>
        </w:rPr>
        <w:t xml:space="preserve"> (1991) 57 A Crim R 80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O’Brien v R</w:instrText>
      </w:r>
      <w:r w:rsidRPr="007809F4">
        <w:rPr>
          <w:rFonts w:asciiTheme="minorHAnsi" w:hAnsiTheme="minorHAnsi" w:cstheme="minorHAnsi"/>
        </w:rPr>
        <w:instrText xml:space="preserve"> (1991) 57 A Crim R 80" \s "O’Brien v R (1991) 57 A Crim R 80" \c 1 </w:instrText>
      </w:r>
      <w:r w:rsidRPr="00EB7F1E">
        <w:rPr>
          <w:rFonts w:asciiTheme="minorHAnsi" w:hAnsiTheme="minorHAnsi" w:cstheme="minorHAnsi"/>
        </w:rPr>
        <w:fldChar w:fldCharType="end"/>
      </w:r>
      <w:r w:rsidRPr="007809F4">
        <w:rPr>
          <w:rFonts w:asciiTheme="minorHAnsi" w:hAnsiTheme="minorHAnsi" w:cstheme="minorHAnsi"/>
        </w:rPr>
        <w:t xml:space="preserve">.  In </w:t>
      </w:r>
      <w:r w:rsidRPr="007809F4">
        <w:rPr>
          <w:rFonts w:asciiTheme="minorHAnsi" w:hAnsiTheme="minorHAnsi" w:cstheme="minorHAnsi"/>
          <w:i/>
        </w:rPr>
        <w:t>O’Brien</w:t>
      </w:r>
      <w:r w:rsidRPr="007809F4">
        <w:rPr>
          <w:rFonts w:asciiTheme="minorHAnsi" w:hAnsiTheme="minorHAnsi" w:cstheme="minorHAnsi"/>
        </w:rPr>
        <w:t>, for practical reasons the court did not in fact extend the bond beyond the end of the federal sentence.</w:t>
      </w:r>
    </w:p>
  </w:footnote>
  <w:footnote w:id="852">
    <w:p w14:paraId="635CE512" w14:textId="6357109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Walsh v R</w:t>
      </w:r>
      <w:r w:rsidRPr="007809F4">
        <w:rPr>
          <w:rFonts w:asciiTheme="minorHAnsi" w:hAnsiTheme="minorHAnsi" w:cstheme="minorHAnsi"/>
        </w:rPr>
        <w:t xml:space="preserve"> (1993) 69 A Crim R 579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Walsh v R</w:instrText>
      </w:r>
      <w:r w:rsidRPr="007809F4">
        <w:rPr>
          <w:rFonts w:asciiTheme="minorHAnsi" w:hAnsiTheme="minorHAnsi" w:cstheme="minorHAnsi"/>
        </w:rPr>
        <w:instrText xml:space="preserve"> (1993) 69 A Crim R 579" \s "Walsh v R (1993) 69 A Crim R 579" \c 1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Edwards v Pregnell</w:t>
      </w:r>
      <w:r w:rsidRPr="007809F4">
        <w:rPr>
          <w:rFonts w:asciiTheme="minorHAnsi" w:hAnsiTheme="minorHAnsi" w:cstheme="minorHAnsi"/>
        </w:rPr>
        <w:t xml:space="preserve"> (1994)</w:t>
      </w:r>
      <w:r w:rsidRPr="007809F4">
        <w:rPr>
          <w:rStyle w:val="Heading1Char"/>
          <w:rFonts w:asciiTheme="minorHAnsi" w:hAnsiTheme="minorHAnsi" w:cstheme="minorHAnsi"/>
          <w:sz w:val="20"/>
          <w:szCs w:val="20"/>
        </w:rPr>
        <w:t xml:space="preserve"> </w:t>
      </w:r>
      <w:r w:rsidRPr="007809F4">
        <w:rPr>
          <w:rFonts w:asciiTheme="minorHAnsi" w:hAnsiTheme="minorHAnsi" w:cstheme="minorHAnsi"/>
        </w:rPr>
        <w:t xml:space="preserve">74 A Crim R 509, 511–513; </w:t>
      </w:r>
      <w:r w:rsidRPr="007809F4">
        <w:rPr>
          <w:rFonts w:asciiTheme="minorHAnsi" w:hAnsiTheme="minorHAnsi" w:cstheme="minorHAnsi"/>
          <w:i/>
        </w:rPr>
        <w:t>R v Woods</w:t>
      </w:r>
      <w:r w:rsidRPr="007809F4">
        <w:rPr>
          <w:rFonts w:asciiTheme="minorHAnsi" w:hAnsiTheme="minorHAnsi" w:cstheme="minorHAnsi"/>
        </w:rPr>
        <w:t xml:space="preserve"> [1999] ACTSC 60, [92], in which the decisions in </w:t>
      </w:r>
      <w:r w:rsidRPr="007809F4">
        <w:rPr>
          <w:rFonts w:asciiTheme="minorHAnsi" w:hAnsiTheme="minorHAnsi" w:cstheme="minorHAnsi"/>
          <w:i/>
        </w:rPr>
        <w:t>O’Brien</w:t>
      </w:r>
      <w:r w:rsidRPr="007809F4">
        <w:rPr>
          <w:rFonts w:asciiTheme="minorHAnsi" w:hAnsiTheme="minorHAnsi" w:cstheme="minorHAnsi"/>
        </w:rPr>
        <w:t xml:space="preserve"> and </w:t>
      </w:r>
      <w:r w:rsidRPr="007809F4">
        <w:rPr>
          <w:rFonts w:asciiTheme="minorHAnsi" w:hAnsiTheme="minorHAnsi" w:cstheme="minorHAnsi"/>
          <w:i/>
        </w:rPr>
        <w:t>Walsh</w:t>
      </w:r>
      <w:r w:rsidRPr="007809F4">
        <w:rPr>
          <w:rFonts w:asciiTheme="minorHAnsi" w:hAnsiTheme="minorHAnsi" w:cstheme="minorHAnsi"/>
        </w:rPr>
        <w:t xml:space="preserve"> were followed.</w:t>
      </w:r>
    </w:p>
  </w:footnote>
  <w:footnote w:id="853">
    <w:p w14:paraId="566B3854" w14:textId="78C1435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Selimoski v Picknoll </w:t>
      </w:r>
      <w:r w:rsidRPr="007809F4">
        <w:rPr>
          <w:rFonts w:asciiTheme="minorHAnsi" w:hAnsiTheme="minorHAnsi" w:cstheme="minorHAnsi"/>
        </w:rPr>
        <w:t>(WA SC (Full Court), 9 October 1992,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\s "Selimoski v Picknoll (WA SC (Full Court), 9 October 1992, unreported)" </w:instrText>
      </w:r>
      <w:r w:rsidRPr="00EB7F1E">
        <w:rPr>
          <w:rFonts w:asciiTheme="minorHAnsi" w:hAnsiTheme="minorHAnsi" w:cstheme="minorHAnsi"/>
        </w:rPr>
        <w:fldChar w:fldCharType="end"/>
      </w:r>
      <w:r w:rsidRPr="007809F4">
        <w:rPr>
          <w:rFonts w:asciiTheme="minorHAnsi" w:hAnsiTheme="minorHAnsi" w:cstheme="minorHAnsi"/>
          <w:iCs/>
          <w:noProof/>
        </w:rPr>
        <w:t>.</w:t>
      </w:r>
    </w:p>
  </w:footnote>
  <w:footnote w:id="854">
    <w:p w14:paraId="21155448" w14:textId="055DC9D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_Ref507257837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5.10.21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_Ref507257843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Breach of RRO</w:t>
      </w:r>
      <w:r w:rsidRPr="00EB7F1E">
        <w:rPr>
          <w:rFonts w:asciiTheme="minorHAnsi" w:hAnsiTheme="minorHAnsi" w:cstheme="minorHAnsi"/>
        </w:rPr>
        <w:fldChar w:fldCharType="end"/>
      </w:r>
      <w:r w:rsidRPr="007809F4">
        <w:rPr>
          <w:rFonts w:asciiTheme="minorHAnsi" w:hAnsiTheme="minorHAnsi" w:cstheme="minorHAnsi"/>
        </w:rPr>
        <w:t>”.</w:t>
      </w:r>
    </w:p>
  </w:footnote>
  <w:footnote w:id="855">
    <w:p w14:paraId="54A0BBD7" w14:textId="5ABDF27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Smith</w:t>
      </w:r>
      <w:r w:rsidRPr="007809F4">
        <w:rPr>
          <w:rFonts w:asciiTheme="minorHAnsi" w:hAnsiTheme="minorHAnsi" w:cstheme="minorHAnsi"/>
        </w:rPr>
        <w:t xml:space="preserve"> [2004] QCA 417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Smith</w:instrText>
      </w:r>
      <w:r w:rsidRPr="007809F4">
        <w:rPr>
          <w:rFonts w:asciiTheme="minorHAnsi" w:hAnsiTheme="minorHAnsi" w:cstheme="minorHAnsi"/>
        </w:rPr>
        <w:instrText xml:space="preserve"> [2004] QCA 417</w:instrText>
      </w:r>
      <w:r w:rsidRPr="00EB7F1E">
        <w:rPr>
          <w:rFonts w:asciiTheme="minorHAnsi" w:hAnsiTheme="minorHAnsi" w:cstheme="minorHAnsi"/>
        </w:rPr>
        <w:instrText xml:space="preserve">" \s "R v Smith [2004] QCA 417" \c 1 </w:instrText>
      </w:r>
      <w:r w:rsidRPr="00EB7F1E">
        <w:rPr>
          <w:rFonts w:asciiTheme="minorHAnsi" w:hAnsiTheme="minorHAnsi" w:cstheme="minorHAnsi"/>
        </w:rPr>
        <w:fldChar w:fldCharType="end"/>
      </w:r>
      <w:r w:rsidRPr="007809F4">
        <w:rPr>
          <w:rFonts w:asciiTheme="minorHAnsi" w:hAnsiTheme="minorHAnsi" w:cstheme="minorHAnsi"/>
        </w:rPr>
        <w:t>, [3]-[9].</w:t>
      </w:r>
    </w:p>
  </w:footnote>
  <w:footnote w:id="856">
    <w:p w14:paraId="389DD126" w14:textId="655FCF8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Campbell</w:t>
      </w:r>
      <w:r w:rsidRPr="007809F4">
        <w:rPr>
          <w:rFonts w:asciiTheme="minorHAnsi" w:hAnsiTheme="minorHAnsi" w:cstheme="minorHAnsi"/>
        </w:rPr>
        <w:t xml:space="preserve"> (1997) 95 A Crim R 391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Campbell</w:instrText>
      </w:r>
      <w:r w:rsidRPr="007809F4">
        <w:rPr>
          <w:rFonts w:asciiTheme="minorHAnsi" w:hAnsiTheme="minorHAnsi" w:cstheme="minorHAnsi"/>
        </w:rPr>
        <w:instrText xml:space="preserve"> (1997) 95 A Crim R 391</w:instrText>
      </w:r>
      <w:r w:rsidRPr="00EB7F1E">
        <w:rPr>
          <w:rFonts w:asciiTheme="minorHAnsi" w:hAnsiTheme="minorHAnsi" w:cstheme="minorHAnsi"/>
        </w:rPr>
        <w:instrText xml:space="preserve">" \s "R v Campbell (1997) 95 A Crim R 391" \c 1 </w:instrText>
      </w:r>
      <w:r w:rsidRPr="00EB7F1E">
        <w:rPr>
          <w:rFonts w:asciiTheme="minorHAnsi" w:hAnsiTheme="minorHAnsi" w:cstheme="minorHAnsi"/>
        </w:rPr>
        <w:fldChar w:fldCharType="end"/>
      </w:r>
      <w:r w:rsidRPr="007809F4">
        <w:rPr>
          <w:rFonts w:asciiTheme="minorHAnsi" w:hAnsiTheme="minorHAnsi" w:cstheme="minorHAnsi"/>
        </w:rPr>
        <w:t>, 397-8;</w:t>
      </w:r>
      <w:r w:rsidRPr="007809F4">
        <w:rPr>
          <w:rStyle w:val="ssleftalign"/>
          <w:rFonts w:asciiTheme="minorHAnsi" w:hAnsiTheme="minorHAnsi" w:cstheme="minorHAnsi"/>
        </w:rPr>
        <w:t xml:space="preserve"> </w:t>
      </w:r>
      <w:r w:rsidRPr="007809F4">
        <w:rPr>
          <w:rFonts w:asciiTheme="minorHAnsi" w:hAnsiTheme="minorHAnsi" w:cstheme="minorHAnsi"/>
          <w:i/>
        </w:rPr>
        <w:t>Fowler v Gualberto</w:t>
      </w:r>
      <w:r w:rsidRPr="007809F4">
        <w:rPr>
          <w:rFonts w:asciiTheme="minorHAnsi" w:hAnsiTheme="minorHAnsi" w:cstheme="minorHAnsi"/>
        </w:rPr>
        <w:t xml:space="preserve"> [2006] ACTSC 106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Fowler v Gualberto</w:instrText>
      </w:r>
      <w:r w:rsidRPr="007809F4">
        <w:rPr>
          <w:rFonts w:asciiTheme="minorHAnsi" w:hAnsiTheme="minorHAnsi" w:cstheme="minorHAnsi"/>
        </w:rPr>
        <w:instrText xml:space="preserve"> [2006] ACTSC 106</w:instrText>
      </w:r>
      <w:r w:rsidRPr="00EB7F1E">
        <w:rPr>
          <w:rFonts w:asciiTheme="minorHAnsi" w:hAnsiTheme="minorHAnsi" w:cstheme="minorHAnsi"/>
        </w:rPr>
        <w:instrText xml:space="preserve">" \s "Fowler v Gualberto [2006] ACTSC 106" \c 1 </w:instrText>
      </w:r>
      <w:r w:rsidRPr="00EB7F1E">
        <w:rPr>
          <w:rFonts w:asciiTheme="minorHAnsi" w:hAnsiTheme="minorHAnsi" w:cstheme="minorHAnsi"/>
        </w:rPr>
        <w:fldChar w:fldCharType="end"/>
      </w:r>
      <w:r w:rsidRPr="007809F4">
        <w:rPr>
          <w:rFonts w:asciiTheme="minorHAnsi" w:hAnsiTheme="minorHAnsi" w:cstheme="minorHAnsi"/>
        </w:rPr>
        <w:t xml:space="preserve">, [12]-[16]; </w:t>
      </w:r>
      <w:r w:rsidRPr="007809F4">
        <w:rPr>
          <w:rFonts w:asciiTheme="minorHAnsi" w:hAnsiTheme="minorHAnsi" w:cstheme="minorHAnsi"/>
          <w:i/>
        </w:rPr>
        <w:t>R v MB</w:t>
      </w:r>
      <w:r w:rsidRPr="007809F4">
        <w:rPr>
          <w:rFonts w:asciiTheme="minorHAnsi" w:hAnsiTheme="minorHAnsi" w:cstheme="minorHAnsi"/>
        </w:rPr>
        <w:t xml:space="preserve"> [2014] ACTSC 399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MB</w:instrText>
      </w:r>
      <w:r w:rsidRPr="007809F4">
        <w:rPr>
          <w:rFonts w:asciiTheme="minorHAnsi" w:hAnsiTheme="minorHAnsi" w:cstheme="minorHAnsi"/>
        </w:rPr>
        <w:instrText xml:space="preserve"> [2014] ACTSC 399</w:instrText>
      </w:r>
      <w:r w:rsidRPr="00EB7F1E">
        <w:rPr>
          <w:rFonts w:asciiTheme="minorHAnsi" w:hAnsiTheme="minorHAnsi" w:cstheme="minorHAnsi"/>
        </w:rPr>
        <w:instrText xml:space="preserve">" \s "R v MB [2014] ACTSC 399" \c 1 </w:instrText>
      </w:r>
      <w:r w:rsidRPr="00EB7F1E">
        <w:rPr>
          <w:rFonts w:asciiTheme="minorHAnsi" w:hAnsiTheme="minorHAnsi" w:cstheme="minorHAnsi"/>
        </w:rPr>
        <w:fldChar w:fldCharType="end"/>
      </w:r>
      <w:r w:rsidRPr="007809F4">
        <w:rPr>
          <w:rFonts w:asciiTheme="minorHAnsi" w:hAnsiTheme="minorHAnsi" w:cstheme="minorHAnsi"/>
        </w:rPr>
        <w:t>, [32].</w:t>
      </w:r>
    </w:p>
  </w:footnote>
  <w:footnote w:id="857">
    <w:p w14:paraId="42CD045D" w14:textId="6AE3457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Hayes v R</w:t>
      </w:r>
      <w:r w:rsidRPr="007809F4">
        <w:rPr>
          <w:rFonts w:asciiTheme="minorHAnsi" w:hAnsiTheme="minorHAnsi" w:cstheme="minorHAnsi"/>
        </w:rPr>
        <w:t xml:space="preserve"> [2014] VSCA 309</w:t>
      </w:r>
      <w:r w:rsidRPr="00EB7F1E">
        <w:rPr>
          <w:rFonts w:asciiTheme="minorHAnsi" w:hAnsiTheme="minorHAnsi" w:cstheme="minorHAnsi"/>
        </w:rPr>
        <w:fldChar w:fldCharType="begin"/>
      </w:r>
      <w:r w:rsidRPr="00EB7F1E">
        <w:rPr>
          <w:rFonts w:asciiTheme="minorHAnsi" w:hAnsiTheme="minorHAnsi" w:cstheme="minorHAnsi"/>
        </w:rPr>
        <w:instrText xml:space="preserve"> TA \s "Hayes v R [2014] VSCA 309" </w:instrText>
      </w:r>
      <w:r w:rsidRPr="00EB7F1E">
        <w:rPr>
          <w:rFonts w:asciiTheme="minorHAnsi" w:hAnsiTheme="minorHAnsi" w:cstheme="minorHAnsi"/>
        </w:rPr>
        <w:fldChar w:fldCharType="end"/>
      </w:r>
      <w:r w:rsidRPr="007809F4">
        <w:rPr>
          <w:rFonts w:asciiTheme="minorHAnsi" w:hAnsiTheme="minorHAnsi" w:cstheme="minorHAnsi"/>
        </w:rPr>
        <w:t>, [9], [26].  As to the general power to make a reparation order, see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_Ref494544049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6.1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_Ref494544049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Reparation – Crimes Act 1914, s 21B</w:t>
      </w:r>
      <w:r w:rsidRPr="00EB7F1E">
        <w:rPr>
          <w:rFonts w:asciiTheme="minorHAnsi" w:hAnsiTheme="minorHAnsi" w:cstheme="minorHAnsi"/>
        </w:rPr>
        <w:fldChar w:fldCharType="end"/>
      </w:r>
      <w:r w:rsidRPr="007809F4">
        <w:rPr>
          <w:rFonts w:asciiTheme="minorHAnsi" w:hAnsiTheme="minorHAnsi" w:cstheme="minorHAnsi"/>
        </w:rPr>
        <w:t>”.</w:t>
      </w:r>
    </w:p>
  </w:footnote>
  <w:footnote w:id="858">
    <w:p w14:paraId="6E398746"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Keur</w:t>
      </w:r>
      <w:r w:rsidRPr="007809F4">
        <w:rPr>
          <w:rFonts w:asciiTheme="minorHAnsi" w:hAnsiTheme="minorHAnsi" w:cstheme="minorHAnsi"/>
        </w:rPr>
        <w:t xml:space="preserve"> (1973) 7 SASR 13</w:t>
      </w:r>
      <w:r w:rsidRPr="00EB7F1E">
        <w:rPr>
          <w:rFonts w:asciiTheme="minorHAnsi" w:hAnsiTheme="minorHAnsi" w:cstheme="minorHAnsi"/>
        </w:rPr>
        <w:fldChar w:fldCharType="begin"/>
      </w:r>
      <w:r w:rsidRPr="007809F4">
        <w:rPr>
          <w:rFonts w:asciiTheme="minorHAnsi" w:hAnsiTheme="minorHAnsi" w:cstheme="minorHAnsi"/>
        </w:rPr>
        <w:instrText xml:space="preserve">  "R v Keur (1973) 7 SASR 13" </w:instrText>
      </w:r>
      <w:r w:rsidRPr="00EB7F1E">
        <w:rPr>
          <w:rFonts w:asciiTheme="minorHAnsi" w:hAnsiTheme="minorHAnsi" w:cstheme="minorHAnsi"/>
        </w:rPr>
        <w:fldChar w:fldCharType="end"/>
      </w:r>
      <w:r w:rsidRPr="007809F4">
        <w:rPr>
          <w:rFonts w:asciiTheme="minorHAnsi" w:hAnsiTheme="minorHAnsi" w:cstheme="minorHAnsi"/>
        </w:rPr>
        <w:t>, 15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Keur</w:instrText>
      </w:r>
      <w:r w:rsidRPr="007809F4">
        <w:rPr>
          <w:rFonts w:asciiTheme="minorHAnsi" w:hAnsiTheme="minorHAnsi" w:cstheme="minorHAnsi"/>
        </w:rPr>
        <w:instrText xml:space="preserve"> (1973) 7 SASR 13, 15" \s "R v Keur (1973) 7 SASR 13, 15" \c 1 </w:instrText>
      </w:r>
      <w:r w:rsidRPr="00EB7F1E">
        <w:rPr>
          <w:rFonts w:asciiTheme="minorHAnsi" w:hAnsiTheme="minorHAnsi" w:cstheme="minorHAnsi"/>
        </w:rPr>
        <w:fldChar w:fldCharType="end"/>
      </w:r>
      <w:r w:rsidRPr="007809F4">
        <w:rPr>
          <w:rFonts w:asciiTheme="minorHAnsi" w:hAnsiTheme="minorHAnsi" w:cstheme="minorHAnsi"/>
        </w:rPr>
        <w:t xml:space="preserve"> (Zelling J).</w:t>
      </w:r>
    </w:p>
  </w:footnote>
  <w:footnote w:id="859">
    <w:p w14:paraId="30078BDB" w14:textId="539CC8C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Temby v Schulze</w:t>
      </w:r>
      <w:r w:rsidRPr="007809F4">
        <w:rPr>
          <w:rFonts w:asciiTheme="minorHAnsi" w:hAnsiTheme="minorHAnsi" w:cstheme="minorHAnsi"/>
        </w:rPr>
        <w:t xml:space="preserve"> (1991) 57 A Crim R 284</w:t>
      </w:r>
      <w:r w:rsidRPr="00EB7F1E">
        <w:rPr>
          <w:rFonts w:asciiTheme="minorHAnsi" w:hAnsiTheme="minorHAnsi" w:cstheme="minorHAnsi"/>
        </w:rPr>
        <w:fldChar w:fldCharType="begin"/>
      </w:r>
      <w:r w:rsidRPr="007809F4">
        <w:rPr>
          <w:rFonts w:asciiTheme="minorHAnsi" w:hAnsiTheme="minorHAnsi" w:cstheme="minorHAnsi"/>
        </w:rPr>
        <w:instrText xml:space="preserve"> TA \s "Temby v Schulze (1991) 57 A Crim R 284" </w:instrText>
      </w:r>
      <w:r w:rsidRPr="00EB7F1E">
        <w:rPr>
          <w:rFonts w:asciiTheme="minorHAnsi" w:hAnsiTheme="minorHAnsi" w:cstheme="minorHAnsi"/>
        </w:rPr>
        <w:fldChar w:fldCharType="end"/>
      </w:r>
      <w:r w:rsidRPr="007809F4">
        <w:rPr>
          <w:rFonts w:asciiTheme="minorHAnsi" w:hAnsiTheme="minorHAnsi" w:cstheme="minorHAnsi"/>
        </w:rPr>
        <w:t xml:space="preserve">, 289.  As to the other requirements for a valid condition of a bond, see </w:t>
      </w:r>
      <w:r w:rsidRPr="007809F4">
        <w:rPr>
          <w:rFonts w:asciiTheme="minorHAnsi" w:hAnsiTheme="minorHAnsi" w:cstheme="minorHAnsi"/>
          <w:i/>
        </w:rPr>
        <w:t>Dunn v Woodcock</w:t>
      </w:r>
      <w:r w:rsidRPr="007809F4">
        <w:rPr>
          <w:rFonts w:asciiTheme="minorHAnsi" w:hAnsiTheme="minorHAnsi" w:cstheme="minorHAnsi"/>
        </w:rPr>
        <w:t xml:space="preserve"> [2003] NTSC 24</w:t>
      </w:r>
      <w:r w:rsidRPr="00EB7F1E">
        <w:rPr>
          <w:rFonts w:asciiTheme="minorHAnsi" w:hAnsiTheme="minorHAnsi" w:cstheme="minorHAnsi"/>
        </w:rPr>
        <w:fldChar w:fldCharType="begin"/>
      </w:r>
      <w:r w:rsidRPr="007809F4">
        <w:rPr>
          <w:rFonts w:asciiTheme="minorHAnsi" w:hAnsiTheme="minorHAnsi" w:cstheme="minorHAnsi"/>
        </w:rPr>
        <w:instrText xml:space="preserve"> TA \s "Dunn v Woodcock [2003] NTSC 24" </w:instrText>
      </w:r>
      <w:r w:rsidRPr="00EB7F1E">
        <w:rPr>
          <w:rFonts w:asciiTheme="minorHAnsi" w:hAnsiTheme="minorHAnsi" w:cstheme="minorHAnsi"/>
        </w:rPr>
        <w:fldChar w:fldCharType="end"/>
      </w:r>
      <w:r w:rsidRPr="007809F4">
        <w:rPr>
          <w:rFonts w:asciiTheme="minorHAnsi" w:hAnsiTheme="minorHAnsi" w:cstheme="minorHAnsi"/>
        </w:rPr>
        <w:t>, [7].</w:t>
      </w:r>
    </w:p>
  </w:footnote>
  <w:footnote w:id="860">
    <w:p w14:paraId="0833C8FA" w14:textId="24E4759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R v Hutton</w:t>
      </w:r>
      <w:r w:rsidRPr="007809F4">
        <w:rPr>
          <w:rFonts w:asciiTheme="minorHAnsi" w:hAnsiTheme="minorHAnsi" w:cstheme="minorHAnsi"/>
        </w:rPr>
        <w:t xml:space="preserve"> [2004] NSWCCA 60</w:t>
      </w:r>
      <w:r w:rsidRPr="00EB7F1E">
        <w:rPr>
          <w:rFonts w:asciiTheme="minorHAnsi" w:hAnsiTheme="minorHAnsi" w:cstheme="minorHAnsi"/>
        </w:rPr>
        <w:fldChar w:fldCharType="begin"/>
      </w:r>
      <w:r w:rsidRPr="007809F4">
        <w:rPr>
          <w:rFonts w:asciiTheme="minorHAnsi" w:hAnsiTheme="minorHAnsi" w:cstheme="minorHAnsi"/>
        </w:rPr>
        <w:instrText xml:space="preserve"> TA \s "R v Hutton [2004] NSWCCA 60" </w:instrText>
      </w:r>
      <w:r w:rsidRPr="00EB7F1E">
        <w:rPr>
          <w:rFonts w:asciiTheme="minorHAnsi" w:hAnsiTheme="minorHAnsi" w:cstheme="minorHAnsi"/>
        </w:rPr>
        <w:fldChar w:fldCharType="end"/>
      </w:r>
      <w:r w:rsidRPr="007809F4">
        <w:rPr>
          <w:rFonts w:asciiTheme="minorHAnsi" w:hAnsiTheme="minorHAnsi" w:cstheme="minorHAnsi"/>
        </w:rPr>
        <w:t xml:space="preserve">, [17]-[28]; </w:t>
      </w:r>
      <w:r w:rsidRPr="00EB7F1E">
        <w:rPr>
          <w:rFonts w:asciiTheme="minorHAnsi" w:hAnsiTheme="minorHAnsi" w:cstheme="minorHAnsi"/>
          <w:i/>
          <w:iCs/>
        </w:rPr>
        <w:t>Tu v R</w:t>
      </w:r>
      <w:r w:rsidRPr="00EB7F1E">
        <w:rPr>
          <w:rFonts w:asciiTheme="minorHAnsi" w:hAnsiTheme="minorHAnsi" w:cstheme="minorHAnsi"/>
        </w:rPr>
        <w:t xml:space="preserve"> [2011] NSWCCA 31</w:t>
      </w:r>
      <w:r w:rsidRPr="00EB7F1E">
        <w:rPr>
          <w:rFonts w:asciiTheme="minorHAnsi" w:hAnsiTheme="minorHAnsi" w:cstheme="minorHAnsi"/>
        </w:rPr>
        <w:fldChar w:fldCharType="begin"/>
      </w:r>
      <w:r w:rsidRPr="007809F4">
        <w:rPr>
          <w:rFonts w:asciiTheme="minorHAnsi" w:hAnsiTheme="minorHAnsi" w:cstheme="minorHAnsi"/>
        </w:rPr>
        <w:instrText xml:space="preserve"> TA \s "Tu v R [2011] NSWCCA 31" </w:instrText>
      </w:r>
      <w:r w:rsidRPr="00EB7F1E">
        <w:rPr>
          <w:rFonts w:asciiTheme="minorHAnsi" w:hAnsiTheme="minorHAnsi" w:cstheme="minorHAnsi"/>
        </w:rPr>
        <w:fldChar w:fldCharType="end"/>
      </w:r>
      <w:r w:rsidRPr="00EB7F1E">
        <w:rPr>
          <w:rFonts w:asciiTheme="minorHAnsi" w:hAnsiTheme="minorHAnsi" w:cstheme="minorHAnsi"/>
        </w:rPr>
        <w:t>, [111]-[112]</w:t>
      </w:r>
      <w:r w:rsidRPr="007809F4">
        <w:rPr>
          <w:rFonts w:asciiTheme="minorHAnsi" w:hAnsiTheme="minorHAnsi" w:cstheme="minorHAnsi"/>
        </w:rPr>
        <w:t xml:space="preserve">.  See also </w:t>
      </w:r>
      <w:r w:rsidRPr="007809F4">
        <w:rPr>
          <w:rFonts w:asciiTheme="minorHAnsi" w:hAnsiTheme="minorHAnsi" w:cstheme="minorHAnsi"/>
          <w:i/>
          <w:iCs/>
        </w:rPr>
        <w:t>Crimes Act 1914,</w:t>
      </w:r>
      <w:r w:rsidRPr="007809F4">
        <w:rPr>
          <w:rFonts w:asciiTheme="minorHAnsi" w:hAnsiTheme="minorHAnsi" w:cstheme="minorHAnsi"/>
        </w:rPr>
        <w:t xml:space="preserve"> s 19AH(1)(a).</w:t>
      </w:r>
    </w:p>
  </w:footnote>
  <w:footnote w:id="861">
    <w:p w14:paraId="3443FF13" w14:textId="1A419B4F" w:rsidR="00D44BCF" w:rsidRPr="007809F4" w:rsidRDefault="00D44BCF" w:rsidP="00612D4E">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Selimoski v Picknoll </w:t>
      </w:r>
      <w:r w:rsidRPr="007809F4">
        <w:rPr>
          <w:rFonts w:asciiTheme="minorHAnsi" w:hAnsiTheme="minorHAnsi" w:cstheme="minorHAnsi"/>
        </w:rPr>
        <w:t>(WA SC (Full Court), 9 October 1992,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\s "Selimoski v Picknoll (WA SC (Full Court), 9 October 1992, unreported)" </w:instrText>
      </w:r>
      <w:r w:rsidRPr="00EB7F1E">
        <w:rPr>
          <w:rFonts w:asciiTheme="minorHAnsi" w:hAnsiTheme="minorHAnsi" w:cstheme="minorHAnsi"/>
        </w:rPr>
        <w:fldChar w:fldCharType="end"/>
      </w:r>
      <w:r w:rsidRPr="007809F4">
        <w:rPr>
          <w:rFonts w:asciiTheme="minorHAnsi" w:hAnsiTheme="minorHAnsi" w:cstheme="minorHAnsi"/>
          <w:iCs/>
          <w:noProof/>
        </w:rPr>
        <w:t>.</w:t>
      </w:r>
    </w:p>
  </w:footnote>
  <w:footnote w:id="862">
    <w:p w14:paraId="5E74E22C" w14:textId="06941F2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It was previously considered that any monetary penalty imposed pursuant to s 20A(5)(c)(ia) would be unenforceable, as the provision that provides for imposition of a pecuniary penalty is limited to those imposed under s 20A(5)(b)(i) – see s 20A(9).  However, s 3(2) expands the definition of ‘fine’ to include a reference to a pecuniary penalty imposed or to </w:t>
      </w:r>
      <w:r w:rsidRPr="007809F4">
        <w:rPr>
          <w:rFonts w:asciiTheme="minorHAnsi" w:hAnsiTheme="minorHAnsi" w:cstheme="minorHAnsi"/>
          <w:i/>
        </w:rPr>
        <w:t>‘costs or other amounts ordered to be paid by offenders’</w:t>
      </w:r>
      <w:r w:rsidRPr="007809F4">
        <w:rPr>
          <w:rFonts w:asciiTheme="minorHAnsi" w:hAnsiTheme="minorHAnsi" w:cstheme="minorHAnsi"/>
        </w:rPr>
        <w:t>. It is the view of the CDPP that a monetary penalty imposed pursuant to s  20A(5)(c)(ia) is now enforceable.</w:t>
      </w:r>
      <w:r w:rsidRPr="00EB7F1E">
        <w:rPr>
          <w:rFonts w:asciiTheme="minorHAnsi" w:hAnsiTheme="minorHAnsi" w:cstheme="minorHAnsi"/>
        </w:rPr>
        <w:fldChar w:fldCharType="begin"/>
      </w:r>
      <w:r w:rsidRPr="007809F4">
        <w:rPr>
          <w:rFonts w:asciiTheme="minorHAnsi" w:hAnsiTheme="minorHAnsi" w:cstheme="minorHAnsi"/>
        </w:rPr>
        <w:instrText xml:space="preserve">  "Sweeney v Corporate Security Group (2003) 86 SASR 425" </w:instrText>
      </w:r>
      <w:r w:rsidRPr="00EB7F1E">
        <w:rPr>
          <w:rFonts w:asciiTheme="minorHAnsi" w:hAnsiTheme="minorHAnsi" w:cstheme="minorHAnsi"/>
        </w:rPr>
        <w:fldChar w:fldCharType="end"/>
      </w:r>
    </w:p>
  </w:footnote>
  <w:footnote w:id="863">
    <w:p w14:paraId="4A8F97EE" w14:textId="0C005C7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It would appear that each of the options in s 20A(5) is exclusive of the others, so that the court may not both impose a pecuniary penalty under sub-paragraphs (ia) and extend the good behaviour period under sub-paragraph (ib).</w:t>
      </w:r>
      <w:r w:rsidRPr="00EB7F1E">
        <w:rPr>
          <w:rFonts w:asciiTheme="minorHAnsi" w:hAnsiTheme="minorHAnsi" w:cstheme="minorHAnsi"/>
        </w:rPr>
        <w:fldChar w:fldCharType="begin"/>
      </w:r>
      <w:r w:rsidRPr="007809F4">
        <w:rPr>
          <w:rFonts w:asciiTheme="minorHAnsi" w:hAnsiTheme="minorHAnsi" w:cstheme="minorHAnsi"/>
        </w:rPr>
        <w:instrText xml:space="preserve">  "Sweeney v Corporate Security Group (2003) 86 SASR 425" </w:instrText>
      </w:r>
      <w:r w:rsidRPr="00EB7F1E">
        <w:rPr>
          <w:rFonts w:asciiTheme="minorHAnsi" w:hAnsiTheme="minorHAnsi" w:cstheme="minorHAnsi"/>
        </w:rPr>
        <w:fldChar w:fldCharType="end"/>
      </w:r>
    </w:p>
  </w:footnote>
  <w:footnote w:id="864">
    <w:p w14:paraId="79BC9DC5" w14:textId="0FD11EE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If the order is so extended, security given under the RRO is taken to be security to be of good behaviour for the amended period: s 20A(5B).</w:t>
      </w:r>
      <w:r w:rsidRPr="00EB7F1E">
        <w:rPr>
          <w:rFonts w:asciiTheme="minorHAnsi" w:hAnsiTheme="minorHAnsi" w:cstheme="minorHAnsi"/>
        </w:rPr>
        <w:fldChar w:fldCharType="begin"/>
      </w:r>
      <w:r w:rsidRPr="007809F4">
        <w:rPr>
          <w:rFonts w:asciiTheme="minorHAnsi" w:hAnsiTheme="minorHAnsi" w:cstheme="minorHAnsi"/>
        </w:rPr>
        <w:instrText xml:space="preserve">  "Sweeney v Corporate Security Group (2003) 86 SASR 425" </w:instrText>
      </w:r>
      <w:r w:rsidRPr="00EB7F1E">
        <w:rPr>
          <w:rFonts w:asciiTheme="minorHAnsi" w:hAnsiTheme="minorHAnsi" w:cstheme="minorHAnsi"/>
        </w:rPr>
        <w:fldChar w:fldCharType="end"/>
      </w:r>
    </w:p>
  </w:footnote>
  <w:footnote w:id="865">
    <w:p w14:paraId="771D1362" w14:textId="59424A8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However imprisonment cannot be imposed for failure to pay reparation, restitution, compensation or costs that were a condition of the RRO: s 20(2A).</w:t>
      </w:r>
      <w:r w:rsidRPr="00EB7F1E">
        <w:rPr>
          <w:rFonts w:asciiTheme="minorHAnsi" w:hAnsiTheme="minorHAnsi" w:cstheme="minorHAnsi"/>
        </w:rPr>
        <w:fldChar w:fldCharType="begin"/>
      </w:r>
      <w:r w:rsidRPr="007809F4">
        <w:rPr>
          <w:rFonts w:asciiTheme="minorHAnsi" w:hAnsiTheme="minorHAnsi" w:cstheme="minorHAnsi"/>
        </w:rPr>
        <w:instrText xml:space="preserve">  "Sweeney v Corporate Security Group (2003) 86 SASR 425" </w:instrText>
      </w:r>
      <w:r w:rsidRPr="00EB7F1E">
        <w:rPr>
          <w:rFonts w:asciiTheme="minorHAnsi" w:hAnsiTheme="minorHAnsi" w:cstheme="minorHAnsi"/>
        </w:rPr>
        <w:fldChar w:fldCharType="end"/>
      </w:r>
    </w:p>
  </w:footnote>
  <w:footnote w:id="866">
    <w:p w14:paraId="09CD4FCF" w14:textId="3F06110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Campbell</w:t>
      </w:r>
      <w:r w:rsidRPr="007809F4">
        <w:rPr>
          <w:rFonts w:asciiTheme="minorHAnsi" w:hAnsiTheme="minorHAnsi" w:cstheme="minorHAnsi"/>
        </w:rPr>
        <w:t xml:space="preserve"> (1997) 95 A Crim R 391</w:t>
      </w:r>
      <w:r w:rsidRPr="00EB7F1E">
        <w:rPr>
          <w:rFonts w:asciiTheme="minorHAnsi" w:hAnsiTheme="minorHAnsi" w:cstheme="minorHAnsi"/>
        </w:rPr>
        <w:fldChar w:fldCharType="begin"/>
      </w:r>
      <w:r w:rsidRPr="007809F4">
        <w:rPr>
          <w:rFonts w:asciiTheme="minorHAnsi" w:hAnsiTheme="minorHAnsi" w:cstheme="minorHAnsi"/>
        </w:rPr>
        <w:instrText xml:space="preserve"> TA \s "R v Campbell (1997) 95 A Crim R 391" </w:instrText>
      </w:r>
      <w:r w:rsidRPr="00EB7F1E">
        <w:rPr>
          <w:rFonts w:asciiTheme="minorHAnsi" w:hAnsiTheme="minorHAnsi" w:cstheme="minorHAnsi"/>
        </w:rPr>
        <w:fldChar w:fldCharType="end"/>
      </w:r>
      <w:r w:rsidRPr="007809F4">
        <w:rPr>
          <w:rFonts w:asciiTheme="minorHAnsi" w:hAnsiTheme="minorHAnsi" w:cstheme="minorHAnsi"/>
        </w:rPr>
        <w:t xml:space="preserve">, 398; </w:t>
      </w:r>
      <w:r w:rsidRPr="007809F4">
        <w:rPr>
          <w:rFonts w:asciiTheme="minorHAnsi" w:hAnsiTheme="minorHAnsi" w:cstheme="minorHAnsi"/>
          <w:bCs/>
          <w:i/>
          <w:iCs/>
        </w:rPr>
        <w:t>Sweeney v Corporate Security Group</w:t>
      </w:r>
      <w:r w:rsidRPr="007809F4">
        <w:rPr>
          <w:rFonts w:asciiTheme="minorHAnsi" w:hAnsiTheme="minorHAnsi" w:cstheme="minorHAnsi"/>
        </w:rPr>
        <w:t xml:space="preserve"> (2003) 86 SASR 425</w:t>
      </w:r>
      <w:r w:rsidRPr="00EB7F1E">
        <w:rPr>
          <w:rFonts w:asciiTheme="minorHAnsi" w:hAnsiTheme="minorHAnsi" w:cstheme="minorHAnsi"/>
        </w:rPr>
        <w:fldChar w:fldCharType="begin"/>
      </w:r>
      <w:r w:rsidRPr="007809F4">
        <w:rPr>
          <w:rFonts w:asciiTheme="minorHAnsi" w:hAnsiTheme="minorHAnsi" w:cstheme="minorHAnsi"/>
        </w:rPr>
        <w:instrText xml:space="preserve"> TA \s "Sweeney v Corporate Security Group (2003) 86 SASR 425"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"Sweeney v Corporate Security Group (2003) 86 SASR 425"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Ferenczfy v DPP</w:t>
      </w:r>
      <w:r w:rsidRPr="007809F4">
        <w:rPr>
          <w:rFonts w:asciiTheme="minorHAnsi" w:hAnsiTheme="minorHAnsi" w:cstheme="minorHAnsi"/>
        </w:rPr>
        <w:t xml:space="preserve"> [2004] SASC 208.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Ferenczfy v DPP</w:instrText>
      </w:r>
      <w:r w:rsidRPr="007809F4">
        <w:rPr>
          <w:rFonts w:asciiTheme="minorHAnsi" w:hAnsiTheme="minorHAnsi" w:cstheme="minorHAnsi"/>
        </w:rPr>
        <w:instrText xml:space="preserve"> [2004] SASC 208" \s "Ferenczfy v DPP [2004] SASC 208" \c 1 </w:instrText>
      </w:r>
      <w:r w:rsidRPr="00EB7F1E">
        <w:rPr>
          <w:rFonts w:asciiTheme="minorHAnsi" w:hAnsiTheme="minorHAnsi" w:cstheme="minorHAnsi"/>
        </w:rPr>
        <w:fldChar w:fldCharType="end"/>
      </w:r>
    </w:p>
  </w:footnote>
  <w:footnote w:id="867">
    <w:p w14:paraId="5AD07F40" w14:textId="648E6CEE"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Duxerty v Minister for Justice and Customs</w:t>
      </w:r>
      <w:r w:rsidRPr="007809F4">
        <w:rPr>
          <w:rFonts w:asciiTheme="minorHAnsi" w:hAnsiTheme="minorHAnsi" w:cstheme="minorHAnsi"/>
        </w:rPr>
        <w:t xml:space="preserve"> [2002] FCA 1518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Duxerty v Minister for Justice and Customs</w:instrText>
      </w:r>
      <w:r w:rsidRPr="007809F4">
        <w:rPr>
          <w:rFonts w:asciiTheme="minorHAnsi" w:hAnsiTheme="minorHAnsi" w:cstheme="minorHAnsi"/>
        </w:rPr>
        <w:instrText xml:space="preserve"> [2002] FCA 1518</w:instrText>
      </w:r>
      <w:r w:rsidRPr="00EB7F1E">
        <w:rPr>
          <w:rFonts w:asciiTheme="minorHAnsi" w:hAnsiTheme="minorHAnsi" w:cstheme="minorHAnsi"/>
        </w:rPr>
        <w:instrText xml:space="preserve">" \s "Duxerty v Minister for Justice and Customs [2002] FCA 1518" \c 1 </w:instrText>
      </w:r>
      <w:r w:rsidRPr="00EB7F1E">
        <w:rPr>
          <w:rFonts w:asciiTheme="minorHAnsi" w:hAnsiTheme="minorHAnsi" w:cstheme="minorHAnsi"/>
        </w:rPr>
        <w:fldChar w:fldCharType="end"/>
      </w:r>
      <w:r w:rsidRPr="007809F4">
        <w:rPr>
          <w:rFonts w:asciiTheme="minorHAnsi" w:hAnsiTheme="minorHAnsi" w:cstheme="minorHAnsi"/>
        </w:rPr>
        <w:t xml:space="preserve">, [10]-[15]; </w:t>
      </w:r>
      <w:r w:rsidRPr="007809F4">
        <w:rPr>
          <w:rFonts w:asciiTheme="minorHAnsi" w:hAnsiTheme="minorHAnsi" w:cstheme="minorHAnsi"/>
          <w:i/>
        </w:rPr>
        <w:t xml:space="preserve">Jackson v Minister for Justice </w:t>
      </w:r>
      <w:r w:rsidRPr="007809F4">
        <w:rPr>
          <w:rFonts w:asciiTheme="minorHAnsi" w:hAnsiTheme="minorHAnsi" w:cstheme="minorHAnsi"/>
        </w:rPr>
        <w:t>[2011] FCA 831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Jackson v Minister for Justice </w:instrText>
      </w:r>
      <w:r w:rsidRPr="007809F4">
        <w:rPr>
          <w:rFonts w:asciiTheme="minorHAnsi" w:hAnsiTheme="minorHAnsi" w:cstheme="minorHAnsi"/>
        </w:rPr>
        <w:instrText>[2011] FCA 831</w:instrText>
      </w:r>
      <w:r w:rsidRPr="00EB7F1E">
        <w:rPr>
          <w:rFonts w:asciiTheme="minorHAnsi" w:hAnsiTheme="minorHAnsi" w:cstheme="minorHAnsi"/>
        </w:rPr>
        <w:instrText xml:space="preserve">" \s "Jackson v Minister for Justice [2011] FCA 831" \c 1 </w:instrText>
      </w:r>
      <w:r w:rsidRPr="00EB7F1E">
        <w:rPr>
          <w:rFonts w:asciiTheme="minorHAnsi" w:hAnsiTheme="minorHAnsi" w:cstheme="minorHAnsi"/>
        </w:rPr>
        <w:fldChar w:fldCharType="end"/>
      </w:r>
      <w:r w:rsidRPr="007809F4">
        <w:rPr>
          <w:rFonts w:asciiTheme="minorHAnsi" w:hAnsiTheme="minorHAnsi" w:cstheme="minorHAnsi"/>
        </w:rPr>
        <w:t xml:space="preserve">, [4]. See also </w:t>
      </w:r>
      <w:r w:rsidRPr="007809F4">
        <w:rPr>
          <w:rFonts w:asciiTheme="minorHAnsi" w:hAnsiTheme="minorHAnsi" w:cstheme="minorHAnsi"/>
          <w:i/>
        </w:rPr>
        <w:t xml:space="preserve">Law Officers Act </w:t>
      </w:r>
      <w:r w:rsidRPr="007809F4">
        <w:rPr>
          <w:rFonts w:asciiTheme="minorHAnsi" w:hAnsiTheme="minorHAnsi" w:cstheme="minorHAnsi"/>
        </w:rPr>
        <w:t xml:space="preserve">1964 (Cth), s 17(2).  </w:t>
      </w:r>
      <w:r w:rsidRPr="00EB7F1E">
        <w:rPr>
          <w:rFonts w:asciiTheme="minorHAnsi" w:hAnsiTheme="minorHAnsi" w:cstheme="minorHAnsi"/>
        </w:rPr>
        <w:t>References in this part of the guide to the Attorney-General are, unless the context requires otherwise, references to the Commonwealth Attorney-General or her or his delegate.</w:t>
      </w:r>
    </w:p>
  </w:footnote>
  <w:footnote w:id="868">
    <w:p w14:paraId="0BAE9EA8" w14:textId="48A7B42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power to grant or refuse parole must be exercised with procedural fairness, and is subject to judicial review: see </w:t>
      </w:r>
      <w:r w:rsidRPr="007809F4">
        <w:rPr>
          <w:rFonts w:asciiTheme="minorHAnsi" w:hAnsiTheme="minorHAnsi" w:cstheme="minorHAnsi"/>
          <w:i/>
        </w:rPr>
        <w:t>Duxerty v Minister for Justice and Customs</w:t>
      </w:r>
      <w:r w:rsidRPr="007809F4">
        <w:rPr>
          <w:rFonts w:asciiTheme="minorHAnsi" w:hAnsiTheme="minorHAnsi" w:cstheme="minorHAnsi"/>
        </w:rPr>
        <w:t xml:space="preserve"> [2002] FCA 1518</w:t>
      </w:r>
      <w:r w:rsidRPr="00EB7F1E">
        <w:rPr>
          <w:rFonts w:asciiTheme="minorHAnsi" w:hAnsiTheme="minorHAnsi" w:cstheme="minorHAnsi"/>
        </w:rPr>
        <w:fldChar w:fldCharType="begin"/>
      </w:r>
      <w:r w:rsidRPr="007809F4">
        <w:rPr>
          <w:rFonts w:asciiTheme="minorHAnsi" w:hAnsiTheme="minorHAnsi" w:cstheme="minorHAnsi"/>
        </w:rPr>
        <w:instrText xml:space="preserve"> TA \s "Duxerty v Minister for Justice and Customs [2002] FCA 1518" </w:instrText>
      </w:r>
      <w:r w:rsidRPr="00EB7F1E">
        <w:rPr>
          <w:rFonts w:asciiTheme="minorHAnsi" w:hAnsiTheme="minorHAnsi" w:cstheme="minorHAnsi"/>
        </w:rPr>
        <w:fldChar w:fldCharType="end"/>
      </w:r>
      <w:r w:rsidRPr="007809F4">
        <w:rPr>
          <w:rFonts w:asciiTheme="minorHAnsi" w:hAnsiTheme="minorHAnsi" w:cstheme="minorHAnsi"/>
        </w:rPr>
        <w:t xml:space="preserve">, [22].  </w:t>
      </w:r>
    </w:p>
  </w:footnote>
  <w:footnote w:id="869">
    <w:p w14:paraId="61AFA677" w14:textId="77777777" w:rsidR="00D44BCF" w:rsidRPr="007809F4" w:rsidRDefault="00D44BCF" w:rsidP="00CE796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21F.  </w:t>
      </w:r>
    </w:p>
  </w:footnote>
  <w:footnote w:id="870">
    <w:p w14:paraId="450955CB" w14:textId="1A15CCFC"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19AL(1).  Prior to 4 October 2012, federal parole was automatically granted if the federal sentence was more than 3 years but</w:t>
      </w:r>
      <w:r w:rsidRPr="00EB7F1E">
        <w:rPr>
          <w:rFonts w:asciiTheme="minorHAnsi" w:hAnsiTheme="minorHAnsi" w:cstheme="minorHAnsi"/>
        </w:rPr>
        <w:t xml:space="preserve"> less than 10 years, unless the prisoner was serving a state sentence when the federal NPP expired: s</w:t>
      </w:r>
      <w:r w:rsidRPr="007809F4">
        <w:rPr>
          <w:rFonts w:asciiTheme="minorHAnsi" w:hAnsiTheme="minorHAnsi" w:cstheme="minorHAnsi"/>
        </w:rPr>
        <w:t xml:space="preserve">ee </w:t>
      </w:r>
      <w:r w:rsidRPr="007809F4">
        <w:rPr>
          <w:rFonts w:asciiTheme="minorHAnsi" w:hAnsiTheme="minorHAnsi" w:cstheme="minorHAnsi"/>
          <w:i/>
        </w:rPr>
        <w:t xml:space="preserve">Crimes Act 1914 </w:t>
      </w:r>
      <w:r w:rsidRPr="007809F4">
        <w:rPr>
          <w:rFonts w:asciiTheme="minorHAnsi" w:hAnsiTheme="minorHAnsi" w:cstheme="minorHAnsi"/>
        </w:rPr>
        <w:t>(Cth),</w:t>
      </w:r>
      <w:r w:rsidRPr="007809F4">
        <w:rPr>
          <w:rFonts w:asciiTheme="minorHAnsi" w:hAnsiTheme="minorHAnsi" w:cstheme="minorHAnsi"/>
          <w:i/>
        </w:rPr>
        <w:t xml:space="preserve"> </w:t>
      </w:r>
      <w:r w:rsidRPr="007809F4">
        <w:rPr>
          <w:rFonts w:asciiTheme="minorHAnsi" w:hAnsiTheme="minorHAnsi" w:cstheme="minorHAnsi"/>
        </w:rPr>
        <w:t>ss 19AL(1) and 19AM.  Under the transitional provision in clause 12 of Schedule 7 of the amending Act, the Act as amended applies to persons for whom a non-parole period was fixed whether sentenced before, at, or after the commencement date, unless a parole order had been made under s 19AL.</w:t>
      </w:r>
    </w:p>
  </w:footnote>
  <w:footnote w:id="871">
    <w:p w14:paraId="122D2085"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19AL(5)-(6).</w:t>
      </w:r>
    </w:p>
  </w:footnote>
  <w:footnote w:id="872">
    <w:p w14:paraId="684544A3"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19AM.</w:t>
      </w:r>
    </w:p>
  </w:footnote>
  <w:footnote w:id="873">
    <w:p w14:paraId="44671581" w14:textId="77777777" w:rsidR="00D44BCF" w:rsidRPr="007809F4" w:rsidRDefault="00D44BCF" w:rsidP="00CC765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19AM(2).</w:t>
      </w:r>
    </w:p>
  </w:footnote>
  <w:footnote w:id="874">
    <w:p w14:paraId="41B0CC1B" w14:textId="77777777" w:rsidR="00D44BCF" w:rsidRPr="007809F4" w:rsidRDefault="00D44BCF" w:rsidP="00CC765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19AL(2).</w:t>
      </w:r>
    </w:p>
  </w:footnote>
  <w:footnote w:id="875">
    <w:p w14:paraId="36930445" w14:textId="3A92E437" w:rsidR="00D44BCF" w:rsidRPr="007809F4" w:rsidRDefault="00D44BCF" w:rsidP="00CC765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Duxerty v Minister for Justice and Customs</w:t>
      </w:r>
      <w:r w:rsidRPr="007809F4">
        <w:rPr>
          <w:rFonts w:asciiTheme="minorHAnsi" w:hAnsiTheme="minorHAnsi" w:cstheme="minorHAnsi"/>
        </w:rPr>
        <w:t xml:space="preserve"> [2002] FCA 1518</w:t>
      </w:r>
      <w:r w:rsidRPr="00EB7F1E">
        <w:rPr>
          <w:rFonts w:asciiTheme="minorHAnsi" w:hAnsiTheme="minorHAnsi" w:cstheme="minorHAnsi"/>
        </w:rPr>
        <w:fldChar w:fldCharType="begin"/>
      </w:r>
      <w:r w:rsidRPr="007809F4">
        <w:rPr>
          <w:rFonts w:asciiTheme="minorHAnsi" w:hAnsiTheme="minorHAnsi" w:cstheme="minorHAnsi"/>
        </w:rPr>
        <w:instrText xml:space="preserve"> TA \s "Duxerty v Minister for Justice and Customs [2002] FCA 1518" </w:instrText>
      </w:r>
      <w:r w:rsidRPr="00EB7F1E">
        <w:rPr>
          <w:rFonts w:asciiTheme="minorHAnsi" w:hAnsiTheme="minorHAnsi" w:cstheme="minorHAnsi"/>
        </w:rPr>
        <w:fldChar w:fldCharType="end"/>
      </w:r>
      <w:r w:rsidRPr="007809F4">
        <w:rPr>
          <w:rFonts w:asciiTheme="minorHAnsi" w:hAnsiTheme="minorHAnsi" w:cstheme="minorHAnsi"/>
        </w:rPr>
        <w:t xml:space="preserve">.  </w:t>
      </w:r>
    </w:p>
  </w:footnote>
  <w:footnote w:id="876">
    <w:p w14:paraId="78F0FC06" w14:textId="77777777" w:rsidR="00D44BCF" w:rsidRPr="007809F4" w:rsidRDefault="00D44BCF" w:rsidP="00416137">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t xml:space="preserve">E.g. </w:t>
      </w:r>
      <w:r w:rsidRPr="007809F4">
        <w:rPr>
          <w:rFonts w:asciiTheme="minorHAnsi" w:hAnsiTheme="minorHAnsi" w:cstheme="minorHAnsi"/>
          <w:i/>
        </w:rPr>
        <w:t xml:space="preserve">Corrections Act 1986 </w:t>
      </w:r>
      <w:r w:rsidRPr="007809F4">
        <w:rPr>
          <w:rFonts w:asciiTheme="minorHAnsi" w:hAnsiTheme="minorHAnsi" w:cstheme="minorHAnsi"/>
        </w:rPr>
        <w:t>(Vic), s 77(6).</w:t>
      </w:r>
    </w:p>
  </w:footnote>
  <w:footnote w:id="877">
    <w:p w14:paraId="4117AA73"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19AKA.</w:t>
      </w:r>
    </w:p>
  </w:footnote>
  <w:footnote w:id="878">
    <w:p w14:paraId="43F2E062"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19ALA(1).  Sub-s (2) makes clear that the Attorney-General is not limited by the matters listed in sub-s (1). Section 19ALA was introduced by Schedule 7 of the </w:t>
      </w:r>
      <w:r w:rsidRPr="007809F4">
        <w:rPr>
          <w:rFonts w:asciiTheme="minorHAnsi" w:hAnsiTheme="minorHAnsi" w:cstheme="minorHAnsi"/>
          <w:i/>
        </w:rPr>
        <w:t>Crimes Legislation Amendment (Powers, Offences and Other Measures) Act</w:t>
      </w:r>
      <w:r w:rsidRPr="007809F4">
        <w:rPr>
          <w:rFonts w:asciiTheme="minorHAnsi" w:hAnsiTheme="minorHAnsi" w:cstheme="minorHAnsi"/>
        </w:rPr>
        <w:t xml:space="preserve"> 2015 (Cth). The relevant Explanatory Memorandum states that the purposes of these changes are to: support procedural fairness of decisions; support production of reasons for decisions; inform the community at large of the roles and responsibilities of parole authorities; and promote consistent and transparent parole-related outcomes. </w:t>
      </w:r>
    </w:p>
  </w:footnote>
  <w:footnote w:id="879">
    <w:p w14:paraId="5796EAF0"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 supervision condition is not mandatory, but is almost invariably included in a parole order.  </w:t>
      </w:r>
    </w:p>
  </w:footnote>
  <w:footnote w:id="880">
    <w:p w14:paraId="53BFE323"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19AL(3).  </w:t>
      </w:r>
    </w:p>
  </w:footnote>
  <w:footnote w:id="881">
    <w:p w14:paraId="0379896A" w14:textId="45E20AA5"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19AL(3A). This provision commenced on 27 November 2015, and applies only to parole orders made on or after that date (see Act No. 153 of 2015). </w:t>
      </w:r>
      <w:r w:rsidRPr="00EB7F1E">
        <w:rPr>
          <w:rFonts w:asciiTheme="minorHAnsi" w:hAnsiTheme="minorHAnsi" w:cstheme="minorHAnsi"/>
        </w:rPr>
        <w:t>The E</w:t>
      </w:r>
      <w:r w:rsidRPr="007809F4">
        <w:rPr>
          <w:rFonts w:asciiTheme="minorHAnsi" w:hAnsiTheme="minorHAnsi" w:cstheme="minorHAnsi"/>
        </w:rPr>
        <w:t xml:space="preserve">xplanatory </w:t>
      </w:r>
      <w:r w:rsidRPr="00EB7F1E">
        <w:rPr>
          <w:rFonts w:asciiTheme="minorHAnsi" w:hAnsiTheme="minorHAnsi" w:cstheme="minorHAnsi"/>
        </w:rPr>
        <w:t>M</w:t>
      </w:r>
      <w:r w:rsidRPr="007809F4">
        <w:rPr>
          <w:rFonts w:asciiTheme="minorHAnsi" w:hAnsiTheme="minorHAnsi" w:cstheme="minorHAnsi"/>
        </w:rPr>
        <w:t>emorandum</w:t>
      </w:r>
      <w:r w:rsidRPr="00EB7F1E">
        <w:rPr>
          <w:rFonts w:asciiTheme="minorHAnsi" w:hAnsiTheme="minorHAnsi" w:cstheme="minorHAnsi"/>
        </w:rPr>
        <w:t xml:space="preserve"> for the amending </w:t>
      </w:r>
      <w:r w:rsidRPr="007809F4">
        <w:rPr>
          <w:rFonts w:asciiTheme="minorHAnsi" w:hAnsiTheme="minorHAnsi" w:cstheme="minorHAnsi"/>
        </w:rPr>
        <w:t xml:space="preserve">Bill </w:t>
      </w:r>
      <w:r w:rsidRPr="00EB7F1E">
        <w:rPr>
          <w:rFonts w:asciiTheme="minorHAnsi" w:hAnsiTheme="minorHAnsi" w:cstheme="minorHAnsi"/>
        </w:rPr>
        <w:t>refers to this provision reinstating the previous legislative basis for early release.</w:t>
      </w:r>
      <w:r w:rsidRPr="007809F4">
        <w:rPr>
          <w:rFonts w:asciiTheme="minorHAnsi" w:hAnsiTheme="minorHAnsi" w:cstheme="minorHAnsi"/>
        </w:rPr>
        <w:t xml:space="preserve">  </w:t>
      </w:r>
    </w:p>
  </w:footnote>
  <w:footnote w:id="882">
    <w:p w14:paraId="689956DC"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19APA.</w:t>
      </w:r>
    </w:p>
  </w:footnote>
  <w:footnote w:id="883">
    <w:p w14:paraId="5DA62E55"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19AN.</w:t>
      </w:r>
    </w:p>
  </w:footnote>
  <w:footnote w:id="884">
    <w:p w14:paraId="4B4C48BF" w14:textId="77777777" w:rsidR="00D44BCF" w:rsidRPr="007809F4" w:rsidRDefault="00D44BCF" w:rsidP="00CC7655">
      <w:pPr>
        <w:pStyle w:val="FootnoteText"/>
        <w:tabs>
          <w:tab w:val="left" w:pos="567"/>
        </w:tabs>
        <w:ind w:left="426" w:hanging="426"/>
        <w:jc w:val="both"/>
        <w:rPr>
          <w:rFonts w:asciiTheme="minorHAnsi" w:hAnsiTheme="minorHAnsi" w:cstheme="minorHAnsi"/>
          <w: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19APB(1).</w:t>
      </w:r>
    </w:p>
  </w:footnote>
  <w:footnote w:id="885">
    <w:p w14:paraId="488FA75F" w14:textId="77777777" w:rsidR="00D44BCF" w:rsidRPr="007809F4" w:rsidRDefault="00D44BCF" w:rsidP="00CC7655">
      <w:pPr>
        <w:pStyle w:val="FootnoteText"/>
        <w:tabs>
          <w:tab w:val="left" w:pos="567"/>
        </w:tabs>
        <w:ind w:left="426" w:hanging="426"/>
        <w:jc w:val="both"/>
        <w:rPr>
          <w:rFonts w:asciiTheme="minorHAnsi" w:hAnsiTheme="minorHAnsi" w:cstheme="minorHAnsi"/>
          <w: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19AQ(5) and s 19AA(1)-(2).</w:t>
      </w:r>
    </w:p>
  </w:footnote>
  <w:footnote w:id="886">
    <w:p w14:paraId="4A14B523" w14:textId="77777777" w:rsidR="00D44BCF" w:rsidRPr="007809F4" w:rsidRDefault="00D44BCF" w:rsidP="00CC7655">
      <w:pPr>
        <w:pStyle w:val="FootnoteText"/>
        <w:tabs>
          <w:tab w:val="left" w:pos="567"/>
        </w:tabs>
        <w:ind w:left="426" w:hanging="426"/>
        <w:jc w:val="both"/>
        <w:rPr>
          <w:rFonts w:asciiTheme="minorHAnsi" w:hAnsiTheme="minorHAnsi" w:cstheme="minorHAnsi"/>
          <w: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19AA(3).</w:t>
      </w:r>
    </w:p>
  </w:footnote>
  <w:footnote w:id="887">
    <w:p w14:paraId="1775E073" w14:textId="77777777" w:rsidR="00D44BCF" w:rsidRPr="007809F4" w:rsidRDefault="00D44BCF" w:rsidP="00CC765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19AMA(3)(b).</w:t>
      </w:r>
    </w:p>
  </w:footnote>
  <w:footnote w:id="888">
    <w:p w14:paraId="2030625D" w14:textId="44625AF1"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19AMA(3)(a).  Prior to 4 October 2012 the maximum period to be served on federal parole was 5 years except if the federal prisoner was serving a life sentence.  The definition of </w:t>
      </w:r>
      <w:r w:rsidRPr="007809F4">
        <w:rPr>
          <w:rFonts w:asciiTheme="minorHAnsi" w:hAnsiTheme="minorHAnsi" w:cstheme="minorHAnsi"/>
          <w:i/>
        </w:rPr>
        <w:t>‘parole period’</w:t>
      </w:r>
      <w:r w:rsidRPr="00EB7F1E">
        <w:rPr>
          <w:rFonts w:asciiTheme="minorHAnsi" w:hAnsiTheme="minorHAnsi" w:cstheme="minorHAnsi"/>
        </w:rPr>
        <w:t xml:space="preserve"> has been amended so as to abolish that restriction for offenders not sentenced to life imprisonment: </w:t>
      </w:r>
      <w:r w:rsidRPr="007809F4">
        <w:rPr>
          <w:rFonts w:asciiTheme="minorHAnsi" w:hAnsiTheme="minorHAnsi" w:cstheme="minorHAnsi"/>
          <w:i/>
        </w:rPr>
        <w:t xml:space="preserve">Crimes Legislation Amendment (Powers and Offences) Act 2012 </w:t>
      </w:r>
      <w:r w:rsidRPr="007809F4">
        <w:rPr>
          <w:rFonts w:asciiTheme="minorHAnsi" w:hAnsiTheme="minorHAnsi" w:cstheme="minorHAnsi"/>
        </w:rPr>
        <w:t>(Cth)</w:t>
      </w:r>
      <w:r w:rsidRPr="007809F4">
        <w:rPr>
          <w:rFonts w:asciiTheme="minorHAnsi" w:hAnsiTheme="minorHAnsi" w:cstheme="minorHAnsi"/>
          <w:i/>
        </w:rPr>
        <w:t>.</w:t>
      </w:r>
    </w:p>
  </w:footnote>
  <w:footnote w:id="889">
    <w:p w14:paraId="7B3A414E" w14:textId="77777777" w:rsidR="00D44BCF" w:rsidRPr="007809F4" w:rsidRDefault="00D44BCF" w:rsidP="00CC765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19AZB.</w:t>
      </w:r>
    </w:p>
  </w:footnote>
  <w:footnote w:id="890">
    <w:p w14:paraId="04E83E08" w14:textId="696D5948" w:rsidR="00D44BCF" w:rsidRPr="007809F4" w:rsidRDefault="00D44BCF" w:rsidP="00CC765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19AQ(1).  The reference to the period of 3 months must be taken to refer to the head sentence or total effective sentence, not the period to be served: see the definitions of “aggregate” and “sentence” in s 16(1) of the Act.</w:t>
      </w:r>
    </w:p>
  </w:footnote>
  <w:footnote w:id="891">
    <w:p w14:paraId="26A8B172" w14:textId="6AC5B21D" w:rsidR="00D44BCF" w:rsidRPr="007809F4" w:rsidRDefault="00D44BCF" w:rsidP="005D63A6">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19AQ(6).</w:t>
      </w:r>
    </w:p>
  </w:footnote>
  <w:footnote w:id="892">
    <w:p w14:paraId="5CA07393" w14:textId="3E349963" w:rsidR="00D44BCF" w:rsidRPr="00EB7F1E" w:rsidRDefault="00D44BCF" w:rsidP="00CC7655">
      <w:pPr>
        <w:pStyle w:val="FootnoteText"/>
        <w:tabs>
          <w:tab w:val="left" w:pos="567"/>
        </w:tabs>
        <w:ind w:left="426" w:hanging="426"/>
        <w:jc w:val="both"/>
        <w:rPr>
          <w:rFonts w:asciiTheme="minorHAnsi" w:hAnsiTheme="minorHAnsi" w:cstheme="minorHAnsi"/>
          <w:iCs/>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19AQ(2).</w:t>
      </w:r>
    </w:p>
  </w:footnote>
  <w:footnote w:id="893">
    <w:p w14:paraId="127EB0DC" w14:textId="6E9CD871"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19AQ(5); </w:t>
      </w:r>
      <w:r w:rsidRPr="007809F4">
        <w:rPr>
          <w:rFonts w:asciiTheme="minorHAnsi" w:hAnsiTheme="minorHAnsi" w:cstheme="minorHAnsi"/>
          <w:i/>
        </w:rPr>
        <w:t>R v Novak</w:t>
      </w:r>
      <w:r w:rsidRPr="007809F4">
        <w:rPr>
          <w:rFonts w:asciiTheme="minorHAnsi" w:hAnsiTheme="minorHAnsi" w:cstheme="minorHAnsi"/>
        </w:rPr>
        <w:t xml:space="preserve"> [2003] VSCA 46</w:t>
      </w:r>
      <w:r w:rsidRPr="00EB7F1E">
        <w:rPr>
          <w:rFonts w:asciiTheme="minorHAnsi" w:hAnsiTheme="minorHAnsi" w:cstheme="minorHAnsi"/>
          <w: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Novak</w:instrText>
      </w:r>
      <w:r w:rsidRPr="007809F4">
        <w:rPr>
          <w:rFonts w:asciiTheme="minorHAnsi" w:hAnsiTheme="minorHAnsi" w:cstheme="minorHAnsi"/>
        </w:rPr>
        <w:instrText xml:space="preserve"> [2003] VSCA 46</w:instrText>
      </w:r>
      <w:r w:rsidRPr="00EB7F1E">
        <w:rPr>
          <w:rFonts w:asciiTheme="minorHAnsi" w:hAnsiTheme="minorHAnsi" w:cstheme="minorHAnsi"/>
        </w:rPr>
        <w:instrText xml:space="preserve">" \s "R v Novak [2003] VSCA 46" \c 1 </w:instrText>
      </w:r>
      <w:r w:rsidRPr="00EB7F1E">
        <w:rPr>
          <w:rFonts w:asciiTheme="minorHAnsi" w:hAnsiTheme="minorHAnsi" w:cstheme="minorHAnsi"/>
          <w:i/>
        </w:rPr>
        <w:fldChar w:fldCharType="end"/>
      </w:r>
      <w:r w:rsidRPr="007809F4">
        <w:rPr>
          <w:rFonts w:asciiTheme="minorHAnsi" w:hAnsiTheme="minorHAnsi" w:cstheme="minorHAnsi"/>
        </w:rPr>
        <w:t>, [63].</w:t>
      </w:r>
    </w:p>
  </w:footnote>
  <w:footnote w:id="894">
    <w:p w14:paraId="2153B553" w14:textId="023D8A63"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Piacentino</w:t>
      </w:r>
      <w:r w:rsidRPr="007809F4">
        <w:rPr>
          <w:rFonts w:asciiTheme="minorHAnsi" w:hAnsiTheme="minorHAnsi" w:cstheme="minorHAnsi"/>
        </w:rPr>
        <w:t xml:space="preserve"> (2007) 15 VR 501</w:t>
      </w:r>
      <w:r w:rsidRPr="00EB7F1E">
        <w:rPr>
          <w:rFonts w:asciiTheme="minorHAnsi" w:hAnsiTheme="minorHAnsi" w:cstheme="minorHAnsi"/>
        </w:rPr>
        <w:fldChar w:fldCharType="begin"/>
      </w:r>
      <w:r w:rsidRPr="007809F4">
        <w:rPr>
          <w:rFonts w:asciiTheme="minorHAnsi" w:hAnsiTheme="minorHAnsi" w:cstheme="minorHAnsi"/>
        </w:rPr>
        <w:instrText xml:space="preserve"> TA \s "R v Piacentino (2007) 15 VR 501"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Piacentino (2007) 15 VR 501"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Crimes Act 1914 </w:t>
      </w:r>
      <w:r w:rsidRPr="007809F4">
        <w:rPr>
          <w:rFonts w:asciiTheme="minorHAnsi" w:hAnsiTheme="minorHAnsi" w:cstheme="minorHAnsi"/>
        </w:rPr>
        <w:t>(Cth), s 19AS(1)(d).</w:t>
      </w:r>
    </w:p>
  </w:footnote>
  <w:footnote w:id="895">
    <w:p w14:paraId="235FFCFB"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also Table 4 in “5.10.4 Non-parole period (NPP) or recognizance release order (RRO)?”.</w:t>
      </w:r>
    </w:p>
  </w:footnote>
  <w:footnote w:id="896">
    <w:p w14:paraId="3478FC21" w14:textId="2B602124"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Subject to the Court’s power to decline to set a NPP in certain circumstances – see </w:t>
      </w:r>
      <w:r w:rsidRPr="007809F4">
        <w:rPr>
          <w:rFonts w:asciiTheme="minorHAnsi" w:hAnsiTheme="minorHAnsi" w:cstheme="minorHAnsi"/>
          <w:i/>
        </w:rPr>
        <w:t xml:space="preserve">Crimes Act 1914 </w:t>
      </w:r>
      <w:r w:rsidRPr="007809F4">
        <w:rPr>
          <w:rFonts w:asciiTheme="minorHAnsi" w:hAnsiTheme="minorHAnsi" w:cstheme="minorHAnsi"/>
        </w:rPr>
        <w:t>(Cth), s 19AR(4)-(7).</w:t>
      </w:r>
    </w:p>
  </w:footnote>
  <w:footnote w:id="897">
    <w:p w14:paraId="206D5AC0"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19AR(1).</w:t>
      </w:r>
    </w:p>
  </w:footnote>
  <w:footnote w:id="898">
    <w:p w14:paraId="1E3F4CA5" w14:textId="4C06961A"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Subject to the Court’s power to decline to set a NPP in certain circumstances – see </w:t>
      </w:r>
      <w:r w:rsidRPr="007809F4">
        <w:rPr>
          <w:rFonts w:asciiTheme="minorHAnsi" w:hAnsiTheme="minorHAnsi" w:cstheme="minorHAnsi"/>
          <w:i/>
        </w:rPr>
        <w:t xml:space="preserve">Crimes Act 1914 </w:t>
      </w:r>
      <w:r w:rsidRPr="007809F4">
        <w:rPr>
          <w:rFonts w:asciiTheme="minorHAnsi" w:hAnsiTheme="minorHAnsi" w:cstheme="minorHAnsi"/>
        </w:rPr>
        <w:t>(Cth), s 19AR(4)-(7).</w:t>
      </w:r>
    </w:p>
  </w:footnote>
  <w:footnote w:id="899">
    <w:p w14:paraId="7D6C280F"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19AR(2)(d).</w:t>
      </w:r>
    </w:p>
  </w:footnote>
  <w:footnote w:id="900">
    <w:p w14:paraId="3949CAA6"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19AR(2)(e).</w:t>
      </w:r>
    </w:p>
  </w:footnote>
  <w:footnote w:id="901">
    <w:p w14:paraId="5EF01E3D" w14:textId="669BB23B"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Subject to the Court’s power to decline to set a NPP in certain circumstances – see </w:t>
      </w:r>
      <w:r w:rsidRPr="007809F4">
        <w:rPr>
          <w:rFonts w:asciiTheme="minorHAnsi" w:hAnsiTheme="minorHAnsi" w:cstheme="minorHAnsi"/>
          <w:i/>
        </w:rPr>
        <w:t xml:space="preserve">Crimes Act 1914 </w:t>
      </w:r>
      <w:r w:rsidRPr="007809F4">
        <w:rPr>
          <w:rFonts w:asciiTheme="minorHAnsi" w:hAnsiTheme="minorHAnsi" w:cstheme="minorHAnsi"/>
        </w:rPr>
        <w:t>(Cth), s 19AR(4)-(7).</w:t>
      </w:r>
    </w:p>
  </w:footnote>
  <w:footnote w:id="902">
    <w:p w14:paraId="3CC5057E" w14:textId="18F06C3D"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19AR(3)(d).  There is no express requirement to have regard, in fixing the new federal NPP, to the total period of imprisonment that th</w:t>
      </w:r>
      <w:r w:rsidRPr="00EB7F1E">
        <w:rPr>
          <w:rFonts w:asciiTheme="minorHAnsi" w:hAnsiTheme="minorHAnsi" w:cstheme="minorHAnsi"/>
        </w:rPr>
        <w:t xml:space="preserve">e person is liable to serve.  But s 16A of the </w:t>
      </w:r>
      <w:r w:rsidRPr="00EB7F1E">
        <w:rPr>
          <w:rFonts w:asciiTheme="minorHAnsi" w:hAnsiTheme="minorHAnsi" w:cstheme="minorHAnsi"/>
          <w:i/>
          <w:iCs/>
        </w:rPr>
        <w:t>Crimes Act</w:t>
      </w:r>
      <w:r w:rsidRPr="007809F4">
        <w:rPr>
          <w:rFonts w:asciiTheme="minorHAnsi" w:hAnsiTheme="minorHAnsi" w:cstheme="minorHAnsi"/>
        </w:rPr>
        <w:t xml:space="preserve"> applies to the fixing of the new NPP.  That section accommodates common law principles of totality</w:t>
      </w:r>
      <w:r w:rsidRPr="00EB7F1E">
        <w:rPr>
          <w:rFonts w:asciiTheme="minorHAnsi" w:hAnsiTheme="minorHAnsi" w:cstheme="minorHAnsi"/>
        </w:rPr>
        <w:t xml:space="preserve">: </w:t>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03">
    <w:p w14:paraId="6D708BDC" w14:textId="5F0E4366"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19AR(3)(e).  There is no express requirement to have regard, in deciding whether to make the new RRO, to the total period of imprisonment that the person is liable to serve.  But s 16A of the </w:t>
      </w:r>
      <w:r w:rsidRPr="007809F4">
        <w:rPr>
          <w:rFonts w:asciiTheme="minorHAnsi" w:hAnsiTheme="minorHAnsi" w:cstheme="minorHAnsi"/>
          <w:i/>
          <w:iCs/>
        </w:rPr>
        <w:t>Crimes Act</w:t>
      </w:r>
      <w:r w:rsidRPr="00EB7F1E">
        <w:rPr>
          <w:rFonts w:asciiTheme="minorHAnsi" w:hAnsiTheme="minorHAnsi" w:cstheme="minorHAnsi"/>
        </w:rPr>
        <w:t xml:space="preserve"> applies to the decision whether to make the new RRO</w:t>
      </w:r>
      <w:r w:rsidRPr="007809F4">
        <w:rPr>
          <w:rFonts w:asciiTheme="minorHAnsi" w:hAnsiTheme="minorHAnsi" w:cstheme="minorHAnsi"/>
        </w:rPr>
        <w:t>.</w:t>
      </w:r>
      <w:r w:rsidRPr="00EB7F1E">
        <w:rPr>
          <w:rFonts w:asciiTheme="minorHAnsi" w:hAnsiTheme="minorHAnsi" w:cstheme="minorHAnsi"/>
        </w:rPr>
        <w:t xml:space="preserve"> </w:t>
      </w:r>
      <w:r w:rsidRPr="007809F4">
        <w:rPr>
          <w:rFonts w:asciiTheme="minorHAnsi" w:hAnsiTheme="minorHAnsi" w:cstheme="minorHAnsi"/>
        </w:rPr>
        <w:t xml:space="preserve"> That </w:t>
      </w:r>
      <w:r w:rsidRPr="00EB7F1E">
        <w:rPr>
          <w:rFonts w:asciiTheme="minorHAnsi" w:hAnsiTheme="minorHAnsi" w:cstheme="minorHAnsi"/>
        </w:rPr>
        <w:t xml:space="preserve">section accommodates common law principles of totality: </w:t>
      </w:r>
      <w:r w:rsidRPr="007809F4">
        <w:rPr>
          <w:rFonts w:asciiTheme="minorHAnsi" w:hAnsiTheme="minorHAnsi" w:cstheme="minorHAnsi"/>
          <w:i/>
        </w:rPr>
        <w:t>Johnson v R</w:t>
      </w:r>
      <w:r w:rsidRPr="007809F4">
        <w:rPr>
          <w:rFonts w:asciiTheme="minorHAnsi" w:hAnsiTheme="minorHAnsi" w:cstheme="minorHAnsi"/>
        </w:rPr>
        <w:t xml:space="preserve"> (2004) 78 ALJR 616</w:t>
      </w:r>
      <w:r w:rsidRPr="00EB7F1E">
        <w:rPr>
          <w:rFonts w:asciiTheme="minorHAnsi" w:hAnsiTheme="minorHAnsi" w:cstheme="minorHAnsi"/>
        </w:rPr>
        <w:fldChar w:fldCharType="begin"/>
      </w:r>
      <w:r w:rsidRPr="007809F4">
        <w:rPr>
          <w:rFonts w:asciiTheme="minorHAnsi" w:hAnsiTheme="minorHAnsi" w:cstheme="minorHAnsi"/>
        </w:rPr>
        <w:instrText xml:space="preserve"> TA \s "Johnson v R (2004) 78 ALJR 616"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04">
    <w:p w14:paraId="6D785433" w14:textId="77777777" w:rsidR="00D44BCF" w:rsidRPr="007809F4" w:rsidRDefault="00D44BCF" w:rsidP="00454FA2">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R v Arico (No 2)</w:t>
      </w:r>
      <w:r w:rsidRPr="007809F4">
        <w:rPr>
          <w:rFonts w:asciiTheme="minorHAnsi" w:hAnsiTheme="minorHAnsi" w:cstheme="minorHAnsi"/>
        </w:rPr>
        <w:t xml:space="preserve"> </w:t>
      </w:r>
      <w:r w:rsidRPr="007809F4">
        <w:rPr>
          <w:rStyle w:val="ssleftalign"/>
          <w:rFonts w:asciiTheme="minorHAnsi" w:hAnsiTheme="minorHAnsi" w:cstheme="minorHAnsi"/>
        </w:rPr>
        <w:t>[</w:t>
      </w:r>
      <w:r w:rsidRPr="007809F4">
        <w:rPr>
          <w:rFonts w:asciiTheme="minorHAnsi" w:hAnsiTheme="minorHAnsi" w:cstheme="minorHAnsi"/>
        </w:rPr>
        <w:t>2002] VSCA 230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rPr>
        <w:instrText>R v Arico (No 2)</w:instrText>
      </w:r>
      <w:r w:rsidRPr="007809F4">
        <w:rPr>
          <w:rFonts w:asciiTheme="minorHAnsi" w:hAnsiTheme="minorHAnsi" w:cstheme="minorHAnsi"/>
        </w:rPr>
        <w:instrText xml:space="preserve"> </w:instrText>
      </w:r>
      <w:r w:rsidRPr="007809F4">
        <w:rPr>
          <w:rStyle w:val="ssleftalign"/>
          <w:rFonts w:asciiTheme="minorHAnsi" w:hAnsiTheme="minorHAnsi" w:cstheme="minorHAnsi"/>
        </w:rPr>
        <w:instrText>[</w:instrText>
      </w:r>
      <w:r w:rsidRPr="007809F4">
        <w:rPr>
          <w:rFonts w:asciiTheme="minorHAnsi" w:hAnsiTheme="minorHAnsi" w:cstheme="minorHAnsi"/>
        </w:rPr>
        <w:instrText xml:space="preserve">2002] VSCA 230" \s "R v Arico (No 2) [2002] VSCA 230" \c 1 </w:instrText>
      </w:r>
      <w:r w:rsidRPr="00EB7F1E">
        <w:rPr>
          <w:rFonts w:asciiTheme="minorHAnsi" w:hAnsiTheme="minorHAnsi" w:cstheme="minorHAnsi"/>
        </w:rPr>
        <w:fldChar w:fldCharType="end"/>
      </w:r>
      <w:r w:rsidRPr="007809F4">
        <w:rPr>
          <w:rFonts w:asciiTheme="minorHAnsi" w:hAnsiTheme="minorHAnsi" w:cstheme="minorHAnsi"/>
        </w:rPr>
        <w:t xml:space="preserve">, [8]-[11]; </w:t>
      </w:r>
      <w:r w:rsidRPr="007809F4">
        <w:rPr>
          <w:rFonts w:asciiTheme="minorHAnsi" w:hAnsiTheme="minorHAnsi" w:cstheme="minorHAnsi"/>
          <w:i/>
        </w:rPr>
        <w:t>R v Piacentino</w:t>
      </w:r>
      <w:r w:rsidRPr="007809F4">
        <w:rPr>
          <w:rFonts w:asciiTheme="minorHAnsi" w:hAnsiTheme="minorHAnsi" w:cstheme="minorHAnsi"/>
        </w:rPr>
        <w:t xml:space="preserve"> (2007) 15 VR 501</w:t>
      </w:r>
      <w:r w:rsidRPr="00EB7F1E">
        <w:rPr>
          <w:rFonts w:asciiTheme="minorHAnsi" w:hAnsiTheme="minorHAnsi" w:cstheme="minorHAnsi"/>
        </w:rPr>
        <w:fldChar w:fldCharType="begin"/>
      </w:r>
      <w:r w:rsidRPr="007809F4">
        <w:rPr>
          <w:rFonts w:asciiTheme="minorHAnsi" w:hAnsiTheme="minorHAnsi" w:cstheme="minorHAnsi"/>
        </w:rPr>
        <w:instrText xml:space="preserve"> TA \s "R v Piacentino (2007) 15 VR 501"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Piacentino (2007) 15 VR 501" </w:instrText>
      </w:r>
      <w:r w:rsidRPr="00EB7F1E">
        <w:rPr>
          <w:rFonts w:asciiTheme="minorHAnsi" w:hAnsiTheme="minorHAnsi" w:cstheme="minorHAnsi"/>
        </w:rPr>
        <w:fldChar w:fldCharType="end"/>
      </w:r>
      <w:r w:rsidRPr="007809F4">
        <w:rPr>
          <w:rFonts w:asciiTheme="minorHAnsi" w:hAnsiTheme="minorHAnsi" w:cstheme="minorHAnsi"/>
        </w:rPr>
        <w:t>, [106]-[108]</w:t>
      </w:r>
      <w:r w:rsidRPr="007809F4">
        <w:rPr>
          <w:rFonts w:asciiTheme="minorHAnsi" w:hAnsiTheme="minorHAnsi" w:cstheme="minorHAnsi"/>
          <w:bCs/>
          <w:iCs/>
        </w:rPr>
        <w:t>.</w:t>
      </w:r>
    </w:p>
  </w:footnote>
  <w:footnote w:id="905">
    <w:p w14:paraId="2AFEE1A1" w14:textId="77777777" w:rsidR="00D44BCF" w:rsidRPr="007809F4" w:rsidRDefault="00D44BCF" w:rsidP="00A74CE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automatic reduction </w:t>
      </w:r>
      <w:r w:rsidRPr="00EB7F1E">
        <w:rPr>
          <w:rFonts w:asciiTheme="minorHAnsi" w:hAnsiTheme="minorHAnsi" w:cstheme="minorHAnsi"/>
        </w:rPr>
        <w:t>does not apply to reduce the NPP or pre-release period under a RRO:</w:t>
      </w:r>
      <w:r w:rsidRPr="007809F4">
        <w:rPr>
          <w:rFonts w:asciiTheme="minorHAnsi" w:hAnsiTheme="minorHAnsi" w:cstheme="minorHAnsi"/>
          <w:i/>
        </w:rPr>
        <w:t xml:space="preserve"> Crimes Act 1914 </w:t>
      </w:r>
      <w:r w:rsidRPr="007809F4">
        <w:rPr>
          <w:rFonts w:asciiTheme="minorHAnsi" w:hAnsiTheme="minorHAnsi" w:cstheme="minorHAnsi"/>
        </w:rPr>
        <w:t>(Cth), s 19AA(1A).</w:t>
      </w:r>
    </w:p>
  </w:footnote>
  <w:footnote w:id="906">
    <w:p w14:paraId="14736822" w14:textId="77777777" w:rsidR="00D44BCF" w:rsidRPr="007809F4" w:rsidRDefault="00D44BCF" w:rsidP="00CC7655">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19AJ and s 19AR(6).</w:t>
      </w:r>
    </w:p>
  </w:footnote>
  <w:footnote w:id="907">
    <w:p w14:paraId="2A6E910E" w14:textId="2AE8B86B"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the form of warrant in form 2 of Schedule </w:t>
      </w:r>
      <w:r w:rsidRPr="00EB7F1E">
        <w:rPr>
          <w:rFonts w:asciiTheme="minorHAnsi" w:hAnsiTheme="minorHAnsi" w:cstheme="minorHAnsi"/>
          <w:color w:val="548DD4" w:themeColor="text2" w:themeTint="99"/>
        </w:rPr>
        <w:t>1</w:t>
      </w:r>
      <w:r w:rsidRPr="007809F4">
        <w:rPr>
          <w:rFonts w:asciiTheme="minorHAnsi" w:hAnsiTheme="minorHAnsi" w:cstheme="minorHAnsi"/>
        </w:rPr>
        <w:t xml:space="preserve"> of the </w:t>
      </w:r>
      <w:r w:rsidRPr="007809F4">
        <w:rPr>
          <w:rFonts w:asciiTheme="minorHAnsi" w:hAnsiTheme="minorHAnsi" w:cstheme="minorHAnsi"/>
          <w:i/>
        </w:rPr>
        <w:t xml:space="preserve">Crimes Regulations </w:t>
      </w:r>
      <w:r w:rsidRPr="00EB7F1E">
        <w:rPr>
          <w:rFonts w:asciiTheme="minorHAnsi" w:hAnsiTheme="minorHAnsi" w:cstheme="minorHAnsi"/>
          <w:i/>
          <w:color w:val="548DD4" w:themeColor="text2" w:themeTint="99"/>
        </w:rPr>
        <w:t>2019</w:t>
      </w:r>
      <w:r w:rsidRPr="007809F4">
        <w:rPr>
          <w:rFonts w:asciiTheme="minorHAnsi" w:hAnsiTheme="minorHAnsi" w:cstheme="minorHAnsi"/>
        </w:rPr>
        <w:t xml:space="preserve"> (Cth).</w:t>
      </w:r>
    </w:p>
  </w:footnote>
  <w:footnote w:id="908">
    <w:p w14:paraId="5640314E" w14:textId="03841F05" w:rsidR="00D44BCF" w:rsidRPr="007809F4" w:rsidRDefault="00D44BCF" w:rsidP="00C550B8">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19AU</w:t>
      </w:r>
      <w:r w:rsidRPr="007809F4">
        <w:rPr>
          <w:rFonts w:asciiTheme="minorHAnsi" w:hAnsiTheme="minorHAnsi" w:cstheme="minorHAnsi"/>
          <w:i/>
        </w:rPr>
        <w:t>.</w:t>
      </w:r>
      <w:r w:rsidRPr="007809F4">
        <w:rPr>
          <w:rFonts w:asciiTheme="minorHAnsi" w:hAnsiTheme="minorHAnsi" w:cstheme="minorHAnsi"/>
        </w:rPr>
        <w:t xml:space="preserve">  See also </w:t>
      </w:r>
      <w:r w:rsidRPr="007809F4">
        <w:rPr>
          <w:rFonts w:asciiTheme="minorHAnsi" w:hAnsiTheme="minorHAnsi" w:cstheme="minorHAnsi"/>
          <w:i/>
        </w:rPr>
        <w:t>R v Novak</w:t>
      </w:r>
      <w:r w:rsidRPr="007809F4">
        <w:rPr>
          <w:rFonts w:asciiTheme="minorHAnsi" w:hAnsiTheme="minorHAnsi" w:cstheme="minorHAnsi"/>
        </w:rPr>
        <w:t xml:space="preserve"> [2003] VSCA 46</w:t>
      </w:r>
      <w:r w:rsidRPr="00EB7F1E">
        <w:rPr>
          <w:rFonts w:asciiTheme="minorHAnsi" w:hAnsiTheme="minorHAnsi" w:cstheme="minorHAnsi"/>
        </w:rPr>
        <w:fldChar w:fldCharType="begin"/>
      </w:r>
      <w:r w:rsidRPr="00EB7F1E">
        <w:rPr>
          <w:rFonts w:asciiTheme="minorHAnsi" w:hAnsiTheme="minorHAnsi" w:cstheme="minorHAnsi"/>
        </w:rPr>
        <w:instrText xml:space="preserve"> TA \s "R v Novak [2003] VSCA 46" </w:instrText>
      </w:r>
      <w:r w:rsidRPr="00EB7F1E">
        <w:rPr>
          <w:rFonts w:asciiTheme="minorHAnsi" w:hAnsiTheme="minorHAnsi" w:cstheme="minorHAnsi"/>
        </w:rPr>
        <w:fldChar w:fldCharType="end"/>
      </w:r>
      <w:r w:rsidRPr="007809F4">
        <w:rPr>
          <w:rFonts w:asciiTheme="minorHAnsi" w:hAnsiTheme="minorHAnsi" w:cstheme="minorHAnsi"/>
        </w:rPr>
        <w:t>.  Subject to certain exceptions, before the Attorney-General revokes parole, the parolee will be notified of the alleged breach and given 14 days in which to submit reasons as to why parole should not be revoked.</w:t>
      </w:r>
    </w:p>
  </w:footnote>
  <w:footnote w:id="909">
    <w:p w14:paraId="48C8D45F"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19AV</w:t>
      </w:r>
      <w:r w:rsidRPr="007809F4">
        <w:rPr>
          <w:rFonts w:asciiTheme="minorHAnsi" w:hAnsiTheme="minorHAnsi" w:cstheme="minorHAnsi"/>
          <w:i/>
        </w:rPr>
        <w:t>.</w:t>
      </w:r>
    </w:p>
  </w:footnote>
  <w:footnote w:id="910">
    <w:p w14:paraId="4B8127A7" w14:textId="6EE7C5D8" w:rsidR="00D44BCF" w:rsidRPr="007809F4" w:rsidRDefault="00D44BCF" w:rsidP="00463B53">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the definition of “prescribed authority” in </w:t>
      </w:r>
      <w:r w:rsidRPr="007809F4">
        <w:rPr>
          <w:rFonts w:asciiTheme="minorHAnsi" w:hAnsiTheme="minorHAnsi" w:cstheme="minorHAnsi"/>
          <w:i/>
        </w:rPr>
        <w:t xml:space="preserve">Crimes Act 1914 </w:t>
      </w:r>
      <w:r w:rsidRPr="007809F4">
        <w:rPr>
          <w:rFonts w:asciiTheme="minorHAnsi" w:hAnsiTheme="minorHAnsi" w:cstheme="minorHAnsi"/>
        </w:rPr>
        <w:t>(Cth), s 16(1)</w:t>
      </w:r>
      <w:r w:rsidRPr="007809F4">
        <w:rPr>
          <w:rFonts w:asciiTheme="minorHAnsi" w:hAnsiTheme="minorHAnsi" w:cstheme="minorHAnsi"/>
          <w:i/>
        </w:rPr>
        <w:t>.</w:t>
      </w:r>
    </w:p>
  </w:footnote>
  <w:footnote w:id="911">
    <w:p w14:paraId="5B88273D"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19AW(2)</w:t>
      </w:r>
      <w:r w:rsidRPr="007809F4">
        <w:rPr>
          <w:rFonts w:asciiTheme="minorHAnsi" w:hAnsiTheme="minorHAnsi" w:cstheme="minorHAnsi"/>
          <w:i/>
        </w:rPr>
        <w:t>.</w:t>
      </w:r>
    </w:p>
  </w:footnote>
  <w:footnote w:id="912">
    <w:p w14:paraId="11562A20" w14:textId="7120655D"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Form 5 in Schedule </w:t>
      </w:r>
      <w:r w:rsidRPr="00EB7F1E">
        <w:rPr>
          <w:rFonts w:asciiTheme="minorHAnsi" w:hAnsiTheme="minorHAnsi" w:cstheme="minorHAnsi"/>
          <w:color w:val="548DD4" w:themeColor="text2" w:themeTint="99"/>
        </w:rPr>
        <w:t>1</w:t>
      </w:r>
      <w:r w:rsidRPr="007809F4">
        <w:rPr>
          <w:rFonts w:asciiTheme="minorHAnsi" w:hAnsiTheme="minorHAnsi" w:cstheme="minorHAnsi"/>
        </w:rPr>
        <w:t xml:space="preserve"> to the </w:t>
      </w:r>
      <w:r w:rsidRPr="007809F4">
        <w:rPr>
          <w:rFonts w:asciiTheme="minorHAnsi" w:hAnsiTheme="minorHAnsi" w:cstheme="minorHAnsi"/>
          <w:i/>
        </w:rPr>
        <w:t xml:space="preserve">Crimes Regulations </w:t>
      </w:r>
      <w:r w:rsidRPr="00EB7F1E">
        <w:rPr>
          <w:rFonts w:asciiTheme="minorHAnsi" w:hAnsiTheme="minorHAnsi" w:cstheme="minorHAnsi"/>
          <w:i/>
          <w:color w:val="548DD4" w:themeColor="text2" w:themeTint="99"/>
        </w:rPr>
        <w:t>2019</w:t>
      </w:r>
      <w:r w:rsidRPr="007809F4">
        <w:rPr>
          <w:rFonts w:asciiTheme="minorHAnsi" w:hAnsiTheme="minorHAnsi" w:cstheme="minorHAnsi"/>
          <w:i/>
        </w:rPr>
        <w:t xml:space="preserve"> </w:t>
      </w:r>
      <w:r w:rsidRPr="007809F4">
        <w:rPr>
          <w:rFonts w:asciiTheme="minorHAnsi" w:hAnsiTheme="minorHAnsi" w:cstheme="minorHAnsi"/>
        </w:rPr>
        <w:t>(Cth).</w:t>
      </w:r>
    </w:p>
  </w:footnote>
  <w:footnote w:id="913">
    <w:p w14:paraId="319AD4BC" w14:textId="77777777" w:rsidR="00D44BCF" w:rsidRPr="007809F4" w:rsidRDefault="00D44BCF" w:rsidP="00CC7655">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19AW(1)(e)</w:t>
      </w:r>
      <w:r w:rsidRPr="007809F4">
        <w:rPr>
          <w:rFonts w:asciiTheme="minorHAnsi" w:hAnsiTheme="minorHAnsi" w:cstheme="minorHAnsi"/>
          <w:i/>
        </w:rPr>
        <w:t>.</w:t>
      </w:r>
    </w:p>
  </w:footnote>
  <w:footnote w:id="914">
    <w:p w14:paraId="21FABD52" w14:textId="4BBF694F" w:rsidR="00D44BCF" w:rsidRPr="00EB7F1E" w:rsidRDefault="00D44BCF" w:rsidP="00FE7BEF">
      <w:pPr>
        <w:pStyle w:val="FootnoteText"/>
        <w:tabs>
          <w:tab w:val="left" w:pos="567"/>
        </w:tabs>
        <w:ind w:left="426" w:hanging="426"/>
        <w:jc w:val="both"/>
        <w:rPr>
          <w:rFonts w:asciiTheme="minorHAnsi" w:hAnsiTheme="minorHAnsi" w:cstheme="minorHAnsi"/>
          <w:iCs/>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Cs/>
        </w:rPr>
        <w:t>In those jurisdictions, the magistrate must instead have regard to street time in fixing a new NPP: see below.</w:t>
      </w:r>
    </w:p>
  </w:footnote>
  <w:footnote w:id="915">
    <w:p w14:paraId="1752CCF0" w14:textId="6BE361F7" w:rsidR="00D44BCF" w:rsidRPr="007809F4" w:rsidRDefault="00D44BCF" w:rsidP="00526C01">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7809F4">
        <w:rPr>
          <w:rFonts w:asciiTheme="minorHAnsi" w:hAnsiTheme="minorHAnsi" w:cstheme="minorHAnsi"/>
          <w:i/>
        </w:rPr>
        <w:t>Dobie v Commonwealth</w:t>
      </w:r>
      <w:r w:rsidRPr="007809F4">
        <w:rPr>
          <w:rFonts w:asciiTheme="minorHAnsi" w:hAnsiTheme="minorHAnsi" w:cstheme="minorHAnsi"/>
        </w:rPr>
        <w:t xml:space="preserve"> [2013] FCA 1224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Dobie v Commonwealth</w:instrText>
      </w:r>
      <w:r w:rsidRPr="007809F4">
        <w:rPr>
          <w:rFonts w:asciiTheme="minorHAnsi" w:hAnsiTheme="minorHAnsi" w:cstheme="minorHAnsi"/>
        </w:rPr>
        <w:instrText xml:space="preserve"> [2013] FCA 1224" \s "Dobie v Commonwealth [2013] FCA 1224" \c 1 </w:instrText>
      </w:r>
      <w:r w:rsidRPr="00EB7F1E">
        <w:rPr>
          <w:rFonts w:asciiTheme="minorHAnsi" w:hAnsiTheme="minorHAnsi" w:cstheme="minorHAnsi"/>
        </w:rPr>
        <w:fldChar w:fldCharType="end"/>
      </w:r>
      <w:r w:rsidRPr="007809F4">
        <w:rPr>
          <w:rFonts w:asciiTheme="minorHAnsi" w:hAnsiTheme="minorHAnsi" w:cstheme="minorHAnsi"/>
        </w:rPr>
        <w:t>, Rangiah J observed (at [40]) that the discretion under s 19AW(3)(a) not to fix a NPP is apt to be exercised if the nature of the relevant breach of the conditions of the parole order or licence is so serious that the magistrate considers that the offender should not be released on parole.</w:t>
      </w:r>
    </w:p>
  </w:footnote>
  <w:footnote w:id="916">
    <w:p w14:paraId="39618418" w14:textId="3CC1F067" w:rsidR="00D44BCF" w:rsidRPr="007809F4" w:rsidRDefault="00D44BCF" w:rsidP="002D3537">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Dobie v Commonwealth</w:t>
      </w:r>
      <w:r w:rsidRPr="007809F4">
        <w:rPr>
          <w:rFonts w:asciiTheme="minorHAnsi" w:hAnsiTheme="minorHAnsi" w:cstheme="minorHAnsi"/>
        </w:rPr>
        <w:t xml:space="preserve"> [2013] FCA 1224</w:t>
      </w:r>
      <w:r w:rsidRPr="00EB7F1E">
        <w:rPr>
          <w:rFonts w:asciiTheme="minorHAnsi" w:hAnsiTheme="minorHAnsi" w:cstheme="minorHAnsi"/>
        </w:rPr>
        <w:fldChar w:fldCharType="begin"/>
      </w:r>
      <w:r w:rsidRPr="007809F4">
        <w:rPr>
          <w:rFonts w:asciiTheme="minorHAnsi" w:hAnsiTheme="minorHAnsi" w:cstheme="minorHAnsi"/>
        </w:rPr>
        <w:instrText xml:space="preserve"> TA \s "Dobie v Commonwealth [2013] FCA 1224" </w:instrText>
      </w:r>
      <w:r w:rsidRPr="00EB7F1E">
        <w:rPr>
          <w:rFonts w:asciiTheme="minorHAnsi" w:hAnsiTheme="minorHAnsi" w:cstheme="minorHAnsi"/>
        </w:rPr>
        <w:fldChar w:fldCharType="end"/>
      </w:r>
      <w:r w:rsidRPr="007809F4">
        <w:rPr>
          <w:rFonts w:asciiTheme="minorHAnsi" w:hAnsiTheme="minorHAnsi" w:cstheme="minorHAnsi"/>
        </w:rPr>
        <w:t>, [75].</w:t>
      </w:r>
    </w:p>
  </w:footnote>
  <w:footnote w:id="917">
    <w:p w14:paraId="7D3883E2" w14:textId="3EB34C3A" w:rsidR="00D44BCF" w:rsidRPr="007809F4" w:rsidRDefault="00D44BCF" w:rsidP="0089552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Cs/>
        </w:rPr>
        <w:t xml:space="preserve">As to the nature of the appeal, see </w:t>
      </w:r>
      <w:r w:rsidRPr="00EB7F1E">
        <w:rPr>
          <w:rFonts w:asciiTheme="minorHAnsi" w:hAnsiTheme="minorHAnsi" w:cstheme="minorHAnsi"/>
          <w:i/>
        </w:rPr>
        <w:t>Cant v DPP (Cth)</w:t>
      </w:r>
      <w:r w:rsidRPr="00EB7F1E">
        <w:rPr>
          <w:rFonts w:asciiTheme="minorHAnsi" w:hAnsiTheme="minorHAnsi" w:cstheme="minorHAnsi"/>
          <w:iCs/>
        </w:rPr>
        <w:t xml:space="preserve"> [2014] QSC 62</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Cant v DPP (Cth)</w:instrText>
      </w:r>
      <w:r w:rsidRPr="00EB7F1E">
        <w:rPr>
          <w:rFonts w:asciiTheme="minorHAnsi" w:hAnsiTheme="minorHAnsi" w:cstheme="minorHAnsi"/>
          <w:iCs/>
        </w:rPr>
        <w:instrText xml:space="preserve"> [2014] QSC 62</w:instrText>
      </w:r>
      <w:r w:rsidRPr="00EB7F1E">
        <w:rPr>
          <w:rFonts w:asciiTheme="minorHAnsi" w:hAnsiTheme="minorHAnsi" w:cstheme="minorHAnsi"/>
        </w:rPr>
        <w:instrText xml:space="preserve">" \s "Cant v DPP (Cth) [2014] QSC 62" \c 1 </w:instrText>
      </w:r>
      <w:r w:rsidRPr="00EB7F1E">
        <w:rPr>
          <w:rFonts w:asciiTheme="minorHAnsi" w:hAnsiTheme="minorHAnsi" w:cstheme="minorHAnsi"/>
          <w:iCs/>
        </w:rPr>
        <w:fldChar w:fldCharType="end"/>
      </w:r>
      <w:r w:rsidRPr="00EB7F1E">
        <w:rPr>
          <w:rFonts w:asciiTheme="minorHAnsi" w:hAnsiTheme="minorHAnsi" w:cstheme="minorHAnsi"/>
          <w:iCs/>
        </w:rPr>
        <w:t>, [16]-[19].</w:t>
      </w:r>
    </w:p>
  </w:footnote>
  <w:footnote w:id="918">
    <w:p w14:paraId="2CF77A00" w14:textId="77777777" w:rsidR="00D44BCF" w:rsidRPr="007809F4" w:rsidRDefault="00D44BCF" w:rsidP="00014EB2">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relevant State/Territory is the one in which the offender is serving his or her sentence at the time of release on federal parole, or (possibly) the State/Territory in which the offender has been on parole with the permission of the relevant Commonwealth authority at the time the calculation falls to be performed: </w:t>
      </w:r>
      <w:r w:rsidRPr="007809F4">
        <w:rPr>
          <w:rFonts w:asciiTheme="minorHAnsi" w:hAnsiTheme="minorHAnsi" w:cstheme="minorHAnsi"/>
          <w:i/>
        </w:rPr>
        <w:t>DPP (Cth) v Wallace</w:t>
      </w:r>
      <w:r w:rsidRPr="007809F4">
        <w:rPr>
          <w:rFonts w:asciiTheme="minorHAnsi" w:hAnsiTheme="minorHAnsi" w:cstheme="minorHAnsi"/>
        </w:rPr>
        <w:t xml:space="preserve"> (2011) 43 WAR 61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Wallace (2011) 43 WAR 61" </w:instrText>
      </w:r>
      <w:r w:rsidRPr="00EB7F1E">
        <w:rPr>
          <w:rFonts w:asciiTheme="minorHAnsi" w:hAnsiTheme="minorHAnsi" w:cstheme="minorHAnsi"/>
        </w:rPr>
        <w:fldChar w:fldCharType="end"/>
      </w:r>
      <w:r w:rsidRPr="007809F4">
        <w:rPr>
          <w:rFonts w:asciiTheme="minorHAnsi" w:hAnsiTheme="minorHAnsi" w:cstheme="minorHAnsi"/>
        </w:rPr>
        <w:t>, [46] (Martin CJ).</w:t>
      </w:r>
    </w:p>
  </w:footnote>
  <w:footnote w:id="919">
    <w:p w14:paraId="1403AA26" w14:textId="77777777" w:rsidR="00D44BCF" w:rsidRPr="007809F4" w:rsidRDefault="00D44BCF" w:rsidP="00A74CE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automatic reduction </w:t>
      </w:r>
      <w:r w:rsidRPr="00EB7F1E">
        <w:rPr>
          <w:rFonts w:asciiTheme="minorHAnsi" w:hAnsiTheme="minorHAnsi" w:cstheme="minorHAnsi"/>
        </w:rPr>
        <w:t>does not apply to reduce the NPP or pre-release period under a RRO:</w:t>
      </w:r>
      <w:r w:rsidRPr="007809F4">
        <w:rPr>
          <w:rFonts w:asciiTheme="minorHAnsi" w:hAnsiTheme="minorHAnsi" w:cstheme="minorHAnsi"/>
          <w:i/>
        </w:rPr>
        <w:t xml:space="preserve"> Crimes Act 1914 </w:t>
      </w:r>
      <w:r w:rsidRPr="007809F4">
        <w:rPr>
          <w:rFonts w:asciiTheme="minorHAnsi" w:hAnsiTheme="minorHAnsi" w:cstheme="minorHAnsi"/>
        </w:rPr>
        <w:t>(Cth), s 19AA(1A).</w:t>
      </w:r>
    </w:p>
  </w:footnote>
  <w:footnote w:id="920">
    <w:p w14:paraId="331F3883" w14:textId="77777777" w:rsidR="00D44BCF" w:rsidRPr="007809F4" w:rsidRDefault="00D44BCF" w:rsidP="001F3B61">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
          <w:bCs/>
        </w:rPr>
        <w:t>NSW:</w:t>
      </w:r>
      <w:r w:rsidRPr="007809F4">
        <w:rPr>
          <w:rFonts w:asciiTheme="minorHAnsi" w:hAnsiTheme="minorHAnsi" w:cstheme="minorHAnsi"/>
        </w:rPr>
        <w:t xml:space="preserve"> </w:t>
      </w:r>
      <w:r w:rsidRPr="007809F4">
        <w:rPr>
          <w:rFonts w:asciiTheme="minorHAnsi" w:hAnsiTheme="minorHAnsi" w:cstheme="minorHAnsi"/>
          <w:i/>
        </w:rPr>
        <w:t>Crimes (Administration of Sentences)</w:t>
      </w:r>
      <w:r w:rsidRPr="007809F4">
        <w:rPr>
          <w:rFonts w:asciiTheme="minorHAnsi" w:hAnsiTheme="minorHAnsi" w:cstheme="minorHAnsi"/>
        </w:rPr>
        <w:t xml:space="preserve"> Act 1999 (NSW), s 132. </w:t>
      </w:r>
      <w:r w:rsidRPr="007809F4">
        <w:rPr>
          <w:rFonts w:asciiTheme="minorHAnsi" w:hAnsiTheme="minorHAnsi" w:cstheme="minorHAnsi"/>
          <w:b/>
          <w:bCs/>
        </w:rPr>
        <w:t xml:space="preserve">Qld: </w:t>
      </w:r>
      <w:r w:rsidRPr="007809F4">
        <w:rPr>
          <w:rFonts w:asciiTheme="minorHAnsi" w:hAnsiTheme="minorHAnsi" w:cstheme="minorHAnsi"/>
          <w:i/>
        </w:rPr>
        <w:t>Corrective Services Act</w:t>
      </w:r>
      <w:r w:rsidRPr="007809F4">
        <w:rPr>
          <w:rFonts w:asciiTheme="minorHAnsi" w:hAnsiTheme="minorHAnsi" w:cstheme="minorHAnsi"/>
        </w:rPr>
        <w:t xml:space="preserve"> 2006 (Qld), s 211(2).  </w:t>
      </w:r>
      <w:r w:rsidRPr="007809F4">
        <w:rPr>
          <w:rFonts w:asciiTheme="minorHAnsi" w:hAnsiTheme="minorHAnsi" w:cstheme="minorHAnsi"/>
          <w:b/>
          <w:bCs/>
        </w:rPr>
        <w:t>WA:</w:t>
      </w:r>
      <w:r w:rsidRPr="007809F4">
        <w:rPr>
          <w:rFonts w:asciiTheme="minorHAnsi" w:hAnsiTheme="minorHAnsi" w:cstheme="minorHAnsi"/>
        </w:rPr>
        <w:t xml:space="preserve"> </w:t>
      </w:r>
      <w:r w:rsidRPr="007809F4">
        <w:rPr>
          <w:rFonts w:asciiTheme="minorHAnsi" w:hAnsiTheme="minorHAnsi" w:cstheme="minorHAnsi"/>
          <w:i/>
        </w:rPr>
        <w:t>Sentence Administration Act</w:t>
      </w:r>
      <w:r w:rsidRPr="007809F4">
        <w:rPr>
          <w:rFonts w:asciiTheme="minorHAnsi" w:hAnsiTheme="minorHAnsi" w:cstheme="minorHAnsi"/>
        </w:rPr>
        <w:t xml:space="preserve"> 2003 (WA), s 71 (which specifically uses the term “clean street time”).  </w:t>
      </w:r>
      <w:r w:rsidRPr="007809F4">
        <w:rPr>
          <w:rFonts w:asciiTheme="minorHAnsi" w:hAnsiTheme="minorHAnsi" w:cstheme="minorHAnsi"/>
          <w:b/>
          <w:bCs/>
        </w:rPr>
        <w:t>SA:</w:t>
      </w:r>
      <w:r w:rsidRPr="007809F4">
        <w:rPr>
          <w:rFonts w:asciiTheme="minorHAnsi" w:hAnsiTheme="minorHAnsi" w:cstheme="minorHAnsi"/>
          <w:i/>
        </w:rPr>
        <w:t xml:space="preserve"> Correctional Services Act</w:t>
      </w:r>
      <w:r w:rsidRPr="007809F4">
        <w:rPr>
          <w:rFonts w:asciiTheme="minorHAnsi" w:hAnsiTheme="minorHAnsi" w:cstheme="minorHAnsi"/>
        </w:rPr>
        <w:t xml:space="preserve"> 1982 (SA), s 75(2).  See also </w:t>
      </w:r>
      <w:r w:rsidRPr="007809F4">
        <w:rPr>
          <w:rFonts w:asciiTheme="minorHAnsi" w:hAnsiTheme="minorHAnsi" w:cstheme="minorHAnsi"/>
          <w:i/>
        </w:rPr>
        <w:t>DPP (Cth) v Wallace</w:t>
      </w:r>
      <w:r w:rsidRPr="007809F4">
        <w:rPr>
          <w:rFonts w:asciiTheme="minorHAnsi" w:hAnsiTheme="minorHAnsi" w:cstheme="minorHAnsi"/>
        </w:rPr>
        <w:t xml:space="preserve"> (2011) 43 WAR 61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Wallace (2011) 43 WAR 61" </w:instrText>
      </w:r>
      <w:r w:rsidRPr="00EB7F1E">
        <w:rPr>
          <w:rFonts w:asciiTheme="minorHAnsi" w:hAnsiTheme="minorHAnsi" w:cstheme="minorHAnsi"/>
        </w:rPr>
        <w:fldChar w:fldCharType="end"/>
      </w:r>
      <w:r w:rsidRPr="007809F4">
        <w:rPr>
          <w:rFonts w:asciiTheme="minorHAnsi" w:hAnsiTheme="minorHAnsi" w:cstheme="minorHAnsi"/>
        </w:rPr>
        <w:t xml:space="preserve">, [55]; </w:t>
      </w:r>
      <w:r w:rsidRPr="007809F4">
        <w:rPr>
          <w:rFonts w:asciiTheme="minorHAnsi" w:hAnsiTheme="minorHAnsi" w:cstheme="minorHAnsi"/>
          <w:i/>
          <w:iCs/>
        </w:rPr>
        <w:t xml:space="preserve">DPP </w:t>
      </w:r>
      <w:r w:rsidRPr="007809F4">
        <w:rPr>
          <w:rFonts w:asciiTheme="minorHAnsi" w:hAnsiTheme="minorHAnsi" w:cstheme="minorHAnsi"/>
          <w:i/>
        </w:rPr>
        <w:t>(Cth) v WJB</w:t>
      </w:r>
      <w:r w:rsidRPr="007809F4">
        <w:rPr>
          <w:rFonts w:asciiTheme="minorHAnsi" w:hAnsiTheme="minorHAnsi" w:cstheme="minorHAnsi"/>
        </w:rPr>
        <w:t xml:space="preserve"> (2000) 78 SASR 44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rPr>
        <w:instrText xml:space="preserve">DPP </w:instrText>
      </w:r>
      <w:r w:rsidRPr="007809F4">
        <w:rPr>
          <w:rFonts w:asciiTheme="minorHAnsi" w:hAnsiTheme="minorHAnsi" w:cstheme="minorHAnsi"/>
          <w:i/>
        </w:rPr>
        <w:instrText>(Cth) v WJB</w:instrText>
      </w:r>
      <w:r w:rsidRPr="007809F4">
        <w:rPr>
          <w:rFonts w:asciiTheme="minorHAnsi" w:hAnsiTheme="minorHAnsi" w:cstheme="minorHAnsi"/>
        </w:rPr>
        <w:instrText xml:space="preserve"> (2000) 78 SASR 44" \s "DPP (Cth) v WJB (2000) 78 SASR 44"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21">
    <w:p w14:paraId="4918F6D6" w14:textId="77777777" w:rsidR="00D44BCF" w:rsidRPr="007809F4" w:rsidRDefault="00D44BCF" w:rsidP="00FA24A6">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
          <w:bCs/>
        </w:rPr>
        <w:t>ACT:</w:t>
      </w:r>
      <w:r w:rsidRPr="007809F4">
        <w:rPr>
          <w:rFonts w:asciiTheme="minorHAnsi" w:hAnsiTheme="minorHAnsi" w:cstheme="minorHAnsi"/>
        </w:rPr>
        <w:t xml:space="preserve"> </w:t>
      </w:r>
      <w:r w:rsidRPr="007809F4">
        <w:rPr>
          <w:rFonts w:asciiTheme="minorHAnsi" w:hAnsiTheme="minorHAnsi" w:cstheme="minorHAnsi"/>
          <w:i/>
        </w:rPr>
        <w:t>Crimes (Sentence Administration) Act</w:t>
      </w:r>
      <w:r w:rsidRPr="007809F4">
        <w:rPr>
          <w:rFonts w:asciiTheme="minorHAnsi" w:hAnsiTheme="minorHAnsi" w:cstheme="minorHAnsi"/>
        </w:rPr>
        <w:t xml:space="preserve"> 2005 (ACT), s 160 and s 139.  See also </w:t>
      </w:r>
      <w:r w:rsidRPr="007809F4">
        <w:rPr>
          <w:rFonts w:asciiTheme="minorHAnsi" w:hAnsiTheme="minorHAnsi" w:cstheme="minorHAnsi"/>
          <w:i/>
        </w:rPr>
        <w:t>Turrise v Hunter</w:t>
      </w:r>
      <w:r w:rsidRPr="007809F4">
        <w:rPr>
          <w:rFonts w:asciiTheme="minorHAnsi" w:hAnsiTheme="minorHAnsi" w:cstheme="minorHAnsi"/>
        </w:rPr>
        <w:t xml:space="preserve"> [2008] ACTSC 128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Turrise v Hunter</w:instrText>
      </w:r>
      <w:r w:rsidRPr="007809F4">
        <w:rPr>
          <w:rFonts w:asciiTheme="minorHAnsi" w:hAnsiTheme="minorHAnsi" w:cstheme="minorHAnsi"/>
        </w:rPr>
        <w:instrText xml:space="preserve"> [2008] ACTSC 128" \s "Turrise v Hunter [2008] ACTSC 128" \c 1 </w:instrText>
      </w:r>
      <w:r w:rsidRPr="00EB7F1E">
        <w:rPr>
          <w:rFonts w:asciiTheme="minorHAnsi" w:hAnsiTheme="minorHAnsi" w:cstheme="minorHAnsi"/>
        </w:rPr>
        <w:fldChar w:fldCharType="end"/>
      </w:r>
      <w:r w:rsidRPr="007809F4">
        <w:rPr>
          <w:rFonts w:asciiTheme="minorHAnsi" w:hAnsiTheme="minorHAnsi" w:cstheme="minorHAnsi"/>
        </w:rPr>
        <w:t xml:space="preserve">, [15]-[21].  </w:t>
      </w:r>
      <w:r w:rsidRPr="007809F4">
        <w:rPr>
          <w:rFonts w:asciiTheme="minorHAnsi" w:hAnsiTheme="minorHAnsi" w:cstheme="minorHAnsi"/>
          <w:b/>
          <w:bCs/>
        </w:rPr>
        <w:t>NT:</w:t>
      </w:r>
      <w:r w:rsidRPr="007809F4">
        <w:rPr>
          <w:rFonts w:asciiTheme="minorHAnsi" w:hAnsiTheme="minorHAnsi" w:cstheme="minorHAnsi"/>
        </w:rPr>
        <w:t xml:space="preserve"> </w:t>
      </w:r>
      <w:r w:rsidRPr="007809F4">
        <w:rPr>
          <w:rFonts w:asciiTheme="minorHAnsi" w:hAnsiTheme="minorHAnsi" w:cstheme="minorHAnsi"/>
          <w:i/>
        </w:rPr>
        <w:t>Parole of Prisoners Act</w:t>
      </w:r>
      <w:r w:rsidRPr="007809F4">
        <w:rPr>
          <w:rFonts w:asciiTheme="minorHAnsi" w:hAnsiTheme="minorHAnsi" w:cstheme="minorHAnsi"/>
        </w:rPr>
        <w:t xml:space="preserve"> 1971 (NT), s 14.  </w:t>
      </w:r>
    </w:p>
  </w:footnote>
  <w:footnote w:id="922">
    <w:p w14:paraId="4ACFC9BB" w14:textId="77777777" w:rsidR="00D44BCF" w:rsidRPr="007809F4" w:rsidRDefault="00D44BCF" w:rsidP="006118B3">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
          <w:bCs/>
        </w:rPr>
        <w:t>Vic:</w:t>
      </w:r>
      <w:r w:rsidRPr="007809F4">
        <w:rPr>
          <w:rFonts w:asciiTheme="minorHAnsi" w:hAnsiTheme="minorHAnsi" w:cstheme="minorHAnsi"/>
        </w:rPr>
        <w:t xml:space="preserve"> </w:t>
      </w:r>
      <w:r w:rsidRPr="007809F4">
        <w:rPr>
          <w:rFonts w:asciiTheme="minorHAnsi" w:hAnsiTheme="minorHAnsi" w:cstheme="minorHAnsi"/>
          <w:i/>
        </w:rPr>
        <w:t xml:space="preserve">Corrections Act </w:t>
      </w:r>
      <w:r w:rsidRPr="007809F4">
        <w:rPr>
          <w:rFonts w:asciiTheme="minorHAnsi" w:hAnsiTheme="minorHAnsi" w:cstheme="minorHAnsi"/>
        </w:rPr>
        <w:t xml:space="preserve">1986 (Vic), s 77A.  </w:t>
      </w:r>
      <w:r w:rsidRPr="007809F4">
        <w:rPr>
          <w:rFonts w:asciiTheme="minorHAnsi" w:hAnsiTheme="minorHAnsi" w:cstheme="minorHAnsi"/>
          <w:b/>
          <w:bCs/>
        </w:rPr>
        <w:t xml:space="preserve">Tas: </w:t>
      </w:r>
      <w:r w:rsidRPr="007809F4">
        <w:rPr>
          <w:rFonts w:asciiTheme="minorHAnsi" w:hAnsiTheme="minorHAnsi" w:cstheme="minorHAnsi"/>
          <w:i/>
        </w:rPr>
        <w:t>Corrections Act</w:t>
      </w:r>
      <w:r w:rsidRPr="007809F4">
        <w:rPr>
          <w:rFonts w:asciiTheme="minorHAnsi" w:hAnsiTheme="minorHAnsi" w:cstheme="minorHAnsi"/>
        </w:rPr>
        <w:t xml:space="preserve"> 1997 (Tas), s 79(5).</w:t>
      </w:r>
    </w:p>
  </w:footnote>
  <w:footnote w:id="923">
    <w:p w14:paraId="677EE501" w14:textId="77777777" w:rsidR="00D44BCF" w:rsidRPr="007809F4" w:rsidRDefault="00D44BCF" w:rsidP="001F3B61">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ALRC, </w:t>
      </w:r>
      <w:r w:rsidRPr="007809F4">
        <w:rPr>
          <w:rFonts w:asciiTheme="minorHAnsi" w:hAnsiTheme="minorHAnsi" w:cstheme="minorHAnsi"/>
          <w:i/>
        </w:rPr>
        <w:t>Same Crime, Same Time: Sentencing of Federal Offenders</w:t>
      </w:r>
      <w:r w:rsidRPr="007809F4">
        <w:rPr>
          <w:rFonts w:asciiTheme="minorHAnsi" w:hAnsiTheme="minorHAnsi" w:cstheme="minorHAnsi"/>
        </w:rPr>
        <w:t xml:space="preserve"> [2006] ALRC 103, [24.28]-[24.29].</w:t>
      </w:r>
    </w:p>
  </w:footnote>
  <w:footnote w:id="924">
    <w:p w14:paraId="0A24492F" w14:textId="77777777" w:rsidR="00D44BCF" w:rsidRPr="007809F4" w:rsidRDefault="00D44BCF" w:rsidP="001F3B61">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Although s 19AA(2) of the </w:t>
      </w:r>
      <w:r w:rsidRPr="007809F4">
        <w:rPr>
          <w:rFonts w:asciiTheme="minorHAnsi" w:hAnsiTheme="minorHAnsi" w:cstheme="minorHAnsi"/>
          <w:i/>
          <w:iCs/>
        </w:rPr>
        <w:t>Crimes Act 1914</w:t>
      </w:r>
      <w:r w:rsidRPr="007809F4">
        <w:rPr>
          <w:rFonts w:asciiTheme="minorHAnsi" w:hAnsiTheme="minorHAnsi" w:cstheme="minorHAnsi"/>
        </w:rPr>
        <w:t xml:space="preserve"> refers to the relevant State law applying to the calculation of the balance of the federal sentence (which might suggest that the lesser reduction permitted under the State law would apply rather than the more generous federal provisions), obiter observations by Martin CJ in </w:t>
      </w:r>
      <w:r w:rsidRPr="007809F4">
        <w:rPr>
          <w:rFonts w:asciiTheme="minorHAnsi" w:hAnsiTheme="minorHAnsi" w:cstheme="minorHAnsi"/>
          <w:i/>
        </w:rPr>
        <w:t xml:space="preserve">DPP (Cth) v Wallace </w:t>
      </w:r>
      <w:r w:rsidRPr="007809F4">
        <w:rPr>
          <w:rFonts w:asciiTheme="minorHAnsi" w:hAnsiTheme="minorHAnsi" w:cstheme="minorHAnsi"/>
        </w:rPr>
        <w:t>[2011] WASC 286</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(Cth) v Wallace </w:instrText>
      </w:r>
      <w:r w:rsidRPr="007809F4">
        <w:rPr>
          <w:rFonts w:asciiTheme="minorHAnsi" w:hAnsiTheme="minorHAnsi" w:cstheme="minorHAnsi"/>
        </w:rPr>
        <w:instrText xml:space="preserve">[2011] WASC 286" \s "DPP (Cth) v Wallace [2011] WASC 286" \c 1 </w:instrText>
      </w:r>
      <w:r w:rsidRPr="00EB7F1E">
        <w:rPr>
          <w:rFonts w:asciiTheme="minorHAnsi" w:hAnsiTheme="minorHAnsi" w:cstheme="minorHAnsi"/>
        </w:rPr>
        <w:fldChar w:fldCharType="end"/>
      </w:r>
      <w:r w:rsidRPr="007809F4">
        <w:rPr>
          <w:rFonts w:asciiTheme="minorHAnsi" w:hAnsiTheme="minorHAnsi" w:cstheme="minorHAnsi"/>
        </w:rPr>
        <w:t>, [59], suggest the contrary.</w:t>
      </w:r>
    </w:p>
  </w:footnote>
  <w:footnote w:id="925">
    <w:p w14:paraId="2F7EDDB2" w14:textId="7E283D9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 xml:space="preserve">Crimes Act 1914 </w:t>
      </w:r>
      <w:r w:rsidRPr="007809F4">
        <w:rPr>
          <w:rFonts w:asciiTheme="minorHAnsi" w:hAnsiTheme="minorHAnsi" w:cstheme="minorHAnsi"/>
          <w:iCs/>
        </w:rPr>
        <w:t>(Cth),</w:t>
      </w:r>
      <w:r w:rsidRPr="007809F4">
        <w:rPr>
          <w:rFonts w:asciiTheme="minorHAnsi" w:hAnsiTheme="minorHAnsi" w:cstheme="minorHAnsi"/>
        </w:rPr>
        <w:t xml:space="preserve"> s 19AZD.</w:t>
      </w:r>
    </w:p>
  </w:footnote>
  <w:footnote w:id="926">
    <w:p w14:paraId="59AD1648" w14:textId="79250D5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19AL(3A).</w:t>
      </w:r>
    </w:p>
  </w:footnote>
  <w:footnote w:id="927">
    <w:p w14:paraId="603CB0C1" w14:textId="0965DE3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w:t>
      </w:r>
      <w:r w:rsidRPr="007809F4">
        <w:rPr>
          <w:rFonts w:asciiTheme="minorHAnsi" w:hAnsiTheme="minorHAnsi" w:cstheme="minorHAnsi"/>
          <w:i/>
        </w:rPr>
        <w:t xml:space="preserve"> </w:t>
      </w:r>
      <w:r w:rsidRPr="007809F4">
        <w:rPr>
          <w:rFonts w:asciiTheme="minorHAnsi" w:hAnsiTheme="minorHAnsi" w:cstheme="minorHAnsi"/>
        </w:rPr>
        <w:t>s 19AP.</w:t>
      </w:r>
    </w:p>
  </w:footnote>
  <w:footnote w:id="928">
    <w:p w14:paraId="1355CBD6" w14:textId="6A552B90" w:rsidR="00D44BCF" w:rsidRPr="007809F4" w:rsidRDefault="00D44BCF">
      <w:pPr>
        <w:pStyle w:val="FootnoteText"/>
        <w:tabs>
          <w:tab w:val="left" w:pos="567"/>
        </w:tabs>
        <w:ind w:left="426" w:hanging="426"/>
        <w:jc w:val="both"/>
        <w:rPr>
          <w:rFonts w:asciiTheme="minorHAnsi" w:hAnsiTheme="minorHAnsi" w:cstheme="minorHAnsi"/>
          <w: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(Cth), s 19AZC(1).</w:t>
      </w:r>
    </w:p>
  </w:footnote>
  <w:footnote w:id="929">
    <w:p w14:paraId="5D797D8C" w14:textId="2C1AB3F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bCs/>
          <w:i/>
          <w:iCs/>
        </w:rPr>
        <w:t xml:space="preserve">Lanham v Brake </w:t>
      </w:r>
      <w:r w:rsidRPr="007809F4">
        <w:rPr>
          <w:rFonts w:asciiTheme="minorHAnsi" w:hAnsiTheme="minorHAnsi" w:cstheme="minorHAnsi"/>
        </w:rPr>
        <w:t>(1983) 34 SASR 578</w:t>
      </w:r>
      <w:r w:rsidRPr="00EB7F1E">
        <w:rPr>
          <w:rFonts w:asciiTheme="minorHAnsi" w:hAnsiTheme="minorHAnsi" w:cstheme="minorHAnsi"/>
        </w:rPr>
        <w:fldChar w:fldCharType="begin"/>
      </w:r>
      <w:r w:rsidRPr="00EB7F1E">
        <w:rPr>
          <w:rFonts w:asciiTheme="minorHAnsi" w:hAnsiTheme="minorHAnsi" w:cstheme="minorHAnsi"/>
        </w:rPr>
        <w:instrText xml:space="preserve"> TA \s "Lanham v Brake (1983) 34 SASR 578"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"Lanham &amp; Anor v Brake (1983) 34 SASR 578" </w:instrText>
      </w:r>
      <w:r w:rsidRPr="00EB7F1E">
        <w:rPr>
          <w:rFonts w:asciiTheme="minorHAnsi" w:hAnsiTheme="minorHAnsi" w:cstheme="minorHAnsi"/>
        </w:rPr>
        <w:fldChar w:fldCharType="end"/>
      </w:r>
      <w:r w:rsidRPr="007809F4">
        <w:rPr>
          <w:rFonts w:asciiTheme="minorHAnsi" w:hAnsiTheme="minorHAnsi" w:cstheme="minorHAnsi"/>
        </w:rPr>
        <w:t xml:space="preserve">, 580 (Cox J); </w:t>
      </w:r>
      <w:r w:rsidRPr="007809F4">
        <w:rPr>
          <w:rFonts w:asciiTheme="minorHAnsi" w:hAnsiTheme="minorHAnsi" w:cstheme="minorHAnsi"/>
          <w:bCs/>
          <w:i/>
          <w:iCs/>
        </w:rPr>
        <w:t>Mulcahy v Clark</w:t>
      </w:r>
      <w:r w:rsidRPr="007809F4">
        <w:rPr>
          <w:rFonts w:asciiTheme="minorHAnsi" w:hAnsiTheme="minorHAnsi" w:cstheme="minorHAnsi"/>
        </w:rPr>
        <w:t xml:space="preserve"> [1991] Tas R 115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Mulcahy v Clark</w:instrText>
      </w:r>
      <w:r w:rsidRPr="007809F4">
        <w:rPr>
          <w:rFonts w:asciiTheme="minorHAnsi" w:hAnsiTheme="minorHAnsi" w:cstheme="minorHAnsi"/>
        </w:rPr>
        <w:instrText xml:space="preserve"> [1991] Tas R 115" \s "Mulcahy v Clark [1991] Tas R 115"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"Mulcahy v Clark [1991] Tas R 115" </w:instrText>
      </w:r>
      <w:r w:rsidRPr="00EB7F1E">
        <w:rPr>
          <w:rFonts w:asciiTheme="minorHAnsi" w:hAnsiTheme="minorHAnsi" w:cstheme="minorHAnsi"/>
        </w:rPr>
        <w:fldChar w:fldCharType="end"/>
      </w:r>
      <w:r w:rsidRPr="007809F4">
        <w:rPr>
          <w:rFonts w:asciiTheme="minorHAnsi" w:hAnsiTheme="minorHAnsi" w:cstheme="minorHAnsi"/>
        </w:rPr>
        <w:t xml:space="preserve"> (Zeeman J), applying the reasoning of the WA Full Court in </w:t>
      </w:r>
      <w:r w:rsidRPr="007809F4">
        <w:rPr>
          <w:rFonts w:asciiTheme="minorHAnsi" w:hAnsiTheme="minorHAnsi" w:cstheme="minorHAnsi"/>
          <w:bCs/>
          <w:i/>
          <w:iCs/>
        </w:rPr>
        <w:t>Walsh v Giumelli</w:t>
      </w:r>
      <w:r w:rsidRPr="007809F4">
        <w:rPr>
          <w:rFonts w:asciiTheme="minorHAnsi" w:hAnsiTheme="minorHAnsi" w:cstheme="minorHAnsi"/>
        </w:rPr>
        <w:t xml:space="preserve"> [1975] WAR 114.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Walsh v Giumelli</w:instrText>
      </w:r>
      <w:r w:rsidRPr="007809F4">
        <w:rPr>
          <w:rFonts w:asciiTheme="minorHAnsi" w:hAnsiTheme="minorHAnsi" w:cstheme="minorHAnsi"/>
        </w:rPr>
        <w:instrText xml:space="preserve"> [1975] WAR 114" \s "Walsh v Giumelli [1975] WAR 114"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"Walsh v Giumelli [1975] WAR 114" </w:instrText>
      </w:r>
      <w:r w:rsidRPr="00EB7F1E">
        <w:rPr>
          <w:rFonts w:asciiTheme="minorHAnsi" w:hAnsiTheme="minorHAnsi" w:cstheme="minorHAnsi"/>
        </w:rPr>
        <w:fldChar w:fldCharType="end"/>
      </w:r>
    </w:p>
  </w:footnote>
  <w:footnote w:id="930">
    <w:p w14:paraId="213B0E7C" w14:textId="438DC0D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Commissioner of Taxation v Doudle </w:t>
      </w:r>
      <w:r w:rsidRPr="007809F4">
        <w:rPr>
          <w:rFonts w:asciiTheme="minorHAnsi" w:hAnsiTheme="minorHAnsi" w:cstheme="minorHAnsi"/>
        </w:rPr>
        <w:t>[2005] SASC 442.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Commissioner of Taxation v Doudle </w:instrText>
      </w:r>
      <w:r w:rsidRPr="007809F4">
        <w:rPr>
          <w:rFonts w:asciiTheme="minorHAnsi" w:hAnsiTheme="minorHAnsi" w:cstheme="minorHAnsi"/>
        </w:rPr>
        <w:instrText xml:space="preserve">[2005] SASC 442" \s "Commissioner of Taxation v Doudle [2005] SASC 442" \c 1 </w:instrText>
      </w:r>
      <w:r w:rsidRPr="00EB7F1E">
        <w:rPr>
          <w:rFonts w:asciiTheme="minorHAnsi" w:hAnsiTheme="minorHAnsi" w:cstheme="minorHAnsi"/>
        </w:rPr>
        <w:fldChar w:fldCharType="end"/>
      </w:r>
    </w:p>
  </w:footnote>
  <w:footnote w:id="931">
    <w:p w14:paraId="25C8BE66" w14:textId="082FA43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particularly </w:t>
      </w:r>
      <w:r w:rsidRPr="007809F4">
        <w:rPr>
          <w:rFonts w:asciiTheme="minorHAnsi" w:hAnsiTheme="minorHAnsi" w:cstheme="minorHAnsi"/>
          <w:i/>
        </w:rPr>
        <w:t>Crimes Act 1914</w:t>
      </w:r>
      <w:r w:rsidRPr="007809F4">
        <w:rPr>
          <w:rFonts w:asciiTheme="minorHAnsi" w:hAnsiTheme="minorHAnsi" w:cstheme="minorHAnsi"/>
        </w:rPr>
        <w:t xml:space="preserve"> (Cth), ss 4B and 4E.</w:t>
      </w:r>
    </w:p>
  </w:footnote>
  <w:footnote w:id="932">
    <w:p w14:paraId="4853F98A" w14:textId="2B6C29A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DPP v Meyers</w:t>
      </w:r>
      <w:r w:rsidRPr="007809F4">
        <w:rPr>
          <w:rFonts w:asciiTheme="minorHAnsi" w:hAnsiTheme="minorHAnsi" w:cstheme="minorHAnsi"/>
        </w:rPr>
        <w:t xml:space="preserve"> (Vic SC (Balmford J), 26 April 1996, unreported)</w:t>
      </w:r>
      <w:r w:rsidRPr="00EB7F1E">
        <w:rPr>
          <w:rFonts w:asciiTheme="minorHAnsi" w:hAnsiTheme="minorHAnsi" w:cstheme="minorHAnsi"/>
        </w:rPr>
        <w:fldChar w:fldCharType="begin"/>
      </w:r>
      <w:r w:rsidRPr="00EB7F1E">
        <w:rPr>
          <w:rFonts w:asciiTheme="minorHAnsi" w:hAnsiTheme="minorHAnsi" w:cstheme="minorHAnsi"/>
        </w:rPr>
        <w:instrText xml:space="preserve"> TA \s "DPP v Meyers (Vic SC (Balmford J), 26 April 1996, unreported)"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33">
    <w:p w14:paraId="43D8FB2E" w14:textId="6388356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Crimes Act 1914</w:t>
      </w:r>
      <w:r w:rsidRPr="007809F4">
        <w:rPr>
          <w:rFonts w:asciiTheme="minorHAnsi" w:hAnsiTheme="minorHAnsi" w:cstheme="minorHAnsi"/>
        </w:rPr>
        <w:t xml:space="preserve"> (Cth), ss 4B, 4J and 4JA.</w:t>
      </w:r>
    </w:p>
  </w:footnote>
  <w:footnote w:id="934">
    <w:p w14:paraId="23608E9A" w14:textId="7D8FB6E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 20AB(4).</w:t>
      </w:r>
    </w:p>
  </w:footnote>
  <w:footnote w:id="935">
    <w:p w14:paraId="7040D4FF" w14:textId="6F86E3D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7809F4">
        <w:rPr>
          <w:rFonts w:asciiTheme="minorHAnsi" w:hAnsiTheme="minorHAnsi" w:cstheme="minorHAnsi"/>
          <w:i/>
        </w:rPr>
        <w:t>Atanackovic v R</w:t>
      </w:r>
      <w:r w:rsidRPr="007809F4">
        <w:rPr>
          <w:rFonts w:asciiTheme="minorHAnsi" w:hAnsiTheme="minorHAnsi" w:cstheme="minorHAnsi"/>
        </w:rPr>
        <w:t xml:space="preserve"> (2015) 45 VR 179</w:t>
      </w:r>
      <w:r w:rsidRPr="00EB7F1E">
        <w:rPr>
          <w:rFonts w:asciiTheme="minorHAnsi" w:hAnsiTheme="minorHAnsi" w:cstheme="minorHAnsi"/>
        </w:rPr>
        <w:fldChar w:fldCharType="begin"/>
      </w:r>
      <w:r w:rsidRPr="007809F4">
        <w:rPr>
          <w:rFonts w:asciiTheme="minorHAnsi" w:hAnsiTheme="minorHAnsi" w:cstheme="minorHAnsi"/>
        </w:rPr>
        <w:instrText xml:space="preserve"> TA \s "Atanackovic v R (2015) 45 VR 179" </w:instrText>
      </w:r>
      <w:r w:rsidRPr="00EB7F1E">
        <w:rPr>
          <w:rFonts w:asciiTheme="minorHAnsi" w:hAnsiTheme="minorHAnsi" w:cstheme="minorHAnsi"/>
        </w:rPr>
        <w:fldChar w:fldCharType="end"/>
      </w:r>
      <w:r w:rsidRPr="007809F4">
        <w:rPr>
          <w:rFonts w:asciiTheme="minorHAnsi" w:hAnsiTheme="minorHAnsi" w:cstheme="minorHAnsi"/>
        </w:rPr>
        <w:t xml:space="preserve">, [55]-[58], [79]-[80]. [88]-[93], the Court left open the question whether (absent statutory authority) two sentencing options could be imposed for a single offence.  See also </w:t>
      </w:r>
      <w:r w:rsidRPr="007809F4">
        <w:rPr>
          <w:rFonts w:asciiTheme="minorHAnsi" w:hAnsiTheme="minorHAnsi" w:cstheme="minorHAnsi"/>
          <w:i/>
        </w:rPr>
        <w:t>R v Tran</w:t>
      </w:r>
      <w:r w:rsidRPr="007809F4">
        <w:rPr>
          <w:rFonts w:asciiTheme="minorHAnsi" w:hAnsiTheme="minorHAnsi" w:cstheme="minorHAnsi"/>
        </w:rPr>
        <w:t xml:space="preserve"> [2019] SASCFC 5</w:t>
      </w:r>
      <w:r w:rsidRPr="00EB7F1E">
        <w:rPr>
          <w:rFonts w:asciiTheme="minorHAnsi" w:hAnsiTheme="minorHAnsi" w:cstheme="minorHAnsi"/>
        </w:rPr>
        <w:fldChar w:fldCharType="begin"/>
      </w:r>
      <w:r w:rsidRPr="007809F4">
        <w:rPr>
          <w:rFonts w:asciiTheme="minorHAnsi" w:hAnsiTheme="minorHAnsi" w:cstheme="minorHAnsi"/>
        </w:rPr>
        <w:instrText xml:space="preserve"> TA \s "R v Tran [2019] SASCFC 5" </w:instrText>
      </w:r>
      <w:r w:rsidRPr="00EB7F1E">
        <w:rPr>
          <w:rFonts w:asciiTheme="minorHAnsi" w:hAnsiTheme="minorHAnsi" w:cstheme="minorHAnsi"/>
        </w:rPr>
        <w:fldChar w:fldCharType="end"/>
      </w:r>
      <w:r w:rsidRPr="007809F4">
        <w:rPr>
          <w:rFonts w:asciiTheme="minorHAnsi" w:hAnsiTheme="minorHAnsi" w:cstheme="minorHAnsi"/>
        </w:rPr>
        <w:t>, [48], [54].</w:t>
      </w:r>
    </w:p>
  </w:footnote>
  <w:footnote w:id="936">
    <w:p w14:paraId="3DED6316" w14:textId="5F6C215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This power was conferred by an amendment made by the </w:t>
      </w:r>
      <w:r w:rsidRPr="007809F4">
        <w:rPr>
          <w:rFonts w:asciiTheme="minorHAnsi" w:hAnsiTheme="minorHAnsi" w:cstheme="minorHAnsi"/>
          <w:i/>
          <w:iCs/>
        </w:rPr>
        <w:t>Crimes Legislation Amendment (Slavery, Slavery-like Conditions and People Trafficking) Act 2013</w:t>
      </w:r>
      <w:r w:rsidRPr="007809F4">
        <w:rPr>
          <w:rFonts w:asciiTheme="minorHAnsi" w:hAnsiTheme="minorHAnsi" w:cstheme="minorHAnsi"/>
        </w:rPr>
        <w:t xml:space="preserve"> (Cth), which took effect on 8 March 2013.</w:t>
      </w:r>
      <w:r w:rsidRPr="00EB7F1E">
        <w:rPr>
          <w:rFonts w:asciiTheme="minorHAnsi" w:hAnsiTheme="minorHAnsi" w:cstheme="minorHAnsi"/>
        </w:rPr>
        <w:fldChar w:fldCharType="begin"/>
      </w:r>
      <w:r w:rsidRPr="007809F4">
        <w:rPr>
          <w:rFonts w:asciiTheme="minorHAnsi" w:hAnsiTheme="minorHAnsi" w:cstheme="minorHAnsi"/>
        </w:rPr>
        <w:instrText xml:space="preserve">  "R v Foster [2009] 1 QdR 53" </w:instrText>
      </w:r>
      <w:r w:rsidRPr="00EB7F1E">
        <w:rPr>
          <w:rFonts w:asciiTheme="minorHAnsi" w:hAnsiTheme="minorHAnsi" w:cstheme="minorHAnsi"/>
        </w:rPr>
        <w:fldChar w:fldCharType="end"/>
      </w:r>
    </w:p>
  </w:footnote>
  <w:footnote w:id="937">
    <w:p w14:paraId="0D78AEA7" w14:textId="2B2D391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Foster</w:t>
      </w:r>
      <w:r w:rsidRPr="007809F4">
        <w:rPr>
          <w:rFonts w:asciiTheme="minorHAnsi" w:hAnsiTheme="minorHAnsi" w:cstheme="minorHAnsi"/>
        </w:rPr>
        <w:t xml:space="preserve"> [2009] 1 Qd R 53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Foster</w:instrText>
      </w:r>
      <w:r w:rsidRPr="007809F4">
        <w:rPr>
          <w:rFonts w:asciiTheme="minorHAnsi" w:hAnsiTheme="minorHAnsi" w:cstheme="minorHAnsi"/>
        </w:rPr>
        <w:instrText xml:space="preserve"> [2009] 1 Qd R 53" \s "R v Foster [2009] 1 Qd R 53" \c 1 </w:instrText>
      </w:r>
      <w:r w:rsidRPr="00EB7F1E">
        <w:rPr>
          <w:rFonts w:asciiTheme="minorHAnsi" w:hAnsiTheme="minorHAnsi" w:cstheme="minorHAnsi"/>
        </w:rPr>
        <w:fldChar w:fldCharType="end"/>
      </w:r>
      <w:r w:rsidRPr="007809F4">
        <w:rPr>
          <w:rFonts w:asciiTheme="minorHAnsi" w:hAnsiTheme="minorHAnsi" w:cstheme="minorHAnsi"/>
        </w:rPr>
        <w:t>, [74].</w:t>
      </w:r>
      <w:r w:rsidRPr="00EB7F1E">
        <w:rPr>
          <w:rFonts w:asciiTheme="minorHAnsi" w:hAnsiTheme="minorHAnsi" w:cstheme="minorHAnsi"/>
        </w:rPr>
        <w:fldChar w:fldCharType="begin"/>
      </w:r>
      <w:r w:rsidRPr="007809F4">
        <w:rPr>
          <w:rFonts w:asciiTheme="minorHAnsi" w:hAnsiTheme="minorHAnsi" w:cstheme="minorHAnsi"/>
        </w:rPr>
        <w:instrText xml:space="preserve">  "R v Foster [2009] 1 QdR 53" </w:instrText>
      </w:r>
      <w:r w:rsidRPr="00EB7F1E">
        <w:rPr>
          <w:rFonts w:asciiTheme="minorHAnsi" w:hAnsiTheme="minorHAnsi" w:cstheme="minorHAnsi"/>
        </w:rPr>
        <w:fldChar w:fldCharType="end"/>
      </w:r>
    </w:p>
  </w:footnote>
  <w:footnote w:id="938">
    <w:p w14:paraId="3FF811E9" w14:textId="2FF92D4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Melrose</w:t>
      </w:r>
      <w:r w:rsidRPr="007809F4">
        <w:rPr>
          <w:rFonts w:asciiTheme="minorHAnsi" w:hAnsiTheme="minorHAnsi" w:cstheme="minorHAnsi"/>
        </w:rPr>
        <w:t xml:space="preserve"> [2016] QCA 202</w:t>
      </w:r>
      <w:r w:rsidRPr="00EB7F1E">
        <w:rPr>
          <w:rFonts w:asciiTheme="minorHAnsi" w:hAnsiTheme="minorHAnsi" w:cstheme="minorHAnsi"/>
        </w:rPr>
        <w:fldChar w:fldCharType="begin"/>
      </w:r>
      <w:r w:rsidRPr="007809F4">
        <w:rPr>
          <w:rFonts w:asciiTheme="minorHAnsi" w:hAnsiTheme="minorHAnsi" w:cstheme="minorHAnsi"/>
        </w:rPr>
        <w:instrText xml:space="preserve"> TA \s "R v Melrose [2016] QCA 202" </w:instrText>
      </w:r>
      <w:r w:rsidRPr="00EB7F1E">
        <w:rPr>
          <w:rFonts w:asciiTheme="minorHAnsi" w:hAnsiTheme="minorHAnsi" w:cstheme="minorHAnsi"/>
        </w:rPr>
        <w:fldChar w:fldCharType="end"/>
      </w:r>
      <w:r w:rsidRPr="007809F4">
        <w:rPr>
          <w:rFonts w:asciiTheme="minorHAnsi" w:hAnsiTheme="minorHAnsi" w:cstheme="minorHAnsi"/>
        </w:rPr>
        <w:t>, [16]-[17].</w:t>
      </w:r>
      <w:r w:rsidRPr="00EB7F1E">
        <w:rPr>
          <w:rFonts w:asciiTheme="minorHAnsi" w:hAnsiTheme="minorHAnsi" w:cstheme="minorHAnsi"/>
        </w:rPr>
        <w:fldChar w:fldCharType="begin"/>
      </w:r>
      <w:r w:rsidRPr="007809F4">
        <w:rPr>
          <w:rFonts w:asciiTheme="minorHAnsi" w:hAnsiTheme="minorHAnsi" w:cstheme="minorHAnsi"/>
        </w:rPr>
        <w:instrText xml:space="preserve">  "R v Emini &amp; Blumberg [2011] VSC 336" </w:instrText>
      </w:r>
      <w:r w:rsidRPr="00EB7F1E">
        <w:rPr>
          <w:rFonts w:asciiTheme="minorHAnsi" w:hAnsiTheme="minorHAnsi" w:cstheme="minorHAnsi"/>
        </w:rPr>
        <w:fldChar w:fldCharType="end"/>
      </w:r>
    </w:p>
  </w:footnote>
  <w:footnote w:id="939">
    <w:p w14:paraId="69D0E893" w14:textId="639C6FA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Braham</w:t>
      </w:r>
      <w:r w:rsidRPr="007809F4">
        <w:rPr>
          <w:rFonts w:asciiTheme="minorHAnsi" w:hAnsiTheme="minorHAnsi" w:cstheme="minorHAnsi"/>
        </w:rPr>
        <w:t xml:space="preserve"> [1977] VR 104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Braham</w:instrText>
      </w:r>
      <w:r w:rsidRPr="007809F4">
        <w:rPr>
          <w:rFonts w:asciiTheme="minorHAnsi" w:hAnsiTheme="minorHAnsi" w:cstheme="minorHAnsi"/>
        </w:rPr>
        <w:instrText xml:space="preserve"> [1977] VR 104" \s "R v Braham [1977] VR 104"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Braham [1977] VR 104"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iCs/>
        </w:rPr>
        <w:t xml:space="preserve">R v </w:t>
      </w:r>
      <w:r w:rsidRPr="007809F4">
        <w:rPr>
          <w:rFonts w:asciiTheme="minorHAnsi" w:hAnsiTheme="minorHAnsi" w:cstheme="minorHAnsi"/>
          <w:i/>
        </w:rPr>
        <w:t>Allen</w:t>
      </w:r>
      <w:r w:rsidRPr="007809F4">
        <w:rPr>
          <w:rFonts w:asciiTheme="minorHAnsi" w:hAnsiTheme="minorHAnsi" w:cstheme="minorHAnsi"/>
        </w:rPr>
        <w:t xml:space="preserve"> (1989) 41 A Crim R 51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 xml:space="preserve">R v </w:instrText>
      </w:r>
      <w:r w:rsidRPr="007809F4">
        <w:rPr>
          <w:rFonts w:asciiTheme="minorHAnsi" w:hAnsiTheme="minorHAnsi" w:cstheme="minorHAnsi"/>
          <w:i/>
        </w:rPr>
        <w:instrText>Allen</w:instrText>
      </w:r>
      <w:r w:rsidRPr="007809F4">
        <w:rPr>
          <w:rFonts w:asciiTheme="minorHAnsi" w:hAnsiTheme="minorHAnsi" w:cstheme="minorHAnsi"/>
        </w:rPr>
        <w:instrText xml:space="preserve"> (1989) 41 A Crim R 51</w:instrText>
      </w:r>
      <w:r w:rsidRPr="00EB7F1E">
        <w:rPr>
          <w:rFonts w:asciiTheme="minorHAnsi" w:hAnsiTheme="minorHAnsi" w:cstheme="minorHAnsi"/>
        </w:rPr>
        <w:instrText>" \s "</w:instrText>
      </w:r>
      <w:r w:rsidRPr="007809F4">
        <w:rPr>
          <w:rFonts w:asciiTheme="minorHAnsi" w:hAnsiTheme="minorHAnsi" w:cstheme="minorHAnsi"/>
        </w:rPr>
        <w:instrText xml:space="preserve">R v </w:instrText>
      </w:r>
      <w:r w:rsidRPr="00EB7F1E">
        <w:rPr>
          <w:rFonts w:asciiTheme="minorHAnsi" w:hAnsiTheme="minorHAnsi" w:cstheme="minorHAnsi"/>
        </w:rPr>
        <w:instrText xml:space="preserve">Allen (1989) 41 A Crim R 51"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"Allen v R (1989) 41 A Crim R 51" </w:instrText>
      </w:r>
      <w:r w:rsidRPr="00EB7F1E">
        <w:rPr>
          <w:rFonts w:asciiTheme="minorHAnsi" w:hAnsiTheme="minorHAnsi" w:cstheme="minorHAnsi"/>
        </w:rPr>
        <w:fldChar w:fldCharType="end"/>
      </w:r>
      <w:r w:rsidRPr="007809F4">
        <w:rPr>
          <w:rFonts w:asciiTheme="minorHAnsi" w:hAnsiTheme="minorHAnsi" w:cstheme="minorHAnsi"/>
        </w:rPr>
        <w:t xml:space="preserve">, 56; </w:t>
      </w:r>
      <w:r w:rsidRPr="007809F4">
        <w:rPr>
          <w:rFonts w:asciiTheme="minorHAnsi" w:hAnsiTheme="minorHAnsi" w:cstheme="minorHAnsi"/>
          <w:i/>
        </w:rPr>
        <w:t>Customs v Labrador Liquor Wholesale Pty Ltd</w:t>
      </w:r>
      <w:r w:rsidRPr="007809F4">
        <w:rPr>
          <w:rFonts w:asciiTheme="minorHAnsi" w:hAnsiTheme="minorHAnsi" w:cstheme="minorHAnsi"/>
        </w:rPr>
        <w:t xml:space="preserve"> [2006] QCA 558</w:t>
      </w:r>
      <w:r w:rsidRPr="00EB7F1E">
        <w:rPr>
          <w:rFonts w:asciiTheme="minorHAnsi" w:hAnsiTheme="minorHAnsi" w:cstheme="minorHAnsi"/>
        </w:rPr>
        <w:fldChar w:fldCharType="begin"/>
      </w:r>
      <w:r w:rsidRPr="00EB7F1E">
        <w:rPr>
          <w:rFonts w:asciiTheme="minorHAnsi" w:hAnsiTheme="minorHAnsi" w:cstheme="minorHAnsi"/>
        </w:rPr>
        <w:instrText xml:space="preserve"> TA \s "Customs v Labrador Liquor Wholesale Pty Ltd [2006] QCA 558" </w:instrText>
      </w:r>
      <w:r w:rsidRPr="00EB7F1E">
        <w:rPr>
          <w:rFonts w:asciiTheme="minorHAnsi" w:hAnsiTheme="minorHAnsi" w:cstheme="minorHAnsi"/>
        </w:rPr>
        <w:fldChar w:fldCharType="end"/>
      </w:r>
      <w:r w:rsidRPr="007809F4">
        <w:rPr>
          <w:rFonts w:asciiTheme="minorHAnsi" w:hAnsiTheme="minorHAnsi" w:cstheme="minorHAnsi"/>
        </w:rPr>
        <w:t xml:space="preserve">, [103]; </w:t>
      </w:r>
      <w:r w:rsidRPr="007809F4">
        <w:rPr>
          <w:rFonts w:asciiTheme="minorHAnsi" w:hAnsiTheme="minorHAnsi" w:cstheme="minorHAnsi"/>
          <w:i/>
        </w:rPr>
        <w:t>R v Foster</w:t>
      </w:r>
      <w:r w:rsidRPr="007809F4">
        <w:rPr>
          <w:rFonts w:asciiTheme="minorHAnsi" w:hAnsiTheme="minorHAnsi" w:cstheme="minorHAnsi"/>
        </w:rPr>
        <w:t xml:space="preserve"> [2009] 1 Qd R 53</w:t>
      </w:r>
      <w:r w:rsidRPr="00EB7F1E">
        <w:rPr>
          <w:rFonts w:asciiTheme="minorHAnsi" w:hAnsiTheme="minorHAnsi" w:cstheme="minorHAnsi"/>
        </w:rPr>
        <w:fldChar w:fldCharType="begin"/>
      </w:r>
      <w:r w:rsidRPr="007809F4">
        <w:rPr>
          <w:rFonts w:asciiTheme="minorHAnsi" w:hAnsiTheme="minorHAnsi" w:cstheme="minorHAnsi"/>
        </w:rPr>
        <w:instrText xml:space="preserve"> TA \s "R v Foster [2009] 1 Qd R 53"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Foster [2009] 1 QdR 53" </w:instrText>
      </w:r>
      <w:r w:rsidRPr="00EB7F1E">
        <w:rPr>
          <w:rFonts w:asciiTheme="minorHAnsi" w:hAnsiTheme="minorHAnsi" w:cstheme="minorHAnsi"/>
        </w:rPr>
        <w:fldChar w:fldCharType="end"/>
      </w:r>
    </w:p>
  </w:footnote>
  <w:footnote w:id="940">
    <w:p w14:paraId="79601EA1" w14:textId="0CC3AC0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Vlahov v Commissioner of Taxation</w:t>
      </w:r>
      <w:r w:rsidRPr="007809F4">
        <w:rPr>
          <w:rFonts w:asciiTheme="minorHAnsi" w:hAnsiTheme="minorHAnsi" w:cstheme="minorHAnsi"/>
        </w:rPr>
        <w:t xml:space="preserve"> (1993) 93 ATC 4501.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Vlahov v Commissioner of Taxation</w:instrText>
      </w:r>
      <w:r w:rsidRPr="007809F4">
        <w:rPr>
          <w:rFonts w:asciiTheme="minorHAnsi" w:hAnsiTheme="minorHAnsi" w:cstheme="minorHAnsi"/>
        </w:rPr>
        <w:instrText xml:space="preserve"> (1993) 93 ATC 4501" \s "Vlahov v Commissioner of Taxation (1993) 93 ATC 4501" \c 1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Liaver v Errington</w:t>
      </w:r>
      <w:r w:rsidRPr="007809F4">
        <w:rPr>
          <w:rFonts w:asciiTheme="minorHAnsi" w:hAnsiTheme="minorHAnsi" w:cstheme="minorHAnsi"/>
        </w:rPr>
        <w:t xml:space="preserve"> [2003] QCA 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Liaver v Errington</w:instrText>
      </w:r>
      <w:r w:rsidRPr="007809F4">
        <w:rPr>
          <w:rFonts w:asciiTheme="minorHAnsi" w:hAnsiTheme="minorHAnsi" w:cstheme="minorHAnsi"/>
        </w:rPr>
        <w:instrText xml:space="preserve"> [2003] QCA 5</w:instrText>
      </w:r>
      <w:r w:rsidRPr="00EB7F1E">
        <w:rPr>
          <w:rFonts w:asciiTheme="minorHAnsi" w:hAnsiTheme="minorHAnsi" w:cstheme="minorHAnsi"/>
        </w:rPr>
        <w:instrText xml:space="preserve">" \s "Liaver v Errington [2003] QCA 5"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"Vlahov v Commissioner of Taxation (1993) 93 ATC 4501" </w:instrText>
      </w:r>
      <w:r w:rsidRPr="00EB7F1E">
        <w:rPr>
          <w:rFonts w:asciiTheme="minorHAnsi" w:hAnsiTheme="minorHAnsi" w:cstheme="minorHAnsi"/>
        </w:rPr>
        <w:fldChar w:fldCharType="end"/>
      </w:r>
    </w:p>
  </w:footnote>
  <w:footnote w:id="941">
    <w:p w14:paraId="49D3B9F7"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Hookham v R</w:t>
      </w:r>
      <w:r w:rsidRPr="007809F4">
        <w:rPr>
          <w:rFonts w:asciiTheme="minorHAnsi" w:hAnsiTheme="minorHAnsi" w:cstheme="minorHAnsi"/>
        </w:rPr>
        <w:t xml:space="preserve"> (1994) 181 CLR 450.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Hookham v R</w:instrText>
      </w:r>
      <w:r w:rsidRPr="007809F4">
        <w:rPr>
          <w:rFonts w:asciiTheme="minorHAnsi" w:hAnsiTheme="minorHAnsi" w:cstheme="minorHAnsi"/>
        </w:rPr>
        <w:instrText xml:space="preserve"> (1994) 181 CLR 450" \s "Hookham v R (1994) 181 CLR 450" \c 1 </w:instrText>
      </w:r>
      <w:r w:rsidRPr="00EB7F1E">
        <w:rPr>
          <w:rFonts w:asciiTheme="minorHAnsi" w:hAnsiTheme="minorHAnsi" w:cstheme="minorHAnsi"/>
        </w:rPr>
        <w:fldChar w:fldCharType="end"/>
      </w:r>
      <w:r w:rsidRPr="007809F4">
        <w:rPr>
          <w:rFonts w:asciiTheme="minorHAnsi" w:hAnsiTheme="minorHAnsi" w:cstheme="minorHAnsi"/>
        </w:rPr>
        <w:t xml:space="preserve">  If the making of a reparation order is regarded as part of a sentence or order within s 16A of the </w:t>
      </w:r>
      <w:r w:rsidRPr="007809F4">
        <w:rPr>
          <w:rFonts w:asciiTheme="minorHAnsi" w:hAnsiTheme="minorHAnsi" w:cstheme="minorHAnsi"/>
          <w:i/>
        </w:rPr>
        <w:t>Crimes Act 1914</w:t>
      </w:r>
      <w:r w:rsidRPr="007809F4">
        <w:rPr>
          <w:rFonts w:asciiTheme="minorHAnsi" w:hAnsiTheme="minorHAnsi" w:cstheme="minorHAnsi"/>
        </w:rPr>
        <w:t xml:space="preserve"> (Cth), it is arguable that a court sentencing a federal offender is required by s 16A(2)(m) to have regard to the means of the offender.</w:t>
      </w:r>
    </w:p>
  </w:footnote>
  <w:footnote w:id="942">
    <w:p w14:paraId="00422FD9" w14:textId="0810EF7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Crimes Act 1914 </w:t>
      </w:r>
      <w:r w:rsidRPr="007809F4">
        <w:rPr>
          <w:rFonts w:asciiTheme="minorHAnsi" w:hAnsiTheme="minorHAnsi" w:cstheme="minorHAnsi"/>
        </w:rPr>
        <w:t xml:space="preserve">(Cth), s 21B(2); </w:t>
      </w:r>
      <w:r w:rsidRPr="007809F4">
        <w:rPr>
          <w:rFonts w:asciiTheme="minorHAnsi" w:hAnsiTheme="minorHAnsi" w:cstheme="minorHAnsi"/>
          <w:i/>
        </w:rPr>
        <w:t>Social Security (Administration) Act 1999</w:t>
      </w:r>
      <w:r w:rsidRPr="007809F4">
        <w:rPr>
          <w:rFonts w:asciiTheme="minorHAnsi" w:hAnsiTheme="minorHAnsi" w:cstheme="minorHAnsi"/>
        </w:rPr>
        <w:t xml:space="preserve"> (Cth), s 218(2).</w:t>
      </w:r>
    </w:p>
  </w:footnote>
  <w:footnote w:id="943">
    <w:p w14:paraId="687A7618" w14:textId="5E45D96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Court-ordered forfeiture under Part 2-2 of the Act is distinct from forfeiture which occurs by operation of law following a conviction, pursuant to Part 2-3 of the Act.</w:t>
      </w:r>
    </w:p>
  </w:footnote>
  <w:footnote w:id="944">
    <w:p w14:paraId="063247A4" w14:textId="311928A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Stevenson v Dix</w:t>
      </w:r>
      <w:r w:rsidRPr="007809F4">
        <w:rPr>
          <w:rFonts w:asciiTheme="minorHAnsi" w:hAnsiTheme="minorHAnsi" w:cstheme="minorHAnsi"/>
        </w:rPr>
        <w:t xml:space="preserve"> (1995) 81 A Crim R 167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Stevenson v Dix</w:instrText>
      </w:r>
      <w:r w:rsidRPr="007809F4">
        <w:rPr>
          <w:rFonts w:asciiTheme="minorHAnsi" w:hAnsiTheme="minorHAnsi" w:cstheme="minorHAnsi"/>
        </w:rPr>
        <w:instrText xml:space="preserve"> (1995) 81 A Crim R 167</w:instrText>
      </w:r>
      <w:r w:rsidRPr="00EB7F1E">
        <w:rPr>
          <w:rFonts w:asciiTheme="minorHAnsi" w:hAnsiTheme="minorHAnsi" w:cstheme="minorHAnsi"/>
        </w:rPr>
        <w:instrText xml:space="preserve">" \s "Stevenson v Dix (1995) 81 A Crim R 167"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Foster [2009] 1 QdR 53" </w:instrText>
      </w:r>
      <w:r w:rsidRPr="00EB7F1E">
        <w:rPr>
          <w:rFonts w:asciiTheme="minorHAnsi" w:hAnsiTheme="minorHAnsi" w:cstheme="minorHAnsi"/>
        </w:rPr>
        <w:fldChar w:fldCharType="end"/>
      </w:r>
    </w:p>
  </w:footnote>
  <w:footnote w:id="945">
    <w:p w14:paraId="2DE9A89C" w14:textId="0374C7D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Barbaro v R</w:t>
      </w:r>
      <w:r w:rsidRPr="007809F4">
        <w:rPr>
          <w:rFonts w:asciiTheme="minorHAnsi" w:hAnsiTheme="minorHAnsi" w:cstheme="minorHAnsi"/>
        </w:rPr>
        <w:t xml:space="preserve"> (2014) 253 CLR 58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(2014) 253 CLR 58"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46">
    <w:p w14:paraId="77F63BC4"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R v MacNeil-Brown</w:t>
      </w:r>
      <w:r w:rsidRPr="007809F4">
        <w:rPr>
          <w:rFonts w:asciiTheme="minorHAnsi" w:hAnsiTheme="minorHAnsi" w:cstheme="minorHAnsi"/>
          <w:b/>
          <w:i/>
        </w:rPr>
        <w:t xml:space="preserve"> </w:t>
      </w:r>
      <w:r w:rsidRPr="007809F4">
        <w:rPr>
          <w:rFonts w:asciiTheme="minorHAnsi" w:hAnsiTheme="minorHAnsi" w:cstheme="minorHAnsi"/>
        </w:rPr>
        <w:t>(2008) 20 VR 677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MacNeil-Brown</w:instrText>
      </w:r>
      <w:r w:rsidRPr="007809F4">
        <w:rPr>
          <w:rFonts w:asciiTheme="minorHAnsi" w:hAnsiTheme="minorHAnsi" w:cstheme="minorHAnsi"/>
          <w:b/>
          <w:i/>
        </w:rPr>
        <w:instrText xml:space="preserve"> </w:instrText>
      </w:r>
      <w:r w:rsidRPr="007809F4">
        <w:rPr>
          <w:rFonts w:asciiTheme="minorHAnsi" w:hAnsiTheme="minorHAnsi" w:cstheme="minorHAnsi"/>
        </w:rPr>
        <w:instrText xml:space="preserve">(2008) 20 VR 677" \s "R v MacNeil-Brown (2008) 20 VR 677"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47">
    <w:p w14:paraId="6A418234" w14:textId="322453D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Barbaro v R</w:t>
      </w:r>
      <w:r w:rsidRPr="007809F4">
        <w:rPr>
          <w:rFonts w:asciiTheme="minorHAnsi" w:hAnsiTheme="minorHAnsi" w:cstheme="minorHAnsi"/>
        </w:rPr>
        <w:t xml:space="preserve"> (2014) 253 CLR 58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(2014) 253 CLR 58" </w:instrText>
      </w:r>
      <w:r w:rsidRPr="00EB7F1E">
        <w:rPr>
          <w:rFonts w:asciiTheme="minorHAnsi" w:hAnsiTheme="minorHAnsi" w:cstheme="minorHAnsi"/>
        </w:rPr>
        <w:fldChar w:fldCharType="end"/>
      </w:r>
      <w:r w:rsidRPr="007809F4">
        <w:rPr>
          <w:rFonts w:asciiTheme="minorHAnsi" w:hAnsiTheme="minorHAnsi" w:cstheme="minorHAnsi"/>
        </w:rPr>
        <w:t>, [39].</w:t>
      </w:r>
    </w:p>
  </w:footnote>
  <w:footnote w:id="948">
    <w:p w14:paraId="62470125"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i/>
        </w:rPr>
        <w:tab/>
        <w:t>Commonwealth v Fair Work Building Industry Inspectorate</w:t>
      </w:r>
      <w:r w:rsidRPr="007809F4">
        <w:rPr>
          <w:rFonts w:asciiTheme="minorHAnsi" w:hAnsiTheme="minorHAnsi" w:cstheme="minorHAnsi"/>
        </w:rPr>
        <w:t xml:space="preserve"> (2015) 258 CLR 482.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Commonwealth v Fair Work Building Industry Inspectorate</w:instrText>
      </w:r>
      <w:r w:rsidRPr="007809F4">
        <w:rPr>
          <w:rFonts w:asciiTheme="minorHAnsi" w:hAnsiTheme="minorHAnsi" w:cstheme="minorHAnsi"/>
        </w:rPr>
        <w:instrText xml:space="preserve"> (2015) 258 CLR 482" \s "Commonwealth v Fair Work Building Industry Inspectorate (2015) 258 CLR 482" \c 1 </w:instrText>
      </w:r>
      <w:r w:rsidRPr="00EB7F1E">
        <w:rPr>
          <w:rFonts w:asciiTheme="minorHAnsi" w:hAnsiTheme="minorHAnsi" w:cstheme="minorHAnsi"/>
        </w:rPr>
        <w:fldChar w:fldCharType="end"/>
      </w:r>
    </w:p>
  </w:footnote>
  <w:footnote w:id="949">
    <w:p w14:paraId="5903D7A2" w14:textId="22BF2CF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i/>
        </w:rPr>
        <w:tab/>
        <w:t xml:space="preserve">Everett v R </w:t>
      </w:r>
      <w:r w:rsidRPr="007809F4">
        <w:rPr>
          <w:rFonts w:asciiTheme="minorHAnsi" w:hAnsiTheme="minorHAnsi" w:cstheme="minorHAnsi"/>
        </w:rPr>
        <w:t>(1994) 181 CLR 295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Everett v R </w:instrText>
      </w:r>
      <w:r w:rsidRPr="007809F4">
        <w:rPr>
          <w:rFonts w:asciiTheme="minorHAnsi" w:hAnsiTheme="minorHAnsi" w:cstheme="minorHAnsi"/>
        </w:rPr>
        <w:instrText>(1994) 181 CLR 295</w:instrText>
      </w:r>
      <w:r w:rsidRPr="00EB7F1E">
        <w:rPr>
          <w:rFonts w:asciiTheme="minorHAnsi" w:hAnsiTheme="minorHAnsi" w:cstheme="minorHAnsi"/>
        </w:rPr>
        <w:instrText xml:space="preserve">" \s "Everett v R (1994) 181 CLR 295"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50">
    <w:p w14:paraId="037450F9" w14:textId="1FE37BD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i/>
        </w:rPr>
        <w:tab/>
        <w:t>CMB v Attorney-General (NSW)</w:t>
      </w:r>
      <w:r w:rsidRPr="007809F4">
        <w:rPr>
          <w:rFonts w:asciiTheme="minorHAnsi" w:hAnsiTheme="minorHAnsi" w:cstheme="minorHAnsi"/>
        </w:rPr>
        <w:t xml:space="preserve"> (2015) 256 CLR 356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CMB v Attorney-General (NSW)</w:instrText>
      </w:r>
      <w:r w:rsidRPr="007809F4">
        <w:rPr>
          <w:rFonts w:asciiTheme="minorHAnsi" w:hAnsiTheme="minorHAnsi" w:cstheme="minorHAnsi"/>
        </w:rPr>
        <w:instrText xml:space="preserve"> (2015) 256 CLR 356</w:instrText>
      </w:r>
      <w:r w:rsidRPr="00EB7F1E">
        <w:rPr>
          <w:rFonts w:asciiTheme="minorHAnsi" w:hAnsiTheme="minorHAnsi" w:cstheme="minorHAnsi"/>
        </w:rPr>
        <w:instrText xml:space="preserve">" \s "CMB v Attorney-General (NSW) (2015) 256 CLR 356" \c 1 </w:instrText>
      </w:r>
      <w:r w:rsidRPr="00EB7F1E">
        <w:rPr>
          <w:rFonts w:asciiTheme="minorHAnsi" w:hAnsiTheme="minorHAnsi" w:cstheme="minorHAnsi"/>
        </w:rPr>
        <w:fldChar w:fldCharType="end"/>
      </w:r>
      <w:r w:rsidRPr="007809F4">
        <w:rPr>
          <w:rFonts w:asciiTheme="minorHAnsi" w:hAnsiTheme="minorHAnsi" w:cstheme="minorHAnsi"/>
        </w:rPr>
        <w:t>, [38], [64].</w:t>
      </w:r>
    </w:p>
  </w:footnote>
  <w:footnote w:id="951">
    <w:p w14:paraId="18273C3D" w14:textId="388C27A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i/>
        </w:rPr>
        <w:tab/>
        <w:t>R v Castle; ex parte Attorney-General</w:t>
      </w:r>
      <w:r w:rsidRPr="007809F4">
        <w:rPr>
          <w:rFonts w:asciiTheme="minorHAnsi" w:hAnsiTheme="minorHAnsi" w:cstheme="minorHAnsi"/>
        </w:rPr>
        <w:t xml:space="preserve"> [2014] QCA 276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Castle; ex parte Attorney-General</w:instrText>
      </w:r>
      <w:r w:rsidRPr="007809F4">
        <w:rPr>
          <w:rFonts w:asciiTheme="minorHAnsi" w:hAnsiTheme="minorHAnsi" w:cstheme="minorHAnsi"/>
        </w:rPr>
        <w:instrText xml:space="preserve"> [2014] QCA 276</w:instrText>
      </w:r>
      <w:r w:rsidRPr="00EB7F1E">
        <w:rPr>
          <w:rFonts w:asciiTheme="minorHAnsi" w:hAnsiTheme="minorHAnsi" w:cstheme="minorHAnsi"/>
        </w:rPr>
        <w:instrText xml:space="preserve">" \s "R v Castle; ex parte Attorney-General [2014] QCA 276" \c 1 </w:instrText>
      </w:r>
      <w:r w:rsidRPr="00EB7F1E">
        <w:rPr>
          <w:rFonts w:asciiTheme="minorHAnsi" w:hAnsiTheme="minorHAnsi" w:cstheme="minorHAnsi"/>
        </w:rPr>
        <w:fldChar w:fldCharType="end"/>
      </w:r>
      <w:r w:rsidRPr="007809F4">
        <w:rPr>
          <w:rFonts w:asciiTheme="minorHAnsi" w:hAnsiTheme="minorHAnsi" w:cstheme="minorHAnsi"/>
        </w:rPr>
        <w:t>, [20].</w:t>
      </w:r>
    </w:p>
  </w:footnote>
  <w:footnote w:id="952">
    <w:p w14:paraId="3C5FB8E7" w14:textId="582D687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i/>
        </w:rPr>
        <w:tab/>
        <w:t>DPP v Holder</w:t>
      </w:r>
      <w:r w:rsidRPr="007809F4">
        <w:rPr>
          <w:rFonts w:asciiTheme="minorHAnsi" w:hAnsiTheme="minorHAnsi" w:cstheme="minorHAnsi"/>
        </w:rPr>
        <w:t xml:space="preserve"> (2014) 41 VR 467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Holder</w:instrText>
      </w:r>
      <w:r w:rsidRPr="007809F4">
        <w:rPr>
          <w:rFonts w:asciiTheme="minorHAnsi" w:hAnsiTheme="minorHAnsi" w:cstheme="minorHAnsi"/>
        </w:rPr>
        <w:instrText xml:space="preserve"> (2014) 41 VR 467" \s "DPP v Holder (2014) 41 VR 467" \c 1 </w:instrText>
      </w:r>
      <w:r w:rsidRPr="00EB7F1E">
        <w:rPr>
          <w:rFonts w:asciiTheme="minorHAnsi" w:hAnsiTheme="minorHAnsi" w:cstheme="minorHAnsi"/>
        </w:rPr>
        <w:fldChar w:fldCharType="end"/>
      </w:r>
      <w:r w:rsidRPr="007809F4">
        <w:rPr>
          <w:rFonts w:asciiTheme="minorHAnsi" w:hAnsiTheme="minorHAnsi" w:cstheme="minorHAnsi"/>
        </w:rPr>
        <w:t>, [32], [34].</w:t>
      </w:r>
    </w:p>
  </w:footnote>
  <w:footnote w:id="953">
    <w:p w14:paraId="3BC03A2C" w14:textId="1E9AF8D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i/>
        </w:rPr>
        <w:tab/>
        <w:t>DPP v Holder</w:t>
      </w:r>
      <w:r w:rsidRPr="007809F4">
        <w:rPr>
          <w:rFonts w:asciiTheme="minorHAnsi" w:hAnsiTheme="minorHAnsi" w:cstheme="minorHAnsi"/>
        </w:rPr>
        <w:t xml:space="preserve"> (2014) 41 VR 467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Holder</w:instrText>
      </w:r>
      <w:r w:rsidRPr="007809F4">
        <w:rPr>
          <w:rFonts w:asciiTheme="minorHAnsi" w:hAnsiTheme="minorHAnsi" w:cstheme="minorHAnsi"/>
        </w:rPr>
        <w:instrText xml:space="preserve"> (2014) 41 VR 467" \s "DPP v Holder (2014) 41 VR 467" \c 1 </w:instrText>
      </w:r>
      <w:r w:rsidRPr="00EB7F1E">
        <w:rPr>
          <w:rFonts w:asciiTheme="minorHAnsi" w:hAnsiTheme="minorHAnsi" w:cstheme="minorHAnsi"/>
        </w:rPr>
        <w:fldChar w:fldCharType="end"/>
      </w:r>
      <w:r w:rsidRPr="007809F4">
        <w:rPr>
          <w:rFonts w:asciiTheme="minorHAnsi" w:hAnsiTheme="minorHAnsi" w:cstheme="minorHAnsi"/>
        </w:rPr>
        <w:t>, [27]-[34].</w:t>
      </w:r>
    </w:p>
  </w:footnote>
  <w:footnote w:id="954">
    <w:p w14:paraId="3F454292" w14:textId="39F4BB6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Matthews v R</w:t>
      </w:r>
      <w:r w:rsidRPr="007809F4">
        <w:rPr>
          <w:rFonts w:asciiTheme="minorHAnsi" w:hAnsiTheme="minorHAnsi" w:cstheme="minorHAnsi"/>
        </w:rPr>
        <w:t xml:space="preserve"> (2014) 44 VR 280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Matthews v R</w:instrText>
      </w:r>
      <w:r w:rsidRPr="007809F4">
        <w:rPr>
          <w:rFonts w:asciiTheme="minorHAnsi" w:hAnsiTheme="minorHAnsi" w:cstheme="minorHAnsi"/>
        </w:rPr>
        <w:instrText xml:space="preserve"> (2014) 44 VR 280" \s "Matthews v R (2014) 44 VR 280"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"Matthews v R; Vu v R; Hashmi v R (2014) 44 VR 280" </w:instrText>
      </w:r>
      <w:r w:rsidRPr="00EB7F1E">
        <w:rPr>
          <w:rFonts w:asciiTheme="minorHAnsi" w:hAnsiTheme="minorHAnsi" w:cstheme="minorHAnsi"/>
        </w:rPr>
        <w:fldChar w:fldCharType="end"/>
      </w:r>
    </w:p>
  </w:footnote>
  <w:footnote w:id="955">
    <w:p w14:paraId="2C2D633A" w14:textId="7CC65C9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Matthews v R</w:t>
      </w:r>
      <w:r w:rsidRPr="007809F4">
        <w:rPr>
          <w:rFonts w:asciiTheme="minorHAnsi" w:hAnsiTheme="minorHAnsi" w:cstheme="minorHAnsi"/>
        </w:rPr>
        <w:t xml:space="preserve"> (2014) 44 VR 280</w:t>
      </w:r>
      <w:bookmarkStart w:id="2648" w:name="_Hlk10609778"/>
      <w:r w:rsidRPr="00EB7F1E">
        <w:rPr>
          <w:rFonts w:asciiTheme="minorHAnsi" w:hAnsiTheme="minorHAnsi" w:cstheme="minorHAnsi"/>
        </w:rPr>
        <w:fldChar w:fldCharType="begin"/>
      </w:r>
      <w:r w:rsidRPr="007809F4">
        <w:rPr>
          <w:rFonts w:asciiTheme="minorHAnsi" w:hAnsiTheme="minorHAnsi" w:cstheme="minorHAnsi"/>
        </w:rPr>
        <w:instrText xml:space="preserve"> TA \s "Matthews v R (2014) 44 VR 280"</w:instrText>
      </w:r>
      <w:r w:rsidRPr="00EB7F1E">
        <w:rPr>
          <w:rFonts w:asciiTheme="minorHAnsi" w:hAnsiTheme="minorHAnsi" w:cstheme="minorHAnsi"/>
        </w:rPr>
        <w:fldChar w:fldCharType="end"/>
      </w:r>
      <w:bookmarkEnd w:id="2648"/>
      <w:r w:rsidRPr="007809F4">
        <w:rPr>
          <w:rFonts w:asciiTheme="minorHAnsi" w:hAnsiTheme="minorHAnsi" w:cstheme="minorHAnsi"/>
        </w:rPr>
        <w:t>, [27].</w:t>
      </w:r>
      <w:r w:rsidRPr="00EB7F1E">
        <w:rPr>
          <w:rFonts w:asciiTheme="minorHAnsi" w:hAnsiTheme="minorHAnsi" w:cstheme="minorHAnsi"/>
        </w:rPr>
        <w:fldChar w:fldCharType="begin"/>
      </w:r>
      <w:r w:rsidRPr="007809F4">
        <w:rPr>
          <w:rFonts w:asciiTheme="minorHAnsi" w:hAnsiTheme="minorHAnsi" w:cstheme="minorHAnsi"/>
        </w:rPr>
        <w:instrText xml:space="preserve">  "Matthews v R; Vu v R; Hashmi v R (2014) 44 VR 280" </w:instrText>
      </w:r>
      <w:r w:rsidRPr="00EB7F1E">
        <w:rPr>
          <w:rFonts w:asciiTheme="minorHAnsi" w:hAnsiTheme="minorHAnsi" w:cstheme="minorHAnsi"/>
        </w:rPr>
        <w:fldChar w:fldCharType="end"/>
      </w:r>
    </w:p>
  </w:footnote>
  <w:footnote w:id="956">
    <w:p w14:paraId="5F17ADE8" w14:textId="701F08F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Matthews v R</w:t>
      </w:r>
      <w:r w:rsidRPr="007809F4">
        <w:rPr>
          <w:rFonts w:asciiTheme="minorHAnsi" w:hAnsiTheme="minorHAnsi" w:cstheme="minorHAnsi"/>
        </w:rPr>
        <w:t xml:space="preserve"> (2014) 44 VR 280</w:t>
      </w:r>
      <w:r w:rsidRPr="00EB7F1E">
        <w:rPr>
          <w:rFonts w:asciiTheme="minorHAnsi" w:hAnsiTheme="minorHAnsi" w:cstheme="minorHAnsi"/>
        </w:rPr>
        <w:fldChar w:fldCharType="begin"/>
      </w:r>
      <w:r w:rsidRPr="007809F4">
        <w:rPr>
          <w:rFonts w:asciiTheme="minorHAnsi" w:hAnsiTheme="minorHAnsi" w:cstheme="minorHAnsi"/>
        </w:rPr>
        <w:instrText xml:space="preserve"> TA \s "Matthews v R (2014) 44 VR 280"</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"Matthews v R; Vu v R; Hashmi v R (2014) 44 VR 280" </w:instrText>
      </w:r>
      <w:r w:rsidRPr="00EB7F1E">
        <w:rPr>
          <w:rFonts w:asciiTheme="minorHAnsi" w:hAnsiTheme="minorHAnsi" w:cstheme="minorHAnsi"/>
        </w:rPr>
        <w:fldChar w:fldCharType="end"/>
      </w:r>
      <w:r w:rsidRPr="007809F4">
        <w:rPr>
          <w:rFonts w:asciiTheme="minorHAnsi" w:hAnsiTheme="minorHAnsi" w:cstheme="minorHAnsi"/>
        </w:rPr>
        <w:t xml:space="preserve">, [22] – [25] (Warren CJ, Nettle and Redlich JJA).  It is arguable that this part of the majority judgment was </w:t>
      </w:r>
      <w:r w:rsidRPr="007809F4">
        <w:rPr>
          <w:rFonts w:asciiTheme="minorHAnsi" w:hAnsiTheme="minorHAnsi" w:cstheme="minorHAnsi"/>
          <w:i/>
        </w:rPr>
        <w:t>obiter dicta</w:t>
      </w:r>
      <w:r w:rsidRPr="007809F4">
        <w:rPr>
          <w:rFonts w:asciiTheme="minorHAnsi" w:hAnsiTheme="minorHAnsi" w:cstheme="minorHAnsi"/>
        </w:rPr>
        <w:t>.  Priest JA and Lasry AJA (at [162]) found it unnecessary to decide the point.</w:t>
      </w:r>
    </w:p>
  </w:footnote>
  <w:footnote w:id="957">
    <w:p w14:paraId="2A779970" w14:textId="27F6788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 xml:space="preserve">DPP (Cth) v Haynes </w:t>
      </w:r>
      <w:r w:rsidRPr="007809F4">
        <w:rPr>
          <w:rFonts w:asciiTheme="minorHAnsi" w:hAnsiTheme="minorHAnsi" w:cstheme="minorHAnsi"/>
        </w:rPr>
        <w:t>[2017] VSCA 79</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Haynes [2017] VSCA 79"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58">
    <w:p w14:paraId="59825978" w14:textId="6B8EE45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 xml:space="preserve">DPP (Cth) v Haynes </w:t>
      </w:r>
      <w:r w:rsidRPr="007809F4">
        <w:rPr>
          <w:rFonts w:asciiTheme="minorHAnsi" w:hAnsiTheme="minorHAnsi" w:cstheme="minorHAnsi"/>
        </w:rPr>
        <w:t>[2017] VSCA 79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Haynes [2017] VSCA 79" </w:instrText>
      </w:r>
      <w:r w:rsidRPr="00EB7F1E">
        <w:rPr>
          <w:rFonts w:asciiTheme="minorHAnsi" w:hAnsiTheme="minorHAnsi" w:cstheme="minorHAnsi"/>
        </w:rPr>
        <w:fldChar w:fldCharType="end"/>
      </w:r>
      <w:r w:rsidRPr="007809F4">
        <w:rPr>
          <w:rFonts w:asciiTheme="minorHAnsi" w:hAnsiTheme="minorHAnsi" w:cstheme="minorHAnsi"/>
        </w:rPr>
        <w:t xml:space="preserve">, [58]-[59], referring to </w:t>
      </w:r>
      <w:r w:rsidRPr="007809F4">
        <w:rPr>
          <w:rFonts w:asciiTheme="minorHAnsi" w:hAnsiTheme="minorHAnsi" w:cstheme="minorHAnsi"/>
          <w:i/>
        </w:rPr>
        <w:t>Malvaso v R</w:t>
      </w:r>
      <w:r w:rsidRPr="007809F4">
        <w:rPr>
          <w:rFonts w:asciiTheme="minorHAnsi" w:hAnsiTheme="minorHAnsi" w:cstheme="minorHAnsi"/>
        </w:rPr>
        <w:t xml:space="preserve"> (1989) 168 CLR 227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Malvaso v R</w:instrText>
      </w:r>
      <w:r w:rsidRPr="007809F4">
        <w:rPr>
          <w:rFonts w:asciiTheme="minorHAnsi" w:hAnsiTheme="minorHAnsi" w:cstheme="minorHAnsi"/>
        </w:rPr>
        <w:instrText xml:space="preserve"> (1989) 168 CLR 227</w:instrText>
      </w:r>
      <w:r w:rsidRPr="00EB7F1E">
        <w:rPr>
          <w:rFonts w:asciiTheme="minorHAnsi" w:hAnsiTheme="minorHAnsi" w:cstheme="minorHAnsi"/>
        </w:rPr>
        <w:instrText xml:space="preserve">" \s "Malvaso v R (1989) 168 CLR 227" \c 1 </w:instrText>
      </w:r>
      <w:r w:rsidRPr="00EB7F1E">
        <w:rPr>
          <w:rFonts w:asciiTheme="minorHAnsi" w:hAnsiTheme="minorHAnsi" w:cstheme="minorHAnsi"/>
        </w:rPr>
        <w:fldChar w:fldCharType="end"/>
      </w:r>
      <w:r w:rsidRPr="007809F4">
        <w:rPr>
          <w:rFonts w:asciiTheme="minorHAnsi" w:hAnsiTheme="minorHAnsi" w:cstheme="minorHAnsi"/>
        </w:rPr>
        <w:t xml:space="preserve"> and </w:t>
      </w:r>
      <w:r w:rsidRPr="007809F4">
        <w:rPr>
          <w:rFonts w:asciiTheme="minorHAnsi" w:hAnsiTheme="minorHAnsi" w:cstheme="minorHAnsi"/>
          <w:i/>
        </w:rPr>
        <w:t>Everett v R</w:t>
      </w:r>
      <w:r w:rsidRPr="007809F4">
        <w:rPr>
          <w:rFonts w:asciiTheme="minorHAnsi" w:hAnsiTheme="minorHAnsi" w:cstheme="minorHAnsi"/>
        </w:rPr>
        <w:t xml:space="preserve"> (1994) 181 CLR 295</w:t>
      </w:r>
      <w:r w:rsidRPr="00EB7F1E">
        <w:rPr>
          <w:rFonts w:asciiTheme="minorHAnsi" w:hAnsiTheme="minorHAnsi" w:cstheme="minorHAnsi"/>
        </w:rPr>
        <w:fldChar w:fldCharType="begin"/>
      </w:r>
      <w:r w:rsidRPr="007809F4">
        <w:rPr>
          <w:rFonts w:asciiTheme="minorHAnsi" w:hAnsiTheme="minorHAnsi" w:cstheme="minorHAnsi"/>
        </w:rPr>
        <w:instrText xml:space="preserve"> TA \s "Everett v R (1994) 181 CLR 295"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959">
    <w:p w14:paraId="6C504267" w14:textId="70920DA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 xml:space="preserve">DPP (Cth) v Haynes </w:t>
      </w:r>
      <w:r w:rsidRPr="007809F4">
        <w:rPr>
          <w:rFonts w:asciiTheme="minorHAnsi" w:hAnsiTheme="minorHAnsi" w:cstheme="minorHAnsi"/>
        </w:rPr>
        <w:t>[2017] VSCA 79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Haynes [2017] VSCA 79" </w:instrText>
      </w:r>
      <w:r w:rsidRPr="00EB7F1E">
        <w:rPr>
          <w:rFonts w:asciiTheme="minorHAnsi" w:hAnsiTheme="minorHAnsi" w:cstheme="minorHAnsi"/>
        </w:rPr>
        <w:fldChar w:fldCharType="end"/>
      </w:r>
      <w:r w:rsidRPr="007809F4">
        <w:rPr>
          <w:rFonts w:asciiTheme="minorHAnsi" w:hAnsiTheme="minorHAnsi" w:cstheme="minorHAnsi"/>
        </w:rPr>
        <w:t>, [60]-[62],</w:t>
      </w:r>
    </w:p>
  </w:footnote>
  <w:footnote w:id="960">
    <w:p w14:paraId="44AEE76E" w14:textId="0C47FBE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r>
      <w:r w:rsidRPr="007809F4">
        <w:rPr>
          <w:rFonts w:asciiTheme="minorHAnsi" w:hAnsiTheme="minorHAnsi" w:cstheme="minorHAnsi"/>
        </w:rPr>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_Ref507948252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_Ref507948252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Non-parole period (NPP) or recognizance release order (RRO)?</w:t>
      </w:r>
      <w:r w:rsidRPr="00EB7F1E">
        <w:rPr>
          <w:rFonts w:asciiTheme="minorHAnsi" w:hAnsiTheme="minorHAnsi" w:cstheme="minorHAnsi"/>
        </w:rPr>
        <w:fldChar w:fldCharType="end"/>
      </w:r>
      <w:r w:rsidRPr="007809F4">
        <w:rPr>
          <w:rFonts w:asciiTheme="minorHAnsi" w:hAnsiTheme="minorHAnsi" w:cstheme="minorHAnsi"/>
        </w:rPr>
        <w:t>”.</w:t>
      </w:r>
    </w:p>
  </w:footnote>
  <w:footnote w:id="961">
    <w:p w14:paraId="3F78EF03" w14:textId="3BAEF37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r>
      <w:r w:rsidRPr="007809F4">
        <w:rPr>
          <w:rFonts w:asciiTheme="minorHAnsi" w:hAnsiTheme="minorHAnsi" w:cstheme="minorHAnsi"/>
        </w:rPr>
        <w:t>See also “</w:t>
      </w:r>
      <w:r w:rsidRPr="00EB7F1E">
        <w:rPr>
          <w:rFonts w:asciiTheme="minorHAnsi" w:hAnsiTheme="minorHAnsi" w:cstheme="minorHAnsi"/>
        </w:rPr>
        <w:fldChar w:fldCharType="begin"/>
      </w:r>
      <w:r w:rsidRPr="007809F4">
        <w:rPr>
          <w:rFonts w:asciiTheme="minorHAnsi" w:hAnsiTheme="minorHAnsi" w:cstheme="minorHAnsi"/>
        </w:rPr>
        <w:instrText xml:space="preserve"> REF _Ref492740962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7.1</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_Ref492740962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Role of the prosecution in a sentence hearing</w:t>
      </w:r>
      <w:r w:rsidRPr="00EB7F1E">
        <w:rPr>
          <w:rFonts w:asciiTheme="minorHAnsi" w:hAnsiTheme="minorHAnsi" w:cstheme="minorHAnsi"/>
        </w:rPr>
        <w:fldChar w:fldCharType="end"/>
      </w:r>
      <w:r w:rsidRPr="007809F4">
        <w:rPr>
          <w:rFonts w:asciiTheme="minorHAnsi" w:hAnsiTheme="minorHAnsi" w:cstheme="minorHAnsi"/>
        </w:rPr>
        <w:t xml:space="preserve">”.  This aspect of the decision in </w:t>
      </w:r>
      <w:r w:rsidRPr="00EB7F1E">
        <w:rPr>
          <w:rFonts w:asciiTheme="minorHAnsi" w:hAnsiTheme="minorHAnsi" w:cstheme="minorHAnsi"/>
          <w:i/>
        </w:rPr>
        <w:t>Haynes</w:t>
      </w:r>
      <w:r w:rsidRPr="007809F4">
        <w:rPr>
          <w:rFonts w:asciiTheme="minorHAnsi" w:hAnsiTheme="minorHAnsi" w:cstheme="minorHAnsi"/>
        </w:rPr>
        <w:t xml:space="preserve"> has not yet been considered by the High Court or by an intermediate appellate court outside Victoria.</w:t>
      </w:r>
    </w:p>
  </w:footnote>
  <w:footnote w:id="962">
    <w:p w14:paraId="25AD6924" w14:textId="6DC58DA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i/>
        </w:rPr>
        <w:tab/>
        <w:t>Penalties and Sentences Act</w:t>
      </w:r>
      <w:r w:rsidRPr="007809F4">
        <w:rPr>
          <w:rFonts w:asciiTheme="minorHAnsi" w:hAnsiTheme="minorHAnsi" w:cstheme="minorHAnsi"/>
        </w:rPr>
        <w:t xml:space="preserve"> 1992 (Qld), s 15.  The position of the CDPP is that this provision is not picked up by the terms of the </w:t>
      </w:r>
      <w:r w:rsidRPr="00EB7F1E">
        <w:rPr>
          <w:rFonts w:asciiTheme="minorHAnsi" w:hAnsiTheme="minorHAnsi" w:cstheme="minorHAnsi"/>
          <w:i/>
          <w:iCs/>
        </w:rPr>
        <w:t>Judiciary Act 1903</w:t>
      </w:r>
      <w:r w:rsidRPr="007809F4">
        <w:rPr>
          <w:rFonts w:asciiTheme="minorHAnsi" w:hAnsiTheme="minorHAnsi" w:cstheme="minorHAnsi"/>
        </w:rPr>
        <w:t xml:space="preserve"> (Cth) as surrogate federal law and is therefore not applicable to the sentencing of federal offenders.</w:t>
      </w:r>
    </w:p>
  </w:footnote>
  <w:footnote w:id="963">
    <w:p w14:paraId="232CB51F" w14:textId="71A8076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Prosecution Policy of the Commonwealth</w:t>
      </w:r>
      <w:r w:rsidRPr="007809F4">
        <w:rPr>
          <w:rFonts w:asciiTheme="minorHAnsi" w:hAnsiTheme="minorHAnsi" w:cstheme="minorHAnsi"/>
        </w:rPr>
        <w:t xml:space="preserve"> (2005 revision), p 2.  See also the ethical duties imposed on legal practitioners by the rules of conduct for barristers and for solicitors in each jurisdiction, as they relate to the conduct of a prosecution.  In jurisdictions which have adopted the uniform national rules, the applicable rules are the </w:t>
      </w:r>
      <w:r w:rsidRPr="007809F4">
        <w:rPr>
          <w:rFonts w:asciiTheme="minorHAnsi" w:hAnsiTheme="minorHAnsi" w:cstheme="minorHAnsi"/>
          <w:i/>
        </w:rPr>
        <w:t>Legal Profession Uniform Conduct (Barristers) Rules 2015</w:t>
      </w:r>
      <w:r w:rsidRPr="007809F4">
        <w:rPr>
          <w:rFonts w:asciiTheme="minorHAnsi" w:hAnsiTheme="minorHAnsi" w:cstheme="minorHAnsi"/>
        </w:rPr>
        <w:t xml:space="preserve"> and the </w:t>
      </w:r>
      <w:r w:rsidRPr="007809F4">
        <w:rPr>
          <w:rFonts w:asciiTheme="minorHAnsi" w:hAnsiTheme="minorHAnsi" w:cstheme="minorHAnsi"/>
          <w:i/>
        </w:rPr>
        <w:t>Legal Profession Uniform Law Australian Solicitors’ Conduct Rules 2015</w:t>
      </w:r>
      <w:r w:rsidRPr="007809F4">
        <w:rPr>
          <w:rFonts w:asciiTheme="minorHAnsi" w:hAnsiTheme="minorHAnsi" w:cstheme="minorHAnsi"/>
        </w:rPr>
        <w:t>, as applied by laws in each participating jurisdiction.</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64">
    <w:p w14:paraId="565CE69E" w14:textId="70A4379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Tait</w:t>
      </w:r>
      <w:r w:rsidRPr="007809F4">
        <w:rPr>
          <w:rFonts w:asciiTheme="minorHAnsi" w:hAnsiTheme="minorHAnsi" w:cstheme="minorHAnsi"/>
        </w:rPr>
        <w:t xml:space="preserve"> (1979) 24 ALR 473</w:t>
      </w:r>
      <w:r w:rsidRPr="00EB7F1E">
        <w:rPr>
          <w:rFonts w:asciiTheme="minorHAnsi" w:hAnsiTheme="minorHAnsi" w:cstheme="minorHAnsi"/>
        </w:rPr>
        <w:fldChar w:fldCharType="begin"/>
      </w:r>
      <w:r w:rsidRPr="00EB7F1E">
        <w:rPr>
          <w:rFonts w:asciiTheme="minorHAnsi" w:hAnsiTheme="minorHAnsi" w:cstheme="minorHAnsi"/>
        </w:rPr>
        <w:instrText xml:space="preserve"> TA \s "R v Tait (1979) 24 ALR 473" </w:instrText>
      </w:r>
      <w:r w:rsidRPr="00EB7F1E">
        <w:rPr>
          <w:rFonts w:asciiTheme="minorHAnsi" w:hAnsiTheme="minorHAnsi" w:cstheme="minorHAnsi"/>
        </w:rPr>
        <w:fldChar w:fldCharType="end"/>
      </w:r>
      <w:r w:rsidRPr="007809F4">
        <w:rPr>
          <w:rFonts w:asciiTheme="minorHAnsi" w:hAnsiTheme="minorHAnsi" w:cstheme="minorHAnsi"/>
        </w:rPr>
        <w:t>, 477.  The Court there added, “</w:t>
      </w:r>
      <w:r w:rsidRPr="007809F4">
        <w:rPr>
          <w:rFonts w:asciiTheme="minorHAnsi" w:hAnsiTheme="minorHAnsi" w:cstheme="minorHAnsi"/>
          <w:i/>
        </w:rPr>
        <w:t>A failure by the Crown to discharge that duty may not only contribute to appealable error affecting the sentence, but may tend to deprive the defendant of a fair opportunity of meeting a case which might ultimately be made on appeal.</w:t>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65">
    <w:p w14:paraId="052D37D3" w14:textId="37D631B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Olbrich</w:t>
      </w:r>
      <w:r w:rsidRPr="007809F4">
        <w:rPr>
          <w:rFonts w:asciiTheme="minorHAnsi" w:hAnsiTheme="minorHAnsi" w:cstheme="minorHAnsi"/>
        </w:rPr>
        <w:t xml:space="preserve"> (1999) 199 CLR 270</w:t>
      </w:r>
      <w:r w:rsidRPr="00EB7F1E">
        <w:rPr>
          <w:rFonts w:asciiTheme="minorHAnsi" w:hAnsiTheme="minorHAnsi" w:cstheme="minorHAnsi"/>
        </w:rPr>
        <w:fldChar w:fldCharType="begin"/>
      </w:r>
      <w:r w:rsidRPr="007809F4">
        <w:rPr>
          <w:rFonts w:asciiTheme="minorHAnsi" w:hAnsiTheme="minorHAnsi" w:cstheme="minorHAnsi"/>
        </w:rPr>
        <w:instrText xml:space="preserve"> TA \s "R v Olbrich (1999) 199 CLR 270" </w:instrText>
      </w:r>
      <w:r w:rsidRPr="00EB7F1E">
        <w:rPr>
          <w:rFonts w:asciiTheme="minorHAnsi" w:hAnsiTheme="minorHAnsi" w:cstheme="minorHAnsi"/>
        </w:rPr>
        <w:fldChar w:fldCharType="end"/>
      </w:r>
      <w:r w:rsidRPr="007809F4">
        <w:rPr>
          <w:rFonts w:asciiTheme="minorHAnsi" w:hAnsiTheme="minorHAnsi" w:cstheme="minorHAnsi"/>
        </w:rPr>
        <w:t xml:space="preserve">, [1]. </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66">
    <w:p w14:paraId="32C35569" w14:textId="5631F22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Tait</w:t>
      </w:r>
      <w:r w:rsidRPr="007809F4">
        <w:rPr>
          <w:rFonts w:asciiTheme="minorHAnsi" w:hAnsiTheme="minorHAnsi" w:cstheme="minorHAnsi"/>
        </w:rPr>
        <w:t xml:space="preserve"> (1979) 24 ALR 473</w:t>
      </w:r>
      <w:r w:rsidRPr="00EB7F1E">
        <w:rPr>
          <w:rFonts w:asciiTheme="minorHAnsi" w:hAnsiTheme="minorHAnsi" w:cstheme="minorHAnsi"/>
        </w:rPr>
        <w:fldChar w:fldCharType="begin"/>
      </w:r>
      <w:r w:rsidRPr="007809F4">
        <w:rPr>
          <w:rFonts w:asciiTheme="minorHAnsi" w:hAnsiTheme="minorHAnsi" w:cstheme="minorHAnsi"/>
        </w:rPr>
        <w:instrText xml:space="preserve"> TA \s "R v Tait (1979) 24 ALR 473" </w:instrText>
      </w:r>
      <w:r w:rsidRPr="00EB7F1E">
        <w:rPr>
          <w:rFonts w:asciiTheme="minorHAnsi" w:hAnsiTheme="minorHAnsi" w:cstheme="minorHAnsi"/>
        </w:rPr>
        <w:fldChar w:fldCharType="end"/>
      </w:r>
      <w:r w:rsidRPr="007809F4">
        <w:rPr>
          <w:rFonts w:asciiTheme="minorHAnsi" w:hAnsiTheme="minorHAnsi" w:cstheme="minorHAnsi"/>
        </w:rPr>
        <w:t xml:space="preserve">, 477; </w:t>
      </w:r>
      <w:r w:rsidRPr="007809F4">
        <w:rPr>
          <w:rFonts w:asciiTheme="minorHAnsi" w:hAnsiTheme="minorHAnsi" w:cstheme="minorHAnsi"/>
          <w:i/>
        </w:rPr>
        <w:t>R v Rumpf</w:t>
      </w:r>
      <w:r w:rsidRPr="007809F4">
        <w:rPr>
          <w:rFonts w:asciiTheme="minorHAnsi" w:hAnsiTheme="minorHAnsi" w:cstheme="minorHAnsi"/>
        </w:rPr>
        <w:t xml:space="preserve"> [1988] VR 466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Rumpf</w:instrText>
      </w:r>
      <w:r w:rsidRPr="007809F4">
        <w:rPr>
          <w:rFonts w:asciiTheme="minorHAnsi" w:hAnsiTheme="minorHAnsi" w:cstheme="minorHAnsi"/>
        </w:rPr>
        <w:instrText xml:space="preserve"> [1988] VR 466</w:instrText>
      </w:r>
      <w:r w:rsidRPr="00EB7F1E">
        <w:rPr>
          <w:rFonts w:asciiTheme="minorHAnsi" w:hAnsiTheme="minorHAnsi" w:cstheme="minorHAnsi"/>
        </w:rPr>
        <w:instrText xml:space="preserve">" \s "R v Rumpf [1988] VR 466" \c 1 </w:instrText>
      </w:r>
      <w:r w:rsidRPr="00EB7F1E">
        <w:rPr>
          <w:rFonts w:asciiTheme="minorHAnsi" w:hAnsiTheme="minorHAnsi" w:cstheme="minorHAnsi"/>
        </w:rPr>
        <w:fldChar w:fldCharType="end"/>
      </w:r>
      <w:r w:rsidRPr="007809F4">
        <w:rPr>
          <w:rFonts w:asciiTheme="minorHAnsi" w:hAnsiTheme="minorHAnsi" w:cstheme="minorHAnsi"/>
        </w:rPr>
        <w:t xml:space="preserve">, 476; </w:t>
      </w:r>
      <w:r w:rsidRPr="007809F4">
        <w:rPr>
          <w:rFonts w:asciiTheme="minorHAnsi" w:hAnsiTheme="minorHAnsi" w:cstheme="minorHAnsi"/>
          <w:i/>
        </w:rPr>
        <w:t>Matthews v R</w:t>
      </w:r>
      <w:r w:rsidRPr="007809F4">
        <w:rPr>
          <w:rFonts w:asciiTheme="minorHAnsi" w:hAnsiTheme="minorHAnsi" w:cstheme="minorHAnsi"/>
        </w:rPr>
        <w:t xml:space="preserve"> (2014) 44 VR 280</w:t>
      </w:r>
      <w:r w:rsidRPr="00EB7F1E">
        <w:rPr>
          <w:rFonts w:asciiTheme="minorHAnsi" w:hAnsiTheme="minorHAnsi" w:cstheme="minorHAnsi"/>
        </w:rPr>
        <w:fldChar w:fldCharType="begin"/>
      </w:r>
      <w:r w:rsidRPr="007809F4">
        <w:rPr>
          <w:rFonts w:asciiTheme="minorHAnsi" w:hAnsiTheme="minorHAnsi" w:cstheme="minorHAnsi"/>
        </w:rPr>
        <w:instrText xml:space="preserve"> TA \s "Matthews v R (2014) 44 VR 280"</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w:t>
      </w:r>
      <w:r w:rsidRPr="007809F4">
        <w:rPr>
          <w:rFonts w:asciiTheme="minorHAnsi" w:hAnsiTheme="minorHAnsi" w:cstheme="minorHAnsi"/>
        </w:rPr>
        <w:t xml:space="preserve">[27], [153]. </w:t>
      </w:r>
      <w:r w:rsidRPr="00EB7F1E">
        <w:rPr>
          <w:rFonts w:asciiTheme="minorHAnsi" w:hAnsiTheme="minorHAnsi" w:cstheme="minorHAnsi"/>
        </w:rPr>
        <w:t xml:space="preserve"> </w:t>
      </w:r>
      <w:r w:rsidRPr="007809F4">
        <w:rPr>
          <w:rFonts w:asciiTheme="minorHAnsi" w:hAnsiTheme="minorHAnsi" w:cstheme="minorHAnsi"/>
        </w:rPr>
        <w:t xml:space="preserve">The duty to correct any error of fact which might have emerged in the course of the plea must be applied in a common sense way; it does not mean that the prosecutor is obliged to traverse every proposition put on behalf of an accused person in a lengthy sentencing hearing: </w:t>
      </w:r>
      <w:r w:rsidRPr="007809F4">
        <w:rPr>
          <w:rFonts w:asciiTheme="minorHAnsi" w:hAnsiTheme="minorHAnsi" w:cstheme="minorHAnsi"/>
          <w:i/>
        </w:rPr>
        <w:t>DPP v Bulfin</w:t>
      </w:r>
      <w:r w:rsidRPr="007809F4">
        <w:rPr>
          <w:rFonts w:asciiTheme="minorHAnsi" w:hAnsiTheme="minorHAnsi" w:cstheme="minorHAnsi"/>
        </w:rPr>
        <w:t xml:space="preserve"> [1998] 4 VR 114</w:t>
      </w:r>
      <w:r w:rsidRPr="00EB7F1E">
        <w:rPr>
          <w:rFonts w:asciiTheme="minorHAnsi" w:hAnsiTheme="minorHAnsi" w:cstheme="minorHAnsi"/>
        </w:rPr>
        <w:fldChar w:fldCharType="begin"/>
      </w:r>
      <w:r w:rsidRPr="007809F4">
        <w:rPr>
          <w:rFonts w:asciiTheme="minorHAnsi" w:hAnsiTheme="minorHAnsi" w:cstheme="minorHAnsi"/>
        </w:rPr>
        <w:instrText xml:space="preserve"> TA \s "DPP v Bulfin [1998] 4 VR 114" </w:instrText>
      </w:r>
      <w:r w:rsidRPr="00EB7F1E">
        <w:rPr>
          <w:rFonts w:asciiTheme="minorHAnsi" w:hAnsiTheme="minorHAnsi" w:cstheme="minorHAnsi"/>
        </w:rPr>
        <w:fldChar w:fldCharType="end"/>
      </w:r>
      <w:r w:rsidRPr="007809F4">
        <w:rPr>
          <w:rFonts w:asciiTheme="minorHAnsi" w:hAnsiTheme="minorHAnsi" w:cstheme="minorHAnsi"/>
        </w:rPr>
        <w:t>, 123.</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67">
    <w:p w14:paraId="0AB05E60" w14:textId="4C39D21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Rumpf</w:t>
      </w:r>
      <w:r w:rsidRPr="007809F4">
        <w:rPr>
          <w:rFonts w:asciiTheme="minorHAnsi" w:hAnsiTheme="minorHAnsi" w:cstheme="minorHAnsi"/>
        </w:rPr>
        <w:t xml:space="preserve"> [1988] VR 466</w:t>
      </w:r>
      <w:r w:rsidRPr="00EB7F1E">
        <w:rPr>
          <w:rFonts w:asciiTheme="minorHAnsi" w:hAnsiTheme="minorHAnsi" w:cstheme="minorHAnsi"/>
        </w:rPr>
        <w:fldChar w:fldCharType="begin"/>
      </w:r>
      <w:r w:rsidRPr="007809F4">
        <w:rPr>
          <w:rFonts w:asciiTheme="minorHAnsi" w:hAnsiTheme="minorHAnsi" w:cstheme="minorHAnsi"/>
        </w:rPr>
        <w:instrText xml:space="preserve"> TA \s "R v Rumpf [1988] VR 466" </w:instrText>
      </w:r>
      <w:r w:rsidRPr="00EB7F1E">
        <w:rPr>
          <w:rFonts w:asciiTheme="minorHAnsi" w:hAnsiTheme="minorHAnsi" w:cstheme="minorHAnsi"/>
        </w:rPr>
        <w:fldChar w:fldCharType="end"/>
      </w:r>
      <w:r w:rsidRPr="007809F4">
        <w:rPr>
          <w:rFonts w:asciiTheme="minorHAnsi" w:hAnsiTheme="minorHAnsi" w:cstheme="minorHAnsi"/>
        </w:rPr>
        <w:t>, 472.</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68">
    <w:p w14:paraId="2B212DB4" w14:textId="6DA489C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Rumpf</w:t>
      </w:r>
      <w:r w:rsidRPr="007809F4">
        <w:rPr>
          <w:rFonts w:asciiTheme="minorHAnsi" w:hAnsiTheme="minorHAnsi" w:cstheme="minorHAnsi"/>
        </w:rPr>
        <w:t xml:space="preserve"> [1988] VR 466</w:t>
      </w:r>
      <w:r w:rsidRPr="00EB7F1E">
        <w:rPr>
          <w:rFonts w:asciiTheme="minorHAnsi" w:hAnsiTheme="minorHAnsi" w:cstheme="minorHAnsi"/>
        </w:rPr>
        <w:fldChar w:fldCharType="begin"/>
      </w:r>
      <w:r w:rsidRPr="007809F4">
        <w:rPr>
          <w:rFonts w:asciiTheme="minorHAnsi" w:hAnsiTheme="minorHAnsi" w:cstheme="minorHAnsi"/>
        </w:rPr>
        <w:instrText xml:space="preserve"> TA \s "R v Rumpf [1988] VR 466" </w:instrText>
      </w:r>
      <w:r w:rsidRPr="00EB7F1E">
        <w:rPr>
          <w:rFonts w:asciiTheme="minorHAnsi" w:hAnsiTheme="minorHAnsi" w:cstheme="minorHAnsi"/>
        </w:rPr>
        <w:fldChar w:fldCharType="end"/>
      </w:r>
      <w:r w:rsidRPr="007809F4">
        <w:rPr>
          <w:rFonts w:asciiTheme="minorHAnsi" w:hAnsiTheme="minorHAnsi" w:cstheme="minorHAnsi"/>
        </w:rPr>
        <w:t>, 472.</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69">
    <w:p w14:paraId="32E323A7" w14:textId="1E1104F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Weininger v R</w:t>
      </w:r>
      <w:r w:rsidRPr="007809F4">
        <w:rPr>
          <w:rFonts w:asciiTheme="minorHAnsi" w:hAnsiTheme="minorHAnsi" w:cstheme="minorHAnsi"/>
        </w:rPr>
        <w:t xml:space="preserve"> (2003) 212 CLR 629</w:t>
      </w:r>
      <w:r w:rsidRPr="00EB7F1E">
        <w:rPr>
          <w:rFonts w:asciiTheme="minorHAnsi" w:hAnsiTheme="minorHAnsi" w:cstheme="minorHAnsi"/>
        </w:rPr>
        <w:fldChar w:fldCharType="begin"/>
      </w:r>
      <w:r w:rsidRPr="007809F4">
        <w:rPr>
          <w:rFonts w:asciiTheme="minorHAnsi" w:hAnsiTheme="minorHAnsi" w:cstheme="minorHAnsi"/>
        </w:rPr>
        <w:instrText xml:space="preserve"> TA \s "Weininger v R (2003) 212 CLR 629" </w:instrText>
      </w:r>
      <w:r w:rsidRPr="00EB7F1E">
        <w:rPr>
          <w:rFonts w:asciiTheme="minorHAnsi" w:hAnsiTheme="minorHAnsi" w:cstheme="minorHAnsi"/>
        </w:rPr>
        <w:fldChar w:fldCharType="end"/>
      </w:r>
      <w:r w:rsidRPr="007809F4">
        <w:rPr>
          <w:rFonts w:asciiTheme="minorHAnsi" w:hAnsiTheme="minorHAnsi" w:cstheme="minorHAnsi"/>
        </w:rPr>
        <w:t>, [21].</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70">
    <w:p w14:paraId="4EDB83EA" w14:textId="4C628DF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GAS v R</w:t>
      </w:r>
      <w:r w:rsidRPr="007809F4">
        <w:rPr>
          <w:rFonts w:asciiTheme="minorHAnsi" w:hAnsiTheme="minorHAnsi" w:cstheme="minorHAnsi"/>
          <w:bCs/>
          <w:iCs/>
        </w:rPr>
        <w:t xml:space="preserve"> (2004) 217 CLR 198</w:t>
      </w:r>
      <w:r w:rsidRPr="00EB7F1E">
        <w:rPr>
          <w:rFonts w:asciiTheme="minorHAnsi" w:hAnsiTheme="minorHAnsi" w:cstheme="minorHAnsi"/>
          <w:bCs/>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bCs/>
          <w:i/>
          <w:iCs/>
        </w:rPr>
        <w:instrText>GAS v R</w:instrText>
      </w:r>
      <w:r w:rsidRPr="007809F4">
        <w:rPr>
          <w:rFonts w:asciiTheme="minorHAnsi" w:hAnsiTheme="minorHAnsi" w:cstheme="minorHAnsi"/>
          <w:bCs/>
          <w:iCs/>
        </w:rPr>
        <w:instrText xml:space="preserve"> (2004) 217 CLR 198</w:instrText>
      </w:r>
      <w:r w:rsidRPr="00EB7F1E">
        <w:rPr>
          <w:rFonts w:asciiTheme="minorHAnsi" w:hAnsiTheme="minorHAnsi" w:cstheme="minorHAnsi"/>
        </w:rPr>
        <w:instrText xml:space="preserve">" \s "GAS v R (2004) 217 CLR 198" \c 1 </w:instrText>
      </w:r>
      <w:r w:rsidRPr="00EB7F1E">
        <w:rPr>
          <w:rFonts w:asciiTheme="minorHAnsi" w:hAnsiTheme="minorHAnsi" w:cstheme="minorHAnsi"/>
          <w:bCs/>
          <w:iCs/>
        </w:rPr>
        <w:fldChar w:fldCharType="end"/>
      </w:r>
      <w:r w:rsidRPr="007809F4">
        <w:rPr>
          <w:rFonts w:asciiTheme="minorHAnsi" w:hAnsiTheme="minorHAnsi" w:cstheme="minorHAnsi"/>
          <w:bCs/>
          <w:iCs/>
        </w:rPr>
        <w:t>, [30]-[31]</w:t>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71">
    <w:p w14:paraId="566079B7" w14:textId="05A47C2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Rumpf</w:t>
      </w:r>
      <w:r w:rsidRPr="007809F4">
        <w:rPr>
          <w:rFonts w:asciiTheme="minorHAnsi" w:hAnsiTheme="minorHAnsi" w:cstheme="minorHAnsi"/>
        </w:rPr>
        <w:t xml:space="preserve"> [1988] VR 466</w:t>
      </w:r>
      <w:r w:rsidRPr="00EB7F1E">
        <w:rPr>
          <w:rFonts w:asciiTheme="minorHAnsi" w:hAnsiTheme="minorHAnsi" w:cstheme="minorHAnsi"/>
        </w:rPr>
        <w:fldChar w:fldCharType="begin"/>
      </w:r>
      <w:r w:rsidRPr="007809F4">
        <w:rPr>
          <w:rFonts w:asciiTheme="minorHAnsi" w:hAnsiTheme="minorHAnsi" w:cstheme="minorHAnsi"/>
        </w:rPr>
        <w:instrText xml:space="preserve"> TA \s "R v Rumpf [1988] VR 466" </w:instrText>
      </w:r>
      <w:r w:rsidRPr="00EB7F1E">
        <w:rPr>
          <w:rFonts w:asciiTheme="minorHAnsi" w:hAnsiTheme="minorHAnsi" w:cstheme="minorHAnsi"/>
        </w:rPr>
        <w:fldChar w:fldCharType="end"/>
      </w:r>
      <w:r w:rsidRPr="007809F4">
        <w:rPr>
          <w:rFonts w:asciiTheme="minorHAnsi" w:hAnsiTheme="minorHAnsi" w:cstheme="minorHAnsi"/>
        </w:rPr>
        <w:t xml:space="preserve">, 471.  Under s 4 of the Uniform Evidence Acts, while the rules of evidence do not apply to a sentencing hearing, the court may apply them.  For an example of a case in which the rules of evidence were applied on the application of the prosecutor see </w:t>
      </w:r>
      <w:r w:rsidRPr="007809F4">
        <w:rPr>
          <w:rFonts w:asciiTheme="minorHAnsi" w:hAnsiTheme="minorHAnsi" w:cstheme="minorHAnsi"/>
          <w:i/>
        </w:rPr>
        <w:t>DPP (Cth) v</w:t>
      </w:r>
      <w:r w:rsidRPr="007809F4">
        <w:rPr>
          <w:rFonts w:asciiTheme="minorHAnsi" w:hAnsiTheme="minorHAnsi" w:cstheme="minorHAnsi"/>
        </w:rPr>
        <w:t xml:space="preserve"> </w:t>
      </w:r>
      <w:r w:rsidRPr="007809F4">
        <w:rPr>
          <w:rFonts w:asciiTheme="minorHAnsi" w:hAnsiTheme="minorHAnsi" w:cstheme="minorHAnsi"/>
          <w:i/>
        </w:rPr>
        <w:t xml:space="preserve">Besim </w:t>
      </w:r>
      <w:r w:rsidRPr="007809F4">
        <w:rPr>
          <w:rFonts w:asciiTheme="minorHAnsi" w:hAnsiTheme="minorHAnsi" w:cstheme="minorHAnsi"/>
        </w:rPr>
        <w:t>[2017] VSCA 158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[2017] VSCA 158" </w:instrText>
      </w:r>
      <w:r w:rsidRPr="00EB7F1E">
        <w:rPr>
          <w:rFonts w:asciiTheme="minorHAnsi" w:hAnsiTheme="minorHAnsi" w:cstheme="minorHAnsi"/>
        </w:rPr>
        <w:fldChar w:fldCharType="end"/>
      </w:r>
      <w:r w:rsidRPr="007809F4">
        <w:rPr>
          <w:rFonts w:asciiTheme="minorHAnsi" w:hAnsiTheme="minorHAnsi" w:cstheme="minorHAnsi"/>
        </w:rPr>
        <w:t>, [74].</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72">
    <w:p w14:paraId="4E2A5193" w14:textId="4D2CE089" w:rsidR="00D44BCF" w:rsidRPr="007809F4" w:rsidRDefault="00D44BCF">
      <w:pPr>
        <w:pStyle w:val="FootnoteText"/>
        <w:ind w:left="426" w:hanging="426"/>
        <w:jc w:val="both"/>
        <w:rPr>
          <w:rFonts w:asciiTheme="minorHAnsi" w:hAnsiTheme="minorHAnsi" w:cstheme="minorHAnsi"/>
          <w:bCs/>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Such as the existence and extent of contrition, the motive for the offending, whether the offender was affected by duress, or, in a terrorism case, the offender’s renunciation of the ideology </w:t>
      </w:r>
      <w:r w:rsidRPr="007809F4">
        <w:rPr>
          <w:rFonts w:asciiTheme="minorHAnsi" w:hAnsiTheme="minorHAnsi" w:cstheme="minorHAnsi"/>
        </w:rPr>
        <w:t>which</w:t>
      </w:r>
      <w:r w:rsidRPr="007809F4">
        <w:rPr>
          <w:rFonts w:asciiTheme="minorHAnsi" w:hAnsiTheme="minorHAnsi" w:cstheme="minorHAnsi"/>
          <w:bCs/>
          <w:iCs/>
        </w:rPr>
        <w:t xml:space="preserve"> motivated the offending.  See “</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REF _Ref492798349 \r \h  \* MERGEFORMAT </w:instrText>
      </w:r>
      <w:r w:rsidRPr="00EB7F1E">
        <w:rPr>
          <w:rFonts w:asciiTheme="minorHAnsi" w:hAnsiTheme="minorHAnsi" w:cstheme="minorHAnsi"/>
          <w:bCs/>
          <w:iCs/>
        </w:rPr>
      </w:r>
      <w:r w:rsidRPr="00EB7F1E">
        <w:rPr>
          <w:rFonts w:asciiTheme="minorHAnsi" w:hAnsiTheme="minorHAnsi" w:cstheme="minorHAnsi"/>
          <w:bCs/>
          <w:iCs/>
        </w:rPr>
        <w:fldChar w:fldCharType="separate"/>
      </w:r>
      <w:r>
        <w:rPr>
          <w:rFonts w:asciiTheme="minorHAnsi" w:hAnsiTheme="minorHAnsi" w:cstheme="minorHAnsi"/>
          <w:bCs/>
          <w:iCs/>
        </w:rPr>
        <w:t>3.1.6</w:t>
      </w:r>
      <w:r w:rsidRPr="00EB7F1E">
        <w:rPr>
          <w:rFonts w:asciiTheme="minorHAnsi" w:hAnsiTheme="minorHAnsi" w:cstheme="minorHAnsi"/>
          <w:bCs/>
          <w:iCs/>
        </w:rPr>
        <w:fldChar w:fldCharType="end"/>
      </w:r>
      <w:r w:rsidRPr="007809F4">
        <w:rPr>
          <w:rFonts w:asciiTheme="minorHAnsi" w:hAnsiTheme="minorHAnsi" w:cstheme="minorHAnsi"/>
          <w:bCs/>
          <w:iCs/>
        </w:rPr>
        <w:t xml:space="preserve"> </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REF _Ref492798349 \h  \* MERGEFORMAT </w:instrText>
      </w:r>
      <w:r w:rsidRPr="00EB7F1E">
        <w:rPr>
          <w:rFonts w:asciiTheme="minorHAnsi" w:hAnsiTheme="minorHAnsi" w:cstheme="minorHAnsi"/>
          <w:bCs/>
          <w:iCs/>
        </w:rPr>
      </w:r>
      <w:r w:rsidRPr="00EB7F1E">
        <w:rPr>
          <w:rFonts w:asciiTheme="minorHAnsi" w:hAnsiTheme="minorHAnsi" w:cstheme="minorHAnsi"/>
          <w:bCs/>
          <w:iCs/>
        </w:rPr>
        <w:fldChar w:fldCharType="separate"/>
      </w:r>
      <w:r w:rsidRPr="00EB7F1E">
        <w:rPr>
          <w:rFonts w:asciiTheme="minorHAnsi" w:hAnsiTheme="minorHAnsi" w:cstheme="minorHAnsi"/>
          <w:bCs/>
          <w:iCs/>
        </w:rPr>
        <w:t>Hearsay assertions about an offender’s state of mind</w:t>
      </w:r>
      <w:r w:rsidRPr="00EB7F1E">
        <w:rPr>
          <w:rFonts w:asciiTheme="minorHAnsi" w:hAnsiTheme="minorHAnsi" w:cstheme="minorHAnsi"/>
          <w:bCs/>
          <w:iCs/>
        </w:rPr>
        <w:fldChar w:fldCharType="end"/>
      </w:r>
      <w:r w:rsidRPr="007809F4">
        <w:rPr>
          <w:rFonts w:asciiTheme="minorHAnsi" w:hAnsiTheme="minorHAnsi" w:cstheme="minorHAnsi"/>
          <w:bCs/>
          <w:iCs/>
        </w:rPr>
        <w:t>”.</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"R v McLeod (2007) 16 VR 682" </w:instrText>
      </w:r>
      <w:r w:rsidRPr="00EB7F1E">
        <w:rPr>
          <w:rFonts w:asciiTheme="minorHAnsi" w:hAnsiTheme="minorHAnsi" w:cstheme="minorHAnsi"/>
          <w:bCs/>
          <w:iCs/>
        </w:rPr>
        <w:fldChar w:fldCharType="end"/>
      </w:r>
    </w:p>
  </w:footnote>
  <w:footnote w:id="973">
    <w:p w14:paraId="6B0AAD4B" w14:textId="4645F853" w:rsidR="00D44BCF" w:rsidRPr="007809F4" w:rsidRDefault="00D44BCF">
      <w:pPr>
        <w:pStyle w:val="FootnoteText"/>
        <w:ind w:left="426" w:hanging="426"/>
        <w:jc w:val="both"/>
        <w:rPr>
          <w:rFonts w:asciiTheme="minorHAnsi" w:hAnsiTheme="minorHAnsi" w:cstheme="minorHAnsi"/>
          <w:bCs/>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The importance of the prosecutor objecting to such evidence is illustrated by </w:t>
      </w:r>
      <w:r w:rsidRPr="007809F4">
        <w:rPr>
          <w:rFonts w:asciiTheme="minorHAnsi" w:hAnsiTheme="minorHAnsi" w:cstheme="minorHAnsi"/>
          <w:bCs/>
          <w:i/>
          <w:iCs/>
        </w:rPr>
        <w:t>Van Zwam v R</w:t>
      </w:r>
      <w:r w:rsidRPr="007809F4">
        <w:rPr>
          <w:rFonts w:asciiTheme="minorHAnsi" w:hAnsiTheme="minorHAnsi" w:cstheme="minorHAnsi"/>
          <w:bCs/>
          <w:iCs/>
        </w:rPr>
        <w:t xml:space="preserve"> [2017] NSWCCA 127</w:t>
      </w:r>
      <w:r w:rsidRPr="00EB7F1E">
        <w:rPr>
          <w:rFonts w:asciiTheme="minorHAnsi" w:hAnsiTheme="minorHAnsi" w:cstheme="minorHAnsi"/>
          <w:bCs/>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bCs/>
          <w:i/>
          <w:iCs/>
        </w:rPr>
        <w:instrText>Van Zwam v R</w:instrText>
      </w:r>
      <w:r w:rsidRPr="007809F4">
        <w:rPr>
          <w:rFonts w:asciiTheme="minorHAnsi" w:hAnsiTheme="minorHAnsi" w:cstheme="minorHAnsi"/>
          <w:bCs/>
          <w:iCs/>
        </w:rPr>
        <w:instrText xml:space="preserve"> [2017] NSWCCA 127</w:instrText>
      </w:r>
      <w:r w:rsidRPr="00EB7F1E">
        <w:rPr>
          <w:rFonts w:asciiTheme="minorHAnsi" w:hAnsiTheme="minorHAnsi" w:cstheme="minorHAnsi"/>
        </w:rPr>
        <w:instrText xml:space="preserve">" \s "Van Zwam v R [2017] NSWCCA 127" \c 1 </w:instrText>
      </w:r>
      <w:r w:rsidRPr="00EB7F1E">
        <w:rPr>
          <w:rFonts w:asciiTheme="minorHAnsi" w:hAnsiTheme="minorHAnsi" w:cstheme="minorHAnsi"/>
          <w:bCs/>
          <w:iCs/>
        </w:rPr>
        <w:fldChar w:fldCharType="end"/>
      </w:r>
      <w:r w:rsidRPr="007809F4">
        <w:rPr>
          <w:rFonts w:asciiTheme="minorHAnsi" w:hAnsiTheme="minorHAnsi" w:cstheme="minorHAnsi"/>
          <w:bCs/>
          <w:iCs/>
        </w:rPr>
        <w:t xml:space="preserve"> (a case involving a federal offence), in which it was held (by majority) that the sentencing judge was not entitled to disregard entirely evidence in an affidavit by the offender, when the prosecutor neither objected to its reception nor sought to cross-examine the offender.  In </w:t>
      </w:r>
      <w:r w:rsidRPr="007809F4">
        <w:rPr>
          <w:rFonts w:asciiTheme="minorHAnsi" w:hAnsiTheme="minorHAnsi" w:cstheme="minorHAnsi"/>
          <w:bCs/>
          <w:i/>
          <w:iCs/>
        </w:rPr>
        <w:t>Imbornone v R</w:t>
      </w:r>
      <w:r w:rsidRPr="007809F4">
        <w:rPr>
          <w:rFonts w:asciiTheme="minorHAnsi" w:hAnsiTheme="minorHAnsi" w:cstheme="minorHAnsi"/>
          <w:bCs/>
          <w:iCs/>
        </w:rPr>
        <w:t xml:space="preserve"> [2017] NSWCCA 144</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TA \s "Imbornone v R [2017] NSWCCA 144" </w:instrText>
      </w:r>
      <w:r w:rsidRPr="00EB7F1E">
        <w:rPr>
          <w:rFonts w:asciiTheme="minorHAnsi" w:hAnsiTheme="minorHAnsi" w:cstheme="minorHAnsi"/>
          <w:bCs/>
          <w:iCs/>
        </w:rPr>
        <w:fldChar w:fldCharType="end"/>
      </w:r>
      <w:r w:rsidRPr="007809F4">
        <w:rPr>
          <w:rFonts w:asciiTheme="minorHAnsi" w:hAnsiTheme="minorHAnsi" w:cstheme="minorHAnsi"/>
          <w:bCs/>
          <w:iCs/>
        </w:rPr>
        <w:t xml:space="preserve">, [3]-[9], [57], the Court emphasised that the error in </w:t>
      </w:r>
      <w:r w:rsidRPr="007809F4">
        <w:rPr>
          <w:rFonts w:asciiTheme="minorHAnsi" w:hAnsiTheme="minorHAnsi" w:cstheme="minorHAnsi"/>
          <w:bCs/>
          <w:i/>
          <w:iCs/>
        </w:rPr>
        <w:t>Van Zwam</w:t>
      </w:r>
      <w:r w:rsidRPr="007809F4">
        <w:rPr>
          <w:rFonts w:asciiTheme="minorHAnsi" w:hAnsiTheme="minorHAnsi" w:cstheme="minorHAnsi"/>
          <w:bCs/>
          <w:iCs/>
        </w:rPr>
        <w:t xml:space="preserve"> was that the sentencing judge disregarded the affidavit entirely, and that a sentencing court properly may give such evidence (especially when served late) little weight; but the decision in </w:t>
      </w:r>
      <w:r w:rsidRPr="007809F4">
        <w:rPr>
          <w:rFonts w:asciiTheme="minorHAnsi" w:hAnsiTheme="minorHAnsi" w:cstheme="minorHAnsi"/>
          <w:bCs/>
          <w:i/>
          <w:iCs/>
        </w:rPr>
        <w:t>Van Zwam</w:t>
      </w:r>
      <w:r w:rsidRPr="007809F4">
        <w:rPr>
          <w:rFonts w:asciiTheme="minorHAnsi" w:hAnsiTheme="minorHAnsi" w:cstheme="minorHAnsi"/>
          <w:bCs/>
          <w:iCs/>
        </w:rPr>
        <w:t xml:space="preserve"> highlights the need for prosecutors to be effective contradictors in plea hearings.    </w:t>
      </w:r>
      <w:r w:rsidRPr="007809F4">
        <w:rPr>
          <w:rFonts w:asciiTheme="minorHAnsi" w:hAnsiTheme="minorHAnsi" w:cstheme="minorHAnsi"/>
        </w:rPr>
        <w:t xml:space="preserve">See also </w:t>
      </w:r>
      <w:r w:rsidRPr="007809F4">
        <w:rPr>
          <w:rFonts w:asciiTheme="minorHAnsi" w:hAnsiTheme="minorHAnsi" w:cstheme="minorHAnsi"/>
          <w:i/>
        </w:rPr>
        <w:t>R</w:t>
      </w:r>
      <w:r w:rsidRPr="007809F4">
        <w:rPr>
          <w:rFonts w:asciiTheme="minorHAnsi" w:hAnsiTheme="minorHAnsi" w:cstheme="minorHAnsi"/>
        </w:rPr>
        <w:t xml:space="preserve"> v </w:t>
      </w:r>
      <w:r w:rsidRPr="007809F4">
        <w:rPr>
          <w:rFonts w:asciiTheme="minorHAnsi" w:hAnsiTheme="minorHAnsi" w:cstheme="minorHAnsi"/>
          <w:i/>
        </w:rPr>
        <w:t>Succarieh</w:t>
      </w:r>
      <w:r w:rsidRPr="007809F4">
        <w:rPr>
          <w:rFonts w:asciiTheme="minorHAnsi" w:hAnsiTheme="minorHAnsi" w:cstheme="minorHAnsi"/>
        </w:rPr>
        <w:t xml:space="preserve"> [2017] QCA 85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w:instrText>
      </w:r>
      <w:r w:rsidRPr="007809F4">
        <w:rPr>
          <w:rFonts w:asciiTheme="minorHAnsi" w:hAnsiTheme="minorHAnsi" w:cstheme="minorHAnsi"/>
        </w:rPr>
        <w:instrText xml:space="preserve"> v </w:instrText>
      </w:r>
      <w:r w:rsidRPr="007809F4">
        <w:rPr>
          <w:rFonts w:asciiTheme="minorHAnsi" w:hAnsiTheme="minorHAnsi" w:cstheme="minorHAnsi"/>
          <w:i/>
        </w:rPr>
        <w:instrText>Succarieh</w:instrText>
      </w:r>
      <w:r w:rsidRPr="007809F4">
        <w:rPr>
          <w:rFonts w:asciiTheme="minorHAnsi" w:hAnsiTheme="minorHAnsi" w:cstheme="minorHAnsi"/>
        </w:rPr>
        <w:instrText xml:space="preserve"> [2017] QCA 85</w:instrText>
      </w:r>
      <w:r w:rsidRPr="00EB7F1E">
        <w:rPr>
          <w:rFonts w:asciiTheme="minorHAnsi" w:hAnsiTheme="minorHAnsi" w:cstheme="minorHAnsi"/>
        </w:rPr>
        <w:instrText xml:space="preserve">" \s "R v Succarieh [2017] QCA 85" \c 1 </w:instrText>
      </w:r>
      <w:r w:rsidRPr="00EB7F1E">
        <w:rPr>
          <w:rFonts w:asciiTheme="minorHAnsi" w:hAnsiTheme="minorHAnsi" w:cstheme="minorHAnsi"/>
        </w:rPr>
        <w:fldChar w:fldCharType="end"/>
      </w:r>
      <w:r w:rsidRPr="007809F4">
        <w:rPr>
          <w:rFonts w:asciiTheme="minorHAnsi" w:hAnsiTheme="minorHAnsi" w:cstheme="minorHAnsi"/>
        </w:rPr>
        <w:t>, [104]-[124].</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"R v McLeod (2007) 16 VR 682" </w:instrText>
      </w:r>
      <w:r w:rsidRPr="00EB7F1E">
        <w:rPr>
          <w:rFonts w:asciiTheme="minorHAnsi" w:hAnsiTheme="minorHAnsi" w:cstheme="minorHAnsi"/>
          <w:bCs/>
          <w:iCs/>
        </w:rPr>
        <w:fldChar w:fldCharType="end"/>
      </w:r>
    </w:p>
  </w:footnote>
  <w:footnote w:id="974">
    <w:p w14:paraId="532667DA" w14:textId="05545CE6" w:rsidR="00D44BCF" w:rsidRPr="007809F4" w:rsidRDefault="00D44BCF">
      <w:pPr>
        <w:pStyle w:val="FootnoteText"/>
        <w:ind w:left="426" w:hanging="426"/>
        <w:jc w:val="both"/>
        <w:rPr>
          <w:rFonts w:asciiTheme="minorHAnsi" w:hAnsiTheme="minorHAnsi" w:cstheme="minorHAnsi"/>
          <w:bCs/>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Cs/>
        </w:rPr>
        <w:t xml:space="preserve">See the summary of relevant principles in </w:t>
      </w:r>
      <w:r w:rsidRPr="007809F4">
        <w:rPr>
          <w:rFonts w:asciiTheme="minorHAnsi" w:hAnsiTheme="minorHAnsi" w:cstheme="minorHAnsi"/>
          <w:bCs/>
          <w:i/>
          <w:iCs/>
        </w:rPr>
        <w:t>Imbornone v R</w:t>
      </w:r>
      <w:r w:rsidRPr="007809F4">
        <w:rPr>
          <w:rFonts w:asciiTheme="minorHAnsi" w:hAnsiTheme="minorHAnsi" w:cstheme="minorHAnsi"/>
          <w:bCs/>
          <w:iCs/>
        </w:rPr>
        <w:t xml:space="preserve"> [2017] NSWCCA 144</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TA \s "Imbornone v R [2017] NSWCCA 144" </w:instrText>
      </w:r>
      <w:r w:rsidRPr="00EB7F1E">
        <w:rPr>
          <w:rFonts w:asciiTheme="minorHAnsi" w:hAnsiTheme="minorHAnsi" w:cstheme="minorHAnsi"/>
          <w:bCs/>
          <w:iCs/>
        </w:rPr>
        <w:fldChar w:fldCharType="end"/>
      </w:r>
      <w:r w:rsidRPr="007809F4">
        <w:rPr>
          <w:rFonts w:asciiTheme="minorHAnsi" w:hAnsiTheme="minorHAnsi" w:cstheme="minorHAnsi"/>
          <w:bCs/>
          <w:iCs/>
        </w:rPr>
        <w:t>, [57].</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"R v McLeod (2007) 16 VR 682" </w:instrText>
      </w:r>
      <w:r w:rsidRPr="00EB7F1E">
        <w:rPr>
          <w:rFonts w:asciiTheme="minorHAnsi" w:hAnsiTheme="minorHAnsi" w:cstheme="minorHAnsi"/>
          <w:bCs/>
          <w:iCs/>
        </w:rPr>
        <w:fldChar w:fldCharType="end"/>
      </w:r>
    </w:p>
  </w:footnote>
  <w:footnote w:id="975">
    <w:p w14:paraId="3477CAF9" w14:textId="0E5EEF2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Barbaro v R</w:t>
      </w:r>
      <w:r w:rsidRPr="007809F4">
        <w:rPr>
          <w:rFonts w:asciiTheme="minorHAnsi" w:hAnsiTheme="minorHAnsi" w:cstheme="minorHAnsi"/>
        </w:rPr>
        <w:t xml:space="preserve"> (2014) 253 CLR 58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(2014) 253 CLR 58" </w:instrText>
      </w:r>
      <w:r w:rsidRPr="00EB7F1E">
        <w:rPr>
          <w:rFonts w:asciiTheme="minorHAnsi" w:hAnsiTheme="minorHAnsi" w:cstheme="minorHAnsi"/>
        </w:rPr>
        <w:fldChar w:fldCharType="end"/>
      </w:r>
      <w:r w:rsidRPr="007809F4">
        <w:rPr>
          <w:rFonts w:asciiTheme="minorHAnsi" w:hAnsiTheme="minorHAnsi" w:cstheme="minorHAnsi"/>
        </w:rPr>
        <w:t>, [39].</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76">
    <w:p w14:paraId="4888440D" w14:textId="3890BA9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Tait</w:t>
      </w:r>
      <w:r w:rsidRPr="007809F4">
        <w:rPr>
          <w:rFonts w:asciiTheme="minorHAnsi" w:hAnsiTheme="minorHAnsi" w:cstheme="minorHAnsi"/>
        </w:rPr>
        <w:t xml:space="preserve"> (1979) 24 ALR 473</w:t>
      </w:r>
      <w:r w:rsidRPr="00EB7F1E">
        <w:rPr>
          <w:rFonts w:asciiTheme="minorHAnsi" w:hAnsiTheme="minorHAnsi" w:cstheme="minorHAnsi"/>
        </w:rPr>
        <w:fldChar w:fldCharType="begin"/>
      </w:r>
      <w:r w:rsidRPr="007809F4">
        <w:rPr>
          <w:rFonts w:asciiTheme="minorHAnsi" w:hAnsiTheme="minorHAnsi" w:cstheme="minorHAnsi"/>
        </w:rPr>
        <w:instrText xml:space="preserve"> TA \s "R v Tait (1979) 24 ALR 473" </w:instrText>
      </w:r>
      <w:r w:rsidRPr="00EB7F1E">
        <w:rPr>
          <w:rFonts w:asciiTheme="minorHAnsi" w:hAnsiTheme="minorHAnsi" w:cstheme="minorHAnsi"/>
        </w:rPr>
        <w:fldChar w:fldCharType="end"/>
      </w:r>
      <w:r w:rsidRPr="007809F4">
        <w:rPr>
          <w:rFonts w:asciiTheme="minorHAnsi" w:hAnsiTheme="minorHAnsi" w:cstheme="minorHAnsi"/>
        </w:rPr>
        <w:t xml:space="preserve">, 477; </w:t>
      </w:r>
      <w:r w:rsidRPr="007809F4">
        <w:rPr>
          <w:rFonts w:asciiTheme="minorHAnsi" w:hAnsiTheme="minorHAnsi" w:cstheme="minorHAnsi"/>
          <w:i/>
        </w:rPr>
        <w:t>CMB v Attorney-General (NSW)</w:t>
      </w:r>
      <w:r w:rsidRPr="007809F4">
        <w:rPr>
          <w:rFonts w:asciiTheme="minorHAnsi" w:hAnsiTheme="minorHAnsi" w:cstheme="minorHAnsi"/>
        </w:rPr>
        <w:t xml:space="preserve"> (2015) 256 CLR 356</w:t>
      </w:r>
      <w:r w:rsidRPr="00EB7F1E">
        <w:rPr>
          <w:rFonts w:asciiTheme="minorHAnsi" w:hAnsiTheme="minorHAnsi" w:cstheme="minorHAnsi"/>
        </w:rPr>
        <w:fldChar w:fldCharType="begin"/>
      </w:r>
      <w:r w:rsidRPr="007809F4">
        <w:rPr>
          <w:rFonts w:asciiTheme="minorHAnsi" w:hAnsiTheme="minorHAnsi" w:cstheme="minorHAnsi"/>
        </w:rPr>
        <w:instrText xml:space="preserve"> TA \s "CMB v Attorney-General (NSW) (2015) 256 CLR 356" </w:instrText>
      </w:r>
      <w:r w:rsidRPr="00EB7F1E">
        <w:rPr>
          <w:rFonts w:asciiTheme="minorHAnsi" w:hAnsiTheme="minorHAnsi" w:cstheme="minorHAnsi"/>
        </w:rPr>
        <w:fldChar w:fldCharType="end"/>
      </w:r>
      <w:r w:rsidRPr="007809F4">
        <w:rPr>
          <w:rFonts w:asciiTheme="minorHAnsi" w:hAnsiTheme="minorHAnsi" w:cstheme="minorHAnsi"/>
        </w:rPr>
        <w:t xml:space="preserve">, [38].  This duty is a corollary of the conferral of appeal rights on the prosecution: </w:t>
      </w:r>
      <w:r w:rsidRPr="007809F4">
        <w:rPr>
          <w:rFonts w:asciiTheme="minorHAnsi" w:hAnsiTheme="minorHAnsi" w:cstheme="minorHAnsi"/>
          <w:i/>
        </w:rPr>
        <w:t>R v Tait</w:t>
      </w:r>
      <w:r w:rsidRPr="007809F4">
        <w:rPr>
          <w:rFonts w:asciiTheme="minorHAnsi" w:hAnsiTheme="minorHAnsi" w:cstheme="minorHAnsi"/>
        </w:rPr>
        <w:t xml:space="preserve"> (1979) 24 ALR 473</w:t>
      </w:r>
      <w:r w:rsidRPr="00EB7F1E">
        <w:rPr>
          <w:rFonts w:asciiTheme="minorHAnsi" w:hAnsiTheme="minorHAnsi" w:cstheme="minorHAnsi"/>
        </w:rPr>
        <w:fldChar w:fldCharType="begin"/>
      </w:r>
      <w:r w:rsidRPr="00EB7F1E">
        <w:rPr>
          <w:rFonts w:asciiTheme="minorHAnsi" w:hAnsiTheme="minorHAnsi" w:cstheme="minorHAnsi"/>
        </w:rPr>
        <w:instrText xml:space="preserve"> TA \s "R v Tait (1979) 24 ALR 473" </w:instrText>
      </w:r>
      <w:r w:rsidRPr="00EB7F1E">
        <w:rPr>
          <w:rFonts w:asciiTheme="minorHAnsi" w:hAnsiTheme="minorHAnsi" w:cstheme="minorHAnsi"/>
        </w:rPr>
        <w:fldChar w:fldCharType="end"/>
      </w:r>
      <w:r w:rsidRPr="007809F4">
        <w:rPr>
          <w:rFonts w:asciiTheme="minorHAnsi" w:hAnsiTheme="minorHAnsi" w:cstheme="minorHAnsi"/>
        </w:rPr>
        <w:t xml:space="preserve">, 477; </w:t>
      </w:r>
      <w:r w:rsidRPr="007809F4">
        <w:rPr>
          <w:rFonts w:asciiTheme="minorHAnsi" w:hAnsiTheme="minorHAnsi" w:cstheme="minorHAnsi"/>
          <w:i/>
        </w:rPr>
        <w:t>DPP v Bulfin</w:t>
      </w:r>
      <w:r w:rsidRPr="007809F4">
        <w:rPr>
          <w:rFonts w:asciiTheme="minorHAnsi" w:hAnsiTheme="minorHAnsi" w:cstheme="minorHAnsi"/>
        </w:rPr>
        <w:t xml:space="preserve"> [1998] 4 VR 114</w:t>
      </w:r>
      <w:r w:rsidRPr="00EB7F1E">
        <w:rPr>
          <w:rFonts w:asciiTheme="minorHAnsi" w:hAnsiTheme="minorHAnsi" w:cstheme="minorHAnsi"/>
        </w:rPr>
        <w:fldChar w:fldCharType="begin"/>
      </w:r>
      <w:r w:rsidRPr="007809F4">
        <w:rPr>
          <w:rFonts w:asciiTheme="minorHAnsi" w:hAnsiTheme="minorHAnsi" w:cstheme="minorHAnsi"/>
        </w:rPr>
        <w:instrText xml:space="preserve"> TA \s "DPP v Bulfin [1998] 4 VR 114" </w:instrText>
      </w:r>
      <w:r w:rsidRPr="00EB7F1E">
        <w:rPr>
          <w:rFonts w:asciiTheme="minorHAnsi" w:hAnsiTheme="minorHAnsi" w:cstheme="minorHAnsi"/>
        </w:rPr>
        <w:fldChar w:fldCharType="end"/>
      </w:r>
      <w:r w:rsidRPr="007809F4">
        <w:rPr>
          <w:rFonts w:asciiTheme="minorHAnsi" w:hAnsiTheme="minorHAnsi" w:cstheme="minorHAnsi"/>
        </w:rPr>
        <w:t>, 134.  A material failure to fulfil the duty may lead an appellate court to dismiss a prosecution appeal, despite error being shown.</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77">
    <w:p w14:paraId="2EA783C9" w14:textId="6EE23AD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House v R </w:t>
      </w:r>
      <w:r w:rsidRPr="00EB7F1E">
        <w:rPr>
          <w:rFonts w:asciiTheme="minorHAnsi" w:hAnsiTheme="minorHAnsi" w:cstheme="minorHAnsi"/>
        </w:rPr>
        <w:t>(</w:t>
      </w:r>
      <w:r w:rsidRPr="007809F4">
        <w:rPr>
          <w:rFonts w:asciiTheme="minorHAnsi" w:hAnsiTheme="minorHAnsi" w:cstheme="minorHAnsi"/>
        </w:rPr>
        <w:t>1936) 55 CLR 499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House v R </w:instrText>
      </w:r>
      <w:r w:rsidRPr="00EB7F1E">
        <w:rPr>
          <w:rFonts w:asciiTheme="minorHAnsi" w:hAnsiTheme="minorHAnsi" w:cstheme="minorHAnsi"/>
        </w:rPr>
        <w:instrText>(</w:instrText>
      </w:r>
      <w:r w:rsidRPr="007809F4">
        <w:rPr>
          <w:rFonts w:asciiTheme="minorHAnsi" w:hAnsiTheme="minorHAnsi" w:cstheme="minorHAnsi"/>
        </w:rPr>
        <w:instrText>1936) 55 CLR 499</w:instrText>
      </w:r>
      <w:r w:rsidRPr="00EB7F1E">
        <w:rPr>
          <w:rFonts w:asciiTheme="minorHAnsi" w:hAnsiTheme="minorHAnsi" w:cstheme="minorHAnsi"/>
        </w:rPr>
        <w:instrText xml:space="preserve">" \s "House v R (1936) 55 CLR 499" \c 1 </w:instrText>
      </w:r>
      <w:r w:rsidRPr="00EB7F1E">
        <w:rPr>
          <w:rFonts w:asciiTheme="minorHAnsi" w:hAnsiTheme="minorHAnsi" w:cstheme="minorHAnsi"/>
        </w:rPr>
        <w:fldChar w:fldCharType="end"/>
      </w:r>
      <w:r w:rsidRPr="007809F4">
        <w:rPr>
          <w:rFonts w:asciiTheme="minorHAnsi" w:hAnsiTheme="minorHAnsi" w:cstheme="minorHAnsi"/>
        </w:rPr>
        <w:t>, 505.</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78">
    <w:p w14:paraId="6B77806C" w14:textId="0961613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Travers</w:t>
      </w:r>
      <w:r w:rsidRPr="007809F4">
        <w:rPr>
          <w:rFonts w:asciiTheme="minorHAnsi" w:hAnsiTheme="minorHAnsi" w:cstheme="minorHAnsi"/>
        </w:rPr>
        <w:t xml:space="preserve"> (1983) 34 SASR 112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Travers</w:instrText>
      </w:r>
      <w:r w:rsidRPr="007809F4">
        <w:rPr>
          <w:rFonts w:asciiTheme="minorHAnsi" w:hAnsiTheme="minorHAnsi" w:cstheme="minorHAnsi"/>
        </w:rPr>
        <w:instrText xml:space="preserve"> (1983) 34 SASR 112</w:instrText>
      </w:r>
      <w:r w:rsidRPr="00EB7F1E">
        <w:rPr>
          <w:rFonts w:asciiTheme="minorHAnsi" w:hAnsiTheme="minorHAnsi" w:cstheme="minorHAnsi"/>
        </w:rPr>
        <w:instrText xml:space="preserve">" \s "R v Travers (1983) 34 SASR 112" \c 1 </w:instrText>
      </w:r>
      <w:r w:rsidRPr="00EB7F1E">
        <w:rPr>
          <w:rFonts w:asciiTheme="minorHAnsi" w:hAnsiTheme="minorHAnsi" w:cstheme="minorHAnsi"/>
        </w:rPr>
        <w:fldChar w:fldCharType="end"/>
      </w:r>
      <w:r w:rsidRPr="007809F4">
        <w:rPr>
          <w:rFonts w:asciiTheme="minorHAnsi" w:hAnsiTheme="minorHAnsi" w:cstheme="minorHAnsi"/>
        </w:rPr>
        <w:t>, 115-6.</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79">
    <w:p w14:paraId="6286973C" w14:textId="3FBE432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Ireland</w:t>
      </w:r>
      <w:r w:rsidRPr="007809F4">
        <w:rPr>
          <w:rFonts w:asciiTheme="minorHAnsi" w:hAnsiTheme="minorHAnsi" w:cstheme="minorHAnsi"/>
        </w:rPr>
        <w:t xml:space="preserve"> (1987) 49 NTR 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Ireland</w:instrText>
      </w:r>
      <w:r w:rsidRPr="007809F4">
        <w:rPr>
          <w:rFonts w:asciiTheme="minorHAnsi" w:hAnsiTheme="minorHAnsi" w:cstheme="minorHAnsi"/>
        </w:rPr>
        <w:instrText xml:space="preserve"> (1987) 49 NTR 10</w:instrText>
      </w:r>
      <w:r w:rsidRPr="00EB7F1E">
        <w:rPr>
          <w:rFonts w:asciiTheme="minorHAnsi" w:hAnsiTheme="minorHAnsi" w:cstheme="minorHAnsi"/>
        </w:rPr>
        <w:instrText xml:space="preserve">" \s "R v Ireland (1987) 49 NTR 10" \c 1 </w:instrText>
      </w:r>
      <w:r w:rsidRPr="00EB7F1E">
        <w:rPr>
          <w:rFonts w:asciiTheme="minorHAnsi" w:hAnsiTheme="minorHAnsi" w:cstheme="minorHAnsi"/>
        </w:rPr>
        <w:fldChar w:fldCharType="end"/>
      </w:r>
      <w:r w:rsidRPr="007809F4">
        <w:rPr>
          <w:rFonts w:asciiTheme="minorHAnsi" w:hAnsiTheme="minorHAnsi" w:cstheme="minorHAnsi"/>
        </w:rPr>
        <w:t>, 21.</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0">
    <w:p w14:paraId="5F4D34F9" w14:textId="3810356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Travers</w:t>
      </w:r>
      <w:r w:rsidRPr="007809F4">
        <w:rPr>
          <w:rFonts w:asciiTheme="minorHAnsi" w:hAnsiTheme="minorHAnsi" w:cstheme="minorHAnsi"/>
        </w:rPr>
        <w:t xml:space="preserve"> (1983) 34 SASR 112</w:t>
      </w:r>
      <w:r w:rsidRPr="00EB7F1E">
        <w:rPr>
          <w:rFonts w:asciiTheme="minorHAnsi" w:hAnsiTheme="minorHAnsi" w:cstheme="minorHAnsi"/>
        </w:rPr>
        <w:fldChar w:fldCharType="begin"/>
      </w:r>
      <w:r w:rsidRPr="007809F4">
        <w:rPr>
          <w:rFonts w:asciiTheme="minorHAnsi" w:hAnsiTheme="minorHAnsi" w:cstheme="minorHAnsi"/>
        </w:rPr>
        <w:instrText xml:space="preserve"> TA \s "R v Travers (1983) 34 SASR 112" </w:instrText>
      </w:r>
      <w:r w:rsidRPr="00EB7F1E">
        <w:rPr>
          <w:rFonts w:asciiTheme="minorHAnsi" w:hAnsiTheme="minorHAnsi" w:cstheme="minorHAnsi"/>
        </w:rPr>
        <w:fldChar w:fldCharType="end"/>
      </w:r>
      <w:r w:rsidRPr="007809F4">
        <w:rPr>
          <w:rFonts w:asciiTheme="minorHAnsi" w:hAnsiTheme="minorHAnsi" w:cstheme="minorHAnsi"/>
        </w:rPr>
        <w:t>, 115-6.</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1">
    <w:p w14:paraId="6064B721" w14:textId="613AD7E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Tait</w:t>
      </w:r>
      <w:r w:rsidRPr="007809F4">
        <w:rPr>
          <w:rFonts w:asciiTheme="minorHAnsi" w:hAnsiTheme="minorHAnsi" w:cstheme="minorHAnsi"/>
        </w:rPr>
        <w:t xml:space="preserve"> (1979) 24 ALR 473</w:t>
      </w:r>
      <w:r w:rsidRPr="00EB7F1E">
        <w:rPr>
          <w:rFonts w:asciiTheme="minorHAnsi" w:hAnsiTheme="minorHAnsi" w:cstheme="minorHAnsi"/>
        </w:rPr>
        <w:fldChar w:fldCharType="begin"/>
      </w:r>
      <w:r w:rsidRPr="007809F4">
        <w:rPr>
          <w:rFonts w:asciiTheme="minorHAnsi" w:hAnsiTheme="minorHAnsi" w:cstheme="minorHAnsi"/>
        </w:rPr>
        <w:instrText xml:space="preserve"> TA \s "R v Tait (1979) 24 ALR 473" </w:instrText>
      </w:r>
      <w:r w:rsidRPr="00EB7F1E">
        <w:rPr>
          <w:rFonts w:asciiTheme="minorHAnsi" w:hAnsiTheme="minorHAnsi" w:cstheme="minorHAnsi"/>
        </w:rPr>
        <w:fldChar w:fldCharType="end"/>
      </w:r>
      <w:r w:rsidRPr="007809F4">
        <w:rPr>
          <w:rFonts w:asciiTheme="minorHAnsi" w:hAnsiTheme="minorHAnsi" w:cstheme="minorHAnsi"/>
        </w:rPr>
        <w:t>, 477.</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2">
    <w:p w14:paraId="12D26121" w14:textId="107CA7B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Matthews v R</w:t>
      </w:r>
      <w:r w:rsidRPr="007809F4">
        <w:rPr>
          <w:rFonts w:asciiTheme="minorHAnsi" w:hAnsiTheme="minorHAnsi" w:cstheme="minorHAnsi"/>
        </w:rPr>
        <w:t xml:space="preserve"> (2014) 44 VR 280</w:t>
      </w:r>
      <w:r w:rsidRPr="00EB7F1E">
        <w:rPr>
          <w:rFonts w:asciiTheme="minorHAnsi" w:hAnsiTheme="minorHAnsi" w:cstheme="minorHAnsi"/>
        </w:rPr>
        <w:fldChar w:fldCharType="begin"/>
      </w:r>
      <w:r w:rsidRPr="007809F4">
        <w:rPr>
          <w:rFonts w:asciiTheme="minorHAnsi" w:hAnsiTheme="minorHAnsi" w:cstheme="minorHAnsi"/>
        </w:rPr>
        <w:instrText xml:space="preserve"> TA \s "Matthews v R (2014) 44 VR 280"</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t xml:space="preserve"> </w:t>
      </w:r>
      <w:r w:rsidRPr="007809F4">
        <w:rPr>
          <w:rFonts w:asciiTheme="minorHAnsi" w:hAnsiTheme="minorHAnsi" w:cstheme="minorHAnsi"/>
        </w:rPr>
        <w:t>[153] (Priest JA and Lasry AJA).</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3">
    <w:p w14:paraId="74333000" w14:textId="2218783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Travers</w:t>
      </w:r>
      <w:r w:rsidRPr="007809F4">
        <w:rPr>
          <w:rFonts w:asciiTheme="minorHAnsi" w:hAnsiTheme="minorHAnsi" w:cstheme="minorHAnsi"/>
        </w:rPr>
        <w:t xml:space="preserve"> (1983) 34 SASR 112</w:t>
      </w:r>
      <w:r w:rsidRPr="00EB7F1E">
        <w:rPr>
          <w:rFonts w:asciiTheme="minorHAnsi" w:hAnsiTheme="minorHAnsi" w:cstheme="minorHAnsi"/>
        </w:rPr>
        <w:fldChar w:fldCharType="begin"/>
      </w:r>
      <w:r w:rsidRPr="007809F4">
        <w:rPr>
          <w:rFonts w:asciiTheme="minorHAnsi" w:hAnsiTheme="minorHAnsi" w:cstheme="minorHAnsi"/>
        </w:rPr>
        <w:instrText xml:space="preserve"> TA \s "R v Travers (1983) 34 SASR 112" </w:instrText>
      </w:r>
      <w:r w:rsidRPr="00EB7F1E">
        <w:rPr>
          <w:rFonts w:asciiTheme="minorHAnsi" w:hAnsiTheme="minorHAnsi" w:cstheme="minorHAnsi"/>
        </w:rPr>
        <w:fldChar w:fldCharType="end"/>
      </w:r>
      <w:r w:rsidRPr="007809F4">
        <w:rPr>
          <w:rFonts w:asciiTheme="minorHAnsi" w:hAnsiTheme="minorHAnsi" w:cstheme="minorHAnsi"/>
        </w:rPr>
        <w:t>, 115-6.</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4">
    <w:p w14:paraId="29415F8A" w14:textId="193BE2B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Ogden</w:t>
      </w:r>
      <w:r w:rsidRPr="007809F4">
        <w:rPr>
          <w:rFonts w:asciiTheme="minorHAnsi" w:hAnsiTheme="minorHAnsi" w:cstheme="minorHAnsi"/>
        </w:rPr>
        <w:t xml:space="preserve"> [2014] QCA 89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Ogden</w:instrText>
      </w:r>
      <w:r w:rsidRPr="007809F4">
        <w:rPr>
          <w:rFonts w:asciiTheme="minorHAnsi" w:hAnsiTheme="minorHAnsi" w:cstheme="minorHAnsi"/>
        </w:rPr>
        <w:instrText xml:space="preserve"> [2014] QCA 89</w:instrText>
      </w:r>
      <w:r w:rsidRPr="00EB7F1E">
        <w:rPr>
          <w:rFonts w:asciiTheme="minorHAnsi" w:hAnsiTheme="minorHAnsi" w:cstheme="minorHAnsi"/>
        </w:rPr>
        <w:instrText xml:space="preserve">" \s "R v Ogden [2014] QCA 89" \c 1 </w:instrText>
      </w:r>
      <w:r w:rsidRPr="00EB7F1E">
        <w:rPr>
          <w:rFonts w:asciiTheme="minorHAnsi" w:hAnsiTheme="minorHAnsi" w:cstheme="minorHAnsi"/>
        </w:rPr>
        <w:fldChar w:fldCharType="end"/>
      </w:r>
      <w:r w:rsidRPr="007809F4">
        <w:rPr>
          <w:rFonts w:asciiTheme="minorHAnsi" w:hAnsiTheme="minorHAnsi" w:cstheme="minorHAnsi"/>
        </w:rPr>
        <w:t xml:space="preserve">, [7]; </w:t>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[179].</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5">
    <w:p w14:paraId="461B6761" w14:textId="297647C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xml:space="preserve">, [24].  In </w:t>
      </w:r>
      <w:r w:rsidRPr="007809F4">
        <w:rPr>
          <w:rFonts w:asciiTheme="minorHAnsi" w:hAnsiTheme="minorHAnsi" w:cstheme="minorHAnsi"/>
          <w:i/>
        </w:rPr>
        <w:t>Pham</w:t>
      </w:r>
      <w:r w:rsidRPr="007809F4">
        <w:rPr>
          <w:rFonts w:asciiTheme="minorHAnsi" w:hAnsiTheme="minorHAnsi" w:cstheme="minorHAnsi"/>
        </w:rPr>
        <w:t xml:space="preserve">, the High Court held that it is an error for a State court sentencing a federal offender to sentence in accordance with the sentencing practices of that State to the exclusion of sentencing practices in other Australian jurisdictions.  However in </w:t>
      </w:r>
      <w:r w:rsidRPr="007809F4">
        <w:rPr>
          <w:rFonts w:asciiTheme="minorHAnsi" w:hAnsiTheme="minorHAnsi" w:cstheme="minorHAnsi"/>
          <w:i/>
        </w:rPr>
        <w:t>R v Nakash</w:t>
      </w:r>
      <w:r w:rsidRPr="007809F4">
        <w:rPr>
          <w:rFonts w:asciiTheme="minorHAnsi" w:hAnsiTheme="minorHAnsi" w:cstheme="minorHAnsi"/>
        </w:rPr>
        <w:t xml:space="preserve"> [2017] NSWCCA 196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Nakash</w:instrText>
      </w:r>
      <w:r w:rsidRPr="007809F4">
        <w:rPr>
          <w:rFonts w:asciiTheme="minorHAnsi" w:hAnsiTheme="minorHAnsi" w:cstheme="minorHAnsi"/>
        </w:rPr>
        <w:instrText xml:space="preserve"> [2017] NSWCCA 196</w:instrText>
      </w:r>
      <w:r w:rsidRPr="00EB7F1E">
        <w:rPr>
          <w:rFonts w:asciiTheme="minorHAnsi" w:hAnsiTheme="minorHAnsi" w:cstheme="minorHAnsi"/>
        </w:rPr>
        <w:instrText xml:space="preserve">" \s "R v Nakash [2017] NSWCCA 196" \c 1 </w:instrText>
      </w:r>
      <w:r w:rsidRPr="00EB7F1E">
        <w:rPr>
          <w:rFonts w:asciiTheme="minorHAnsi" w:hAnsiTheme="minorHAnsi" w:cstheme="minorHAnsi"/>
        </w:rPr>
        <w:fldChar w:fldCharType="end"/>
      </w:r>
      <w:r w:rsidRPr="007809F4">
        <w:rPr>
          <w:rFonts w:asciiTheme="minorHAnsi" w:hAnsiTheme="minorHAnsi" w:cstheme="minorHAnsi"/>
        </w:rPr>
        <w:t xml:space="preserve">, [18], Simpson JA observed that nothing in the judgment of the plurality in </w:t>
      </w:r>
      <w:r w:rsidRPr="007809F4">
        <w:rPr>
          <w:rFonts w:asciiTheme="minorHAnsi" w:hAnsiTheme="minorHAnsi" w:cstheme="minorHAnsi"/>
          <w:i/>
        </w:rPr>
        <w:t>Pham</w:t>
      </w:r>
      <w:r w:rsidRPr="007809F4">
        <w:rPr>
          <w:rFonts w:asciiTheme="minorHAnsi" w:hAnsiTheme="minorHAnsi" w:cstheme="minorHAnsi"/>
        </w:rPr>
        <w:t xml:space="preserve"> prevents reference to sentences imposed in respect of comparable offences under State law, and that such reference may be particularly necessary where there is no relevant pattern of sentencing in respect of the Commonwealth offence.</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6">
    <w:p w14:paraId="27B412F9" w14:textId="3FDFEF6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xml:space="preserve">, [29], [50]; </w:t>
      </w:r>
      <w:r w:rsidRPr="007809F4">
        <w:rPr>
          <w:rFonts w:asciiTheme="minorHAnsi" w:hAnsiTheme="minorHAnsi" w:cstheme="minorHAnsi"/>
          <w:i/>
        </w:rPr>
        <w:t>R v Mitric</w:t>
      </w:r>
      <w:r w:rsidRPr="007809F4">
        <w:rPr>
          <w:rFonts w:asciiTheme="minorHAnsi" w:hAnsiTheme="minorHAnsi" w:cstheme="minorHAnsi"/>
        </w:rPr>
        <w:t xml:space="preserve"> [2017] SASCFC 178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Mitric</w:instrText>
      </w:r>
      <w:r w:rsidRPr="007809F4">
        <w:rPr>
          <w:rFonts w:asciiTheme="minorHAnsi" w:hAnsiTheme="minorHAnsi" w:cstheme="minorHAnsi"/>
        </w:rPr>
        <w:instrText xml:space="preserve"> [2017] SASCFC 178</w:instrText>
      </w:r>
      <w:r w:rsidRPr="00EB7F1E">
        <w:rPr>
          <w:rFonts w:asciiTheme="minorHAnsi" w:hAnsiTheme="minorHAnsi" w:cstheme="minorHAnsi"/>
        </w:rPr>
        <w:instrText xml:space="preserve">" \s "R v Mitric [2017] SASCFC 178" \c 1 </w:instrText>
      </w:r>
      <w:r w:rsidRPr="00EB7F1E">
        <w:rPr>
          <w:rFonts w:asciiTheme="minorHAnsi" w:hAnsiTheme="minorHAnsi" w:cstheme="minorHAnsi"/>
        </w:rPr>
        <w:fldChar w:fldCharType="end"/>
      </w:r>
      <w:r w:rsidRPr="007809F4">
        <w:rPr>
          <w:rFonts w:asciiTheme="minorHAnsi" w:hAnsiTheme="minorHAnsi" w:cstheme="minorHAnsi"/>
        </w:rPr>
        <w:t>, [32];</w:t>
      </w:r>
      <w:r w:rsidRPr="00EB7F1E">
        <w:rPr>
          <w:rStyle w:val="ssleftalign"/>
          <w:rFonts w:asciiTheme="minorHAnsi" w:hAnsiTheme="minorHAnsi" w:cstheme="minorHAnsi"/>
        </w:rPr>
        <w:t xml:space="preserve"> </w:t>
      </w:r>
      <w:r w:rsidRPr="007809F4">
        <w:rPr>
          <w:rFonts w:asciiTheme="minorHAnsi" w:hAnsiTheme="minorHAnsi" w:cstheme="minorHAnsi"/>
          <w:i/>
        </w:rPr>
        <w:t>R v Burtt</w:t>
      </w:r>
      <w:r w:rsidRPr="007809F4">
        <w:rPr>
          <w:rFonts w:asciiTheme="minorHAnsi" w:hAnsiTheme="minorHAnsi" w:cstheme="minorHAnsi"/>
        </w:rPr>
        <w:t xml:space="preserve"> [2018] SASCFC 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Burtt</w:instrText>
      </w:r>
      <w:r w:rsidRPr="007809F4">
        <w:rPr>
          <w:rFonts w:asciiTheme="minorHAnsi" w:hAnsiTheme="minorHAnsi" w:cstheme="minorHAnsi"/>
        </w:rPr>
        <w:instrText xml:space="preserve"> [2018] SASCFC 5</w:instrText>
      </w:r>
      <w:r w:rsidRPr="00EB7F1E">
        <w:rPr>
          <w:rFonts w:asciiTheme="minorHAnsi" w:hAnsiTheme="minorHAnsi" w:cstheme="minorHAnsi"/>
        </w:rPr>
        <w:instrText xml:space="preserve">" \s "R v Burtt [2018] SASCFC 5" \c 1 </w:instrText>
      </w:r>
      <w:r w:rsidRPr="00EB7F1E">
        <w:rPr>
          <w:rFonts w:asciiTheme="minorHAnsi" w:hAnsiTheme="minorHAnsi" w:cstheme="minorHAnsi"/>
        </w:rPr>
        <w:fldChar w:fldCharType="end"/>
      </w:r>
      <w:r w:rsidRPr="007809F4">
        <w:rPr>
          <w:rFonts w:asciiTheme="minorHAnsi" w:hAnsiTheme="minorHAnsi" w:cstheme="minorHAnsi"/>
        </w:rPr>
        <w:t>, [64]-[65].</w:t>
      </w:r>
    </w:p>
  </w:footnote>
  <w:footnote w:id="987">
    <w:p w14:paraId="0ECDF29D" w14:textId="3D716AF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[27].</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8">
    <w:p w14:paraId="2C7C2D18" w14:textId="1703E55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[27].</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89">
    <w:p w14:paraId="3CCD8EFC" w14:textId="5C32C82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xml:space="preserve">, [54]; </w:t>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[29].</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0">
    <w:p w14:paraId="6D03A584" w14:textId="684906B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[27].</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1">
    <w:p w14:paraId="201F3DD8" w14:textId="711F0EB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xml:space="preserve">, [28].  This echoes what was previously said in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[48].</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2">
    <w:p w14:paraId="053E06F9" w14:textId="39AC4BF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 </w:instrText>
      </w:r>
      <w:r w:rsidRPr="00EB7F1E">
        <w:rPr>
          <w:rFonts w:asciiTheme="minorHAnsi" w:hAnsiTheme="minorHAnsi" w:cstheme="minorHAnsi"/>
        </w:rPr>
        <w:fldChar w:fldCharType="end"/>
      </w:r>
      <w:r w:rsidRPr="007809F4">
        <w:rPr>
          <w:rFonts w:asciiTheme="minorHAnsi" w:hAnsiTheme="minorHAnsi" w:cstheme="minorHAnsi"/>
        </w:rPr>
        <w:t xml:space="preserve">, [59] (emphasis in original).  See the analysis in </w:t>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[179].</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3">
    <w:p w14:paraId="1854C43D" w14:textId="21EB6F8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xml:space="preserve">, [179], referring to </w:t>
      </w:r>
      <w:r w:rsidRPr="007809F4">
        <w:rPr>
          <w:rFonts w:asciiTheme="minorHAnsi" w:hAnsiTheme="minorHAnsi" w:cstheme="minorHAnsi"/>
          <w:i/>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 </w:instrText>
      </w:r>
      <w:r w:rsidRPr="00EB7F1E">
        <w:rPr>
          <w:rFonts w:asciiTheme="minorHAnsi" w:hAnsiTheme="minorHAnsi" w:cstheme="minorHAnsi"/>
        </w:rPr>
        <w:fldChar w:fldCharType="end"/>
      </w:r>
      <w:r w:rsidRPr="007809F4">
        <w:rPr>
          <w:rFonts w:asciiTheme="minorHAnsi" w:hAnsiTheme="minorHAnsi" w:cstheme="minorHAnsi"/>
        </w:rPr>
        <w:t>, [59].</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4">
    <w:p w14:paraId="4F2FC82E" w14:textId="6021EF8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xml:space="preserve">, [179].  See also </w:t>
      </w:r>
      <w:r w:rsidRPr="007809F4">
        <w:rPr>
          <w:rFonts w:asciiTheme="minorHAnsi" w:hAnsiTheme="minorHAnsi" w:cstheme="minorHAnsi"/>
          <w:i/>
        </w:rPr>
        <w:t>Noble v R</w:t>
      </w:r>
      <w:r w:rsidRPr="007809F4">
        <w:rPr>
          <w:rFonts w:asciiTheme="minorHAnsi" w:hAnsiTheme="minorHAnsi" w:cstheme="minorHAnsi"/>
        </w:rPr>
        <w:t xml:space="preserve"> [2018] NSWCCA 253</w:t>
      </w:r>
      <w:r w:rsidRPr="00EB7F1E">
        <w:rPr>
          <w:rFonts w:asciiTheme="minorHAnsi" w:hAnsiTheme="minorHAnsi" w:cstheme="minorHAnsi"/>
        </w:rPr>
        <w:fldChar w:fldCharType="begin"/>
      </w:r>
      <w:r w:rsidRPr="007809F4">
        <w:rPr>
          <w:rFonts w:asciiTheme="minorHAnsi" w:hAnsiTheme="minorHAnsi" w:cstheme="minorHAnsi"/>
        </w:rPr>
        <w:instrText xml:space="preserve"> TA \s "Noble v R [2018] NSWCCA 253" </w:instrText>
      </w:r>
      <w:r w:rsidRPr="00EB7F1E">
        <w:rPr>
          <w:rFonts w:asciiTheme="minorHAnsi" w:hAnsiTheme="minorHAnsi" w:cstheme="minorHAnsi"/>
        </w:rPr>
        <w:fldChar w:fldCharType="end"/>
      </w:r>
      <w:r w:rsidRPr="007809F4">
        <w:rPr>
          <w:rFonts w:asciiTheme="minorHAnsi" w:hAnsiTheme="minorHAnsi" w:cstheme="minorHAnsi"/>
        </w:rPr>
        <w:t>, [56].</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5">
    <w:p w14:paraId="1F09621D" w14:textId="10EFAA7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[181].</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6">
    <w:p w14:paraId="216B4010" w14:textId="1E88AD6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[180].</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7">
    <w:p w14:paraId="78437A40" w14:textId="7C6FF19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[182].</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8">
    <w:p w14:paraId="1ACDC0F5" w14:textId="5225A3A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KMD</w:t>
      </w:r>
      <w:r w:rsidRPr="007809F4">
        <w:rPr>
          <w:rFonts w:asciiTheme="minorHAnsi" w:hAnsiTheme="minorHAnsi" w:cstheme="minorHAnsi"/>
        </w:rPr>
        <w:t xml:space="preserve"> [2015] VSCA 255</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KMD [2015] VSCA 255" </w:instrText>
      </w:r>
      <w:r w:rsidRPr="00EB7F1E">
        <w:rPr>
          <w:rFonts w:asciiTheme="minorHAnsi" w:hAnsiTheme="minorHAnsi" w:cstheme="minorHAnsi"/>
        </w:rPr>
        <w:fldChar w:fldCharType="end"/>
      </w:r>
      <w:r w:rsidRPr="007809F4">
        <w:rPr>
          <w:rFonts w:asciiTheme="minorHAnsi" w:hAnsiTheme="minorHAnsi" w:cstheme="minorHAnsi"/>
        </w:rPr>
        <w:t xml:space="preserve">, [54]-[57].  However, care must be taken not to treat the quantity as if it were the chief factor in fixing the sentence: see </w:t>
      </w:r>
      <w:r w:rsidRPr="007809F4">
        <w:rPr>
          <w:rFonts w:asciiTheme="minorHAnsi" w:hAnsiTheme="minorHAnsi" w:cstheme="minorHAnsi"/>
          <w:i/>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 </w:instrText>
      </w:r>
      <w:r w:rsidRPr="00EB7F1E">
        <w:rPr>
          <w:rFonts w:asciiTheme="minorHAnsi" w:hAnsiTheme="minorHAnsi" w:cstheme="minorHAnsi"/>
        </w:rPr>
        <w:fldChar w:fldCharType="end"/>
      </w:r>
      <w:r w:rsidRPr="007809F4">
        <w:rPr>
          <w:rFonts w:asciiTheme="minorHAnsi" w:hAnsiTheme="minorHAnsi" w:cstheme="minorHAnsi"/>
        </w:rPr>
        <w:t>, [67]-[78].</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999">
    <w:p w14:paraId="5FECE246" w14:textId="6D945D7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[186].</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0">
    <w:p w14:paraId="2C9C9FE9" w14:textId="197A9E8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In </w:t>
      </w:r>
      <w:r w:rsidRPr="007809F4">
        <w:rPr>
          <w:rFonts w:asciiTheme="minorHAnsi" w:hAnsiTheme="minorHAnsi" w:cstheme="minorHAnsi"/>
          <w:i/>
        </w:rPr>
        <w:t>Nguyen v R</w:t>
      </w:r>
      <w:r w:rsidRPr="007809F4">
        <w:rPr>
          <w:rFonts w:asciiTheme="minorHAnsi" w:hAnsiTheme="minorHAnsi" w:cstheme="minorHAnsi"/>
        </w:rPr>
        <w:t xml:space="preserve"> [2016] VSCA 198</w:t>
      </w:r>
      <w:r w:rsidRPr="00EB7F1E">
        <w:rPr>
          <w:rFonts w:asciiTheme="minorHAnsi" w:hAnsiTheme="minorHAnsi" w:cstheme="minorHAnsi"/>
        </w:rPr>
        <w:fldChar w:fldCharType="begin"/>
      </w:r>
      <w:r w:rsidRPr="007809F4">
        <w:rPr>
          <w:rFonts w:asciiTheme="minorHAnsi" w:hAnsiTheme="minorHAnsi" w:cstheme="minorHAnsi"/>
        </w:rPr>
        <w:instrText xml:space="preserve"> TA \s "Nguyen v R [2016] VSCA 198" </w:instrText>
      </w:r>
      <w:r w:rsidRPr="00EB7F1E">
        <w:rPr>
          <w:rFonts w:asciiTheme="minorHAnsi" w:hAnsiTheme="minorHAnsi" w:cstheme="minorHAnsi"/>
        </w:rPr>
        <w:fldChar w:fldCharType="end"/>
      </w:r>
      <w:r w:rsidRPr="007809F4">
        <w:rPr>
          <w:rFonts w:asciiTheme="minorHAnsi" w:hAnsiTheme="minorHAnsi" w:cstheme="minorHAnsi"/>
        </w:rPr>
        <w:t>, [73], Redlich JA (with whom Tate and Whelan JJA agreed) observed, “</w:t>
      </w:r>
      <w:r w:rsidRPr="007809F4">
        <w:rPr>
          <w:rFonts w:asciiTheme="minorHAnsi" w:hAnsiTheme="minorHAnsi" w:cstheme="minorHAnsi"/>
          <w:i/>
        </w:rPr>
        <w:t>Cases are likely to be comparable where the objective seriousness of the offender’s conduct is similar to that of the subject offence. … [A]ppellate courts … may seek to identify the applicable range by characterising the objective seriousness of the offence as falling within the low, mid or the high range of seriousness of the offence</w:t>
      </w:r>
      <w:r w:rsidRPr="007809F4">
        <w:rPr>
          <w:rFonts w:asciiTheme="minorHAnsi" w:hAnsiTheme="minorHAnsi" w:cstheme="minorHAnsi"/>
        </w:rPr>
        <w:t xml:space="preserve">”  As to the danger of inappropriate use of such categorisation, see </w:t>
      </w:r>
      <w:r w:rsidRPr="00EB7F1E">
        <w:rPr>
          <w:rFonts w:asciiTheme="minorHAnsi" w:hAnsiTheme="minorHAnsi" w:cstheme="minorHAnsi"/>
          <w:i/>
          <w:iCs/>
        </w:rPr>
        <w:t>DPP v Weybury</w:t>
      </w:r>
      <w:r w:rsidRPr="007809F4">
        <w:rPr>
          <w:rFonts w:asciiTheme="minorHAnsi" w:hAnsiTheme="minorHAnsi" w:cstheme="minorHAnsi"/>
        </w:rPr>
        <w:t xml:space="preserve"> [2018] VSCA 120</w:t>
      </w:r>
      <w:r w:rsidRPr="00EB7F1E">
        <w:rPr>
          <w:rFonts w:asciiTheme="minorHAnsi" w:hAnsiTheme="minorHAnsi" w:cstheme="minorHAnsi"/>
        </w:rPr>
        <w:fldChar w:fldCharType="begin"/>
      </w:r>
      <w:r w:rsidRPr="007809F4">
        <w:rPr>
          <w:rFonts w:asciiTheme="minorHAnsi" w:hAnsiTheme="minorHAnsi" w:cstheme="minorHAnsi"/>
        </w:rPr>
        <w:instrText xml:space="preserve"> TA \s "DPP v Weybury [2018] VSCA 120" </w:instrText>
      </w:r>
      <w:r w:rsidRPr="00EB7F1E">
        <w:rPr>
          <w:rFonts w:asciiTheme="minorHAnsi" w:hAnsiTheme="minorHAnsi" w:cstheme="minorHAnsi"/>
        </w:rPr>
        <w:fldChar w:fldCharType="end"/>
      </w:r>
      <w:r w:rsidRPr="007809F4">
        <w:rPr>
          <w:rFonts w:asciiTheme="minorHAnsi" w:hAnsiTheme="minorHAnsi" w:cstheme="minorHAnsi"/>
        </w:rPr>
        <w:t>, [33]-[34], [54].  See also “</w:t>
      </w:r>
      <w:r w:rsidRPr="00EB7F1E">
        <w:rPr>
          <w:rFonts w:asciiTheme="minorHAnsi" w:hAnsiTheme="minorHAnsi" w:cstheme="minorHAnsi"/>
        </w:rPr>
        <w:fldChar w:fldCharType="begin"/>
      </w:r>
      <w:r w:rsidRPr="007809F4">
        <w:rPr>
          <w:rFonts w:asciiTheme="minorHAnsi" w:hAnsiTheme="minorHAnsi" w:cstheme="minorHAnsi"/>
        </w:rPr>
        <w:instrText xml:space="preserve"> REF _Ref506885323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_Ref506885323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Reasonable consistency in sentencing</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1">
    <w:p w14:paraId="53E225F0" w14:textId="10200A3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Thomas</w:t>
      </w:r>
      <w:r w:rsidRPr="007809F4">
        <w:rPr>
          <w:rFonts w:asciiTheme="minorHAnsi" w:hAnsiTheme="minorHAnsi" w:cstheme="minorHAnsi"/>
        </w:rPr>
        <w:t xml:space="preserve"> (2016) 53 VR 546</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Thomas (2016) 53 VR 546" </w:instrText>
      </w:r>
      <w:r w:rsidRPr="00EB7F1E">
        <w:rPr>
          <w:rFonts w:asciiTheme="minorHAnsi" w:hAnsiTheme="minorHAnsi" w:cstheme="minorHAnsi"/>
        </w:rPr>
        <w:fldChar w:fldCharType="end"/>
      </w:r>
      <w:r w:rsidRPr="007809F4">
        <w:rPr>
          <w:rFonts w:asciiTheme="minorHAnsi" w:hAnsiTheme="minorHAnsi" w:cstheme="minorHAnsi"/>
        </w:rPr>
        <w:t>, [180].</w:t>
      </w:r>
      <w:r w:rsidRPr="00EB7F1E">
        <w:rPr>
          <w:rFonts w:asciiTheme="minorHAnsi" w:hAnsiTheme="minorHAnsi" w:cstheme="minorHAnsi"/>
        </w:rPr>
        <w:t xml:space="preserve">  </w:t>
      </w:r>
      <w:r w:rsidRPr="007809F4">
        <w:rPr>
          <w:rFonts w:asciiTheme="minorHAnsi" w:hAnsiTheme="minorHAnsi" w:cstheme="minorHAnsi"/>
        </w:rPr>
        <w:t xml:space="preserve">Although in </w:t>
      </w:r>
      <w:r w:rsidRPr="007809F4">
        <w:rPr>
          <w:rFonts w:asciiTheme="minorHAnsi" w:hAnsiTheme="minorHAnsi" w:cstheme="minorHAnsi"/>
          <w:i/>
        </w:rPr>
        <w:t>Thomas</w:t>
      </w:r>
      <w:r w:rsidRPr="007809F4">
        <w:rPr>
          <w:rFonts w:asciiTheme="minorHAnsi" w:hAnsiTheme="minorHAnsi" w:cstheme="minorHAnsi"/>
        </w:rPr>
        <w:t>, the Victorian Court of Appeal said (at [182]) that the table will be of limited assistance if it “</w:t>
      </w:r>
      <w:r w:rsidRPr="007809F4">
        <w:rPr>
          <w:rFonts w:asciiTheme="minorHAnsi" w:hAnsiTheme="minorHAnsi" w:cstheme="minorHAnsi"/>
          <w:i/>
        </w:rPr>
        <w:t xml:space="preserve">does not </w:t>
      </w:r>
      <w:r w:rsidRPr="007809F4">
        <w:rPr>
          <w:rFonts w:asciiTheme="minorHAnsi" w:hAnsiTheme="minorHAnsi" w:cstheme="minorHAnsi"/>
          <w:i/>
          <w:u w:val="single"/>
        </w:rPr>
        <w:t>on its face</w:t>
      </w:r>
      <w:r w:rsidRPr="007809F4">
        <w:rPr>
          <w:rFonts w:asciiTheme="minorHAnsi" w:hAnsiTheme="minorHAnsi" w:cstheme="minorHAnsi"/>
          <w:i/>
        </w:rPr>
        <w:t xml:space="preserve"> illuminate the relevance of the cases listed</w:t>
      </w:r>
      <w:r w:rsidRPr="007809F4">
        <w:rPr>
          <w:rFonts w:asciiTheme="minorHAnsi" w:hAnsiTheme="minorHAnsi" w:cstheme="minorHAnsi"/>
        </w:rPr>
        <w:t xml:space="preserve">” (emphasis added), in </w:t>
      </w:r>
      <w:r w:rsidRPr="007809F4">
        <w:rPr>
          <w:rFonts w:asciiTheme="minorHAnsi" w:hAnsiTheme="minorHAnsi" w:cstheme="minorHAnsi"/>
          <w:i/>
        </w:rPr>
        <w:t>DPP (Cth) v Haynes</w:t>
      </w:r>
      <w:r w:rsidRPr="007809F4">
        <w:rPr>
          <w:rFonts w:asciiTheme="minorHAnsi" w:hAnsiTheme="minorHAnsi" w:cstheme="minorHAnsi"/>
        </w:rPr>
        <w:t xml:space="preserve"> [2017] VSCA 79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Haynes [2017] VSCA 79" </w:instrText>
      </w:r>
      <w:r w:rsidRPr="00EB7F1E">
        <w:rPr>
          <w:rFonts w:asciiTheme="minorHAnsi" w:hAnsiTheme="minorHAnsi" w:cstheme="minorHAnsi"/>
        </w:rPr>
        <w:fldChar w:fldCharType="end"/>
      </w:r>
      <w:r w:rsidRPr="007809F4">
        <w:rPr>
          <w:rFonts w:asciiTheme="minorHAnsi" w:hAnsiTheme="minorHAnsi" w:cstheme="minorHAnsi"/>
        </w:rPr>
        <w:t xml:space="preserve">, [35], the Court cited </w:t>
      </w:r>
      <w:r w:rsidRPr="007809F4">
        <w:rPr>
          <w:rFonts w:asciiTheme="minorHAnsi" w:hAnsiTheme="minorHAnsi" w:cstheme="minorHAnsi"/>
          <w:i/>
        </w:rPr>
        <w:t>Thomas</w:t>
      </w:r>
      <w:r w:rsidRPr="007809F4">
        <w:rPr>
          <w:rFonts w:asciiTheme="minorHAnsi" w:hAnsiTheme="minorHAnsi" w:cstheme="minorHAnsi"/>
        </w:rPr>
        <w:t xml:space="preserve"> as authority for the proposition that “</w:t>
      </w:r>
      <w:r w:rsidRPr="007809F4">
        <w:rPr>
          <w:rFonts w:asciiTheme="minorHAnsi" w:hAnsiTheme="minorHAnsi" w:cstheme="minorHAnsi"/>
          <w:i/>
        </w:rPr>
        <w:t xml:space="preserve">statistics and tables of cases can only be of assistance to a sentencing judge </w:t>
      </w:r>
      <w:r w:rsidRPr="007809F4">
        <w:rPr>
          <w:rFonts w:asciiTheme="minorHAnsi" w:hAnsiTheme="minorHAnsi" w:cstheme="minorHAnsi"/>
          <w:i/>
          <w:u w:val="single"/>
        </w:rPr>
        <w:t>if they are spoken to by counsel</w:t>
      </w:r>
      <w:r w:rsidRPr="007809F4">
        <w:rPr>
          <w:rFonts w:asciiTheme="minorHAnsi" w:hAnsiTheme="minorHAnsi" w:cstheme="minorHAnsi"/>
          <w:i/>
        </w:rPr>
        <w:t>; that is, if their precise relevance for the sentencing task is actually explained</w:t>
      </w:r>
      <w:r w:rsidRPr="007809F4">
        <w:rPr>
          <w:rFonts w:asciiTheme="minorHAnsi" w:hAnsiTheme="minorHAnsi" w:cstheme="minorHAnsi"/>
        </w:rPr>
        <w:t xml:space="preserve">” (emphasis added).  Similarly, in </w:t>
      </w:r>
      <w:r w:rsidRPr="007809F4">
        <w:rPr>
          <w:rFonts w:asciiTheme="minorHAnsi" w:hAnsiTheme="minorHAnsi" w:cstheme="minorHAnsi"/>
          <w:i/>
        </w:rPr>
        <w:t>DPP (Cth) v Masange</w:t>
      </w:r>
      <w:r w:rsidRPr="007809F4">
        <w:rPr>
          <w:rFonts w:asciiTheme="minorHAnsi" w:hAnsiTheme="minorHAnsi" w:cstheme="minorHAnsi"/>
        </w:rPr>
        <w:t xml:space="preserve"> [2017] VSCA 204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Masange</w:instrText>
      </w:r>
      <w:r w:rsidRPr="007809F4">
        <w:rPr>
          <w:rFonts w:asciiTheme="minorHAnsi" w:hAnsiTheme="minorHAnsi" w:cstheme="minorHAnsi"/>
        </w:rPr>
        <w:instrText xml:space="preserve"> [2017] VSCA 204</w:instrText>
      </w:r>
      <w:r w:rsidRPr="00EB7F1E">
        <w:rPr>
          <w:rFonts w:asciiTheme="minorHAnsi" w:hAnsiTheme="minorHAnsi" w:cstheme="minorHAnsi"/>
        </w:rPr>
        <w:instrText xml:space="preserve">" \s "DPP (Cth) v Masange [2017] VSCA 204" \c 1 </w:instrText>
      </w:r>
      <w:r w:rsidRPr="00EB7F1E">
        <w:rPr>
          <w:rFonts w:asciiTheme="minorHAnsi" w:hAnsiTheme="minorHAnsi" w:cstheme="minorHAnsi"/>
        </w:rPr>
        <w:fldChar w:fldCharType="end"/>
      </w:r>
      <w:r w:rsidRPr="007809F4">
        <w:rPr>
          <w:rFonts w:asciiTheme="minorHAnsi" w:hAnsiTheme="minorHAnsi" w:cstheme="minorHAnsi"/>
        </w:rPr>
        <w:t>, [49], the Court said, “</w:t>
      </w:r>
      <w:r w:rsidRPr="007809F4">
        <w:rPr>
          <w:rFonts w:asciiTheme="minorHAnsi" w:hAnsiTheme="minorHAnsi" w:cstheme="minorHAnsi"/>
          <w:i/>
        </w:rPr>
        <w:t xml:space="preserve">In order to discharge its duty to assist the sentencing judge to avoid appealable error, </w:t>
      </w:r>
      <w:r w:rsidRPr="007809F4">
        <w:rPr>
          <w:rFonts w:asciiTheme="minorHAnsi" w:hAnsiTheme="minorHAnsi" w:cstheme="minorHAnsi"/>
          <w:i/>
          <w:u w:val="single"/>
        </w:rPr>
        <w:t>the prosecution must speak to such a schedule</w:t>
      </w:r>
      <w:r w:rsidRPr="007809F4">
        <w:rPr>
          <w:rFonts w:asciiTheme="minorHAnsi" w:hAnsiTheme="minorHAnsi" w:cstheme="minorHAnsi"/>
          <w:i/>
        </w:rPr>
        <w:t xml:space="preserve"> and articulate the unifying principles revealed by the cases referred to</w:t>
      </w:r>
      <w:r w:rsidRPr="007809F4">
        <w:rPr>
          <w:rFonts w:asciiTheme="minorHAnsi" w:hAnsiTheme="minorHAnsi" w:cstheme="minorHAnsi"/>
        </w:rPr>
        <w:t>” (emphasis added).  There does not seem to be any reason in principle why the prosecution could not explain the relevance or significance of a case cited in a table either in written or oral submissions, rather than only in the table itself.</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2">
    <w:p w14:paraId="3B91CEB4" w14:textId="3C8DFF5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Haynes</w:t>
      </w:r>
      <w:r w:rsidRPr="007809F4">
        <w:rPr>
          <w:rFonts w:asciiTheme="minorHAnsi" w:hAnsiTheme="minorHAnsi" w:cstheme="minorHAnsi"/>
        </w:rPr>
        <w:t xml:space="preserve"> [2017] VSCA 79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Haynes [2017] VSCA 79" </w:instrText>
      </w:r>
      <w:r w:rsidRPr="00EB7F1E">
        <w:rPr>
          <w:rFonts w:asciiTheme="minorHAnsi" w:hAnsiTheme="minorHAnsi" w:cstheme="minorHAnsi"/>
        </w:rPr>
        <w:fldChar w:fldCharType="end"/>
      </w:r>
      <w:r w:rsidRPr="007809F4">
        <w:rPr>
          <w:rFonts w:asciiTheme="minorHAnsi" w:hAnsiTheme="minorHAnsi" w:cstheme="minorHAnsi"/>
        </w:rPr>
        <w:t>, [35].</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3">
    <w:p w14:paraId="182541E5" w14:textId="06EDD64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KMD</w:t>
      </w:r>
      <w:r w:rsidRPr="007809F4">
        <w:rPr>
          <w:rFonts w:asciiTheme="minorHAnsi" w:hAnsiTheme="minorHAnsi" w:cstheme="minorHAnsi"/>
        </w:rPr>
        <w:t xml:space="preserve"> [2015] VSCA 255</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KMD [2015] VSCA 255" </w:instrText>
      </w:r>
      <w:r w:rsidRPr="00EB7F1E">
        <w:rPr>
          <w:rFonts w:asciiTheme="minorHAnsi" w:hAnsiTheme="minorHAnsi" w:cstheme="minorHAnsi"/>
        </w:rPr>
        <w:fldChar w:fldCharType="end"/>
      </w:r>
      <w:r w:rsidRPr="007809F4">
        <w:rPr>
          <w:rFonts w:asciiTheme="minorHAnsi" w:hAnsiTheme="minorHAnsi" w:cstheme="minorHAnsi"/>
        </w:rPr>
        <w:t xml:space="preserve">, [127].  The absence of comparable authorities does not leave open a wider range of permissible sentences than otherwise would be the case: </w:t>
      </w:r>
      <w:r w:rsidRPr="007809F4">
        <w:rPr>
          <w:rFonts w:asciiTheme="minorHAnsi" w:hAnsiTheme="minorHAnsi" w:cstheme="minorHAnsi"/>
          <w:i/>
        </w:rPr>
        <w:t>R v Goodwin; ex parte Attorney-General (Qld)</w:t>
      </w:r>
      <w:r w:rsidRPr="007809F4">
        <w:rPr>
          <w:rFonts w:asciiTheme="minorHAnsi" w:hAnsiTheme="minorHAnsi" w:cstheme="minorHAnsi"/>
        </w:rPr>
        <w:t xml:space="preserve"> [2014] QCA 345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Goodwin; ex parte Attorney-General (Qld)</w:instrText>
      </w:r>
      <w:r w:rsidRPr="007809F4">
        <w:rPr>
          <w:rFonts w:asciiTheme="minorHAnsi" w:hAnsiTheme="minorHAnsi" w:cstheme="minorHAnsi"/>
        </w:rPr>
        <w:instrText xml:space="preserve"> [2014] QCA 345</w:instrText>
      </w:r>
      <w:r w:rsidRPr="00EB7F1E">
        <w:rPr>
          <w:rFonts w:asciiTheme="minorHAnsi" w:hAnsiTheme="minorHAnsi" w:cstheme="minorHAnsi"/>
        </w:rPr>
        <w:instrText xml:space="preserve">" \s "R v Goodwin; ex parte Attorney-General (Qld) [2014] QCA 345" \c 1 </w:instrText>
      </w:r>
      <w:r w:rsidRPr="00EB7F1E">
        <w:rPr>
          <w:rFonts w:asciiTheme="minorHAnsi" w:hAnsiTheme="minorHAnsi" w:cstheme="minorHAnsi"/>
        </w:rPr>
        <w:fldChar w:fldCharType="end"/>
      </w:r>
      <w:r w:rsidRPr="007809F4">
        <w:rPr>
          <w:rFonts w:asciiTheme="minorHAnsi" w:hAnsiTheme="minorHAnsi" w:cstheme="minorHAnsi"/>
        </w:rPr>
        <w:t xml:space="preserve">, [5]. </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4">
    <w:p w14:paraId="5BCC65CE" w14:textId="4C4A58D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EB7F1E">
        <w:rPr>
          <w:rFonts w:asciiTheme="minorHAnsi" w:hAnsiTheme="minorHAnsi" w:cstheme="minorHAnsi"/>
          <w:i/>
        </w:rPr>
        <w:t xml:space="preserve">Schanker v R </w:t>
      </w:r>
      <w:r w:rsidRPr="00EB7F1E">
        <w:rPr>
          <w:rFonts w:asciiTheme="minorHAnsi" w:hAnsiTheme="minorHAnsi" w:cstheme="minorHAnsi"/>
        </w:rPr>
        <w:t>[2018] VSCA 94</w:t>
      </w:r>
      <w:r w:rsidRPr="00EB7F1E">
        <w:rPr>
          <w:rFonts w:asciiTheme="minorHAnsi" w:hAnsiTheme="minorHAnsi" w:cstheme="minorHAnsi"/>
        </w:rPr>
        <w:fldChar w:fldCharType="begin"/>
      </w:r>
      <w:r w:rsidRPr="007809F4">
        <w:rPr>
          <w:rFonts w:asciiTheme="minorHAnsi" w:hAnsiTheme="minorHAnsi" w:cstheme="minorHAnsi"/>
        </w:rPr>
        <w:instrText xml:space="preserve"> TA \s "Schanker v R [2018] VSCA 94" </w:instrText>
      </w:r>
      <w:r w:rsidRPr="00EB7F1E">
        <w:rPr>
          <w:rFonts w:asciiTheme="minorHAnsi" w:hAnsiTheme="minorHAnsi" w:cstheme="minorHAnsi"/>
        </w:rPr>
        <w:fldChar w:fldCharType="end"/>
      </w:r>
      <w:r w:rsidRPr="007809F4">
        <w:rPr>
          <w:rFonts w:asciiTheme="minorHAnsi" w:hAnsiTheme="minorHAnsi" w:cstheme="minorHAnsi"/>
        </w:rPr>
        <w:t>, [224].</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5">
    <w:p w14:paraId="17E577F2" w14:textId="3AE17D3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(Cth) v Brown</w:t>
      </w:r>
      <w:r w:rsidRPr="007809F4">
        <w:rPr>
          <w:rFonts w:asciiTheme="minorHAnsi" w:hAnsiTheme="minorHAnsi" w:cstheme="minorHAnsi"/>
        </w:rPr>
        <w:t xml:space="preserve"> [2017] VSCA 162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Brown</w:instrText>
      </w:r>
      <w:r w:rsidRPr="007809F4">
        <w:rPr>
          <w:rFonts w:asciiTheme="minorHAnsi" w:hAnsiTheme="minorHAnsi" w:cstheme="minorHAnsi"/>
        </w:rPr>
        <w:instrText xml:space="preserve"> [2017] VSCA 162</w:instrText>
      </w:r>
      <w:r w:rsidRPr="00EB7F1E">
        <w:rPr>
          <w:rFonts w:asciiTheme="minorHAnsi" w:hAnsiTheme="minorHAnsi" w:cstheme="minorHAnsi"/>
        </w:rPr>
        <w:instrText xml:space="preserve">" \s "DPP (Cth) v Brown [2017] VSCA 162" \c 1 </w:instrText>
      </w:r>
      <w:r w:rsidRPr="00EB7F1E">
        <w:rPr>
          <w:rFonts w:asciiTheme="minorHAnsi" w:hAnsiTheme="minorHAnsi" w:cstheme="minorHAnsi"/>
        </w:rPr>
        <w:fldChar w:fldCharType="end"/>
      </w:r>
      <w:r w:rsidRPr="007809F4">
        <w:rPr>
          <w:rFonts w:asciiTheme="minorHAnsi" w:hAnsiTheme="minorHAnsi" w:cstheme="minorHAnsi"/>
        </w:rPr>
        <w:t>, [71].  The table provided by the prosecution in that case is attached as an Appendix to the judgment.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6">
    <w:p w14:paraId="5937328A" w14:textId="77FC30E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See </w:t>
      </w:r>
      <w:r w:rsidRPr="007809F4">
        <w:rPr>
          <w:rFonts w:asciiTheme="minorHAnsi" w:hAnsiTheme="minorHAnsi" w:cstheme="minorHAnsi"/>
          <w:i/>
        </w:rPr>
        <w:t>DPP (Cth) v KMD</w:t>
      </w:r>
      <w:r w:rsidRPr="007809F4">
        <w:rPr>
          <w:rFonts w:asciiTheme="minorHAnsi" w:hAnsiTheme="minorHAnsi" w:cstheme="minorHAnsi"/>
        </w:rPr>
        <w:t xml:space="preserve"> [2015] VSCA 255</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KMD [2015] VSCA 255" </w:instrText>
      </w:r>
      <w:r w:rsidRPr="00EB7F1E">
        <w:rPr>
          <w:rFonts w:asciiTheme="minorHAnsi" w:hAnsiTheme="minorHAnsi" w:cstheme="minorHAnsi"/>
        </w:rPr>
        <w:fldChar w:fldCharType="end"/>
      </w:r>
      <w:r w:rsidRPr="007809F4">
        <w:rPr>
          <w:rFonts w:asciiTheme="minorHAnsi" w:hAnsiTheme="minorHAnsi" w:cstheme="minorHAnsi"/>
        </w:rPr>
        <w:t>, [67]-[81].</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07">
    <w:p w14:paraId="62F75326" w14:textId="34FDC6C3"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Barbaro v R</w:t>
      </w:r>
      <w:r w:rsidRPr="007809F4">
        <w:rPr>
          <w:rFonts w:asciiTheme="minorHAnsi" w:hAnsiTheme="minorHAnsi" w:cstheme="minorHAnsi"/>
        </w:rPr>
        <w:t xml:space="preserve"> (2014) 253 CLR 58</w:t>
      </w:r>
      <w:r w:rsidRPr="00EB7F1E">
        <w:rPr>
          <w:rFonts w:asciiTheme="minorHAnsi" w:hAnsiTheme="minorHAnsi" w:cstheme="minorHAnsi"/>
        </w:rPr>
        <w:fldChar w:fldCharType="begin"/>
      </w:r>
      <w:r w:rsidRPr="007809F4">
        <w:rPr>
          <w:rFonts w:asciiTheme="minorHAnsi" w:hAnsiTheme="minorHAnsi" w:cstheme="minorHAnsi"/>
        </w:rPr>
        <w:instrText xml:space="preserve"> TA \s "Barbaro v R (2014) 253 CLR 58"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08">
    <w:p w14:paraId="19182961" w14:textId="06BF010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Matthews v R</w:t>
      </w:r>
      <w:r w:rsidRPr="007809F4">
        <w:rPr>
          <w:rFonts w:asciiTheme="minorHAnsi" w:hAnsiTheme="minorHAnsi" w:cstheme="minorHAnsi"/>
        </w:rPr>
        <w:t xml:space="preserve"> (2014) 44 VR 280</w:t>
      </w:r>
      <w:r w:rsidRPr="00EB7F1E">
        <w:rPr>
          <w:rFonts w:asciiTheme="minorHAnsi" w:hAnsiTheme="minorHAnsi" w:cstheme="minorHAnsi"/>
        </w:rPr>
        <w:fldChar w:fldCharType="begin"/>
      </w:r>
      <w:r w:rsidRPr="007809F4">
        <w:rPr>
          <w:rFonts w:asciiTheme="minorHAnsi" w:hAnsiTheme="minorHAnsi" w:cstheme="minorHAnsi"/>
        </w:rPr>
        <w:instrText xml:space="preserve"> TA \s "Matthews v R (2014) 44 VR 280"</w:instrText>
      </w:r>
      <w:r w:rsidRPr="00EB7F1E">
        <w:rPr>
          <w:rFonts w:asciiTheme="minorHAnsi" w:hAnsiTheme="minorHAnsi" w:cstheme="minorHAnsi"/>
        </w:rPr>
        <w:fldChar w:fldCharType="end"/>
      </w:r>
      <w:r w:rsidRPr="007809F4">
        <w:rPr>
          <w:rFonts w:asciiTheme="minorHAnsi" w:hAnsiTheme="minorHAnsi" w:cstheme="minorHAnsi"/>
        </w:rPr>
        <w:t>, [27].  The reference to “</w:t>
      </w:r>
      <w:r w:rsidRPr="007809F4">
        <w:rPr>
          <w:rFonts w:asciiTheme="minorHAnsi" w:hAnsiTheme="minorHAnsi" w:cstheme="minorHAnsi"/>
          <w:i/>
        </w:rPr>
        <w:t>necessary or appropriate</w:t>
      </w:r>
      <w:r w:rsidRPr="007809F4">
        <w:rPr>
          <w:rFonts w:asciiTheme="minorHAnsi" w:hAnsiTheme="minorHAnsi" w:cstheme="minorHAnsi"/>
        </w:rPr>
        <w:t xml:space="preserve">” appears to countenance a submission in every case that a particular sentence type would be appropriate, or would be more appropriate than another sentence type.  That is, the prosecution is not restricted to submitting in terms that imposing a sentence of another particular type would constitute appealable error.  See also </w:t>
      </w:r>
      <w:r w:rsidRPr="007809F4">
        <w:rPr>
          <w:rFonts w:asciiTheme="minorHAnsi" w:hAnsiTheme="minorHAnsi" w:cstheme="minorHAnsi"/>
          <w:i/>
        </w:rPr>
        <w:t>Matthews</w:t>
      </w:r>
      <w:r w:rsidRPr="007809F4">
        <w:rPr>
          <w:rFonts w:asciiTheme="minorHAnsi" w:hAnsiTheme="minorHAnsi" w:cstheme="minorHAnsi"/>
        </w:rPr>
        <w:t xml:space="preserve"> at [22]-[25]; </w:t>
      </w:r>
      <w:r w:rsidRPr="007809F4">
        <w:rPr>
          <w:rFonts w:asciiTheme="minorHAnsi" w:hAnsiTheme="minorHAnsi" w:cstheme="minorHAnsi"/>
          <w:i/>
        </w:rPr>
        <w:t>R v Malvaso</w:t>
      </w:r>
      <w:r w:rsidRPr="007809F4">
        <w:rPr>
          <w:rFonts w:asciiTheme="minorHAnsi" w:hAnsiTheme="minorHAnsi" w:cstheme="minorHAnsi"/>
        </w:rPr>
        <w:t xml:space="preserve"> (1989) 50 SASR 503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Malvaso</w:instrText>
      </w:r>
      <w:r w:rsidRPr="007809F4">
        <w:rPr>
          <w:rFonts w:asciiTheme="minorHAnsi" w:hAnsiTheme="minorHAnsi" w:cstheme="minorHAnsi"/>
        </w:rPr>
        <w:instrText xml:space="preserve"> (1989) 50 SASR 503</w:instrText>
      </w:r>
      <w:r w:rsidRPr="00EB7F1E">
        <w:rPr>
          <w:rFonts w:asciiTheme="minorHAnsi" w:hAnsiTheme="minorHAnsi" w:cstheme="minorHAnsi"/>
        </w:rPr>
        <w:instrText xml:space="preserve">" \s "R v Malvaso (1989) 50 SASR 503" \c 1 </w:instrText>
      </w:r>
      <w:r w:rsidRPr="00EB7F1E">
        <w:rPr>
          <w:rFonts w:asciiTheme="minorHAnsi" w:hAnsiTheme="minorHAnsi" w:cstheme="minorHAnsi"/>
        </w:rPr>
        <w:fldChar w:fldCharType="end"/>
      </w:r>
      <w:r w:rsidRPr="007809F4">
        <w:rPr>
          <w:rFonts w:asciiTheme="minorHAnsi" w:hAnsiTheme="minorHAnsi" w:cstheme="minorHAnsi"/>
        </w:rPr>
        <w:t xml:space="preserve">, 509.  The submission may be expressed by reference to the requirements of the </w:t>
      </w:r>
      <w:r w:rsidRPr="00EB7F1E">
        <w:rPr>
          <w:rFonts w:asciiTheme="minorHAnsi" w:hAnsiTheme="minorHAnsi" w:cstheme="minorHAnsi"/>
          <w:i/>
          <w:iCs/>
        </w:rPr>
        <w:t>Crimes Act 1914</w:t>
      </w:r>
      <w:r w:rsidRPr="007809F4">
        <w:rPr>
          <w:rFonts w:asciiTheme="minorHAnsi" w:hAnsiTheme="minorHAnsi" w:cstheme="minorHAnsi"/>
        </w:rPr>
        <w:t xml:space="preserve"> (Cth), s 16A(1) (sentence or order must be “</w:t>
      </w:r>
      <w:r w:rsidRPr="00EB7F1E">
        <w:rPr>
          <w:rFonts w:asciiTheme="minorHAnsi" w:hAnsiTheme="minorHAnsi" w:cstheme="minorHAnsi"/>
          <w:i/>
          <w:iCs/>
        </w:rPr>
        <w:t>of a severity appropriate in all the circumstances of the offence</w:t>
      </w:r>
      <w:r w:rsidRPr="007809F4">
        <w:rPr>
          <w:rFonts w:asciiTheme="minorHAnsi" w:hAnsiTheme="minorHAnsi" w:cstheme="minorHAnsi"/>
        </w:rPr>
        <w:t>”), s 16A(2)(k) (t</w:t>
      </w:r>
      <w:r w:rsidRPr="00EB7F1E">
        <w:rPr>
          <w:rFonts w:asciiTheme="minorHAnsi" w:hAnsiTheme="minorHAnsi" w:cstheme="minorHAnsi"/>
        </w:rPr>
        <w:t xml:space="preserve">he need to ensure that the offender is </w:t>
      </w:r>
      <w:r w:rsidRPr="007809F4">
        <w:rPr>
          <w:rFonts w:asciiTheme="minorHAnsi" w:hAnsiTheme="minorHAnsi" w:cstheme="minorHAnsi"/>
        </w:rPr>
        <w:t>“</w:t>
      </w:r>
      <w:r w:rsidRPr="00EB7F1E">
        <w:rPr>
          <w:rFonts w:asciiTheme="minorHAnsi" w:hAnsiTheme="minorHAnsi" w:cstheme="minorHAnsi"/>
          <w:i/>
          <w:iCs/>
        </w:rPr>
        <w:t>adequately punished</w:t>
      </w:r>
      <w:r w:rsidRPr="007809F4">
        <w:rPr>
          <w:rFonts w:asciiTheme="minorHAnsi" w:hAnsiTheme="minorHAnsi" w:cstheme="minorHAnsi"/>
        </w:rPr>
        <w:t>”</w:t>
      </w:r>
      <w:r w:rsidRPr="00EB7F1E">
        <w:rPr>
          <w:rFonts w:asciiTheme="minorHAnsi" w:hAnsiTheme="minorHAnsi" w:cstheme="minorHAnsi"/>
        </w:rPr>
        <w:t xml:space="preserve">) or s 17A (sentence of imprisonment to be imposed only if the court is satisfied, after having considered all other available sentences, that </w:t>
      </w:r>
      <w:r w:rsidRPr="007809F4">
        <w:rPr>
          <w:rFonts w:asciiTheme="minorHAnsi" w:hAnsiTheme="minorHAnsi" w:cstheme="minorHAnsi"/>
        </w:rPr>
        <w:t>“</w:t>
      </w:r>
      <w:r w:rsidRPr="00EB7F1E">
        <w:rPr>
          <w:rFonts w:asciiTheme="minorHAnsi" w:hAnsiTheme="minorHAnsi" w:cstheme="minorHAnsi"/>
          <w:i/>
          <w:iCs/>
        </w:rPr>
        <w:t>no other sentence is appropriate</w:t>
      </w:r>
      <w:r w:rsidRPr="007809F4">
        <w:rPr>
          <w:rFonts w:asciiTheme="minorHAnsi" w:hAnsiTheme="minorHAnsi" w:cstheme="minorHAnsi"/>
        </w:rPr>
        <w:t>”</w:t>
      </w:r>
      <w:r w:rsidRPr="00EB7F1E">
        <w:rPr>
          <w:rFonts w:asciiTheme="minorHAnsi" w:hAnsiTheme="minorHAnsi" w:cstheme="minorHAnsi"/>
        </w:rPr>
        <w:t xml:space="preserve"> in all the circumstances of the case)</w:t>
      </w:r>
      <w:r w:rsidRPr="00EB7F1E">
        <w:rPr>
          <w:rStyle w:val="sslistitemcontent"/>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"Matthews v R; Vu v R; Hashmi v R (2014) 44 VR 280" </w:instrText>
      </w:r>
      <w:r w:rsidRPr="00EB7F1E">
        <w:rPr>
          <w:rFonts w:asciiTheme="minorHAnsi" w:hAnsiTheme="minorHAnsi" w:cstheme="minorHAnsi"/>
        </w:rPr>
        <w:fldChar w:fldCharType="end"/>
      </w:r>
    </w:p>
  </w:footnote>
  <w:footnote w:id="1009">
    <w:p w14:paraId="5386B84B" w14:textId="6898443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Malvaso v R</w:t>
      </w:r>
      <w:r w:rsidRPr="007809F4">
        <w:rPr>
          <w:rFonts w:asciiTheme="minorHAnsi" w:hAnsiTheme="minorHAnsi" w:cstheme="minorHAnsi"/>
        </w:rPr>
        <w:t xml:space="preserve"> (1989) 168 CLR 227</w:t>
      </w:r>
      <w:r w:rsidRPr="00EB7F1E">
        <w:rPr>
          <w:rFonts w:asciiTheme="minorHAnsi" w:hAnsiTheme="minorHAnsi" w:cstheme="minorHAnsi"/>
        </w:rPr>
        <w:fldChar w:fldCharType="begin"/>
      </w:r>
      <w:r w:rsidRPr="007809F4">
        <w:rPr>
          <w:rFonts w:asciiTheme="minorHAnsi" w:hAnsiTheme="minorHAnsi" w:cstheme="minorHAnsi"/>
        </w:rPr>
        <w:instrText xml:space="preserve"> TA \s "Malvaso v R (1989) 168 CLR 227"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Everett v R</w:t>
      </w:r>
      <w:r w:rsidRPr="007809F4">
        <w:rPr>
          <w:rFonts w:asciiTheme="minorHAnsi" w:hAnsiTheme="minorHAnsi" w:cstheme="minorHAnsi"/>
        </w:rPr>
        <w:t xml:space="preserve"> (1994) 181 CLR 295</w:t>
      </w:r>
      <w:r w:rsidRPr="00EB7F1E">
        <w:rPr>
          <w:rFonts w:asciiTheme="minorHAnsi" w:hAnsiTheme="minorHAnsi" w:cstheme="minorHAnsi"/>
        </w:rPr>
        <w:fldChar w:fldCharType="begin"/>
      </w:r>
      <w:r w:rsidRPr="007809F4">
        <w:rPr>
          <w:rFonts w:asciiTheme="minorHAnsi" w:hAnsiTheme="minorHAnsi" w:cstheme="minorHAnsi"/>
        </w:rPr>
        <w:instrText xml:space="preserve"> TA \s "Everett v R (1994) 181 CLR 295"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i/>
        </w:rPr>
        <w:t>R v Jermyn</w:t>
      </w:r>
      <w:r w:rsidRPr="007809F4">
        <w:rPr>
          <w:rFonts w:asciiTheme="minorHAnsi" w:hAnsiTheme="minorHAnsi" w:cstheme="minorHAnsi"/>
        </w:rPr>
        <w:t xml:space="preserve"> (1985) 2 NSWLR 194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Jermyn</w:instrText>
      </w:r>
      <w:r w:rsidRPr="007809F4">
        <w:rPr>
          <w:rFonts w:asciiTheme="minorHAnsi" w:hAnsiTheme="minorHAnsi" w:cstheme="minorHAnsi"/>
        </w:rPr>
        <w:instrText xml:space="preserve"> (1985) 2 NSWLR 194</w:instrText>
      </w:r>
      <w:r w:rsidRPr="00EB7F1E">
        <w:rPr>
          <w:rFonts w:asciiTheme="minorHAnsi" w:hAnsiTheme="minorHAnsi" w:cstheme="minorHAnsi"/>
        </w:rPr>
        <w:instrText xml:space="preserve">" \s "R v Jermyn (1985) 2 NSWLR 194" \c 1 </w:instrText>
      </w:r>
      <w:r w:rsidRPr="00EB7F1E">
        <w:rPr>
          <w:rFonts w:asciiTheme="minorHAnsi" w:hAnsiTheme="minorHAnsi" w:cstheme="minorHAnsi"/>
        </w:rPr>
        <w:fldChar w:fldCharType="end"/>
      </w:r>
      <w:r w:rsidRPr="007809F4">
        <w:rPr>
          <w:rFonts w:asciiTheme="minorHAnsi" w:hAnsiTheme="minorHAnsi" w:cstheme="minorHAnsi"/>
        </w:rPr>
        <w:t xml:space="preserve">, 197-8, 203-5; </w:t>
      </w:r>
      <w:r w:rsidRPr="007809F4">
        <w:rPr>
          <w:rFonts w:asciiTheme="minorHAnsi" w:hAnsiTheme="minorHAnsi" w:cstheme="minorHAnsi"/>
          <w:i/>
        </w:rPr>
        <w:t>DPP v Waack</w:t>
      </w:r>
      <w:r w:rsidRPr="007809F4">
        <w:rPr>
          <w:rFonts w:asciiTheme="minorHAnsi" w:hAnsiTheme="minorHAnsi" w:cstheme="minorHAnsi"/>
        </w:rPr>
        <w:t xml:space="preserve"> (2001) 3 VR 194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Waack</w:instrText>
      </w:r>
      <w:r w:rsidRPr="007809F4">
        <w:rPr>
          <w:rFonts w:asciiTheme="minorHAnsi" w:hAnsiTheme="minorHAnsi" w:cstheme="minorHAnsi"/>
        </w:rPr>
        <w:instrText xml:space="preserve"> (2001) 3 VR 194</w:instrText>
      </w:r>
      <w:r w:rsidRPr="00EB7F1E">
        <w:rPr>
          <w:rFonts w:asciiTheme="minorHAnsi" w:hAnsiTheme="minorHAnsi" w:cstheme="minorHAnsi"/>
        </w:rPr>
        <w:instrText xml:space="preserve">" \s "DPP v Waack (2001) 3 VR 194"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Style w:val="ssrolluprptrline"/>
          <w:rFonts w:asciiTheme="minorHAnsi" w:hAnsiTheme="minorHAnsi" w:cstheme="minorHAnsi"/>
        </w:rPr>
        <w:t xml:space="preserve">  </w:t>
      </w:r>
      <w:r w:rsidRPr="007809F4">
        <w:rPr>
          <w:rFonts w:asciiTheme="minorHAnsi" w:hAnsiTheme="minorHAnsi" w:cstheme="minorHAnsi"/>
        </w:rPr>
        <w:t xml:space="preserve">This principle continues to apply after </w:t>
      </w:r>
      <w:r w:rsidRPr="007809F4">
        <w:rPr>
          <w:rFonts w:asciiTheme="minorHAnsi" w:hAnsiTheme="minorHAnsi" w:cstheme="minorHAnsi"/>
          <w:i/>
        </w:rPr>
        <w:t>Barbaro</w:t>
      </w:r>
      <w:r w:rsidRPr="007809F4">
        <w:rPr>
          <w:rFonts w:asciiTheme="minorHAnsi" w:hAnsiTheme="minorHAnsi" w:cstheme="minorHAnsi"/>
        </w:rPr>
        <w:t xml:space="preserve">: </w:t>
      </w:r>
      <w:r w:rsidRPr="007809F4">
        <w:rPr>
          <w:rFonts w:asciiTheme="minorHAnsi" w:hAnsiTheme="minorHAnsi" w:cstheme="minorHAnsi"/>
          <w:i/>
        </w:rPr>
        <w:t>Matthews v R</w:t>
      </w:r>
      <w:r w:rsidRPr="007809F4">
        <w:rPr>
          <w:rFonts w:asciiTheme="minorHAnsi" w:hAnsiTheme="minorHAnsi" w:cstheme="minorHAnsi"/>
        </w:rPr>
        <w:t xml:space="preserve"> (2014) 44 VR 280</w:t>
      </w:r>
      <w:r w:rsidRPr="00EB7F1E">
        <w:rPr>
          <w:rFonts w:asciiTheme="minorHAnsi" w:hAnsiTheme="minorHAnsi" w:cstheme="minorHAnsi"/>
        </w:rPr>
        <w:fldChar w:fldCharType="begin"/>
      </w:r>
      <w:r w:rsidRPr="007809F4">
        <w:rPr>
          <w:rFonts w:asciiTheme="minorHAnsi" w:hAnsiTheme="minorHAnsi" w:cstheme="minorHAnsi"/>
        </w:rPr>
        <w:instrText xml:space="preserve"> TA \s "Matthews v R (2014) 44 VR 280"</w:instrText>
      </w:r>
      <w:r w:rsidRPr="00EB7F1E">
        <w:rPr>
          <w:rFonts w:asciiTheme="minorHAnsi" w:hAnsiTheme="minorHAnsi" w:cstheme="minorHAnsi"/>
        </w:rPr>
        <w:fldChar w:fldCharType="end"/>
      </w:r>
      <w:r w:rsidRPr="007809F4">
        <w:rPr>
          <w:rFonts w:asciiTheme="minorHAnsi" w:hAnsiTheme="minorHAnsi" w:cstheme="minorHAnsi"/>
        </w:rPr>
        <w:t xml:space="preserve">, [27]; </w:t>
      </w:r>
      <w:r w:rsidRPr="007809F4">
        <w:rPr>
          <w:rFonts w:asciiTheme="minorHAnsi" w:hAnsiTheme="minorHAnsi" w:cstheme="minorHAnsi"/>
          <w:i/>
        </w:rPr>
        <w:t xml:space="preserve">DPP (Cth) v Haynes </w:t>
      </w:r>
      <w:r w:rsidRPr="007809F4">
        <w:rPr>
          <w:rFonts w:asciiTheme="minorHAnsi" w:hAnsiTheme="minorHAnsi" w:cstheme="minorHAnsi"/>
        </w:rPr>
        <w:t>[2017] VSCA 79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Haynes [2017] VSCA 79" </w:instrText>
      </w:r>
      <w:r w:rsidRPr="00EB7F1E">
        <w:rPr>
          <w:rFonts w:asciiTheme="minorHAnsi" w:hAnsiTheme="minorHAnsi" w:cstheme="minorHAnsi"/>
        </w:rPr>
        <w:fldChar w:fldCharType="end"/>
      </w:r>
      <w:r w:rsidRPr="007809F4">
        <w:rPr>
          <w:rFonts w:asciiTheme="minorHAnsi" w:hAnsiTheme="minorHAnsi" w:cstheme="minorHAnsi"/>
        </w:rPr>
        <w:t xml:space="preserve">, [58]-[59].  In </w:t>
      </w:r>
      <w:r w:rsidRPr="007809F4">
        <w:rPr>
          <w:rFonts w:asciiTheme="minorHAnsi" w:hAnsiTheme="minorHAnsi" w:cstheme="minorHAnsi"/>
          <w:i/>
        </w:rPr>
        <w:t>CMB v Attorney-General (NSW)</w:t>
      </w:r>
      <w:r w:rsidRPr="007809F4">
        <w:rPr>
          <w:rFonts w:asciiTheme="minorHAnsi" w:hAnsiTheme="minorHAnsi" w:cstheme="minorHAnsi"/>
        </w:rPr>
        <w:t xml:space="preserve"> (2015) 256 CLR 356</w:t>
      </w:r>
      <w:r w:rsidRPr="00EB7F1E">
        <w:rPr>
          <w:rFonts w:asciiTheme="minorHAnsi" w:hAnsiTheme="minorHAnsi" w:cstheme="minorHAnsi"/>
        </w:rPr>
        <w:fldChar w:fldCharType="begin"/>
      </w:r>
      <w:r w:rsidRPr="007809F4">
        <w:rPr>
          <w:rFonts w:asciiTheme="minorHAnsi" w:hAnsiTheme="minorHAnsi" w:cstheme="minorHAnsi"/>
        </w:rPr>
        <w:instrText xml:space="preserve"> TA \s "CMB v Attorney-General (NSW) (2015) 256 CLR 356" </w:instrText>
      </w:r>
      <w:r w:rsidRPr="00EB7F1E">
        <w:rPr>
          <w:rFonts w:asciiTheme="minorHAnsi" w:hAnsiTheme="minorHAnsi" w:cstheme="minorHAnsi"/>
        </w:rPr>
        <w:fldChar w:fldCharType="end"/>
      </w:r>
      <w:r w:rsidRPr="007809F4">
        <w:rPr>
          <w:rFonts w:asciiTheme="minorHAnsi" w:hAnsiTheme="minorHAnsi" w:cstheme="minorHAnsi"/>
        </w:rPr>
        <w:t>, [64], Keifel, Bell and Keane JJ said, “</w:t>
      </w:r>
      <w:r w:rsidRPr="007809F4">
        <w:rPr>
          <w:rFonts w:asciiTheme="minorHAnsi" w:hAnsiTheme="minorHAnsi" w:cstheme="minorHAnsi"/>
          <w:i/>
        </w:rPr>
        <w:t>Where the sentencing judge indicates the form of proposed sentencing order and the prosecutor considers that such a penalty would be manifestly inadequate, the prosecutor discharges his or her duty to the court by so submitting.</w:t>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10">
    <w:p w14:paraId="2996A5F1" w14:textId="5DF5FD3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DPP v Gany</w:t>
      </w:r>
      <w:r w:rsidRPr="007809F4">
        <w:rPr>
          <w:rFonts w:asciiTheme="minorHAnsi" w:hAnsiTheme="minorHAnsi" w:cstheme="minorHAnsi"/>
        </w:rPr>
        <w:t xml:space="preserve"> [2006] VSCA 148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Gany</w:instrText>
      </w:r>
      <w:r w:rsidRPr="007809F4">
        <w:rPr>
          <w:rFonts w:asciiTheme="minorHAnsi" w:hAnsiTheme="minorHAnsi" w:cstheme="minorHAnsi"/>
        </w:rPr>
        <w:instrText xml:space="preserve"> [2006] VSCA 148</w:instrText>
      </w:r>
      <w:r w:rsidRPr="00EB7F1E">
        <w:rPr>
          <w:rFonts w:asciiTheme="minorHAnsi" w:hAnsiTheme="minorHAnsi" w:cstheme="minorHAnsi"/>
        </w:rPr>
        <w:instrText xml:space="preserve">" \s "DPP v Gany [2006] VSCA 148" \c 1 </w:instrText>
      </w:r>
      <w:r w:rsidRPr="00EB7F1E">
        <w:rPr>
          <w:rFonts w:asciiTheme="minorHAnsi" w:hAnsiTheme="minorHAnsi" w:cstheme="minorHAnsi"/>
        </w:rPr>
        <w:fldChar w:fldCharType="end"/>
      </w:r>
      <w:r w:rsidRPr="007809F4">
        <w:rPr>
          <w:rFonts w:asciiTheme="minorHAnsi" w:hAnsiTheme="minorHAnsi" w:cstheme="minorHAnsi"/>
        </w:rPr>
        <w:t xml:space="preserve">, [24].  The submission may be expressed by reference to the requirements of s 17A of the </w:t>
      </w:r>
      <w:r w:rsidRPr="00EB7F1E">
        <w:rPr>
          <w:rFonts w:asciiTheme="minorHAnsi" w:hAnsiTheme="minorHAnsi" w:cstheme="minorHAnsi"/>
          <w:i/>
          <w:iCs/>
        </w:rPr>
        <w:t>Crimes Act 1914</w:t>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11">
    <w:p w14:paraId="1C0D48DF" w14:textId="596E139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 xml:space="preserve">DPP (Cth) v Haynes </w:t>
      </w:r>
      <w:r w:rsidRPr="007809F4">
        <w:rPr>
          <w:rFonts w:asciiTheme="minorHAnsi" w:hAnsiTheme="minorHAnsi" w:cstheme="minorHAnsi"/>
        </w:rPr>
        <w:t>[2017] VSCA 79</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Haynes [2017] VSCA 79" </w:instrText>
      </w:r>
      <w:r w:rsidRPr="00EB7F1E">
        <w:rPr>
          <w:rFonts w:asciiTheme="minorHAnsi" w:hAnsiTheme="minorHAnsi" w:cstheme="minorHAnsi"/>
        </w:rPr>
        <w:fldChar w:fldCharType="end"/>
      </w:r>
      <w:r w:rsidRPr="007809F4">
        <w:rPr>
          <w:rFonts w:asciiTheme="minorHAnsi" w:hAnsiTheme="minorHAnsi" w:cstheme="minorHAnsi"/>
        </w:rPr>
        <w:t>.  As to when a sentencing court has an open discretion to impose, or is presumptively required to impose, a RRO, or conversely when it is precluded from doing so,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_Ref507948252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5.10.4</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_Ref507948252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Non-parole period (NPP) or recognizance release order (RRO)?</w:t>
      </w:r>
      <w:r w:rsidRPr="00EB7F1E">
        <w:rPr>
          <w:rFonts w:asciiTheme="minorHAnsi" w:hAnsiTheme="minorHAnsi" w:cstheme="minorHAnsi"/>
        </w:rPr>
        <w:fldChar w:fldCharType="end"/>
      </w:r>
      <w:r w:rsidRPr="007809F4">
        <w:rPr>
          <w:rFonts w:asciiTheme="minorHAnsi" w:hAnsiTheme="minorHAnsi" w:cstheme="minorHAnsi"/>
        </w:rPr>
        <w:t xml:space="preserve">”.  In most cases a RRO is </w:t>
      </w:r>
      <w:r w:rsidRPr="007809F4">
        <w:rPr>
          <w:rFonts w:asciiTheme="minorHAnsi" w:hAnsiTheme="minorHAnsi" w:cstheme="minorHAnsi"/>
          <w:i/>
        </w:rPr>
        <w:t>optional</w:t>
      </w:r>
      <w:r w:rsidRPr="007809F4">
        <w:rPr>
          <w:rFonts w:asciiTheme="minorHAnsi" w:hAnsiTheme="minorHAnsi" w:cstheme="minorHAnsi"/>
        </w:rPr>
        <w:t xml:space="preserve"> if the sentence of imprisonment, or total effective sentence (or total period including other unserved periods of imprisonment for a federal offence) for federal offences, is 6 months or less, is </w:t>
      </w:r>
      <w:r w:rsidRPr="007809F4">
        <w:rPr>
          <w:rFonts w:asciiTheme="minorHAnsi" w:hAnsiTheme="minorHAnsi" w:cstheme="minorHAnsi"/>
          <w:i/>
        </w:rPr>
        <w:t>presumptively required</w:t>
      </w:r>
      <w:r w:rsidRPr="007809F4">
        <w:rPr>
          <w:rFonts w:asciiTheme="minorHAnsi" w:hAnsiTheme="minorHAnsi" w:cstheme="minorHAnsi"/>
        </w:rPr>
        <w:t xml:space="preserve"> if it is more than 6 months but not more than 3 years, and </w:t>
      </w:r>
      <w:r w:rsidRPr="007809F4">
        <w:rPr>
          <w:rFonts w:asciiTheme="minorHAnsi" w:hAnsiTheme="minorHAnsi" w:cstheme="minorHAnsi"/>
          <w:i/>
        </w:rPr>
        <w:t>precluded</w:t>
      </w:r>
      <w:r w:rsidRPr="007809F4">
        <w:rPr>
          <w:rFonts w:asciiTheme="minorHAnsi" w:hAnsiTheme="minorHAnsi" w:cstheme="minorHAnsi"/>
        </w:rPr>
        <w:t xml:space="preserve"> (in favour of a non-parole period) if it is more than 3 years.  Therefore the implication of the decision in </w:t>
      </w:r>
      <w:r w:rsidRPr="007809F4">
        <w:rPr>
          <w:rFonts w:asciiTheme="minorHAnsi" w:hAnsiTheme="minorHAnsi" w:cstheme="minorHAnsi"/>
          <w:i/>
        </w:rPr>
        <w:t>Haynes</w:t>
      </w:r>
      <w:r w:rsidRPr="007809F4">
        <w:rPr>
          <w:rFonts w:asciiTheme="minorHAnsi" w:hAnsiTheme="minorHAnsi" w:cstheme="minorHAnsi"/>
        </w:rPr>
        <w:t xml:space="preserve"> is that the prosecution should consider into which of the relevant bands the sentence or total effective sentence (or total including other unserved periods) should fall, or below which it should not fall, and should frame its submission in relation to a RRO, straight sentence or non-parole period accordingly, by reference to the applicable legislation.  Failure to do so may preclude such a submission being made on appeal.</w:t>
      </w:r>
    </w:p>
  </w:footnote>
  <w:footnote w:id="1012">
    <w:p w14:paraId="7976D29E" w14:textId="6ED53A0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DPP v Frewstal Pty Ltd </w:t>
      </w:r>
      <w:r w:rsidRPr="007809F4">
        <w:rPr>
          <w:rFonts w:asciiTheme="minorHAnsi" w:hAnsiTheme="minorHAnsi" w:cstheme="minorHAnsi"/>
        </w:rPr>
        <w:t>(2015) 47 VR 660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DPP v Frewstal Pty Ltd </w:instrText>
      </w:r>
      <w:r w:rsidRPr="007809F4">
        <w:rPr>
          <w:rFonts w:asciiTheme="minorHAnsi" w:hAnsiTheme="minorHAnsi" w:cstheme="minorHAnsi"/>
        </w:rPr>
        <w:instrText>(2015) 47 VR 660</w:instrText>
      </w:r>
      <w:r w:rsidRPr="00EB7F1E">
        <w:rPr>
          <w:rFonts w:asciiTheme="minorHAnsi" w:hAnsiTheme="minorHAnsi" w:cstheme="minorHAnsi"/>
        </w:rPr>
        <w:instrText xml:space="preserve">" \s "DPP v Frewstal Pty Ltd (2015) 47 VR 660" \c 1 </w:instrText>
      </w:r>
      <w:r w:rsidRPr="00EB7F1E">
        <w:rPr>
          <w:rFonts w:asciiTheme="minorHAnsi" w:hAnsiTheme="minorHAnsi" w:cstheme="minorHAnsi"/>
        </w:rPr>
        <w:fldChar w:fldCharType="end"/>
      </w:r>
      <w:r w:rsidRPr="007809F4">
        <w:rPr>
          <w:rFonts w:asciiTheme="minorHAnsi" w:hAnsiTheme="minorHAnsi" w:cstheme="minorHAnsi"/>
        </w:rPr>
        <w:t>, [113]-[124].  As to when an aggregate penalty is appropriate,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_Ref11485259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7.10.8</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_Ref11485262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When an aggregate penalty is or is not appropriate</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13">
    <w:p w14:paraId="640B650A" w14:textId="399DABA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i/>
        </w:rPr>
        <w:tab/>
        <w:t>Matthews v R</w:t>
      </w:r>
      <w:r w:rsidRPr="007809F4">
        <w:rPr>
          <w:rFonts w:asciiTheme="minorHAnsi" w:hAnsiTheme="minorHAnsi" w:cstheme="minorHAnsi"/>
        </w:rPr>
        <w:t xml:space="preserve"> (2014) 44 VR 280</w:t>
      </w:r>
      <w:r w:rsidRPr="00EB7F1E">
        <w:rPr>
          <w:rFonts w:asciiTheme="minorHAnsi" w:hAnsiTheme="minorHAnsi" w:cstheme="minorHAnsi"/>
        </w:rPr>
        <w:fldChar w:fldCharType="begin"/>
      </w:r>
      <w:r w:rsidRPr="007809F4">
        <w:rPr>
          <w:rFonts w:asciiTheme="minorHAnsi" w:hAnsiTheme="minorHAnsi" w:cstheme="minorHAnsi"/>
        </w:rPr>
        <w:instrText xml:space="preserve"> TA \s "Matthews v R (2014) 44 VR 280"</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"Matthews v R; Vu v R; Hashmi v R (2014) 44 VR 280" </w:instrText>
      </w:r>
      <w:r w:rsidRPr="00EB7F1E">
        <w:rPr>
          <w:rFonts w:asciiTheme="minorHAnsi" w:hAnsiTheme="minorHAnsi" w:cstheme="minorHAnsi"/>
        </w:rPr>
        <w:fldChar w:fldCharType="end"/>
      </w:r>
      <w:r w:rsidRPr="007809F4">
        <w:rPr>
          <w:rFonts w:asciiTheme="minorHAnsi" w:hAnsiTheme="minorHAnsi" w:cstheme="minorHAnsi"/>
        </w:rPr>
        <w:t>, [22]-[25].</w:t>
      </w:r>
    </w:p>
  </w:footnote>
  <w:footnote w:id="1014">
    <w:p w14:paraId="642B264C" w14:textId="3E3C78A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Tait</w:t>
      </w:r>
      <w:r w:rsidRPr="007809F4">
        <w:rPr>
          <w:rFonts w:asciiTheme="minorHAnsi" w:hAnsiTheme="minorHAnsi" w:cstheme="minorHAnsi"/>
        </w:rPr>
        <w:t xml:space="preserve"> (1979) 24 ALR 473</w:t>
      </w:r>
      <w:r w:rsidRPr="00EB7F1E">
        <w:rPr>
          <w:rFonts w:asciiTheme="minorHAnsi" w:hAnsiTheme="minorHAnsi" w:cstheme="minorHAnsi"/>
        </w:rPr>
        <w:fldChar w:fldCharType="begin"/>
      </w:r>
      <w:r w:rsidRPr="007809F4">
        <w:rPr>
          <w:rFonts w:asciiTheme="minorHAnsi" w:hAnsiTheme="minorHAnsi" w:cstheme="minorHAnsi"/>
        </w:rPr>
        <w:instrText xml:space="preserve"> TA \s "R v Tait (1979) 24 ALR 473" </w:instrText>
      </w:r>
      <w:r w:rsidRPr="00EB7F1E">
        <w:rPr>
          <w:rFonts w:asciiTheme="minorHAnsi" w:hAnsiTheme="minorHAnsi" w:cstheme="minorHAnsi"/>
        </w:rPr>
        <w:fldChar w:fldCharType="end"/>
      </w:r>
      <w:r w:rsidRPr="007809F4">
        <w:rPr>
          <w:rFonts w:asciiTheme="minorHAnsi" w:hAnsiTheme="minorHAnsi" w:cstheme="minorHAnsi"/>
        </w:rPr>
        <w:t>, 477.</w:t>
      </w:r>
      <w:r w:rsidRPr="00EB7F1E">
        <w:rPr>
          <w:rFonts w:asciiTheme="minorHAnsi" w:hAnsiTheme="minorHAnsi" w:cstheme="minorHAnsi"/>
        </w:rPr>
        <w:fldChar w:fldCharType="begin"/>
      </w:r>
      <w:r w:rsidRPr="007809F4">
        <w:rPr>
          <w:rFonts w:asciiTheme="minorHAnsi" w:hAnsiTheme="minorHAnsi" w:cstheme="minorHAnsi"/>
        </w:rPr>
        <w:instrText xml:space="preserve">  "R v McLeod (2007) 16 VR 682" </w:instrText>
      </w:r>
      <w:r w:rsidRPr="00EB7F1E">
        <w:rPr>
          <w:rFonts w:asciiTheme="minorHAnsi" w:hAnsiTheme="minorHAnsi" w:cstheme="minorHAnsi"/>
        </w:rPr>
        <w:fldChar w:fldCharType="end"/>
      </w:r>
    </w:p>
  </w:footnote>
  <w:footnote w:id="1015">
    <w:p w14:paraId="02BCA2F3" w14:textId="25E07778" w:rsidR="00D44BCF" w:rsidRPr="007809F4" w:rsidRDefault="00D44BCF" w:rsidP="005D2110">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EB7F1E">
        <w:rPr>
          <w:rFonts w:asciiTheme="minorHAnsi" w:hAnsiTheme="minorHAnsi" w:cstheme="minorHAnsi"/>
          <w:i/>
          <w:szCs w:val="22"/>
        </w:rPr>
        <w:t>Sentencing Act 1991</w:t>
      </w:r>
      <w:r w:rsidRPr="00EB7F1E">
        <w:rPr>
          <w:rFonts w:asciiTheme="minorHAnsi" w:hAnsiTheme="minorHAnsi" w:cstheme="minorHAnsi"/>
          <w:szCs w:val="22"/>
        </w:rPr>
        <w:t xml:space="preserve"> (Vic), s 83A, which permits a court to defer sentencing for up to 12 months.</w:t>
      </w:r>
    </w:p>
  </w:footnote>
  <w:footnote w:id="1016">
    <w:p w14:paraId="34E7C09E" w14:textId="39718793" w:rsidR="00D44BCF" w:rsidRPr="007809F4" w:rsidRDefault="00D44BCF" w:rsidP="00E02FC3">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Togias</w:t>
      </w:r>
      <w:r w:rsidRPr="007809F4">
        <w:rPr>
          <w:rFonts w:asciiTheme="minorHAnsi" w:hAnsiTheme="minorHAnsi" w:cstheme="minorHAnsi"/>
        </w:rPr>
        <w:t xml:space="preserve"> [2001] NSWCCA 522</w:t>
      </w:r>
      <w:r w:rsidRPr="00EB7F1E">
        <w:rPr>
          <w:rFonts w:asciiTheme="minorHAnsi" w:hAnsiTheme="minorHAnsi" w:cstheme="minorHAnsi"/>
        </w:rPr>
        <w:fldChar w:fldCharType="begin"/>
      </w:r>
      <w:r w:rsidRPr="007809F4">
        <w:rPr>
          <w:rFonts w:asciiTheme="minorHAnsi" w:hAnsiTheme="minorHAnsi" w:cstheme="minorHAnsi"/>
        </w:rPr>
        <w:instrText xml:space="preserve"> TA \s "R v Togias [2001] NSWCCA 522"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Togias (2001) 127 A Crim R 23" </w:instrText>
      </w:r>
      <w:r w:rsidRPr="00EB7F1E">
        <w:rPr>
          <w:rFonts w:asciiTheme="minorHAnsi" w:hAnsiTheme="minorHAnsi" w:cstheme="minorHAnsi"/>
        </w:rPr>
        <w:fldChar w:fldCharType="end"/>
      </w:r>
      <w:r w:rsidRPr="007809F4">
        <w:rPr>
          <w:rFonts w:asciiTheme="minorHAnsi" w:hAnsiTheme="minorHAnsi" w:cstheme="minorHAnsi"/>
        </w:rPr>
        <w:t>, [6].</w:t>
      </w:r>
    </w:p>
  </w:footnote>
  <w:footnote w:id="1017">
    <w:p w14:paraId="1D571191" w14:textId="4766D0B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Newman v A (A Child) </w:t>
      </w:r>
      <w:r w:rsidRPr="007809F4">
        <w:rPr>
          <w:rFonts w:asciiTheme="minorHAnsi" w:hAnsiTheme="minorHAnsi" w:cstheme="minorHAnsi"/>
        </w:rPr>
        <w:t>(1992) 9 WAR 14</w:t>
      </w:r>
      <w:r w:rsidRPr="00EB7F1E">
        <w:rPr>
          <w:rFonts w:asciiTheme="minorHAnsi" w:hAnsiTheme="minorHAnsi" w:cstheme="minorHAnsi"/>
        </w:rPr>
        <w:fldChar w:fldCharType="begin"/>
      </w:r>
      <w:r w:rsidRPr="007809F4">
        <w:rPr>
          <w:rFonts w:asciiTheme="minorHAnsi" w:hAnsiTheme="minorHAnsi" w:cstheme="minorHAnsi"/>
        </w:rPr>
        <w:instrText xml:space="preserve"> TA \s "Newman v A (a child) (1992) 9 WAR 14"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18">
    <w:p w14:paraId="1003D380" w14:textId="7174E349" w:rsidR="00D44BCF" w:rsidRPr="007809F4" w:rsidRDefault="00D44BCF" w:rsidP="00732B58">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application of State and Territory laws by Judiciary Act 1903, ss 68 and 79</w:t>
      </w:r>
      <w:r w:rsidRPr="00EB7F1E">
        <w:rPr>
          <w:rFonts w:asciiTheme="minorHAnsi" w:hAnsiTheme="minorHAnsi" w:cstheme="minorHAnsi"/>
        </w:rPr>
        <w:fldChar w:fldCharType="end"/>
      </w:r>
      <w:r w:rsidRPr="007809F4">
        <w:rPr>
          <w:rFonts w:asciiTheme="minorHAnsi" w:hAnsiTheme="minorHAnsi" w:cstheme="minorHAnsi"/>
        </w:rPr>
        <w:t>”.</w:t>
      </w:r>
    </w:p>
  </w:footnote>
  <w:footnote w:id="1019">
    <w:p w14:paraId="629CBB36" w14:textId="64D54FF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State and Territory laws cannot, of their own force, bind a court exercising federal jurisdiction: </w:t>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xml:space="preserve">, [21]; </w:t>
      </w:r>
      <w:r w:rsidRPr="00EB7F1E">
        <w:rPr>
          <w:rFonts w:asciiTheme="minorHAnsi" w:hAnsiTheme="minorHAnsi" w:cstheme="minorHAnsi"/>
          <w:i/>
          <w:iCs/>
        </w:rPr>
        <w:t>R</w:t>
      </w:r>
      <w:r w:rsidRPr="007809F4">
        <w:rPr>
          <w:rFonts w:asciiTheme="minorHAnsi" w:hAnsiTheme="minorHAnsi" w:cstheme="minorHAnsi"/>
          <w:i/>
          <w:iCs/>
        </w:rPr>
        <w:t xml:space="preserve"> </w:t>
      </w:r>
      <w:r w:rsidRPr="007809F4">
        <w:rPr>
          <w:rFonts w:asciiTheme="minorHAnsi" w:hAnsiTheme="minorHAnsi" w:cstheme="minorHAnsi"/>
          <w:i/>
        </w:rPr>
        <w:t xml:space="preserve">v </w:t>
      </w:r>
      <w:r w:rsidRPr="007809F4">
        <w:rPr>
          <w:rFonts w:asciiTheme="minorHAnsi" w:hAnsiTheme="minorHAnsi" w:cstheme="minorHAnsi"/>
        </w:rPr>
        <w:t>Gee (2003) 212 CLR 230</w:t>
      </w:r>
      <w:r w:rsidRPr="00EB7F1E">
        <w:rPr>
          <w:rFonts w:asciiTheme="minorHAnsi" w:hAnsiTheme="minorHAnsi" w:cstheme="minorHAnsi"/>
        </w:rPr>
        <w:fldChar w:fldCharType="begin"/>
      </w:r>
      <w:r w:rsidRPr="007809F4">
        <w:rPr>
          <w:rFonts w:asciiTheme="minorHAnsi" w:hAnsiTheme="minorHAnsi" w:cstheme="minorHAnsi"/>
        </w:rPr>
        <w:instrText xml:space="preserve"> TA \s "R v Gee (2003) 212 CLR 230" </w:instrText>
      </w:r>
      <w:r w:rsidRPr="00EB7F1E">
        <w:rPr>
          <w:rFonts w:asciiTheme="minorHAnsi" w:hAnsiTheme="minorHAnsi" w:cstheme="minorHAnsi"/>
        </w:rPr>
        <w:fldChar w:fldCharType="end"/>
      </w:r>
      <w:r w:rsidRPr="007809F4">
        <w:rPr>
          <w:rFonts w:asciiTheme="minorHAnsi" w:hAnsiTheme="minorHAnsi" w:cstheme="minorHAnsi"/>
        </w:rPr>
        <w:t xml:space="preserve">, [100]; </w:t>
      </w:r>
      <w:r w:rsidRPr="007809F4">
        <w:rPr>
          <w:rFonts w:asciiTheme="minorHAnsi" w:hAnsiTheme="minorHAnsi" w:cstheme="minorHAnsi"/>
          <w:i/>
        </w:rPr>
        <w:t>Hili v R</w:t>
      </w:r>
      <w:r w:rsidRPr="007809F4">
        <w:rPr>
          <w:rFonts w:asciiTheme="minorHAnsi" w:hAnsiTheme="minorHAnsi" w:cstheme="minorHAnsi"/>
        </w:rPr>
        <w:t xml:space="preserve"> (2010) 242 CLR 520</w:t>
      </w:r>
      <w:r w:rsidRPr="00EB7F1E">
        <w:rPr>
          <w:rFonts w:asciiTheme="minorHAnsi" w:hAnsiTheme="minorHAnsi" w:cstheme="minorHAnsi"/>
        </w:rPr>
        <w:fldChar w:fldCharType="begin"/>
      </w:r>
      <w:r w:rsidRPr="007809F4">
        <w:rPr>
          <w:rFonts w:asciiTheme="minorHAnsi" w:hAnsiTheme="minorHAnsi" w:cstheme="minorHAnsi"/>
        </w:rPr>
        <w:instrText xml:space="preserve"> TA \s "Hili v R (2010) 242 CLR 520"</w:instrText>
      </w:r>
      <w:r w:rsidRPr="00EB7F1E">
        <w:rPr>
          <w:rFonts w:asciiTheme="minorHAnsi" w:hAnsiTheme="minorHAnsi" w:cstheme="minorHAnsi"/>
        </w:rPr>
        <w:fldChar w:fldCharType="end"/>
      </w:r>
      <w:r w:rsidRPr="007809F4">
        <w:rPr>
          <w:rFonts w:asciiTheme="minorHAnsi" w:hAnsiTheme="minorHAnsi" w:cstheme="minorHAnsi"/>
        </w:rPr>
        <w:t>, [21];</w:t>
      </w:r>
      <w:r w:rsidRPr="00EB7F1E">
        <w:rPr>
          <w:rFonts w:asciiTheme="minorHAnsi" w:hAnsiTheme="minorHAnsi" w:cstheme="minorHAnsi"/>
          <w:i/>
        </w:rPr>
        <w:t xml:space="preserve"> </w:t>
      </w:r>
      <w:r w:rsidRPr="007809F4">
        <w:rPr>
          <w:rFonts w:asciiTheme="minorHAnsi" w:hAnsiTheme="minorHAnsi" w:cstheme="minorHAnsi"/>
          <w:i/>
        </w:rPr>
        <w:t>Rizeq v R</w:t>
      </w:r>
      <w:r w:rsidRPr="007809F4">
        <w:rPr>
          <w:rFonts w:asciiTheme="minorHAnsi" w:hAnsiTheme="minorHAnsi" w:cstheme="minorHAnsi"/>
        </w:rPr>
        <w:t xml:space="preserve"> (2017) 262 CLR 1</w:t>
      </w:r>
      <w:r w:rsidRPr="00EB7F1E">
        <w:rPr>
          <w:rFonts w:asciiTheme="minorHAnsi" w:hAnsiTheme="minorHAnsi" w:cstheme="minorHAnsi"/>
        </w:rPr>
        <w:fldChar w:fldCharType="begin"/>
      </w:r>
      <w:r w:rsidRPr="007809F4">
        <w:rPr>
          <w:rFonts w:asciiTheme="minorHAnsi" w:hAnsiTheme="minorHAnsi" w:cstheme="minorHAnsi"/>
        </w:rPr>
        <w:instrText xml:space="preserve"> TA \s "Rizeq v R (2017) 262 CLR 1" </w:instrText>
      </w:r>
      <w:r w:rsidRPr="00EB7F1E">
        <w:rPr>
          <w:rFonts w:asciiTheme="minorHAnsi" w:hAnsiTheme="minorHAnsi" w:cstheme="minorHAnsi"/>
        </w:rPr>
        <w:fldChar w:fldCharType="end"/>
      </w:r>
      <w:r w:rsidRPr="007809F4">
        <w:rPr>
          <w:rFonts w:asciiTheme="minorHAnsi" w:hAnsiTheme="minorHAnsi" w:cstheme="minorHAnsi"/>
        </w:rPr>
        <w:t>, [15], [21], [57], [60]-[61].</w:t>
      </w:r>
    </w:p>
  </w:footnote>
  <w:footnote w:id="1020">
    <w:p w14:paraId="11DF6B6C" w14:textId="7B1AAB4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Boulos</w:t>
      </w:r>
      <w:r w:rsidRPr="007809F4">
        <w:rPr>
          <w:rFonts w:asciiTheme="minorHAnsi" w:hAnsiTheme="minorHAnsi" w:cstheme="minorHAnsi"/>
        </w:rPr>
        <w:t xml:space="preserve"> (1988) 37 A Crim R 461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Boulos</w:instrText>
      </w:r>
      <w:r w:rsidRPr="007809F4">
        <w:rPr>
          <w:rFonts w:asciiTheme="minorHAnsi" w:hAnsiTheme="minorHAnsi" w:cstheme="minorHAnsi"/>
        </w:rPr>
        <w:instrText xml:space="preserve"> (1988) 37 A Crim R 461</w:instrText>
      </w:r>
      <w:r w:rsidRPr="00EB7F1E">
        <w:rPr>
          <w:rFonts w:asciiTheme="minorHAnsi" w:hAnsiTheme="minorHAnsi" w:cstheme="minorHAnsi"/>
        </w:rPr>
        <w:instrText xml:space="preserve">" \s "R v Boulos (1988) 37 A Crim R 461"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rPr>
        <w:t>Dreezer v Duvnjak</w:t>
      </w:r>
      <w:r w:rsidRPr="007809F4">
        <w:rPr>
          <w:rFonts w:asciiTheme="minorHAnsi" w:hAnsiTheme="minorHAnsi" w:cstheme="minorHAnsi"/>
        </w:rPr>
        <w:t xml:space="preserve"> </w:t>
      </w:r>
      <w:r w:rsidRPr="00EB7F1E">
        <w:rPr>
          <w:rFonts w:asciiTheme="minorHAnsi" w:hAnsiTheme="minorHAnsi" w:cstheme="minorHAnsi"/>
        </w:rPr>
        <w:t>(1996) 6 Tas R 294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Dreezer v Duvnjak</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(1996) 6 Tas R 294" \s "Dreezer v Duvnjak (1996) 6 Tas R 294"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21">
    <w:p w14:paraId="5CF72184" w14:textId="516367C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McMillan v Bierwirth</w:t>
      </w:r>
      <w:r w:rsidRPr="007809F4">
        <w:rPr>
          <w:rFonts w:asciiTheme="minorHAnsi" w:hAnsiTheme="minorHAnsi" w:cstheme="minorHAnsi"/>
        </w:rPr>
        <w:t xml:space="preserve"> (1987) 49 SASR 403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McMillan v Bierwirth</w:instrText>
      </w:r>
      <w:r w:rsidRPr="007809F4">
        <w:rPr>
          <w:rFonts w:asciiTheme="minorHAnsi" w:hAnsiTheme="minorHAnsi" w:cstheme="minorHAnsi"/>
        </w:rPr>
        <w:instrText xml:space="preserve"> (1987) 49 SASR 403</w:instrText>
      </w:r>
      <w:r w:rsidRPr="00EB7F1E">
        <w:rPr>
          <w:rFonts w:asciiTheme="minorHAnsi" w:hAnsiTheme="minorHAnsi" w:cstheme="minorHAnsi"/>
        </w:rPr>
        <w:instrText xml:space="preserve">" \s "McMillan v Bierwirth (1987) 49 SASR 403"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22">
    <w:p w14:paraId="33458491" w14:textId="63F5CC0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prescribed form is Form 1 in the </w:t>
      </w:r>
      <w:r w:rsidRPr="007809F4">
        <w:rPr>
          <w:rFonts w:asciiTheme="minorHAnsi" w:hAnsiTheme="minorHAnsi" w:cstheme="minorHAnsi"/>
          <w:i/>
        </w:rPr>
        <w:t xml:space="preserve">Crimes Regulations </w:t>
      </w:r>
      <w:r w:rsidRPr="00EB7F1E">
        <w:rPr>
          <w:rFonts w:asciiTheme="minorHAnsi" w:hAnsiTheme="minorHAnsi" w:cstheme="minorHAnsi"/>
          <w:i/>
          <w:color w:val="548DD4" w:themeColor="text2" w:themeTint="99"/>
        </w:rPr>
        <w:t>2019</w:t>
      </w:r>
      <w:r w:rsidRPr="007809F4">
        <w:rPr>
          <w:rFonts w:asciiTheme="minorHAnsi" w:hAnsiTheme="minorHAnsi" w:cstheme="minorHAnsi"/>
        </w:rPr>
        <w:t xml:space="preserve"> (Cth).</w:t>
      </w:r>
    </w:p>
  </w:footnote>
  <w:footnote w:id="1023">
    <w:p w14:paraId="71E546D6" w14:textId="6AE5B2E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The reference to the maximum penalty must be taken as a reference to the maximum penalty provided by statute, not the maximum that could properly be imposed having regard to the circumstances of the offending: cf.</w:t>
      </w:r>
      <w:r w:rsidRPr="007809F4">
        <w:rPr>
          <w:rFonts w:asciiTheme="minorHAnsi" w:hAnsiTheme="minorHAnsi" w:cstheme="minorHAnsi"/>
          <w:i/>
        </w:rPr>
        <w:t xml:space="preserve"> Abbas v R</w:t>
      </w:r>
      <w:r w:rsidRPr="007809F4">
        <w:rPr>
          <w:rFonts w:asciiTheme="minorHAnsi" w:hAnsiTheme="minorHAnsi" w:cstheme="minorHAnsi"/>
        </w:rPr>
        <w:t xml:space="preserve"> [2013] NSWCCA 115</w:t>
      </w:r>
      <w:r w:rsidRPr="00EB7F1E">
        <w:rPr>
          <w:rFonts w:asciiTheme="minorHAnsi" w:hAnsiTheme="minorHAnsi" w:cstheme="minorHAnsi"/>
        </w:rPr>
        <w:fldChar w:fldCharType="begin"/>
      </w:r>
      <w:r w:rsidRPr="007809F4">
        <w:rPr>
          <w:rFonts w:asciiTheme="minorHAnsi" w:hAnsiTheme="minorHAnsi" w:cstheme="minorHAnsi"/>
        </w:rPr>
        <w:instrText xml:space="preserve"> TA \s "Abbas v R [2013] NSWCCA 115" </w:instrText>
      </w:r>
      <w:r w:rsidRPr="00EB7F1E">
        <w:rPr>
          <w:rFonts w:asciiTheme="minorHAnsi" w:hAnsiTheme="minorHAnsi" w:cstheme="minorHAnsi"/>
        </w:rPr>
        <w:fldChar w:fldCharType="end"/>
      </w:r>
      <w:r w:rsidRPr="007809F4">
        <w:rPr>
          <w:rFonts w:asciiTheme="minorHAnsi" w:hAnsiTheme="minorHAnsi" w:cstheme="minorHAnsi"/>
        </w:rPr>
        <w:t>, [46]-[48].</w:t>
      </w:r>
    </w:p>
  </w:footnote>
  <w:footnote w:id="1024">
    <w:p w14:paraId="4E219CB0" w14:textId="062A96F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Cook</w:t>
      </w:r>
      <w:r w:rsidRPr="007809F4">
        <w:rPr>
          <w:rFonts w:asciiTheme="minorHAnsi" w:hAnsiTheme="minorHAnsi" w:cstheme="minorHAnsi"/>
        </w:rPr>
        <w:t xml:space="preserve"> [2018] TASCCA 20</w:t>
      </w:r>
      <w:r w:rsidRPr="00EB7F1E">
        <w:rPr>
          <w:rFonts w:asciiTheme="minorHAnsi" w:hAnsiTheme="minorHAnsi" w:cstheme="minorHAnsi"/>
        </w:rPr>
        <w:fldChar w:fldCharType="begin"/>
      </w:r>
      <w:r w:rsidRPr="007809F4">
        <w:rPr>
          <w:rFonts w:asciiTheme="minorHAnsi" w:hAnsiTheme="minorHAnsi" w:cstheme="minorHAnsi"/>
        </w:rPr>
        <w:instrText xml:space="preserve"> TA \s "R v Cook [2018] TASCCA 20" </w:instrText>
      </w:r>
      <w:r w:rsidRPr="00EB7F1E">
        <w:rPr>
          <w:rFonts w:asciiTheme="minorHAnsi" w:hAnsiTheme="minorHAnsi" w:cstheme="minorHAnsi"/>
        </w:rPr>
        <w:fldChar w:fldCharType="end"/>
      </w:r>
      <w:r w:rsidRPr="007809F4">
        <w:rPr>
          <w:rFonts w:asciiTheme="minorHAnsi" w:hAnsiTheme="minorHAnsi" w:cstheme="minorHAnsi"/>
        </w:rPr>
        <w:t>, [6]-[7], [27], [80].</w:t>
      </w:r>
    </w:p>
  </w:footnote>
  <w:footnote w:id="1025">
    <w:p w14:paraId="734C64A7" w14:textId="43FCF40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Assafiri v R </w:t>
      </w:r>
      <w:r w:rsidRPr="007809F4">
        <w:rPr>
          <w:rFonts w:asciiTheme="minorHAnsi" w:hAnsiTheme="minorHAnsi" w:cstheme="minorHAnsi"/>
        </w:rPr>
        <w:t>[2007] NSWCCA 159</w:t>
      </w:r>
      <w:r w:rsidRPr="00EB7F1E">
        <w:rPr>
          <w:rFonts w:asciiTheme="minorHAnsi" w:hAnsiTheme="minorHAnsi" w:cstheme="minorHAnsi"/>
        </w:rPr>
        <w:fldChar w:fldCharType="begin"/>
      </w:r>
      <w:r w:rsidRPr="007809F4">
        <w:rPr>
          <w:rFonts w:asciiTheme="minorHAnsi" w:hAnsiTheme="minorHAnsi" w:cstheme="minorHAnsi"/>
        </w:rPr>
        <w:instrText xml:space="preserve"> TA \s "Assafiri v R [2007] NSWCCA 159" </w:instrText>
      </w:r>
      <w:r w:rsidRPr="00EB7F1E">
        <w:rPr>
          <w:rFonts w:asciiTheme="minorHAnsi" w:hAnsiTheme="minorHAnsi" w:cstheme="minorHAnsi"/>
        </w:rPr>
        <w:fldChar w:fldCharType="end"/>
      </w:r>
      <w:r w:rsidRPr="007809F4">
        <w:rPr>
          <w:rFonts w:asciiTheme="minorHAnsi" w:hAnsiTheme="minorHAnsi" w:cstheme="minorHAnsi"/>
        </w:rPr>
        <w:t xml:space="preserve">, [8]-[9].  The observations were </w:t>
      </w:r>
      <w:r w:rsidRPr="007809F4">
        <w:rPr>
          <w:rFonts w:asciiTheme="minorHAnsi" w:hAnsiTheme="minorHAnsi" w:cstheme="minorHAnsi"/>
          <w:i/>
        </w:rPr>
        <w:t>obiter dicta</w:t>
      </w:r>
      <w:r w:rsidRPr="007809F4">
        <w:rPr>
          <w:rFonts w:asciiTheme="minorHAnsi" w:hAnsiTheme="minorHAnsi" w:cstheme="minorHAnsi"/>
        </w:rPr>
        <w:t xml:space="preserve">. </w:t>
      </w:r>
    </w:p>
  </w:footnote>
  <w:footnote w:id="1026">
    <w:p w14:paraId="204FEB29" w14:textId="6F25478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Assafiri v R </w:t>
      </w:r>
      <w:r w:rsidRPr="007809F4">
        <w:rPr>
          <w:rFonts w:asciiTheme="minorHAnsi" w:hAnsiTheme="minorHAnsi" w:cstheme="minorHAnsi"/>
        </w:rPr>
        <w:t>[2007] NSWCCA 159</w:t>
      </w:r>
      <w:r w:rsidRPr="00EB7F1E">
        <w:rPr>
          <w:rFonts w:asciiTheme="minorHAnsi" w:hAnsiTheme="minorHAnsi" w:cstheme="minorHAnsi"/>
        </w:rPr>
        <w:fldChar w:fldCharType="begin"/>
      </w:r>
      <w:r w:rsidRPr="007809F4">
        <w:rPr>
          <w:rFonts w:asciiTheme="minorHAnsi" w:hAnsiTheme="minorHAnsi" w:cstheme="minorHAnsi"/>
        </w:rPr>
        <w:instrText xml:space="preserve"> TA \s "Assafiri v R [2007] NSWCCA 159" </w:instrText>
      </w:r>
      <w:r w:rsidRPr="00EB7F1E">
        <w:rPr>
          <w:rFonts w:asciiTheme="minorHAnsi" w:hAnsiTheme="minorHAnsi" w:cstheme="minorHAnsi"/>
        </w:rPr>
        <w:fldChar w:fldCharType="end"/>
      </w:r>
      <w:r w:rsidRPr="007809F4">
        <w:rPr>
          <w:rFonts w:asciiTheme="minorHAnsi" w:hAnsiTheme="minorHAnsi" w:cstheme="minorHAnsi"/>
        </w:rPr>
        <w:t xml:space="preserve">, [8]-[9]. </w:t>
      </w:r>
    </w:p>
  </w:footnote>
  <w:footnote w:id="1027">
    <w:p w14:paraId="3C56C16E" w14:textId="4D6EFD9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Sparos v R </w:t>
      </w:r>
      <w:r w:rsidRPr="007809F4">
        <w:rPr>
          <w:rFonts w:asciiTheme="minorHAnsi" w:hAnsiTheme="minorHAnsi" w:cstheme="minorHAnsi"/>
          <w:iCs/>
        </w:rPr>
        <w:t>[</w:t>
      </w:r>
      <w:r w:rsidRPr="007809F4">
        <w:rPr>
          <w:rFonts w:asciiTheme="minorHAnsi" w:hAnsiTheme="minorHAnsi" w:cstheme="minorHAnsi"/>
        </w:rPr>
        <w:t>2013] NSWCCA 223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Sparos v R </w:instrText>
      </w:r>
      <w:r w:rsidRPr="007809F4">
        <w:rPr>
          <w:rFonts w:asciiTheme="minorHAnsi" w:hAnsiTheme="minorHAnsi" w:cstheme="minorHAnsi"/>
          <w:iCs/>
        </w:rPr>
        <w:instrText>[</w:instrText>
      </w:r>
      <w:r w:rsidRPr="007809F4">
        <w:rPr>
          <w:rFonts w:asciiTheme="minorHAnsi" w:hAnsiTheme="minorHAnsi" w:cstheme="minorHAnsi"/>
        </w:rPr>
        <w:instrText>2013] NSWCCA 223</w:instrText>
      </w:r>
      <w:r w:rsidRPr="00EB7F1E">
        <w:rPr>
          <w:rFonts w:asciiTheme="minorHAnsi" w:hAnsiTheme="minorHAnsi" w:cstheme="minorHAnsi"/>
        </w:rPr>
        <w:instrText xml:space="preserve">" \s "Sparos v R [2013] NSWCCA 223" \c 1 </w:instrText>
      </w:r>
      <w:r w:rsidRPr="00EB7F1E">
        <w:rPr>
          <w:rFonts w:asciiTheme="minorHAnsi" w:hAnsiTheme="minorHAnsi" w:cstheme="minorHAnsi"/>
        </w:rPr>
        <w:fldChar w:fldCharType="end"/>
      </w:r>
      <w:r w:rsidRPr="007809F4">
        <w:rPr>
          <w:rFonts w:asciiTheme="minorHAnsi" w:hAnsiTheme="minorHAnsi" w:cstheme="minorHAnsi"/>
        </w:rPr>
        <w:t xml:space="preserve">.  </w:t>
      </w:r>
    </w:p>
  </w:footnote>
  <w:footnote w:id="1028">
    <w:p w14:paraId="5A3C1B77" w14:textId="33681F4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Under the State leglislation considered in </w:t>
      </w:r>
      <w:r w:rsidRPr="007809F4">
        <w:rPr>
          <w:rFonts w:asciiTheme="minorHAnsi" w:hAnsiTheme="minorHAnsi" w:cstheme="minorHAnsi"/>
          <w:i/>
        </w:rPr>
        <w:t xml:space="preserve">Sparos v R </w:t>
      </w:r>
      <w:r w:rsidRPr="007809F4">
        <w:rPr>
          <w:rFonts w:asciiTheme="minorHAnsi" w:hAnsiTheme="minorHAnsi" w:cstheme="minorHAnsi"/>
          <w:iCs/>
        </w:rPr>
        <w:t>[</w:t>
      </w:r>
      <w:r w:rsidRPr="007809F4">
        <w:rPr>
          <w:rFonts w:asciiTheme="minorHAnsi" w:hAnsiTheme="minorHAnsi" w:cstheme="minorHAnsi"/>
        </w:rPr>
        <w:t>2013] NSWCCA 223</w:t>
      </w:r>
      <w:r w:rsidRPr="00EB7F1E">
        <w:rPr>
          <w:rFonts w:asciiTheme="minorHAnsi" w:hAnsiTheme="minorHAnsi" w:cstheme="minorHAnsi"/>
        </w:rPr>
        <w:fldChar w:fldCharType="begin"/>
      </w:r>
      <w:r w:rsidRPr="007809F4">
        <w:rPr>
          <w:rFonts w:asciiTheme="minorHAnsi" w:hAnsiTheme="minorHAnsi" w:cstheme="minorHAnsi"/>
        </w:rPr>
        <w:instrText xml:space="preserve"> TA \s "Sparos v R [2013] NSWCCA 223" </w:instrText>
      </w:r>
      <w:r w:rsidRPr="00EB7F1E">
        <w:rPr>
          <w:rFonts w:asciiTheme="minorHAnsi" w:hAnsiTheme="minorHAnsi" w:cstheme="minorHAnsi"/>
        </w:rPr>
        <w:fldChar w:fldCharType="end"/>
      </w:r>
      <w:r w:rsidRPr="00EB7F1E">
        <w:rPr>
          <w:rFonts w:asciiTheme="minorHAnsi" w:hAnsiTheme="minorHAnsi" w:cstheme="minorHAnsi"/>
        </w:rPr>
        <w:t>, a sentencing court could take an offence into account in “</w:t>
      </w:r>
      <w:r w:rsidRPr="00EB7F1E">
        <w:rPr>
          <w:rFonts w:asciiTheme="minorHAnsi" w:hAnsiTheme="minorHAnsi" w:cstheme="minorHAnsi"/>
          <w:i/>
          <w:iCs/>
        </w:rPr>
        <w:t>dealing with the offender for the principal offence</w:t>
      </w:r>
      <w:r w:rsidRPr="00EB7F1E">
        <w:rPr>
          <w:rFonts w:asciiTheme="minorHAnsi" w:hAnsiTheme="minorHAnsi" w:cstheme="minorHAnsi"/>
        </w:rPr>
        <w:t>”.</w:t>
      </w:r>
      <w:r w:rsidRPr="00EB7F1E">
        <w:rPr>
          <w:rStyle w:val="ssleftalign"/>
          <w:rFonts w:asciiTheme="minorHAnsi" w:hAnsiTheme="minorHAnsi" w:cstheme="minorHAnsi"/>
        </w:rPr>
        <w:t xml:space="preserve">  </w:t>
      </w:r>
      <w:r w:rsidRPr="007809F4">
        <w:rPr>
          <w:rFonts w:asciiTheme="minorHAnsi" w:hAnsiTheme="minorHAnsi" w:cstheme="minorHAnsi"/>
        </w:rPr>
        <w:t>Fullerton J (with whom Beazley P a</w:t>
      </w:r>
      <w:r w:rsidRPr="00EB7F1E">
        <w:rPr>
          <w:rFonts w:asciiTheme="minorHAnsi" w:hAnsiTheme="minorHAnsi" w:cstheme="minorHAnsi"/>
        </w:rPr>
        <w:t>greed) considered (at [5]) that that power was “</w:t>
      </w:r>
      <w:r w:rsidRPr="00EB7F1E">
        <w:rPr>
          <w:rFonts w:asciiTheme="minorHAnsi" w:hAnsiTheme="minorHAnsi" w:cstheme="minorHAnsi"/>
          <w:i/>
          <w:iCs/>
        </w:rPr>
        <w:t>intended to operate at the time that the sentence for that offence is imposed and not at the next stage in the sentencing process, when questions of accumulation or concurrency are considered and before the sentencing order is ultimately made.</w:t>
      </w:r>
      <w:r w:rsidRPr="007809F4">
        <w:rPr>
          <w:rFonts w:asciiTheme="minorHAnsi" w:hAnsiTheme="minorHAnsi" w:cstheme="minorHAnsi"/>
        </w:rPr>
        <w:t xml:space="preserve">”  By contrast, s 16BA(2) provides that a </w:t>
      </w:r>
      <w:r w:rsidRPr="00EB7F1E">
        <w:rPr>
          <w:rFonts w:asciiTheme="minorHAnsi" w:hAnsiTheme="minorHAnsi" w:cstheme="minorHAnsi"/>
        </w:rPr>
        <w:t xml:space="preserve">court </w:t>
      </w:r>
      <w:r w:rsidRPr="007809F4">
        <w:rPr>
          <w:rFonts w:asciiTheme="minorHAnsi" w:hAnsiTheme="minorHAnsi" w:cstheme="minorHAnsi"/>
        </w:rPr>
        <w:t>sentencing a federal offender may, if it thinks fit, take the offence or offences into account</w:t>
      </w:r>
      <w:r w:rsidRPr="00EB7F1E">
        <w:rPr>
          <w:rFonts w:asciiTheme="minorHAnsi" w:hAnsiTheme="minorHAnsi" w:cstheme="minorHAnsi"/>
        </w:rPr>
        <w:t xml:space="preserve"> </w:t>
      </w:r>
      <w:r w:rsidRPr="007809F4">
        <w:rPr>
          <w:rFonts w:asciiTheme="minorHAnsi" w:hAnsiTheme="minorHAnsi" w:cstheme="minorHAnsi"/>
        </w:rPr>
        <w:t>“</w:t>
      </w:r>
      <w:r w:rsidRPr="00EB7F1E">
        <w:rPr>
          <w:rFonts w:asciiTheme="minorHAnsi" w:hAnsiTheme="minorHAnsi" w:cstheme="minorHAnsi"/>
          <w:i/>
          <w:iCs/>
        </w:rPr>
        <w:t>in passing sentence on him or her for the offence or offences of which he or she has been convicted</w:t>
      </w:r>
      <w:r w:rsidRPr="007809F4">
        <w:rPr>
          <w:rFonts w:asciiTheme="minorHAnsi" w:hAnsiTheme="minorHAnsi" w:cstheme="minorHAnsi"/>
        </w:rPr>
        <w:t>”.  It seems at least arguable that “</w:t>
      </w:r>
      <w:r w:rsidRPr="00EB7F1E">
        <w:rPr>
          <w:rFonts w:asciiTheme="minorHAnsi" w:hAnsiTheme="minorHAnsi" w:cstheme="minorHAnsi"/>
          <w:i/>
          <w:iCs/>
        </w:rPr>
        <w:t>passing sentence</w:t>
      </w:r>
      <w:r w:rsidRPr="007809F4">
        <w:rPr>
          <w:rFonts w:asciiTheme="minorHAnsi" w:hAnsiTheme="minorHAnsi" w:cstheme="minorHAnsi"/>
        </w:rPr>
        <w:t>” includes the making of orders for the commencement of a sentence, or fixing the degree of concurrency or cumulation of a sentence, for the principal offence.</w:t>
      </w:r>
    </w:p>
  </w:footnote>
  <w:footnote w:id="1029">
    <w:p w14:paraId="4F6CDD82"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7809F4">
        <w:rPr>
          <w:rFonts w:asciiTheme="minorHAnsi" w:hAnsiTheme="minorHAnsi" w:cstheme="minorHAnsi"/>
          <w:i/>
        </w:rPr>
        <w:t xml:space="preserve">R v Nguyen </w:t>
      </w:r>
      <w:r w:rsidRPr="007809F4">
        <w:rPr>
          <w:rFonts w:asciiTheme="minorHAnsi" w:hAnsiTheme="minorHAnsi" w:cstheme="minorHAnsi"/>
        </w:rPr>
        <w:t>[2010] NSWCCA 238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R v Nguyen </w:instrText>
      </w:r>
      <w:r w:rsidRPr="007809F4">
        <w:rPr>
          <w:rFonts w:asciiTheme="minorHAnsi" w:hAnsiTheme="minorHAnsi" w:cstheme="minorHAnsi"/>
        </w:rPr>
        <w:instrText xml:space="preserve">[2010] NSWCCA 238" \s "R v Nguyen [2010] NSWCCA 238" \c 1 </w:instrText>
      </w:r>
      <w:r w:rsidRPr="00EB7F1E">
        <w:rPr>
          <w:rFonts w:asciiTheme="minorHAnsi" w:hAnsiTheme="minorHAnsi" w:cstheme="minorHAnsi"/>
        </w:rPr>
        <w:fldChar w:fldCharType="end"/>
      </w:r>
      <w:r w:rsidRPr="007809F4">
        <w:rPr>
          <w:rFonts w:asciiTheme="minorHAnsi" w:hAnsiTheme="minorHAnsi" w:cstheme="minorHAnsi"/>
        </w:rPr>
        <w:t xml:space="preserve"> two federal offences, each punishable by life imprisonment, were taken into account in sentencing the offender for another offence punishable by life imprisonment.</w:t>
      </w:r>
    </w:p>
  </w:footnote>
  <w:footnote w:id="1030">
    <w:p w14:paraId="2CC43D68" w14:textId="253BCE6A"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White</w:t>
      </w:r>
      <w:r w:rsidRPr="007809F4">
        <w:rPr>
          <w:rFonts w:asciiTheme="minorHAnsi" w:hAnsiTheme="minorHAnsi" w:cstheme="minorHAnsi"/>
        </w:rPr>
        <w:t xml:space="preserve"> (1981) 28 SASR 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White</w:instrText>
      </w:r>
      <w:r w:rsidRPr="007809F4">
        <w:rPr>
          <w:rFonts w:asciiTheme="minorHAnsi" w:hAnsiTheme="minorHAnsi" w:cstheme="minorHAnsi"/>
        </w:rPr>
        <w:instrText xml:space="preserve"> (1981) 28 SASR 9</w:instrText>
      </w:r>
      <w:r w:rsidRPr="00EB7F1E">
        <w:rPr>
          <w:rFonts w:asciiTheme="minorHAnsi" w:hAnsiTheme="minorHAnsi" w:cstheme="minorHAnsi"/>
        </w:rPr>
        <w:instrText xml:space="preserve">" \s "R v White (1981) 28 SASR 9" \c 1 </w:instrText>
      </w:r>
      <w:r w:rsidRPr="00EB7F1E">
        <w:rPr>
          <w:rFonts w:asciiTheme="minorHAnsi" w:hAnsiTheme="minorHAnsi" w:cstheme="minorHAnsi"/>
        </w:rPr>
        <w:fldChar w:fldCharType="end"/>
      </w:r>
      <w:r w:rsidRPr="007809F4">
        <w:rPr>
          <w:rFonts w:asciiTheme="minorHAnsi" w:hAnsiTheme="minorHAnsi" w:cstheme="minorHAnsi"/>
        </w:rPr>
        <w:t xml:space="preserve">, 11–12; </w:t>
      </w:r>
      <w:r w:rsidRPr="007809F4">
        <w:rPr>
          <w:rFonts w:asciiTheme="minorHAnsi" w:hAnsiTheme="minorHAnsi" w:cstheme="minorHAnsi"/>
          <w:i/>
        </w:rPr>
        <w:t>Attorney General’s Application Under s37 of the Crimes (Sentencing Procedure) Act 1999 No 1 of 2002</w:t>
      </w:r>
      <w:r w:rsidRPr="007809F4">
        <w:rPr>
          <w:rFonts w:asciiTheme="minorHAnsi" w:hAnsiTheme="minorHAnsi" w:cstheme="minorHAnsi"/>
        </w:rPr>
        <w:t xml:space="preserve"> (2002) 56 NSWLR 146</w:t>
      </w:r>
      <w:r w:rsidRPr="00EB7F1E">
        <w:rPr>
          <w:rFonts w:asciiTheme="minorHAnsi" w:hAnsiTheme="minorHAnsi" w:cstheme="minorHAnsi"/>
        </w:rPr>
        <w:fldChar w:fldCharType="begin"/>
      </w:r>
      <w:r w:rsidRPr="007809F4">
        <w:rPr>
          <w:rFonts w:asciiTheme="minorHAnsi" w:hAnsiTheme="minorHAnsi" w:cstheme="minorHAnsi"/>
        </w:rPr>
        <w:instrText xml:space="preserve"> TA \s "Attorney General’s Application Under s37 of the Crimes (Sentencing Procedure) Act 1999 No 1 of 2002 (2002) 56 NSWLR 146" </w:instrText>
      </w:r>
      <w:r w:rsidRPr="00EB7F1E">
        <w:rPr>
          <w:rFonts w:asciiTheme="minorHAnsi" w:hAnsiTheme="minorHAnsi" w:cstheme="minorHAnsi"/>
        </w:rPr>
        <w:fldChar w:fldCharType="end"/>
      </w:r>
      <w:r w:rsidRPr="007809F4">
        <w:rPr>
          <w:rFonts w:asciiTheme="minorHAnsi" w:hAnsiTheme="minorHAnsi" w:cstheme="minorHAnsi"/>
        </w:rPr>
        <w:t>, [46]-[57].</w:t>
      </w:r>
    </w:p>
  </w:footnote>
  <w:footnote w:id="1031">
    <w:p w14:paraId="23EDC523" w14:textId="103F018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Nakash</w:t>
      </w:r>
      <w:r w:rsidRPr="007809F4">
        <w:rPr>
          <w:rFonts w:asciiTheme="minorHAnsi" w:hAnsiTheme="minorHAnsi" w:cstheme="minorHAnsi"/>
        </w:rPr>
        <w:t xml:space="preserve"> [2017] NSWCCA 196</w:t>
      </w:r>
      <w:r w:rsidRPr="00EB7F1E">
        <w:rPr>
          <w:rFonts w:asciiTheme="minorHAnsi" w:hAnsiTheme="minorHAnsi" w:cstheme="minorHAnsi"/>
        </w:rPr>
        <w:fldChar w:fldCharType="begin"/>
      </w:r>
      <w:r w:rsidRPr="007809F4">
        <w:rPr>
          <w:rFonts w:asciiTheme="minorHAnsi" w:hAnsiTheme="minorHAnsi" w:cstheme="minorHAnsi"/>
        </w:rPr>
        <w:instrText xml:space="preserve"> TA \s "R v Nakash [2017] NSWCCA 196" </w:instrText>
      </w:r>
      <w:r w:rsidRPr="00EB7F1E">
        <w:rPr>
          <w:rFonts w:asciiTheme="minorHAnsi" w:hAnsiTheme="minorHAnsi" w:cstheme="minorHAnsi"/>
        </w:rPr>
        <w:fldChar w:fldCharType="end"/>
      </w:r>
      <w:r w:rsidRPr="007809F4">
        <w:rPr>
          <w:rFonts w:asciiTheme="minorHAnsi" w:hAnsiTheme="minorHAnsi" w:cstheme="minorHAnsi"/>
        </w:rPr>
        <w:t xml:space="preserve">.  Another example is </w:t>
      </w:r>
      <w:r w:rsidRPr="007809F4">
        <w:rPr>
          <w:rFonts w:asciiTheme="minorHAnsi" w:hAnsiTheme="minorHAnsi" w:cstheme="minorHAnsi"/>
          <w:i/>
        </w:rPr>
        <w:t>R v Lamella</w:t>
      </w:r>
      <w:r w:rsidRPr="007809F4">
        <w:rPr>
          <w:rFonts w:asciiTheme="minorHAnsi" w:hAnsiTheme="minorHAnsi" w:cstheme="minorHAnsi"/>
        </w:rPr>
        <w:t xml:space="preserve"> [2014] NSWCCA 122</w:t>
      </w:r>
      <w:r w:rsidRPr="00EB7F1E">
        <w:rPr>
          <w:rFonts w:asciiTheme="minorHAnsi" w:hAnsiTheme="minorHAnsi" w:cstheme="minorHAnsi"/>
        </w:rPr>
        <w:fldChar w:fldCharType="begin"/>
      </w:r>
      <w:r w:rsidRPr="007809F4">
        <w:rPr>
          <w:rFonts w:asciiTheme="minorHAnsi" w:hAnsiTheme="minorHAnsi" w:cstheme="minorHAnsi"/>
        </w:rPr>
        <w:instrText xml:space="preserve"> TA \s "R v Lamella [2014] NSWCCA 122" </w:instrText>
      </w:r>
      <w:r w:rsidRPr="00EB7F1E">
        <w:rPr>
          <w:rFonts w:asciiTheme="minorHAnsi" w:hAnsiTheme="minorHAnsi" w:cstheme="minorHAnsi"/>
        </w:rPr>
        <w:fldChar w:fldCharType="end"/>
      </w:r>
      <w:r w:rsidRPr="007809F4">
        <w:rPr>
          <w:rFonts w:asciiTheme="minorHAnsi" w:hAnsiTheme="minorHAnsi" w:cstheme="minorHAnsi"/>
        </w:rPr>
        <w:t>, in which corruption offences were taken into account in sentencing a Customs officer for his participation in a drug importation.</w:t>
      </w:r>
    </w:p>
  </w:footnote>
  <w:footnote w:id="1032">
    <w:p w14:paraId="0DB19C54" w14:textId="0977A98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generally </w:t>
      </w:r>
      <w:r w:rsidRPr="007809F4">
        <w:rPr>
          <w:rFonts w:asciiTheme="minorHAnsi" w:eastAsia="Calibri" w:hAnsiTheme="minorHAnsi" w:cstheme="minorHAnsi"/>
          <w:i/>
        </w:rPr>
        <w:t xml:space="preserve">Adams </w:t>
      </w:r>
      <w:r w:rsidRPr="007809F4">
        <w:rPr>
          <w:rFonts w:asciiTheme="minorHAnsi" w:eastAsia="Calibri" w:hAnsiTheme="minorHAnsi" w:cstheme="minorHAnsi"/>
        </w:rPr>
        <w:t xml:space="preserve">v </w:t>
      </w:r>
      <w:r w:rsidRPr="007809F4">
        <w:rPr>
          <w:rFonts w:asciiTheme="minorHAnsi" w:eastAsia="Calibri" w:hAnsiTheme="minorHAnsi" w:cstheme="minorHAnsi"/>
          <w:i/>
        </w:rPr>
        <w:t>Western Australia</w:t>
      </w:r>
      <w:r w:rsidRPr="007809F4">
        <w:rPr>
          <w:rFonts w:asciiTheme="minorHAnsi" w:eastAsia="Calibri" w:hAnsiTheme="minorHAnsi" w:cstheme="minorHAnsi"/>
        </w:rPr>
        <w:t xml:space="preserve"> [2014] WASCA 191</w:t>
      </w:r>
      <w:r w:rsidRPr="00EB7F1E">
        <w:rPr>
          <w:rFonts w:asciiTheme="minorHAnsi" w:eastAsia="Calibr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eastAsia="Calibri" w:hAnsiTheme="minorHAnsi" w:cstheme="minorHAnsi"/>
          <w:i/>
        </w:rPr>
        <w:instrText xml:space="preserve">Adams </w:instrText>
      </w:r>
      <w:r w:rsidRPr="007809F4">
        <w:rPr>
          <w:rFonts w:asciiTheme="minorHAnsi" w:eastAsia="Calibri" w:hAnsiTheme="minorHAnsi" w:cstheme="minorHAnsi"/>
        </w:rPr>
        <w:instrText xml:space="preserve">v </w:instrText>
      </w:r>
      <w:r w:rsidRPr="007809F4">
        <w:rPr>
          <w:rFonts w:asciiTheme="minorHAnsi" w:eastAsia="Calibri" w:hAnsiTheme="minorHAnsi" w:cstheme="minorHAnsi"/>
          <w:i/>
        </w:rPr>
        <w:instrText>Western Australia</w:instrText>
      </w:r>
      <w:r w:rsidRPr="007809F4">
        <w:rPr>
          <w:rFonts w:asciiTheme="minorHAnsi" w:eastAsia="Calibri" w:hAnsiTheme="minorHAnsi" w:cstheme="minorHAnsi"/>
        </w:rPr>
        <w:instrText xml:space="preserve"> [2014] WASCA 191</w:instrText>
      </w:r>
      <w:r w:rsidRPr="007809F4">
        <w:rPr>
          <w:rFonts w:asciiTheme="minorHAnsi" w:hAnsiTheme="minorHAnsi" w:cstheme="minorHAnsi"/>
        </w:rPr>
        <w:instrText>" \</w:instrText>
      </w:r>
      <w:r w:rsidRPr="007809F4">
        <w:rPr>
          <w:rFonts w:asciiTheme="minorHAnsi" w:eastAsia="Calibri" w:hAnsiTheme="minorHAnsi" w:cstheme="minorHAnsi"/>
        </w:rPr>
        <w:instrText>s "Adams v Western Australia [2014] WASCA 191" \c 1</w:instrText>
      </w:r>
      <w:r w:rsidRPr="007809F4">
        <w:rPr>
          <w:rFonts w:asciiTheme="minorHAnsi" w:hAnsiTheme="minorHAnsi" w:cstheme="minorHAnsi"/>
        </w:rPr>
        <w:instrText xml:space="preserve"> </w:instrText>
      </w:r>
      <w:r w:rsidRPr="00EB7F1E">
        <w:rPr>
          <w:rFonts w:asciiTheme="minorHAnsi" w:eastAsia="Calibri" w:hAnsiTheme="minorHAnsi" w:cstheme="minorHAnsi"/>
        </w:rPr>
        <w:fldChar w:fldCharType="end"/>
      </w:r>
      <w:r w:rsidRPr="007809F4">
        <w:rPr>
          <w:rFonts w:asciiTheme="minorHAnsi" w:eastAsia="Calibri" w:hAnsiTheme="minorHAnsi" w:cstheme="minorHAnsi"/>
        </w:rPr>
        <w:t>, where relevant authorities are collected.</w:t>
      </w:r>
    </w:p>
  </w:footnote>
  <w:footnote w:id="1033">
    <w:p w14:paraId="0A3728FD" w14:textId="7AB5BDF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decision in </w:t>
      </w:r>
      <w:r w:rsidRPr="007809F4">
        <w:rPr>
          <w:rFonts w:asciiTheme="minorHAnsi" w:eastAsia="Calibri" w:hAnsiTheme="minorHAnsi" w:cstheme="minorHAnsi"/>
          <w:i/>
        </w:rPr>
        <w:t xml:space="preserve">Adams </w:t>
      </w:r>
      <w:r w:rsidRPr="007809F4">
        <w:rPr>
          <w:rFonts w:asciiTheme="minorHAnsi" w:eastAsia="Calibri" w:hAnsiTheme="minorHAnsi" w:cstheme="minorHAnsi"/>
        </w:rPr>
        <w:t xml:space="preserve">v </w:t>
      </w:r>
      <w:r w:rsidRPr="007809F4">
        <w:rPr>
          <w:rFonts w:asciiTheme="minorHAnsi" w:eastAsia="Calibri" w:hAnsiTheme="minorHAnsi" w:cstheme="minorHAnsi"/>
          <w:i/>
        </w:rPr>
        <w:t>Western Australia</w:t>
      </w:r>
      <w:r w:rsidRPr="007809F4">
        <w:rPr>
          <w:rFonts w:asciiTheme="minorHAnsi" w:eastAsia="Calibri" w:hAnsiTheme="minorHAnsi" w:cstheme="minorHAnsi"/>
        </w:rPr>
        <w:t xml:space="preserve"> [2014] WASCA 191</w:t>
      </w:r>
      <w:r w:rsidRPr="00EB7F1E">
        <w:rPr>
          <w:rFonts w:asciiTheme="minorHAnsi" w:eastAsia="Calibri" w:hAnsiTheme="minorHAnsi" w:cstheme="minorHAnsi"/>
        </w:rPr>
        <w:fldChar w:fldCharType="begin"/>
      </w:r>
      <w:r w:rsidRPr="007809F4">
        <w:rPr>
          <w:rFonts w:asciiTheme="minorHAnsi" w:hAnsiTheme="minorHAnsi" w:cstheme="minorHAnsi"/>
        </w:rPr>
        <w:instrText xml:space="preserve"> TA \</w:instrText>
      </w:r>
      <w:r w:rsidRPr="007809F4">
        <w:rPr>
          <w:rFonts w:asciiTheme="minorHAnsi" w:eastAsia="Calibri" w:hAnsiTheme="minorHAnsi" w:cstheme="minorHAnsi"/>
        </w:rPr>
        <w:instrText>s "Adams v Western Australia [2014] WASCA 191"</w:instrText>
      </w:r>
      <w:r w:rsidRPr="00EB7F1E">
        <w:rPr>
          <w:rFonts w:asciiTheme="minorHAnsi" w:eastAsia="Calibri" w:hAnsiTheme="minorHAnsi" w:cstheme="minorHAnsi"/>
        </w:rPr>
        <w:fldChar w:fldCharType="end"/>
      </w:r>
      <w:r w:rsidRPr="007809F4">
        <w:rPr>
          <w:rFonts w:asciiTheme="minorHAnsi" w:eastAsia="Calibri" w:hAnsiTheme="minorHAnsi" w:cstheme="minorHAnsi"/>
        </w:rPr>
        <w:t xml:space="preserve"> may be read as supporting a conclusion that it can, but the majority in that case (Buss and Newnes JJA) emphasised the differences between the legislation there under consideration and legislation authorising offences to be taken into account.</w:t>
      </w:r>
    </w:p>
  </w:footnote>
  <w:footnote w:id="1034">
    <w:p w14:paraId="4B4F4639"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Law and Justice Amendment Act 1999; </w:t>
      </w:r>
      <w:r w:rsidRPr="007809F4">
        <w:rPr>
          <w:rFonts w:asciiTheme="minorHAnsi" w:hAnsiTheme="minorHAnsi" w:cstheme="minorHAnsi"/>
        </w:rPr>
        <w:t>Item 3 of Schedule 10.</w:t>
      </w:r>
    </w:p>
  </w:footnote>
  <w:footnote w:id="1035">
    <w:p w14:paraId="4393B12D" w14:textId="35FA074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s 145 of the </w:t>
      </w:r>
      <w:r w:rsidRPr="007809F4">
        <w:rPr>
          <w:rFonts w:asciiTheme="minorHAnsi" w:hAnsiTheme="minorHAnsi" w:cstheme="minorHAnsi"/>
          <w:i/>
        </w:rPr>
        <w:t xml:space="preserve">Criminal Procedure Act 2009 </w:t>
      </w:r>
      <w:r w:rsidRPr="007809F4">
        <w:rPr>
          <w:rFonts w:asciiTheme="minorHAnsi" w:hAnsiTheme="minorHAnsi" w:cstheme="minorHAnsi"/>
        </w:rPr>
        <w:t>(Vic) requires a magistrate, on committing an accused for trial, to order that all related charges for summary offences be transferred to the court that the accused has been committed to.  Section 243 of the Act also permits the Supreme Court and County Court to hear and determine an unrelated summary offence under certain circumstances.</w:t>
      </w:r>
    </w:p>
  </w:footnote>
  <w:footnote w:id="1036">
    <w:p w14:paraId="7D77D81D" w14:textId="2946016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eastAsia="Calibri" w:hAnsiTheme="minorHAnsi" w:cstheme="minorHAnsi"/>
          <w:i/>
        </w:rPr>
        <w:t xml:space="preserve">Adams </w:t>
      </w:r>
      <w:r w:rsidRPr="007809F4">
        <w:rPr>
          <w:rFonts w:asciiTheme="minorHAnsi" w:eastAsia="Calibri" w:hAnsiTheme="minorHAnsi" w:cstheme="minorHAnsi"/>
        </w:rPr>
        <w:t xml:space="preserve">v </w:t>
      </w:r>
      <w:r w:rsidRPr="007809F4">
        <w:rPr>
          <w:rFonts w:asciiTheme="minorHAnsi" w:eastAsia="Calibri" w:hAnsiTheme="minorHAnsi" w:cstheme="minorHAnsi"/>
          <w:i/>
        </w:rPr>
        <w:t>Western Australia</w:t>
      </w:r>
      <w:r w:rsidRPr="007809F4">
        <w:rPr>
          <w:rFonts w:asciiTheme="minorHAnsi" w:eastAsia="Calibri" w:hAnsiTheme="minorHAnsi" w:cstheme="minorHAnsi"/>
        </w:rPr>
        <w:t xml:space="preserve"> [2014] WASCA 191</w:t>
      </w:r>
      <w:r w:rsidRPr="00EB7F1E">
        <w:rPr>
          <w:rFonts w:asciiTheme="minorHAnsi" w:eastAsia="Calibri" w:hAnsiTheme="minorHAnsi" w:cstheme="minorHAnsi"/>
        </w:rPr>
        <w:fldChar w:fldCharType="begin"/>
      </w:r>
      <w:r w:rsidRPr="007809F4">
        <w:rPr>
          <w:rFonts w:asciiTheme="minorHAnsi" w:hAnsiTheme="minorHAnsi" w:cstheme="minorHAnsi"/>
        </w:rPr>
        <w:instrText xml:space="preserve"> TA \</w:instrText>
      </w:r>
      <w:r w:rsidRPr="007809F4">
        <w:rPr>
          <w:rFonts w:asciiTheme="minorHAnsi" w:eastAsia="Calibri" w:hAnsiTheme="minorHAnsi" w:cstheme="minorHAnsi"/>
        </w:rPr>
        <w:instrText>s "Adams v Western Australia [2014] WASCA 191"</w:instrText>
      </w:r>
      <w:r w:rsidRPr="00EB7F1E">
        <w:rPr>
          <w:rFonts w:asciiTheme="minorHAnsi" w:eastAsia="Calibri" w:hAnsiTheme="minorHAnsi" w:cstheme="minorHAnsi"/>
        </w:rPr>
        <w:fldChar w:fldCharType="end"/>
      </w:r>
      <w:r w:rsidRPr="007809F4">
        <w:rPr>
          <w:rFonts w:asciiTheme="minorHAnsi" w:eastAsia="Calibri" w:hAnsiTheme="minorHAnsi" w:cstheme="minorHAnsi"/>
        </w:rPr>
        <w:t>.</w:t>
      </w:r>
    </w:p>
  </w:footnote>
  <w:footnote w:id="1037">
    <w:p w14:paraId="38C4A0C1" w14:textId="2C1EA99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Corporations Act 2001</w:t>
      </w:r>
      <w:r w:rsidRPr="007809F4">
        <w:rPr>
          <w:rFonts w:asciiTheme="minorHAnsi" w:hAnsiTheme="minorHAnsi" w:cstheme="minorHAnsi"/>
        </w:rPr>
        <w:t xml:space="preserve"> (Cth), s 1338B(2) which is of the same effect as the </w:t>
      </w:r>
      <w:r w:rsidRPr="007809F4">
        <w:rPr>
          <w:rFonts w:asciiTheme="minorHAnsi" w:hAnsiTheme="minorHAnsi" w:cstheme="minorHAnsi"/>
          <w:i/>
        </w:rPr>
        <w:t xml:space="preserve">Judiciary Act 1903 </w:t>
      </w:r>
      <w:r w:rsidRPr="007809F4">
        <w:rPr>
          <w:rFonts w:asciiTheme="minorHAnsi" w:hAnsiTheme="minorHAnsi" w:cstheme="minorHAnsi"/>
        </w:rPr>
        <w:t xml:space="preserve">(Cth), s 68(3) prior to its amendment in 1999.  Consequently summary offences against the </w:t>
      </w:r>
      <w:r w:rsidRPr="007809F4">
        <w:rPr>
          <w:rFonts w:asciiTheme="minorHAnsi" w:hAnsiTheme="minorHAnsi" w:cstheme="minorHAnsi"/>
          <w:i/>
        </w:rPr>
        <w:t xml:space="preserve">Corporations Act </w:t>
      </w:r>
      <w:r w:rsidRPr="007809F4">
        <w:rPr>
          <w:rFonts w:asciiTheme="minorHAnsi" w:hAnsiTheme="minorHAnsi" w:cstheme="minorHAnsi"/>
        </w:rPr>
        <w:t>cannot be dealt with by a judge of a District Court, the County Court or a Supreme Court.</w:t>
      </w:r>
    </w:p>
  </w:footnote>
  <w:footnote w:id="1038">
    <w:p w14:paraId="7FE92BB7" w14:textId="64192F9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Fitzpatrick v R </w:t>
      </w:r>
      <w:r w:rsidRPr="007809F4">
        <w:rPr>
          <w:rFonts w:asciiTheme="minorHAnsi" w:hAnsiTheme="minorHAnsi" w:cstheme="minorHAnsi"/>
        </w:rPr>
        <w:t>[2016] VSCA 63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 xml:space="preserve">Fitzpatrick v R </w:instrText>
      </w:r>
      <w:r w:rsidRPr="007809F4">
        <w:rPr>
          <w:rFonts w:asciiTheme="minorHAnsi" w:hAnsiTheme="minorHAnsi" w:cstheme="minorHAnsi"/>
        </w:rPr>
        <w:instrText>[2016] VSCA 63</w:instrText>
      </w:r>
      <w:r w:rsidRPr="00EB7F1E">
        <w:rPr>
          <w:rFonts w:asciiTheme="minorHAnsi" w:hAnsiTheme="minorHAnsi" w:cstheme="minorHAnsi"/>
        </w:rPr>
        <w:instrText xml:space="preserve">" \s "Fitzpatrick v R [2016] VSCA 63" \c 1 </w:instrText>
      </w:r>
      <w:r w:rsidRPr="00EB7F1E">
        <w:rPr>
          <w:rFonts w:asciiTheme="minorHAnsi" w:hAnsiTheme="minorHAnsi" w:cstheme="minorHAnsi"/>
        </w:rPr>
        <w:fldChar w:fldCharType="end"/>
      </w:r>
      <w:r w:rsidRPr="007809F4">
        <w:rPr>
          <w:rFonts w:asciiTheme="minorHAnsi" w:hAnsiTheme="minorHAnsi" w:cstheme="minorHAnsi"/>
        </w:rPr>
        <w:t>, [51].</w:t>
      </w:r>
    </w:p>
  </w:footnote>
  <w:footnote w:id="1039">
    <w:p w14:paraId="77550975" w14:textId="7DAFACE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R v Hodgson</w:t>
      </w:r>
      <w:r w:rsidRPr="007809F4">
        <w:rPr>
          <w:rFonts w:asciiTheme="minorHAnsi" w:hAnsiTheme="minorHAnsi" w:cstheme="minorHAnsi"/>
        </w:rPr>
        <w:t xml:space="preserve"> (2002) 84 SASR 168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Hodgson</w:instrText>
      </w:r>
      <w:r w:rsidRPr="007809F4">
        <w:rPr>
          <w:rFonts w:asciiTheme="minorHAnsi" w:hAnsiTheme="minorHAnsi" w:cstheme="minorHAnsi"/>
        </w:rPr>
        <w:instrText xml:space="preserve"> (2002) 84 SASR 168" \s "R v Hodgson (2002) 84 SASR 168" \c 1 </w:instrText>
      </w:r>
      <w:r w:rsidRPr="00EB7F1E">
        <w:rPr>
          <w:rFonts w:asciiTheme="minorHAnsi" w:hAnsiTheme="minorHAnsi" w:cstheme="minorHAnsi"/>
        </w:rPr>
        <w:fldChar w:fldCharType="end"/>
      </w:r>
      <w:r w:rsidRPr="007809F4">
        <w:rPr>
          <w:rFonts w:asciiTheme="minorHAnsi" w:hAnsiTheme="minorHAnsi" w:cstheme="minorHAnsi"/>
        </w:rPr>
        <w:t xml:space="preserve">, regarding s.21E of the </w:t>
      </w:r>
      <w:r w:rsidRPr="007809F4">
        <w:rPr>
          <w:rFonts w:asciiTheme="minorHAnsi" w:hAnsiTheme="minorHAnsi" w:cstheme="minorHAnsi"/>
          <w:i/>
        </w:rPr>
        <w:t>Crimes Act 1914</w:t>
      </w:r>
      <w:r w:rsidRPr="007809F4">
        <w:rPr>
          <w:rFonts w:asciiTheme="minorHAnsi" w:hAnsiTheme="minorHAnsi" w:cstheme="minorHAnsi"/>
        </w:rPr>
        <w:t xml:space="preserve"> (Cth), as then in force.  Section 21E was repealed with effect from 27 November 2015 and replaced by s 16AC, which is in similar terms.</w:t>
      </w:r>
      <w:r w:rsidRPr="00EB7F1E">
        <w:rPr>
          <w:rFonts w:asciiTheme="minorHAnsi" w:hAnsiTheme="minorHAnsi" w:cstheme="minorHAnsi"/>
        </w:rPr>
        <w:fldChar w:fldCharType="begin"/>
      </w:r>
      <w:r w:rsidRPr="007809F4">
        <w:rPr>
          <w:rFonts w:asciiTheme="minorHAnsi" w:hAnsiTheme="minorHAnsi" w:cstheme="minorHAnsi"/>
        </w:rPr>
        <w:instrText xml:space="preserve">  "R v Hodgson (2002) 84 SASR 168" </w:instrText>
      </w:r>
      <w:r w:rsidRPr="00EB7F1E">
        <w:rPr>
          <w:rFonts w:asciiTheme="minorHAnsi" w:hAnsiTheme="minorHAnsi" w:cstheme="minorHAnsi"/>
        </w:rPr>
        <w:fldChar w:fldCharType="end"/>
      </w:r>
    </w:p>
  </w:footnote>
  <w:footnote w:id="1040">
    <w:p w14:paraId="619E3D5D" w14:textId="7251A3F3" w:rsidR="00D44BCF" w:rsidRPr="007809F4" w:rsidRDefault="00D44BCF" w:rsidP="0034590D">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rPr>
        <w:t>See “</w:t>
      </w:r>
      <w:r w:rsidRPr="00EB7F1E">
        <w:rPr>
          <w:rFonts w:asciiTheme="minorHAnsi" w:hAnsiTheme="minorHAnsi" w:cstheme="minorHAnsi"/>
        </w:rPr>
        <w:fldChar w:fldCharType="begin"/>
      </w:r>
      <w:r w:rsidRPr="00EB7F1E">
        <w:rPr>
          <w:rFonts w:asciiTheme="minorHAnsi" w:hAnsiTheme="minorHAnsi" w:cstheme="minorHAnsi"/>
        </w:rPr>
        <w:instrText xml:space="preserve"> REF _Ref507525926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7.7.7</w:t>
      </w:r>
      <w:r w:rsidRPr="00EB7F1E">
        <w:rPr>
          <w:rFonts w:asciiTheme="minorHAnsi" w:hAnsiTheme="minorHAnsi" w:cstheme="minorHAnsi"/>
        </w:rPr>
        <w:fldChar w:fldCharType="end"/>
      </w:r>
      <w:r w:rsidRPr="00EB7F1E">
        <w:rPr>
          <w:rFonts w:asciiTheme="minorHAnsi" w:hAnsiTheme="minorHAnsi" w:cstheme="minorHAnsi"/>
        </w:rPr>
        <w:t xml:space="preserve"> </w:t>
      </w:r>
      <w:r w:rsidRPr="00EB7F1E">
        <w:rPr>
          <w:rFonts w:asciiTheme="minorHAnsi" w:hAnsiTheme="minorHAnsi" w:cstheme="minorHAnsi"/>
        </w:rPr>
        <w:fldChar w:fldCharType="begin"/>
      </w:r>
      <w:r w:rsidRPr="00EB7F1E">
        <w:rPr>
          <w:rFonts w:asciiTheme="minorHAnsi" w:hAnsiTheme="minorHAnsi" w:cstheme="minorHAnsi"/>
        </w:rPr>
        <w:instrText xml:space="preserve"> REF _Ref507525926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Consequences of breach of an undertaking to co-operate</w:t>
      </w:r>
      <w:r w:rsidRPr="00EB7F1E">
        <w:rPr>
          <w:rFonts w:asciiTheme="minorHAnsi" w:hAnsiTheme="minorHAnsi" w:cstheme="minorHAnsi"/>
        </w:rPr>
        <w:fldChar w:fldCharType="end"/>
      </w:r>
      <w:r w:rsidRPr="00EB7F1E">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Hodgson (2002) 84 SASR 168" </w:instrText>
      </w:r>
      <w:r w:rsidRPr="00EB7F1E">
        <w:rPr>
          <w:rFonts w:asciiTheme="minorHAnsi" w:hAnsiTheme="minorHAnsi" w:cstheme="minorHAnsi"/>
        </w:rPr>
        <w:fldChar w:fldCharType="end"/>
      </w:r>
    </w:p>
  </w:footnote>
  <w:footnote w:id="1041">
    <w:p w14:paraId="6EE5F5C0" w14:textId="77777777" w:rsidR="00D44BCF" w:rsidRPr="007809F4" w:rsidRDefault="00D44BCF" w:rsidP="008D1F0E">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Burns</w:t>
      </w:r>
      <w:r w:rsidRPr="007809F4">
        <w:rPr>
          <w:rFonts w:asciiTheme="minorHAnsi" w:hAnsiTheme="minorHAnsi" w:cstheme="minorHAnsi"/>
        </w:rPr>
        <w:t xml:space="preserve"> (Vic CCA, 9 November 1992, unreported)</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Burns</w:instrText>
      </w:r>
      <w:r w:rsidRPr="007809F4">
        <w:rPr>
          <w:rFonts w:asciiTheme="minorHAnsi" w:hAnsiTheme="minorHAnsi" w:cstheme="minorHAnsi"/>
        </w:rPr>
        <w:instrText xml:space="preserve"> (Vic CCA, 9 November 1992, unreported)" \s "R v Burns (Vic CCA, 9 November 1992, unreported)"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Burns (Unreported, Supreme Court of Victoria, Phillips CJ, Hampel and Vincent JJ, 9 November 1992)"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Gangelhoff</w:t>
      </w:r>
      <w:r w:rsidRPr="007809F4">
        <w:rPr>
          <w:rFonts w:asciiTheme="minorHAnsi" w:hAnsiTheme="minorHAnsi" w:cstheme="minorHAnsi"/>
        </w:rPr>
        <w:t xml:space="preserve"> [1998] VSCA 20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w:instrText>
      </w:r>
      <w:r w:rsidRPr="007809F4">
        <w:rPr>
          <w:rFonts w:asciiTheme="minorHAnsi" w:hAnsiTheme="minorHAnsi" w:cstheme="minorHAnsi"/>
        </w:rPr>
        <w:instrText xml:space="preserve"> </w:instrText>
      </w:r>
      <w:r w:rsidRPr="007809F4">
        <w:rPr>
          <w:rFonts w:asciiTheme="minorHAnsi" w:hAnsiTheme="minorHAnsi" w:cstheme="minorHAnsi"/>
          <w:i/>
        </w:rPr>
        <w:instrText>Gangelhoff</w:instrText>
      </w:r>
      <w:r w:rsidRPr="007809F4">
        <w:rPr>
          <w:rFonts w:asciiTheme="minorHAnsi" w:hAnsiTheme="minorHAnsi" w:cstheme="minorHAnsi"/>
        </w:rPr>
        <w:instrText xml:space="preserve"> [1998] VSCA 20" \s "R v Gangelhoff [1998] VSCA 20"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Gangelhoff [1998] VSCA 20"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v Parsons</w:t>
      </w:r>
      <w:r w:rsidRPr="007809F4">
        <w:rPr>
          <w:rFonts w:asciiTheme="minorHAnsi" w:hAnsiTheme="minorHAnsi" w:cstheme="minorHAnsi"/>
        </w:rPr>
        <w:t xml:space="preserve"> (1992) 74 A Crim R 172.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DPP v Parsons</w:instrText>
      </w:r>
      <w:r w:rsidRPr="007809F4">
        <w:rPr>
          <w:rFonts w:asciiTheme="minorHAnsi" w:hAnsiTheme="minorHAnsi" w:cstheme="minorHAnsi"/>
        </w:rPr>
        <w:instrText xml:space="preserve"> (1992) 74 A Crim R 172" \s "DPP v Parsons (1992) 74 A Crim R 172" \c 1 </w:instrText>
      </w:r>
      <w:r w:rsidRPr="00EB7F1E">
        <w:rPr>
          <w:rFonts w:asciiTheme="minorHAnsi" w:hAnsiTheme="minorHAnsi" w:cstheme="minorHAnsi"/>
        </w:rPr>
        <w:fldChar w:fldCharType="end"/>
      </w:r>
    </w:p>
  </w:footnote>
  <w:footnote w:id="1042">
    <w:p w14:paraId="3FC565E6" w14:textId="6789A289" w:rsidR="00D44BCF" w:rsidRPr="007809F4" w:rsidRDefault="00D44BCF" w:rsidP="0047303C">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_Ref11070392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4.4.9</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_Ref11070392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Co-operated with law enforcement agencies (past cooperation) – s 16A(2)(h)</w:t>
      </w:r>
      <w:r w:rsidRPr="00EB7F1E">
        <w:rPr>
          <w:rFonts w:asciiTheme="minorHAnsi" w:hAnsiTheme="minorHAnsi" w:cstheme="minorHAnsi"/>
        </w:rPr>
        <w:fldChar w:fldCharType="end"/>
      </w:r>
      <w:r w:rsidRPr="007809F4">
        <w:rPr>
          <w:rFonts w:asciiTheme="minorHAnsi" w:hAnsiTheme="minorHAnsi" w:cstheme="minorHAnsi"/>
        </w:rPr>
        <w:t>”.</w:t>
      </w:r>
    </w:p>
  </w:footnote>
  <w:footnote w:id="1043">
    <w:p w14:paraId="004DB9B9" w14:textId="77777777" w:rsidR="00D44BCF" w:rsidRPr="007809F4" w:rsidRDefault="00D44BCF" w:rsidP="00EB7F1E">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EB7F1E">
        <w:rPr>
          <w:rFonts w:asciiTheme="minorHAnsi" w:hAnsiTheme="minorHAnsi" w:cstheme="minorHAnsi"/>
        </w:rPr>
        <w:tab/>
      </w:r>
      <w:r w:rsidRPr="007809F4">
        <w:rPr>
          <w:rFonts w:asciiTheme="minorHAnsi" w:hAnsiTheme="minorHAnsi" w:cstheme="minorHAnsi"/>
        </w:rPr>
        <w:t>Note however that in NSW the practice of the courts is to specify the discount given.</w:t>
      </w:r>
      <w:r w:rsidRPr="00EB7F1E">
        <w:rPr>
          <w:rFonts w:asciiTheme="minorHAnsi" w:hAnsiTheme="minorHAnsi" w:cstheme="minorHAnsi"/>
        </w:rPr>
        <w:t xml:space="preserve"> </w:t>
      </w:r>
    </w:p>
  </w:footnote>
  <w:footnote w:id="1044">
    <w:p w14:paraId="6D0C9963" w14:textId="184D75D1" w:rsidR="00D44BCF" w:rsidRPr="007809F4" w:rsidRDefault="00D44BCF">
      <w:pPr>
        <w:pStyle w:val="FootnoteText"/>
        <w:keepNext/>
        <w:keepLines/>
        <w:pageBreakBefore/>
        <w:suppressLineNumbers/>
        <w:tabs>
          <w:tab w:val="left" w:pos="142"/>
        </w:tabs>
        <w:suppressAutoHyphens/>
        <w:ind w:left="425" w:hanging="425"/>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McGee</w:t>
      </w:r>
      <w:r w:rsidRPr="007809F4">
        <w:rPr>
          <w:rFonts w:asciiTheme="minorHAnsi" w:hAnsiTheme="minorHAnsi" w:cstheme="minorHAnsi"/>
        </w:rPr>
        <w:t xml:space="preserve"> (Vic CCA, 25 November 1994, unreported</w:t>
      </w:r>
      <w:r w:rsidRPr="00EB7F1E">
        <w:rPr>
          <w:rFonts w:asciiTheme="minorHAnsi" w:hAnsiTheme="minorHAnsi" w:cstheme="minorHAnsi"/>
        </w:rPr>
        <w:fldChar w:fldCharType="begin"/>
      </w:r>
      <w:r w:rsidRPr="007809F4">
        <w:rPr>
          <w:rFonts w:asciiTheme="minorHAnsi" w:hAnsiTheme="minorHAnsi" w:cstheme="minorHAnsi"/>
        </w:rPr>
        <w:instrText xml:space="preserve">  "R v McGee (Unreported, Supreme Court of Victoria, Crockett, Hampel and Hansen JJ, 25 November 1994"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McGee</w:instrText>
      </w:r>
      <w:r w:rsidRPr="007809F4">
        <w:rPr>
          <w:rFonts w:asciiTheme="minorHAnsi" w:hAnsiTheme="minorHAnsi" w:cstheme="minorHAnsi"/>
        </w:rPr>
        <w:instrText xml:space="preserve"> (Vic CCA, 25 November 1994, unreported)</w:instrText>
      </w:r>
      <w:r w:rsidRPr="00EB7F1E">
        <w:rPr>
          <w:rFonts w:asciiTheme="minorHAnsi" w:hAnsiTheme="minorHAnsi" w:cstheme="minorHAnsi"/>
        </w:rPr>
        <w:instrText xml:space="preserve">" \s "R v McGee (Vic CCA, 25 November 1994, unreported)"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Ngui</w:t>
      </w:r>
      <w:r w:rsidRPr="007809F4">
        <w:rPr>
          <w:rFonts w:asciiTheme="minorHAnsi" w:hAnsiTheme="minorHAnsi" w:cstheme="minorHAnsi"/>
        </w:rPr>
        <w:t xml:space="preserve"> [2000] 1 VR 579.</w:t>
      </w:r>
      <w:r w:rsidRPr="00EB7F1E">
        <w:rPr>
          <w:rFonts w:asciiTheme="minorHAnsi" w:hAnsiTheme="minorHAnsi" w:cstheme="minorHAnsi"/>
        </w:rPr>
        <w:fldChar w:fldCharType="begin"/>
      </w:r>
      <w:r w:rsidRPr="007809F4">
        <w:rPr>
          <w:rFonts w:asciiTheme="minorHAnsi" w:hAnsiTheme="minorHAnsi" w:cstheme="minorHAnsi"/>
        </w:rPr>
        <w:instrText xml:space="preserve"> TA \s "R v Ngui [2000] 1 VR 579"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Ngui [2000] 1 VR 579" </w:instrText>
      </w:r>
      <w:r w:rsidRPr="00EB7F1E">
        <w:rPr>
          <w:rFonts w:asciiTheme="minorHAnsi" w:hAnsiTheme="minorHAnsi" w:cstheme="minorHAnsi"/>
        </w:rPr>
        <w:fldChar w:fldCharType="end"/>
      </w:r>
    </w:p>
  </w:footnote>
  <w:footnote w:id="1045">
    <w:p w14:paraId="17655A89" w14:textId="71095072" w:rsidR="00D44BCF" w:rsidRPr="007809F4" w:rsidRDefault="00D44BCF">
      <w:pPr>
        <w:pStyle w:val="FootnoteText"/>
        <w:tabs>
          <w:tab w:val="left" w:pos="142"/>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Tan</w:t>
      </w:r>
      <w:r w:rsidRPr="007809F4">
        <w:rPr>
          <w:rFonts w:asciiTheme="minorHAnsi" w:hAnsiTheme="minorHAnsi" w:cstheme="minorHAnsi"/>
        </w:rPr>
        <w:t xml:space="preserve"> (1995) 78 A Crim R 300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Tan</w:instrText>
      </w:r>
      <w:r w:rsidRPr="007809F4">
        <w:rPr>
          <w:rFonts w:asciiTheme="minorHAnsi" w:hAnsiTheme="minorHAnsi" w:cstheme="minorHAnsi"/>
        </w:rPr>
        <w:instrText xml:space="preserve"> (1995) 78 A Crim R 300" \s "R v Tan (1995) 78 A Crim R 300"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Tan (1995) 78 A Crim R 300"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AB</w:t>
      </w:r>
      <w:r w:rsidRPr="007809F4">
        <w:rPr>
          <w:rFonts w:asciiTheme="minorHAnsi" w:hAnsiTheme="minorHAnsi" w:cstheme="minorHAnsi"/>
        </w:rPr>
        <w:t xml:space="preserve"> (2006) 94 SASR 316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(Cth) v AB</w:instrText>
      </w:r>
      <w:r w:rsidRPr="007809F4">
        <w:rPr>
          <w:rFonts w:asciiTheme="minorHAnsi" w:hAnsiTheme="minorHAnsi" w:cstheme="minorHAnsi"/>
        </w:rPr>
        <w:instrText xml:space="preserve"> (2006) 94 SASR 316</w:instrText>
      </w:r>
      <w:r w:rsidRPr="00EB7F1E">
        <w:rPr>
          <w:rFonts w:asciiTheme="minorHAnsi" w:hAnsiTheme="minorHAnsi" w:cstheme="minorHAnsi"/>
        </w:rPr>
        <w:instrText xml:space="preserve">" \s "DPP (Cth) v AB (2006) 94 SASR 316"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"DPP v AB (2006) 94 SASR 316" </w:instrText>
      </w:r>
      <w:r w:rsidRPr="00EB7F1E">
        <w:rPr>
          <w:rFonts w:asciiTheme="minorHAnsi" w:hAnsiTheme="minorHAnsi" w:cstheme="minorHAnsi"/>
        </w:rPr>
        <w:fldChar w:fldCharType="end"/>
      </w:r>
    </w:p>
  </w:footnote>
  <w:footnote w:id="1046">
    <w:p w14:paraId="1B8D1D55" w14:textId="5788B20B" w:rsidR="00D44BCF" w:rsidRPr="007809F4" w:rsidRDefault="00D44BCF">
      <w:pPr>
        <w:pStyle w:val="FootnoteText"/>
        <w:tabs>
          <w:tab w:val="left" w:pos="142"/>
        </w:tabs>
        <w:ind w:left="426" w:right="565" w:hanging="426"/>
        <w:jc w:val="both"/>
        <w:rPr>
          <w:rFonts w:asciiTheme="minorHAnsi" w:hAnsiTheme="minorHAnsi" w:cstheme="minorHAnsi"/>
          <w:bCs/>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bCs/>
          <w:iCs/>
        </w:rPr>
        <w:tab/>
      </w:r>
      <w:r w:rsidRPr="007809F4">
        <w:rPr>
          <w:rFonts w:asciiTheme="minorHAnsi" w:hAnsiTheme="minorHAnsi" w:cstheme="minorHAnsi"/>
          <w:i/>
        </w:rPr>
        <w:t>R v Kokkinos</w:t>
      </w:r>
      <w:r w:rsidRPr="007809F4">
        <w:rPr>
          <w:rFonts w:asciiTheme="minorHAnsi" w:hAnsiTheme="minorHAnsi" w:cstheme="minorHAnsi"/>
        </w:rPr>
        <w:t xml:space="preserve"> [1998] 4 VR 574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Kokkinos</w:instrText>
      </w:r>
      <w:r w:rsidRPr="007809F4">
        <w:rPr>
          <w:rFonts w:asciiTheme="minorHAnsi" w:hAnsiTheme="minorHAnsi" w:cstheme="minorHAnsi"/>
        </w:rPr>
        <w:instrText xml:space="preserve"> [1998] 4 VR 574" \s "R v Kokkinos [1998] 4 VR 574" \c 1 </w:instrText>
      </w:r>
      <w:r w:rsidRPr="00EB7F1E">
        <w:rPr>
          <w:rFonts w:asciiTheme="minorHAnsi" w:hAnsiTheme="minorHAnsi" w:cstheme="minorHAnsi"/>
        </w:rPr>
        <w:fldChar w:fldCharType="end"/>
      </w:r>
      <w:r w:rsidRPr="007809F4">
        <w:rPr>
          <w:rFonts w:asciiTheme="minorHAnsi" w:hAnsiTheme="minorHAnsi" w:cstheme="minorHAnsi"/>
        </w:rPr>
        <w:t>.</w:t>
      </w:r>
      <w:r w:rsidRPr="007809F4" w:rsidDel="00E311DE">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 v Kokkinos [1998] 4 VR 574" </w:instrText>
      </w:r>
      <w:r w:rsidRPr="00EB7F1E">
        <w:rPr>
          <w:rFonts w:asciiTheme="minorHAnsi" w:hAnsiTheme="minorHAnsi" w:cstheme="minorHAnsi"/>
        </w:rPr>
        <w:fldChar w:fldCharType="end"/>
      </w:r>
    </w:p>
  </w:footnote>
  <w:footnote w:id="1047">
    <w:p w14:paraId="4A629B92" w14:textId="1B4DA05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Kokkinos</w:t>
      </w:r>
      <w:r w:rsidRPr="007809F4">
        <w:rPr>
          <w:rFonts w:asciiTheme="minorHAnsi" w:hAnsiTheme="minorHAnsi" w:cstheme="minorHAnsi"/>
        </w:rPr>
        <w:t xml:space="preserve"> [1998] 4 VR 574</w:t>
      </w:r>
      <w:r w:rsidRPr="00EB7F1E">
        <w:rPr>
          <w:rFonts w:asciiTheme="minorHAnsi" w:hAnsiTheme="minorHAnsi" w:cstheme="minorHAnsi"/>
        </w:rPr>
        <w:fldChar w:fldCharType="begin"/>
      </w:r>
      <w:r w:rsidRPr="00EB7F1E">
        <w:rPr>
          <w:rFonts w:asciiTheme="minorHAnsi" w:hAnsiTheme="minorHAnsi" w:cstheme="minorHAnsi"/>
        </w:rPr>
        <w:instrText xml:space="preserve"> TA \s "R v Kokkinos [1998] 4 VR 574"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Kokkinos [1998] 4 VR 574" </w:instrText>
      </w:r>
      <w:r w:rsidRPr="00EB7F1E">
        <w:rPr>
          <w:rFonts w:asciiTheme="minorHAnsi" w:hAnsiTheme="minorHAnsi" w:cstheme="minorHAnsi"/>
        </w:rPr>
        <w:fldChar w:fldCharType="end"/>
      </w:r>
    </w:p>
  </w:footnote>
  <w:footnote w:id="1048">
    <w:p w14:paraId="122D57A5" w14:textId="0FDB253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_Ref504405398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3.3.2</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_Ref504405398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Statutory requirements to specify a sentence reduction for a plea of guilty</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Gallagher (1991) 23 NSWLR 220" </w:instrText>
      </w:r>
      <w:r w:rsidRPr="00EB7F1E">
        <w:rPr>
          <w:rFonts w:asciiTheme="minorHAnsi" w:hAnsiTheme="minorHAnsi" w:cstheme="minorHAnsi"/>
        </w:rPr>
        <w:fldChar w:fldCharType="end"/>
      </w:r>
    </w:p>
  </w:footnote>
  <w:footnote w:id="1049">
    <w:p w14:paraId="65781F44"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Tae</w:t>
      </w:r>
      <w:r w:rsidRPr="007809F4">
        <w:rPr>
          <w:rFonts w:asciiTheme="minorHAnsi" w:hAnsiTheme="minorHAnsi" w:cstheme="minorHAnsi"/>
        </w:rPr>
        <w:t xml:space="preserve"> [2005] NSWCCA 29,</w:t>
      </w:r>
      <w:r w:rsidRPr="00EB7F1E">
        <w:rPr>
          <w:rFonts w:asciiTheme="minorHAnsi" w:hAnsiTheme="minorHAnsi" w:cstheme="minorHAnsi"/>
        </w:rPr>
        <w:fldChar w:fldCharType="begin"/>
      </w:r>
      <w:r w:rsidRPr="007809F4">
        <w:rPr>
          <w:rFonts w:asciiTheme="minorHAnsi" w:hAnsiTheme="minorHAnsi" w:cstheme="minorHAnsi"/>
        </w:rPr>
        <w:instrText xml:space="preserve"> TA \s "R v Tae [2005] NSWCCA 29"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Tae [2005] NSWCCA 29" </w:instrText>
      </w:r>
      <w:r w:rsidRPr="00EB7F1E">
        <w:rPr>
          <w:rFonts w:asciiTheme="minorHAnsi" w:hAnsiTheme="minorHAnsi" w:cstheme="minorHAnsi"/>
        </w:rPr>
        <w:fldChar w:fldCharType="end"/>
      </w:r>
      <w:r w:rsidRPr="007809F4">
        <w:rPr>
          <w:rFonts w:asciiTheme="minorHAnsi" w:hAnsiTheme="minorHAnsi" w:cstheme="minorHAnsi"/>
        </w:rPr>
        <w:t xml:space="preserve"> [20].</w:t>
      </w:r>
    </w:p>
  </w:footnote>
  <w:footnote w:id="1050">
    <w:p w14:paraId="4C546FDC" w14:textId="35394DE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Dagher v R</w:t>
      </w:r>
      <w:r w:rsidRPr="007809F4">
        <w:rPr>
          <w:rFonts w:asciiTheme="minorHAnsi" w:hAnsiTheme="minorHAnsi" w:cstheme="minorHAnsi"/>
        </w:rPr>
        <w:t xml:space="preserve"> [2017] NSWCCA 258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Dagher v R</w:instrText>
      </w:r>
      <w:r w:rsidRPr="007809F4">
        <w:rPr>
          <w:rFonts w:asciiTheme="minorHAnsi" w:hAnsiTheme="minorHAnsi" w:cstheme="minorHAnsi"/>
        </w:rPr>
        <w:instrText xml:space="preserve"> [2017] NSWCCA 258</w:instrText>
      </w:r>
      <w:r w:rsidRPr="00EB7F1E">
        <w:rPr>
          <w:rFonts w:asciiTheme="minorHAnsi" w:hAnsiTheme="minorHAnsi" w:cstheme="minorHAnsi"/>
        </w:rPr>
        <w:instrText xml:space="preserve">" \s "Dagher v R [2017] NSWCCA 258"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Tae [2005] NSWCCA 29" </w:instrText>
      </w:r>
      <w:r w:rsidRPr="00EB7F1E">
        <w:rPr>
          <w:rFonts w:asciiTheme="minorHAnsi" w:hAnsiTheme="minorHAnsi" w:cstheme="minorHAnsi"/>
        </w:rPr>
        <w:fldChar w:fldCharType="end"/>
      </w:r>
      <w:r w:rsidRPr="007809F4">
        <w:rPr>
          <w:rFonts w:asciiTheme="minorHAnsi" w:hAnsiTheme="minorHAnsi" w:cstheme="minorHAnsi"/>
        </w:rPr>
        <w:t xml:space="preserve"> [5]-[11].</w:t>
      </w:r>
    </w:p>
  </w:footnote>
  <w:footnote w:id="1051">
    <w:p w14:paraId="061349FF" w14:textId="12D534B8" w:rsidR="00D44BCF" w:rsidRPr="007809F4" w:rsidRDefault="00D44BCF" w:rsidP="006D0CF6">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DPP (Cth) v Carey</w:t>
      </w:r>
      <w:r w:rsidRPr="007809F4">
        <w:rPr>
          <w:rFonts w:asciiTheme="minorHAnsi" w:hAnsiTheme="minorHAnsi" w:cstheme="minorHAnsi"/>
        </w:rPr>
        <w:t xml:space="preserve"> [2012] VSCA 15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rPr>
        <w:instrText>DPP (Cth) v Carey [2012] VSCA 15</w:instrText>
      </w:r>
      <w:r w:rsidRPr="00EB7F1E">
        <w:rPr>
          <w:rFonts w:asciiTheme="minorHAnsi" w:hAnsiTheme="minorHAnsi" w:cstheme="minorHAnsi"/>
        </w:rPr>
        <w:instrText xml:space="preserve">" \s "DPP (Cth) v Carey [2012] VSCA 15" \c 1 </w:instrText>
      </w:r>
      <w:r w:rsidRPr="00EB7F1E">
        <w:rPr>
          <w:rFonts w:asciiTheme="minorHAnsi" w:hAnsiTheme="minorHAnsi" w:cstheme="minorHAnsi"/>
        </w:rPr>
        <w:fldChar w:fldCharType="end"/>
      </w:r>
      <w:r w:rsidRPr="007809F4">
        <w:rPr>
          <w:rFonts w:asciiTheme="minorHAnsi" w:hAnsiTheme="minorHAnsi" w:cstheme="minorHAnsi"/>
        </w:rPr>
        <w:t>, [37].  The court held (at [39]-[41]) that, in determining whether the offender had failed to fulfil the undertaking when giving evidence in a trial, an appellate court is entitled to take into account the view of the trial judge.</w:t>
      </w:r>
    </w:p>
  </w:footnote>
  <w:footnote w:id="1052">
    <w:p w14:paraId="614A419F" w14:textId="2FC8BA6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YZ</w:t>
      </w:r>
      <w:r w:rsidRPr="007809F4">
        <w:rPr>
          <w:rFonts w:asciiTheme="minorHAnsi" w:hAnsiTheme="minorHAnsi" w:cstheme="minorHAnsi"/>
        </w:rPr>
        <w:t xml:space="preserve"> [1999] NSWCCA 48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YZ</w:instrText>
      </w:r>
      <w:r w:rsidRPr="007809F4">
        <w:rPr>
          <w:rFonts w:asciiTheme="minorHAnsi" w:hAnsiTheme="minorHAnsi" w:cstheme="minorHAnsi"/>
        </w:rPr>
        <w:instrText xml:space="preserve"> [1999] NSWCCA 48" \s "R v YZ [1999] NSWCCA 48"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YZ (1999) 162 ALR 265"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Springer</w:t>
      </w:r>
      <w:r w:rsidRPr="007809F4">
        <w:rPr>
          <w:rFonts w:asciiTheme="minorHAnsi" w:hAnsiTheme="minorHAnsi" w:cstheme="minorHAnsi"/>
        </w:rPr>
        <w:t xml:space="preserve"> [2009] NSWCCA 144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Springer</w:instrText>
      </w:r>
      <w:r w:rsidRPr="007809F4">
        <w:rPr>
          <w:rFonts w:asciiTheme="minorHAnsi" w:hAnsiTheme="minorHAnsi" w:cstheme="minorHAnsi"/>
        </w:rPr>
        <w:instrText xml:space="preserve"> [2009] NSWCCA 144" \s "R v Springer [2009] NSWCCA 144"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Springer [2009] NSWCCA 144" </w:instrText>
      </w:r>
      <w:r w:rsidRPr="00EB7F1E">
        <w:rPr>
          <w:rFonts w:asciiTheme="minorHAnsi" w:hAnsiTheme="minorHAnsi" w:cstheme="minorHAnsi"/>
        </w:rPr>
        <w:fldChar w:fldCharType="end"/>
      </w:r>
      <w:r w:rsidRPr="007809F4">
        <w:rPr>
          <w:rFonts w:asciiTheme="minorHAnsi" w:hAnsiTheme="minorHAnsi" w:cstheme="minorHAnsi"/>
        </w:rPr>
        <w:t xml:space="preserve">, [45]; </w:t>
      </w:r>
      <w:r w:rsidRPr="007809F4">
        <w:rPr>
          <w:rFonts w:asciiTheme="minorHAnsi" w:hAnsiTheme="minorHAnsi" w:cstheme="minorHAnsi"/>
          <w:i/>
        </w:rPr>
        <w:t>DPP v Cheun Minh</w:t>
      </w:r>
      <w:r w:rsidRPr="007809F4">
        <w:rPr>
          <w:rFonts w:asciiTheme="minorHAnsi" w:hAnsiTheme="minorHAnsi" w:cstheme="minorHAnsi"/>
        </w:rPr>
        <w:t xml:space="preserve"> [2011] NSWCCA 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Cheun Minh</w:instrText>
      </w:r>
      <w:r w:rsidRPr="007809F4">
        <w:rPr>
          <w:rFonts w:asciiTheme="minorHAnsi" w:hAnsiTheme="minorHAnsi" w:cstheme="minorHAnsi"/>
        </w:rPr>
        <w:instrText xml:space="preserve"> [2011] NSWCCA 5" \s "DPP v Cheun Minh [2011] NSWCCA 5" \c 1 </w:instrText>
      </w:r>
      <w:r w:rsidRPr="00EB7F1E">
        <w:rPr>
          <w:rFonts w:asciiTheme="minorHAnsi" w:hAnsiTheme="minorHAnsi" w:cstheme="minorHAnsi"/>
        </w:rPr>
        <w:fldChar w:fldCharType="end"/>
      </w:r>
    </w:p>
  </w:footnote>
  <w:footnote w:id="1053">
    <w:p w14:paraId="78C44B6C"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DPP v Parsons</w:t>
      </w:r>
      <w:r w:rsidRPr="007809F4">
        <w:rPr>
          <w:rFonts w:asciiTheme="minorHAnsi" w:hAnsiTheme="minorHAnsi" w:cstheme="minorHAnsi"/>
        </w:rPr>
        <w:t xml:space="preserve"> (1992) 74 A Crim R 172.</w:t>
      </w:r>
      <w:r w:rsidRPr="00EB7F1E">
        <w:rPr>
          <w:rFonts w:asciiTheme="minorHAnsi" w:hAnsiTheme="minorHAnsi" w:cstheme="minorHAnsi"/>
        </w:rPr>
        <w:fldChar w:fldCharType="begin"/>
      </w:r>
      <w:r w:rsidRPr="007809F4">
        <w:rPr>
          <w:rFonts w:asciiTheme="minorHAnsi" w:hAnsiTheme="minorHAnsi" w:cstheme="minorHAnsi"/>
        </w:rPr>
        <w:instrText xml:space="preserve"> TA \s "DPP v Parsons (1992) 74 A Crim R 172" </w:instrText>
      </w:r>
      <w:r w:rsidRPr="00EB7F1E">
        <w:rPr>
          <w:rFonts w:asciiTheme="minorHAnsi" w:hAnsiTheme="minorHAnsi" w:cstheme="minorHAnsi"/>
        </w:rPr>
        <w:fldChar w:fldCharType="end"/>
      </w:r>
    </w:p>
  </w:footnote>
  <w:footnote w:id="1054">
    <w:p w14:paraId="1D8E6632" w14:textId="41ED4918" w:rsidR="00D44BCF" w:rsidRPr="007809F4" w:rsidRDefault="00D44BCF">
      <w:pPr>
        <w:pStyle w:val="FootnoteText"/>
        <w:tabs>
          <w:tab w:val="left" w:pos="142"/>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DPP v Haunga</w:t>
      </w:r>
      <w:r w:rsidRPr="007809F4">
        <w:rPr>
          <w:rFonts w:asciiTheme="minorHAnsi" w:hAnsiTheme="minorHAnsi" w:cstheme="minorHAnsi"/>
        </w:rPr>
        <w:t xml:space="preserve"> [2001] 4 VR 285</w:t>
      </w:r>
      <w:r w:rsidRPr="00EB7F1E">
        <w:rPr>
          <w:rFonts w:asciiTheme="minorHAnsi" w:hAnsiTheme="minorHAnsi" w:cstheme="minorHAnsi"/>
        </w:rPr>
        <w:fldChar w:fldCharType="begin"/>
      </w:r>
      <w:r w:rsidRPr="007809F4">
        <w:rPr>
          <w:rFonts w:asciiTheme="minorHAnsi" w:hAnsiTheme="minorHAnsi" w:cstheme="minorHAnsi"/>
        </w:rPr>
        <w:instrText xml:space="preserve"> TA \s "DPP v Haunga [2001] 4 VR 285"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55">
    <w:p w14:paraId="7AF35EA8" w14:textId="03A4F183" w:rsidR="00D44BCF" w:rsidRPr="007809F4" w:rsidRDefault="00D44BCF">
      <w:pPr>
        <w:pStyle w:val="FootnoteText"/>
        <w:tabs>
          <w:tab w:val="left" w:pos="142"/>
        </w:tabs>
        <w:ind w:left="426" w:right="28"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bCs/>
          <w:i/>
          <w:iCs/>
        </w:rPr>
        <w:t>R v YZ</w:t>
      </w:r>
      <w:r w:rsidRPr="007809F4">
        <w:rPr>
          <w:rFonts w:asciiTheme="minorHAnsi" w:hAnsiTheme="minorHAnsi" w:cstheme="minorHAnsi"/>
        </w:rPr>
        <w:t xml:space="preserve"> [1999] NSWCCA 48</w:t>
      </w:r>
      <w:r w:rsidRPr="00EB7F1E">
        <w:rPr>
          <w:rFonts w:asciiTheme="minorHAnsi" w:hAnsiTheme="minorHAnsi" w:cstheme="minorHAnsi"/>
        </w:rPr>
        <w:fldChar w:fldCharType="begin"/>
      </w:r>
      <w:r w:rsidRPr="007809F4">
        <w:rPr>
          <w:rFonts w:asciiTheme="minorHAnsi" w:hAnsiTheme="minorHAnsi" w:cstheme="minorHAnsi"/>
        </w:rPr>
        <w:instrText xml:space="preserve"> TA \s "R v YZ [1999] NSWCCA 48"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YZ (1999) 162 ALR 265"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DPP v Haunga</w:t>
      </w:r>
      <w:r w:rsidRPr="007809F4">
        <w:rPr>
          <w:rFonts w:asciiTheme="minorHAnsi" w:hAnsiTheme="minorHAnsi" w:cstheme="minorHAnsi"/>
        </w:rPr>
        <w:t xml:space="preserve"> [2001] 4 VR 285</w:t>
      </w:r>
      <w:r w:rsidRPr="00EB7F1E">
        <w:rPr>
          <w:rFonts w:asciiTheme="minorHAnsi" w:hAnsiTheme="minorHAnsi" w:cstheme="minorHAnsi"/>
        </w:rPr>
        <w:fldChar w:fldCharType="begin"/>
      </w:r>
      <w:r w:rsidRPr="007809F4">
        <w:rPr>
          <w:rFonts w:asciiTheme="minorHAnsi" w:hAnsiTheme="minorHAnsi" w:cstheme="minorHAnsi"/>
        </w:rPr>
        <w:instrText xml:space="preserve"> TA \s "DPP v Haunga [2001] 4 VR 285"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DPP (Cth) v Johnson </w:t>
      </w:r>
      <w:r w:rsidRPr="007809F4">
        <w:rPr>
          <w:rFonts w:asciiTheme="minorHAnsi" w:hAnsiTheme="minorHAnsi" w:cstheme="minorHAnsi"/>
        </w:rPr>
        <w:t>[2012] VSCA 38,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DPP (Cth) v Johnson </w:instrText>
      </w:r>
      <w:r w:rsidRPr="007809F4">
        <w:rPr>
          <w:rFonts w:asciiTheme="minorHAnsi" w:hAnsiTheme="minorHAnsi" w:cstheme="minorHAnsi"/>
        </w:rPr>
        <w:instrText xml:space="preserve">[2012] VSCA 38" \s "DPP (Cth) v Johnson [2012] VSCA 38" \c 1 </w:instrText>
      </w:r>
      <w:r w:rsidRPr="00EB7F1E">
        <w:rPr>
          <w:rFonts w:asciiTheme="minorHAnsi" w:hAnsiTheme="minorHAnsi" w:cstheme="minorHAnsi"/>
        </w:rPr>
        <w:fldChar w:fldCharType="end"/>
      </w:r>
      <w:r w:rsidRPr="007809F4">
        <w:rPr>
          <w:rFonts w:asciiTheme="minorHAnsi" w:hAnsiTheme="minorHAnsi" w:cstheme="minorHAnsi"/>
        </w:rPr>
        <w:t xml:space="preserve"> [22]-[23].</w:t>
      </w:r>
    </w:p>
  </w:footnote>
  <w:footnote w:id="1056">
    <w:p w14:paraId="658352B5" w14:textId="77777777" w:rsidR="00D44BCF" w:rsidRPr="007809F4" w:rsidRDefault="00D44BCF">
      <w:pPr>
        <w:pStyle w:val="FootnoteText"/>
        <w:tabs>
          <w:tab w:val="left" w:pos="142"/>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(Cth) v Johnson </w:t>
      </w:r>
      <w:r w:rsidRPr="007809F4">
        <w:rPr>
          <w:rFonts w:asciiTheme="minorHAnsi" w:hAnsiTheme="minorHAnsi" w:cstheme="minorHAnsi"/>
        </w:rPr>
        <w:t>[2012] VSCA 38.</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Johnson [2012] VSCA 38" </w:instrText>
      </w:r>
      <w:r w:rsidRPr="00EB7F1E">
        <w:rPr>
          <w:rFonts w:asciiTheme="minorHAnsi" w:hAnsiTheme="minorHAnsi" w:cstheme="minorHAnsi"/>
        </w:rPr>
        <w:fldChar w:fldCharType="end"/>
      </w:r>
    </w:p>
  </w:footnote>
  <w:footnote w:id="1057">
    <w:p w14:paraId="615C40D2" w14:textId="69D1EA3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Charkawi v R</w:t>
      </w:r>
      <w:r w:rsidRPr="007809F4">
        <w:rPr>
          <w:rFonts w:asciiTheme="minorHAnsi" w:hAnsiTheme="minorHAnsi" w:cstheme="minorHAnsi"/>
        </w:rPr>
        <w:t xml:space="preserve"> [2008] NSWCCA 159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Charkawi v R</w:instrText>
      </w:r>
      <w:r w:rsidRPr="007809F4">
        <w:rPr>
          <w:rFonts w:asciiTheme="minorHAnsi" w:hAnsiTheme="minorHAnsi" w:cstheme="minorHAnsi"/>
        </w:rPr>
        <w:instrText xml:space="preserve"> [2008] NSWCCA 159" \s "Charkawi v R [2008] NSWCCA 159" \c 1 </w:instrText>
      </w:r>
      <w:r w:rsidRPr="00EB7F1E">
        <w:rPr>
          <w:rFonts w:asciiTheme="minorHAnsi" w:hAnsiTheme="minorHAnsi" w:cstheme="minorHAnsi"/>
        </w:rPr>
        <w:fldChar w:fldCharType="end"/>
      </w:r>
      <w:r w:rsidRPr="007809F4">
        <w:rPr>
          <w:rFonts w:asciiTheme="minorHAnsi" w:hAnsiTheme="minorHAnsi" w:cstheme="minorHAnsi"/>
        </w:rPr>
        <w:t xml:space="preserve">, [14]; </w:t>
      </w:r>
      <w:r w:rsidRPr="007809F4">
        <w:rPr>
          <w:rFonts w:asciiTheme="minorHAnsi" w:hAnsiTheme="minorHAnsi" w:cstheme="minorHAnsi"/>
          <w:i/>
        </w:rPr>
        <w:t>Xiao v R</w:t>
      </w:r>
      <w:r w:rsidRPr="007809F4">
        <w:rPr>
          <w:rFonts w:asciiTheme="minorHAnsi" w:hAnsiTheme="minorHAnsi" w:cstheme="minorHAnsi"/>
        </w:rPr>
        <w:t xml:space="preserve"> (2018)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 [280].</w:t>
      </w:r>
    </w:p>
  </w:footnote>
  <w:footnote w:id="1058">
    <w:p w14:paraId="4529619F" w14:textId="7936832C" w:rsidR="00D44BCF" w:rsidRPr="007809F4" w:rsidRDefault="00D44BCF">
      <w:pPr>
        <w:pStyle w:val="FootnoteText"/>
        <w:tabs>
          <w:tab w:val="left" w:pos="142"/>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Scerri v R</w:t>
      </w:r>
      <w:r w:rsidRPr="007809F4">
        <w:rPr>
          <w:rFonts w:asciiTheme="minorHAnsi" w:hAnsiTheme="minorHAnsi" w:cstheme="minorHAnsi"/>
        </w:rPr>
        <w:t xml:space="preserve"> [2010] VSCA 287</w:t>
      </w:r>
      <w:r w:rsidRPr="00EB7F1E">
        <w:rPr>
          <w:rFonts w:asciiTheme="minorHAnsi" w:hAnsiTheme="minorHAnsi" w:cstheme="minorHAnsi"/>
        </w:rPr>
        <w:fldChar w:fldCharType="begin"/>
      </w:r>
      <w:r w:rsidRPr="007809F4">
        <w:rPr>
          <w:rFonts w:asciiTheme="minorHAnsi" w:hAnsiTheme="minorHAnsi" w:cstheme="minorHAnsi"/>
        </w:rPr>
        <w:instrText xml:space="preserve"> TA \s "Scerri v R [2010] VSCA 287" </w:instrText>
      </w:r>
      <w:r w:rsidRPr="00EB7F1E">
        <w:rPr>
          <w:rFonts w:asciiTheme="minorHAnsi" w:hAnsiTheme="minorHAnsi" w:cstheme="minorHAnsi"/>
        </w:rPr>
        <w:fldChar w:fldCharType="end"/>
      </w:r>
      <w:r w:rsidRPr="007809F4">
        <w:rPr>
          <w:rFonts w:asciiTheme="minorHAnsi" w:hAnsiTheme="minorHAnsi" w:cstheme="minorHAnsi"/>
        </w:rPr>
        <w:t>, [23].</w:t>
      </w:r>
    </w:p>
  </w:footnote>
  <w:footnote w:id="1059">
    <w:p w14:paraId="1300D86A" w14:textId="3513C9C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the authorities cited in fn </w:t>
      </w:r>
      <w:r w:rsidRPr="00EB7F1E">
        <w:rPr>
          <w:rFonts w:asciiTheme="minorHAnsi" w:hAnsiTheme="minorHAnsi" w:cstheme="minorHAnsi"/>
        </w:rPr>
        <w:fldChar w:fldCharType="begin"/>
      </w:r>
      <w:r w:rsidRPr="007809F4">
        <w:rPr>
          <w:rFonts w:asciiTheme="minorHAnsi" w:hAnsiTheme="minorHAnsi" w:cstheme="minorHAnsi"/>
        </w:rPr>
        <w:instrText xml:space="preserve"> NOTEREF _Ref504415303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170</w:t>
      </w:r>
      <w:r w:rsidRPr="00EB7F1E">
        <w:rPr>
          <w:rFonts w:asciiTheme="minorHAnsi" w:hAnsiTheme="minorHAnsi" w:cstheme="minorHAnsi"/>
        </w:rPr>
        <w:fldChar w:fldCharType="end"/>
      </w:r>
      <w:r w:rsidRPr="007809F4">
        <w:rPr>
          <w:rFonts w:asciiTheme="minorHAnsi" w:hAnsiTheme="minorHAnsi" w:cstheme="minorHAnsi"/>
        </w:rPr>
        <w:t>.</w:t>
      </w:r>
    </w:p>
  </w:footnote>
  <w:footnote w:id="1060">
    <w:p w14:paraId="5995EC5E" w14:textId="05EDCF0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(Sentencing) Act 2005</w:t>
      </w:r>
      <w:r w:rsidRPr="007809F4">
        <w:rPr>
          <w:rFonts w:asciiTheme="minorHAnsi" w:hAnsiTheme="minorHAnsi" w:cstheme="minorHAnsi"/>
        </w:rPr>
        <w:t xml:space="preserve"> (ACT), s 35(1).</w:t>
      </w:r>
    </w:p>
  </w:footnote>
  <w:footnote w:id="1061">
    <w:p w14:paraId="44E3CD6D" w14:textId="45B1101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(Sentencing) Act 2005</w:t>
      </w:r>
      <w:r w:rsidRPr="007809F4">
        <w:rPr>
          <w:rFonts w:asciiTheme="minorHAnsi" w:hAnsiTheme="minorHAnsi" w:cstheme="minorHAnsi"/>
        </w:rPr>
        <w:t xml:space="preserve"> (ACT), s 37.</w:t>
      </w:r>
    </w:p>
  </w:footnote>
  <w:footnote w:id="1062">
    <w:p w14:paraId="13D2DCF0" w14:textId="25C62546"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Sentencing Act 1991</w:t>
      </w:r>
      <w:r w:rsidRPr="007809F4">
        <w:rPr>
          <w:rFonts w:asciiTheme="minorHAnsi" w:hAnsiTheme="minorHAnsi" w:cstheme="minorHAnsi"/>
        </w:rPr>
        <w:t xml:space="preserve"> (Vic), s 6AAA(1) and (2).  If any other sentence is imposed, it may do so: s 6AAA(4).</w:t>
      </w:r>
    </w:p>
  </w:footnote>
  <w:footnote w:id="1063">
    <w:p w14:paraId="208A2B01" w14:textId="55171C12"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Sentencing Act 1991</w:t>
      </w:r>
      <w:r w:rsidRPr="007809F4">
        <w:rPr>
          <w:rFonts w:asciiTheme="minorHAnsi" w:hAnsiTheme="minorHAnsi" w:cstheme="minorHAnsi"/>
        </w:rPr>
        <w:t xml:space="preserve"> (Vic), s 6AAA(3).</w:t>
      </w:r>
    </w:p>
  </w:footnote>
  <w:footnote w:id="1064">
    <w:p w14:paraId="5538525B" w14:textId="72E4894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Scerri v R</w:t>
      </w:r>
      <w:r w:rsidRPr="007809F4">
        <w:rPr>
          <w:rFonts w:asciiTheme="minorHAnsi" w:hAnsiTheme="minorHAnsi" w:cstheme="minorHAnsi"/>
        </w:rPr>
        <w:t xml:space="preserve"> [2010] VSCA 287</w:t>
      </w:r>
      <w:r w:rsidRPr="00EB7F1E">
        <w:rPr>
          <w:rFonts w:asciiTheme="minorHAnsi" w:hAnsiTheme="minorHAnsi" w:cstheme="minorHAnsi"/>
        </w:rPr>
        <w:fldChar w:fldCharType="begin"/>
      </w:r>
      <w:r w:rsidRPr="007809F4">
        <w:rPr>
          <w:rFonts w:asciiTheme="minorHAnsi" w:hAnsiTheme="minorHAnsi" w:cstheme="minorHAnsi"/>
        </w:rPr>
        <w:instrText xml:space="preserve"> TA \s "Scerri v R [2010] VSCA 287"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Mokbel v R</w:t>
      </w:r>
      <w:r w:rsidRPr="007809F4">
        <w:rPr>
          <w:rFonts w:asciiTheme="minorHAnsi" w:hAnsiTheme="minorHAnsi" w:cstheme="minorHAnsi"/>
        </w:rPr>
        <w:t xml:space="preserve"> [2011] VSCA 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Mokbel v R</w:instrText>
      </w:r>
      <w:r w:rsidRPr="007809F4">
        <w:rPr>
          <w:rFonts w:asciiTheme="minorHAnsi" w:hAnsiTheme="minorHAnsi" w:cstheme="minorHAnsi"/>
        </w:rPr>
        <w:instrText xml:space="preserve"> [2011] VSCA 34</w:instrText>
      </w:r>
      <w:r w:rsidRPr="00EB7F1E">
        <w:rPr>
          <w:rFonts w:asciiTheme="minorHAnsi" w:hAnsiTheme="minorHAnsi" w:cstheme="minorHAnsi"/>
        </w:rPr>
        <w:instrText xml:space="preserve">" \s "Mokbel v R [2011] VSCA 34" \c 1 </w:instrText>
      </w:r>
      <w:r w:rsidRPr="00EB7F1E">
        <w:rPr>
          <w:rFonts w:asciiTheme="minorHAnsi" w:hAnsiTheme="minorHAnsi" w:cstheme="minorHAnsi"/>
        </w:rPr>
        <w:fldChar w:fldCharType="end"/>
      </w:r>
      <w:r w:rsidRPr="007809F4">
        <w:rPr>
          <w:rFonts w:asciiTheme="minorHAnsi" w:hAnsiTheme="minorHAnsi" w:cstheme="minorHAnsi"/>
        </w:rPr>
        <w:t>, [20]-[35].</w:t>
      </w:r>
    </w:p>
  </w:footnote>
  <w:footnote w:id="1065">
    <w:p w14:paraId="5F8CB852" w14:textId="73E2789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Waugh v R</w:t>
      </w:r>
      <w:r w:rsidRPr="007809F4">
        <w:rPr>
          <w:rFonts w:asciiTheme="minorHAnsi" w:hAnsiTheme="minorHAnsi" w:cstheme="minorHAnsi"/>
        </w:rPr>
        <w:t xml:space="preserve"> [2013] VSCA 36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Waugh v R</w:instrText>
      </w:r>
      <w:r w:rsidRPr="007809F4">
        <w:rPr>
          <w:rFonts w:asciiTheme="minorHAnsi" w:hAnsiTheme="minorHAnsi" w:cstheme="minorHAnsi"/>
        </w:rPr>
        <w:instrText xml:space="preserve"> [2013] VSCA 36</w:instrText>
      </w:r>
      <w:r w:rsidRPr="00EB7F1E">
        <w:rPr>
          <w:rFonts w:asciiTheme="minorHAnsi" w:hAnsiTheme="minorHAnsi" w:cstheme="minorHAnsi"/>
        </w:rPr>
        <w:instrText xml:space="preserve">" \s "Waugh v R [2013] VSCA 36" \c 1 </w:instrText>
      </w:r>
      <w:r w:rsidRPr="00EB7F1E">
        <w:rPr>
          <w:rFonts w:asciiTheme="minorHAnsi" w:hAnsiTheme="minorHAnsi" w:cstheme="minorHAnsi"/>
        </w:rPr>
        <w:fldChar w:fldCharType="end"/>
      </w:r>
      <w:r w:rsidRPr="007809F4">
        <w:rPr>
          <w:rFonts w:asciiTheme="minorHAnsi" w:hAnsiTheme="minorHAnsi" w:cstheme="minorHAnsi"/>
        </w:rPr>
        <w:t>, [23].</w:t>
      </w:r>
      <w:r w:rsidRPr="00EB7F1E">
        <w:rPr>
          <w:rFonts w:asciiTheme="minorHAnsi" w:hAnsiTheme="minorHAnsi" w:cstheme="minorHAnsi"/>
        </w:rPr>
        <w:fldChar w:fldCharType="begin"/>
      </w:r>
      <w:r w:rsidRPr="007809F4">
        <w:rPr>
          <w:rFonts w:asciiTheme="minorHAnsi" w:hAnsiTheme="minorHAnsi" w:cstheme="minorHAnsi"/>
        </w:rPr>
        <w:instrText xml:space="preserve">  "R v Burke (2009) 21 VR 471" </w:instrText>
      </w:r>
      <w:r w:rsidRPr="00EB7F1E">
        <w:rPr>
          <w:rFonts w:asciiTheme="minorHAnsi" w:hAnsiTheme="minorHAnsi" w:cstheme="minorHAnsi"/>
        </w:rPr>
        <w:fldChar w:fldCharType="end"/>
      </w:r>
    </w:p>
  </w:footnote>
  <w:footnote w:id="1066">
    <w:p w14:paraId="363649A2" w14:textId="7BE18E2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Burke</w:t>
      </w:r>
      <w:r w:rsidRPr="007809F4">
        <w:rPr>
          <w:rFonts w:asciiTheme="minorHAnsi" w:hAnsiTheme="minorHAnsi" w:cstheme="minorHAnsi"/>
        </w:rPr>
        <w:t xml:space="preserve"> (2009) 21 VR 471.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Burke</w:instrText>
      </w:r>
      <w:r w:rsidRPr="007809F4">
        <w:rPr>
          <w:rFonts w:asciiTheme="minorHAnsi" w:hAnsiTheme="minorHAnsi" w:cstheme="minorHAnsi"/>
        </w:rPr>
        <w:instrText xml:space="preserve"> (2009) 21 VR 471" \s "R v Burke (2009) 21 VR 471"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Kalofolias v R</w:t>
      </w:r>
      <w:r w:rsidRPr="007809F4">
        <w:rPr>
          <w:rFonts w:asciiTheme="minorHAnsi" w:hAnsiTheme="minorHAnsi" w:cstheme="minorHAnsi"/>
        </w:rPr>
        <w:t xml:space="preserve"> [2017] VSCA 308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Kalofolias v R</w:instrText>
      </w:r>
      <w:r w:rsidRPr="007809F4">
        <w:rPr>
          <w:rFonts w:asciiTheme="minorHAnsi" w:hAnsiTheme="minorHAnsi" w:cstheme="minorHAnsi"/>
        </w:rPr>
        <w:instrText xml:space="preserve"> [2017] VSCA 308</w:instrText>
      </w:r>
      <w:r w:rsidRPr="00EB7F1E">
        <w:rPr>
          <w:rFonts w:asciiTheme="minorHAnsi" w:hAnsiTheme="minorHAnsi" w:cstheme="minorHAnsi"/>
        </w:rPr>
        <w:instrText xml:space="preserve">" \s "Kalofolias v R [2017] VSCA 308" \c 1 </w:instrText>
      </w:r>
      <w:r w:rsidRPr="00EB7F1E">
        <w:rPr>
          <w:rFonts w:asciiTheme="minorHAnsi" w:hAnsiTheme="minorHAnsi" w:cstheme="minorHAnsi"/>
        </w:rPr>
        <w:fldChar w:fldCharType="end"/>
      </w:r>
      <w:r w:rsidRPr="007809F4">
        <w:rPr>
          <w:rFonts w:asciiTheme="minorHAnsi" w:hAnsiTheme="minorHAnsi" w:cstheme="minorHAnsi"/>
        </w:rPr>
        <w:t>, [44].</w:t>
      </w:r>
      <w:r w:rsidRPr="00EB7F1E">
        <w:rPr>
          <w:rFonts w:asciiTheme="minorHAnsi" w:hAnsiTheme="minorHAnsi" w:cstheme="minorHAnsi"/>
        </w:rPr>
        <w:fldChar w:fldCharType="begin"/>
      </w:r>
      <w:r w:rsidRPr="007809F4">
        <w:rPr>
          <w:rFonts w:asciiTheme="minorHAnsi" w:hAnsiTheme="minorHAnsi" w:cstheme="minorHAnsi"/>
        </w:rPr>
        <w:instrText xml:space="preserve">  "R v Burke (2009) 21 VR 471" </w:instrText>
      </w:r>
      <w:r w:rsidRPr="00EB7F1E">
        <w:rPr>
          <w:rFonts w:asciiTheme="minorHAnsi" w:hAnsiTheme="minorHAnsi" w:cstheme="minorHAnsi"/>
        </w:rPr>
        <w:fldChar w:fldCharType="end"/>
      </w:r>
    </w:p>
  </w:footnote>
  <w:footnote w:id="1067">
    <w:p w14:paraId="0EB08689" w14:textId="47BACD4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Scerri v R</w:t>
      </w:r>
      <w:r w:rsidRPr="007809F4">
        <w:rPr>
          <w:rFonts w:asciiTheme="minorHAnsi" w:hAnsiTheme="minorHAnsi" w:cstheme="minorHAnsi"/>
        </w:rPr>
        <w:t xml:space="preserve"> [2010] VSCA 287</w:t>
      </w:r>
      <w:r w:rsidRPr="00EB7F1E">
        <w:rPr>
          <w:rFonts w:asciiTheme="minorHAnsi" w:hAnsiTheme="minorHAnsi" w:cstheme="minorHAnsi"/>
        </w:rPr>
        <w:fldChar w:fldCharType="begin"/>
      </w:r>
      <w:r w:rsidRPr="007809F4">
        <w:rPr>
          <w:rFonts w:asciiTheme="minorHAnsi" w:hAnsiTheme="minorHAnsi" w:cstheme="minorHAnsi"/>
        </w:rPr>
        <w:instrText xml:space="preserve"> TA \s "Scerri v R [2010] VSCA 287"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Burke</w:t>
      </w:r>
      <w:r w:rsidRPr="007809F4">
        <w:rPr>
          <w:rFonts w:asciiTheme="minorHAnsi" w:hAnsiTheme="minorHAnsi" w:cstheme="minorHAnsi"/>
        </w:rPr>
        <w:t xml:space="preserve"> (2009) 21 VR 471</w:t>
      </w:r>
      <w:r w:rsidRPr="00EB7F1E">
        <w:rPr>
          <w:rFonts w:asciiTheme="minorHAnsi" w:hAnsiTheme="minorHAnsi" w:cstheme="minorHAnsi"/>
        </w:rPr>
        <w:fldChar w:fldCharType="begin"/>
      </w:r>
      <w:r w:rsidRPr="00EB7F1E">
        <w:rPr>
          <w:rFonts w:asciiTheme="minorHAnsi" w:hAnsiTheme="minorHAnsi" w:cstheme="minorHAnsi"/>
        </w:rPr>
        <w:instrText xml:space="preserve"> TA \s "R v Burke (2009) 21 VR 471" </w:instrText>
      </w:r>
      <w:r w:rsidRPr="00EB7F1E">
        <w:rPr>
          <w:rFonts w:asciiTheme="minorHAnsi" w:hAnsiTheme="minorHAnsi" w:cstheme="minorHAnsi"/>
        </w:rPr>
        <w:fldChar w:fldCharType="end"/>
      </w:r>
      <w:r w:rsidRPr="007809F4">
        <w:rPr>
          <w:rFonts w:asciiTheme="minorHAnsi" w:hAnsiTheme="minorHAnsi" w:cstheme="minorHAnsi"/>
        </w:rPr>
        <w:t xml:space="preserve">, [30]–[31]; </w:t>
      </w:r>
      <w:r w:rsidRPr="007809F4">
        <w:rPr>
          <w:rFonts w:asciiTheme="minorHAnsi" w:hAnsiTheme="minorHAnsi" w:cstheme="minorHAnsi"/>
          <w:i/>
        </w:rPr>
        <w:t>Saab v R</w:t>
      </w:r>
      <w:r w:rsidRPr="007809F4">
        <w:rPr>
          <w:rFonts w:asciiTheme="minorHAnsi" w:hAnsiTheme="minorHAnsi" w:cstheme="minorHAnsi"/>
        </w:rPr>
        <w:t xml:space="preserve"> </w:t>
      </w:r>
      <w:hyperlink r:id="rId8" w:tooltip="Supreme Court of Victoria Court of Appeal" w:history="1">
        <w:r w:rsidRPr="007809F4">
          <w:rPr>
            <w:rFonts w:asciiTheme="minorHAnsi" w:hAnsiTheme="minorHAnsi" w:cstheme="minorHAnsi"/>
          </w:rPr>
          <w:t>[2012] VSCA 165</w:t>
        </w:r>
      </w:hyperlink>
      <w:r w:rsidRPr="00EB7F1E">
        <w:rPr>
          <w:rFonts w:asciiTheme="minorHAnsi" w:hAnsiTheme="minorHAnsi" w:cstheme="minorHAnsi"/>
        </w:rPr>
        <w:fldChar w:fldCharType="begin"/>
      </w:r>
      <w:r w:rsidRPr="007809F4">
        <w:rPr>
          <w:rFonts w:asciiTheme="minorHAnsi" w:hAnsiTheme="minorHAnsi" w:cstheme="minorHAnsi"/>
        </w:rPr>
        <w:instrText xml:space="preserve"> TA \s "Saab v R [2012] VSCA 165" </w:instrText>
      </w:r>
      <w:r w:rsidRPr="00EB7F1E">
        <w:rPr>
          <w:rFonts w:asciiTheme="minorHAnsi" w:hAnsiTheme="minorHAnsi" w:cstheme="minorHAnsi"/>
        </w:rPr>
        <w:fldChar w:fldCharType="end"/>
      </w:r>
      <w:r w:rsidRPr="007809F4">
        <w:rPr>
          <w:rFonts w:asciiTheme="minorHAnsi" w:hAnsiTheme="minorHAnsi" w:cstheme="minorHAnsi"/>
        </w:rPr>
        <w:t xml:space="preserve">, [58]; </w:t>
      </w:r>
      <w:r w:rsidRPr="007809F4">
        <w:rPr>
          <w:rFonts w:asciiTheme="minorHAnsi" w:hAnsiTheme="minorHAnsi" w:cstheme="minorHAnsi"/>
          <w:i/>
        </w:rPr>
        <w:t>Gosland v R</w:t>
      </w:r>
      <w:r w:rsidRPr="007809F4">
        <w:rPr>
          <w:rFonts w:asciiTheme="minorHAnsi" w:hAnsiTheme="minorHAnsi" w:cstheme="minorHAnsi"/>
        </w:rPr>
        <w:t xml:space="preserve"> [2013] VSCA 269</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Gosland v R</w:instrText>
      </w:r>
      <w:r w:rsidRPr="007809F4">
        <w:rPr>
          <w:rFonts w:asciiTheme="minorHAnsi" w:hAnsiTheme="minorHAnsi" w:cstheme="minorHAnsi"/>
        </w:rPr>
        <w:instrText xml:space="preserve"> [2013] VSCA 269</w:instrText>
      </w:r>
      <w:r w:rsidRPr="00EB7F1E">
        <w:rPr>
          <w:rFonts w:asciiTheme="minorHAnsi" w:hAnsiTheme="minorHAnsi" w:cstheme="minorHAnsi"/>
        </w:rPr>
        <w:instrText xml:space="preserve">" \s "Gosland v R [2013] VSCA 269" \c 1 </w:instrText>
      </w:r>
      <w:r w:rsidRPr="00EB7F1E">
        <w:rPr>
          <w:rFonts w:asciiTheme="minorHAnsi" w:hAnsiTheme="minorHAnsi" w:cstheme="minorHAnsi"/>
        </w:rPr>
        <w:fldChar w:fldCharType="end"/>
      </w:r>
      <w:r w:rsidRPr="007809F4">
        <w:rPr>
          <w:rFonts w:asciiTheme="minorHAnsi" w:hAnsiTheme="minorHAnsi" w:cstheme="minorHAnsi"/>
        </w:rPr>
        <w:t xml:space="preserve">, [10]; </w:t>
      </w:r>
      <w:r w:rsidRPr="007809F4">
        <w:rPr>
          <w:rFonts w:asciiTheme="minorHAnsi" w:hAnsiTheme="minorHAnsi" w:cstheme="minorHAnsi"/>
          <w:i/>
        </w:rPr>
        <w:t>Zogheib v R</w:t>
      </w:r>
      <w:r w:rsidRPr="007809F4">
        <w:rPr>
          <w:rFonts w:asciiTheme="minorHAnsi" w:hAnsiTheme="minorHAnsi" w:cstheme="minorHAnsi"/>
        </w:rPr>
        <w:t xml:space="preserve"> [2015] VSCA 334</w:t>
      </w:r>
      <w:r w:rsidRPr="00EB7F1E">
        <w:rPr>
          <w:rFonts w:asciiTheme="minorHAnsi" w:hAnsiTheme="minorHAnsi" w:cstheme="minorHAnsi"/>
        </w:rPr>
        <w:fldChar w:fldCharType="begin"/>
      </w:r>
      <w:r w:rsidRPr="007809F4">
        <w:rPr>
          <w:rFonts w:asciiTheme="minorHAnsi" w:hAnsiTheme="minorHAnsi" w:cstheme="minorHAnsi"/>
        </w:rPr>
        <w:instrText xml:space="preserve"> TA \s "Zogheib v R [2015] VSCA 334" </w:instrText>
      </w:r>
      <w:r w:rsidRPr="00EB7F1E">
        <w:rPr>
          <w:rFonts w:asciiTheme="minorHAnsi" w:hAnsiTheme="minorHAnsi" w:cstheme="minorHAnsi"/>
        </w:rPr>
        <w:fldChar w:fldCharType="end"/>
      </w:r>
      <w:r w:rsidRPr="007809F4">
        <w:rPr>
          <w:rFonts w:asciiTheme="minorHAnsi" w:hAnsiTheme="minorHAnsi" w:cstheme="minorHAnsi"/>
        </w:rPr>
        <w:t>, [62]-[64].</w:t>
      </w:r>
      <w:r w:rsidRPr="00EB7F1E">
        <w:rPr>
          <w:rFonts w:asciiTheme="minorHAnsi" w:hAnsiTheme="minorHAnsi" w:cstheme="minorHAnsi"/>
        </w:rPr>
        <w:fldChar w:fldCharType="begin"/>
      </w:r>
      <w:r w:rsidRPr="007809F4">
        <w:rPr>
          <w:rFonts w:asciiTheme="minorHAnsi" w:hAnsiTheme="minorHAnsi" w:cstheme="minorHAnsi"/>
        </w:rPr>
        <w:instrText xml:space="preserve">  "R v Burke (2009) 21 VR 471" </w:instrText>
      </w:r>
      <w:r w:rsidRPr="00EB7F1E">
        <w:rPr>
          <w:rFonts w:asciiTheme="minorHAnsi" w:hAnsiTheme="minorHAnsi" w:cstheme="minorHAnsi"/>
        </w:rPr>
        <w:fldChar w:fldCharType="end"/>
      </w:r>
    </w:p>
  </w:footnote>
  <w:footnote w:id="1068">
    <w:p w14:paraId="21AAB0EB" w14:textId="646235D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Saab v R</w:t>
      </w:r>
      <w:r w:rsidRPr="007809F4">
        <w:rPr>
          <w:rFonts w:asciiTheme="minorHAnsi" w:hAnsiTheme="minorHAnsi" w:cstheme="minorHAnsi"/>
        </w:rPr>
        <w:t xml:space="preserve"> </w:t>
      </w:r>
      <w:hyperlink r:id="rId9" w:tooltip="Supreme Court of Victoria Court of Appeal" w:history="1">
        <w:r w:rsidRPr="007809F4">
          <w:rPr>
            <w:rFonts w:asciiTheme="minorHAnsi" w:hAnsiTheme="minorHAnsi" w:cstheme="minorHAnsi"/>
          </w:rPr>
          <w:t>[2012] VSCA 165</w:t>
        </w:r>
      </w:hyperlink>
      <w:r w:rsidRPr="00EB7F1E">
        <w:rPr>
          <w:rFonts w:asciiTheme="minorHAnsi" w:hAnsiTheme="minorHAnsi" w:cstheme="minorHAnsi"/>
        </w:rPr>
        <w:fldChar w:fldCharType="begin"/>
      </w:r>
      <w:r w:rsidRPr="007809F4">
        <w:rPr>
          <w:rFonts w:asciiTheme="minorHAnsi" w:hAnsiTheme="minorHAnsi" w:cstheme="minorHAnsi"/>
        </w:rPr>
        <w:instrText xml:space="preserve"> TA \s "Saab v R [2012] VSCA 165" </w:instrText>
      </w:r>
      <w:r w:rsidRPr="00EB7F1E">
        <w:rPr>
          <w:rFonts w:asciiTheme="minorHAnsi" w:hAnsiTheme="minorHAnsi" w:cstheme="minorHAnsi"/>
        </w:rPr>
        <w:fldChar w:fldCharType="end"/>
      </w:r>
      <w:r w:rsidRPr="007809F4">
        <w:rPr>
          <w:rFonts w:asciiTheme="minorHAnsi" w:hAnsiTheme="minorHAnsi" w:cstheme="minorHAnsi"/>
        </w:rPr>
        <w:t>, [44]-[62].</w:t>
      </w:r>
      <w:r w:rsidRPr="00EB7F1E">
        <w:rPr>
          <w:rFonts w:asciiTheme="minorHAnsi" w:hAnsiTheme="minorHAnsi" w:cstheme="minorHAnsi"/>
        </w:rPr>
        <w:fldChar w:fldCharType="begin"/>
      </w:r>
      <w:r w:rsidRPr="007809F4">
        <w:rPr>
          <w:rFonts w:asciiTheme="minorHAnsi" w:hAnsiTheme="minorHAnsi" w:cstheme="minorHAnsi"/>
        </w:rPr>
        <w:instrText xml:space="preserve">  "R v Burke (2009) 21 VR 471" </w:instrText>
      </w:r>
      <w:r w:rsidRPr="00EB7F1E">
        <w:rPr>
          <w:rFonts w:asciiTheme="minorHAnsi" w:hAnsiTheme="minorHAnsi" w:cstheme="minorHAnsi"/>
        </w:rPr>
        <w:fldChar w:fldCharType="end"/>
      </w:r>
    </w:p>
  </w:footnote>
  <w:footnote w:id="1069">
    <w:p w14:paraId="452C752C" w14:textId="6771076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Scerri v R</w:t>
      </w:r>
      <w:r w:rsidRPr="007809F4">
        <w:rPr>
          <w:rFonts w:asciiTheme="minorHAnsi" w:hAnsiTheme="minorHAnsi" w:cstheme="minorHAnsi"/>
        </w:rPr>
        <w:t xml:space="preserve"> [2010] VSCA 287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Scerri v R</w:instrText>
      </w:r>
      <w:r w:rsidRPr="007809F4">
        <w:rPr>
          <w:rFonts w:asciiTheme="minorHAnsi" w:hAnsiTheme="minorHAnsi" w:cstheme="minorHAnsi"/>
        </w:rPr>
        <w:instrText xml:space="preserve"> [2010] VSCA 287" \s " Scerri v R [2010] VSCA 287" \c 1 </w:instrText>
      </w:r>
      <w:r w:rsidRPr="00EB7F1E">
        <w:rPr>
          <w:rFonts w:asciiTheme="minorHAnsi" w:hAnsiTheme="minorHAnsi" w:cstheme="minorHAnsi"/>
        </w:rPr>
        <w:fldChar w:fldCharType="end"/>
      </w:r>
      <w:r w:rsidRPr="007809F4">
        <w:rPr>
          <w:rFonts w:asciiTheme="minorHAnsi" w:hAnsiTheme="minorHAnsi" w:cstheme="minorHAnsi"/>
        </w:rPr>
        <w:t xml:space="preserve">, [24]; </w:t>
      </w:r>
      <w:r w:rsidRPr="007809F4">
        <w:rPr>
          <w:rFonts w:asciiTheme="minorHAnsi" w:hAnsiTheme="minorHAnsi" w:cstheme="minorHAnsi"/>
          <w:i/>
        </w:rPr>
        <w:t>Saab v R</w:t>
      </w:r>
      <w:r w:rsidRPr="007809F4">
        <w:rPr>
          <w:rFonts w:asciiTheme="minorHAnsi" w:hAnsiTheme="minorHAnsi" w:cstheme="minorHAnsi"/>
        </w:rPr>
        <w:t xml:space="preserve"> [2012] VSCA 165</w:t>
      </w:r>
      <w:r w:rsidRPr="00EB7F1E">
        <w:rPr>
          <w:rFonts w:asciiTheme="minorHAnsi" w:hAnsiTheme="minorHAnsi" w:cstheme="minorHAnsi"/>
        </w:rPr>
        <w:fldChar w:fldCharType="begin"/>
      </w:r>
      <w:r w:rsidRPr="007809F4">
        <w:rPr>
          <w:rFonts w:asciiTheme="minorHAnsi" w:hAnsiTheme="minorHAnsi" w:cstheme="minorHAnsi"/>
        </w:rPr>
        <w:instrText xml:space="preserve"> TA \s "Saab v R [2012] VSCA 165" </w:instrText>
      </w:r>
      <w:r w:rsidRPr="00EB7F1E">
        <w:rPr>
          <w:rFonts w:asciiTheme="minorHAnsi" w:hAnsiTheme="minorHAnsi" w:cstheme="minorHAnsi"/>
        </w:rPr>
        <w:fldChar w:fldCharType="end"/>
      </w:r>
      <w:r w:rsidRPr="007809F4">
        <w:rPr>
          <w:rFonts w:asciiTheme="minorHAnsi" w:hAnsiTheme="minorHAnsi" w:cstheme="minorHAnsi"/>
        </w:rPr>
        <w:t xml:space="preserve">, [34]-[43]; </w:t>
      </w:r>
      <w:r w:rsidRPr="007809F4">
        <w:rPr>
          <w:rFonts w:asciiTheme="minorHAnsi" w:hAnsiTheme="minorHAnsi" w:cstheme="minorHAnsi"/>
          <w:i/>
        </w:rPr>
        <w:t>Cummins (a pseudonym) v R</w:t>
      </w:r>
      <w:r w:rsidRPr="007809F4">
        <w:rPr>
          <w:rFonts w:asciiTheme="minorHAnsi" w:hAnsiTheme="minorHAnsi" w:cstheme="minorHAnsi"/>
        </w:rPr>
        <w:t xml:space="preserve"> (2013) 40 VR 319</w:t>
      </w:r>
      <w:r w:rsidRPr="00EB7F1E">
        <w:rPr>
          <w:rFonts w:asciiTheme="minorHAnsi" w:hAnsiTheme="minorHAnsi" w:cstheme="minorHAnsi"/>
        </w:rPr>
        <w:fldChar w:fldCharType="begin"/>
      </w:r>
      <w:r w:rsidRPr="007809F4">
        <w:rPr>
          <w:rFonts w:asciiTheme="minorHAnsi" w:hAnsiTheme="minorHAnsi" w:cstheme="minorHAnsi"/>
        </w:rPr>
        <w:instrText xml:space="preserve"> TA \s "Cummins (a pseudonym) v R (2013) 40 VR 319" </w:instrText>
      </w:r>
      <w:r w:rsidRPr="00EB7F1E">
        <w:rPr>
          <w:rFonts w:asciiTheme="minorHAnsi" w:hAnsiTheme="minorHAnsi" w:cstheme="minorHAnsi"/>
        </w:rPr>
        <w:fldChar w:fldCharType="end"/>
      </w:r>
      <w:r w:rsidRPr="007809F4">
        <w:rPr>
          <w:rFonts w:asciiTheme="minorHAnsi" w:hAnsiTheme="minorHAnsi" w:cstheme="minorHAnsi"/>
        </w:rPr>
        <w:t>, [41]-[48].</w:t>
      </w:r>
    </w:p>
  </w:footnote>
  <w:footnote w:id="1070">
    <w:p w14:paraId="139DD975" w14:textId="6765140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Wong v R</w:t>
      </w:r>
      <w:r w:rsidRPr="007809F4">
        <w:rPr>
          <w:rFonts w:asciiTheme="minorHAnsi" w:hAnsiTheme="minorHAnsi" w:cstheme="minorHAnsi"/>
        </w:rPr>
        <w:t xml:space="preserve"> (2001) 207 CLR 584</w:t>
      </w:r>
      <w:r w:rsidRPr="00EB7F1E">
        <w:rPr>
          <w:rFonts w:asciiTheme="minorHAnsi" w:hAnsiTheme="minorHAnsi" w:cstheme="minorHAnsi"/>
        </w:rPr>
        <w:fldChar w:fldCharType="begin"/>
      </w:r>
      <w:r w:rsidRPr="007809F4">
        <w:rPr>
          <w:rFonts w:asciiTheme="minorHAnsi" w:hAnsiTheme="minorHAnsi" w:cstheme="minorHAnsi"/>
        </w:rPr>
        <w:instrText xml:space="preserve"> TA \s "Wong v R (2001) 207 CLR 584" </w:instrText>
      </w:r>
      <w:r w:rsidRPr="00EB7F1E">
        <w:rPr>
          <w:rFonts w:asciiTheme="minorHAnsi" w:hAnsiTheme="minorHAnsi" w:cstheme="minorHAnsi"/>
        </w:rPr>
        <w:fldChar w:fldCharType="end"/>
      </w:r>
      <w:r w:rsidRPr="007809F4">
        <w:rPr>
          <w:rFonts w:asciiTheme="minorHAnsi" w:hAnsiTheme="minorHAnsi" w:cstheme="minorHAnsi"/>
        </w:rPr>
        <w:t xml:space="preserve">, [74]-[78]; </w:t>
      </w:r>
      <w:r w:rsidRPr="007809F4">
        <w:rPr>
          <w:rFonts w:asciiTheme="minorHAnsi" w:hAnsiTheme="minorHAnsi" w:cstheme="minorHAnsi"/>
          <w:i/>
        </w:rPr>
        <w:t>DPP (Cth) v Pratten (No 2)</w:t>
      </w:r>
      <w:r w:rsidRPr="007809F4">
        <w:rPr>
          <w:rFonts w:asciiTheme="minorHAnsi" w:hAnsiTheme="minorHAnsi" w:cstheme="minorHAnsi"/>
        </w:rPr>
        <w:t xml:space="preserve"> (2017) 94 NSWLR 194</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Pratten (No 2) (2017) 94 NSWLR 194" </w:instrText>
      </w:r>
      <w:r w:rsidRPr="00EB7F1E">
        <w:rPr>
          <w:rFonts w:asciiTheme="minorHAnsi" w:hAnsiTheme="minorHAnsi" w:cstheme="minorHAnsi"/>
        </w:rPr>
        <w:fldChar w:fldCharType="end"/>
      </w:r>
      <w:r w:rsidRPr="007809F4">
        <w:rPr>
          <w:rFonts w:asciiTheme="minorHAnsi" w:hAnsiTheme="minorHAnsi" w:cstheme="minorHAnsi"/>
        </w:rPr>
        <w:t>, [24].</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071">
    <w:p w14:paraId="6865F58D" w14:textId="183F212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R v Sharma</w:t>
      </w:r>
      <w:r w:rsidRPr="007809F4">
        <w:rPr>
          <w:rFonts w:asciiTheme="minorHAnsi" w:hAnsiTheme="minorHAnsi" w:cstheme="minorHAnsi"/>
        </w:rPr>
        <w:t xml:space="preserve"> (2002) 54 NSWLR 300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Sharma</w:instrText>
      </w:r>
      <w:r w:rsidRPr="007809F4">
        <w:rPr>
          <w:rFonts w:asciiTheme="minorHAnsi" w:hAnsiTheme="minorHAnsi" w:cstheme="minorHAnsi"/>
        </w:rPr>
        <w:instrText xml:space="preserve"> (2002) 54 NSWLR 300" \s "R v Sharma (2002) 54 NSWLR 300"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Sharma (2002) 54 NSWLR 300"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R v Place</w:t>
      </w:r>
      <w:r w:rsidRPr="007809F4">
        <w:rPr>
          <w:rFonts w:asciiTheme="minorHAnsi" w:hAnsiTheme="minorHAnsi" w:cstheme="minorHAnsi"/>
        </w:rPr>
        <w:t xml:space="preserve"> (2002) 81 SASR 395</w:t>
      </w:r>
      <w:r w:rsidRPr="00EB7F1E">
        <w:rPr>
          <w:rFonts w:asciiTheme="minorHAnsi" w:hAnsiTheme="minorHAnsi" w:cstheme="minorHAnsi"/>
        </w:rPr>
        <w:fldChar w:fldCharType="begin"/>
      </w:r>
      <w:r w:rsidRPr="00EB7F1E">
        <w:rPr>
          <w:rFonts w:asciiTheme="minorHAnsi" w:hAnsiTheme="minorHAnsi" w:cstheme="minorHAnsi"/>
        </w:rPr>
        <w:instrText xml:space="preserve"> TA \s "R v Place (2002) 81 SASR 395"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AB</w:t>
      </w:r>
      <w:r w:rsidRPr="007809F4">
        <w:rPr>
          <w:rFonts w:asciiTheme="minorHAnsi" w:hAnsiTheme="minorHAnsi" w:cstheme="minorHAnsi"/>
        </w:rPr>
        <w:t xml:space="preserve"> (2006) 94 SASR 316</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AB (2006) 94 SASR 316"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"DPP v AB (2006) 94 SASR 316" </w:instrText>
      </w:r>
      <w:r w:rsidRPr="00EB7F1E">
        <w:rPr>
          <w:rFonts w:asciiTheme="minorHAnsi" w:hAnsiTheme="minorHAnsi" w:cstheme="minorHAnsi"/>
        </w:rPr>
        <w:fldChar w:fldCharType="end"/>
      </w:r>
      <w:r w:rsidRPr="007809F4">
        <w:rPr>
          <w:rFonts w:asciiTheme="minorHAnsi" w:hAnsiTheme="minorHAnsi" w:cstheme="minorHAnsi"/>
        </w:rPr>
        <w:t xml:space="preserve">.  See </w:t>
      </w:r>
      <w:r w:rsidRPr="007809F4">
        <w:rPr>
          <w:rFonts w:asciiTheme="minorHAnsi" w:hAnsiTheme="minorHAnsi" w:cstheme="minorHAnsi"/>
          <w:i/>
        </w:rPr>
        <w:t>Markarian v R</w:t>
      </w:r>
      <w:r w:rsidRPr="007809F4">
        <w:rPr>
          <w:rFonts w:asciiTheme="minorHAnsi" w:hAnsiTheme="minorHAnsi" w:cstheme="minorHAnsi"/>
        </w:rPr>
        <w:t xml:space="preserve"> (2005) 228 CLR 357</w:t>
      </w:r>
      <w:r w:rsidRPr="00EB7F1E">
        <w:rPr>
          <w:rFonts w:asciiTheme="minorHAnsi" w:hAnsiTheme="minorHAnsi" w:cstheme="minorHAnsi"/>
        </w:rPr>
        <w:fldChar w:fldCharType="begin"/>
      </w:r>
      <w:r w:rsidRPr="007809F4">
        <w:rPr>
          <w:rFonts w:asciiTheme="minorHAnsi" w:hAnsiTheme="minorHAnsi" w:cstheme="minorHAnsi"/>
        </w:rPr>
        <w:instrText xml:space="preserve"> TA \s "Markarian v R (2005) 228 CLR 357"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072">
    <w:p w14:paraId="55D0EE98" w14:textId="48E7BEA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Xiao v R</w:t>
      </w:r>
      <w:r w:rsidRPr="007809F4">
        <w:rPr>
          <w:rFonts w:asciiTheme="minorHAnsi" w:hAnsiTheme="minorHAnsi" w:cstheme="minorHAnsi"/>
        </w:rPr>
        <w:t xml:space="preserve"> (2018)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 [279]-[280].</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073">
    <w:p w14:paraId="1564C6AE" w14:textId="2D51000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Xiao v R</w:t>
      </w:r>
      <w:r w:rsidRPr="007809F4">
        <w:rPr>
          <w:rFonts w:asciiTheme="minorHAnsi" w:hAnsiTheme="minorHAnsi" w:cstheme="minorHAnsi"/>
        </w:rPr>
        <w:t xml:space="preserve"> (2018) 96 NSWLR 1</w:t>
      </w:r>
      <w:r w:rsidRPr="00EB7F1E">
        <w:rPr>
          <w:rFonts w:asciiTheme="minorHAnsi" w:hAnsiTheme="minorHAnsi" w:cstheme="minorHAnsi"/>
        </w:rPr>
        <w:fldChar w:fldCharType="begin"/>
      </w:r>
      <w:r w:rsidRPr="007809F4">
        <w:rPr>
          <w:rFonts w:asciiTheme="minorHAnsi" w:hAnsiTheme="minorHAnsi" w:cstheme="minorHAnsi"/>
        </w:rPr>
        <w:instrText xml:space="preserve"> TA \s "Xiao v R (2018) 96 NSWLR 1" </w:instrText>
      </w:r>
      <w:r w:rsidRPr="00EB7F1E">
        <w:rPr>
          <w:rFonts w:asciiTheme="minorHAnsi" w:hAnsiTheme="minorHAnsi" w:cstheme="minorHAnsi"/>
        </w:rPr>
        <w:fldChar w:fldCharType="end"/>
      </w:r>
      <w:r w:rsidRPr="007809F4">
        <w:rPr>
          <w:rFonts w:asciiTheme="minorHAnsi" w:hAnsiTheme="minorHAnsi" w:cstheme="minorHAnsi"/>
        </w:rPr>
        <w:t xml:space="preserve">, [280]; applied in </w:t>
      </w:r>
      <w:r w:rsidRPr="00EB7F1E">
        <w:rPr>
          <w:rFonts w:asciiTheme="minorHAnsi" w:hAnsiTheme="minorHAnsi" w:cstheme="minorHAnsi"/>
          <w:i/>
        </w:rPr>
        <w:t>R v KAT</w:t>
      </w:r>
      <w:r w:rsidRPr="00EB7F1E">
        <w:rPr>
          <w:rFonts w:asciiTheme="minorHAnsi" w:hAnsiTheme="minorHAnsi" w:cstheme="minorHAnsi"/>
        </w:rPr>
        <w:t xml:space="preserve"> [2018] QCA 3</w:t>
      </w:r>
      <w:r w:rsidRPr="007809F4">
        <w:rPr>
          <w:rFonts w:asciiTheme="minorHAnsi" w:hAnsiTheme="minorHAnsi" w:cstheme="minorHAnsi"/>
        </w:rPr>
        <w:t>06</w:t>
      </w:r>
      <w:r w:rsidRPr="00EB7F1E">
        <w:rPr>
          <w:rFonts w:asciiTheme="minorHAnsi" w:hAnsiTheme="minorHAnsi" w:cstheme="minorHAnsi"/>
        </w:rPr>
        <w:fldChar w:fldCharType="begin"/>
      </w:r>
      <w:r w:rsidRPr="007809F4">
        <w:rPr>
          <w:rFonts w:asciiTheme="minorHAnsi" w:hAnsiTheme="minorHAnsi" w:cstheme="minorHAnsi"/>
        </w:rPr>
        <w:instrText xml:space="preserve"> TA \s "R v KAT [2018] QCA 306" </w:instrText>
      </w:r>
      <w:r w:rsidRPr="00EB7F1E">
        <w:rPr>
          <w:rFonts w:asciiTheme="minorHAnsi" w:hAnsiTheme="minorHAnsi" w:cstheme="minorHAnsi"/>
        </w:rPr>
        <w:fldChar w:fldCharType="end"/>
      </w:r>
      <w:r w:rsidRPr="00EB7F1E">
        <w:rPr>
          <w:rFonts w:asciiTheme="minorHAnsi" w:hAnsiTheme="minorHAnsi" w:cstheme="minorHAnsi"/>
        </w:rPr>
        <w:t>, [61]</w:t>
      </w:r>
      <w:r w:rsidRPr="007809F4">
        <w:rPr>
          <w:rFonts w:asciiTheme="minorHAnsi" w:hAnsiTheme="minorHAnsi" w:cstheme="minorHAnsi"/>
        </w:rPr>
        <w:t xml:space="preserve">. </w:t>
      </w:r>
      <w:r w:rsidRPr="00EB7F1E">
        <w:rPr>
          <w:rFonts w:asciiTheme="minorHAnsi" w:hAnsiTheme="minorHAnsi" w:cstheme="minorHAnsi"/>
        </w:rPr>
        <w:t>C</w:t>
      </w:r>
      <w:r w:rsidRPr="007809F4">
        <w:rPr>
          <w:rFonts w:asciiTheme="minorHAnsi" w:hAnsiTheme="minorHAnsi" w:cstheme="minorHAnsi"/>
        </w:rPr>
        <w:t>f</w:t>
      </w:r>
      <w:r w:rsidRPr="007809F4">
        <w:rPr>
          <w:rFonts w:asciiTheme="minorHAnsi" w:hAnsiTheme="minorHAnsi" w:cstheme="minorHAnsi"/>
          <w:i/>
        </w:rPr>
        <w:t xml:space="preserve"> </w:t>
      </w:r>
      <w:r w:rsidRPr="00EB7F1E">
        <w:rPr>
          <w:rFonts w:asciiTheme="minorHAnsi" w:hAnsiTheme="minorHAnsi" w:cstheme="minorHAnsi"/>
          <w:i/>
        </w:rPr>
        <w:t>Clarkson v Western Australia</w:t>
      </w:r>
      <w:r w:rsidRPr="00EB7F1E">
        <w:rPr>
          <w:rFonts w:asciiTheme="minorHAnsi" w:hAnsiTheme="minorHAnsi" w:cstheme="minorHAnsi"/>
        </w:rPr>
        <w:t xml:space="preserve"> [2006] WASCA 250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Clarkson v Western Australia</w:instrText>
      </w:r>
      <w:r w:rsidRPr="00EB7F1E">
        <w:rPr>
          <w:rFonts w:asciiTheme="minorHAnsi" w:hAnsiTheme="minorHAnsi" w:cstheme="minorHAnsi"/>
        </w:rPr>
        <w:instrText xml:space="preserve"> [2006] WASCA 250" \s "Clarkson v Western Australia [2006] WASCA 250" \c 1 </w:instrText>
      </w:r>
      <w:r w:rsidRPr="00EB7F1E">
        <w:rPr>
          <w:rFonts w:asciiTheme="minorHAnsi" w:hAnsiTheme="minorHAnsi" w:cstheme="minorHAnsi"/>
        </w:rPr>
        <w:fldChar w:fldCharType="end"/>
      </w:r>
      <w:r w:rsidRPr="007809F4">
        <w:rPr>
          <w:rFonts w:asciiTheme="minorHAnsi" w:hAnsiTheme="minorHAnsi" w:cstheme="minorHAnsi"/>
        </w:rPr>
        <w:t>, [31].</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074">
    <w:p w14:paraId="0AE85839" w14:textId="5ECD4C2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rPr>
        <w:t>Huang v R</w:t>
      </w:r>
      <w:r w:rsidRPr="00EB7F1E">
        <w:rPr>
          <w:rFonts w:asciiTheme="minorHAnsi" w:hAnsiTheme="minorHAnsi" w:cstheme="minorHAnsi"/>
        </w:rPr>
        <w:t xml:space="preserve"> [2018] NSWCCA 70</w:t>
      </w:r>
      <w:r w:rsidRPr="00EB7F1E">
        <w:rPr>
          <w:rFonts w:asciiTheme="minorHAnsi" w:hAnsiTheme="minorHAnsi" w:cstheme="minorHAnsi"/>
        </w:rPr>
        <w:fldChar w:fldCharType="begin"/>
      </w:r>
      <w:r w:rsidRPr="007809F4">
        <w:rPr>
          <w:rFonts w:asciiTheme="minorHAnsi" w:hAnsiTheme="minorHAnsi" w:cstheme="minorHAnsi"/>
        </w:rPr>
        <w:instrText xml:space="preserve"> TA \s "Huang v R [2018] NSWCCA 70"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"Markarian v R (2005) 228 CLR 357" </w:instrText>
      </w:r>
      <w:r w:rsidRPr="00EB7F1E">
        <w:rPr>
          <w:rFonts w:asciiTheme="minorHAnsi" w:hAnsiTheme="minorHAnsi" w:cstheme="minorHAnsi"/>
        </w:rPr>
        <w:fldChar w:fldCharType="end"/>
      </w:r>
    </w:p>
  </w:footnote>
  <w:footnote w:id="1075">
    <w:p w14:paraId="456374D2" w14:textId="5779913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Such requirements exist in Victoria (</w:t>
      </w:r>
      <w:r w:rsidRPr="007809F4">
        <w:rPr>
          <w:rFonts w:asciiTheme="minorHAnsi" w:hAnsiTheme="minorHAnsi" w:cstheme="minorHAnsi"/>
          <w:i/>
        </w:rPr>
        <w:t xml:space="preserve">Sentencing Act 1991 </w:t>
      </w:r>
      <w:r w:rsidRPr="007809F4">
        <w:rPr>
          <w:rFonts w:asciiTheme="minorHAnsi" w:hAnsiTheme="minorHAnsi" w:cstheme="minorHAnsi"/>
        </w:rPr>
        <w:t>(Vic), s 6AAA), the ACT</w:t>
      </w:r>
      <w:r w:rsidRPr="007809F4">
        <w:rPr>
          <w:rFonts w:asciiTheme="minorHAnsi" w:hAnsiTheme="minorHAnsi" w:cstheme="minorHAnsi"/>
          <w:i/>
        </w:rPr>
        <w:t xml:space="preserve"> </w:t>
      </w:r>
      <w:r w:rsidRPr="007809F4">
        <w:rPr>
          <w:rFonts w:asciiTheme="minorHAnsi" w:hAnsiTheme="minorHAnsi" w:cstheme="minorHAnsi"/>
        </w:rPr>
        <w:t>(</w:t>
      </w:r>
      <w:r w:rsidRPr="007809F4">
        <w:rPr>
          <w:rFonts w:asciiTheme="minorHAnsi" w:hAnsiTheme="minorHAnsi" w:cstheme="minorHAnsi"/>
          <w:i/>
        </w:rPr>
        <w:t xml:space="preserve">Crimes (Sentencing) Act 2005 </w:t>
      </w:r>
      <w:r w:rsidRPr="007809F4">
        <w:rPr>
          <w:rFonts w:asciiTheme="minorHAnsi" w:hAnsiTheme="minorHAnsi" w:cstheme="minorHAnsi"/>
        </w:rPr>
        <w:t>(ACT), ss 35 and 37) and Western Australia (</w:t>
      </w:r>
      <w:r w:rsidRPr="007809F4">
        <w:rPr>
          <w:rFonts w:asciiTheme="minorHAnsi" w:hAnsiTheme="minorHAnsi" w:cstheme="minorHAnsi"/>
          <w:i/>
        </w:rPr>
        <w:t>Sentencing Act 1995</w:t>
      </w:r>
      <w:r w:rsidRPr="007809F4">
        <w:rPr>
          <w:rFonts w:asciiTheme="minorHAnsi" w:hAnsiTheme="minorHAnsi" w:cstheme="minorHAnsi"/>
        </w:rPr>
        <w:t xml:space="preserve"> (WA), s 9AA(5)).  In </w:t>
      </w:r>
      <w:r w:rsidRPr="007809F4">
        <w:rPr>
          <w:rFonts w:asciiTheme="minorHAnsi" w:hAnsiTheme="minorHAnsi" w:cstheme="minorHAnsi"/>
          <w:i/>
        </w:rPr>
        <w:t>Ngo v R</w:t>
      </w:r>
      <w:r w:rsidRPr="007809F4">
        <w:rPr>
          <w:rFonts w:asciiTheme="minorHAnsi" w:hAnsiTheme="minorHAnsi" w:cstheme="minorHAnsi"/>
        </w:rPr>
        <w:t xml:space="preserve"> [2017] WASCA 3</w:t>
      </w:r>
      <w:r w:rsidRPr="00EB7F1E">
        <w:rPr>
          <w:rFonts w:asciiTheme="minorHAnsi" w:hAnsiTheme="minorHAnsi" w:cstheme="minorHAnsi"/>
        </w:rPr>
        <w:fldChar w:fldCharType="begin"/>
      </w:r>
      <w:r w:rsidRPr="007809F4">
        <w:rPr>
          <w:rFonts w:asciiTheme="minorHAnsi" w:hAnsiTheme="minorHAnsi" w:cstheme="minorHAnsi"/>
        </w:rPr>
        <w:instrText xml:space="preserve"> TA \s "Ngo v R [2017] WASCA 3" </w:instrText>
      </w:r>
      <w:r w:rsidRPr="00EB7F1E">
        <w:rPr>
          <w:rFonts w:asciiTheme="minorHAnsi" w:hAnsiTheme="minorHAnsi" w:cstheme="minorHAnsi"/>
        </w:rPr>
        <w:fldChar w:fldCharType="end"/>
      </w:r>
      <w:r w:rsidRPr="007809F4">
        <w:rPr>
          <w:rFonts w:asciiTheme="minorHAnsi" w:hAnsiTheme="minorHAnsi" w:cstheme="minorHAnsi"/>
        </w:rPr>
        <w:t xml:space="preserve">, the WA Court of Appeal held that (because of the terms of the section) s 9AA(5) of the WA Act was not applicable to the sentencing of a federal offender.  Courts in Victoria have proceeded on the assumption that the (less prescriptive) provision in Victoria is applied to the sentencing of a federal offender pursuant to s 68 or s 79 of </w:t>
      </w:r>
      <w:r w:rsidRPr="007809F4">
        <w:rPr>
          <w:rFonts w:asciiTheme="minorHAnsi" w:hAnsiTheme="minorHAnsi" w:cstheme="minorHAnsi"/>
          <w:i/>
        </w:rPr>
        <w:t>the Judiciary Act 1903</w:t>
      </w:r>
      <w:r w:rsidRPr="007809F4">
        <w:rPr>
          <w:rFonts w:asciiTheme="minorHAnsi" w:hAnsiTheme="minorHAnsi" w:cstheme="minorHAnsi"/>
        </w:rPr>
        <w:t xml:space="preserve"> (Cth). See “</w:t>
      </w:r>
      <w:r w:rsidRPr="00EB7F1E">
        <w:rPr>
          <w:rFonts w:asciiTheme="minorHAnsi" w:hAnsiTheme="minorHAnsi" w:cstheme="minorHAnsi"/>
        </w:rPr>
        <w:fldChar w:fldCharType="begin"/>
      </w:r>
      <w:r w:rsidRPr="007809F4">
        <w:rPr>
          <w:rFonts w:asciiTheme="minorHAnsi" w:hAnsiTheme="minorHAnsi" w:cstheme="minorHAnsi"/>
        </w:rPr>
        <w:instrText xml:space="preserve"> REF _Ref504387378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3.3</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_Ref504387382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Where a two-stage approach is required by statute</w:t>
      </w:r>
      <w:r w:rsidRPr="00EB7F1E">
        <w:rPr>
          <w:rFonts w:asciiTheme="minorHAnsi" w:hAnsiTheme="minorHAnsi" w:cstheme="minorHAnsi"/>
        </w:rPr>
        <w:fldChar w:fldCharType="end"/>
      </w:r>
      <w:r w:rsidRPr="007809F4">
        <w:rPr>
          <w:rFonts w:asciiTheme="minorHAnsi" w:hAnsiTheme="minorHAnsi" w:cstheme="minorHAnsi"/>
        </w:rPr>
        <w:t>” and “</w:t>
      </w:r>
      <w:r w:rsidRPr="00EB7F1E">
        <w:rPr>
          <w:rFonts w:asciiTheme="minorHAnsi" w:hAnsiTheme="minorHAnsi" w:cstheme="minorHAnsi"/>
        </w:rPr>
        <w:fldChar w:fldCharType="begin"/>
      </w:r>
      <w:r w:rsidRPr="007809F4">
        <w:rPr>
          <w:rFonts w:asciiTheme="minorHAnsi" w:hAnsiTheme="minorHAnsi" w:cstheme="minorHAnsi"/>
        </w:rPr>
        <w:instrText xml:space="preserve"> REF _Ref495337739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7.8</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_Ref495337739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Specifying a discount for a guilty plea</w:t>
      </w:r>
      <w:r w:rsidRPr="00EB7F1E">
        <w:rPr>
          <w:rFonts w:asciiTheme="minorHAnsi" w:hAnsiTheme="minorHAnsi" w:cstheme="minorHAnsi"/>
        </w:rPr>
        <w:fldChar w:fldCharType="end"/>
      </w:r>
      <w:r w:rsidRPr="007809F4">
        <w:rPr>
          <w:rFonts w:asciiTheme="minorHAnsi" w:hAnsiTheme="minorHAnsi" w:cstheme="minorHAnsi"/>
        </w:rPr>
        <w:t>”.</w:t>
      </w:r>
    </w:p>
  </w:footnote>
  <w:footnote w:id="1076">
    <w:p w14:paraId="3155240C" w14:textId="0F38402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DPP (Cth) v Couper </w:t>
      </w:r>
      <w:r w:rsidRPr="007809F4">
        <w:rPr>
          <w:rFonts w:asciiTheme="minorHAnsi" w:hAnsiTheme="minorHAnsi" w:cstheme="minorHAnsi"/>
        </w:rPr>
        <w:t>(2013) 41 VR 128</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Couper (2013) 41 VR 128" </w:instrText>
      </w:r>
      <w:r w:rsidRPr="00EB7F1E">
        <w:rPr>
          <w:rFonts w:asciiTheme="minorHAnsi" w:hAnsiTheme="minorHAnsi" w:cstheme="minorHAnsi"/>
        </w:rPr>
        <w:fldChar w:fldCharType="end"/>
      </w:r>
      <w:r w:rsidRPr="007809F4">
        <w:rPr>
          <w:rFonts w:asciiTheme="minorHAnsi" w:hAnsiTheme="minorHAnsi" w:cstheme="minorHAnsi"/>
        </w:rPr>
        <w:t>, [132]–[149].</w:t>
      </w:r>
    </w:p>
  </w:footnote>
  <w:footnote w:id="1077">
    <w:p w14:paraId="1E39AB6A" w14:textId="54CA0B3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Ryan v R</w:t>
      </w:r>
      <w:r w:rsidRPr="007809F4">
        <w:rPr>
          <w:rFonts w:asciiTheme="minorHAnsi" w:hAnsiTheme="minorHAnsi" w:cstheme="minorHAnsi"/>
        </w:rPr>
        <w:t xml:space="preserve"> (1982) 149 CLR 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Ryan v R</w:instrText>
      </w:r>
      <w:r w:rsidRPr="007809F4">
        <w:rPr>
          <w:rFonts w:asciiTheme="minorHAnsi" w:hAnsiTheme="minorHAnsi" w:cstheme="minorHAnsi"/>
        </w:rPr>
        <w:instrText xml:space="preserve"> (1982) 149 CLR 1</w:instrText>
      </w:r>
      <w:r w:rsidRPr="00EB7F1E">
        <w:rPr>
          <w:rFonts w:asciiTheme="minorHAnsi" w:hAnsiTheme="minorHAnsi" w:cstheme="minorHAnsi"/>
        </w:rPr>
        <w:instrText xml:space="preserve">" \s "Ryan v R (1982) 149 CLR 1" \c 1 </w:instrText>
      </w:r>
      <w:r w:rsidRPr="00EB7F1E">
        <w:rPr>
          <w:rFonts w:asciiTheme="minorHAnsi" w:hAnsiTheme="minorHAnsi" w:cstheme="minorHAnsi"/>
        </w:rPr>
        <w:fldChar w:fldCharType="end"/>
      </w:r>
      <w:r w:rsidRPr="007809F4">
        <w:rPr>
          <w:rFonts w:asciiTheme="minorHAnsi" w:hAnsiTheme="minorHAnsi" w:cstheme="minorHAnsi"/>
        </w:rPr>
        <w:t>, 4, 25.</w:t>
      </w:r>
    </w:p>
  </w:footnote>
  <w:footnote w:id="1078">
    <w:p w14:paraId="51A05EDE"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079">
    <w:p w14:paraId="22301637"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\s "Fasciale v R (2010) 30 VR 643" </w:instrText>
      </w:r>
      <w:r w:rsidRPr="00EB7F1E">
        <w:rPr>
          <w:rFonts w:asciiTheme="minorHAnsi" w:hAnsiTheme="minorHAnsi" w:cstheme="minorHAnsi"/>
        </w:rPr>
        <w:fldChar w:fldCharType="end"/>
      </w:r>
      <w:r w:rsidRPr="007809F4">
        <w:rPr>
          <w:rFonts w:asciiTheme="minorHAnsi" w:hAnsiTheme="minorHAnsi" w:cstheme="minorHAnsi"/>
        </w:rPr>
        <w:t xml:space="preserve"> [27].</w:t>
      </w:r>
    </w:p>
  </w:footnote>
  <w:footnote w:id="1080">
    <w:p w14:paraId="24472655" w14:textId="1992675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s 40 of the </w:t>
      </w:r>
      <w:r w:rsidRPr="007809F4">
        <w:rPr>
          <w:rFonts w:asciiTheme="minorHAnsi" w:hAnsiTheme="minorHAnsi" w:cstheme="minorHAnsi"/>
          <w:i/>
        </w:rPr>
        <w:t>Sentencing Act 1991</w:t>
      </w:r>
      <w:r w:rsidRPr="007809F4">
        <w:rPr>
          <w:rFonts w:asciiTheme="minorHAnsi" w:hAnsiTheme="minorHAnsi" w:cstheme="minorHAnsi"/>
        </w:rPr>
        <w:t xml:space="preserve"> (Vic) permits a single community correction order to be imposed for two or more offences “</w:t>
      </w:r>
      <w:r w:rsidRPr="007809F4">
        <w:rPr>
          <w:rFonts w:asciiTheme="minorHAnsi" w:hAnsiTheme="minorHAnsi" w:cstheme="minorHAnsi"/>
          <w:i/>
        </w:rPr>
        <w:t>which are founded on the same facts or form or are part of a series of offences of the same or a similar character</w:t>
      </w:r>
      <w:r w:rsidRPr="007809F4">
        <w:rPr>
          <w:rFonts w:asciiTheme="minorHAnsi" w:hAnsiTheme="minorHAnsi" w:cstheme="minorHAnsi"/>
        </w:rPr>
        <w:t xml:space="preserve">”.  See also </w:t>
      </w:r>
      <w:r w:rsidRPr="007809F4">
        <w:rPr>
          <w:rFonts w:asciiTheme="minorHAnsi" w:hAnsiTheme="minorHAnsi" w:cstheme="minorHAnsi"/>
          <w:i/>
        </w:rPr>
        <w:t>Crimes (Sentencing Procedure) Act 1999</w:t>
      </w:r>
      <w:r w:rsidRPr="007809F4">
        <w:rPr>
          <w:rFonts w:asciiTheme="minorHAnsi" w:hAnsiTheme="minorHAnsi" w:cstheme="minorHAnsi"/>
        </w:rPr>
        <w:t xml:space="preserve"> (NSW),</w:t>
      </w:r>
      <w:r w:rsidRPr="00EB7F1E">
        <w:rPr>
          <w:rFonts w:asciiTheme="minorHAnsi" w:hAnsiTheme="minorHAnsi" w:cstheme="minorHAnsi"/>
        </w:rPr>
        <w:fldChar w:fldCharType="begin"/>
      </w:r>
      <w:r w:rsidRPr="007809F4">
        <w:rPr>
          <w:rFonts w:asciiTheme="minorHAnsi" w:hAnsiTheme="minorHAnsi" w:cstheme="minorHAnsi"/>
        </w:rPr>
        <w:instrText xml:space="preserve">  "R v Rout [2008] VSCA 87" </w:instrText>
      </w:r>
      <w:r w:rsidRPr="00EB7F1E">
        <w:rPr>
          <w:rFonts w:asciiTheme="minorHAnsi" w:hAnsiTheme="minorHAnsi" w:cstheme="minorHAnsi"/>
        </w:rPr>
        <w:fldChar w:fldCharType="end"/>
      </w:r>
      <w:r w:rsidRPr="007809F4">
        <w:rPr>
          <w:rFonts w:asciiTheme="minorHAnsi" w:hAnsiTheme="minorHAnsi" w:cstheme="minorHAnsi"/>
        </w:rPr>
        <w:t xml:space="preserve"> s 53A.</w:t>
      </w:r>
    </w:p>
  </w:footnote>
  <w:footnote w:id="1081">
    <w:p w14:paraId="00C3F39F" w14:textId="2092C4A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4K of the </w:t>
      </w:r>
      <w:r w:rsidRPr="007809F4">
        <w:rPr>
          <w:rFonts w:asciiTheme="minorHAnsi" w:hAnsiTheme="minorHAnsi" w:cstheme="minorHAnsi"/>
          <w:i/>
        </w:rPr>
        <w:t>Crimes Act 1914</w:t>
      </w:r>
      <w:r w:rsidRPr="007809F4">
        <w:rPr>
          <w:rFonts w:asciiTheme="minorHAnsi" w:hAnsiTheme="minorHAnsi" w:cstheme="minorHAnsi"/>
        </w:rPr>
        <w:t xml:space="preserve"> does not preclude the application, in a proceeding on indictment, of a State or Territory law which permits aggregate sentences: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The position in relation to summary proceedings is less clear, but the better view seems to be that s 4K also does not preclude the application of State or Territory provisions that permit aggregate sentencing in other circumstances: see the authorities cited in fn </w:t>
      </w:r>
      <w:r w:rsidRPr="00EB7F1E">
        <w:rPr>
          <w:rFonts w:asciiTheme="minorHAnsi" w:hAnsiTheme="minorHAnsi" w:cstheme="minorHAnsi"/>
        </w:rPr>
        <w:fldChar w:fldCharType="begin"/>
      </w:r>
      <w:r w:rsidRPr="007809F4">
        <w:rPr>
          <w:rFonts w:asciiTheme="minorHAnsi" w:hAnsiTheme="minorHAnsi" w:cstheme="minorHAnsi"/>
        </w:rPr>
        <w:instrText xml:space="preserve"> NOTEREF _Ref494268953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1220</w:t>
      </w:r>
      <w:r w:rsidRPr="00EB7F1E">
        <w:rPr>
          <w:rFonts w:asciiTheme="minorHAnsi" w:hAnsiTheme="minorHAnsi" w:cstheme="minorHAnsi"/>
        </w:rPr>
        <w:fldChar w:fldCharType="end"/>
      </w:r>
      <w:r w:rsidRPr="007809F4">
        <w:rPr>
          <w:rFonts w:asciiTheme="minorHAnsi" w:hAnsiTheme="minorHAnsi" w:cstheme="minorHAnsi"/>
        </w:rPr>
        <w:t>.</w:t>
      </w:r>
    </w:p>
  </w:footnote>
  <w:footnote w:id="1082">
    <w:p w14:paraId="0C009F53" w14:textId="0252982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If the offender is a child or young person, the relevant State or Territory law would also be applied by s 20C of the </w:t>
      </w:r>
      <w:r w:rsidRPr="007809F4">
        <w:rPr>
          <w:rFonts w:asciiTheme="minorHAnsi" w:hAnsiTheme="minorHAnsi" w:cstheme="minorHAnsi"/>
          <w:i/>
        </w:rPr>
        <w:t>Crimes Act 1914</w:t>
      </w:r>
      <w:r w:rsidRPr="007809F4">
        <w:rPr>
          <w:rFonts w:asciiTheme="minorHAnsi" w:hAnsiTheme="minorHAnsi" w:cstheme="minorHAnsi"/>
        </w:rPr>
        <w:t>.</w:t>
      </w:r>
    </w:p>
  </w:footnote>
  <w:footnote w:id="1083">
    <w:p w14:paraId="1DCC596B" w14:textId="1F4B3B4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An example is </w:t>
      </w:r>
      <w:r w:rsidRPr="007809F4">
        <w:rPr>
          <w:rFonts w:asciiTheme="minorHAnsi" w:hAnsiTheme="minorHAnsi" w:cstheme="minorHAnsi"/>
          <w:i/>
        </w:rPr>
        <w:t>Wilkinson v Morrissey</w:t>
      </w:r>
      <w:r w:rsidRPr="007809F4">
        <w:rPr>
          <w:rFonts w:asciiTheme="minorHAnsi" w:hAnsiTheme="minorHAnsi" w:cstheme="minorHAnsi"/>
        </w:rPr>
        <w:t xml:space="preserve"> [2000] WASCA 241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Wilkinson v Morrissey</w:instrText>
      </w:r>
      <w:r w:rsidRPr="007809F4">
        <w:rPr>
          <w:rFonts w:asciiTheme="minorHAnsi" w:hAnsiTheme="minorHAnsi" w:cstheme="minorHAnsi"/>
        </w:rPr>
        <w:instrText xml:space="preserve"> [2000] WASCA 241</w:instrText>
      </w:r>
      <w:r w:rsidRPr="00EB7F1E">
        <w:rPr>
          <w:rFonts w:asciiTheme="minorHAnsi" w:hAnsiTheme="minorHAnsi" w:cstheme="minorHAnsi"/>
        </w:rPr>
        <w:instrText xml:space="preserve">" \s "Wilkinson v Morrissey [2000] WASCA 241"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84">
    <w:p w14:paraId="24E410FF" w14:textId="3FA2A17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Examples are: </w:t>
      </w:r>
      <w:r w:rsidRPr="007809F4">
        <w:rPr>
          <w:rFonts w:asciiTheme="minorHAnsi" w:hAnsiTheme="minorHAnsi" w:cstheme="minorHAnsi"/>
          <w:i/>
        </w:rPr>
        <w:t xml:space="preserve">A New Tax System (Family Assistance) (Administration) Act 1999, </w:t>
      </w:r>
      <w:r w:rsidRPr="007809F4">
        <w:rPr>
          <w:rFonts w:asciiTheme="minorHAnsi" w:hAnsiTheme="minorHAnsi" w:cstheme="minorHAnsi"/>
        </w:rPr>
        <w:t xml:space="preserve">s 179; </w:t>
      </w:r>
      <w:r w:rsidRPr="007809F4">
        <w:rPr>
          <w:rFonts w:asciiTheme="minorHAnsi" w:hAnsiTheme="minorHAnsi" w:cstheme="minorHAnsi"/>
          <w:i/>
        </w:rPr>
        <w:t>Commonwealth Electoral Act 1918</w:t>
      </w:r>
      <w:r w:rsidRPr="007809F4">
        <w:rPr>
          <w:rFonts w:asciiTheme="minorHAnsi" w:hAnsiTheme="minorHAnsi" w:cstheme="minorHAnsi"/>
        </w:rPr>
        <w:t xml:space="preserve">, s 315(10); </w:t>
      </w:r>
      <w:r w:rsidRPr="007809F4">
        <w:rPr>
          <w:rFonts w:asciiTheme="minorHAnsi" w:hAnsiTheme="minorHAnsi" w:cstheme="minorHAnsi"/>
          <w:i/>
        </w:rPr>
        <w:t>Veterans’ Entitlements Act 1986</w:t>
      </w:r>
      <w:r w:rsidRPr="007809F4">
        <w:rPr>
          <w:rFonts w:asciiTheme="minorHAnsi" w:hAnsiTheme="minorHAnsi" w:cstheme="minorHAnsi"/>
        </w:rPr>
        <w:t xml:space="preserve">, s 209. See also s 1338B of the </w:t>
      </w:r>
      <w:r w:rsidRPr="007809F4">
        <w:rPr>
          <w:rFonts w:asciiTheme="minorHAnsi" w:hAnsiTheme="minorHAnsi" w:cstheme="minorHAnsi"/>
          <w:i/>
        </w:rPr>
        <w:t>Corporations Act 2001</w:t>
      </w:r>
      <w:r w:rsidRPr="007809F4">
        <w:rPr>
          <w:rFonts w:asciiTheme="minorHAnsi" w:hAnsiTheme="minorHAnsi" w:cstheme="minorHAnsi"/>
        </w:rPr>
        <w:t xml:space="preserve"> (Cth), which picks up </w:t>
      </w:r>
      <w:r w:rsidRPr="00EB7F1E">
        <w:rPr>
          <w:rFonts w:asciiTheme="minorHAnsi" w:hAnsiTheme="minorHAnsi" w:cstheme="minorHAnsi"/>
        </w:rPr>
        <w:t xml:space="preserve">State and Territory legislation which provides for aggregate sentences, and applies these in relation to offences against the </w:t>
      </w:r>
      <w:r w:rsidRPr="00EB7F1E">
        <w:rPr>
          <w:rFonts w:asciiTheme="minorHAnsi" w:hAnsiTheme="minorHAnsi" w:cstheme="minorHAnsi"/>
          <w:i/>
          <w:iCs/>
        </w:rPr>
        <w:t>Corporations Act</w:t>
      </w:r>
      <w:r w:rsidRPr="00EB7F1E">
        <w:rPr>
          <w:rFonts w:asciiTheme="minorHAnsi" w:hAnsiTheme="minorHAnsi" w:cstheme="minorHAnsi"/>
          <w:color w:val="000099"/>
        </w:rPr>
        <w:t>.</w:t>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085">
    <w:p w14:paraId="0AC4129F" w14:textId="5537DC7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Similar powers existed under the ancestor to the current Act, namely the </w:t>
      </w:r>
      <w:r w:rsidRPr="007809F4">
        <w:rPr>
          <w:rFonts w:asciiTheme="minorHAnsi" w:hAnsiTheme="minorHAnsi" w:cstheme="minorHAnsi"/>
          <w:i/>
        </w:rPr>
        <w:t>Social Security Act 1991</w:t>
      </w:r>
      <w:r w:rsidRPr="007809F4">
        <w:rPr>
          <w:rFonts w:asciiTheme="minorHAnsi" w:hAnsiTheme="minorHAnsi" w:cstheme="minorHAnsi"/>
        </w:rPr>
        <w:t xml:space="preserve"> (Cth), ss 1353 and 1354, which was in force until 20 March 2000.</w:t>
      </w:r>
    </w:p>
  </w:footnote>
  <w:footnote w:id="1086">
    <w:p w14:paraId="12669D3D" w14:textId="173867E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[14]</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87">
    <w:p w14:paraId="4FB183D7"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Cady v Smith</w:t>
      </w:r>
      <w:r w:rsidRPr="007809F4">
        <w:rPr>
          <w:rFonts w:asciiTheme="minorHAnsi" w:hAnsiTheme="minorHAnsi" w:cstheme="minorHAnsi"/>
        </w:rPr>
        <w:t xml:space="preserve"> (1993) 117 FLR 132.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Cady v Smith</w:instrText>
      </w:r>
      <w:r w:rsidRPr="007809F4">
        <w:rPr>
          <w:rFonts w:asciiTheme="minorHAnsi" w:hAnsiTheme="minorHAnsi" w:cstheme="minorHAnsi"/>
        </w:rPr>
        <w:instrText xml:space="preserve"> (1993) 117 FLR 132" \s "Cady v Smith (1993) 117 FLR 132" \c 1 </w:instrText>
      </w:r>
      <w:r w:rsidRPr="00EB7F1E">
        <w:rPr>
          <w:rFonts w:asciiTheme="minorHAnsi" w:hAnsiTheme="minorHAnsi" w:cstheme="minorHAnsi"/>
        </w:rPr>
        <w:fldChar w:fldCharType="end"/>
      </w:r>
    </w:p>
  </w:footnote>
  <w:footnote w:id="1088">
    <w:p w14:paraId="2375917C" w14:textId="0F4A554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Bibaoui</w:t>
      </w:r>
      <w:r w:rsidRPr="007809F4">
        <w:rPr>
          <w:rFonts w:asciiTheme="minorHAnsi" w:hAnsiTheme="minorHAnsi" w:cstheme="minorHAnsi"/>
        </w:rPr>
        <w:t xml:space="preserve"> [1997] 2 VR 600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Bibaoui</w:instrText>
      </w:r>
      <w:r w:rsidRPr="007809F4">
        <w:rPr>
          <w:rFonts w:asciiTheme="minorHAnsi" w:hAnsiTheme="minorHAnsi" w:cstheme="minorHAnsi"/>
        </w:rPr>
        <w:instrText xml:space="preserve"> [1997] 2 VR 600" \s "R v Bibaoui [1997] 2 VR 600"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It has been explained that there was no need for s 4K(3) to apply to proceedings on indictment, as joinder of counts on an indictment was permissible in all Australian jurisdictions: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[14], [47]-[50]</w:t>
      </w:r>
    </w:p>
  </w:footnote>
  <w:footnote w:id="1089">
    <w:p w14:paraId="3D483BC9" w14:textId="3F47170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Jackson</w:t>
      </w:r>
      <w:r w:rsidRPr="007809F4">
        <w:rPr>
          <w:rFonts w:asciiTheme="minorHAnsi" w:hAnsiTheme="minorHAnsi" w:cstheme="minorHAnsi"/>
        </w:rPr>
        <w:t xml:space="preserve"> (1998) 72 SASR 490</w:t>
      </w:r>
      <w:r w:rsidRPr="00EB7F1E">
        <w:rPr>
          <w:rFonts w:asciiTheme="minorHAnsi" w:hAnsiTheme="minorHAnsi" w:cstheme="minorHAnsi"/>
        </w:rPr>
        <w:fldChar w:fldCharType="begin"/>
      </w:r>
      <w:r w:rsidRPr="007809F4">
        <w:rPr>
          <w:rFonts w:asciiTheme="minorHAnsi" w:hAnsiTheme="minorHAnsi" w:cstheme="minorHAnsi"/>
        </w:rPr>
        <w:instrText xml:space="preserve"> TA \s "R v Jackson (1998) 72 SASR 490"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90">
    <w:p w14:paraId="75E55E32"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Bibaoui</w:t>
      </w:r>
      <w:r w:rsidRPr="007809F4">
        <w:rPr>
          <w:rFonts w:asciiTheme="minorHAnsi" w:hAnsiTheme="minorHAnsi" w:cstheme="minorHAnsi"/>
        </w:rPr>
        <w:t xml:space="preserve"> [1997] 2 VR 600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Bibaoui</w:instrText>
      </w:r>
      <w:r w:rsidRPr="007809F4">
        <w:rPr>
          <w:rFonts w:asciiTheme="minorHAnsi" w:hAnsiTheme="minorHAnsi" w:cstheme="minorHAnsi"/>
        </w:rPr>
        <w:instrText xml:space="preserve"> [1997] 2 VR 600" \s "R v Bibaoui [1997] 2 VR 600"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91">
    <w:p w14:paraId="33B513E3" w14:textId="729EB53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Bibaoui</w:t>
      </w:r>
      <w:r w:rsidRPr="007809F4">
        <w:rPr>
          <w:rFonts w:asciiTheme="minorHAnsi" w:hAnsiTheme="minorHAnsi" w:cstheme="minorHAnsi"/>
        </w:rPr>
        <w:t xml:space="preserve"> [1997] 2 VR 600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Bibaoui</w:instrText>
      </w:r>
      <w:r w:rsidRPr="007809F4">
        <w:rPr>
          <w:rFonts w:asciiTheme="minorHAnsi" w:hAnsiTheme="minorHAnsi" w:cstheme="minorHAnsi"/>
        </w:rPr>
        <w:instrText xml:space="preserve"> [1997] 2 VR 600" \s "R v Bibaoui [1997] 2 VR 600"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Bibaoui [1997] 2 VR 600"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R v Pearce</w:t>
      </w:r>
      <w:r w:rsidRPr="007809F4">
        <w:rPr>
          <w:rFonts w:asciiTheme="minorHAnsi" w:hAnsiTheme="minorHAnsi" w:cstheme="minorHAnsi"/>
        </w:rPr>
        <w:t xml:space="preserve"> [2001] NSWCCA 447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Pearce</w:instrText>
      </w:r>
      <w:r w:rsidRPr="007809F4">
        <w:rPr>
          <w:rFonts w:asciiTheme="minorHAnsi" w:hAnsiTheme="minorHAnsi" w:cstheme="minorHAnsi"/>
        </w:rPr>
        <w:instrText xml:space="preserve"> [2001] NSWCCA 447" \s "R v Pearce [2001] NSWCCA 447"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Pearce (2001) 48 ATR 390"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Thompson v R</w:t>
      </w:r>
      <w:r w:rsidRPr="007809F4">
        <w:rPr>
          <w:rFonts w:asciiTheme="minorHAnsi" w:hAnsiTheme="minorHAnsi" w:cstheme="minorHAnsi"/>
        </w:rPr>
        <w:t xml:space="preserve"> [2002] NSWCCA 149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Thompson v R</w:instrText>
      </w:r>
      <w:r w:rsidRPr="007809F4">
        <w:rPr>
          <w:rFonts w:asciiTheme="minorHAnsi" w:hAnsiTheme="minorHAnsi" w:cstheme="minorHAnsi"/>
        </w:rPr>
        <w:instrText xml:space="preserve"> [2002] NSWCCA 149" \s "Thompson v R [2002] NSWCCA 149"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"Thompson v R (2002) 130 A Crim R 24"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Johnsson v R</w:t>
      </w:r>
      <w:r w:rsidRPr="007809F4">
        <w:rPr>
          <w:rFonts w:asciiTheme="minorHAnsi" w:hAnsiTheme="minorHAnsi" w:cstheme="minorHAnsi"/>
        </w:rPr>
        <w:t xml:space="preserve"> [2007] NSWCCA 192</w:t>
      </w:r>
      <w:r w:rsidRPr="00EB7F1E">
        <w:rPr>
          <w:rFonts w:asciiTheme="minorHAnsi" w:hAnsiTheme="minorHAnsi" w:cstheme="minorHAnsi"/>
        </w:rPr>
        <w:fldChar w:fldCharType="begin"/>
      </w:r>
      <w:r w:rsidRPr="00EB7F1E">
        <w:rPr>
          <w:rFonts w:asciiTheme="minorHAnsi" w:hAnsiTheme="minorHAnsi" w:cstheme="minorHAnsi"/>
        </w:rPr>
        <w:instrText xml:space="preserve"> TA \s "Johnsson v R [2007] NSWCCA 192" </w:instrText>
      </w:r>
      <w:r w:rsidRPr="00EB7F1E">
        <w:rPr>
          <w:rFonts w:asciiTheme="minorHAnsi" w:hAnsiTheme="minorHAnsi" w:cstheme="minorHAnsi"/>
        </w:rPr>
        <w:fldChar w:fldCharType="end"/>
      </w:r>
      <w:r w:rsidRPr="007809F4">
        <w:rPr>
          <w:rFonts w:asciiTheme="minorHAnsi" w:hAnsiTheme="minorHAnsi" w:cstheme="minorHAnsi"/>
        </w:rPr>
        <w:t xml:space="preserve">, [32]-[37].  In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the Court affirmed the correctness of the decision in </w:t>
      </w:r>
      <w:r w:rsidRPr="007809F4">
        <w:rPr>
          <w:rFonts w:asciiTheme="minorHAnsi" w:hAnsiTheme="minorHAnsi" w:cstheme="minorHAnsi"/>
          <w:i/>
        </w:rPr>
        <w:t>Bibaoui</w:t>
      </w:r>
      <w:r w:rsidRPr="007809F4">
        <w:rPr>
          <w:rFonts w:asciiTheme="minorHAnsi" w:hAnsiTheme="minorHAnsi" w:cstheme="minorHAnsi"/>
        </w:rPr>
        <w:t>.</w:t>
      </w:r>
    </w:p>
  </w:footnote>
  <w:footnote w:id="1092">
    <w:p w14:paraId="0A5095BE"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Jackson</w:t>
      </w:r>
      <w:r w:rsidRPr="007809F4">
        <w:rPr>
          <w:rFonts w:asciiTheme="minorHAnsi" w:hAnsiTheme="minorHAnsi" w:cstheme="minorHAnsi"/>
        </w:rPr>
        <w:t xml:space="preserve"> (1998) 72 SASR 490</w:t>
      </w:r>
      <w:r w:rsidRPr="00EB7F1E">
        <w:rPr>
          <w:rFonts w:asciiTheme="minorHAnsi" w:hAnsiTheme="minorHAnsi" w:cstheme="minorHAnsi"/>
        </w:rPr>
        <w:fldChar w:fldCharType="begin"/>
      </w:r>
      <w:r w:rsidRPr="007809F4">
        <w:rPr>
          <w:rFonts w:asciiTheme="minorHAnsi" w:hAnsiTheme="minorHAnsi" w:cstheme="minorHAnsi"/>
        </w:rPr>
        <w:instrText xml:space="preserve"> TA \s "R v Jackson (1998) 72 SASR 490"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93">
    <w:p w14:paraId="385DB777" w14:textId="15E57E8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094">
    <w:p w14:paraId="0588DEBD" w14:textId="4D99E993"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\s "Fasciale v R (2010) 30 VR 643"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1095">
    <w:p w14:paraId="5A3DABEE" w14:textId="24A27F0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For example, in Victoria, if a person is convicted of two or more offences which are founded on the same facts or form or are part of a series of offences of the same or similar character the court may impose an aggregate sentence of imprisonment (</w:t>
      </w:r>
      <w:r w:rsidRPr="007809F4">
        <w:rPr>
          <w:rFonts w:asciiTheme="minorHAnsi" w:hAnsiTheme="minorHAnsi" w:cstheme="minorHAnsi"/>
          <w:i/>
        </w:rPr>
        <w:t xml:space="preserve">Sentencing Act 1991 </w:t>
      </w:r>
      <w:r w:rsidRPr="007809F4">
        <w:rPr>
          <w:rFonts w:asciiTheme="minorHAnsi" w:hAnsiTheme="minorHAnsi" w:cstheme="minorHAnsi"/>
        </w:rPr>
        <w:t>(Vic), s 9), a single community correction order (</w:t>
      </w:r>
      <w:r w:rsidRPr="007809F4">
        <w:rPr>
          <w:rFonts w:asciiTheme="minorHAnsi" w:hAnsiTheme="minorHAnsi" w:cstheme="minorHAnsi"/>
          <w:i/>
        </w:rPr>
        <w:t>Sentencing Act 1991</w:t>
      </w:r>
      <w:r w:rsidRPr="007809F4">
        <w:rPr>
          <w:rFonts w:asciiTheme="minorHAnsi" w:hAnsiTheme="minorHAnsi" w:cstheme="minorHAnsi"/>
        </w:rPr>
        <w:t xml:space="preserve"> (Vic), s 40), or an aggregate fine (</w:t>
      </w:r>
      <w:r w:rsidRPr="007809F4">
        <w:rPr>
          <w:rFonts w:asciiTheme="minorHAnsi" w:hAnsiTheme="minorHAnsi" w:cstheme="minorHAnsi"/>
          <w:i/>
        </w:rPr>
        <w:t>Sentencing Act 1991</w:t>
      </w:r>
      <w:r w:rsidRPr="007809F4">
        <w:rPr>
          <w:rFonts w:asciiTheme="minorHAnsi" w:hAnsiTheme="minorHAnsi" w:cstheme="minorHAnsi"/>
        </w:rPr>
        <w:t xml:space="preserve"> (Vic), s 51).  This provision applies to sentencing in summary proceedings or on indictment.</w:t>
      </w:r>
    </w:p>
  </w:footnote>
  <w:footnote w:id="1096">
    <w:p w14:paraId="2F274C49" w14:textId="00D64F6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also s 1338B of the </w:t>
      </w:r>
      <w:r w:rsidRPr="007809F4">
        <w:rPr>
          <w:rFonts w:asciiTheme="minorHAnsi" w:hAnsiTheme="minorHAnsi" w:cstheme="minorHAnsi"/>
          <w:i/>
        </w:rPr>
        <w:t>Corporations Act 2001</w:t>
      </w:r>
      <w:r w:rsidRPr="007809F4">
        <w:rPr>
          <w:rFonts w:asciiTheme="minorHAnsi" w:hAnsiTheme="minorHAnsi" w:cstheme="minorHAnsi"/>
        </w:rPr>
        <w:t xml:space="preserve"> (Cth), in relation to offences against that Act.</w:t>
      </w:r>
    </w:p>
  </w:footnote>
  <w:footnote w:id="1097">
    <w:p w14:paraId="1FAE3F06" w14:textId="52092EA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Janssen v McShane</w:t>
      </w:r>
      <w:r w:rsidRPr="007809F4">
        <w:rPr>
          <w:rFonts w:asciiTheme="minorHAnsi" w:hAnsiTheme="minorHAnsi" w:cstheme="minorHAnsi"/>
        </w:rPr>
        <w:t xml:space="preserve"> [1992] TASSC 99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Janssen v McShane</w:instrText>
      </w:r>
      <w:r w:rsidRPr="007809F4">
        <w:rPr>
          <w:rFonts w:asciiTheme="minorHAnsi" w:hAnsiTheme="minorHAnsi" w:cstheme="minorHAnsi"/>
        </w:rPr>
        <w:instrText xml:space="preserve"> [1992] TASSC 99" \s "Janssen v McShane [1992] TASSC 99" \c 1 </w:instrText>
      </w:r>
      <w:r w:rsidRPr="00EB7F1E">
        <w:rPr>
          <w:rFonts w:asciiTheme="minorHAnsi" w:hAnsiTheme="minorHAnsi" w:cstheme="minorHAnsi"/>
        </w:rPr>
        <w:fldChar w:fldCharType="end"/>
      </w:r>
      <w:r w:rsidRPr="007809F4">
        <w:rPr>
          <w:rFonts w:asciiTheme="minorHAnsi" w:hAnsiTheme="minorHAnsi" w:cstheme="minorHAnsi"/>
        </w:rPr>
        <w:t xml:space="preserve"> (Zeeman J); </w:t>
      </w:r>
      <w:r w:rsidRPr="007809F4">
        <w:rPr>
          <w:rFonts w:asciiTheme="minorHAnsi" w:hAnsiTheme="minorHAnsi" w:cstheme="minorHAnsi"/>
          <w:i/>
        </w:rPr>
        <w:t>R v Jackson</w:t>
      </w:r>
      <w:r w:rsidRPr="007809F4">
        <w:rPr>
          <w:rFonts w:asciiTheme="minorHAnsi" w:hAnsiTheme="minorHAnsi" w:cstheme="minorHAnsi"/>
        </w:rPr>
        <w:t xml:space="preserve"> (1998) 72 SASR 490</w:t>
      </w:r>
      <w:r w:rsidRPr="00EB7F1E">
        <w:rPr>
          <w:rFonts w:asciiTheme="minorHAnsi" w:hAnsiTheme="minorHAnsi" w:cstheme="minorHAnsi"/>
        </w:rPr>
        <w:fldChar w:fldCharType="begin"/>
      </w:r>
      <w:r w:rsidRPr="007809F4">
        <w:rPr>
          <w:rFonts w:asciiTheme="minorHAnsi" w:hAnsiTheme="minorHAnsi" w:cstheme="minorHAnsi"/>
        </w:rPr>
        <w:instrText xml:space="preserve"> TA \s "R v Jackson (1998) 72 SASR 490" </w:instrText>
      </w:r>
      <w:r w:rsidRPr="00EB7F1E">
        <w:rPr>
          <w:rFonts w:asciiTheme="minorHAnsi" w:hAnsiTheme="minorHAnsi" w:cstheme="minorHAnsi"/>
        </w:rPr>
        <w:fldChar w:fldCharType="end"/>
      </w:r>
      <w:r w:rsidRPr="007809F4">
        <w:rPr>
          <w:rFonts w:asciiTheme="minorHAnsi" w:hAnsiTheme="minorHAnsi" w:cstheme="minorHAnsi"/>
        </w:rPr>
        <w:t xml:space="preserve">, [64]-[66] (Millhouse J).  In </w:t>
      </w:r>
      <w:r w:rsidRPr="007809F4">
        <w:rPr>
          <w:rFonts w:asciiTheme="minorHAnsi" w:hAnsiTheme="minorHAnsi" w:cstheme="minorHAnsi"/>
          <w:i/>
        </w:rPr>
        <w:t>Jackson</w:t>
      </w:r>
      <w:r w:rsidRPr="007809F4">
        <w:rPr>
          <w:rFonts w:asciiTheme="minorHAnsi" w:hAnsiTheme="minorHAnsi" w:cstheme="minorHAnsi"/>
        </w:rPr>
        <w:t xml:space="preserve">, at [139], Perry J (with whom Nyland J agreed), </w:t>
      </w:r>
      <w:r w:rsidRPr="007809F4">
        <w:rPr>
          <w:rFonts w:asciiTheme="minorHAnsi" w:hAnsiTheme="minorHAnsi" w:cstheme="minorHAnsi"/>
          <w:i/>
        </w:rPr>
        <w:t>obiter dicta</w:t>
      </w:r>
      <w:r w:rsidRPr="007809F4">
        <w:rPr>
          <w:rFonts w:asciiTheme="minorHAnsi" w:hAnsiTheme="minorHAnsi" w:cstheme="minorHAnsi"/>
        </w:rPr>
        <w:t xml:space="preserve">, doubted whether a magistrate had power to impose a single sentence for different Commonwealth offences when the pre-conditions for joinder in s 4K(3) of the </w:t>
      </w:r>
      <w:r w:rsidRPr="007809F4">
        <w:rPr>
          <w:rFonts w:asciiTheme="minorHAnsi" w:hAnsiTheme="minorHAnsi" w:cstheme="minorHAnsi"/>
          <w:i/>
        </w:rPr>
        <w:t>Crimes Act 1914</w:t>
      </w:r>
      <w:r w:rsidRPr="007809F4">
        <w:rPr>
          <w:rFonts w:asciiTheme="minorHAnsi" w:hAnsiTheme="minorHAnsi" w:cstheme="minorHAnsi"/>
        </w:rPr>
        <w:t xml:space="preserve"> were not met.  However his Honour did not develop the point and did not refer to the possibility that a single sentence may be justifiable under State law which could be applied by the provisions of the </w:t>
      </w:r>
      <w:r w:rsidRPr="007809F4">
        <w:rPr>
          <w:rFonts w:asciiTheme="minorHAnsi" w:hAnsiTheme="minorHAnsi" w:cstheme="minorHAnsi"/>
          <w:i/>
        </w:rPr>
        <w:t>Judiciary Act 1903 (Cth)</w:t>
      </w:r>
      <w:r w:rsidRPr="007809F4">
        <w:rPr>
          <w:rFonts w:asciiTheme="minorHAnsi" w:hAnsiTheme="minorHAnsi" w:cstheme="minorHAnsi"/>
        </w:rPr>
        <w:t>.  With respect, the approach taken by Zeeman J and Millhouse J appears to be the better view.</w:t>
      </w:r>
    </w:p>
  </w:footnote>
  <w:footnote w:id="1098">
    <w:p w14:paraId="0EC5F437" w14:textId="08F0D69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\s "Fasciale v R (2010) 30 VR 643" </w:instrText>
      </w:r>
      <w:r w:rsidRPr="00EB7F1E">
        <w:rPr>
          <w:rFonts w:asciiTheme="minorHAnsi" w:hAnsiTheme="minorHAnsi" w:cstheme="minorHAnsi"/>
        </w:rPr>
        <w:fldChar w:fldCharType="end"/>
      </w:r>
      <w:r w:rsidRPr="007809F4">
        <w:rPr>
          <w:rFonts w:asciiTheme="minorHAnsi" w:hAnsiTheme="minorHAnsi" w:cstheme="minorHAnsi"/>
        </w:rPr>
        <w:t>, [27].</w:t>
      </w:r>
    </w:p>
  </w:footnote>
  <w:footnote w:id="1099">
    <w:p w14:paraId="79705D64" w14:textId="71314D3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Bibaoui</w:t>
      </w:r>
      <w:r w:rsidRPr="007809F4">
        <w:rPr>
          <w:rFonts w:asciiTheme="minorHAnsi" w:hAnsiTheme="minorHAnsi" w:cstheme="minorHAnsi"/>
        </w:rPr>
        <w:t xml:space="preserve"> [1997] 2 VR 600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Bibaoui</w:instrText>
      </w:r>
      <w:r w:rsidRPr="007809F4">
        <w:rPr>
          <w:rFonts w:asciiTheme="minorHAnsi" w:hAnsiTheme="minorHAnsi" w:cstheme="minorHAnsi"/>
        </w:rPr>
        <w:instrText xml:space="preserve"> [1997] 2 VR 600" \s "R v Bibaoui [1997] 2 VR 600"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Bibaoui [1997] 2 VR 600"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Jackson</w:t>
      </w:r>
      <w:r w:rsidRPr="007809F4">
        <w:rPr>
          <w:rFonts w:asciiTheme="minorHAnsi" w:hAnsiTheme="minorHAnsi" w:cstheme="minorHAnsi"/>
        </w:rPr>
        <w:t xml:space="preserve"> (1998) 72 SASR 490</w:t>
      </w:r>
      <w:r w:rsidRPr="00EB7F1E">
        <w:rPr>
          <w:rFonts w:asciiTheme="minorHAnsi" w:hAnsiTheme="minorHAnsi" w:cstheme="minorHAnsi"/>
        </w:rPr>
        <w:fldChar w:fldCharType="begin"/>
      </w:r>
      <w:r w:rsidRPr="007809F4">
        <w:rPr>
          <w:rFonts w:asciiTheme="minorHAnsi" w:hAnsiTheme="minorHAnsi" w:cstheme="minorHAnsi"/>
        </w:rPr>
        <w:instrText xml:space="preserve"> TA \s "R v Jackson (1998) 72 SASR 490"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R v Pearce</w:t>
      </w:r>
      <w:r w:rsidRPr="007809F4">
        <w:rPr>
          <w:rFonts w:asciiTheme="minorHAnsi" w:hAnsiTheme="minorHAnsi" w:cstheme="minorHAnsi"/>
        </w:rPr>
        <w:t xml:space="preserve"> [2001] NSWCCA 447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Pearce</w:instrText>
      </w:r>
      <w:r w:rsidRPr="007809F4">
        <w:rPr>
          <w:rFonts w:asciiTheme="minorHAnsi" w:hAnsiTheme="minorHAnsi" w:cstheme="minorHAnsi"/>
        </w:rPr>
        <w:instrText xml:space="preserve"> [2001] NSWCCA 447" \s "R v Pearce [2001] NSWCCA 447" \c 1 </w:instrText>
      </w:r>
      <w:r w:rsidRPr="00EB7F1E">
        <w:rPr>
          <w:rFonts w:asciiTheme="minorHAnsi" w:hAnsiTheme="minorHAnsi" w:cstheme="minorHAnsi"/>
        </w:rPr>
        <w:fldChar w:fldCharType="end"/>
      </w:r>
      <w:r w:rsidRPr="007809F4">
        <w:rPr>
          <w:rFonts w:asciiTheme="minorHAnsi" w:hAnsiTheme="minorHAnsi" w:cstheme="minorHAnsi"/>
        </w:rPr>
        <w:t>, [152]</w:t>
      </w:r>
      <w:r w:rsidRPr="00EB7F1E">
        <w:rPr>
          <w:rFonts w:asciiTheme="minorHAnsi" w:hAnsiTheme="minorHAnsi" w:cstheme="minorHAnsi"/>
        </w:rPr>
        <w:fldChar w:fldCharType="begin"/>
      </w:r>
      <w:r w:rsidRPr="007809F4">
        <w:rPr>
          <w:rFonts w:asciiTheme="minorHAnsi" w:hAnsiTheme="minorHAnsi" w:cstheme="minorHAnsi"/>
        </w:rPr>
        <w:instrText xml:space="preserve">  "R v Pearce (2001) 48 ATR 390"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bCs/>
          <w:i/>
          <w:iCs/>
        </w:rPr>
        <w:t>Thompson v R</w:t>
      </w:r>
      <w:r w:rsidRPr="007809F4">
        <w:rPr>
          <w:rFonts w:asciiTheme="minorHAnsi" w:hAnsiTheme="minorHAnsi" w:cstheme="minorHAnsi"/>
        </w:rPr>
        <w:t xml:space="preserve"> [2002] NSWCCA 149</w:t>
      </w:r>
      <w:r w:rsidRPr="00EB7F1E">
        <w:rPr>
          <w:rFonts w:asciiTheme="minorHAnsi" w:hAnsiTheme="minorHAnsi" w:cstheme="minorHAnsi"/>
        </w:rPr>
        <w:fldChar w:fldCharType="begin"/>
      </w:r>
      <w:r w:rsidRPr="007809F4">
        <w:rPr>
          <w:rFonts w:asciiTheme="minorHAnsi" w:hAnsiTheme="minorHAnsi" w:cstheme="minorHAnsi"/>
        </w:rPr>
        <w:instrText xml:space="preserve"> TA \s "Thompson v R [2002] NSWCCA 149"</w:instrText>
      </w:r>
      <w:r w:rsidRPr="00EB7F1E">
        <w:rPr>
          <w:rFonts w:asciiTheme="minorHAnsi" w:hAnsiTheme="minorHAnsi" w:cstheme="minorHAnsi"/>
        </w:rPr>
        <w:fldChar w:fldCharType="end"/>
      </w:r>
      <w:r w:rsidRPr="007809F4">
        <w:rPr>
          <w:rFonts w:asciiTheme="minorHAnsi" w:hAnsiTheme="minorHAnsi" w:cstheme="minorHAnsi"/>
        </w:rPr>
        <w:t>, [64]-[68]</w:t>
      </w:r>
      <w:r w:rsidRPr="00EB7F1E">
        <w:rPr>
          <w:rFonts w:asciiTheme="minorHAnsi" w:hAnsiTheme="minorHAnsi" w:cstheme="minorHAnsi"/>
        </w:rPr>
        <w:fldChar w:fldCharType="begin"/>
      </w:r>
      <w:r w:rsidRPr="007809F4">
        <w:rPr>
          <w:rFonts w:asciiTheme="minorHAnsi" w:hAnsiTheme="minorHAnsi" w:cstheme="minorHAnsi"/>
        </w:rPr>
        <w:instrText xml:space="preserve">  "Thompson v R (2002) 130 A Crim R 24"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Johnsson v R</w:t>
      </w:r>
      <w:r w:rsidRPr="007809F4">
        <w:rPr>
          <w:rFonts w:asciiTheme="minorHAnsi" w:hAnsiTheme="minorHAnsi" w:cstheme="minorHAnsi"/>
        </w:rPr>
        <w:t xml:space="preserve"> [2007] NSWCCA 192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Johnsson v R</w:instrText>
      </w:r>
      <w:r w:rsidRPr="007809F4">
        <w:rPr>
          <w:rFonts w:asciiTheme="minorHAnsi" w:hAnsiTheme="minorHAnsi" w:cstheme="minorHAnsi"/>
        </w:rPr>
        <w:instrText xml:space="preserve"> [2007] NSWCCA 192" \s "Johnsson v R [2007] NSWCCA 192" \c 1 </w:instrText>
      </w:r>
      <w:r w:rsidRPr="00EB7F1E">
        <w:rPr>
          <w:rFonts w:asciiTheme="minorHAnsi" w:hAnsiTheme="minorHAnsi" w:cstheme="minorHAnsi"/>
        </w:rPr>
        <w:fldChar w:fldCharType="end"/>
      </w:r>
      <w:r w:rsidRPr="007809F4">
        <w:rPr>
          <w:rFonts w:asciiTheme="minorHAnsi" w:hAnsiTheme="minorHAnsi" w:cstheme="minorHAnsi"/>
        </w:rPr>
        <w:t xml:space="preserve">, [32]-[37].  In </w:t>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xml:space="preserve"> the Court affirmed the correctness of the decision in </w:t>
      </w:r>
      <w:r w:rsidRPr="007809F4">
        <w:rPr>
          <w:rFonts w:asciiTheme="minorHAnsi" w:hAnsiTheme="minorHAnsi" w:cstheme="minorHAnsi"/>
          <w:i/>
        </w:rPr>
        <w:t>Bibaoui</w:t>
      </w:r>
      <w:r w:rsidRPr="007809F4">
        <w:rPr>
          <w:rFonts w:asciiTheme="minorHAnsi" w:hAnsiTheme="minorHAnsi" w:cstheme="minorHAnsi"/>
        </w:rPr>
        <w:t>.</w:t>
      </w:r>
    </w:p>
  </w:footnote>
  <w:footnote w:id="1100">
    <w:p w14:paraId="21402E90" w14:textId="0B6C5F7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101">
    <w:p w14:paraId="08EF9DD0" w14:textId="77777777" w:rsidR="00D44BCF" w:rsidRPr="007809F4" w:rsidRDefault="00D44BCF" w:rsidP="005F3900">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Crimes (Sentencing Procedure) Act 1999</w:t>
      </w:r>
      <w:r w:rsidRPr="007809F4">
        <w:rPr>
          <w:rFonts w:asciiTheme="minorHAnsi" w:hAnsiTheme="minorHAnsi" w:cstheme="minorHAnsi"/>
        </w:rPr>
        <w:t xml:space="preserve"> (NSW), s.53A; see </w:t>
      </w:r>
      <w:r w:rsidRPr="007809F4">
        <w:rPr>
          <w:rFonts w:asciiTheme="minorHAnsi" w:hAnsiTheme="minorHAnsi" w:cstheme="minorHAnsi"/>
          <w:i/>
        </w:rPr>
        <w:t>DPP (Cth) v Beattie</w:t>
      </w:r>
      <w:r w:rsidRPr="007809F4">
        <w:rPr>
          <w:rFonts w:asciiTheme="minorHAnsi" w:hAnsiTheme="minorHAnsi" w:cstheme="minorHAnsi"/>
        </w:rPr>
        <w:t xml:space="preserve"> [2017] NSWCCA 301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Beattie [2017] NSWCCA 301" </w:instrText>
      </w:r>
      <w:r w:rsidRPr="00EB7F1E">
        <w:rPr>
          <w:rFonts w:asciiTheme="minorHAnsi" w:hAnsiTheme="minorHAnsi" w:cstheme="minorHAnsi"/>
        </w:rPr>
        <w:fldChar w:fldCharType="end"/>
      </w:r>
      <w:r w:rsidRPr="007809F4">
        <w:rPr>
          <w:rFonts w:asciiTheme="minorHAnsi" w:hAnsiTheme="minorHAnsi" w:cstheme="minorHAnsi"/>
        </w:rPr>
        <w:t>, [146].</w:t>
      </w:r>
    </w:p>
  </w:footnote>
  <w:footnote w:id="1102">
    <w:p w14:paraId="66B99E85" w14:textId="5798523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Sentencing Act 1991</w:t>
      </w:r>
      <w:r w:rsidRPr="007809F4">
        <w:rPr>
          <w:rFonts w:asciiTheme="minorHAnsi" w:hAnsiTheme="minorHAnsi" w:cstheme="minorHAnsi"/>
        </w:rPr>
        <w:t xml:space="preserve"> (Vic), ss 9 (imprisonment), 40 (CCO) and 51 (fines), which apply to sentencing in all courts in Victoria, if an offender is convicted by a court of two or more offences which are founded on the same facts, or form, or are part of, a series of offences of the same or a similar character.  Since 2012, restrictions on the availability of an aggregate term of imprisonment where charges are “rolled-up” or representative charges have been removed: see now s 9(4A).  The 2012 amendment also removed a previous requirement that the court in imposing an aggregate sentence must articulate the individual terms and the extent of concurrency and cumulation: see now s 9(4); </w:t>
      </w:r>
      <w:r w:rsidRPr="007809F4">
        <w:rPr>
          <w:rFonts w:asciiTheme="minorHAnsi" w:hAnsiTheme="minorHAnsi" w:cstheme="minorHAnsi"/>
          <w:i/>
        </w:rPr>
        <w:t>Saxon v R</w:t>
      </w:r>
      <w:r w:rsidRPr="007809F4">
        <w:rPr>
          <w:rFonts w:asciiTheme="minorHAnsi" w:hAnsiTheme="minorHAnsi" w:cstheme="minorHAnsi"/>
        </w:rPr>
        <w:t xml:space="preserve"> [2014] VSCA 296.</w:t>
      </w:r>
      <w:r w:rsidRPr="007809F4">
        <w:rPr>
          <w:rFonts w:asciiTheme="minorHAnsi" w:hAnsiTheme="minorHAnsi" w:cstheme="minorHAnsi"/>
          <w:i/>
        </w:rPr>
        <w:t xml:space="preserve">  </w:t>
      </w:r>
      <w:r w:rsidRPr="007809F4">
        <w:rPr>
          <w:rFonts w:asciiTheme="minorHAnsi" w:hAnsiTheme="minorHAnsi" w:cstheme="minorHAnsi"/>
        </w:rPr>
        <w:t xml:space="preserve">Prior to the amendments in 2012, these restrictions frequently led to error: see, e.g., </w:t>
      </w:r>
      <w:r w:rsidRPr="007809F4">
        <w:rPr>
          <w:rFonts w:asciiTheme="minorHAnsi" w:hAnsiTheme="minorHAnsi" w:cstheme="minorHAnsi"/>
          <w:i/>
        </w:rPr>
        <w:t>DPP (Vic) v Felton</w:t>
      </w:r>
      <w:r w:rsidRPr="007809F4">
        <w:rPr>
          <w:rFonts w:asciiTheme="minorHAnsi" w:hAnsiTheme="minorHAnsi" w:cstheme="minorHAnsi"/>
        </w:rPr>
        <w:t xml:space="preserve"> (2007) 16 VR 214</w:t>
      </w:r>
      <w:r w:rsidRPr="00EB7F1E">
        <w:rPr>
          <w:rFonts w:asciiTheme="minorHAnsi" w:hAnsiTheme="minorHAnsi" w:cstheme="minorHAnsi"/>
        </w:rPr>
        <w:fldChar w:fldCharType="begin"/>
      </w:r>
      <w:r w:rsidRPr="007809F4">
        <w:rPr>
          <w:rFonts w:asciiTheme="minorHAnsi" w:hAnsiTheme="minorHAnsi" w:cstheme="minorHAnsi"/>
        </w:rPr>
        <w:instrText xml:space="preserve"> TA \s "DPP (Vic) v Felton (2007) 16 VR 214"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Wong</w:t>
      </w:r>
      <w:r w:rsidRPr="007809F4">
        <w:rPr>
          <w:rFonts w:asciiTheme="minorHAnsi" w:hAnsiTheme="minorHAnsi" w:cstheme="minorHAnsi"/>
        </w:rPr>
        <w:t xml:space="preserve"> (2007) 178 A Crim R 192</w:t>
      </w:r>
      <w:r w:rsidRPr="00EB7F1E">
        <w:rPr>
          <w:rFonts w:asciiTheme="minorHAnsi" w:hAnsiTheme="minorHAnsi" w:cstheme="minorHAnsi"/>
        </w:rPr>
        <w:fldChar w:fldCharType="begin"/>
      </w:r>
      <w:r w:rsidRPr="007809F4">
        <w:rPr>
          <w:rFonts w:asciiTheme="minorHAnsi" w:hAnsiTheme="minorHAnsi" w:cstheme="minorHAnsi"/>
        </w:rPr>
        <w:instrText xml:space="preserve"> TA \s "R v Wong (2007) 178 A Crim R 192"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Wong (2007) 178 A Crim R 192"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Rout</w:t>
      </w:r>
      <w:r w:rsidRPr="007809F4">
        <w:rPr>
          <w:rFonts w:asciiTheme="minorHAnsi" w:hAnsiTheme="minorHAnsi" w:cstheme="minorHAnsi"/>
        </w:rPr>
        <w:t xml:space="preserve"> [2008] VSCA 87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Rout</w:instrText>
      </w:r>
      <w:r w:rsidRPr="007809F4">
        <w:rPr>
          <w:rFonts w:asciiTheme="minorHAnsi" w:hAnsiTheme="minorHAnsi" w:cstheme="minorHAnsi"/>
        </w:rPr>
        <w:instrText xml:space="preserve"> [2008] VSCA 87" \s "R v Rout [2008] VSCA 87"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w:t>
      </w:r>
      <w:r w:rsidRPr="007809F4">
        <w:rPr>
          <w:rFonts w:asciiTheme="minorHAnsi" w:hAnsiTheme="minorHAnsi" w:cstheme="minorHAnsi"/>
        </w:rPr>
        <w:t xml:space="preserve"> </w:t>
      </w:r>
      <w:r w:rsidRPr="007809F4">
        <w:rPr>
          <w:rFonts w:asciiTheme="minorHAnsi" w:hAnsiTheme="minorHAnsi" w:cstheme="minorHAnsi"/>
          <w:i/>
        </w:rPr>
        <w:t>Grossi</w:t>
      </w:r>
      <w:r w:rsidRPr="007809F4">
        <w:rPr>
          <w:rFonts w:asciiTheme="minorHAnsi" w:hAnsiTheme="minorHAnsi" w:cstheme="minorHAnsi"/>
          <w:i/>
          <w:iCs/>
          <w:noProof/>
        </w:rPr>
        <w:t xml:space="preserve"> </w:t>
      </w:r>
      <w:r w:rsidRPr="007809F4">
        <w:rPr>
          <w:rFonts w:asciiTheme="minorHAnsi" w:hAnsiTheme="minorHAnsi" w:cstheme="minorHAnsi"/>
        </w:rPr>
        <w:t>(2008) 23 VR 500</w:t>
      </w:r>
      <w:r w:rsidRPr="00EB7F1E">
        <w:rPr>
          <w:rFonts w:asciiTheme="minorHAnsi" w:hAnsiTheme="minorHAnsi" w:cstheme="minorHAnsi"/>
        </w:rPr>
        <w:fldChar w:fldCharType="begin"/>
      </w:r>
      <w:r w:rsidRPr="007809F4">
        <w:rPr>
          <w:rFonts w:asciiTheme="minorHAnsi" w:hAnsiTheme="minorHAnsi" w:cstheme="minorHAnsi"/>
        </w:rPr>
        <w:instrText xml:space="preserve"> TA \s "R v Grossi (2008) 23 VR 500" </w:instrText>
      </w:r>
      <w:r w:rsidRPr="00EB7F1E">
        <w:rPr>
          <w:rFonts w:asciiTheme="minorHAnsi" w:hAnsiTheme="minorHAnsi" w:cstheme="minorHAnsi"/>
        </w:rPr>
        <w:fldChar w:fldCharType="end"/>
      </w:r>
      <w:r w:rsidRPr="007809F4">
        <w:rPr>
          <w:rFonts w:asciiTheme="minorHAnsi" w:hAnsiTheme="minorHAnsi" w:cstheme="minorHAnsi"/>
        </w:rPr>
        <w:t>.  Such pitfalls may remain in other jurisdictions.</w:t>
      </w:r>
      <w:r w:rsidRPr="00EB7F1E">
        <w:rPr>
          <w:rFonts w:asciiTheme="minorHAnsi" w:hAnsiTheme="minorHAnsi" w:cstheme="minorHAnsi"/>
        </w:rPr>
        <w:fldChar w:fldCharType="begin"/>
      </w:r>
      <w:r w:rsidRPr="007809F4">
        <w:rPr>
          <w:rFonts w:asciiTheme="minorHAnsi" w:hAnsiTheme="minorHAnsi" w:cstheme="minorHAnsi"/>
        </w:rPr>
        <w:instrText xml:space="preserve">  "R v Rout [2008] VSCA 87" </w:instrText>
      </w:r>
      <w:r w:rsidRPr="00EB7F1E">
        <w:rPr>
          <w:rFonts w:asciiTheme="minorHAnsi" w:hAnsiTheme="minorHAnsi" w:cstheme="minorHAnsi"/>
        </w:rPr>
        <w:fldChar w:fldCharType="end"/>
      </w:r>
    </w:p>
  </w:footnote>
  <w:footnote w:id="1103">
    <w:p w14:paraId="42B81DA8" w14:textId="549231C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Sentencing Act 2017</w:t>
      </w:r>
      <w:r w:rsidRPr="007809F4">
        <w:rPr>
          <w:rFonts w:asciiTheme="minorHAnsi" w:hAnsiTheme="minorHAnsi" w:cstheme="minorHAnsi"/>
        </w:rPr>
        <w:t xml:space="preserve"> (SA), s 26.</w:t>
      </w:r>
    </w:p>
  </w:footnote>
  <w:footnote w:id="1104">
    <w:p w14:paraId="10396B78" w14:textId="20508FB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Sentencing Act 1997</w:t>
      </w:r>
      <w:r w:rsidRPr="007809F4">
        <w:rPr>
          <w:rFonts w:asciiTheme="minorHAnsi" w:hAnsiTheme="minorHAnsi" w:cstheme="minorHAnsi"/>
        </w:rPr>
        <w:t xml:space="preserve"> (Tas), s 11.</w:t>
      </w:r>
    </w:p>
  </w:footnote>
  <w:footnote w:id="1105">
    <w:p w14:paraId="2D3F87D5" w14:textId="078D028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Sentencing Act 1995 </w:t>
      </w:r>
      <w:r w:rsidRPr="007809F4">
        <w:rPr>
          <w:rFonts w:asciiTheme="minorHAnsi" w:hAnsiTheme="minorHAnsi" w:cstheme="minorHAnsi"/>
        </w:rPr>
        <w:t>(NT), s 52(1).</w:t>
      </w:r>
    </w:p>
  </w:footnote>
  <w:footnote w:id="1106">
    <w:p w14:paraId="7CA01E63"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Fasciale v R </w:t>
      </w:r>
      <w:r w:rsidRPr="007809F4">
        <w:rPr>
          <w:rFonts w:asciiTheme="minorHAnsi" w:hAnsiTheme="minorHAnsi" w:cstheme="minorHAnsi"/>
        </w:rPr>
        <w:t>(2010) 30 VR 643,</w:t>
      </w:r>
      <w:r w:rsidRPr="00EB7F1E">
        <w:rPr>
          <w:rFonts w:asciiTheme="minorHAnsi" w:hAnsiTheme="minorHAnsi" w:cstheme="minorHAnsi"/>
        </w:rPr>
        <w:fldChar w:fldCharType="begin"/>
      </w:r>
      <w:r w:rsidRPr="007809F4">
        <w:rPr>
          <w:rFonts w:asciiTheme="minorHAnsi" w:hAnsiTheme="minorHAnsi" w:cstheme="minorHAnsi"/>
        </w:rPr>
        <w:instrText xml:space="preserve"> TA \s "Fasciale v R (2010) 30 VR 643" </w:instrText>
      </w:r>
      <w:r w:rsidRPr="00EB7F1E">
        <w:rPr>
          <w:rFonts w:asciiTheme="minorHAnsi" w:hAnsiTheme="minorHAnsi" w:cstheme="minorHAnsi"/>
        </w:rPr>
        <w:fldChar w:fldCharType="end"/>
      </w:r>
      <w:r w:rsidRPr="007809F4">
        <w:rPr>
          <w:rFonts w:asciiTheme="minorHAnsi" w:hAnsiTheme="minorHAnsi" w:cstheme="minorHAnsi"/>
        </w:rPr>
        <w:t xml:space="preserve"> [27].</w:t>
      </w:r>
    </w:p>
  </w:footnote>
  <w:footnote w:id="1107">
    <w:p w14:paraId="03E89756" w14:textId="1DA787C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Nixon</w:t>
      </w:r>
      <w:r w:rsidRPr="007809F4">
        <w:rPr>
          <w:rFonts w:asciiTheme="minorHAnsi" w:hAnsiTheme="minorHAnsi" w:cstheme="minorHAnsi"/>
        </w:rPr>
        <w:t xml:space="preserve"> (1993) 66 A Crim R 83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Nixon</w:instrText>
      </w:r>
      <w:r w:rsidRPr="007809F4">
        <w:rPr>
          <w:rFonts w:asciiTheme="minorHAnsi" w:hAnsiTheme="minorHAnsi" w:cstheme="minorHAnsi"/>
        </w:rPr>
        <w:instrText xml:space="preserve"> (1993) 66 A Crim R 83</w:instrText>
      </w:r>
      <w:r w:rsidRPr="00EB7F1E">
        <w:rPr>
          <w:rFonts w:asciiTheme="minorHAnsi" w:hAnsiTheme="minorHAnsi" w:cstheme="minorHAnsi"/>
        </w:rPr>
        <w:instrText xml:space="preserve">" \s "R v Nixon (1993) 66 A Crim R 83" \c 1 </w:instrText>
      </w:r>
      <w:r w:rsidRPr="00EB7F1E">
        <w:rPr>
          <w:rFonts w:asciiTheme="minorHAnsi" w:hAnsiTheme="minorHAnsi" w:cstheme="minorHAnsi"/>
        </w:rPr>
        <w:fldChar w:fldCharType="end"/>
      </w:r>
      <w:r w:rsidRPr="007809F4">
        <w:rPr>
          <w:rFonts w:asciiTheme="minorHAnsi" w:hAnsiTheme="minorHAnsi" w:cstheme="minorHAnsi"/>
        </w:rPr>
        <w:t xml:space="preserve">, 85-86; </w:t>
      </w:r>
      <w:r w:rsidRPr="007809F4">
        <w:rPr>
          <w:rFonts w:asciiTheme="minorHAnsi" w:hAnsiTheme="minorHAnsi" w:cstheme="minorHAnsi"/>
          <w:i/>
        </w:rPr>
        <w:t>DPP v Rivette</w:t>
      </w:r>
      <w:r w:rsidRPr="007809F4">
        <w:rPr>
          <w:rFonts w:asciiTheme="minorHAnsi" w:hAnsiTheme="minorHAnsi" w:cstheme="minorHAnsi"/>
        </w:rPr>
        <w:t xml:space="preserve"> [2017] VSCA 150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Rivette</w:instrText>
      </w:r>
      <w:r w:rsidRPr="007809F4">
        <w:rPr>
          <w:rFonts w:asciiTheme="minorHAnsi" w:hAnsiTheme="minorHAnsi" w:cstheme="minorHAnsi"/>
        </w:rPr>
        <w:instrText xml:space="preserve"> [2017] VSCA 150</w:instrText>
      </w:r>
      <w:r w:rsidRPr="00EB7F1E">
        <w:rPr>
          <w:rFonts w:asciiTheme="minorHAnsi" w:hAnsiTheme="minorHAnsi" w:cstheme="minorHAnsi"/>
        </w:rPr>
        <w:instrText xml:space="preserve">" \s "DPP v Rivette [2017] VSCA 150" \c 1 </w:instrText>
      </w:r>
      <w:r w:rsidRPr="00EB7F1E">
        <w:rPr>
          <w:rFonts w:asciiTheme="minorHAnsi" w:hAnsiTheme="minorHAnsi" w:cstheme="minorHAnsi"/>
        </w:rPr>
        <w:fldChar w:fldCharType="end"/>
      </w:r>
      <w:r w:rsidRPr="007809F4">
        <w:rPr>
          <w:rFonts w:asciiTheme="minorHAnsi" w:hAnsiTheme="minorHAnsi" w:cstheme="minorHAnsi"/>
        </w:rPr>
        <w:t>, [85]-[86], [89].</w:t>
      </w:r>
    </w:p>
  </w:footnote>
  <w:footnote w:id="1108">
    <w:p w14:paraId="379B791B" w14:textId="60567D0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[116].</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109">
    <w:p w14:paraId="2A5048EA" w14:textId="075E5E0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R v Bibaoui</w:t>
      </w:r>
      <w:r w:rsidRPr="007809F4">
        <w:rPr>
          <w:rFonts w:asciiTheme="minorHAnsi" w:hAnsiTheme="minorHAnsi" w:cstheme="minorHAnsi"/>
        </w:rPr>
        <w:t xml:space="preserve"> [1997] 2 VR 600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Bibaoui</w:instrText>
      </w:r>
      <w:r w:rsidRPr="007809F4">
        <w:rPr>
          <w:rFonts w:asciiTheme="minorHAnsi" w:hAnsiTheme="minorHAnsi" w:cstheme="minorHAnsi"/>
        </w:rPr>
        <w:instrText xml:space="preserve"> [1997] 2 VR 600" \s "R v Bibaoui [1997] 2 VR 600"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Bibaoui [1997] 2 VR 600" </w:instrText>
      </w:r>
      <w:r w:rsidRPr="00EB7F1E">
        <w:rPr>
          <w:rFonts w:asciiTheme="minorHAnsi" w:hAnsiTheme="minorHAnsi" w:cstheme="minorHAnsi"/>
        </w:rPr>
        <w:fldChar w:fldCharType="end"/>
      </w:r>
      <w:r w:rsidRPr="007809F4">
        <w:rPr>
          <w:rFonts w:asciiTheme="minorHAnsi" w:hAnsiTheme="minorHAnsi" w:cstheme="minorHAnsi"/>
        </w:rPr>
        <w:t xml:space="preserve">, 603; </w:t>
      </w:r>
      <w:r w:rsidRPr="007809F4">
        <w:rPr>
          <w:rFonts w:asciiTheme="minorHAnsi" w:hAnsiTheme="minorHAnsi" w:cstheme="minorHAnsi"/>
          <w:i/>
        </w:rPr>
        <w:t>R v Beaumont</w:t>
      </w:r>
      <w:r w:rsidRPr="007809F4">
        <w:rPr>
          <w:rFonts w:asciiTheme="minorHAnsi" w:hAnsiTheme="minorHAnsi" w:cstheme="minorHAnsi"/>
        </w:rPr>
        <w:t xml:space="preserve"> [2000] VSCA 214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Beaumont</w:instrText>
      </w:r>
      <w:r w:rsidRPr="007809F4">
        <w:rPr>
          <w:rFonts w:asciiTheme="minorHAnsi" w:hAnsiTheme="minorHAnsi" w:cstheme="minorHAnsi"/>
        </w:rPr>
        <w:instrText xml:space="preserve"> [2000] VSCA 214</w:instrText>
      </w:r>
      <w:r w:rsidRPr="00EB7F1E">
        <w:rPr>
          <w:rFonts w:asciiTheme="minorHAnsi" w:hAnsiTheme="minorHAnsi" w:cstheme="minorHAnsi"/>
        </w:rPr>
        <w:instrText xml:space="preserve">" \s "R v Beaumont [2000] VSCA 214" \c 1 </w:instrText>
      </w:r>
      <w:r w:rsidRPr="00EB7F1E">
        <w:rPr>
          <w:rFonts w:asciiTheme="minorHAnsi" w:hAnsiTheme="minorHAnsi" w:cstheme="minorHAnsi"/>
        </w:rPr>
        <w:fldChar w:fldCharType="end"/>
      </w:r>
      <w:r w:rsidRPr="007809F4">
        <w:rPr>
          <w:rFonts w:asciiTheme="minorHAnsi" w:hAnsiTheme="minorHAnsi" w:cstheme="minorHAnsi"/>
        </w:rPr>
        <w:t xml:space="preserve">, [6]-[7]; </w:t>
      </w:r>
      <w:r w:rsidRPr="007809F4">
        <w:rPr>
          <w:rFonts w:asciiTheme="minorHAnsi" w:hAnsiTheme="minorHAnsi" w:cstheme="minorHAnsi"/>
          <w:i/>
        </w:rPr>
        <w:t>DPP v Felton</w:t>
      </w:r>
      <w:r w:rsidRPr="007809F4">
        <w:rPr>
          <w:rFonts w:asciiTheme="minorHAnsi" w:hAnsiTheme="minorHAnsi" w:cstheme="minorHAnsi"/>
        </w:rPr>
        <w:t xml:space="preserve"> [2007] VSCA 65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DPP v Felton</w:instrText>
      </w:r>
      <w:r w:rsidRPr="007809F4">
        <w:rPr>
          <w:rFonts w:asciiTheme="minorHAnsi" w:hAnsiTheme="minorHAnsi" w:cstheme="minorHAnsi"/>
        </w:rPr>
        <w:instrText xml:space="preserve"> [2007] VSCA 65</w:instrText>
      </w:r>
      <w:r w:rsidRPr="00EB7F1E">
        <w:rPr>
          <w:rFonts w:asciiTheme="minorHAnsi" w:hAnsiTheme="minorHAnsi" w:cstheme="minorHAnsi"/>
        </w:rPr>
        <w:instrText xml:space="preserve">" \s "DPP v Felton [2007] VSCA 65"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DPP v Frewstal Pty Ltd </w:t>
      </w:r>
      <w:r w:rsidRPr="007809F4">
        <w:rPr>
          <w:rFonts w:asciiTheme="minorHAnsi" w:hAnsiTheme="minorHAnsi" w:cstheme="minorHAnsi"/>
        </w:rPr>
        <w:t>(2015) 47 VR 660</w:t>
      </w:r>
      <w:r w:rsidRPr="00EB7F1E">
        <w:rPr>
          <w:rFonts w:asciiTheme="minorHAnsi" w:hAnsiTheme="minorHAnsi" w:cstheme="minorHAnsi"/>
        </w:rPr>
        <w:fldChar w:fldCharType="begin"/>
      </w:r>
      <w:r w:rsidRPr="00EB7F1E">
        <w:rPr>
          <w:rFonts w:asciiTheme="minorHAnsi" w:hAnsiTheme="minorHAnsi" w:cstheme="minorHAnsi"/>
        </w:rPr>
        <w:instrText xml:space="preserve"> TA \s "DPP v Frewstal Pty Ltd (2015) 47 VR 660" </w:instrText>
      </w:r>
      <w:r w:rsidRPr="00EB7F1E">
        <w:rPr>
          <w:rFonts w:asciiTheme="minorHAnsi" w:hAnsiTheme="minorHAnsi" w:cstheme="minorHAnsi"/>
        </w:rPr>
        <w:fldChar w:fldCharType="end"/>
      </w:r>
      <w:r w:rsidRPr="007809F4">
        <w:rPr>
          <w:rFonts w:asciiTheme="minorHAnsi" w:hAnsiTheme="minorHAnsi" w:cstheme="minorHAnsi"/>
        </w:rPr>
        <w:t>, [115].</w:t>
      </w:r>
    </w:p>
  </w:footnote>
  <w:footnote w:id="1110">
    <w:p w14:paraId="31E859AC" w14:textId="43C9A7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Felton</w:t>
      </w:r>
      <w:r w:rsidRPr="007809F4">
        <w:rPr>
          <w:rFonts w:asciiTheme="minorHAnsi" w:hAnsiTheme="minorHAnsi" w:cstheme="minorHAnsi"/>
        </w:rPr>
        <w:t xml:space="preserve"> [2007] VSCA 65</w:t>
      </w:r>
      <w:r w:rsidRPr="00EB7F1E">
        <w:rPr>
          <w:rFonts w:asciiTheme="minorHAnsi" w:hAnsiTheme="minorHAnsi" w:cstheme="minorHAnsi"/>
        </w:rPr>
        <w:fldChar w:fldCharType="begin"/>
      </w:r>
      <w:r w:rsidRPr="007809F4">
        <w:rPr>
          <w:rFonts w:asciiTheme="minorHAnsi" w:hAnsiTheme="minorHAnsi" w:cstheme="minorHAnsi"/>
        </w:rPr>
        <w:instrText xml:space="preserve"> TA \s "DPP v Felton [2007] VSCA 65" </w:instrText>
      </w:r>
      <w:r w:rsidRPr="00EB7F1E">
        <w:rPr>
          <w:rFonts w:asciiTheme="minorHAnsi" w:hAnsiTheme="minorHAnsi" w:cstheme="minorHAnsi"/>
        </w:rPr>
        <w:fldChar w:fldCharType="end"/>
      </w:r>
      <w:r w:rsidRPr="007809F4">
        <w:rPr>
          <w:rFonts w:asciiTheme="minorHAnsi" w:hAnsiTheme="minorHAnsi" w:cstheme="minorHAnsi"/>
        </w:rPr>
        <w:t xml:space="preserve">, [2], 19; </w:t>
      </w:r>
      <w:r w:rsidRPr="007809F4">
        <w:rPr>
          <w:rFonts w:asciiTheme="minorHAnsi" w:hAnsiTheme="minorHAnsi" w:cstheme="minorHAnsi"/>
          <w:i/>
        </w:rPr>
        <w:t>R v</w:t>
      </w:r>
      <w:r w:rsidRPr="007809F4">
        <w:rPr>
          <w:rFonts w:asciiTheme="minorHAnsi" w:hAnsiTheme="minorHAnsi" w:cstheme="minorHAnsi"/>
        </w:rPr>
        <w:t xml:space="preserve"> </w:t>
      </w:r>
      <w:r w:rsidRPr="007809F4">
        <w:rPr>
          <w:rFonts w:asciiTheme="minorHAnsi" w:hAnsiTheme="minorHAnsi" w:cstheme="minorHAnsi"/>
          <w:i/>
        </w:rPr>
        <w:t>Grossi</w:t>
      </w:r>
      <w:r w:rsidRPr="007809F4">
        <w:rPr>
          <w:rFonts w:asciiTheme="minorHAnsi" w:hAnsiTheme="minorHAnsi" w:cstheme="minorHAnsi"/>
          <w:i/>
          <w:iCs/>
          <w:noProof/>
        </w:rPr>
        <w:t xml:space="preserve"> </w:t>
      </w:r>
      <w:r w:rsidRPr="007809F4">
        <w:rPr>
          <w:rFonts w:asciiTheme="minorHAnsi" w:hAnsiTheme="minorHAnsi" w:cstheme="minorHAnsi"/>
        </w:rPr>
        <w:t>(2008) 23 VR 500</w:t>
      </w:r>
      <w:r w:rsidRPr="00EB7F1E">
        <w:rPr>
          <w:rFonts w:asciiTheme="minorHAnsi" w:hAnsiTheme="minorHAnsi" w:cstheme="minorHAnsi"/>
        </w:rPr>
        <w:fldChar w:fldCharType="begin"/>
      </w:r>
      <w:r w:rsidRPr="007809F4">
        <w:rPr>
          <w:rFonts w:asciiTheme="minorHAnsi" w:hAnsiTheme="minorHAnsi" w:cstheme="minorHAnsi"/>
        </w:rPr>
        <w:instrText xml:space="preserve"> TA \s "R v Grossi (2008) 23 VR 500" </w:instrText>
      </w:r>
      <w:r w:rsidRPr="00EB7F1E">
        <w:rPr>
          <w:rFonts w:asciiTheme="minorHAnsi" w:hAnsiTheme="minorHAnsi" w:cstheme="minorHAnsi"/>
        </w:rPr>
        <w:fldChar w:fldCharType="end"/>
      </w:r>
      <w:r w:rsidRPr="007809F4">
        <w:rPr>
          <w:rFonts w:asciiTheme="minorHAnsi" w:hAnsiTheme="minorHAnsi" w:cstheme="minorHAnsi"/>
        </w:rPr>
        <w:t xml:space="preserve">, [39]; </w:t>
      </w:r>
      <w:r w:rsidRPr="007809F4">
        <w:rPr>
          <w:rFonts w:asciiTheme="minorHAnsi" w:hAnsiTheme="minorHAnsi" w:cstheme="minorHAnsi"/>
          <w:i/>
        </w:rPr>
        <w:t xml:space="preserve">Fitzpatrick v R </w:t>
      </w:r>
      <w:r w:rsidRPr="007809F4">
        <w:rPr>
          <w:rFonts w:asciiTheme="minorHAnsi" w:hAnsiTheme="minorHAnsi" w:cstheme="minorHAnsi"/>
        </w:rPr>
        <w:t>[2016] VSCA 63</w:t>
      </w:r>
      <w:r w:rsidRPr="00EB7F1E">
        <w:rPr>
          <w:rFonts w:asciiTheme="minorHAnsi" w:hAnsiTheme="minorHAnsi" w:cstheme="minorHAnsi"/>
        </w:rPr>
        <w:fldChar w:fldCharType="begin"/>
      </w:r>
      <w:r w:rsidRPr="007809F4">
        <w:rPr>
          <w:rFonts w:asciiTheme="minorHAnsi" w:hAnsiTheme="minorHAnsi" w:cstheme="minorHAnsi"/>
        </w:rPr>
        <w:instrText xml:space="preserve"> TA \s "Fitzpatrick v R [2016] VSCA 63" </w:instrText>
      </w:r>
      <w:r w:rsidRPr="00EB7F1E">
        <w:rPr>
          <w:rFonts w:asciiTheme="minorHAnsi" w:hAnsiTheme="minorHAnsi" w:cstheme="minorHAnsi"/>
        </w:rPr>
        <w:fldChar w:fldCharType="end"/>
      </w:r>
      <w:r w:rsidRPr="007809F4">
        <w:rPr>
          <w:rFonts w:asciiTheme="minorHAnsi" w:hAnsiTheme="minorHAnsi" w:cstheme="minorHAnsi"/>
        </w:rPr>
        <w:t xml:space="preserve">, [48]; </w:t>
      </w:r>
      <w:r w:rsidRPr="007809F4">
        <w:rPr>
          <w:rFonts w:asciiTheme="minorHAnsi" w:hAnsiTheme="minorHAnsi" w:cstheme="minorHAnsi"/>
          <w:i/>
        </w:rPr>
        <w:t>DPP v Rivette</w:t>
      </w:r>
      <w:r w:rsidRPr="007809F4">
        <w:rPr>
          <w:rFonts w:asciiTheme="minorHAnsi" w:hAnsiTheme="minorHAnsi" w:cstheme="minorHAnsi"/>
        </w:rPr>
        <w:t xml:space="preserve"> [2017] VSCA 150</w:t>
      </w:r>
      <w:r w:rsidRPr="00EB7F1E">
        <w:rPr>
          <w:rFonts w:asciiTheme="minorHAnsi" w:hAnsiTheme="minorHAnsi" w:cstheme="minorHAnsi"/>
        </w:rPr>
        <w:fldChar w:fldCharType="begin"/>
      </w:r>
      <w:r w:rsidRPr="007809F4">
        <w:rPr>
          <w:rFonts w:asciiTheme="minorHAnsi" w:hAnsiTheme="minorHAnsi" w:cstheme="minorHAnsi"/>
        </w:rPr>
        <w:instrText xml:space="preserve"> TA \s "DPP v Rivette [2017] VSCA 150" </w:instrText>
      </w:r>
      <w:r w:rsidRPr="00EB7F1E">
        <w:rPr>
          <w:rFonts w:asciiTheme="minorHAnsi" w:hAnsiTheme="minorHAnsi" w:cstheme="minorHAnsi"/>
        </w:rPr>
        <w:fldChar w:fldCharType="end"/>
      </w:r>
      <w:r w:rsidRPr="007809F4">
        <w:rPr>
          <w:rFonts w:asciiTheme="minorHAnsi" w:hAnsiTheme="minorHAnsi" w:cstheme="minorHAnsi"/>
        </w:rPr>
        <w:t>, [87]-[88].  The reference to variation in the seriousness of counts is a reference to “</w:t>
      </w:r>
      <w:r w:rsidRPr="007809F4">
        <w:rPr>
          <w:rFonts w:asciiTheme="minorHAnsi" w:hAnsiTheme="minorHAnsi" w:cstheme="minorHAnsi"/>
          <w:i/>
        </w:rPr>
        <w:t>the objective gravity of the conduct, not the maximum penalty which the offence carries</w:t>
      </w:r>
      <w:r w:rsidRPr="007809F4">
        <w:rPr>
          <w:rFonts w:asciiTheme="minorHAnsi" w:hAnsiTheme="minorHAnsi" w:cstheme="minorHAnsi"/>
        </w:rPr>
        <w:t xml:space="preserve">”: </w:t>
      </w:r>
      <w:r w:rsidRPr="007809F4">
        <w:rPr>
          <w:rFonts w:asciiTheme="minorHAnsi" w:hAnsiTheme="minorHAnsi" w:cstheme="minorHAnsi"/>
          <w:i/>
        </w:rPr>
        <w:t>Kerapa v R</w:t>
      </w:r>
      <w:r w:rsidRPr="007809F4">
        <w:rPr>
          <w:rFonts w:asciiTheme="minorHAnsi" w:hAnsiTheme="minorHAnsi" w:cstheme="minorHAnsi"/>
        </w:rPr>
        <w:t xml:space="preserve"> [2017] VSCA 56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Kerapa v R</w:instrText>
      </w:r>
      <w:r w:rsidRPr="007809F4">
        <w:rPr>
          <w:rFonts w:asciiTheme="minorHAnsi" w:hAnsiTheme="minorHAnsi" w:cstheme="minorHAnsi"/>
        </w:rPr>
        <w:instrText xml:space="preserve"> [2017] VSCA 56</w:instrText>
      </w:r>
      <w:r w:rsidRPr="00EB7F1E">
        <w:rPr>
          <w:rFonts w:asciiTheme="minorHAnsi" w:hAnsiTheme="minorHAnsi" w:cstheme="minorHAnsi"/>
        </w:rPr>
        <w:instrText xml:space="preserve">" \s "Kerapa v R [2017] VSCA 56" \c 1 </w:instrText>
      </w:r>
      <w:r w:rsidRPr="00EB7F1E">
        <w:rPr>
          <w:rFonts w:asciiTheme="minorHAnsi" w:hAnsiTheme="minorHAnsi" w:cstheme="minorHAnsi"/>
        </w:rPr>
        <w:fldChar w:fldCharType="end"/>
      </w:r>
      <w:r w:rsidRPr="007809F4">
        <w:rPr>
          <w:rFonts w:asciiTheme="minorHAnsi" w:hAnsiTheme="minorHAnsi" w:cstheme="minorHAnsi"/>
        </w:rPr>
        <w:t>, [12].</w:t>
      </w:r>
    </w:p>
  </w:footnote>
  <w:footnote w:id="1111">
    <w:p w14:paraId="643E3491" w14:textId="43C8F3E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Felton</w:t>
      </w:r>
      <w:r w:rsidRPr="007809F4">
        <w:rPr>
          <w:rFonts w:asciiTheme="minorHAnsi" w:hAnsiTheme="minorHAnsi" w:cstheme="minorHAnsi"/>
        </w:rPr>
        <w:t xml:space="preserve"> [2007] VSCA 65</w:t>
      </w:r>
      <w:r w:rsidRPr="00EB7F1E">
        <w:rPr>
          <w:rFonts w:asciiTheme="minorHAnsi" w:hAnsiTheme="minorHAnsi" w:cstheme="minorHAnsi"/>
        </w:rPr>
        <w:fldChar w:fldCharType="begin"/>
      </w:r>
      <w:r w:rsidRPr="007809F4">
        <w:rPr>
          <w:rFonts w:asciiTheme="minorHAnsi" w:hAnsiTheme="minorHAnsi" w:cstheme="minorHAnsi"/>
        </w:rPr>
        <w:instrText xml:space="preserve"> TA \s "DPP v Felton [2007] VSCA 65" </w:instrText>
      </w:r>
      <w:r w:rsidRPr="00EB7F1E">
        <w:rPr>
          <w:rFonts w:asciiTheme="minorHAnsi" w:hAnsiTheme="minorHAnsi" w:cstheme="minorHAnsi"/>
        </w:rPr>
        <w:fldChar w:fldCharType="end"/>
      </w:r>
      <w:r w:rsidRPr="007809F4">
        <w:rPr>
          <w:rFonts w:asciiTheme="minorHAnsi" w:hAnsiTheme="minorHAnsi" w:cstheme="minorHAnsi"/>
        </w:rPr>
        <w:t>, [42].</w:t>
      </w:r>
    </w:p>
  </w:footnote>
  <w:footnote w:id="1112">
    <w:p w14:paraId="09C4BD1A" w14:textId="4D566F6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Sentencing Act 1991</w:t>
      </w:r>
      <w:r w:rsidRPr="007809F4">
        <w:rPr>
          <w:rFonts w:asciiTheme="minorHAnsi" w:hAnsiTheme="minorHAnsi" w:cstheme="minorHAnsi"/>
        </w:rPr>
        <w:t xml:space="preserve"> (Vic), s 9(4A).</w:t>
      </w:r>
    </w:p>
  </w:footnote>
  <w:footnote w:id="1113">
    <w:p w14:paraId="040845BC" w14:textId="5DD90F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Fitzpatrick v R </w:t>
      </w:r>
      <w:r w:rsidRPr="007809F4">
        <w:rPr>
          <w:rFonts w:asciiTheme="minorHAnsi" w:hAnsiTheme="minorHAnsi" w:cstheme="minorHAnsi"/>
        </w:rPr>
        <w:t>[2016] VSCA 63</w:t>
      </w:r>
      <w:r w:rsidRPr="00EB7F1E">
        <w:rPr>
          <w:rFonts w:asciiTheme="minorHAnsi" w:hAnsiTheme="minorHAnsi" w:cstheme="minorHAnsi"/>
        </w:rPr>
        <w:fldChar w:fldCharType="begin"/>
      </w:r>
      <w:r w:rsidRPr="007809F4">
        <w:rPr>
          <w:rFonts w:asciiTheme="minorHAnsi" w:hAnsiTheme="minorHAnsi" w:cstheme="minorHAnsi"/>
        </w:rPr>
        <w:instrText xml:space="preserve"> TA \s "Fitzpatrick v R [2016] VSCA 63" </w:instrText>
      </w:r>
      <w:r w:rsidRPr="00EB7F1E">
        <w:rPr>
          <w:rFonts w:asciiTheme="minorHAnsi" w:hAnsiTheme="minorHAnsi" w:cstheme="minorHAnsi"/>
        </w:rPr>
        <w:fldChar w:fldCharType="end"/>
      </w:r>
      <w:r w:rsidRPr="007809F4">
        <w:rPr>
          <w:rFonts w:asciiTheme="minorHAnsi" w:hAnsiTheme="minorHAnsi" w:cstheme="minorHAnsi"/>
        </w:rPr>
        <w:t>, [51].</w:t>
      </w:r>
    </w:p>
  </w:footnote>
  <w:footnote w:id="1114">
    <w:p w14:paraId="4B868583" w14:textId="5243205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Copeland (No 2)</w:t>
      </w:r>
      <w:r w:rsidRPr="007809F4">
        <w:rPr>
          <w:rFonts w:asciiTheme="minorHAnsi" w:hAnsiTheme="minorHAnsi" w:cstheme="minorHAnsi"/>
        </w:rPr>
        <w:t xml:space="preserve"> (2010) 108 SASR 398</w:t>
      </w:r>
      <w:r w:rsidRPr="00EB7F1E">
        <w:rPr>
          <w:rFonts w:asciiTheme="minorHAnsi" w:hAnsiTheme="minorHAnsi" w:cstheme="minorHAnsi"/>
        </w:rPr>
        <w:fldChar w:fldCharType="begin"/>
      </w:r>
      <w:r w:rsidRPr="007809F4">
        <w:rPr>
          <w:rFonts w:asciiTheme="minorHAnsi" w:hAnsiTheme="minorHAnsi" w:cstheme="minorHAnsi"/>
        </w:rPr>
        <w:instrText xml:space="preserve"> TA \s "R v Copeland (No 2) (2010) 108 SASR 398" </w:instrText>
      </w:r>
      <w:r w:rsidRPr="00EB7F1E">
        <w:rPr>
          <w:rFonts w:asciiTheme="minorHAnsi" w:hAnsiTheme="minorHAnsi" w:cstheme="minorHAnsi"/>
        </w:rPr>
        <w:fldChar w:fldCharType="end"/>
      </w:r>
      <w:r w:rsidRPr="007809F4">
        <w:rPr>
          <w:rFonts w:asciiTheme="minorHAnsi" w:hAnsiTheme="minorHAnsi" w:cstheme="minorHAnsi"/>
        </w:rPr>
        <w:t xml:space="preserve">, [15]-[30]; </w:t>
      </w:r>
      <w:r w:rsidRPr="007809F4">
        <w:rPr>
          <w:rFonts w:asciiTheme="minorHAnsi" w:hAnsiTheme="minorHAnsi" w:cstheme="minorHAnsi"/>
          <w:i/>
        </w:rPr>
        <w:t xml:space="preserve">Fitzpatrick v R </w:t>
      </w:r>
      <w:r w:rsidRPr="007809F4">
        <w:rPr>
          <w:rFonts w:asciiTheme="minorHAnsi" w:hAnsiTheme="minorHAnsi" w:cstheme="minorHAnsi"/>
        </w:rPr>
        <w:t>[2016] VSCA 63</w:t>
      </w:r>
      <w:r w:rsidRPr="00EB7F1E">
        <w:rPr>
          <w:rFonts w:asciiTheme="minorHAnsi" w:hAnsiTheme="minorHAnsi" w:cstheme="minorHAnsi"/>
        </w:rPr>
        <w:fldChar w:fldCharType="begin"/>
      </w:r>
      <w:r w:rsidRPr="007809F4">
        <w:rPr>
          <w:rFonts w:asciiTheme="minorHAnsi" w:hAnsiTheme="minorHAnsi" w:cstheme="minorHAnsi"/>
        </w:rPr>
        <w:instrText xml:space="preserve"> TA \s "Fitzpatrick v R [2016] VSCA 63" </w:instrText>
      </w:r>
      <w:r w:rsidRPr="00EB7F1E">
        <w:rPr>
          <w:rFonts w:asciiTheme="minorHAnsi" w:hAnsiTheme="minorHAnsi" w:cstheme="minorHAnsi"/>
        </w:rPr>
        <w:fldChar w:fldCharType="end"/>
      </w:r>
      <w:r w:rsidRPr="007809F4">
        <w:rPr>
          <w:rFonts w:asciiTheme="minorHAnsi" w:hAnsiTheme="minorHAnsi" w:cstheme="minorHAnsi"/>
        </w:rPr>
        <w:t xml:space="preserve">, [45]; </w:t>
      </w:r>
      <w:r w:rsidRPr="007809F4">
        <w:rPr>
          <w:rFonts w:asciiTheme="minorHAnsi" w:hAnsiTheme="minorHAnsi" w:cstheme="minorHAnsi"/>
          <w:i/>
        </w:rPr>
        <w:t>DPP v Rivette</w:t>
      </w:r>
      <w:r w:rsidRPr="007809F4">
        <w:rPr>
          <w:rFonts w:asciiTheme="minorHAnsi" w:hAnsiTheme="minorHAnsi" w:cstheme="minorHAnsi"/>
        </w:rPr>
        <w:t xml:space="preserve"> [2017] VSCA 150</w:t>
      </w:r>
      <w:r w:rsidRPr="00EB7F1E">
        <w:rPr>
          <w:rFonts w:asciiTheme="minorHAnsi" w:hAnsiTheme="minorHAnsi" w:cstheme="minorHAnsi"/>
        </w:rPr>
        <w:fldChar w:fldCharType="begin"/>
      </w:r>
      <w:r w:rsidRPr="007809F4">
        <w:rPr>
          <w:rFonts w:asciiTheme="minorHAnsi" w:hAnsiTheme="minorHAnsi" w:cstheme="minorHAnsi"/>
        </w:rPr>
        <w:instrText xml:space="preserve"> TA \s "DPP v Rivette [2017] VSCA 150" </w:instrText>
      </w:r>
      <w:r w:rsidRPr="00EB7F1E">
        <w:rPr>
          <w:rFonts w:asciiTheme="minorHAnsi" w:hAnsiTheme="minorHAnsi" w:cstheme="minorHAnsi"/>
        </w:rPr>
        <w:fldChar w:fldCharType="end"/>
      </w:r>
      <w:r w:rsidRPr="007809F4">
        <w:rPr>
          <w:rFonts w:asciiTheme="minorHAnsi" w:hAnsiTheme="minorHAnsi" w:cstheme="minorHAnsi"/>
        </w:rPr>
        <w:t>, [82].</w:t>
      </w:r>
    </w:p>
  </w:footnote>
  <w:footnote w:id="1115">
    <w:p w14:paraId="6334A699" w14:textId="7FC2583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v Felton</w:t>
      </w:r>
      <w:r w:rsidRPr="007809F4">
        <w:rPr>
          <w:rFonts w:asciiTheme="minorHAnsi" w:hAnsiTheme="minorHAnsi" w:cstheme="minorHAnsi"/>
        </w:rPr>
        <w:t xml:space="preserve"> [2007] VSCA 65</w:t>
      </w:r>
      <w:r w:rsidRPr="00EB7F1E">
        <w:rPr>
          <w:rFonts w:asciiTheme="minorHAnsi" w:hAnsiTheme="minorHAnsi" w:cstheme="minorHAnsi"/>
        </w:rPr>
        <w:fldChar w:fldCharType="begin"/>
      </w:r>
      <w:r w:rsidRPr="007809F4">
        <w:rPr>
          <w:rFonts w:asciiTheme="minorHAnsi" w:hAnsiTheme="minorHAnsi" w:cstheme="minorHAnsi"/>
        </w:rPr>
        <w:instrText xml:space="preserve"> TA \s "DPP v Felton [2007] VSCA 65" </w:instrText>
      </w:r>
      <w:r w:rsidRPr="00EB7F1E">
        <w:rPr>
          <w:rFonts w:asciiTheme="minorHAnsi" w:hAnsiTheme="minorHAnsi" w:cstheme="minorHAnsi"/>
        </w:rPr>
        <w:fldChar w:fldCharType="end"/>
      </w:r>
      <w:r w:rsidRPr="007809F4">
        <w:rPr>
          <w:rFonts w:asciiTheme="minorHAnsi" w:hAnsiTheme="minorHAnsi" w:cstheme="minorHAnsi"/>
        </w:rPr>
        <w:t xml:space="preserve">, [2]; </w:t>
      </w:r>
      <w:r w:rsidRPr="007809F4">
        <w:rPr>
          <w:rFonts w:asciiTheme="minorHAnsi" w:hAnsiTheme="minorHAnsi" w:cstheme="minorHAnsi"/>
          <w:i/>
        </w:rPr>
        <w:t xml:space="preserve">Fitzpatrick v R </w:t>
      </w:r>
      <w:r w:rsidRPr="007809F4">
        <w:rPr>
          <w:rFonts w:asciiTheme="minorHAnsi" w:hAnsiTheme="minorHAnsi" w:cstheme="minorHAnsi"/>
        </w:rPr>
        <w:t>[2016] VSCA 63</w:t>
      </w:r>
      <w:r w:rsidRPr="00EB7F1E">
        <w:rPr>
          <w:rFonts w:asciiTheme="minorHAnsi" w:hAnsiTheme="minorHAnsi" w:cstheme="minorHAnsi"/>
        </w:rPr>
        <w:fldChar w:fldCharType="begin"/>
      </w:r>
      <w:r w:rsidRPr="007809F4">
        <w:rPr>
          <w:rFonts w:asciiTheme="minorHAnsi" w:hAnsiTheme="minorHAnsi" w:cstheme="minorHAnsi"/>
        </w:rPr>
        <w:instrText xml:space="preserve"> TA \s "Fitzpatrick v R [2016] VSCA 63" </w:instrText>
      </w:r>
      <w:r w:rsidRPr="00EB7F1E">
        <w:rPr>
          <w:rFonts w:asciiTheme="minorHAnsi" w:hAnsiTheme="minorHAnsi" w:cstheme="minorHAnsi"/>
        </w:rPr>
        <w:fldChar w:fldCharType="end"/>
      </w:r>
      <w:r w:rsidRPr="007809F4">
        <w:rPr>
          <w:rFonts w:asciiTheme="minorHAnsi" w:hAnsiTheme="minorHAnsi" w:cstheme="minorHAnsi"/>
        </w:rPr>
        <w:t>, [48]</w:t>
      </w:r>
    </w:p>
  </w:footnote>
  <w:footnote w:id="1116">
    <w:p w14:paraId="4F9C14E2" w14:textId="271463E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v Frewstal Pty Ltd </w:t>
      </w:r>
      <w:r w:rsidRPr="007809F4">
        <w:rPr>
          <w:rFonts w:asciiTheme="minorHAnsi" w:hAnsiTheme="minorHAnsi" w:cstheme="minorHAnsi"/>
        </w:rPr>
        <w:t>(2015) 47 VR 660</w:t>
      </w:r>
      <w:r w:rsidRPr="00EB7F1E">
        <w:rPr>
          <w:rFonts w:asciiTheme="minorHAnsi" w:hAnsiTheme="minorHAnsi" w:cstheme="minorHAnsi"/>
        </w:rPr>
        <w:fldChar w:fldCharType="begin"/>
      </w:r>
      <w:r w:rsidRPr="00EB7F1E">
        <w:rPr>
          <w:rFonts w:asciiTheme="minorHAnsi" w:hAnsiTheme="minorHAnsi" w:cstheme="minorHAnsi"/>
        </w:rPr>
        <w:instrText xml:space="preserve"> TA \s "DPP v Frewstal Pty Ltd (2015) 47 VR 660" </w:instrText>
      </w:r>
      <w:r w:rsidRPr="00EB7F1E">
        <w:rPr>
          <w:rFonts w:asciiTheme="minorHAnsi" w:hAnsiTheme="minorHAnsi" w:cstheme="minorHAnsi"/>
        </w:rPr>
        <w:fldChar w:fldCharType="end"/>
      </w:r>
      <w:r w:rsidRPr="007809F4">
        <w:rPr>
          <w:rFonts w:asciiTheme="minorHAnsi" w:hAnsiTheme="minorHAnsi" w:cstheme="minorHAnsi"/>
        </w:rPr>
        <w:t xml:space="preserve">, [44]; cf. </w:t>
      </w:r>
      <w:r w:rsidRPr="007809F4">
        <w:rPr>
          <w:rFonts w:asciiTheme="minorHAnsi" w:hAnsiTheme="minorHAnsi" w:cstheme="minorHAnsi"/>
          <w:i/>
        </w:rPr>
        <w:t>DPP (Cth) v Beattie</w:t>
      </w:r>
      <w:r w:rsidRPr="007809F4">
        <w:rPr>
          <w:rFonts w:asciiTheme="minorHAnsi" w:hAnsiTheme="minorHAnsi" w:cstheme="minorHAnsi"/>
        </w:rPr>
        <w:t xml:space="preserve"> [2017] NSWCCA 301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Beattie [2017] NSWCCA 301" </w:instrText>
      </w:r>
      <w:r w:rsidRPr="00EB7F1E">
        <w:rPr>
          <w:rFonts w:asciiTheme="minorHAnsi" w:hAnsiTheme="minorHAnsi" w:cstheme="minorHAnsi"/>
        </w:rPr>
        <w:fldChar w:fldCharType="end"/>
      </w:r>
      <w:r w:rsidRPr="007809F4">
        <w:rPr>
          <w:rFonts w:asciiTheme="minorHAnsi" w:hAnsiTheme="minorHAnsi" w:cstheme="minorHAnsi"/>
        </w:rPr>
        <w:t>, [28].</w:t>
      </w:r>
    </w:p>
  </w:footnote>
  <w:footnote w:id="1117">
    <w:p w14:paraId="3A0B0F4A" w14:textId="1324702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v Frewstal Pty Ltd </w:t>
      </w:r>
      <w:r w:rsidRPr="007809F4">
        <w:rPr>
          <w:rFonts w:asciiTheme="minorHAnsi" w:hAnsiTheme="minorHAnsi" w:cstheme="minorHAnsi"/>
        </w:rPr>
        <w:t>(2015) 47 VR 660</w:t>
      </w:r>
      <w:r w:rsidRPr="00EB7F1E">
        <w:rPr>
          <w:rFonts w:asciiTheme="minorHAnsi" w:hAnsiTheme="minorHAnsi" w:cstheme="minorHAnsi"/>
        </w:rPr>
        <w:fldChar w:fldCharType="begin"/>
      </w:r>
      <w:r w:rsidRPr="00EB7F1E">
        <w:rPr>
          <w:rFonts w:asciiTheme="minorHAnsi" w:hAnsiTheme="minorHAnsi" w:cstheme="minorHAnsi"/>
        </w:rPr>
        <w:instrText xml:space="preserve"> TA \s "DPP v Frewstal Pty Ltd (2015) 47 VR 660" </w:instrText>
      </w:r>
      <w:r w:rsidRPr="00EB7F1E">
        <w:rPr>
          <w:rFonts w:asciiTheme="minorHAnsi" w:hAnsiTheme="minorHAnsi" w:cstheme="minorHAnsi"/>
        </w:rPr>
        <w:fldChar w:fldCharType="end"/>
      </w:r>
      <w:r w:rsidRPr="007809F4">
        <w:rPr>
          <w:rFonts w:asciiTheme="minorHAnsi" w:hAnsiTheme="minorHAnsi" w:cstheme="minorHAnsi"/>
        </w:rPr>
        <w:t>, [115].</w:t>
      </w:r>
    </w:p>
  </w:footnote>
  <w:footnote w:id="1118">
    <w:p w14:paraId="7C204D2A" w14:textId="5BB2D9F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Bibaoui</w:t>
      </w:r>
      <w:r w:rsidRPr="007809F4">
        <w:rPr>
          <w:rFonts w:asciiTheme="minorHAnsi" w:hAnsiTheme="minorHAnsi" w:cstheme="minorHAnsi"/>
        </w:rPr>
        <w:t xml:space="preserve"> [1997] 2 VR 600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Bibaoui</w:instrText>
      </w:r>
      <w:r w:rsidRPr="007809F4">
        <w:rPr>
          <w:rFonts w:asciiTheme="minorHAnsi" w:hAnsiTheme="minorHAnsi" w:cstheme="minorHAnsi"/>
        </w:rPr>
        <w:instrText xml:space="preserve"> [1997] 2 VR 600" \s "R v Bibaoui [1997] 2 VR 600"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Bibaoui [1997] 2 VR 600" </w:instrText>
      </w:r>
      <w:r w:rsidRPr="00EB7F1E">
        <w:rPr>
          <w:rFonts w:asciiTheme="minorHAnsi" w:hAnsiTheme="minorHAnsi" w:cstheme="minorHAnsi"/>
        </w:rPr>
        <w:fldChar w:fldCharType="end"/>
      </w:r>
      <w:r w:rsidRPr="007809F4">
        <w:rPr>
          <w:rFonts w:asciiTheme="minorHAnsi" w:hAnsiTheme="minorHAnsi" w:cstheme="minorHAnsi"/>
        </w:rPr>
        <w:t xml:space="preserve">, 603-4, 607; </w:t>
      </w:r>
      <w:r w:rsidRPr="007809F4">
        <w:rPr>
          <w:rFonts w:asciiTheme="minorHAnsi" w:hAnsiTheme="minorHAnsi" w:cstheme="minorHAnsi"/>
          <w:i/>
        </w:rPr>
        <w:t>R v Beaumont</w:t>
      </w:r>
      <w:r w:rsidRPr="007809F4">
        <w:rPr>
          <w:rFonts w:asciiTheme="minorHAnsi" w:hAnsiTheme="minorHAnsi" w:cstheme="minorHAnsi"/>
        </w:rPr>
        <w:t xml:space="preserve"> [2000] VSCA 214</w:t>
      </w:r>
      <w:r w:rsidRPr="00EB7F1E">
        <w:rPr>
          <w:rFonts w:asciiTheme="minorHAnsi" w:hAnsiTheme="minorHAnsi" w:cstheme="minorHAnsi"/>
        </w:rPr>
        <w:fldChar w:fldCharType="begin"/>
      </w:r>
      <w:r w:rsidRPr="007809F4">
        <w:rPr>
          <w:rFonts w:asciiTheme="minorHAnsi" w:hAnsiTheme="minorHAnsi" w:cstheme="minorHAnsi"/>
        </w:rPr>
        <w:instrText xml:space="preserve"> TA \s "R v Beaumont [2000] VSCA 214"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v Felton</w:t>
      </w:r>
      <w:r w:rsidRPr="007809F4">
        <w:rPr>
          <w:rFonts w:asciiTheme="minorHAnsi" w:hAnsiTheme="minorHAnsi" w:cstheme="minorHAnsi"/>
        </w:rPr>
        <w:t xml:space="preserve"> [2007] VSCA 65</w:t>
      </w:r>
      <w:r w:rsidRPr="00EB7F1E">
        <w:rPr>
          <w:rFonts w:asciiTheme="minorHAnsi" w:hAnsiTheme="minorHAnsi" w:cstheme="minorHAnsi"/>
        </w:rPr>
        <w:fldChar w:fldCharType="begin"/>
      </w:r>
      <w:r w:rsidRPr="007809F4">
        <w:rPr>
          <w:rFonts w:asciiTheme="minorHAnsi" w:hAnsiTheme="minorHAnsi" w:cstheme="minorHAnsi"/>
        </w:rPr>
        <w:instrText xml:space="preserve"> TA \s "DPP v Felton [2007] VSCA 65" </w:instrText>
      </w:r>
      <w:r w:rsidRPr="00EB7F1E">
        <w:rPr>
          <w:rFonts w:asciiTheme="minorHAnsi" w:hAnsiTheme="minorHAnsi" w:cstheme="minorHAnsi"/>
        </w:rPr>
        <w:fldChar w:fldCharType="end"/>
      </w:r>
      <w:r w:rsidRPr="007809F4">
        <w:rPr>
          <w:rFonts w:asciiTheme="minorHAnsi" w:hAnsiTheme="minorHAnsi" w:cstheme="minorHAnsi"/>
        </w:rPr>
        <w:t>, [48].</w:t>
      </w:r>
    </w:p>
  </w:footnote>
  <w:footnote w:id="1119">
    <w:p w14:paraId="4650E0FD" w14:textId="334FE0F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Irvine v Hanna-Rivero</w:t>
      </w:r>
      <w:r w:rsidRPr="007809F4">
        <w:rPr>
          <w:rFonts w:asciiTheme="minorHAnsi" w:hAnsiTheme="minorHAnsi" w:cstheme="minorHAnsi"/>
        </w:rPr>
        <w:t xml:space="preserve"> (1991) 23 IPR 295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Irvine v Hanna-Rivero</w:instrText>
      </w:r>
      <w:r w:rsidRPr="007809F4">
        <w:rPr>
          <w:rFonts w:asciiTheme="minorHAnsi" w:hAnsiTheme="minorHAnsi" w:cstheme="minorHAnsi"/>
        </w:rPr>
        <w:instrText xml:space="preserve"> (1991) 23 IPR 295" \s "Irvine v Hanna-Rivero (1991) 23 IPR 295" \c 1 </w:instrText>
      </w:r>
      <w:r w:rsidRPr="00EB7F1E">
        <w:rPr>
          <w:rFonts w:asciiTheme="minorHAnsi" w:hAnsiTheme="minorHAnsi" w:cstheme="minorHAnsi"/>
        </w:rPr>
        <w:fldChar w:fldCharType="end"/>
      </w:r>
      <w:r w:rsidRPr="007809F4">
        <w:rPr>
          <w:rFonts w:asciiTheme="minorHAnsi" w:hAnsiTheme="minorHAnsi" w:cstheme="minorHAnsi"/>
          <w:iCs/>
        </w:rPr>
        <w:t>.</w:t>
      </w:r>
    </w:p>
  </w:footnote>
  <w:footnote w:id="1120">
    <w:p w14:paraId="329DF7C8" w14:textId="4A3E8A2E"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DPP v Frewstal Pty Ltd </w:t>
      </w:r>
      <w:r w:rsidRPr="007809F4">
        <w:rPr>
          <w:rFonts w:asciiTheme="minorHAnsi" w:hAnsiTheme="minorHAnsi" w:cstheme="minorHAnsi"/>
        </w:rPr>
        <w:t>(2015) 47 VR 660</w:t>
      </w:r>
      <w:r w:rsidRPr="00EB7F1E">
        <w:rPr>
          <w:rFonts w:asciiTheme="minorHAnsi" w:hAnsiTheme="minorHAnsi" w:cstheme="minorHAnsi"/>
        </w:rPr>
        <w:fldChar w:fldCharType="begin"/>
      </w:r>
      <w:r w:rsidRPr="00EB7F1E">
        <w:rPr>
          <w:rFonts w:asciiTheme="minorHAnsi" w:hAnsiTheme="minorHAnsi" w:cstheme="minorHAnsi"/>
        </w:rPr>
        <w:instrText xml:space="preserve"> TA \s "DPP v Frewstal Pty Ltd (2015) 47 VR 660" </w:instrText>
      </w:r>
      <w:r w:rsidRPr="00EB7F1E">
        <w:rPr>
          <w:rFonts w:asciiTheme="minorHAnsi" w:hAnsiTheme="minorHAnsi" w:cstheme="minorHAnsi"/>
        </w:rPr>
        <w:fldChar w:fldCharType="end"/>
      </w:r>
      <w:r w:rsidRPr="007809F4">
        <w:rPr>
          <w:rFonts w:asciiTheme="minorHAnsi" w:hAnsiTheme="minorHAnsi" w:cstheme="minorHAnsi"/>
        </w:rPr>
        <w:t xml:space="preserve">, [35]; </w:t>
      </w:r>
      <w:r w:rsidRPr="007809F4">
        <w:rPr>
          <w:rFonts w:asciiTheme="minorHAnsi" w:hAnsiTheme="minorHAnsi" w:cstheme="minorHAnsi"/>
          <w:i/>
        </w:rPr>
        <w:t>DPP v Rivette</w:t>
      </w:r>
      <w:r w:rsidRPr="007809F4">
        <w:rPr>
          <w:rFonts w:asciiTheme="minorHAnsi" w:hAnsiTheme="minorHAnsi" w:cstheme="minorHAnsi"/>
        </w:rPr>
        <w:t xml:space="preserve"> [2017] VSCA 150</w:t>
      </w:r>
      <w:r w:rsidRPr="00EB7F1E">
        <w:rPr>
          <w:rFonts w:asciiTheme="minorHAnsi" w:hAnsiTheme="minorHAnsi" w:cstheme="minorHAnsi"/>
        </w:rPr>
        <w:fldChar w:fldCharType="begin"/>
      </w:r>
      <w:r w:rsidRPr="007809F4">
        <w:rPr>
          <w:rFonts w:asciiTheme="minorHAnsi" w:hAnsiTheme="minorHAnsi" w:cstheme="minorHAnsi"/>
        </w:rPr>
        <w:instrText xml:space="preserve"> TA \s "DPP v Rivette [2017] VSCA 150" </w:instrText>
      </w:r>
      <w:r w:rsidRPr="00EB7F1E">
        <w:rPr>
          <w:rFonts w:asciiTheme="minorHAnsi" w:hAnsiTheme="minorHAnsi" w:cstheme="minorHAnsi"/>
        </w:rPr>
        <w:fldChar w:fldCharType="end"/>
      </w:r>
      <w:r w:rsidRPr="007809F4">
        <w:rPr>
          <w:rFonts w:asciiTheme="minorHAnsi" w:hAnsiTheme="minorHAnsi" w:cstheme="minorHAnsi"/>
        </w:rPr>
        <w:t>, [91]-[93].</w:t>
      </w:r>
    </w:p>
  </w:footnote>
  <w:footnote w:id="1121">
    <w:p w14:paraId="7F5E956D" w14:textId="5C47E50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Criminal Code</w:t>
      </w:r>
      <w:r w:rsidRPr="007809F4">
        <w:rPr>
          <w:rFonts w:asciiTheme="minorHAnsi" w:hAnsiTheme="minorHAnsi" w:cstheme="minorHAnsi"/>
        </w:rPr>
        <w:t xml:space="preserve"> (Cth), s 106.8(8), inserted by the </w:t>
      </w:r>
      <w:r w:rsidRPr="007809F4">
        <w:rPr>
          <w:rFonts w:asciiTheme="minorHAnsi" w:hAnsiTheme="minorHAnsi" w:cstheme="minorHAnsi"/>
          <w:i/>
        </w:rPr>
        <w:t>Criminal Code Amendment (High Risk Terrorist Offenders) Act 2016</w:t>
      </w:r>
      <w:r w:rsidRPr="007809F4">
        <w:rPr>
          <w:rFonts w:asciiTheme="minorHAnsi" w:hAnsiTheme="minorHAnsi" w:cstheme="minorHAnsi"/>
        </w:rPr>
        <w:t xml:space="preserve"> (Cth), and which came into operation on 7 June 2017.  See </w:t>
      </w:r>
      <w:r w:rsidRPr="007809F4">
        <w:rPr>
          <w:rFonts w:asciiTheme="minorHAnsi" w:hAnsiTheme="minorHAnsi" w:cstheme="minorHAnsi"/>
          <w:i/>
        </w:rPr>
        <w:t xml:space="preserve">DPP (Cth) v Besim; DPP (Cth) v MHK (No 3) </w:t>
      </w:r>
      <w:r w:rsidRPr="007809F4">
        <w:rPr>
          <w:rFonts w:asciiTheme="minorHAnsi" w:hAnsiTheme="minorHAnsi" w:cstheme="minorHAnsi"/>
        </w:rPr>
        <w:t>(2017) 52 VR 303</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Besim; DPP (Cth) v MHK (No 3) (2017) 52 VR 303" </w:instrText>
      </w:r>
      <w:r w:rsidRPr="00EB7F1E">
        <w:rPr>
          <w:rFonts w:asciiTheme="minorHAnsi" w:hAnsiTheme="minorHAnsi" w:cstheme="minorHAnsi"/>
        </w:rPr>
        <w:fldChar w:fldCharType="end"/>
      </w:r>
      <w:r w:rsidRPr="007809F4">
        <w:rPr>
          <w:rFonts w:asciiTheme="minorHAnsi" w:hAnsiTheme="minorHAnsi" w:cstheme="minorHAnsi"/>
        </w:rPr>
        <w:t xml:space="preserve">.  In that case, the Court of Appeal, in resentencing the respondents, gave the warning orally on their attendance by video link; however it is arguable that a warning may be given by including it in the orders of the Court: compare </w:t>
      </w:r>
      <w:r w:rsidRPr="007809F4">
        <w:rPr>
          <w:rFonts w:asciiTheme="minorHAnsi" w:hAnsiTheme="minorHAnsi" w:cstheme="minorHAnsi"/>
          <w:i/>
        </w:rPr>
        <w:t>ZZ v R</w:t>
      </w:r>
      <w:r w:rsidRPr="007809F4">
        <w:rPr>
          <w:rFonts w:asciiTheme="minorHAnsi" w:hAnsiTheme="minorHAnsi" w:cstheme="minorHAnsi"/>
        </w:rPr>
        <w:t xml:space="preserve"> [2013] NSWCCA 83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ZZ v R</w:instrText>
      </w:r>
      <w:r w:rsidRPr="007809F4">
        <w:rPr>
          <w:rFonts w:asciiTheme="minorHAnsi" w:hAnsiTheme="minorHAnsi" w:cstheme="minorHAnsi"/>
        </w:rPr>
        <w:instrText xml:space="preserve"> [2013] NSWCCA 83</w:instrText>
      </w:r>
      <w:r w:rsidRPr="00EB7F1E">
        <w:rPr>
          <w:rFonts w:asciiTheme="minorHAnsi" w:hAnsiTheme="minorHAnsi" w:cstheme="minorHAnsi"/>
        </w:rPr>
        <w:instrText xml:space="preserve">" \s "ZZ v R [2013] NSWCCA 83" \c 1 </w:instrText>
      </w:r>
      <w:r w:rsidRPr="00EB7F1E">
        <w:rPr>
          <w:rFonts w:asciiTheme="minorHAnsi" w:hAnsiTheme="minorHAnsi" w:cstheme="minorHAnsi"/>
        </w:rPr>
        <w:fldChar w:fldCharType="end"/>
      </w:r>
      <w:r w:rsidRPr="007809F4">
        <w:rPr>
          <w:rFonts w:asciiTheme="minorHAnsi" w:hAnsiTheme="minorHAnsi" w:cstheme="minorHAnsi"/>
        </w:rPr>
        <w:t xml:space="preserve">, [149].  </w:t>
      </w:r>
    </w:p>
  </w:footnote>
  <w:footnote w:id="1122">
    <w:p w14:paraId="185233EC" w14:textId="696B94C3" w:rsidR="00D44BCF" w:rsidRPr="007809F4" w:rsidRDefault="00D44BCF">
      <w:pPr>
        <w:pStyle w:val="FootnoteText"/>
        <w:tabs>
          <w:tab w:val="left" w:pos="567"/>
        </w:tabs>
        <w:ind w:left="426" w:hanging="426"/>
        <w:jc w:val="both"/>
        <w:rPr>
          <w:rFonts w:asciiTheme="minorHAnsi" w:hAnsiTheme="minorHAnsi" w:cstheme="minorHAnsi"/>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EB7F1E">
        <w:rPr>
          <w:rFonts w:asciiTheme="minorHAnsi" w:hAnsiTheme="minorHAnsi" w:cstheme="minorHAnsi"/>
          <w:i/>
        </w:rPr>
        <w:tab/>
      </w:r>
      <w:r w:rsidRPr="00EB7F1E">
        <w:rPr>
          <w:rFonts w:asciiTheme="minorHAnsi" w:hAnsiTheme="minorHAnsi" w:cstheme="minorHAnsi"/>
          <w:iCs/>
        </w:rPr>
        <w:t xml:space="preserve">See </w:t>
      </w:r>
      <w:r w:rsidRPr="00EB7F1E">
        <w:rPr>
          <w:rFonts w:asciiTheme="minorHAnsi" w:hAnsiTheme="minorHAnsi" w:cstheme="minorHAnsi"/>
          <w:i/>
        </w:rPr>
        <w:t xml:space="preserve">DPP v Edwards </w:t>
      </w:r>
      <w:r w:rsidRPr="00EB7F1E">
        <w:rPr>
          <w:rFonts w:asciiTheme="minorHAnsi" w:hAnsiTheme="minorHAnsi" w:cstheme="minorHAnsi"/>
          <w:iCs/>
        </w:rPr>
        <w:t>(2012) 44 VR 114</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 xml:space="preserve">DPP v Edwards </w:instrText>
      </w:r>
      <w:r w:rsidRPr="00EB7F1E">
        <w:rPr>
          <w:rFonts w:asciiTheme="minorHAnsi" w:hAnsiTheme="minorHAnsi" w:cstheme="minorHAnsi"/>
          <w:iCs/>
        </w:rPr>
        <w:instrText>(2012) 44 VR 114</w:instrText>
      </w:r>
      <w:r w:rsidRPr="00EB7F1E">
        <w:rPr>
          <w:rFonts w:asciiTheme="minorHAnsi" w:hAnsiTheme="minorHAnsi" w:cstheme="minorHAnsi"/>
        </w:rPr>
        <w:instrText xml:space="preserve">" \s "DPP v Edwards (2012) 44 VR 114" \c 1 </w:instrText>
      </w:r>
      <w:r w:rsidRPr="00EB7F1E">
        <w:rPr>
          <w:rFonts w:asciiTheme="minorHAnsi" w:hAnsiTheme="minorHAnsi" w:cstheme="minorHAnsi"/>
          <w:iCs/>
        </w:rPr>
        <w:fldChar w:fldCharType="end"/>
      </w:r>
      <w:r w:rsidRPr="007809F4">
        <w:rPr>
          <w:rFonts w:asciiTheme="minorHAnsi" w:hAnsiTheme="minorHAnsi" w:cstheme="minorHAnsi"/>
          <w:iCs/>
        </w:rPr>
        <w:t xml:space="preserve"> and the authorities cited there.</w:t>
      </w:r>
    </w:p>
  </w:footnote>
  <w:footnote w:id="1123">
    <w:p w14:paraId="21F937D1" w14:textId="2789423A" w:rsidR="00D44BCF" w:rsidRPr="007809F4" w:rsidRDefault="00D44BCF">
      <w:pPr>
        <w:pStyle w:val="FootnoteText"/>
        <w:tabs>
          <w:tab w:val="left" w:pos="567"/>
        </w:tabs>
        <w:ind w:left="426" w:hanging="426"/>
        <w:jc w:val="both"/>
        <w:rPr>
          <w:rFonts w:asciiTheme="minorHAnsi" w:hAnsiTheme="minorHAnsi" w:cstheme="minorHAnsi"/>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i/>
        </w:rPr>
        <w:tab/>
        <w:t>R v De Zylva</w:t>
      </w:r>
      <w:r w:rsidRPr="007809F4">
        <w:rPr>
          <w:rFonts w:asciiTheme="minorHAnsi" w:hAnsiTheme="minorHAnsi" w:cstheme="minorHAnsi"/>
          <w:iCs/>
        </w:rPr>
        <w:t xml:space="preserve"> (1988) 33 A Crim R 44</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De Zylva</w:instrText>
      </w:r>
      <w:r w:rsidRPr="007809F4">
        <w:rPr>
          <w:rFonts w:asciiTheme="minorHAnsi" w:hAnsiTheme="minorHAnsi" w:cstheme="minorHAnsi"/>
          <w:iCs/>
        </w:rPr>
        <w:instrText xml:space="preserve"> (1988) 33 A Crim R 44</w:instrText>
      </w:r>
      <w:r w:rsidRPr="00EB7F1E">
        <w:rPr>
          <w:rFonts w:asciiTheme="minorHAnsi" w:hAnsiTheme="minorHAnsi" w:cstheme="minorHAnsi"/>
        </w:rPr>
        <w:instrText xml:space="preserve">" \s "R v De Zylva (1988) 33 A Crim R 44" \c 1 </w:instrText>
      </w:r>
      <w:r w:rsidRPr="00EB7F1E">
        <w:rPr>
          <w:rFonts w:asciiTheme="minorHAnsi" w:hAnsiTheme="minorHAnsi" w:cstheme="minorHAnsi"/>
          <w:iCs/>
        </w:rPr>
        <w:fldChar w:fldCharType="end"/>
      </w:r>
      <w:r w:rsidRPr="007809F4">
        <w:rPr>
          <w:rFonts w:asciiTheme="minorHAnsi" w:hAnsiTheme="minorHAnsi" w:cstheme="minorHAnsi"/>
          <w:iCs/>
        </w:rPr>
        <w:t xml:space="preserve">; </w:t>
      </w:r>
      <w:r w:rsidRPr="007809F4">
        <w:rPr>
          <w:rFonts w:asciiTheme="minorHAnsi" w:hAnsiTheme="minorHAnsi" w:cstheme="minorHAnsi"/>
          <w:i/>
        </w:rPr>
        <w:t>R v Saxon</w:t>
      </w:r>
      <w:r w:rsidRPr="007809F4">
        <w:rPr>
          <w:rFonts w:asciiTheme="minorHAnsi" w:hAnsiTheme="minorHAnsi" w:cstheme="minorHAnsi"/>
          <w:iCs/>
        </w:rPr>
        <w:t xml:space="preserve"> [1998] 1 VR 503</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Saxon</w:instrText>
      </w:r>
      <w:r w:rsidRPr="007809F4">
        <w:rPr>
          <w:rFonts w:asciiTheme="minorHAnsi" w:hAnsiTheme="minorHAnsi" w:cstheme="minorHAnsi"/>
          <w:iCs/>
        </w:rPr>
        <w:instrText xml:space="preserve"> [1998] 1 VR 503</w:instrText>
      </w:r>
      <w:r w:rsidRPr="00EB7F1E">
        <w:rPr>
          <w:rFonts w:asciiTheme="minorHAnsi" w:hAnsiTheme="minorHAnsi" w:cstheme="minorHAnsi"/>
        </w:rPr>
        <w:instrText xml:space="preserve">" \s "R v Saxon [1998] 1 VR 503" \c 1 </w:instrText>
      </w:r>
      <w:r w:rsidRPr="00EB7F1E">
        <w:rPr>
          <w:rFonts w:asciiTheme="minorHAnsi" w:hAnsiTheme="minorHAnsi" w:cstheme="minorHAnsi"/>
          <w:iCs/>
        </w:rPr>
        <w:fldChar w:fldCharType="end"/>
      </w:r>
      <w:r w:rsidRPr="007809F4">
        <w:rPr>
          <w:rFonts w:asciiTheme="minorHAnsi" w:hAnsiTheme="minorHAnsi" w:cstheme="minorHAnsi"/>
          <w:iCs/>
        </w:rPr>
        <w:t>.</w:t>
      </w:r>
    </w:p>
  </w:footnote>
  <w:footnote w:id="1124">
    <w:p w14:paraId="61639E25" w14:textId="06E664D0" w:rsidR="00D44BCF" w:rsidRPr="007809F4" w:rsidRDefault="00D44BCF">
      <w:pPr>
        <w:pStyle w:val="FootnoteText"/>
        <w:tabs>
          <w:tab w:val="left" w:pos="567"/>
        </w:tabs>
        <w:ind w:left="426" w:hanging="426"/>
        <w:jc w:val="both"/>
        <w:rPr>
          <w:rFonts w:asciiTheme="minorHAnsi" w:hAnsiTheme="minorHAnsi" w:cstheme="minorHAnsi"/>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 xml:space="preserve">DPP v Edwards </w:t>
      </w:r>
      <w:r w:rsidRPr="007809F4">
        <w:rPr>
          <w:rFonts w:asciiTheme="minorHAnsi" w:hAnsiTheme="minorHAnsi" w:cstheme="minorHAnsi"/>
          <w:iCs/>
        </w:rPr>
        <w:t>(2012) 44 VR 114</w:t>
      </w:r>
      <w:r w:rsidRPr="00EB7F1E">
        <w:rPr>
          <w:rFonts w:asciiTheme="minorHAnsi" w:hAnsiTheme="minorHAnsi" w:cstheme="minorHAnsi"/>
          <w:iCs/>
        </w:rPr>
        <w:fldChar w:fldCharType="begin"/>
      </w:r>
      <w:r w:rsidRPr="007809F4">
        <w:rPr>
          <w:rFonts w:asciiTheme="minorHAnsi" w:hAnsiTheme="minorHAnsi" w:cstheme="minorHAnsi"/>
          <w:iCs/>
        </w:rPr>
        <w:instrText xml:space="preserve"> TA \s "DPP v Edwards (2012) 44 VR 114" </w:instrText>
      </w:r>
      <w:r w:rsidRPr="00EB7F1E">
        <w:rPr>
          <w:rFonts w:asciiTheme="minorHAnsi" w:hAnsiTheme="minorHAnsi" w:cstheme="minorHAnsi"/>
          <w:iCs/>
        </w:rPr>
        <w:fldChar w:fldCharType="end"/>
      </w:r>
      <w:r w:rsidRPr="007809F4">
        <w:rPr>
          <w:rFonts w:asciiTheme="minorHAnsi" w:hAnsiTheme="minorHAnsi" w:cstheme="minorHAnsi"/>
          <w:iCs/>
        </w:rPr>
        <w:t>.</w:t>
      </w:r>
    </w:p>
  </w:footnote>
  <w:footnote w:id="1125">
    <w:p w14:paraId="600609DC" w14:textId="1A692FD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Cf. </w:t>
      </w:r>
      <w:r w:rsidRPr="00EB7F1E">
        <w:rPr>
          <w:rFonts w:asciiTheme="minorHAnsi" w:hAnsiTheme="minorHAnsi" w:cstheme="minorHAnsi"/>
          <w:i/>
          <w:iCs/>
        </w:rPr>
        <w:t>DPP v Green</w:t>
      </w:r>
      <w:r w:rsidRPr="007809F4">
        <w:rPr>
          <w:rFonts w:asciiTheme="minorHAnsi" w:hAnsiTheme="minorHAnsi" w:cstheme="minorHAnsi"/>
        </w:rPr>
        <w:t xml:space="preserve"> </w:t>
      </w:r>
      <w:r w:rsidRPr="00EB7F1E">
        <w:rPr>
          <w:rFonts w:asciiTheme="minorHAnsi" w:hAnsiTheme="minorHAnsi" w:cstheme="minorHAnsi"/>
        </w:rPr>
        <w:t>(2007) 17 VR 293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DPP v Green</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(2007) 17 VR 293" \s "DPP v Green (2007) 17 VR 293" \c 1 </w:instrText>
      </w:r>
      <w:r w:rsidRPr="00EB7F1E">
        <w:rPr>
          <w:rFonts w:asciiTheme="minorHAnsi" w:hAnsiTheme="minorHAnsi" w:cstheme="minorHAnsi"/>
        </w:rPr>
        <w:fldChar w:fldCharType="end"/>
      </w:r>
      <w:r w:rsidRPr="00EB7F1E">
        <w:rPr>
          <w:rFonts w:asciiTheme="minorHAnsi" w:hAnsiTheme="minorHAnsi" w:cstheme="minorHAnsi"/>
        </w:rPr>
        <w:t xml:space="preserve">, </w:t>
      </w:r>
      <w:r w:rsidRPr="007809F4">
        <w:rPr>
          <w:rFonts w:asciiTheme="minorHAnsi" w:hAnsiTheme="minorHAnsi" w:cstheme="minorHAnsi"/>
        </w:rPr>
        <w:t xml:space="preserve">[12], referring to </w:t>
      </w:r>
      <w:r w:rsidRPr="00EB7F1E">
        <w:rPr>
          <w:rFonts w:asciiTheme="minorHAnsi" w:hAnsiTheme="minorHAnsi" w:cstheme="minorHAnsi"/>
        </w:rPr>
        <w:t xml:space="preserve">a similar power in s 104A of the </w:t>
      </w:r>
      <w:r w:rsidRPr="00EB7F1E">
        <w:rPr>
          <w:rFonts w:asciiTheme="minorHAnsi" w:hAnsiTheme="minorHAnsi" w:cstheme="minorHAnsi"/>
          <w:i/>
          <w:iCs/>
        </w:rPr>
        <w:t>Sentencing Act 1991</w:t>
      </w:r>
      <w:r w:rsidRPr="00EB7F1E">
        <w:rPr>
          <w:rFonts w:asciiTheme="minorHAnsi" w:hAnsiTheme="minorHAnsi" w:cstheme="minorHAnsi"/>
        </w:rPr>
        <w:t xml:space="preserve"> (Vic).</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26">
    <w:p w14:paraId="05EE3497" w14:textId="332563C6" w:rsidR="00D44BCF" w:rsidRPr="007809F4" w:rsidRDefault="00D44BCF">
      <w:pPr>
        <w:pStyle w:val="FootnoteText"/>
        <w:tabs>
          <w:tab w:val="left" w:pos="567"/>
        </w:tabs>
        <w:ind w:left="426" w:hanging="426"/>
        <w:jc w:val="both"/>
        <w:rPr>
          <w:rFonts w:asciiTheme="minorHAnsi" w:hAnsiTheme="minorHAnsi" w:cstheme="minorHAnsi"/>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Cf. </w:t>
      </w:r>
      <w:r w:rsidRPr="007809F4">
        <w:rPr>
          <w:rFonts w:asciiTheme="minorHAnsi" w:hAnsiTheme="minorHAnsi" w:cstheme="minorHAnsi"/>
          <w:i/>
        </w:rPr>
        <w:t xml:space="preserve">DPP v Edwards </w:t>
      </w:r>
      <w:r w:rsidRPr="007809F4">
        <w:rPr>
          <w:rFonts w:asciiTheme="minorHAnsi" w:hAnsiTheme="minorHAnsi" w:cstheme="minorHAnsi"/>
          <w:iCs/>
        </w:rPr>
        <w:t>(2012) 44 VR 114</w:t>
      </w:r>
      <w:r w:rsidRPr="00EB7F1E">
        <w:rPr>
          <w:rFonts w:asciiTheme="minorHAnsi" w:hAnsiTheme="minorHAnsi" w:cstheme="minorHAnsi"/>
          <w:iCs/>
        </w:rPr>
        <w:fldChar w:fldCharType="begin"/>
      </w:r>
      <w:r w:rsidRPr="007809F4">
        <w:rPr>
          <w:rFonts w:asciiTheme="minorHAnsi" w:hAnsiTheme="minorHAnsi" w:cstheme="minorHAnsi"/>
          <w:iCs/>
        </w:rPr>
        <w:instrText xml:space="preserve"> TA \s "DPP v Edwards (2012) 44 VR 114" </w:instrText>
      </w:r>
      <w:r w:rsidRPr="00EB7F1E">
        <w:rPr>
          <w:rFonts w:asciiTheme="minorHAnsi" w:hAnsiTheme="minorHAnsi" w:cstheme="minorHAnsi"/>
          <w:iCs/>
        </w:rPr>
        <w:fldChar w:fldCharType="end"/>
      </w:r>
      <w:r w:rsidRPr="007809F4">
        <w:rPr>
          <w:rFonts w:asciiTheme="minorHAnsi" w:hAnsiTheme="minorHAnsi" w:cstheme="minorHAnsi"/>
          <w:iCs/>
        </w:rPr>
        <w:t>.</w:t>
      </w:r>
    </w:p>
  </w:footnote>
  <w:footnote w:id="1127">
    <w:p w14:paraId="46D784C9" w14:textId="5B0BD63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The Explanatory Memorandum for the Bill which inserted s 19AHA said that the new section </w:t>
      </w:r>
      <w:r w:rsidRPr="00EB7F1E">
        <w:rPr>
          <w:rFonts w:asciiTheme="minorHAnsi" w:hAnsiTheme="minorHAnsi" w:cstheme="minorHAnsi"/>
        </w:rPr>
        <w:t>“</w:t>
      </w:r>
      <w:r w:rsidRPr="00EB7F1E">
        <w:rPr>
          <w:rFonts w:asciiTheme="minorHAnsi" w:hAnsiTheme="minorHAnsi" w:cstheme="minorHAnsi"/>
          <w:i/>
          <w:iCs/>
        </w:rPr>
        <w:t>clarifies the powers of courts to correct Commonwealth sentencing orders in situations where, for example, an arithmetical mistake has been made in calculating a sentence commencement date or expiry date or a sentencing order has been made using the incorrect form</w:t>
      </w:r>
      <w:r w:rsidRPr="007809F4">
        <w:rPr>
          <w:rFonts w:asciiTheme="minorHAnsi" w:hAnsiTheme="minorHAnsi" w:cstheme="minorHAnsi"/>
        </w:rPr>
        <w:t xml:space="preserve">”: </w:t>
      </w:r>
      <w:r w:rsidRPr="00EB7F1E">
        <w:rPr>
          <w:rFonts w:asciiTheme="minorHAnsi" w:hAnsiTheme="minorHAnsi" w:cstheme="minorHAnsi"/>
          <w:i/>
          <w:iCs/>
        </w:rPr>
        <w:t>Crimes Legislation Amendment (Powers, Offences And Other Measures) Bill 2015</w:t>
      </w:r>
      <w:r w:rsidRPr="007809F4">
        <w:rPr>
          <w:rFonts w:asciiTheme="minorHAnsi" w:hAnsiTheme="minorHAnsi" w:cstheme="minorHAnsi"/>
        </w:rPr>
        <w:t xml:space="preserve"> (Cth), Replacement Explanatory Memorandum (House of Representatives), [445].</w:t>
      </w:r>
      <w:r w:rsidRPr="00EB7F1E">
        <w:rPr>
          <w:rFonts w:asciiTheme="minorHAnsi" w:hAnsiTheme="minorHAnsi" w:cstheme="minorHAnsi"/>
          <w:color w:val="000000"/>
          <w:sz w:val="23"/>
          <w:szCs w:val="23"/>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28">
    <w:p w14:paraId="6598EB83" w14:textId="7DA0D02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Such an error may be corrected under the </w:t>
      </w:r>
      <w:r w:rsidRPr="007809F4">
        <w:rPr>
          <w:rFonts w:asciiTheme="minorHAnsi" w:hAnsiTheme="minorHAnsi" w:cstheme="minorHAnsi"/>
          <w:i/>
          <w:iCs/>
        </w:rPr>
        <w:t>Sentencing Act 1991</w:t>
      </w:r>
      <w:r w:rsidRPr="007809F4">
        <w:rPr>
          <w:rFonts w:asciiTheme="minorHAnsi" w:hAnsiTheme="minorHAnsi" w:cstheme="minorHAnsi"/>
        </w:rPr>
        <w:t xml:space="preserve"> (Vic), s 104A: </w:t>
      </w:r>
      <w:r w:rsidRPr="007809F4">
        <w:rPr>
          <w:rFonts w:asciiTheme="minorHAnsi" w:hAnsiTheme="minorHAnsi" w:cstheme="minorHAnsi"/>
          <w:i/>
          <w:iCs/>
        </w:rPr>
        <w:t>DPP v Green</w:t>
      </w:r>
      <w:r w:rsidRPr="007809F4">
        <w:rPr>
          <w:rFonts w:asciiTheme="minorHAnsi" w:hAnsiTheme="minorHAnsi" w:cstheme="minorHAnsi"/>
        </w:rPr>
        <w:t xml:space="preserve"> (2007) 17 VR 293</w:t>
      </w:r>
      <w:r w:rsidRPr="00EB7F1E">
        <w:rPr>
          <w:rFonts w:asciiTheme="minorHAnsi" w:hAnsiTheme="minorHAnsi" w:cstheme="minorHAnsi"/>
        </w:rPr>
        <w:fldChar w:fldCharType="begin"/>
      </w:r>
      <w:r w:rsidRPr="007809F4">
        <w:rPr>
          <w:rFonts w:asciiTheme="minorHAnsi" w:hAnsiTheme="minorHAnsi" w:cstheme="minorHAnsi"/>
        </w:rPr>
        <w:instrText xml:space="preserve"> TA \s "DPP v Green (2007) 17 VR 293" </w:instrText>
      </w:r>
      <w:r w:rsidRPr="00EB7F1E">
        <w:rPr>
          <w:rFonts w:asciiTheme="minorHAnsi" w:hAnsiTheme="minorHAnsi" w:cstheme="minorHAnsi"/>
        </w:rPr>
        <w:fldChar w:fldCharType="end"/>
      </w:r>
      <w:r w:rsidRPr="007809F4">
        <w:rPr>
          <w:rFonts w:asciiTheme="minorHAnsi" w:hAnsiTheme="minorHAnsi" w:cstheme="minorHAnsi"/>
        </w:rPr>
        <w:t>.  But it should be noted that that provision, unlike s 19AHA, specifically permits correction of “</w:t>
      </w:r>
      <w:r w:rsidRPr="00EB7F1E">
        <w:rPr>
          <w:rFonts w:asciiTheme="minorHAnsi" w:hAnsiTheme="minorHAnsi" w:cstheme="minorHAnsi"/>
          <w:i/>
          <w:iCs/>
        </w:rPr>
        <w:t>a material miscalculation of figures</w:t>
      </w:r>
      <w:r w:rsidRPr="00EB7F1E">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29">
    <w:p w14:paraId="22E8775E" w14:textId="67EA5B7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R v Suarez-Mejia</w:t>
      </w:r>
      <w:r w:rsidRPr="007809F4">
        <w:rPr>
          <w:rFonts w:asciiTheme="minorHAnsi" w:hAnsiTheme="minorHAnsi" w:cstheme="minorHAnsi"/>
        </w:rPr>
        <w:t xml:space="preserve"> [2002] WASCA 187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R v Suarez-Mejia</w:instrText>
      </w:r>
      <w:r w:rsidRPr="007809F4">
        <w:rPr>
          <w:rFonts w:asciiTheme="minorHAnsi" w:hAnsiTheme="minorHAnsi" w:cstheme="minorHAnsi"/>
        </w:rPr>
        <w:instrText xml:space="preserve"> [2002] WASCA 187</w:instrText>
      </w:r>
      <w:r w:rsidRPr="00EB7F1E">
        <w:rPr>
          <w:rFonts w:asciiTheme="minorHAnsi" w:hAnsiTheme="minorHAnsi" w:cstheme="minorHAnsi"/>
        </w:rPr>
        <w:instrText xml:space="preserve">" \s "R v Suarez-Mejia [2002] WASCA 187" \c 1 </w:instrText>
      </w:r>
      <w:r w:rsidRPr="00EB7F1E">
        <w:rPr>
          <w:rFonts w:asciiTheme="minorHAnsi" w:hAnsiTheme="minorHAnsi" w:cstheme="minorHAnsi"/>
        </w:rPr>
        <w:fldChar w:fldCharType="end"/>
      </w:r>
      <w:r w:rsidRPr="007809F4">
        <w:rPr>
          <w:rFonts w:asciiTheme="minorHAnsi" w:hAnsiTheme="minorHAnsi" w:cstheme="minorHAnsi"/>
        </w:rPr>
        <w:t>, [74].</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0">
    <w:p w14:paraId="4B3808D2" w14:textId="37E9F09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Weinert v DPP (Cth)</w:t>
      </w:r>
      <w:r w:rsidRPr="007809F4">
        <w:rPr>
          <w:rFonts w:asciiTheme="minorHAnsi" w:hAnsiTheme="minorHAnsi" w:cstheme="minorHAnsi"/>
        </w:rPr>
        <w:t xml:space="preserve"> [1999] SASC 34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Weinert v DPP (Cth)</w:instrText>
      </w:r>
      <w:r w:rsidRPr="007809F4">
        <w:rPr>
          <w:rFonts w:asciiTheme="minorHAnsi" w:hAnsiTheme="minorHAnsi" w:cstheme="minorHAnsi"/>
        </w:rPr>
        <w:instrText xml:space="preserve"> [1999] SASC 34</w:instrText>
      </w:r>
      <w:r w:rsidRPr="00EB7F1E">
        <w:rPr>
          <w:rFonts w:asciiTheme="minorHAnsi" w:hAnsiTheme="minorHAnsi" w:cstheme="minorHAnsi"/>
        </w:rPr>
        <w:instrText xml:space="preserve">" \s "Weinert v DPP (Cth) [1999] SASC 34"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(Cth) v Cole</w:t>
      </w:r>
      <w:r w:rsidRPr="007809F4">
        <w:rPr>
          <w:rFonts w:asciiTheme="minorHAnsi" w:hAnsiTheme="minorHAnsi" w:cstheme="minorHAnsi"/>
        </w:rPr>
        <w:t xml:space="preserve"> (2005) 91 SASR 480</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Cole (2005) 91 SASR 480" </w:instrText>
      </w:r>
      <w:r w:rsidRPr="00EB7F1E">
        <w:rPr>
          <w:rFonts w:asciiTheme="minorHAnsi" w:hAnsiTheme="minorHAnsi" w:cstheme="minorHAnsi"/>
        </w:rPr>
        <w:fldChar w:fldCharType="end"/>
      </w:r>
      <w:r w:rsidRPr="007809F4">
        <w:rPr>
          <w:rFonts w:asciiTheme="minorHAnsi" w:hAnsiTheme="minorHAnsi" w:cstheme="minorHAnsi"/>
        </w:rPr>
        <w:t>, [44]-[53].</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1">
    <w:p w14:paraId="78C3CF6A" w14:textId="2C5F1DF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Cole</w:t>
      </w:r>
      <w:r w:rsidRPr="007809F4">
        <w:rPr>
          <w:rFonts w:asciiTheme="minorHAnsi" w:hAnsiTheme="minorHAnsi" w:cstheme="minorHAnsi"/>
        </w:rPr>
        <w:t xml:space="preserve"> (2005) 91 SASR 480</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Cole (2005) 91 SASR 480" </w:instrText>
      </w:r>
      <w:r w:rsidRPr="00EB7F1E">
        <w:rPr>
          <w:rFonts w:asciiTheme="minorHAnsi" w:hAnsiTheme="minorHAnsi" w:cstheme="minorHAnsi"/>
        </w:rPr>
        <w:fldChar w:fldCharType="end"/>
      </w:r>
      <w:r w:rsidRPr="007809F4">
        <w:rPr>
          <w:rFonts w:asciiTheme="minorHAnsi" w:hAnsiTheme="minorHAnsi" w:cstheme="minorHAnsi"/>
        </w:rPr>
        <w:t>, [44]-[53].</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2">
    <w:p w14:paraId="3FB7388E"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Smith v Elliot</w:t>
      </w:r>
      <w:r w:rsidRPr="007809F4">
        <w:rPr>
          <w:rFonts w:asciiTheme="minorHAnsi" w:hAnsiTheme="minorHAnsi" w:cstheme="minorHAnsi"/>
        </w:rPr>
        <w:t xml:space="preserve"> [2007] ACTSC 65</w:t>
      </w:r>
      <w:r w:rsidRPr="00EB7F1E">
        <w:rPr>
          <w:rFonts w:asciiTheme="minorHAnsi" w:hAnsiTheme="minorHAnsi" w:cstheme="minorHAnsi"/>
        </w:rPr>
        <w:fldChar w:fldCharType="begin"/>
      </w:r>
      <w:r w:rsidRPr="007809F4">
        <w:rPr>
          <w:rFonts w:asciiTheme="minorHAnsi" w:hAnsiTheme="minorHAnsi" w:cstheme="minorHAnsi"/>
        </w:rPr>
        <w:instrText xml:space="preserve"> TA \s "Smith v Elliot [2007] ACTSC 65"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3">
    <w:p w14:paraId="73017860" w14:textId="50DF82B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Minehan v R</w:t>
      </w:r>
      <w:r w:rsidRPr="007809F4">
        <w:rPr>
          <w:rFonts w:asciiTheme="minorHAnsi" w:hAnsiTheme="minorHAnsi" w:cstheme="minorHAnsi"/>
        </w:rPr>
        <w:t xml:space="preserve"> [2010] NSWCCA 140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iCs/>
        </w:rPr>
        <w:instrText>Minehan v R</w:instrText>
      </w:r>
      <w:r w:rsidRPr="007809F4">
        <w:rPr>
          <w:rFonts w:asciiTheme="minorHAnsi" w:hAnsiTheme="minorHAnsi" w:cstheme="minorHAnsi"/>
        </w:rPr>
        <w:instrText xml:space="preserve"> [2010] NSWCCA 140</w:instrText>
      </w:r>
      <w:r w:rsidRPr="00EB7F1E">
        <w:rPr>
          <w:rFonts w:asciiTheme="minorHAnsi" w:hAnsiTheme="minorHAnsi" w:cstheme="minorHAnsi"/>
        </w:rPr>
        <w:instrText xml:space="preserve">" \s "Minehan v R [2010] NSWCCA 140" \c 1 </w:instrText>
      </w:r>
      <w:r w:rsidRPr="00EB7F1E">
        <w:rPr>
          <w:rFonts w:asciiTheme="minorHAnsi" w:hAnsiTheme="minorHAnsi" w:cstheme="minorHAnsi"/>
        </w:rPr>
        <w:fldChar w:fldCharType="end"/>
      </w:r>
      <w:r w:rsidRPr="007809F4">
        <w:rPr>
          <w:rFonts w:asciiTheme="minorHAnsi" w:hAnsiTheme="minorHAnsi" w:cstheme="minorHAnsi"/>
        </w:rPr>
        <w:t>, [12].</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4">
    <w:p w14:paraId="59A29235" w14:textId="1C39735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rPr>
        <w:t>E.g.</w:t>
      </w:r>
      <w:r w:rsidRPr="007809F4">
        <w:rPr>
          <w:rFonts w:asciiTheme="minorHAnsi" w:hAnsiTheme="minorHAnsi" w:cstheme="minorHAnsi"/>
          <w:i/>
          <w:iCs/>
        </w:rPr>
        <w:t xml:space="preserve"> </w:t>
      </w:r>
      <w:r w:rsidRPr="00EB7F1E">
        <w:rPr>
          <w:rFonts w:asciiTheme="minorHAnsi" w:hAnsiTheme="minorHAnsi" w:cstheme="minorHAnsi"/>
          <w:i/>
          <w:iCs/>
        </w:rPr>
        <w:t>Crimes (Sentencing Procedure) Act 1999</w:t>
      </w:r>
      <w:r w:rsidRPr="007809F4">
        <w:rPr>
          <w:rFonts w:asciiTheme="minorHAnsi" w:hAnsiTheme="minorHAnsi" w:cstheme="minorHAnsi"/>
        </w:rPr>
        <w:t xml:space="preserve"> (NSW), s 43; </w:t>
      </w:r>
      <w:r w:rsidRPr="00EB7F1E">
        <w:rPr>
          <w:rFonts w:asciiTheme="minorHAnsi" w:hAnsiTheme="minorHAnsi" w:cstheme="minorHAnsi"/>
          <w:i/>
          <w:iCs/>
        </w:rPr>
        <w:t>Penalties and Sentences Act 1992</w:t>
      </w:r>
      <w:r w:rsidRPr="007809F4">
        <w:rPr>
          <w:rFonts w:asciiTheme="minorHAnsi" w:hAnsiTheme="minorHAnsi" w:cstheme="minorHAnsi"/>
        </w:rPr>
        <w:t xml:space="preserve"> (Qld), s 188; </w:t>
      </w:r>
      <w:r w:rsidRPr="00EB7F1E">
        <w:rPr>
          <w:rFonts w:asciiTheme="minorHAnsi" w:hAnsiTheme="minorHAnsi" w:cstheme="minorHAnsi"/>
          <w:i/>
          <w:iCs/>
        </w:rPr>
        <w:t>Sentencing Act 1995</w:t>
      </w:r>
      <w:r w:rsidRPr="007809F4">
        <w:rPr>
          <w:rFonts w:asciiTheme="minorHAnsi" w:hAnsiTheme="minorHAnsi" w:cstheme="minorHAnsi"/>
        </w:rPr>
        <w:t xml:space="preserve"> (WA), s 37; </w:t>
      </w:r>
      <w:r w:rsidRPr="00EB7F1E">
        <w:rPr>
          <w:rFonts w:asciiTheme="minorHAnsi" w:hAnsiTheme="minorHAnsi" w:cstheme="minorHAnsi"/>
          <w:i/>
          <w:iCs/>
        </w:rPr>
        <w:t>Sentencing Act 1997</w:t>
      </w:r>
      <w:r w:rsidRPr="007809F4">
        <w:rPr>
          <w:rFonts w:asciiTheme="minorHAnsi" w:hAnsiTheme="minorHAnsi" w:cstheme="minorHAnsi"/>
        </w:rPr>
        <w:t xml:space="preserve"> (Tas), s 94; </w:t>
      </w:r>
      <w:r w:rsidRPr="00EB7F1E">
        <w:rPr>
          <w:rFonts w:asciiTheme="minorHAnsi" w:hAnsiTheme="minorHAnsi" w:cstheme="minorHAnsi"/>
          <w:i/>
          <w:iCs/>
        </w:rPr>
        <w:t>Crimes (Sentencing) Act 2005</w:t>
      </w:r>
      <w:r w:rsidRPr="007809F4">
        <w:rPr>
          <w:rFonts w:asciiTheme="minorHAnsi" w:hAnsiTheme="minorHAnsi" w:cstheme="minorHAnsi"/>
        </w:rPr>
        <w:t xml:space="preserve"> (ACT), s 61; </w:t>
      </w:r>
      <w:r w:rsidRPr="00EB7F1E">
        <w:rPr>
          <w:rFonts w:asciiTheme="minorHAnsi" w:hAnsiTheme="minorHAnsi" w:cstheme="minorHAnsi"/>
          <w:i/>
          <w:iCs/>
        </w:rPr>
        <w:t>Sentencing Act</w:t>
      </w:r>
      <w:r w:rsidRPr="007809F4">
        <w:rPr>
          <w:rFonts w:asciiTheme="minorHAnsi" w:hAnsiTheme="minorHAnsi" w:cstheme="minorHAnsi"/>
          <w:i/>
          <w:iCs/>
        </w:rPr>
        <w:t xml:space="preserve"> 1995</w:t>
      </w:r>
      <w:r w:rsidRPr="007809F4">
        <w:rPr>
          <w:rFonts w:asciiTheme="minorHAnsi" w:hAnsiTheme="minorHAnsi" w:cstheme="minorHAnsi"/>
        </w:rPr>
        <w:t xml:space="preserve"> (NT), s 112.  These powers have been construed broadly: see the extensive review of the authorities in </w:t>
      </w:r>
      <w:r w:rsidRPr="00EB7F1E">
        <w:rPr>
          <w:rFonts w:asciiTheme="minorHAnsi" w:hAnsiTheme="minorHAnsi" w:cstheme="minorHAnsi"/>
          <w:i/>
          <w:iCs/>
        </w:rPr>
        <w:t>Achurch v R (No 2)</w:t>
      </w:r>
      <w:r w:rsidRPr="007809F4">
        <w:rPr>
          <w:rFonts w:asciiTheme="minorHAnsi" w:hAnsiTheme="minorHAnsi" w:cstheme="minorHAnsi"/>
        </w:rPr>
        <w:t xml:space="preserve"> </w:t>
      </w:r>
      <w:r w:rsidRPr="00EB7F1E">
        <w:rPr>
          <w:rFonts w:asciiTheme="minorHAnsi" w:hAnsiTheme="minorHAnsi" w:cstheme="minorHAnsi"/>
        </w:rPr>
        <w:t>(2013) 84 NSWLR 328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Achurch v R (No 2)</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(2013) 84 NSWLR 328" \s "Achurch v R (No 2) (2013) 84 NSWLR 328"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5">
    <w:p w14:paraId="64F396D1" w14:textId="5CBC6FB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DPP (Cth) v Wallace</w:t>
      </w:r>
      <w:r w:rsidRPr="007809F4">
        <w:rPr>
          <w:rFonts w:asciiTheme="minorHAnsi" w:hAnsiTheme="minorHAnsi" w:cstheme="minorHAnsi"/>
        </w:rPr>
        <w:t xml:space="preserve"> (2011) 43 WAR 61</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Wallace (2011) 43 WAR 61" </w:instrText>
      </w:r>
      <w:r w:rsidRPr="00EB7F1E">
        <w:rPr>
          <w:rFonts w:asciiTheme="minorHAnsi" w:hAnsiTheme="minorHAnsi" w:cstheme="minorHAnsi"/>
        </w:rPr>
        <w:fldChar w:fldCharType="end"/>
      </w:r>
      <w:r w:rsidRPr="007809F4">
        <w:rPr>
          <w:rFonts w:asciiTheme="minorHAnsi" w:hAnsiTheme="minorHAnsi" w:cstheme="minorHAnsi"/>
        </w:rPr>
        <w:t xml:space="preserve">, [25]-[34].  Martin CJ held that the limited power in s 19AH to correct the failure to fix, or to properly fix, a NPP or RRO did not prevent the more general power under State law from being applied by the provisions of the </w:t>
      </w:r>
      <w:r w:rsidRPr="007809F4">
        <w:rPr>
          <w:rFonts w:asciiTheme="minorHAnsi" w:hAnsiTheme="minorHAnsi" w:cstheme="minorHAnsi"/>
          <w:i/>
          <w:iCs/>
        </w:rPr>
        <w:t>Judiciary Act 1903 (Cth)</w:t>
      </w:r>
      <w:r w:rsidRPr="007809F4">
        <w:rPr>
          <w:rFonts w:asciiTheme="minorHAnsi" w:hAnsiTheme="minorHAnsi" w:cstheme="minorHAnsi"/>
        </w:rPr>
        <w:t>.  It seems unlikely that the later insertion of s 19AHA was intended to reverse that position.</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6">
    <w:p w14:paraId="03D10502"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See</w:t>
      </w:r>
      <w:r w:rsidRPr="007809F4">
        <w:rPr>
          <w:rFonts w:asciiTheme="minorHAnsi" w:hAnsiTheme="minorHAnsi" w:cstheme="minorHAnsi"/>
          <w:i/>
          <w:iCs/>
        </w:rPr>
        <w:t xml:space="preserve"> R v Hudson</w:t>
      </w:r>
      <w:r w:rsidRPr="007809F4">
        <w:rPr>
          <w:rFonts w:asciiTheme="minorHAnsi" w:hAnsiTheme="minorHAnsi" w:cstheme="minorHAnsi"/>
        </w:rPr>
        <w:t xml:space="preserve"> [2016] SASCFC 60</w:t>
      </w:r>
      <w:r w:rsidRPr="00EB7F1E">
        <w:rPr>
          <w:rFonts w:asciiTheme="minorHAnsi" w:hAnsiTheme="minorHAnsi" w:cstheme="minorHAnsi"/>
        </w:rPr>
        <w:fldChar w:fldCharType="begin"/>
      </w:r>
      <w:r w:rsidRPr="007809F4">
        <w:rPr>
          <w:rFonts w:asciiTheme="minorHAnsi" w:hAnsiTheme="minorHAnsi" w:cstheme="minorHAnsi"/>
        </w:rPr>
        <w:instrText xml:space="preserve"> TA \s "R v Hudson [2016] SASCFC 60" </w:instrText>
      </w:r>
      <w:r w:rsidRPr="00EB7F1E">
        <w:rPr>
          <w:rFonts w:asciiTheme="minorHAnsi" w:hAnsiTheme="minorHAnsi" w:cstheme="minorHAnsi"/>
        </w:rPr>
        <w:fldChar w:fldCharType="end"/>
      </w:r>
      <w:r w:rsidRPr="007809F4">
        <w:rPr>
          <w:rFonts w:asciiTheme="minorHAnsi" w:hAnsiTheme="minorHAnsi" w:cstheme="minorHAnsi"/>
        </w:rPr>
        <w:t>, [25].</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7">
    <w:p w14:paraId="708098FF" w14:textId="3B1B051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Cs/>
        </w:rPr>
        <w:t xml:space="preserve">As to </w:t>
      </w:r>
      <w:r w:rsidRPr="007809F4">
        <w:rPr>
          <w:rFonts w:asciiTheme="minorHAnsi" w:hAnsiTheme="minorHAnsi" w:cstheme="minorHAnsi"/>
          <w:iCs/>
        </w:rPr>
        <w:t xml:space="preserve">whether a State Parliament can validly make such a law, see </w:t>
      </w:r>
      <w:r w:rsidRPr="00EB7F1E">
        <w:rPr>
          <w:rFonts w:asciiTheme="minorHAnsi" w:hAnsiTheme="minorHAnsi" w:cstheme="minorHAnsi"/>
          <w:i/>
        </w:rPr>
        <w:t>Re Macks; Ex parte Saint</w:t>
      </w:r>
      <w:r w:rsidRPr="00EB7F1E">
        <w:rPr>
          <w:rFonts w:asciiTheme="minorHAnsi" w:hAnsiTheme="minorHAnsi" w:cstheme="minorHAnsi"/>
          <w:iCs/>
        </w:rPr>
        <w:t xml:space="preserve"> (2000) 204 CLR 158</w:t>
      </w:r>
      <w:r w:rsidRPr="00EB7F1E">
        <w:rPr>
          <w:rFonts w:asciiTheme="minorHAnsi" w:hAnsiTheme="minorHAnsi" w:cstheme="minorHAnsi"/>
          <w:i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rPr>
        <w:instrText>Re Macks; Ex parte Saint</w:instrText>
      </w:r>
      <w:r w:rsidRPr="00EB7F1E">
        <w:rPr>
          <w:rFonts w:asciiTheme="minorHAnsi" w:hAnsiTheme="minorHAnsi" w:cstheme="minorHAnsi"/>
          <w:iCs/>
        </w:rPr>
        <w:instrText xml:space="preserve"> (2000) 204 CLR 158</w:instrText>
      </w:r>
      <w:r w:rsidRPr="00EB7F1E">
        <w:rPr>
          <w:rFonts w:asciiTheme="minorHAnsi" w:hAnsiTheme="minorHAnsi" w:cstheme="minorHAnsi"/>
        </w:rPr>
        <w:instrText xml:space="preserve">" \s "Re Macks; Ex parte Saint (2000) 204 CLR 158" \c 1 </w:instrText>
      </w:r>
      <w:r w:rsidRPr="00EB7F1E">
        <w:rPr>
          <w:rFonts w:asciiTheme="minorHAnsi" w:hAnsiTheme="minorHAnsi" w:cstheme="minorHAnsi"/>
          <w:iCs/>
        </w:rPr>
        <w:fldChar w:fldCharType="end"/>
      </w:r>
      <w:r w:rsidRPr="007809F4">
        <w:rPr>
          <w:rFonts w:asciiTheme="minorHAnsi" w:hAnsiTheme="minorHAnsi" w:cstheme="minorHAnsi"/>
          <w:iCs/>
        </w:rPr>
        <w:t xml:space="preserve">, </w:t>
      </w:r>
      <w:r w:rsidRPr="00EB7F1E">
        <w:rPr>
          <w:rFonts w:asciiTheme="minorHAnsi" w:hAnsiTheme="minorHAnsi" w:cstheme="minorHAnsi"/>
        </w:rPr>
        <w:t xml:space="preserve">[25] (Gleeson CJ), [59]–[60] (Gaudron J), [107] (McHugh J), [208] (Gummow J) and [347]–[348] (Hayne and Callinan JJ); </w:t>
      </w:r>
      <w:r w:rsidRPr="00EB7F1E">
        <w:rPr>
          <w:rFonts w:asciiTheme="minorHAnsi" w:hAnsiTheme="minorHAnsi" w:cstheme="minorHAnsi"/>
          <w:i/>
          <w:iCs/>
        </w:rPr>
        <w:t>Fardon v Attorney-General (Qld)</w:t>
      </w:r>
      <w:r w:rsidRPr="00EB7F1E">
        <w:rPr>
          <w:rFonts w:asciiTheme="minorHAnsi" w:hAnsiTheme="minorHAnsi" w:cstheme="minorHAnsi"/>
        </w:rPr>
        <w:t xml:space="preserve"> (2004) 223 CLR 575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Fardon v Attorney-General (Qld)</w:instrText>
      </w:r>
      <w:r w:rsidRPr="00EB7F1E">
        <w:rPr>
          <w:rFonts w:asciiTheme="minorHAnsi" w:hAnsiTheme="minorHAnsi" w:cstheme="minorHAnsi"/>
        </w:rPr>
        <w:instrText xml:space="preserve"> (2004) 223 CLR 575" \s "Fardon v Attorney-General (Qld) (2004) 223 CLR 575" \c 1 </w:instrText>
      </w:r>
      <w:r w:rsidRPr="00EB7F1E">
        <w:rPr>
          <w:rFonts w:asciiTheme="minorHAnsi" w:hAnsiTheme="minorHAnsi" w:cstheme="minorHAnsi"/>
        </w:rPr>
        <w:fldChar w:fldCharType="end"/>
      </w:r>
      <w:r w:rsidRPr="007809F4">
        <w:rPr>
          <w:rFonts w:asciiTheme="minorHAnsi" w:hAnsiTheme="minorHAnsi" w:cstheme="minorHAnsi"/>
        </w:rPr>
        <w:t xml:space="preserve">, [73]-[74] (Gummow J); </w:t>
      </w:r>
      <w:r w:rsidRPr="007809F4">
        <w:rPr>
          <w:rFonts w:asciiTheme="minorHAnsi" w:hAnsiTheme="minorHAnsi" w:cstheme="minorHAnsi"/>
          <w:i/>
        </w:rPr>
        <w:t>D151 v New South Wales Crime Commission</w:t>
      </w:r>
      <w:r w:rsidRPr="007809F4">
        <w:rPr>
          <w:rFonts w:asciiTheme="minorHAnsi" w:hAnsiTheme="minorHAnsi" w:cstheme="minorHAnsi"/>
        </w:rPr>
        <w:t xml:space="preserve"> (2017) 94 NSWLR 738</w:t>
      </w:r>
      <w:r w:rsidRPr="00EB7F1E">
        <w:rPr>
          <w:rFonts w:asciiTheme="minorHAnsi" w:hAnsiTheme="minorHAnsi" w:cstheme="minorHAnsi"/>
        </w:rPr>
        <w:fldChar w:fldCharType="begin"/>
      </w:r>
      <w:r w:rsidRPr="00EB7F1E">
        <w:rPr>
          <w:rFonts w:asciiTheme="minorHAnsi" w:hAnsiTheme="minorHAnsi" w:cstheme="minorHAnsi"/>
        </w:rPr>
        <w:instrText xml:space="preserve"> TA \s "D151 v New South Wales Crime Commission (2017) 94 NSWLR 738"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t>[16]-[26], [35]-[42]</w:t>
      </w:r>
      <w:r w:rsidRPr="007809F4">
        <w:rPr>
          <w:rFonts w:asciiTheme="minorHAnsi" w:hAnsiTheme="minorHAnsi" w:cstheme="minorHAnsi"/>
        </w:rPr>
        <w:t xml:space="preserve"> (</w:t>
      </w:r>
      <w:r w:rsidRPr="00EB7F1E">
        <w:rPr>
          <w:rFonts w:asciiTheme="minorHAnsi" w:hAnsiTheme="minorHAnsi" w:cstheme="minorHAnsi"/>
        </w:rPr>
        <w:t>Basten JA, with whom Beazley ACJ and Simpson JA agreed on this point)</w:t>
      </w:r>
      <w:r w:rsidRPr="007809F4">
        <w:rPr>
          <w:rFonts w:asciiTheme="minorHAnsi" w:hAnsiTheme="minorHAnsi" w:cstheme="minorHAnsi"/>
        </w:rPr>
        <w:t>.</w:t>
      </w:r>
    </w:p>
  </w:footnote>
  <w:footnote w:id="1138">
    <w:p w14:paraId="2436497E" w14:textId="73688F4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Solomons v District Court (NSW)</w:t>
      </w:r>
      <w:r w:rsidRPr="007809F4">
        <w:rPr>
          <w:rFonts w:asciiTheme="minorHAnsi" w:hAnsiTheme="minorHAnsi" w:cstheme="minorHAnsi"/>
        </w:rPr>
        <w:t xml:space="preserve"> (2002) 211 CLR 119</w:t>
      </w:r>
      <w:r w:rsidRPr="00EB7F1E">
        <w:rPr>
          <w:rFonts w:asciiTheme="minorHAnsi" w:hAnsiTheme="minorHAnsi" w:cstheme="minorHAnsi"/>
        </w:rPr>
        <w:fldChar w:fldCharType="begin"/>
      </w:r>
      <w:r w:rsidRPr="007809F4">
        <w:rPr>
          <w:rFonts w:asciiTheme="minorHAnsi" w:hAnsiTheme="minorHAnsi" w:cstheme="minorHAnsi"/>
        </w:rPr>
        <w:instrText xml:space="preserve"> TA \s "Solomons v District Court (NSW) (2002) 211 CLR 119"</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DPP v Hunter</w:t>
      </w:r>
      <w:r w:rsidRPr="007809F4">
        <w:rPr>
          <w:rFonts w:asciiTheme="minorHAnsi" w:hAnsiTheme="minorHAnsi" w:cstheme="minorHAnsi"/>
        </w:rPr>
        <w:t xml:space="preserve"> (2003) 7 VR 119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Hunter</w:instrText>
      </w:r>
      <w:r w:rsidRPr="007809F4">
        <w:rPr>
          <w:rFonts w:asciiTheme="minorHAnsi" w:hAnsiTheme="minorHAnsi" w:cstheme="minorHAnsi"/>
        </w:rPr>
        <w:instrText xml:space="preserve"> (2003) 7 VR 119" \s "DPP v Hunter (2003) 7 VR 119"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39">
    <w:p w14:paraId="0F4FCF27" w14:textId="0D4DB1D3" w:rsidR="00D44BCF" w:rsidRPr="007809F4" w:rsidRDefault="00D44BCF" w:rsidP="00C303B8">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definition was amended by the </w:t>
      </w:r>
      <w:r w:rsidRPr="00EB7F1E">
        <w:rPr>
          <w:rFonts w:asciiTheme="minorHAnsi" w:hAnsiTheme="minorHAnsi" w:cstheme="minorHAnsi"/>
          <w:i/>
          <w:iCs/>
        </w:rPr>
        <w:t>National Security Legislation Amendment (Espionage and Foreign Interference) Act 2018</w:t>
      </w:r>
      <w:r w:rsidRPr="00EB7F1E">
        <w:rPr>
          <w:rFonts w:asciiTheme="minorHAnsi" w:hAnsiTheme="minorHAnsi" w:cstheme="minorHAnsi"/>
        </w:rPr>
        <w:t xml:space="preserve"> (Cth), with effect from 30 June 2018.  Prior to the amendments, “minimum non-parole period offence” also included other offences against Division 91 of the </w:t>
      </w:r>
      <w:r w:rsidRPr="00EB7F1E">
        <w:rPr>
          <w:rFonts w:asciiTheme="minorHAnsi" w:hAnsiTheme="minorHAnsi" w:cstheme="minorHAnsi"/>
          <w:i/>
        </w:rPr>
        <w:t>Criminal Code</w:t>
      </w:r>
      <w:r w:rsidRPr="00EB7F1E">
        <w:rPr>
          <w:rFonts w:asciiTheme="minorHAnsi" w:hAnsiTheme="minorHAnsi" w:cstheme="minorHAnsi"/>
        </w:rPr>
        <w:t xml:space="preserve"> (espionage, etc) and an offence against s 24AA of the </w:t>
      </w:r>
      <w:r w:rsidRPr="00EB7F1E">
        <w:rPr>
          <w:rFonts w:asciiTheme="minorHAnsi" w:hAnsiTheme="minorHAnsi" w:cstheme="minorHAnsi"/>
          <w:i/>
        </w:rPr>
        <w:t>Crimes Act 1914</w:t>
      </w:r>
      <w:r w:rsidRPr="00EB7F1E">
        <w:rPr>
          <w:rFonts w:asciiTheme="minorHAnsi" w:hAnsiTheme="minorHAnsi" w:cstheme="minorHAnsi"/>
        </w:rPr>
        <w:t xml:space="preserve"> (treachery). </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40">
    <w:p w14:paraId="18CFD53C" w14:textId="78AB9815"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Lodhi v R</w:t>
      </w:r>
      <w:r w:rsidRPr="007809F4">
        <w:rPr>
          <w:rFonts w:asciiTheme="minorHAnsi" w:hAnsiTheme="minorHAnsi" w:cstheme="minorHAnsi"/>
        </w:rPr>
        <w:t xml:space="preserve"> [2007] NSWCCA 360</w:t>
      </w:r>
      <w:r w:rsidRPr="00EB7F1E">
        <w:rPr>
          <w:rFonts w:asciiTheme="minorHAnsi" w:hAnsiTheme="minorHAnsi" w:cstheme="minorHAnsi"/>
        </w:rPr>
        <w:fldChar w:fldCharType="begin"/>
      </w:r>
      <w:r w:rsidRPr="007809F4">
        <w:rPr>
          <w:rFonts w:asciiTheme="minorHAnsi" w:hAnsiTheme="minorHAnsi" w:cstheme="minorHAnsi"/>
        </w:rPr>
        <w:instrText xml:space="preserve"> TA \s "Lodhi v R [2007] NSWCCA 360" </w:instrText>
      </w:r>
      <w:r w:rsidRPr="00EB7F1E">
        <w:rPr>
          <w:rFonts w:asciiTheme="minorHAnsi" w:hAnsiTheme="minorHAnsi" w:cstheme="minorHAnsi"/>
        </w:rPr>
        <w:fldChar w:fldCharType="end"/>
      </w:r>
      <w:r w:rsidRPr="007809F4">
        <w:rPr>
          <w:rFonts w:asciiTheme="minorHAnsi" w:hAnsiTheme="minorHAnsi" w:cstheme="minorHAnsi"/>
        </w:rPr>
        <w:t>, [255]–[262].</w:t>
      </w:r>
      <w:r w:rsidRPr="00EB7F1E">
        <w:rPr>
          <w:rFonts w:asciiTheme="minorHAnsi" w:hAnsiTheme="minorHAnsi" w:cstheme="minorHAnsi"/>
        </w:rPr>
        <w:fldChar w:fldCharType="begin"/>
      </w:r>
      <w:r w:rsidRPr="007809F4">
        <w:rPr>
          <w:rFonts w:asciiTheme="minorHAnsi" w:hAnsiTheme="minorHAnsi" w:cstheme="minorHAnsi"/>
        </w:rPr>
        <w:instrText xml:space="preserve">  "Solomons v District Court of NSW (2002) 211 CLR 119" </w:instrText>
      </w:r>
      <w:r w:rsidRPr="00EB7F1E">
        <w:rPr>
          <w:rFonts w:asciiTheme="minorHAnsi" w:hAnsiTheme="minorHAnsi" w:cstheme="minorHAnsi"/>
        </w:rPr>
        <w:fldChar w:fldCharType="end"/>
      </w:r>
    </w:p>
  </w:footnote>
  <w:footnote w:id="1141">
    <w:p w14:paraId="750DACB8" w14:textId="69059E3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On 27 August 2012, the then Attorney-General issued a direction to the CDPP, pursuant to s 8 of the</w:t>
      </w:r>
      <w:r w:rsidRPr="007809F4">
        <w:rPr>
          <w:rFonts w:asciiTheme="minorHAnsi" w:hAnsiTheme="minorHAnsi" w:cstheme="minorHAnsi"/>
          <w:i/>
        </w:rPr>
        <w:t xml:space="preserve"> Director of Public Prosecutions Act 1983 </w:t>
      </w:r>
      <w:r w:rsidRPr="007809F4">
        <w:rPr>
          <w:rFonts w:asciiTheme="minorHAnsi" w:hAnsiTheme="minorHAnsi" w:cstheme="minorHAnsi"/>
        </w:rPr>
        <w:t xml:space="preserve">(Cth), which limited the circumstances in which the CDPP should institute, carry on or continue to carry on a prosecution for an offence against s 233B of the </w:t>
      </w:r>
      <w:r w:rsidRPr="007809F4">
        <w:rPr>
          <w:rFonts w:asciiTheme="minorHAnsi" w:hAnsiTheme="minorHAnsi" w:cstheme="minorHAnsi"/>
          <w:i/>
        </w:rPr>
        <w:t>Migration Act 1958</w:t>
      </w:r>
      <w:r w:rsidRPr="007809F4">
        <w:rPr>
          <w:rFonts w:asciiTheme="minorHAnsi" w:hAnsiTheme="minorHAnsi" w:cstheme="minorHAnsi"/>
        </w:rPr>
        <w:t xml:space="preserve"> (Cth).  On 4 March 2014, the direction was revoked by the then Attorney-General.</w:t>
      </w:r>
    </w:p>
  </w:footnote>
  <w:footnote w:id="1142">
    <w:p w14:paraId="3BCDFF15" w14:textId="7E58C4DA" w:rsidR="00D44BCF" w:rsidRPr="007809F4" w:rsidRDefault="00D44BCF" w:rsidP="00B328F2">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w:t>
      </w:r>
      <w:r w:rsidRPr="007809F4">
        <w:rPr>
          <w:rFonts w:asciiTheme="minorHAnsi" w:hAnsiTheme="minorHAnsi" w:cstheme="minorHAnsi"/>
          <w:i/>
        </w:rPr>
        <w:t>Repeat offence</w:t>
      </w:r>
      <w:r w:rsidRPr="007809F4">
        <w:rPr>
          <w:rFonts w:asciiTheme="minorHAnsi" w:hAnsiTheme="minorHAnsi" w:cstheme="minorHAnsi"/>
        </w:rPr>
        <w:t xml:space="preserve">” is defined in s 236B(5) of the </w:t>
      </w:r>
      <w:r w:rsidRPr="00EB7F1E">
        <w:rPr>
          <w:rFonts w:asciiTheme="minorHAnsi" w:hAnsiTheme="minorHAnsi" w:cstheme="minorHAnsi"/>
          <w:i/>
          <w:iCs/>
        </w:rPr>
        <w:t>Migration Act 1958</w:t>
      </w:r>
      <w:r w:rsidRPr="007809F4">
        <w:rPr>
          <w:rFonts w:asciiTheme="minorHAnsi" w:hAnsiTheme="minorHAnsi" w:cstheme="minorHAnsi"/>
        </w:rPr>
        <w:t xml:space="preserve"> (Cth).  It refers to a conviction for an offence against s 233B, s 233C or s 234A of the Act by a person who, in the same proceedings or previous proceedings, has been convicted of or found to have committed another such offence or who has, after 27 September 2001, been convicted of or found to have committed an offence against s 232A or s 233A of the Act.</w:t>
      </w:r>
    </w:p>
  </w:footnote>
  <w:footnote w:id="1143">
    <w:p w14:paraId="3FC5BB90" w14:textId="29D3F910"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Bahar v R</w:t>
      </w:r>
      <w:r w:rsidRPr="007809F4">
        <w:rPr>
          <w:rFonts w:asciiTheme="minorHAnsi" w:hAnsiTheme="minorHAnsi" w:cstheme="minorHAnsi"/>
        </w:rPr>
        <w:t xml:space="preserve"> (2011) 45 WAR 100</w:t>
      </w:r>
      <w:r w:rsidRPr="00EB7F1E">
        <w:rPr>
          <w:rFonts w:asciiTheme="minorHAnsi" w:hAnsiTheme="minorHAnsi" w:cstheme="minorHAnsi"/>
        </w:rPr>
        <w:fldChar w:fldCharType="begin"/>
      </w:r>
      <w:r w:rsidRPr="007809F4">
        <w:rPr>
          <w:rFonts w:asciiTheme="minorHAnsi" w:hAnsiTheme="minorHAnsi" w:cstheme="minorHAnsi"/>
        </w:rPr>
        <w:instrText xml:space="preserve"> TA \s "Bahar v R (2011) 45 WAR 100" </w:instrText>
      </w:r>
      <w:r w:rsidRPr="00EB7F1E">
        <w:rPr>
          <w:rFonts w:asciiTheme="minorHAnsi" w:hAnsiTheme="minorHAnsi" w:cstheme="minorHAnsi"/>
        </w:rPr>
        <w:fldChar w:fldCharType="end"/>
      </w:r>
      <w:r w:rsidRPr="007809F4">
        <w:rPr>
          <w:rFonts w:asciiTheme="minorHAnsi" w:hAnsiTheme="minorHAnsi" w:cstheme="minorHAnsi"/>
        </w:rPr>
        <w:t xml:space="preserve">, [54].  See also </w:t>
      </w:r>
      <w:r w:rsidRPr="007809F4">
        <w:rPr>
          <w:rFonts w:asciiTheme="minorHAnsi" w:hAnsiTheme="minorHAnsi" w:cstheme="minorHAnsi"/>
          <w:i/>
        </w:rPr>
        <w:t xml:space="preserve">Karim v R </w:t>
      </w:r>
      <w:r w:rsidRPr="007809F4">
        <w:rPr>
          <w:rFonts w:asciiTheme="minorHAnsi" w:hAnsiTheme="minorHAnsi" w:cstheme="minorHAnsi"/>
        </w:rPr>
        <w:t>[2013] NSWCCA 23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Karim v R </w:instrText>
      </w:r>
      <w:r w:rsidRPr="007809F4">
        <w:rPr>
          <w:rFonts w:asciiTheme="minorHAnsi" w:hAnsiTheme="minorHAnsi" w:cstheme="minorHAnsi"/>
        </w:rPr>
        <w:instrText xml:space="preserve">[2013] NSWCCA 23" \s "Karim v R [2013] NSWCCA 23"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Latif; ex parte DPP (Cth)</w:t>
      </w:r>
      <w:r w:rsidRPr="007809F4">
        <w:rPr>
          <w:rFonts w:asciiTheme="minorHAnsi" w:hAnsiTheme="minorHAnsi" w:cstheme="minorHAnsi"/>
        </w:rPr>
        <w:t xml:space="preserve"> [2012] QCA 278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Latif; ex parte DPP (Cth)</w:instrText>
      </w:r>
      <w:r w:rsidRPr="007809F4">
        <w:rPr>
          <w:rFonts w:asciiTheme="minorHAnsi" w:hAnsiTheme="minorHAnsi" w:cstheme="minorHAnsi"/>
        </w:rPr>
        <w:instrText xml:space="preserve"> [2012] QCA 278</w:instrText>
      </w:r>
      <w:r w:rsidRPr="00EB7F1E">
        <w:rPr>
          <w:rFonts w:asciiTheme="minorHAnsi" w:hAnsiTheme="minorHAnsi" w:cstheme="minorHAnsi"/>
        </w:rPr>
        <w:instrText xml:space="preserve">" \s "R v Latif; ex parte DPP (Cth) [2012] QCA 278" \c 1 </w:instrText>
      </w:r>
      <w:r w:rsidRPr="00EB7F1E">
        <w:rPr>
          <w:rFonts w:asciiTheme="minorHAnsi" w:hAnsiTheme="minorHAnsi" w:cstheme="minorHAnsi"/>
        </w:rPr>
        <w:fldChar w:fldCharType="end"/>
      </w:r>
      <w:r w:rsidRPr="007809F4">
        <w:rPr>
          <w:rFonts w:asciiTheme="minorHAnsi" w:hAnsiTheme="minorHAnsi" w:cstheme="minorHAnsi"/>
        </w:rPr>
        <w:t xml:space="preserve">.  The authority of these decisions is unaffected by dicta of Adams and McCallum JJ in </w:t>
      </w:r>
      <w:r w:rsidRPr="007809F4">
        <w:rPr>
          <w:rFonts w:asciiTheme="minorHAnsi" w:hAnsiTheme="minorHAnsi" w:cstheme="minorHAnsi"/>
          <w:i/>
        </w:rPr>
        <w:t>Dui Kol v R</w:t>
      </w:r>
      <w:r w:rsidRPr="007809F4">
        <w:rPr>
          <w:rFonts w:asciiTheme="minorHAnsi" w:hAnsiTheme="minorHAnsi" w:cstheme="minorHAnsi"/>
        </w:rPr>
        <w:t xml:space="preserve"> [2015] NSWCCA 150</w:t>
      </w:r>
      <w:r w:rsidRPr="00EB7F1E">
        <w:rPr>
          <w:rFonts w:asciiTheme="minorHAnsi" w:hAnsiTheme="minorHAnsi" w:cstheme="minorHAnsi"/>
        </w:rPr>
        <w:fldChar w:fldCharType="begin"/>
      </w:r>
      <w:r w:rsidRPr="007809F4">
        <w:rPr>
          <w:rFonts w:asciiTheme="minorHAnsi" w:hAnsiTheme="minorHAnsi" w:cstheme="minorHAnsi"/>
        </w:rPr>
        <w:instrText xml:space="preserve"> TA \s "Dui Kol v R [2015] NSWCCA 150" </w:instrText>
      </w:r>
      <w:r w:rsidRPr="00EB7F1E">
        <w:rPr>
          <w:rFonts w:asciiTheme="minorHAnsi" w:hAnsiTheme="minorHAnsi" w:cstheme="minorHAnsi"/>
        </w:rPr>
        <w:fldChar w:fldCharType="end"/>
      </w:r>
      <w:r w:rsidRPr="007809F4">
        <w:rPr>
          <w:rFonts w:asciiTheme="minorHAnsi" w:hAnsiTheme="minorHAnsi" w:cstheme="minorHAnsi"/>
        </w:rPr>
        <w:t xml:space="preserve"> which criticised the approach taken in </w:t>
      </w:r>
      <w:r w:rsidRPr="007809F4">
        <w:rPr>
          <w:rFonts w:asciiTheme="minorHAnsi" w:hAnsiTheme="minorHAnsi" w:cstheme="minorHAnsi"/>
          <w:i/>
        </w:rPr>
        <w:t>Bahar</w:t>
      </w:r>
      <w:r w:rsidRPr="007809F4">
        <w:rPr>
          <w:rFonts w:asciiTheme="minorHAnsi" w:hAnsiTheme="minorHAnsi" w:cstheme="minorHAnsi"/>
        </w:rPr>
        <w:t xml:space="preserve">, </w:t>
      </w:r>
      <w:r w:rsidRPr="007809F4">
        <w:rPr>
          <w:rFonts w:asciiTheme="minorHAnsi" w:hAnsiTheme="minorHAnsi" w:cstheme="minorHAnsi"/>
          <w:i/>
        </w:rPr>
        <w:t>Karim</w:t>
      </w:r>
      <w:r w:rsidRPr="007809F4">
        <w:rPr>
          <w:rFonts w:asciiTheme="minorHAnsi" w:hAnsiTheme="minorHAnsi" w:cstheme="minorHAnsi"/>
        </w:rPr>
        <w:t xml:space="preserve"> and other cases.  </w:t>
      </w:r>
      <w:r w:rsidRPr="00EB7F1E">
        <w:rPr>
          <w:rFonts w:asciiTheme="minorHAnsi" w:hAnsiTheme="minorHAnsi" w:cstheme="minorHAnsi"/>
          <w:i/>
          <w:iCs/>
        </w:rPr>
        <w:t>Bahar</w:t>
      </w:r>
      <w:r w:rsidRPr="007809F4">
        <w:rPr>
          <w:rFonts w:asciiTheme="minorHAnsi" w:hAnsiTheme="minorHAnsi" w:cstheme="minorHAnsi"/>
        </w:rPr>
        <w:t xml:space="preserve"> has since been followed and applied in </w:t>
      </w:r>
      <w:r w:rsidRPr="00EB7F1E">
        <w:rPr>
          <w:rFonts w:asciiTheme="minorHAnsi" w:hAnsiTheme="minorHAnsi" w:cstheme="minorHAnsi"/>
          <w:i/>
          <w:iCs/>
        </w:rPr>
        <w:t>R v Abbas</w:t>
      </w:r>
      <w:r w:rsidRPr="00EB7F1E">
        <w:rPr>
          <w:rFonts w:asciiTheme="minorHAnsi" w:hAnsiTheme="minorHAnsi" w:cstheme="minorHAnsi"/>
        </w:rPr>
        <w:t xml:space="preserve"> [2019] WASCA 64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Abbas</w:instrText>
      </w:r>
      <w:r w:rsidRPr="00EB7F1E">
        <w:rPr>
          <w:rFonts w:asciiTheme="minorHAnsi" w:hAnsiTheme="minorHAnsi" w:cstheme="minorHAnsi"/>
        </w:rPr>
        <w:instrText xml:space="preserve"> [2019] WASCA 64" \s "R v Abbas [2019] WASCA 64"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144">
    <w:p w14:paraId="55BADB03" w14:textId="259F963C"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Bahar v R</w:t>
      </w:r>
      <w:r w:rsidRPr="007809F4">
        <w:rPr>
          <w:rFonts w:asciiTheme="minorHAnsi" w:hAnsiTheme="minorHAnsi" w:cstheme="minorHAnsi"/>
        </w:rPr>
        <w:t xml:space="preserve"> (2011) 45 WAR 100</w:t>
      </w:r>
      <w:r w:rsidRPr="00EB7F1E">
        <w:rPr>
          <w:rFonts w:asciiTheme="minorHAnsi" w:hAnsiTheme="minorHAnsi" w:cstheme="minorHAnsi"/>
        </w:rPr>
        <w:fldChar w:fldCharType="begin"/>
      </w:r>
      <w:r w:rsidRPr="007809F4">
        <w:rPr>
          <w:rFonts w:asciiTheme="minorHAnsi" w:hAnsiTheme="minorHAnsi" w:cstheme="minorHAnsi"/>
        </w:rPr>
        <w:instrText xml:space="preserve"> TA \s "Bahar v R (2011) 45 WAR 100" </w:instrText>
      </w:r>
      <w:r w:rsidRPr="00EB7F1E">
        <w:rPr>
          <w:rFonts w:asciiTheme="minorHAnsi" w:hAnsiTheme="minorHAnsi" w:cstheme="minorHAnsi"/>
        </w:rPr>
        <w:fldChar w:fldCharType="end"/>
      </w:r>
      <w:r w:rsidRPr="007809F4">
        <w:rPr>
          <w:rFonts w:asciiTheme="minorHAnsi" w:hAnsiTheme="minorHAnsi" w:cstheme="minorHAnsi"/>
        </w:rPr>
        <w:t>, [54].</w:t>
      </w:r>
    </w:p>
  </w:footnote>
  <w:footnote w:id="1145">
    <w:p w14:paraId="38F0F8FC" w14:textId="4238638D"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Bahar v R</w:t>
      </w:r>
      <w:r w:rsidRPr="007809F4">
        <w:rPr>
          <w:rFonts w:asciiTheme="minorHAnsi" w:hAnsiTheme="minorHAnsi" w:cstheme="minorHAnsi"/>
        </w:rPr>
        <w:t xml:space="preserve"> (2011) 45 WAR 100</w:t>
      </w:r>
      <w:r w:rsidRPr="00EB7F1E">
        <w:rPr>
          <w:rFonts w:asciiTheme="minorHAnsi" w:hAnsiTheme="minorHAnsi" w:cstheme="minorHAnsi"/>
        </w:rPr>
        <w:fldChar w:fldCharType="begin"/>
      </w:r>
      <w:r w:rsidRPr="007809F4">
        <w:rPr>
          <w:rFonts w:asciiTheme="minorHAnsi" w:hAnsiTheme="minorHAnsi" w:cstheme="minorHAnsi"/>
        </w:rPr>
        <w:instrText xml:space="preserve"> TA \s "Bahar v R (2011) 45 WAR 100" </w:instrText>
      </w:r>
      <w:r w:rsidRPr="00EB7F1E">
        <w:rPr>
          <w:rFonts w:asciiTheme="minorHAnsi" w:hAnsiTheme="minorHAnsi" w:cstheme="minorHAnsi"/>
        </w:rPr>
        <w:fldChar w:fldCharType="end"/>
      </w:r>
      <w:r w:rsidRPr="007809F4">
        <w:rPr>
          <w:rFonts w:asciiTheme="minorHAnsi" w:hAnsiTheme="minorHAnsi" w:cstheme="minorHAnsi"/>
        </w:rPr>
        <w:t>, [58].</w:t>
      </w:r>
    </w:p>
  </w:footnote>
  <w:footnote w:id="1146">
    <w:p w14:paraId="1FB952F7" w14:textId="0F3D2B2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Magaming v R</w:t>
      </w:r>
      <w:r w:rsidRPr="007809F4">
        <w:rPr>
          <w:rFonts w:asciiTheme="minorHAnsi" w:hAnsiTheme="minorHAnsi" w:cstheme="minorHAnsi"/>
        </w:rPr>
        <w:t xml:space="preserve"> (2013) 252 CLR 381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Magaming v R</w:instrText>
      </w:r>
      <w:r w:rsidRPr="007809F4">
        <w:rPr>
          <w:rFonts w:asciiTheme="minorHAnsi" w:hAnsiTheme="minorHAnsi" w:cstheme="minorHAnsi"/>
        </w:rPr>
        <w:instrText xml:space="preserve"> (2013) 252 CLR 381" \s "Magaming v R (2013) 252 CLR 381"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147">
    <w:p w14:paraId="25A10EF6" w14:textId="6DA2BE3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Sir Garfield Barwick (Attorney-General), Second Reading speech on the </w:t>
      </w:r>
      <w:r w:rsidRPr="007809F4">
        <w:rPr>
          <w:rFonts w:asciiTheme="minorHAnsi" w:hAnsiTheme="minorHAnsi" w:cstheme="minorHAnsi"/>
          <w:i/>
        </w:rPr>
        <w:t>Crimes Bill 1960</w:t>
      </w:r>
      <w:r w:rsidRPr="007809F4">
        <w:rPr>
          <w:rFonts w:asciiTheme="minorHAnsi" w:hAnsiTheme="minorHAnsi" w:cstheme="minorHAnsi"/>
        </w:rPr>
        <w:t xml:space="preserve">, </w:t>
      </w:r>
      <w:r w:rsidRPr="007809F4">
        <w:rPr>
          <w:rFonts w:asciiTheme="minorHAnsi" w:hAnsiTheme="minorHAnsi" w:cstheme="minorHAnsi"/>
          <w:i/>
        </w:rPr>
        <w:t>Hansard (House of Representatives)</w:t>
      </w:r>
      <w:r w:rsidRPr="007809F4">
        <w:rPr>
          <w:rFonts w:asciiTheme="minorHAnsi" w:hAnsiTheme="minorHAnsi" w:cstheme="minorHAnsi"/>
        </w:rPr>
        <w:t>, 8 September 1960, p.1022.  The Attorney-General went on to say (at 1024) that the relevant clause of the amending bill “</w:t>
      </w:r>
      <w:r w:rsidRPr="007809F4">
        <w:rPr>
          <w:rFonts w:asciiTheme="minorHAnsi" w:hAnsiTheme="minorHAnsi" w:cstheme="minorHAnsi"/>
          <w:i/>
        </w:rPr>
        <w:t>provides for special treatment for juvenile offenders, by courts officials and institutions of the States similar to the treatment afforded under State law to offenders against the laws of the States. This Parliament cannot, of course, directly impose some of these obligations upon State officials. The new provisions in these respects will be merely enabling, and the concurrence of the States will have to be obtained for their implementation. But I anticipate no difficulties in this regard, the degree of ready co-operation between this Government and those of the States being notable and significant.</w:t>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48">
    <w:p w14:paraId="4610C417" w14:textId="12A13146"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Newman v A (A Child)</w:t>
      </w:r>
      <w:r w:rsidRPr="007809F4">
        <w:rPr>
          <w:rFonts w:asciiTheme="minorHAnsi" w:hAnsiTheme="minorHAnsi" w:cstheme="minorHAnsi"/>
        </w:rPr>
        <w:t xml:space="preserve"> (1992) 9 WAR 14</w:t>
      </w:r>
      <w:r w:rsidRPr="00EB7F1E">
        <w:rPr>
          <w:rFonts w:asciiTheme="minorHAnsi" w:hAnsiTheme="minorHAnsi" w:cstheme="minorHAnsi"/>
        </w:rPr>
        <w:fldChar w:fldCharType="begin"/>
      </w:r>
      <w:r w:rsidRPr="007809F4">
        <w:rPr>
          <w:rFonts w:asciiTheme="minorHAnsi" w:hAnsiTheme="minorHAnsi" w:cstheme="minorHAnsi"/>
        </w:rPr>
        <w:instrText xml:space="preserve"> TA \s "Newman v A (a child) (1992) 9 WAR 14" </w:instrText>
      </w:r>
      <w:r w:rsidRPr="00EB7F1E">
        <w:rPr>
          <w:rFonts w:asciiTheme="minorHAnsi" w:hAnsiTheme="minorHAnsi" w:cstheme="minorHAnsi"/>
        </w:rPr>
        <w:fldChar w:fldCharType="end"/>
      </w:r>
      <w:r w:rsidRPr="007809F4">
        <w:rPr>
          <w:rFonts w:asciiTheme="minorHAnsi" w:hAnsiTheme="minorHAnsi" w:cstheme="minorHAnsi"/>
        </w:rPr>
        <w:t xml:space="preserve">, 18; </w:t>
      </w:r>
      <w:r w:rsidRPr="007809F4">
        <w:rPr>
          <w:rFonts w:asciiTheme="minorHAnsi" w:hAnsiTheme="minorHAnsi" w:cstheme="minorHAnsi"/>
          <w:i/>
        </w:rPr>
        <w:t>R v Lovi</w:t>
      </w:r>
      <w:r w:rsidRPr="007809F4">
        <w:rPr>
          <w:rFonts w:asciiTheme="minorHAnsi" w:hAnsiTheme="minorHAnsi" w:cstheme="minorHAnsi"/>
        </w:rPr>
        <w:t xml:space="preserve"> [2012] QCA 24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Lovi</w:instrText>
      </w:r>
      <w:r w:rsidRPr="007809F4">
        <w:rPr>
          <w:rFonts w:asciiTheme="minorHAnsi" w:hAnsiTheme="minorHAnsi" w:cstheme="minorHAnsi"/>
        </w:rPr>
        <w:instrText xml:space="preserve"> [2012] QCA 24" \s "R v Lovi [2012] QCA 24"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Lovi [2012] QCA 24" </w:instrText>
      </w:r>
      <w:r w:rsidRPr="00EB7F1E">
        <w:rPr>
          <w:rFonts w:asciiTheme="minorHAnsi" w:hAnsiTheme="minorHAnsi" w:cstheme="minorHAnsi"/>
        </w:rPr>
        <w:fldChar w:fldCharType="end"/>
      </w:r>
      <w:r w:rsidRPr="007809F4">
        <w:rPr>
          <w:rFonts w:asciiTheme="minorHAnsi" w:hAnsiTheme="minorHAnsi" w:cstheme="minorHAnsi"/>
        </w:rPr>
        <w:t>, [21].</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49">
    <w:p w14:paraId="5CB0513A" w14:textId="4F086AF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In substance, s 20C applies State or Territory law as surrogate federal law.  The form of such provisions is not fixed (</w:t>
      </w:r>
      <w:r w:rsidRPr="007809F4">
        <w:rPr>
          <w:rFonts w:asciiTheme="minorHAnsi" w:hAnsiTheme="minorHAnsi" w:cstheme="minorHAnsi"/>
          <w:i/>
        </w:rPr>
        <w:t>Mok v DPP (NSW)</w:t>
      </w:r>
      <w:r w:rsidRPr="007809F4">
        <w:rPr>
          <w:rFonts w:asciiTheme="minorHAnsi" w:hAnsiTheme="minorHAnsi" w:cstheme="minorHAnsi"/>
        </w:rPr>
        <w:t xml:space="preserve"> (2016) 257 CLR 402</w:t>
      </w:r>
      <w:r w:rsidRPr="00EB7F1E">
        <w:rPr>
          <w:rFonts w:asciiTheme="minorHAnsi" w:hAnsiTheme="minorHAnsi" w:cstheme="minorHAnsi"/>
        </w:rPr>
        <w:fldChar w:fldCharType="begin"/>
      </w:r>
      <w:r w:rsidRPr="00EB7F1E">
        <w:rPr>
          <w:rFonts w:asciiTheme="minorHAnsi" w:hAnsiTheme="minorHAnsi" w:cstheme="minorHAnsi"/>
        </w:rPr>
        <w:instrText xml:space="preserve"> TA \s "Mok v DPP (NSW) (2016) 257 CLR 402" </w:instrText>
      </w:r>
      <w:r w:rsidRPr="00EB7F1E">
        <w:rPr>
          <w:rFonts w:asciiTheme="minorHAnsi" w:hAnsiTheme="minorHAnsi" w:cstheme="minorHAnsi"/>
        </w:rPr>
        <w:fldChar w:fldCharType="end"/>
      </w:r>
      <w:r w:rsidRPr="007809F4">
        <w:rPr>
          <w:rFonts w:asciiTheme="minorHAnsi" w:hAnsiTheme="minorHAnsi" w:cstheme="minorHAnsi"/>
        </w:rPr>
        <w:t xml:space="preserve">, [84]) but, subject to clear contrary provision, State or Territory laws so applied will not operate to exclude or override other Commonwealth laws.  Section 20C does not purport to so operate.  Many provisions in the </w:t>
      </w:r>
      <w:r w:rsidRPr="007809F4">
        <w:rPr>
          <w:rFonts w:asciiTheme="minorHAnsi" w:hAnsiTheme="minorHAnsi" w:cstheme="minorHAnsi"/>
          <w:i/>
        </w:rPr>
        <w:t>Crimes Act 1914</w:t>
      </w:r>
      <w:r w:rsidRPr="007809F4">
        <w:rPr>
          <w:rFonts w:asciiTheme="minorHAnsi" w:hAnsiTheme="minorHAnsi" w:cstheme="minorHAnsi"/>
        </w:rPr>
        <w:t xml:space="preserve"> render one provision of the Act subject to another, or exclude the operation of a particular provision if another applies; s 20C does neither of those things.  This is consistent with its evident purpose of operating merely as an enabling provision.</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0">
    <w:p w14:paraId="29081995" w14:textId="13E5FC04"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Children, Youth and Families Act 2005</w:t>
      </w:r>
      <w:r w:rsidRPr="007809F4">
        <w:rPr>
          <w:rFonts w:asciiTheme="minorHAnsi" w:hAnsiTheme="minorHAnsi" w:cstheme="minorHAnsi"/>
        </w:rPr>
        <w:t xml:space="preserve"> (Vic), Part 5.3.</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1">
    <w:p w14:paraId="15BB82AE" w14:textId="6CAC45A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Sentencing Act 1991</w:t>
      </w:r>
      <w:r w:rsidRPr="007809F4">
        <w:rPr>
          <w:rFonts w:asciiTheme="minorHAnsi" w:hAnsiTheme="minorHAnsi" w:cstheme="minorHAnsi"/>
        </w:rPr>
        <w:t xml:space="preserve"> (Vic), s 32.</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2">
    <w:p w14:paraId="60C32E84" w14:textId="13062410"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w:t>
      </w:r>
      <w:r w:rsidRPr="007809F4">
        <w:rPr>
          <w:rFonts w:asciiTheme="minorHAnsi" w:hAnsiTheme="minorHAnsi" w:cstheme="minorHAnsi"/>
          <w:i/>
        </w:rPr>
        <w:t>Child</w:t>
      </w:r>
      <w:r w:rsidRPr="007809F4">
        <w:rPr>
          <w:rFonts w:asciiTheme="minorHAnsi" w:hAnsiTheme="minorHAnsi" w:cstheme="minorHAnsi"/>
        </w:rPr>
        <w:t xml:space="preserve">” is defined in ss 3(1) and 15YA of the </w:t>
      </w:r>
      <w:r w:rsidRPr="007809F4">
        <w:rPr>
          <w:rFonts w:asciiTheme="minorHAnsi" w:hAnsiTheme="minorHAnsi" w:cstheme="minorHAnsi"/>
          <w:i/>
        </w:rPr>
        <w:t>Crimes Act 1914</w:t>
      </w:r>
      <w:r w:rsidRPr="007809F4">
        <w:rPr>
          <w:rFonts w:asciiTheme="minorHAnsi" w:hAnsiTheme="minorHAnsi" w:cstheme="minorHAnsi"/>
        </w:rPr>
        <w:t xml:space="preserve"> (Cth), but neither of those definitions is applicable to the term as it is used in s 20C.  The omission of a definition of “</w:t>
      </w:r>
      <w:r w:rsidRPr="007809F4">
        <w:rPr>
          <w:rFonts w:asciiTheme="minorHAnsi" w:hAnsiTheme="minorHAnsi" w:cstheme="minorHAnsi"/>
          <w:i/>
        </w:rPr>
        <w:t>child</w:t>
      </w:r>
      <w:r w:rsidRPr="007809F4">
        <w:rPr>
          <w:rFonts w:asciiTheme="minorHAnsi" w:hAnsiTheme="minorHAnsi" w:cstheme="minorHAnsi"/>
        </w:rPr>
        <w:t>” or “</w:t>
      </w:r>
      <w:r w:rsidRPr="007809F4">
        <w:rPr>
          <w:rFonts w:asciiTheme="minorHAnsi" w:hAnsiTheme="minorHAnsi" w:cstheme="minorHAnsi"/>
          <w:i/>
        </w:rPr>
        <w:t>young person</w:t>
      </w:r>
      <w:r w:rsidRPr="007809F4">
        <w:rPr>
          <w:rFonts w:asciiTheme="minorHAnsi" w:hAnsiTheme="minorHAnsi" w:cstheme="minorHAnsi"/>
        </w:rPr>
        <w:t>” must be taken to be intentional.  As originally enacted, the references to “child” and “young person” in s 20C(1) (now s 20C) stood in contrast to s 20C(2), which ensured that the death penalty did not apply to “</w:t>
      </w:r>
      <w:r w:rsidRPr="007809F4">
        <w:rPr>
          <w:rFonts w:asciiTheme="minorHAnsi" w:hAnsiTheme="minorHAnsi" w:cstheme="minorHAnsi"/>
          <w:i/>
        </w:rPr>
        <w:t>a person under the age of 18 years</w:t>
      </w:r>
      <w:r w:rsidRPr="007809F4">
        <w:rPr>
          <w:rFonts w:asciiTheme="minorHAnsi" w:hAnsiTheme="minorHAnsi" w:cstheme="minorHAnsi"/>
        </w:rPr>
        <w:t xml:space="preserve">”.  (Sub-section 20C(2) was repealed as obsolete by the </w:t>
      </w:r>
      <w:r w:rsidRPr="00EB7F1E">
        <w:rPr>
          <w:rFonts w:asciiTheme="minorHAnsi" w:hAnsiTheme="minorHAnsi" w:cstheme="minorHAnsi"/>
          <w:i/>
          <w:iCs/>
        </w:rPr>
        <w:t>Crimes Legislation Amendment (Powers, Offences and Other Measures) Act 2018</w:t>
      </w:r>
      <w:r w:rsidRPr="00EB7F1E">
        <w:rPr>
          <w:rFonts w:asciiTheme="minorHAnsi" w:hAnsiTheme="minorHAnsi" w:cstheme="minorHAnsi"/>
        </w:rPr>
        <w:t xml:space="preserve"> (Cth), with effect from 25 August 2018, and s 20C(1) was re-numbered as s 20C.)</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3">
    <w:p w14:paraId="0CEA7CC6" w14:textId="0148C63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Children’s Court of Western Australia Act 1988</w:t>
      </w:r>
      <w:r w:rsidRPr="007809F4">
        <w:rPr>
          <w:rFonts w:asciiTheme="minorHAnsi" w:hAnsiTheme="minorHAnsi" w:cstheme="minorHAnsi"/>
        </w:rPr>
        <w:t xml:space="preserve"> (WA), s 19; </w:t>
      </w:r>
      <w:r w:rsidRPr="007809F4">
        <w:rPr>
          <w:rFonts w:asciiTheme="minorHAnsi" w:hAnsiTheme="minorHAnsi" w:cstheme="minorHAnsi"/>
          <w:i/>
        </w:rPr>
        <w:t>Young Offenders Act 1993</w:t>
      </w:r>
      <w:r w:rsidRPr="007809F4">
        <w:rPr>
          <w:rFonts w:asciiTheme="minorHAnsi" w:hAnsiTheme="minorHAnsi" w:cstheme="minorHAnsi"/>
        </w:rPr>
        <w:t xml:space="preserve"> (SA), ss 4(1) (definition of “youth”), 16; </w:t>
      </w:r>
      <w:r w:rsidRPr="007809F4">
        <w:rPr>
          <w:rFonts w:asciiTheme="minorHAnsi" w:hAnsiTheme="minorHAnsi" w:cstheme="minorHAnsi"/>
          <w:i/>
        </w:rPr>
        <w:t>Youth Justice Act 2005</w:t>
      </w:r>
      <w:r w:rsidRPr="007809F4">
        <w:rPr>
          <w:rFonts w:asciiTheme="minorHAnsi" w:hAnsiTheme="minorHAnsi" w:cstheme="minorHAnsi"/>
        </w:rPr>
        <w:t xml:space="preserve"> (NT), s 52.</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4">
    <w:p w14:paraId="61C9866C" w14:textId="77777777" w:rsidR="00D44BCF" w:rsidRPr="007809F4" w:rsidRDefault="00D44BCF" w:rsidP="009E45A0">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Ross v R</w:t>
      </w:r>
      <w:r w:rsidRPr="007809F4">
        <w:rPr>
          <w:rFonts w:asciiTheme="minorHAnsi" w:hAnsiTheme="minorHAnsi" w:cstheme="minorHAnsi"/>
        </w:rPr>
        <w:t xml:space="preserve"> (1979) 141 CLR 432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Ross v R</w:instrText>
      </w:r>
      <w:r w:rsidRPr="007809F4">
        <w:rPr>
          <w:rFonts w:asciiTheme="minorHAnsi" w:hAnsiTheme="minorHAnsi" w:cstheme="minorHAnsi"/>
        </w:rPr>
        <w:instrText xml:space="preserve"> (1979) 141 CLR 432" \s "Ross v R (1979) 141 CLR 432" \c 1 </w:instrText>
      </w:r>
      <w:r w:rsidRPr="00EB7F1E">
        <w:rPr>
          <w:rFonts w:asciiTheme="minorHAnsi" w:hAnsiTheme="minorHAnsi" w:cstheme="minorHAnsi"/>
        </w:rPr>
        <w:fldChar w:fldCharType="end"/>
      </w:r>
      <w:r w:rsidRPr="007809F4">
        <w:rPr>
          <w:rFonts w:asciiTheme="minorHAnsi" w:hAnsiTheme="minorHAnsi" w:cstheme="minorHAnsi"/>
        </w:rPr>
        <w:t>, 448.</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5">
    <w:p w14:paraId="2BF14FFC" w14:textId="5FE8DA0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19B was also introduced by the </w:t>
      </w:r>
      <w:r w:rsidRPr="007809F4">
        <w:rPr>
          <w:rFonts w:asciiTheme="minorHAnsi" w:hAnsiTheme="minorHAnsi" w:cstheme="minorHAnsi"/>
          <w:i/>
        </w:rPr>
        <w:t>Crimes Act 1960</w:t>
      </w:r>
      <w:r w:rsidRPr="007809F4">
        <w:rPr>
          <w:rFonts w:asciiTheme="minorHAnsi" w:hAnsiTheme="minorHAnsi" w:cstheme="minorHAnsi"/>
        </w:rPr>
        <w:t xml:space="preserve"> (Cth).  Since neither provision is expressed to be subject to the other, their simultaneous enactment strengthens the inference that ss 19B and 20C must be read together.  Each can be given effect according to its terms, by accepting that s 19B applies to the sentencing of a young federal offender, and that s 20C enables a court to apply additional options under State law.</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6">
    <w:p w14:paraId="5A1A63A4" w14:textId="75F5528F"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 xml:space="preserve">R v Lovi </w:t>
      </w:r>
      <w:r w:rsidRPr="007809F4">
        <w:rPr>
          <w:rFonts w:asciiTheme="minorHAnsi" w:hAnsiTheme="minorHAnsi" w:cstheme="minorHAnsi"/>
        </w:rPr>
        <w:t>[2012] QCA 24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R v Lovi </w:instrText>
      </w:r>
      <w:r w:rsidRPr="007809F4">
        <w:rPr>
          <w:rFonts w:asciiTheme="minorHAnsi" w:hAnsiTheme="minorHAnsi" w:cstheme="minorHAnsi"/>
        </w:rPr>
        <w:instrText xml:space="preserve">[2012] QCA 24" \s "R v Lovi [2012] QCA 24"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Lovi [2012] QCA 24" </w:instrText>
      </w:r>
      <w:r w:rsidRPr="00EB7F1E">
        <w:rPr>
          <w:rFonts w:asciiTheme="minorHAnsi" w:hAnsiTheme="minorHAnsi" w:cstheme="minorHAnsi"/>
        </w:rPr>
        <w:fldChar w:fldCharType="end"/>
      </w:r>
      <w:r w:rsidRPr="007809F4">
        <w:rPr>
          <w:rFonts w:asciiTheme="minorHAnsi" w:hAnsiTheme="minorHAnsi" w:cstheme="minorHAnsi"/>
        </w:rPr>
        <w:t>, [35].</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7">
    <w:p w14:paraId="3257ED1F" w14:textId="29A4937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EB7F1E">
        <w:rPr>
          <w:rFonts w:asciiTheme="minorHAnsi" w:hAnsiTheme="minorHAnsi" w:cstheme="minorHAnsi"/>
          <w:i/>
        </w:rPr>
        <w:t>IM v R</w:t>
      </w:r>
      <w:r w:rsidRPr="007809F4">
        <w:rPr>
          <w:rFonts w:asciiTheme="minorHAnsi" w:hAnsiTheme="minorHAnsi" w:cstheme="minorHAnsi"/>
        </w:rPr>
        <w:t xml:space="preserve"> [2019] NSWCCA 107</w:t>
      </w:r>
      <w:r w:rsidRPr="00EB7F1E">
        <w:rPr>
          <w:rFonts w:asciiTheme="minorHAnsi" w:hAnsiTheme="minorHAnsi" w:cstheme="minorHAnsi"/>
        </w:rPr>
        <w:fldChar w:fldCharType="begin"/>
      </w:r>
      <w:r w:rsidRPr="00EB7F1E">
        <w:rPr>
          <w:rFonts w:asciiTheme="minorHAnsi" w:hAnsiTheme="minorHAnsi" w:cstheme="minorHAnsi"/>
        </w:rPr>
        <w:instrText xml:space="preserve"> TA \s "IM v R [2019] NSWCCA 107"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Lovi [2012] QCA 24" </w:instrText>
      </w:r>
      <w:r w:rsidRPr="00EB7F1E">
        <w:rPr>
          <w:rFonts w:asciiTheme="minorHAnsi" w:hAnsiTheme="minorHAnsi" w:cstheme="minorHAnsi"/>
        </w:rPr>
        <w:fldChar w:fldCharType="end"/>
      </w:r>
      <w:r w:rsidRPr="007809F4">
        <w:rPr>
          <w:rFonts w:asciiTheme="minorHAnsi" w:hAnsiTheme="minorHAnsi" w:cstheme="minorHAnsi"/>
        </w:rPr>
        <w:t>, [43].</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8">
    <w:p w14:paraId="1FAC6131" w14:textId="1F76FC1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particular, to the extent that Part IB of the </w:t>
      </w:r>
      <w:r w:rsidRPr="007809F4">
        <w:rPr>
          <w:rFonts w:asciiTheme="minorHAnsi" w:hAnsiTheme="minorHAnsi" w:cstheme="minorHAnsi"/>
          <w:i/>
        </w:rPr>
        <w:t>Crimes Act 1914</w:t>
      </w:r>
      <w:r w:rsidRPr="007809F4">
        <w:rPr>
          <w:rFonts w:asciiTheme="minorHAnsi" w:hAnsiTheme="minorHAnsi" w:cstheme="minorHAnsi"/>
        </w:rPr>
        <w:t xml:space="preserve"> (Cth) expressly or by implication provides for sentencing considerations which are different from otherwise applicable State and Territory sentencing considerations, the </w:t>
      </w:r>
      <w:r w:rsidRPr="007809F4">
        <w:rPr>
          <w:rFonts w:asciiTheme="minorHAnsi" w:hAnsiTheme="minorHAnsi" w:cstheme="minorHAnsi"/>
          <w:i/>
        </w:rPr>
        <w:t>Crimes Act</w:t>
      </w:r>
      <w:r w:rsidRPr="007809F4">
        <w:rPr>
          <w:rFonts w:asciiTheme="minorHAnsi" w:hAnsiTheme="minorHAnsi" w:cstheme="minorHAnsi"/>
        </w:rPr>
        <w:t xml:space="preserve"> is exclusive: </w:t>
      </w:r>
      <w:r w:rsidRPr="007809F4">
        <w:rPr>
          <w:rFonts w:asciiTheme="minorHAnsi" w:hAnsiTheme="minorHAnsi" w:cstheme="minorHAnsi"/>
          <w:i/>
        </w:rPr>
        <w:t>R v Pham</w:t>
      </w:r>
      <w:r w:rsidRPr="007809F4">
        <w:rPr>
          <w:rFonts w:asciiTheme="minorHAnsi" w:hAnsiTheme="minorHAnsi" w:cstheme="minorHAnsi"/>
        </w:rPr>
        <w:t xml:space="preserve"> (2015) 256 CLR 550</w:t>
      </w:r>
      <w:r w:rsidRPr="00EB7F1E">
        <w:rPr>
          <w:rFonts w:asciiTheme="minorHAnsi" w:hAnsiTheme="minorHAnsi" w:cstheme="minorHAnsi"/>
        </w:rPr>
        <w:fldChar w:fldCharType="begin"/>
      </w:r>
      <w:r w:rsidRPr="007809F4">
        <w:rPr>
          <w:rFonts w:asciiTheme="minorHAnsi" w:hAnsiTheme="minorHAnsi" w:cstheme="minorHAnsi"/>
        </w:rPr>
        <w:instrText xml:space="preserve"> TA \s "R v Pham (2015) 256 CLR 550" </w:instrText>
      </w:r>
      <w:r w:rsidRPr="00EB7F1E">
        <w:rPr>
          <w:rFonts w:asciiTheme="minorHAnsi" w:hAnsiTheme="minorHAnsi" w:cstheme="minorHAnsi"/>
        </w:rPr>
        <w:fldChar w:fldCharType="end"/>
      </w:r>
      <w:r w:rsidRPr="007809F4">
        <w:rPr>
          <w:rFonts w:asciiTheme="minorHAnsi" w:hAnsiTheme="minorHAnsi" w:cstheme="minorHAnsi"/>
        </w:rPr>
        <w:t xml:space="preserve">, [22].  Some State and Territory laws specify that in sentencing a child or young person, a court </w:t>
      </w:r>
      <w:r w:rsidRPr="007809F4">
        <w:rPr>
          <w:rFonts w:asciiTheme="minorHAnsi" w:hAnsiTheme="minorHAnsi" w:cstheme="minorHAnsi"/>
          <w:i/>
        </w:rPr>
        <w:t>must not have regard</w:t>
      </w:r>
      <w:r w:rsidRPr="007809F4">
        <w:rPr>
          <w:rFonts w:asciiTheme="minorHAnsi" w:hAnsiTheme="minorHAnsi" w:cstheme="minorHAnsi"/>
        </w:rPr>
        <w:t xml:space="preserve"> to particular considerations, such as the need for general or specific deterrence (see, e.g., </w:t>
      </w:r>
      <w:r w:rsidRPr="007809F4">
        <w:rPr>
          <w:rFonts w:asciiTheme="minorHAnsi" w:hAnsiTheme="minorHAnsi" w:cstheme="minorHAnsi"/>
          <w:i/>
        </w:rPr>
        <w:t>R v QTV</w:t>
      </w:r>
      <w:r w:rsidRPr="007809F4">
        <w:rPr>
          <w:rFonts w:asciiTheme="minorHAnsi" w:hAnsiTheme="minorHAnsi" w:cstheme="minorHAnsi"/>
        </w:rPr>
        <w:t xml:space="preserve"> (2003) 87 SASR 378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QTV</w:instrText>
      </w:r>
      <w:r w:rsidRPr="007809F4">
        <w:rPr>
          <w:rFonts w:asciiTheme="minorHAnsi" w:hAnsiTheme="minorHAnsi" w:cstheme="minorHAnsi"/>
        </w:rPr>
        <w:instrText xml:space="preserve"> (2003) 87 SASR 378</w:instrText>
      </w:r>
      <w:r w:rsidRPr="00EB7F1E">
        <w:rPr>
          <w:rFonts w:asciiTheme="minorHAnsi" w:hAnsiTheme="minorHAnsi" w:cstheme="minorHAnsi"/>
        </w:rPr>
        <w:instrText xml:space="preserve">" \s "R v QTV (2003) 87 SASR 378" \c 1 </w:instrText>
      </w:r>
      <w:r w:rsidRPr="00EB7F1E">
        <w:rPr>
          <w:rFonts w:asciiTheme="minorHAnsi" w:hAnsiTheme="minorHAnsi" w:cstheme="minorHAnsi"/>
        </w:rPr>
        <w:fldChar w:fldCharType="end"/>
      </w:r>
      <w:r w:rsidRPr="007809F4">
        <w:rPr>
          <w:rFonts w:asciiTheme="minorHAnsi" w:hAnsiTheme="minorHAnsi" w:cstheme="minorHAnsi"/>
        </w:rPr>
        <w:t xml:space="preserve">, [47]-[58]; </w:t>
      </w:r>
      <w:r w:rsidRPr="007809F4">
        <w:rPr>
          <w:rFonts w:asciiTheme="minorHAnsi" w:hAnsiTheme="minorHAnsi" w:cstheme="minorHAnsi"/>
          <w:i/>
        </w:rPr>
        <w:t>CNK v R</w:t>
      </w:r>
      <w:r w:rsidRPr="007809F4">
        <w:rPr>
          <w:rFonts w:asciiTheme="minorHAnsi" w:hAnsiTheme="minorHAnsi" w:cstheme="minorHAnsi"/>
        </w:rPr>
        <w:t xml:space="preserve"> (2011) 32 VR 641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CNK v R</w:instrText>
      </w:r>
      <w:r w:rsidRPr="007809F4">
        <w:rPr>
          <w:rFonts w:asciiTheme="minorHAnsi" w:hAnsiTheme="minorHAnsi" w:cstheme="minorHAnsi"/>
        </w:rPr>
        <w:instrText xml:space="preserve"> (2011) 32 VR 641</w:instrText>
      </w:r>
      <w:r w:rsidRPr="00EB7F1E">
        <w:rPr>
          <w:rFonts w:asciiTheme="minorHAnsi" w:hAnsiTheme="minorHAnsi" w:cstheme="minorHAnsi"/>
        </w:rPr>
        <w:instrText xml:space="preserve">" \s "CNK v R (2011) 32 VR 641" \c 1 </w:instrText>
      </w:r>
      <w:r w:rsidRPr="00EB7F1E">
        <w:rPr>
          <w:rFonts w:asciiTheme="minorHAnsi" w:hAnsiTheme="minorHAnsi" w:cstheme="minorHAnsi"/>
        </w:rPr>
        <w:fldChar w:fldCharType="end"/>
      </w:r>
      <w:r w:rsidRPr="007809F4">
        <w:rPr>
          <w:rFonts w:asciiTheme="minorHAnsi" w:hAnsiTheme="minorHAnsi" w:cstheme="minorHAnsi"/>
        </w:rPr>
        <w:t xml:space="preserve">).  Such provisions may be irreconcilable with the requirements in s 16A of the </w:t>
      </w:r>
      <w:r w:rsidRPr="007809F4">
        <w:rPr>
          <w:rFonts w:asciiTheme="minorHAnsi" w:hAnsiTheme="minorHAnsi" w:cstheme="minorHAnsi"/>
          <w:i/>
        </w:rPr>
        <w:t>Crimes Act 1914</w:t>
      </w:r>
      <w:r w:rsidRPr="007809F4">
        <w:rPr>
          <w:rFonts w:asciiTheme="minorHAnsi" w:hAnsiTheme="minorHAnsi" w:cstheme="minorHAnsi"/>
        </w:rPr>
        <w:t xml:space="preserve"> that in sentencing a federal offender the court </w:t>
      </w:r>
      <w:r w:rsidRPr="007809F4">
        <w:rPr>
          <w:rFonts w:asciiTheme="minorHAnsi" w:hAnsiTheme="minorHAnsi" w:cstheme="minorHAnsi"/>
          <w:i/>
        </w:rPr>
        <w:t>must have regard</w:t>
      </w:r>
      <w:r w:rsidRPr="007809F4">
        <w:rPr>
          <w:rFonts w:asciiTheme="minorHAnsi" w:hAnsiTheme="minorHAnsi" w:cstheme="minorHAnsi"/>
        </w:rPr>
        <w:t xml:space="preserve"> to those factors, to the extent that they are relevant and known to the court.  Moreover to the extent that such State and Territory laws operate as a self-contained code, directed exclusively at consideration of the effect of the proposed sentence on the child (compare </w:t>
      </w:r>
      <w:r w:rsidRPr="007809F4">
        <w:rPr>
          <w:rFonts w:asciiTheme="minorHAnsi" w:hAnsiTheme="minorHAnsi" w:cstheme="minorHAnsi"/>
          <w:i/>
        </w:rPr>
        <w:t>Poutai v R</w:t>
      </w:r>
      <w:r w:rsidRPr="007809F4">
        <w:rPr>
          <w:rFonts w:asciiTheme="minorHAnsi" w:hAnsiTheme="minorHAnsi" w:cstheme="minorHAnsi"/>
        </w:rPr>
        <w:t xml:space="preserve"> [2011] VSCA 382</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Poutai v R</w:instrText>
      </w:r>
      <w:r w:rsidRPr="007809F4">
        <w:rPr>
          <w:rFonts w:asciiTheme="minorHAnsi" w:hAnsiTheme="minorHAnsi" w:cstheme="minorHAnsi"/>
        </w:rPr>
        <w:instrText xml:space="preserve"> [2011] VSCA 382</w:instrText>
      </w:r>
      <w:r w:rsidRPr="00EB7F1E">
        <w:rPr>
          <w:rFonts w:asciiTheme="minorHAnsi" w:hAnsiTheme="minorHAnsi" w:cstheme="minorHAnsi"/>
        </w:rPr>
        <w:instrText xml:space="preserve">" \s "Poutai v R [2011] VSCA 382" \c 1 </w:instrText>
      </w:r>
      <w:r w:rsidRPr="00EB7F1E">
        <w:rPr>
          <w:rFonts w:asciiTheme="minorHAnsi" w:hAnsiTheme="minorHAnsi" w:cstheme="minorHAnsi"/>
        </w:rPr>
        <w:fldChar w:fldCharType="end"/>
      </w:r>
      <w:r>
        <w:rPr>
          <w:rFonts w:asciiTheme="minorHAnsi" w:hAnsiTheme="minorHAnsi" w:cstheme="minorHAnsi"/>
        </w:rPr>
        <w:t xml:space="preserve">, </w:t>
      </w:r>
      <w:r w:rsidRPr="007809F4">
        <w:rPr>
          <w:rFonts w:asciiTheme="minorHAnsi" w:hAnsiTheme="minorHAnsi" w:cstheme="minorHAnsi"/>
        </w:rPr>
        <w:t xml:space="preserve">[20]-[26]; </w:t>
      </w:r>
      <w:r w:rsidRPr="007809F4">
        <w:rPr>
          <w:rFonts w:asciiTheme="minorHAnsi" w:hAnsiTheme="minorHAnsi" w:cstheme="minorHAnsi"/>
          <w:i/>
        </w:rPr>
        <w:t>Webster (a pseudonym) v R</w:t>
      </w:r>
      <w:r w:rsidRPr="007809F4">
        <w:rPr>
          <w:rFonts w:asciiTheme="minorHAnsi" w:hAnsiTheme="minorHAnsi" w:cstheme="minorHAnsi"/>
        </w:rPr>
        <w:t xml:space="preserve"> [2016] VSCA 66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Webster (a pseudonym) v R</w:instrText>
      </w:r>
      <w:r w:rsidRPr="007809F4">
        <w:rPr>
          <w:rFonts w:asciiTheme="minorHAnsi" w:hAnsiTheme="minorHAnsi" w:cstheme="minorHAnsi"/>
        </w:rPr>
        <w:instrText xml:space="preserve"> [2016] VSCA 66</w:instrText>
      </w:r>
      <w:r w:rsidRPr="00EB7F1E">
        <w:rPr>
          <w:rFonts w:asciiTheme="minorHAnsi" w:hAnsiTheme="minorHAnsi" w:cstheme="minorHAnsi"/>
        </w:rPr>
        <w:instrText xml:space="preserve">" \s "Webster (a pseudonym) v R [2016] VSCA 66" \c 1 </w:instrText>
      </w:r>
      <w:r w:rsidRPr="00EB7F1E">
        <w:rPr>
          <w:rFonts w:asciiTheme="minorHAnsi" w:hAnsiTheme="minorHAnsi" w:cstheme="minorHAnsi"/>
        </w:rPr>
        <w:fldChar w:fldCharType="end"/>
      </w:r>
      <w:r>
        <w:rPr>
          <w:rFonts w:asciiTheme="minorHAnsi" w:hAnsiTheme="minorHAnsi" w:cstheme="minorHAnsi"/>
        </w:rPr>
        <w:t xml:space="preserve">, </w:t>
      </w:r>
      <w:r w:rsidRPr="007809F4">
        <w:rPr>
          <w:rFonts w:asciiTheme="minorHAnsi" w:hAnsiTheme="minorHAnsi" w:cstheme="minorHAnsi"/>
        </w:rPr>
        <w:t xml:space="preserve">[23]-[28]), they may also be inconsistent with s 16A.  In most cases, applying s 16A rather than contrary State or Territory provisions would have little practical significance, because in determining the weight to be given to such matters as general and specific deterrence and rehabilitation, the sentencing court would take into account (as it is required to do under s 16A(2)(m)) the age of the offender. </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59">
    <w:p w14:paraId="19A7C9A8" w14:textId="73BD7CFD"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K v Children’s Court of Victoria</w:t>
      </w:r>
      <w:r w:rsidRPr="007809F4">
        <w:rPr>
          <w:rFonts w:asciiTheme="minorHAnsi" w:hAnsiTheme="minorHAnsi" w:cstheme="minorHAnsi"/>
        </w:rPr>
        <w:t xml:space="preserve"> [2015] VSC 645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K v Children’s Court of Victoria</w:instrText>
      </w:r>
      <w:r w:rsidRPr="007809F4">
        <w:rPr>
          <w:rFonts w:asciiTheme="minorHAnsi" w:hAnsiTheme="minorHAnsi" w:cstheme="minorHAnsi"/>
        </w:rPr>
        <w:instrText xml:space="preserve"> [2015] VSC 645</w:instrText>
      </w:r>
      <w:r w:rsidRPr="00EB7F1E">
        <w:rPr>
          <w:rFonts w:asciiTheme="minorHAnsi" w:hAnsiTheme="minorHAnsi" w:cstheme="minorHAnsi"/>
        </w:rPr>
        <w:instrText>" \s "K v Children</w:instrText>
      </w:r>
      <w:r w:rsidRPr="007809F4">
        <w:rPr>
          <w:rFonts w:asciiTheme="minorHAnsi" w:hAnsiTheme="minorHAnsi" w:cstheme="minorHAnsi"/>
        </w:rPr>
        <w:instrText>’</w:instrText>
      </w:r>
      <w:r w:rsidRPr="00EB7F1E">
        <w:rPr>
          <w:rFonts w:asciiTheme="minorHAnsi" w:hAnsiTheme="minorHAnsi" w:cstheme="minorHAnsi"/>
        </w:rPr>
        <w:instrText xml:space="preserve">s Court of Victoria [2015] VSC 645" \c 1 </w:instrText>
      </w:r>
      <w:r w:rsidRPr="00EB7F1E">
        <w:rPr>
          <w:rFonts w:asciiTheme="minorHAnsi" w:hAnsiTheme="minorHAnsi" w:cstheme="minorHAnsi"/>
        </w:rPr>
        <w:fldChar w:fldCharType="end"/>
      </w:r>
      <w:r w:rsidRPr="007809F4">
        <w:rPr>
          <w:rFonts w:asciiTheme="minorHAnsi" w:hAnsiTheme="minorHAnsi" w:cstheme="minorHAnsi"/>
        </w:rPr>
        <w:t xml:space="preserve">.  In that case, at the age of 17 years, K was charged with a terrorism offence punishable by life imprisonment.  Under the applicable State legislation, because of his age, K was a “child”.  The State legislation required the Children’s Court of Victoria to hear and determine summarily a charge against a child for an indictable offence (other than a specified State offence), unless by reason of exceptional circumstances the charge was unsuitable to be determined summarily.  The Children’s Court held that the charge was unsuitable to be determined summarily.  On judicial review, the Supreme Court found no error in the decision of the Children’s Court.  T Forrest J held that the nature and gravity of the offending, the insufficiency of the penalties available on summary determination, and the fact that the offender was aged 17 (and was therefore close to the threshold for prosecution as an adult) all warranted, and even “demanded”, that determination.  Ultimately the offender was sentenced by the Supreme Court, and re-sentenced by the Court of Appeal on an appeal by the CDPP, to a substantial term of imprisonment: </w:t>
      </w:r>
      <w:r w:rsidRPr="007809F4">
        <w:rPr>
          <w:rFonts w:asciiTheme="minorHAnsi" w:hAnsiTheme="minorHAnsi" w:cstheme="minorHAnsi"/>
          <w:i/>
        </w:rPr>
        <w:t>DPP (Cth) v MHK</w:t>
      </w:r>
      <w:r w:rsidRPr="007809F4">
        <w:rPr>
          <w:rFonts w:asciiTheme="minorHAnsi" w:hAnsiTheme="minorHAnsi" w:cstheme="minorHAnsi"/>
        </w:rPr>
        <w:t xml:space="preserve"> [2017] VSCA 157</w:t>
      </w:r>
      <w:r w:rsidRPr="00EB7F1E">
        <w:rPr>
          <w:rFonts w:asciiTheme="minorHAnsi" w:hAnsiTheme="minorHAnsi" w:cstheme="minorHAnsi"/>
        </w:rPr>
        <w:fldChar w:fldCharType="begin"/>
      </w:r>
      <w:r w:rsidRPr="007809F4">
        <w:rPr>
          <w:rFonts w:asciiTheme="minorHAnsi" w:hAnsiTheme="minorHAnsi" w:cstheme="minorHAnsi"/>
        </w:rPr>
        <w:instrText xml:space="preserve"> TA \s "DPP (Cth) v MHK [2017] VSCA 157"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"Magaming v R (2013) 252 CLR 381" </w:instrText>
      </w:r>
      <w:r w:rsidRPr="00EB7F1E">
        <w:rPr>
          <w:rFonts w:asciiTheme="minorHAnsi" w:hAnsiTheme="minorHAnsi" w:cstheme="minorHAnsi"/>
        </w:rPr>
        <w:fldChar w:fldCharType="end"/>
      </w:r>
    </w:p>
  </w:footnote>
  <w:footnote w:id="1160">
    <w:p w14:paraId="51BE411F" w14:textId="4DCD743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7809F4">
        <w:rPr>
          <w:rFonts w:asciiTheme="minorHAnsi" w:hAnsiTheme="minorHAnsi" w:cstheme="minorHAnsi"/>
          <w:i/>
        </w:rPr>
        <w:t>Judiciary Act 1903</w:t>
      </w:r>
      <w:r w:rsidRPr="007809F4">
        <w:rPr>
          <w:rFonts w:asciiTheme="minorHAnsi" w:hAnsiTheme="minorHAnsi" w:cstheme="minorHAnsi"/>
        </w:rPr>
        <w:t xml:space="preserve"> (Cth), s 71A; </w:t>
      </w:r>
      <w:r w:rsidRPr="007809F4">
        <w:rPr>
          <w:rFonts w:asciiTheme="minorHAnsi" w:hAnsiTheme="minorHAnsi" w:cstheme="minorHAnsi"/>
          <w:i/>
        </w:rPr>
        <w:t>Director of Public Prosecutions Act 1983</w:t>
      </w:r>
      <w:r w:rsidRPr="007809F4">
        <w:rPr>
          <w:rFonts w:asciiTheme="minorHAnsi" w:hAnsiTheme="minorHAnsi" w:cstheme="minorHAnsi"/>
        </w:rPr>
        <w:t xml:space="preserve"> (Cth), s 6.  See </w:t>
      </w:r>
      <w:r w:rsidRPr="007809F4">
        <w:rPr>
          <w:rFonts w:asciiTheme="minorHAnsi" w:hAnsiTheme="minorHAnsi" w:cstheme="minorHAnsi"/>
          <w:i/>
        </w:rPr>
        <w:t>R v Duffield</w:t>
      </w:r>
      <w:r w:rsidRPr="007809F4">
        <w:rPr>
          <w:rFonts w:asciiTheme="minorHAnsi" w:hAnsiTheme="minorHAnsi" w:cstheme="minorHAnsi"/>
        </w:rPr>
        <w:t xml:space="preserve"> (1992) 28 NSWLR 638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Duffield</w:instrText>
      </w:r>
      <w:r w:rsidRPr="007809F4">
        <w:rPr>
          <w:rFonts w:asciiTheme="minorHAnsi" w:hAnsiTheme="minorHAnsi" w:cstheme="minorHAnsi"/>
        </w:rPr>
        <w:instrText xml:space="preserve"> (1992) 28 NSWLR 638</w:instrText>
      </w:r>
      <w:r w:rsidRPr="00EB7F1E">
        <w:rPr>
          <w:rFonts w:asciiTheme="minorHAnsi" w:hAnsiTheme="minorHAnsi" w:cstheme="minorHAnsi"/>
        </w:rPr>
        <w:instrText xml:space="preserve">" \s "R v Duffield (1992) 28 NSWLR 638"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161">
    <w:p w14:paraId="70C9EB34" w14:textId="4770F0C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e.g., </w:t>
      </w:r>
      <w:r w:rsidRPr="007809F4">
        <w:rPr>
          <w:rFonts w:asciiTheme="minorHAnsi" w:hAnsiTheme="minorHAnsi" w:cstheme="minorHAnsi"/>
          <w:i/>
        </w:rPr>
        <w:t>Cameron v R</w:t>
      </w:r>
      <w:r w:rsidRPr="007809F4">
        <w:rPr>
          <w:rFonts w:asciiTheme="minorHAnsi" w:hAnsiTheme="minorHAnsi" w:cstheme="minorHAnsi"/>
        </w:rPr>
        <w:t xml:space="preserve"> </w:t>
      </w:r>
      <w:r w:rsidRPr="007809F4">
        <w:rPr>
          <w:rFonts w:asciiTheme="minorHAnsi" w:hAnsiTheme="minorHAnsi" w:cstheme="minorHAnsi"/>
          <w:noProof/>
          <w:color w:val="000000"/>
        </w:rPr>
        <w:t>(2002) 209 CLR 339</w:t>
      </w:r>
      <w:r w:rsidRPr="00EB7F1E">
        <w:rPr>
          <w:rFonts w:asciiTheme="minorHAnsi" w:hAnsiTheme="minorHAnsi" w:cstheme="minorHAnsi"/>
          <w:noProof/>
          <w:color w:val="000000"/>
        </w:rPr>
        <w:fldChar w:fldCharType="begin"/>
      </w:r>
      <w:r w:rsidRPr="007809F4">
        <w:rPr>
          <w:rFonts w:asciiTheme="minorHAnsi" w:hAnsiTheme="minorHAnsi" w:cstheme="minorHAnsi"/>
          <w:noProof/>
          <w:color w:val="000000"/>
        </w:rPr>
        <w:instrText xml:space="preserve"> TA \s "Cameron v R (2002) 209 CLR 339" </w:instrText>
      </w:r>
      <w:r w:rsidRPr="00EB7F1E">
        <w:rPr>
          <w:rFonts w:asciiTheme="minorHAnsi" w:hAnsiTheme="minorHAnsi" w:cstheme="minorHAnsi"/>
          <w:noProof/>
          <w:color w:val="000000"/>
        </w:rPr>
        <w:fldChar w:fldCharType="end"/>
      </w:r>
      <w:r w:rsidRPr="007809F4">
        <w:rPr>
          <w:rFonts w:asciiTheme="minorHAnsi" w:hAnsiTheme="minorHAnsi" w:cstheme="minorHAnsi"/>
          <w:noProof/>
          <w:color w:val="000000"/>
        </w:rPr>
        <w:t>, [4], [17], [46], [88]-[89].</w:t>
      </w:r>
    </w:p>
  </w:footnote>
  <w:footnote w:id="1162">
    <w:p w14:paraId="44F21A9C" w14:textId="2158AACC" w:rsidR="00D44BCF" w:rsidRPr="007809F4" w:rsidRDefault="00D44BCF" w:rsidP="001753B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a detailed outline see Australian Law Reform Commission, </w:t>
      </w:r>
      <w:r w:rsidRPr="007809F4">
        <w:rPr>
          <w:rFonts w:asciiTheme="minorHAnsi" w:hAnsiTheme="minorHAnsi" w:cstheme="minorHAnsi"/>
          <w:i/>
        </w:rPr>
        <w:t>Same Crime, Same Time: Sentencing of Federal Offenders</w:t>
      </w:r>
      <w:r w:rsidRPr="007809F4">
        <w:rPr>
          <w:rFonts w:asciiTheme="minorHAnsi" w:hAnsiTheme="minorHAnsi" w:cstheme="minorHAnsi"/>
        </w:rPr>
        <w:t xml:space="preserve"> </w:t>
      </w:r>
      <w:r w:rsidRPr="007809F4">
        <w:rPr>
          <w:rFonts w:asciiTheme="minorHAnsi" w:hAnsiTheme="minorHAnsi" w:cstheme="minorHAnsi"/>
          <w:iCs/>
        </w:rPr>
        <w:t>(ALRC 103, 2006)</w:t>
      </w:r>
      <w:r w:rsidRPr="007809F4">
        <w:rPr>
          <w:rFonts w:asciiTheme="minorHAnsi" w:hAnsiTheme="minorHAnsi" w:cstheme="minorHAnsi"/>
        </w:rPr>
        <w:t>, Chapter 28.</w:t>
      </w:r>
    </w:p>
  </w:footnote>
  <w:footnote w:id="1163">
    <w:p w14:paraId="1192C56A" w14:textId="779AAB72"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Kesavarajah v R</w:t>
      </w:r>
      <w:r w:rsidRPr="007809F4">
        <w:rPr>
          <w:rFonts w:asciiTheme="minorHAnsi" w:hAnsiTheme="minorHAnsi" w:cstheme="minorHAnsi"/>
        </w:rPr>
        <w:t xml:space="preserve"> (1994) 181 CLR 230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Kesavarajah v R</w:instrText>
      </w:r>
      <w:r w:rsidRPr="007809F4">
        <w:rPr>
          <w:rFonts w:asciiTheme="minorHAnsi" w:hAnsiTheme="minorHAnsi" w:cstheme="minorHAnsi"/>
        </w:rPr>
        <w:instrText xml:space="preserve"> (1994) 181 CLR 230" \s "Kesavarajah v R (1994) 181 CLR 230"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164">
    <w:p w14:paraId="67CAC1D7" w14:textId="464F89A2" w:rsidR="00D44BCF" w:rsidRPr="007809F4" w:rsidRDefault="00D44BCF" w:rsidP="001753B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Sexton</w:t>
      </w:r>
      <w:r w:rsidRPr="007809F4">
        <w:rPr>
          <w:rFonts w:asciiTheme="minorHAnsi" w:hAnsiTheme="minorHAnsi" w:cstheme="minorHAnsi"/>
        </w:rPr>
        <w:t xml:space="preserve"> (2000) 77 SASR 405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Sexton</w:instrText>
      </w:r>
      <w:r w:rsidRPr="007809F4">
        <w:rPr>
          <w:rFonts w:asciiTheme="minorHAnsi" w:hAnsiTheme="minorHAnsi" w:cstheme="minorHAnsi"/>
        </w:rPr>
        <w:instrText xml:space="preserve"> (2000) 77 SASR 405" \s "R v Sexton (2000) 77 SASR 405"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Sexton (2000) 77 SASR 405" </w:instrText>
      </w:r>
      <w:r w:rsidRPr="00EB7F1E">
        <w:rPr>
          <w:rFonts w:asciiTheme="minorHAnsi" w:hAnsiTheme="minorHAnsi" w:cstheme="minorHAnsi"/>
        </w:rPr>
        <w:fldChar w:fldCharType="end"/>
      </w:r>
      <w:r w:rsidRPr="007809F4">
        <w:rPr>
          <w:rFonts w:asciiTheme="minorHAnsi" w:hAnsiTheme="minorHAnsi" w:cstheme="minorHAnsi"/>
        </w:rPr>
        <w:t>. There are unresolved issues in relation to committals.  Refer to the footnotes to box 1 in Appendix 5 to this guide.</w:t>
      </w:r>
    </w:p>
  </w:footnote>
  <w:footnote w:id="1165">
    <w:p w14:paraId="2F3B0120" w14:textId="70764847" w:rsidR="00D44BCF" w:rsidRPr="007809F4" w:rsidRDefault="00D44BCF" w:rsidP="006A5317">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Putland v R</w:t>
      </w:r>
      <w:r w:rsidRPr="007809F4">
        <w:rPr>
          <w:rFonts w:asciiTheme="minorHAnsi" w:hAnsiTheme="minorHAnsi" w:cstheme="minorHAnsi"/>
        </w:rPr>
        <w:t xml:space="preserve"> (2004) 218 CLR 174</w:t>
      </w:r>
      <w:r w:rsidRPr="00EB7F1E">
        <w:rPr>
          <w:rFonts w:asciiTheme="minorHAnsi" w:hAnsiTheme="minorHAnsi" w:cstheme="minorHAnsi"/>
        </w:rPr>
        <w:fldChar w:fldCharType="begin"/>
      </w:r>
      <w:r w:rsidRPr="007809F4">
        <w:rPr>
          <w:rFonts w:asciiTheme="minorHAnsi" w:hAnsiTheme="minorHAnsi" w:cstheme="minorHAnsi"/>
        </w:rPr>
        <w:instrText xml:space="preserve"> TA \s "Putland v R (2004) 218 CLR 174" </w:instrText>
      </w:r>
      <w:r w:rsidRPr="00EB7F1E">
        <w:rPr>
          <w:rFonts w:asciiTheme="minorHAnsi" w:hAnsiTheme="minorHAnsi" w:cstheme="minorHAnsi"/>
        </w:rPr>
        <w:fldChar w:fldCharType="end"/>
      </w:r>
      <w:r w:rsidRPr="007809F4">
        <w:rPr>
          <w:rFonts w:asciiTheme="minorHAnsi" w:hAnsiTheme="minorHAnsi" w:cstheme="minorHAnsi"/>
        </w:rPr>
        <w:t>, [24] (Gleeson CJ).  See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_Ref10263826 \r \h  \* MERGEFORMAT </w:instrText>
      </w:r>
      <w:r w:rsidRPr="00EB7F1E">
        <w:rPr>
          <w:rFonts w:asciiTheme="minorHAnsi" w:hAnsiTheme="minorHAnsi" w:cstheme="minorHAnsi"/>
        </w:rPr>
      </w:r>
      <w:r w:rsidRPr="00EB7F1E">
        <w:rPr>
          <w:rFonts w:asciiTheme="minorHAnsi" w:hAnsiTheme="minorHAnsi" w:cstheme="minorHAnsi"/>
        </w:rPr>
        <w:fldChar w:fldCharType="separate"/>
      </w:r>
      <w:r>
        <w:rPr>
          <w:rFonts w:asciiTheme="minorHAnsi" w:hAnsiTheme="minorHAnsi" w:cstheme="minorHAnsi"/>
        </w:rPr>
        <w:t>2.7</w: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rPr>
        <w:fldChar w:fldCharType="begin"/>
      </w:r>
      <w:r w:rsidRPr="007809F4">
        <w:rPr>
          <w:rFonts w:asciiTheme="minorHAnsi" w:hAnsiTheme="minorHAnsi" w:cstheme="minorHAnsi"/>
        </w:rPr>
        <w:instrText xml:space="preserve"> REF _Ref10263826 \h  \* MERGEFORMAT </w:instrText>
      </w:r>
      <w:r w:rsidRPr="00EB7F1E">
        <w:rPr>
          <w:rFonts w:asciiTheme="minorHAnsi" w:hAnsiTheme="minorHAnsi" w:cstheme="minorHAnsi"/>
        </w:rPr>
      </w:r>
      <w:r w:rsidRPr="00EB7F1E">
        <w:rPr>
          <w:rFonts w:asciiTheme="minorHAnsi" w:hAnsiTheme="minorHAnsi" w:cstheme="minorHAnsi"/>
        </w:rPr>
        <w:fldChar w:fldCharType="separate"/>
      </w:r>
      <w:r w:rsidRPr="00EB7F1E">
        <w:rPr>
          <w:rFonts w:asciiTheme="minorHAnsi" w:hAnsiTheme="minorHAnsi" w:cstheme="minorHAnsi"/>
        </w:rPr>
        <w:t>The application of State and Territory laws by Judiciary Act 1903, ss 68 and 79</w: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"R v Presser [1958] VR 45" </w:instrText>
      </w:r>
      <w:r w:rsidRPr="00EB7F1E">
        <w:rPr>
          <w:rFonts w:asciiTheme="minorHAnsi" w:hAnsiTheme="minorHAnsi" w:cstheme="minorHAnsi"/>
        </w:rPr>
        <w:fldChar w:fldCharType="end"/>
      </w:r>
    </w:p>
  </w:footnote>
  <w:footnote w:id="1166">
    <w:p w14:paraId="2BA59AF5" w14:textId="1CF2299D" w:rsidR="00D44BCF" w:rsidRPr="007809F4" w:rsidRDefault="00D44BCF" w:rsidP="000A724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b/>
          <w:bCs/>
        </w:rPr>
        <w:t xml:space="preserve">NSW: </w:t>
      </w:r>
      <w:r w:rsidRPr="007809F4">
        <w:rPr>
          <w:rFonts w:asciiTheme="minorHAnsi" w:hAnsiTheme="minorHAnsi" w:cstheme="minorHAnsi"/>
          <w:i/>
        </w:rPr>
        <w:t xml:space="preserve">Mental Health (Forensic Provisions) Act </w:t>
      </w:r>
      <w:r w:rsidRPr="007809F4">
        <w:rPr>
          <w:rFonts w:asciiTheme="minorHAnsi" w:hAnsiTheme="minorHAnsi" w:cstheme="minorHAnsi"/>
          <w:i/>
          <w:iCs/>
        </w:rPr>
        <w:t>1990</w:t>
      </w:r>
      <w:r w:rsidRPr="007809F4">
        <w:rPr>
          <w:rFonts w:asciiTheme="minorHAnsi" w:hAnsiTheme="minorHAnsi" w:cstheme="minorHAnsi"/>
        </w:rPr>
        <w:t xml:space="preserve"> (NSW), Part 2 - the criteria for unfitness are not defined in the legislation, and must be determined by reference to the common law. </w:t>
      </w:r>
      <w:r w:rsidRPr="00EB7F1E">
        <w:rPr>
          <w:rFonts w:asciiTheme="minorHAnsi" w:hAnsiTheme="minorHAnsi" w:cstheme="minorHAnsi"/>
          <w:b/>
          <w:bCs/>
        </w:rPr>
        <w:t>Vic:</w:t>
      </w:r>
      <w:r w:rsidRPr="007809F4">
        <w:rPr>
          <w:rFonts w:asciiTheme="minorHAnsi" w:hAnsiTheme="minorHAnsi" w:cstheme="minorHAnsi"/>
        </w:rPr>
        <w:t xml:space="preserve"> </w:t>
      </w:r>
      <w:r w:rsidRPr="007809F4">
        <w:rPr>
          <w:rFonts w:asciiTheme="minorHAnsi" w:hAnsiTheme="minorHAnsi" w:cstheme="minorHAnsi"/>
          <w:i/>
        </w:rPr>
        <w:t>Crimes (Mental Impairment and Unfitness to be Tried) Act</w:t>
      </w:r>
      <w:r w:rsidRPr="007809F4">
        <w:rPr>
          <w:rFonts w:asciiTheme="minorHAnsi" w:hAnsiTheme="minorHAnsi" w:cstheme="minorHAnsi"/>
        </w:rPr>
        <w:t xml:space="preserve"> </w:t>
      </w:r>
      <w:r w:rsidRPr="007809F4">
        <w:rPr>
          <w:rFonts w:asciiTheme="minorHAnsi" w:hAnsiTheme="minorHAnsi" w:cstheme="minorHAnsi"/>
          <w:i/>
          <w:iCs/>
        </w:rPr>
        <w:t>1997</w:t>
      </w:r>
      <w:r w:rsidRPr="007809F4">
        <w:rPr>
          <w:rFonts w:asciiTheme="minorHAnsi" w:hAnsiTheme="minorHAnsi" w:cstheme="minorHAnsi"/>
        </w:rPr>
        <w:t xml:space="preserve"> (Vic), Part 2 - the criteria for unfitness are set out in s 6.  </w:t>
      </w:r>
      <w:r w:rsidRPr="00EB7F1E">
        <w:rPr>
          <w:rFonts w:asciiTheme="minorHAnsi" w:hAnsiTheme="minorHAnsi" w:cstheme="minorHAnsi"/>
          <w:b/>
          <w:bCs/>
        </w:rPr>
        <w:t xml:space="preserve">Qld: </w:t>
      </w:r>
      <w:r w:rsidRPr="007809F4">
        <w:rPr>
          <w:rFonts w:asciiTheme="minorHAnsi" w:hAnsiTheme="minorHAnsi" w:cstheme="minorHAnsi"/>
          <w:i/>
        </w:rPr>
        <w:t xml:space="preserve">Criminal Code </w:t>
      </w:r>
      <w:r w:rsidRPr="007809F4">
        <w:rPr>
          <w:rFonts w:asciiTheme="minorHAnsi" w:hAnsiTheme="minorHAnsi" w:cstheme="minorHAnsi"/>
          <w:i/>
          <w:iCs/>
        </w:rPr>
        <w:t>1889</w:t>
      </w:r>
      <w:r w:rsidRPr="007809F4">
        <w:rPr>
          <w:rFonts w:asciiTheme="minorHAnsi" w:hAnsiTheme="minorHAnsi" w:cstheme="minorHAnsi"/>
        </w:rPr>
        <w:t xml:space="preserve"> (Qld), ss 613 and 645 – the criteria for unfitness are not defined in the legislation, and must be determined by reference to the common law.  </w:t>
      </w:r>
      <w:r w:rsidRPr="00EB7F1E">
        <w:rPr>
          <w:rFonts w:asciiTheme="minorHAnsi" w:hAnsiTheme="minorHAnsi" w:cstheme="minorHAnsi"/>
          <w:b/>
          <w:bCs/>
        </w:rPr>
        <w:t>WA:</w:t>
      </w:r>
      <w:r w:rsidRPr="007809F4">
        <w:rPr>
          <w:rFonts w:asciiTheme="minorHAnsi" w:hAnsiTheme="minorHAnsi" w:cstheme="minorHAnsi"/>
        </w:rPr>
        <w:t xml:space="preserve"> </w:t>
      </w:r>
      <w:r w:rsidRPr="007809F4">
        <w:rPr>
          <w:rFonts w:asciiTheme="minorHAnsi" w:hAnsiTheme="minorHAnsi" w:cstheme="minorHAnsi"/>
          <w:i/>
        </w:rPr>
        <w:t>Criminal Law (Mentally Impaired Accused) Act 1996</w:t>
      </w:r>
      <w:r w:rsidRPr="007809F4">
        <w:rPr>
          <w:rFonts w:asciiTheme="minorHAnsi" w:hAnsiTheme="minorHAnsi" w:cstheme="minorHAnsi"/>
        </w:rPr>
        <w:t xml:space="preserve"> (WA), Part 3 - the criteria for unfitness are set out in s 9.  </w:t>
      </w:r>
      <w:r w:rsidRPr="00EB7F1E">
        <w:rPr>
          <w:rFonts w:asciiTheme="minorHAnsi" w:hAnsiTheme="minorHAnsi" w:cstheme="minorHAnsi"/>
          <w:b/>
          <w:bCs/>
        </w:rPr>
        <w:t>SA:</w:t>
      </w:r>
      <w:r w:rsidRPr="007809F4">
        <w:rPr>
          <w:rFonts w:asciiTheme="minorHAnsi" w:hAnsiTheme="minorHAnsi" w:cstheme="minorHAnsi"/>
        </w:rPr>
        <w:t xml:space="preserve"> </w:t>
      </w:r>
      <w:r w:rsidRPr="007809F4">
        <w:rPr>
          <w:rFonts w:asciiTheme="minorHAnsi" w:hAnsiTheme="minorHAnsi" w:cstheme="minorHAnsi"/>
          <w:i/>
        </w:rPr>
        <w:t>Criminal Law Consolidation Act</w:t>
      </w:r>
      <w:r w:rsidRPr="007809F4">
        <w:rPr>
          <w:rFonts w:asciiTheme="minorHAnsi" w:hAnsiTheme="minorHAnsi" w:cstheme="minorHAnsi"/>
        </w:rPr>
        <w:t xml:space="preserve"> </w:t>
      </w:r>
      <w:r w:rsidRPr="007809F4">
        <w:rPr>
          <w:rFonts w:asciiTheme="minorHAnsi" w:hAnsiTheme="minorHAnsi" w:cstheme="minorHAnsi"/>
          <w:i/>
          <w:iCs/>
        </w:rPr>
        <w:t>1935</w:t>
      </w:r>
      <w:r w:rsidRPr="007809F4">
        <w:rPr>
          <w:rFonts w:asciiTheme="minorHAnsi" w:hAnsiTheme="minorHAnsi" w:cstheme="minorHAnsi"/>
        </w:rPr>
        <w:t xml:space="preserve"> (SA), Part 8A - the criteria for unfitness are set out in s 269H. </w:t>
      </w:r>
      <w:r w:rsidRPr="00EB7F1E">
        <w:rPr>
          <w:rFonts w:asciiTheme="minorHAnsi" w:hAnsiTheme="minorHAnsi" w:cstheme="minorHAnsi"/>
          <w:b/>
          <w:bCs/>
        </w:rPr>
        <w:t>Tas:</w:t>
      </w:r>
      <w:r w:rsidRPr="007809F4">
        <w:rPr>
          <w:rFonts w:asciiTheme="minorHAnsi" w:hAnsiTheme="minorHAnsi" w:cstheme="minorHAnsi"/>
        </w:rPr>
        <w:t xml:space="preserve"> </w:t>
      </w:r>
      <w:r w:rsidRPr="007809F4">
        <w:rPr>
          <w:rFonts w:asciiTheme="minorHAnsi" w:hAnsiTheme="minorHAnsi" w:cstheme="minorHAnsi"/>
          <w:i/>
        </w:rPr>
        <w:t>Criminal Justice (Mental Impairment) Act</w:t>
      </w:r>
      <w:r w:rsidRPr="007809F4">
        <w:rPr>
          <w:rFonts w:asciiTheme="minorHAnsi" w:hAnsiTheme="minorHAnsi" w:cstheme="minorHAnsi"/>
        </w:rPr>
        <w:t xml:space="preserve"> </w:t>
      </w:r>
      <w:r w:rsidRPr="007809F4">
        <w:rPr>
          <w:rFonts w:asciiTheme="minorHAnsi" w:hAnsiTheme="minorHAnsi" w:cstheme="minorHAnsi"/>
          <w:i/>
          <w:iCs/>
        </w:rPr>
        <w:t>1999</w:t>
      </w:r>
      <w:r w:rsidRPr="007809F4">
        <w:rPr>
          <w:rFonts w:asciiTheme="minorHAnsi" w:hAnsiTheme="minorHAnsi" w:cstheme="minorHAnsi"/>
        </w:rPr>
        <w:t xml:space="preserve"> (Tas), Part 2 - the criteria for unfitness are set out in s 8.  </w:t>
      </w:r>
      <w:r w:rsidRPr="00EB7F1E">
        <w:rPr>
          <w:rFonts w:asciiTheme="minorHAnsi" w:hAnsiTheme="minorHAnsi" w:cstheme="minorHAnsi"/>
          <w:b/>
          <w:bCs/>
        </w:rPr>
        <w:t>ACT:</w:t>
      </w:r>
      <w:r w:rsidRPr="007809F4">
        <w:rPr>
          <w:rFonts w:asciiTheme="minorHAnsi" w:hAnsiTheme="minorHAnsi" w:cstheme="minorHAnsi"/>
        </w:rPr>
        <w:t xml:space="preserve"> </w:t>
      </w:r>
      <w:r w:rsidRPr="007809F4">
        <w:rPr>
          <w:rFonts w:asciiTheme="minorHAnsi" w:hAnsiTheme="minorHAnsi" w:cstheme="minorHAnsi"/>
          <w:i/>
        </w:rPr>
        <w:t>Crimes Act</w:t>
      </w:r>
      <w:r w:rsidRPr="007809F4">
        <w:rPr>
          <w:rFonts w:asciiTheme="minorHAnsi" w:hAnsiTheme="minorHAnsi" w:cstheme="minorHAnsi"/>
        </w:rPr>
        <w:t xml:space="preserve"> </w:t>
      </w:r>
      <w:r w:rsidRPr="007809F4">
        <w:rPr>
          <w:rFonts w:asciiTheme="minorHAnsi" w:hAnsiTheme="minorHAnsi" w:cstheme="minorHAnsi"/>
          <w:i/>
          <w:iCs/>
        </w:rPr>
        <w:t>1900</w:t>
      </w:r>
      <w:r w:rsidRPr="007809F4">
        <w:rPr>
          <w:rFonts w:asciiTheme="minorHAnsi" w:hAnsiTheme="minorHAnsi" w:cstheme="minorHAnsi"/>
        </w:rPr>
        <w:t xml:space="preserve"> (ACT), Divisions 13.2 and 13.6 - the criteria for unfitness are set out in s 311.  </w:t>
      </w:r>
      <w:r w:rsidRPr="00EB7F1E">
        <w:rPr>
          <w:rFonts w:asciiTheme="minorHAnsi" w:hAnsiTheme="minorHAnsi" w:cstheme="minorHAnsi"/>
          <w:b/>
          <w:bCs/>
        </w:rPr>
        <w:t>NT:</w:t>
      </w:r>
      <w:r w:rsidRPr="007809F4">
        <w:rPr>
          <w:rFonts w:asciiTheme="minorHAnsi" w:hAnsiTheme="minorHAnsi" w:cstheme="minorHAnsi"/>
        </w:rPr>
        <w:t xml:space="preserve"> </w:t>
      </w:r>
      <w:r w:rsidRPr="007809F4">
        <w:rPr>
          <w:rFonts w:asciiTheme="minorHAnsi" w:hAnsiTheme="minorHAnsi" w:cstheme="minorHAnsi"/>
          <w:i/>
        </w:rPr>
        <w:t xml:space="preserve">Criminal Code Act </w:t>
      </w:r>
      <w:r w:rsidRPr="007809F4">
        <w:rPr>
          <w:rFonts w:asciiTheme="minorHAnsi" w:hAnsiTheme="minorHAnsi" w:cstheme="minorHAnsi"/>
          <w:i/>
          <w:iCs/>
        </w:rPr>
        <w:t>1983</w:t>
      </w:r>
      <w:r w:rsidRPr="007809F4">
        <w:rPr>
          <w:rFonts w:asciiTheme="minorHAnsi" w:hAnsiTheme="minorHAnsi" w:cstheme="minorHAnsi"/>
        </w:rPr>
        <w:t xml:space="preserve"> (NT), Schedule 1, Part IIA - the criteria for unfitness are set out in s 43J.</w:t>
      </w:r>
    </w:p>
  </w:footnote>
  <w:footnote w:id="1167">
    <w:p w14:paraId="0B367F7A" w14:textId="3BBEBC2F" w:rsidR="00D44BCF" w:rsidRPr="007809F4" w:rsidRDefault="00D44BCF" w:rsidP="000A724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The exceptions are New South Wales and Western Australia, where the question of unfitness is determined by judge alone: see </w:t>
      </w:r>
      <w:r w:rsidRPr="007809F4">
        <w:rPr>
          <w:rFonts w:asciiTheme="minorHAnsi" w:hAnsiTheme="minorHAnsi" w:cstheme="minorHAnsi"/>
          <w:i/>
        </w:rPr>
        <w:t xml:space="preserve">Mental Health (Forensic Provisions) Act </w:t>
      </w:r>
      <w:r w:rsidRPr="007809F4">
        <w:rPr>
          <w:rFonts w:asciiTheme="minorHAnsi" w:hAnsiTheme="minorHAnsi" w:cstheme="minorHAnsi"/>
          <w:i/>
          <w:iCs/>
        </w:rPr>
        <w:t>1990</w:t>
      </w:r>
      <w:r w:rsidRPr="007809F4">
        <w:rPr>
          <w:rFonts w:asciiTheme="minorHAnsi" w:hAnsiTheme="minorHAnsi" w:cstheme="minorHAnsi"/>
        </w:rPr>
        <w:t xml:space="preserve"> (NSW), s 11; </w:t>
      </w:r>
      <w:r w:rsidRPr="007809F4">
        <w:rPr>
          <w:rFonts w:asciiTheme="minorHAnsi" w:hAnsiTheme="minorHAnsi" w:cstheme="minorHAnsi"/>
          <w:i/>
        </w:rPr>
        <w:t>Criminal Law (Mentally Impaired Accused) Act 1996</w:t>
      </w:r>
      <w:r w:rsidRPr="007809F4">
        <w:rPr>
          <w:rFonts w:asciiTheme="minorHAnsi" w:hAnsiTheme="minorHAnsi" w:cstheme="minorHAnsi"/>
        </w:rPr>
        <w:t xml:space="preserve"> (WA), s 12.  In South Australia, unfitness is determined by a jury, unless the defendant has elected to have the matter determined by judge alone; see </w:t>
      </w:r>
      <w:r w:rsidRPr="007809F4">
        <w:rPr>
          <w:rFonts w:asciiTheme="minorHAnsi" w:hAnsiTheme="minorHAnsi" w:cstheme="minorHAnsi"/>
          <w:i/>
        </w:rPr>
        <w:t>Criminal Law Consolidation Act</w:t>
      </w:r>
      <w:r w:rsidRPr="007809F4">
        <w:rPr>
          <w:rFonts w:asciiTheme="minorHAnsi" w:hAnsiTheme="minorHAnsi" w:cstheme="minorHAnsi"/>
        </w:rPr>
        <w:t xml:space="preserve"> </w:t>
      </w:r>
      <w:r w:rsidRPr="007809F4">
        <w:rPr>
          <w:rFonts w:asciiTheme="minorHAnsi" w:hAnsiTheme="minorHAnsi" w:cstheme="minorHAnsi"/>
          <w:i/>
          <w:iCs/>
        </w:rPr>
        <w:t>1935</w:t>
      </w:r>
      <w:r w:rsidRPr="007809F4">
        <w:rPr>
          <w:rFonts w:asciiTheme="minorHAnsi" w:hAnsiTheme="minorHAnsi" w:cstheme="minorHAnsi"/>
        </w:rPr>
        <w:t xml:space="preserve"> (SA), s 269B.  In </w:t>
      </w:r>
      <w:r w:rsidRPr="00EB7F1E">
        <w:rPr>
          <w:rFonts w:asciiTheme="minorHAnsi" w:hAnsiTheme="minorHAnsi" w:cstheme="minorHAnsi"/>
          <w:i/>
          <w:iCs/>
        </w:rPr>
        <w:t>R v Baladjam (No</w:t>
      </w:r>
      <w:r w:rsidRPr="007809F4">
        <w:rPr>
          <w:rFonts w:asciiTheme="minorHAnsi" w:hAnsiTheme="minorHAnsi" w:cstheme="minorHAnsi"/>
          <w:i/>
          <w:iCs/>
        </w:rPr>
        <w:t xml:space="preserve"> </w:t>
      </w:r>
      <w:r w:rsidRPr="00EB7F1E">
        <w:rPr>
          <w:rFonts w:asciiTheme="minorHAnsi" w:hAnsiTheme="minorHAnsi" w:cstheme="minorHAnsi"/>
          <w:i/>
          <w:iCs/>
        </w:rPr>
        <w:t>13)</w:t>
      </w:r>
      <w:r w:rsidRPr="007809F4">
        <w:rPr>
          <w:rFonts w:asciiTheme="minorHAnsi" w:hAnsiTheme="minorHAnsi" w:cstheme="minorHAnsi"/>
        </w:rPr>
        <w:t xml:space="preserve"> [2008] NSWSC 1437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Baladjam (No</w:instrText>
      </w:r>
      <w:r w:rsidRPr="007809F4">
        <w:rPr>
          <w:rFonts w:asciiTheme="minorHAnsi" w:hAnsiTheme="minorHAnsi" w:cstheme="minorHAnsi"/>
          <w:i/>
          <w:iCs/>
        </w:rPr>
        <w:instrText xml:space="preserve"> </w:instrText>
      </w:r>
      <w:r w:rsidRPr="00EB7F1E">
        <w:rPr>
          <w:rFonts w:asciiTheme="minorHAnsi" w:hAnsiTheme="minorHAnsi" w:cstheme="minorHAnsi"/>
          <w:i/>
          <w:iCs/>
        </w:rPr>
        <w:instrText>13)</w:instrText>
      </w:r>
      <w:r w:rsidRPr="007809F4">
        <w:rPr>
          <w:rFonts w:asciiTheme="minorHAnsi" w:hAnsiTheme="minorHAnsi" w:cstheme="minorHAnsi"/>
        </w:rPr>
        <w:instrText xml:space="preserve"> [2008] NSWSC 1437</w:instrText>
      </w:r>
      <w:r w:rsidRPr="00EB7F1E">
        <w:rPr>
          <w:rFonts w:asciiTheme="minorHAnsi" w:hAnsiTheme="minorHAnsi" w:cstheme="minorHAnsi"/>
        </w:rPr>
        <w:instrText xml:space="preserve">" \s "R v Baladjam (No 13) [2008] NSWSC 1437" \c 1 </w:instrText>
      </w:r>
      <w:r w:rsidRPr="00EB7F1E">
        <w:rPr>
          <w:rFonts w:asciiTheme="minorHAnsi" w:hAnsiTheme="minorHAnsi" w:cstheme="minorHAnsi"/>
        </w:rPr>
        <w:fldChar w:fldCharType="end"/>
      </w:r>
      <w:r w:rsidRPr="007809F4">
        <w:rPr>
          <w:rFonts w:asciiTheme="minorHAnsi" w:hAnsiTheme="minorHAnsi" w:cstheme="minorHAnsi"/>
        </w:rPr>
        <w:t xml:space="preserve"> (which concerned proceedings for a federal offence), Whealy J ruled that, in the circumstances, s 80 of the Constitution did not preclude determination of fitness by judge alone.</w:t>
      </w:r>
    </w:p>
  </w:footnote>
  <w:footnote w:id="1168">
    <w:p w14:paraId="3840E619" w14:textId="1230454D" w:rsidR="00D44BCF" w:rsidRPr="007809F4" w:rsidRDefault="00D44BCF" w:rsidP="00445613">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Style w:val="ssleftalign"/>
          <w:rFonts w:asciiTheme="minorHAnsi" w:hAnsiTheme="minorHAnsi" w:cstheme="minorHAnsi"/>
          <w:i/>
          <w:iCs/>
          <w:szCs w:val="22"/>
        </w:rPr>
        <w:t>R v Sharrouf (No 2)</w:t>
      </w:r>
      <w:r w:rsidRPr="007809F4">
        <w:rPr>
          <w:rStyle w:val="ssleftalign"/>
          <w:rFonts w:asciiTheme="minorHAnsi" w:hAnsiTheme="minorHAnsi" w:cstheme="minorHAnsi"/>
          <w:szCs w:val="22"/>
        </w:rPr>
        <w:t xml:space="preserve"> [2008] NSWSC 1450</w:t>
      </w:r>
      <w:r w:rsidRPr="00EB7F1E">
        <w:rPr>
          <w:rStyle w:val="ssleftalign"/>
          <w:rFonts w:asciiTheme="minorHAnsi" w:hAnsiTheme="minorHAnsi" w:cstheme="minorHAnsi"/>
          <w:szCs w:val="22"/>
        </w:rPr>
        <w:fldChar w:fldCharType="begin"/>
      </w:r>
      <w:r w:rsidRPr="00EB7F1E">
        <w:rPr>
          <w:rFonts w:asciiTheme="minorHAnsi" w:hAnsiTheme="minorHAnsi" w:cstheme="minorHAnsi"/>
        </w:rPr>
        <w:instrText xml:space="preserve"> TA \l "</w:instrText>
      </w:r>
      <w:r w:rsidRPr="00EB7F1E">
        <w:rPr>
          <w:rStyle w:val="ssleftalign"/>
          <w:rFonts w:asciiTheme="minorHAnsi" w:hAnsiTheme="minorHAnsi" w:cstheme="minorHAnsi"/>
          <w:i/>
          <w:iCs/>
          <w:szCs w:val="22"/>
        </w:rPr>
        <w:instrText>R v Sharrouf (No 2)</w:instrText>
      </w:r>
      <w:r w:rsidRPr="007809F4">
        <w:rPr>
          <w:rStyle w:val="ssleftalign"/>
          <w:rFonts w:asciiTheme="minorHAnsi" w:hAnsiTheme="minorHAnsi" w:cstheme="minorHAnsi"/>
          <w:szCs w:val="22"/>
        </w:rPr>
        <w:instrText xml:space="preserve"> [2008] NSWSC 1450</w:instrText>
      </w:r>
      <w:r w:rsidRPr="00EB7F1E">
        <w:rPr>
          <w:rFonts w:asciiTheme="minorHAnsi" w:hAnsiTheme="minorHAnsi" w:cstheme="minorHAnsi"/>
        </w:rPr>
        <w:instrText xml:space="preserve">" \s "R v Sharrouf (No 2) [2008] NSWSC 1450" \c 1 </w:instrText>
      </w:r>
      <w:r w:rsidRPr="00EB7F1E">
        <w:rPr>
          <w:rStyle w:val="ssleftalign"/>
          <w:rFonts w:asciiTheme="minorHAnsi" w:hAnsiTheme="minorHAnsi" w:cstheme="minorHAnsi"/>
          <w:szCs w:val="22"/>
        </w:rPr>
        <w:fldChar w:fldCharType="end"/>
      </w:r>
      <w:r w:rsidRPr="007809F4">
        <w:rPr>
          <w:rStyle w:val="ssleftalign"/>
          <w:rFonts w:asciiTheme="minorHAnsi" w:hAnsiTheme="minorHAnsi" w:cstheme="minorHAnsi"/>
          <w:szCs w:val="22"/>
        </w:rPr>
        <w:t>, [5]-[7].</w:t>
      </w:r>
      <w:r w:rsidRPr="00EB7F1E">
        <w:rPr>
          <w:rFonts w:asciiTheme="minorHAnsi" w:hAnsiTheme="minorHAnsi" w:cstheme="minorHAnsi"/>
        </w:rPr>
        <w:fldChar w:fldCharType="begin"/>
      </w:r>
      <w:r w:rsidRPr="007809F4">
        <w:rPr>
          <w:rFonts w:asciiTheme="minorHAnsi" w:hAnsiTheme="minorHAnsi" w:cstheme="minorHAnsi"/>
        </w:rPr>
        <w:instrText xml:space="preserve">  "R v Presser [1958] VR 45" </w:instrText>
      </w:r>
      <w:r w:rsidRPr="00EB7F1E">
        <w:rPr>
          <w:rFonts w:asciiTheme="minorHAnsi" w:hAnsiTheme="minorHAnsi" w:cstheme="minorHAnsi"/>
        </w:rPr>
        <w:fldChar w:fldCharType="end"/>
      </w:r>
    </w:p>
  </w:footnote>
  <w:footnote w:id="1169">
    <w:p w14:paraId="7ECACDEA" w14:textId="528BD85C" w:rsidR="00D44BCF" w:rsidRPr="00EB7F1E" w:rsidRDefault="00D44BCF" w:rsidP="00994786">
      <w:pPr>
        <w:pStyle w:val="FootnoteText"/>
        <w:tabs>
          <w:tab w:val="left" w:pos="567"/>
        </w:tabs>
        <w:ind w:left="426" w:hanging="426"/>
        <w:jc w:val="both"/>
        <w:rPr>
          <w:rStyle w:val="ssleftalign"/>
          <w:rFonts w:asciiTheme="minorHAnsi" w:hAnsiTheme="minorHAnsi" w:cstheme="minorHAnsi"/>
          <w:szCs w:val="22"/>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Style w:val="ssleftalign"/>
          <w:rFonts w:asciiTheme="minorHAnsi" w:hAnsiTheme="minorHAnsi" w:cstheme="minorHAnsi"/>
          <w:i/>
          <w:iCs/>
          <w:szCs w:val="22"/>
        </w:rPr>
        <w:t>R v Presser</w:t>
      </w:r>
      <w:r w:rsidRPr="007809F4">
        <w:rPr>
          <w:rStyle w:val="ssleftalign"/>
          <w:rFonts w:asciiTheme="minorHAnsi" w:hAnsiTheme="minorHAnsi" w:cstheme="minorHAnsi"/>
          <w:szCs w:val="22"/>
        </w:rPr>
        <w:t xml:space="preserve"> [1958] VR 45;</w:t>
      </w:r>
      <w:bookmarkStart w:id="3163" w:name="_Hlk11676523"/>
      <w:r w:rsidRPr="007809F4">
        <w:rPr>
          <w:rStyle w:val="ssleftalign"/>
          <w:rFonts w:asciiTheme="minorHAnsi" w:hAnsiTheme="minorHAnsi" w:cstheme="minorHAnsi"/>
          <w:szCs w:val="22"/>
        </w:rPr>
        <w:t xml:space="preserve"> </w:t>
      </w:r>
      <w:r w:rsidRPr="007809F4">
        <w:rPr>
          <w:rStyle w:val="ssleftalign"/>
          <w:rFonts w:asciiTheme="minorHAnsi" w:hAnsiTheme="minorHAnsi" w:cstheme="minorHAnsi"/>
          <w:i/>
          <w:iCs/>
          <w:szCs w:val="22"/>
        </w:rPr>
        <w:t>R v Sharrouf (No 2)</w:t>
      </w:r>
      <w:r w:rsidRPr="007809F4">
        <w:rPr>
          <w:rStyle w:val="ssleftalign"/>
          <w:rFonts w:asciiTheme="minorHAnsi" w:hAnsiTheme="minorHAnsi" w:cstheme="minorHAnsi"/>
          <w:szCs w:val="22"/>
        </w:rPr>
        <w:t xml:space="preserve"> [2008] NSWSC 1450</w:t>
      </w:r>
      <w:r w:rsidRPr="00EB7F1E">
        <w:rPr>
          <w:rStyle w:val="ssleftalign"/>
          <w:rFonts w:asciiTheme="minorHAnsi" w:hAnsiTheme="minorHAnsi" w:cstheme="minorHAnsi"/>
          <w:szCs w:val="22"/>
        </w:rPr>
        <w:fldChar w:fldCharType="begin"/>
      </w:r>
      <w:r w:rsidRPr="007809F4">
        <w:rPr>
          <w:rStyle w:val="ssleftalign"/>
          <w:rFonts w:asciiTheme="minorHAnsi" w:hAnsiTheme="minorHAnsi" w:cstheme="minorHAnsi"/>
          <w:szCs w:val="22"/>
        </w:rPr>
        <w:instrText xml:space="preserve"> TA \s "R v Sharrouf (No 2) [2008] NSWSC 1450" </w:instrText>
      </w:r>
      <w:r w:rsidRPr="00EB7F1E">
        <w:rPr>
          <w:rStyle w:val="ssleftalign"/>
          <w:rFonts w:asciiTheme="minorHAnsi" w:hAnsiTheme="minorHAnsi" w:cstheme="minorHAnsi"/>
          <w:szCs w:val="22"/>
        </w:rPr>
        <w:fldChar w:fldCharType="end"/>
      </w:r>
      <w:r w:rsidRPr="007809F4">
        <w:rPr>
          <w:rStyle w:val="ssleftalign"/>
          <w:rFonts w:asciiTheme="minorHAnsi" w:hAnsiTheme="minorHAnsi" w:cstheme="minorHAnsi"/>
          <w:szCs w:val="22"/>
        </w:rPr>
        <w:t>, [9]-[11]</w:t>
      </w:r>
      <w:bookmarkEnd w:id="3163"/>
      <w:r w:rsidRPr="007809F4">
        <w:rPr>
          <w:rStyle w:val="ssleftalign"/>
          <w:rFonts w:asciiTheme="minorHAnsi" w:hAnsiTheme="minorHAnsi" w:cstheme="minorHAnsi"/>
          <w:szCs w:val="22"/>
        </w:rPr>
        <w:t xml:space="preserve">; </w:t>
      </w:r>
      <w:r w:rsidRPr="00EB7F1E">
        <w:rPr>
          <w:rStyle w:val="ssleftalign"/>
          <w:rFonts w:asciiTheme="minorHAnsi" w:hAnsiTheme="minorHAnsi" w:cstheme="minorHAnsi"/>
          <w:i/>
          <w:iCs/>
          <w:szCs w:val="22"/>
        </w:rPr>
        <w:fldChar w:fldCharType="begin"/>
      </w:r>
      <w:r w:rsidRPr="00EB7F1E">
        <w:rPr>
          <w:rFonts w:asciiTheme="minorHAnsi" w:hAnsiTheme="minorHAnsi" w:cstheme="minorHAnsi"/>
        </w:rPr>
        <w:instrText xml:space="preserve"> TA \l "</w:instrText>
      </w:r>
      <w:r w:rsidRPr="007809F4">
        <w:rPr>
          <w:rStyle w:val="ssleftalign"/>
          <w:rFonts w:asciiTheme="minorHAnsi" w:hAnsiTheme="minorHAnsi" w:cstheme="minorHAnsi"/>
          <w:i/>
          <w:iCs/>
          <w:szCs w:val="22"/>
        </w:rPr>
        <w:instrText>R v Ogawa</w:instrText>
      </w:r>
      <w:r w:rsidRPr="007809F4">
        <w:rPr>
          <w:rStyle w:val="ssleftalign"/>
          <w:rFonts w:asciiTheme="minorHAnsi" w:hAnsiTheme="minorHAnsi" w:cstheme="minorHAnsi"/>
          <w:szCs w:val="22"/>
        </w:rPr>
        <w:instrText xml:space="preserve"> [2011] 2 Qd R 350</w:instrText>
      </w:r>
      <w:r w:rsidRPr="00EB7F1E">
        <w:rPr>
          <w:rFonts w:asciiTheme="minorHAnsi" w:hAnsiTheme="minorHAnsi" w:cstheme="minorHAnsi"/>
        </w:rPr>
        <w:instrText xml:space="preserve">" \s "R v Ogawa [2011] 2 Qd R 350" \c 1 </w:instrText>
      </w:r>
      <w:r w:rsidRPr="00EB7F1E">
        <w:rPr>
          <w:rStyle w:val="ssleftalign"/>
          <w:rFonts w:asciiTheme="minorHAnsi" w:hAnsiTheme="minorHAnsi" w:cstheme="minorHAnsi"/>
          <w:i/>
          <w:iCs/>
          <w:szCs w:val="22"/>
        </w:rPr>
        <w:fldChar w:fldCharType="end"/>
      </w:r>
      <w:r w:rsidRPr="007809F4">
        <w:rPr>
          <w:rStyle w:val="ssleftalign"/>
          <w:rFonts w:asciiTheme="minorHAnsi" w:hAnsiTheme="minorHAnsi" w:cstheme="minorHAnsi"/>
          <w:i/>
          <w:iCs/>
          <w:szCs w:val="22"/>
        </w:rPr>
        <w:t>R v Ogawa</w:t>
      </w:r>
      <w:r w:rsidRPr="007809F4">
        <w:rPr>
          <w:rStyle w:val="ssleftalign"/>
          <w:rFonts w:asciiTheme="minorHAnsi" w:hAnsiTheme="minorHAnsi" w:cstheme="minorHAnsi"/>
          <w:szCs w:val="22"/>
        </w:rPr>
        <w:t xml:space="preserve"> [2011] 2 Qd R 350, [90].</w:t>
      </w:r>
    </w:p>
  </w:footnote>
  <w:footnote w:id="1170">
    <w:p w14:paraId="11A2AABE" w14:textId="40C40044"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Sexton</w:t>
      </w:r>
      <w:r w:rsidRPr="007809F4">
        <w:rPr>
          <w:rFonts w:asciiTheme="minorHAnsi" w:hAnsiTheme="minorHAnsi" w:cstheme="minorHAnsi"/>
        </w:rPr>
        <w:t xml:space="preserve"> (2000) 77 SASR 405</w:t>
      </w:r>
      <w:r w:rsidRPr="00EB7F1E">
        <w:rPr>
          <w:rFonts w:asciiTheme="minorHAnsi" w:hAnsiTheme="minorHAnsi" w:cstheme="minorHAnsi"/>
        </w:rPr>
        <w:fldChar w:fldCharType="begin"/>
      </w:r>
      <w:r w:rsidRPr="00EB7F1E">
        <w:rPr>
          <w:rFonts w:asciiTheme="minorHAnsi" w:hAnsiTheme="minorHAnsi" w:cstheme="minorHAnsi"/>
        </w:rPr>
        <w:instrText xml:space="preserve"> TA \s "R v Sexton (2000) 77 SASR 405" </w:instrText>
      </w:r>
      <w:r w:rsidRPr="00EB7F1E">
        <w:rPr>
          <w:rFonts w:asciiTheme="minorHAnsi" w:hAnsiTheme="minorHAnsi" w:cstheme="minorHAnsi"/>
        </w:rPr>
        <w:fldChar w:fldCharType="end"/>
      </w:r>
      <w:r w:rsidRPr="007809F4">
        <w:rPr>
          <w:rFonts w:asciiTheme="minorHAnsi" w:hAnsiTheme="minorHAnsi" w:cstheme="minorHAnsi"/>
          <w:bCs/>
          <w:iCs/>
        </w:rPr>
        <w:t>.</w:t>
      </w:r>
    </w:p>
  </w:footnote>
  <w:footnote w:id="1171">
    <w:p w14:paraId="30A125E6" w14:textId="3A4AF9E9"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7809F4">
        <w:rPr>
          <w:rFonts w:asciiTheme="minorHAnsi" w:hAnsiTheme="minorHAnsi" w:cstheme="minorHAnsi"/>
          <w:i/>
        </w:rPr>
        <w:t>Agoston v R</w:t>
      </w:r>
      <w:r w:rsidRPr="007809F4">
        <w:rPr>
          <w:rFonts w:asciiTheme="minorHAnsi" w:hAnsiTheme="minorHAnsi" w:cstheme="minorHAnsi"/>
        </w:rPr>
        <w:t xml:space="preserve"> [2008] NSWCCA 116</w:t>
      </w:r>
      <w:r w:rsidRPr="00EB7F1E">
        <w:rPr>
          <w:rStyle w:val="ssleftalign"/>
          <w:rFonts w:asciiTheme="minorHAnsi" w:hAnsiTheme="minorHAnsi" w:cstheme="minorHAnsi"/>
          <w:i/>
          <w:iCs/>
          <w:szCs w:val="22"/>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Agoston v R</w:instrText>
      </w:r>
      <w:r w:rsidRPr="007809F4">
        <w:rPr>
          <w:rFonts w:asciiTheme="minorHAnsi" w:hAnsiTheme="minorHAnsi" w:cstheme="minorHAnsi"/>
        </w:rPr>
        <w:instrText xml:space="preserve"> [2008] NSWCCA 116</w:instrText>
      </w:r>
      <w:r w:rsidRPr="00EB7F1E">
        <w:rPr>
          <w:rFonts w:asciiTheme="minorHAnsi" w:hAnsiTheme="minorHAnsi" w:cstheme="minorHAnsi"/>
        </w:rPr>
        <w:instrText>" \s "</w:instrText>
      </w:r>
      <w:r w:rsidRPr="007809F4">
        <w:rPr>
          <w:rFonts w:asciiTheme="minorHAnsi" w:hAnsiTheme="minorHAnsi" w:cstheme="minorHAnsi"/>
          <w:i/>
        </w:rPr>
        <w:instrText xml:space="preserve"> Agoston v R</w:instrText>
      </w:r>
      <w:r w:rsidRPr="007809F4">
        <w:rPr>
          <w:rFonts w:asciiTheme="minorHAnsi" w:hAnsiTheme="minorHAnsi" w:cstheme="minorHAnsi"/>
        </w:rPr>
        <w:instrText xml:space="preserve"> [2008] NSWCCA 116</w:instrText>
      </w:r>
      <w:r w:rsidRPr="00EB7F1E">
        <w:rPr>
          <w:rFonts w:asciiTheme="minorHAnsi" w:hAnsiTheme="minorHAnsi" w:cstheme="minorHAnsi"/>
        </w:rPr>
        <w:instrText xml:space="preserve">" \c 1 </w:instrText>
      </w:r>
      <w:r w:rsidRPr="00EB7F1E">
        <w:rPr>
          <w:rStyle w:val="ssleftalign"/>
          <w:rFonts w:asciiTheme="minorHAnsi" w:hAnsiTheme="minorHAnsi" w:cstheme="minorHAnsi"/>
          <w:i/>
          <w:iCs/>
          <w:szCs w:val="22"/>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"Agoston v R [2008] NSWCCA 116" </w:instrText>
      </w:r>
      <w:r w:rsidRPr="00EB7F1E">
        <w:rPr>
          <w:rFonts w:asciiTheme="minorHAnsi" w:hAnsiTheme="minorHAnsi" w:cstheme="minorHAnsi"/>
        </w:rPr>
        <w:fldChar w:fldCharType="end"/>
      </w:r>
      <w:r w:rsidRPr="007809F4">
        <w:rPr>
          <w:rFonts w:asciiTheme="minorHAnsi" w:hAnsiTheme="minorHAnsi" w:cstheme="minorHAnsi"/>
        </w:rPr>
        <w:t xml:space="preserve"> and the cases cited therein.</w:t>
      </w:r>
    </w:p>
  </w:footnote>
  <w:footnote w:id="1172">
    <w:p w14:paraId="5BBEAC3E" w14:textId="2269CFEE"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t xml:space="preserve">See </w:t>
      </w:r>
      <w:r w:rsidRPr="007809F4">
        <w:rPr>
          <w:rFonts w:asciiTheme="minorHAnsi" w:hAnsiTheme="minorHAnsi" w:cstheme="minorHAnsi"/>
          <w:i/>
        </w:rPr>
        <w:t>Berg v DPP (Qld)</w:t>
      </w:r>
      <w:r w:rsidRPr="007809F4">
        <w:rPr>
          <w:rFonts w:asciiTheme="minorHAnsi" w:hAnsiTheme="minorHAnsi" w:cstheme="minorHAnsi"/>
        </w:rPr>
        <w:t xml:space="preserve"> [2015] QCA 196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Berg v DPP (Qld)</w:instrText>
      </w:r>
      <w:r w:rsidRPr="007809F4">
        <w:rPr>
          <w:rFonts w:asciiTheme="minorHAnsi" w:hAnsiTheme="minorHAnsi" w:cstheme="minorHAnsi"/>
        </w:rPr>
        <w:instrText xml:space="preserve"> [2015] QCA 196</w:instrText>
      </w:r>
      <w:r w:rsidRPr="00EB7F1E">
        <w:rPr>
          <w:rFonts w:asciiTheme="minorHAnsi" w:hAnsiTheme="minorHAnsi" w:cstheme="minorHAnsi"/>
        </w:rPr>
        <w:instrText xml:space="preserve">" \s "Berg v DPP (Qld) [2015] QCA 196" \c 1 </w:instrText>
      </w:r>
      <w:r w:rsidRPr="00EB7F1E">
        <w:rPr>
          <w:rFonts w:asciiTheme="minorHAnsi" w:hAnsiTheme="minorHAnsi" w:cstheme="minorHAnsi"/>
        </w:rPr>
        <w:fldChar w:fldCharType="end"/>
      </w:r>
      <w:r>
        <w:rPr>
          <w:rFonts w:asciiTheme="minorHAnsi" w:hAnsiTheme="minorHAnsi" w:cstheme="minorHAnsi"/>
        </w:rPr>
        <w:t>,</w:t>
      </w:r>
      <w:r w:rsidRPr="007809F4">
        <w:rPr>
          <w:rFonts w:asciiTheme="minorHAnsi" w:hAnsiTheme="minorHAnsi" w:cstheme="minorHAnsi"/>
        </w:rPr>
        <w:t xml:space="preserve"> [36] (and the cases there referred to)</w:t>
      </w:r>
      <w:r>
        <w:rPr>
          <w:rFonts w:asciiTheme="minorHAnsi" w:hAnsiTheme="minorHAnsi" w:cstheme="minorHAnsi"/>
        </w:rPr>
        <w:t>,</w:t>
      </w:r>
      <w:r w:rsidRPr="007809F4">
        <w:rPr>
          <w:rFonts w:asciiTheme="minorHAnsi" w:hAnsiTheme="minorHAnsi" w:cstheme="minorHAnsi"/>
        </w:rPr>
        <w:t xml:space="preserve"> as to the distinction between fitness to plead and fitness to stand trial. In short, the latter is broader in scope and extends to the defendant’s ability to follow and meaningfully participate in the course of the proceedings.  </w:t>
      </w:r>
    </w:p>
  </w:footnote>
  <w:footnote w:id="1173">
    <w:p w14:paraId="3CE29D97" w14:textId="5B9E207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Pioch v Lauder</w:t>
      </w:r>
      <w:r w:rsidRPr="007809F4">
        <w:rPr>
          <w:rFonts w:asciiTheme="minorHAnsi" w:hAnsiTheme="minorHAnsi" w:cstheme="minorHAnsi"/>
        </w:rPr>
        <w:t xml:space="preserve"> (1976) 13 ALR 266</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Pioch v Lauder</w:instrText>
      </w:r>
      <w:r w:rsidRPr="007809F4">
        <w:rPr>
          <w:rFonts w:asciiTheme="minorHAnsi" w:hAnsiTheme="minorHAnsi" w:cstheme="minorHAnsi"/>
        </w:rPr>
        <w:instrText xml:space="preserve"> (1976) 13 ALR 266</w:instrText>
      </w:r>
      <w:r w:rsidRPr="00EB7F1E">
        <w:rPr>
          <w:rFonts w:asciiTheme="minorHAnsi" w:hAnsiTheme="minorHAnsi" w:cstheme="minorHAnsi"/>
        </w:rPr>
        <w:instrText xml:space="preserve">" \s "Pioch v Lauder (1976) 13 ALR 266"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Ebatarinja v Deland</w:t>
      </w:r>
      <w:r w:rsidRPr="007809F4">
        <w:rPr>
          <w:rFonts w:asciiTheme="minorHAnsi" w:hAnsiTheme="minorHAnsi" w:cstheme="minorHAnsi"/>
        </w:rPr>
        <w:t xml:space="preserve"> (1998) 194 CLR 444</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Ebatarinja v Deland</w:instrText>
      </w:r>
      <w:r w:rsidRPr="007809F4">
        <w:rPr>
          <w:rFonts w:asciiTheme="minorHAnsi" w:hAnsiTheme="minorHAnsi" w:cstheme="minorHAnsi"/>
        </w:rPr>
        <w:instrText xml:space="preserve"> (1998) 194 CLR 444</w:instrText>
      </w:r>
      <w:r w:rsidRPr="00EB7F1E">
        <w:rPr>
          <w:rFonts w:asciiTheme="minorHAnsi" w:hAnsiTheme="minorHAnsi" w:cstheme="minorHAnsi"/>
        </w:rPr>
        <w:instrText xml:space="preserve">" \s "Ebatarinja v Deland (1998) 194 CLR 444" \c 1 </w:instrText>
      </w:r>
      <w:r w:rsidRPr="00EB7F1E">
        <w:rPr>
          <w:rFonts w:asciiTheme="minorHAnsi" w:hAnsiTheme="minorHAnsi" w:cstheme="minorHAnsi"/>
        </w:rPr>
        <w:fldChar w:fldCharType="end"/>
      </w:r>
      <w:r w:rsidRPr="007809F4">
        <w:rPr>
          <w:rFonts w:asciiTheme="minorHAnsi" w:hAnsiTheme="minorHAnsi" w:cstheme="minorHAnsi"/>
        </w:rPr>
        <w:t xml:space="preserve">, [31]; </w:t>
      </w:r>
      <w:r w:rsidRPr="007809F4">
        <w:rPr>
          <w:rFonts w:asciiTheme="minorHAnsi" w:hAnsiTheme="minorHAnsi" w:cstheme="minorHAnsi"/>
          <w:i/>
        </w:rPr>
        <w:t>CL</w:t>
      </w:r>
      <w:r w:rsidRPr="007809F4">
        <w:rPr>
          <w:rFonts w:asciiTheme="minorHAnsi" w:hAnsiTheme="minorHAnsi" w:cstheme="minorHAnsi"/>
        </w:rPr>
        <w:t xml:space="preserve"> v </w:t>
      </w:r>
      <w:r w:rsidRPr="007809F4">
        <w:rPr>
          <w:rFonts w:asciiTheme="minorHAnsi" w:hAnsiTheme="minorHAnsi" w:cstheme="minorHAnsi"/>
          <w:i/>
        </w:rPr>
        <w:t>DPP</w:t>
      </w:r>
      <w:r w:rsidRPr="007809F4">
        <w:rPr>
          <w:rFonts w:asciiTheme="minorHAnsi" w:hAnsiTheme="minorHAnsi" w:cstheme="minorHAnsi"/>
        </w:rPr>
        <w:t xml:space="preserve"> [2011] VSCA 227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CL</w:instrText>
      </w:r>
      <w:r w:rsidRPr="007809F4">
        <w:rPr>
          <w:rFonts w:asciiTheme="minorHAnsi" w:hAnsiTheme="minorHAnsi" w:cstheme="minorHAnsi"/>
        </w:rPr>
        <w:instrText xml:space="preserve"> v </w:instrText>
      </w:r>
      <w:r w:rsidRPr="007809F4">
        <w:rPr>
          <w:rFonts w:asciiTheme="minorHAnsi" w:hAnsiTheme="minorHAnsi" w:cstheme="minorHAnsi"/>
          <w:i/>
        </w:rPr>
        <w:instrText>DPP</w:instrText>
      </w:r>
      <w:r w:rsidRPr="007809F4">
        <w:rPr>
          <w:rFonts w:asciiTheme="minorHAnsi" w:hAnsiTheme="minorHAnsi" w:cstheme="minorHAnsi"/>
        </w:rPr>
        <w:instrText xml:space="preserve"> [2011] VSCA 227</w:instrText>
      </w:r>
      <w:r w:rsidRPr="00EB7F1E">
        <w:rPr>
          <w:rFonts w:asciiTheme="minorHAnsi" w:hAnsiTheme="minorHAnsi" w:cstheme="minorHAnsi"/>
        </w:rPr>
        <w:instrText xml:space="preserve">" \s "CL v DPP [2011] VSCA 227" \c 1 </w:instrText>
      </w:r>
      <w:r w:rsidRPr="00EB7F1E">
        <w:rPr>
          <w:rFonts w:asciiTheme="minorHAnsi" w:hAnsiTheme="minorHAnsi" w:cstheme="minorHAnsi"/>
        </w:rPr>
        <w:fldChar w:fldCharType="end"/>
      </w:r>
      <w:r w:rsidRPr="007809F4">
        <w:rPr>
          <w:rFonts w:asciiTheme="minorHAnsi" w:hAnsiTheme="minorHAnsi" w:cstheme="minorHAnsi"/>
        </w:rPr>
        <w:t xml:space="preserve">. </w:t>
      </w:r>
    </w:p>
  </w:footnote>
  <w:footnote w:id="1174">
    <w:p w14:paraId="1B10E633" w14:textId="7B9426AE" w:rsidR="00D44BCF" w:rsidRPr="007809F4" w:rsidRDefault="00D44BCF" w:rsidP="00CA5EA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Morrison v Behrooz</w:t>
      </w:r>
      <w:r w:rsidRPr="007809F4">
        <w:rPr>
          <w:rFonts w:asciiTheme="minorHAnsi" w:hAnsiTheme="minorHAnsi" w:cstheme="minorHAnsi"/>
        </w:rPr>
        <w:t xml:space="preserve"> [2005] SASC 142</w:t>
      </w:r>
      <w:r w:rsidRPr="00EB7F1E">
        <w:rPr>
          <w:rFonts w:asciiTheme="minorHAnsi" w:hAnsiTheme="minorHAnsi" w:cstheme="minorHAnsi"/>
        </w:rPr>
        <w:fldChar w:fldCharType="begin"/>
      </w:r>
      <w:r w:rsidRPr="00EB7F1E">
        <w:rPr>
          <w:rFonts w:asciiTheme="minorHAnsi" w:hAnsiTheme="minorHAnsi" w:cstheme="minorHAnsi"/>
        </w:rPr>
        <w:instrText xml:space="preserve"> TA \s "Morrison v Behrooz [2005] SASC 142"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EB7F1E">
        <w:rPr>
          <w:rFonts w:asciiTheme="minorHAnsi" w:hAnsiTheme="minorHAnsi" w:cstheme="minorHAnsi"/>
          <w:i/>
          <w:iCs/>
        </w:rPr>
        <w:t>Boonstoppel v Hamidi</w:t>
      </w:r>
      <w:r w:rsidRPr="00EB7F1E">
        <w:rPr>
          <w:rFonts w:asciiTheme="minorHAnsi" w:hAnsiTheme="minorHAnsi" w:cstheme="minorHAnsi"/>
        </w:rPr>
        <w:t xml:space="preserve"> [2005] SASC 248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Boonstoppel v Hamidi</w:instrText>
      </w:r>
      <w:r w:rsidRPr="00EB7F1E">
        <w:rPr>
          <w:rFonts w:asciiTheme="minorHAnsi" w:hAnsiTheme="minorHAnsi" w:cstheme="minorHAnsi"/>
        </w:rPr>
        <w:instrText xml:space="preserve"> [2005] SASC 248" \s "Boonstoppel v Hamidi [2005] SASC 248" \c 1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175">
    <w:p w14:paraId="794EF3BB" w14:textId="3815D586" w:rsidR="00D44BCF" w:rsidRPr="007809F4" w:rsidRDefault="00D44BCF" w:rsidP="00452EB7">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EB7F1E">
        <w:rPr>
          <w:rFonts w:asciiTheme="minorHAnsi" w:hAnsiTheme="minorHAnsi" w:cstheme="minorHAnsi"/>
          <w:i/>
          <w:iCs/>
        </w:rPr>
        <w:t>DPP v El Mawas</w:t>
      </w:r>
      <w:r w:rsidRPr="007809F4">
        <w:rPr>
          <w:rFonts w:asciiTheme="minorHAnsi" w:hAnsiTheme="minorHAnsi" w:cstheme="minorHAnsi"/>
        </w:rPr>
        <w:t xml:space="preserve"> </w:t>
      </w:r>
      <w:r w:rsidRPr="00EB7F1E">
        <w:rPr>
          <w:rFonts w:asciiTheme="minorHAnsi" w:hAnsiTheme="minorHAnsi" w:cstheme="minorHAnsi"/>
        </w:rPr>
        <w:t>(2006) 66 NSWLR 93</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DPP v El Mawas</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(2006) 66 NSWLR 93" \s "DPP v El Mawas (2006) 66 NSWLR 93" \c 1 </w:instrText>
      </w:r>
      <w:r w:rsidRPr="00EB7F1E">
        <w:rPr>
          <w:rFonts w:asciiTheme="minorHAnsi" w:hAnsiTheme="minorHAnsi" w:cstheme="minorHAnsi"/>
        </w:rPr>
        <w:fldChar w:fldCharType="end"/>
      </w:r>
      <w:r w:rsidRPr="007809F4">
        <w:rPr>
          <w:rFonts w:asciiTheme="minorHAnsi" w:hAnsiTheme="minorHAnsi" w:cstheme="minorHAnsi"/>
        </w:rPr>
        <w:t xml:space="preserve"> and the cases cited there.</w:t>
      </w:r>
      <w:r w:rsidRPr="007809F4">
        <w:rPr>
          <w:rFonts w:asciiTheme="minorHAnsi" w:hAnsiTheme="minorHAnsi" w:cstheme="minorHAnsi"/>
          <w:i/>
        </w:rPr>
        <w:t xml:space="preserve"> </w:t>
      </w:r>
      <w:r w:rsidRPr="007809F4">
        <w:rPr>
          <w:rFonts w:asciiTheme="minorHAnsi" w:hAnsiTheme="minorHAnsi" w:cstheme="minorHAnsi"/>
          <w:iCs/>
        </w:rPr>
        <w:t xml:space="preserve">In </w:t>
      </w:r>
      <w:r w:rsidRPr="007809F4">
        <w:rPr>
          <w:rFonts w:asciiTheme="minorHAnsi" w:hAnsiTheme="minorHAnsi" w:cstheme="minorHAnsi"/>
          <w:i/>
        </w:rPr>
        <w:t>DPP v Seymour</w:t>
      </w:r>
      <w:r w:rsidRPr="007809F4">
        <w:rPr>
          <w:rFonts w:asciiTheme="minorHAnsi" w:hAnsiTheme="minorHAnsi" w:cstheme="minorHAnsi"/>
        </w:rPr>
        <w:t xml:space="preserve"> [2009] NSWSC 555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DPP v Seymour</w:instrText>
      </w:r>
      <w:r w:rsidRPr="007809F4">
        <w:rPr>
          <w:rFonts w:asciiTheme="minorHAnsi" w:hAnsiTheme="minorHAnsi" w:cstheme="minorHAnsi"/>
        </w:rPr>
        <w:instrText xml:space="preserve"> [2009] NSWSC 555" \s "DPP v Seymour [2009] NSWSC 555" \c 1 </w:instrText>
      </w:r>
      <w:r w:rsidRPr="00EB7F1E">
        <w:rPr>
          <w:rFonts w:asciiTheme="minorHAnsi" w:hAnsiTheme="minorHAnsi" w:cstheme="minorHAnsi"/>
        </w:rPr>
        <w:fldChar w:fldCharType="end"/>
      </w:r>
      <w:r w:rsidRPr="007809F4">
        <w:rPr>
          <w:rFonts w:asciiTheme="minorHAnsi" w:hAnsiTheme="minorHAnsi" w:cstheme="minorHAnsi"/>
        </w:rPr>
        <w:t xml:space="preserve">, Simpson J found it unnecessary to decide whether </w:t>
      </w:r>
      <w:r w:rsidRPr="007809F4">
        <w:rPr>
          <w:rFonts w:asciiTheme="minorHAnsi" w:hAnsiTheme="minorHAnsi" w:cstheme="minorHAnsi"/>
          <w:i/>
          <w:iCs/>
        </w:rPr>
        <w:t>Morrison v Behrooz</w:t>
      </w:r>
      <w:r w:rsidRPr="007809F4">
        <w:rPr>
          <w:rFonts w:asciiTheme="minorHAnsi" w:hAnsiTheme="minorHAnsi" w:cstheme="minorHAnsi"/>
        </w:rPr>
        <w:t xml:space="preserve"> [2005] SASC 142 was correctly decided on this point.</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176">
    <w:p w14:paraId="03E33F53" w14:textId="07E405DD" w:rsidR="00D44BCF" w:rsidRPr="007809F4" w:rsidRDefault="00D44BCF" w:rsidP="000E3363">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Potts v Bonnici </w:t>
      </w:r>
      <w:r w:rsidRPr="007809F4">
        <w:rPr>
          <w:rFonts w:asciiTheme="minorHAnsi" w:hAnsiTheme="minorHAnsi" w:cstheme="minorHAnsi"/>
          <w:iCs/>
          <w:noProof/>
        </w:rPr>
        <w:t>(2009)</w:t>
      </w:r>
      <w:r w:rsidRPr="007809F4">
        <w:rPr>
          <w:rFonts w:asciiTheme="minorHAnsi" w:hAnsiTheme="minorHAnsi" w:cstheme="minorHAnsi"/>
          <w:i/>
          <w:iCs/>
          <w:noProof/>
        </w:rPr>
        <w:t xml:space="preserve"> </w:t>
      </w:r>
      <w:r w:rsidRPr="007809F4">
        <w:rPr>
          <w:rFonts w:asciiTheme="minorHAnsi" w:hAnsiTheme="minorHAnsi" w:cstheme="minorHAnsi"/>
          <w:iCs/>
          <w:noProof/>
        </w:rPr>
        <w:t>104 SASR 313</w:t>
      </w:r>
      <w:r w:rsidRPr="00EB7F1E">
        <w:rPr>
          <w:rFonts w:asciiTheme="minorHAnsi" w:hAnsiTheme="minorHAnsi" w:cstheme="minorHAnsi"/>
          <w:i/>
          <w:iCs/>
          <w:noProof/>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noProof/>
        </w:rPr>
        <w:instrText xml:space="preserve">Potts v Bonnici </w:instrText>
      </w:r>
      <w:r w:rsidRPr="007809F4">
        <w:rPr>
          <w:rFonts w:asciiTheme="minorHAnsi" w:hAnsiTheme="minorHAnsi" w:cstheme="minorHAnsi"/>
          <w:iCs/>
          <w:noProof/>
        </w:rPr>
        <w:instrText>(2009) 104 SASR 313</w:instrText>
      </w:r>
      <w:r w:rsidRPr="007809F4">
        <w:rPr>
          <w:rFonts w:asciiTheme="minorHAnsi" w:hAnsiTheme="minorHAnsi" w:cstheme="minorHAnsi"/>
        </w:rPr>
        <w:instrText xml:space="preserve">" \s "Potts v Bonnici [2009] SASC 199; (2009) 104 SASR 313" \c 1 </w:instrText>
      </w:r>
      <w:r w:rsidRPr="00EB7F1E">
        <w:rPr>
          <w:rFonts w:asciiTheme="minorHAnsi" w:hAnsiTheme="minorHAnsi" w:cstheme="minorHAnsi"/>
          <w:i/>
          <w:iCs/>
          <w:noProof/>
        </w:rPr>
        <w:fldChar w:fldCharType="end"/>
      </w:r>
      <w:r w:rsidRPr="007809F4">
        <w:rPr>
          <w:rFonts w:asciiTheme="minorHAnsi" w:hAnsiTheme="minorHAnsi" w:cstheme="minorHAnsi"/>
          <w:noProof/>
        </w:rPr>
        <w:t>.</w:t>
      </w:r>
    </w:p>
  </w:footnote>
  <w:footnote w:id="1177">
    <w:p w14:paraId="45DEACCF" w14:textId="77777777" w:rsidR="00D44BCF" w:rsidRPr="007809F4" w:rsidRDefault="00D44BCF" w:rsidP="009E0146">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
          <w:bCs/>
        </w:rPr>
        <w:t>Qld:</w:t>
      </w:r>
      <w:r w:rsidRPr="007809F4">
        <w:rPr>
          <w:rFonts w:asciiTheme="minorHAnsi" w:hAnsiTheme="minorHAnsi" w:cstheme="minorHAnsi"/>
        </w:rPr>
        <w:t xml:space="preserve"> </w:t>
      </w:r>
      <w:r w:rsidRPr="007809F4">
        <w:rPr>
          <w:rFonts w:asciiTheme="minorHAnsi" w:hAnsiTheme="minorHAnsi" w:cstheme="minorHAnsi"/>
          <w:i/>
          <w:iCs/>
        </w:rPr>
        <w:t>Mental Health Act 2016</w:t>
      </w:r>
      <w:r w:rsidRPr="007809F4">
        <w:rPr>
          <w:rFonts w:asciiTheme="minorHAnsi" w:hAnsiTheme="minorHAnsi" w:cstheme="minorHAnsi"/>
        </w:rPr>
        <w:t xml:space="preserve"> (Qld), s 172 – the criteria for unfitness are not defined in the legislation, and must be determined by reference to the common law.  </w:t>
      </w:r>
      <w:r w:rsidRPr="007809F4">
        <w:rPr>
          <w:rFonts w:asciiTheme="minorHAnsi" w:hAnsiTheme="minorHAnsi" w:cstheme="minorHAnsi"/>
          <w:b/>
          <w:bCs/>
        </w:rPr>
        <w:t xml:space="preserve">WA: </w:t>
      </w:r>
      <w:r w:rsidRPr="007809F4">
        <w:rPr>
          <w:rFonts w:asciiTheme="minorHAnsi" w:hAnsiTheme="minorHAnsi" w:cstheme="minorHAnsi"/>
          <w:i/>
          <w:iCs/>
        </w:rPr>
        <w:t>Criminal Law (Mentally Impaired Accused) Act 1996</w:t>
      </w:r>
      <w:r w:rsidRPr="007809F4">
        <w:rPr>
          <w:rFonts w:asciiTheme="minorHAnsi" w:hAnsiTheme="minorHAnsi" w:cstheme="minorHAnsi"/>
        </w:rPr>
        <w:t xml:space="preserve"> (WA), Part 3 - the criteria for unfitness are set out in s 9. </w:t>
      </w:r>
      <w:r w:rsidRPr="007809F4">
        <w:rPr>
          <w:rFonts w:asciiTheme="minorHAnsi" w:hAnsiTheme="minorHAnsi" w:cstheme="minorHAnsi"/>
          <w:b/>
          <w:bCs/>
        </w:rPr>
        <w:t>SA:</w:t>
      </w:r>
      <w:r w:rsidRPr="007809F4">
        <w:rPr>
          <w:rFonts w:asciiTheme="minorHAnsi" w:hAnsiTheme="minorHAnsi" w:cstheme="minorHAnsi"/>
        </w:rPr>
        <w:t xml:space="preserve"> </w:t>
      </w:r>
      <w:r w:rsidRPr="007809F4">
        <w:rPr>
          <w:rFonts w:asciiTheme="minorHAnsi" w:hAnsiTheme="minorHAnsi" w:cstheme="minorHAnsi"/>
          <w:i/>
          <w:iCs/>
        </w:rPr>
        <w:t>Criminal Law Consolidation Act 1935</w:t>
      </w:r>
      <w:r w:rsidRPr="007809F4">
        <w:rPr>
          <w:rFonts w:asciiTheme="minorHAnsi" w:hAnsiTheme="minorHAnsi" w:cstheme="minorHAnsi"/>
        </w:rPr>
        <w:t xml:space="preserve"> (SA), Part 8A - the criteria for unfitness are set out in s 269H.  </w:t>
      </w:r>
      <w:r w:rsidRPr="007809F4">
        <w:rPr>
          <w:rFonts w:asciiTheme="minorHAnsi" w:hAnsiTheme="minorHAnsi" w:cstheme="minorHAnsi"/>
          <w:b/>
          <w:bCs/>
        </w:rPr>
        <w:t>Tas:</w:t>
      </w:r>
      <w:r w:rsidRPr="007809F4">
        <w:rPr>
          <w:rFonts w:asciiTheme="minorHAnsi" w:hAnsiTheme="minorHAnsi" w:cstheme="minorHAnsi"/>
        </w:rPr>
        <w:t xml:space="preserve"> </w:t>
      </w:r>
      <w:r w:rsidRPr="007809F4">
        <w:rPr>
          <w:rFonts w:asciiTheme="minorHAnsi" w:hAnsiTheme="minorHAnsi" w:cstheme="minorHAnsi"/>
          <w:i/>
          <w:iCs/>
        </w:rPr>
        <w:t>Criminal Justice (Mental Impairment) Act 1999</w:t>
      </w:r>
      <w:r w:rsidRPr="007809F4">
        <w:rPr>
          <w:rFonts w:asciiTheme="minorHAnsi" w:hAnsiTheme="minorHAnsi" w:cstheme="minorHAnsi"/>
        </w:rPr>
        <w:t xml:space="preserve"> (Tas), Part 2 - the criteria for unfitness are set out in s 8.  </w:t>
      </w:r>
      <w:r w:rsidRPr="007809F4">
        <w:rPr>
          <w:rFonts w:asciiTheme="minorHAnsi" w:hAnsiTheme="minorHAnsi" w:cstheme="minorHAnsi"/>
          <w:b/>
          <w:bCs/>
        </w:rPr>
        <w:t>ACT:</w:t>
      </w:r>
      <w:r w:rsidRPr="007809F4">
        <w:rPr>
          <w:rFonts w:asciiTheme="minorHAnsi" w:hAnsiTheme="minorHAnsi" w:cstheme="minorHAnsi"/>
        </w:rPr>
        <w:t xml:space="preserve"> </w:t>
      </w:r>
      <w:r w:rsidRPr="007809F4">
        <w:rPr>
          <w:rFonts w:asciiTheme="minorHAnsi" w:hAnsiTheme="minorHAnsi" w:cstheme="minorHAnsi"/>
          <w:i/>
          <w:iCs/>
        </w:rPr>
        <w:t>Crimes Act 1900</w:t>
      </w:r>
      <w:r w:rsidRPr="007809F4">
        <w:rPr>
          <w:rFonts w:asciiTheme="minorHAnsi" w:hAnsiTheme="minorHAnsi" w:cstheme="minorHAnsi"/>
        </w:rPr>
        <w:t xml:space="preserve"> (ACT), Divisions 13.2 and 13.6 – the criteria for unfitness are set out in s 311.</w:t>
      </w:r>
    </w:p>
  </w:footnote>
  <w:footnote w:id="1178">
    <w:p w14:paraId="1F65AEE7" w14:textId="78CE52BD" w:rsidR="00D44BCF" w:rsidRPr="007809F4" w:rsidRDefault="00D44BCF" w:rsidP="009E0146">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In </w:t>
      </w:r>
      <w:r w:rsidRPr="00EB7F1E">
        <w:rPr>
          <w:rFonts w:asciiTheme="minorHAnsi" w:hAnsiTheme="minorHAnsi" w:cstheme="minorHAnsi"/>
          <w:i/>
          <w:iCs/>
        </w:rPr>
        <w:t>Kelly v Saadat-Talab</w:t>
      </w:r>
      <w:r w:rsidRPr="00EB7F1E">
        <w:rPr>
          <w:rFonts w:asciiTheme="minorHAnsi" w:hAnsiTheme="minorHAnsi" w:cstheme="minorHAnsi"/>
        </w:rPr>
        <w:t xml:space="preserve"> (2008) 72 NSWLR 305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Kelly v Saadat-Talab</w:instrText>
      </w:r>
      <w:r w:rsidRPr="007809F4">
        <w:rPr>
          <w:rFonts w:asciiTheme="minorHAnsi" w:hAnsiTheme="minorHAnsi" w:cstheme="minorHAnsi"/>
        </w:rPr>
        <w:instrText xml:space="preserve"> (2008) 72 NSWLR 305" \s "Kelly v Saadat-Talab (2008) 72 NSWLR 305" \c 1 </w:instrText>
      </w:r>
      <w:r w:rsidRPr="00EB7F1E">
        <w:rPr>
          <w:rFonts w:asciiTheme="minorHAnsi" w:hAnsiTheme="minorHAnsi" w:cstheme="minorHAnsi"/>
        </w:rPr>
        <w:fldChar w:fldCharType="end"/>
      </w:r>
      <w:r w:rsidRPr="007809F4">
        <w:rPr>
          <w:rFonts w:asciiTheme="minorHAnsi" w:hAnsiTheme="minorHAnsi" w:cstheme="minorHAnsi"/>
        </w:rPr>
        <w:t xml:space="preserve">, the NSW CA held that s 20BQ rendered similar State provisions incapable of being applied to proceedings for a Commonwealth offence.   Special leave to appeal was refused by the High Court: </w:t>
      </w:r>
      <w:r w:rsidRPr="007809F4">
        <w:rPr>
          <w:rFonts w:asciiTheme="minorHAnsi" w:hAnsiTheme="minorHAnsi" w:cstheme="minorHAnsi"/>
          <w:i/>
        </w:rPr>
        <w:t>ST v Kelly</w:t>
      </w:r>
      <w:r w:rsidRPr="007809F4">
        <w:rPr>
          <w:rFonts w:asciiTheme="minorHAnsi" w:hAnsiTheme="minorHAnsi" w:cstheme="minorHAnsi"/>
        </w:rPr>
        <w:t xml:space="preserve"> [2009] HCATrans 175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ST v Kelly</w:instrText>
      </w:r>
      <w:r w:rsidRPr="007809F4">
        <w:rPr>
          <w:rFonts w:asciiTheme="minorHAnsi" w:hAnsiTheme="minorHAnsi" w:cstheme="minorHAnsi"/>
        </w:rPr>
        <w:instrText xml:space="preserve"> [2009] HCATrans 175" \s "ST v Kelly [2009] HCATrans 175"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179">
    <w:p w14:paraId="3F2C237B" w14:textId="5F18675C" w:rsidR="00D44BCF" w:rsidRPr="007809F4" w:rsidRDefault="00D44BCF" w:rsidP="00642077">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rPr>
        <w:t xml:space="preserve">The reference </w:t>
      </w:r>
      <w:r w:rsidRPr="007809F4">
        <w:rPr>
          <w:rFonts w:asciiTheme="minorHAnsi" w:hAnsiTheme="minorHAnsi" w:cstheme="minorHAnsi"/>
        </w:rPr>
        <w:t xml:space="preserve">to “mental illness” </w:t>
      </w:r>
      <w:r w:rsidRPr="00EB7F1E">
        <w:rPr>
          <w:rFonts w:asciiTheme="minorHAnsi" w:hAnsiTheme="minorHAnsi" w:cstheme="minorHAnsi"/>
        </w:rPr>
        <w:t>in s 7.3(8) is defined as a reference to “</w:t>
      </w:r>
      <w:r w:rsidRPr="00EB7F1E">
        <w:rPr>
          <w:rFonts w:asciiTheme="minorHAnsi" w:hAnsiTheme="minorHAnsi" w:cstheme="minorHAnsi"/>
          <w:i/>
          <w:iCs/>
        </w:rPr>
        <w:t>an underlying pathological infirmity of the mind, whether of long or short duration and whether permanent or temporary, but does not include a condition that results from the reaction of a healthy mind to extraordinary external stimuli</w:t>
      </w:r>
      <w:r w:rsidRPr="007809F4">
        <w:rPr>
          <w:rFonts w:asciiTheme="minorHAnsi" w:hAnsiTheme="minorHAnsi" w:cstheme="minorHAnsi"/>
        </w:rPr>
        <w:t xml:space="preserve">”: </w:t>
      </w:r>
      <w:r w:rsidRPr="00EB7F1E">
        <w:rPr>
          <w:rFonts w:asciiTheme="minorHAnsi" w:hAnsiTheme="minorHAnsi" w:cstheme="minorHAnsi"/>
          <w:i/>
          <w:iCs/>
        </w:rPr>
        <w:t>Criminal Code</w:t>
      </w:r>
      <w:r w:rsidRPr="007809F4">
        <w:rPr>
          <w:rFonts w:asciiTheme="minorHAnsi" w:hAnsiTheme="minorHAnsi" w:cstheme="minorHAnsi"/>
        </w:rPr>
        <w:t xml:space="preserve"> (Cth), s 7.3(9).</w:t>
      </w:r>
    </w:p>
  </w:footnote>
  <w:footnote w:id="1180">
    <w:p w14:paraId="7FCF0863" w14:textId="50DCC9EC" w:rsidR="00D44BCF" w:rsidRPr="007809F4" w:rsidRDefault="00D44BCF" w:rsidP="00642077">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
          <w:iCs/>
        </w:rPr>
        <w:t>Stapleton v R</w:t>
      </w:r>
      <w:r w:rsidRPr="007809F4">
        <w:rPr>
          <w:rFonts w:asciiTheme="minorHAnsi" w:hAnsiTheme="minorHAnsi" w:cstheme="minorHAnsi"/>
        </w:rPr>
        <w:t xml:space="preserve"> </w:t>
      </w:r>
      <w:r w:rsidRPr="00EB7F1E">
        <w:rPr>
          <w:rFonts w:asciiTheme="minorHAnsi" w:hAnsiTheme="minorHAnsi" w:cstheme="minorHAnsi"/>
        </w:rPr>
        <w:t>(1952) 86 CLR 358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Stapleton v R</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(1952) 86 CLR 358" \s "Stapleton v R (1952) 86 CLR 358" \c 1 </w:instrText>
      </w:r>
      <w:r w:rsidRPr="00EB7F1E">
        <w:rPr>
          <w:rFonts w:asciiTheme="minorHAnsi" w:hAnsiTheme="minorHAnsi" w:cstheme="minorHAnsi"/>
        </w:rPr>
        <w:fldChar w:fldCharType="end"/>
      </w:r>
      <w:r w:rsidRPr="007809F4">
        <w:rPr>
          <w:rFonts w:asciiTheme="minorHAnsi" w:hAnsiTheme="minorHAnsi" w:cstheme="minorHAnsi"/>
        </w:rPr>
        <w:t>, 367-8 .</w:t>
      </w:r>
    </w:p>
  </w:footnote>
  <w:footnote w:id="1181">
    <w:p w14:paraId="29C8C65F" w14:textId="3A04BA70" w:rsidR="00D44BCF" w:rsidRPr="007809F4" w:rsidRDefault="00D44BCF" w:rsidP="00643547">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E.g. </w:t>
      </w:r>
      <w:r w:rsidRPr="00EB7F1E">
        <w:rPr>
          <w:rFonts w:asciiTheme="minorHAnsi" w:hAnsiTheme="minorHAnsi" w:cstheme="minorHAnsi"/>
          <w:i/>
          <w:iCs/>
        </w:rPr>
        <w:t>Willgoss v R</w:t>
      </w:r>
      <w:r w:rsidRPr="007809F4">
        <w:rPr>
          <w:rFonts w:asciiTheme="minorHAnsi" w:hAnsiTheme="minorHAnsi" w:cstheme="minorHAnsi"/>
        </w:rPr>
        <w:t xml:space="preserve"> </w:t>
      </w:r>
      <w:r w:rsidRPr="00EB7F1E">
        <w:rPr>
          <w:rFonts w:asciiTheme="minorHAnsi" w:hAnsiTheme="minorHAnsi" w:cstheme="minorHAnsi"/>
        </w:rPr>
        <w:t>(1960) 105 CLR 295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Willgoss v R</w:instrText>
      </w:r>
      <w:r w:rsidRPr="007809F4">
        <w:rPr>
          <w:rFonts w:asciiTheme="minorHAnsi" w:hAnsiTheme="minorHAnsi" w:cstheme="minorHAnsi"/>
        </w:rPr>
        <w:instrText xml:space="preserve"> </w:instrText>
      </w:r>
      <w:r w:rsidRPr="00EB7F1E">
        <w:rPr>
          <w:rFonts w:asciiTheme="minorHAnsi" w:hAnsiTheme="minorHAnsi" w:cstheme="minorHAnsi"/>
        </w:rPr>
        <w:instrText xml:space="preserve">(1960) 105 CLR 295" \s "Willgoss v R (1960) 105 CLR 295" \c 1 </w:instrText>
      </w:r>
      <w:r w:rsidRPr="00EB7F1E">
        <w:rPr>
          <w:rFonts w:asciiTheme="minorHAnsi" w:hAnsiTheme="minorHAnsi" w:cstheme="minorHAnsi"/>
        </w:rPr>
        <w:fldChar w:fldCharType="end"/>
      </w:r>
      <w:r w:rsidRPr="007809F4">
        <w:rPr>
          <w:rFonts w:asciiTheme="minorHAnsi" w:hAnsiTheme="minorHAnsi" w:cstheme="minorHAnsi"/>
        </w:rPr>
        <w:t>, regarding a person with a personality disorder.</w:t>
      </w:r>
    </w:p>
  </w:footnote>
  <w:footnote w:id="1182">
    <w:p w14:paraId="0F0E411A" w14:textId="1469D6EE" w:rsidR="00D44BCF" w:rsidRPr="007809F4" w:rsidRDefault="00D44BCF" w:rsidP="00826820">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S Odgers, </w:t>
      </w:r>
      <w:r w:rsidRPr="00EB7F1E">
        <w:rPr>
          <w:rFonts w:asciiTheme="minorHAnsi" w:hAnsiTheme="minorHAnsi" w:cstheme="minorHAnsi"/>
          <w:i/>
          <w:iCs/>
        </w:rPr>
        <w:t>Principles of Federal Criminal Law</w:t>
      </w:r>
      <w:r w:rsidRPr="007809F4">
        <w:rPr>
          <w:rFonts w:asciiTheme="minorHAnsi" w:hAnsiTheme="minorHAnsi" w:cstheme="minorHAnsi"/>
        </w:rPr>
        <w:t xml:space="preserve"> (LBC, 4th edition, 2019), [7.3.260].</w:t>
      </w:r>
    </w:p>
  </w:footnote>
  <w:footnote w:id="1183">
    <w:p w14:paraId="0EE7072E" w14:textId="72447B4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Goodfellow</w:t>
      </w:r>
      <w:r w:rsidRPr="007809F4">
        <w:rPr>
          <w:rFonts w:asciiTheme="minorHAnsi" w:hAnsiTheme="minorHAnsi" w:cstheme="minorHAnsi"/>
        </w:rPr>
        <w:t xml:space="preserve"> (1994) 33 NSWLR 308</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Goodfellow</w:instrText>
      </w:r>
      <w:r w:rsidRPr="007809F4">
        <w:rPr>
          <w:rFonts w:asciiTheme="minorHAnsi" w:hAnsiTheme="minorHAnsi" w:cstheme="minorHAnsi"/>
        </w:rPr>
        <w:instrText xml:space="preserve"> (1994) 33 NSWLR 308</w:instrText>
      </w:r>
      <w:r w:rsidRPr="00EB7F1E">
        <w:rPr>
          <w:rFonts w:asciiTheme="minorHAnsi" w:hAnsiTheme="minorHAnsi" w:cstheme="minorHAnsi"/>
        </w:rPr>
        <w:instrText xml:space="preserve">" \s "R v Goodfellow (1994) 33 NSWLR 308"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 xml:space="preserve">R v G </w:t>
      </w:r>
      <w:r w:rsidRPr="007809F4">
        <w:rPr>
          <w:rFonts w:asciiTheme="minorHAnsi" w:hAnsiTheme="minorHAnsi" w:cstheme="minorHAnsi"/>
          <w:iCs/>
        </w:rPr>
        <w:t>[2019] SASCFC 71</w:t>
      </w:r>
      <w:r w:rsidRPr="00EB7F1E">
        <w:rPr>
          <w:rFonts w:asciiTheme="minorHAnsi" w:hAnsiTheme="minorHAnsi" w:cstheme="minorHAnsi"/>
          <w:iCs/>
        </w:rPr>
        <w:fldChar w:fldCharType="begin"/>
      </w:r>
      <w:r w:rsidRPr="007809F4">
        <w:rPr>
          <w:rFonts w:asciiTheme="minorHAnsi" w:hAnsiTheme="minorHAnsi" w:cstheme="minorHAnsi"/>
          <w:iCs/>
        </w:rPr>
        <w:instrText xml:space="preserve"> TA \l "</w:instrText>
      </w:r>
      <w:r w:rsidRPr="007809F4">
        <w:rPr>
          <w:rFonts w:asciiTheme="minorHAnsi" w:hAnsiTheme="minorHAnsi" w:cstheme="minorHAnsi"/>
          <w:i/>
        </w:rPr>
        <w:instrText>R v G</w:instrText>
      </w:r>
      <w:r w:rsidRPr="007809F4">
        <w:rPr>
          <w:rFonts w:asciiTheme="minorHAnsi" w:hAnsiTheme="minorHAnsi" w:cstheme="minorHAnsi"/>
          <w:iCs/>
        </w:rPr>
        <w:instrText xml:space="preserve"> [2019] SASCFC 71" \s "R v G [2019] SASCFC 71" \c 1 </w:instrText>
      </w:r>
      <w:r w:rsidRPr="00EB7F1E">
        <w:rPr>
          <w:rFonts w:asciiTheme="minorHAnsi" w:hAnsiTheme="minorHAnsi" w:cstheme="minorHAnsi"/>
          <w:iCs/>
        </w:rPr>
        <w:fldChar w:fldCharType="end"/>
      </w:r>
      <w:r w:rsidRPr="007809F4">
        <w:rPr>
          <w:rFonts w:asciiTheme="minorHAnsi" w:hAnsiTheme="minorHAnsi" w:cstheme="minorHAnsi"/>
        </w:rPr>
        <w:t xml:space="preserve">.  In </w:t>
      </w:r>
      <w:r w:rsidRPr="007809F4">
        <w:rPr>
          <w:rFonts w:asciiTheme="minorHAnsi" w:hAnsiTheme="minorHAnsi" w:cstheme="minorHAnsi"/>
          <w:i/>
        </w:rPr>
        <w:t>R v Robinson</w:t>
      </w:r>
      <w:r w:rsidRPr="007809F4">
        <w:rPr>
          <w:rFonts w:asciiTheme="minorHAnsi" w:hAnsiTheme="minorHAnsi" w:cstheme="minorHAnsi"/>
        </w:rPr>
        <w:t xml:space="preserve"> (2004) 11 VR 165</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Robinson</w:instrText>
      </w:r>
      <w:r w:rsidRPr="007809F4">
        <w:rPr>
          <w:rFonts w:asciiTheme="minorHAnsi" w:hAnsiTheme="minorHAnsi" w:cstheme="minorHAnsi"/>
        </w:rPr>
        <w:instrText xml:space="preserve"> (2004) 11 VR 165</w:instrText>
      </w:r>
      <w:r w:rsidRPr="00EB7F1E">
        <w:rPr>
          <w:rFonts w:asciiTheme="minorHAnsi" w:hAnsiTheme="minorHAnsi" w:cstheme="minorHAnsi"/>
        </w:rPr>
        <w:instrText xml:space="preserve">" \s "R v Robinson (2004) 11 VR 165" \c 1 </w:instrText>
      </w:r>
      <w:r w:rsidRPr="00EB7F1E">
        <w:rPr>
          <w:rFonts w:asciiTheme="minorHAnsi" w:hAnsiTheme="minorHAnsi" w:cstheme="minorHAnsi"/>
        </w:rPr>
        <w:fldChar w:fldCharType="end"/>
      </w:r>
      <w:r w:rsidRPr="007809F4">
        <w:rPr>
          <w:rFonts w:asciiTheme="minorHAnsi" w:hAnsiTheme="minorHAnsi" w:cstheme="minorHAnsi"/>
        </w:rPr>
        <w:t xml:space="preserve">, Kellam J followed </w:t>
      </w:r>
      <w:r w:rsidRPr="007809F4">
        <w:rPr>
          <w:rFonts w:asciiTheme="minorHAnsi" w:hAnsiTheme="minorHAnsi" w:cstheme="minorHAnsi"/>
          <w:i/>
        </w:rPr>
        <w:t>Goodfellow</w:t>
      </w:r>
      <w:r w:rsidRPr="007809F4">
        <w:rPr>
          <w:rFonts w:asciiTheme="minorHAnsi" w:hAnsiTheme="minorHAnsi" w:cstheme="minorHAnsi"/>
        </w:rPr>
        <w:t xml:space="preserve"> but held that </w:t>
      </w:r>
      <w:r w:rsidRPr="007809F4">
        <w:rPr>
          <w:rStyle w:val="verdana"/>
          <w:rFonts w:asciiTheme="minorHAnsi" w:hAnsiTheme="minorHAnsi" w:cstheme="minorHAnsi"/>
        </w:rPr>
        <w:t>t</w:t>
      </w:r>
      <w:r w:rsidRPr="007809F4">
        <w:rPr>
          <w:rFonts w:asciiTheme="minorHAnsi" w:hAnsiTheme="minorHAnsi" w:cstheme="minorHAnsi"/>
        </w:rPr>
        <w:t>he mental illness of the person was relevant to culpability and the sentence which would have been imposed had the person been found guilty.</w:t>
      </w:r>
    </w:p>
  </w:footnote>
  <w:footnote w:id="1184">
    <w:p w14:paraId="674CEA30" w14:textId="2CEE15FA" w:rsidR="00D44BCF" w:rsidRPr="00EB7F1E" w:rsidRDefault="00D44BCF" w:rsidP="006B011D">
      <w:pPr>
        <w:pStyle w:val="FootnoteText"/>
        <w:ind w:left="426" w:hanging="426"/>
        <w:jc w:val="both"/>
        <w:rPr>
          <w:rFonts w:asciiTheme="minorHAnsi" w:hAnsiTheme="minorHAnsi" w:cstheme="minorHAnsi"/>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G </w:t>
      </w:r>
      <w:r w:rsidRPr="007809F4">
        <w:rPr>
          <w:rFonts w:asciiTheme="minorHAnsi" w:hAnsiTheme="minorHAnsi" w:cstheme="minorHAnsi"/>
          <w:iCs/>
        </w:rPr>
        <w:t>[2019] SASCFC 71</w:t>
      </w:r>
      <w:r w:rsidRPr="00EB7F1E">
        <w:rPr>
          <w:rFonts w:asciiTheme="minorHAnsi" w:hAnsiTheme="minorHAnsi" w:cstheme="minorHAnsi"/>
          <w:iCs/>
        </w:rPr>
        <w:fldChar w:fldCharType="begin"/>
      </w:r>
      <w:r w:rsidRPr="00EB7F1E">
        <w:rPr>
          <w:rFonts w:asciiTheme="minorHAnsi" w:hAnsiTheme="minorHAnsi" w:cstheme="minorHAnsi"/>
        </w:rPr>
        <w:instrText xml:space="preserve"> TA \s "R v G [2019] SASCFC 71" </w:instrText>
      </w:r>
      <w:r w:rsidRPr="00EB7F1E">
        <w:rPr>
          <w:rFonts w:asciiTheme="minorHAnsi" w:hAnsiTheme="minorHAnsi" w:cstheme="minorHAnsi"/>
          <w:iCs/>
        </w:rPr>
        <w:fldChar w:fldCharType="end"/>
      </w:r>
      <w:r w:rsidRPr="007809F4">
        <w:rPr>
          <w:rFonts w:asciiTheme="minorHAnsi" w:hAnsiTheme="minorHAnsi" w:cstheme="minorHAnsi"/>
          <w:iCs/>
        </w:rPr>
        <w:t>.</w:t>
      </w:r>
    </w:p>
  </w:footnote>
  <w:footnote w:id="1185">
    <w:p w14:paraId="774D0B65" w14:textId="112E6EF5"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Goodfellow</w:t>
      </w:r>
      <w:r w:rsidRPr="007809F4">
        <w:rPr>
          <w:rFonts w:asciiTheme="minorHAnsi" w:hAnsiTheme="minorHAnsi" w:cstheme="minorHAnsi"/>
        </w:rPr>
        <w:t xml:space="preserve"> (1994) 33 NSWLR 308</w:t>
      </w:r>
      <w:r w:rsidRPr="00EB7F1E">
        <w:rPr>
          <w:rFonts w:asciiTheme="minorHAnsi" w:hAnsiTheme="minorHAnsi" w:cstheme="minorHAnsi"/>
        </w:rPr>
        <w:fldChar w:fldCharType="begin"/>
      </w:r>
      <w:r w:rsidRPr="007809F4">
        <w:rPr>
          <w:rFonts w:asciiTheme="minorHAnsi" w:hAnsiTheme="minorHAnsi" w:cstheme="minorHAnsi"/>
        </w:rPr>
        <w:instrText xml:space="preserve"> TA \s "R v Goodfellow (1994) 33 NSWLR 308"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186">
    <w:p w14:paraId="3A28111C" w14:textId="3EEBE219" w:rsidR="00D44BCF" w:rsidRPr="007809F4" w:rsidRDefault="00D44BCF" w:rsidP="00802FAE">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rPr>
        <w:t>Morrison v Behrooz</w:t>
      </w:r>
      <w:r w:rsidRPr="007809F4">
        <w:rPr>
          <w:rFonts w:asciiTheme="minorHAnsi" w:hAnsiTheme="minorHAnsi" w:cstheme="minorHAnsi"/>
        </w:rPr>
        <w:t xml:space="preserve"> [2005] SASC 142</w:t>
      </w:r>
      <w:r w:rsidRPr="00EB7F1E">
        <w:rPr>
          <w:rFonts w:asciiTheme="minorHAnsi" w:hAnsiTheme="minorHAnsi" w:cstheme="minorHAnsi"/>
        </w:rPr>
        <w:fldChar w:fldCharType="begin"/>
      </w:r>
      <w:r w:rsidRPr="00EB7F1E">
        <w:rPr>
          <w:rFonts w:asciiTheme="minorHAnsi" w:hAnsiTheme="minorHAnsi" w:cstheme="minorHAnsi"/>
        </w:rPr>
        <w:instrText xml:space="preserve"> TA \s "Morrison v Behrooz [2005] SASC 142"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iCs/>
        </w:rPr>
        <w:t>Boonstoppel v Hamidi</w:t>
      </w:r>
      <w:r w:rsidRPr="007809F4">
        <w:rPr>
          <w:rFonts w:asciiTheme="minorHAnsi" w:hAnsiTheme="minorHAnsi" w:cstheme="minorHAnsi"/>
        </w:rPr>
        <w:t xml:space="preserve"> [2005] SASC 248</w:t>
      </w:r>
      <w:r w:rsidRPr="00EB7F1E">
        <w:rPr>
          <w:rFonts w:asciiTheme="minorHAnsi" w:hAnsiTheme="minorHAnsi" w:cstheme="minorHAnsi"/>
        </w:rPr>
        <w:fldChar w:fldCharType="begin"/>
      </w:r>
      <w:r w:rsidRPr="007809F4">
        <w:rPr>
          <w:rFonts w:asciiTheme="minorHAnsi" w:hAnsiTheme="minorHAnsi" w:cstheme="minorHAnsi"/>
        </w:rPr>
        <w:instrText xml:space="preserve"> TA \s "Boonstoppel v Hamidi [2005] SASC 248"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Theme="minorHAnsi" w:hAnsiTheme="minorHAnsi" w:cstheme="minorHAnsi"/>
        </w:rPr>
        <w:fldChar w:fldCharType="begin"/>
      </w:r>
      <w:r w:rsidRPr="007809F4">
        <w:rPr>
          <w:rFonts w:asciiTheme="minorHAnsi" w:hAnsiTheme="minorHAnsi" w:cstheme="minorHAnsi"/>
        </w:rPr>
        <w:instrText xml:space="preserve">  "Putland v R (2004) 218 CLR 174" </w:instrText>
      </w:r>
      <w:r w:rsidRPr="00EB7F1E">
        <w:rPr>
          <w:rFonts w:asciiTheme="minorHAnsi" w:hAnsiTheme="minorHAnsi" w:cstheme="minorHAnsi"/>
        </w:rPr>
        <w:fldChar w:fldCharType="end"/>
      </w:r>
    </w:p>
  </w:footnote>
  <w:footnote w:id="1187">
    <w:p w14:paraId="3F411B5E" w14:textId="6CFA71F9"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Crimes Act 1914</w:t>
      </w:r>
      <w:r w:rsidRPr="007809F4">
        <w:rPr>
          <w:rFonts w:asciiTheme="minorHAnsi" w:hAnsiTheme="minorHAnsi" w:cstheme="minorHAnsi"/>
        </w:rPr>
        <w:t xml:space="preserve"> (Cth), ss 20BQ – 20BY.  For a more detailed outline, see Australian Law Reform Commission, </w:t>
      </w:r>
      <w:r w:rsidRPr="007809F4">
        <w:rPr>
          <w:rFonts w:asciiTheme="minorHAnsi" w:hAnsiTheme="minorHAnsi" w:cstheme="minorHAnsi"/>
          <w:i/>
          <w:iCs/>
        </w:rPr>
        <w:t>Same Crime, Same Time: Sentencing of Federal Offenders</w:t>
      </w:r>
      <w:r w:rsidRPr="007809F4">
        <w:rPr>
          <w:rFonts w:asciiTheme="minorHAnsi" w:hAnsiTheme="minorHAnsi" w:cstheme="minorHAnsi"/>
          <w:iCs/>
        </w:rPr>
        <w:t xml:space="preserve"> (ALRC 103, 2006), </w:t>
      </w:r>
      <w:r w:rsidRPr="007809F4">
        <w:rPr>
          <w:rFonts w:asciiTheme="minorHAnsi" w:hAnsiTheme="minorHAnsi" w:cstheme="minorHAnsi"/>
        </w:rPr>
        <w:t>Chapter 28.</w:t>
      </w:r>
    </w:p>
  </w:footnote>
  <w:footnote w:id="1188">
    <w:p w14:paraId="2EDC16B9" w14:textId="777777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Penalty units are reviewed every three years.</w:t>
      </w:r>
    </w:p>
  </w:footnote>
  <w:footnote w:id="1189">
    <w:p w14:paraId="4C6094F1" w14:textId="77777777" w:rsidR="00D44BCF" w:rsidRPr="007809F4" w:rsidRDefault="00D44BCF">
      <w:pPr>
        <w:pStyle w:val="FootnoteText"/>
        <w:ind w:left="426" w:hanging="426"/>
        <w:jc w:val="both"/>
        <w:rPr>
          <w:rFonts w:asciiTheme="minorHAnsi" w:hAnsiTheme="minorHAnsi" w:cstheme="minorHAnsi"/>
          <w:i/>
        </w:rPr>
      </w:pPr>
      <w:r w:rsidRPr="007809F4">
        <w:rPr>
          <w:rStyle w:val="FootnoteReference"/>
          <w:rFonts w:asciiTheme="minorHAnsi" w:hAnsiTheme="minorHAnsi" w:cstheme="minorHAnsi"/>
          <w:sz w:val="20"/>
          <w:shd w:val="clear" w:color="auto" w:fill="FFFFFF" w:themeFill="background1"/>
          <w:vertAlign w:val="superscript"/>
        </w:rPr>
        <w:footnoteRef/>
      </w:r>
      <w:r w:rsidRPr="007809F4">
        <w:rPr>
          <w:rFonts w:asciiTheme="minorHAnsi" w:hAnsiTheme="minorHAnsi" w:cstheme="minorHAnsi"/>
          <w:shd w:val="clear" w:color="auto" w:fill="FFFFFF" w:themeFill="background1"/>
        </w:rPr>
        <w:t xml:space="preserve"> </w:t>
      </w:r>
      <w:r w:rsidRPr="007809F4">
        <w:rPr>
          <w:rFonts w:asciiTheme="minorHAnsi" w:hAnsiTheme="minorHAnsi" w:cstheme="minorHAnsi"/>
          <w:shd w:val="clear" w:color="auto" w:fill="FFFFFF" w:themeFill="background1"/>
        </w:rPr>
        <w:tab/>
        <w:t xml:space="preserve">Section 2 of the </w:t>
      </w:r>
      <w:r w:rsidRPr="007809F4">
        <w:rPr>
          <w:rFonts w:asciiTheme="minorHAnsi" w:hAnsiTheme="minorHAnsi" w:cstheme="minorHAnsi"/>
          <w:i/>
          <w:shd w:val="clear" w:color="auto" w:fill="FFFFFF" w:themeFill="background1"/>
        </w:rPr>
        <w:t>Crimes Legislation Amendment (Penalty Unit) Act</w:t>
      </w:r>
      <w:r w:rsidRPr="007809F4">
        <w:rPr>
          <w:rFonts w:asciiTheme="minorHAnsi" w:hAnsiTheme="minorHAnsi" w:cstheme="minorHAnsi"/>
          <w:shd w:val="clear" w:color="auto" w:fill="FFFFFF" w:themeFill="background1"/>
        </w:rPr>
        <w:t xml:space="preserve"> </w:t>
      </w:r>
      <w:r w:rsidRPr="007809F4">
        <w:rPr>
          <w:rFonts w:asciiTheme="minorHAnsi" w:hAnsiTheme="minorHAnsi" w:cstheme="minorHAnsi"/>
          <w:i/>
          <w:shd w:val="clear" w:color="auto" w:fill="FFFFFF" w:themeFill="background1"/>
        </w:rPr>
        <w:t>2015</w:t>
      </w:r>
      <w:r w:rsidRPr="007809F4">
        <w:rPr>
          <w:rFonts w:asciiTheme="minorHAnsi" w:hAnsiTheme="minorHAnsi" w:cstheme="minorHAnsi"/>
          <w:shd w:val="clear" w:color="auto" w:fill="FFFFFF" w:themeFill="background1"/>
        </w:rPr>
        <w:t xml:space="preserve"> (Cth) replaced the definition of “penalty unit” in s 4AA(1) with the words </w:t>
      </w:r>
      <w:r w:rsidRPr="007809F4">
        <w:rPr>
          <w:rFonts w:asciiTheme="minorHAnsi" w:hAnsiTheme="minorHAnsi" w:cstheme="minorHAnsi"/>
          <w:i/>
          <w:shd w:val="clear" w:color="auto" w:fill="FFFFFF" w:themeFill="background1"/>
        </w:rPr>
        <w:t>means the amount of $180 (subject to indexation under subsection (3)</w:t>
      </w:r>
      <w:r w:rsidRPr="007809F4">
        <w:rPr>
          <w:rFonts w:asciiTheme="minorHAnsi" w:hAnsiTheme="minorHAnsi" w:cstheme="minorHAnsi"/>
          <w:shd w:val="clear" w:color="auto" w:fill="FFFFFF" w:themeFill="background1"/>
        </w:rPr>
        <w:t xml:space="preserve">.  The amending provisions inserted subsections (3) – (8), which provide a mechanism for indexing penalty units by reference to the Consumer Price Index every 3 years commencing 2018. </w:t>
      </w:r>
    </w:p>
  </w:footnote>
  <w:footnote w:id="1190">
    <w:p w14:paraId="303EC44F"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Section 3 and Schedule 3 to </w:t>
      </w:r>
      <w:r w:rsidRPr="007809F4">
        <w:rPr>
          <w:rFonts w:asciiTheme="minorHAnsi" w:hAnsiTheme="minorHAnsi" w:cstheme="minorHAnsi"/>
          <w:i/>
        </w:rPr>
        <w:t>Crimes Legislation Amendment (Serious Drugs, Identity Crime and Other Measures) Act No.167 of 2012</w:t>
      </w:r>
      <w:r w:rsidRPr="007809F4">
        <w:rPr>
          <w:rFonts w:asciiTheme="minorHAnsi" w:hAnsiTheme="minorHAnsi" w:cstheme="minorHAnsi"/>
        </w:rPr>
        <w:t xml:space="preserve">; </w:t>
      </w:r>
      <w:r w:rsidRPr="007809F4">
        <w:rPr>
          <w:rFonts w:asciiTheme="minorHAnsi" w:hAnsiTheme="minorHAnsi" w:cstheme="minorHAnsi"/>
          <w:i/>
        </w:rPr>
        <w:t xml:space="preserve">Crimes Legislation Amendment (Penalty Unit) Act 2015, </w:t>
      </w:r>
      <w:r w:rsidRPr="007809F4">
        <w:rPr>
          <w:rFonts w:asciiTheme="minorHAnsi" w:hAnsiTheme="minorHAnsi" w:cstheme="minorHAnsi"/>
        </w:rPr>
        <w:t>s 2</w:t>
      </w:r>
      <w:r w:rsidRPr="007809F4">
        <w:rPr>
          <w:rFonts w:asciiTheme="minorHAnsi" w:hAnsiTheme="minorHAnsi" w:cstheme="minorHAnsi"/>
          <w:i/>
        </w:rPr>
        <w:t>.</w:t>
      </w:r>
    </w:p>
    <w:p w14:paraId="72FDCD9B" w14:textId="77777777" w:rsidR="00D44BCF" w:rsidRPr="007809F4" w:rsidRDefault="00D44BCF">
      <w:pPr>
        <w:pStyle w:val="FootnoteText"/>
        <w:tabs>
          <w:tab w:val="left" w:pos="567"/>
        </w:tabs>
        <w:jc w:val="both"/>
        <w:rPr>
          <w:rFonts w:asciiTheme="minorHAnsi" w:hAnsiTheme="minorHAnsi" w:cstheme="minorHAnsi"/>
        </w:rPr>
      </w:pPr>
    </w:p>
  </w:footnote>
  <w:footnote w:id="1191">
    <w:p w14:paraId="445DF02D" w14:textId="1DCE3E85" w:rsidR="00D44BCF" w:rsidRPr="00EB7F1E" w:rsidRDefault="00D44BCF" w:rsidP="00EB7F1E">
      <w:pPr>
        <w:pStyle w:val="FootnoteText"/>
        <w:ind w:left="426" w:hanging="426"/>
        <w:jc w:val="both"/>
        <w:rPr>
          <w:rFonts w:asciiTheme="minorHAnsi" w:hAnsiTheme="minorHAnsi" w:cstheme="minorHAnsi"/>
        </w:rPr>
      </w:pPr>
      <w:r w:rsidRPr="00EB7F1E">
        <w:rPr>
          <w:rStyle w:val="FootnoteReference"/>
          <w:rFonts w:asciiTheme="minorHAnsi" w:hAnsiTheme="minorHAnsi" w:cstheme="minorHAnsi"/>
        </w:rPr>
        <w:footnoteRef/>
      </w:r>
      <w:r w:rsidRPr="00EB7F1E">
        <w:rPr>
          <w:rFonts w:asciiTheme="minorHAnsi" w:hAnsiTheme="minorHAnsi" w:cstheme="minorHAnsi"/>
        </w:rPr>
        <w:tab/>
        <w:t xml:space="preserve">Section 270.6 </w:t>
      </w:r>
      <w:r w:rsidRPr="007809F4">
        <w:rPr>
          <w:rFonts w:asciiTheme="minorHAnsi" w:hAnsiTheme="minorHAnsi" w:cstheme="minorHAnsi"/>
        </w:rPr>
        <w:t xml:space="preserve">originally </w:t>
      </w:r>
      <w:r w:rsidRPr="00EB7F1E">
        <w:rPr>
          <w:rFonts w:asciiTheme="minorHAnsi" w:hAnsiTheme="minorHAnsi" w:cstheme="minorHAnsi"/>
        </w:rPr>
        <w:t>provided for “sexual servitude” offences</w:t>
      </w:r>
      <w:r w:rsidRPr="007809F4">
        <w:rPr>
          <w:rFonts w:asciiTheme="minorHAnsi" w:hAnsiTheme="minorHAnsi" w:cstheme="minorHAnsi"/>
        </w:rPr>
        <w:t xml:space="preserve">. The </w:t>
      </w:r>
      <w:r w:rsidRPr="00EB7F1E">
        <w:rPr>
          <w:rFonts w:asciiTheme="minorHAnsi" w:hAnsiTheme="minorHAnsi" w:cstheme="minorHAnsi"/>
          <w:i/>
          <w:iCs/>
        </w:rPr>
        <w:t>Crimes Legislation Amendment (Slavery, Slavery-Like Conditions and People Trafficking) Act 2013</w:t>
      </w:r>
      <w:r w:rsidRPr="00EB7F1E">
        <w:rPr>
          <w:rFonts w:asciiTheme="minorHAnsi" w:hAnsiTheme="minorHAnsi" w:cstheme="minorHAnsi"/>
        </w:rPr>
        <w:t xml:space="preserve"> (Cth)</w:t>
      </w:r>
      <w:r w:rsidRPr="007809F4">
        <w:rPr>
          <w:rFonts w:asciiTheme="minorHAnsi" w:hAnsiTheme="minorHAnsi" w:cstheme="minorHAnsi"/>
        </w:rPr>
        <w:t xml:space="preserve"> (which came into effect on 8 March 2013) repealed s 270.6, re-enacted servitude offences as s 270.5, and substituted a new s 270.6 which contained only definition provisions.</w:t>
      </w:r>
    </w:p>
  </w:footnote>
  <w:footnote w:id="1192">
    <w:p w14:paraId="62D3B9B9" w14:textId="04081F3A" w:rsidR="00D44BCF" w:rsidRPr="00EB7F1E" w:rsidRDefault="00D44BCF" w:rsidP="00EB7F1E">
      <w:pPr>
        <w:pStyle w:val="FootnoteText"/>
        <w:ind w:left="426" w:hanging="426"/>
        <w:jc w:val="both"/>
        <w:rPr>
          <w:rFonts w:asciiTheme="minorHAnsi" w:hAnsiTheme="minorHAnsi" w:cstheme="minorHAnsi"/>
        </w:rPr>
      </w:pPr>
      <w:r w:rsidRPr="00EB7F1E">
        <w:rPr>
          <w:rStyle w:val="FootnoteReference"/>
          <w:rFonts w:asciiTheme="minorHAnsi" w:hAnsiTheme="minorHAnsi" w:cstheme="minorHAnsi"/>
        </w:rPr>
        <w:footnoteRef/>
      </w:r>
      <w:r w:rsidRPr="00EB7F1E">
        <w:rPr>
          <w:rFonts w:asciiTheme="minorHAnsi" w:hAnsiTheme="minorHAnsi" w:cstheme="minorHAnsi"/>
        </w:rPr>
        <w:tab/>
        <w:t xml:space="preserve">The New South Wales provisions appear to apply to forced labour and deceptive recruitment of children even </w:t>
      </w:r>
      <w:r w:rsidRPr="007809F4">
        <w:rPr>
          <w:rFonts w:asciiTheme="minorHAnsi" w:hAnsiTheme="minorHAnsi" w:cstheme="minorHAnsi"/>
        </w:rPr>
        <w:t>if</w:t>
      </w:r>
      <w:r w:rsidRPr="00EB7F1E">
        <w:rPr>
          <w:rFonts w:asciiTheme="minorHAnsi" w:hAnsiTheme="minorHAnsi" w:cstheme="minorHAnsi"/>
        </w:rPr>
        <w:t xml:space="preserve"> it does not relate to sexual services. </w:t>
      </w:r>
    </w:p>
  </w:footnote>
  <w:footnote w:id="1193">
    <w:p w14:paraId="66A282C5" w14:textId="77777777" w:rsidR="00D44BCF" w:rsidRPr="00EB7F1E" w:rsidRDefault="00D44BCF">
      <w:pPr>
        <w:pStyle w:val="FootnoteText"/>
        <w:ind w:left="426" w:hanging="426"/>
        <w:jc w:val="both"/>
        <w:rPr>
          <w:rFonts w:asciiTheme="minorHAnsi" w:hAnsiTheme="minorHAnsi" w:cstheme="minorHAnsi"/>
        </w:rPr>
      </w:pPr>
      <w:r w:rsidRPr="00EB7F1E">
        <w:rPr>
          <w:rStyle w:val="FootnoteReference"/>
          <w:rFonts w:asciiTheme="minorHAnsi" w:hAnsiTheme="minorHAnsi" w:cstheme="minorHAnsi"/>
        </w:rPr>
        <w:footnoteRef/>
      </w:r>
      <w:r w:rsidRPr="00EB7F1E">
        <w:rPr>
          <w:rFonts w:asciiTheme="minorHAnsi" w:hAnsiTheme="minorHAnsi" w:cstheme="minorHAnsi"/>
        </w:rPr>
        <w:t xml:space="preserve"> </w:t>
      </w:r>
      <w:r w:rsidRPr="00EB7F1E">
        <w:rPr>
          <w:rFonts w:asciiTheme="minorHAnsi" w:hAnsiTheme="minorHAnsi" w:cstheme="minorHAnsi"/>
        </w:rPr>
        <w:tab/>
        <w:t xml:space="preserve">The Explanatory Memorandum to the </w:t>
      </w:r>
      <w:r w:rsidRPr="00EB7F1E">
        <w:rPr>
          <w:rFonts w:asciiTheme="minorHAnsi" w:hAnsiTheme="minorHAnsi" w:cstheme="minorHAnsi"/>
          <w:i/>
          <w:iCs/>
        </w:rPr>
        <w:t>Sex Offenders Registration Amendment (Miscellaneous) Bill 2017</w:t>
      </w:r>
      <w:r w:rsidRPr="00EB7F1E">
        <w:rPr>
          <w:rFonts w:asciiTheme="minorHAnsi" w:hAnsiTheme="minorHAnsi" w:cstheme="minorHAnsi"/>
        </w:rPr>
        <w:t xml:space="preserve"> (Vic), states, by way of example, that historical offences against the now repealed section 270.6 of the </w:t>
      </w:r>
      <w:r w:rsidRPr="00EB7F1E">
        <w:rPr>
          <w:rFonts w:asciiTheme="minorHAnsi" w:hAnsiTheme="minorHAnsi" w:cstheme="minorHAnsi"/>
          <w:i/>
          <w:iCs/>
        </w:rPr>
        <w:t>Criminal Code</w:t>
      </w:r>
      <w:r w:rsidRPr="00EB7F1E">
        <w:rPr>
          <w:rFonts w:asciiTheme="minorHAnsi" w:hAnsiTheme="minorHAnsi" w:cstheme="minorHAnsi"/>
        </w:rPr>
        <w:t xml:space="preserve"> (sexual servitude offences) will continue to be Class 1 offences.</w:t>
      </w:r>
    </w:p>
  </w:footnote>
  <w:footnote w:id="1194">
    <w:p w14:paraId="06E97AE0" w14:textId="3C202CAE" w:rsidR="00D44BCF" w:rsidRPr="00EB7F1E" w:rsidRDefault="00D44BCF" w:rsidP="00EB7F1E">
      <w:pPr>
        <w:pStyle w:val="FootnoteText"/>
        <w:jc w:val="both"/>
        <w:rPr>
          <w:rFonts w:asciiTheme="minorHAnsi" w:hAnsiTheme="minorHAnsi" w:cstheme="minorHAnsi"/>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rPr>
        <w:t>Repeal of these sections occurred on 15 April 2010.</w:t>
      </w:r>
    </w:p>
  </w:footnote>
  <w:footnote w:id="1195">
    <w:p w14:paraId="461B883E" w14:textId="03445E2C" w:rsidR="00D44BCF" w:rsidRPr="00EB7F1E" w:rsidRDefault="00D44BCF" w:rsidP="00EB7F1E">
      <w:pPr>
        <w:pStyle w:val="FootnoteText"/>
        <w:ind w:left="720" w:hanging="720"/>
        <w:jc w:val="both"/>
        <w:rPr>
          <w:rFonts w:asciiTheme="minorHAnsi" w:hAnsiTheme="minorHAnsi" w:cstheme="minorHAnsi"/>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rPr>
        <w:t xml:space="preserve">Operative provisions commenced on 22 September 2014, substituting a new Schedule 1 containing “prescribed offences” as compared to “Class 1” and Class 2” offences in the previous Schedule 1.  </w:t>
      </w:r>
    </w:p>
  </w:footnote>
  <w:footnote w:id="1196">
    <w:p w14:paraId="23852A84" w14:textId="4F608836" w:rsidR="00D44BCF" w:rsidRPr="00EB7F1E" w:rsidRDefault="00D44BCF" w:rsidP="00EB7F1E">
      <w:pPr>
        <w:pStyle w:val="FootnoteText"/>
        <w:ind w:left="720" w:hanging="720"/>
        <w:jc w:val="both"/>
        <w:rPr>
          <w:rFonts w:asciiTheme="minorHAnsi" w:hAnsiTheme="minorHAnsi" w:cstheme="minorHAnsi"/>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rPr>
        <w:t xml:space="preserve">Section 50BA was repealed on 15 April 2010 by the </w:t>
      </w:r>
      <w:r w:rsidRPr="00EB7F1E">
        <w:rPr>
          <w:rFonts w:asciiTheme="minorHAnsi" w:hAnsiTheme="minorHAnsi" w:cstheme="minorHAnsi"/>
          <w:i/>
          <w:iCs/>
        </w:rPr>
        <w:t>Crimes Legislation Amendment (Sexual Offences Against Children) Act 2010</w:t>
      </w:r>
      <w:r w:rsidRPr="00EB7F1E">
        <w:rPr>
          <w:rFonts w:asciiTheme="minorHAnsi" w:hAnsiTheme="minorHAnsi" w:cstheme="minorHAnsi"/>
        </w:rPr>
        <w:t xml:space="preserve"> (Cth) (Act No. 42 of 2010). </w:t>
      </w:r>
    </w:p>
  </w:footnote>
  <w:footnote w:id="1197">
    <w:p w14:paraId="46BCDD0C" w14:textId="4D0C2B07" w:rsidR="00D44BCF" w:rsidRPr="00EB7F1E" w:rsidRDefault="00D44BCF" w:rsidP="00EB7F1E">
      <w:pPr>
        <w:pStyle w:val="FootnoteText"/>
        <w:ind w:left="720" w:hanging="720"/>
        <w:jc w:val="both"/>
        <w:rPr>
          <w:rFonts w:asciiTheme="minorHAnsi" w:hAnsiTheme="minorHAnsi" w:cstheme="minorHAnsi"/>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rPr>
        <w:t xml:space="preserve">Section 50BB was repealed on 15 April 2010 by the </w:t>
      </w:r>
      <w:r w:rsidRPr="00EB7F1E">
        <w:rPr>
          <w:rFonts w:asciiTheme="minorHAnsi" w:hAnsiTheme="minorHAnsi" w:cstheme="minorHAnsi"/>
          <w:i/>
          <w:iCs/>
        </w:rPr>
        <w:t>Crimes Legislation Amendment (Sexual Offences Against Children) Act 2010</w:t>
      </w:r>
      <w:r w:rsidRPr="00EB7F1E">
        <w:rPr>
          <w:rFonts w:asciiTheme="minorHAnsi" w:hAnsiTheme="minorHAnsi" w:cstheme="minorHAnsi"/>
        </w:rPr>
        <w:t xml:space="preserve"> (Cth) (Act No. 42 of 2010). </w:t>
      </w:r>
    </w:p>
  </w:footnote>
  <w:footnote w:id="1198">
    <w:p w14:paraId="5679000E" w14:textId="7B526220" w:rsidR="00D44BCF" w:rsidRPr="00EB7F1E" w:rsidRDefault="00D44BCF" w:rsidP="00EB7F1E">
      <w:pPr>
        <w:pStyle w:val="FootnoteText"/>
        <w:ind w:left="720" w:hanging="720"/>
        <w:jc w:val="both"/>
        <w:rPr>
          <w:rFonts w:asciiTheme="minorHAnsi" w:hAnsiTheme="minorHAnsi" w:cstheme="minorHAnsi"/>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rPr>
        <w:t xml:space="preserve">Section 50BC was repealed on 15 April 2010 by the </w:t>
      </w:r>
      <w:r w:rsidRPr="00EB7F1E">
        <w:rPr>
          <w:rFonts w:asciiTheme="minorHAnsi" w:hAnsiTheme="minorHAnsi" w:cstheme="minorHAnsi"/>
          <w:i/>
          <w:iCs/>
        </w:rPr>
        <w:t>Crimes Legislation Amendment (Sexual Offences Against Children) Act 2010</w:t>
      </w:r>
      <w:r w:rsidRPr="00EB7F1E">
        <w:rPr>
          <w:rFonts w:asciiTheme="minorHAnsi" w:hAnsiTheme="minorHAnsi" w:cstheme="minorHAnsi"/>
        </w:rPr>
        <w:t xml:space="preserve"> (Cth) (Act No. 42 of 2010). </w:t>
      </w:r>
    </w:p>
  </w:footnote>
  <w:footnote w:id="1199">
    <w:p w14:paraId="7B040C19" w14:textId="70708B25" w:rsidR="00D44BCF" w:rsidRPr="00EB7F1E" w:rsidRDefault="00D44BCF" w:rsidP="00EB7F1E">
      <w:pPr>
        <w:pStyle w:val="FootnoteText"/>
        <w:ind w:left="720" w:hanging="720"/>
        <w:jc w:val="both"/>
        <w:rPr>
          <w:rFonts w:asciiTheme="minorHAnsi" w:hAnsiTheme="minorHAnsi" w:cstheme="minorHAnsi"/>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rPr>
        <w:t xml:space="preserve">Section 50BD was repealed on 15 April 2010 by the </w:t>
      </w:r>
      <w:r w:rsidRPr="00EB7F1E">
        <w:rPr>
          <w:rFonts w:asciiTheme="minorHAnsi" w:hAnsiTheme="minorHAnsi" w:cstheme="minorHAnsi"/>
          <w:i/>
          <w:iCs/>
        </w:rPr>
        <w:t>Crimes Legislation Amendment (Sexual Offences Against Children) Act 2010</w:t>
      </w:r>
      <w:r w:rsidRPr="00EB7F1E">
        <w:rPr>
          <w:rFonts w:asciiTheme="minorHAnsi" w:hAnsiTheme="minorHAnsi" w:cstheme="minorHAnsi"/>
        </w:rPr>
        <w:t xml:space="preserve"> (Cth) (Act No. 42 of 2010). </w:t>
      </w:r>
    </w:p>
  </w:footnote>
  <w:footnote w:id="1200">
    <w:p w14:paraId="65511450" w14:textId="43583EE7" w:rsidR="00D44BCF" w:rsidRPr="00EB7F1E" w:rsidRDefault="00D44BCF" w:rsidP="00EB7F1E">
      <w:pPr>
        <w:pStyle w:val="FootnoteText"/>
        <w:ind w:left="720" w:hanging="720"/>
        <w:jc w:val="both"/>
        <w:rPr>
          <w:rFonts w:asciiTheme="minorHAnsi" w:hAnsiTheme="minorHAnsi" w:cstheme="minorHAnsi"/>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rPr>
        <w:t>Sections 50DA and 50DB were repealed on 15 April 2010 by the C</w:t>
      </w:r>
      <w:r w:rsidRPr="00EB7F1E">
        <w:rPr>
          <w:rFonts w:asciiTheme="minorHAnsi" w:hAnsiTheme="minorHAnsi" w:cstheme="minorHAnsi"/>
          <w:i/>
          <w:iCs/>
        </w:rPr>
        <w:t>rimes Legislation Amendment (Sexual Offences Against Children) Act 2010</w:t>
      </w:r>
      <w:r w:rsidRPr="00EB7F1E">
        <w:rPr>
          <w:rFonts w:asciiTheme="minorHAnsi" w:hAnsiTheme="minorHAnsi" w:cstheme="minorHAnsi"/>
        </w:rPr>
        <w:t xml:space="preserve"> (Cth) (Act No. 42 of 2010). </w:t>
      </w:r>
    </w:p>
  </w:footnote>
  <w:footnote w:id="1201">
    <w:p w14:paraId="69475767" w14:textId="77777777" w:rsidR="00D44BCF" w:rsidRPr="007809F4" w:rsidRDefault="00D44BCF" w:rsidP="009863B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rPr>
        <w:footnoteRef/>
      </w:r>
      <w:r w:rsidRPr="007809F4">
        <w:rPr>
          <w:rFonts w:asciiTheme="minorHAnsi" w:hAnsiTheme="minorHAnsi" w:cstheme="minorHAnsi"/>
        </w:rPr>
        <w:tab/>
        <w:t xml:space="preserve">Section 270.6 originally provided for “sexual servitude” offences. The </w:t>
      </w:r>
      <w:r w:rsidRPr="007809F4">
        <w:rPr>
          <w:rFonts w:asciiTheme="minorHAnsi" w:hAnsiTheme="minorHAnsi" w:cstheme="minorHAnsi"/>
          <w:i/>
          <w:iCs/>
        </w:rPr>
        <w:t>Crimes Legislation Amendment (Slavery, Slavery-Like Conditions and People Trafficking) Act 2013</w:t>
      </w:r>
      <w:r w:rsidRPr="007809F4">
        <w:rPr>
          <w:rFonts w:asciiTheme="minorHAnsi" w:hAnsiTheme="minorHAnsi" w:cstheme="minorHAnsi"/>
        </w:rPr>
        <w:t xml:space="preserve"> (Cth) (which came into effect on 8 March 2013) repealed s 270.6, re-enacted servitude offences as s 270.5, and substituted a new s 270.6 which contained only definition provisions.</w:t>
      </w:r>
    </w:p>
  </w:footnote>
  <w:footnote w:id="1202">
    <w:p w14:paraId="303E1851" w14:textId="77777777" w:rsidR="00D44BCF" w:rsidRPr="007809F4" w:rsidRDefault="00D44BCF" w:rsidP="009863B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rPr>
        <w:footnoteRef/>
      </w:r>
      <w:r w:rsidRPr="007809F4">
        <w:rPr>
          <w:rFonts w:asciiTheme="minorHAnsi" w:hAnsiTheme="minorHAnsi" w:cstheme="minorHAnsi"/>
        </w:rPr>
        <w:tab/>
        <w:t xml:space="preserve">Section 270.6 originally provided for “sexual servitude” offences. The </w:t>
      </w:r>
      <w:r w:rsidRPr="007809F4">
        <w:rPr>
          <w:rFonts w:asciiTheme="minorHAnsi" w:hAnsiTheme="minorHAnsi" w:cstheme="minorHAnsi"/>
          <w:i/>
          <w:iCs/>
        </w:rPr>
        <w:t>Crimes Legislation Amendment (Slavery, Slavery-Like Conditions and People Trafficking) Act 2013</w:t>
      </w:r>
      <w:r w:rsidRPr="007809F4">
        <w:rPr>
          <w:rFonts w:asciiTheme="minorHAnsi" w:hAnsiTheme="minorHAnsi" w:cstheme="minorHAnsi"/>
        </w:rPr>
        <w:t xml:space="preserve"> (Cth) (which came into effect on 8 March 2013) repealed s 270.6, re-enacted servitude offences as s 270.5, and substituted a new s 270.6 which contained only definition provisions.</w:t>
      </w:r>
    </w:p>
  </w:footnote>
  <w:footnote w:id="1203">
    <w:p w14:paraId="33FE9C07" w14:textId="2261EE77" w:rsidR="00D44BCF" w:rsidRPr="00EB7F1E" w:rsidRDefault="00D44BCF" w:rsidP="00EB7F1E">
      <w:pPr>
        <w:pStyle w:val="FootnoteText"/>
        <w:ind w:left="720" w:hanging="720"/>
        <w:jc w:val="both"/>
        <w:rPr>
          <w:rFonts w:asciiTheme="minorHAnsi" w:hAnsiTheme="minorHAnsi" w:cstheme="minorHAnsi"/>
          <w:lang w:val="en-US"/>
        </w:rPr>
      </w:pPr>
      <w:r w:rsidRPr="00EB7F1E">
        <w:rPr>
          <w:rStyle w:val="FootnoteReference"/>
          <w:rFonts w:asciiTheme="minorHAnsi" w:hAnsiTheme="minorHAnsi" w:cstheme="minorHAnsi"/>
        </w:rPr>
        <w:footnoteRef/>
      </w:r>
      <w:r w:rsidRPr="007809F4">
        <w:rPr>
          <w:rFonts w:asciiTheme="minorHAnsi" w:hAnsiTheme="minorHAnsi" w:cstheme="minorHAnsi"/>
          <w:lang w:val="en-US"/>
        </w:rPr>
        <w:tab/>
      </w:r>
      <w:r w:rsidRPr="00EB7F1E">
        <w:rPr>
          <w:rFonts w:asciiTheme="minorHAnsi" w:hAnsiTheme="minorHAnsi" w:cstheme="minorHAnsi"/>
          <w:lang w:val="en-US"/>
        </w:rPr>
        <w:t xml:space="preserve">Section 50BA was repealed on 15 April 2010 by the </w:t>
      </w:r>
      <w:r w:rsidRPr="00EB7F1E">
        <w:rPr>
          <w:rFonts w:asciiTheme="minorHAnsi" w:hAnsiTheme="minorHAnsi" w:cstheme="minorHAnsi"/>
          <w:i/>
          <w:lang w:val="en-US"/>
        </w:rPr>
        <w:t>Crimes Legislation Amendment (Sexual Offences Against Children) Act 2010</w:t>
      </w:r>
      <w:r w:rsidRPr="00EB7F1E">
        <w:rPr>
          <w:rFonts w:asciiTheme="minorHAnsi" w:hAnsiTheme="minorHAnsi" w:cstheme="minorHAnsi"/>
          <w:lang w:val="en-US"/>
        </w:rPr>
        <w:t xml:space="preserve"> (Cth) (Act No. 42 of 2010). </w:t>
      </w:r>
    </w:p>
  </w:footnote>
  <w:footnote w:id="1204">
    <w:p w14:paraId="49B48784" w14:textId="0D9C7B31" w:rsidR="00D44BCF" w:rsidRPr="00EB7F1E" w:rsidRDefault="00D44BCF" w:rsidP="00EB7F1E">
      <w:pPr>
        <w:pStyle w:val="FootnoteText"/>
        <w:ind w:left="720" w:hanging="720"/>
        <w:jc w:val="both"/>
        <w:rPr>
          <w:rFonts w:asciiTheme="minorHAnsi" w:hAnsiTheme="minorHAnsi" w:cstheme="minorHAnsi"/>
          <w:lang w:val="en-US"/>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lang w:val="en-US"/>
        </w:rPr>
        <w:t xml:space="preserve">Section 50BB was repealed on 15 April 2010 by the </w:t>
      </w:r>
      <w:r w:rsidRPr="00EB7F1E">
        <w:rPr>
          <w:rFonts w:asciiTheme="minorHAnsi" w:hAnsiTheme="minorHAnsi" w:cstheme="minorHAnsi"/>
          <w:i/>
          <w:lang w:val="en-US"/>
        </w:rPr>
        <w:t>Crimes Legislation Amendment (Sexual Offences Against Children) Act 2010</w:t>
      </w:r>
      <w:r w:rsidRPr="00EB7F1E">
        <w:rPr>
          <w:rFonts w:asciiTheme="minorHAnsi" w:hAnsiTheme="minorHAnsi" w:cstheme="minorHAnsi"/>
          <w:lang w:val="en-US"/>
        </w:rPr>
        <w:t xml:space="preserve"> (Cth) (Act No. 42 of 2010). </w:t>
      </w:r>
    </w:p>
  </w:footnote>
  <w:footnote w:id="1205">
    <w:p w14:paraId="2DBFBE07" w14:textId="2886B99B" w:rsidR="00D44BCF" w:rsidRPr="00EB7F1E" w:rsidRDefault="00D44BCF" w:rsidP="00EB7F1E">
      <w:pPr>
        <w:pStyle w:val="FootnoteText"/>
        <w:ind w:left="720" w:hanging="720"/>
        <w:jc w:val="both"/>
        <w:rPr>
          <w:rFonts w:asciiTheme="minorHAnsi" w:hAnsiTheme="minorHAnsi" w:cstheme="minorHAnsi"/>
          <w:lang w:val="en-US"/>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lang w:val="en-US"/>
        </w:rPr>
        <w:t xml:space="preserve">Section 50BC was repealed on 15 April 2010 by the </w:t>
      </w:r>
      <w:r w:rsidRPr="00EB7F1E">
        <w:rPr>
          <w:rFonts w:asciiTheme="minorHAnsi" w:hAnsiTheme="minorHAnsi" w:cstheme="minorHAnsi"/>
          <w:i/>
          <w:lang w:val="en-US"/>
        </w:rPr>
        <w:t>Crimes Legislation Amendment (Sexual Offences Against Children) Act 2010</w:t>
      </w:r>
      <w:r w:rsidRPr="00EB7F1E">
        <w:rPr>
          <w:rFonts w:asciiTheme="minorHAnsi" w:hAnsiTheme="minorHAnsi" w:cstheme="minorHAnsi"/>
          <w:lang w:val="en-US"/>
        </w:rPr>
        <w:t xml:space="preserve"> (Cth) (Act No. 42 of 2010). </w:t>
      </w:r>
    </w:p>
  </w:footnote>
  <w:footnote w:id="1206">
    <w:p w14:paraId="2FE9DBAD" w14:textId="0B5B8884" w:rsidR="00D44BCF" w:rsidRPr="00EB7F1E" w:rsidRDefault="00D44BCF" w:rsidP="00EB7F1E">
      <w:pPr>
        <w:pStyle w:val="FootnoteText"/>
        <w:ind w:left="720" w:hanging="720"/>
        <w:jc w:val="both"/>
        <w:rPr>
          <w:rFonts w:asciiTheme="minorHAnsi" w:hAnsiTheme="minorHAnsi" w:cstheme="minorHAnsi"/>
          <w:lang w:val="en-US"/>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lang w:val="en-US"/>
        </w:rPr>
        <w:t xml:space="preserve">Section 50BD was repealed on 15 April 2010 by the </w:t>
      </w:r>
      <w:r w:rsidRPr="00EB7F1E">
        <w:rPr>
          <w:rFonts w:asciiTheme="minorHAnsi" w:hAnsiTheme="minorHAnsi" w:cstheme="minorHAnsi"/>
          <w:i/>
          <w:lang w:val="en-US"/>
        </w:rPr>
        <w:t>Crimes Legislation Amendment (Sexual Offences Against Children) Act 2010</w:t>
      </w:r>
      <w:r w:rsidRPr="00EB7F1E">
        <w:rPr>
          <w:rFonts w:asciiTheme="minorHAnsi" w:hAnsiTheme="minorHAnsi" w:cstheme="minorHAnsi"/>
          <w:lang w:val="en-US"/>
        </w:rPr>
        <w:t xml:space="preserve"> (Cth) (Act No. 42 of 2010). </w:t>
      </w:r>
    </w:p>
  </w:footnote>
  <w:footnote w:id="1207">
    <w:p w14:paraId="399D3A1D" w14:textId="0446CDFF" w:rsidR="00D44BCF" w:rsidRPr="00EB7F1E" w:rsidRDefault="00D44BCF" w:rsidP="00EB7F1E">
      <w:pPr>
        <w:pStyle w:val="FootnoteText"/>
        <w:ind w:left="720" w:hanging="720"/>
        <w:jc w:val="both"/>
        <w:rPr>
          <w:rFonts w:asciiTheme="minorHAnsi" w:hAnsiTheme="minorHAnsi" w:cstheme="minorHAnsi"/>
          <w:lang w:val="en-US"/>
        </w:rPr>
      </w:pPr>
      <w:r w:rsidRPr="00EB7F1E">
        <w:rPr>
          <w:rStyle w:val="FootnoteReference"/>
          <w:rFonts w:asciiTheme="minorHAnsi" w:hAnsiTheme="minorHAnsi" w:cstheme="minorHAnsi"/>
        </w:rPr>
        <w:footnoteRef/>
      </w:r>
      <w:r w:rsidRPr="007809F4">
        <w:rPr>
          <w:rFonts w:asciiTheme="minorHAnsi" w:hAnsiTheme="minorHAnsi" w:cstheme="minorHAnsi"/>
        </w:rPr>
        <w:tab/>
      </w:r>
      <w:r w:rsidRPr="00EB7F1E">
        <w:rPr>
          <w:rFonts w:asciiTheme="minorHAnsi" w:hAnsiTheme="minorHAnsi" w:cstheme="minorHAnsi"/>
          <w:lang w:val="en-US"/>
        </w:rPr>
        <w:t xml:space="preserve">Sections 50DA and 50DB were repealed on 15 April 2010 by the </w:t>
      </w:r>
      <w:r w:rsidRPr="00EB7F1E">
        <w:rPr>
          <w:rFonts w:asciiTheme="minorHAnsi" w:hAnsiTheme="minorHAnsi" w:cstheme="minorHAnsi"/>
          <w:i/>
          <w:lang w:val="en-US"/>
        </w:rPr>
        <w:t>Crimes Legislation Amendment (Sexual Offences Against Children) Act 2010</w:t>
      </w:r>
      <w:r w:rsidRPr="00EB7F1E">
        <w:rPr>
          <w:rFonts w:asciiTheme="minorHAnsi" w:hAnsiTheme="minorHAnsi" w:cstheme="minorHAnsi"/>
          <w:lang w:val="en-US"/>
        </w:rPr>
        <w:t xml:space="preserve"> (Cth) (Act No. 42 of 2010). </w:t>
      </w:r>
    </w:p>
  </w:footnote>
  <w:footnote w:id="1208">
    <w:p w14:paraId="65C44503" w14:textId="3480112F"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DPP (Cth) v El Karhani</w:t>
      </w:r>
      <w:r w:rsidRPr="007809F4">
        <w:rPr>
          <w:rFonts w:asciiTheme="minorHAnsi" w:hAnsiTheme="minorHAnsi" w:cstheme="minorHAnsi"/>
        </w:rPr>
        <w:t xml:space="preserve"> (1990) 21 NSWLR 370</w:t>
      </w:r>
      <w:r w:rsidRPr="00EB7F1E">
        <w:rPr>
          <w:rFonts w:asciiTheme="minorHAnsi" w:hAnsiTheme="minorHAnsi" w:cstheme="minorHAnsi"/>
        </w:rPr>
        <w:fldChar w:fldCharType="begin"/>
      </w:r>
      <w:r w:rsidRPr="00EB7F1E">
        <w:rPr>
          <w:rFonts w:asciiTheme="minorHAnsi" w:hAnsiTheme="minorHAnsi" w:cstheme="minorHAnsi"/>
        </w:rPr>
        <w:instrText xml:space="preserve"> TA \s "DPP (Cth) v El Karhani (1990) 21 NSWLR 370"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09">
    <w:p w14:paraId="359874A2" w14:textId="577365AA"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Ibid; </w:t>
      </w:r>
      <w:r w:rsidRPr="007809F4">
        <w:rPr>
          <w:rFonts w:asciiTheme="minorHAnsi" w:hAnsiTheme="minorHAnsi" w:cstheme="minorHAnsi"/>
          <w:i/>
        </w:rPr>
        <w:t>R v Corbett</w:t>
      </w:r>
      <w:r w:rsidRPr="007809F4">
        <w:rPr>
          <w:rFonts w:asciiTheme="minorHAnsi" w:hAnsiTheme="minorHAnsi" w:cstheme="minorHAnsi"/>
        </w:rPr>
        <w:t xml:space="preserve"> (1991) 52 A Crim R 112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Corbett</w:instrText>
      </w:r>
      <w:r w:rsidRPr="007809F4">
        <w:rPr>
          <w:rFonts w:asciiTheme="minorHAnsi" w:hAnsiTheme="minorHAnsi" w:cstheme="minorHAnsi"/>
        </w:rPr>
        <w:instrText xml:space="preserve"> (1991) 52 A Crim R 112" \s "R v Corbett (1991) 52 A Crim R 112"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O’Brien v R</w:t>
      </w:r>
      <w:r w:rsidRPr="007809F4">
        <w:rPr>
          <w:rFonts w:asciiTheme="minorHAnsi" w:hAnsiTheme="minorHAnsi" w:cstheme="minorHAnsi"/>
        </w:rPr>
        <w:t xml:space="preserve"> (1991) 57 A Crim R 80</w:t>
      </w:r>
      <w:r w:rsidRPr="00EB7F1E">
        <w:rPr>
          <w:rFonts w:asciiTheme="minorHAnsi" w:hAnsiTheme="minorHAnsi" w:cstheme="minorHAnsi"/>
        </w:rPr>
        <w:fldChar w:fldCharType="begin"/>
      </w:r>
      <w:r w:rsidRPr="007809F4">
        <w:rPr>
          <w:rFonts w:asciiTheme="minorHAnsi" w:hAnsiTheme="minorHAnsi" w:cstheme="minorHAnsi"/>
        </w:rPr>
        <w:instrText xml:space="preserve"> TA \s "O’Brien v R (1991) 57 A Crim R 80"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Carroll</w:t>
      </w:r>
      <w:r w:rsidRPr="007809F4">
        <w:rPr>
          <w:rFonts w:asciiTheme="minorHAnsi" w:hAnsiTheme="minorHAnsi" w:cstheme="minorHAnsi"/>
        </w:rPr>
        <w:t xml:space="preserve"> [1991] 2 VR 509</w:t>
      </w:r>
      <w:r w:rsidRPr="00EB7F1E">
        <w:rPr>
          <w:rFonts w:asciiTheme="minorHAnsi" w:hAnsiTheme="minorHAnsi" w:cstheme="minorHAnsi"/>
        </w:rPr>
        <w:fldChar w:fldCharType="begin"/>
      </w:r>
      <w:r w:rsidRPr="007809F4">
        <w:rPr>
          <w:rFonts w:asciiTheme="minorHAnsi" w:hAnsiTheme="minorHAnsi" w:cstheme="minorHAnsi"/>
        </w:rPr>
        <w:instrText xml:space="preserve"> TA \s "R v Carroll [1991] 2 VR 509"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Carroll [1991] 2 VR 509"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Shore v R</w:t>
      </w:r>
      <w:r w:rsidRPr="007809F4">
        <w:rPr>
          <w:rFonts w:asciiTheme="minorHAnsi" w:hAnsiTheme="minorHAnsi" w:cstheme="minorHAnsi"/>
        </w:rPr>
        <w:t xml:space="preserve"> (1992) 66 A Crim R 37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Shore v R</w:instrText>
      </w:r>
      <w:r w:rsidRPr="007809F4">
        <w:rPr>
          <w:rFonts w:asciiTheme="minorHAnsi" w:hAnsiTheme="minorHAnsi" w:cstheme="minorHAnsi"/>
        </w:rPr>
        <w:instrText xml:space="preserve"> (1992) 66 A Crim R 37" \s "Shore v R (1992) 66 A Crim R 37"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"Shore v R (1992) 66 A Crim R 37"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Bradley</w:t>
      </w:r>
      <w:r w:rsidRPr="007809F4">
        <w:rPr>
          <w:rFonts w:asciiTheme="minorHAnsi" w:hAnsiTheme="minorHAnsi" w:cstheme="minorHAnsi"/>
        </w:rPr>
        <w:t xml:space="preserve"> (1997) 137 FLR 314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Bradley</w:instrText>
      </w:r>
      <w:r w:rsidRPr="007809F4">
        <w:rPr>
          <w:rFonts w:asciiTheme="minorHAnsi" w:hAnsiTheme="minorHAnsi" w:cstheme="minorHAnsi"/>
        </w:rPr>
        <w:instrText xml:space="preserve"> (1997) 137 FLR 314" \s "R v Bradley (1997) 137 FLR 314"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Bradley (1997) 137 FLR 314" </w:instrText>
      </w:r>
      <w:r w:rsidRPr="00EB7F1E">
        <w:rPr>
          <w:rFonts w:asciiTheme="minorHAnsi" w:hAnsiTheme="minorHAnsi" w:cstheme="minorHAnsi"/>
        </w:rPr>
        <w:fldChar w:fldCharType="end"/>
      </w:r>
      <w:r w:rsidRPr="007809F4">
        <w:rPr>
          <w:rFonts w:asciiTheme="minorHAnsi" w:hAnsiTheme="minorHAnsi" w:cstheme="minorHAnsi"/>
        </w:rPr>
        <w:t xml:space="preserve">; </w:t>
      </w:r>
      <w:bookmarkStart w:id="3584" w:name="_Hlk3884644"/>
      <w:r w:rsidRPr="007809F4">
        <w:rPr>
          <w:rFonts w:asciiTheme="minorHAnsi" w:hAnsiTheme="minorHAnsi" w:cstheme="minorHAnsi"/>
          <w:i/>
        </w:rPr>
        <w:t>R v Li</w:t>
      </w:r>
      <w:r w:rsidRPr="007809F4">
        <w:rPr>
          <w:rFonts w:asciiTheme="minorHAnsi" w:hAnsiTheme="minorHAnsi" w:cstheme="minorHAnsi"/>
        </w:rPr>
        <w:t xml:space="preserve"> [1998] 1 VR 637.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Li</w:instrText>
      </w:r>
      <w:r w:rsidRPr="007809F4">
        <w:rPr>
          <w:rFonts w:asciiTheme="minorHAnsi" w:hAnsiTheme="minorHAnsi" w:cstheme="minorHAnsi"/>
        </w:rPr>
        <w:instrText xml:space="preserve"> [1998] 1 VR 637" \s "R v Li [1998] 1 VR 637" \c 1 </w:instrText>
      </w:r>
      <w:r w:rsidRPr="00EB7F1E">
        <w:rPr>
          <w:rFonts w:asciiTheme="minorHAnsi" w:hAnsiTheme="minorHAnsi" w:cstheme="minorHAnsi"/>
        </w:rPr>
        <w:fldChar w:fldCharType="end"/>
      </w:r>
      <w:bookmarkEnd w:id="3584"/>
      <w:r w:rsidRPr="00EB7F1E">
        <w:rPr>
          <w:rFonts w:asciiTheme="minorHAnsi" w:hAnsiTheme="minorHAnsi" w:cstheme="minorHAnsi"/>
        </w:rPr>
        <w:fldChar w:fldCharType="begin"/>
      </w:r>
      <w:r w:rsidRPr="007809F4">
        <w:rPr>
          <w:rFonts w:asciiTheme="minorHAnsi" w:hAnsiTheme="minorHAnsi" w:cstheme="minorHAnsi"/>
        </w:rPr>
        <w:instrText xml:space="preserve">  "R v Li [1998] 1 VR 637" </w:instrText>
      </w:r>
      <w:r w:rsidRPr="00EB7F1E">
        <w:rPr>
          <w:rFonts w:asciiTheme="minorHAnsi" w:hAnsiTheme="minorHAnsi" w:cstheme="minorHAnsi"/>
        </w:rPr>
        <w:fldChar w:fldCharType="end"/>
      </w:r>
    </w:p>
  </w:footnote>
  <w:footnote w:id="1210">
    <w:p w14:paraId="34BF3DF3" w14:textId="171619FC"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bCs/>
          <w:i/>
          <w:iCs/>
        </w:rPr>
        <w:t>R v Majeric</w:t>
      </w:r>
      <w:r w:rsidRPr="007809F4">
        <w:rPr>
          <w:rFonts w:asciiTheme="minorHAnsi" w:hAnsiTheme="minorHAnsi" w:cstheme="minorHAnsi"/>
        </w:rPr>
        <w:t xml:space="preserve"> [2001] VSCA 15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Majeric</w:instrText>
      </w:r>
      <w:r w:rsidRPr="007809F4">
        <w:rPr>
          <w:rFonts w:asciiTheme="minorHAnsi" w:hAnsiTheme="minorHAnsi" w:cstheme="minorHAnsi"/>
        </w:rPr>
        <w:instrText xml:space="preserve"> [2001] VSCA 15" \s "R v Majeric [2001] VSCA 15"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Majeric (2001) 121 A Crim R 451" </w:instrText>
      </w:r>
      <w:r w:rsidRPr="00EB7F1E">
        <w:rPr>
          <w:rFonts w:asciiTheme="minorHAnsi" w:hAnsiTheme="minorHAnsi" w:cstheme="minorHAnsi"/>
        </w:rPr>
        <w:fldChar w:fldCharType="end"/>
      </w:r>
      <w:r w:rsidRPr="007809F4">
        <w:rPr>
          <w:rFonts w:asciiTheme="minorHAnsi" w:hAnsiTheme="minorHAnsi" w:cstheme="minorHAnsi"/>
        </w:rPr>
        <w:t xml:space="preserve">.  See also </w:t>
      </w:r>
      <w:r w:rsidRPr="007809F4">
        <w:rPr>
          <w:rFonts w:asciiTheme="minorHAnsi" w:hAnsiTheme="minorHAnsi" w:cstheme="minorHAnsi"/>
          <w:bCs/>
          <w:i/>
          <w:iCs/>
        </w:rPr>
        <w:t>R v Sweet</w:t>
      </w:r>
      <w:r w:rsidRPr="007809F4">
        <w:rPr>
          <w:rFonts w:asciiTheme="minorHAnsi" w:hAnsiTheme="minorHAnsi" w:cstheme="minorHAnsi"/>
        </w:rPr>
        <w:t xml:space="preserve"> [2001] NSWCCA 445.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bCs/>
          <w:i/>
          <w:iCs/>
        </w:rPr>
        <w:instrText>R v Sweet</w:instrText>
      </w:r>
      <w:r w:rsidRPr="007809F4">
        <w:rPr>
          <w:rFonts w:asciiTheme="minorHAnsi" w:hAnsiTheme="minorHAnsi" w:cstheme="minorHAnsi"/>
        </w:rPr>
        <w:instrText xml:space="preserve"> [2001] NSWCCA 445" \s "R v Sweet [2001] NSWCCA 445"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Sweet (2001) 125 A Crim R 341" </w:instrText>
      </w:r>
      <w:r w:rsidRPr="00EB7F1E">
        <w:rPr>
          <w:rFonts w:asciiTheme="minorHAnsi" w:hAnsiTheme="minorHAnsi" w:cstheme="minorHAnsi"/>
        </w:rPr>
        <w:fldChar w:fldCharType="end"/>
      </w:r>
    </w:p>
  </w:footnote>
  <w:footnote w:id="1211">
    <w:p w14:paraId="27B8579D" w14:textId="11B91568"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Yook </w:t>
      </w:r>
      <w:r w:rsidRPr="007809F4">
        <w:rPr>
          <w:rFonts w:asciiTheme="minorHAnsi" w:hAnsiTheme="minorHAnsi" w:cstheme="minorHAnsi"/>
        </w:rPr>
        <w:t>(1995) 122 FLR 109</w:t>
      </w:r>
      <w:r w:rsidRPr="00EB7F1E">
        <w:rPr>
          <w:rFonts w:asciiTheme="minorHAnsi" w:hAnsiTheme="minorHAnsi" w:cstheme="minorHAnsi"/>
        </w:rPr>
        <w:fldChar w:fldCharType="begin"/>
      </w:r>
      <w:r w:rsidRPr="00EB7F1E">
        <w:rPr>
          <w:rFonts w:asciiTheme="minorHAnsi" w:hAnsiTheme="minorHAnsi" w:cstheme="minorHAnsi"/>
        </w:rPr>
        <w:instrText xml:space="preserve"> TA \s "R v Yook (1995) 122 FLR 109" </w:instrText>
      </w:r>
      <w:r w:rsidRPr="00EB7F1E">
        <w:rPr>
          <w:rFonts w:asciiTheme="minorHAnsi" w:hAnsiTheme="minorHAnsi" w:cstheme="minorHAnsi"/>
        </w:rPr>
        <w:fldChar w:fldCharType="end"/>
      </w:r>
      <w:r w:rsidRPr="007809F4">
        <w:rPr>
          <w:rFonts w:asciiTheme="minorHAnsi" w:hAnsiTheme="minorHAnsi" w:cstheme="minorHAnsi"/>
        </w:rPr>
        <w:t>.</w:t>
      </w:r>
      <w:r w:rsidRPr="007809F4" w:rsidDel="007A4B09">
        <w:rPr>
          <w:rFonts w:asciiTheme="minorHAnsi" w:hAnsiTheme="minorHAnsi" w:cstheme="minorHAnsi"/>
        </w:rPr>
        <w:t xml:space="preserve"> </w:t>
      </w:r>
    </w:p>
  </w:footnote>
  <w:footnote w:id="1212">
    <w:p w14:paraId="6605EEAF" w14:textId="77777777" w:rsidR="00D44BCF" w:rsidRPr="007809F4" w:rsidRDefault="00D44BCF">
      <w:pPr>
        <w:pStyle w:val="FootnoteText"/>
        <w:tabs>
          <w:tab w:val="left" w:pos="550"/>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Lee</w:t>
      </w:r>
      <w:r w:rsidRPr="007809F4">
        <w:rPr>
          <w:rFonts w:asciiTheme="minorHAnsi" w:hAnsiTheme="minorHAnsi" w:cstheme="minorHAnsi"/>
        </w:rPr>
        <w:t xml:space="preserve"> </w:t>
      </w:r>
      <w:r w:rsidRPr="007809F4">
        <w:rPr>
          <w:rFonts w:asciiTheme="minorHAnsi" w:hAnsiTheme="minorHAnsi" w:cstheme="minorHAnsi"/>
          <w:i/>
        </w:rPr>
        <w:t>Vanit v R</w:t>
      </w:r>
      <w:r w:rsidRPr="007809F4">
        <w:rPr>
          <w:rFonts w:asciiTheme="minorHAnsi" w:hAnsiTheme="minorHAnsi" w:cstheme="minorHAnsi"/>
        </w:rPr>
        <w:t xml:space="preserve"> (1997) 190 CLR 378.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Lee</w:instrText>
      </w:r>
      <w:r w:rsidRPr="007809F4">
        <w:rPr>
          <w:rFonts w:asciiTheme="minorHAnsi" w:hAnsiTheme="minorHAnsi" w:cstheme="minorHAnsi"/>
        </w:rPr>
        <w:instrText xml:space="preserve"> </w:instrText>
      </w:r>
      <w:r w:rsidRPr="007809F4">
        <w:rPr>
          <w:rFonts w:asciiTheme="minorHAnsi" w:hAnsiTheme="minorHAnsi" w:cstheme="minorHAnsi"/>
          <w:i/>
        </w:rPr>
        <w:instrText>Vanit v R</w:instrText>
      </w:r>
      <w:r w:rsidRPr="007809F4">
        <w:rPr>
          <w:rFonts w:asciiTheme="minorHAnsi" w:hAnsiTheme="minorHAnsi" w:cstheme="minorHAnsi"/>
        </w:rPr>
        <w:instrText xml:space="preserve"> (1997) 190 CLR 378" \s "Lee Vanit v R (1997) 190 CLR 378" \c 1 </w:instrText>
      </w:r>
      <w:r w:rsidRPr="00EB7F1E">
        <w:rPr>
          <w:rFonts w:asciiTheme="minorHAnsi" w:hAnsiTheme="minorHAnsi" w:cstheme="minorHAnsi"/>
        </w:rPr>
        <w:fldChar w:fldCharType="end"/>
      </w:r>
    </w:p>
  </w:footnote>
  <w:footnote w:id="1213">
    <w:p w14:paraId="027A5D7F" w14:textId="5E71F12B"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Bezan</w:t>
      </w:r>
      <w:r w:rsidRPr="007809F4">
        <w:rPr>
          <w:rFonts w:asciiTheme="minorHAnsi" w:hAnsiTheme="minorHAnsi" w:cstheme="minorHAnsi"/>
        </w:rPr>
        <w:t xml:space="preserve"> [2004] NSWCCA 342.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Bezan</w:instrText>
      </w:r>
      <w:r w:rsidRPr="007809F4">
        <w:rPr>
          <w:rFonts w:asciiTheme="minorHAnsi" w:hAnsiTheme="minorHAnsi" w:cstheme="minorHAnsi"/>
        </w:rPr>
        <w:instrText xml:space="preserve"> [2004] NSWCCA 342" \s "R v Bezan [2004] NSWCCA 342" \c 1 </w:instrText>
      </w:r>
      <w:r w:rsidRPr="00EB7F1E">
        <w:rPr>
          <w:rFonts w:asciiTheme="minorHAnsi" w:hAnsiTheme="minorHAnsi" w:cstheme="minorHAnsi"/>
        </w:rPr>
        <w:fldChar w:fldCharType="end"/>
      </w:r>
    </w:p>
  </w:footnote>
  <w:footnote w:id="1214">
    <w:p w14:paraId="2B618BF5" w14:textId="771068D1"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Kevenaar</w:t>
      </w:r>
      <w:r w:rsidRPr="007809F4">
        <w:rPr>
          <w:rFonts w:asciiTheme="minorHAnsi" w:hAnsiTheme="minorHAnsi" w:cstheme="minorHAnsi"/>
        </w:rPr>
        <w:t xml:space="preserve"> [2004] NSWCCA 210</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Kevenaar</w:instrText>
      </w:r>
      <w:r w:rsidRPr="007809F4">
        <w:rPr>
          <w:rFonts w:asciiTheme="minorHAnsi" w:hAnsiTheme="minorHAnsi" w:cstheme="minorHAnsi"/>
        </w:rPr>
        <w:instrText xml:space="preserve"> [2004] NSWCCA 210</w:instrText>
      </w:r>
      <w:r w:rsidRPr="00EB7F1E">
        <w:rPr>
          <w:rFonts w:asciiTheme="minorHAnsi" w:hAnsiTheme="minorHAnsi" w:cstheme="minorHAnsi"/>
        </w:rPr>
        <w:instrText xml:space="preserve">" \s "R v Kevenaar [2004] NSWCCA 210"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Kevenaar (2004) 148 A Crim R 155" </w:instrText>
      </w:r>
      <w:r w:rsidRPr="00EB7F1E">
        <w:rPr>
          <w:rFonts w:asciiTheme="minorHAnsi" w:hAnsiTheme="minorHAnsi" w:cstheme="minorHAnsi"/>
        </w:rPr>
        <w:fldChar w:fldCharType="end"/>
      </w:r>
      <w:r w:rsidRPr="007809F4">
        <w:rPr>
          <w:rFonts w:asciiTheme="minorHAnsi" w:hAnsiTheme="minorHAnsi" w:cstheme="minorHAnsi"/>
        </w:rPr>
        <w:t xml:space="preserve"> (Hulme J, with whom Simpson J agreed).</w:t>
      </w:r>
    </w:p>
  </w:footnote>
  <w:footnote w:id="1215">
    <w:p w14:paraId="58430009" w14:textId="0F3DC8A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R v Dujeu</w:t>
      </w:r>
      <w:r w:rsidRPr="007809F4">
        <w:rPr>
          <w:rFonts w:asciiTheme="minorHAnsi" w:hAnsiTheme="minorHAnsi" w:cstheme="minorHAnsi"/>
        </w:rPr>
        <w:t xml:space="preserve"> [2004] NSWCCA 237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Dujeu</w:instrText>
      </w:r>
      <w:r w:rsidRPr="007809F4">
        <w:rPr>
          <w:rFonts w:asciiTheme="minorHAnsi" w:hAnsiTheme="minorHAnsi" w:cstheme="minorHAnsi"/>
        </w:rPr>
        <w:instrText xml:space="preserve"> [2004] NSWCCA 237</w:instrText>
      </w:r>
      <w:r w:rsidRPr="00EB7F1E">
        <w:rPr>
          <w:rFonts w:asciiTheme="minorHAnsi" w:hAnsiTheme="minorHAnsi" w:cstheme="minorHAnsi"/>
        </w:rPr>
        <w:instrText xml:space="preserve">" \s "R v Dujeu [2004] NSWCCA 237" \c 1 </w:instrText>
      </w:r>
      <w:r w:rsidRPr="00EB7F1E">
        <w:rPr>
          <w:rFonts w:asciiTheme="minorHAnsi" w:hAnsiTheme="minorHAnsi" w:cstheme="minorHAnsi"/>
        </w:rPr>
        <w:fldChar w:fldCharType="end"/>
      </w:r>
      <w:r w:rsidRPr="007809F4">
        <w:rPr>
          <w:rFonts w:asciiTheme="minorHAnsi" w:hAnsiTheme="minorHAnsi" w:cstheme="minorHAnsi"/>
        </w:rPr>
        <w:t xml:space="preserve">, [20]-[43].  See also </w:t>
      </w:r>
      <w:r w:rsidRPr="007809F4">
        <w:rPr>
          <w:rFonts w:asciiTheme="minorHAnsi" w:hAnsiTheme="minorHAnsi" w:cstheme="minorHAnsi"/>
          <w:i/>
        </w:rPr>
        <w:t>R v A</w:t>
      </w:r>
      <w:r w:rsidRPr="007809F4">
        <w:rPr>
          <w:rFonts w:asciiTheme="minorHAnsi" w:hAnsiTheme="minorHAnsi" w:cstheme="minorHAnsi"/>
        </w:rPr>
        <w:t xml:space="preserve"> [2004] NSWCCA 292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A</w:instrText>
      </w:r>
      <w:r w:rsidRPr="007809F4">
        <w:rPr>
          <w:rFonts w:asciiTheme="minorHAnsi" w:hAnsiTheme="minorHAnsi" w:cstheme="minorHAnsi"/>
        </w:rPr>
        <w:instrText xml:space="preserve"> [2004] NSWCCA 292" \s "R v A [2004] NSWCCA 292"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A [2004] NSWCCA 292" </w:instrText>
      </w:r>
      <w:r w:rsidRPr="00EB7F1E">
        <w:rPr>
          <w:rFonts w:asciiTheme="minorHAnsi" w:hAnsiTheme="minorHAnsi" w:cstheme="minorHAnsi"/>
        </w:rPr>
        <w:fldChar w:fldCharType="end"/>
      </w:r>
      <w:r w:rsidRPr="007809F4">
        <w:rPr>
          <w:rFonts w:asciiTheme="minorHAnsi" w:hAnsiTheme="minorHAnsi" w:cstheme="minorHAnsi"/>
        </w:rPr>
        <w:t xml:space="preserve"> where Wood CJ said that to automatically adjust sentences upwards in the order of 50% would be to resort to a mathematical approach, which is inappropriate.  The task is to impose a sentence of a severity appropriate in all the circumstances of the case (s 16A(1)) including those identified in ss 16A(2) and (3).</w:t>
      </w:r>
    </w:p>
  </w:footnote>
  <w:footnote w:id="1216">
    <w:p w14:paraId="1D65356F" w14:textId="504793F8"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 xml:space="preserve">R v Rivadavia </w:t>
      </w:r>
      <w:r w:rsidRPr="007809F4">
        <w:rPr>
          <w:rFonts w:asciiTheme="minorHAnsi" w:hAnsiTheme="minorHAnsi" w:cstheme="minorHAnsi"/>
        </w:rPr>
        <w:t>(2004) 61 NSWLR 63</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R v Rivadavia </w:instrText>
      </w:r>
      <w:r w:rsidRPr="007809F4">
        <w:rPr>
          <w:rFonts w:asciiTheme="minorHAnsi" w:hAnsiTheme="minorHAnsi" w:cstheme="minorHAnsi"/>
        </w:rPr>
        <w:instrText xml:space="preserve">(2004) 61 NSWLR 63" \s "R v Rivadavia (2004) 61 NSWLR 63"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Rivadavia (2004) 61 NSWLR 63" </w:instrText>
      </w:r>
      <w:r w:rsidRPr="00EB7F1E">
        <w:rPr>
          <w:rFonts w:asciiTheme="minorHAnsi" w:hAnsiTheme="minorHAnsi" w:cstheme="minorHAnsi"/>
        </w:rPr>
        <w:fldChar w:fldCharType="end"/>
      </w:r>
      <w:r w:rsidRPr="007809F4">
        <w:rPr>
          <w:rFonts w:asciiTheme="minorHAnsi" w:hAnsiTheme="minorHAnsi" w:cstheme="minorHAnsi"/>
        </w:rPr>
        <w:t xml:space="preserve">, [72]; </w:t>
      </w:r>
      <w:r w:rsidRPr="007809F4">
        <w:rPr>
          <w:rFonts w:asciiTheme="minorHAnsi" w:hAnsiTheme="minorHAnsi" w:cstheme="minorHAnsi"/>
          <w:i/>
        </w:rPr>
        <w:t xml:space="preserve">Okeke v R </w:t>
      </w:r>
      <w:r w:rsidRPr="007809F4">
        <w:rPr>
          <w:rFonts w:asciiTheme="minorHAnsi" w:hAnsiTheme="minorHAnsi" w:cstheme="minorHAnsi"/>
        </w:rPr>
        <w:t>[2005] NSWCCA 444</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 xml:space="preserve">Okeke v R </w:instrText>
      </w:r>
      <w:r w:rsidRPr="007809F4">
        <w:rPr>
          <w:rFonts w:asciiTheme="minorHAnsi" w:hAnsiTheme="minorHAnsi" w:cstheme="minorHAnsi"/>
        </w:rPr>
        <w:instrText xml:space="preserve">[2005] NSWCCA 444" \s "Okeke v R [2005] NSWCCA 444"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"Okeke v R [2005] NSWCCA 444" </w:instrText>
      </w:r>
      <w:r w:rsidRPr="00EB7F1E">
        <w:rPr>
          <w:rFonts w:asciiTheme="minorHAnsi" w:hAnsiTheme="minorHAnsi" w:cstheme="minorHAnsi"/>
        </w:rPr>
        <w:fldChar w:fldCharType="end"/>
      </w:r>
      <w:r w:rsidRPr="007809F4">
        <w:rPr>
          <w:rFonts w:asciiTheme="minorHAnsi" w:hAnsiTheme="minorHAnsi" w:cstheme="minorHAnsi"/>
        </w:rPr>
        <w:t xml:space="preserve">, [20] and </w:t>
      </w:r>
      <w:r w:rsidRPr="007809F4">
        <w:rPr>
          <w:rFonts w:asciiTheme="minorHAnsi" w:hAnsiTheme="minorHAnsi" w:cstheme="minorHAnsi"/>
          <w:i/>
        </w:rPr>
        <w:t>R v Liu</w:t>
      </w:r>
      <w:r w:rsidRPr="007809F4">
        <w:rPr>
          <w:rFonts w:asciiTheme="minorHAnsi" w:hAnsiTheme="minorHAnsi" w:cstheme="minorHAnsi"/>
        </w:rPr>
        <w:t xml:space="preserve"> [2005] NSWCCA 378.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Liu</w:instrText>
      </w:r>
      <w:r w:rsidRPr="007809F4">
        <w:rPr>
          <w:rFonts w:asciiTheme="minorHAnsi" w:hAnsiTheme="minorHAnsi" w:cstheme="minorHAnsi"/>
        </w:rPr>
        <w:instrText xml:space="preserve"> [2005] NSWCCA 378" \s "R v Liu [2005] NSWCCA 378"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Liu [2005] NSWCCA 378" </w:instrText>
      </w:r>
      <w:r w:rsidRPr="00EB7F1E">
        <w:rPr>
          <w:rFonts w:asciiTheme="minorHAnsi" w:hAnsiTheme="minorHAnsi" w:cstheme="minorHAnsi"/>
        </w:rPr>
        <w:fldChar w:fldCharType="end"/>
      </w:r>
    </w:p>
  </w:footnote>
  <w:footnote w:id="1217">
    <w:p w14:paraId="4EBFA6D6"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Tsiaousis</w:t>
      </w:r>
      <w:r w:rsidRPr="007809F4">
        <w:rPr>
          <w:rFonts w:asciiTheme="minorHAnsi" w:hAnsiTheme="minorHAnsi" w:cstheme="minorHAnsi"/>
        </w:rPr>
        <w:t xml:space="preserve"> [2005] NSWCCA 240.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Tsiaousis</w:instrText>
      </w:r>
      <w:r w:rsidRPr="007809F4">
        <w:rPr>
          <w:rFonts w:asciiTheme="minorHAnsi" w:hAnsiTheme="minorHAnsi" w:cstheme="minorHAnsi"/>
        </w:rPr>
        <w:instrText xml:space="preserve"> [2005] NSWCCA 240" \s "R v Tsiaousis [2005] NSWCCA 240"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Tsiaousis [2005] NSWCCA 240" </w:instrText>
      </w:r>
      <w:r w:rsidRPr="00EB7F1E">
        <w:rPr>
          <w:rFonts w:asciiTheme="minorHAnsi" w:hAnsiTheme="minorHAnsi" w:cstheme="minorHAnsi"/>
        </w:rPr>
        <w:fldChar w:fldCharType="end"/>
      </w:r>
    </w:p>
  </w:footnote>
  <w:footnote w:id="1218">
    <w:p w14:paraId="29702C78"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R v SC</w:t>
      </w:r>
      <w:r w:rsidRPr="007809F4">
        <w:rPr>
          <w:rFonts w:asciiTheme="minorHAnsi" w:hAnsiTheme="minorHAnsi" w:cstheme="minorHAnsi"/>
        </w:rPr>
        <w:t xml:space="preserve"> [2008] NSWCCA 29.</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SC</w:instrText>
      </w:r>
      <w:r w:rsidRPr="007809F4">
        <w:rPr>
          <w:rFonts w:asciiTheme="minorHAnsi" w:hAnsiTheme="minorHAnsi" w:cstheme="minorHAnsi"/>
        </w:rPr>
        <w:instrText xml:space="preserve"> [2008] NSWCCA 29" \s "R v SC [2008] NSWCCA 29"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SC [2008] NSWCCA 29" </w:instrText>
      </w:r>
      <w:r w:rsidRPr="00EB7F1E">
        <w:rPr>
          <w:rFonts w:asciiTheme="minorHAnsi" w:hAnsiTheme="minorHAnsi" w:cstheme="minorHAnsi"/>
        </w:rPr>
        <w:fldChar w:fldCharType="end"/>
      </w:r>
    </w:p>
  </w:footnote>
  <w:footnote w:id="1219">
    <w:p w14:paraId="4F66D16F" w14:textId="22F03E77"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vertAlign w:val="superscript"/>
        </w:rPr>
        <w:t xml:space="preserve"> </w:t>
      </w:r>
      <w:r w:rsidRPr="007809F4">
        <w:rPr>
          <w:rFonts w:asciiTheme="minorHAnsi" w:hAnsiTheme="minorHAnsi" w:cstheme="minorHAnsi"/>
        </w:rPr>
        <w:tab/>
      </w:r>
      <w:r w:rsidRPr="007809F4">
        <w:rPr>
          <w:rFonts w:asciiTheme="minorHAnsi" w:hAnsiTheme="minorHAnsi" w:cstheme="minorHAnsi"/>
          <w:i/>
        </w:rPr>
        <w:t>R v J</w:t>
      </w:r>
      <w:r w:rsidRPr="007809F4">
        <w:rPr>
          <w:rFonts w:asciiTheme="minorHAnsi" w:hAnsiTheme="minorHAnsi" w:cstheme="minorHAnsi"/>
        </w:rPr>
        <w:t xml:space="preserve"> (2005) 152 A Crim R 152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J</w:instrText>
      </w:r>
      <w:r w:rsidRPr="007809F4">
        <w:rPr>
          <w:rFonts w:asciiTheme="minorHAnsi" w:hAnsiTheme="minorHAnsi" w:cstheme="minorHAnsi"/>
        </w:rPr>
        <w:instrText xml:space="preserve"> (2005) 152 A Crim R 152" \s "R v J (2005) 152 A Crim R 152"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J (2005) 152 A Crim R 152"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Clarkson v R</w:t>
      </w:r>
      <w:r w:rsidRPr="007809F4">
        <w:rPr>
          <w:rFonts w:asciiTheme="minorHAnsi" w:hAnsiTheme="minorHAnsi" w:cstheme="minorHAnsi"/>
        </w:rPr>
        <w:t xml:space="preserve"> [2007] NSWCCA 70</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Clarkson v R</w:instrText>
      </w:r>
      <w:r w:rsidRPr="007809F4">
        <w:rPr>
          <w:rFonts w:asciiTheme="minorHAnsi" w:hAnsiTheme="minorHAnsi" w:cstheme="minorHAnsi"/>
        </w:rPr>
        <w:instrText xml:space="preserve"> [2007] NSWCCA 70" \s "Clarkson v R [2007] NSWCCA 70"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Tran</w:t>
      </w:r>
      <w:r w:rsidRPr="007809F4">
        <w:rPr>
          <w:rFonts w:asciiTheme="minorHAnsi" w:hAnsiTheme="minorHAnsi" w:cstheme="minorHAnsi"/>
        </w:rPr>
        <w:t xml:space="preserve"> [2007] QCA 221</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7809F4">
        <w:rPr>
          <w:rFonts w:asciiTheme="minorHAnsi" w:hAnsiTheme="minorHAnsi" w:cstheme="minorHAnsi"/>
          <w:i/>
        </w:rPr>
        <w:instrText>R v Tran</w:instrText>
      </w:r>
      <w:r w:rsidRPr="007809F4">
        <w:rPr>
          <w:rFonts w:asciiTheme="minorHAnsi" w:hAnsiTheme="minorHAnsi" w:cstheme="minorHAnsi"/>
        </w:rPr>
        <w:instrText xml:space="preserve"> [2007] QCA 221</w:instrText>
      </w:r>
      <w:r w:rsidRPr="00EB7F1E">
        <w:rPr>
          <w:rFonts w:asciiTheme="minorHAnsi" w:hAnsiTheme="minorHAnsi" w:cstheme="minorHAnsi"/>
        </w:rPr>
        <w:instrText xml:space="preserve">" \s "R v Tran [2007] QCA 221"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Tran (2007) 172 A Crim R 436"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Korgbara v R</w:t>
      </w:r>
      <w:r w:rsidRPr="007809F4">
        <w:rPr>
          <w:rFonts w:asciiTheme="minorHAnsi" w:hAnsiTheme="minorHAnsi" w:cstheme="minorHAnsi"/>
        </w:rPr>
        <w:t xml:space="preserve"> (2007) 71 NSWLR 187</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Korgbara v R</w:instrText>
      </w:r>
      <w:r w:rsidRPr="007809F4">
        <w:rPr>
          <w:rFonts w:asciiTheme="minorHAnsi" w:hAnsiTheme="minorHAnsi" w:cstheme="minorHAnsi"/>
        </w:rPr>
        <w:instrText xml:space="preserve"> (2007) 71 NSWLR 187" \s "Korgbara v R (2007) 71 NSWLR 187" \c 1 </w:instrText>
      </w:r>
      <w:r w:rsidRPr="00EB7F1E">
        <w:rPr>
          <w:rFonts w:asciiTheme="minorHAnsi" w:hAnsiTheme="minorHAnsi" w:cstheme="minorHAnsi"/>
        </w:rPr>
        <w:fldChar w:fldCharType="end"/>
      </w:r>
      <w:r w:rsidRPr="007809F4">
        <w:rPr>
          <w:rFonts w:asciiTheme="minorHAnsi" w:hAnsiTheme="minorHAnsi" w:cstheme="minorHAnsi"/>
        </w:rPr>
        <w:t xml:space="preserve">; </w:t>
      </w:r>
      <w:r w:rsidRPr="007809F4">
        <w:rPr>
          <w:rFonts w:asciiTheme="minorHAnsi" w:hAnsiTheme="minorHAnsi" w:cstheme="minorHAnsi"/>
          <w:i/>
        </w:rPr>
        <w:t>R v Chea</w:t>
      </w:r>
      <w:r w:rsidRPr="007809F4">
        <w:rPr>
          <w:rFonts w:asciiTheme="minorHAnsi" w:hAnsiTheme="minorHAnsi" w:cstheme="minorHAnsi"/>
        </w:rPr>
        <w:t xml:space="preserve"> [2008] NSWCCA 78.</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Chea</w:instrText>
      </w:r>
      <w:r w:rsidRPr="007809F4">
        <w:rPr>
          <w:rFonts w:asciiTheme="minorHAnsi" w:hAnsiTheme="minorHAnsi" w:cstheme="minorHAnsi"/>
        </w:rPr>
        <w:instrText xml:space="preserve"> [2008] NSWCCA 78" \s "R v Chea [2008] NSWCCA 78"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Chea [2008] NSWCCA 78" </w:instrText>
      </w:r>
      <w:r w:rsidRPr="00EB7F1E">
        <w:rPr>
          <w:rFonts w:asciiTheme="minorHAnsi" w:hAnsiTheme="minorHAnsi" w:cstheme="minorHAnsi"/>
        </w:rPr>
        <w:fldChar w:fldCharType="end"/>
      </w:r>
    </w:p>
  </w:footnote>
  <w:footnote w:id="1220">
    <w:p w14:paraId="0CA2A8D0" w14:textId="77777777" w:rsidR="00D44BCF" w:rsidRPr="007809F4" w:rsidRDefault="00D44BCF">
      <w:pPr>
        <w:pStyle w:val="FootnoteText"/>
        <w:tabs>
          <w:tab w:val="left" w:pos="567"/>
        </w:tabs>
        <w:ind w:left="426" w:hanging="426"/>
        <w:jc w:val="both"/>
        <w:rPr>
          <w:rFonts w:asciiTheme="minorHAnsi" w:hAnsiTheme="minorHAnsi" w:cstheme="minorHAnsi"/>
          <w:i/>
          <w:iCs/>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iCs/>
        </w:rPr>
        <w:t>Proceeds of Crime Act 1987</w:t>
      </w:r>
      <w:r w:rsidRPr="007809F4">
        <w:rPr>
          <w:rFonts w:asciiTheme="minorHAnsi" w:hAnsiTheme="minorHAnsi" w:cstheme="minorHAnsi"/>
          <w:iCs/>
        </w:rPr>
        <w:t xml:space="preserve"> (Cth),</w:t>
      </w:r>
      <w:r w:rsidRPr="007809F4">
        <w:rPr>
          <w:rFonts w:asciiTheme="minorHAnsi" w:hAnsiTheme="minorHAnsi" w:cstheme="minorHAnsi"/>
          <w:i/>
          <w:iCs/>
        </w:rPr>
        <w:t xml:space="preserve"> </w:t>
      </w:r>
      <w:r w:rsidRPr="007809F4">
        <w:rPr>
          <w:rFonts w:asciiTheme="minorHAnsi" w:hAnsiTheme="minorHAnsi" w:cstheme="minorHAnsi"/>
          <w:iCs/>
        </w:rPr>
        <w:t>s 18(2).</w:t>
      </w:r>
    </w:p>
  </w:footnote>
  <w:footnote w:id="1221">
    <w:p w14:paraId="5732E2FE" w14:textId="75992781"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McDermott</w:t>
      </w:r>
      <w:r w:rsidRPr="007809F4">
        <w:rPr>
          <w:rFonts w:asciiTheme="minorHAnsi" w:hAnsiTheme="minorHAnsi" w:cstheme="minorHAnsi"/>
        </w:rPr>
        <w:t xml:space="preserve"> (1990) 49 A Crim R 105</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rPr>
        <w:instrText>R v McDermott</w:instrText>
      </w:r>
      <w:r w:rsidRPr="007809F4">
        <w:rPr>
          <w:rFonts w:asciiTheme="minorHAnsi" w:hAnsiTheme="minorHAnsi" w:cstheme="minorHAnsi"/>
        </w:rPr>
        <w:instrText xml:space="preserve"> (1990) 49 A Crim R 105" \s "R v McDermott (1990) 49 A Crim R 105" \c 1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"R v McDermott (1990) 49 A Crim R 105" </w:instrText>
      </w:r>
      <w:r w:rsidRPr="00EB7F1E">
        <w:rPr>
          <w:rFonts w:asciiTheme="minorHAnsi" w:hAnsiTheme="minorHAnsi" w:cstheme="minorHAnsi"/>
        </w:rPr>
        <w:fldChar w:fldCharType="end"/>
      </w:r>
      <w:r w:rsidRPr="007809F4">
        <w:rPr>
          <w:rFonts w:asciiTheme="minorHAnsi" w:hAnsiTheme="minorHAnsi" w:cstheme="minorHAnsi"/>
        </w:rPr>
        <w:t xml:space="preserve"> and </w:t>
      </w:r>
      <w:r w:rsidRPr="007809F4">
        <w:rPr>
          <w:rFonts w:asciiTheme="minorHAnsi" w:hAnsiTheme="minorHAnsi" w:cstheme="minorHAnsi"/>
          <w:i/>
        </w:rPr>
        <w:t>Tapper v R</w:t>
      </w:r>
      <w:r w:rsidRPr="007809F4">
        <w:rPr>
          <w:rFonts w:asciiTheme="minorHAnsi" w:hAnsiTheme="minorHAnsi" w:cstheme="minorHAnsi"/>
        </w:rPr>
        <w:t xml:space="preserve"> (1992) 39 FCR 243</w:t>
      </w:r>
      <w:r w:rsidRPr="00EB7F1E">
        <w:rPr>
          <w:rFonts w:asciiTheme="minorHAnsi" w:hAnsiTheme="minorHAnsi" w:cstheme="minorHAnsi"/>
        </w:rPr>
        <w:fldChar w:fldCharType="begin"/>
      </w:r>
      <w:r w:rsidRPr="007809F4">
        <w:rPr>
          <w:rFonts w:asciiTheme="minorHAnsi" w:hAnsiTheme="minorHAnsi" w:cstheme="minorHAnsi"/>
        </w:rPr>
        <w:instrText xml:space="preserve"> TA \s "Tapper v R (1992) 39 FCR 243" </w:instrText>
      </w:r>
      <w:r w:rsidRPr="00EB7F1E">
        <w:rPr>
          <w:rFonts w:asciiTheme="minorHAnsi" w:hAnsiTheme="minorHAnsi" w:cstheme="minorHAnsi"/>
        </w:rPr>
        <w:fldChar w:fldCharType="end"/>
      </w:r>
      <w:r w:rsidRPr="00EB7F1E">
        <w:rPr>
          <w:rFonts w:asciiTheme="minorHAnsi" w:hAnsiTheme="minorHAnsi" w:cstheme="minorHAnsi"/>
        </w:rPr>
        <w:fldChar w:fldCharType="begin"/>
      </w:r>
      <w:r w:rsidRPr="007809F4">
        <w:rPr>
          <w:rFonts w:asciiTheme="minorHAnsi" w:hAnsiTheme="minorHAnsi" w:cstheme="minorHAnsi"/>
        </w:rPr>
        <w:instrText xml:space="preserve">  "Tapper v R (1992) 39 FCR 243" </w:instrText>
      </w:r>
      <w:r w:rsidRPr="00EB7F1E">
        <w:rPr>
          <w:rFonts w:asciiTheme="minorHAnsi" w:hAnsiTheme="minorHAnsi" w:cstheme="minorHAnsi"/>
        </w:rPr>
        <w:fldChar w:fldCharType="end"/>
      </w:r>
      <w:r w:rsidRPr="007809F4">
        <w:rPr>
          <w:rFonts w:asciiTheme="minorHAnsi" w:hAnsiTheme="minorHAnsi" w:cstheme="minorHAnsi"/>
        </w:rPr>
        <w:t xml:space="preserve">, following the reasoning of the Victorian CCA in </w:t>
      </w:r>
      <w:r w:rsidRPr="00EB7F1E">
        <w:rPr>
          <w:rFonts w:asciiTheme="minorHAnsi" w:hAnsiTheme="minorHAnsi" w:cstheme="minorHAnsi"/>
          <w:i/>
          <w:iCs/>
        </w:rPr>
        <w:t xml:space="preserve">R v </w:t>
      </w:r>
      <w:r w:rsidRPr="007809F4">
        <w:rPr>
          <w:rFonts w:asciiTheme="minorHAnsi" w:hAnsiTheme="minorHAnsi" w:cstheme="minorHAnsi"/>
          <w:i/>
        </w:rPr>
        <w:t>Allen</w:t>
      </w:r>
      <w:r w:rsidRPr="007809F4">
        <w:rPr>
          <w:rFonts w:asciiTheme="minorHAnsi" w:hAnsiTheme="minorHAnsi" w:cstheme="minorHAnsi"/>
        </w:rPr>
        <w:t xml:space="preserve"> </w:t>
      </w:r>
      <w:r w:rsidRPr="007809F4">
        <w:rPr>
          <w:rFonts w:asciiTheme="minorHAnsi" w:hAnsiTheme="minorHAnsi" w:cstheme="minorHAnsi"/>
          <w:bCs/>
          <w:iCs/>
        </w:rPr>
        <w:t>(1989) 41 A Crim R 51</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TA \s "R v Allen (1989) 41 A Crim R 51" </w:instrText>
      </w:r>
      <w:r w:rsidRPr="00EB7F1E">
        <w:rPr>
          <w:rFonts w:asciiTheme="minorHAnsi" w:hAnsiTheme="minorHAnsi" w:cstheme="minorHAnsi"/>
          <w:bCs/>
          <w:iCs/>
        </w:rPr>
        <w:fldChar w:fldCharType="end"/>
      </w:r>
      <w:r w:rsidRPr="007809F4">
        <w:rPr>
          <w:rFonts w:asciiTheme="minorHAnsi" w:hAnsiTheme="minorHAnsi" w:cstheme="minorHAnsi"/>
          <w:bCs/>
          <w:iCs/>
        </w:rPr>
        <w:t>.</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"Allen v R (1989) 41 A Crim R 51" </w:instrText>
      </w:r>
      <w:r w:rsidRPr="00EB7F1E">
        <w:rPr>
          <w:rFonts w:asciiTheme="minorHAnsi" w:hAnsiTheme="minorHAnsi" w:cstheme="minorHAnsi"/>
          <w:bCs/>
          <w:iCs/>
        </w:rPr>
        <w:fldChar w:fldCharType="end"/>
      </w:r>
    </w:p>
  </w:footnote>
  <w:footnote w:id="1222">
    <w:p w14:paraId="563B034A" w14:textId="41F2A3DF" w:rsidR="00D44BCF" w:rsidRPr="007809F4" w:rsidRDefault="00D44BCF">
      <w:pPr>
        <w:pStyle w:val="FootnoteText"/>
        <w:tabs>
          <w:tab w:val="left" w:pos="567"/>
        </w:tabs>
        <w:ind w:left="426" w:hanging="426"/>
        <w:jc w:val="both"/>
        <w:rPr>
          <w:rFonts w:asciiTheme="minorHAnsi" w:hAnsiTheme="minorHAnsi" w:cstheme="minorHAnsi"/>
          <w:vertAlign w:val="superscript"/>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Allen</w:t>
      </w:r>
      <w:r w:rsidRPr="007809F4">
        <w:rPr>
          <w:rFonts w:asciiTheme="minorHAnsi" w:hAnsiTheme="minorHAnsi" w:cstheme="minorHAnsi"/>
        </w:rPr>
        <w:t xml:space="preserve"> </w:t>
      </w:r>
      <w:r w:rsidRPr="007809F4">
        <w:rPr>
          <w:rFonts w:asciiTheme="minorHAnsi" w:hAnsiTheme="minorHAnsi" w:cstheme="minorHAnsi"/>
          <w:bCs/>
          <w:iCs/>
        </w:rPr>
        <w:t>(1989) 41 A Crim R 51</w:t>
      </w:r>
      <w:r w:rsidRPr="00EB7F1E">
        <w:rPr>
          <w:rFonts w:asciiTheme="minorHAnsi" w:hAnsiTheme="minorHAnsi" w:cstheme="minorHAnsi"/>
          <w:bCs/>
          <w:iCs/>
        </w:rPr>
        <w:fldChar w:fldCharType="begin"/>
      </w:r>
      <w:r w:rsidRPr="007809F4">
        <w:rPr>
          <w:rFonts w:asciiTheme="minorHAnsi" w:hAnsiTheme="minorHAnsi" w:cstheme="minorHAnsi"/>
          <w:bCs/>
          <w:iCs/>
        </w:rPr>
        <w:instrText xml:space="preserve"> TA \s "R v Allen (1989) 41 A Crim R 51" </w:instrText>
      </w:r>
      <w:r w:rsidRPr="00EB7F1E">
        <w:rPr>
          <w:rFonts w:asciiTheme="minorHAnsi" w:hAnsiTheme="minorHAnsi" w:cstheme="minorHAnsi"/>
          <w:bCs/>
          <w:iCs/>
        </w:rPr>
        <w:fldChar w:fldCharType="end"/>
      </w:r>
      <w:r w:rsidRPr="007809F4">
        <w:rPr>
          <w:rFonts w:asciiTheme="minorHAnsi" w:hAnsiTheme="minorHAnsi" w:cstheme="minorHAnsi"/>
          <w:bCs/>
          <w:iCs/>
        </w:rPr>
        <w:t>.</w:t>
      </w:r>
    </w:p>
  </w:footnote>
  <w:footnote w:id="1223">
    <w:p w14:paraId="30F9FFA1"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R v McDermott</w:t>
      </w:r>
      <w:r w:rsidRPr="007809F4">
        <w:rPr>
          <w:rFonts w:asciiTheme="minorHAnsi" w:hAnsiTheme="minorHAnsi" w:cstheme="minorHAnsi"/>
        </w:rPr>
        <w:t xml:space="preserve"> (1990) 49 A Crim R 105</w:t>
      </w:r>
      <w:r w:rsidRPr="00EB7F1E">
        <w:rPr>
          <w:rFonts w:asciiTheme="minorHAnsi" w:hAnsiTheme="minorHAnsi" w:cstheme="minorHAnsi"/>
        </w:rPr>
        <w:fldChar w:fldCharType="begin"/>
      </w:r>
      <w:r w:rsidRPr="007809F4">
        <w:rPr>
          <w:rFonts w:asciiTheme="minorHAnsi" w:hAnsiTheme="minorHAnsi" w:cstheme="minorHAnsi"/>
        </w:rPr>
        <w:instrText xml:space="preserve"> TA \s "R v McDermott (1990) 49 A Crim R 105"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24">
    <w:p w14:paraId="01D0A3DA" w14:textId="77777777" w:rsidR="00D44BCF" w:rsidRPr="007809F4" w:rsidRDefault="00D44BCF">
      <w:pPr>
        <w:pStyle w:val="FootnoteText"/>
        <w:tabs>
          <w:tab w:val="left" w:pos="567"/>
        </w:tabs>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ab/>
      </w:r>
      <w:r w:rsidRPr="007809F4">
        <w:rPr>
          <w:rFonts w:asciiTheme="minorHAnsi" w:hAnsiTheme="minorHAnsi" w:cstheme="minorHAnsi"/>
          <w:i/>
        </w:rPr>
        <w:t>Tapper v R</w:t>
      </w:r>
      <w:r w:rsidRPr="007809F4">
        <w:rPr>
          <w:rFonts w:asciiTheme="minorHAnsi" w:hAnsiTheme="minorHAnsi" w:cstheme="minorHAnsi"/>
        </w:rPr>
        <w:t xml:space="preserve"> (1992) 39 FCR 243</w:t>
      </w:r>
      <w:r w:rsidRPr="00EB7F1E">
        <w:rPr>
          <w:rFonts w:asciiTheme="minorHAnsi" w:hAnsiTheme="minorHAnsi" w:cstheme="minorHAnsi"/>
        </w:rPr>
        <w:fldChar w:fldCharType="begin"/>
      </w:r>
      <w:r w:rsidRPr="007809F4">
        <w:rPr>
          <w:rFonts w:asciiTheme="minorHAnsi" w:hAnsiTheme="minorHAnsi" w:cstheme="minorHAnsi"/>
        </w:rPr>
        <w:instrText xml:space="preserve"> TA \s "Tapper v R (1992) 39 FCR 243"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25">
    <w:p w14:paraId="4DD59BB3" w14:textId="0E36D26B" w:rsidR="00D44BCF" w:rsidRPr="007809F4" w:rsidRDefault="00D44BCF">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iCs/>
          <w:noProof/>
        </w:rPr>
        <w:t xml:space="preserve">DPP v Leys </w:t>
      </w:r>
      <w:r w:rsidRPr="007809F4">
        <w:rPr>
          <w:rFonts w:asciiTheme="minorHAnsi" w:hAnsiTheme="minorHAnsi" w:cstheme="minorHAnsi"/>
        </w:rPr>
        <w:t>(2012) 44 VR 1</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noProof/>
        </w:rPr>
        <w:instrText xml:space="preserve">DPP v Leys </w:instrText>
      </w:r>
      <w:r w:rsidRPr="007809F4">
        <w:rPr>
          <w:rFonts w:asciiTheme="minorHAnsi" w:hAnsiTheme="minorHAnsi" w:cstheme="minorHAnsi"/>
        </w:rPr>
        <w:instrText xml:space="preserve">(2012) 44 VR 1" \s "DPP v Leys (2012) 44 VR 1"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26">
    <w:p w14:paraId="6F54E960" w14:textId="60F6306F" w:rsidR="00D44BCF" w:rsidRPr="00EB7F1E" w:rsidRDefault="00D44BCF" w:rsidP="00EB7F1E">
      <w:pPr>
        <w:pStyle w:val="FootnoteText"/>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iCs/>
        </w:rPr>
        <w:t xml:space="preserve">In </w:t>
      </w:r>
      <w:r w:rsidRPr="00EB7F1E">
        <w:rPr>
          <w:rFonts w:asciiTheme="minorHAnsi" w:hAnsiTheme="minorHAnsi" w:cstheme="minorHAnsi"/>
          <w:i/>
        </w:rPr>
        <w:t>Kesavarajah v R</w:t>
      </w:r>
      <w:r w:rsidRPr="00EB7F1E">
        <w:rPr>
          <w:rFonts w:asciiTheme="minorHAnsi" w:hAnsiTheme="minorHAnsi" w:cstheme="minorHAnsi"/>
        </w:rPr>
        <w:t xml:space="preserve"> (1994) 181 CLR 230</w:t>
      </w:r>
      <w:r w:rsidRPr="00EB7F1E">
        <w:rPr>
          <w:rFonts w:asciiTheme="minorHAnsi" w:hAnsiTheme="minorHAnsi" w:cstheme="minorHAnsi"/>
        </w:rPr>
        <w:fldChar w:fldCharType="begin"/>
      </w:r>
      <w:r w:rsidRPr="00EB7F1E">
        <w:rPr>
          <w:rFonts w:asciiTheme="minorHAnsi" w:hAnsiTheme="minorHAnsi" w:cstheme="minorHAnsi"/>
        </w:rPr>
        <w:instrText xml:space="preserve"> TA \s "Kesavarajah v R (1994) 181 CLR 230" </w:instrText>
      </w:r>
      <w:r w:rsidRPr="00EB7F1E">
        <w:rPr>
          <w:rFonts w:asciiTheme="minorHAnsi" w:hAnsiTheme="minorHAnsi" w:cstheme="minorHAnsi"/>
        </w:rPr>
        <w:fldChar w:fldCharType="end"/>
      </w:r>
      <w:r w:rsidRPr="00EB7F1E">
        <w:rPr>
          <w:rFonts w:asciiTheme="minorHAnsi" w:hAnsiTheme="minorHAnsi" w:cstheme="minorHAnsi"/>
        </w:rPr>
        <w:t xml:space="preserve">, 243, Mason CJ, Toohey and Gaudron JJ observed that the reference to the “court” in s 20B(2) (in the context of a referral from a committal) finding a person </w:t>
      </w:r>
      <w:r w:rsidRPr="00EB7F1E">
        <w:rPr>
          <w:rFonts w:asciiTheme="minorHAnsi" w:hAnsiTheme="minorHAnsi" w:cstheme="minorHAnsi"/>
          <w:i/>
          <w:iCs/>
        </w:rPr>
        <w:t>fit to be tried</w:t>
      </w:r>
      <w:r w:rsidRPr="00EB7F1E">
        <w:rPr>
          <w:rFonts w:asciiTheme="minorHAnsi" w:hAnsiTheme="minorHAnsi" w:cstheme="minorHAnsi"/>
        </w:rPr>
        <w:t xml:space="preserve"> refers to a judge making this decision. This is compared with a finding that a person is </w:t>
      </w:r>
      <w:r w:rsidRPr="00EB7F1E">
        <w:rPr>
          <w:rFonts w:asciiTheme="minorHAnsi" w:hAnsiTheme="minorHAnsi" w:cstheme="minorHAnsi"/>
          <w:i/>
          <w:iCs/>
        </w:rPr>
        <w:t>unfit</w:t>
      </w:r>
      <w:r w:rsidRPr="00EB7F1E">
        <w:rPr>
          <w:rFonts w:asciiTheme="minorHAnsi" w:hAnsiTheme="minorHAnsi" w:cstheme="minorHAnsi"/>
        </w:rPr>
        <w:t xml:space="preserve"> to be tried, which is set out in section 20B(3) and is said to pick up the relevant Victorian legislation at the time, which meant that </w:t>
      </w:r>
      <w:r w:rsidRPr="007809F4">
        <w:rPr>
          <w:rFonts w:asciiTheme="minorHAnsi" w:hAnsiTheme="minorHAnsi" w:cstheme="minorHAnsi"/>
        </w:rPr>
        <w:t>fitness</w:t>
      </w:r>
      <w:r w:rsidRPr="00EB7F1E">
        <w:rPr>
          <w:rFonts w:asciiTheme="minorHAnsi" w:hAnsiTheme="minorHAnsi" w:cstheme="minorHAnsi"/>
        </w:rPr>
        <w:t xml:space="preserve"> was to be </w:t>
      </w:r>
      <w:r w:rsidRPr="007809F4">
        <w:rPr>
          <w:rFonts w:asciiTheme="minorHAnsi" w:hAnsiTheme="minorHAnsi" w:cstheme="minorHAnsi"/>
        </w:rPr>
        <w:t>determined</w:t>
      </w:r>
      <w:r w:rsidRPr="00EB7F1E">
        <w:rPr>
          <w:rFonts w:asciiTheme="minorHAnsi" w:hAnsiTheme="minorHAnsi" w:cstheme="minorHAnsi"/>
        </w:rPr>
        <w:t xml:space="preserve"> by a jury.</w:t>
      </w:r>
    </w:p>
    <w:p w14:paraId="278A0D2D" w14:textId="25DB9727" w:rsidR="00D44BCF" w:rsidRPr="00EB7F1E" w:rsidRDefault="00D44BCF" w:rsidP="00EB7F1E">
      <w:pPr>
        <w:pStyle w:val="FootnoteText"/>
        <w:jc w:val="both"/>
        <w:rPr>
          <w:rFonts w:asciiTheme="minorHAnsi" w:hAnsiTheme="minorHAnsi" w:cstheme="minorHAnsi"/>
        </w:rPr>
      </w:pPr>
      <w:r w:rsidRPr="00EB7F1E">
        <w:rPr>
          <w:rFonts w:asciiTheme="minorHAnsi" w:hAnsiTheme="minorHAnsi" w:cstheme="minorHAnsi"/>
        </w:rPr>
        <w:t>The laws of some States or Territories make provision in relation to questions of fitness arising in a committal hearing.  Whether such provisions are capable of being applied will depend upon the terms of the relevant State/Territory law.</w:t>
      </w:r>
    </w:p>
    <w:p w14:paraId="76283037" w14:textId="77777777" w:rsidR="00D44BCF" w:rsidRPr="007809F4" w:rsidRDefault="00D44BCF" w:rsidP="00EB7F1E">
      <w:pPr>
        <w:pStyle w:val="FootnoteText"/>
        <w:jc w:val="both"/>
        <w:rPr>
          <w:rFonts w:asciiTheme="minorHAnsi" w:hAnsiTheme="minorHAnsi" w:cstheme="minorHAnsi"/>
        </w:rPr>
      </w:pPr>
      <w:r w:rsidRPr="00EB7F1E">
        <w:rPr>
          <w:rFonts w:asciiTheme="minorHAnsi" w:hAnsiTheme="minorHAnsi" w:cstheme="minorHAnsi"/>
        </w:rPr>
        <w:t>Different views have been expressed as to whether and if so how State laws can apply at the committal stage</w:t>
      </w:r>
      <w:r w:rsidRPr="00EB7F1E">
        <w:rPr>
          <w:rStyle w:val="ssleftalign"/>
          <w:rFonts w:asciiTheme="minorHAnsi" w:hAnsiTheme="minorHAnsi" w:cstheme="minorHAnsi"/>
        </w:rPr>
        <w:t>.</w:t>
      </w:r>
    </w:p>
    <w:p w14:paraId="7ECEA902" w14:textId="5B82C475" w:rsidR="00D44BCF" w:rsidRPr="00EB7F1E" w:rsidRDefault="00D44BCF" w:rsidP="00EB7F1E">
      <w:pPr>
        <w:pStyle w:val="FootnoteText"/>
        <w:numPr>
          <w:ilvl w:val="1"/>
          <w:numId w:val="196"/>
        </w:numPr>
        <w:ind w:left="284" w:hanging="284"/>
        <w:jc w:val="both"/>
        <w:rPr>
          <w:rFonts w:asciiTheme="minorHAnsi" w:hAnsiTheme="minorHAnsi" w:cstheme="minorHAnsi"/>
        </w:rPr>
      </w:pPr>
      <w:r w:rsidRPr="00EB7F1E">
        <w:rPr>
          <w:rFonts w:asciiTheme="minorHAnsi" w:hAnsiTheme="minorHAnsi" w:cstheme="minorHAnsi"/>
          <w:i/>
        </w:rPr>
        <w:t xml:space="preserve">DPP v Galea </w:t>
      </w:r>
      <w:r w:rsidRPr="00EB7F1E">
        <w:rPr>
          <w:rFonts w:asciiTheme="minorHAnsi" w:hAnsiTheme="minorHAnsi" w:cstheme="minorHAnsi"/>
        </w:rPr>
        <w:t>[2018] VSC 30</w:t>
      </w:r>
      <w:r w:rsidRPr="00EB7F1E">
        <w:rPr>
          <w:rFonts w:asciiTheme="minorHAnsi" w:hAnsiTheme="minorHAnsi" w:cstheme="minorHAnsi"/>
        </w:rPr>
        <w:fldChar w:fldCharType="begin"/>
      </w:r>
      <w:r w:rsidRPr="00EB7F1E">
        <w:rPr>
          <w:rFonts w:asciiTheme="minorHAnsi" w:hAnsiTheme="minorHAnsi" w:cstheme="minorHAnsi"/>
        </w:rPr>
        <w:instrText xml:space="preserve"> TA \s "DPP v Galea [2018] VSC 30" </w:instrText>
      </w:r>
      <w:r w:rsidRPr="00EB7F1E">
        <w:rPr>
          <w:rFonts w:asciiTheme="minorHAnsi" w:hAnsiTheme="minorHAnsi" w:cstheme="minorHAnsi"/>
        </w:rPr>
        <w:fldChar w:fldCharType="end"/>
      </w:r>
      <w:r w:rsidRPr="00EB7F1E">
        <w:rPr>
          <w:rFonts w:asciiTheme="minorHAnsi" w:hAnsiTheme="minorHAnsi" w:cstheme="minorHAnsi"/>
        </w:rPr>
        <w:t>, [18]-[19], appears to accept that the test of unfitness in the Victorian legislation could be determined by a jury (on referral from a magistrate), even though the Victorian legislation does not provide for fitness questions to be resolved at committal stage (</w:t>
      </w:r>
      <w:r w:rsidRPr="00EB7F1E">
        <w:rPr>
          <w:rFonts w:asciiTheme="minorHAnsi" w:hAnsiTheme="minorHAnsi" w:cstheme="minorHAnsi"/>
          <w:i/>
          <w:iCs/>
        </w:rPr>
        <w:t>Crimes (Mental Impairment and Unfitness to be Tried ) Act 1997</w:t>
      </w:r>
      <w:r w:rsidRPr="007809F4">
        <w:rPr>
          <w:rFonts w:asciiTheme="minorHAnsi" w:hAnsiTheme="minorHAnsi" w:cstheme="minorHAnsi"/>
        </w:rPr>
        <w:t xml:space="preserve"> (Vic), s 8).</w:t>
      </w:r>
    </w:p>
    <w:p w14:paraId="5936BBD1" w14:textId="77777777" w:rsidR="00D44BCF" w:rsidRPr="00EB7F1E" w:rsidRDefault="00D44BCF" w:rsidP="00EB7F1E">
      <w:pPr>
        <w:pStyle w:val="FootnoteText"/>
        <w:numPr>
          <w:ilvl w:val="1"/>
          <w:numId w:val="196"/>
        </w:numPr>
        <w:ind w:left="284" w:hanging="284"/>
        <w:jc w:val="both"/>
        <w:rPr>
          <w:rFonts w:asciiTheme="minorHAnsi" w:hAnsiTheme="minorHAnsi" w:cstheme="minorHAnsi"/>
        </w:rPr>
      </w:pPr>
      <w:r w:rsidRPr="00EB7F1E">
        <w:rPr>
          <w:rFonts w:asciiTheme="minorHAnsi" w:hAnsiTheme="minorHAnsi" w:cstheme="minorHAnsi"/>
        </w:rPr>
        <w:t xml:space="preserve">In contrast, in </w:t>
      </w:r>
      <w:r w:rsidRPr="00EB7F1E">
        <w:rPr>
          <w:rFonts w:asciiTheme="minorHAnsi" w:hAnsiTheme="minorHAnsi" w:cstheme="minorHAnsi"/>
          <w:i/>
        </w:rPr>
        <w:t>R v Sexton</w:t>
      </w:r>
      <w:r w:rsidRPr="00EB7F1E">
        <w:rPr>
          <w:rFonts w:asciiTheme="minorHAnsi" w:hAnsiTheme="minorHAnsi" w:cstheme="minorHAnsi"/>
        </w:rPr>
        <w:t xml:space="preserve"> (2000) 77 SASR 405</w:t>
      </w:r>
      <w:r w:rsidRPr="00EB7F1E">
        <w:rPr>
          <w:rFonts w:asciiTheme="minorHAnsi" w:hAnsiTheme="minorHAnsi" w:cstheme="minorHAnsi"/>
        </w:rPr>
        <w:fldChar w:fldCharType="begin"/>
      </w:r>
      <w:r w:rsidRPr="00EB7F1E">
        <w:rPr>
          <w:rFonts w:asciiTheme="minorHAnsi" w:hAnsiTheme="minorHAnsi" w:cstheme="minorHAnsi"/>
        </w:rPr>
        <w:instrText xml:space="preserve"> TA \s "R v Sexton (2000) 77 SASR 405" </w:instrText>
      </w:r>
      <w:r w:rsidRPr="00EB7F1E">
        <w:rPr>
          <w:rFonts w:asciiTheme="minorHAnsi" w:hAnsiTheme="minorHAnsi" w:cstheme="minorHAnsi"/>
        </w:rPr>
        <w:fldChar w:fldCharType="end"/>
      </w:r>
      <w:r w:rsidRPr="00EB7F1E">
        <w:rPr>
          <w:rFonts w:asciiTheme="minorHAnsi" w:hAnsiTheme="minorHAnsi" w:cstheme="minorHAnsi"/>
        </w:rPr>
        <w:t xml:space="preserve"> the court stated that a “</w:t>
      </w:r>
      <w:r w:rsidRPr="00EB7F1E">
        <w:rPr>
          <w:rStyle w:val="ssleftalign"/>
          <w:rFonts w:asciiTheme="minorHAnsi" w:hAnsiTheme="minorHAnsi" w:cstheme="minorHAnsi"/>
          <w:i/>
          <w:iCs/>
        </w:rPr>
        <w:t xml:space="preserve"> …number of the provisions under the state statutory scheme appear to be in direct conflict with the Crimes Act. For example, s20B of the Crimes Act provides that where in proceedings for the commitment of a person for trial a question of a person’s fitness to be tried arises, the proceedings must be referred to the court where the trial will take place. Under s269J(4) of the Criminal Law Consolidation Act provision is made for the referral of the issue of mental unfitness but leaving a discretion for the preliminary examination to be continued. The Criminal Law Consolidation Act allows the Court to try the objective elements of the offence before determining the issue of unfitness for trial. Such a course would not be open on the trial of a federal offence. S269L, s269M and s269N would appear to be substantially inconsistent with the terms of s20B of the Crimes Act.</w:t>
      </w:r>
      <w:r w:rsidRPr="00EB7F1E">
        <w:rPr>
          <w:rFonts w:asciiTheme="minorHAnsi" w:hAnsiTheme="minorHAnsi" w:cstheme="minorHAnsi"/>
        </w:rPr>
        <w:t xml:space="preserve">“  Also see </w:t>
      </w:r>
      <w:r w:rsidRPr="00EB7F1E">
        <w:rPr>
          <w:rFonts w:asciiTheme="minorHAnsi" w:hAnsiTheme="minorHAnsi" w:cstheme="minorHAnsi"/>
          <w:i/>
          <w:iCs/>
        </w:rPr>
        <w:t>Agoston v R</w:t>
      </w:r>
      <w:r w:rsidRPr="00EB7F1E">
        <w:rPr>
          <w:rFonts w:asciiTheme="minorHAnsi" w:hAnsiTheme="minorHAnsi" w:cstheme="minorHAnsi"/>
        </w:rPr>
        <w:t xml:space="preserve"> </w:t>
      </w:r>
      <w:r w:rsidRPr="00EB7F1E">
        <w:rPr>
          <w:rStyle w:val="ssactiverptr"/>
          <w:rFonts w:asciiTheme="minorHAnsi" w:hAnsiTheme="minorHAnsi" w:cstheme="minorHAnsi"/>
        </w:rPr>
        <w:t>[2008] NSWCCA 116</w:t>
      </w:r>
      <w:r w:rsidRPr="00EB7F1E">
        <w:rPr>
          <w:rStyle w:val="ssactiverptr"/>
          <w:rFonts w:asciiTheme="minorHAnsi" w:hAnsiTheme="minorHAnsi" w:cstheme="minorHAnsi"/>
        </w:rPr>
        <w:fldChar w:fldCharType="begin"/>
      </w:r>
      <w:r w:rsidRPr="00EB7F1E">
        <w:rPr>
          <w:rStyle w:val="ssactiverptr"/>
          <w:rFonts w:asciiTheme="minorHAnsi" w:hAnsiTheme="minorHAnsi" w:cstheme="minorHAnsi"/>
        </w:rPr>
        <w:instrText xml:space="preserve"> TA \s "Agoston v R [2008] NSWCCA 116" </w:instrText>
      </w:r>
      <w:r w:rsidRPr="00EB7F1E">
        <w:rPr>
          <w:rStyle w:val="ssactiverptr"/>
          <w:rFonts w:asciiTheme="minorHAnsi" w:hAnsiTheme="minorHAnsi" w:cstheme="minorHAnsi"/>
        </w:rPr>
        <w:fldChar w:fldCharType="end"/>
      </w:r>
      <w:r w:rsidRPr="00EB7F1E">
        <w:rPr>
          <w:rStyle w:val="ssactiverptr"/>
          <w:rFonts w:asciiTheme="minorHAnsi" w:hAnsiTheme="minorHAnsi" w:cstheme="minorHAnsi"/>
        </w:rPr>
        <w:t>, 70.</w:t>
      </w:r>
    </w:p>
    <w:p w14:paraId="23D03824" w14:textId="02682076" w:rsidR="00D44BCF" w:rsidRPr="00EB7F1E" w:rsidRDefault="00D44BCF" w:rsidP="00EB7F1E">
      <w:pPr>
        <w:pStyle w:val="FootnoteText"/>
        <w:jc w:val="both"/>
        <w:rPr>
          <w:rFonts w:asciiTheme="minorHAnsi" w:hAnsiTheme="minorHAnsi" w:cstheme="minorHAnsi"/>
        </w:rPr>
      </w:pPr>
      <w:r w:rsidRPr="00EB7F1E">
        <w:rPr>
          <w:rFonts w:asciiTheme="minorHAnsi" w:hAnsiTheme="minorHAnsi" w:cstheme="minorHAnsi"/>
        </w:rPr>
        <w:t xml:space="preserve">On the question of whether a State or Territory law is capable of applying, see </w:t>
      </w:r>
      <w:r w:rsidRPr="00EB7F1E">
        <w:rPr>
          <w:rFonts w:asciiTheme="minorHAnsi" w:hAnsiTheme="minorHAnsi" w:cstheme="minorHAnsi"/>
          <w:i/>
          <w:iCs/>
        </w:rPr>
        <w:t>R v Ogawa</w:t>
      </w:r>
      <w:r w:rsidRPr="00EB7F1E">
        <w:rPr>
          <w:rFonts w:asciiTheme="minorHAnsi" w:hAnsiTheme="minorHAnsi" w:cstheme="minorHAnsi"/>
        </w:rPr>
        <w:t xml:space="preserve"> [2011] 2 Qd R 350</w:t>
      </w:r>
      <w:r w:rsidRPr="00EB7F1E">
        <w:rPr>
          <w:rFonts w:asciiTheme="minorHAnsi" w:hAnsiTheme="minorHAnsi" w:cstheme="minorHAnsi"/>
        </w:rPr>
        <w:fldChar w:fldCharType="begin"/>
      </w:r>
      <w:r w:rsidRPr="00EB7F1E">
        <w:rPr>
          <w:rFonts w:asciiTheme="minorHAnsi" w:hAnsiTheme="minorHAnsi" w:cstheme="minorHAnsi"/>
        </w:rPr>
        <w:instrText xml:space="preserve"> TA \s "</w:instrText>
      </w:r>
      <w:r w:rsidRPr="00EB7F1E">
        <w:rPr>
          <w:rFonts w:asciiTheme="minorHAnsi" w:hAnsiTheme="minorHAnsi" w:cstheme="minorHAnsi"/>
          <w:i/>
          <w:iCs/>
        </w:rPr>
        <w:instrText>R v Ogawa</w:instrText>
      </w:r>
      <w:r w:rsidRPr="00EB7F1E">
        <w:rPr>
          <w:rFonts w:asciiTheme="minorHAnsi" w:hAnsiTheme="minorHAnsi" w:cstheme="minorHAnsi"/>
        </w:rPr>
        <w:instrText xml:space="preserve"> [2011] 2 Qd R 350" </w:instrText>
      </w:r>
      <w:r w:rsidRPr="00EB7F1E">
        <w:rPr>
          <w:rFonts w:asciiTheme="minorHAnsi" w:hAnsiTheme="minorHAnsi" w:cstheme="minorHAnsi"/>
        </w:rPr>
        <w:fldChar w:fldCharType="end"/>
      </w:r>
      <w:r w:rsidRPr="00EB7F1E">
        <w:rPr>
          <w:rFonts w:asciiTheme="minorHAnsi" w:hAnsiTheme="minorHAnsi" w:cstheme="minorHAnsi"/>
        </w:rPr>
        <w:t xml:space="preserve">, [90]-[93], where the </w:t>
      </w:r>
      <w:r w:rsidRPr="00EB7F1E">
        <w:rPr>
          <w:rFonts w:asciiTheme="minorHAnsi" w:hAnsiTheme="minorHAnsi" w:cstheme="minorHAnsi"/>
          <w:i/>
          <w:iCs/>
        </w:rPr>
        <w:t>Mental Health Act</w:t>
      </w:r>
      <w:r w:rsidRPr="00EB7F1E">
        <w:rPr>
          <w:rFonts w:asciiTheme="minorHAnsi" w:hAnsiTheme="minorHAnsi" w:cstheme="minorHAnsi"/>
        </w:rPr>
        <w:t xml:space="preserve"> (Qld) stated it did not apply to Commonwealth offences. Provisions in the Q</w:t>
      </w:r>
      <w:r w:rsidRPr="007809F4">
        <w:rPr>
          <w:rFonts w:asciiTheme="minorHAnsi" w:hAnsiTheme="minorHAnsi" w:cstheme="minorHAnsi"/>
        </w:rPr>
        <w:t xml:space="preserve">ueensland </w:t>
      </w:r>
      <w:r w:rsidRPr="00EB7F1E">
        <w:rPr>
          <w:rFonts w:asciiTheme="minorHAnsi" w:hAnsiTheme="minorHAnsi" w:cstheme="minorHAnsi"/>
          <w:i/>
          <w:iCs/>
        </w:rPr>
        <w:t>Criminal Code</w:t>
      </w:r>
      <w:r w:rsidRPr="00EB7F1E">
        <w:rPr>
          <w:rFonts w:asciiTheme="minorHAnsi" w:hAnsiTheme="minorHAnsi" w:cstheme="minorHAnsi"/>
        </w:rPr>
        <w:t xml:space="preserve"> were applied instead.</w:t>
      </w:r>
    </w:p>
    <w:p w14:paraId="3EF61BEB" w14:textId="37378A03" w:rsidR="00D44BCF" w:rsidRPr="007809F4" w:rsidRDefault="00D44BCF" w:rsidP="00EB7F1E">
      <w:pPr>
        <w:pStyle w:val="FootnoteText"/>
        <w:jc w:val="both"/>
        <w:rPr>
          <w:rFonts w:asciiTheme="minorHAnsi" w:hAnsiTheme="minorHAnsi" w:cstheme="minorHAnsi"/>
        </w:rPr>
      </w:pPr>
      <w:r w:rsidRPr="007809F4">
        <w:rPr>
          <w:rFonts w:asciiTheme="minorHAnsi" w:hAnsiTheme="minorHAnsi" w:cstheme="minorHAnsi"/>
        </w:rPr>
        <w:t>On</w:t>
      </w:r>
      <w:r w:rsidRPr="00EB7F1E">
        <w:rPr>
          <w:rFonts w:asciiTheme="minorHAnsi" w:hAnsiTheme="minorHAnsi" w:cstheme="minorHAnsi"/>
        </w:rPr>
        <w:t xml:space="preserve"> referral from a magistrate in </w:t>
      </w:r>
      <w:r w:rsidRPr="00EB7F1E">
        <w:rPr>
          <w:rFonts w:asciiTheme="minorHAnsi" w:hAnsiTheme="minorHAnsi" w:cstheme="minorHAnsi"/>
          <w:i/>
          <w:iCs/>
        </w:rPr>
        <w:t>R v Kaczmarek</w:t>
      </w:r>
      <w:r w:rsidRPr="00EB7F1E">
        <w:rPr>
          <w:rFonts w:asciiTheme="minorHAnsi" w:hAnsiTheme="minorHAnsi" w:cstheme="minorHAnsi"/>
        </w:rPr>
        <w:t xml:space="preserve"> [2011] ACTSC 177</w:t>
      </w:r>
      <w:r w:rsidRPr="00EB7F1E">
        <w:rPr>
          <w:rFonts w:asciiTheme="minorHAnsi" w:hAnsiTheme="minorHAnsi" w:cstheme="minorHAnsi"/>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R v Kaczmarek</w:instrText>
      </w:r>
      <w:r w:rsidRPr="00EB7F1E">
        <w:rPr>
          <w:rFonts w:asciiTheme="minorHAnsi" w:hAnsiTheme="minorHAnsi" w:cstheme="minorHAnsi"/>
        </w:rPr>
        <w:instrText xml:space="preserve"> [2011] ACTSC 177" \s "R v Kaczmarek [2011] ACTSC 177" \c 1 </w:instrText>
      </w:r>
      <w:r w:rsidRPr="00EB7F1E">
        <w:rPr>
          <w:rFonts w:asciiTheme="minorHAnsi" w:hAnsiTheme="minorHAnsi" w:cstheme="minorHAnsi"/>
        </w:rPr>
        <w:fldChar w:fldCharType="end"/>
      </w:r>
      <w:r w:rsidRPr="00EB7F1E">
        <w:rPr>
          <w:rFonts w:asciiTheme="minorHAnsi" w:hAnsiTheme="minorHAnsi" w:cstheme="minorHAnsi"/>
        </w:rPr>
        <w:t>, Refshauge ACJ decided that the defendant was fit to be tried, solely under s 20B(2). It appears that it was not thought necessary to apply ACT legislation.</w:t>
      </w:r>
    </w:p>
  </w:footnote>
  <w:footnote w:id="1227">
    <w:p w14:paraId="6CD6FE34" w14:textId="540F56DA" w:rsidR="00D44BCF" w:rsidRPr="007809F4" w:rsidRDefault="00D44BCF" w:rsidP="009F77ED">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Kesavarajah v R</w:t>
      </w:r>
      <w:r w:rsidRPr="007809F4">
        <w:rPr>
          <w:rFonts w:asciiTheme="minorHAnsi" w:hAnsiTheme="minorHAnsi" w:cstheme="minorHAnsi"/>
        </w:rPr>
        <w:t xml:space="preserve"> (1994) 181 CLR 230</w:t>
      </w:r>
      <w:r w:rsidRPr="00EB7F1E">
        <w:rPr>
          <w:rFonts w:asciiTheme="minorHAnsi" w:hAnsiTheme="minorHAnsi" w:cstheme="minorHAnsi"/>
        </w:rPr>
        <w:fldChar w:fldCharType="begin"/>
      </w:r>
      <w:r w:rsidRPr="007809F4">
        <w:rPr>
          <w:rFonts w:asciiTheme="minorHAnsi" w:hAnsiTheme="minorHAnsi" w:cstheme="minorHAnsi"/>
        </w:rPr>
        <w:instrText xml:space="preserve"> TA \s "Kesavarajah v R (1994) 181 CLR 230" </w:instrText>
      </w:r>
      <w:r w:rsidRPr="00EB7F1E">
        <w:rPr>
          <w:rFonts w:asciiTheme="minorHAnsi" w:hAnsiTheme="minorHAnsi" w:cstheme="minorHAnsi"/>
        </w:rPr>
        <w:fldChar w:fldCharType="end"/>
      </w:r>
      <w:r w:rsidRPr="007809F4">
        <w:rPr>
          <w:rFonts w:asciiTheme="minorHAnsi" w:hAnsiTheme="minorHAnsi" w:cstheme="minorHAnsi"/>
        </w:rPr>
        <w:t xml:space="preserve">, 241-243. The “court” will be the jury in all States, except NSW and WA (and SA if a defendant has elected to have judge decide the issue).  In </w:t>
      </w:r>
      <w:r w:rsidRPr="007809F4">
        <w:rPr>
          <w:rFonts w:asciiTheme="minorHAnsi" w:hAnsiTheme="minorHAnsi" w:cstheme="minorHAnsi"/>
          <w:i/>
          <w:iCs/>
        </w:rPr>
        <w:t>Agoston v R</w:t>
      </w:r>
      <w:r w:rsidRPr="007809F4">
        <w:rPr>
          <w:rFonts w:asciiTheme="minorHAnsi" w:hAnsiTheme="minorHAnsi" w:cstheme="minorHAnsi"/>
        </w:rPr>
        <w:t xml:space="preserve"> [2008] NSWCCA 116</w:t>
      </w:r>
      <w:r w:rsidRPr="00EB7F1E">
        <w:rPr>
          <w:rFonts w:asciiTheme="minorHAnsi" w:hAnsiTheme="minorHAnsi" w:cstheme="minorHAnsi"/>
        </w:rPr>
        <w:fldChar w:fldCharType="begin"/>
      </w:r>
      <w:r w:rsidRPr="007809F4">
        <w:rPr>
          <w:rFonts w:asciiTheme="minorHAnsi" w:hAnsiTheme="minorHAnsi" w:cstheme="minorHAnsi"/>
        </w:rPr>
        <w:instrText xml:space="preserve"> TA \s "Agoston v R [2008] NSWCCA 116" </w:instrText>
      </w:r>
      <w:r w:rsidRPr="00EB7F1E">
        <w:rPr>
          <w:rFonts w:asciiTheme="minorHAnsi" w:hAnsiTheme="minorHAnsi" w:cstheme="minorHAnsi"/>
        </w:rPr>
        <w:fldChar w:fldCharType="end"/>
      </w:r>
      <w:r w:rsidRPr="007809F4">
        <w:rPr>
          <w:rFonts w:asciiTheme="minorHAnsi" w:hAnsiTheme="minorHAnsi" w:cstheme="minorHAnsi"/>
        </w:rPr>
        <w:t>, [70], the court expressed the view that decisions under the Commonwealth provisions are to be made by a court (that is a judge).  This may only have been meant to apply after the preliminary finding of unfitness is made, at least where that question arises on indictment.</w:t>
      </w:r>
      <w:r w:rsidRPr="007809F4">
        <w:rPr>
          <w:rFonts w:asciiTheme="minorHAnsi" w:hAnsiTheme="minorHAnsi" w:cstheme="minorHAnsi"/>
          <w:i/>
          <w:iCs/>
        </w:rPr>
        <w:t xml:space="preserve"> </w:t>
      </w:r>
      <w:r w:rsidRPr="007809F4">
        <w:rPr>
          <w:rFonts w:asciiTheme="minorHAnsi" w:hAnsiTheme="minorHAnsi" w:cstheme="minorHAnsi"/>
        </w:rPr>
        <w:t xml:space="preserve">See also </w:t>
      </w:r>
      <w:r w:rsidRPr="007809F4">
        <w:rPr>
          <w:rFonts w:asciiTheme="minorHAnsi" w:hAnsiTheme="minorHAnsi" w:cstheme="minorHAnsi"/>
          <w:i/>
          <w:iCs/>
        </w:rPr>
        <w:t>R v Baladjam (No 1)</w:t>
      </w:r>
      <w:r w:rsidRPr="007809F4">
        <w:rPr>
          <w:rFonts w:asciiTheme="minorHAnsi" w:hAnsiTheme="minorHAnsi" w:cstheme="minorHAnsi"/>
        </w:rPr>
        <w:t xml:space="preserve"> [2008] NSWSC 72</w:t>
      </w:r>
      <w:r w:rsidRPr="00EB7F1E">
        <w:rPr>
          <w:rFonts w:asciiTheme="minorHAnsi" w:hAnsiTheme="minorHAnsi" w:cstheme="minorHAnsi"/>
        </w:rPr>
        <w:fldChar w:fldCharType="begin"/>
      </w:r>
      <w:r w:rsidRPr="007809F4">
        <w:rPr>
          <w:rFonts w:asciiTheme="minorHAnsi" w:hAnsiTheme="minorHAnsi" w:cstheme="minorHAnsi"/>
        </w:rPr>
        <w:instrText xml:space="preserve"> TA \l "</w:instrText>
      </w:r>
      <w:r w:rsidRPr="007809F4">
        <w:rPr>
          <w:rFonts w:asciiTheme="minorHAnsi" w:hAnsiTheme="minorHAnsi" w:cstheme="minorHAnsi"/>
          <w:i/>
          <w:iCs/>
        </w:rPr>
        <w:instrText>R v Baladjam (No 1)</w:instrText>
      </w:r>
      <w:r w:rsidRPr="007809F4">
        <w:rPr>
          <w:rFonts w:asciiTheme="minorHAnsi" w:hAnsiTheme="minorHAnsi" w:cstheme="minorHAnsi"/>
        </w:rPr>
        <w:instrText xml:space="preserve"> [2008] NSWSC 72" \s "R v Baladjam (No 1) [2008] NSWSC 72" \c 1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28">
    <w:p w14:paraId="6354D68B" w14:textId="0FC0E2F7" w:rsidR="00D44BCF" w:rsidRPr="007809F4" w:rsidRDefault="00D44BCF" w:rsidP="000C286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See </w:t>
      </w:r>
      <w:r w:rsidRPr="00EB7F1E">
        <w:rPr>
          <w:rFonts w:asciiTheme="minorHAnsi" w:hAnsiTheme="minorHAnsi" w:cstheme="minorHAnsi"/>
          <w:i/>
          <w:iCs/>
        </w:rPr>
        <w:fldChar w:fldCharType="begin"/>
      </w:r>
      <w:r w:rsidRPr="00EB7F1E">
        <w:rPr>
          <w:rFonts w:asciiTheme="minorHAnsi" w:hAnsiTheme="minorHAnsi" w:cstheme="minorHAnsi"/>
        </w:rPr>
        <w:instrText xml:space="preserve"> TA \l "</w:instrText>
      </w:r>
      <w:r w:rsidRPr="00EB7F1E">
        <w:rPr>
          <w:rFonts w:asciiTheme="minorHAnsi" w:hAnsiTheme="minorHAnsi" w:cstheme="minorHAnsi"/>
          <w:i/>
          <w:iCs/>
        </w:rPr>
        <w:instrText>DPP v Galea</w:instrText>
      </w:r>
      <w:r w:rsidRPr="007809F4">
        <w:rPr>
          <w:rFonts w:asciiTheme="minorHAnsi" w:hAnsiTheme="minorHAnsi" w:cstheme="minorHAnsi"/>
        </w:rPr>
        <w:instrText xml:space="preserve"> [2018] VSC 30</w:instrText>
      </w:r>
      <w:r w:rsidRPr="00EB7F1E">
        <w:rPr>
          <w:rFonts w:asciiTheme="minorHAnsi" w:hAnsiTheme="minorHAnsi" w:cstheme="minorHAnsi"/>
        </w:rPr>
        <w:instrText xml:space="preserve">" \s "DPP v Galea [2018] VSC 30" \c 1 </w:instrText>
      </w:r>
      <w:r w:rsidRPr="00EB7F1E">
        <w:rPr>
          <w:rFonts w:asciiTheme="minorHAnsi" w:hAnsiTheme="minorHAnsi" w:cstheme="minorHAnsi"/>
          <w:i/>
          <w:iCs/>
        </w:rPr>
        <w:fldChar w:fldCharType="end"/>
      </w:r>
      <w:r w:rsidRPr="00EB7F1E">
        <w:rPr>
          <w:rFonts w:asciiTheme="minorHAnsi" w:hAnsiTheme="minorHAnsi" w:cstheme="minorHAnsi"/>
          <w:i/>
          <w:iCs/>
        </w:rPr>
        <w:t>DPP v Galea</w:t>
      </w:r>
      <w:r w:rsidRPr="007809F4">
        <w:rPr>
          <w:rFonts w:asciiTheme="minorHAnsi" w:hAnsiTheme="minorHAnsi" w:cstheme="minorHAnsi"/>
        </w:rPr>
        <w:t xml:space="preserve"> [2018] VSC 30, [18]-[19] (Hollingworth J).</w:t>
      </w:r>
    </w:p>
  </w:footnote>
  <w:footnote w:id="1229">
    <w:p w14:paraId="44F8BF2B" w14:textId="2CA01A96" w:rsidR="00D44BCF" w:rsidRPr="007809F4" w:rsidRDefault="00D44BCF" w:rsidP="000C286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 xml:space="preserve">For example, In Victoria, a new jury must be empaneled for the trial, because the jury which decided fitness cannot decide any other matters: see </w:t>
      </w:r>
      <w:r w:rsidRPr="00EB7F1E">
        <w:rPr>
          <w:rFonts w:asciiTheme="minorHAnsi" w:hAnsiTheme="minorHAnsi" w:cstheme="minorHAnsi"/>
          <w:i/>
          <w:iCs/>
        </w:rPr>
        <w:t>Crimes (Mental Impairment and Unfitness to be Tried) Act 1997</w:t>
      </w:r>
      <w:r w:rsidRPr="007809F4">
        <w:rPr>
          <w:rFonts w:asciiTheme="minorHAnsi" w:hAnsiTheme="minorHAnsi" w:cstheme="minorHAnsi"/>
        </w:rPr>
        <w:t xml:space="preserve"> (Vic), s 11(6).  In South Australia, the same jury will continue in the trial unless the trial judge thinks there are special reasons to have separate juries: see </w:t>
      </w:r>
      <w:r w:rsidRPr="00EB7F1E">
        <w:rPr>
          <w:rFonts w:asciiTheme="minorHAnsi" w:hAnsiTheme="minorHAnsi" w:cstheme="minorHAnsi"/>
          <w:i/>
          <w:iCs/>
        </w:rPr>
        <w:t>Criminal Law Consolidation Act 1935</w:t>
      </w:r>
      <w:r w:rsidRPr="007809F4">
        <w:rPr>
          <w:rFonts w:asciiTheme="minorHAnsi" w:hAnsiTheme="minorHAnsi" w:cstheme="minorHAnsi"/>
        </w:rPr>
        <w:t xml:space="preserve"> (SA), s 269B.</w:t>
      </w:r>
    </w:p>
  </w:footnote>
  <w:footnote w:id="1230">
    <w:p w14:paraId="6BB4C0C3" w14:textId="4D61A92A" w:rsidR="00D44BCF" w:rsidRPr="007809F4" w:rsidRDefault="00D44BCF" w:rsidP="000C286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Kesavarajah v R</w:t>
      </w:r>
      <w:r w:rsidRPr="007809F4">
        <w:rPr>
          <w:rFonts w:asciiTheme="minorHAnsi" w:hAnsiTheme="minorHAnsi" w:cstheme="minorHAnsi"/>
        </w:rPr>
        <w:t xml:space="preserve"> (1994) 181 CLR 230</w:t>
      </w:r>
      <w:r w:rsidRPr="00EB7F1E">
        <w:rPr>
          <w:rFonts w:asciiTheme="minorHAnsi" w:hAnsiTheme="minorHAnsi" w:cstheme="minorHAnsi"/>
        </w:rPr>
        <w:fldChar w:fldCharType="begin"/>
      </w:r>
      <w:r w:rsidRPr="007809F4">
        <w:rPr>
          <w:rFonts w:asciiTheme="minorHAnsi" w:hAnsiTheme="minorHAnsi" w:cstheme="minorHAnsi"/>
        </w:rPr>
        <w:instrText xml:space="preserve"> TA \s "Kesavarajah v R (1994) 181 CLR 230" </w:instrText>
      </w:r>
      <w:r w:rsidRPr="00EB7F1E">
        <w:rPr>
          <w:rFonts w:asciiTheme="minorHAnsi" w:hAnsiTheme="minorHAnsi" w:cstheme="minorHAnsi"/>
        </w:rPr>
        <w:fldChar w:fldCharType="end"/>
      </w:r>
      <w:r w:rsidRPr="007809F4">
        <w:rPr>
          <w:rFonts w:asciiTheme="minorHAnsi" w:hAnsiTheme="minorHAnsi" w:cstheme="minorHAnsi"/>
        </w:rPr>
        <w:t xml:space="preserve">, 241-243. See also </w:t>
      </w:r>
      <w:r w:rsidRPr="007809F4">
        <w:rPr>
          <w:rFonts w:asciiTheme="minorHAnsi" w:hAnsiTheme="minorHAnsi" w:cstheme="minorHAnsi"/>
          <w:i/>
          <w:iCs/>
        </w:rPr>
        <w:t>Agoston v R</w:t>
      </w:r>
      <w:r w:rsidRPr="007809F4">
        <w:rPr>
          <w:rFonts w:asciiTheme="minorHAnsi" w:hAnsiTheme="minorHAnsi" w:cstheme="minorHAnsi"/>
        </w:rPr>
        <w:t xml:space="preserve"> </w:t>
      </w:r>
      <w:r w:rsidRPr="00EB7F1E">
        <w:rPr>
          <w:rFonts w:asciiTheme="minorHAnsi" w:hAnsiTheme="minorHAnsi" w:cstheme="minorHAnsi"/>
        </w:rPr>
        <w:t>[2008] NSWCCA 116</w:t>
      </w:r>
      <w:r w:rsidRPr="00EB7F1E">
        <w:rPr>
          <w:rFonts w:asciiTheme="minorHAnsi" w:hAnsiTheme="minorHAnsi" w:cstheme="minorHAnsi"/>
        </w:rPr>
        <w:fldChar w:fldCharType="begin"/>
      </w:r>
      <w:r w:rsidRPr="00EB7F1E">
        <w:rPr>
          <w:rFonts w:asciiTheme="minorHAnsi" w:hAnsiTheme="minorHAnsi" w:cstheme="minorHAnsi"/>
        </w:rPr>
        <w:instrText xml:space="preserve"> TA \s "Agoston v R [2008] NSWCCA 116" </w:instrText>
      </w:r>
      <w:r w:rsidRPr="00EB7F1E">
        <w:rPr>
          <w:rFonts w:asciiTheme="minorHAnsi" w:hAnsiTheme="minorHAnsi" w:cstheme="minorHAnsi"/>
        </w:rPr>
        <w:fldChar w:fldCharType="end"/>
      </w:r>
      <w:r w:rsidRPr="00EB7F1E">
        <w:rPr>
          <w:rFonts w:asciiTheme="minorHAnsi" w:hAnsiTheme="minorHAnsi" w:cstheme="minorHAnsi"/>
        </w:rPr>
        <w:t>, [70]</w:t>
      </w:r>
      <w:r w:rsidRPr="007809F4">
        <w:rPr>
          <w:rFonts w:asciiTheme="minorHAnsi" w:hAnsiTheme="minorHAnsi" w:cstheme="minorHAnsi"/>
        </w:rPr>
        <w:t xml:space="preserve">; </w:t>
      </w:r>
      <w:r w:rsidRPr="007809F4">
        <w:rPr>
          <w:rFonts w:asciiTheme="minorHAnsi" w:hAnsiTheme="minorHAnsi" w:cstheme="minorHAnsi"/>
          <w:i/>
          <w:iCs/>
        </w:rPr>
        <w:t>R v Sharrouf (No 2)</w:t>
      </w:r>
      <w:r w:rsidRPr="007809F4">
        <w:rPr>
          <w:rFonts w:asciiTheme="minorHAnsi" w:hAnsiTheme="minorHAnsi" w:cstheme="minorHAnsi"/>
        </w:rPr>
        <w:t xml:space="preserve"> [2008] NSWSC 1450</w:t>
      </w:r>
      <w:r w:rsidRPr="00EB7F1E">
        <w:rPr>
          <w:rFonts w:asciiTheme="minorHAnsi" w:hAnsiTheme="minorHAnsi" w:cstheme="minorHAnsi"/>
        </w:rPr>
        <w:fldChar w:fldCharType="begin"/>
      </w:r>
      <w:r w:rsidRPr="007809F4">
        <w:rPr>
          <w:rFonts w:asciiTheme="minorHAnsi" w:hAnsiTheme="minorHAnsi" w:cstheme="minorHAnsi"/>
        </w:rPr>
        <w:instrText xml:space="preserve"> TA \s "R v Sharrouf (No 2) [2008] NSWSC 1450" </w:instrText>
      </w:r>
      <w:r w:rsidRPr="00EB7F1E">
        <w:rPr>
          <w:rFonts w:asciiTheme="minorHAnsi" w:hAnsiTheme="minorHAnsi" w:cstheme="minorHAnsi"/>
        </w:rPr>
        <w:fldChar w:fldCharType="end"/>
      </w:r>
    </w:p>
  </w:footnote>
  <w:footnote w:id="1231">
    <w:p w14:paraId="46026AA2" w14:textId="34D22B46" w:rsidR="00D44BCF" w:rsidRPr="007809F4" w:rsidRDefault="00D44BCF" w:rsidP="000C286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EB7F1E">
        <w:rPr>
          <w:rFonts w:asciiTheme="minorHAnsi" w:hAnsiTheme="minorHAnsi" w:cstheme="minorHAnsi"/>
        </w:rPr>
        <w:t xml:space="preserve">For a discussion about this requirement, see </w:t>
      </w:r>
      <w:r w:rsidRPr="00EB7F1E">
        <w:rPr>
          <w:rFonts w:ascii="Calibri" w:hAnsi="Calibri"/>
          <w:i/>
          <w:iCs/>
        </w:rPr>
        <w:t>R v Sharrouf (No 2)</w:t>
      </w:r>
      <w:r w:rsidRPr="00EB7F1E">
        <w:rPr>
          <w:rFonts w:ascii="Calibri" w:hAnsi="Calibri"/>
        </w:rPr>
        <w:t xml:space="preserve"> [2008] NSWSC 1450</w:t>
      </w:r>
      <w:r w:rsidRPr="00EB7F1E">
        <w:rPr>
          <w:rFonts w:asciiTheme="minorHAnsi" w:hAnsiTheme="minorHAnsi" w:cstheme="minorHAnsi"/>
        </w:rPr>
        <w:fldChar w:fldCharType="begin"/>
      </w:r>
      <w:r w:rsidRPr="007809F4">
        <w:rPr>
          <w:rFonts w:asciiTheme="minorHAnsi" w:hAnsiTheme="minorHAnsi" w:cstheme="minorHAnsi"/>
        </w:rPr>
        <w:instrText xml:space="preserve"> TA \s "R v Sharrouf (No 2) [2008] NSWSC 1450" </w:instrText>
      </w:r>
      <w:r w:rsidRPr="00EB7F1E">
        <w:rPr>
          <w:rFonts w:asciiTheme="minorHAnsi" w:hAnsiTheme="minorHAnsi" w:cstheme="minorHAnsi"/>
        </w:rPr>
        <w:fldChar w:fldCharType="end"/>
      </w:r>
      <w:r w:rsidRPr="007809F4">
        <w:rPr>
          <w:rFonts w:asciiTheme="minorHAnsi" w:hAnsiTheme="minorHAnsi" w:cstheme="minorHAnsi"/>
        </w:rPr>
        <w:t>,</w:t>
      </w:r>
      <w:r w:rsidRPr="00EB7F1E">
        <w:rPr>
          <w:rFonts w:ascii="Calibri" w:hAnsi="Calibri"/>
        </w:rPr>
        <w:t xml:space="preserve"> [26</w:t>
      </w:r>
      <w:r w:rsidRPr="007809F4">
        <w:rPr>
          <w:rFonts w:asciiTheme="minorHAnsi" w:hAnsiTheme="minorHAnsi" w:cstheme="minorHAnsi"/>
        </w:rPr>
        <w:t>]</w:t>
      </w:r>
      <w:r w:rsidRPr="00EB7F1E">
        <w:rPr>
          <w:rFonts w:ascii="Calibri" w:hAnsi="Calibri"/>
        </w:rPr>
        <w:t xml:space="preserve"> </w:t>
      </w:r>
      <w:r w:rsidRPr="007809F4">
        <w:rPr>
          <w:rFonts w:asciiTheme="minorHAnsi" w:hAnsiTheme="minorHAnsi" w:cstheme="minorHAnsi"/>
        </w:rPr>
        <w:t>et seq.  I</w:t>
      </w:r>
      <w:r w:rsidRPr="00EB7F1E">
        <w:rPr>
          <w:rFonts w:ascii="Calibri" w:hAnsi="Calibri"/>
        </w:rPr>
        <w:t>n addition, t</w:t>
      </w:r>
      <w:r w:rsidRPr="00EB7F1E">
        <w:rPr>
          <w:rFonts w:asciiTheme="minorHAnsi" w:hAnsiTheme="minorHAnsi" w:cstheme="minorHAnsi"/>
        </w:rPr>
        <w:t xml:space="preserve">he </w:t>
      </w:r>
      <w:r w:rsidRPr="007809F4">
        <w:rPr>
          <w:rFonts w:asciiTheme="minorHAnsi" w:hAnsiTheme="minorHAnsi" w:cstheme="minorHAnsi"/>
        </w:rPr>
        <w:t xml:space="preserve">Explanatory Memorandum </w:t>
      </w:r>
      <w:r w:rsidRPr="00EB7F1E">
        <w:rPr>
          <w:rFonts w:asciiTheme="minorHAnsi" w:hAnsiTheme="minorHAnsi" w:cstheme="minorHAnsi"/>
        </w:rPr>
        <w:t xml:space="preserve">to the Bill which inserted this provision into the </w:t>
      </w:r>
      <w:r w:rsidRPr="00EB7F1E">
        <w:rPr>
          <w:rFonts w:asciiTheme="minorHAnsi" w:hAnsiTheme="minorHAnsi" w:cstheme="minorHAnsi"/>
          <w:i/>
          <w:iCs/>
        </w:rPr>
        <w:t>Crimes Act 1914</w:t>
      </w:r>
      <w:r w:rsidRPr="00EB7F1E">
        <w:rPr>
          <w:rFonts w:asciiTheme="minorHAnsi" w:hAnsiTheme="minorHAnsi" w:cstheme="minorHAnsi"/>
        </w:rPr>
        <w:t xml:space="preserve"> (Cth) states that this means that “</w:t>
      </w:r>
      <w:r w:rsidRPr="00EB7F1E">
        <w:rPr>
          <w:rFonts w:asciiTheme="minorHAnsi" w:hAnsiTheme="minorHAnsi" w:cstheme="minorHAnsi"/>
          <w:i/>
          <w:iCs/>
        </w:rPr>
        <w:t>…the court must be satisfied that the person engaged in the conduct constituting the offence. Any mental element or mens rea attaching to the offence is irrelevant to the finding of a prima facie case…</w:t>
      </w:r>
      <w:r w:rsidRPr="00EB7F1E">
        <w:rPr>
          <w:rFonts w:asciiTheme="minorHAnsi" w:hAnsiTheme="minorHAnsi" w:cstheme="minorHAnsi"/>
        </w:rPr>
        <w:t xml:space="preserve">” </w:t>
      </w:r>
      <w:r w:rsidRPr="007809F4">
        <w:rPr>
          <w:rFonts w:asciiTheme="minorHAnsi" w:hAnsiTheme="minorHAnsi" w:cstheme="minorHAnsi"/>
        </w:rPr>
        <w:t>(</w:t>
      </w:r>
      <w:r w:rsidRPr="00EB7F1E">
        <w:rPr>
          <w:rFonts w:asciiTheme="minorHAnsi" w:hAnsiTheme="minorHAnsi" w:cstheme="minorHAnsi"/>
        </w:rPr>
        <w:t>E</w:t>
      </w:r>
      <w:r w:rsidRPr="007809F4">
        <w:rPr>
          <w:rFonts w:asciiTheme="minorHAnsi" w:hAnsiTheme="minorHAnsi" w:cstheme="minorHAnsi"/>
        </w:rPr>
        <w:t>x</w:t>
      </w:r>
      <w:r w:rsidRPr="00EB7F1E">
        <w:rPr>
          <w:rFonts w:asciiTheme="minorHAnsi" w:hAnsiTheme="minorHAnsi" w:cstheme="minorHAnsi"/>
        </w:rPr>
        <w:t xml:space="preserve">planatory </w:t>
      </w:r>
      <w:r w:rsidRPr="007809F4">
        <w:rPr>
          <w:rFonts w:asciiTheme="minorHAnsi" w:hAnsiTheme="minorHAnsi" w:cstheme="minorHAnsi"/>
        </w:rPr>
        <w:t xml:space="preserve">Memorandum </w:t>
      </w:r>
      <w:r w:rsidRPr="00EB7F1E">
        <w:rPr>
          <w:rFonts w:asciiTheme="minorHAnsi" w:hAnsiTheme="minorHAnsi" w:cstheme="minorHAnsi"/>
        </w:rPr>
        <w:t xml:space="preserve">to the </w:t>
      </w:r>
      <w:r w:rsidRPr="00EB7F1E">
        <w:rPr>
          <w:rFonts w:asciiTheme="minorHAnsi" w:hAnsiTheme="minorHAnsi" w:cstheme="minorHAnsi"/>
          <w:i/>
          <w:iCs/>
        </w:rPr>
        <w:t>Crimes Legislation Amendment Bill (No 2)</w:t>
      </w:r>
      <w:r w:rsidRPr="00EB7F1E">
        <w:rPr>
          <w:rFonts w:asciiTheme="minorHAnsi" w:hAnsiTheme="minorHAnsi" w:cstheme="minorHAnsi"/>
        </w:rPr>
        <w:t>, Senate, Clause 15)</w:t>
      </w:r>
      <w:r w:rsidRPr="007809F4">
        <w:rPr>
          <w:rFonts w:asciiTheme="minorHAnsi" w:hAnsiTheme="minorHAnsi" w:cstheme="minorHAnsi"/>
        </w:rPr>
        <w:t>.</w:t>
      </w:r>
    </w:p>
  </w:footnote>
  <w:footnote w:id="1232">
    <w:p w14:paraId="574284CE" w14:textId="67EDC503" w:rsidR="00D44BCF" w:rsidRPr="007809F4" w:rsidRDefault="00D44BCF" w:rsidP="000C2868">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r>
      <w:r w:rsidRPr="007809F4">
        <w:rPr>
          <w:rFonts w:asciiTheme="minorHAnsi" w:hAnsiTheme="minorHAnsi" w:cstheme="minorHAnsi"/>
          <w:i/>
        </w:rPr>
        <w:t>Kesavarajah v R</w:t>
      </w:r>
      <w:r w:rsidRPr="007809F4">
        <w:rPr>
          <w:rFonts w:asciiTheme="minorHAnsi" w:hAnsiTheme="minorHAnsi" w:cstheme="minorHAnsi"/>
        </w:rPr>
        <w:t xml:space="preserve"> (1994) 181 CLR 230</w:t>
      </w:r>
      <w:r w:rsidRPr="00EB7F1E">
        <w:rPr>
          <w:rFonts w:asciiTheme="minorHAnsi" w:hAnsiTheme="minorHAnsi" w:cstheme="minorHAnsi"/>
        </w:rPr>
        <w:fldChar w:fldCharType="begin"/>
      </w:r>
      <w:r w:rsidRPr="007809F4">
        <w:rPr>
          <w:rFonts w:asciiTheme="minorHAnsi" w:hAnsiTheme="minorHAnsi" w:cstheme="minorHAnsi"/>
        </w:rPr>
        <w:instrText xml:space="preserve"> TA \s "Kesavarajah v R (1994) 181 CLR 230" </w:instrText>
      </w:r>
      <w:r w:rsidRPr="00EB7F1E">
        <w:rPr>
          <w:rFonts w:asciiTheme="minorHAnsi" w:hAnsiTheme="minorHAnsi" w:cstheme="minorHAnsi"/>
        </w:rPr>
        <w:fldChar w:fldCharType="end"/>
      </w:r>
      <w:r w:rsidRPr="007809F4">
        <w:rPr>
          <w:rFonts w:asciiTheme="minorHAnsi" w:hAnsiTheme="minorHAnsi" w:cstheme="minorHAnsi"/>
        </w:rPr>
        <w:t xml:space="preserve">, 241-243.  </w:t>
      </w:r>
      <w:r w:rsidRPr="00EB7F1E">
        <w:rPr>
          <w:rFonts w:asciiTheme="minorHAnsi" w:hAnsiTheme="minorHAnsi" w:cstheme="minorHAnsi"/>
        </w:rPr>
        <w:t xml:space="preserve">For an example of the process see </w:t>
      </w:r>
      <w:r w:rsidRPr="00EB7F1E">
        <w:rPr>
          <w:rFonts w:ascii="Calibri" w:hAnsi="Calibri"/>
          <w:i/>
          <w:iCs/>
        </w:rPr>
        <w:t xml:space="preserve">R v Sharrouf </w:t>
      </w:r>
      <w:r w:rsidRPr="00EB7F1E">
        <w:rPr>
          <w:rFonts w:asciiTheme="minorHAnsi" w:hAnsiTheme="minorHAnsi" w:cstheme="minorHAnsi"/>
          <w:i/>
          <w:iCs/>
        </w:rPr>
        <w:t>(N</w:t>
      </w:r>
      <w:r w:rsidRPr="00EB7F1E">
        <w:rPr>
          <w:rFonts w:ascii="Calibri" w:hAnsi="Calibri"/>
          <w:i/>
          <w:iCs/>
        </w:rPr>
        <w:t>o 2</w:t>
      </w:r>
      <w:r w:rsidRPr="00EB7F1E">
        <w:rPr>
          <w:rFonts w:asciiTheme="minorHAnsi" w:hAnsiTheme="minorHAnsi" w:cstheme="minorHAnsi"/>
          <w:i/>
          <w:iCs/>
        </w:rPr>
        <w:t>)</w:t>
      </w:r>
      <w:r w:rsidRPr="00EB7F1E">
        <w:rPr>
          <w:rFonts w:ascii="Calibri" w:hAnsi="Calibri"/>
        </w:rPr>
        <w:t xml:space="preserve"> [2008] NSWSC 1450</w:t>
      </w:r>
      <w:r w:rsidRPr="00EB7F1E">
        <w:rPr>
          <w:rFonts w:asciiTheme="minorHAnsi" w:hAnsiTheme="minorHAnsi" w:cstheme="minorHAnsi"/>
        </w:rPr>
        <w:fldChar w:fldCharType="begin"/>
      </w:r>
      <w:r w:rsidRPr="007809F4">
        <w:rPr>
          <w:rFonts w:asciiTheme="minorHAnsi" w:hAnsiTheme="minorHAnsi" w:cstheme="minorHAnsi"/>
        </w:rPr>
        <w:instrText xml:space="preserve"> TA \s "R v Sharrouf (No 2) [2008] NSWSC 1450" </w:instrText>
      </w:r>
      <w:r w:rsidRPr="00EB7F1E">
        <w:rPr>
          <w:rFonts w:asciiTheme="minorHAnsi" w:hAnsiTheme="minorHAnsi" w:cstheme="minorHAnsi"/>
        </w:rPr>
        <w:fldChar w:fldCharType="end"/>
      </w:r>
      <w:r w:rsidRPr="007809F4">
        <w:rPr>
          <w:rFonts w:asciiTheme="minorHAnsi" w:hAnsiTheme="minorHAnsi" w:cstheme="minorHAnsi"/>
        </w:rPr>
        <w:t>.</w:t>
      </w:r>
    </w:p>
  </w:footnote>
  <w:footnote w:id="1233">
    <w:p w14:paraId="639435ED" w14:textId="4147ED6C" w:rsidR="00D44BCF" w:rsidRPr="007809F4" w:rsidRDefault="00D44BCF" w:rsidP="00CF52F6">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Or subsequently, if it transpires that the person</w:t>
      </w:r>
      <w:r w:rsidRPr="00EB7F1E">
        <w:rPr>
          <w:rFonts w:asciiTheme="minorHAnsi" w:hAnsiTheme="minorHAnsi" w:cstheme="minorHAnsi"/>
        </w:rPr>
        <w:t xml:space="preserve"> is not fit within the 12 month period, until the court makes an order for detention or release.</w:t>
      </w:r>
    </w:p>
  </w:footnote>
  <w:footnote w:id="1234">
    <w:p w14:paraId="0F3C6C8B" w14:textId="77777777" w:rsidR="00D44BCF" w:rsidRPr="007809F4" w:rsidRDefault="00D44BCF" w:rsidP="00CF52F6">
      <w:pPr>
        <w:pStyle w:val="FootnoteText"/>
        <w:ind w:left="426" w:hanging="426"/>
        <w:jc w:val="both"/>
        <w:rPr>
          <w:rFonts w:asciiTheme="minorHAnsi" w:hAnsiTheme="minorHAnsi" w:cstheme="minorHAnsi"/>
        </w:rPr>
      </w:pPr>
      <w:r w:rsidRPr="007809F4">
        <w:rPr>
          <w:rStyle w:val="FootnoteReference"/>
          <w:rFonts w:asciiTheme="minorHAnsi" w:hAnsiTheme="minorHAnsi" w:cstheme="minorHAnsi"/>
          <w:sz w:val="20"/>
          <w:vertAlign w:val="superscript"/>
        </w:rPr>
        <w:footnoteRef/>
      </w:r>
      <w:r w:rsidRPr="007809F4">
        <w:rPr>
          <w:rFonts w:asciiTheme="minorHAnsi" w:hAnsiTheme="minorHAnsi" w:cstheme="minorHAnsi"/>
        </w:rPr>
        <w:t xml:space="preserve"> </w:t>
      </w:r>
      <w:r w:rsidRPr="007809F4">
        <w:rPr>
          <w:rFonts w:asciiTheme="minorHAnsi" w:hAnsiTheme="minorHAnsi" w:cstheme="minorHAnsi"/>
        </w:rPr>
        <w:tab/>
        <w:t>Or subsequently, if it transpires that the person</w:t>
      </w:r>
      <w:r w:rsidRPr="00EB7F1E">
        <w:rPr>
          <w:rFonts w:asciiTheme="minorHAnsi" w:hAnsiTheme="minorHAnsi" w:cstheme="minorHAnsi"/>
        </w:rPr>
        <w:t xml:space="preserve"> is not fit within the 12 month period, until the court makes an order for detention or release.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0EE9A3" w14:textId="060924CE" w:rsidR="00D44BCF" w:rsidRPr="004F2343" w:rsidRDefault="00D44BCF">
    <w:pPr>
      <w:pStyle w:val="Header"/>
      <w:framePr w:wrap="around" w:vAnchor="text" w:hAnchor="margin" w:xAlign="center" w:y="1"/>
      <w:rPr>
        <w:rStyle w:val="PageNumber"/>
        <w:rFonts w:ascii="Calibri" w:hAnsi="Calibri"/>
      </w:rPr>
    </w:pPr>
    <w:r w:rsidRPr="004F2343">
      <w:rPr>
        <w:rStyle w:val="PageNumber"/>
        <w:rFonts w:ascii="Calibri" w:hAnsi="Calibri"/>
      </w:rPr>
      <w:fldChar w:fldCharType="begin"/>
    </w:r>
    <w:r w:rsidRPr="004F2343">
      <w:rPr>
        <w:rStyle w:val="PageNumber"/>
        <w:rFonts w:ascii="Calibri" w:hAnsi="Calibri"/>
      </w:rPr>
      <w:instrText xml:space="preserve">PAGE  </w:instrText>
    </w:r>
    <w:r w:rsidRPr="004F2343">
      <w:rPr>
        <w:rStyle w:val="PageNumber"/>
        <w:rFonts w:ascii="Calibri" w:hAnsi="Calibri"/>
      </w:rPr>
      <w:fldChar w:fldCharType="separate"/>
    </w:r>
    <w:r w:rsidRPr="004F2343">
      <w:rPr>
        <w:rStyle w:val="PageNumber"/>
        <w:rFonts w:ascii="Calibri" w:hAnsi="Calibri"/>
        <w:noProof/>
      </w:rPr>
      <w:t>196</w:t>
    </w:r>
    <w:r w:rsidRPr="004F2343">
      <w:rPr>
        <w:rStyle w:val="PageNumber"/>
        <w:rFonts w:ascii="Calibri" w:hAnsi="Calibri"/>
      </w:rPr>
      <w:fldChar w:fldCharType="end"/>
    </w:r>
  </w:p>
  <w:p w14:paraId="0525B8E2" w14:textId="77777777" w:rsidR="00D44BCF" w:rsidRPr="004F2343" w:rsidRDefault="00D44BCF">
    <w:pPr>
      <w:pStyle w:val="Header"/>
      <w:rPr>
        <w:rFonts w:ascii="Calibri" w:hAnsi="Calibri"/>
      </w:rPr>
    </w:pPr>
  </w:p>
  <w:p w14:paraId="13325F17" w14:textId="77777777" w:rsidR="00D44BCF" w:rsidRPr="004F2343" w:rsidRDefault="00D44BCF">
    <w:pPr>
      <w:pStyle w:val="Header"/>
      <w:rPr>
        <w:rFonts w:ascii="Calibri" w:hAnsi="Calibri"/>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12CC45" w14:textId="1591ED29" w:rsidR="00D44BCF" w:rsidRDefault="00D44BCF" w:rsidP="00553F36">
    <w:pPr>
      <w:pStyle w:val="Header"/>
    </w:pPr>
    <w:r>
      <w:rPr>
        <w:noProof/>
      </w:rPr>
      <w:fldChar w:fldCharType="begin"/>
    </w:r>
    <w:r>
      <w:rPr>
        <w:noProof/>
      </w:rPr>
      <w:instrText xml:space="preserve"> STYLEREF  "Heading 1"  \* MERGEFORMAT </w:instrText>
    </w:r>
    <w:r>
      <w:rPr>
        <w:noProof/>
      </w:rPr>
      <w:fldChar w:fldCharType="separate"/>
    </w:r>
    <w:r>
      <w:rPr>
        <w:noProof/>
      </w:rPr>
      <w:t>Scope ofAbout this guide</w:t>
    </w:r>
    <w:r>
      <w:rPr>
        <w:noProof/>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168509" w14:textId="722DE032" w:rsidR="00D44BCF" w:rsidRDefault="00D44BCF" w:rsidP="00837228">
    <w:pPr>
      <w:tabs>
        <w:tab w:val="right" w:pos="9639"/>
      </w:tabs>
      <w:ind w:right="-1"/>
      <w:rPr>
        <w:b/>
        <w:color w:val="000000" w:themeColor="text1"/>
        <w:sz w:val="24"/>
        <w:szCs w:val="24"/>
      </w:rPr>
    </w:pPr>
    <w:r>
      <w:rPr>
        <w:b/>
        <w:color w:val="000000" w:themeColor="text1"/>
        <w:sz w:val="24"/>
        <w:szCs w:val="24"/>
      </w:rPr>
      <w:tab/>
      <w:t>Sentencing of Federal Offenders in Australia: a guide for practitioners</w:t>
    </w:r>
  </w:p>
  <w:p w14:paraId="48FA71D3" w14:textId="6D9F53C8" w:rsidR="00D44BCF" w:rsidRPr="00837228" w:rsidRDefault="00D44BCF" w:rsidP="00837228">
    <w:pPr>
      <w:pBdr>
        <w:bottom w:val="single" w:sz="4" w:space="1" w:color="auto"/>
      </w:pBdr>
      <w:tabs>
        <w:tab w:val="right" w:pos="9639"/>
      </w:tabs>
      <w:ind w:right="-1"/>
      <w:jc w:val="right"/>
      <w:rPr>
        <w:rFonts w:asciiTheme="minorHAnsi" w:hAnsiTheme="minorHAnsi"/>
        <w:b/>
        <w:color w:val="000000" w:themeColor="text1"/>
        <w:szCs w:val="22"/>
      </w:rPr>
    </w:pPr>
    <w:r>
      <w:rPr>
        <w:noProof/>
      </w:rPr>
      <w:fldChar w:fldCharType="begin"/>
    </w:r>
    <w:r>
      <w:rPr>
        <w:noProof/>
      </w:rPr>
      <w:instrText xml:space="preserve"> STYLEREF  "Heading 1"  \* MERGEFORMAT </w:instrText>
    </w:r>
    <w:r>
      <w:rPr>
        <w:noProof/>
      </w:rPr>
      <w:fldChar w:fldCharType="separate"/>
    </w:r>
    <w:r w:rsidR="007F481E">
      <w:rPr>
        <w:noProof/>
      </w:rPr>
      <w:t>Appendix 5: Fitness to plead and fitness to be tried: procedures and orders</w:t>
    </w:r>
    <w:r>
      <w:rPr>
        <w:noProof/>
      </w:rPr>
      <w:fldChar w:fldCharType="end"/>
    </w:r>
    <w:r>
      <w:rPr>
        <w:rFonts w:asciiTheme="minorHAnsi" w:hAnsiTheme="minorHAnsi"/>
        <w:b/>
        <w:color w:val="000000" w:themeColor="text1"/>
        <w:szCs w:val="22"/>
      </w:rPr>
      <w:t xml:space="preserve"> </w:t>
    </w:r>
  </w:p>
  <w:p w14:paraId="4AED9766" w14:textId="77777777" w:rsidR="00D44BCF" w:rsidRDefault="00D44BCF" w:rsidP="00837228">
    <w:pPr>
      <w:pStyle w:val="Header"/>
    </w:pPr>
  </w:p>
  <w:p w14:paraId="17D6058A" w14:textId="77777777" w:rsidR="00D44BCF" w:rsidRPr="00A64D5B" w:rsidRDefault="00D44BCF" w:rsidP="00A64D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45CD61" w14:textId="77777777" w:rsidR="00D44BCF" w:rsidRDefault="00D44BCF">
    <w:pPr>
      <w:pStyle w:val="Header"/>
      <w:jc w:val="center"/>
    </w:pPr>
    <w:r>
      <w:rPr>
        <w:noProof/>
        <w:lang w:eastAsia="en-AU"/>
      </w:rPr>
      <w:drawing>
        <wp:anchor distT="0" distB="0" distL="114300" distR="114300" simplePos="0" relativeHeight="251655680" behindDoc="1" locked="0" layoutInCell="1" allowOverlap="1" wp14:anchorId="4BDD0DC1" wp14:editId="7A65894A">
          <wp:simplePos x="0" y="0"/>
          <wp:positionH relativeFrom="column">
            <wp:posOffset>-901700</wp:posOffset>
          </wp:positionH>
          <wp:positionV relativeFrom="page">
            <wp:posOffset>-22860</wp:posOffset>
          </wp:positionV>
          <wp:extent cx="7579961" cy="10718800"/>
          <wp:effectExtent l="0" t="0" r="0" b="0"/>
          <wp:wrapNone/>
          <wp:docPr id="5" name="Picture 5" descr="Macintosh HD 2:CDPP: 0129_Cover templates:Gold:0129_Cover template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 2:CDPP: 0129_Cover templates:Gold:0129_Cover templates_v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9961" cy="10718800"/>
                  </a:xfrm>
                  <a:prstGeom prst="rect">
                    <a:avLst/>
                  </a:prstGeom>
                  <a:noFill/>
                  <a:ln>
                    <a:noFill/>
                  </a:ln>
                  <a:extLst>
                    <a:ext uri="{FAA26D3D-D897-4be2-8F04-BA451C77F1D7}">
                      <ma14:placeholder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ve="http://schemas.openxmlformats.org/markup-compatibility/2006"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4F14F" w14:textId="31CEAD92" w:rsidR="00D44BCF" w:rsidRPr="004B0600" w:rsidRDefault="00D44BCF" w:rsidP="00553F36">
    <w:pPr>
      <w:ind w:right="-1"/>
      <w:jc w:val="right"/>
      <w:rPr>
        <w:b/>
        <w:color w:val="000000" w:themeColor="text1"/>
        <w:sz w:val="24"/>
        <w:szCs w:val="24"/>
      </w:rPr>
    </w:pPr>
    <w:r>
      <w:rPr>
        <w:b/>
        <w:color w:val="000000" w:themeColor="text1"/>
        <w:sz w:val="24"/>
        <w:szCs w:val="24"/>
      </w:rPr>
      <w:t>Sentencing of Federal Offenders in Australia: a guide for practitioners</w:t>
    </w:r>
  </w:p>
  <w:p w14:paraId="577A5ECE" w14:textId="7E079F90" w:rsidR="00D44BCF" w:rsidRDefault="00D44BCF" w:rsidP="00553F36">
    <w:pPr>
      <w:pStyle w:val="Header"/>
    </w:pPr>
    <w:r>
      <w:rPr>
        <w:noProof/>
        <w:lang w:eastAsia="en-AU"/>
      </w:rPr>
      <mc:AlternateContent>
        <mc:Choice Requires="wps">
          <w:drawing>
            <wp:anchor distT="4294967295" distB="4294967295" distL="114300" distR="114300" simplePos="0" relativeHeight="251656704" behindDoc="0" locked="0" layoutInCell="1" allowOverlap="1" wp14:anchorId="2450D678" wp14:editId="31794849">
              <wp:simplePos x="0" y="0"/>
              <wp:positionH relativeFrom="column">
                <wp:posOffset>0</wp:posOffset>
              </wp:positionH>
              <wp:positionV relativeFrom="paragraph">
                <wp:posOffset>12064</wp:posOffset>
              </wp:positionV>
              <wp:extent cx="5943600" cy="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43600" cy="0"/>
                      </a:xfrm>
                      <a:prstGeom prst="line">
                        <a:avLst/>
                      </a:prstGeom>
                      <a:ln w="12700">
                        <a:solidFill>
                          <a:srgbClr val="8D7252"/>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8394133" id="Straight Connector 3" o:spid="_x0000_s1026" style="position:absolute;flip:x;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95pt" to="468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" strokecolor="#8d7252" strokeweight="1pt">
              <o:lock v:ext="edit" shapetype="f"/>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56D865" w14:textId="7C63D5F9" w:rsidR="00D44BCF" w:rsidRDefault="00D44BCF" w:rsidP="0021567C">
    <w:pPr>
      <w:ind w:right="-1"/>
      <w:jc w:val="right"/>
      <w:rPr>
        <w:b/>
        <w:color w:val="000000" w:themeColor="text1"/>
        <w:sz w:val="24"/>
        <w:szCs w:val="24"/>
      </w:rPr>
    </w:pPr>
    <w:r>
      <w:rPr>
        <w:b/>
        <w:color w:val="000000" w:themeColor="text1"/>
        <w:sz w:val="24"/>
        <w:szCs w:val="24"/>
      </w:rPr>
      <w:t>Sentencing of Federal Offenders in Australia: a guide for practitioners</w:t>
    </w:r>
  </w:p>
  <w:p w14:paraId="1D149AF5" w14:textId="76FF9A16" w:rsidR="00D44BCF" w:rsidRPr="00EB7F1E" w:rsidRDefault="00D44BCF" w:rsidP="0021567C">
    <w:pPr>
      <w:ind w:right="-1"/>
      <w:jc w:val="right"/>
      <w:rPr>
        <w:bCs/>
        <w:color w:val="000000" w:themeColor="text1"/>
        <w:sz w:val="24"/>
        <w:szCs w:val="24"/>
      </w:rPr>
    </w:pPr>
    <w:r w:rsidRPr="00EB7F1E">
      <w:rPr>
        <w:bCs/>
        <w:color w:val="000000" w:themeColor="text1"/>
        <w:sz w:val="24"/>
        <w:szCs w:val="24"/>
      </w:rPr>
      <w:t>Table of contents</w:t>
    </w:r>
  </w:p>
  <w:p w14:paraId="79B850A3" w14:textId="77777777" w:rsidR="00D44BCF" w:rsidRDefault="00D44BCF" w:rsidP="0021567C">
    <w:pPr>
      <w:pStyle w:val="Header"/>
    </w:pPr>
    <w:r>
      <w:rPr>
        <w:noProof/>
        <w:lang w:eastAsia="en-AU"/>
      </w:rPr>
      <mc:AlternateContent>
        <mc:Choice Requires="wps">
          <w:drawing>
            <wp:anchor distT="4294967295" distB="4294967295" distL="114300" distR="114300" simplePos="0" relativeHeight="251659776" behindDoc="0" locked="0" layoutInCell="1" allowOverlap="1" wp14:anchorId="2EFA7507" wp14:editId="7BB6B86A">
              <wp:simplePos x="0" y="0"/>
              <wp:positionH relativeFrom="column">
                <wp:posOffset>0</wp:posOffset>
              </wp:positionH>
              <wp:positionV relativeFrom="paragraph">
                <wp:posOffset>12064</wp:posOffset>
              </wp:positionV>
              <wp:extent cx="594360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43600" cy="0"/>
                      </a:xfrm>
                      <a:prstGeom prst="line">
                        <a:avLst/>
                      </a:prstGeom>
                      <a:ln w="12700">
                        <a:solidFill>
                          <a:srgbClr val="8D7252"/>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26EDE5F" id="Straight Connector 2" o:spid="_x0000_s1026" style="position:absolute;flip:x;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95pt" to="468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" strokecolor="#8d7252" strokeweight="1pt">
              <o:lock v:ext="edit" shapetype="f"/>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DCD5AA" w14:textId="1B6E39EC" w:rsidR="00D44BCF" w:rsidRPr="0021567C" w:rsidRDefault="00D44BCF" w:rsidP="0021567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51DFD9" w14:textId="3CDBFE35" w:rsidR="00D44BCF" w:rsidRPr="00AE5F1C" w:rsidRDefault="00D44BCF" w:rsidP="00AE5F1C">
    <w:pPr>
      <w:ind w:right="-1"/>
      <w:jc w:val="right"/>
      <w:rPr>
        <w:b/>
        <w:color w:val="000000" w:themeColor="text1"/>
        <w:szCs w:val="22"/>
      </w:rPr>
    </w:pPr>
    <w:r>
      <w:rPr>
        <w:b/>
        <w:color w:val="000000" w:themeColor="text1"/>
        <w:sz w:val="24"/>
        <w:szCs w:val="24"/>
      </w:rPr>
      <w:t>Sentencing of Federal Offenders in Australia: a guide for practitioners</w:t>
    </w:r>
  </w:p>
  <w:p w14:paraId="109F306D" w14:textId="1B5EEADF" w:rsidR="00D44BCF" w:rsidRPr="00837228" w:rsidRDefault="00D44BCF" w:rsidP="00837228">
    <w:pPr>
      <w:pBdr>
        <w:bottom w:val="single" w:sz="4" w:space="1" w:color="auto"/>
      </w:pBdr>
      <w:tabs>
        <w:tab w:val="right" w:pos="9639"/>
      </w:tabs>
      <w:ind w:right="-1"/>
      <w:jc w:val="right"/>
      <w:rPr>
        <w:rFonts w:asciiTheme="minorHAnsi" w:hAnsiTheme="minorHAnsi"/>
        <w:b/>
        <w:color w:val="000000" w:themeColor="text1"/>
        <w:szCs w:val="22"/>
      </w:rPr>
    </w:pPr>
    <w:r>
      <w:rPr>
        <w:noProof/>
      </w:rPr>
      <w:t>Table of Authorities</w:t>
    </w:r>
  </w:p>
  <w:p w14:paraId="4611812A" w14:textId="77777777" w:rsidR="00D44BCF" w:rsidRDefault="00D44BCF" w:rsidP="0083722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3EF66" w14:textId="77777777" w:rsidR="00D44BCF" w:rsidRPr="004B0600" w:rsidRDefault="00D44BCF" w:rsidP="006B292C">
    <w:pPr>
      <w:ind w:right="-1"/>
      <w:jc w:val="right"/>
      <w:rPr>
        <w:b/>
        <w:color w:val="000000" w:themeColor="text1"/>
        <w:sz w:val="24"/>
        <w:szCs w:val="24"/>
      </w:rPr>
    </w:pPr>
    <w:r>
      <w:rPr>
        <w:b/>
        <w:color w:val="000000" w:themeColor="text1"/>
        <w:sz w:val="24"/>
        <w:szCs w:val="24"/>
      </w:rPr>
      <w:t>Sentencing of Federal Offenders in Australia: a guide for practitioners</w:t>
    </w:r>
  </w:p>
  <w:p w14:paraId="417AB061" w14:textId="236521B0" w:rsidR="00D44BCF" w:rsidRDefault="00D44BCF" w:rsidP="00EB7F1E">
    <w:pPr>
      <w:pStyle w:val="Header"/>
      <w:jc w:val="right"/>
    </w:pPr>
    <w:r>
      <w:rPr>
        <w:noProof/>
      </w:rPr>
      <w:t>Table of authorities</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0235F" w14:textId="77777777" w:rsidR="00D44BCF" w:rsidRDefault="00D44BCF">
    <w:pPr>
      <w:pStyle w:val="Header"/>
    </w:pPr>
  </w:p>
  <w:p w14:paraId="4959D9F0" w14:textId="77777777" w:rsidR="00D44BCF" w:rsidRDefault="00D44BCF"/>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3E18EB" w14:textId="2B17D736" w:rsidR="00D44BCF" w:rsidRDefault="00D44BCF" w:rsidP="00837228">
    <w:pPr>
      <w:tabs>
        <w:tab w:val="right" w:pos="9639"/>
      </w:tabs>
      <w:ind w:right="-1"/>
      <w:rPr>
        <w:b/>
        <w:color w:val="000000" w:themeColor="text1"/>
        <w:sz w:val="24"/>
        <w:szCs w:val="24"/>
      </w:rPr>
    </w:pPr>
    <w:r>
      <w:rPr>
        <w:b/>
        <w:color w:val="000000" w:themeColor="text1"/>
        <w:sz w:val="24"/>
        <w:szCs w:val="24"/>
      </w:rPr>
      <w:tab/>
      <w:t>Sentencing of Federal Offenders in Australia: a guide for practitioners</w:t>
    </w:r>
  </w:p>
  <w:p w14:paraId="5E4EF1D2" w14:textId="2045D2C4" w:rsidR="00D44BCF" w:rsidRPr="00837228" w:rsidRDefault="00D44BCF" w:rsidP="00837228">
    <w:pPr>
      <w:pBdr>
        <w:bottom w:val="single" w:sz="4" w:space="1" w:color="auto"/>
      </w:pBdr>
      <w:tabs>
        <w:tab w:val="right" w:pos="9639"/>
      </w:tabs>
      <w:ind w:right="-1"/>
      <w:jc w:val="right"/>
      <w:rPr>
        <w:rFonts w:asciiTheme="minorHAnsi" w:hAnsiTheme="minorHAnsi"/>
        <w:b/>
        <w:color w:val="000000" w:themeColor="text1"/>
        <w:szCs w:val="22"/>
      </w:rPr>
    </w:pPr>
    <w:r>
      <w:rPr>
        <w:noProof/>
      </w:rPr>
      <w:fldChar w:fldCharType="begin"/>
    </w:r>
    <w:r>
      <w:rPr>
        <w:noProof/>
      </w:rPr>
      <w:instrText xml:space="preserve"> STYLEREF  "Heading 1"  \* MERGEFORMAT </w:instrText>
    </w:r>
    <w:r>
      <w:rPr>
        <w:noProof/>
      </w:rPr>
      <w:fldChar w:fldCharType="separate"/>
    </w:r>
    <w:r w:rsidR="007F481E">
      <w:rPr>
        <w:noProof/>
      </w:rPr>
      <w:t>Sentencing factors</w:t>
    </w:r>
    <w:r>
      <w:rPr>
        <w:noProof/>
      </w:rPr>
      <w:fldChar w:fldCharType="end"/>
    </w:r>
    <w:r>
      <w:rPr>
        <w:rFonts w:asciiTheme="minorHAnsi" w:hAnsiTheme="minorHAnsi"/>
        <w:b/>
        <w:color w:val="000000" w:themeColor="text1"/>
        <w:szCs w:val="22"/>
      </w:rPr>
      <w:t xml:space="preserve"> </w:t>
    </w:r>
  </w:p>
  <w:p w14:paraId="159FF3D0" w14:textId="77777777" w:rsidR="00D44BCF" w:rsidRDefault="00D44BCF" w:rsidP="00837228">
    <w:pPr>
      <w:pStyle w:val="Header"/>
    </w:pPr>
  </w:p>
  <w:p w14:paraId="345922F8" w14:textId="77777777" w:rsidR="00D44BCF" w:rsidRPr="00A64D5B" w:rsidRDefault="00D44BCF" w:rsidP="00A64D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DE0E3C52"/>
    <w:lvl w:ilvl="0">
      <w:start w:val="1"/>
      <w:numFmt w:val="decimal"/>
      <w:lvlText w:val="%1"/>
      <w:lvlJc w:val="left"/>
      <w:pPr>
        <w:tabs>
          <w:tab w:val="num" w:pos="720"/>
        </w:tabs>
        <w:ind w:left="720" w:hanging="720"/>
      </w:pPr>
      <w:rPr>
        <w:rFonts w:hint="default"/>
        <w:b w:val="0"/>
        <w:bCs w:val="0"/>
        <w:i w:val="0"/>
        <w:iCs w:val="0"/>
      </w:rPr>
    </w:lvl>
    <w:lvl w:ilvl="1">
      <w:start w:val="1"/>
      <w:numFmt w:val="lowerLetter"/>
      <w:lvlText w:val="%2"/>
      <w:lvlJc w:val="left"/>
      <w:pPr>
        <w:tabs>
          <w:tab w:val="num" w:pos="0"/>
        </w:tabs>
        <w:ind w:left="1440" w:hanging="720"/>
      </w:pPr>
      <w:rPr>
        <w:rFonts w:hint="default"/>
      </w:rPr>
    </w:lvl>
    <w:lvl w:ilvl="2">
      <w:start w:val="1"/>
      <w:numFmt w:val="lowerRoman"/>
      <w:lvlText w:val="%3."/>
      <w:lvlJc w:val="left"/>
      <w:pPr>
        <w:tabs>
          <w:tab w:val="num" w:pos="0"/>
        </w:tabs>
        <w:ind w:left="2160" w:hanging="720"/>
      </w:pPr>
      <w:rPr>
        <w:rFonts w:hint="default"/>
      </w:rPr>
    </w:lvl>
    <w:lvl w:ilvl="3">
      <w:start w:val="1"/>
      <w:numFmt w:val="lowerLetter"/>
      <w:lvlText w:val="%4)"/>
      <w:lvlJc w:val="left"/>
      <w:pPr>
        <w:tabs>
          <w:tab w:val="num" w:pos="0"/>
        </w:tabs>
        <w:ind w:left="2880" w:hanging="720"/>
      </w:pPr>
      <w:rPr>
        <w:rFonts w:hint="default"/>
      </w:rPr>
    </w:lvl>
    <w:lvl w:ilvl="4">
      <w:start w:val="1"/>
      <w:numFmt w:val="decimal"/>
      <w:lvlText w:val="%5"/>
      <w:lvlJc w:val="left"/>
      <w:pPr>
        <w:tabs>
          <w:tab w:val="num" w:pos="0"/>
        </w:tabs>
        <w:ind w:left="3600" w:hanging="720"/>
      </w:pPr>
      <w:rPr>
        <w:rFonts w:hint="default"/>
      </w:rPr>
    </w:lvl>
    <w:lvl w:ilvl="5">
      <w:start w:val="1"/>
      <w:numFmt w:val="lowerLetter"/>
      <w:lvlText w:val="%6"/>
      <w:lvlJc w:val="left"/>
      <w:pPr>
        <w:tabs>
          <w:tab w:val="num" w:pos="0"/>
        </w:tabs>
        <w:ind w:left="4320" w:hanging="720"/>
      </w:pPr>
      <w:rPr>
        <w:rFonts w:hint="default"/>
      </w:rPr>
    </w:lvl>
    <w:lvl w:ilvl="6">
      <w:start w:val="1"/>
      <w:numFmt w:val="lowerRoman"/>
      <w:lvlText w:val="%7"/>
      <w:lvlJc w:val="left"/>
      <w:pPr>
        <w:tabs>
          <w:tab w:val="num" w:pos="0"/>
        </w:tabs>
        <w:ind w:left="5040" w:hanging="720"/>
      </w:pPr>
      <w:rPr>
        <w:rFonts w:hint="default"/>
      </w:rPr>
    </w:lvl>
    <w:lvl w:ilvl="7">
      <w:start w:val="1"/>
      <w:numFmt w:val="lowerLetter"/>
      <w:lvlText w:val="(%8)"/>
      <w:lvlJc w:val="left"/>
      <w:pPr>
        <w:tabs>
          <w:tab w:val="num" w:pos="0"/>
        </w:tabs>
        <w:ind w:left="5760" w:hanging="720"/>
      </w:pPr>
      <w:rPr>
        <w:rFonts w:hint="default"/>
      </w:rPr>
    </w:lvl>
    <w:lvl w:ilvl="8">
      <w:start w:val="1"/>
      <w:numFmt w:val="lowerRoman"/>
      <w:lvlText w:val="(%9)"/>
      <w:lvlJc w:val="left"/>
      <w:pPr>
        <w:tabs>
          <w:tab w:val="num" w:pos="0"/>
        </w:tabs>
        <w:ind w:left="6480" w:hanging="720"/>
      </w:pPr>
      <w:rPr>
        <w:rFonts w:hint="default"/>
      </w:rPr>
    </w:lvl>
  </w:abstractNum>
  <w:abstractNum w:abstractNumId="1" w15:restartNumberingAfterBreak="0">
    <w:nsid w:val="00AC64C9"/>
    <w:multiLevelType w:val="multilevel"/>
    <w:tmpl w:val="5DB0B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4B4ADE"/>
    <w:multiLevelType w:val="hybridMultilevel"/>
    <w:tmpl w:val="E5EC0DBE"/>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5A7B58"/>
    <w:multiLevelType w:val="multilevel"/>
    <w:tmpl w:val="7CCAB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0A68F8"/>
    <w:multiLevelType w:val="hybridMultilevel"/>
    <w:tmpl w:val="7FE62F46"/>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726F38"/>
    <w:multiLevelType w:val="hybridMultilevel"/>
    <w:tmpl w:val="0C22BBCE"/>
    <w:lvl w:ilvl="0" w:tplc="977C0E66">
      <w:start w:val="1"/>
      <w:numFmt w:val="decimal"/>
      <w:lvlText w:val="%1."/>
      <w:lvlJc w:val="left"/>
      <w:pPr>
        <w:ind w:left="720" w:hanging="360"/>
      </w:pPr>
      <w:rPr>
        <w:rFonts w:hint="default"/>
        <w:b w:val="0"/>
        <w:i w:val="0"/>
        <w:color w:val="auto"/>
        <w:sz w:val="22"/>
        <w:szCs w:val="22"/>
      </w:rPr>
    </w:lvl>
    <w:lvl w:ilvl="1" w:tplc="3904BE4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7C1086"/>
    <w:multiLevelType w:val="hybridMultilevel"/>
    <w:tmpl w:val="93824838"/>
    <w:lvl w:ilvl="0" w:tplc="BB7618C0">
      <w:start w:val="1"/>
      <w:numFmt w:val="decimal"/>
      <w:lvlText w:val="%1."/>
      <w:lvlJc w:val="left"/>
      <w:pPr>
        <w:ind w:left="567" w:hanging="360"/>
      </w:pPr>
      <w:rPr>
        <w:b w:val="0"/>
        <w:i w:val="0"/>
        <w:color w:val="auto"/>
        <w:sz w:val="22"/>
        <w:szCs w:val="22"/>
      </w:rPr>
    </w:lvl>
    <w:lvl w:ilvl="1" w:tplc="0C090001">
      <w:start w:val="1"/>
      <w:numFmt w:val="bullet"/>
      <w:lvlText w:val=""/>
      <w:lvlJc w:val="left"/>
      <w:pPr>
        <w:ind w:left="1505" w:hanging="360"/>
      </w:pPr>
      <w:rPr>
        <w:rFonts w:ascii="Symbol" w:hAnsi="Symbol" w:hint="default"/>
      </w:rPr>
    </w:lvl>
    <w:lvl w:ilvl="2" w:tplc="7542C074">
      <w:start w:val="1"/>
      <w:numFmt w:val="lowerRoman"/>
      <w:lvlText w:val="%3."/>
      <w:lvlJc w:val="right"/>
      <w:pPr>
        <w:ind w:left="2225" w:hanging="180"/>
      </w:pPr>
      <w:rPr>
        <w:color w:val="auto"/>
      </w:rPr>
    </w:lvl>
    <w:lvl w:ilvl="3" w:tplc="BEA4394E">
      <w:start w:val="1"/>
      <w:numFmt w:val="lowerRoman"/>
      <w:lvlText w:val="(%4)"/>
      <w:lvlJc w:val="left"/>
      <w:pPr>
        <w:ind w:left="3305" w:hanging="720"/>
      </w:pPr>
      <w:rPr>
        <w:rFonts w:hint="default"/>
      </w:rPr>
    </w:lvl>
    <w:lvl w:ilvl="4" w:tplc="0C090019" w:tentative="1">
      <w:start w:val="1"/>
      <w:numFmt w:val="lowerLetter"/>
      <w:lvlText w:val="%5."/>
      <w:lvlJc w:val="left"/>
      <w:pPr>
        <w:ind w:left="3665" w:hanging="360"/>
      </w:pPr>
    </w:lvl>
    <w:lvl w:ilvl="5" w:tplc="0C09001B" w:tentative="1">
      <w:start w:val="1"/>
      <w:numFmt w:val="lowerRoman"/>
      <w:lvlText w:val="%6."/>
      <w:lvlJc w:val="right"/>
      <w:pPr>
        <w:ind w:left="4385" w:hanging="180"/>
      </w:pPr>
    </w:lvl>
    <w:lvl w:ilvl="6" w:tplc="0C09000F" w:tentative="1">
      <w:start w:val="1"/>
      <w:numFmt w:val="decimal"/>
      <w:lvlText w:val="%7."/>
      <w:lvlJc w:val="left"/>
      <w:pPr>
        <w:ind w:left="5105" w:hanging="360"/>
      </w:pPr>
    </w:lvl>
    <w:lvl w:ilvl="7" w:tplc="0C090019" w:tentative="1">
      <w:start w:val="1"/>
      <w:numFmt w:val="lowerLetter"/>
      <w:lvlText w:val="%8."/>
      <w:lvlJc w:val="left"/>
      <w:pPr>
        <w:ind w:left="5825" w:hanging="360"/>
      </w:pPr>
    </w:lvl>
    <w:lvl w:ilvl="8" w:tplc="0C09001B" w:tentative="1">
      <w:start w:val="1"/>
      <w:numFmt w:val="lowerRoman"/>
      <w:lvlText w:val="%9."/>
      <w:lvlJc w:val="right"/>
      <w:pPr>
        <w:ind w:left="6545" w:hanging="180"/>
      </w:pPr>
    </w:lvl>
  </w:abstractNum>
  <w:abstractNum w:abstractNumId="7" w15:restartNumberingAfterBreak="0">
    <w:nsid w:val="04212704"/>
    <w:multiLevelType w:val="hybridMultilevel"/>
    <w:tmpl w:val="156E7AB8"/>
    <w:lvl w:ilvl="0" w:tplc="0830718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51F2003"/>
    <w:multiLevelType w:val="hybridMultilevel"/>
    <w:tmpl w:val="FA4E385C"/>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06232A40"/>
    <w:multiLevelType w:val="hybridMultilevel"/>
    <w:tmpl w:val="4F80753A"/>
    <w:lvl w:ilvl="0" w:tplc="977C0E66">
      <w:start w:val="1"/>
      <w:numFmt w:val="decimal"/>
      <w:lvlText w:val="%1."/>
      <w:lvlJc w:val="left"/>
      <w:pPr>
        <w:ind w:left="720" w:hanging="360"/>
      </w:pPr>
      <w:rPr>
        <w:rFonts w:hint="default"/>
        <w:b w:val="0"/>
        <w:i w:val="0"/>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6911ADA"/>
    <w:multiLevelType w:val="hybridMultilevel"/>
    <w:tmpl w:val="C498B402"/>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064FBD"/>
    <w:multiLevelType w:val="hybridMultilevel"/>
    <w:tmpl w:val="B27E2182"/>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DD01E3"/>
    <w:multiLevelType w:val="multilevel"/>
    <w:tmpl w:val="360A9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A9D610E"/>
    <w:multiLevelType w:val="hybridMultilevel"/>
    <w:tmpl w:val="367811DE"/>
    <w:lvl w:ilvl="0" w:tplc="5FFA70E8">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0AF4731F"/>
    <w:multiLevelType w:val="hybridMultilevel"/>
    <w:tmpl w:val="1938DBA6"/>
    <w:lvl w:ilvl="0" w:tplc="977C0E66">
      <w:start w:val="1"/>
      <w:numFmt w:val="decimal"/>
      <w:lvlText w:val="%1."/>
      <w:lvlJc w:val="left"/>
      <w:pPr>
        <w:ind w:left="720" w:hanging="360"/>
      </w:pPr>
      <w:rPr>
        <w:rFonts w:hint="default"/>
        <w:b w:val="0"/>
        <w:i w:val="0"/>
        <w:color w:val="auto"/>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0C695472"/>
    <w:multiLevelType w:val="hybridMultilevel"/>
    <w:tmpl w:val="0CD6E378"/>
    <w:lvl w:ilvl="0" w:tplc="758C0A50">
      <w:start w:val="1"/>
      <w:numFmt w:val="lowerLetter"/>
      <w:lvlText w:val="(%1)"/>
      <w:lvlJc w:val="left"/>
      <w:pPr>
        <w:ind w:left="1800" w:hanging="360"/>
      </w:pPr>
      <w:rPr>
        <w:rFonts w:hint="default"/>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16" w15:restartNumberingAfterBreak="0">
    <w:nsid w:val="0D714DE6"/>
    <w:multiLevelType w:val="hybridMultilevel"/>
    <w:tmpl w:val="84AAFA20"/>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157F37"/>
    <w:multiLevelType w:val="hybridMultilevel"/>
    <w:tmpl w:val="80582AA2"/>
    <w:lvl w:ilvl="0" w:tplc="A4002D38">
      <w:start w:val="1"/>
      <w:numFmt w:val="decimal"/>
      <w:lvlText w:val="%1."/>
      <w:lvlJc w:val="left"/>
      <w:pPr>
        <w:ind w:left="720" w:hanging="360"/>
      </w:pPr>
      <w:rPr>
        <w:rFonts w:hint="default"/>
        <w:b w:val="0"/>
        <w:i w:val="0"/>
        <w:color w:val="auto"/>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0ED061A3"/>
    <w:multiLevelType w:val="hybridMultilevel"/>
    <w:tmpl w:val="06B49BFA"/>
    <w:lvl w:ilvl="0" w:tplc="F1225A50">
      <w:start w:val="1"/>
      <w:numFmt w:val="decimal"/>
      <w:lvlText w:val="%1."/>
      <w:lvlJc w:val="left"/>
      <w:pPr>
        <w:ind w:left="720" w:hanging="360"/>
      </w:pPr>
      <w:rPr>
        <w:rFonts w:hint="default"/>
        <w:b w:val="0"/>
        <w:i w:val="0"/>
        <w:color w:val="auto"/>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0EF51081"/>
    <w:multiLevelType w:val="hybridMultilevel"/>
    <w:tmpl w:val="D500EE94"/>
    <w:lvl w:ilvl="0" w:tplc="2DCC518E">
      <w:start w:val="1"/>
      <w:numFmt w:val="bullet"/>
      <w:lvlText w:val="•"/>
      <w:lvlJc w:val="left"/>
      <w:pPr>
        <w:tabs>
          <w:tab w:val="num" w:pos="720"/>
        </w:tabs>
        <w:ind w:left="720" w:hanging="360"/>
      </w:pPr>
      <w:rPr>
        <w:rFonts w:ascii="Arial" w:hAnsi="Arial" w:hint="default"/>
      </w:rPr>
    </w:lvl>
    <w:lvl w:ilvl="1" w:tplc="43848758" w:tentative="1">
      <w:start w:val="1"/>
      <w:numFmt w:val="bullet"/>
      <w:lvlText w:val="•"/>
      <w:lvlJc w:val="left"/>
      <w:pPr>
        <w:tabs>
          <w:tab w:val="num" w:pos="1440"/>
        </w:tabs>
        <w:ind w:left="1440" w:hanging="360"/>
      </w:pPr>
      <w:rPr>
        <w:rFonts w:ascii="Arial" w:hAnsi="Arial" w:hint="default"/>
      </w:rPr>
    </w:lvl>
    <w:lvl w:ilvl="2" w:tplc="C0D64806">
      <w:start w:val="1"/>
      <w:numFmt w:val="bullet"/>
      <w:lvlText w:val="•"/>
      <w:lvlJc w:val="left"/>
      <w:pPr>
        <w:tabs>
          <w:tab w:val="num" w:pos="2160"/>
        </w:tabs>
        <w:ind w:left="2160" w:hanging="360"/>
      </w:pPr>
      <w:rPr>
        <w:rFonts w:ascii="Arial" w:hAnsi="Arial" w:hint="default"/>
      </w:rPr>
    </w:lvl>
    <w:lvl w:ilvl="3" w:tplc="74C290B2">
      <w:start w:val="23572"/>
      <w:numFmt w:val="bullet"/>
      <w:lvlText w:val="–"/>
      <w:lvlJc w:val="left"/>
      <w:pPr>
        <w:tabs>
          <w:tab w:val="num" w:pos="2880"/>
        </w:tabs>
        <w:ind w:left="2880" w:hanging="360"/>
      </w:pPr>
      <w:rPr>
        <w:rFonts w:ascii="Arial" w:hAnsi="Arial" w:hint="default"/>
      </w:rPr>
    </w:lvl>
    <w:lvl w:ilvl="4" w:tplc="62AA9742" w:tentative="1">
      <w:start w:val="1"/>
      <w:numFmt w:val="bullet"/>
      <w:lvlText w:val="•"/>
      <w:lvlJc w:val="left"/>
      <w:pPr>
        <w:tabs>
          <w:tab w:val="num" w:pos="3600"/>
        </w:tabs>
        <w:ind w:left="3600" w:hanging="360"/>
      </w:pPr>
      <w:rPr>
        <w:rFonts w:ascii="Arial" w:hAnsi="Arial" w:hint="default"/>
      </w:rPr>
    </w:lvl>
    <w:lvl w:ilvl="5" w:tplc="4ECA040C" w:tentative="1">
      <w:start w:val="1"/>
      <w:numFmt w:val="bullet"/>
      <w:lvlText w:val="•"/>
      <w:lvlJc w:val="left"/>
      <w:pPr>
        <w:tabs>
          <w:tab w:val="num" w:pos="4320"/>
        </w:tabs>
        <w:ind w:left="4320" w:hanging="360"/>
      </w:pPr>
      <w:rPr>
        <w:rFonts w:ascii="Arial" w:hAnsi="Arial" w:hint="default"/>
      </w:rPr>
    </w:lvl>
    <w:lvl w:ilvl="6" w:tplc="C2E0B4B6" w:tentative="1">
      <w:start w:val="1"/>
      <w:numFmt w:val="bullet"/>
      <w:lvlText w:val="•"/>
      <w:lvlJc w:val="left"/>
      <w:pPr>
        <w:tabs>
          <w:tab w:val="num" w:pos="5040"/>
        </w:tabs>
        <w:ind w:left="5040" w:hanging="360"/>
      </w:pPr>
      <w:rPr>
        <w:rFonts w:ascii="Arial" w:hAnsi="Arial" w:hint="default"/>
      </w:rPr>
    </w:lvl>
    <w:lvl w:ilvl="7" w:tplc="27FA0A5E" w:tentative="1">
      <w:start w:val="1"/>
      <w:numFmt w:val="bullet"/>
      <w:lvlText w:val="•"/>
      <w:lvlJc w:val="left"/>
      <w:pPr>
        <w:tabs>
          <w:tab w:val="num" w:pos="5760"/>
        </w:tabs>
        <w:ind w:left="5760" w:hanging="360"/>
      </w:pPr>
      <w:rPr>
        <w:rFonts w:ascii="Arial" w:hAnsi="Arial" w:hint="default"/>
      </w:rPr>
    </w:lvl>
    <w:lvl w:ilvl="8" w:tplc="119E58A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FD10762"/>
    <w:multiLevelType w:val="hybridMultilevel"/>
    <w:tmpl w:val="C7269DFA"/>
    <w:lvl w:ilvl="0" w:tplc="2E944D20">
      <w:start w:val="1"/>
      <w:numFmt w:val="decimal"/>
      <w:lvlText w:val="%1."/>
      <w:lvlJc w:val="left"/>
      <w:pPr>
        <w:ind w:left="720" w:hanging="360"/>
      </w:pPr>
      <w:rPr>
        <w:rFonts w:hint="default"/>
        <w:b w:val="0"/>
        <w:i w:val="0"/>
        <w:color w:val="auto"/>
        <w:sz w:val="22"/>
        <w:szCs w:val="22"/>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12A5778D"/>
    <w:multiLevelType w:val="multilevel"/>
    <w:tmpl w:val="8228A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2E22454"/>
    <w:multiLevelType w:val="hybridMultilevel"/>
    <w:tmpl w:val="6B5E946E"/>
    <w:lvl w:ilvl="0" w:tplc="04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3" w15:restartNumberingAfterBreak="0">
    <w:nsid w:val="13BE1281"/>
    <w:multiLevelType w:val="hybridMultilevel"/>
    <w:tmpl w:val="F3B4F0C6"/>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195B7EAC"/>
    <w:multiLevelType w:val="hybridMultilevel"/>
    <w:tmpl w:val="A91619F6"/>
    <w:lvl w:ilvl="0" w:tplc="E3F26572">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1D3948AF"/>
    <w:multiLevelType w:val="multilevel"/>
    <w:tmpl w:val="6C6E2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1B0C36"/>
    <w:multiLevelType w:val="hybridMultilevel"/>
    <w:tmpl w:val="3AE49328"/>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F786B83"/>
    <w:multiLevelType w:val="hybridMultilevel"/>
    <w:tmpl w:val="874E29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21514595"/>
    <w:multiLevelType w:val="hybridMultilevel"/>
    <w:tmpl w:val="32F0A02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21ED3144"/>
    <w:multiLevelType w:val="hybridMultilevel"/>
    <w:tmpl w:val="156E7AB8"/>
    <w:lvl w:ilvl="0" w:tplc="0830718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22D33DDF"/>
    <w:multiLevelType w:val="hybridMultilevel"/>
    <w:tmpl w:val="A25C3FD0"/>
    <w:lvl w:ilvl="0" w:tplc="43D23986">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24300D73"/>
    <w:multiLevelType w:val="hybridMultilevel"/>
    <w:tmpl w:val="EA6A7FD4"/>
    <w:lvl w:ilvl="0" w:tplc="0C090001">
      <w:start w:val="1"/>
      <w:numFmt w:val="bullet"/>
      <w:lvlText w:val=""/>
      <w:lvlJc w:val="left"/>
      <w:pPr>
        <w:ind w:left="107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32" w15:restartNumberingAfterBreak="0">
    <w:nsid w:val="24952416"/>
    <w:multiLevelType w:val="hybridMultilevel"/>
    <w:tmpl w:val="A22AB07A"/>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3" w15:restartNumberingAfterBreak="0">
    <w:nsid w:val="24D00182"/>
    <w:multiLevelType w:val="hybridMultilevel"/>
    <w:tmpl w:val="9CBC69E2"/>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253B7777"/>
    <w:multiLevelType w:val="hybridMultilevel"/>
    <w:tmpl w:val="A43613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25513FE0"/>
    <w:multiLevelType w:val="hybridMultilevel"/>
    <w:tmpl w:val="4A9CC1B6"/>
    <w:lvl w:ilvl="0" w:tplc="5BA07E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6E381E"/>
    <w:multiLevelType w:val="hybridMultilevel"/>
    <w:tmpl w:val="15D4A458"/>
    <w:lvl w:ilvl="0" w:tplc="CC685898">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259A33ED"/>
    <w:multiLevelType w:val="hybridMultilevel"/>
    <w:tmpl w:val="4460A354"/>
    <w:lvl w:ilvl="0" w:tplc="758C0A50">
      <w:start w:val="1"/>
      <w:numFmt w:val="lowerLetter"/>
      <w:lvlText w:val="(%1)"/>
      <w:lvlJc w:val="left"/>
      <w:pPr>
        <w:ind w:left="144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8" w15:restartNumberingAfterBreak="0">
    <w:nsid w:val="27CA2C98"/>
    <w:multiLevelType w:val="hybridMultilevel"/>
    <w:tmpl w:val="18586ECC"/>
    <w:lvl w:ilvl="0" w:tplc="0C090005">
      <w:start w:val="1"/>
      <w:numFmt w:val="bullet"/>
      <w:lvlText w:val=""/>
      <w:lvlJc w:val="left"/>
      <w:pPr>
        <w:tabs>
          <w:tab w:val="num" w:pos="930"/>
        </w:tabs>
        <w:ind w:left="930" w:hanging="570"/>
      </w:pPr>
      <w:rPr>
        <w:rFonts w:ascii="Wingdings" w:hAnsi="Wingdings" w:hint="default"/>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8CA01D7"/>
    <w:multiLevelType w:val="hybridMultilevel"/>
    <w:tmpl w:val="8B720F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297F1A8D"/>
    <w:multiLevelType w:val="multilevel"/>
    <w:tmpl w:val="1E16B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9AC617A"/>
    <w:multiLevelType w:val="hybridMultilevel"/>
    <w:tmpl w:val="7D92DAA4"/>
    <w:lvl w:ilvl="0" w:tplc="04090001">
      <w:start w:val="1"/>
      <w:numFmt w:val="bullet"/>
      <w:lvlText w:val=""/>
      <w:lvlJc w:val="left"/>
      <w:pPr>
        <w:tabs>
          <w:tab w:val="num" w:pos="2421"/>
        </w:tabs>
        <w:ind w:left="2421" w:hanging="360"/>
      </w:pPr>
      <w:rPr>
        <w:rFonts w:ascii="Symbol" w:hAnsi="Symbol" w:hint="default"/>
      </w:rPr>
    </w:lvl>
    <w:lvl w:ilvl="1" w:tplc="04090003" w:tentative="1">
      <w:start w:val="1"/>
      <w:numFmt w:val="bullet"/>
      <w:lvlText w:val="o"/>
      <w:lvlJc w:val="left"/>
      <w:pPr>
        <w:tabs>
          <w:tab w:val="num" w:pos="3141"/>
        </w:tabs>
        <w:ind w:left="3141" w:hanging="360"/>
      </w:pPr>
      <w:rPr>
        <w:rFonts w:ascii="Courier New" w:hAnsi="Courier New" w:hint="default"/>
      </w:rPr>
    </w:lvl>
    <w:lvl w:ilvl="2" w:tplc="04090005" w:tentative="1">
      <w:start w:val="1"/>
      <w:numFmt w:val="bullet"/>
      <w:lvlText w:val=""/>
      <w:lvlJc w:val="left"/>
      <w:pPr>
        <w:tabs>
          <w:tab w:val="num" w:pos="3861"/>
        </w:tabs>
        <w:ind w:left="3861" w:hanging="360"/>
      </w:pPr>
      <w:rPr>
        <w:rFonts w:ascii="Wingdings" w:hAnsi="Wingdings" w:hint="default"/>
      </w:rPr>
    </w:lvl>
    <w:lvl w:ilvl="3" w:tplc="04090001" w:tentative="1">
      <w:start w:val="1"/>
      <w:numFmt w:val="bullet"/>
      <w:lvlText w:val=""/>
      <w:lvlJc w:val="left"/>
      <w:pPr>
        <w:tabs>
          <w:tab w:val="num" w:pos="4581"/>
        </w:tabs>
        <w:ind w:left="4581" w:hanging="360"/>
      </w:pPr>
      <w:rPr>
        <w:rFonts w:ascii="Symbol" w:hAnsi="Symbol" w:hint="default"/>
      </w:rPr>
    </w:lvl>
    <w:lvl w:ilvl="4" w:tplc="04090003" w:tentative="1">
      <w:start w:val="1"/>
      <w:numFmt w:val="bullet"/>
      <w:lvlText w:val="o"/>
      <w:lvlJc w:val="left"/>
      <w:pPr>
        <w:tabs>
          <w:tab w:val="num" w:pos="5301"/>
        </w:tabs>
        <w:ind w:left="5301" w:hanging="360"/>
      </w:pPr>
      <w:rPr>
        <w:rFonts w:ascii="Courier New" w:hAnsi="Courier New" w:hint="default"/>
      </w:rPr>
    </w:lvl>
    <w:lvl w:ilvl="5" w:tplc="04090005" w:tentative="1">
      <w:start w:val="1"/>
      <w:numFmt w:val="bullet"/>
      <w:lvlText w:val=""/>
      <w:lvlJc w:val="left"/>
      <w:pPr>
        <w:tabs>
          <w:tab w:val="num" w:pos="6021"/>
        </w:tabs>
        <w:ind w:left="6021" w:hanging="360"/>
      </w:pPr>
      <w:rPr>
        <w:rFonts w:ascii="Wingdings" w:hAnsi="Wingdings" w:hint="default"/>
      </w:rPr>
    </w:lvl>
    <w:lvl w:ilvl="6" w:tplc="04090001" w:tentative="1">
      <w:start w:val="1"/>
      <w:numFmt w:val="bullet"/>
      <w:lvlText w:val=""/>
      <w:lvlJc w:val="left"/>
      <w:pPr>
        <w:tabs>
          <w:tab w:val="num" w:pos="6741"/>
        </w:tabs>
        <w:ind w:left="6741" w:hanging="360"/>
      </w:pPr>
      <w:rPr>
        <w:rFonts w:ascii="Symbol" w:hAnsi="Symbol" w:hint="default"/>
      </w:rPr>
    </w:lvl>
    <w:lvl w:ilvl="7" w:tplc="04090003" w:tentative="1">
      <w:start w:val="1"/>
      <w:numFmt w:val="bullet"/>
      <w:lvlText w:val="o"/>
      <w:lvlJc w:val="left"/>
      <w:pPr>
        <w:tabs>
          <w:tab w:val="num" w:pos="7461"/>
        </w:tabs>
        <w:ind w:left="7461" w:hanging="360"/>
      </w:pPr>
      <w:rPr>
        <w:rFonts w:ascii="Courier New" w:hAnsi="Courier New" w:hint="default"/>
      </w:rPr>
    </w:lvl>
    <w:lvl w:ilvl="8" w:tplc="04090005" w:tentative="1">
      <w:start w:val="1"/>
      <w:numFmt w:val="bullet"/>
      <w:lvlText w:val=""/>
      <w:lvlJc w:val="left"/>
      <w:pPr>
        <w:tabs>
          <w:tab w:val="num" w:pos="8181"/>
        </w:tabs>
        <w:ind w:left="8181" w:hanging="360"/>
      </w:pPr>
      <w:rPr>
        <w:rFonts w:ascii="Wingdings" w:hAnsi="Wingdings" w:hint="default"/>
      </w:rPr>
    </w:lvl>
  </w:abstractNum>
  <w:abstractNum w:abstractNumId="42" w15:restartNumberingAfterBreak="0">
    <w:nsid w:val="2B5B7D41"/>
    <w:multiLevelType w:val="hybridMultilevel"/>
    <w:tmpl w:val="641C10C2"/>
    <w:lvl w:ilvl="0" w:tplc="0C090001">
      <w:start w:val="1"/>
      <w:numFmt w:val="bullet"/>
      <w:lvlText w:val=""/>
      <w:lvlJc w:val="left"/>
      <w:pPr>
        <w:ind w:left="1538" w:hanging="360"/>
      </w:pPr>
      <w:rPr>
        <w:rFonts w:ascii="Symbol" w:hAnsi="Symbol" w:hint="default"/>
      </w:rPr>
    </w:lvl>
    <w:lvl w:ilvl="1" w:tplc="0C090003" w:tentative="1">
      <w:start w:val="1"/>
      <w:numFmt w:val="bullet"/>
      <w:lvlText w:val="o"/>
      <w:lvlJc w:val="left"/>
      <w:pPr>
        <w:ind w:left="2477" w:hanging="360"/>
      </w:pPr>
      <w:rPr>
        <w:rFonts w:ascii="Courier New" w:hAnsi="Courier New" w:cs="Courier New" w:hint="default"/>
      </w:rPr>
    </w:lvl>
    <w:lvl w:ilvl="2" w:tplc="0C090005" w:tentative="1">
      <w:start w:val="1"/>
      <w:numFmt w:val="bullet"/>
      <w:lvlText w:val=""/>
      <w:lvlJc w:val="left"/>
      <w:pPr>
        <w:ind w:left="3197" w:hanging="360"/>
      </w:pPr>
      <w:rPr>
        <w:rFonts w:ascii="Wingdings" w:hAnsi="Wingdings" w:hint="default"/>
      </w:rPr>
    </w:lvl>
    <w:lvl w:ilvl="3" w:tplc="0C090001" w:tentative="1">
      <w:start w:val="1"/>
      <w:numFmt w:val="bullet"/>
      <w:lvlText w:val=""/>
      <w:lvlJc w:val="left"/>
      <w:pPr>
        <w:ind w:left="3917" w:hanging="360"/>
      </w:pPr>
      <w:rPr>
        <w:rFonts w:ascii="Symbol" w:hAnsi="Symbol" w:hint="default"/>
      </w:rPr>
    </w:lvl>
    <w:lvl w:ilvl="4" w:tplc="0C090003" w:tentative="1">
      <w:start w:val="1"/>
      <w:numFmt w:val="bullet"/>
      <w:lvlText w:val="o"/>
      <w:lvlJc w:val="left"/>
      <w:pPr>
        <w:ind w:left="4637" w:hanging="360"/>
      </w:pPr>
      <w:rPr>
        <w:rFonts w:ascii="Courier New" w:hAnsi="Courier New" w:cs="Courier New" w:hint="default"/>
      </w:rPr>
    </w:lvl>
    <w:lvl w:ilvl="5" w:tplc="0C090005" w:tentative="1">
      <w:start w:val="1"/>
      <w:numFmt w:val="bullet"/>
      <w:lvlText w:val=""/>
      <w:lvlJc w:val="left"/>
      <w:pPr>
        <w:ind w:left="5357" w:hanging="360"/>
      </w:pPr>
      <w:rPr>
        <w:rFonts w:ascii="Wingdings" w:hAnsi="Wingdings" w:hint="default"/>
      </w:rPr>
    </w:lvl>
    <w:lvl w:ilvl="6" w:tplc="0C090001" w:tentative="1">
      <w:start w:val="1"/>
      <w:numFmt w:val="bullet"/>
      <w:lvlText w:val=""/>
      <w:lvlJc w:val="left"/>
      <w:pPr>
        <w:ind w:left="6077" w:hanging="360"/>
      </w:pPr>
      <w:rPr>
        <w:rFonts w:ascii="Symbol" w:hAnsi="Symbol" w:hint="default"/>
      </w:rPr>
    </w:lvl>
    <w:lvl w:ilvl="7" w:tplc="0C090003" w:tentative="1">
      <w:start w:val="1"/>
      <w:numFmt w:val="bullet"/>
      <w:lvlText w:val="o"/>
      <w:lvlJc w:val="left"/>
      <w:pPr>
        <w:ind w:left="6797" w:hanging="360"/>
      </w:pPr>
      <w:rPr>
        <w:rFonts w:ascii="Courier New" w:hAnsi="Courier New" w:cs="Courier New" w:hint="default"/>
      </w:rPr>
    </w:lvl>
    <w:lvl w:ilvl="8" w:tplc="0C090005" w:tentative="1">
      <w:start w:val="1"/>
      <w:numFmt w:val="bullet"/>
      <w:lvlText w:val=""/>
      <w:lvlJc w:val="left"/>
      <w:pPr>
        <w:ind w:left="7517" w:hanging="360"/>
      </w:pPr>
      <w:rPr>
        <w:rFonts w:ascii="Wingdings" w:hAnsi="Wingdings" w:hint="default"/>
      </w:rPr>
    </w:lvl>
  </w:abstractNum>
  <w:abstractNum w:abstractNumId="43" w15:restartNumberingAfterBreak="0">
    <w:nsid w:val="2C370677"/>
    <w:multiLevelType w:val="hybridMultilevel"/>
    <w:tmpl w:val="81982B2E"/>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F296CEA"/>
    <w:multiLevelType w:val="hybridMultilevel"/>
    <w:tmpl w:val="C41CF0EE"/>
    <w:lvl w:ilvl="0" w:tplc="977C0E66">
      <w:start w:val="1"/>
      <w:numFmt w:val="decimal"/>
      <w:lvlText w:val="%1."/>
      <w:lvlJc w:val="left"/>
      <w:pPr>
        <w:ind w:left="720" w:hanging="360"/>
      </w:pPr>
      <w:rPr>
        <w:rFonts w:hint="default"/>
        <w:b w:val="0"/>
        <w:i w:val="0"/>
        <w:color w:val="auto"/>
        <w:sz w:val="22"/>
        <w:szCs w:val="22"/>
      </w:rPr>
    </w:lvl>
    <w:lvl w:ilvl="1" w:tplc="1436AC4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32E1849"/>
    <w:multiLevelType w:val="hybridMultilevel"/>
    <w:tmpl w:val="C2E6972A"/>
    <w:lvl w:ilvl="0" w:tplc="969667D8">
      <w:start w:val="720"/>
      <w:numFmt w:val="decimal"/>
      <w:lvlText w:val="%1."/>
      <w:lvlJc w:val="left"/>
      <w:pPr>
        <w:ind w:left="360" w:hanging="360"/>
      </w:pPr>
      <w:rPr>
        <w:rFonts w:hint="default"/>
        <w:b w:val="0"/>
        <w:i w:val="0"/>
        <w:color w:val="auto"/>
        <w:sz w:val="22"/>
        <w:szCs w:val="22"/>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33975DD3"/>
    <w:multiLevelType w:val="hybridMultilevel"/>
    <w:tmpl w:val="481004BC"/>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15:restartNumberingAfterBreak="0">
    <w:nsid w:val="351C1EED"/>
    <w:multiLevelType w:val="multilevel"/>
    <w:tmpl w:val="1E16B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71265F4"/>
    <w:multiLevelType w:val="hybridMultilevel"/>
    <w:tmpl w:val="26F2589E"/>
    <w:lvl w:ilvl="0" w:tplc="B292303A">
      <w:start w:val="1"/>
      <w:numFmt w:val="bullet"/>
      <w:lvlText w:val=""/>
      <w:lvlJc w:val="left"/>
      <w:pPr>
        <w:ind w:left="2858" w:hanging="360"/>
      </w:pPr>
      <w:rPr>
        <w:rFonts w:ascii="Symbol" w:hAnsi="Symbol" w:hint="default"/>
        <w:color w:val="auto"/>
      </w:rPr>
    </w:lvl>
    <w:lvl w:ilvl="1" w:tplc="0C090003" w:tentative="1">
      <w:start w:val="1"/>
      <w:numFmt w:val="bullet"/>
      <w:lvlText w:val="o"/>
      <w:lvlJc w:val="left"/>
      <w:pPr>
        <w:ind w:left="3578" w:hanging="360"/>
      </w:pPr>
      <w:rPr>
        <w:rFonts w:ascii="Courier New" w:hAnsi="Courier New" w:cs="Courier New" w:hint="default"/>
      </w:rPr>
    </w:lvl>
    <w:lvl w:ilvl="2" w:tplc="0C090005" w:tentative="1">
      <w:start w:val="1"/>
      <w:numFmt w:val="bullet"/>
      <w:lvlText w:val=""/>
      <w:lvlJc w:val="left"/>
      <w:pPr>
        <w:ind w:left="4298" w:hanging="360"/>
      </w:pPr>
      <w:rPr>
        <w:rFonts w:ascii="Wingdings" w:hAnsi="Wingdings" w:hint="default"/>
      </w:rPr>
    </w:lvl>
    <w:lvl w:ilvl="3" w:tplc="0C090001" w:tentative="1">
      <w:start w:val="1"/>
      <w:numFmt w:val="bullet"/>
      <w:lvlText w:val=""/>
      <w:lvlJc w:val="left"/>
      <w:pPr>
        <w:ind w:left="5018" w:hanging="360"/>
      </w:pPr>
      <w:rPr>
        <w:rFonts w:ascii="Symbol" w:hAnsi="Symbol" w:hint="default"/>
      </w:rPr>
    </w:lvl>
    <w:lvl w:ilvl="4" w:tplc="0C090003" w:tentative="1">
      <w:start w:val="1"/>
      <w:numFmt w:val="bullet"/>
      <w:lvlText w:val="o"/>
      <w:lvlJc w:val="left"/>
      <w:pPr>
        <w:ind w:left="5738" w:hanging="360"/>
      </w:pPr>
      <w:rPr>
        <w:rFonts w:ascii="Courier New" w:hAnsi="Courier New" w:cs="Courier New" w:hint="default"/>
      </w:rPr>
    </w:lvl>
    <w:lvl w:ilvl="5" w:tplc="0C090005" w:tentative="1">
      <w:start w:val="1"/>
      <w:numFmt w:val="bullet"/>
      <w:lvlText w:val=""/>
      <w:lvlJc w:val="left"/>
      <w:pPr>
        <w:ind w:left="6458" w:hanging="360"/>
      </w:pPr>
      <w:rPr>
        <w:rFonts w:ascii="Wingdings" w:hAnsi="Wingdings" w:hint="default"/>
      </w:rPr>
    </w:lvl>
    <w:lvl w:ilvl="6" w:tplc="0C090001" w:tentative="1">
      <w:start w:val="1"/>
      <w:numFmt w:val="bullet"/>
      <w:lvlText w:val=""/>
      <w:lvlJc w:val="left"/>
      <w:pPr>
        <w:ind w:left="7178" w:hanging="360"/>
      </w:pPr>
      <w:rPr>
        <w:rFonts w:ascii="Symbol" w:hAnsi="Symbol" w:hint="default"/>
      </w:rPr>
    </w:lvl>
    <w:lvl w:ilvl="7" w:tplc="0C090003" w:tentative="1">
      <w:start w:val="1"/>
      <w:numFmt w:val="bullet"/>
      <w:lvlText w:val="o"/>
      <w:lvlJc w:val="left"/>
      <w:pPr>
        <w:ind w:left="7898" w:hanging="360"/>
      </w:pPr>
      <w:rPr>
        <w:rFonts w:ascii="Courier New" w:hAnsi="Courier New" w:cs="Courier New" w:hint="default"/>
      </w:rPr>
    </w:lvl>
    <w:lvl w:ilvl="8" w:tplc="0C090005" w:tentative="1">
      <w:start w:val="1"/>
      <w:numFmt w:val="bullet"/>
      <w:lvlText w:val=""/>
      <w:lvlJc w:val="left"/>
      <w:pPr>
        <w:ind w:left="8618" w:hanging="360"/>
      </w:pPr>
      <w:rPr>
        <w:rFonts w:ascii="Wingdings" w:hAnsi="Wingdings" w:hint="default"/>
      </w:rPr>
    </w:lvl>
  </w:abstractNum>
  <w:abstractNum w:abstractNumId="49" w15:restartNumberingAfterBreak="0">
    <w:nsid w:val="37FA3042"/>
    <w:multiLevelType w:val="hybridMultilevel"/>
    <w:tmpl w:val="0ABE7C8A"/>
    <w:lvl w:ilvl="0" w:tplc="04090001">
      <w:start w:val="1"/>
      <w:numFmt w:val="bullet"/>
      <w:lvlText w:val=""/>
      <w:lvlJc w:val="left"/>
      <w:pPr>
        <w:ind w:left="2880" w:hanging="360"/>
      </w:pPr>
      <w:rPr>
        <w:rFonts w:ascii="Symbol" w:hAnsi="Symbol"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50" w15:restartNumberingAfterBreak="0">
    <w:nsid w:val="38997D81"/>
    <w:multiLevelType w:val="hybridMultilevel"/>
    <w:tmpl w:val="11146D02"/>
    <w:lvl w:ilvl="0" w:tplc="75220CB0">
      <w:start w:val="1"/>
      <w:numFmt w:val="bullet"/>
      <w:lvlText w:val="•"/>
      <w:lvlJc w:val="left"/>
      <w:pPr>
        <w:tabs>
          <w:tab w:val="num" w:pos="720"/>
        </w:tabs>
        <w:ind w:left="720" w:hanging="360"/>
      </w:pPr>
      <w:rPr>
        <w:rFonts w:ascii="Arial" w:hAnsi="Arial" w:hint="default"/>
      </w:rPr>
    </w:lvl>
    <w:lvl w:ilvl="1" w:tplc="3F5CF766" w:tentative="1">
      <w:start w:val="1"/>
      <w:numFmt w:val="bullet"/>
      <w:lvlText w:val="•"/>
      <w:lvlJc w:val="left"/>
      <w:pPr>
        <w:tabs>
          <w:tab w:val="num" w:pos="1440"/>
        </w:tabs>
        <w:ind w:left="1440" w:hanging="360"/>
      </w:pPr>
      <w:rPr>
        <w:rFonts w:ascii="Arial" w:hAnsi="Arial" w:hint="default"/>
      </w:rPr>
    </w:lvl>
    <w:lvl w:ilvl="2" w:tplc="A126ACBE">
      <w:start w:val="1"/>
      <w:numFmt w:val="bullet"/>
      <w:lvlText w:val="•"/>
      <w:lvlJc w:val="left"/>
      <w:pPr>
        <w:tabs>
          <w:tab w:val="num" w:pos="2160"/>
        </w:tabs>
        <w:ind w:left="2160" w:hanging="360"/>
      </w:pPr>
      <w:rPr>
        <w:rFonts w:ascii="Arial" w:hAnsi="Arial" w:hint="default"/>
      </w:rPr>
    </w:lvl>
    <w:lvl w:ilvl="3" w:tplc="90DCBB30">
      <w:start w:val="23572"/>
      <w:numFmt w:val="bullet"/>
      <w:lvlText w:val="–"/>
      <w:lvlJc w:val="left"/>
      <w:pPr>
        <w:tabs>
          <w:tab w:val="num" w:pos="2771"/>
        </w:tabs>
        <w:ind w:left="2771" w:hanging="360"/>
      </w:pPr>
      <w:rPr>
        <w:rFonts w:ascii="Arial" w:hAnsi="Arial" w:hint="default"/>
      </w:rPr>
    </w:lvl>
    <w:lvl w:ilvl="4" w:tplc="9F7CD388" w:tentative="1">
      <w:start w:val="1"/>
      <w:numFmt w:val="bullet"/>
      <w:lvlText w:val="•"/>
      <w:lvlJc w:val="left"/>
      <w:pPr>
        <w:tabs>
          <w:tab w:val="num" w:pos="3600"/>
        </w:tabs>
        <w:ind w:left="3600" w:hanging="360"/>
      </w:pPr>
      <w:rPr>
        <w:rFonts w:ascii="Arial" w:hAnsi="Arial" w:hint="default"/>
      </w:rPr>
    </w:lvl>
    <w:lvl w:ilvl="5" w:tplc="C9428C90" w:tentative="1">
      <w:start w:val="1"/>
      <w:numFmt w:val="bullet"/>
      <w:lvlText w:val="•"/>
      <w:lvlJc w:val="left"/>
      <w:pPr>
        <w:tabs>
          <w:tab w:val="num" w:pos="4320"/>
        </w:tabs>
        <w:ind w:left="4320" w:hanging="360"/>
      </w:pPr>
      <w:rPr>
        <w:rFonts w:ascii="Arial" w:hAnsi="Arial" w:hint="default"/>
      </w:rPr>
    </w:lvl>
    <w:lvl w:ilvl="6" w:tplc="D44AD5E2" w:tentative="1">
      <w:start w:val="1"/>
      <w:numFmt w:val="bullet"/>
      <w:lvlText w:val="•"/>
      <w:lvlJc w:val="left"/>
      <w:pPr>
        <w:tabs>
          <w:tab w:val="num" w:pos="5040"/>
        </w:tabs>
        <w:ind w:left="5040" w:hanging="360"/>
      </w:pPr>
      <w:rPr>
        <w:rFonts w:ascii="Arial" w:hAnsi="Arial" w:hint="default"/>
      </w:rPr>
    </w:lvl>
    <w:lvl w:ilvl="7" w:tplc="E4B8F8D6" w:tentative="1">
      <w:start w:val="1"/>
      <w:numFmt w:val="bullet"/>
      <w:lvlText w:val="•"/>
      <w:lvlJc w:val="left"/>
      <w:pPr>
        <w:tabs>
          <w:tab w:val="num" w:pos="5760"/>
        </w:tabs>
        <w:ind w:left="5760" w:hanging="360"/>
      </w:pPr>
      <w:rPr>
        <w:rFonts w:ascii="Arial" w:hAnsi="Arial" w:hint="default"/>
      </w:rPr>
    </w:lvl>
    <w:lvl w:ilvl="8" w:tplc="C4A6CBF0"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39925F2B"/>
    <w:multiLevelType w:val="hybridMultilevel"/>
    <w:tmpl w:val="9F2E48EE"/>
    <w:lvl w:ilvl="0" w:tplc="04090011">
      <w:start w:val="1"/>
      <w:numFmt w:val="decimal"/>
      <w:lvlText w:val="%1)"/>
      <w:lvlJc w:val="left"/>
      <w:pPr>
        <w:ind w:left="720" w:hanging="360"/>
      </w:pPr>
      <w:rPr>
        <w:rFonts w:hint="default"/>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9A65F97"/>
    <w:multiLevelType w:val="hybridMultilevel"/>
    <w:tmpl w:val="21A2A20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39AB0B7A"/>
    <w:multiLevelType w:val="hybridMultilevel"/>
    <w:tmpl w:val="C6567FD2"/>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15:restartNumberingAfterBreak="0">
    <w:nsid w:val="39FE7DAC"/>
    <w:multiLevelType w:val="hybridMultilevel"/>
    <w:tmpl w:val="A4980B48"/>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5" w15:restartNumberingAfterBreak="0">
    <w:nsid w:val="3A0D40EC"/>
    <w:multiLevelType w:val="hybridMultilevel"/>
    <w:tmpl w:val="FB802B80"/>
    <w:lvl w:ilvl="0" w:tplc="977C0E66">
      <w:start w:val="1"/>
      <w:numFmt w:val="decimal"/>
      <w:lvlText w:val="%1."/>
      <w:lvlJc w:val="left"/>
      <w:pPr>
        <w:ind w:left="502"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6" w15:restartNumberingAfterBreak="0">
    <w:nsid w:val="3A3F4FAF"/>
    <w:multiLevelType w:val="hybridMultilevel"/>
    <w:tmpl w:val="80A82720"/>
    <w:lvl w:ilvl="0" w:tplc="50BA8158">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3A7C6141"/>
    <w:multiLevelType w:val="hybridMultilevel"/>
    <w:tmpl w:val="87D448BC"/>
    <w:lvl w:ilvl="0" w:tplc="0C090001">
      <w:start w:val="1"/>
      <w:numFmt w:val="bullet"/>
      <w:lvlText w:val=""/>
      <w:lvlJc w:val="left"/>
      <w:pPr>
        <w:ind w:left="873" w:hanging="360"/>
      </w:pPr>
      <w:rPr>
        <w:rFonts w:ascii="Symbol" w:hAnsi="Symbol" w:hint="default"/>
      </w:rPr>
    </w:lvl>
    <w:lvl w:ilvl="1" w:tplc="0C090003" w:tentative="1">
      <w:start w:val="1"/>
      <w:numFmt w:val="bullet"/>
      <w:lvlText w:val="o"/>
      <w:lvlJc w:val="left"/>
      <w:pPr>
        <w:ind w:left="1593" w:hanging="360"/>
      </w:pPr>
      <w:rPr>
        <w:rFonts w:ascii="Courier New" w:hAnsi="Courier New" w:cs="Courier New" w:hint="default"/>
      </w:rPr>
    </w:lvl>
    <w:lvl w:ilvl="2" w:tplc="0C090005" w:tentative="1">
      <w:start w:val="1"/>
      <w:numFmt w:val="bullet"/>
      <w:lvlText w:val=""/>
      <w:lvlJc w:val="left"/>
      <w:pPr>
        <w:ind w:left="2313" w:hanging="360"/>
      </w:pPr>
      <w:rPr>
        <w:rFonts w:ascii="Wingdings" w:hAnsi="Wingdings" w:hint="default"/>
      </w:rPr>
    </w:lvl>
    <w:lvl w:ilvl="3" w:tplc="0C090001" w:tentative="1">
      <w:start w:val="1"/>
      <w:numFmt w:val="bullet"/>
      <w:lvlText w:val=""/>
      <w:lvlJc w:val="left"/>
      <w:pPr>
        <w:ind w:left="3033" w:hanging="360"/>
      </w:pPr>
      <w:rPr>
        <w:rFonts w:ascii="Symbol" w:hAnsi="Symbol" w:hint="default"/>
      </w:rPr>
    </w:lvl>
    <w:lvl w:ilvl="4" w:tplc="0C090003" w:tentative="1">
      <w:start w:val="1"/>
      <w:numFmt w:val="bullet"/>
      <w:lvlText w:val="o"/>
      <w:lvlJc w:val="left"/>
      <w:pPr>
        <w:ind w:left="3753" w:hanging="360"/>
      </w:pPr>
      <w:rPr>
        <w:rFonts w:ascii="Courier New" w:hAnsi="Courier New" w:cs="Courier New" w:hint="default"/>
      </w:rPr>
    </w:lvl>
    <w:lvl w:ilvl="5" w:tplc="0C090005" w:tentative="1">
      <w:start w:val="1"/>
      <w:numFmt w:val="bullet"/>
      <w:lvlText w:val=""/>
      <w:lvlJc w:val="left"/>
      <w:pPr>
        <w:ind w:left="4473" w:hanging="360"/>
      </w:pPr>
      <w:rPr>
        <w:rFonts w:ascii="Wingdings" w:hAnsi="Wingdings" w:hint="default"/>
      </w:rPr>
    </w:lvl>
    <w:lvl w:ilvl="6" w:tplc="0C090001" w:tentative="1">
      <w:start w:val="1"/>
      <w:numFmt w:val="bullet"/>
      <w:lvlText w:val=""/>
      <w:lvlJc w:val="left"/>
      <w:pPr>
        <w:ind w:left="5193" w:hanging="360"/>
      </w:pPr>
      <w:rPr>
        <w:rFonts w:ascii="Symbol" w:hAnsi="Symbol" w:hint="default"/>
      </w:rPr>
    </w:lvl>
    <w:lvl w:ilvl="7" w:tplc="0C090003" w:tentative="1">
      <w:start w:val="1"/>
      <w:numFmt w:val="bullet"/>
      <w:lvlText w:val="o"/>
      <w:lvlJc w:val="left"/>
      <w:pPr>
        <w:ind w:left="5913" w:hanging="360"/>
      </w:pPr>
      <w:rPr>
        <w:rFonts w:ascii="Courier New" w:hAnsi="Courier New" w:cs="Courier New" w:hint="default"/>
      </w:rPr>
    </w:lvl>
    <w:lvl w:ilvl="8" w:tplc="0C090005" w:tentative="1">
      <w:start w:val="1"/>
      <w:numFmt w:val="bullet"/>
      <w:lvlText w:val=""/>
      <w:lvlJc w:val="left"/>
      <w:pPr>
        <w:ind w:left="6633" w:hanging="360"/>
      </w:pPr>
      <w:rPr>
        <w:rFonts w:ascii="Wingdings" w:hAnsi="Wingdings" w:hint="default"/>
      </w:rPr>
    </w:lvl>
  </w:abstractNum>
  <w:abstractNum w:abstractNumId="58" w15:restartNumberingAfterBreak="0">
    <w:nsid w:val="3C3166C5"/>
    <w:multiLevelType w:val="hybridMultilevel"/>
    <w:tmpl w:val="A0F41818"/>
    <w:lvl w:ilvl="0" w:tplc="BC8859D0">
      <w:start w:val="1"/>
      <w:numFmt w:val="bullet"/>
      <w:lvlText w:val="•"/>
      <w:lvlJc w:val="left"/>
      <w:pPr>
        <w:tabs>
          <w:tab w:val="num" w:pos="720"/>
        </w:tabs>
        <w:ind w:left="720" w:hanging="360"/>
      </w:pPr>
      <w:rPr>
        <w:rFonts w:ascii="Arial" w:hAnsi="Arial" w:hint="default"/>
      </w:rPr>
    </w:lvl>
    <w:lvl w:ilvl="1" w:tplc="E55A6F12" w:tentative="1">
      <w:start w:val="1"/>
      <w:numFmt w:val="bullet"/>
      <w:lvlText w:val="•"/>
      <w:lvlJc w:val="left"/>
      <w:pPr>
        <w:tabs>
          <w:tab w:val="num" w:pos="1440"/>
        </w:tabs>
        <w:ind w:left="1440" w:hanging="360"/>
      </w:pPr>
      <w:rPr>
        <w:rFonts w:ascii="Arial" w:hAnsi="Arial" w:hint="default"/>
      </w:rPr>
    </w:lvl>
    <w:lvl w:ilvl="2" w:tplc="665A13F0">
      <w:start w:val="1"/>
      <w:numFmt w:val="bullet"/>
      <w:lvlText w:val="•"/>
      <w:lvlJc w:val="left"/>
      <w:pPr>
        <w:tabs>
          <w:tab w:val="num" w:pos="2160"/>
        </w:tabs>
        <w:ind w:left="2160" w:hanging="360"/>
      </w:pPr>
      <w:rPr>
        <w:rFonts w:ascii="Arial" w:hAnsi="Arial" w:hint="default"/>
      </w:rPr>
    </w:lvl>
    <w:lvl w:ilvl="3" w:tplc="5F2C8B7A" w:tentative="1">
      <w:start w:val="1"/>
      <w:numFmt w:val="bullet"/>
      <w:lvlText w:val="•"/>
      <w:lvlJc w:val="left"/>
      <w:pPr>
        <w:tabs>
          <w:tab w:val="num" w:pos="2880"/>
        </w:tabs>
        <w:ind w:left="2880" w:hanging="360"/>
      </w:pPr>
      <w:rPr>
        <w:rFonts w:ascii="Arial" w:hAnsi="Arial" w:hint="default"/>
      </w:rPr>
    </w:lvl>
    <w:lvl w:ilvl="4" w:tplc="2E12EF86" w:tentative="1">
      <w:start w:val="1"/>
      <w:numFmt w:val="bullet"/>
      <w:lvlText w:val="•"/>
      <w:lvlJc w:val="left"/>
      <w:pPr>
        <w:tabs>
          <w:tab w:val="num" w:pos="3600"/>
        </w:tabs>
        <w:ind w:left="3600" w:hanging="360"/>
      </w:pPr>
      <w:rPr>
        <w:rFonts w:ascii="Arial" w:hAnsi="Arial" w:hint="default"/>
      </w:rPr>
    </w:lvl>
    <w:lvl w:ilvl="5" w:tplc="A59A70FA" w:tentative="1">
      <w:start w:val="1"/>
      <w:numFmt w:val="bullet"/>
      <w:lvlText w:val="•"/>
      <w:lvlJc w:val="left"/>
      <w:pPr>
        <w:tabs>
          <w:tab w:val="num" w:pos="4320"/>
        </w:tabs>
        <w:ind w:left="4320" w:hanging="360"/>
      </w:pPr>
      <w:rPr>
        <w:rFonts w:ascii="Arial" w:hAnsi="Arial" w:hint="default"/>
      </w:rPr>
    </w:lvl>
    <w:lvl w:ilvl="6" w:tplc="8114728C" w:tentative="1">
      <w:start w:val="1"/>
      <w:numFmt w:val="bullet"/>
      <w:lvlText w:val="•"/>
      <w:lvlJc w:val="left"/>
      <w:pPr>
        <w:tabs>
          <w:tab w:val="num" w:pos="5040"/>
        </w:tabs>
        <w:ind w:left="5040" w:hanging="360"/>
      </w:pPr>
      <w:rPr>
        <w:rFonts w:ascii="Arial" w:hAnsi="Arial" w:hint="default"/>
      </w:rPr>
    </w:lvl>
    <w:lvl w:ilvl="7" w:tplc="F48C512C" w:tentative="1">
      <w:start w:val="1"/>
      <w:numFmt w:val="bullet"/>
      <w:lvlText w:val="•"/>
      <w:lvlJc w:val="left"/>
      <w:pPr>
        <w:tabs>
          <w:tab w:val="num" w:pos="5760"/>
        </w:tabs>
        <w:ind w:left="5760" w:hanging="360"/>
      </w:pPr>
      <w:rPr>
        <w:rFonts w:ascii="Arial" w:hAnsi="Arial" w:hint="default"/>
      </w:rPr>
    </w:lvl>
    <w:lvl w:ilvl="8" w:tplc="978C79F0"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3DE8320B"/>
    <w:multiLevelType w:val="hybridMultilevel"/>
    <w:tmpl w:val="3DD20F20"/>
    <w:lvl w:ilvl="0" w:tplc="0C09001B">
      <w:start w:val="1"/>
      <w:numFmt w:val="lowerRoman"/>
      <w:lvlText w:val="%1."/>
      <w:lvlJc w:val="right"/>
      <w:pPr>
        <w:ind w:left="1854" w:hanging="360"/>
      </w:p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1B">
      <w:start w:val="1"/>
      <w:numFmt w:val="lowerRoman"/>
      <w:lvlText w:val="%4."/>
      <w:lvlJc w:val="righ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60" w15:restartNumberingAfterBreak="0">
    <w:nsid w:val="405D0017"/>
    <w:multiLevelType w:val="hybridMultilevel"/>
    <w:tmpl w:val="296210F8"/>
    <w:lvl w:ilvl="0" w:tplc="DE1C7CA0">
      <w:start w:val="308"/>
      <w:numFmt w:val="decimal"/>
      <w:lvlText w:val="%1."/>
      <w:lvlJc w:val="left"/>
      <w:pPr>
        <w:ind w:left="502" w:hanging="360"/>
      </w:pPr>
      <w:rPr>
        <w:rFonts w:hint="default"/>
        <w:b w:val="0"/>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1052B9B"/>
    <w:multiLevelType w:val="hybridMultilevel"/>
    <w:tmpl w:val="49A47500"/>
    <w:lvl w:ilvl="0" w:tplc="07E07238">
      <w:start w:val="1"/>
      <w:numFmt w:val="bullet"/>
      <w:lvlText w:val="•"/>
      <w:lvlJc w:val="left"/>
      <w:pPr>
        <w:tabs>
          <w:tab w:val="num" w:pos="720"/>
        </w:tabs>
        <w:ind w:left="720" w:hanging="360"/>
      </w:pPr>
      <w:rPr>
        <w:rFonts w:ascii="Arial" w:hAnsi="Arial" w:hint="default"/>
      </w:rPr>
    </w:lvl>
    <w:lvl w:ilvl="1" w:tplc="313048AA" w:tentative="1">
      <w:start w:val="1"/>
      <w:numFmt w:val="bullet"/>
      <w:lvlText w:val="•"/>
      <w:lvlJc w:val="left"/>
      <w:pPr>
        <w:tabs>
          <w:tab w:val="num" w:pos="1440"/>
        </w:tabs>
        <w:ind w:left="1440" w:hanging="360"/>
      </w:pPr>
      <w:rPr>
        <w:rFonts w:ascii="Arial" w:hAnsi="Arial" w:hint="default"/>
      </w:rPr>
    </w:lvl>
    <w:lvl w:ilvl="2" w:tplc="1BBECE6E">
      <w:start w:val="1"/>
      <w:numFmt w:val="bullet"/>
      <w:lvlText w:val="•"/>
      <w:lvlJc w:val="left"/>
      <w:pPr>
        <w:tabs>
          <w:tab w:val="num" w:pos="2160"/>
        </w:tabs>
        <w:ind w:left="2160" w:hanging="360"/>
      </w:pPr>
      <w:rPr>
        <w:rFonts w:ascii="Arial" w:hAnsi="Arial" w:hint="default"/>
      </w:rPr>
    </w:lvl>
    <w:lvl w:ilvl="3" w:tplc="CBCCF712">
      <w:start w:val="23572"/>
      <w:numFmt w:val="bullet"/>
      <w:lvlText w:val="–"/>
      <w:lvlJc w:val="left"/>
      <w:pPr>
        <w:tabs>
          <w:tab w:val="num" w:pos="2880"/>
        </w:tabs>
        <w:ind w:left="2880" w:hanging="360"/>
      </w:pPr>
      <w:rPr>
        <w:rFonts w:ascii="Arial" w:hAnsi="Arial" w:hint="default"/>
      </w:rPr>
    </w:lvl>
    <w:lvl w:ilvl="4" w:tplc="275E9B94" w:tentative="1">
      <w:start w:val="1"/>
      <w:numFmt w:val="bullet"/>
      <w:lvlText w:val="•"/>
      <w:lvlJc w:val="left"/>
      <w:pPr>
        <w:tabs>
          <w:tab w:val="num" w:pos="3600"/>
        </w:tabs>
        <w:ind w:left="3600" w:hanging="360"/>
      </w:pPr>
      <w:rPr>
        <w:rFonts w:ascii="Arial" w:hAnsi="Arial" w:hint="default"/>
      </w:rPr>
    </w:lvl>
    <w:lvl w:ilvl="5" w:tplc="28EC3512" w:tentative="1">
      <w:start w:val="1"/>
      <w:numFmt w:val="bullet"/>
      <w:lvlText w:val="•"/>
      <w:lvlJc w:val="left"/>
      <w:pPr>
        <w:tabs>
          <w:tab w:val="num" w:pos="4320"/>
        </w:tabs>
        <w:ind w:left="4320" w:hanging="360"/>
      </w:pPr>
      <w:rPr>
        <w:rFonts w:ascii="Arial" w:hAnsi="Arial" w:hint="default"/>
      </w:rPr>
    </w:lvl>
    <w:lvl w:ilvl="6" w:tplc="48B4A04E" w:tentative="1">
      <w:start w:val="1"/>
      <w:numFmt w:val="bullet"/>
      <w:lvlText w:val="•"/>
      <w:lvlJc w:val="left"/>
      <w:pPr>
        <w:tabs>
          <w:tab w:val="num" w:pos="5040"/>
        </w:tabs>
        <w:ind w:left="5040" w:hanging="360"/>
      </w:pPr>
      <w:rPr>
        <w:rFonts w:ascii="Arial" w:hAnsi="Arial" w:hint="default"/>
      </w:rPr>
    </w:lvl>
    <w:lvl w:ilvl="7" w:tplc="56686CA8" w:tentative="1">
      <w:start w:val="1"/>
      <w:numFmt w:val="bullet"/>
      <w:lvlText w:val="•"/>
      <w:lvlJc w:val="left"/>
      <w:pPr>
        <w:tabs>
          <w:tab w:val="num" w:pos="5760"/>
        </w:tabs>
        <w:ind w:left="5760" w:hanging="360"/>
      </w:pPr>
      <w:rPr>
        <w:rFonts w:ascii="Arial" w:hAnsi="Arial" w:hint="default"/>
      </w:rPr>
    </w:lvl>
    <w:lvl w:ilvl="8" w:tplc="C3C87B1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2672E28"/>
    <w:multiLevelType w:val="hybridMultilevel"/>
    <w:tmpl w:val="05D07256"/>
    <w:lvl w:ilvl="0" w:tplc="977C0E66">
      <w:start w:val="1"/>
      <w:numFmt w:val="decimal"/>
      <w:lvlText w:val="%1."/>
      <w:lvlJc w:val="left"/>
      <w:pPr>
        <w:ind w:left="502"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b w:val="0"/>
        <w:i w:val="0"/>
        <w:color w:val="auto"/>
        <w:sz w:val="22"/>
        <w:szCs w:val="22"/>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15:restartNumberingAfterBreak="0">
    <w:nsid w:val="44554680"/>
    <w:multiLevelType w:val="multilevel"/>
    <w:tmpl w:val="D48ED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7AE338D"/>
    <w:multiLevelType w:val="hybridMultilevel"/>
    <w:tmpl w:val="4F80753A"/>
    <w:lvl w:ilvl="0" w:tplc="977C0E66">
      <w:start w:val="1"/>
      <w:numFmt w:val="decimal"/>
      <w:lvlText w:val="%1."/>
      <w:lvlJc w:val="left"/>
      <w:pPr>
        <w:ind w:left="720" w:hanging="360"/>
      </w:pPr>
      <w:rPr>
        <w:rFonts w:hint="default"/>
        <w:b w:val="0"/>
        <w:i w:val="0"/>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A486921"/>
    <w:multiLevelType w:val="hybridMultilevel"/>
    <w:tmpl w:val="DF124F94"/>
    <w:lvl w:ilvl="0" w:tplc="0C090001">
      <w:start w:val="1"/>
      <w:numFmt w:val="bullet"/>
      <w:lvlText w:val=""/>
      <w:lvlJc w:val="left"/>
      <w:pPr>
        <w:ind w:left="1353" w:hanging="360"/>
      </w:pPr>
      <w:rPr>
        <w:rFonts w:ascii="Symbol" w:hAnsi="Symbol" w:hint="default"/>
      </w:rPr>
    </w:lvl>
    <w:lvl w:ilvl="1" w:tplc="0C090003" w:tentative="1">
      <w:start w:val="1"/>
      <w:numFmt w:val="bullet"/>
      <w:lvlText w:val="o"/>
      <w:lvlJc w:val="left"/>
      <w:pPr>
        <w:ind w:left="2073" w:hanging="360"/>
      </w:pPr>
      <w:rPr>
        <w:rFonts w:ascii="Courier New" w:hAnsi="Courier New" w:cs="Courier New" w:hint="default"/>
      </w:rPr>
    </w:lvl>
    <w:lvl w:ilvl="2" w:tplc="0C090005" w:tentative="1">
      <w:start w:val="1"/>
      <w:numFmt w:val="bullet"/>
      <w:lvlText w:val=""/>
      <w:lvlJc w:val="left"/>
      <w:pPr>
        <w:ind w:left="2793" w:hanging="360"/>
      </w:pPr>
      <w:rPr>
        <w:rFonts w:ascii="Wingdings" w:hAnsi="Wingdings" w:hint="default"/>
      </w:rPr>
    </w:lvl>
    <w:lvl w:ilvl="3" w:tplc="0C090001" w:tentative="1">
      <w:start w:val="1"/>
      <w:numFmt w:val="bullet"/>
      <w:lvlText w:val=""/>
      <w:lvlJc w:val="left"/>
      <w:pPr>
        <w:ind w:left="3513" w:hanging="360"/>
      </w:pPr>
      <w:rPr>
        <w:rFonts w:ascii="Symbol" w:hAnsi="Symbol" w:hint="default"/>
      </w:rPr>
    </w:lvl>
    <w:lvl w:ilvl="4" w:tplc="0C090003" w:tentative="1">
      <w:start w:val="1"/>
      <w:numFmt w:val="bullet"/>
      <w:lvlText w:val="o"/>
      <w:lvlJc w:val="left"/>
      <w:pPr>
        <w:ind w:left="4233" w:hanging="360"/>
      </w:pPr>
      <w:rPr>
        <w:rFonts w:ascii="Courier New" w:hAnsi="Courier New" w:cs="Courier New" w:hint="default"/>
      </w:rPr>
    </w:lvl>
    <w:lvl w:ilvl="5" w:tplc="0C090005" w:tentative="1">
      <w:start w:val="1"/>
      <w:numFmt w:val="bullet"/>
      <w:lvlText w:val=""/>
      <w:lvlJc w:val="left"/>
      <w:pPr>
        <w:ind w:left="4953" w:hanging="360"/>
      </w:pPr>
      <w:rPr>
        <w:rFonts w:ascii="Wingdings" w:hAnsi="Wingdings" w:hint="default"/>
      </w:rPr>
    </w:lvl>
    <w:lvl w:ilvl="6" w:tplc="0C090001" w:tentative="1">
      <w:start w:val="1"/>
      <w:numFmt w:val="bullet"/>
      <w:lvlText w:val=""/>
      <w:lvlJc w:val="left"/>
      <w:pPr>
        <w:ind w:left="5673" w:hanging="360"/>
      </w:pPr>
      <w:rPr>
        <w:rFonts w:ascii="Symbol" w:hAnsi="Symbol" w:hint="default"/>
      </w:rPr>
    </w:lvl>
    <w:lvl w:ilvl="7" w:tplc="0C090003" w:tentative="1">
      <w:start w:val="1"/>
      <w:numFmt w:val="bullet"/>
      <w:lvlText w:val="o"/>
      <w:lvlJc w:val="left"/>
      <w:pPr>
        <w:ind w:left="6393" w:hanging="360"/>
      </w:pPr>
      <w:rPr>
        <w:rFonts w:ascii="Courier New" w:hAnsi="Courier New" w:cs="Courier New" w:hint="default"/>
      </w:rPr>
    </w:lvl>
    <w:lvl w:ilvl="8" w:tplc="0C090005" w:tentative="1">
      <w:start w:val="1"/>
      <w:numFmt w:val="bullet"/>
      <w:lvlText w:val=""/>
      <w:lvlJc w:val="left"/>
      <w:pPr>
        <w:ind w:left="7113" w:hanging="360"/>
      </w:pPr>
      <w:rPr>
        <w:rFonts w:ascii="Wingdings" w:hAnsi="Wingdings" w:hint="default"/>
      </w:rPr>
    </w:lvl>
  </w:abstractNum>
  <w:abstractNum w:abstractNumId="66" w15:restartNumberingAfterBreak="0">
    <w:nsid w:val="4A6B413F"/>
    <w:multiLevelType w:val="hybridMultilevel"/>
    <w:tmpl w:val="A2E6BF38"/>
    <w:lvl w:ilvl="0" w:tplc="B2DAC1A6">
      <w:start w:val="1"/>
      <w:numFmt w:val="decimal"/>
      <w:lvlText w:val="%1."/>
      <w:lvlJc w:val="left"/>
      <w:pPr>
        <w:ind w:left="720" w:hanging="360"/>
      </w:pPr>
      <w:rPr>
        <w:rFonts w:hint="default"/>
        <w:b w:val="0"/>
        <w:i w:val="0"/>
        <w:color w:val="auto"/>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7" w15:restartNumberingAfterBreak="0">
    <w:nsid w:val="4A9217E4"/>
    <w:multiLevelType w:val="hybridMultilevel"/>
    <w:tmpl w:val="6002A64E"/>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B3B55D3"/>
    <w:multiLevelType w:val="multilevel"/>
    <w:tmpl w:val="AAA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BAF31C2"/>
    <w:multiLevelType w:val="hybridMultilevel"/>
    <w:tmpl w:val="582AB724"/>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70" w15:restartNumberingAfterBreak="0">
    <w:nsid w:val="4CC563E1"/>
    <w:multiLevelType w:val="hybridMultilevel"/>
    <w:tmpl w:val="106C7E40"/>
    <w:lvl w:ilvl="0" w:tplc="ED489FDE">
      <w:start w:val="1"/>
      <w:numFmt w:val="decimal"/>
      <w:lvlText w:val="%1."/>
      <w:lvlJc w:val="left"/>
      <w:pPr>
        <w:ind w:left="720" w:hanging="360"/>
      </w:pPr>
      <w:rPr>
        <w:rFonts w:hint="default"/>
        <w:b w:val="0"/>
        <w:i w:val="0"/>
        <w:color w:val="auto"/>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1" w15:restartNumberingAfterBreak="0">
    <w:nsid w:val="4D157225"/>
    <w:multiLevelType w:val="hybridMultilevel"/>
    <w:tmpl w:val="4F80753A"/>
    <w:lvl w:ilvl="0" w:tplc="977C0E66">
      <w:start w:val="1"/>
      <w:numFmt w:val="decimal"/>
      <w:lvlText w:val="%1."/>
      <w:lvlJc w:val="left"/>
      <w:pPr>
        <w:ind w:left="720" w:hanging="360"/>
      </w:pPr>
      <w:rPr>
        <w:rFonts w:hint="default"/>
        <w:b w:val="0"/>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D4C25F4"/>
    <w:multiLevelType w:val="hybridMultilevel"/>
    <w:tmpl w:val="8D1E2DF4"/>
    <w:lvl w:ilvl="0" w:tplc="D8944A58">
      <w:start w:val="1"/>
      <w:numFmt w:val="decimal"/>
      <w:lvlText w:val="%1."/>
      <w:lvlJc w:val="left"/>
      <w:pPr>
        <w:ind w:left="720" w:hanging="360"/>
      </w:pPr>
      <w:rPr>
        <w:rFonts w:hint="default"/>
        <w:b w:val="0"/>
        <w:i w:val="0"/>
        <w:color w:val="auto"/>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3" w15:restartNumberingAfterBreak="0">
    <w:nsid w:val="4F506FB4"/>
    <w:multiLevelType w:val="hybridMultilevel"/>
    <w:tmpl w:val="2C68EB08"/>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15:restartNumberingAfterBreak="0">
    <w:nsid w:val="50412022"/>
    <w:multiLevelType w:val="hybridMultilevel"/>
    <w:tmpl w:val="C7AC98A2"/>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5" w15:restartNumberingAfterBreak="0">
    <w:nsid w:val="512A7D2D"/>
    <w:multiLevelType w:val="hybridMultilevel"/>
    <w:tmpl w:val="6088C4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12B2D6B"/>
    <w:multiLevelType w:val="hybridMultilevel"/>
    <w:tmpl w:val="427616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7" w15:restartNumberingAfterBreak="0">
    <w:nsid w:val="524D0828"/>
    <w:multiLevelType w:val="hybridMultilevel"/>
    <w:tmpl w:val="24BCCAD0"/>
    <w:lvl w:ilvl="0" w:tplc="758C0A50">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8" w15:restartNumberingAfterBreak="0">
    <w:nsid w:val="55CB0804"/>
    <w:multiLevelType w:val="hybridMultilevel"/>
    <w:tmpl w:val="4F80753A"/>
    <w:lvl w:ilvl="0" w:tplc="977C0E66">
      <w:start w:val="1"/>
      <w:numFmt w:val="decimal"/>
      <w:lvlText w:val="%1."/>
      <w:lvlJc w:val="left"/>
      <w:pPr>
        <w:ind w:left="720" w:hanging="360"/>
      </w:pPr>
      <w:rPr>
        <w:rFonts w:hint="default"/>
        <w:b w:val="0"/>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5FC62CB"/>
    <w:multiLevelType w:val="hybridMultilevel"/>
    <w:tmpl w:val="36A4A9DC"/>
    <w:lvl w:ilvl="0" w:tplc="758C0A50">
      <w:start w:val="1"/>
      <w:numFmt w:val="lowerLetter"/>
      <w:lvlText w:val="(%1)"/>
      <w:lvlJc w:val="left"/>
      <w:pPr>
        <w:ind w:left="1713" w:hanging="360"/>
      </w:pPr>
      <w:rPr>
        <w:rFonts w:hint="default"/>
        <w:b w:val="0"/>
        <w:color w:val="auto"/>
        <w:sz w:val="22"/>
        <w:szCs w:val="22"/>
      </w:rPr>
    </w:lvl>
    <w:lvl w:ilvl="1" w:tplc="0C090019">
      <w:start w:val="1"/>
      <w:numFmt w:val="lowerLetter"/>
      <w:lvlText w:val="%2."/>
      <w:lvlJc w:val="left"/>
      <w:pPr>
        <w:ind w:left="2433" w:hanging="360"/>
      </w:pPr>
    </w:lvl>
    <w:lvl w:ilvl="2" w:tplc="7542C074">
      <w:start w:val="1"/>
      <w:numFmt w:val="lowerRoman"/>
      <w:lvlText w:val="%3."/>
      <w:lvlJc w:val="right"/>
      <w:pPr>
        <w:ind w:left="3153" w:hanging="180"/>
      </w:pPr>
      <w:rPr>
        <w:color w:val="auto"/>
      </w:rPr>
    </w:lvl>
    <w:lvl w:ilvl="3" w:tplc="0C09000F" w:tentative="1">
      <w:start w:val="1"/>
      <w:numFmt w:val="decimal"/>
      <w:lvlText w:val="%4."/>
      <w:lvlJc w:val="left"/>
      <w:pPr>
        <w:ind w:left="3873" w:hanging="360"/>
      </w:pPr>
    </w:lvl>
    <w:lvl w:ilvl="4" w:tplc="0C090019" w:tentative="1">
      <w:start w:val="1"/>
      <w:numFmt w:val="lowerLetter"/>
      <w:lvlText w:val="%5."/>
      <w:lvlJc w:val="left"/>
      <w:pPr>
        <w:ind w:left="4593" w:hanging="360"/>
      </w:pPr>
    </w:lvl>
    <w:lvl w:ilvl="5" w:tplc="0C09001B" w:tentative="1">
      <w:start w:val="1"/>
      <w:numFmt w:val="lowerRoman"/>
      <w:lvlText w:val="%6."/>
      <w:lvlJc w:val="right"/>
      <w:pPr>
        <w:ind w:left="5313" w:hanging="180"/>
      </w:pPr>
    </w:lvl>
    <w:lvl w:ilvl="6" w:tplc="0C09000F" w:tentative="1">
      <w:start w:val="1"/>
      <w:numFmt w:val="decimal"/>
      <w:lvlText w:val="%7."/>
      <w:lvlJc w:val="left"/>
      <w:pPr>
        <w:ind w:left="6033" w:hanging="360"/>
      </w:pPr>
    </w:lvl>
    <w:lvl w:ilvl="7" w:tplc="0C090019" w:tentative="1">
      <w:start w:val="1"/>
      <w:numFmt w:val="lowerLetter"/>
      <w:lvlText w:val="%8."/>
      <w:lvlJc w:val="left"/>
      <w:pPr>
        <w:ind w:left="6753" w:hanging="360"/>
      </w:pPr>
    </w:lvl>
    <w:lvl w:ilvl="8" w:tplc="0C09001B" w:tentative="1">
      <w:start w:val="1"/>
      <w:numFmt w:val="lowerRoman"/>
      <w:lvlText w:val="%9."/>
      <w:lvlJc w:val="right"/>
      <w:pPr>
        <w:ind w:left="7473" w:hanging="180"/>
      </w:pPr>
    </w:lvl>
  </w:abstractNum>
  <w:abstractNum w:abstractNumId="80" w15:restartNumberingAfterBreak="0">
    <w:nsid w:val="565F4192"/>
    <w:multiLevelType w:val="multilevel"/>
    <w:tmpl w:val="261A33C8"/>
    <w:lvl w:ilvl="0">
      <w:start w:val="1"/>
      <w:numFmt w:val="lowerLetter"/>
      <w:lvlText w:val="(%1)"/>
      <w:lvlJc w:val="left"/>
      <w:pPr>
        <w:tabs>
          <w:tab w:val="num" w:pos="2761"/>
        </w:tabs>
        <w:ind w:left="2761" w:hanging="601"/>
      </w:pPr>
      <w:rPr>
        <w:rFonts w:hint="default"/>
      </w:rPr>
    </w:lvl>
    <w:lvl w:ilvl="1">
      <w:start w:val="1"/>
      <w:numFmt w:val="decimal"/>
      <w:lvlText w:val="(%2)"/>
      <w:lvlJc w:val="left"/>
      <w:pPr>
        <w:tabs>
          <w:tab w:val="num" w:pos="2880"/>
        </w:tabs>
        <w:ind w:left="2880" w:hanging="720"/>
      </w:pPr>
      <w:rPr>
        <w:rFonts w:hint="default"/>
      </w:rPr>
    </w:lvl>
    <w:lvl w:ilvl="2">
      <w:start w:val="1"/>
      <w:numFmt w:val="lowerLetter"/>
      <w:lvlText w:val="(%3)"/>
      <w:lvlJc w:val="left"/>
      <w:pPr>
        <w:tabs>
          <w:tab w:val="num" w:pos="2880"/>
        </w:tabs>
        <w:ind w:left="2880" w:hanging="720"/>
      </w:pPr>
      <w:rPr>
        <w:rFonts w:hint="default"/>
      </w:rPr>
    </w:lvl>
    <w:lvl w:ilvl="3">
      <w:start w:val="1"/>
      <w:numFmt w:val="lowerRoman"/>
      <w:lvlText w:val="(%4)"/>
      <w:lvlJc w:val="left"/>
      <w:pPr>
        <w:tabs>
          <w:tab w:val="num" w:pos="3960"/>
        </w:tabs>
        <w:ind w:left="360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left"/>
      <w:pPr>
        <w:tabs>
          <w:tab w:val="num" w:pos="4320"/>
        </w:tabs>
        <w:ind w:left="4320" w:hanging="36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040"/>
        </w:tabs>
        <w:ind w:left="5040" w:hanging="360"/>
      </w:pPr>
      <w:rPr>
        <w:rFonts w:hint="default"/>
      </w:rPr>
    </w:lvl>
    <w:lvl w:ilvl="8">
      <w:start w:val="1"/>
      <w:numFmt w:val="lowerRoman"/>
      <w:lvlText w:val="%9."/>
      <w:lvlJc w:val="left"/>
      <w:pPr>
        <w:tabs>
          <w:tab w:val="num" w:pos="5400"/>
        </w:tabs>
        <w:ind w:left="5400" w:hanging="360"/>
      </w:pPr>
      <w:rPr>
        <w:rFonts w:hint="default"/>
      </w:rPr>
    </w:lvl>
  </w:abstractNum>
  <w:abstractNum w:abstractNumId="81" w15:restartNumberingAfterBreak="0">
    <w:nsid w:val="5A0F46CD"/>
    <w:multiLevelType w:val="hybridMultilevel"/>
    <w:tmpl w:val="DCA0A1E8"/>
    <w:lvl w:ilvl="0" w:tplc="04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82" w15:restartNumberingAfterBreak="0">
    <w:nsid w:val="5A7C7F6C"/>
    <w:multiLevelType w:val="hybridMultilevel"/>
    <w:tmpl w:val="2EFC0194"/>
    <w:lvl w:ilvl="0" w:tplc="2E944D20">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3" w15:restartNumberingAfterBreak="0">
    <w:nsid w:val="5A8032E5"/>
    <w:multiLevelType w:val="hybridMultilevel"/>
    <w:tmpl w:val="7A5C7E5A"/>
    <w:lvl w:ilvl="0" w:tplc="7CD22A50">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4" w15:restartNumberingAfterBreak="0">
    <w:nsid w:val="5E4A0363"/>
    <w:multiLevelType w:val="hybridMultilevel"/>
    <w:tmpl w:val="5950B786"/>
    <w:lvl w:ilvl="0" w:tplc="977C0E66">
      <w:start w:val="1"/>
      <w:numFmt w:val="decimal"/>
      <w:lvlText w:val="%1."/>
      <w:lvlJc w:val="left"/>
      <w:pPr>
        <w:ind w:left="502"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b w:val="0"/>
        <w:i w:val="0"/>
        <w:color w:val="auto"/>
        <w:sz w:val="22"/>
        <w:szCs w:val="22"/>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5" w15:restartNumberingAfterBreak="0">
    <w:nsid w:val="5F51027C"/>
    <w:multiLevelType w:val="multilevel"/>
    <w:tmpl w:val="DA8CEDAC"/>
    <w:lvl w:ilvl="0">
      <w:start w:val="1"/>
      <w:numFmt w:val="decimal"/>
      <w:pStyle w:val="List2indented"/>
      <w:lvlText w:val="%1."/>
      <w:lvlJc w:val="left"/>
      <w:pPr>
        <w:ind w:left="482" w:hanging="482"/>
      </w:pPr>
      <w:rPr>
        <w:rFonts w:hint="default"/>
      </w:rPr>
    </w:lvl>
    <w:lvl w:ilvl="1">
      <w:start w:val="1"/>
      <w:numFmt w:val="lowerLetter"/>
      <w:lvlText w:val="(%2)"/>
      <w:lvlJc w:val="left"/>
      <w:pPr>
        <w:ind w:left="964" w:hanging="482"/>
      </w:pPr>
      <w:rPr>
        <w:rFonts w:hint="default"/>
      </w:rPr>
    </w:lvl>
    <w:lvl w:ilvl="2">
      <w:start w:val="1"/>
      <w:numFmt w:val="lowerRoman"/>
      <w:lvlText w:val="(%3)"/>
      <w:lvlJc w:val="right"/>
      <w:pPr>
        <w:ind w:left="1497" w:hanging="193"/>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86" w15:restartNumberingAfterBreak="0">
    <w:nsid w:val="61746139"/>
    <w:multiLevelType w:val="hybridMultilevel"/>
    <w:tmpl w:val="74BA95D0"/>
    <w:lvl w:ilvl="0" w:tplc="BB7618C0">
      <w:start w:val="1"/>
      <w:numFmt w:val="decimal"/>
      <w:lvlText w:val="%1."/>
      <w:lvlJc w:val="left"/>
      <w:pPr>
        <w:ind w:left="502" w:hanging="360"/>
      </w:pPr>
      <w:rPr>
        <w:b w:val="0"/>
        <w:i w:val="0"/>
        <w:color w:val="auto"/>
        <w:sz w:val="22"/>
        <w:szCs w:val="22"/>
      </w:rPr>
    </w:lvl>
    <w:lvl w:ilvl="1" w:tplc="F76C6E78">
      <w:start w:val="1"/>
      <w:numFmt w:val="lowerLetter"/>
      <w:lvlText w:val="(%2)"/>
      <w:lvlJc w:val="left"/>
      <w:pPr>
        <w:ind w:left="1440" w:hanging="360"/>
      </w:pPr>
      <w:rPr>
        <w:rFonts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7" w15:restartNumberingAfterBreak="0">
    <w:nsid w:val="61C05B83"/>
    <w:multiLevelType w:val="hybridMultilevel"/>
    <w:tmpl w:val="B890EAB0"/>
    <w:lvl w:ilvl="0" w:tplc="758C0A50">
      <w:start w:val="1"/>
      <w:numFmt w:val="lowerLetter"/>
      <w:lvlText w:val="(%1)"/>
      <w:lvlJc w:val="left"/>
      <w:pPr>
        <w:ind w:left="1854" w:hanging="360"/>
      </w:pPr>
      <w:rPr>
        <w:rFonts w:hint="default"/>
        <w:sz w:val="22"/>
      </w:rPr>
    </w:lvl>
    <w:lvl w:ilvl="1" w:tplc="25CA2F7A">
      <w:start w:val="1"/>
      <w:numFmt w:val="decimal"/>
      <w:lvlText w:val="%2."/>
      <w:lvlJc w:val="left"/>
      <w:pPr>
        <w:ind w:left="2574" w:hanging="360"/>
      </w:pPr>
      <w:rPr>
        <w:rFonts w:hint="default"/>
      </w:r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88" w15:restartNumberingAfterBreak="0">
    <w:nsid w:val="629130E4"/>
    <w:multiLevelType w:val="hybridMultilevel"/>
    <w:tmpl w:val="20ACC0B6"/>
    <w:lvl w:ilvl="0" w:tplc="B292303A">
      <w:start w:val="1"/>
      <w:numFmt w:val="bullet"/>
      <w:lvlText w:val=""/>
      <w:lvlJc w:val="left"/>
      <w:pPr>
        <w:ind w:left="720" w:hanging="360"/>
      </w:pPr>
      <w:rPr>
        <w:rFonts w:ascii="Symbol" w:hAnsi="Symbol" w:hint="default"/>
        <w:color w:val="auto"/>
      </w:rPr>
    </w:lvl>
    <w:lvl w:ilvl="1" w:tplc="0C090003">
      <w:start w:val="1"/>
      <w:numFmt w:val="bullet"/>
      <w:lvlText w:val="o"/>
      <w:lvlJc w:val="left"/>
      <w:pPr>
        <w:ind w:left="1440" w:hanging="360"/>
      </w:pPr>
      <w:rPr>
        <w:rFonts w:ascii="Courier New" w:hAnsi="Courier New" w:cs="Courier New" w:hint="default"/>
      </w:rPr>
    </w:lvl>
    <w:lvl w:ilvl="2" w:tplc="0C090003">
      <w:start w:val="1"/>
      <w:numFmt w:val="bullet"/>
      <w:lvlText w:val="o"/>
      <w:lvlJc w:val="left"/>
      <w:pPr>
        <w:ind w:left="2160" w:hanging="360"/>
      </w:pPr>
      <w:rPr>
        <w:rFonts w:ascii="Courier New" w:hAnsi="Courier New" w:cs="Courier New"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9" w15:restartNumberingAfterBreak="0">
    <w:nsid w:val="642D5BB3"/>
    <w:multiLevelType w:val="hybridMultilevel"/>
    <w:tmpl w:val="4F80753A"/>
    <w:lvl w:ilvl="0" w:tplc="977C0E66">
      <w:start w:val="1"/>
      <w:numFmt w:val="decimal"/>
      <w:lvlText w:val="%1."/>
      <w:lvlJc w:val="left"/>
      <w:pPr>
        <w:ind w:left="720" w:hanging="360"/>
      </w:pPr>
      <w:rPr>
        <w:rFonts w:hint="default"/>
        <w:b w:val="0"/>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56F1B04"/>
    <w:multiLevelType w:val="hybridMultilevel"/>
    <w:tmpl w:val="50CC0182"/>
    <w:lvl w:ilvl="0" w:tplc="7A6CDE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7502F7F"/>
    <w:multiLevelType w:val="hybridMultilevel"/>
    <w:tmpl w:val="9C086DC4"/>
    <w:lvl w:ilvl="0" w:tplc="0C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676A24AE"/>
    <w:multiLevelType w:val="hybridMultilevel"/>
    <w:tmpl w:val="B2C4BE28"/>
    <w:lvl w:ilvl="0" w:tplc="0C090001">
      <w:start w:val="1"/>
      <w:numFmt w:val="bullet"/>
      <w:lvlText w:val=""/>
      <w:lvlJc w:val="left"/>
      <w:pPr>
        <w:ind w:left="1080" w:hanging="360"/>
      </w:pPr>
      <w:rPr>
        <w:rFonts w:ascii="Symbol" w:hAnsi="Symbol" w:hint="default"/>
        <w:b w:val="0"/>
        <w:i w:val="0"/>
        <w:color w:val="auto"/>
        <w:sz w:val="22"/>
        <w:szCs w:val="22"/>
      </w:rPr>
    </w:lvl>
    <w:lvl w:ilvl="1" w:tplc="0C09001B">
      <w:start w:val="1"/>
      <w:numFmt w:val="lowerRoman"/>
      <w:lvlText w:val="%2."/>
      <w:lvlJc w:val="right"/>
      <w:pPr>
        <w:ind w:left="2018" w:hanging="360"/>
      </w:pPr>
    </w:lvl>
    <w:lvl w:ilvl="2" w:tplc="7542C074">
      <w:start w:val="1"/>
      <w:numFmt w:val="lowerRoman"/>
      <w:lvlText w:val="%3."/>
      <w:lvlJc w:val="right"/>
      <w:pPr>
        <w:ind w:left="2738" w:hanging="180"/>
      </w:pPr>
      <w:rPr>
        <w:color w:val="auto"/>
      </w:rPr>
    </w:lvl>
    <w:lvl w:ilvl="3" w:tplc="BEA4394E">
      <w:start w:val="1"/>
      <w:numFmt w:val="lowerRoman"/>
      <w:lvlText w:val="(%4)"/>
      <w:lvlJc w:val="left"/>
      <w:pPr>
        <w:ind w:left="3818" w:hanging="720"/>
      </w:pPr>
      <w:rPr>
        <w:rFonts w:hint="default"/>
      </w:rPr>
    </w:lvl>
    <w:lvl w:ilvl="4" w:tplc="0C090019" w:tentative="1">
      <w:start w:val="1"/>
      <w:numFmt w:val="lowerLetter"/>
      <w:lvlText w:val="%5."/>
      <w:lvlJc w:val="left"/>
      <w:pPr>
        <w:ind w:left="4178" w:hanging="360"/>
      </w:pPr>
    </w:lvl>
    <w:lvl w:ilvl="5" w:tplc="0C09001B" w:tentative="1">
      <w:start w:val="1"/>
      <w:numFmt w:val="lowerRoman"/>
      <w:lvlText w:val="%6."/>
      <w:lvlJc w:val="right"/>
      <w:pPr>
        <w:ind w:left="4898" w:hanging="180"/>
      </w:pPr>
    </w:lvl>
    <w:lvl w:ilvl="6" w:tplc="0C09000F" w:tentative="1">
      <w:start w:val="1"/>
      <w:numFmt w:val="decimal"/>
      <w:lvlText w:val="%7."/>
      <w:lvlJc w:val="left"/>
      <w:pPr>
        <w:ind w:left="5618" w:hanging="360"/>
      </w:pPr>
    </w:lvl>
    <w:lvl w:ilvl="7" w:tplc="0C090019" w:tentative="1">
      <w:start w:val="1"/>
      <w:numFmt w:val="lowerLetter"/>
      <w:lvlText w:val="%8."/>
      <w:lvlJc w:val="left"/>
      <w:pPr>
        <w:ind w:left="6338" w:hanging="360"/>
      </w:pPr>
    </w:lvl>
    <w:lvl w:ilvl="8" w:tplc="0C09001B" w:tentative="1">
      <w:start w:val="1"/>
      <w:numFmt w:val="lowerRoman"/>
      <w:lvlText w:val="%9."/>
      <w:lvlJc w:val="right"/>
      <w:pPr>
        <w:ind w:left="7058" w:hanging="180"/>
      </w:pPr>
    </w:lvl>
  </w:abstractNum>
  <w:abstractNum w:abstractNumId="93" w15:restartNumberingAfterBreak="0">
    <w:nsid w:val="68BB19A9"/>
    <w:multiLevelType w:val="hybridMultilevel"/>
    <w:tmpl w:val="B890EAB0"/>
    <w:lvl w:ilvl="0" w:tplc="758C0A50">
      <w:start w:val="1"/>
      <w:numFmt w:val="lowerLetter"/>
      <w:lvlText w:val="(%1)"/>
      <w:lvlJc w:val="left"/>
      <w:pPr>
        <w:ind w:left="1854" w:hanging="360"/>
      </w:pPr>
      <w:rPr>
        <w:rFonts w:hint="default"/>
        <w:sz w:val="22"/>
      </w:rPr>
    </w:lvl>
    <w:lvl w:ilvl="1" w:tplc="25CA2F7A">
      <w:start w:val="1"/>
      <w:numFmt w:val="decimal"/>
      <w:lvlText w:val="%2."/>
      <w:lvlJc w:val="left"/>
      <w:pPr>
        <w:ind w:left="2574" w:hanging="360"/>
      </w:pPr>
      <w:rPr>
        <w:rFonts w:hint="default"/>
      </w:r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94" w15:restartNumberingAfterBreak="0">
    <w:nsid w:val="6A47067E"/>
    <w:multiLevelType w:val="multilevel"/>
    <w:tmpl w:val="261A33C8"/>
    <w:lvl w:ilvl="0">
      <w:start w:val="1"/>
      <w:numFmt w:val="lowerLetter"/>
      <w:lvlText w:val="(%1)"/>
      <w:lvlJc w:val="left"/>
      <w:pPr>
        <w:tabs>
          <w:tab w:val="num" w:pos="2761"/>
        </w:tabs>
        <w:ind w:left="2761" w:hanging="601"/>
      </w:pPr>
      <w:rPr>
        <w:rFonts w:hint="default"/>
      </w:rPr>
    </w:lvl>
    <w:lvl w:ilvl="1">
      <w:start w:val="1"/>
      <w:numFmt w:val="decimal"/>
      <w:lvlText w:val="(%2)"/>
      <w:lvlJc w:val="left"/>
      <w:pPr>
        <w:tabs>
          <w:tab w:val="num" w:pos="2880"/>
        </w:tabs>
        <w:ind w:left="2880" w:hanging="720"/>
      </w:pPr>
      <w:rPr>
        <w:rFonts w:hint="default"/>
      </w:rPr>
    </w:lvl>
    <w:lvl w:ilvl="2">
      <w:start w:val="1"/>
      <w:numFmt w:val="lowerLetter"/>
      <w:pStyle w:val="JudgmentNumbereda"/>
      <w:lvlText w:val="(%3)"/>
      <w:lvlJc w:val="left"/>
      <w:pPr>
        <w:tabs>
          <w:tab w:val="num" w:pos="2880"/>
        </w:tabs>
        <w:ind w:left="2880" w:hanging="720"/>
      </w:pPr>
      <w:rPr>
        <w:rFonts w:hint="default"/>
      </w:rPr>
    </w:lvl>
    <w:lvl w:ilvl="3">
      <w:start w:val="1"/>
      <w:numFmt w:val="lowerRoman"/>
      <w:lvlText w:val="(%4)"/>
      <w:lvlJc w:val="left"/>
      <w:pPr>
        <w:tabs>
          <w:tab w:val="num" w:pos="3960"/>
        </w:tabs>
        <w:ind w:left="360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left"/>
      <w:pPr>
        <w:tabs>
          <w:tab w:val="num" w:pos="4320"/>
        </w:tabs>
        <w:ind w:left="4320" w:hanging="36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040"/>
        </w:tabs>
        <w:ind w:left="5040" w:hanging="360"/>
      </w:pPr>
      <w:rPr>
        <w:rFonts w:hint="default"/>
      </w:rPr>
    </w:lvl>
    <w:lvl w:ilvl="8">
      <w:start w:val="1"/>
      <w:numFmt w:val="lowerRoman"/>
      <w:lvlText w:val="%9."/>
      <w:lvlJc w:val="left"/>
      <w:pPr>
        <w:tabs>
          <w:tab w:val="num" w:pos="5400"/>
        </w:tabs>
        <w:ind w:left="5400" w:hanging="360"/>
      </w:pPr>
      <w:rPr>
        <w:rFonts w:hint="default"/>
      </w:rPr>
    </w:lvl>
  </w:abstractNum>
  <w:abstractNum w:abstractNumId="95" w15:restartNumberingAfterBreak="0">
    <w:nsid w:val="6AD0007E"/>
    <w:multiLevelType w:val="hybridMultilevel"/>
    <w:tmpl w:val="069E3E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6" w15:restartNumberingAfterBreak="0">
    <w:nsid w:val="6B6428C9"/>
    <w:multiLevelType w:val="hybridMultilevel"/>
    <w:tmpl w:val="B34E6E90"/>
    <w:lvl w:ilvl="0" w:tplc="F76C6E78">
      <w:start w:val="1"/>
      <w:numFmt w:val="lowerLetter"/>
      <w:lvlText w:val="(%1)"/>
      <w:lvlJc w:val="left"/>
      <w:pPr>
        <w:ind w:left="144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7" w15:restartNumberingAfterBreak="0">
    <w:nsid w:val="6C86102E"/>
    <w:multiLevelType w:val="hybridMultilevel"/>
    <w:tmpl w:val="2BA6FB82"/>
    <w:lvl w:ilvl="0" w:tplc="BB7618C0">
      <w:start w:val="1"/>
      <w:numFmt w:val="decimal"/>
      <w:lvlText w:val="%1."/>
      <w:lvlJc w:val="left"/>
      <w:pPr>
        <w:ind w:left="502" w:hanging="360"/>
      </w:pPr>
      <w:rPr>
        <w:b w:val="0"/>
        <w:i w:val="0"/>
        <w:color w:val="auto"/>
        <w:sz w:val="22"/>
        <w:szCs w:val="22"/>
      </w:rPr>
    </w:lvl>
    <w:lvl w:ilvl="1" w:tplc="758C0A50">
      <w:start w:val="1"/>
      <w:numFmt w:val="lowerLetter"/>
      <w:lvlText w:val="(%2)"/>
      <w:lvlJc w:val="left"/>
      <w:pPr>
        <w:ind w:left="1440" w:hanging="360"/>
      </w:pPr>
      <w:rPr>
        <w:rFonts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8" w15:restartNumberingAfterBreak="0">
    <w:nsid w:val="6D581D8F"/>
    <w:multiLevelType w:val="hybridMultilevel"/>
    <w:tmpl w:val="66E26154"/>
    <w:lvl w:ilvl="0" w:tplc="F948DEE6">
      <w:numFmt w:val="bullet"/>
      <w:lvlText w:val="-"/>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9" w15:restartNumberingAfterBreak="0">
    <w:nsid w:val="6E935015"/>
    <w:multiLevelType w:val="multilevel"/>
    <w:tmpl w:val="066256D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287" w:hanging="720"/>
      </w:pPr>
    </w:lvl>
    <w:lvl w:ilvl="3">
      <w:start w:val="1"/>
      <w:numFmt w:val="decimal"/>
      <w:pStyle w:val="Heading4"/>
      <w:lvlText w:val="%1.%2.%3.%4"/>
      <w:lvlJc w:val="left"/>
      <w:pPr>
        <w:ind w:left="1006"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0" w15:restartNumberingAfterBreak="0">
    <w:nsid w:val="6FD922F1"/>
    <w:multiLevelType w:val="hybridMultilevel"/>
    <w:tmpl w:val="A73E622E"/>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1" w15:restartNumberingAfterBreak="0">
    <w:nsid w:val="730B35AD"/>
    <w:multiLevelType w:val="hybridMultilevel"/>
    <w:tmpl w:val="5AFABCB0"/>
    <w:lvl w:ilvl="0" w:tplc="47B0B5BC">
      <w:start w:val="8"/>
      <w:numFmt w:val="bullet"/>
      <w:lvlText w:val="-"/>
      <w:lvlJc w:val="left"/>
      <w:pPr>
        <w:ind w:left="405" w:hanging="360"/>
      </w:pPr>
      <w:rPr>
        <w:rFonts w:ascii="Calibri" w:eastAsiaTheme="minorHAnsi" w:hAnsi="Calibri" w:cstheme="minorBidi" w:hint="default"/>
      </w:rPr>
    </w:lvl>
    <w:lvl w:ilvl="1" w:tplc="04090003">
      <w:start w:val="1"/>
      <w:numFmt w:val="bullet"/>
      <w:lvlText w:val="o"/>
      <w:lvlJc w:val="left"/>
      <w:pPr>
        <w:ind w:left="1125" w:hanging="360"/>
      </w:pPr>
      <w:rPr>
        <w:rFonts w:ascii="Courier New" w:hAnsi="Courier New" w:cs="Courier New" w:hint="default"/>
      </w:rPr>
    </w:lvl>
    <w:lvl w:ilvl="2" w:tplc="04090005">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02" w15:restartNumberingAfterBreak="0">
    <w:nsid w:val="75BF69E0"/>
    <w:multiLevelType w:val="hybridMultilevel"/>
    <w:tmpl w:val="0DD4CCFE"/>
    <w:lvl w:ilvl="0" w:tplc="B292303A">
      <w:start w:val="1"/>
      <w:numFmt w:val="bullet"/>
      <w:lvlText w:val=""/>
      <w:lvlJc w:val="left"/>
      <w:pPr>
        <w:ind w:left="2313" w:hanging="360"/>
      </w:pPr>
      <w:rPr>
        <w:rFonts w:ascii="Symbol" w:hAnsi="Symbol" w:hint="default"/>
        <w:color w:val="auto"/>
      </w:rPr>
    </w:lvl>
    <w:lvl w:ilvl="1" w:tplc="0C090003" w:tentative="1">
      <w:start w:val="1"/>
      <w:numFmt w:val="bullet"/>
      <w:lvlText w:val="o"/>
      <w:lvlJc w:val="left"/>
      <w:pPr>
        <w:ind w:left="3033" w:hanging="360"/>
      </w:pPr>
      <w:rPr>
        <w:rFonts w:ascii="Courier New" w:hAnsi="Courier New" w:cs="Courier New" w:hint="default"/>
      </w:rPr>
    </w:lvl>
    <w:lvl w:ilvl="2" w:tplc="0C090005" w:tentative="1">
      <w:start w:val="1"/>
      <w:numFmt w:val="bullet"/>
      <w:lvlText w:val=""/>
      <w:lvlJc w:val="left"/>
      <w:pPr>
        <w:ind w:left="3753" w:hanging="360"/>
      </w:pPr>
      <w:rPr>
        <w:rFonts w:ascii="Wingdings" w:hAnsi="Wingdings" w:hint="default"/>
      </w:rPr>
    </w:lvl>
    <w:lvl w:ilvl="3" w:tplc="0C090001" w:tentative="1">
      <w:start w:val="1"/>
      <w:numFmt w:val="bullet"/>
      <w:lvlText w:val=""/>
      <w:lvlJc w:val="left"/>
      <w:pPr>
        <w:ind w:left="4473" w:hanging="360"/>
      </w:pPr>
      <w:rPr>
        <w:rFonts w:ascii="Symbol" w:hAnsi="Symbol" w:hint="default"/>
      </w:rPr>
    </w:lvl>
    <w:lvl w:ilvl="4" w:tplc="0C090003" w:tentative="1">
      <w:start w:val="1"/>
      <w:numFmt w:val="bullet"/>
      <w:lvlText w:val="o"/>
      <w:lvlJc w:val="left"/>
      <w:pPr>
        <w:ind w:left="5193" w:hanging="360"/>
      </w:pPr>
      <w:rPr>
        <w:rFonts w:ascii="Courier New" w:hAnsi="Courier New" w:cs="Courier New" w:hint="default"/>
      </w:rPr>
    </w:lvl>
    <w:lvl w:ilvl="5" w:tplc="0C090005" w:tentative="1">
      <w:start w:val="1"/>
      <w:numFmt w:val="bullet"/>
      <w:lvlText w:val=""/>
      <w:lvlJc w:val="left"/>
      <w:pPr>
        <w:ind w:left="5913" w:hanging="360"/>
      </w:pPr>
      <w:rPr>
        <w:rFonts w:ascii="Wingdings" w:hAnsi="Wingdings" w:hint="default"/>
      </w:rPr>
    </w:lvl>
    <w:lvl w:ilvl="6" w:tplc="0C090001" w:tentative="1">
      <w:start w:val="1"/>
      <w:numFmt w:val="bullet"/>
      <w:lvlText w:val=""/>
      <w:lvlJc w:val="left"/>
      <w:pPr>
        <w:ind w:left="6633" w:hanging="360"/>
      </w:pPr>
      <w:rPr>
        <w:rFonts w:ascii="Symbol" w:hAnsi="Symbol" w:hint="default"/>
      </w:rPr>
    </w:lvl>
    <w:lvl w:ilvl="7" w:tplc="0C090003" w:tentative="1">
      <w:start w:val="1"/>
      <w:numFmt w:val="bullet"/>
      <w:lvlText w:val="o"/>
      <w:lvlJc w:val="left"/>
      <w:pPr>
        <w:ind w:left="7353" w:hanging="360"/>
      </w:pPr>
      <w:rPr>
        <w:rFonts w:ascii="Courier New" w:hAnsi="Courier New" w:cs="Courier New" w:hint="default"/>
      </w:rPr>
    </w:lvl>
    <w:lvl w:ilvl="8" w:tplc="0C090005" w:tentative="1">
      <w:start w:val="1"/>
      <w:numFmt w:val="bullet"/>
      <w:lvlText w:val=""/>
      <w:lvlJc w:val="left"/>
      <w:pPr>
        <w:ind w:left="8073" w:hanging="360"/>
      </w:pPr>
      <w:rPr>
        <w:rFonts w:ascii="Wingdings" w:hAnsi="Wingdings" w:hint="default"/>
      </w:rPr>
    </w:lvl>
  </w:abstractNum>
  <w:abstractNum w:abstractNumId="103" w15:restartNumberingAfterBreak="0">
    <w:nsid w:val="7683558A"/>
    <w:multiLevelType w:val="hybridMultilevel"/>
    <w:tmpl w:val="0D9C68B8"/>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4" w15:restartNumberingAfterBreak="0">
    <w:nsid w:val="76AB5E68"/>
    <w:multiLevelType w:val="hybridMultilevel"/>
    <w:tmpl w:val="EA22BDE6"/>
    <w:lvl w:ilvl="0" w:tplc="977C0E66">
      <w:start w:val="1"/>
      <w:numFmt w:val="decimal"/>
      <w:lvlText w:val="%1."/>
      <w:lvlJc w:val="left"/>
      <w:pPr>
        <w:ind w:left="720" w:hanging="360"/>
      </w:pPr>
      <w:rPr>
        <w:rFonts w:hint="default"/>
        <w:b w:val="0"/>
        <w:i w:val="0"/>
        <w:color w:val="auto"/>
        <w:sz w:val="22"/>
        <w:szCs w:val="22"/>
      </w:rPr>
    </w:lvl>
    <w:lvl w:ilvl="1" w:tplc="0C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A3F082F"/>
    <w:multiLevelType w:val="multilevel"/>
    <w:tmpl w:val="39E8F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A4341C7"/>
    <w:multiLevelType w:val="hybridMultilevel"/>
    <w:tmpl w:val="67A82974"/>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7" w15:restartNumberingAfterBreak="0">
    <w:nsid w:val="7AE872FC"/>
    <w:multiLevelType w:val="hybridMultilevel"/>
    <w:tmpl w:val="2652668C"/>
    <w:lvl w:ilvl="0" w:tplc="BB7618C0">
      <w:start w:val="1"/>
      <w:numFmt w:val="decimal"/>
      <w:lvlText w:val="%1."/>
      <w:lvlJc w:val="left"/>
      <w:pPr>
        <w:ind w:left="502" w:hanging="360"/>
      </w:pPr>
      <w:rPr>
        <w:b w:val="0"/>
        <w:i w:val="0"/>
        <w:color w:val="auto"/>
        <w:sz w:val="22"/>
        <w:szCs w:val="22"/>
      </w:rPr>
    </w:lvl>
    <w:lvl w:ilvl="1" w:tplc="0C090001">
      <w:start w:val="1"/>
      <w:numFmt w:val="bullet"/>
      <w:lvlText w:val=""/>
      <w:lvlJc w:val="left"/>
      <w:pPr>
        <w:ind w:left="1440" w:hanging="360"/>
      </w:pPr>
      <w:rPr>
        <w:rFonts w:ascii="Symbol" w:hAnsi="Symbol" w:hint="default"/>
      </w:rPr>
    </w:lvl>
    <w:lvl w:ilvl="2" w:tplc="7542C074">
      <w:start w:val="1"/>
      <w:numFmt w:val="lowerRoman"/>
      <w:lvlText w:val="%3."/>
      <w:lvlJc w:val="right"/>
      <w:pPr>
        <w:ind w:left="2160" w:hanging="180"/>
      </w:pPr>
      <w:rPr>
        <w:color w:val="auto"/>
      </w:rPr>
    </w:lvl>
    <w:lvl w:ilvl="3" w:tplc="BEA4394E">
      <w:start w:val="1"/>
      <w:numFmt w:val="lowerRoman"/>
      <w:lvlText w:val="(%4)"/>
      <w:lvlJc w:val="left"/>
      <w:pPr>
        <w:ind w:left="3240" w:hanging="720"/>
      </w:pPr>
      <w:rPr>
        <w:rFonts w:hint="default"/>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8" w15:restartNumberingAfterBreak="0">
    <w:nsid w:val="7B890116"/>
    <w:multiLevelType w:val="hybridMultilevel"/>
    <w:tmpl w:val="5EBAA1EA"/>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09" w15:restartNumberingAfterBreak="0">
    <w:nsid w:val="7C410BC3"/>
    <w:multiLevelType w:val="hybridMultilevel"/>
    <w:tmpl w:val="9EA81388"/>
    <w:lvl w:ilvl="0" w:tplc="BB7618C0">
      <w:start w:val="1"/>
      <w:numFmt w:val="decimal"/>
      <w:lvlText w:val="%1."/>
      <w:lvlJc w:val="left"/>
      <w:pPr>
        <w:ind w:left="360" w:hanging="360"/>
      </w:pPr>
      <w:rPr>
        <w:b w:val="0"/>
        <w:i w:val="0"/>
        <w:color w:val="auto"/>
        <w:sz w:val="22"/>
        <w:szCs w:val="22"/>
      </w:rPr>
    </w:lvl>
    <w:lvl w:ilvl="1" w:tplc="0C090001">
      <w:start w:val="1"/>
      <w:numFmt w:val="bullet"/>
      <w:lvlText w:val=""/>
      <w:lvlJc w:val="left"/>
      <w:pPr>
        <w:ind w:left="1298" w:hanging="360"/>
      </w:pPr>
      <w:rPr>
        <w:rFonts w:ascii="Symbol" w:hAnsi="Symbol" w:hint="default"/>
      </w:rPr>
    </w:lvl>
    <w:lvl w:ilvl="2" w:tplc="7542C074">
      <w:start w:val="1"/>
      <w:numFmt w:val="lowerRoman"/>
      <w:lvlText w:val="%3."/>
      <w:lvlJc w:val="right"/>
      <w:pPr>
        <w:ind w:left="2018" w:hanging="180"/>
      </w:pPr>
      <w:rPr>
        <w:color w:val="auto"/>
      </w:rPr>
    </w:lvl>
    <w:lvl w:ilvl="3" w:tplc="BEA4394E">
      <w:start w:val="1"/>
      <w:numFmt w:val="lowerRoman"/>
      <w:lvlText w:val="(%4)"/>
      <w:lvlJc w:val="left"/>
      <w:pPr>
        <w:ind w:left="3098" w:hanging="720"/>
      </w:pPr>
      <w:rPr>
        <w:rFonts w:hint="default"/>
      </w:rPr>
    </w:lvl>
    <w:lvl w:ilvl="4" w:tplc="0C090019" w:tentative="1">
      <w:start w:val="1"/>
      <w:numFmt w:val="lowerLetter"/>
      <w:lvlText w:val="%5."/>
      <w:lvlJc w:val="left"/>
      <w:pPr>
        <w:ind w:left="3458" w:hanging="360"/>
      </w:pPr>
    </w:lvl>
    <w:lvl w:ilvl="5" w:tplc="0C09001B" w:tentative="1">
      <w:start w:val="1"/>
      <w:numFmt w:val="lowerRoman"/>
      <w:lvlText w:val="%6."/>
      <w:lvlJc w:val="right"/>
      <w:pPr>
        <w:ind w:left="4178" w:hanging="180"/>
      </w:pPr>
    </w:lvl>
    <w:lvl w:ilvl="6" w:tplc="0C09000F" w:tentative="1">
      <w:start w:val="1"/>
      <w:numFmt w:val="decimal"/>
      <w:lvlText w:val="%7."/>
      <w:lvlJc w:val="left"/>
      <w:pPr>
        <w:ind w:left="4898" w:hanging="360"/>
      </w:pPr>
    </w:lvl>
    <w:lvl w:ilvl="7" w:tplc="0C090019" w:tentative="1">
      <w:start w:val="1"/>
      <w:numFmt w:val="lowerLetter"/>
      <w:lvlText w:val="%8."/>
      <w:lvlJc w:val="left"/>
      <w:pPr>
        <w:ind w:left="5618" w:hanging="360"/>
      </w:pPr>
    </w:lvl>
    <w:lvl w:ilvl="8" w:tplc="0C09001B" w:tentative="1">
      <w:start w:val="1"/>
      <w:numFmt w:val="lowerRoman"/>
      <w:lvlText w:val="%9."/>
      <w:lvlJc w:val="right"/>
      <w:pPr>
        <w:ind w:left="6338" w:hanging="180"/>
      </w:pPr>
    </w:lvl>
  </w:abstractNum>
  <w:abstractNum w:abstractNumId="110" w15:restartNumberingAfterBreak="0">
    <w:nsid w:val="7C953799"/>
    <w:multiLevelType w:val="hybridMultilevel"/>
    <w:tmpl w:val="A8A658E4"/>
    <w:lvl w:ilvl="0" w:tplc="0C090011">
      <w:start w:val="1"/>
      <w:numFmt w:val="decimal"/>
      <w:lvlText w:val="%1)"/>
      <w:lvlJc w:val="left"/>
      <w:pPr>
        <w:ind w:left="1211" w:hanging="360"/>
      </w:pPr>
    </w:lvl>
    <w:lvl w:ilvl="1" w:tplc="0C090019" w:tentative="1">
      <w:start w:val="1"/>
      <w:numFmt w:val="lowerLetter"/>
      <w:lvlText w:val="%2."/>
      <w:lvlJc w:val="left"/>
      <w:pPr>
        <w:ind w:left="1931" w:hanging="360"/>
      </w:pPr>
    </w:lvl>
    <w:lvl w:ilvl="2" w:tplc="0C09001B" w:tentative="1">
      <w:start w:val="1"/>
      <w:numFmt w:val="lowerRoman"/>
      <w:lvlText w:val="%3."/>
      <w:lvlJc w:val="right"/>
      <w:pPr>
        <w:ind w:left="2651" w:hanging="180"/>
      </w:pPr>
    </w:lvl>
    <w:lvl w:ilvl="3" w:tplc="0C09000F" w:tentative="1">
      <w:start w:val="1"/>
      <w:numFmt w:val="decimal"/>
      <w:lvlText w:val="%4."/>
      <w:lvlJc w:val="left"/>
      <w:pPr>
        <w:ind w:left="3371" w:hanging="360"/>
      </w:pPr>
    </w:lvl>
    <w:lvl w:ilvl="4" w:tplc="0C090019" w:tentative="1">
      <w:start w:val="1"/>
      <w:numFmt w:val="lowerLetter"/>
      <w:lvlText w:val="%5."/>
      <w:lvlJc w:val="left"/>
      <w:pPr>
        <w:ind w:left="4091" w:hanging="360"/>
      </w:pPr>
    </w:lvl>
    <w:lvl w:ilvl="5" w:tplc="0C09001B" w:tentative="1">
      <w:start w:val="1"/>
      <w:numFmt w:val="lowerRoman"/>
      <w:lvlText w:val="%6."/>
      <w:lvlJc w:val="right"/>
      <w:pPr>
        <w:ind w:left="4811" w:hanging="180"/>
      </w:pPr>
    </w:lvl>
    <w:lvl w:ilvl="6" w:tplc="0C09000F" w:tentative="1">
      <w:start w:val="1"/>
      <w:numFmt w:val="decimal"/>
      <w:lvlText w:val="%7."/>
      <w:lvlJc w:val="left"/>
      <w:pPr>
        <w:ind w:left="5531" w:hanging="360"/>
      </w:pPr>
    </w:lvl>
    <w:lvl w:ilvl="7" w:tplc="0C090019" w:tentative="1">
      <w:start w:val="1"/>
      <w:numFmt w:val="lowerLetter"/>
      <w:lvlText w:val="%8."/>
      <w:lvlJc w:val="left"/>
      <w:pPr>
        <w:ind w:left="6251" w:hanging="360"/>
      </w:pPr>
    </w:lvl>
    <w:lvl w:ilvl="8" w:tplc="0C09001B" w:tentative="1">
      <w:start w:val="1"/>
      <w:numFmt w:val="lowerRoman"/>
      <w:lvlText w:val="%9."/>
      <w:lvlJc w:val="right"/>
      <w:pPr>
        <w:ind w:left="6971" w:hanging="180"/>
      </w:pPr>
    </w:lvl>
  </w:abstractNum>
  <w:abstractNum w:abstractNumId="111" w15:restartNumberingAfterBreak="0">
    <w:nsid w:val="7D476D45"/>
    <w:multiLevelType w:val="hybridMultilevel"/>
    <w:tmpl w:val="6088C4F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1"/>
  </w:num>
  <w:num w:numId="2">
    <w:abstractNumId w:val="38"/>
  </w:num>
  <w:num w:numId="3">
    <w:abstractNumId w:val="42"/>
  </w:num>
  <w:num w:numId="4">
    <w:abstractNumId w:val="88"/>
  </w:num>
  <w:num w:numId="5">
    <w:abstractNumId w:val="34"/>
  </w:num>
  <w:num w:numId="6">
    <w:abstractNumId w:val="27"/>
  </w:num>
  <w:num w:numId="7">
    <w:abstractNumId w:val="109"/>
  </w:num>
  <w:num w:numId="8">
    <w:abstractNumId w:val="110"/>
  </w:num>
  <w:num w:numId="9">
    <w:abstractNumId w:val="76"/>
  </w:num>
  <w:num w:numId="10">
    <w:abstractNumId w:val="37"/>
  </w:num>
  <w:num w:numId="11">
    <w:abstractNumId w:val="31"/>
  </w:num>
  <w:num w:numId="12">
    <w:abstractNumId w:val="79"/>
  </w:num>
  <w:num w:numId="13">
    <w:abstractNumId w:val="93"/>
  </w:num>
  <w:num w:numId="14">
    <w:abstractNumId w:val="98"/>
  </w:num>
  <w:num w:numId="15">
    <w:abstractNumId w:val="69"/>
  </w:num>
  <w:num w:numId="16">
    <w:abstractNumId w:val="15"/>
  </w:num>
  <w:num w:numId="17">
    <w:abstractNumId w:val="59"/>
  </w:num>
  <w:num w:numId="18">
    <w:abstractNumId w:val="48"/>
  </w:num>
  <w:num w:numId="19">
    <w:abstractNumId w:val="102"/>
  </w:num>
  <w:num w:numId="20">
    <w:abstractNumId w:val="65"/>
  </w:num>
  <w:num w:numId="21">
    <w:abstractNumId w:val="81"/>
  </w:num>
  <w:num w:numId="22">
    <w:abstractNumId w:val="49"/>
  </w:num>
  <w:num w:numId="23">
    <w:abstractNumId w:val="108"/>
  </w:num>
  <w:num w:numId="24">
    <w:abstractNumId w:val="32"/>
  </w:num>
  <w:num w:numId="25">
    <w:abstractNumId w:val="22"/>
  </w:num>
  <w:num w:numId="26">
    <w:abstractNumId w:val="99"/>
  </w:num>
  <w:num w:numId="27">
    <w:abstractNumId w:val="86"/>
  </w:num>
  <w:num w:numId="28">
    <w:abstractNumId w:val="46"/>
  </w:num>
  <w:num w:numId="29">
    <w:abstractNumId w:val="53"/>
  </w:num>
  <w:num w:numId="30">
    <w:abstractNumId w:val="106"/>
  </w:num>
  <w:num w:numId="31">
    <w:abstractNumId w:val="74"/>
  </w:num>
  <w:num w:numId="32">
    <w:abstractNumId w:val="92"/>
  </w:num>
  <w:num w:numId="33">
    <w:abstractNumId w:val="100"/>
  </w:num>
  <w:num w:numId="34">
    <w:abstractNumId w:val="62"/>
  </w:num>
  <w:num w:numId="35">
    <w:abstractNumId w:val="73"/>
  </w:num>
  <w:num w:numId="36">
    <w:abstractNumId w:val="6"/>
  </w:num>
  <w:num w:numId="37">
    <w:abstractNumId w:val="103"/>
  </w:num>
  <w:num w:numId="38">
    <w:abstractNumId w:val="28"/>
  </w:num>
  <w:num w:numId="39">
    <w:abstractNumId w:val="55"/>
  </w:num>
  <w:num w:numId="40">
    <w:abstractNumId w:val="84"/>
  </w:num>
  <w:num w:numId="41">
    <w:abstractNumId w:val="107"/>
  </w:num>
  <w:num w:numId="42">
    <w:abstractNumId w:val="39"/>
  </w:num>
  <w:num w:numId="43">
    <w:abstractNumId w:val="57"/>
  </w:num>
  <w:num w:numId="44">
    <w:abstractNumId w:val="95"/>
  </w:num>
  <w:num w:numId="45">
    <w:abstractNumId w:val="8"/>
  </w:num>
  <w:num w:numId="46">
    <w:abstractNumId w:val="97"/>
  </w:num>
  <w:num w:numId="47">
    <w:abstractNumId w:val="99"/>
  </w:num>
  <w:num w:numId="48">
    <w:abstractNumId w:val="99"/>
  </w:num>
  <w:num w:numId="49">
    <w:abstractNumId w:val="99"/>
  </w:num>
  <w:num w:numId="50">
    <w:abstractNumId w:val="99"/>
  </w:num>
  <w:num w:numId="51">
    <w:abstractNumId w:val="60"/>
  </w:num>
  <w:num w:numId="52">
    <w:abstractNumId w:val="99"/>
  </w:num>
  <w:num w:numId="53">
    <w:abstractNumId w:val="99"/>
  </w:num>
  <w:num w:numId="54">
    <w:abstractNumId w:val="99"/>
  </w:num>
  <w:num w:numId="55">
    <w:abstractNumId w:val="99"/>
  </w:num>
  <w:num w:numId="56">
    <w:abstractNumId w:val="99"/>
  </w:num>
  <w:num w:numId="57">
    <w:abstractNumId w:val="12"/>
  </w:num>
  <w:num w:numId="58">
    <w:abstractNumId w:val="25"/>
  </w:num>
  <w:num w:numId="59">
    <w:abstractNumId w:val="99"/>
  </w:num>
  <w:num w:numId="60">
    <w:abstractNumId w:val="99"/>
  </w:num>
  <w:num w:numId="61">
    <w:abstractNumId w:val="99"/>
  </w:num>
  <w:num w:numId="62">
    <w:abstractNumId w:val="99"/>
  </w:num>
  <w:num w:numId="63">
    <w:abstractNumId w:val="23"/>
  </w:num>
  <w:num w:numId="64">
    <w:abstractNumId w:val="54"/>
  </w:num>
  <w:num w:numId="65">
    <w:abstractNumId w:val="99"/>
  </w:num>
  <w:num w:numId="66">
    <w:abstractNumId w:val="99"/>
  </w:num>
  <w:num w:numId="67">
    <w:abstractNumId w:val="99"/>
  </w:num>
  <w:num w:numId="68">
    <w:abstractNumId w:val="99"/>
  </w:num>
  <w:num w:numId="69">
    <w:abstractNumId w:val="99"/>
  </w:num>
  <w:num w:numId="70">
    <w:abstractNumId w:val="99"/>
  </w:num>
  <w:num w:numId="71">
    <w:abstractNumId w:val="99"/>
  </w:num>
  <w:num w:numId="72">
    <w:abstractNumId w:val="105"/>
  </w:num>
  <w:num w:numId="73">
    <w:abstractNumId w:val="99"/>
  </w:num>
  <w:num w:numId="74">
    <w:abstractNumId w:val="85"/>
  </w:num>
  <w:num w:numId="75">
    <w:abstractNumId w:val="99"/>
  </w:num>
  <w:num w:numId="76">
    <w:abstractNumId w:val="33"/>
  </w:num>
  <w:num w:numId="77">
    <w:abstractNumId w:val="99"/>
  </w:num>
  <w:num w:numId="78">
    <w:abstractNumId w:val="99"/>
  </w:num>
  <w:num w:numId="79">
    <w:abstractNumId w:val="99"/>
  </w:num>
  <w:num w:numId="80">
    <w:abstractNumId w:val="99"/>
  </w:num>
  <w:num w:numId="81">
    <w:abstractNumId w:val="3"/>
  </w:num>
  <w:num w:numId="82">
    <w:abstractNumId w:val="96"/>
  </w:num>
  <w:num w:numId="83">
    <w:abstractNumId w:val="77"/>
  </w:num>
  <w:num w:numId="84">
    <w:abstractNumId w:val="83"/>
  </w:num>
  <w:num w:numId="85">
    <w:abstractNumId w:val="99"/>
  </w:num>
  <w:num w:numId="86">
    <w:abstractNumId w:val="99"/>
  </w:num>
  <w:num w:numId="87">
    <w:abstractNumId w:val="99"/>
  </w:num>
  <w:num w:numId="88">
    <w:abstractNumId w:val="99"/>
  </w:num>
  <w:num w:numId="89">
    <w:abstractNumId w:val="99"/>
  </w:num>
  <w:num w:numId="90">
    <w:abstractNumId w:val="99"/>
  </w:num>
  <w:num w:numId="91">
    <w:abstractNumId w:val="21"/>
  </w:num>
  <w:num w:numId="92">
    <w:abstractNumId w:val="68"/>
  </w:num>
  <w:num w:numId="93">
    <w:abstractNumId w:val="99"/>
  </w:num>
  <w:num w:numId="94">
    <w:abstractNumId w:val="0"/>
  </w:num>
  <w:num w:numId="95">
    <w:abstractNumId w:val="80"/>
  </w:num>
  <w:num w:numId="96">
    <w:abstractNumId w:val="94"/>
  </w:num>
  <w:num w:numId="97">
    <w:abstractNumId w:val="47"/>
    <w:lvlOverride w:ilvl="0">
      <w:startOverride w:val="52"/>
    </w:lvlOverride>
  </w:num>
  <w:num w:numId="98">
    <w:abstractNumId w:val="40"/>
  </w:num>
  <w:num w:numId="99">
    <w:abstractNumId w:val="99"/>
  </w:num>
  <w:num w:numId="100">
    <w:abstractNumId w:val="99"/>
  </w:num>
  <w:num w:numId="101">
    <w:abstractNumId w:val="99"/>
  </w:num>
  <w:num w:numId="102">
    <w:abstractNumId w:val="99"/>
  </w:num>
  <w:num w:numId="103">
    <w:abstractNumId w:val="99"/>
  </w:num>
  <w:num w:numId="104">
    <w:abstractNumId w:val="63"/>
  </w:num>
  <w:num w:numId="105">
    <w:abstractNumId w:val="99"/>
  </w:num>
  <w:num w:numId="106">
    <w:abstractNumId w:val="99"/>
  </w:num>
  <w:num w:numId="107">
    <w:abstractNumId w:val="99"/>
  </w:num>
  <w:num w:numId="108">
    <w:abstractNumId w:val="99"/>
  </w:num>
  <w:num w:numId="109">
    <w:abstractNumId w:val="99"/>
  </w:num>
  <w:num w:numId="110">
    <w:abstractNumId w:val="99"/>
  </w:num>
  <w:num w:numId="111">
    <w:abstractNumId w:val="99"/>
  </w:num>
  <w:num w:numId="112">
    <w:abstractNumId w:val="99"/>
  </w:num>
  <w:num w:numId="113">
    <w:abstractNumId w:val="99"/>
  </w:num>
  <w:num w:numId="114">
    <w:abstractNumId w:val="99"/>
  </w:num>
  <w:num w:numId="115">
    <w:abstractNumId w:val="99"/>
  </w:num>
  <w:num w:numId="116">
    <w:abstractNumId w:val="99"/>
  </w:num>
  <w:num w:numId="117">
    <w:abstractNumId w:val="99"/>
  </w:num>
  <w:num w:numId="118">
    <w:abstractNumId w:val="99"/>
  </w:num>
  <w:num w:numId="119">
    <w:abstractNumId w:val="99"/>
  </w:num>
  <w:num w:numId="120">
    <w:abstractNumId w:val="99"/>
  </w:num>
  <w:num w:numId="121">
    <w:abstractNumId w:val="99"/>
  </w:num>
  <w:num w:numId="122">
    <w:abstractNumId w:val="99"/>
  </w:num>
  <w:num w:numId="123">
    <w:abstractNumId w:val="99"/>
  </w:num>
  <w:num w:numId="124">
    <w:abstractNumId w:val="99"/>
  </w:num>
  <w:num w:numId="125">
    <w:abstractNumId w:val="99"/>
  </w:num>
  <w:num w:numId="126">
    <w:abstractNumId w:val="99"/>
  </w:num>
  <w:num w:numId="127">
    <w:abstractNumId w:val="99"/>
  </w:num>
  <w:num w:numId="128">
    <w:abstractNumId w:val="87"/>
  </w:num>
  <w:num w:numId="129">
    <w:abstractNumId w:val="35"/>
  </w:num>
  <w:num w:numId="130">
    <w:abstractNumId w:val="29"/>
  </w:num>
  <w:num w:numId="131">
    <w:abstractNumId w:val="7"/>
  </w:num>
  <w:num w:numId="132">
    <w:abstractNumId w:val="90"/>
  </w:num>
  <w:num w:numId="133">
    <w:abstractNumId w:val="45"/>
  </w:num>
  <w:num w:numId="134">
    <w:abstractNumId w:val="99"/>
  </w:num>
  <w:num w:numId="135">
    <w:abstractNumId w:val="99"/>
  </w:num>
  <w:num w:numId="136">
    <w:abstractNumId w:val="99"/>
  </w:num>
  <w:num w:numId="137">
    <w:abstractNumId w:val="99"/>
  </w:num>
  <w:num w:numId="138">
    <w:abstractNumId w:val="99"/>
  </w:num>
  <w:num w:numId="139">
    <w:abstractNumId w:val="99"/>
  </w:num>
  <w:num w:numId="140">
    <w:abstractNumId w:val="99"/>
  </w:num>
  <w:num w:numId="141">
    <w:abstractNumId w:val="99"/>
  </w:num>
  <w:num w:numId="142">
    <w:abstractNumId w:val="99"/>
  </w:num>
  <w:num w:numId="143">
    <w:abstractNumId w:val="24"/>
  </w:num>
  <w:num w:numId="144">
    <w:abstractNumId w:val="30"/>
  </w:num>
  <w:num w:numId="145">
    <w:abstractNumId w:val="36"/>
  </w:num>
  <w:num w:numId="146">
    <w:abstractNumId w:val="56"/>
  </w:num>
  <w:num w:numId="147">
    <w:abstractNumId w:val="99"/>
  </w:num>
  <w:num w:numId="148">
    <w:abstractNumId w:val="99"/>
  </w:num>
  <w:num w:numId="149">
    <w:abstractNumId w:val="99"/>
  </w:num>
  <w:num w:numId="150">
    <w:abstractNumId w:val="99"/>
  </w:num>
  <w:num w:numId="151">
    <w:abstractNumId w:val="99"/>
  </w:num>
  <w:num w:numId="152">
    <w:abstractNumId w:val="99"/>
  </w:num>
  <w:num w:numId="153">
    <w:abstractNumId w:val="99"/>
  </w:num>
  <w:num w:numId="154">
    <w:abstractNumId w:val="13"/>
  </w:num>
  <w:num w:numId="155">
    <w:abstractNumId w:val="99"/>
  </w:num>
  <w:num w:numId="156">
    <w:abstractNumId w:val="99"/>
  </w:num>
  <w:num w:numId="157">
    <w:abstractNumId w:val="99"/>
  </w:num>
  <w:num w:numId="158">
    <w:abstractNumId w:val="99"/>
  </w:num>
  <w:num w:numId="159">
    <w:abstractNumId w:val="99"/>
  </w:num>
  <w:num w:numId="160">
    <w:abstractNumId w:val="99"/>
  </w:num>
  <w:num w:numId="161">
    <w:abstractNumId w:val="99"/>
  </w:num>
  <w:num w:numId="162">
    <w:abstractNumId w:val="99"/>
  </w:num>
  <w:num w:numId="163">
    <w:abstractNumId w:val="99"/>
  </w:num>
  <w:num w:numId="164">
    <w:abstractNumId w:val="50"/>
  </w:num>
  <w:num w:numId="165">
    <w:abstractNumId w:val="19"/>
  </w:num>
  <w:num w:numId="166">
    <w:abstractNumId w:val="58"/>
  </w:num>
  <w:num w:numId="167">
    <w:abstractNumId w:val="61"/>
  </w:num>
  <w:num w:numId="168">
    <w:abstractNumId w:val="101"/>
  </w:num>
  <w:num w:numId="169">
    <w:abstractNumId w:val="99"/>
  </w:num>
  <w:num w:numId="170">
    <w:abstractNumId w:val="99"/>
  </w:num>
  <w:num w:numId="171">
    <w:abstractNumId w:val="99"/>
  </w:num>
  <w:num w:numId="172">
    <w:abstractNumId w:val="99"/>
  </w:num>
  <w:num w:numId="173">
    <w:abstractNumId w:val="1"/>
  </w:num>
  <w:num w:numId="174">
    <w:abstractNumId w:val="75"/>
  </w:num>
  <w:num w:numId="175">
    <w:abstractNumId w:val="111"/>
  </w:num>
  <w:num w:numId="176">
    <w:abstractNumId w:val="52"/>
  </w:num>
  <w:num w:numId="177">
    <w:abstractNumId w:val="89"/>
  </w:num>
  <w:num w:numId="178">
    <w:abstractNumId w:val="99"/>
  </w:num>
  <w:num w:numId="179">
    <w:abstractNumId w:val="99"/>
  </w:num>
  <w:num w:numId="180">
    <w:abstractNumId w:val="99"/>
  </w:num>
  <w:num w:numId="181">
    <w:abstractNumId w:val="99"/>
  </w:num>
  <w:num w:numId="182">
    <w:abstractNumId w:val="99"/>
  </w:num>
  <w:num w:numId="183">
    <w:abstractNumId w:val="99"/>
  </w:num>
  <w:num w:numId="184">
    <w:abstractNumId w:val="78"/>
  </w:num>
  <w:num w:numId="185">
    <w:abstractNumId w:val="5"/>
  </w:num>
  <w:num w:numId="186">
    <w:abstractNumId w:val="64"/>
  </w:num>
  <w:num w:numId="187">
    <w:abstractNumId w:val="9"/>
  </w:num>
  <w:num w:numId="188">
    <w:abstractNumId w:val="71"/>
  </w:num>
  <w:num w:numId="189">
    <w:abstractNumId w:val="44"/>
  </w:num>
  <w:num w:numId="190">
    <w:abstractNumId w:val="18"/>
  </w:num>
  <w:num w:numId="191">
    <w:abstractNumId w:val="66"/>
  </w:num>
  <w:num w:numId="192">
    <w:abstractNumId w:val="72"/>
  </w:num>
  <w:num w:numId="193">
    <w:abstractNumId w:val="17"/>
  </w:num>
  <w:num w:numId="194">
    <w:abstractNumId w:val="14"/>
  </w:num>
  <w:num w:numId="195">
    <w:abstractNumId w:val="20"/>
  </w:num>
  <w:num w:numId="196">
    <w:abstractNumId w:val="82"/>
  </w:num>
  <w:num w:numId="197">
    <w:abstractNumId w:val="11"/>
  </w:num>
  <w:num w:numId="198">
    <w:abstractNumId w:val="2"/>
  </w:num>
  <w:num w:numId="199">
    <w:abstractNumId w:val="43"/>
  </w:num>
  <w:num w:numId="200">
    <w:abstractNumId w:val="91"/>
  </w:num>
  <w:num w:numId="201">
    <w:abstractNumId w:val="51"/>
  </w:num>
  <w:num w:numId="202">
    <w:abstractNumId w:val="70"/>
  </w:num>
  <w:num w:numId="203">
    <w:abstractNumId w:val="16"/>
  </w:num>
  <w:num w:numId="204">
    <w:abstractNumId w:val="4"/>
  </w:num>
  <w:num w:numId="205">
    <w:abstractNumId w:val="26"/>
  </w:num>
  <w:num w:numId="206">
    <w:abstractNumId w:val="104"/>
  </w:num>
  <w:num w:numId="207">
    <w:abstractNumId w:val="10"/>
  </w:num>
  <w:num w:numId="208">
    <w:abstractNumId w:val="67"/>
  </w:num>
  <w:num w:numId="209">
    <w:abstractNumId w:val="99"/>
  </w:num>
  <w:num w:numId="210">
    <w:abstractNumId w:val="99"/>
  </w:num>
  <w:num w:numId="211">
    <w:abstractNumId w:val="99"/>
  </w:num>
  <w:num w:numId="212">
    <w:abstractNumId w:val="99"/>
  </w:num>
  <w:num w:numId="213">
    <w:abstractNumId w:val="99"/>
  </w:num>
  <w:num w:numId="214">
    <w:abstractNumId w:val="99"/>
  </w:num>
  <w:num w:numId="215">
    <w:abstractNumId w:val="99"/>
  </w:num>
  <w:num w:numId="216">
    <w:abstractNumId w:val="99"/>
  </w:num>
  <w:num w:numId="217">
    <w:abstractNumId w:val="99"/>
  </w:num>
  <w:num w:numId="218">
    <w:abstractNumId w:val="99"/>
  </w:num>
  <w:num w:numId="219">
    <w:abstractNumId w:val="99"/>
  </w:num>
  <w:num w:numId="220">
    <w:abstractNumId w:val="99"/>
  </w:num>
  <w:num w:numId="221">
    <w:abstractNumId w:val="99"/>
  </w:num>
  <w:num w:numId="222">
    <w:abstractNumId w:val="99"/>
  </w:num>
  <w:num w:numId="223">
    <w:abstractNumId w:val="99"/>
  </w:num>
  <w:num w:numId="224">
    <w:abstractNumId w:val="99"/>
  </w:num>
  <w:num w:numId="225">
    <w:abstractNumId w:val="99"/>
  </w:num>
  <w:num w:numId="226">
    <w:abstractNumId w:val="99"/>
  </w:num>
  <w:num w:numId="227">
    <w:abstractNumId w:val="99"/>
  </w:num>
  <w:num w:numId="228">
    <w:abstractNumId w:val="99"/>
  </w:num>
  <w:num w:numId="229">
    <w:abstractNumId w:val="99"/>
  </w:num>
  <w:num w:numId="230">
    <w:abstractNumId w:val="99"/>
  </w:num>
  <w:num w:numId="231">
    <w:abstractNumId w:val="99"/>
  </w:num>
  <w:num w:numId="232">
    <w:abstractNumId w:val="99"/>
  </w:num>
  <w:num w:numId="233">
    <w:abstractNumId w:val="99"/>
  </w:num>
  <w:num w:numId="234">
    <w:abstractNumId w:val="99"/>
  </w:num>
  <w:num w:numId="235">
    <w:abstractNumId w:val="99"/>
  </w:num>
  <w:num w:numId="236">
    <w:abstractNumId w:val="99"/>
  </w:num>
  <w:num w:numId="237">
    <w:abstractNumId w:val="99"/>
  </w:num>
  <w:num w:numId="238">
    <w:abstractNumId w:val="99"/>
  </w:num>
  <w:num w:numId="239">
    <w:abstractNumId w:val="99"/>
  </w:num>
  <w:num w:numId="240">
    <w:abstractNumId w:val="99"/>
  </w:num>
  <w:num w:numId="241">
    <w:abstractNumId w:val="99"/>
  </w:num>
  <w:num w:numId="242">
    <w:abstractNumId w:val="99"/>
  </w:num>
  <w:num w:numId="243">
    <w:abstractNumId w:val="99"/>
  </w:num>
  <w:numIdMacAtCleanup w:val="2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activeWritingStyle w:appName="MSWord" w:lang="en-US" w:vendorID="64" w:dllVersion="0" w:nlCheck="1" w:checkStyle="0"/>
  <w:activeWritingStyle w:appName="MSWord" w:lang="en-AU" w:vendorID="64" w:dllVersion="4096" w:nlCheck="1" w:checkStyle="0"/>
  <w:activeWritingStyle w:appName="MSWord" w:lang="en-US" w:vendorID="64" w:dllVersion="4096" w:nlCheck="1" w:checkStyle="0"/>
  <w:activeWritingStyle w:appName="MSWord" w:lang="en-AU"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rawingGridVerticalSpacing w:val="39"/>
  <w:displayHorizontalDrawingGridEvery w:val="0"/>
  <w:displayVerticalDrawingGridEvery w:val="2"/>
  <w:noPunctuationKerning/>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26DD"/>
    <w:rsid w:val="00000112"/>
    <w:rsid w:val="0000013E"/>
    <w:rsid w:val="0000065C"/>
    <w:rsid w:val="000007E7"/>
    <w:rsid w:val="00000D64"/>
    <w:rsid w:val="00000E28"/>
    <w:rsid w:val="0000137B"/>
    <w:rsid w:val="000015BB"/>
    <w:rsid w:val="00001837"/>
    <w:rsid w:val="00001931"/>
    <w:rsid w:val="00001947"/>
    <w:rsid w:val="00001A60"/>
    <w:rsid w:val="000020A0"/>
    <w:rsid w:val="000025F0"/>
    <w:rsid w:val="0000293B"/>
    <w:rsid w:val="00002C45"/>
    <w:rsid w:val="00002E70"/>
    <w:rsid w:val="00002ECD"/>
    <w:rsid w:val="000031B4"/>
    <w:rsid w:val="0000360C"/>
    <w:rsid w:val="0000365E"/>
    <w:rsid w:val="000038C0"/>
    <w:rsid w:val="00003EC7"/>
    <w:rsid w:val="000044DB"/>
    <w:rsid w:val="000049C4"/>
    <w:rsid w:val="00004C31"/>
    <w:rsid w:val="0000554C"/>
    <w:rsid w:val="000055BF"/>
    <w:rsid w:val="0000561C"/>
    <w:rsid w:val="00005929"/>
    <w:rsid w:val="0000598A"/>
    <w:rsid w:val="00005F8F"/>
    <w:rsid w:val="00005FD4"/>
    <w:rsid w:val="000060C4"/>
    <w:rsid w:val="0000667A"/>
    <w:rsid w:val="000069FC"/>
    <w:rsid w:val="00006A4E"/>
    <w:rsid w:val="00006C1A"/>
    <w:rsid w:val="00006C8D"/>
    <w:rsid w:val="00006D8D"/>
    <w:rsid w:val="00006EB0"/>
    <w:rsid w:val="000070AC"/>
    <w:rsid w:val="000071CB"/>
    <w:rsid w:val="000072D2"/>
    <w:rsid w:val="000075F0"/>
    <w:rsid w:val="00007ADE"/>
    <w:rsid w:val="00007B48"/>
    <w:rsid w:val="00007FDA"/>
    <w:rsid w:val="0001054B"/>
    <w:rsid w:val="000105DA"/>
    <w:rsid w:val="0001073B"/>
    <w:rsid w:val="000108E0"/>
    <w:rsid w:val="00010985"/>
    <w:rsid w:val="00010E3E"/>
    <w:rsid w:val="000117ED"/>
    <w:rsid w:val="000118FE"/>
    <w:rsid w:val="00011F9C"/>
    <w:rsid w:val="000123C8"/>
    <w:rsid w:val="000124B4"/>
    <w:rsid w:val="0001255F"/>
    <w:rsid w:val="000125B0"/>
    <w:rsid w:val="00012A1A"/>
    <w:rsid w:val="00012A28"/>
    <w:rsid w:val="00012E2E"/>
    <w:rsid w:val="00013815"/>
    <w:rsid w:val="00013846"/>
    <w:rsid w:val="00013A91"/>
    <w:rsid w:val="00013D92"/>
    <w:rsid w:val="00013E78"/>
    <w:rsid w:val="00013FF7"/>
    <w:rsid w:val="00014781"/>
    <w:rsid w:val="0001478C"/>
    <w:rsid w:val="00014D6D"/>
    <w:rsid w:val="00014D77"/>
    <w:rsid w:val="00014EB2"/>
    <w:rsid w:val="00014F3B"/>
    <w:rsid w:val="00015580"/>
    <w:rsid w:val="000155C6"/>
    <w:rsid w:val="000159AC"/>
    <w:rsid w:val="00016C7D"/>
    <w:rsid w:val="00016E8E"/>
    <w:rsid w:val="00017113"/>
    <w:rsid w:val="0001747C"/>
    <w:rsid w:val="000174BD"/>
    <w:rsid w:val="00017693"/>
    <w:rsid w:val="00017737"/>
    <w:rsid w:val="000178AF"/>
    <w:rsid w:val="00017BF0"/>
    <w:rsid w:val="00017C09"/>
    <w:rsid w:val="00017CAF"/>
    <w:rsid w:val="00020B9A"/>
    <w:rsid w:val="0002118B"/>
    <w:rsid w:val="0002119A"/>
    <w:rsid w:val="000212C5"/>
    <w:rsid w:val="00021606"/>
    <w:rsid w:val="00021C4A"/>
    <w:rsid w:val="00021E22"/>
    <w:rsid w:val="0002220F"/>
    <w:rsid w:val="000225CF"/>
    <w:rsid w:val="00022664"/>
    <w:rsid w:val="0002300C"/>
    <w:rsid w:val="00023BC1"/>
    <w:rsid w:val="00023BC4"/>
    <w:rsid w:val="00023D6B"/>
    <w:rsid w:val="00023E37"/>
    <w:rsid w:val="0002419F"/>
    <w:rsid w:val="000244F1"/>
    <w:rsid w:val="00024542"/>
    <w:rsid w:val="000245EF"/>
    <w:rsid w:val="0002466C"/>
    <w:rsid w:val="00024CCF"/>
    <w:rsid w:val="00024D30"/>
    <w:rsid w:val="0002509E"/>
    <w:rsid w:val="00025348"/>
    <w:rsid w:val="0002559E"/>
    <w:rsid w:val="00025620"/>
    <w:rsid w:val="00025660"/>
    <w:rsid w:val="0002575B"/>
    <w:rsid w:val="00025C04"/>
    <w:rsid w:val="000260BF"/>
    <w:rsid w:val="00026272"/>
    <w:rsid w:val="000268AB"/>
    <w:rsid w:val="000269EF"/>
    <w:rsid w:val="00026D60"/>
    <w:rsid w:val="0002704F"/>
    <w:rsid w:val="0002707A"/>
    <w:rsid w:val="00027342"/>
    <w:rsid w:val="00027754"/>
    <w:rsid w:val="000279D9"/>
    <w:rsid w:val="00027CC5"/>
    <w:rsid w:val="00027FE8"/>
    <w:rsid w:val="00027FE9"/>
    <w:rsid w:val="00030377"/>
    <w:rsid w:val="000303D4"/>
    <w:rsid w:val="000305E0"/>
    <w:rsid w:val="00030A86"/>
    <w:rsid w:val="00030BE4"/>
    <w:rsid w:val="00031709"/>
    <w:rsid w:val="00031DEE"/>
    <w:rsid w:val="00032573"/>
    <w:rsid w:val="00032CDC"/>
    <w:rsid w:val="0003310A"/>
    <w:rsid w:val="00033189"/>
    <w:rsid w:val="00033387"/>
    <w:rsid w:val="000336FB"/>
    <w:rsid w:val="000337A4"/>
    <w:rsid w:val="0003385E"/>
    <w:rsid w:val="00033D4F"/>
    <w:rsid w:val="00033E49"/>
    <w:rsid w:val="0003456C"/>
    <w:rsid w:val="000345CC"/>
    <w:rsid w:val="00034CD6"/>
    <w:rsid w:val="00034D72"/>
    <w:rsid w:val="00034DFD"/>
    <w:rsid w:val="00034FC9"/>
    <w:rsid w:val="0003568E"/>
    <w:rsid w:val="00035A4E"/>
    <w:rsid w:val="00035C33"/>
    <w:rsid w:val="00036020"/>
    <w:rsid w:val="0003631B"/>
    <w:rsid w:val="00036904"/>
    <w:rsid w:val="0003696B"/>
    <w:rsid w:val="000370EA"/>
    <w:rsid w:val="000378F3"/>
    <w:rsid w:val="00037961"/>
    <w:rsid w:val="00037A1E"/>
    <w:rsid w:val="00037FF1"/>
    <w:rsid w:val="0004016D"/>
    <w:rsid w:val="000402CA"/>
    <w:rsid w:val="000403C6"/>
    <w:rsid w:val="00040494"/>
    <w:rsid w:val="0004049E"/>
    <w:rsid w:val="00040AC0"/>
    <w:rsid w:val="00040B93"/>
    <w:rsid w:val="00040BD5"/>
    <w:rsid w:val="000413DD"/>
    <w:rsid w:val="0004162D"/>
    <w:rsid w:val="0004163C"/>
    <w:rsid w:val="000416DE"/>
    <w:rsid w:val="0004186C"/>
    <w:rsid w:val="00042429"/>
    <w:rsid w:val="000424EE"/>
    <w:rsid w:val="00042A01"/>
    <w:rsid w:val="00042EDC"/>
    <w:rsid w:val="00042F5E"/>
    <w:rsid w:val="00042F61"/>
    <w:rsid w:val="000432A2"/>
    <w:rsid w:val="000434E9"/>
    <w:rsid w:val="00043B7F"/>
    <w:rsid w:val="00043C3F"/>
    <w:rsid w:val="00043EB0"/>
    <w:rsid w:val="00044132"/>
    <w:rsid w:val="000442E1"/>
    <w:rsid w:val="00044399"/>
    <w:rsid w:val="00044441"/>
    <w:rsid w:val="0004460F"/>
    <w:rsid w:val="00044723"/>
    <w:rsid w:val="00044813"/>
    <w:rsid w:val="0004489D"/>
    <w:rsid w:val="000449B3"/>
    <w:rsid w:val="00044AC0"/>
    <w:rsid w:val="00044B4D"/>
    <w:rsid w:val="00044CC0"/>
    <w:rsid w:val="00044DE2"/>
    <w:rsid w:val="00044F4F"/>
    <w:rsid w:val="000458F8"/>
    <w:rsid w:val="00045A4D"/>
    <w:rsid w:val="00045C3E"/>
    <w:rsid w:val="00045F32"/>
    <w:rsid w:val="0004607B"/>
    <w:rsid w:val="000463FA"/>
    <w:rsid w:val="00046890"/>
    <w:rsid w:val="000469B6"/>
    <w:rsid w:val="00046A26"/>
    <w:rsid w:val="00046CC0"/>
    <w:rsid w:val="00046EBC"/>
    <w:rsid w:val="00047284"/>
    <w:rsid w:val="00047461"/>
    <w:rsid w:val="00047699"/>
    <w:rsid w:val="00047BB9"/>
    <w:rsid w:val="00047F85"/>
    <w:rsid w:val="000502B4"/>
    <w:rsid w:val="0005045E"/>
    <w:rsid w:val="00050869"/>
    <w:rsid w:val="00050950"/>
    <w:rsid w:val="00050AE8"/>
    <w:rsid w:val="00051102"/>
    <w:rsid w:val="0005114C"/>
    <w:rsid w:val="0005125E"/>
    <w:rsid w:val="00051A41"/>
    <w:rsid w:val="0005230E"/>
    <w:rsid w:val="00052A0B"/>
    <w:rsid w:val="00052BA9"/>
    <w:rsid w:val="00052BEF"/>
    <w:rsid w:val="00052C6A"/>
    <w:rsid w:val="00052E49"/>
    <w:rsid w:val="00053258"/>
    <w:rsid w:val="00053431"/>
    <w:rsid w:val="00053868"/>
    <w:rsid w:val="000538F5"/>
    <w:rsid w:val="00053913"/>
    <w:rsid w:val="00053914"/>
    <w:rsid w:val="00053A7A"/>
    <w:rsid w:val="00053EA5"/>
    <w:rsid w:val="000540DE"/>
    <w:rsid w:val="0005429A"/>
    <w:rsid w:val="000543FB"/>
    <w:rsid w:val="000547D7"/>
    <w:rsid w:val="00054C60"/>
    <w:rsid w:val="00054CDC"/>
    <w:rsid w:val="0005506F"/>
    <w:rsid w:val="000550C2"/>
    <w:rsid w:val="000551D4"/>
    <w:rsid w:val="0005526F"/>
    <w:rsid w:val="00055455"/>
    <w:rsid w:val="00055486"/>
    <w:rsid w:val="0005552C"/>
    <w:rsid w:val="0005587F"/>
    <w:rsid w:val="00055DF1"/>
    <w:rsid w:val="00056692"/>
    <w:rsid w:val="00056B7E"/>
    <w:rsid w:val="00056C15"/>
    <w:rsid w:val="00056D33"/>
    <w:rsid w:val="00057296"/>
    <w:rsid w:val="00057622"/>
    <w:rsid w:val="00057970"/>
    <w:rsid w:val="00057998"/>
    <w:rsid w:val="00057ABB"/>
    <w:rsid w:val="00057D6D"/>
    <w:rsid w:val="000608FA"/>
    <w:rsid w:val="00061786"/>
    <w:rsid w:val="00061835"/>
    <w:rsid w:val="00061AD6"/>
    <w:rsid w:val="00061BAA"/>
    <w:rsid w:val="000621CE"/>
    <w:rsid w:val="00062FDE"/>
    <w:rsid w:val="000635F8"/>
    <w:rsid w:val="00063C66"/>
    <w:rsid w:val="00063C6D"/>
    <w:rsid w:val="00063D0A"/>
    <w:rsid w:val="0006414A"/>
    <w:rsid w:val="0006435B"/>
    <w:rsid w:val="0006438B"/>
    <w:rsid w:val="0006451D"/>
    <w:rsid w:val="0006460E"/>
    <w:rsid w:val="000648F0"/>
    <w:rsid w:val="00064BF2"/>
    <w:rsid w:val="00064E82"/>
    <w:rsid w:val="00065403"/>
    <w:rsid w:val="0006568E"/>
    <w:rsid w:val="00065792"/>
    <w:rsid w:val="00065881"/>
    <w:rsid w:val="0006591B"/>
    <w:rsid w:val="000659D0"/>
    <w:rsid w:val="00065A1D"/>
    <w:rsid w:val="00065A82"/>
    <w:rsid w:val="00065DDA"/>
    <w:rsid w:val="00065E90"/>
    <w:rsid w:val="00066052"/>
    <w:rsid w:val="000660B4"/>
    <w:rsid w:val="000667BD"/>
    <w:rsid w:val="00066D01"/>
    <w:rsid w:val="00066F16"/>
    <w:rsid w:val="00067267"/>
    <w:rsid w:val="00067589"/>
    <w:rsid w:val="0006781D"/>
    <w:rsid w:val="0006787C"/>
    <w:rsid w:val="000706A8"/>
    <w:rsid w:val="0007093B"/>
    <w:rsid w:val="00070A9F"/>
    <w:rsid w:val="00070BAB"/>
    <w:rsid w:val="00070D46"/>
    <w:rsid w:val="00070FDD"/>
    <w:rsid w:val="000716B4"/>
    <w:rsid w:val="00071735"/>
    <w:rsid w:val="00071B08"/>
    <w:rsid w:val="00071B71"/>
    <w:rsid w:val="00071C0E"/>
    <w:rsid w:val="00071DEB"/>
    <w:rsid w:val="00071FF3"/>
    <w:rsid w:val="00072145"/>
    <w:rsid w:val="00072389"/>
    <w:rsid w:val="00072B0B"/>
    <w:rsid w:val="00072B82"/>
    <w:rsid w:val="00072C09"/>
    <w:rsid w:val="000732E2"/>
    <w:rsid w:val="00073372"/>
    <w:rsid w:val="00073A3B"/>
    <w:rsid w:val="00073D10"/>
    <w:rsid w:val="00073DCC"/>
    <w:rsid w:val="00073F51"/>
    <w:rsid w:val="0007415A"/>
    <w:rsid w:val="00074318"/>
    <w:rsid w:val="000745B5"/>
    <w:rsid w:val="000746DA"/>
    <w:rsid w:val="000746E9"/>
    <w:rsid w:val="00074E22"/>
    <w:rsid w:val="0007514E"/>
    <w:rsid w:val="00075929"/>
    <w:rsid w:val="000759C8"/>
    <w:rsid w:val="00075D94"/>
    <w:rsid w:val="00075E95"/>
    <w:rsid w:val="00075EAC"/>
    <w:rsid w:val="000760F5"/>
    <w:rsid w:val="00076357"/>
    <w:rsid w:val="000765C7"/>
    <w:rsid w:val="000768E3"/>
    <w:rsid w:val="00076CCA"/>
    <w:rsid w:val="00076CF0"/>
    <w:rsid w:val="00077204"/>
    <w:rsid w:val="0007750E"/>
    <w:rsid w:val="000775B2"/>
    <w:rsid w:val="000777A0"/>
    <w:rsid w:val="00077A71"/>
    <w:rsid w:val="00077CB7"/>
    <w:rsid w:val="00077D45"/>
    <w:rsid w:val="00077D4E"/>
    <w:rsid w:val="00077E0A"/>
    <w:rsid w:val="00077FA1"/>
    <w:rsid w:val="00077FF0"/>
    <w:rsid w:val="00080055"/>
    <w:rsid w:val="000805CA"/>
    <w:rsid w:val="00080E80"/>
    <w:rsid w:val="00080EBC"/>
    <w:rsid w:val="000810A6"/>
    <w:rsid w:val="000816C8"/>
    <w:rsid w:val="00081E35"/>
    <w:rsid w:val="0008225E"/>
    <w:rsid w:val="00082787"/>
    <w:rsid w:val="000833F4"/>
    <w:rsid w:val="00083863"/>
    <w:rsid w:val="00083B79"/>
    <w:rsid w:val="00083C85"/>
    <w:rsid w:val="00083D71"/>
    <w:rsid w:val="00084050"/>
    <w:rsid w:val="000840B5"/>
    <w:rsid w:val="000844D6"/>
    <w:rsid w:val="000845C2"/>
    <w:rsid w:val="0008477A"/>
    <w:rsid w:val="00084784"/>
    <w:rsid w:val="000848AE"/>
    <w:rsid w:val="00084AB7"/>
    <w:rsid w:val="00084DA3"/>
    <w:rsid w:val="00084E5C"/>
    <w:rsid w:val="00084F0C"/>
    <w:rsid w:val="00085080"/>
    <w:rsid w:val="000851F3"/>
    <w:rsid w:val="0008531E"/>
    <w:rsid w:val="00085AC9"/>
    <w:rsid w:val="00085B97"/>
    <w:rsid w:val="00085E5D"/>
    <w:rsid w:val="00085EE5"/>
    <w:rsid w:val="0008663F"/>
    <w:rsid w:val="0008677B"/>
    <w:rsid w:val="00086933"/>
    <w:rsid w:val="00086D9B"/>
    <w:rsid w:val="00086E30"/>
    <w:rsid w:val="00086EC9"/>
    <w:rsid w:val="000877ED"/>
    <w:rsid w:val="00087DD8"/>
    <w:rsid w:val="00087F37"/>
    <w:rsid w:val="0009015C"/>
    <w:rsid w:val="000904CD"/>
    <w:rsid w:val="00090518"/>
    <w:rsid w:val="0009091A"/>
    <w:rsid w:val="000909D6"/>
    <w:rsid w:val="00090D08"/>
    <w:rsid w:val="00090DD5"/>
    <w:rsid w:val="00090DE1"/>
    <w:rsid w:val="00090EC5"/>
    <w:rsid w:val="00091167"/>
    <w:rsid w:val="0009134E"/>
    <w:rsid w:val="00091AB5"/>
    <w:rsid w:val="00091BD9"/>
    <w:rsid w:val="00091BF2"/>
    <w:rsid w:val="00091DFD"/>
    <w:rsid w:val="000922ED"/>
    <w:rsid w:val="0009271C"/>
    <w:rsid w:val="000928E7"/>
    <w:rsid w:val="00092FEE"/>
    <w:rsid w:val="00093031"/>
    <w:rsid w:val="00093C02"/>
    <w:rsid w:val="00093C0E"/>
    <w:rsid w:val="00093EC5"/>
    <w:rsid w:val="00094206"/>
    <w:rsid w:val="000944E7"/>
    <w:rsid w:val="00094E55"/>
    <w:rsid w:val="00095052"/>
    <w:rsid w:val="00095938"/>
    <w:rsid w:val="00095E1D"/>
    <w:rsid w:val="00095E25"/>
    <w:rsid w:val="000961C7"/>
    <w:rsid w:val="000964CC"/>
    <w:rsid w:val="00096776"/>
    <w:rsid w:val="000969A5"/>
    <w:rsid w:val="00096B5C"/>
    <w:rsid w:val="00096BBF"/>
    <w:rsid w:val="00096CCA"/>
    <w:rsid w:val="00096CCE"/>
    <w:rsid w:val="00096FC2"/>
    <w:rsid w:val="000971AB"/>
    <w:rsid w:val="000972C0"/>
    <w:rsid w:val="00097312"/>
    <w:rsid w:val="00097450"/>
    <w:rsid w:val="0009789E"/>
    <w:rsid w:val="0009793F"/>
    <w:rsid w:val="00097B32"/>
    <w:rsid w:val="00097D75"/>
    <w:rsid w:val="00097E4D"/>
    <w:rsid w:val="000A001C"/>
    <w:rsid w:val="000A023A"/>
    <w:rsid w:val="000A04BB"/>
    <w:rsid w:val="000A06A0"/>
    <w:rsid w:val="000A1035"/>
    <w:rsid w:val="000A137E"/>
    <w:rsid w:val="000A1B11"/>
    <w:rsid w:val="000A1FD0"/>
    <w:rsid w:val="000A1FEF"/>
    <w:rsid w:val="000A208B"/>
    <w:rsid w:val="000A21B6"/>
    <w:rsid w:val="000A282B"/>
    <w:rsid w:val="000A3187"/>
    <w:rsid w:val="000A31BB"/>
    <w:rsid w:val="000A33CD"/>
    <w:rsid w:val="000A3401"/>
    <w:rsid w:val="000A37E4"/>
    <w:rsid w:val="000A3BB3"/>
    <w:rsid w:val="000A3EFF"/>
    <w:rsid w:val="000A4B0C"/>
    <w:rsid w:val="000A4EC7"/>
    <w:rsid w:val="000A5061"/>
    <w:rsid w:val="000A5453"/>
    <w:rsid w:val="000A59AE"/>
    <w:rsid w:val="000A5DC5"/>
    <w:rsid w:val="000A6022"/>
    <w:rsid w:val="000A6470"/>
    <w:rsid w:val="000A6697"/>
    <w:rsid w:val="000A68F8"/>
    <w:rsid w:val="000A6B19"/>
    <w:rsid w:val="000A6BEB"/>
    <w:rsid w:val="000A724F"/>
    <w:rsid w:val="000A7411"/>
    <w:rsid w:val="000A7A5C"/>
    <w:rsid w:val="000A7FFE"/>
    <w:rsid w:val="000B03E9"/>
    <w:rsid w:val="000B0638"/>
    <w:rsid w:val="000B0C25"/>
    <w:rsid w:val="000B0FFE"/>
    <w:rsid w:val="000B13C0"/>
    <w:rsid w:val="000B1411"/>
    <w:rsid w:val="000B1462"/>
    <w:rsid w:val="000B1600"/>
    <w:rsid w:val="000B1FA7"/>
    <w:rsid w:val="000B21D7"/>
    <w:rsid w:val="000B2258"/>
    <w:rsid w:val="000B2570"/>
    <w:rsid w:val="000B2877"/>
    <w:rsid w:val="000B2F55"/>
    <w:rsid w:val="000B314F"/>
    <w:rsid w:val="000B3433"/>
    <w:rsid w:val="000B351E"/>
    <w:rsid w:val="000B3802"/>
    <w:rsid w:val="000B431B"/>
    <w:rsid w:val="000B4588"/>
    <w:rsid w:val="000B4D38"/>
    <w:rsid w:val="000B4F1F"/>
    <w:rsid w:val="000B4FB5"/>
    <w:rsid w:val="000B5768"/>
    <w:rsid w:val="000B57FF"/>
    <w:rsid w:val="000B5818"/>
    <w:rsid w:val="000B59FC"/>
    <w:rsid w:val="000B5A3F"/>
    <w:rsid w:val="000B5F84"/>
    <w:rsid w:val="000B61E7"/>
    <w:rsid w:val="000B633C"/>
    <w:rsid w:val="000B657D"/>
    <w:rsid w:val="000B6A8F"/>
    <w:rsid w:val="000B6FAA"/>
    <w:rsid w:val="000B6FEE"/>
    <w:rsid w:val="000B7076"/>
    <w:rsid w:val="000B72EE"/>
    <w:rsid w:val="000B733F"/>
    <w:rsid w:val="000B7C28"/>
    <w:rsid w:val="000B7CA9"/>
    <w:rsid w:val="000B7DC0"/>
    <w:rsid w:val="000C0073"/>
    <w:rsid w:val="000C030F"/>
    <w:rsid w:val="000C08D3"/>
    <w:rsid w:val="000C09E8"/>
    <w:rsid w:val="000C0F17"/>
    <w:rsid w:val="000C0F99"/>
    <w:rsid w:val="000C1483"/>
    <w:rsid w:val="000C198C"/>
    <w:rsid w:val="000C1B7A"/>
    <w:rsid w:val="000C1E50"/>
    <w:rsid w:val="000C240E"/>
    <w:rsid w:val="000C268F"/>
    <w:rsid w:val="000C2868"/>
    <w:rsid w:val="000C2C3B"/>
    <w:rsid w:val="000C30A8"/>
    <w:rsid w:val="000C3A12"/>
    <w:rsid w:val="000C431A"/>
    <w:rsid w:val="000C4337"/>
    <w:rsid w:val="000C4D7E"/>
    <w:rsid w:val="000C5288"/>
    <w:rsid w:val="000C59AB"/>
    <w:rsid w:val="000C5AAA"/>
    <w:rsid w:val="000C5B08"/>
    <w:rsid w:val="000C5C8A"/>
    <w:rsid w:val="000C5E64"/>
    <w:rsid w:val="000C61BD"/>
    <w:rsid w:val="000C6294"/>
    <w:rsid w:val="000C62F0"/>
    <w:rsid w:val="000C633D"/>
    <w:rsid w:val="000C654F"/>
    <w:rsid w:val="000C675E"/>
    <w:rsid w:val="000C692B"/>
    <w:rsid w:val="000C6B3B"/>
    <w:rsid w:val="000C6C67"/>
    <w:rsid w:val="000C6ED8"/>
    <w:rsid w:val="000C6F56"/>
    <w:rsid w:val="000C6F6D"/>
    <w:rsid w:val="000C714D"/>
    <w:rsid w:val="000C722D"/>
    <w:rsid w:val="000C7314"/>
    <w:rsid w:val="000C7746"/>
    <w:rsid w:val="000C77AF"/>
    <w:rsid w:val="000C7842"/>
    <w:rsid w:val="000C7A0C"/>
    <w:rsid w:val="000C7ED0"/>
    <w:rsid w:val="000D02FB"/>
    <w:rsid w:val="000D0608"/>
    <w:rsid w:val="000D0B3A"/>
    <w:rsid w:val="000D0B9D"/>
    <w:rsid w:val="000D0E57"/>
    <w:rsid w:val="000D0E77"/>
    <w:rsid w:val="000D0EC9"/>
    <w:rsid w:val="000D108D"/>
    <w:rsid w:val="000D1387"/>
    <w:rsid w:val="000D19A6"/>
    <w:rsid w:val="000D1A69"/>
    <w:rsid w:val="000D1A6D"/>
    <w:rsid w:val="000D1C2F"/>
    <w:rsid w:val="000D1D1E"/>
    <w:rsid w:val="000D2029"/>
    <w:rsid w:val="000D2358"/>
    <w:rsid w:val="000D26A9"/>
    <w:rsid w:val="000D26F0"/>
    <w:rsid w:val="000D2B96"/>
    <w:rsid w:val="000D2DBF"/>
    <w:rsid w:val="000D3205"/>
    <w:rsid w:val="000D347B"/>
    <w:rsid w:val="000D386C"/>
    <w:rsid w:val="000D389B"/>
    <w:rsid w:val="000D3927"/>
    <w:rsid w:val="000D39A3"/>
    <w:rsid w:val="000D3D00"/>
    <w:rsid w:val="000D4485"/>
    <w:rsid w:val="000D44AA"/>
    <w:rsid w:val="000D48EF"/>
    <w:rsid w:val="000D4E28"/>
    <w:rsid w:val="000D522C"/>
    <w:rsid w:val="000D5273"/>
    <w:rsid w:val="000D542D"/>
    <w:rsid w:val="000D5A76"/>
    <w:rsid w:val="000D5C21"/>
    <w:rsid w:val="000D5EBA"/>
    <w:rsid w:val="000D5EF6"/>
    <w:rsid w:val="000D5FD3"/>
    <w:rsid w:val="000D602E"/>
    <w:rsid w:val="000D62BB"/>
    <w:rsid w:val="000D631E"/>
    <w:rsid w:val="000D6497"/>
    <w:rsid w:val="000D68CA"/>
    <w:rsid w:val="000D6987"/>
    <w:rsid w:val="000D7477"/>
    <w:rsid w:val="000D7E45"/>
    <w:rsid w:val="000D7E99"/>
    <w:rsid w:val="000D7F13"/>
    <w:rsid w:val="000D7FCB"/>
    <w:rsid w:val="000E01A4"/>
    <w:rsid w:val="000E022A"/>
    <w:rsid w:val="000E0AB8"/>
    <w:rsid w:val="000E127C"/>
    <w:rsid w:val="000E1578"/>
    <w:rsid w:val="000E17A1"/>
    <w:rsid w:val="000E1993"/>
    <w:rsid w:val="000E1BBC"/>
    <w:rsid w:val="000E2594"/>
    <w:rsid w:val="000E29F8"/>
    <w:rsid w:val="000E2E94"/>
    <w:rsid w:val="000E2F30"/>
    <w:rsid w:val="000E305F"/>
    <w:rsid w:val="000E3363"/>
    <w:rsid w:val="000E3485"/>
    <w:rsid w:val="000E37A8"/>
    <w:rsid w:val="000E3B76"/>
    <w:rsid w:val="000E3EA8"/>
    <w:rsid w:val="000E3EDF"/>
    <w:rsid w:val="000E4289"/>
    <w:rsid w:val="000E4772"/>
    <w:rsid w:val="000E488A"/>
    <w:rsid w:val="000E4972"/>
    <w:rsid w:val="000E4BAB"/>
    <w:rsid w:val="000E4E5C"/>
    <w:rsid w:val="000E4E70"/>
    <w:rsid w:val="000E4FD0"/>
    <w:rsid w:val="000E5072"/>
    <w:rsid w:val="000E5167"/>
    <w:rsid w:val="000E54D1"/>
    <w:rsid w:val="000E5876"/>
    <w:rsid w:val="000E59B4"/>
    <w:rsid w:val="000E5C9F"/>
    <w:rsid w:val="000E600A"/>
    <w:rsid w:val="000E6666"/>
    <w:rsid w:val="000E66FB"/>
    <w:rsid w:val="000E6A18"/>
    <w:rsid w:val="000E6BF1"/>
    <w:rsid w:val="000E7094"/>
    <w:rsid w:val="000E7A3A"/>
    <w:rsid w:val="000E7B52"/>
    <w:rsid w:val="000E7FC3"/>
    <w:rsid w:val="000F011F"/>
    <w:rsid w:val="000F040B"/>
    <w:rsid w:val="000F0494"/>
    <w:rsid w:val="000F0921"/>
    <w:rsid w:val="000F0B6E"/>
    <w:rsid w:val="000F0C86"/>
    <w:rsid w:val="000F0F30"/>
    <w:rsid w:val="000F125F"/>
    <w:rsid w:val="000F12AC"/>
    <w:rsid w:val="000F1670"/>
    <w:rsid w:val="000F1EB2"/>
    <w:rsid w:val="000F1FF3"/>
    <w:rsid w:val="000F27B5"/>
    <w:rsid w:val="000F2E5B"/>
    <w:rsid w:val="000F2E94"/>
    <w:rsid w:val="000F2F29"/>
    <w:rsid w:val="000F2FAF"/>
    <w:rsid w:val="000F307E"/>
    <w:rsid w:val="000F3406"/>
    <w:rsid w:val="000F3538"/>
    <w:rsid w:val="000F3597"/>
    <w:rsid w:val="000F3AC9"/>
    <w:rsid w:val="000F3D55"/>
    <w:rsid w:val="000F3D71"/>
    <w:rsid w:val="000F3E8B"/>
    <w:rsid w:val="000F42A9"/>
    <w:rsid w:val="000F4789"/>
    <w:rsid w:val="000F47B4"/>
    <w:rsid w:val="000F4A46"/>
    <w:rsid w:val="000F4AC4"/>
    <w:rsid w:val="000F4BF5"/>
    <w:rsid w:val="000F528D"/>
    <w:rsid w:val="000F557E"/>
    <w:rsid w:val="000F5719"/>
    <w:rsid w:val="000F58B8"/>
    <w:rsid w:val="000F59B3"/>
    <w:rsid w:val="000F5A3D"/>
    <w:rsid w:val="000F5B7C"/>
    <w:rsid w:val="000F5C16"/>
    <w:rsid w:val="000F5D57"/>
    <w:rsid w:val="000F6A65"/>
    <w:rsid w:val="000F6BB8"/>
    <w:rsid w:val="000F7135"/>
    <w:rsid w:val="000F734C"/>
    <w:rsid w:val="000F7678"/>
    <w:rsid w:val="000F7685"/>
    <w:rsid w:val="000F7C3E"/>
    <w:rsid w:val="000F7FE6"/>
    <w:rsid w:val="0010086F"/>
    <w:rsid w:val="00100D3D"/>
    <w:rsid w:val="00100DAC"/>
    <w:rsid w:val="00100DD6"/>
    <w:rsid w:val="00100EEB"/>
    <w:rsid w:val="00101409"/>
    <w:rsid w:val="00101447"/>
    <w:rsid w:val="0010156F"/>
    <w:rsid w:val="00101B02"/>
    <w:rsid w:val="00101F12"/>
    <w:rsid w:val="00102940"/>
    <w:rsid w:val="00102A15"/>
    <w:rsid w:val="00102C5A"/>
    <w:rsid w:val="00102D55"/>
    <w:rsid w:val="001033D1"/>
    <w:rsid w:val="001036B2"/>
    <w:rsid w:val="001036F9"/>
    <w:rsid w:val="001039BD"/>
    <w:rsid w:val="001042FF"/>
    <w:rsid w:val="0010449A"/>
    <w:rsid w:val="00104707"/>
    <w:rsid w:val="001047DE"/>
    <w:rsid w:val="00104AA3"/>
    <w:rsid w:val="00104BB0"/>
    <w:rsid w:val="001051BF"/>
    <w:rsid w:val="00105C14"/>
    <w:rsid w:val="001064FD"/>
    <w:rsid w:val="0010651B"/>
    <w:rsid w:val="001065B4"/>
    <w:rsid w:val="001065D5"/>
    <w:rsid w:val="00106622"/>
    <w:rsid w:val="0010674B"/>
    <w:rsid w:val="00106F8D"/>
    <w:rsid w:val="001070F1"/>
    <w:rsid w:val="00107550"/>
    <w:rsid w:val="0010761C"/>
    <w:rsid w:val="00107672"/>
    <w:rsid w:val="00107BF9"/>
    <w:rsid w:val="00110249"/>
    <w:rsid w:val="00110325"/>
    <w:rsid w:val="00110B0A"/>
    <w:rsid w:val="00110B75"/>
    <w:rsid w:val="00110E11"/>
    <w:rsid w:val="00110E40"/>
    <w:rsid w:val="00110EC4"/>
    <w:rsid w:val="00111394"/>
    <w:rsid w:val="001113ED"/>
    <w:rsid w:val="001118E8"/>
    <w:rsid w:val="00111ACB"/>
    <w:rsid w:val="00111BCE"/>
    <w:rsid w:val="00111ED4"/>
    <w:rsid w:val="001123D6"/>
    <w:rsid w:val="001128A6"/>
    <w:rsid w:val="00112A11"/>
    <w:rsid w:val="00112C29"/>
    <w:rsid w:val="00113057"/>
    <w:rsid w:val="0011318C"/>
    <w:rsid w:val="00113397"/>
    <w:rsid w:val="00113B40"/>
    <w:rsid w:val="001145E2"/>
    <w:rsid w:val="00114625"/>
    <w:rsid w:val="001148F9"/>
    <w:rsid w:val="001149F3"/>
    <w:rsid w:val="00114A31"/>
    <w:rsid w:val="00114D1D"/>
    <w:rsid w:val="001151A8"/>
    <w:rsid w:val="00115AAB"/>
    <w:rsid w:val="00115BB7"/>
    <w:rsid w:val="001161EA"/>
    <w:rsid w:val="00116B09"/>
    <w:rsid w:val="00117014"/>
    <w:rsid w:val="00117439"/>
    <w:rsid w:val="00117598"/>
    <w:rsid w:val="00117C75"/>
    <w:rsid w:val="0012019D"/>
    <w:rsid w:val="00120245"/>
    <w:rsid w:val="00120592"/>
    <w:rsid w:val="00120656"/>
    <w:rsid w:val="00120BAF"/>
    <w:rsid w:val="00120FF9"/>
    <w:rsid w:val="0012109A"/>
    <w:rsid w:val="00121188"/>
    <w:rsid w:val="001212B2"/>
    <w:rsid w:val="00121425"/>
    <w:rsid w:val="001216D1"/>
    <w:rsid w:val="001217BF"/>
    <w:rsid w:val="001217FE"/>
    <w:rsid w:val="00121805"/>
    <w:rsid w:val="0012193B"/>
    <w:rsid w:val="0012198E"/>
    <w:rsid w:val="001219C3"/>
    <w:rsid w:val="00121CAF"/>
    <w:rsid w:val="0012221B"/>
    <w:rsid w:val="00122B82"/>
    <w:rsid w:val="00123280"/>
    <w:rsid w:val="0012332D"/>
    <w:rsid w:val="0012333D"/>
    <w:rsid w:val="001238DB"/>
    <w:rsid w:val="0012394E"/>
    <w:rsid w:val="00123D5F"/>
    <w:rsid w:val="001240AD"/>
    <w:rsid w:val="001247A3"/>
    <w:rsid w:val="00124903"/>
    <w:rsid w:val="00124AF7"/>
    <w:rsid w:val="00124BBF"/>
    <w:rsid w:val="00124D74"/>
    <w:rsid w:val="00124F4B"/>
    <w:rsid w:val="00124F68"/>
    <w:rsid w:val="00125155"/>
    <w:rsid w:val="00125287"/>
    <w:rsid w:val="00125307"/>
    <w:rsid w:val="00125404"/>
    <w:rsid w:val="00125F39"/>
    <w:rsid w:val="00125FDE"/>
    <w:rsid w:val="00126281"/>
    <w:rsid w:val="001262B8"/>
    <w:rsid w:val="00126678"/>
    <w:rsid w:val="0012677D"/>
    <w:rsid w:val="00126B6E"/>
    <w:rsid w:val="00126B7D"/>
    <w:rsid w:val="0012713E"/>
    <w:rsid w:val="00127325"/>
    <w:rsid w:val="0012735D"/>
    <w:rsid w:val="0012747A"/>
    <w:rsid w:val="001276CE"/>
    <w:rsid w:val="00127DB0"/>
    <w:rsid w:val="0013068C"/>
    <w:rsid w:val="00130A6B"/>
    <w:rsid w:val="00130A8B"/>
    <w:rsid w:val="00130C47"/>
    <w:rsid w:val="00130DCD"/>
    <w:rsid w:val="00130FA6"/>
    <w:rsid w:val="00131375"/>
    <w:rsid w:val="001317C1"/>
    <w:rsid w:val="00131801"/>
    <w:rsid w:val="0013195B"/>
    <w:rsid w:val="00131D5F"/>
    <w:rsid w:val="00131E33"/>
    <w:rsid w:val="00131F3B"/>
    <w:rsid w:val="00132111"/>
    <w:rsid w:val="001326BA"/>
    <w:rsid w:val="001326D7"/>
    <w:rsid w:val="001327D8"/>
    <w:rsid w:val="00132A4D"/>
    <w:rsid w:val="00132A5D"/>
    <w:rsid w:val="0013385D"/>
    <w:rsid w:val="00133887"/>
    <w:rsid w:val="001339BE"/>
    <w:rsid w:val="00133A03"/>
    <w:rsid w:val="00133B0E"/>
    <w:rsid w:val="00133CB5"/>
    <w:rsid w:val="00133FED"/>
    <w:rsid w:val="001341F4"/>
    <w:rsid w:val="001343E2"/>
    <w:rsid w:val="001347F4"/>
    <w:rsid w:val="00134909"/>
    <w:rsid w:val="001351C8"/>
    <w:rsid w:val="0013538F"/>
    <w:rsid w:val="00135408"/>
    <w:rsid w:val="001354BE"/>
    <w:rsid w:val="001355D8"/>
    <w:rsid w:val="001357B8"/>
    <w:rsid w:val="00135DC3"/>
    <w:rsid w:val="00135EFF"/>
    <w:rsid w:val="00135F56"/>
    <w:rsid w:val="00136019"/>
    <w:rsid w:val="00136300"/>
    <w:rsid w:val="0013654E"/>
    <w:rsid w:val="00136625"/>
    <w:rsid w:val="00137408"/>
    <w:rsid w:val="00137425"/>
    <w:rsid w:val="001377F0"/>
    <w:rsid w:val="00137B4B"/>
    <w:rsid w:val="00137C26"/>
    <w:rsid w:val="00137DF8"/>
    <w:rsid w:val="00140817"/>
    <w:rsid w:val="00140D3D"/>
    <w:rsid w:val="00140E5B"/>
    <w:rsid w:val="001410D4"/>
    <w:rsid w:val="001411A6"/>
    <w:rsid w:val="0014127B"/>
    <w:rsid w:val="00141295"/>
    <w:rsid w:val="00141490"/>
    <w:rsid w:val="001414A4"/>
    <w:rsid w:val="00141613"/>
    <w:rsid w:val="00141646"/>
    <w:rsid w:val="00141C2F"/>
    <w:rsid w:val="00142173"/>
    <w:rsid w:val="001423CB"/>
    <w:rsid w:val="001425E8"/>
    <w:rsid w:val="0014260F"/>
    <w:rsid w:val="001426CB"/>
    <w:rsid w:val="0014288A"/>
    <w:rsid w:val="001429A6"/>
    <w:rsid w:val="00142AE5"/>
    <w:rsid w:val="00142B9E"/>
    <w:rsid w:val="00142C4C"/>
    <w:rsid w:val="00142D45"/>
    <w:rsid w:val="001430BE"/>
    <w:rsid w:val="00143158"/>
    <w:rsid w:val="001437B0"/>
    <w:rsid w:val="00143AEF"/>
    <w:rsid w:val="00143B9A"/>
    <w:rsid w:val="00143E77"/>
    <w:rsid w:val="00144085"/>
    <w:rsid w:val="00144641"/>
    <w:rsid w:val="00144B40"/>
    <w:rsid w:val="00144D6D"/>
    <w:rsid w:val="00145016"/>
    <w:rsid w:val="00145714"/>
    <w:rsid w:val="001457DE"/>
    <w:rsid w:val="00145D83"/>
    <w:rsid w:val="00145F25"/>
    <w:rsid w:val="00146101"/>
    <w:rsid w:val="001469D4"/>
    <w:rsid w:val="00146BAA"/>
    <w:rsid w:val="00146F72"/>
    <w:rsid w:val="00147170"/>
    <w:rsid w:val="00147323"/>
    <w:rsid w:val="001474C4"/>
    <w:rsid w:val="00147604"/>
    <w:rsid w:val="00147689"/>
    <w:rsid w:val="001476AC"/>
    <w:rsid w:val="00150811"/>
    <w:rsid w:val="00150974"/>
    <w:rsid w:val="00150E7B"/>
    <w:rsid w:val="001510A5"/>
    <w:rsid w:val="00151105"/>
    <w:rsid w:val="00151497"/>
    <w:rsid w:val="0015149B"/>
    <w:rsid w:val="001514C7"/>
    <w:rsid w:val="00151742"/>
    <w:rsid w:val="001519B2"/>
    <w:rsid w:val="00151D81"/>
    <w:rsid w:val="00151EC5"/>
    <w:rsid w:val="0015210B"/>
    <w:rsid w:val="00152778"/>
    <w:rsid w:val="00152F0B"/>
    <w:rsid w:val="00153215"/>
    <w:rsid w:val="001537B3"/>
    <w:rsid w:val="00153A40"/>
    <w:rsid w:val="00153CF0"/>
    <w:rsid w:val="00154010"/>
    <w:rsid w:val="001540E4"/>
    <w:rsid w:val="00154260"/>
    <w:rsid w:val="00154593"/>
    <w:rsid w:val="00154DB6"/>
    <w:rsid w:val="00155E67"/>
    <w:rsid w:val="001568B0"/>
    <w:rsid w:val="00156F67"/>
    <w:rsid w:val="00157353"/>
    <w:rsid w:val="00157514"/>
    <w:rsid w:val="001576FA"/>
    <w:rsid w:val="001577F8"/>
    <w:rsid w:val="001579E2"/>
    <w:rsid w:val="00157A75"/>
    <w:rsid w:val="00157BA4"/>
    <w:rsid w:val="00157CA8"/>
    <w:rsid w:val="00157DF5"/>
    <w:rsid w:val="00160068"/>
    <w:rsid w:val="00160168"/>
    <w:rsid w:val="0016032B"/>
    <w:rsid w:val="0016057C"/>
    <w:rsid w:val="00160CE0"/>
    <w:rsid w:val="00160F42"/>
    <w:rsid w:val="00160FFF"/>
    <w:rsid w:val="00161024"/>
    <w:rsid w:val="0016104D"/>
    <w:rsid w:val="0016110C"/>
    <w:rsid w:val="001612B2"/>
    <w:rsid w:val="001612DC"/>
    <w:rsid w:val="001614F6"/>
    <w:rsid w:val="00161608"/>
    <w:rsid w:val="0016161F"/>
    <w:rsid w:val="00161745"/>
    <w:rsid w:val="00161B8F"/>
    <w:rsid w:val="00161DF3"/>
    <w:rsid w:val="001620AF"/>
    <w:rsid w:val="00162560"/>
    <w:rsid w:val="00162663"/>
    <w:rsid w:val="00162A16"/>
    <w:rsid w:val="00162FBF"/>
    <w:rsid w:val="001630D2"/>
    <w:rsid w:val="001630F5"/>
    <w:rsid w:val="00163697"/>
    <w:rsid w:val="001638DE"/>
    <w:rsid w:val="001639B6"/>
    <w:rsid w:val="001639CA"/>
    <w:rsid w:val="00163B53"/>
    <w:rsid w:val="001646ED"/>
    <w:rsid w:val="00164703"/>
    <w:rsid w:val="00164845"/>
    <w:rsid w:val="0016494B"/>
    <w:rsid w:val="00164A08"/>
    <w:rsid w:val="00164D5A"/>
    <w:rsid w:val="001650F8"/>
    <w:rsid w:val="00165110"/>
    <w:rsid w:val="00165314"/>
    <w:rsid w:val="00165348"/>
    <w:rsid w:val="00165A8F"/>
    <w:rsid w:val="00165BD3"/>
    <w:rsid w:val="00165D54"/>
    <w:rsid w:val="00165D62"/>
    <w:rsid w:val="00165D9C"/>
    <w:rsid w:val="00165E9A"/>
    <w:rsid w:val="001668F7"/>
    <w:rsid w:val="00166D80"/>
    <w:rsid w:val="00166D8C"/>
    <w:rsid w:val="00166FB9"/>
    <w:rsid w:val="00167777"/>
    <w:rsid w:val="00167F8F"/>
    <w:rsid w:val="00170454"/>
    <w:rsid w:val="001705EB"/>
    <w:rsid w:val="00170835"/>
    <w:rsid w:val="00170859"/>
    <w:rsid w:val="00170A04"/>
    <w:rsid w:val="00170A6D"/>
    <w:rsid w:val="00170D87"/>
    <w:rsid w:val="00170E94"/>
    <w:rsid w:val="00170ECE"/>
    <w:rsid w:val="001710EA"/>
    <w:rsid w:val="00172069"/>
    <w:rsid w:val="001724A7"/>
    <w:rsid w:val="001725EC"/>
    <w:rsid w:val="00172712"/>
    <w:rsid w:val="00172891"/>
    <w:rsid w:val="00172EF1"/>
    <w:rsid w:val="00173626"/>
    <w:rsid w:val="001736F6"/>
    <w:rsid w:val="00173798"/>
    <w:rsid w:val="00173CB1"/>
    <w:rsid w:val="00173F93"/>
    <w:rsid w:val="001745B3"/>
    <w:rsid w:val="0017466B"/>
    <w:rsid w:val="00174709"/>
    <w:rsid w:val="0017504D"/>
    <w:rsid w:val="00175175"/>
    <w:rsid w:val="001753B8"/>
    <w:rsid w:val="0017569D"/>
    <w:rsid w:val="001758BA"/>
    <w:rsid w:val="0017640C"/>
    <w:rsid w:val="001765B8"/>
    <w:rsid w:val="00176A8B"/>
    <w:rsid w:val="0017741A"/>
    <w:rsid w:val="001776A6"/>
    <w:rsid w:val="0017782D"/>
    <w:rsid w:val="001778EF"/>
    <w:rsid w:val="00177DC0"/>
    <w:rsid w:val="001801B6"/>
    <w:rsid w:val="001803D5"/>
    <w:rsid w:val="00180E0A"/>
    <w:rsid w:val="00181162"/>
    <w:rsid w:val="00181490"/>
    <w:rsid w:val="00181ECB"/>
    <w:rsid w:val="0018202A"/>
    <w:rsid w:val="00182999"/>
    <w:rsid w:val="00182F43"/>
    <w:rsid w:val="0018311C"/>
    <w:rsid w:val="00183282"/>
    <w:rsid w:val="001835A1"/>
    <w:rsid w:val="001838CA"/>
    <w:rsid w:val="00183A70"/>
    <w:rsid w:val="00183BA7"/>
    <w:rsid w:val="00183BAC"/>
    <w:rsid w:val="00183E74"/>
    <w:rsid w:val="001841FE"/>
    <w:rsid w:val="00184702"/>
    <w:rsid w:val="00184783"/>
    <w:rsid w:val="001847DA"/>
    <w:rsid w:val="0018492E"/>
    <w:rsid w:val="00184A66"/>
    <w:rsid w:val="00184B97"/>
    <w:rsid w:val="00184BA2"/>
    <w:rsid w:val="00184C37"/>
    <w:rsid w:val="00184CEE"/>
    <w:rsid w:val="0018522D"/>
    <w:rsid w:val="0018531D"/>
    <w:rsid w:val="001855A5"/>
    <w:rsid w:val="001856CE"/>
    <w:rsid w:val="00185B22"/>
    <w:rsid w:val="00185C44"/>
    <w:rsid w:val="001868EF"/>
    <w:rsid w:val="00186C14"/>
    <w:rsid w:val="00186D5D"/>
    <w:rsid w:val="00186E94"/>
    <w:rsid w:val="0018704F"/>
    <w:rsid w:val="00187334"/>
    <w:rsid w:val="001874A3"/>
    <w:rsid w:val="00187760"/>
    <w:rsid w:val="00187AF6"/>
    <w:rsid w:val="00187E54"/>
    <w:rsid w:val="0019011C"/>
    <w:rsid w:val="001902DC"/>
    <w:rsid w:val="00190895"/>
    <w:rsid w:val="00190C18"/>
    <w:rsid w:val="00190CBB"/>
    <w:rsid w:val="00190DF4"/>
    <w:rsid w:val="00190E3D"/>
    <w:rsid w:val="00190ED6"/>
    <w:rsid w:val="00191071"/>
    <w:rsid w:val="00191118"/>
    <w:rsid w:val="0019140A"/>
    <w:rsid w:val="0019163B"/>
    <w:rsid w:val="00191790"/>
    <w:rsid w:val="001917CF"/>
    <w:rsid w:val="001918C2"/>
    <w:rsid w:val="00191B28"/>
    <w:rsid w:val="00191B29"/>
    <w:rsid w:val="00191D3F"/>
    <w:rsid w:val="00191DAA"/>
    <w:rsid w:val="00191EC6"/>
    <w:rsid w:val="0019228D"/>
    <w:rsid w:val="00192470"/>
    <w:rsid w:val="001926CE"/>
    <w:rsid w:val="001926D3"/>
    <w:rsid w:val="00192C2C"/>
    <w:rsid w:val="00192D50"/>
    <w:rsid w:val="00192D75"/>
    <w:rsid w:val="00192D92"/>
    <w:rsid w:val="00193502"/>
    <w:rsid w:val="00193600"/>
    <w:rsid w:val="00193661"/>
    <w:rsid w:val="001940AC"/>
    <w:rsid w:val="001942EA"/>
    <w:rsid w:val="00194767"/>
    <w:rsid w:val="00194B06"/>
    <w:rsid w:val="00194E34"/>
    <w:rsid w:val="00195085"/>
    <w:rsid w:val="0019520E"/>
    <w:rsid w:val="001953B3"/>
    <w:rsid w:val="00195788"/>
    <w:rsid w:val="00195905"/>
    <w:rsid w:val="00195A9B"/>
    <w:rsid w:val="00195BAD"/>
    <w:rsid w:val="00195C93"/>
    <w:rsid w:val="00195D09"/>
    <w:rsid w:val="00195DEF"/>
    <w:rsid w:val="00195EE1"/>
    <w:rsid w:val="00196793"/>
    <w:rsid w:val="00196A31"/>
    <w:rsid w:val="00196C9D"/>
    <w:rsid w:val="00196CD7"/>
    <w:rsid w:val="00197555"/>
    <w:rsid w:val="00197594"/>
    <w:rsid w:val="001977EB"/>
    <w:rsid w:val="0019785E"/>
    <w:rsid w:val="00197AFD"/>
    <w:rsid w:val="00197BCB"/>
    <w:rsid w:val="001A0A7B"/>
    <w:rsid w:val="001A0AB6"/>
    <w:rsid w:val="001A0C37"/>
    <w:rsid w:val="001A0F0C"/>
    <w:rsid w:val="001A0F2D"/>
    <w:rsid w:val="001A0FDA"/>
    <w:rsid w:val="001A0FE0"/>
    <w:rsid w:val="001A11E9"/>
    <w:rsid w:val="001A1AD0"/>
    <w:rsid w:val="001A212D"/>
    <w:rsid w:val="001A2364"/>
    <w:rsid w:val="001A2571"/>
    <w:rsid w:val="001A2DF1"/>
    <w:rsid w:val="001A2FFC"/>
    <w:rsid w:val="001A305B"/>
    <w:rsid w:val="001A31FD"/>
    <w:rsid w:val="001A345A"/>
    <w:rsid w:val="001A3494"/>
    <w:rsid w:val="001A34C8"/>
    <w:rsid w:val="001A351F"/>
    <w:rsid w:val="001A37AD"/>
    <w:rsid w:val="001A3905"/>
    <w:rsid w:val="001A3960"/>
    <w:rsid w:val="001A39BF"/>
    <w:rsid w:val="001A3ED2"/>
    <w:rsid w:val="001A40B6"/>
    <w:rsid w:val="001A486D"/>
    <w:rsid w:val="001A4B97"/>
    <w:rsid w:val="001A4DFC"/>
    <w:rsid w:val="001A4F79"/>
    <w:rsid w:val="001A5548"/>
    <w:rsid w:val="001A5676"/>
    <w:rsid w:val="001A5AAD"/>
    <w:rsid w:val="001A5D8D"/>
    <w:rsid w:val="001A6441"/>
    <w:rsid w:val="001A6C72"/>
    <w:rsid w:val="001A7013"/>
    <w:rsid w:val="001A7047"/>
    <w:rsid w:val="001A71CF"/>
    <w:rsid w:val="001A71ED"/>
    <w:rsid w:val="001A7581"/>
    <w:rsid w:val="001A7986"/>
    <w:rsid w:val="001A7BAA"/>
    <w:rsid w:val="001A7C97"/>
    <w:rsid w:val="001B032F"/>
    <w:rsid w:val="001B0400"/>
    <w:rsid w:val="001B0612"/>
    <w:rsid w:val="001B080E"/>
    <w:rsid w:val="001B0AF0"/>
    <w:rsid w:val="001B0B9E"/>
    <w:rsid w:val="001B0DB3"/>
    <w:rsid w:val="001B0ECD"/>
    <w:rsid w:val="001B0F5F"/>
    <w:rsid w:val="001B100F"/>
    <w:rsid w:val="001B1099"/>
    <w:rsid w:val="001B1126"/>
    <w:rsid w:val="001B13EC"/>
    <w:rsid w:val="001B176D"/>
    <w:rsid w:val="001B1E0C"/>
    <w:rsid w:val="001B1E4F"/>
    <w:rsid w:val="001B268C"/>
    <w:rsid w:val="001B2769"/>
    <w:rsid w:val="001B27EC"/>
    <w:rsid w:val="001B2BE0"/>
    <w:rsid w:val="001B3222"/>
    <w:rsid w:val="001B33CD"/>
    <w:rsid w:val="001B340F"/>
    <w:rsid w:val="001B364F"/>
    <w:rsid w:val="001B367C"/>
    <w:rsid w:val="001B36A2"/>
    <w:rsid w:val="001B3B2F"/>
    <w:rsid w:val="001B44F5"/>
    <w:rsid w:val="001B4BC3"/>
    <w:rsid w:val="001B4E4E"/>
    <w:rsid w:val="001B5173"/>
    <w:rsid w:val="001B53AF"/>
    <w:rsid w:val="001B550F"/>
    <w:rsid w:val="001B57F3"/>
    <w:rsid w:val="001B5A53"/>
    <w:rsid w:val="001B5B91"/>
    <w:rsid w:val="001B5DAA"/>
    <w:rsid w:val="001B5E5C"/>
    <w:rsid w:val="001B60A8"/>
    <w:rsid w:val="001B61E7"/>
    <w:rsid w:val="001B667F"/>
    <w:rsid w:val="001B6745"/>
    <w:rsid w:val="001B6935"/>
    <w:rsid w:val="001B69EA"/>
    <w:rsid w:val="001B6F7F"/>
    <w:rsid w:val="001B7081"/>
    <w:rsid w:val="001B71EC"/>
    <w:rsid w:val="001B7D67"/>
    <w:rsid w:val="001B7F8B"/>
    <w:rsid w:val="001C0047"/>
    <w:rsid w:val="001C0C54"/>
    <w:rsid w:val="001C0CCE"/>
    <w:rsid w:val="001C0CF3"/>
    <w:rsid w:val="001C0E54"/>
    <w:rsid w:val="001C132E"/>
    <w:rsid w:val="001C137C"/>
    <w:rsid w:val="001C13F0"/>
    <w:rsid w:val="001C1454"/>
    <w:rsid w:val="001C17C0"/>
    <w:rsid w:val="001C1B85"/>
    <w:rsid w:val="001C1CED"/>
    <w:rsid w:val="001C20E0"/>
    <w:rsid w:val="001C2139"/>
    <w:rsid w:val="001C2386"/>
    <w:rsid w:val="001C25EE"/>
    <w:rsid w:val="001C2ED0"/>
    <w:rsid w:val="001C33B3"/>
    <w:rsid w:val="001C34F5"/>
    <w:rsid w:val="001C371D"/>
    <w:rsid w:val="001C3767"/>
    <w:rsid w:val="001C3DA0"/>
    <w:rsid w:val="001C43AC"/>
    <w:rsid w:val="001C4432"/>
    <w:rsid w:val="001C44F4"/>
    <w:rsid w:val="001C4519"/>
    <w:rsid w:val="001C4892"/>
    <w:rsid w:val="001C4A34"/>
    <w:rsid w:val="001C4D31"/>
    <w:rsid w:val="001C5391"/>
    <w:rsid w:val="001C53A2"/>
    <w:rsid w:val="001C5413"/>
    <w:rsid w:val="001C563C"/>
    <w:rsid w:val="001C58BB"/>
    <w:rsid w:val="001C5BF8"/>
    <w:rsid w:val="001C5DEF"/>
    <w:rsid w:val="001C6099"/>
    <w:rsid w:val="001C64C4"/>
    <w:rsid w:val="001C69A7"/>
    <w:rsid w:val="001C6AF7"/>
    <w:rsid w:val="001C6EC7"/>
    <w:rsid w:val="001C7112"/>
    <w:rsid w:val="001C74AF"/>
    <w:rsid w:val="001C76C4"/>
    <w:rsid w:val="001C7D51"/>
    <w:rsid w:val="001D013B"/>
    <w:rsid w:val="001D0B0A"/>
    <w:rsid w:val="001D0F44"/>
    <w:rsid w:val="001D1180"/>
    <w:rsid w:val="001D1572"/>
    <w:rsid w:val="001D1B2D"/>
    <w:rsid w:val="001D283C"/>
    <w:rsid w:val="001D283D"/>
    <w:rsid w:val="001D2FAF"/>
    <w:rsid w:val="001D307A"/>
    <w:rsid w:val="001D31AE"/>
    <w:rsid w:val="001D322A"/>
    <w:rsid w:val="001D33BB"/>
    <w:rsid w:val="001D34BE"/>
    <w:rsid w:val="001D361B"/>
    <w:rsid w:val="001D3625"/>
    <w:rsid w:val="001D390F"/>
    <w:rsid w:val="001D3A50"/>
    <w:rsid w:val="001D3AC2"/>
    <w:rsid w:val="001D3D74"/>
    <w:rsid w:val="001D421D"/>
    <w:rsid w:val="001D4E2A"/>
    <w:rsid w:val="001D4F18"/>
    <w:rsid w:val="001D53E4"/>
    <w:rsid w:val="001D5815"/>
    <w:rsid w:val="001D5A11"/>
    <w:rsid w:val="001D5C10"/>
    <w:rsid w:val="001D5C6E"/>
    <w:rsid w:val="001D5D00"/>
    <w:rsid w:val="001D5D86"/>
    <w:rsid w:val="001D5E9C"/>
    <w:rsid w:val="001D618B"/>
    <w:rsid w:val="001D64AA"/>
    <w:rsid w:val="001D6560"/>
    <w:rsid w:val="001D67F5"/>
    <w:rsid w:val="001D6956"/>
    <w:rsid w:val="001D6CB8"/>
    <w:rsid w:val="001D6D7C"/>
    <w:rsid w:val="001D7114"/>
    <w:rsid w:val="001D7773"/>
    <w:rsid w:val="001D7BA5"/>
    <w:rsid w:val="001D7C0F"/>
    <w:rsid w:val="001D7C17"/>
    <w:rsid w:val="001D7E4A"/>
    <w:rsid w:val="001E02C4"/>
    <w:rsid w:val="001E03E0"/>
    <w:rsid w:val="001E0404"/>
    <w:rsid w:val="001E084D"/>
    <w:rsid w:val="001E0AC6"/>
    <w:rsid w:val="001E1001"/>
    <w:rsid w:val="001E1426"/>
    <w:rsid w:val="001E173E"/>
    <w:rsid w:val="001E18E7"/>
    <w:rsid w:val="001E1AA8"/>
    <w:rsid w:val="001E1ADF"/>
    <w:rsid w:val="001E1C2C"/>
    <w:rsid w:val="001E1E3C"/>
    <w:rsid w:val="001E1F1C"/>
    <w:rsid w:val="001E2069"/>
    <w:rsid w:val="001E235E"/>
    <w:rsid w:val="001E2AA5"/>
    <w:rsid w:val="001E2E2B"/>
    <w:rsid w:val="001E3183"/>
    <w:rsid w:val="001E337B"/>
    <w:rsid w:val="001E3E6A"/>
    <w:rsid w:val="001E424B"/>
    <w:rsid w:val="001E4D4C"/>
    <w:rsid w:val="001E53A3"/>
    <w:rsid w:val="001E542F"/>
    <w:rsid w:val="001E54C3"/>
    <w:rsid w:val="001E5BCF"/>
    <w:rsid w:val="001E5C00"/>
    <w:rsid w:val="001E5F33"/>
    <w:rsid w:val="001E6042"/>
    <w:rsid w:val="001E6A7D"/>
    <w:rsid w:val="001E6C70"/>
    <w:rsid w:val="001E6F50"/>
    <w:rsid w:val="001E70CD"/>
    <w:rsid w:val="001E7552"/>
    <w:rsid w:val="001E7A54"/>
    <w:rsid w:val="001F008C"/>
    <w:rsid w:val="001F00A4"/>
    <w:rsid w:val="001F05CF"/>
    <w:rsid w:val="001F0741"/>
    <w:rsid w:val="001F0A0B"/>
    <w:rsid w:val="001F0B11"/>
    <w:rsid w:val="001F0B1C"/>
    <w:rsid w:val="001F0E68"/>
    <w:rsid w:val="001F0FBC"/>
    <w:rsid w:val="001F105D"/>
    <w:rsid w:val="001F1305"/>
    <w:rsid w:val="001F1486"/>
    <w:rsid w:val="001F17EE"/>
    <w:rsid w:val="001F17F7"/>
    <w:rsid w:val="001F1DD0"/>
    <w:rsid w:val="001F1F56"/>
    <w:rsid w:val="001F256A"/>
    <w:rsid w:val="001F261E"/>
    <w:rsid w:val="001F2769"/>
    <w:rsid w:val="001F2A83"/>
    <w:rsid w:val="001F2BB7"/>
    <w:rsid w:val="001F2C88"/>
    <w:rsid w:val="001F2D7A"/>
    <w:rsid w:val="001F3307"/>
    <w:rsid w:val="001F3566"/>
    <w:rsid w:val="001F35DE"/>
    <w:rsid w:val="001F36CF"/>
    <w:rsid w:val="001F3839"/>
    <w:rsid w:val="001F3A2B"/>
    <w:rsid w:val="001F3B61"/>
    <w:rsid w:val="001F3C69"/>
    <w:rsid w:val="001F3D29"/>
    <w:rsid w:val="001F3ED6"/>
    <w:rsid w:val="001F3F8B"/>
    <w:rsid w:val="001F3FF9"/>
    <w:rsid w:val="001F42DA"/>
    <w:rsid w:val="001F44BD"/>
    <w:rsid w:val="001F4ADE"/>
    <w:rsid w:val="001F4D00"/>
    <w:rsid w:val="001F50F3"/>
    <w:rsid w:val="001F5172"/>
    <w:rsid w:val="001F5D06"/>
    <w:rsid w:val="001F5E17"/>
    <w:rsid w:val="001F5FD8"/>
    <w:rsid w:val="001F5FEA"/>
    <w:rsid w:val="001F62CE"/>
    <w:rsid w:val="001F6654"/>
    <w:rsid w:val="001F6CD7"/>
    <w:rsid w:val="001F6F3D"/>
    <w:rsid w:val="001F718C"/>
    <w:rsid w:val="001F7801"/>
    <w:rsid w:val="001F7A8F"/>
    <w:rsid w:val="001F7CF9"/>
    <w:rsid w:val="001F7E6F"/>
    <w:rsid w:val="002002B2"/>
    <w:rsid w:val="002004F3"/>
    <w:rsid w:val="00200687"/>
    <w:rsid w:val="00200BA8"/>
    <w:rsid w:val="00200DF2"/>
    <w:rsid w:val="00201258"/>
    <w:rsid w:val="00201573"/>
    <w:rsid w:val="00201887"/>
    <w:rsid w:val="00201978"/>
    <w:rsid w:val="00201BA0"/>
    <w:rsid w:val="00201ED0"/>
    <w:rsid w:val="00202061"/>
    <w:rsid w:val="00202111"/>
    <w:rsid w:val="0020214B"/>
    <w:rsid w:val="002025F9"/>
    <w:rsid w:val="00202B13"/>
    <w:rsid w:val="00202ED8"/>
    <w:rsid w:val="00203175"/>
    <w:rsid w:val="002048F1"/>
    <w:rsid w:val="00204C38"/>
    <w:rsid w:val="00204E1B"/>
    <w:rsid w:val="00204EB3"/>
    <w:rsid w:val="002050D9"/>
    <w:rsid w:val="00205662"/>
    <w:rsid w:val="00205799"/>
    <w:rsid w:val="002057D3"/>
    <w:rsid w:val="0020589F"/>
    <w:rsid w:val="00206300"/>
    <w:rsid w:val="002066E3"/>
    <w:rsid w:val="00206884"/>
    <w:rsid w:val="00206F4D"/>
    <w:rsid w:val="002071D0"/>
    <w:rsid w:val="002073DD"/>
    <w:rsid w:val="002073E5"/>
    <w:rsid w:val="002074A1"/>
    <w:rsid w:val="00207A68"/>
    <w:rsid w:val="00207B96"/>
    <w:rsid w:val="00207D6E"/>
    <w:rsid w:val="00207F50"/>
    <w:rsid w:val="002101FF"/>
    <w:rsid w:val="00210385"/>
    <w:rsid w:val="00210516"/>
    <w:rsid w:val="00210726"/>
    <w:rsid w:val="002107AD"/>
    <w:rsid w:val="002108BE"/>
    <w:rsid w:val="00210D03"/>
    <w:rsid w:val="00210E61"/>
    <w:rsid w:val="002111D5"/>
    <w:rsid w:val="002116DF"/>
    <w:rsid w:val="00211A6A"/>
    <w:rsid w:val="00211C1C"/>
    <w:rsid w:val="00211CC9"/>
    <w:rsid w:val="002120AC"/>
    <w:rsid w:val="002125D5"/>
    <w:rsid w:val="00212AEA"/>
    <w:rsid w:val="00213064"/>
    <w:rsid w:val="00213149"/>
    <w:rsid w:val="002139ED"/>
    <w:rsid w:val="00213BC3"/>
    <w:rsid w:val="00213D68"/>
    <w:rsid w:val="00213F3E"/>
    <w:rsid w:val="00214127"/>
    <w:rsid w:val="002146C2"/>
    <w:rsid w:val="002146EC"/>
    <w:rsid w:val="00214742"/>
    <w:rsid w:val="002147CD"/>
    <w:rsid w:val="002147EF"/>
    <w:rsid w:val="0021530C"/>
    <w:rsid w:val="002155CE"/>
    <w:rsid w:val="0021567C"/>
    <w:rsid w:val="0021590D"/>
    <w:rsid w:val="00215C01"/>
    <w:rsid w:val="00215D6E"/>
    <w:rsid w:val="00215E7E"/>
    <w:rsid w:val="0021608D"/>
    <w:rsid w:val="0021655C"/>
    <w:rsid w:val="002165F5"/>
    <w:rsid w:val="0021678F"/>
    <w:rsid w:val="00216837"/>
    <w:rsid w:val="0021736D"/>
    <w:rsid w:val="002175E0"/>
    <w:rsid w:val="0021764A"/>
    <w:rsid w:val="0021791C"/>
    <w:rsid w:val="0021791E"/>
    <w:rsid w:val="00217ABF"/>
    <w:rsid w:val="002205B6"/>
    <w:rsid w:val="0022087B"/>
    <w:rsid w:val="0022099D"/>
    <w:rsid w:val="00221022"/>
    <w:rsid w:val="00221086"/>
    <w:rsid w:val="0022128F"/>
    <w:rsid w:val="002216CF"/>
    <w:rsid w:val="0022195F"/>
    <w:rsid w:val="00221B6E"/>
    <w:rsid w:val="00221E05"/>
    <w:rsid w:val="00222181"/>
    <w:rsid w:val="00222224"/>
    <w:rsid w:val="0022229F"/>
    <w:rsid w:val="002224C4"/>
    <w:rsid w:val="00222511"/>
    <w:rsid w:val="0022263A"/>
    <w:rsid w:val="00222670"/>
    <w:rsid w:val="00222946"/>
    <w:rsid w:val="0022296E"/>
    <w:rsid w:val="00222AE6"/>
    <w:rsid w:val="00222E54"/>
    <w:rsid w:val="00223285"/>
    <w:rsid w:val="00223441"/>
    <w:rsid w:val="00223723"/>
    <w:rsid w:val="00223821"/>
    <w:rsid w:val="00223C91"/>
    <w:rsid w:val="00223D70"/>
    <w:rsid w:val="00223E31"/>
    <w:rsid w:val="00223E75"/>
    <w:rsid w:val="00224312"/>
    <w:rsid w:val="0022434E"/>
    <w:rsid w:val="002248A3"/>
    <w:rsid w:val="0022493E"/>
    <w:rsid w:val="002249F4"/>
    <w:rsid w:val="00224D1E"/>
    <w:rsid w:val="00224D32"/>
    <w:rsid w:val="00224E99"/>
    <w:rsid w:val="0022559D"/>
    <w:rsid w:val="00225724"/>
    <w:rsid w:val="00225C89"/>
    <w:rsid w:val="002260A0"/>
    <w:rsid w:val="002261D2"/>
    <w:rsid w:val="00226479"/>
    <w:rsid w:val="00226D1A"/>
    <w:rsid w:val="00226D33"/>
    <w:rsid w:val="00226FB9"/>
    <w:rsid w:val="002270C6"/>
    <w:rsid w:val="0022727C"/>
    <w:rsid w:val="0022762B"/>
    <w:rsid w:val="0022774A"/>
    <w:rsid w:val="00227A8D"/>
    <w:rsid w:val="00230473"/>
    <w:rsid w:val="002309F8"/>
    <w:rsid w:val="00230B98"/>
    <w:rsid w:val="00231085"/>
    <w:rsid w:val="00231170"/>
    <w:rsid w:val="0023188B"/>
    <w:rsid w:val="0023194E"/>
    <w:rsid w:val="00231D68"/>
    <w:rsid w:val="00232040"/>
    <w:rsid w:val="002324DE"/>
    <w:rsid w:val="002326A1"/>
    <w:rsid w:val="00232907"/>
    <w:rsid w:val="002329DE"/>
    <w:rsid w:val="00232DCE"/>
    <w:rsid w:val="00232E47"/>
    <w:rsid w:val="00232E4D"/>
    <w:rsid w:val="0023355D"/>
    <w:rsid w:val="00233743"/>
    <w:rsid w:val="00233908"/>
    <w:rsid w:val="00233B90"/>
    <w:rsid w:val="00233D88"/>
    <w:rsid w:val="00233EDD"/>
    <w:rsid w:val="002355C7"/>
    <w:rsid w:val="0023592D"/>
    <w:rsid w:val="00235AE3"/>
    <w:rsid w:val="00235C5E"/>
    <w:rsid w:val="00236309"/>
    <w:rsid w:val="00236D8A"/>
    <w:rsid w:val="0023704A"/>
    <w:rsid w:val="00237608"/>
    <w:rsid w:val="00237646"/>
    <w:rsid w:val="00240051"/>
    <w:rsid w:val="00240258"/>
    <w:rsid w:val="002409C6"/>
    <w:rsid w:val="00240CB0"/>
    <w:rsid w:val="00240D06"/>
    <w:rsid w:val="002412B0"/>
    <w:rsid w:val="002416E5"/>
    <w:rsid w:val="00241A6E"/>
    <w:rsid w:val="00241FD3"/>
    <w:rsid w:val="002425C0"/>
    <w:rsid w:val="00242643"/>
    <w:rsid w:val="00242703"/>
    <w:rsid w:val="002430EC"/>
    <w:rsid w:val="00243193"/>
    <w:rsid w:val="002432BA"/>
    <w:rsid w:val="002433D1"/>
    <w:rsid w:val="00243488"/>
    <w:rsid w:val="002436E7"/>
    <w:rsid w:val="00243916"/>
    <w:rsid w:val="00243EB3"/>
    <w:rsid w:val="00244531"/>
    <w:rsid w:val="00244A4F"/>
    <w:rsid w:val="00244B61"/>
    <w:rsid w:val="0024543D"/>
    <w:rsid w:val="002456C3"/>
    <w:rsid w:val="00245875"/>
    <w:rsid w:val="00245B60"/>
    <w:rsid w:val="00245D6D"/>
    <w:rsid w:val="002466F9"/>
    <w:rsid w:val="00246745"/>
    <w:rsid w:val="002473CA"/>
    <w:rsid w:val="002473D0"/>
    <w:rsid w:val="00247405"/>
    <w:rsid w:val="00247453"/>
    <w:rsid w:val="00247739"/>
    <w:rsid w:val="00247B0B"/>
    <w:rsid w:val="00247C49"/>
    <w:rsid w:val="00247C58"/>
    <w:rsid w:val="00247CE9"/>
    <w:rsid w:val="00247F17"/>
    <w:rsid w:val="00247F93"/>
    <w:rsid w:val="00250436"/>
    <w:rsid w:val="0025045F"/>
    <w:rsid w:val="002506A7"/>
    <w:rsid w:val="00250AA9"/>
    <w:rsid w:val="00250AB1"/>
    <w:rsid w:val="00250F69"/>
    <w:rsid w:val="00251378"/>
    <w:rsid w:val="00251770"/>
    <w:rsid w:val="00251FA1"/>
    <w:rsid w:val="00252367"/>
    <w:rsid w:val="002525F2"/>
    <w:rsid w:val="00252DF1"/>
    <w:rsid w:val="00253684"/>
    <w:rsid w:val="00254031"/>
    <w:rsid w:val="0025463B"/>
    <w:rsid w:val="00254A68"/>
    <w:rsid w:val="0025541F"/>
    <w:rsid w:val="002558DC"/>
    <w:rsid w:val="0025672C"/>
    <w:rsid w:val="00256765"/>
    <w:rsid w:val="002567B1"/>
    <w:rsid w:val="00256820"/>
    <w:rsid w:val="00256BE3"/>
    <w:rsid w:val="00256ECF"/>
    <w:rsid w:val="00256F95"/>
    <w:rsid w:val="0025700E"/>
    <w:rsid w:val="002579AD"/>
    <w:rsid w:val="00257A6A"/>
    <w:rsid w:val="00257FD0"/>
    <w:rsid w:val="00257FF5"/>
    <w:rsid w:val="0026027C"/>
    <w:rsid w:val="00260486"/>
    <w:rsid w:val="0026097C"/>
    <w:rsid w:val="00260A47"/>
    <w:rsid w:val="00260A88"/>
    <w:rsid w:val="002612CC"/>
    <w:rsid w:val="002616DF"/>
    <w:rsid w:val="002619EB"/>
    <w:rsid w:val="00261CD3"/>
    <w:rsid w:val="00261CF2"/>
    <w:rsid w:val="00261E0C"/>
    <w:rsid w:val="00261E63"/>
    <w:rsid w:val="00261F23"/>
    <w:rsid w:val="00261F25"/>
    <w:rsid w:val="0026237F"/>
    <w:rsid w:val="00262B41"/>
    <w:rsid w:val="00262F7C"/>
    <w:rsid w:val="00263076"/>
    <w:rsid w:val="002632BC"/>
    <w:rsid w:val="00263397"/>
    <w:rsid w:val="002634DF"/>
    <w:rsid w:val="00263539"/>
    <w:rsid w:val="00263817"/>
    <w:rsid w:val="00263861"/>
    <w:rsid w:val="00263951"/>
    <w:rsid w:val="0026395D"/>
    <w:rsid w:val="00263C69"/>
    <w:rsid w:val="00263DBF"/>
    <w:rsid w:val="00263F33"/>
    <w:rsid w:val="002641E0"/>
    <w:rsid w:val="0026470C"/>
    <w:rsid w:val="002647A4"/>
    <w:rsid w:val="00264FA2"/>
    <w:rsid w:val="00265171"/>
    <w:rsid w:val="0026519F"/>
    <w:rsid w:val="002652EE"/>
    <w:rsid w:val="00265382"/>
    <w:rsid w:val="002655DB"/>
    <w:rsid w:val="00265A67"/>
    <w:rsid w:val="00266314"/>
    <w:rsid w:val="0026674A"/>
    <w:rsid w:val="002668D3"/>
    <w:rsid w:val="00266CA6"/>
    <w:rsid w:val="00266F5E"/>
    <w:rsid w:val="002672B3"/>
    <w:rsid w:val="00267507"/>
    <w:rsid w:val="002677B4"/>
    <w:rsid w:val="002677C7"/>
    <w:rsid w:val="00267C42"/>
    <w:rsid w:val="00267F49"/>
    <w:rsid w:val="00267F68"/>
    <w:rsid w:val="00270051"/>
    <w:rsid w:val="00270579"/>
    <w:rsid w:val="002706EF"/>
    <w:rsid w:val="002706FC"/>
    <w:rsid w:val="00270999"/>
    <w:rsid w:val="00270A9E"/>
    <w:rsid w:val="002711EF"/>
    <w:rsid w:val="00271542"/>
    <w:rsid w:val="00271BE5"/>
    <w:rsid w:val="00271C98"/>
    <w:rsid w:val="00271DDE"/>
    <w:rsid w:val="002728A2"/>
    <w:rsid w:val="0027384E"/>
    <w:rsid w:val="002738A8"/>
    <w:rsid w:val="0027398F"/>
    <w:rsid w:val="002739CE"/>
    <w:rsid w:val="00273C93"/>
    <w:rsid w:val="002745F1"/>
    <w:rsid w:val="00274BEA"/>
    <w:rsid w:val="00274DFE"/>
    <w:rsid w:val="00274F46"/>
    <w:rsid w:val="0027558C"/>
    <w:rsid w:val="002755A4"/>
    <w:rsid w:val="00275637"/>
    <w:rsid w:val="0027593F"/>
    <w:rsid w:val="00275A00"/>
    <w:rsid w:val="00275C1F"/>
    <w:rsid w:val="00275FB6"/>
    <w:rsid w:val="0027616C"/>
    <w:rsid w:val="0027659C"/>
    <w:rsid w:val="00276969"/>
    <w:rsid w:val="00276F6C"/>
    <w:rsid w:val="00277858"/>
    <w:rsid w:val="00277E59"/>
    <w:rsid w:val="00277FFC"/>
    <w:rsid w:val="002800C2"/>
    <w:rsid w:val="0028017D"/>
    <w:rsid w:val="002802C2"/>
    <w:rsid w:val="00280517"/>
    <w:rsid w:val="0028076C"/>
    <w:rsid w:val="00280AE0"/>
    <w:rsid w:val="00280D86"/>
    <w:rsid w:val="002810A2"/>
    <w:rsid w:val="002812A8"/>
    <w:rsid w:val="002813E4"/>
    <w:rsid w:val="00281460"/>
    <w:rsid w:val="002819D1"/>
    <w:rsid w:val="00281B89"/>
    <w:rsid w:val="00281BB1"/>
    <w:rsid w:val="00281CDF"/>
    <w:rsid w:val="00281F0C"/>
    <w:rsid w:val="00282055"/>
    <w:rsid w:val="002821C6"/>
    <w:rsid w:val="002821D9"/>
    <w:rsid w:val="0028224A"/>
    <w:rsid w:val="00282663"/>
    <w:rsid w:val="002829C7"/>
    <w:rsid w:val="00282B7E"/>
    <w:rsid w:val="00282D7B"/>
    <w:rsid w:val="00282DEB"/>
    <w:rsid w:val="00283018"/>
    <w:rsid w:val="002833F6"/>
    <w:rsid w:val="002835F2"/>
    <w:rsid w:val="002836B0"/>
    <w:rsid w:val="002837FD"/>
    <w:rsid w:val="002839BC"/>
    <w:rsid w:val="00284086"/>
    <w:rsid w:val="002846EC"/>
    <w:rsid w:val="002848FC"/>
    <w:rsid w:val="00284B19"/>
    <w:rsid w:val="00284B53"/>
    <w:rsid w:val="00284B90"/>
    <w:rsid w:val="00285068"/>
    <w:rsid w:val="002851CE"/>
    <w:rsid w:val="002854AF"/>
    <w:rsid w:val="00285D5D"/>
    <w:rsid w:val="00285FB6"/>
    <w:rsid w:val="0028608F"/>
    <w:rsid w:val="0028610D"/>
    <w:rsid w:val="002861A7"/>
    <w:rsid w:val="0028626B"/>
    <w:rsid w:val="002866DD"/>
    <w:rsid w:val="0028680E"/>
    <w:rsid w:val="0028696E"/>
    <w:rsid w:val="00286AC8"/>
    <w:rsid w:val="00286F82"/>
    <w:rsid w:val="0028725A"/>
    <w:rsid w:val="00287FBE"/>
    <w:rsid w:val="00290180"/>
    <w:rsid w:val="0029036B"/>
    <w:rsid w:val="002906F1"/>
    <w:rsid w:val="00290739"/>
    <w:rsid w:val="002907DB"/>
    <w:rsid w:val="002907E6"/>
    <w:rsid w:val="00290881"/>
    <w:rsid w:val="00290AFA"/>
    <w:rsid w:val="00290F71"/>
    <w:rsid w:val="00290FE3"/>
    <w:rsid w:val="00291364"/>
    <w:rsid w:val="002916E2"/>
    <w:rsid w:val="002919AF"/>
    <w:rsid w:val="0029305B"/>
    <w:rsid w:val="002930B6"/>
    <w:rsid w:val="002931E0"/>
    <w:rsid w:val="00293234"/>
    <w:rsid w:val="002936C9"/>
    <w:rsid w:val="00293C78"/>
    <w:rsid w:val="00293CD2"/>
    <w:rsid w:val="00293D44"/>
    <w:rsid w:val="00294097"/>
    <w:rsid w:val="002944AA"/>
    <w:rsid w:val="002944B5"/>
    <w:rsid w:val="002946DF"/>
    <w:rsid w:val="00294904"/>
    <w:rsid w:val="00294CDA"/>
    <w:rsid w:val="00294D4A"/>
    <w:rsid w:val="00294DE7"/>
    <w:rsid w:val="00294FBB"/>
    <w:rsid w:val="002952E1"/>
    <w:rsid w:val="0029543B"/>
    <w:rsid w:val="002954E6"/>
    <w:rsid w:val="002955F0"/>
    <w:rsid w:val="00295641"/>
    <w:rsid w:val="00295C71"/>
    <w:rsid w:val="00295D55"/>
    <w:rsid w:val="00296299"/>
    <w:rsid w:val="002966BD"/>
    <w:rsid w:val="002968C9"/>
    <w:rsid w:val="00296A22"/>
    <w:rsid w:val="00296C90"/>
    <w:rsid w:val="00296E46"/>
    <w:rsid w:val="00296EAB"/>
    <w:rsid w:val="002971C1"/>
    <w:rsid w:val="0029739B"/>
    <w:rsid w:val="0029750F"/>
    <w:rsid w:val="00297756"/>
    <w:rsid w:val="00297897"/>
    <w:rsid w:val="002979C9"/>
    <w:rsid w:val="00297BDC"/>
    <w:rsid w:val="00297CEB"/>
    <w:rsid w:val="00297ED1"/>
    <w:rsid w:val="002A03E2"/>
    <w:rsid w:val="002A06FD"/>
    <w:rsid w:val="002A0860"/>
    <w:rsid w:val="002A0A47"/>
    <w:rsid w:val="002A0E03"/>
    <w:rsid w:val="002A0FCE"/>
    <w:rsid w:val="002A0FE1"/>
    <w:rsid w:val="002A1044"/>
    <w:rsid w:val="002A15BD"/>
    <w:rsid w:val="002A16BA"/>
    <w:rsid w:val="002A18D4"/>
    <w:rsid w:val="002A19E8"/>
    <w:rsid w:val="002A1A3F"/>
    <w:rsid w:val="002A1AF0"/>
    <w:rsid w:val="002A21A2"/>
    <w:rsid w:val="002A23DB"/>
    <w:rsid w:val="002A2B99"/>
    <w:rsid w:val="002A2FE2"/>
    <w:rsid w:val="002A3267"/>
    <w:rsid w:val="002A3382"/>
    <w:rsid w:val="002A35E3"/>
    <w:rsid w:val="002A3A9F"/>
    <w:rsid w:val="002A3D9A"/>
    <w:rsid w:val="002A3F99"/>
    <w:rsid w:val="002A42D8"/>
    <w:rsid w:val="002A42E8"/>
    <w:rsid w:val="002A4404"/>
    <w:rsid w:val="002A4482"/>
    <w:rsid w:val="002A46D7"/>
    <w:rsid w:val="002A4762"/>
    <w:rsid w:val="002A482F"/>
    <w:rsid w:val="002A4F73"/>
    <w:rsid w:val="002A5024"/>
    <w:rsid w:val="002A51C9"/>
    <w:rsid w:val="002A5339"/>
    <w:rsid w:val="002A5EC5"/>
    <w:rsid w:val="002A61A1"/>
    <w:rsid w:val="002A66AE"/>
    <w:rsid w:val="002A68C7"/>
    <w:rsid w:val="002A6D87"/>
    <w:rsid w:val="002A6EBC"/>
    <w:rsid w:val="002A6FA6"/>
    <w:rsid w:val="002A732F"/>
    <w:rsid w:val="002A73C3"/>
    <w:rsid w:val="002A7400"/>
    <w:rsid w:val="002A7512"/>
    <w:rsid w:val="002A76AA"/>
    <w:rsid w:val="002B0007"/>
    <w:rsid w:val="002B00F8"/>
    <w:rsid w:val="002B02A6"/>
    <w:rsid w:val="002B075B"/>
    <w:rsid w:val="002B0AAD"/>
    <w:rsid w:val="002B0D1E"/>
    <w:rsid w:val="002B0EE4"/>
    <w:rsid w:val="002B10F5"/>
    <w:rsid w:val="002B16E8"/>
    <w:rsid w:val="002B17E3"/>
    <w:rsid w:val="002B1829"/>
    <w:rsid w:val="002B1D44"/>
    <w:rsid w:val="002B1FE1"/>
    <w:rsid w:val="002B231D"/>
    <w:rsid w:val="002B26A1"/>
    <w:rsid w:val="002B2C44"/>
    <w:rsid w:val="002B2FDF"/>
    <w:rsid w:val="002B32E3"/>
    <w:rsid w:val="002B3608"/>
    <w:rsid w:val="002B3A83"/>
    <w:rsid w:val="002B3C42"/>
    <w:rsid w:val="002B3C7E"/>
    <w:rsid w:val="002B400B"/>
    <w:rsid w:val="002B449C"/>
    <w:rsid w:val="002B4652"/>
    <w:rsid w:val="002B4852"/>
    <w:rsid w:val="002B4CFF"/>
    <w:rsid w:val="002B4ECC"/>
    <w:rsid w:val="002B5194"/>
    <w:rsid w:val="002B54A1"/>
    <w:rsid w:val="002B5558"/>
    <w:rsid w:val="002B5AC7"/>
    <w:rsid w:val="002B5AE9"/>
    <w:rsid w:val="002B5C84"/>
    <w:rsid w:val="002B5DF5"/>
    <w:rsid w:val="002B5F87"/>
    <w:rsid w:val="002B60AF"/>
    <w:rsid w:val="002B65D3"/>
    <w:rsid w:val="002B664D"/>
    <w:rsid w:val="002B677B"/>
    <w:rsid w:val="002B6828"/>
    <w:rsid w:val="002B6875"/>
    <w:rsid w:val="002B6A5D"/>
    <w:rsid w:val="002B6A70"/>
    <w:rsid w:val="002B6A73"/>
    <w:rsid w:val="002B6EE5"/>
    <w:rsid w:val="002B70DF"/>
    <w:rsid w:val="002B7161"/>
    <w:rsid w:val="002B7322"/>
    <w:rsid w:val="002B7621"/>
    <w:rsid w:val="002B7832"/>
    <w:rsid w:val="002B7CAB"/>
    <w:rsid w:val="002B7CD7"/>
    <w:rsid w:val="002B7F77"/>
    <w:rsid w:val="002C00C9"/>
    <w:rsid w:val="002C0187"/>
    <w:rsid w:val="002C03ED"/>
    <w:rsid w:val="002C040D"/>
    <w:rsid w:val="002C0582"/>
    <w:rsid w:val="002C05E0"/>
    <w:rsid w:val="002C0B2D"/>
    <w:rsid w:val="002C0B2E"/>
    <w:rsid w:val="002C0B53"/>
    <w:rsid w:val="002C11CE"/>
    <w:rsid w:val="002C153B"/>
    <w:rsid w:val="002C1CAA"/>
    <w:rsid w:val="002C1DB9"/>
    <w:rsid w:val="002C1EF6"/>
    <w:rsid w:val="002C208B"/>
    <w:rsid w:val="002C21C9"/>
    <w:rsid w:val="002C25B0"/>
    <w:rsid w:val="002C2EFC"/>
    <w:rsid w:val="002C375A"/>
    <w:rsid w:val="002C3A28"/>
    <w:rsid w:val="002C3A9E"/>
    <w:rsid w:val="002C43F1"/>
    <w:rsid w:val="002C4419"/>
    <w:rsid w:val="002C46A7"/>
    <w:rsid w:val="002C4954"/>
    <w:rsid w:val="002C4E55"/>
    <w:rsid w:val="002C4F60"/>
    <w:rsid w:val="002C5011"/>
    <w:rsid w:val="002C5102"/>
    <w:rsid w:val="002C5736"/>
    <w:rsid w:val="002C573E"/>
    <w:rsid w:val="002C5937"/>
    <w:rsid w:val="002C59FA"/>
    <w:rsid w:val="002C60D5"/>
    <w:rsid w:val="002C6188"/>
    <w:rsid w:val="002C63CC"/>
    <w:rsid w:val="002C6570"/>
    <w:rsid w:val="002C6829"/>
    <w:rsid w:val="002C693B"/>
    <w:rsid w:val="002C6A49"/>
    <w:rsid w:val="002C719F"/>
    <w:rsid w:val="002C7204"/>
    <w:rsid w:val="002C73F3"/>
    <w:rsid w:val="002C7488"/>
    <w:rsid w:val="002C760D"/>
    <w:rsid w:val="002C79DC"/>
    <w:rsid w:val="002C7C26"/>
    <w:rsid w:val="002C7CBB"/>
    <w:rsid w:val="002D0A77"/>
    <w:rsid w:val="002D0BF1"/>
    <w:rsid w:val="002D10F2"/>
    <w:rsid w:val="002D1345"/>
    <w:rsid w:val="002D1350"/>
    <w:rsid w:val="002D1407"/>
    <w:rsid w:val="002D19B3"/>
    <w:rsid w:val="002D2144"/>
    <w:rsid w:val="002D2789"/>
    <w:rsid w:val="002D2BC0"/>
    <w:rsid w:val="002D2BDB"/>
    <w:rsid w:val="002D2F0E"/>
    <w:rsid w:val="002D3158"/>
    <w:rsid w:val="002D31B5"/>
    <w:rsid w:val="002D32A3"/>
    <w:rsid w:val="002D343F"/>
    <w:rsid w:val="002D3503"/>
    <w:rsid w:val="002D3537"/>
    <w:rsid w:val="002D364E"/>
    <w:rsid w:val="002D366B"/>
    <w:rsid w:val="002D3830"/>
    <w:rsid w:val="002D3888"/>
    <w:rsid w:val="002D39F0"/>
    <w:rsid w:val="002D3D20"/>
    <w:rsid w:val="002D49EC"/>
    <w:rsid w:val="002D5556"/>
    <w:rsid w:val="002D559E"/>
    <w:rsid w:val="002D5937"/>
    <w:rsid w:val="002D5B4D"/>
    <w:rsid w:val="002D5BC7"/>
    <w:rsid w:val="002D6118"/>
    <w:rsid w:val="002D684D"/>
    <w:rsid w:val="002D74B9"/>
    <w:rsid w:val="002D770A"/>
    <w:rsid w:val="002D7813"/>
    <w:rsid w:val="002D781C"/>
    <w:rsid w:val="002D7A62"/>
    <w:rsid w:val="002D7D9D"/>
    <w:rsid w:val="002E0062"/>
    <w:rsid w:val="002E00DC"/>
    <w:rsid w:val="002E07D3"/>
    <w:rsid w:val="002E0810"/>
    <w:rsid w:val="002E10A4"/>
    <w:rsid w:val="002E1254"/>
    <w:rsid w:val="002E1460"/>
    <w:rsid w:val="002E14EA"/>
    <w:rsid w:val="002E15D6"/>
    <w:rsid w:val="002E1B1D"/>
    <w:rsid w:val="002E1D6B"/>
    <w:rsid w:val="002E1F57"/>
    <w:rsid w:val="002E202C"/>
    <w:rsid w:val="002E206B"/>
    <w:rsid w:val="002E2431"/>
    <w:rsid w:val="002E24D7"/>
    <w:rsid w:val="002E29F2"/>
    <w:rsid w:val="002E2BFD"/>
    <w:rsid w:val="002E2F49"/>
    <w:rsid w:val="002E329E"/>
    <w:rsid w:val="002E364D"/>
    <w:rsid w:val="002E367C"/>
    <w:rsid w:val="002E40B6"/>
    <w:rsid w:val="002E4159"/>
    <w:rsid w:val="002E457B"/>
    <w:rsid w:val="002E486F"/>
    <w:rsid w:val="002E4A25"/>
    <w:rsid w:val="002E4E3E"/>
    <w:rsid w:val="002E52B0"/>
    <w:rsid w:val="002E54DA"/>
    <w:rsid w:val="002E5585"/>
    <w:rsid w:val="002E58E6"/>
    <w:rsid w:val="002E5AA1"/>
    <w:rsid w:val="002E5C01"/>
    <w:rsid w:val="002E5C71"/>
    <w:rsid w:val="002E5E0F"/>
    <w:rsid w:val="002E5E68"/>
    <w:rsid w:val="002E635A"/>
    <w:rsid w:val="002E662D"/>
    <w:rsid w:val="002E683D"/>
    <w:rsid w:val="002E6935"/>
    <w:rsid w:val="002E69E1"/>
    <w:rsid w:val="002E6DC1"/>
    <w:rsid w:val="002E6F45"/>
    <w:rsid w:val="002E7125"/>
    <w:rsid w:val="002E74C5"/>
    <w:rsid w:val="002E75FE"/>
    <w:rsid w:val="002E7924"/>
    <w:rsid w:val="002E7AEF"/>
    <w:rsid w:val="002E7DF4"/>
    <w:rsid w:val="002F0318"/>
    <w:rsid w:val="002F038C"/>
    <w:rsid w:val="002F04A3"/>
    <w:rsid w:val="002F04BD"/>
    <w:rsid w:val="002F0724"/>
    <w:rsid w:val="002F0939"/>
    <w:rsid w:val="002F0B60"/>
    <w:rsid w:val="002F1A3C"/>
    <w:rsid w:val="002F1B51"/>
    <w:rsid w:val="002F1E64"/>
    <w:rsid w:val="002F23E3"/>
    <w:rsid w:val="002F242E"/>
    <w:rsid w:val="002F2477"/>
    <w:rsid w:val="002F25D6"/>
    <w:rsid w:val="002F274C"/>
    <w:rsid w:val="002F292D"/>
    <w:rsid w:val="002F29D6"/>
    <w:rsid w:val="002F2AB1"/>
    <w:rsid w:val="002F34EE"/>
    <w:rsid w:val="002F3723"/>
    <w:rsid w:val="002F37A8"/>
    <w:rsid w:val="002F3C45"/>
    <w:rsid w:val="002F3C69"/>
    <w:rsid w:val="002F3E51"/>
    <w:rsid w:val="002F3F27"/>
    <w:rsid w:val="002F447F"/>
    <w:rsid w:val="002F55D7"/>
    <w:rsid w:val="002F57EB"/>
    <w:rsid w:val="002F5A66"/>
    <w:rsid w:val="002F5CBC"/>
    <w:rsid w:val="002F5F3F"/>
    <w:rsid w:val="002F6222"/>
    <w:rsid w:val="002F695A"/>
    <w:rsid w:val="002F69DE"/>
    <w:rsid w:val="002F6B1C"/>
    <w:rsid w:val="002F7698"/>
    <w:rsid w:val="002F7876"/>
    <w:rsid w:val="002F7901"/>
    <w:rsid w:val="002F7D50"/>
    <w:rsid w:val="00300141"/>
    <w:rsid w:val="003009EE"/>
    <w:rsid w:val="0030135E"/>
    <w:rsid w:val="0030195D"/>
    <w:rsid w:val="00301D3B"/>
    <w:rsid w:val="00301DC5"/>
    <w:rsid w:val="00302153"/>
    <w:rsid w:val="003022CC"/>
    <w:rsid w:val="00302618"/>
    <w:rsid w:val="00302E8C"/>
    <w:rsid w:val="003031A1"/>
    <w:rsid w:val="00303EFD"/>
    <w:rsid w:val="00303FA4"/>
    <w:rsid w:val="00304486"/>
    <w:rsid w:val="003044A7"/>
    <w:rsid w:val="0030450C"/>
    <w:rsid w:val="003045BA"/>
    <w:rsid w:val="003045C5"/>
    <w:rsid w:val="0030477C"/>
    <w:rsid w:val="003049FB"/>
    <w:rsid w:val="00304B24"/>
    <w:rsid w:val="00304B2A"/>
    <w:rsid w:val="00304B92"/>
    <w:rsid w:val="00304BBE"/>
    <w:rsid w:val="00304BEB"/>
    <w:rsid w:val="00304F07"/>
    <w:rsid w:val="00305389"/>
    <w:rsid w:val="003054AD"/>
    <w:rsid w:val="00305A6B"/>
    <w:rsid w:val="00306156"/>
    <w:rsid w:val="00306480"/>
    <w:rsid w:val="00306501"/>
    <w:rsid w:val="003065DD"/>
    <w:rsid w:val="003068DC"/>
    <w:rsid w:val="00306B1D"/>
    <w:rsid w:val="00306B7E"/>
    <w:rsid w:val="00306CF0"/>
    <w:rsid w:val="003070BC"/>
    <w:rsid w:val="003074AB"/>
    <w:rsid w:val="0030791F"/>
    <w:rsid w:val="00307BC7"/>
    <w:rsid w:val="00307CE7"/>
    <w:rsid w:val="00307EC4"/>
    <w:rsid w:val="00307F08"/>
    <w:rsid w:val="003106E4"/>
    <w:rsid w:val="00310CE0"/>
    <w:rsid w:val="00311028"/>
    <w:rsid w:val="0031103F"/>
    <w:rsid w:val="0031110B"/>
    <w:rsid w:val="00311412"/>
    <w:rsid w:val="003118CE"/>
    <w:rsid w:val="00311AB6"/>
    <w:rsid w:val="00311C0F"/>
    <w:rsid w:val="00311CCB"/>
    <w:rsid w:val="00311D39"/>
    <w:rsid w:val="00311DC9"/>
    <w:rsid w:val="00311E25"/>
    <w:rsid w:val="00311E7B"/>
    <w:rsid w:val="0031208F"/>
    <w:rsid w:val="0031216E"/>
    <w:rsid w:val="00312352"/>
    <w:rsid w:val="00312420"/>
    <w:rsid w:val="003124F3"/>
    <w:rsid w:val="0031261A"/>
    <w:rsid w:val="0031282A"/>
    <w:rsid w:val="00312AE7"/>
    <w:rsid w:val="00312EF2"/>
    <w:rsid w:val="00312FBA"/>
    <w:rsid w:val="003130FB"/>
    <w:rsid w:val="00313907"/>
    <w:rsid w:val="00313AD3"/>
    <w:rsid w:val="00313DB0"/>
    <w:rsid w:val="00313F0D"/>
    <w:rsid w:val="00314263"/>
    <w:rsid w:val="003142E4"/>
    <w:rsid w:val="0031431C"/>
    <w:rsid w:val="003143A4"/>
    <w:rsid w:val="0031484F"/>
    <w:rsid w:val="0031507E"/>
    <w:rsid w:val="003157B4"/>
    <w:rsid w:val="0031583C"/>
    <w:rsid w:val="00315911"/>
    <w:rsid w:val="00315C27"/>
    <w:rsid w:val="00315DFD"/>
    <w:rsid w:val="00315E06"/>
    <w:rsid w:val="00316135"/>
    <w:rsid w:val="0031619C"/>
    <w:rsid w:val="003163C7"/>
    <w:rsid w:val="0031644E"/>
    <w:rsid w:val="00316646"/>
    <w:rsid w:val="00317281"/>
    <w:rsid w:val="00317317"/>
    <w:rsid w:val="00317833"/>
    <w:rsid w:val="00317C18"/>
    <w:rsid w:val="00317DC1"/>
    <w:rsid w:val="00317E88"/>
    <w:rsid w:val="00320285"/>
    <w:rsid w:val="003202ED"/>
    <w:rsid w:val="00320388"/>
    <w:rsid w:val="00320549"/>
    <w:rsid w:val="0032090C"/>
    <w:rsid w:val="00320EC3"/>
    <w:rsid w:val="00321206"/>
    <w:rsid w:val="003212AF"/>
    <w:rsid w:val="0032175C"/>
    <w:rsid w:val="00321D3B"/>
    <w:rsid w:val="00321F51"/>
    <w:rsid w:val="00321F8C"/>
    <w:rsid w:val="003222CF"/>
    <w:rsid w:val="00322466"/>
    <w:rsid w:val="00322820"/>
    <w:rsid w:val="00322E06"/>
    <w:rsid w:val="00322E68"/>
    <w:rsid w:val="00323091"/>
    <w:rsid w:val="003232FE"/>
    <w:rsid w:val="0032334B"/>
    <w:rsid w:val="00323D7E"/>
    <w:rsid w:val="00323E1B"/>
    <w:rsid w:val="0032424A"/>
    <w:rsid w:val="0032486B"/>
    <w:rsid w:val="00325243"/>
    <w:rsid w:val="003253D6"/>
    <w:rsid w:val="003254C8"/>
    <w:rsid w:val="00325851"/>
    <w:rsid w:val="00325CE9"/>
    <w:rsid w:val="00325DFC"/>
    <w:rsid w:val="00326220"/>
    <w:rsid w:val="003262A9"/>
    <w:rsid w:val="0032630C"/>
    <w:rsid w:val="0032661C"/>
    <w:rsid w:val="00326A1E"/>
    <w:rsid w:val="00326AAB"/>
    <w:rsid w:val="00326AC6"/>
    <w:rsid w:val="0032737E"/>
    <w:rsid w:val="003275F1"/>
    <w:rsid w:val="00327706"/>
    <w:rsid w:val="00327AD1"/>
    <w:rsid w:val="00327C57"/>
    <w:rsid w:val="0033087F"/>
    <w:rsid w:val="00330DE2"/>
    <w:rsid w:val="00330FFC"/>
    <w:rsid w:val="0033120A"/>
    <w:rsid w:val="00331375"/>
    <w:rsid w:val="003313DE"/>
    <w:rsid w:val="0033146F"/>
    <w:rsid w:val="00331710"/>
    <w:rsid w:val="00332033"/>
    <w:rsid w:val="0033248C"/>
    <w:rsid w:val="0033268E"/>
    <w:rsid w:val="00332ACD"/>
    <w:rsid w:val="00332C80"/>
    <w:rsid w:val="00333082"/>
    <w:rsid w:val="003331AF"/>
    <w:rsid w:val="00333449"/>
    <w:rsid w:val="00333683"/>
    <w:rsid w:val="00333A29"/>
    <w:rsid w:val="00333F75"/>
    <w:rsid w:val="00334021"/>
    <w:rsid w:val="0033402A"/>
    <w:rsid w:val="00334218"/>
    <w:rsid w:val="003345C6"/>
    <w:rsid w:val="003347F6"/>
    <w:rsid w:val="00334B4C"/>
    <w:rsid w:val="00334B6B"/>
    <w:rsid w:val="00334D16"/>
    <w:rsid w:val="00334EFA"/>
    <w:rsid w:val="00334F06"/>
    <w:rsid w:val="00334F28"/>
    <w:rsid w:val="00334FF6"/>
    <w:rsid w:val="003354CD"/>
    <w:rsid w:val="00335595"/>
    <w:rsid w:val="00335602"/>
    <w:rsid w:val="0033583F"/>
    <w:rsid w:val="003358E3"/>
    <w:rsid w:val="003359AC"/>
    <w:rsid w:val="003359D0"/>
    <w:rsid w:val="00335AF7"/>
    <w:rsid w:val="00335E71"/>
    <w:rsid w:val="00336A58"/>
    <w:rsid w:val="00336F18"/>
    <w:rsid w:val="0033712C"/>
    <w:rsid w:val="003372D7"/>
    <w:rsid w:val="00337446"/>
    <w:rsid w:val="00337712"/>
    <w:rsid w:val="00337837"/>
    <w:rsid w:val="003378B4"/>
    <w:rsid w:val="00337A4D"/>
    <w:rsid w:val="00337A7D"/>
    <w:rsid w:val="00337C4D"/>
    <w:rsid w:val="00337D1F"/>
    <w:rsid w:val="003404E2"/>
    <w:rsid w:val="0034080A"/>
    <w:rsid w:val="003408FA"/>
    <w:rsid w:val="00340956"/>
    <w:rsid w:val="00340FD8"/>
    <w:rsid w:val="003415B3"/>
    <w:rsid w:val="00341845"/>
    <w:rsid w:val="003419AE"/>
    <w:rsid w:val="00341C75"/>
    <w:rsid w:val="00341DF6"/>
    <w:rsid w:val="00341E0C"/>
    <w:rsid w:val="00341FE3"/>
    <w:rsid w:val="00342646"/>
    <w:rsid w:val="003426E4"/>
    <w:rsid w:val="003426ED"/>
    <w:rsid w:val="00342E41"/>
    <w:rsid w:val="00342FA0"/>
    <w:rsid w:val="00342FD5"/>
    <w:rsid w:val="003430DC"/>
    <w:rsid w:val="003433B6"/>
    <w:rsid w:val="003433D5"/>
    <w:rsid w:val="003436FA"/>
    <w:rsid w:val="00343916"/>
    <w:rsid w:val="00343D00"/>
    <w:rsid w:val="0034401E"/>
    <w:rsid w:val="003440D2"/>
    <w:rsid w:val="00344118"/>
    <w:rsid w:val="0034412E"/>
    <w:rsid w:val="00344591"/>
    <w:rsid w:val="00344710"/>
    <w:rsid w:val="00344CF1"/>
    <w:rsid w:val="00344EAE"/>
    <w:rsid w:val="0034505B"/>
    <w:rsid w:val="00345200"/>
    <w:rsid w:val="0034547D"/>
    <w:rsid w:val="003454CE"/>
    <w:rsid w:val="003455A6"/>
    <w:rsid w:val="003456FD"/>
    <w:rsid w:val="003458D9"/>
    <w:rsid w:val="0034590D"/>
    <w:rsid w:val="0034592C"/>
    <w:rsid w:val="00345A68"/>
    <w:rsid w:val="00345C48"/>
    <w:rsid w:val="00345EFF"/>
    <w:rsid w:val="00345F36"/>
    <w:rsid w:val="00346220"/>
    <w:rsid w:val="00346567"/>
    <w:rsid w:val="0034671B"/>
    <w:rsid w:val="00346908"/>
    <w:rsid w:val="00346A2E"/>
    <w:rsid w:val="0034714C"/>
    <w:rsid w:val="00347558"/>
    <w:rsid w:val="0034772A"/>
    <w:rsid w:val="003477E9"/>
    <w:rsid w:val="00347941"/>
    <w:rsid w:val="00347E5A"/>
    <w:rsid w:val="0035041A"/>
    <w:rsid w:val="003507E6"/>
    <w:rsid w:val="00350880"/>
    <w:rsid w:val="0035094C"/>
    <w:rsid w:val="00350A81"/>
    <w:rsid w:val="00350BDE"/>
    <w:rsid w:val="003510BE"/>
    <w:rsid w:val="00351B93"/>
    <w:rsid w:val="00351CD6"/>
    <w:rsid w:val="00351E7A"/>
    <w:rsid w:val="00352777"/>
    <w:rsid w:val="00352B8D"/>
    <w:rsid w:val="00352C25"/>
    <w:rsid w:val="00352D37"/>
    <w:rsid w:val="003536D2"/>
    <w:rsid w:val="00353900"/>
    <w:rsid w:val="00353A1C"/>
    <w:rsid w:val="00353E1E"/>
    <w:rsid w:val="00354489"/>
    <w:rsid w:val="00354A51"/>
    <w:rsid w:val="00354E27"/>
    <w:rsid w:val="003556DE"/>
    <w:rsid w:val="00355BF2"/>
    <w:rsid w:val="00355D49"/>
    <w:rsid w:val="00355F75"/>
    <w:rsid w:val="0035666E"/>
    <w:rsid w:val="00356A8F"/>
    <w:rsid w:val="00356C5F"/>
    <w:rsid w:val="00356F90"/>
    <w:rsid w:val="0035706F"/>
    <w:rsid w:val="003570A8"/>
    <w:rsid w:val="003572A1"/>
    <w:rsid w:val="003572AB"/>
    <w:rsid w:val="0035748E"/>
    <w:rsid w:val="0035788B"/>
    <w:rsid w:val="00357DB3"/>
    <w:rsid w:val="00357FA4"/>
    <w:rsid w:val="00360270"/>
    <w:rsid w:val="003602C6"/>
    <w:rsid w:val="00360590"/>
    <w:rsid w:val="00360DE5"/>
    <w:rsid w:val="00361054"/>
    <w:rsid w:val="0036141C"/>
    <w:rsid w:val="0036169A"/>
    <w:rsid w:val="0036172F"/>
    <w:rsid w:val="003617ED"/>
    <w:rsid w:val="0036196A"/>
    <w:rsid w:val="00361C6F"/>
    <w:rsid w:val="00362100"/>
    <w:rsid w:val="00362210"/>
    <w:rsid w:val="0036237F"/>
    <w:rsid w:val="003629A6"/>
    <w:rsid w:val="00362A82"/>
    <w:rsid w:val="00362AE9"/>
    <w:rsid w:val="00362E56"/>
    <w:rsid w:val="003630B9"/>
    <w:rsid w:val="003630E9"/>
    <w:rsid w:val="00363321"/>
    <w:rsid w:val="00363A0D"/>
    <w:rsid w:val="003643A7"/>
    <w:rsid w:val="0036474B"/>
    <w:rsid w:val="00364787"/>
    <w:rsid w:val="0036488F"/>
    <w:rsid w:val="00364995"/>
    <w:rsid w:val="003649E3"/>
    <w:rsid w:val="00364B92"/>
    <w:rsid w:val="00364E7F"/>
    <w:rsid w:val="00365047"/>
    <w:rsid w:val="0036508F"/>
    <w:rsid w:val="0036575B"/>
    <w:rsid w:val="00365A88"/>
    <w:rsid w:val="003665CD"/>
    <w:rsid w:val="003666F3"/>
    <w:rsid w:val="00366924"/>
    <w:rsid w:val="00366A7E"/>
    <w:rsid w:val="00366A8E"/>
    <w:rsid w:val="00366C3A"/>
    <w:rsid w:val="00366DDA"/>
    <w:rsid w:val="00366E4F"/>
    <w:rsid w:val="0036704C"/>
    <w:rsid w:val="003672B1"/>
    <w:rsid w:val="003673AF"/>
    <w:rsid w:val="003674DC"/>
    <w:rsid w:val="003675A6"/>
    <w:rsid w:val="003678F9"/>
    <w:rsid w:val="00367A71"/>
    <w:rsid w:val="00370334"/>
    <w:rsid w:val="00371070"/>
    <w:rsid w:val="003714BD"/>
    <w:rsid w:val="0037163A"/>
    <w:rsid w:val="00371750"/>
    <w:rsid w:val="00371C6B"/>
    <w:rsid w:val="00371DE5"/>
    <w:rsid w:val="003724BC"/>
    <w:rsid w:val="00372661"/>
    <w:rsid w:val="0037267C"/>
    <w:rsid w:val="003727E9"/>
    <w:rsid w:val="0037296E"/>
    <w:rsid w:val="00372A7C"/>
    <w:rsid w:val="00372ACC"/>
    <w:rsid w:val="00372B18"/>
    <w:rsid w:val="00372DD7"/>
    <w:rsid w:val="00373004"/>
    <w:rsid w:val="003731B3"/>
    <w:rsid w:val="003735E3"/>
    <w:rsid w:val="003737E9"/>
    <w:rsid w:val="0037387F"/>
    <w:rsid w:val="003739D1"/>
    <w:rsid w:val="00373A12"/>
    <w:rsid w:val="00373A73"/>
    <w:rsid w:val="00373C81"/>
    <w:rsid w:val="00373F65"/>
    <w:rsid w:val="00374591"/>
    <w:rsid w:val="00374C84"/>
    <w:rsid w:val="00374C86"/>
    <w:rsid w:val="00375155"/>
    <w:rsid w:val="00375373"/>
    <w:rsid w:val="00375985"/>
    <w:rsid w:val="00375B26"/>
    <w:rsid w:val="00375C7D"/>
    <w:rsid w:val="00375E54"/>
    <w:rsid w:val="00375F9D"/>
    <w:rsid w:val="003760DD"/>
    <w:rsid w:val="003762B1"/>
    <w:rsid w:val="00376513"/>
    <w:rsid w:val="00376799"/>
    <w:rsid w:val="0037682B"/>
    <w:rsid w:val="003770DA"/>
    <w:rsid w:val="00377635"/>
    <w:rsid w:val="003777B6"/>
    <w:rsid w:val="00380884"/>
    <w:rsid w:val="00380AD8"/>
    <w:rsid w:val="00380BEF"/>
    <w:rsid w:val="00380F6C"/>
    <w:rsid w:val="0038111A"/>
    <w:rsid w:val="003811F0"/>
    <w:rsid w:val="00381321"/>
    <w:rsid w:val="003813E0"/>
    <w:rsid w:val="003816B4"/>
    <w:rsid w:val="00381796"/>
    <w:rsid w:val="00381EE8"/>
    <w:rsid w:val="00382511"/>
    <w:rsid w:val="0038296A"/>
    <w:rsid w:val="00382B58"/>
    <w:rsid w:val="00382B67"/>
    <w:rsid w:val="00382C28"/>
    <w:rsid w:val="003832FA"/>
    <w:rsid w:val="0038348D"/>
    <w:rsid w:val="00383726"/>
    <w:rsid w:val="00383770"/>
    <w:rsid w:val="003837C1"/>
    <w:rsid w:val="00384149"/>
    <w:rsid w:val="00384370"/>
    <w:rsid w:val="00384B20"/>
    <w:rsid w:val="00385103"/>
    <w:rsid w:val="00385125"/>
    <w:rsid w:val="0038538D"/>
    <w:rsid w:val="00385512"/>
    <w:rsid w:val="0038583C"/>
    <w:rsid w:val="00385A34"/>
    <w:rsid w:val="00385DCD"/>
    <w:rsid w:val="00385EEA"/>
    <w:rsid w:val="00386147"/>
    <w:rsid w:val="00386315"/>
    <w:rsid w:val="0038651D"/>
    <w:rsid w:val="0038668C"/>
    <w:rsid w:val="00386A50"/>
    <w:rsid w:val="0038709C"/>
    <w:rsid w:val="00387457"/>
    <w:rsid w:val="00387896"/>
    <w:rsid w:val="00390DCB"/>
    <w:rsid w:val="00390F83"/>
    <w:rsid w:val="0039101F"/>
    <w:rsid w:val="003913B1"/>
    <w:rsid w:val="00391409"/>
    <w:rsid w:val="00391A64"/>
    <w:rsid w:val="00391AED"/>
    <w:rsid w:val="00391B6F"/>
    <w:rsid w:val="00391B9C"/>
    <w:rsid w:val="00391FD8"/>
    <w:rsid w:val="0039204F"/>
    <w:rsid w:val="003920E7"/>
    <w:rsid w:val="00392350"/>
    <w:rsid w:val="00392899"/>
    <w:rsid w:val="00392C31"/>
    <w:rsid w:val="00392D2F"/>
    <w:rsid w:val="00392D7C"/>
    <w:rsid w:val="00393088"/>
    <w:rsid w:val="003930B3"/>
    <w:rsid w:val="0039317A"/>
    <w:rsid w:val="003931B2"/>
    <w:rsid w:val="00393595"/>
    <w:rsid w:val="003937EC"/>
    <w:rsid w:val="003938BC"/>
    <w:rsid w:val="003939E7"/>
    <w:rsid w:val="00393BA0"/>
    <w:rsid w:val="00393F69"/>
    <w:rsid w:val="00394ADD"/>
    <w:rsid w:val="003957B9"/>
    <w:rsid w:val="00395EC0"/>
    <w:rsid w:val="00395F0F"/>
    <w:rsid w:val="003961EB"/>
    <w:rsid w:val="00396338"/>
    <w:rsid w:val="003963B1"/>
    <w:rsid w:val="00396662"/>
    <w:rsid w:val="00396A3A"/>
    <w:rsid w:val="003971E1"/>
    <w:rsid w:val="00397680"/>
    <w:rsid w:val="00397B04"/>
    <w:rsid w:val="00397D21"/>
    <w:rsid w:val="003A05F6"/>
    <w:rsid w:val="003A08E4"/>
    <w:rsid w:val="003A0A3E"/>
    <w:rsid w:val="003A0AA1"/>
    <w:rsid w:val="003A0C74"/>
    <w:rsid w:val="003A1064"/>
    <w:rsid w:val="003A116A"/>
    <w:rsid w:val="003A132E"/>
    <w:rsid w:val="003A1D0E"/>
    <w:rsid w:val="003A2011"/>
    <w:rsid w:val="003A2133"/>
    <w:rsid w:val="003A2368"/>
    <w:rsid w:val="003A2415"/>
    <w:rsid w:val="003A2566"/>
    <w:rsid w:val="003A2700"/>
    <w:rsid w:val="003A2970"/>
    <w:rsid w:val="003A2A13"/>
    <w:rsid w:val="003A3015"/>
    <w:rsid w:val="003A30C6"/>
    <w:rsid w:val="003A3281"/>
    <w:rsid w:val="003A32CD"/>
    <w:rsid w:val="003A3390"/>
    <w:rsid w:val="003A3429"/>
    <w:rsid w:val="003A3514"/>
    <w:rsid w:val="003A354F"/>
    <w:rsid w:val="003A39B5"/>
    <w:rsid w:val="003A3D12"/>
    <w:rsid w:val="003A4243"/>
    <w:rsid w:val="003A42AC"/>
    <w:rsid w:val="003A4644"/>
    <w:rsid w:val="003A490C"/>
    <w:rsid w:val="003A4CC3"/>
    <w:rsid w:val="003A4F99"/>
    <w:rsid w:val="003A5430"/>
    <w:rsid w:val="003A5CB2"/>
    <w:rsid w:val="003A5D0B"/>
    <w:rsid w:val="003A5D39"/>
    <w:rsid w:val="003A649A"/>
    <w:rsid w:val="003A68E9"/>
    <w:rsid w:val="003A6A87"/>
    <w:rsid w:val="003A6DD5"/>
    <w:rsid w:val="003A7A60"/>
    <w:rsid w:val="003A7A8E"/>
    <w:rsid w:val="003A7B3F"/>
    <w:rsid w:val="003A7C8A"/>
    <w:rsid w:val="003A7EDC"/>
    <w:rsid w:val="003B013B"/>
    <w:rsid w:val="003B01FF"/>
    <w:rsid w:val="003B03D4"/>
    <w:rsid w:val="003B03F0"/>
    <w:rsid w:val="003B06AB"/>
    <w:rsid w:val="003B06AE"/>
    <w:rsid w:val="003B0E6D"/>
    <w:rsid w:val="003B1095"/>
    <w:rsid w:val="003B13C0"/>
    <w:rsid w:val="003B1435"/>
    <w:rsid w:val="003B1917"/>
    <w:rsid w:val="003B1FC2"/>
    <w:rsid w:val="003B2261"/>
    <w:rsid w:val="003B23BF"/>
    <w:rsid w:val="003B2451"/>
    <w:rsid w:val="003B264C"/>
    <w:rsid w:val="003B270C"/>
    <w:rsid w:val="003B2927"/>
    <w:rsid w:val="003B299E"/>
    <w:rsid w:val="003B29C3"/>
    <w:rsid w:val="003B2DEE"/>
    <w:rsid w:val="003B327A"/>
    <w:rsid w:val="003B34AA"/>
    <w:rsid w:val="003B37C3"/>
    <w:rsid w:val="003B3899"/>
    <w:rsid w:val="003B38B3"/>
    <w:rsid w:val="003B38E3"/>
    <w:rsid w:val="003B3A3F"/>
    <w:rsid w:val="003B422E"/>
    <w:rsid w:val="003B4459"/>
    <w:rsid w:val="003B45A0"/>
    <w:rsid w:val="003B46CF"/>
    <w:rsid w:val="003B492A"/>
    <w:rsid w:val="003B4945"/>
    <w:rsid w:val="003B4D5E"/>
    <w:rsid w:val="003B5404"/>
    <w:rsid w:val="003B566F"/>
    <w:rsid w:val="003B5919"/>
    <w:rsid w:val="003B60FD"/>
    <w:rsid w:val="003B61FF"/>
    <w:rsid w:val="003B656D"/>
    <w:rsid w:val="003B66E9"/>
    <w:rsid w:val="003B675B"/>
    <w:rsid w:val="003B67B0"/>
    <w:rsid w:val="003B6A5C"/>
    <w:rsid w:val="003B6D73"/>
    <w:rsid w:val="003B6EE4"/>
    <w:rsid w:val="003B71BF"/>
    <w:rsid w:val="003B74E6"/>
    <w:rsid w:val="003B7531"/>
    <w:rsid w:val="003B7E45"/>
    <w:rsid w:val="003C0053"/>
    <w:rsid w:val="003C0A31"/>
    <w:rsid w:val="003C0B53"/>
    <w:rsid w:val="003C0BE6"/>
    <w:rsid w:val="003C0C9E"/>
    <w:rsid w:val="003C0CF6"/>
    <w:rsid w:val="003C0EAF"/>
    <w:rsid w:val="003C142A"/>
    <w:rsid w:val="003C14DD"/>
    <w:rsid w:val="003C19B1"/>
    <w:rsid w:val="003C22DC"/>
    <w:rsid w:val="003C2B6E"/>
    <w:rsid w:val="003C2BF0"/>
    <w:rsid w:val="003C2C8F"/>
    <w:rsid w:val="003C2DBA"/>
    <w:rsid w:val="003C310E"/>
    <w:rsid w:val="003C37CB"/>
    <w:rsid w:val="003C38CE"/>
    <w:rsid w:val="003C3FB9"/>
    <w:rsid w:val="003C4168"/>
    <w:rsid w:val="003C418D"/>
    <w:rsid w:val="003C452F"/>
    <w:rsid w:val="003C488C"/>
    <w:rsid w:val="003C4B55"/>
    <w:rsid w:val="003C4C84"/>
    <w:rsid w:val="003C4CFC"/>
    <w:rsid w:val="003C52C9"/>
    <w:rsid w:val="003C540F"/>
    <w:rsid w:val="003C5414"/>
    <w:rsid w:val="003C58A0"/>
    <w:rsid w:val="003C5A48"/>
    <w:rsid w:val="003C5B67"/>
    <w:rsid w:val="003C5D53"/>
    <w:rsid w:val="003C6C91"/>
    <w:rsid w:val="003C6D84"/>
    <w:rsid w:val="003C7382"/>
    <w:rsid w:val="003C7495"/>
    <w:rsid w:val="003C7600"/>
    <w:rsid w:val="003C78BE"/>
    <w:rsid w:val="003C7DA4"/>
    <w:rsid w:val="003D05D9"/>
    <w:rsid w:val="003D0677"/>
    <w:rsid w:val="003D0D28"/>
    <w:rsid w:val="003D0E74"/>
    <w:rsid w:val="003D1079"/>
    <w:rsid w:val="003D12FA"/>
    <w:rsid w:val="003D14E4"/>
    <w:rsid w:val="003D19EF"/>
    <w:rsid w:val="003D1AC2"/>
    <w:rsid w:val="003D1CD4"/>
    <w:rsid w:val="003D1CE8"/>
    <w:rsid w:val="003D1CFD"/>
    <w:rsid w:val="003D1D05"/>
    <w:rsid w:val="003D2074"/>
    <w:rsid w:val="003D2195"/>
    <w:rsid w:val="003D21CB"/>
    <w:rsid w:val="003D2A4D"/>
    <w:rsid w:val="003D2B2F"/>
    <w:rsid w:val="003D2C74"/>
    <w:rsid w:val="003D3449"/>
    <w:rsid w:val="003D38B4"/>
    <w:rsid w:val="003D3E3F"/>
    <w:rsid w:val="003D3E49"/>
    <w:rsid w:val="003D3E63"/>
    <w:rsid w:val="003D3EAC"/>
    <w:rsid w:val="003D4534"/>
    <w:rsid w:val="003D45C1"/>
    <w:rsid w:val="003D49B1"/>
    <w:rsid w:val="003D4A3A"/>
    <w:rsid w:val="003D4A85"/>
    <w:rsid w:val="003D4BB5"/>
    <w:rsid w:val="003D4D6B"/>
    <w:rsid w:val="003D513F"/>
    <w:rsid w:val="003D5587"/>
    <w:rsid w:val="003D55AE"/>
    <w:rsid w:val="003D5832"/>
    <w:rsid w:val="003D5CF3"/>
    <w:rsid w:val="003D5F86"/>
    <w:rsid w:val="003D6275"/>
    <w:rsid w:val="003D645B"/>
    <w:rsid w:val="003D6733"/>
    <w:rsid w:val="003D6930"/>
    <w:rsid w:val="003D6DD9"/>
    <w:rsid w:val="003D6E89"/>
    <w:rsid w:val="003D6F89"/>
    <w:rsid w:val="003D7136"/>
    <w:rsid w:val="003D7535"/>
    <w:rsid w:val="003D7773"/>
    <w:rsid w:val="003D7EFC"/>
    <w:rsid w:val="003E004B"/>
    <w:rsid w:val="003E0521"/>
    <w:rsid w:val="003E0681"/>
    <w:rsid w:val="003E06EB"/>
    <w:rsid w:val="003E0E3B"/>
    <w:rsid w:val="003E1000"/>
    <w:rsid w:val="003E1214"/>
    <w:rsid w:val="003E137E"/>
    <w:rsid w:val="003E151A"/>
    <w:rsid w:val="003E1844"/>
    <w:rsid w:val="003E1B4D"/>
    <w:rsid w:val="003E22D6"/>
    <w:rsid w:val="003E234C"/>
    <w:rsid w:val="003E2508"/>
    <w:rsid w:val="003E316F"/>
    <w:rsid w:val="003E3212"/>
    <w:rsid w:val="003E35B5"/>
    <w:rsid w:val="003E37EA"/>
    <w:rsid w:val="003E4032"/>
    <w:rsid w:val="003E412A"/>
    <w:rsid w:val="003E429A"/>
    <w:rsid w:val="003E434F"/>
    <w:rsid w:val="003E4350"/>
    <w:rsid w:val="003E453A"/>
    <w:rsid w:val="003E4804"/>
    <w:rsid w:val="003E4FF0"/>
    <w:rsid w:val="003E57FC"/>
    <w:rsid w:val="003E595D"/>
    <w:rsid w:val="003E5FD8"/>
    <w:rsid w:val="003E613E"/>
    <w:rsid w:val="003E65EA"/>
    <w:rsid w:val="003E681B"/>
    <w:rsid w:val="003E6B3A"/>
    <w:rsid w:val="003E6C8D"/>
    <w:rsid w:val="003E6F35"/>
    <w:rsid w:val="003E71AD"/>
    <w:rsid w:val="003E74E1"/>
    <w:rsid w:val="003E7688"/>
    <w:rsid w:val="003E77AE"/>
    <w:rsid w:val="003E7B4D"/>
    <w:rsid w:val="003E7B85"/>
    <w:rsid w:val="003E7E3B"/>
    <w:rsid w:val="003F022B"/>
    <w:rsid w:val="003F04BD"/>
    <w:rsid w:val="003F09D5"/>
    <w:rsid w:val="003F0DA7"/>
    <w:rsid w:val="003F0F12"/>
    <w:rsid w:val="003F19DA"/>
    <w:rsid w:val="003F2226"/>
    <w:rsid w:val="003F2432"/>
    <w:rsid w:val="003F2472"/>
    <w:rsid w:val="003F2A78"/>
    <w:rsid w:val="003F2F6D"/>
    <w:rsid w:val="003F309D"/>
    <w:rsid w:val="003F30DD"/>
    <w:rsid w:val="003F336B"/>
    <w:rsid w:val="003F378F"/>
    <w:rsid w:val="003F3F13"/>
    <w:rsid w:val="003F45AC"/>
    <w:rsid w:val="003F466E"/>
    <w:rsid w:val="003F46DB"/>
    <w:rsid w:val="003F4982"/>
    <w:rsid w:val="003F4B08"/>
    <w:rsid w:val="003F4B8F"/>
    <w:rsid w:val="003F540C"/>
    <w:rsid w:val="003F572F"/>
    <w:rsid w:val="003F5749"/>
    <w:rsid w:val="003F57C6"/>
    <w:rsid w:val="003F5A81"/>
    <w:rsid w:val="003F636C"/>
    <w:rsid w:val="003F6525"/>
    <w:rsid w:val="003F6539"/>
    <w:rsid w:val="003F65F0"/>
    <w:rsid w:val="003F6D62"/>
    <w:rsid w:val="003F722F"/>
    <w:rsid w:val="003F74D2"/>
    <w:rsid w:val="003F75E1"/>
    <w:rsid w:val="003F7604"/>
    <w:rsid w:val="003F76B1"/>
    <w:rsid w:val="003F77B7"/>
    <w:rsid w:val="003F7CE1"/>
    <w:rsid w:val="003F7F25"/>
    <w:rsid w:val="00400282"/>
    <w:rsid w:val="0040073B"/>
    <w:rsid w:val="004008BC"/>
    <w:rsid w:val="004009EE"/>
    <w:rsid w:val="00400B01"/>
    <w:rsid w:val="00401038"/>
    <w:rsid w:val="0040183D"/>
    <w:rsid w:val="00401993"/>
    <w:rsid w:val="00401BEA"/>
    <w:rsid w:val="00401DBA"/>
    <w:rsid w:val="0040203D"/>
    <w:rsid w:val="004023AC"/>
    <w:rsid w:val="004023C8"/>
    <w:rsid w:val="004024BD"/>
    <w:rsid w:val="00402902"/>
    <w:rsid w:val="00402B74"/>
    <w:rsid w:val="00402C27"/>
    <w:rsid w:val="00402C87"/>
    <w:rsid w:val="00402CD3"/>
    <w:rsid w:val="00402F88"/>
    <w:rsid w:val="00403036"/>
    <w:rsid w:val="00403CBE"/>
    <w:rsid w:val="00403DCF"/>
    <w:rsid w:val="00404ABF"/>
    <w:rsid w:val="00404B32"/>
    <w:rsid w:val="00404C33"/>
    <w:rsid w:val="00404E49"/>
    <w:rsid w:val="004051F2"/>
    <w:rsid w:val="004052DD"/>
    <w:rsid w:val="00405761"/>
    <w:rsid w:val="004059E6"/>
    <w:rsid w:val="00405B74"/>
    <w:rsid w:val="00405DB1"/>
    <w:rsid w:val="00405E8F"/>
    <w:rsid w:val="00405F30"/>
    <w:rsid w:val="00405FC3"/>
    <w:rsid w:val="00406A53"/>
    <w:rsid w:val="00406A6E"/>
    <w:rsid w:val="00406B3D"/>
    <w:rsid w:val="00406CC5"/>
    <w:rsid w:val="00406E55"/>
    <w:rsid w:val="00407457"/>
    <w:rsid w:val="00407496"/>
    <w:rsid w:val="00407580"/>
    <w:rsid w:val="00407676"/>
    <w:rsid w:val="00407AC9"/>
    <w:rsid w:val="00407B97"/>
    <w:rsid w:val="00407CA7"/>
    <w:rsid w:val="00407DBE"/>
    <w:rsid w:val="004103EC"/>
    <w:rsid w:val="00410407"/>
    <w:rsid w:val="0041054F"/>
    <w:rsid w:val="00410773"/>
    <w:rsid w:val="00410860"/>
    <w:rsid w:val="004109B5"/>
    <w:rsid w:val="00410A06"/>
    <w:rsid w:val="0041146B"/>
    <w:rsid w:val="00411A96"/>
    <w:rsid w:val="00411DF4"/>
    <w:rsid w:val="0041208C"/>
    <w:rsid w:val="004122D4"/>
    <w:rsid w:val="00412665"/>
    <w:rsid w:val="0041285E"/>
    <w:rsid w:val="004128B5"/>
    <w:rsid w:val="00412C45"/>
    <w:rsid w:val="00412CB4"/>
    <w:rsid w:val="00413080"/>
    <w:rsid w:val="00413123"/>
    <w:rsid w:val="00413CEC"/>
    <w:rsid w:val="00413DC0"/>
    <w:rsid w:val="00413FF9"/>
    <w:rsid w:val="004140DF"/>
    <w:rsid w:val="004140F8"/>
    <w:rsid w:val="00414383"/>
    <w:rsid w:val="004144A3"/>
    <w:rsid w:val="00414B12"/>
    <w:rsid w:val="00414DFD"/>
    <w:rsid w:val="00414E01"/>
    <w:rsid w:val="0041501C"/>
    <w:rsid w:val="0041533A"/>
    <w:rsid w:val="00415754"/>
    <w:rsid w:val="00415C69"/>
    <w:rsid w:val="00416137"/>
    <w:rsid w:val="004161F8"/>
    <w:rsid w:val="00416BFB"/>
    <w:rsid w:val="00416EFD"/>
    <w:rsid w:val="004173B4"/>
    <w:rsid w:val="004176A3"/>
    <w:rsid w:val="004177DA"/>
    <w:rsid w:val="0041782B"/>
    <w:rsid w:val="00417830"/>
    <w:rsid w:val="00417E6A"/>
    <w:rsid w:val="00420152"/>
    <w:rsid w:val="004209E7"/>
    <w:rsid w:val="00420B2D"/>
    <w:rsid w:val="00420D1C"/>
    <w:rsid w:val="00420E23"/>
    <w:rsid w:val="00420E8D"/>
    <w:rsid w:val="00420FC0"/>
    <w:rsid w:val="0042101D"/>
    <w:rsid w:val="00421179"/>
    <w:rsid w:val="004217DC"/>
    <w:rsid w:val="00421A22"/>
    <w:rsid w:val="00421A47"/>
    <w:rsid w:val="00421B25"/>
    <w:rsid w:val="00421DB4"/>
    <w:rsid w:val="00421E05"/>
    <w:rsid w:val="004220EE"/>
    <w:rsid w:val="00422159"/>
    <w:rsid w:val="00422230"/>
    <w:rsid w:val="00422B9D"/>
    <w:rsid w:val="004230B2"/>
    <w:rsid w:val="004232C3"/>
    <w:rsid w:val="00423465"/>
    <w:rsid w:val="004237E0"/>
    <w:rsid w:val="00423814"/>
    <w:rsid w:val="00423AD0"/>
    <w:rsid w:val="00423C8C"/>
    <w:rsid w:val="004243D3"/>
    <w:rsid w:val="00424570"/>
    <w:rsid w:val="004245D7"/>
    <w:rsid w:val="004247BA"/>
    <w:rsid w:val="00425322"/>
    <w:rsid w:val="004255B7"/>
    <w:rsid w:val="004255DB"/>
    <w:rsid w:val="004256C1"/>
    <w:rsid w:val="00425710"/>
    <w:rsid w:val="004257F8"/>
    <w:rsid w:val="00425E50"/>
    <w:rsid w:val="00425F79"/>
    <w:rsid w:val="004261C7"/>
    <w:rsid w:val="0042637D"/>
    <w:rsid w:val="00426474"/>
    <w:rsid w:val="00427156"/>
    <w:rsid w:val="0042762A"/>
    <w:rsid w:val="004278D9"/>
    <w:rsid w:val="00427921"/>
    <w:rsid w:val="00427ACD"/>
    <w:rsid w:val="00427DFC"/>
    <w:rsid w:val="00430043"/>
    <w:rsid w:val="004300B7"/>
    <w:rsid w:val="004301FB"/>
    <w:rsid w:val="004303E3"/>
    <w:rsid w:val="004305C4"/>
    <w:rsid w:val="00430A42"/>
    <w:rsid w:val="00430A9E"/>
    <w:rsid w:val="00430CB4"/>
    <w:rsid w:val="00430F25"/>
    <w:rsid w:val="00430FB2"/>
    <w:rsid w:val="0043116E"/>
    <w:rsid w:val="00431506"/>
    <w:rsid w:val="0043174A"/>
    <w:rsid w:val="004318EE"/>
    <w:rsid w:val="00431BC9"/>
    <w:rsid w:val="00432048"/>
    <w:rsid w:val="00432349"/>
    <w:rsid w:val="004324F6"/>
    <w:rsid w:val="004325EF"/>
    <w:rsid w:val="00432C03"/>
    <w:rsid w:val="00432D21"/>
    <w:rsid w:val="00432F64"/>
    <w:rsid w:val="0043334C"/>
    <w:rsid w:val="004333FB"/>
    <w:rsid w:val="00433968"/>
    <w:rsid w:val="00433C5C"/>
    <w:rsid w:val="0043428F"/>
    <w:rsid w:val="004343D0"/>
    <w:rsid w:val="004347C5"/>
    <w:rsid w:val="00434B55"/>
    <w:rsid w:val="00434C50"/>
    <w:rsid w:val="00434DC7"/>
    <w:rsid w:val="00434E17"/>
    <w:rsid w:val="00434E55"/>
    <w:rsid w:val="0043566A"/>
    <w:rsid w:val="004356E0"/>
    <w:rsid w:val="00435BBD"/>
    <w:rsid w:val="00435CE9"/>
    <w:rsid w:val="00435D0F"/>
    <w:rsid w:val="00435E0E"/>
    <w:rsid w:val="00436288"/>
    <w:rsid w:val="004363FF"/>
    <w:rsid w:val="00436831"/>
    <w:rsid w:val="00436A33"/>
    <w:rsid w:val="00437576"/>
    <w:rsid w:val="00437614"/>
    <w:rsid w:val="00437790"/>
    <w:rsid w:val="004377EB"/>
    <w:rsid w:val="00437867"/>
    <w:rsid w:val="00437A59"/>
    <w:rsid w:val="00437BEB"/>
    <w:rsid w:val="00437CD5"/>
    <w:rsid w:val="00437EA0"/>
    <w:rsid w:val="00437F77"/>
    <w:rsid w:val="00440148"/>
    <w:rsid w:val="00440410"/>
    <w:rsid w:val="004408D4"/>
    <w:rsid w:val="004409B4"/>
    <w:rsid w:val="00440AF2"/>
    <w:rsid w:val="00440E46"/>
    <w:rsid w:val="00440E7D"/>
    <w:rsid w:val="004412A4"/>
    <w:rsid w:val="004414A7"/>
    <w:rsid w:val="004414EB"/>
    <w:rsid w:val="004415C2"/>
    <w:rsid w:val="004415D8"/>
    <w:rsid w:val="00441C2C"/>
    <w:rsid w:val="00441D1A"/>
    <w:rsid w:val="00441D45"/>
    <w:rsid w:val="0044200F"/>
    <w:rsid w:val="0044209D"/>
    <w:rsid w:val="004420B7"/>
    <w:rsid w:val="00442157"/>
    <w:rsid w:val="00442285"/>
    <w:rsid w:val="00442915"/>
    <w:rsid w:val="00442922"/>
    <w:rsid w:val="00442D96"/>
    <w:rsid w:val="00443150"/>
    <w:rsid w:val="00443310"/>
    <w:rsid w:val="00443493"/>
    <w:rsid w:val="004436E0"/>
    <w:rsid w:val="00443D88"/>
    <w:rsid w:val="00444099"/>
    <w:rsid w:val="0044423D"/>
    <w:rsid w:val="00444557"/>
    <w:rsid w:val="004446BF"/>
    <w:rsid w:val="00444788"/>
    <w:rsid w:val="0044482C"/>
    <w:rsid w:val="00444B08"/>
    <w:rsid w:val="00444C25"/>
    <w:rsid w:val="00445070"/>
    <w:rsid w:val="004452E3"/>
    <w:rsid w:val="00445519"/>
    <w:rsid w:val="00445613"/>
    <w:rsid w:val="00445A2E"/>
    <w:rsid w:val="00445BBA"/>
    <w:rsid w:val="00445C24"/>
    <w:rsid w:val="00445EFE"/>
    <w:rsid w:val="00446533"/>
    <w:rsid w:val="0044783F"/>
    <w:rsid w:val="00447B74"/>
    <w:rsid w:val="00450173"/>
    <w:rsid w:val="004501E8"/>
    <w:rsid w:val="00450287"/>
    <w:rsid w:val="00450AB0"/>
    <w:rsid w:val="00450C51"/>
    <w:rsid w:val="00450DF3"/>
    <w:rsid w:val="00450F42"/>
    <w:rsid w:val="0045105F"/>
    <w:rsid w:val="00451116"/>
    <w:rsid w:val="004511DC"/>
    <w:rsid w:val="00451323"/>
    <w:rsid w:val="004513F3"/>
    <w:rsid w:val="004516F2"/>
    <w:rsid w:val="00451965"/>
    <w:rsid w:val="004519A4"/>
    <w:rsid w:val="00452163"/>
    <w:rsid w:val="00452401"/>
    <w:rsid w:val="00452EB7"/>
    <w:rsid w:val="004538F0"/>
    <w:rsid w:val="00453AB7"/>
    <w:rsid w:val="00454004"/>
    <w:rsid w:val="0045422D"/>
    <w:rsid w:val="0045466D"/>
    <w:rsid w:val="00454A26"/>
    <w:rsid w:val="00454C86"/>
    <w:rsid w:val="00454DE6"/>
    <w:rsid w:val="00454FA2"/>
    <w:rsid w:val="00454FB7"/>
    <w:rsid w:val="004550E4"/>
    <w:rsid w:val="00455106"/>
    <w:rsid w:val="0045518E"/>
    <w:rsid w:val="00455294"/>
    <w:rsid w:val="0045570F"/>
    <w:rsid w:val="00455749"/>
    <w:rsid w:val="0045575B"/>
    <w:rsid w:val="00455D76"/>
    <w:rsid w:val="00455F4C"/>
    <w:rsid w:val="00455FBD"/>
    <w:rsid w:val="0045625A"/>
    <w:rsid w:val="004563C7"/>
    <w:rsid w:val="00456492"/>
    <w:rsid w:val="00456B27"/>
    <w:rsid w:val="004571B0"/>
    <w:rsid w:val="0045753B"/>
    <w:rsid w:val="00457743"/>
    <w:rsid w:val="004578CC"/>
    <w:rsid w:val="00457B7F"/>
    <w:rsid w:val="00457BE9"/>
    <w:rsid w:val="00457BF1"/>
    <w:rsid w:val="00460018"/>
    <w:rsid w:val="00460401"/>
    <w:rsid w:val="0046070F"/>
    <w:rsid w:val="00460E88"/>
    <w:rsid w:val="00460F4B"/>
    <w:rsid w:val="00460F5A"/>
    <w:rsid w:val="00460F6D"/>
    <w:rsid w:val="0046117B"/>
    <w:rsid w:val="004612CE"/>
    <w:rsid w:val="004615DF"/>
    <w:rsid w:val="00461677"/>
    <w:rsid w:val="004617ED"/>
    <w:rsid w:val="00461E84"/>
    <w:rsid w:val="00461FF6"/>
    <w:rsid w:val="004621C6"/>
    <w:rsid w:val="00462DE1"/>
    <w:rsid w:val="00462FF7"/>
    <w:rsid w:val="004632E6"/>
    <w:rsid w:val="0046354D"/>
    <w:rsid w:val="00463B53"/>
    <w:rsid w:val="004641E5"/>
    <w:rsid w:val="0046420B"/>
    <w:rsid w:val="00464334"/>
    <w:rsid w:val="00464592"/>
    <w:rsid w:val="0046547C"/>
    <w:rsid w:val="00465E7B"/>
    <w:rsid w:val="004661D3"/>
    <w:rsid w:val="004662C8"/>
    <w:rsid w:val="00466324"/>
    <w:rsid w:val="004663AC"/>
    <w:rsid w:val="004664C8"/>
    <w:rsid w:val="0046652B"/>
    <w:rsid w:val="0046665B"/>
    <w:rsid w:val="00466761"/>
    <w:rsid w:val="00466C74"/>
    <w:rsid w:val="00467039"/>
    <w:rsid w:val="0046705C"/>
    <w:rsid w:val="00467D6C"/>
    <w:rsid w:val="00467E06"/>
    <w:rsid w:val="0047005E"/>
    <w:rsid w:val="0047020F"/>
    <w:rsid w:val="00470311"/>
    <w:rsid w:val="00470444"/>
    <w:rsid w:val="00470626"/>
    <w:rsid w:val="004706E2"/>
    <w:rsid w:val="00470823"/>
    <w:rsid w:val="00470C99"/>
    <w:rsid w:val="0047104F"/>
    <w:rsid w:val="00471458"/>
    <w:rsid w:val="004716CF"/>
    <w:rsid w:val="00471EB2"/>
    <w:rsid w:val="0047219E"/>
    <w:rsid w:val="0047255C"/>
    <w:rsid w:val="0047266C"/>
    <w:rsid w:val="004726E7"/>
    <w:rsid w:val="00472AB4"/>
    <w:rsid w:val="00472D43"/>
    <w:rsid w:val="0047303C"/>
    <w:rsid w:val="00473091"/>
    <w:rsid w:val="004733A1"/>
    <w:rsid w:val="004734EF"/>
    <w:rsid w:val="0047359E"/>
    <w:rsid w:val="0047392C"/>
    <w:rsid w:val="004739B4"/>
    <w:rsid w:val="0047483E"/>
    <w:rsid w:val="00474995"/>
    <w:rsid w:val="00474AB6"/>
    <w:rsid w:val="00474E6F"/>
    <w:rsid w:val="00474F16"/>
    <w:rsid w:val="004751AA"/>
    <w:rsid w:val="004757CF"/>
    <w:rsid w:val="00475901"/>
    <w:rsid w:val="00475B28"/>
    <w:rsid w:val="00475CA8"/>
    <w:rsid w:val="00476244"/>
    <w:rsid w:val="00476619"/>
    <w:rsid w:val="00476686"/>
    <w:rsid w:val="00476716"/>
    <w:rsid w:val="004769A2"/>
    <w:rsid w:val="00476BB8"/>
    <w:rsid w:val="00476BBB"/>
    <w:rsid w:val="00477189"/>
    <w:rsid w:val="004771CF"/>
    <w:rsid w:val="00477521"/>
    <w:rsid w:val="0047763B"/>
    <w:rsid w:val="00477667"/>
    <w:rsid w:val="00477757"/>
    <w:rsid w:val="00477777"/>
    <w:rsid w:val="004779A2"/>
    <w:rsid w:val="00477B52"/>
    <w:rsid w:val="00480014"/>
    <w:rsid w:val="0048042B"/>
    <w:rsid w:val="0048081B"/>
    <w:rsid w:val="004808BD"/>
    <w:rsid w:val="00480AA2"/>
    <w:rsid w:val="00480DD5"/>
    <w:rsid w:val="0048102A"/>
    <w:rsid w:val="004814E7"/>
    <w:rsid w:val="00481845"/>
    <w:rsid w:val="004818C5"/>
    <w:rsid w:val="004819AB"/>
    <w:rsid w:val="004819D9"/>
    <w:rsid w:val="00482381"/>
    <w:rsid w:val="0048243F"/>
    <w:rsid w:val="00482924"/>
    <w:rsid w:val="00482D3B"/>
    <w:rsid w:val="00482EDA"/>
    <w:rsid w:val="00482F6E"/>
    <w:rsid w:val="00482FD6"/>
    <w:rsid w:val="00483042"/>
    <w:rsid w:val="00483561"/>
    <w:rsid w:val="00483584"/>
    <w:rsid w:val="0048363C"/>
    <w:rsid w:val="00483641"/>
    <w:rsid w:val="0048377F"/>
    <w:rsid w:val="004837FA"/>
    <w:rsid w:val="00483C62"/>
    <w:rsid w:val="00483DF5"/>
    <w:rsid w:val="00483EF2"/>
    <w:rsid w:val="0048426A"/>
    <w:rsid w:val="00484454"/>
    <w:rsid w:val="004845C4"/>
    <w:rsid w:val="004845EF"/>
    <w:rsid w:val="00484BBB"/>
    <w:rsid w:val="00484F0D"/>
    <w:rsid w:val="004854ED"/>
    <w:rsid w:val="004859A5"/>
    <w:rsid w:val="004859DE"/>
    <w:rsid w:val="00485A49"/>
    <w:rsid w:val="00485B7F"/>
    <w:rsid w:val="00485B91"/>
    <w:rsid w:val="00485E58"/>
    <w:rsid w:val="00486318"/>
    <w:rsid w:val="0048660E"/>
    <w:rsid w:val="00487891"/>
    <w:rsid w:val="00487E2D"/>
    <w:rsid w:val="0049002A"/>
    <w:rsid w:val="00490488"/>
    <w:rsid w:val="0049079B"/>
    <w:rsid w:val="004907BE"/>
    <w:rsid w:val="004909F9"/>
    <w:rsid w:val="00490C48"/>
    <w:rsid w:val="00490CA8"/>
    <w:rsid w:val="00490DC1"/>
    <w:rsid w:val="004911B1"/>
    <w:rsid w:val="00491276"/>
    <w:rsid w:val="0049151C"/>
    <w:rsid w:val="00491ADB"/>
    <w:rsid w:val="00491EF2"/>
    <w:rsid w:val="00492263"/>
    <w:rsid w:val="0049232D"/>
    <w:rsid w:val="00492805"/>
    <w:rsid w:val="004928C5"/>
    <w:rsid w:val="004929E9"/>
    <w:rsid w:val="004930D5"/>
    <w:rsid w:val="00493440"/>
    <w:rsid w:val="0049377F"/>
    <w:rsid w:val="00493E75"/>
    <w:rsid w:val="00493F8B"/>
    <w:rsid w:val="0049415E"/>
    <w:rsid w:val="00494AA5"/>
    <w:rsid w:val="00494CE4"/>
    <w:rsid w:val="004952AC"/>
    <w:rsid w:val="004957C7"/>
    <w:rsid w:val="0049582B"/>
    <w:rsid w:val="00495CC7"/>
    <w:rsid w:val="00495CCA"/>
    <w:rsid w:val="00495FE5"/>
    <w:rsid w:val="00496055"/>
    <w:rsid w:val="0049664D"/>
    <w:rsid w:val="00496912"/>
    <w:rsid w:val="00496A0F"/>
    <w:rsid w:val="00496C72"/>
    <w:rsid w:val="00496D49"/>
    <w:rsid w:val="00496DB0"/>
    <w:rsid w:val="00496E0A"/>
    <w:rsid w:val="004972E3"/>
    <w:rsid w:val="0049777D"/>
    <w:rsid w:val="004979AF"/>
    <w:rsid w:val="00497A1B"/>
    <w:rsid w:val="00497BCF"/>
    <w:rsid w:val="00497DF5"/>
    <w:rsid w:val="004A00D3"/>
    <w:rsid w:val="004A012C"/>
    <w:rsid w:val="004A053C"/>
    <w:rsid w:val="004A06B3"/>
    <w:rsid w:val="004A098D"/>
    <w:rsid w:val="004A0C2D"/>
    <w:rsid w:val="004A0D79"/>
    <w:rsid w:val="004A100E"/>
    <w:rsid w:val="004A1455"/>
    <w:rsid w:val="004A1633"/>
    <w:rsid w:val="004A1885"/>
    <w:rsid w:val="004A18A8"/>
    <w:rsid w:val="004A196C"/>
    <w:rsid w:val="004A19A4"/>
    <w:rsid w:val="004A1FDA"/>
    <w:rsid w:val="004A220B"/>
    <w:rsid w:val="004A2250"/>
    <w:rsid w:val="004A22C0"/>
    <w:rsid w:val="004A247D"/>
    <w:rsid w:val="004A255E"/>
    <w:rsid w:val="004A28C8"/>
    <w:rsid w:val="004A2C06"/>
    <w:rsid w:val="004A30A5"/>
    <w:rsid w:val="004A3451"/>
    <w:rsid w:val="004A36A3"/>
    <w:rsid w:val="004A39B2"/>
    <w:rsid w:val="004A39C8"/>
    <w:rsid w:val="004A3B65"/>
    <w:rsid w:val="004A3DA2"/>
    <w:rsid w:val="004A3DEB"/>
    <w:rsid w:val="004A3F77"/>
    <w:rsid w:val="004A3F7E"/>
    <w:rsid w:val="004A405C"/>
    <w:rsid w:val="004A41B6"/>
    <w:rsid w:val="004A4886"/>
    <w:rsid w:val="004A4E6B"/>
    <w:rsid w:val="004A52C7"/>
    <w:rsid w:val="004A546A"/>
    <w:rsid w:val="004A5745"/>
    <w:rsid w:val="004A584D"/>
    <w:rsid w:val="004A5AA4"/>
    <w:rsid w:val="004A5B32"/>
    <w:rsid w:val="004A612F"/>
    <w:rsid w:val="004A6504"/>
    <w:rsid w:val="004A66B1"/>
    <w:rsid w:val="004A6C77"/>
    <w:rsid w:val="004A6DBD"/>
    <w:rsid w:val="004A729B"/>
    <w:rsid w:val="004A7351"/>
    <w:rsid w:val="004A7ABC"/>
    <w:rsid w:val="004A7EBC"/>
    <w:rsid w:val="004B0900"/>
    <w:rsid w:val="004B0D3F"/>
    <w:rsid w:val="004B0E3E"/>
    <w:rsid w:val="004B11E0"/>
    <w:rsid w:val="004B17EA"/>
    <w:rsid w:val="004B1A44"/>
    <w:rsid w:val="004B2362"/>
    <w:rsid w:val="004B2568"/>
    <w:rsid w:val="004B28A0"/>
    <w:rsid w:val="004B2B78"/>
    <w:rsid w:val="004B2E33"/>
    <w:rsid w:val="004B3181"/>
    <w:rsid w:val="004B39D3"/>
    <w:rsid w:val="004B3AA8"/>
    <w:rsid w:val="004B3AC0"/>
    <w:rsid w:val="004B43C0"/>
    <w:rsid w:val="004B4EF2"/>
    <w:rsid w:val="004B5918"/>
    <w:rsid w:val="004B5B1A"/>
    <w:rsid w:val="004B5CC7"/>
    <w:rsid w:val="004B5D8E"/>
    <w:rsid w:val="004B5FD3"/>
    <w:rsid w:val="004B652A"/>
    <w:rsid w:val="004B6680"/>
    <w:rsid w:val="004B6748"/>
    <w:rsid w:val="004B6B1D"/>
    <w:rsid w:val="004B6C46"/>
    <w:rsid w:val="004B6D9F"/>
    <w:rsid w:val="004B6FA3"/>
    <w:rsid w:val="004B750A"/>
    <w:rsid w:val="004B7A8F"/>
    <w:rsid w:val="004C00CE"/>
    <w:rsid w:val="004C01A7"/>
    <w:rsid w:val="004C0573"/>
    <w:rsid w:val="004C0C2D"/>
    <w:rsid w:val="004C0D14"/>
    <w:rsid w:val="004C0D9F"/>
    <w:rsid w:val="004C1111"/>
    <w:rsid w:val="004C1209"/>
    <w:rsid w:val="004C156B"/>
    <w:rsid w:val="004C171F"/>
    <w:rsid w:val="004C1AD1"/>
    <w:rsid w:val="004C1B55"/>
    <w:rsid w:val="004C1C9C"/>
    <w:rsid w:val="004C1DAE"/>
    <w:rsid w:val="004C1F73"/>
    <w:rsid w:val="004C2120"/>
    <w:rsid w:val="004C226E"/>
    <w:rsid w:val="004C281D"/>
    <w:rsid w:val="004C28E9"/>
    <w:rsid w:val="004C2A9C"/>
    <w:rsid w:val="004C2CAD"/>
    <w:rsid w:val="004C304B"/>
    <w:rsid w:val="004C37A8"/>
    <w:rsid w:val="004C3910"/>
    <w:rsid w:val="004C399C"/>
    <w:rsid w:val="004C39BC"/>
    <w:rsid w:val="004C3C7F"/>
    <w:rsid w:val="004C3F1B"/>
    <w:rsid w:val="004C47B6"/>
    <w:rsid w:val="004C546D"/>
    <w:rsid w:val="004C58DD"/>
    <w:rsid w:val="004C5D04"/>
    <w:rsid w:val="004C6224"/>
    <w:rsid w:val="004C663F"/>
    <w:rsid w:val="004C6666"/>
    <w:rsid w:val="004C68C9"/>
    <w:rsid w:val="004C6A8D"/>
    <w:rsid w:val="004C6C75"/>
    <w:rsid w:val="004C6FC7"/>
    <w:rsid w:val="004C6FC9"/>
    <w:rsid w:val="004C7267"/>
    <w:rsid w:val="004C73C1"/>
    <w:rsid w:val="004C7568"/>
    <w:rsid w:val="004C7574"/>
    <w:rsid w:val="004C79EE"/>
    <w:rsid w:val="004C7BF2"/>
    <w:rsid w:val="004C7D4A"/>
    <w:rsid w:val="004D01CC"/>
    <w:rsid w:val="004D05D0"/>
    <w:rsid w:val="004D0939"/>
    <w:rsid w:val="004D0A4C"/>
    <w:rsid w:val="004D0D93"/>
    <w:rsid w:val="004D0F3E"/>
    <w:rsid w:val="004D0F3F"/>
    <w:rsid w:val="004D1122"/>
    <w:rsid w:val="004D1CF8"/>
    <w:rsid w:val="004D1FEF"/>
    <w:rsid w:val="004D2368"/>
    <w:rsid w:val="004D25CD"/>
    <w:rsid w:val="004D26DD"/>
    <w:rsid w:val="004D27E5"/>
    <w:rsid w:val="004D28BA"/>
    <w:rsid w:val="004D2983"/>
    <w:rsid w:val="004D2AC7"/>
    <w:rsid w:val="004D2B1C"/>
    <w:rsid w:val="004D2B8E"/>
    <w:rsid w:val="004D3070"/>
    <w:rsid w:val="004D39C5"/>
    <w:rsid w:val="004D3DDC"/>
    <w:rsid w:val="004D3E74"/>
    <w:rsid w:val="004D434B"/>
    <w:rsid w:val="004D4665"/>
    <w:rsid w:val="004D4679"/>
    <w:rsid w:val="004D4B57"/>
    <w:rsid w:val="004D50A2"/>
    <w:rsid w:val="004D5266"/>
    <w:rsid w:val="004D5644"/>
    <w:rsid w:val="004D56A0"/>
    <w:rsid w:val="004D5E2A"/>
    <w:rsid w:val="004D5FFB"/>
    <w:rsid w:val="004D61D1"/>
    <w:rsid w:val="004D6486"/>
    <w:rsid w:val="004D66DD"/>
    <w:rsid w:val="004D68E7"/>
    <w:rsid w:val="004D6B5B"/>
    <w:rsid w:val="004D6C79"/>
    <w:rsid w:val="004D6FEB"/>
    <w:rsid w:val="004D70A2"/>
    <w:rsid w:val="004D7500"/>
    <w:rsid w:val="004D766E"/>
    <w:rsid w:val="004D767B"/>
    <w:rsid w:val="004D77C4"/>
    <w:rsid w:val="004D780E"/>
    <w:rsid w:val="004D79DB"/>
    <w:rsid w:val="004D7E69"/>
    <w:rsid w:val="004E0120"/>
    <w:rsid w:val="004E026B"/>
    <w:rsid w:val="004E0A07"/>
    <w:rsid w:val="004E0FEB"/>
    <w:rsid w:val="004E105B"/>
    <w:rsid w:val="004E156C"/>
    <w:rsid w:val="004E163D"/>
    <w:rsid w:val="004E17DD"/>
    <w:rsid w:val="004E184C"/>
    <w:rsid w:val="004E1F3A"/>
    <w:rsid w:val="004E2659"/>
    <w:rsid w:val="004E277A"/>
    <w:rsid w:val="004E2845"/>
    <w:rsid w:val="004E2A6B"/>
    <w:rsid w:val="004E2A95"/>
    <w:rsid w:val="004E2AE6"/>
    <w:rsid w:val="004E2E42"/>
    <w:rsid w:val="004E2FBC"/>
    <w:rsid w:val="004E32ED"/>
    <w:rsid w:val="004E34D9"/>
    <w:rsid w:val="004E34DC"/>
    <w:rsid w:val="004E3817"/>
    <w:rsid w:val="004E3871"/>
    <w:rsid w:val="004E3F5A"/>
    <w:rsid w:val="004E44B3"/>
    <w:rsid w:val="004E4676"/>
    <w:rsid w:val="004E4742"/>
    <w:rsid w:val="004E48D2"/>
    <w:rsid w:val="004E4D83"/>
    <w:rsid w:val="004E4DC7"/>
    <w:rsid w:val="004E4F67"/>
    <w:rsid w:val="004E518D"/>
    <w:rsid w:val="004E5586"/>
    <w:rsid w:val="004E5666"/>
    <w:rsid w:val="004E5709"/>
    <w:rsid w:val="004E590F"/>
    <w:rsid w:val="004E5A0D"/>
    <w:rsid w:val="004E606D"/>
    <w:rsid w:val="004E64D4"/>
    <w:rsid w:val="004E67EF"/>
    <w:rsid w:val="004E6832"/>
    <w:rsid w:val="004E703B"/>
    <w:rsid w:val="004E70B6"/>
    <w:rsid w:val="004E782B"/>
    <w:rsid w:val="004E7A47"/>
    <w:rsid w:val="004E7A79"/>
    <w:rsid w:val="004E7B67"/>
    <w:rsid w:val="004F0069"/>
    <w:rsid w:val="004F0741"/>
    <w:rsid w:val="004F113E"/>
    <w:rsid w:val="004F1466"/>
    <w:rsid w:val="004F14AE"/>
    <w:rsid w:val="004F1583"/>
    <w:rsid w:val="004F1799"/>
    <w:rsid w:val="004F1B9C"/>
    <w:rsid w:val="004F1C28"/>
    <w:rsid w:val="004F1D80"/>
    <w:rsid w:val="004F1E5F"/>
    <w:rsid w:val="004F1EFF"/>
    <w:rsid w:val="004F2343"/>
    <w:rsid w:val="004F26BD"/>
    <w:rsid w:val="004F279D"/>
    <w:rsid w:val="004F2E68"/>
    <w:rsid w:val="004F30E7"/>
    <w:rsid w:val="004F3157"/>
    <w:rsid w:val="004F32E4"/>
    <w:rsid w:val="004F35CD"/>
    <w:rsid w:val="004F38A7"/>
    <w:rsid w:val="004F3A14"/>
    <w:rsid w:val="004F3EBD"/>
    <w:rsid w:val="004F40BA"/>
    <w:rsid w:val="004F40BC"/>
    <w:rsid w:val="004F4337"/>
    <w:rsid w:val="004F47B9"/>
    <w:rsid w:val="004F48A7"/>
    <w:rsid w:val="004F4E7E"/>
    <w:rsid w:val="004F5336"/>
    <w:rsid w:val="004F550F"/>
    <w:rsid w:val="004F5552"/>
    <w:rsid w:val="004F558B"/>
    <w:rsid w:val="004F5662"/>
    <w:rsid w:val="004F573B"/>
    <w:rsid w:val="004F58BB"/>
    <w:rsid w:val="004F58F1"/>
    <w:rsid w:val="004F5953"/>
    <w:rsid w:val="004F5D82"/>
    <w:rsid w:val="004F5F49"/>
    <w:rsid w:val="004F6378"/>
    <w:rsid w:val="004F644F"/>
    <w:rsid w:val="004F6501"/>
    <w:rsid w:val="004F66B8"/>
    <w:rsid w:val="004F6D18"/>
    <w:rsid w:val="004F6EBF"/>
    <w:rsid w:val="004F7117"/>
    <w:rsid w:val="004F7232"/>
    <w:rsid w:val="004F7248"/>
    <w:rsid w:val="004F7447"/>
    <w:rsid w:val="004F75C6"/>
    <w:rsid w:val="004F77EB"/>
    <w:rsid w:val="004F7AE4"/>
    <w:rsid w:val="00500063"/>
    <w:rsid w:val="00500171"/>
    <w:rsid w:val="005007AA"/>
    <w:rsid w:val="00500C27"/>
    <w:rsid w:val="00500D21"/>
    <w:rsid w:val="00500D88"/>
    <w:rsid w:val="00500FDC"/>
    <w:rsid w:val="0050107B"/>
    <w:rsid w:val="0050147A"/>
    <w:rsid w:val="00501701"/>
    <w:rsid w:val="00501B01"/>
    <w:rsid w:val="00501BE2"/>
    <w:rsid w:val="00501D6D"/>
    <w:rsid w:val="005022CE"/>
    <w:rsid w:val="00502A6B"/>
    <w:rsid w:val="00502B99"/>
    <w:rsid w:val="00502BE7"/>
    <w:rsid w:val="00502D67"/>
    <w:rsid w:val="00502F40"/>
    <w:rsid w:val="0050349A"/>
    <w:rsid w:val="005034D1"/>
    <w:rsid w:val="0050394A"/>
    <w:rsid w:val="005040F5"/>
    <w:rsid w:val="0050436C"/>
    <w:rsid w:val="005044D8"/>
    <w:rsid w:val="0050476A"/>
    <w:rsid w:val="005047C7"/>
    <w:rsid w:val="00504A44"/>
    <w:rsid w:val="00504D75"/>
    <w:rsid w:val="00504DBA"/>
    <w:rsid w:val="0050531D"/>
    <w:rsid w:val="00505393"/>
    <w:rsid w:val="00505530"/>
    <w:rsid w:val="005056BA"/>
    <w:rsid w:val="005057BD"/>
    <w:rsid w:val="00505811"/>
    <w:rsid w:val="00505F5A"/>
    <w:rsid w:val="00506875"/>
    <w:rsid w:val="005072CF"/>
    <w:rsid w:val="005075D1"/>
    <w:rsid w:val="0050765C"/>
    <w:rsid w:val="00507717"/>
    <w:rsid w:val="0050773F"/>
    <w:rsid w:val="00507A7F"/>
    <w:rsid w:val="00507B27"/>
    <w:rsid w:val="005104B3"/>
    <w:rsid w:val="005104C8"/>
    <w:rsid w:val="005104D0"/>
    <w:rsid w:val="00510506"/>
    <w:rsid w:val="00510874"/>
    <w:rsid w:val="00510CFA"/>
    <w:rsid w:val="00510E43"/>
    <w:rsid w:val="00511759"/>
    <w:rsid w:val="00511993"/>
    <w:rsid w:val="00511C9E"/>
    <w:rsid w:val="00511F6C"/>
    <w:rsid w:val="00512224"/>
    <w:rsid w:val="00512672"/>
    <w:rsid w:val="00512979"/>
    <w:rsid w:val="005129D5"/>
    <w:rsid w:val="00512E24"/>
    <w:rsid w:val="005130CC"/>
    <w:rsid w:val="0051321A"/>
    <w:rsid w:val="0051334D"/>
    <w:rsid w:val="0051336B"/>
    <w:rsid w:val="0051356D"/>
    <w:rsid w:val="0051362D"/>
    <w:rsid w:val="0051400D"/>
    <w:rsid w:val="0051419E"/>
    <w:rsid w:val="005141E2"/>
    <w:rsid w:val="00514522"/>
    <w:rsid w:val="005145B8"/>
    <w:rsid w:val="005149EA"/>
    <w:rsid w:val="00514E45"/>
    <w:rsid w:val="0051541C"/>
    <w:rsid w:val="00515683"/>
    <w:rsid w:val="00515CA0"/>
    <w:rsid w:val="0051624A"/>
    <w:rsid w:val="00516A9F"/>
    <w:rsid w:val="005173EE"/>
    <w:rsid w:val="0051740F"/>
    <w:rsid w:val="00517805"/>
    <w:rsid w:val="00517B17"/>
    <w:rsid w:val="00517B42"/>
    <w:rsid w:val="00517B5F"/>
    <w:rsid w:val="00517D24"/>
    <w:rsid w:val="005201CA"/>
    <w:rsid w:val="00520658"/>
    <w:rsid w:val="00520C45"/>
    <w:rsid w:val="00520C88"/>
    <w:rsid w:val="00520D48"/>
    <w:rsid w:val="00520E70"/>
    <w:rsid w:val="005211CC"/>
    <w:rsid w:val="00521830"/>
    <w:rsid w:val="00521C5E"/>
    <w:rsid w:val="00521C6A"/>
    <w:rsid w:val="0052244E"/>
    <w:rsid w:val="005228A5"/>
    <w:rsid w:val="0052300A"/>
    <w:rsid w:val="005234A9"/>
    <w:rsid w:val="00523713"/>
    <w:rsid w:val="00523779"/>
    <w:rsid w:val="00523D19"/>
    <w:rsid w:val="00523EAB"/>
    <w:rsid w:val="005241B0"/>
    <w:rsid w:val="0052436E"/>
    <w:rsid w:val="005243EB"/>
    <w:rsid w:val="00524632"/>
    <w:rsid w:val="00524942"/>
    <w:rsid w:val="00524F4E"/>
    <w:rsid w:val="00525004"/>
    <w:rsid w:val="00525E2D"/>
    <w:rsid w:val="0052605E"/>
    <w:rsid w:val="0052651E"/>
    <w:rsid w:val="005265EA"/>
    <w:rsid w:val="0052681B"/>
    <w:rsid w:val="0052693D"/>
    <w:rsid w:val="00526B64"/>
    <w:rsid w:val="00526C01"/>
    <w:rsid w:val="00526CAF"/>
    <w:rsid w:val="00526DB1"/>
    <w:rsid w:val="005274B3"/>
    <w:rsid w:val="005275B2"/>
    <w:rsid w:val="00527FAE"/>
    <w:rsid w:val="0053020A"/>
    <w:rsid w:val="00530245"/>
    <w:rsid w:val="005303B1"/>
    <w:rsid w:val="005306F1"/>
    <w:rsid w:val="005306F5"/>
    <w:rsid w:val="0053073D"/>
    <w:rsid w:val="00530CF7"/>
    <w:rsid w:val="00530E5E"/>
    <w:rsid w:val="00531030"/>
    <w:rsid w:val="00531123"/>
    <w:rsid w:val="005311C3"/>
    <w:rsid w:val="00531211"/>
    <w:rsid w:val="005314AC"/>
    <w:rsid w:val="005319E5"/>
    <w:rsid w:val="00531AF4"/>
    <w:rsid w:val="005322E5"/>
    <w:rsid w:val="00532696"/>
    <w:rsid w:val="0053277C"/>
    <w:rsid w:val="0053288E"/>
    <w:rsid w:val="00532C45"/>
    <w:rsid w:val="00532FC6"/>
    <w:rsid w:val="0053302A"/>
    <w:rsid w:val="00533177"/>
    <w:rsid w:val="00533442"/>
    <w:rsid w:val="00533566"/>
    <w:rsid w:val="0053374A"/>
    <w:rsid w:val="0053375D"/>
    <w:rsid w:val="00533B46"/>
    <w:rsid w:val="00533DB1"/>
    <w:rsid w:val="00533F9E"/>
    <w:rsid w:val="0053426E"/>
    <w:rsid w:val="0053432F"/>
    <w:rsid w:val="00534535"/>
    <w:rsid w:val="00534A39"/>
    <w:rsid w:val="00534DA6"/>
    <w:rsid w:val="00535116"/>
    <w:rsid w:val="005354F0"/>
    <w:rsid w:val="0053580C"/>
    <w:rsid w:val="005358DB"/>
    <w:rsid w:val="00535AF4"/>
    <w:rsid w:val="00535B02"/>
    <w:rsid w:val="0053609D"/>
    <w:rsid w:val="005360FE"/>
    <w:rsid w:val="00536331"/>
    <w:rsid w:val="00536915"/>
    <w:rsid w:val="00536AD5"/>
    <w:rsid w:val="00536CA1"/>
    <w:rsid w:val="00537493"/>
    <w:rsid w:val="0053761B"/>
    <w:rsid w:val="00537A94"/>
    <w:rsid w:val="00537E87"/>
    <w:rsid w:val="005406E5"/>
    <w:rsid w:val="005406F9"/>
    <w:rsid w:val="005407E9"/>
    <w:rsid w:val="00540C39"/>
    <w:rsid w:val="00541118"/>
    <w:rsid w:val="005411D2"/>
    <w:rsid w:val="005415EE"/>
    <w:rsid w:val="00541746"/>
    <w:rsid w:val="00541832"/>
    <w:rsid w:val="005418C2"/>
    <w:rsid w:val="005419EC"/>
    <w:rsid w:val="00541C3E"/>
    <w:rsid w:val="00541E22"/>
    <w:rsid w:val="00541E3C"/>
    <w:rsid w:val="00541FE7"/>
    <w:rsid w:val="00542043"/>
    <w:rsid w:val="00542104"/>
    <w:rsid w:val="00542333"/>
    <w:rsid w:val="0054235E"/>
    <w:rsid w:val="00542B48"/>
    <w:rsid w:val="00542E9F"/>
    <w:rsid w:val="00543093"/>
    <w:rsid w:val="005433E0"/>
    <w:rsid w:val="005437E7"/>
    <w:rsid w:val="00543E13"/>
    <w:rsid w:val="00544030"/>
    <w:rsid w:val="00544136"/>
    <w:rsid w:val="005443EC"/>
    <w:rsid w:val="00544947"/>
    <w:rsid w:val="00544B67"/>
    <w:rsid w:val="00544E6B"/>
    <w:rsid w:val="0054543F"/>
    <w:rsid w:val="00545B07"/>
    <w:rsid w:val="00545D88"/>
    <w:rsid w:val="0054609C"/>
    <w:rsid w:val="00546128"/>
    <w:rsid w:val="005461C4"/>
    <w:rsid w:val="0054647C"/>
    <w:rsid w:val="005464FF"/>
    <w:rsid w:val="005465CB"/>
    <w:rsid w:val="00546740"/>
    <w:rsid w:val="0054744B"/>
    <w:rsid w:val="005476C1"/>
    <w:rsid w:val="00547AE7"/>
    <w:rsid w:val="00547C3B"/>
    <w:rsid w:val="00547CD4"/>
    <w:rsid w:val="005502E2"/>
    <w:rsid w:val="005504CD"/>
    <w:rsid w:val="005507AC"/>
    <w:rsid w:val="00550998"/>
    <w:rsid w:val="00550BE8"/>
    <w:rsid w:val="00550C67"/>
    <w:rsid w:val="00551625"/>
    <w:rsid w:val="00551758"/>
    <w:rsid w:val="005518CD"/>
    <w:rsid w:val="005522E5"/>
    <w:rsid w:val="005527A5"/>
    <w:rsid w:val="005528F1"/>
    <w:rsid w:val="00552930"/>
    <w:rsid w:val="00552A41"/>
    <w:rsid w:val="005532CE"/>
    <w:rsid w:val="00553469"/>
    <w:rsid w:val="005534EE"/>
    <w:rsid w:val="00553898"/>
    <w:rsid w:val="00553A70"/>
    <w:rsid w:val="00553ABA"/>
    <w:rsid w:val="00553D57"/>
    <w:rsid w:val="00553F36"/>
    <w:rsid w:val="00553FD5"/>
    <w:rsid w:val="00554156"/>
    <w:rsid w:val="0055433A"/>
    <w:rsid w:val="00554515"/>
    <w:rsid w:val="0055454A"/>
    <w:rsid w:val="00554590"/>
    <w:rsid w:val="00554607"/>
    <w:rsid w:val="005546FF"/>
    <w:rsid w:val="0055479C"/>
    <w:rsid w:val="00554AE1"/>
    <w:rsid w:val="00554FD6"/>
    <w:rsid w:val="00555228"/>
    <w:rsid w:val="00555648"/>
    <w:rsid w:val="00555C9E"/>
    <w:rsid w:val="00555E70"/>
    <w:rsid w:val="005560CA"/>
    <w:rsid w:val="005562AF"/>
    <w:rsid w:val="005564A4"/>
    <w:rsid w:val="0055689D"/>
    <w:rsid w:val="00556FD2"/>
    <w:rsid w:val="00557604"/>
    <w:rsid w:val="00557AA9"/>
    <w:rsid w:val="00557C9E"/>
    <w:rsid w:val="00557CB5"/>
    <w:rsid w:val="00557EFE"/>
    <w:rsid w:val="005600D0"/>
    <w:rsid w:val="0056017D"/>
    <w:rsid w:val="00560589"/>
    <w:rsid w:val="00560762"/>
    <w:rsid w:val="00560B45"/>
    <w:rsid w:val="00560E77"/>
    <w:rsid w:val="0056120C"/>
    <w:rsid w:val="00561215"/>
    <w:rsid w:val="005612AC"/>
    <w:rsid w:val="00561650"/>
    <w:rsid w:val="0056172B"/>
    <w:rsid w:val="0056172D"/>
    <w:rsid w:val="0056176F"/>
    <w:rsid w:val="00561771"/>
    <w:rsid w:val="0056198F"/>
    <w:rsid w:val="00561B17"/>
    <w:rsid w:val="00561C06"/>
    <w:rsid w:val="00561CC3"/>
    <w:rsid w:val="00561E30"/>
    <w:rsid w:val="00561F84"/>
    <w:rsid w:val="00561FF0"/>
    <w:rsid w:val="00562109"/>
    <w:rsid w:val="0056234B"/>
    <w:rsid w:val="0056283F"/>
    <w:rsid w:val="00562AF5"/>
    <w:rsid w:val="00563A0E"/>
    <w:rsid w:val="00563ACA"/>
    <w:rsid w:val="00563C42"/>
    <w:rsid w:val="00563D1C"/>
    <w:rsid w:val="00564453"/>
    <w:rsid w:val="00564905"/>
    <w:rsid w:val="0056490D"/>
    <w:rsid w:val="00564CB5"/>
    <w:rsid w:val="005652DF"/>
    <w:rsid w:val="00565729"/>
    <w:rsid w:val="005659D4"/>
    <w:rsid w:val="00565EA7"/>
    <w:rsid w:val="00566666"/>
    <w:rsid w:val="00566C7B"/>
    <w:rsid w:val="00566CE3"/>
    <w:rsid w:val="00566CF8"/>
    <w:rsid w:val="00566E0D"/>
    <w:rsid w:val="00566FDC"/>
    <w:rsid w:val="005674A1"/>
    <w:rsid w:val="005675F2"/>
    <w:rsid w:val="0056762E"/>
    <w:rsid w:val="00567729"/>
    <w:rsid w:val="005679B1"/>
    <w:rsid w:val="0057011C"/>
    <w:rsid w:val="005701A7"/>
    <w:rsid w:val="00570447"/>
    <w:rsid w:val="0057091B"/>
    <w:rsid w:val="0057093E"/>
    <w:rsid w:val="00570BD5"/>
    <w:rsid w:val="00570D26"/>
    <w:rsid w:val="00570E1D"/>
    <w:rsid w:val="005713BA"/>
    <w:rsid w:val="005714C6"/>
    <w:rsid w:val="00571AAE"/>
    <w:rsid w:val="00571B02"/>
    <w:rsid w:val="00571B2A"/>
    <w:rsid w:val="00571D0D"/>
    <w:rsid w:val="00571D41"/>
    <w:rsid w:val="005720F4"/>
    <w:rsid w:val="0057222D"/>
    <w:rsid w:val="00572240"/>
    <w:rsid w:val="00572261"/>
    <w:rsid w:val="00572450"/>
    <w:rsid w:val="005724F8"/>
    <w:rsid w:val="00572882"/>
    <w:rsid w:val="00572900"/>
    <w:rsid w:val="005730B8"/>
    <w:rsid w:val="00573187"/>
    <w:rsid w:val="005734DB"/>
    <w:rsid w:val="00573E90"/>
    <w:rsid w:val="00573ED4"/>
    <w:rsid w:val="00573F6B"/>
    <w:rsid w:val="005741DE"/>
    <w:rsid w:val="005743B1"/>
    <w:rsid w:val="00574640"/>
    <w:rsid w:val="00574BD8"/>
    <w:rsid w:val="00574C64"/>
    <w:rsid w:val="00574F36"/>
    <w:rsid w:val="005751CE"/>
    <w:rsid w:val="00575398"/>
    <w:rsid w:val="005753BF"/>
    <w:rsid w:val="00575F83"/>
    <w:rsid w:val="00576692"/>
    <w:rsid w:val="005769ED"/>
    <w:rsid w:val="00576C3D"/>
    <w:rsid w:val="00576CB2"/>
    <w:rsid w:val="00576CEE"/>
    <w:rsid w:val="00576E47"/>
    <w:rsid w:val="00576ED2"/>
    <w:rsid w:val="00576EEE"/>
    <w:rsid w:val="00576EF9"/>
    <w:rsid w:val="00577203"/>
    <w:rsid w:val="005773E4"/>
    <w:rsid w:val="005775AC"/>
    <w:rsid w:val="00577800"/>
    <w:rsid w:val="0057792C"/>
    <w:rsid w:val="00577A91"/>
    <w:rsid w:val="00580021"/>
    <w:rsid w:val="00580167"/>
    <w:rsid w:val="0058058B"/>
    <w:rsid w:val="005809DE"/>
    <w:rsid w:val="00580DA2"/>
    <w:rsid w:val="00581135"/>
    <w:rsid w:val="005819BB"/>
    <w:rsid w:val="00581A8D"/>
    <w:rsid w:val="00581E63"/>
    <w:rsid w:val="00581EC7"/>
    <w:rsid w:val="005822A0"/>
    <w:rsid w:val="0058268A"/>
    <w:rsid w:val="00582914"/>
    <w:rsid w:val="00582D06"/>
    <w:rsid w:val="00582E00"/>
    <w:rsid w:val="00582E46"/>
    <w:rsid w:val="00583047"/>
    <w:rsid w:val="005834FB"/>
    <w:rsid w:val="0058355B"/>
    <w:rsid w:val="0058372B"/>
    <w:rsid w:val="00583789"/>
    <w:rsid w:val="00583A84"/>
    <w:rsid w:val="005841E8"/>
    <w:rsid w:val="0058435D"/>
    <w:rsid w:val="00584519"/>
    <w:rsid w:val="005848C4"/>
    <w:rsid w:val="00584A70"/>
    <w:rsid w:val="00584D95"/>
    <w:rsid w:val="00585000"/>
    <w:rsid w:val="00585603"/>
    <w:rsid w:val="00585AA0"/>
    <w:rsid w:val="00585B4A"/>
    <w:rsid w:val="00585DD7"/>
    <w:rsid w:val="00585E88"/>
    <w:rsid w:val="00586A4F"/>
    <w:rsid w:val="00586DAF"/>
    <w:rsid w:val="00587AB8"/>
    <w:rsid w:val="0059022D"/>
    <w:rsid w:val="005902C3"/>
    <w:rsid w:val="005906AF"/>
    <w:rsid w:val="005907D2"/>
    <w:rsid w:val="00590B06"/>
    <w:rsid w:val="00590FCD"/>
    <w:rsid w:val="00591234"/>
    <w:rsid w:val="0059138E"/>
    <w:rsid w:val="00591394"/>
    <w:rsid w:val="00591520"/>
    <w:rsid w:val="00591A44"/>
    <w:rsid w:val="00591D99"/>
    <w:rsid w:val="00591DA9"/>
    <w:rsid w:val="00591DBB"/>
    <w:rsid w:val="0059208C"/>
    <w:rsid w:val="005922BF"/>
    <w:rsid w:val="00592514"/>
    <w:rsid w:val="00592609"/>
    <w:rsid w:val="00592935"/>
    <w:rsid w:val="00592F0F"/>
    <w:rsid w:val="005930DF"/>
    <w:rsid w:val="00593934"/>
    <w:rsid w:val="00593B89"/>
    <w:rsid w:val="00593F20"/>
    <w:rsid w:val="005942CD"/>
    <w:rsid w:val="005944D7"/>
    <w:rsid w:val="005947EF"/>
    <w:rsid w:val="00594845"/>
    <w:rsid w:val="005948AD"/>
    <w:rsid w:val="005949AA"/>
    <w:rsid w:val="00594ABD"/>
    <w:rsid w:val="00594C55"/>
    <w:rsid w:val="0059534A"/>
    <w:rsid w:val="005953CE"/>
    <w:rsid w:val="0059580B"/>
    <w:rsid w:val="005959DE"/>
    <w:rsid w:val="00595C5C"/>
    <w:rsid w:val="00596217"/>
    <w:rsid w:val="00596C66"/>
    <w:rsid w:val="00596F57"/>
    <w:rsid w:val="0059708D"/>
    <w:rsid w:val="0059710D"/>
    <w:rsid w:val="005974A7"/>
    <w:rsid w:val="00597681"/>
    <w:rsid w:val="005977B4"/>
    <w:rsid w:val="005978E0"/>
    <w:rsid w:val="00597AA0"/>
    <w:rsid w:val="00597CD9"/>
    <w:rsid w:val="00597EF1"/>
    <w:rsid w:val="00597F49"/>
    <w:rsid w:val="005A0145"/>
    <w:rsid w:val="005A0444"/>
    <w:rsid w:val="005A0629"/>
    <w:rsid w:val="005A0BB9"/>
    <w:rsid w:val="005A12F3"/>
    <w:rsid w:val="005A1482"/>
    <w:rsid w:val="005A17E4"/>
    <w:rsid w:val="005A182F"/>
    <w:rsid w:val="005A1ED4"/>
    <w:rsid w:val="005A24FC"/>
    <w:rsid w:val="005A254A"/>
    <w:rsid w:val="005A25AF"/>
    <w:rsid w:val="005A25B2"/>
    <w:rsid w:val="005A2635"/>
    <w:rsid w:val="005A2A6A"/>
    <w:rsid w:val="005A2CE0"/>
    <w:rsid w:val="005A2EAA"/>
    <w:rsid w:val="005A3527"/>
    <w:rsid w:val="005A3751"/>
    <w:rsid w:val="005A3B35"/>
    <w:rsid w:val="005A3BA3"/>
    <w:rsid w:val="005A3E9E"/>
    <w:rsid w:val="005A4095"/>
    <w:rsid w:val="005A4128"/>
    <w:rsid w:val="005A43CF"/>
    <w:rsid w:val="005A4881"/>
    <w:rsid w:val="005A4CC9"/>
    <w:rsid w:val="005A51D3"/>
    <w:rsid w:val="005A5536"/>
    <w:rsid w:val="005A5910"/>
    <w:rsid w:val="005A5E40"/>
    <w:rsid w:val="005A6595"/>
    <w:rsid w:val="005A65AF"/>
    <w:rsid w:val="005A65E3"/>
    <w:rsid w:val="005A679C"/>
    <w:rsid w:val="005A69FA"/>
    <w:rsid w:val="005A6CC6"/>
    <w:rsid w:val="005A6CE1"/>
    <w:rsid w:val="005A6D82"/>
    <w:rsid w:val="005A713B"/>
    <w:rsid w:val="005A71E4"/>
    <w:rsid w:val="005A7736"/>
    <w:rsid w:val="005A78B9"/>
    <w:rsid w:val="005A7AFE"/>
    <w:rsid w:val="005A7D97"/>
    <w:rsid w:val="005B00B3"/>
    <w:rsid w:val="005B030C"/>
    <w:rsid w:val="005B0D79"/>
    <w:rsid w:val="005B0D96"/>
    <w:rsid w:val="005B0DE4"/>
    <w:rsid w:val="005B0F23"/>
    <w:rsid w:val="005B1550"/>
    <w:rsid w:val="005B162D"/>
    <w:rsid w:val="005B1B77"/>
    <w:rsid w:val="005B1D00"/>
    <w:rsid w:val="005B1D1C"/>
    <w:rsid w:val="005B1F03"/>
    <w:rsid w:val="005B1F34"/>
    <w:rsid w:val="005B24B0"/>
    <w:rsid w:val="005B2812"/>
    <w:rsid w:val="005B2D42"/>
    <w:rsid w:val="005B2F6E"/>
    <w:rsid w:val="005B326A"/>
    <w:rsid w:val="005B343D"/>
    <w:rsid w:val="005B3579"/>
    <w:rsid w:val="005B3B23"/>
    <w:rsid w:val="005B3F64"/>
    <w:rsid w:val="005B400C"/>
    <w:rsid w:val="005B41D3"/>
    <w:rsid w:val="005B4367"/>
    <w:rsid w:val="005B4607"/>
    <w:rsid w:val="005B4795"/>
    <w:rsid w:val="005B4808"/>
    <w:rsid w:val="005B4AF9"/>
    <w:rsid w:val="005B4F0B"/>
    <w:rsid w:val="005B550B"/>
    <w:rsid w:val="005B5D69"/>
    <w:rsid w:val="005B5E9D"/>
    <w:rsid w:val="005B61E8"/>
    <w:rsid w:val="005B643A"/>
    <w:rsid w:val="005B73FF"/>
    <w:rsid w:val="005B7545"/>
    <w:rsid w:val="005B763E"/>
    <w:rsid w:val="005B780D"/>
    <w:rsid w:val="005B781A"/>
    <w:rsid w:val="005B7B1B"/>
    <w:rsid w:val="005B7E17"/>
    <w:rsid w:val="005C019F"/>
    <w:rsid w:val="005C04CC"/>
    <w:rsid w:val="005C0DB0"/>
    <w:rsid w:val="005C0DE6"/>
    <w:rsid w:val="005C134C"/>
    <w:rsid w:val="005C137B"/>
    <w:rsid w:val="005C14CC"/>
    <w:rsid w:val="005C1782"/>
    <w:rsid w:val="005C1A7F"/>
    <w:rsid w:val="005C1EE0"/>
    <w:rsid w:val="005C2406"/>
    <w:rsid w:val="005C2619"/>
    <w:rsid w:val="005C2B53"/>
    <w:rsid w:val="005C2F8C"/>
    <w:rsid w:val="005C2FFE"/>
    <w:rsid w:val="005C3137"/>
    <w:rsid w:val="005C326B"/>
    <w:rsid w:val="005C3592"/>
    <w:rsid w:val="005C3614"/>
    <w:rsid w:val="005C3651"/>
    <w:rsid w:val="005C3A2C"/>
    <w:rsid w:val="005C3A46"/>
    <w:rsid w:val="005C3A92"/>
    <w:rsid w:val="005C3BBE"/>
    <w:rsid w:val="005C3DA7"/>
    <w:rsid w:val="005C410A"/>
    <w:rsid w:val="005C49CA"/>
    <w:rsid w:val="005C4DFD"/>
    <w:rsid w:val="005C5489"/>
    <w:rsid w:val="005C6CF4"/>
    <w:rsid w:val="005C6F8C"/>
    <w:rsid w:val="005C782B"/>
    <w:rsid w:val="005C7AE8"/>
    <w:rsid w:val="005C7D12"/>
    <w:rsid w:val="005D00BE"/>
    <w:rsid w:val="005D0368"/>
    <w:rsid w:val="005D09E1"/>
    <w:rsid w:val="005D0BE2"/>
    <w:rsid w:val="005D0C2C"/>
    <w:rsid w:val="005D0EAD"/>
    <w:rsid w:val="005D108B"/>
    <w:rsid w:val="005D118F"/>
    <w:rsid w:val="005D11BE"/>
    <w:rsid w:val="005D12C0"/>
    <w:rsid w:val="005D180B"/>
    <w:rsid w:val="005D192E"/>
    <w:rsid w:val="005D1975"/>
    <w:rsid w:val="005D1C11"/>
    <w:rsid w:val="005D1E3B"/>
    <w:rsid w:val="005D1FF9"/>
    <w:rsid w:val="005D2110"/>
    <w:rsid w:val="005D2280"/>
    <w:rsid w:val="005D2B23"/>
    <w:rsid w:val="005D2D38"/>
    <w:rsid w:val="005D2D84"/>
    <w:rsid w:val="005D3752"/>
    <w:rsid w:val="005D3942"/>
    <w:rsid w:val="005D3C48"/>
    <w:rsid w:val="005D4172"/>
    <w:rsid w:val="005D444B"/>
    <w:rsid w:val="005D4577"/>
    <w:rsid w:val="005D482C"/>
    <w:rsid w:val="005D4992"/>
    <w:rsid w:val="005D4A03"/>
    <w:rsid w:val="005D50CF"/>
    <w:rsid w:val="005D5177"/>
    <w:rsid w:val="005D5393"/>
    <w:rsid w:val="005D5525"/>
    <w:rsid w:val="005D5680"/>
    <w:rsid w:val="005D597A"/>
    <w:rsid w:val="005D5A22"/>
    <w:rsid w:val="005D5DDE"/>
    <w:rsid w:val="005D63A6"/>
    <w:rsid w:val="005D6460"/>
    <w:rsid w:val="005D6562"/>
    <w:rsid w:val="005D6725"/>
    <w:rsid w:val="005D680F"/>
    <w:rsid w:val="005D6897"/>
    <w:rsid w:val="005D6A89"/>
    <w:rsid w:val="005D6B59"/>
    <w:rsid w:val="005D6C6A"/>
    <w:rsid w:val="005D70F3"/>
    <w:rsid w:val="005D7475"/>
    <w:rsid w:val="005D7704"/>
    <w:rsid w:val="005E011D"/>
    <w:rsid w:val="005E02F2"/>
    <w:rsid w:val="005E055F"/>
    <w:rsid w:val="005E05F3"/>
    <w:rsid w:val="005E06B9"/>
    <w:rsid w:val="005E0BDB"/>
    <w:rsid w:val="005E0DD0"/>
    <w:rsid w:val="005E0E7A"/>
    <w:rsid w:val="005E10AF"/>
    <w:rsid w:val="005E1261"/>
    <w:rsid w:val="005E12B3"/>
    <w:rsid w:val="005E1839"/>
    <w:rsid w:val="005E192E"/>
    <w:rsid w:val="005E19C4"/>
    <w:rsid w:val="005E1BDF"/>
    <w:rsid w:val="005E284D"/>
    <w:rsid w:val="005E2FDA"/>
    <w:rsid w:val="005E317D"/>
    <w:rsid w:val="005E3587"/>
    <w:rsid w:val="005E35FC"/>
    <w:rsid w:val="005E3610"/>
    <w:rsid w:val="005E3B13"/>
    <w:rsid w:val="005E3D50"/>
    <w:rsid w:val="005E4092"/>
    <w:rsid w:val="005E4555"/>
    <w:rsid w:val="005E489C"/>
    <w:rsid w:val="005E4A84"/>
    <w:rsid w:val="005E4B19"/>
    <w:rsid w:val="005E4F9C"/>
    <w:rsid w:val="005E500B"/>
    <w:rsid w:val="005E505F"/>
    <w:rsid w:val="005E5359"/>
    <w:rsid w:val="005E580A"/>
    <w:rsid w:val="005E5B0E"/>
    <w:rsid w:val="005E5B53"/>
    <w:rsid w:val="005E663E"/>
    <w:rsid w:val="005E66E3"/>
    <w:rsid w:val="005E6C11"/>
    <w:rsid w:val="005E6C22"/>
    <w:rsid w:val="005E6CA3"/>
    <w:rsid w:val="005E75C3"/>
    <w:rsid w:val="005E75EB"/>
    <w:rsid w:val="005E7870"/>
    <w:rsid w:val="005E79EC"/>
    <w:rsid w:val="005E7DD2"/>
    <w:rsid w:val="005E7EAA"/>
    <w:rsid w:val="005E7F65"/>
    <w:rsid w:val="005F01F5"/>
    <w:rsid w:val="005F0530"/>
    <w:rsid w:val="005F07AB"/>
    <w:rsid w:val="005F0858"/>
    <w:rsid w:val="005F0BDC"/>
    <w:rsid w:val="005F0C3D"/>
    <w:rsid w:val="005F0D7F"/>
    <w:rsid w:val="005F0DF3"/>
    <w:rsid w:val="005F0F7B"/>
    <w:rsid w:val="005F15A5"/>
    <w:rsid w:val="005F1903"/>
    <w:rsid w:val="005F1FDA"/>
    <w:rsid w:val="005F2077"/>
    <w:rsid w:val="005F20E7"/>
    <w:rsid w:val="005F24FA"/>
    <w:rsid w:val="005F28C3"/>
    <w:rsid w:val="005F2992"/>
    <w:rsid w:val="005F2BAC"/>
    <w:rsid w:val="005F2C63"/>
    <w:rsid w:val="005F2CF8"/>
    <w:rsid w:val="005F346C"/>
    <w:rsid w:val="005F35A6"/>
    <w:rsid w:val="005F381D"/>
    <w:rsid w:val="005F38AB"/>
    <w:rsid w:val="005F3900"/>
    <w:rsid w:val="005F3D0F"/>
    <w:rsid w:val="005F41B3"/>
    <w:rsid w:val="005F420C"/>
    <w:rsid w:val="005F4519"/>
    <w:rsid w:val="005F4579"/>
    <w:rsid w:val="005F4C35"/>
    <w:rsid w:val="005F4F3D"/>
    <w:rsid w:val="005F506D"/>
    <w:rsid w:val="005F507B"/>
    <w:rsid w:val="005F50E0"/>
    <w:rsid w:val="005F5168"/>
    <w:rsid w:val="005F548C"/>
    <w:rsid w:val="005F591E"/>
    <w:rsid w:val="005F5A2E"/>
    <w:rsid w:val="005F5E18"/>
    <w:rsid w:val="005F691C"/>
    <w:rsid w:val="005F6B99"/>
    <w:rsid w:val="005F6C30"/>
    <w:rsid w:val="005F6CD5"/>
    <w:rsid w:val="005F7588"/>
    <w:rsid w:val="005F767A"/>
    <w:rsid w:val="005F7B42"/>
    <w:rsid w:val="005F7C36"/>
    <w:rsid w:val="00600305"/>
    <w:rsid w:val="006004A6"/>
    <w:rsid w:val="00600577"/>
    <w:rsid w:val="006005F2"/>
    <w:rsid w:val="006009A0"/>
    <w:rsid w:val="00600BEA"/>
    <w:rsid w:val="00600C51"/>
    <w:rsid w:val="00600CA7"/>
    <w:rsid w:val="00600E2F"/>
    <w:rsid w:val="006010D4"/>
    <w:rsid w:val="006012B1"/>
    <w:rsid w:val="006012FA"/>
    <w:rsid w:val="00601308"/>
    <w:rsid w:val="006014BD"/>
    <w:rsid w:val="006014E2"/>
    <w:rsid w:val="00601602"/>
    <w:rsid w:val="006016CF"/>
    <w:rsid w:val="006017C6"/>
    <w:rsid w:val="00601A2E"/>
    <w:rsid w:val="00601BE3"/>
    <w:rsid w:val="00601F6F"/>
    <w:rsid w:val="0060238F"/>
    <w:rsid w:val="006025A1"/>
    <w:rsid w:val="00602624"/>
    <w:rsid w:val="00602C2C"/>
    <w:rsid w:val="00602C82"/>
    <w:rsid w:val="0060337F"/>
    <w:rsid w:val="006033A0"/>
    <w:rsid w:val="006038DE"/>
    <w:rsid w:val="00603A89"/>
    <w:rsid w:val="00603CDB"/>
    <w:rsid w:val="00603CE8"/>
    <w:rsid w:val="00603DF1"/>
    <w:rsid w:val="00604028"/>
    <w:rsid w:val="00604865"/>
    <w:rsid w:val="00604929"/>
    <w:rsid w:val="0060498C"/>
    <w:rsid w:val="00604BCE"/>
    <w:rsid w:val="00604C5F"/>
    <w:rsid w:val="00604C72"/>
    <w:rsid w:val="00604CEA"/>
    <w:rsid w:val="00604EC1"/>
    <w:rsid w:val="006052EA"/>
    <w:rsid w:val="0060532D"/>
    <w:rsid w:val="0060541C"/>
    <w:rsid w:val="00605523"/>
    <w:rsid w:val="00605624"/>
    <w:rsid w:val="006057FF"/>
    <w:rsid w:val="006058D8"/>
    <w:rsid w:val="006059EF"/>
    <w:rsid w:val="00605D4A"/>
    <w:rsid w:val="00605D8C"/>
    <w:rsid w:val="00606195"/>
    <w:rsid w:val="00606384"/>
    <w:rsid w:val="006063BB"/>
    <w:rsid w:val="006064D9"/>
    <w:rsid w:val="006067AE"/>
    <w:rsid w:val="00606960"/>
    <w:rsid w:val="006069E3"/>
    <w:rsid w:val="00606B0F"/>
    <w:rsid w:val="00606C92"/>
    <w:rsid w:val="00607033"/>
    <w:rsid w:val="00607282"/>
    <w:rsid w:val="0060730D"/>
    <w:rsid w:val="0060743E"/>
    <w:rsid w:val="006079D0"/>
    <w:rsid w:val="00607BD8"/>
    <w:rsid w:val="00607D20"/>
    <w:rsid w:val="00607FEE"/>
    <w:rsid w:val="00610011"/>
    <w:rsid w:val="0061030C"/>
    <w:rsid w:val="006104D8"/>
    <w:rsid w:val="006104F4"/>
    <w:rsid w:val="0061097D"/>
    <w:rsid w:val="00610A2C"/>
    <w:rsid w:val="00610F4F"/>
    <w:rsid w:val="0061105E"/>
    <w:rsid w:val="0061110B"/>
    <w:rsid w:val="0061118E"/>
    <w:rsid w:val="006111D0"/>
    <w:rsid w:val="0061123E"/>
    <w:rsid w:val="006114F0"/>
    <w:rsid w:val="00611759"/>
    <w:rsid w:val="006117A7"/>
    <w:rsid w:val="0061187F"/>
    <w:rsid w:val="006118B3"/>
    <w:rsid w:val="00611965"/>
    <w:rsid w:val="00611A5B"/>
    <w:rsid w:val="00611A84"/>
    <w:rsid w:val="00611AEE"/>
    <w:rsid w:val="00611AF8"/>
    <w:rsid w:val="00611BCF"/>
    <w:rsid w:val="00611C62"/>
    <w:rsid w:val="00611CCD"/>
    <w:rsid w:val="00611E92"/>
    <w:rsid w:val="006123DA"/>
    <w:rsid w:val="006126B3"/>
    <w:rsid w:val="006127A2"/>
    <w:rsid w:val="00612997"/>
    <w:rsid w:val="00612B53"/>
    <w:rsid w:val="00612B6D"/>
    <w:rsid w:val="00612D4E"/>
    <w:rsid w:val="00612FE1"/>
    <w:rsid w:val="00613332"/>
    <w:rsid w:val="006137CA"/>
    <w:rsid w:val="006138EC"/>
    <w:rsid w:val="00614697"/>
    <w:rsid w:val="00614B94"/>
    <w:rsid w:val="00614D46"/>
    <w:rsid w:val="00614E6E"/>
    <w:rsid w:val="00614E83"/>
    <w:rsid w:val="006155F9"/>
    <w:rsid w:val="00615996"/>
    <w:rsid w:val="00615B41"/>
    <w:rsid w:val="00615E33"/>
    <w:rsid w:val="006165B2"/>
    <w:rsid w:val="00616E6B"/>
    <w:rsid w:val="00616F49"/>
    <w:rsid w:val="00617213"/>
    <w:rsid w:val="0061726C"/>
    <w:rsid w:val="00617424"/>
    <w:rsid w:val="0061752D"/>
    <w:rsid w:val="0061765C"/>
    <w:rsid w:val="006179FB"/>
    <w:rsid w:val="00617AD7"/>
    <w:rsid w:val="00617B65"/>
    <w:rsid w:val="00617D3D"/>
    <w:rsid w:val="00620038"/>
    <w:rsid w:val="0062005D"/>
    <w:rsid w:val="0062039B"/>
    <w:rsid w:val="00620845"/>
    <w:rsid w:val="006209BA"/>
    <w:rsid w:val="006209BB"/>
    <w:rsid w:val="00620AB4"/>
    <w:rsid w:val="00620B08"/>
    <w:rsid w:val="00620EB5"/>
    <w:rsid w:val="00620F14"/>
    <w:rsid w:val="00620F21"/>
    <w:rsid w:val="00620FC1"/>
    <w:rsid w:val="0062115F"/>
    <w:rsid w:val="0062165B"/>
    <w:rsid w:val="006218A3"/>
    <w:rsid w:val="00621948"/>
    <w:rsid w:val="00621A3E"/>
    <w:rsid w:val="00621B8B"/>
    <w:rsid w:val="00621C36"/>
    <w:rsid w:val="00621E3A"/>
    <w:rsid w:val="00621E74"/>
    <w:rsid w:val="00621E76"/>
    <w:rsid w:val="006225AE"/>
    <w:rsid w:val="006225D8"/>
    <w:rsid w:val="00622773"/>
    <w:rsid w:val="006229DF"/>
    <w:rsid w:val="00622DDC"/>
    <w:rsid w:val="00622DE4"/>
    <w:rsid w:val="006235AA"/>
    <w:rsid w:val="006235F8"/>
    <w:rsid w:val="00623699"/>
    <w:rsid w:val="006237B3"/>
    <w:rsid w:val="00623C90"/>
    <w:rsid w:val="00623E28"/>
    <w:rsid w:val="006240E1"/>
    <w:rsid w:val="00624648"/>
    <w:rsid w:val="00624722"/>
    <w:rsid w:val="0062489C"/>
    <w:rsid w:val="0062503B"/>
    <w:rsid w:val="006250BD"/>
    <w:rsid w:val="006251C0"/>
    <w:rsid w:val="006252F7"/>
    <w:rsid w:val="006255B7"/>
    <w:rsid w:val="00625927"/>
    <w:rsid w:val="00625A9A"/>
    <w:rsid w:val="00625EFF"/>
    <w:rsid w:val="0062612A"/>
    <w:rsid w:val="006261E3"/>
    <w:rsid w:val="006263E7"/>
    <w:rsid w:val="00626402"/>
    <w:rsid w:val="0062680C"/>
    <w:rsid w:val="00626C00"/>
    <w:rsid w:val="00627036"/>
    <w:rsid w:val="006274A5"/>
    <w:rsid w:val="0062799A"/>
    <w:rsid w:val="00627B90"/>
    <w:rsid w:val="00627EEF"/>
    <w:rsid w:val="006300C6"/>
    <w:rsid w:val="00630337"/>
    <w:rsid w:val="006303FE"/>
    <w:rsid w:val="00630987"/>
    <w:rsid w:val="006309C5"/>
    <w:rsid w:val="00630A8A"/>
    <w:rsid w:val="00630D05"/>
    <w:rsid w:val="00631235"/>
    <w:rsid w:val="0063168A"/>
    <w:rsid w:val="00631ADD"/>
    <w:rsid w:val="00631B03"/>
    <w:rsid w:val="00631B75"/>
    <w:rsid w:val="00631FF3"/>
    <w:rsid w:val="0063220C"/>
    <w:rsid w:val="006322D9"/>
    <w:rsid w:val="00632EF8"/>
    <w:rsid w:val="00633541"/>
    <w:rsid w:val="006336DE"/>
    <w:rsid w:val="00633B77"/>
    <w:rsid w:val="00633F8E"/>
    <w:rsid w:val="0063432F"/>
    <w:rsid w:val="006347B3"/>
    <w:rsid w:val="00634D3C"/>
    <w:rsid w:val="00634F1E"/>
    <w:rsid w:val="00634FB2"/>
    <w:rsid w:val="0063508B"/>
    <w:rsid w:val="0063510B"/>
    <w:rsid w:val="00635169"/>
    <w:rsid w:val="006351C0"/>
    <w:rsid w:val="006354ED"/>
    <w:rsid w:val="00635E5C"/>
    <w:rsid w:val="00636146"/>
    <w:rsid w:val="00636568"/>
    <w:rsid w:val="00636B0E"/>
    <w:rsid w:val="00636C26"/>
    <w:rsid w:val="00636F8D"/>
    <w:rsid w:val="00637405"/>
    <w:rsid w:val="0063752A"/>
    <w:rsid w:val="00637A51"/>
    <w:rsid w:val="00637FBC"/>
    <w:rsid w:val="00640304"/>
    <w:rsid w:val="0064094A"/>
    <w:rsid w:val="00640B48"/>
    <w:rsid w:val="00640C5E"/>
    <w:rsid w:val="00640D0A"/>
    <w:rsid w:val="00641053"/>
    <w:rsid w:val="0064114C"/>
    <w:rsid w:val="006414CA"/>
    <w:rsid w:val="0064160B"/>
    <w:rsid w:val="00641A4E"/>
    <w:rsid w:val="00641DB7"/>
    <w:rsid w:val="00641F07"/>
    <w:rsid w:val="00641FB4"/>
    <w:rsid w:val="00642077"/>
    <w:rsid w:val="0064216B"/>
    <w:rsid w:val="006421AA"/>
    <w:rsid w:val="0064230B"/>
    <w:rsid w:val="00642527"/>
    <w:rsid w:val="006428BB"/>
    <w:rsid w:val="00642EA7"/>
    <w:rsid w:val="00643547"/>
    <w:rsid w:val="00643768"/>
    <w:rsid w:val="00643925"/>
    <w:rsid w:val="00643E25"/>
    <w:rsid w:val="00643F22"/>
    <w:rsid w:val="00644316"/>
    <w:rsid w:val="00644318"/>
    <w:rsid w:val="0064446D"/>
    <w:rsid w:val="00644CBD"/>
    <w:rsid w:val="00644DC5"/>
    <w:rsid w:val="00644E85"/>
    <w:rsid w:val="006451DD"/>
    <w:rsid w:val="006454C7"/>
    <w:rsid w:val="006455FE"/>
    <w:rsid w:val="0064575E"/>
    <w:rsid w:val="00645B07"/>
    <w:rsid w:val="00646073"/>
    <w:rsid w:val="006463F1"/>
    <w:rsid w:val="0064699B"/>
    <w:rsid w:val="006469AB"/>
    <w:rsid w:val="006469BE"/>
    <w:rsid w:val="00646B4C"/>
    <w:rsid w:val="0064722C"/>
    <w:rsid w:val="0064726E"/>
    <w:rsid w:val="00647346"/>
    <w:rsid w:val="00647621"/>
    <w:rsid w:val="006477BA"/>
    <w:rsid w:val="00647813"/>
    <w:rsid w:val="00647CA2"/>
    <w:rsid w:val="00647D09"/>
    <w:rsid w:val="00647DF7"/>
    <w:rsid w:val="00647E61"/>
    <w:rsid w:val="00650528"/>
    <w:rsid w:val="00650837"/>
    <w:rsid w:val="00650A8D"/>
    <w:rsid w:val="00650C2C"/>
    <w:rsid w:val="00650D76"/>
    <w:rsid w:val="00651187"/>
    <w:rsid w:val="00651668"/>
    <w:rsid w:val="006516FC"/>
    <w:rsid w:val="0065177D"/>
    <w:rsid w:val="00651818"/>
    <w:rsid w:val="0065183B"/>
    <w:rsid w:val="00651BDD"/>
    <w:rsid w:val="00651C90"/>
    <w:rsid w:val="00651DDF"/>
    <w:rsid w:val="00652186"/>
    <w:rsid w:val="0065228D"/>
    <w:rsid w:val="00652DFC"/>
    <w:rsid w:val="00652FB0"/>
    <w:rsid w:val="00653301"/>
    <w:rsid w:val="0065335D"/>
    <w:rsid w:val="0065341F"/>
    <w:rsid w:val="006534F0"/>
    <w:rsid w:val="00653726"/>
    <w:rsid w:val="00653923"/>
    <w:rsid w:val="00654180"/>
    <w:rsid w:val="006542E2"/>
    <w:rsid w:val="006543AC"/>
    <w:rsid w:val="0065444A"/>
    <w:rsid w:val="00654E03"/>
    <w:rsid w:val="0065508B"/>
    <w:rsid w:val="006559AA"/>
    <w:rsid w:val="00655A0C"/>
    <w:rsid w:val="00655C09"/>
    <w:rsid w:val="00655F20"/>
    <w:rsid w:val="006566AD"/>
    <w:rsid w:val="006568EC"/>
    <w:rsid w:val="00656975"/>
    <w:rsid w:val="006569CE"/>
    <w:rsid w:val="00656B06"/>
    <w:rsid w:val="00656BFC"/>
    <w:rsid w:val="00656D7F"/>
    <w:rsid w:val="00656E54"/>
    <w:rsid w:val="0065781D"/>
    <w:rsid w:val="00657992"/>
    <w:rsid w:val="00657A5A"/>
    <w:rsid w:val="006601A2"/>
    <w:rsid w:val="00660404"/>
    <w:rsid w:val="006605AD"/>
    <w:rsid w:val="0066089A"/>
    <w:rsid w:val="00660BA9"/>
    <w:rsid w:val="00660CF0"/>
    <w:rsid w:val="00660D75"/>
    <w:rsid w:val="00661328"/>
    <w:rsid w:val="00661370"/>
    <w:rsid w:val="006613E1"/>
    <w:rsid w:val="00661BDF"/>
    <w:rsid w:val="00662147"/>
    <w:rsid w:val="00662517"/>
    <w:rsid w:val="006627CB"/>
    <w:rsid w:val="00662994"/>
    <w:rsid w:val="00662C25"/>
    <w:rsid w:val="0066327B"/>
    <w:rsid w:val="00663393"/>
    <w:rsid w:val="0066386E"/>
    <w:rsid w:val="00663D2D"/>
    <w:rsid w:val="00663DAA"/>
    <w:rsid w:val="00663ECC"/>
    <w:rsid w:val="006640C2"/>
    <w:rsid w:val="006640E7"/>
    <w:rsid w:val="0066411B"/>
    <w:rsid w:val="006644F8"/>
    <w:rsid w:val="006645F1"/>
    <w:rsid w:val="006647FF"/>
    <w:rsid w:val="00664B7A"/>
    <w:rsid w:val="00664F12"/>
    <w:rsid w:val="00664F9C"/>
    <w:rsid w:val="0066555C"/>
    <w:rsid w:val="006655DD"/>
    <w:rsid w:val="0066569C"/>
    <w:rsid w:val="0066570E"/>
    <w:rsid w:val="00665959"/>
    <w:rsid w:val="00665FA8"/>
    <w:rsid w:val="006668F8"/>
    <w:rsid w:val="00666C01"/>
    <w:rsid w:val="00666CB0"/>
    <w:rsid w:val="00666EF9"/>
    <w:rsid w:val="006673E6"/>
    <w:rsid w:val="00667547"/>
    <w:rsid w:val="006679B3"/>
    <w:rsid w:val="00667C78"/>
    <w:rsid w:val="00670177"/>
    <w:rsid w:val="00670575"/>
    <w:rsid w:val="00670F1B"/>
    <w:rsid w:val="0067102F"/>
    <w:rsid w:val="0067119F"/>
    <w:rsid w:val="00671375"/>
    <w:rsid w:val="006717E3"/>
    <w:rsid w:val="006719C7"/>
    <w:rsid w:val="00671B51"/>
    <w:rsid w:val="00671BB2"/>
    <w:rsid w:val="00671BCB"/>
    <w:rsid w:val="00671D13"/>
    <w:rsid w:val="00671FE0"/>
    <w:rsid w:val="00672057"/>
    <w:rsid w:val="0067245E"/>
    <w:rsid w:val="00672622"/>
    <w:rsid w:val="006731CE"/>
    <w:rsid w:val="006733BC"/>
    <w:rsid w:val="0067345F"/>
    <w:rsid w:val="00673675"/>
    <w:rsid w:val="006738A2"/>
    <w:rsid w:val="00673D84"/>
    <w:rsid w:val="00673F67"/>
    <w:rsid w:val="006745A3"/>
    <w:rsid w:val="00674C0C"/>
    <w:rsid w:val="00675107"/>
    <w:rsid w:val="006755B0"/>
    <w:rsid w:val="00675799"/>
    <w:rsid w:val="00675B5E"/>
    <w:rsid w:val="00675CAE"/>
    <w:rsid w:val="00675E97"/>
    <w:rsid w:val="00675EA3"/>
    <w:rsid w:val="006761D6"/>
    <w:rsid w:val="006767AD"/>
    <w:rsid w:val="00676E2B"/>
    <w:rsid w:val="00676FB1"/>
    <w:rsid w:val="006772CD"/>
    <w:rsid w:val="00677318"/>
    <w:rsid w:val="0067772C"/>
    <w:rsid w:val="00677999"/>
    <w:rsid w:val="006800BC"/>
    <w:rsid w:val="006801F8"/>
    <w:rsid w:val="006804D1"/>
    <w:rsid w:val="006808D6"/>
    <w:rsid w:val="006808E8"/>
    <w:rsid w:val="0068094D"/>
    <w:rsid w:val="0068098B"/>
    <w:rsid w:val="00680E9A"/>
    <w:rsid w:val="0068135B"/>
    <w:rsid w:val="00681378"/>
    <w:rsid w:val="00681721"/>
    <w:rsid w:val="00681726"/>
    <w:rsid w:val="00681EA4"/>
    <w:rsid w:val="00681F4B"/>
    <w:rsid w:val="006830F7"/>
    <w:rsid w:val="006835AD"/>
    <w:rsid w:val="00683801"/>
    <w:rsid w:val="00683A61"/>
    <w:rsid w:val="00683D04"/>
    <w:rsid w:val="0068460D"/>
    <w:rsid w:val="00684C72"/>
    <w:rsid w:val="00684DE8"/>
    <w:rsid w:val="00685102"/>
    <w:rsid w:val="006857CC"/>
    <w:rsid w:val="006858E1"/>
    <w:rsid w:val="00685C00"/>
    <w:rsid w:val="00685C33"/>
    <w:rsid w:val="00685FD2"/>
    <w:rsid w:val="00686205"/>
    <w:rsid w:val="0068630D"/>
    <w:rsid w:val="006865A2"/>
    <w:rsid w:val="0068677A"/>
    <w:rsid w:val="0068679B"/>
    <w:rsid w:val="00686919"/>
    <w:rsid w:val="0068713F"/>
    <w:rsid w:val="00687791"/>
    <w:rsid w:val="006877E8"/>
    <w:rsid w:val="006878E9"/>
    <w:rsid w:val="00687E2D"/>
    <w:rsid w:val="006901FA"/>
    <w:rsid w:val="006903C9"/>
    <w:rsid w:val="006904E8"/>
    <w:rsid w:val="006908FF"/>
    <w:rsid w:val="0069095D"/>
    <w:rsid w:val="006909C9"/>
    <w:rsid w:val="00690B0A"/>
    <w:rsid w:val="00690B32"/>
    <w:rsid w:val="00690BA4"/>
    <w:rsid w:val="00690BB2"/>
    <w:rsid w:val="00690E0B"/>
    <w:rsid w:val="00690F81"/>
    <w:rsid w:val="0069101C"/>
    <w:rsid w:val="0069146F"/>
    <w:rsid w:val="00691960"/>
    <w:rsid w:val="00691A31"/>
    <w:rsid w:val="00691B97"/>
    <w:rsid w:val="00691C70"/>
    <w:rsid w:val="00691DC6"/>
    <w:rsid w:val="00692909"/>
    <w:rsid w:val="00692A5F"/>
    <w:rsid w:val="00692D78"/>
    <w:rsid w:val="0069325F"/>
    <w:rsid w:val="00693AF1"/>
    <w:rsid w:val="006940CB"/>
    <w:rsid w:val="0069431B"/>
    <w:rsid w:val="00694351"/>
    <w:rsid w:val="00694610"/>
    <w:rsid w:val="006946A8"/>
    <w:rsid w:val="00694D4B"/>
    <w:rsid w:val="00694E3E"/>
    <w:rsid w:val="00695517"/>
    <w:rsid w:val="0069616B"/>
    <w:rsid w:val="0069680D"/>
    <w:rsid w:val="006969AF"/>
    <w:rsid w:val="00696C6C"/>
    <w:rsid w:val="00696FD1"/>
    <w:rsid w:val="006970B3"/>
    <w:rsid w:val="006973F9"/>
    <w:rsid w:val="00697528"/>
    <w:rsid w:val="00697B6E"/>
    <w:rsid w:val="00697BB0"/>
    <w:rsid w:val="006A06F1"/>
    <w:rsid w:val="006A07BC"/>
    <w:rsid w:val="006A093E"/>
    <w:rsid w:val="006A09C1"/>
    <w:rsid w:val="006A0CE2"/>
    <w:rsid w:val="006A0E4B"/>
    <w:rsid w:val="006A0E4F"/>
    <w:rsid w:val="006A1076"/>
    <w:rsid w:val="006A1210"/>
    <w:rsid w:val="006A18EF"/>
    <w:rsid w:val="006A1973"/>
    <w:rsid w:val="006A239B"/>
    <w:rsid w:val="006A25A9"/>
    <w:rsid w:val="006A25CE"/>
    <w:rsid w:val="006A27CF"/>
    <w:rsid w:val="006A28B8"/>
    <w:rsid w:val="006A2D2C"/>
    <w:rsid w:val="006A2E0A"/>
    <w:rsid w:val="006A2EF6"/>
    <w:rsid w:val="006A333D"/>
    <w:rsid w:val="006A3D0B"/>
    <w:rsid w:val="006A3EF5"/>
    <w:rsid w:val="006A3FBB"/>
    <w:rsid w:val="006A406D"/>
    <w:rsid w:val="006A409E"/>
    <w:rsid w:val="006A44EB"/>
    <w:rsid w:val="006A46C4"/>
    <w:rsid w:val="006A4AFD"/>
    <w:rsid w:val="006A4CDD"/>
    <w:rsid w:val="006A4D00"/>
    <w:rsid w:val="006A4D0A"/>
    <w:rsid w:val="006A4E53"/>
    <w:rsid w:val="006A5317"/>
    <w:rsid w:val="006A5450"/>
    <w:rsid w:val="006A5485"/>
    <w:rsid w:val="006A5514"/>
    <w:rsid w:val="006A5560"/>
    <w:rsid w:val="006A5626"/>
    <w:rsid w:val="006A5ABE"/>
    <w:rsid w:val="006A5D0F"/>
    <w:rsid w:val="006A5E71"/>
    <w:rsid w:val="006A5EE5"/>
    <w:rsid w:val="006A5FDA"/>
    <w:rsid w:val="006A66C5"/>
    <w:rsid w:val="006A6B22"/>
    <w:rsid w:val="006A6EE3"/>
    <w:rsid w:val="006A6F1F"/>
    <w:rsid w:val="006A7470"/>
    <w:rsid w:val="006A7473"/>
    <w:rsid w:val="006A79DC"/>
    <w:rsid w:val="006A7B4C"/>
    <w:rsid w:val="006A7B6D"/>
    <w:rsid w:val="006A7B7E"/>
    <w:rsid w:val="006A7E06"/>
    <w:rsid w:val="006B0097"/>
    <w:rsid w:val="006B011D"/>
    <w:rsid w:val="006B03C3"/>
    <w:rsid w:val="006B03C9"/>
    <w:rsid w:val="006B040E"/>
    <w:rsid w:val="006B0454"/>
    <w:rsid w:val="006B0A03"/>
    <w:rsid w:val="006B0B11"/>
    <w:rsid w:val="006B0C5B"/>
    <w:rsid w:val="006B1003"/>
    <w:rsid w:val="006B1DC8"/>
    <w:rsid w:val="006B1EDC"/>
    <w:rsid w:val="006B1EF0"/>
    <w:rsid w:val="006B292C"/>
    <w:rsid w:val="006B2AD2"/>
    <w:rsid w:val="006B2F55"/>
    <w:rsid w:val="006B3128"/>
    <w:rsid w:val="006B314D"/>
    <w:rsid w:val="006B31AA"/>
    <w:rsid w:val="006B340B"/>
    <w:rsid w:val="006B347A"/>
    <w:rsid w:val="006B3879"/>
    <w:rsid w:val="006B398E"/>
    <w:rsid w:val="006B3A63"/>
    <w:rsid w:val="006B3CA2"/>
    <w:rsid w:val="006B3D38"/>
    <w:rsid w:val="006B40D8"/>
    <w:rsid w:val="006B47E8"/>
    <w:rsid w:val="006B4A49"/>
    <w:rsid w:val="006B4B3D"/>
    <w:rsid w:val="006B4E33"/>
    <w:rsid w:val="006B4F05"/>
    <w:rsid w:val="006B502A"/>
    <w:rsid w:val="006B5B35"/>
    <w:rsid w:val="006B5CEC"/>
    <w:rsid w:val="006B6036"/>
    <w:rsid w:val="006B621D"/>
    <w:rsid w:val="006B634A"/>
    <w:rsid w:val="006B651E"/>
    <w:rsid w:val="006B65AB"/>
    <w:rsid w:val="006B65EA"/>
    <w:rsid w:val="006B6AEE"/>
    <w:rsid w:val="006B6B50"/>
    <w:rsid w:val="006B7866"/>
    <w:rsid w:val="006B7D52"/>
    <w:rsid w:val="006B7DCD"/>
    <w:rsid w:val="006B7EA7"/>
    <w:rsid w:val="006C00E6"/>
    <w:rsid w:val="006C0461"/>
    <w:rsid w:val="006C0BD3"/>
    <w:rsid w:val="006C0D91"/>
    <w:rsid w:val="006C11DA"/>
    <w:rsid w:val="006C1216"/>
    <w:rsid w:val="006C17EF"/>
    <w:rsid w:val="006C1932"/>
    <w:rsid w:val="006C1B34"/>
    <w:rsid w:val="006C1E4F"/>
    <w:rsid w:val="006C233D"/>
    <w:rsid w:val="006C262C"/>
    <w:rsid w:val="006C26B3"/>
    <w:rsid w:val="006C2814"/>
    <w:rsid w:val="006C29DF"/>
    <w:rsid w:val="006C2E9D"/>
    <w:rsid w:val="006C3090"/>
    <w:rsid w:val="006C3276"/>
    <w:rsid w:val="006C3445"/>
    <w:rsid w:val="006C3792"/>
    <w:rsid w:val="006C3954"/>
    <w:rsid w:val="006C399E"/>
    <w:rsid w:val="006C3B19"/>
    <w:rsid w:val="006C3CE7"/>
    <w:rsid w:val="006C4BED"/>
    <w:rsid w:val="006C4EFC"/>
    <w:rsid w:val="006C500A"/>
    <w:rsid w:val="006C5026"/>
    <w:rsid w:val="006C512B"/>
    <w:rsid w:val="006C515D"/>
    <w:rsid w:val="006C51A5"/>
    <w:rsid w:val="006C543D"/>
    <w:rsid w:val="006C5705"/>
    <w:rsid w:val="006C5BED"/>
    <w:rsid w:val="006C5F3C"/>
    <w:rsid w:val="006C6148"/>
    <w:rsid w:val="006C67B0"/>
    <w:rsid w:val="006C68B0"/>
    <w:rsid w:val="006C7245"/>
    <w:rsid w:val="006C7296"/>
    <w:rsid w:val="006C72CB"/>
    <w:rsid w:val="006C74AE"/>
    <w:rsid w:val="006C781C"/>
    <w:rsid w:val="006C7ED2"/>
    <w:rsid w:val="006D036C"/>
    <w:rsid w:val="006D04D4"/>
    <w:rsid w:val="006D05B8"/>
    <w:rsid w:val="006D06A1"/>
    <w:rsid w:val="006D0A93"/>
    <w:rsid w:val="006D0CF6"/>
    <w:rsid w:val="006D0E18"/>
    <w:rsid w:val="006D0F51"/>
    <w:rsid w:val="006D124D"/>
    <w:rsid w:val="006D12E7"/>
    <w:rsid w:val="006D16A1"/>
    <w:rsid w:val="006D189B"/>
    <w:rsid w:val="006D222F"/>
    <w:rsid w:val="006D239D"/>
    <w:rsid w:val="006D251A"/>
    <w:rsid w:val="006D269F"/>
    <w:rsid w:val="006D2A16"/>
    <w:rsid w:val="006D2CA3"/>
    <w:rsid w:val="006D2FBB"/>
    <w:rsid w:val="006D30FB"/>
    <w:rsid w:val="006D3113"/>
    <w:rsid w:val="006D33B6"/>
    <w:rsid w:val="006D356F"/>
    <w:rsid w:val="006D35ED"/>
    <w:rsid w:val="006D36CA"/>
    <w:rsid w:val="006D3829"/>
    <w:rsid w:val="006D3881"/>
    <w:rsid w:val="006D40A1"/>
    <w:rsid w:val="006D415B"/>
    <w:rsid w:val="006D43BA"/>
    <w:rsid w:val="006D459E"/>
    <w:rsid w:val="006D46A7"/>
    <w:rsid w:val="006D46A9"/>
    <w:rsid w:val="006D477D"/>
    <w:rsid w:val="006D4944"/>
    <w:rsid w:val="006D50C7"/>
    <w:rsid w:val="006D51B3"/>
    <w:rsid w:val="006D5309"/>
    <w:rsid w:val="006D537D"/>
    <w:rsid w:val="006D5787"/>
    <w:rsid w:val="006D5A84"/>
    <w:rsid w:val="006D6AD4"/>
    <w:rsid w:val="006D6AFD"/>
    <w:rsid w:val="006D6BC1"/>
    <w:rsid w:val="006D6D0F"/>
    <w:rsid w:val="006D6FD9"/>
    <w:rsid w:val="006D741D"/>
    <w:rsid w:val="006D784D"/>
    <w:rsid w:val="006D7944"/>
    <w:rsid w:val="006D7A1A"/>
    <w:rsid w:val="006D7B53"/>
    <w:rsid w:val="006D7C60"/>
    <w:rsid w:val="006D7F6F"/>
    <w:rsid w:val="006E00AA"/>
    <w:rsid w:val="006E038B"/>
    <w:rsid w:val="006E0615"/>
    <w:rsid w:val="006E0890"/>
    <w:rsid w:val="006E0D5C"/>
    <w:rsid w:val="006E0E42"/>
    <w:rsid w:val="006E1185"/>
    <w:rsid w:val="006E138D"/>
    <w:rsid w:val="006E1687"/>
    <w:rsid w:val="006E188F"/>
    <w:rsid w:val="006E197C"/>
    <w:rsid w:val="006E1A7A"/>
    <w:rsid w:val="006E22F6"/>
    <w:rsid w:val="006E2513"/>
    <w:rsid w:val="006E279E"/>
    <w:rsid w:val="006E296E"/>
    <w:rsid w:val="006E2B69"/>
    <w:rsid w:val="006E2C64"/>
    <w:rsid w:val="006E2CBC"/>
    <w:rsid w:val="006E2E23"/>
    <w:rsid w:val="006E2FB0"/>
    <w:rsid w:val="006E3043"/>
    <w:rsid w:val="006E32F0"/>
    <w:rsid w:val="006E33A0"/>
    <w:rsid w:val="006E37A7"/>
    <w:rsid w:val="006E3834"/>
    <w:rsid w:val="006E3AD2"/>
    <w:rsid w:val="006E3D20"/>
    <w:rsid w:val="006E3E9B"/>
    <w:rsid w:val="006E4633"/>
    <w:rsid w:val="006E4700"/>
    <w:rsid w:val="006E47D8"/>
    <w:rsid w:val="006E48D3"/>
    <w:rsid w:val="006E4A24"/>
    <w:rsid w:val="006E4EDE"/>
    <w:rsid w:val="006E4FC6"/>
    <w:rsid w:val="006E505C"/>
    <w:rsid w:val="006E5141"/>
    <w:rsid w:val="006E5333"/>
    <w:rsid w:val="006E53D9"/>
    <w:rsid w:val="006E58BB"/>
    <w:rsid w:val="006E59EA"/>
    <w:rsid w:val="006E5D80"/>
    <w:rsid w:val="006E6479"/>
    <w:rsid w:val="006E6515"/>
    <w:rsid w:val="006E6728"/>
    <w:rsid w:val="006E6C1C"/>
    <w:rsid w:val="006E6CAB"/>
    <w:rsid w:val="006E6EA2"/>
    <w:rsid w:val="006E7348"/>
    <w:rsid w:val="006F0678"/>
    <w:rsid w:val="006F09AC"/>
    <w:rsid w:val="006F09B3"/>
    <w:rsid w:val="006F09D6"/>
    <w:rsid w:val="006F0A08"/>
    <w:rsid w:val="006F0E51"/>
    <w:rsid w:val="006F1309"/>
    <w:rsid w:val="006F13F6"/>
    <w:rsid w:val="006F1625"/>
    <w:rsid w:val="006F16A3"/>
    <w:rsid w:val="006F1B36"/>
    <w:rsid w:val="006F1BE6"/>
    <w:rsid w:val="006F28C0"/>
    <w:rsid w:val="006F2A47"/>
    <w:rsid w:val="006F2DAF"/>
    <w:rsid w:val="006F2E28"/>
    <w:rsid w:val="006F30E3"/>
    <w:rsid w:val="006F357A"/>
    <w:rsid w:val="006F36B6"/>
    <w:rsid w:val="006F3764"/>
    <w:rsid w:val="006F3C8F"/>
    <w:rsid w:val="006F3ECC"/>
    <w:rsid w:val="006F3F2F"/>
    <w:rsid w:val="006F4008"/>
    <w:rsid w:val="006F401E"/>
    <w:rsid w:val="006F4184"/>
    <w:rsid w:val="006F4573"/>
    <w:rsid w:val="006F4744"/>
    <w:rsid w:val="006F4AC2"/>
    <w:rsid w:val="006F4F12"/>
    <w:rsid w:val="006F4F5E"/>
    <w:rsid w:val="006F5E96"/>
    <w:rsid w:val="006F5EFF"/>
    <w:rsid w:val="006F5F61"/>
    <w:rsid w:val="006F6027"/>
    <w:rsid w:val="006F6093"/>
    <w:rsid w:val="006F611E"/>
    <w:rsid w:val="006F6B19"/>
    <w:rsid w:val="006F7079"/>
    <w:rsid w:val="006F719B"/>
    <w:rsid w:val="006F7E58"/>
    <w:rsid w:val="006F7EC9"/>
    <w:rsid w:val="007002B9"/>
    <w:rsid w:val="00700A56"/>
    <w:rsid w:val="00700B7F"/>
    <w:rsid w:val="00700CF8"/>
    <w:rsid w:val="00700FE9"/>
    <w:rsid w:val="007014F7"/>
    <w:rsid w:val="007016E5"/>
    <w:rsid w:val="00701B2D"/>
    <w:rsid w:val="00701C43"/>
    <w:rsid w:val="00701D07"/>
    <w:rsid w:val="00701E57"/>
    <w:rsid w:val="00701E5F"/>
    <w:rsid w:val="00702103"/>
    <w:rsid w:val="007022BE"/>
    <w:rsid w:val="007023AA"/>
    <w:rsid w:val="0070257E"/>
    <w:rsid w:val="00702A8D"/>
    <w:rsid w:val="00702BCF"/>
    <w:rsid w:val="00702D8F"/>
    <w:rsid w:val="00703168"/>
    <w:rsid w:val="007031C5"/>
    <w:rsid w:val="007031DD"/>
    <w:rsid w:val="00703745"/>
    <w:rsid w:val="007039F7"/>
    <w:rsid w:val="007046E8"/>
    <w:rsid w:val="0070491A"/>
    <w:rsid w:val="007049EB"/>
    <w:rsid w:val="00704CE9"/>
    <w:rsid w:val="00704CED"/>
    <w:rsid w:val="00705129"/>
    <w:rsid w:val="00705229"/>
    <w:rsid w:val="00705412"/>
    <w:rsid w:val="0070570D"/>
    <w:rsid w:val="00705893"/>
    <w:rsid w:val="007058AC"/>
    <w:rsid w:val="007059B9"/>
    <w:rsid w:val="00705B1B"/>
    <w:rsid w:val="007065C4"/>
    <w:rsid w:val="00706733"/>
    <w:rsid w:val="00706A77"/>
    <w:rsid w:val="00706E51"/>
    <w:rsid w:val="00706E74"/>
    <w:rsid w:val="00706F5A"/>
    <w:rsid w:val="0070728E"/>
    <w:rsid w:val="007074E1"/>
    <w:rsid w:val="0070764B"/>
    <w:rsid w:val="007077B1"/>
    <w:rsid w:val="007078BF"/>
    <w:rsid w:val="00707A61"/>
    <w:rsid w:val="00707AF2"/>
    <w:rsid w:val="00710195"/>
    <w:rsid w:val="0071066C"/>
    <w:rsid w:val="007112CE"/>
    <w:rsid w:val="00711C31"/>
    <w:rsid w:val="00711F9A"/>
    <w:rsid w:val="007123E6"/>
    <w:rsid w:val="00712C60"/>
    <w:rsid w:val="007138F3"/>
    <w:rsid w:val="0071391F"/>
    <w:rsid w:val="00713B5B"/>
    <w:rsid w:val="00713EED"/>
    <w:rsid w:val="007147C3"/>
    <w:rsid w:val="0071494B"/>
    <w:rsid w:val="00714A94"/>
    <w:rsid w:val="00714C22"/>
    <w:rsid w:val="00714F7E"/>
    <w:rsid w:val="00715193"/>
    <w:rsid w:val="007151EE"/>
    <w:rsid w:val="0071524E"/>
    <w:rsid w:val="00715474"/>
    <w:rsid w:val="00715575"/>
    <w:rsid w:val="0071570F"/>
    <w:rsid w:val="00715910"/>
    <w:rsid w:val="00715A77"/>
    <w:rsid w:val="00715CE2"/>
    <w:rsid w:val="00715DE5"/>
    <w:rsid w:val="007160E6"/>
    <w:rsid w:val="00716390"/>
    <w:rsid w:val="00716823"/>
    <w:rsid w:val="00716DCC"/>
    <w:rsid w:val="00716E44"/>
    <w:rsid w:val="00716E67"/>
    <w:rsid w:val="0071737C"/>
    <w:rsid w:val="0071741C"/>
    <w:rsid w:val="00717627"/>
    <w:rsid w:val="007176FB"/>
    <w:rsid w:val="00717D46"/>
    <w:rsid w:val="0072002C"/>
    <w:rsid w:val="007205D4"/>
    <w:rsid w:val="00720655"/>
    <w:rsid w:val="0072067C"/>
    <w:rsid w:val="00720738"/>
    <w:rsid w:val="007208E2"/>
    <w:rsid w:val="00720A03"/>
    <w:rsid w:val="00720FAD"/>
    <w:rsid w:val="0072122F"/>
    <w:rsid w:val="0072164F"/>
    <w:rsid w:val="007217F8"/>
    <w:rsid w:val="00721E39"/>
    <w:rsid w:val="00721F7C"/>
    <w:rsid w:val="007223AC"/>
    <w:rsid w:val="00722686"/>
    <w:rsid w:val="00722B00"/>
    <w:rsid w:val="00722C93"/>
    <w:rsid w:val="00722E89"/>
    <w:rsid w:val="007230BB"/>
    <w:rsid w:val="0072320B"/>
    <w:rsid w:val="00723485"/>
    <w:rsid w:val="007235C1"/>
    <w:rsid w:val="00723607"/>
    <w:rsid w:val="0072361D"/>
    <w:rsid w:val="00723AAF"/>
    <w:rsid w:val="00723E9C"/>
    <w:rsid w:val="00724369"/>
    <w:rsid w:val="00724706"/>
    <w:rsid w:val="00724A9C"/>
    <w:rsid w:val="00724D2C"/>
    <w:rsid w:val="00724D9D"/>
    <w:rsid w:val="00724E5A"/>
    <w:rsid w:val="00724F0E"/>
    <w:rsid w:val="00725467"/>
    <w:rsid w:val="0072573D"/>
    <w:rsid w:val="00725D74"/>
    <w:rsid w:val="00725FBD"/>
    <w:rsid w:val="007261A4"/>
    <w:rsid w:val="00726663"/>
    <w:rsid w:val="0072669C"/>
    <w:rsid w:val="00726F3E"/>
    <w:rsid w:val="007270C1"/>
    <w:rsid w:val="00727548"/>
    <w:rsid w:val="00727CAA"/>
    <w:rsid w:val="00727D7C"/>
    <w:rsid w:val="00727DE8"/>
    <w:rsid w:val="00727E74"/>
    <w:rsid w:val="00730635"/>
    <w:rsid w:val="00730EA7"/>
    <w:rsid w:val="007313E6"/>
    <w:rsid w:val="0073154C"/>
    <w:rsid w:val="007316D4"/>
    <w:rsid w:val="007316F2"/>
    <w:rsid w:val="007317CD"/>
    <w:rsid w:val="00731945"/>
    <w:rsid w:val="00731A5A"/>
    <w:rsid w:val="00731D54"/>
    <w:rsid w:val="007325D3"/>
    <w:rsid w:val="00732B58"/>
    <w:rsid w:val="00732CE4"/>
    <w:rsid w:val="00732E9E"/>
    <w:rsid w:val="00733051"/>
    <w:rsid w:val="0073307D"/>
    <w:rsid w:val="0073348E"/>
    <w:rsid w:val="00733549"/>
    <w:rsid w:val="007336BB"/>
    <w:rsid w:val="00733E2E"/>
    <w:rsid w:val="00733E67"/>
    <w:rsid w:val="00733E78"/>
    <w:rsid w:val="00733EE6"/>
    <w:rsid w:val="0073418F"/>
    <w:rsid w:val="0073451C"/>
    <w:rsid w:val="00734709"/>
    <w:rsid w:val="00734B1B"/>
    <w:rsid w:val="00734B4E"/>
    <w:rsid w:val="00734CB7"/>
    <w:rsid w:val="00735A1B"/>
    <w:rsid w:val="00735B27"/>
    <w:rsid w:val="00735B6E"/>
    <w:rsid w:val="0073627A"/>
    <w:rsid w:val="007362F5"/>
    <w:rsid w:val="00736615"/>
    <w:rsid w:val="00736896"/>
    <w:rsid w:val="00737025"/>
    <w:rsid w:val="007379BB"/>
    <w:rsid w:val="00737CEC"/>
    <w:rsid w:val="00740D3B"/>
    <w:rsid w:val="00740E25"/>
    <w:rsid w:val="00740FA4"/>
    <w:rsid w:val="00741316"/>
    <w:rsid w:val="00741703"/>
    <w:rsid w:val="0074180D"/>
    <w:rsid w:val="0074206C"/>
    <w:rsid w:val="007422DC"/>
    <w:rsid w:val="0074260D"/>
    <w:rsid w:val="00742668"/>
    <w:rsid w:val="007428E2"/>
    <w:rsid w:val="007429F0"/>
    <w:rsid w:val="00742BA9"/>
    <w:rsid w:val="00742C07"/>
    <w:rsid w:val="00742E23"/>
    <w:rsid w:val="00742E6E"/>
    <w:rsid w:val="00742E95"/>
    <w:rsid w:val="00742EE6"/>
    <w:rsid w:val="007436C2"/>
    <w:rsid w:val="00743821"/>
    <w:rsid w:val="00743C34"/>
    <w:rsid w:val="00743C64"/>
    <w:rsid w:val="00743CE7"/>
    <w:rsid w:val="007440C9"/>
    <w:rsid w:val="0074428E"/>
    <w:rsid w:val="007442DA"/>
    <w:rsid w:val="007445EE"/>
    <w:rsid w:val="00744805"/>
    <w:rsid w:val="00744850"/>
    <w:rsid w:val="00744C5E"/>
    <w:rsid w:val="0074500B"/>
    <w:rsid w:val="007450AE"/>
    <w:rsid w:val="00745341"/>
    <w:rsid w:val="0074561A"/>
    <w:rsid w:val="007456AB"/>
    <w:rsid w:val="007464CF"/>
    <w:rsid w:val="00746926"/>
    <w:rsid w:val="00746A3E"/>
    <w:rsid w:val="00746C73"/>
    <w:rsid w:val="00746DDA"/>
    <w:rsid w:val="00746E98"/>
    <w:rsid w:val="00746FA7"/>
    <w:rsid w:val="007476A4"/>
    <w:rsid w:val="00747A70"/>
    <w:rsid w:val="00750002"/>
    <w:rsid w:val="007500DA"/>
    <w:rsid w:val="007504A4"/>
    <w:rsid w:val="0075056F"/>
    <w:rsid w:val="007507E4"/>
    <w:rsid w:val="00750976"/>
    <w:rsid w:val="00750DE2"/>
    <w:rsid w:val="00751D8B"/>
    <w:rsid w:val="00751EAC"/>
    <w:rsid w:val="007524FB"/>
    <w:rsid w:val="0075270F"/>
    <w:rsid w:val="00752A05"/>
    <w:rsid w:val="00752C32"/>
    <w:rsid w:val="00752EC5"/>
    <w:rsid w:val="00753258"/>
    <w:rsid w:val="007535DA"/>
    <w:rsid w:val="0075362C"/>
    <w:rsid w:val="00753EA6"/>
    <w:rsid w:val="0075400E"/>
    <w:rsid w:val="00754357"/>
    <w:rsid w:val="00754675"/>
    <w:rsid w:val="00754799"/>
    <w:rsid w:val="007551BB"/>
    <w:rsid w:val="00755379"/>
    <w:rsid w:val="00755462"/>
    <w:rsid w:val="0075549C"/>
    <w:rsid w:val="00755709"/>
    <w:rsid w:val="00756068"/>
    <w:rsid w:val="007560F0"/>
    <w:rsid w:val="00756230"/>
    <w:rsid w:val="007565E6"/>
    <w:rsid w:val="00756E97"/>
    <w:rsid w:val="007570DD"/>
    <w:rsid w:val="007573ED"/>
    <w:rsid w:val="00757624"/>
    <w:rsid w:val="00757BB4"/>
    <w:rsid w:val="00757FB9"/>
    <w:rsid w:val="007601F9"/>
    <w:rsid w:val="00760520"/>
    <w:rsid w:val="00760604"/>
    <w:rsid w:val="00760A28"/>
    <w:rsid w:val="00760BC3"/>
    <w:rsid w:val="00760CAE"/>
    <w:rsid w:val="007611ED"/>
    <w:rsid w:val="00761340"/>
    <w:rsid w:val="007613AA"/>
    <w:rsid w:val="00761518"/>
    <w:rsid w:val="00761662"/>
    <w:rsid w:val="00761768"/>
    <w:rsid w:val="00761CB5"/>
    <w:rsid w:val="00761CE1"/>
    <w:rsid w:val="00761D1F"/>
    <w:rsid w:val="00761DDA"/>
    <w:rsid w:val="00761F69"/>
    <w:rsid w:val="00762082"/>
    <w:rsid w:val="007620F4"/>
    <w:rsid w:val="00762435"/>
    <w:rsid w:val="0076253C"/>
    <w:rsid w:val="0076260C"/>
    <w:rsid w:val="007629BD"/>
    <w:rsid w:val="00762A57"/>
    <w:rsid w:val="00762AA5"/>
    <w:rsid w:val="00762C4F"/>
    <w:rsid w:val="00762CE5"/>
    <w:rsid w:val="00762DD9"/>
    <w:rsid w:val="0076308C"/>
    <w:rsid w:val="00763B59"/>
    <w:rsid w:val="00763D58"/>
    <w:rsid w:val="00763DE3"/>
    <w:rsid w:val="00763E56"/>
    <w:rsid w:val="00763F2F"/>
    <w:rsid w:val="00764356"/>
    <w:rsid w:val="007643D3"/>
    <w:rsid w:val="0076448A"/>
    <w:rsid w:val="00764796"/>
    <w:rsid w:val="007647CF"/>
    <w:rsid w:val="00764963"/>
    <w:rsid w:val="00764E2E"/>
    <w:rsid w:val="00765044"/>
    <w:rsid w:val="007652E8"/>
    <w:rsid w:val="007655F4"/>
    <w:rsid w:val="00765BF1"/>
    <w:rsid w:val="0076605C"/>
    <w:rsid w:val="00766094"/>
    <w:rsid w:val="00766110"/>
    <w:rsid w:val="00766551"/>
    <w:rsid w:val="00766713"/>
    <w:rsid w:val="00766AFD"/>
    <w:rsid w:val="00766BD8"/>
    <w:rsid w:val="00766C61"/>
    <w:rsid w:val="00767490"/>
    <w:rsid w:val="0076768D"/>
    <w:rsid w:val="00767891"/>
    <w:rsid w:val="00767A01"/>
    <w:rsid w:val="00767FF8"/>
    <w:rsid w:val="0077013C"/>
    <w:rsid w:val="0077044E"/>
    <w:rsid w:val="0077065F"/>
    <w:rsid w:val="007707A8"/>
    <w:rsid w:val="00770860"/>
    <w:rsid w:val="00770AA5"/>
    <w:rsid w:val="0077198F"/>
    <w:rsid w:val="00771D88"/>
    <w:rsid w:val="00771F8B"/>
    <w:rsid w:val="007722EE"/>
    <w:rsid w:val="00772482"/>
    <w:rsid w:val="00772620"/>
    <w:rsid w:val="00772A5F"/>
    <w:rsid w:val="00772B63"/>
    <w:rsid w:val="00772EDC"/>
    <w:rsid w:val="0077300B"/>
    <w:rsid w:val="007731B0"/>
    <w:rsid w:val="00773282"/>
    <w:rsid w:val="0077365E"/>
    <w:rsid w:val="007739F3"/>
    <w:rsid w:val="00773A06"/>
    <w:rsid w:val="00773B83"/>
    <w:rsid w:val="00773F6A"/>
    <w:rsid w:val="00773F6C"/>
    <w:rsid w:val="007745EF"/>
    <w:rsid w:val="00774973"/>
    <w:rsid w:val="007749A0"/>
    <w:rsid w:val="007749FF"/>
    <w:rsid w:val="00774C23"/>
    <w:rsid w:val="00774D2F"/>
    <w:rsid w:val="00774E2A"/>
    <w:rsid w:val="00774E93"/>
    <w:rsid w:val="007752B9"/>
    <w:rsid w:val="0077550B"/>
    <w:rsid w:val="00775659"/>
    <w:rsid w:val="007756DC"/>
    <w:rsid w:val="00775748"/>
    <w:rsid w:val="00775CEF"/>
    <w:rsid w:val="00775F97"/>
    <w:rsid w:val="007760E7"/>
    <w:rsid w:val="0077697E"/>
    <w:rsid w:val="00777125"/>
    <w:rsid w:val="0077713A"/>
    <w:rsid w:val="0077739F"/>
    <w:rsid w:val="00777ACF"/>
    <w:rsid w:val="00780012"/>
    <w:rsid w:val="007802B8"/>
    <w:rsid w:val="0078049F"/>
    <w:rsid w:val="0078057A"/>
    <w:rsid w:val="00780648"/>
    <w:rsid w:val="007807A6"/>
    <w:rsid w:val="00780956"/>
    <w:rsid w:val="0078099D"/>
    <w:rsid w:val="007809F4"/>
    <w:rsid w:val="00780A05"/>
    <w:rsid w:val="00780B84"/>
    <w:rsid w:val="00780D7D"/>
    <w:rsid w:val="00780D8F"/>
    <w:rsid w:val="00780FE9"/>
    <w:rsid w:val="00781879"/>
    <w:rsid w:val="00781D51"/>
    <w:rsid w:val="00781FC2"/>
    <w:rsid w:val="0078213A"/>
    <w:rsid w:val="007826F2"/>
    <w:rsid w:val="00782BF9"/>
    <w:rsid w:val="00782CAC"/>
    <w:rsid w:val="00783124"/>
    <w:rsid w:val="00783642"/>
    <w:rsid w:val="007838A7"/>
    <w:rsid w:val="00783EC2"/>
    <w:rsid w:val="00784070"/>
    <w:rsid w:val="007844CD"/>
    <w:rsid w:val="0078465F"/>
    <w:rsid w:val="00785155"/>
    <w:rsid w:val="007854CC"/>
    <w:rsid w:val="0078551F"/>
    <w:rsid w:val="0078597E"/>
    <w:rsid w:val="00786112"/>
    <w:rsid w:val="00786605"/>
    <w:rsid w:val="007867AB"/>
    <w:rsid w:val="0078687E"/>
    <w:rsid w:val="00786887"/>
    <w:rsid w:val="007868ED"/>
    <w:rsid w:val="00786B01"/>
    <w:rsid w:val="00786CBF"/>
    <w:rsid w:val="00786F24"/>
    <w:rsid w:val="0078718B"/>
    <w:rsid w:val="007879E6"/>
    <w:rsid w:val="00787ACB"/>
    <w:rsid w:val="00787D34"/>
    <w:rsid w:val="00790033"/>
    <w:rsid w:val="0079035A"/>
    <w:rsid w:val="0079046A"/>
    <w:rsid w:val="00790649"/>
    <w:rsid w:val="00790721"/>
    <w:rsid w:val="00790982"/>
    <w:rsid w:val="0079115D"/>
    <w:rsid w:val="007916F2"/>
    <w:rsid w:val="00791824"/>
    <w:rsid w:val="00791B9C"/>
    <w:rsid w:val="00791BE0"/>
    <w:rsid w:val="00792013"/>
    <w:rsid w:val="00792044"/>
    <w:rsid w:val="00792089"/>
    <w:rsid w:val="007923AA"/>
    <w:rsid w:val="007923B4"/>
    <w:rsid w:val="00792929"/>
    <w:rsid w:val="00792962"/>
    <w:rsid w:val="00792CDB"/>
    <w:rsid w:val="00792E09"/>
    <w:rsid w:val="00793273"/>
    <w:rsid w:val="00793463"/>
    <w:rsid w:val="007936E5"/>
    <w:rsid w:val="00793B11"/>
    <w:rsid w:val="00793FB6"/>
    <w:rsid w:val="007945D8"/>
    <w:rsid w:val="007947AA"/>
    <w:rsid w:val="00794AFF"/>
    <w:rsid w:val="00794BEF"/>
    <w:rsid w:val="00794BF7"/>
    <w:rsid w:val="00794E33"/>
    <w:rsid w:val="0079593B"/>
    <w:rsid w:val="007960BD"/>
    <w:rsid w:val="007963BF"/>
    <w:rsid w:val="007964FF"/>
    <w:rsid w:val="007967CA"/>
    <w:rsid w:val="007969FD"/>
    <w:rsid w:val="00796E6A"/>
    <w:rsid w:val="00796EF1"/>
    <w:rsid w:val="0079701C"/>
    <w:rsid w:val="00797295"/>
    <w:rsid w:val="0079747D"/>
    <w:rsid w:val="00797566"/>
    <w:rsid w:val="00797D7C"/>
    <w:rsid w:val="007A0145"/>
    <w:rsid w:val="007A01B3"/>
    <w:rsid w:val="007A05F6"/>
    <w:rsid w:val="007A0762"/>
    <w:rsid w:val="007A118E"/>
    <w:rsid w:val="007A1721"/>
    <w:rsid w:val="007A173E"/>
    <w:rsid w:val="007A19DB"/>
    <w:rsid w:val="007A1A3C"/>
    <w:rsid w:val="007A1CF9"/>
    <w:rsid w:val="007A2183"/>
    <w:rsid w:val="007A2205"/>
    <w:rsid w:val="007A232B"/>
    <w:rsid w:val="007A274E"/>
    <w:rsid w:val="007A2B10"/>
    <w:rsid w:val="007A2C37"/>
    <w:rsid w:val="007A2D5F"/>
    <w:rsid w:val="007A3874"/>
    <w:rsid w:val="007A3DCA"/>
    <w:rsid w:val="007A3DE0"/>
    <w:rsid w:val="007A406A"/>
    <w:rsid w:val="007A46C6"/>
    <w:rsid w:val="007A4A97"/>
    <w:rsid w:val="007A4B09"/>
    <w:rsid w:val="007A4ECC"/>
    <w:rsid w:val="007A503A"/>
    <w:rsid w:val="007A5372"/>
    <w:rsid w:val="007A5A68"/>
    <w:rsid w:val="007A5AF3"/>
    <w:rsid w:val="007A6AF7"/>
    <w:rsid w:val="007A6B87"/>
    <w:rsid w:val="007A76ED"/>
    <w:rsid w:val="007A7960"/>
    <w:rsid w:val="007A7C1F"/>
    <w:rsid w:val="007A7D5B"/>
    <w:rsid w:val="007A7FC1"/>
    <w:rsid w:val="007B010C"/>
    <w:rsid w:val="007B046A"/>
    <w:rsid w:val="007B0AF6"/>
    <w:rsid w:val="007B0B34"/>
    <w:rsid w:val="007B1177"/>
    <w:rsid w:val="007B17E2"/>
    <w:rsid w:val="007B2405"/>
    <w:rsid w:val="007B247B"/>
    <w:rsid w:val="007B2494"/>
    <w:rsid w:val="007B25D2"/>
    <w:rsid w:val="007B2886"/>
    <w:rsid w:val="007B2EAE"/>
    <w:rsid w:val="007B300D"/>
    <w:rsid w:val="007B337A"/>
    <w:rsid w:val="007B3543"/>
    <w:rsid w:val="007B3AF6"/>
    <w:rsid w:val="007B3F60"/>
    <w:rsid w:val="007B3FE0"/>
    <w:rsid w:val="007B4225"/>
    <w:rsid w:val="007B4342"/>
    <w:rsid w:val="007B453D"/>
    <w:rsid w:val="007B4825"/>
    <w:rsid w:val="007B48A8"/>
    <w:rsid w:val="007B4955"/>
    <w:rsid w:val="007B4BA0"/>
    <w:rsid w:val="007B55C1"/>
    <w:rsid w:val="007B573B"/>
    <w:rsid w:val="007B590C"/>
    <w:rsid w:val="007B593F"/>
    <w:rsid w:val="007B5BC5"/>
    <w:rsid w:val="007B5C62"/>
    <w:rsid w:val="007B5D5A"/>
    <w:rsid w:val="007B5DC1"/>
    <w:rsid w:val="007B5F23"/>
    <w:rsid w:val="007B615B"/>
    <w:rsid w:val="007B61E4"/>
    <w:rsid w:val="007B639C"/>
    <w:rsid w:val="007B68FC"/>
    <w:rsid w:val="007B69E4"/>
    <w:rsid w:val="007B6E9E"/>
    <w:rsid w:val="007B70B4"/>
    <w:rsid w:val="007B73BD"/>
    <w:rsid w:val="007B75E3"/>
    <w:rsid w:val="007B7761"/>
    <w:rsid w:val="007B78E4"/>
    <w:rsid w:val="007B7FDF"/>
    <w:rsid w:val="007C00FC"/>
    <w:rsid w:val="007C016F"/>
    <w:rsid w:val="007C01A6"/>
    <w:rsid w:val="007C0282"/>
    <w:rsid w:val="007C0BF0"/>
    <w:rsid w:val="007C0DA9"/>
    <w:rsid w:val="007C0EAB"/>
    <w:rsid w:val="007C1077"/>
    <w:rsid w:val="007C11C2"/>
    <w:rsid w:val="007C1A17"/>
    <w:rsid w:val="007C1A27"/>
    <w:rsid w:val="007C1C44"/>
    <w:rsid w:val="007C1CF9"/>
    <w:rsid w:val="007C1E0E"/>
    <w:rsid w:val="007C205D"/>
    <w:rsid w:val="007C21B6"/>
    <w:rsid w:val="007C2275"/>
    <w:rsid w:val="007C22FC"/>
    <w:rsid w:val="007C257D"/>
    <w:rsid w:val="007C2C82"/>
    <w:rsid w:val="007C2EA3"/>
    <w:rsid w:val="007C2EC3"/>
    <w:rsid w:val="007C337E"/>
    <w:rsid w:val="007C33D8"/>
    <w:rsid w:val="007C362C"/>
    <w:rsid w:val="007C378F"/>
    <w:rsid w:val="007C3CC5"/>
    <w:rsid w:val="007C3CCD"/>
    <w:rsid w:val="007C3F32"/>
    <w:rsid w:val="007C40D1"/>
    <w:rsid w:val="007C46AB"/>
    <w:rsid w:val="007C4B45"/>
    <w:rsid w:val="007C517A"/>
    <w:rsid w:val="007C52DF"/>
    <w:rsid w:val="007C53E2"/>
    <w:rsid w:val="007C5440"/>
    <w:rsid w:val="007C6099"/>
    <w:rsid w:val="007C6DC5"/>
    <w:rsid w:val="007C6ED6"/>
    <w:rsid w:val="007C6F3D"/>
    <w:rsid w:val="007C6F7F"/>
    <w:rsid w:val="007C6FC3"/>
    <w:rsid w:val="007C702C"/>
    <w:rsid w:val="007C7080"/>
    <w:rsid w:val="007D0004"/>
    <w:rsid w:val="007D0334"/>
    <w:rsid w:val="007D0604"/>
    <w:rsid w:val="007D0715"/>
    <w:rsid w:val="007D09E8"/>
    <w:rsid w:val="007D0AB4"/>
    <w:rsid w:val="007D0D56"/>
    <w:rsid w:val="007D0E10"/>
    <w:rsid w:val="007D1033"/>
    <w:rsid w:val="007D115B"/>
    <w:rsid w:val="007D13A9"/>
    <w:rsid w:val="007D14EB"/>
    <w:rsid w:val="007D1711"/>
    <w:rsid w:val="007D19B2"/>
    <w:rsid w:val="007D1AF9"/>
    <w:rsid w:val="007D1B5D"/>
    <w:rsid w:val="007D1D30"/>
    <w:rsid w:val="007D1F1D"/>
    <w:rsid w:val="007D2337"/>
    <w:rsid w:val="007D28AD"/>
    <w:rsid w:val="007D28C5"/>
    <w:rsid w:val="007D2BB6"/>
    <w:rsid w:val="007D2BDB"/>
    <w:rsid w:val="007D2CA0"/>
    <w:rsid w:val="007D2D3E"/>
    <w:rsid w:val="007D2DE2"/>
    <w:rsid w:val="007D3545"/>
    <w:rsid w:val="007D3648"/>
    <w:rsid w:val="007D369D"/>
    <w:rsid w:val="007D3A60"/>
    <w:rsid w:val="007D4183"/>
    <w:rsid w:val="007D4184"/>
    <w:rsid w:val="007D4189"/>
    <w:rsid w:val="007D4383"/>
    <w:rsid w:val="007D466C"/>
    <w:rsid w:val="007D48D9"/>
    <w:rsid w:val="007D4B92"/>
    <w:rsid w:val="007D4DE6"/>
    <w:rsid w:val="007D503B"/>
    <w:rsid w:val="007D5190"/>
    <w:rsid w:val="007D557D"/>
    <w:rsid w:val="007D5585"/>
    <w:rsid w:val="007D56B2"/>
    <w:rsid w:val="007D5B9B"/>
    <w:rsid w:val="007D5C65"/>
    <w:rsid w:val="007D60A8"/>
    <w:rsid w:val="007D62B2"/>
    <w:rsid w:val="007D6331"/>
    <w:rsid w:val="007D6751"/>
    <w:rsid w:val="007D74EE"/>
    <w:rsid w:val="007D7712"/>
    <w:rsid w:val="007D7F7B"/>
    <w:rsid w:val="007E00AD"/>
    <w:rsid w:val="007E14D2"/>
    <w:rsid w:val="007E1970"/>
    <w:rsid w:val="007E1AEB"/>
    <w:rsid w:val="007E1D61"/>
    <w:rsid w:val="007E1EDB"/>
    <w:rsid w:val="007E221A"/>
    <w:rsid w:val="007E2302"/>
    <w:rsid w:val="007E246C"/>
    <w:rsid w:val="007E290C"/>
    <w:rsid w:val="007E2D60"/>
    <w:rsid w:val="007E2E1C"/>
    <w:rsid w:val="007E333F"/>
    <w:rsid w:val="007E34B1"/>
    <w:rsid w:val="007E367D"/>
    <w:rsid w:val="007E39C7"/>
    <w:rsid w:val="007E3A48"/>
    <w:rsid w:val="007E3AF9"/>
    <w:rsid w:val="007E4633"/>
    <w:rsid w:val="007E4717"/>
    <w:rsid w:val="007E4C23"/>
    <w:rsid w:val="007E4CC3"/>
    <w:rsid w:val="007E4DD0"/>
    <w:rsid w:val="007E4EE1"/>
    <w:rsid w:val="007E53A1"/>
    <w:rsid w:val="007E5417"/>
    <w:rsid w:val="007E55AD"/>
    <w:rsid w:val="007E5AFA"/>
    <w:rsid w:val="007E5E6D"/>
    <w:rsid w:val="007E6020"/>
    <w:rsid w:val="007E61E9"/>
    <w:rsid w:val="007E6247"/>
    <w:rsid w:val="007E6C35"/>
    <w:rsid w:val="007E6D1D"/>
    <w:rsid w:val="007E6D7F"/>
    <w:rsid w:val="007E6EA1"/>
    <w:rsid w:val="007E6FF8"/>
    <w:rsid w:val="007E762D"/>
    <w:rsid w:val="007E7666"/>
    <w:rsid w:val="007E76BD"/>
    <w:rsid w:val="007E772C"/>
    <w:rsid w:val="007E7D07"/>
    <w:rsid w:val="007E7F8F"/>
    <w:rsid w:val="007F076E"/>
    <w:rsid w:val="007F0AB7"/>
    <w:rsid w:val="007F0C20"/>
    <w:rsid w:val="007F0C62"/>
    <w:rsid w:val="007F0D7C"/>
    <w:rsid w:val="007F159E"/>
    <w:rsid w:val="007F16B6"/>
    <w:rsid w:val="007F19A7"/>
    <w:rsid w:val="007F1A9E"/>
    <w:rsid w:val="007F1B28"/>
    <w:rsid w:val="007F1C2A"/>
    <w:rsid w:val="007F1D0C"/>
    <w:rsid w:val="007F1F46"/>
    <w:rsid w:val="007F25CF"/>
    <w:rsid w:val="007F27CD"/>
    <w:rsid w:val="007F2C44"/>
    <w:rsid w:val="007F2F0C"/>
    <w:rsid w:val="007F2FE5"/>
    <w:rsid w:val="007F30F4"/>
    <w:rsid w:val="007F3439"/>
    <w:rsid w:val="007F34EE"/>
    <w:rsid w:val="007F4078"/>
    <w:rsid w:val="007F413B"/>
    <w:rsid w:val="007F43F0"/>
    <w:rsid w:val="007F481E"/>
    <w:rsid w:val="007F51AF"/>
    <w:rsid w:val="007F524C"/>
    <w:rsid w:val="007F531E"/>
    <w:rsid w:val="007F6335"/>
    <w:rsid w:val="007F64D7"/>
    <w:rsid w:val="007F678A"/>
    <w:rsid w:val="007F6871"/>
    <w:rsid w:val="007F6F08"/>
    <w:rsid w:val="007F7044"/>
    <w:rsid w:val="007F749E"/>
    <w:rsid w:val="007F77D0"/>
    <w:rsid w:val="007F7C56"/>
    <w:rsid w:val="007F7C80"/>
    <w:rsid w:val="0080041A"/>
    <w:rsid w:val="0080056A"/>
    <w:rsid w:val="008007E5"/>
    <w:rsid w:val="00800934"/>
    <w:rsid w:val="00800CBB"/>
    <w:rsid w:val="00801066"/>
    <w:rsid w:val="00801A10"/>
    <w:rsid w:val="00801ACB"/>
    <w:rsid w:val="00801D58"/>
    <w:rsid w:val="008022FF"/>
    <w:rsid w:val="008023CB"/>
    <w:rsid w:val="0080247A"/>
    <w:rsid w:val="008024DE"/>
    <w:rsid w:val="008026C3"/>
    <w:rsid w:val="008027E9"/>
    <w:rsid w:val="00802E73"/>
    <w:rsid w:val="00802FAE"/>
    <w:rsid w:val="0080362C"/>
    <w:rsid w:val="0080382B"/>
    <w:rsid w:val="00803875"/>
    <w:rsid w:val="00804014"/>
    <w:rsid w:val="0080479E"/>
    <w:rsid w:val="00804894"/>
    <w:rsid w:val="00804900"/>
    <w:rsid w:val="00804A97"/>
    <w:rsid w:val="00804DE4"/>
    <w:rsid w:val="00804F13"/>
    <w:rsid w:val="0080522A"/>
    <w:rsid w:val="0080556D"/>
    <w:rsid w:val="0080588B"/>
    <w:rsid w:val="00805A79"/>
    <w:rsid w:val="00805CE6"/>
    <w:rsid w:val="00805EDD"/>
    <w:rsid w:val="008063FB"/>
    <w:rsid w:val="008066F0"/>
    <w:rsid w:val="008069D7"/>
    <w:rsid w:val="00806B83"/>
    <w:rsid w:val="00806DF0"/>
    <w:rsid w:val="00807060"/>
    <w:rsid w:val="00807148"/>
    <w:rsid w:val="00807483"/>
    <w:rsid w:val="008076B3"/>
    <w:rsid w:val="00807910"/>
    <w:rsid w:val="00807BCF"/>
    <w:rsid w:val="00807EDB"/>
    <w:rsid w:val="008101FA"/>
    <w:rsid w:val="0081027E"/>
    <w:rsid w:val="008104E5"/>
    <w:rsid w:val="00810750"/>
    <w:rsid w:val="00810F43"/>
    <w:rsid w:val="00811120"/>
    <w:rsid w:val="00811399"/>
    <w:rsid w:val="00811448"/>
    <w:rsid w:val="00811861"/>
    <w:rsid w:val="008119AB"/>
    <w:rsid w:val="00811B11"/>
    <w:rsid w:val="00811BE6"/>
    <w:rsid w:val="00811D40"/>
    <w:rsid w:val="008126A8"/>
    <w:rsid w:val="00812814"/>
    <w:rsid w:val="00812AA7"/>
    <w:rsid w:val="008133E7"/>
    <w:rsid w:val="0081384E"/>
    <w:rsid w:val="00813DFA"/>
    <w:rsid w:val="008140C5"/>
    <w:rsid w:val="00814288"/>
    <w:rsid w:val="0081456F"/>
    <w:rsid w:val="008150CE"/>
    <w:rsid w:val="0081529B"/>
    <w:rsid w:val="00815329"/>
    <w:rsid w:val="00815728"/>
    <w:rsid w:val="00815B5D"/>
    <w:rsid w:val="00815BCA"/>
    <w:rsid w:val="0081616A"/>
    <w:rsid w:val="00816279"/>
    <w:rsid w:val="00816321"/>
    <w:rsid w:val="0081668F"/>
    <w:rsid w:val="008167F8"/>
    <w:rsid w:val="00816C04"/>
    <w:rsid w:val="00816EDD"/>
    <w:rsid w:val="0081710E"/>
    <w:rsid w:val="0081760C"/>
    <w:rsid w:val="008200B9"/>
    <w:rsid w:val="00820794"/>
    <w:rsid w:val="00820D54"/>
    <w:rsid w:val="0082162E"/>
    <w:rsid w:val="00821FFB"/>
    <w:rsid w:val="00822128"/>
    <w:rsid w:val="008222E1"/>
    <w:rsid w:val="008226CD"/>
    <w:rsid w:val="00822E09"/>
    <w:rsid w:val="00822E67"/>
    <w:rsid w:val="00823416"/>
    <w:rsid w:val="008235EF"/>
    <w:rsid w:val="00823A43"/>
    <w:rsid w:val="00823B89"/>
    <w:rsid w:val="00823D23"/>
    <w:rsid w:val="00823F6D"/>
    <w:rsid w:val="008242FE"/>
    <w:rsid w:val="00824797"/>
    <w:rsid w:val="008247D5"/>
    <w:rsid w:val="008248F5"/>
    <w:rsid w:val="00824B13"/>
    <w:rsid w:val="00824F5A"/>
    <w:rsid w:val="008250DC"/>
    <w:rsid w:val="00825BAC"/>
    <w:rsid w:val="0082637A"/>
    <w:rsid w:val="0082647D"/>
    <w:rsid w:val="0082651B"/>
    <w:rsid w:val="008267AE"/>
    <w:rsid w:val="00826820"/>
    <w:rsid w:val="00826951"/>
    <w:rsid w:val="00826D4B"/>
    <w:rsid w:val="00826E8A"/>
    <w:rsid w:val="00826FB2"/>
    <w:rsid w:val="00827066"/>
    <w:rsid w:val="0082799B"/>
    <w:rsid w:val="00827AF5"/>
    <w:rsid w:val="00827B90"/>
    <w:rsid w:val="00827C25"/>
    <w:rsid w:val="00827F8D"/>
    <w:rsid w:val="00830731"/>
    <w:rsid w:val="00830955"/>
    <w:rsid w:val="00830982"/>
    <w:rsid w:val="0083103D"/>
    <w:rsid w:val="008311D8"/>
    <w:rsid w:val="008312CB"/>
    <w:rsid w:val="008313E6"/>
    <w:rsid w:val="00831D11"/>
    <w:rsid w:val="00831EDB"/>
    <w:rsid w:val="00832530"/>
    <w:rsid w:val="00832632"/>
    <w:rsid w:val="008329C3"/>
    <w:rsid w:val="00832A8D"/>
    <w:rsid w:val="00832E7B"/>
    <w:rsid w:val="00832ED0"/>
    <w:rsid w:val="00833256"/>
    <w:rsid w:val="00833494"/>
    <w:rsid w:val="00833787"/>
    <w:rsid w:val="008337E9"/>
    <w:rsid w:val="008338D7"/>
    <w:rsid w:val="00833EC5"/>
    <w:rsid w:val="008342F4"/>
    <w:rsid w:val="008344E5"/>
    <w:rsid w:val="00834C10"/>
    <w:rsid w:val="008351BD"/>
    <w:rsid w:val="008352E6"/>
    <w:rsid w:val="00835547"/>
    <w:rsid w:val="008356BC"/>
    <w:rsid w:val="00835892"/>
    <w:rsid w:val="00835BDE"/>
    <w:rsid w:val="008362FF"/>
    <w:rsid w:val="00836307"/>
    <w:rsid w:val="008367F7"/>
    <w:rsid w:val="008368F0"/>
    <w:rsid w:val="00836B4E"/>
    <w:rsid w:val="00836CB1"/>
    <w:rsid w:val="00836DAD"/>
    <w:rsid w:val="00836E39"/>
    <w:rsid w:val="00836E68"/>
    <w:rsid w:val="00836E90"/>
    <w:rsid w:val="008371B3"/>
    <w:rsid w:val="00837228"/>
    <w:rsid w:val="008372D7"/>
    <w:rsid w:val="008375CC"/>
    <w:rsid w:val="00837898"/>
    <w:rsid w:val="0083797E"/>
    <w:rsid w:val="00837C26"/>
    <w:rsid w:val="008401C7"/>
    <w:rsid w:val="008402C6"/>
    <w:rsid w:val="008402E3"/>
    <w:rsid w:val="008404D7"/>
    <w:rsid w:val="008407C8"/>
    <w:rsid w:val="00840CAF"/>
    <w:rsid w:val="0084111A"/>
    <w:rsid w:val="008411EC"/>
    <w:rsid w:val="00841569"/>
    <w:rsid w:val="008416F0"/>
    <w:rsid w:val="00841AF0"/>
    <w:rsid w:val="00841E9C"/>
    <w:rsid w:val="00842070"/>
    <w:rsid w:val="008426A5"/>
    <w:rsid w:val="00842789"/>
    <w:rsid w:val="00843090"/>
    <w:rsid w:val="00843740"/>
    <w:rsid w:val="00843F77"/>
    <w:rsid w:val="00844095"/>
    <w:rsid w:val="0084427E"/>
    <w:rsid w:val="008442AC"/>
    <w:rsid w:val="00844621"/>
    <w:rsid w:val="00844A96"/>
    <w:rsid w:val="008453C7"/>
    <w:rsid w:val="00845401"/>
    <w:rsid w:val="0084551A"/>
    <w:rsid w:val="00845599"/>
    <w:rsid w:val="00845B47"/>
    <w:rsid w:val="00845D14"/>
    <w:rsid w:val="008463F5"/>
    <w:rsid w:val="008465BD"/>
    <w:rsid w:val="008465E9"/>
    <w:rsid w:val="00846632"/>
    <w:rsid w:val="00846D61"/>
    <w:rsid w:val="008471DA"/>
    <w:rsid w:val="008475E0"/>
    <w:rsid w:val="0084766B"/>
    <w:rsid w:val="008476E1"/>
    <w:rsid w:val="008478CD"/>
    <w:rsid w:val="00847AD8"/>
    <w:rsid w:val="008500A4"/>
    <w:rsid w:val="00850DB6"/>
    <w:rsid w:val="00850E29"/>
    <w:rsid w:val="00850ED1"/>
    <w:rsid w:val="008510A9"/>
    <w:rsid w:val="0085111B"/>
    <w:rsid w:val="0085127C"/>
    <w:rsid w:val="00851300"/>
    <w:rsid w:val="008514D3"/>
    <w:rsid w:val="00851698"/>
    <w:rsid w:val="00851F2C"/>
    <w:rsid w:val="00851F82"/>
    <w:rsid w:val="00852235"/>
    <w:rsid w:val="0085229D"/>
    <w:rsid w:val="008523F5"/>
    <w:rsid w:val="008526ED"/>
    <w:rsid w:val="00852DA1"/>
    <w:rsid w:val="00853198"/>
    <w:rsid w:val="008532F3"/>
    <w:rsid w:val="00853D11"/>
    <w:rsid w:val="00853DB3"/>
    <w:rsid w:val="00853E00"/>
    <w:rsid w:val="008542F6"/>
    <w:rsid w:val="008544B2"/>
    <w:rsid w:val="00854579"/>
    <w:rsid w:val="0085459C"/>
    <w:rsid w:val="008546F0"/>
    <w:rsid w:val="008547D6"/>
    <w:rsid w:val="008548C5"/>
    <w:rsid w:val="0085512C"/>
    <w:rsid w:val="0085532A"/>
    <w:rsid w:val="00855370"/>
    <w:rsid w:val="008554B1"/>
    <w:rsid w:val="008554DC"/>
    <w:rsid w:val="00855596"/>
    <w:rsid w:val="00855A21"/>
    <w:rsid w:val="00855B3F"/>
    <w:rsid w:val="00855C13"/>
    <w:rsid w:val="00855D4B"/>
    <w:rsid w:val="00856493"/>
    <w:rsid w:val="008567CB"/>
    <w:rsid w:val="0085716C"/>
    <w:rsid w:val="0085739A"/>
    <w:rsid w:val="008573D8"/>
    <w:rsid w:val="00857415"/>
    <w:rsid w:val="00857743"/>
    <w:rsid w:val="00857C02"/>
    <w:rsid w:val="00860419"/>
    <w:rsid w:val="00860501"/>
    <w:rsid w:val="0086057A"/>
    <w:rsid w:val="0086069F"/>
    <w:rsid w:val="008606B9"/>
    <w:rsid w:val="00860719"/>
    <w:rsid w:val="00860BAF"/>
    <w:rsid w:val="00860BD1"/>
    <w:rsid w:val="00860F75"/>
    <w:rsid w:val="00861284"/>
    <w:rsid w:val="008612E6"/>
    <w:rsid w:val="00861379"/>
    <w:rsid w:val="008613FC"/>
    <w:rsid w:val="0086147F"/>
    <w:rsid w:val="00861E1B"/>
    <w:rsid w:val="00861F30"/>
    <w:rsid w:val="00861FA2"/>
    <w:rsid w:val="008620EB"/>
    <w:rsid w:val="008621D2"/>
    <w:rsid w:val="00862246"/>
    <w:rsid w:val="00862591"/>
    <w:rsid w:val="00862A10"/>
    <w:rsid w:val="00862FD7"/>
    <w:rsid w:val="00863025"/>
    <w:rsid w:val="00863455"/>
    <w:rsid w:val="0086383A"/>
    <w:rsid w:val="0086396A"/>
    <w:rsid w:val="00863A3E"/>
    <w:rsid w:val="00863ADF"/>
    <w:rsid w:val="00863C5C"/>
    <w:rsid w:val="00863D31"/>
    <w:rsid w:val="00863D82"/>
    <w:rsid w:val="008640DC"/>
    <w:rsid w:val="008645D4"/>
    <w:rsid w:val="00864630"/>
    <w:rsid w:val="00864782"/>
    <w:rsid w:val="00864A09"/>
    <w:rsid w:val="00865416"/>
    <w:rsid w:val="0086546C"/>
    <w:rsid w:val="00865768"/>
    <w:rsid w:val="00865879"/>
    <w:rsid w:val="00865992"/>
    <w:rsid w:val="008659D9"/>
    <w:rsid w:val="00865CCE"/>
    <w:rsid w:val="00865E01"/>
    <w:rsid w:val="00866088"/>
    <w:rsid w:val="0086614A"/>
    <w:rsid w:val="0086648E"/>
    <w:rsid w:val="008664CA"/>
    <w:rsid w:val="00866546"/>
    <w:rsid w:val="00866666"/>
    <w:rsid w:val="00866B0D"/>
    <w:rsid w:val="00867141"/>
    <w:rsid w:val="0086716B"/>
    <w:rsid w:val="008671ED"/>
    <w:rsid w:val="00867300"/>
    <w:rsid w:val="0086764C"/>
    <w:rsid w:val="0086784B"/>
    <w:rsid w:val="00867A0E"/>
    <w:rsid w:val="0087037A"/>
    <w:rsid w:val="008703A1"/>
    <w:rsid w:val="0087060A"/>
    <w:rsid w:val="00870ECE"/>
    <w:rsid w:val="008714EC"/>
    <w:rsid w:val="00871656"/>
    <w:rsid w:val="0087166E"/>
    <w:rsid w:val="0087175E"/>
    <w:rsid w:val="0087184E"/>
    <w:rsid w:val="008719A0"/>
    <w:rsid w:val="00871A86"/>
    <w:rsid w:val="00871AA3"/>
    <w:rsid w:val="00871CB1"/>
    <w:rsid w:val="008722D6"/>
    <w:rsid w:val="00872358"/>
    <w:rsid w:val="00872457"/>
    <w:rsid w:val="0087251C"/>
    <w:rsid w:val="00872685"/>
    <w:rsid w:val="0087275F"/>
    <w:rsid w:val="00872779"/>
    <w:rsid w:val="008727A9"/>
    <w:rsid w:val="00872C4E"/>
    <w:rsid w:val="00872CC4"/>
    <w:rsid w:val="00872D35"/>
    <w:rsid w:val="00873104"/>
    <w:rsid w:val="008732A2"/>
    <w:rsid w:val="008734DA"/>
    <w:rsid w:val="008739CA"/>
    <w:rsid w:val="008739ED"/>
    <w:rsid w:val="0087405E"/>
    <w:rsid w:val="008742AD"/>
    <w:rsid w:val="00874460"/>
    <w:rsid w:val="0087452C"/>
    <w:rsid w:val="0087490D"/>
    <w:rsid w:val="00874DF8"/>
    <w:rsid w:val="00875592"/>
    <w:rsid w:val="00875A9B"/>
    <w:rsid w:val="00875FA1"/>
    <w:rsid w:val="00876071"/>
    <w:rsid w:val="008760BD"/>
    <w:rsid w:val="00876807"/>
    <w:rsid w:val="00876882"/>
    <w:rsid w:val="00876CEE"/>
    <w:rsid w:val="008770DD"/>
    <w:rsid w:val="00877181"/>
    <w:rsid w:val="00877542"/>
    <w:rsid w:val="0087769E"/>
    <w:rsid w:val="008776EA"/>
    <w:rsid w:val="0087777E"/>
    <w:rsid w:val="0087787C"/>
    <w:rsid w:val="00877A4A"/>
    <w:rsid w:val="00877CF9"/>
    <w:rsid w:val="00880043"/>
    <w:rsid w:val="008809BE"/>
    <w:rsid w:val="00880D59"/>
    <w:rsid w:val="00880EB8"/>
    <w:rsid w:val="00880FFF"/>
    <w:rsid w:val="008812A3"/>
    <w:rsid w:val="00881DFF"/>
    <w:rsid w:val="008820C7"/>
    <w:rsid w:val="008822DF"/>
    <w:rsid w:val="00882B1B"/>
    <w:rsid w:val="00882BF4"/>
    <w:rsid w:val="00882C78"/>
    <w:rsid w:val="00882E0C"/>
    <w:rsid w:val="00882F72"/>
    <w:rsid w:val="008834E9"/>
    <w:rsid w:val="00883AEB"/>
    <w:rsid w:val="00883B1D"/>
    <w:rsid w:val="00884F6B"/>
    <w:rsid w:val="008850A3"/>
    <w:rsid w:val="0088541D"/>
    <w:rsid w:val="0088560D"/>
    <w:rsid w:val="0088584F"/>
    <w:rsid w:val="00885855"/>
    <w:rsid w:val="00885ACC"/>
    <w:rsid w:val="00885CBB"/>
    <w:rsid w:val="00885D69"/>
    <w:rsid w:val="00885EFD"/>
    <w:rsid w:val="00886618"/>
    <w:rsid w:val="008867C0"/>
    <w:rsid w:val="00886900"/>
    <w:rsid w:val="00887512"/>
    <w:rsid w:val="00887644"/>
    <w:rsid w:val="00887C2E"/>
    <w:rsid w:val="00887FDF"/>
    <w:rsid w:val="00890025"/>
    <w:rsid w:val="0089009A"/>
    <w:rsid w:val="008904E8"/>
    <w:rsid w:val="008905BD"/>
    <w:rsid w:val="008907A7"/>
    <w:rsid w:val="00890BC3"/>
    <w:rsid w:val="00891160"/>
    <w:rsid w:val="008913C3"/>
    <w:rsid w:val="0089193E"/>
    <w:rsid w:val="008919F0"/>
    <w:rsid w:val="00891F79"/>
    <w:rsid w:val="0089290E"/>
    <w:rsid w:val="00892953"/>
    <w:rsid w:val="00892C11"/>
    <w:rsid w:val="00892CCF"/>
    <w:rsid w:val="00892CE8"/>
    <w:rsid w:val="00892D70"/>
    <w:rsid w:val="008933E0"/>
    <w:rsid w:val="008934BE"/>
    <w:rsid w:val="008939B0"/>
    <w:rsid w:val="00893DD5"/>
    <w:rsid w:val="00893E38"/>
    <w:rsid w:val="00894D3D"/>
    <w:rsid w:val="00894E67"/>
    <w:rsid w:val="00894FC3"/>
    <w:rsid w:val="00895279"/>
    <w:rsid w:val="0089537F"/>
    <w:rsid w:val="0089552F"/>
    <w:rsid w:val="00895906"/>
    <w:rsid w:val="0089599A"/>
    <w:rsid w:val="00896567"/>
    <w:rsid w:val="0089657A"/>
    <w:rsid w:val="00896AFF"/>
    <w:rsid w:val="008971EE"/>
    <w:rsid w:val="008972E9"/>
    <w:rsid w:val="00897D53"/>
    <w:rsid w:val="00897EF6"/>
    <w:rsid w:val="008A00D1"/>
    <w:rsid w:val="008A01D8"/>
    <w:rsid w:val="008A0448"/>
    <w:rsid w:val="008A066A"/>
    <w:rsid w:val="008A0880"/>
    <w:rsid w:val="008A0E40"/>
    <w:rsid w:val="008A0FCA"/>
    <w:rsid w:val="008A1372"/>
    <w:rsid w:val="008A1B43"/>
    <w:rsid w:val="008A1EC0"/>
    <w:rsid w:val="008A1F07"/>
    <w:rsid w:val="008A1FB5"/>
    <w:rsid w:val="008A20DD"/>
    <w:rsid w:val="008A28FD"/>
    <w:rsid w:val="008A2AA0"/>
    <w:rsid w:val="008A2ACA"/>
    <w:rsid w:val="008A3372"/>
    <w:rsid w:val="008A3395"/>
    <w:rsid w:val="008A34D8"/>
    <w:rsid w:val="008A3644"/>
    <w:rsid w:val="008A3C3C"/>
    <w:rsid w:val="008A3C65"/>
    <w:rsid w:val="008A3DFD"/>
    <w:rsid w:val="008A3F9A"/>
    <w:rsid w:val="008A4017"/>
    <w:rsid w:val="008A4107"/>
    <w:rsid w:val="008A41B0"/>
    <w:rsid w:val="008A43A3"/>
    <w:rsid w:val="008A45D5"/>
    <w:rsid w:val="008A4729"/>
    <w:rsid w:val="008A4D45"/>
    <w:rsid w:val="008A4D51"/>
    <w:rsid w:val="008A4EFA"/>
    <w:rsid w:val="008A5513"/>
    <w:rsid w:val="008A59BF"/>
    <w:rsid w:val="008A5BE2"/>
    <w:rsid w:val="008A644D"/>
    <w:rsid w:val="008A6460"/>
    <w:rsid w:val="008A6854"/>
    <w:rsid w:val="008A6C19"/>
    <w:rsid w:val="008A6D9B"/>
    <w:rsid w:val="008A6E04"/>
    <w:rsid w:val="008A6F34"/>
    <w:rsid w:val="008A72E7"/>
    <w:rsid w:val="008A7402"/>
    <w:rsid w:val="008A74B8"/>
    <w:rsid w:val="008A7E70"/>
    <w:rsid w:val="008A7ED2"/>
    <w:rsid w:val="008A7F36"/>
    <w:rsid w:val="008B0266"/>
    <w:rsid w:val="008B03D0"/>
    <w:rsid w:val="008B049B"/>
    <w:rsid w:val="008B0632"/>
    <w:rsid w:val="008B08C3"/>
    <w:rsid w:val="008B0E41"/>
    <w:rsid w:val="008B0EDE"/>
    <w:rsid w:val="008B129A"/>
    <w:rsid w:val="008B1360"/>
    <w:rsid w:val="008B1461"/>
    <w:rsid w:val="008B187D"/>
    <w:rsid w:val="008B20D6"/>
    <w:rsid w:val="008B2217"/>
    <w:rsid w:val="008B2349"/>
    <w:rsid w:val="008B255E"/>
    <w:rsid w:val="008B25E7"/>
    <w:rsid w:val="008B3485"/>
    <w:rsid w:val="008B3559"/>
    <w:rsid w:val="008B3583"/>
    <w:rsid w:val="008B3A13"/>
    <w:rsid w:val="008B3A7A"/>
    <w:rsid w:val="008B3A92"/>
    <w:rsid w:val="008B3DB6"/>
    <w:rsid w:val="008B3E81"/>
    <w:rsid w:val="008B4046"/>
    <w:rsid w:val="008B41E7"/>
    <w:rsid w:val="008B48B8"/>
    <w:rsid w:val="008B54AD"/>
    <w:rsid w:val="008B5CA4"/>
    <w:rsid w:val="008B5F76"/>
    <w:rsid w:val="008B676F"/>
    <w:rsid w:val="008B6941"/>
    <w:rsid w:val="008B728D"/>
    <w:rsid w:val="008B792C"/>
    <w:rsid w:val="008B7A34"/>
    <w:rsid w:val="008B7F3F"/>
    <w:rsid w:val="008C0129"/>
    <w:rsid w:val="008C0153"/>
    <w:rsid w:val="008C01AD"/>
    <w:rsid w:val="008C055D"/>
    <w:rsid w:val="008C0682"/>
    <w:rsid w:val="008C0853"/>
    <w:rsid w:val="008C0961"/>
    <w:rsid w:val="008C0DD4"/>
    <w:rsid w:val="008C1240"/>
    <w:rsid w:val="008C16F7"/>
    <w:rsid w:val="008C171C"/>
    <w:rsid w:val="008C177C"/>
    <w:rsid w:val="008C1846"/>
    <w:rsid w:val="008C1EEE"/>
    <w:rsid w:val="008C1FBD"/>
    <w:rsid w:val="008C2132"/>
    <w:rsid w:val="008C2243"/>
    <w:rsid w:val="008C23F0"/>
    <w:rsid w:val="008C27EE"/>
    <w:rsid w:val="008C281F"/>
    <w:rsid w:val="008C2AB5"/>
    <w:rsid w:val="008C2C5D"/>
    <w:rsid w:val="008C2D92"/>
    <w:rsid w:val="008C2FD9"/>
    <w:rsid w:val="008C3D18"/>
    <w:rsid w:val="008C3FB5"/>
    <w:rsid w:val="008C407E"/>
    <w:rsid w:val="008C41DE"/>
    <w:rsid w:val="008C4211"/>
    <w:rsid w:val="008C48BB"/>
    <w:rsid w:val="008C4A19"/>
    <w:rsid w:val="008C4E59"/>
    <w:rsid w:val="008C516E"/>
    <w:rsid w:val="008C5285"/>
    <w:rsid w:val="008C5A59"/>
    <w:rsid w:val="008C5C03"/>
    <w:rsid w:val="008C63A2"/>
    <w:rsid w:val="008C6403"/>
    <w:rsid w:val="008C64C3"/>
    <w:rsid w:val="008C67BA"/>
    <w:rsid w:val="008C68BE"/>
    <w:rsid w:val="008C6928"/>
    <w:rsid w:val="008C6B13"/>
    <w:rsid w:val="008C6E3B"/>
    <w:rsid w:val="008C6E4D"/>
    <w:rsid w:val="008C6F34"/>
    <w:rsid w:val="008C7068"/>
    <w:rsid w:val="008C712C"/>
    <w:rsid w:val="008C7703"/>
    <w:rsid w:val="008C7B5B"/>
    <w:rsid w:val="008D00DA"/>
    <w:rsid w:val="008D083E"/>
    <w:rsid w:val="008D13FF"/>
    <w:rsid w:val="008D1457"/>
    <w:rsid w:val="008D15BF"/>
    <w:rsid w:val="008D16A6"/>
    <w:rsid w:val="008D1E3F"/>
    <w:rsid w:val="008D1E90"/>
    <w:rsid w:val="008D1F0E"/>
    <w:rsid w:val="008D21BF"/>
    <w:rsid w:val="008D2973"/>
    <w:rsid w:val="008D2B69"/>
    <w:rsid w:val="008D2DCF"/>
    <w:rsid w:val="008D30A0"/>
    <w:rsid w:val="008D3B53"/>
    <w:rsid w:val="008D3E99"/>
    <w:rsid w:val="008D3FA2"/>
    <w:rsid w:val="008D3FD4"/>
    <w:rsid w:val="008D434D"/>
    <w:rsid w:val="008D4CC7"/>
    <w:rsid w:val="008D4E8D"/>
    <w:rsid w:val="008D54B3"/>
    <w:rsid w:val="008D5581"/>
    <w:rsid w:val="008D573A"/>
    <w:rsid w:val="008D5825"/>
    <w:rsid w:val="008D5EC8"/>
    <w:rsid w:val="008D6080"/>
    <w:rsid w:val="008D6741"/>
    <w:rsid w:val="008D6994"/>
    <w:rsid w:val="008D6EEA"/>
    <w:rsid w:val="008D6FCC"/>
    <w:rsid w:val="008D7640"/>
    <w:rsid w:val="008D76B3"/>
    <w:rsid w:val="008D770F"/>
    <w:rsid w:val="008D7CE5"/>
    <w:rsid w:val="008D7CE9"/>
    <w:rsid w:val="008D7D37"/>
    <w:rsid w:val="008E0017"/>
    <w:rsid w:val="008E0242"/>
    <w:rsid w:val="008E09CE"/>
    <w:rsid w:val="008E0B4A"/>
    <w:rsid w:val="008E0D15"/>
    <w:rsid w:val="008E0E1F"/>
    <w:rsid w:val="008E0EE0"/>
    <w:rsid w:val="008E195B"/>
    <w:rsid w:val="008E1D61"/>
    <w:rsid w:val="008E242C"/>
    <w:rsid w:val="008E250D"/>
    <w:rsid w:val="008E265E"/>
    <w:rsid w:val="008E2938"/>
    <w:rsid w:val="008E2986"/>
    <w:rsid w:val="008E317C"/>
    <w:rsid w:val="008E3492"/>
    <w:rsid w:val="008E365C"/>
    <w:rsid w:val="008E3D78"/>
    <w:rsid w:val="008E4300"/>
    <w:rsid w:val="008E4515"/>
    <w:rsid w:val="008E451F"/>
    <w:rsid w:val="008E4697"/>
    <w:rsid w:val="008E4F4A"/>
    <w:rsid w:val="008E4FAD"/>
    <w:rsid w:val="008E54F7"/>
    <w:rsid w:val="008E5DEA"/>
    <w:rsid w:val="008E5E59"/>
    <w:rsid w:val="008E6145"/>
    <w:rsid w:val="008E628A"/>
    <w:rsid w:val="008E65DA"/>
    <w:rsid w:val="008E6ABC"/>
    <w:rsid w:val="008E78E5"/>
    <w:rsid w:val="008E7935"/>
    <w:rsid w:val="008E7A51"/>
    <w:rsid w:val="008E7ED2"/>
    <w:rsid w:val="008F0015"/>
    <w:rsid w:val="008F0209"/>
    <w:rsid w:val="008F0338"/>
    <w:rsid w:val="008F047C"/>
    <w:rsid w:val="008F1AA6"/>
    <w:rsid w:val="008F1AAD"/>
    <w:rsid w:val="008F1B00"/>
    <w:rsid w:val="008F1BEF"/>
    <w:rsid w:val="008F2287"/>
    <w:rsid w:val="008F2921"/>
    <w:rsid w:val="008F2A58"/>
    <w:rsid w:val="008F2B02"/>
    <w:rsid w:val="008F2B67"/>
    <w:rsid w:val="008F2DBE"/>
    <w:rsid w:val="008F2F94"/>
    <w:rsid w:val="008F2FED"/>
    <w:rsid w:val="008F3012"/>
    <w:rsid w:val="008F38CB"/>
    <w:rsid w:val="008F3953"/>
    <w:rsid w:val="008F3BE7"/>
    <w:rsid w:val="008F3C16"/>
    <w:rsid w:val="008F4143"/>
    <w:rsid w:val="008F434D"/>
    <w:rsid w:val="008F4726"/>
    <w:rsid w:val="008F48A1"/>
    <w:rsid w:val="008F4A4E"/>
    <w:rsid w:val="008F4B55"/>
    <w:rsid w:val="008F4E91"/>
    <w:rsid w:val="008F4F89"/>
    <w:rsid w:val="008F500B"/>
    <w:rsid w:val="008F5439"/>
    <w:rsid w:val="008F557D"/>
    <w:rsid w:val="008F56E4"/>
    <w:rsid w:val="008F59BC"/>
    <w:rsid w:val="008F5D26"/>
    <w:rsid w:val="008F5D5C"/>
    <w:rsid w:val="008F5DEC"/>
    <w:rsid w:val="008F5EED"/>
    <w:rsid w:val="008F5F30"/>
    <w:rsid w:val="008F6287"/>
    <w:rsid w:val="008F657D"/>
    <w:rsid w:val="008F6854"/>
    <w:rsid w:val="008F688C"/>
    <w:rsid w:val="008F69B3"/>
    <w:rsid w:val="008F6D09"/>
    <w:rsid w:val="008F6FAB"/>
    <w:rsid w:val="008F70A2"/>
    <w:rsid w:val="008F7CB3"/>
    <w:rsid w:val="008F7D3F"/>
    <w:rsid w:val="008F7E39"/>
    <w:rsid w:val="008F7E5D"/>
    <w:rsid w:val="00900489"/>
    <w:rsid w:val="009004C0"/>
    <w:rsid w:val="009004F1"/>
    <w:rsid w:val="00900636"/>
    <w:rsid w:val="009006CF"/>
    <w:rsid w:val="00900F3B"/>
    <w:rsid w:val="00901174"/>
    <w:rsid w:val="00901239"/>
    <w:rsid w:val="009017E2"/>
    <w:rsid w:val="00901AB1"/>
    <w:rsid w:val="00901AED"/>
    <w:rsid w:val="00901B5E"/>
    <w:rsid w:val="00901DEE"/>
    <w:rsid w:val="00902471"/>
    <w:rsid w:val="00902D50"/>
    <w:rsid w:val="0090319A"/>
    <w:rsid w:val="00903804"/>
    <w:rsid w:val="00903B7C"/>
    <w:rsid w:val="00903C94"/>
    <w:rsid w:val="00903D53"/>
    <w:rsid w:val="00903F29"/>
    <w:rsid w:val="00904284"/>
    <w:rsid w:val="009043AF"/>
    <w:rsid w:val="009043DC"/>
    <w:rsid w:val="0090458D"/>
    <w:rsid w:val="00904843"/>
    <w:rsid w:val="00904A1F"/>
    <w:rsid w:val="00904B61"/>
    <w:rsid w:val="00904B94"/>
    <w:rsid w:val="00904E65"/>
    <w:rsid w:val="00904F4C"/>
    <w:rsid w:val="0090519E"/>
    <w:rsid w:val="009051B2"/>
    <w:rsid w:val="009051D2"/>
    <w:rsid w:val="00905389"/>
    <w:rsid w:val="00905532"/>
    <w:rsid w:val="009058F7"/>
    <w:rsid w:val="00905B38"/>
    <w:rsid w:val="00905B61"/>
    <w:rsid w:val="00905E6C"/>
    <w:rsid w:val="009064E4"/>
    <w:rsid w:val="009065C9"/>
    <w:rsid w:val="009066DF"/>
    <w:rsid w:val="00906917"/>
    <w:rsid w:val="009073AE"/>
    <w:rsid w:val="00907712"/>
    <w:rsid w:val="00907BF1"/>
    <w:rsid w:val="009101AF"/>
    <w:rsid w:val="00910267"/>
    <w:rsid w:val="00910A59"/>
    <w:rsid w:val="00910D0A"/>
    <w:rsid w:val="00910E30"/>
    <w:rsid w:val="00910FB5"/>
    <w:rsid w:val="009111CD"/>
    <w:rsid w:val="00911848"/>
    <w:rsid w:val="00911AFA"/>
    <w:rsid w:val="00912534"/>
    <w:rsid w:val="00912648"/>
    <w:rsid w:val="00912706"/>
    <w:rsid w:val="0091289F"/>
    <w:rsid w:val="00912992"/>
    <w:rsid w:val="00912DA4"/>
    <w:rsid w:val="00912F6A"/>
    <w:rsid w:val="009135B9"/>
    <w:rsid w:val="009138ED"/>
    <w:rsid w:val="00913A8C"/>
    <w:rsid w:val="00913DD4"/>
    <w:rsid w:val="00914355"/>
    <w:rsid w:val="009145BC"/>
    <w:rsid w:val="00914AEA"/>
    <w:rsid w:val="00914C20"/>
    <w:rsid w:val="00914F6C"/>
    <w:rsid w:val="00914F88"/>
    <w:rsid w:val="00915A8C"/>
    <w:rsid w:val="00915E7F"/>
    <w:rsid w:val="00915EAD"/>
    <w:rsid w:val="00915F53"/>
    <w:rsid w:val="00915FC3"/>
    <w:rsid w:val="00916750"/>
    <w:rsid w:val="009167E4"/>
    <w:rsid w:val="00916935"/>
    <w:rsid w:val="00916A8A"/>
    <w:rsid w:val="00916ACC"/>
    <w:rsid w:val="00916FAD"/>
    <w:rsid w:val="0091753C"/>
    <w:rsid w:val="009175E2"/>
    <w:rsid w:val="00917C2A"/>
    <w:rsid w:val="00917EF7"/>
    <w:rsid w:val="00917FA8"/>
    <w:rsid w:val="00917FB6"/>
    <w:rsid w:val="0092016A"/>
    <w:rsid w:val="009202A9"/>
    <w:rsid w:val="00920359"/>
    <w:rsid w:val="0092038B"/>
    <w:rsid w:val="009203FD"/>
    <w:rsid w:val="00920716"/>
    <w:rsid w:val="0092080E"/>
    <w:rsid w:val="00920AC1"/>
    <w:rsid w:val="00920B44"/>
    <w:rsid w:val="00920CC4"/>
    <w:rsid w:val="00920E25"/>
    <w:rsid w:val="00921563"/>
    <w:rsid w:val="0092156B"/>
    <w:rsid w:val="009216E5"/>
    <w:rsid w:val="00921741"/>
    <w:rsid w:val="009219DB"/>
    <w:rsid w:val="00921A60"/>
    <w:rsid w:val="009223F6"/>
    <w:rsid w:val="00922843"/>
    <w:rsid w:val="00922A1F"/>
    <w:rsid w:val="00922B0E"/>
    <w:rsid w:val="00922B1E"/>
    <w:rsid w:val="0092304F"/>
    <w:rsid w:val="0092321B"/>
    <w:rsid w:val="00923475"/>
    <w:rsid w:val="009236BC"/>
    <w:rsid w:val="009236FB"/>
    <w:rsid w:val="00923DF5"/>
    <w:rsid w:val="009240AF"/>
    <w:rsid w:val="00924295"/>
    <w:rsid w:val="009244F0"/>
    <w:rsid w:val="00924549"/>
    <w:rsid w:val="009248D6"/>
    <w:rsid w:val="00924B39"/>
    <w:rsid w:val="009251A7"/>
    <w:rsid w:val="00925451"/>
    <w:rsid w:val="0092560C"/>
    <w:rsid w:val="00925776"/>
    <w:rsid w:val="00925912"/>
    <w:rsid w:val="00925B7D"/>
    <w:rsid w:val="00925E40"/>
    <w:rsid w:val="00926037"/>
    <w:rsid w:val="00926219"/>
    <w:rsid w:val="00926431"/>
    <w:rsid w:val="009264E4"/>
    <w:rsid w:val="009265CC"/>
    <w:rsid w:val="009266A7"/>
    <w:rsid w:val="009267C7"/>
    <w:rsid w:val="00926981"/>
    <w:rsid w:val="00926A72"/>
    <w:rsid w:val="00926D79"/>
    <w:rsid w:val="00926F06"/>
    <w:rsid w:val="00927442"/>
    <w:rsid w:val="009279EB"/>
    <w:rsid w:val="00927E1A"/>
    <w:rsid w:val="00927F76"/>
    <w:rsid w:val="00927F80"/>
    <w:rsid w:val="0093041C"/>
    <w:rsid w:val="00930BBA"/>
    <w:rsid w:val="009311B7"/>
    <w:rsid w:val="00931216"/>
    <w:rsid w:val="00931353"/>
    <w:rsid w:val="00931B97"/>
    <w:rsid w:val="00931DB4"/>
    <w:rsid w:val="00931ED0"/>
    <w:rsid w:val="00931F53"/>
    <w:rsid w:val="00932306"/>
    <w:rsid w:val="009323A3"/>
    <w:rsid w:val="009325D9"/>
    <w:rsid w:val="00932622"/>
    <w:rsid w:val="00932800"/>
    <w:rsid w:val="00932E27"/>
    <w:rsid w:val="00932EC7"/>
    <w:rsid w:val="00933099"/>
    <w:rsid w:val="0093326E"/>
    <w:rsid w:val="00933747"/>
    <w:rsid w:val="00933766"/>
    <w:rsid w:val="00933B77"/>
    <w:rsid w:val="00933DEA"/>
    <w:rsid w:val="00933F71"/>
    <w:rsid w:val="009340BA"/>
    <w:rsid w:val="009343BD"/>
    <w:rsid w:val="00934B82"/>
    <w:rsid w:val="0093505B"/>
    <w:rsid w:val="009351C7"/>
    <w:rsid w:val="009354E2"/>
    <w:rsid w:val="009356B5"/>
    <w:rsid w:val="00935B58"/>
    <w:rsid w:val="00935E50"/>
    <w:rsid w:val="00935F92"/>
    <w:rsid w:val="0093613A"/>
    <w:rsid w:val="0093626D"/>
    <w:rsid w:val="00936271"/>
    <w:rsid w:val="009362E4"/>
    <w:rsid w:val="00936384"/>
    <w:rsid w:val="009365CF"/>
    <w:rsid w:val="00936663"/>
    <w:rsid w:val="0093681F"/>
    <w:rsid w:val="00936A7B"/>
    <w:rsid w:val="00936BA4"/>
    <w:rsid w:val="00937077"/>
    <w:rsid w:val="0093707D"/>
    <w:rsid w:val="009379BD"/>
    <w:rsid w:val="009379D6"/>
    <w:rsid w:val="00937B70"/>
    <w:rsid w:val="0094028E"/>
    <w:rsid w:val="00940361"/>
    <w:rsid w:val="00940D89"/>
    <w:rsid w:val="00941154"/>
    <w:rsid w:val="00941278"/>
    <w:rsid w:val="0094172C"/>
    <w:rsid w:val="00941736"/>
    <w:rsid w:val="00941A23"/>
    <w:rsid w:val="00941A72"/>
    <w:rsid w:val="00942634"/>
    <w:rsid w:val="00942CB9"/>
    <w:rsid w:val="00942ECC"/>
    <w:rsid w:val="00942EF5"/>
    <w:rsid w:val="009431FB"/>
    <w:rsid w:val="00943210"/>
    <w:rsid w:val="009439B9"/>
    <w:rsid w:val="00943FDD"/>
    <w:rsid w:val="009440F6"/>
    <w:rsid w:val="0094410B"/>
    <w:rsid w:val="00944396"/>
    <w:rsid w:val="009443D3"/>
    <w:rsid w:val="009449E7"/>
    <w:rsid w:val="009449F3"/>
    <w:rsid w:val="00944ABD"/>
    <w:rsid w:val="00944BA1"/>
    <w:rsid w:val="00944D4E"/>
    <w:rsid w:val="00945434"/>
    <w:rsid w:val="00945BA8"/>
    <w:rsid w:val="00946235"/>
    <w:rsid w:val="009463D4"/>
    <w:rsid w:val="0094668C"/>
    <w:rsid w:val="009466C2"/>
    <w:rsid w:val="00946711"/>
    <w:rsid w:val="00946843"/>
    <w:rsid w:val="00946BE4"/>
    <w:rsid w:val="00946E6C"/>
    <w:rsid w:val="0094716B"/>
    <w:rsid w:val="0094765E"/>
    <w:rsid w:val="009477AB"/>
    <w:rsid w:val="009477CA"/>
    <w:rsid w:val="009479C7"/>
    <w:rsid w:val="00947BF6"/>
    <w:rsid w:val="00947CA6"/>
    <w:rsid w:val="00947DC7"/>
    <w:rsid w:val="00947EA4"/>
    <w:rsid w:val="0095038D"/>
    <w:rsid w:val="00950577"/>
    <w:rsid w:val="00950685"/>
    <w:rsid w:val="0095072D"/>
    <w:rsid w:val="00950A5A"/>
    <w:rsid w:val="00950D10"/>
    <w:rsid w:val="00950EDA"/>
    <w:rsid w:val="00951071"/>
    <w:rsid w:val="00951414"/>
    <w:rsid w:val="009515F3"/>
    <w:rsid w:val="009517B2"/>
    <w:rsid w:val="009517FF"/>
    <w:rsid w:val="00951E2D"/>
    <w:rsid w:val="00952363"/>
    <w:rsid w:val="0095278C"/>
    <w:rsid w:val="0095283B"/>
    <w:rsid w:val="00952B36"/>
    <w:rsid w:val="0095301F"/>
    <w:rsid w:val="009533E2"/>
    <w:rsid w:val="00953405"/>
    <w:rsid w:val="00953557"/>
    <w:rsid w:val="009541AE"/>
    <w:rsid w:val="009541D1"/>
    <w:rsid w:val="00954A9D"/>
    <w:rsid w:val="00954EBE"/>
    <w:rsid w:val="00954EC7"/>
    <w:rsid w:val="00954F57"/>
    <w:rsid w:val="00954F7F"/>
    <w:rsid w:val="00955298"/>
    <w:rsid w:val="009553D1"/>
    <w:rsid w:val="009554C7"/>
    <w:rsid w:val="00955585"/>
    <w:rsid w:val="00955833"/>
    <w:rsid w:val="00955BF0"/>
    <w:rsid w:val="00955C2A"/>
    <w:rsid w:val="00955E36"/>
    <w:rsid w:val="00955E7D"/>
    <w:rsid w:val="00956108"/>
    <w:rsid w:val="0095630A"/>
    <w:rsid w:val="009566E7"/>
    <w:rsid w:val="00956C79"/>
    <w:rsid w:val="00956CB5"/>
    <w:rsid w:val="00956DD5"/>
    <w:rsid w:val="0095717B"/>
    <w:rsid w:val="0095718D"/>
    <w:rsid w:val="00957369"/>
    <w:rsid w:val="0095785B"/>
    <w:rsid w:val="009579B3"/>
    <w:rsid w:val="00957B33"/>
    <w:rsid w:val="00957BBE"/>
    <w:rsid w:val="00957C8A"/>
    <w:rsid w:val="00960813"/>
    <w:rsid w:val="0096085B"/>
    <w:rsid w:val="009608AF"/>
    <w:rsid w:val="00960989"/>
    <w:rsid w:val="00960A0B"/>
    <w:rsid w:val="00960BB9"/>
    <w:rsid w:val="00960E4E"/>
    <w:rsid w:val="0096109E"/>
    <w:rsid w:val="0096118A"/>
    <w:rsid w:val="00961251"/>
    <w:rsid w:val="00961BE1"/>
    <w:rsid w:val="009620DB"/>
    <w:rsid w:val="009621AE"/>
    <w:rsid w:val="009621F5"/>
    <w:rsid w:val="009624A4"/>
    <w:rsid w:val="0096283D"/>
    <w:rsid w:val="00962B41"/>
    <w:rsid w:val="00962E8D"/>
    <w:rsid w:val="00962F25"/>
    <w:rsid w:val="009632C3"/>
    <w:rsid w:val="009637AB"/>
    <w:rsid w:val="00963A0D"/>
    <w:rsid w:val="009642EF"/>
    <w:rsid w:val="009647B1"/>
    <w:rsid w:val="009648EE"/>
    <w:rsid w:val="00964C8D"/>
    <w:rsid w:val="00964D35"/>
    <w:rsid w:val="00964EFF"/>
    <w:rsid w:val="0096523C"/>
    <w:rsid w:val="0096538B"/>
    <w:rsid w:val="00965636"/>
    <w:rsid w:val="009656D6"/>
    <w:rsid w:val="009657B3"/>
    <w:rsid w:val="00965D18"/>
    <w:rsid w:val="00965F2F"/>
    <w:rsid w:val="00965F60"/>
    <w:rsid w:val="00966018"/>
    <w:rsid w:val="00966036"/>
    <w:rsid w:val="00966673"/>
    <w:rsid w:val="00966683"/>
    <w:rsid w:val="00966927"/>
    <w:rsid w:val="00966D10"/>
    <w:rsid w:val="00966D79"/>
    <w:rsid w:val="00966DA6"/>
    <w:rsid w:val="00966E41"/>
    <w:rsid w:val="00966F99"/>
    <w:rsid w:val="0096709B"/>
    <w:rsid w:val="009670EC"/>
    <w:rsid w:val="009672BC"/>
    <w:rsid w:val="009673DC"/>
    <w:rsid w:val="009674F9"/>
    <w:rsid w:val="0096760F"/>
    <w:rsid w:val="00967915"/>
    <w:rsid w:val="00967B8B"/>
    <w:rsid w:val="00967BD5"/>
    <w:rsid w:val="00967D10"/>
    <w:rsid w:val="00967F46"/>
    <w:rsid w:val="00970093"/>
    <w:rsid w:val="009701E9"/>
    <w:rsid w:val="0097061F"/>
    <w:rsid w:val="009708FA"/>
    <w:rsid w:val="00970F43"/>
    <w:rsid w:val="0097105E"/>
    <w:rsid w:val="00971A69"/>
    <w:rsid w:val="00971CB2"/>
    <w:rsid w:val="00972100"/>
    <w:rsid w:val="00972245"/>
    <w:rsid w:val="009727C7"/>
    <w:rsid w:val="00972836"/>
    <w:rsid w:val="00972840"/>
    <w:rsid w:val="00972A3A"/>
    <w:rsid w:val="00972ED0"/>
    <w:rsid w:val="00972FDC"/>
    <w:rsid w:val="009732A5"/>
    <w:rsid w:val="0097366F"/>
    <w:rsid w:val="009736B8"/>
    <w:rsid w:val="00973901"/>
    <w:rsid w:val="00973B0D"/>
    <w:rsid w:val="00973BAC"/>
    <w:rsid w:val="00973C4D"/>
    <w:rsid w:val="00973E9C"/>
    <w:rsid w:val="0097403E"/>
    <w:rsid w:val="00974059"/>
    <w:rsid w:val="009740BC"/>
    <w:rsid w:val="00974286"/>
    <w:rsid w:val="0097456E"/>
    <w:rsid w:val="009745CB"/>
    <w:rsid w:val="00974858"/>
    <w:rsid w:val="00974896"/>
    <w:rsid w:val="00974D0D"/>
    <w:rsid w:val="0097515E"/>
    <w:rsid w:val="00975307"/>
    <w:rsid w:val="0097531E"/>
    <w:rsid w:val="009757B7"/>
    <w:rsid w:val="00975BDD"/>
    <w:rsid w:val="00975D84"/>
    <w:rsid w:val="00975DC2"/>
    <w:rsid w:val="0097608A"/>
    <w:rsid w:val="00976230"/>
    <w:rsid w:val="00976282"/>
    <w:rsid w:val="00976B0B"/>
    <w:rsid w:val="00976C83"/>
    <w:rsid w:val="0097715A"/>
    <w:rsid w:val="00977A4B"/>
    <w:rsid w:val="0098006B"/>
    <w:rsid w:val="00980318"/>
    <w:rsid w:val="009809D9"/>
    <w:rsid w:val="00980DCE"/>
    <w:rsid w:val="00980FF9"/>
    <w:rsid w:val="0098157C"/>
    <w:rsid w:val="00981BCC"/>
    <w:rsid w:val="00981D0C"/>
    <w:rsid w:val="00982331"/>
    <w:rsid w:val="00982366"/>
    <w:rsid w:val="00982525"/>
    <w:rsid w:val="00982778"/>
    <w:rsid w:val="009827AB"/>
    <w:rsid w:val="00982CBA"/>
    <w:rsid w:val="0098313F"/>
    <w:rsid w:val="00983206"/>
    <w:rsid w:val="00983550"/>
    <w:rsid w:val="0098376E"/>
    <w:rsid w:val="009838DC"/>
    <w:rsid w:val="00983BC5"/>
    <w:rsid w:val="00983BE3"/>
    <w:rsid w:val="00983DA3"/>
    <w:rsid w:val="00983ECE"/>
    <w:rsid w:val="009841E3"/>
    <w:rsid w:val="009842B8"/>
    <w:rsid w:val="009845D9"/>
    <w:rsid w:val="00984650"/>
    <w:rsid w:val="009846A8"/>
    <w:rsid w:val="00984C39"/>
    <w:rsid w:val="00984D57"/>
    <w:rsid w:val="009851E3"/>
    <w:rsid w:val="009852A4"/>
    <w:rsid w:val="009852CA"/>
    <w:rsid w:val="00985689"/>
    <w:rsid w:val="00985A5A"/>
    <w:rsid w:val="00985B82"/>
    <w:rsid w:val="00985E9F"/>
    <w:rsid w:val="009860FC"/>
    <w:rsid w:val="009863B8"/>
    <w:rsid w:val="009865DD"/>
    <w:rsid w:val="009866EE"/>
    <w:rsid w:val="00986723"/>
    <w:rsid w:val="009867D7"/>
    <w:rsid w:val="00986B3A"/>
    <w:rsid w:val="00986F28"/>
    <w:rsid w:val="00987107"/>
    <w:rsid w:val="009872C0"/>
    <w:rsid w:val="009873AA"/>
    <w:rsid w:val="009875C2"/>
    <w:rsid w:val="009877E3"/>
    <w:rsid w:val="00987AD7"/>
    <w:rsid w:val="00987B15"/>
    <w:rsid w:val="00987C4E"/>
    <w:rsid w:val="00987D7B"/>
    <w:rsid w:val="00990707"/>
    <w:rsid w:val="00990BE9"/>
    <w:rsid w:val="00990D1A"/>
    <w:rsid w:val="00990DFA"/>
    <w:rsid w:val="00990DFD"/>
    <w:rsid w:val="00990E56"/>
    <w:rsid w:val="00990F98"/>
    <w:rsid w:val="0099155F"/>
    <w:rsid w:val="00991565"/>
    <w:rsid w:val="009916E8"/>
    <w:rsid w:val="0099170D"/>
    <w:rsid w:val="00991880"/>
    <w:rsid w:val="00991F23"/>
    <w:rsid w:val="00992083"/>
    <w:rsid w:val="009920BF"/>
    <w:rsid w:val="009922FD"/>
    <w:rsid w:val="00992336"/>
    <w:rsid w:val="0099289B"/>
    <w:rsid w:val="00992BA2"/>
    <w:rsid w:val="00992C4A"/>
    <w:rsid w:val="00992F7E"/>
    <w:rsid w:val="00993107"/>
    <w:rsid w:val="00993473"/>
    <w:rsid w:val="009934C5"/>
    <w:rsid w:val="00993A0C"/>
    <w:rsid w:val="00993B5F"/>
    <w:rsid w:val="00993D0B"/>
    <w:rsid w:val="0099416B"/>
    <w:rsid w:val="0099431B"/>
    <w:rsid w:val="00994486"/>
    <w:rsid w:val="00994694"/>
    <w:rsid w:val="009946CE"/>
    <w:rsid w:val="00994786"/>
    <w:rsid w:val="00994957"/>
    <w:rsid w:val="009959DF"/>
    <w:rsid w:val="00995BAD"/>
    <w:rsid w:val="00996B0E"/>
    <w:rsid w:val="00996E98"/>
    <w:rsid w:val="00996FAB"/>
    <w:rsid w:val="0099738F"/>
    <w:rsid w:val="009973DD"/>
    <w:rsid w:val="00997412"/>
    <w:rsid w:val="0099762E"/>
    <w:rsid w:val="00997898"/>
    <w:rsid w:val="00997C46"/>
    <w:rsid w:val="009A001F"/>
    <w:rsid w:val="009A0530"/>
    <w:rsid w:val="009A057E"/>
    <w:rsid w:val="009A05B9"/>
    <w:rsid w:val="009A0AA0"/>
    <w:rsid w:val="009A0FFE"/>
    <w:rsid w:val="009A1011"/>
    <w:rsid w:val="009A11B4"/>
    <w:rsid w:val="009A1210"/>
    <w:rsid w:val="009A1376"/>
    <w:rsid w:val="009A13AE"/>
    <w:rsid w:val="009A18D5"/>
    <w:rsid w:val="009A1BD4"/>
    <w:rsid w:val="009A1D6B"/>
    <w:rsid w:val="009A21C0"/>
    <w:rsid w:val="009A2244"/>
    <w:rsid w:val="009A231F"/>
    <w:rsid w:val="009A24D3"/>
    <w:rsid w:val="009A24FE"/>
    <w:rsid w:val="009A2872"/>
    <w:rsid w:val="009A2BD5"/>
    <w:rsid w:val="009A2CCA"/>
    <w:rsid w:val="009A2DAE"/>
    <w:rsid w:val="009A3370"/>
    <w:rsid w:val="009A3422"/>
    <w:rsid w:val="009A3611"/>
    <w:rsid w:val="009A375A"/>
    <w:rsid w:val="009A3D74"/>
    <w:rsid w:val="009A45D3"/>
    <w:rsid w:val="009A4842"/>
    <w:rsid w:val="009A4D8A"/>
    <w:rsid w:val="009A5082"/>
    <w:rsid w:val="009A514D"/>
    <w:rsid w:val="009A5350"/>
    <w:rsid w:val="009A579B"/>
    <w:rsid w:val="009A594C"/>
    <w:rsid w:val="009A5E0A"/>
    <w:rsid w:val="009A5FAA"/>
    <w:rsid w:val="009A6411"/>
    <w:rsid w:val="009A6CC6"/>
    <w:rsid w:val="009A6D15"/>
    <w:rsid w:val="009A70D4"/>
    <w:rsid w:val="009A7152"/>
    <w:rsid w:val="009A721E"/>
    <w:rsid w:val="009A758A"/>
    <w:rsid w:val="009A7926"/>
    <w:rsid w:val="009A7BAD"/>
    <w:rsid w:val="009A7D41"/>
    <w:rsid w:val="009B0229"/>
    <w:rsid w:val="009B072E"/>
    <w:rsid w:val="009B0B65"/>
    <w:rsid w:val="009B0D0F"/>
    <w:rsid w:val="009B0E15"/>
    <w:rsid w:val="009B0FB8"/>
    <w:rsid w:val="009B10AD"/>
    <w:rsid w:val="009B11F7"/>
    <w:rsid w:val="009B12D6"/>
    <w:rsid w:val="009B147B"/>
    <w:rsid w:val="009B14E3"/>
    <w:rsid w:val="009B14F4"/>
    <w:rsid w:val="009B1CC4"/>
    <w:rsid w:val="009B1EE2"/>
    <w:rsid w:val="009B23D2"/>
    <w:rsid w:val="009B2C73"/>
    <w:rsid w:val="009B3236"/>
    <w:rsid w:val="009B3268"/>
    <w:rsid w:val="009B3285"/>
    <w:rsid w:val="009B32FD"/>
    <w:rsid w:val="009B33EB"/>
    <w:rsid w:val="009B3881"/>
    <w:rsid w:val="009B3887"/>
    <w:rsid w:val="009B3E1A"/>
    <w:rsid w:val="009B3E30"/>
    <w:rsid w:val="009B418D"/>
    <w:rsid w:val="009B4452"/>
    <w:rsid w:val="009B4602"/>
    <w:rsid w:val="009B4816"/>
    <w:rsid w:val="009B4A79"/>
    <w:rsid w:val="009B4C48"/>
    <w:rsid w:val="009B5186"/>
    <w:rsid w:val="009B5825"/>
    <w:rsid w:val="009B5C3B"/>
    <w:rsid w:val="009B5D62"/>
    <w:rsid w:val="009B5DA7"/>
    <w:rsid w:val="009B5F58"/>
    <w:rsid w:val="009B61B4"/>
    <w:rsid w:val="009B62A8"/>
    <w:rsid w:val="009B6341"/>
    <w:rsid w:val="009B696C"/>
    <w:rsid w:val="009B6B21"/>
    <w:rsid w:val="009B7397"/>
    <w:rsid w:val="009B759A"/>
    <w:rsid w:val="009B76C5"/>
    <w:rsid w:val="009B7E6E"/>
    <w:rsid w:val="009C0AA4"/>
    <w:rsid w:val="009C0FB4"/>
    <w:rsid w:val="009C10AF"/>
    <w:rsid w:val="009C1242"/>
    <w:rsid w:val="009C17D7"/>
    <w:rsid w:val="009C1D19"/>
    <w:rsid w:val="009C2383"/>
    <w:rsid w:val="009C2831"/>
    <w:rsid w:val="009C289F"/>
    <w:rsid w:val="009C2C81"/>
    <w:rsid w:val="009C2E24"/>
    <w:rsid w:val="009C3126"/>
    <w:rsid w:val="009C34BF"/>
    <w:rsid w:val="009C3D3B"/>
    <w:rsid w:val="009C3D54"/>
    <w:rsid w:val="009C3D77"/>
    <w:rsid w:val="009C3DC7"/>
    <w:rsid w:val="009C4173"/>
    <w:rsid w:val="009C4492"/>
    <w:rsid w:val="009C44AB"/>
    <w:rsid w:val="009C470E"/>
    <w:rsid w:val="009C473B"/>
    <w:rsid w:val="009C48C5"/>
    <w:rsid w:val="009C4974"/>
    <w:rsid w:val="009C4A6B"/>
    <w:rsid w:val="009C4B2C"/>
    <w:rsid w:val="009C4ECF"/>
    <w:rsid w:val="009C4F57"/>
    <w:rsid w:val="009C512F"/>
    <w:rsid w:val="009C5146"/>
    <w:rsid w:val="009C519C"/>
    <w:rsid w:val="009C52B3"/>
    <w:rsid w:val="009C543B"/>
    <w:rsid w:val="009C5544"/>
    <w:rsid w:val="009C56AB"/>
    <w:rsid w:val="009C5769"/>
    <w:rsid w:val="009C58CA"/>
    <w:rsid w:val="009C5C08"/>
    <w:rsid w:val="009C60CC"/>
    <w:rsid w:val="009C60E9"/>
    <w:rsid w:val="009C6650"/>
    <w:rsid w:val="009C6D52"/>
    <w:rsid w:val="009C6F00"/>
    <w:rsid w:val="009C70F2"/>
    <w:rsid w:val="009C7284"/>
    <w:rsid w:val="009C78BF"/>
    <w:rsid w:val="009D00F4"/>
    <w:rsid w:val="009D03F1"/>
    <w:rsid w:val="009D041F"/>
    <w:rsid w:val="009D058E"/>
    <w:rsid w:val="009D06F7"/>
    <w:rsid w:val="009D076C"/>
    <w:rsid w:val="009D09CF"/>
    <w:rsid w:val="009D0D84"/>
    <w:rsid w:val="009D10CF"/>
    <w:rsid w:val="009D117A"/>
    <w:rsid w:val="009D14A6"/>
    <w:rsid w:val="009D1547"/>
    <w:rsid w:val="009D1897"/>
    <w:rsid w:val="009D19B5"/>
    <w:rsid w:val="009D24B4"/>
    <w:rsid w:val="009D25E2"/>
    <w:rsid w:val="009D2704"/>
    <w:rsid w:val="009D277F"/>
    <w:rsid w:val="009D2C00"/>
    <w:rsid w:val="009D2DD3"/>
    <w:rsid w:val="009D3499"/>
    <w:rsid w:val="009D35DD"/>
    <w:rsid w:val="009D3D6C"/>
    <w:rsid w:val="009D4311"/>
    <w:rsid w:val="009D436B"/>
    <w:rsid w:val="009D4416"/>
    <w:rsid w:val="009D4600"/>
    <w:rsid w:val="009D4E00"/>
    <w:rsid w:val="009D4F1E"/>
    <w:rsid w:val="009D51E0"/>
    <w:rsid w:val="009D5306"/>
    <w:rsid w:val="009D534B"/>
    <w:rsid w:val="009D541E"/>
    <w:rsid w:val="009D5655"/>
    <w:rsid w:val="009D5B00"/>
    <w:rsid w:val="009D5CD4"/>
    <w:rsid w:val="009D5EC7"/>
    <w:rsid w:val="009D61FC"/>
    <w:rsid w:val="009D62DE"/>
    <w:rsid w:val="009D6C0B"/>
    <w:rsid w:val="009D7DB7"/>
    <w:rsid w:val="009D7FDC"/>
    <w:rsid w:val="009E0146"/>
    <w:rsid w:val="009E0513"/>
    <w:rsid w:val="009E08ED"/>
    <w:rsid w:val="009E0C50"/>
    <w:rsid w:val="009E0C56"/>
    <w:rsid w:val="009E0E35"/>
    <w:rsid w:val="009E126E"/>
    <w:rsid w:val="009E1284"/>
    <w:rsid w:val="009E1636"/>
    <w:rsid w:val="009E170E"/>
    <w:rsid w:val="009E1B13"/>
    <w:rsid w:val="009E1BB1"/>
    <w:rsid w:val="009E1BCD"/>
    <w:rsid w:val="009E1FEB"/>
    <w:rsid w:val="009E2086"/>
    <w:rsid w:val="009E228D"/>
    <w:rsid w:val="009E2369"/>
    <w:rsid w:val="009E23B1"/>
    <w:rsid w:val="009E2426"/>
    <w:rsid w:val="009E2523"/>
    <w:rsid w:val="009E2FC1"/>
    <w:rsid w:val="009E3442"/>
    <w:rsid w:val="009E3798"/>
    <w:rsid w:val="009E4212"/>
    <w:rsid w:val="009E4507"/>
    <w:rsid w:val="009E4569"/>
    <w:rsid w:val="009E45A0"/>
    <w:rsid w:val="009E4698"/>
    <w:rsid w:val="009E486B"/>
    <w:rsid w:val="009E4AB9"/>
    <w:rsid w:val="009E4C17"/>
    <w:rsid w:val="009E5677"/>
    <w:rsid w:val="009E57DE"/>
    <w:rsid w:val="009E5B3D"/>
    <w:rsid w:val="009E6279"/>
    <w:rsid w:val="009E69D9"/>
    <w:rsid w:val="009E6AD0"/>
    <w:rsid w:val="009E6B70"/>
    <w:rsid w:val="009E6C5B"/>
    <w:rsid w:val="009E6EE4"/>
    <w:rsid w:val="009E71CE"/>
    <w:rsid w:val="009E74FC"/>
    <w:rsid w:val="009E76DA"/>
    <w:rsid w:val="009E7B32"/>
    <w:rsid w:val="009E7D8F"/>
    <w:rsid w:val="009E7FED"/>
    <w:rsid w:val="009F04DF"/>
    <w:rsid w:val="009F06CC"/>
    <w:rsid w:val="009F0718"/>
    <w:rsid w:val="009F07DA"/>
    <w:rsid w:val="009F08DE"/>
    <w:rsid w:val="009F0CE3"/>
    <w:rsid w:val="009F0D86"/>
    <w:rsid w:val="009F1036"/>
    <w:rsid w:val="009F1168"/>
    <w:rsid w:val="009F1701"/>
    <w:rsid w:val="009F2074"/>
    <w:rsid w:val="009F20A0"/>
    <w:rsid w:val="009F2462"/>
    <w:rsid w:val="009F257E"/>
    <w:rsid w:val="009F2E03"/>
    <w:rsid w:val="009F2E27"/>
    <w:rsid w:val="009F2EA7"/>
    <w:rsid w:val="009F325E"/>
    <w:rsid w:val="009F3509"/>
    <w:rsid w:val="009F3530"/>
    <w:rsid w:val="009F3539"/>
    <w:rsid w:val="009F383A"/>
    <w:rsid w:val="009F3FDA"/>
    <w:rsid w:val="009F41C9"/>
    <w:rsid w:val="009F43A8"/>
    <w:rsid w:val="009F4A64"/>
    <w:rsid w:val="009F5D7B"/>
    <w:rsid w:val="009F5F74"/>
    <w:rsid w:val="009F6052"/>
    <w:rsid w:val="009F626D"/>
    <w:rsid w:val="009F65FF"/>
    <w:rsid w:val="009F67BB"/>
    <w:rsid w:val="009F69A8"/>
    <w:rsid w:val="009F6D8F"/>
    <w:rsid w:val="009F6E09"/>
    <w:rsid w:val="009F6F9C"/>
    <w:rsid w:val="009F71BC"/>
    <w:rsid w:val="009F74FD"/>
    <w:rsid w:val="009F75B3"/>
    <w:rsid w:val="009F75BD"/>
    <w:rsid w:val="009F77ED"/>
    <w:rsid w:val="009F79BB"/>
    <w:rsid w:val="009F7F8A"/>
    <w:rsid w:val="00A0034F"/>
    <w:rsid w:val="00A0063E"/>
    <w:rsid w:val="00A00E81"/>
    <w:rsid w:val="00A01254"/>
    <w:rsid w:val="00A01502"/>
    <w:rsid w:val="00A01A09"/>
    <w:rsid w:val="00A01A2A"/>
    <w:rsid w:val="00A01BF3"/>
    <w:rsid w:val="00A0232E"/>
    <w:rsid w:val="00A02359"/>
    <w:rsid w:val="00A025C4"/>
    <w:rsid w:val="00A025F3"/>
    <w:rsid w:val="00A029C6"/>
    <w:rsid w:val="00A02A55"/>
    <w:rsid w:val="00A02D43"/>
    <w:rsid w:val="00A03038"/>
    <w:rsid w:val="00A03229"/>
    <w:rsid w:val="00A0414F"/>
    <w:rsid w:val="00A04626"/>
    <w:rsid w:val="00A0518C"/>
    <w:rsid w:val="00A05515"/>
    <w:rsid w:val="00A0556D"/>
    <w:rsid w:val="00A05A6B"/>
    <w:rsid w:val="00A05B90"/>
    <w:rsid w:val="00A05DB8"/>
    <w:rsid w:val="00A05E03"/>
    <w:rsid w:val="00A05EB6"/>
    <w:rsid w:val="00A060DA"/>
    <w:rsid w:val="00A06299"/>
    <w:rsid w:val="00A063C2"/>
    <w:rsid w:val="00A064F8"/>
    <w:rsid w:val="00A0659A"/>
    <w:rsid w:val="00A06823"/>
    <w:rsid w:val="00A068E7"/>
    <w:rsid w:val="00A0690C"/>
    <w:rsid w:val="00A06AAF"/>
    <w:rsid w:val="00A06BCE"/>
    <w:rsid w:val="00A07144"/>
    <w:rsid w:val="00A073C5"/>
    <w:rsid w:val="00A0755D"/>
    <w:rsid w:val="00A076E2"/>
    <w:rsid w:val="00A07B9C"/>
    <w:rsid w:val="00A07D3F"/>
    <w:rsid w:val="00A07D79"/>
    <w:rsid w:val="00A07F28"/>
    <w:rsid w:val="00A10108"/>
    <w:rsid w:val="00A103ED"/>
    <w:rsid w:val="00A1042C"/>
    <w:rsid w:val="00A10490"/>
    <w:rsid w:val="00A10AF3"/>
    <w:rsid w:val="00A112E2"/>
    <w:rsid w:val="00A1147E"/>
    <w:rsid w:val="00A114A2"/>
    <w:rsid w:val="00A114D4"/>
    <w:rsid w:val="00A116CF"/>
    <w:rsid w:val="00A117DB"/>
    <w:rsid w:val="00A11EE5"/>
    <w:rsid w:val="00A121B9"/>
    <w:rsid w:val="00A1220C"/>
    <w:rsid w:val="00A128FF"/>
    <w:rsid w:val="00A12BE1"/>
    <w:rsid w:val="00A12DE7"/>
    <w:rsid w:val="00A1322A"/>
    <w:rsid w:val="00A1331C"/>
    <w:rsid w:val="00A13632"/>
    <w:rsid w:val="00A13948"/>
    <w:rsid w:val="00A13D93"/>
    <w:rsid w:val="00A13E41"/>
    <w:rsid w:val="00A14071"/>
    <w:rsid w:val="00A1441E"/>
    <w:rsid w:val="00A14712"/>
    <w:rsid w:val="00A14800"/>
    <w:rsid w:val="00A14F27"/>
    <w:rsid w:val="00A14FB8"/>
    <w:rsid w:val="00A1513F"/>
    <w:rsid w:val="00A15275"/>
    <w:rsid w:val="00A15358"/>
    <w:rsid w:val="00A15539"/>
    <w:rsid w:val="00A15756"/>
    <w:rsid w:val="00A15B6A"/>
    <w:rsid w:val="00A15D05"/>
    <w:rsid w:val="00A1612E"/>
    <w:rsid w:val="00A1639E"/>
    <w:rsid w:val="00A16C93"/>
    <w:rsid w:val="00A16E2E"/>
    <w:rsid w:val="00A16EE2"/>
    <w:rsid w:val="00A17415"/>
    <w:rsid w:val="00A1789C"/>
    <w:rsid w:val="00A17B16"/>
    <w:rsid w:val="00A17CE1"/>
    <w:rsid w:val="00A17D71"/>
    <w:rsid w:val="00A2013B"/>
    <w:rsid w:val="00A201C6"/>
    <w:rsid w:val="00A201FC"/>
    <w:rsid w:val="00A20A1F"/>
    <w:rsid w:val="00A20D04"/>
    <w:rsid w:val="00A20EE6"/>
    <w:rsid w:val="00A21427"/>
    <w:rsid w:val="00A21828"/>
    <w:rsid w:val="00A21896"/>
    <w:rsid w:val="00A21E5E"/>
    <w:rsid w:val="00A2226E"/>
    <w:rsid w:val="00A225DD"/>
    <w:rsid w:val="00A2286C"/>
    <w:rsid w:val="00A22B4F"/>
    <w:rsid w:val="00A22DBB"/>
    <w:rsid w:val="00A23671"/>
    <w:rsid w:val="00A23912"/>
    <w:rsid w:val="00A23ABC"/>
    <w:rsid w:val="00A23B61"/>
    <w:rsid w:val="00A23C04"/>
    <w:rsid w:val="00A23FAB"/>
    <w:rsid w:val="00A23FF3"/>
    <w:rsid w:val="00A24032"/>
    <w:rsid w:val="00A245B1"/>
    <w:rsid w:val="00A24A68"/>
    <w:rsid w:val="00A24D37"/>
    <w:rsid w:val="00A25203"/>
    <w:rsid w:val="00A25249"/>
    <w:rsid w:val="00A25269"/>
    <w:rsid w:val="00A25456"/>
    <w:rsid w:val="00A254BD"/>
    <w:rsid w:val="00A2575C"/>
    <w:rsid w:val="00A25C2C"/>
    <w:rsid w:val="00A25CF5"/>
    <w:rsid w:val="00A25EDA"/>
    <w:rsid w:val="00A263BA"/>
    <w:rsid w:val="00A26BF5"/>
    <w:rsid w:val="00A26C14"/>
    <w:rsid w:val="00A2701D"/>
    <w:rsid w:val="00A272AA"/>
    <w:rsid w:val="00A27708"/>
    <w:rsid w:val="00A27760"/>
    <w:rsid w:val="00A2777A"/>
    <w:rsid w:val="00A2789E"/>
    <w:rsid w:val="00A27C10"/>
    <w:rsid w:val="00A27E16"/>
    <w:rsid w:val="00A27F42"/>
    <w:rsid w:val="00A30060"/>
    <w:rsid w:val="00A306C5"/>
    <w:rsid w:val="00A30B83"/>
    <w:rsid w:val="00A30DD0"/>
    <w:rsid w:val="00A30FAF"/>
    <w:rsid w:val="00A31204"/>
    <w:rsid w:val="00A314FC"/>
    <w:rsid w:val="00A315FB"/>
    <w:rsid w:val="00A318A6"/>
    <w:rsid w:val="00A31A25"/>
    <w:rsid w:val="00A31C11"/>
    <w:rsid w:val="00A31DA7"/>
    <w:rsid w:val="00A31E1B"/>
    <w:rsid w:val="00A31E35"/>
    <w:rsid w:val="00A32149"/>
    <w:rsid w:val="00A3219C"/>
    <w:rsid w:val="00A322BB"/>
    <w:rsid w:val="00A3234D"/>
    <w:rsid w:val="00A32488"/>
    <w:rsid w:val="00A3251D"/>
    <w:rsid w:val="00A32581"/>
    <w:rsid w:val="00A3258F"/>
    <w:rsid w:val="00A3273F"/>
    <w:rsid w:val="00A32D96"/>
    <w:rsid w:val="00A32F36"/>
    <w:rsid w:val="00A339FE"/>
    <w:rsid w:val="00A33C81"/>
    <w:rsid w:val="00A33DCA"/>
    <w:rsid w:val="00A33E60"/>
    <w:rsid w:val="00A33F50"/>
    <w:rsid w:val="00A3452A"/>
    <w:rsid w:val="00A35064"/>
    <w:rsid w:val="00A3517C"/>
    <w:rsid w:val="00A35208"/>
    <w:rsid w:val="00A355BC"/>
    <w:rsid w:val="00A355FD"/>
    <w:rsid w:val="00A3586E"/>
    <w:rsid w:val="00A35A24"/>
    <w:rsid w:val="00A35AC5"/>
    <w:rsid w:val="00A35E3F"/>
    <w:rsid w:val="00A36394"/>
    <w:rsid w:val="00A3652C"/>
    <w:rsid w:val="00A369F2"/>
    <w:rsid w:val="00A37389"/>
    <w:rsid w:val="00A375C4"/>
    <w:rsid w:val="00A37600"/>
    <w:rsid w:val="00A3760C"/>
    <w:rsid w:val="00A37838"/>
    <w:rsid w:val="00A37919"/>
    <w:rsid w:val="00A40038"/>
    <w:rsid w:val="00A4024C"/>
    <w:rsid w:val="00A4036C"/>
    <w:rsid w:val="00A40646"/>
    <w:rsid w:val="00A40714"/>
    <w:rsid w:val="00A408D2"/>
    <w:rsid w:val="00A40CBE"/>
    <w:rsid w:val="00A40D07"/>
    <w:rsid w:val="00A40DD3"/>
    <w:rsid w:val="00A41283"/>
    <w:rsid w:val="00A41586"/>
    <w:rsid w:val="00A4186B"/>
    <w:rsid w:val="00A42104"/>
    <w:rsid w:val="00A4228B"/>
    <w:rsid w:val="00A425BB"/>
    <w:rsid w:val="00A42A1E"/>
    <w:rsid w:val="00A42A76"/>
    <w:rsid w:val="00A42B81"/>
    <w:rsid w:val="00A42F2F"/>
    <w:rsid w:val="00A42FCB"/>
    <w:rsid w:val="00A4305F"/>
    <w:rsid w:val="00A4394C"/>
    <w:rsid w:val="00A43B34"/>
    <w:rsid w:val="00A43B68"/>
    <w:rsid w:val="00A43B73"/>
    <w:rsid w:val="00A43D5E"/>
    <w:rsid w:val="00A43F3D"/>
    <w:rsid w:val="00A44198"/>
    <w:rsid w:val="00A44547"/>
    <w:rsid w:val="00A44862"/>
    <w:rsid w:val="00A44EFA"/>
    <w:rsid w:val="00A45465"/>
    <w:rsid w:val="00A45A52"/>
    <w:rsid w:val="00A45EAD"/>
    <w:rsid w:val="00A45ECF"/>
    <w:rsid w:val="00A46636"/>
    <w:rsid w:val="00A466BF"/>
    <w:rsid w:val="00A466C3"/>
    <w:rsid w:val="00A4681E"/>
    <w:rsid w:val="00A46871"/>
    <w:rsid w:val="00A46ACC"/>
    <w:rsid w:val="00A47194"/>
    <w:rsid w:val="00A474F9"/>
    <w:rsid w:val="00A479F7"/>
    <w:rsid w:val="00A47A36"/>
    <w:rsid w:val="00A47A45"/>
    <w:rsid w:val="00A47AA0"/>
    <w:rsid w:val="00A502A9"/>
    <w:rsid w:val="00A50B4B"/>
    <w:rsid w:val="00A50B96"/>
    <w:rsid w:val="00A50CDB"/>
    <w:rsid w:val="00A50D1F"/>
    <w:rsid w:val="00A5124E"/>
    <w:rsid w:val="00A514DD"/>
    <w:rsid w:val="00A516B1"/>
    <w:rsid w:val="00A518C0"/>
    <w:rsid w:val="00A519E0"/>
    <w:rsid w:val="00A51D26"/>
    <w:rsid w:val="00A51FE1"/>
    <w:rsid w:val="00A52091"/>
    <w:rsid w:val="00A52158"/>
    <w:rsid w:val="00A527BB"/>
    <w:rsid w:val="00A527F0"/>
    <w:rsid w:val="00A5295F"/>
    <w:rsid w:val="00A529B3"/>
    <w:rsid w:val="00A529FA"/>
    <w:rsid w:val="00A52E72"/>
    <w:rsid w:val="00A53853"/>
    <w:rsid w:val="00A53DA1"/>
    <w:rsid w:val="00A53EDC"/>
    <w:rsid w:val="00A542A3"/>
    <w:rsid w:val="00A548AB"/>
    <w:rsid w:val="00A54E7F"/>
    <w:rsid w:val="00A554B8"/>
    <w:rsid w:val="00A555F1"/>
    <w:rsid w:val="00A559C2"/>
    <w:rsid w:val="00A563AC"/>
    <w:rsid w:val="00A5659B"/>
    <w:rsid w:val="00A567B2"/>
    <w:rsid w:val="00A56D60"/>
    <w:rsid w:val="00A56DD5"/>
    <w:rsid w:val="00A56ED8"/>
    <w:rsid w:val="00A5782C"/>
    <w:rsid w:val="00A57EE5"/>
    <w:rsid w:val="00A57F03"/>
    <w:rsid w:val="00A57FC9"/>
    <w:rsid w:val="00A60E03"/>
    <w:rsid w:val="00A61949"/>
    <w:rsid w:val="00A6197E"/>
    <w:rsid w:val="00A61FED"/>
    <w:rsid w:val="00A6227F"/>
    <w:rsid w:val="00A622A5"/>
    <w:rsid w:val="00A623F4"/>
    <w:rsid w:val="00A6287F"/>
    <w:rsid w:val="00A62945"/>
    <w:rsid w:val="00A62F5C"/>
    <w:rsid w:val="00A62FB3"/>
    <w:rsid w:val="00A630C4"/>
    <w:rsid w:val="00A630D1"/>
    <w:rsid w:val="00A63191"/>
    <w:rsid w:val="00A63409"/>
    <w:rsid w:val="00A63F68"/>
    <w:rsid w:val="00A64580"/>
    <w:rsid w:val="00A648CD"/>
    <w:rsid w:val="00A64B04"/>
    <w:rsid w:val="00A64B48"/>
    <w:rsid w:val="00A64BE1"/>
    <w:rsid w:val="00A64D5B"/>
    <w:rsid w:val="00A64EDF"/>
    <w:rsid w:val="00A64F8F"/>
    <w:rsid w:val="00A651FE"/>
    <w:rsid w:val="00A65236"/>
    <w:rsid w:val="00A6569D"/>
    <w:rsid w:val="00A658C3"/>
    <w:rsid w:val="00A65926"/>
    <w:rsid w:val="00A659D8"/>
    <w:rsid w:val="00A65BFC"/>
    <w:rsid w:val="00A6601E"/>
    <w:rsid w:val="00A660F5"/>
    <w:rsid w:val="00A665C3"/>
    <w:rsid w:val="00A66643"/>
    <w:rsid w:val="00A666C1"/>
    <w:rsid w:val="00A6694E"/>
    <w:rsid w:val="00A66A2D"/>
    <w:rsid w:val="00A66C4D"/>
    <w:rsid w:val="00A66F7B"/>
    <w:rsid w:val="00A675C2"/>
    <w:rsid w:val="00A6769B"/>
    <w:rsid w:val="00A678F9"/>
    <w:rsid w:val="00A67977"/>
    <w:rsid w:val="00A67981"/>
    <w:rsid w:val="00A679B0"/>
    <w:rsid w:val="00A67CE9"/>
    <w:rsid w:val="00A67D20"/>
    <w:rsid w:val="00A67EE9"/>
    <w:rsid w:val="00A70349"/>
    <w:rsid w:val="00A70616"/>
    <w:rsid w:val="00A70688"/>
    <w:rsid w:val="00A70704"/>
    <w:rsid w:val="00A707BC"/>
    <w:rsid w:val="00A70883"/>
    <w:rsid w:val="00A709B4"/>
    <w:rsid w:val="00A71176"/>
    <w:rsid w:val="00A713C0"/>
    <w:rsid w:val="00A71582"/>
    <w:rsid w:val="00A718A9"/>
    <w:rsid w:val="00A71969"/>
    <w:rsid w:val="00A71B9D"/>
    <w:rsid w:val="00A71BA4"/>
    <w:rsid w:val="00A71F93"/>
    <w:rsid w:val="00A724BF"/>
    <w:rsid w:val="00A7287B"/>
    <w:rsid w:val="00A729E2"/>
    <w:rsid w:val="00A72D03"/>
    <w:rsid w:val="00A72D6C"/>
    <w:rsid w:val="00A72DEE"/>
    <w:rsid w:val="00A72F6A"/>
    <w:rsid w:val="00A7301C"/>
    <w:rsid w:val="00A73679"/>
    <w:rsid w:val="00A7373F"/>
    <w:rsid w:val="00A737BC"/>
    <w:rsid w:val="00A737CC"/>
    <w:rsid w:val="00A744CD"/>
    <w:rsid w:val="00A744EF"/>
    <w:rsid w:val="00A74558"/>
    <w:rsid w:val="00A74875"/>
    <w:rsid w:val="00A748AC"/>
    <w:rsid w:val="00A74B0D"/>
    <w:rsid w:val="00A74B98"/>
    <w:rsid w:val="00A74CEF"/>
    <w:rsid w:val="00A74E7C"/>
    <w:rsid w:val="00A75217"/>
    <w:rsid w:val="00A7543D"/>
    <w:rsid w:val="00A75586"/>
    <w:rsid w:val="00A756F1"/>
    <w:rsid w:val="00A7574A"/>
    <w:rsid w:val="00A75A45"/>
    <w:rsid w:val="00A75AEF"/>
    <w:rsid w:val="00A762C3"/>
    <w:rsid w:val="00A76471"/>
    <w:rsid w:val="00A76922"/>
    <w:rsid w:val="00A769C3"/>
    <w:rsid w:val="00A76D3C"/>
    <w:rsid w:val="00A77549"/>
    <w:rsid w:val="00A7773F"/>
    <w:rsid w:val="00A77BC9"/>
    <w:rsid w:val="00A800E3"/>
    <w:rsid w:val="00A80A52"/>
    <w:rsid w:val="00A80AC1"/>
    <w:rsid w:val="00A80BB4"/>
    <w:rsid w:val="00A80BD3"/>
    <w:rsid w:val="00A80D64"/>
    <w:rsid w:val="00A8108F"/>
    <w:rsid w:val="00A81120"/>
    <w:rsid w:val="00A81EB8"/>
    <w:rsid w:val="00A8223F"/>
    <w:rsid w:val="00A82375"/>
    <w:rsid w:val="00A8253C"/>
    <w:rsid w:val="00A82553"/>
    <w:rsid w:val="00A82B33"/>
    <w:rsid w:val="00A82D09"/>
    <w:rsid w:val="00A82FB6"/>
    <w:rsid w:val="00A8379D"/>
    <w:rsid w:val="00A83F24"/>
    <w:rsid w:val="00A841A3"/>
    <w:rsid w:val="00A84447"/>
    <w:rsid w:val="00A8485E"/>
    <w:rsid w:val="00A84991"/>
    <w:rsid w:val="00A84CAF"/>
    <w:rsid w:val="00A84D73"/>
    <w:rsid w:val="00A851B9"/>
    <w:rsid w:val="00A8578F"/>
    <w:rsid w:val="00A85A40"/>
    <w:rsid w:val="00A85D08"/>
    <w:rsid w:val="00A85DFC"/>
    <w:rsid w:val="00A862B1"/>
    <w:rsid w:val="00A86AF2"/>
    <w:rsid w:val="00A86B7C"/>
    <w:rsid w:val="00A87019"/>
    <w:rsid w:val="00A871D2"/>
    <w:rsid w:val="00A8747C"/>
    <w:rsid w:val="00A874C6"/>
    <w:rsid w:val="00A8769E"/>
    <w:rsid w:val="00A8772B"/>
    <w:rsid w:val="00A877AA"/>
    <w:rsid w:val="00A878A8"/>
    <w:rsid w:val="00A87981"/>
    <w:rsid w:val="00A87BE7"/>
    <w:rsid w:val="00A87CA5"/>
    <w:rsid w:val="00A87FC8"/>
    <w:rsid w:val="00A9044D"/>
    <w:rsid w:val="00A90BE8"/>
    <w:rsid w:val="00A90F18"/>
    <w:rsid w:val="00A90FAE"/>
    <w:rsid w:val="00A9101F"/>
    <w:rsid w:val="00A91169"/>
    <w:rsid w:val="00A914A0"/>
    <w:rsid w:val="00A914AE"/>
    <w:rsid w:val="00A915DD"/>
    <w:rsid w:val="00A915F1"/>
    <w:rsid w:val="00A917D7"/>
    <w:rsid w:val="00A917F3"/>
    <w:rsid w:val="00A91A7E"/>
    <w:rsid w:val="00A9223A"/>
    <w:rsid w:val="00A925BB"/>
    <w:rsid w:val="00A9288A"/>
    <w:rsid w:val="00A93992"/>
    <w:rsid w:val="00A93FC1"/>
    <w:rsid w:val="00A9416F"/>
    <w:rsid w:val="00A94694"/>
    <w:rsid w:val="00A948C2"/>
    <w:rsid w:val="00A94A7D"/>
    <w:rsid w:val="00A94BE9"/>
    <w:rsid w:val="00A94D9E"/>
    <w:rsid w:val="00A9517F"/>
    <w:rsid w:val="00A95970"/>
    <w:rsid w:val="00A959E1"/>
    <w:rsid w:val="00A95AB5"/>
    <w:rsid w:val="00A96499"/>
    <w:rsid w:val="00A964CB"/>
    <w:rsid w:val="00A965D3"/>
    <w:rsid w:val="00A967DD"/>
    <w:rsid w:val="00A96995"/>
    <w:rsid w:val="00A969FB"/>
    <w:rsid w:val="00A96B3D"/>
    <w:rsid w:val="00A96BDD"/>
    <w:rsid w:val="00A9715D"/>
    <w:rsid w:val="00A9746E"/>
    <w:rsid w:val="00A97654"/>
    <w:rsid w:val="00A97D73"/>
    <w:rsid w:val="00A97FF0"/>
    <w:rsid w:val="00AA0647"/>
    <w:rsid w:val="00AA079C"/>
    <w:rsid w:val="00AA0C8F"/>
    <w:rsid w:val="00AA0EFB"/>
    <w:rsid w:val="00AA16A1"/>
    <w:rsid w:val="00AA175B"/>
    <w:rsid w:val="00AA21DA"/>
    <w:rsid w:val="00AA2304"/>
    <w:rsid w:val="00AA2440"/>
    <w:rsid w:val="00AA268E"/>
    <w:rsid w:val="00AA2736"/>
    <w:rsid w:val="00AA2781"/>
    <w:rsid w:val="00AA27C7"/>
    <w:rsid w:val="00AA2E02"/>
    <w:rsid w:val="00AA2ED7"/>
    <w:rsid w:val="00AA2FE1"/>
    <w:rsid w:val="00AA34BF"/>
    <w:rsid w:val="00AA395E"/>
    <w:rsid w:val="00AA3D7F"/>
    <w:rsid w:val="00AA40E9"/>
    <w:rsid w:val="00AA45C5"/>
    <w:rsid w:val="00AA4731"/>
    <w:rsid w:val="00AA4B93"/>
    <w:rsid w:val="00AA4E86"/>
    <w:rsid w:val="00AA4FDB"/>
    <w:rsid w:val="00AA596B"/>
    <w:rsid w:val="00AA5CB4"/>
    <w:rsid w:val="00AA603D"/>
    <w:rsid w:val="00AA60C6"/>
    <w:rsid w:val="00AA61F4"/>
    <w:rsid w:val="00AA621D"/>
    <w:rsid w:val="00AA661F"/>
    <w:rsid w:val="00AA67F1"/>
    <w:rsid w:val="00AA693C"/>
    <w:rsid w:val="00AA693D"/>
    <w:rsid w:val="00AA6E72"/>
    <w:rsid w:val="00AA6E8A"/>
    <w:rsid w:val="00AA6FD7"/>
    <w:rsid w:val="00AB02CF"/>
    <w:rsid w:val="00AB088F"/>
    <w:rsid w:val="00AB0946"/>
    <w:rsid w:val="00AB0BE2"/>
    <w:rsid w:val="00AB0DC3"/>
    <w:rsid w:val="00AB0F10"/>
    <w:rsid w:val="00AB10C4"/>
    <w:rsid w:val="00AB12CC"/>
    <w:rsid w:val="00AB151B"/>
    <w:rsid w:val="00AB183C"/>
    <w:rsid w:val="00AB19C4"/>
    <w:rsid w:val="00AB1B0C"/>
    <w:rsid w:val="00AB2206"/>
    <w:rsid w:val="00AB2494"/>
    <w:rsid w:val="00AB25CE"/>
    <w:rsid w:val="00AB27A8"/>
    <w:rsid w:val="00AB33FF"/>
    <w:rsid w:val="00AB35E3"/>
    <w:rsid w:val="00AB36FE"/>
    <w:rsid w:val="00AB394D"/>
    <w:rsid w:val="00AB4159"/>
    <w:rsid w:val="00AB4169"/>
    <w:rsid w:val="00AB4221"/>
    <w:rsid w:val="00AB4262"/>
    <w:rsid w:val="00AB4318"/>
    <w:rsid w:val="00AB43A4"/>
    <w:rsid w:val="00AB4937"/>
    <w:rsid w:val="00AB4952"/>
    <w:rsid w:val="00AB4B24"/>
    <w:rsid w:val="00AB4B73"/>
    <w:rsid w:val="00AB4D81"/>
    <w:rsid w:val="00AB5357"/>
    <w:rsid w:val="00AB53AC"/>
    <w:rsid w:val="00AB54A8"/>
    <w:rsid w:val="00AB5D27"/>
    <w:rsid w:val="00AB605C"/>
    <w:rsid w:val="00AB60E9"/>
    <w:rsid w:val="00AB61C8"/>
    <w:rsid w:val="00AB628D"/>
    <w:rsid w:val="00AB6467"/>
    <w:rsid w:val="00AB6714"/>
    <w:rsid w:val="00AB696F"/>
    <w:rsid w:val="00AB6DDB"/>
    <w:rsid w:val="00AB7693"/>
    <w:rsid w:val="00AB7839"/>
    <w:rsid w:val="00AB78CE"/>
    <w:rsid w:val="00AB78FC"/>
    <w:rsid w:val="00AB7A71"/>
    <w:rsid w:val="00AC01B0"/>
    <w:rsid w:val="00AC02B0"/>
    <w:rsid w:val="00AC08E8"/>
    <w:rsid w:val="00AC0C23"/>
    <w:rsid w:val="00AC130D"/>
    <w:rsid w:val="00AC1620"/>
    <w:rsid w:val="00AC16DE"/>
    <w:rsid w:val="00AC1990"/>
    <w:rsid w:val="00AC1CDC"/>
    <w:rsid w:val="00AC1FDE"/>
    <w:rsid w:val="00AC2073"/>
    <w:rsid w:val="00AC2224"/>
    <w:rsid w:val="00AC23B6"/>
    <w:rsid w:val="00AC27EB"/>
    <w:rsid w:val="00AC281A"/>
    <w:rsid w:val="00AC2F66"/>
    <w:rsid w:val="00AC36A9"/>
    <w:rsid w:val="00AC3763"/>
    <w:rsid w:val="00AC3A5E"/>
    <w:rsid w:val="00AC3ED9"/>
    <w:rsid w:val="00AC3F97"/>
    <w:rsid w:val="00AC431D"/>
    <w:rsid w:val="00AC46A0"/>
    <w:rsid w:val="00AC4D29"/>
    <w:rsid w:val="00AC4D62"/>
    <w:rsid w:val="00AC4E99"/>
    <w:rsid w:val="00AC5201"/>
    <w:rsid w:val="00AC55BA"/>
    <w:rsid w:val="00AC5AEA"/>
    <w:rsid w:val="00AC5DD6"/>
    <w:rsid w:val="00AC6153"/>
    <w:rsid w:val="00AC61FB"/>
    <w:rsid w:val="00AC63AD"/>
    <w:rsid w:val="00AC6648"/>
    <w:rsid w:val="00AC6C7C"/>
    <w:rsid w:val="00AC6CB5"/>
    <w:rsid w:val="00AC7675"/>
    <w:rsid w:val="00AC7FC0"/>
    <w:rsid w:val="00AC7FDE"/>
    <w:rsid w:val="00AD057D"/>
    <w:rsid w:val="00AD06CF"/>
    <w:rsid w:val="00AD09A5"/>
    <w:rsid w:val="00AD0A72"/>
    <w:rsid w:val="00AD1003"/>
    <w:rsid w:val="00AD11EC"/>
    <w:rsid w:val="00AD13D7"/>
    <w:rsid w:val="00AD144A"/>
    <w:rsid w:val="00AD1461"/>
    <w:rsid w:val="00AD17CB"/>
    <w:rsid w:val="00AD18B3"/>
    <w:rsid w:val="00AD20E2"/>
    <w:rsid w:val="00AD21B7"/>
    <w:rsid w:val="00AD2251"/>
    <w:rsid w:val="00AD24A9"/>
    <w:rsid w:val="00AD2AB7"/>
    <w:rsid w:val="00AD2B42"/>
    <w:rsid w:val="00AD300C"/>
    <w:rsid w:val="00AD3147"/>
    <w:rsid w:val="00AD3287"/>
    <w:rsid w:val="00AD33E7"/>
    <w:rsid w:val="00AD343D"/>
    <w:rsid w:val="00AD38A7"/>
    <w:rsid w:val="00AD3CAB"/>
    <w:rsid w:val="00AD3E5B"/>
    <w:rsid w:val="00AD476F"/>
    <w:rsid w:val="00AD4A76"/>
    <w:rsid w:val="00AD4B88"/>
    <w:rsid w:val="00AD4CA7"/>
    <w:rsid w:val="00AD4FA5"/>
    <w:rsid w:val="00AD4FFA"/>
    <w:rsid w:val="00AD55EE"/>
    <w:rsid w:val="00AD5793"/>
    <w:rsid w:val="00AD59B1"/>
    <w:rsid w:val="00AD5B3B"/>
    <w:rsid w:val="00AD5C29"/>
    <w:rsid w:val="00AD5C41"/>
    <w:rsid w:val="00AD5CE7"/>
    <w:rsid w:val="00AD5D5C"/>
    <w:rsid w:val="00AD63AB"/>
    <w:rsid w:val="00AD669D"/>
    <w:rsid w:val="00AD66D1"/>
    <w:rsid w:val="00AD672A"/>
    <w:rsid w:val="00AD6F98"/>
    <w:rsid w:val="00AD7113"/>
    <w:rsid w:val="00AD712B"/>
    <w:rsid w:val="00AD7425"/>
    <w:rsid w:val="00AD74F4"/>
    <w:rsid w:val="00AD753D"/>
    <w:rsid w:val="00AD7576"/>
    <w:rsid w:val="00AD7F82"/>
    <w:rsid w:val="00AE001C"/>
    <w:rsid w:val="00AE0466"/>
    <w:rsid w:val="00AE0885"/>
    <w:rsid w:val="00AE0986"/>
    <w:rsid w:val="00AE0C69"/>
    <w:rsid w:val="00AE0CB3"/>
    <w:rsid w:val="00AE0CDC"/>
    <w:rsid w:val="00AE0D7C"/>
    <w:rsid w:val="00AE101B"/>
    <w:rsid w:val="00AE1033"/>
    <w:rsid w:val="00AE1201"/>
    <w:rsid w:val="00AE1235"/>
    <w:rsid w:val="00AE139A"/>
    <w:rsid w:val="00AE1544"/>
    <w:rsid w:val="00AE15E8"/>
    <w:rsid w:val="00AE23C8"/>
    <w:rsid w:val="00AE2684"/>
    <w:rsid w:val="00AE3007"/>
    <w:rsid w:val="00AE308E"/>
    <w:rsid w:val="00AE31F8"/>
    <w:rsid w:val="00AE36B7"/>
    <w:rsid w:val="00AE37F6"/>
    <w:rsid w:val="00AE3C5B"/>
    <w:rsid w:val="00AE3D3C"/>
    <w:rsid w:val="00AE4084"/>
    <w:rsid w:val="00AE4455"/>
    <w:rsid w:val="00AE46E0"/>
    <w:rsid w:val="00AE47D4"/>
    <w:rsid w:val="00AE51D0"/>
    <w:rsid w:val="00AE5448"/>
    <w:rsid w:val="00AE54EE"/>
    <w:rsid w:val="00AE5894"/>
    <w:rsid w:val="00AE5E47"/>
    <w:rsid w:val="00AE5F1C"/>
    <w:rsid w:val="00AE63CF"/>
    <w:rsid w:val="00AE6798"/>
    <w:rsid w:val="00AE680A"/>
    <w:rsid w:val="00AE6C3B"/>
    <w:rsid w:val="00AE7230"/>
    <w:rsid w:val="00AE7284"/>
    <w:rsid w:val="00AE733A"/>
    <w:rsid w:val="00AE734C"/>
    <w:rsid w:val="00AE7443"/>
    <w:rsid w:val="00AE7525"/>
    <w:rsid w:val="00AE7732"/>
    <w:rsid w:val="00AE7B7C"/>
    <w:rsid w:val="00AE7FC7"/>
    <w:rsid w:val="00AF00EB"/>
    <w:rsid w:val="00AF013A"/>
    <w:rsid w:val="00AF0355"/>
    <w:rsid w:val="00AF07E8"/>
    <w:rsid w:val="00AF0A3B"/>
    <w:rsid w:val="00AF1192"/>
    <w:rsid w:val="00AF122D"/>
    <w:rsid w:val="00AF12AE"/>
    <w:rsid w:val="00AF14FF"/>
    <w:rsid w:val="00AF1571"/>
    <w:rsid w:val="00AF1942"/>
    <w:rsid w:val="00AF1A0C"/>
    <w:rsid w:val="00AF1AB0"/>
    <w:rsid w:val="00AF1AE3"/>
    <w:rsid w:val="00AF1B60"/>
    <w:rsid w:val="00AF1CA0"/>
    <w:rsid w:val="00AF2175"/>
    <w:rsid w:val="00AF2430"/>
    <w:rsid w:val="00AF2433"/>
    <w:rsid w:val="00AF247F"/>
    <w:rsid w:val="00AF2687"/>
    <w:rsid w:val="00AF26D9"/>
    <w:rsid w:val="00AF2AE9"/>
    <w:rsid w:val="00AF2F25"/>
    <w:rsid w:val="00AF3204"/>
    <w:rsid w:val="00AF370A"/>
    <w:rsid w:val="00AF378E"/>
    <w:rsid w:val="00AF38AE"/>
    <w:rsid w:val="00AF3AA5"/>
    <w:rsid w:val="00AF3CE0"/>
    <w:rsid w:val="00AF3D97"/>
    <w:rsid w:val="00AF3F14"/>
    <w:rsid w:val="00AF3F42"/>
    <w:rsid w:val="00AF3FAD"/>
    <w:rsid w:val="00AF40AC"/>
    <w:rsid w:val="00AF4322"/>
    <w:rsid w:val="00AF4358"/>
    <w:rsid w:val="00AF45A9"/>
    <w:rsid w:val="00AF4A38"/>
    <w:rsid w:val="00AF4AB4"/>
    <w:rsid w:val="00AF4D8C"/>
    <w:rsid w:val="00AF5021"/>
    <w:rsid w:val="00AF55C6"/>
    <w:rsid w:val="00AF5AE6"/>
    <w:rsid w:val="00AF5D25"/>
    <w:rsid w:val="00AF6754"/>
    <w:rsid w:val="00AF69A1"/>
    <w:rsid w:val="00AF6FB7"/>
    <w:rsid w:val="00AF733C"/>
    <w:rsid w:val="00AF7482"/>
    <w:rsid w:val="00AF78B3"/>
    <w:rsid w:val="00AF78C2"/>
    <w:rsid w:val="00AF7D6C"/>
    <w:rsid w:val="00B001B0"/>
    <w:rsid w:val="00B001D5"/>
    <w:rsid w:val="00B0067F"/>
    <w:rsid w:val="00B00A0F"/>
    <w:rsid w:val="00B00A3F"/>
    <w:rsid w:val="00B010C6"/>
    <w:rsid w:val="00B01199"/>
    <w:rsid w:val="00B0198D"/>
    <w:rsid w:val="00B019F3"/>
    <w:rsid w:val="00B01E31"/>
    <w:rsid w:val="00B0270C"/>
    <w:rsid w:val="00B02842"/>
    <w:rsid w:val="00B02A20"/>
    <w:rsid w:val="00B02A35"/>
    <w:rsid w:val="00B02B89"/>
    <w:rsid w:val="00B02D60"/>
    <w:rsid w:val="00B02DB1"/>
    <w:rsid w:val="00B02FAC"/>
    <w:rsid w:val="00B03360"/>
    <w:rsid w:val="00B0344E"/>
    <w:rsid w:val="00B03592"/>
    <w:rsid w:val="00B038F2"/>
    <w:rsid w:val="00B03B71"/>
    <w:rsid w:val="00B03DE8"/>
    <w:rsid w:val="00B04047"/>
    <w:rsid w:val="00B0437E"/>
    <w:rsid w:val="00B044D9"/>
    <w:rsid w:val="00B04669"/>
    <w:rsid w:val="00B0468D"/>
    <w:rsid w:val="00B04BD0"/>
    <w:rsid w:val="00B04F0F"/>
    <w:rsid w:val="00B04F3D"/>
    <w:rsid w:val="00B0516F"/>
    <w:rsid w:val="00B051F6"/>
    <w:rsid w:val="00B0524A"/>
    <w:rsid w:val="00B05280"/>
    <w:rsid w:val="00B052AB"/>
    <w:rsid w:val="00B055AA"/>
    <w:rsid w:val="00B0571C"/>
    <w:rsid w:val="00B057A6"/>
    <w:rsid w:val="00B057D5"/>
    <w:rsid w:val="00B05836"/>
    <w:rsid w:val="00B0585D"/>
    <w:rsid w:val="00B060F6"/>
    <w:rsid w:val="00B062F2"/>
    <w:rsid w:val="00B0668D"/>
    <w:rsid w:val="00B06691"/>
    <w:rsid w:val="00B068FE"/>
    <w:rsid w:val="00B06B1D"/>
    <w:rsid w:val="00B06E53"/>
    <w:rsid w:val="00B06F2E"/>
    <w:rsid w:val="00B07323"/>
    <w:rsid w:val="00B07342"/>
    <w:rsid w:val="00B074BA"/>
    <w:rsid w:val="00B07553"/>
    <w:rsid w:val="00B07E2E"/>
    <w:rsid w:val="00B1043E"/>
    <w:rsid w:val="00B10A23"/>
    <w:rsid w:val="00B11183"/>
    <w:rsid w:val="00B116CE"/>
    <w:rsid w:val="00B11803"/>
    <w:rsid w:val="00B11944"/>
    <w:rsid w:val="00B11F71"/>
    <w:rsid w:val="00B12040"/>
    <w:rsid w:val="00B1211D"/>
    <w:rsid w:val="00B122A6"/>
    <w:rsid w:val="00B12643"/>
    <w:rsid w:val="00B13211"/>
    <w:rsid w:val="00B1324D"/>
    <w:rsid w:val="00B13805"/>
    <w:rsid w:val="00B139B3"/>
    <w:rsid w:val="00B13F44"/>
    <w:rsid w:val="00B141A4"/>
    <w:rsid w:val="00B144EA"/>
    <w:rsid w:val="00B14C26"/>
    <w:rsid w:val="00B14C7C"/>
    <w:rsid w:val="00B15705"/>
    <w:rsid w:val="00B1634F"/>
    <w:rsid w:val="00B1657E"/>
    <w:rsid w:val="00B1702A"/>
    <w:rsid w:val="00B17337"/>
    <w:rsid w:val="00B17876"/>
    <w:rsid w:val="00B17AAF"/>
    <w:rsid w:val="00B200F9"/>
    <w:rsid w:val="00B201B6"/>
    <w:rsid w:val="00B20910"/>
    <w:rsid w:val="00B20B7D"/>
    <w:rsid w:val="00B20C82"/>
    <w:rsid w:val="00B2124B"/>
    <w:rsid w:val="00B2126C"/>
    <w:rsid w:val="00B215A7"/>
    <w:rsid w:val="00B216E3"/>
    <w:rsid w:val="00B21700"/>
    <w:rsid w:val="00B2171E"/>
    <w:rsid w:val="00B21835"/>
    <w:rsid w:val="00B21D9F"/>
    <w:rsid w:val="00B2217E"/>
    <w:rsid w:val="00B222A0"/>
    <w:rsid w:val="00B228E2"/>
    <w:rsid w:val="00B23491"/>
    <w:rsid w:val="00B240B4"/>
    <w:rsid w:val="00B2413F"/>
    <w:rsid w:val="00B24317"/>
    <w:rsid w:val="00B24DFA"/>
    <w:rsid w:val="00B24FCE"/>
    <w:rsid w:val="00B2517D"/>
    <w:rsid w:val="00B258DC"/>
    <w:rsid w:val="00B259E8"/>
    <w:rsid w:val="00B25A6B"/>
    <w:rsid w:val="00B25CC1"/>
    <w:rsid w:val="00B25D47"/>
    <w:rsid w:val="00B25D64"/>
    <w:rsid w:val="00B267E2"/>
    <w:rsid w:val="00B26919"/>
    <w:rsid w:val="00B26CB8"/>
    <w:rsid w:val="00B27196"/>
    <w:rsid w:val="00B27517"/>
    <w:rsid w:val="00B27C40"/>
    <w:rsid w:val="00B27D50"/>
    <w:rsid w:val="00B27ED5"/>
    <w:rsid w:val="00B301B5"/>
    <w:rsid w:val="00B304E3"/>
    <w:rsid w:val="00B30ADF"/>
    <w:rsid w:val="00B30D89"/>
    <w:rsid w:val="00B30F0F"/>
    <w:rsid w:val="00B3110C"/>
    <w:rsid w:val="00B31501"/>
    <w:rsid w:val="00B31511"/>
    <w:rsid w:val="00B31D94"/>
    <w:rsid w:val="00B32287"/>
    <w:rsid w:val="00B32851"/>
    <w:rsid w:val="00B328F2"/>
    <w:rsid w:val="00B32AF1"/>
    <w:rsid w:val="00B32CD1"/>
    <w:rsid w:val="00B32E51"/>
    <w:rsid w:val="00B3324C"/>
    <w:rsid w:val="00B33A47"/>
    <w:rsid w:val="00B33C3C"/>
    <w:rsid w:val="00B33DB8"/>
    <w:rsid w:val="00B33F9E"/>
    <w:rsid w:val="00B34095"/>
    <w:rsid w:val="00B340CA"/>
    <w:rsid w:val="00B341AA"/>
    <w:rsid w:val="00B34321"/>
    <w:rsid w:val="00B34464"/>
    <w:rsid w:val="00B344FE"/>
    <w:rsid w:val="00B34A04"/>
    <w:rsid w:val="00B34A6E"/>
    <w:rsid w:val="00B34CF5"/>
    <w:rsid w:val="00B34DD8"/>
    <w:rsid w:val="00B34F12"/>
    <w:rsid w:val="00B351DA"/>
    <w:rsid w:val="00B35975"/>
    <w:rsid w:val="00B36313"/>
    <w:rsid w:val="00B364C8"/>
    <w:rsid w:val="00B3654C"/>
    <w:rsid w:val="00B36DA5"/>
    <w:rsid w:val="00B37321"/>
    <w:rsid w:val="00B376CF"/>
    <w:rsid w:val="00B377A5"/>
    <w:rsid w:val="00B37DDC"/>
    <w:rsid w:val="00B4010C"/>
    <w:rsid w:val="00B4013D"/>
    <w:rsid w:val="00B40155"/>
    <w:rsid w:val="00B403C5"/>
    <w:rsid w:val="00B409C0"/>
    <w:rsid w:val="00B40A63"/>
    <w:rsid w:val="00B40E5A"/>
    <w:rsid w:val="00B41128"/>
    <w:rsid w:val="00B4114D"/>
    <w:rsid w:val="00B4173A"/>
    <w:rsid w:val="00B4181D"/>
    <w:rsid w:val="00B4182F"/>
    <w:rsid w:val="00B41EFF"/>
    <w:rsid w:val="00B41F74"/>
    <w:rsid w:val="00B423DD"/>
    <w:rsid w:val="00B42997"/>
    <w:rsid w:val="00B42999"/>
    <w:rsid w:val="00B42C3D"/>
    <w:rsid w:val="00B42D06"/>
    <w:rsid w:val="00B430E9"/>
    <w:rsid w:val="00B43614"/>
    <w:rsid w:val="00B43CFA"/>
    <w:rsid w:val="00B43E6E"/>
    <w:rsid w:val="00B43FFB"/>
    <w:rsid w:val="00B44086"/>
    <w:rsid w:val="00B44497"/>
    <w:rsid w:val="00B444D2"/>
    <w:rsid w:val="00B44894"/>
    <w:rsid w:val="00B44A78"/>
    <w:rsid w:val="00B44A92"/>
    <w:rsid w:val="00B44AEC"/>
    <w:rsid w:val="00B44B39"/>
    <w:rsid w:val="00B44D7A"/>
    <w:rsid w:val="00B4594C"/>
    <w:rsid w:val="00B45F86"/>
    <w:rsid w:val="00B46242"/>
    <w:rsid w:val="00B46516"/>
    <w:rsid w:val="00B4658F"/>
    <w:rsid w:val="00B466B0"/>
    <w:rsid w:val="00B46937"/>
    <w:rsid w:val="00B46C8A"/>
    <w:rsid w:val="00B4715D"/>
    <w:rsid w:val="00B47517"/>
    <w:rsid w:val="00B4771A"/>
    <w:rsid w:val="00B47777"/>
    <w:rsid w:val="00B4786E"/>
    <w:rsid w:val="00B50112"/>
    <w:rsid w:val="00B5026F"/>
    <w:rsid w:val="00B50763"/>
    <w:rsid w:val="00B507F5"/>
    <w:rsid w:val="00B50D34"/>
    <w:rsid w:val="00B5119F"/>
    <w:rsid w:val="00B51B4F"/>
    <w:rsid w:val="00B522AF"/>
    <w:rsid w:val="00B526DC"/>
    <w:rsid w:val="00B52730"/>
    <w:rsid w:val="00B52D47"/>
    <w:rsid w:val="00B534F1"/>
    <w:rsid w:val="00B53695"/>
    <w:rsid w:val="00B537F8"/>
    <w:rsid w:val="00B53B79"/>
    <w:rsid w:val="00B53BED"/>
    <w:rsid w:val="00B53CED"/>
    <w:rsid w:val="00B53E7F"/>
    <w:rsid w:val="00B54029"/>
    <w:rsid w:val="00B54E9B"/>
    <w:rsid w:val="00B5518B"/>
    <w:rsid w:val="00B551B1"/>
    <w:rsid w:val="00B5553B"/>
    <w:rsid w:val="00B55711"/>
    <w:rsid w:val="00B55B46"/>
    <w:rsid w:val="00B55D74"/>
    <w:rsid w:val="00B561D7"/>
    <w:rsid w:val="00B563DF"/>
    <w:rsid w:val="00B56675"/>
    <w:rsid w:val="00B566CE"/>
    <w:rsid w:val="00B568F9"/>
    <w:rsid w:val="00B56C92"/>
    <w:rsid w:val="00B56D9D"/>
    <w:rsid w:val="00B56F5A"/>
    <w:rsid w:val="00B5731C"/>
    <w:rsid w:val="00B575BF"/>
    <w:rsid w:val="00B575D9"/>
    <w:rsid w:val="00B5765D"/>
    <w:rsid w:val="00B576B5"/>
    <w:rsid w:val="00B576C7"/>
    <w:rsid w:val="00B57A7E"/>
    <w:rsid w:val="00B57BBB"/>
    <w:rsid w:val="00B57C9B"/>
    <w:rsid w:val="00B57FAB"/>
    <w:rsid w:val="00B605F5"/>
    <w:rsid w:val="00B60758"/>
    <w:rsid w:val="00B607CB"/>
    <w:rsid w:val="00B60983"/>
    <w:rsid w:val="00B609B8"/>
    <w:rsid w:val="00B611E3"/>
    <w:rsid w:val="00B614EA"/>
    <w:rsid w:val="00B61622"/>
    <w:rsid w:val="00B6168A"/>
    <w:rsid w:val="00B6172E"/>
    <w:rsid w:val="00B61EAA"/>
    <w:rsid w:val="00B62018"/>
    <w:rsid w:val="00B620A3"/>
    <w:rsid w:val="00B6247B"/>
    <w:rsid w:val="00B625C6"/>
    <w:rsid w:val="00B62E19"/>
    <w:rsid w:val="00B62E36"/>
    <w:rsid w:val="00B630F0"/>
    <w:rsid w:val="00B63349"/>
    <w:rsid w:val="00B639C8"/>
    <w:rsid w:val="00B63C06"/>
    <w:rsid w:val="00B63D02"/>
    <w:rsid w:val="00B63ED6"/>
    <w:rsid w:val="00B640AF"/>
    <w:rsid w:val="00B64153"/>
    <w:rsid w:val="00B645A0"/>
    <w:rsid w:val="00B645E6"/>
    <w:rsid w:val="00B645EA"/>
    <w:rsid w:val="00B64BE2"/>
    <w:rsid w:val="00B64EB0"/>
    <w:rsid w:val="00B6504D"/>
    <w:rsid w:val="00B656BE"/>
    <w:rsid w:val="00B658A0"/>
    <w:rsid w:val="00B65BE2"/>
    <w:rsid w:val="00B65C58"/>
    <w:rsid w:val="00B6612E"/>
    <w:rsid w:val="00B663D3"/>
    <w:rsid w:val="00B67996"/>
    <w:rsid w:val="00B67C2C"/>
    <w:rsid w:val="00B67F79"/>
    <w:rsid w:val="00B70045"/>
    <w:rsid w:val="00B70538"/>
    <w:rsid w:val="00B7054C"/>
    <w:rsid w:val="00B705EB"/>
    <w:rsid w:val="00B7063F"/>
    <w:rsid w:val="00B7095D"/>
    <w:rsid w:val="00B70DC2"/>
    <w:rsid w:val="00B70ED7"/>
    <w:rsid w:val="00B71486"/>
    <w:rsid w:val="00B71661"/>
    <w:rsid w:val="00B71D32"/>
    <w:rsid w:val="00B734F0"/>
    <w:rsid w:val="00B735ED"/>
    <w:rsid w:val="00B73771"/>
    <w:rsid w:val="00B737B6"/>
    <w:rsid w:val="00B73CA1"/>
    <w:rsid w:val="00B73DF5"/>
    <w:rsid w:val="00B740DF"/>
    <w:rsid w:val="00B74267"/>
    <w:rsid w:val="00B7433C"/>
    <w:rsid w:val="00B74427"/>
    <w:rsid w:val="00B7457B"/>
    <w:rsid w:val="00B74649"/>
    <w:rsid w:val="00B7482B"/>
    <w:rsid w:val="00B7489C"/>
    <w:rsid w:val="00B74EC2"/>
    <w:rsid w:val="00B7549E"/>
    <w:rsid w:val="00B757D3"/>
    <w:rsid w:val="00B75869"/>
    <w:rsid w:val="00B758E9"/>
    <w:rsid w:val="00B75C48"/>
    <w:rsid w:val="00B76110"/>
    <w:rsid w:val="00B76501"/>
    <w:rsid w:val="00B7668B"/>
    <w:rsid w:val="00B76AD6"/>
    <w:rsid w:val="00B76B3F"/>
    <w:rsid w:val="00B76F9C"/>
    <w:rsid w:val="00B7701E"/>
    <w:rsid w:val="00B77192"/>
    <w:rsid w:val="00B77320"/>
    <w:rsid w:val="00B77419"/>
    <w:rsid w:val="00B7754E"/>
    <w:rsid w:val="00B77606"/>
    <w:rsid w:val="00B778FD"/>
    <w:rsid w:val="00B77AAD"/>
    <w:rsid w:val="00B77B54"/>
    <w:rsid w:val="00B77BEE"/>
    <w:rsid w:val="00B77BF1"/>
    <w:rsid w:val="00B77D56"/>
    <w:rsid w:val="00B77DFC"/>
    <w:rsid w:val="00B77F5F"/>
    <w:rsid w:val="00B80149"/>
    <w:rsid w:val="00B80208"/>
    <w:rsid w:val="00B80749"/>
    <w:rsid w:val="00B8110E"/>
    <w:rsid w:val="00B81146"/>
    <w:rsid w:val="00B81180"/>
    <w:rsid w:val="00B81415"/>
    <w:rsid w:val="00B8155D"/>
    <w:rsid w:val="00B8163D"/>
    <w:rsid w:val="00B81877"/>
    <w:rsid w:val="00B818CE"/>
    <w:rsid w:val="00B819D1"/>
    <w:rsid w:val="00B81B1A"/>
    <w:rsid w:val="00B81DA3"/>
    <w:rsid w:val="00B81DD8"/>
    <w:rsid w:val="00B82365"/>
    <w:rsid w:val="00B823CB"/>
    <w:rsid w:val="00B8258D"/>
    <w:rsid w:val="00B82632"/>
    <w:rsid w:val="00B8292D"/>
    <w:rsid w:val="00B82AA9"/>
    <w:rsid w:val="00B82B9A"/>
    <w:rsid w:val="00B82EE2"/>
    <w:rsid w:val="00B8304F"/>
    <w:rsid w:val="00B83380"/>
    <w:rsid w:val="00B8378A"/>
    <w:rsid w:val="00B83AEA"/>
    <w:rsid w:val="00B84491"/>
    <w:rsid w:val="00B8472D"/>
    <w:rsid w:val="00B8575D"/>
    <w:rsid w:val="00B8590F"/>
    <w:rsid w:val="00B85B33"/>
    <w:rsid w:val="00B85F4F"/>
    <w:rsid w:val="00B860BA"/>
    <w:rsid w:val="00B860D7"/>
    <w:rsid w:val="00B8616E"/>
    <w:rsid w:val="00B86241"/>
    <w:rsid w:val="00B8628A"/>
    <w:rsid w:val="00B866A3"/>
    <w:rsid w:val="00B867C8"/>
    <w:rsid w:val="00B86888"/>
    <w:rsid w:val="00B868C3"/>
    <w:rsid w:val="00B86B18"/>
    <w:rsid w:val="00B86B8A"/>
    <w:rsid w:val="00B86E08"/>
    <w:rsid w:val="00B86F23"/>
    <w:rsid w:val="00B87046"/>
    <w:rsid w:val="00B8705B"/>
    <w:rsid w:val="00B8740C"/>
    <w:rsid w:val="00B87CD4"/>
    <w:rsid w:val="00B87CFF"/>
    <w:rsid w:val="00B90174"/>
    <w:rsid w:val="00B902A9"/>
    <w:rsid w:val="00B9059F"/>
    <w:rsid w:val="00B907D6"/>
    <w:rsid w:val="00B908E8"/>
    <w:rsid w:val="00B90B40"/>
    <w:rsid w:val="00B90C24"/>
    <w:rsid w:val="00B91569"/>
    <w:rsid w:val="00B9197B"/>
    <w:rsid w:val="00B91FDF"/>
    <w:rsid w:val="00B92145"/>
    <w:rsid w:val="00B921D3"/>
    <w:rsid w:val="00B92247"/>
    <w:rsid w:val="00B92332"/>
    <w:rsid w:val="00B9238E"/>
    <w:rsid w:val="00B92391"/>
    <w:rsid w:val="00B924B8"/>
    <w:rsid w:val="00B92A21"/>
    <w:rsid w:val="00B92AA5"/>
    <w:rsid w:val="00B92F00"/>
    <w:rsid w:val="00B92F20"/>
    <w:rsid w:val="00B92F35"/>
    <w:rsid w:val="00B937A6"/>
    <w:rsid w:val="00B93B11"/>
    <w:rsid w:val="00B93BAF"/>
    <w:rsid w:val="00B9435C"/>
    <w:rsid w:val="00B94414"/>
    <w:rsid w:val="00B944FC"/>
    <w:rsid w:val="00B946EC"/>
    <w:rsid w:val="00B9481B"/>
    <w:rsid w:val="00B94B6D"/>
    <w:rsid w:val="00B94E54"/>
    <w:rsid w:val="00B956CD"/>
    <w:rsid w:val="00B958DB"/>
    <w:rsid w:val="00B95FA5"/>
    <w:rsid w:val="00B962D7"/>
    <w:rsid w:val="00B96709"/>
    <w:rsid w:val="00B9680F"/>
    <w:rsid w:val="00B9686B"/>
    <w:rsid w:val="00B96D3E"/>
    <w:rsid w:val="00B97296"/>
    <w:rsid w:val="00B9729A"/>
    <w:rsid w:val="00B972E6"/>
    <w:rsid w:val="00B97339"/>
    <w:rsid w:val="00B9748C"/>
    <w:rsid w:val="00B9781F"/>
    <w:rsid w:val="00B9786E"/>
    <w:rsid w:val="00B97CA2"/>
    <w:rsid w:val="00BA02A5"/>
    <w:rsid w:val="00BA02B7"/>
    <w:rsid w:val="00BA02E4"/>
    <w:rsid w:val="00BA02F7"/>
    <w:rsid w:val="00BA089B"/>
    <w:rsid w:val="00BA0A0C"/>
    <w:rsid w:val="00BA0B3B"/>
    <w:rsid w:val="00BA0B78"/>
    <w:rsid w:val="00BA0DE6"/>
    <w:rsid w:val="00BA0E76"/>
    <w:rsid w:val="00BA10AB"/>
    <w:rsid w:val="00BA1348"/>
    <w:rsid w:val="00BA1628"/>
    <w:rsid w:val="00BA1B12"/>
    <w:rsid w:val="00BA1C6E"/>
    <w:rsid w:val="00BA2761"/>
    <w:rsid w:val="00BA2A6B"/>
    <w:rsid w:val="00BA2B0B"/>
    <w:rsid w:val="00BA2D91"/>
    <w:rsid w:val="00BA3242"/>
    <w:rsid w:val="00BA32CA"/>
    <w:rsid w:val="00BA357E"/>
    <w:rsid w:val="00BA367A"/>
    <w:rsid w:val="00BA39B8"/>
    <w:rsid w:val="00BA403B"/>
    <w:rsid w:val="00BA40BC"/>
    <w:rsid w:val="00BA41A4"/>
    <w:rsid w:val="00BA4564"/>
    <w:rsid w:val="00BA4D25"/>
    <w:rsid w:val="00BA4D9B"/>
    <w:rsid w:val="00BA51D3"/>
    <w:rsid w:val="00BA51E2"/>
    <w:rsid w:val="00BA5640"/>
    <w:rsid w:val="00BA57CB"/>
    <w:rsid w:val="00BA59F7"/>
    <w:rsid w:val="00BA5E98"/>
    <w:rsid w:val="00BA5F6F"/>
    <w:rsid w:val="00BA6073"/>
    <w:rsid w:val="00BA6109"/>
    <w:rsid w:val="00BA6150"/>
    <w:rsid w:val="00BA631F"/>
    <w:rsid w:val="00BA6A00"/>
    <w:rsid w:val="00BA6F90"/>
    <w:rsid w:val="00BA7113"/>
    <w:rsid w:val="00BA7296"/>
    <w:rsid w:val="00BA7520"/>
    <w:rsid w:val="00BA7D46"/>
    <w:rsid w:val="00BA7DC8"/>
    <w:rsid w:val="00BA7F65"/>
    <w:rsid w:val="00BB01CC"/>
    <w:rsid w:val="00BB051A"/>
    <w:rsid w:val="00BB05FE"/>
    <w:rsid w:val="00BB073E"/>
    <w:rsid w:val="00BB1001"/>
    <w:rsid w:val="00BB10DB"/>
    <w:rsid w:val="00BB1689"/>
    <w:rsid w:val="00BB1979"/>
    <w:rsid w:val="00BB1DCF"/>
    <w:rsid w:val="00BB2019"/>
    <w:rsid w:val="00BB217C"/>
    <w:rsid w:val="00BB2214"/>
    <w:rsid w:val="00BB25EE"/>
    <w:rsid w:val="00BB2933"/>
    <w:rsid w:val="00BB2BA6"/>
    <w:rsid w:val="00BB2E8A"/>
    <w:rsid w:val="00BB31BE"/>
    <w:rsid w:val="00BB31D6"/>
    <w:rsid w:val="00BB3302"/>
    <w:rsid w:val="00BB364E"/>
    <w:rsid w:val="00BB3777"/>
    <w:rsid w:val="00BB4340"/>
    <w:rsid w:val="00BB4797"/>
    <w:rsid w:val="00BB4C93"/>
    <w:rsid w:val="00BB4D48"/>
    <w:rsid w:val="00BB5023"/>
    <w:rsid w:val="00BB520A"/>
    <w:rsid w:val="00BB59F8"/>
    <w:rsid w:val="00BB5DA2"/>
    <w:rsid w:val="00BB60B2"/>
    <w:rsid w:val="00BB67E4"/>
    <w:rsid w:val="00BB67EF"/>
    <w:rsid w:val="00BB6C6B"/>
    <w:rsid w:val="00BB6F6C"/>
    <w:rsid w:val="00BB7031"/>
    <w:rsid w:val="00BB7241"/>
    <w:rsid w:val="00BB7901"/>
    <w:rsid w:val="00BB7AC3"/>
    <w:rsid w:val="00BB7DA2"/>
    <w:rsid w:val="00BC0105"/>
    <w:rsid w:val="00BC0394"/>
    <w:rsid w:val="00BC0720"/>
    <w:rsid w:val="00BC0C74"/>
    <w:rsid w:val="00BC0D89"/>
    <w:rsid w:val="00BC10B3"/>
    <w:rsid w:val="00BC10F3"/>
    <w:rsid w:val="00BC16AA"/>
    <w:rsid w:val="00BC16D4"/>
    <w:rsid w:val="00BC18A0"/>
    <w:rsid w:val="00BC1F7F"/>
    <w:rsid w:val="00BC2135"/>
    <w:rsid w:val="00BC2771"/>
    <w:rsid w:val="00BC27D6"/>
    <w:rsid w:val="00BC2890"/>
    <w:rsid w:val="00BC2D62"/>
    <w:rsid w:val="00BC2E12"/>
    <w:rsid w:val="00BC33A8"/>
    <w:rsid w:val="00BC39A4"/>
    <w:rsid w:val="00BC3ADF"/>
    <w:rsid w:val="00BC3CCB"/>
    <w:rsid w:val="00BC3DC4"/>
    <w:rsid w:val="00BC49E1"/>
    <w:rsid w:val="00BC4F89"/>
    <w:rsid w:val="00BC4FED"/>
    <w:rsid w:val="00BC555F"/>
    <w:rsid w:val="00BC5B3E"/>
    <w:rsid w:val="00BC5DB5"/>
    <w:rsid w:val="00BC6233"/>
    <w:rsid w:val="00BC625F"/>
    <w:rsid w:val="00BC636F"/>
    <w:rsid w:val="00BC67BF"/>
    <w:rsid w:val="00BC6830"/>
    <w:rsid w:val="00BC6A13"/>
    <w:rsid w:val="00BC6C9C"/>
    <w:rsid w:val="00BC6D01"/>
    <w:rsid w:val="00BC6DDA"/>
    <w:rsid w:val="00BC70D5"/>
    <w:rsid w:val="00BC723B"/>
    <w:rsid w:val="00BC73F9"/>
    <w:rsid w:val="00BC794D"/>
    <w:rsid w:val="00BC796D"/>
    <w:rsid w:val="00BC7C5F"/>
    <w:rsid w:val="00BC7DA5"/>
    <w:rsid w:val="00BD03C3"/>
    <w:rsid w:val="00BD0779"/>
    <w:rsid w:val="00BD0A42"/>
    <w:rsid w:val="00BD0D34"/>
    <w:rsid w:val="00BD0E15"/>
    <w:rsid w:val="00BD10A5"/>
    <w:rsid w:val="00BD119F"/>
    <w:rsid w:val="00BD130B"/>
    <w:rsid w:val="00BD14DC"/>
    <w:rsid w:val="00BD1699"/>
    <w:rsid w:val="00BD16F7"/>
    <w:rsid w:val="00BD1C11"/>
    <w:rsid w:val="00BD1E2D"/>
    <w:rsid w:val="00BD1E5D"/>
    <w:rsid w:val="00BD1E8D"/>
    <w:rsid w:val="00BD1F8A"/>
    <w:rsid w:val="00BD2465"/>
    <w:rsid w:val="00BD251D"/>
    <w:rsid w:val="00BD26DD"/>
    <w:rsid w:val="00BD26EC"/>
    <w:rsid w:val="00BD28A3"/>
    <w:rsid w:val="00BD2DA9"/>
    <w:rsid w:val="00BD2EDC"/>
    <w:rsid w:val="00BD3184"/>
    <w:rsid w:val="00BD32A6"/>
    <w:rsid w:val="00BD3ADC"/>
    <w:rsid w:val="00BD4076"/>
    <w:rsid w:val="00BD40FE"/>
    <w:rsid w:val="00BD43A8"/>
    <w:rsid w:val="00BD47B3"/>
    <w:rsid w:val="00BD482B"/>
    <w:rsid w:val="00BD4EF1"/>
    <w:rsid w:val="00BD5035"/>
    <w:rsid w:val="00BD5421"/>
    <w:rsid w:val="00BD5500"/>
    <w:rsid w:val="00BD5DF6"/>
    <w:rsid w:val="00BD5FB5"/>
    <w:rsid w:val="00BD6544"/>
    <w:rsid w:val="00BD669C"/>
    <w:rsid w:val="00BD671D"/>
    <w:rsid w:val="00BD671E"/>
    <w:rsid w:val="00BD67C7"/>
    <w:rsid w:val="00BD6AAD"/>
    <w:rsid w:val="00BD72C9"/>
    <w:rsid w:val="00BD7721"/>
    <w:rsid w:val="00BD7777"/>
    <w:rsid w:val="00BD7E02"/>
    <w:rsid w:val="00BE020A"/>
    <w:rsid w:val="00BE023E"/>
    <w:rsid w:val="00BE064E"/>
    <w:rsid w:val="00BE0BBD"/>
    <w:rsid w:val="00BE0E73"/>
    <w:rsid w:val="00BE0EB0"/>
    <w:rsid w:val="00BE0FB1"/>
    <w:rsid w:val="00BE1415"/>
    <w:rsid w:val="00BE15CF"/>
    <w:rsid w:val="00BE198B"/>
    <w:rsid w:val="00BE1A66"/>
    <w:rsid w:val="00BE1ADD"/>
    <w:rsid w:val="00BE1BFE"/>
    <w:rsid w:val="00BE2027"/>
    <w:rsid w:val="00BE27B3"/>
    <w:rsid w:val="00BE2914"/>
    <w:rsid w:val="00BE298D"/>
    <w:rsid w:val="00BE2E0E"/>
    <w:rsid w:val="00BE3189"/>
    <w:rsid w:val="00BE3202"/>
    <w:rsid w:val="00BE330C"/>
    <w:rsid w:val="00BE3556"/>
    <w:rsid w:val="00BE3C90"/>
    <w:rsid w:val="00BE3DAE"/>
    <w:rsid w:val="00BE406A"/>
    <w:rsid w:val="00BE416D"/>
    <w:rsid w:val="00BE4267"/>
    <w:rsid w:val="00BE454C"/>
    <w:rsid w:val="00BE4551"/>
    <w:rsid w:val="00BE4592"/>
    <w:rsid w:val="00BE4636"/>
    <w:rsid w:val="00BE4869"/>
    <w:rsid w:val="00BE4A28"/>
    <w:rsid w:val="00BE4F45"/>
    <w:rsid w:val="00BE5654"/>
    <w:rsid w:val="00BE5FA8"/>
    <w:rsid w:val="00BE63DF"/>
    <w:rsid w:val="00BE66FF"/>
    <w:rsid w:val="00BE6821"/>
    <w:rsid w:val="00BE6B1D"/>
    <w:rsid w:val="00BE6C3D"/>
    <w:rsid w:val="00BE6CAF"/>
    <w:rsid w:val="00BE72B4"/>
    <w:rsid w:val="00BE74DB"/>
    <w:rsid w:val="00BE75F1"/>
    <w:rsid w:val="00BE7CE3"/>
    <w:rsid w:val="00BE7DED"/>
    <w:rsid w:val="00BF013D"/>
    <w:rsid w:val="00BF0515"/>
    <w:rsid w:val="00BF0769"/>
    <w:rsid w:val="00BF10F9"/>
    <w:rsid w:val="00BF1650"/>
    <w:rsid w:val="00BF19CB"/>
    <w:rsid w:val="00BF1C33"/>
    <w:rsid w:val="00BF1D16"/>
    <w:rsid w:val="00BF282C"/>
    <w:rsid w:val="00BF28CA"/>
    <w:rsid w:val="00BF2D69"/>
    <w:rsid w:val="00BF2DA1"/>
    <w:rsid w:val="00BF2F16"/>
    <w:rsid w:val="00BF30FF"/>
    <w:rsid w:val="00BF3111"/>
    <w:rsid w:val="00BF330A"/>
    <w:rsid w:val="00BF3664"/>
    <w:rsid w:val="00BF3D1C"/>
    <w:rsid w:val="00BF3EB3"/>
    <w:rsid w:val="00BF410F"/>
    <w:rsid w:val="00BF4193"/>
    <w:rsid w:val="00BF4330"/>
    <w:rsid w:val="00BF497A"/>
    <w:rsid w:val="00BF544F"/>
    <w:rsid w:val="00BF583E"/>
    <w:rsid w:val="00BF586D"/>
    <w:rsid w:val="00BF5A20"/>
    <w:rsid w:val="00BF5CDD"/>
    <w:rsid w:val="00BF6101"/>
    <w:rsid w:val="00BF6155"/>
    <w:rsid w:val="00BF6AA3"/>
    <w:rsid w:val="00BF6B4C"/>
    <w:rsid w:val="00BF6E09"/>
    <w:rsid w:val="00BF742A"/>
    <w:rsid w:val="00BF75EF"/>
    <w:rsid w:val="00BF78C5"/>
    <w:rsid w:val="00C00000"/>
    <w:rsid w:val="00C002CE"/>
    <w:rsid w:val="00C00406"/>
    <w:rsid w:val="00C00967"/>
    <w:rsid w:val="00C00B92"/>
    <w:rsid w:val="00C00C4A"/>
    <w:rsid w:val="00C00C6E"/>
    <w:rsid w:val="00C01565"/>
    <w:rsid w:val="00C01983"/>
    <w:rsid w:val="00C02828"/>
    <w:rsid w:val="00C02967"/>
    <w:rsid w:val="00C031D4"/>
    <w:rsid w:val="00C03652"/>
    <w:rsid w:val="00C03BE4"/>
    <w:rsid w:val="00C0410D"/>
    <w:rsid w:val="00C04303"/>
    <w:rsid w:val="00C04AE8"/>
    <w:rsid w:val="00C04D3C"/>
    <w:rsid w:val="00C04FD2"/>
    <w:rsid w:val="00C051C4"/>
    <w:rsid w:val="00C055EC"/>
    <w:rsid w:val="00C058D3"/>
    <w:rsid w:val="00C05C3D"/>
    <w:rsid w:val="00C05C57"/>
    <w:rsid w:val="00C05D04"/>
    <w:rsid w:val="00C06024"/>
    <w:rsid w:val="00C060E0"/>
    <w:rsid w:val="00C062EA"/>
    <w:rsid w:val="00C065BD"/>
    <w:rsid w:val="00C06729"/>
    <w:rsid w:val="00C06768"/>
    <w:rsid w:val="00C067E4"/>
    <w:rsid w:val="00C06BB7"/>
    <w:rsid w:val="00C0701F"/>
    <w:rsid w:val="00C0731C"/>
    <w:rsid w:val="00C073AD"/>
    <w:rsid w:val="00C0758C"/>
    <w:rsid w:val="00C10314"/>
    <w:rsid w:val="00C10763"/>
    <w:rsid w:val="00C10929"/>
    <w:rsid w:val="00C10B15"/>
    <w:rsid w:val="00C10B39"/>
    <w:rsid w:val="00C11067"/>
    <w:rsid w:val="00C1179C"/>
    <w:rsid w:val="00C1181F"/>
    <w:rsid w:val="00C11FDF"/>
    <w:rsid w:val="00C120AE"/>
    <w:rsid w:val="00C125A2"/>
    <w:rsid w:val="00C12753"/>
    <w:rsid w:val="00C13051"/>
    <w:rsid w:val="00C1381A"/>
    <w:rsid w:val="00C13AA7"/>
    <w:rsid w:val="00C13C94"/>
    <w:rsid w:val="00C13EF3"/>
    <w:rsid w:val="00C141A9"/>
    <w:rsid w:val="00C14A42"/>
    <w:rsid w:val="00C14A45"/>
    <w:rsid w:val="00C14D20"/>
    <w:rsid w:val="00C14E7A"/>
    <w:rsid w:val="00C14FCD"/>
    <w:rsid w:val="00C1552B"/>
    <w:rsid w:val="00C1559C"/>
    <w:rsid w:val="00C15A1B"/>
    <w:rsid w:val="00C15F57"/>
    <w:rsid w:val="00C16CB1"/>
    <w:rsid w:val="00C16CE2"/>
    <w:rsid w:val="00C16D8F"/>
    <w:rsid w:val="00C16F83"/>
    <w:rsid w:val="00C17625"/>
    <w:rsid w:val="00C177AE"/>
    <w:rsid w:val="00C17901"/>
    <w:rsid w:val="00C17D30"/>
    <w:rsid w:val="00C20C59"/>
    <w:rsid w:val="00C20F3E"/>
    <w:rsid w:val="00C20FAE"/>
    <w:rsid w:val="00C21113"/>
    <w:rsid w:val="00C2113B"/>
    <w:rsid w:val="00C21188"/>
    <w:rsid w:val="00C213CF"/>
    <w:rsid w:val="00C2187C"/>
    <w:rsid w:val="00C218CE"/>
    <w:rsid w:val="00C21D92"/>
    <w:rsid w:val="00C21F17"/>
    <w:rsid w:val="00C21FF1"/>
    <w:rsid w:val="00C22061"/>
    <w:rsid w:val="00C22796"/>
    <w:rsid w:val="00C228EB"/>
    <w:rsid w:val="00C22B4F"/>
    <w:rsid w:val="00C22E02"/>
    <w:rsid w:val="00C22F3C"/>
    <w:rsid w:val="00C231B3"/>
    <w:rsid w:val="00C23530"/>
    <w:rsid w:val="00C23888"/>
    <w:rsid w:val="00C23B7C"/>
    <w:rsid w:val="00C23F1C"/>
    <w:rsid w:val="00C23F85"/>
    <w:rsid w:val="00C24285"/>
    <w:rsid w:val="00C247B7"/>
    <w:rsid w:val="00C24994"/>
    <w:rsid w:val="00C24ACA"/>
    <w:rsid w:val="00C24B4F"/>
    <w:rsid w:val="00C24C3B"/>
    <w:rsid w:val="00C24E31"/>
    <w:rsid w:val="00C24E47"/>
    <w:rsid w:val="00C2502C"/>
    <w:rsid w:val="00C25064"/>
    <w:rsid w:val="00C258F5"/>
    <w:rsid w:val="00C25D2D"/>
    <w:rsid w:val="00C261E4"/>
    <w:rsid w:val="00C26285"/>
    <w:rsid w:val="00C264B4"/>
    <w:rsid w:val="00C26844"/>
    <w:rsid w:val="00C26B02"/>
    <w:rsid w:val="00C26B9F"/>
    <w:rsid w:val="00C26EA4"/>
    <w:rsid w:val="00C2754E"/>
    <w:rsid w:val="00C276B4"/>
    <w:rsid w:val="00C27A53"/>
    <w:rsid w:val="00C27D66"/>
    <w:rsid w:val="00C27F89"/>
    <w:rsid w:val="00C300A6"/>
    <w:rsid w:val="00C302EC"/>
    <w:rsid w:val="00C303B8"/>
    <w:rsid w:val="00C307DC"/>
    <w:rsid w:val="00C307F7"/>
    <w:rsid w:val="00C30C83"/>
    <w:rsid w:val="00C31BA2"/>
    <w:rsid w:val="00C320B9"/>
    <w:rsid w:val="00C3243E"/>
    <w:rsid w:val="00C328D7"/>
    <w:rsid w:val="00C329D6"/>
    <w:rsid w:val="00C32F78"/>
    <w:rsid w:val="00C330D9"/>
    <w:rsid w:val="00C331F8"/>
    <w:rsid w:val="00C3352B"/>
    <w:rsid w:val="00C3365A"/>
    <w:rsid w:val="00C3368A"/>
    <w:rsid w:val="00C33B14"/>
    <w:rsid w:val="00C33E06"/>
    <w:rsid w:val="00C33F96"/>
    <w:rsid w:val="00C34979"/>
    <w:rsid w:val="00C34DE7"/>
    <w:rsid w:val="00C35247"/>
    <w:rsid w:val="00C352AF"/>
    <w:rsid w:val="00C355FC"/>
    <w:rsid w:val="00C3567B"/>
    <w:rsid w:val="00C357A1"/>
    <w:rsid w:val="00C3586D"/>
    <w:rsid w:val="00C35967"/>
    <w:rsid w:val="00C35AF4"/>
    <w:rsid w:val="00C35D4D"/>
    <w:rsid w:val="00C364E2"/>
    <w:rsid w:val="00C367E1"/>
    <w:rsid w:val="00C369BB"/>
    <w:rsid w:val="00C36E3F"/>
    <w:rsid w:val="00C36FE6"/>
    <w:rsid w:val="00C373EA"/>
    <w:rsid w:val="00C37721"/>
    <w:rsid w:val="00C378F7"/>
    <w:rsid w:val="00C37F3E"/>
    <w:rsid w:val="00C37F43"/>
    <w:rsid w:val="00C37FAE"/>
    <w:rsid w:val="00C40081"/>
    <w:rsid w:val="00C4017E"/>
    <w:rsid w:val="00C4018E"/>
    <w:rsid w:val="00C4065C"/>
    <w:rsid w:val="00C4077D"/>
    <w:rsid w:val="00C41417"/>
    <w:rsid w:val="00C41920"/>
    <w:rsid w:val="00C41DB5"/>
    <w:rsid w:val="00C42323"/>
    <w:rsid w:val="00C426AE"/>
    <w:rsid w:val="00C429B7"/>
    <w:rsid w:val="00C42AC1"/>
    <w:rsid w:val="00C42E8A"/>
    <w:rsid w:val="00C4351E"/>
    <w:rsid w:val="00C435D2"/>
    <w:rsid w:val="00C437D8"/>
    <w:rsid w:val="00C43876"/>
    <w:rsid w:val="00C4393E"/>
    <w:rsid w:val="00C43DB5"/>
    <w:rsid w:val="00C43EA3"/>
    <w:rsid w:val="00C440D7"/>
    <w:rsid w:val="00C4507A"/>
    <w:rsid w:val="00C454EF"/>
    <w:rsid w:val="00C455CD"/>
    <w:rsid w:val="00C4571D"/>
    <w:rsid w:val="00C45C3C"/>
    <w:rsid w:val="00C45CBF"/>
    <w:rsid w:val="00C45D25"/>
    <w:rsid w:val="00C45DCA"/>
    <w:rsid w:val="00C4603D"/>
    <w:rsid w:val="00C46244"/>
    <w:rsid w:val="00C46680"/>
    <w:rsid w:val="00C46FD6"/>
    <w:rsid w:val="00C47061"/>
    <w:rsid w:val="00C4727B"/>
    <w:rsid w:val="00C4736C"/>
    <w:rsid w:val="00C47476"/>
    <w:rsid w:val="00C474AF"/>
    <w:rsid w:val="00C4754F"/>
    <w:rsid w:val="00C4769B"/>
    <w:rsid w:val="00C501C9"/>
    <w:rsid w:val="00C50A4A"/>
    <w:rsid w:val="00C512DE"/>
    <w:rsid w:val="00C516F1"/>
    <w:rsid w:val="00C51815"/>
    <w:rsid w:val="00C51894"/>
    <w:rsid w:val="00C51CDE"/>
    <w:rsid w:val="00C52368"/>
    <w:rsid w:val="00C5282B"/>
    <w:rsid w:val="00C52958"/>
    <w:rsid w:val="00C52A1D"/>
    <w:rsid w:val="00C52AB4"/>
    <w:rsid w:val="00C52D0B"/>
    <w:rsid w:val="00C52F84"/>
    <w:rsid w:val="00C53123"/>
    <w:rsid w:val="00C538E6"/>
    <w:rsid w:val="00C53A04"/>
    <w:rsid w:val="00C53B1A"/>
    <w:rsid w:val="00C53EE3"/>
    <w:rsid w:val="00C53F25"/>
    <w:rsid w:val="00C53F45"/>
    <w:rsid w:val="00C54244"/>
    <w:rsid w:val="00C5428F"/>
    <w:rsid w:val="00C5451D"/>
    <w:rsid w:val="00C54D97"/>
    <w:rsid w:val="00C550B8"/>
    <w:rsid w:val="00C55357"/>
    <w:rsid w:val="00C554E1"/>
    <w:rsid w:val="00C55652"/>
    <w:rsid w:val="00C559DA"/>
    <w:rsid w:val="00C55BB3"/>
    <w:rsid w:val="00C55DEA"/>
    <w:rsid w:val="00C5621C"/>
    <w:rsid w:val="00C564F9"/>
    <w:rsid w:val="00C56897"/>
    <w:rsid w:val="00C569A2"/>
    <w:rsid w:val="00C56B2D"/>
    <w:rsid w:val="00C56CC1"/>
    <w:rsid w:val="00C56D51"/>
    <w:rsid w:val="00C56E77"/>
    <w:rsid w:val="00C571DE"/>
    <w:rsid w:val="00C57542"/>
    <w:rsid w:val="00C57897"/>
    <w:rsid w:val="00C600FB"/>
    <w:rsid w:val="00C60DFE"/>
    <w:rsid w:val="00C60E8F"/>
    <w:rsid w:val="00C60F7C"/>
    <w:rsid w:val="00C610F0"/>
    <w:rsid w:val="00C616C2"/>
    <w:rsid w:val="00C616C5"/>
    <w:rsid w:val="00C618A6"/>
    <w:rsid w:val="00C61B65"/>
    <w:rsid w:val="00C61CD0"/>
    <w:rsid w:val="00C61ECB"/>
    <w:rsid w:val="00C6201B"/>
    <w:rsid w:val="00C621E5"/>
    <w:rsid w:val="00C62445"/>
    <w:rsid w:val="00C624FB"/>
    <w:rsid w:val="00C6258F"/>
    <w:rsid w:val="00C63396"/>
    <w:rsid w:val="00C6354E"/>
    <w:rsid w:val="00C63CF3"/>
    <w:rsid w:val="00C6450B"/>
    <w:rsid w:val="00C646FB"/>
    <w:rsid w:val="00C64919"/>
    <w:rsid w:val="00C64AA7"/>
    <w:rsid w:val="00C64B0A"/>
    <w:rsid w:val="00C64B6D"/>
    <w:rsid w:val="00C64C6D"/>
    <w:rsid w:val="00C64C9D"/>
    <w:rsid w:val="00C64D37"/>
    <w:rsid w:val="00C64EE9"/>
    <w:rsid w:val="00C64EEA"/>
    <w:rsid w:val="00C64F23"/>
    <w:rsid w:val="00C65537"/>
    <w:rsid w:val="00C6579E"/>
    <w:rsid w:val="00C66407"/>
    <w:rsid w:val="00C666E1"/>
    <w:rsid w:val="00C667D9"/>
    <w:rsid w:val="00C67573"/>
    <w:rsid w:val="00C67C5E"/>
    <w:rsid w:val="00C67E0A"/>
    <w:rsid w:val="00C67F59"/>
    <w:rsid w:val="00C70447"/>
    <w:rsid w:val="00C70807"/>
    <w:rsid w:val="00C708A3"/>
    <w:rsid w:val="00C70950"/>
    <w:rsid w:val="00C70BAA"/>
    <w:rsid w:val="00C70BCF"/>
    <w:rsid w:val="00C70C55"/>
    <w:rsid w:val="00C70C7D"/>
    <w:rsid w:val="00C70DA3"/>
    <w:rsid w:val="00C70DAA"/>
    <w:rsid w:val="00C70EE1"/>
    <w:rsid w:val="00C7151A"/>
    <w:rsid w:val="00C715D9"/>
    <w:rsid w:val="00C7181E"/>
    <w:rsid w:val="00C719AB"/>
    <w:rsid w:val="00C71DF5"/>
    <w:rsid w:val="00C720E6"/>
    <w:rsid w:val="00C72157"/>
    <w:rsid w:val="00C72348"/>
    <w:rsid w:val="00C724B7"/>
    <w:rsid w:val="00C72826"/>
    <w:rsid w:val="00C72837"/>
    <w:rsid w:val="00C72E7D"/>
    <w:rsid w:val="00C738F8"/>
    <w:rsid w:val="00C73B94"/>
    <w:rsid w:val="00C73F8B"/>
    <w:rsid w:val="00C73FDD"/>
    <w:rsid w:val="00C744C1"/>
    <w:rsid w:val="00C749C3"/>
    <w:rsid w:val="00C74C12"/>
    <w:rsid w:val="00C74EA1"/>
    <w:rsid w:val="00C7506A"/>
    <w:rsid w:val="00C75099"/>
    <w:rsid w:val="00C757EA"/>
    <w:rsid w:val="00C7583F"/>
    <w:rsid w:val="00C75BC3"/>
    <w:rsid w:val="00C7605C"/>
    <w:rsid w:val="00C760E0"/>
    <w:rsid w:val="00C762DF"/>
    <w:rsid w:val="00C76345"/>
    <w:rsid w:val="00C76A8C"/>
    <w:rsid w:val="00C76AFA"/>
    <w:rsid w:val="00C76B2A"/>
    <w:rsid w:val="00C76CE8"/>
    <w:rsid w:val="00C76ED9"/>
    <w:rsid w:val="00C77094"/>
    <w:rsid w:val="00C776F7"/>
    <w:rsid w:val="00C777D4"/>
    <w:rsid w:val="00C77ACE"/>
    <w:rsid w:val="00C80243"/>
    <w:rsid w:val="00C80488"/>
    <w:rsid w:val="00C804CF"/>
    <w:rsid w:val="00C80549"/>
    <w:rsid w:val="00C8063C"/>
    <w:rsid w:val="00C80AC1"/>
    <w:rsid w:val="00C811F0"/>
    <w:rsid w:val="00C813F7"/>
    <w:rsid w:val="00C816E3"/>
    <w:rsid w:val="00C81994"/>
    <w:rsid w:val="00C81B85"/>
    <w:rsid w:val="00C81EBD"/>
    <w:rsid w:val="00C81F4D"/>
    <w:rsid w:val="00C822D0"/>
    <w:rsid w:val="00C822FE"/>
    <w:rsid w:val="00C82547"/>
    <w:rsid w:val="00C826AB"/>
    <w:rsid w:val="00C827D2"/>
    <w:rsid w:val="00C829A1"/>
    <w:rsid w:val="00C832B5"/>
    <w:rsid w:val="00C83618"/>
    <w:rsid w:val="00C8373E"/>
    <w:rsid w:val="00C83A9E"/>
    <w:rsid w:val="00C83AA5"/>
    <w:rsid w:val="00C83E57"/>
    <w:rsid w:val="00C83ED4"/>
    <w:rsid w:val="00C842C1"/>
    <w:rsid w:val="00C84DCB"/>
    <w:rsid w:val="00C84F35"/>
    <w:rsid w:val="00C851EB"/>
    <w:rsid w:val="00C8522B"/>
    <w:rsid w:val="00C85830"/>
    <w:rsid w:val="00C85A96"/>
    <w:rsid w:val="00C85E52"/>
    <w:rsid w:val="00C86090"/>
    <w:rsid w:val="00C861FA"/>
    <w:rsid w:val="00C86280"/>
    <w:rsid w:val="00C8631C"/>
    <w:rsid w:val="00C86511"/>
    <w:rsid w:val="00C86653"/>
    <w:rsid w:val="00C86844"/>
    <w:rsid w:val="00C86B05"/>
    <w:rsid w:val="00C87182"/>
    <w:rsid w:val="00C87CF7"/>
    <w:rsid w:val="00C87F00"/>
    <w:rsid w:val="00C9014A"/>
    <w:rsid w:val="00C903FE"/>
    <w:rsid w:val="00C905CF"/>
    <w:rsid w:val="00C90980"/>
    <w:rsid w:val="00C909D2"/>
    <w:rsid w:val="00C909EE"/>
    <w:rsid w:val="00C91020"/>
    <w:rsid w:val="00C914E6"/>
    <w:rsid w:val="00C915C9"/>
    <w:rsid w:val="00C92209"/>
    <w:rsid w:val="00C92406"/>
    <w:rsid w:val="00C926C9"/>
    <w:rsid w:val="00C9274A"/>
    <w:rsid w:val="00C933DD"/>
    <w:rsid w:val="00C938D4"/>
    <w:rsid w:val="00C93B4D"/>
    <w:rsid w:val="00C93C2A"/>
    <w:rsid w:val="00C94022"/>
    <w:rsid w:val="00C9410E"/>
    <w:rsid w:val="00C941DC"/>
    <w:rsid w:val="00C943EE"/>
    <w:rsid w:val="00C9444B"/>
    <w:rsid w:val="00C945B5"/>
    <w:rsid w:val="00C94664"/>
    <w:rsid w:val="00C9478D"/>
    <w:rsid w:val="00C94A24"/>
    <w:rsid w:val="00C94A9F"/>
    <w:rsid w:val="00C94FA5"/>
    <w:rsid w:val="00C9508B"/>
    <w:rsid w:val="00C95396"/>
    <w:rsid w:val="00C953D4"/>
    <w:rsid w:val="00C9557B"/>
    <w:rsid w:val="00C958C5"/>
    <w:rsid w:val="00C95945"/>
    <w:rsid w:val="00C9606E"/>
    <w:rsid w:val="00C9644B"/>
    <w:rsid w:val="00C96485"/>
    <w:rsid w:val="00C96CC0"/>
    <w:rsid w:val="00C97201"/>
    <w:rsid w:val="00CA04EA"/>
    <w:rsid w:val="00CA0588"/>
    <w:rsid w:val="00CA0601"/>
    <w:rsid w:val="00CA0687"/>
    <w:rsid w:val="00CA06B6"/>
    <w:rsid w:val="00CA09D6"/>
    <w:rsid w:val="00CA0C60"/>
    <w:rsid w:val="00CA0EE4"/>
    <w:rsid w:val="00CA1318"/>
    <w:rsid w:val="00CA1A2B"/>
    <w:rsid w:val="00CA2196"/>
    <w:rsid w:val="00CA249C"/>
    <w:rsid w:val="00CA2DF3"/>
    <w:rsid w:val="00CA3296"/>
    <w:rsid w:val="00CA3357"/>
    <w:rsid w:val="00CA3642"/>
    <w:rsid w:val="00CA36E9"/>
    <w:rsid w:val="00CA3EA9"/>
    <w:rsid w:val="00CA3F1B"/>
    <w:rsid w:val="00CA3F7E"/>
    <w:rsid w:val="00CA43A9"/>
    <w:rsid w:val="00CA45F7"/>
    <w:rsid w:val="00CA467E"/>
    <w:rsid w:val="00CA4A2E"/>
    <w:rsid w:val="00CA4BA1"/>
    <w:rsid w:val="00CA4C05"/>
    <w:rsid w:val="00CA4F0B"/>
    <w:rsid w:val="00CA51A1"/>
    <w:rsid w:val="00CA5305"/>
    <w:rsid w:val="00CA5484"/>
    <w:rsid w:val="00CA5580"/>
    <w:rsid w:val="00CA55B3"/>
    <w:rsid w:val="00CA5D5C"/>
    <w:rsid w:val="00CA5D63"/>
    <w:rsid w:val="00CA5E57"/>
    <w:rsid w:val="00CA5EAF"/>
    <w:rsid w:val="00CA607E"/>
    <w:rsid w:val="00CA6183"/>
    <w:rsid w:val="00CA6188"/>
    <w:rsid w:val="00CA6BBB"/>
    <w:rsid w:val="00CA7265"/>
    <w:rsid w:val="00CA7F70"/>
    <w:rsid w:val="00CA7FB2"/>
    <w:rsid w:val="00CA7FDB"/>
    <w:rsid w:val="00CB0278"/>
    <w:rsid w:val="00CB0312"/>
    <w:rsid w:val="00CB05BA"/>
    <w:rsid w:val="00CB0AD2"/>
    <w:rsid w:val="00CB0E94"/>
    <w:rsid w:val="00CB1096"/>
    <w:rsid w:val="00CB12FF"/>
    <w:rsid w:val="00CB1444"/>
    <w:rsid w:val="00CB15B8"/>
    <w:rsid w:val="00CB1711"/>
    <w:rsid w:val="00CB186E"/>
    <w:rsid w:val="00CB1AF2"/>
    <w:rsid w:val="00CB27E1"/>
    <w:rsid w:val="00CB2AEF"/>
    <w:rsid w:val="00CB2D50"/>
    <w:rsid w:val="00CB33D6"/>
    <w:rsid w:val="00CB357D"/>
    <w:rsid w:val="00CB3871"/>
    <w:rsid w:val="00CB38F5"/>
    <w:rsid w:val="00CB3B77"/>
    <w:rsid w:val="00CB3C72"/>
    <w:rsid w:val="00CB3E84"/>
    <w:rsid w:val="00CB4425"/>
    <w:rsid w:val="00CB4446"/>
    <w:rsid w:val="00CB46AA"/>
    <w:rsid w:val="00CB4A22"/>
    <w:rsid w:val="00CB4AA6"/>
    <w:rsid w:val="00CB4C7D"/>
    <w:rsid w:val="00CB4D8E"/>
    <w:rsid w:val="00CB4E72"/>
    <w:rsid w:val="00CB5620"/>
    <w:rsid w:val="00CB564D"/>
    <w:rsid w:val="00CB5ADE"/>
    <w:rsid w:val="00CB5BD8"/>
    <w:rsid w:val="00CB5D2F"/>
    <w:rsid w:val="00CB6111"/>
    <w:rsid w:val="00CB6207"/>
    <w:rsid w:val="00CB620F"/>
    <w:rsid w:val="00CB6562"/>
    <w:rsid w:val="00CB662A"/>
    <w:rsid w:val="00CB67E0"/>
    <w:rsid w:val="00CB69E8"/>
    <w:rsid w:val="00CB6E76"/>
    <w:rsid w:val="00CB700C"/>
    <w:rsid w:val="00CB713A"/>
    <w:rsid w:val="00CB7397"/>
    <w:rsid w:val="00CB7560"/>
    <w:rsid w:val="00CB78D4"/>
    <w:rsid w:val="00CB7E76"/>
    <w:rsid w:val="00CB7ED5"/>
    <w:rsid w:val="00CC037B"/>
    <w:rsid w:val="00CC0962"/>
    <w:rsid w:val="00CC0B7F"/>
    <w:rsid w:val="00CC0C74"/>
    <w:rsid w:val="00CC1012"/>
    <w:rsid w:val="00CC11EA"/>
    <w:rsid w:val="00CC1612"/>
    <w:rsid w:val="00CC197C"/>
    <w:rsid w:val="00CC19E6"/>
    <w:rsid w:val="00CC1A53"/>
    <w:rsid w:val="00CC1D29"/>
    <w:rsid w:val="00CC2945"/>
    <w:rsid w:val="00CC3D42"/>
    <w:rsid w:val="00CC3E4B"/>
    <w:rsid w:val="00CC4014"/>
    <w:rsid w:val="00CC4570"/>
    <w:rsid w:val="00CC460A"/>
    <w:rsid w:val="00CC4618"/>
    <w:rsid w:val="00CC479E"/>
    <w:rsid w:val="00CC47DE"/>
    <w:rsid w:val="00CC4B65"/>
    <w:rsid w:val="00CC4C35"/>
    <w:rsid w:val="00CC4C81"/>
    <w:rsid w:val="00CC52CC"/>
    <w:rsid w:val="00CC5764"/>
    <w:rsid w:val="00CC57C3"/>
    <w:rsid w:val="00CC586B"/>
    <w:rsid w:val="00CC5947"/>
    <w:rsid w:val="00CC5F46"/>
    <w:rsid w:val="00CC60DA"/>
    <w:rsid w:val="00CC61E7"/>
    <w:rsid w:val="00CC62FF"/>
    <w:rsid w:val="00CC63A6"/>
    <w:rsid w:val="00CC6417"/>
    <w:rsid w:val="00CC6724"/>
    <w:rsid w:val="00CC68BE"/>
    <w:rsid w:val="00CC696F"/>
    <w:rsid w:val="00CC6B66"/>
    <w:rsid w:val="00CC6B8C"/>
    <w:rsid w:val="00CC71A8"/>
    <w:rsid w:val="00CC72C0"/>
    <w:rsid w:val="00CC72C3"/>
    <w:rsid w:val="00CC745E"/>
    <w:rsid w:val="00CC7491"/>
    <w:rsid w:val="00CC7655"/>
    <w:rsid w:val="00CC791F"/>
    <w:rsid w:val="00CC7CCE"/>
    <w:rsid w:val="00CD033C"/>
    <w:rsid w:val="00CD0591"/>
    <w:rsid w:val="00CD06D8"/>
    <w:rsid w:val="00CD0BF2"/>
    <w:rsid w:val="00CD0F40"/>
    <w:rsid w:val="00CD10AA"/>
    <w:rsid w:val="00CD13BC"/>
    <w:rsid w:val="00CD1D6C"/>
    <w:rsid w:val="00CD1FD1"/>
    <w:rsid w:val="00CD2029"/>
    <w:rsid w:val="00CD2395"/>
    <w:rsid w:val="00CD24F7"/>
    <w:rsid w:val="00CD2A95"/>
    <w:rsid w:val="00CD2AEF"/>
    <w:rsid w:val="00CD2BA8"/>
    <w:rsid w:val="00CD2DA1"/>
    <w:rsid w:val="00CD3067"/>
    <w:rsid w:val="00CD35D5"/>
    <w:rsid w:val="00CD3831"/>
    <w:rsid w:val="00CD3D01"/>
    <w:rsid w:val="00CD3D3B"/>
    <w:rsid w:val="00CD3E7F"/>
    <w:rsid w:val="00CD3F61"/>
    <w:rsid w:val="00CD40FF"/>
    <w:rsid w:val="00CD45C3"/>
    <w:rsid w:val="00CD5338"/>
    <w:rsid w:val="00CD58B5"/>
    <w:rsid w:val="00CD593D"/>
    <w:rsid w:val="00CD5A93"/>
    <w:rsid w:val="00CD5BF6"/>
    <w:rsid w:val="00CD5C3D"/>
    <w:rsid w:val="00CD6292"/>
    <w:rsid w:val="00CD6547"/>
    <w:rsid w:val="00CD6721"/>
    <w:rsid w:val="00CD68DC"/>
    <w:rsid w:val="00CD6C00"/>
    <w:rsid w:val="00CD6F34"/>
    <w:rsid w:val="00CD70B4"/>
    <w:rsid w:val="00CD712B"/>
    <w:rsid w:val="00CD760E"/>
    <w:rsid w:val="00CD76BB"/>
    <w:rsid w:val="00CD780F"/>
    <w:rsid w:val="00CD7846"/>
    <w:rsid w:val="00CD78F9"/>
    <w:rsid w:val="00CD7A83"/>
    <w:rsid w:val="00CD7ACE"/>
    <w:rsid w:val="00CD7BAB"/>
    <w:rsid w:val="00CD7F42"/>
    <w:rsid w:val="00CE01C6"/>
    <w:rsid w:val="00CE03B6"/>
    <w:rsid w:val="00CE0696"/>
    <w:rsid w:val="00CE07B2"/>
    <w:rsid w:val="00CE07FF"/>
    <w:rsid w:val="00CE0937"/>
    <w:rsid w:val="00CE0A1B"/>
    <w:rsid w:val="00CE0A74"/>
    <w:rsid w:val="00CE0AD4"/>
    <w:rsid w:val="00CE0CBC"/>
    <w:rsid w:val="00CE0EBA"/>
    <w:rsid w:val="00CE134A"/>
    <w:rsid w:val="00CE193C"/>
    <w:rsid w:val="00CE1D14"/>
    <w:rsid w:val="00CE1D31"/>
    <w:rsid w:val="00CE1D75"/>
    <w:rsid w:val="00CE226D"/>
    <w:rsid w:val="00CE2431"/>
    <w:rsid w:val="00CE2529"/>
    <w:rsid w:val="00CE25F3"/>
    <w:rsid w:val="00CE2933"/>
    <w:rsid w:val="00CE301E"/>
    <w:rsid w:val="00CE3617"/>
    <w:rsid w:val="00CE3748"/>
    <w:rsid w:val="00CE39CC"/>
    <w:rsid w:val="00CE3D81"/>
    <w:rsid w:val="00CE3F22"/>
    <w:rsid w:val="00CE3F25"/>
    <w:rsid w:val="00CE4054"/>
    <w:rsid w:val="00CE43E2"/>
    <w:rsid w:val="00CE45F0"/>
    <w:rsid w:val="00CE45F8"/>
    <w:rsid w:val="00CE4B20"/>
    <w:rsid w:val="00CE4E91"/>
    <w:rsid w:val="00CE4F03"/>
    <w:rsid w:val="00CE4FA3"/>
    <w:rsid w:val="00CE5192"/>
    <w:rsid w:val="00CE52AF"/>
    <w:rsid w:val="00CE54FD"/>
    <w:rsid w:val="00CE553A"/>
    <w:rsid w:val="00CE56DD"/>
    <w:rsid w:val="00CE5766"/>
    <w:rsid w:val="00CE5884"/>
    <w:rsid w:val="00CE5AD0"/>
    <w:rsid w:val="00CE615F"/>
    <w:rsid w:val="00CE6861"/>
    <w:rsid w:val="00CE68C6"/>
    <w:rsid w:val="00CE6978"/>
    <w:rsid w:val="00CE6B3D"/>
    <w:rsid w:val="00CE6BE7"/>
    <w:rsid w:val="00CE6DE1"/>
    <w:rsid w:val="00CE709C"/>
    <w:rsid w:val="00CE7134"/>
    <w:rsid w:val="00CE72A5"/>
    <w:rsid w:val="00CE72EF"/>
    <w:rsid w:val="00CE796F"/>
    <w:rsid w:val="00CE79D0"/>
    <w:rsid w:val="00CF05EF"/>
    <w:rsid w:val="00CF07DE"/>
    <w:rsid w:val="00CF0BE7"/>
    <w:rsid w:val="00CF1018"/>
    <w:rsid w:val="00CF108A"/>
    <w:rsid w:val="00CF12B7"/>
    <w:rsid w:val="00CF142E"/>
    <w:rsid w:val="00CF149E"/>
    <w:rsid w:val="00CF14D3"/>
    <w:rsid w:val="00CF1640"/>
    <w:rsid w:val="00CF17FE"/>
    <w:rsid w:val="00CF1A7C"/>
    <w:rsid w:val="00CF1DCD"/>
    <w:rsid w:val="00CF1DEB"/>
    <w:rsid w:val="00CF1E29"/>
    <w:rsid w:val="00CF2049"/>
    <w:rsid w:val="00CF209C"/>
    <w:rsid w:val="00CF2347"/>
    <w:rsid w:val="00CF2358"/>
    <w:rsid w:val="00CF2430"/>
    <w:rsid w:val="00CF25C2"/>
    <w:rsid w:val="00CF25EA"/>
    <w:rsid w:val="00CF265A"/>
    <w:rsid w:val="00CF2664"/>
    <w:rsid w:val="00CF26E5"/>
    <w:rsid w:val="00CF29CB"/>
    <w:rsid w:val="00CF2C6F"/>
    <w:rsid w:val="00CF2C74"/>
    <w:rsid w:val="00CF2E4F"/>
    <w:rsid w:val="00CF2F93"/>
    <w:rsid w:val="00CF31BD"/>
    <w:rsid w:val="00CF354F"/>
    <w:rsid w:val="00CF3552"/>
    <w:rsid w:val="00CF35D6"/>
    <w:rsid w:val="00CF3A1E"/>
    <w:rsid w:val="00CF3B30"/>
    <w:rsid w:val="00CF3E26"/>
    <w:rsid w:val="00CF3F35"/>
    <w:rsid w:val="00CF45A6"/>
    <w:rsid w:val="00CF4B05"/>
    <w:rsid w:val="00CF4B1E"/>
    <w:rsid w:val="00CF4E5F"/>
    <w:rsid w:val="00CF4E63"/>
    <w:rsid w:val="00CF5081"/>
    <w:rsid w:val="00CF508A"/>
    <w:rsid w:val="00CF51B0"/>
    <w:rsid w:val="00CF51ED"/>
    <w:rsid w:val="00CF5223"/>
    <w:rsid w:val="00CF52F6"/>
    <w:rsid w:val="00CF5574"/>
    <w:rsid w:val="00CF565D"/>
    <w:rsid w:val="00CF5A8A"/>
    <w:rsid w:val="00CF5D8B"/>
    <w:rsid w:val="00CF5E84"/>
    <w:rsid w:val="00CF5F04"/>
    <w:rsid w:val="00CF6645"/>
    <w:rsid w:val="00CF6789"/>
    <w:rsid w:val="00CF6877"/>
    <w:rsid w:val="00CF6BA0"/>
    <w:rsid w:val="00CF6C70"/>
    <w:rsid w:val="00CF7122"/>
    <w:rsid w:val="00CF72CD"/>
    <w:rsid w:val="00CF7986"/>
    <w:rsid w:val="00CF79FB"/>
    <w:rsid w:val="00CF7C33"/>
    <w:rsid w:val="00D003BB"/>
    <w:rsid w:val="00D004F8"/>
    <w:rsid w:val="00D006B7"/>
    <w:rsid w:val="00D0085F"/>
    <w:rsid w:val="00D00905"/>
    <w:rsid w:val="00D00BA4"/>
    <w:rsid w:val="00D00CE2"/>
    <w:rsid w:val="00D013C5"/>
    <w:rsid w:val="00D013E0"/>
    <w:rsid w:val="00D01525"/>
    <w:rsid w:val="00D01601"/>
    <w:rsid w:val="00D01A2A"/>
    <w:rsid w:val="00D01FE9"/>
    <w:rsid w:val="00D0257F"/>
    <w:rsid w:val="00D025DB"/>
    <w:rsid w:val="00D0273D"/>
    <w:rsid w:val="00D02C4F"/>
    <w:rsid w:val="00D030BA"/>
    <w:rsid w:val="00D03621"/>
    <w:rsid w:val="00D0378A"/>
    <w:rsid w:val="00D03845"/>
    <w:rsid w:val="00D03BC2"/>
    <w:rsid w:val="00D0427E"/>
    <w:rsid w:val="00D04CBD"/>
    <w:rsid w:val="00D0555E"/>
    <w:rsid w:val="00D0567A"/>
    <w:rsid w:val="00D056C6"/>
    <w:rsid w:val="00D0585C"/>
    <w:rsid w:val="00D05912"/>
    <w:rsid w:val="00D05AB2"/>
    <w:rsid w:val="00D062DA"/>
    <w:rsid w:val="00D06550"/>
    <w:rsid w:val="00D066B8"/>
    <w:rsid w:val="00D0681D"/>
    <w:rsid w:val="00D06BF0"/>
    <w:rsid w:val="00D06C10"/>
    <w:rsid w:val="00D06D7D"/>
    <w:rsid w:val="00D06EAA"/>
    <w:rsid w:val="00D0709B"/>
    <w:rsid w:val="00D0732C"/>
    <w:rsid w:val="00D0732E"/>
    <w:rsid w:val="00D07652"/>
    <w:rsid w:val="00D076AA"/>
    <w:rsid w:val="00D076E1"/>
    <w:rsid w:val="00D077F0"/>
    <w:rsid w:val="00D0786D"/>
    <w:rsid w:val="00D07AAF"/>
    <w:rsid w:val="00D07E2D"/>
    <w:rsid w:val="00D07ED9"/>
    <w:rsid w:val="00D105AC"/>
    <w:rsid w:val="00D10B02"/>
    <w:rsid w:val="00D10CB7"/>
    <w:rsid w:val="00D11241"/>
    <w:rsid w:val="00D112D9"/>
    <w:rsid w:val="00D114BE"/>
    <w:rsid w:val="00D114D1"/>
    <w:rsid w:val="00D11533"/>
    <w:rsid w:val="00D11B23"/>
    <w:rsid w:val="00D11CDE"/>
    <w:rsid w:val="00D11F91"/>
    <w:rsid w:val="00D11FA2"/>
    <w:rsid w:val="00D12011"/>
    <w:rsid w:val="00D12121"/>
    <w:rsid w:val="00D12249"/>
    <w:rsid w:val="00D1247D"/>
    <w:rsid w:val="00D1284E"/>
    <w:rsid w:val="00D12958"/>
    <w:rsid w:val="00D12D6E"/>
    <w:rsid w:val="00D130B9"/>
    <w:rsid w:val="00D1317D"/>
    <w:rsid w:val="00D1329E"/>
    <w:rsid w:val="00D135D8"/>
    <w:rsid w:val="00D13B42"/>
    <w:rsid w:val="00D13DE7"/>
    <w:rsid w:val="00D13EC2"/>
    <w:rsid w:val="00D1442A"/>
    <w:rsid w:val="00D1447F"/>
    <w:rsid w:val="00D14AA6"/>
    <w:rsid w:val="00D14D83"/>
    <w:rsid w:val="00D15144"/>
    <w:rsid w:val="00D151E7"/>
    <w:rsid w:val="00D15521"/>
    <w:rsid w:val="00D15920"/>
    <w:rsid w:val="00D15965"/>
    <w:rsid w:val="00D15C5B"/>
    <w:rsid w:val="00D15E1B"/>
    <w:rsid w:val="00D15E8B"/>
    <w:rsid w:val="00D15FD3"/>
    <w:rsid w:val="00D1627C"/>
    <w:rsid w:val="00D163F2"/>
    <w:rsid w:val="00D16411"/>
    <w:rsid w:val="00D1646A"/>
    <w:rsid w:val="00D16484"/>
    <w:rsid w:val="00D1725F"/>
    <w:rsid w:val="00D17338"/>
    <w:rsid w:val="00D1734A"/>
    <w:rsid w:val="00D1753F"/>
    <w:rsid w:val="00D176E8"/>
    <w:rsid w:val="00D17769"/>
    <w:rsid w:val="00D17E84"/>
    <w:rsid w:val="00D204F7"/>
    <w:rsid w:val="00D20802"/>
    <w:rsid w:val="00D208D8"/>
    <w:rsid w:val="00D210A6"/>
    <w:rsid w:val="00D21334"/>
    <w:rsid w:val="00D21648"/>
    <w:rsid w:val="00D21A84"/>
    <w:rsid w:val="00D21ADC"/>
    <w:rsid w:val="00D21AEF"/>
    <w:rsid w:val="00D21D16"/>
    <w:rsid w:val="00D21F1E"/>
    <w:rsid w:val="00D220D4"/>
    <w:rsid w:val="00D22401"/>
    <w:rsid w:val="00D2281F"/>
    <w:rsid w:val="00D22B55"/>
    <w:rsid w:val="00D22EB1"/>
    <w:rsid w:val="00D230F7"/>
    <w:rsid w:val="00D232C0"/>
    <w:rsid w:val="00D232C1"/>
    <w:rsid w:val="00D23613"/>
    <w:rsid w:val="00D2384D"/>
    <w:rsid w:val="00D23860"/>
    <w:rsid w:val="00D23988"/>
    <w:rsid w:val="00D23E7F"/>
    <w:rsid w:val="00D23F8F"/>
    <w:rsid w:val="00D23FB1"/>
    <w:rsid w:val="00D241DD"/>
    <w:rsid w:val="00D242CC"/>
    <w:rsid w:val="00D2520E"/>
    <w:rsid w:val="00D252E8"/>
    <w:rsid w:val="00D25324"/>
    <w:rsid w:val="00D25701"/>
    <w:rsid w:val="00D2582A"/>
    <w:rsid w:val="00D2583E"/>
    <w:rsid w:val="00D25ECE"/>
    <w:rsid w:val="00D266EF"/>
    <w:rsid w:val="00D26ACB"/>
    <w:rsid w:val="00D26AFD"/>
    <w:rsid w:val="00D26F80"/>
    <w:rsid w:val="00D2703F"/>
    <w:rsid w:val="00D2738B"/>
    <w:rsid w:val="00D2746D"/>
    <w:rsid w:val="00D27683"/>
    <w:rsid w:val="00D27A11"/>
    <w:rsid w:val="00D27AE5"/>
    <w:rsid w:val="00D27CA4"/>
    <w:rsid w:val="00D27E91"/>
    <w:rsid w:val="00D30034"/>
    <w:rsid w:val="00D304CB"/>
    <w:rsid w:val="00D306BA"/>
    <w:rsid w:val="00D30965"/>
    <w:rsid w:val="00D3142D"/>
    <w:rsid w:val="00D31486"/>
    <w:rsid w:val="00D31686"/>
    <w:rsid w:val="00D3169C"/>
    <w:rsid w:val="00D31AD9"/>
    <w:rsid w:val="00D32051"/>
    <w:rsid w:val="00D32075"/>
    <w:rsid w:val="00D3249E"/>
    <w:rsid w:val="00D32965"/>
    <w:rsid w:val="00D32A04"/>
    <w:rsid w:val="00D32A13"/>
    <w:rsid w:val="00D32B52"/>
    <w:rsid w:val="00D32CB5"/>
    <w:rsid w:val="00D32F6B"/>
    <w:rsid w:val="00D33029"/>
    <w:rsid w:val="00D33A5C"/>
    <w:rsid w:val="00D33B79"/>
    <w:rsid w:val="00D33C64"/>
    <w:rsid w:val="00D33D82"/>
    <w:rsid w:val="00D33DC8"/>
    <w:rsid w:val="00D33E3F"/>
    <w:rsid w:val="00D33EA3"/>
    <w:rsid w:val="00D33F41"/>
    <w:rsid w:val="00D347D5"/>
    <w:rsid w:val="00D34865"/>
    <w:rsid w:val="00D34ADF"/>
    <w:rsid w:val="00D34EFD"/>
    <w:rsid w:val="00D34F0C"/>
    <w:rsid w:val="00D3507E"/>
    <w:rsid w:val="00D35271"/>
    <w:rsid w:val="00D353D7"/>
    <w:rsid w:val="00D3574B"/>
    <w:rsid w:val="00D35983"/>
    <w:rsid w:val="00D35EE5"/>
    <w:rsid w:val="00D36223"/>
    <w:rsid w:val="00D36250"/>
    <w:rsid w:val="00D36364"/>
    <w:rsid w:val="00D367C3"/>
    <w:rsid w:val="00D36890"/>
    <w:rsid w:val="00D36C53"/>
    <w:rsid w:val="00D36E0A"/>
    <w:rsid w:val="00D36F1F"/>
    <w:rsid w:val="00D37226"/>
    <w:rsid w:val="00D3738F"/>
    <w:rsid w:val="00D373BC"/>
    <w:rsid w:val="00D378EA"/>
    <w:rsid w:val="00D37ADC"/>
    <w:rsid w:val="00D37B94"/>
    <w:rsid w:val="00D37BE0"/>
    <w:rsid w:val="00D37D09"/>
    <w:rsid w:val="00D37E91"/>
    <w:rsid w:val="00D37F32"/>
    <w:rsid w:val="00D406CD"/>
    <w:rsid w:val="00D407F7"/>
    <w:rsid w:val="00D4083F"/>
    <w:rsid w:val="00D40981"/>
    <w:rsid w:val="00D40B3F"/>
    <w:rsid w:val="00D40C08"/>
    <w:rsid w:val="00D415F3"/>
    <w:rsid w:val="00D416D4"/>
    <w:rsid w:val="00D41A9E"/>
    <w:rsid w:val="00D4205B"/>
    <w:rsid w:val="00D42117"/>
    <w:rsid w:val="00D423A0"/>
    <w:rsid w:val="00D423AD"/>
    <w:rsid w:val="00D428AC"/>
    <w:rsid w:val="00D42D00"/>
    <w:rsid w:val="00D42E79"/>
    <w:rsid w:val="00D4343C"/>
    <w:rsid w:val="00D43476"/>
    <w:rsid w:val="00D43726"/>
    <w:rsid w:val="00D4387A"/>
    <w:rsid w:val="00D438A2"/>
    <w:rsid w:val="00D43B0B"/>
    <w:rsid w:val="00D43BE0"/>
    <w:rsid w:val="00D43E25"/>
    <w:rsid w:val="00D44211"/>
    <w:rsid w:val="00D447D7"/>
    <w:rsid w:val="00D4490C"/>
    <w:rsid w:val="00D44BCF"/>
    <w:rsid w:val="00D44E59"/>
    <w:rsid w:val="00D44F1C"/>
    <w:rsid w:val="00D44F91"/>
    <w:rsid w:val="00D44FE4"/>
    <w:rsid w:val="00D4508E"/>
    <w:rsid w:val="00D45106"/>
    <w:rsid w:val="00D45176"/>
    <w:rsid w:val="00D453B5"/>
    <w:rsid w:val="00D4579D"/>
    <w:rsid w:val="00D459AC"/>
    <w:rsid w:val="00D45ADE"/>
    <w:rsid w:val="00D45C9D"/>
    <w:rsid w:val="00D45DF1"/>
    <w:rsid w:val="00D4623E"/>
    <w:rsid w:val="00D46483"/>
    <w:rsid w:val="00D4655B"/>
    <w:rsid w:val="00D46574"/>
    <w:rsid w:val="00D46982"/>
    <w:rsid w:val="00D46D3E"/>
    <w:rsid w:val="00D46F33"/>
    <w:rsid w:val="00D47483"/>
    <w:rsid w:val="00D47557"/>
    <w:rsid w:val="00D47582"/>
    <w:rsid w:val="00D478F5"/>
    <w:rsid w:val="00D47A79"/>
    <w:rsid w:val="00D47A90"/>
    <w:rsid w:val="00D47CD6"/>
    <w:rsid w:val="00D47DC1"/>
    <w:rsid w:val="00D503B0"/>
    <w:rsid w:val="00D503FF"/>
    <w:rsid w:val="00D50506"/>
    <w:rsid w:val="00D506C7"/>
    <w:rsid w:val="00D50826"/>
    <w:rsid w:val="00D50C61"/>
    <w:rsid w:val="00D50DCF"/>
    <w:rsid w:val="00D50F54"/>
    <w:rsid w:val="00D51247"/>
    <w:rsid w:val="00D5176C"/>
    <w:rsid w:val="00D5192F"/>
    <w:rsid w:val="00D52473"/>
    <w:rsid w:val="00D52811"/>
    <w:rsid w:val="00D52817"/>
    <w:rsid w:val="00D52927"/>
    <w:rsid w:val="00D52B9C"/>
    <w:rsid w:val="00D52EBB"/>
    <w:rsid w:val="00D52F7E"/>
    <w:rsid w:val="00D530DF"/>
    <w:rsid w:val="00D531E9"/>
    <w:rsid w:val="00D54294"/>
    <w:rsid w:val="00D5434F"/>
    <w:rsid w:val="00D544DF"/>
    <w:rsid w:val="00D54B3F"/>
    <w:rsid w:val="00D54E9D"/>
    <w:rsid w:val="00D5510B"/>
    <w:rsid w:val="00D552FC"/>
    <w:rsid w:val="00D55303"/>
    <w:rsid w:val="00D5535E"/>
    <w:rsid w:val="00D5559F"/>
    <w:rsid w:val="00D55773"/>
    <w:rsid w:val="00D55787"/>
    <w:rsid w:val="00D558BB"/>
    <w:rsid w:val="00D5599C"/>
    <w:rsid w:val="00D559B0"/>
    <w:rsid w:val="00D55EAD"/>
    <w:rsid w:val="00D55F2A"/>
    <w:rsid w:val="00D56702"/>
    <w:rsid w:val="00D56B83"/>
    <w:rsid w:val="00D56C97"/>
    <w:rsid w:val="00D56D10"/>
    <w:rsid w:val="00D57214"/>
    <w:rsid w:val="00D572CD"/>
    <w:rsid w:val="00D5770E"/>
    <w:rsid w:val="00D57836"/>
    <w:rsid w:val="00D5790F"/>
    <w:rsid w:val="00D57AFB"/>
    <w:rsid w:val="00D57EE7"/>
    <w:rsid w:val="00D604AF"/>
    <w:rsid w:val="00D607C5"/>
    <w:rsid w:val="00D609E8"/>
    <w:rsid w:val="00D60BD8"/>
    <w:rsid w:val="00D60CD3"/>
    <w:rsid w:val="00D61475"/>
    <w:rsid w:val="00D61627"/>
    <w:rsid w:val="00D61A77"/>
    <w:rsid w:val="00D61CA0"/>
    <w:rsid w:val="00D61D87"/>
    <w:rsid w:val="00D62202"/>
    <w:rsid w:val="00D62945"/>
    <w:rsid w:val="00D62A9F"/>
    <w:rsid w:val="00D63025"/>
    <w:rsid w:val="00D6329C"/>
    <w:rsid w:val="00D63321"/>
    <w:rsid w:val="00D63382"/>
    <w:rsid w:val="00D6351A"/>
    <w:rsid w:val="00D63C20"/>
    <w:rsid w:val="00D63F3B"/>
    <w:rsid w:val="00D63FF4"/>
    <w:rsid w:val="00D6405D"/>
    <w:rsid w:val="00D64209"/>
    <w:rsid w:val="00D6441B"/>
    <w:rsid w:val="00D6441D"/>
    <w:rsid w:val="00D64484"/>
    <w:rsid w:val="00D64938"/>
    <w:rsid w:val="00D64AF1"/>
    <w:rsid w:val="00D64C74"/>
    <w:rsid w:val="00D64DCA"/>
    <w:rsid w:val="00D64EC4"/>
    <w:rsid w:val="00D65168"/>
    <w:rsid w:val="00D652BF"/>
    <w:rsid w:val="00D65342"/>
    <w:rsid w:val="00D656C9"/>
    <w:rsid w:val="00D65D48"/>
    <w:rsid w:val="00D66028"/>
    <w:rsid w:val="00D66276"/>
    <w:rsid w:val="00D665EE"/>
    <w:rsid w:val="00D66C83"/>
    <w:rsid w:val="00D66D31"/>
    <w:rsid w:val="00D67479"/>
    <w:rsid w:val="00D67651"/>
    <w:rsid w:val="00D70301"/>
    <w:rsid w:val="00D708EE"/>
    <w:rsid w:val="00D70A1F"/>
    <w:rsid w:val="00D70A27"/>
    <w:rsid w:val="00D70D42"/>
    <w:rsid w:val="00D710D5"/>
    <w:rsid w:val="00D7128D"/>
    <w:rsid w:val="00D7141E"/>
    <w:rsid w:val="00D71C25"/>
    <w:rsid w:val="00D71FF9"/>
    <w:rsid w:val="00D720A3"/>
    <w:rsid w:val="00D72A2F"/>
    <w:rsid w:val="00D72ACA"/>
    <w:rsid w:val="00D72F6B"/>
    <w:rsid w:val="00D738EA"/>
    <w:rsid w:val="00D73A50"/>
    <w:rsid w:val="00D73C16"/>
    <w:rsid w:val="00D73C69"/>
    <w:rsid w:val="00D73ED2"/>
    <w:rsid w:val="00D745D6"/>
    <w:rsid w:val="00D748F5"/>
    <w:rsid w:val="00D74B56"/>
    <w:rsid w:val="00D74D90"/>
    <w:rsid w:val="00D74F76"/>
    <w:rsid w:val="00D75082"/>
    <w:rsid w:val="00D750A0"/>
    <w:rsid w:val="00D756CD"/>
    <w:rsid w:val="00D75B87"/>
    <w:rsid w:val="00D75ECB"/>
    <w:rsid w:val="00D75EE0"/>
    <w:rsid w:val="00D75F9F"/>
    <w:rsid w:val="00D75FA3"/>
    <w:rsid w:val="00D7602B"/>
    <w:rsid w:val="00D76159"/>
    <w:rsid w:val="00D767E2"/>
    <w:rsid w:val="00D76EB4"/>
    <w:rsid w:val="00D7720D"/>
    <w:rsid w:val="00D77473"/>
    <w:rsid w:val="00D775BF"/>
    <w:rsid w:val="00D778F7"/>
    <w:rsid w:val="00D77A20"/>
    <w:rsid w:val="00D77BAB"/>
    <w:rsid w:val="00D77E4F"/>
    <w:rsid w:val="00D8014A"/>
    <w:rsid w:val="00D80655"/>
    <w:rsid w:val="00D808B7"/>
    <w:rsid w:val="00D808B8"/>
    <w:rsid w:val="00D80B14"/>
    <w:rsid w:val="00D80CA0"/>
    <w:rsid w:val="00D81386"/>
    <w:rsid w:val="00D813C6"/>
    <w:rsid w:val="00D8146E"/>
    <w:rsid w:val="00D81819"/>
    <w:rsid w:val="00D8235A"/>
    <w:rsid w:val="00D82903"/>
    <w:rsid w:val="00D829CC"/>
    <w:rsid w:val="00D82AC7"/>
    <w:rsid w:val="00D82CA4"/>
    <w:rsid w:val="00D82CB8"/>
    <w:rsid w:val="00D82DCA"/>
    <w:rsid w:val="00D82F72"/>
    <w:rsid w:val="00D83257"/>
    <w:rsid w:val="00D836A5"/>
    <w:rsid w:val="00D844D9"/>
    <w:rsid w:val="00D84638"/>
    <w:rsid w:val="00D846CF"/>
    <w:rsid w:val="00D84873"/>
    <w:rsid w:val="00D84B21"/>
    <w:rsid w:val="00D85085"/>
    <w:rsid w:val="00D853A4"/>
    <w:rsid w:val="00D854E9"/>
    <w:rsid w:val="00D85973"/>
    <w:rsid w:val="00D85BFC"/>
    <w:rsid w:val="00D86042"/>
    <w:rsid w:val="00D86130"/>
    <w:rsid w:val="00D86405"/>
    <w:rsid w:val="00D868B3"/>
    <w:rsid w:val="00D86B1A"/>
    <w:rsid w:val="00D86BF3"/>
    <w:rsid w:val="00D86DDE"/>
    <w:rsid w:val="00D87383"/>
    <w:rsid w:val="00D87476"/>
    <w:rsid w:val="00D8749F"/>
    <w:rsid w:val="00D90128"/>
    <w:rsid w:val="00D905BD"/>
    <w:rsid w:val="00D9079C"/>
    <w:rsid w:val="00D9099B"/>
    <w:rsid w:val="00D90A5E"/>
    <w:rsid w:val="00D91172"/>
    <w:rsid w:val="00D9160F"/>
    <w:rsid w:val="00D91EA0"/>
    <w:rsid w:val="00D92023"/>
    <w:rsid w:val="00D921DA"/>
    <w:rsid w:val="00D92378"/>
    <w:rsid w:val="00D92B55"/>
    <w:rsid w:val="00D92BC7"/>
    <w:rsid w:val="00D933FB"/>
    <w:rsid w:val="00D93531"/>
    <w:rsid w:val="00D935E9"/>
    <w:rsid w:val="00D93658"/>
    <w:rsid w:val="00D936A0"/>
    <w:rsid w:val="00D937E0"/>
    <w:rsid w:val="00D93D32"/>
    <w:rsid w:val="00D93E41"/>
    <w:rsid w:val="00D940D5"/>
    <w:rsid w:val="00D940FA"/>
    <w:rsid w:val="00D94384"/>
    <w:rsid w:val="00D94B3B"/>
    <w:rsid w:val="00D94FE8"/>
    <w:rsid w:val="00D9505A"/>
    <w:rsid w:val="00D95117"/>
    <w:rsid w:val="00D95234"/>
    <w:rsid w:val="00D9581F"/>
    <w:rsid w:val="00D958C4"/>
    <w:rsid w:val="00D95EEB"/>
    <w:rsid w:val="00D960BC"/>
    <w:rsid w:val="00D96470"/>
    <w:rsid w:val="00D967F0"/>
    <w:rsid w:val="00D96932"/>
    <w:rsid w:val="00D96BA8"/>
    <w:rsid w:val="00D96C5C"/>
    <w:rsid w:val="00D96E3D"/>
    <w:rsid w:val="00D96E8B"/>
    <w:rsid w:val="00D96F3E"/>
    <w:rsid w:val="00D96F7D"/>
    <w:rsid w:val="00D9743D"/>
    <w:rsid w:val="00D97556"/>
    <w:rsid w:val="00D97598"/>
    <w:rsid w:val="00D97D5D"/>
    <w:rsid w:val="00DA0760"/>
    <w:rsid w:val="00DA1324"/>
    <w:rsid w:val="00DA13E5"/>
    <w:rsid w:val="00DA14DC"/>
    <w:rsid w:val="00DA1CC0"/>
    <w:rsid w:val="00DA1DC4"/>
    <w:rsid w:val="00DA1EC8"/>
    <w:rsid w:val="00DA25D9"/>
    <w:rsid w:val="00DA27D1"/>
    <w:rsid w:val="00DA27E7"/>
    <w:rsid w:val="00DA2943"/>
    <w:rsid w:val="00DA29C4"/>
    <w:rsid w:val="00DA2DEA"/>
    <w:rsid w:val="00DA31E2"/>
    <w:rsid w:val="00DA3201"/>
    <w:rsid w:val="00DA3519"/>
    <w:rsid w:val="00DA35E2"/>
    <w:rsid w:val="00DA3B8F"/>
    <w:rsid w:val="00DA3F9D"/>
    <w:rsid w:val="00DA40D5"/>
    <w:rsid w:val="00DA475E"/>
    <w:rsid w:val="00DA4A61"/>
    <w:rsid w:val="00DA4C5A"/>
    <w:rsid w:val="00DA4E0A"/>
    <w:rsid w:val="00DA5783"/>
    <w:rsid w:val="00DA583B"/>
    <w:rsid w:val="00DA5BD4"/>
    <w:rsid w:val="00DA6257"/>
    <w:rsid w:val="00DA629E"/>
    <w:rsid w:val="00DA6421"/>
    <w:rsid w:val="00DA6662"/>
    <w:rsid w:val="00DA6921"/>
    <w:rsid w:val="00DA6BAE"/>
    <w:rsid w:val="00DA70A3"/>
    <w:rsid w:val="00DA7DE1"/>
    <w:rsid w:val="00DA7E50"/>
    <w:rsid w:val="00DB0118"/>
    <w:rsid w:val="00DB0344"/>
    <w:rsid w:val="00DB0787"/>
    <w:rsid w:val="00DB0AE1"/>
    <w:rsid w:val="00DB0B3D"/>
    <w:rsid w:val="00DB1155"/>
    <w:rsid w:val="00DB1258"/>
    <w:rsid w:val="00DB12B2"/>
    <w:rsid w:val="00DB17DB"/>
    <w:rsid w:val="00DB194D"/>
    <w:rsid w:val="00DB1CA4"/>
    <w:rsid w:val="00DB1CD9"/>
    <w:rsid w:val="00DB1D35"/>
    <w:rsid w:val="00DB22C4"/>
    <w:rsid w:val="00DB327D"/>
    <w:rsid w:val="00DB39B3"/>
    <w:rsid w:val="00DB40F5"/>
    <w:rsid w:val="00DB4165"/>
    <w:rsid w:val="00DB4587"/>
    <w:rsid w:val="00DB4740"/>
    <w:rsid w:val="00DB4749"/>
    <w:rsid w:val="00DB478B"/>
    <w:rsid w:val="00DB4B71"/>
    <w:rsid w:val="00DB5657"/>
    <w:rsid w:val="00DB5A98"/>
    <w:rsid w:val="00DB5BFB"/>
    <w:rsid w:val="00DB5CA9"/>
    <w:rsid w:val="00DB5CD8"/>
    <w:rsid w:val="00DB5D3B"/>
    <w:rsid w:val="00DB5FB4"/>
    <w:rsid w:val="00DB6041"/>
    <w:rsid w:val="00DB63C8"/>
    <w:rsid w:val="00DB6604"/>
    <w:rsid w:val="00DB66B9"/>
    <w:rsid w:val="00DB66C1"/>
    <w:rsid w:val="00DB66CF"/>
    <w:rsid w:val="00DB6853"/>
    <w:rsid w:val="00DB69BC"/>
    <w:rsid w:val="00DB7383"/>
    <w:rsid w:val="00DB75A6"/>
    <w:rsid w:val="00DB7A8F"/>
    <w:rsid w:val="00DB7D12"/>
    <w:rsid w:val="00DC006C"/>
    <w:rsid w:val="00DC0319"/>
    <w:rsid w:val="00DC0502"/>
    <w:rsid w:val="00DC0673"/>
    <w:rsid w:val="00DC0CBC"/>
    <w:rsid w:val="00DC0D38"/>
    <w:rsid w:val="00DC0D92"/>
    <w:rsid w:val="00DC0E04"/>
    <w:rsid w:val="00DC1165"/>
    <w:rsid w:val="00DC15C7"/>
    <w:rsid w:val="00DC15D6"/>
    <w:rsid w:val="00DC15DB"/>
    <w:rsid w:val="00DC1761"/>
    <w:rsid w:val="00DC1B6D"/>
    <w:rsid w:val="00DC1C46"/>
    <w:rsid w:val="00DC1EA8"/>
    <w:rsid w:val="00DC2383"/>
    <w:rsid w:val="00DC246C"/>
    <w:rsid w:val="00DC24FF"/>
    <w:rsid w:val="00DC27E0"/>
    <w:rsid w:val="00DC3452"/>
    <w:rsid w:val="00DC3BE9"/>
    <w:rsid w:val="00DC3CA3"/>
    <w:rsid w:val="00DC47DB"/>
    <w:rsid w:val="00DC48EC"/>
    <w:rsid w:val="00DC4909"/>
    <w:rsid w:val="00DC497C"/>
    <w:rsid w:val="00DC4E43"/>
    <w:rsid w:val="00DC4F16"/>
    <w:rsid w:val="00DC4FE5"/>
    <w:rsid w:val="00DC50DF"/>
    <w:rsid w:val="00DC50E1"/>
    <w:rsid w:val="00DC55E8"/>
    <w:rsid w:val="00DC5755"/>
    <w:rsid w:val="00DC598A"/>
    <w:rsid w:val="00DC5A33"/>
    <w:rsid w:val="00DC5C3C"/>
    <w:rsid w:val="00DC5CFE"/>
    <w:rsid w:val="00DC5E3B"/>
    <w:rsid w:val="00DC61F4"/>
    <w:rsid w:val="00DC63AD"/>
    <w:rsid w:val="00DC6984"/>
    <w:rsid w:val="00DC6AEA"/>
    <w:rsid w:val="00DC6AF0"/>
    <w:rsid w:val="00DC6B1D"/>
    <w:rsid w:val="00DC6D43"/>
    <w:rsid w:val="00DC71D8"/>
    <w:rsid w:val="00DC7292"/>
    <w:rsid w:val="00DC7C22"/>
    <w:rsid w:val="00DD114E"/>
    <w:rsid w:val="00DD1571"/>
    <w:rsid w:val="00DD18D5"/>
    <w:rsid w:val="00DD1D0D"/>
    <w:rsid w:val="00DD1D31"/>
    <w:rsid w:val="00DD1E7B"/>
    <w:rsid w:val="00DD1FE4"/>
    <w:rsid w:val="00DD239A"/>
    <w:rsid w:val="00DD2640"/>
    <w:rsid w:val="00DD26DB"/>
    <w:rsid w:val="00DD2DB7"/>
    <w:rsid w:val="00DD31EC"/>
    <w:rsid w:val="00DD353F"/>
    <w:rsid w:val="00DD381C"/>
    <w:rsid w:val="00DD39DB"/>
    <w:rsid w:val="00DD3E82"/>
    <w:rsid w:val="00DD3EAF"/>
    <w:rsid w:val="00DD446A"/>
    <w:rsid w:val="00DD4657"/>
    <w:rsid w:val="00DD4E2F"/>
    <w:rsid w:val="00DD5FB9"/>
    <w:rsid w:val="00DD6402"/>
    <w:rsid w:val="00DD69BB"/>
    <w:rsid w:val="00DD6E05"/>
    <w:rsid w:val="00DD6FAE"/>
    <w:rsid w:val="00DD711C"/>
    <w:rsid w:val="00DD713C"/>
    <w:rsid w:val="00DD718C"/>
    <w:rsid w:val="00DD71B3"/>
    <w:rsid w:val="00DD742C"/>
    <w:rsid w:val="00DD7753"/>
    <w:rsid w:val="00DD7B3F"/>
    <w:rsid w:val="00DD7D8E"/>
    <w:rsid w:val="00DD7F16"/>
    <w:rsid w:val="00DE017E"/>
    <w:rsid w:val="00DE0470"/>
    <w:rsid w:val="00DE07B9"/>
    <w:rsid w:val="00DE0CE4"/>
    <w:rsid w:val="00DE1221"/>
    <w:rsid w:val="00DE1236"/>
    <w:rsid w:val="00DE13AD"/>
    <w:rsid w:val="00DE1694"/>
    <w:rsid w:val="00DE1B76"/>
    <w:rsid w:val="00DE1CCB"/>
    <w:rsid w:val="00DE1EE0"/>
    <w:rsid w:val="00DE22D5"/>
    <w:rsid w:val="00DE23B4"/>
    <w:rsid w:val="00DE24A2"/>
    <w:rsid w:val="00DE256F"/>
    <w:rsid w:val="00DE278D"/>
    <w:rsid w:val="00DE2AE0"/>
    <w:rsid w:val="00DE2B1C"/>
    <w:rsid w:val="00DE2CFE"/>
    <w:rsid w:val="00DE2F18"/>
    <w:rsid w:val="00DE2FA1"/>
    <w:rsid w:val="00DE3283"/>
    <w:rsid w:val="00DE353F"/>
    <w:rsid w:val="00DE3A71"/>
    <w:rsid w:val="00DE3BCA"/>
    <w:rsid w:val="00DE4023"/>
    <w:rsid w:val="00DE40CC"/>
    <w:rsid w:val="00DE4233"/>
    <w:rsid w:val="00DE47EB"/>
    <w:rsid w:val="00DE4A04"/>
    <w:rsid w:val="00DE54ED"/>
    <w:rsid w:val="00DE57D2"/>
    <w:rsid w:val="00DE600F"/>
    <w:rsid w:val="00DE6018"/>
    <w:rsid w:val="00DE6416"/>
    <w:rsid w:val="00DE6656"/>
    <w:rsid w:val="00DE687E"/>
    <w:rsid w:val="00DE6B95"/>
    <w:rsid w:val="00DE6C2B"/>
    <w:rsid w:val="00DE6E8D"/>
    <w:rsid w:val="00DE6EF7"/>
    <w:rsid w:val="00DE73BE"/>
    <w:rsid w:val="00DE77E3"/>
    <w:rsid w:val="00DE7B5A"/>
    <w:rsid w:val="00DE7C56"/>
    <w:rsid w:val="00DE7D1B"/>
    <w:rsid w:val="00DE7D81"/>
    <w:rsid w:val="00DE7EDA"/>
    <w:rsid w:val="00DF033C"/>
    <w:rsid w:val="00DF0368"/>
    <w:rsid w:val="00DF0543"/>
    <w:rsid w:val="00DF0689"/>
    <w:rsid w:val="00DF0711"/>
    <w:rsid w:val="00DF096C"/>
    <w:rsid w:val="00DF1009"/>
    <w:rsid w:val="00DF136D"/>
    <w:rsid w:val="00DF19BD"/>
    <w:rsid w:val="00DF1CEB"/>
    <w:rsid w:val="00DF1D3F"/>
    <w:rsid w:val="00DF1DD5"/>
    <w:rsid w:val="00DF1E09"/>
    <w:rsid w:val="00DF2095"/>
    <w:rsid w:val="00DF2148"/>
    <w:rsid w:val="00DF21B0"/>
    <w:rsid w:val="00DF2601"/>
    <w:rsid w:val="00DF2C88"/>
    <w:rsid w:val="00DF314B"/>
    <w:rsid w:val="00DF3980"/>
    <w:rsid w:val="00DF42BF"/>
    <w:rsid w:val="00DF4850"/>
    <w:rsid w:val="00DF49C3"/>
    <w:rsid w:val="00DF4AD0"/>
    <w:rsid w:val="00DF4D19"/>
    <w:rsid w:val="00DF4DE8"/>
    <w:rsid w:val="00DF5230"/>
    <w:rsid w:val="00DF5405"/>
    <w:rsid w:val="00DF5B26"/>
    <w:rsid w:val="00DF5D05"/>
    <w:rsid w:val="00DF5DE4"/>
    <w:rsid w:val="00DF663D"/>
    <w:rsid w:val="00DF68BB"/>
    <w:rsid w:val="00DF6A34"/>
    <w:rsid w:val="00DF6C55"/>
    <w:rsid w:val="00DF7165"/>
    <w:rsid w:val="00DF746F"/>
    <w:rsid w:val="00DF7563"/>
    <w:rsid w:val="00DF7E9F"/>
    <w:rsid w:val="00E00052"/>
    <w:rsid w:val="00E0005B"/>
    <w:rsid w:val="00E0014B"/>
    <w:rsid w:val="00E008CD"/>
    <w:rsid w:val="00E009A1"/>
    <w:rsid w:val="00E00C63"/>
    <w:rsid w:val="00E01243"/>
    <w:rsid w:val="00E01413"/>
    <w:rsid w:val="00E01735"/>
    <w:rsid w:val="00E01739"/>
    <w:rsid w:val="00E01A49"/>
    <w:rsid w:val="00E01BB3"/>
    <w:rsid w:val="00E01DA6"/>
    <w:rsid w:val="00E01F58"/>
    <w:rsid w:val="00E02060"/>
    <w:rsid w:val="00E024C4"/>
    <w:rsid w:val="00E024E8"/>
    <w:rsid w:val="00E02A9B"/>
    <w:rsid w:val="00E02CD1"/>
    <w:rsid w:val="00E02F59"/>
    <w:rsid w:val="00E02FC3"/>
    <w:rsid w:val="00E03332"/>
    <w:rsid w:val="00E03837"/>
    <w:rsid w:val="00E03D1E"/>
    <w:rsid w:val="00E040A1"/>
    <w:rsid w:val="00E04519"/>
    <w:rsid w:val="00E04ADA"/>
    <w:rsid w:val="00E04EA2"/>
    <w:rsid w:val="00E0567B"/>
    <w:rsid w:val="00E057EE"/>
    <w:rsid w:val="00E05C9C"/>
    <w:rsid w:val="00E05CB9"/>
    <w:rsid w:val="00E0609D"/>
    <w:rsid w:val="00E06165"/>
    <w:rsid w:val="00E0669C"/>
    <w:rsid w:val="00E066A9"/>
    <w:rsid w:val="00E067F1"/>
    <w:rsid w:val="00E06C19"/>
    <w:rsid w:val="00E06E96"/>
    <w:rsid w:val="00E073AF"/>
    <w:rsid w:val="00E074DE"/>
    <w:rsid w:val="00E07601"/>
    <w:rsid w:val="00E07A70"/>
    <w:rsid w:val="00E07D01"/>
    <w:rsid w:val="00E07F35"/>
    <w:rsid w:val="00E10516"/>
    <w:rsid w:val="00E10536"/>
    <w:rsid w:val="00E106CC"/>
    <w:rsid w:val="00E10798"/>
    <w:rsid w:val="00E10916"/>
    <w:rsid w:val="00E10D18"/>
    <w:rsid w:val="00E10DD1"/>
    <w:rsid w:val="00E11061"/>
    <w:rsid w:val="00E111CF"/>
    <w:rsid w:val="00E11241"/>
    <w:rsid w:val="00E112CC"/>
    <w:rsid w:val="00E11305"/>
    <w:rsid w:val="00E114C1"/>
    <w:rsid w:val="00E1159E"/>
    <w:rsid w:val="00E118D1"/>
    <w:rsid w:val="00E122CE"/>
    <w:rsid w:val="00E12DAF"/>
    <w:rsid w:val="00E12E43"/>
    <w:rsid w:val="00E131EC"/>
    <w:rsid w:val="00E13358"/>
    <w:rsid w:val="00E137F4"/>
    <w:rsid w:val="00E13C73"/>
    <w:rsid w:val="00E1401E"/>
    <w:rsid w:val="00E14711"/>
    <w:rsid w:val="00E14DDF"/>
    <w:rsid w:val="00E15236"/>
    <w:rsid w:val="00E152AB"/>
    <w:rsid w:val="00E152AC"/>
    <w:rsid w:val="00E1588A"/>
    <w:rsid w:val="00E159F3"/>
    <w:rsid w:val="00E15F6B"/>
    <w:rsid w:val="00E16062"/>
    <w:rsid w:val="00E161CA"/>
    <w:rsid w:val="00E1622E"/>
    <w:rsid w:val="00E16731"/>
    <w:rsid w:val="00E16871"/>
    <w:rsid w:val="00E16A28"/>
    <w:rsid w:val="00E16BC7"/>
    <w:rsid w:val="00E16E2D"/>
    <w:rsid w:val="00E2014B"/>
    <w:rsid w:val="00E20278"/>
    <w:rsid w:val="00E204FC"/>
    <w:rsid w:val="00E206BB"/>
    <w:rsid w:val="00E2099D"/>
    <w:rsid w:val="00E20ADB"/>
    <w:rsid w:val="00E20B62"/>
    <w:rsid w:val="00E20D5A"/>
    <w:rsid w:val="00E20EC1"/>
    <w:rsid w:val="00E219E2"/>
    <w:rsid w:val="00E21A27"/>
    <w:rsid w:val="00E21C06"/>
    <w:rsid w:val="00E21D0D"/>
    <w:rsid w:val="00E21F38"/>
    <w:rsid w:val="00E225F3"/>
    <w:rsid w:val="00E228C6"/>
    <w:rsid w:val="00E22A14"/>
    <w:rsid w:val="00E22C61"/>
    <w:rsid w:val="00E23446"/>
    <w:rsid w:val="00E23475"/>
    <w:rsid w:val="00E23485"/>
    <w:rsid w:val="00E239DD"/>
    <w:rsid w:val="00E23E44"/>
    <w:rsid w:val="00E24190"/>
    <w:rsid w:val="00E24CDC"/>
    <w:rsid w:val="00E24FB3"/>
    <w:rsid w:val="00E25660"/>
    <w:rsid w:val="00E256CD"/>
    <w:rsid w:val="00E25819"/>
    <w:rsid w:val="00E25979"/>
    <w:rsid w:val="00E25B75"/>
    <w:rsid w:val="00E25E8E"/>
    <w:rsid w:val="00E263D4"/>
    <w:rsid w:val="00E26663"/>
    <w:rsid w:val="00E2697D"/>
    <w:rsid w:val="00E26AB4"/>
    <w:rsid w:val="00E26E25"/>
    <w:rsid w:val="00E26F2A"/>
    <w:rsid w:val="00E27363"/>
    <w:rsid w:val="00E27591"/>
    <w:rsid w:val="00E276FD"/>
    <w:rsid w:val="00E27E41"/>
    <w:rsid w:val="00E27F01"/>
    <w:rsid w:val="00E307AB"/>
    <w:rsid w:val="00E30805"/>
    <w:rsid w:val="00E310FF"/>
    <w:rsid w:val="00E311DE"/>
    <w:rsid w:val="00E31245"/>
    <w:rsid w:val="00E312F1"/>
    <w:rsid w:val="00E318B2"/>
    <w:rsid w:val="00E3193D"/>
    <w:rsid w:val="00E31AC2"/>
    <w:rsid w:val="00E31B45"/>
    <w:rsid w:val="00E31B4B"/>
    <w:rsid w:val="00E31DC0"/>
    <w:rsid w:val="00E31F84"/>
    <w:rsid w:val="00E32550"/>
    <w:rsid w:val="00E326CB"/>
    <w:rsid w:val="00E3278E"/>
    <w:rsid w:val="00E328AF"/>
    <w:rsid w:val="00E32BAF"/>
    <w:rsid w:val="00E32C86"/>
    <w:rsid w:val="00E336B1"/>
    <w:rsid w:val="00E33868"/>
    <w:rsid w:val="00E3441E"/>
    <w:rsid w:val="00E354B2"/>
    <w:rsid w:val="00E3563E"/>
    <w:rsid w:val="00E3569C"/>
    <w:rsid w:val="00E35765"/>
    <w:rsid w:val="00E3598F"/>
    <w:rsid w:val="00E35D2B"/>
    <w:rsid w:val="00E36E70"/>
    <w:rsid w:val="00E370A2"/>
    <w:rsid w:val="00E370FB"/>
    <w:rsid w:val="00E373C9"/>
    <w:rsid w:val="00E37520"/>
    <w:rsid w:val="00E37835"/>
    <w:rsid w:val="00E37C80"/>
    <w:rsid w:val="00E37D3E"/>
    <w:rsid w:val="00E410ED"/>
    <w:rsid w:val="00E41326"/>
    <w:rsid w:val="00E41416"/>
    <w:rsid w:val="00E4162C"/>
    <w:rsid w:val="00E41653"/>
    <w:rsid w:val="00E4168C"/>
    <w:rsid w:val="00E418EE"/>
    <w:rsid w:val="00E41AE3"/>
    <w:rsid w:val="00E41BD4"/>
    <w:rsid w:val="00E4213B"/>
    <w:rsid w:val="00E42541"/>
    <w:rsid w:val="00E425AE"/>
    <w:rsid w:val="00E428E9"/>
    <w:rsid w:val="00E429FD"/>
    <w:rsid w:val="00E430FD"/>
    <w:rsid w:val="00E4394F"/>
    <w:rsid w:val="00E439C0"/>
    <w:rsid w:val="00E43DD1"/>
    <w:rsid w:val="00E43FD6"/>
    <w:rsid w:val="00E4438C"/>
    <w:rsid w:val="00E4439D"/>
    <w:rsid w:val="00E44487"/>
    <w:rsid w:val="00E446F4"/>
    <w:rsid w:val="00E449C5"/>
    <w:rsid w:val="00E44A7A"/>
    <w:rsid w:val="00E44B7A"/>
    <w:rsid w:val="00E44B93"/>
    <w:rsid w:val="00E44C02"/>
    <w:rsid w:val="00E44F37"/>
    <w:rsid w:val="00E45386"/>
    <w:rsid w:val="00E45830"/>
    <w:rsid w:val="00E45C13"/>
    <w:rsid w:val="00E45DD7"/>
    <w:rsid w:val="00E46027"/>
    <w:rsid w:val="00E46166"/>
    <w:rsid w:val="00E4643E"/>
    <w:rsid w:val="00E47678"/>
    <w:rsid w:val="00E4797D"/>
    <w:rsid w:val="00E47A5F"/>
    <w:rsid w:val="00E47D60"/>
    <w:rsid w:val="00E47F79"/>
    <w:rsid w:val="00E50321"/>
    <w:rsid w:val="00E50620"/>
    <w:rsid w:val="00E50802"/>
    <w:rsid w:val="00E50B8C"/>
    <w:rsid w:val="00E50D1A"/>
    <w:rsid w:val="00E50F88"/>
    <w:rsid w:val="00E510DB"/>
    <w:rsid w:val="00E51179"/>
    <w:rsid w:val="00E512AD"/>
    <w:rsid w:val="00E51391"/>
    <w:rsid w:val="00E51401"/>
    <w:rsid w:val="00E516EB"/>
    <w:rsid w:val="00E51AB4"/>
    <w:rsid w:val="00E5223A"/>
    <w:rsid w:val="00E52359"/>
    <w:rsid w:val="00E526EB"/>
    <w:rsid w:val="00E52A5A"/>
    <w:rsid w:val="00E52DEC"/>
    <w:rsid w:val="00E52E43"/>
    <w:rsid w:val="00E52F1F"/>
    <w:rsid w:val="00E53424"/>
    <w:rsid w:val="00E53589"/>
    <w:rsid w:val="00E537A6"/>
    <w:rsid w:val="00E53D6A"/>
    <w:rsid w:val="00E540D9"/>
    <w:rsid w:val="00E54149"/>
    <w:rsid w:val="00E541AD"/>
    <w:rsid w:val="00E542AB"/>
    <w:rsid w:val="00E54340"/>
    <w:rsid w:val="00E5440C"/>
    <w:rsid w:val="00E544F2"/>
    <w:rsid w:val="00E54854"/>
    <w:rsid w:val="00E549FB"/>
    <w:rsid w:val="00E54F6C"/>
    <w:rsid w:val="00E55200"/>
    <w:rsid w:val="00E55361"/>
    <w:rsid w:val="00E55557"/>
    <w:rsid w:val="00E555C8"/>
    <w:rsid w:val="00E55622"/>
    <w:rsid w:val="00E559EC"/>
    <w:rsid w:val="00E55DEF"/>
    <w:rsid w:val="00E55FAB"/>
    <w:rsid w:val="00E55FBB"/>
    <w:rsid w:val="00E56174"/>
    <w:rsid w:val="00E56796"/>
    <w:rsid w:val="00E56AB7"/>
    <w:rsid w:val="00E56D6F"/>
    <w:rsid w:val="00E56E4F"/>
    <w:rsid w:val="00E56F64"/>
    <w:rsid w:val="00E57050"/>
    <w:rsid w:val="00E57693"/>
    <w:rsid w:val="00E57D40"/>
    <w:rsid w:val="00E57D89"/>
    <w:rsid w:val="00E57E31"/>
    <w:rsid w:val="00E6020F"/>
    <w:rsid w:val="00E6038C"/>
    <w:rsid w:val="00E606FC"/>
    <w:rsid w:val="00E60711"/>
    <w:rsid w:val="00E608D8"/>
    <w:rsid w:val="00E6095C"/>
    <w:rsid w:val="00E60966"/>
    <w:rsid w:val="00E60AF2"/>
    <w:rsid w:val="00E60B2B"/>
    <w:rsid w:val="00E60C8A"/>
    <w:rsid w:val="00E6188D"/>
    <w:rsid w:val="00E61A48"/>
    <w:rsid w:val="00E61AB3"/>
    <w:rsid w:val="00E61ECF"/>
    <w:rsid w:val="00E62062"/>
    <w:rsid w:val="00E621E0"/>
    <w:rsid w:val="00E62348"/>
    <w:rsid w:val="00E623A5"/>
    <w:rsid w:val="00E62BF2"/>
    <w:rsid w:val="00E62D34"/>
    <w:rsid w:val="00E62D62"/>
    <w:rsid w:val="00E62DE7"/>
    <w:rsid w:val="00E633CE"/>
    <w:rsid w:val="00E63851"/>
    <w:rsid w:val="00E63A16"/>
    <w:rsid w:val="00E63AC7"/>
    <w:rsid w:val="00E63B72"/>
    <w:rsid w:val="00E6432A"/>
    <w:rsid w:val="00E64A15"/>
    <w:rsid w:val="00E64DE4"/>
    <w:rsid w:val="00E64E15"/>
    <w:rsid w:val="00E64E8A"/>
    <w:rsid w:val="00E64EFD"/>
    <w:rsid w:val="00E64F7D"/>
    <w:rsid w:val="00E65076"/>
    <w:rsid w:val="00E650E1"/>
    <w:rsid w:val="00E6543E"/>
    <w:rsid w:val="00E65679"/>
    <w:rsid w:val="00E65719"/>
    <w:rsid w:val="00E65734"/>
    <w:rsid w:val="00E65C3F"/>
    <w:rsid w:val="00E65D3A"/>
    <w:rsid w:val="00E65DF2"/>
    <w:rsid w:val="00E65E6B"/>
    <w:rsid w:val="00E660DE"/>
    <w:rsid w:val="00E669EB"/>
    <w:rsid w:val="00E671AA"/>
    <w:rsid w:val="00E6770E"/>
    <w:rsid w:val="00E677A3"/>
    <w:rsid w:val="00E67991"/>
    <w:rsid w:val="00E67A5D"/>
    <w:rsid w:val="00E67E0B"/>
    <w:rsid w:val="00E70094"/>
    <w:rsid w:val="00E701CE"/>
    <w:rsid w:val="00E7078A"/>
    <w:rsid w:val="00E70792"/>
    <w:rsid w:val="00E70D7A"/>
    <w:rsid w:val="00E70DC6"/>
    <w:rsid w:val="00E70EA5"/>
    <w:rsid w:val="00E71700"/>
    <w:rsid w:val="00E71BE9"/>
    <w:rsid w:val="00E71E18"/>
    <w:rsid w:val="00E72420"/>
    <w:rsid w:val="00E729F1"/>
    <w:rsid w:val="00E72AE9"/>
    <w:rsid w:val="00E730AB"/>
    <w:rsid w:val="00E732B3"/>
    <w:rsid w:val="00E7399B"/>
    <w:rsid w:val="00E74154"/>
    <w:rsid w:val="00E742FD"/>
    <w:rsid w:val="00E7434C"/>
    <w:rsid w:val="00E743A4"/>
    <w:rsid w:val="00E74790"/>
    <w:rsid w:val="00E74A94"/>
    <w:rsid w:val="00E74B53"/>
    <w:rsid w:val="00E7514D"/>
    <w:rsid w:val="00E75576"/>
    <w:rsid w:val="00E756A2"/>
    <w:rsid w:val="00E757A2"/>
    <w:rsid w:val="00E75813"/>
    <w:rsid w:val="00E75AF4"/>
    <w:rsid w:val="00E75D3F"/>
    <w:rsid w:val="00E75F54"/>
    <w:rsid w:val="00E76567"/>
    <w:rsid w:val="00E769AC"/>
    <w:rsid w:val="00E76C0B"/>
    <w:rsid w:val="00E76DC4"/>
    <w:rsid w:val="00E76E3C"/>
    <w:rsid w:val="00E771B5"/>
    <w:rsid w:val="00E77316"/>
    <w:rsid w:val="00E774E6"/>
    <w:rsid w:val="00E77549"/>
    <w:rsid w:val="00E77595"/>
    <w:rsid w:val="00E775A4"/>
    <w:rsid w:val="00E77C36"/>
    <w:rsid w:val="00E77C65"/>
    <w:rsid w:val="00E77D17"/>
    <w:rsid w:val="00E77EE5"/>
    <w:rsid w:val="00E80149"/>
    <w:rsid w:val="00E80ECA"/>
    <w:rsid w:val="00E817EF"/>
    <w:rsid w:val="00E81E6D"/>
    <w:rsid w:val="00E81F2A"/>
    <w:rsid w:val="00E82387"/>
    <w:rsid w:val="00E82519"/>
    <w:rsid w:val="00E826D6"/>
    <w:rsid w:val="00E82853"/>
    <w:rsid w:val="00E828E7"/>
    <w:rsid w:val="00E82962"/>
    <w:rsid w:val="00E82D2D"/>
    <w:rsid w:val="00E82F9C"/>
    <w:rsid w:val="00E83336"/>
    <w:rsid w:val="00E83663"/>
    <w:rsid w:val="00E836CE"/>
    <w:rsid w:val="00E845DE"/>
    <w:rsid w:val="00E847F3"/>
    <w:rsid w:val="00E84B33"/>
    <w:rsid w:val="00E84F8F"/>
    <w:rsid w:val="00E84FC5"/>
    <w:rsid w:val="00E85107"/>
    <w:rsid w:val="00E85147"/>
    <w:rsid w:val="00E85DD4"/>
    <w:rsid w:val="00E85F5B"/>
    <w:rsid w:val="00E860DE"/>
    <w:rsid w:val="00E8610C"/>
    <w:rsid w:val="00E8619C"/>
    <w:rsid w:val="00E861F5"/>
    <w:rsid w:val="00E863F8"/>
    <w:rsid w:val="00E86533"/>
    <w:rsid w:val="00E86D58"/>
    <w:rsid w:val="00E86E77"/>
    <w:rsid w:val="00E8703A"/>
    <w:rsid w:val="00E8732B"/>
    <w:rsid w:val="00E87ADF"/>
    <w:rsid w:val="00E87B8B"/>
    <w:rsid w:val="00E900B7"/>
    <w:rsid w:val="00E90120"/>
    <w:rsid w:val="00E90185"/>
    <w:rsid w:val="00E901A9"/>
    <w:rsid w:val="00E904F2"/>
    <w:rsid w:val="00E90650"/>
    <w:rsid w:val="00E907EE"/>
    <w:rsid w:val="00E90D3E"/>
    <w:rsid w:val="00E90F54"/>
    <w:rsid w:val="00E91139"/>
    <w:rsid w:val="00E9115F"/>
    <w:rsid w:val="00E916AF"/>
    <w:rsid w:val="00E91843"/>
    <w:rsid w:val="00E91C24"/>
    <w:rsid w:val="00E91D2D"/>
    <w:rsid w:val="00E9204E"/>
    <w:rsid w:val="00E920C3"/>
    <w:rsid w:val="00E92235"/>
    <w:rsid w:val="00E924FA"/>
    <w:rsid w:val="00E92893"/>
    <w:rsid w:val="00E92E79"/>
    <w:rsid w:val="00E931A4"/>
    <w:rsid w:val="00E93276"/>
    <w:rsid w:val="00E932C1"/>
    <w:rsid w:val="00E936B1"/>
    <w:rsid w:val="00E940B2"/>
    <w:rsid w:val="00E9422B"/>
    <w:rsid w:val="00E943D3"/>
    <w:rsid w:val="00E9473C"/>
    <w:rsid w:val="00E94A14"/>
    <w:rsid w:val="00E94D09"/>
    <w:rsid w:val="00E94E2A"/>
    <w:rsid w:val="00E9537A"/>
    <w:rsid w:val="00E9557B"/>
    <w:rsid w:val="00E957C0"/>
    <w:rsid w:val="00E957F4"/>
    <w:rsid w:val="00E95880"/>
    <w:rsid w:val="00E959A8"/>
    <w:rsid w:val="00E95EA3"/>
    <w:rsid w:val="00E9607E"/>
    <w:rsid w:val="00E96BB0"/>
    <w:rsid w:val="00E96CC0"/>
    <w:rsid w:val="00E96DFE"/>
    <w:rsid w:val="00E96FB3"/>
    <w:rsid w:val="00E971D9"/>
    <w:rsid w:val="00E972EC"/>
    <w:rsid w:val="00E974FB"/>
    <w:rsid w:val="00E975D9"/>
    <w:rsid w:val="00E978F1"/>
    <w:rsid w:val="00E979E0"/>
    <w:rsid w:val="00E97A2E"/>
    <w:rsid w:val="00EA050B"/>
    <w:rsid w:val="00EA091E"/>
    <w:rsid w:val="00EA0939"/>
    <w:rsid w:val="00EA0991"/>
    <w:rsid w:val="00EA0CAA"/>
    <w:rsid w:val="00EA0FB0"/>
    <w:rsid w:val="00EA1004"/>
    <w:rsid w:val="00EA1543"/>
    <w:rsid w:val="00EA168E"/>
    <w:rsid w:val="00EA1696"/>
    <w:rsid w:val="00EA1764"/>
    <w:rsid w:val="00EA20A2"/>
    <w:rsid w:val="00EA213C"/>
    <w:rsid w:val="00EA221F"/>
    <w:rsid w:val="00EA2341"/>
    <w:rsid w:val="00EA24A3"/>
    <w:rsid w:val="00EA2543"/>
    <w:rsid w:val="00EA2C3F"/>
    <w:rsid w:val="00EA3052"/>
    <w:rsid w:val="00EA3074"/>
    <w:rsid w:val="00EA3591"/>
    <w:rsid w:val="00EA368A"/>
    <w:rsid w:val="00EA36C6"/>
    <w:rsid w:val="00EA3B62"/>
    <w:rsid w:val="00EA3C81"/>
    <w:rsid w:val="00EA3E16"/>
    <w:rsid w:val="00EA4442"/>
    <w:rsid w:val="00EA46C3"/>
    <w:rsid w:val="00EA4BE8"/>
    <w:rsid w:val="00EA4E7D"/>
    <w:rsid w:val="00EA4F2E"/>
    <w:rsid w:val="00EA5138"/>
    <w:rsid w:val="00EA5520"/>
    <w:rsid w:val="00EA5662"/>
    <w:rsid w:val="00EA56DC"/>
    <w:rsid w:val="00EA5CA9"/>
    <w:rsid w:val="00EA5FF6"/>
    <w:rsid w:val="00EA607E"/>
    <w:rsid w:val="00EA60D8"/>
    <w:rsid w:val="00EA6217"/>
    <w:rsid w:val="00EA625F"/>
    <w:rsid w:val="00EA6498"/>
    <w:rsid w:val="00EA6556"/>
    <w:rsid w:val="00EA6688"/>
    <w:rsid w:val="00EA68B3"/>
    <w:rsid w:val="00EA6953"/>
    <w:rsid w:val="00EA7546"/>
    <w:rsid w:val="00EA75BB"/>
    <w:rsid w:val="00EA79C6"/>
    <w:rsid w:val="00EA7EE9"/>
    <w:rsid w:val="00EB02A5"/>
    <w:rsid w:val="00EB039A"/>
    <w:rsid w:val="00EB04D5"/>
    <w:rsid w:val="00EB059B"/>
    <w:rsid w:val="00EB05E7"/>
    <w:rsid w:val="00EB0C07"/>
    <w:rsid w:val="00EB1001"/>
    <w:rsid w:val="00EB10AC"/>
    <w:rsid w:val="00EB169B"/>
    <w:rsid w:val="00EB1E06"/>
    <w:rsid w:val="00EB212C"/>
    <w:rsid w:val="00EB243B"/>
    <w:rsid w:val="00EB29CA"/>
    <w:rsid w:val="00EB32EB"/>
    <w:rsid w:val="00EB34C8"/>
    <w:rsid w:val="00EB3C20"/>
    <w:rsid w:val="00EB47BE"/>
    <w:rsid w:val="00EB49FB"/>
    <w:rsid w:val="00EB4B74"/>
    <w:rsid w:val="00EB4C07"/>
    <w:rsid w:val="00EB4E78"/>
    <w:rsid w:val="00EB5453"/>
    <w:rsid w:val="00EB54B4"/>
    <w:rsid w:val="00EB5525"/>
    <w:rsid w:val="00EB5783"/>
    <w:rsid w:val="00EB5811"/>
    <w:rsid w:val="00EB5C87"/>
    <w:rsid w:val="00EB5C97"/>
    <w:rsid w:val="00EB5D94"/>
    <w:rsid w:val="00EB6372"/>
    <w:rsid w:val="00EB6476"/>
    <w:rsid w:val="00EB6482"/>
    <w:rsid w:val="00EB699C"/>
    <w:rsid w:val="00EB6B5B"/>
    <w:rsid w:val="00EB6FEB"/>
    <w:rsid w:val="00EB75DC"/>
    <w:rsid w:val="00EB7651"/>
    <w:rsid w:val="00EB768E"/>
    <w:rsid w:val="00EB7886"/>
    <w:rsid w:val="00EB793A"/>
    <w:rsid w:val="00EB7BA0"/>
    <w:rsid w:val="00EB7BF2"/>
    <w:rsid w:val="00EB7C8F"/>
    <w:rsid w:val="00EB7F1E"/>
    <w:rsid w:val="00EB7FED"/>
    <w:rsid w:val="00EC0127"/>
    <w:rsid w:val="00EC0276"/>
    <w:rsid w:val="00EC0461"/>
    <w:rsid w:val="00EC0518"/>
    <w:rsid w:val="00EC0950"/>
    <w:rsid w:val="00EC0E54"/>
    <w:rsid w:val="00EC12DC"/>
    <w:rsid w:val="00EC18AC"/>
    <w:rsid w:val="00EC1A1E"/>
    <w:rsid w:val="00EC1BF6"/>
    <w:rsid w:val="00EC1E18"/>
    <w:rsid w:val="00EC260F"/>
    <w:rsid w:val="00EC28B0"/>
    <w:rsid w:val="00EC29BF"/>
    <w:rsid w:val="00EC29D7"/>
    <w:rsid w:val="00EC29EC"/>
    <w:rsid w:val="00EC2A6E"/>
    <w:rsid w:val="00EC2AFD"/>
    <w:rsid w:val="00EC2CD3"/>
    <w:rsid w:val="00EC339C"/>
    <w:rsid w:val="00EC341B"/>
    <w:rsid w:val="00EC42FB"/>
    <w:rsid w:val="00EC4695"/>
    <w:rsid w:val="00EC46C4"/>
    <w:rsid w:val="00EC4761"/>
    <w:rsid w:val="00EC4871"/>
    <w:rsid w:val="00EC48CA"/>
    <w:rsid w:val="00EC490C"/>
    <w:rsid w:val="00EC49F6"/>
    <w:rsid w:val="00EC4A93"/>
    <w:rsid w:val="00EC4B81"/>
    <w:rsid w:val="00EC4BA7"/>
    <w:rsid w:val="00EC4D07"/>
    <w:rsid w:val="00EC598D"/>
    <w:rsid w:val="00EC5D30"/>
    <w:rsid w:val="00EC5EAD"/>
    <w:rsid w:val="00EC6963"/>
    <w:rsid w:val="00EC6A3C"/>
    <w:rsid w:val="00EC6B8A"/>
    <w:rsid w:val="00ED02F3"/>
    <w:rsid w:val="00ED06DD"/>
    <w:rsid w:val="00ED0DB7"/>
    <w:rsid w:val="00ED0DDB"/>
    <w:rsid w:val="00ED0EE3"/>
    <w:rsid w:val="00ED140B"/>
    <w:rsid w:val="00ED141E"/>
    <w:rsid w:val="00ED1452"/>
    <w:rsid w:val="00ED17BD"/>
    <w:rsid w:val="00ED18ED"/>
    <w:rsid w:val="00ED20AF"/>
    <w:rsid w:val="00ED22EA"/>
    <w:rsid w:val="00ED27EC"/>
    <w:rsid w:val="00ED2CC5"/>
    <w:rsid w:val="00ED36D6"/>
    <w:rsid w:val="00ED383E"/>
    <w:rsid w:val="00ED38BC"/>
    <w:rsid w:val="00ED4450"/>
    <w:rsid w:val="00ED463A"/>
    <w:rsid w:val="00ED52C5"/>
    <w:rsid w:val="00ED5AAF"/>
    <w:rsid w:val="00ED5ABF"/>
    <w:rsid w:val="00ED5C85"/>
    <w:rsid w:val="00ED623D"/>
    <w:rsid w:val="00ED6AC4"/>
    <w:rsid w:val="00ED6C30"/>
    <w:rsid w:val="00ED6CFC"/>
    <w:rsid w:val="00ED6F26"/>
    <w:rsid w:val="00ED6F4C"/>
    <w:rsid w:val="00ED6F65"/>
    <w:rsid w:val="00ED7371"/>
    <w:rsid w:val="00ED7847"/>
    <w:rsid w:val="00ED7B5F"/>
    <w:rsid w:val="00ED7BCA"/>
    <w:rsid w:val="00ED7C70"/>
    <w:rsid w:val="00ED7F81"/>
    <w:rsid w:val="00EE0325"/>
    <w:rsid w:val="00EE04B9"/>
    <w:rsid w:val="00EE052D"/>
    <w:rsid w:val="00EE071D"/>
    <w:rsid w:val="00EE0777"/>
    <w:rsid w:val="00EE0913"/>
    <w:rsid w:val="00EE0D40"/>
    <w:rsid w:val="00EE15BA"/>
    <w:rsid w:val="00EE238B"/>
    <w:rsid w:val="00EE2692"/>
    <w:rsid w:val="00EE2898"/>
    <w:rsid w:val="00EE28A8"/>
    <w:rsid w:val="00EE2BA4"/>
    <w:rsid w:val="00EE3292"/>
    <w:rsid w:val="00EE33B3"/>
    <w:rsid w:val="00EE33C6"/>
    <w:rsid w:val="00EE35BD"/>
    <w:rsid w:val="00EE370D"/>
    <w:rsid w:val="00EE3FAA"/>
    <w:rsid w:val="00EE4511"/>
    <w:rsid w:val="00EE48A8"/>
    <w:rsid w:val="00EE49EC"/>
    <w:rsid w:val="00EE49F0"/>
    <w:rsid w:val="00EE4C16"/>
    <w:rsid w:val="00EE4F49"/>
    <w:rsid w:val="00EE508E"/>
    <w:rsid w:val="00EE54A3"/>
    <w:rsid w:val="00EE54BA"/>
    <w:rsid w:val="00EE5597"/>
    <w:rsid w:val="00EE583F"/>
    <w:rsid w:val="00EE5897"/>
    <w:rsid w:val="00EE58DA"/>
    <w:rsid w:val="00EE5A32"/>
    <w:rsid w:val="00EE5A64"/>
    <w:rsid w:val="00EE5E00"/>
    <w:rsid w:val="00EE5F7A"/>
    <w:rsid w:val="00EE6138"/>
    <w:rsid w:val="00EE64EC"/>
    <w:rsid w:val="00EE691B"/>
    <w:rsid w:val="00EE731F"/>
    <w:rsid w:val="00EE74F1"/>
    <w:rsid w:val="00EE75EC"/>
    <w:rsid w:val="00EE78F6"/>
    <w:rsid w:val="00EE7B45"/>
    <w:rsid w:val="00EE7C5E"/>
    <w:rsid w:val="00EF03E9"/>
    <w:rsid w:val="00EF0BBA"/>
    <w:rsid w:val="00EF0E08"/>
    <w:rsid w:val="00EF126A"/>
    <w:rsid w:val="00EF13D6"/>
    <w:rsid w:val="00EF18A0"/>
    <w:rsid w:val="00EF1CC1"/>
    <w:rsid w:val="00EF1D97"/>
    <w:rsid w:val="00EF1E53"/>
    <w:rsid w:val="00EF1EAB"/>
    <w:rsid w:val="00EF2825"/>
    <w:rsid w:val="00EF2E4B"/>
    <w:rsid w:val="00EF37E8"/>
    <w:rsid w:val="00EF3CFB"/>
    <w:rsid w:val="00EF3DFE"/>
    <w:rsid w:val="00EF41E0"/>
    <w:rsid w:val="00EF48BA"/>
    <w:rsid w:val="00EF4A8C"/>
    <w:rsid w:val="00EF4DD7"/>
    <w:rsid w:val="00EF610E"/>
    <w:rsid w:val="00EF64DF"/>
    <w:rsid w:val="00EF6607"/>
    <w:rsid w:val="00EF6823"/>
    <w:rsid w:val="00EF6A17"/>
    <w:rsid w:val="00EF6B14"/>
    <w:rsid w:val="00EF6C38"/>
    <w:rsid w:val="00EF6C94"/>
    <w:rsid w:val="00EF6CAA"/>
    <w:rsid w:val="00EF6D2F"/>
    <w:rsid w:val="00EF7126"/>
    <w:rsid w:val="00EF7445"/>
    <w:rsid w:val="00EF7764"/>
    <w:rsid w:val="00EF7A81"/>
    <w:rsid w:val="00EF7E04"/>
    <w:rsid w:val="00F00278"/>
    <w:rsid w:val="00F004F1"/>
    <w:rsid w:val="00F0071B"/>
    <w:rsid w:val="00F007BC"/>
    <w:rsid w:val="00F01283"/>
    <w:rsid w:val="00F014C3"/>
    <w:rsid w:val="00F01615"/>
    <w:rsid w:val="00F01A58"/>
    <w:rsid w:val="00F01C90"/>
    <w:rsid w:val="00F01E10"/>
    <w:rsid w:val="00F01FE8"/>
    <w:rsid w:val="00F02541"/>
    <w:rsid w:val="00F026BA"/>
    <w:rsid w:val="00F026FB"/>
    <w:rsid w:val="00F027DD"/>
    <w:rsid w:val="00F0295D"/>
    <w:rsid w:val="00F02EA5"/>
    <w:rsid w:val="00F02F7D"/>
    <w:rsid w:val="00F03006"/>
    <w:rsid w:val="00F031D3"/>
    <w:rsid w:val="00F032AD"/>
    <w:rsid w:val="00F03465"/>
    <w:rsid w:val="00F03619"/>
    <w:rsid w:val="00F0388B"/>
    <w:rsid w:val="00F03A46"/>
    <w:rsid w:val="00F03B8B"/>
    <w:rsid w:val="00F03B91"/>
    <w:rsid w:val="00F041AD"/>
    <w:rsid w:val="00F049E3"/>
    <w:rsid w:val="00F049EB"/>
    <w:rsid w:val="00F04A3B"/>
    <w:rsid w:val="00F04F99"/>
    <w:rsid w:val="00F0528D"/>
    <w:rsid w:val="00F05366"/>
    <w:rsid w:val="00F05458"/>
    <w:rsid w:val="00F05499"/>
    <w:rsid w:val="00F058AC"/>
    <w:rsid w:val="00F05C68"/>
    <w:rsid w:val="00F05C80"/>
    <w:rsid w:val="00F05CC3"/>
    <w:rsid w:val="00F05F3A"/>
    <w:rsid w:val="00F05FDA"/>
    <w:rsid w:val="00F06097"/>
    <w:rsid w:val="00F062B1"/>
    <w:rsid w:val="00F067B5"/>
    <w:rsid w:val="00F067F3"/>
    <w:rsid w:val="00F06B38"/>
    <w:rsid w:val="00F07223"/>
    <w:rsid w:val="00F0767F"/>
    <w:rsid w:val="00F076FE"/>
    <w:rsid w:val="00F07AA3"/>
    <w:rsid w:val="00F07C27"/>
    <w:rsid w:val="00F10186"/>
    <w:rsid w:val="00F10660"/>
    <w:rsid w:val="00F106A8"/>
    <w:rsid w:val="00F10975"/>
    <w:rsid w:val="00F1101C"/>
    <w:rsid w:val="00F11813"/>
    <w:rsid w:val="00F11DC1"/>
    <w:rsid w:val="00F12B10"/>
    <w:rsid w:val="00F12C8E"/>
    <w:rsid w:val="00F13454"/>
    <w:rsid w:val="00F13653"/>
    <w:rsid w:val="00F139DA"/>
    <w:rsid w:val="00F13A91"/>
    <w:rsid w:val="00F13C4F"/>
    <w:rsid w:val="00F13EDE"/>
    <w:rsid w:val="00F14088"/>
    <w:rsid w:val="00F140A3"/>
    <w:rsid w:val="00F14189"/>
    <w:rsid w:val="00F14274"/>
    <w:rsid w:val="00F14645"/>
    <w:rsid w:val="00F1496F"/>
    <w:rsid w:val="00F14A10"/>
    <w:rsid w:val="00F14A55"/>
    <w:rsid w:val="00F14BA0"/>
    <w:rsid w:val="00F14C76"/>
    <w:rsid w:val="00F150A4"/>
    <w:rsid w:val="00F154D9"/>
    <w:rsid w:val="00F15A6D"/>
    <w:rsid w:val="00F15BAF"/>
    <w:rsid w:val="00F15D7C"/>
    <w:rsid w:val="00F16567"/>
    <w:rsid w:val="00F1699D"/>
    <w:rsid w:val="00F16DEA"/>
    <w:rsid w:val="00F1710D"/>
    <w:rsid w:val="00F17538"/>
    <w:rsid w:val="00F1766C"/>
    <w:rsid w:val="00F20412"/>
    <w:rsid w:val="00F20604"/>
    <w:rsid w:val="00F2062A"/>
    <w:rsid w:val="00F2069C"/>
    <w:rsid w:val="00F20D1E"/>
    <w:rsid w:val="00F20F3D"/>
    <w:rsid w:val="00F20FBF"/>
    <w:rsid w:val="00F211F7"/>
    <w:rsid w:val="00F218F5"/>
    <w:rsid w:val="00F21A61"/>
    <w:rsid w:val="00F21B24"/>
    <w:rsid w:val="00F22048"/>
    <w:rsid w:val="00F222F1"/>
    <w:rsid w:val="00F223EB"/>
    <w:rsid w:val="00F22A5D"/>
    <w:rsid w:val="00F234B8"/>
    <w:rsid w:val="00F23779"/>
    <w:rsid w:val="00F23B70"/>
    <w:rsid w:val="00F23DDB"/>
    <w:rsid w:val="00F23FEA"/>
    <w:rsid w:val="00F24268"/>
    <w:rsid w:val="00F24420"/>
    <w:rsid w:val="00F248F4"/>
    <w:rsid w:val="00F24CE2"/>
    <w:rsid w:val="00F24D82"/>
    <w:rsid w:val="00F24E7C"/>
    <w:rsid w:val="00F24F04"/>
    <w:rsid w:val="00F24F37"/>
    <w:rsid w:val="00F24F3F"/>
    <w:rsid w:val="00F25034"/>
    <w:rsid w:val="00F25117"/>
    <w:rsid w:val="00F25500"/>
    <w:rsid w:val="00F2585B"/>
    <w:rsid w:val="00F259A7"/>
    <w:rsid w:val="00F259D1"/>
    <w:rsid w:val="00F25B2D"/>
    <w:rsid w:val="00F25BE4"/>
    <w:rsid w:val="00F25F86"/>
    <w:rsid w:val="00F260B0"/>
    <w:rsid w:val="00F26347"/>
    <w:rsid w:val="00F263CF"/>
    <w:rsid w:val="00F266F4"/>
    <w:rsid w:val="00F268C2"/>
    <w:rsid w:val="00F269BF"/>
    <w:rsid w:val="00F26A73"/>
    <w:rsid w:val="00F26B36"/>
    <w:rsid w:val="00F26D4F"/>
    <w:rsid w:val="00F26D75"/>
    <w:rsid w:val="00F26E66"/>
    <w:rsid w:val="00F27154"/>
    <w:rsid w:val="00F2791B"/>
    <w:rsid w:val="00F27ECF"/>
    <w:rsid w:val="00F27FF6"/>
    <w:rsid w:val="00F3042F"/>
    <w:rsid w:val="00F305DD"/>
    <w:rsid w:val="00F3076B"/>
    <w:rsid w:val="00F30B97"/>
    <w:rsid w:val="00F310A9"/>
    <w:rsid w:val="00F31108"/>
    <w:rsid w:val="00F31118"/>
    <w:rsid w:val="00F3137F"/>
    <w:rsid w:val="00F3163B"/>
    <w:rsid w:val="00F3214C"/>
    <w:rsid w:val="00F32195"/>
    <w:rsid w:val="00F32477"/>
    <w:rsid w:val="00F32C71"/>
    <w:rsid w:val="00F32DA4"/>
    <w:rsid w:val="00F334B7"/>
    <w:rsid w:val="00F33501"/>
    <w:rsid w:val="00F337E4"/>
    <w:rsid w:val="00F338B1"/>
    <w:rsid w:val="00F33B65"/>
    <w:rsid w:val="00F340FF"/>
    <w:rsid w:val="00F341BB"/>
    <w:rsid w:val="00F342D1"/>
    <w:rsid w:val="00F34C98"/>
    <w:rsid w:val="00F34E56"/>
    <w:rsid w:val="00F350B7"/>
    <w:rsid w:val="00F353C4"/>
    <w:rsid w:val="00F3561E"/>
    <w:rsid w:val="00F35A2F"/>
    <w:rsid w:val="00F35DE1"/>
    <w:rsid w:val="00F363D6"/>
    <w:rsid w:val="00F36782"/>
    <w:rsid w:val="00F37248"/>
    <w:rsid w:val="00F373B9"/>
    <w:rsid w:val="00F37510"/>
    <w:rsid w:val="00F377B6"/>
    <w:rsid w:val="00F3786F"/>
    <w:rsid w:val="00F37DC5"/>
    <w:rsid w:val="00F400A5"/>
    <w:rsid w:val="00F4023E"/>
    <w:rsid w:val="00F408D3"/>
    <w:rsid w:val="00F40C57"/>
    <w:rsid w:val="00F40D81"/>
    <w:rsid w:val="00F40EA4"/>
    <w:rsid w:val="00F416A8"/>
    <w:rsid w:val="00F41787"/>
    <w:rsid w:val="00F417E9"/>
    <w:rsid w:val="00F41A71"/>
    <w:rsid w:val="00F4214F"/>
    <w:rsid w:val="00F42184"/>
    <w:rsid w:val="00F4240D"/>
    <w:rsid w:val="00F4253D"/>
    <w:rsid w:val="00F42997"/>
    <w:rsid w:val="00F42EDC"/>
    <w:rsid w:val="00F43315"/>
    <w:rsid w:val="00F4335F"/>
    <w:rsid w:val="00F4394E"/>
    <w:rsid w:val="00F43E84"/>
    <w:rsid w:val="00F43ECE"/>
    <w:rsid w:val="00F4403D"/>
    <w:rsid w:val="00F44218"/>
    <w:rsid w:val="00F442E9"/>
    <w:rsid w:val="00F4456F"/>
    <w:rsid w:val="00F445D6"/>
    <w:rsid w:val="00F44A7E"/>
    <w:rsid w:val="00F44AB9"/>
    <w:rsid w:val="00F44B99"/>
    <w:rsid w:val="00F44DCF"/>
    <w:rsid w:val="00F4503F"/>
    <w:rsid w:val="00F4537D"/>
    <w:rsid w:val="00F45386"/>
    <w:rsid w:val="00F45517"/>
    <w:rsid w:val="00F456B0"/>
    <w:rsid w:val="00F45714"/>
    <w:rsid w:val="00F45852"/>
    <w:rsid w:val="00F45CBA"/>
    <w:rsid w:val="00F45E68"/>
    <w:rsid w:val="00F46024"/>
    <w:rsid w:val="00F46031"/>
    <w:rsid w:val="00F460FF"/>
    <w:rsid w:val="00F46453"/>
    <w:rsid w:val="00F46AF1"/>
    <w:rsid w:val="00F46EE9"/>
    <w:rsid w:val="00F47032"/>
    <w:rsid w:val="00F473DC"/>
    <w:rsid w:val="00F47A30"/>
    <w:rsid w:val="00F47AD5"/>
    <w:rsid w:val="00F47BCE"/>
    <w:rsid w:val="00F47D0C"/>
    <w:rsid w:val="00F47DF7"/>
    <w:rsid w:val="00F501FE"/>
    <w:rsid w:val="00F50438"/>
    <w:rsid w:val="00F50783"/>
    <w:rsid w:val="00F513A8"/>
    <w:rsid w:val="00F51B89"/>
    <w:rsid w:val="00F51D48"/>
    <w:rsid w:val="00F520F0"/>
    <w:rsid w:val="00F52134"/>
    <w:rsid w:val="00F52267"/>
    <w:rsid w:val="00F52386"/>
    <w:rsid w:val="00F52711"/>
    <w:rsid w:val="00F5277D"/>
    <w:rsid w:val="00F52A75"/>
    <w:rsid w:val="00F52B9B"/>
    <w:rsid w:val="00F52CFC"/>
    <w:rsid w:val="00F52DA7"/>
    <w:rsid w:val="00F52F69"/>
    <w:rsid w:val="00F5356F"/>
    <w:rsid w:val="00F5360D"/>
    <w:rsid w:val="00F537D6"/>
    <w:rsid w:val="00F53A77"/>
    <w:rsid w:val="00F5418A"/>
    <w:rsid w:val="00F54B23"/>
    <w:rsid w:val="00F54B54"/>
    <w:rsid w:val="00F54BA3"/>
    <w:rsid w:val="00F54C95"/>
    <w:rsid w:val="00F54D0E"/>
    <w:rsid w:val="00F54D65"/>
    <w:rsid w:val="00F5508B"/>
    <w:rsid w:val="00F55419"/>
    <w:rsid w:val="00F5541C"/>
    <w:rsid w:val="00F55D74"/>
    <w:rsid w:val="00F55E5D"/>
    <w:rsid w:val="00F56014"/>
    <w:rsid w:val="00F568BB"/>
    <w:rsid w:val="00F56AD7"/>
    <w:rsid w:val="00F56DA1"/>
    <w:rsid w:val="00F5719D"/>
    <w:rsid w:val="00F574D9"/>
    <w:rsid w:val="00F57990"/>
    <w:rsid w:val="00F57A49"/>
    <w:rsid w:val="00F57B7F"/>
    <w:rsid w:val="00F57C58"/>
    <w:rsid w:val="00F604E7"/>
    <w:rsid w:val="00F60769"/>
    <w:rsid w:val="00F60B7F"/>
    <w:rsid w:val="00F60CEB"/>
    <w:rsid w:val="00F60DA2"/>
    <w:rsid w:val="00F60DD1"/>
    <w:rsid w:val="00F60F19"/>
    <w:rsid w:val="00F614A3"/>
    <w:rsid w:val="00F61642"/>
    <w:rsid w:val="00F61DEF"/>
    <w:rsid w:val="00F61F3A"/>
    <w:rsid w:val="00F62084"/>
    <w:rsid w:val="00F622F8"/>
    <w:rsid w:val="00F62312"/>
    <w:rsid w:val="00F62378"/>
    <w:rsid w:val="00F62667"/>
    <w:rsid w:val="00F6267F"/>
    <w:rsid w:val="00F628FA"/>
    <w:rsid w:val="00F63019"/>
    <w:rsid w:val="00F630AC"/>
    <w:rsid w:val="00F632D1"/>
    <w:rsid w:val="00F636F0"/>
    <w:rsid w:val="00F63858"/>
    <w:rsid w:val="00F63A15"/>
    <w:rsid w:val="00F64061"/>
    <w:rsid w:val="00F6444C"/>
    <w:rsid w:val="00F649E2"/>
    <w:rsid w:val="00F656B9"/>
    <w:rsid w:val="00F65A76"/>
    <w:rsid w:val="00F65A78"/>
    <w:rsid w:val="00F65F08"/>
    <w:rsid w:val="00F6610D"/>
    <w:rsid w:val="00F661FF"/>
    <w:rsid w:val="00F66791"/>
    <w:rsid w:val="00F6684D"/>
    <w:rsid w:val="00F66B0D"/>
    <w:rsid w:val="00F66B3A"/>
    <w:rsid w:val="00F66E9D"/>
    <w:rsid w:val="00F66EDB"/>
    <w:rsid w:val="00F66F07"/>
    <w:rsid w:val="00F6751A"/>
    <w:rsid w:val="00F67575"/>
    <w:rsid w:val="00F67584"/>
    <w:rsid w:val="00F67867"/>
    <w:rsid w:val="00F70427"/>
    <w:rsid w:val="00F704A1"/>
    <w:rsid w:val="00F707B8"/>
    <w:rsid w:val="00F70802"/>
    <w:rsid w:val="00F70803"/>
    <w:rsid w:val="00F70A14"/>
    <w:rsid w:val="00F70AE7"/>
    <w:rsid w:val="00F70D34"/>
    <w:rsid w:val="00F70FAA"/>
    <w:rsid w:val="00F71028"/>
    <w:rsid w:val="00F712C0"/>
    <w:rsid w:val="00F71938"/>
    <w:rsid w:val="00F71980"/>
    <w:rsid w:val="00F71D85"/>
    <w:rsid w:val="00F723BA"/>
    <w:rsid w:val="00F72AEA"/>
    <w:rsid w:val="00F72B70"/>
    <w:rsid w:val="00F73404"/>
    <w:rsid w:val="00F736F4"/>
    <w:rsid w:val="00F73783"/>
    <w:rsid w:val="00F73AD7"/>
    <w:rsid w:val="00F73CF0"/>
    <w:rsid w:val="00F7445B"/>
    <w:rsid w:val="00F747F0"/>
    <w:rsid w:val="00F74A72"/>
    <w:rsid w:val="00F7522D"/>
    <w:rsid w:val="00F75654"/>
    <w:rsid w:val="00F757B4"/>
    <w:rsid w:val="00F75E3D"/>
    <w:rsid w:val="00F7630C"/>
    <w:rsid w:val="00F763D6"/>
    <w:rsid w:val="00F76600"/>
    <w:rsid w:val="00F76ABA"/>
    <w:rsid w:val="00F76B5E"/>
    <w:rsid w:val="00F76D63"/>
    <w:rsid w:val="00F76E08"/>
    <w:rsid w:val="00F76FCD"/>
    <w:rsid w:val="00F77126"/>
    <w:rsid w:val="00F774C7"/>
    <w:rsid w:val="00F77BAE"/>
    <w:rsid w:val="00F77BDE"/>
    <w:rsid w:val="00F8025C"/>
    <w:rsid w:val="00F802DB"/>
    <w:rsid w:val="00F8076B"/>
    <w:rsid w:val="00F80908"/>
    <w:rsid w:val="00F80A26"/>
    <w:rsid w:val="00F8103A"/>
    <w:rsid w:val="00F8149D"/>
    <w:rsid w:val="00F81716"/>
    <w:rsid w:val="00F81C9D"/>
    <w:rsid w:val="00F81CE7"/>
    <w:rsid w:val="00F81DE0"/>
    <w:rsid w:val="00F81FDF"/>
    <w:rsid w:val="00F82120"/>
    <w:rsid w:val="00F8247C"/>
    <w:rsid w:val="00F82507"/>
    <w:rsid w:val="00F829C3"/>
    <w:rsid w:val="00F82DA8"/>
    <w:rsid w:val="00F839C6"/>
    <w:rsid w:val="00F83E3C"/>
    <w:rsid w:val="00F84501"/>
    <w:rsid w:val="00F84592"/>
    <w:rsid w:val="00F845F8"/>
    <w:rsid w:val="00F846C5"/>
    <w:rsid w:val="00F84A74"/>
    <w:rsid w:val="00F84B2C"/>
    <w:rsid w:val="00F8512D"/>
    <w:rsid w:val="00F85745"/>
    <w:rsid w:val="00F8615F"/>
    <w:rsid w:val="00F863FA"/>
    <w:rsid w:val="00F86477"/>
    <w:rsid w:val="00F8653F"/>
    <w:rsid w:val="00F8694D"/>
    <w:rsid w:val="00F871C9"/>
    <w:rsid w:val="00F87306"/>
    <w:rsid w:val="00F8771E"/>
    <w:rsid w:val="00F87A68"/>
    <w:rsid w:val="00F87AAA"/>
    <w:rsid w:val="00F87BD4"/>
    <w:rsid w:val="00F87EEE"/>
    <w:rsid w:val="00F87FF2"/>
    <w:rsid w:val="00F90031"/>
    <w:rsid w:val="00F90531"/>
    <w:rsid w:val="00F90718"/>
    <w:rsid w:val="00F908D6"/>
    <w:rsid w:val="00F91029"/>
    <w:rsid w:val="00F91121"/>
    <w:rsid w:val="00F916D7"/>
    <w:rsid w:val="00F91724"/>
    <w:rsid w:val="00F91F2C"/>
    <w:rsid w:val="00F91FE5"/>
    <w:rsid w:val="00F92293"/>
    <w:rsid w:val="00F925C5"/>
    <w:rsid w:val="00F92636"/>
    <w:rsid w:val="00F92715"/>
    <w:rsid w:val="00F929C4"/>
    <w:rsid w:val="00F92CA1"/>
    <w:rsid w:val="00F9353E"/>
    <w:rsid w:val="00F93571"/>
    <w:rsid w:val="00F938F4"/>
    <w:rsid w:val="00F9432A"/>
    <w:rsid w:val="00F943A7"/>
    <w:rsid w:val="00F94406"/>
    <w:rsid w:val="00F94469"/>
    <w:rsid w:val="00F94511"/>
    <w:rsid w:val="00F94599"/>
    <w:rsid w:val="00F94BF6"/>
    <w:rsid w:val="00F94C3B"/>
    <w:rsid w:val="00F94D21"/>
    <w:rsid w:val="00F955BC"/>
    <w:rsid w:val="00F95823"/>
    <w:rsid w:val="00F959F6"/>
    <w:rsid w:val="00F95BF1"/>
    <w:rsid w:val="00F95D6C"/>
    <w:rsid w:val="00F95FA0"/>
    <w:rsid w:val="00F96054"/>
    <w:rsid w:val="00F9641C"/>
    <w:rsid w:val="00F969CA"/>
    <w:rsid w:val="00F96C4D"/>
    <w:rsid w:val="00F96DE3"/>
    <w:rsid w:val="00F96FF7"/>
    <w:rsid w:val="00F9747C"/>
    <w:rsid w:val="00F9773D"/>
    <w:rsid w:val="00F97AD5"/>
    <w:rsid w:val="00F97B06"/>
    <w:rsid w:val="00F97C1B"/>
    <w:rsid w:val="00F97D13"/>
    <w:rsid w:val="00F97D2D"/>
    <w:rsid w:val="00F97DDE"/>
    <w:rsid w:val="00FA01D4"/>
    <w:rsid w:val="00FA02EB"/>
    <w:rsid w:val="00FA094D"/>
    <w:rsid w:val="00FA0CD2"/>
    <w:rsid w:val="00FA0CEF"/>
    <w:rsid w:val="00FA0D8A"/>
    <w:rsid w:val="00FA1339"/>
    <w:rsid w:val="00FA1815"/>
    <w:rsid w:val="00FA1BFF"/>
    <w:rsid w:val="00FA1C50"/>
    <w:rsid w:val="00FA1D31"/>
    <w:rsid w:val="00FA1E34"/>
    <w:rsid w:val="00FA1FFF"/>
    <w:rsid w:val="00FA2304"/>
    <w:rsid w:val="00FA24A6"/>
    <w:rsid w:val="00FA251F"/>
    <w:rsid w:val="00FA2631"/>
    <w:rsid w:val="00FA27CF"/>
    <w:rsid w:val="00FA28C3"/>
    <w:rsid w:val="00FA2A78"/>
    <w:rsid w:val="00FA2A8E"/>
    <w:rsid w:val="00FA32BA"/>
    <w:rsid w:val="00FA33FB"/>
    <w:rsid w:val="00FA3755"/>
    <w:rsid w:val="00FA3B27"/>
    <w:rsid w:val="00FA3D69"/>
    <w:rsid w:val="00FA3F97"/>
    <w:rsid w:val="00FA406E"/>
    <w:rsid w:val="00FA417A"/>
    <w:rsid w:val="00FA44D6"/>
    <w:rsid w:val="00FA465C"/>
    <w:rsid w:val="00FA4AD7"/>
    <w:rsid w:val="00FA4B13"/>
    <w:rsid w:val="00FA4EF5"/>
    <w:rsid w:val="00FA5436"/>
    <w:rsid w:val="00FA551A"/>
    <w:rsid w:val="00FA552E"/>
    <w:rsid w:val="00FA5781"/>
    <w:rsid w:val="00FA57B1"/>
    <w:rsid w:val="00FA5C3B"/>
    <w:rsid w:val="00FA5C4F"/>
    <w:rsid w:val="00FA60AA"/>
    <w:rsid w:val="00FA6508"/>
    <w:rsid w:val="00FA66AE"/>
    <w:rsid w:val="00FA67B0"/>
    <w:rsid w:val="00FA6DE4"/>
    <w:rsid w:val="00FA6DEA"/>
    <w:rsid w:val="00FA70E0"/>
    <w:rsid w:val="00FA7205"/>
    <w:rsid w:val="00FA7355"/>
    <w:rsid w:val="00FA778A"/>
    <w:rsid w:val="00FA78E8"/>
    <w:rsid w:val="00FA7909"/>
    <w:rsid w:val="00FA7B5E"/>
    <w:rsid w:val="00FA7D2E"/>
    <w:rsid w:val="00FA7DA3"/>
    <w:rsid w:val="00FA7DD2"/>
    <w:rsid w:val="00FB059E"/>
    <w:rsid w:val="00FB05D9"/>
    <w:rsid w:val="00FB075F"/>
    <w:rsid w:val="00FB08B2"/>
    <w:rsid w:val="00FB0901"/>
    <w:rsid w:val="00FB0DE2"/>
    <w:rsid w:val="00FB0EDD"/>
    <w:rsid w:val="00FB10B3"/>
    <w:rsid w:val="00FB11B6"/>
    <w:rsid w:val="00FB13B7"/>
    <w:rsid w:val="00FB1506"/>
    <w:rsid w:val="00FB163B"/>
    <w:rsid w:val="00FB1707"/>
    <w:rsid w:val="00FB185D"/>
    <w:rsid w:val="00FB19EC"/>
    <w:rsid w:val="00FB2060"/>
    <w:rsid w:val="00FB2174"/>
    <w:rsid w:val="00FB23E7"/>
    <w:rsid w:val="00FB25BC"/>
    <w:rsid w:val="00FB2C55"/>
    <w:rsid w:val="00FB2D24"/>
    <w:rsid w:val="00FB352F"/>
    <w:rsid w:val="00FB3BAE"/>
    <w:rsid w:val="00FB3E3B"/>
    <w:rsid w:val="00FB3EF5"/>
    <w:rsid w:val="00FB41B4"/>
    <w:rsid w:val="00FB4578"/>
    <w:rsid w:val="00FB48E4"/>
    <w:rsid w:val="00FB4915"/>
    <w:rsid w:val="00FB4D12"/>
    <w:rsid w:val="00FB4F49"/>
    <w:rsid w:val="00FB5262"/>
    <w:rsid w:val="00FB52AF"/>
    <w:rsid w:val="00FB532B"/>
    <w:rsid w:val="00FB5536"/>
    <w:rsid w:val="00FB569B"/>
    <w:rsid w:val="00FB580A"/>
    <w:rsid w:val="00FB5824"/>
    <w:rsid w:val="00FB5AAD"/>
    <w:rsid w:val="00FB5D9E"/>
    <w:rsid w:val="00FB5E2F"/>
    <w:rsid w:val="00FB5F0B"/>
    <w:rsid w:val="00FB5F13"/>
    <w:rsid w:val="00FB61C3"/>
    <w:rsid w:val="00FB628C"/>
    <w:rsid w:val="00FB64A7"/>
    <w:rsid w:val="00FB6942"/>
    <w:rsid w:val="00FB6A1A"/>
    <w:rsid w:val="00FB6B76"/>
    <w:rsid w:val="00FB6C01"/>
    <w:rsid w:val="00FB6C29"/>
    <w:rsid w:val="00FB7B0A"/>
    <w:rsid w:val="00FB7BC0"/>
    <w:rsid w:val="00FB7D8A"/>
    <w:rsid w:val="00FC0131"/>
    <w:rsid w:val="00FC0201"/>
    <w:rsid w:val="00FC076B"/>
    <w:rsid w:val="00FC08D2"/>
    <w:rsid w:val="00FC0AD9"/>
    <w:rsid w:val="00FC0D3E"/>
    <w:rsid w:val="00FC0F26"/>
    <w:rsid w:val="00FC1028"/>
    <w:rsid w:val="00FC1259"/>
    <w:rsid w:val="00FC12A8"/>
    <w:rsid w:val="00FC162F"/>
    <w:rsid w:val="00FC1651"/>
    <w:rsid w:val="00FC1C8E"/>
    <w:rsid w:val="00FC2069"/>
    <w:rsid w:val="00FC2383"/>
    <w:rsid w:val="00FC23E6"/>
    <w:rsid w:val="00FC27B4"/>
    <w:rsid w:val="00FC294B"/>
    <w:rsid w:val="00FC29C2"/>
    <w:rsid w:val="00FC2B13"/>
    <w:rsid w:val="00FC2B3F"/>
    <w:rsid w:val="00FC3051"/>
    <w:rsid w:val="00FC3333"/>
    <w:rsid w:val="00FC359E"/>
    <w:rsid w:val="00FC3694"/>
    <w:rsid w:val="00FC3799"/>
    <w:rsid w:val="00FC39C0"/>
    <w:rsid w:val="00FC3A25"/>
    <w:rsid w:val="00FC400B"/>
    <w:rsid w:val="00FC43CE"/>
    <w:rsid w:val="00FC445F"/>
    <w:rsid w:val="00FC44E6"/>
    <w:rsid w:val="00FC463C"/>
    <w:rsid w:val="00FC4757"/>
    <w:rsid w:val="00FC485E"/>
    <w:rsid w:val="00FC4DD9"/>
    <w:rsid w:val="00FC56B9"/>
    <w:rsid w:val="00FC5B61"/>
    <w:rsid w:val="00FC5B97"/>
    <w:rsid w:val="00FC6145"/>
    <w:rsid w:val="00FC6677"/>
    <w:rsid w:val="00FC66DE"/>
    <w:rsid w:val="00FC6769"/>
    <w:rsid w:val="00FC68FA"/>
    <w:rsid w:val="00FC6994"/>
    <w:rsid w:val="00FC69D9"/>
    <w:rsid w:val="00FC6B69"/>
    <w:rsid w:val="00FC6BB4"/>
    <w:rsid w:val="00FC6CDB"/>
    <w:rsid w:val="00FC6D7B"/>
    <w:rsid w:val="00FC6E7C"/>
    <w:rsid w:val="00FC6F70"/>
    <w:rsid w:val="00FC6FBD"/>
    <w:rsid w:val="00FC7026"/>
    <w:rsid w:val="00FC7473"/>
    <w:rsid w:val="00FC76D4"/>
    <w:rsid w:val="00FC7A78"/>
    <w:rsid w:val="00FC7BCE"/>
    <w:rsid w:val="00FC7BD3"/>
    <w:rsid w:val="00FC7EDF"/>
    <w:rsid w:val="00FD0396"/>
    <w:rsid w:val="00FD03D7"/>
    <w:rsid w:val="00FD0589"/>
    <w:rsid w:val="00FD0788"/>
    <w:rsid w:val="00FD0B95"/>
    <w:rsid w:val="00FD12C6"/>
    <w:rsid w:val="00FD14AA"/>
    <w:rsid w:val="00FD1693"/>
    <w:rsid w:val="00FD1AC9"/>
    <w:rsid w:val="00FD1E35"/>
    <w:rsid w:val="00FD1E71"/>
    <w:rsid w:val="00FD215F"/>
    <w:rsid w:val="00FD2164"/>
    <w:rsid w:val="00FD253B"/>
    <w:rsid w:val="00FD25AA"/>
    <w:rsid w:val="00FD280B"/>
    <w:rsid w:val="00FD2D82"/>
    <w:rsid w:val="00FD2F48"/>
    <w:rsid w:val="00FD31C7"/>
    <w:rsid w:val="00FD3210"/>
    <w:rsid w:val="00FD3480"/>
    <w:rsid w:val="00FD3769"/>
    <w:rsid w:val="00FD37F1"/>
    <w:rsid w:val="00FD3B1C"/>
    <w:rsid w:val="00FD4374"/>
    <w:rsid w:val="00FD4510"/>
    <w:rsid w:val="00FD4FD6"/>
    <w:rsid w:val="00FD5175"/>
    <w:rsid w:val="00FD52EA"/>
    <w:rsid w:val="00FD56E2"/>
    <w:rsid w:val="00FD5752"/>
    <w:rsid w:val="00FD5A14"/>
    <w:rsid w:val="00FD5C07"/>
    <w:rsid w:val="00FD5FB2"/>
    <w:rsid w:val="00FD61BE"/>
    <w:rsid w:val="00FD643C"/>
    <w:rsid w:val="00FD64FB"/>
    <w:rsid w:val="00FD6587"/>
    <w:rsid w:val="00FD65F3"/>
    <w:rsid w:val="00FD6E69"/>
    <w:rsid w:val="00FD7719"/>
    <w:rsid w:val="00FD771E"/>
    <w:rsid w:val="00FD7990"/>
    <w:rsid w:val="00FD7C40"/>
    <w:rsid w:val="00FD7DD8"/>
    <w:rsid w:val="00FE022E"/>
    <w:rsid w:val="00FE02B0"/>
    <w:rsid w:val="00FE0424"/>
    <w:rsid w:val="00FE05E2"/>
    <w:rsid w:val="00FE0684"/>
    <w:rsid w:val="00FE0722"/>
    <w:rsid w:val="00FE081C"/>
    <w:rsid w:val="00FE09FE"/>
    <w:rsid w:val="00FE0F31"/>
    <w:rsid w:val="00FE102A"/>
    <w:rsid w:val="00FE1190"/>
    <w:rsid w:val="00FE13D0"/>
    <w:rsid w:val="00FE16A4"/>
    <w:rsid w:val="00FE1B61"/>
    <w:rsid w:val="00FE1E84"/>
    <w:rsid w:val="00FE20E9"/>
    <w:rsid w:val="00FE212F"/>
    <w:rsid w:val="00FE23CC"/>
    <w:rsid w:val="00FE26D7"/>
    <w:rsid w:val="00FE2E4C"/>
    <w:rsid w:val="00FE2EDE"/>
    <w:rsid w:val="00FE2F79"/>
    <w:rsid w:val="00FE3711"/>
    <w:rsid w:val="00FE3745"/>
    <w:rsid w:val="00FE3DD3"/>
    <w:rsid w:val="00FE4270"/>
    <w:rsid w:val="00FE4F93"/>
    <w:rsid w:val="00FE5128"/>
    <w:rsid w:val="00FE5A7E"/>
    <w:rsid w:val="00FE5A99"/>
    <w:rsid w:val="00FE5E2D"/>
    <w:rsid w:val="00FE5F3C"/>
    <w:rsid w:val="00FE61EF"/>
    <w:rsid w:val="00FE6725"/>
    <w:rsid w:val="00FE69A4"/>
    <w:rsid w:val="00FE6EF3"/>
    <w:rsid w:val="00FE701B"/>
    <w:rsid w:val="00FE74DA"/>
    <w:rsid w:val="00FE7645"/>
    <w:rsid w:val="00FE76BD"/>
    <w:rsid w:val="00FE7AF1"/>
    <w:rsid w:val="00FE7AF7"/>
    <w:rsid w:val="00FE7B41"/>
    <w:rsid w:val="00FE7BEF"/>
    <w:rsid w:val="00FF04DF"/>
    <w:rsid w:val="00FF0787"/>
    <w:rsid w:val="00FF0990"/>
    <w:rsid w:val="00FF1217"/>
    <w:rsid w:val="00FF1958"/>
    <w:rsid w:val="00FF1981"/>
    <w:rsid w:val="00FF1D34"/>
    <w:rsid w:val="00FF1D61"/>
    <w:rsid w:val="00FF1FD1"/>
    <w:rsid w:val="00FF289C"/>
    <w:rsid w:val="00FF29DC"/>
    <w:rsid w:val="00FF2E64"/>
    <w:rsid w:val="00FF307D"/>
    <w:rsid w:val="00FF31FD"/>
    <w:rsid w:val="00FF3289"/>
    <w:rsid w:val="00FF32A2"/>
    <w:rsid w:val="00FF332E"/>
    <w:rsid w:val="00FF33DE"/>
    <w:rsid w:val="00FF3471"/>
    <w:rsid w:val="00FF3490"/>
    <w:rsid w:val="00FF3E7C"/>
    <w:rsid w:val="00FF3FEF"/>
    <w:rsid w:val="00FF45E4"/>
    <w:rsid w:val="00FF4822"/>
    <w:rsid w:val="00FF4843"/>
    <w:rsid w:val="00FF4973"/>
    <w:rsid w:val="00FF4BF3"/>
    <w:rsid w:val="00FF4C55"/>
    <w:rsid w:val="00FF4D6C"/>
    <w:rsid w:val="00FF4ED9"/>
    <w:rsid w:val="00FF50F7"/>
    <w:rsid w:val="00FF51A5"/>
    <w:rsid w:val="00FF5366"/>
    <w:rsid w:val="00FF54CA"/>
    <w:rsid w:val="00FF569A"/>
    <w:rsid w:val="00FF5992"/>
    <w:rsid w:val="00FF5C59"/>
    <w:rsid w:val="00FF5EB1"/>
    <w:rsid w:val="00FF6586"/>
    <w:rsid w:val="00FF6704"/>
    <w:rsid w:val="00FF68C8"/>
    <w:rsid w:val="00FF6B3E"/>
    <w:rsid w:val="00FF6B8F"/>
    <w:rsid w:val="00FF6E6A"/>
    <w:rsid w:val="00FF7147"/>
    <w:rsid w:val="00FF77F2"/>
    <w:rsid w:val="00FF789B"/>
    <w:rsid w:val="00FF78B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21"/>
    <o:shapelayout v:ext="edit">
      <o:idmap v:ext="edit" data="1"/>
    </o:shapelayout>
  </w:shapeDefaults>
  <w:decimalSymbol w:val="."/>
  <w:listSeparator w:val=","/>
  <w14:docId w14:val="7B1B061E"/>
  <w15:docId w15:val="{94437E5A-4D35-405F-B032-03B0BF759E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432F"/>
    <w:rPr>
      <w:rFonts w:ascii="Arial" w:hAnsi="Arial"/>
      <w:sz w:val="22"/>
    </w:rPr>
  </w:style>
  <w:style w:type="paragraph" w:styleId="Heading1">
    <w:name w:val="heading 1"/>
    <w:basedOn w:val="Normal"/>
    <w:next w:val="Normal"/>
    <w:link w:val="Heading1Char"/>
    <w:qFormat/>
    <w:rsid w:val="00507B27"/>
    <w:pPr>
      <w:numPr>
        <w:numId w:val="26"/>
      </w:numPr>
      <w:jc w:val="both"/>
      <w:outlineLvl w:val="0"/>
    </w:pPr>
    <w:rPr>
      <w:rFonts w:ascii="Calibri" w:hAnsi="Calibri"/>
      <w:b/>
      <w:bCs/>
      <w:color w:val="8D7252"/>
      <w:szCs w:val="22"/>
    </w:rPr>
  </w:style>
  <w:style w:type="paragraph" w:styleId="Heading2">
    <w:name w:val="heading 2"/>
    <w:basedOn w:val="Normal"/>
    <w:next w:val="Normal"/>
    <w:link w:val="Heading2Char"/>
    <w:qFormat/>
    <w:rsid w:val="00A72D6C"/>
    <w:pPr>
      <w:keepNext/>
      <w:numPr>
        <w:ilvl w:val="1"/>
        <w:numId w:val="26"/>
      </w:numPr>
      <w:spacing w:line="276" w:lineRule="auto"/>
      <w:outlineLvl w:val="1"/>
    </w:pPr>
    <w:rPr>
      <w:rFonts w:asciiTheme="minorHAnsi" w:hAnsiTheme="minorHAnsi"/>
      <w:b/>
    </w:rPr>
  </w:style>
  <w:style w:type="paragraph" w:styleId="Heading3">
    <w:name w:val="heading 3"/>
    <w:basedOn w:val="Normal"/>
    <w:next w:val="NormalIndent"/>
    <w:link w:val="Heading3Char"/>
    <w:qFormat/>
    <w:rsid w:val="008A644D"/>
    <w:pPr>
      <w:keepNext/>
      <w:numPr>
        <w:ilvl w:val="2"/>
        <w:numId w:val="26"/>
      </w:numPr>
      <w:spacing w:line="276" w:lineRule="auto"/>
      <w:ind w:left="720"/>
      <w:jc w:val="both"/>
      <w:outlineLvl w:val="2"/>
    </w:pPr>
    <w:rPr>
      <w:rFonts w:asciiTheme="minorHAnsi" w:hAnsiTheme="minorHAnsi"/>
      <w:b/>
      <w:szCs w:val="22"/>
      <w:u w:val="single"/>
    </w:rPr>
  </w:style>
  <w:style w:type="paragraph" w:styleId="Heading4">
    <w:name w:val="heading 4"/>
    <w:basedOn w:val="Normal"/>
    <w:next w:val="NormalIndent"/>
    <w:link w:val="Heading4Char"/>
    <w:qFormat/>
    <w:rsid w:val="0053432F"/>
    <w:pPr>
      <w:numPr>
        <w:ilvl w:val="3"/>
        <w:numId w:val="26"/>
      </w:numPr>
      <w:outlineLvl w:val="3"/>
    </w:pPr>
    <w:rPr>
      <w:rFonts w:ascii="Times New Roman" w:hAnsi="Times New Roman"/>
      <w:sz w:val="24"/>
      <w:u w:val="single"/>
    </w:rPr>
  </w:style>
  <w:style w:type="paragraph" w:styleId="Heading5">
    <w:name w:val="heading 5"/>
    <w:basedOn w:val="Normal"/>
    <w:next w:val="NormalIndent"/>
    <w:link w:val="Heading5Char"/>
    <w:qFormat/>
    <w:rsid w:val="0053432F"/>
    <w:pPr>
      <w:numPr>
        <w:ilvl w:val="4"/>
        <w:numId w:val="26"/>
      </w:numPr>
      <w:outlineLvl w:val="4"/>
    </w:pPr>
    <w:rPr>
      <w:rFonts w:ascii="Times New Roman" w:hAnsi="Times New Roman"/>
      <w:b/>
      <w:sz w:val="20"/>
    </w:rPr>
  </w:style>
  <w:style w:type="paragraph" w:styleId="Heading6">
    <w:name w:val="heading 6"/>
    <w:basedOn w:val="Normal"/>
    <w:next w:val="NormalIndent"/>
    <w:link w:val="Heading6Char"/>
    <w:qFormat/>
    <w:rsid w:val="0053432F"/>
    <w:pPr>
      <w:numPr>
        <w:ilvl w:val="5"/>
        <w:numId w:val="26"/>
      </w:numPr>
      <w:outlineLvl w:val="5"/>
    </w:pPr>
    <w:rPr>
      <w:rFonts w:ascii="Times New Roman" w:hAnsi="Times New Roman"/>
      <w:sz w:val="20"/>
      <w:u w:val="single"/>
    </w:rPr>
  </w:style>
  <w:style w:type="paragraph" w:styleId="Heading7">
    <w:name w:val="heading 7"/>
    <w:basedOn w:val="Normal"/>
    <w:next w:val="NormalIndent"/>
    <w:link w:val="Heading7Char"/>
    <w:qFormat/>
    <w:rsid w:val="0053432F"/>
    <w:pPr>
      <w:numPr>
        <w:ilvl w:val="6"/>
        <w:numId w:val="26"/>
      </w:numPr>
      <w:outlineLvl w:val="6"/>
    </w:pPr>
    <w:rPr>
      <w:rFonts w:ascii="Times New Roman" w:hAnsi="Times New Roman"/>
      <w:i/>
      <w:sz w:val="20"/>
    </w:rPr>
  </w:style>
  <w:style w:type="paragraph" w:styleId="Heading8">
    <w:name w:val="heading 8"/>
    <w:basedOn w:val="Normal"/>
    <w:next w:val="NormalIndent"/>
    <w:link w:val="Heading8Char"/>
    <w:qFormat/>
    <w:rsid w:val="0053432F"/>
    <w:pPr>
      <w:numPr>
        <w:ilvl w:val="7"/>
        <w:numId w:val="26"/>
      </w:numPr>
      <w:outlineLvl w:val="7"/>
    </w:pPr>
    <w:rPr>
      <w:rFonts w:ascii="Times New Roman" w:hAnsi="Times New Roman"/>
      <w:i/>
      <w:sz w:val="20"/>
    </w:rPr>
  </w:style>
  <w:style w:type="paragraph" w:styleId="Heading9">
    <w:name w:val="heading 9"/>
    <w:basedOn w:val="Normal"/>
    <w:next w:val="NormalIndent"/>
    <w:link w:val="Heading9Char"/>
    <w:qFormat/>
    <w:rsid w:val="0053432F"/>
    <w:pPr>
      <w:numPr>
        <w:ilvl w:val="8"/>
        <w:numId w:val="26"/>
      </w:numPr>
      <w:outlineLvl w:val="8"/>
    </w:pPr>
    <w:rPr>
      <w:rFonts w:ascii="Times New Roman" w:hAnsi="Times New Roman"/>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07B27"/>
    <w:rPr>
      <w:rFonts w:ascii="Calibri" w:hAnsi="Calibri"/>
      <w:b/>
      <w:bCs/>
      <w:color w:val="8D7252"/>
      <w:sz w:val="22"/>
      <w:szCs w:val="22"/>
    </w:rPr>
  </w:style>
  <w:style w:type="character" w:customStyle="1" w:styleId="Heading2Char">
    <w:name w:val="Heading 2 Char"/>
    <w:link w:val="Heading2"/>
    <w:rsid w:val="00A72D6C"/>
    <w:rPr>
      <w:rFonts w:asciiTheme="minorHAnsi" w:hAnsiTheme="minorHAnsi"/>
      <w:b/>
      <w:sz w:val="22"/>
    </w:rPr>
  </w:style>
  <w:style w:type="paragraph" w:styleId="NormalIndent">
    <w:name w:val="Normal Indent"/>
    <w:basedOn w:val="Normal"/>
    <w:uiPriority w:val="99"/>
    <w:rsid w:val="0053432F"/>
    <w:pPr>
      <w:ind w:left="567"/>
    </w:pPr>
  </w:style>
  <w:style w:type="character" w:customStyle="1" w:styleId="Heading3Char">
    <w:name w:val="Heading 3 Char"/>
    <w:link w:val="Heading3"/>
    <w:rsid w:val="008A644D"/>
    <w:rPr>
      <w:rFonts w:asciiTheme="minorHAnsi" w:hAnsiTheme="minorHAnsi"/>
      <w:b/>
      <w:sz w:val="22"/>
      <w:szCs w:val="22"/>
      <w:u w:val="single"/>
    </w:rPr>
  </w:style>
  <w:style w:type="character" w:customStyle="1" w:styleId="Heading4Char">
    <w:name w:val="Heading 4 Char"/>
    <w:link w:val="Heading4"/>
    <w:rsid w:val="0053432F"/>
    <w:rPr>
      <w:sz w:val="24"/>
      <w:u w:val="single"/>
    </w:rPr>
  </w:style>
  <w:style w:type="character" w:customStyle="1" w:styleId="Heading5Char">
    <w:name w:val="Heading 5 Char"/>
    <w:link w:val="Heading5"/>
    <w:rsid w:val="0053432F"/>
    <w:rPr>
      <w:b/>
    </w:rPr>
  </w:style>
  <w:style w:type="character" w:customStyle="1" w:styleId="Heading6Char">
    <w:name w:val="Heading 6 Char"/>
    <w:link w:val="Heading6"/>
    <w:rsid w:val="0053432F"/>
    <w:rPr>
      <w:u w:val="single"/>
    </w:rPr>
  </w:style>
  <w:style w:type="character" w:customStyle="1" w:styleId="Heading7Char">
    <w:name w:val="Heading 7 Char"/>
    <w:link w:val="Heading7"/>
    <w:rsid w:val="0053432F"/>
    <w:rPr>
      <w:i/>
    </w:rPr>
  </w:style>
  <w:style w:type="character" w:customStyle="1" w:styleId="Heading8Char">
    <w:name w:val="Heading 8 Char"/>
    <w:link w:val="Heading8"/>
    <w:rsid w:val="0053432F"/>
    <w:rPr>
      <w:i/>
    </w:rPr>
  </w:style>
  <w:style w:type="character" w:customStyle="1" w:styleId="Heading9Char">
    <w:name w:val="Heading 9 Char"/>
    <w:link w:val="Heading9"/>
    <w:rsid w:val="0053432F"/>
    <w:rPr>
      <w:i/>
    </w:rPr>
  </w:style>
  <w:style w:type="paragraph" w:styleId="Header">
    <w:name w:val="header"/>
    <w:basedOn w:val="Normal"/>
    <w:link w:val="HeaderChar"/>
    <w:uiPriority w:val="99"/>
    <w:rsid w:val="008007E5"/>
    <w:pPr>
      <w:tabs>
        <w:tab w:val="center" w:pos="4153"/>
        <w:tab w:val="right" w:pos="8306"/>
      </w:tabs>
    </w:pPr>
  </w:style>
  <w:style w:type="character" w:customStyle="1" w:styleId="HeaderChar">
    <w:name w:val="Header Char"/>
    <w:link w:val="Header"/>
    <w:uiPriority w:val="99"/>
    <w:rsid w:val="00D844D9"/>
    <w:rPr>
      <w:rFonts w:ascii="Arial" w:hAnsi="Arial"/>
      <w:sz w:val="22"/>
      <w:lang w:eastAsia="en-US"/>
    </w:rPr>
  </w:style>
  <w:style w:type="paragraph" w:styleId="Footer">
    <w:name w:val="footer"/>
    <w:basedOn w:val="Normal"/>
    <w:link w:val="FooterChar"/>
    <w:uiPriority w:val="99"/>
    <w:rsid w:val="008007E5"/>
    <w:pPr>
      <w:tabs>
        <w:tab w:val="center" w:pos="4153"/>
        <w:tab w:val="right" w:pos="8306"/>
      </w:tabs>
    </w:pPr>
    <w:rPr>
      <w:sz w:val="14"/>
    </w:rPr>
  </w:style>
  <w:style w:type="character" w:customStyle="1" w:styleId="FooterChar">
    <w:name w:val="Footer Char"/>
    <w:basedOn w:val="DefaultParagraphFont"/>
    <w:link w:val="Footer"/>
    <w:uiPriority w:val="99"/>
    <w:rsid w:val="00CB1711"/>
    <w:rPr>
      <w:rFonts w:ascii="Arial" w:hAnsi="Arial"/>
      <w:sz w:val="14"/>
      <w:lang w:eastAsia="en-US"/>
    </w:rPr>
  </w:style>
  <w:style w:type="character" w:styleId="PageNumber">
    <w:name w:val="page number"/>
    <w:basedOn w:val="DefaultParagraphFont"/>
    <w:rsid w:val="008007E5"/>
  </w:style>
  <w:style w:type="paragraph" w:customStyle="1" w:styleId="Body">
    <w:name w:val="Body"/>
    <w:basedOn w:val="Normal"/>
    <w:rsid w:val="009C4A6B"/>
    <w:pPr>
      <w:tabs>
        <w:tab w:val="left" w:pos="284"/>
      </w:tabs>
    </w:pPr>
    <w:rPr>
      <w:lang w:val="en-US"/>
    </w:rPr>
  </w:style>
  <w:style w:type="character" w:styleId="EndnoteReference">
    <w:name w:val="endnote reference"/>
    <w:rsid w:val="0053432F"/>
    <w:rPr>
      <w:vertAlign w:val="superscript"/>
    </w:rPr>
  </w:style>
  <w:style w:type="character" w:styleId="FootnoteReference">
    <w:name w:val="footnote reference"/>
    <w:uiPriority w:val="99"/>
    <w:rsid w:val="0053432F"/>
    <w:rPr>
      <w:position w:val="6"/>
      <w:sz w:val="16"/>
    </w:rPr>
  </w:style>
  <w:style w:type="paragraph" w:styleId="FootnoteText">
    <w:name w:val="footnote text"/>
    <w:aliases w:val="ft,Footnote Text Char Char Char Char Char"/>
    <w:basedOn w:val="Normal"/>
    <w:link w:val="FootnoteTextChar"/>
    <w:uiPriority w:val="99"/>
    <w:qFormat/>
    <w:rsid w:val="0053432F"/>
    <w:rPr>
      <w:sz w:val="20"/>
    </w:rPr>
  </w:style>
  <w:style w:type="character" w:customStyle="1" w:styleId="FootnoteTextChar">
    <w:name w:val="Footnote Text Char"/>
    <w:aliases w:val="ft Char,Footnote Text Char Char Char Char Char Char"/>
    <w:link w:val="FootnoteText"/>
    <w:uiPriority w:val="99"/>
    <w:rsid w:val="0053432F"/>
    <w:rPr>
      <w:rFonts w:ascii="Arial" w:hAnsi="Arial"/>
      <w:lang w:eastAsia="en-US"/>
    </w:rPr>
  </w:style>
  <w:style w:type="paragraph" w:styleId="BodyText2">
    <w:name w:val="Body Text 2"/>
    <w:basedOn w:val="Normal"/>
    <w:link w:val="BodyText2Char"/>
    <w:rsid w:val="0053432F"/>
    <w:pPr>
      <w:tabs>
        <w:tab w:val="left" w:pos="567"/>
        <w:tab w:val="left" w:pos="993"/>
      </w:tabs>
      <w:ind w:left="993" w:hanging="993"/>
      <w:jc w:val="both"/>
    </w:pPr>
  </w:style>
  <w:style w:type="character" w:customStyle="1" w:styleId="BodyText2Char">
    <w:name w:val="Body Text 2 Char"/>
    <w:link w:val="BodyText2"/>
    <w:rsid w:val="0053432F"/>
    <w:rPr>
      <w:rFonts w:ascii="Arial" w:hAnsi="Arial"/>
      <w:sz w:val="22"/>
      <w:lang w:eastAsia="en-US"/>
    </w:rPr>
  </w:style>
  <w:style w:type="paragraph" w:styleId="Title">
    <w:name w:val="Title"/>
    <w:basedOn w:val="Normal"/>
    <w:link w:val="TitleChar"/>
    <w:uiPriority w:val="10"/>
    <w:qFormat/>
    <w:rsid w:val="0053432F"/>
    <w:pPr>
      <w:tabs>
        <w:tab w:val="center" w:pos="4678"/>
        <w:tab w:val="left" w:pos="8647"/>
      </w:tabs>
      <w:jc w:val="center"/>
    </w:pPr>
    <w:rPr>
      <w:b/>
      <w:u w:val="single"/>
    </w:rPr>
  </w:style>
  <w:style w:type="character" w:customStyle="1" w:styleId="TitleChar">
    <w:name w:val="Title Char"/>
    <w:link w:val="Title"/>
    <w:uiPriority w:val="10"/>
    <w:rsid w:val="0053432F"/>
    <w:rPr>
      <w:rFonts w:ascii="Arial" w:hAnsi="Arial"/>
      <w:b/>
      <w:sz w:val="22"/>
      <w:u w:val="single"/>
      <w:lang w:eastAsia="en-US"/>
    </w:rPr>
  </w:style>
  <w:style w:type="paragraph" w:styleId="BodyTextIndent2">
    <w:name w:val="Body Text Indent 2"/>
    <w:basedOn w:val="Normal"/>
    <w:link w:val="BodyTextIndent2Char"/>
    <w:rsid w:val="0053432F"/>
    <w:pPr>
      <w:tabs>
        <w:tab w:val="left" w:pos="426"/>
        <w:tab w:val="left" w:pos="709"/>
        <w:tab w:val="left" w:pos="1020"/>
        <w:tab w:val="left" w:pos="1303"/>
      </w:tabs>
      <w:ind w:left="426" w:hanging="426"/>
      <w:jc w:val="both"/>
    </w:pPr>
    <w:rPr>
      <w:sz w:val="18"/>
    </w:rPr>
  </w:style>
  <w:style w:type="character" w:customStyle="1" w:styleId="BodyTextIndent2Char">
    <w:name w:val="Body Text Indent 2 Char"/>
    <w:link w:val="BodyTextIndent2"/>
    <w:rsid w:val="0053432F"/>
    <w:rPr>
      <w:rFonts w:ascii="Arial" w:hAnsi="Arial"/>
      <w:sz w:val="18"/>
      <w:lang w:eastAsia="en-US"/>
    </w:rPr>
  </w:style>
  <w:style w:type="paragraph" w:styleId="BodyTextIndent">
    <w:name w:val="Body Text Indent"/>
    <w:basedOn w:val="Normal"/>
    <w:link w:val="BodyTextIndentChar"/>
    <w:rsid w:val="0053432F"/>
    <w:pPr>
      <w:tabs>
        <w:tab w:val="left" w:pos="1134"/>
      </w:tabs>
      <w:ind w:left="1134" w:hanging="1134"/>
      <w:jc w:val="both"/>
    </w:pPr>
  </w:style>
  <w:style w:type="character" w:customStyle="1" w:styleId="BodyTextIndentChar">
    <w:name w:val="Body Text Indent Char"/>
    <w:link w:val="BodyTextIndent"/>
    <w:rsid w:val="0053432F"/>
    <w:rPr>
      <w:rFonts w:ascii="Arial" w:hAnsi="Arial"/>
      <w:sz w:val="22"/>
      <w:lang w:eastAsia="en-US"/>
    </w:rPr>
  </w:style>
  <w:style w:type="paragraph" w:styleId="BodyTextIndent3">
    <w:name w:val="Body Text Indent 3"/>
    <w:basedOn w:val="Normal"/>
    <w:link w:val="BodyTextIndent3Char"/>
    <w:rsid w:val="0053432F"/>
    <w:pPr>
      <w:tabs>
        <w:tab w:val="left" w:pos="426"/>
        <w:tab w:val="left" w:pos="709"/>
        <w:tab w:val="left" w:pos="993"/>
        <w:tab w:val="left" w:pos="1418"/>
      </w:tabs>
      <w:ind w:left="993" w:hanging="993"/>
      <w:jc w:val="both"/>
    </w:pPr>
    <w:rPr>
      <w:sz w:val="20"/>
    </w:rPr>
  </w:style>
  <w:style w:type="character" w:customStyle="1" w:styleId="BodyTextIndent3Char">
    <w:name w:val="Body Text Indent 3 Char"/>
    <w:link w:val="BodyTextIndent3"/>
    <w:rsid w:val="0053432F"/>
    <w:rPr>
      <w:rFonts w:ascii="Arial" w:hAnsi="Arial"/>
      <w:lang w:eastAsia="en-US"/>
    </w:rPr>
  </w:style>
  <w:style w:type="paragraph" w:styleId="BodyText">
    <w:name w:val="Body Text"/>
    <w:basedOn w:val="Normal"/>
    <w:link w:val="BodyTextChar"/>
    <w:rsid w:val="0053432F"/>
    <w:pPr>
      <w:ind w:right="2895"/>
    </w:pPr>
  </w:style>
  <w:style w:type="character" w:customStyle="1" w:styleId="BodyTextChar">
    <w:name w:val="Body Text Char"/>
    <w:link w:val="BodyText"/>
    <w:rsid w:val="0053432F"/>
    <w:rPr>
      <w:rFonts w:ascii="Arial" w:hAnsi="Arial"/>
      <w:sz w:val="22"/>
      <w:lang w:eastAsia="en-US"/>
    </w:rPr>
  </w:style>
  <w:style w:type="paragraph" w:styleId="BlockText">
    <w:name w:val="Block Text"/>
    <w:basedOn w:val="Normal"/>
    <w:rsid w:val="0053432F"/>
    <w:pPr>
      <w:tabs>
        <w:tab w:val="left" w:pos="426"/>
        <w:tab w:val="left" w:pos="993"/>
      </w:tabs>
      <w:spacing w:before="240"/>
      <w:ind w:left="426" w:right="565" w:hanging="426"/>
    </w:pPr>
  </w:style>
  <w:style w:type="paragraph" w:styleId="BodyText3">
    <w:name w:val="Body Text 3"/>
    <w:basedOn w:val="Normal"/>
    <w:link w:val="BodyText3Char"/>
    <w:rsid w:val="0053432F"/>
    <w:pPr>
      <w:tabs>
        <w:tab w:val="left" w:pos="567"/>
        <w:tab w:val="left" w:pos="851"/>
      </w:tabs>
      <w:ind w:right="-1"/>
    </w:pPr>
  </w:style>
  <w:style w:type="character" w:customStyle="1" w:styleId="BodyText3Char">
    <w:name w:val="Body Text 3 Char"/>
    <w:link w:val="BodyText3"/>
    <w:rsid w:val="0053432F"/>
    <w:rPr>
      <w:rFonts w:ascii="Arial" w:hAnsi="Arial"/>
      <w:sz w:val="22"/>
      <w:lang w:eastAsia="en-US"/>
    </w:rPr>
  </w:style>
  <w:style w:type="paragraph" w:styleId="BalloonText">
    <w:name w:val="Balloon Text"/>
    <w:basedOn w:val="Normal"/>
    <w:link w:val="BalloonTextChar"/>
    <w:uiPriority w:val="99"/>
    <w:rsid w:val="0053432F"/>
    <w:rPr>
      <w:rFonts w:ascii="Tahoma" w:hAnsi="Tahoma" w:cs="Tahoma"/>
      <w:sz w:val="16"/>
      <w:szCs w:val="16"/>
    </w:rPr>
  </w:style>
  <w:style w:type="character" w:customStyle="1" w:styleId="BalloonTextChar">
    <w:name w:val="Balloon Text Char"/>
    <w:link w:val="BalloonText"/>
    <w:uiPriority w:val="99"/>
    <w:rsid w:val="0053432F"/>
    <w:rPr>
      <w:rFonts w:ascii="Tahoma" w:hAnsi="Tahoma" w:cs="Tahoma"/>
      <w:sz w:val="16"/>
      <w:szCs w:val="16"/>
      <w:lang w:eastAsia="en-US"/>
    </w:rPr>
  </w:style>
  <w:style w:type="character" w:styleId="Hyperlink">
    <w:name w:val="Hyperlink"/>
    <w:uiPriority w:val="99"/>
    <w:rsid w:val="0053432F"/>
    <w:rPr>
      <w:color w:val="0000FF"/>
      <w:u w:val="single"/>
    </w:rPr>
  </w:style>
  <w:style w:type="paragraph" w:styleId="DocumentMap">
    <w:name w:val="Document Map"/>
    <w:basedOn w:val="Normal"/>
    <w:link w:val="DocumentMapChar"/>
    <w:rsid w:val="0053432F"/>
    <w:rPr>
      <w:rFonts w:ascii="Tahoma" w:hAnsi="Tahoma" w:cs="Tahoma"/>
      <w:sz w:val="16"/>
      <w:szCs w:val="16"/>
    </w:rPr>
  </w:style>
  <w:style w:type="character" w:customStyle="1" w:styleId="DocumentMapChar">
    <w:name w:val="Document Map Char"/>
    <w:link w:val="DocumentMap"/>
    <w:rsid w:val="0053432F"/>
    <w:rPr>
      <w:rFonts w:ascii="Tahoma" w:hAnsi="Tahoma" w:cs="Tahoma"/>
      <w:sz w:val="16"/>
      <w:szCs w:val="16"/>
      <w:lang w:eastAsia="en-US"/>
    </w:rPr>
  </w:style>
  <w:style w:type="paragraph" w:styleId="EndnoteText">
    <w:name w:val="endnote text"/>
    <w:basedOn w:val="Normal"/>
    <w:link w:val="EndnoteTextChar"/>
    <w:rsid w:val="0053432F"/>
    <w:rPr>
      <w:sz w:val="20"/>
    </w:rPr>
  </w:style>
  <w:style w:type="character" w:customStyle="1" w:styleId="EndnoteTextChar">
    <w:name w:val="Endnote Text Char"/>
    <w:link w:val="EndnoteText"/>
    <w:rsid w:val="0053432F"/>
    <w:rPr>
      <w:rFonts w:ascii="Arial" w:hAnsi="Arial"/>
      <w:lang w:eastAsia="en-US"/>
    </w:rPr>
  </w:style>
  <w:style w:type="paragraph" w:styleId="ListParagraph">
    <w:name w:val="List Paragraph"/>
    <w:basedOn w:val="Normal"/>
    <w:uiPriority w:val="34"/>
    <w:qFormat/>
    <w:rsid w:val="0053432F"/>
    <w:pPr>
      <w:ind w:left="720"/>
      <w:contextualSpacing/>
      <w:jc w:val="both"/>
    </w:pPr>
  </w:style>
  <w:style w:type="character" w:styleId="CommentReference">
    <w:name w:val="annotation reference"/>
    <w:uiPriority w:val="99"/>
    <w:semiHidden/>
    <w:rsid w:val="00B21835"/>
    <w:rPr>
      <w:sz w:val="16"/>
      <w:szCs w:val="16"/>
    </w:rPr>
  </w:style>
  <w:style w:type="paragraph" w:styleId="CommentText">
    <w:name w:val="annotation text"/>
    <w:basedOn w:val="Normal"/>
    <w:link w:val="CommentTextChar"/>
    <w:uiPriority w:val="99"/>
    <w:rsid w:val="00B21835"/>
    <w:rPr>
      <w:sz w:val="20"/>
    </w:rPr>
  </w:style>
  <w:style w:type="character" w:customStyle="1" w:styleId="CommentTextChar">
    <w:name w:val="Comment Text Char"/>
    <w:basedOn w:val="DefaultParagraphFont"/>
    <w:link w:val="CommentText"/>
    <w:uiPriority w:val="99"/>
    <w:locked/>
    <w:rsid w:val="00057622"/>
    <w:rPr>
      <w:rFonts w:ascii="Arial" w:hAnsi="Arial"/>
    </w:rPr>
  </w:style>
  <w:style w:type="paragraph" w:styleId="CommentSubject">
    <w:name w:val="annotation subject"/>
    <w:basedOn w:val="CommentText"/>
    <w:next w:val="CommentText"/>
    <w:link w:val="CommentSubjectChar"/>
    <w:uiPriority w:val="99"/>
    <w:semiHidden/>
    <w:rsid w:val="00B21835"/>
    <w:rPr>
      <w:b/>
      <w:bCs/>
    </w:rPr>
  </w:style>
  <w:style w:type="character" w:customStyle="1" w:styleId="CommentSubjectChar">
    <w:name w:val="Comment Subject Char"/>
    <w:basedOn w:val="CommentTextChar"/>
    <w:link w:val="CommentSubject"/>
    <w:uiPriority w:val="99"/>
    <w:semiHidden/>
    <w:rsid w:val="006542E2"/>
    <w:rPr>
      <w:rFonts w:ascii="Arial" w:hAnsi="Arial"/>
      <w:b/>
      <w:bCs/>
    </w:rPr>
  </w:style>
  <w:style w:type="paragraph" w:customStyle="1" w:styleId="Default">
    <w:name w:val="Default"/>
    <w:rsid w:val="00BC0720"/>
    <w:pPr>
      <w:autoSpaceDE w:val="0"/>
      <w:autoSpaceDN w:val="0"/>
      <w:adjustRightInd w:val="0"/>
    </w:pPr>
    <w:rPr>
      <w:rFonts w:ascii="Calibri" w:hAnsi="Calibri" w:cs="Calibri"/>
      <w:color w:val="000000"/>
      <w:sz w:val="24"/>
      <w:szCs w:val="24"/>
    </w:rPr>
  </w:style>
  <w:style w:type="character" w:customStyle="1" w:styleId="NoSpacingChar">
    <w:name w:val="No Spacing Char"/>
    <w:link w:val="NoSpacing"/>
    <w:uiPriority w:val="1"/>
    <w:locked/>
    <w:rsid w:val="00D77BAB"/>
    <w:rPr>
      <w:rFonts w:ascii="Calibri" w:hAnsi="Calibri"/>
    </w:rPr>
  </w:style>
  <w:style w:type="paragraph" w:styleId="NoSpacing">
    <w:name w:val="No Spacing"/>
    <w:basedOn w:val="Normal"/>
    <w:link w:val="NoSpacingChar"/>
    <w:uiPriority w:val="1"/>
    <w:qFormat/>
    <w:rsid w:val="00D77BAB"/>
    <w:rPr>
      <w:rFonts w:ascii="Calibri" w:hAnsi="Calibri"/>
      <w:sz w:val="20"/>
      <w:lang w:eastAsia="en-AU"/>
    </w:rPr>
  </w:style>
  <w:style w:type="table" w:styleId="TableGrid">
    <w:name w:val="Table Grid"/>
    <w:basedOn w:val="TableNormal"/>
    <w:rsid w:val="003527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rsid w:val="00A64580"/>
    <w:rPr>
      <w:b/>
      <w:bCs/>
    </w:rPr>
  </w:style>
  <w:style w:type="character" w:styleId="IntenseEmphasis">
    <w:name w:val="Intense Emphasis"/>
    <w:basedOn w:val="DefaultParagraphFont"/>
    <w:uiPriority w:val="21"/>
    <w:qFormat/>
    <w:rsid w:val="00773F6A"/>
    <w:rPr>
      <w:b/>
      <w:bCs/>
      <w:i/>
      <w:iCs/>
      <w:color w:val="4F81BD" w:themeColor="accent1"/>
    </w:rPr>
  </w:style>
  <w:style w:type="paragraph" w:styleId="TOCHeading">
    <w:name w:val="TOC Heading"/>
    <w:basedOn w:val="Heading1"/>
    <w:next w:val="Normal"/>
    <w:uiPriority w:val="39"/>
    <w:unhideWhenUsed/>
    <w:qFormat/>
    <w:rsid w:val="008D16A6"/>
    <w:pPr>
      <w:keepLines/>
      <w:spacing w:before="480" w:line="276" w:lineRule="auto"/>
      <w:outlineLvl w:val="9"/>
    </w:pPr>
    <w:rPr>
      <w:rFonts w:asciiTheme="majorHAnsi" w:eastAsiaTheme="majorEastAsia" w:hAnsiTheme="majorHAnsi" w:cstheme="majorBidi"/>
      <w:bCs w:val="0"/>
      <w:color w:val="365F91" w:themeColor="accent1" w:themeShade="BF"/>
      <w:szCs w:val="28"/>
      <w:lang w:val="en-US" w:eastAsia="ja-JP"/>
    </w:rPr>
  </w:style>
  <w:style w:type="paragraph" w:styleId="TOC2">
    <w:name w:val="toc 2"/>
    <w:basedOn w:val="Normal"/>
    <w:next w:val="Normal"/>
    <w:autoRedefine/>
    <w:uiPriority w:val="39"/>
    <w:unhideWhenUsed/>
    <w:qFormat/>
    <w:rsid w:val="008D16A6"/>
    <w:pPr>
      <w:spacing w:after="100" w:line="276" w:lineRule="auto"/>
      <w:ind w:left="220"/>
    </w:pPr>
    <w:rPr>
      <w:rFonts w:asciiTheme="minorHAnsi" w:eastAsiaTheme="minorEastAsia" w:hAnsiTheme="minorHAnsi" w:cstheme="minorBidi"/>
      <w:szCs w:val="22"/>
      <w:lang w:val="en-US" w:eastAsia="ja-JP"/>
    </w:rPr>
  </w:style>
  <w:style w:type="paragraph" w:styleId="TOC1">
    <w:name w:val="toc 1"/>
    <w:basedOn w:val="Normal"/>
    <w:next w:val="Normal"/>
    <w:autoRedefine/>
    <w:uiPriority w:val="39"/>
    <w:unhideWhenUsed/>
    <w:qFormat/>
    <w:rsid w:val="00107BF9"/>
    <w:pPr>
      <w:tabs>
        <w:tab w:val="right" w:leader="dot" w:pos="9061"/>
      </w:tabs>
      <w:spacing w:after="100" w:line="276" w:lineRule="auto"/>
    </w:pPr>
    <w:rPr>
      <w:rFonts w:asciiTheme="minorHAnsi" w:eastAsiaTheme="minorEastAsia" w:hAnsiTheme="minorHAnsi" w:cstheme="minorBidi"/>
      <w:b/>
      <w:noProof/>
      <w:szCs w:val="22"/>
      <w:lang w:val="en-US" w:eastAsia="ja-JP"/>
    </w:rPr>
  </w:style>
  <w:style w:type="paragraph" w:styleId="TOC3">
    <w:name w:val="toc 3"/>
    <w:basedOn w:val="Normal"/>
    <w:next w:val="Normal"/>
    <w:autoRedefine/>
    <w:uiPriority w:val="39"/>
    <w:unhideWhenUsed/>
    <w:qFormat/>
    <w:rsid w:val="00C37721"/>
    <w:pPr>
      <w:tabs>
        <w:tab w:val="right" w:leader="dot" w:pos="9061"/>
      </w:tabs>
      <w:spacing w:after="100" w:line="276" w:lineRule="auto"/>
      <w:ind w:left="440"/>
    </w:pPr>
    <w:rPr>
      <w:rFonts w:asciiTheme="minorHAnsi" w:eastAsiaTheme="minorEastAsia" w:hAnsiTheme="minorHAnsi" w:cstheme="minorBidi"/>
      <w:szCs w:val="22"/>
      <w:lang w:val="en-US" w:eastAsia="ja-JP"/>
    </w:rPr>
  </w:style>
  <w:style w:type="paragraph" w:customStyle="1" w:styleId="Sub-heading">
    <w:name w:val="Sub-heading"/>
    <w:basedOn w:val="Heading7"/>
    <w:link w:val="Sub-headingChar"/>
    <w:qFormat/>
    <w:rsid w:val="00176A8B"/>
    <w:pPr>
      <w:ind w:left="873" w:firstLine="720"/>
    </w:pPr>
    <w:rPr>
      <w:rFonts w:asciiTheme="minorHAnsi" w:hAnsiTheme="minorHAnsi"/>
      <w:i w:val="0"/>
      <w:sz w:val="22"/>
      <w:szCs w:val="22"/>
      <w:u w:val="single"/>
    </w:rPr>
  </w:style>
  <w:style w:type="character" w:customStyle="1" w:styleId="Sub-headingChar">
    <w:name w:val="Sub-heading Char"/>
    <w:basedOn w:val="Heading7Char"/>
    <w:link w:val="Sub-heading"/>
    <w:rsid w:val="00176A8B"/>
    <w:rPr>
      <w:rFonts w:asciiTheme="minorHAnsi" w:hAnsiTheme="minorHAnsi"/>
      <w:i w:val="0"/>
      <w:sz w:val="22"/>
      <w:szCs w:val="22"/>
      <w:u w:val="single"/>
    </w:rPr>
  </w:style>
  <w:style w:type="paragraph" w:styleId="TOAHeading">
    <w:name w:val="toa heading"/>
    <w:basedOn w:val="Normal"/>
    <w:next w:val="Normal"/>
    <w:uiPriority w:val="99"/>
    <w:rsid w:val="004E105B"/>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rsid w:val="00EC5EAD"/>
    <w:pPr>
      <w:ind w:left="220" w:hanging="220"/>
    </w:pPr>
    <w:rPr>
      <w:rFonts w:ascii="Calibri" w:hAnsi="Calibri"/>
      <w:sz w:val="20"/>
    </w:rPr>
  </w:style>
  <w:style w:type="paragraph" w:customStyle="1" w:styleId="Heading20">
    <w:name w:val="Heading 2."/>
    <w:basedOn w:val="Heading2"/>
    <w:qFormat/>
    <w:rsid w:val="00C50A4A"/>
  </w:style>
  <w:style w:type="character" w:customStyle="1" w:styleId="Style">
    <w:name w:val="Style"/>
    <w:basedOn w:val="FootnoteReference"/>
    <w:rsid w:val="00863A3E"/>
    <w:rPr>
      <w:rFonts w:ascii="Calibri" w:hAnsi="Calibri"/>
      <w:position w:val="6"/>
      <w:sz w:val="16"/>
    </w:rPr>
  </w:style>
  <w:style w:type="paragraph" w:styleId="Revision">
    <w:name w:val="Revision"/>
    <w:hidden/>
    <w:uiPriority w:val="99"/>
    <w:semiHidden/>
    <w:rsid w:val="00972836"/>
    <w:rPr>
      <w:rFonts w:ascii="Arial" w:hAnsi="Arial"/>
      <w:sz w:val="22"/>
    </w:rPr>
  </w:style>
  <w:style w:type="character" w:customStyle="1" w:styleId="FootnoteNumber">
    <w:name w:val="Footnote Number"/>
    <w:basedOn w:val="DefaultParagraphFont"/>
    <w:rsid w:val="007C33D8"/>
    <w:rPr>
      <w:rFonts w:ascii="Times New Roman" w:hAnsi="Times New Roman" w:cs="Times New Roman"/>
      <w:position w:val="0"/>
      <w:sz w:val="20"/>
      <w:vertAlign w:val="baseline"/>
    </w:rPr>
  </w:style>
  <w:style w:type="character" w:customStyle="1" w:styleId="verdana">
    <w:name w:val="verdana"/>
    <w:basedOn w:val="DefaultParagraphFont"/>
    <w:rsid w:val="00437867"/>
  </w:style>
  <w:style w:type="paragraph" w:styleId="TOC4">
    <w:name w:val="toc 4"/>
    <w:basedOn w:val="Normal"/>
    <w:next w:val="Normal"/>
    <w:autoRedefine/>
    <w:uiPriority w:val="39"/>
    <w:unhideWhenUsed/>
    <w:rsid w:val="0047005E"/>
    <w:pPr>
      <w:spacing w:after="100" w:line="276" w:lineRule="auto"/>
      <w:ind w:left="660"/>
    </w:pPr>
    <w:rPr>
      <w:rFonts w:asciiTheme="minorHAnsi" w:eastAsiaTheme="minorEastAsia" w:hAnsiTheme="minorHAnsi" w:cstheme="minorBidi"/>
      <w:szCs w:val="22"/>
      <w:lang w:eastAsia="en-AU"/>
    </w:rPr>
  </w:style>
  <w:style w:type="paragraph" w:styleId="TOC5">
    <w:name w:val="toc 5"/>
    <w:basedOn w:val="Normal"/>
    <w:next w:val="Normal"/>
    <w:autoRedefine/>
    <w:uiPriority w:val="39"/>
    <w:unhideWhenUsed/>
    <w:rsid w:val="0047005E"/>
    <w:pPr>
      <w:spacing w:after="100" w:line="276" w:lineRule="auto"/>
      <w:ind w:left="880"/>
    </w:pPr>
    <w:rPr>
      <w:rFonts w:asciiTheme="minorHAnsi" w:eastAsiaTheme="minorEastAsia" w:hAnsiTheme="minorHAnsi" w:cstheme="minorBidi"/>
      <w:szCs w:val="22"/>
      <w:lang w:eastAsia="en-AU"/>
    </w:rPr>
  </w:style>
  <w:style w:type="paragraph" w:styleId="TOC6">
    <w:name w:val="toc 6"/>
    <w:basedOn w:val="Normal"/>
    <w:next w:val="Normal"/>
    <w:autoRedefine/>
    <w:uiPriority w:val="39"/>
    <w:unhideWhenUsed/>
    <w:rsid w:val="0047005E"/>
    <w:pPr>
      <w:spacing w:after="100" w:line="276" w:lineRule="auto"/>
      <w:ind w:left="1100"/>
    </w:pPr>
    <w:rPr>
      <w:rFonts w:asciiTheme="minorHAnsi" w:eastAsiaTheme="minorEastAsia" w:hAnsiTheme="minorHAnsi" w:cstheme="minorBidi"/>
      <w:szCs w:val="22"/>
      <w:lang w:eastAsia="en-AU"/>
    </w:rPr>
  </w:style>
  <w:style w:type="paragraph" w:styleId="TOC7">
    <w:name w:val="toc 7"/>
    <w:basedOn w:val="Normal"/>
    <w:next w:val="Normal"/>
    <w:autoRedefine/>
    <w:uiPriority w:val="39"/>
    <w:unhideWhenUsed/>
    <w:rsid w:val="0047005E"/>
    <w:pPr>
      <w:spacing w:after="100" w:line="276" w:lineRule="auto"/>
      <w:ind w:left="1320"/>
    </w:pPr>
    <w:rPr>
      <w:rFonts w:asciiTheme="minorHAnsi" w:eastAsiaTheme="minorEastAsia" w:hAnsiTheme="minorHAnsi" w:cstheme="minorBidi"/>
      <w:szCs w:val="22"/>
      <w:lang w:eastAsia="en-AU"/>
    </w:rPr>
  </w:style>
  <w:style w:type="paragraph" w:styleId="TOC8">
    <w:name w:val="toc 8"/>
    <w:basedOn w:val="Normal"/>
    <w:next w:val="Normal"/>
    <w:autoRedefine/>
    <w:uiPriority w:val="39"/>
    <w:unhideWhenUsed/>
    <w:rsid w:val="0047005E"/>
    <w:pPr>
      <w:spacing w:after="100" w:line="276" w:lineRule="auto"/>
      <w:ind w:left="1540"/>
    </w:pPr>
    <w:rPr>
      <w:rFonts w:asciiTheme="minorHAnsi" w:eastAsiaTheme="minorEastAsia" w:hAnsiTheme="minorHAnsi" w:cstheme="minorBidi"/>
      <w:szCs w:val="22"/>
      <w:lang w:eastAsia="en-AU"/>
    </w:rPr>
  </w:style>
  <w:style w:type="paragraph" w:styleId="TOC9">
    <w:name w:val="toc 9"/>
    <w:basedOn w:val="Normal"/>
    <w:next w:val="Normal"/>
    <w:autoRedefine/>
    <w:uiPriority w:val="39"/>
    <w:unhideWhenUsed/>
    <w:rsid w:val="0047005E"/>
    <w:pPr>
      <w:spacing w:after="100" w:line="276" w:lineRule="auto"/>
      <w:ind w:left="1760"/>
    </w:pPr>
    <w:rPr>
      <w:rFonts w:asciiTheme="minorHAnsi" w:eastAsiaTheme="minorEastAsia" w:hAnsiTheme="minorHAnsi" w:cstheme="minorBidi"/>
      <w:szCs w:val="22"/>
      <w:lang w:eastAsia="en-AU"/>
    </w:rPr>
  </w:style>
  <w:style w:type="character" w:customStyle="1" w:styleId="italic">
    <w:name w:val="italic"/>
    <w:basedOn w:val="DefaultParagraphFont"/>
    <w:rsid w:val="00E90185"/>
  </w:style>
  <w:style w:type="character" w:customStyle="1" w:styleId="ssl2">
    <w:name w:val="ss_l2"/>
    <w:basedOn w:val="DefaultParagraphFont"/>
    <w:rsid w:val="00111ED4"/>
  </w:style>
  <w:style w:type="character" w:customStyle="1" w:styleId="tightinline">
    <w:name w:val="tightinline"/>
    <w:basedOn w:val="DefaultParagraphFont"/>
    <w:rsid w:val="001D1180"/>
  </w:style>
  <w:style w:type="character" w:customStyle="1" w:styleId="ssl4">
    <w:name w:val="ss_l4"/>
    <w:basedOn w:val="DefaultParagraphFont"/>
    <w:rsid w:val="001D1180"/>
  </w:style>
  <w:style w:type="character" w:customStyle="1" w:styleId="ssl3">
    <w:name w:val="ss_l3"/>
    <w:basedOn w:val="DefaultParagraphFont"/>
    <w:rsid w:val="009F1168"/>
  </w:style>
  <w:style w:type="character" w:customStyle="1" w:styleId="ro">
    <w:name w:val="ro"/>
    <w:basedOn w:val="DefaultParagraphFont"/>
    <w:rsid w:val="00771F8B"/>
  </w:style>
  <w:style w:type="paragraph" w:customStyle="1" w:styleId="loose">
    <w:name w:val="loose"/>
    <w:basedOn w:val="Normal"/>
    <w:rsid w:val="009A758A"/>
    <w:pPr>
      <w:spacing w:before="100" w:beforeAutospacing="1" w:after="100" w:afterAutospacing="1"/>
    </w:pPr>
    <w:rPr>
      <w:rFonts w:ascii="Times New Roman" w:hAnsi="Times New Roman"/>
      <w:sz w:val="24"/>
      <w:szCs w:val="24"/>
      <w:lang w:eastAsia="en-AU"/>
    </w:rPr>
  </w:style>
  <w:style w:type="character" w:customStyle="1" w:styleId="blue">
    <w:name w:val="blue"/>
    <w:basedOn w:val="DefaultParagraphFont"/>
    <w:rsid w:val="00E41416"/>
  </w:style>
  <w:style w:type="character" w:customStyle="1" w:styleId="paragraphChar">
    <w:name w:val="paragraph Char"/>
    <w:aliases w:val="a Char"/>
    <w:basedOn w:val="DefaultParagraphFont"/>
    <w:link w:val="paragraph"/>
    <w:rsid w:val="00C9274A"/>
    <w:rPr>
      <w:sz w:val="22"/>
    </w:rPr>
  </w:style>
  <w:style w:type="paragraph" w:customStyle="1" w:styleId="paragraph">
    <w:name w:val="paragraph"/>
    <w:aliases w:val="a"/>
    <w:basedOn w:val="Normal"/>
    <w:link w:val="paragraphChar"/>
    <w:rsid w:val="00C9274A"/>
    <w:pPr>
      <w:tabs>
        <w:tab w:val="right" w:pos="1531"/>
      </w:tabs>
      <w:spacing w:before="40"/>
      <w:ind w:left="1644" w:hanging="1644"/>
    </w:pPr>
    <w:rPr>
      <w:rFonts w:ascii="Times New Roman" w:hAnsi="Times New Roman"/>
    </w:rPr>
  </w:style>
  <w:style w:type="paragraph" w:customStyle="1" w:styleId="subsection">
    <w:name w:val="subsection"/>
    <w:aliases w:val="ss"/>
    <w:basedOn w:val="Normal"/>
    <w:link w:val="subsectionChar"/>
    <w:rsid w:val="007C7080"/>
    <w:pPr>
      <w:tabs>
        <w:tab w:val="right" w:pos="1021"/>
      </w:tabs>
      <w:spacing w:before="180"/>
      <w:ind w:left="1134" w:hanging="1134"/>
    </w:pPr>
    <w:rPr>
      <w:rFonts w:ascii="Times New Roman" w:hAnsi="Times New Roman"/>
      <w:lang w:eastAsia="en-AU"/>
    </w:rPr>
  </w:style>
  <w:style w:type="character" w:customStyle="1" w:styleId="subsectionChar">
    <w:name w:val="subsection Char"/>
    <w:aliases w:val="ss Char"/>
    <w:basedOn w:val="DefaultParagraphFont"/>
    <w:link w:val="subsection"/>
    <w:rsid w:val="007C7080"/>
    <w:rPr>
      <w:sz w:val="22"/>
      <w:lang w:eastAsia="en-AU"/>
    </w:rPr>
  </w:style>
  <w:style w:type="paragraph" w:customStyle="1" w:styleId="subsection2">
    <w:name w:val="subsection2"/>
    <w:aliases w:val="ss2"/>
    <w:basedOn w:val="Normal"/>
    <w:next w:val="subsection"/>
    <w:rsid w:val="007C7080"/>
    <w:pPr>
      <w:spacing w:before="40"/>
      <w:ind w:left="1134"/>
    </w:pPr>
    <w:rPr>
      <w:rFonts w:ascii="Times New Roman" w:hAnsi="Times New Roman"/>
      <w:lang w:eastAsia="en-AU"/>
    </w:rPr>
  </w:style>
  <w:style w:type="character" w:customStyle="1" w:styleId="UnresolvedMention1">
    <w:name w:val="Unresolved Mention1"/>
    <w:basedOn w:val="DefaultParagraphFont"/>
    <w:uiPriority w:val="99"/>
    <w:semiHidden/>
    <w:unhideWhenUsed/>
    <w:rsid w:val="00B001D5"/>
    <w:rPr>
      <w:color w:val="808080"/>
      <w:shd w:val="clear" w:color="auto" w:fill="E6E6E6"/>
    </w:rPr>
  </w:style>
  <w:style w:type="character" w:styleId="Emphasis">
    <w:name w:val="Emphasis"/>
    <w:basedOn w:val="DefaultParagraphFont"/>
    <w:uiPriority w:val="20"/>
    <w:qFormat/>
    <w:rsid w:val="00BC16AA"/>
    <w:rPr>
      <w:i/>
      <w:iCs/>
    </w:rPr>
  </w:style>
  <w:style w:type="character" w:customStyle="1" w:styleId="hit">
    <w:name w:val="hit"/>
    <w:basedOn w:val="DefaultParagraphFont"/>
    <w:rsid w:val="002F57EB"/>
  </w:style>
  <w:style w:type="paragraph" w:customStyle="1" w:styleId="NormalBody">
    <w:name w:val="Normal Body"/>
    <w:basedOn w:val="Normal"/>
    <w:next w:val="Normal"/>
    <w:qFormat/>
    <w:rsid w:val="004C663F"/>
    <w:pPr>
      <w:tabs>
        <w:tab w:val="left" w:pos="720"/>
        <w:tab w:val="left" w:pos="1440"/>
        <w:tab w:val="left" w:pos="2160"/>
        <w:tab w:val="left" w:pos="2880"/>
        <w:tab w:val="left" w:pos="3600"/>
        <w:tab w:val="left" w:pos="4320"/>
        <w:tab w:val="left" w:pos="5040"/>
        <w:tab w:val="left" w:pos="5760"/>
        <w:tab w:val="left" w:pos="6480"/>
        <w:tab w:val="left" w:pos="7200"/>
      </w:tabs>
      <w:spacing w:after="260" w:line="280" w:lineRule="exact"/>
      <w:jc w:val="both"/>
    </w:pPr>
    <w:rPr>
      <w:rFonts w:ascii="Times New Roman" w:hAnsi="Times New Roman"/>
      <w:sz w:val="26"/>
      <w:szCs w:val="26"/>
      <w:lang w:val="en-US"/>
    </w:rPr>
  </w:style>
  <w:style w:type="paragraph" w:customStyle="1" w:styleId="bodytext0">
    <w:name w:val="bodytext"/>
    <w:basedOn w:val="Normal"/>
    <w:rsid w:val="00245875"/>
    <w:pPr>
      <w:spacing w:before="100" w:beforeAutospacing="1" w:after="100" w:afterAutospacing="1"/>
    </w:pPr>
    <w:rPr>
      <w:rFonts w:ascii="Times New Roman" w:hAnsi="Times New Roman"/>
      <w:sz w:val="24"/>
      <w:szCs w:val="24"/>
      <w:lang w:eastAsia="en-AU"/>
    </w:rPr>
  </w:style>
  <w:style w:type="character" w:customStyle="1" w:styleId="bold">
    <w:name w:val="bold"/>
    <w:basedOn w:val="DefaultParagraphFont"/>
    <w:rsid w:val="0065335D"/>
  </w:style>
  <w:style w:type="paragraph" w:customStyle="1" w:styleId="Tablea">
    <w:name w:val="Table(a)"/>
    <w:aliases w:val="ta"/>
    <w:basedOn w:val="Normal"/>
    <w:rsid w:val="00FB185D"/>
    <w:pPr>
      <w:spacing w:before="60"/>
      <w:ind w:left="284" w:hanging="284"/>
    </w:pPr>
    <w:rPr>
      <w:rFonts w:ascii="Times New Roman" w:hAnsi="Times New Roman"/>
      <w:sz w:val="20"/>
      <w:lang w:eastAsia="en-AU"/>
    </w:rPr>
  </w:style>
  <w:style w:type="paragraph" w:customStyle="1" w:styleId="Tabletext">
    <w:name w:val="Tabletext"/>
    <w:aliases w:val="tt"/>
    <w:basedOn w:val="Normal"/>
    <w:rsid w:val="00FB185D"/>
    <w:pPr>
      <w:spacing w:before="60" w:line="240" w:lineRule="atLeast"/>
    </w:pPr>
    <w:rPr>
      <w:rFonts w:ascii="Times New Roman" w:hAnsi="Times New Roman"/>
      <w:sz w:val="20"/>
      <w:lang w:eastAsia="en-AU"/>
    </w:rPr>
  </w:style>
  <w:style w:type="paragraph" w:customStyle="1" w:styleId="TableHeading">
    <w:name w:val="TableHeading"/>
    <w:aliases w:val="th"/>
    <w:basedOn w:val="Normal"/>
    <w:next w:val="Tabletext"/>
    <w:rsid w:val="00FB185D"/>
    <w:pPr>
      <w:keepNext/>
      <w:spacing w:before="60" w:line="240" w:lineRule="atLeast"/>
    </w:pPr>
    <w:rPr>
      <w:rFonts w:ascii="Times New Roman" w:hAnsi="Times New Roman"/>
      <w:b/>
      <w:sz w:val="20"/>
      <w:lang w:eastAsia="en-AU"/>
    </w:rPr>
  </w:style>
  <w:style w:type="character" w:customStyle="1" w:styleId="ssleftalign">
    <w:name w:val="ss_leftalign"/>
    <w:basedOn w:val="DefaultParagraphFont"/>
    <w:rsid w:val="00955BF0"/>
  </w:style>
  <w:style w:type="character" w:customStyle="1" w:styleId="ssit">
    <w:name w:val="ss_it"/>
    <w:basedOn w:val="DefaultParagraphFont"/>
    <w:rsid w:val="00955BF0"/>
  </w:style>
  <w:style w:type="character" w:customStyle="1" w:styleId="sslistlabel">
    <w:name w:val="ss_listlabel"/>
    <w:basedOn w:val="DefaultParagraphFont"/>
    <w:rsid w:val="001838CA"/>
  </w:style>
  <w:style w:type="character" w:customStyle="1" w:styleId="sslistitemcontent">
    <w:name w:val="ss_listitemcontent"/>
    <w:basedOn w:val="DefaultParagraphFont"/>
    <w:rsid w:val="001838CA"/>
  </w:style>
  <w:style w:type="character" w:customStyle="1" w:styleId="sssh">
    <w:name w:val="ss_sh"/>
    <w:basedOn w:val="DefaultParagraphFont"/>
    <w:rsid w:val="004B39D3"/>
  </w:style>
  <w:style w:type="character" w:customStyle="1" w:styleId="ssrolluprptrline">
    <w:name w:val="ss_rolluprptrline"/>
    <w:basedOn w:val="DefaultParagraphFont"/>
    <w:rsid w:val="001E5C00"/>
  </w:style>
  <w:style w:type="paragraph" w:styleId="NormalWeb">
    <w:name w:val="Normal (Web)"/>
    <w:basedOn w:val="Normal"/>
    <w:uiPriority w:val="99"/>
    <w:unhideWhenUsed/>
    <w:rsid w:val="00250AB1"/>
    <w:pPr>
      <w:spacing w:before="100" w:beforeAutospacing="1" w:after="100" w:afterAutospacing="1"/>
    </w:pPr>
    <w:rPr>
      <w:rFonts w:ascii="Times New Roman" w:hAnsi="Times New Roman"/>
      <w:sz w:val="24"/>
      <w:szCs w:val="24"/>
      <w:lang w:eastAsia="en-AU"/>
    </w:rPr>
  </w:style>
  <w:style w:type="character" w:customStyle="1" w:styleId="ssbf">
    <w:name w:val="ss_bf"/>
    <w:basedOn w:val="DefaultParagraphFont"/>
    <w:rsid w:val="00250AB1"/>
  </w:style>
  <w:style w:type="character" w:customStyle="1" w:styleId="ssro">
    <w:name w:val="ss_ro"/>
    <w:basedOn w:val="DefaultParagraphFont"/>
    <w:rsid w:val="00250AB1"/>
  </w:style>
  <w:style w:type="character" w:customStyle="1" w:styleId="UnresolvedMention2">
    <w:name w:val="Unresolved Mention2"/>
    <w:basedOn w:val="DefaultParagraphFont"/>
    <w:uiPriority w:val="99"/>
    <w:semiHidden/>
    <w:unhideWhenUsed/>
    <w:rsid w:val="00BF0515"/>
    <w:rPr>
      <w:color w:val="808080"/>
      <w:shd w:val="clear" w:color="auto" w:fill="E6E6E6"/>
    </w:rPr>
  </w:style>
  <w:style w:type="character" w:customStyle="1" w:styleId="UnresolvedMention3">
    <w:name w:val="Unresolved Mention3"/>
    <w:basedOn w:val="DefaultParagraphFont"/>
    <w:uiPriority w:val="99"/>
    <w:semiHidden/>
    <w:unhideWhenUsed/>
    <w:rsid w:val="00E33868"/>
    <w:rPr>
      <w:color w:val="808080"/>
      <w:shd w:val="clear" w:color="auto" w:fill="E6E6E6"/>
    </w:rPr>
  </w:style>
  <w:style w:type="character" w:customStyle="1" w:styleId="UnresolvedMention4">
    <w:name w:val="Unresolved Mention4"/>
    <w:basedOn w:val="DefaultParagraphFont"/>
    <w:uiPriority w:val="99"/>
    <w:semiHidden/>
    <w:unhideWhenUsed/>
    <w:rsid w:val="00455FBD"/>
    <w:rPr>
      <w:color w:val="808080"/>
      <w:shd w:val="clear" w:color="auto" w:fill="E6E6E6"/>
    </w:rPr>
  </w:style>
  <w:style w:type="character" w:customStyle="1" w:styleId="ssprior">
    <w:name w:val="ss_prior"/>
    <w:basedOn w:val="DefaultParagraphFont"/>
    <w:rsid w:val="0058355B"/>
  </w:style>
  <w:style w:type="character" w:customStyle="1" w:styleId="UnresolvedMention5">
    <w:name w:val="Unresolved Mention5"/>
    <w:basedOn w:val="DefaultParagraphFont"/>
    <w:uiPriority w:val="99"/>
    <w:semiHidden/>
    <w:unhideWhenUsed/>
    <w:rsid w:val="00520658"/>
    <w:rPr>
      <w:color w:val="605E5C"/>
      <w:shd w:val="clear" w:color="auto" w:fill="E1DFDD"/>
    </w:rPr>
  </w:style>
  <w:style w:type="paragraph" w:customStyle="1" w:styleId="DraftHeading2">
    <w:name w:val="Draft Heading 2"/>
    <w:basedOn w:val="Normal"/>
    <w:next w:val="Normal"/>
    <w:link w:val="DraftHeading2Char"/>
    <w:rsid w:val="00057622"/>
    <w:pPr>
      <w:overflowPunct w:val="0"/>
      <w:autoSpaceDE w:val="0"/>
      <w:autoSpaceDN w:val="0"/>
      <w:adjustRightInd w:val="0"/>
      <w:spacing w:before="120"/>
      <w:textAlignment w:val="baseline"/>
    </w:pPr>
    <w:rPr>
      <w:rFonts w:ascii="Times New Roman" w:hAnsi="Times New Roman"/>
      <w:sz w:val="24"/>
    </w:rPr>
  </w:style>
  <w:style w:type="character" w:customStyle="1" w:styleId="DraftHeading2Char">
    <w:name w:val="Draft Heading 2 Char"/>
    <w:link w:val="DraftHeading2"/>
    <w:locked/>
    <w:rsid w:val="00057622"/>
    <w:rPr>
      <w:sz w:val="24"/>
    </w:rPr>
  </w:style>
  <w:style w:type="paragraph" w:customStyle="1" w:styleId="List2indented">
    <w:name w:val="List 2 indented"/>
    <w:basedOn w:val="ListParagraph"/>
    <w:qFormat/>
    <w:rsid w:val="00755379"/>
    <w:pPr>
      <w:numPr>
        <w:numId w:val="74"/>
      </w:numPr>
      <w:spacing w:after="120" w:line="360" w:lineRule="auto"/>
      <w:contextualSpacing w:val="0"/>
    </w:pPr>
    <w:rPr>
      <w:rFonts w:ascii="Times New Roman" w:hAnsi="Times New Roman"/>
      <w:sz w:val="24"/>
      <w:szCs w:val="24"/>
      <w:lang w:val="en-US"/>
    </w:rPr>
  </w:style>
  <w:style w:type="character" w:customStyle="1" w:styleId="sh866245986">
    <w:name w:val="sh_866245986"/>
    <w:basedOn w:val="DefaultParagraphFont"/>
    <w:rsid w:val="000A6470"/>
  </w:style>
  <w:style w:type="paragraph" w:customStyle="1" w:styleId="JudgmentNormalAlt2">
    <w:name w:val="Judgment Normal (Alt+2)"/>
    <w:basedOn w:val="Normal"/>
    <w:uiPriority w:val="99"/>
    <w:rsid w:val="008D4CC7"/>
    <w:pPr>
      <w:spacing w:line="360" w:lineRule="auto"/>
      <w:ind w:left="720"/>
      <w:outlineLvl w:val="1"/>
    </w:pPr>
    <w:rPr>
      <w:rFonts w:eastAsiaTheme="minorEastAsia" w:cs="Arial"/>
      <w:sz w:val="24"/>
      <w:szCs w:val="24"/>
    </w:rPr>
  </w:style>
  <w:style w:type="paragraph" w:customStyle="1" w:styleId="JudgmentQuoteAlt4">
    <w:name w:val="Judgment Quote (Alt+4)"/>
    <w:basedOn w:val="Normal"/>
    <w:uiPriority w:val="99"/>
    <w:rsid w:val="008D4CC7"/>
    <w:pPr>
      <w:overflowPunct w:val="0"/>
      <w:autoSpaceDE w:val="0"/>
      <w:autoSpaceDN w:val="0"/>
      <w:adjustRightInd w:val="0"/>
      <w:ind w:left="1440" w:right="720"/>
      <w:textAlignment w:val="baseline"/>
      <w:outlineLvl w:val="3"/>
    </w:pPr>
    <w:rPr>
      <w:rFonts w:eastAsiaTheme="minorEastAsia" w:cs="Arial"/>
      <w:szCs w:val="22"/>
    </w:rPr>
  </w:style>
  <w:style w:type="paragraph" w:customStyle="1" w:styleId="JudgmentParagraphAlt3">
    <w:name w:val="Judgment Paragraph (Alt+3)"/>
    <w:basedOn w:val="Heading1"/>
    <w:uiPriority w:val="99"/>
    <w:rsid w:val="008D4CC7"/>
    <w:pPr>
      <w:tabs>
        <w:tab w:val="num" w:pos="720"/>
      </w:tabs>
      <w:spacing w:line="360" w:lineRule="auto"/>
      <w:ind w:left="720" w:hanging="720"/>
      <w:jc w:val="left"/>
      <w:outlineLvl w:val="2"/>
    </w:pPr>
    <w:rPr>
      <w:rFonts w:ascii="Arial" w:eastAsiaTheme="minorEastAsia" w:hAnsi="Arial" w:cs="Arial"/>
      <w:b w:val="0"/>
      <w:bCs w:val="0"/>
      <w:color w:val="auto"/>
      <w:kern w:val="28"/>
      <w:sz w:val="24"/>
      <w:szCs w:val="24"/>
    </w:rPr>
  </w:style>
  <w:style w:type="paragraph" w:customStyle="1" w:styleId="JudgmentNumbereda">
    <w:name w:val="Judgment Numbered (a)"/>
    <w:basedOn w:val="Normal"/>
    <w:uiPriority w:val="99"/>
    <w:rsid w:val="008D4CC7"/>
    <w:pPr>
      <w:numPr>
        <w:ilvl w:val="2"/>
        <w:numId w:val="96"/>
      </w:numPr>
      <w:ind w:right="720"/>
      <w:outlineLvl w:val="1"/>
    </w:pPr>
    <w:rPr>
      <w:rFonts w:eastAsiaTheme="minorEastAsia" w:cs="Arial"/>
      <w:szCs w:val="22"/>
    </w:rPr>
  </w:style>
  <w:style w:type="character" w:customStyle="1" w:styleId="UnresolvedMention6">
    <w:name w:val="Unresolved Mention6"/>
    <w:basedOn w:val="DefaultParagraphFont"/>
    <w:uiPriority w:val="99"/>
    <w:semiHidden/>
    <w:unhideWhenUsed/>
    <w:rsid w:val="00F40EA4"/>
    <w:rPr>
      <w:color w:val="605E5C"/>
      <w:shd w:val="clear" w:color="auto" w:fill="E1DFDD"/>
    </w:rPr>
  </w:style>
  <w:style w:type="character" w:styleId="HTMLTypewriter">
    <w:name w:val="HTML Typewriter"/>
    <w:basedOn w:val="DefaultParagraphFont"/>
    <w:uiPriority w:val="99"/>
    <w:semiHidden/>
    <w:unhideWhenUsed/>
    <w:rsid w:val="00A14F27"/>
    <w:rPr>
      <w:rFonts w:ascii="Courier New" w:eastAsia="Times New Roman" w:hAnsi="Courier New" w:cs="Courier New"/>
      <w:sz w:val="20"/>
      <w:szCs w:val="20"/>
    </w:rPr>
  </w:style>
  <w:style w:type="character" w:customStyle="1" w:styleId="ssactiverptr">
    <w:name w:val="ss_activerptr"/>
    <w:basedOn w:val="DefaultParagraphFont"/>
    <w:rsid w:val="00A32581"/>
  </w:style>
  <w:style w:type="paragraph" w:customStyle="1" w:styleId="ActHead5">
    <w:name w:val="ActHead 5"/>
    <w:aliases w:val="s"/>
    <w:basedOn w:val="Normal"/>
    <w:next w:val="subsection"/>
    <w:link w:val="ActHead5Char"/>
    <w:qFormat/>
    <w:rsid w:val="002D39F0"/>
    <w:pPr>
      <w:keepNext/>
      <w:keepLines/>
      <w:spacing w:before="280"/>
      <w:ind w:left="1134" w:hanging="1134"/>
      <w:outlineLvl w:val="4"/>
    </w:pPr>
    <w:rPr>
      <w:rFonts w:ascii="Times New Roman" w:hAnsi="Times New Roman"/>
      <w:b/>
      <w:kern w:val="28"/>
      <w:sz w:val="24"/>
      <w:lang w:eastAsia="en-AU"/>
    </w:rPr>
  </w:style>
  <w:style w:type="character" w:customStyle="1" w:styleId="ActHead5Char">
    <w:name w:val="ActHead 5 Char"/>
    <w:aliases w:val="s Char"/>
    <w:link w:val="ActHead5"/>
    <w:rsid w:val="002D39F0"/>
    <w:rPr>
      <w:b/>
      <w:kern w:val="28"/>
      <w:sz w:val="24"/>
      <w:lang w:eastAsia="en-AU"/>
    </w:rPr>
  </w:style>
  <w:style w:type="character" w:customStyle="1" w:styleId="CharSectno">
    <w:name w:val="CharSectno"/>
    <w:basedOn w:val="DefaultParagraphFont"/>
    <w:qFormat/>
    <w:rsid w:val="002D39F0"/>
  </w:style>
  <w:style w:type="paragraph" w:customStyle="1" w:styleId="paragraphsub">
    <w:name w:val="paragraph(sub)"/>
    <w:aliases w:val="aa"/>
    <w:basedOn w:val="Normal"/>
    <w:rsid w:val="002D39F0"/>
    <w:pPr>
      <w:tabs>
        <w:tab w:val="right" w:pos="1985"/>
      </w:tabs>
      <w:spacing w:before="40"/>
      <w:ind w:left="2098" w:hanging="2098"/>
    </w:pPr>
    <w:rPr>
      <w:rFonts w:ascii="Times New Roman" w:hAnsi="Times New Roman"/>
      <w:lang w:eastAsia="en-AU"/>
    </w:rPr>
  </w:style>
  <w:style w:type="character" w:customStyle="1" w:styleId="UnresolvedMention">
    <w:name w:val="Unresolved Mention"/>
    <w:basedOn w:val="DefaultParagraphFont"/>
    <w:uiPriority w:val="99"/>
    <w:semiHidden/>
    <w:unhideWhenUsed/>
    <w:rsid w:val="00714A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7268">
      <w:bodyDiv w:val="1"/>
      <w:marLeft w:val="0"/>
      <w:marRight w:val="0"/>
      <w:marTop w:val="0"/>
      <w:marBottom w:val="0"/>
      <w:divBdr>
        <w:top w:val="none" w:sz="0" w:space="0" w:color="auto"/>
        <w:left w:val="none" w:sz="0" w:space="0" w:color="auto"/>
        <w:bottom w:val="none" w:sz="0" w:space="0" w:color="auto"/>
        <w:right w:val="none" w:sz="0" w:space="0" w:color="auto"/>
      </w:divBdr>
    </w:div>
    <w:div w:id="36786859">
      <w:bodyDiv w:val="1"/>
      <w:marLeft w:val="0"/>
      <w:marRight w:val="0"/>
      <w:marTop w:val="0"/>
      <w:marBottom w:val="0"/>
      <w:divBdr>
        <w:top w:val="none" w:sz="0" w:space="0" w:color="auto"/>
        <w:left w:val="none" w:sz="0" w:space="0" w:color="auto"/>
        <w:bottom w:val="none" w:sz="0" w:space="0" w:color="auto"/>
        <w:right w:val="none" w:sz="0" w:space="0" w:color="auto"/>
      </w:divBdr>
    </w:div>
    <w:div w:id="44185389">
      <w:bodyDiv w:val="1"/>
      <w:marLeft w:val="0"/>
      <w:marRight w:val="0"/>
      <w:marTop w:val="0"/>
      <w:marBottom w:val="0"/>
      <w:divBdr>
        <w:top w:val="none" w:sz="0" w:space="0" w:color="auto"/>
        <w:left w:val="none" w:sz="0" w:space="0" w:color="auto"/>
        <w:bottom w:val="none" w:sz="0" w:space="0" w:color="auto"/>
        <w:right w:val="none" w:sz="0" w:space="0" w:color="auto"/>
      </w:divBdr>
    </w:div>
    <w:div w:id="48918228">
      <w:bodyDiv w:val="1"/>
      <w:marLeft w:val="0"/>
      <w:marRight w:val="0"/>
      <w:marTop w:val="0"/>
      <w:marBottom w:val="0"/>
      <w:divBdr>
        <w:top w:val="none" w:sz="0" w:space="0" w:color="auto"/>
        <w:left w:val="none" w:sz="0" w:space="0" w:color="auto"/>
        <w:bottom w:val="none" w:sz="0" w:space="0" w:color="auto"/>
        <w:right w:val="none" w:sz="0" w:space="0" w:color="auto"/>
      </w:divBdr>
    </w:div>
    <w:div w:id="52581417">
      <w:bodyDiv w:val="1"/>
      <w:marLeft w:val="0"/>
      <w:marRight w:val="0"/>
      <w:marTop w:val="0"/>
      <w:marBottom w:val="0"/>
      <w:divBdr>
        <w:top w:val="none" w:sz="0" w:space="0" w:color="auto"/>
        <w:left w:val="none" w:sz="0" w:space="0" w:color="auto"/>
        <w:bottom w:val="none" w:sz="0" w:space="0" w:color="auto"/>
        <w:right w:val="none" w:sz="0" w:space="0" w:color="auto"/>
      </w:divBdr>
    </w:div>
    <w:div w:id="62919735">
      <w:bodyDiv w:val="1"/>
      <w:marLeft w:val="0"/>
      <w:marRight w:val="0"/>
      <w:marTop w:val="0"/>
      <w:marBottom w:val="0"/>
      <w:divBdr>
        <w:top w:val="none" w:sz="0" w:space="0" w:color="auto"/>
        <w:left w:val="none" w:sz="0" w:space="0" w:color="auto"/>
        <w:bottom w:val="none" w:sz="0" w:space="0" w:color="auto"/>
        <w:right w:val="none" w:sz="0" w:space="0" w:color="auto"/>
      </w:divBdr>
    </w:div>
    <w:div w:id="148717681">
      <w:bodyDiv w:val="1"/>
      <w:marLeft w:val="0"/>
      <w:marRight w:val="0"/>
      <w:marTop w:val="0"/>
      <w:marBottom w:val="0"/>
      <w:divBdr>
        <w:top w:val="none" w:sz="0" w:space="0" w:color="auto"/>
        <w:left w:val="none" w:sz="0" w:space="0" w:color="auto"/>
        <w:bottom w:val="none" w:sz="0" w:space="0" w:color="auto"/>
        <w:right w:val="none" w:sz="0" w:space="0" w:color="auto"/>
      </w:divBdr>
    </w:div>
    <w:div w:id="151920593">
      <w:bodyDiv w:val="1"/>
      <w:marLeft w:val="0"/>
      <w:marRight w:val="0"/>
      <w:marTop w:val="0"/>
      <w:marBottom w:val="0"/>
      <w:divBdr>
        <w:top w:val="none" w:sz="0" w:space="0" w:color="auto"/>
        <w:left w:val="none" w:sz="0" w:space="0" w:color="auto"/>
        <w:bottom w:val="none" w:sz="0" w:space="0" w:color="auto"/>
        <w:right w:val="none" w:sz="0" w:space="0" w:color="auto"/>
      </w:divBdr>
    </w:div>
    <w:div w:id="183592511">
      <w:bodyDiv w:val="1"/>
      <w:marLeft w:val="0"/>
      <w:marRight w:val="0"/>
      <w:marTop w:val="0"/>
      <w:marBottom w:val="0"/>
      <w:divBdr>
        <w:top w:val="none" w:sz="0" w:space="0" w:color="auto"/>
        <w:left w:val="none" w:sz="0" w:space="0" w:color="auto"/>
        <w:bottom w:val="none" w:sz="0" w:space="0" w:color="auto"/>
        <w:right w:val="none" w:sz="0" w:space="0" w:color="auto"/>
      </w:divBdr>
    </w:div>
    <w:div w:id="199126699">
      <w:bodyDiv w:val="1"/>
      <w:marLeft w:val="0"/>
      <w:marRight w:val="0"/>
      <w:marTop w:val="0"/>
      <w:marBottom w:val="0"/>
      <w:divBdr>
        <w:top w:val="none" w:sz="0" w:space="0" w:color="auto"/>
        <w:left w:val="none" w:sz="0" w:space="0" w:color="auto"/>
        <w:bottom w:val="none" w:sz="0" w:space="0" w:color="auto"/>
        <w:right w:val="none" w:sz="0" w:space="0" w:color="auto"/>
      </w:divBdr>
    </w:div>
    <w:div w:id="229275492">
      <w:bodyDiv w:val="1"/>
      <w:marLeft w:val="0"/>
      <w:marRight w:val="0"/>
      <w:marTop w:val="0"/>
      <w:marBottom w:val="0"/>
      <w:divBdr>
        <w:top w:val="none" w:sz="0" w:space="0" w:color="auto"/>
        <w:left w:val="none" w:sz="0" w:space="0" w:color="auto"/>
        <w:bottom w:val="none" w:sz="0" w:space="0" w:color="auto"/>
        <w:right w:val="none" w:sz="0" w:space="0" w:color="auto"/>
      </w:divBdr>
    </w:div>
    <w:div w:id="264578816">
      <w:bodyDiv w:val="1"/>
      <w:marLeft w:val="0"/>
      <w:marRight w:val="0"/>
      <w:marTop w:val="0"/>
      <w:marBottom w:val="0"/>
      <w:divBdr>
        <w:top w:val="none" w:sz="0" w:space="0" w:color="auto"/>
        <w:left w:val="none" w:sz="0" w:space="0" w:color="auto"/>
        <w:bottom w:val="none" w:sz="0" w:space="0" w:color="auto"/>
        <w:right w:val="none" w:sz="0" w:space="0" w:color="auto"/>
      </w:divBdr>
    </w:div>
    <w:div w:id="272712980">
      <w:bodyDiv w:val="1"/>
      <w:marLeft w:val="0"/>
      <w:marRight w:val="0"/>
      <w:marTop w:val="0"/>
      <w:marBottom w:val="0"/>
      <w:divBdr>
        <w:top w:val="none" w:sz="0" w:space="0" w:color="auto"/>
        <w:left w:val="none" w:sz="0" w:space="0" w:color="auto"/>
        <w:bottom w:val="none" w:sz="0" w:space="0" w:color="auto"/>
        <w:right w:val="none" w:sz="0" w:space="0" w:color="auto"/>
      </w:divBdr>
    </w:div>
    <w:div w:id="293676774">
      <w:bodyDiv w:val="1"/>
      <w:marLeft w:val="0"/>
      <w:marRight w:val="0"/>
      <w:marTop w:val="0"/>
      <w:marBottom w:val="0"/>
      <w:divBdr>
        <w:top w:val="none" w:sz="0" w:space="0" w:color="auto"/>
        <w:left w:val="none" w:sz="0" w:space="0" w:color="auto"/>
        <w:bottom w:val="none" w:sz="0" w:space="0" w:color="auto"/>
        <w:right w:val="none" w:sz="0" w:space="0" w:color="auto"/>
      </w:divBdr>
    </w:div>
    <w:div w:id="311839159">
      <w:bodyDiv w:val="1"/>
      <w:marLeft w:val="0"/>
      <w:marRight w:val="0"/>
      <w:marTop w:val="0"/>
      <w:marBottom w:val="0"/>
      <w:divBdr>
        <w:top w:val="none" w:sz="0" w:space="0" w:color="auto"/>
        <w:left w:val="none" w:sz="0" w:space="0" w:color="auto"/>
        <w:bottom w:val="none" w:sz="0" w:space="0" w:color="auto"/>
        <w:right w:val="none" w:sz="0" w:space="0" w:color="auto"/>
      </w:divBdr>
    </w:div>
    <w:div w:id="316033229">
      <w:bodyDiv w:val="1"/>
      <w:marLeft w:val="0"/>
      <w:marRight w:val="0"/>
      <w:marTop w:val="0"/>
      <w:marBottom w:val="0"/>
      <w:divBdr>
        <w:top w:val="none" w:sz="0" w:space="0" w:color="auto"/>
        <w:left w:val="none" w:sz="0" w:space="0" w:color="auto"/>
        <w:bottom w:val="none" w:sz="0" w:space="0" w:color="auto"/>
        <w:right w:val="none" w:sz="0" w:space="0" w:color="auto"/>
      </w:divBdr>
    </w:div>
    <w:div w:id="325860616">
      <w:bodyDiv w:val="1"/>
      <w:marLeft w:val="0"/>
      <w:marRight w:val="0"/>
      <w:marTop w:val="0"/>
      <w:marBottom w:val="0"/>
      <w:divBdr>
        <w:top w:val="none" w:sz="0" w:space="0" w:color="auto"/>
        <w:left w:val="none" w:sz="0" w:space="0" w:color="auto"/>
        <w:bottom w:val="none" w:sz="0" w:space="0" w:color="auto"/>
        <w:right w:val="none" w:sz="0" w:space="0" w:color="auto"/>
      </w:divBdr>
    </w:div>
    <w:div w:id="339816440">
      <w:bodyDiv w:val="1"/>
      <w:marLeft w:val="0"/>
      <w:marRight w:val="0"/>
      <w:marTop w:val="0"/>
      <w:marBottom w:val="0"/>
      <w:divBdr>
        <w:top w:val="none" w:sz="0" w:space="0" w:color="auto"/>
        <w:left w:val="none" w:sz="0" w:space="0" w:color="auto"/>
        <w:bottom w:val="none" w:sz="0" w:space="0" w:color="auto"/>
        <w:right w:val="none" w:sz="0" w:space="0" w:color="auto"/>
      </w:divBdr>
    </w:div>
    <w:div w:id="365957392">
      <w:bodyDiv w:val="1"/>
      <w:marLeft w:val="0"/>
      <w:marRight w:val="0"/>
      <w:marTop w:val="0"/>
      <w:marBottom w:val="0"/>
      <w:divBdr>
        <w:top w:val="none" w:sz="0" w:space="0" w:color="auto"/>
        <w:left w:val="none" w:sz="0" w:space="0" w:color="auto"/>
        <w:bottom w:val="none" w:sz="0" w:space="0" w:color="auto"/>
        <w:right w:val="none" w:sz="0" w:space="0" w:color="auto"/>
      </w:divBdr>
      <w:divsChild>
        <w:div w:id="396243625">
          <w:marLeft w:val="750"/>
          <w:marRight w:val="0"/>
          <w:marTop w:val="0"/>
          <w:marBottom w:val="0"/>
          <w:divBdr>
            <w:top w:val="none" w:sz="0" w:space="0" w:color="auto"/>
            <w:left w:val="none" w:sz="0" w:space="0" w:color="auto"/>
            <w:bottom w:val="none" w:sz="0" w:space="0" w:color="auto"/>
            <w:right w:val="none" w:sz="0" w:space="0" w:color="auto"/>
          </w:divBdr>
        </w:div>
      </w:divsChild>
    </w:div>
    <w:div w:id="377514646">
      <w:bodyDiv w:val="1"/>
      <w:marLeft w:val="0"/>
      <w:marRight w:val="0"/>
      <w:marTop w:val="0"/>
      <w:marBottom w:val="0"/>
      <w:divBdr>
        <w:top w:val="none" w:sz="0" w:space="0" w:color="auto"/>
        <w:left w:val="none" w:sz="0" w:space="0" w:color="auto"/>
        <w:bottom w:val="none" w:sz="0" w:space="0" w:color="auto"/>
        <w:right w:val="none" w:sz="0" w:space="0" w:color="auto"/>
      </w:divBdr>
      <w:divsChild>
        <w:div w:id="986860917">
          <w:marLeft w:val="450"/>
          <w:marRight w:val="0"/>
          <w:marTop w:val="0"/>
          <w:marBottom w:val="0"/>
          <w:divBdr>
            <w:top w:val="none" w:sz="0" w:space="0" w:color="auto"/>
            <w:left w:val="none" w:sz="0" w:space="0" w:color="auto"/>
            <w:bottom w:val="none" w:sz="0" w:space="0" w:color="auto"/>
            <w:right w:val="none" w:sz="0" w:space="0" w:color="auto"/>
          </w:divBdr>
        </w:div>
      </w:divsChild>
    </w:div>
    <w:div w:id="426850469">
      <w:bodyDiv w:val="1"/>
      <w:marLeft w:val="0"/>
      <w:marRight w:val="0"/>
      <w:marTop w:val="0"/>
      <w:marBottom w:val="0"/>
      <w:divBdr>
        <w:top w:val="none" w:sz="0" w:space="0" w:color="auto"/>
        <w:left w:val="none" w:sz="0" w:space="0" w:color="auto"/>
        <w:bottom w:val="none" w:sz="0" w:space="0" w:color="auto"/>
        <w:right w:val="none" w:sz="0" w:space="0" w:color="auto"/>
      </w:divBdr>
    </w:div>
    <w:div w:id="430972167">
      <w:bodyDiv w:val="1"/>
      <w:marLeft w:val="0"/>
      <w:marRight w:val="0"/>
      <w:marTop w:val="0"/>
      <w:marBottom w:val="0"/>
      <w:divBdr>
        <w:top w:val="none" w:sz="0" w:space="0" w:color="auto"/>
        <w:left w:val="none" w:sz="0" w:space="0" w:color="auto"/>
        <w:bottom w:val="none" w:sz="0" w:space="0" w:color="auto"/>
        <w:right w:val="none" w:sz="0" w:space="0" w:color="auto"/>
      </w:divBdr>
    </w:div>
    <w:div w:id="435248937">
      <w:bodyDiv w:val="1"/>
      <w:marLeft w:val="0"/>
      <w:marRight w:val="0"/>
      <w:marTop w:val="0"/>
      <w:marBottom w:val="0"/>
      <w:divBdr>
        <w:top w:val="none" w:sz="0" w:space="0" w:color="auto"/>
        <w:left w:val="none" w:sz="0" w:space="0" w:color="auto"/>
        <w:bottom w:val="none" w:sz="0" w:space="0" w:color="auto"/>
        <w:right w:val="none" w:sz="0" w:space="0" w:color="auto"/>
      </w:divBdr>
    </w:div>
    <w:div w:id="446431600">
      <w:bodyDiv w:val="1"/>
      <w:marLeft w:val="0"/>
      <w:marRight w:val="0"/>
      <w:marTop w:val="0"/>
      <w:marBottom w:val="0"/>
      <w:divBdr>
        <w:top w:val="none" w:sz="0" w:space="0" w:color="auto"/>
        <w:left w:val="none" w:sz="0" w:space="0" w:color="auto"/>
        <w:bottom w:val="none" w:sz="0" w:space="0" w:color="auto"/>
        <w:right w:val="none" w:sz="0" w:space="0" w:color="auto"/>
      </w:divBdr>
    </w:div>
    <w:div w:id="457842667">
      <w:bodyDiv w:val="1"/>
      <w:marLeft w:val="0"/>
      <w:marRight w:val="0"/>
      <w:marTop w:val="0"/>
      <w:marBottom w:val="0"/>
      <w:divBdr>
        <w:top w:val="none" w:sz="0" w:space="0" w:color="auto"/>
        <w:left w:val="none" w:sz="0" w:space="0" w:color="auto"/>
        <w:bottom w:val="none" w:sz="0" w:space="0" w:color="auto"/>
        <w:right w:val="none" w:sz="0" w:space="0" w:color="auto"/>
      </w:divBdr>
    </w:div>
    <w:div w:id="475029421">
      <w:bodyDiv w:val="1"/>
      <w:marLeft w:val="0"/>
      <w:marRight w:val="0"/>
      <w:marTop w:val="0"/>
      <w:marBottom w:val="0"/>
      <w:divBdr>
        <w:top w:val="none" w:sz="0" w:space="0" w:color="auto"/>
        <w:left w:val="none" w:sz="0" w:space="0" w:color="auto"/>
        <w:bottom w:val="none" w:sz="0" w:space="0" w:color="auto"/>
        <w:right w:val="none" w:sz="0" w:space="0" w:color="auto"/>
      </w:divBdr>
    </w:div>
    <w:div w:id="481847136">
      <w:bodyDiv w:val="1"/>
      <w:marLeft w:val="0"/>
      <w:marRight w:val="0"/>
      <w:marTop w:val="0"/>
      <w:marBottom w:val="0"/>
      <w:divBdr>
        <w:top w:val="none" w:sz="0" w:space="0" w:color="auto"/>
        <w:left w:val="none" w:sz="0" w:space="0" w:color="auto"/>
        <w:bottom w:val="none" w:sz="0" w:space="0" w:color="auto"/>
        <w:right w:val="none" w:sz="0" w:space="0" w:color="auto"/>
      </w:divBdr>
    </w:div>
    <w:div w:id="481897602">
      <w:bodyDiv w:val="1"/>
      <w:marLeft w:val="0"/>
      <w:marRight w:val="0"/>
      <w:marTop w:val="0"/>
      <w:marBottom w:val="0"/>
      <w:divBdr>
        <w:top w:val="none" w:sz="0" w:space="0" w:color="auto"/>
        <w:left w:val="none" w:sz="0" w:space="0" w:color="auto"/>
        <w:bottom w:val="none" w:sz="0" w:space="0" w:color="auto"/>
        <w:right w:val="none" w:sz="0" w:space="0" w:color="auto"/>
      </w:divBdr>
    </w:div>
    <w:div w:id="494344901">
      <w:bodyDiv w:val="1"/>
      <w:marLeft w:val="0"/>
      <w:marRight w:val="0"/>
      <w:marTop w:val="0"/>
      <w:marBottom w:val="0"/>
      <w:divBdr>
        <w:top w:val="none" w:sz="0" w:space="0" w:color="auto"/>
        <w:left w:val="none" w:sz="0" w:space="0" w:color="auto"/>
        <w:bottom w:val="none" w:sz="0" w:space="0" w:color="auto"/>
        <w:right w:val="none" w:sz="0" w:space="0" w:color="auto"/>
      </w:divBdr>
    </w:div>
    <w:div w:id="533226666">
      <w:bodyDiv w:val="1"/>
      <w:marLeft w:val="0"/>
      <w:marRight w:val="0"/>
      <w:marTop w:val="0"/>
      <w:marBottom w:val="0"/>
      <w:divBdr>
        <w:top w:val="none" w:sz="0" w:space="0" w:color="auto"/>
        <w:left w:val="none" w:sz="0" w:space="0" w:color="auto"/>
        <w:bottom w:val="none" w:sz="0" w:space="0" w:color="auto"/>
        <w:right w:val="none" w:sz="0" w:space="0" w:color="auto"/>
      </w:divBdr>
    </w:div>
    <w:div w:id="566768277">
      <w:bodyDiv w:val="1"/>
      <w:marLeft w:val="0"/>
      <w:marRight w:val="0"/>
      <w:marTop w:val="0"/>
      <w:marBottom w:val="0"/>
      <w:divBdr>
        <w:top w:val="none" w:sz="0" w:space="0" w:color="auto"/>
        <w:left w:val="none" w:sz="0" w:space="0" w:color="auto"/>
        <w:bottom w:val="none" w:sz="0" w:space="0" w:color="auto"/>
        <w:right w:val="none" w:sz="0" w:space="0" w:color="auto"/>
      </w:divBdr>
    </w:div>
    <w:div w:id="584991850">
      <w:bodyDiv w:val="1"/>
      <w:marLeft w:val="0"/>
      <w:marRight w:val="0"/>
      <w:marTop w:val="0"/>
      <w:marBottom w:val="0"/>
      <w:divBdr>
        <w:top w:val="none" w:sz="0" w:space="0" w:color="auto"/>
        <w:left w:val="none" w:sz="0" w:space="0" w:color="auto"/>
        <w:bottom w:val="none" w:sz="0" w:space="0" w:color="auto"/>
        <w:right w:val="none" w:sz="0" w:space="0" w:color="auto"/>
      </w:divBdr>
    </w:div>
    <w:div w:id="611322236">
      <w:bodyDiv w:val="1"/>
      <w:marLeft w:val="0"/>
      <w:marRight w:val="0"/>
      <w:marTop w:val="0"/>
      <w:marBottom w:val="0"/>
      <w:divBdr>
        <w:top w:val="none" w:sz="0" w:space="0" w:color="auto"/>
        <w:left w:val="none" w:sz="0" w:space="0" w:color="auto"/>
        <w:bottom w:val="none" w:sz="0" w:space="0" w:color="auto"/>
        <w:right w:val="none" w:sz="0" w:space="0" w:color="auto"/>
      </w:divBdr>
    </w:div>
    <w:div w:id="614602051">
      <w:bodyDiv w:val="1"/>
      <w:marLeft w:val="0"/>
      <w:marRight w:val="0"/>
      <w:marTop w:val="0"/>
      <w:marBottom w:val="0"/>
      <w:divBdr>
        <w:top w:val="none" w:sz="0" w:space="0" w:color="auto"/>
        <w:left w:val="none" w:sz="0" w:space="0" w:color="auto"/>
        <w:bottom w:val="none" w:sz="0" w:space="0" w:color="auto"/>
        <w:right w:val="none" w:sz="0" w:space="0" w:color="auto"/>
      </w:divBdr>
    </w:div>
    <w:div w:id="668291959">
      <w:bodyDiv w:val="1"/>
      <w:marLeft w:val="0"/>
      <w:marRight w:val="0"/>
      <w:marTop w:val="0"/>
      <w:marBottom w:val="0"/>
      <w:divBdr>
        <w:top w:val="none" w:sz="0" w:space="0" w:color="auto"/>
        <w:left w:val="none" w:sz="0" w:space="0" w:color="auto"/>
        <w:bottom w:val="none" w:sz="0" w:space="0" w:color="auto"/>
        <w:right w:val="none" w:sz="0" w:space="0" w:color="auto"/>
      </w:divBdr>
    </w:div>
    <w:div w:id="678233756">
      <w:bodyDiv w:val="1"/>
      <w:marLeft w:val="0"/>
      <w:marRight w:val="0"/>
      <w:marTop w:val="0"/>
      <w:marBottom w:val="0"/>
      <w:divBdr>
        <w:top w:val="none" w:sz="0" w:space="0" w:color="auto"/>
        <w:left w:val="none" w:sz="0" w:space="0" w:color="auto"/>
        <w:bottom w:val="none" w:sz="0" w:space="0" w:color="auto"/>
        <w:right w:val="none" w:sz="0" w:space="0" w:color="auto"/>
      </w:divBdr>
      <w:divsChild>
        <w:div w:id="16739931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0529552">
              <w:marLeft w:val="300"/>
              <w:marRight w:val="0"/>
              <w:marTop w:val="0"/>
              <w:marBottom w:val="0"/>
              <w:divBdr>
                <w:top w:val="none" w:sz="0" w:space="0" w:color="auto"/>
                <w:left w:val="none" w:sz="0" w:space="0" w:color="auto"/>
                <w:bottom w:val="none" w:sz="0" w:space="0" w:color="auto"/>
                <w:right w:val="none" w:sz="0" w:space="0" w:color="auto"/>
              </w:divBdr>
            </w:div>
            <w:div w:id="622540953">
              <w:marLeft w:val="300"/>
              <w:marRight w:val="0"/>
              <w:marTop w:val="0"/>
              <w:marBottom w:val="0"/>
              <w:divBdr>
                <w:top w:val="none" w:sz="0" w:space="0" w:color="auto"/>
                <w:left w:val="none" w:sz="0" w:space="0" w:color="auto"/>
                <w:bottom w:val="none" w:sz="0" w:space="0" w:color="auto"/>
                <w:right w:val="none" w:sz="0" w:space="0" w:color="auto"/>
              </w:divBdr>
            </w:div>
            <w:div w:id="914121745">
              <w:marLeft w:val="300"/>
              <w:marRight w:val="0"/>
              <w:marTop w:val="0"/>
              <w:marBottom w:val="0"/>
              <w:divBdr>
                <w:top w:val="none" w:sz="0" w:space="0" w:color="auto"/>
                <w:left w:val="none" w:sz="0" w:space="0" w:color="auto"/>
                <w:bottom w:val="none" w:sz="0" w:space="0" w:color="auto"/>
                <w:right w:val="none" w:sz="0" w:space="0" w:color="auto"/>
              </w:divBdr>
            </w:div>
            <w:div w:id="1677340678">
              <w:marLeft w:val="300"/>
              <w:marRight w:val="0"/>
              <w:marTop w:val="0"/>
              <w:marBottom w:val="0"/>
              <w:divBdr>
                <w:top w:val="none" w:sz="0" w:space="0" w:color="auto"/>
                <w:left w:val="none" w:sz="0" w:space="0" w:color="auto"/>
                <w:bottom w:val="none" w:sz="0" w:space="0" w:color="auto"/>
                <w:right w:val="none" w:sz="0" w:space="0" w:color="auto"/>
              </w:divBdr>
            </w:div>
            <w:div w:id="1873886167">
              <w:marLeft w:val="300"/>
              <w:marRight w:val="0"/>
              <w:marTop w:val="0"/>
              <w:marBottom w:val="0"/>
              <w:divBdr>
                <w:top w:val="none" w:sz="0" w:space="0" w:color="auto"/>
                <w:left w:val="none" w:sz="0" w:space="0" w:color="auto"/>
                <w:bottom w:val="none" w:sz="0" w:space="0" w:color="auto"/>
                <w:right w:val="none" w:sz="0" w:space="0" w:color="auto"/>
              </w:divBdr>
            </w:div>
            <w:div w:id="1957906261">
              <w:marLeft w:val="300"/>
              <w:marRight w:val="0"/>
              <w:marTop w:val="0"/>
              <w:marBottom w:val="0"/>
              <w:divBdr>
                <w:top w:val="none" w:sz="0" w:space="0" w:color="auto"/>
                <w:left w:val="none" w:sz="0" w:space="0" w:color="auto"/>
                <w:bottom w:val="none" w:sz="0" w:space="0" w:color="auto"/>
                <w:right w:val="none" w:sz="0" w:space="0" w:color="auto"/>
              </w:divBdr>
            </w:div>
            <w:div w:id="2002002654">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686102799">
      <w:bodyDiv w:val="1"/>
      <w:marLeft w:val="0"/>
      <w:marRight w:val="0"/>
      <w:marTop w:val="0"/>
      <w:marBottom w:val="0"/>
      <w:divBdr>
        <w:top w:val="none" w:sz="0" w:space="0" w:color="auto"/>
        <w:left w:val="none" w:sz="0" w:space="0" w:color="auto"/>
        <w:bottom w:val="none" w:sz="0" w:space="0" w:color="auto"/>
        <w:right w:val="none" w:sz="0" w:space="0" w:color="auto"/>
      </w:divBdr>
    </w:div>
    <w:div w:id="713039683">
      <w:bodyDiv w:val="1"/>
      <w:marLeft w:val="0"/>
      <w:marRight w:val="0"/>
      <w:marTop w:val="0"/>
      <w:marBottom w:val="0"/>
      <w:divBdr>
        <w:top w:val="none" w:sz="0" w:space="0" w:color="auto"/>
        <w:left w:val="none" w:sz="0" w:space="0" w:color="auto"/>
        <w:bottom w:val="none" w:sz="0" w:space="0" w:color="auto"/>
        <w:right w:val="none" w:sz="0" w:space="0" w:color="auto"/>
      </w:divBdr>
    </w:div>
    <w:div w:id="713770181">
      <w:bodyDiv w:val="1"/>
      <w:marLeft w:val="0"/>
      <w:marRight w:val="0"/>
      <w:marTop w:val="0"/>
      <w:marBottom w:val="0"/>
      <w:divBdr>
        <w:top w:val="none" w:sz="0" w:space="0" w:color="auto"/>
        <w:left w:val="none" w:sz="0" w:space="0" w:color="auto"/>
        <w:bottom w:val="none" w:sz="0" w:space="0" w:color="auto"/>
        <w:right w:val="none" w:sz="0" w:space="0" w:color="auto"/>
      </w:divBdr>
    </w:div>
    <w:div w:id="715398860">
      <w:bodyDiv w:val="1"/>
      <w:marLeft w:val="0"/>
      <w:marRight w:val="0"/>
      <w:marTop w:val="0"/>
      <w:marBottom w:val="0"/>
      <w:divBdr>
        <w:top w:val="none" w:sz="0" w:space="0" w:color="auto"/>
        <w:left w:val="none" w:sz="0" w:space="0" w:color="auto"/>
        <w:bottom w:val="none" w:sz="0" w:space="0" w:color="auto"/>
        <w:right w:val="none" w:sz="0" w:space="0" w:color="auto"/>
      </w:divBdr>
      <w:divsChild>
        <w:div w:id="469515596">
          <w:marLeft w:val="450"/>
          <w:marRight w:val="0"/>
          <w:marTop w:val="0"/>
          <w:marBottom w:val="0"/>
          <w:divBdr>
            <w:top w:val="none" w:sz="0" w:space="0" w:color="auto"/>
            <w:left w:val="none" w:sz="0" w:space="0" w:color="auto"/>
            <w:bottom w:val="none" w:sz="0" w:space="0" w:color="auto"/>
            <w:right w:val="none" w:sz="0" w:space="0" w:color="auto"/>
          </w:divBdr>
        </w:div>
      </w:divsChild>
    </w:div>
    <w:div w:id="717438741">
      <w:bodyDiv w:val="1"/>
      <w:marLeft w:val="0"/>
      <w:marRight w:val="0"/>
      <w:marTop w:val="0"/>
      <w:marBottom w:val="0"/>
      <w:divBdr>
        <w:top w:val="none" w:sz="0" w:space="0" w:color="auto"/>
        <w:left w:val="none" w:sz="0" w:space="0" w:color="auto"/>
        <w:bottom w:val="none" w:sz="0" w:space="0" w:color="auto"/>
        <w:right w:val="none" w:sz="0" w:space="0" w:color="auto"/>
      </w:divBdr>
    </w:div>
    <w:div w:id="718169910">
      <w:bodyDiv w:val="1"/>
      <w:marLeft w:val="0"/>
      <w:marRight w:val="0"/>
      <w:marTop w:val="0"/>
      <w:marBottom w:val="0"/>
      <w:divBdr>
        <w:top w:val="none" w:sz="0" w:space="0" w:color="auto"/>
        <w:left w:val="none" w:sz="0" w:space="0" w:color="auto"/>
        <w:bottom w:val="none" w:sz="0" w:space="0" w:color="auto"/>
        <w:right w:val="none" w:sz="0" w:space="0" w:color="auto"/>
      </w:divBdr>
    </w:div>
    <w:div w:id="743458722">
      <w:bodyDiv w:val="1"/>
      <w:marLeft w:val="0"/>
      <w:marRight w:val="0"/>
      <w:marTop w:val="0"/>
      <w:marBottom w:val="0"/>
      <w:divBdr>
        <w:top w:val="none" w:sz="0" w:space="0" w:color="auto"/>
        <w:left w:val="none" w:sz="0" w:space="0" w:color="auto"/>
        <w:bottom w:val="none" w:sz="0" w:space="0" w:color="auto"/>
        <w:right w:val="none" w:sz="0" w:space="0" w:color="auto"/>
      </w:divBdr>
      <w:divsChild>
        <w:div w:id="1169783728">
          <w:marLeft w:val="750"/>
          <w:marRight w:val="0"/>
          <w:marTop w:val="0"/>
          <w:marBottom w:val="0"/>
          <w:divBdr>
            <w:top w:val="none" w:sz="0" w:space="0" w:color="auto"/>
            <w:left w:val="none" w:sz="0" w:space="0" w:color="auto"/>
            <w:bottom w:val="none" w:sz="0" w:space="0" w:color="auto"/>
            <w:right w:val="none" w:sz="0" w:space="0" w:color="auto"/>
          </w:divBdr>
        </w:div>
      </w:divsChild>
    </w:div>
    <w:div w:id="772015707">
      <w:bodyDiv w:val="1"/>
      <w:marLeft w:val="0"/>
      <w:marRight w:val="0"/>
      <w:marTop w:val="0"/>
      <w:marBottom w:val="0"/>
      <w:divBdr>
        <w:top w:val="none" w:sz="0" w:space="0" w:color="auto"/>
        <w:left w:val="none" w:sz="0" w:space="0" w:color="auto"/>
        <w:bottom w:val="none" w:sz="0" w:space="0" w:color="auto"/>
        <w:right w:val="none" w:sz="0" w:space="0" w:color="auto"/>
      </w:divBdr>
    </w:div>
    <w:div w:id="807627585">
      <w:bodyDiv w:val="1"/>
      <w:marLeft w:val="0"/>
      <w:marRight w:val="0"/>
      <w:marTop w:val="0"/>
      <w:marBottom w:val="0"/>
      <w:divBdr>
        <w:top w:val="none" w:sz="0" w:space="0" w:color="auto"/>
        <w:left w:val="none" w:sz="0" w:space="0" w:color="auto"/>
        <w:bottom w:val="none" w:sz="0" w:space="0" w:color="auto"/>
        <w:right w:val="none" w:sz="0" w:space="0" w:color="auto"/>
      </w:divBdr>
    </w:div>
    <w:div w:id="836388953">
      <w:bodyDiv w:val="1"/>
      <w:marLeft w:val="0"/>
      <w:marRight w:val="0"/>
      <w:marTop w:val="0"/>
      <w:marBottom w:val="0"/>
      <w:divBdr>
        <w:top w:val="none" w:sz="0" w:space="0" w:color="auto"/>
        <w:left w:val="none" w:sz="0" w:space="0" w:color="auto"/>
        <w:bottom w:val="none" w:sz="0" w:space="0" w:color="auto"/>
        <w:right w:val="none" w:sz="0" w:space="0" w:color="auto"/>
      </w:divBdr>
    </w:div>
    <w:div w:id="842473210">
      <w:bodyDiv w:val="1"/>
      <w:marLeft w:val="0"/>
      <w:marRight w:val="0"/>
      <w:marTop w:val="0"/>
      <w:marBottom w:val="0"/>
      <w:divBdr>
        <w:top w:val="none" w:sz="0" w:space="0" w:color="auto"/>
        <w:left w:val="none" w:sz="0" w:space="0" w:color="auto"/>
        <w:bottom w:val="none" w:sz="0" w:space="0" w:color="auto"/>
        <w:right w:val="none" w:sz="0" w:space="0" w:color="auto"/>
      </w:divBdr>
    </w:div>
    <w:div w:id="844830367">
      <w:bodyDiv w:val="1"/>
      <w:marLeft w:val="0"/>
      <w:marRight w:val="0"/>
      <w:marTop w:val="0"/>
      <w:marBottom w:val="0"/>
      <w:divBdr>
        <w:top w:val="none" w:sz="0" w:space="0" w:color="auto"/>
        <w:left w:val="none" w:sz="0" w:space="0" w:color="auto"/>
        <w:bottom w:val="none" w:sz="0" w:space="0" w:color="auto"/>
        <w:right w:val="none" w:sz="0" w:space="0" w:color="auto"/>
      </w:divBdr>
    </w:div>
    <w:div w:id="850949902">
      <w:bodyDiv w:val="1"/>
      <w:marLeft w:val="0"/>
      <w:marRight w:val="0"/>
      <w:marTop w:val="0"/>
      <w:marBottom w:val="0"/>
      <w:divBdr>
        <w:top w:val="none" w:sz="0" w:space="0" w:color="auto"/>
        <w:left w:val="none" w:sz="0" w:space="0" w:color="auto"/>
        <w:bottom w:val="none" w:sz="0" w:space="0" w:color="auto"/>
        <w:right w:val="none" w:sz="0" w:space="0" w:color="auto"/>
      </w:divBdr>
    </w:div>
    <w:div w:id="878393888">
      <w:bodyDiv w:val="1"/>
      <w:marLeft w:val="0"/>
      <w:marRight w:val="0"/>
      <w:marTop w:val="0"/>
      <w:marBottom w:val="0"/>
      <w:divBdr>
        <w:top w:val="none" w:sz="0" w:space="0" w:color="auto"/>
        <w:left w:val="none" w:sz="0" w:space="0" w:color="auto"/>
        <w:bottom w:val="none" w:sz="0" w:space="0" w:color="auto"/>
        <w:right w:val="none" w:sz="0" w:space="0" w:color="auto"/>
      </w:divBdr>
    </w:div>
    <w:div w:id="895972637">
      <w:bodyDiv w:val="1"/>
      <w:marLeft w:val="0"/>
      <w:marRight w:val="0"/>
      <w:marTop w:val="0"/>
      <w:marBottom w:val="0"/>
      <w:divBdr>
        <w:top w:val="none" w:sz="0" w:space="0" w:color="auto"/>
        <w:left w:val="none" w:sz="0" w:space="0" w:color="auto"/>
        <w:bottom w:val="none" w:sz="0" w:space="0" w:color="auto"/>
        <w:right w:val="none" w:sz="0" w:space="0" w:color="auto"/>
      </w:divBdr>
      <w:divsChild>
        <w:div w:id="221985725">
          <w:marLeft w:val="1700"/>
          <w:marRight w:val="0"/>
          <w:marTop w:val="0"/>
          <w:marBottom w:val="0"/>
          <w:divBdr>
            <w:top w:val="none" w:sz="0" w:space="0" w:color="auto"/>
            <w:left w:val="none" w:sz="0" w:space="0" w:color="auto"/>
            <w:bottom w:val="none" w:sz="0" w:space="0" w:color="auto"/>
            <w:right w:val="none" w:sz="0" w:space="0" w:color="auto"/>
          </w:divBdr>
        </w:div>
        <w:div w:id="357977053">
          <w:marLeft w:val="1700"/>
          <w:marRight w:val="0"/>
          <w:marTop w:val="0"/>
          <w:marBottom w:val="0"/>
          <w:divBdr>
            <w:top w:val="none" w:sz="0" w:space="0" w:color="auto"/>
            <w:left w:val="none" w:sz="0" w:space="0" w:color="auto"/>
            <w:bottom w:val="none" w:sz="0" w:space="0" w:color="auto"/>
            <w:right w:val="none" w:sz="0" w:space="0" w:color="auto"/>
          </w:divBdr>
        </w:div>
        <w:div w:id="693455460">
          <w:marLeft w:val="1700"/>
          <w:marRight w:val="0"/>
          <w:marTop w:val="0"/>
          <w:marBottom w:val="0"/>
          <w:divBdr>
            <w:top w:val="none" w:sz="0" w:space="0" w:color="auto"/>
            <w:left w:val="none" w:sz="0" w:space="0" w:color="auto"/>
            <w:bottom w:val="none" w:sz="0" w:space="0" w:color="auto"/>
            <w:right w:val="none" w:sz="0" w:space="0" w:color="auto"/>
          </w:divBdr>
        </w:div>
        <w:div w:id="806900843">
          <w:marLeft w:val="1120"/>
          <w:marRight w:val="0"/>
          <w:marTop w:val="0"/>
          <w:marBottom w:val="0"/>
          <w:divBdr>
            <w:top w:val="none" w:sz="0" w:space="0" w:color="auto"/>
            <w:left w:val="none" w:sz="0" w:space="0" w:color="auto"/>
            <w:bottom w:val="none" w:sz="0" w:space="0" w:color="auto"/>
            <w:right w:val="none" w:sz="0" w:space="0" w:color="auto"/>
          </w:divBdr>
        </w:div>
        <w:div w:id="915240301">
          <w:marLeft w:val="2260"/>
          <w:marRight w:val="0"/>
          <w:marTop w:val="0"/>
          <w:marBottom w:val="0"/>
          <w:divBdr>
            <w:top w:val="none" w:sz="0" w:space="0" w:color="auto"/>
            <w:left w:val="none" w:sz="0" w:space="0" w:color="auto"/>
            <w:bottom w:val="none" w:sz="0" w:space="0" w:color="auto"/>
            <w:right w:val="none" w:sz="0" w:space="0" w:color="auto"/>
          </w:divBdr>
        </w:div>
        <w:div w:id="1116870068">
          <w:marLeft w:val="2260"/>
          <w:marRight w:val="0"/>
          <w:marTop w:val="0"/>
          <w:marBottom w:val="0"/>
          <w:divBdr>
            <w:top w:val="none" w:sz="0" w:space="0" w:color="auto"/>
            <w:left w:val="none" w:sz="0" w:space="0" w:color="auto"/>
            <w:bottom w:val="none" w:sz="0" w:space="0" w:color="auto"/>
            <w:right w:val="none" w:sz="0" w:space="0" w:color="auto"/>
          </w:divBdr>
        </w:div>
        <w:div w:id="1493906486">
          <w:marLeft w:val="1700"/>
          <w:marRight w:val="0"/>
          <w:marTop w:val="0"/>
          <w:marBottom w:val="0"/>
          <w:divBdr>
            <w:top w:val="none" w:sz="0" w:space="0" w:color="auto"/>
            <w:left w:val="none" w:sz="0" w:space="0" w:color="auto"/>
            <w:bottom w:val="none" w:sz="0" w:space="0" w:color="auto"/>
            <w:right w:val="none" w:sz="0" w:space="0" w:color="auto"/>
          </w:divBdr>
        </w:div>
        <w:div w:id="1712537071">
          <w:marLeft w:val="1700"/>
          <w:marRight w:val="0"/>
          <w:marTop w:val="0"/>
          <w:marBottom w:val="0"/>
          <w:divBdr>
            <w:top w:val="none" w:sz="0" w:space="0" w:color="auto"/>
            <w:left w:val="none" w:sz="0" w:space="0" w:color="auto"/>
            <w:bottom w:val="none" w:sz="0" w:space="0" w:color="auto"/>
            <w:right w:val="none" w:sz="0" w:space="0" w:color="auto"/>
          </w:divBdr>
        </w:div>
        <w:div w:id="1828740091">
          <w:marLeft w:val="0"/>
          <w:marRight w:val="0"/>
          <w:marTop w:val="0"/>
          <w:marBottom w:val="0"/>
          <w:divBdr>
            <w:top w:val="none" w:sz="0" w:space="0" w:color="auto"/>
            <w:left w:val="none" w:sz="0" w:space="0" w:color="auto"/>
            <w:bottom w:val="none" w:sz="0" w:space="0" w:color="auto"/>
            <w:right w:val="none" w:sz="0" w:space="0" w:color="auto"/>
          </w:divBdr>
        </w:div>
        <w:div w:id="1879974924">
          <w:marLeft w:val="2260"/>
          <w:marRight w:val="0"/>
          <w:marTop w:val="0"/>
          <w:marBottom w:val="0"/>
          <w:divBdr>
            <w:top w:val="none" w:sz="0" w:space="0" w:color="auto"/>
            <w:left w:val="none" w:sz="0" w:space="0" w:color="auto"/>
            <w:bottom w:val="none" w:sz="0" w:space="0" w:color="auto"/>
            <w:right w:val="none" w:sz="0" w:space="0" w:color="auto"/>
          </w:divBdr>
        </w:div>
        <w:div w:id="1968660431">
          <w:marLeft w:val="1120"/>
          <w:marRight w:val="0"/>
          <w:marTop w:val="0"/>
          <w:marBottom w:val="0"/>
          <w:divBdr>
            <w:top w:val="none" w:sz="0" w:space="0" w:color="auto"/>
            <w:left w:val="none" w:sz="0" w:space="0" w:color="auto"/>
            <w:bottom w:val="none" w:sz="0" w:space="0" w:color="auto"/>
            <w:right w:val="none" w:sz="0" w:space="0" w:color="auto"/>
          </w:divBdr>
        </w:div>
        <w:div w:id="1994407358">
          <w:marLeft w:val="1120"/>
          <w:marRight w:val="0"/>
          <w:marTop w:val="0"/>
          <w:marBottom w:val="0"/>
          <w:divBdr>
            <w:top w:val="none" w:sz="0" w:space="0" w:color="auto"/>
            <w:left w:val="none" w:sz="0" w:space="0" w:color="auto"/>
            <w:bottom w:val="none" w:sz="0" w:space="0" w:color="auto"/>
            <w:right w:val="none" w:sz="0" w:space="0" w:color="auto"/>
          </w:divBdr>
        </w:div>
        <w:div w:id="1996179638">
          <w:marLeft w:val="1700"/>
          <w:marRight w:val="0"/>
          <w:marTop w:val="0"/>
          <w:marBottom w:val="0"/>
          <w:divBdr>
            <w:top w:val="none" w:sz="0" w:space="0" w:color="auto"/>
            <w:left w:val="none" w:sz="0" w:space="0" w:color="auto"/>
            <w:bottom w:val="none" w:sz="0" w:space="0" w:color="auto"/>
            <w:right w:val="none" w:sz="0" w:space="0" w:color="auto"/>
          </w:divBdr>
        </w:div>
        <w:div w:id="2045784550">
          <w:marLeft w:val="0"/>
          <w:marRight w:val="0"/>
          <w:marTop w:val="0"/>
          <w:marBottom w:val="0"/>
          <w:divBdr>
            <w:top w:val="none" w:sz="0" w:space="0" w:color="auto"/>
            <w:left w:val="none" w:sz="0" w:space="0" w:color="auto"/>
            <w:bottom w:val="none" w:sz="0" w:space="0" w:color="auto"/>
            <w:right w:val="none" w:sz="0" w:space="0" w:color="auto"/>
          </w:divBdr>
        </w:div>
      </w:divsChild>
    </w:div>
    <w:div w:id="899092453">
      <w:bodyDiv w:val="1"/>
      <w:marLeft w:val="0"/>
      <w:marRight w:val="0"/>
      <w:marTop w:val="0"/>
      <w:marBottom w:val="0"/>
      <w:divBdr>
        <w:top w:val="none" w:sz="0" w:space="0" w:color="auto"/>
        <w:left w:val="none" w:sz="0" w:space="0" w:color="auto"/>
        <w:bottom w:val="none" w:sz="0" w:space="0" w:color="auto"/>
        <w:right w:val="none" w:sz="0" w:space="0" w:color="auto"/>
      </w:divBdr>
    </w:div>
    <w:div w:id="940529651">
      <w:bodyDiv w:val="1"/>
      <w:marLeft w:val="0"/>
      <w:marRight w:val="0"/>
      <w:marTop w:val="0"/>
      <w:marBottom w:val="0"/>
      <w:divBdr>
        <w:top w:val="none" w:sz="0" w:space="0" w:color="auto"/>
        <w:left w:val="none" w:sz="0" w:space="0" w:color="auto"/>
        <w:bottom w:val="none" w:sz="0" w:space="0" w:color="auto"/>
        <w:right w:val="none" w:sz="0" w:space="0" w:color="auto"/>
      </w:divBdr>
      <w:divsChild>
        <w:div w:id="585312293">
          <w:marLeft w:val="576"/>
          <w:marRight w:val="0"/>
          <w:marTop w:val="77"/>
          <w:marBottom w:val="0"/>
          <w:divBdr>
            <w:top w:val="none" w:sz="0" w:space="0" w:color="auto"/>
            <w:left w:val="none" w:sz="0" w:space="0" w:color="auto"/>
            <w:bottom w:val="none" w:sz="0" w:space="0" w:color="auto"/>
            <w:right w:val="none" w:sz="0" w:space="0" w:color="auto"/>
          </w:divBdr>
        </w:div>
        <w:div w:id="1306158420">
          <w:marLeft w:val="1123"/>
          <w:marRight w:val="0"/>
          <w:marTop w:val="77"/>
          <w:marBottom w:val="0"/>
          <w:divBdr>
            <w:top w:val="none" w:sz="0" w:space="0" w:color="auto"/>
            <w:left w:val="none" w:sz="0" w:space="0" w:color="auto"/>
            <w:bottom w:val="none" w:sz="0" w:space="0" w:color="auto"/>
            <w:right w:val="none" w:sz="0" w:space="0" w:color="auto"/>
          </w:divBdr>
        </w:div>
        <w:div w:id="1453672986">
          <w:marLeft w:val="1123"/>
          <w:marRight w:val="0"/>
          <w:marTop w:val="77"/>
          <w:marBottom w:val="0"/>
          <w:divBdr>
            <w:top w:val="none" w:sz="0" w:space="0" w:color="auto"/>
            <w:left w:val="none" w:sz="0" w:space="0" w:color="auto"/>
            <w:bottom w:val="none" w:sz="0" w:space="0" w:color="auto"/>
            <w:right w:val="none" w:sz="0" w:space="0" w:color="auto"/>
          </w:divBdr>
        </w:div>
        <w:div w:id="1481656963">
          <w:marLeft w:val="576"/>
          <w:marRight w:val="0"/>
          <w:marTop w:val="77"/>
          <w:marBottom w:val="0"/>
          <w:divBdr>
            <w:top w:val="none" w:sz="0" w:space="0" w:color="auto"/>
            <w:left w:val="none" w:sz="0" w:space="0" w:color="auto"/>
            <w:bottom w:val="none" w:sz="0" w:space="0" w:color="auto"/>
            <w:right w:val="none" w:sz="0" w:space="0" w:color="auto"/>
          </w:divBdr>
        </w:div>
        <w:div w:id="1615673281">
          <w:marLeft w:val="1123"/>
          <w:marRight w:val="0"/>
          <w:marTop w:val="77"/>
          <w:marBottom w:val="0"/>
          <w:divBdr>
            <w:top w:val="none" w:sz="0" w:space="0" w:color="auto"/>
            <w:left w:val="none" w:sz="0" w:space="0" w:color="auto"/>
            <w:bottom w:val="none" w:sz="0" w:space="0" w:color="auto"/>
            <w:right w:val="none" w:sz="0" w:space="0" w:color="auto"/>
          </w:divBdr>
        </w:div>
        <w:div w:id="1664041532">
          <w:marLeft w:val="1123"/>
          <w:marRight w:val="0"/>
          <w:marTop w:val="77"/>
          <w:marBottom w:val="0"/>
          <w:divBdr>
            <w:top w:val="none" w:sz="0" w:space="0" w:color="auto"/>
            <w:left w:val="none" w:sz="0" w:space="0" w:color="auto"/>
            <w:bottom w:val="none" w:sz="0" w:space="0" w:color="auto"/>
            <w:right w:val="none" w:sz="0" w:space="0" w:color="auto"/>
          </w:divBdr>
        </w:div>
        <w:div w:id="1678195138">
          <w:marLeft w:val="1123"/>
          <w:marRight w:val="0"/>
          <w:marTop w:val="77"/>
          <w:marBottom w:val="0"/>
          <w:divBdr>
            <w:top w:val="none" w:sz="0" w:space="0" w:color="auto"/>
            <w:left w:val="none" w:sz="0" w:space="0" w:color="auto"/>
            <w:bottom w:val="none" w:sz="0" w:space="0" w:color="auto"/>
            <w:right w:val="none" w:sz="0" w:space="0" w:color="auto"/>
          </w:divBdr>
        </w:div>
        <w:div w:id="1745840050">
          <w:marLeft w:val="576"/>
          <w:marRight w:val="0"/>
          <w:marTop w:val="77"/>
          <w:marBottom w:val="0"/>
          <w:divBdr>
            <w:top w:val="none" w:sz="0" w:space="0" w:color="auto"/>
            <w:left w:val="none" w:sz="0" w:space="0" w:color="auto"/>
            <w:bottom w:val="none" w:sz="0" w:space="0" w:color="auto"/>
            <w:right w:val="none" w:sz="0" w:space="0" w:color="auto"/>
          </w:divBdr>
        </w:div>
        <w:div w:id="1755667012">
          <w:marLeft w:val="1123"/>
          <w:marRight w:val="0"/>
          <w:marTop w:val="77"/>
          <w:marBottom w:val="0"/>
          <w:divBdr>
            <w:top w:val="none" w:sz="0" w:space="0" w:color="auto"/>
            <w:left w:val="none" w:sz="0" w:space="0" w:color="auto"/>
            <w:bottom w:val="none" w:sz="0" w:space="0" w:color="auto"/>
            <w:right w:val="none" w:sz="0" w:space="0" w:color="auto"/>
          </w:divBdr>
        </w:div>
        <w:div w:id="1820270590">
          <w:marLeft w:val="576"/>
          <w:marRight w:val="0"/>
          <w:marTop w:val="77"/>
          <w:marBottom w:val="0"/>
          <w:divBdr>
            <w:top w:val="none" w:sz="0" w:space="0" w:color="auto"/>
            <w:left w:val="none" w:sz="0" w:space="0" w:color="auto"/>
            <w:bottom w:val="none" w:sz="0" w:space="0" w:color="auto"/>
            <w:right w:val="none" w:sz="0" w:space="0" w:color="auto"/>
          </w:divBdr>
        </w:div>
        <w:div w:id="1830054425">
          <w:marLeft w:val="576"/>
          <w:marRight w:val="0"/>
          <w:marTop w:val="77"/>
          <w:marBottom w:val="0"/>
          <w:divBdr>
            <w:top w:val="none" w:sz="0" w:space="0" w:color="auto"/>
            <w:left w:val="none" w:sz="0" w:space="0" w:color="auto"/>
            <w:bottom w:val="none" w:sz="0" w:space="0" w:color="auto"/>
            <w:right w:val="none" w:sz="0" w:space="0" w:color="auto"/>
          </w:divBdr>
        </w:div>
        <w:div w:id="2036425364">
          <w:marLeft w:val="1123"/>
          <w:marRight w:val="0"/>
          <w:marTop w:val="77"/>
          <w:marBottom w:val="0"/>
          <w:divBdr>
            <w:top w:val="none" w:sz="0" w:space="0" w:color="auto"/>
            <w:left w:val="none" w:sz="0" w:space="0" w:color="auto"/>
            <w:bottom w:val="none" w:sz="0" w:space="0" w:color="auto"/>
            <w:right w:val="none" w:sz="0" w:space="0" w:color="auto"/>
          </w:divBdr>
        </w:div>
      </w:divsChild>
    </w:div>
    <w:div w:id="943684873">
      <w:bodyDiv w:val="1"/>
      <w:marLeft w:val="0"/>
      <w:marRight w:val="0"/>
      <w:marTop w:val="0"/>
      <w:marBottom w:val="0"/>
      <w:divBdr>
        <w:top w:val="none" w:sz="0" w:space="0" w:color="auto"/>
        <w:left w:val="none" w:sz="0" w:space="0" w:color="auto"/>
        <w:bottom w:val="none" w:sz="0" w:space="0" w:color="auto"/>
        <w:right w:val="none" w:sz="0" w:space="0" w:color="auto"/>
      </w:divBdr>
    </w:div>
    <w:div w:id="955060734">
      <w:bodyDiv w:val="1"/>
      <w:marLeft w:val="0"/>
      <w:marRight w:val="0"/>
      <w:marTop w:val="0"/>
      <w:marBottom w:val="0"/>
      <w:divBdr>
        <w:top w:val="none" w:sz="0" w:space="0" w:color="auto"/>
        <w:left w:val="none" w:sz="0" w:space="0" w:color="auto"/>
        <w:bottom w:val="none" w:sz="0" w:space="0" w:color="auto"/>
        <w:right w:val="none" w:sz="0" w:space="0" w:color="auto"/>
      </w:divBdr>
      <w:divsChild>
        <w:div w:id="1763797618">
          <w:marLeft w:val="0"/>
          <w:marRight w:val="0"/>
          <w:marTop w:val="0"/>
          <w:marBottom w:val="0"/>
          <w:divBdr>
            <w:top w:val="none" w:sz="0" w:space="0" w:color="auto"/>
            <w:left w:val="none" w:sz="0" w:space="0" w:color="auto"/>
            <w:bottom w:val="none" w:sz="0" w:space="0" w:color="auto"/>
            <w:right w:val="none" w:sz="0" w:space="0" w:color="auto"/>
          </w:divBdr>
        </w:div>
      </w:divsChild>
    </w:div>
    <w:div w:id="995106199">
      <w:bodyDiv w:val="1"/>
      <w:marLeft w:val="0"/>
      <w:marRight w:val="0"/>
      <w:marTop w:val="0"/>
      <w:marBottom w:val="0"/>
      <w:divBdr>
        <w:top w:val="none" w:sz="0" w:space="0" w:color="auto"/>
        <w:left w:val="none" w:sz="0" w:space="0" w:color="auto"/>
        <w:bottom w:val="none" w:sz="0" w:space="0" w:color="auto"/>
        <w:right w:val="none" w:sz="0" w:space="0" w:color="auto"/>
      </w:divBdr>
    </w:div>
    <w:div w:id="1047221569">
      <w:bodyDiv w:val="1"/>
      <w:marLeft w:val="0"/>
      <w:marRight w:val="0"/>
      <w:marTop w:val="0"/>
      <w:marBottom w:val="0"/>
      <w:divBdr>
        <w:top w:val="none" w:sz="0" w:space="0" w:color="auto"/>
        <w:left w:val="none" w:sz="0" w:space="0" w:color="auto"/>
        <w:bottom w:val="none" w:sz="0" w:space="0" w:color="auto"/>
        <w:right w:val="none" w:sz="0" w:space="0" w:color="auto"/>
      </w:divBdr>
    </w:div>
    <w:div w:id="1049770593">
      <w:bodyDiv w:val="1"/>
      <w:marLeft w:val="0"/>
      <w:marRight w:val="0"/>
      <w:marTop w:val="0"/>
      <w:marBottom w:val="0"/>
      <w:divBdr>
        <w:top w:val="none" w:sz="0" w:space="0" w:color="auto"/>
        <w:left w:val="none" w:sz="0" w:space="0" w:color="auto"/>
        <w:bottom w:val="none" w:sz="0" w:space="0" w:color="auto"/>
        <w:right w:val="none" w:sz="0" w:space="0" w:color="auto"/>
      </w:divBdr>
      <w:divsChild>
        <w:div w:id="160194870">
          <w:marLeft w:val="0"/>
          <w:marRight w:val="0"/>
          <w:marTop w:val="0"/>
          <w:marBottom w:val="0"/>
          <w:divBdr>
            <w:top w:val="none" w:sz="0" w:space="0" w:color="auto"/>
            <w:left w:val="none" w:sz="0" w:space="0" w:color="auto"/>
            <w:bottom w:val="none" w:sz="0" w:space="0" w:color="auto"/>
            <w:right w:val="none" w:sz="0" w:space="0" w:color="auto"/>
          </w:divBdr>
          <w:divsChild>
            <w:div w:id="1450664296">
              <w:marLeft w:val="0"/>
              <w:marRight w:val="0"/>
              <w:marTop w:val="0"/>
              <w:marBottom w:val="0"/>
              <w:divBdr>
                <w:top w:val="none" w:sz="0" w:space="0" w:color="auto"/>
                <w:left w:val="none" w:sz="0" w:space="0" w:color="auto"/>
                <w:bottom w:val="none" w:sz="0" w:space="0" w:color="auto"/>
                <w:right w:val="none" w:sz="0" w:space="0" w:color="auto"/>
              </w:divBdr>
            </w:div>
          </w:divsChild>
        </w:div>
        <w:div w:id="2124574062">
          <w:marLeft w:val="0"/>
          <w:marRight w:val="0"/>
          <w:marTop w:val="0"/>
          <w:marBottom w:val="0"/>
          <w:divBdr>
            <w:top w:val="none" w:sz="0" w:space="0" w:color="auto"/>
            <w:left w:val="none" w:sz="0" w:space="0" w:color="auto"/>
            <w:bottom w:val="none" w:sz="0" w:space="0" w:color="auto"/>
            <w:right w:val="none" w:sz="0" w:space="0" w:color="auto"/>
          </w:divBdr>
          <w:divsChild>
            <w:div w:id="196519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553046">
      <w:bodyDiv w:val="1"/>
      <w:marLeft w:val="0"/>
      <w:marRight w:val="0"/>
      <w:marTop w:val="0"/>
      <w:marBottom w:val="0"/>
      <w:divBdr>
        <w:top w:val="none" w:sz="0" w:space="0" w:color="auto"/>
        <w:left w:val="none" w:sz="0" w:space="0" w:color="auto"/>
        <w:bottom w:val="none" w:sz="0" w:space="0" w:color="auto"/>
        <w:right w:val="none" w:sz="0" w:space="0" w:color="auto"/>
      </w:divBdr>
    </w:div>
    <w:div w:id="1115249217">
      <w:bodyDiv w:val="1"/>
      <w:marLeft w:val="0"/>
      <w:marRight w:val="0"/>
      <w:marTop w:val="0"/>
      <w:marBottom w:val="0"/>
      <w:divBdr>
        <w:top w:val="none" w:sz="0" w:space="0" w:color="auto"/>
        <w:left w:val="none" w:sz="0" w:space="0" w:color="auto"/>
        <w:bottom w:val="none" w:sz="0" w:space="0" w:color="auto"/>
        <w:right w:val="none" w:sz="0" w:space="0" w:color="auto"/>
      </w:divBdr>
    </w:div>
    <w:div w:id="1117942829">
      <w:bodyDiv w:val="1"/>
      <w:marLeft w:val="0"/>
      <w:marRight w:val="0"/>
      <w:marTop w:val="0"/>
      <w:marBottom w:val="0"/>
      <w:divBdr>
        <w:top w:val="none" w:sz="0" w:space="0" w:color="auto"/>
        <w:left w:val="none" w:sz="0" w:space="0" w:color="auto"/>
        <w:bottom w:val="none" w:sz="0" w:space="0" w:color="auto"/>
        <w:right w:val="none" w:sz="0" w:space="0" w:color="auto"/>
      </w:divBdr>
      <w:divsChild>
        <w:div w:id="599458494">
          <w:marLeft w:val="450"/>
          <w:marRight w:val="0"/>
          <w:marTop w:val="0"/>
          <w:marBottom w:val="0"/>
          <w:divBdr>
            <w:top w:val="none" w:sz="0" w:space="0" w:color="auto"/>
            <w:left w:val="none" w:sz="0" w:space="0" w:color="auto"/>
            <w:bottom w:val="none" w:sz="0" w:space="0" w:color="auto"/>
            <w:right w:val="none" w:sz="0" w:space="0" w:color="auto"/>
          </w:divBdr>
        </w:div>
      </w:divsChild>
    </w:div>
    <w:div w:id="1118912388">
      <w:bodyDiv w:val="1"/>
      <w:marLeft w:val="0"/>
      <w:marRight w:val="0"/>
      <w:marTop w:val="0"/>
      <w:marBottom w:val="0"/>
      <w:divBdr>
        <w:top w:val="none" w:sz="0" w:space="0" w:color="auto"/>
        <w:left w:val="none" w:sz="0" w:space="0" w:color="auto"/>
        <w:bottom w:val="none" w:sz="0" w:space="0" w:color="auto"/>
        <w:right w:val="none" w:sz="0" w:space="0" w:color="auto"/>
      </w:divBdr>
      <w:divsChild>
        <w:div w:id="978412880">
          <w:marLeft w:val="150"/>
          <w:marRight w:val="0"/>
          <w:marTop w:val="0"/>
          <w:marBottom w:val="0"/>
          <w:divBdr>
            <w:top w:val="none" w:sz="0" w:space="0" w:color="auto"/>
            <w:left w:val="none" w:sz="0" w:space="0" w:color="auto"/>
            <w:bottom w:val="none" w:sz="0" w:space="0" w:color="auto"/>
            <w:right w:val="none" w:sz="0" w:space="0" w:color="auto"/>
          </w:divBdr>
        </w:div>
      </w:divsChild>
    </w:div>
    <w:div w:id="1126461154">
      <w:bodyDiv w:val="1"/>
      <w:marLeft w:val="0"/>
      <w:marRight w:val="0"/>
      <w:marTop w:val="0"/>
      <w:marBottom w:val="0"/>
      <w:divBdr>
        <w:top w:val="none" w:sz="0" w:space="0" w:color="auto"/>
        <w:left w:val="none" w:sz="0" w:space="0" w:color="auto"/>
        <w:bottom w:val="none" w:sz="0" w:space="0" w:color="auto"/>
        <w:right w:val="none" w:sz="0" w:space="0" w:color="auto"/>
      </w:divBdr>
      <w:divsChild>
        <w:div w:id="37435265">
          <w:marLeft w:val="576"/>
          <w:marRight w:val="0"/>
          <w:marTop w:val="86"/>
          <w:marBottom w:val="0"/>
          <w:divBdr>
            <w:top w:val="none" w:sz="0" w:space="0" w:color="auto"/>
            <w:left w:val="none" w:sz="0" w:space="0" w:color="auto"/>
            <w:bottom w:val="none" w:sz="0" w:space="0" w:color="auto"/>
            <w:right w:val="none" w:sz="0" w:space="0" w:color="auto"/>
          </w:divBdr>
        </w:div>
        <w:div w:id="110442005">
          <w:marLeft w:val="1123"/>
          <w:marRight w:val="0"/>
          <w:marTop w:val="86"/>
          <w:marBottom w:val="0"/>
          <w:divBdr>
            <w:top w:val="none" w:sz="0" w:space="0" w:color="auto"/>
            <w:left w:val="none" w:sz="0" w:space="0" w:color="auto"/>
            <w:bottom w:val="none" w:sz="0" w:space="0" w:color="auto"/>
            <w:right w:val="none" w:sz="0" w:space="0" w:color="auto"/>
          </w:divBdr>
        </w:div>
        <w:div w:id="243612680">
          <w:marLeft w:val="576"/>
          <w:marRight w:val="0"/>
          <w:marTop w:val="86"/>
          <w:marBottom w:val="0"/>
          <w:divBdr>
            <w:top w:val="none" w:sz="0" w:space="0" w:color="auto"/>
            <w:left w:val="none" w:sz="0" w:space="0" w:color="auto"/>
            <w:bottom w:val="none" w:sz="0" w:space="0" w:color="auto"/>
            <w:right w:val="none" w:sz="0" w:space="0" w:color="auto"/>
          </w:divBdr>
        </w:div>
        <w:div w:id="966662331">
          <w:marLeft w:val="1123"/>
          <w:marRight w:val="0"/>
          <w:marTop w:val="86"/>
          <w:marBottom w:val="0"/>
          <w:divBdr>
            <w:top w:val="none" w:sz="0" w:space="0" w:color="auto"/>
            <w:left w:val="none" w:sz="0" w:space="0" w:color="auto"/>
            <w:bottom w:val="none" w:sz="0" w:space="0" w:color="auto"/>
            <w:right w:val="none" w:sz="0" w:space="0" w:color="auto"/>
          </w:divBdr>
        </w:div>
        <w:div w:id="1348287278">
          <w:marLeft w:val="576"/>
          <w:marRight w:val="0"/>
          <w:marTop w:val="86"/>
          <w:marBottom w:val="0"/>
          <w:divBdr>
            <w:top w:val="none" w:sz="0" w:space="0" w:color="auto"/>
            <w:left w:val="none" w:sz="0" w:space="0" w:color="auto"/>
            <w:bottom w:val="none" w:sz="0" w:space="0" w:color="auto"/>
            <w:right w:val="none" w:sz="0" w:space="0" w:color="auto"/>
          </w:divBdr>
        </w:div>
        <w:div w:id="1386949170">
          <w:marLeft w:val="1123"/>
          <w:marRight w:val="0"/>
          <w:marTop w:val="86"/>
          <w:marBottom w:val="0"/>
          <w:divBdr>
            <w:top w:val="none" w:sz="0" w:space="0" w:color="auto"/>
            <w:left w:val="none" w:sz="0" w:space="0" w:color="auto"/>
            <w:bottom w:val="none" w:sz="0" w:space="0" w:color="auto"/>
            <w:right w:val="none" w:sz="0" w:space="0" w:color="auto"/>
          </w:divBdr>
        </w:div>
        <w:div w:id="1768573607">
          <w:marLeft w:val="1123"/>
          <w:marRight w:val="0"/>
          <w:marTop w:val="86"/>
          <w:marBottom w:val="0"/>
          <w:divBdr>
            <w:top w:val="none" w:sz="0" w:space="0" w:color="auto"/>
            <w:left w:val="none" w:sz="0" w:space="0" w:color="auto"/>
            <w:bottom w:val="none" w:sz="0" w:space="0" w:color="auto"/>
            <w:right w:val="none" w:sz="0" w:space="0" w:color="auto"/>
          </w:divBdr>
        </w:div>
      </w:divsChild>
    </w:div>
    <w:div w:id="1144810889">
      <w:bodyDiv w:val="1"/>
      <w:marLeft w:val="0"/>
      <w:marRight w:val="0"/>
      <w:marTop w:val="0"/>
      <w:marBottom w:val="0"/>
      <w:divBdr>
        <w:top w:val="none" w:sz="0" w:space="0" w:color="auto"/>
        <w:left w:val="none" w:sz="0" w:space="0" w:color="auto"/>
        <w:bottom w:val="none" w:sz="0" w:space="0" w:color="auto"/>
        <w:right w:val="none" w:sz="0" w:space="0" w:color="auto"/>
      </w:divBdr>
      <w:divsChild>
        <w:div w:id="246578386">
          <w:marLeft w:val="0"/>
          <w:marRight w:val="0"/>
          <w:marTop w:val="0"/>
          <w:marBottom w:val="0"/>
          <w:divBdr>
            <w:top w:val="none" w:sz="0" w:space="0" w:color="auto"/>
            <w:left w:val="none" w:sz="0" w:space="0" w:color="auto"/>
            <w:bottom w:val="none" w:sz="0" w:space="0" w:color="auto"/>
            <w:right w:val="none" w:sz="0" w:space="0" w:color="auto"/>
          </w:divBdr>
          <w:divsChild>
            <w:div w:id="3096761">
              <w:marLeft w:val="0"/>
              <w:marRight w:val="0"/>
              <w:marTop w:val="0"/>
              <w:marBottom w:val="0"/>
              <w:divBdr>
                <w:top w:val="none" w:sz="0" w:space="0" w:color="auto"/>
                <w:left w:val="none" w:sz="0" w:space="0" w:color="auto"/>
                <w:bottom w:val="none" w:sz="0" w:space="0" w:color="auto"/>
                <w:right w:val="none" w:sz="0" w:space="0" w:color="auto"/>
              </w:divBdr>
            </w:div>
          </w:divsChild>
        </w:div>
        <w:div w:id="1005665334">
          <w:marLeft w:val="0"/>
          <w:marRight w:val="0"/>
          <w:marTop w:val="0"/>
          <w:marBottom w:val="0"/>
          <w:divBdr>
            <w:top w:val="none" w:sz="0" w:space="0" w:color="auto"/>
            <w:left w:val="none" w:sz="0" w:space="0" w:color="auto"/>
            <w:bottom w:val="none" w:sz="0" w:space="0" w:color="auto"/>
            <w:right w:val="none" w:sz="0" w:space="0" w:color="auto"/>
          </w:divBdr>
          <w:divsChild>
            <w:div w:id="35712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647660">
      <w:bodyDiv w:val="1"/>
      <w:marLeft w:val="0"/>
      <w:marRight w:val="0"/>
      <w:marTop w:val="0"/>
      <w:marBottom w:val="0"/>
      <w:divBdr>
        <w:top w:val="none" w:sz="0" w:space="0" w:color="auto"/>
        <w:left w:val="none" w:sz="0" w:space="0" w:color="auto"/>
        <w:bottom w:val="none" w:sz="0" w:space="0" w:color="auto"/>
        <w:right w:val="none" w:sz="0" w:space="0" w:color="auto"/>
      </w:divBdr>
    </w:div>
    <w:div w:id="1199466351">
      <w:bodyDiv w:val="1"/>
      <w:marLeft w:val="0"/>
      <w:marRight w:val="0"/>
      <w:marTop w:val="0"/>
      <w:marBottom w:val="0"/>
      <w:divBdr>
        <w:top w:val="none" w:sz="0" w:space="0" w:color="auto"/>
        <w:left w:val="none" w:sz="0" w:space="0" w:color="auto"/>
        <w:bottom w:val="none" w:sz="0" w:space="0" w:color="auto"/>
        <w:right w:val="none" w:sz="0" w:space="0" w:color="auto"/>
      </w:divBdr>
    </w:div>
    <w:div w:id="1212964795">
      <w:bodyDiv w:val="1"/>
      <w:marLeft w:val="0"/>
      <w:marRight w:val="0"/>
      <w:marTop w:val="0"/>
      <w:marBottom w:val="0"/>
      <w:divBdr>
        <w:top w:val="none" w:sz="0" w:space="0" w:color="auto"/>
        <w:left w:val="none" w:sz="0" w:space="0" w:color="auto"/>
        <w:bottom w:val="none" w:sz="0" w:space="0" w:color="auto"/>
        <w:right w:val="none" w:sz="0" w:space="0" w:color="auto"/>
      </w:divBdr>
      <w:divsChild>
        <w:div w:id="317391239">
          <w:marLeft w:val="0"/>
          <w:marRight w:val="0"/>
          <w:marTop w:val="0"/>
          <w:marBottom w:val="0"/>
          <w:divBdr>
            <w:top w:val="none" w:sz="0" w:space="0" w:color="auto"/>
            <w:left w:val="none" w:sz="0" w:space="0" w:color="auto"/>
            <w:bottom w:val="none" w:sz="0" w:space="0" w:color="auto"/>
            <w:right w:val="none" w:sz="0" w:space="0" w:color="auto"/>
          </w:divBdr>
        </w:div>
        <w:div w:id="330644358">
          <w:marLeft w:val="0"/>
          <w:marRight w:val="0"/>
          <w:marTop w:val="0"/>
          <w:marBottom w:val="0"/>
          <w:divBdr>
            <w:top w:val="none" w:sz="0" w:space="0" w:color="auto"/>
            <w:left w:val="none" w:sz="0" w:space="0" w:color="auto"/>
            <w:bottom w:val="none" w:sz="0" w:space="0" w:color="auto"/>
            <w:right w:val="none" w:sz="0" w:space="0" w:color="auto"/>
          </w:divBdr>
        </w:div>
        <w:div w:id="404957642">
          <w:marLeft w:val="0"/>
          <w:marRight w:val="0"/>
          <w:marTop w:val="0"/>
          <w:marBottom w:val="0"/>
          <w:divBdr>
            <w:top w:val="none" w:sz="0" w:space="0" w:color="auto"/>
            <w:left w:val="none" w:sz="0" w:space="0" w:color="auto"/>
            <w:bottom w:val="none" w:sz="0" w:space="0" w:color="auto"/>
            <w:right w:val="none" w:sz="0" w:space="0" w:color="auto"/>
          </w:divBdr>
        </w:div>
        <w:div w:id="1163667266">
          <w:marLeft w:val="0"/>
          <w:marRight w:val="0"/>
          <w:marTop w:val="0"/>
          <w:marBottom w:val="0"/>
          <w:divBdr>
            <w:top w:val="none" w:sz="0" w:space="0" w:color="auto"/>
            <w:left w:val="none" w:sz="0" w:space="0" w:color="auto"/>
            <w:bottom w:val="none" w:sz="0" w:space="0" w:color="auto"/>
            <w:right w:val="none" w:sz="0" w:space="0" w:color="auto"/>
          </w:divBdr>
        </w:div>
        <w:div w:id="1867518826">
          <w:marLeft w:val="0"/>
          <w:marRight w:val="0"/>
          <w:marTop w:val="0"/>
          <w:marBottom w:val="0"/>
          <w:divBdr>
            <w:top w:val="none" w:sz="0" w:space="0" w:color="auto"/>
            <w:left w:val="none" w:sz="0" w:space="0" w:color="auto"/>
            <w:bottom w:val="none" w:sz="0" w:space="0" w:color="auto"/>
            <w:right w:val="none" w:sz="0" w:space="0" w:color="auto"/>
          </w:divBdr>
        </w:div>
        <w:div w:id="2057199519">
          <w:marLeft w:val="0"/>
          <w:marRight w:val="0"/>
          <w:marTop w:val="0"/>
          <w:marBottom w:val="0"/>
          <w:divBdr>
            <w:top w:val="none" w:sz="0" w:space="0" w:color="auto"/>
            <w:left w:val="none" w:sz="0" w:space="0" w:color="auto"/>
            <w:bottom w:val="none" w:sz="0" w:space="0" w:color="auto"/>
            <w:right w:val="none" w:sz="0" w:space="0" w:color="auto"/>
          </w:divBdr>
        </w:div>
      </w:divsChild>
    </w:div>
    <w:div w:id="1213080469">
      <w:bodyDiv w:val="1"/>
      <w:marLeft w:val="0"/>
      <w:marRight w:val="0"/>
      <w:marTop w:val="0"/>
      <w:marBottom w:val="0"/>
      <w:divBdr>
        <w:top w:val="none" w:sz="0" w:space="0" w:color="auto"/>
        <w:left w:val="none" w:sz="0" w:space="0" w:color="auto"/>
        <w:bottom w:val="none" w:sz="0" w:space="0" w:color="auto"/>
        <w:right w:val="none" w:sz="0" w:space="0" w:color="auto"/>
      </w:divBdr>
    </w:div>
    <w:div w:id="1213611242">
      <w:bodyDiv w:val="1"/>
      <w:marLeft w:val="0"/>
      <w:marRight w:val="0"/>
      <w:marTop w:val="0"/>
      <w:marBottom w:val="0"/>
      <w:divBdr>
        <w:top w:val="none" w:sz="0" w:space="0" w:color="auto"/>
        <w:left w:val="none" w:sz="0" w:space="0" w:color="auto"/>
        <w:bottom w:val="none" w:sz="0" w:space="0" w:color="auto"/>
        <w:right w:val="none" w:sz="0" w:space="0" w:color="auto"/>
      </w:divBdr>
    </w:div>
    <w:div w:id="1214079520">
      <w:bodyDiv w:val="1"/>
      <w:marLeft w:val="0"/>
      <w:marRight w:val="0"/>
      <w:marTop w:val="0"/>
      <w:marBottom w:val="0"/>
      <w:divBdr>
        <w:top w:val="none" w:sz="0" w:space="0" w:color="auto"/>
        <w:left w:val="none" w:sz="0" w:space="0" w:color="auto"/>
        <w:bottom w:val="none" w:sz="0" w:space="0" w:color="auto"/>
        <w:right w:val="none" w:sz="0" w:space="0" w:color="auto"/>
      </w:divBdr>
    </w:div>
    <w:div w:id="1217813264">
      <w:bodyDiv w:val="1"/>
      <w:marLeft w:val="0"/>
      <w:marRight w:val="0"/>
      <w:marTop w:val="0"/>
      <w:marBottom w:val="0"/>
      <w:divBdr>
        <w:top w:val="none" w:sz="0" w:space="0" w:color="auto"/>
        <w:left w:val="none" w:sz="0" w:space="0" w:color="auto"/>
        <w:bottom w:val="none" w:sz="0" w:space="0" w:color="auto"/>
        <w:right w:val="none" w:sz="0" w:space="0" w:color="auto"/>
      </w:divBdr>
      <w:divsChild>
        <w:div w:id="8180">
          <w:marLeft w:val="1123"/>
          <w:marRight w:val="0"/>
          <w:marTop w:val="86"/>
          <w:marBottom w:val="0"/>
          <w:divBdr>
            <w:top w:val="none" w:sz="0" w:space="0" w:color="auto"/>
            <w:left w:val="none" w:sz="0" w:space="0" w:color="auto"/>
            <w:bottom w:val="none" w:sz="0" w:space="0" w:color="auto"/>
            <w:right w:val="none" w:sz="0" w:space="0" w:color="auto"/>
          </w:divBdr>
        </w:div>
        <w:div w:id="3214676">
          <w:marLeft w:val="576"/>
          <w:marRight w:val="0"/>
          <w:marTop w:val="86"/>
          <w:marBottom w:val="0"/>
          <w:divBdr>
            <w:top w:val="none" w:sz="0" w:space="0" w:color="auto"/>
            <w:left w:val="none" w:sz="0" w:space="0" w:color="auto"/>
            <w:bottom w:val="none" w:sz="0" w:space="0" w:color="auto"/>
            <w:right w:val="none" w:sz="0" w:space="0" w:color="auto"/>
          </w:divBdr>
        </w:div>
        <w:div w:id="433523223">
          <w:marLeft w:val="576"/>
          <w:marRight w:val="0"/>
          <w:marTop w:val="86"/>
          <w:marBottom w:val="0"/>
          <w:divBdr>
            <w:top w:val="none" w:sz="0" w:space="0" w:color="auto"/>
            <w:left w:val="none" w:sz="0" w:space="0" w:color="auto"/>
            <w:bottom w:val="none" w:sz="0" w:space="0" w:color="auto"/>
            <w:right w:val="none" w:sz="0" w:space="0" w:color="auto"/>
          </w:divBdr>
        </w:div>
        <w:div w:id="465708182">
          <w:marLeft w:val="1123"/>
          <w:marRight w:val="0"/>
          <w:marTop w:val="86"/>
          <w:marBottom w:val="0"/>
          <w:divBdr>
            <w:top w:val="none" w:sz="0" w:space="0" w:color="auto"/>
            <w:left w:val="none" w:sz="0" w:space="0" w:color="auto"/>
            <w:bottom w:val="none" w:sz="0" w:space="0" w:color="auto"/>
            <w:right w:val="none" w:sz="0" w:space="0" w:color="auto"/>
          </w:divBdr>
        </w:div>
        <w:div w:id="792404788">
          <w:marLeft w:val="1123"/>
          <w:marRight w:val="0"/>
          <w:marTop w:val="86"/>
          <w:marBottom w:val="0"/>
          <w:divBdr>
            <w:top w:val="none" w:sz="0" w:space="0" w:color="auto"/>
            <w:left w:val="none" w:sz="0" w:space="0" w:color="auto"/>
            <w:bottom w:val="none" w:sz="0" w:space="0" w:color="auto"/>
            <w:right w:val="none" w:sz="0" w:space="0" w:color="auto"/>
          </w:divBdr>
        </w:div>
        <w:div w:id="1415123668">
          <w:marLeft w:val="1123"/>
          <w:marRight w:val="0"/>
          <w:marTop w:val="86"/>
          <w:marBottom w:val="0"/>
          <w:divBdr>
            <w:top w:val="none" w:sz="0" w:space="0" w:color="auto"/>
            <w:left w:val="none" w:sz="0" w:space="0" w:color="auto"/>
            <w:bottom w:val="none" w:sz="0" w:space="0" w:color="auto"/>
            <w:right w:val="none" w:sz="0" w:space="0" w:color="auto"/>
          </w:divBdr>
        </w:div>
        <w:div w:id="1583954408">
          <w:marLeft w:val="1123"/>
          <w:marRight w:val="0"/>
          <w:marTop w:val="86"/>
          <w:marBottom w:val="0"/>
          <w:divBdr>
            <w:top w:val="none" w:sz="0" w:space="0" w:color="auto"/>
            <w:left w:val="none" w:sz="0" w:space="0" w:color="auto"/>
            <w:bottom w:val="none" w:sz="0" w:space="0" w:color="auto"/>
            <w:right w:val="none" w:sz="0" w:space="0" w:color="auto"/>
          </w:divBdr>
        </w:div>
        <w:div w:id="1661081236">
          <w:marLeft w:val="576"/>
          <w:marRight w:val="0"/>
          <w:marTop w:val="86"/>
          <w:marBottom w:val="0"/>
          <w:divBdr>
            <w:top w:val="none" w:sz="0" w:space="0" w:color="auto"/>
            <w:left w:val="none" w:sz="0" w:space="0" w:color="auto"/>
            <w:bottom w:val="none" w:sz="0" w:space="0" w:color="auto"/>
            <w:right w:val="none" w:sz="0" w:space="0" w:color="auto"/>
          </w:divBdr>
        </w:div>
        <w:div w:id="1891184785">
          <w:marLeft w:val="576"/>
          <w:marRight w:val="0"/>
          <w:marTop w:val="86"/>
          <w:marBottom w:val="0"/>
          <w:divBdr>
            <w:top w:val="none" w:sz="0" w:space="0" w:color="auto"/>
            <w:left w:val="none" w:sz="0" w:space="0" w:color="auto"/>
            <w:bottom w:val="none" w:sz="0" w:space="0" w:color="auto"/>
            <w:right w:val="none" w:sz="0" w:space="0" w:color="auto"/>
          </w:divBdr>
        </w:div>
      </w:divsChild>
    </w:div>
    <w:div w:id="1227254541">
      <w:bodyDiv w:val="1"/>
      <w:marLeft w:val="0"/>
      <w:marRight w:val="0"/>
      <w:marTop w:val="0"/>
      <w:marBottom w:val="0"/>
      <w:divBdr>
        <w:top w:val="none" w:sz="0" w:space="0" w:color="auto"/>
        <w:left w:val="none" w:sz="0" w:space="0" w:color="auto"/>
        <w:bottom w:val="none" w:sz="0" w:space="0" w:color="auto"/>
        <w:right w:val="none" w:sz="0" w:space="0" w:color="auto"/>
      </w:divBdr>
      <w:divsChild>
        <w:div w:id="27267520">
          <w:marLeft w:val="450"/>
          <w:marRight w:val="0"/>
          <w:marTop w:val="0"/>
          <w:marBottom w:val="0"/>
          <w:divBdr>
            <w:top w:val="none" w:sz="0" w:space="0" w:color="auto"/>
            <w:left w:val="none" w:sz="0" w:space="0" w:color="auto"/>
            <w:bottom w:val="none" w:sz="0" w:space="0" w:color="auto"/>
            <w:right w:val="none" w:sz="0" w:space="0" w:color="auto"/>
          </w:divBdr>
        </w:div>
        <w:div w:id="1260479924">
          <w:marLeft w:val="450"/>
          <w:marRight w:val="0"/>
          <w:marTop w:val="0"/>
          <w:marBottom w:val="0"/>
          <w:divBdr>
            <w:top w:val="none" w:sz="0" w:space="0" w:color="auto"/>
            <w:left w:val="none" w:sz="0" w:space="0" w:color="auto"/>
            <w:bottom w:val="none" w:sz="0" w:space="0" w:color="auto"/>
            <w:right w:val="none" w:sz="0" w:space="0" w:color="auto"/>
          </w:divBdr>
        </w:div>
        <w:div w:id="2074506627">
          <w:marLeft w:val="450"/>
          <w:marRight w:val="0"/>
          <w:marTop w:val="0"/>
          <w:marBottom w:val="0"/>
          <w:divBdr>
            <w:top w:val="none" w:sz="0" w:space="0" w:color="auto"/>
            <w:left w:val="none" w:sz="0" w:space="0" w:color="auto"/>
            <w:bottom w:val="none" w:sz="0" w:space="0" w:color="auto"/>
            <w:right w:val="none" w:sz="0" w:space="0" w:color="auto"/>
          </w:divBdr>
        </w:div>
      </w:divsChild>
    </w:div>
    <w:div w:id="1232083786">
      <w:bodyDiv w:val="1"/>
      <w:marLeft w:val="0"/>
      <w:marRight w:val="0"/>
      <w:marTop w:val="0"/>
      <w:marBottom w:val="0"/>
      <w:divBdr>
        <w:top w:val="none" w:sz="0" w:space="0" w:color="auto"/>
        <w:left w:val="none" w:sz="0" w:space="0" w:color="auto"/>
        <w:bottom w:val="none" w:sz="0" w:space="0" w:color="auto"/>
        <w:right w:val="none" w:sz="0" w:space="0" w:color="auto"/>
      </w:divBdr>
      <w:divsChild>
        <w:div w:id="844901464">
          <w:marLeft w:val="0"/>
          <w:marRight w:val="0"/>
          <w:marTop w:val="0"/>
          <w:marBottom w:val="0"/>
          <w:divBdr>
            <w:top w:val="none" w:sz="0" w:space="0" w:color="auto"/>
            <w:left w:val="none" w:sz="0" w:space="0" w:color="auto"/>
            <w:bottom w:val="none" w:sz="0" w:space="0" w:color="auto"/>
            <w:right w:val="none" w:sz="0" w:space="0" w:color="auto"/>
          </w:divBdr>
          <w:divsChild>
            <w:div w:id="17681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670370">
      <w:bodyDiv w:val="1"/>
      <w:marLeft w:val="0"/>
      <w:marRight w:val="0"/>
      <w:marTop w:val="0"/>
      <w:marBottom w:val="0"/>
      <w:divBdr>
        <w:top w:val="none" w:sz="0" w:space="0" w:color="auto"/>
        <w:left w:val="none" w:sz="0" w:space="0" w:color="auto"/>
        <w:bottom w:val="none" w:sz="0" w:space="0" w:color="auto"/>
        <w:right w:val="none" w:sz="0" w:space="0" w:color="auto"/>
      </w:divBdr>
    </w:div>
    <w:div w:id="1248268703">
      <w:bodyDiv w:val="1"/>
      <w:marLeft w:val="0"/>
      <w:marRight w:val="0"/>
      <w:marTop w:val="0"/>
      <w:marBottom w:val="0"/>
      <w:divBdr>
        <w:top w:val="none" w:sz="0" w:space="0" w:color="auto"/>
        <w:left w:val="none" w:sz="0" w:space="0" w:color="auto"/>
        <w:bottom w:val="none" w:sz="0" w:space="0" w:color="auto"/>
        <w:right w:val="none" w:sz="0" w:space="0" w:color="auto"/>
      </w:divBdr>
    </w:div>
    <w:div w:id="1283536874">
      <w:bodyDiv w:val="1"/>
      <w:marLeft w:val="0"/>
      <w:marRight w:val="0"/>
      <w:marTop w:val="0"/>
      <w:marBottom w:val="0"/>
      <w:divBdr>
        <w:top w:val="none" w:sz="0" w:space="0" w:color="auto"/>
        <w:left w:val="none" w:sz="0" w:space="0" w:color="auto"/>
        <w:bottom w:val="none" w:sz="0" w:space="0" w:color="auto"/>
        <w:right w:val="none" w:sz="0" w:space="0" w:color="auto"/>
      </w:divBdr>
    </w:div>
    <w:div w:id="1284579863">
      <w:bodyDiv w:val="1"/>
      <w:marLeft w:val="0"/>
      <w:marRight w:val="0"/>
      <w:marTop w:val="0"/>
      <w:marBottom w:val="0"/>
      <w:divBdr>
        <w:top w:val="none" w:sz="0" w:space="0" w:color="auto"/>
        <w:left w:val="none" w:sz="0" w:space="0" w:color="auto"/>
        <w:bottom w:val="none" w:sz="0" w:space="0" w:color="auto"/>
        <w:right w:val="none" w:sz="0" w:space="0" w:color="auto"/>
      </w:divBdr>
    </w:div>
    <w:div w:id="1317149185">
      <w:bodyDiv w:val="1"/>
      <w:marLeft w:val="0"/>
      <w:marRight w:val="0"/>
      <w:marTop w:val="0"/>
      <w:marBottom w:val="0"/>
      <w:divBdr>
        <w:top w:val="none" w:sz="0" w:space="0" w:color="auto"/>
        <w:left w:val="none" w:sz="0" w:space="0" w:color="auto"/>
        <w:bottom w:val="none" w:sz="0" w:space="0" w:color="auto"/>
        <w:right w:val="none" w:sz="0" w:space="0" w:color="auto"/>
      </w:divBdr>
    </w:div>
    <w:div w:id="1333871956">
      <w:bodyDiv w:val="1"/>
      <w:marLeft w:val="0"/>
      <w:marRight w:val="0"/>
      <w:marTop w:val="0"/>
      <w:marBottom w:val="0"/>
      <w:divBdr>
        <w:top w:val="none" w:sz="0" w:space="0" w:color="auto"/>
        <w:left w:val="none" w:sz="0" w:space="0" w:color="auto"/>
        <w:bottom w:val="none" w:sz="0" w:space="0" w:color="auto"/>
        <w:right w:val="none" w:sz="0" w:space="0" w:color="auto"/>
      </w:divBdr>
    </w:div>
    <w:div w:id="1342584301">
      <w:bodyDiv w:val="1"/>
      <w:marLeft w:val="0"/>
      <w:marRight w:val="0"/>
      <w:marTop w:val="0"/>
      <w:marBottom w:val="0"/>
      <w:divBdr>
        <w:top w:val="none" w:sz="0" w:space="0" w:color="auto"/>
        <w:left w:val="none" w:sz="0" w:space="0" w:color="auto"/>
        <w:bottom w:val="none" w:sz="0" w:space="0" w:color="auto"/>
        <w:right w:val="none" w:sz="0" w:space="0" w:color="auto"/>
      </w:divBdr>
      <w:divsChild>
        <w:div w:id="503934238">
          <w:marLeft w:val="450"/>
          <w:marRight w:val="0"/>
          <w:marTop w:val="0"/>
          <w:marBottom w:val="0"/>
          <w:divBdr>
            <w:top w:val="none" w:sz="0" w:space="0" w:color="auto"/>
            <w:left w:val="none" w:sz="0" w:space="0" w:color="auto"/>
            <w:bottom w:val="none" w:sz="0" w:space="0" w:color="auto"/>
            <w:right w:val="none" w:sz="0" w:space="0" w:color="auto"/>
          </w:divBdr>
        </w:div>
        <w:div w:id="935551819">
          <w:marLeft w:val="450"/>
          <w:marRight w:val="0"/>
          <w:marTop w:val="0"/>
          <w:marBottom w:val="0"/>
          <w:divBdr>
            <w:top w:val="none" w:sz="0" w:space="0" w:color="auto"/>
            <w:left w:val="none" w:sz="0" w:space="0" w:color="auto"/>
            <w:bottom w:val="none" w:sz="0" w:space="0" w:color="auto"/>
            <w:right w:val="none" w:sz="0" w:space="0" w:color="auto"/>
          </w:divBdr>
        </w:div>
      </w:divsChild>
    </w:div>
    <w:div w:id="1375428094">
      <w:bodyDiv w:val="1"/>
      <w:marLeft w:val="0"/>
      <w:marRight w:val="0"/>
      <w:marTop w:val="0"/>
      <w:marBottom w:val="0"/>
      <w:divBdr>
        <w:top w:val="none" w:sz="0" w:space="0" w:color="auto"/>
        <w:left w:val="none" w:sz="0" w:space="0" w:color="auto"/>
        <w:bottom w:val="none" w:sz="0" w:space="0" w:color="auto"/>
        <w:right w:val="none" w:sz="0" w:space="0" w:color="auto"/>
      </w:divBdr>
    </w:div>
    <w:div w:id="1387686481">
      <w:bodyDiv w:val="1"/>
      <w:marLeft w:val="0"/>
      <w:marRight w:val="0"/>
      <w:marTop w:val="0"/>
      <w:marBottom w:val="0"/>
      <w:divBdr>
        <w:top w:val="none" w:sz="0" w:space="0" w:color="auto"/>
        <w:left w:val="none" w:sz="0" w:space="0" w:color="auto"/>
        <w:bottom w:val="none" w:sz="0" w:space="0" w:color="auto"/>
        <w:right w:val="none" w:sz="0" w:space="0" w:color="auto"/>
      </w:divBdr>
    </w:div>
    <w:div w:id="1400667702">
      <w:bodyDiv w:val="1"/>
      <w:marLeft w:val="0"/>
      <w:marRight w:val="0"/>
      <w:marTop w:val="0"/>
      <w:marBottom w:val="0"/>
      <w:divBdr>
        <w:top w:val="none" w:sz="0" w:space="0" w:color="auto"/>
        <w:left w:val="none" w:sz="0" w:space="0" w:color="auto"/>
        <w:bottom w:val="none" w:sz="0" w:space="0" w:color="auto"/>
        <w:right w:val="none" w:sz="0" w:space="0" w:color="auto"/>
      </w:divBdr>
    </w:div>
    <w:div w:id="1437362955">
      <w:bodyDiv w:val="1"/>
      <w:marLeft w:val="0"/>
      <w:marRight w:val="0"/>
      <w:marTop w:val="0"/>
      <w:marBottom w:val="0"/>
      <w:divBdr>
        <w:top w:val="none" w:sz="0" w:space="0" w:color="auto"/>
        <w:left w:val="none" w:sz="0" w:space="0" w:color="auto"/>
        <w:bottom w:val="none" w:sz="0" w:space="0" w:color="auto"/>
        <w:right w:val="none" w:sz="0" w:space="0" w:color="auto"/>
      </w:divBdr>
    </w:div>
    <w:div w:id="1443303967">
      <w:bodyDiv w:val="1"/>
      <w:marLeft w:val="0"/>
      <w:marRight w:val="0"/>
      <w:marTop w:val="0"/>
      <w:marBottom w:val="0"/>
      <w:divBdr>
        <w:top w:val="none" w:sz="0" w:space="0" w:color="auto"/>
        <w:left w:val="none" w:sz="0" w:space="0" w:color="auto"/>
        <w:bottom w:val="none" w:sz="0" w:space="0" w:color="auto"/>
        <w:right w:val="none" w:sz="0" w:space="0" w:color="auto"/>
      </w:divBdr>
      <w:divsChild>
        <w:div w:id="77791327">
          <w:marLeft w:val="450"/>
          <w:marRight w:val="0"/>
          <w:marTop w:val="0"/>
          <w:marBottom w:val="0"/>
          <w:divBdr>
            <w:top w:val="none" w:sz="0" w:space="0" w:color="auto"/>
            <w:left w:val="none" w:sz="0" w:space="0" w:color="auto"/>
            <w:bottom w:val="none" w:sz="0" w:space="0" w:color="auto"/>
            <w:right w:val="none" w:sz="0" w:space="0" w:color="auto"/>
          </w:divBdr>
        </w:div>
      </w:divsChild>
    </w:div>
    <w:div w:id="1459495991">
      <w:bodyDiv w:val="1"/>
      <w:marLeft w:val="0"/>
      <w:marRight w:val="0"/>
      <w:marTop w:val="0"/>
      <w:marBottom w:val="0"/>
      <w:divBdr>
        <w:top w:val="none" w:sz="0" w:space="0" w:color="auto"/>
        <w:left w:val="none" w:sz="0" w:space="0" w:color="auto"/>
        <w:bottom w:val="none" w:sz="0" w:space="0" w:color="auto"/>
        <w:right w:val="none" w:sz="0" w:space="0" w:color="auto"/>
      </w:divBdr>
    </w:div>
    <w:div w:id="1464616342">
      <w:bodyDiv w:val="1"/>
      <w:marLeft w:val="0"/>
      <w:marRight w:val="0"/>
      <w:marTop w:val="0"/>
      <w:marBottom w:val="0"/>
      <w:divBdr>
        <w:top w:val="none" w:sz="0" w:space="0" w:color="auto"/>
        <w:left w:val="none" w:sz="0" w:space="0" w:color="auto"/>
        <w:bottom w:val="none" w:sz="0" w:space="0" w:color="auto"/>
        <w:right w:val="none" w:sz="0" w:space="0" w:color="auto"/>
      </w:divBdr>
    </w:div>
    <w:div w:id="1468861018">
      <w:bodyDiv w:val="1"/>
      <w:marLeft w:val="0"/>
      <w:marRight w:val="0"/>
      <w:marTop w:val="0"/>
      <w:marBottom w:val="0"/>
      <w:divBdr>
        <w:top w:val="none" w:sz="0" w:space="0" w:color="auto"/>
        <w:left w:val="none" w:sz="0" w:space="0" w:color="auto"/>
        <w:bottom w:val="none" w:sz="0" w:space="0" w:color="auto"/>
        <w:right w:val="none" w:sz="0" w:space="0" w:color="auto"/>
      </w:divBdr>
    </w:div>
    <w:div w:id="1473132695">
      <w:bodyDiv w:val="1"/>
      <w:marLeft w:val="0"/>
      <w:marRight w:val="0"/>
      <w:marTop w:val="0"/>
      <w:marBottom w:val="0"/>
      <w:divBdr>
        <w:top w:val="none" w:sz="0" w:space="0" w:color="auto"/>
        <w:left w:val="none" w:sz="0" w:space="0" w:color="auto"/>
        <w:bottom w:val="none" w:sz="0" w:space="0" w:color="auto"/>
        <w:right w:val="none" w:sz="0" w:space="0" w:color="auto"/>
      </w:divBdr>
      <w:divsChild>
        <w:div w:id="6098990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3429774">
      <w:bodyDiv w:val="1"/>
      <w:marLeft w:val="0"/>
      <w:marRight w:val="0"/>
      <w:marTop w:val="0"/>
      <w:marBottom w:val="0"/>
      <w:divBdr>
        <w:top w:val="none" w:sz="0" w:space="0" w:color="auto"/>
        <w:left w:val="none" w:sz="0" w:space="0" w:color="auto"/>
        <w:bottom w:val="none" w:sz="0" w:space="0" w:color="auto"/>
        <w:right w:val="none" w:sz="0" w:space="0" w:color="auto"/>
      </w:divBdr>
      <w:divsChild>
        <w:div w:id="462651163">
          <w:marLeft w:val="0"/>
          <w:marRight w:val="0"/>
          <w:marTop w:val="0"/>
          <w:marBottom w:val="0"/>
          <w:divBdr>
            <w:top w:val="none" w:sz="0" w:space="0" w:color="auto"/>
            <w:left w:val="none" w:sz="0" w:space="0" w:color="auto"/>
            <w:bottom w:val="none" w:sz="0" w:space="0" w:color="auto"/>
            <w:right w:val="none" w:sz="0" w:space="0" w:color="auto"/>
          </w:divBdr>
          <w:divsChild>
            <w:div w:id="186606293">
              <w:marLeft w:val="0"/>
              <w:marRight w:val="0"/>
              <w:marTop w:val="0"/>
              <w:marBottom w:val="0"/>
              <w:divBdr>
                <w:top w:val="none" w:sz="0" w:space="0" w:color="auto"/>
                <w:left w:val="none" w:sz="0" w:space="0" w:color="auto"/>
                <w:bottom w:val="none" w:sz="0" w:space="0" w:color="auto"/>
                <w:right w:val="none" w:sz="0" w:space="0" w:color="auto"/>
              </w:divBdr>
            </w:div>
            <w:div w:id="564028006">
              <w:marLeft w:val="0"/>
              <w:marRight w:val="0"/>
              <w:marTop w:val="0"/>
              <w:marBottom w:val="0"/>
              <w:divBdr>
                <w:top w:val="none" w:sz="0" w:space="0" w:color="auto"/>
                <w:left w:val="none" w:sz="0" w:space="0" w:color="auto"/>
                <w:bottom w:val="none" w:sz="0" w:space="0" w:color="auto"/>
                <w:right w:val="none" w:sz="0" w:space="0" w:color="auto"/>
              </w:divBdr>
            </w:div>
          </w:divsChild>
        </w:div>
        <w:div w:id="1094785712">
          <w:marLeft w:val="0"/>
          <w:marRight w:val="0"/>
          <w:marTop w:val="0"/>
          <w:marBottom w:val="0"/>
          <w:divBdr>
            <w:top w:val="none" w:sz="0" w:space="0" w:color="auto"/>
            <w:left w:val="none" w:sz="0" w:space="0" w:color="auto"/>
            <w:bottom w:val="none" w:sz="0" w:space="0" w:color="auto"/>
            <w:right w:val="none" w:sz="0" w:space="0" w:color="auto"/>
          </w:divBdr>
        </w:div>
      </w:divsChild>
    </w:div>
    <w:div w:id="1491602248">
      <w:bodyDiv w:val="1"/>
      <w:marLeft w:val="0"/>
      <w:marRight w:val="0"/>
      <w:marTop w:val="0"/>
      <w:marBottom w:val="0"/>
      <w:divBdr>
        <w:top w:val="none" w:sz="0" w:space="0" w:color="auto"/>
        <w:left w:val="none" w:sz="0" w:space="0" w:color="auto"/>
        <w:bottom w:val="none" w:sz="0" w:space="0" w:color="auto"/>
        <w:right w:val="none" w:sz="0" w:space="0" w:color="auto"/>
      </w:divBdr>
    </w:div>
    <w:div w:id="1493258561">
      <w:bodyDiv w:val="1"/>
      <w:marLeft w:val="0"/>
      <w:marRight w:val="0"/>
      <w:marTop w:val="0"/>
      <w:marBottom w:val="0"/>
      <w:divBdr>
        <w:top w:val="none" w:sz="0" w:space="0" w:color="auto"/>
        <w:left w:val="none" w:sz="0" w:space="0" w:color="auto"/>
        <w:bottom w:val="none" w:sz="0" w:space="0" w:color="auto"/>
        <w:right w:val="none" w:sz="0" w:space="0" w:color="auto"/>
      </w:divBdr>
    </w:div>
    <w:div w:id="1496727828">
      <w:bodyDiv w:val="1"/>
      <w:marLeft w:val="0"/>
      <w:marRight w:val="0"/>
      <w:marTop w:val="0"/>
      <w:marBottom w:val="0"/>
      <w:divBdr>
        <w:top w:val="none" w:sz="0" w:space="0" w:color="auto"/>
        <w:left w:val="none" w:sz="0" w:space="0" w:color="auto"/>
        <w:bottom w:val="none" w:sz="0" w:space="0" w:color="auto"/>
        <w:right w:val="none" w:sz="0" w:space="0" w:color="auto"/>
      </w:divBdr>
    </w:div>
    <w:div w:id="1529948652">
      <w:bodyDiv w:val="1"/>
      <w:marLeft w:val="0"/>
      <w:marRight w:val="0"/>
      <w:marTop w:val="0"/>
      <w:marBottom w:val="0"/>
      <w:divBdr>
        <w:top w:val="none" w:sz="0" w:space="0" w:color="auto"/>
        <w:left w:val="none" w:sz="0" w:space="0" w:color="auto"/>
        <w:bottom w:val="none" w:sz="0" w:space="0" w:color="auto"/>
        <w:right w:val="none" w:sz="0" w:space="0" w:color="auto"/>
      </w:divBdr>
    </w:div>
    <w:div w:id="1539704057">
      <w:bodyDiv w:val="1"/>
      <w:marLeft w:val="0"/>
      <w:marRight w:val="0"/>
      <w:marTop w:val="0"/>
      <w:marBottom w:val="0"/>
      <w:divBdr>
        <w:top w:val="none" w:sz="0" w:space="0" w:color="auto"/>
        <w:left w:val="none" w:sz="0" w:space="0" w:color="auto"/>
        <w:bottom w:val="none" w:sz="0" w:space="0" w:color="auto"/>
        <w:right w:val="none" w:sz="0" w:space="0" w:color="auto"/>
      </w:divBdr>
    </w:div>
    <w:div w:id="1552375702">
      <w:bodyDiv w:val="1"/>
      <w:marLeft w:val="0"/>
      <w:marRight w:val="0"/>
      <w:marTop w:val="0"/>
      <w:marBottom w:val="0"/>
      <w:divBdr>
        <w:top w:val="none" w:sz="0" w:space="0" w:color="auto"/>
        <w:left w:val="none" w:sz="0" w:space="0" w:color="auto"/>
        <w:bottom w:val="none" w:sz="0" w:space="0" w:color="auto"/>
        <w:right w:val="none" w:sz="0" w:space="0" w:color="auto"/>
      </w:divBdr>
    </w:div>
    <w:div w:id="1552884134">
      <w:bodyDiv w:val="1"/>
      <w:marLeft w:val="0"/>
      <w:marRight w:val="0"/>
      <w:marTop w:val="0"/>
      <w:marBottom w:val="0"/>
      <w:divBdr>
        <w:top w:val="none" w:sz="0" w:space="0" w:color="auto"/>
        <w:left w:val="none" w:sz="0" w:space="0" w:color="auto"/>
        <w:bottom w:val="none" w:sz="0" w:space="0" w:color="auto"/>
        <w:right w:val="none" w:sz="0" w:space="0" w:color="auto"/>
      </w:divBdr>
      <w:divsChild>
        <w:div w:id="1664798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6063245">
      <w:bodyDiv w:val="1"/>
      <w:marLeft w:val="0"/>
      <w:marRight w:val="0"/>
      <w:marTop w:val="0"/>
      <w:marBottom w:val="0"/>
      <w:divBdr>
        <w:top w:val="none" w:sz="0" w:space="0" w:color="auto"/>
        <w:left w:val="none" w:sz="0" w:space="0" w:color="auto"/>
        <w:bottom w:val="none" w:sz="0" w:space="0" w:color="auto"/>
        <w:right w:val="none" w:sz="0" w:space="0" w:color="auto"/>
      </w:divBdr>
      <w:divsChild>
        <w:div w:id="1061752088">
          <w:marLeft w:val="750"/>
          <w:marRight w:val="0"/>
          <w:marTop w:val="0"/>
          <w:marBottom w:val="0"/>
          <w:divBdr>
            <w:top w:val="none" w:sz="0" w:space="0" w:color="auto"/>
            <w:left w:val="none" w:sz="0" w:space="0" w:color="auto"/>
            <w:bottom w:val="none" w:sz="0" w:space="0" w:color="auto"/>
            <w:right w:val="none" w:sz="0" w:space="0" w:color="auto"/>
          </w:divBdr>
        </w:div>
      </w:divsChild>
    </w:div>
    <w:div w:id="1583640399">
      <w:bodyDiv w:val="1"/>
      <w:marLeft w:val="0"/>
      <w:marRight w:val="0"/>
      <w:marTop w:val="0"/>
      <w:marBottom w:val="0"/>
      <w:divBdr>
        <w:top w:val="none" w:sz="0" w:space="0" w:color="auto"/>
        <w:left w:val="none" w:sz="0" w:space="0" w:color="auto"/>
        <w:bottom w:val="none" w:sz="0" w:space="0" w:color="auto"/>
        <w:right w:val="none" w:sz="0" w:space="0" w:color="auto"/>
      </w:divBdr>
      <w:divsChild>
        <w:div w:id="571626638">
          <w:marLeft w:val="150"/>
          <w:marRight w:val="0"/>
          <w:marTop w:val="0"/>
          <w:marBottom w:val="0"/>
          <w:divBdr>
            <w:top w:val="none" w:sz="0" w:space="0" w:color="auto"/>
            <w:left w:val="none" w:sz="0" w:space="0" w:color="auto"/>
            <w:bottom w:val="none" w:sz="0" w:space="0" w:color="auto"/>
            <w:right w:val="none" w:sz="0" w:space="0" w:color="auto"/>
          </w:divBdr>
        </w:div>
      </w:divsChild>
    </w:div>
    <w:div w:id="1608274106">
      <w:bodyDiv w:val="1"/>
      <w:marLeft w:val="0"/>
      <w:marRight w:val="0"/>
      <w:marTop w:val="0"/>
      <w:marBottom w:val="0"/>
      <w:divBdr>
        <w:top w:val="none" w:sz="0" w:space="0" w:color="auto"/>
        <w:left w:val="none" w:sz="0" w:space="0" w:color="auto"/>
        <w:bottom w:val="none" w:sz="0" w:space="0" w:color="auto"/>
        <w:right w:val="none" w:sz="0" w:space="0" w:color="auto"/>
      </w:divBdr>
    </w:div>
    <w:div w:id="1644701810">
      <w:bodyDiv w:val="1"/>
      <w:marLeft w:val="0"/>
      <w:marRight w:val="0"/>
      <w:marTop w:val="0"/>
      <w:marBottom w:val="0"/>
      <w:divBdr>
        <w:top w:val="none" w:sz="0" w:space="0" w:color="auto"/>
        <w:left w:val="none" w:sz="0" w:space="0" w:color="auto"/>
        <w:bottom w:val="none" w:sz="0" w:space="0" w:color="auto"/>
        <w:right w:val="none" w:sz="0" w:space="0" w:color="auto"/>
      </w:divBdr>
    </w:div>
    <w:div w:id="1651515996">
      <w:bodyDiv w:val="1"/>
      <w:marLeft w:val="0"/>
      <w:marRight w:val="0"/>
      <w:marTop w:val="0"/>
      <w:marBottom w:val="0"/>
      <w:divBdr>
        <w:top w:val="none" w:sz="0" w:space="0" w:color="auto"/>
        <w:left w:val="none" w:sz="0" w:space="0" w:color="auto"/>
        <w:bottom w:val="none" w:sz="0" w:space="0" w:color="auto"/>
        <w:right w:val="none" w:sz="0" w:space="0" w:color="auto"/>
      </w:divBdr>
    </w:div>
    <w:div w:id="1661957892">
      <w:bodyDiv w:val="1"/>
      <w:marLeft w:val="0"/>
      <w:marRight w:val="0"/>
      <w:marTop w:val="0"/>
      <w:marBottom w:val="0"/>
      <w:divBdr>
        <w:top w:val="none" w:sz="0" w:space="0" w:color="auto"/>
        <w:left w:val="none" w:sz="0" w:space="0" w:color="auto"/>
        <w:bottom w:val="none" w:sz="0" w:space="0" w:color="auto"/>
        <w:right w:val="none" w:sz="0" w:space="0" w:color="auto"/>
      </w:divBdr>
    </w:div>
    <w:div w:id="1678270300">
      <w:bodyDiv w:val="1"/>
      <w:marLeft w:val="0"/>
      <w:marRight w:val="0"/>
      <w:marTop w:val="0"/>
      <w:marBottom w:val="0"/>
      <w:divBdr>
        <w:top w:val="none" w:sz="0" w:space="0" w:color="auto"/>
        <w:left w:val="none" w:sz="0" w:space="0" w:color="auto"/>
        <w:bottom w:val="none" w:sz="0" w:space="0" w:color="auto"/>
        <w:right w:val="none" w:sz="0" w:space="0" w:color="auto"/>
      </w:divBdr>
    </w:div>
    <w:div w:id="1685548201">
      <w:bodyDiv w:val="1"/>
      <w:marLeft w:val="0"/>
      <w:marRight w:val="0"/>
      <w:marTop w:val="0"/>
      <w:marBottom w:val="0"/>
      <w:divBdr>
        <w:top w:val="none" w:sz="0" w:space="0" w:color="auto"/>
        <w:left w:val="none" w:sz="0" w:space="0" w:color="auto"/>
        <w:bottom w:val="none" w:sz="0" w:space="0" w:color="auto"/>
        <w:right w:val="none" w:sz="0" w:space="0" w:color="auto"/>
      </w:divBdr>
      <w:divsChild>
        <w:div w:id="1183861991">
          <w:marLeft w:val="0"/>
          <w:marRight w:val="0"/>
          <w:marTop w:val="0"/>
          <w:marBottom w:val="0"/>
          <w:divBdr>
            <w:top w:val="none" w:sz="0" w:space="0" w:color="auto"/>
            <w:left w:val="none" w:sz="0" w:space="0" w:color="auto"/>
            <w:bottom w:val="none" w:sz="0" w:space="0" w:color="auto"/>
            <w:right w:val="none" w:sz="0" w:space="0" w:color="auto"/>
          </w:divBdr>
        </w:div>
      </w:divsChild>
    </w:div>
    <w:div w:id="1716269721">
      <w:bodyDiv w:val="1"/>
      <w:marLeft w:val="0"/>
      <w:marRight w:val="0"/>
      <w:marTop w:val="0"/>
      <w:marBottom w:val="0"/>
      <w:divBdr>
        <w:top w:val="none" w:sz="0" w:space="0" w:color="auto"/>
        <w:left w:val="none" w:sz="0" w:space="0" w:color="auto"/>
        <w:bottom w:val="none" w:sz="0" w:space="0" w:color="auto"/>
        <w:right w:val="none" w:sz="0" w:space="0" w:color="auto"/>
      </w:divBdr>
    </w:div>
    <w:div w:id="1724983001">
      <w:bodyDiv w:val="1"/>
      <w:marLeft w:val="0"/>
      <w:marRight w:val="0"/>
      <w:marTop w:val="0"/>
      <w:marBottom w:val="0"/>
      <w:divBdr>
        <w:top w:val="none" w:sz="0" w:space="0" w:color="auto"/>
        <w:left w:val="none" w:sz="0" w:space="0" w:color="auto"/>
        <w:bottom w:val="none" w:sz="0" w:space="0" w:color="auto"/>
        <w:right w:val="none" w:sz="0" w:space="0" w:color="auto"/>
      </w:divBdr>
      <w:divsChild>
        <w:div w:id="1734767250">
          <w:marLeft w:val="600"/>
          <w:marRight w:val="0"/>
          <w:marTop w:val="0"/>
          <w:marBottom w:val="0"/>
          <w:divBdr>
            <w:top w:val="none" w:sz="0" w:space="0" w:color="auto"/>
            <w:left w:val="none" w:sz="0" w:space="0" w:color="auto"/>
            <w:bottom w:val="none" w:sz="0" w:space="0" w:color="auto"/>
            <w:right w:val="none" w:sz="0" w:space="0" w:color="auto"/>
          </w:divBdr>
        </w:div>
      </w:divsChild>
    </w:div>
    <w:div w:id="1763794003">
      <w:bodyDiv w:val="1"/>
      <w:marLeft w:val="0"/>
      <w:marRight w:val="0"/>
      <w:marTop w:val="0"/>
      <w:marBottom w:val="0"/>
      <w:divBdr>
        <w:top w:val="none" w:sz="0" w:space="0" w:color="auto"/>
        <w:left w:val="none" w:sz="0" w:space="0" w:color="auto"/>
        <w:bottom w:val="none" w:sz="0" w:space="0" w:color="auto"/>
        <w:right w:val="none" w:sz="0" w:space="0" w:color="auto"/>
      </w:divBdr>
    </w:div>
    <w:div w:id="1769543923">
      <w:bodyDiv w:val="1"/>
      <w:marLeft w:val="0"/>
      <w:marRight w:val="0"/>
      <w:marTop w:val="0"/>
      <w:marBottom w:val="0"/>
      <w:divBdr>
        <w:top w:val="none" w:sz="0" w:space="0" w:color="auto"/>
        <w:left w:val="none" w:sz="0" w:space="0" w:color="auto"/>
        <w:bottom w:val="none" w:sz="0" w:space="0" w:color="auto"/>
        <w:right w:val="none" w:sz="0" w:space="0" w:color="auto"/>
      </w:divBdr>
    </w:div>
    <w:div w:id="1808087405">
      <w:bodyDiv w:val="1"/>
      <w:marLeft w:val="0"/>
      <w:marRight w:val="0"/>
      <w:marTop w:val="0"/>
      <w:marBottom w:val="0"/>
      <w:divBdr>
        <w:top w:val="none" w:sz="0" w:space="0" w:color="auto"/>
        <w:left w:val="none" w:sz="0" w:space="0" w:color="auto"/>
        <w:bottom w:val="none" w:sz="0" w:space="0" w:color="auto"/>
        <w:right w:val="none" w:sz="0" w:space="0" w:color="auto"/>
      </w:divBdr>
    </w:div>
    <w:div w:id="1816990252">
      <w:bodyDiv w:val="1"/>
      <w:marLeft w:val="0"/>
      <w:marRight w:val="0"/>
      <w:marTop w:val="0"/>
      <w:marBottom w:val="0"/>
      <w:divBdr>
        <w:top w:val="none" w:sz="0" w:space="0" w:color="auto"/>
        <w:left w:val="none" w:sz="0" w:space="0" w:color="auto"/>
        <w:bottom w:val="none" w:sz="0" w:space="0" w:color="auto"/>
        <w:right w:val="none" w:sz="0" w:space="0" w:color="auto"/>
      </w:divBdr>
    </w:div>
    <w:div w:id="1823230572">
      <w:bodyDiv w:val="1"/>
      <w:marLeft w:val="0"/>
      <w:marRight w:val="0"/>
      <w:marTop w:val="0"/>
      <w:marBottom w:val="0"/>
      <w:divBdr>
        <w:top w:val="none" w:sz="0" w:space="0" w:color="auto"/>
        <w:left w:val="none" w:sz="0" w:space="0" w:color="auto"/>
        <w:bottom w:val="none" w:sz="0" w:space="0" w:color="auto"/>
        <w:right w:val="none" w:sz="0" w:space="0" w:color="auto"/>
      </w:divBdr>
      <w:divsChild>
        <w:div w:id="1375499445">
          <w:marLeft w:val="0"/>
          <w:marRight w:val="0"/>
          <w:marTop w:val="0"/>
          <w:marBottom w:val="0"/>
          <w:divBdr>
            <w:top w:val="none" w:sz="0" w:space="0" w:color="auto"/>
            <w:left w:val="none" w:sz="0" w:space="0" w:color="auto"/>
            <w:bottom w:val="none" w:sz="0" w:space="0" w:color="auto"/>
            <w:right w:val="none" w:sz="0" w:space="0" w:color="auto"/>
          </w:divBdr>
        </w:div>
        <w:div w:id="1610039523">
          <w:marLeft w:val="0"/>
          <w:marRight w:val="0"/>
          <w:marTop w:val="0"/>
          <w:marBottom w:val="0"/>
          <w:divBdr>
            <w:top w:val="none" w:sz="0" w:space="0" w:color="auto"/>
            <w:left w:val="none" w:sz="0" w:space="0" w:color="auto"/>
            <w:bottom w:val="none" w:sz="0" w:space="0" w:color="auto"/>
            <w:right w:val="none" w:sz="0" w:space="0" w:color="auto"/>
          </w:divBdr>
        </w:div>
      </w:divsChild>
    </w:div>
    <w:div w:id="1837838297">
      <w:bodyDiv w:val="1"/>
      <w:marLeft w:val="0"/>
      <w:marRight w:val="0"/>
      <w:marTop w:val="0"/>
      <w:marBottom w:val="0"/>
      <w:divBdr>
        <w:top w:val="none" w:sz="0" w:space="0" w:color="auto"/>
        <w:left w:val="none" w:sz="0" w:space="0" w:color="auto"/>
        <w:bottom w:val="none" w:sz="0" w:space="0" w:color="auto"/>
        <w:right w:val="none" w:sz="0" w:space="0" w:color="auto"/>
      </w:divBdr>
      <w:divsChild>
        <w:div w:id="295260404">
          <w:marLeft w:val="0"/>
          <w:marRight w:val="0"/>
          <w:marTop w:val="0"/>
          <w:marBottom w:val="0"/>
          <w:divBdr>
            <w:top w:val="none" w:sz="0" w:space="0" w:color="auto"/>
            <w:left w:val="none" w:sz="0" w:space="0" w:color="auto"/>
            <w:bottom w:val="none" w:sz="0" w:space="0" w:color="auto"/>
            <w:right w:val="none" w:sz="0" w:space="0" w:color="auto"/>
          </w:divBdr>
          <w:divsChild>
            <w:div w:id="278027528">
              <w:marLeft w:val="0"/>
              <w:marRight w:val="0"/>
              <w:marTop w:val="0"/>
              <w:marBottom w:val="0"/>
              <w:divBdr>
                <w:top w:val="none" w:sz="0" w:space="0" w:color="auto"/>
                <w:left w:val="none" w:sz="0" w:space="0" w:color="auto"/>
                <w:bottom w:val="none" w:sz="0" w:space="0" w:color="auto"/>
                <w:right w:val="none" w:sz="0" w:space="0" w:color="auto"/>
              </w:divBdr>
              <w:divsChild>
                <w:div w:id="328170608">
                  <w:marLeft w:val="450"/>
                  <w:marRight w:val="0"/>
                  <w:marTop w:val="0"/>
                  <w:marBottom w:val="0"/>
                  <w:divBdr>
                    <w:top w:val="none" w:sz="0" w:space="0" w:color="auto"/>
                    <w:left w:val="none" w:sz="0" w:space="0" w:color="auto"/>
                    <w:bottom w:val="none" w:sz="0" w:space="0" w:color="auto"/>
                    <w:right w:val="none" w:sz="0" w:space="0" w:color="auto"/>
                  </w:divBdr>
                  <w:divsChild>
                    <w:div w:id="608196761">
                      <w:marLeft w:val="600"/>
                      <w:marRight w:val="0"/>
                      <w:marTop w:val="0"/>
                      <w:marBottom w:val="0"/>
                      <w:divBdr>
                        <w:top w:val="none" w:sz="0" w:space="0" w:color="auto"/>
                        <w:left w:val="none" w:sz="0" w:space="0" w:color="auto"/>
                        <w:bottom w:val="none" w:sz="0" w:space="0" w:color="auto"/>
                        <w:right w:val="none" w:sz="0" w:space="0" w:color="auto"/>
                      </w:divBdr>
                    </w:div>
                    <w:div w:id="2089109473">
                      <w:marLeft w:val="600"/>
                      <w:marRight w:val="0"/>
                      <w:marTop w:val="0"/>
                      <w:marBottom w:val="0"/>
                      <w:divBdr>
                        <w:top w:val="none" w:sz="0" w:space="0" w:color="auto"/>
                        <w:left w:val="none" w:sz="0" w:space="0" w:color="auto"/>
                        <w:bottom w:val="none" w:sz="0" w:space="0" w:color="auto"/>
                        <w:right w:val="none" w:sz="0" w:space="0" w:color="auto"/>
                      </w:divBdr>
                    </w:div>
                  </w:divsChild>
                </w:div>
                <w:div w:id="1269659736">
                  <w:marLeft w:val="450"/>
                  <w:marRight w:val="0"/>
                  <w:marTop w:val="0"/>
                  <w:marBottom w:val="0"/>
                  <w:divBdr>
                    <w:top w:val="none" w:sz="0" w:space="0" w:color="auto"/>
                    <w:left w:val="none" w:sz="0" w:space="0" w:color="auto"/>
                    <w:bottom w:val="none" w:sz="0" w:space="0" w:color="auto"/>
                    <w:right w:val="none" w:sz="0" w:space="0" w:color="auto"/>
                  </w:divBdr>
                </w:div>
                <w:div w:id="2095348413">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 w:id="995453482">
          <w:marLeft w:val="0"/>
          <w:marRight w:val="0"/>
          <w:marTop w:val="0"/>
          <w:marBottom w:val="0"/>
          <w:divBdr>
            <w:top w:val="none" w:sz="0" w:space="0" w:color="auto"/>
            <w:left w:val="none" w:sz="0" w:space="0" w:color="auto"/>
            <w:bottom w:val="none" w:sz="0" w:space="0" w:color="auto"/>
            <w:right w:val="none" w:sz="0" w:space="0" w:color="auto"/>
          </w:divBdr>
          <w:divsChild>
            <w:div w:id="1995060876">
              <w:marLeft w:val="0"/>
              <w:marRight w:val="0"/>
              <w:marTop w:val="0"/>
              <w:marBottom w:val="0"/>
              <w:divBdr>
                <w:top w:val="none" w:sz="0" w:space="0" w:color="auto"/>
                <w:left w:val="none" w:sz="0" w:space="0" w:color="auto"/>
                <w:bottom w:val="none" w:sz="0" w:space="0" w:color="auto"/>
                <w:right w:val="none" w:sz="0" w:space="0" w:color="auto"/>
              </w:divBdr>
              <w:divsChild>
                <w:div w:id="334580050">
                  <w:marLeft w:val="450"/>
                  <w:marRight w:val="0"/>
                  <w:marTop w:val="0"/>
                  <w:marBottom w:val="0"/>
                  <w:divBdr>
                    <w:top w:val="none" w:sz="0" w:space="0" w:color="auto"/>
                    <w:left w:val="none" w:sz="0" w:space="0" w:color="auto"/>
                    <w:bottom w:val="none" w:sz="0" w:space="0" w:color="auto"/>
                    <w:right w:val="none" w:sz="0" w:space="0" w:color="auto"/>
                  </w:divBdr>
                </w:div>
                <w:div w:id="1246722591">
                  <w:marLeft w:val="450"/>
                  <w:marRight w:val="0"/>
                  <w:marTop w:val="0"/>
                  <w:marBottom w:val="0"/>
                  <w:divBdr>
                    <w:top w:val="none" w:sz="0" w:space="0" w:color="auto"/>
                    <w:left w:val="none" w:sz="0" w:space="0" w:color="auto"/>
                    <w:bottom w:val="none" w:sz="0" w:space="0" w:color="auto"/>
                    <w:right w:val="none" w:sz="0" w:space="0" w:color="auto"/>
                  </w:divBdr>
                  <w:divsChild>
                    <w:div w:id="300616673">
                      <w:marLeft w:val="900"/>
                      <w:marRight w:val="0"/>
                      <w:marTop w:val="0"/>
                      <w:marBottom w:val="0"/>
                      <w:divBdr>
                        <w:top w:val="none" w:sz="0" w:space="0" w:color="auto"/>
                        <w:left w:val="none" w:sz="0" w:space="0" w:color="auto"/>
                        <w:bottom w:val="none" w:sz="0" w:space="0" w:color="auto"/>
                        <w:right w:val="none" w:sz="0" w:space="0" w:color="auto"/>
                      </w:divBdr>
                    </w:div>
                    <w:div w:id="400255985">
                      <w:marLeft w:val="900"/>
                      <w:marRight w:val="0"/>
                      <w:marTop w:val="0"/>
                      <w:marBottom w:val="0"/>
                      <w:divBdr>
                        <w:top w:val="none" w:sz="0" w:space="0" w:color="auto"/>
                        <w:left w:val="none" w:sz="0" w:space="0" w:color="auto"/>
                        <w:bottom w:val="none" w:sz="0" w:space="0" w:color="auto"/>
                        <w:right w:val="none" w:sz="0" w:space="0" w:color="auto"/>
                      </w:divBdr>
                    </w:div>
                    <w:div w:id="447431558">
                      <w:marLeft w:val="900"/>
                      <w:marRight w:val="0"/>
                      <w:marTop w:val="0"/>
                      <w:marBottom w:val="0"/>
                      <w:divBdr>
                        <w:top w:val="none" w:sz="0" w:space="0" w:color="auto"/>
                        <w:left w:val="none" w:sz="0" w:space="0" w:color="auto"/>
                        <w:bottom w:val="none" w:sz="0" w:space="0" w:color="auto"/>
                        <w:right w:val="none" w:sz="0" w:space="0" w:color="auto"/>
                      </w:divBdr>
                    </w:div>
                    <w:div w:id="453719416">
                      <w:marLeft w:val="900"/>
                      <w:marRight w:val="0"/>
                      <w:marTop w:val="0"/>
                      <w:marBottom w:val="0"/>
                      <w:divBdr>
                        <w:top w:val="none" w:sz="0" w:space="0" w:color="auto"/>
                        <w:left w:val="none" w:sz="0" w:space="0" w:color="auto"/>
                        <w:bottom w:val="none" w:sz="0" w:space="0" w:color="auto"/>
                        <w:right w:val="none" w:sz="0" w:space="0" w:color="auto"/>
                      </w:divBdr>
                    </w:div>
                    <w:div w:id="478231320">
                      <w:marLeft w:val="900"/>
                      <w:marRight w:val="0"/>
                      <w:marTop w:val="0"/>
                      <w:marBottom w:val="0"/>
                      <w:divBdr>
                        <w:top w:val="none" w:sz="0" w:space="0" w:color="auto"/>
                        <w:left w:val="none" w:sz="0" w:space="0" w:color="auto"/>
                        <w:bottom w:val="none" w:sz="0" w:space="0" w:color="auto"/>
                        <w:right w:val="none" w:sz="0" w:space="0" w:color="auto"/>
                      </w:divBdr>
                    </w:div>
                    <w:div w:id="618337342">
                      <w:marLeft w:val="900"/>
                      <w:marRight w:val="0"/>
                      <w:marTop w:val="0"/>
                      <w:marBottom w:val="0"/>
                      <w:divBdr>
                        <w:top w:val="none" w:sz="0" w:space="0" w:color="auto"/>
                        <w:left w:val="none" w:sz="0" w:space="0" w:color="auto"/>
                        <w:bottom w:val="none" w:sz="0" w:space="0" w:color="auto"/>
                        <w:right w:val="none" w:sz="0" w:space="0" w:color="auto"/>
                      </w:divBdr>
                    </w:div>
                    <w:div w:id="1014845336">
                      <w:marLeft w:val="900"/>
                      <w:marRight w:val="0"/>
                      <w:marTop w:val="0"/>
                      <w:marBottom w:val="0"/>
                      <w:divBdr>
                        <w:top w:val="none" w:sz="0" w:space="0" w:color="auto"/>
                        <w:left w:val="none" w:sz="0" w:space="0" w:color="auto"/>
                        <w:bottom w:val="none" w:sz="0" w:space="0" w:color="auto"/>
                        <w:right w:val="none" w:sz="0" w:space="0" w:color="auto"/>
                      </w:divBdr>
                    </w:div>
                    <w:div w:id="1047610762">
                      <w:marLeft w:val="900"/>
                      <w:marRight w:val="0"/>
                      <w:marTop w:val="0"/>
                      <w:marBottom w:val="0"/>
                      <w:divBdr>
                        <w:top w:val="none" w:sz="0" w:space="0" w:color="auto"/>
                        <w:left w:val="none" w:sz="0" w:space="0" w:color="auto"/>
                        <w:bottom w:val="none" w:sz="0" w:space="0" w:color="auto"/>
                        <w:right w:val="none" w:sz="0" w:space="0" w:color="auto"/>
                      </w:divBdr>
                    </w:div>
                    <w:div w:id="1265453312">
                      <w:marLeft w:val="900"/>
                      <w:marRight w:val="0"/>
                      <w:marTop w:val="0"/>
                      <w:marBottom w:val="0"/>
                      <w:divBdr>
                        <w:top w:val="none" w:sz="0" w:space="0" w:color="auto"/>
                        <w:left w:val="none" w:sz="0" w:space="0" w:color="auto"/>
                        <w:bottom w:val="none" w:sz="0" w:space="0" w:color="auto"/>
                        <w:right w:val="none" w:sz="0" w:space="0" w:color="auto"/>
                      </w:divBdr>
                    </w:div>
                    <w:div w:id="1307316141">
                      <w:marLeft w:val="900"/>
                      <w:marRight w:val="0"/>
                      <w:marTop w:val="0"/>
                      <w:marBottom w:val="0"/>
                      <w:divBdr>
                        <w:top w:val="none" w:sz="0" w:space="0" w:color="auto"/>
                        <w:left w:val="none" w:sz="0" w:space="0" w:color="auto"/>
                        <w:bottom w:val="none" w:sz="0" w:space="0" w:color="auto"/>
                        <w:right w:val="none" w:sz="0" w:space="0" w:color="auto"/>
                      </w:divBdr>
                    </w:div>
                    <w:div w:id="1440102977">
                      <w:marLeft w:val="900"/>
                      <w:marRight w:val="0"/>
                      <w:marTop w:val="0"/>
                      <w:marBottom w:val="0"/>
                      <w:divBdr>
                        <w:top w:val="none" w:sz="0" w:space="0" w:color="auto"/>
                        <w:left w:val="none" w:sz="0" w:space="0" w:color="auto"/>
                        <w:bottom w:val="none" w:sz="0" w:space="0" w:color="auto"/>
                        <w:right w:val="none" w:sz="0" w:space="0" w:color="auto"/>
                      </w:divBdr>
                    </w:div>
                    <w:div w:id="1681463576">
                      <w:marLeft w:val="900"/>
                      <w:marRight w:val="0"/>
                      <w:marTop w:val="0"/>
                      <w:marBottom w:val="0"/>
                      <w:divBdr>
                        <w:top w:val="none" w:sz="0" w:space="0" w:color="auto"/>
                        <w:left w:val="none" w:sz="0" w:space="0" w:color="auto"/>
                        <w:bottom w:val="none" w:sz="0" w:space="0" w:color="auto"/>
                        <w:right w:val="none" w:sz="0" w:space="0" w:color="auto"/>
                      </w:divBdr>
                    </w:div>
                    <w:div w:id="1708018094">
                      <w:marLeft w:val="900"/>
                      <w:marRight w:val="0"/>
                      <w:marTop w:val="0"/>
                      <w:marBottom w:val="0"/>
                      <w:divBdr>
                        <w:top w:val="none" w:sz="0" w:space="0" w:color="auto"/>
                        <w:left w:val="none" w:sz="0" w:space="0" w:color="auto"/>
                        <w:bottom w:val="none" w:sz="0" w:space="0" w:color="auto"/>
                        <w:right w:val="none" w:sz="0" w:space="0" w:color="auto"/>
                      </w:divBdr>
                    </w:div>
                  </w:divsChild>
                </w:div>
                <w:div w:id="1532066064">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268384">
      <w:bodyDiv w:val="1"/>
      <w:marLeft w:val="0"/>
      <w:marRight w:val="0"/>
      <w:marTop w:val="0"/>
      <w:marBottom w:val="0"/>
      <w:divBdr>
        <w:top w:val="none" w:sz="0" w:space="0" w:color="auto"/>
        <w:left w:val="none" w:sz="0" w:space="0" w:color="auto"/>
        <w:bottom w:val="none" w:sz="0" w:space="0" w:color="auto"/>
        <w:right w:val="none" w:sz="0" w:space="0" w:color="auto"/>
      </w:divBdr>
      <w:divsChild>
        <w:div w:id="17019344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98123697">
      <w:bodyDiv w:val="1"/>
      <w:marLeft w:val="0"/>
      <w:marRight w:val="0"/>
      <w:marTop w:val="0"/>
      <w:marBottom w:val="0"/>
      <w:divBdr>
        <w:top w:val="none" w:sz="0" w:space="0" w:color="auto"/>
        <w:left w:val="none" w:sz="0" w:space="0" w:color="auto"/>
        <w:bottom w:val="none" w:sz="0" w:space="0" w:color="auto"/>
        <w:right w:val="none" w:sz="0" w:space="0" w:color="auto"/>
      </w:divBdr>
    </w:div>
    <w:div w:id="1908613941">
      <w:bodyDiv w:val="1"/>
      <w:marLeft w:val="0"/>
      <w:marRight w:val="0"/>
      <w:marTop w:val="0"/>
      <w:marBottom w:val="0"/>
      <w:divBdr>
        <w:top w:val="none" w:sz="0" w:space="0" w:color="auto"/>
        <w:left w:val="none" w:sz="0" w:space="0" w:color="auto"/>
        <w:bottom w:val="none" w:sz="0" w:space="0" w:color="auto"/>
        <w:right w:val="none" w:sz="0" w:space="0" w:color="auto"/>
      </w:divBdr>
      <w:divsChild>
        <w:div w:id="498036767">
          <w:marLeft w:val="450"/>
          <w:marRight w:val="0"/>
          <w:marTop w:val="0"/>
          <w:marBottom w:val="0"/>
          <w:divBdr>
            <w:top w:val="none" w:sz="0" w:space="0" w:color="auto"/>
            <w:left w:val="none" w:sz="0" w:space="0" w:color="auto"/>
            <w:bottom w:val="none" w:sz="0" w:space="0" w:color="auto"/>
            <w:right w:val="none" w:sz="0" w:space="0" w:color="auto"/>
          </w:divBdr>
        </w:div>
        <w:div w:id="2058820109">
          <w:marLeft w:val="450"/>
          <w:marRight w:val="0"/>
          <w:marTop w:val="0"/>
          <w:marBottom w:val="0"/>
          <w:divBdr>
            <w:top w:val="none" w:sz="0" w:space="0" w:color="auto"/>
            <w:left w:val="none" w:sz="0" w:space="0" w:color="auto"/>
            <w:bottom w:val="none" w:sz="0" w:space="0" w:color="auto"/>
            <w:right w:val="none" w:sz="0" w:space="0" w:color="auto"/>
          </w:divBdr>
        </w:div>
      </w:divsChild>
    </w:div>
    <w:div w:id="1921670628">
      <w:bodyDiv w:val="1"/>
      <w:marLeft w:val="0"/>
      <w:marRight w:val="0"/>
      <w:marTop w:val="0"/>
      <w:marBottom w:val="0"/>
      <w:divBdr>
        <w:top w:val="none" w:sz="0" w:space="0" w:color="auto"/>
        <w:left w:val="none" w:sz="0" w:space="0" w:color="auto"/>
        <w:bottom w:val="none" w:sz="0" w:space="0" w:color="auto"/>
        <w:right w:val="none" w:sz="0" w:space="0" w:color="auto"/>
      </w:divBdr>
    </w:div>
    <w:div w:id="1924339314">
      <w:bodyDiv w:val="1"/>
      <w:marLeft w:val="0"/>
      <w:marRight w:val="0"/>
      <w:marTop w:val="0"/>
      <w:marBottom w:val="0"/>
      <w:divBdr>
        <w:top w:val="none" w:sz="0" w:space="0" w:color="auto"/>
        <w:left w:val="none" w:sz="0" w:space="0" w:color="auto"/>
        <w:bottom w:val="none" w:sz="0" w:space="0" w:color="auto"/>
        <w:right w:val="none" w:sz="0" w:space="0" w:color="auto"/>
      </w:divBdr>
    </w:div>
    <w:div w:id="1926261436">
      <w:bodyDiv w:val="1"/>
      <w:marLeft w:val="0"/>
      <w:marRight w:val="0"/>
      <w:marTop w:val="0"/>
      <w:marBottom w:val="0"/>
      <w:divBdr>
        <w:top w:val="none" w:sz="0" w:space="0" w:color="auto"/>
        <w:left w:val="none" w:sz="0" w:space="0" w:color="auto"/>
        <w:bottom w:val="none" w:sz="0" w:space="0" w:color="auto"/>
        <w:right w:val="none" w:sz="0" w:space="0" w:color="auto"/>
      </w:divBdr>
    </w:div>
    <w:div w:id="1927811456">
      <w:bodyDiv w:val="1"/>
      <w:marLeft w:val="0"/>
      <w:marRight w:val="0"/>
      <w:marTop w:val="0"/>
      <w:marBottom w:val="0"/>
      <w:divBdr>
        <w:top w:val="none" w:sz="0" w:space="0" w:color="auto"/>
        <w:left w:val="none" w:sz="0" w:space="0" w:color="auto"/>
        <w:bottom w:val="none" w:sz="0" w:space="0" w:color="auto"/>
        <w:right w:val="none" w:sz="0" w:space="0" w:color="auto"/>
      </w:divBdr>
      <w:divsChild>
        <w:div w:id="1891531397">
          <w:marLeft w:val="450"/>
          <w:marRight w:val="0"/>
          <w:marTop w:val="0"/>
          <w:marBottom w:val="0"/>
          <w:divBdr>
            <w:top w:val="none" w:sz="0" w:space="0" w:color="auto"/>
            <w:left w:val="none" w:sz="0" w:space="0" w:color="auto"/>
            <w:bottom w:val="none" w:sz="0" w:space="0" w:color="auto"/>
            <w:right w:val="none" w:sz="0" w:space="0" w:color="auto"/>
          </w:divBdr>
        </w:div>
      </w:divsChild>
    </w:div>
    <w:div w:id="1947039748">
      <w:bodyDiv w:val="1"/>
      <w:marLeft w:val="0"/>
      <w:marRight w:val="0"/>
      <w:marTop w:val="0"/>
      <w:marBottom w:val="0"/>
      <w:divBdr>
        <w:top w:val="none" w:sz="0" w:space="0" w:color="auto"/>
        <w:left w:val="none" w:sz="0" w:space="0" w:color="auto"/>
        <w:bottom w:val="none" w:sz="0" w:space="0" w:color="auto"/>
        <w:right w:val="none" w:sz="0" w:space="0" w:color="auto"/>
      </w:divBdr>
    </w:div>
    <w:div w:id="1977249149">
      <w:bodyDiv w:val="1"/>
      <w:marLeft w:val="0"/>
      <w:marRight w:val="0"/>
      <w:marTop w:val="0"/>
      <w:marBottom w:val="0"/>
      <w:divBdr>
        <w:top w:val="none" w:sz="0" w:space="0" w:color="auto"/>
        <w:left w:val="none" w:sz="0" w:space="0" w:color="auto"/>
        <w:bottom w:val="none" w:sz="0" w:space="0" w:color="auto"/>
        <w:right w:val="none" w:sz="0" w:space="0" w:color="auto"/>
      </w:divBdr>
      <w:divsChild>
        <w:div w:id="367686357">
          <w:marLeft w:val="0"/>
          <w:marRight w:val="0"/>
          <w:marTop w:val="0"/>
          <w:marBottom w:val="0"/>
          <w:divBdr>
            <w:top w:val="none" w:sz="0" w:space="0" w:color="auto"/>
            <w:left w:val="none" w:sz="0" w:space="0" w:color="auto"/>
            <w:bottom w:val="none" w:sz="0" w:space="0" w:color="auto"/>
            <w:right w:val="none" w:sz="0" w:space="0" w:color="auto"/>
          </w:divBdr>
          <w:divsChild>
            <w:div w:id="736132812">
              <w:marLeft w:val="0"/>
              <w:marRight w:val="0"/>
              <w:marTop w:val="0"/>
              <w:marBottom w:val="0"/>
              <w:divBdr>
                <w:top w:val="none" w:sz="0" w:space="0" w:color="auto"/>
                <w:left w:val="none" w:sz="0" w:space="0" w:color="auto"/>
                <w:bottom w:val="none" w:sz="0" w:space="0" w:color="auto"/>
                <w:right w:val="none" w:sz="0" w:space="0" w:color="auto"/>
              </w:divBdr>
              <w:divsChild>
                <w:div w:id="1376613222">
                  <w:marLeft w:val="450"/>
                  <w:marRight w:val="0"/>
                  <w:marTop w:val="0"/>
                  <w:marBottom w:val="0"/>
                  <w:divBdr>
                    <w:top w:val="none" w:sz="0" w:space="0" w:color="auto"/>
                    <w:left w:val="none" w:sz="0" w:space="0" w:color="auto"/>
                    <w:bottom w:val="none" w:sz="0" w:space="0" w:color="auto"/>
                    <w:right w:val="none" w:sz="0" w:space="0" w:color="auto"/>
                  </w:divBdr>
                  <w:divsChild>
                    <w:div w:id="438645378">
                      <w:marLeft w:val="750"/>
                      <w:marRight w:val="0"/>
                      <w:marTop w:val="0"/>
                      <w:marBottom w:val="0"/>
                      <w:divBdr>
                        <w:top w:val="none" w:sz="0" w:space="0" w:color="auto"/>
                        <w:left w:val="none" w:sz="0" w:space="0" w:color="auto"/>
                        <w:bottom w:val="none" w:sz="0" w:space="0" w:color="auto"/>
                        <w:right w:val="none" w:sz="0" w:space="0" w:color="auto"/>
                      </w:divBdr>
                    </w:div>
                    <w:div w:id="1085763921">
                      <w:marLeft w:val="750"/>
                      <w:marRight w:val="0"/>
                      <w:marTop w:val="0"/>
                      <w:marBottom w:val="0"/>
                      <w:divBdr>
                        <w:top w:val="none" w:sz="0" w:space="0" w:color="auto"/>
                        <w:left w:val="none" w:sz="0" w:space="0" w:color="auto"/>
                        <w:bottom w:val="none" w:sz="0" w:space="0" w:color="auto"/>
                        <w:right w:val="none" w:sz="0" w:space="0" w:color="auto"/>
                      </w:divBdr>
                    </w:div>
                    <w:div w:id="1106390623">
                      <w:marLeft w:val="750"/>
                      <w:marRight w:val="0"/>
                      <w:marTop w:val="0"/>
                      <w:marBottom w:val="0"/>
                      <w:divBdr>
                        <w:top w:val="none" w:sz="0" w:space="0" w:color="auto"/>
                        <w:left w:val="none" w:sz="0" w:space="0" w:color="auto"/>
                        <w:bottom w:val="none" w:sz="0" w:space="0" w:color="auto"/>
                        <w:right w:val="none" w:sz="0" w:space="0" w:color="auto"/>
                      </w:divBdr>
                    </w:div>
                  </w:divsChild>
                </w:div>
                <w:div w:id="1405293581">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 w:id="1288393947">
          <w:marLeft w:val="0"/>
          <w:marRight w:val="0"/>
          <w:marTop w:val="0"/>
          <w:marBottom w:val="0"/>
          <w:divBdr>
            <w:top w:val="none" w:sz="0" w:space="0" w:color="auto"/>
            <w:left w:val="none" w:sz="0" w:space="0" w:color="auto"/>
            <w:bottom w:val="none" w:sz="0" w:space="0" w:color="auto"/>
            <w:right w:val="none" w:sz="0" w:space="0" w:color="auto"/>
          </w:divBdr>
          <w:divsChild>
            <w:div w:id="291329242">
              <w:marLeft w:val="0"/>
              <w:marRight w:val="0"/>
              <w:marTop w:val="0"/>
              <w:marBottom w:val="0"/>
              <w:divBdr>
                <w:top w:val="none" w:sz="0" w:space="0" w:color="auto"/>
                <w:left w:val="none" w:sz="0" w:space="0" w:color="auto"/>
                <w:bottom w:val="none" w:sz="0" w:space="0" w:color="auto"/>
                <w:right w:val="none" w:sz="0" w:space="0" w:color="auto"/>
              </w:divBdr>
            </w:div>
          </w:divsChild>
        </w:div>
        <w:div w:id="1899707268">
          <w:marLeft w:val="0"/>
          <w:marRight w:val="0"/>
          <w:marTop w:val="0"/>
          <w:marBottom w:val="0"/>
          <w:divBdr>
            <w:top w:val="none" w:sz="0" w:space="0" w:color="auto"/>
            <w:left w:val="none" w:sz="0" w:space="0" w:color="auto"/>
            <w:bottom w:val="none" w:sz="0" w:space="0" w:color="auto"/>
            <w:right w:val="none" w:sz="0" w:space="0" w:color="auto"/>
          </w:divBdr>
          <w:divsChild>
            <w:div w:id="1871185756">
              <w:marLeft w:val="0"/>
              <w:marRight w:val="0"/>
              <w:marTop w:val="0"/>
              <w:marBottom w:val="0"/>
              <w:divBdr>
                <w:top w:val="none" w:sz="0" w:space="0" w:color="auto"/>
                <w:left w:val="none" w:sz="0" w:space="0" w:color="auto"/>
                <w:bottom w:val="none" w:sz="0" w:space="0" w:color="auto"/>
                <w:right w:val="none" w:sz="0" w:space="0" w:color="auto"/>
              </w:divBdr>
              <w:divsChild>
                <w:div w:id="259877172">
                  <w:marLeft w:val="450"/>
                  <w:marRight w:val="0"/>
                  <w:marTop w:val="0"/>
                  <w:marBottom w:val="0"/>
                  <w:divBdr>
                    <w:top w:val="none" w:sz="0" w:space="0" w:color="auto"/>
                    <w:left w:val="none" w:sz="0" w:space="0" w:color="auto"/>
                    <w:bottom w:val="none" w:sz="0" w:space="0" w:color="auto"/>
                    <w:right w:val="none" w:sz="0" w:space="0" w:color="auto"/>
                  </w:divBdr>
                </w:div>
                <w:div w:id="452212919">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102135">
      <w:bodyDiv w:val="1"/>
      <w:marLeft w:val="0"/>
      <w:marRight w:val="0"/>
      <w:marTop w:val="0"/>
      <w:marBottom w:val="0"/>
      <w:divBdr>
        <w:top w:val="none" w:sz="0" w:space="0" w:color="auto"/>
        <w:left w:val="none" w:sz="0" w:space="0" w:color="auto"/>
        <w:bottom w:val="none" w:sz="0" w:space="0" w:color="auto"/>
        <w:right w:val="none" w:sz="0" w:space="0" w:color="auto"/>
      </w:divBdr>
    </w:div>
    <w:div w:id="2081706764">
      <w:bodyDiv w:val="1"/>
      <w:marLeft w:val="0"/>
      <w:marRight w:val="0"/>
      <w:marTop w:val="0"/>
      <w:marBottom w:val="0"/>
      <w:divBdr>
        <w:top w:val="none" w:sz="0" w:space="0" w:color="auto"/>
        <w:left w:val="none" w:sz="0" w:space="0" w:color="auto"/>
        <w:bottom w:val="none" w:sz="0" w:space="0" w:color="auto"/>
        <w:right w:val="none" w:sz="0" w:space="0" w:color="auto"/>
      </w:divBdr>
    </w:div>
    <w:div w:id="2083797246">
      <w:bodyDiv w:val="1"/>
      <w:marLeft w:val="0"/>
      <w:marRight w:val="0"/>
      <w:marTop w:val="0"/>
      <w:marBottom w:val="0"/>
      <w:divBdr>
        <w:top w:val="none" w:sz="0" w:space="0" w:color="auto"/>
        <w:left w:val="none" w:sz="0" w:space="0" w:color="auto"/>
        <w:bottom w:val="none" w:sz="0" w:space="0" w:color="auto"/>
        <w:right w:val="none" w:sz="0" w:space="0" w:color="auto"/>
      </w:divBdr>
    </w:div>
    <w:div w:id="2101562312">
      <w:bodyDiv w:val="1"/>
      <w:marLeft w:val="0"/>
      <w:marRight w:val="0"/>
      <w:marTop w:val="0"/>
      <w:marBottom w:val="0"/>
      <w:divBdr>
        <w:top w:val="none" w:sz="0" w:space="0" w:color="auto"/>
        <w:left w:val="none" w:sz="0" w:space="0" w:color="auto"/>
        <w:bottom w:val="none" w:sz="0" w:space="0" w:color="auto"/>
        <w:right w:val="none" w:sz="0" w:space="0" w:color="auto"/>
      </w:divBdr>
      <w:divsChild>
        <w:div w:id="166675300">
          <w:marLeft w:val="576"/>
          <w:marRight w:val="0"/>
          <w:marTop w:val="86"/>
          <w:marBottom w:val="0"/>
          <w:divBdr>
            <w:top w:val="none" w:sz="0" w:space="0" w:color="auto"/>
            <w:left w:val="none" w:sz="0" w:space="0" w:color="auto"/>
            <w:bottom w:val="none" w:sz="0" w:space="0" w:color="auto"/>
            <w:right w:val="none" w:sz="0" w:space="0" w:color="auto"/>
          </w:divBdr>
        </w:div>
        <w:div w:id="1470396512">
          <w:marLeft w:val="576"/>
          <w:marRight w:val="0"/>
          <w:marTop w:val="86"/>
          <w:marBottom w:val="0"/>
          <w:divBdr>
            <w:top w:val="none" w:sz="0" w:space="0" w:color="auto"/>
            <w:left w:val="none" w:sz="0" w:space="0" w:color="auto"/>
            <w:bottom w:val="none" w:sz="0" w:space="0" w:color="auto"/>
            <w:right w:val="none" w:sz="0" w:space="0" w:color="auto"/>
          </w:divBdr>
        </w:div>
        <w:div w:id="1685936546">
          <w:marLeft w:val="576"/>
          <w:marRight w:val="0"/>
          <w:marTop w:val="86"/>
          <w:marBottom w:val="0"/>
          <w:divBdr>
            <w:top w:val="none" w:sz="0" w:space="0" w:color="auto"/>
            <w:left w:val="none" w:sz="0" w:space="0" w:color="auto"/>
            <w:bottom w:val="none" w:sz="0" w:space="0" w:color="auto"/>
            <w:right w:val="none" w:sz="0" w:space="0" w:color="auto"/>
          </w:divBdr>
        </w:div>
        <w:div w:id="2009601362">
          <w:marLeft w:val="576"/>
          <w:marRight w:val="0"/>
          <w:marTop w:val="86"/>
          <w:marBottom w:val="0"/>
          <w:divBdr>
            <w:top w:val="none" w:sz="0" w:space="0" w:color="auto"/>
            <w:left w:val="none" w:sz="0" w:space="0" w:color="auto"/>
            <w:bottom w:val="none" w:sz="0" w:space="0" w:color="auto"/>
            <w:right w:val="none" w:sz="0" w:space="0" w:color="auto"/>
          </w:divBdr>
        </w:div>
      </w:divsChild>
    </w:div>
    <w:div w:id="2105606982">
      <w:bodyDiv w:val="1"/>
      <w:marLeft w:val="0"/>
      <w:marRight w:val="0"/>
      <w:marTop w:val="0"/>
      <w:marBottom w:val="0"/>
      <w:divBdr>
        <w:top w:val="none" w:sz="0" w:space="0" w:color="auto"/>
        <w:left w:val="none" w:sz="0" w:space="0" w:color="auto"/>
        <w:bottom w:val="none" w:sz="0" w:space="0" w:color="auto"/>
        <w:right w:val="none" w:sz="0" w:space="0" w:color="auto"/>
      </w:divBdr>
    </w:div>
    <w:div w:id="2137867836">
      <w:bodyDiv w:val="1"/>
      <w:marLeft w:val="0"/>
      <w:marRight w:val="0"/>
      <w:marTop w:val="0"/>
      <w:marBottom w:val="0"/>
      <w:divBdr>
        <w:top w:val="none" w:sz="0" w:space="0" w:color="auto"/>
        <w:left w:val="none" w:sz="0" w:space="0" w:color="auto"/>
        <w:bottom w:val="none" w:sz="0" w:space="0" w:color="auto"/>
        <w:right w:val="none" w:sz="0" w:space="0" w:color="auto"/>
      </w:divBdr>
    </w:div>
    <w:div w:id="2139496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cdpp.gov.au" TargetMode="External"/><Relationship Id="rId18" Type="http://schemas.openxmlformats.org/officeDocument/2006/relationships/hyperlink" Target="http://www.austlii.edu.au/cgi-bin/viewdoc/au/legis/act/consol_act/ca2005182/s8.html" TargetMode="External"/><Relationship Id="rId26" Type="http://schemas.openxmlformats.org/officeDocument/2006/relationships/hyperlink" Target="http://www.lexisnexis.com/au/legal/search/enhRunRemoteLink.do?ersKey=23_T26564342084&amp;backKey=20_T26564342087&amp;homeCsi=267945&amp;A=0.9623653966330148&amp;urlEnc=ISO-8859-1&amp;&amp;dpsi=007Z&amp;remotekey1=REFPTID&amp;refpt=CLF.CRIMES.CRIMA14.S20AB.1AA.A&amp;service=DOC-ID&amp;origdpsi=007Z" TargetMode="External"/><Relationship Id="rId3" Type="http://schemas.openxmlformats.org/officeDocument/2006/relationships/styles" Target="styles.xml"/><Relationship Id="rId21" Type="http://schemas.openxmlformats.org/officeDocument/2006/relationships/header" Target="header9.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7.xml"/><Relationship Id="rId25" Type="http://schemas.openxmlformats.org/officeDocument/2006/relationships/footer" Target="footer5.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eader" Target="header8.xml"/><Relationship Id="rId29" Type="http://schemas.openxmlformats.org/officeDocument/2006/relationships/hyperlink" Target="http://www.lexisnexis.com/au/legal/search/enhRunRemoteLink.do?ersKey=23_T26564342084&amp;backKey=20_T26564342087&amp;homeCsi=267945&amp;A=0.9623653966330148&amp;urlEnc=ISO-8859-1&amp;&amp;dpsi=007Z&amp;remotekey1=REFPTID&amp;refpt=CLF.CRIMES.CRIMA14.S20AB.1AA.A&amp;service=DOC-ID&amp;origdpsi=007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10.xml"/><Relationship Id="rId32" Type="http://schemas.openxmlformats.org/officeDocument/2006/relationships/header" Target="header1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footer" Target="footer4.xml"/><Relationship Id="rId28" Type="http://schemas.openxmlformats.org/officeDocument/2006/relationships/hyperlink" Target="http://www.lexisnexis.com/au/legal/search/enhRunRemoteLink.do?ersKey=23_T26564342084&amp;backKey=20_T26564342087&amp;homeCsi=267945&amp;A=0.9623653966330148&amp;urlEnc=ISO-8859-1&amp;&amp;dpsi=007Z&amp;remotekey1=REFPTID&amp;refpt=CLF.CRIMES.CRIMA14.S20AB.1AA.A&amp;service=DOC-ID&amp;origdpsi=007Z" TargetMode="External"/><Relationship Id="rId10" Type="http://schemas.openxmlformats.org/officeDocument/2006/relationships/footer" Target="footer1.xml"/><Relationship Id="rId19" Type="http://schemas.openxmlformats.org/officeDocument/2006/relationships/hyperlink" Target="http://www.austlii.edu.au/cgi-bin/viewdoc/au/legis/act/consol_act/ca2005182/s35.html" TargetMode="External"/><Relationship Id="rId31" Type="http://schemas.openxmlformats.org/officeDocument/2006/relationships/hyperlink" Target="http://www.austlii.edu.au/cgi-bin/viewdoc/au/legis/vic/consol_act/sa1991121/s83d.html"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oter" Target="footer3.xml"/><Relationship Id="rId27" Type="http://schemas.openxmlformats.org/officeDocument/2006/relationships/hyperlink" Target="http://www.lexisnexis.com/au/legal/search/enhRunRemoteLink.do?ersKey=23_T26564342084&amp;backKey=20_T26564342087&amp;homeCsi=267945&amp;A=0.9623653966330148&amp;urlEnc=ISO-8859-1&amp;&amp;dpsi=007Z&amp;remotekey1=REFPTID&amp;refpt=CLF.CRIMES.CRIMA14.S20AB.1AA.A&amp;service=DOC-ID&amp;origdpsi=007Z" TargetMode="External"/><Relationship Id="rId30" Type="http://schemas.openxmlformats.org/officeDocument/2006/relationships/hyperlink" Target="https://advance.lexis.com/document/?pdmfid=1201008&amp;crid=c6668545-0e71-43ee-8b34-16f55d70c03e&amp;pddocfullpath=%2Fshared%2Fdocument%2Fanalytical-materials-au%2Furn%3AcontentItem%3A5W6S-C581-JC0G-635G-00000-00&amp;pdtocnodeidentifier=AAJAAEAAMAADAAC&amp;ecomp=txptk&amp;prid=fd89f70e-cefd-420f-b11e-451ebe1f35a9"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advance.lexis.com/document/documentlink/?pdmfid=1201009&amp;crid=0c8ca9f8-9f51-462d-b6cb-43519e24b25c&amp;pddocfullpath=%2Fshared%2Fdocument%2Fcases-au%2Furn%3AcontentItem%3A5HKF-9PR1-JNY7-X30B-00000-00&amp;pdcontentcomponentid=267712&amp;pddoctitle=BC201512204&amp;ecomp=Lgpck&amp;prid=b40f53a9-c652-4d88-933d-1a9cc8fb33f5" TargetMode="External"/><Relationship Id="rId3" Type="http://schemas.openxmlformats.org/officeDocument/2006/relationships/hyperlink" Target="https://advance.lexis.com/document/documentlink/?pdmfid=1201008&amp;crid=d9466aef-6ab3-49c6-8ea6-c38e8bf72559&amp;pddocfullpath=%2Fshared%2Fdocument%2Fcases-au%2Furn%3AcontentItem%3A5P14-HT11-JB2B-S1SN-00000-00&amp;pdcontentcomponentid=267706&amp;pddoctitle=BC201705312&amp;pdproductcontenttypeid=urn%3Apct%3A170&amp;pdiskwicview=false&amp;ecomp=55n5k&amp;prid=425ca561-d06c-4ca4-b4d8-9ad2015bf47d" TargetMode="External"/><Relationship Id="rId7" Type="http://schemas.openxmlformats.org/officeDocument/2006/relationships/hyperlink" Target="http://www.austlii.edu.au/cgi-bin/viewdoc/au/cases/nsw/NSWCCA/2006/381.html" TargetMode="External"/><Relationship Id="rId2" Type="http://schemas.openxmlformats.org/officeDocument/2006/relationships/hyperlink" Target="https://advance.lexis.com/document/documentlink/?pdmfid=1201008&amp;crid=d9466aef-6ab3-49c6-8ea6-c38e8bf72559&amp;pddocfullpath=%2Fshared%2Fdocument%2Fcases-au%2Furn%3AcontentItem%3A5P14-HT11-JB2B-S1SN-00000-00&amp;pdcontentcomponentid=267706&amp;pddoctitle=BC201705312&amp;pdproductcontenttypeid=urn%3Apct%3A170&amp;pdiskwicview=false&amp;ecomp=55n5k&amp;prid=425ca561-d06c-4ca4-b4d8-9ad2015bf47d" TargetMode="External"/><Relationship Id="rId1" Type="http://schemas.openxmlformats.org/officeDocument/2006/relationships/hyperlink" Target="https://advance.lexis.com/document/documentlink/?pdmfid=1201008&amp;crid=d9466aef-6ab3-49c6-8ea6-c38e8bf72559&amp;pddocfullpath=%2Fshared%2Fdocument%2Fcases-au%2Furn%3AcontentItem%3A5P14-HT11-JB2B-S1SN-00000-00&amp;pdcontentcomponentid=267706&amp;pddoctitle=BC201705312&amp;pdproductcontenttypeid=urn%3Apct%3A170&amp;pdiskwicview=false&amp;ecomp=55n5k&amp;prid=425ca561-d06c-4ca4-b4d8-9ad2015bf47d" TargetMode="External"/><Relationship Id="rId6" Type="http://schemas.openxmlformats.org/officeDocument/2006/relationships/hyperlink" Target="http://www.austlii.edu.au/cgi-bin/viewdoc/au/cases/nsw/NSWCCA/2006/381.html" TargetMode="External"/><Relationship Id="rId5" Type="http://schemas.openxmlformats.org/officeDocument/2006/relationships/hyperlink" Target="http://www.austlii.edu.au/cgi-bin/viewdoc/au/cases/nsw/NSWCCA/2005/55.html" TargetMode="External"/><Relationship Id="rId4" Type="http://schemas.openxmlformats.org/officeDocument/2006/relationships/hyperlink" Target="http://www.austlii.edu.au/cgi-bin/viewdoc/au/cases/nsw/NSWCCA/2005/55.html" TargetMode="External"/><Relationship Id="rId9" Type="http://schemas.openxmlformats.org/officeDocument/2006/relationships/hyperlink" Target="https://advance.lexis.com/document/documentlink/?pdmfid=1201009&amp;crid=0c8ca9f8-9f51-462d-b6cb-43519e24b25c&amp;pddocfullpath=%2Fshared%2Fdocument%2Fcases-au%2Furn%3AcontentItem%3A5HKF-9PR1-JNY7-X30B-00000-00&amp;pdcontentcomponentid=267712&amp;pddoctitle=BC201512204&amp;ecomp=Lgpck&amp;prid=b40f53a9-c652-4d88-933d-1a9cc8fb33f5"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E9291C-EF5C-4CF9-A2FE-1664AAC16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99423</Words>
  <Characters>566712</Characters>
  <Application>Microsoft Office Word</Application>
  <DocSecurity>4</DocSecurity>
  <Lines>4722</Lines>
  <Paragraphs>1329</Paragraphs>
  <ScaleCrop>false</ScaleCrop>
  <HeadingPairs>
    <vt:vector size="2" baseType="variant">
      <vt:variant>
        <vt:lpstr>Title</vt:lpstr>
      </vt:variant>
      <vt:variant>
        <vt:i4>1</vt:i4>
      </vt:variant>
    </vt:vector>
  </HeadingPairs>
  <TitlesOfParts>
    <vt:vector size="1" baseType="lpstr">
      <vt:lpstr>Sentencing of federal offenders - a guide</vt:lpstr>
    </vt:vector>
  </TitlesOfParts>
  <Company>Commonwealth DPP</Company>
  <LinksUpToDate>false</LinksUpToDate>
  <CharactersWithSpaces>664806</CharactersWithSpaces>
  <SharedDoc>false</SharedDoc>
  <HLinks>
    <vt:vector size="6" baseType="variant">
      <vt:variant>
        <vt:i4>2228276</vt:i4>
      </vt:variant>
      <vt:variant>
        <vt:i4>0</vt:i4>
      </vt:variant>
      <vt:variant>
        <vt:i4>0</vt:i4>
      </vt:variant>
      <vt:variant>
        <vt:i4>5</vt:i4>
      </vt:variant>
      <vt:variant>
        <vt:lpwstr>http://www.cdpp.gov.au/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Sentencing of federal offenders - a guide</dc:title>
  <dc:subject/>
  <dc:creator>Desmond Lane</dc:creator>
  <cp:keywords/>
  <dc:description/>
  <cp:lastModifiedBy>Watson Jeanette</cp:lastModifiedBy>
  <cp:revision>2</cp:revision>
  <cp:lastPrinted>2019-11-21T07:22:00Z</cp:lastPrinted>
  <dcterms:created xsi:type="dcterms:W3CDTF">2020-02-28T02:35:00Z</dcterms:created>
  <dcterms:modified xsi:type="dcterms:W3CDTF">2020-02-28T02:35:00Z</dcterms:modified>
</cp:coreProperties>
</file>